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1.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charts/chart37.xml" ContentType="application/vnd.openxmlformats-officedocument.drawingml.chart+xml"/>
  <Override PartName="/word/charts/style37.xml" ContentType="application/vnd.ms-office.chartstyle+xml"/>
  <Override PartName="/word/charts/colors37.xml" ContentType="application/vnd.ms-office.chartcolorstyle+xml"/>
  <Override PartName="/word/charts/chart38.xml" ContentType="application/vnd.openxmlformats-officedocument.drawingml.chart+xml"/>
  <Override PartName="/word/charts/style38.xml" ContentType="application/vnd.ms-office.chartstyle+xml"/>
  <Override PartName="/word/charts/colors38.xml" ContentType="application/vnd.ms-office.chartcolorstyle+xml"/>
  <Override PartName="/word/charts/chart39.xml" ContentType="application/vnd.openxmlformats-officedocument.drawingml.chart+xml"/>
  <Override PartName="/word/charts/style39.xml" ContentType="application/vnd.ms-office.chartstyle+xml"/>
  <Override PartName="/word/charts/colors39.xml" ContentType="application/vnd.ms-office.chartcolorstyle+xml"/>
  <Override PartName="/word/charts/chart40.xml" ContentType="application/vnd.openxmlformats-officedocument.drawingml.chart+xml"/>
  <Override PartName="/word/charts/style40.xml" ContentType="application/vnd.ms-office.chartstyle+xml"/>
  <Override PartName="/word/charts/colors40.xml" ContentType="application/vnd.ms-office.chartcolorstyle+xml"/>
  <Override PartName="/word/charts/chart41.xml" ContentType="application/vnd.openxmlformats-officedocument.drawingml.chart+xml"/>
  <Override PartName="/word/charts/style41.xml" ContentType="application/vnd.ms-office.chartstyle+xml"/>
  <Override PartName="/word/charts/colors41.xml" ContentType="application/vnd.ms-office.chartcolorstyle+xml"/>
  <Override PartName="/word/charts/chart42.xml" ContentType="application/vnd.openxmlformats-officedocument.drawingml.chart+xml"/>
  <Override PartName="/word/charts/style42.xml" ContentType="application/vnd.ms-office.chartstyle+xml"/>
  <Override PartName="/word/charts/colors42.xml" ContentType="application/vnd.ms-office.chartcolorstyle+xml"/>
  <Override PartName="/word/charts/chart43.xml" ContentType="application/vnd.openxmlformats-officedocument.drawingml.chart+xml"/>
  <Override PartName="/word/charts/style43.xml" ContentType="application/vnd.ms-office.chartstyle+xml"/>
  <Override PartName="/word/charts/colors43.xml" ContentType="application/vnd.ms-office.chartcolorstyle+xml"/>
  <Override PartName="/word/charts/chart44.xml" ContentType="application/vnd.openxmlformats-officedocument.drawingml.chart+xml"/>
  <Override PartName="/word/charts/style44.xml" ContentType="application/vnd.ms-office.chartstyle+xml"/>
  <Override PartName="/word/charts/colors4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71DBA1" w14:textId="77777777" w:rsidR="00057CF8" w:rsidRDefault="00057CF8" w:rsidP="00DC54F7">
      <w:pPr>
        <w:spacing w:after="0" w:line="240" w:lineRule="auto"/>
        <w:contextualSpacing/>
        <w:jc w:val="both"/>
        <w:rPr>
          <w:rFonts w:ascii="Arial" w:hAnsi="Arial" w:cs="Arial"/>
          <w:sz w:val="28"/>
          <w:szCs w:val="28"/>
        </w:rPr>
      </w:pPr>
    </w:p>
    <w:p w14:paraId="2EE4C696" w14:textId="77777777" w:rsidR="00250444" w:rsidRPr="004224E6" w:rsidRDefault="00250444" w:rsidP="00DC54F7">
      <w:pPr>
        <w:spacing w:after="0" w:line="240" w:lineRule="auto"/>
        <w:contextualSpacing/>
        <w:jc w:val="both"/>
        <w:rPr>
          <w:rFonts w:ascii="Arial" w:hAnsi="Arial" w:cs="Arial"/>
          <w:sz w:val="28"/>
          <w:szCs w:val="28"/>
        </w:rPr>
      </w:pPr>
    </w:p>
    <w:p w14:paraId="0E037A7F" w14:textId="77777777" w:rsidR="00034150" w:rsidRDefault="00034150" w:rsidP="00DC54F7">
      <w:pPr>
        <w:spacing w:after="0" w:line="240" w:lineRule="auto"/>
        <w:contextualSpacing/>
        <w:jc w:val="both"/>
        <w:rPr>
          <w:rFonts w:ascii="Arial" w:hAnsi="Arial" w:cs="Arial"/>
          <w:b/>
          <w:sz w:val="52"/>
          <w:szCs w:val="52"/>
        </w:rPr>
      </w:pPr>
    </w:p>
    <w:p w14:paraId="367F06CB" w14:textId="77777777" w:rsidR="00034150" w:rsidRPr="00A10850" w:rsidRDefault="00034150" w:rsidP="00DC54F7">
      <w:pPr>
        <w:spacing w:after="0" w:line="240" w:lineRule="auto"/>
        <w:contextualSpacing/>
        <w:jc w:val="both"/>
        <w:rPr>
          <w:rFonts w:ascii="Arial" w:hAnsi="Arial" w:cs="Arial"/>
          <w:b/>
          <w:sz w:val="52"/>
          <w:szCs w:val="52"/>
        </w:rPr>
      </w:pPr>
    </w:p>
    <w:p w14:paraId="42347D7A" w14:textId="77777777" w:rsidR="00034150" w:rsidRPr="00A10850" w:rsidRDefault="00034150" w:rsidP="00DC54F7">
      <w:pPr>
        <w:spacing w:after="0" w:line="240" w:lineRule="auto"/>
        <w:contextualSpacing/>
        <w:jc w:val="both"/>
        <w:rPr>
          <w:rFonts w:ascii="Arial" w:hAnsi="Arial" w:cs="Arial"/>
          <w:b/>
          <w:sz w:val="52"/>
          <w:szCs w:val="52"/>
        </w:rPr>
      </w:pPr>
    </w:p>
    <w:p w14:paraId="72BE8217" w14:textId="69F74E7B" w:rsidR="00A3017F" w:rsidRPr="00A10850" w:rsidRDefault="00DE71FB" w:rsidP="009B59F3">
      <w:pPr>
        <w:spacing w:after="0" w:line="240" w:lineRule="auto"/>
        <w:contextualSpacing/>
        <w:jc w:val="center"/>
        <w:rPr>
          <w:rFonts w:ascii="Arial" w:hAnsi="Arial" w:cs="Arial"/>
          <w:b/>
          <w:sz w:val="52"/>
          <w:szCs w:val="52"/>
        </w:rPr>
      </w:pPr>
      <w:r>
        <w:rPr>
          <w:rFonts w:ascii="Arial" w:hAnsi="Arial" w:cs="Arial"/>
          <w:b/>
          <w:sz w:val="52"/>
          <w:szCs w:val="52"/>
        </w:rPr>
        <w:t xml:space="preserve">Cardiff and Vale University Health Board </w:t>
      </w:r>
      <w:r w:rsidR="00E678C9" w:rsidRPr="00A10850">
        <w:rPr>
          <w:rFonts w:ascii="Arial" w:hAnsi="Arial" w:cs="Arial"/>
          <w:b/>
          <w:sz w:val="52"/>
          <w:szCs w:val="52"/>
        </w:rPr>
        <w:t>p</w:t>
      </w:r>
      <w:r w:rsidR="00A3017F" w:rsidRPr="00A10850">
        <w:rPr>
          <w:rFonts w:ascii="Arial" w:hAnsi="Arial" w:cs="Arial"/>
          <w:b/>
          <w:sz w:val="52"/>
          <w:szCs w:val="52"/>
        </w:rPr>
        <w:t xml:space="preserve">harmaceutical </w:t>
      </w:r>
      <w:r w:rsidR="00E678C9" w:rsidRPr="00A10850">
        <w:rPr>
          <w:rFonts w:ascii="Arial" w:hAnsi="Arial" w:cs="Arial"/>
          <w:b/>
          <w:sz w:val="52"/>
          <w:szCs w:val="52"/>
        </w:rPr>
        <w:t>n</w:t>
      </w:r>
      <w:r w:rsidR="00A3017F" w:rsidRPr="00A10850">
        <w:rPr>
          <w:rFonts w:ascii="Arial" w:hAnsi="Arial" w:cs="Arial"/>
          <w:b/>
          <w:sz w:val="52"/>
          <w:szCs w:val="52"/>
        </w:rPr>
        <w:t xml:space="preserve">eeds </w:t>
      </w:r>
      <w:r w:rsidR="00E678C9" w:rsidRPr="00A10850">
        <w:rPr>
          <w:rFonts w:ascii="Arial" w:hAnsi="Arial" w:cs="Arial"/>
          <w:b/>
          <w:sz w:val="52"/>
          <w:szCs w:val="52"/>
        </w:rPr>
        <w:t>a</w:t>
      </w:r>
      <w:r w:rsidR="007D79B3" w:rsidRPr="00A10850">
        <w:rPr>
          <w:rFonts w:ascii="Arial" w:hAnsi="Arial" w:cs="Arial"/>
          <w:b/>
          <w:sz w:val="52"/>
          <w:szCs w:val="52"/>
        </w:rPr>
        <w:t>ssessment</w:t>
      </w:r>
    </w:p>
    <w:p w14:paraId="1191A538" w14:textId="77777777" w:rsidR="00034150" w:rsidRPr="00A10850" w:rsidRDefault="00034150" w:rsidP="009B59F3">
      <w:pPr>
        <w:spacing w:after="0" w:line="240" w:lineRule="auto"/>
        <w:contextualSpacing/>
        <w:jc w:val="center"/>
        <w:rPr>
          <w:rFonts w:ascii="Arial" w:hAnsi="Arial" w:cs="Arial"/>
          <w:b/>
          <w:sz w:val="52"/>
          <w:szCs w:val="52"/>
        </w:rPr>
      </w:pPr>
    </w:p>
    <w:p w14:paraId="1B7C085F" w14:textId="77777777" w:rsidR="00034150" w:rsidRPr="00A10850" w:rsidRDefault="00034150" w:rsidP="009B59F3">
      <w:pPr>
        <w:spacing w:after="0" w:line="240" w:lineRule="auto"/>
        <w:contextualSpacing/>
        <w:jc w:val="center"/>
        <w:rPr>
          <w:rFonts w:ascii="Arial" w:hAnsi="Arial" w:cs="Arial"/>
          <w:b/>
          <w:sz w:val="52"/>
          <w:szCs w:val="52"/>
        </w:rPr>
      </w:pPr>
    </w:p>
    <w:p w14:paraId="0059F2BE" w14:textId="4236FEA3" w:rsidR="00034150" w:rsidRPr="00A10850" w:rsidRDefault="00AA6764" w:rsidP="009B59F3">
      <w:pPr>
        <w:spacing w:after="0" w:line="240" w:lineRule="auto"/>
        <w:contextualSpacing/>
        <w:jc w:val="center"/>
        <w:rPr>
          <w:rFonts w:ascii="Arial" w:hAnsi="Arial" w:cs="Arial"/>
          <w:b/>
          <w:sz w:val="36"/>
          <w:szCs w:val="36"/>
        </w:rPr>
      </w:pPr>
      <w:r>
        <w:rPr>
          <w:rFonts w:ascii="Arial" w:hAnsi="Arial" w:cs="Arial"/>
          <w:b/>
          <w:sz w:val="36"/>
          <w:szCs w:val="36"/>
        </w:rPr>
        <w:t>October 2021</w:t>
      </w:r>
    </w:p>
    <w:p w14:paraId="15C2086A" w14:textId="77777777" w:rsidR="00A3017F" w:rsidRPr="00A10850" w:rsidRDefault="00A3017F" w:rsidP="00DC54F7">
      <w:pPr>
        <w:spacing w:after="0" w:line="240" w:lineRule="auto"/>
        <w:contextualSpacing/>
        <w:jc w:val="both"/>
        <w:rPr>
          <w:rFonts w:ascii="Arial" w:hAnsi="Arial" w:cs="Arial"/>
          <w:b/>
          <w:sz w:val="28"/>
          <w:szCs w:val="28"/>
        </w:rPr>
      </w:pPr>
    </w:p>
    <w:p w14:paraId="4FC9967C" w14:textId="77777777" w:rsidR="00095F68" w:rsidRPr="00A10850" w:rsidRDefault="00095F68" w:rsidP="00DC54F7">
      <w:pPr>
        <w:spacing w:after="0" w:line="240" w:lineRule="auto"/>
        <w:contextualSpacing/>
        <w:jc w:val="both"/>
        <w:rPr>
          <w:rFonts w:ascii="Arial" w:hAnsi="Arial" w:cs="Arial"/>
          <w:b/>
          <w:sz w:val="28"/>
          <w:szCs w:val="28"/>
        </w:rPr>
      </w:pPr>
    </w:p>
    <w:p w14:paraId="039F024D" w14:textId="77777777" w:rsidR="00095F68" w:rsidRDefault="00095F68" w:rsidP="00DC54F7">
      <w:pPr>
        <w:spacing w:after="0" w:line="240" w:lineRule="auto"/>
        <w:contextualSpacing/>
        <w:jc w:val="both"/>
        <w:rPr>
          <w:rFonts w:ascii="Arial" w:hAnsi="Arial" w:cs="Arial"/>
          <w:b/>
          <w:sz w:val="28"/>
          <w:szCs w:val="28"/>
        </w:rPr>
      </w:pPr>
    </w:p>
    <w:p w14:paraId="0627F534" w14:textId="77777777" w:rsidR="002567BB" w:rsidRDefault="002567BB" w:rsidP="00DC54F7">
      <w:pPr>
        <w:spacing w:after="0" w:line="240" w:lineRule="auto"/>
        <w:contextualSpacing/>
        <w:jc w:val="both"/>
        <w:rPr>
          <w:rFonts w:ascii="Arial" w:hAnsi="Arial" w:cs="Arial"/>
          <w:b/>
          <w:sz w:val="28"/>
          <w:szCs w:val="28"/>
        </w:rPr>
      </w:pPr>
    </w:p>
    <w:p w14:paraId="45F68C54" w14:textId="77777777" w:rsidR="002567BB" w:rsidRDefault="002567BB" w:rsidP="00DC54F7">
      <w:pPr>
        <w:spacing w:after="0" w:line="240" w:lineRule="auto"/>
        <w:contextualSpacing/>
        <w:jc w:val="both"/>
        <w:rPr>
          <w:rFonts w:ascii="Arial" w:hAnsi="Arial" w:cs="Arial"/>
          <w:b/>
          <w:sz w:val="28"/>
          <w:szCs w:val="28"/>
        </w:rPr>
      </w:pPr>
    </w:p>
    <w:p w14:paraId="1E725473" w14:textId="77777777" w:rsidR="002567BB" w:rsidRDefault="002567BB" w:rsidP="00DC54F7">
      <w:pPr>
        <w:spacing w:after="0" w:line="240" w:lineRule="auto"/>
        <w:contextualSpacing/>
        <w:jc w:val="both"/>
        <w:rPr>
          <w:rFonts w:ascii="Arial" w:hAnsi="Arial" w:cs="Arial"/>
          <w:b/>
          <w:sz w:val="28"/>
          <w:szCs w:val="28"/>
        </w:rPr>
      </w:pPr>
    </w:p>
    <w:p w14:paraId="231E82C4" w14:textId="77777777" w:rsidR="002567BB" w:rsidRDefault="002567BB" w:rsidP="00DC54F7">
      <w:pPr>
        <w:spacing w:after="0" w:line="240" w:lineRule="auto"/>
        <w:contextualSpacing/>
        <w:jc w:val="both"/>
        <w:rPr>
          <w:rFonts w:ascii="Arial" w:hAnsi="Arial" w:cs="Arial"/>
          <w:b/>
          <w:sz w:val="28"/>
          <w:szCs w:val="28"/>
        </w:rPr>
      </w:pPr>
    </w:p>
    <w:p w14:paraId="648B5B83" w14:textId="77777777" w:rsidR="002567BB" w:rsidRDefault="002567BB" w:rsidP="00DC54F7">
      <w:pPr>
        <w:spacing w:after="0" w:line="240" w:lineRule="auto"/>
        <w:contextualSpacing/>
        <w:jc w:val="both"/>
        <w:rPr>
          <w:rFonts w:ascii="Arial" w:hAnsi="Arial" w:cs="Arial"/>
          <w:b/>
          <w:sz w:val="28"/>
          <w:szCs w:val="28"/>
        </w:rPr>
      </w:pPr>
    </w:p>
    <w:p w14:paraId="5142A747" w14:textId="77777777" w:rsidR="002567BB" w:rsidRDefault="002567BB" w:rsidP="00DC54F7">
      <w:pPr>
        <w:spacing w:after="0" w:line="240" w:lineRule="auto"/>
        <w:contextualSpacing/>
        <w:jc w:val="both"/>
        <w:rPr>
          <w:rFonts w:ascii="Arial" w:hAnsi="Arial" w:cs="Arial"/>
          <w:b/>
          <w:sz w:val="28"/>
          <w:szCs w:val="28"/>
        </w:rPr>
      </w:pPr>
    </w:p>
    <w:p w14:paraId="05181DD9" w14:textId="77777777" w:rsidR="002567BB" w:rsidRDefault="002567BB" w:rsidP="00DC54F7">
      <w:pPr>
        <w:spacing w:after="0" w:line="240" w:lineRule="auto"/>
        <w:contextualSpacing/>
        <w:jc w:val="both"/>
        <w:rPr>
          <w:rFonts w:ascii="Arial" w:hAnsi="Arial" w:cs="Arial"/>
          <w:b/>
          <w:sz w:val="28"/>
          <w:szCs w:val="28"/>
        </w:rPr>
      </w:pPr>
    </w:p>
    <w:p w14:paraId="093DB326" w14:textId="77777777" w:rsidR="002567BB" w:rsidRDefault="002567BB" w:rsidP="00DC54F7">
      <w:pPr>
        <w:spacing w:after="0" w:line="240" w:lineRule="auto"/>
        <w:contextualSpacing/>
        <w:jc w:val="both"/>
        <w:rPr>
          <w:rFonts w:ascii="Arial" w:hAnsi="Arial" w:cs="Arial"/>
          <w:b/>
          <w:sz w:val="28"/>
          <w:szCs w:val="28"/>
        </w:rPr>
      </w:pPr>
    </w:p>
    <w:p w14:paraId="1F0E7DD1" w14:textId="77777777" w:rsidR="002567BB" w:rsidRDefault="002567BB" w:rsidP="00DC54F7">
      <w:pPr>
        <w:spacing w:after="0" w:line="240" w:lineRule="auto"/>
        <w:contextualSpacing/>
        <w:jc w:val="both"/>
        <w:rPr>
          <w:rFonts w:ascii="Arial" w:hAnsi="Arial" w:cs="Arial"/>
          <w:b/>
          <w:sz w:val="28"/>
          <w:szCs w:val="28"/>
        </w:rPr>
      </w:pPr>
    </w:p>
    <w:p w14:paraId="09FD7992" w14:textId="77777777" w:rsidR="002567BB" w:rsidRDefault="002567BB" w:rsidP="00DC54F7">
      <w:pPr>
        <w:spacing w:after="0" w:line="240" w:lineRule="auto"/>
        <w:contextualSpacing/>
        <w:jc w:val="both"/>
        <w:rPr>
          <w:rFonts w:ascii="Arial" w:hAnsi="Arial" w:cs="Arial"/>
          <w:b/>
          <w:sz w:val="28"/>
          <w:szCs w:val="28"/>
        </w:rPr>
      </w:pPr>
    </w:p>
    <w:p w14:paraId="5C2D83D2" w14:textId="77777777" w:rsidR="002567BB" w:rsidRDefault="002567BB" w:rsidP="00DC54F7">
      <w:pPr>
        <w:spacing w:after="0" w:line="240" w:lineRule="auto"/>
        <w:contextualSpacing/>
        <w:jc w:val="both"/>
        <w:rPr>
          <w:rFonts w:ascii="Arial" w:hAnsi="Arial" w:cs="Arial"/>
          <w:b/>
          <w:sz w:val="28"/>
          <w:szCs w:val="28"/>
        </w:rPr>
      </w:pPr>
    </w:p>
    <w:p w14:paraId="5926E874" w14:textId="77777777" w:rsidR="002567BB" w:rsidRDefault="002567BB" w:rsidP="00DC54F7">
      <w:pPr>
        <w:spacing w:after="0" w:line="240" w:lineRule="auto"/>
        <w:contextualSpacing/>
        <w:jc w:val="both"/>
        <w:rPr>
          <w:rFonts w:ascii="Arial" w:hAnsi="Arial" w:cs="Arial"/>
          <w:b/>
          <w:sz w:val="28"/>
          <w:szCs w:val="28"/>
        </w:rPr>
      </w:pPr>
    </w:p>
    <w:p w14:paraId="44B089D3" w14:textId="77777777" w:rsidR="002567BB" w:rsidRDefault="002567BB" w:rsidP="00DC54F7">
      <w:pPr>
        <w:spacing w:after="0" w:line="240" w:lineRule="auto"/>
        <w:contextualSpacing/>
        <w:jc w:val="both"/>
        <w:rPr>
          <w:rFonts w:ascii="Arial" w:hAnsi="Arial" w:cs="Arial"/>
          <w:b/>
          <w:sz w:val="28"/>
          <w:szCs w:val="28"/>
        </w:rPr>
      </w:pPr>
    </w:p>
    <w:p w14:paraId="43A43BC5" w14:textId="77777777" w:rsidR="002567BB" w:rsidRDefault="002567BB" w:rsidP="00DC54F7">
      <w:pPr>
        <w:spacing w:after="0" w:line="240" w:lineRule="auto"/>
        <w:contextualSpacing/>
        <w:jc w:val="both"/>
        <w:rPr>
          <w:rFonts w:ascii="Arial" w:hAnsi="Arial" w:cs="Arial"/>
          <w:b/>
          <w:sz w:val="28"/>
          <w:szCs w:val="28"/>
        </w:rPr>
      </w:pPr>
    </w:p>
    <w:p w14:paraId="0E95BF6C" w14:textId="77777777" w:rsidR="002567BB" w:rsidRDefault="002567BB" w:rsidP="00DC54F7">
      <w:pPr>
        <w:spacing w:after="0" w:line="240" w:lineRule="auto"/>
        <w:contextualSpacing/>
        <w:jc w:val="both"/>
        <w:rPr>
          <w:rFonts w:ascii="Arial" w:hAnsi="Arial" w:cs="Arial"/>
          <w:b/>
          <w:sz w:val="28"/>
          <w:szCs w:val="28"/>
        </w:rPr>
      </w:pPr>
    </w:p>
    <w:p w14:paraId="21DD5752" w14:textId="77777777" w:rsidR="002567BB" w:rsidRDefault="002567BB" w:rsidP="00DC54F7">
      <w:pPr>
        <w:spacing w:after="0" w:line="240" w:lineRule="auto"/>
        <w:contextualSpacing/>
        <w:jc w:val="both"/>
        <w:rPr>
          <w:rFonts w:ascii="Arial" w:hAnsi="Arial" w:cs="Arial"/>
          <w:b/>
          <w:sz w:val="28"/>
          <w:szCs w:val="28"/>
        </w:rPr>
      </w:pPr>
    </w:p>
    <w:p w14:paraId="436BAA66" w14:textId="77777777" w:rsidR="002567BB" w:rsidRDefault="002567BB" w:rsidP="00DC54F7">
      <w:pPr>
        <w:spacing w:after="0" w:line="240" w:lineRule="auto"/>
        <w:contextualSpacing/>
        <w:jc w:val="both"/>
        <w:rPr>
          <w:rFonts w:ascii="Arial" w:hAnsi="Arial" w:cs="Arial"/>
          <w:b/>
          <w:sz w:val="28"/>
          <w:szCs w:val="28"/>
        </w:rPr>
      </w:pPr>
    </w:p>
    <w:p w14:paraId="1474DB15" w14:textId="77777777" w:rsidR="002567BB" w:rsidRDefault="002567BB" w:rsidP="00DC54F7">
      <w:pPr>
        <w:spacing w:after="0" w:line="240" w:lineRule="auto"/>
        <w:contextualSpacing/>
        <w:jc w:val="both"/>
        <w:rPr>
          <w:rFonts w:ascii="Arial" w:hAnsi="Arial" w:cs="Arial"/>
          <w:b/>
          <w:sz w:val="28"/>
          <w:szCs w:val="28"/>
        </w:rPr>
      </w:pPr>
    </w:p>
    <w:p w14:paraId="620567CE" w14:textId="77777777" w:rsidR="002567BB" w:rsidRDefault="002567BB" w:rsidP="00DC54F7">
      <w:pPr>
        <w:spacing w:after="0" w:line="240" w:lineRule="auto"/>
        <w:contextualSpacing/>
        <w:jc w:val="both"/>
        <w:rPr>
          <w:rFonts w:ascii="Arial" w:hAnsi="Arial" w:cs="Arial"/>
          <w:b/>
          <w:sz w:val="28"/>
          <w:szCs w:val="28"/>
        </w:rPr>
      </w:pPr>
    </w:p>
    <w:p w14:paraId="046C2600" w14:textId="77777777" w:rsidR="002567BB" w:rsidRDefault="002567BB" w:rsidP="00DC54F7">
      <w:pPr>
        <w:spacing w:after="0" w:line="240" w:lineRule="auto"/>
        <w:contextualSpacing/>
        <w:jc w:val="both"/>
        <w:rPr>
          <w:rFonts w:ascii="Arial" w:hAnsi="Arial" w:cs="Arial"/>
          <w:b/>
          <w:sz w:val="28"/>
          <w:szCs w:val="28"/>
        </w:rPr>
      </w:pPr>
    </w:p>
    <w:p w14:paraId="43FA9183" w14:textId="77777777" w:rsidR="002567BB" w:rsidRDefault="002567BB" w:rsidP="00DC54F7">
      <w:pPr>
        <w:spacing w:after="0" w:line="240" w:lineRule="auto"/>
        <w:contextualSpacing/>
        <w:jc w:val="both"/>
        <w:rPr>
          <w:rFonts w:ascii="Arial" w:hAnsi="Arial" w:cs="Arial"/>
          <w:b/>
          <w:sz w:val="28"/>
          <w:szCs w:val="28"/>
        </w:rPr>
      </w:pPr>
    </w:p>
    <w:p w14:paraId="7EAD1B50" w14:textId="77777777" w:rsidR="002567BB" w:rsidRPr="002567BB" w:rsidRDefault="002567BB" w:rsidP="00DC54F7">
      <w:pPr>
        <w:spacing w:after="0" w:line="240" w:lineRule="auto"/>
        <w:contextualSpacing/>
        <w:jc w:val="both"/>
        <w:rPr>
          <w:rFonts w:ascii="Arial" w:hAnsi="Arial" w:cs="Arial"/>
          <w:sz w:val="24"/>
          <w:szCs w:val="24"/>
        </w:rPr>
      </w:pPr>
      <w:r w:rsidRPr="002567BB">
        <w:rPr>
          <w:rFonts w:ascii="Arial" w:hAnsi="Arial" w:cs="Arial"/>
          <w:sz w:val="24"/>
          <w:szCs w:val="24"/>
        </w:rPr>
        <w:lastRenderedPageBreak/>
        <w:t>This document is available in Welsh / Mae’r ddogfen hon ar gael yn Gymraeg</w:t>
      </w:r>
      <w:r>
        <w:rPr>
          <w:rFonts w:ascii="Arial" w:hAnsi="Arial" w:cs="Arial"/>
          <w:sz w:val="24"/>
          <w:szCs w:val="24"/>
        </w:rPr>
        <w:t>.</w:t>
      </w:r>
    </w:p>
    <w:p w14:paraId="51FDCC44" w14:textId="77777777" w:rsidR="002567BB" w:rsidRPr="00A10850" w:rsidRDefault="00A3017F" w:rsidP="00DC54F7">
      <w:pPr>
        <w:spacing w:after="0" w:line="240" w:lineRule="auto"/>
        <w:jc w:val="both"/>
        <w:rPr>
          <w:rFonts w:ascii="Arial" w:hAnsi="Arial" w:cs="Arial"/>
          <w:b/>
          <w:sz w:val="28"/>
          <w:szCs w:val="28"/>
        </w:rPr>
      </w:pPr>
      <w:r w:rsidRPr="00A10850">
        <w:rPr>
          <w:rFonts w:ascii="Arial" w:hAnsi="Arial" w:cs="Arial"/>
          <w:b/>
          <w:sz w:val="28"/>
          <w:szCs w:val="28"/>
        </w:rPr>
        <w:br w:type="page"/>
      </w:r>
    </w:p>
    <w:sdt>
      <w:sdtPr>
        <w:rPr>
          <w:rFonts w:asciiTheme="minorHAnsi" w:eastAsiaTheme="minorHAnsi" w:hAnsiTheme="minorHAnsi" w:cs="Arial"/>
          <w:b w:val="0"/>
          <w:bCs w:val="0"/>
          <w:color w:val="auto"/>
          <w:sz w:val="22"/>
          <w:szCs w:val="22"/>
          <w:lang w:val="en-GB" w:eastAsia="en-US"/>
        </w:rPr>
        <w:id w:val="-1334213836"/>
        <w:docPartObj>
          <w:docPartGallery w:val="Table of Contents"/>
          <w:docPartUnique/>
        </w:docPartObj>
      </w:sdtPr>
      <w:sdtEndPr>
        <w:rPr>
          <w:noProof/>
        </w:rPr>
      </w:sdtEndPr>
      <w:sdtContent>
        <w:p w14:paraId="65B2B5F6" w14:textId="77777777" w:rsidR="00562C2A" w:rsidRDefault="009C23BC" w:rsidP="00DC54F7">
          <w:pPr>
            <w:pStyle w:val="TOCHeading"/>
            <w:spacing w:before="0" w:line="240" w:lineRule="auto"/>
            <w:jc w:val="both"/>
            <w:rPr>
              <w:rFonts w:cs="Arial"/>
              <w:color w:val="auto"/>
            </w:rPr>
          </w:pPr>
          <w:r w:rsidRPr="00A10850">
            <w:rPr>
              <w:rFonts w:cs="Arial"/>
              <w:color w:val="auto"/>
            </w:rPr>
            <w:t>Contents</w:t>
          </w:r>
        </w:p>
        <w:p w14:paraId="22226F8D" w14:textId="533A078E" w:rsidR="00562C2A" w:rsidRPr="00AF3A43" w:rsidRDefault="00562C2A" w:rsidP="00DC54F7">
          <w:pPr>
            <w:spacing w:after="0" w:line="240" w:lineRule="auto"/>
            <w:jc w:val="both"/>
            <w:rPr>
              <w:rFonts w:ascii="Arial" w:hAnsi="Arial" w:cs="Arial"/>
              <w:sz w:val="24"/>
              <w:szCs w:val="24"/>
              <w:lang w:val="en-US" w:eastAsia="ja-JP"/>
            </w:rPr>
          </w:pPr>
        </w:p>
        <w:p w14:paraId="20AE872B" w14:textId="1FC8D4C0" w:rsidR="00853554" w:rsidRDefault="009C23BC">
          <w:pPr>
            <w:pStyle w:val="TOC1"/>
            <w:rPr>
              <w:rFonts w:asciiTheme="minorHAnsi" w:eastAsiaTheme="minorEastAsia" w:hAnsiTheme="minorHAnsi" w:cstheme="minorBidi"/>
              <w:sz w:val="22"/>
              <w:szCs w:val="22"/>
              <w:lang w:eastAsia="en-GB"/>
            </w:rPr>
          </w:pPr>
          <w:r w:rsidRPr="0086741D">
            <w:rPr>
              <w:noProof w:val="0"/>
            </w:rPr>
            <w:fldChar w:fldCharType="begin"/>
          </w:r>
          <w:r w:rsidRPr="0086741D">
            <w:instrText xml:space="preserve"> TOC \o "1-3" \h \z \u </w:instrText>
          </w:r>
          <w:r w:rsidRPr="0086741D">
            <w:rPr>
              <w:noProof w:val="0"/>
            </w:rPr>
            <w:fldChar w:fldCharType="separate"/>
          </w:r>
          <w:hyperlink w:anchor="_Toc81585093" w:history="1">
            <w:r w:rsidR="00853554" w:rsidRPr="008A75E0">
              <w:rPr>
                <w:rStyle w:val="Hyperlink"/>
                <w:lang w:val="en-US"/>
              </w:rPr>
              <w:t>1 Introduction</w:t>
            </w:r>
            <w:r w:rsidR="00853554">
              <w:rPr>
                <w:webHidden/>
              </w:rPr>
              <w:tab/>
            </w:r>
            <w:r w:rsidR="00853554">
              <w:rPr>
                <w:webHidden/>
              </w:rPr>
              <w:fldChar w:fldCharType="begin"/>
            </w:r>
            <w:r w:rsidR="00853554">
              <w:rPr>
                <w:webHidden/>
              </w:rPr>
              <w:instrText xml:space="preserve"> PAGEREF _Toc81585093 \h </w:instrText>
            </w:r>
            <w:r w:rsidR="00853554">
              <w:rPr>
                <w:webHidden/>
              </w:rPr>
            </w:r>
            <w:r w:rsidR="00853554">
              <w:rPr>
                <w:webHidden/>
              </w:rPr>
              <w:fldChar w:fldCharType="separate"/>
            </w:r>
            <w:r w:rsidR="00853554">
              <w:rPr>
                <w:webHidden/>
              </w:rPr>
              <w:t>7</w:t>
            </w:r>
            <w:r w:rsidR="00853554">
              <w:rPr>
                <w:webHidden/>
              </w:rPr>
              <w:fldChar w:fldCharType="end"/>
            </w:r>
          </w:hyperlink>
        </w:p>
        <w:p w14:paraId="62843231" w14:textId="0A511D94" w:rsidR="00853554" w:rsidRDefault="005670EB">
          <w:pPr>
            <w:pStyle w:val="TOC1"/>
            <w:rPr>
              <w:rFonts w:asciiTheme="minorHAnsi" w:eastAsiaTheme="minorEastAsia" w:hAnsiTheme="minorHAnsi" w:cstheme="minorBidi"/>
              <w:sz w:val="22"/>
              <w:szCs w:val="22"/>
              <w:lang w:eastAsia="en-GB"/>
            </w:rPr>
          </w:pPr>
          <w:hyperlink w:anchor="_Toc81585094" w:history="1">
            <w:r w:rsidR="00853554" w:rsidRPr="008A75E0">
              <w:rPr>
                <w:rStyle w:val="Hyperlink"/>
              </w:rPr>
              <w:t>2 Overview of Cardiff and Vale University Health Board</w:t>
            </w:r>
            <w:r w:rsidR="00853554">
              <w:rPr>
                <w:webHidden/>
              </w:rPr>
              <w:tab/>
            </w:r>
            <w:r w:rsidR="00853554">
              <w:rPr>
                <w:webHidden/>
              </w:rPr>
              <w:fldChar w:fldCharType="begin"/>
            </w:r>
            <w:r w:rsidR="00853554">
              <w:rPr>
                <w:webHidden/>
              </w:rPr>
              <w:instrText xml:space="preserve"> PAGEREF _Toc81585094 \h </w:instrText>
            </w:r>
            <w:r w:rsidR="00853554">
              <w:rPr>
                <w:webHidden/>
              </w:rPr>
            </w:r>
            <w:r w:rsidR="00853554">
              <w:rPr>
                <w:webHidden/>
              </w:rPr>
              <w:fldChar w:fldCharType="separate"/>
            </w:r>
            <w:r w:rsidR="00853554">
              <w:rPr>
                <w:webHidden/>
              </w:rPr>
              <w:t>38</w:t>
            </w:r>
            <w:r w:rsidR="00853554">
              <w:rPr>
                <w:webHidden/>
              </w:rPr>
              <w:fldChar w:fldCharType="end"/>
            </w:r>
          </w:hyperlink>
        </w:p>
        <w:p w14:paraId="367B5A71" w14:textId="412FB5FE" w:rsidR="00853554" w:rsidRDefault="005670EB">
          <w:pPr>
            <w:pStyle w:val="TOC1"/>
            <w:rPr>
              <w:rFonts w:asciiTheme="minorHAnsi" w:eastAsiaTheme="minorEastAsia" w:hAnsiTheme="minorHAnsi" w:cstheme="minorBidi"/>
              <w:sz w:val="22"/>
              <w:szCs w:val="22"/>
              <w:lang w:eastAsia="en-GB"/>
            </w:rPr>
          </w:pPr>
          <w:hyperlink w:anchor="_Toc81585095" w:history="1">
            <w:r w:rsidR="00853554" w:rsidRPr="008A75E0">
              <w:rPr>
                <w:rStyle w:val="Hyperlink"/>
              </w:rPr>
              <w:t>3 General health needs of Cardiff and Vale University Health Board</w:t>
            </w:r>
            <w:r w:rsidR="00853554">
              <w:rPr>
                <w:webHidden/>
              </w:rPr>
              <w:tab/>
            </w:r>
            <w:r w:rsidR="00853554">
              <w:rPr>
                <w:webHidden/>
              </w:rPr>
              <w:fldChar w:fldCharType="begin"/>
            </w:r>
            <w:r w:rsidR="00853554">
              <w:rPr>
                <w:webHidden/>
              </w:rPr>
              <w:instrText xml:space="preserve"> PAGEREF _Toc81585095 \h </w:instrText>
            </w:r>
            <w:r w:rsidR="00853554">
              <w:rPr>
                <w:webHidden/>
              </w:rPr>
            </w:r>
            <w:r w:rsidR="00853554">
              <w:rPr>
                <w:webHidden/>
              </w:rPr>
              <w:fldChar w:fldCharType="separate"/>
            </w:r>
            <w:r w:rsidR="00853554">
              <w:rPr>
                <w:webHidden/>
              </w:rPr>
              <w:t>58</w:t>
            </w:r>
            <w:r w:rsidR="00853554">
              <w:rPr>
                <w:webHidden/>
              </w:rPr>
              <w:fldChar w:fldCharType="end"/>
            </w:r>
          </w:hyperlink>
        </w:p>
        <w:p w14:paraId="354979C4" w14:textId="7BF81980" w:rsidR="00853554" w:rsidRDefault="005670EB">
          <w:pPr>
            <w:pStyle w:val="TOC1"/>
            <w:rPr>
              <w:rFonts w:asciiTheme="minorHAnsi" w:eastAsiaTheme="minorEastAsia" w:hAnsiTheme="minorHAnsi" w:cstheme="minorBidi"/>
              <w:sz w:val="22"/>
              <w:szCs w:val="22"/>
              <w:lang w:eastAsia="en-GB"/>
            </w:rPr>
          </w:pPr>
          <w:hyperlink w:anchor="_Toc81585097" w:history="1">
            <w:r w:rsidR="00853554" w:rsidRPr="008A75E0">
              <w:rPr>
                <w:rStyle w:val="Hyperlink"/>
              </w:rPr>
              <w:t>4 Identified patient groups – particular health issues</w:t>
            </w:r>
            <w:r w:rsidR="00853554">
              <w:rPr>
                <w:webHidden/>
              </w:rPr>
              <w:tab/>
            </w:r>
            <w:r w:rsidR="00853554">
              <w:rPr>
                <w:webHidden/>
              </w:rPr>
              <w:fldChar w:fldCharType="begin"/>
            </w:r>
            <w:r w:rsidR="00853554">
              <w:rPr>
                <w:webHidden/>
              </w:rPr>
              <w:instrText xml:space="preserve"> PAGEREF _Toc81585097 \h </w:instrText>
            </w:r>
            <w:r w:rsidR="00853554">
              <w:rPr>
                <w:webHidden/>
              </w:rPr>
            </w:r>
            <w:r w:rsidR="00853554">
              <w:rPr>
                <w:webHidden/>
              </w:rPr>
              <w:fldChar w:fldCharType="separate"/>
            </w:r>
            <w:r w:rsidR="00853554">
              <w:rPr>
                <w:webHidden/>
              </w:rPr>
              <w:t>79</w:t>
            </w:r>
            <w:r w:rsidR="00853554">
              <w:rPr>
                <w:webHidden/>
              </w:rPr>
              <w:fldChar w:fldCharType="end"/>
            </w:r>
          </w:hyperlink>
        </w:p>
        <w:p w14:paraId="1A3C2988" w14:textId="612FC1B1" w:rsidR="00853554" w:rsidRPr="00853554" w:rsidRDefault="005670EB" w:rsidP="00853554">
          <w:pPr>
            <w:pStyle w:val="TOC1"/>
            <w:rPr>
              <w:rFonts w:asciiTheme="minorHAnsi" w:eastAsiaTheme="minorEastAsia" w:hAnsiTheme="minorHAnsi" w:cstheme="minorBidi"/>
              <w:sz w:val="22"/>
              <w:szCs w:val="22"/>
              <w:lang w:eastAsia="en-GB"/>
            </w:rPr>
          </w:pPr>
          <w:hyperlink w:anchor="_Toc81585098" w:history="1">
            <w:r w:rsidR="00853554" w:rsidRPr="008A75E0">
              <w:rPr>
                <w:rStyle w:val="Hyperlink"/>
              </w:rPr>
              <w:t>5 Provision of pharmaceutical services</w:t>
            </w:r>
            <w:r w:rsidR="00853554">
              <w:rPr>
                <w:webHidden/>
              </w:rPr>
              <w:tab/>
            </w:r>
            <w:r w:rsidR="00853554">
              <w:rPr>
                <w:webHidden/>
              </w:rPr>
              <w:fldChar w:fldCharType="begin"/>
            </w:r>
            <w:r w:rsidR="00853554">
              <w:rPr>
                <w:webHidden/>
              </w:rPr>
              <w:instrText xml:space="preserve"> PAGEREF _Toc81585098 \h </w:instrText>
            </w:r>
            <w:r w:rsidR="00853554">
              <w:rPr>
                <w:webHidden/>
              </w:rPr>
            </w:r>
            <w:r w:rsidR="00853554">
              <w:rPr>
                <w:webHidden/>
              </w:rPr>
              <w:fldChar w:fldCharType="separate"/>
            </w:r>
            <w:r w:rsidR="00853554">
              <w:rPr>
                <w:webHidden/>
              </w:rPr>
              <w:t>94</w:t>
            </w:r>
            <w:r w:rsidR="00853554">
              <w:rPr>
                <w:webHidden/>
              </w:rPr>
              <w:fldChar w:fldCharType="end"/>
            </w:r>
          </w:hyperlink>
        </w:p>
        <w:p w14:paraId="11120F04" w14:textId="61CF0666" w:rsidR="00853554" w:rsidRDefault="005670EB">
          <w:pPr>
            <w:pStyle w:val="TOC1"/>
            <w:rPr>
              <w:rFonts w:asciiTheme="minorHAnsi" w:eastAsiaTheme="minorEastAsia" w:hAnsiTheme="minorHAnsi" w:cstheme="minorBidi"/>
              <w:sz w:val="22"/>
              <w:szCs w:val="22"/>
              <w:lang w:eastAsia="en-GB"/>
            </w:rPr>
          </w:pPr>
          <w:hyperlink w:anchor="_Toc81585100" w:history="1">
            <w:r w:rsidR="00853554" w:rsidRPr="008A75E0">
              <w:rPr>
                <w:rStyle w:val="Hyperlink"/>
              </w:rPr>
              <w:t>6 Other NHS services</w:t>
            </w:r>
            <w:r w:rsidR="00853554">
              <w:rPr>
                <w:webHidden/>
              </w:rPr>
              <w:tab/>
            </w:r>
            <w:r w:rsidR="00853554">
              <w:rPr>
                <w:webHidden/>
              </w:rPr>
              <w:fldChar w:fldCharType="begin"/>
            </w:r>
            <w:r w:rsidR="00853554">
              <w:rPr>
                <w:webHidden/>
              </w:rPr>
              <w:instrText xml:space="preserve"> PAGEREF _Toc81585100 \h </w:instrText>
            </w:r>
            <w:r w:rsidR="00853554">
              <w:rPr>
                <w:webHidden/>
              </w:rPr>
            </w:r>
            <w:r w:rsidR="00853554">
              <w:rPr>
                <w:webHidden/>
              </w:rPr>
              <w:fldChar w:fldCharType="separate"/>
            </w:r>
            <w:r w:rsidR="00853554">
              <w:rPr>
                <w:webHidden/>
              </w:rPr>
              <w:t>132</w:t>
            </w:r>
            <w:r w:rsidR="00853554">
              <w:rPr>
                <w:webHidden/>
              </w:rPr>
              <w:fldChar w:fldCharType="end"/>
            </w:r>
          </w:hyperlink>
        </w:p>
        <w:p w14:paraId="7CD6C04D" w14:textId="43CB436F" w:rsidR="00853554" w:rsidRDefault="005670EB">
          <w:pPr>
            <w:pStyle w:val="TOC1"/>
            <w:rPr>
              <w:rFonts w:asciiTheme="minorHAnsi" w:eastAsiaTheme="minorEastAsia" w:hAnsiTheme="minorHAnsi" w:cstheme="minorBidi"/>
              <w:sz w:val="22"/>
              <w:szCs w:val="22"/>
              <w:lang w:eastAsia="en-GB"/>
            </w:rPr>
          </w:pPr>
          <w:hyperlink w:anchor="_Toc81585101" w:history="1">
            <w:r w:rsidR="00853554" w:rsidRPr="008A75E0">
              <w:rPr>
                <w:rStyle w:val="Hyperlink"/>
              </w:rPr>
              <w:t>7 Health needs that can be met by pharmaceutical services</w:t>
            </w:r>
            <w:r w:rsidR="00853554">
              <w:rPr>
                <w:webHidden/>
              </w:rPr>
              <w:tab/>
            </w:r>
            <w:r w:rsidR="00853554">
              <w:rPr>
                <w:webHidden/>
              </w:rPr>
              <w:fldChar w:fldCharType="begin"/>
            </w:r>
            <w:r w:rsidR="00853554">
              <w:rPr>
                <w:webHidden/>
              </w:rPr>
              <w:instrText xml:space="preserve"> PAGEREF _Toc81585101 \h </w:instrText>
            </w:r>
            <w:r w:rsidR="00853554">
              <w:rPr>
                <w:webHidden/>
              </w:rPr>
            </w:r>
            <w:r w:rsidR="00853554">
              <w:rPr>
                <w:webHidden/>
              </w:rPr>
              <w:fldChar w:fldCharType="separate"/>
            </w:r>
            <w:r w:rsidR="00853554">
              <w:rPr>
                <w:webHidden/>
              </w:rPr>
              <w:t>138</w:t>
            </w:r>
            <w:r w:rsidR="00853554">
              <w:rPr>
                <w:webHidden/>
              </w:rPr>
              <w:fldChar w:fldCharType="end"/>
            </w:r>
          </w:hyperlink>
        </w:p>
        <w:p w14:paraId="559C3E7C" w14:textId="1A76E401" w:rsidR="00853554" w:rsidRDefault="005670EB">
          <w:pPr>
            <w:pStyle w:val="TOC1"/>
            <w:rPr>
              <w:rFonts w:asciiTheme="minorHAnsi" w:eastAsiaTheme="minorEastAsia" w:hAnsiTheme="minorHAnsi" w:cstheme="minorBidi"/>
              <w:sz w:val="22"/>
              <w:szCs w:val="22"/>
              <w:lang w:eastAsia="en-GB"/>
            </w:rPr>
          </w:pPr>
          <w:hyperlink w:anchor="_Toc81585102" w:history="1">
            <w:r w:rsidR="00853554" w:rsidRPr="008A75E0">
              <w:rPr>
                <w:rStyle w:val="Hyperlink"/>
              </w:rPr>
              <w:t>8 Cardiff East cluster</w:t>
            </w:r>
            <w:r w:rsidR="00853554">
              <w:rPr>
                <w:webHidden/>
              </w:rPr>
              <w:tab/>
            </w:r>
            <w:r w:rsidR="00853554">
              <w:rPr>
                <w:webHidden/>
              </w:rPr>
              <w:fldChar w:fldCharType="begin"/>
            </w:r>
            <w:r w:rsidR="00853554">
              <w:rPr>
                <w:webHidden/>
              </w:rPr>
              <w:instrText xml:space="preserve"> PAGEREF _Toc81585102 \h </w:instrText>
            </w:r>
            <w:r w:rsidR="00853554">
              <w:rPr>
                <w:webHidden/>
              </w:rPr>
            </w:r>
            <w:r w:rsidR="00853554">
              <w:rPr>
                <w:webHidden/>
              </w:rPr>
              <w:fldChar w:fldCharType="separate"/>
            </w:r>
            <w:r w:rsidR="00853554">
              <w:rPr>
                <w:webHidden/>
              </w:rPr>
              <w:t>144</w:t>
            </w:r>
            <w:r w:rsidR="00853554">
              <w:rPr>
                <w:webHidden/>
              </w:rPr>
              <w:fldChar w:fldCharType="end"/>
            </w:r>
          </w:hyperlink>
        </w:p>
        <w:p w14:paraId="66160644" w14:textId="04587923" w:rsidR="00853554" w:rsidRDefault="005670EB">
          <w:pPr>
            <w:pStyle w:val="TOC1"/>
            <w:rPr>
              <w:rFonts w:asciiTheme="minorHAnsi" w:eastAsiaTheme="minorEastAsia" w:hAnsiTheme="minorHAnsi" w:cstheme="minorBidi"/>
              <w:sz w:val="22"/>
              <w:szCs w:val="22"/>
              <w:lang w:eastAsia="en-GB"/>
            </w:rPr>
          </w:pPr>
          <w:hyperlink w:anchor="_Toc81585103" w:history="1">
            <w:r w:rsidR="00853554" w:rsidRPr="008A75E0">
              <w:rPr>
                <w:rStyle w:val="Hyperlink"/>
              </w:rPr>
              <w:t>9 Cardiff South East cluster</w:t>
            </w:r>
            <w:r w:rsidR="00853554">
              <w:rPr>
                <w:webHidden/>
              </w:rPr>
              <w:tab/>
            </w:r>
            <w:r w:rsidR="00853554">
              <w:rPr>
                <w:webHidden/>
              </w:rPr>
              <w:fldChar w:fldCharType="begin"/>
            </w:r>
            <w:r w:rsidR="00853554">
              <w:rPr>
                <w:webHidden/>
              </w:rPr>
              <w:instrText xml:space="preserve"> PAGEREF _Toc81585103 \h </w:instrText>
            </w:r>
            <w:r w:rsidR="00853554">
              <w:rPr>
                <w:webHidden/>
              </w:rPr>
            </w:r>
            <w:r w:rsidR="00853554">
              <w:rPr>
                <w:webHidden/>
              </w:rPr>
              <w:fldChar w:fldCharType="separate"/>
            </w:r>
            <w:r w:rsidR="00853554">
              <w:rPr>
                <w:webHidden/>
              </w:rPr>
              <w:t>154</w:t>
            </w:r>
            <w:r w:rsidR="00853554">
              <w:rPr>
                <w:webHidden/>
              </w:rPr>
              <w:fldChar w:fldCharType="end"/>
            </w:r>
          </w:hyperlink>
        </w:p>
        <w:p w14:paraId="75FB5C21" w14:textId="1E9B7A18" w:rsidR="00853554" w:rsidRDefault="005670EB">
          <w:pPr>
            <w:pStyle w:val="TOC1"/>
            <w:rPr>
              <w:rFonts w:asciiTheme="minorHAnsi" w:eastAsiaTheme="minorEastAsia" w:hAnsiTheme="minorHAnsi" w:cstheme="minorBidi"/>
              <w:sz w:val="22"/>
              <w:szCs w:val="22"/>
              <w:lang w:eastAsia="en-GB"/>
            </w:rPr>
          </w:pPr>
          <w:hyperlink w:anchor="_Toc81585104" w:history="1">
            <w:r w:rsidR="00853554" w:rsidRPr="008A75E0">
              <w:rPr>
                <w:rStyle w:val="Hyperlink"/>
              </w:rPr>
              <w:t>10 Cardiff City and South cluster</w:t>
            </w:r>
            <w:r w:rsidR="00853554">
              <w:rPr>
                <w:webHidden/>
              </w:rPr>
              <w:tab/>
            </w:r>
            <w:r w:rsidR="00853554">
              <w:rPr>
                <w:webHidden/>
              </w:rPr>
              <w:fldChar w:fldCharType="begin"/>
            </w:r>
            <w:r w:rsidR="00853554">
              <w:rPr>
                <w:webHidden/>
              </w:rPr>
              <w:instrText xml:space="preserve"> PAGEREF _Toc81585104 \h </w:instrText>
            </w:r>
            <w:r w:rsidR="00853554">
              <w:rPr>
                <w:webHidden/>
              </w:rPr>
            </w:r>
            <w:r w:rsidR="00853554">
              <w:rPr>
                <w:webHidden/>
              </w:rPr>
              <w:fldChar w:fldCharType="separate"/>
            </w:r>
            <w:r w:rsidR="00853554">
              <w:rPr>
                <w:webHidden/>
              </w:rPr>
              <w:t>165</w:t>
            </w:r>
            <w:r w:rsidR="00853554">
              <w:rPr>
                <w:webHidden/>
              </w:rPr>
              <w:fldChar w:fldCharType="end"/>
            </w:r>
          </w:hyperlink>
        </w:p>
        <w:p w14:paraId="470A60BD" w14:textId="32D9F0EC" w:rsidR="00853554" w:rsidRDefault="005670EB">
          <w:pPr>
            <w:pStyle w:val="TOC1"/>
            <w:rPr>
              <w:rFonts w:asciiTheme="minorHAnsi" w:eastAsiaTheme="minorEastAsia" w:hAnsiTheme="minorHAnsi" w:cstheme="minorBidi"/>
              <w:sz w:val="22"/>
              <w:szCs w:val="22"/>
              <w:lang w:eastAsia="en-GB"/>
            </w:rPr>
          </w:pPr>
          <w:hyperlink w:anchor="_Toc81585105" w:history="1">
            <w:r w:rsidR="00853554" w:rsidRPr="008A75E0">
              <w:rPr>
                <w:rStyle w:val="Hyperlink"/>
              </w:rPr>
              <w:t>11 Cardiff North cluster</w:t>
            </w:r>
            <w:r w:rsidR="00853554">
              <w:rPr>
                <w:webHidden/>
              </w:rPr>
              <w:tab/>
            </w:r>
            <w:r w:rsidR="00853554">
              <w:rPr>
                <w:webHidden/>
              </w:rPr>
              <w:fldChar w:fldCharType="begin"/>
            </w:r>
            <w:r w:rsidR="00853554">
              <w:rPr>
                <w:webHidden/>
              </w:rPr>
              <w:instrText xml:space="preserve"> PAGEREF _Toc81585105 \h </w:instrText>
            </w:r>
            <w:r w:rsidR="00853554">
              <w:rPr>
                <w:webHidden/>
              </w:rPr>
            </w:r>
            <w:r w:rsidR="00853554">
              <w:rPr>
                <w:webHidden/>
              </w:rPr>
              <w:fldChar w:fldCharType="separate"/>
            </w:r>
            <w:r w:rsidR="00853554">
              <w:rPr>
                <w:webHidden/>
              </w:rPr>
              <w:t>176</w:t>
            </w:r>
            <w:r w:rsidR="00853554">
              <w:rPr>
                <w:webHidden/>
              </w:rPr>
              <w:fldChar w:fldCharType="end"/>
            </w:r>
          </w:hyperlink>
        </w:p>
        <w:p w14:paraId="742E0B26" w14:textId="06944A49" w:rsidR="00853554" w:rsidRDefault="005670EB">
          <w:pPr>
            <w:pStyle w:val="TOC1"/>
            <w:rPr>
              <w:rFonts w:asciiTheme="minorHAnsi" w:eastAsiaTheme="minorEastAsia" w:hAnsiTheme="minorHAnsi" w:cstheme="minorBidi"/>
              <w:sz w:val="22"/>
              <w:szCs w:val="22"/>
              <w:lang w:eastAsia="en-GB"/>
            </w:rPr>
          </w:pPr>
          <w:hyperlink w:anchor="_Toc81585106" w:history="1">
            <w:r w:rsidR="00853554" w:rsidRPr="008A75E0">
              <w:rPr>
                <w:rStyle w:val="Hyperlink"/>
              </w:rPr>
              <w:t>12 Cardiff South West cluster</w:t>
            </w:r>
            <w:r w:rsidR="00853554">
              <w:rPr>
                <w:webHidden/>
              </w:rPr>
              <w:tab/>
            </w:r>
            <w:r w:rsidR="00853554">
              <w:rPr>
                <w:webHidden/>
              </w:rPr>
              <w:fldChar w:fldCharType="begin"/>
            </w:r>
            <w:r w:rsidR="00853554">
              <w:rPr>
                <w:webHidden/>
              </w:rPr>
              <w:instrText xml:space="preserve"> PAGEREF _Toc81585106 \h </w:instrText>
            </w:r>
            <w:r w:rsidR="00853554">
              <w:rPr>
                <w:webHidden/>
              </w:rPr>
            </w:r>
            <w:r w:rsidR="00853554">
              <w:rPr>
                <w:webHidden/>
              </w:rPr>
              <w:fldChar w:fldCharType="separate"/>
            </w:r>
            <w:r w:rsidR="00853554">
              <w:rPr>
                <w:webHidden/>
              </w:rPr>
              <w:t>189</w:t>
            </w:r>
            <w:r w:rsidR="00853554">
              <w:rPr>
                <w:webHidden/>
              </w:rPr>
              <w:fldChar w:fldCharType="end"/>
            </w:r>
          </w:hyperlink>
        </w:p>
        <w:p w14:paraId="256E9E80" w14:textId="50E5CF7B" w:rsidR="00853554" w:rsidRDefault="005670EB">
          <w:pPr>
            <w:pStyle w:val="TOC1"/>
            <w:rPr>
              <w:rFonts w:asciiTheme="minorHAnsi" w:eastAsiaTheme="minorEastAsia" w:hAnsiTheme="minorHAnsi" w:cstheme="minorBidi"/>
              <w:sz w:val="22"/>
              <w:szCs w:val="22"/>
              <w:lang w:eastAsia="en-GB"/>
            </w:rPr>
          </w:pPr>
          <w:hyperlink w:anchor="_Toc81585107" w:history="1">
            <w:r w:rsidR="00853554" w:rsidRPr="008A75E0">
              <w:rPr>
                <w:rStyle w:val="Hyperlink"/>
              </w:rPr>
              <w:t>13 Cardiff West cluster</w:t>
            </w:r>
            <w:r w:rsidR="00853554">
              <w:rPr>
                <w:webHidden/>
              </w:rPr>
              <w:tab/>
            </w:r>
            <w:r w:rsidR="00853554">
              <w:rPr>
                <w:webHidden/>
              </w:rPr>
              <w:fldChar w:fldCharType="begin"/>
            </w:r>
            <w:r w:rsidR="00853554">
              <w:rPr>
                <w:webHidden/>
              </w:rPr>
              <w:instrText xml:space="preserve"> PAGEREF _Toc81585107 \h </w:instrText>
            </w:r>
            <w:r w:rsidR="00853554">
              <w:rPr>
                <w:webHidden/>
              </w:rPr>
            </w:r>
            <w:r w:rsidR="00853554">
              <w:rPr>
                <w:webHidden/>
              </w:rPr>
              <w:fldChar w:fldCharType="separate"/>
            </w:r>
            <w:r w:rsidR="00853554">
              <w:rPr>
                <w:webHidden/>
              </w:rPr>
              <w:t>199</w:t>
            </w:r>
            <w:r w:rsidR="00853554">
              <w:rPr>
                <w:webHidden/>
              </w:rPr>
              <w:fldChar w:fldCharType="end"/>
            </w:r>
          </w:hyperlink>
        </w:p>
        <w:p w14:paraId="1FC36B58" w14:textId="386DF7FF" w:rsidR="00853554" w:rsidRDefault="005670EB">
          <w:pPr>
            <w:pStyle w:val="TOC1"/>
            <w:rPr>
              <w:rFonts w:asciiTheme="minorHAnsi" w:eastAsiaTheme="minorEastAsia" w:hAnsiTheme="minorHAnsi" w:cstheme="minorBidi"/>
              <w:sz w:val="22"/>
              <w:szCs w:val="22"/>
              <w:lang w:eastAsia="en-GB"/>
            </w:rPr>
          </w:pPr>
          <w:hyperlink w:anchor="_Toc81585108" w:history="1">
            <w:r w:rsidR="00853554" w:rsidRPr="008A75E0">
              <w:rPr>
                <w:rStyle w:val="Hyperlink"/>
              </w:rPr>
              <w:t>14 Central Vale cluster</w:t>
            </w:r>
            <w:r w:rsidR="00853554">
              <w:rPr>
                <w:webHidden/>
              </w:rPr>
              <w:tab/>
            </w:r>
            <w:r w:rsidR="00853554">
              <w:rPr>
                <w:webHidden/>
              </w:rPr>
              <w:fldChar w:fldCharType="begin"/>
            </w:r>
            <w:r w:rsidR="00853554">
              <w:rPr>
                <w:webHidden/>
              </w:rPr>
              <w:instrText xml:space="preserve"> PAGEREF _Toc81585108 \h </w:instrText>
            </w:r>
            <w:r w:rsidR="00853554">
              <w:rPr>
                <w:webHidden/>
              </w:rPr>
            </w:r>
            <w:r w:rsidR="00853554">
              <w:rPr>
                <w:webHidden/>
              </w:rPr>
              <w:fldChar w:fldCharType="separate"/>
            </w:r>
            <w:r w:rsidR="00853554">
              <w:rPr>
                <w:webHidden/>
              </w:rPr>
              <w:t>211</w:t>
            </w:r>
            <w:r w:rsidR="00853554">
              <w:rPr>
                <w:webHidden/>
              </w:rPr>
              <w:fldChar w:fldCharType="end"/>
            </w:r>
          </w:hyperlink>
        </w:p>
        <w:p w14:paraId="59A4DE8E" w14:textId="54681F67" w:rsidR="00853554" w:rsidRDefault="005670EB">
          <w:pPr>
            <w:pStyle w:val="TOC1"/>
            <w:rPr>
              <w:rFonts w:asciiTheme="minorHAnsi" w:eastAsiaTheme="minorEastAsia" w:hAnsiTheme="minorHAnsi" w:cstheme="minorBidi"/>
              <w:sz w:val="22"/>
              <w:szCs w:val="22"/>
              <w:lang w:eastAsia="en-GB"/>
            </w:rPr>
          </w:pPr>
          <w:hyperlink w:anchor="_Toc81585109" w:history="1">
            <w:r w:rsidR="00853554" w:rsidRPr="008A75E0">
              <w:rPr>
                <w:rStyle w:val="Hyperlink"/>
              </w:rPr>
              <w:t>15 Eastern Vale cluster</w:t>
            </w:r>
            <w:r w:rsidR="00853554">
              <w:rPr>
                <w:webHidden/>
              </w:rPr>
              <w:tab/>
            </w:r>
            <w:r w:rsidR="00853554">
              <w:rPr>
                <w:webHidden/>
              </w:rPr>
              <w:fldChar w:fldCharType="begin"/>
            </w:r>
            <w:r w:rsidR="00853554">
              <w:rPr>
                <w:webHidden/>
              </w:rPr>
              <w:instrText xml:space="preserve"> PAGEREF _Toc81585109 \h </w:instrText>
            </w:r>
            <w:r w:rsidR="00853554">
              <w:rPr>
                <w:webHidden/>
              </w:rPr>
            </w:r>
            <w:r w:rsidR="00853554">
              <w:rPr>
                <w:webHidden/>
              </w:rPr>
              <w:fldChar w:fldCharType="separate"/>
            </w:r>
            <w:r w:rsidR="00853554">
              <w:rPr>
                <w:webHidden/>
              </w:rPr>
              <w:t>223</w:t>
            </w:r>
            <w:r w:rsidR="00853554">
              <w:rPr>
                <w:webHidden/>
              </w:rPr>
              <w:fldChar w:fldCharType="end"/>
            </w:r>
          </w:hyperlink>
        </w:p>
        <w:p w14:paraId="24FAD331" w14:textId="6C3B58A1" w:rsidR="00853554" w:rsidRDefault="005670EB">
          <w:pPr>
            <w:pStyle w:val="TOC1"/>
            <w:rPr>
              <w:rFonts w:asciiTheme="minorHAnsi" w:eastAsiaTheme="minorEastAsia" w:hAnsiTheme="minorHAnsi" w:cstheme="minorBidi"/>
              <w:sz w:val="22"/>
              <w:szCs w:val="22"/>
              <w:lang w:eastAsia="en-GB"/>
            </w:rPr>
          </w:pPr>
          <w:hyperlink w:anchor="_Toc81585111" w:history="1">
            <w:r w:rsidR="00853554" w:rsidRPr="008A75E0">
              <w:rPr>
                <w:rStyle w:val="Hyperlink"/>
              </w:rPr>
              <w:t>16 Western Vale cluster</w:t>
            </w:r>
            <w:r w:rsidR="00853554">
              <w:rPr>
                <w:webHidden/>
              </w:rPr>
              <w:tab/>
            </w:r>
            <w:r w:rsidR="00853554">
              <w:rPr>
                <w:webHidden/>
              </w:rPr>
              <w:fldChar w:fldCharType="begin"/>
            </w:r>
            <w:r w:rsidR="00853554">
              <w:rPr>
                <w:webHidden/>
              </w:rPr>
              <w:instrText xml:space="preserve"> PAGEREF _Toc81585111 \h </w:instrText>
            </w:r>
            <w:r w:rsidR="00853554">
              <w:rPr>
                <w:webHidden/>
              </w:rPr>
            </w:r>
            <w:r w:rsidR="00853554">
              <w:rPr>
                <w:webHidden/>
              </w:rPr>
              <w:fldChar w:fldCharType="separate"/>
            </w:r>
            <w:r w:rsidR="00853554">
              <w:rPr>
                <w:webHidden/>
              </w:rPr>
              <w:t>233</w:t>
            </w:r>
            <w:r w:rsidR="00853554">
              <w:rPr>
                <w:webHidden/>
              </w:rPr>
              <w:fldChar w:fldCharType="end"/>
            </w:r>
          </w:hyperlink>
        </w:p>
        <w:p w14:paraId="4584BDF7" w14:textId="6BBD9E03" w:rsidR="00853554" w:rsidRDefault="005670EB">
          <w:pPr>
            <w:pStyle w:val="TOC1"/>
            <w:rPr>
              <w:rFonts w:asciiTheme="minorHAnsi" w:eastAsiaTheme="minorEastAsia" w:hAnsiTheme="minorHAnsi" w:cstheme="minorBidi"/>
              <w:sz w:val="22"/>
              <w:szCs w:val="22"/>
              <w:lang w:eastAsia="en-GB"/>
            </w:rPr>
          </w:pPr>
          <w:hyperlink w:anchor="_Toc81585112" w:history="1">
            <w:r w:rsidR="00853554" w:rsidRPr="008A75E0">
              <w:rPr>
                <w:rStyle w:val="Hyperlink"/>
              </w:rPr>
              <w:t>17 Conclusions for the purpose of schedule 1 of the NHS (Pharmaceutical Services) (Wales) Regulations 2020</w:t>
            </w:r>
            <w:r w:rsidR="00853554">
              <w:rPr>
                <w:webHidden/>
              </w:rPr>
              <w:tab/>
            </w:r>
            <w:r w:rsidR="00853554">
              <w:rPr>
                <w:webHidden/>
              </w:rPr>
              <w:fldChar w:fldCharType="begin"/>
            </w:r>
            <w:r w:rsidR="00853554">
              <w:rPr>
                <w:webHidden/>
              </w:rPr>
              <w:instrText xml:space="preserve"> PAGEREF _Toc81585112 \h </w:instrText>
            </w:r>
            <w:r w:rsidR="00853554">
              <w:rPr>
                <w:webHidden/>
              </w:rPr>
            </w:r>
            <w:r w:rsidR="00853554">
              <w:rPr>
                <w:webHidden/>
              </w:rPr>
              <w:fldChar w:fldCharType="separate"/>
            </w:r>
            <w:r w:rsidR="00853554">
              <w:rPr>
                <w:webHidden/>
              </w:rPr>
              <w:t>244</w:t>
            </w:r>
            <w:r w:rsidR="00853554">
              <w:rPr>
                <w:webHidden/>
              </w:rPr>
              <w:fldChar w:fldCharType="end"/>
            </w:r>
          </w:hyperlink>
        </w:p>
        <w:p w14:paraId="10788B4B" w14:textId="64439332" w:rsidR="00853554" w:rsidRDefault="005670EB">
          <w:pPr>
            <w:pStyle w:val="TOC1"/>
            <w:rPr>
              <w:rFonts w:asciiTheme="minorHAnsi" w:eastAsiaTheme="minorEastAsia" w:hAnsiTheme="minorHAnsi" w:cstheme="minorBidi"/>
              <w:sz w:val="22"/>
              <w:szCs w:val="22"/>
              <w:lang w:eastAsia="en-GB"/>
            </w:rPr>
          </w:pPr>
          <w:hyperlink w:anchor="_Toc81585113" w:history="1">
            <w:r w:rsidR="00853554" w:rsidRPr="008A75E0">
              <w:rPr>
                <w:rStyle w:val="Hyperlink"/>
              </w:rPr>
              <w:t>Appendix A – policy context and background papers</w:t>
            </w:r>
            <w:r w:rsidR="00853554">
              <w:rPr>
                <w:webHidden/>
              </w:rPr>
              <w:tab/>
            </w:r>
            <w:r w:rsidR="00853554">
              <w:rPr>
                <w:webHidden/>
              </w:rPr>
              <w:fldChar w:fldCharType="begin"/>
            </w:r>
            <w:r w:rsidR="00853554">
              <w:rPr>
                <w:webHidden/>
              </w:rPr>
              <w:instrText xml:space="preserve"> PAGEREF _Toc81585113 \h </w:instrText>
            </w:r>
            <w:r w:rsidR="00853554">
              <w:rPr>
                <w:webHidden/>
              </w:rPr>
            </w:r>
            <w:r w:rsidR="00853554">
              <w:rPr>
                <w:webHidden/>
              </w:rPr>
              <w:fldChar w:fldCharType="separate"/>
            </w:r>
            <w:r w:rsidR="00853554">
              <w:rPr>
                <w:webHidden/>
              </w:rPr>
              <w:t>251</w:t>
            </w:r>
            <w:r w:rsidR="00853554">
              <w:rPr>
                <w:webHidden/>
              </w:rPr>
              <w:fldChar w:fldCharType="end"/>
            </w:r>
          </w:hyperlink>
        </w:p>
        <w:p w14:paraId="7B84788F" w14:textId="45603E1F" w:rsidR="00853554" w:rsidRDefault="005670EB">
          <w:pPr>
            <w:pStyle w:val="TOC1"/>
            <w:rPr>
              <w:rFonts w:asciiTheme="minorHAnsi" w:eastAsiaTheme="minorEastAsia" w:hAnsiTheme="minorHAnsi" w:cstheme="minorBidi"/>
              <w:sz w:val="22"/>
              <w:szCs w:val="22"/>
              <w:lang w:eastAsia="en-GB"/>
            </w:rPr>
          </w:pPr>
          <w:hyperlink w:anchor="_Toc81585114" w:history="1">
            <w:r w:rsidR="00853554" w:rsidRPr="008A75E0">
              <w:rPr>
                <w:rStyle w:val="Hyperlink"/>
              </w:rPr>
              <w:t>Appendix B – essential services</w:t>
            </w:r>
            <w:r w:rsidR="00853554">
              <w:rPr>
                <w:webHidden/>
              </w:rPr>
              <w:tab/>
            </w:r>
            <w:r w:rsidR="00853554">
              <w:rPr>
                <w:webHidden/>
              </w:rPr>
              <w:fldChar w:fldCharType="begin"/>
            </w:r>
            <w:r w:rsidR="00853554">
              <w:rPr>
                <w:webHidden/>
              </w:rPr>
              <w:instrText xml:space="preserve"> PAGEREF _Toc81585114 \h </w:instrText>
            </w:r>
            <w:r w:rsidR="00853554">
              <w:rPr>
                <w:webHidden/>
              </w:rPr>
            </w:r>
            <w:r w:rsidR="00853554">
              <w:rPr>
                <w:webHidden/>
              </w:rPr>
              <w:fldChar w:fldCharType="separate"/>
            </w:r>
            <w:r w:rsidR="00853554">
              <w:rPr>
                <w:webHidden/>
              </w:rPr>
              <w:t>255</w:t>
            </w:r>
            <w:r w:rsidR="00853554">
              <w:rPr>
                <w:webHidden/>
              </w:rPr>
              <w:fldChar w:fldCharType="end"/>
            </w:r>
          </w:hyperlink>
        </w:p>
        <w:p w14:paraId="24120E9F" w14:textId="53DE4E1F" w:rsidR="00853554" w:rsidRDefault="005670EB">
          <w:pPr>
            <w:pStyle w:val="TOC1"/>
            <w:rPr>
              <w:rFonts w:asciiTheme="minorHAnsi" w:eastAsiaTheme="minorEastAsia" w:hAnsiTheme="minorHAnsi" w:cstheme="minorBidi"/>
              <w:sz w:val="22"/>
              <w:szCs w:val="22"/>
              <w:lang w:eastAsia="en-GB"/>
            </w:rPr>
          </w:pPr>
          <w:hyperlink w:anchor="_Toc81585115" w:history="1">
            <w:r w:rsidR="00853554" w:rsidRPr="008A75E0">
              <w:rPr>
                <w:rStyle w:val="Hyperlink"/>
              </w:rPr>
              <w:t>Appendix C – advanced services</w:t>
            </w:r>
            <w:r w:rsidR="00853554">
              <w:rPr>
                <w:webHidden/>
              </w:rPr>
              <w:tab/>
            </w:r>
            <w:r w:rsidR="00853554">
              <w:rPr>
                <w:webHidden/>
              </w:rPr>
              <w:fldChar w:fldCharType="begin"/>
            </w:r>
            <w:r w:rsidR="00853554">
              <w:rPr>
                <w:webHidden/>
              </w:rPr>
              <w:instrText xml:space="preserve"> PAGEREF _Toc81585115 \h </w:instrText>
            </w:r>
            <w:r w:rsidR="00853554">
              <w:rPr>
                <w:webHidden/>
              </w:rPr>
            </w:r>
            <w:r w:rsidR="00853554">
              <w:rPr>
                <w:webHidden/>
              </w:rPr>
              <w:fldChar w:fldCharType="separate"/>
            </w:r>
            <w:r w:rsidR="00853554">
              <w:rPr>
                <w:webHidden/>
              </w:rPr>
              <w:t>258</w:t>
            </w:r>
            <w:r w:rsidR="00853554">
              <w:rPr>
                <w:webHidden/>
              </w:rPr>
              <w:fldChar w:fldCharType="end"/>
            </w:r>
          </w:hyperlink>
        </w:p>
        <w:p w14:paraId="63C7A939" w14:textId="36AE9DDD" w:rsidR="00853554" w:rsidRDefault="005670EB">
          <w:pPr>
            <w:pStyle w:val="TOC1"/>
            <w:rPr>
              <w:rFonts w:asciiTheme="minorHAnsi" w:eastAsiaTheme="minorEastAsia" w:hAnsiTheme="minorHAnsi" w:cstheme="minorBidi"/>
              <w:sz w:val="22"/>
              <w:szCs w:val="22"/>
              <w:lang w:eastAsia="en-GB"/>
            </w:rPr>
          </w:pPr>
          <w:hyperlink w:anchor="_Toc81585116" w:history="1">
            <w:r w:rsidR="00853554" w:rsidRPr="008A75E0">
              <w:rPr>
                <w:rStyle w:val="Hyperlink"/>
              </w:rPr>
              <w:t>Appendix D – enhanced services</w:t>
            </w:r>
            <w:r w:rsidR="00853554">
              <w:rPr>
                <w:webHidden/>
              </w:rPr>
              <w:tab/>
            </w:r>
            <w:r w:rsidR="00853554">
              <w:rPr>
                <w:webHidden/>
              </w:rPr>
              <w:fldChar w:fldCharType="begin"/>
            </w:r>
            <w:r w:rsidR="00853554">
              <w:rPr>
                <w:webHidden/>
              </w:rPr>
              <w:instrText xml:space="preserve"> PAGEREF _Toc81585116 \h </w:instrText>
            </w:r>
            <w:r w:rsidR="00853554">
              <w:rPr>
                <w:webHidden/>
              </w:rPr>
            </w:r>
            <w:r w:rsidR="00853554">
              <w:rPr>
                <w:webHidden/>
              </w:rPr>
              <w:fldChar w:fldCharType="separate"/>
            </w:r>
            <w:r w:rsidR="00853554">
              <w:rPr>
                <w:webHidden/>
              </w:rPr>
              <w:t>260</w:t>
            </w:r>
            <w:r w:rsidR="00853554">
              <w:rPr>
                <w:webHidden/>
              </w:rPr>
              <w:fldChar w:fldCharType="end"/>
            </w:r>
          </w:hyperlink>
        </w:p>
        <w:p w14:paraId="7DB3EA23" w14:textId="4AA24E45" w:rsidR="00853554" w:rsidRDefault="005670EB">
          <w:pPr>
            <w:pStyle w:val="TOC1"/>
            <w:rPr>
              <w:rFonts w:asciiTheme="minorHAnsi" w:eastAsiaTheme="minorEastAsia" w:hAnsiTheme="minorHAnsi" w:cstheme="minorBidi"/>
              <w:sz w:val="22"/>
              <w:szCs w:val="22"/>
              <w:lang w:eastAsia="en-GB"/>
            </w:rPr>
          </w:pPr>
          <w:hyperlink w:anchor="_Toc81585117" w:history="1">
            <w:r w:rsidR="00853554" w:rsidRPr="008A75E0">
              <w:rPr>
                <w:rStyle w:val="Hyperlink"/>
              </w:rPr>
              <w:t>Appendix E – terms of service for dispensing appliance contractors</w:t>
            </w:r>
            <w:r w:rsidR="00853554">
              <w:rPr>
                <w:webHidden/>
              </w:rPr>
              <w:tab/>
            </w:r>
            <w:r w:rsidR="00853554">
              <w:rPr>
                <w:webHidden/>
              </w:rPr>
              <w:fldChar w:fldCharType="begin"/>
            </w:r>
            <w:r w:rsidR="00853554">
              <w:rPr>
                <w:webHidden/>
              </w:rPr>
              <w:instrText xml:space="preserve"> PAGEREF _Toc81585117 \h </w:instrText>
            </w:r>
            <w:r w:rsidR="00853554">
              <w:rPr>
                <w:webHidden/>
              </w:rPr>
            </w:r>
            <w:r w:rsidR="00853554">
              <w:rPr>
                <w:webHidden/>
              </w:rPr>
              <w:fldChar w:fldCharType="separate"/>
            </w:r>
            <w:r w:rsidR="00853554">
              <w:rPr>
                <w:webHidden/>
              </w:rPr>
              <w:t>263</w:t>
            </w:r>
            <w:r w:rsidR="00853554">
              <w:rPr>
                <w:webHidden/>
              </w:rPr>
              <w:fldChar w:fldCharType="end"/>
            </w:r>
          </w:hyperlink>
        </w:p>
        <w:p w14:paraId="7A2A3945" w14:textId="02BE6416" w:rsidR="00853554" w:rsidRDefault="005670EB">
          <w:pPr>
            <w:pStyle w:val="TOC1"/>
            <w:rPr>
              <w:rFonts w:asciiTheme="minorHAnsi" w:eastAsiaTheme="minorEastAsia" w:hAnsiTheme="minorHAnsi" w:cstheme="minorBidi"/>
              <w:sz w:val="22"/>
              <w:szCs w:val="22"/>
              <w:lang w:eastAsia="en-GB"/>
            </w:rPr>
          </w:pPr>
          <w:hyperlink w:anchor="_Toc81585118" w:history="1">
            <w:r w:rsidR="00853554" w:rsidRPr="008A75E0">
              <w:rPr>
                <w:rStyle w:val="Hyperlink"/>
              </w:rPr>
              <w:t>Appendix F – PNA steering group membership</w:t>
            </w:r>
            <w:r w:rsidR="00853554">
              <w:rPr>
                <w:webHidden/>
              </w:rPr>
              <w:tab/>
            </w:r>
            <w:r w:rsidR="00853554">
              <w:rPr>
                <w:webHidden/>
              </w:rPr>
              <w:fldChar w:fldCharType="begin"/>
            </w:r>
            <w:r w:rsidR="00853554">
              <w:rPr>
                <w:webHidden/>
              </w:rPr>
              <w:instrText xml:space="preserve"> PAGEREF _Toc81585118 \h </w:instrText>
            </w:r>
            <w:r w:rsidR="00853554">
              <w:rPr>
                <w:webHidden/>
              </w:rPr>
            </w:r>
            <w:r w:rsidR="00853554">
              <w:rPr>
                <w:webHidden/>
              </w:rPr>
              <w:fldChar w:fldCharType="separate"/>
            </w:r>
            <w:r w:rsidR="00853554">
              <w:rPr>
                <w:webHidden/>
              </w:rPr>
              <w:t>266</w:t>
            </w:r>
            <w:r w:rsidR="00853554">
              <w:rPr>
                <w:webHidden/>
              </w:rPr>
              <w:fldChar w:fldCharType="end"/>
            </w:r>
          </w:hyperlink>
        </w:p>
        <w:p w14:paraId="40E4164F" w14:textId="23A5CDEF" w:rsidR="00853554" w:rsidRDefault="005670EB">
          <w:pPr>
            <w:pStyle w:val="TOC1"/>
            <w:rPr>
              <w:rFonts w:asciiTheme="minorHAnsi" w:eastAsiaTheme="minorEastAsia" w:hAnsiTheme="minorHAnsi" w:cstheme="minorBidi"/>
              <w:sz w:val="22"/>
              <w:szCs w:val="22"/>
              <w:lang w:eastAsia="en-GB"/>
            </w:rPr>
          </w:pPr>
          <w:hyperlink w:anchor="_Toc81585119" w:history="1">
            <w:r w:rsidR="00853554" w:rsidRPr="008A75E0">
              <w:rPr>
                <w:rStyle w:val="Hyperlink"/>
              </w:rPr>
              <w:t>Appendix G – patient and public engagement survey</w:t>
            </w:r>
            <w:r w:rsidR="00853554">
              <w:rPr>
                <w:webHidden/>
              </w:rPr>
              <w:tab/>
            </w:r>
            <w:r w:rsidR="00853554">
              <w:rPr>
                <w:webHidden/>
              </w:rPr>
              <w:fldChar w:fldCharType="begin"/>
            </w:r>
            <w:r w:rsidR="00853554">
              <w:rPr>
                <w:webHidden/>
              </w:rPr>
              <w:instrText xml:space="preserve"> PAGEREF _Toc81585119 \h </w:instrText>
            </w:r>
            <w:r w:rsidR="00853554">
              <w:rPr>
                <w:webHidden/>
              </w:rPr>
            </w:r>
            <w:r w:rsidR="00853554">
              <w:rPr>
                <w:webHidden/>
              </w:rPr>
              <w:fldChar w:fldCharType="separate"/>
            </w:r>
            <w:r w:rsidR="00853554">
              <w:rPr>
                <w:webHidden/>
              </w:rPr>
              <w:t>267</w:t>
            </w:r>
            <w:r w:rsidR="00853554">
              <w:rPr>
                <w:webHidden/>
              </w:rPr>
              <w:fldChar w:fldCharType="end"/>
            </w:r>
          </w:hyperlink>
        </w:p>
        <w:p w14:paraId="0938B37D" w14:textId="09B46F2E" w:rsidR="00853554" w:rsidRDefault="005670EB">
          <w:pPr>
            <w:pStyle w:val="TOC1"/>
            <w:rPr>
              <w:rFonts w:asciiTheme="minorHAnsi" w:eastAsiaTheme="minorEastAsia" w:hAnsiTheme="minorHAnsi" w:cstheme="minorBidi"/>
              <w:sz w:val="22"/>
              <w:szCs w:val="22"/>
              <w:lang w:eastAsia="en-GB"/>
            </w:rPr>
          </w:pPr>
          <w:hyperlink w:anchor="_Toc81585120" w:history="1">
            <w:r w:rsidR="00853554" w:rsidRPr="008A75E0">
              <w:rPr>
                <w:rStyle w:val="Hyperlink"/>
              </w:rPr>
              <w:t>Appendix H – full results of the patient and public questionnaire</w:t>
            </w:r>
            <w:r w:rsidR="00853554">
              <w:rPr>
                <w:webHidden/>
              </w:rPr>
              <w:tab/>
            </w:r>
            <w:r w:rsidR="00853554">
              <w:rPr>
                <w:webHidden/>
              </w:rPr>
              <w:fldChar w:fldCharType="begin"/>
            </w:r>
            <w:r w:rsidR="00853554">
              <w:rPr>
                <w:webHidden/>
              </w:rPr>
              <w:instrText xml:space="preserve"> PAGEREF _Toc81585120 \h </w:instrText>
            </w:r>
            <w:r w:rsidR="00853554">
              <w:rPr>
                <w:webHidden/>
              </w:rPr>
            </w:r>
            <w:r w:rsidR="00853554">
              <w:rPr>
                <w:webHidden/>
              </w:rPr>
              <w:fldChar w:fldCharType="separate"/>
            </w:r>
            <w:r w:rsidR="00853554">
              <w:rPr>
                <w:webHidden/>
              </w:rPr>
              <w:t>276</w:t>
            </w:r>
            <w:r w:rsidR="00853554">
              <w:rPr>
                <w:webHidden/>
              </w:rPr>
              <w:fldChar w:fldCharType="end"/>
            </w:r>
          </w:hyperlink>
        </w:p>
        <w:p w14:paraId="5F4A6D44" w14:textId="004657C4" w:rsidR="00853554" w:rsidRDefault="005670EB">
          <w:pPr>
            <w:pStyle w:val="TOC1"/>
            <w:rPr>
              <w:rFonts w:asciiTheme="minorHAnsi" w:eastAsiaTheme="minorEastAsia" w:hAnsiTheme="minorHAnsi" w:cstheme="minorBidi"/>
              <w:sz w:val="22"/>
              <w:szCs w:val="22"/>
              <w:lang w:eastAsia="en-GB"/>
            </w:rPr>
          </w:pPr>
          <w:hyperlink w:anchor="_Toc81585121" w:history="1">
            <w:r w:rsidR="00853554" w:rsidRPr="008A75E0">
              <w:rPr>
                <w:rStyle w:val="Hyperlink"/>
              </w:rPr>
              <w:t>Appendix I – pharmacy contractor questionnaire</w:t>
            </w:r>
            <w:r w:rsidR="00853554">
              <w:rPr>
                <w:webHidden/>
              </w:rPr>
              <w:tab/>
            </w:r>
            <w:r w:rsidR="00853554">
              <w:rPr>
                <w:webHidden/>
              </w:rPr>
              <w:fldChar w:fldCharType="begin"/>
            </w:r>
            <w:r w:rsidR="00853554">
              <w:rPr>
                <w:webHidden/>
              </w:rPr>
              <w:instrText xml:space="preserve"> PAGEREF _Toc81585121 \h </w:instrText>
            </w:r>
            <w:r w:rsidR="00853554">
              <w:rPr>
                <w:webHidden/>
              </w:rPr>
            </w:r>
            <w:r w:rsidR="00853554">
              <w:rPr>
                <w:webHidden/>
              </w:rPr>
              <w:fldChar w:fldCharType="separate"/>
            </w:r>
            <w:r w:rsidR="00853554">
              <w:rPr>
                <w:webHidden/>
              </w:rPr>
              <w:t>301</w:t>
            </w:r>
            <w:r w:rsidR="00853554">
              <w:rPr>
                <w:webHidden/>
              </w:rPr>
              <w:fldChar w:fldCharType="end"/>
            </w:r>
          </w:hyperlink>
        </w:p>
        <w:p w14:paraId="454EC602" w14:textId="48D563C3" w:rsidR="00853554" w:rsidRDefault="005670EB">
          <w:pPr>
            <w:pStyle w:val="TOC1"/>
            <w:rPr>
              <w:rFonts w:asciiTheme="minorHAnsi" w:eastAsiaTheme="minorEastAsia" w:hAnsiTheme="minorHAnsi" w:cstheme="minorBidi"/>
              <w:sz w:val="22"/>
              <w:szCs w:val="22"/>
              <w:lang w:eastAsia="en-GB"/>
            </w:rPr>
          </w:pPr>
          <w:hyperlink w:anchor="_Toc81585122" w:history="1">
            <w:r w:rsidR="00853554" w:rsidRPr="008A75E0">
              <w:rPr>
                <w:rStyle w:val="Hyperlink"/>
              </w:rPr>
              <w:t>Appendix J – dispensing practice questionnaire</w:t>
            </w:r>
            <w:r w:rsidR="00853554">
              <w:rPr>
                <w:webHidden/>
              </w:rPr>
              <w:tab/>
            </w:r>
            <w:r w:rsidR="00853554">
              <w:rPr>
                <w:webHidden/>
              </w:rPr>
              <w:fldChar w:fldCharType="begin"/>
            </w:r>
            <w:r w:rsidR="00853554">
              <w:rPr>
                <w:webHidden/>
              </w:rPr>
              <w:instrText xml:space="preserve"> PAGEREF _Toc81585122 \h </w:instrText>
            </w:r>
            <w:r w:rsidR="00853554">
              <w:rPr>
                <w:webHidden/>
              </w:rPr>
            </w:r>
            <w:r w:rsidR="00853554">
              <w:rPr>
                <w:webHidden/>
              </w:rPr>
              <w:fldChar w:fldCharType="separate"/>
            </w:r>
            <w:r w:rsidR="00853554">
              <w:rPr>
                <w:webHidden/>
              </w:rPr>
              <w:t>304</w:t>
            </w:r>
            <w:r w:rsidR="00853554">
              <w:rPr>
                <w:webHidden/>
              </w:rPr>
              <w:fldChar w:fldCharType="end"/>
            </w:r>
          </w:hyperlink>
        </w:p>
        <w:p w14:paraId="7A0F21AD" w14:textId="4CCEC020" w:rsidR="00853554" w:rsidRDefault="005670EB">
          <w:pPr>
            <w:pStyle w:val="TOC1"/>
            <w:rPr>
              <w:rFonts w:asciiTheme="minorHAnsi" w:eastAsiaTheme="minorEastAsia" w:hAnsiTheme="minorHAnsi" w:cstheme="minorBidi"/>
              <w:sz w:val="22"/>
              <w:szCs w:val="22"/>
              <w:lang w:eastAsia="en-GB"/>
            </w:rPr>
          </w:pPr>
          <w:hyperlink w:anchor="_Toc81585123" w:history="1">
            <w:r w:rsidR="00853554" w:rsidRPr="008A75E0">
              <w:rPr>
                <w:rStyle w:val="Hyperlink"/>
              </w:rPr>
              <w:t>Appendix K – Consultation report</w:t>
            </w:r>
            <w:r w:rsidR="00853554">
              <w:rPr>
                <w:webHidden/>
              </w:rPr>
              <w:tab/>
            </w:r>
            <w:r w:rsidR="00853554">
              <w:rPr>
                <w:webHidden/>
              </w:rPr>
              <w:fldChar w:fldCharType="begin"/>
            </w:r>
            <w:r w:rsidR="00853554">
              <w:rPr>
                <w:webHidden/>
              </w:rPr>
              <w:instrText xml:space="preserve"> PAGEREF _Toc81585123 \h </w:instrText>
            </w:r>
            <w:r w:rsidR="00853554">
              <w:rPr>
                <w:webHidden/>
              </w:rPr>
            </w:r>
            <w:r w:rsidR="00853554">
              <w:rPr>
                <w:webHidden/>
              </w:rPr>
              <w:fldChar w:fldCharType="separate"/>
            </w:r>
            <w:r w:rsidR="00853554">
              <w:rPr>
                <w:webHidden/>
              </w:rPr>
              <w:t>307</w:t>
            </w:r>
            <w:r w:rsidR="00853554">
              <w:rPr>
                <w:webHidden/>
              </w:rPr>
              <w:fldChar w:fldCharType="end"/>
            </w:r>
          </w:hyperlink>
        </w:p>
        <w:p w14:paraId="318BD9B8" w14:textId="43C6791F" w:rsidR="00853554" w:rsidRDefault="005670EB">
          <w:pPr>
            <w:pStyle w:val="TOC1"/>
            <w:rPr>
              <w:rFonts w:asciiTheme="minorHAnsi" w:eastAsiaTheme="minorEastAsia" w:hAnsiTheme="minorHAnsi" w:cstheme="minorBidi"/>
              <w:sz w:val="22"/>
              <w:szCs w:val="22"/>
              <w:lang w:eastAsia="en-GB"/>
            </w:rPr>
          </w:pPr>
          <w:hyperlink w:anchor="_Toc81585124" w:history="1">
            <w:r w:rsidR="00853554" w:rsidRPr="008A75E0">
              <w:rPr>
                <w:rStyle w:val="Hyperlink"/>
              </w:rPr>
              <w:t>Appendix L – opening hours</w:t>
            </w:r>
            <w:r w:rsidR="00853554">
              <w:rPr>
                <w:webHidden/>
              </w:rPr>
              <w:tab/>
            </w:r>
            <w:r w:rsidR="00853554">
              <w:rPr>
                <w:webHidden/>
              </w:rPr>
              <w:fldChar w:fldCharType="begin"/>
            </w:r>
            <w:r w:rsidR="00853554">
              <w:rPr>
                <w:webHidden/>
              </w:rPr>
              <w:instrText xml:space="preserve"> PAGEREF _Toc81585124 \h </w:instrText>
            </w:r>
            <w:r w:rsidR="00853554">
              <w:rPr>
                <w:webHidden/>
              </w:rPr>
            </w:r>
            <w:r w:rsidR="00853554">
              <w:rPr>
                <w:webHidden/>
              </w:rPr>
              <w:fldChar w:fldCharType="separate"/>
            </w:r>
            <w:r w:rsidR="00853554">
              <w:rPr>
                <w:webHidden/>
              </w:rPr>
              <w:t>308</w:t>
            </w:r>
            <w:r w:rsidR="00853554">
              <w:rPr>
                <w:webHidden/>
              </w:rPr>
              <w:fldChar w:fldCharType="end"/>
            </w:r>
          </w:hyperlink>
        </w:p>
        <w:p w14:paraId="24661E2C" w14:textId="5D2C22A9" w:rsidR="009C23BC" w:rsidRPr="00A10850" w:rsidRDefault="009C23BC" w:rsidP="00DC54F7">
          <w:pPr>
            <w:spacing w:after="0" w:line="240" w:lineRule="auto"/>
            <w:jc w:val="both"/>
            <w:rPr>
              <w:rFonts w:ascii="Arial" w:hAnsi="Arial" w:cs="Arial"/>
            </w:rPr>
          </w:pPr>
          <w:r w:rsidRPr="0086741D">
            <w:rPr>
              <w:rFonts w:ascii="Arial" w:hAnsi="Arial" w:cs="Arial"/>
              <w:b/>
              <w:bCs/>
              <w:noProof/>
            </w:rPr>
            <w:fldChar w:fldCharType="end"/>
          </w:r>
        </w:p>
      </w:sdtContent>
    </w:sdt>
    <w:p w14:paraId="3A094AE2" w14:textId="01CE30B9" w:rsidR="00792E7B" w:rsidRPr="00550443" w:rsidRDefault="00D51789" w:rsidP="00DC54F7">
      <w:pPr>
        <w:spacing w:after="0" w:line="240" w:lineRule="auto"/>
        <w:jc w:val="both"/>
        <w:rPr>
          <w:rFonts w:ascii="Arial" w:eastAsiaTheme="majorEastAsia" w:hAnsi="Arial" w:cs="Arial"/>
          <w:b/>
          <w:bCs/>
          <w:color w:val="942D83"/>
          <w:sz w:val="28"/>
          <w:szCs w:val="28"/>
        </w:rPr>
      </w:pPr>
      <w:r w:rsidRPr="00A10850">
        <w:rPr>
          <w:rFonts w:ascii="Arial" w:hAnsi="Arial" w:cs="Arial"/>
          <w:color w:val="942D83"/>
        </w:rPr>
        <w:br w:type="page"/>
      </w:r>
      <w:r w:rsidR="00E23F28" w:rsidRPr="00AA6764">
        <w:rPr>
          <w:rFonts w:ascii="Arial" w:hAnsi="Arial" w:cs="Arial"/>
          <w:b/>
          <w:bCs/>
          <w:sz w:val="28"/>
          <w:szCs w:val="28"/>
        </w:rPr>
        <w:lastRenderedPageBreak/>
        <w:t>Executive summary</w:t>
      </w:r>
    </w:p>
    <w:p w14:paraId="521A2742" w14:textId="77777777" w:rsidR="00DC54F7" w:rsidRDefault="00DC54F7" w:rsidP="00DC54F7">
      <w:pPr>
        <w:spacing w:after="0" w:line="240" w:lineRule="auto"/>
        <w:jc w:val="both"/>
        <w:rPr>
          <w:rFonts w:ascii="Arial" w:hAnsi="Arial" w:cs="Arial"/>
          <w:sz w:val="24"/>
          <w:szCs w:val="24"/>
        </w:rPr>
      </w:pPr>
    </w:p>
    <w:p w14:paraId="3431A4AC" w14:textId="77777777" w:rsidR="00DC54F7" w:rsidRDefault="00DC54F7" w:rsidP="00DC54F7">
      <w:pPr>
        <w:spacing w:after="0" w:line="240" w:lineRule="auto"/>
        <w:jc w:val="both"/>
        <w:rPr>
          <w:rFonts w:ascii="Arial" w:hAnsi="Arial" w:cs="Arial"/>
          <w:sz w:val="24"/>
          <w:szCs w:val="24"/>
        </w:rPr>
      </w:pPr>
    </w:p>
    <w:p w14:paraId="494F1242" w14:textId="5060FF5E" w:rsidR="00DE5AD2" w:rsidRPr="00562C2A" w:rsidRDefault="002406CC" w:rsidP="00DC54F7">
      <w:pPr>
        <w:spacing w:after="0" w:line="240" w:lineRule="auto"/>
        <w:jc w:val="both"/>
        <w:rPr>
          <w:rFonts w:ascii="Arial" w:hAnsi="Arial" w:cs="Arial"/>
          <w:sz w:val="24"/>
          <w:szCs w:val="24"/>
        </w:rPr>
      </w:pPr>
      <w:r w:rsidRPr="00562C2A">
        <w:rPr>
          <w:rFonts w:ascii="Arial" w:hAnsi="Arial" w:cs="Arial"/>
          <w:sz w:val="24"/>
          <w:szCs w:val="24"/>
        </w:rPr>
        <w:t xml:space="preserve">The National Health Service (Pharmaceutical Services) (Wales) Regulations 2020 sets out the statutory duty placed upon each health board to prepare and publish a pharmaceutical needs </w:t>
      </w:r>
      <w:r w:rsidR="007C508F" w:rsidRPr="00562C2A">
        <w:rPr>
          <w:rFonts w:ascii="Arial" w:hAnsi="Arial" w:cs="Arial"/>
          <w:sz w:val="24"/>
          <w:szCs w:val="24"/>
        </w:rPr>
        <w:t>a</w:t>
      </w:r>
      <w:r w:rsidRPr="00562C2A">
        <w:rPr>
          <w:rFonts w:ascii="Arial" w:hAnsi="Arial" w:cs="Arial"/>
          <w:sz w:val="24"/>
          <w:szCs w:val="24"/>
        </w:rPr>
        <w:t xml:space="preserve">ssessment (PNA) by 1st October 2021. </w:t>
      </w:r>
      <w:r w:rsidR="00DE5AD2" w:rsidRPr="00562C2A">
        <w:rPr>
          <w:rFonts w:ascii="Arial" w:hAnsi="Arial" w:cs="Arial"/>
          <w:sz w:val="24"/>
          <w:szCs w:val="24"/>
        </w:rPr>
        <w:t xml:space="preserve">The purpose of the PNA is to improve the planning and delivery of pharmaceutical services in Cardiff and Vale </w:t>
      </w:r>
      <w:r w:rsidR="00DE5AD2" w:rsidRPr="00562C2A">
        <w:rPr>
          <w:rFonts w:ascii="Arial" w:hAnsi="Arial" w:cs="Arial"/>
          <w:color w:val="000000"/>
          <w:sz w:val="24"/>
          <w:szCs w:val="24"/>
        </w:rPr>
        <w:t xml:space="preserve">University Health Board by considering the </w:t>
      </w:r>
      <w:r w:rsidR="00DE5AD2" w:rsidRPr="00562C2A">
        <w:rPr>
          <w:rFonts w:ascii="Arial" w:hAnsi="Arial" w:cs="Arial"/>
          <w:sz w:val="24"/>
          <w:szCs w:val="24"/>
        </w:rPr>
        <w:t>pharmaceutical needs of the population and aligning services more closely with them. It will allow for improvement in the quality and consistency of pharmaceutical services across the health board’s area. Furthermore, it will be used to determine whether to approve applications for the opening of new pharmacies</w:t>
      </w:r>
      <w:r w:rsidR="00322801" w:rsidRPr="00562C2A">
        <w:rPr>
          <w:rFonts w:ascii="Arial" w:hAnsi="Arial" w:cs="Arial"/>
          <w:sz w:val="24"/>
          <w:szCs w:val="24"/>
        </w:rPr>
        <w:t>, appliance contractors</w:t>
      </w:r>
      <w:r w:rsidR="00DE5AD2" w:rsidRPr="00562C2A">
        <w:rPr>
          <w:rFonts w:ascii="Arial" w:hAnsi="Arial" w:cs="Arial"/>
          <w:sz w:val="24"/>
          <w:szCs w:val="24"/>
        </w:rPr>
        <w:t xml:space="preserve"> and dispensing doctor practices,</w:t>
      </w:r>
      <w:r w:rsidR="00CA32AE" w:rsidRPr="00562C2A">
        <w:rPr>
          <w:rFonts w:ascii="Arial" w:hAnsi="Arial" w:cs="Arial"/>
          <w:sz w:val="24"/>
          <w:szCs w:val="24"/>
        </w:rPr>
        <w:t xml:space="preserve"> based on current and future needs that have been identified in the health board’s PNA, as well as applications to change existing services</w:t>
      </w:r>
      <w:r w:rsidR="00DE5AD2" w:rsidRPr="00562C2A">
        <w:rPr>
          <w:rFonts w:ascii="Arial" w:hAnsi="Arial" w:cs="Arial"/>
          <w:sz w:val="24"/>
          <w:szCs w:val="24"/>
        </w:rPr>
        <w:t>.</w:t>
      </w:r>
    </w:p>
    <w:p w14:paraId="797C4185" w14:textId="77777777" w:rsidR="00DE5AD2" w:rsidRPr="00562C2A" w:rsidRDefault="00DE5AD2" w:rsidP="00DC54F7">
      <w:pPr>
        <w:spacing w:after="0" w:line="240" w:lineRule="auto"/>
        <w:jc w:val="both"/>
        <w:rPr>
          <w:sz w:val="24"/>
          <w:szCs w:val="24"/>
        </w:rPr>
      </w:pPr>
    </w:p>
    <w:p w14:paraId="2EEA7976" w14:textId="65C837C1" w:rsidR="00DE5AD2" w:rsidRPr="00562C2A" w:rsidRDefault="00DE5AD2" w:rsidP="00DC54F7">
      <w:pPr>
        <w:spacing w:after="0" w:line="240" w:lineRule="auto"/>
        <w:jc w:val="both"/>
        <w:rPr>
          <w:rFonts w:ascii="Arial" w:hAnsi="Arial" w:cs="Arial"/>
          <w:sz w:val="24"/>
          <w:szCs w:val="24"/>
        </w:rPr>
      </w:pPr>
      <w:r w:rsidRPr="00562C2A">
        <w:rPr>
          <w:rFonts w:ascii="Arial" w:hAnsi="Arial" w:cs="Arial"/>
          <w:sz w:val="24"/>
          <w:szCs w:val="24"/>
        </w:rPr>
        <w:t>A PNA Steering Group was formed to oversee the PNA development and ensure that the PNA meets the statutory requirements. Membership of the group included a wide range of stakeholders</w:t>
      </w:r>
      <w:r w:rsidR="00550443" w:rsidRPr="00562C2A">
        <w:rPr>
          <w:rFonts w:ascii="Arial" w:hAnsi="Arial" w:cs="Arial"/>
          <w:sz w:val="24"/>
          <w:szCs w:val="24"/>
        </w:rPr>
        <w:t xml:space="preserve"> (Appendix F)</w:t>
      </w:r>
      <w:r w:rsidRPr="00562C2A">
        <w:rPr>
          <w:rFonts w:ascii="Arial" w:hAnsi="Arial" w:cs="Arial"/>
          <w:sz w:val="24"/>
          <w:szCs w:val="24"/>
        </w:rPr>
        <w:t xml:space="preserve">. For the purposes of the PNA, localities have been defined as the </w:t>
      </w:r>
      <w:r w:rsidR="00C020CB" w:rsidRPr="00562C2A">
        <w:rPr>
          <w:rFonts w:ascii="Arial" w:hAnsi="Arial" w:cs="Arial"/>
          <w:sz w:val="24"/>
          <w:szCs w:val="24"/>
        </w:rPr>
        <w:t>nine</w:t>
      </w:r>
      <w:r w:rsidRPr="00562C2A">
        <w:rPr>
          <w:rFonts w:ascii="Arial" w:hAnsi="Arial" w:cs="Arial"/>
          <w:sz w:val="24"/>
          <w:szCs w:val="24"/>
        </w:rPr>
        <w:t xml:space="preserve"> clusters which make up </w:t>
      </w:r>
      <w:r w:rsidR="00C020CB" w:rsidRPr="00562C2A">
        <w:rPr>
          <w:rFonts w:ascii="Arial" w:hAnsi="Arial" w:cs="Arial"/>
          <w:color w:val="000000"/>
          <w:sz w:val="24"/>
          <w:szCs w:val="24"/>
        </w:rPr>
        <w:t xml:space="preserve">Cardiff and Vale </w:t>
      </w:r>
      <w:r w:rsidRPr="00562C2A">
        <w:rPr>
          <w:rFonts w:ascii="Arial" w:hAnsi="Arial" w:cs="Arial"/>
          <w:color w:val="000000"/>
          <w:sz w:val="24"/>
          <w:szCs w:val="24"/>
        </w:rPr>
        <w:t xml:space="preserve">University Health Board. </w:t>
      </w:r>
    </w:p>
    <w:p w14:paraId="74427E4E" w14:textId="77777777" w:rsidR="00DE5AD2" w:rsidRPr="00562C2A" w:rsidRDefault="00DE5AD2" w:rsidP="00DC54F7">
      <w:pPr>
        <w:spacing w:after="0" w:line="240" w:lineRule="auto"/>
        <w:jc w:val="both"/>
        <w:rPr>
          <w:rFonts w:ascii="Arial" w:hAnsi="Arial" w:cs="Arial"/>
          <w:color w:val="000000"/>
          <w:sz w:val="24"/>
          <w:szCs w:val="24"/>
        </w:rPr>
      </w:pPr>
    </w:p>
    <w:p w14:paraId="35F45964" w14:textId="5B867CFC" w:rsidR="00DE5AD2" w:rsidRPr="00562C2A" w:rsidRDefault="00DE5AD2" w:rsidP="00DC54F7">
      <w:pPr>
        <w:spacing w:after="0" w:line="240" w:lineRule="auto"/>
        <w:jc w:val="both"/>
        <w:rPr>
          <w:rFonts w:ascii="Arial" w:hAnsi="Arial" w:cs="Arial"/>
          <w:sz w:val="24"/>
          <w:szCs w:val="24"/>
        </w:rPr>
      </w:pPr>
      <w:r w:rsidRPr="00562C2A">
        <w:rPr>
          <w:rFonts w:ascii="Arial" w:hAnsi="Arial" w:cs="Arial"/>
          <w:sz w:val="24"/>
          <w:szCs w:val="24"/>
        </w:rPr>
        <w:t xml:space="preserve">In developing the PNA, several sources of information were used to gain an overview of the demographic characteristics and the health profile of </w:t>
      </w:r>
      <w:r w:rsidR="00C020CB" w:rsidRPr="00562C2A">
        <w:rPr>
          <w:rFonts w:ascii="Arial" w:hAnsi="Arial" w:cs="Arial"/>
          <w:color w:val="000000"/>
          <w:sz w:val="24"/>
          <w:szCs w:val="24"/>
        </w:rPr>
        <w:t xml:space="preserve">Cardiff and Vale </w:t>
      </w:r>
      <w:r w:rsidRPr="00562C2A">
        <w:rPr>
          <w:rFonts w:ascii="Arial" w:hAnsi="Arial" w:cs="Arial"/>
          <w:color w:val="000000"/>
          <w:sz w:val="24"/>
          <w:szCs w:val="24"/>
        </w:rPr>
        <w:t>University Health Board</w:t>
      </w:r>
      <w:r w:rsidRPr="00562C2A">
        <w:rPr>
          <w:rFonts w:ascii="Arial" w:hAnsi="Arial" w:cs="Arial"/>
          <w:sz w:val="24"/>
          <w:szCs w:val="24"/>
        </w:rPr>
        <w:t xml:space="preserve"> residents to determine their pharmaceutical needs.  </w:t>
      </w:r>
    </w:p>
    <w:p w14:paraId="7A163042" w14:textId="77777777" w:rsidR="00DE5AD2" w:rsidRPr="00562C2A" w:rsidRDefault="00DE5AD2" w:rsidP="00DC54F7">
      <w:pPr>
        <w:spacing w:after="0" w:line="240" w:lineRule="auto"/>
        <w:jc w:val="both"/>
        <w:rPr>
          <w:rFonts w:ascii="Arial" w:hAnsi="Arial" w:cs="Arial"/>
          <w:color w:val="000000"/>
          <w:sz w:val="24"/>
          <w:szCs w:val="24"/>
        </w:rPr>
      </w:pPr>
    </w:p>
    <w:p w14:paraId="40465980" w14:textId="77537A99" w:rsidR="00DE5AD2" w:rsidRPr="00562C2A" w:rsidRDefault="00DE5AD2" w:rsidP="00DC54F7">
      <w:pPr>
        <w:spacing w:after="0" w:line="240" w:lineRule="auto"/>
        <w:jc w:val="both"/>
        <w:rPr>
          <w:rFonts w:ascii="Arial" w:hAnsi="Arial" w:cs="Arial"/>
          <w:sz w:val="24"/>
          <w:szCs w:val="24"/>
        </w:rPr>
      </w:pPr>
      <w:r w:rsidRPr="00562C2A">
        <w:rPr>
          <w:rFonts w:ascii="Arial" w:hAnsi="Arial" w:cs="Arial"/>
          <w:sz w:val="24"/>
          <w:szCs w:val="24"/>
        </w:rPr>
        <w:t>The views of residents on their use of pharmacies, and information provided by contractors which could not be nationally sourced, was obtained through the use of surveys. The information gained was used, in conjunction with other data sources, to inform the PNA.</w:t>
      </w:r>
    </w:p>
    <w:p w14:paraId="65E45159" w14:textId="77777777" w:rsidR="00DE5AD2" w:rsidRPr="00562C2A" w:rsidRDefault="00DE5AD2" w:rsidP="00DC54F7">
      <w:pPr>
        <w:spacing w:after="0" w:line="240" w:lineRule="auto"/>
        <w:jc w:val="both"/>
        <w:rPr>
          <w:rFonts w:ascii="Arial" w:hAnsi="Arial" w:cs="Arial"/>
          <w:sz w:val="24"/>
          <w:szCs w:val="24"/>
        </w:rPr>
      </w:pPr>
    </w:p>
    <w:p w14:paraId="0311B8F9" w14:textId="5FCCABBD" w:rsidR="00DE5AD2" w:rsidRPr="00562C2A" w:rsidRDefault="00DE5AD2" w:rsidP="00DC54F7">
      <w:pPr>
        <w:spacing w:after="0" w:line="240" w:lineRule="auto"/>
        <w:jc w:val="both"/>
        <w:rPr>
          <w:rFonts w:ascii="Arial" w:hAnsi="Arial" w:cs="Arial"/>
          <w:sz w:val="24"/>
          <w:szCs w:val="24"/>
        </w:rPr>
      </w:pPr>
      <w:r w:rsidRPr="00562C2A">
        <w:rPr>
          <w:rFonts w:ascii="Arial" w:hAnsi="Arial" w:cs="Arial"/>
          <w:sz w:val="24"/>
          <w:szCs w:val="24"/>
        </w:rPr>
        <w:t xml:space="preserve">In addition, a consultation, which ran from </w:t>
      </w:r>
      <w:r w:rsidR="007E6963">
        <w:rPr>
          <w:rFonts w:ascii="Arial" w:hAnsi="Arial" w:cs="Arial"/>
          <w:sz w:val="24"/>
          <w:szCs w:val="24"/>
        </w:rPr>
        <w:t>Friday 21</w:t>
      </w:r>
      <w:r w:rsidR="007E6963" w:rsidRPr="007E6963">
        <w:rPr>
          <w:rFonts w:ascii="Arial" w:hAnsi="Arial" w:cs="Arial"/>
          <w:sz w:val="24"/>
          <w:szCs w:val="24"/>
          <w:vertAlign w:val="superscript"/>
        </w:rPr>
        <w:t>st</w:t>
      </w:r>
      <w:r w:rsidR="007E6963">
        <w:rPr>
          <w:rFonts w:ascii="Arial" w:hAnsi="Arial" w:cs="Arial"/>
          <w:sz w:val="24"/>
          <w:szCs w:val="24"/>
        </w:rPr>
        <w:t xml:space="preserve"> May</w:t>
      </w:r>
      <w:r w:rsidRPr="00562C2A">
        <w:rPr>
          <w:rFonts w:ascii="Arial" w:hAnsi="Arial" w:cs="Arial"/>
          <w:sz w:val="24"/>
          <w:szCs w:val="24"/>
        </w:rPr>
        <w:t xml:space="preserve"> until </w:t>
      </w:r>
      <w:r w:rsidR="007E6963">
        <w:rPr>
          <w:rFonts w:ascii="Arial" w:hAnsi="Arial" w:cs="Arial"/>
          <w:sz w:val="24"/>
          <w:szCs w:val="24"/>
        </w:rPr>
        <w:t>Tuesday 20</w:t>
      </w:r>
      <w:r w:rsidR="007E6963" w:rsidRPr="007E6963">
        <w:rPr>
          <w:rFonts w:ascii="Arial" w:hAnsi="Arial" w:cs="Arial"/>
          <w:sz w:val="24"/>
          <w:szCs w:val="24"/>
          <w:vertAlign w:val="superscript"/>
        </w:rPr>
        <w:t>th</w:t>
      </w:r>
      <w:r w:rsidR="007E6963">
        <w:rPr>
          <w:rFonts w:ascii="Arial" w:hAnsi="Arial" w:cs="Arial"/>
          <w:sz w:val="24"/>
          <w:szCs w:val="24"/>
        </w:rPr>
        <w:t xml:space="preserve"> July 2021</w:t>
      </w:r>
      <w:r w:rsidRPr="00562C2A">
        <w:rPr>
          <w:rFonts w:ascii="Arial" w:hAnsi="Arial" w:cs="Arial"/>
          <w:sz w:val="24"/>
          <w:szCs w:val="24"/>
        </w:rPr>
        <w:t xml:space="preserve">, was undertaken on the draft PNA and the feedback received used to inform the final PNA (Appendix K). </w:t>
      </w:r>
    </w:p>
    <w:p w14:paraId="59F1E2AD" w14:textId="77777777" w:rsidR="00DE5AD2" w:rsidRPr="00562C2A" w:rsidRDefault="00DE5AD2" w:rsidP="00DC54F7">
      <w:pPr>
        <w:spacing w:after="0" w:line="240" w:lineRule="auto"/>
        <w:jc w:val="both"/>
        <w:rPr>
          <w:rFonts w:ascii="Arial" w:hAnsi="Arial" w:cs="Arial"/>
          <w:sz w:val="24"/>
          <w:szCs w:val="24"/>
        </w:rPr>
      </w:pPr>
    </w:p>
    <w:p w14:paraId="2F91E5DC" w14:textId="40301C39" w:rsidR="00DE5AD2" w:rsidRPr="00562C2A" w:rsidRDefault="00DE5AD2" w:rsidP="00DC54F7">
      <w:pPr>
        <w:pStyle w:val="Default"/>
        <w:jc w:val="both"/>
      </w:pPr>
      <w:r w:rsidRPr="00562C2A">
        <w:t xml:space="preserve">An overview of the demographic characteristics of the residents of </w:t>
      </w:r>
      <w:r w:rsidR="00FD589E" w:rsidRPr="00562C2A">
        <w:t>Cardiff and Vale</w:t>
      </w:r>
      <w:r w:rsidRPr="00562C2A">
        <w:t xml:space="preserve"> University Health Board and their</w:t>
      </w:r>
      <w:r w:rsidR="006915C9" w:rsidRPr="00562C2A">
        <w:t xml:space="preserve"> general </w:t>
      </w:r>
      <w:r w:rsidRPr="00562C2A">
        <w:t xml:space="preserve">health needs </w:t>
      </w:r>
      <w:r w:rsidR="006915C9" w:rsidRPr="00562C2A">
        <w:t>ha</w:t>
      </w:r>
      <w:r w:rsidR="00755538" w:rsidRPr="00562C2A">
        <w:t>s</w:t>
      </w:r>
      <w:r w:rsidR="006915C9" w:rsidRPr="00562C2A">
        <w:t xml:space="preserve"> been </w:t>
      </w:r>
      <w:r w:rsidR="00DF6449" w:rsidRPr="00562C2A">
        <w:t>set out</w:t>
      </w:r>
      <w:r w:rsidRPr="00562C2A">
        <w:t xml:space="preserve"> at the health board and local authority level. In addition, any specific groups identified as present in </w:t>
      </w:r>
      <w:r w:rsidR="00FD589E" w:rsidRPr="00562C2A">
        <w:t xml:space="preserve">Cardiff and Vale </w:t>
      </w:r>
      <w:r w:rsidRPr="00562C2A">
        <w:t>University Health Board</w:t>
      </w:r>
      <w:r w:rsidR="005C2681" w:rsidRPr="00562C2A">
        <w:t xml:space="preserve"> </w:t>
      </w:r>
      <w:r w:rsidR="006915C9" w:rsidRPr="00562C2A">
        <w:t xml:space="preserve">including those </w:t>
      </w:r>
      <w:r w:rsidR="0092765D" w:rsidRPr="00562C2A">
        <w:t>who share a protected characteristic under the Equality A</w:t>
      </w:r>
      <w:r w:rsidR="008E5380" w:rsidRPr="00562C2A">
        <w:t xml:space="preserve">ct 2010, </w:t>
      </w:r>
      <w:r w:rsidRPr="00562C2A">
        <w:t>and their likely health needs</w:t>
      </w:r>
      <w:r w:rsidR="005C2681" w:rsidRPr="00562C2A">
        <w:t xml:space="preserve"> </w:t>
      </w:r>
      <w:r w:rsidR="001F740B" w:rsidRPr="00562C2A">
        <w:t xml:space="preserve">have been </w:t>
      </w:r>
      <w:r w:rsidRPr="00562C2A">
        <w:t>included</w:t>
      </w:r>
      <w:r w:rsidR="008E5380" w:rsidRPr="00562C2A">
        <w:t xml:space="preserve">. </w:t>
      </w:r>
      <w:r w:rsidR="001A2E3F" w:rsidRPr="00562C2A">
        <w:t xml:space="preserve"> </w:t>
      </w:r>
      <w:r w:rsidR="008E5380" w:rsidRPr="00562C2A">
        <w:t>C</w:t>
      </w:r>
      <w:r w:rsidRPr="00562C2A">
        <w:t xml:space="preserve">onsideration </w:t>
      </w:r>
      <w:r w:rsidR="00755538" w:rsidRPr="00562C2A">
        <w:t xml:space="preserve">has been </w:t>
      </w:r>
      <w:r w:rsidRPr="00562C2A">
        <w:t xml:space="preserve">given as to how these health needs can be met by the pharmaceutical contractors in the health board’s area. </w:t>
      </w:r>
    </w:p>
    <w:p w14:paraId="6B75F60D" w14:textId="276D5293" w:rsidR="006915C9" w:rsidRPr="00562C2A" w:rsidRDefault="006915C9" w:rsidP="00DC54F7">
      <w:pPr>
        <w:pStyle w:val="Default"/>
        <w:jc w:val="both"/>
      </w:pPr>
    </w:p>
    <w:p w14:paraId="2805A300" w14:textId="6F87270F" w:rsidR="006915C9" w:rsidRPr="00562C2A" w:rsidRDefault="006915C9" w:rsidP="00DC54F7">
      <w:pPr>
        <w:pStyle w:val="Default"/>
        <w:jc w:val="both"/>
      </w:pPr>
      <w:r w:rsidRPr="00562C2A">
        <w:t xml:space="preserve">The current provision of pharmaceutical services </w:t>
      </w:r>
      <w:r w:rsidR="001E0869" w:rsidRPr="00562C2A">
        <w:t>has been</w:t>
      </w:r>
      <w:r w:rsidRPr="00562C2A">
        <w:t xml:space="preserve"> identified and mapped. Those providers who are located outside of C</w:t>
      </w:r>
      <w:r w:rsidR="007857A7" w:rsidRPr="00562C2A">
        <w:t>ardiff and Vale</w:t>
      </w:r>
      <w:r w:rsidRPr="00562C2A">
        <w:t xml:space="preserve"> University Health Board’s area but who provide services to its residents, were also considered. Furthermore, there are some services which affect the need for pharmaceutical services either by increasing or reducing demand. Such services include the hospital pharmacies, the </w:t>
      </w:r>
      <w:r w:rsidR="007857A7" w:rsidRPr="00562C2A">
        <w:t>O</w:t>
      </w:r>
      <w:r w:rsidRPr="00562C2A">
        <w:t xml:space="preserve">ut of </w:t>
      </w:r>
      <w:r w:rsidR="007857A7" w:rsidRPr="00562C2A">
        <w:t>H</w:t>
      </w:r>
      <w:r w:rsidRPr="00562C2A">
        <w:t xml:space="preserve">ours </w:t>
      </w:r>
      <w:r w:rsidR="00877F30" w:rsidRPr="00562C2A">
        <w:t xml:space="preserve">and CAV </w:t>
      </w:r>
      <w:r w:rsidR="00AD0650" w:rsidRPr="00562C2A">
        <w:t xml:space="preserve">24/7 </w:t>
      </w:r>
      <w:r w:rsidRPr="00562C2A">
        <w:t>and Minor Injury Units and these have been considered as part of the PNA.</w:t>
      </w:r>
    </w:p>
    <w:p w14:paraId="53B1C918" w14:textId="0BE6B2AD" w:rsidR="00DE5AD2" w:rsidRPr="00562C2A" w:rsidRDefault="00DE5AD2" w:rsidP="00DC54F7">
      <w:pPr>
        <w:pStyle w:val="Default"/>
        <w:jc w:val="both"/>
      </w:pPr>
      <w:r w:rsidRPr="00562C2A">
        <w:lastRenderedPageBreak/>
        <w:t xml:space="preserve">While an overview has been considered at the health board and local authority level, a cluster level review has also been undertaken of the demographic characteristics, health needs and the current provision of pharmaceutical services to residents. This has been used to identify whether current pharmaceutical service provision meets the needs of those residents. Consideration has also been given as to whether there are any gaps in service delivery that may arise during the </w:t>
      </w:r>
      <w:r w:rsidR="00DD461C" w:rsidRPr="00562C2A">
        <w:t xml:space="preserve">five year </w:t>
      </w:r>
      <w:r w:rsidRPr="00562C2A">
        <w:t xml:space="preserve">lifetime of the PNA. </w:t>
      </w:r>
    </w:p>
    <w:p w14:paraId="4AD1AD3A" w14:textId="77777777" w:rsidR="00212D81" w:rsidRPr="00562C2A" w:rsidRDefault="00212D81" w:rsidP="00DC54F7">
      <w:pPr>
        <w:spacing w:after="0" w:line="240" w:lineRule="auto"/>
        <w:contextualSpacing/>
        <w:jc w:val="both"/>
        <w:rPr>
          <w:rFonts w:ascii="Arial" w:hAnsi="Arial" w:cs="Arial"/>
          <w:sz w:val="24"/>
          <w:szCs w:val="24"/>
        </w:rPr>
      </w:pPr>
    </w:p>
    <w:p w14:paraId="524B005E" w14:textId="076D4A42" w:rsidR="00DE5AD2" w:rsidRPr="00562C2A" w:rsidRDefault="00DE5AD2" w:rsidP="00DC54F7">
      <w:pPr>
        <w:spacing w:after="0" w:line="240" w:lineRule="auto"/>
        <w:contextualSpacing/>
        <w:jc w:val="both"/>
        <w:rPr>
          <w:rFonts w:ascii="Arial" w:hAnsi="Arial" w:cs="Arial"/>
          <w:sz w:val="24"/>
          <w:szCs w:val="24"/>
        </w:rPr>
      </w:pPr>
      <w:r w:rsidRPr="00562C2A">
        <w:rPr>
          <w:rFonts w:ascii="Arial" w:hAnsi="Arial" w:cs="Arial"/>
          <w:sz w:val="24"/>
          <w:szCs w:val="24"/>
        </w:rPr>
        <w:t>There are 1</w:t>
      </w:r>
      <w:r w:rsidR="00FD589E" w:rsidRPr="00562C2A">
        <w:rPr>
          <w:rFonts w:ascii="Arial" w:hAnsi="Arial" w:cs="Arial"/>
          <w:sz w:val="24"/>
          <w:szCs w:val="24"/>
        </w:rPr>
        <w:t>06</w:t>
      </w:r>
      <w:r w:rsidRPr="00562C2A">
        <w:rPr>
          <w:rFonts w:ascii="Arial" w:hAnsi="Arial" w:cs="Arial"/>
          <w:sz w:val="24"/>
          <w:szCs w:val="24"/>
        </w:rPr>
        <w:t xml:space="preserve"> pharmacies in C</w:t>
      </w:r>
      <w:r w:rsidR="00FD589E" w:rsidRPr="00562C2A">
        <w:rPr>
          <w:rFonts w:ascii="Arial" w:hAnsi="Arial" w:cs="Arial"/>
          <w:sz w:val="24"/>
          <w:szCs w:val="24"/>
        </w:rPr>
        <w:t>ardiff and Vale</w:t>
      </w:r>
      <w:r w:rsidRPr="00562C2A">
        <w:rPr>
          <w:rFonts w:ascii="Arial" w:hAnsi="Arial" w:cs="Arial"/>
          <w:sz w:val="24"/>
          <w:szCs w:val="24"/>
        </w:rPr>
        <w:t xml:space="preserve"> University Health Board all providing the full range of essential services. In 2019 to 2020, 9</w:t>
      </w:r>
      <w:r w:rsidR="00E528B3" w:rsidRPr="00562C2A">
        <w:rPr>
          <w:rFonts w:ascii="Arial" w:hAnsi="Arial" w:cs="Arial"/>
          <w:sz w:val="24"/>
          <w:szCs w:val="24"/>
        </w:rPr>
        <w:t>6</w:t>
      </w:r>
      <w:r w:rsidRPr="00562C2A">
        <w:rPr>
          <w:rFonts w:ascii="Arial" w:hAnsi="Arial" w:cs="Arial"/>
          <w:sz w:val="24"/>
          <w:szCs w:val="24"/>
        </w:rPr>
        <w:t>.</w:t>
      </w:r>
      <w:r w:rsidR="004F6EBC" w:rsidRPr="00562C2A">
        <w:rPr>
          <w:rFonts w:ascii="Arial" w:hAnsi="Arial" w:cs="Arial"/>
          <w:sz w:val="24"/>
          <w:szCs w:val="24"/>
        </w:rPr>
        <w:t>3</w:t>
      </w:r>
      <w:r w:rsidRPr="00562C2A">
        <w:rPr>
          <w:rFonts w:ascii="Arial" w:hAnsi="Arial" w:cs="Arial"/>
          <w:sz w:val="24"/>
          <w:szCs w:val="24"/>
        </w:rPr>
        <w:t xml:space="preserve">% of all prescription </w:t>
      </w:r>
      <w:r w:rsidR="003962BE" w:rsidRPr="00562C2A">
        <w:rPr>
          <w:rFonts w:ascii="Arial" w:hAnsi="Arial" w:cs="Arial"/>
          <w:sz w:val="24"/>
          <w:szCs w:val="24"/>
        </w:rPr>
        <w:t xml:space="preserve">items </w:t>
      </w:r>
      <w:r w:rsidRPr="00562C2A">
        <w:rPr>
          <w:rFonts w:ascii="Arial" w:hAnsi="Arial" w:cs="Arial"/>
          <w:sz w:val="24"/>
          <w:szCs w:val="24"/>
        </w:rPr>
        <w:t>written by GP</w:t>
      </w:r>
      <w:r w:rsidR="00212D81" w:rsidRPr="00562C2A">
        <w:rPr>
          <w:rFonts w:ascii="Arial" w:hAnsi="Arial" w:cs="Arial"/>
          <w:sz w:val="24"/>
          <w:szCs w:val="24"/>
        </w:rPr>
        <w:t xml:space="preserve"> practices were dispensed by the pharmacies in the health board. Pharmacies also provide a range of advanced and enhanced services</w:t>
      </w:r>
      <w:r w:rsidRPr="00562C2A">
        <w:rPr>
          <w:rFonts w:ascii="Arial" w:hAnsi="Arial" w:cs="Arial"/>
          <w:sz w:val="24"/>
          <w:szCs w:val="24"/>
        </w:rPr>
        <w:t xml:space="preserve">. </w:t>
      </w:r>
    </w:p>
    <w:p w14:paraId="4A07B31F" w14:textId="0C98315E" w:rsidR="00D217D8" w:rsidRPr="00562C2A" w:rsidRDefault="00D217D8" w:rsidP="00DC54F7">
      <w:pPr>
        <w:spacing w:after="0" w:line="240" w:lineRule="auto"/>
        <w:contextualSpacing/>
        <w:jc w:val="both"/>
        <w:rPr>
          <w:rFonts w:ascii="Arial" w:hAnsi="Arial" w:cs="Arial"/>
          <w:sz w:val="24"/>
          <w:szCs w:val="24"/>
        </w:rPr>
      </w:pPr>
    </w:p>
    <w:p w14:paraId="60B3A5EF" w14:textId="36E64950" w:rsidR="00036D61" w:rsidRPr="00562C2A" w:rsidRDefault="00036D61" w:rsidP="00DC54F7">
      <w:pPr>
        <w:spacing w:after="0" w:line="240" w:lineRule="auto"/>
        <w:contextualSpacing/>
        <w:jc w:val="both"/>
        <w:rPr>
          <w:rFonts w:ascii="Arial" w:hAnsi="Arial" w:cs="Arial"/>
          <w:sz w:val="24"/>
          <w:szCs w:val="24"/>
        </w:rPr>
      </w:pPr>
      <w:r w:rsidRPr="00562C2A">
        <w:rPr>
          <w:rFonts w:ascii="Arial" w:hAnsi="Arial" w:cs="Arial"/>
          <w:sz w:val="24"/>
          <w:szCs w:val="24"/>
        </w:rPr>
        <w:t xml:space="preserve">There are four appliance contractors, </w:t>
      </w:r>
      <w:r w:rsidR="00A964EF" w:rsidRPr="00562C2A">
        <w:rPr>
          <w:rFonts w:ascii="Arial" w:hAnsi="Arial" w:cs="Arial"/>
          <w:sz w:val="24"/>
          <w:szCs w:val="24"/>
        </w:rPr>
        <w:t xml:space="preserve">which </w:t>
      </w:r>
      <w:r w:rsidR="00B508D6" w:rsidRPr="00562C2A">
        <w:rPr>
          <w:rFonts w:ascii="Arial" w:hAnsi="Arial" w:cs="Arial"/>
          <w:sz w:val="24"/>
          <w:szCs w:val="24"/>
        </w:rPr>
        <w:t>dispense prescriptions for appli</w:t>
      </w:r>
      <w:r w:rsidR="000242DA" w:rsidRPr="00562C2A">
        <w:rPr>
          <w:rFonts w:ascii="Arial" w:hAnsi="Arial" w:cs="Arial"/>
          <w:sz w:val="24"/>
          <w:szCs w:val="24"/>
        </w:rPr>
        <w:t xml:space="preserve">ances </w:t>
      </w:r>
      <w:r w:rsidR="00601361" w:rsidRPr="00562C2A">
        <w:rPr>
          <w:rFonts w:ascii="Arial" w:hAnsi="Arial" w:cs="Arial"/>
          <w:sz w:val="24"/>
          <w:szCs w:val="24"/>
        </w:rPr>
        <w:t xml:space="preserve">within </w:t>
      </w:r>
      <w:r w:rsidR="0054415E" w:rsidRPr="00562C2A">
        <w:rPr>
          <w:rFonts w:ascii="Arial" w:hAnsi="Arial" w:cs="Arial"/>
          <w:sz w:val="24"/>
          <w:szCs w:val="24"/>
        </w:rPr>
        <w:t>and outside of the health board’s area.</w:t>
      </w:r>
      <w:r w:rsidR="005E0D38" w:rsidRPr="00562C2A">
        <w:rPr>
          <w:rFonts w:ascii="Arial" w:hAnsi="Arial" w:cs="Arial"/>
          <w:sz w:val="24"/>
          <w:szCs w:val="24"/>
        </w:rPr>
        <w:t xml:space="preserve"> </w:t>
      </w:r>
      <w:r w:rsidR="00215BCB" w:rsidRPr="00562C2A">
        <w:rPr>
          <w:rFonts w:ascii="Arial" w:hAnsi="Arial" w:cs="Arial"/>
          <w:sz w:val="24"/>
          <w:szCs w:val="24"/>
        </w:rPr>
        <w:t xml:space="preserve">All four </w:t>
      </w:r>
      <w:r w:rsidR="00A228E3" w:rsidRPr="00562C2A">
        <w:rPr>
          <w:rFonts w:ascii="Arial" w:hAnsi="Arial" w:cs="Arial"/>
          <w:sz w:val="24"/>
          <w:szCs w:val="24"/>
        </w:rPr>
        <w:t xml:space="preserve">appliance contractors </w:t>
      </w:r>
      <w:r w:rsidR="00215BCB" w:rsidRPr="00562C2A">
        <w:rPr>
          <w:rFonts w:ascii="Arial" w:hAnsi="Arial" w:cs="Arial"/>
          <w:sz w:val="24"/>
          <w:szCs w:val="24"/>
        </w:rPr>
        <w:t xml:space="preserve">offer </w:t>
      </w:r>
      <w:r w:rsidR="007B77A2" w:rsidRPr="00562C2A">
        <w:rPr>
          <w:rFonts w:ascii="Arial" w:hAnsi="Arial" w:cs="Arial"/>
          <w:sz w:val="24"/>
          <w:szCs w:val="24"/>
        </w:rPr>
        <w:t xml:space="preserve">either </w:t>
      </w:r>
      <w:r w:rsidR="00F35546" w:rsidRPr="00562C2A">
        <w:rPr>
          <w:rFonts w:ascii="Arial" w:hAnsi="Arial" w:cs="Arial"/>
          <w:sz w:val="24"/>
          <w:szCs w:val="24"/>
        </w:rPr>
        <w:t xml:space="preserve">the </w:t>
      </w:r>
      <w:r w:rsidR="005A7711" w:rsidRPr="00562C2A">
        <w:rPr>
          <w:rFonts w:ascii="Arial" w:hAnsi="Arial" w:cs="Arial"/>
          <w:sz w:val="24"/>
          <w:szCs w:val="24"/>
        </w:rPr>
        <w:t xml:space="preserve">Appliance Use Review (AUR) </w:t>
      </w:r>
      <w:r w:rsidR="00F35546" w:rsidRPr="00562C2A">
        <w:rPr>
          <w:rFonts w:ascii="Arial" w:hAnsi="Arial" w:cs="Arial"/>
          <w:sz w:val="24"/>
          <w:szCs w:val="24"/>
        </w:rPr>
        <w:t xml:space="preserve">advanced </w:t>
      </w:r>
      <w:r w:rsidR="005A7711" w:rsidRPr="00562C2A">
        <w:rPr>
          <w:rFonts w:ascii="Arial" w:hAnsi="Arial" w:cs="Arial"/>
          <w:sz w:val="24"/>
          <w:szCs w:val="24"/>
        </w:rPr>
        <w:t xml:space="preserve">service </w:t>
      </w:r>
      <w:r w:rsidR="00F35546" w:rsidRPr="00562C2A">
        <w:rPr>
          <w:rFonts w:ascii="Arial" w:hAnsi="Arial" w:cs="Arial"/>
          <w:sz w:val="24"/>
          <w:szCs w:val="24"/>
        </w:rPr>
        <w:t xml:space="preserve">or </w:t>
      </w:r>
      <w:r w:rsidR="005A7711" w:rsidRPr="00562C2A">
        <w:rPr>
          <w:rFonts w:ascii="Arial" w:hAnsi="Arial" w:cs="Arial"/>
          <w:sz w:val="24"/>
          <w:szCs w:val="24"/>
        </w:rPr>
        <w:t xml:space="preserve">the </w:t>
      </w:r>
      <w:r w:rsidR="008B6A62" w:rsidRPr="00562C2A">
        <w:rPr>
          <w:rFonts w:ascii="Arial" w:hAnsi="Arial" w:cs="Arial"/>
          <w:sz w:val="24"/>
          <w:szCs w:val="24"/>
        </w:rPr>
        <w:t xml:space="preserve">Stoma </w:t>
      </w:r>
      <w:r w:rsidR="00483319" w:rsidRPr="00562C2A">
        <w:rPr>
          <w:rFonts w:ascii="Arial" w:hAnsi="Arial" w:cs="Arial"/>
          <w:sz w:val="24"/>
          <w:szCs w:val="24"/>
        </w:rPr>
        <w:t xml:space="preserve">Appliance Customisation (SAC) </w:t>
      </w:r>
      <w:r w:rsidR="00F35546" w:rsidRPr="00562C2A">
        <w:rPr>
          <w:rFonts w:ascii="Arial" w:hAnsi="Arial" w:cs="Arial"/>
          <w:sz w:val="24"/>
          <w:szCs w:val="24"/>
        </w:rPr>
        <w:t xml:space="preserve">advanced </w:t>
      </w:r>
      <w:r w:rsidR="00483319" w:rsidRPr="00562C2A">
        <w:rPr>
          <w:rFonts w:ascii="Arial" w:hAnsi="Arial" w:cs="Arial"/>
          <w:sz w:val="24"/>
          <w:szCs w:val="24"/>
        </w:rPr>
        <w:t xml:space="preserve">service </w:t>
      </w:r>
      <w:r w:rsidR="005A7711" w:rsidRPr="00562C2A">
        <w:rPr>
          <w:rFonts w:ascii="Arial" w:hAnsi="Arial" w:cs="Arial"/>
          <w:sz w:val="24"/>
          <w:szCs w:val="24"/>
        </w:rPr>
        <w:t xml:space="preserve">or both. </w:t>
      </w:r>
    </w:p>
    <w:p w14:paraId="2259F6F5" w14:textId="028AE0D6" w:rsidR="00DE5AD2" w:rsidRPr="00562C2A" w:rsidRDefault="00DE5AD2" w:rsidP="00DC54F7">
      <w:pPr>
        <w:spacing w:after="0" w:line="240" w:lineRule="auto"/>
        <w:contextualSpacing/>
        <w:jc w:val="both"/>
        <w:rPr>
          <w:rFonts w:ascii="Arial" w:hAnsi="Arial" w:cs="Arial"/>
          <w:sz w:val="24"/>
          <w:szCs w:val="24"/>
        </w:rPr>
      </w:pPr>
    </w:p>
    <w:p w14:paraId="5042FBCD" w14:textId="0EB3CCA2" w:rsidR="00BF591C" w:rsidRPr="00562C2A" w:rsidRDefault="00DE5AD2" w:rsidP="00DC54F7">
      <w:pPr>
        <w:spacing w:after="0" w:line="240" w:lineRule="auto"/>
        <w:contextualSpacing/>
        <w:jc w:val="both"/>
        <w:rPr>
          <w:rFonts w:ascii="Arial" w:hAnsi="Arial" w:cs="Arial"/>
          <w:sz w:val="24"/>
          <w:szCs w:val="24"/>
        </w:rPr>
      </w:pPr>
      <w:r w:rsidRPr="00562C2A">
        <w:rPr>
          <w:rFonts w:ascii="Arial" w:hAnsi="Arial" w:cs="Arial"/>
          <w:sz w:val="24"/>
          <w:szCs w:val="24"/>
        </w:rPr>
        <w:t xml:space="preserve">There </w:t>
      </w:r>
      <w:r w:rsidR="008D6903" w:rsidRPr="00562C2A">
        <w:rPr>
          <w:rFonts w:ascii="Arial" w:hAnsi="Arial" w:cs="Arial"/>
          <w:sz w:val="24"/>
          <w:szCs w:val="24"/>
        </w:rPr>
        <w:t xml:space="preserve">is one </w:t>
      </w:r>
      <w:r w:rsidRPr="00562C2A">
        <w:rPr>
          <w:rFonts w:ascii="Arial" w:hAnsi="Arial" w:cs="Arial"/>
          <w:sz w:val="24"/>
          <w:szCs w:val="24"/>
        </w:rPr>
        <w:t xml:space="preserve">GP dispensing doctor practice in </w:t>
      </w:r>
      <w:r w:rsidR="008D6903" w:rsidRPr="00562C2A">
        <w:rPr>
          <w:rFonts w:ascii="Arial" w:hAnsi="Arial" w:cs="Arial"/>
          <w:sz w:val="24"/>
          <w:szCs w:val="24"/>
        </w:rPr>
        <w:t xml:space="preserve">Cardiff and Vale </w:t>
      </w:r>
      <w:r w:rsidRPr="00562C2A">
        <w:rPr>
          <w:rFonts w:ascii="Arial" w:hAnsi="Arial" w:cs="Arial"/>
          <w:sz w:val="24"/>
          <w:szCs w:val="24"/>
        </w:rPr>
        <w:t>University Health Board, who dispense</w:t>
      </w:r>
      <w:r w:rsidR="00672286" w:rsidRPr="00562C2A">
        <w:rPr>
          <w:rFonts w:ascii="Arial" w:hAnsi="Arial" w:cs="Arial"/>
          <w:sz w:val="24"/>
          <w:szCs w:val="24"/>
        </w:rPr>
        <w:t>s</w:t>
      </w:r>
      <w:r w:rsidRPr="00562C2A">
        <w:rPr>
          <w:rFonts w:ascii="Arial" w:hAnsi="Arial" w:cs="Arial"/>
          <w:sz w:val="24"/>
          <w:szCs w:val="24"/>
        </w:rPr>
        <w:t xml:space="preserve"> to eligible patients</w:t>
      </w:r>
      <w:r w:rsidR="00BD04BF" w:rsidRPr="00562C2A">
        <w:rPr>
          <w:rFonts w:ascii="Arial" w:hAnsi="Arial" w:cs="Arial"/>
          <w:sz w:val="24"/>
          <w:szCs w:val="24"/>
        </w:rPr>
        <w:t xml:space="preserve"> and </w:t>
      </w:r>
      <w:r w:rsidR="00446CB8" w:rsidRPr="00562C2A">
        <w:rPr>
          <w:rFonts w:ascii="Arial" w:hAnsi="Arial" w:cs="Arial"/>
          <w:sz w:val="24"/>
          <w:szCs w:val="24"/>
        </w:rPr>
        <w:t xml:space="preserve">who </w:t>
      </w:r>
      <w:r w:rsidR="00BD04BF" w:rsidRPr="00562C2A">
        <w:rPr>
          <w:rFonts w:ascii="Arial" w:hAnsi="Arial" w:cs="Arial"/>
          <w:sz w:val="24"/>
          <w:szCs w:val="24"/>
        </w:rPr>
        <w:t>dis</w:t>
      </w:r>
      <w:r w:rsidR="00697DAB" w:rsidRPr="00562C2A">
        <w:rPr>
          <w:rFonts w:ascii="Arial" w:hAnsi="Arial" w:cs="Arial"/>
          <w:sz w:val="24"/>
          <w:szCs w:val="24"/>
        </w:rPr>
        <w:t>p</w:t>
      </w:r>
      <w:r w:rsidR="00BD04BF" w:rsidRPr="00562C2A">
        <w:rPr>
          <w:rFonts w:ascii="Arial" w:hAnsi="Arial" w:cs="Arial"/>
          <w:sz w:val="24"/>
          <w:szCs w:val="24"/>
        </w:rPr>
        <w:t xml:space="preserve">ensed or personally </w:t>
      </w:r>
      <w:r w:rsidR="00697DAB" w:rsidRPr="00562C2A">
        <w:rPr>
          <w:rFonts w:ascii="Arial" w:hAnsi="Arial" w:cs="Arial"/>
          <w:sz w:val="24"/>
          <w:szCs w:val="24"/>
        </w:rPr>
        <w:t xml:space="preserve">administered less than 0.1% of </w:t>
      </w:r>
      <w:r w:rsidR="00446CB8" w:rsidRPr="00562C2A">
        <w:rPr>
          <w:rFonts w:ascii="Arial" w:hAnsi="Arial" w:cs="Arial"/>
          <w:sz w:val="24"/>
          <w:szCs w:val="24"/>
        </w:rPr>
        <w:t xml:space="preserve">all </w:t>
      </w:r>
      <w:r w:rsidR="00697DAB" w:rsidRPr="00562C2A">
        <w:rPr>
          <w:rFonts w:ascii="Arial" w:hAnsi="Arial" w:cs="Arial"/>
          <w:sz w:val="24"/>
          <w:szCs w:val="24"/>
        </w:rPr>
        <w:t>items</w:t>
      </w:r>
      <w:r w:rsidR="00446CB8" w:rsidRPr="00562C2A">
        <w:rPr>
          <w:rFonts w:ascii="Arial" w:hAnsi="Arial" w:cs="Arial"/>
          <w:sz w:val="24"/>
          <w:szCs w:val="24"/>
        </w:rPr>
        <w:t xml:space="preserve"> prescribed</w:t>
      </w:r>
      <w:r w:rsidR="003164B0" w:rsidRPr="00562C2A">
        <w:rPr>
          <w:rFonts w:ascii="Arial" w:hAnsi="Arial" w:cs="Arial"/>
          <w:sz w:val="24"/>
          <w:szCs w:val="24"/>
        </w:rPr>
        <w:t xml:space="preserve"> </w:t>
      </w:r>
      <w:r w:rsidR="0076433B" w:rsidRPr="00562C2A">
        <w:rPr>
          <w:rFonts w:ascii="Arial" w:hAnsi="Arial" w:cs="Arial"/>
          <w:sz w:val="24"/>
          <w:szCs w:val="24"/>
        </w:rPr>
        <w:t>in Cardiff and Vale University Health Board</w:t>
      </w:r>
      <w:r w:rsidR="00AF6FC6" w:rsidRPr="00562C2A">
        <w:rPr>
          <w:rFonts w:ascii="Arial" w:hAnsi="Arial" w:cs="Arial"/>
          <w:sz w:val="24"/>
          <w:szCs w:val="24"/>
        </w:rPr>
        <w:t>.</w:t>
      </w:r>
      <w:r w:rsidR="00697DAB" w:rsidRPr="00562C2A">
        <w:rPr>
          <w:rFonts w:ascii="Arial" w:hAnsi="Arial" w:cs="Arial"/>
          <w:sz w:val="24"/>
          <w:szCs w:val="24"/>
        </w:rPr>
        <w:t xml:space="preserve"> </w:t>
      </w:r>
      <w:r w:rsidR="00BF591C" w:rsidRPr="00562C2A">
        <w:rPr>
          <w:rFonts w:ascii="Arial" w:hAnsi="Arial" w:cs="Arial"/>
          <w:sz w:val="24"/>
          <w:szCs w:val="24"/>
        </w:rPr>
        <w:t>The non-dispensing practices personally administered 1.9%</w:t>
      </w:r>
      <w:r w:rsidR="0076433B" w:rsidRPr="00562C2A">
        <w:rPr>
          <w:rFonts w:ascii="Arial" w:hAnsi="Arial" w:cs="Arial"/>
          <w:sz w:val="24"/>
          <w:szCs w:val="24"/>
        </w:rPr>
        <w:t xml:space="preserve"> of the total</w:t>
      </w:r>
      <w:r w:rsidR="00BF591C" w:rsidRPr="00562C2A">
        <w:rPr>
          <w:rFonts w:ascii="Arial" w:hAnsi="Arial" w:cs="Arial"/>
          <w:sz w:val="24"/>
          <w:szCs w:val="24"/>
        </w:rPr>
        <w:t>.</w:t>
      </w:r>
    </w:p>
    <w:p w14:paraId="38427392" w14:textId="77777777" w:rsidR="00212D81" w:rsidRPr="00562C2A" w:rsidRDefault="00212D81" w:rsidP="00DC54F7">
      <w:pPr>
        <w:spacing w:after="0" w:line="240" w:lineRule="auto"/>
        <w:contextualSpacing/>
        <w:jc w:val="both"/>
        <w:rPr>
          <w:rFonts w:ascii="Arial" w:hAnsi="Arial" w:cs="Arial"/>
          <w:sz w:val="24"/>
          <w:szCs w:val="24"/>
          <w:highlight w:val="yellow"/>
        </w:rPr>
      </w:pPr>
    </w:p>
    <w:p w14:paraId="21ACB68D" w14:textId="011722FB" w:rsidR="00DE5AD2" w:rsidRPr="00562C2A" w:rsidRDefault="00D331CA" w:rsidP="00DC54F7">
      <w:pPr>
        <w:pStyle w:val="Default"/>
        <w:jc w:val="both"/>
      </w:pPr>
      <w:r w:rsidRPr="00562C2A">
        <w:t xml:space="preserve">While there is </w:t>
      </w:r>
      <w:r w:rsidR="00E04EEE" w:rsidRPr="00562C2A">
        <w:t xml:space="preserve">very good service provision within the health board area, </w:t>
      </w:r>
      <w:r w:rsidR="00C57740" w:rsidRPr="00562C2A">
        <w:t>s</w:t>
      </w:r>
      <w:r w:rsidR="00DE5AD2" w:rsidRPr="00562C2A">
        <w:t xml:space="preserve">ome residents </w:t>
      </w:r>
      <w:r w:rsidR="003F70EF" w:rsidRPr="00562C2A">
        <w:t>may</w:t>
      </w:r>
      <w:r w:rsidR="00DE5AD2" w:rsidRPr="00562C2A">
        <w:t xml:space="preserve"> choose to access pharmaceutical contractors outside of the health board’s area. In 2019 to 2020, </w:t>
      </w:r>
      <w:r w:rsidR="00DA68D3" w:rsidRPr="00562C2A">
        <w:t>1.</w:t>
      </w:r>
      <w:r w:rsidR="00CB768F" w:rsidRPr="00562C2A">
        <w:t>8</w:t>
      </w:r>
      <w:r w:rsidR="00DE5AD2" w:rsidRPr="00562C2A">
        <w:t xml:space="preserve">% of prescriptions were dispensed outside of </w:t>
      </w:r>
      <w:r w:rsidR="00183DE5" w:rsidRPr="00562C2A">
        <w:t>Cardiff and Vale</w:t>
      </w:r>
      <w:r w:rsidR="00DE5AD2" w:rsidRPr="00562C2A">
        <w:t xml:space="preserve"> University Health Board. Whilst many were dispensed by </w:t>
      </w:r>
      <w:r w:rsidR="008F5BFD" w:rsidRPr="00562C2A">
        <w:t xml:space="preserve">pharmaceutical </w:t>
      </w:r>
      <w:r w:rsidR="00DE5AD2" w:rsidRPr="00562C2A">
        <w:t xml:space="preserve">contractors </w:t>
      </w:r>
      <w:r w:rsidR="00130502" w:rsidRPr="00562C2A">
        <w:t>in neighbouring health boards</w:t>
      </w:r>
      <w:r w:rsidR="00A21D34" w:rsidRPr="00562C2A">
        <w:t xml:space="preserve">, </w:t>
      </w:r>
      <w:r w:rsidR="00DE5AD2" w:rsidRPr="00562C2A">
        <w:t>some were dispensed</w:t>
      </w:r>
      <w:r w:rsidR="007E4227" w:rsidRPr="00562C2A">
        <w:t xml:space="preserve"> as far </w:t>
      </w:r>
      <w:r w:rsidR="00DE5AD2" w:rsidRPr="00562C2A">
        <w:t>afield</w:t>
      </w:r>
      <w:r w:rsidR="007E4227" w:rsidRPr="00562C2A">
        <w:t xml:space="preserve"> as England</w:t>
      </w:r>
      <w:r w:rsidR="006669E9" w:rsidRPr="00562C2A">
        <w:t xml:space="preserve">. This suggests that </w:t>
      </w:r>
      <w:r w:rsidR="00DE5AD2" w:rsidRPr="00562C2A">
        <w:t xml:space="preserve">that some residents prefer to use a specific dispensing appliance contractor or a specialist provider, with some prescriptions being dispensed whilst the person is on holiday or near to their place of work. </w:t>
      </w:r>
    </w:p>
    <w:p w14:paraId="1A9D0FBB" w14:textId="167146A3" w:rsidR="003423C9" w:rsidRPr="00562C2A" w:rsidRDefault="003423C9" w:rsidP="00DC54F7">
      <w:pPr>
        <w:pStyle w:val="Default"/>
        <w:jc w:val="both"/>
      </w:pPr>
    </w:p>
    <w:p w14:paraId="12AF9C8E" w14:textId="5E6BBCD3" w:rsidR="003423C9" w:rsidRDefault="003423C9" w:rsidP="00DC54F7">
      <w:pPr>
        <w:pStyle w:val="Default"/>
        <w:jc w:val="both"/>
      </w:pPr>
      <w:r w:rsidRPr="00562C2A">
        <w:t xml:space="preserve">Access to pharmaceutical services for the residents of Cardiff and Vale University Health Board is very good, with an overwhelming majority able to access a pharmacy during normal working hours within 20 minutes. The majority can access a pharmacy within five to 10 minutes by car. Whilst noting that not all households have access to a car, the nature of the clusters means that walking to a pharmacy will be a realistic option for many residents and regular public transport services are available for those who are unable to undertake the whole journey on foot. </w:t>
      </w:r>
      <w:r w:rsidRPr="00562C2A">
        <w:rPr>
          <w:rStyle w:val="x-1565784400x-1896074302size"/>
        </w:rPr>
        <w:t>However, in the more rural areas of Western Vale cluster and Central Vale cluster, public transport services are limited.  Although car ownership is likely to be high, those without a car and in particular the elderly, may find it difficult to access a pharmacy. </w:t>
      </w:r>
      <w:r w:rsidRPr="00562C2A">
        <w:rPr>
          <w:shd w:val="clear" w:color="auto" w:fill="FFFFFF"/>
        </w:rPr>
        <w:t xml:space="preserve">The majority of pharmacies in these clusters will have arrangements in place that enable timely access to medicines to those who are housebound or who may find it difficult to access a pharmacy. </w:t>
      </w:r>
      <w:r w:rsidRPr="00562C2A">
        <w:t>Therefore, the main conclusion of this PNA is that there are currently no gaps in the provision of pharmaceutical services.</w:t>
      </w:r>
    </w:p>
    <w:p w14:paraId="6637C04B" w14:textId="03D8EEB1" w:rsidR="00A54D55" w:rsidRDefault="00A54D55" w:rsidP="00DC54F7">
      <w:pPr>
        <w:pStyle w:val="Default"/>
        <w:jc w:val="both"/>
      </w:pPr>
    </w:p>
    <w:p w14:paraId="3449AFED" w14:textId="288EC2E5" w:rsidR="00A54D55" w:rsidRDefault="00A54D55" w:rsidP="00DC54F7">
      <w:pPr>
        <w:jc w:val="both"/>
        <w:rPr>
          <w:rFonts w:ascii="Arial" w:hAnsi="Arial" w:cs="Arial"/>
          <w:color w:val="000000"/>
          <w:sz w:val="24"/>
          <w:szCs w:val="24"/>
        </w:rPr>
      </w:pPr>
      <w:r>
        <w:br w:type="page"/>
      </w:r>
    </w:p>
    <w:p w14:paraId="777DA2F5" w14:textId="6BE92250" w:rsidR="00E363D2" w:rsidRDefault="00B246D6" w:rsidP="00DC54F7">
      <w:pPr>
        <w:pStyle w:val="Default"/>
        <w:jc w:val="both"/>
      </w:pPr>
      <w:r w:rsidRPr="00562C2A">
        <w:lastRenderedPageBreak/>
        <w:t>When considering whether there will be any future need</w:t>
      </w:r>
      <w:r w:rsidR="00F87530" w:rsidRPr="00562C2A">
        <w:t>s for pharmaceutical services</w:t>
      </w:r>
      <w:r w:rsidR="006B0431" w:rsidRPr="00562C2A">
        <w:t xml:space="preserve"> that may arise during the five year </w:t>
      </w:r>
      <w:r w:rsidR="00DE5E73" w:rsidRPr="00562C2A">
        <w:t xml:space="preserve">lifetime of the PNA, </w:t>
      </w:r>
      <w:r w:rsidR="00766C24" w:rsidRPr="00562C2A">
        <w:t xml:space="preserve">consideration has been given to </w:t>
      </w:r>
      <w:r w:rsidR="008B6176" w:rsidRPr="00562C2A">
        <w:t xml:space="preserve">the </w:t>
      </w:r>
      <w:r w:rsidR="00EE247D" w:rsidRPr="00562C2A">
        <w:t xml:space="preserve">predicted population growth, </w:t>
      </w:r>
      <w:r w:rsidR="00766C24" w:rsidRPr="00562C2A">
        <w:t xml:space="preserve">planned </w:t>
      </w:r>
      <w:r w:rsidR="00C07C15" w:rsidRPr="00562C2A">
        <w:t xml:space="preserve">housing developments and the </w:t>
      </w:r>
      <w:r w:rsidR="00131516" w:rsidRPr="00562C2A">
        <w:t xml:space="preserve">capacity and </w:t>
      </w:r>
      <w:r w:rsidR="00C07C15" w:rsidRPr="00562C2A">
        <w:t xml:space="preserve">distribution of service providers across the health board. </w:t>
      </w:r>
      <w:r w:rsidR="00E363D2" w:rsidRPr="00562C2A">
        <w:t xml:space="preserve">The Cardiff and Vale University Health Board concludes that the current provision will be sufficient to meet the future needs of the residents </w:t>
      </w:r>
      <w:r w:rsidR="008F40EA" w:rsidRPr="00562C2A">
        <w:t xml:space="preserve">and the health board </w:t>
      </w:r>
      <w:r w:rsidR="00E363D2" w:rsidRPr="00562C2A">
        <w:t xml:space="preserve">has not identified any services that would secure improvements, or better access, to the provision of pharmaceutical </w:t>
      </w:r>
      <w:r w:rsidR="00D67844" w:rsidRPr="00562C2A">
        <w:t xml:space="preserve">care </w:t>
      </w:r>
      <w:r w:rsidR="00E363D2" w:rsidRPr="00562C2A">
        <w:t>either now or within the lifetime of the PNA.</w:t>
      </w:r>
    </w:p>
    <w:p w14:paraId="69D635FF" w14:textId="59E256DF" w:rsidR="00954AB9" w:rsidRDefault="00954AB9" w:rsidP="00DC54F7">
      <w:pPr>
        <w:pStyle w:val="Default"/>
        <w:jc w:val="both"/>
      </w:pPr>
    </w:p>
    <w:p w14:paraId="6A7AE260" w14:textId="77777777" w:rsidR="00A54D55" w:rsidRDefault="00A54D55" w:rsidP="00DC54F7">
      <w:pPr>
        <w:jc w:val="both"/>
      </w:pPr>
      <w:r>
        <w:rPr>
          <w:b/>
          <w:bCs/>
        </w:rPr>
        <w:br w:type="page"/>
      </w:r>
    </w:p>
    <w:p w14:paraId="00C282E6" w14:textId="535CD545" w:rsidR="00E23F28" w:rsidRPr="00A10850" w:rsidRDefault="006F0A84" w:rsidP="00DC54F7">
      <w:pPr>
        <w:pStyle w:val="Heading1"/>
        <w:spacing w:before="0" w:line="240" w:lineRule="auto"/>
        <w:jc w:val="both"/>
        <w:rPr>
          <w:rFonts w:cs="Arial"/>
          <w:color w:val="auto"/>
          <w:lang w:val="en-US"/>
        </w:rPr>
      </w:pPr>
      <w:bookmarkStart w:id="0" w:name="_Toc81585093"/>
      <w:r w:rsidRPr="00A10850">
        <w:rPr>
          <w:rFonts w:cs="Arial"/>
          <w:color w:val="auto"/>
          <w:lang w:val="en-US"/>
        </w:rPr>
        <w:lastRenderedPageBreak/>
        <w:t xml:space="preserve">1 </w:t>
      </w:r>
      <w:r w:rsidR="00E23F28" w:rsidRPr="00A10850">
        <w:rPr>
          <w:rFonts w:cs="Arial"/>
          <w:color w:val="auto"/>
          <w:lang w:val="en-US"/>
        </w:rPr>
        <w:t>Introduction</w:t>
      </w:r>
      <w:bookmarkEnd w:id="0"/>
    </w:p>
    <w:p w14:paraId="4124512D" w14:textId="01EB6B3A" w:rsidR="00FC069E" w:rsidRDefault="00FC069E" w:rsidP="00DC54F7">
      <w:pPr>
        <w:spacing w:after="0" w:line="240" w:lineRule="auto"/>
        <w:contextualSpacing/>
        <w:jc w:val="both"/>
        <w:rPr>
          <w:rFonts w:ascii="Arial" w:hAnsi="Arial" w:cs="Arial"/>
          <w:sz w:val="20"/>
          <w:szCs w:val="20"/>
          <w:lang w:val="en-US"/>
        </w:rPr>
      </w:pPr>
    </w:p>
    <w:p w14:paraId="3F7D4CD6" w14:textId="77777777" w:rsidR="00A54D55" w:rsidRPr="00A10850" w:rsidRDefault="00A54D55" w:rsidP="00DC54F7">
      <w:pPr>
        <w:spacing w:after="0" w:line="240" w:lineRule="auto"/>
        <w:contextualSpacing/>
        <w:jc w:val="both"/>
        <w:rPr>
          <w:rFonts w:ascii="Arial" w:hAnsi="Arial" w:cs="Arial"/>
          <w:sz w:val="20"/>
          <w:szCs w:val="20"/>
          <w:lang w:val="en-US"/>
        </w:rPr>
      </w:pPr>
    </w:p>
    <w:p w14:paraId="294AF7DA" w14:textId="77777777" w:rsidR="007F06DA" w:rsidRPr="00A10850" w:rsidRDefault="006F0A84" w:rsidP="00DC54F7">
      <w:pPr>
        <w:spacing w:after="0" w:line="240" w:lineRule="auto"/>
        <w:jc w:val="both"/>
        <w:rPr>
          <w:rFonts w:ascii="Arial" w:hAnsi="Arial" w:cs="Arial"/>
          <w:b/>
          <w:sz w:val="26"/>
          <w:szCs w:val="26"/>
          <w:lang w:val="en-US"/>
        </w:rPr>
      </w:pPr>
      <w:r w:rsidRPr="00A10850">
        <w:rPr>
          <w:rFonts w:ascii="Arial" w:hAnsi="Arial" w:cs="Arial"/>
          <w:b/>
          <w:sz w:val="26"/>
          <w:szCs w:val="26"/>
          <w:lang w:val="en-US"/>
        </w:rPr>
        <w:t xml:space="preserve">1.1 </w:t>
      </w:r>
      <w:r w:rsidR="007F06DA" w:rsidRPr="00A10850">
        <w:rPr>
          <w:rFonts w:ascii="Arial" w:hAnsi="Arial" w:cs="Arial"/>
          <w:b/>
          <w:sz w:val="26"/>
          <w:szCs w:val="26"/>
          <w:lang w:val="en-US"/>
        </w:rPr>
        <w:t xml:space="preserve">Purpose of a </w:t>
      </w:r>
      <w:r w:rsidR="00D2721B" w:rsidRPr="00A10850">
        <w:rPr>
          <w:rFonts w:ascii="Arial" w:hAnsi="Arial" w:cs="Arial"/>
          <w:b/>
          <w:sz w:val="26"/>
          <w:szCs w:val="26"/>
          <w:lang w:val="en-US"/>
        </w:rPr>
        <w:t>pharmaceutical needs assessment</w:t>
      </w:r>
    </w:p>
    <w:p w14:paraId="3C133698" w14:textId="77777777" w:rsidR="00450AF8" w:rsidRPr="00A10850" w:rsidRDefault="00450AF8" w:rsidP="00DC54F7">
      <w:pPr>
        <w:spacing w:after="0" w:line="240" w:lineRule="auto"/>
        <w:contextualSpacing/>
        <w:jc w:val="both"/>
        <w:rPr>
          <w:rFonts w:ascii="Arial" w:hAnsi="Arial" w:cs="Arial"/>
        </w:rPr>
      </w:pPr>
    </w:p>
    <w:p w14:paraId="48223B3C" w14:textId="4D6E1EEB" w:rsidR="00C9187E" w:rsidRPr="00A54D55" w:rsidRDefault="00C9187E" w:rsidP="00DC54F7">
      <w:pPr>
        <w:pStyle w:val="FootnoteText"/>
        <w:jc w:val="both"/>
        <w:rPr>
          <w:rFonts w:ascii="Arial" w:hAnsi="Arial" w:cs="Arial"/>
          <w:sz w:val="24"/>
          <w:szCs w:val="24"/>
        </w:rPr>
      </w:pPr>
      <w:r w:rsidRPr="00A54D55">
        <w:rPr>
          <w:rFonts w:ascii="Arial" w:hAnsi="Arial" w:cs="Arial"/>
          <w:sz w:val="24"/>
          <w:szCs w:val="24"/>
        </w:rPr>
        <w:t xml:space="preserve">The purpose of the </w:t>
      </w:r>
      <w:r w:rsidR="00D2721B" w:rsidRPr="00A54D55">
        <w:rPr>
          <w:rFonts w:ascii="Arial" w:hAnsi="Arial" w:cs="Arial"/>
          <w:sz w:val="24"/>
          <w:szCs w:val="24"/>
        </w:rPr>
        <w:t>pharmaceutical needs assessment</w:t>
      </w:r>
      <w:r w:rsidR="004654D5" w:rsidRPr="00A54D55">
        <w:rPr>
          <w:rFonts w:ascii="Arial" w:hAnsi="Arial" w:cs="Arial"/>
          <w:sz w:val="24"/>
          <w:szCs w:val="24"/>
        </w:rPr>
        <w:t xml:space="preserve"> (PNA)</w:t>
      </w:r>
      <w:r w:rsidRPr="00A54D55">
        <w:rPr>
          <w:rFonts w:ascii="Arial" w:hAnsi="Arial" w:cs="Arial"/>
          <w:sz w:val="24"/>
          <w:szCs w:val="24"/>
        </w:rPr>
        <w:t xml:space="preserve"> is to assess and set out how the provision of pharmaceutical services can meet the hea</w:t>
      </w:r>
      <w:r w:rsidR="00347958" w:rsidRPr="00A54D55">
        <w:rPr>
          <w:rFonts w:ascii="Arial" w:hAnsi="Arial" w:cs="Arial"/>
          <w:sz w:val="24"/>
          <w:szCs w:val="24"/>
        </w:rPr>
        <w:t xml:space="preserve">lth needs of the population of </w:t>
      </w:r>
      <w:r w:rsidR="004654D5" w:rsidRPr="00A54D55">
        <w:rPr>
          <w:rFonts w:ascii="Arial" w:hAnsi="Arial" w:cs="Arial"/>
          <w:sz w:val="24"/>
          <w:szCs w:val="24"/>
        </w:rPr>
        <w:t>a health board’s</w:t>
      </w:r>
      <w:r w:rsidRPr="00A54D55">
        <w:rPr>
          <w:rFonts w:ascii="Arial" w:hAnsi="Arial" w:cs="Arial"/>
          <w:sz w:val="24"/>
          <w:szCs w:val="24"/>
        </w:rPr>
        <w:t xml:space="preserve"> area for </w:t>
      </w:r>
      <w:r w:rsidR="004E2A39" w:rsidRPr="00A54D55">
        <w:rPr>
          <w:rFonts w:ascii="Arial" w:hAnsi="Arial" w:cs="Arial"/>
          <w:sz w:val="24"/>
          <w:szCs w:val="24"/>
        </w:rPr>
        <w:t xml:space="preserve">a period of up to </w:t>
      </w:r>
      <w:r w:rsidR="00CC018E" w:rsidRPr="00A54D55">
        <w:rPr>
          <w:rFonts w:ascii="Arial" w:hAnsi="Arial" w:cs="Arial"/>
          <w:sz w:val="24"/>
          <w:szCs w:val="24"/>
        </w:rPr>
        <w:t>five</w:t>
      </w:r>
      <w:r w:rsidR="004E2A39" w:rsidRPr="00A54D55">
        <w:rPr>
          <w:rFonts w:ascii="Arial" w:hAnsi="Arial" w:cs="Arial"/>
          <w:sz w:val="24"/>
          <w:szCs w:val="24"/>
        </w:rPr>
        <w:t xml:space="preserve"> years, linking</w:t>
      </w:r>
      <w:r w:rsidR="00092B11" w:rsidRPr="00A54D55">
        <w:rPr>
          <w:rFonts w:ascii="Arial" w:hAnsi="Arial" w:cs="Arial"/>
          <w:sz w:val="24"/>
          <w:szCs w:val="24"/>
        </w:rPr>
        <w:t xml:space="preserve"> closely to the</w:t>
      </w:r>
      <w:bookmarkStart w:id="1" w:name="_Hlk65748442"/>
      <w:r w:rsidR="000955CB" w:rsidRPr="00A54D55">
        <w:rPr>
          <w:rFonts w:ascii="Arial" w:hAnsi="Arial" w:cs="Arial"/>
          <w:sz w:val="24"/>
          <w:szCs w:val="24"/>
        </w:rPr>
        <w:t xml:space="preserve"> </w:t>
      </w:r>
      <w:r w:rsidR="00CE1042" w:rsidRPr="00A54D55">
        <w:rPr>
          <w:rFonts w:ascii="Arial" w:hAnsi="Arial" w:cs="Arial"/>
          <w:sz w:val="24"/>
          <w:szCs w:val="24"/>
        </w:rPr>
        <w:t>‘</w:t>
      </w:r>
      <w:r w:rsidR="000955CB" w:rsidRPr="00A54D55">
        <w:rPr>
          <w:rFonts w:ascii="Arial" w:hAnsi="Arial" w:cs="Arial"/>
          <w:sz w:val="24"/>
          <w:szCs w:val="24"/>
        </w:rPr>
        <w:t>Cardiff and Vale Population N</w:t>
      </w:r>
      <w:r w:rsidR="008F1A55" w:rsidRPr="00A54D55">
        <w:rPr>
          <w:rFonts w:ascii="Arial" w:hAnsi="Arial" w:cs="Arial"/>
          <w:sz w:val="24"/>
          <w:szCs w:val="24"/>
        </w:rPr>
        <w:t>e</w:t>
      </w:r>
      <w:r w:rsidR="000955CB" w:rsidRPr="00A54D55">
        <w:rPr>
          <w:rFonts w:ascii="Arial" w:hAnsi="Arial" w:cs="Arial"/>
          <w:sz w:val="24"/>
          <w:szCs w:val="24"/>
        </w:rPr>
        <w:t>eds Assessment</w:t>
      </w:r>
      <w:r w:rsidR="00E37B38" w:rsidRPr="00A54D55">
        <w:rPr>
          <w:rFonts w:ascii="Arial" w:hAnsi="Arial" w:cs="Arial"/>
          <w:sz w:val="24"/>
          <w:szCs w:val="24"/>
        </w:rPr>
        <w:t xml:space="preserve"> </w:t>
      </w:r>
      <w:r w:rsidR="000955CB" w:rsidRPr="00A54D55">
        <w:rPr>
          <w:rFonts w:ascii="Arial" w:hAnsi="Arial" w:cs="Arial"/>
          <w:sz w:val="24"/>
          <w:szCs w:val="24"/>
        </w:rPr>
        <w:t>For Social Services and Well-being (Wales) Act 2014</w:t>
      </w:r>
      <w:r w:rsidR="00CE1042" w:rsidRPr="00A54D55">
        <w:rPr>
          <w:rFonts w:ascii="Arial" w:hAnsi="Arial" w:cs="Arial"/>
          <w:sz w:val="24"/>
          <w:szCs w:val="24"/>
        </w:rPr>
        <w:t>’</w:t>
      </w:r>
      <w:r w:rsidR="00395178" w:rsidRPr="00A54D55">
        <w:rPr>
          <w:rFonts w:ascii="Arial" w:hAnsi="Arial" w:cs="Arial"/>
          <w:sz w:val="24"/>
          <w:szCs w:val="24"/>
        </w:rPr>
        <w:t xml:space="preserve"> and the </w:t>
      </w:r>
      <w:r w:rsidR="008A4A58" w:rsidRPr="00A54D55">
        <w:rPr>
          <w:rFonts w:ascii="Arial" w:hAnsi="Arial" w:cs="Arial"/>
          <w:sz w:val="24"/>
          <w:szCs w:val="24"/>
        </w:rPr>
        <w:t xml:space="preserve">Public Services Board </w:t>
      </w:r>
      <w:r w:rsidR="00171FBF" w:rsidRPr="00A54D55">
        <w:rPr>
          <w:rFonts w:ascii="Arial" w:hAnsi="Arial" w:cs="Arial"/>
          <w:sz w:val="24"/>
          <w:szCs w:val="24"/>
        </w:rPr>
        <w:t>Well-being Assessment</w:t>
      </w:r>
      <w:r w:rsidR="008F1A55" w:rsidRPr="00A54D55">
        <w:rPr>
          <w:rFonts w:ascii="Arial" w:hAnsi="Arial" w:cs="Arial"/>
          <w:sz w:val="24"/>
          <w:szCs w:val="24"/>
        </w:rPr>
        <w:t xml:space="preserve"> (</w:t>
      </w:r>
      <w:r w:rsidR="00171FBF" w:rsidRPr="00A54D55">
        <w:rPr>
          <w:rFonts w:ascii="Arial" w:hAnsi="Arial" w:cs="Arial"/>
          <w:sz w:val="24"/>
          <w:szCs w:val="24"/>
        </w:rPr>
        <w:t>2017</w:t>
      </w:r>
      <w:r w:rsidR="008F1A55" w:rsidRPr="00A54D55">
        <w:rPr>
          <w:rFonts w:ascii="Arial" w:hAnsi="Arial" w:cs="Arial"/>
          <w:sz w:val="24"/>
          <w:szCs w:val="24"/>
        </w:rPr>
        <w:t>)</w:t>
      </w:r>
      <w:r w:rsidR="00AF390F" w:rsidRPr="00A54D55">
        <w:rPr>
          <w:rFonts w:ascii="Arial" w:hAnsi="Arial" w:cs="Arial"/>
          <w:sz w:val="24"/>
          <w:szCs w:val="24"/>
        </w:rPr>
        <w:t xml:space="preserve"> for Cardiff and for the Vale of G</w:t>
      </w:r>
      <w:r w:rsidR="006901C4" w:rsidRPr="00A54D55">
        <w:rPr>
          <w:rFonts w:ascii="Arial" w:hAnsi="Arial" w:cs="Arial"/>
          <w:sz w:val="24"/>
          <w:szCs w:val="24"/>
        </w:rPr>
        <w:t>lamorgan</w:t>
      </w:r>
      <w:r w:rsidR="000955CB" w:rsidRPr="00A54D55">
        <w:rPr>
          <w:rFonts w:ascii="Arial" w:hAnsi="Arial" w:cs="Arial"/>
          <w:sz w:val="24"/>
          <w:szCs w:val="24"/>
        </w:rPr>
        <w:t xml:space="preserve">. </w:t>
      </w:r>
      <w:bookmarkEnd w:id="1"/>
      <w:r w:rsidR="004E2A39" w:rsidRPr="00A54D55">
        <w:rPr>
          <w:rFonts w:ascii="Arial" w:hAnsi="Arial" w:cs="Arial"/>
          <w:sz w:val="24"/>
          <w:szCs w:val="24"/>
        </w:rPr>
        <w:t xml:space="preserve">Whilst </w:t>
      </w:r>
      <w:r w:rsidR="009918DE" w:rsidRPr="00A54D55">
        <w:rPr>
          <w:rFonts w:ascii="Arial" w:hAnsi="Arial" w:cs="Arial"/>
          <w:sz w:val="24"/>
          <w:szCs w:val="24"/>
        </w:rPr>
        <w:t xml:space="preserve">these </w:t>
      </w:r>
      <w:r w:rsidR="004668D8" w:rsidRPr="00A54D55">
        <w:rPr>
          <w:rFonts w:ascii="Arial" w:hAnsi="Arial" w:cs="Arial"/>
          <w:sz w:val="24"/>
          <w:szCs w:val="24"/>
        </w:rPr>
        <w:t xml:space="preserve">respectively </w:t>
      </w:r>
      <w:r w:rsidR="004E2A39" w:rsidRPr="00A54D55">
        <w:rPr>
          <w:rFonts w:ascii="Arial" w:hAnsi="Arial" w:cs="Arial"/>
          <w:sz w:val="24"/>
          <w:szCs w:val="24"/>
        </w:rPr>
        <w:t xml:space="preserve">focus on the </w:t>
      </w:r>
      <w:r w:rsidR="0001481C" w:rsidRPr="00A54D55">
        <w:rPr>
          <w:rFonts w:ascii="Arial" w:hAnsi="Arial" w:cs="Arial"/>
          <w:sz w:val="24"/>
          <w:szCs w:val="24"/>
        </w:rPr>
        <w:t>care and support needs of the population</w:t>
      </w:r>
      <w:r w:rsidR="009918DE" w:rsidRPr="00A54D55">
        <w:rPr>
          <w:rFonts w:ascii="Arial" w:hAnsi="Arial" w:cs="Arial"/>
          <w:sz w:val="24"/>
          <w:szCs w:val="24"/>
        </w:rPr>
        <w:t>,</w:t>
      </w:r>
      <w:r w:rsidR="002C10FB" w:rsidRPr="00A54D55">
        <w:rPr>
          <w:rFonts w:ascii="Arial" w:hAnsi="Arial" w:cs="Arial"/>
          <w:sz w:val="24"/>
          <w:szCs w:val="24"/>
        </w:rPr>
        <w:t xml:space="preserve"> and </w:t>
      </w:r>
      <w:r w:rsidR="00610C89" w:rsidRPr="00A54D55">
        <w:rPr>
          <w:rFonts w:ascii="Arial" w:hAnsi="Arial" w:cs="Arial"/>
          <w:sz w:val="24"/>
          <w:szCs w:val="24"/>
        </w:rPr>
        <w:t>on</w:t>
      </w:r>
      <w:r w:rsidR="00F71C0B" w:rsidRPr="00A54D55">
        <w:rPr>
          <w:rFonts w:ascii="Arial" w:hAnsi="Arial" w:cs="Arial"/>
          <w:sz w:val="24"/>
          <w:szCs w:val="24"/>
        </w:rPr>
        <w:t xml:space="preserve"> improving the well-being </w:t>
      </w:r>
      <w:r w:rsidR="006F5D8F" w:rsidRPr="00A54D55">
        <w:rPr>
          <w:rFonts w:ascii="Arial" w:hAnsi="Arial" w:cs="Arial"/>
          <w:sz w:val="24"/>
          <w:szCs w:val="24"/>
        </w:rPr>
        <w:t>of communities</w:t>
      </w:r>
      <w:r w:rsidR="004E2A39" w:rsidRPr="00A54D55">
        <w:rPr>
          <w:rFonts w:ascii="Arial" w:hAnsi="Arial" w:cs="Arial"/>
          <w:sz w:val="24"/>
          <w:szCs w:val="24"/>
        </w:rPr>
        <w:t xml:space="preserve">, the </w:t>
      </w:r>
      <w:r w:rsidR="004654D5" w:rsidRPr="00A54D55">
        <w:rPr>
          <w:rFonts w:ascii="Arial" w:hAnsi="Arial" w:cs="Arial"/>
          <w:sz w:val="24"/>
          <w:szCs w:val="24"/>
        </w:rPr>
        <w:t>PNA</w:t>
      </w:r>
      <w:r w:rsidR="004E2A39" w:rsidRPr="00A54D55">
        <w:rPr>
          <w:rFonts w:ascii="Arial" w:hAnsi="Arial" w:cs="Arial"/>
          <w:sz w:val="24"/>
          <w:szCs w:val="24"/>
        </w:rPr>
        <w:t xml:space="preserve"> </w:t>
      </w:r>
      <w:r w:rsidR="007B4886" w:rsidRPr="00A54D55">
        <w:rPr>
          <w:rFonts w:ascii="Arial" w:hAnsi="Arial" w:cs="Arial"/>
          <w:sz w:val="24"/>
          <w:szCs w:val="24"/>
        </w:rPr>
        <w:t>looks at how</w:t>
      </w:r>
      <w:r w:rsidR="00523C97" w:rsidRPr="00A54D55">
        <w:rPr>
          <w:rFonts w:ascii="Arial" w:hAnsi="Arial" w:cs="Arial"/>
          <w:sz w:val="24"/>
          <w:szCs w:val="24"/>
        </w:rPr>
        <w:t xml:space="preserve"> </w:t>
      </w:r>
      <w:r w:rsidR="006F5D8F" w:rsidRPr="00A54D55">
        <w:rPr>
          <w:rFonts w:ascii="Arial" w:hAnsi="Arial" w:cs="Arial"/>
          <w:sz w:val="24"/>
          <w:szCs w:val="24"/>
        </w:rPr>
        <w:t xml:space="preserve">the </w:t>
      </w:r>
      <w:r w:rsidR="004668D8" w:rsidRPr="00A54D55">
        <w:rPr>
          <w:rFonts w:ascii="Arial" w:hAnsi="Arial" w:cs="Arial"/>
          <w:sz w:val="24"/>
          <w:szCs w:val="24"/>
        </w:rPr>
        <w:t xml:space="preserve">population </w:t>
      </w:r>
      <w:r w:rsidR="007B4886" w:rsidRPr="00A54D55">
        <w:rPr>
          <w:rFonts w:ascii="Arial" w:hAnsi="Arial" w:cs="Arial"/>
          <w:sz w:val="24"/>
          <w:szCs w:val="24"/>
        </w:rPr>
        <w:t xml:space="preserve">health needs </w:t>
      </w:r>
      <w:r w:rsidR="004E2A39" w:rsidRPr="00A54D55">
        <w:rPr>
          <w:rFonts w:ascii="Arial" w:hAnsi="Arial" w:cs="Arial"/>
          <w:sz w:val="24"/>
          <w:szCs w:val="24"/>
        </w:rPr>
        <w:t xml:space="preserve">can be met by pharmaceutical services commissioned by </w:t>
      </w:r>
      <w:r w:rsidR="004654D5" w:rsidRPr="00A54D55">
        <w:rPr>
          <w:rFonts w:ascii="Arial" w:hAnsi="Arial" w:cs="Arial"/>
          <w:sz w:val="24"/>
          <w:szCs w:val="24"/>
        </w:rPr>
        <w:t>the health board</w:t>
      </w:r>
      <w:r w:rsidRPr="00A54D55">
        <w:rPr>
          <w:rFonts w:ascii="Arial" w:hAnsi="Arial" w:cs="Arial"/>
          <w:sz w:val="24"/>
          <w:szCs w:val="24"/>
        </w:rPr>
        <w:t>.</w:t>
      </w:r>
    </w:p>
    <w:p w14:paraId="64475AB7" w14:textId="77777777" w:rsidR="00C9187E" w:rsidRPr="00A54D55" w:rsidRDefault="00C9187E" w:rsidP="00DC54F7">
      <w:pPr>
        <w:spacing w:after="0" w:line="240" w:lineRule="auto"/>
        <w:contextualSpacing/>
        <w:jc w:val="both"/>
        <w:rPr>
          <w:rFonts w:ascii="Arial" w:hAnsi="Arial" w:cs="Arial"/>
          <w:sz w:val="24"/>
          <w:szCs w:val="24"/>
        </w:rPr>
      </w:pPr>
    </w:p>
    <w:p w14:paraId="20700A3B" w14:textId="33500D28" w:rsidR="006E5271" w:rsidRPr="00A54D55" w:rsidRDefault="002A6471" w:rsidP="00DC54F7">
      <w:pPr>
        <w:spacing w:after="0" w:line="240" w:lineRule="auto"/>
        <w:contextualSpacing/>
        <w:jc w:val="both"/>
        <w:rPr>
          <w:rFonts w:ascii="Arial" w:hAnsi="Arial" w:cs="Arial"/>
          <w:sz w:val="24"/>
          <w:szCs w:val="24"/>
        </w:rPr>
      </w:pPr>
      <w:r w:rsidRPr="00A54D55">
        <w:rPr>
          <w:rFonts w:ascii="Arial" w:hAnsi="Arial" w:cs="Arial"/>
          <w:sz w:val="24"/>
          <w:szCs w:val="24"/>
        </w:rPr>
        <w:t xml:space="preserve">If a person (a pharmacy </w:t>
      </w:r>
      <w:r w:rsidR="00C9187E" w:rsidRPr="00A54D55">
        <w:rPr>
          <w:rFonts w:ascii="Arial" w:hAnsi="Arial" w:cs="Arial"/>
          <w:sz w:val="24"/>
          <w:szCs w:val="24"/>
        </w:rPr>
        <w:t xml:space="preserve">or a </w:t>
      </w:r>
      <w:r w:rsidR="004E2A39" w:rsidRPr="00A54D55">
        <w:rPr>
          <w:rFonts w:ascii="Arial" w:hAnsi="Arial" w:cs="Arial"/>
          <w:sz w:val="24"/>
          <w:szCs w:val="24"/>
        </w:rPr>
        <w:t>dispensing appliance contractor</w:t>
      </w:r>
      <w:r w:rsidRPr="00A54D55">
        <w:rPr>
          <w:rFonts w:ascii="Arial" w:hAnsi="Arial" w:cs="Arial"/>
          <w:sz w:val="24"/>
          <w:szCs w:val="24"/>
        </w:rPr>
        <w:t>) wants to provide</w:t>
      </w:r>
      <w:r w:rsidR="00C9187E" w:rsidRPr="00A54D55">
        <w:rPr>
          <w:rFonts w:ascii="Arial" w:hAnsi="Arial" w:cs="Arial"/>
          <w:sz w:val="24"/>
          <w:szCs w:val="24"/>
        </w:rPr>
        <w:t xml:space="preserve"> pharmaceutical services, they are required to apply to </w:t>
      </w:r>
      <w:r w:rsidR="004654D5" w:rsidRPr="00A54D55">
        <w:rPr>
          <w:rFonts w:ascii="Arial" w:hAnsi="Arial" w:cs="Arial"/>
          <w:sz w:val="24"/>
          <w:szCs w:val="24"/>
        </w:rPr>
        <w:t>the health board,</w:t>
      </w:r>
      <w:r w:rsidR="00C9187E" w:rsidRPr="00A54D55">
        <w:rPr>
          <w:rFonts w:ascii="Arial" w:hAnsi="Arial" w:cs="Arial"/>
          <w:sz w:val="24"/>
          <w:szCs w:val="24"/>
        </w:rPr>
        <w:t xml:space="preserve"> </w:t>
      </w:r>
      <w:r w:rsidR="004654D5" w:rsidRPr="00A54D55">
        <w:rPr>
          <w:rFonts w:ascii="Arial" w:hAnsi="Arial" w:cs="Arial"/>
          <w:sz w:val="24"/>
          <w:szCs w:val="24"/>
        </w:rPr>
        <w:t xml:space="preserve">in whose area the premises are to be located, </w:t>
      </w:r>
      <w:r w:rsidR="00C9187E" w:rsidRPr="00A54D55">
        <w:rPr>
          <w:rFonts w:ascii="Arial" w:hAnsi="Arial" w:cs="Arial"/>
          <w:sz w:val="24"/>
          <w:szCs w:val="24"/>
        </w:rPr>
        <w:t xml:space="preserve">to be included in </w:t>
      </w:r>
      <w:r w:rsidR="004654D5" w:rsidRPr="00A54D55">
        <w:rPr>
          <w:rFonts w:ascii="Arial" w:hAnsi="Arial" w:cs="Arial"/>
          <w:sz w:val="24"/>
          <w:szCs w:val="24"/>
        </w:rPr>
        <w:t>its</w:t>
      </w:r>
      <w:r w:rsidR="00C9187E" w:rsidRPr="00A54D55">
        <w:rPr>
          <w:rFonts w:ascii="Arial" w:hAnsi="Arial" w:cs="Arial"/>
          <w:sz w:val="24"/>
          <w:szCs w:val="24"/>
        </w:rPr>
        <w:t xml:space="preserve"> pharmaceutical list.</w:t>
      </w:r>
      <w:r w:rsidR="006E6177" w:rsidRPr="00A54D55">
        <w:rPr>
          <w:rFonts w:ascii="Arial" w:hAnsi="Arial" w:cs="Arial"/>
          <w:sz w:val="24"/>
          <w:szCs w:val="24"/>
        </w:rPr>
        <w:t xml:space="preserve"> </w:t>
      </w:r>
      <w:r w:rsidR="00E16236">
        <w:rPr>
          <w:rFonts w:ascii="Arial" w:hAnsi="Arial" w:cs="Arial"/>
          <w:sz w:val="24"/>
          <w:szCs w:val="24"/>
        </w:rPr>
        <w:t>T</w:t>
      </w:r>
      <w:r w:rsidR="00C9187E" w:rsidRPr="00A54D55">
        <w:rPr>
          <w:rFonts w:ascii="Arial" w:hAnsi="Arial" w:cs="Arial"/>
          <w:sz w:val="24"/>
          <w:szCs w:val="24"/>
        </w:rPr>
        <w:t xml:space="preserve">heir application must offer to meet a need that is set out in </w:t>
      </w:r>
      <w:r w:rsidR="004654D5" w:rsidRPr="00A54D55">
        <w:rPr>
          <w:rFonts w:ascii="Arial" w:hAnsi="Arial" w:cs="Arial"/>
          <w:sz w:val="24"/>
          <w:szCs w:val="24"/>
        </w:rPr>
        <w:t>that health board’s</w:t>
      </w:r>
      <w:r w:rsidR="00C9187E" w:rsidRPr="00A54D55">
        <w:rPr>
          <w:rFonts w:ascii="Arial" w:hAnsi="Arial" w:cs="Arial"/>
          <w:sz w:val="24"/>
          <w:szCs w:val="24"/>
        </w:rPr>
        <w:t xml:space="preserve"> </w:t>
      </w:r>
      <w:r w:rsidR="004654D5" w:rsidRPr="00A54D55">
        <w:rPr>
          <w:rFonts w:ascii="Arial" w:hAnsi="Arial" w:cs="Arial"/>
          <w:sz w:val="24"/>
          <w:szCs w:val="24"/>
        </w:rPr>
        <w:t>PNA</w:t>
      </w:r>
      <w:r w:rsidR="00C9187E" w:rsidRPr="00A54D55">
        <w:rPr>
          <w:rFonts w:ascii="Arial" w:hAnsi="Arial" w:cs="Arial"/>
          <w:sz w:val="24"/>
          <w:szCs w:val="24"/>
        </w:rPr>
        <w:t>.</w:t>
      </w:r>
      <w:r w:rsidR="006E6177" w:rsidRPr="00A54D55">
        <w:rPr>
          <w:rFonts w:ascii="Arial" w:hAnsi="Arial" w:cs="Arial"/>
          <w:sz w:val="24"/>
          <w:szCs w:val="24"/>
        </w:rPr>
        <w:t xml:space="preserve"> </w:t>
      </w:r>
      <w:r w:rsidR="00C9187E" w:rsidRPr="00A54D55">
        <w:rPr>
          <w:rFonts w:ascii="Arial" w:hAnsi="Arial" w:cs="Arial"/>
          <w:sz w:val="24"/>
          <w:szCs w:val="24"/>
        </w:rPr>
        <w:t xml:space="preserve">There are however some exceptions to this </w:t>
      </w:r>
      <w:r w:rsidR="00F56E8C" w:rsidRPr="00A54D55">
        <w:rPr>
          <w:rFonts w:ascii="Arial" w:hAnsi="Arial" w:cs="Arial"/>
          <w:sz w:val="24"/>
          <w:szCs w:val="24"/>
        </w:rPr>
        <w:t>e.g.,</w:t>
      </w:r>
      <w:r w:rsidR="00C9187E" w:rsidRPr="00A54D55">
        <w:rPr>
          <w:rFonts w:ascii="Arial" w:hAnsi="Arial" w:cs="Arial"/>
          <w:sz w:val="24"/>
          <w:szCs w:val="24"/>
        </w:rPr>
        <w:t xml:space="preserve"> </w:t>
      </w:r>
      <w:r w:rsidR="004654D5" w:rsidRPr="00A54D55">
        <w:rPr>
          <w:rFonts w:ascii="Arial" w:hAnsi="Arial" w:cs="Arial"/>
          <w:sz w:val="24"/>
          <w:szCs w:val="24"/>
        </w:rPr>
        <w:t>change of ownership applications</w:t>
      </w:r>
      <w:r w:rsidR="00C9187E" w:rsidRPr="00A54D55">
        <w:rPr>
          <w:rFonts w:ascii="Arial" w:hAnsi="Arial" w:cs="Arial"/>
          <w:sz w:val="24"/>
          <w:szCs w:val="24"/>
        </w:rPr>
        <w:t>.</w:t>
      </w:r>
    </w:p>
    <w:p w14:paraId="0545348E" w14:textId="77777777" w:rsidR="005A20CD" w:rsidRPr="00A54D55" w:rsidRDefault="005A20CD" w:rsidP="00DC54F7">
      <w:pPr>
        <w:spacing w:after="0" w:line="240" w:lineRule="auto"/>
        <w:contextualSpacing/>
        <w:jc w:val="both"/>
        <w:rPr>
          <w:rFonts w:ascii="Arial" w:hAnsi="Arial" w:cs="Arial"/>
          <w:sz w:val="24"/>
          <w:szCs w:val="24"/>
        </w:rPr>
      </w:pPr>
    </w:p>
    <w:p w14:paraId="4AFDEB20" w14:textId="30EE7A29" w:rsidR="005A20CD" w:rsidRPr="00A54D55" w:rsidRDefault="005A20CD" w:rsidP="00DC54F7">
      <w:pPr>
        <w:spacing w:after="0" w:line="240" w:lineRule="auto"/>
        <w:contextualSpacing/>
        <w:jc w:val="both"/>
        <w:rPr>
          <w:rFonts w:ascii="Arial" w:hAnsi="Arial" w:cs="Arial"/>
          <w:sz w:val="24"/>
          <w:szCs w:val="24"/>
        </w:rPr>
      </w:pPr>
      <w:r w:rsidRPr="00A54D55">
        <w:rPr>
          <w:rFonts w:ascii="Arial" w:hAnsi="Arial" w:cs="Arial"/>
          <w:sz w:val="24"/>
          <w:szCs w:val="24"/>
        </w:rPr>
        <w:t xml:space="preserve">If a GP wishes to dispense to a new area or from new or additional </w:t>
      </w:r>
      <w:r w:rsidR="00F56E8C" w:rsidRPr="00A54D55">
        <w:rPr>
          <w:rFonts w:ascii="Arial" w:hAnsi="Arial" w:cs="Arial"/>
          <w:sz w:val="24"/>
          <w:szCs w:val="24"/>
        </w:rPr>
        <w:t>premises,</w:t>
      </w:r>
      <w:r w:rsidRPr="00A54D55">
        <w:rPr>
          <w:rFonts w:ascii="Arial" w:hAnsi="Arial" w:cs="Arial"/>
          <w:sz w:val="24"/>
          <w:szCs w:val="24"/>
        </w:rPr>
        <w:t xml:space="preserve"> they are also required to apply to the health board to be included in its dispensing doctor list or for a new area or new or additional premises to be listed in relation to them.  </w:t>
      </w:r>
      <w:r w:rsidR="00E16236">
        <w:rPr>
          <w:rFonts w:ascii="Arial" w:hAnsi="Arial" w:cs="Arial"/>
          <w:sz w:val="24"/>
          <w:szCs w:val="24"/>
        </w:rPr>
        <w:t>T</w:t>
      </w:r>
      <w:r w:rsidRPr="00A54D55">
        <w:rPr>
          <w:rFonts w:ascii="Arial" w:hAnsi="Arial" w:cs="Arial"/>
          <w:sz w:val="24"/>
          <w:szCs w:val="24"/>
        </w:rPr>
        <w:t>heir application must also offer to meet a need that is set out in that health board’s PNA.</w:t>
      </w:r>
    </w:p>
    <w:p w14:paraId="0A3205AB" w14:textId="77777777" w:rsidR="00C9187E" w:rsidRPr="00A54D55" w:rsidRDefault="00C9187E" w:rsidP="00DC54F7">
      <w:pPr>
        <w:spacing w:after="0" w:line="240" w:lineRule="auto"/>
        <w:contextualSpacing/>
        <w:jc w:val="both"/>
        <w:rPr>
          <w:rFonts w:ascii="Arial" w:hAnsi="Arial" w:cs="Arial"/>
          <w:sz w:val="24"/>
          <w:szCs w:val="24"/>
        </w:rPr>
      </w:pPr>
    </w:p>
    <w:p w14:paraId="3C1018D5" w14:textId="77777777" w:rsidR="005A5CEC" w:rsidRPr="00A54D55" w:rsidRDefault="00C9187E" w:rsidP="00DC54F7">
      <w:pPr>
        <w:spacing w:after="0" w:line="240" w:lineRule="auto"/>
        <w:contextualSpacing/>
        <w:jc w:val="both"/>
        <w:rPr>
          <w:rFonts w:ascii="Arial" w:hAnsi="Arial" w:cs="Arial"/>
          <w:sz w:val="24"/>
          <w:szCs w:val="24"/>
        </w:rPr>
      </w:pPr>
      <w:r w:rsidRPr="00A54D55">
        <w:rPr>
          <w:rFonts w:ascii="Arial" w:hAnsi="Arial" w:cs="Arial"/>
          <w:sz w:val="24"/>
          <w:szCs w:val="24"/>
        </w:rPr>
        <w:t xml:space="preserve">As well as identifying if there is a need for additional premises, the </w:t>
      </w:r>
      <w:r w:rsidR="004654D5" w:rsidRPr="00A54D55">
        <w:rPr>
          <w:rFonts w:ascii="Arial" w:hAnsi="Arial" w:cs="Arial"/>
          <w:sz w:val="24"/>
          <w:szCs w:val="24"/>
        </w:rPr>
        <w:t>PNA</w:t>
      </w:r>
      <w:r w:rsidRPr="00A54D55">
        <w:rPr>
          <w:rFonts w:ascii="Arial" w:hAnsi="Arial" w:cs="Arial"/>
          <w:sz w:val="24"/>
          <w:szCs w:val="24"/>
        </w:rPr>
        <w:t xml:space="preserve"> will also identify whether</w:t>
      </w:r>
      <w:r w:rsidR="002A6471" w:rsidRPr="00A54D55">
        <w:rPr>
          <w:rFonts w:ascii="Arial" w:hAnsi="Arial" w:cs="Arial"/>
          <w:sz w:val="24"/>
          <w:szCs w:val="24"/>
        </w:rPr>
        <w:t xml:space="preserve"> there</w:t>
      </w:r>
      <w:r w:rsidRPr="00A54D55">
        <w:rPr>
          <w:rFonts w:ascii="Arial" w:hAnsi="Arial" w:cs="Arial"/>
          <w:sz w:val="24"/>
          <w:szCs w:val="24"/>
        </w:rPr>
        <w:t xml:space="preserve"> is a need for an additional service or services.</w:t>
      </w:r>
      <w:r w:rsidR="006E6177" w:rsidRPr="00A54D55">
        <w:rPr>
          <w:rFonts w:ascii="Arial" w:hAnsi="Arial" w:cs="Arial"/>
          <w:sz w:val="24"/>
          <w:szCs w:val="24"/>
        </w:rPr>
        <w:t xml:space="preserve"> </w:t>
      </w:r>
      <w:r w:rsidR="005A5CEC" w:rsidRPr="00A54D55">
        <w:rPr>
          <w:rFonts w:ascii="Arial" w:hAnsi="Arial" w:cs="Arial"/>
          <w:sz w:val="24"/>
          <w:szCs w:val="24"/>
        </w:rPr>
        <w:t xml:space="preserve">Identified needs could </w:t>
      </w:r>
      <w:r w:rsidR="002A6471" w:rsidRPr="00A54D55">
        <w:rPr>
          <w:rFonts w:ascii="Arial" w:hAnsi="Arial" w:cs="Arial"/>
          <w:sz w:val="24"/>
          <w:szCs w:val="24"/>
        </w:rPr>
        <w:t xml:space="preserve">either </w:t>
      </w:r>
      <w:r w:rsidR="005A5CEC" w:rsidRPr="00A54D55">
        <w:rPr>
          <w:rFonts w:ascii="Arial" w:hAnsi="Arial" w:cs="Arial"/>
          <w:sz w:val="24"/>
          <w:szCs w:val="24"/>
        </w:rPr>
        <w:t xml:space="preserve">be current or </w:t>
      </w:r>
      <w:r w:rsidR="002A6471" w:rsidRPr="00A54D55">
        <w:rPr>
          <w:rFonts w:ascii="Arial" w:hAnsi="Arial" w:cs="Arial"/>
          <w:sz w:val="24"/>
          <w:szCs w:val="24"/>
        </w:rPr>
        <w:t xml:space="preserve">will arise </w:t>
      </w:r>
      <w:r w:rsidR="005A5CEC" w:rsidRPr="00A54D55">
        <w:rPr>
          <w:rFonts w:ascii="Arial" w:hAnsi="Arial" w:cs="Arial"/>
          <w:sz w:val="24"/>
          <w:szCs w:val="24"/>
        </w:rPr>
        <w:t>within the</w:t>
      </w:r>
      <w:r w:rsidR="00FA22FE" w:rsidRPr="00A54D55">
        <w:rPr>
          <w:rFonts w:ascii="Arial" w:hAnsi="Arial" w:cs="Arial"/>
          <w:sz w:val="24"/>
          <w:szCs w:val="24"/>
        </w:rPr>
        <w:t xml:space="preserve"> </w:t>
      </w:r>
      <w:r w:rsidR="004654D5" w:rsidRPr="00A54D55">
        <w:rPr>
          <w:rFonts w:ascii="Arial" w:hAnsi="Arial" w:cs="Arial"/>
          <w:sz w:val="24"/>
          <w:szCs w:val="24"/>
        </w:rPr>
        <w:t>five</w:t>
      </w:r>
      <w:r w:rsidR="00FA22FE" w:rsidRPr="00A54D55">
        <w:rPr>
          <w:rFonts w:ascii="Arial" w:hAnsi="Arial" w:cs="Arial"/>
          <w:sz w:val="24"/>
          <w:szCs w:val="24"/>
        </w:rPr>
        <w:t xml:space="preserve"> year</w:t>
      </w:r>
      <w:r w:rsidR="005A5CEC" w:rsidRPr="00A54D55">
        <w:rPr>
          <w:rFonts w:ascii="Arial" w:hAnsi="Arial" w:cs="Arial"/>
          <w:sz w:val="24"/>
          <w:szCs w:val="24"/>
        </w:rPr>
        <w:t xml:space="preserve"> lifetime of the </w:t>
      </w:r>
      <w:r w:rsidR="004654D5" w:rsidRPr="00A54D55">
        <w:rPr>
          <w:rFonts w:ascii="Arial" w:hAnsi="Arial" w:cs="Arial"/>
          <w:sz w:val="24"/>
          <w:szCs w:val="24"/>
        </w:rPr>
        <w:t>PNA</w:t>
      </w:r>
      <w:r w:rsidR="005A5CEC" w:rsidRPr="00A54D55">
        <w:rPr>
          <w:rFonts w:ascii="Arial" w:hAnsi="Arial" w:cs="Arial"/>
          <w:sz w:val="24"/>
          <w:szCs w:val="24"/>
        </w:rPr>
        <w:t>.</w:t>
      </w:r>
    </w:p>
    <w:p w14:paraId="5095878F" w14:textId="1748EAA3" w:rsidR="00C9187E" w:rsidRDefault="00C9187E" w:rsidP="00DC54F7">
      <w:pPr>
        <w:spacing w:after="0" w:line="240" w:lineRule="auto"/>
        <w:contextualSpacing/>
        <w:jc w:val="both"/>
        <w:rPr>
          <w:rFonts w:ascii="Arial" w:hAnsi="Arial" w:cs="Arial"/>
        </w:rPr>
      </w:pPr>
    </w:p>
    <w:p w14:paraId="635E1DD2" w14:textId="77777777" w:rsidR="00A54D55" w:rsidRPr="00A10850" w:rsidRDefault="00A54D55" w:rsidP="00DC54F7">
      <w:pPr>
        <w:spacing w:after="0" w:line="240" w:lineRule="auto"/>
        <w:contextualSpacing/>
        <w:jc w:val="both"/>
        <w:rPr>
          <w:rFonts w:ascii="Arial" w:hAnsi="Arial" w:cs="Arial"/>
        </w:rPr>
      </w:pPr>
    </w:p>
    <w:p w14:paraId="137E4D2C" w14:textId="77777777" w:rsidR="007C684A" w:rsidRPr="00A10850" w:rsidRDefault="006F0A84" w:rsidP="00DC54F7">
      <w:pPr>
        <w:spacing w:after="0" w:line="240" w:lineRule="auto"/>
        <w:jc w:val="both"/>
        <w:rPr>
          <w:rFonts w:ascii="Arial" w:hAnsi="Arial" w:cs="Arial"/>
          <w:b/>
          <w:sz w:val="26"/>
          <w:szCs w:val="26"/>
          <w:lang w:val="en-US"/>
        </w:rPr>
      </w:pPr>
      <w:r w:rsidRPr="00A10850">
        <w:rPr>
          <w:rFonts w:ascii="Arial" w:hAnsi="Arial" w:cs="Arial"/>
          <w:b/>
          <w:sz w:val="26"/>
          <w:szCs w:val="26"/>
          <w:lang w:val="en-US"/>
        </w:rPr>
        <w:t xml:space="preserve">1.2 </w:t>
      </w:r>
      <w:r w:rsidR="00735FB3" w:rsidRPr="00A10850">
        <w:rPr>
          <w:rFonts w:ascii="Arial" w:hAnsi="Arial" w:cs="Arial"/>
          <w:b/>
          <w:sz w:val="26"/>
          <w:szCs w:val="26"/>
          <w:lang w:val="en-US"/>
        </w:rPr>
        <w:t xml:space="preserve">Health </w:t>
      </w:r>
      <w:r w:rsidR="004654D5" w:rsidRPr="00A10850">
        <w:rPr>
          <w:rFonts w:ascii="Arial" w:hAnsi="Arial" w:cs="Arial"/>
          <w:b/>
          <w:sz w:val="26"/>
          <w:szCs w:val="26"/>
          <w:lang w:val="en-US"/>
        </w:rPr>
        <w:t>b</w:t>
      </w:r>
      <w:r w:rsidR="00735FB3" w:rsidRPr="00A10850">
        <w:rPr>
          <w:rFonts w:ascii="Arial" w:hAnsi="Arial" w:cs="Arial"/>
          <w:b/>
          <w:sz w:val="26"/>
          <w:szCs w:val="26"/>
          <w:lang w:val="en-US"/>
        </w:rPr>
        <w:t xml:space="preserve">oard </w:t>
      </w:r>
      <w:r w:rsidR="00F22838" w:rsidRPr="00A10850">
        <w:rPr>
          <w:rFonts w:ascii="Arial" w:hAnsi="Arial" w:cs="Arial"/>
          <w:b/>
          <w:sz w:val="26"/>
          <w:szCs w:val="26"/>
          <w:lang w:val="en-US"/>
        </w:rPr>
        <w:t xml:space="preserve">duties in respect of the </w:t>
      </w:r>
      <w:r w:rsidR="00D2721B" w:rsidRPr="00A10850">
        <w:rPr>
          <w:rFonts w:ascii="Arial" w:hAnsi="Arial" w:cs="Arial"/>
          <w:b/>
          <w:sz w:val="26"/>
          <w:szCs w:val="26"/>
          <w:lang w:val="en-US"/>
        </w:rPr>
        <w:t>pharmaceutical needs assessment</w:t>
      </w:r>
    </w:p>
    <w:p w14:paraId="6F634AC0" w14:textId="77777777" w:rsidR="00F22838" w:rsidRPr="00A10850" w:rsidRDefault="00F22838" w:rsidP="00DC54F7">
      <w:pPr>
        <w:spacing w:after="0" w:line="240" w:lineRule="auto"/>
        <w:contextualSpacing/>
        <w:jc w:val="both"/>
        <w:rPr>
          <w:rFonts w:ascii="Arial" w:hAnsi="Arial" w:cs="Arial"/>
          <w:lang w:val="en-US"/>
        </w:rPr>
      </w:pPr>
    </w:p>
    <w:p w14:paraId="4F37A9AD" w14:textId="77777777" w:rsidR="00F22838" w:rsidRPr="00A54D55" w:rsidRDefault="00F22838" w:rsidP="00DC54F7">
      <w:pPr>
        <w:spacing w:after="0" w:line="240" w:lineRule="auto"/>
        <w:contextualSpacing/>
        <w:jc w:val="both"/>
        <w:rPr>
          <w:rFonts w:ascii="Arial" w:hAnsi="Arial" w:cs="Arial"/>
          <w:sz w:val="24"/>
          <w:szCs w:val="24"/>
          <w:lang w:val="en-US"/>
        </w:rPr>
      </w:pPr>
      <w:r w:rsidRPr="00A54D55">
        <w:rPr>
          <w:rFonts w:ascii="Arial" w:hAnsi="Arial" w:cs="Arial"/>
          <w:sz w:val="24"/>
          <w:szCs w:val="24"/>
          <w:lang w:val="en-US"/>
        </w:rPr>
        <w:t xml:space="preserve">Further information on the </w:t>
      </w:r>
      <w:r w:rsidR="004654D5" w:rsidRPr="00A54D55">
        <w:rPr>
          <w:rFonts w:ascii="Arial" w:hAnsi="Arial" w:cs="Arial"/>
          <w:sz w:val="24"/>
          <w:szCs w:val="24"/>
          <w:lang w:val="en-US"/>
        </w:rPr>
        <w:t>h</w:t>
      </w:r>
      <w:r w:rsidR="007F6811" w:rsidRPr="00A54D55">
        <w:rPr>
          <w:rFonts w:ascii="Arial" w:hAnsi="Arial" w:cs="Arial"/>
          <w:sz w:val="24"/>
          <w:szCs w:val="24"/>
          <w:lang w:val="en-US"/>
        </w:rPr>
        <w:t xml:space="preserve">ealth </w:t>
      </w:r>
      <w:r w:rsidR="004654D5" w:rsidRPr="00A54D55">
        <w:rPr>
          <w:rFonts w:ascii="Arial" w:hAnsi="Arial" w:cs="Arial"/>
          <w:sz w:val="24"/>
          <w:szCs w:val="24"/>
          <w:lang w:val="en-US"/>
        </w:rPr>
        <w:t>b</w:t>
      </w:r>
      <w:r w:rsidR="007F6811" w:rsidRPr="00A54D55">
        <w:rPr>
          <w:rFonts w:ascii="Arial" w:hAnsi="Arial" w:cs="Arial"/>
          <w:sz w:val="24"/>
          <w:szCs w:val="24"/>
          <w:lang w:val="en-US"/>
        </w:rPr>
        <w:t>oard</w:t>
      </w:r>
      <w:r w:rsidRPr="00A54D55">
        <w:rPr>
          <w:rFonts w:ascii="Arial" w:hAnsi="Arial" w:cs="Arial"/>
          <w:sz w:val="24"/>
          <w:szCs w:val="24"/>
          <w:lang w:val="en-US"/>
        </w:rPr>
        <w:t>’s specific duties in relation to</w:t>
      </w:r>
      <w:r w:rsidR="002F22A1" w:rsidRPr="00A54D55">
        <w:rPr>
          <w:rFonts w:ascii="Arial" w:hAnsi="Arial" w:cs="Arial"/>
          <w:sz w:val="24"/>
          <w:szCs w:val="24"/>
          <w:lang w:val="en-US"/>
        </w:rPr>
        <w:t xml:space="preserve"> </w:t>
      </w:r>
      <w:r w:rsidR="004654D5" w:rsidRPr="00A54D55">
        <w:rPr>
          <w:rFonts w:ascii="Arial" w:hAnsi="Arial" w:cs="Arial"/>
          <w:sz w:val="24"/>
          <w:szCs w:val="24"/>
          <w:lang w:val="en-US"/>
        </w:rPr>
        <w:t>PNA</w:t>
      </w:r>
      <w:r w:rsidR="002F22A1" w:rsidRPr="00A54D55">
        <w:rPr>
          <w:rFonts w:ascii="Arial" w:hAnsi="Arial" w:cs="Arial"/>
          <w:sz w:val="24"/>
          <w:szCs w:val="24"/>
          <w:lang w:val="en-US"/>
        </w:rPr>
        <w:t xml:space="preserve">s </w:t>
      </w:r>
      <w:r w:rsidR="00B871E4" w:rsidRPr="00A54D55">
        <w:rPr>
          <w:rFonts w:ascii="Arial" w:hAnsi="Arial" w:cs="Arial"/>
          <w:sz w:val="24"/>
          <w:szCs w:val="24"/>
          <w:lang w:val="en-US"/>
        </w:rPr>
        <w:t xml:space="preserve">and the policy background to </w:t>
      </w:r>
      <w:r w:rsidR="006C2F60" w:rsidRPr="00A54D55">
        <w:rPr>
          <w:rFonts w:ascii="Arial" w:hAnsi="Arial" w:cs="Arial"/>
          <w:sz w:val="24"/>
          <w:szCs w:val="24"/>
          <w:lang w:val="en-US"/>
        </w:rPr>
        <w:t>PNAs</w:t>
      </w:r>
      <w:r w:rsidR="00B871E4" w:rsidRPr="00A54D55">
        <w:rPr>
          <w:rFonts w:ascii="Arial" w:hAnsi="Arial" w:cs="Arial"/>
          <w:sz w:val="24"/>
          <w:szCs w:val="24"/>
          <w:lang w:val="en-US"/>
        </w:rPr>
        <w:t xml:space="preserve"> </w:t>
      </w:r>
      <w:r w:rsidR="002F22A1" w:rsidRPr="00A54D55">
        <w:rPr>
          <w:rFonts w:ascii="Arial" w:hAnsi="Arial" w:cs="Arial"/>
          <w:sz w:val="24"/>
          <w:szCs w:val="24"/>
          <w:lang w:val="en-US"/>
        </w:rPr>
        <w:t>can be found in appendix</w:t>
      </w:r>
      <w:r w:rsidR="00A366D5" w:rsidRPr="00A54D55">
        <w:rPr>
          <w:rFonts w:ascii="Arial" w:hAnsi="Arial" w:cs="Arial"/>
          <w:sz w:val="24"/>
          <w:szCs w:val="24"/>
          <w:lang w:val="en-US"/>
        </w:rPr>
        <w:t xml:space="preserve"> A</w:t>
      </w:r>
      <w:r w:rsidRPr="00A54D55">
        <w:rPr>
          <w:rFonts w:ascii="Arial" w:hAnsi="Arial" w:cs="Arial"/>
          <w:sz w:val="24"/>
          <w:szCs w:val="24"/>
          <w:lang w:val="en-US"/>
        </w:rPr>
        <w:t>, however</w:t>
      </w:r>
      <w:r w:rsidR="00F45747" w:rsidRPr="00A54D55">
        <w:rPr>
          <w:rFonts w:ascii="Arial" w:hAnsi="Arial" w:cs="Arial"/>
          <w:sz w:val="24"/>
          <w:szCs w:val="24"/>
          <w:lang w:val="en-US"/>
        </w:rPr>
        <w:t xml:space="preserve"> </w:t>
      </w:r>
      <w:r w:rsidR="00172120" w:rsidRPr="00A54D55">
        <w:rPr>
          <w:rFonts w:ascii="Arial" w:hAnsi="Arial" w:cs="Arial"/>
          <w:sz w:val="24"/>
          <w:szCs w:val="24"/>
          <w:lang w:val="en-US"/>
        </w:rPr>
        <w:t xml:space="preserve">in </w:t>
      </w:r>
      <w:r w:rsidR="00F45747" w:rsidRPr="00A54D55">
        <w:rPr>
          <w:rFonts w:ascii="Arial" w:hAnsi="Arial" w:cs="Arial"/>
          <w:sz w:val="24"/>
          <w:szCs w:val="24"/>
          <w:lang w:val="en-US"/>
        </w:rPr>
        <w:t>summary</w:t>
      </w:r>
      <w:r w:rsidR="004654D5" w:rsidRPr="00A54D55">
        <w:rPr>
          <w:rFonts w:ascii="Arial" w:hAnsi="Arial" w:cs="Arial"/>
          <w:sz w:val="24"/>
          <w:szCs w:val="24"/>
          <w:lang w:val="en-US"/>
        </w:rPr>
        <w:t xml:space="preserve"> the health board must</w:t>
      </w:r>
      <w:r w:rsidRPr="00A54D55">
        <w:rPr>
          <w:rFonts w:ascii="Arial" w:hAnsi="Arial" w:cs="Arial"/>
          <w:sz w:val="24"/>
          <w:szCs w:val="24"/>
          <w:lang w:val="en-US"/>
        </w:rPr>
        <w:t>:</w:t>
      </w:r>
    </w:p>
    <w:p w14:paraId="25752A7D" w14:textId="77777777" w:rsidR="00F22838" w:rsidRPr="00A54D55" w:rsidRDefault="00F22838" w:rsidP="00DC54F7">
      <w:pPr>
        <w:spacing w:after="0" w:line="240" w:lineRule="auto"/>
        <w:jc w:val="both"/>
        <w:rPr>
          <w:rFonts w:ascii="Arial" w:hAnsi="Arial" w:cs="Arial"/>
          <w:sz w:val="24"/>
          <w:szCs w:val="24"/>
          <w:lang w:val="en-US"/>
        </w:rPr>
      </w:pPr>
    </w:p>
    <w:p w14:paraId="1AEBD2AE" w14:textId="77777777" w:rsidR="004654D5" w:rsidRPr="00A54D55" w:rsidRDefault="004654D5" w:rsidP="00DC54F7">
      <w:pPr>
        <w:numPr>
          <w:ilvl w:val="0"/>
          <w:numId w:val="1"/>
        </w:numPr>
        <w:spacing w:after="0" w:line="240" w:lineRule="auto"/>
        <w:ind w:left="851" w:hanging="284"/>
        <w:contextualSpacing/>
        <w:jc w:val="both"/>
        <w:rPr>
          <w:rFonts w:ascii="Arial" w:hAnsi="Arial" w:cs="Arial"/>
          <w:sz w:val="24"/>
          <w:szCs w:val="24"/>
        </w:rPr>
      </w:pPr>
      <w:r w:rsidRPr="00A54D55">
        <w:rPr>
          <w:rFonts w:ascii="Arial" w:hAnsi="Arial" w:cs="Arial"/>
          <w:sz w:val="24"/>
          <w:szCs w:val="24"/>
        </w:rPr>
        <w:t>Publish its first PNA by 1</w:t>
      </w:r>
      <w:r w:rsidR="0093267A" w:rsidRPr="00A54D55">
        <w:rPr>
          <w:rFonts w:ascii="Arial" w:hAnsi="Arial" w:cs="Arial"/>
          <w:sz w:val="24"/>
          <w:szCs w:val="24"/>
        </w:rPr>
        <w:t xml:space="preserve"> </w:t>
      </w:r>
      <w:r w:rsidR="005A20CD" w:rsidRPr="00A54D55">
        <w:rPr>
          <w:rFonts w:ascii="Arial" w:hAnsi="Arial" w:cs="Arial"/>
          <w:sz w:val="24"/>
          <w:szCs w:val="24"/>
        </w:rPr>
        <w:t>October</w:t>
      </w:r>
      <w:r w:rsidR="0093267A" w:rsidRPr="00A54D55">
        <w:rPr>
          <w:rFonts w:ascii="Arial" w:hAnsi="Arial" w:cs="Arial"/>
          <w:sz w:val="24"/>
          <w:szCs w:val="24"/>
        </w:rPr>
        <w:t xml:space="preserve"> 2021</w:t>
      </w:r>
      <w:r w:rsidRPr="00A54D55">
        <w:rPr>
          <w:rFonts w:ascii="Arial" w:hAnsi="Arial" w:cs="Arial"/>
          <w:sz w:val="24"/>
          <w:szCs w:val="24"/>
        </w:rPr>
        <w:t>;</w:t>
      </w:r>
    </w:p>
    <w:p w14:paraId="63FE2BCF" w14:textId="36D892F5" w:rsidR="00F22838" w:rsidRPr="00A54D55" w:rsidRDefault="00F22838" w:rsidP="00DC54F7">
      <w:pPr>
        <w:numPr>
          <w:ilvl w:val="0"/>
          <w:numId w:val="1"/>
        </w:numPr>
        <w:spacing w:after="0" w:line="240" w:lineRule="auto"/>
        <w:ind w:left="851" w:hanging="284"/>
        <w:contextualSpacing/>
        <w:jc w:val="both"/>
        <w:rPr>
          <w:rFonts w:ascii="Arial" w:hAnsi="Arial" w:cs="Arial"/>
          <w:sz w:val="24"/>
          <w:szCs w:val="24"/>
        </w:rPr>
      </w:pPr>
      <w:r w:rsidRPr="00A54D55">
        <w:rPr>
          <w:rFonts w:ascii="Arial" w:hAnsi="Arial" w:cs="Arial"/>
          <w:sz w:val="24"/>
          <w:szCs w:val="24"/>
        </w:rPr>
        <w:t>Publish</w:t>
      </w:r>
      <w:r w:rsidR="00821D8A" w:rsidRPr="00A54D55">
        <w:rPr>
          <w:rFonts w:ascii="Arial" w:hAnsi="Arial" w:cs="Arial"/>
          <w:sz w:val="24"/>
          <w:szCs w:val="24"/>
        </w:rPr>
        <w:t xml:space="preserve"> revised statements</w:t>
      </w:r>
      <w:r w:rsidRPr="00A54D55">
        <w:rPr>
          <w:rFonts w:ascii="Arial" w:hAnsi="Arial" w:cs="Arial"/>
          <w:sz w:val="24"/>
          <w:szCs w:val="24"/>
        </w:rPr>
        <w:t xml:space="preserve"> </w:t>
      </w:r>
      <w:r w:rsidR="00821D8A" w:rsidRPr="00A54D55">
        <w:rPr>
          <w:rFonts w:ascii="Arial" w:hAnsi="Arial" w:cs="Arial"/>
          <w:sz w:val="24"/>
          <w:szCs w:val="24"/>
        </w:rPr>
        <w:t>(</w:t>
      </w:r>
      <w:r w:rsidR="00F56E8C" w:rsidRPr="00A54D55">
        <w:rPr>
          <w:rFonts w:ascii="Arial" w:hAnsi="Arial" w:cs="Arial"/>
          <w:sz w:val="24"/>
          <w:szCs w:val="24"/>
        </w:rPr>
        <w:t>i.e.,</w:t>
      </w:r>
      <w:r w:rsidR="0093267A" w:rsidRPr="00A54D55">
        <w:rPr>
          <w:rFonts w:ascii="Arial" w:hAnsi="Arial" w:cs="Arial"/>
          <w:sz w:val="24"/>
          <w:szCs w:val="24"/>
        </w:rPr>
        <w:t xml:space="preserve"> </w:t>
      </w:r>
      <w:r w:rsidRPr="00A54D55">
        <w:rPr>
          <w:rFonts w:ascii="Arial" w:hAnsi="Arial" w:cs="Arial"/>
          <w:sz w:val="24"/>
          <w:szCs w:val="24"/>
        </w:rPr>
        <w:t xml:space="preserve">subsequent </w:t>
      </w:r>
      <w:r w:rsidR="004654D5" w:rsidRPr="00A54D55">
        <w:rPr>
          <w:rFonts w:ascii="Arial" w:hAnsi="Arial" w:cs="Arial"/>
          <w:sz w:val="24"/>
          <w:szCs w:val="24"/>
        </w:rPr>
        <w:t>PNAs</w:t>
      </w:r>
      <w:r w:rsidR="00821D8A" w:rsidRPr="00A54D55">
        <w:rPr>
          <w:rFonts w:ascii="Arial" w:hAnsi="Arial" w:cs="Arial"/>
          <w:sz w:val="24"/>
          <w:szCs w:val="24"/>
        </w:rPr>
        <w:t>),</w:t>
      </w:r>
      <w:r w:rsidR="00B23F73" w:rsidRPr="00A54D55">
        <w:rPr>
          <w:rFonts w:ascii="Arial" w:hAnsi="Arial" w:cs="Arial"/>
          <w:sz w:val="24"/>
          <w:szCs w:val="24"/>
        </w:rPr>
        <w:t xml:space="preserve"> on </w:t>
      </w:r>
      <w:r w:rsidR="00821D8A" w:rsidRPr="00A54D55">
        <w:rPr>
          <w:rFonts w:ascii="Arial" w:hAnsi="Arial" w:cs="Arial"/>
          <w:sz w:val="24"/>
          <w:szCs w:val="24"/>
        </w:rPr>
        <w:t>a</w:t>
      </w:r>
      <w:r w:rsidR="00B23F73" w:rsidRPr="00A54D55">
        <w:rPr>
          <w:rFonts w:ascii="Arial" w:hAnsi="Arial" w:cs="Arial"/>
          <w:sz w:val="24"/>
          <w:szCs w:val="24"/>
        </w:rPr>
        <w:t xml:space="preserve"> </w:t>
      </w:r>
      <w:r w:rsidR="004654D5" w:rsidRPr="00A54D55">
        <w:rPr>
          <w:rFonts w:ascii="Arial" w:hAnsi="Arial" w:cs="Arial"/>
          <w:sz w:val="24"/>
          <w:szCs w:val="24"/>
        </w:rPr>
        <w:t>five</w:t>
      </w:r>
      <w:r w:rsidR="00B23F73" w:rsidRPr="00A54D55">
        <w:rPr>
          <w:rFonts w:ascii="Arial" w:hAnsi="Arial" w:cs="Arial"/>
          <w:sz w:val="24"/>
          <w:szCs w:val="24"/>
        </w:rPr>
        <w:t xml:space="preserve"> yearly basis</w:t>
      </w:r>
      <w:r w:rsidR="00821D8A" w:rsidRPr="00A54D55">
        <w:rPr>
          <w:rFonts w:ascii="Arial" w:hAnsi="Arial" w:cs="Arial"/>
          <w:sz w:val="24"/>
          <w:szCs w:val="24"/>
        </w:rPr>
        <w:t>, which comply with the regulatory requirements</w:t>
      </w:r>
      <w:r w:rsidR="00B23F73" w:rsidRPr="00A54D55">
        <w:rPr>
          <w:rFonts w:ascii="Arial" w:hAnsi="Arial" w:cs="Arial"/>
          <w:sz w:val="24"/>
          <w:szCs w:val="24"/>
        </w:rPr>
        <w:t>;</w:t>
      </w:r>
    </w:p>
    <w:p w14:paraId="28E392CC" w14:textId="77777777" w:rsidR="00F22838" w:rsidRPr="00A54D55" w:rsidRDefault="00F22838" w:rsidP="00DC54F7">
      <w:pPr>
        <w:numPr>
          <w:ilvl w:val="0"/>
          <w:numId w:val="1"/>
        </w:numPr>
        <w:spacing w:after="0" w:line="240" w:lineRule="auto"/>
        <w:ind w:left="851" w:hanging="284"/>
        <w:contextualSpacing/>
        <w:jc w:val="both"/>
        <w:rPr>
          <w:rFonts w:ascii="Arial" w:hAnsi="Arial" w:cs="Arial"/>
          <w:sz w:val="24"/>
          <w:szCs w:val="24"/>
        </w:rPr>
      </w:pPr>
      <w:r w:rsidRPr="00A54D55">
        <w:rPr>
          <w:rFonts w:ascii="Arial" w:hAnsi="Arial" w:cs="Arial"/>
          <w:sz w:val="24"/>
          <w:szCs w:val="24"/>
        </w:rPr>
        <w:t xml:space="preserve">Publish a subsequent </w:t>
      </w:r>
      <w:r w:rsidR="004654D5" w:rsidRPr="00A54D55">
        <w:rPr>
          <w:rFonts w:ascii="Arial" w:hAnsi="Arial" w:cs="Arial"/>
          <w:sz w:val="24"/>
          <w:szCs w:val="24"/>
        </w:rPr>
        <w:t>PNA</w:t>
      </w:r>
      <w:r w:rsidRPr="00A54D55">
        <w:rPr>
          <w:rFonts w:ascii="Arial" w:hAnsi="Arial" w:cs="Arial"/>
          <w:sz w:val="24"/>
          <w:szCs w:val="24"/>
        </w:rPr>
        <w:t xml:space="preserve"> sooner when it identifies changes to the need for pharmaceutical services which are of a significant extent, unless to do so would be a disproporti</w:t>
      </w:r>
      <w:r w:rsidR="00B23F73" w:rsidRPr="00A54D55">
        <w:rPr>
          <w:rFonts w:ascii="Arial" w:hAnsi="Arial" w:cs="Arial"/>
          <w:sz w:val="24"/>
          <w:szCs w:val="24"/>
        </w:rPr>
        <w:t>onate response to those changes; and</w:t>
      </w:r>
    </w:p>
    <w:p w14:paraId="3D83537B" w14:textId="77777777" w:rsidR="00B23F73" w:rsidRPr="00A10850" w:rsidRDefault="00B23F73" w:rsidP="00DC54F7">
      <w:pPr>
        <w:numPr>
          <w:ilvl w:val="0"/>
          <w:numId w:val="1"/>
        </w:numPr>
        <w:spacing w:after="0" w:line="240" w:lineRule="auto"/>
        <w:ind w:left="851" w:hanging="284"/>
        <w:contextualSpacing/>
        <w:jc w:val="both"/>
        <w:rPr>
          <w:rFonts w:ascii="Arial" w:hAnsi="Arial" w:cs="Arial"/>
        </w:rPr>
      </w:pPr>
      <w:r w:rsidRPr="00A54D55">
        <w:rPr>
          <w:rFonts w:ascii="Arial" w:hAnsi="Arial" w:cs="Arial"/>
          <w:sz w:val="24"/>
          <w:szCs w:val="24"/>
        </w:rPr>
        <w:t xml:space="preserve">Produce supplementary statements </w:t>
      </w:r>
      <w:r w:rsidR="0035736B" w:rsidRPr="00A54D55">
        <w:rPr>
          <w:rFonts w:ascii="Arial" w:hAnsi="Arial" w:cs="Arial"/>
          <w:sz w:val="24"/>
          <w:szCs w:val="24"/>
        </w:rPr>
        <w:t xml:space="preserve">which explain changes to the availability of pharmaceutical services </w:t>
      </w:r>
      <w:r w:rsidRPr="00A54D55">
        <w:rPr>
          <w:rFonts w:ascii="Arial" w:hAnsi="Arial" w:cs="Arial"/>
          <w:sz w:val="24"/>
          <w:szCs w:val="24"/>
        </w:rPr>
        <w:t>in certain circumstances.</w:t>
      </w:r>
    </w:p>
    <w:p w14:paraId="72267870" w14:textId="2FE2BCED" w:rsidR="00A54D55" w:rsidRDefault="00A54D55" w:rsidP="00DC54F7">
      <w:pPr>
        <w:jc w:val="both"/>
        <w:rPr>
          <w:rFonts w:ascii="Arial" w:hAnsi="Arial" w:cs="Arial"/>
        </w:rPr>
      </w:pPr>
      <w:r>
        <w:rPr>
          <w:rFonts w:ascii="Arial" w:hAnsi="Arial" w:cs="Arial"/>
        </w:rPr>
        <w:br w:type="page"/>
      </w:r>
    </w:p>
    <w:p w14:paraId="48E749F6" w14:textId="77777777" w:rsidR="00F22838" w:rsidRPr="00A10850" w:rsidRDefault="006F0A84" w:rsidP="00DC54F7">
      <w:pPr>
        <w:spacing w:after="0" w:line="240" w:lineRule="auto"/>
        <w:jc w:val="both"/>
        <w:rPr>
          <w:rFonts w:ascii="Arial" w:hAnsi="Arial" w:cs="Arial"/>
          <w:b/>
          <w:sz w:val="26"/>
          <w:szCs w:val="26"/>
        </w:rPr>
      </w:pPr>
      <w:r w:rsidRPr="00A10850">
        <w:rPr>
          <w:rFonts w:ascii="Arial" w:hAnsi="Arial" w:cs="Arial"/>
          <w:b/>
          <w:sz w:val="26"/>
          <w:szCs w:val="26"/>
        </w:rPr>
        <w:lastRenderedPageBreak/>
        <w:t xml:space="preserve">1.3 </w:t>
      </w:r>
      <w:r w:rsidR="00F22838" w:rsidRPr="00A10850">
        <w:rPr>
          <w:rFonts w:ascii="Arial" w:hAnsi="Arial" w:cs="Arial"/>
          <w:b/>
          <w:sz w:val="26"/>
          <w:szCs w:val="26"/>
        </w:rPr>
        <w:t>Pharmaceutical services</w:t>
      </w:r>
    </w:p>
    <w:p w14:paraId="6C0D4425" w14:textId="77777777" w:rsidR="00B23F73" w:rsidRPr="00A10850" w:rsidRDefault="00B23F73" w:rsidP="00DC54F7">
      <w:pPr>
        <w:spacing w:after="0" w:line="240" w:lineRule="auto"/>
        <w:contextualSpacing/>
        <w:jc w:val="both"/>
        <w:rPr>
          <w:rFonts w:ascii="Arial" w:hAnsi="Arial" w:cs="Arial"/>
        </w:rPr>
      </w:pPr>
    </w:p>
    <w:p w14:paraId="53FC4137" w14:textId="77777777" w:rsidR="00F22838" w:rsidRPr="00A54D55" w:rsidRDefault="00F22838" w:rsidP="00DC54F7">
      <w:pPr>
        <w:spacing w:after="0" w:line="240" w:lineRule="auto"/>
        <w:contextualSpacing/>
        <w:jc w:val="both"/>
        <w:rPr>
          <w:rFonts w:ascii="Arial" w:hAnsi="Arial" w:cs="Arial"/>
          <w:sz w:val="24"/>
          <w:szCs w:val="24"/>
        </w:rPr>
      </w:pPr>
      <w:r w:rsidRPr="00A54D55">
        <w:rPr>
          <w:rFonts w:ascii="Arial" w:hAnsi="Arial" w:cs="Arial"/>
          <w:sz w:val="24"/>
          <w:szCs w:val="24"/>
        </w:rPr>
        <w:t xml:space="preserve">The services that a </w:t>
      </w:r>
      <w:r w:rsidR="004654D5" w:rsidRPr="00A54D55">
        <w:rPr>
          <w:rFonts w:ascii="Arial" w:hAnsi="Arial" w:cs="Arial"/>
          <w:sz w:val="24"/>
          <w:szCs w:val="24"/>
        </w:rPr>
        <w:t>PNA</w:t>
      </w:r>
      <w:r w:rsidRPr="00A54D55">
        <w:rPr>
          <w:rFonts w:ascii="Arial" w:hAnsi="Arial" w:cs="Arial"/>
          <w:sz w:val="24"/>
          <w:szCs w:val="24"/>
        </w:rPr>
        <w:t xml:space="preserve"> must include are defined within both the N</w:t>
      </w:r>
      <w:r w:rsidR="00F45747" w:rsidRPr="00A54D55">
        <w:rPr>
          <w:rFonts w:ascii="Arial" w:hAnsi="Arial" w:cs="Arial"/>
          <w:sz w:val="24"/>
          <w:szCs w:val="24"/>
        </w:rPr>
        <w:t>ational Health Service</w:t>
      </w:r>
      <w:r w:rsidRPr="00A54D55">
        <w:rPr>
          <w:rFonts w:ascii="Arial" w:hAnsi="Arial" w:cs="Arial"/>
          <w:sz w:val="24"/>
          <w:szCs w:val="24"/>
        </w:rPr>
        <w:t xml:space="preserve"> </w:t>
      </w:r>
      <w:r w:rsidR="004654D5" w:rsidRPr="00A54D55">
        <w:rPr>
          <w:rFonts w:ascii="Arial" w:hAnsi="Arial" w:cs="Arial"/>
          <w:sz w:val="24"/>
          <w:szCs w:val="24"/>
        </w:rPr>
        <w:t xml:space="preserve">(Wales) </w:t>
      </w:r>
      <w:r w:rsidRPr="00A54D55">
        <w:rPr>
          <w:rFonts w:ascii="Arial" w:hAnsi="Arial" w:cs="Arial"/>
          <w:sz w:val="24"/>
          <w:szCs w:val="24"/>
        </w:rPr>
        <w:t xml:space="preserve">Act 2006 and the NHS (Pharmaceutical </w:t>
      </w:r>
      <w:r w:rsidR="00025667" w:rsidRPr="00A54D55">
        <w:rPr>
          <w:rFonts w:ascii="Arial" w:hAnsi="Arial" w:cs="Arial"/>
          <w:sz w:val="24"/>
          <w:szCs w:val="24"/>
        </w:rPr>
        <w:t>Services</w:t>
      </w:r>
      <w:r w:rsidRPr="00A54D55">
        <w:rPr>
          <w:rFonts w:ascii="Arial" w:hAnsi="Arial" w:cs="Arial"/>
          <w:sz w:val="24"/>
          <w:szCs w:val="24"/>
        </w:rPr>
        <w:t xml:space="preserve">) </w:t>
      </w:r>
      <w:r w:rsidR="005A20CD" w:rsidRPr="00A54D55">
        <w:rPr>
          <w:rFonts w:ascii="Arial" w:hAnsi="Arial" w:cs="Arial"/>
          <w:sz w:val="24"/>
          <w:szCs w:val="24"/>
        </w:rPr>
        <w:t xml:space="preserve">(Wales) </w:t>
      </w:r>
      <w:r w:rsidRPr="00A54D55">
        <w:rPr>
          <w:rFonts w:ascii="Arial" w:hAnsi="Arial" w:cs="Arial"/>
          <w:sz w:val="24"/>
          <w:szCs w:val="24"/>
        </w:rPr>
        <w:t xml:space="preserve">Regulations </w:t>
      </w:r>
      <w:r w:rsidR="00A10850" w:rsidRPr="00A54D55">
        <w:rPr>
          <w:rFonts w:ascii="Arial" w:hAnsi="Arial" w:cs="Arial"/>
          <w:sz w:val="24"/>
          <w:szCs w:val="24"/>
        </w:rPr>
        <w:t>2020</w:t>
      </w:r>
      <w:r w:rsidRPr="00A54D55">
        <w:rPr>
          <w:rFonts w:ascii="Arial" w:hAnsi="Arial" w:cs="Arial"/>
          <w:sz w:val="24"/>
          <w:szCs w:val="24"/>
        </w:rPr>
        <w:t>.</w:t>
      </w:r>
    </w:p>
    <w:p w14:paraId="0F5ECBE7" w14:textId="77777777" w:rsidR="00F22838" w:rsidRPr="00A54D55" w:rsidRDefault="00F22838" w:rsidP="00DC54F7">
      <w:pPr>
        <w:spacing w:after="0" w:line="240" w:lineRule="auto"/>
        <w:contextualSpacing/>
        <w:jc w:val="both"/>
        <w:rPr>
          <w:rFonts w:ascii="Arial" w:hAnsi="Arial" w:cs="Arial"/>
          <w:sz w:val="24"/>
          <w:szCs w:val="24"/>
        </w:rPr>
      </w:pPr>
    </w:p>
    <w:p w14:paraId="42C10621" w14:textId="77777777" w:rsidR="00F22838" w:rsidRPr="00A54D55" w:rsidRDefault="00536685" w:rsidP="00DC54F7">
      <w:pPr>
        <w:spacing w:after="0" w:line="240" w:lineRule="auto"/>
        <w:contextualSpacing/>
        <w:jc w:val="both"/>
        <w:rPr>
          <w:rFonts w:ascii="Arial" w:hAnsi="Arial" w:cs="Arial"/>
          <w:sz w:val="24"/>
          <w:szCs w:val="24"/>
        </w:rPr>
      </w:pPr>
      <w:r w:rsidRPr="00A54D55">
        <w:rPr>
          <w:rFonts w:ascii="Arial" w:hAnsi="Arial" w:cs="Arial"/>
          <w:sz w:val="24"/>
          <w:szCs w:val="24"/>
        </w:rPr>
        <w:t>Pharmaceutical services may be provided by:</w:t>
      </w:r>
    </w:p>
    <w:p w14:paraId="0214F616" w14:textId="77777777" w:rsidR="00536685" w:rsidRPr="00A54D55" w:rsidRDefault="00536685" w:rsidP="00DC54F7">
      <w:pPr>
        <w:spacing w:after="0" w:line="240" w:lineRule="auto"/>
        <w:contextualSpacing/>
        <w:jc w:val="both"/>
        <w:rPr>
          <w:rFonts w:ascii="Arial" w:hAnsi="Arial" w:cs="Arial"/>
          <w:sz w:val="24"/>
          <w:szCs w:val="24"/>
        </w:rPr>
      </w:pPr>
    </w:p>
    <w:p w14:paraId="79315227" w14:textId="77777777" w:rsidR="00F24A24" w:rsidRPr="00A54D55" w:rsidRDefault="00536685" w:rsidP="00DC54F7">
      <w:pPr>
        <w:pStyle w:val="ListParagraph"/>
        <w:numPr>
          <w:ilvl w:val="0"/>
          <w:numId w:val="3"/>
        </w:numPr>
        <w:spacing w:after="0" w:line="240" w:lineRule="auto"/>
        <w:jc w:val="both"/>
        <w:rPr>
          <w:rFonts w:ascii="Arial" w:hAnsi="Arial" w:cs="Arial"/>
          <w:sz w:val="24"/>
          <w:szCs w:val="24"/>
        </w:rPr>
      </w:pPr>
      <w:r w:rsidRPr="00A54D55">
        <w:rPr>
          <w:rFonts w:ascii="Arial" w:hAnsi="Arial" w:cs="Arial"/>
          <w:sz w:val="24"/>
          <w:szCs w:val="24"/>
        </w:rPr>
        <w:t xml:space="preserve">A pharmacy contractor who is included in </w:t>
      </w:r>
      <w:r w:rsidR="00F24A24" w:rsidRPr="00A54D55">
        <w:rPr>
          <w:rFonts w:ascii="Arial" w:hAnsi="Arial" w:cs="Arial"/>
          <w:sz w:val="24"/>
          <w:szCs w:val="24"/>
        </w:rPr>
        <w:t>the</w:t>
      </w:r>
      <w:r w:rsidRPr="00A54D55">
        <w:rPr>
          <w:rFonts w:ascii="Arial" w:hAnsi="Arial" w:cs="Arial"/>
          <w:sz w:val="24"/>
          <w:szCs w:val="24"/>
        </w:rPr>
        <w:t xml:space="preserve"> pharmaceutical list </w:t>
      </w:r>
      <w:r w:rsidR="00F24A24" w:rsidRPr="00A54D55">
        <w:rPr>
          <w:rFonts w:ascii="Arial" w:hAnsi="Arial" w:cs="Arial"/>
          <w:sz w:val="24"/>
          <w:szCs w:val="24"/>
        </w:rPr>
        <w:t xml:space="preserve">for the area of the </w:t>
      </w:r>
      <w:r w:rsidR="004654D5" w:rsidRPr="00A54D55">
        <w:rPr>
          <w:rFonts w:ascii="Arial" w:hAnsi="Arial" w:cs="Arial"/>
          <w:sz w:val="24"/>
          <w:szCs w:val="24"/>
        </w:rPr>
        <w:t>health b</w:t>
      </w:r>
      <w:r w:rsidR="007F6811" w:rsidRPr="00A54D55">
        <w:rPr>
          <w:rFonts w:ascii="Arial" w:hAnsi="Arial" w:cs="Arial"/>
          <w:sz w:val="24"/>
          <w:szCs w:val="24"/>
        </w:rPr>
        <w:t>oard</w:t>
      </w:r>
      <w:r w:rsidRPr="00A54D55">
        <w:rPr>
          <w:rFonts w:ascii="Arial" w:hAnsi="Arial" w:cs="Arial"/>
          <w:sz w:val="24"/>
          <w:szCs w:val="24"/>
        </w:rPr>
        <w:t>;</w:t>
      </w:r>
    </w:p>
    <w:p w14:paraId="742989CB" w14:textId="77777777" w:rsidR="00536685" w:rsidRPr="00A54D55" w:rsidRDefault="006A0A74" w:rsidP="00DC54F7">
      <w:pPr>
        <w:pStyle w:val="ListParagraph"/>
        <w:numPr>
          <w:ilvl w:val="0"/>
          <w:numId w:val="3"/>
        </w:numPr>
        <w:spacing w:after="0" w:line="240" w:lineRule="auto"/>
        <w:jc w:val="both"/>
        <w:rPr>
          <w:rFonts w:ascii="Arial" w:hAnsi="Arial" w:cs="Arial"/>
          <w:sz w:val="24"/>
          <w:szCs w:val="24"/>
        </w:rPr>
      </w:pPr>
      <w:r w:rsidRPr="00A54D55">
        <w:rPr>
          <w:rFonts w:ascii="Arial" w:hAnsi="Arial" w:cs="Arial"/>
          <w:sz w:val="24"/>
          <w:szCs w:val="24"/>
        </w:rPr>
        <w:t xml:space="preserve">A dispensing appliance contractor </w:t>
      </w:r>
      <w:r w:rsidR="00F24A24" w:rsidRPr="00A54D55">
        <w:rPr>
          <w:rFonts w:ascii="Arial" w:hAnsi="Arial" w:cs="Arial"/>
          <w:sz w:val="24"/>
          <w:szCs w:val="24"/>
        </w:rPr>
        <w:t>who is included in the</w:t>
      </w:r>
      <w:r w:rsidR="00536685" w:rsidRPr="00A54D55">
        <w:rPr>
          <w:rFonts w:ascii="Arial" w:hAnsi="Arial" w:cs="Arial"/>
          <w:sz w:val="24"/>
          <w:szCs w:val="24"/>
        </w:rPr>
        <w:t xml:space="preserve"> pharmaceutical list held </w:t>
      </w:r>
      <w:r w:rsidR="00F24A24" w:rsidRPr="00A54D55">
        <w:rPr>
          <w:rFonts w:ascii="Arial" w:hAnsi="Arial" w:cs="Arial"/>
          <w:sz w:val="24"/>
          <w:szCs w:val="24"/>
        </w:rPr>
        <w:t xml:space="preserve">for the area of the </w:t>
      </w:r>
      <w:r w:rsidR="004654D5" w:rsidRPr="00A54D55">
        <w:rPr>
          <w:rFonts w:ascii="Arial" w:hAnsi="Arial" w:cs="Arial"/>
          <w:sz w:val="24"/>
          <w:szCs w:val="24"/>
        </w:rPr>
        <w:t>health b</w:t>
      </w:r>
      <w:r w:rsidR="007F6811" w:rsidRPr="00A54D55">
        <w:rPr>
          <w:rFonts w:ascii="Arial" w:hAnsi="Arial" w:cs="Arial"/>
          <w:sz w:val="24"/>
          <w:szCs w:val="24"/>
        </w:rPr>
        <w:t>oard</w:t>
      </w:r>
      <w:r w:rsidR="00536685" w:rsidRPr="00A54D55">
        <w:rPr>
          <w:rFonts w:ascii="Arial" w:hAnsi="Arial" w:cs="Arial"/>
          <w:sz w:val="24"/>
          <w:szCs w:val="24"/>
        </w:rPr>
        <w:t>; and</w:t>
      </w:r>
    </w:p>
    <w:p w14:paraId="7898299A" w14:textId="77777777" w:rsidR="00536685" w:rsidRPr="00A54D55" w:rsidRDefault="00536685" w:rsidP="00DC54F7">
      <w:pPr>
        <w:pStyle w:val="ListParagraph"/>
        <w:numPr>
          <w:ilvl w:val="0"/>
          <w:numId w:val="3"/>
        </w:numPr>
        <w:spacing w:after="0" w:line="240" w:lineRule="auto"/>
        <w:jc w:val="both"/>
        <w:rPr>
          <w:rFonts w:ascii="Arial" w:hAnsi="Arial" w:cs="Arial"/>
          <w:sz w:val="24"/>
          <w:szCs w:val="24"/>
        </w:rPr>
      </w:pPr>
      <w:r w:rsidRPr="00A54D55">
        <w:rPr>
          <w:rFonts w:ascii="Arial" w:hAnsi="Arial" w:cs="Arial"/>
          <w:sz w:val="24"/>
          <w:szCs w:val="24"/>
        </w:rPr>
        <w:t xml:space="preserve">A doctor </w:t>
      </w:r>
      <w:r w:rsidR="00F45747" w:rsidRPr="00A54D55">
        <w:rPr>
          <w:rFonts w:ascii="Arial" w:hAnsi="Arial" w:cs="Arial"/>
          <w:sz w:val="24"/>
          <w:szCs w:val="24"/>
        </w:rPr>
        <w:t xml:space="preserve">or GP practice </w:t>
      </w:r>
      <w:r w:rsidR="006E6A61" w:rsidRPr="00A54D55">
        <w:rPr>
          <w:rFonts w:ascii="Arial" w:hAnsi="Arial" w:cs="Arial"/>
          <w:sz w:val="24"/>
          <w:szCs w:val="24"/>
        </w:rPr>
        <w:t>that</w:t>
      </w:r>
      <w:r w:rsidRPr="00A54D55">
        <w:rPr>
          <w:rFonts w:ascii="Arial" w:hAnsi="Arial" w:cs="Arial"/>
          <w:sz w:val="24"/>
          <w:szCs w:val="24"/>
        </w:rPr>
        <w:t xml:space="preserve"> is included in a dispensing doctor list held </w:t>
      </w:r>
      <w:r w:rsidR="006F4C35" w:rsidRPr="00A54D55">
        <w:rPr>
          <w:rFonts w:ascii="Arial" w:hAnsi="Arial" w:cs="Arial"/>
          <w:sz w:val="24"/>
          <w:szCs w:val="24"/>
        </w:rPr>
        <w:t xml:space="preserve">for the area of the </w:t>
      </w:r>
      <w:r w:rsidR="004654D5" w:rsidRPr="00A54D55">
        <w:rPr>
          <w:rFonts w:ascii="Arial" w:hAnsi="Arial" w:cs="Arial"/>
          <w:sz w:val="24"/>
          <w:szCs w:val="24"/>
        </w:rPr>
        <w:t>health board</w:t>
      </w:r>
      <w:r w:rsidRPr="00A54D55">
        <w:rPr>
          <w:rFonts w:ascii="Arial" w:hAnsi="Arial" w:cs="Arial"/>
          <w:sz w:val="24"/>
          <w:szCs w:val="24"/>
        </w:rPr>
        <w:t>.</w:t>
      </w:r>
      <w:r w:rsidR="006E6177" w:rsidRPr="00A54D55">
        <w:rPr>
          <w:rFonts w:ascii="Arial" w:hAnsi="Arial" w:cs="Arial"/>
          <w:sz w:val="24"/>
          <w:szCs w:val="24"/>
        </w:rPr>
        <w:t xml:space="preserve"> </w:t>
      </w:r>
    </w:p>
    <w:p w14:paraId="0080F8B4" w14:textId="77777777" w:rsidR="00536685" w:rsidRPr="00A54D55" w:rsidRDefault="00536685" w:rsidP="00DC54F7">
      <w:pPr>
        <w:spacing w:after="0" w:line="240" w:lineRule="auto"/>
        <w:jc w:val="both"/>
        <w:rPr>
          <w:rFonts w:ascii="Arial" w:hAnsi="Arial" w:cs="Arial"/>
          <w:sz w:val="24"/>
          <w:szCs w:val="24"/>
        </w:rPr>
      </w:pPr>
    </w:p>
    <w:p w14:paraId="6ED1B953" w14:textId="0B91391F" w:rsidR="00536685" w:rsidRPr="00A54D55" w:rsidRDefault="004654D5" w:rsidP="00DC54F7">
      <w:pPr>
        <w:spacing w:after="0" w:line="240" w:lineRule="auto"/>
        <w:jc w:val="both"/>
        <w:rPr>
          <w:rFonts w:ascii="Arial" w:hAnsi="Arial" w:cs="Arial"/>
          <w:sz w:val="24"/>
          <w:szCs w:val="24"/>
        </w:rPr>
      </w:pPr>
      <w:r w:rsidRPr="00A54D55">
        <w:rPr>
          <w:rFonts w:ascii="Arial" w:hAnsi="Arial" w:cs="Arial"/>
          <w:sz w:val="24"/>
          <w:szCs w:val="24"/>
        </w:rPr>
        <w:t xml:space="preserve">Each health board </w:t>
      </w:r>
      <w:r w:rsidR="006F4C35" w:rsidRPr="00A54D55">
        <w:rPr>
          <w:rFonts w:ascii="Arial" w:hAnsi="Arial" w:cs="Arial"/>
          <w:sz w:val="24"/>
          <w:szCs w:val="24"/>
        </w:rPr>
        <w:t xml:space="preserve">is responsible for preparing, maintaining and publishing </w:t>
      </w:r>
      <w:r w:rsidRPr="00A54D55">
        <w:rPr>
          <w:rFonts w:ascii="Arial" w:hAnsi="Arial" w:cs="Arial"/>
          <w:sz w:val="24"/>
          <w:szCs w:val="24"/>
        </w:rPr>
        <w:t>its</w:t>
      </w:r>
      <w:r w:rsidR="006F4C35" w:rsidRPr="00A54D55">
        <w:rPr>
          <w:rFonts w:ascii="Arial" w:hAnsi="Arial" w:cs="Arial"/>
          <w:sz w:val="24"/>
          <w:szCs w:val="24"/>
        </w:rPr>
        <w:t xml:space="preserve"> lists.</w:t>
      </w:r>
      <w:r w:rsidR="006E6177" w:rsidRPr="00A54D55">
        <w:rPr>
          <w:rFonts w:ascii="Arial" w:hAnsi="Arial" w:cs="Arial"/>
          <w:sz w:val="24"/>
          <w:szCs w:val="24"/>
        </w:rPr>
        <w:t xml:space="preserve"> </w:t>
      </w:r>
      <w:r w:rsidR="00EF3570" w:rsidRPr="00A54D55">
        <w:rPr>
          <w:rFonts w:ascii="Arial" w:hAnsi="Arial" w:cs="Arial"/>
          <w:sz w:val="24"/>
          <w:szCs w:val="24"/>
        </w:rPr>
        <w:t>In</w:t>
      </w:r>
      <w:r w:rsidRPr="00A54D55">
        <w:rPr>
          <w:rFonts w:ascii="Arial" w:hAnsi="Arial" w:cs="Arial"/>
          <w:sz w:val="24"/>
          <w:szCs w:val="24"/>
        </w:rPr>
        <w:t xml:space="preserve"> </w:t>
      </w:r>
      <w:r w:rsidR="00FA0306" w:rsidRPr="00A54D55">
        <w:rPr>
          <w:rFonts w:ascii="Arial" w:hAnsi="Arial" w:cs="Arial"/>
          <w:sz w:val="24"/>
          <w:szCs w:val="24"/>
        </w:rPr>
        <w:t>Cardiff and Vale University Health Board</w:t>
      </w:r>
      <w:r w:rsidRPr="00A54D55">
        <w:rPr>
          <w:rFonts w:ascii="Arial" w:hAnsi="Arial" w:cs="Arial"/>
          <w:sz w:val="24"/>
          <w:szCs w:val="24"/>
        </w:rPr>
        <w:t xml:space="preserve"> there are </w:t>
      </w:r>
      <w:r w:rsidR="007E26C5" w:rsidRPr="00A54D55">
        <w:rPr>
          <w:rFonts w:ascii="Arial" w:hAnsi="Arial" w:cs="Arial"/>
          <w:sz w:val="24"/>
          <w:szCs w:val="24"/>
        </w:rPr>
        <w:t>106</w:t>
      </w:r>
      <w:r w:rsidR="00EF3570" w:rsidRPr="00A54D55">
        <w:rPr>
          <w:rFonts w:ascii="Arial" w:hAnsi="Arial" w:cs="Arial"/>
          <w:sz w:val="24"/>
          <w:szCs w:val="24"/>
        </w:rPr>
        <w:t xml:space="preserve"> pharmacies, </w:t>
      </w:r>
      <w:r w:rsidR="007E26C5" w:rsidRPr="00A54D55">
        <w:rPr>
          <w:rFonts w:ascii="Arial" w:hAnsi="Arial" w:cs="Arial"/>
          <w:sz w:val="24"/>
          <w:szCs w:val="24"/>
        </w:rPr>
        <w:t>four</w:t>
      </w:r>
      <w:r w:rsidR="00EF3570" w:rsidRPr="00A54D55">
        <w:rPr>
          <w:rFonts w:ascii="Arial" w:hAnsi="Arial" w:cs="Arial"/>
          <w:sz w:val="24"/>
          <w:szCs w:val="24"/>
        </w:rPr>
        <w:t xml:space="preserve"> </w:t>
      </w:r>
      <w:r w:rsidR="006A0A74" w:rsidRPr="00A54D55">
        <w:rPr>
          <w:rFonts w:ascii="Arial" w:hAnsi="Arial" w:cs="Arial"/>
          <w:sz w:val="24"/>
          <w:szCs w:val="24"/>
        </w:rPr>
        <w:t>dispensing appliance contractor</w:t>
      </w:r>
      <w:r w:rsidR="00EF3570" w:rsidRPr="00A54D55">
        <w:rPr>
          <w:rFonts w:ascii="Arial" w:hAnsi="Arial" w:cs="Arial"/>
          <w:sz w:val="24"/>
          <w:szCs w:val="24"/>
        </w:rPr>
        <w:t xml:space="preserve">s and </w:t>
      </w:r>
      <w:r w:rsidR="007E26C5" w:rsidRPr="00A54D55">
        <w:rPr>
          <w:rFonts w:ascii="Arial" w:hAnsi="Arial" w:cs="Arial"/>
          <w:sz w:val="24"/>
          <w:szCs w:val="24"/>
        </w:rPr>
        <w:t>one</w:t>
      </w:r>
      <w:r w:rsidRPr="00A54D55">
        <w:rPr>
          <w:rFonts w:ascii="Arial" w:hAnsi="Arial" w:cs="Arial"/>
          <w:sz w:val="24"/>
          <w:szCs w:val="24"/>
        </w:rPr>
        <w:t xml:space="preserve"> </w:t>
      </w:r>
      <w:r w:rsidR="00B5218F" w:rsidRPr="00A54D55">
        <w:rPr>
          <w:rFonts w:ascii="Arial" w:hAnsi="Arial" w:cs="Arial"/>
          <w:sz w:val="24"/>
          <w:szCs w:val="24"/>
        </w:rPr>
        <w:t>dispensing practice.</w:t>
      </w:r>
    </w:p>
    <w:p w14:paraId="7EBF9E3C" w14:textId="77777777" w:rsidR="00F22838" w:rsidRPr="00A54D55" w:rsidRDefault="00F22838" w:rsidP="00DC54F7">
      <w:pPr>
        <w:spacing w:after="0" w:line="240" w:lineRule="auto"/>
        <w:contextualSpacing/>
        <w:jc w:val="both"/>
        <w:rPr>
          <w:rFonts w:ascii="Arial" w:hAnsi="Arial" w:cs="Arial"/>
          <w:sz w:val="24"/>
          <w:szCs w:val="24"/>
        </w:rPr>
      </w:pPr>
    </w:p>
    <w:p w14:paraId="18265D8F" w14:textId="77777777" w:rsidR="00536685" w:rsidRPr="00A54D55" w:rsidRDefault="00536685" w:rsidP="00DC54F7">
      <w:pPr>
        <w:spacing w:after="0" w:line="240" w:lineRule="auto"/>
        <w:contextualSpacing/>
        <w:jc w:val="both"/>
        <w:rPr>
          <w:rFonts w:ascii="Arial" w:hAnsi="Arial" w:cs="Arial"/>
          <w:sz w:val="24"/>
          <w:szCs w:val="24"/>
        </w:rPr>
      </w:pPr>
      <w:r w:rsidRPr="00A54D55">
        <w:rPr>
          <w:rFonts w:ascii="Arial" w:hAnsi="Arial" w:cs="Arial"/>
          <w:sz w:val="24"/>
          <w:szCs w:val="24"/>
        </w:rPr>
        <w:t>Contractors may operate as either a sole trader, partnership or a body corporate.</w:t>
      </w:r>
      <w:r w:rsidR="006E6177" w:rsidRPr="00A54D55">
        <w:rPr>
          <w:rFonts w:ascii="Arial" w:hAnsi="Arial" w:cs="Arial"/>
          <w:sz w:val="24"/>
          <w:szCs w:val="24"/>
        </w:rPr>
        <w:t xml:space="preserve"> </w:t>
      </w:r>
      <w:r w:rsidRPr="00A54D55">
        <w:rPr>
          <w:rFonts w:ascii="Arial" w:hAnsi="Arial" w:cs="Arial"/>
          <w:sz w:val="24"/>
          <w:szCs w:val="24"/>
        </w:rPr>
        <w:t xml:space="preserve">The Medicines Act 1968 governs who can be a pharmacy contractor, but there is no restriction on who can operate as a </w:t>
      </w:r>
      <w:r w:rsidR="006A0A74" w:rsidRPr="00A54D55">
        <w:rPr>
          <w:rFonts w:ascii="Arial" w:hAnsi="Arial" w:cs="Arial"/>
          <w:sz w:val="24"/>
          <w:szCs w:val="24"/>
        </w:rPr>
        <w:t>dispensing appliance contractor</w:t>
      </w:r>
      <w:r w:rsidRPr="00A54D55">
        <w:rPr>
          <w:rFonts w:ascii="Arial" w:hAnsi="Arial" w:cs="Arial"/>
          <w:sz w:val="24"/>
          <w:szCs w:val="24"/>
        </w:rPr>
        <w:t>.</w:t>
      </w:r>
      <w:r w:rsidR="006E6177" w:rsidRPr="00A54D55">
        <w:rPr>
          <w:rFonts w:ascii="Arial" w:hAnsi="Arial" w:cs="Arial"/>
          <w:sz w:val="24"/>
          <w:szCs w:val="24"/>
        </w:rPr>
        <w:t xml:space="preserve"> </w:t>
      </w:r>
    </w:p>
    <w:p w14:paraId="12DFF0DF" w14:textId="4DE85EB3" w:rsidR="00536685" w:rsidRDefault="00536685" w:rsidP="00DC54F7">
      <w:pPr>
        <w:spacing w:after="0" w:line="240" w:lineRule="auto"/>
        <w:contextualSpacing/>
        <w:jc w:val="both"/>
        <w:rPr>
          <w:rFonts w:ascii="Arial" w:hAnsi="Arial" w:cs="Arial"/>
        </w:rPr>
      </w:pPr>
    </w:p>
    <w:p w14:paraId="6685E73F" w14:textId="77777777" w:rsidR="00A54D55" w:rsidRPr="00A10850" w:rsidRDefault="00A54D55" w:rsidP="00DC54F7">
      <w:pPr>
        <w:spacing w:after="0" w:line="240" w:lineRule="auto"/>
        <w:contextualSpacing/>
        <w:jc w:val="both"/>
        <w:rPr>
          <w:rFonts w:ascii="Arial" w:hAnsi="Arial" w:cs="Arial"/>
        </w:rPr>
      </w:pPr>
    </w:p>
    <w:p w14:paraId="34285E26" w14:textId="77777777" w:rsidR="00536685" w:rsidRPr="00A10850" w:rsidRDefault="006F0A84" w:rsidP="00DC54F7">
      <w:pPr>
        <w:spacing w:after="0" w:line="240" w:lineRule="auto"/>
        <w:jc w:val="both"/>
        <w:rPr>
          <w:rFonts w:ascii="Arial" w:hAnsi="Arial" w:cs="Arial"/>
          <w:b/>
          <w:sz w:val="24"/>
          <w:szCs w:val="24"/>
        </w:rPr>
      </w:pPr>
      <w:r w:rsidRPr="00A10850">
        <w:rPr>
          <w:rFonts w:ascii="Arial" w:hAnsi="Arial" w:cs="Arial"/>
          <w:b/>
          <w:sz w:val="24"/>
          <w:szCs w:val="24"/>
        </w:rPr>
        <w:t xml:space="preserve">1.3.1 </w:t>
      </w:r>
      <w:r w:rsidR="00F24A24" w:rsidRPr="00A10850">
        <w:rPr>
          <w:rFonts w:ascii="Arial" w:hAnsi="Arial" w:cs="Arial"/>
          <w:b/>
          <w:sz w:val="24"/>
          <w:szCs w:val="24"/>
        </w:rPr>
        <w:t>Pharmaceutical services provided by pharmacy contractors</w:t>
      </w:r>
    </w:p>
    <w:p w14:paraId="0BB0A80E" w14:textId="77777777" w:rsidR="00F24A24" w:rsidRPr="00A10850" w:rsidRDefault="00F24A24" w:rsidP="00DC54F7">
      <w:pPr>
        <w:spacing w:after="0" w:line="240" w:lineRule="auto"/>
        <w:contextualSpacing/>
        <w:jc w:val="both"/>
        <w:rPr>
          <w:rFonts w:ascii="Arial" w:hAnsi="Arial" w:cs="Arial"/>
          <w:b/>
        </w:rPr>
      </w:pPr>
    </w:p>
    <w:p w14:paraId="132BE92C" w14:textId="78774BBC" w:rsidR="00F24A24" w:rsidRPr="00A54D55" w:rsidRDefault="00F24A24" w:rsidP="00DC54F7">
      <w:pPr>
        <w:spacing w:after="0" w:line="240" w:lineRule="auto"/>
        <w:contextualSpacing/>
        <w:jc w:val="both"/>
        <w:rPr>
          <w:rFonts w:ascii="Arial" w:hAnsi="Arial" w:cs="Arial"/>
          <w:sz w:val="24"/>
          <w:szCs w:val="24"/>
        </w:rPr>
      </w:pPr>
      <w:r w:rsidRPr="00A54D55">
        <w:rPr>
          <w:rFonts w:ascii="Arial" w:hAnsi="Arial" w:cs="Arial"/>
          <w:sz w:val="24"/>
          <w:szCs w:val="24"/>
        </w:rPr>
        <w:t xml:space="preserve">Unlike for GPs, dentists and optometrists, </w:t>
      </w:r>
      <w:r w:rsidR="00FA0306" w:rsidRPr="00A54D55">
        <w:rPr>
          <w:rFonts w:ascii="Arial" w:hAnsi="Arial" w:cs="Arial"/>
          <w:sz w:val="24"/>
          <w:szCs w:val="24"/>
        </w:rPr>
        <w:t>Cardiff and Vale University Health Board</w:t>
      </w:r>
      <w:r w:rsidRPr="00A54D55">
        <w:rPr>
          <w:rFonts w:ascii="Arial" w:hAnsi="Arial" w:cs="Arial"/>
          <w:sz w:val="24"/>
          <w:szCs w:val="24"/>
        </w:rPr>
        <w:t xml:space="preserve"> </w:t>
      </w:r>
      <w:r w:rsidR="00CB6EEB" w:rsidRPr="00A54D55">
        <w:rPr>
          <w:rFonts w:ascii="Arial" w:hAnsi="Arial" w:cs="Arial"/>
          <w:sz w:val="24"/>
          <w:szCs w:val="24"/>
        </w:rPr>
        <w:t>does not hold contracts with</w:t>
      </w:r>
      <w:r w:rsidR="006F4C35" w:rsidRPr="00A54D55">
        <w:rPr>
          <w:rFonts w:ascii="Arial" w:hAnsi="Arial" w:cs="Arial"/>
          <w:sz w:val="24"/>
          <w:szCs w:val="24"/>
        </w:rPr>
        <w:t xml:space="preserve"> </w:t>
      </w:r>
      <w:r w:rsidR="004654D5" w:rsidRPr="00A54D55">
        <w:rPr>
          <w:rFonts w:ascii="Arial" w:hAnsi="Arial" w:cs="Arial"/>
          <w:sz w:val="24"/>
          <w:szCs w:val="24"/>
        </w:rPr>
        <w:t>the</w:t>
      </w:r>
      <w:r w:rsidR="00B5218F" w:rsidRPr="00A54D55">
        <w:rPr>
          <w:rFonts w:ascii="Arial" w:hAnsi="Arial" w:cs="Arial"/>
          <w:sz w:val="24"/>
          <w:szCs w:val="24"/>
        </w:rPr>
        <w:t xml:space="preserve"> </w:t>
      </w:r>
      <w:r w:rsidR="006F4C35" w:rsidRPr="00A54D55">
        <w:rPr>
          <w:rFonts w:ascii="Arial" w:hAnsi="Arial" w:cs="Arial"/>
          <w:sz w:val="24"/>
          <w:szCs w:val="24"/>
        </w:rPr>
        <w:t>pharmacy</w:t>
      </w:r>
      <w:r w:rsidR="00CB6EEB" w:rsidRPr="00A54D55">
        <w:rPr>
          <w:rFonts w:ascii="Arial" w:hAnsi="Arial" w:cs="Arial"/>
          <w:sz w:val="24"/>
          <w:szCs w:val="24"/>
        </w:rPr>
        <w:t xml:space="preserve"> contractors</w:t>
      </w:r>
      <w:r w:rsidR="004654D5" w:rsidRPr="00A54D55">
        <w:rPr>
          <w:rFonts w:ascii="Arial" w:hAnsi="Arial" w:cs="Arial"/>
          <w:sz w:val="24"/>
          <w:szCs w:val="24"/>
        </w:rPr>
        <w:t xml:space="preserve"> in its area</w:t>
      </w:r>
      <w:r w:rsidR="00CB6EEB" w:rsidRPr="00A54D55">
        <w:rPr>
          <w:rFonts w:ascii="Arial" w:hAnsi="Arial" w:cs="Arial"/>
          <w:sz w:val="24"/>
          <w:szCs w:val="24"/>
        </w:rPr>
        <w:t>.</w:t>
      </w:r>
      <w:r w:rsidR="006E6177" w:rsidRPr="00A54D55">
        <w:rPr>
          <w:rFonts w:ascii="Arial" w:hAnsi="Arial" w:cs="Arial"/>
          <w:sz w:val="24"/>
          <w:szCs w:val="24"/>
        </w:rPr>
        <w:t xml:space="preserve"> </w:t>
      </w:r>
      <w:r w:rsidR="00F56E8C" w:rsidRPr="00A54D55">
        <w:rPr>
          <w:rFonts w:ascii="Arial" w:hAnsi="Arial" w:cs="Arial"/>
          <w:sz w:val="24"/>
          <w:szCs w:val="24"/>
        </w:rPr>
        <w:t>Instead,</w:t>
      </w:r>
      <w:r w:rsidR="00CB6EEB" w:rsidRPr="00A54D55">
        <w:rPr>
          <w:rFonts w:ascii="Arial" w:hAnsi="Arial" w:cs="Arial"/>
          <w:sz w:val="24"/>
          <w:szCs w:val="24"/>
        </w:rPr>
        <w:t xml:space="preserve"> </w:t>
      </w:r>
      <w:r w:rsidR="002A6471" w:rsidRPr="00A54D55">
        <w:rPr>
          <w:rFonts w:ascii="Arial" w:hAnsi="Arial" w:cs="Arial"/>
          <w:sz w:val="24"/>
          <w:szCs w:val="24"/>
        </w:rPr>
        <w:t>they</w:t>
      </w:r>
      <w:r w:rsidR="00CB6EEB" w:rsidRPr="00A54D55">
        <w:rPr>
          <w:rFonts w:ascii="Arial" w:hAnsi="Arial" w:cs="Arial"/>
          <w:sz w:val="24"/>
          <w:szCs w:val="24"/>
        </w:rPr>
        <w:t xml:space="preserve"> provide services</w:t>
      </w:r>
      <w:r w:rsidR="00B23F73" w:rsidRPr="00A54D55">
        <w:rPr>
          <w:rFonts w:ascii="Arial" w:hAnsi="Arial" w:cs="Arial"/>
          <w:sz w:val="24"/>
          <w:szCs w:val="24"/>
        </w:rPr>
        <w:t xml:space="preserve"> under a contractual framework,</w:t>
      </w:r>
      <w:r w:rsidR="005F35F8" w:rsidRPr="00A54D55">
        <w:rPr>
          <w:rFonts w:ascii="Arial" w:hAnsi="Arial" w:cs="Arial"/>
          <w:sz w:val="24"/>
          <w:szCs w:val="24"/>
        </w:rPr>
        <w:t xml:space="preserve"> sometimes referred to as the </w:t>
      </w:r>
      <w:r w:rsidR="00B5218F" w:rsidRPr="00A54D55">
        <w:rPr>
          <w:rFonts w:ascii="Arial" w:hAnsi="Arial" w:cs="Arial"/>
          <w:sz w:val="24"/>
          <w:szCs w:val="24"/>
        </w:rPr>
        <w:t>c</w:t>
      </w:r>
      <w:r w:rsidR="005F35F8" w:rsidRPr="00A54D55">
        <w:rPr>
          <w:rFonts w:ascii="Arial" w:hAnsi="Arial" w:cs="Arial"/>
          <w:sz w:val="24"/>
          <w:szCs w:val="24"/>
        </w:rPr>
        <w:t xml:space="preserve">ommunity </w:t>
      </w:r>
      <w:r w:rsidR="00B5218F" w:rsidRPr="00A54D55">
        <w:rPr>
          <w:rFonts w:ascii="Arial" w:hAnsi="Arial" w:cs="Arial"/>
          <w:sz w:val="24"/>
          <w:szCs w:val="24"/>
        </w:rPr>
        <w:t>p</w:t>
      </w:r>
      <w:r w:rsidR="005F35F8" w:rsidRPr="00A54D55">
        <w:rPr>
          <w:rFonts w:ascii="Arial" w:hAnsi="Arial" w:cs="Arial"/>
          <w:sz w:val="24"/>
          <w:szCs w:val="24"/>
        </w:rPr>
        <w:t xml:space="preserve">harmacy </w:t>
      </w:r>
      <w:r w:rsidR="00B5218F" w:rsidRPr="00A54D55">
        <w:rPr>
          <w:rFonts w:ascii="Arial" w:hAnsi="Arial" w:cs="Arial"/>
          <w:sz w:val="24"/>
          <w:szCs w:val="24"/>
        </w:rPr>
        <w:t>c</w:t>
      </w:r>
      <w:r w:rsidR="005F35F8" w:rsidRPr="00A54D55">
        <w:rPr>
          <w:rFonts w:ascii="Arial" w:hAnsi="Arial" w:cs="Arial"/>
          <w:sz w:val="24"/>
          <w:szCs w:val="24"/>
        </w:rPr>
        <w:t xml:space="preserve">ontractual </w:t>
      </w:r>
      <w:r w:rsidR="00B5218F" w:rsidRPr="00A54D55">
        <w:rPr>
          <w:rFonts w:ascii="Arial" w:hAnsi="Arial" w:cs="Arial"/>
          <w:sz w:val="24"/>
          <w:szCs w:val="24"/>
        </w:rPr>
        <w:t>f</w:t>
      </w:r>
      <w:r w:rsidR="00AB120C" w:rsidRPr="00A54D55">
        <w:rPr>
          <w:rFonts w:ascii="Arial" w:hAnsi="Arial" w:cs="Arial"/>
          <w:sz w:val="24"/>
          <w:szCs w:val="24"/>
        </w:rPr>
        <w:t>ramework</w:t>
      </w:r>
      <w:r w:rsidR="005F35F8" w:rsidRPr="00A54D55">
        <w:rPr>
          <w:rFonts w:ascii="Arial" w:hAnsi="Arial" w:cs="Arial"/>
          <w:sz w:val="24"/>
          <w:szCs w:val="24"/>
        </w:rPr>
        <w:t>,</w:t>
      </w:r>
      <w:r w:rsidR="0035736B" w:rsidRPr="00A54D55">
        <w:rPr>
          <w:rFonts w:ascii="Arial" w:hAnsi="Arial" w:cs="Arial"/>
          <w:sz w:val="24"/>
          <w:szCs w:val="24"/>
        </w:rPr>
        <w:t xml:space="preserve"> details of which (the</w:t>
      </w:r>
      <w:r w:rsidR="00B23F73" w:rsidRPr="00A54D55">
        <w:rPr>
          <w:rFonts w:ascii="Arial" w:hAnsi="Arial" w:cs="Arial"/>
          <w:sz w:val="24"/>
          <w:szCs w:val="24"/>
        </w:rPr>
        <w:t xml:space="preserve"> terms of service) are set out</w:t>
      </w:r>
      <w:r w:rsidR="00CB6EEB" w:rsidRPr="00A54D55">
        <w:rPr>
          <w:rFonts w:ascii="Arial" w:hAnsi="Arial" w:cs="Arial"/>
          <w:sz w:val="24"/>
          <w:szCs w:val="24"/>
        </w:rPr>
        <w:t xml:space="preserve"> in</w:t>
      </w:r>
      <w:r w:rsidR="00B23F73" w:rsidRPr="00A54D55">
        <w:rPr>
          <w:rFonts w:ascii="Arial" w:hAnsi="Arial" w:cs="Arial"/>
          <w:sz w:val="24"/>
          <w:szCs w:val="24"/>
        </w:rPr>
        <w:t xml:space="preserve"> schedule </w:t>
      </w:r>
      <w:r w:rsidR="004654D5" w:rsidRPr="00A54D55">
        <w:rPr>
          <w:rFonts w:ascii="Arial" w:hAnsi="Arial" w:cs="Arial"/>
          <w:sz w:val="24"/>
          <w:szCs w:val="24"/>
        </w:rPr>
        <w:t xml:space="preserve">5 </w:t>
      </w:r>
      <w:r w:rsidR="00B23F73" w:rsidRPr="00A54D55">
        <w:rPr>
          <w:rFonts w:ascii="Arial" w:hAnsi="Arial" w:cs="Arial"/>
          <w:sz w:val="24"/>
          <w:szCs w:val="24"/>
        </w:rPr>
        <w:t>of</w:t>
      </w:r>
      <w:r w:rsidR="00CB6EEB" w:rsidRPr="00A54D55">
        <w:rPr>
          <w:rFonts w:ascii="Arial" w:hAnsi="Arial" w:cs="Arial"/>
          <w:sz w:val="24"/>
          <w:szCs w:val="24"/>
        </w:rPr>
        <w:t xml:space="preserve"> </w:t>
      </w:r>
      <w:r w:rsidR="00ED5F7B" w:rsidRPr="00A54D55">
        <w:rPr>
          <w:rFonts w:ascii="Arial" w:hAnsi="Arial" w:cs="Arial"/>
          <w:sz w:val="24"/>
          <w:szCs w:val="24"/>
        </w:rPr>
        <w:t xml:space="preserve">the NHS (Pharmaceutical Services) </w:t>
      </w:r>
      <w:r w:rsidR="005A20CD" w:rsidRPr="00A54D55">
        <w:rPr>
          <w:rFonts w:ascii="Arial" w:hAnsi="Arial" w:cs="Arial"/>
          <w:sz w:val="24"/>
          <w:szCs w:val="24"/>
        </w:rPr>
        <w:t xml:space="preserve">(Wales) </w:t>
      </w:r>
      <w:r w:rsidR="00ED5F7B" w:rsidRPr="00A54D55">
        <w:rPr>
          <w:rFonts w:ascii="Arial" w:hAnsi="Arial" w:cs="Arial"/>
          <w:sz w:val="24"/>
          <w:szCs w:val="24"/>
        </w:rPr>
        <w:t xml:space="preserve">Regulations </w:t>
      </w:r>
      <w:r w:rsidR="004654D5" w:rsidRPr="00A54D55">
        <w:rPr>
          <w:rFonts w:ascii="Arial" w:hAnsi="Arial" w:cs="Arial"/>
          <w:sz w:val="24"/>
          <w:szCs w:val="24"/>
        </w:rPr>
        <w:t>2020,</w:t>
      </w:r>
      <w:r w:rsidR="00CB6EEB" w:rsidRPr="00A54D55">
        <w:rPr>
          <w:rFonts w:ascii="Arial" w:hAnsi="Arial" w:cs="Arial"/>
          <w:sz w:val="24"/>
          <w:szCs w:val="24"/>
        </w:rPr>
        <w:t xml:space="preserve"> the Pharmaceutical Services (Advanced and Enhanced Services) (</w:t>
      </w:r>
      <w:r w:rsidR="004654D5" w:rsidRPr="00A54D55">
        <w:rPr>
          <w:rFonts w:ascii="Arial" w:hAnsi="Arial" w:cs="Arial"/>
          <w:sz w:val="24"/>
          <w:szCs w:val="24"/>
        </w:rPr>
        <w:t>Wales) Directions 2005, and the Pharmaceutical Services</w:t>
      </w:r>
      <w:r w:rsidR="005A20CD" w:rsidRPr="00A54D55">
        <w:rPr>
          <w:rFonts w:ascii="Arial" w:hAnsi="Arial" w:cs="Arial"/>
          <w:sz w:val="24"/>
          <w:szCs w:val="24"/>
        </w:rPr>
        <w:t xml:space="preserve"> </w:t>
      </w:r>
      <w:r w:rsidR="004654D5" w:rsidRPr="00A54D55">
        <w:rPr>
          <w:rFonts w:ascii="Arial" w:hAnsi="Arial" w:cs="Arial"/>
          <w:sz w:val="24"/>
          <w:szCs w:val="24"/>
        </w:rPr>
        <w:t>(Advanced Services) (Appliances) (Wales) Directions 2010</w:t>
      </w:r>
      <w:r w:rsidR="00CB6EEB" w:rsidRPr="00A54D55">
        <w:rPr>
          <w:rFonts w:ascii="Arial" w:hAnsi="Arial" w:cs="Arial"/>
          <w:sz w:val="24"/>
          <w:szCs w:val="24"/>
        </w:rPr>
        <w:t>.</w:t>
      </w:r>
    </w:p>
    <w:p w14:paraId="169CE66C" w14:textId="77777777" w:rsidR="006F4C35" w:rsidRPr="00A54D55" w:rsidRDefault="006F4C35" w:rsidP="00DC54F7">
      <w:pPr>
        <w:spacing w:after="0" w:line="240" w:lineRule="auto"/>
        <w:contextualSpacing/>
        <w:jc w:val="both"/>
        <w:rPr>
          <w:rFonts w:ascii="Arial" w:hAnsi="Arial" w:cs="Arial"/>
          <w:sz w:val="24"/>
          <w:szCs w:val="24"/>
        </w:rPr>
      </w:pPr>
    </w:p>
    <w:p w14:paraId="1C4081DF" w14:textId="77777777" w:rsidR="006F4C35" w:rsidRPr="00A54D55" w:rsidRDefault="006F4C35" w:rsidP="00DC54F7">
      <w:pPr>
        <w:spacing w:after="0" w:line="240" w:lineRule="auto"/>
        <w:contextualSpacing/>
        <w:jc w:val="both"/>
        <w:rPr>
          <w:rFonts w:ascii="Arial" w:hAnsi="Arial" w:cs="Arial"/>
          <w:sz w:val="24"/>
          <w:szCs w:val="24"/>
        </w:rPr>
      </w:pPr>
      <w:r w:rsidRPr="00A54D55">
        <w:rPr>
          <w:rFonts w:ascii="Arial" w:hAnsi="Arial" w:cs="Arial"/>
          <w:sz w:val="24"/>
          <w:szCs w:val="24"/>
        </w:rPr>
        <w:t>Pharmacy contractors provide three types of service that fall within the definition of pharmaceutical services</w:t>
      </w:r>
      <w:r w:rsidR="005F35F8" w:rsidRPr="00A54D55">
        <w:rPr>
          <w:rFonts w:ascii="Arial" w:hAnsi="Arial" w:cs="Arial"/>
          <w:sz w:val="24"/>
          <w:szCs w:val="24"/>
        </w:rPr>
        <w:t xml:space="preserve"> and </w:t>
      </w:r>
      <w:r w:rsidR="00B5218F" w:rsidRPr="00A54D55">
        <w:rPr>
          <w:rFonts w:ascii="Arial" w:hAnsi="Arial" w:cs="Arial"/>
          <w:sz w:val="24"/>
          <w:szCs w:val="24"/>
        </w:rPr>
        <w:t xml:space="preserve">the </w:t>
      </w:r>
      <w:r w:rsidR="00AB120C" w:rsidRPr="00A54D55">
        <w:rPr>
          <w:rFonts w:ascii="Arial" w:hAnsi="Arial" w:cs="Arial"/>
          <w:sz w:val="24"/>
          <w:szCs w:val="24"/>
        </w:rPr>
        <w:t>community pharmacy contractual framework</w:t>
      </w:r>
      <w:r w:rsidRPr="00A54D55">
        <w:rPr>
          <w:rFonts w:ascii="Arial" w:hAnsi="Arial" w:cs="Arial"/>
          <w:sz w:val="24"/>
          <w:szCs w:val="24"/>
        </w:rPr>
        <w:t>.</w:t>
      </w:r>
      <w:r w:rsidR="006E6177" w:rsidRPr="00A54D55">
        <w:rPr>
          <w:rFonts w:ascii="Arial" w:hAnsi="Arial" w:cs="Arial"/>
          <w:sz w:val="24"/>
          <w:szCs w:val="24"/>
        </w:rPr>
        <w:t xml:space="preserve"> </w:t>
      </w:r>
      <w:r w:rsidRPr="00A54D55">
        <w:rPr>
          <w:rFonts w:ascii="Arial" w:hAnsi="Arial" w:cs="Arial"/>
          <w:sz w:val="24"/>
          <w:szCs w:val="24"/>
        </w:rPr>
        <w:t>They are:</w:t>
      </w:r>
    </w:p>
    <w:p w14:paraId="71C30A2C" w14:textId="77777777" w:rsidR="006F4C35" w:rsidRPr="00A54D55" w:rsidRDefault="006F4C35" w:rsidP="00DC54F7">
      <w:pPr>
        <w:spacing w:after="0" w:line="240" w:lineRule="auto"/>
        <w:contextualSpacing/>
        <w:jc w:val="both"/>
        <w:rPr>
          <w:rFonts w:ascii="Arial" w:hAnsi="Arial" w:cs="Arial"/>
          <w:sz w:val="24"/>
          <w:szCs w:val="24"/>
        </w:rPr>
      </w:pPr>
    </w:p>
    <w:p w14:paraId="626A22BB" w14:textId="77777777" w:rsidR="006F4C35" w:rsidRPr="00A54D55" w:rsidRDefault="006F4C35" w:rsidP="00DC54F7">
      <w:pPr>
        <w:pStyle w:val="ListParagraph"/>
        <w:numPr>
          <w:ilvl w:val="0"/>
          <w:numId w:val="4"/>
        </w:numPr>
        <w:spacing w:after="0" w:line="240" w:lineRule="auto"/>
        <w:jc w:val="both"/>
        <w:rPr>
          <w:rFonts w:ascii="Arial" w:hAnsi="Arial" w:cs="Arial"/>
          <w:sz w:val="24"/>
          <w:szCs w:val="24"/>
        </w:rPr>
      </w:pPr>
      <w:r w:rsidRPr="00A54D55">
        <w:rPr>
          <w:rFonts w:ascii="Arial" w:hAnsi="Arial" w:cs="Arial"/>
          <w:sz w:val="24"/>
          <w:szCs w:val="24"/>
        </w:rPr>
        <w:t>Essential services</w:t>
      </w:r>
      <w:r w:rsidR="006D13BE" w:rsidRPr="00A54D55">
        <w:rPr>
          <w:rFonts w:ascii="Arial" w:hAnsi="Arial" w:cs="Arial"/>
          <w:sz w:val="24"/>
          <w:szCs w:val="24"/>
        </w:rPr>
        <w:t xml:space="preserve"> – all pharmacies must provide these services</w:t>
      </w:r>
    </w:p>
    <w:p w14:paraId="1CC35DBE" w14:textId="77777777" w:rsidR="00AE6E80" w:rsidRPr="00A54D55" w:rsidRDefault="00AE6E80"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Dispensing of prescriptions, including urgent supply of a drug or appliance without a prescription</w:t>
      </w:r>
    </w:p>
    <w:p w14:paraId="0DEFF487" w14:textId="77777777" w:rsidR="00AE6E80" w:rsidRPr="00A54D55" w:rsidRDefault="00AE6E80"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Dispensing of repeatable prescriptions</w:t>
      </w:r>
    </w:p>
    <w:p w14:paraId="4984A2DA" w14:textId="77777777" w:rsidR="00AE6E80" w:rsidRPr="00A54D55" w:rsidRDefault="00AE6E80"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Disposal of unwanted drugs</w:t>
      </w:r>
    </w:p>
    <w:p w14:paraId="00686DCD" w14:textId="77777777" w:rsidR="00AE6E80" w:rsidRPr="00A54D55" w:rsidRDefault="00AE6E80"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Promotion of healthy lifestyles</w:t>
      </w:r>
    </w:p>
    <w:p w14:paraId="4148F477" w14:textId="77777777" w:rsidR="00AE6E80" w:rsidRPr="00A54D55" w:rsidRDefault="00B23F73"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Signposting</w:t>
      </w:r>
      <w:r w:rsidR="006E650F" w:rsidRPr="00A54D55">
        <w:rPr>
          <w:rFonts w:ascii="Arial" w:hAnsi="Arial" w:cs="Arial"/>
          <w:sz w:val="24"/>
          <w:szCs w:val="24"/>
        </w:rPr>
        <w:t>, and</w:t>
      </w:r>
    </w:p>
    <w:p w14:paraId="26D74C67" w14:textId="77777777" w:rsidR="00AE6E80" w:rsidRPr="00A54D55" w:rsidRDefault="00AE6E80"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Support for self-care</w:t>
      </w:r>
    </w:p>
    <w:p w14:paraId="5616919E" w14:textId="034C5D38" w:rsidR="00243282" w:rsidRPr="00A54D55" w:rsidRDefault="00A54D55" w:rsidP="00DC54F7">
      <w:pPr>
        <w:jc w:val="both"/>
        <w:rPr>
          <w:rFonts w:ascii="Arial" w:hAnsi="Arial" w:cs="Arial"/>
          <w:sz w:val="24"/>
          <w:szCs w:val="24"/>
        </w:rPr>
      </w:pPr>
      <w:r>
        <w:rPr>
          <w:rFonts w:ascii="Arial" w:hAnsi="Arial" w:cs="Arial"/>
          <w:sz w:val="24"/>
          <w:szCs w:val="24"/>
        </w:rPr>
        <w:br w:type="page"/>
      </w:r>
    </w:p>
    <w:p w14:paraId="4D5426E8" w14:textId="04FAEF7A" w:rsidR="006F4C35" w:rsidRPr="00A54D55" w:rsidRDefault="006F4C35" w:rsidP="00DC54F7">
      <w:pPr>
        <w:pStyle w:val="ListParagraph"/>
        <w:numPr>
          <w:ilvl w:val="0"/>
          <w:numId w:val="4"/>
        </w:numPr>
        <w:spacing w:after="0" w:line="240" w:lineRule="auto"/>
        <w:jc w:val="both"/>
        <w:rPr>
          <w:rFonts w:ascii="Arial" w:hAnsi="Arial" w:cs="Arial"/>
          <w:sz w:val="24"/>
          <w:szCs w:val="24"/>
        </w:rPr>
      </w:pPr>
      <w:r w:rsidRPr="00A54D55">
        <w:rPr>
          <w:rFonts w:ascii="Arial" w:hAnsi="Arial" w:cs="Arial"/>
          <w:sz w:val="24"/>
          <w:szCs w:val="24"/>
        </w:rPr>
        <w:lastRenderedPageBreak/>
        <w:t>Advanced services</w:t>
      </w:r>
      <w:r w:rsidR="006D13BE" w:rsidRPr="00A54D55">
        <w:rPr>
          <w:rFonts w:ascii="Arial" w:hAnsi="Arial" w:cs="Arial"/>
          <w:sz w:val="24"/>
          <w:szCs w:val="24"/>
        </w:rPr>
        <w:t xml:space="preserve"> – pharmacies may choose whether to provide these services or not.</w:t>
      </w:r>
      <w:r w:rsidR="006E6177" w:rsidRPr="00A54D55">
        <w:rPr>
          <w:rFonts w:ascii="Arial" w:hAnsi="Arial" w:cs="Arial"/>
          <w:sz w:val="24"/>
          <w:szCs w:val="24"/>
        </w:rPr>
        <w:t xml:space="preserve"> </w:t>
      </w:r>
      <w:r w:rsidR="004467DD" w:rsidRPr="00A54D55">
        <w:rPr>
          <w:rFonts w:ascii="Arial" w:hAnsi="Arial" w:cs="Arial"/>
          <w:sz w:val="24"/>
          <w:szCs w:val="24"/>
        </w:rPr>
        <w:t xml:space="preserve">If they choose to provide one or more of the advanced </w:t>
      </w:r>
      <w:r w:rsidR="00F56E8C" w:rsidRPr="00A54D55">
        <w:rPr>
          <w:rFonts w:ascii="Arial" w:hAnsi="Arial" w:cs="Arial"/>
          <w:sz w:val="24"/>
          <w:szCs w:val="24"/>
        </w:rPr>
        <w:t>services,</w:t>
      </w:r>
      <w:r w:rsidR="001B02C6" w:rsidRPr="00A54D55">
        <w:rPr>
          <w:rFonts w:ascii="Arial" w:hAnsi="Arial" w:cs="Arial"/>
          <w:sz w:val="24"/>
          <w:szCs w:val="24"/>
        </w:rPr>
        <w:t xml:space="preserve"> they</w:t>
      </w:r>
      <w:r w:rsidR="006D13BE" w:rsidRPr="00A54D55">
        <w:rPr>
          <w:rFonts w:ascii="Arial" w:hAnsi="Arial" w:cs="Arial"/>
          <w:sz w:val="24"/>
          <w:szCs w:val="24"/>
        </w:rPr>
        <w:t xml:space="preserve"> must meet certain requirements</w:t>
      </w:r>
      <w:r w:rsidR="00731ED1" w:rsidRPr="00A54D55">
        <w:rPr>
          <w:rFonts w:ascii="Arial" w:hAnsi="Arial" w:cs="Arial"/>
          <w:sz w:val="24"/>
          <w:szCs w:val="24"/>
        </w:rPr>
        <w:t xml:space="preserve"> and must </w:t>
      </w:r>
      <w:r w:rsidR="009A3509" w:rsidRPr="00A54D55">
        <w:rPr>
          <w:rFonts w:ascii="Arial" w:hAnsi="Arial" w:cs="Arial"/>
          <w:sz w:val="24"/>
          <w:szCs w:val="24"/>
        </w:rPr>
        <w:t xml:space="preserve">also </w:t>
      </w:r>
      <w:r w:rsidR="00731ED1" w:rsidRPr="00A54D55">
        <w:rPr>
          <w:rFonts w:ascii="Arial" w:hAnsi="Arial" w:cs="Arial"/>
          <w:sz w:val="24"/>
          <w:szCs w:val="24"/>
        </w:rPr>
        <w:t xml:space="preserve">be fully compliant with the essential services </w:t>
      </w:r>
      <w:r w:rsidR="00B23F73" w:rsidRPr="00A54D55">
        <w:rPr>
          <w:rFonts w:ascii="Arial" w:hAnsi="Arial" w:cs="Arial"/>
          <w:sz w:val="24"/>
          <w:szCs w:val="24"/>
        </w:rPr>
        <w:t xml:space="preserve">and clinical governance </w:t>
      </w:r>
      <w:r w:rsidR="00731ED1" w:rsidRPr="00A54D55">
        <w:rPr>
          <w:rFonts w:ascii="Arial" w:hAnsi="Arial" w:cs="Arial"/>
          <w:sz w:val="24"/>
          <w:szCs w:val="24"/>
        </w:rPr>
        <w:t>requirements</w:t>
      </w:r>
      <w:r w:rsidR="006D13BE" w:rsidRPr="00A54D55">
        <w:rPr>
          <w:rFonts w:ascii="Arial" w:hAnsi="Arial" w:cs="Arial"/>
          <w:sz w:val="24"/>
          <w:szCs w:val="24"/>
        </w:rPr>
        <w:t>.</w:t>
      </w:r>
    </w:p>
    <w:p w14:paraId="306573EA" w14:textId="77777777" w:rsidR="006F4C35" w:rsidRPr="00A54D55" w:rsidRDefault="006F4C35"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Medicine</w:t>
      </w:r>
      <w:r w:rsidR="00592DCD" w:rsidRPr="00A54D55">
        <w:rPr>
          <w:rFonts w:ascii="Arial" w:hAnsi="Arial" w:cs="Arial"/>
          <w:sz w:val="24"/>
          <w:szCs w:val="24"/>
        </w:rPr>
        <w:t>s</w:t>
      </w:r>
      <w:r w:rsidRPr="00A54D55">
        <w:rPr>
          <w:rFonts w:ascii="Arial" w:hAnsi="Arial" w:cs="Arial"/>
          <w:sz w:val="24"/>
          <w:szCs w:val="24"/>
        </w:rPr>
        <w:t xml:space="preserve"> use review and prescription intervention services (more commonly referred to a</w:t>
      </w:r>
      <w:r w:rsidR="00592DCD" w:rsidRPr="00A54D55">
        <w:rPr>
          <w:rFonts w:ascii="Arial" w:hAnsi="Arial" w:cs="Arial"/>
          <w:sz w:val="24"/>
          <w:szCs w:val="24"/>
        </w:rPr>
        <w:t xml:space="preserve">s the </w:t>
      </w:r>
      <w:r w:rsidR="004654D5" w:rsidRPr="00A54D55">
        <w:rPr>
          <w:rFonts w:ascii="Arial" w:hAnsi="Arial" w:cs="Arial"/>
          <w:sz w:val="24"/>
          <w:szCs w:val="24"/>
        </w:rPr>
        <w:t>m</w:t>
      </w:r>
      <w:r w:rsidR="009E53CC" w:rsidRPr="00A54D55">
        <w:rPr>
          <w:rFonts w:ascii="Arial" w:hAnsi="Arial" w:cs="Arial"/>
          <w:sz w:val="24"/>
          <w:szCs w:val="24"/>
        </w:rPr>
        <w:t xml:space="preserve">edicines </w:t>
      </w:r>
      <w:r w:rsidR="004654D5" w:rsidRPr="00A54D55">
        <w:rPr>
          <w:rFonts w:ascii="Arial" w:hAnsi="Arial" w:cs="Arial"/>
          <w:sz w:val="24"/>
          <w:szCs w:val="24"/>
        </w:rPr>
        <w:t>u</w:t>
      </w:r>
      <w:r w:rsidR="009E53CC" w:rsidRPr="00A54D55">
        <w:rPr>
          <w:rFonts w:ascii="Arial" w:hAnsi="Arial" w:cs="Arial"/>
          <w:sz w:val="24"/>
          <w:szCs w:val="24"/>
        </w:rPr>
        <w:t xml:space="preserve">se </w:t>
      </w:r>
      <w:r w:rsidR="004654D5" w:rsidRPr="00A54D55">
        <w:rPr>
          <w:rFonts w:ascii="Arial" w:hAnsi="Arial" w:cs="Arial"/>
          <w:sz w:val="24"/>
          <w:szCs w:val="24"/>
        </w:rPr>
        <w:t>r</w:t>
      </w:r>
      <w:r w:rsidR="009E53CC" w:rsidRPr="00A54D55">
        <w:rPr>
          <w:rFonts w:ascii="Arial" w:hAnsi="Arial" w:cs="Arial"/>
          <w:sz w:val="24"/>
          <w:szCs w:val="24"/>
        </w:rPr>
        <w:t>eview</w:t>
      </w:r>
      <w:r w:rsidRPr="00A54D55">
        <w:rPr>
          <w:rFonts w:ascii="Arial" w:hAnsi="Arial" w:cs="Arial"/>
          <w:sz w:val="24"/>
          <w:szCs w:val="24"/>
        </w:rPr>
        <w:t xml:space="preserve"> </w:t>
      </w:r>
      <w:r w:rsidR="004654D5" w:rsidRPr="00A54D55">
        <w:rPr>
          <w:rFonts w:ascii="Arial" w:hAnsi="Arial" w:cs="Arial"/>
          <w:sz w:val="24"/>
          <w:szCs w:val="24"/>
        </w:rPr>
        <w:t xml:space="preserve">or MUR </w:t>
      </w:r>
      <w:r w:rsidRPr="00A54D55">
        <w:rPr>
          <w:rFonts w:ascii="Arial" w:hAnsi="Arial" w:cs="Arial"/>
          <w:sz w:val="24"/>
          <w:szCs w:val="24"/>
        </w:rPr>
        <w:t>service)</w:t>
      </w:r>
    </w:p>
    <w:p w14:paraId="3F1CA57C" w14:textId="63373671" w:rsidR="004654D5" w:rsidRPr="00A54D55" w:rsidRDefault="004654D5"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Discharge medicines review service</w:t>
      </w:r>
      <w:r w:rsidR="0048476A" w:rsidRPr="00A54D55">
        <w:rPr>
          <w:rFonts w:ascii="Arial" w:hAnsi="Arial" w:cs="Arial"/>
          <w:sz w:val="24"/>
          <w:szCs w:val="24"/>
        </w:rPr>
        <w:t xml:space="preserve"> (DMR</w:t>
      </w:r>
      <w:r w:rsidR="002F2CE9" w:rsidRPr="00A54D55">
        <w:rPr>
          <w:rFonts w:ascii="Arial" w:hAnsi="Arial" w:cs="Arial"/>
          <w:sz w:val="24"/>
          <w:szCs w:val="24"/>
        </w:rPr>
        <w:t>)</w:t>
      </w:r>
      <w:r w:rsidR="0048476A" w:rsidRPr="00A54D55">
        <w:rPr>
          <w:rFonts w:ascii="Arial" w:hAnsi="Arial" w:cs="Arial"/>
          <w:sz w:val="24"/>
          <w:szCs w:val="24"/>
        </w:rPr>
        <w:t xml:space="preserve"> service</w:t>
      </w:r>
    </w:p>
    <w:p w14:paraId="490558D8" w14:textId="07919D31" w:rsidR="006F4C35" w:rsidRPr="00A54D55" w:rsidRDefault="00AE6E80"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Stoma appliance customisation</w:t>
      </w:r>
      <w:r w:rsidR="00CF1AF8" w:rsidRPr="00A54D55">
        <w:rPr>
          <w:rFonts w:ascii="Arial" w:hAnsi="Arial" w:cs="Arial"/>
          <w:sz w:val="24"/>
          <w:szCs w:val="24"/>
        </w:rPr>
        <w:t xml:space="preserve"> (</w:t>
      </w:r>
      <w:r w:rsidR="005A31A4" w:rsidRPr="00A54D55">
        <w:rPr>
          <w:rFonts w:ascii="Arial" w:hAnsi="Arial" w:cs="Arial"/>
          <w:sz w:val="24"/>
          <w:szCs w:val="24"/>
        </w:rPr>
        <w:t>SAC</w:t>
      </w:r>
      <w:r w:rsidR="00CF1AF8" w:rsidRPr="00A54D55">
        <w:rPr>
          <w:rFonts w:ascii="Arial" w:hAnsi="Arial" w:cs="Arial"/>
          <w:sz w:val="24"/>
          <w:szCs w:val="24"/>
        </w:rPr>
        <w:t>) service</w:t>
      </w:r>
    </w:p>
    <w:p w14:paraId="6D2E254A" w14:textId="7356AF6B" w:rsidR="00AE6E80" w:rsidRPr="00A54D55" w:rsidRDefault="00AE6E80"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Appliance use review</w:t>
      </w:r>
      <w:r w:rsidR="008005C2" w:rsidRPr="00A54D55">
        <w:rPr>
          <w:rFonts w:ascii="Arial" w:hAnsi="Arial" w:cs="Arial"/>
          <w:sz w:val="24"/>
          <w:szCs w:val="24"/>
        </w:rPr>
        <w:t xml:space="preserve"> (AUR)</w:t>
      </w:r>
      <w:r w:rsidR="002F2CE9" w:rsidRPr="00A54D55">
        <w:rPr>
          <w:rFonts w:ascii="Arial" w:hAnsi="Arial" w:cs="Arial"/>
          <w:sz w:val="24"/>
          <w:szCs w:val="24"/>
        </w:rPr>
        <w:t xml:space="preserve"> service</w:t>
      </w:r>
    </w:p>
    <w:p w14:paraId="1E598B62" w14:textId="77777777" w:rsidR="00B5218F" w:rsidRPr="00A54D55" w:rsidRDefault="00B5218F" w:rsidP="00DC54F7">
      <w:pPr>
        <w:spacing w:after="0" w:line="240" w:lineRule="auto"/>
        <w:jc w:val="both"/>
        <w:rPr>
          <w:rFonts w:ascii="Arial" w:hAnsi="Arial" w:cs="Arial"/>
          <w:sz w:val="24"/>
          <w:szCs w:val="24"/>
        </w:rPr>
      </w:pPr>
    </w:p>
    <w:p w14:paraId="6C45000C" w14:textId="3913C764" w:rsidR="006F4C35" w:rsidRPr="00A54D55" w:rsidRDefault="006F4C35" w:rsidP="00DC54F7">
      <w:pPr>
        <w:pStyle w:val="ListParagraph"/>
        <w:numPr>
          <w:ilvl w:val="0"/>
          <w:numId w:val="4"/>
        </w:numPr>
        <w:spacing w:after="0" w:line="240" w:lineRule="auto"/>
        <w:jc w:val="both"/>
        <w:rPr>
          <w:rFonts w:ascii="Arial" w:hAnsi="Arial" w:cs="Arial"/>
          <w:sz w:val="24"/>
          <w:szCs w:val="24"/>
        </w:rPr>
      </w:pPr>
      <w:r w:rsidRPr="00A54D55">
        <w:rPr>
          <w:rFonts w:ascii="Arial" w:hAnsi="Arial" w:cs="Arial"/>
          <w:sz w:val="24"/>
          <w:szCs w:val="24"/>
        </w:rPr>
        <w:t>Enhanced services</w:t>
      </w:r>
      <w:r w:rsidR="006D13BE" w:rsidRPr="00A54D55">
        <w:rPr>
          <w:rFonts w:ascii="Arial" w:hAnsi="Arial" w:cs="Arial"/>
          <w:sz w:val="24"/>
          <w:szCs w:val="24"/>
        </w:rPr>
        <w:t xml:space="preserve"> –</w:t>
      </w:r>
      <w:r w:rsidR="00084521" w:rsidRPr="00A54D55">
        <w:rPr>
          <w:rFonts w:ascii="Arial" w:hAnsi="Arial" w:cs="Arial"/>
          <w:sz w:val="24"/>
          <w:szCs w:val="24"/>
        </w:rPr>
        <w:t xml:space="preserve"> </w:t>
      </w:r>
      <w:r w:rsidR="00B23F73" w:rsidRPr="00A54D55">
        <w:rPr>
          <w:rFonts w:ascii="Arial" w:hAnsi="Arial" w:cs="Arial"/>
          <w:sz w:val="24"/>
          <w:szCs w:val="24"/>
        </w:rPr>
        <w:t xml:space="preserve">service specifications for </w:t>
      </w:r>
      <w:r w:rsidR="006D13BE" w:rsidRPr="00A54D55">
        <w:rPr>
          <w:rFonts w:ascii="Arial" w:hAnsi="Arial" w:cs="Arial"/>
          <w:sz w:val="24"/>
          <w:szCs w:val="24"/>
        </w:rPr>
        <w:t>this type of service</w:t>
      </w:r>
      <w:r w:rsidR="00B23F73" w:rsidRPr="00A54D55">
        <w:rPr>
          <w:rFonts w:ascii="Arial" w:hAnsi="Arial" w:cs="Arial"/>
          <w:sz w:val="24"/>
          <w:szCs w:val="24"/>
        </w:rPr>
        <w:t xml:space="preserve"> </w:t>
      </w:r>
      <w:r w:rsidR="00084521" w:rsidRPr="00A54D55">
        <w:rPr>
          <w:rFonts w:ascii="Arial" w:hAnsi="Arial" w:cs="Arial"/>
          <w:sz w:val="24"/>
          <w:szCs w:val="24"/>
        </w:rPr>
        <w:t xml:space="preserve">are developed </w:t>
      </w:r>
      <w:r w:rsidR="00D93833" w:rsidRPr="00A54D55">
        <w:rPr>
          <w:rFonts w:ascii="Arial" w:hAnsi="Arial" w:cs="Arial"/>
          <w:sz w:val="24"/>
          <w:szCs w:val="24"/>
        </w:rPr>
        <w:t xml:space="preserve">nationally or </w:t>
      </w:r>
      <w:r w:rsidR="00084521" w:rsidRPr="00A54D55">
        <w:rPr>
          <w:rFonts w:ascii="Arial" w:hAnsi="Arial" w:cs="Arial"/>
          <w:sz w:val="24"/>
          <w:szCs w:val="24"/>
        </w:rPr>
        <w:t xml:space="preserve">by </w:t>
      </w:r>
      <w:r w:rsidR="004654D5" w:rsidRPr="00A54D55">
        <w:rPr>
          <w:rFonts w:ascii="Arial" w:hAnsi="Arial" w:cs="Arial"/>
          <w:sz w:val="24"/>
          <w:szCs w:val="24"/>
        </w:rPr>
        <w:t>the health board</w:t>
      </w:r>
      <w:r w:rsidR="00084521" w:rsidRPr="00A54D55">
        <w:rPr>
          <w:rFonts w:ascii="Arial" w:hAnsi="Arial" w:cs="Arial"/>
          <w:sz w:val="24"/>
          <w:szCs w:val="24"/>
        </w:rPr>
        <w:t xml:space="preserve"> </w:t>
      </w:r>
      <w:r w:rsidR="00B23F73" w:rsidRPr="00A54D55">
        <w:rPr>
          <w:rFonts w:ascii="Arial" w:hAnsi="Arial" w:cs="Arial"/>
          <w:sz w:val="24"/>
          <w:szCs w:val="24"/>
        </w:rPr>
        <w:t xml:space="preserve">and </w:t>
      </w:r>
      <w:r w:rsidR="00084521" w:rsidRPr="00A54D55">
        <w:rPr>
          <w:rFonts w:ascii="Arial" w:hAnsi="Arial" w:cs="Arial"/>
          <w:sz w:val="24"/>
          <w:szCs w:val="24"/>
        </w:rPr>
        <w:t>then commissioned</w:t>
      </w:r>
      <w:r w:rsidR="006D13BE" w:rsidRPr="00A54D55">
        <w:rPr>
          <w:rFonts w:ascii="Arial" w:hAnsi="Arial" w:cs="Arial"/>
          <w:sz w:val="24"/>
          <w:szCs w:val="24"/>
        </w:rPr>
        <w:t xml:space="preserve"> to meet specific health needs.</w:t>
      </w:r>
    </w:p>
    <w:p w14:paraId="2E1FB735" w14:textId="77777777" w:rsidR="006D13BE" w:rsidRPr="00A54D55" w:rsidRDefault="006D13BE"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Anticoagulation monitoring</w:t>
      </w:r>
    </w:p>
    <w:p w14:paraId="11C446FF" w14:textId="77777777" w:rsidR="006D13BE" w:rsidRPr="00A54D55" w:rsidRDefault="006D13BE"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Care home service</w:t>
      </w:r>
    </w:p>
    <w:p w14:paraId="31E456D7" w14:textId="77777777" w:rsidR="006D13BE" w:rsidRPr="00A54D55" w:rsidRDefault="006D13BE"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Disease specific medicines management service</w:t>
      </w:r>
    </w:p>
    <w:p w14:paraId="1FE44468" w14:textId="77777777" w:rsidR="006D13BE" w:rsidRPr="00A54D55" w:rsidRDefault="006D13BE"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Gluten free food supply service</w:t>
      </w:r>
    </w:p>
    <w:p w14:paraId="13211C81" w14:textId="77777777" w:rsidR="006D13BE" w:rsidRPr="00A54D55" w:rsidRDefault="006D13BE"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Home delivery service</w:t>
      </w:r>
    </w:p>
    <w:p w14:paraId="784F48B7" w14:textId="77777777" w:rsidR="006D13BE" w:rsidRPr="00A54D55" w:rsidRDefault="006D13BE"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Language access service</w:t>
      </w:r>
    </w:p>
    <w:p w14:paraId="14A59C1B" w14:textId="77777777" w:rsidR="006D13BE" w:rsidRPr="00A54D55" w:rsidRDefault="006D13BE"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Medication review service</w:t>
      </w:r>
    </w:p>
    <w:p w14:paraId="30626298" w14:textId="77777777" w:rsidR="006D13BE" w:rsidRPr="00A54D55" w:rsidRDefault="006D13BE"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Medicines assessment and compliance support service</w:t>
      </w:r>
    </w:p>
    <w:p w14:paraId="496D3031" w14:textId="77777777" w:rsidR="006D13BE" w:rsidRPr="00A54D55" w:rsidRDefault="006D13BE"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Minor ailment scheme</w:t>
      </w:r>
    </w:p>
    <w:p w14:paraId="7CDEB2DF" w14:textId="77777777" w:rsidR="006D13BE" w:rsidRPr="00A54D55" w:rsidRDefault="00397329"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Needle and syringe exchange</w:t>
      </w:r>
    </w:p>
    <w:p w14:paraId="06810482" w14:textId="77777777" w:rsidR="006D13BE" w:rsidRPr="00A54D55" w:rsidRDefault="006D13BE"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On demand availability of specialist drugs service</w:t>
      </w:r>
    </w:p>
    <w:p w14:paraId="1E96AD7F" w14:textId="77777777" w:rsidR="006D13BE" w:rsidRPr="00A54D55" w:rsidRDefault="006D13BE"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Out of hours service</w:t>
      </w:r>
    </w:p>
    <w:p w14:paraId="158A9271" w14:textId="77777777" w:rsidR="006D13BE" w:rsidRPr="00A54D55" w:rsidRDefault="00397329"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Patient group direction service</w:t>
      </w:r>
    </w:p>
    <w:p w14:paraId="0020C076" w14:textId="77777777" w:rsidR="006D13BE" w:rsidRPr="00A54D55" w:rsidRDefault="006D13BE"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Prescriber support service</w:t>
      </w:r>
    </w:p>
    <w:p w14:paraId="03842651" w14:textId="77777777" w:rsidR="006D13BE" w:rsidRPr="00A54D55" w:rsidRDefault="006D13BE"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Schools service</w:t>
      </w:r>
    </w:p>
    <w:p w14:paraId="7FBEB4C9" w14:textId="77777777" w:rsidR="006D13BE" w:rsidRPr="00A54D55" w:rsidRDefault="00397329"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Screening service</w:t>
      </w:r>
    </w:p>
    <w:p w14:paraId="522A768B" w14:textId="77777777" w:rsidR="006D13BE" w:rsidRPr="00A54D55" w:rsidRDefault="00397329"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Stop smoking service</w:t>
      </w:r>
    </w:p>
    <w:p w14:paraId="41D79603" w14:textId="77777777" w:rsidR="00774AFB" w:rsidRPr="00A54D55" w:rsidRDefault="006D13BE"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sz w:val="24"/>
          <w:szCs w:val="24"/>
        </w:rPr>
        <w:t>Su</w:t>
      </w:r>
      <w:r w:rsidR="00397329" w:rsidRPr="00A54D55">
        <w:rPr>
          <w:rFonts w:ascii="Arial" w:hAnsi="Arial" w:cs="Arial"/>
          <w:sz w:val="24"/>
          <w:szCs w:val="24"/>
        </w:rPr>
        <w:t>pervised administration service</w:t>
      </w:r>
    </w:p>
    <w:p w14:paraId="2DF2E657" w14:textId="77777777" w:rsidR="00774AFB" w:rsidRPr="00A54D55" w:rsidRDefault="00000811"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color w:val="000000"/>
          <w:sz w:val="24"/>
          <w:szCs w:val="24"/>
        </w:rPr>
        <w:t>An anti-viral collection service</w:t>
      </w:r>
    </w:p>
    <w:p w14:paraId="5F78B010" w14:textId="2D28C572" w:rsidR="006D13BE" w:rsidRPr="00A54D55" w:rsidRDefault="00000811" w:rsidP="00DC54F7">
      <w:pPr>
        <w:pStyle w:val="ListParagraph"/>
        <w:numPr>
          <w:ilvl w:val="1"/>
          <w:numId w:val="4"/>
        </w:numPr>
        <w:spacing w:after="0" w:line="240" w:lineRule="auto"/>
        <w:jc w:val="both"/>
        <w:rPr>
          <w:rFonts w:ascii="Arial" w:hAnsi="Arial" w:cs="Arial"/>
          <w:sz w:val="24"/>
          <w:szCs w:val="24"/>
        </w:rPr>
      </w:pPr>
      <w:r w:rsidRPr="00A54D55">
        <w:rPr>
          <w:rFonts w:ascii="Arial" w:hAnsi="Arial" w:cs="Arial"/>
          <w:color w:val="000000"/>
          <w:sz w:val="24"/>
          <w:szCs w:val="24"/>
        </w:rPr>
        <w:t>An emergency supply service</w:t>
      </w:r>
    </w:p>
    <w:p w14:paraId="34074AA0" w14:textId="77777777" w:rsidR="006D13BE" w:rsidRPr="00A54D55" w:rsidRDefault="006D13BE" w:rsidP="00DC54F7">
      <w:pPr>
        <w:spacing w:after="0" w:line="240" w:lineRule="auto"/>
        <w:jc w:val="both"/>
        <w:rPr>
          <w:rFonts w:ascii="Arial" w:hAnsi="Arial" w:cs="Arial"/>
          <w:sz w:val="24"/>
          <w:szCs w:val="24"/>
        </w:rPr>
      </w:pPr>
    </w:p>
    <w:p w14:paraId="16C6BCC9" w14:textId="77777777" w:rsidR="00B23F73" w:rsidRPr="00A54D55" w:rsidRDefault="00B23F73" w:rsidP="00DC54F7">
      <w:pPr>
        <w:spacing w:after="0" w:line="240" w:lineRule="auto"/>
        <w:jc w:val="both"/>
        <w:rPr>
          <w:rFonts w:ascii="Arial" w:hAnsi="Arial" w:cs="Arial"/>
          <w:sz w:val="24"/>
          <w:szCs w:val="24"/>
        </w:rPr>
      </w:pPr>
      <w:r w:rsidRPr="00A54D55">
        <w:rPr>
          <w:rFonts w:ascii="Arial" w:hAnsi="Arial" w:cs="Arial"/>
          <w:sz w:val="24"/>
          <w:szCs w:val="24"/>
        </w:rPr>
        <w:t>Further information on the essential, advanced and enhanced services requirements can be found in appendices</w:t>
      </w:r>
      <w:r w:rsidR="00A366D5" w:rsidRPr="00A54D55">
        <w:rPr>
          <w:rFonts w:ascii="Arial" w:hAnsi="Arial" w:cs="Arial"/>
          <w:sz w:val="24"/>
          <w:szCs w:val="24"/>
        </w:rPr>
        <w:t xml:space="preserve"> B, C and D respectively.</w:t>
      </w:r>
    </w:p>
    <w:p w14:paraId="61452AA2" w14:textId="77777777" w:rsidR="00A366D5" w:rsidRPr="00A54D55" w:rsidRDefault="00A366D5" w:rsidP="00DC54F7">
      <w:pPr>
        <w:spacing w:after="0" w:line="240" w:lineRule="auto"/>
        <w:jc w:val="both"/>
        <w:rPr>
          <w:rFonts w:ascii="Arial" w:hAnsi="Arial" w:cs="Arial"/>
          <w:sz w:val="24"/>
          <w:szCs w:val="24"/>
        </w:rPr>
      </w:pPr>
    </w:p>
    <w:p w14:paraId="35816ADC" w14:textId="77777777" w:rsidR="00CB6EEB" w:rsidRPr="00A54D55" w:rsidRDefault="006D13BE" w:rsidP="00DC54F7">
      <w:pPr>
        <w:spacing w:after="0" w:line="240" w:lineRule="auto"/>
        <w:contextualSpacing/>
        <w:jc w:val="both"/>
        <w:rPr>
          <w:rFonts w:ascii="Arial" w:hAnsi="Arial" w:cs="Arial"/>
          <w:sz w:val="24"/>
          <w:szCs w:val="24"/>
        </w:rPr>
      </w:pPr>
      <w:r w:rsidRPr="00A54D55">
        <w:rPr>
          <w:rFonts w:ascii="Arial" w:hAnsi="Arial" w:cs="Arial"/>
          <w:sz w:val="24"/>
          <w:szCs w:val="24"/>
        </w:rPr>
        <w:t>Underpinning the provision of all of these services is the requirement on each pharmacy</w:t>
      </w:r>
      <w:r w:rsidR="006E650F" w:rsidRPr="00A54D55">
        <w:rPr>
          <w:rFonts w:ascii="Arial" w:hAnsi="Arial" w:cs="Arial"/>
          <w:sz w:val="24"/>
          <w:szCs w:val="24"/>
        </w:rPr>
        <w:t xml:space="preserve"> contractor</w:t>
      </w:r>
      <w:r w:rsidRPr="00A54D55">
        <w:rPr>
          <w:rFonts w:ascii="Arial" w:hAnsi="Arial" w:cs="Arial"/>
          <w:sz w:val="24"/>
          <w:szCs w:val="24"/>
        </w:rPr>
        <w:t xml:space="preserve"> to participate in a system of clinical governance.</w:t>
      </w:r>
      <w:r w:rsidR="006E6177" w:rsidRPr="00A54D55">
        <w:rPr>
          <w:rFonts w:ascii="Arial" w:hAnsi="Arial" w:cs="Arial"/>
          <w:sz w:val="24"/>
          <w:szCs w:val="24"/>
        </w:rPr>
        <w:t xml:space="preserve"> </w:t>
      </w:r>
      <w:r w:rsidRPr="00A54D55">
        <w:rPr>
          <w:rFonts w:ascii="Arial" w:hAnsi="Arial" w:cs="Arial"/>
          <w:sz w:val="24"/>
          <w:szCs w:val="24"/>
        </w:rPr>
        <w:t xml:space="preserve">This system is set out within </w:t>
      </w:r>
      <w:r w:rsidR="00ED5F7B" w:rsidRPr="00A54D55">
        <w:rPr>
          <w:rFonts w:ascii="Arial" w:hAnsi="Arial" w:cs="Arial"/>
          <w:sz w:val="24"/>
          <w:szCs w:val="24"/>
        </w:rPr>
        <w:t xml:space="preserve">the NHS (Pharmaceutical Services) </w:t>
      </w:r>
      <w:r w:rsidR="003575A4" w:rsidRPr="00A54D55">
        <w:rPr>
          <w:rFonts w:ascii="Arial" w:hAnsi="Arial" w:cs="Arial"/>
          <w:sz w:val="24"/>
          <w:szCs w:val="24"/>
        </w:rPr>
        <w:t xml:space="preserve">(Wales) </w:t>
      </w:r>
      <w:r w:rsidR="00ED5F7B" w:rsidRPr="00A54D55">
        <w:rPr>
          <w:rFonts w:ascii="Arial" w:hAnsi="Arial" w:cs="Arial"/>
          <w:sz w:val="24"/>
          <w:szCs w:val="24"/>
        </w:rPr>
        <w:t xml:space="preserve">Regulations </w:t>
      </w:r>
      <w:r w:rsidR="004654D5" w:rsidRPr="00A54D55">
        <w:rPr>
          <w:rFonts w:ascii="Arial" w:hAnsi="Arial" w:cs="Arial"/>
          <w:sz w:val="24"/>
          <w:szCs w:val="24"/>
        </w:rPr>
        <w:t>2020</w:t>
      </w:r>
      <w:r w:rsidR="00ED5F7B" w:rsidRPr="00A54D55">
        <w:rPr>
          <w:rFonts w:ascii="Arial" w:hAnsi="Arial" w:cs="Arial"/>
          <w:sz w:val="24"/>
          <w:szCs w:val="24"/>
        </w:rPr>
        <w:t xml:space="preserve"> </w:t>
      </w:r>
      <w:r w:rsidRPr="00A54D55">
        <w:rPr>
          <w:rFonts w:ascii="Arial" w:hAnsi="Arial" w:cs="Arial"/>
          <w:sz w:val="24"/>
          <w:szCs w:val="24"/>
        </w:rPr>
        <w:t>and includes:</w:t>
      </w:r>
    </w:p>
    <w:p w14:paraId="40ED43E0" w14:textId="77777777" w:rsidR="006D13BE" w:rsidRPr="00A54D55" w:rsidRDefault="006D13BE" w:rsidP="00DC54F7">
      <w:pPr>
        <w:spacing w:after="0" w:line="240" w:lineRule="auto"/>
        <w:contextualSpacing/>
        <w:jc w:val="both"/>
        <w:rPr>
          <w:rFonts w:ascii="Arial" w:hAnsi="Arial" w:cs="Arial"/>
          <w:sz w:val="24"/>
          <w:szCs w:val="24"/>
        </w:rPr>
      </w:pPr>
    </w:p>
    <w:p w14:paraId="6951CCED" w14:textId="77777777" w:rsidR="006D13BE" w:rsidRPr="00A54D55" w:rsidRDefault="006D13BE" w:rsidP="00DC54F7">
      <w:pPr>
        <w:pStyle w:val="ListParagraph"/>
        <w:numPr>
          <w:ilvl w:val="0"/>
          <w:numId w:val="5"/>
        </w:numPr>
        <w:spacing w:after="0" w:line="240" w:lineRule="auto"/>
        <w:jc w:val="both"/>
        <w:rPr>
          <w:rFonts w:ascii="Arial" w:hAnsi="Arial" w:cs="Arial"/>
          <w:sz w:val="24"/>
          <w:szCs w:val="24"/>
        </w:rPr>
      </w:pPr>
      <w:r w:rsidRPr="00A54D55">
        <w:rPr>
          <w:rFonts w:ascii="Arial" w:hAnsi="Arial" w:cs="Arial"/>
          <w:sz w:val="24"/>
          <w:szCs w:val="24"/>
        </w:rPr>
        <w:t>A patient and public involvement programme</w:t>
      </w:r>
    </w:p>
    <w:p w14:paraId="022F972A" w14:textId="77777777" w:rsidR="006D13BE" w:rsidRPr="00A54D55" w:rsidRDefault="004654D5" w:rsidP="00DC54F7">
      <w:pPr>
        <w:pStyle w:val="ListParagraph"/>
        <w:numPr>
          <w:ilvl w:val="0"/>
          <w:numId w:val="5"/>
        </w:numPr>
        <w:spacing w:after="0" w:line="240" w:lineRule="auto"/>
        <w:jc w:val="both"/>
        <w:rPr>
          <w:rFonts w:ascii="Arial" w:hAnsi="Arial" w:cs="Arial"/>
          <w:sz w:val="24"/>
          <w:szCs w:val="24"/>
        </w:rPr>
      </w:pPr>
      <w:r w:rsidRPr="00A54D55">
        <w:rPr>
          <w:rFonts w:ascii="Arial" w:hAnsi="Arial" w:cs="Arial"/>
          <w:sz w:val="24"/>
          <w:szCs w:val="24"/>
        </w:rPr>
        <w:t>A clinical</w:t>
      </w:r>
      <w:r w:rsidR="006D13BE" w:rsidRPr="00A54D55">
        <w:rPr>
          <w:rFonts w:ascii="Arial" w:hAnsi="Arial" w:cs="Arial"/>
          <w:sz w:val="24"/>
          <w:szCs w:val="24"/>
        </w:rPr>
        <w:t xml:space="preserve"> audit programme</w:t>
      </w:r>
    </w:p>
    <w:p w14:paraId="76C6CB6B" w14:textId="77777777" w:rsidR="006D13BE" w:rsidRPr="00A54D55" w:rsidRDefault="006D13BE" w:rsidP="00DC54F7">
      <w:pPr>
        <w:pStyle w:val="ListParagraph"/>
        <w:numPr>
          <w:ilvl w:val="0"/>
          <w:numId w:val="5"/>
        </w:numPr>
        <w:spacing w:after="0" w:line="240" w:lineRule="auto"/>
        <w:jc w:val="both"/>
        <w:rPr>
          <w:rFonts w:ascii="Arial" w:hAnsi="Arial" w:cs="Arial"/>
          <w:sz w:val="24"/>
          <w:szCs w:val="24"/>
        </w:rPr>
      </w:pPr>
      <w:r w:rsidRPr="00A54D55">
        <w:rPr>
          <w:rFonts w:ascii="Arial" w:hAnsi="Arial" w:cs="Arial"/>
          <w:sz w:val="24"/>
          <w:szCs w:val="24"/>
        </w:rPr>
        <w:t>A risk management programme</w:t>
      </w:r>
    </w:p>
    <w:p w14:paraId="4376CBAC" w14:textId="77777777" w:rsidR="006D13BE" w:rsidRPr="00A54D55" w:rsidRDefault="006D13BE" w:rsidP="00DC54F7">
      <w:pPr>
        <w:pStyle w:val="ListParagraph"/>
        <w:numPr>
          <w:ilvl w:val="0"/>
          <w:numId w:val="5"/>
        </w:numPr>
        <w:spacing w:after="0" w:line="240" w:lineRule="auto"/>
        <w:jc w:val="both"/>
        <w:rPr>
          <w:rFonts w:ascii="Arial" w:hAnsi="Arial" w:cs="Arial"/>
          <w:sz w:val="24"/>
          <w:szCs w:val="24"/>
        </w:rPr>
      </w:pPr>
      <w:r w:rsidRPr="00A54D55">
        <w:rPr>
          <w:rFonts w:ascii="Arial" w:hAnsi="Arial" w:cs="Arial"/>
          <w:sz w:val="24"/>
          <w:szCs w:val="24"/>
        </w:rPr>
        <w:t>A clinical effectiveness programme</w:t>
      </w:r>
    </w:p>
    <w:p w14:paraId="3F70635F" w14:textId="77777777" w:rsidR="006D13BE" w:rsidRPr="00A54D55" w:rsidRDefault="006D13BE" w:rsidP="00DC54F7">
      <w:pPr>
        <w:pStyle w:val="ListParagraph"/>
        <w:numPr>
          <w:ilvl w:val="0"/>
          <w:numId w:val="5"/>
        </w:numPr>
        <w:spacing w:after="0" w:line="240" w:lineRule="auto"/>
        <w:jc w:val="both"/>
        <w:rPr>
          <w:rFonts w:ascii="Arial" w:hAnsi="Arial" w:cs="Arial"/>
          <w:sz w:val="24"/>
          <w:szCs w:val="24"/>
        </w:rPr>
      </w:pPr>
      <w:r w:rsidRPr="00A54D55">
        <w:rPr>
          <w:rFonts w:ascii="Arial" w:hAnsi="Arial" w:cs="Arial"/>
          <w:sz w:val="24"/>
          <w:szCs w:val="24"/>
        </w:rPr>
        <w:t xml:space="preserve">A staffing and staff </w:t>
      </w:r>
      <w:r w:rsidR="00B5218F" w:rsidRPr="00A54D55">
        <w:rPr>
          <w:rFonts w:ascii="Arial" w:hAnsi="Arial" w:cs="Arial"/>
          <w:sz w:val="24"/>
          <w:szCs w:val="24"/>
        </w:rPr>
        <w:t xml:space="preserve">management </w:t>
      </w:r>
      <w:r w:rsidRPr="00A54D55">
        <w:rPr>
          <w:rFonts w:ascii="Arial" w:hAnsi="Arial" w:cs="Arial"/>
          <w:sz w:val="24"/>
          <w:szCs w:val="24"/>
        </w:rPr>
        <w:t>programme</w:t>
      </w:r>
      <w:r w:rsidR="006E650F" w:rsidRPr="00A54D55">
        <w:rPr>
          <w:rFonts w:ascii="Arial" w:hAnsi="Arial" w:cs="Arial"/>
          <w:sz w:val="24"/>
          <w:szCs w:val="24"/>
        </w:rPr>
        <w:t>,</w:t>
      </w:r>
    </w:p>
    <w:p w14:paraId="55A0FDD7" w14:textId="77777777" w:rsidR="00B5218F" w:rsidRPr="00A54D55" w:rsidRDefault="006D13BE" w:rsidP="00DC54F7">
      <w:pPr>
        <w:pStyle w:val="ListParagraph"/>
        <w:numPr>
          <w:ilvl w:val="0"/>
          <w:numId w:val="5"/>
        </w:numPr>
        <w:spacing w:after="0" w:line="240" w:lineRule="auto"/>
        <w:jc w:val="both"/>
        <w:rPr>
          <w:rFonts w:ascii="Arial" w:hAnsi="Arial" w:cs="Arial"/>
          <w:sz w:val="24"/>
          <w:szCs w:val="24"/>
        </w:rPr>
      </w:pPr>
      <w:r w:rsidRPr="00A54D55">
        <w:rPr>
          <w:rFonts w:ascii="Arial" w:hAnsi="Arial" w:cs="Arial"/>
          <w:sz w:val="24"/>
          <w:szCs w:val="24"/>
        </w:rPr>
        <w:t xml:space="preserve">An </w:t>
      </w:r>
      <w:r w:rsidR="006E650F" w:rsidRPr="00A54D55">
        <w:rPr>
          <w:rFonts w:ascii="Arial" w:hAnsi="Arial" w:cs="Arial"/>
          <w:sz w:val="24"/>
          <w:szCs w:val="24"/>
        </w:rPr>
        <w:t xml:space="preserve">information governance programme, and </w:t>
      </w:r>
    </w:p>
    <w:p w14:paraId="6B2EA8DF" w14:textId="51161786" w:rsidR="00A54D55" w:rsidRPr="00A54D55" w:rsidRDefault="006E650F" w:rsidP="00DC54F7">
      <w:pPr>
        <w:pStyle w:val="ListParagraph"/>
        <w:numPr>
          <w:ilvl w:val="0"/>
          <w:numId w:val="5"/>
        </w:numPr>
        <w:spacing w:after="0" w:line="240" w:lineRule="auto"/>
        <w:jc w:val="both"/>
        <w:rPr>
          <w:rFonts w:ascii="Arial" w:hAnsi="Arial" w:cs="Arial"/>
          <w:sz w:val="24"/>
          <w:szCs w:val="24"/>
        </w:rPr>
      </w:pPr>
      <w:r w:rsidRPr="00A54D55">
        <w:rPr>
          <w:rFonts w:ascii="Arial" w:hAnsi="Arial" w:cs="Arial"/>
          <w:sz w:val="24"/>
          <w:szCs w:val="24"/>
        </w:rPr>
        <w:t>A premises standards programme.</w:t>
      </w:r>
    </w:p>
    <w:p w14:paraId="6339F462" w14:textId="77777777" w:rsidR="006D13BE" w:rsidRPr="00A54D55" w:rsidRDefault="004B5CCE" w:rsidP="00DC54F7">
      <w:pPr>
        <w:spacing w:after="0" w:line="240" w:lineRule="auto"/>
        <w:jc w:val="both"/>
        <w:rPr>
          <w:rFonts w:ascii="Arial" w:hAnsi="Arial" w:cs="Arial"/>
          <w:sz w:val="24"/>
          <w:szCs w:val="24"/>
        </w:rPr>
      </w:pPr>
      <w:r w:rsidRPr="00A54D55">
        <w:rPr>
          <w:rFonts w:ascii="Arial" w:hAnsi="Arial" w:cs="Arial"/>
          <w:sz w:val="24"/>
          <w:szCs w:val="24"/>
        </w:rPr>
        <w:lastRenderedPageBreak/>
        <w:t xml:space="preserve">Pharmacies are required to open for </w:t>
      </w:r>
      <w:r w:rsidR="004654D5" w:rsidRPr="00A54D55">
        <w:rPr>
          <w:rFonts w:ascii="Arial" w:hAnsi="Arial" w:cs="Arial"/>
          <w:sz w:val="24"/>
          <w:szCs w:val="24"/>
        </w:rPr>
        <w:t xml:space="preserve">not less than </w:t>
      </w:r>
      <w:r w:rsidRPr="00A54D55">
        <w:rPr>
          <w:rFonts w:ascii="Arial" w:hAnsi="Arial" w:cs="Arial"/>
          <w:sz w:val="24"/>
          <w:szCs w:val="24"/>
        </w:rPr>
        <w:t>40 hours per week</w:t>
      </w:r>
      <w:r w:rsidR="000A2D81" w:rsidRPr="00A54D55">
        <w:rPr>
          <w:rFonts w:ascii="Arial" w:hAnsi="Arial" w:cs="Arial"/>
          <w:sz w:val="24"/>
          <w:szCs w:val="24"/>
        </w:rPr>
        <w:t>,</w:t>
      </w:r>
      <w:r w:rsidRPr="00A54D55">
        <w:rPr>
          <w:rFonts w:ascii="Arial" w:hAnsi="Arial" w:cs="Arial"/>
          <w:sz w:val="24"/>
          <w:szCs w:val="24"/>
        </w:rPr>
        <w:t xml:space="preserve"> </w:t>
      </w:r>
      <w:r w:rsidR="00A82F68" w:rsidRPr="00A54D55">
        <w:rPr>
          <w:rFonts w:ascii="Arial" w:hAnsi="Arial" w:cs="Arial"/>
          <w:sz w:val="24"/>
          <w:szCs w:val="24"/>
        </w:rPr>
        <w:t>and these</w:t>
      </w:r>
      <w:r w:rsidRPr="00A54D55">
        <w:rPr>
          <w:rFonts w:ascii="Arial" w:hAnsi="Arial" w:cs="Arial"/>
          <w:sz w:val="24"/>
          <w:szCs w:val="24"/>
        </w:rPr>
        <w:t xml:space="preserve"> are referred to as core opening hours, but many choose to open for longer a</w:t>
      </w:r>
      <w:r w:rsidR="00A82F68" w:rsidRPr="00A54D55">
        <w:rPr>
          <w:rFonts w:ascii="Arial" w:hAnsi="Arial" w:cs="Arial"/>
          <w:sz w:val="24"/>
          <w:szCs w:val="24"/>
        </w:rPr>
        <w:t>nd these</w:t>
      </w:r>
      <w:r w:rsidRPr="00A54D55">
        <w:rPr>
          <w:rFonts w:ascii="Arial" w:hAnsi="Arial" w:cs="Arial"/>
          <w:sz w:val="24"/>
          <w:szCs w:val="24"/>
        </w:rPr>
        <w:t xml:space="preserve"> </w:t>
      </w:r>
      <w:r w:rsidR="00AB153C" w:rsidRPr="00A54D55">
        <w:rPr>
          <w:rFonts w:ascii="Arial" w:hAnsi="Arial" w:cs="Arial"/>
          <w:sz w:val="24"/>
          <w:szCs w:val="24"/>
        </w:rPr>
        <w:t xml:space="preserve">additional </w:t>
      </w:r>
      <w:r w:rsidRPr="00A54D55">
        <w:rPr>
          <w:rFonts w:ascii="Arial" w:hAnsi="Arial" w:cs="Arial"/>
          <w:sz w:val="24"/>
          <w:szCs w:val="24"/>
        </w:rPr>
        <w:t>hours are referred to as supplementary opening hours.</w:t>
      </w:r>
      <w:r w:rsidR="006E6177" w:rsidRPr="00A54D55">
        <w:rPr>
          <w:rFonts w:ascii="Arial" w:hAnsi="Arial" w:cs="Arial"/>
          <w:sz w:val="24"/>
          <w:szCs w:val="24"/>
        </w:rPr>
        <w:t xml:space="preserve"> </w:t>
      </w:r>
      <w:r w:rsidR="004654D5" w:rsidRPr="00A54D55">
        <w:rPr>
          <w:rFonts w:ascii="Arial" w:hAnsi="Arial" w:cs="Arial"/>
          <w:sz w:val="24"/>
          <w:szCs w:val="24"/>
        </w:rPr>
        <w:t xml:space="preserve">Under the NHS (Pharmaceutical Services) </w:t>
      </w:r>
      <w:r w:rsidR="003575A4" w:rsidRPr="00A54D55">
        <w:rPr>
          <w:rFonts w:ascii="Arial" w:hAnsi="Arial" w:cs="Arial"/>
          <w:sz w:val="24"/>
          <w:szCs w:val="24"/>
        </w:rPr>
        <w:t xml:space="preserve">(Wales) </w:t>
      </w:r>
      <w:r w:rsidR="004654D5" w:rsidRPr="00A54D55">
        <w:rPr>
          <w:rFonts w:ascii="Arial" w:hAnsi="Arial" w:cs="Arial"/>
          <w:sz w:val="24"/>
          <w:szCs w:val="24"/>
        </w:rPr>
        <w:t>Regulations 2020 it is possible for p</w:t>
      </w:r>
      <w:r w:rsidR="004E7D74" w:rsidRPr="00A54D55">
        <w:rPr>
          <w:rFonts w:ascii="Arial" w:hAnsi="Arial" w:cs="Arial"/>
          <w:sz w:val="24"/>
          <w:szCs w:val="24"/>
        </w:rPr>
        <w:t>harmacy</w:t>
      </w:r>
      <w:r w:rsidR="006E650F" w:rsidRPr="00A54D55">
        <w:rPr>
          <w:rFonts w:ascii="Arial" w:hAnsi="Arial" w:cs="Arial"/>
          <w:sz w:val="24"/>
          <w:szCs w:val="24"/>
        </w:rPr>
        <w:t xml:space="preserve"> contractors </w:t>
      </w:r>
      <w:r w:rsidR="004654D5" w:rsidRPr="00A54D55">
        <w:rPr>
          <w:rFonts w:ascii="Arial" w:hAnsi="Arial" w:cs="Arial"/>
          <w:sz w:val="24"/>
          <w:szCs w:val="24"/>
        </w:rPr>
        <w:t>to successfully apply</w:t>
      </w:r>
      <w:r w:rsidR="006E650F" w:rsidRPr="00A54D55">
        <w:rPr>
          <w:rFonts w:ascii="Arial" w:hAnsi="Arial" w:cs="Arial"/>
          <w:sz w:val="24"/>
          <w:szCs w:val="24"/>
        </w:rPr>
        <w:t xml:space="preserve"> to open a pharmacy with a </w:t>
      </w:r>
      <w:r w:rsidR="009A3509" w:rsidRPr="00A54D55">
        <w:rPr>
          <w:rFonts w:ascii="Arial" w:hAnsi="Arial" w:cs="Arial"/>
          <w:sz w:val="24"/>
          <w:szCs w:val="24"/>
        </w:rPr>
        <w:t>greater</w:t>
      </w:r>
      <w:r w:rsidR="006E650F" w:rsidRPr="00A54D55">
        <w:rPr>
          <w:rFonts w:ascii="Arial" w:hAnsi="Arial" w:cs="Arial"/>
          <w:sz w:val="24"/>
          <w:szCs w:val="24"/>
        </w:rPr>
        <w:t xml:space="preserve"> number of core opening hours in order to meet a need identified in a </w:t>
      </w:r>
      <w:r w:rsidR="006C2F60" w:rsidRPr="00A54D55">
        <w:rPr>
          <w:rFonts w:ascii="Arial" w:hAnsi="Arial" w:cs="Arial"/>
          <w:sz w:val="24"/>
          <w:szCs w:val="24"/>
        </w:rPr>
        <w:t>PNA</w:t>
      </w:r>
      <w:r w:rsidR="006E650F" w:rsidRPr="00A54D55">
        <w:rPr>
          <w:rFonts w:ascii="Arial" w:hAnsi="Arial" w:cs="Arial"/>
          <w:sz w:val="24"/>
          <w:szCs w:val="24"/>
        </w:rPr>
        <w:t>.</w:t>
      </w:r>
    </w:p>
    <w:p w14:paraId="416145CB" w14:textId="77777777" w:rsidR="004B5CCE" w:rsidRPr="00A54D55" w:rsidRDefault="004B5CCE" w:rsidP="00DC54F7">
      <w:pPr>
        <w:spacing w:after="0" w:line="240" w:lineRule="auto"/>
        <w:jc w:val="both"/>
        <w:rPr>
          <w:rFonts w:ascii="Arial" w:hAnsi="Arial" w:cs="Arial"/>
          <w:sz w:val="24"/>
          <w:szCs w:val="24"/>
        </w:rPr>
      </w:pPr>
    </w:p>
    <w:p w14:paraId="4BBF4FB1" w14:textId="576D5AD3" w:rsidR="004B5CCE" w:rsidRPr="00A54D55" w:rsidRDefault="004B5CCE" w:rsidP="00DC54F7">
      <w:pPr>
        <w:spacing w:after="0" w:line="240" w:lineRule="auto"/>
        <w:jc w:val="both"/>
        <w:rPr>
          <w:rFonts w:ascii="Arial" w:hAnsi="Arial" w:cs="Arial"/>
          <w:sz w:val="24"/>
          <w:szCs w:val="24"/>
        </w:rPr>
      </w:pPr>
      <w:r w:rsidRPr="00A54D55">
        <w:rPr>
          <w:rFonts w:ascii="Arial" w:hAnsi="Arial" w:cs="Arial"/>
          <w:sz w:val="24"/>
          <w:szCs w:val="24"/>
        </w:rPr>
        <w:t xml:space="preserve">The proposed opening hours for each pharmacy are set out in the initial application, and if the application is granted and the </w:t>
      </w:r>
      <w:r w:rsidR="009A3509" w:rsidRPr="00A54D55">
        <w:rPr>
          <w:rFonts w:ascii="Arial" w:hAnsi="Arial" w:cs="Arial"/>
          <w:sz w:val="24"/>
          <w:szCs w:val="24"/>
        </w:rPr>
        <w:t>pharmacy subsequently opens</w:t>
      </w:r>
      <w:r w:rsidRPr="00A54D55">
        <w:rPr>
          <w:rFonts w:ascii="Arial" w:hAnsi="Arial" w:cs="Arial"/>
          <w:sz w:val="24"/>
          <w:szCs w:val="24"/>
        </w:rPr>
        <w:t xml:space="preserve"> these form the pharmacy’s contracted opening hours.</w:t>
      </w:r>
      <w:r w:rsidR="006E6177" w:rsidRPr="00A54D55">
        <w:rPr>
          <w:rFonts w:ascii="Arial" w:hAnsi="Arial" w:cs="Arial"/>
          <w:sz w:val="24"/>
          <w:szCs w:val="24"/>
        </w:rPr>
        <w:t xml:space="preserve"> </w:t>
      </w:r>
      <w:r w:rsidRPr="00A54D55">
        <w:rPr>
          <w:rFonts w:ascii="Arial" w:hAnsi="Arial" w:cs="Arial"/>
          <w:sz w:val="24"/>
          <w:szCs w:val="24"/>
        </w:rPr>
        <w:t>The contractor can subsequently apply to change their core opening hours</w:t>
      </w:r>
      <w:r w:rsidR="006E650F" w:rsidRPr="00A54D55">
        <w:rPr>
          <w:rFonts w:ascii="Arial" w:hAnsi="Arial" w:cs="Arial"/>
          <w:sz w:val="24"/>
          <w:szCs w:val="24"/>
        </w:rPr>
        <w:t xml:space="preserve"> and </w:t>
      </w:r>
      <w:r w:rsidR="009A3509" w:rsidRPr="00A54D55">
        <w:rPr>
          <w:rFonts w:ascii="Arial" w:hAnsi="Arial" w:cs="Arial"/>
          <w:sz w:val="24"/>
          <w:szCs w:val="24"/>
        </w:rPr>
        <w:t xml:space="preserve">the </w:t>
      </w:r>
      <w:r w:rsidR="004654D5" w:rsidRPr="00A54D55">
        <w:rPr>
          <w:rFonts w:ascii="Arial" w:hAnsi="Arial" w:cs="Arial"/>
          <w:sz w:val="24"/>
          <w:szCs w:val="24"/>
        </w:rPr>
        <w:t>health board</w:t>
      </w:r>
      <w:r w:rsidRPr="00A54D55">
        <w:rPr>
          <w:rFonts w:ascii="Arial" w:hAnsi="Arial" w:cs="Arial"/>
          <w:sz w:val="24"/>
          <w:szCs w:val="24"/>
        </w:rPr>
        <w:t xml:space="preserve"> will assess the application against the needs of the population of </w:t>
      </w:r>
      <w:r w:rsidR="004654D5" w:rsidRPr="00A54D55">
        <w:rPr>
          <w:rFonts w:ascii="Arial" w:hAnsi="Arial" w:cs="Arial"/>
          <w:sz w:val="24"/>
          <w:szCs w:val="24"/>
        </w:rPr>
        <w:t>its</w:t>
      </w:r>
      <w:r w:rsidR="00735FB3" w:rsidRPr="00A54D55">
        <w:rPr>
          <w:rFonts w:ascii="Arial" w:hAnsi="Arial" w:cs="Arial"/>
          <w:sz w:val="24"/>
          <w:szCs w:val="24"/>
        </w:rPr>
        <w:t xml:space="preserve"> </w:t>
      </w:r>
      <w:r w:rsidRPr="00A54D55">
        <w:rPr>
          <w:rFonts w:ascii="Arial" w:hAnsi="Arial" w:cs="Arial"/>
          <w:sz w:val="24"/>
          <w:szCs w:val="24"/>
        </w:rPr>
        <w:t xml:space="preserve">area as set out in the </w:t>
      </w:r>
      <w:r w:rsidR="004654D5" w:rsidRPr="00A54D55">
        <w:rPr>
          <w:rFonts w:ascii="Arial" w:hAnsi="Arial" w:cs="Arial"/>
          <w:sz w:val="24"/>
          <w:szCs w:val="24"/>
        </w:rPr>
        <w:t>PNA</w:t>
      </w:r>
      <w:r w:rsidR="00164DC2" w:rsidRPr="00A54D55">
        <w:rPr>
          <w:rFonts w:ascii="Arial" w:hAnsi="Arial" w:cs="Arial"/>
          <w:sz w:val="24"/>
          <w:szCs w:val="24"/>
        </w:rPr>
        <w:t xml:space="preserve"> to determine whether to agree to the change in core </w:t>
      </w:r>
      <w:r w:rsidR="006E650F" w:rsidRPr="00A54D55">
        <w:rPr>
          <w:rFonts w:ascii="Arial" w:hAnsi="Arial" w:cs="Arial"/>
          <w:sz w:val="24"/>
          <w:szCs w:val="24"/>
        </w:rPr>
        <w:t xml:space="preserve">opening </w:t>
      </w:r>
      <w:r w:rsidR="00164DC2" w:rsidRPr="00A54D55">
        <w:rPr>
          <w:rFonts w:ascii="Arial" w:hAnsi="Arial" w:cs="Arial"/>
          <w:sz w:val="24"/>
          <w:szCs w:val="24"/>
        </w:rPr>
        <w:t>hours or not</w:t>
      </w:r>
      <w:r w:rsidRPr="00A54D55">
        <w:rPr>
          <w:rFonts w:ascii="Arial" w:hAnsi="Arial" w:cs="Arial"/>
          <w:sz w:val="24"/>
          <w:szCs w:val="24"/>
        </w:rPr>
        <w:t>.</w:t>
      </w:r>
      <w:r w:rsidR="006E6177" w:rsidRPr="00A54D55">
        <w:rPr>
          <w:rFonts w:ascii="Arial" w:hAnsi="Arial" w:cs="Arial"/>
          <w:sz w:val="24"/>
          <w:szCs w:val="24"/>
        </w:rPr>
        <w:t xml:space="preserve"> </w:t>
      </w:r>
      <w:r w:rsidRPr="00A54D55">
        <w:rPr>
          <w:rFonts w:ascii="Arial" w:hAnsi="Arial" w:cs="Arial"/>
          <w:sz w:val="24"/>
          <w:szCs w:val="24"/>
        </w:rPr>
        <w:t xml:space="preserve">If a </w:t>
      </w:r>
      <w:r w:rsidR="001B1A7F" w:rsidRPr="00A54D55">
        <w:rPr>
          <w:rFonts w:ascii="Arial" w:hAnsi="Arial" w:cs="Arial"/>
          <w:sz w:val="24"/>
          <w:szCs w:val="24"/>
        </w:rPr>
        <w:t xml:space="preserve">pharmacy </w:t>
      </w:r>
      <w:r w:rsidRPr="00A54D55">
        <w:rPr>
          <w:rFonts w:ascii="Arial" w:hAnsi="Arial" w:cs="Arial"/>
          <w:sz w:val="24"/>
          <w:szCs w:val="24"/>
        </w:rPr>
        <w:t>contractor wishes to change their s</w:t>
      </w:r>
      <w:r w:rsidR="000A2D81" w:rsidRPr="00A54D55">
        <w:rPr>
          <w:rFonts w:ascii="Arial" w:hAnsi="Arial" w:cs="Arial"/>
          <w:sz w:val="24"/>
          <w:szCs w:val="24"/>
        </w:rPr>
        <w:t xml:space="preserve">upplementary opening </w:t>
      </w:r>
      <w:r w:rsidR="00F56E8C" w:rsidRPr="00A54D55">
        <w:rPr>
          <w:rFonts w:ascii="Arial" w:hAnsi="Arial" w:cs="Arial"/>
          <w:sz w:val="24"/>
          <w:szCs w:val="24"/>
        </w:rPr>
        <w:t>hours,</w:t>
      </w:r>
      <w:r w:rsidR="000A2D81" w:rsidRPr="00A54D55">
        <w:rPr>
          <w:rFonts w:ascii="Arial" w:hAnsi="Arial" w:cs="Arial"/>
          <w:sz w:val="24"/>
          <w:szCs w:val="24"/>
        </w:rPr>
        <w:t xml:space="preserve"> they</w:t>
      </w:r>
      <w:r w:rsidRPr="00A54D55">
        <w:rPr>
          <w:rFonts w:ascii="Arial" w:hAnsi="Arial" w:cs="Arial"/>
          <w:sz w:val="24"/>
          <w:szCs w:val="24"/>
        </w:rPr>
        <w:t xml:space="preserve"> simply notify </w:t>
      </w:r>
      <w:r w:rsidR="009A3509" w:rsidRPr="00A54D55">
        <w:rPr>
          <w:rFonts w:ascii="Arial" w:hAnsi="Arial" w:cs="Arial"/>
          <w:sz w:val="24"/>
          <w:szCs w:val="24"/>
        </w:rPr>
        <w:t>the</w:t>
      </w:r>
      <w:r w:rsidR="004654D5" w:rsidRPr="00A54D55">
        <w:rPr>
          <w:rFonts w:ascii="Arial" w:hAnsi="Arial" w:cs="Arial"/>
          <w:sz w:val="24"/>
          <w:szCs w:val="24"/>
        </w:rPr>
        <w:t xml:space="preserve"> health board </w:t>
      </w:r>
      <w:r w:rsidRPr="00A54D55">
        <w:rPr>
          <w:rFonts w:ascii="Arial" w:hAnsi="Arial" w:cs="Arial"/>
          <w:sz w:val="24"/>
          <w:szCs w:val="24"/>
        </w:rPr>
        <w:t>of the change, giving at least three months’ notice.</w:t>
      </w:r>
    </w:p>
    <w:p w14:paraId="05611611" w14:textId="20114DD0" w:rsidR="004B5CCE" w:rsidRDefault="004B5CCE" w:rsidP="00DC54F7">
      <w:pPr>
        <w:spacing w:after="0" w:line="240" w:lineRule="auto"/>
        <w:jc w:val="both"/>
        <w:rPr>
          <w:rFonts w:ascii="Arial" w:hAnsi="Arial" w:cs="Arial"/>
        </w:rPr>
      </w:pPr>
    </w:p>
    <w:p w14:paraId="52E2D796" w14:textId="77777777" w:rsidR="00A54D55" w:rsidRPr="00A10850" w:rsidRDefault="00A54D55" w:rsidP="00DC54F7">
      <w:pPr>
        <w:spacing w:after="0" w:line="240" w:lineRule="auto"/>
        <w:jc w:val="both"/>
        <w:rPr>
          <w:rFonts w:ascii="Arial" w:hAnsi="Arial" w:cs="Arial"/>
        </w:rPr>
      </w:pPr>
    </w:p>
    <w:p w14:paraId="789838B4" w14:textId="77777777" w:rsidR="00C563BB" w:rsidRPr="00A10850" w:rsidRDefault="006F0A84" w:rsidP="00DC54F7">
      <w:pPr>
        <w:spacing w:after="0" w:line="240" w:lineRule="auto"/>
        <w:jc w:val="both"/>
        <w:rPr>
          <w:rFonts w:ascii="Arial" w:hAnsi="Arial" w:cs="Arial"/>
          <w:b/>
          <w:sz w:val="24"/>
          <w:szCs w:val="24"/>
        </w:rPr>
      </w:pPr>
      <w:r w:rsidRPr="00A10850">
        <w:rPr>
          <w:rFonts w:ascii="Arial" w:hAnsi="Arial" w:cs="Arial"/>
          <w:b/>
          <w:sz w:val="24"/>
          <w:szCs w:val="24"/>
        </w:rPr>
        <w:t xml:space="preserve">1.3.2 </w:t>
      </w:r>
      <w:r w:rsidR="00C563BB" w:rsidRPr="00A10850">
        <w:rPr>
          <w:rFonts w:ascii="Arial" w:hAnsi="Arial" w:cs="Arial"/>
          <w:b/>
          <w:sz w:val="24"/>
          <w:szCs w:val="24"/>
        </w:rPr>
        <w:t xml:space="preserve">Pharmaceutical services provided by </w:t>
      </w:r>
      <w:r w:rsidR="006A0A74" w:rsidRPr="00A10850">
        <w:rPr>
          <w:rFonts w:ascii="Arial" w:hAnsi="Arial" w:cs="Arial"/>
          <w:b/>
          <w:sz w:val="24"/>
          <w:szCs w:val="24"/>
        </w:rPr>
        <w:t>dispensing appliance contractor</w:t>
      </w:r>
      <w:r w:rsidR="00C563BB" w:rsidRPr="00A10850">
        <w:rPr>
          <w:rFonts w:ascii="Arial" w:hAnsi="Arial" w:cs="Arial"/>
          <w:b/>
          <w:sz w:val="24"/>
          <w:szCs w:val="24"/>
        </w:rPr>
        <w:t>s</w:t>
      </w:r>
    </w:p>
    <w:p w14:paraId="02C449E1" w14:textId="77777777" w:rsidR="00C563BB" w:rsidRPr="00A10850" w:rsidRDefault="00C563BB" w:rsidP="00DC54F7">
      <w:pPr>
        <w:spacing w:after="0" w:line="240" w:lineRule="auto"/>
        <w:jc w:val="both"/>
        <w:rPr>
          <w:rFonts w:ascii="Arial" w:hAnsi="Arial" w:cs="Arial"/>
        </w:rPr>
      </w:pPr>
    </w:p>
    <w:p w14:paraId="3F52F336" w14:textId="324BD6C1" w:rsidR="00445067" w:rsidRPr="00A54D55" w:rsidRDefault="00731ED1" w:rsidP="00DC54F7">
      <w:pPr>
        <w:spacing w:after="0" w:line="240" w:lineRule="auto"/>
        <w:contextualSpacing/>
        <w:jc w:val="both"/>
        <w:rPr>
          <w:rFonts w:ascii="Arial" w:hAnsi="Arial" w:cs="Arial"/>
          <w:sz w:val="24"/>
          <w:szCs w:val="24"/>
        </w:rPr>
      </w:pPr>
      <w:r w:rsidRPr="00A54D55">
        <w:rPr>
          <w:rFonts w:ascii="Arial" w:hAnsi="Arial" w:cs="Arial"/>
          <w:sz w:val="24"/>
          <w:szCs w:val="24"/>
        </w:rPr>
        <w:t xml:space="preserve">As </w:t>
      </w:r>
      <w:r w:rsidR="00164DC2" w:rsidRPr="00A54D55">
        <w:rPr>
          <w:rFonts w:ascii="Arial" w:hAnsi="Arial" w:cs="Arial"/>
          <w:sz w:val="24"/>
          <w:szCs w:val="24"/>
        </w:rPr>
        <w:t xml:space="preserve">with </w:t>
      </w:r>
      <w:r w:rsidRPr="00A54D55">
        <w:rPr>
          <w:rFonts w:ascii="Arial" w:hAnsi="Arial" w:cs="Arial"/>
          <w:sz w:val="24"/>
          <w:szCs w:val="24"/>
        </w:rPr>
        <w:t xml:space="preserve">pharmacy contractors, </w:t>
      </w:r>
      <w:r w:rsidR="00FA0306" w:rsidRPr="00A54D55">
        <w:rPr>
          <w:rFonts w:ascii="Arial" w:hAnsi="Arial" w:cs="Arial"/>
          <w:sz w:val="24"/>
          <w:szCs w:val="24"/>
        </w:rPr>
        <w:t>Cardiff and Vale University Health Board</w:t>
      </w:r>
      <w:r w:rsidR="004654D5" w:rsidRPr="00A54D55">
        <w:rPr>
          <w:rFonts w:ascii="Arial" w:hAnsi="Arial" w:cs="Arial"/>
          <w:sz w:val="24"/>
          <w:szCs w:val="24"/>
        </w:rPr>
        <w:t xml:space="preserve"> </w:t>
      </w:r>
      <w:r w:rsidRPr="00A54D55">
        <w:rPr>
          <w:rFonts w:ascii="Arial" w:hAnsi="Arial" w:cs="Arial"/>
          <w:sz w:val="24"/>
          <w:szCs w:val="24"/>
        </w:rPr>
        <w:t>does n</w:t>
      </w:r>
      <w:r w:rsidR="00862453" w:rsidRPr="00A54D55">
        <w:rPr>
          <w:rFonts w:ascii="Arial" w:hAnsi="Arial" w:cs="Arial"/>
          <w:sz w:val="24"/>
          <w:szCs w:val="24"/>
        </w:rPr>
        <w:t xml:space="preserve">ot hold contracts with </w:t>
      </w:r>
      <w:r w:rsidR="006A0A74" w:rsidRPr="00A54D55">
        <w:rPr>
          <w:rFonts w:ascii="Arial" w:hAnsi="Arial" w:cs="Arial"/>
          <w:sz w:val="24"/>
          <w:szCs w:val="24"/>
        </w:rPr>
        <w:t>dispensing appliance contractor</w:t>
      </w:r>
      <w:r w:rsidR="00862453" w:rsidRPr="00A54D55">
        <w:rPr>
          <w:rFonts w:ascii="Arial" w:hAnsi="Arial" w:cs="Arial"/>
          <w:sz w:val="24"/>
          <w:szCs w:val="24"/>
        </w:rPr>
        <w:t>s.</w:t>
      </w:r>
      <w:r w:rsidR="006E6177" w:rsidRPr="00A54D55">
        <w:rPr>
          <w:rFonts w:ascii="Arial" w:hAnsi="Arial" w:cs="Arial"/>
          <w:sz w:val="24"/>
          <w:szCs w:val="24"/>
        </w:rPr>
        <w:t xml:space="preserve"> </w:t>
      </w:r>
      <w:r w:rsidR="00862453" w:rsidRPr="00A54D55">
        <w:rPr>
          <w:rFonts w:ascii="Arial" w:hAnsi="Arial" w:cs="Arial"/>
          <w:sz w:val="24"/>
          <w:szCs w:val="24"/>
        </w:rPr>
        <w:t>T</w:t>
      </w:r>
      <w:r w:rsidR="00445067" w:rsidRPr="00A54D55">
        <w:rPr>
          <w:rFonts w:ascii="Arial" w:hAnsi="Arial" w:cs="Arial"/>
          <w:sz w:val="24"/>
          <w:szCs w:val="24"/>
        </w:rPr>
        <w:t>heir terms of service are</w:t>
      </w:r>
      <w:r w:rsidRPr="00A54D55">
        <w:rPr>
          <w:rFonts w:ascii="Arial" w:hAnsi="Arial" w:cs="Arial"/>
          <w:sz w:val="24"/>
          <w:szCs w:val="24"/>
        </w:rPr>
        <w:t xml:space="preserve"> set out in </w:t>
      </w:r>
      <w:r w:rsidR="004654D5" w:rsidRPr="00A54D55">
        <w:rPr>
          <w:rFonts w:ascii="Arial" w:hAnsi="Arial" w:cs="Arial"/>
          <w:sz w:val="24"/>
          <w:szCs w:val="24"/>
        </w:rPr>
        <w:t>schedule 6</w:t>
      </w:r>
      <w:r w:rsidR="00B23F73" w:rsidRPr="00A54D55">
        <w:rPr>
          <w:rFonts w:ascii="Arial" w:hAnsi="Arial" w:cs="Arial"/>
          <w:sz w:val="24"/>
          <w:szCs w:val="24"/>
        </w:rPr>
        <w:t xml:space="preserve"> of </w:t>
      </w:r>
      <w:r w:rsidR="00ED5F7B" w:rsidRPr="00A54D55">
        <w:rPr>
          <w:rFonts w:ascii="Arial" w:hAnsi="Arial" w:cs="Arial"/>
          <w:sz w:val="24"/>
          <w:szCs w:val="24"/>
        </w:rPr>
        <w:t xml:space="preserve">the </w:t>
      </w:r>
      <w:r w:rsidR="004654D5" w:rsidRPr="00A54D55">
        <w:rPr>
          <w:rFonts w:ascii="Arial" w:hAnsi="Arial" w:cs="Arial"/>
          <w:sz w:val="24"/>
          <w:szCs w:val="24"/>
        </w:rPr>
        <w:t>NHS (Pharma</w:t>
      </w:r>
      <w:r w:rsidR="00A10850" w:rsidRPr="00A54D55">
        <w:rPr>
          <w:rFonts w:ascii="Arial" w:hAnsi="Arial" w:cs="Arial"/>
          <w:sz w:val="24"/>
          <w:szCs w:val="24"/>
        </w:rPr>
        <w:t xml:space="preserve">ceutical Services) </w:t>
      </w:r>
      <w:r w:rsidR="003575A4" w:rsidRPr="00A54D55">
        <w:rPr>
          <w:rFonts w:ascii="Arial" w:hAnsi="Arial" w:cs="Arial"/>
          <w:sz w:val="24"/>
          <w:szCs w:val="24"/>
        </w:rPr>
        <w:t xml:space="preserve">(Wales) </w:t>
      </w:r>
      <w:r w:rsidR="00A10850" w:rsidRPr="00A54D55">
        <w:rPr>
          <w:rFonts w:ascii="Arial" w:hAnsi="Arial" w:cs="Arial"/>
          <w:sz w:val="24"/>
          <w:szCs w:val="24"/>
        </w:rPr>
        <w:t xml:space="preserve">Regulations </w:t>
      </w:r>
      <w:r w:rsidR="004654D5" w:rsidRPr="00A54D55">
        <w:rPr>
          <w:rFonts w:ascii="Arial" w:hAnsi="Arial" w:cs="Arial"/>
          <w:sz w:val="24"/>
          <w:szCs w:val="24"/>
        </w:rPr>
        <w:t xml:space="preserve">2020 </w:t>
      </w:r>
      <w:r w:rsidR="003575A4" w:rsidRPr="00A54D55">
        <w:rPr>
          <w:rFonts w:ascii="Arial" w:hAnsi="Arial" w:cs="Arial"/>
          <w:sz w:val="24"/>
          <w:szCs w:val="24"/>
        </w:rPr>
        <w:t>and the Pharmaceutical Services (Advanced Services) (Appliances) (Wales) Directions 2010.</w:t>
      </w:r>
    </w:p>
    <w:p w14:paraId="6C493A7B" w14:textId="77777777" w:rsidR="00445067" w:rsidRPr="00A54D55" w:rsidRDefault="00445067" w:rsidP="00DC54F7">
      <w:pPr>
        <w:spacing w:after="0" w:line="240" w:lineRule="auto"/>
        <w:contextualSpacing/>
        <w:jc w:val="both"/>
        <w:rPr>
          <w:rFonts w:ascii="Arial" w:hAnsi="Arial" w:cs="Arial"/>
          <w:sz w:val="24"/>
          <w:szCs w:val="24"/>
        </w:rPr>
      </w:pPr>
    </w:p>
    <w:p w14:paraId="505565B0" w14:textId="77777777" w:rsidR="00731ED1" w:rsidRPr="00A54D55" w:rsidRDefault="006A0A74" w:rsidP="00DC54F7">
      <w:pPr>
        <w:spacing w:after="0" w:line="240" w:lineRule="auto"/>
        <w:contextualSpacing/>
        <w:jc w:val="both"/>
        <w:rPr>
          <w:rFonts w:ascii="Arial" w:hAnsi="Arial" w:cs="Arial"/>
          <w:sz w:val="24"/>
          <w:szCs w:val="24"/>
        </w:rPr>
      </w:pPr>
      <w:r w:rsidRPr="00A54D55">
        <w:rPr>
          <w:rFonts w:ascii="Arial" w:hAnsi="Arial" w:cs="Arial"/>
          <w:sz w:val="24"/>
          <w:szCs w:val="24"/>
        </w:rPr>
        <w:t>Dispensing appliance contractor</w:t>
      </w:r>
      <w:r w:rsidR="00731ED1" w:rsidRPr="00A54D55">
        <w:rPr>
          <w:rFonts w:ascii="Arial" w:hAnsi="Arial" w:cs="Arial"/>
          <w:sz w:val="24"/>
          <w:szCs w:val="24"/>
        </w:rPr>
        <w:t>s provide the following services</w:t>
      </w:r>
      <w:r w:rsidR="00363D10" w:rsidRPr="00A54D55">
        <w:rPr>
          <w:rFonts w:ascii="Arial" w:hAnsi="Arial" w:cs="Arial"/>
          <w:sz w:val="24"/>
          <w:szCs w:val="24"/>
        </w:rPr>
        <w:t xml:space="preserve"> for appliances (not drugs)</w:t>
      </w:r>
      <w:r w:rsidR="007B3400" w:rsidRPr="00A54D55">
        <w:rPr>
          <w:rFonts w:ascii="Arial" w:hAnsi="Arial" w:cs="Arial"/>
          <w:sz w:val="24"/>
          <w:szCs w:val="24"/>
        </w:rPr>
        <w:t>,</w:t>
      </w:r>
      <w:r w:rsidR="00731ED1" w:rsidRPr="00A54D55">
        <w:rPr>
          <w:rFonts w:ascii="Arial" w:hAnsi="Arial" w:cs="Arial"/>
          <w:sz w:val="24"/>
          <w:szCs w:val="24"/>
        </w:rPr>
        <w:t xml:space="preserve"> </w:t>
      </w:r>
      <w:r w:rsidR="005557D2" w:rsidRPr="00A54D55">
        <w:rPr>
          <w:rFonts w:ascii="Arial" w:hAnsi="Arial" w:cs="Arial"/>
          <w:sz w:val="24"/>
          <w:szCs w:val="24"/>
        </w:rPr>
        <w:t xml:space="preserve">for example catheters and colostomy </w:t>
      </w:r>
      <w:r w:rsidR="00AA6E93" w:rsidRPr="00A54D55">
        <w:rPr>
          <w:rFonts w:ascii="Arial" w:hAnsi="Arial" w:cs="Arial"/>
          <w:sz w:val="24"/>
          <w:szCs w:val="24"/>
        </w:rPr>
        <w:t>bags, which</w:t>
      </w:r>
      <w:r w:rsidR="00731ED1" w:rsidRPr="00A54D55">
        <w:rPr>
          <w:rFonts w:ascii="Arial" w:hAnsi="Arial" w:cs="Arial"/>
          <w:sz w:val="24"/>
          <w:szCs w:val="24"/>
        </w:rPr>
        <w:t xml:space="preserve"> fall within the defini</w:t>
      </w:r>
      <w:r w:rsidR="00445067" w:rsidRPr="00A54D55">
        <w:rPr>
          <w:rFonts w:ascii="Arial" w:hAnsi="Arial" w:cs="Arial"/>
          <w:sz w:val="24"/>
          <w:szCs w:val="24"/>
        </w:rPr>
        <w:t>tion of pharmaceutical services:</w:t>
      </w:r>
    </w:p>
    <w:p w14:paraId="772AE514" w14:textId="77777777" w:rsidR="00731ED1" w:rsidRPr="00A54D55" w:rsidRDefault="00731ED1" w:rsidP="00DC54F7">
      <w:pPr>
        <w:spacing w:after="0" w:line="240" w:lineRule="auto"/>
        <w:contextualSpacing/>
        <w:jc w:val="both"/>
        <w:rPr>
          <w:rFonts w:ascii="Arial" w:hAnsi="Arial" w:cs="Arial"/>
          <w:sz w:val="24"/>
          <w:szCs w:val="24"/>
        </w:rPr>
      </w:pPr>
    </w:p>
    <w:p w14:paraId="43A32FCB" w14:textId="0A9F322B" w:rsidR="00445067" w:rsidRPr="00A54D55" w:rsidRDefault="00731ED1" w:rsidP="00DC54F7">
      <w:pPr>
        <w:pStyle w:val="ListParagraph"/>
        <w:numPr>
          <w:ilvl w:val="0"/>
          <w:numId w:val="50"/>
        </w:numPr>
        <w:spacing w:after="0" w:line="240" w:lineRule="auto"/>
        <w:jc w:val="both"/>
        <w:rPr>
          <w:rFonts w:ascii="Arial" w:hAnsi="Arial" w:cs="Arial"/>
          <w:sz w:val="24"/>
          <w:szCs w:val="24"/>
        </w:rPr>
      </w:pPr>
      <w:r w:rsidRPr="00A54D55">
        <w:rPr>
          <w:rFonts w:ascii="Arial" w:hAnsi="Arial" w:cs="Arial"/>
          <w:sz w:val="24"/>
          <w:szCs w:val="24"/>
        </w:rPr>
        <w:t>Dispensing of prescriptions, including urgent supply without a prescription</w:t>
      </w:r>
    </w:p>
    <w:p w14:paraId="666D5E94" w14:textId="77777777" w:rsidR="00731ED1" w:rsidRPr="00A54D55" w:rsidRDefault="00731ED1" w:rsidP="00DC54F7">
      <w:pPr>
        <w:pStyle w:val="ListParagraph"/>
        <w:numPr>
          <w:ilvl w:val="0"/>
          <w:numId w:val="50"/>
        </w:numPr>
        <w:spacing w:after="0" w:line="240" w:lineRule="auto"/>
        <w:jc w:val="both"/>
        <w:rPr>
          <w:rFonts w:ascii="Arial" w:hAnsi="Arial" w:cs="Arial"/>
          <w:sz w:val="24"/>
          <w:szCs w:val="24"/>
        </w:rPr>
      </w:pPr>
      <w:r w:rsidRPr="00A54D55">
        <w:rPr>
          <w:rFonts w:ascii="Arial" w:hAnsi="Arial" w:cs="Arial"/>
          <w:sz w:val="24"/>
          <w:szCs w:val="24"/>
        </w:rPr>
        <w:t>Dispensing of repeatable prescriptions</w:t>
      </w:r>
    </w:p>
    <w:p w14:paraId="0CD239D2" w14:textId="77777777" w:rsidR="00731ED1" w:rsidRPr="00A54D55" w:rsidRDefault="00731ED1" w:rsidP="00DC54F7">
      <w:pPr>
        <w:pStyle w:val="ListParagraph"/>
        <w:numPr>
          <w:ilvl w:val="0"/>
          <w:numId w:val="50"/>
        </w:numPr>
        <w:spacing w:after="0" w:line="240" w:lineRule="auto"/>
        <w:jc w:val="both"/>
        <w:rPr>
          <w:rFonts w:ascii="Arial" w:hAnsi="Arial" w:cs="Arial"/>
          <w:sz w:val="24"/>
          <w:szCs w:val="24"/>
        </w:rPr>
      </w:pPr>
      <w:r w:rsidRPr="00A54D55">
        <w:rPr>
          <w:rFonts w:ascii="Arial" w:hAnsi="Arial" w:cs="Arial"/>
          <w:sz w:val="24"/>
          <w:szCs w:val="24"/>
        </w:rPr>
        <w:t>Home delivery service</w:t>
      </w:r>
      <w:r w:rsidR="006E650F" w:rsidRPr="00A54D55">
        <w:rPr>
          <w:rFonts w:ascii="Arial" w:hAnsi="Arial" w:cs="Arial"/>
          <w:sz w:val="24"/>
          <w:szCs w:val="24"/>
        </w:rPr>
        <w:t xml:space="preserve"> for some items</w:t>
      </w:r>
    </w:p>
    <w:p w14:paraId="7800EFE6" w14:textId="451ABDAD" w:rsidR="00731ED1" w:rsidRPr="00A54D55" w:rsidRDefault="00731ED1" w:rsidP="00DC54F7">
      <w:pPr>
        <w:pStyle w:val="ListParagraph"/>
        <w:numPr>
          <w:ilvl w:val="0"/>
          <w:numId w:val="50"/>
        </w:numPr>
        <w:spacing w:after="0" w:line="240" w:lineRule="auto"/>
        <w:jc w:val="both"/>
        <w:rPr>
          <w:rFonts w:ascii="Arial" w:hAnsi="Arial" w:cs="Arial"/>
          <w:sz w:val="24"/>
          <w:szCs w:val="24"/>
        </w:rPr>
      </w:pPr>
      <w:r w:rsidRPr="00A54D55">
        <w:rPr>
          <w:rFonts w:ascii="Arial" w:hAnsi="Arial" w:cs="Arial"/>
          <w:sz w:val="24"/>
          <w:szCs w:val="24"/>
        </w:rPr>
        <w:t>Supply of appropriate supplementary items (</w:t>
      </w:r>
      <w:r w:rsidR="00F56E8C" w:rsidRPr="00A54D55">
        <w:rPr>
          <w:rFonts w:ascii="Arial" w:hAnsi="Arial" w:cs="Arial"/>
          <w:sz w:val="24"/>
          <w:szCs w:val="24"/>
        </w:rPr>
        <w:t>e.g.,</w:t>
      </w:r>
      <w:r w:rsidRPr="00A54D55">
        <w:rPr>
          <w:rFonts w:ascii="Arial" w:hAnsi="Arial" w:cs="Arial"/>
          <w:sz w:val="24"/>
          <w:szCs w:val="24"/>
        </w:rPr>
        <w:t xml:space="preserve"> disposable wipes and disposal bags)</w:t>
      </w:r>
    </w:p>
    <w:p w14:paraId="570036C0" w14:textId="77777777" w:rsidR="00731ED1" w:rsidRPr="00A54D55" w:rsidRDefault="00862453" w:rsidP="00DC54F7">
      <w:pPr>
        <w:pStyle w:val="ListParagraph"/>
        <w:numPr>
          <w:ilvl w:val="0"/>
          <w:numId w:val="50"/>
        </w:numPr>
        <w:spacing w:after="0" w:line="240" w:lineRule="auto"/>
        <w:jc w:val="both"/>
        <w:rPr>
          <w:rFonts w:ascii="Arial" w:hAnsi="Arial" w:cs="Arial"/>
          <w:sz w:val="24"/>
          <w:szCs w:val="24"/>
        </w:rPr>
      </w:pPr>
      <w:r w:rsidRPr="00A54D55">
        <w:rPr>
          <w:rFonts w:ascii="Arial" w:hAnsi="Arial" w:cs="Arial"/>
          <w:sz w:val="24"/>
          <w:szCs w:val="24"/>
        </w:rPr>
        <w:t>Provision of</w:t>
      </w:r>
      <w:r w:rsidR="00731ED1" w:rsidRPr="00A54D55">
        <w:rPr>
          <w:rFonts w:ascii="Arial" w:hAnsi="Arial" w:cs="Arial"/>
          <w:sz w:val="24"/>
          <w:szCs w:val="24"/>
        </w:rPr>
        <w:t xml:space="preserve"> expert clinical advice regarding the appliances</w:t>
      </w:r>
      <w:r w:rsidR="006E650F" w:rsidRPr="00A54D55">
        <w:rPr>
          <w:rFonts w:ascii="Arial" w:hAnsi="Arial" w:cs="Arial"/>
          <w:sz w:val="24"/>
          <w:szCs w:val="24"/>
        </w:rPr>
        <w:t>, and</w:t>
      </w:r>
    </w:p>
    <w:p w14:paraId="3E4148AE" w14:textId="77777777" w:rsidR="00731ED1" w:rsidRPr="00A54D55" w:rsidRDefault="00862453" w:rsidP="00DC54F7">
      <w:pPr>
        <w:pStyle w:val="ListParagraph"/>
        <w:numPr>
          <w:ilvl w:val="0"/>
          <w:numId w:val="50"/>
        </w:numPr>
        <w:spacing w:after="0" w:line="240" w:lineRule="auto"/>
        <w:jc w:val="both"/>
        <w:rPr>
          <w:rFonts w:ascii="Arial" w:hAnsi="Arial" w:cs="Arial"/>
          <w:sz w:val="24"/>
          <w:szCs w:val="24"/>
        </w:rPr>
      </w:pPr>
      <w:r w:rsidRPr="00A54D55">
        <w:rPr>
          <w:rFonts w:ascii="Arial" w:hAnsi="Arial" w:cs="Arial"/>
          <w:sz w:val="24"/>
          <w:szCs w:val="24"/>
        </w:rPr>
        <w:t>Signposting</w:t>
      </w:r>
    </w:p>
    <w:p w14:paraId="698E0863" w14:textId="77777777" w:rsidR="004654D5" w:rsidRPr="00A54D55" w:rsidRDefault="004654D5" w:rsidP="00DC54F7">
      <w:pPr>
        <w:spacing w:after="0" w:line="240" w:lineRule="auto"/>
        <w:jc w:val="both"/>
        <w:rPr>
          <w:rFonts w:ascii="Arial" w:hAnsi="Arial" w:cs="Arial"/>
          <w:sz w:val="24"/>
          <w:szCs w:val="24"/>
        </w:rPr>
      </w:pPr>
    </w:p>
    <w:p w14:paraId="08E49B41" w14:textId="77777777" w:rsidR="00731ED1" w:rsidRPr="00A54D55" w:rsidRDefault="00445067" w:rsidP="00DC54F7">
      <w:pPr>
        <w:spacing w:after="0" w:line="240" w:lineRule="auto"/>
        <w:jc w:val="both"/>
        <w:rPr>
          <w:rFonts w:ascii="Arial" w:hAnsi="Arial" w:cs="Arial"/>
          <w:sz w:val="24"/>
          <w:szCs w:val="24"/>
        </w:rPr>
      </w:pPr>
      <w:r w:rsidRPr="00A54D55">
        <w:rPr>
          <w:rFonts w:ascii="Arial" w:hAnsi="Arial" w:cs="Arial"/>
          <w:sz w:val="24"/>
          <w:szCs w:val="24"/>
        </w:rPr>
        <w:t xml:space="preserve">They may also </w:t>
      </w:r>
      <w:r w:rsidR="008B183B" w:rsidRPr="00A54D55">
        <w:rPr>
          <w:rFonts w:ascii="Arial" w:hAnsi="Arial" w:cs="Arial"/>
          <w:sz w:val="24"/>
          <w:szCs w:val="24"/>
        </w:rPr>
        <w:t xml:space="preserve">choose </w:t>
      </w:r>
      <w:r w:rsidRPr="00A54D55">
        <w:rPr>
          <w:rFonts w:ascii="Arial" w:hAnsi="Arial" w:cs="Arial"/>
          <w:sz w:val="24"/>
          <w:szCs w:val="24"/>
        </w:rPr>
        <w:t>to provide advanced services</w:t>
      </w:r>
      <w:r w:rsidR="00731ED1" w:rsidRPr="00A54D55">
        <w:rPr>
          <w:rFonts w:ascii="Arial" w:hAnsi="Arial" w:cs="Arial"/>
          <w:sz w:val="24"/>
          <w:szCs w:val="24"/>
        </w:rPr>
        <w:t>.</w:t>
      </w:r>
      <w:r w:rsidR="006E6177" w:rsidRPr="00A54D55">
        <w:rPr>
          <w:rFonts w:ascii="Arial" w:hAnsi="Arial" w:cs="Arial"/>
          <w:sz w:val="24"/>
          <w:szCs w:val="24"/>
        </w:rPr>
        <w:t xml:space="preserve"> </w:t>
      </w:r>
      <w:r w:rsidR="00731ED1" w:rsidRPr="00A54D55">
        <w:rPr>
          <w:rFonts w:ascii="Arial" w:hAnsi="Arial" w:cs="Arial"/>
          <w:sz w:val="24"/>
          <w:szCs w:val="24"/>
        </w:rPr>
        <w:t xml:space="preserve">If they do choose to provide them then they must meet certain requirements and must </w:t>
      </w:r>
      <w:r w:rsidR="007B3400" w:rsidRPr="00A54D55">
        <w:rPr>
          <w:rFonts w:ascii="Arial" w:hAnsi="Arial" w:cs="Arial"/>
          <w:sz w:val="24"/>
          <w:szCs w:val="24"/>
        </w:rPr>
        <w:t xml:space="preserve">also </w:t>
      </w:r>
      <w:r w:rsidR="00731ED1" w:rsidRPr="00A54D55">
        <w:rPr>
          <w:rFonts w:ascii="Arial" w:hAnsi="Arial" w:cs="Arial"/>
          <w:sz w:val="24"/>
          <w:szCs w:val="24"/>
        </w:rPr>
        <w:t>be fully compliant with their terms of service</w:t>
      </w:r>
      <w:r w:rsidR="00862453" w:rsidRPr="00A54D55">
        <w:rPr>
          <w:rFonts w:ascii="Arial" w:hAnsi="Arial" w:cs="Arial"/>
          <w:sz w:val="24"/>
          <w:szCs w:val="24"/>
        </w:rPr>
        <w:t xml:space="preserve"> and the clinical governance requirements</w:t>
      </w:r>
      <w:r w:rsidR="00731ED1" w:rsidRPr="00A54D55">
        <w:rPr>
          <w:rFonts w:ascii="Arial" w:hAnsi="Arial" w:cs="Arial"/>
          <w:sz w:val="24"/>
          <w:szCs w:val="24"/>
        </w:rPr>
        <w:t>.</w:t>
      </w:r>
      <w:r w:rsidRPr="00A54D55">
        <w:rPr>
          <w:rFonts w:ascii="Arial" w:hAnsi="Arial" w:cs="Arial"/>
          <w:sz w:val="24"/>
          <w:szCs w:val="24"/>
        </w:rPr>
        <w:t xml:space="preserve">  The two advanced services that they may provide are:</w:t>
      </w:r>
    </w:p>
    <w:p w14:paraId="4524C58F" w14:textId="77777777" w:rsidR="006E650F" w:rsidRPr="00A54D55" w:rsidRDefault="006E650F" w:rsidP="00DC54F7">
      <w:pPr>
        <w:pStyle w:val="ListParagraph"/>
        <w:spacing w:after="0" w:line="240" w:lineRule="auto"/>
        <w:jc w:val="both"/>
        <w:rPr>
          <w:rFonts w:ascii="Arial" w:hAnsi="Arial" w:cs="Arial"/>
          <w:sz w:val="24"/>
          <w:szCs w:val="24"/>
        </w:rPr>
      </w:pPr>
    </w:p>
    <w:p w14:paraId="2EBBDA97" w14:textId="4E56B7D2" w:rsidR="00731ED1" w:rsidRPr="00A54D55" w:rsidRDefault="00731ED1" w:rsidP="00DC54F7">
      <w:pPr>
        <w:pStyle w:val="ListParagraph"/>
        <w:numPr>
          <w:ilvl w:val="0"/>
          <w:numId w:val="51"/>
        </w:numPr>
        <w:spacing w:after="0" w:line="240" w:lineRule="auto"/>
        <w:jc w:val="both"/>
        <w:rPr>
          <w:rFonts w:ascii="Arial" w:hAnsi="Arial" w:cs="Arial"/>
          <w:sz w:val="24"/>
          <w:szCs w:val="24"/>
        </w:rPr>
      </w:pPr>
      <w:r w:rsidRPr="00A54D55">
        <w:rPr>
          <w:rFonts w:ascii="Arial" w:hAnsi="Arial" w:cs="Arial"/>
          <w:sz w:val="24"/>
          <w:szCs w:val="24"/>
        </w:rPr>
        <w:t>Stoma appliance customisation</w:t>
      </w:r>
      <w:r w:rsidR="007E26C5" w:rsidRPr="00A54D55">
        <w:rPr>
          <w:rFonts w:ascii="Arial" w:hAnsi="Arial" w:cs="Arial"/>
          <w:sz w:val="24"/>
          <w:szCs w:val="24"/>
        </w:rPr>
        <w:t xml:space="preserve"> (SAC) </w:t>
      </w:r>
      <w:r w:rsidR="00CE54E4" w:rsidRPr="00A54D55">
        <w:rPr>
          <w:rFonts w:ascii="Arial" w:hAnsi="Arial" w:cs="Arial"/>
          <w:sz w:val="24"/>
          <w:szCs w:val="24"/>
        </w:rPr>
        <w:t>service</w:t>
      </w:r>
    </w:p>
    <w:p w14:paraId="77BD8BF3" w14:textId="624A399F" w:rsidR="00731ED1" w:rsidRPr="00A54D55" w:rsidRDefault="00CE54E4" w:rsidP="00DC54F7">
      <w:pPr>
        <w:pStyle w:val="ListParagraph"/>
        <w:numPr>
          <w:ilvl w:val="0"/>
          <w:numId w:val="51"/>
        </w:numPr>
        <w:spacing w:after="0" w:line="240" w:lineRule="auto"/>
        <w:jc w:val="both"/>
        <w:rPr>
          <w:rFonts w:ascii="Arial" w:hAnsi="Arial" w:cs="Arial"/>
          <w:sz w:val="24"/>
          <w:szCs w:val="24"/>
        </w:rPr>
      </w:pPr>
      <w:r w:rsidRPr="00A54D55">
        <w:rPr>
          <w:rFonts w:ascii="Arial" w:hAnsi="Arial" w:cs="Arial"/>
          <w:sz w:val="24"/>
          <w:szCs w:val="24"/>
        </w:rPr>
        <w:t>Appliance Use Review (</w:t>
      </w:r>
      <w:r w:rsidR="008005C2" w:rsidRPr="00A54D55">
        <w:rPr>
          <w:rFonts w:ascii="Arial" w:hAnsi="Arial" w:cs="Arial"/>
          <w:sz w:val="24"/>
          <w:szCs w:val="24"/>
        </w:rPr>
        <w:t>AUR</w:t>
      </w:r>
      <w:r w:rsidRPr="00A54D55">
        <w:rPr>
          <w:rFonts w:ascii="Arial" w:hAnsi="Arial" w:cs="Arial"/>
          <w:sz w:val="24"/>
          <w:szCs w:val="24"/>
        </w:rPr>
        <w:t xml:space="preserve">) </w:t>
      </w:r>
      <w:r w:rsidR="008005C2" w:rsidRPr="00A54D55">
        <w:rPr>
          <w:rFonts w:ascii="Arial" w:hAnsi="Arial" w:cs="Arial"/>
          <w:sz w:val="24"/>
          <w:szCs w:val="24"/>
        </w:rPr>
        <w:t>s</w:t>
      </w:r>
      <w:r w:rsidRPr="00A54D55">
        <w:rPr>
          <w:rFonts w:ascii="Arial" w:hAnsi="Arial" w:cs="Arial"/>
          <w:sz w:val="24"/>
          <w:szCs w:val="24"/>
        </w:rPr>
        <w:t>ervice</w:t>
      </w:r>
    </w:p>
    <w:p w14:paraId="3DAED2DA" w14:textId="77777777" w:rsidR="00F70E58" w:rsidRPr="00A54D55" w:rsidRDefault="00F70E58" w:rsidP="00DC54F7">
      <w:pPr>
        <w:spacing w:after="0" w:line="240" w:lineRule="auto"/>
        <w:jc w:val="both"/>
        <w:rPr>
          <w:rFonts w:ascii="Arial" w:hAnsi="Arial" w:cs="Arial"/>
          <w:sz w:val="24"/>
          <w:szCs w:val="24"/>
        </w:rPr>
      </w:pPr>
    </w:p>
    <w:p w14:paraId="76DBCC7C" w14:textId="77777777" w:rsidR="00862453" w:rsidRPr="00A54D55" w:rsidRDefault="00862453" w:rsidP="00DC54F7">
      <w:pPr>
        <w:spacing w:after="0" w:line="240" w:lineRule="auto"/>
        <w:contextualSpacing/>
        <w:jc w:val="both"/>
        <w:rPr>
          <w:rFonts w:ascii="Arial" w:hAnsi="Arial" w:cs="Arial"/>
          <w:sz w:val="24"/>
          <w:szCs w:val="24"/>
        </w:rPr>
      </w:pPr>
      <w:r w:rsidRPr="00A54D55">
        <w:rPr>
          <w:rFonts w:ascii="Arial" w:hAnsi="Arial" w:cs="Arial"/>
          <w:sz w:val="24"/>
          <w:szCs w:val="24"/>
        </w:rPr>
        <w:t>As with p</w:t>
      </w:r>
      <w:r w:rsidR="006A0A74" w:rsidRPr="00A54D55">
        <w:rPr>
          <w:rFonts w:ascii="Arial" w:hAnsi="Arial" w:cs="Arial"/>
          <w:sz w:val="24"/>
          <w:szCs w:val="24"/>
        </w:rPr>
        <w:t>harmacies, dispensing appliance contractor</w:t>
      </w:r>
      <w:r w:rsidRPr="00A54D55">
        <w:rPr>
          <w:rFonts w:ascii="Arial" w:hAnsi="Arial" w:cs="Arial"/>
          <w:sz w:val="24"/>
          <w:szCs w:val="24"/>
        </w:rPr>
        <w:t>s are required to participate in a system of clinical governance.</w:t>
      </w:r>
      <w:r w:rsidR="006E6177" w:rsidRPr="00A54D55">
        <w:rPr>
          <w:rFonts w:ascii="Arial" w:hAnsi="Arial" w:cs="Arial"/>
          <w:sz w:val="24"/>
          <w:szCs w:val="24"/>
        </w:rPr>
        <w:t xml:space="preserve"> </w:t>
      </w:r>
      <w:r w:rsidRPr="00A54D55">
        <w:rPr>
          <w:rFonts w:ascii="Arial" w:hAnsi="Arial" w:cs="Arial"/>
          <w:sz w:val="24"/>
          <w:szCs w:val="24"/>
        </w:rPr>
        <w:t xml:space="preserve">This system is set out within </w:t>
      </w:r>
      <w:r w:rsidR="00ED5F7B" w:rsidRPr="00A54D55">
        <w:rPr>
          <w:rFonts w:ascii="Arial" w:hAnsi="Arial" w:cs="Arial"/>
          <w:sz w:val="24"/>
          <w:szCs w:val="24"/>
        </w:rPr>
        <w:t xml:space="preserve">the </w:t>
      </w:r>
      <w:r w:rsidR="004654D5" w:rsidRPr="00A54D55">
        <w:rPr>
          <w:rFonts w:ascii="Arial" w:hAnsi="Arial" w:cs="Arial"/>
          <w:sz w:val="24"/>
          <w:szCs w:val="24"/>
        </w:rPr>
        <w:t xml:space="preserve">NHS (Pharmaceutical Services) </w:t>
      </w:r>
      <w:r w:rsidR="003575A4" w:rsidRPr="00A54D55">
        <w:rPr>
          <w:rFonts w:ascii="Arial" w:hAnsi="Arial" w:cs="Arial"/>
          <w:sz w:val="24"/>
          <w:szCs w:val="24"/>
        </w:rPr>
        <w:t xml:space="preserve">(Wales) </w:t>
      </w:r>
      <w:r w:rsidR="004654D5" w:rsidRPr="00A54D55">
        <w:rPr>
          <w:rFonts w:ascii="Arial" w:hAnsi="Arial" w:cs="Arial"/>
          <w:sz w:val="24"/>
          <w:szCs w:val="24"/>
        </w:rPr>
        <w:t>Regulations</w:t>
      </w:r>
      <w:r w:rsidR="00A10850" w:rsidRPr="00A54D55">
        <w:rPr>
          <w:rFonts w:ascii="Arial" w:hAnsi="Arial" w:cs="Arial"/>
          <w:sz w:val="24"/>
          <w:szCs w:val="24"/>
        </w:rPr>
        <w:t xml:space="preserve"> </w:t>
      </w:r>
      <w:r w:rsidR="004654D5" w:rsidRPr="00A54D55">
        <w:rPr>
          <w:rFonts w:ascii="Arial" w:hAnsi="Arial" w:cs="Arial"/>
          <w:sz w:val="24"/>
          <w:szCs w:val="24"/>
        </w:rPr>
        <w:t xml:space="preserve">2020 </w:t>
      </w:r>
      <w:r w:rsidRPr="00A54D55">
        <w:rPr>
          <w:rFonts w:ascii="Arial" w:hAnsi="Arial" w:cs="Arial"/>
          <w:sz w:val="24"/>
          <w:szCs w:val="24"/>
        </w:rPr>
        <w:t>and includes:</w:t>
      </w:r>
    </w:p>
    <w:p w14:paraId="5DB58D45" w14:textId="7EAA053B" w:rsidR="00862453" w:rsidRPr="00A54D55" w:rsidRDefault="00A54D55" w:rsidP="00DC54F7">
      <w:pPr>
        <w:jc w:val="both"/>
        <w:rPr>
          <w:rFonts w:ascii="Arial" w:hAnsi="Arial" w:cs="Arial"/>
          <w:sz w:val="24"/>
          <w:szCs w:val="24"/>
        </w:rPr>
      </w:pPr>
      <w:r>
        <w:rPr>
          <w:rFonts w:ascii="Arial" w:hAnsi="Arial" w:cs="Arial"/>
          <w:sz w:val="24"/>
          <w:szCs w:val="24"/>
        </w:rPr>
        <w:br w:type="page"/>
      </w:r>
    </w:p>
    <w:p w14:paraId="6FA0AFA8" w14:textId="77777777" w:rsidR="00862453" w:rsidRPr="00A54D55" w:rsidRDefault="00862453" w:rsidP="00DC54F7">
      <w:pPr>
        <w:pStyle w:val="ListParagraph"/>
        <w:numPr>
          <w:ilvl w:val="0"/>
          <w:numId w:val="5"/>
        </w:numPr>
        <w:spacing w:after="0" w:line="240" w:lineRule="auto"/>
        <w:jc w:val="both"/>
        <w:rPr>
          <w:rFonts w:ascii="Arial" w:hAnsi="Arial" w:cs="Arial"/>
          <w:sz w:val="24"/>
          <w:szCs w:val="24"/>
        </w:rPr>
      </w:pPr>
      <w:r w:rsidRPr="00A54D55">
        <w:rPr>
          <w:rFonts w:ascii="Arial" w:hAnsi="Arial" w:cs="Arial"/>
          <w:sz w:val="24"/>
          <w:szCs w:val="24"/>
        </w:rPr>
        <w:lastRenderedPageBreak/>
        <w:t>A patient and public involvement programme</w:t>
      </w:r>
    </w:p>
    <w:p w14:paraId="027FA7E3" w14:textId="77777777" w:rsidR="00862453" w:rsidRPr="00A54D55" w:rsidRDefault="00862453" w:rsidP="00DC54F7">
      <w:pPr>
        <w:pStyle w:val="ListParagraph"/>
        <w:numPr>
          <w:ilvl w:val="0"/>
          <w:numId w:val="5"/>
        </w:numPr>
        <w:spacing w:after="0" w:line="240" w:lineRule="auto"/>
        <w:jc w:val="both"/>
        <w:rPr>
          <w:rFonts w:ascii="Arial" w:hAnsi="Arial" w:cs="Arial"/>
          <w:sz w:val="24"/>
          <w:szCs w:val="24"/>
        </w:rPr>
      </w:pPr>
      <w:r w:rsidRPr="00A54D55">
        <w:rPr>
          <w:rFonts w:ascii="Arial" w:hAnsi="Arial" w:cs="Arial"/>
          <w:sz w:val="24"/>
          <w:szCs w:val="24"/>
        </w:rPr>
        <w:t>A clinical audit programme</w:t>
      </w:r>
    </w:p>
    <w:p w14:paraId="765859A6" w14:textId="77777777" w:rsidR="00862453" w:rsidRPr="00A54D55" w:rsidRDefault="00862453" w:rsidP="00DC54F7">
      <w:pPr>
        <w:pStyle w:val="ListParagraph"/>
        <w:numPr>
          <w:ilvl w:val="0"/>
          <w:numId w:val="5"/>
        </w:numPr>
        <w:spacing w:after="0" w:line="240" w:lineRule="auto"/>
        <w:jc w:val="both"/>
        <w:rPr>
          <w:rFonts w:ascii="Arial" w:hAnsi="Arial" w:cs="Arial"/>
          <w:sz w:val="24"/>
          <w:szCs w:val="24"/>
        </w:rPr>
      </w:pPr>
      <w:r w:rsidRPr="00A54D55">
        <w:rPr>
          <w:rFonts w:ascii="Arial" w:hAnsi="Arial" w:cs="Arial"/>
          <w:sz w:val="24"/>
          <w:szCs w:val="24"/>
        </w:rPr>
        <w:t>A risk management programme</w:t>
      </w:r>
    </w:p>
    <w:p w14:paraId="36741943" w14:textId="77777777" w:rsidR="00862453" w:rsidRPr="00A54D55" w:rsidRDefault="00862453" w:rsidP="00DC54F7">
      <w:pPr>
        <w:pStyle w:val="ListParagraph"/>
        <w:numPr>
          <w:ilvl w:val="0"/>
          <w:numId w:val="5"/>
        </w:numPr>
        <w:spacing w:after="0" w:line="240" w:lineRule="auto"/>
        <w:jc w:val="both"/>
        <w:rPr>
          <w:rFonts w:ascii="Arial" w:hAnsi="Arial" w:cs="Arial"/>
          <w:sz w:val="24"/>
          <w:szCs w:val="24"/>
        </w:rPr>
      </w:pPr>
      <w:r w:rsidRPr="00A54D55">
        <w:rPr>
          <w:rFonts w:ascii="Arial" w:hAnsi="Arial" w:cs="Arial"/>
          <w:sz w:val="24"/>
          <w:szCs w:val="24"/>
        </w:rPr>
        <w:t>A clinical effectiveness programme</w:t>
      </w:r>
    </w:p>
    <w:p w14:paraId="1EF9F5BC" w14:textId="77777777" w:rsidR="00862453" w:rsidRPr="00A54D55" w:rsidRDefault="00862453" w:rsidP="00DC54F7">
      <w:pPr>
        <w:pStyle w:val="ListParagraph"/>
        <w:numPr>
          <w:ilvl w:val="0"/>
          <w:numId w:val="5"/>
        </w:numPr>
        <w:spacing w:after="0" w:line="240" w:lineRule="auto"/>
        <w:jc w:val="both"/>
        <w:rPr>
          <w:rFonts w:ascii="Arial" w:hAnsi="Arial" w:cs="Arial"/>
          <w:sz w:val="24"/>
          <w:szCs w:val="24"/>
        </w:rPr>
      </w:pPr>
      <w:r w:rsidRPr="00A54D55">
        <w:rPr>
          <w:rFonts w:ascii="Arial" w:hAnsi="Arial" w:cs="Arial"/>
          <w:sz w:val="24"/>
          <w:szCs w:val="24"/>
        </w:rPr>
        <w:t>A staffing and staff programme</w:t>
      </w:r>
      <w:r w:rsidR="004654D5" w:rsidRPr="00A54D55">
        <w:rPr>
          <w:rFonts w:ascii="Arial" w:hAnsi="Arial" w:cs="Arial"/>
          <w:sz w:val="24"/>
          <w:szCs w:val="24"/>
        </w:rPr>
        <w:t xml:space="preserve">, </w:t>
      </w:r>
    </w:p>
    <w:p w14:paraId="7654F154" w14:textId="77777777" w:rsidR="004654D5" w:rsidRPr="00A54D55" w:rsidRDefault="00862453" w:rsidP="00DC54F7">
      <w:pPr>
        <w:pStyle w:val="ListParagraph"/>
        <w:numPr>
          <w:ilvl w:val="0"/>
          <w:numId w:val="5"/>
        </w:numPr>
        <w:spacing w:after="0" w:line="240" w:lineRule="auto"/>
        <w:jc w:val="both"/>
        <w:rPr>
          <w:rFonts w:ascii="Arial" w:hAnsi="Arial" w:cs="Arial"/>
          <w:sz w:val="24"/>
          <w:szCs w:val="24"/>
        </w:rPr>
      </w:pPr>
      <w:r w:rsidRPr="00A54D55">
        <w:rPr>
          <w:rFonts w:ascii="Arial" w:hAnsi="Arial" w:cs="Arial"/>
          <w:sz w:val="24"/>
          <w:szCs w:val="24"/>
        </w:rPr>
        <w:t>An information governance programme</w:t>
      </w:r>
      <w:r w:rsidR="004654D5" w:rsidRPr="00A54D55">
        <w:rPr>
          <w:rFonts w:ascii="Arial" w:hAnsi="Arial" w:cs="Arial"/>
          <w:sz w:val="24"/>
          <w:szCs w:val="24"/>
        </w:rPr>
        <w:t>, and</w:t>
      </w:r>
    </w:p>
    <w:p w14:paraId="33BB2106" w14:textId="77777777" w:rsidR="00862453" w:rsidRPr="00A54D55" w:rsidRDefault="004654D5" w:rsidP="00DC54F7">
      <w:pPr>
        <w:pStyle w:val="ListParagraph"/>
        <w:numPr>
          <w:ilvl w:val="0"/>
          <w:numId w:val="5"/>
        </w:numPr>
        <w:spacing w:after="0" w:line="240" w:lineRule="auto"/>
        <w:jc w:val="both"/>
        <w:rPr>
          <w:rFonts w:ascii="Arial" w:hAnsi="Arial" w:cs="Arial"/>
          <w:sz w:val="24"/>
          <w:szCs w:val="24"/>
        </w:rPr>
      </w:pPr>
      <w:r w:rsidRPr="00A54D55">
        <w:rPr>
          <w:rFonts w:ascii="Arial" w:hAnsi="Arial" w:cs="Arial"/>
          <w:sz w:val="24"/>
          <w:szCs w:val="24"/>
        </w:rPr>
        <w:t>A premises standards programme</w:t>
      </w:r>
      <w:r w:rsidR="00862453" w:rsidRPr="00A54D55">
        <w:rPr>
          <w:rFonts w:ascii="Arial" w:hAnsi="Arial" w:cs="Arial"/>
          <w:sz w:val="24"/>
          <w:szCs w:val="24"/>
        </w:rPr>
        <w:t>.</w:t>
      </w:r>
    </w:p>
    <w:p w14:paraId="2CEEA03F" w14:textId="77777777" w:rsidR="006E5271" w:rsidRPr="00A54D55" w:rsidRDefault="006E5271" w:rsidP="00DC54F7">
      <w:pPr>
        <w:spacing w:after="0" w:line="240" w:lineRule="auto"/>
        <w:jc w:val="both"/>
        <w:rPr>
          <w:rFonts w:ascii="Arial" w:hAnsi="Arial" w:cs="Arial"/>
          <w:sz w:val="24"/>
          <w:szCs w:val="24"/>
        </w:rPr>
      </w:pPr>
    </w:p>
    <w:p w14:paraId="59866C26" w14:textId="77777777" w:rsidR="006E650F" w:rsidRPr="00A54D55" w:rsidRDefault="006E650F" w:rsidP="00DC54F7">
      <w:pPr>
        <w:spacing w:after="0" w:line="240" w:lineRule="auto"/>
        <w:jc w:val="both"/>
        <w:rPr>
          <w:rFonts w:ascii="Arial" w:hAnsi="Arial" w:cs="Arial"/>
          <w:sz w:val="24"/>
          <w:szCs w:val="24"/>
        </w:rPr>
      </w:pPr>
      <w:r w:rsidRPr="00A54D55">
        <w:rPr>
          <w:rFonts w:ascii="Arial" w:hAnsi="Arial" w:cs="Arial"/>
          <w:sz w:val="24"/>
          <w:szCs w:val="24"/>
        </w:rPr>
        <w:t>Further information on the requirements for these services can be found in appendix E.</w:t>
      </w:r>
    </w:p>
    <w:p w14:paraId="14EFD0CA" w14:textId="77777777" w:rsidR="006E650F" w:rsidRPr="00A54D55" w:rsidRDefault="006E650F" w:rsidP="00DC54F7">
      <w:pPr>
        <w:spacing w:after="0" w:line="240" w:lineRule="auto"/>
        <w:jc w:val="both"/>
        <w:rPr>
          <w:rFonts w:ascii="Arial" w:hAnsi="Arial" w:cs="Arial"/>
          <w:sz w:val="24"/>
          <w:szCs w:val="24"/>
        </w:rPr>
      </w:pPr>
    </w:p>
    <w:p w14:paraId="4F2986D6" w14:textId="77777777" w:rsidR="00F03AC1" w:rsidRPr="00A54D55" w:rsidRDefault="006A2403" w:rsidP="00DC54F7">
      <w:pPr>
        <w:spacing w:after="0" w:line="240" w:lineRule="auto"/>
        <w:jc w:val="both"/>
        <w:rPr>
          <w:rFonts w:ascii="Arial" w:hAnsi="Arial" w:cs="Arial"/>
          <w:sz w:val="24"/>
          <w:szCs w:val="24"/>
        </w:rPr>
      </w:pPr>
      <w:r w:rsidRPr="00A54D55">
        <w:rPr>
          <w:rFonts w:ascii="Arial" w:hAnsi="Arial" w:cs="Arial"/>
          <w:sz w:val="24"/>
          <w:szCs w:val="24"/>
        </w:rPr>
        <w:t>Dispensing appliance contractor</w:t>
      </w:r>
      <w:r w:rsidR="00862453" w:rsidRPr="00A54D55">
        <w:rPr>
          <w:rFonts w:ascii="Arial" w:hAnsi="Arial" w:cs="Arial"/>
          <w:sz w:val="24"/>
          <w:szCs w:val="24"/>
        </w:rPr>
        <w:t xml:space="preserve">s are required to open </w:t>
      </w:r>
      <w:r w:rsidR="004654D5" w:rsidRPr="00A54D55">
        <w:rPr>
          <w:rFonts w:ascii="Arial" w:hAnsi="Arial" w:cs="Arial"/>
          <w:sz w:val="24"/>
          <w:szCs w:val="24"/>
        </w:rPr>
        <w:t>not less than</w:t>
      </w:r>
      <w:r w:rsidR="00862453" w:rsidRPr="00A54D55">
        <w:rPr>
          <w:rFonts w:ascii="Arial" w:hAnsi="Arial" w:cs="Arial"/>
          <w:sz w:val="24"/>
          <w:szCs w:val="24"/>
        </w:rPr>
        <w:t xml:space="preserve"> 30 hours per week and these are referred to as core opening hours</w:t>
      </w:r>
      <w:r w:rsidR="000A2D81" w:rsidRPr="00A54D55">
        <w:rPr>
          <w:rFonts w:ascii="Arial" w:hAnsi="Arial" w:cs="Arial"/>
          <w:sz w:val="24"/>
          <w:szCs w:val="24"/>
        </w:rPr>
        <w:t>.</w:t>
      </w:r>
      <w:r w:rsidR="006E6177" w:rsidRPr="00A54D55">
        <w:rPr>
          <w:rFonts w:ascii="Arial" w:hAnsi="Arial" w:cs="Arial"/>
          <w:sz w:val="24"/>
          <w:szCs w:val="24"/>
        </w:rPr>
        <w:t xml:space="preserve"> </w:t>
      </w:r>
      <w:r w:rsidR="00F03AC1" w:rsidRPr="00A54D55">
        <w:rPr>
          <w:rFonts w:ascii="Arial" w:hAnsi="Arial" w:cs="Arial"/>
          <w:sz w:val="24"/>
          <w:szCs w:val="24"/>
        </w:rPr>
        <w:t>They may choose to open for longer and these additional hours are referred to as supplementary opening hours. Under the NHS (Pharmaceutical Services) (Wales) Regulations 2020 it is possible for dispensing appliance contractors to successfully apply to open premises with a greater number of core opening hours in order to meet a need identified in a PNA.</w:t>
      </w:r>
    </w:p>
    <w:p w14:paraId="07269517" w14:textId="77777777" w:rsidR="00862453" w:rsidRPr="00A54D55" w:rsidRDefault="00862453" w:rsidP="00DC54F7">
      <w:pPr>
        <w:spacing w:after="0" w:line="240" w:lineRule="auto"/>
        <w:jc w:val="both"/>
        <w:rPr>
          <w:rFonts w:ascii="Arial" w:hAnsi="Arial" w:cs="Arial"/>
          <w:sz w:val="24"/>
          <w:szCs w:val="24"/>
        </w:rPr>
      </w:pPr>
    </w:p>
    <w:p w14:paraId="6E32428F" w14:textId="77777777" w:rsidR="00862453" w:rsidRPr="00A54D55" w:rsidRDefault="00862453" w:rsidP="00DC54F7">
      <w:pPr>
        <w:spacing w:after="0" w:line="240" w:lineRule="auto"/>
        <w:jc w:val="both"/>
        <w:rPr>
          <w:rFonts w:ascii="Arial" w:hAnsi="Arial" w:cs="Arial"/>
          <w:sz w:val="24"/>
          <w:szCs w:val="24"/>
        </w:rPr>
      </w:pPr>
      <w:r w:rsidRPr="00A54D55">
        <w:rPr>
          <w:rFonts w:ascii="Arial" w:hAnsi="Arial" w:cs="Arial"/>
          <w:sz w:val="24"/>
          <w:szCs w:val="24"/>
        </w:rPr>
        <w:t xml:space="preserve">The proposed opening hours for each </w:t>
      </w:r>
      <w:r w:rsidR="006A2403" w:rsidRPr="00A54D55">
        <w:rPr>
          <w:rFonts w:ascii="Arial" w:hAnsi="Arial" w:cs="Arial"/>
          <w:sz w:val="24"/>
          <w:szCs w:val="24"/>
        </w:rPr>
        <w:t>dispensing appliance contractor</w:t>
      </w:r>
      <w:r w:rsidRPr="00A54D55">
        <w:rPr>
          <w:rFonts w:ascii="Arial" w:hAnsi="Arial" w:cs="Arial"/>
          <w:sz w:val="24"/>
          <w:szCs w:val="24"/>
        </w:rPr>
        <w:t xml:space="preserve"> are set out in the initial application, and if the application is granted and the </w:t>
      </w:r>
      <w:r w:rsidR="00EF5859" w:rsidRPr="00A54D55">
        <w:rPr>
          <w:rFonts w:ascii="Arial" w:hAnsi="Arial" w:cs="Arial"/>
          <w:sz w:val="24"/>
          <w:szCs w:val="24"/>
        </w:rPr>
        <w:t>dispensing appliance contractor</w:t>
      </w:r>
      <w:r w:rsidRPr="00A54D55">
        <w:rPr>
          <w:rFonts w:ascii="Arial" w:hAnsi="Arial" w:cs="Arial"/>
          <w:sz w:val="24"/>
          <w:szCs w:val="24"/>
        </w:rPr>
        <w:t xml:space="preserve"> subseque</w:t>
      </w:r>
      <w:r w:rsidR="006A2403" w:rsidRPr="00A54D55">
        <w:rPr>
          <w:rFonts w:ascii="Arial" w:hAnsi="Arial" w:cs="Arial"/>
          <w:sz w:val="24"/>
          <w:szCs w:val="24"/>
        </w:rPr>
        <w:t>ntly opens then these form the dispensing appliance contractor</w:t>
      </w:r>
      <w:r w:rsidRPr="00A54D55">
        <w:rPr>
          <w:rFonts w:ascii="Arial" w:hAnsi="Arial" w:cs="Arial"/>
          <w:sz w:val="24"/>
          <w:szCs w:val="24"/>
        </w:rPr>
        <w:t>’s contracted opening hours.</w:t>
      </w:r>
      <w:r w:rsidR="006E6177" w:rsidRPr="00A54D55">
        <w:rPr>
          <w:rFonts w:ascii="Arial" w:hAnsi="Arial" w:cs="Arial"/>
          <w:sz w:val="24"/>
          <w:szCs w:val="24"/>
        </w:rPr>
        <w:t xml:space="preserve"> </w:t>
      </w:r>
      <w:r w:rsidRPr="00A54D55">
        <w:rPr>
          <w:rFonts w:ascii="Arial" w:hAnsi="Arial" w:cs="Arial"/>
          <w:sz w:val="24"/>
          <w:szCs w:val="24"/>
        </w:rPr>
        <w:t>The contractor can subsequently apply to change their core opening hours</w:t>
      </w:r>
      <w:r w:rsidR="000A73E1" w:rsidRPr="00A54D55">
        <w:rPr>
          <w:rFonts w:ascii="Arial" w:hAnsi="Arial" w:cs="Arial"/>
          <w:sz w:val="24"/>
          <w:szCs w:val="24"/>
        </w:rPr>
        <w:t>.</w:t>
      </w:r>
      <w:r w:rsidR="006E6177" w:rsidRPr="00A54D55">
        <w:rPr>
          <w:rFonts w:ascii="Arial" w:hAnsi="Arial" w:cs="Arial"/>
          <w:sz w:val="24"/>
          <w:szCs w:val="24"/>
        </w:rPr>
        <w:t xml:space="preserve"> </w:t>
      </w:r>
      <w:r w:rsidR="007B3400" w:rsidRPr="00A54D55">
        <w:rPr>
          <w:rFonts w:ascii="Arial" w:hAnsi="Arial" w:cs="Arial"/>
          <w:sz w:val="24"/>
          <w:szCs w:val="24"/>
        </w:rPr>
        <w:t xml:space="preserve">The </w:t>
      </w:r>
      <w:r w:rsidR="004654D5" w:rsidRPr="00A54D55">
        <w:rPr>
          <w:rFonts w:ascii="Arial" w:hAnsi="Arial" w:cs="Arial"/>
          <w:sz w:val="24"/>
          <w:szCs w:val="24"/>
        </w:rPr>
        <w:t>health board</w:t>
      </w:r>
      <w:r w:rsidR="000A2D81" w:rsidRPr="00A54D55">
        <w:rPr>
          <w:rFonts w:ascii="Arial" w:hAnsi="Arial" w:cs="Arial"/>
          <w:sz w:val="24"/>
          <w:szCs w:val="24"/>
        </w:rPr>
        <w:t xml:space="preserve"> will assess the application against the needs of the population of </w:t>
      </w:r>
      <w:r w:rsidR="004654D5" w:rsidRPr="00A54D55">
        <w:rPr>
          <w:rFonts w:ascii="Arial" w:hAnsi="Arial" w:cs="Arial"/>
          <w:sz w:val="24"/>
          <w:szCs w:val="24"/>
        </w:rPr>
        <w:t>its</w:t>
      </w:r>
      <w:r w:rsidR="00735FB3" w:rsidRPr="00A54D55">
        <w:rPr>
          <w:rFonts w:ascii="Arial" w:hAnsi="Arial" w:cs="Arial"/>
          <w:sz w:val="24"/>
          <w:szCs w:val="24"/>
        </w:rPr>
        <w:t xml:space="preserve"> </w:t>
      </w:r>
      <w:r w:rsidR="000A2D81" w:rsidRPr="00A54D55">
        <w:rPr>
          <w:rFonts w:ascii="Arial" w:hAnsi="Arial" w:cs="Arial"/>
          <w:sz w:val="24"/>
          <w:szCs w:val="24"/>
        </w:rPr>
        <w:t xml:space="preserve">area as set out in the </w:t>
      </w:r>
      <w:r w:rsidR="004654D5" w:rsidRPr="00A54D55">
        <w:rPr>
          <w:rFonts w:ascii="Arial" w:hAnsi="Arial" w:cs="Arial"/>
          <w:sz w:val="24"/>
          <w:szCs w:val="24"/>
        </w:rPr>
        <w:t>PNA</w:t>
      </w:r>
      <w:r w:rsidR="000A2D81" w:rsidRPr="00A54D55">
        <w:rPr>
          <w:rFonts w:ascii="Arial" w:hAnsi="Arial" w:cs="Arial"/>
          <w:sz w:val="24"/>
          <w:szCs w:val="24"/>
        </w:rPr>
        <w:t xml:space="preserve"> to determine whether to agree to the change in core </w:t>
      </w:r>
      <w:r w:rsidR="006E650F" w:rsidRPr="00A54D55">
        <w:rPr>
          <w:rFonts w:ascii="Arial" w:hAnsi="Arial" w:cs="Arial"/>
          <w:sz w:val="24"/>
          <w:szCs w:val="24"/>
        </w:rPr>
        <w:t xml:space="preserve">opening </w:t>
      </w:r>
      <w:r w:rsidR="000A2D81" w:rsidRPr="00A54D55">
        <w:rPr>
          <w:rFonts w:ascii="Arial" w:hAnsi="Arial" w:cs="Arial"/>
          <w:sz w:val="24"/>
          <w:szCs w:val="24"/>
        </w:rPr>
        <w:t>hours or not.</w:t>
      </w:r>
      <w:r w:rsidR="006E6177" w:rsidRPr="00A54D55">
        <w:rPr>
          <w:rFonts w:ascii="Arial" w:hAnsi="Arial" w:cs="Arial"/>
          <w:sz w:val="24"/>
          <w:szCs w:val="24"/>
        </w:rPr>
        <w:t xml:space="preserve"> </w:t>
      </w:r>
    </w:p>
    <w:p w14:paraId="1930526D" w14:textId="77777777" w:rsidR="000A2D81" w:rsidRPr="00A10850" w:rsidRDefault="000A2D81" w:rsidP="00DC54F7">
      <w:pPr>
        <w:spacing w:after="0" w:line="240" w:lineRule="auto"/>
        <w:jc w:val="both"/>
        <w:rPr>
          <w:rFonts w:ascii="Arial" w:hAnsi="Arial" w:cs="Arial"/>
        </w:rPr>
      </w:pPr>
    </w:p>
    <w:p w14:paraId="6CA90411" w14:textId="77777777" w:rsidR="0037330C" w:rsidRDefault="0037330C" w:rsidP="00DC54F7">
      <w:pPr>
        <w:spacing w:after="0" w:line="240" w:lineRule="auto"/>
        <w:jc w:val="both"/>
        <w:rPr>
          <w:rFonts w:ascii="Arial" w:hAnsi="Arial" w:cs="Arial"/>
          <w:b/>
          <w:sz w:val="24"/>
          <w:szCs w:val="24"/>
        </w:rPr>
      </w:pPr>
    </w:p>
    <w:p w14:paraId="6DD6D76B" w14:textId="76ACFC1D" w:rsidR="00493B66" w:rsidRPr="00A10850" w:rsidRDefault="006F0A84" w:rsidP="00DC54F7">
      <w:pPr>
        <w:spacing w:after="0" w:line="240" w:lineRule="auto"/>
        <w:jc w:val="both"/>
        <w:rPr>
          <w:rFonts w:ascii="Arial" w:hAnsi="Arial" w:cs="Arial"/>
          <w:b/>
          <w:sz w:val="24"/>
          <w:szCs w:val="24"/>
        </w:rPr>
      </w:pPr>
      <w:r w:rsidRPr="00A10850">
        <w:rPr>
          <w:rFonts w:ascii="Arial" w:hAnsi="Arial" w:cs="Arial"/>
          <w:b/>
          <w:sz w:val="24"/>
          <w:szCs w:val="24"/>
        </w:rPr>
        <w:t xml:space="preserve">1.3.3 </w:t>
      </w:r>
      <w:r w:rsidR="00493B66" w:rsidRPr="00A10850">
        <w:rPr>
          <w:rFonts w:ascii="Arial" w:hAnsi="Arial" w:cs="Arial"/>
          <w:b/>
          <w:sz w:val="24"/>
          <w:szCs w:val="24"/>
        </w:rPr>
        <w:t>Pharmaceutical services provided by doctors</w:t>
      </w:r>
    </w:p>
    <w:p w14:paraId="66130A12" w14:textId="77777777" w:rsidR="00493B66" w:rsidRPr="00A10850" w:rsidRDefault="00493B66" w:rsidP="00DC54F7">
      <w:pPr>
        <w:spacing w:after="0" w:line="240" w:lineRule="auto"/>
        <w:jc w:val="both"/>
        <w:rPr>
          <w:rFonts w:ascii="Arial" w:hAnsi="Arial" w:cs="Arial"/>
        </w:rPr>
      </w:pPr>
    </w:p>
    <w:p w14:paraId="03764B74" w14:textId="77777777" w:rsidR="00493B66" w:rsidRPr="00A54D55" w:rsidRDefault="003575A4" w:rsidP="00DC54F7">
      <w:pPr>
        <w:spacing w:after="0" w:line="240" w:lineRule="auto"/>
        <w:jc w:val="both"/>
        <w:rPr>
          <w:rFonts w:ascii="Arial" w:hAnsi="Arial" w:cs="Arial"/>
          <w:sz w:val="24"/>
          <w:szCs w:val="24"/>
        </w:rPr>
      </w:pPr>
      <w:r w:rsidRPr="00A54D55">
        <w:rPr>
          <w:rFonts w:ascii="Arial" w:hAnsi="Arial" w:cs="Arial"/>
          <w:sz w:val="24"/>
          <w:szCs w:val="24"/>
        </w:rPr>
        <w:t>The NHS (Pharmaceutical Services) (Wales) Regulations 2020</w:t>
      </w:r>
      <w:r w:rsidR="00ED5F7B" w:rsidRPr="00A54D55">
        <w:rPr>
          <w:rFonts w:ascii="Arial" w:hAnsi="Arial" w:cs="Arial"/>
          <w:sz w:val="24"/>
          <w:szCs w:val="24"/>
        </w:rPr>
        <w:t xml:space="preserve"> </w:t>
      </w:r>
      <w:r w:rsidR="00493B66" w:rsidRPr="00A54D55">
        <w:rPr>
          <w:rFonts w:ascii="Arial" w:hAnsi="Arial" w:cs="Arial"/>
          <w:sz w:val="24"/>
          <w:szCs w:val="24"/>
        </w:rPr>
        <w:t>allow doctors to dispense to eligible patients in certain circumstances.</w:t>
      </w:r>
      <w:r w:rsidR="006E6177" w:rsidRPr="00A54D55">
        <w:rPr>
          <w:rFonts w:ascii="Arial" w:hAnsi="Arial" w:cs="Arial"/>
          <w:sz w:val="24"/>
          <w:szCs w:val="24"/>
        </w:rPr>
        <w:t xml:space="preserve"> </w:t>
      </w:r>
      <w:r w:rsidR="006E650F" w:rsidRPr="00A54D55">
        <w:rPr>
          <w:rFonts w:ascii="Arial" w:hAnsi="Arial" w:cs="Arial"/>
          <w:sz w:val="24"/>
          <w:szCs w:val="24"/>
        </w:rPr>
        <w:t>The regulations are complicated on this matter but in summary:</w:t>
      </w:r>
    </w:p>
    <w:p w14:paraId="6C395EBB" w14:textId="77777777" w:rsidR="006E650F" w:rsidRPr="00A54D55" w:rsidRDefault="006E650F" w:rsidP="00DC54F7">
      <w:pPr>
        <w:spacing w:after="0" w:line="240" w:lineRule="auto"/>
        <w:jc w:val="both"/>
        <w:rPr>
          <w:rFonts w:ascii="Arial" w:hAnsi="Arial" w:cs="Arial"/>
          <w:sz w:val="24"/>
          <w:szCs w:val="24"/>
        </w:rPr>
      </w:pPr>
    </w:p>
    <w:p w14:paraId="6FF4119C" w14:textId="77777777" w:rsidR="006E650F" w:rsidRPr="00A54D55" w:rsidRDefault="006E650F" w:rsidP="00DC54F7">
      <w:pPr>
        <w:pStyle w:val="ListParagraph"/>
        <w:numPr>
          <w:ilvl w:val="0"/>
          <w:numId w:val="29"/>
        </w:numPr>
        <w:spacing w:after="0" w:line="240" w:lineRule="auto"/>
        <w:jc w:val="both"/>
        <w:rPr>
          <w:rFonts w:ascii="Arial" w:hAnsi="Arial" w:cs="Arial"/>
          <w:sz w:val="24"/>
          <w:szCs w:val="24"/>
        </w:rPr>
      </w:pPr>
      <w:r w:rsidRPr="00A54D55">
        <w:rPr>
          <w:rFonts w:ascii="Arial" w:hAnsi="Arial" w:cs="Arial"/>
          <w:sz w:val="24"/>
          <w:szCs w:val="24"/>
        </w:rPr>
        <w:t xml:space="preserve">Patients must live in a ‘controlled locality’ (an area which has been determined by </w:t>
      </w:r>
      <w:r w:rsidR="007B3400" w:rsidRPr="00A54D55">
        <w:rPr>
          <w:rFonts w:ascii="Arial" w:hAnsi="Arial" w:cs="Arial"/>
          <w:sz w:val="24"/>
          <w:szCs w:val="24"/>
        </w:rPr>
        <w:t>the</w:t>
      </w:r>
      <w:r w:rsidR="004654D5" w:rsidRPr="00A54D55">
        <w:rPr>
          <w:rFonts w:ascii="Arial" w:hAnsi="Arial" w:cs="Arial"/>
          <w:sz w:val="24"/>
          <w:szCs w:val="24"/>
        </w:rPr>
        <w:t xml:space="preserve"> health board</w:t>
      </w:r>
      <w:r w:rsidR="007B3400" w:rsidRPr="00A54D55">
        <w:rPr>
          <w:rFonts w:ascii="Arial" w:hAnsi="Arial" w:cs="Arial"/>
          <w:sz w:val="24"/>
          <w:szCs w:val="24"/>
        </w:rPr>
        <w:t xml:space="preserve"> </w:t>
      </w:r>
      <w:r w:rsidRPr="00A54D55">
        <w:rPr>
          <w:rFonts w:ascii="Arial" w:hAnsi="Arial" w:cs="Arial"/>
          <w:sz w:val="24"/>
          <w:szCs w:val="24"/>
        </w:rPr>
        <w:t>or a preceding organisation as rural in character</w:t>
      </w:r>
      <w:r w:rsidR="004654D5" w:rsidRPr="00A54D55">
        <w:rPr>
          <w:rFonts w:ascii="Arial" w:hAnsi="Arial" w:cs="Arial"/>
          <w:sz w:val="24"/>
          <w:szCs w:val="24"/>
        </w:rPr>
        <w:t>, or on appeal by the Welsh Ministers</w:t>
      </w:r>
      <w:r w:rsidRPr="00A54D55">
        <w:rPr>
          <w:rFonts w:ascii="Arial" w:hAnsi="Arial" w:cs="Arial"/>
          <w:sz w:val="24"/>
          <w:szCs w:val="24"/>
        </w:rPr>
        <w:t>), more than 1.6km (measured in a straight line) from a pharmacy</w:t>
      </w:r>
      <w:r w:rsidR="004654D5" w:rsidRPr="00A54D55">
        <w:rPr>
          <w:rFonts w:ascii="Arial" w:hAnsi="Arial" w:cs="Arial"/>
          <w:sz w:val="24"/>
          <w:szCs w:val="24"/>
        </w:rPr>
        <w:t xml:space="preserve">, </w:t>
      </w:r>
      <w:r w:rsidRPr="00A54D55">
        <w:rPr>
          <w:rFonts w:ascii="Arial" w:hAnsi="Arial" w:cs="Arial"/>
          <w:sz w:val="24"/>
          <w:szCs w:val="24"/>
        </w:rPr>
        <w:t>and</w:t>
      </w:r>
    </w:p>
    <w:p w14:paraId="01547A3F" w14:textId="77777777" w:rsidR="006E650F" w:rsidRPr="00A54D55" w:rsidRDefault="006E650F" w:rsidP="00DC54F7">
      <w:pPr>
        <w:pStyle w:val="ListParagraph"/>
        <w:numPr>
          <w:ilvl w:val="0"/>
          <w:numId w:val="29"/>
        </w:numPr>
        <w:spacing w:after="0" w:line="240" w:lineRule="auto"/>
        <w:jc w:val="both"/>
        <w:rPr>
          <w:rFonts w:ascii="Arial" w:hAnsi="Arial" w:cs="Arial"/>
          <w:sz w:val="24"/>
          <w:szCs w:val="24"/>
        </w:rPr>
      </w:pPr>
      <w:r w:rsidRPr="00A54D55">
        <w:rPr>
          <w:rFonts w:ascii="Arial" w:hAnsi="Arial" w:cs="Arial"/>
          <w:sz w:val="24"/>
          <w:szCs w:val="24"/>
        </w:rPr>
        <w:t xml:space="preserve">Their practice must have premises approval and </w:t>
      </w:r>
      <w:r w:rsidR="00F03AC1" w:rsidRPr="00A54D55">
        <w:rPr>
          <w:rFonts w:ascii="Arial" w:hAnsi="Arial" w:cs="Arial"/>
          <w:sz w:val="24"/>
          <w:szCs w:val="24"/>
        </w:rPr>
        <w:t xml:space="preserve">outline </w:t>
      </w:r>
      <w:r w:rsidRPr="00A54D55">
        <w:rPr>
          <w:rFonts w:ascii="Arial" w:hAnsi="Arial" w:cs="Arial"/>
          <w:sz w:val="24"/>
          <w:szCs w:val="24"/>
        </w:rPr>
        <w:t>consent to dispense to that area.</w:t>
      </w:r>
    </w:p>
    <w:p w14:paraId="20E27E02" w14:textId="77777777" w:rsidR="006E650F" w:rsidRPr="00A54D55" w:rsidRDefault="006E650F" w:rsidP="00DC54F7">
      <w:pPr>
        <w:spacing w:after="0" w:line="240" w:lineRule="auto"/>
        <w:jc w:val="both"/>
        <w:rPr>
          <w:rFonts w:ascii="Arial" w:hAnsi="Arial" w:cs="Arial"/>
          <w:sz w:val="24"/>
          <w:szCs w:val="24"/>
        </w:rPr>
      </w:pPr>
    </w:p>
    <w:p w14:paraId="2C08D245" w14:textId="77777777" w:rsidR="004654D5" w:rsidRPr="00A54D55" w:rsidRDefault="006E650F" w:rsidP="00DC54F7">
      <w:pPr>
        <w:spacing w:after="0" w:line="240" w:lineRule="auto"/>
        <w:jc w:val="both"/>
        <w:rPr>
          <w:rFonts w:ascii="Arial" w:hAnsi="Arial" w:cs="Arial"/>
          <w:sz w:val="24"/>
          <w:szCs w:val="24"/>
        </w:rPr>
      </w:pPr>
      <w:r w:rsidRPr="00A54D55">
        <w:rPr>
          <w:rFonts w:ascii="Arial" w:hAnsi="Arial" w:cs="Arial"/>
          <w:sz w:val="24"/>
          <w:szCs w:val="24"/>
        </w:rPr>
        <w:t xml:space="preserve">There are some exceptions to this, for example patients </w:t>
      </w:r>
      <w:r w:rsidR="00B83369" w:rsidRPr="00A54D55">
        <w:rPr>
          <w:rFonts w:ascii="Arial" w:hAnsi="Arial" w:cs="Arial"/>
          <w:sz w:val="24"/>
          <w:szCs w:val="24"/>
        </w:rPr>
        <w:t xml:space="preserve">who have satisfied </w:t>
      </w:r>
      <w:r w:rsidR="007B3400" w:rsidRPr="00A54D55">
        <w:rPr>
          <w:rFonts w:ascii="Arial" w:hAnsi="Arial" w:cs="Arial"/>
          <w:sz w:val="24"/>
          <w:szCs w:val="24"/>
        </w:rPr>
        <w:t xml:space="preserve">the </w:t>
      </w:r>
      <w:r w:rsidR="004654D5" w:rsidRPr="00A54D55">
        <w:rPr>
          <w:rFonts w:ascii="Arial" w:hAnsi="Arial" w:cs="Arial"/>
          <w:sz w:val="24"/>
          <w:szCs w:val="24"/>
        </w:rPr>
        <w:t xml:space="preserve">health board </w:t>
      </w:r>
      <w:r w:rsidR="00B83369" w:rsidRPr="00A54D55">
        <w:rPr>
          <w:rFonts w:ascii="Arial" w:hAnsi="Arial" w:cs="Arial"/>
          <w:sz w:val="24"/>
          <w:szCs w:val="24"/>
        </w:rPr>
        <w:t>that they would have serious difficulty in accessing a pharmacy by reason of distance or inadequacy of means of communication.</w:t>
      </w:r>
      <w:r w:rsidRPr="00A54D55">
        <w:rPr>
          <w:rFonts w:ascii="Arial" w:hAnsi="Arial" w:cs="Arial"/>
          <w:sz w:val="24"/>
          <w:szCs w:val="24"/>
        </w:rPr>
        <w:t xml:space="preserve"> </w:t>
      </w:r>
    </w:p>
    <w:p w14:paraId="0C44A972" w14:textId="71C0B882" w:rsidR="00862453" w:rsidRDefault="00A54D55" w:rsidP="00DC54F7">
      <w:pPr>
        <w:spacing w:after="0" w:line="240" w:lineRule="auto"/>
        <w:jc w:val="both"/>
        <w:rPr>
          <w:rFonts w:ascii="Arial" w:hAnsi="Arial" w:cs="Arial"/>
          <w:b/>
          <w:sz w:val="26"/>
          <w:szCs w:val="26"/>
        </w:rPr>
      </w:pPr>
      <w:r>
        <w:rPr>
          <w:rFonts w:ascii="Arial" w:hAnsi="Arial" w:cs="Arial"/>
        </w:rPr>
        <w:br w:type="page"/>
      </w:r>
      <w:r w:rsidR="006F0A84" w:rsidRPr="00A10850">
        <w:rPr>
          <w:rFonts w:ascii="Arial" w:hAnsi="Arial" w:cs="Arial"/>
          <w:b/>
          <w:sz w:val="26"/>
          <w:szCs w:val="26"/>
        </w:rPr>
        <w:lastRenderedPageBreak/>
        <w:t>1.</w:t>
      </w:r>
      <w:r w:rsidR="003C4215" w:rsidRPr="00A10850">
        <w:rPr>
          <w:rFonts w:ascii="Arial" w:hAnsi="Arial" w:cs="Arial"/>
          <w:b/>
          <w:sz w:val="26"/>
          <w:szCs w:val="26"/>
        </w:rPr>
        <w:t>4</w:t>
      </w:r>
      <w:r w:rsidR="006F0A84" w:rsidRPr="00A10850">
        <w:rPr>
          <w:rFonts w:ascii="Arial" w:hAnsi="Arial" w:cs="Arial"/>
          <w:b/>
          <w:sz w:val="26"/>
          <w:szCs w:val="26"/>
        </w:rPr>
        <w:t xml:space="preserve"> </w:t>
      </w:r>
      <w:r w:rsidR="00862453" w:rsidRPr="00A10850">
        <w:rPr>
          <w:rFonts w:ascii="Arial" w:hAnsi="Arial" w:cs="Arial"/>
          <w:b/>
          <w:sz w:val="26"/>
          <w:szCs w:val="26"/>
        </w:rPr>
        <w:t>Other NHS services</w:t>
      </w:r>
    </w:p>
    <w:p w14:paraId="09733B61" w14:textId="77777777" w:rsidR="00DC54F7" w:rsidRPr="00A10850" w:rsidRDefault="00DC54F7" w:rsidP="00DC54F7">
      <w:pPr>
        <w:spacing w:after="0" w:line="240" w:lineRule="auto"/>
        <w:jc w:val="both"/>
        <w:rPr>
          <w:rFonts w:ascii="Arial" w:hAnsi="Arial" w:cs="Arial"/>
        </w:rPr>
      </w:pPr>
    </w:p>
    <w:p w14:paraId="412524C0" w14:textId="565B1646" w:rsidR="009066A6" w:rsidRPr="00A54D55" w:rsidRDefault="00862453" w:rsidP="00DC54F7">
      <w:pPr>
        <w:spacing w:after="0" w:line="240" w:lineRule="auto"/>
        <w:jc w:val="both"/>
        <w:rPr>
          <w:rFonts w:ascii="Arial" w:hAnsi="Arial" w:cs="Arial"/>
          <w:sz w:val="24"/>
          <w:szCs w:val="24"/>
        </w:rPr>
      </w:pPr>
      <w:r w:rsidRPr="00A54D55">
        <w:rPr>
          <w:rFonts w:ascii="Arial" w:hAnsi="Arial" w:cs="Arial"/>
          <w:sz w:val="24"/>
          <w:szCs w:val="24"/>
        </w:rPr>
        <w:t xml:space="preserve">Other services which are commissioned </w:t>
      </w:r>
      <w:r w:rsidR="009066A6" w:rsidRPr="00A54D55">
        <w:rPr>
          <w:rFonts w:ascii="Arial" w:hAnsi="Arial" w:cs="Arial"/>
          <w:sz w:val="24"/>
          <w:szCs w:val="24"/>
        </w:rPr>
        <w:t xml:space="preserve">or provided </w:t>
      </w:r>
      <w:r w:rsidRPr="00A54D55">
        <w:rPr>
          <w:rFonts w:ascii="Arial" w:hAnsi="Arial" w:cs="Arial"/>
          <w:sz w:val="24"/>
          <w:szCs w:val="24"/>
        </w:rPr>
        <w:t xml:space="preserve">by </w:t>
      </w:r>
      <w:r w:rsidR="00FA0306" w:rsidRPr="00A54D55">
        <w:rPr>
          <w:rFonts w:ascii="Arial" w:hAnsi="Arial" w:cs="Arial"/>
          <w:sz w:val="24"/>
          <w:szCs w:val="24"/>
        </w:rPr>
        <w:t>Cardiff and Vale University Health Board</w:t>
      </w:r>
      <w:r w:rsidR="00427FC8" w:rsidRPr="00A54D55">
        <w:rPr>
          <w:rFonts w:ascii="Arial" w:hAnsi="Arial" w:cs="Arial"/>
          <w:sz w:val="24"/>
          <w:szCs w:val="24"/>
        </w:rPr>
        <w:t xml:space="preserve"> </w:t>
      </w:r>
      <w:r w:rsidR="0007676D" w:rsidRPr="00A54D55">
        <w:rPr>
          <w:rFonts w:ascii="Arial" w:hAnsi="Arial" w:cs="Arial"/>
          <w:sz w:val="24"/>
          <w:szCs w:val="24"/>
        </w:rPr>
        <w:t xml:space="preserve">which affect the need for pharmaceutical services are also included within the </w:t>
      </w:r>
      <w:r w:rsidR="006C2F60" w:rsidRPr="00A54D55">
        <w:rPr>
          <w:rFonts w:ascii="Arial" w:hAnsi="Arial" w:cs="Arial"/>
          <w:sz w:val="24"/>
          <w:szCs w:val="24"/>
        </w:rPr>
        <w:t>PNA</w:t>
      </w:r>
      <w:r w:rsidR="0007676D" w:rsidRPr="00A54D55">
        <w:rPr>
          <w:rFonts w:ascii="Arial" w:hAnsi="Arial" w:cs="Arial"/>
          <w:sz w:val="24"/>
          <w:szCs w:val="24"/>
        </w:rPr>
        <w:t>.</w:t>
      </w:r>
      <w:r w:rsidR="006E6177" w:rsidRPr="00A54D55">
        <w:rPr>
          <w:rFonts w:ascii="Arial" w:hAnsi="Arial" w:cs="Arial"/>
          <w:sz w:val="24"/>
          <w:szCs w:val="24"/>
        </w:rPr>
        <w:t xml:space="preserve"> </w:t>
      </w:r>
    </w:p>
    <w:p w14:paraId="48FFA547" w14:textId="77F74FD8" w:rsidR="0007676D" w:rsidRDefault="0007676D" w:rsidP="00DC54F7">
      <w:pPr>
        <w:spacing w:after="0" w:line="240" w:lineRule="auto"/>
        <w:jc w:val="both"/>
        <w:rPr>
          <w:rFonts w:ascii="Arial" w:hAnsi="Arial" w:cs="Arial"/>
        </w:rPr>
      </w:pPr>
    </w:p>
    <w:p w14:paraId="65BF157E" w14:textId="77777777" w:rsidR="00A54D55" w:rsidRPr="00A10850" w:rsidRDefault="00A54D55" w:rsidP="00DC54F7">
      <w:pPr>
        <w:spacing w:after="0" w:line="240" w:lineRule="auto"/>
        <w:jc w:val="both"/>
        <w:rPr>
          <w:rFonts w:ascii="Arial" w:hAnsi="Arial" w:cs="Arial"/>
        </w:rPr>
      </w:pPr>
    </w:p>
    <w:p w14:paraId="1274723B" w14:textId="77777777" w:rsidR="00097C67" w:rsidRPr="00A10850" w:rsidRDefault="006F0A84" w:rsidP="00DC54F7">
      <w:pPr>
        <w:spacing w:after="0" w:line="240" w:lineRule="auto"/>
        <w:jc w:val="both"/>
        <w:rPr>
          <w:rFonts w:ascii="Arial" w:hAnsi="Arial" w:cs="Arial"/>
          <w:b/>
          <w:sz w:val="26"/>
          <w:szCs w:val="26"/>
        </w:rPr>
      </w:pPr>
      <w:r w:rsidRPr="00A10850">
        <w:rPr>
          <w:rFonts w:ascii="Arial" w:hAnsi="Arial" w:cs="Arial"/>
          <w:b/>
          <w:sz w:val="26"/>
          <w:szCs w:val="26"/>
        </w:rPr>
        <w:t>1.</w:t>
      </w:r>
      <w:r w:rsidR="003C4215" w:rsidRPr="00A10850">
        <w:rPr>
          <w:rFonts w:ascii="Arial" w:hAnsi="Arial" w:cs="Arial"/>
          <w:b/>
          <w:sz w:val="26"/>
          <w:szCs w:val="26"/>
        </w:rPr>
        <w:t>5</w:t>
      </w:r>
      <w:r w:rsidRPr="00A10850">
        <w:rPr>
          <w:rFonts w:ascii="Arial" w:hAnsi="Arial" w:cs="Arial"/>
          <w:b/>
          <w:sz w:val="26"/>
          <w:szCs w:val="26"/>
        </w:rPr>
        <w:t xml:space="preserve"> </w:t>
      </w:r>
      <w:r w:rsidR="00097C67" w:rsidRPr="00A10850">
        <w:rPr>
          <w:rFonts w:ascii="Arial" w:hAnsi="Arial" w:cs="Arial"/>
          <w:b/>
          <w:sz w:val="26"/>
          <w:szCs w:val="26"/>
        </w:rPr>
        <w:t>How the assessment was undertaken</w:t>
      </w:r>
    </w:p>
    <w:p w14:paraId="184F0852" w14:textId="77777777" w:rsidR="00493B66" w:rsidRPr="00A10850" w:rsidRDefault="00493B66" w:rsidP="00DC54F7">
      <w:pPr>
        <w:spacing w:after="0" w:line="240" w:lineRule="auto"/>
        <w:jc w:val="both"/>
        <w:rPr>
          <w:rFonts w:ascii="Arial" w:hAnsi="Arial" w:cs="Arial"/>
          <w:sz w:val="20"/>
          <w:szCs w:val="20"/>
        </w:rPr>
      </w:pPr>
    </w:p>
    <w:p w14:paraId="2AFEDED3" w14:textId="77777777" w:rsidR="001C2352" w:rsidRPr="00A10850" w:rsidRDefault="006F0A84" w:rsidP="00DC54F7">
      <w:pPr>
        <w:spacing w:after="0" w:line="240" w:lineRule="auto"/>
        <w:jc w:val="both"/>
        <w:rPr>
          <w:rFonts w:ascii="Arial" w:hAnsi="Arial" w:cs="Arial"/>
          <w:b/>
          <w:sz w:val="24"/>
          <w:szCs w:val="24"/>
        </w:rPr>
      </w:pPr>
      <w:r w:rsidRPr="00A10850">
        <w:rPr>
          <w:rFonts w:ascii="Arial" w:hAnsi="Arial" w:cs="Arial"/>
          <w:b/>
          <w:sz w:val="24"/>
          <w:szCs w:val="24"/>
        </w:rPr>
        <w:t>1.</w:t>
      </w:r>
      <w:r w:rsidR="003C4215" w:rsidRPr="00A10850">
        <w:rPr>
          <w:rFonts w:ascii="Arial" w:hAnsi="Arial" w:cs="Arial"/>
          <w:b/>
          <w:sz w:val="24"/>
          <w:szCs w:val="24"/>
        </w:rPr>
        <w:t>5</w:t>
      </w:r>
      <w:r w:rsidRPr="00A10850">
        <w:rPr>
          <w:rFonts w:ascii="Arial" w:hAnsi="Arial" w:cs="Arial"/>
          <w:b/>
          <w:sz w:val="24"/>
          <w:szCs w:val="24"/>
        </w:rPr>
        <w:t xml:space="preserve">.1 </w:t>
      </w:r>
      <w:r w:rsidR="004654D5" w:rsidRPr="00A10850">
        <w:rPr>
          <w:rFonts w:ascii="Arial" w:hAnsi="Arial" w:cs="Arial"/>
          <w:b/>
          <w:sz w:val="24"/>
          <w:szCs w:val="24"/>
        </w:rPr>
        <w:t>PNA steering</w:t>
      </w:r>
      <w:r w:rsidR="00444225" w:rsidRPr="00A10850">
        <w:rPr>
          <w:rFonts w:ascii="Arial" w:hAnsi="Arial" w:cs="Arial"/>
          <w:b/>
          <w:sz w:val="24"/>
          <w:szCs w:val="24"/>
        </w:rPr>
        <w:t xml:space="preserve"> group</w:t>
      </w:r>
    </w:p>
    <w:p w14:paraId="0EB6FE80" w14:textId="77777777" w:rsidR="001C2352" w:rsidRPr="00A10850" w:rsidRDefault="001C2352" w:rsidP="00DC54F7">
      <w:pPr>
        <w:spacing w:after="0" w:line="240" w:lineRule="auto"/>
        <w:jc w:val="both"/>
        <w:rPr>
          <w:rFonts w:ascii="Arial" w:hAnsi="Arial" w:cs="Arial"/>
          <w:b/>
        </w:rPr>
      </w:pPr>
    </w:p>
    <w:p w14:paraId="5BADE47D" w14:textId="6D520C6D" w:rsidR="001C2352" w:rsidRPr="00A54D55" w:rsidRDefault="00FA0306" w:rsidP="00DC54F7">
      <w:pPr>
        <w:spacing w:after="0" w:line="240" w:lineRule="auto"/>
        <w:jc w:val="both"/>
        <w:rPr>
          <w:rFonts w:ascii="Arial" w:hAnsi="Arial" w:cs="Arial"/>
          <w:sz w:val="24"/>
          <w:szCs w:val="24"/>
        </w:rPr>
      </w:pPr>
      <w:r w:rsidRPr="00A54D55">
        <w:rPr>
          <w:rFonts w:ascii="Arial" w:hAnsi="Arial" w:cs="Arial"/>
          <w:sz w:val="24"/>
          <w:szCs w:val="24"/>
        </w:rPr>
        <w:t>Cardiff and Vale University Health Board</w:t>
      </w:r>
      <w:r w:rsidR="00735FB3" w:rsidRPr="00A54D55">
        <w:rPr>
          <w:rFonts w:ascii="Arial" w:hAnsi="Arial" w:cs="Arial"/>
          <w:sz w:val="24"/>
          <w:szCs w:val="24"/>
        </w:rPr>
        <w:t xml:space="preserve"> </w:t>
      </w:r>
      <w:r w:rsidR="001C2352" w:rsidRPr="00A54D55">
        <w:rPr>
          <w:rFonts w:ascii="Arial" w:hAnsi="Arial" w:cs="Arial"/>
          <w:sz w:val="24"/>
          <w:szCs w:val="24"/>
        </w:rPr>
        <w:t xml:space="preserve">has </w:t>
      </w:r>
      <w:r w:rsidR="004969CF" w:rsidRPr="00A54D55">
        <w:rPr>
          <w:rFonts w:ascii="Arial" w:hAnsi="Arial" w:cs="Arial"/>
          <w:sz w:val="24"/>
          <w:szCs w:val="24"/>
        </w:rPr>
        <w:t xml:space="preserve">overall responsibility </w:t>
      </w:r>
      <w:r w:rsidR="001C2352" w:rsidRPr="00A54D55">
        <w:rPr>
          <w:rFonts w:ascii="Arial" w:hAnsi="Arial" w:cs="Arial"/>
          <w:sz w:val="24"/>
          <w:szCs w:val="24"/>
        </w:rPr>
        <w:t xml:space="preserve">for the publication of the </w:t>
      </w:r>
      <w:r w:rsidR="004654D5" w:rsidRPr="00A54D55">
        <w:rPr>
          <w:rFonts w:ascii="Arial" w:hAnsi="Arial" w:cs="Arial"/>
          <w:sz w:val="24"/>
          <w:szCs w:val="24"/>
        </w:rPr>
        <w:t xml:space="preserve">PNA, and </w:t>
      </w:r>
      <w:r w:rsidR="00892E2E" w:rsidRPr="00A54D55">
        <w:rPr>
          <w:rFonts w:ascii="Arial" w:hAnsi="Arial" w:cs="Arial"/>
          <w:sz w:val="24"/>
          <w:szCs w:val="24"/>
        </w:rPr>
        <w:t xml:space="preserve">the </w:t>
      </w:r>
      <w:r w:rsidR="00892E2E" w:rsidRPr="00A54D55">
        <w:rPr>
          <w:rFonts w:ascii="Arial" w:hAnsi="Arial" w:cs="Arial"/>
          <w:color w:val="000000"/>
          <w:sz w:val="24"/>
          <w:szCs w:val="24"/>
          <w:shd w:val="clear" w:color="auto" w:fill="FFFFFF"/>
        </w:rPr>
        <w:t>Executive Director of Public Health</w:t>
      </w:r>
      <w:r w:rsidR="001C2352" w:rsidRPr="00A54D55">
        <w:rPr>
          <w:rFonts w:ascii="Arial" w:hAnsi="Arial" w:cs="Arial"/>
          <w:sz w:val="24"/>
          <w:szCs w:val="24"/>
        </w:rPr>
        <w:t xml:space="preserve"> is accountable for its develop</w:t>
      </w:r>
      <w:r w:rsidR="00F343A0" w:rsidRPr="00A54D55">
        <w:rPr>
          <w:rFonts w:ascii="Arial" w:hAnsi="Arial" w:cs="Arial"/>
          <w:sz w:val="24"/>
          <w:szCs w:val="24"/>
        </w:rPr>
        <w:t>ment.</w:t>
      </w:r>
      <w:r w:rsidR="006E6177" w:rsidRPr="00A54D55">
        <w:rPr>
          <w:rFonts w:ascii="Arial" w:hAnsi="Arial" w:cs="Arial"/>
          <w:sz w:val="24"/>
          <w:szCs w:val="24"/>
        </w:rPr>
        <w:t xml:space="preserve"> </w:t>
      </w:r>
      <w:r w:rsidRPr="00A54D55">
        <w:rPr>
          <w:rFonts w:ascii="Arial" w:hAnsi="Arial" w:cs="Arial"/>
          <w:sz w:val="24"/>
          <w:szCs w:val="24"/>
        </w:rPr>
        <w:t>Cardiff and Vale University Health Board</w:t>
      </w:r>
      <w:r w:rsidR="004654D5" w:rsidRPr="00A54D55">
        <w:rPr>
          <w:rFonts w:ascii="Arial" w:hAnsi="Arial" w:cs="Arial"/>
          <w:sz w:val="24"/>
          <w:szCs w:val="24"/>
        </w:rPr>
        <w:t xml:space="preserve"> </w:t>
      </w:r>
      <w:r w:rsidR="00F343A0" w:rsidRPr="00A54D55">
        <w:rPr>
          <w:rFonts w:ascii="Arial" w:hAnsi="Arial" w:cs="Arial"/>
          <w:sz w:val="24"/>
          <w:szCs w:val="24"/>
        </w:rPr>
        <w:t>established a</w:t>
      </w:r>
      <w:r w:rsidR="004969CF" w:rsidRPr="00A54D55">
        <w:rPr>
          <w:rFonts w:ascii="Arial" w:hAnsi="Arial" w:cs="Arial"/>
          <w:sz w:val="24"/>
          <w:szCs w:val="24"/>
        </w:rPr>
        <w:t xml:space="preserve"> </w:t>
      </w:r>
      <w:r w:rsidR="004654D5" w:rsidRPr="00A54D55">
        <w:rPr>
          <w:rFonts w:ascii="Arial" w:hAnsi="Arial" w:cs="Arial"/>
          <w:sz w:val="24"/>
          <w:szCs w:val="24"/>
        </w:rPr>
        <w:t>PNA steering</w:t>
      </w:r>
      <w:r w:rsidR="004A030A" w:rsidRPr="00A54D55">
        <w:rPr>
          <w:rFonts w:ascii="Arial" w:hAnsi="Arial" w:cs="Arial"/>
          <w:sz w:val="24"/>
          <w:szCs w:val="24"/>
        </w:rPr>
        <w:t xml:space="preserve"> group</w:t>
      </w:r>
      <w:r w:rsidR="004654D5" w:rsidRPr="00A54D55">
        <w:rPr>
          <w:rFonts w:ascii="Arial" w:hAnsi="Arial" w:cs="Arial"/>
          <w:sz w:val="24"/>
          <w:szCs w:val="24"/>
        </w:rPr>
        <w:t xml:space="preserve"> whose purpose wa</w:t>
      </w:r>
      <w:r w:rsidR="001C2352" w:rsidRPr="00A54D55">
        <w:rPr>
          <w:rFonts w:ascii="Arial" w:hAnsi="Arial" w:cs="Arial"/>
          <w:sz w:val="24"/>
          <w:szCs w:val="24"/>
        </w:rPr>
        <w:t xml:space="preserve">s to ensure that </w:t>
      </w:r>
      <w:r w:rsidR="004654D5" w:rsidRPr="00A54D55">
        <w:rPr>
          <w:rFonts w:ascii="Arial" w:hAnsi="Arial" w:cs="Arial"/>
          <w:sz w:val="24"/>
          <w:szCs w:val="24"/>
        </w:rPr>
        <w:t>the development of</w:t>
      </w:r>
      <w:r w:rsidR="001C2352" w:rsidRPr="00A54D55">
        <w:rPr>
          <w:rFonts w:ascii="Arial" w:hAnsi="Arial" w:cs="Arial"/>
          <w:sz w:val="24"/>
          <w:szCs w:val="24"/>
        </w:rPr>
        <w:t xml:space="preserve"> a ro</w:t>
      </w:r>
      <w:r w:rsidR="00ED5F7B" w:rsidRPr="00A54D55">
        <w:rPr>
          <w:rFonts w:ascii="Arial" w:hAnsi="Arial" w:cs="Arial"/>
          <w:sz w:val="24"/>
          <w:szCs w:val="24"/>
        </w:rPr>
        <w:t xml:space="preserve">bust </w:t>
      </w:r>
      <w:r w:rsidR="004654D5" w:rsidRPr="00A54D55">
        <w:rPr>
          <w:rFonts w:ascii="Arial" w:hAnsi="Arial" w:cs="Arial"/>
          <w:sz w:val="24"/>
          <w:szCs w:val="24"/>
        </w:rPr>
        <w:t>PNA</w:t>
      </w:r>
      <w:r w:rsidR="00ED5F7B" w:rsidRPr="00A54D55">
        <w:rPr>
          <w:rFonts w:ascii="Arial" w:hAnsi="Arial" w:cs="Arial"/>
          <w:sz w:val="24"/>
          <w:szCs w:val="24"/>
        </w:rPr>
        <w:t xml:space="preserve"> that complies with the NHS (Pharmaceutical Services) </w:t>
      </w:r>
      <w:r w:rsidR="00F03AC1" w:rsidRPr="00A54D55">
        <w:rPr>
          <w:rFonts w:ascii="Arial" w:hAnsi="Arial" w:cs="Arial"/>
          <w:sz w:val="24"/>
          <w:szCs w:val="24"/>
        </w:rPr>
        <w:t xml:space="preserve">(Wales) </w:t>
      </w:r>
      <w:r w:rsidR="00ED5F7B" w:rsidRPr="00A54D55">
        <w:rPr>
          <w:rFonts w:ascii="Arial" w:hAnsi="Arial" w:cs="Arial"/>
          <w:sz w:val="24"/>
          <w:szCs w:val="24"/>
        </w:rPr>
        <w:t xml:space="preserve">Regulations </w:t>
      </w:r>
      <w:r w:rsidR="004654D5" w:rsidRPr="00A54D55">
        <w:rPr>
          <w:rFonts w:ascii="Arial" w:hAnsi="Arial" w:cs="Arial"/>
          <w:sz w:val="24"/>
          <w:szCs w:val="24"/>
        </w:rPr>
        <w:t>2020</w:t>
      </w:r>
      <w:r w:rsidR="00ED5F7B" w:rsidRPr="00A54D55">
        <w:rPr>
          <w:rFonts w:ascii="Arial" w:hAnsi="Arial" w:cs="Arial"/>
          <w:sz w:val="24"/>
          <w:szCs w:val="24"/>
        </w:rPr>
        <w:t xml:space="preserve"> </w:t>
      </w:r>
      <w:r w:rsidR="001C2352" w:rsidRPr="00A54D55">
        <w:rPr>
          <w:rFonts w:ascii="Arial" w:hAnsi="Arial" w:cs="Arial"/>
          <w:sz w:val="24"/>
          <w:szCs w:val="24"/>
        </w:rPr>
        <w:t>and</w:t>
      </w:r>
      <w:r w:rsidR="0035736B" w:rsidRPr="00A54D55">
        <w:rPr>
          <w:rFonts w:ascii="Arial" w:hAnsi="Arial" w:cs="Arial"/>
          <w:sz w:val="24"/>
          <w:szCs w:val="24"/>
        </w:rPr>
        <w:t xml:space="preserve"> meets</w:t>
      </w:r>
      <w:r w:rsidR="001C2352" w:rsidRPr="00A54D55">
        <w:rPr>
          <w:rFonts w:ascii="Arial" w:hAnsi="Arial" w:cs="Arial"/>
          <w:sz w:val="24"/>
          <w:szCs w:val="24"/>
        </w:rPr>
        <w:t xml:space="preserve"> the needs of the local population</w:t>
      </w:r>
      <w:r w:rsidR="004969CF" w:rsidRPr="00A54D55">
        <w:rPr>
          <w:rFonts w:ascii="Arial" w:hAnsi="Arial" w:cs="Arial"/>
          <w:sz w:val="24"/>
          <w:szCs w:val="24"/>
        </w:rPr>
        <w:t>.</w:t>
      </w:r>
      <w:r w:rsidR="006E6177" w:rsidRPr="00A54D55">
        <w:rPr>
          <w:rFonts w:ascii="Arial" w:hAnsi="Arial" w:cs="Arial"/>
          <w:sz w:val="24"/>
          <w:szCs w:val="24"/>
        </w:rPr>
        <w:t xml:space="preserve"> </w:t>
      </w:r>
      <w:r w:rsidR="001C2352" w:rsidRPr="00A54D55">
        <w:rPr>
          <w:rFonts w:ascii="Arial" w:hAnsi="Arial" w:cs="Arial"/>
          <w:sz w:val="24"/>
          <w:szCs w:val="24"/>
        </w:rPr>
        <w:t>The membership of the steering group</w:t>
      </w:r>
      <w:r w:rsidR="000A2D81" w:rsidRPr="00A54D55">
        <w:rPr>
          <w:rFonts w:ascii="Arial" w:hAnsi="Arial" w:cs="Arial"/>
          <w:sz w:val="24"/>
          <w:szCs w:val="24"/>
        </w:rPr>
        <w:t xml:space="preserve"> ensured</w:t>
      </w:r>
      <w:r w:rsidR="001C2352" w:rsidRPr="00A54D55">
        <w:rPr>
          <w:rFonts w:ascii="Arial" w:hAnsi="Arial" w:cs="Arial"/>
          <w:sz w:val="24"/>
          <w:szCs w:val="24"/>
        </w:rPr>
        <w:t xml:space="preserve"> all the main stakeholders were represented</w:t>
      </w:r>
      <w:r w:rsidR="0035736B" w:rsidRPr="00A54D55">
        <w:rPr>
          <w:rFonts w:ascii="Arial" w:hAnsi="Arial" w:cs="Arial"/>
          <w:sz w:val="24"/>
          <w:szCs w:val="24"/>
        </w:rPr>
        <w:t xml:space="preserve"> and can be</w:t>
      </w:r>
      <w:r w:rsidR="004969CF" w:rsidRPr="00A54D55">
        <w:rPr>
          <w:rFonts w:ascii="Arial" w:hAnsi="Arial" w:cs="Arial"/>
          <w:sz w:val="24"/>
          <w:szCs w:val="24"/>
        </w:rPr>
        <w:t xml:space="preserve"> found in appendix</w:t>
      </w:r>
      <w:r w:rsidR="00962298" w:rsidRPr="00A54D55">
        <w:rPr>
          <w:rFonts w:ascii="Arial" w:hAnsi="Arial" w:cs="Arial"/>
          <w:sz w:val="24"/>
          <w:szCs w:val="24"/>
        </w:rPr>
        <w:t xml:space="preserve"> F.</w:t>
      </w:r>
    </w:p>
    <w:p w14:paraId="39237D7B" w14:textId="029B56A5" w:rsidR="001C2352" w:rsidRDefault="001C2352" w:rsidP="00DC54F7">
      <w:pPr>
        <w:spacing w:after="0" w:line="240" w:lineRule="auto"/>
        <w:jc w:val="both"/>
        <w:rPr>
          <w:rFonts w:ascii="Arial" w:hAnsi="Arial" w:cs="Arial"/>
        </w:rPr>
      </w:pPr>
    </w:p>
    <w:p w14:paraId="1C57A8F2" w14:textId="77777777" w:rsidR="00A54D55" w:rsidRPr="00A10850" w:rsidRDefault="00A54D55" w:rsidP="00DC54F7">
      <w:pPr>
        <w:spacing w:after="0" w:line="240" w:lineRule="auto"/>
        <w:jc w:val="both"/>
        <w:rPr>
          <w:rFonts w:ascii="Arial" w:hAnsi="Arial" w:cs="Arial"/>
        </w:rPr>
      </w:pPr>
    </w:p>
    <w:p w14:paraId="2191AB02" w14:textId="77777777" w:rsidR="001C2352" w:rsidRPr="00A10850" w:rsidRDefault="006F0A84" w:rsidP="00DC54F7">
      <w:pPr>
        <w:spacing w:after="0" w:line="240" w:lineRule="auto"/>
        <w:jc w:val="both"/>
        <w:rPr>
          <w:rFonts w:ascii="Arial" w:hAnsi="Arial" w:cs="Arial"/>
          <w:b/>
          <w:sz w:val="24"/>
          <w:szCs w:val="24"/>
        </w:rPr>
      </w:pPr>
      <w:r w:rsidRPr="00A10850">
        <w:rPr>
          <w:rFonts w:ascii="Arial" w:hAnsi="Arial" w:cs="Arial"/>
          <w:b/>
          <w:sz w:val="24"/>
          <w:szCs w:val="24"/>
        </w:rPr>
        <w:t>1.</w:t>
      </w:r>
      <w:r w:rsidR="003C4215" w:rsidRPr="00A10850">
        <w:rPr>
          <w:rFonts w:ascii="Arial" w:hAnsi="Arial" w:cs="Arial"/>
          <w:b/>
          <w:sz w:val="24"/>
          <w:szCs w:val="24"/>
        </w:rPr>
        <w:t>5</w:t>
      </w:r>
      <w:r w:rsidRPr="00A10850">
        <w:rPr>
          <w:rFonts w:ascii="Arial" w:hAnsi="Arial" w:cs="Arial"/>
          <w:b/>
          <w:sz w:val="24"/>
          <w:szCs w:val="24"/>
        </w:rPr>
        <w:t xml:space="preserve">.2 </w:t>
      </w:r>
      <w:r w:rsidR="004654D5" w:rsidRPr="00A10850">
        <w:rPr>
          <w:rFonts w:ascii="Arial" w:hAnsi="Arial" w:cs="Arial"/>
          <w:b/>
          <w:sz w:val="24"/>
          <w:szCs w:val="24"/>
        </w:rPr>
        <w:t>PNA</w:t>
      </w:r>
      <w:r w:rsidR="001C2352" w:rsidRPr="00A10850">
        <w:rPr>
          <w:rFonts w:ascii="Arial" w:hAnsi="Arial" w:cs="Arial"/>
          <w:b/>
          <w:sz w:val="24"/>
          <w:szCs w:val="24"/>
        </w:rPr>
        <w:t xml:space="preserve"> localities</w:t>
      </w:r>
    </w:p>
    <w:p w14:paraId="6C5A1E9A" w14:textId="77777777" w:rsidR="001C2352" w:rsidRPr="00A10850" w:rsidRDefault="001C2352" w:rsidP="00DC54F7">
      <w:pPr>
        <w:spacing w:after="0" w:line="240" w:lineRule="auto"/>
        <w:jc w:val="both"/>
        <w:rPr>
          <w:rFonts w:ascii="Arial" w:hAnsi="Arial" w:cs="Arial"/>
          <w:b/>
        </w:rPr>
      </w:pPr>
    </w:p>
    <w:p w14:paraId="7EAC4C4E" w14:textId="347AD747" w:rsidR="00EB438F" w:rsidRPr="00A54D55" w:rsidRDefault="00CF6433" w:rsidP="00DC54F7">
      <w:pPr>
        <w:spacing w:after="0" w:line="240" w:lineRule="auto"/>
        <w:jc w:val="both"/>
        <w:rPr>
          <w:rFonts w:ascii="Arial" w:hAnsi="Arial" w:cs="Arial"/>
          <w:sz w:val="24"/>
          <w:szCs w:val="24"/>
        </w:rPr>
      </w:pPr>
      <w:r w:rsidRPr="00A54D55">
        <w:rPr>
          <w:rFonts w:ascii="Arial" w:hAnsi="Arial" w:cs="Arial"/>
          <w:sz w:val="24"/>
          <w:szCs w:val="24"/>
        </w:rPr>
        <w:t xml:space="preserve">In Wales there are 64 </w:t>
      </w:r>
      <w:r w:rsidR="00F81E75" w:rsidRPr="00A54D55">
        <w:rPr>
          <w:rFonts w:ascii="Arial" w:hAnsi="Arial" w:cs="Arial"/>
          <w:sz w:val="24"/>
          <w:szCs w:val="24"/>
        </w:rPr>
        <w:t xml:space="preserve">primary care </w:t>
      </w:r>
      <w:r w:rsidRPr="00A54D55">
        <w:rPr>
          <w:rFonts w:ascii="Arial" w:hAnsi="Arial" w:cs="Arial"/>
          <w:sz w:val="24"/>
          <w:szCs w:val="24"/>
        </w:rPr>
        <w:t>clusters, each serving a population between 25,000 and 100,000. The</w:t>
      </w:r>
      <w:r w:rsidR="00343849" w:rsidRPr="00A54D55">
        <w:rPr>
          <w:rFonts w:ascii="Arial" w:hAnsi="Arial" w:cs="Arial"/>
          <w:sz w:val="24"/>
          <w:szCs w:val="24"/>
        </w:rPr>
        <w:t xml:space="preserve"> clusters</w:t>
      </w:r>
      <w:r w:rsidRPr="00A54D55">
        <w:rPr>
          <w:rFonts w:ascii="Arial" w:hAnsi="Arial" w:cs="Arial"/>
          <w:sz w:val="24"/>
          <w:szCs w:val="24"/>
        </w:rPr>
        <w:t xml:space="preserve"> are tasked with improving access to</w:t>
      </w:r>
      <w:r w:rsidR="00813A57" w:rsidRPr="00A54D55">
        <w:rPr>
          <w:rFonts w:ascii="Arial" w:hAnsi="Arial" w:cs="Arial"/>
          <w:sz w:val="24"/>
          <w:szCs w:val="24"/>
        </w:rPr>
        <w:t>,</w:t>
      </w:r>
      <w:r w:rsidRPr="00A54D55">
        <w:rPr>
          <w:rFonts w:ascii="Arial" w:hAnsi="Arial" w:cs="Arial"/>
          <w:sz w:val="24"/>
          <w:szCs w:val="24"/>
        </w:rPr>
        <w:t xml:space="preserve"> and the quality of</w:t>
      </w:r>
      <w:r w:rsidR="00813A57" w:rsidRPr="00A54D55">
        <w:rPr>
          <w:rFonts w:ascii="Arial" w:hAnsi="Arial" w:cs="Arial"/>
          <w:sz w:val="24"/>
          <w:szCs w:val="24"/>
        </w:rPr>
        <w:t>,</w:t>
      </w:r>
      <w:r w:rsidRPr="00A54D55">
        <w:rPr>
          <w:rFonts w:ascii="Arial" w:hAnsi="Arial" w:cs="Arial"/>
          <w:sz w:val="24"/>
          <w:szCs w:val="24"/>
        </w:rPr>
        <w:t xml:space="preserve"> primary care to deliver improved local health and wellbeing and reduced health inequalities.</w:t>
      </w:r>
      <w:r w:rsidR="000E10F7" w:rsidRPr="00A54D55">
        <w:rPr>
          <w:rFonts w:ascii="Arial" w:hAnsi="Arial" w:cs="Arial"/>
          <w:sz w:val="24"/>
          <w:szCs w:val="24"/>
        </w:rPr>
        <w:t xml:space="preserve"> In Cardiff and Vale University Health Board there are nine </w:t>
      </w:r>
      <w:r w:rsidR="00F81E75" w:rsidRPr="00A54D55">
        <w:rPr>
          <w:rFonts w:ascii="Arial" w:hAnsi="Arial" w:cs="Arial"/>
          <w:sz w:val="24"/>
          <w:szCs w:val="24"/>
        </w:rPr>
        <w:t xml:space="preserve">primary care </w:t>
      </w:r>
      <w:r w:rsidR="00EB438F" w:rsidRPr="00A54D55">
        <w:rPr>
          <w:rFonts w:ascii="Arial" w:hAnsi="Arial" w:cs="Arial"/>
          <w:sz w:val="24"/>
          <w:szCs w:val="24"/>
        </w:rPr>
        <w:t>clusters</w:t>
      </w:r>
      <w:r w:rsidR="005D2E0F" w:rsidRPr="00A54D55">
        <w:rPr>
          <w:rFonts w:ascii="Arial" w:hAnsi="Arial" w:cs="Arial"/>
          <w:sz w:val="24"/>
          <w:szCs w:val="24"/>
        </w:rPr>
        <w:t>.</w:t>
      </w:r>
    </w:p>
    <w:p w14:paraId="7A805D2B" w14:textId="77777777" w:rsidR="00EB438F" w:rsidRPr="00A54D55" w:rsidRDefault="00EB438F" w:rsidP="00DC54F7">
      <w:pPr>
        <w:spacing w:after="0" w:line="240" w:lineRule="auto"/>
        <w:jc w:val="both"/>
        <w:rPr>
          <w:rFonts w:ascii="Arial" w:hAnsi="Arial" w:cs="Arial"/>
          <w:sz w:val="24"/>
          <w:szCs w:val="24"/>
        </w:rPr>
      </w:pPr>
    </w:p>
    <w:p w14:paraId="2BDBD229" w14:textId="1EAACFDC" w:rsidR="00EB438F" w:rsidRPr="00A54D55" w:rsidRDefault="006A7B2A" w:rsidP="00DC54F7">
      <w:pPr>
        <w:spacing w:after="0" w:line="240" w:lineRule="auto"/>
        <w:jc w:val="both"/>
        <w:rPr>
          <w:rFonts w:ascii="Arial" w:hAnsi="Arial" w:cs="Arial"/>
          <w:sz w:val="24"/>
          <w:szCs w:val="24"/>
        </w:rPr>
      </w:pPr>
      <w:r w:rsidRPr="00A54D55">
        <w:rPr>
          <w:rFonts w:ascii="Arial" w:hAnsi="Arial" w:cs="Arial"/>
          <w:sz w:val="24"/>
          <w:szCs w:val="24"/>
        </w:rPr>
        <w:t>The PNA localities that have been used for the PNA match the boundaries of the</w:t>
      </w:r>
      <w:r w:rsidR="004C0082" w:rsidRPr="00A54D55">
        <w:rPr>
          <w:rFonts w:ascii="Arial" w:hAnsi="Arial" w:cs="Arial"/>
          <w:sz w:val="24"/>
          <w:szCs w:val="24"/>
        </w:rPr>
        <w:t>se</w:t>
      </w:r>
      <w:r w:rsidRPr="00A54D55">
        <w:rPr>
          <w:rFonts w:ascii="Arial" w:hAnsi="Arial" w:cs="Arial"/>
          <w:sz w:val="24"/>
          <w:szCs w:val="24"/>
        </w:rPr>
        <w:t xml:space="preserve"> nine clusters that make up the combined Cardiff and Vale University Health Board area</w:t>
      </w:r>
      <w:r w:rsidR="004C0082" w:rsidRPr="00A54D55">
        <w:rPr>
          <w:rFonts w:ascii="Arial" w:hAnsi="Arial" w:cs="Arial"/>
          <w:sz w:val="24"/>
          <w:szCs w:val="24"/>
        </w:rPr>
        <w:t>, namely:</w:t>
      </w:r>
    </w:p>
    <w:p w14:paraId="27DE6312" w14:textId="77777777" w:rsidR="00EB438F" w:rsidRPr="00A54D55" w:rsidRDefault="00EB438F" w:rsidP="00DC54F7">
      <w:pPr>
        <w:spacing w:after="0" w:line="240" w:lineRule="auto"/>
        <w:jc w:val="both"/>
        <w:rPr>
          <w:rFonts w:ascii="Arial" w:hAnsi="Arial" w:cs="Arial"/>
          <w:sz w:val="24"/>
          <w:szCs w:val="24"/>
        </w:rPr>
      </w:pPr>
    </w:p>
    <w:p w14:paraId="51B0BBBA" w14:textId="77777777" w:rsidR="00421164" w:rsidRPr="00A54D55" w:rsidRDefault="00421164" w:rsidP="00DC54F7">
      <w:pPr>
        <w:pStyle w:val="ListParagraph"/>
        <w:numPr>
          <w:ilvl w:val="0"/>
          <w:numId w:val="64"/>
        </w:numPr>
        <w:spacing w:after="0" w:line="240" w:lineRule="auto"/>
        <w:jc w:val="both"/>
        <w:rPr>
          <w:rFonts w:ascii="Arial" w:hAnsi="Arial" w:cs="Arial"/>
          <w:sz w:val="24"/>
          <w:szCs w:val="24"/>
        </w:rPr>
      </w:pPr>
      <w:r w:rsidRPr="00A54D55">
        <w:rPr>
          <w:rFonts w:ascii="Arial" w:hAnsi="Arial" w:cs="Arial"/>
          <w:sz w:val="24"/>
          <w:szCs w:val="24"/>
        </w:rPr>
        <w:t>Cardiff North</w:t>
      </w:r>
    </w:p>
    <w:p w14:paraId="041EBFCA" w14:textId="77777777" w:rsidR="00421164" w:rsidRPr="00A54D55" w:rsidRDefault="00421164" w:rsidP="00DC54F7">
      <w:pPr>
        <w:pStyle w:val="ListParagraph"/>
        <w:numPr>
          <w:ilvl w:val="0"/>
          <w:numId w:val="64"/>
        </w:numPr>
        <w:spacing w:after="0" w:line="240" w:lineRule="auto"/>
        <w:jc w:val="both"/>
        <w:rPr>
          <w:rFonts w:ascii="Arial" w:hAnsi="Arial" w:cs="Arial"/>
          <w:sz w:val="24"/>
          <w:szCs w:val="24"/>
        </w:rPr>
      </w:pPr>
      <w:r w:rsidRPr="00A54D55">
        <w:rPr>
          <w:rFonts w:ascii="Arial" w:hAnsi="Arial" w:cs="Arial"/>
          <w:sz w:val="24"/>
          <w:szCs w:val="24"/>
        </w:rPr>
        <w:t>Cardiff West</w:t>
      </w:r>
    </w:p>
    <w:p w14:paraId="136509A7" w14:textId="2AB06D78" w:rsidR="00EB438F" w:rsidRPr="00A54D55" w:rsidRDefault="00421164" w:rsidP="00DC54F7">
      <w:pPr>
        <w:pStyle w:val="ListParagraph"/>
        <w:numPr>
          <w:ilvl w:val="0"/>
          <w:numId w:val="64"/>
        </w:numPr>
        <w:spacing w:after="0" w:line="240" w:lineRule="auto"/>
        <w:jc w:val="both"/>
        <w:rPr>
          <w:rFonts w:ascii="Arial" w:hAnsi="Arial" w:cs="Arial"/>
          <w:sz w:val="24"/>
          <w:szCs w:val="24"/>
        </w:rPr>
      </w:pPr>
      <w:r w:rsidRPr="00A54D55">
        <w:rPr>
          <w:rFonts w:ascii="Arial" w:hAnsi="Arial" w:cs="Arial"/>
          <w:sz w:val="24"/>
          <w:szCs w:val="24"/>
        </w:rPr>
        <w:t>Cardiff South West</w:t>
      </w:r>
    </w:p>
    <w:p w14:paraId="6DE44895" w14:textId="77777777" w:rsidR="00421164" w:rsidRPr="00A54D55" w:rsidRDefault="00421164" w:rsidP="00DC54F7">
      <w:pPr>
        <w:pStyle w:val="ListParagraph"/>
        <w:numPr>
          <w:ilvl w:val="0"/>
          <w:numId w:val="64"/>
        </w:numPr>
        <w:spacing w:after="0" w:line="240" w:lineRule="auto"/>
        <w:jc w:val="both"/>
        <w:rPr>
          <w:rFonts w:ascii="Arial" w:hAnsi="Arial" w:cs="Arial"/>
          <w:sz w:val="24"/>
          <w:szCs w:val="24"/>
        </w:rPr>
      </w:pPr>
      <w:r w:rsidRPr="00A54D55">
        <w:rPr>
          <w:rFonts w:ascii="Arial" w:hAnsi="Arial" w:cs="Arial"/>
          <w:sz w:val="24"/>
          <w:szCs w:val="24"/>
        </w:rPr>
        <w:t>Cardiff East</w:t>
      </w:r>
    </w:p>
    <w:p w14:paraId="69C17EBA" w14:textId="77777777" w:rsidR="00421164" w:rsidRPr="00A54D55" w:rsidRDefault="00421164" w:rsidP="00DC54F7">
      <w:pPr>
        <w:pStyle w:val="ListParagraph"/>
        <w:numPr>
          <w:ilvl w:val="0"/>
          <w:numId w:val="64"/>
        </w:numPr>
        <w:spacing w:after="0" w:line="240" w:lineRule="auto"/>
        <w:jc w:val="both"/>
        <w:rPr>
          <w:rFonts w:ascii="Arial" w:hAnsi="Arial" w:cs="Arial"/>
          <w:sz w:val="24"/>
          <w:szCs w:val="24"/>
        </w:rPr>
      </w:pPr>
      <w:r w:rsidRPr="00A54D55">
        <w:rPr>
          <w:rFonts w:ascii="Arial" w:hAnsi="Arial" w:cs="Arial"/>
          <w:sz w:val="24"/>
          <w:szCs w:val="24"/>
        </w:rPr>
        <w:t>Cardiff South East</w:t>
      </w:r>
    </w:p>
    <w:p w14:paraId="42129467" w14:textId="4F927905" w:rsidR="00421164" w:rsidRPr="00A54D55" w:rsidRDefault="00421164" w:rsidP="00DC54F7">
      <w:pPr>
        <w:pStyle w:val="ListParagraph"/>
        <w:numPr>
          <w:ilvl w:val="0"/>
          <w:numId w:val="64"/>
        </w:numPr>
        <w:spacing w:after="0" w:line="240" w:lineRule="auto"/>
        <w:jc w:val="both"/>
        <w:rPr>
          <w:rFonts w:ascii="Arial" w:hAnsi="Arial" w:cs="Arial"/>
          <w:sz w:val="24"/>
          <w:szCs w:val="24"/>
        </w:rPr>
      </w:pPr>
      <w:r w:rsidRPr="00A54D55">
        <w:rPr>
          <w:rFonts w:ascii="Arial" w:hAnsi="Arial" w:cs="Arial"/>
          <w:sz w:val="24"/>
          <w:szCs w:val="24"/>
        </w:rPr>
        <w:t>Cardiff City and South</w:t>
      </w:r>
    </w:p>
    <w:p w14:paraId="32DAA2F5" w14:textId="77777777" w:rsidR="00421164" w:rsidRPr="00A54D55" w:rsidRDefault="00421164" w:rsidP="00DC54F7">
      <w:pPr>
        <w:pStyle w:val="ListParagraph"/>
        <w:numPr>
          <w:ilvl w:val="0"/>
          <w:numId w:val="64"/>
        </w:numPr>
        <w:spacing w:after="0" w:line="240" w:lineRule="auto"/>
        <w:jc w:val="both"/>
        <w:rPr>
          <w:rFonts w:ascii="Arial" w:hAnsi="Arial" w:cs="Arial"/>
          <w:sz w:val="24"/>
          <w:szCs w:val="24"/>
        </w:rPr>
      </w:pPr>
      <w:r w:rsidRPr="00A54D55">
        <w:rPr>
          <w:rFonts w:ascii="Arial" w:hAnsi="Arial" w:cs="Arial"/>
          <w:sz w:val="24"/>
          <w:szCs w:val="24"/>
        </w:rPr>
        <w:t>Western Vale</w:t>
      </w:r>
    </w:p>
    <w:p w14:paraId="08AA6800" w14:textId="77777777" w:rsidR="00421164" w:rsidRPr="00A54D55" w:rsidRDefault="00421164" w:rsidP="00DC54F7">
      <w:pPr>
        <w:pStyle w:val="ListParagraph"/>
        <w:numPr>
          <w:ilvl w:val="0"/>
          <w:numId w:val="64"/>
        </w:numPr>
        <w:spacing w:after="0" w:line="240" w:lineRule="auto"/>
        <w:jc w:val="both"/>
        <w:rPr>
          <w:rFonts w:ascii="Arial" w:hAnsi="Arial" w:cs="Arial"/>
          <w:sz w:val="24"/>
          <w:szCs w:val="24"/>
        </w:rPr>
      </w:pPr>
      <w:r w:rsidRPr="00A54D55">
        <w:rPr>
          <w:rFonts w:ascii="Arial" w:hAnsi="Arial" w:cs="Arial"/>
          <w:sz w:val="24"/>
          <w:szCs w:val="24"/>
        </w:rPr>
        <w:t>Central Vale</w:t>
      </w:r>
    </w:p>
    <w:p w14:paraId="2A2778FF" w14:textId="0C64770F" w:rsidR="00421164" w:rsidRPr="00A54D55" w:rsidRDefault="00421164" w:rsidP="00DC54F7">
      <w:pPr>
        <w:pStyle w:val="ListParagraph"/>
        <w:numPr>
          <w:ilvl w:val="0"/>
          <w:numId w:val="64"/>
        </w:numPr>
        <w:spacing w:after="0" w:line="240" w:lineRule="auto"/>
        <w:jc w:val="both"/>
        <w:rPr>
          <w:rFonts w:ascii="Arial" w:hAnsi="Arial" w:cs="Arial"/>
          <w:sz w:val="24"/>
          <w:szCs w:val="24"/>
        </w:rPr>
      </w:pPr>
      <w:r w:rsidRPr="00A54D55">
        <w:rPr>
          <w:rFonts w:ascii="Arial" w:hAnsi="Arial" w:cs="Arial"/>
          <w:sz w:val="24"/>
          <w:szCs w:val="24"/>
        </w:rPr>
        <w:t>Eastern Vale</w:t>
      </w:r>
    </w:p>
    <w:p w14:paraId="586A7178" w14:textId="77777777" w:rsidR="00421164" w:rsidRPr="00A54D55" w:rsidRDefault="000E10F7" w:rsidP="00DC54F7">
      <w:pPr>
        <w:spacing w:after="0" w:line="240" w:lineRule="auto"/>
        <w:jc w:val="both"/>
        <w:rPr>
          <w:rFonts w:ascii="Arial" w:hAnsi="Arial" w:cs="Arial"/>
          <w:sz w:val="24"/>
          <w:szCs w:val="24"/>
        </w:rPr>
      </w:pPr>
      <w:r w:rsidRPr="00A54D55">
        <w:rPr>
          <w:rFonts w:ascii="Arial" w:hAnsi="Arial" w:cs="Arial"/>
          <w:sz w:val="24"/>
          <w:szCs w:val="24"/>
        </w:rPr>
        <w:t xml:space="preserve"> </w:t>
      </w:r>
    </w:p>
    <w:p w14:paraId="63D4D97A" w14:textId="1ED9987A" w:rsidR="002F6DC5" w:rsidRPr="00A54D55" w:rsidRDefault="006E6B5C" w:rsidP="00DC54F7">
      <w:pPr>
        <w:spacing w:after="0" w:line="240" w:lineRule="auto"/>
        <w:jc w:val="both"/>
        <w:rPr>
          <w:rFonts w:ascii="Arial" w:hAnsi="Arial" w:cs="Arial"/>
          <w:sz w:val="24"/>
          <w:szCs w:val="24"/>
        </w:rPr>
      </w:pPr>
      <w:r w:rsidRPr="00A54D55">
        <w:rPr>
          <w:rFonts w:ascii="Arial" w:hAnsi="Arial" w:cs="Arial"/>
          <w:sz w:val="24"/>
          <w:szCs w:val="24"/>
        </w:rPr>
        <w:t>Within Cardiff and Vale University Health Board area, t</w:t>
      </w:r>
      <w:r w:rsidR="000E10F7" w:rsidRPr="00A54D55">
        <w:rPr>
          <w:rFonts w:ascii="Arial" w:hAnsi="Arial" w:cs="Arial"/>
          <w:sz w:val="24"/>
          <w:szCs w:val="24"/>
        </w:rPr>
        <w:t>he nine clusters are divided evenly between three localities</w:t>
      </w:r>
      <w:r w:rsidR="00A52A00" w:rsidRPr="00A54D55">
        <w:rPr>
          <w:rFonts w:ascii="Arial" w:hAnsi="Arial" w:cs="Arial"/>
          <w:sz w:val="24"/>
          <w:szCs w:val="24"/>
        </w:rPr>
        <w:t xml:space="preserve">, </w:t>
      </w:r>
      <w:r w:rsidR="000E10F7" w:rsidRPr="00A54D55">
        <w:rPr>
          <w:rFonts w:ascii="Arial" w:hAnsi="Arial" w:cs="Arial"/>
          <w:sz w:val="24"/>
          <w:szCs w:val="24"/>
        </w:rPr>
        <w:t xml:space="preserve">which fall within two </w:t>
      </w:r>
      <w:r w:rsidR="00921AA3" w:rsidRPr="00A54D55">
        <w:rPr>
          <w:rFonts w:ascii="Arial" w:hAnsi="Arial" w:cs="Arial"/>
          <w:sz w:val="24"/>
          <w:szCs w:val="24"/>
        </w:rPr>
        <w:t xml:space="preserve">Borough Councils or </w:t>
      </w:r>
      <w:r w:rsidR="000E10F7" w:rsidRPr="00A54D55">
        <w:rPr>
          <w:rFonts w:ascii="Arial" w:hAnsi="Arial" w:cs="Arial"/>
          <w:sz w:val="24"/>
          <w:szCs w:val="24"/>
        </w:rPr>
        <w:t>local authorities</w:t>
      </w:r>
      <w:r w:rsidR="00C54892" w:rsidRPr="00A54D55">
        <w:rPr>
          <w:rFonts w:ascii="Arial" w:hAnsi="Arial" w:cs="Arial"/>
          <w:sz w:val="24"/>
          <w:szCs w:val="24"/>
        </w:rPr>
        <w:t xml:space="preserve"> as shown below in table 1.1.</w:t>
      </w:r>
    </w:p>
    <w:p w14:paraId="1CBB561E" w14:textId="59E36F8C" w:rsidR="00C868FB" w:rsidRDefault="00C868FB" w:rsidP="00DC54F7">
      <w:pPr>
        <w:spacing w:after="0" w:line="240" w:lineRule="auto"/>
        <w:jc w:val="both"/>
        <w:rPr>
          <w:rFonts w:ascii="Arial" w:hAnsi="Arial" w:cs="Arial"/>
        </w:rPr>
      </w:pPr>
    </w:p>
    <w:p w14:paraId="3CEBAACF" w14:textId="77777777" w:rsidR="00A54D55" w:rsidRDefault="00A54D55" w:rsidP="00DC54F7">
      <w:pPr>
        <w:spacing w:after="0" w:line="240" w:lineRule="auto"/>
        <w:jc w:val="both"/>
        <w:rPr>
          <w:rFonts w:ascii="Arial" w:hAnsi="Arial" w:cs="Arial"/>
          <w:b/>
          <w:bCs/>
        </w:rPr>
      </w:pPr>
    </w:p>
    <w:p w14:paraId="22A04575" w14:textId="77777777" w:rsidR="00A54D55" w:rsidRDefault="00A54D55" w:rsidP="00DC54F7">
      <w:pPr>
        <w:spacing w:after="0" w:line="240" w:lineRule="auto"/>
        <w:jc w:val="both"/>
        <w:rPr>
          <w:rFonts w:ascii="Arial" w:hAnsi="Arial" w:cs="Arial"/>
          <w:b/>
          <w:bCs/>
        </w:rPr>
      </w:pPr>
    </w:p>
    <w:p w14:paraId="70F61C7F" w14:textId="27521C80" w:rsidR="00A54D55" w:rsidRDefault="00A54D55" w:rsidP="00DC54F7">
      <w:pPr>
        <w:jc w:val="both"/>
        <w:rPr>
          <w:rFonts w:ascii="Arial" w:hAnsi="Arial" w:cs="Arial"/>
          <w:b/>
          <w:bCs/>
        </w:rPr>
      </w:pPr>
      <w:r>
        <w:rPr>
          <w:rFonts w:ascii="Arial" w:hAnsi="Arial" w:cs="Arial"/>
          <w:b/>
          <w:bCs/>
        </w:rPr>
        <w:br w:type="page"/>
      </w:r>
    </w:p>
    <w:p w14:paraId="33FDB27B" w14:textId="7995554B" w:rsidR="00CC1954" w:rsidRPr="00A54D55" w:rsidRDefault="00C868FB" w:rsidP="00DC54F7">
      <w:pPr>
        <w:spacing w:after="0" w:line="240" w:lineRule="auto"/>
        <w:jc w:val="both"/>
        <w:rPr>
          <w:rFonts w:ascii="Arial" w:hAnsi="Arial" w:cs="Arial"/>
          <w:b/>
          <w:bCs/>
          <w:sz w:val="24"/>
          <w:szCs w:val="24"/>
        </w:rPr>
      </w:pPr>
      <w:r w:rsidRPr="00A54D55">
        <w:rPr>
          <w:rFonts w:ascii="Arial" w:hAnsi="Arial" w:cs="Arial"/>
          <w:b/>
          <w:bCs/>
          <w:sz w:val="24"/>
          <w:szCs w:val="24"/>
        </w:rPr>
        <w:lastRenderedPageBreak/>
        <w:t>Table</w:t>
      </w:r>
      <w:r w:rsidR="00200751" w:rsidRPr="00A54D55">
        <w:rPr>
          <w:rFonts w:ascii="Arial" w:hAnsi="Arial" w:cs="Arial"/>
          <w:b/>
          <w:bCs/>
          <w:sz w:val="24"/>
          <w:szCs w:val="24"/>
        </w:rPr>
        <w:t xml:space="preserve"> </w:t>
      </w:r>
      <w:r w:rsidRPr="00A54D55">
        <w:rPr>
          <w:rFonts w:ascii="Arial" w:hAnsi="Arial" w:cs="Arial"/>
          <w:b/>
          <w:bCs/>
          <w:sz w:val="24"/>
          <w:szCs w:val="24"/>
        </w:rPr>
        <w:t xml:space="preserve">1.1: </w:t>
      </w:r>
      <w:r w:rsidR="007328EE" w:rsidRPr="00A54D55">
        <w:rPr>
          <w:rFonts w:ascii="Arial" w:hAnsi="Arial" w:cs="Arial"/>
          <w:b/>
          <w:bCs/>
          <w:sz w:val="24"/>
          <w:szCs w:val="24"/>
        </w:rPr>
        <w:t>Clusters</w:t>
      </w:r>
      <w:r w:rsidR="006974F9" w:rsidRPr="00A54D55">
        <w:rPr>
          <w:rFonts w:ascii="Arial" w:hAnsi="Arial" w:cs="Arial"/>
          <w:b/>
          <w:bCs/>
          <w:sz w:val="24"/>
          <w:szCs w:val="24"/>
        </w:rPr>
        <w:t>, localities and local authorities within Cardiff and Vale University Health Board</w:t>
      </w:r>
    </w:p>
    <w:tbl>
      <w:tblPr>
        <w:tblW w:w="8925"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975"/>
        <w:gridCol w:w="2256"/>
        <w:gridCol w:w="719"/>
        <w:gridCol w:w="2975"/>
      </w:tblGrid>
      <w:tr w:rsidR="00BF17FB" w:rsidRPr="00BF17FB" w14:paraId="23C765CF" w14:textId="77777777" w:rsidTr="00AA33D6">
        <w:trPr>
          <w:trHeight w:val="567"/>
        </w:trPr>
        <w:tc>
          <w:tcPr>
            <w:tcW w:w="8925" w:type="dxa"/>
            <w:gridSpan w:val="4"/>
            <w:tcBorders>
              <w:top w:val="nil"/>
              <w:left w:val="nil"/>
              <w:bottom w:val="nil"/>
              <w:right w:val="nil"/>
            </w:tcBorders>
            <w:shd w:val="clear" w:color="000000" w:fill="8EA9DB"/>
            <w:vAlign w:val="center"/>
            <w:hideMark/>
          </w:tcPr>
          <w:p w14:paraId="6609DF46" w14:textId="77777777" w:rsidR="00BF17FB" w:rsidRPr="00BF17FB" w:rsidRDefault="00BF17FB" w:rsidP="00DC54F7">
            <w:pPr>
              <w:spacing w:after="0" w:line="240" w:lineRule="auto"/>
              <w:jc w:val="both"/>
              <w:rPr>
                <w:rFonts w:ascii="Arial" w:eastAsia="Times New Roman" w:hAnsi="Arial" w:cs="Arial"/>
                <w:b/>
                <w:bCs/>
                <w:color w:val="FFFFFF" w:themeColor="background1"/>
                <w:sz w:val="28"/>
                <w:szCs w:val="28"/>
                <w:lang w:eastAsia="en-GB"/>
              </w:rPr>
            </w:pPr>
            <w:r w:rsidRPr="00BF17FB">
              <w:rPr>
                <w:rFonts w:ascii="Arial" w:eastAsia="Times New Roman" w:hAnsi="Arial" w:cs="Arial"/>
                <w:b/>
                <w:bCs/>
                <w:color w:val="FFFFFF" w:themeColor="background1"/>
                <w:sz w:val="28"/>
                <w:szCs w:val="28"/>
                <w:lang w:eastAsia="en-GB"/>
              </w:rPr>
              <w:t xml:space="preserve">Cardiff and Vale </w:t>
            </w:r>
            <w:r w:rsidRPr="002F6DC5">
              <w:rPr>
                <w:rFonts w:ascii="Arial" w:eastAsia="Times New Roman" w:hAnsi="Arial" w:cs="Arial"/>
                <w:b/>
                <w:bCs/>
                <w:color w:val="FFFFFF" w:themeColor="background1"/>
                <w:sz w:val="28"/>
                <w:szCs w:val="28"/>
                <w:lang w:eastAsia="en-GB"/>
              </w:rPr>
              <w:t>University</w:t>
            </w:r>
            <w:r w:rsidRPr="00BF17FB">
              <w:rPr>
                <w:rFonts w:ascii="Arial" w:eastAsia="Times New Roman" w:hAnsi="Arial" w:cs="Arial"/>
                <w:b/>
                <w:bCs/>
                <w:color w:val="FFFFFF" w:themeColor="background1"/>
                <w:sz w:val="28"/>
                <w:szCs w:val="28"/>
                <w:lang w:eastAsia="en-GB"/>
              </w:rPr>
              <w:t xml:space="preserve"> Health Board</w:t>
            </w:r>
          </w:p>
        </w:tc>
      </w:tr>
      <w:tr w:rsidR="00506489" w:rsidRPr="00BF17FB" w14:paraId="2513E63A" w14:textId="77777777" w:rsidTr="00AA33D6">
        <w:trPr>
          <w:trHeight w:val="567"/>
        </w:trPr>
        <w:tc>
          <w:tcPr>
            <w:tcW w:w="2975" w:type="dxa"/>
            <w:tcBorders>
              <w:top w:val="nil"/>
              <w:left w:val="nil"/>
              <w:bottom w:val="nil"/>
            </w:tcBorders>
            <w:shd w:val="clear" w:color="auto" w:fill="95B3D7" w:themeFill="accent1" w:themeFillTint="99"/>
            <w:vAlign w:val="center"/>
            <w:hideMark/>
          </w:tcPr>
          <w:p w14:paraId="6B4852DA" w14:textId="77777777" w:rsidR="00BF17FB" w:rsidRPr="002F6DC5" w:rsidRDefault="00BF17FB" w:rsidP="00DC54F7">
            <w:pPr>
              <w:spacing w:after="0" w:line="240" w:lineRule="auto"/>
              <w:jc w:val="both"/>
              <w:rPr>
                <w:rFonts w:ascii="Arial" w:eastAsia="Times New Roman" w:hAnsi="Arial" w:cs="Arial"/>
                <w:b/>
                <w:bCs/>
                <w:color w:val="FFFFFF" w:themeColor="background1"/>
                <w:lang w:eastAsia="en-GB"/>
              </w:rPr>
            </w:pPr>
            <w:r w:rsidRPr="002F6DC5">
              <w:rPr>
                <w:rFonts w:ascii="Arial" w:eastAsia="Times New Roman" w:hAnsi="Arial" w:cs="Arial"/>
                <w:b/>
                <w:bCs/>
                <w:color w:val="FFFFFF" w:themeColor="background1"/>
                <w:lang w:eastAsia="en-GB"/>
              </w:rPr>
              <w:t>North-West Locality</w:t>
            </w:r>
          </w:p>
        </w:tc>
        <w:tc>
          <w:tcPr>
            <w:tcW w:w="2975" w:type="dxa"/>
            <w:gridSpan w:val="2"/>
            <w:tcBorders>
              <w:top w:val="nil"/>
              <w:bottom w:val="nil"/>
            </w:tcBorders>
            <w:shd w:val="clear" w:color="auto" w:fill="95B3D7" w:themeFill="accent1" w:themeFillTint="99"/>
            <w:vAlign w:val="center"/>
            <w:hideMark/>
          </w:tcPr>
          <w:p w14:paraId="509F727A" w14:textId="77777777" w:rsidR="00BF17FB" w:rsidRPr="002F6DC5" w:rsidRDefault="00BF17FB" w:rsidP="00DC54F7">
            <w:pPr>
              <w:spacing w:after="0" w:line="240" w:lineRule="auto"/>
              <w:jc w:val="both"/>
              <w:rPr>
                <w:rFonts w:ascii="Arial" w:eastAsia="Times New Roman" w:hAnsi="Arial" w:cs="Arial"/>
                <w:b/>
                <w:bCs/>
                <w:color w:val="FFFFFF" w:themeColor="background1"/>
                <w:lang w:eastAsia="en-GB"/>
              </w:rPr>
            </w:pPr>
            <w:r w:rsidRPr="002F6DC5">
              <w:rPr>
                <w:rFonts w:ascii="Arial" w:eastAsia="Times New Roman" w:hAnsi="Arial" w:cs="Arial"/>
                <w:b/>
                <w:bCs/>
                <w:color w:val="FFFFFF" w:themeColor="background1"/>
                <w:lang w:eastAsia="en-GB"/>
              </w:rPr>
              <w:t>South-East Locality</w:t>
            </w:r>
          </w:p>
        </w:tc>
        <w:tc>
          <w:tcPr>
            <w:tcW w:w="2975" w:type="dxa"/>
            <w:tcBorders>
              <w:top w:val="nil"/>
              <w:bottom w:val="nil"/>
              <w:right w:val="nil"/>
            </w:tcBorders>
            <w:shd w:val="clear" w:color="auto" w:fill="95B3D7" w:themeFill="accent1" w:themeFillTint="99"/>
            <w:vAlign w:val="center"/>
            <w:hideMark/>
          </w:tcPr>
          <w:p w14:paraId="0FF780C6" w14:textId="77777777" w:rsidR="00BF17FB" w:rsidRPr="002F6DC5" w:rsidRDefault="00BF17FB" w:rsidP="00DC54F7">
            <w:pPr>
              <w:spacing w:after="0" w:line="240" w:lineRule="auto"/>
              <w:jc w:val="both"/>
              <w:rPr>
                <w:rFonts w:ascii="Arial" w:eastAsia="Times New Roman" w:hAnsi="Arial" w:cs="Arial"/>
                <w:b/>
                <w:bCs/>
                <w:color w:val="FFFFFF" w:themeColor="background1"/>
                <w:lang w:eastAsia="en-GB"/>
              </w:rPr>
            </w:pPr>
            <w:r w:rsidRPr="002F6DC5">
              <w:rPr>
                <w:rFonts w:ascii="Arial" w:eastAsia="Times New Roman" w:hAnsi="Arial" w:cs="Arial"/>
                <w:b/>
                <w:bCs/>
                <w:color w:val="FFFFFF" w:themeColor="background1"/>
                <w:lang w:eastAsia="en-GB"/>
              </w:rPr>
              <w:t>Vale Locality</w:t>
            </w:r>
          </w:p>
        </w:tc>
      </w:tr>
      <w:tr w:rsidR="00506489" w:rsidRPr="00BF17FB" w14:paraId="209D192F" w14:textId="77777777" w:rsidTr="00AA33D6">
        <w:trPr>
          <w:trHeight w:val="567"/>
        </w:trPr>
        <w:tc>
          <w:tcPr>
            <w:tcW w:w="2975" w:type="dxa"/>
            <w:tcBorders>
              <w:top w:val="nil"/>
              <w:left w:val="nil"/>
              <w:bottom w:val="single" w:sz="4" w:space="0" w:color="FFFFFF" w:themeColor="background1"/>
              <w:right w:val="nil"/>
            </w:tcBorders>
            <w:shd w:val="clear" w:color="000000" w:fill="B4C6E7"/>
            <w:vAlign w:val="center"/>
            <w:hideMark/>
          </w:tcPr>
          <w:p w14:paraId="0773FEB0" w14:textId="77777777" w:rsidR="00BF17FB" w:rsidRPr="00BF17FB" w:rsidRDefault="00BF17FB" w:rsidP="00DC54F7">
            <w:pPr>
              <w:spacing w:after="0" w:line="240" w:lineRule="auto"/>
              <w:jc w:val="both"/>
              <w:rPr>
                <w:rFonts w:ascii="Arial" w:eastAsia="Times New Roman" w:hAnsi="Arial" w:cs="Arial"/>
                <w:b/>
                <w:bCs/>
                <w:lang w:eastAsia="en-GB"/>
              </w:rPr>
            </w:pPr>
            <w:bookmarkStart w:id="2" w:name="_Hlk65183962"/>
            <w:r w:rsidRPr="00BF17FB">
              <w:rPr>
                <w:rFonts w:ascii="Arial" w:eastAsia="Times New Roman" w:hAnsi="Arial" w:cs="Arial"/>
                <w:b/>
                <w:bCs/>
                <w:lang w:eastAsia="en-GB"/>
              </w:rPr>
              <w:t>Cardiff North</w:t>
            </w:r>
          </w:p>
        </w:tc>
        <w:tc>
          <w:tcPr>
            <w:tcW w:w="2975" w:type="dxa"/>
            <w:gridSpan w:val="2"/>
            <w:tcBorders>
              <w:top w:val="nil"/>
              <w:left w:val="nil"/>
              <w:bottom w:val="single" w:sz="4" w:space="0" w:color="FFFFFF" w:themeColor="background1"/>
              <w:right w:val="nil"/>
            </w:tcBorders>
            <w:shd w:val="clear" w:color="000000" w:fill="D9E1F2"/>
            <w:vAlign w:val="center"/>
            <w:hideMark/>
          </w:tcPr>
          <w:p w14:paraId="07FE6196" w14:textId="77777777" w:rsidR="00BF17FB" w:rsidRPr="00BF17FB" w:rsidRDefault="00BF17FB" w:rsidP="00DC54F7">
            <w:pPr>
              <w:spacing w:after="0" w:line="240" w:lineRule="auto"/>
              <w:jc w:val="both"/>
              <w:rPr>
                <w:rFonts w:ascii="Arial" w:eastAsia="Times New Roman" w:hAnsi="Arial" w:cs="Arial"/>
                <w:b/>
                <w:bCs/>
                <w:lang w:eastAsia="en-GB"/>
              </w:rPr>
            </w:pPr>
            <w:r w:rsidRPr="00BF17FB">
              <w:rPr>
                <w:rFonts w:ascii="Arial" w:eastAsia="Times New Roman" w:hAnsi="Arial" w:cs="Arial"/>
                <w:b/>
                <w:bCs/>
                <w:lang w:eastAsia="en-GB"/>
              </w:rPr>
              <w:t>Cardiff East</w:t>
            </w:r>
          </w:p>
        </w:tc>
        <w:tc>
          <w:tcPr>
            <w:tcW w:w="2975" w:type="dxa"/>
            <w:tcBorders>
              <w:top w:val="nil"/>
              <w:left w:val="nil"/>
              <w:bottom w:val="single" w:sz="4" w:space="0" w:color="FFFFFF" w:themeColor="background1"/>
              <w:right w:val="nil"/>
            </w:tcBorders>
            <w:shd w:val="clear" w:color="000000" w:fill="DDEBF7"/>
            <w:vAlign w:val="center"/>
            <w:hideMark/>
          </w:tcPr>
          <w:p w14:paraId="44F25B15" w14:textId="77777777" w:rsidR="00BF17FB" w:rsidRPr="00BF17FB" w:rsidRDefault="00BF17FB" w:rsidP="00DC54F7">
            <w:pPr>
              <w:spacing w:after="0" w:line="240" w:lineRule="auto"/>
              <w:jc w:val="both"/>
              <w:rPr>
                <w:rFonts w:ascii="Arial" w:eastAsia="Times New Roman" w:hAnsi="Arial" w:cs="Arial"/>
                <w:b/>
                <w:bCs/>
                <w:lang w:eastAsia="en-GB"/>
              </w:rPr>
            </w:pPr>
            <w:r w:rsidRPr="00BF17FB">
              <w:rPr>
                <w:rFonts w:ascii="Arial" w:eastAsia="Times New Roman" w:hAnsi="Arial" w:cs="Arial"/>
                <w:b/>
                <w:bCs/>
                <w:lang w:eastAsia="en-GB"/>
              </w:rPr>
              <w:t>Western Vale</w:t>
            </w:r>
          </w:p>
        </w:tc>
      </w:tr>
      <w:tr w:rsidR="00506489" w:rsidRPr="00BF17FB" w14:paraId="7037B46E" w14:textId="77777777" w:rsidTr="00AA33D6">
        <w:trPr>
          <w:trHeight w:val="567"/>
        </w:trPr>
        <w:tc>
          <w:tcPr>
            <w:tcW w:w="2975" w:type="dxa"/>
            <w:tcBorders>
              <w:top w:val="single" w:sz="4" w:space="0" w:color="FFFFFF" w:themeColor="background1"/>
              <w:left w:val="nil"/>
              <w:bottom w:val="single" w:sz="4" w:space="0" w:color="FFFFFF" w:themeColor="background1"/>
              <w:right w:val="nil"/>
            </w:tcBorders>
            <w:shd w:val="clear" w:color="000000" w:fill="B4C6E7"/>
            <w:vAlign w:val="center"/>
            <w:hideMark/>
          </w:tcPr>
          <w:p w14:paraId="45DBF0C6" w14:textId="77777777" w:rsidR="00BF17FB" w:rsidRPr="00BF17FB" w:rsidRDefault="00BF17FB" w:rsidP="00DC54F7">
            <w:pPr>
              <w:spacing w:after="0" w:line="240" w:lineRule="auto"/>
              <w:jc w:val="both"/>
              <w:rPr>
                <w:rFonts w:ascii="Arial" w:eastAsia="Times New Roman" w:hAnsi="Arial" w:cs="Arial"/>
                <w:b/>
                <w:bCs/>
                <w:lang w:eastAsia="en-GB"/>
              </w:rPr>
            </w:pPr>
            <w:r w:rsidRPr="00BF17FB">
              <w:rPr>
                <w:rFonts w:ascii="Arial" w:eastAsia="Times New Roman" w:hAnsi="Arial" w:cs="Arial"/>
                <w:b/>
                <w:bCs/>
                <w:lang w:eastAsia="en-GB"/>
              </w:rPr>
              <w:t>Cardiff West</w:t>
            </w:r>
          </w:p>
        </w:tc>
        <w:tc>
          <w:tcPr>
            <w:tcW w:w="2975" w:type="dxa"/>
            <w:gridSpan w:val="2"/>
            <w:tcBorders>
              <w:top w:val="single" w:sz="4" w:space="0" w:color="FFFFFF" w:themeColor="background1"/>
              <w:left w:val="nil"/>
              <w:bottom w:val="single" w:sz="4" w:space="0" w:color="FFFFFF" w:themeColor="background1"/>
              <w:right w:val="nil"/>
            </w:tcBorders>
            <w:shd w:val="clear" w:color="000000" w:fill="D9E1F2"/>
            <w:vAlign w:val="center"/>
            <w:hideMark/>
          </w:tcPr>
          <w:p w14:paraId="21B0A776" w14:textId="77777777" w:rsidR="00BF17FB" w:rsidRPr="00BF17FB" w:rsidRDefault="00BF17FB" w:rsidP="00DC54F7">
            <w:pPr>
              <w:spacing w:after="0" w:line="240" w:lineRule="auto"/>
              <w:jc w:val="both"/>
              <w:rPr>
                <w:rFonts w:ascii="Arial" w:eastAsia="Times New Roman" w:hAnsi="Arial" w:cs="Arial"/>
                <w:b/>
                <w:bCs/>
                <w:lang w:eastAsia="en-GB"/>
              </w:rPr>
            </w:pPr>
            <w:r w:rsidRPr="00BF17FB">
              <w:rPr>
                <w:rFonts w:ascii="Arial" w:eastAsia="Times New Roman" w:hAnsi="Arial" w:cs="Arial"/>
                <w:b/>
                <w:bCs/>
                <w:lang w:eastAsia="en-GB"/>
              </w:rPr>
              <w:t>Cardiff South East</w:t>
            </w:r>
          </w:p>
        </w:tc>
        <w:tc>
          <w:tcPr>
            <w:tcW w:w="2975" w:type="dxa"/>
            <w:tcBorders>
              <w:top w:val="single" w:sz="4" w:space="0" w:color="FFFFFF" w:themeColor="background1"/>
              <w:left w:val="nil"/>
              <w:bottom w:val="single" w:sz="4" w:space="0" w:color="FFFFFF" w:themeColor="background1"/>
              <w:right w:val="nil"/>
            </w:tcBorders>
            <w:shd w:val="clear" w:color="000000" w:fill="DDEBF7"/>
            <w:vAlign w:val="center"/>
            <w:hideMark/>
          </w:tcPr>
          <w:p w14:paraId="111510F1" w14:textId="77777777" w:rsidR="00BF17FB" w:rsidRPr="00BF17FB" w:rsidRDefault="00BF17FB" w:rsidP="00DC54F7">
            <w:pPr>
              <w:spacing w:after="0" w:line="240" w:lineRule="auto"/>
              <w:jc w:val="both"/>
              <w:rPr>
                <w:rFonts w:ascii="Arial" w:eastAsia="Times New Roman" w:hAnsi="Arial" w:cs="Arial"/>
                <w:b/>
                <w:bCs/>
                <w:lang w:eastAsia="en-GB"/>
              </w:rPr>
            </w:pPr>
            <w:r w:rsidRPr="00BF17FB">
              <w:rPr>
                <w:rFonts w:ascii="Arial" w:eastAsia="Times New Roman" w:hAnsi="Arial" w:cs="Arial"/>
                <w:b/>
                <w:bCs/>
                <w:lang w:eastAsia="en-GB"/>
              </w:rPr>
              <w:t>Central Vale</w:t>
            </w:r>
          </w:p>
        </w:tc>
      </w:tr>
      <w:tr w:rsidR="00506489" w:rsidRPr="00BF17FB" w14:paraId="0EE8E4E0" w14:textId="77777777" w:rsidTr="00AA33D6">
        <w:trPr>
          <w:trHeight w:val="567"/>
        </w:trPr>
        <w:tc>
          <w:tcPr>
            <w:tcW w:w="2975" w:type="dxa"/>
            <w:tcBorders>
              <w:top w:val="single" w:sz="4" w:space="0" w:color="FFFFFF" w:themeColor="background1"/>
              <w:left w:val="nil"/>
              <w:bottom w:val="nil"/>
              <w:right w:val="nil"/>
            </w:tcBorders>
            <w:shd w:val="clear" w:color="000000" w:fill="B4C6E7"/>
            <w:vAlign w:val="center"/>
            <w:hideMark/>
          </w:tcPr>
          <w:p w14:paraId="2411D9B9" w14:textId="77777777" w:rsidR="00BF17FB" w:rsidRPr="00BF17FB" w:rsidRDefault="00BF17FB" w:rsidP="00DC54F7">
            <w:pPr>
              <w:spacing w:after="0" w:line="240" w:lineRule="auto"/>
              <w:jc w:val="both"/>
              <w:rPr>
                <w:rFonts w:ascii="Arial" w:eastAsia="Times New Roman" w:hAnsi="Arial" w:cs="Arial"/>
                <w:b/>
                <w:bCs/>
                <w:lang w:eastAsia="en-GB"/>
              </w:rPr>
            </w:pPr>
            <w:r w:rsidRPr="00BF17FB">
              <w:rPr>
                <w:rFonts w:ascii="Arial" w:eastAsia="Times New Roman" w:hAnsi="Arial" w:cs="Arial"/>
                <w:b/>
                <w:bCs/>
                <w:lang w:eastAsia="en-GB"/>
              </w:rPr>
              <w:t>Cardiff South West</w:t>
            </w:r>
          </w:p>
        </w:tc>
        <w:tc>
          <w:tcPr>
            <w:tcW w:w="2975" w:type="dxa"/>
            <w:gridSpan w:val="2"/>
            <w:tcBorders>
              <w:top w:val="single" w:sz="4" w:space="0" w:color="FFFFFF" w:themeColor="background1"/>
              <w:left w:val="nil"/>
              <w:bottom w:val="nil"/>
              <w:right w:val="nil"/>
            </w:tcBorders>
            <w:shd w:val="clear" w:color="000000" w:fill="D9E1F2"/>
            <w:vAlign w:val="center"/>
            <w:hideMark/>
          </w:tcPr>
          <w:p w14:paraId="5BDA4820" w14:textId="77777777" w:rsidR="00BF17FB" w:rsidRPr="00BF17FB" w:rsidRDefault="00BF17FB" w:rsidP="00DC54F7">
            <w:pPr>
              <w:spacing w:after="0" w:line="240" w:lineRule="auto"/>
              <w:jc w:val="both"/>
              <w:rPr>
                <w:rFonts w:ascii="Arial" w:eastAsia="Times New Roman" w:hAnsi="Arial" w:cs="Arial"/>
                <w:b/>
                <w:bCs/>
                <w:lang w:eastAsia="en-GB"/>
              </w:rPr>
            </w:pPr>
            <w:r w:rsidRPr="00BF17FB">
              <w:rPr>
                <w:rFonts w:ascii="Arial" w:eastAsia="Times New Roman" w:hAnsi="Arial" w:cs="Arial"/>
                <w:b/>
                <w:bCs/>
                <w:lang w:eastAsia="en-GB"/>
              </w:rPr>
              <w:t>Cardiff City and South</w:t>
            </w:r>
          </w:p>
        </w:tc>
        <w:tc>
          <w:tcPr>
            <w:tcW w:w="2975" w:type="dxa"/>
            <w:tcBorders>
              <w:top w:val="single" w:sz="4" w:space="0" w:color="FFFFFF" w:themeColor="background1"/>
              <w:left w:val="nil"/>
              <w:bottom w:val="nil"/>
              <w:right w:val="nil"/>
            </w:tcBorders>
            <w:shd w:val="clear" w:color="000000" w:fill="DDEBF7"/>
            <w:vAlign w:val="center"/>
            <w:hideMark/>
          </w:tcPr>
          <w:p w14:paraId="600DDD1F" w14:textId="77777777" w:rsidR="00BF17FB" w:rsidRPr="00BF17FB" w:rsidRDefault="00BF17FB" w:rsidP="00DC54F7">
            <w:pPr>
              <w:spacing w:after="0" w:line="240" w:lineRule="auto"/>
              <w:jc w:val="both"/>
              <w:rPr>
                <w:rFonts w:ascii="Arial" w:eastAsia="Times New Roman" w:hAnsi="Arial" w:cs="Arial"/>
                <w:b/>
                <w:bCs/>
                <w:lang w:eastAsia="en-GB"/>
              </w:rPr>
            </w:pPr>
            <w:r w:rsidRPr="00BF17FB">
              <w:rPr>
                <w:rFonts w:ascii="Arial" w:eastAsia="Times New Roman" w:hAnsi="Arial" w:cs="Arial"/>
                <w:b/>
                <w:bCs/>
                <w:lang w:eastAsia="en-GB"/>
              </w:rPr>
              <w:t>Eastern Vale</w:t>
            </w:r>
          </w:p>
        </w:tc>
      </w:tr>
      <w:bookmarkEnd w:id="2"/>
      <w:tr w:rsidR="00C916E3" w:rsidRPr="00BF17FB" w14:paraId="35DE48CC" w14:textId="77777777" w:rsidTr="00AA33D6">
        <w:trPr>
          <w:trHeight w:val="567"/>
        </w:trPr>
        <w:tc>
          <w:tcPr>
            <w:tcW w:w="5231" w:type="dxa"/>
            <w:gridSpan w:val="2"/>
            <w:tcBorders>
              <w:top w:val="nil"/>
              <w:left w:val="nil"/>
              <w:bottom w:val="nil"/>
            </w:tcBorders>
            <w:shd w:val="clear" w:color="auto" w:fill="95B3D7" w:themeFill="accent1" w:themeFillTint="99"/>
            <w:vAlign w:val="center"/>
          </w:tcPr>
          <w:p w14:paraId="37AF2078" w14:textId="64FE3E79" w:rsidR="000C1FAD" w:rsidRDefault="00C916E3" w:rsidP="00DC54F7">
            <w:pPr>
              <w:spacing w:after="0" w:line="240" w:lineRule="auto"/>
              <w:jc w:val="both"/>
              <w:rPr>
                <w:rFonts w:ascii="Arial" w:eastAsia="Times New Roman" w:hAnsi="Arial" w:cs="Arial"/>
                <w:b/>
                <w:bCs/>
                <w:color w:val="FFFFFF" w:themeColor="background1"/>
                <w:lang w:eastAsia="en-GB"/>
              </w:rPr>
            </w:pPr>
            <w:r w:rsidRPr="00BE6075">
              <w:rPr>
                <w:rFonts w:ascii="Arial" w:eastAsia="Times New Roman" w:hAnsi="Arial" w:cs="Arial"/>
                <w:b/>
                <w:bCs/>
                <w:color w:val="FFFFFF" w:themeColor="background1"/>
                <w:lang w:eastAsia="en-GB"/>
              </w:rPr>
              <w:t>C</w:t>
            </w:r>
            <w:r w:rsidR="00BE6075" w:rsidRPr="00BE6075">
              <w:rPr>
                <w:rFonts w:ascii="Arial" w:eastAsia="Times New Roman" w:hAnsi="Arial" w:cs="Arial"/>
                <w:b/>
                <w:bCs/>
                <w:color w:val="FFFFFF" w:themeColor="background1"/>
                <w:lang w:eastAsia="en-GB"/>
              </w:rPr>
              <w:t>ardiff</w:t>
            </w:r>
          </w:p>
          <w:p w14:paraId="176C4294" w14:textId="163984FA" w:rsidR="00C916E3" w:rsidRPr="00BE6075" w:rsidRDefault="00BE6075" w:rsidP="00DC54F7">
            <w:pPr>
              <w:spacing w:after="0" w:line="240" w:lineRule="auto"/>
              <w:jc w:val="both"/>
              <w:rPr>
                <w:rFonts w:ascii="Arial" w:eastAsia="Times New Roman" w:hAnsi="Arial" w:cs="Arial"/>
                <w:b/>
                <w:bCs/>
                <w:color w:val="FFFFFF" w:themeColor="background1"/>
                <w:lang w:eastAsia="en-GB"/>
              </w:rPr>
            </w:pPr>
            <w:r w:rsidRPr="00BE6075">
              <w:rPr>
                <w:rFonts w:ascii="Arial" w:eastAsia="Times New Roman" w:hAnsi="Arial" w:cs="Arial"/>
                <w:b/>
                <w:bCs/>
                <w:color w:val="FFFFFF" w:themeColor="background1"/>
                <w:lang w:eastAsia="en-GB"/>
              </w:rPr>
              <w:t>Local Authority</w:t>
            </w:r>
          </w:p>
        </w:tc>
        <w:tc>
          <w:tcPr>
            <w:tcW w:w="3693" w:type="dxa"/>
            <w:gridSpan w:val="2"/>
            <w:tcBorders>
              <w:top w:val="nil"/>
              <w:bottom w:val="nil"/>
              <w:right w:val="nil"/>
            </w:tcBorders>
            <w:shd w:val="clear" w:color="auto" w:fill="95B3D7" w:themeFill="accent1" w:themeFillTint="99"/>
            <w:vAlign w:val="center"/>
          </w:tcPr>
          <w:p w14:paraId="2081C90E" w14:textId="5950B989" w:rsidR="00470DA4" w:rsidRDefault="00213055" w:rsidP="00DC54F7">
            <w:pPr>
              <w:spacing w:after="0" w:line="240" w:lineRule="auto"/>
              <w:jc w:val="both"/>
              <w:rPr>
                <w:rFonts w:ascii="Arial" w:eastAsia="Times New Roman" w:hAnsi="Arial" w:cs="Arial"/>
                <w:b/>
                <w:bCs/>
                <w:color w:val="FFFFFF" w:themeColor="background1"/>
                <w:lang w:eastAsia="en-GB"/>
              </w:rPr>
            </w:pPr>
            <w:r>
              <w:rPr>
                <w:rFonts w:ascii="Arial" w:eastAsia="Times New Roman" w:hAnsi="Arial" w:cs="Arial"/>
                <w:b/>
                <w:bCs/>
                <w:color w:val="FFFFFF" w:themeColor="background1"/>
                <w:lang w:eastAsia="en-GB"/>
              </w:rPr>
              <w:t xml:space="preserve">The </w:t>
            </w:r>
            <w:r w:rsidR="00BE6075" w:rsidRPr="00094817">
              <w:rPr>
                <w:rFonts w:ascii="Arial" w:eastAsia="Times New Roman" w:hAnsi="Arial" w:cs="Arial"/>
                <w:b/>
                <w:bCs/>
                <w:color w:val="FFFFFF" w:themeColor="background1"/>
                <w:lang w:eastAsia="en-GB"/>
              </w:rPr>
              <w:t>Vale of Glamorgan</w:t>
            </w:r>
          </w:p>
          <w:p w14:paraId="2F42EF2C" w14:textId="75CA17C1" w:rsidR="00C916E3" w:rsidRPr="00094817" w:rsidRDefault="00BE6075" w:rsidP="00DC54F7">
            <w:pPr>
              <w:spacing w:after="0" w:line="240" w:lineRule="auto"/>
              <w:jc w:val="both"/>
              <w:rPr>
                <w:rFonts w:ascii="Arial" w:eastAsia="Times New Roman" w:hAnsi="Arial" w:cs="Arial"/>
                <w:b/>
                <w:bCs/>
                <w:lang w:eastAsia="en-GB"/>
              </w:rPr>
            </w:pPr>
            <w:r w:rsidRPr="00094817">
              <w:rPr>
                <w:rFonts w:ascii="Arial" w:eastAsia="Times New Roman" w:hAnsi="Arial" w:cs="Arial"/>
                <w:b/>
                <w:bCs/>
                <w:color w:val="FFFFFF" w:themeColor="background1"/>
                <w:lang w:eastAsia="en-GB"/>
              </w:rPr>
              <w:t>Local A</w:t>
            </w:r>
            <w:r w:rsidR="00094817" w:rsidRPr="00094817">
              <w:rPr>
                <w:rFonts w:ascii="Arial" w:eastAsia="Times New Roman" w:hAnsi="Arial" w:cs="Arial"/>
                <w:b/>
                <w:bCs/>
                <w:color w:val="FFFFFF" w:themeColor="background1"/>
                <w:lang w:eastAsia="en-GB"/>
              </w:rPr>
              <w:t>uthority</w:t>
            </w:r>
          </w:p>
        </w:tc>
      </w:tr>
    </w:tbl>
    <w:p w14:paraId="026AA2AA" w14:textId="3249086C" w:rsidR="00CC1954" w:rsidRDefault="00CC1954" w:rsidP="00DC54F7">
      <w:pPr>
        <w:spacing w:after="0" w:line="240" w:lineRule="auto"/>
        <w:jc w:val="both"/>
        <w:rPr>
          <w:rFonts w:ascii="Arial" w:hAnsi="Arial" w:cs="Arial"/>
        </w:rPr>
      </w:pPr>
    </w:p>
    <w:p w14:paraId="456072CF" w14:textId="5093CD36" w:rsidR="00D03456" w:rsidRPr="00A54D55" w:rsidRDefault="00C54892" w:rsidP="00DC54F7">
      <w:pPr>
        <w:spacing w:after="0" w:line="240" w:lineRule="auto"/>
        <w:jc w:val="both"/>
        <w:rPr>
          <w:rFonts w:ascii="Arial" w:hAnsi="Arial" w:cs="Arial"/>
          <w:sz w:val="24"/>
          <w:szCs w:val="24"/>
        </w:rPr>
      </w:pPr>
      <w:r w:rsidRPr="00A54D55">
        <w:rPr>
          <w:rFonts w:ascii="Arial" w:hAnsi="Arial" w:cs="Arial"/>
          <w:sz w:val="24"/>
          <w:szCs w:val="24"/>
        </w:rPr>
        <w:t xml:space="preserve">Throughout this document the PNA localities will be referred to as clusters to match the terminology used by Cardiff and Vale University Health Board and to prevent confusion with the </w:t>
      </w:r>
      <w:r w:rsidR="00575111" w:rsidRPr="00A54D55">
        <w:rPr>
          <w:rFonts w:ascii="Arial" w:hAnsi="Arial" w:cs="Arial"/>
          <w:sz w:val="24"/>
          <w:szCs w:val="24"/>
        </w:rPr>
        <w:t>health board</w:t>
      </w:r>
      <w:r w:rsidR="005F3D88" w:rsidRPr="00A54D55">
        <w:rPr>
          <w:rFonts w:ascii="Arial" w:hAnsi="Arial" w:cs="Arial"/>
          <w:sz w:val="24"/>
          <w:szCs w:val="24"/>
        </w:rPr>
        <w:t xml:space="preserve">’s </w:t>
      </w:r>
      <w:r w:rsidR="003D5017" w:rsidRPr="00A54D55">
        <w:rPr>
          <w:rFonts w:ascii="Arial" w:hAnsi="Arial" w:cs="Arial"/>
          <w:sz w:val="24"/>
          <w:szCs w:val="24"/>
        </w:rPr>
        <w:t xml:space="preserve">three </w:t>
      </w:r>
      <w:r w:rsidRPr="00A54D55">
        <w:rPr>
          <w:rFonts w:ascii="Arial" w:hAnsi="Arial" w:cs="Arial"/>
          <w:sz w:val="24"/>
          <w:szCs w:val="24"/>
        </w:rPr>
        <w:t xml:space="preserve">localities.   </w:t>
      </w:r>
    </w:p>
    <w:p w14:paraId="549A01D3" w14:textId="7E48A955" w:rsidR="006E6177" w:rsidRDefault="006E6177" w:rsidP="00DC54F7">
      <w:pPr>
        <w:spacing w:after="0" w:line="240" w:lineRule="auto"/>
        <w:jc w:val="both"/>
        <w:rPr>
          <w:rFonts w:ascii="Arial" w:hAnsi="Arial" w:cs="Arial"/>
        </w:rPr>
      </w:pPr>
    </w:p>
    <w:p w14:paraId="44951BA3" w14:textId="77777777" w:rsidR="00A54D55" w:rsidRPr="00777241" w:rsidRDefault="00A54D55" w:rsidP="00DC54F7">
      <w:pPr>
        <w:spacing w:after="0" w:line="240" w:lineRule="auto"/>
        <w:jc w:val="both"/>
        <w:rPr>
          <w:rFonts w:ascii="Arial" w:hAnsi="Arial" w:cs="Arial"/>
        </w:rPr>
      </w:pPr>
    </w:p>
    <w:p w14:paraId="3344E71A" w14:textId="77777777" w:rsidR="001C2352" w:rsidRPr="00A10850" w:rsidRDefault="006F0A84" w:rsidP="00DC54F7">
      <w:pPr>
        <w:spacing w:after="0" w:line="240" w:lineRule="auto"/>
        <w:jc w:val="both"/>
        <w:rPr>
          <w:rFonts w:ascii="Arial" w:hAnsi="Arial" w:cs="Arial"/>
          <w:b/>
          <w:sz w:val="24"/>
          <w:szCs w:val="24"/>
        </w:rPr>
      </w:pPr>
      <w:r w:rsidRPr="00A10850">
        <w:rPr>
          <w:rFonts w:ascii="Arial" w:hAnsi="Arial" w:cs="Arial"/>
          <w:b/>
          <w:sz w:val="24"/>
          <w:szCs w:val="24"/>
        </w:rPr>
        <w:t>1.</w:t>
      </w:r>
      <w:r w:rsidR="003C4215" w:rsidRPr="00A10850">
        <w:rPr>
          <w:rFonts w:ascii="Arial" w:hAnsi="Arial" w:cs="Arial"/>
          <w:b/>
          <w:sz w:val="24"/>
          <w:szCs w:val="24"/>
        </w:rPr>
        <w:t>5</w:t>
      </w:r>
      <w:r w:rsidRPr="00A10850">
        <w:rPr>
          <w:rFonts w:ascii="Arial" w:hAnsi="Arial" w:cs="Arial"/>
          <w:b/>
          <w:sz w:val="24"/>
          <w:szCs w:val="24"/>
        </w:rPr>
        <w:t xml:space="preserve">.3 </w:t>
      </w:r>
      <w:r w:rsidR="001C2352" w:rsidRPr="00A10850">
        <w:rPr>
          <w:rFonts w:ascii="Arial" w:hAnsi="Arial" w:cs="Arial"/>
          <w:b/>
          <w:sz w:val="24"/>
          <w:szCs w:val="24"/>
        </w:rPr>
        <w:t>Patient and public engagement</w:t>
      </w:r>
    </w:p>
    <w:p w14:paraId="7562960D" w14:textId="77777777" w:rsidR="001C2352" w:rsidRPr="00A10850" w:rsidRDefault="001C2352" w:rsidP="00DC54F7">
      <w:pPr>
        <w:spacing w:after="0" w:line="240" w:lineRule="auto"/>
        <w:jc w:val="both"/>
        <w:rPr>
          <w:rFonts w:ascii="Arial" w:hAnsi="Arial" w:cs="Arial"/>
        </w:rPr>
      </w:pPr>
    </w:p>
    <w:p w14:paraId="62318B05" w14:textId="277B6EE5" w:rsidR="00CE046C" w:rsidRPr="00BC2C95" w:rsidRDefault="00C326DD" w:rsidP="00DC54F7">
      <w:pPr>
        <w:spacing w:after="0" w:line="240" w:lineRule="auto"/>
        <w:jc w:val="both"/>
        <w:rPr>
          <w:rFonts w:ascii="Arial" w:hAnsi="Arial" w:cs="Arial"/>
          <w:sz w:val="24"/>
          <w:szCs w:val="24"/>
        </w:rPr>
      </w:pPr>
      <w:r w:rsidRPr="00BC2C95">
        <w:rPr>
          <w:rFonts w:ascii="Arial" w:hAnsi="Arial" w:cs="Arial"/>
          <w:sz w:val="24"/>
          <w:szCs w:val="24"/>
        </w:rPr>
        <w:t>In order to gain the views of patients and the public on pharmaceutical services, a questionnaire was devel</w:t>
      </w:r>
      <w:r w:rsidR="00385DEE" w:rsidRPr="00BC2C95">
        <w:rPr>
          <w:rFonts w:ascii="Arial" w:hAnsi="Arial" w:cs="Arial"/>
          <w:sz w:val="24"/>
          <w:szCs w:val="24"/>
        </w:rPr>
        <w:t xml:space="preserve">oped and made available </w:t>
      </w:r>
      <w:r w:rsidR="00105425" w:rsidRPr="00BC2C95">
        <w:rPr>
          <w:rFonts w:ascii="Arial" w:hAnsi="Arial" w:cs="Arial"/>
          <w:sz w:val="24"/>
          <w:szCs w:val="24"/>
        </w:rPr>
        <w:t xml:space="preserve">from </w:t>
      </w:r>
      <w:r w:rsidR="004763A1" w:rsidRPr="00BC2C95">
        <w:rPr>
          <w:rFonts w:ascii="Arial" w:hAnsi="Arial" w:cs="Arial"/>
          <w:sz w:val="24"/>
          <w:szCs w:val="24"/>
        </w:rPr>
        <w:t>19</w:t>
      </w:r>
      <w:r w:rsidR="004763A1" w:rsidRPr="00BC2C95">
        <w:rPr>
          <w:rFonts w:ascii="Arial" w:hAnsi="Arial" w:cs="Arial"/>
          <w:sz w:val="24"/>
          <w:szCs w:val="24"/>
          <w:vertAlign w:val="superscript"/>
        </w:rPr>
        <w:t>th</w:t>
      </w:r>
      <w:r w:rsidR="004763A1" w:rsidRPr="00BC2C95">
        <w:rPr>
          <w:rFonts w:ascii="Arial" w:hAnsi="Arial" w:cs="Arial"/>
          <w:sz w:val="24"/>
          <w:szCs w:val="24"/>
        </w:rPr>
        <w:t xml:space="preserve"> </w:t>
      </w:r>
      <w:r w:rsidR="00105425" w:rsidRPr="00BC2C95">
        <w:rPr>
          <w:rFonts w:ascii="Arial" w:hAnsi="Arial" w:cs="Arial"/>
          <w:sz w:val="24"/>
          <w:szCs w:val="24"/>
        </w:rPr>
        <w:t>January</w:t>
      </w:r>
      <w:r w:rsidRPr="00BC2C95">
        <w:rPr>
          <w:rFonts w:ascii="Arial" w:hAnsi="Arial" w:cs="Arial"/>
          <w:sz w:val="24"/>
          <w:szCs w:val="24"/>
        </w:rPr>
        <w:t xml:space="preserve"> </w:t>
      </w:r>
      <w:r w:rsidR="00105425" w:rsidRPr="00BC2C95">
        <w:rPr>
          <w:rFonts w:ascii="Arial" w:hAnsi="Arial" w:cs="Arial"/>
          <w:sz w:val="24"/>
          <w:szCs w:val="24"/>
        </w:rPr>
        <w:t xml:space="preserve">2021 to </w:t>
      </w:r>
      <w:r w:rsidR="002F028B" w:rsidRPr="00BC2C95">
        <w:rPr>
          <w:rFonts w:ascii="Arial" w:hAnsi="Arial" w:cs="Arial"/>
          <w:sz w:val="24"/>
          <w:szCs w:val="24"/>
        </w:rPr>
        <w:t>15</w:t>
      </w:r>
      <w:r w:rsidR="002F028B" w:rsidRPr="00BC2C95">
        <w:rPr>
          <w:rFonts w:ascii="Arial" w:hAnsi="Arial" w:cs="Arial"/>
          <w:sz w:val="24"/>
          <w:szCs w:val="24"/>
          <w:vertAlign w:val="superscript"/>
        </w:rPr>
        <w:t>th</w:t>
      </w:r>
      <w:r w:rsidR="002F028B" w:rsidRPr="00BC2C95">
        <w:rPr>
          <w:rFonts w:ascii="Arial" w:hAnsi="Arial" w:cs="Arial"/>
          <w:sz w:val="24"/>
          <w:szCs w:val="24"/>
        </w:rPr>
        <w:t xml:space="preserve"> February 202</w:t>
      </w:r>
      <w:r w:rsidR="004C6AFA" w:rsidRPr="00BC2C95">
        <w:rPr>
          <w:rFonts w:ascii="Arial" w:hAnsi="Arial" w:cs="Arial"/>
          <w:sz w:val="24"/>
          <w:szCs w:val="24"/>
        </w:rPr>
        <w:t>1</w:t>
      </w:r>
      <w:r w:rsidRPr="00BC2C95">
        <w:rPr>
          <w:rFonts w:ascii="Arial" w:hAnsi="Arial" w:cs="Arial"/>
          <w:sz w:val="24"/>
          <w:szCs w:val="24"/>
        </w:rPr>
        <w:t>.</w:t>
      </w:r>
      <w:r w:rsidR="006E6177" w:rsidRPr="00BC2C95">
        <w:rPr>
          <w:rFonts w:ascii="Arial" w:hAnsi="Arial" w:cs="Arial"/>
          <w:sz w:val="24"/>
          <w:szCs w:val="24"/>
        </w:rPr>
        <w:t xml:space="preserve"> </w:t>
      </w:r>
      <w:r w:rsidR="006C767C" w:rsidRPr="00BC2C95">
        <w:rPr>
          <w:rFonts w:ascii="Arial" w:hAnsi="Arial" w:cs="Arial"/>
          <w:sz w:val="24"/>
          <w:szCs w:val="24"/>
        </w:rPr>
        <w:t xml:space="preserve">The </w:t>
      </w:r>
      <w:r w:rsidR="00804F92" w:rsidRPr="00BC2C95">
        <w:rPr>
          <w:rFonts w:ascii="Arial" w:hAnsi="Arial" w:cs="Arial"/>
          <w:sz w:val="24"/>
          <w:szCs w:val="24"/>
        </w:rPr>
        <w:t xml:space="preserve">questionnaire was promoted through social media, with </w:t>
      </w:r>
      <w:r w:rsidR="00714012" w:rsidRPr="00BC2C95">
        <w:rPr>
          <w:rFonts w:ascii="Arial" w:hAnsi="Arial" w:cs="Arial"/>
          <w:sz w:val="24"/>
          <w:szCs w:val="24"/>
        </w:rPr>
        <w:t>at least one media post for each week the questionnaire was open</w:t>
      </w:r>
      <w:r w:rsidR="00C715B1" w:rsidRPr="00BC2C95">
        <w:rPr>
          <w:rFonts w:ascii="Arial" w:hAnsi="Arial" w:cs="Arial"/>
          <w:sz w:val="24"/>
          <w:szCs w:val="24"/>
        </w:rPr>
        <w:t xml:space="preserve">. It was sent </w:t>
      </w:r>
      <w:r w:rsidR="00A65367" w:rsidRPr="00BC2C95">
        <w:rPr>
          <w:rFonts w:ascii="Arial" w:hAnsi="Arial" w:cs="Arial"/>
          <w:sz w:val="24"/>
          <w:szCs w:val="24"/>
        </w:rPr>
        <w:t xml:space="preserve">out at different times of the day </w:t>
      </w:r>
      <w:r w:rsidR="005D73BF" w:rsidRPr="00BC2C95">
        <w:rPr>
          <w:rFonts w:ascii="Arial" w:hAnsi="Arial" w:cs="Arial"/>
          <w:sz w:val="24"/>
          <w:szCs w:val="24"/>
        </w:rPr>
        <w:t>to</w:t>
      </w:r>
      <w:r w:rsidR="008E6D74" w:rsidRPr="00BC2C95">
        <w:rPr>
          <w:rFonts w:ascii="Arial" w:hAnsi="Arial" w:cs="Arial"/>
          <w:sz w:val="24"/>
          <w:szCs w:val="24"/>
        </w:rPr>
        <w:t xml:space="preserve"> capture</w:t>
      </w:r>
      <w:r w:rsidR="005D73BF" w:rsidRPr="00BC2C95">
        <w:rPr>
          <w:rFonts w:ascii="Arial" w:hAnsi="Arial" w:cs="Arial"/>
          <w:sz w:val="24"/>
          <w:szCs w:val="24"/>
        </w:rPr>
        <w:t xml:space="preserve"> a cross section </w:t>
      </w:r>
      <w:r w:rsidR="003B317F" w:rsidRPr="00BC2C95">
        <w:rPr>
          <w:rFonts w:ascii="Arial" w:hAnsi="Arial" w:cs="Arial"/>
          <w:sz w:val="24"/>
          <w:szCs w:val="24"/>
        </w:rPr>
        <w:t xml:space="preserve">of patients and </w:t>
      </w:r>
      <w:r w:rsidR="00C715B1" w:rsidRPr="00BC2C95">
        <w:rPr>
          <w:rFonts w:ascii="Arial" w:hAnsi="Arial" w:cs="Arial"/>
          <w:sz w:val="24"/>
          <w:szCs w:val="24"/>
        </w:rPr>
        <w:t xml:space="preserve">the </w:t>
      </w:r>
      <w:r w:rsidR="003B317F" w:rsidRPr="00BC2C95">
        <w:rPr>
          <w:rFonts w:ascii="Arial" w:hAnsi="Arial" w:cs="Arial"/>
          <w:sz w:val="24"/>
          <w:szCs w:val="24"/>
        </w:rPr>
        <w:t>public</w:t>
      </w:r>
      <w:r w:rsidR="00CE046C" w:rsidRPr="00BC2C95">
        <w:rPr>
          <w:rFonts w:ascii="Arial" w:hAnsi="Arial" w:cs="Arial"/>
          <w:sz w:val="24"/>
          <w:szCs w:val="24"/>
        </w:rPr>
        <w:t>.</w:t>
      </w:r>
      <w:r w:rsidR="009A307E" w:rsidRPr="00BC2C95">
        <w:rPr>
          <w:rFonts w:ascii="Arial" w:hAnsi="Arial" w:cs="Arial"/>
          <w:sz w:val="24"/>
          <w:szCs w:val="24"/>
        </w:rPr>
        <w:t xml:space="preserve"> </w:t>
      </w:r>
      <w:r w:rsidR="004F205C" w:rsidRPr="00BC2C95">
        <w:rPr>
          <w:rFonts w:ascii="Arial" w:hAnsi="Arial" w:cs="Arial"/>
          <w:sz w:val="24"/>
          <w:szCs w:val="24"/>
        </w:rPr>
        <w:t>It was also shared with Community Health Councils.</w:t>
      </w:r>
      <w:r w:rsidR="00C7586E" w:rsidRPr="00BC2C95">
        <w:rPr>
          <w:rFonts w:ascii="Arial" w:hAnsi="Arial" w:cs="Arial"/>
          <w:sz w:val="24"/>
          <w:szCs w:val="24"/>
        </w:rPr>
        <w:t xml:space="preserve"> </w:t>
      </w:r>
      <w:r w:rsidR="00CE046C" w:rsidRPr="00BC2C95">
        <w:rPr>
          <w:rFonts w:ascii="Arial" w:hAnsi="Arial" w:cs="Arial"/>
          <w:sz w:val="24"/>
          <w:szCs w:val="24"/>
        </w:rPr>
        <w:t xml:space="preserve">A </w:t>
      </w:r>
      <w:r w:rsidR="002D13E2" w:rsidRPr="00BC2C95">
        <w:rPr>
          <w:rFonts w:ascii="Arial" w:hAnsi="Arial" w:cs="Arial"/>
          <w:sz w:val="24"/>
          <w:szCs w:val="24"/>
        </w:rPr>
        <w:t>new</w:t>
      </w:r>
      <w:r w:rsidR="00EA1F15" w:rsidRPr="00BC2C95">
        <w:rPr>
          <w:rFonts w:ascii="Arial" w:hAnsi="Arial" w:cs="Arial"/>
          <w:sz w:val="24"/>
          <w:szCs w:val="24"/>
        </w:rPr>
        <w:t>s</w:t>
      </w:r>
      <w:r w:rsidR="002D13E2" w:rsidRPr="00BC2C95">
        <w:rPr>
          <w:rFonts w:ascii="Arial" w:hAnsi="Arial" w:cs="Arial"/>
          <w:sz w:val="24"/>
          <w:szCs w:val="24"/>
        </w:rPr>
        <w:t xml:space="preserve"> item about the patient and public questionnaire was </w:t>
      </w:r>
      <w:r w:rsidR="00EA1F15" w:rsidRPr="00BC2C95">
        <w:rPr>
          <w:rFonts w:ascii="Arial" w:hAnsi="Arial" w:cs="Arial"/>
          <w:sz w:val="24"/>
          <w:szCs w:val="24"/>
        </w:rPr>
        <w:t>featured</w:t>
      </w:r>
      <w:r w:rsidR="002D13E2" w:rsidRPr="00BC2C95">
        <w:rPr>
          <w:rFonts w:ascii="Arial" w:hAnsi="Arial" w:cs="Arial"/>
          <w:sz w:val="24"/>
          <w:szCs w:val="24"/>
        </w:rPr>
        <w:t xml:space="preserve"> on the Health Board’s website</w:t>
      </w:r>
      <w:r w:rsidR="004C59B4" w:rsidRPr="00BC2C95">
        <w:rPr>
          <w:rFonts w:ascii="Arial" w:hAnsi="Arial" w:cs="Arial"/>
          <w:sz w:val="24"/>
          <w:szCs w:val="24"/>
        </w:rPr>
        <w:t xml:space="preserve">. Two news items were also included </w:t>
      </w:r>
      <w:r w:rsidR="00F02AF6" w:rsidRPr="00BC2C95">
        <w:rPr>
          <w:rFonts w:ascii="Arial" w:hAnsi="Arial" w:cs="Arial"/>
          <w:sz w:val="24"/>
          <w:szCs w:val="24"/>
        </w:rPr>
        <w:t xml:space="preserve">in the </w:t>
      </w:r>
      <w:r w:rsidR="003D0223" w:rsidRPr="00BC2C95">
        <w:rPr>
          <w:rFonts w:ascii="Arial" w:eastAsia="Times New Roman" w:hAnsi="Arial" w:cs="Arial"/>
          <w:sz w:val="24"/>
          <w:szCs w:val="24"/>
          <w:lang w:eastAsia="en-GB"/>
        </w:rPr>
        <w:t>Chief Executive’s Weekly Connect blog which is seen by staff, patients and the public</w:t>
      </w:r>
      <w:r w:rsidR="000106CA" w:rsidRPr="00BC2C95">
        <w:rPr>
          <w:rFonts w:ascii="Arial" w:eastAsia="Times New Roman" w:hAnsi="Arial" w:cs="Arial"/>
          <w:sz w:val="24"/>
          <w:szCs w:val="24"/>
          <w:lang w:eastAsia="en-GB"/>
        </w:rPr>
        <w:t>. As Cardiff and Vale University Health Board has</w:t>
      </w:r>
      <w:r w:rsidR="00713672" w:rsidRPr="00BC2C95">
        <w:rPr>
          <w:rFonts w:ascii="Arial" w:eastAsia="Times New Roman" w:hAnsi="Arial" w:cs="Arial"/>
          <w:sz w:val="24"/>
          <w:szCs w:val="24"/>
          <w:lang w:eastAsia="en-GB"/>
        </w:rPr>
        <w:t xml:space="preserve"> a large student population</w:t>
      </w:r>
      <w:r w:rsidR="00C32D66" w:rsidRPr="00BC2C95">
        <w:rPr>
          <w:rFonts w:ascii="Arial" w:eastAsia="Times New Roman" w:hAnsi="Arial" w:cs="Arial"/>
          <w:sz w:val="24"/>
          <w:szCs w:val="24"/>
          <w:lang w:eastAsia="en-GB"/>
        </w:rPr>
        <w:t xml:space="preserve">, </w:t>
      </w:r>
      <w:r w:rsidR="004446C5" w:rsidRPr="00BC2C95">
        <w:rPr>
          <w:rFonts w:ascii="Arial" w:eastAsia="Times New Roman" w:hAnsi="Arial" w:cs="Arial"/>
          <w:sz w:val="24"/>
          <w:szCs w:val="24"/>
          <w:lang w:eastAsia="en-GB"/>
        </w:rPr>
        <w:t>the questionnaire was promoted through the three universit</w:t>
      </w:r>
      <w:r w:rsidR="00DD58D4" w:rsidRPr="00BC2C95">
        <w:rPr>
          <w:rFonts w:ascii="Arial" w:eastAsia="Times New Roman" w:hAnsi="Arial" w:cs="Arial"/>
          <w:sz w:val="24"/>
          <w:szCs w:val="24"/>
          <w:lang w:eastAsia="en-GB"/>
        </w:rPr>
        <w:t>ies</w:t>
      </w:r>
      <w:r w:rsidR="004446C5" w:rsidRPr="00BC2C95">
        <w:rPr>
          <w:rFonts w:ascii="Arial" w:eastAsia="Times New Roman" w:hAnsi="Arial" w:cs="Arial"/>
          <w:sz w:val="24"/>
          <w:szCs w:val="24"/>
          <w:lang w:eastAsia="en-GB"/>
        </w:rPr>
        <w:t xml:space="preserve">. </w:t>
      </w:r>
      <w:r w:rsidR="00713672" w:rsidRPr="00BC2C95">
        <w:rPr>
          <w:rFonts w:ascii="Arial" w:eastAsia="Times New Roman" w:hAnsi="Arial" w:cs="Arial"/>
          <w:sz w:val="24"/>
          <w:szCs w:val="24"/>
          <w:lang w:eastAsia="en-GB"/>
        </w:rPr>
        <w:t xml:space="preserve"> </w:t>
      </w:r>
      <w:r w:rsidR="00A7522F" w:rsidRPr="00BC2C95">
        <w:rPr>
          <w:rFonts w:ascii="Arial" w:eastAsia="Times New Roman" w:hAnsi="Arial" w:cs="Arial"/>
          <w:sz w:val="24"/>
          <w:szCs w:val="24"/>
          <w:lang w:eastAsia="en-GB"/>
        </w:rPr>
        <w:t xml:space="preserve">The StaffConnect app was </w:t>
      </w:r>
      <w:r w:rsidR="00666549" w:rsidRPr="00BC2C95">
        <w:rPr>
          <w:rFonts w:ascii="Arial" w:eastAsia="Times New Roman" w:hAnsi="Arial" w:cs="Arial"/>
          <w:sz w:val="24"/>
          <w:szCs w:val="24"/>
          <w:lang w:eastAsia="en-GB"/>
        </w:rPr>
        <w:t xml:space="preserve">also </w:t>
      </w:r>
      <w:r w:rsidR="00A7522F" w:rsidRPr="00BC2C95">
        <w:rPr>
          <w:rFonts w:ascii="Arial" w:eastAsia="Times New Roman" w:hAnsi="Arial" w:cs="Arial"/>
          <w:sz w:val="24"/>
          <w:szCs w:val="24"/>
          <w:lang w:eastAsia="en-GB"/>
        </w:rPr>
        <w:t xml:space="preserve">used </w:t>
      </w:r>
      <w:r w:rsidR="00445623" w:rsidRPr="00BC2C95">
        <w:rPr>
          <w:rFonts w:ascii="Arial" w:eastAsia="Times New Roman" w:hAnsi="Arial" w:cs="Arial"/>
          <w:sz w:val="24"/>
          <w:szCs w:val="24"/>
          <w:lang w:eastAsia="en-GB"/>
        </w:rPr>
        <w:t xml:space="preserve">to </w:t>
      </w:r>
      <w:r w:rsidR="00A92B36" w:rsidRPr="00BC2C95">
        <w:rPr>
          <w:rFonts w:ascii="Arial" w:eastAsia="Times New Roman" w:hAnsi="Arial" w:cs="Arial"/>
          <w:sz w:val="24"/>
          <w:szCs w:val="24"/>
          <w:lang w:eastAsia="en-GB"/>
        </w:rPr>
        <w:t xml:space="preserve">promote the questionnaire to staff that </w:t>
      </w:r>
      <w:r w:rsidR="00022B7C" w:rsidRPr="00BC2C95">
        <w:rPr>
          <w:rFonts w:ascii="Arial" w:eastAsia="Times New Roman" w:hAnsi="Arial" w:cs="Arial"/>
          <w:sz w:val="24"/>
          <w:szCs w:val="24"/>
          <w:lang w:eastAsia="en-GB"/>
        </w:rPr>
        <w:t xml:space="preserve">live in the health board area. </w:t>
      </w:r>
    </w:p>
    <w:p w14:paraId="2CF3986E" w14:textId="77777777" w:rsidR="001F653A" w:rsidRDefault="001F653A" w:rsidP="00DC54F7">
      <w:pPr>
        <w:spacing w:after="0" w:line="240" w:lineRule="auto"/>
        <w:jc w:val="both"/>
        <w:rPr>
          <w:rFonts w:ascii="Arial" w:hAnsi="Arial" w:cs="Arial"/>
        </w:rPr>
      </w:pPr>
    </w:p>
    <w:p w14:paraId="6223671C" w14:textId="02744A46" w:rsidR="00C326DD" w:rsidRPr="00BC2C95" w:rsidRDefault="00C326DD" w:rsidP="00DC54F7">
      <w:pPr>
        <w:spacing w:after="0" w:line="240" w:lineRule="auto"/>
        <w:jc w:val="both"/>
        <w:rPr>
          <w:rFonts w:ascii="Arial" w:hAnsi="Arial" w:cs="Arial"/>
          <w:sz w:val="24"/>
          <w:szCs w:val="24"/>
        </w:rPr>
      </w:pPr>
      <w:r w:rsidRPr="00BC2C95">
        <w:rPr>
          <w:rFonts w:ascii="Arial" w:hAnsi="Arial" w:cs="Arial"/>
          <w:sz w:val="24"/>
          <w:szCs w:val="24"/>
        </w:rPr>
        <w:t>A copy, which shows the questions asked, can be found in appendix G.</w:t>
      </w:r>
      <w:r w:rsidR="003A1198" w:rsidRPr="00BC2C95">
        <w:rPr>
          <w:rFonts w:ascii="Arial" w:hAnsi="Arial" w:cs="Arial"/>
          <w:sz w:val="24"/>
          <w:szCs w:val="24"/>
        </w:rPr>
        <w:t xml:space="preserve">  The full re</w:t>
      </w:r>
      <w:r w:rsidR="00837F00" w:rsidRPr="00BC2C95">
        <w:rPr>
          <w:rFonts w:ascii="Arial" w:hAnsi="Arial" w:cs="Arial"/>
          <w:sz w:val="24"/>
          <w:szCs w:val="24"/>
        </w:rPr>
        <w:t xml:space="preserve">sults can be found in appendix </w:t>
      </w:r>
      <w:r w:rsidR="003A1198" w:rsidRPr="00BC2C95">
        <w:rPr>
          <w:rFonts w:ascii="Arial" w:hAnsi="Arial" w:cs="Arial"/>
          <w:sz w:val="24"/>
          <w:szCs w:val="24"/>
        </w:rPr>
        <w:t>H</w:t>
      </w:r>
      <w:r w:rsidR="00C7586E" w:rsidRPr="00BC2C95">
        <w:rPr>
          <w:rFonts w:ascii="Arial" w:hAnsi="Arial" w:cs="Arial"/>
          <w:sz w:val="24"/>
          <w:szCs w:val="24"/>
        </w:rPr>
        <w:t>.</w:t>
      </w:r>
    </w:p>
    <w:p w14:paraId="033776B7" w14:textId="0035B6CC" w:rsidR="00C326DD" w:rsidRPr="00BC2C95" w:rsidRDefault="00C326DD" w:rsidP="00DC54F7">
      <w:pPr>
        <w:spacing w:after="0" w:line="240" w:lineRule="auto"/>
        <w:jc w:val="both"/>
        <w:rPr>
          <w:rFonts w:ascii="Arial" w:hAnsi="Arial" w:cs="Arial"/>
          <w:sz w:val="24"/>
          <w:szCs w:val="24"/>
        </w:rPr>
      </w:pPr>
    </w:p>
    <w:p w14:paraId="6A9F4FBC" w14:textId="77777777" w:rsidR="00BC2C95" w:rsidRDefault="0003011D" w:rsidP="00DC54F7">
      <w:pPr>
        <w:shd w:val="clear" w:color="auto" w:fill="FFFFFF"/>
        <w:spacing w:after="0" w:line="240" w:lineRule="auto"/>
        <w:jc w:val="both"/>
        <w:rPr>
          <w:rFonts w:ascii="Arial" w:hAnsi="Arial" w:cs="Arial"/>
          <w:sz w:val="24"/>
          <w:szCs w:val="24"/>
        </w:rPr>
      </w:pPr>
      <w:r w:rsidRPr="00BC2C95">
        <w:rPr>
          <w:rFonts w:ascii="Arial" w:hAnsi="Arial" w:cs="Arial"/>
          <w:bCs/>
          <w:sz w:val="24"/>
          <w:szCs w:val="24"/>
        </w:rPr>
        <w:t xml:space="preserve">It is worth noting that at the time the survey was undertaken, Wales was in lockdown due to the Coronavirus (COVID-19) pandemic. As community pharmacies are designated as an essential service, they were required to remain open during this time to provide for the pharmaceutical needs of the population. Many changes to working practice were swiftly undertaken to enable this.  Social distancing measures were implemented, restricting patient numbers entering the pharmacy premises. Changes to opening hours meant many pharmacies were permitted to work behind closed doors at lunchtime and for the first and last hour of the day. </w:t>
      </w:r>
      <w:r w:rsidRPr="00BC2C95">
        <w:rPr>
          <w:rFonts w:ascii="Arial" w:hAnsi="Arial" w:cs="Arial"/>
          <w:sz w:val="24"/>
          <w:szCs w:val="24"/>
        </w:rPr>
        <w:t xml:space="preserve">These measures resulted in longer waiting times for patients, contributing to patient anxiety and frustration. With large numbers of patients shielding, the demand for deliveries from community pharmacies also increased. Many volunteers and voluntary agencies </w:t>
      </w:r>
    </w:p>
    <w:p w14:paraId="7E506971" w14:textId="0E9AFB17" w:rsidR="0003011D" w:rsidRPr="00BC2C95" w:rsidRDefault="0003011D" w:rsidP="00DC54F7">
      <w:pPr>
        <w:shd w:val="clear" w:color="auto" w:fill="FFFFFF"/>
        <w:spacing w:after="0" w:line="240" w:lineRule="auto"/>
        <w:jc w:val="both"/>
        <w:rPr>
          <w:rFonts w:ascii="Arial" w:hAnsi="Arial" w:cs="Arial"/>
          <w:sz w:val="24"/>
          <w:szCs w:val="24"/>
        </w:rPr>
      </w:pPr>
      <w:r w:rsidRPr="00BC2C95">
        <w:rPr>
          <w:rFonts w:ascii="Arial" w:hAnsi="Arial" w:cs="Arial"/>
          <w:sz w:val="24"/>
          <w:szCs w:val="24"/>
        </w:rPr>
        <w:lastRenderedPageBreak/>
        <w:t xml:space="preserve">stepped forward to help meet this demand in many areas. Pharmacy staff themselves also faced increased stress during this time, due to the </w:t>
      </w:r>
      <w:r w:rsidRPr="00BC2C95">
        <w:rPr>
          <w:rFonts w:ascii="Arial" w:hAnsi="Arial" w:cs="Arial"/>
          <w:bCs/>
          <w:sz w:val="24"/>
          <w:szCs w:val="24"/>
        </w:rPr>
        <w:t>Coronavirus (COVID-19) pandemic pressures at work and at home.</w:t>
      </w:r>
    </w:p>
    <w:p w14:paraId="4BBC9FDE" w14:textId="77777777" w:rsidR="0003011D" w:rsidRPr="00BC2C95" w:rsidRDefault="0003011D" w:rsidP="00DC54F7">
      <w:pPr>
        <w:shd w:val="clear" w:color="auto" w:fill="FFFFFF"/>
        <w:spacing w:after="0" w:line="240" w:lineRule="auto"/>
        <w:jc w:val="both"/>
        <w:rPr>
          <w:rFonts w:ascii="Arial" w:hAnsi="Arial" w:cs="Arial"/>
          <w:sz w:val="24"/>
          <w:szCs w:val="24"/>
        </w:rPr>
      </w:pPr>
    </w:p>
    <w:p w14:paraId="31BD6A90" w14:textId="4341BB56" w:rsidR="00A62255" w:rsidRPr="00BC2C95" w:rsidRDefault="00CA7BF7" w:rsidP="00DC54F7">
      <w:pPr>
        <w:shd w:val="clear" w:color="auto" w:fill="FFFFFF"/>
        <w:spacing w:after="0" w:line="240" w:lineRule="auto"/>
        <w:jc w:val="both"/>
        <w:rPr>
          <w:rFonts w:ascii="Arial" w:hAnsi="Arial" w:cs="Arial"/>
          <w:sz w:val="24"/>
          <w:szCs w:val="24"/>
        </w:rPr>
      </w:pPr>
      <w:r w:rsidRPr="00BC2C95">
        <w:rPr>
          <w:rFonts w:ascii="Arial" w:hAnsi="Arial" w:cs="Arial"/>
          <w:sz w:val="24"/>
          <w:szCs w:val="24"/>
        </w:rPr>
        <w:t xml:space="preserve">A total of 311 people </w:t>
      </w:r>
      <w:r w:rsidR="00BD12A9" w:rsidRPr="00BC2C95">
        <w:rPr>
          <w:rFonts w:ascii="Arial" w:hAnsi="Arial" w:cs="Arial"/>
          <w:sz w:val="24"/>
          <w:szCs w:val="24"/>
        </w:rPr>
        <w:t xml:space="preserve">or </w:t>
      </w:r>
      <w:r w:rsidR="00D83086" w:rsidRPr="00BC2C95">
        <w:rPr>
          <w:rFonts w:ascii="Arial" w:hAnsi="Arial" w:cs="Arial"/>
          <w:sz w:val="24"/>
          <w:szCs w:val="24"/>
        </w:rPr>
        <w:t>respondent</w:t>
      </w:r>
      <w:r w:rsidR="00BD12A9" w:rsidRPr="00BC2C95">
        <w:rPr>
          <w:rFonts w:ascii="Arial" w:hAnsi="Arial" w:cs="Arial"/>
          <w:sz w:val="24"/>
          <w:szCs w:val="24"/>
        </w:rPr>
        <w:t xml:space="preserve">s </w:t>
      </w:r>
      <w:r w:rsidRPr="00BC2C95">
        <w:rPr>
          <w:rFonts w:ascii="Arial" w:hAnsi="Arial" w:cs="Arial"/>
          <w:sz w:val="24"/>
          <w:szCs w:val="24"/>
        </w:rPr>
        <w:t>completed the questionnaire</w:t>
      </w:r>
      <w:r w:rsidR="003F7035" w:rsidRPr="00BC2C95">
        <w:rPr>
          <w:rFonts w:ascii="Arial" w:hAnsi="Arial" w:cs="Arial"/>
          <w:sz w:val="24"/>
          <w:szCs w:val="24"/>
        </w:rPr>
        <w:t xml:space="preserve">; however, not </w:t>
      </w:r>
      <w:r w:rsidR="005A2B35" w:rsidRPr="00BC2C95">
        <w:rPr>
          <w:rFonts w:ascii="Arial" w:hAnsi="Arial" w:cs="Arial"/>
          <w:sz w:val="24"/>
          <w:szCs w:val="24"/>
        </w:rPr>
        <w:t>all 311 respondents</w:t>
      </w:r>
      <w:r w:rsidR="003F7035" w:rsidRPr="00BC2C95">
        <w:rPr>
          <w:rFonts w:ascii="Arial" w:hAnsi="Arial" w:cs="Arial"/>
          <w:sz w:val="24"/>
          <w:szCs w:val="24"/>
        </w:rPr>
        <w:t xml:space="preserve"> answered every </w:t>
      </w:r>
      <w:r w:rsidR="00D63CEE" w:rsidRPr="00BC2C95">
        <w:rPr>
          <w:rFonts w:ascii="Arial" w:hAnsi="Arial" w:cs="Arial"/>
          <w:sz w:val="24"/>
          <w:szCs w:val="24"/>
        </w:rPr>
        <w:t>question</w:t>
      </w:r>
      <w:r w:rsidR="003F7035" w:rsidRPr="00BC2C95">
        <w:rPr>
          <w:rFonts w:ascii="Arial" w:hAnsi="Arial" w:cs="Arial"/>
          <w:sz w:val="24"/>
          <w:szCs w:val="24"/>
        </w:rPr>
        <w:t xml:space="preserve">.  </w:t>
      </w:r>
      <w:r w:rsidRPr="00BC2C95">
        <w:rPr>
          <w:rFonts w:ascii="Arial" w:hAnsi="Arial" w:cs="Arial"/>
          <w:sz w:val="24"/>
          <w:szCs w:val="24"/>
        </w:rPr>
        <w:t>8</w:t>
      </w:r>
      <w:r w:rsidR="00BE1A13" w:rsidRPr="00BC2C95">
        <w:rPr>
          <w:rFonts w:ascii="Arial" w:hAnsi="Arial" w:cs="Arial"/>
          <w:sz w:val="24"/>
          <w:szCs w:val="24"/>
        </w:rPr>
        <w:t>0</w:t>
      </w:r>
      <w:r w:rsidRPr="00BC2C95">
        <w:rPr>
          <w:rFonts w:ascii="Arial" w:hAnsi="Arial" w:cs="Arial"/>
          <w:sz w:val="24"/>
          <w:szCs w:val="24"/>
        </w:rPr>
        <w:t xml:space="preserve">% </w:t>
      </w:r>
      <w:r w:rsidR="00C771C8" w:rsidRPr="00BC2C95">
        <w:rPr>
          <w:rFonts w:ascii="Arial" w:hAnsi="Arial" w:cs="Arial"/>
          <w:sz w:val="24"/>
          <w:szCs w:val="24"/>
        </w:rPr>
        <w:t xml:space="preserve">of respondents </w:t>
      </w:r>
      <w:r w:rsidRPr="00BC2C95">
        <w:rPr>
          <w:rFonts w:ascii="Arial" w:hAnsi="Arial" w:cs="Arial"/>
          <w:sz w:val="24"/>
          <w:szCs w:val="24"/>
        </w:rPr>
        <w:t>(</w:t>
      </w:r>
      <w:r w:rsidR="008820E6" w:rsidRPr="00BC2C95">
        <w:rPr>
          <w:rFonts w:ascii="Arial" w:hAnsi="Arial" w:cs="Arial"/>
          <w:sz w:val="24"/>
          <w:szCs w:val="24"/>
        </w:rPr>
        <w:t>24</w:t>
      </w:r>
      <w:r w:rsidR="00922F83" w:rsidRPr="00BC2C95">
        <w:rPr>
          <w:rFonts w:ascii="Arial" w:hAnsi="Arial" w:cs="Arial"/>
          <w:sz w:val="24"/>
          <w:szCs w:val="24"/>
        </w:rPr>
        <w:t>7</w:t>
      </w:r>
      <w:r w:rsidR="00892CB4" w:rsidRPr="00BC2C95">
        <w:rPr>
          <w:rFonts w:ascii="Arial" w:hAnsi="Arial" w:cs="Arial"/>
          <w:sz w:val="24"/>
          <w:szCs w:val="24"/>
        </w:rPr>
        <w:t xml:space="preserve"> out of 308 people</w:t>
      </w:r>
      <w:r w:rsidRPr="00BC2C95">
        <w:rPr>
          <w:rFonts w:ascii="Arial" w:hAnsi="Arial" w:cs="Arial"/>
          <w:sz w:val="24"/>
          <w:szCs w:val="24"/>
        </w:rPr>
        <w:t>) were female</w:t>
      </w:r>
      <w:r w:rsidR="00594DF3" w:rsidRPr="00BC2C95">
        <w:rPr>
          <w:rFonts w:ascii="Arial" w:hAnsi="Arial" w:cs="Arial"/>
          <w:sz w:val="24"/>
          <w:szCs w:val="24"/>
        </w:rPr>
        <w:t xml:space="preserve">, </w:t>
      </w:r>
      <w:r w:rsidRPr="00BC2C95">
        <w:rPr>
          <w:rFonts w:ascii="Arial" w:hAnsi="Arial" w:cs="Arial"/>
          <w:sz w:val="24"/>
          <w:szCs w:val="24"/>
        </w:rPr>
        <w:t>1</w:t>
      </w:r>
      <w:r w:rsidR="008820E6" w:rsidRPr="00BC2C95">
        <w:rPr>
          <w:rFonts w:ascii="Arial" w:hAnsi="Arial" w:cs="Arial"/>
          <w:sz w:val="24"/>
          <w:szCs w:val="24"/>
        </w:rPr>
        <w:t>8</w:t>
      </w:r>
      <w:r w:rsidRPr="00BC2C95">
        <w:rPr>
          <w:rFonts w:ascii="Arial" w:hAnsi="Arial" w:cs="Arial"/>
          <w:sz w:val="24"/>
          <w:szCs w:val="24"/>
        </w:rPr>
        <w:t>% (</w:t>
      </w:r>
      <w:r w:rsidR="008820E6" w:rsidRPr="00BC2C95">
        <w:rPr>
          <w:rFonts w:ascii="Arial" w:hAnsi="Arial" w:cs="Arial"/>
          <w:sz w:val="24"/>
          <w:szCs w:val="24"/>
        </w:rPr>
        <w:t>5</w:t>
      </w:r>
      <w:r w:rsidR="00922F83" w:rsidRPr="00BC2C95">
        <w:rPr>
          <w:rFonts w:ascii="Arial" w:hAnsi="Arial" w:cs="Arial"/>
          <w:sz w:val="24"/>
          <w:szCs w:val="24"/>
        </w:rPr>
        <w:t>5</w:t>
      </w:r>
      <w:r w:rsidR="00B23625" w:rsidRPr="00BC2C95">
        <w:rPr>
          <w:rFonts w:ascii="Arial" w:hAnsi="Arial" w:cs="Arial"/>
          <w:sz w:val="24"/>
          <w:szCs w:val="24"/>
        </w:rPr>
        <w:t xml:space="preserve"> people</w:t>
      </w:r>
      <w:r w:rsidRPr="00BC2C95">
        <w:rPr>
          <w:rFonts w:ascii="Arial" w:hAnsi="Arial" w:cs="Arial"/>
          <w:sz w:val="24"/>
          <w:szCs w:val="24"/>
        </w:rPr>
        <w:t>) were male</w:t>
      </w:r>
      <w:r w:rsidR="00594DF3" w:rsidRPr="00BC2C95">
        <w:rPr>
          <w:rFonts w:ascii="Arial" w:hAnsi="Arial" w:cs="Arial"/>
          <w:sz w:val="24"/>
          <w:szCs w:val="24"/>
        </w:rPr>
        <w:t xml:space="preserve"> and 1</w:t>
      </w:r>
      <w:r w:rsidRPr="00BC2C95">
        <w:rPr>
          <w:rFonts w:ascii="Arial" w:hAnsi="Arial" w:cs="Arial"/>
          <w:sz w:val="24"/>
          <w:szCs w:val="24"/>
        </w:rPr>
        <w:t>% (</w:t>
      </w:r>
      <w:r w:rsidR="00A648C5" w:rsidRPr="00BC2C95">
        <w:rPr>
          <w:rFonts w:ascii="Arial" w:hAnsi="Arial" w:cs="Arial"/>
          <w:sz w:val="24"/>
          <w:szCs w:val="24"/>
        </w:rPr>
        <w:t>2</w:t>
      </w:r>
      <w:r w:rsidR="00B23625" w:rsidRPr="00BC2C95">
        <w:rPr>
          <w:rFonts w:ascii="Arial" w:hAnsi="Arial" w:cs="Arial"/>
          <w:sz w:val="24"/>
          <w:szCs w:val="24"/>
        </w:rPr>
        <w:t xml:space="preserve"> people</w:t>
      </w:r>
      <w:r w:rsidRPr="00BC2C95">
        <w:rPr>
          <w:rFonts w:ascii="Arial" w:hAnsi="Arial" w:cs="Arial"/>
          <w:sz w:val="24"/>
          <w:szCs w:val="24"/>
        </w:rPr>
        <w:t xml:space="preserve">) </w:t>
      </w:r>
      <w:r w:rsidR="00753486" w:rsidRPr="00BC2C95">
        <w:rPr>
          <w:rFonts w:ascii="Arial" w:hAnsi="Arial" w:cs="Arial"/>
          <w:sz w:val="24"/>
          <w:szCs w:val="24"/>
        </w:rPr>
        <w:t xml:space="preserve">were non-binary. 2 </w:t>
      </w:r>
      <w:r w:rsidR="00D83086" w:rsidRPr="00BC2C95">
        <w:rPr>
          <w:rFonts w:ascii="Arial" w:hAnsi="Arial" w:cs="Arial"/>
          <w:sz w:val="24"/>
          <w:szCs w:val="24"/>
        </w:rPr>
        <w:t>respondent</w:t>
      </w:r>
      <w:r w:rsidRPr="00BC2C95">
        <w:rPr>
          <w:rFonts w:ascii="Arial" w:hAnsi="Arial" w:cs="Arial"/>
          <w:sz w:val="24"/>
          <w:szCs w:val="24"/>
        </w:rPr>
        <w:t>s preferred not to say</w:t>
      </w:r>
      <w:r w:rsidR="004C667A" w:rsidRPr="00BC2C95">
        <w:rPr>
          <w:rFonts w:ascii="Arial" w:hAnsi="Arial" w:cs="Arial"/>
          <w:sz w:val="24"/>
          <w:szCs w:val="24"/>
        </w:rPr>
        <w:t xml:space="preserve">, 2 </w:t>
      </w:r>
      <w:r w:rsidR="00D83086" w:rsidRPr="00BC2C95">
        <w:rPr>
          <w:rFonts w:ascii="Arial" w:hAnsi="Arial" w:cs="Arial"/>
          <w:sz w:val="24"/>
          <w:szCs w:val="24"/>
        </w:rPr>
        <w:t>respondent</w:t>
      </w:r>
      <w:r w:rsidR="004C667A" w:rsidRPr="00BC2C95">
        <w:rPr>
          <w:rFonts w:ascii="Arial" w:hAnsi="Arial" w:cs="Arial"/>
          <w:sz w:val="24"/>
          <w:szCs w:val="24"/>
        </w:rPr>
        <w:t xml:space="preserve">s selected other </w:t>
      </w:r>
      <w:r w:rsidRPr="00BC2C95">
        <w:rPr>
          <w:rFonts w:ascii="Arial" w:hAnsi="Arial" w:cs="Arial"/>
          <w:sz w:val="24"/>
          <w:szCs w:val="24"/>
        </w:rPr>
        <w:t xml:space="preserve">and </w:t>
      </w:r>
      <w:r w:rsidR="004C667A" w:rsidRPr="00BC2C95">
        <w:rPr>
          <w:rFonts w:ascii="Arial" w:hAnsi="Arial" w:cs="Arial"/>
          <w:sz w:val="24"/>
          <w:szCs w:val="24"/>
        </w:rPr>
        <w:t>three</w:t>
      </w:r>
      <w:r w:rsidRPr="00BC2C95">
        <w:rPr>
          <w:rFonts w:ascii="Arial" w:hAnsi="Arial" w:cs="Arial"/>
          <w:sz w:val="24"/>
          <w:szCs w:val="24"/>
        </w:rPr>
        <w:t xml:space="preserve"> skipped the question. </w:t>
      </w:r>
    </w:p>
    <w:p w14:paraId="1C3CDCC3" w14:textId="65EDD444" w:rsidR="00B35B2C" w:rsidRPr="00BC2C95" w:rsidRDefault="00B35B2C" w:rsidP="00DC54F7">
      <w:pPr>
        <w:spacing w:after="0" w:line="240" w:lineRule="auto"/>
        <w:jc w:val="both"/>
        <w:rPr>
          <w:rFonts w:ascii="Arial" w:hAnsi="Arial" w:cs="Arial"/>
          <w:sz w:val="24"/>
          <w:szCs w:val="24"/>
        </w:rPr>
      </w:pPr>
    </w:p>
    <w:p w14:paraId="0694B9F2" w14:textId="03BA5325" w:rsidR="00843A3A" w:rsidRPr="00BC2C95" w:rsidRDefault="006A239E" w:rsidP="00DC54F7">
      <w:pPr>
        <w:spacing w:after="0" w:line="240" w:lineRule="auto"/>
        <w:jc w:val="both"/>
        <w:rPr>
          <w:rFonts w:ascii="Arial" w:hAnsi="Arial" w:cs="Arial"/>
          <w:sz w:val="24"/>
          <w:szCs w:val="24"/>
        </w:rPr>
      </w:pPr>
      <w:r w:rsidRPr="00BC2C95">
        <w:rPr>
          <w:rFonts w:ascii="Arial" w:hAnsi="Arial" w:cs="Arial"/>
          <w:sz w:val="24"/>
          <w:szCs w:val="24"/>
        </w:rPr>
        <w:t xml:space="preserve">All </w:t>
      </w:r>
      <w:r w:rsidR="00D83086" w:rsidRPr="00BC2C95">
        <w:rPr>
          <w:rFonts w:ascii="Arial" w:hAnsi="Arial" w:cs="Arial"/>
          <w:sz w:val="24"/>
          <w:szCs w:val="24"/>
        </w:rPr>
        <w:t>respondent</w:t>
      </w:r>
      <w:r w:rsidRPr="00BC2C95">
        <w:rPr>
          <w:rFonts w:ascii="Arial" w:hAnsi="Arial" w:cs="Arial"/>
          <w:sz w:val="24"/>
          <w:szCs w:val="24"/>
        </w:rPr>
        <w:t xml:space="preserve">s who provided information about their age </w:t>
      </w:r>
      <w:r w:rsidR="00A825E4" w:rsidRPr="00BC2C95">
        <w:rPr>
          <w:rFonts w:ascii="Arial" w:hAnsi="Arial" w:cs="Arial"/>
          <w:sz w:val="24"/>
          <w:szCs w:val="24"/>
        </w:rPr>
        <w:t xml:space="preserve">(309 people) </w:t>
      </w:r>
      <w:r w:rsidRPr="00BC2C95">
        <w:rPr>
          <w:rFonts w:ascii="Arial" w:hAnsi="Arial" w:cs="Arial"/>
          <w:sz w:val="24"/>
          <w:szCs w:val="24"/>
        </w:rPr>
        <w:t xml:space="preserve">were over 16 years old. </w:t>
      </w:r>
      <w:r w:rsidR="00D26F84" w:rsidRPr="00BC2C95">
        <w:rPr>
          <w:rFonts w:ascii="Arial" w:hAnsi="Arial" w:cs="Arial"/>
          <w:sz w:val="24"/>
          <w:szCs w:val="24"/>
        </w:rPr>
        <w:t xml:space="preserve">A quarter </w:t>
      </w:r>
      <w:r w:rsidR="00085045" w:rsidRPr="00BC2C95">
        <w:rPr>
          <w:rFonts w:ascii="Arial" w:hAnsi="Arial" w:cs="Arial"/>
          <w:sz w:val="24"/>
          <w:szCs w:val="24"/>
        </w:rPr>
        <w:t xml:space="preserve">of respondents </w:t>
      </w:r>
      <w:r w:rsidR="000A7592" w:rsidRPr="00BC2C95">
        <w:rPr>
          <w:rFonts w:ascii="Arial" w:hAnsi="Arial" w:cs="Arial"/>
          <w:sz w:val="24"/>
          <w:szCs w:val="24"/>
        </w:rPr>
        <w:t xml:space="preserve">(25%, 78 people) </w:t>
      </w:r>
      <w:r w:rsidR="00D26F84" w:rsidRPr="00BC2C95">
        <w:rPr>
          <w:rFonts w:ascii="Arial" w:hAnsi="Arial" w:cs="Arial"/>
          <w:sz w:val="24"/>
          <w:szCs w:val="24"/>
        </w:rPr>
        <w:t xml:space="preserve">were </w:t>
      </w:r>
      <w:r w:rsidR="00CA773F" w:rsidRPr="00BC2C95">
        <w:rPr>
          <w:rFonts w:ascii="Arial" w:hAnsi="Arial" w:cs="Arial"/>
          <w:sz w:val="24"/>
          <w:szCs w:val="24"/>
        </w:rPr>
        <w:t>aged between 16 to 44 years old</w:t>
      </w:r>
      <w:r w:rsidR="00014D05" w:rsidRPr="00BC2C95">
        <w:rPr>
          <w:rFonts w:ascii="Arial" w:hAnsi="Arial" w:cs="Arial"/>
          <w:sz w:val="24"/>
          <w:szCs w:val="24"/>
        </w:rPr>
        <w:t>.</w:t>
      </w:r>
      <w:r w:rsidR="00CA773F" w:rsidRPr="00BC2C95">
        <w:rPr>
          <w:rFonts w:ascii="Arial" w:hAnsi="Arial" w:cs="Arial"/>
          <w:sz w:val="24"/>
          <w:szCs w:val="24"/>
        </w:rPr>
        <w:t xml:space="preserve"> </w:t>
      </w:r>
      <w:r w:rsidR="00EE117E" w:rsidRPr="00BC2C95">
        <w:rPr>
          <w:rFonts w:ascii="Arial" w:hAnsi="Arial" w:cs="Arial"/>
          <w:sz w:val="24"/>
          <w:szCs w:val="24"/>
        </w:rPr>
        <w:t>Almost t</w:t>
      </w:r>
      <w:r w:rsidR="00CA773F" w:rsidRPr="00BC2C95">
        <w:rPr>
          <w:rFonts w:ascii="Arial" w:hAnsi="Arial" w:cs="Arial"/>
          <w:sz w:val="24"/>
          <w:szCs w:val="24"/>
        </w:rPr>
        <w:t xml:space="preserve">hree quarters </w:t>
      </w:r>
      <w:r w:rsidR="009829CA" w:rsidRPr="00BC2C95">
        <w:rPr>
          <w:rFonts w:ascii="Arial" w:hAnsi="Arial" w:cs="Arial"/>
          <w:sz w:val="24"/>
          <w:szCs w:val="24"/>
        </w:rPr>
        <w:t xml:space="preserve">of </w:t>
      </w:r>
      <w:r w:rsidR="00D83086" w:rsidRPr="00BC2C95">
        <w:rPr>
          <w:rFonts w:ascii="Arial" w:hAnsi="Arial" w:cs="Arial"/>
          <w:sz w:val="24"/>
          <w:szCs w:val="24"/>
        </w:rPr>
        <w:t>respondent</w:t>
      </w:r>
      <w:r w:rsidR="009829CA" w:rsidRPr="00BC2C95">
        <w:rPr>
          <w:rFonts w:ascii="Arial" w:hAnsi="Arial" w:cs="Arial"/>
          <w:sz w:val="24"/>
          <w:szCs w:val="24"/>
        </w:rPr>
        <w:t xml:space="preserve">s </w:t>
      </w:r>
      <w:r w:rsidR="00CA773F" w:rsidRPr="00BC2C95">
        <w:rPr>
          <w:rFonts w:ascii="Arial" w:hAnsi="Arial" w:cs="Arial"/>
          <w:sz w:val="24"/>
          <w:szCs w:val="24"/>
        </w:rPr>
        <w:t xml:space="preserve">were aged </w:t>
      </w:r>
      <w:r w:rsidR="009829CA" w:rsidRPr="00BC2C95">
        <w:rPr>
          <w:rFonts w:ascii="Arial" w:hAnsi="Arial" w:cs="Arial"/>
          <w:sz w:val="24"/>
          <w:szCs w:val="24"/>
        </w:rPr>
        <w:t>45 years</w:t>
      </w:r>
      <w:r w:rsidR="003330CD" w:rsidRPr="00BC2C95">
        <w:rPr>
          <w:rFonts w:ascii="Arial" w:hAnsi="Arial" w:cs="Arial"/>
          <w:sz w:val="24"/>
          <w:szCs w:val="24"/>
        </w:rPr>
        <w:t xml:space="preserve"> and over</w:t>
      </w:r>
      <w:r w:rsidR="00014D05" w:rsidRPr="00BC2C95">
        <w:rPr>
          <w:rFonts w:ascii="Arial" w:hAnsi="Arial" w:cs="Arial"/>
          <w:sz w:val="24"/>
          <w:szCs w:val="24"/>
        </w:rPr>
        <w:t xml:space="preserve"> (7</w:t>
      </w:r>
      <w:r w:rsidR="00EE117E" w:rsidRPr="00BC2C95">
        <w:rPr>
          <w:rFonts w:ascii="Arial" w:hAnsi="Arial" w:cs="Arial"/>
          <w:sz w:val="24"/>
          <w:szCs w:val="24"/>
        </w:rPr>
        <w:t>4</w:t>
      </w:r>
      <w:r w:rsidR="00014D05" w:rsidRPr="00BC2C95">
        <w:rPr>
          <w:rFonts w:ascii="Arial" w:hAnsi="Arial" w:cs="Arial"/>
          <w:sz w:val="24"/>
          <w:szCs w:val="24"/>
        </w:rPr>
        <w:t>%</w:t>
      </w:r>
      <w:r w:rsidR="009829CA" w:rsidRPr="00BC2C95">
        <w:rPr>
          <w:rFonts w:ascii="Arial" w:hAnsi="Arial" w:cs="Arial"/>
          <w:sz w:val="24"/>
          <w:szCs w:val="24"/>
        </w:rPr>
        <w:t>,</w:t>
      </w:r>
      <w:r w:rsidR="001151C5" w:rsidRPr="00BC2C95">
        <w:rPr>
          <w:rFonts w:ascii="Arial" w:hAnsi="Arial" w:cs="Arial"/>
          <w:sz w:val="24"/>
          <w:szCs w:val="24"/>
        </w:rPr>
        <w:t xml:space="preserve"> </w:t>
      </w:r>
      <w:r w:rsidR="00910B16" w:rsidRPr="00BC2C95">
        <w:rPr>
          <w:rFonts w:ascii="Arial" w:hAnsi="Arial" w:cs="Arial"/>
          <w:sz w:val="24"/>
          <w:szCs w:val="24"/>
        </w:rPr>
        <w:t>229</w:t>
      </w:r>
      <w:r w:rsidR="001151C5" w:rsidRPr="00BC2C95">
        <w:rPr>
          <w:rFonts w:ascii="Arial" w:hAnsi="Arial" w:cs="Arial"/>
          <w:sz w:val="24"/>
          <w:szCs w:val="24"/>
        </w:rPr>
        <w:t xml:space="preserve"> people)</w:t>
      </w:r>
      <w:r w:rsidR="00CD658A" w:rsidRPr="00BC2C95">
        <w:rPr>
          <w:rFonts w:ascii="Arial" w:hAnsi="Arial" w:cs="Arial"/>
          <w:sz w:val="24"/>
          <w:szCs w:val="24"/>
        </w:rPr>
        <w:t>,</w:t>
      </w:r>
      <w:r w:rsidR="009829CA" w:rsidRPr="00BC2C95">
        <w:rPr>
          <w:rFonts w:ascii="Arial" w:hAnsi="Arial" w:cs="Arial"/>
          <w:sz w:val="24"/>
          <w:szCs w:val="24"/>
        </w:rPr>
        <w:t xml:space="preserve"> with </w:t>
      </w:r>
      <w:r w:rsidR="00176AB6" w:rsidRPr="00BC2C95">
        <w:rPr>
          <w:rFonts w:ascii="Arial" w:hAnsi="Arial" w:cs="Arial"/>
          <w:sz w:val="24"/>
          <w:szCs w:val="24"/>
        </w:rPr>
        <w:t>the age group 45 to 54 years having the largest number of responses overall</w:t>
      </w:r>
      <w:r w:rsidR="009D34AD" w:rsidRPr="00BC2C95">
        <w:rPr>
          <w:rFonts w:ascii="Arial" w:hAnsi="Arial" w:cs="Arial"/>
          <w:sz w:val="24"/>
          <w:szCs w:val="24"/>
        </w:rPr>
        <w:t xml:space="preserve"> (29%, </w:t>
      </w:r>
      <w:r w:rsidR="00701DBE" w:rsidRPr="00BC2C95">
        <w:rPr>
          <w:rFonts w:ascii="Arial" w:hAnsi="Arial" w:cs="Arial"/>
          <w:sz w:val="24"/>
          <w:szCs w:val="24"/>
        </w:rPr>
        <w:t xml:space="preserve">89 people), followed by the age group 55 to 64 years </w:t>
      </w:r>
      <w:r w:rsidR="00430670" w:rsidRPr="00BC2C95">
        <w:rPr>
          <w:rFonts w:ascii="Arial" w:hAnsi="Arial" w:cs="Arial"/>
          <w:sz w:val="24"/>
          <w:szCs w:val="24"/>
        </w:rPr>
        <w:t>(27%, 82 people).</w:t>
      </w:r>
      <w:r w:rsidR="006245B8" w:rsidRPr="00BC2C95">
        <w:rPr>
          <w:rFonts w:ascii="Arial" w:hAnsi="Arial" w:cs="Arial"/>
          <w:sz w:val="24"/>
          <w:szCs w:val="24"/>
        </w:rPr>
        <w:t xml:space="preserve"> Two </w:t>
      </w:r>
      <w:r w:rsidR="00D83086" w:rsidRPr="00BC2C95">
        <w:rPr>
          <w:rFonts w:ascii="Arial" w:hAnsi="Arial" w:cs="Arial"/>
          <w:sz w:val="24"/>
          <w:szCs w:val="24"/>
        </w:rPr>
        <w:t>respondent</w:t>
      </w:r>
      <w:r w:rsidR="006245B8" w:rsidRPr="00BC2C95">
        <w:rPr>
          <w:rFonts w:ascii="Arial" w:hAnsi="Arial" w:cs="Arial"/>
          <w:sz w:val="24"/>
          <w:szCs w:val="24"/>
        </w:rPr>
        <w:t>s preferred not to say.</w:t>
      </w:r>
    </w:p>
    <w:p w14:paraId="41499C1C" w14:textId="77777777" w:rsidR="008B1DA1" w:rsidRPr="00BC2C95" w:rsidRDefault="008B1DA1" w:rsidP="00DC54F7">
      <w:pPr>
        <w:shd w:val="clear" w:color="auto" w:fill="FFFFFF"/>
        <w:spacing w:after="0" w:line="240" w:lineRule="auto"/>
        <w:jc w:val="both"/>
        <w:rPr>
          <w:rFonts w:ascii="Arial" w:hAnsi="Arial" w:cs="Arial"/>
          <w:b/>
          <w:bCs/>
          <w:sz w:val="24"/>
          <w:szCs w:val="24"/>
        </w:rPr>
      </w:pPr>
    </w:p>
    <w:p w14:paraId="4CEDC1CC" w14:textId="5A73AF19" w:rsidR="00224564" w:rsidRPr="00BC2C95" w:rsidRDefault="00224564" w:rsidP="00DC54F7">
      <w:pPr>
        <w:shd w:val="clear" w:color="auto" w:fill="FFFFFF"/>
        <w:spacing w:after="0" w:line="240" w:lineRule="auto"/>
        <w:jc w:val="both"/>
        <w:rPr>
          <w:rFonts w:ascii="Arial" w:hAnsi="Arial" w:cs="Arial"/>
          <w:b/>
          <w:bCs/>
          <w:sz w:val="24"/>
          <w:szCs w:val="24"/>
        </w:rPr>
      </w:pPr>
      <w:r w:rsidRPr="00BC2C95">
        <w:rPr>
          <w:rFonts w:ascii="Arial" w:hAnsi="Arial" w:cs="Arial"/>
          <w:b/>
          <w:bCs/>
          <w:sz w:val="24"/>
          <w:szCs w:val="24"/>
        </w:rPr>
        <w:t xml:space="preserve">Figure 1.1: Age range of </w:t>
      </w:r>
      <w:r w:rsidR="00D83086" w:rsidRPr="00BC2C95">
        <w:rPr>
          <w:rFonts w:ascii="Arial" w:hAnsi="Arial" w:cs="Arial"/>
          <w:b/>
          <w:bCs/>
          <w:sz w:val="24"/>
          <w:szCs w:val="24"/>
        </w:rPr>
        <w:t>respondent</w:t>
      </w:r>
      <w:r w:rsidRPr="00BC2C95">
        <w:rPr>
          <w:rFonts w:ascii="Arial" w:hAnsi="Arial" w:cs="Arial"/>
          <w:b/>
          <w:bCs/>
          <w:sz w:val="24"/>
          <w:szCs w:val="24"/>
        </w:rPr>
        <w:t xml:space="preserve">s </w:t>
      </w:r>
    </w:p>
    <w:p w14:paraId="1D5C6CE6" w14:textId="22C5B332" w:rsidR="004763A1" w:rsidRPr="004763A1" w:rsidRDefault="005A0205" w:rsidP="00DC54F7">
      <w:pPr>
        <w:shd w:val="clear" w:color="auto" w:fill="FFFFFF"/>
        <w:spacing w:after="0" w:line="240" w:lineRule="auto"/>
        <w:jc w:val="both"/>
        <w:rPr>
          <w:rFonts w:ascii="Lato" w:eastAsia="Times New Roman" w:hAnsi="Lato" w:cs="Times New Roman"/>
          <w:color w:val="000000"/>
          <w:sz w:val="21"/>
          <w:szCs w:val="21"/>
          <w:lang w:eastAsia="en-GB"/>
        </w:rPr>
      </w:pPr>
      <w:r>
        <w:rPr>
          <w:noProof/>
          <w:lang w:eastAsia="en-GB"/>
        </w:rPr>
        <w:drawing>
          <wp:inline distT="0" distB="0" distL="0" distR="0" wp14:anchorId="15785437" wp14:editId="1939988F">
            <wp:extent cx="5661329" cy="2127250"/>
            <wp:effectExtent l="0" t="0" r="15875" b="6350"/>
            <wp:docPr id="12" name="Chart 1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2E10B21-2AD0-40BE-98A3-677D30F92A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287918D" w14:textId="77777777" w:rsidR="00C6648A" w:rsidRDefault="00C6648A" w:rsidP="00DC54F7">
      <w:pPr>
        <w:spacing w:after="0" w:line="240" w:lineRule="auto"/>
        <w:jc w:val="both"/>
        <w:rPr>
          <w:rFonts w:ascii="Arial" w:hAnsi="Arial" w:cs="Arial"/>
        </w:rPr>
      </w:pPr>
    </w:p>
    <w:p w14:paraId="73D4F82E" w14:textId="2CF56068" w:rsidR="00EC5E6E" w:rsidRPr="00BC2C95" w:rsidRDefault="00EC5E6E" w:rsidP="00DC54F7">
      <w:pPr>
        <w:spacing w:after="0" w:line="240" w:lineRule="auto"/>
        <w:jc w:val="both"/>
        <w:rPr>
          <w:rFonts w:ascii="Arial" w:hAnsi="Arial" w:cs="Arial"/>
          <w:sz w:val="24"/>
          <w:szCs w:val="24"/>
        </w:rPr>
      </w:pPr>
      <w:r w:rsidRPr="00BC2C95">
        <w:rPr>
          <w:rFonts w:ascii="Arial" w:hAnsi="Arial" w:cs="Arial"/>
          <w:sz w:val="24"/>
          <w:szCs w:val="24"/>
        </w:rPr>
        <w:t xml:space="preserve">96% </w:t>
      </w:r>
      <w:r w:rsidR="000A7592" w:rsidRPr="00BC2C95">
        <w:rPr>
          <w:rFonts w:ascii="Arial" w:hAnsi="Arial" w:cs="Arial"/>
          <w:sz w:val="24"/>
          <w:szCs w:val="24"/>
        </w:rPr>
        <w:t xml:space="preserve">of respondents </w:t>
      </w:r>
      <w:r w:rsidRPr="00BC2C95">
        <w:rPr>
          <w:rFonts w:ascii="Arial" w:hAnsi="Arial" w:cs="Arial"/>
          <w:sz w:val="24"/>
          <w:szCs w:val="24"/>
        </w:rPr>
        <w:t xml:space="preserve">(296 out of 308 people) said their preferred language was English when they accessed services at a pharmacy. Only 4% (11 people) said their preferred language was Welsh. One </w:t>
      </w:r>
      <w:r w:rsidR="00D83086" w:rsidRPr="00BC2C95">
        <w:rPr>
          <w:rFonts w:ascii="Arial" w:hAnsi="Arial" w:cs="Arial"/>
          <w:sz w:val="24"/>
          <w:szCs w:val="24"/>
        </w:rPr>
        <w:t>respondent</w:t>
      </w:r>
      <w:r w:rsidRPr="00BC2C95">
        <w:rPr>
          <w:rFonts w:ascii="Arial" w:hAnsi="Arial" w:cs="Arial"/>
          <w:sz w:val="24"/>
          <w:szCs w:val="24"/>
        </w:rPr>
        <w:t xml:space="preserve"> commented that they preferred either</w:t>
      </w:r>
      <w:r w:rsidR="00384FC0" w:rsidRPr="00BC2C95">
        <w:rPr>
          <w:rFonts w:ascii="Arial" w:hAnsi="Arial" w:cs="Arial"/>
          <w:sz w:val="24"/>
          <w:szCs w:val="24"/>
        </w:rPr>
        <w:t xml:space="preserve"> </w:t>
      </w:r>
      <w:r w:rsidR="008037A7" w:rsidRPr="00BC2C95">
        <w:rPr>
          <w:rFonts w:ascii="Arial" w:hAnsi="Arial" w:cs="Arial"/>
          <w:sz w:val="24"/>
          <w:szCs w:val="24"/>
        </w:rPr>
        <w:t xml:space="preserve">language </w:t>
      </w:r>
      <w:r w:rsidR="00384FC0" w:rsidRPr="00BC2C95">
        <w:rPr>
          <w:rFonts w:ascii="Arial" w:hAnsi="Arial" w:cs="Arial"/>
          <w:sz w:val="24"/>
          <w:szCs w:val="24"/>
        </w:rPr>
        <w:t>to be used</w:t>
      </w:r>
      <w:r w:rsidRPr="00BC2C95">
        <w:rPr>
          <w:rFonts w:ascii="Arial" w:hAnsi="Arial" w:cs="Arial"/>
          <w:sz w:val="24"/>
          <w:szCs w:val="24"/>
        </w:rPr>
        <w:t xml:space="preserve">. </w:t>
      </w:r>
    </w:p>
    <w:p w14:paraId="68C9BBEE" w14:textId="1E3B9578" w:rsidR="00142B83" w:rsidRPr="00BC2C95" w:rsidRDefault="00142B83" w:rsidP="00DC54F7">
      <w:pPr>
        <w:spacing w:after="0" w:line="240" w:lineRule="auto"/>
        <w:jc w:val="both"/>
        <w:rPr>
          <w:rFonts w:ascii="Arial" w:hAnsi="Arial" w:cs="Arial"/>
          <w:sz w:val="24"/>
          <w:szCs w:val="24"/>
        </w:rPr>
      </w:pPr>
    </w:p>
    <w:p w14:paraId="2EE91A57" w14:textId="4E5120C1" w:rsidR="000E3613" w:rsidRPr="00BC2C95" w:rsidRDefault="00CD5123" w:rsidP="00DC54F7">
      <w:pPr>
        <w:spacing w:after="0" w:line="240" w:lineRule="auto"/>
        <w:jc w:val="both"/>
        <w:rPr>
          <w:rFonts w:ascii="Arial" w:hAnsi="Arial" w:cs="Arial"/>
          <w:sz w:val="24"/>
          <w:szCs w:val="24"/>
        </w:rPr>
      </w:pPr>
      <w:r w:rsidRPr="00BC2C95">
        <w:rPr>
          <w:rFonts w:ascii="Arial" w:hAnsi="Arial" w:cs="Arial"/>
          <w:sz w:val="24"/>
          <w:szCs w:val="24"/>
        </w:rPr>
        <w:t xml:space="preserve">When asked </w:t>
      </w:r>
      <w:r w:rsidR="00673D75" w:rsidRPr="00BC2C95">
        <w:rPr>
          <w:rFonts w:ascii="Arial" w:hAnsi="Arial" w:cs="Arial"/>
          <w:sz w:val="24"/>
          <w:szCs w:val="24"/>
        </w:rPr>
        <w:t xml:space="preserve">why </w:t>
      </w:r>
      <w:r w:rsidR="006561DC" w:rsidRPr="00BC2C95">
        <w:rPr>
          <w:rFonts w:ascii="Arial" w:hAnsi="Arial" w:cs="Arial"/>
          <w:sz w:val="24"/>
          <w:szCs w:val="24"/>
        </w:rPr>
        <w:t xml:space="preserve">they usually visit a pharmacy, </w:t>
      </w:r>
      <w:r w:rsidR="00CC46FB" w:rsidRPr="00BC2C95">
        <w:rPr>
          <w:rFonts w:ascii="Arial" w:hAnsi="Arial" w:cs="Arial"/>
          <w:sz w:val="24"/>
          <w:szCs w:val="24"/>
        </w:rPr>
        <w:t xml:space="preserve">309 </w:t>
      </w:r>
      <w:r w:rsidR="00BE7D81" w:rsidRPr="00BC2C95">
        <w:rPr>
          <w:rFonts w:ascii="Arial" w:hAnsi="Arial" w:cs="Arial"/>
          <w:sz w:val="24"/>
          <w:szCs w:val="24"/>
        </w:rPr>
        <w:t xml:space="preserve">people </w:t>
      </w:r>
      <w:r w:rsidR="00116B4C" w:rsidRPr="00BC2C95">
        <w:rPr>
          <w:rFonts w:ascii="Arial" w:hAnsi="Arial" w:cs="Arial"/>
          <w:sz w:val="24"/>
          <w:szCs w:val="24"/>
        </w:rPr>
        <w:t>answered</w:t>
      </w:r>
      <w:r w:rsidR="00BE7D81" w:rsidRPr="00BC2C95">
        <w:rPr>
          <w:rFonts w:ascii="Arial" w:hAnsi="Arial" w:cs="Arial"/>
          <w:sz w:val="24"/>
          <w:szCs w:val="24"/>
        </w:rPr>
        <w:t xml:space="preserve"> the question and a total of 888 responses were received</w:t>
      </w:r>
      <w:r w:rsidR="007B2408" w:rsidRPr="00BC2C95">
        <w:rPr>
          <w:rFonts w:ascii="Arial" w:hAnsi="Arial" w:cs="Arial"/>
          <w:sz w:val="24"/>
          <w:szCs w:val="24"/>
        </w:rPr>
        <w:t xml:space="preserve">. </w:t>
      </w:r>
      <w:r w:rsidR="00116B4C" w:rsidRPr="00BC2C95">
        <w:rPr>
          <w:rFonts w:ascii="Arial" w:hAnsi="Arial" w:cs="Arial"/>
          <w:sz w:val="24"/>
          <w:szCs w:val="24"/>
        </w:rPr>
        <w:t>M</w:t>
      </w:r>
      <w:r w:rsidRPr="00BC2C95">
        <w:rPr>
          <w:rFonts w:ascii="Arial" w:hAnsi="Arial" w:cs="Arial"/>
          <w:sz w:val="24"/>
          <w:szCs w:val="24"/>
        </w:rPr>
        <w:t>ultiple answers could be given to this question</w:t>
      </w:r>
      <w:r w:rsidR="00EA1D9B" w:rsidRPr="00BC2C95">
        <w:rPr>
          <w:rFonts w:ascii="Arial" w:hAnsi="Arial" w:cs="Arial"/>
          <w:sz w:val="24"/>
          <w:szCs w:val="24"/>
        </w:rPr>
        <w:t xml:space="preserve"> and the number of responses received indicates that some people </w:t>
      </w:r>
      <w:r w:rsidR="00116B4C" w:rsidRPr="00BC2C95">
        <w:rPr>
          <w:rFonts w:ascii="Arial" w:hAnsi="Arial" w:cs="Arial"/>
          <w:sz w:val="24"/>
          <w:szCs w:val="24"/>
        </w:rPr>
        <w:t>chose</w:t>
      </w:r>
      <w:r w:rsidR="00EA1D9B" w:rsidRPr="00BC2C95">
        <w:rPr>
          <w:rFonts w:ascii="Arial" w:hAnsi="Arial" w:cs="Arial"/>
          <w:sz w:val="24"/>
          <w:szCs w:val="24"/>
        </w:rPr>
        <w:t xml:space="preserve"> mo</w:t>
      </w:r>
      <w:r w:rsidR="00616474" w:rsidRPr="00BC2C95">
        <w:rPr>
          <w:rFonts w:ascii="Arial" w:hAnsi="Arial" w:cs="Arial"/>
          <w:sz w:val="24"/>
          <w:szCs w:val="24"/>
        </w:rPr>
        <w:t>re than one reason</w:t>
      </w:r>
      <w:r w:rsidR="000652BD" w:rsidRPr="00BC2C95">
        <w:rPr>
          <w:rFonts w:ascii="Arial" w:hAnsi="Arial" w:cs="Arial"/>
          <w:sz w:val="24"/>
          <w:szCs w:val="24"/>
        </w:rPr>
        <w:t xml:space="preserve"> for visiting a pharmacy</w:t>
      </w:r>
      <w:r w:rsidR="00616474" w:rsidRPr="00BC2C95">
        <w:rPr>
          <w:rFonts w:ascii="Arial" w:hAnsi="Arial" w:cs="Arial"/>
          <w:sz w:val="24"/>
          <w:szCs w:val="24"/>
        </w:rPr>
        <w:t xml:space="preserve">. The majority of responses received </w:t>
      </w:r>
      <w:r w:rsidR="005B31FB" w:rsidRPr="00BC2C95">
        <w:rPr>
          <w:rFonts w:ascii="Arial" w:hAnsi="Arial" w:cs="Arial"/>
          <w:sz w:val="24"/>
          <w:szCs w:val="24"/>
        </w:rPr>
        <w:t xml:space="preserve">show that </w:t>
      </w:r>
      <w:r w:rsidR="004702A1" w:rsidRPr="00BC2C95">
        <w:rPr>
          <w:rFonts w:ascii="Arial" w:hAnsi="Arial" w:cs="Arial"/>
          <w:sz w:val="24"/>
          <w:szCs w:val="24"/>
        </w:rPr>
        <w:t>people</w:t>
      </w:r>
      <w:r w:rsidR="000D27D1" w:rsidRPr="00BC2C95">
        <w:rPr>
          <w:rFonts w:ascii="Arial" w:hAnsi="Arial" w:cs="Arial"/>
          <w:sz w:val="24"/>
          <w:szCs w:val="24"/>
        </w:rPr>
        <w:t xml:space="preserve"> </w:t>
      </w:r>
      <w:r w:rsidR="00AD2FA5" w:rsidRPr="00BC2C95">
        <w:rPr>
          <w:rFonts w:ascii="Arial" w:hAnsi="Arial" w:cs="Arial"/>
          <w:sz w:val="24"/>
          <w:szCs w:val="24"/>
        </w:rPr>
        <w:t xml:space="preserve">visit a pharmacy to get or collect a prescription for themselves </w:t>
      </w:r>
      <w:r w:rsidR="00224E70" w:rsidRPr="00D939CF">
        <w:rPr>
          <w:rFonts w:ascii="Arial" w:hAnsi="Arial" w:cs="Arial"/>
          <w:sz w:val="24"/>
          <w:szCs w:val="24"/>
        </w:rPr>
        <w:t xml:space="preserve">(280 responses) </w:t>
      </w:r>
      <w:r w:rsidR="00AD2FA5" w:rsidRPr="00D939CF">
        <w:rPr>
          <w:rFonts w:ascii="Arial" w:hAnsi="Arial" w:cs="Arial"/>
          <w:sz w:val="24"/>
          <w:szCs w:val="24"/>
        </w:rPr>
        <w:t>or to get or to collect a prescription for someone else (</w:t>
      </w:r>
      <w:r w:rsidR="00055C2A" w:rsidRPr="00D939CF">
        <w:rPr>
          <w:rFonts w:ascii="Arial" w:hAnsi="Arial" w:cs="Arial"/>
          <w:sz w:val="24"/>
          <w:szCs w:val="24"/>
        </w:rPr>
        <w:t xml:space="preserve">172 </w:t>
      </w:r>
      <w:r w:rsidR="00603172" w:rsidRPr="00D939CF">
        <w:rPr>
          <w:rFonts w:ascii="Arial" w:hAnsi="Arial" w:cs="Arial"/>
          <w:sz w:val="24"/>
          <w:szCs w:val="24"/>
        </w:rPr>
        <w:t>responses</w:t>
      </w:r>
      <w:r w:rsidR="00AD2FA5" w:rsidRPr="00D939CF">
        <w:rPr>
          <w:rFonts w:ascii="Arial" w:hAnsi="Arial" w:cs="Arial"/>
          <w:sz w:val="24"/>
          <w:szCs w:val="24"/>
        </w:rPr>
        <w:t>)</w:t>
      </w:r>
      <w:r w:rsidR="00F46238" w:rsidRPr="00D939CF">
        <w:rPr>
          <w:rFonts w:ascii="Arial" w:hAnsi="Arial" w:cs="Arial"/>
          <w:sz w:val="24"/>
          <w:szCs w:val="24"/>
        </w:rPr>
        <w:t>.</w:t>
      </w:r>
      <w:r w:rsidR="007F7D88" w:rsidRPr="00BC2C95">
        <w:rPr>
          <w:rFonts w:ascii="Arial" w:hAnsi="Arial" w:cs="Arial"/>
          <w:sz w:val="24"/>
          <w:szCs w:val="24"/>
        </w:rPr>
        <w:t xml:space="preserve"> </w:t>
      </w:r>
      <w:r w:rsidR="00DD7F3A" w:rsidRPr="00BC2C95">
        <w:rPr>
          <w:rFonts w:ascii="Arial" w:hAnsi="Arial" w:cs="Arial"/>
          <w:sz w:val="24"/>
          <w:szCs w:val="24"/>
        </w:rPr>
        <w:t xml:space="preserve">Of the </w:t>
      </w:r>
      <w:r w:rsidR="0082631D" w:rsidRPr="00BC2C95">
        <w:rPr>
          <w:rFonts w:ascii="Arial" w:hAnsi="Arial" w:cs="Arial"/>
          <w:sz w:val="24"/>
          <w:szCs w:val="24"/>
        </w:rPr>
        <w:t xml:space="preserve">five </w:t>
      </w:r>
      <w:r w:rsidR="00DD7F3A" w:rsidRPr="00BC2C95">
        <w:rPr>
          <w:rFonts w:ascii="Arial" w:hAnsi="Arial" w:cs="Arial"/>
          <w:sz w:val="24"/>
          <w:szCs w:val="24"/>
        </w:rPr>
        <w:t>people who responded other</w:t>
      </w:r>
      <w:r w:rsidR="000C3D7F" w:rsidRPr="00BC2C95">
        <w:rPr>
          <w:rFonts w:ascii="Arial" w:hAnsi="Arial" w:cs="Arial"/>
          <w:sz w:val="24"/>
          <w:szCs w:val="24"/>
        </w:rPr>
        <w:t xml:space="preserve">, two </w:t>
      </w:r>
      <w:r w:rsidR="007F2F76" w:rsidRPr="00BC2C95">
        <w:rPr>
          <w:rFonts w:ascii="Arial" w:hAnsi="Arial" w:cs="Arial"/>
          <w:sz w:val="24"/>
          <w:szCs w:val="24"/>
        </w:rPr>
        <w:t xml:space="preserve">comments </w:t>
      </w:r>
      <w:r w:rsidR="00587325" w:rsidRPr="00BC2C95">
        <w:rPr>
          <w:rFonts w:ascii="Arial" w:hAnsi="Arial" w:cs="Arial"/>
          <w:sz w:val="24"/>
          <w:szCs w:val="24"/>
        </w:rPr>
        <w:t xml:space="preserve">referred to buying cosmetics and general </w:t>
      </w:r>
      <w:r w:rsidR="00753A81" w:rsidRPr="00BC2C95">
        <w:rPr>
          <w:rFonts w:ascii="Arial" w:hAnsi="Arial" w:cs="Arial"/>
          <w:sz w:val="24"/>
          <w:szCs w:val="24"/>
        </w:rPr>
        <w:t>toiletries</w:t>
      </w:r>
      <w:r w:rsidR="00B72A9E" w:rsidRPr="00BC2C95">
        <w:rPr>
          <w:rFonts w:ascii="Arial" w:hAnsi="Arial" w:cs="Arial"/>
          <w:sz w:val="24"/>
          <w:szCs w:val="24"/>
        </w:rPr>
        <w:t xml:space="preserve"> </w:t>
      </w:r>
      <w:r w:rsidR="003226BC" w:rsidRPr="00BC2C95">
        <w:rPr>
          <w:rFonts w:ascii="Arial" w:hAnsi="Arial" w:cs="Arial"/>
          <w:sz w:val="24"/>
          <w:szCs w:val="24"/>
        </w:rPr>
        <w:t xml:space="preserve">or both </w:t>
      </w:r>
      <w:r w:rsidR="00B72A9E" w:rsidRPr="00BC2C95">
        <w:rPr>
          <w:rFonts w:ascii="Arial" w:hAnsi="Arial" w:cs="Arial"/>
          <w:sz w:val="24"/>
          <w:szCs w:val="24"/>
        </w:rPr>
        <w:t>as a reason for visiting a pharmacy</w:t>
      </w:r>
      <w:r w:rsidR="00753A81" w:rsidRPr="00BC2C95">
        <w:rPr>
          <w:rFonts w:ascii="Arial" w:hAnsi="Arial" w:cs="Arial"/>
          <w:sz w:val="24"/>
          <w:szCs w:val="24"/>
        </w:rPr>
        <w:t>.</w:t>
      </w:r>
      <w:r w:rsidR="00647C99" w:rsidRPr="00BC2C95">
        <w:rPr>
          <w:rFonts w:ascii="Arial" w:hAnsi="Arial" w:cs="Arial"/>
          <w:sz w:val="24"/>
          <w:szCs w:val="24"/>
        </w:rPr>
        <w:t xml:space="preserve"> The remaining three comments were related to how the </w:t>
      </w:r>
      <w:r w:rsidR="00400D67" w:rsidRPr="00BC2C95">
        <w:rPr>
          <w:rFonts w:ascii="Arial" w:hAnsi="Arial" w:cs="Arial"/>
          <w:sz w:val="24"/>
          <w:szCs w:val="24"/>
        </w:rPr>
        <w:t xml:space="preserve">Coronavirus (COVID-19) </w:t>
      </w:r>
      <w:r w:rsidR="00EF2141" w:rsidRPr="00BC2C95">
        <w:rPr>
          <w:rFonts w:ascii="Arial" w:hAnsi="Arial" w:cs="Arial"/>
          <w:sz w:val="24"/>
          <w:szCs w:val="24"/>
        </w:rPr>
        <w:t xml:space="preserve">pandemic </w:t>
      </w:r>
      <w:r w:rsidR="00FB6C94" w:rsidRPr="00BC2C95">
        <w:rPr>
          <w:rFonts w:ascii="Arial" w:hAnsi="Arial" w:cs="Arial"/>
          <w:sz w:val="24"/>
          <w:szCs w:val="24"/>
        </w:rPr>
        <w:t xml:space="preserve">and </w:t>
      </w:r>
      <w:r w:rsidR="00093A6F" w:rsidRPr="00BC2C95">
        <w:rPr>
          <w:rFonts w:ascii="Arial" w:hAnsi="Arial" w:cs="Arial"/>
          <w:sz w:val="24"/>
          <w:szCs w:val="24"/>
        </w:rPr>
        <w:t xml:space="preserve">guidance on </w:t>
      </w:r>
      <w:r w:rsidR="00FB6C94" w:rsidRPr="00BC2C95">
        <w:rPr>
          <w:rFonts w:ascii="Arial" w:hAnsi="Arial" w:cs="Arial"/>
          <w:sz w:val="24"/>
          <w:szCs w:val="24"/>
        </w:rPr>
        <w:t xml:space="preserve">shielding requirements </w:t>
      </w:r>
      <w:r w:rsidR="00400D67" w:rsidRPr="00BC2C95">
        <w:rPr>
          <w:rFonts w:ascii="Arial" w:hAnsi="Arial" w:cs="Arial"/>
          <w:sz w:val="24"/>
          <w:szCs w:val="24"/>
        </w:rPr>
        <w:t xml:space="preserve">had </w:t>
      </w:r>
      <w:r w:rsidR="003D3A53" w:rsidRPr="00BC2C95">
        <w:rPr>
          <w:rFonts w:ascii="Arial" w:hAnsi="Arial" w:cs="Arial"/>
          <w:sz w:val="24"/>
          <w:szCs w:val="24"/>
        </w:rPr>
        <w:t xml:space="preserve">forced </w:t>
      </w:r>
      <w:r w:rsidR="00D83086" w:rsidRPr="00BC2C95">
        <w:rPr>
          <w:rFonts w:ascii="Arial" w:hAnsi="Arial" w:cs="Arial"/>
          <w:sz w:val="24"/>
          <w:szCs w:val="24"/>
        </w:rPr>
        <w:t>respondent</w:t>
      </w:r>
      <w:r w:rsidR="00AE4FEE" w:rsidRPr="00BC2C95">
        <w:rPr>
          <w:rFonts w:ascii="Arial" w:hAnsi="Arial" w:cs="Arial"/>
          <w:sz w:val="24"/>
          <w:szCs w:val="24"/>
        </w:rPr>
        <w:t xml:space="preserve">s </w:t>
      </w:r>
      <w:r w:rsidR="003D3A53" w:rsidRPr="00BC2C95">
        <w:rPr>
          <w:rFonts w:ascii="Arial" w:hAnsi="Arial" w:cs="Arial"/>
          <w:sz w:val="24"/>
          <w:szCs w:val="24"/>
        </w:rPr>
        <w:t xml:space="preserve">to change how they </w:t>
      </w:r>
      <w:r w:rsidR="00B94415" w:rsidRPr="00BC2C95">
        <w:rPr>
          <w:rFonts w:ascii="Arial" w:hAnsi="Arial" w:cs="Arial"/>
          <w:sz w:val="24"/>
          <w:szCs w:val="24"/>
        </w:rPr>
        <w:t xml:space="preserve">usually </w:t>
      </w:r>
      <w:r w:rsidR="00AE4FEE" w:rsidRPr="00BC2C95">
        <w:rPr>
          <w:rFonts w:ascii="Arial" w:hAnsi="Arial" w:cs="Arial"/>
          <w:sz w:val="24"/>
          <w:szCs w:val="24"/>
        </w:rPr>
        <w:t xml:space="preserve">collect their </w:t>
      </w:r>
      <w:r w:rsidR="00EE697A" w:rsidRPr="00BC2C95">
        <w:rPr>
          <w:rFonts w:ascii="Arial" w:hAnsi="Arial" w:cs="Arial"/>
          <w:sz w:val="24"/>
          <w:szCs w:val="24"/>
        </w:rPr>
        <w:t xml:space="preserve">dispensed </w:t>
      </w:r>
      <w:r w:rsidR="00AE4FEE" w:rsidRPr="00BC2C95">
        <w:rPr>
          <w:rFonts w:ascii="Arial" w:hAnsi="Arial" w:cs="Arial"/>
          <w:sz w:val="24"/>
          <w:szCs w:val="24"/>
        </w:rPr>
        <w:t>medicines from a pharmacy</w:t>
      </w:r>
      <w:r w:rsidR="003D3A53" w:rsidRPr="00BC2C95">
        <w:rPr>
          <w:rFonts w:ascii="Arial" w:hAnsi="Arial" w:cs="Arial"/>
          <w:sz w:val="24"/>
          <w:szCs w:val="24"/>
        </w:rPr>
        <w:t xml:space="preserve">: </w:t>
      </w:r>
    </w:p>
    <w:p w14:paraId="07072F8F" w14:textId="0830DC3E" w:rsidR="000E3613" w:rsidRPr="00BC2C95" w:rsidRDefault="000E3613" w:rsidP="00DC54F7">
      <w:pPr>
        <w:pStyle w:val="ListParagraph"/>
        <w:numPr>
          <w:ilvl w:val="0"/>
          <w:numId w:val="68"/>
        </w:numPr>
        <w:spacing w:after="0" w:line="240" w:lineRule="auto"/>
        <w:jc w:val="both"/>
        <w:rPr>
          <w:sz w:val="24"/>
          <w:szCs w:val="24"/>
        </w:rPr>
      </w:pPr>
      <w:r w:rsidRPr="00BC2C95">
        <w:rPr>
          <w:rFonts w:ascii="Arial" w:eastAsia="Times New Roman" w:hAnsi="Arial" w:cs="Arial"/>
          <w:sz w:val="24"/>
          <w:szCs w:val="24"/>
        </w:rPr>
        <w:t>“Collect myself until shielding was in place.”</w:t>
      </w:r>
    </w:p>
    <w:p w14:paraId="5CBFFA10" w14:textId="77777777" w:rsidR="004A655D" w:rsidRPr="00BC2C95" w:rsidRDefault="004A655D" w:rsidP="00DC54F7">
      <w:pPr>
        <w:pStyle w:val="ListParagraph"/>
        <w:numPr>
          <w:ilvl w:val="0"/>
          <w:numId w:val="68"/>
        </w:numPr>
        <w:spacing w:after="0" w:line="240" w:lineRule="auto"/>
        <w:jc w:val="both"/>
        <w:rPr>
          <w:rFonts w:ascii="Arial" w:hAnsi="Arial" w:cs="Arial"/>
          <w:sz w:val="24"/>
          <w:szCs w:val="24"/>
        </w:rPr>
      </w:pPr>
      <w:r w:rsidRPr="00BC2C95">
        <w:rPr>
          <w:rFonts w:ascii="Arial" w:hAnsi="Arial" w:cs="Arial"/>
          <w:sz w:val="24"/>
          <w:szCs w:val="24"/>
        </w:rPr>
        <w:t>“Currently husband collects medication to allow me to shield.”</w:t>
      </w:r>
    </w:p>
    <w:p w14:paraId="7EB9A059" w14:textId="3B9016B2" w:rsidR="00097798" w:rsidRPr="00BC2C95" w:rsidRDefault="00820E92" w:rsidP="00DC54F7">
      <w:pPr>
        <w:spacing w:after="0" w:line="240" w:lineRule="auto"/>
        <w:jc w:val="both"/>
        <w:rPr>
          <w:rFonts w:ascii="Arial" w:hAnsi="Arial" w:cs="Arial"/>
          <w:b/>
          <w:bCs/>
          <w:sz w:val="24"/>
          <w:szCs w:val="24"/>
        </w:rPr>
      </w:pPr>
      <w:r w:rsidRPr="00D939CF">
        <w:rPr>
          <w:rFonts w:ascii="Arial" w:hAnsi="Arial" w:cs="Arial"/>
          <w:b/>
          <w:bCs/>
          <w:sz w:val="24"/>
          <w:szCs w:val="24"/>
        </w:rPr>
        <w:lastRenderedPageBreak/>
        <w:t xml:space="preserve">Figure 1.2: </w:t>
      </w:r>
      <w:r w:rsidR="00086BAA" w:rsidRPr="00D939CF">
        <w:rPr>
          <w:rFonts w:ascii="Arial" w:hAnsi="Arial" w:cs="Arial"/>
          <w:b/>
          <w:bCs/>
          <w:sz w:val="24"/>
          <w:szCs w:val="24"/>
        </w:rPr>
        <w:t>Reasons for vising a pharmacy</w:t>
      </w:r>
    </w:p>
    <w:p w14:paraId="1C0141A1" w14:textId="46E3CEFD" w:rsidR="00303B3C" w:rsidRDefault="008E46CA" w:rsidP="00DC54F7">
      <w:pPr>
        <w:spacing w:after="0" w:line="240" w:lineRule="auto"/>
        <w:jc w:val="both"/>
        <w:rPr>
          <w:rFonts w:ascii="Arial" w:hAnsi="Arial" w:cs="Arial"/>
        </w:rPr>
      </w:pPr>
      <w:r>
        <w:rPr>
          <w:noProof/>
          <w:lang w:eastAsia="en-GB"/>
        </w:rPr>
        <w:drawing>
          <wp:inline distT="0" distB="0" distL="0" distR="0" wp14:anchorId="2C88884B" wp14:editId="560B4054">
            <wp:extent cx="5661025" cy="2711394"/>
            <wp:effectExtent l="0" t="0" r="15875" b="13335"/>
            <wp:docPr id="24" name="Chart 2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4D49B85-8883-4BF0-9201-E4BE8C5F9A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4B32CFD" w14:textId="77777777" w:rsidR="00BC2C95" w:rsidRDefault="00BC2C95" w:rsidP="00DC54F7">
      <w:pPr>
        <w:spacing w:after="0" w:line="240" w:lineRule="auto"/>
        <w:jc w:val="both"/>
        <w:rPr>
          <w:rFonts w:ascii="Arial" w:hAnsi="Arial" w:cs="Arial"/>
        </w:rPr>
      </w:pPr>
    </w:p>
    <w:p w14:paraId="6068D379" w14:textId="71937478" w:rsidR="00EF33B3" w:rsidRPr="00BC2C95" w:rsidRDefault="00E4595C" w:rsidP="00DC54F7">
      <w:pPr>
        <w:spacing w:after="0" w:line="240" w:lineRule="auto"/>
        <w:jc w:val="both"/>
        <w:rPr>
          <w:rFonts w:ascii="Arial" w:hAnsi="Arial" w:cs="Arial"/>
          <w:bCs/>
          <w:sz w:val="24"/>
          <w:szCs w:val="24"/>
        </w:rPr>
      </w:pPr>
      <w:r w:rsidRPr="00BC2C95">
        <w:rPr>
          <w:rFonts w:ascii="Arial" w:hAnsi="Arial" w:cs="Arial"/>
          <w:sz w:val="24"/>
          <w:szCs w:val="24"/>
        </w:rPr>
        <w:t xml:space="preserve">Most </w:t>
      </w:r>
      <w:r w:rsidR="00D83086" w:rsidRPr="00BC2C95">
        <w:rPr>
          <w:rFonts w:ascii="Arial" w:hAnsi="Arial" w:cs="Arial"/>
          <w:sz w:val="24"/>
          <w:szCs w:val="24"/>
        </w:rPr>
        <w:t>respondent</w:t>
      </w:r>
      <w:r w:rsidRPr="00BC2C95">
        <w:rPr>
          <w:rFonts w:ascii="Arial" w:hAnsi="Arial" w:cs="Arial"/>
          <w:sz w:val="24"/>
          <w:szCs w:val="24"/>
        </w:rPr>
        <w:t xml:space="preserve">s </w:t>
      </w:r>
      <w:r w:rsidR="00BD4D0C" w:rsidRPr="00BC2C95">
        <w:rPr>
          <w:rFonts w:ascii="Arial" w:hAnsi="Arial" w:cs="Arial"/>
          <w:sz w:val="24"/>
          <w:szCs w:val="24"/>
        </w:rPr>
        <w:t xml:space="preserve">(63%, 194 out of 308 people) </w:t>
      </w:r>
      <w:r w:rsidRPr="00BC2C95">
        <w:rPr>
          <w:rFonts w:ascii="Arial" w:hAnsi="Arial" w:cs="Arial"/>
          <w:sz w:val="24"/>
          <w:szCs w:val="24"/>
        </w:rPr>
        <w:t xml:space="preserve">visit a pharmacy on a monthly basis, reflecting the length of their prescription. Of the </w:t>
      </w:r>
      <w:r w:rsidR="00CE4011" w:rsidRPr="00BC2C95">
        <w:rPr>
          <w:rFonts w:ascii="Arial" w:hAnsi="Arial" w:cs="Arial"/>
          <w:sz w:val="24"/>
          <w:szCs w:val="24"/>
        </w:rPr>
        <w:t>2</w:t>
      </w:r>
      <w:r w:rsidRPr="00BC2C95">
        <w:rPr>
          <w:rFonts w:ascii="Arial" w:hAnsi="Arial" w:cs="Arial"/>
          <w:sz w:val="24"/>
          <w:szCs w:val="24"/>
        </w:rPr>
        <w:t>3</w:t>
      </w:r>
      <w:r w:rsidR="00606B6E" w:rsidRPr="00BC2C95">
        <w:rPr>
          <w:rFonts w:ascii="Arial" w:hAnsi="Arial" w:cs="Arial"/>
          <w:sz w:val="24"/>
          <w:szCs w:val="24"/>
        </w:rPr>
        <w:t xml:space="preserve"> people </w:t>
      </w:r>
      <w:r w:rsidR="00983C37" w:rsidRPr="00BC2C95">
        <w:rPr>
          <w:rFonts w:ascii="Arial" w:hAnsi="Arial" w:cs="Arial"/>
          <w:sz w:val="24"/>
          <w:szCs w:val="24"/>
        </w:rPr>
        <w:t>who responded other, nine</w:t>
      </w:r>
      <w:r w:rsidR="00CE4011" w:rsidRPr="00BC2C95">
        <w:rPr>
          <w:rFonts w:ascii="Arial" w:hAnsi="Arial" w:cs="Arial"/>
          <w:sz w:val="24"/>
          <w:szCs w:val="24"/>
        </w:rPr>
        <w:t xml:space="preserve"> </w:t>
      </w:r>
      <w:r w:rsidRPr="00BC2C95">
        <w:rPr>
          <w:rFonts w:ascii="Arial" w:hAnsi="Arial" w:cs="Arial"/>
          <w:sz w:val="24"/>
          <w:szCs w:val="24"/>
        </w:rPr>
        <w:t xml:space="preserve">visited a pharmacy to collect their </w:t>
      </w:r>
      <w:r w:rsidR="00983C37" w:rsidRPr="00BC2C95">
        <w:rPr>
          <w:rFonts w:ascii="Arial" w:hAnsi="Arial" w:cs="Arial"/>
          <w:sz w:val="24"/>
          <w:szCs w:val="24"/>
        </w:rPr>
        <w:t xml:space="preserve">two </w:t>
      </w:r>
      <w:r w:rsidRPr="00BC2C95">
        <w:rPr>
          <w:rFonts w:ascii="Arial" w:hAnsi="Arial" w:cs="Arial"/>
          <w:sz w:val="24"/>
          <w:szCs w:val="24"/>
        </w:rPr>
        <w:t>monthly repeat prescription</w:t>
      </w:r>
      <w:r w:rsidR="008166F7" w:rsidRPr="00BC2C95">
        <w:rPr>
          <w:rFonts w:ascii="Arial" w:hAnsi="Arial" w:cs="Arial"/>
          <w:sz w:val="24"/>
          <w:szCs w:val="24"/>
        </w:rPr>
        <w:t>, on</w:t>
      </w:r>
      <w:r w:rsidR="00C61559" w:rsidRPr="00BC2C95">
        <w:rPr>
          <w:rFonts w:ascii="Arial" w:hAnsi="Arial" w:cs="Arial"/>
          <w:sz w:val="24"/>
          <w:szCs w:val="24"/>
        </w:rPr>
        <w:t xml:space="preserve">e person </w:t>
      </w:r>
      <w:r w:rsidR="00141E64" w:rsidRPr="00BC2C95">
        <w:rPr>
          <w:rFonts w:ascii="Arial" w:hAnsi="Arial" w:cs="Arial"/>
          <w:sz w:val="24"/>
          <w:szCs w:val="24"/>
        </w:rPr>
        <w:t>visited the pharmacy every six weeks</w:t>
      </w:r>
      <w:r w:rsidRPr="00BC2C95">
        <w:rPr>
          <w:rFonts w:ascii="Arial" w:hAnsi="Arial" w:cs="Arial"/>
          <w:sz w:val="24"/>
          <w:szCs w:val="24"/>
        </w:rPr>
        <w:t xml:space="preserve"> and </w:t>
      </w:r>
      <w:r w:rsidR="00F95E36" w:rsidRPr="00BC2C95">
        <w:rPr>
          <w:rFonts w:ascii="Arial" w:hAnsi="Arial" w:cs="Arial"/>
          <w:sz w:val="24"/>
          <w:szCs w:val="24"/>
        </w:rPr>
        <w:t>11</w:t>
      </w:r>
      <w:r w:rsidRPr="00BC2C95">
        <w:rPr>
          <w:rFonts w:ascii="Arial" w:hAnsi="Arial" w:cs="Arial"/>
          <w:sz w:val="24"/>
          <w:szCs w:val="24"/>
        </w:rPr>
        <w:t xml:space="preserve"> visited a pharmacy rarely or whenever needed</w:t>
      </w:r>
      <w:r w:rsidR="00262493" w:rsidRPr="00BC2C95">
        <w:rPr>
          <w:rFonts w:ascii="Arial" w:hAnsi="Arial" w:cs="Arial"/>
          <w:sz w:val="24"/>
          <w:szCs w:val="24"/>
        </w:rPr>
        <w:t>:</w:t>
      </w:r>
      <w:r w:rsidR="00EF33B3" w:rsidRPr="00BC2C95">
        <w:rPr>
          <w:rFonts w:ascii="Arial" w:hAnsi="Arial" w:cs="Arial"/>
          <w:bCs/>
          <w:sz w:val="24"/>
          <w:szCs w:val="24"/>
        </w:rPr>
        <w:tab/>
      </w:r>
      <w:r w:rsidR="00EF33B3" w:rsidRPr="00BC2C95">
        <w:rPr>
          <w:rFonts w:ascii="Arial" w:hAnsi="Arial" w:cs="Arial"/>
          <w:bCs/>
          <w:sz w:val="24"/>
          <w:szCs w:val="24"/>
        </w:rPr>
        <w:tab/>
      </w:r>
    </w:p>
    <w:p w14:paraId="11C4A3CA" w14:textId="760853B5" w:rsidR="00D35C90" w:rsidRPr="00BC2C95" w:rsidRDefault="00EF33B3" w:rsidP="00DC54F7">
      <w:pPr>
        <w:pStyle w:val="ListParagraph"/>
        <w:numPr>
          <w:ilvl w:val="0"/>
          <w:numId w:val="69"/>
        </w:numPr>
        <w:spacing w:after="0" w:line="240" w:lineRule="auto"/>
        <w:jc w:val="both"/>
        <w:rPr>
          <w:rFonts w:ascii="Arial" w:hAnsi="Arial" w:cs="Arial"/>
          <w:bCs/>
          <w:sz w:val="24"/>
          <w:szCs w:val="24"/>
        </w:rPr>
      </w:pPr>
      <w:r w:rsidRPr="00BC2C95">
        <w:rPr>
          <w:rFonts w:ascii="Arial" w:hAnsi="Arial" w:cs="Arial"/>
          <w:bCs/>
          <w:sz w:val="24"/>
          <w:szCs w:val="24"/>
        </w:rPr>
        <w:t>“When necessary, depending on levels of illness.  I’m healthy therefore I don’t attend regularly.”</w:t>
      </w:r>
    </w:p>
    <w:p w14:paraId="2680444F" w14:textId="77777777" w:rsidR="001B4346" w:rsidRPr="00BC2C95" w:rsidRDefault="001B4346" w:rsidP="00DC54F7">
      <w:pPr>
        <w:spacing w:after="0" w:line="240" w:lineRule="auto"/>
        <w:jc w:val="both"/>
        <w:rPr>
          <w:rFonts w:ascii="Arial" w:hAnsi="Arial" w:cs="Arial"/>
          <w:bCs/>
          <w:sz w:val="24"/>
          <w:szCs w:val="24"/>
        </w:rPr>
      </w:pPr>
    </w:p>
    <w:p w14:paraId="32317430" w14:textId="5EC388AF" w:rsidR="000B34BC" w:rsidRPr="00BC2C95" w:rsidRDefault="000B34BC" w:rsidP="00DC54F7">
      <w:pPr>
        <w:spacing w:after="0" w:line="240" w:lineRule="auto"/>
        <w:jc w:val="both"/>
        <w:rPr>
          <w:rFonts w:ascii="Arial" w:hAnsi="Arial" w:cs="Arial"/>
          <w:bCs/>
          <w:sz w:val="24"/>
          <w:szCs w:val="24"/>
        </w:rPr>
      </w:pPr>
      <w:r w:rsidRPr="00BC2C95">
        <w:rPr>
          <w:rFonts w:ascii="Arial" w:hAnsi="Arial" w:cs="Arial"/>
          <w:bCs/>
          <w:sz w:val="24"/>
          <w:szCs w:val="24"/>
        </w:rPr>
        <w:t>One comment</w:t>
      </w:r>
      <w:r w:rsidR="005C2F5A" w:rsidRPr="00BC2C95">
        <w:rPr>
          <w:rFonts w:ascii="Arial" w:hAnsi="Arial" w:cs="Arial"/>
          <w:bCs/>
          <w:sz w:val="24"/>
          <w:szCs w:val="24"/>
        </w:rPr>
        <w:t xml:space="preserve">ed how </w:t>
      </w:r>
      <w:r w:rsidR="0092172D" w:rsidRPr="00BC2C95">
        <w:rPr>
          <w:rFonts w:ascii="Arial" w:hAnsi="Arial" w:cs="Arial"/>
          <w:bCs/>
          <w:sz w:val="24"/>
          <w:szCs w:val="24"/>
        </w:rPr>
        <w:t xml:space="preserve">the frequency had changed due to </w:t>
      </w:r>
      <w:r w:rsidR="008B60E0" w:rsidRPr="00BC2C95">
        <w:rPr>
          <w:rFonts w:ascii="Arial" w:hAnsi="Arial" w:cs="Arial"/>
          <w:bCs/>
          <w:sz w:val="24"/>
          <w:szCs w:val="24"/>
        </w:rPr>
        <w:t>a prescription item not being available</w:t>
      </w:r>
      <w:r w:rsidR="00097798" w:rsidRPr="00BC2C95">
        <w:rPr>
          <w:rFonts w:ascii="Arial" w:hAnsi="Arial" w:cs="Arial"/>
          <w:bCs/>
          <w:sz w:val="24"/>
          <w:szCs w:val="24"/>
        </w:rPr>
        <w:t>:</w:t>
      </w:r>
    </w:p>
    <w:p w14:paraId="75963EBD" w14:textId="2AAA3367" w:rsidR="000B34BC" w:rsidRPr="00BC2C95" w:rsidRDefault="000B34BC" w:rsidP="00DC54F7">
      <w:pPr>
        <w:pStyle w:val="ListParagraph"/>
        <w:numPr>
          <w:ilvl w:val="0"/>
          <w:numId w:val="69"/>
        </w:numPr>
        <w:spacing w:after="0" w:line="240" w:lineRule="auto"/>
        <w:jc w:val="both"/>
        <w:rPr>
          <w:rFonts w:ascii="Symbol" w:eastAsia="Times New Roman" w:hAnsi="Symbol" w:cs="Calibri"/>
          <w:color w:val="000000"/>
          <w:sz w:val="24"/>
          <w:szCs w:val="24"/>
          <w:lang w:eastAsia="en-GB"/>
        </w:rPr>
      </w:pPr>
      <w:r w:rsidRPr="00BC2C95">
        <w:rPr>
          <w:rFonts w:ascii="Arial" w:eastAsia="Times New Roman" w:hAnsi="Arial" w:cs="Arial"/>
          <w:color w:val="000000"/>
          <w:sz w:val="24"/>
          <w:szCs w:val="24"/>
          <w:lang w:eastAsia="en-GB"/>
        </w:rPr>
        <w:t xml:space="preserve">“Usually monthly but as often a seven times recently (last quarter) due to prescription items not being Avalon </w:t>
      </w:r>
      <w:r w:rsidR="001B4346" w:rsidRPr="00BC2C95">
        <w:rPr>
          <w:rFonts w:ascii="Arial" w:eastAsia="Times New Roman" w:hAnsi="Arial" w:cs="Arial"/>
          <w:color w:val="000000"/>
          <w:sz w:val="24"/>
          <w:szCs w:val="24"/>
          <w:lang w:eastAsia="en-GB"/>
        </w:rPr>
        <w:t xml:space="preserve">[available on] </w:t>
      </w:r>
      <w:r w:rsidRPr="00BC2C95">
        <w:rPr>
          <w:rFonts w:ascii="Arial" w:eastAsia="Times New Roman" w:hAnsi="Arial" w:cs="Arial"/>
          <w:color w:val="000000"/>
          <w:sz w:val="24"/>
          <w:szCs w:val="24"/>
          <w:lang w:eastAsia="en-GB"/>
        </w:rPr>
        <w:t xml:space="preserve">time.” </w:t>
      </w:r>
    </w:p>
    <w:p w14:paraId="1291218D" w14:textId="77777777" w:rsidR="00D2127B" w:rsidRPr="00BC2C95" w:rsidRDefault="00D2127B" w:rsidP="00DC54F7">
      <w:pPr>
        <w:spacing w:after="0" w:line="240" w:lineRule="auto"/>
        <w:jc w:val="both"/>
        <w:rPr>
          <w:rFonts w:ascii="Arial" w:eastAsia="Times New Roman" w:hAnsi="Arial" w:cs="Arial"/>
          <w:color w:val="000000"/>
          <w:sz w:val="24"/>
          <w:szCs w:val="24"/>
          <w:lang w:eastAsia="en-GB"/>
        </w:rPr>
      </w:pPr>
    </w:p>
    <w:p w14:paraId="5E82C59E" w14:textId="146C1C94" w:rsidR="00655F1E" w:rsidRPr="00BC2C95" w:rsidRDefault="00967522" w:rsidP="00DC54F7">
      <w:p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 xml:space="preserve">One </w:t>
      </w:r>
      <w:r w:rsidR="00D2127B" w:rsidRPr="00BC2C95">
        <w:rPr>
          <w:rFonts w:ascii="Arial" w:eastAsia="Times New Roman" w:hAnsi="Arial" w:cs="Arial"/>
          <w:color w:val="000000"/>
          <w:sz w:val="24"/>
          <w:szCs w:val="24"/>
          <w:lang w:eastAsia="en-GB"/>
        </w:rPr>
        <w:t>person responded that they were shielding so someone else collected on their behalf.</w:t>
      </w:r>
    </w:p>
    <w:p w14:paraId="417396C9" w14:textId="77777777" w:rsidR="00097798" w:rsidRDefault="00097798" w:rsidP="00DC54F7">
      <w:pPr>
        <w:spacing w:after="0" w:line="240" w:lineRule="auto"/>
        <w:jc w:val="both"/>
        <w:rPr>
          <w:rFonts w:ascii="Arial" w:hAnsi="Arial" w:cs="Arial"/>
          <w:bCs/>
        </w:rPr>
      </w:pPr>
    </w:p>
    <w:p w14:paraId="19DA1AA2" w14:textId="448FE8AA" w:rsidR="00C17AD7" w:rsidRPr="00D71449" w:rsidRDefault="00917108" w:rsidP="00DC54F7">
      <w:pPr>
        <w:spacing w:after="0" w:line="240" w:lineRule="auto"/>
        <w:jc w:val="both"/>
        <w:rPr>
          <w:rFonts w:ascii="Arial" w:hAnsi="Arial" w:cs="Arial"/>
          <w:b/>
          <w:sz w:val="24"/>
          <w:szCs w:val="24"/>
        </w:rPr>
      </w:pPr>
      <w:r>
        <w:rPr>
          <w:rFonts w:ascii="Arial" w:hAnsi="Arial" w:cs="Arial"/>
          <w:b/>
          <w:sz w:val="24"/>
          <w:szCs w:val="24"/>
        </w:rPr>
        <w:t>Figure 1.</w:t>
      </w:r>
      <w:r w:rsidR="00200751">
        <w:rPr>
          <w:rFonts w:ascii="Arial" w:hAnsi="Arial" w:cs="Arial"/>
          <w:b/>
          <w:sz w:val="24"/>
          <w:szCs w:val="24"/>
        </w:rPr>
        <w:t>3</w:t>
      </w:r>
      <w:r>
        <w:rPr>
          <w:rFonts w:ascii="Arial" w:hAnsi="Arial" w:cs="Arial"/>
          <w:b/>
          <w:sz w:val="24"/>
          <w:szCs w:val="24"/>
        </w:rPr>
        <w:t xml:space="preserve">: </w:t>
      </w:r>
      <w:r w:rsidR="00BF1C1E">
        <w:rPr>
          <w:rFonts w:ascii="Arial" w:hAnsi="Arial" w:cs="Arial"/>
          <w:b/>
          <w:sz w:val="24"/>
          <w:szCs w:val="24"/>
        </w:rPr>
        <w:t xml:space="preserve">Frequency of using a </w:t>
      </w:r>
      <w:r>
        <w:rPr>
          <w:rFonts w:ascii="Arial" w:hAnsi="Arial" w:cs="Arial"/>
          <w:b/>
          <w:sz w:val="24"/>
          <w:szCs w:val="24"/>
        </w:rPr>
        <w:t>pharmacy</w:t>
      </w:r>
    </w:p>
    <w:p w14:paraId="4BA5B304" w14:textId="28E25F3C" w:rsidR="00AD2FA5" w:rsidRDefault="00317447" w:rsidP="00DC54F7">
      <w:pPr>
        <w:spacing w:after="0" w:line="240" w:lineRule="auto"/>
        <w:jc w:val="both"/>
        <w:rPr>
          <w:rFonts w:ascii="Arial" w:hAnsi="Arial" w:cs="Arial"/>
        </w:rPr>
      </w:pPr>
      <w:r>
        <w:rPr>
          <w:noProof/>
          <w:lang w:eastAsia="en-GB"/>
        </w:rPr>
        <w:drawing>
          <wp:inline distT="0" distB="0" distL="0" distR="0" wp14:anchorId="0F6C48F5" wp14:editId="5F53C711">
            <wp:extent cx="5701030" cy="2608028"/>
            <wp:effectExtent l="0" t="0" r="13970" b="1905"/>
            <wp:docPr id="13" name="Chart 1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36A242A-DEC6-47B9-8C0B-259ADCA2B3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A332E9A" w14:textId="388048FB" w:rsidR="005D3361" w:rsidRPr="00BC2C95" w:rsidRDefault="005D3361" w:rsidP="00DC54F7">
      <w:pPr>
        <w:spacing w:after="0" w:line="240" w:lineRule="auto"/>
        <w:jc w:val="both"/>
        <w:rPr>
          <w:rFonts w:ascii="Arial" w:hAnsi="Arial" w:cs="Arial"/>
          <w:bCs/>
          <w:sz w:val="24"/>
          <w:szCs w:val="24"/>
        </w:rPr>
      </w:pPr>
      <w:r w:rsidRPr="00BC2C95">
        <w:rPr>
          <w:rFonts w:ascii="Arial" w:hAnsi="Arial" w:cs="Arial"/>
          <w:bCs/>
          <w:sz w:val="24"/>
          <w:szCs w:val="24"/>
        </w:rPr>
        <w:lastRenderedPageBreak/>
        <w:t xml:space="preserve">The majority of </w:t>
      </w:r>
      <w:r w:rsidR="00D83086" w:rsidRPr="00BC2C95">
        <w:rPr>
          <w:rFonts w:ascii="Arial" w:hAnsi="Arial" w:cs="Arial"/>
          <w:bCs/>
          <w:sz w:val="24"/>
          <w:szCs w:val="24"/>
        </w:rPr>
        <w:t>respondent</w:t>
      </w:r>
      <w:r w:rsidRPr="00BC2C95">
        <w:rPr>
          <w:rFonts w:ascii="Arial" w:hAnsi="Arial" w:cs="Arial"/>
          <w:bCs/>
          <w:sz w:val="24"/>
          <w:szCs w:val="24"/>
        </w:rPr>
        <w:t>s (3</w:t>
      </w:r>
      <w:r w:rsidR="00305841" w:rsidRPr="00BC2C95">
        <w:rPr>
          <w:rFonts w:ascii="Arial" w:hAnsi="Arial" w:cs="Arial"/>
          <w:bCs/>
          <w:sz w:val="24"/>
          <w:szCs w:val="24"/>
        </w:rPr>
        <w:t>7</w:t>
      </w:r>
      <w:r w:rsidRPr="00BC2C95">
        <w:rPr>
          <w:rFonts w:ascii="Arial" w:hAnsi="Arial" w:cs="Arial"/>
          <w:bCs/>
          <w:sz w:val="24"/>
          <w:szCs w:val="24"/>
        </w:rPr>
        <w:t>%</w:t>
      </w:r>
      <w:r w:rsidR="0093197C" w:rsidRPr="00BC2C95">
        <w:rPr>
          <w:rFonts w:ascii="Arial" w:hAnsi="Arial" w:cs="Arial"/>
          <w:bCs/>
          <w:sz w:val="24"/>
          <w:szCs w:val="24"/>
        </w:rPr>
        <w:t>, 113 out of 307 people</w:t>
      </w:r>
      <w:r w:rsidRPr="00BC2C95">
        <w:rPr>
          <w:rFonts w:ascii="Arial" w:hAnsi="Arial" w:cs="Arial"/>
          <w:bCs/>
          <w:sz w:val="24"/>
          <w:szCs w:val="24"/>
        </w:rPr>
        <w:t xml:space="preserve">) do not have a preference about when is the best time to use a pharmacy. Of the remaining responses, </w:t>
      </w:r>
      <w:r w:rsidR="002A2C11" w:rsidRPr="00BC2C95">
        <w:rPr>
          <w:rFonts w:ascii="Arial" w:hAnsi="Arial" w:cs="Arial"/>
          <w:bCs/>
          <w:sz w:val="24"/>
          <w:szCs w:val="24"/>
        </w:rPr>
        <w:t>4</w:t>
      </w:r>
      <w:r w:rsidR="000406E3" w:rsidRPr="00BC2C95">
        <w:rPr>
          <w:rFonts w:ascii="Arial" w:hAnsi="Arial" w:cs="Arial"/>
          <w:bCs/>
          <w:sz w:val="24"/>
          <w:szCs w:val="24"/>
        </w:rPr>
        <w:t>2</w:t>
      </w:r>
      <w:r w:rsidRPr="00BC2C95">
        <w:rPr>
          <w:rFonts w:ascii="Arial" w:hAnsi="Arial" w:cs="Arial"/>
          <w:bCs/>
          <w:sz w:val="24"/>
          <w:szCs w:val="24"/>
        </w:rPr>
        <w:t>% preferred to use a pharmacy between</w:t>
      </w:r>
      <w:r w:rsidR="0010483E" w:rsidRPr="00BC2C95">
        <w:rPr>
          <w:rFonts w:ascii="Arial" w:hAnsi="Arial" w:cs="Arial"/>
          <w:bCs/>
          <w:sz w:val="24"/>
          <w:szCs w:val="24"/>
        </w:rPr>
        <w:t xml:space="preserve"> </w:t>
      </w:r>
      <w:r w:rsidR="000406E3" w:rsidRPr="00BC2C95">
        <w:rPr>
          <w:rFonts w:ascii="Arial" w:hAnsi="Arial" w:cs="Arial"/>
          <w:bCs/>
          <w:sz w:val="24"/>
          <w:szCs w:val="24"/>
        </w:rPr>
        <w:t xml:space="preserve">9am </w:t>
      </w:r>
      <w:r w:rsidR="0010483E" w:rsidRPr="00BC2C95">
        <w:rPr>
          <w:rFonts w:ascii="Arial" w:hAnsi="Arial" w:cs="Arial"/>
          <w:bCs/>
          <w:sz w:val="24"/>
          <w:szCs w:val="24"/>
        </w:rPr>
        <w:t xml:space="preserve">and 6pm, </w:t>
      </w:r>
      <w:r w:rsidRPr="00BC2C95">
        <w:rPr>
          <w:rFonts w:ascii="Arial" w:hAnsi="Arial" w:cs="Arial"/>
          <w:bCs/>
          <w:sz w:val="24"/>
          <w:szCs w:val="24"/>
        </w:rPr>
        <w:t>with 2pm to 6pm being the most popular choice</w:t>
      </w:r>
      <w:r w:rsidR="0010483E" w:rsidRPr="00BC2C95">
        <w:rPr>
          <w:rFonts w:ascii="Arial" w:hAnsi="Arial" w:cs="Arial"/>
          <w:bCs/>
          <w:sz w:val="24"/>
          <w:szCs w:val="24"/>
        </w:rPr>
        <w:t xml:space="preserve"> followed by 6pm to 9pm</w:t>
      </w:r>
      <w:r w:rsidRPr="00BC2C95">
        <w:rPr>
          <w:rFonts w:ascii="Arial" w:hAnsi="Arial" w:cs="Arial"/>
          <w:bCs/>
          <w:sz w:val="24"/>
          <w:szCs w:val="24"/>
        </w:rPr>
        <w:t xml:space="preserve">. </w:t>
      </w:r>
    </w:p>
    <w:p w14:paraId="58C9B5AB" w14:textId="48FC4557" w:rsidR="004763A1" w:rsidRDefault="004763A1" w:rsidP="00DC54F7">
      <w:pPr>
        <w:spacing w:after="0" w:line="240" w:lineRule="auto"/>
        <w:jc w:val="both"/>
        <w:rPr>
          <w:rFonts w:ascii="Arial" w:hAnsi="Arial" w:cs="Arial"/>
        </w:rPr>
      </w:pPr>
    </w:p>
    <w:p w14:paraId="48F582F2" w14:textId="7B1D5788" w:rsidR="00557BE4" w:rsidRPr="004A7D79" w:rsidRDefault="00557BE4" w:rsidP="00DC54F7">
      <w:pPr>
        <w:spacing w:after="0" w:line="240" w:lineRule="auto"/>
        <w:jc w:val="both"/>
        <w:rPr>
          <w:rFonts w:ascii="Arial" w:hAnsi="Arial" w:cs="Arial"/>
          <w:b/>
          <w:sz w:val="24"/>
          <w:szCs w:val="24"/>
        </w:rPr>
      </w:pPr>
      <w:r>
        <w:rPr>
          <w:rFonts w:ascii="Arial" w:hAnsi="Arial" w:cs="Arial"/>
          <w:b/>
          <w:sz w:val="24"/>
          <w:szCs w:val="24"/>
        </w:rPr>
        <w:t>Figure 1.</w:t>
      </w:r>
      <w:r w:rsidR="00200751">
        <w:rPr>
          <w:rFonts w:ascii="Arial" w:hAnsi="Arial" w:cs="Arial"/>
          <w:b/>
          <w:sz w:val="24"/>
          <w:szCs w:val="24"/>
        </w:rPr>
        <w:t>4</w:t>
      </w:r>
      <w:r>
        <w:rPr>
          <w:rFonts w:ascii="Arial" w:hAnsi="Arial" w:cs="Arial"/>
          <w:b/>
          <w:sz w:val="24"/>
          <w:szCs w:val="24"/>
        </w:rPr>
        <w:t>: T</w:t>
      </w:r>
      <w:r w:rsidRPr="008A7207">
        <w:rPr>
          <w:rFonts w:ascii="Arial" w:hAnsi="Arial" w:cs="Arial"/>
          <w:b/>
          <w:sz w:val="24"/>
          <w:szCs w:val="24"/>
        </w:rPr>
        <w:t xml:space="preserve">he most convenient </w:t>
      </w:r>
      <w:r>
        <w:rPr>
          <w:rFonts w:ascii="Arial" w:hAnsi="Arial" w:cs="Arial"/>
          <w:b/>
          <w:sz w:val="24"/>
          <w:szCs w:val="24"/>
        </w:rPr>
        <w:t xml:space="preserve">time to use a </w:t>
      </w:r>
      <w:r w:rsidRPr="008A7207">
        <w:rPr>
          <w:rFonts w:ascii="Arial" w:hAnsi="Arial" w:cs="Arial"/>
          <w:b/>
          <w:sz w:val="24"/>
          <w:szCs w:val="24"/>
        </w:rPr>
        <w:t>pharmacy</w:t>
      </w:r>
    </w:p>
    <w:p w14:paraId="5D497CB2" w14:textId="5B486C8D" w:rsidR="004763A1" w:rsidRDefault="000E11A3" w:rsidP="00DC54F7">
      <w:pPr>
        <w:spacing w:after="0" w:line="240" w:lineRule="auto"/>
        <w:jc w:val="both"/>
        <w:rPr>
          <w:rFonts w:ascii="Arial" w:hAnsi="Arial" w:cs="Arial"/>
        </w:rPr>
      </w:pPr>
      <w:r>
        <w:rPr>
          <w:noProof/>
          <w:lang w:eastAsia="en-GB"/>
        </w:rPr>
        <w:drawing>
          <wp:inline distT="0" distB="0" distL="0" distR="0" wp14:anchorId="047931D2" wp14:editId="6FAA3CF7">
            <wp:extent cx="5772647" cy="2338705"/>
            <wp:effectExtent l="0" t="0" r="0" b="4445"/>
            <wp:docPr id="18" name="Chart 18">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DA511DB-9E8C-447D-93D9-2A202E5A01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AC52ADC" w14:textId="77777777" w:rsidR="00313017" w:rsidRDefault="00313017" w:rsidP="00DC54F7">
      <w:pPr>
        <w:spacing w:after="0" w:line="240" w:lineRule="auto"/>
        <w:jc w:val="both"/>
        <w:rPr>
          <w:rFonts w:ascii="Arial" w:hAnsi="Arial" w:cs="Arial"/>
          <w:bCs/>
          <w:sz w:val="24"/>
          <w:szCs w:val="24"/>
        </w:rPr>
      </w:pPr>
    </w:p>
    <w:p w14:paraId="463C0463" w14:textId="3B06D473" w:rsidR="001E21D2" w:rsidRPr="00BC2C95" w:rsidRDefault="001E21D2" w:rsidP="00DC54F7">
      <w:pPr>
        <w:spacing w:after="0" w:line="240" w:lineRule="auto"/>
        <w:jc w:val="both"/>
        <w:rPr>
          <w:rFonts w:ascii="Arial" w:hAnsi="Arial" w:cs="Arial"/>
          <w:bCs/>
          <w:sz w:val="24"/>
          <w:szCs w:val="24"/>
        </w:rPr>
      </w:pPr>
      <w:r w:rsidRPr="00BC2C95">
        <w:rPr>
          <w:rFonts w:ascii="Arial" w:hAnsi="Arial" w:cs="Arial"/>
          <w:bCs/>
          <w:sz w:val="24"/>
          <w:szCs w:val="24"/>
        </w:rPr>
        <w:t xml:space="preserve">Similarly, the majority of </w:t>
      </w:r>
      <w:r w:rsidR="00D83086" w:rsidRPr="00BC2C95">
        <w:rPr>
          <w:rFonts w:ascii="Arial" w:hAnsi="Arial" w:cs="Arial"/>
          <w:bCs/>
          <w:sz w:val="24"/>
          <w:szCs w:val="24"/>
        </w:rPr>
        <w:t>respondent</w:t>
      </w:r>
      <w:r w:rsidRPr="00BC2C95">
        <w:rPr>
          <w:rFonts w:ascii="Arial" w:hAnsi="Arial" w:cs="Arial"/>
          <w:bCs/>
          <w:sz w:val="24"/>
          <w:szCs w:val="24"/>
        </w:rPr>
        <w:t>s (5</w:t>
      </w:r>
      <w:r w:rsidR="000E1B3B" w:rsidRPr="00BC2C95">
        <w:rPr>
          <w:rFonts w:ascii="Arial" w:hAnsi="Arial" w:cs="Arial"/>
          <w:bCs/>
          <w:sz w:val="24"/>
          <w:szCs w:val="24"/>
        </w:rPr>
        <w:t>2</w:t>
      </w:r>
      <w:r w:rsidRPr="00BC2C95">
        <w:rPr>
          <w:rFonts w:ascii="Arial" w:hAnsi="Arial" w:cs="Arial"/>
          <w:bCs/>
          <w:sz w:val="24"/>
          <w:szCs w:val="24"/>
        </w:rPr>
        <w:t>%</w:t>
      </w:r>
      <w:r w:rsidR="00540D6F" w:rsidRPr="00BC2C95">
        <w:rPr>
          <w:rFonts w:ascii="Arial" w:hAnsi="Arial" w:cs="Arial"/>
          <w:bCs/>
          <w:sz w:val="24"/>
          <w:szCs w:val="24"/>
        </w:rPr>
        <w:t>, 160</w:t>
      </w:r>
      <w:r w:rsidR="00AA6A17" w:rsidRPr="00BC2C95">
        <w:rPr>
          <w:rFonts w:ascii="Arial" w:hAnsi="Arial" w:cs="Arial"/>
          <w:bCs/>
          <w:sz w:val="24"/>
          <w:szCs w:val="24"/>
        </w:rPr>
        <w:t xml:space="preserve"> out of 308 people</w:t>
      </w:r>
      <w:r w:rsidRPr="00BC2C95">
        <w:rPr>
          <w:rFonts w:ascii="Arial" w:hAnsi="Arial" w:cs="Arial"/>
          <w:bCs/>
          <w:sz w:val="24"/>
          <w:szCs w:val="24"/>
        </w:rPr>
        <w:t>) d</w:t>
      </w:r>
      <w:r w:rsidR="00E467B0" w:rsidRPr="00BC2C95">
        <w:rPr>
          <w:rFonts w:ascii="Arial" w:hAnsi="Arial" w:cs="Arial"/>
          <w:bCs/>
          <w:sz w:val="24"/>
          <w:szCs w:val="24"/>
        </w:rPr>
        <w:t>id</w:t>
      </w:r>
      <w:r w:rsidRPr="00BC2C95">
        <w:rPr>
          <w:rFonts w:ascii="Arial" w:hAnsi="Arial" w:cs="Arial"/>
          <w:bCs/>
          <w:sz w:val="24"/>
          <w:szCs w:val="24"/>
        </w:rPr>
        <w:t xml:space="preserve"> not have a preference about the most convenient </w:t>
      </w:r>
      <w:r w:rsidR="007231BF" w:rsidRPr="00BC2C95">
        <w:rPr>
          <w:rFonts w:ascii="Arial" w:hAnsi="Arial" w:cs="Arial"/>
          <w:bCs/>
          <w:sz w:val="24"/>
          <w:szCs w:val="24"/>
        </w:rPr>
        <w:t>day</w:t>
      </w:r>
      <w:r w:rsidRPr="00BC2C95">
        <w:rPr>
          <w:rFonts w:ascii="Arial" w:hAnsi="Arial" w:cs="Arial"/>
          <w:bCs/>
          <w:sz w:val="24"/>
          <w:szCs w:val="24"/>
        </w:rPr>
        <w:t xml:space="preserve"> to use a pharmacy. Of the remaining responses, </w:t>
      </w:r>
      <w:r w:rsidR="00AA6A17" w:rsidRPr="00BC2C95">
        <w:rPr>
          <w:rFonts w:ascii="Arial" w:hAnsi="Arial" w:cs="Arial"/>
          <w:bCs/>
          <w:sz w:val="24"/>
          <w:szCs w:val="24"/>
        </w:rPr>
        <w:t>19</w:t>
      </w:r>
      <w:r w:rsidRPr="00BC2C95">
        <w:rPr>
          <w:rFonts w:ascii="Arial" w:hAnsi="Arial" w:cs="Arial"/>
          <w:bCs/>
          <w:sz w:val="24"/>
          <w:szCs w:val="24"/>
        </w:rPr>
        <w:t xml:space="preserve">% found the weekdays in general the most convenient time to access a pharmacy and </w:t>
      </w:r>
      <w:r w:rsidR="00AA6A17" w:rsidRPr="00BC2C95">
        <w:rPr>
          <w:rFonts w:ascii="Arial" w:hAnsi="Arial" w:cs="Arial"/>
          <w:bCs/>
          <w:sz w:val="24"/>
          <w:szCs w:val="24"/>
        </w:rPr>
        <w:t>11</w:t>
      </w:r>
      <w:r w:rsidRPr="00BC2C95">
        <w:rPr>
          <w:rFonts w:ascii="Arial" w:hAnsi="Arial" w:cs="Arial"/>
          <w:bCs/>
          <w:sz w:val="24"/>
          <w:szCs w:val="24"/>
        </w:rPr>
        <w:t xml:space="preserve">% found the weekends in general the most convenient time to access a pharmacy. Other </w:t>
      </w:r>
      <w:r w:rsidR="00D83086" w:rsidRPr="00BC2C95">
        <w:rPr>
          <w:rFonts w:ascii="Arial" w:hAnsi="Arial" w:cs="Arial"/>
          <w:bCs/>
          <w:sz w:val="24"/>
          <w:szCs w:val="24"/>
        </w:rPr>
        <w:t>respondent</w:t>
      </w:r>
      <w:r w:rsidRPr="00BC2C95">
        <w:rPr>
          <w:rFonts w:ascii="Arial" w:hAnsi="Arial" w:cs="Arial"/>
          <w:bCs/>
          <w:sz w:val="24"/>
          <w:szCs w:val="24"/>
        </w:rPr>
        <w:t>s preferred a specific day</w:t>
      </w:r>
      <w:r w:rsidR="005A5D58" w:rsidRPr="00BC2C95">
        <w:rPr>
          <w:rFonts w:ascii="Arial" w:hAnsi="Arial" w:cs="Arial"/>
          <w:bCs/>
          <w:sz w:val="24"/>
          <w:szCs w:val="24"/>
        </w:rPr>
        <w:t xml:space="preserve"> of the week</w:t>
      </w:r>
      <w:r w:rsidR="0018333A" w:rsidRPr="00BC2C95">
        <w:rPr>
          <w:rFonts w:ascii="Arial" w:hAnsi="Arial" w:cs="Arial"/>
          <w:bCs/>
          <w:sz w:val="24"/>
          <w:szCs w:val="24"/>
        </w:rPr>
        <w:t xml:space="preserve">, with </w:t>
      </w:r>
      <w:r w:rsidR="00296D93" w:rsidRPr="00BC2C95">
        <w:rPr>
          <w:rFonts w:ascii="Arial" w:hAnsi="Arial" w:cs="Arial"/>
          <w:bCs/>
          <w:sz w:val="24"/>
          <w:szCs w:val="24"/>
        </w:rPr>
        <w:t xml:space="preserve">Saturday being the most popular choice </w:t>
      </w:r>
      <w:r w:rsidR="00C9536F" w:rsidRPr="00BC2C95">
        <w:rPr>
          <w:rFonts w:ascii="Arial" w:hAnsi="Arial" w:cs="Arial"/>
          <w:bCs/>
          <w:sz w:val="24"/>
          <w:szCs w:val="24"/>
        </w:rPr>
        <w:t xml:space="preserve">(6%). </w:t>
      </w:r>
    </w:p>
    <w:p w14:paraId="72E833CB" w14:textId="5117E430" w:rsidR="004A7D79" w:rsidRDefault="004A7D79" w:rsidP="00DC54F7">
      <w:pPr>
        <w:spacing w:after="0" w:line="240" w:lineRule="auto"/>
        <w:jc w:val="both"/>
        <w:rPr>
          <w:rFonts w:ascii="Arial" w:hAnsi="Arial" w:cs="Arial"/>
          <w:bCs/>
          <w:sz w:val="24"/>
          <w:szCs w:val="24"/>
        </w:rPr>
      </w:pPr>
    </w:p>
    <w:p w14:paraId="3F7CA36E" w14:textId="31B9BA6E" w:rsidR="002C3853" w:rsidRPr="00D80566" w:rsidRDefault="008032FC" w:rsidP="00DC54F7">
      <w:pPr>
        <w:spacing w:after="0" w:line="240" w:lineRule="auto"/>
        <w:jc w:val="both"/>
        <w:rPr>
          <w:rFonts w:ascii="Arial" w:hAnsi="Arial" w:cs="Arial"/>
          <w:b/>
          <w:sz w:val="24"/>
          <w:szCs w:val="24"/>
        </w:rPr>
      </w:pPr>
      <w:r>
        <w:rPr>
          <w:rFonts w:ascii="Arial" w:hAnsi="Arial" w:cs="Arial"/>
          <w:b/>
          <w:sz w:val="24"/>
          <w:szCs w:val="24"/>
        </w:rPr>
        <w:t>Figure 1.</w:t>
      </w:r>
      <w:r w:rsidR="00200751">
        <w:rPr>
          <w:rFonts w:ascii="Arial" w:hAnsi="Arial" w:cs="Arial"/>
          <w:b/>
          <w:sz w:val="24"/>
          <w:szCs w:val="24"/>
        </w:rPr>
        <w:t>5</w:t>
      </w:r>
      <w:r>
        <w:rPr>
          <w:rFonts w:ascii="Arial" w:hAnsi="Arial" w:cs="Arial"/>
          <w:b/>
          <w:sz w:val="24"/>
          <w:szCs w:val="24"/>
        </w:rPr>
        <w:t>: The most convenient day to use a pharmacy</w:t>
      </w:r>
    </w:p>
    <w:p w14:paraId="4AE097EB" w14:textId="316F1CC4" w:rsidR="002C3853" w:rsidRDefault="002C3853" w:rsidP="00DC54F7">
      <w:pPr>
        <w:spacing w:after="0" w:line="240" w:lineRule="auto"/>
        <w:jc w:val="both"/>
        <w:rPr>
          <w:rFonts w:ascii="Arial" w:hAnsi="Arial" w:cs="Arial"/>
        </w:rPr>
      </w:pPr>
      <w:r>
        <w:rPr>
          <w:noProof/>
          <w:lang w:eastAsia="en-GB"/>
        </w:rPr>
        <w:drawing>
          <wp:inline distT="0" distB="0" distL="0" distR="0" wp14:anchorId="0EAF4820" wp14:editId="69FDA120">
            <wp:extent cx="5788550" cy="2933700"/>
            <wp:effectExtent l="0" t="0" r="3175" b="0"/>
            <wp:docPr id="19" name="Chart 1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EEAFFE9-5401-4122-B578-6E51F00EF80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AE81B14" w14:textId="45BDB958" w:rsidR="00C77423" w:rsidRDefault="00C77423" w:rsidP="00DC54F7">
      <w:pPr>
        <w:spacing w:after="0" w:line="240" w:lineRule="auto"/>
        <w:jc w:val="both"/>
        <w:rPr>
          <w:rFonts w:ascii="Arial" w:hAnsi="Arial" w:cs="Arial"/>
          <w:b/>
          <w:sz w:val="24"/>
          <w:szCs w:val="24"/>
        </w:rPr>
      </w:pPr>
    </w:p>
    <w:p w14:paraId="4ACA32A7" w14:textId="6E6C34EF" w:rsidR="001A2511" w:rsidRPr="00FF3397" w:rsidRDefault="00C77423" w:rsidP="00DC54F7">
      <w:pPr>
        <w:spacing w:after="0" w:line="240" w:lineRule="auto"/>
        <w:jc w:val="both"/>
        <w:rPr>
          <w:rFonts w:ascii="Arial" w:hAnsi="Arial" w:cs="Arial"/>
          <w:bCs/>
          <w:sz w:val="24"/>
          <w:szCs w:val="24"/>
        </w:rPr>
      </w:pPr>
      <w:r w:rsidRPr="00BC2C95">
        <w:rPr>
          <w:rFonts w:ascii="Arial" w:hAnsi="Arial" w:cs="Arial"/>
          <w:bCs/>
          <w:sz w:val="24"/>
          <w:szCs w:val="24"/>
        </w:rPr>
        <w:t xml:space="preserve">When asked whether there had been a time </w:t>
      </w:r>
      <w:r w:rsidR="00F302B0" w:rsidRPr="00BC2C95">
        <w:rPr>
          <w:rFonts w:ascii="Arial" w:hAnsi="Arial" w:cs="Arial"/>
          <w:bCs/>
          <w:sz w:val="24"/>
          <w:szCs w:val="24"/>
        </w:rPr>
        <w:t xml:space="preserve">recently </w:t>
      </w:r>
      <w:r w:rsidRPr="00BC2C95">
        <w:rPr>
          <w:rFonts w:ascii="Arial" w:hAnsi="Arial" w:cs="Arial"/>
          <w:bCs/>
          <w:sz w:val="24"/>
          <w:szCs w:val="24"/>
        </w:rPr>
        <w:t>when they were not able to use their normal pharmacy, 2</w:t>
      </w:r>
      <w:r w:rsidR="001F48E7" w:rsidRPr="00BC2C95">
        <w:rPr>
          <w:rFonts w:ascii="Arial" w:hAnsi="Arial" w:cs="Arial"/>
          <w:bCs/>
          <w:sz w:val="24"/>
          <w:szCs w:val="24"/>
        </w:rPr>
        <w:t>5</w:t>
      </w:r>
      <w:r w:rsidRPr="00BC2C95">
        <w:rPr>
          <w:rFonts w:ascii="Arial" w:hAnsi="Arial" w:cs="Arial"/>
          <w:bCs/>
          <w:sz w:val="24"/>
          <w:szCs w:val="24"/>
        </w:rPr>
        <w:t>% (</w:t>
      </w:r>
      <w:r w:rsidR="007579B2" w:rsidRPr="00BC2C95">
        <w:rPr>
          <w:rFonts w:ascii="Arial" w:hAnsi="Arial" w:cs="Arial"/>
          <w:bCs/>
          <w:sz w:val="24"/>
          <w:szCs w:val="24"/>
        </w:rPr>
        <w:t>76</w:t>
      </w:r>
      <w:r w:rsidRPr="00BC2C95">
        <w:rPr>
          <w:rFonts w:ascii="Arial" w:hAnsi="Arial" w:cs="Arial"/>
          <w:bCs/>
          <w:sz w:val="24"/>
          <w:szCs w:val="24"/>
        </w:rPr>
        <w:t xml:space="preserve"> </w:t>
      </w:r>
      <w:r w:rsidR="00E614CE" w:rsidRPr="00BC2C95">
        <w:rPr>
          <w:rFonts w:ascii="Arial" w:hAnsi="Arial" w:cs="Arial"/>
          <w:bCs/>
          <w:sz w:val="24"/>
          <w:szCs w:val="24"/>
        </w:rPr>
        <w:t xml:space="preserve">out of 307 </w:t>
      </w:r>
      <w:r w:rsidRPr="00BC2C95">
        <w:rPr>
          <w:rFonts w:ascii="Arial" w:hAnsi="Arial" w:cs="Arial"/>
          <w:bCs/>
          <w:sz w:val="24"/>
          <w:szCs w:val="24"/>
        </w:rPr>
        <w:t>people) responded ‘yes’, 7</w:t>
      </w:r>
      <w:r w:rsidR="009D7F23" w:rsidRPr="00BC2C95">
        <w:rPr>
          <w:rFonts w:ascii="Arial" w:hAnsi="Arial" w:cs="Arial"/>
          <w:bCs/>
          <w:sz w:val="24"/>
          <w:szCs w:val="24"/>
        </w:rPr>
        <w:t>3</w:t>
      </w:r>
      <w:r w:rsidRPr="00BC2C95">
        <w:rPr>
          <w:rFonts w:ascii="Arial" w:hAnsi="Arial" w:cs="Arial"/>
          <w:bCs/>
          <w:sz w:val="24"/>
          <w:szCs w:val="24"/>
        </w:rPr>
        <w:t>% (</w:t>
      </w:r>
      <w:r w:rsidR="007579B2" w:rsidRPr="00BC2C95">
        <w:rPr>
          <w:rFonts w:ascii="Arial" w:hAnsi="Arial" w:cs="Arial"/>
          <w:bCs/>
          <w:sz w:val="24"/>
          <w:szCs w:val="24"/>
        </w:rPr>
        <w:t>223</w:t>
      </w:r>
      <w:r w:rsidRPr="00BC2C95">
        <w:rPr>
          <w:rFonts w:ascii="Arial" w:hAnsi="Arial" w:cs="Arial"/>
          <w:bCs/>
          <w:sz w:val="24"/>
          <w:szCs w:val="24"/>
        </w:rPr>
        <w:t xml:space="preserve"> people) responded ‘no’ and </w:t>
      </w:r>
      <w:r w:rsidR="001F48E7" w:rsidRPr="00BC2C95">
        <w:rPr>
          <w:rFonts w:ascii="Arial" w:hAnsi="Arial" w:cs="Arial"/>
          <w:bCs/>
          <w:sz w:val="24"/>
          <w:szCs w:val="24"/>
        </w:rPr>
        <w:t>3</w:t>
      </w:r>
      <w:r w:rsidRPr="00BC2C95">
        <w:rPr>
          <w:rFonts w:ascii="Arial" w:hAnsi="Arial" w:cs="Arial"/>
          <w:bCs/>
          <w:sz w:val="24"/>
          <w:szCs w:val="24"/>
        </w:rPr>
        <w:t>% (</w:t>
      </w:r>
      <w:r w:rsidR="007579B2" w:rsidRPr="00BC2C95">
        <w:rPr>
          <w:rFonts w:ascii="Arial" w:hAnsi="Arial" w:cs="Arial"/>
          <w:bCs/>
          <w:sz w:val="24"/>
          <w:szCs w:val="24"/>
        </w:rPr>
        <w:t>8</w:t>
      </w:r>
      <w:r w:rsidRPr="00BC2C95">
        <w:rPr>
          <w:rFonts w:ascii="Arial" w:hAnsi="Arial" w:cs="Arial"/>
          <w:bCs/>
          <w:sz w:val="24"/>
          <w:szCs w:val="24"/>
        </w:rPr>
        <w:t xml:space="preserve"> people) said the question was ‘not applicable’. </w:t>
      </w:r>
      <w:r w:rsidRPr="00BC2C95">
        <w:rPr>
          <w:rFonts w:ascii="Arial" w:hAnsi="Arial" w:cs="Arial"/>
          <w:sz w:val="24"/>
          <w:szCs w:val="24"/>
        </w:rPr>
        <w:t xml:space="preserve">When asked </w:t>
      </w:r>
      <w:r w:rsidRPr="00BC2C95">
        <w:rPr>
          <w:rFonts w:ascii="Arial" w:hAnsi="Arial" w:cs="Arial"/>
          <w:sz w:val="24"/>
          <w:szCs w:val="24"/>
        </w:rPr>
        <w:lastRenderedPageBreak/>
        <w:t xml:space="preserve">what they had done, </w:t>
      </w:r>
      <w:r w:rsidR="00F76873" w:rsidRPr="00BC2C95">
        <w:rPr>
          <w:rFonts w:ascii="Arial" w:hAnsi="Arial" w:cs="Arial"/>
          <w:sz w:val="24"/>
          <w:szCs w:val="24"/>
        </w:rPr>
        <w:t xml:space="preserve">76 people answered the question and a total of </w:t>
      </w:r>
      <w:r w:rsidR="00D450F7" w:rsidRPr="00BC2C95">
        <w:rPr>
          <w:rFonts w:ascii="Arial" w:hAnsi="Arial" w:cs="Arial"/>
          <w:sz w:val="24"/>
          <w:szCs w:val="24"/>
        </w:rPr>
        <w:t>8</w:t>
      </w:r>
      <w:r w:rsidR="00C454B1" w:rsidRPr="00BC2C95">
        <w:rPr>
          <w:rFonts w:ascii="Arial" w:hAnsi="Arial" w:cs="Arial"/>
          <w:sz w:val="24"/>
          <w:szCs w:val="24"/>
        </w:rPr>
        <w:t>3</w:t>
      </w:r>
      <w:r w:rsidR="00F853FF" w:rsidRPr="00BC2C95">
        <w:rPr>
          <w:rFonts w:ascii="Arial" w:hAnsi="Arial" w:cs="Arial"/>
          <w:sz w:val="24"/>
          <w:szCs w:val="24"/>
        </w:rPr>
        <w:t xml:space="preserve"> responses were received. </w:t>
      </w:r>
      <w:r w:rsidR="00D450F7" w:rsidRPr="00BC2C95">
        <w:rPr>
          <w:rFonts w:ascii="Arial" w:hAnsi="Arial" w:cs="Arial"/>
          <w:sz w:val="24"/>
          <w:szCs w:val="24"/>
        </w:rPr>
        <w:t xml:space="preserve"> </w:t>
      </w:r>
      <w:r w:rsidR="0064365C" w:rsidRPr="00BC2C95">
        <w:rPr>
          <w:rFonts w:ascii="Arial" w:hAnsi="Arial" w:cs="Arial"/>
          <w:sz w:val="24"/>
          <w:szCs w:val="24"/>
        </w:rPr>
        <w:t xml:space="preserve">Multiple answers could be given to this question and the number of responses indicates that some people </w:t>
      </w:r>
      <w:r w:rsidR="00BB5596" w:rsidRPr="00BC2C95">
        <w:rPr>
          <w:rFonts w:ascii="Arial" w:hAnsi="Arial" w:cs="Arial"/>
          <w:sz w:val="24"/>
          <w:szCs w:val="24"/>
        </w:rPr>
        <w:t>cho</w:t>
      </w:r>
      <w:r w:rsidR="00EB1E04" w:rsidRPr="00BC2C95">
        <w:rPr>
          <w:rFonts w:ascii="Arial" w:hAnsi="Arial" w:cs="Arial"/>
          <w:sz w:val="24"/>
          <w:szCs w:val="24"/>
        </w:rPr>
        <w:t>s</w:t>
      </w:r>
      <w:r w:rsidR="00BB5596" w:rsidRPr="00BC2C95">
        <w:rPr>
          <w:rFonts w:ascii="Arial" w:hAnsi="Arial" w:cs="Arial"/>
          <w:sz w:val="24"/>
          <w:szCs w:val="24"/>
        </w:rPr>
        <w:t xml:space="preserve">e more than one </w:t>
      </w:r>
      <w:r w:rsidR="00365B70" w:rsidRPr="00BC2C95">
        <w:rPr>
          <w:rFonts w:ascii="Arial" w:hAnsi="Arial" w:cs="Arial"/>
          <w:sz w:val="24"/>
          <w:szCs w:val="24"/>
        </w:rPr>
        <w:t>course of action</w:t>
      </w:r>
      <w:r w:rsidR="0064365C" w:rsidRPr="00BC2C95">
        <w:rPr>
          <w:rFonts w:ascii="Arial" w:hAnsi="Arial" w:cs="Arial"/>
          <w:sz w:val="24"/>
          <w:szCs w:val="24"/>
        </w:rPr>
        <w:t xml:space="preserve">. The majority of responses received, show that people went to another </w:t>
      </w:r>
      <w:r w:rsidR="0064365C" w:rsidRPr="00D939CF">
        <w:rPr>
          <w:rFonts w:ascii="Arial" w:hAnsi="Arial" w:cs="Arial"/>
          <w:sz w:val="24"/>
          <w:szCs w:val="24"/>
        </w:rPr>
        <w:t xml:space="preserve">pharmacy </w:t>
      </w:r>
      <w:r w:rsidR="00330886" w:rsidRPr="00D939CF">
        <w:rPr>
          <w:rFonts w:ascii="Arial" w:hAnsi="Arial" w:cs="Arial"/>
          <w:sz w:val="24"/>
          <w:szCs w:val="24"/>
        </w:rPr>
        <w:t xml:space="preserve">(47 responses) </w:t>
      </w:r>
      <w:r w:rsidR="0064365C" w:rsidRPr="00D939CF">
        <w:rPr>
          <w:rFonts w:ascii="Arial" w:hAnsi="Arial" w:cs="Arial"/>
          <w:sz w:val="24"/>
          <w:szCs w:val="24"/>
        </w:rPr>
        <w:t>or waited until the pharmacy was open (26 responses).</w:t>
      </w:r>
      <w:r w:rsidR="00091217" w:rsidRPr="00BC2C95">
        <w:rPr>
          <w:rFonts w:ascii="Arial" w:hAnsi="Arial" w:cs="Arial"/>
          <w:sz w:val="24"/>
          <w:szCs w:val="24"/>
        </w:rPr>
        <w:t xml:space="preserve"> </w:t>
      </w:r>
      <w:r w:rsidR="00967471" w:rsidRPr="00BC2C95">
        <w:rPr>
          <w:rFonts w:ascii="Arial" w:hAnsi="Arial" w:cs="Arial"/>
          <w:sz w:val="24"/>
          <w:szCs w:val="24"/>
        </w:rPr>
        <w:t>Three</w:t>
      </w:r>
      <w:r w:rsidRPr="00BC2C95">
        <w:rPr>
          <w:rFonts w:ascii="Arial" w:hAnsi="Arial" w:cs="Arial"/>
          <w:sz w:val="24"/>
          <w:szCs w:val="24"/>
        </w:rPr>
        <w:t xml:space="preserve"> </w:t>
      </w:r>
      <w:r w:rsidR="00D46A62" w:rsidRPr="00BC2C95">
        <w:rPr>
          <w:rFonts w:ascii="Arial" w:hAnsi="Arial" w:cs="Arial"/>
          <w:sz w:val="24"/>
          <w:szCs w:val="24"/>
        </w:rPr>
        <w:t xml:space="preserve">responses </w:t>
      </w:r>
      <w:r w:rsidR="002758F1" w:rsidRPr="00BC2C95">
        <w:rPr>
          <w:rFonts w:ascii="Arial" w:hAnsi="Arial" w:cs="Arial"/>
          <w:sz w:val="24"/>
          <w:szCs w:val="24"/>
        </w:rPr>
        <w:t>show that people</w:t>
      </w:r>
      <w:r w:rsidRPr="00BC2C95">
        <w:rPr>
          <w:rFonts w:ascii="Arial" w:hAnsi="Arial" w:cs="Arial"/>
          <w:sz w:val="24"/>
          <w:szCs w:val="24"/>
        </w:rPr>
        <w:t xml:space="preserve"> </w:t>
      </w:r>
      <w:r w:rsidR="00967471" w:rsidRPr="00BC2C95">
        <w:rPr>
          <w:rFonts w:ascii="Arial" w:hAnsi="Arial" w:cs="Arial"/>
          <w:sz w:val="24"/>
          <w:szCs w:val="24"/>
        </w:rPr>
        <w:t>went to their GP</w:t>
      </w:r>
      <w:r w:rsidR="00C908A4" w:rsidRPr="00BC2C95">
        <w:rPr>
          <w:rFonts w:ascii="Arial" w:hAnsi="Arial" w:cs="Arial"/>
          <w:sz w:val="24"/>
          <w:szCs w:val="24"/>
        </w:rPr>
        <w:t xml:space="preserve"> and one contacted the Out of Hours</w:t>
      </w:r>
      <w:r w:rsidR="003A3A7E" w:rsidRPr="00BC2C95">
        <w:rPr>
          <w:rFonts w:ascii="Arial" w:hAnsi="Arial" w:cs="Arial"/>
          <w:sz w:val="24"/>
          <w:szCs w:val="24"/>
        </w:rPr>
        <w:t xml:space="preserve"> service</w:t>
      </w:r>
      <w:r w:rsidR="00C908A4" w:rsidRPr="00BC2C95">
        <w:rPr>
          <w:rFonts w:ascii="Arial" w:hAnsi="Arial" w:cs="Arial"/>
          <w:sz w:val="24"/>
          <w:szCs w:val="24"/>
        </w:rPr>
        <w:t xml:space="preserve">. </w:t>
      </w:r>
      <w:r w:rsidR="006338E1" w:rsidRPr="00BC2C95">
        <w:rPr>
          <w:rFonts w:ascii="Arial" w:hAnsi="Arial" w:cs="Arial"/>
          <w:sz w:val="24"/>
          <w:szCs w:val="24"/>
        </w:rPr>
        <w:t xml:space="preserve">Of the six </w:t>
      </w:r>
      <w:r w:rsidR="00050C7F" w:rsidRPr="00BC2C95">
        <w:rPr>
          <w:rFonts w:ascii="Arial" w:hAnsi="Arial" w:cs="Arial"/>
          <w:sz w:val="24"/>
          <w:szCs w:val="24"/>
        </w:rPr>
        <w:t>people who responded other</w:t>
      </w:r>
      <w:r w:rsidR="00F53D29" w:rsidRPr="00BC2C95">
        <w:rPr>
          <w:rFonts w:ascii="Arial" w:hAnsi="Arial" w:cs="Arial"/>
          <w:sz w:val="24"/>
          <w:szCs w:val="24"/>
        </w:rPr>
        <w:t xml:space="preserve">: </w:t>
      </w:r>
      <w:r w:rsidR="007D2957" w:rsidRPr="00BC2C95">
        <w:rPr>
          <w:rFonts w:ascii="Arial" w:hAnsi="Arial" w:cs="Arial"/>
          <w:sz w:val="24"/>
          <w:szCs w:val="24"/>
        </w:rPr>
        <w:t>one did not have a usual pharmacy</w:t>
      </w:r>
      <w:r w:rsidR="00365B70" w:rsidRPr="00BC2C95">
        <w:rPr>
          <w:rFonts w:ascii="Arial" w:hAnsi="Arial" w:cs="Arial"/>
          <w:sz w:val="24"/>
          <w:szCs w:val="24"/>
        </w:rPr>
        <w:t xml:space="preserve"> they used</w:t>
      </w:r>
      <w:r w:rsidR="007D2957" w:rsidRPr="00BC2C95">
        <w:rPr>
          <w:rFonts w:ascii="Arial" w:hAnsi="Arial" w:cs="Arial"/>
          <w:sz w:val="24"/>
          <w:szCs w:val="24"/>
        </w:rPr>
        <w:t xml:space="preserve">, </w:t>
      </w:r>
      <w:r w:rsidR="00E8396B" w:rsidRPr="00BC2C95">
        <w:rPr>
          <w:rFonts w:ascii="Arial" w:hAnsi="Arial" w:cs="Arial"/>
          <w:sz w:val="24"/>
          <w:szCs w:val="24"/>
        </w:rPr>
        <w:t xml:space="preserve">one went </w:t>
      </w:r>
      <w:r w:rsidR="00F56E8C" w:rsidRPr="00BC2C95">
        <w:rPr>
          <w:rFonts w:ascii="Arial" w:hAnsi="Arial" w:cs="Arial"/>
          <w:sz w:val="24"/>
          <w:szCs w:val="24"/>
        </w:rPr>
        <w:t>home,</w:t>
      </w:r>
      <w:r w:rsidR="008F4646" w:rsidRPr="00BC2C95">
        <w:rPr>
          <w:rFonts w:ascii="Arial" w:hAnsi="Arial" w:cs="Arial"/>
          <w:sz w:val="24"/>
          <w:szCs w:val="24"/>
        </w:rPr>
        <w:t xml:space="preserve"> and </w:t>
      </w:r>
      <w:r w:rsidR="0080215A" w:rsidRPr="00BC2C95">
        <w:rPr>
          <w:rFonts w:ascii="Arial" w:hAnsi="Arial" w:cs="Arial"/>
          <w:sz w:val="24"/>
          <w:szCs w:val="24"/>
        </w:rPr>
        <w:t xml:space="preserve">one had problems with </w:t>
      </w:r>
      <w:r w:rsidR="000634BC" w:rsidRPr="00BC2C95">
        <w:rPr>
          <w:rFonts w:ascii="Arial" w:hAnsi="Arial" w:cs="Arial"/>
          <w:sz w:val="24"/>
          <w:szCs w:val="24"/>
        </w:rPr>
        <w:t xml:space="preserve">the pharmacy </w:t>
      </w:r>
      <w:r w:rsidR="005D1FCE" w:rsidRPr="00BC2C95">
        <w:rPr>
          <w:rFonts w:ascii="Arial" w:hAnsi="Arial" w:cs="Arial"/>
          <w:sz w:val="24"/>
          <w:szCs w:val="24"/>
        </w:rPr>
        <w:t xml:space="preserve">not </w:t>
      </w:r>
      <w:r w:rsidR="000634BC" w:rsidRPr="00BC2C95">
        <w:rPr>
          <w:rFonts w:ascii="Arial" w:hAnsi="Arial" w:cs="Arial"/>
          <w:sz w:val="24"/>
          <w:szCs w:val="24"/>
        </w:rPr>
        <w:t xml:space="preserve">being open at the weekend </w:t>
      </w:r>
      <w:r w:rsidR="00D53EE4" w:rsidRPr="00BC2C95">
        <w:rPr>
          <w:rFonts w:ascii="Arial" w:hAnsi="Arial" w:cs="Arial"/>
          <w:sz w:val="24"/>
          <w:szCs w:val="24"/>
        </w:rPr>
        <w:t>and the next pharmacy being closed due to</w:t>
      </w:r>
      <w:r w:rsidR="008F4646" w:rsidRPr="00BC2C95">
        <w:rPr>
          <w:rFonts w:ascii="Arial" w:hAnsi="Arial" w:cs="Arial"/>
          <w:sz w:val="24"/>
          <w:szCs w:val="24"/>
        </w:rPr>
        <w:t xml:space="preserve"> </w:t>
      </w:r>
      <w:r w:rsidR="002165A3" w:rsidRPr="00BC2C95">
        <w:rPr>
          <w:rFonts w:ascii="Arial" w:hAnsi="Arial" w:cs="Arial"/>
          <w:sz w:val="24"/>
          <w:szCs w:val="24"/>
        </w:rPr>
        <w:t xml:space="preserve">the </w:t>
      </w:r>
      <w:r w:rsidR="00D53EE4" w:rsidRPr="00BC2C95">
        <w:rPr>
          <w:rFonts w:ascii="Arial" w:hAnsi="Arial" w:cs="Arial"/>
          <w:sz w:val="24"/>
          <w:szCs w:val="24"/>
        </w:rPr>
        <w:t>Coronavirus (COVID-19)</w:t>
      </w:r>
      <w:r w:rsidR="002165A3" w:rsidRPr="00BC2C95">
        <w:rPr>
          <w:rFonts w:ascii="Arial" w:hAnsi="Arial" w:cs="Arial"/>
          <w:sz w:val="24"/>
          <w:szCs w:val="24"/>
        </w:rPr>
        <w:t xml:space="preserve"> pandemic</w:t>
      </w:r>
      <w:r w:rsidR="0070427F" w:rsidRPr="00BC2C95">
        <w:rPr>
          <w:rFonts w:ascii="Arial" w:hAnsi="Arial" w:cs="Arial"/>
          <w:sz w:val="24"/>
          <w:szCs w:val="24"/>
        </w:rPr>
        <w:t xml:space="preserve">. </w:t>
      </w:r>
      <w:r w:rsidR="00F53D29" w:rsidRPr="00BC2C95">
        <w:rPr>
          <w:rFonts w:ascii="Arial" w:hAnsi="Arial" w:cs="Arial"/>
          <w:sz w:val="24"/>
          <w:szCs w:val="24"/>
        </w:rPr>
        <w:t xml:space="preserve">Two other comments </w:t>
      </w:r>
      <w:r w:rsidR="00C64B28" w:rsidRPr="00BC2C95">
        <w:rPr>
          <w:rFonts w:ascii="Arial" w:hAnsi="Arial" w:cs="Arial"/>
          <w:sz w:val="24"/>
          <w:szCs w:val="24"/>
        </w:rPr>
        <w:t xml:space="preserve">were linked to the delivery service and </w:t>
      </w:r>
      <w:r w:rsidR="00776993" w:rsidRPr="00BC2C95">
        <w:rPr>
          <w:rFonts w:ascii="Arial" w:hAnsi="Arial" w:cs="Arial"/>
          <w:sz w:val="24"/>
          <w:szCs w:val="24"/>
        </w:rPr>
        <w:t>Coronavirus (COVID-19)</w:t>
      </w:r>
      <w:r w:rsidR="002165A3" w:rsidRPr="00BC2C95">
        <w:rPr>
          <w:rFonts w:ascii="Arial" w:hAnsi="Arial" w:cs="Arial"/>
          <w:sz w:val="24"/>
          <w:szCs w:val="24"/>
        </w:rPr>
        <w:t xml:space="preserve"> pandemic</w:t>
      </w:r>
      <w:r w:rsidR="00776993" w:rsidRPr="00BC2C95">
        <w:rPr>
          <w:rFonts w:ascii="Arial" w:hAnsi="Arial" w:cs="Arial"/>
          <w:sz w:val="24"/>
          <w:szCs w:val="24"/>
        </w:rPr>
        <w:t>:</w:t>
      </w:r>
    </w:p>
    <w:p w14:paraId="297DFA73" w14:textId="3CE21495" w:rsidR="0084414C" w:rsidRPr="00BC2C95" w:rsidRDefault="0084414C" w:rsidP="00DC54F7">
      <w:pPr>
        <w:pStyle w:val="ListParagraph"/>
        <w:numPr>
          <w:ilvl w:val="0"/>
          <w:numId w:val="73"/>
        </w:numPr>
        <w:spacing w:after="0" w:line="240" w:lineRule="auto"/>
        <w:jc w:val="both"/>
        <w:rPr>
          <w:rFonts w:ascii="Arial" w:eastAsia="Times New Roman" w:hAnsi="Arial" w:cs="Arial"/>
          <w:color w:val="333333"/>
          <w:sz w:val="24"/>
          <w:szCs w:val="24"/>
          <w:lang w:eastAsia="en-GB"/>
        </w:rPr>
      </w:pPr>
      <w:r w:rsidRPr="00BC2C95">
        <w:rPr>
          <w:rFonts w:ascii="Arial" w:eastAsia="Times New Roman" w:hAnsi="Arial" w:cs="Arial"/>
          <w:color w:val="333333"/>
          <w:sz w:val="24"/>
          <w:szCs w:val="24"/>
          <w:lang w:eastAsia="en-GB"/>
        </w:rPr>
        <w:t>“The person who usually picks up my prescriptions because I am housebound was unable to get them due to illness himself. I had to phone to ask them to deliver and was told they don't usually deliver - but they would do it this once. I was shocked by this attitude.”</w:t>
      </w:r>
    </w:p>
    <w:p w14:paraId="483C6C33" w14:textId="25D8BA2A" w:rsidR="00361503" w:rsidRPr="00BC2C95" w:rsidRDefault="00361503" w:rsidP="00DC54F7">
      <w:pPr>
        <w:spacing w:after="0" w:line="240" w:lineRule="auto"/>
        <w:jc w:val="both"/>
        <w:rPr>
          <w:rFonts w:ascii="Arial" w:eastAsia="Times New Roman" w:hAnsi="Arial" w:cs="Arial"/>
          <w:color w:val="333333"/>
          <w:sz w:val="24"/>
          <w:szCs w:val="24"/>
          <w:lang w:eastAsia="en-GB"/>
        </w:rPr>
      </w:pPr>
    </w:p>
    <w:p w14:paraId="066AAC16" w14:textId="01EEFAC4" w:rsidR="00361503" w:rsidRPr="00BC2C95" w:rsidRDefault="00361503" w:rsidP="00DC54F7">
      <w:pPr>
        <w:spacing w:after="0" w:line="240" w:lineRule="auto"/>
        <w:jc w:val="both"/>
        <w:rPr>
          <w:rFonts w:ascii="Arial" w:eastAsia="Times New Roman" w:hAnsi="Arial" w:cs="Arial"/>
          <w:color w:val="333333"/>
          <w:sz w:val="24"/>
          <w:szCs w:val="24"/>
          <w:lang w:eastAsia="en-GB"/>
        </w:rPr>
      </w:pPr>
      <w:r w:rsidRPr="00BC2C95">
        <w:rPr>
          <w:rFonts w:ascii="Arial" w:eastAsia="Times New Roman" w:hAnsi="Arial" w:cs="Arial"/>
          <w:color w:val="333333"/>
          <w:sz w:val="24"/>
          <w:szCs w:val="24"/>
          <w:lang w:eastAsia="en-GB"/>
        </w:rPr>
        <w:t>One person commented:</w:t>
      </w:r>
    </w:p>
    <w:p w14:paraId="431AB259" w14:textId="54E70319" w:rsidR="00707019" w:rsidRPr="00BC2C95" w:rsidRDefault="00361503" w:rsidP="00DC54F7">
      <w:pPr>
        <w:pStyle w:val="ListParagraph"/>
        <w:numPr>
          <w:ilvl w:val="0"/>
          <w:numId w:val="73"/>
        </w:numPr>
        <w:spacing w:after="0" w:line="240" w:lineRule="auto"/>
        <w:jc w:val="both"/>
        <w:rPr>
          <w:rFonts w:ascii="Arial" w:eastAsia="Times New Roman" w:hAnsi="Arial" w:cs="Arial"/>
          <w:color w:val="333333"/>
          <w:sz w:val="24"/>
          <w:szCs w:val="24"/>
          <w:lang w:eastAsia="en-GB"/>
        </w:rPr>
      </w:pPr>
      <w:r w:rsidRPr="00BC2C95">
        <w:rPr>
          <w:rFonts w:ascii="Arial" w:eastAsia="Times New Roman" w:hAnsi="Arial" w:cs="Arial"/>
          <w:color w:val="333333"/>
          <w:sz w:val="24"/>
          <w:szCs w:val="24"/>
          <w:lang w:eastAsia="en-GB"/>
        </w:rPr>
        <w:t>“Went to on call pharmacy.”</w:t>
      </w:r>
    </w:p>
    <w:p w14:paraId="3D6EAA60" w14:textId="77777777" w:rsidR="006A6AFA" w:rsidRPr="006A6AFA" w:rsidRDefault="006A6AFA" w:rsidP="00DC54F7">
      <w:pPr>
        <w:spacing w:after="0" w:line="240" w:lineRule="auto"/>
        <w:jc w:val="both"/>
        <w:rPr>
          <w:rFonts w:ascii="Arial" w:eastAsia="Times New Roman" w:hAnsi="Arial" w:cs="Arial"/>
          <w:color w:val="333333"/>
          <w:lang w:eastAsia="en-GB"/>
        </w:rPr>
      </w:pPr>
    </w:p>
    <w:p w14:paraId="509B6126" w14:textId="5B5A1710" w:rsidR="008C5AB0" w:rsidRDefault="008C5AB0" w:rsidP="00DC54F7">
      <w:pPr>
        <w:spacing w:after="0" w:line="240" w:lineRule="auto"/>
        <w:jc w:val="both"/>
        <w:rPr>
          <w:rFonts w:ascii="Arial" w:hAnsi="Arial" w:cs="Arial"/>
          <w:b/>
          <w:bCs/>
          <w:sz w:val="24"/>
          <w:szCs w:val="24"/>
        </w:rPr>
      </w:pPr>
      <w:r w:rsidRPr="00D939CF">
        <w:rPr>
          <w:rFonts w:ascii="Arial" w:hAnsi="Arial" w:cs="Arial"/>
          <w:b/>
          <w:bCs/>
          <w:sz w:val="24"/>
          <w:szCs w:val="24"/>
        </w:rPr>
        <w:t>Figure</w:t>
      </w:r>
      <w:r w:rsidR="00954302" w:rsidRPr="00D939CF">
        <w:rPr>
          <w:rFonts w:ascii="Arial" w:hAnsi="Arial" w:cs="Arial"/>
          <w:b/>
          <w:bCs/>
          <w:sz w:val="24"/>
          <w:szCs w:val="24"/>
        </w:rPr>
        <w:t xml:space="preserve"> 1.</w:t>
      </w:r>
      <w:r w:rsidR="00200751" w:rsidRPr="00D939CF">
        <w:rPr>
          <w:rFonts w:ascii="Arial" w:hAnsi="Arial" w:cs="Arial"/>
          <w:b/>
          <w:bCs/>
          <w:sz w:val="24"/>
          <w:szCs w:val="24"/>
        </w:rPr>
        <w:t>6</w:t>
      </w:r>
      <w:r w:rsidRPr="00D939CF">
        <w:rPr>
          <w:rFonts w:ascii="Arial" w:hAnsi="Arial" w:cs="Arial"/>
          <w:b/>
          <w:bCs/>
          <w:sz w:val="24"/>
          <w:szCs w:val="24"/>
        </w:rPr>
        <w:t xml:space="preserve">: </w:t>
      </w:r>
      <w:r w:rsidR="00707019" w:rsidRPr="00D939CF">
        <w:rPr>
          <w:rFonts w:ascii="Arial" w:hAnsi="Arial" w:cs="Arial"/>
          <w:b/>
          <w:bCs/>
          <w:sz w:val="24"/>
          <w:szCs w:val="24"/>
        </w:rPr>
        <w:t>W</w:t>
      </w:r>
      <w:r w:rsidRPr="00D939CF">
        <w:rPr>
          <w:rFonts w:ascii="Arial" w:hAnsi="Arial" w:cs="Arial"/>
          <w:b/>
          <w:bCs/>
          <w:sz w:val="24"/>
          <w:szCs w:val="24"/>
        </w:rPr>
        <w:t xml:space="preserve">hat </w:t>
      </w:r>
      <w:r w:rsidR="00D83086" w:rsidRPr="00D939CF">
        <w:rPr>
          <w:rFonts w:ascii="Arial" w:hAnsi="Arial" w:cs="Arial"/>
          <w:b/>
          <w:bCs/>
          <w:sz w:val="24"/>
          <w:szCs w:val="24"/>
        </w:rPr>
        <w:t>respondent</w:t>
      </w:r>
      <w:r w:rsidRPr="00D939CF">
        <w:rPr>
          <w:rFonts w:ascii="Arial" w:hAnsi="Arial" w:cs="Arial"/>
          <w:b/>
          <w:bCs/>
          <w:sz w:val="24"/>
          <w:szCs w:val="24"/>
        </w:rPr>
        <w:t xml:space="preserve">s did when they </w:t>
      </w:r>
      <w:r w:rsidR="00C16CC7" w:rsidRPr="00D939CF">
        <w:rPr>
          <w:rFonts w:ascii="Arial" w:hAnsi="Arial" w:cs="Arial"/>
          <w:b/>
          <w:bCs/>
          <w:sz w:val="24"/>
          <w:szCs w:val="24"/>
        </w:rPr>
        <w:t>were not</w:t>
      </w:r>
      <w:r w:rsidRPr="00D939CF">
        <w:rPr>
          <w:rFonts w:ascii="Arial" w:hAnsi="Arial" w:cs="Arial"/>
          <w:b/>
          <w:bCs/>
          <w:sz w:val="24"/>
          <w:szCs w:val="24"/>
        </w:rPr>
        <w:t xml:space="preserve"> able to use their normal pharmacy</w:t>
      </w:r>
    </w:p>
    <w:p w14:paraId="2A33AEE2" w14:textId="10686866" w:rsidR="008E46CA" w:rsidRDefault="008E46CA" w:rsidP="00DC54F7">
      <w:pPr>
        <w:spacing w:after="0" w:line="240" w:lineRule="auto"/>
        <w:jc w:val="both"/>
        <w:rPr>
          <w:rFonts w:ascii="Arial" w:hAnsi="Arial" w:cs="Arial"/>
          <w:b/>
          <w:bCs/>
          <w:sz w:val="24"/>
          <w:szCs w:val="24"/>
        </w:rPr>
      </w:pPr>
      <w:r>
        <w:rPr>
          <w:noProof/>
          <w:lang w:eastAsia="en-GB"/>
        </w:rPr>
        <w:drawing>
          <wp:inline distT="0" distB="0" distL="0" distR="0" wp14:anchorId="1079D1A5" wp14:editId="2C6C7073">
            <wp:extent cx="5626100" cy="2736850"/>
            <wp:effectExtent l="0" t="0" r="12700" b="6350"/>
            <wp:docPr id="29" name="Chart 2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4DB1891-E982-4EF1-B66F-FCE5C6B992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5B1E7AB" w14:textId="3511565A" w:rsidR="008E46CA" w:rsidRDefault="008E46CA" w:rsidP="00DC54F7">
      <w:pPr>
        <w:spacing w:after="0" w:line="240" w:lineRule="auto"/>
        <w:jc w:val="both"/>
        <w:rPr>
          <w:rFonts w:ascii="Arial" w:hAnsi="Arial" w:cs="Arial"/>
          <w:b/>
          <w:bCs/>
          <w:sz w:val="24"/>
          <w:szCs w:val="24"/>
        </w:rPr>
      </w:pPr>
    </w:p>
    <w:p w14:paraId="6D5AD870" w14:textId="671F1C7D" w:rsidR="008A1056" w:rsidRPr="00BC2C95" w:rsidRDefault="008A1056" w:rsidP="00DC54F7">
      <w:pPr>
        <w:spacing w:after="0" w:line="240" w:lineRule="auto"/>
        <w:jc w:val="both"/>
        <w:rPr>
          <w:rFonts w:ascii="Arial" w:hAnsi="Arial" w:cs="Arial"/>
          <w:bCs/>
          <w:sz w:val="24"/>
          <w:szCs w:val="24"/>
        </w:rPr>
      </w:pPr>
      <w:r w:rsidRPr="00BC2C95">
        <w:rPr>
          <w:rFonts w:ascii="Arial" w:hAnsi="Arial" w:cs="Arial"/>
          <w:bCs/>
          <w:sz w:val="24"/>
          <w:szCs w:val="24"/>
        </w:rPr>
        <w:t xml:space="preserve">Most </w:t>
      </w:r>
      <w:r w:rsidR="00D83086" w:rsidRPr="00BC2C95">
        <w:rPr>
          <w:rFonts w:ascii="Arial" w:hAnsi="Arial" w:cs="Arial"/>
          <w:bCs/>
          <w:sz w:val="24"/>
          <w:szCs w:val="24"/>
        </w:rPr>
        <w:t>respondent</w:t>
      </w:r>
      <w:r w:rsidRPr="00BC2C95">
        <w:rPr>
          <w:rFonts w:ascii="Arial" w:hAnsi="Arial" w:cs="Arial"/>
          <w:bCs/>
          <w:sz w:val="24"/>
          <w:szCs w:val="24"/>
        </w:rPr>
        <w:t xml:space="preserve">s prefer to use the same pharmacy. Of the </w:t>
      </w:r>
      <w:r w:rsidR="00BA3807" w:rsidRPr="00BC2C95">
        <w:rPr>
          <w:rFonts w:ascii="Arial" w:hAnsi="Arial" w:cs="Arial"/>
          <w:bCs/>
          <w:sz w:val="24"/>
          <w:szCs w:val="24"/>
        </w:rPr>
        <w:t>308</w:t>
      </w:r>
      <w:r w:rsidRPr="00BC2C95">
        <w:rPr>
          <w:rFonts w:ascii="Arial" w:hAnsi="Arial" w:cs="Arial"/>
          <w:bCs/>
          <w:sz w:val="24"/>
          <w:szCs w:val="24"/>
        </w:rPr>
        <w:t xml:space="preserve"> responses received, </w:t>
      </w:r>
      <w:r w:rsidR="00BA3807" w:rsidRPr="00BC2C95">
        <w:rPr>
          <w:rFonts w:ascii="Arial" w:hAnsi="Arial" w:cs="Arial"/>
          <w:bCs/>
          <w:sz w:val="24"/>
          <w:szCs w:val="24"/>
        </w:rPr>
        <w:t>197</w:t>
      </w:r>
      <w:r w:rsidRPr="00BC2C95">
        <w:rPr>
          <w:rFonts w:ascii="Arial" w:hAnsi="Arial" w:cs="Arial"/>
          <w:bCs/>
          <w:sz w:val="24"/>
          <w:szCs w:val="24"/>
        </w:rPr>
        <w:t xml:space="preserve"> </w:t>
      </w:r>
      <w:r w:rsidR="00707019" w:rsidRPr="00BC2C95">
        <w:rPr>
          <w:rFonts w:ascii="Arial" w:hAnsi="Arial" w:cs="Arial"/>
          <w:bCs/>
          <w:sz w:val="24"/>
          <w:szCs w:val="24"/>
        </w:rPr>
        <w:t xml:space="preserve">respondents </w:t>
      </w:r>
      <w:r w:rsidRPr="00BC2C95">
        <w:rPr>
          <w:rFonts w:ascii="Arial" w:hAnsi="Arial" w:cs="Arial"/>
          <w:bCs/>
          <w:sz w:val="24"/>
          <w:szCs w:val="24"/>
        </w:rPr>
        <w:t>(</w:t>
      </w:r>
      <w:r w:rsidR="00BA3807" w:rsidRPr="00BC2C95">
        <w:rPr>
          <w:rFonts w:ascii="Arial" w:hAnsi="Arial" w:cs="Arial"/>
          <w:bCs/>
          <w:sz w:val="24"/>
          <w:szCs w:val="24"/>
        </w:rPr>
        <w:t>64</w:t>
      </w:r>
      <w:r w:rsidRPr="00BC2C95">
        <w:rPr>
          <w:rFonts w:ascii="Arial" w:hAnsi="Arial" w:cs="Arial"/>
          <w:bCs/>
          <w:sz w:val="24"/>
          <w:szCs w:val="24"/>
        </w:rPr>
        <w:t>%) said they always use the same pharmacy and 1</w:t>
      </w:r>
      <w:r w:rsidR="00BA3807" w:rsidRPr="00BC2C95">
        <w:rPr>
          <w:rFonts w:ascii="Arial" w:hAnsi="Arial" w:cs="Arial"/>
          <w:bCs/>
          <w:sz w:val="24"/>
          <w:szCs w:val="24"/>
        </w:rPr>
        <w:t>0</w:t>
      </w:r>
      <w:r w:rsidRPr="00BC2C95">
        <w:rPr>
          <w:rFonts w:ascii="Arial" w:hAnsi="Arial" w:cs="Arial"/>
          <w:bCs/>
          <w:sz w:val="24"/>
          <w:szCs w:val="24"/>
        </w:rPr>
        <w:t>1</w:t>
      </w:r>
      <w:r w:rsidR="00707019" w:rsidRPr="00BC2C95">
        <w:rPr>
          <w:rFonts w:ascii="Arial" w:hAnsi="Arial" w:cs="Arial"/>
          <w:bCs/>
          <w:sz w:val="24"/>
          <w:szCs w:val="24"/>
        </w:rPr>
        <w:t xml:space="preserve"> respondents</w:t>
      </w:r>
      <w:r w:rsidRPr="00BC2C95">
        <w:rPr>
          <w:rFonts w:ascii="Arial" w:hAnsi="Arial" w:cs="Arial"/>
          <w:bCs/>
          <w:sz w:val="24"/>
          <w:szCs w:val="24"/>
        </w:rPr>
        <w:t xml:space="preserve"> (</w:t>
      </w:r>
      <w:r w:rsidR="00BA3807" w:rsidRPr="00BC2C95">
        <w:rPr>
          <w:rFonts w:ascii="Arial" w:hAnsi="Arial" w:cs="Arial"/>
          <w:bCs/>
          <w:sz w:val="24"/>
          <w:szCs w:val="24"/>
        </w:rPr>
        <w:t>33</w:t>
      </w:r>
      <w:r w:rsidRPr="00BC2C95">
        <w:rPr>
          <w:rFonts w:ascii="Arial" w:hAnsi="Arial" w:cs="Arial"/>
          <w:bCs/>
          <w:sz w:val="24"/>
          <w:szCs w:val="24"/>
        </w:rPr>
        <w:t xml:space="preserve">%) said they use different pharmacies but prefer to visit one most often. </w:t>
      </w:r>
      <w:r w:rsidR="00C5578C" w:rsidRPr="00BC2C95">
        <w:rPr>
          <w:rFonts w:ascii="Arial" w:hAnsi="Arial" w:cs="Arial"/>
          <w:bCs/>
          <w:sz w:val="24"/>
          <w:szCs w:val="24"/>
        </w:rPr>
        <w:t>Three</w:t>
      </w:r>
      <w:r w:rsidRPr="00BC2C95">
        <w:rPr>
          <w:rFonts w:ascii="Arial" w:hAnsi="Arial" w:cs="Arial"/>
          <w:bCs/>
          <w:sz w:val="24"/>
          <w:szCs w:val="24"/>
        </w:rPr>
        <w:t xml:space="preserve"> </w:t>
      </w:r>
      <w:r w:rsidR="00D83086" w:rsidRPr="00BC2C95">
        <w:rPr>
          <w:rFonts w:ascii="Arial" w:hAnsi="Arial" w:cs="Arial"/>
          <w:bCs/>
          <w:sz w:val="24"/>
          <w:szCs w:val="24"/>
        </w:rPr>
        <w:t>respondent</w:t>
      </w:r>
      <w:r w:rsidRPr="00BC2C95">
        <w:rPr>
          <w:rFonts w:ascii="Arial" w:hAnsi="Arial" w:cs="Arial"/>
          <w:bCs/>
          <w:sz w:val="24"/>
          <w:szCs w:val="24"/>
        </w:rPr>
        <w:t xml:space="preserve">s said that they always use different pharmacies and </w:t>
      </w:r>
      <w:r w:rsidR="00C5578C" w:rsidRPr="00BC2C95">
        <w:rPr>
          <w:rFonts w:ascii="Arial" w:hAnsi="Arial" w:cs="Arial"/>
          <w:bCs/>
          <w:sz w:val="24"/>
          <w:szCs w:val="24"/>
        </w:rPr>
        <w:t>seven</w:t>
      </w:r>
      <w:r w:rsidRPr="00BC2C95">
        <w:rPr>
          <w:rFonts w:ascii="Arial" w:hAnsi="Arial" w:cs="Arial"/>
          <w:bCs/>
          <w:sz w:val="24"/>
          <w:szCs w:val="24"/>
        </w:rPr>
        <w:t xml:space="preserve"> </w:t>
      </w:r>
      <w:r w:rsidR="00D83086" w:rsidRPr="00BC2C95">
        <w:rPr>
          <w:rFonts w:ascii="Arial" w:hAnsi="Arial" w:cs="Arial"/>
          <w:bCs/>
          <w:sz w:val="24"/>
          <w:szCs w:val="24"/>
        </w:rPr>
        <w:t>respondent</w:t>
      </w:r>
      <w:r w:rsidRPr="00BC2C95">
        <w:rPr>
          <w:rFonts w:ascii="Arial" w:hAnsi="Arial" w:cs="Arial"/>
          <w:bCs/>
          <w:sz w:val="24"/>
          <w:szCs w:val="24"/>
        </w:rPr>
        <w:t xml:space="preserve">s said they rarely use a pharmacy. </w:t>
      </w:r>
    </w:p>
    <w:p w14:paraId="145BBD9D" w14:textId="1E85EE27" w:rsidR="003F116A" w:rsidRPr="00BC2C95" w:rsidRDefault="003F116A" w:rsidP="00DC54F7">
      <w:pPr>
        <w:spacing w:after="0" w:line="240" w:lineRule="auto"/>
        <w:jc w:val="both"/>
        <w:rPr>
          <w:rFonts w:ascii="Arial" w:hAnsi="Arial" w:cs="Arial"/>
          <w:bCs/>
          <w:sz w:val="24"/>
          <w:szCs w:val="24"/>
        </w:rPr>
      </w:pPr>
    </w:p>
    <w:p w14:paraId="2CA007C4" w14:textId="3E040F38" w:rsidR="000B7911" w:rsidRPr="00BC2C95" w:rsidRDefault="00101D72" w:rsidP="00DC54F7">
      <w:pPr>
        <w:spacing w:after="0" w:line="240" w:lineRule="auto"/>
        <w:jc w:val="both"/>
        <w:rPr>
          <w:rFonts w:ascii="Arial" w:hAnsi="Arial" w:cs="Arial"/>
          <w:bCs/>
          <w:sz w:val="24"/>
          <w:szCs w:val="24"/>
        </w:rPr>
      </w:pPr>
      <w:r w:rsidRPr="00BC2C95">
        <w:rPr>
          <w:rFonts w:ascii="Arial" w:hAnsi="Arial" w:cs="Arial"/>
          <w:bCs/>
          <w:sz w:val="24"/>
          <w:szCs w:val="24"/>
        </w:rPr>
        <w:t xml:space="preserve">There are many reasons that influence the choice of pharmacy. Multiple answers (1664 responses) were given by the 308 people who </w:t>
      </w:r>
      <w:r w:rsidR="005A6F57" w:rsidRPr="00BC2C95">
        <w:rPr>
          <w:rFonts w:ascii="Arial" w:hAnsi="Arial" w:cs="Arial"/>
          <w:bCs/>
          <w:sz w:val="24"/>
          <w:szCs w:val="24"/>
        </w:rPr>
        <w:t xml:space="preserve">answered </w:t>
      </w:r>
      <w:r w:rsidRPr="00BC2C95">
        <w:rPr>
          <w:rFonts w:ascii="Arial" w:hAnsi="Arial" w:cs="Arial"/>
          <w:bCs/>
          <w:sz w:val="24"/>
          <w:szCs w:val="24"/>
        </w:rPr>
        <w:t xml:space="preserve">the question as to what influences choice of pharmacy. </w:t>
      </w:r>
      <w:r w:rsidRPr="00A11AB7">
        <w:rPr>
          <w:rFonts w:ascii="Arial" w:hAnsi="Arial" w:cs="Arial"/>
          <w:bCs/>
          <w:sz w:val="24"/>
          <w:szCs w:val="24"/>
        </w:rPr>
        <w:t>The most popular reasons were close to home (229 responses) followed by close to my doctor (157 responses) and the location of the pharmacy is easy to get to (144 responses).</w:t>
      </w:r>
      <w:r w:rsidR="007715A6" w:rsidRPr="00BC2C95">
        <w:rPr>
          <w:rFonts w:ascii="Arial" w:hAnsi="Arial" w:cs="Arial"/>
          <w:bCs/>
          <w:sz w:val="24"/>
          <w:szCs w:val="24"/>
        </w:rPr>
        <w:t xml:space="preserve"> Of the 22 </w:t>
      </w:r>
      <w:r w:rsidR="00D83086" w:rsidRPr="00BC2C95">
        <w:rPr>
          <w:rFonts w:ascii="Arial" w:hAnsi="Arial" w:cs="Arial"/>
          <w:bCs/>
          <w:sz w:val="24"/>
          <w:szCs w:val="24"/>
        </w:rPr>
        <w:t>respondent</w:t>
      </w:r>
      <w:r w:rsidR="007715A6" w:rsidRPr="00BC2C95">
        <w:rPr>
          <w:rFonts w:ascii="Arial" w:hAnsi="Arial" w:cs="Arial"/>
          <w:bCs/>
          <w:sz w:val="24"/>
          <w:szCs w:val="24"/>
        </w:rPr>
        <w:t xml:space="preserve">s who answered </w:t>
      </w:r>
      <w:r w:rsidR="007715A6" w:rsidRPr="00BC2C95">
        <w:rPr>
          <w:rFonts w:ascii="Arial" w:hAnsi="Arial" w:cs="Arial"/>
          <w:bCs/>
          <w:sz w:val="24"/>
          <w:szCs w:val="24"/>
        </w:rPr>
        <w:lastRenderedPageBreak/>
        <w:t xml:space="preserve">other, 10 comments were received about the repeat dispensing system, including ordering and collecting prescriptions: </w:t>
      </w:r>
    </w:p>
    <w:p w14:paraId="2C8BE536" w14:textId="77777777" w:rsidR="007715A6" w:rsidRPr="00BC2C95" w:rsidRDefault="007715A6" w:rsidP="00DC54F7">
      <w:pPr>
        <w:pStyle w:val="ListParagraph"/>
        <w:numPr>
          <w:ilvl w:val="0"/>
          <w:numId w:val="69"/>
        </w:num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“They provide telephone updates when my prescription is ready to be collected.”</w:t>
      </w:r>
    </w:p>
    <w:p w14:paraId="0DE5083C" w14:textId="77777777" w:rsidR="007715A6" w:rsidRPr="00BC2C95" w:rsidRDefault="007715A6" w:rsidP="00DC54F7">
      <w:pPr>
        <w:pStyle w:val="ListParagraph"/>
        <w:numPr>
          <w:ilvl w:val="0"/>
          <w:numId w:val="69"/>
        </w:num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“Collect my prescription from GP and I pick up from the pharmacy once completed.”</w:t>
      </w:r>
    </w:p>
    <w:p w14:paraId="30DC08B5" w14:textId="77777777" w:rsidR="008A50C2" w:rsidRPr="00BC2C95" w:rsidRDefault="008A50C2" w:rsidP="00DC54F7">
      <w:pPr>
        <w:spacing w:after="0" w:line="240" w:lineRule="auto"/>
        <w:jc w:val="both"/>
        <w:rPr>
          <w:rFonts w:ascii="Arial" w:hAnsi="Arial" w:cs="Arial"/>
          <w:bCs/>
          <w:sz w:val="24"/>
          <w:szCs w:val="24"/>
        </w:rPr>
      </w:pPr>
    </w:p>
    <w:p w14:paraId="075D700A" w14:textId="107A513A" w:rsidR="0041195F" w:rsidRPr="00BC2C95" w:rsidRDefault="007974A8" w:rsidP="00DC54F7">
      <w:pPr>
        <w:spacing w:after="0" w:line="240" w:lineRule="auto"/>
        <w:jc w:val="both"/>
        <w:rPr>
          <w:rFonts w:ascii="Arial" w:hAnsi="Arial" w:cs="Arial"/>
          <w:bCs/>
          <w:sz w:val="24"/>
          <w:szCs w:val="24"/>
        </w:rPr>
      </w:pPr>
      <w:r w:rsidRPr="00BC2C95">
        <w:rPr>
          <w:rFonts w:ascii="Arial" w:hAnsi="Arial" w:cs="Arial"/>
          <w:bCs/>
          <w:sz w:val="24"/>
          <w:szCs w:val="24"/>
        </w:rPr>
        <w:t xml:space="preserve">Two comments were about the delivery service offered during the </w:t>
      </w:r>
      <w:r w:rsidRPr="00BC2C95">
        <w:rPr>
          <w:rFonts w:ascii="Arial" w:hAnsi="Arial" w:cs="Arial"/>
          <w:sz w:val="24"/>
          <w:szCs w:val="24"/>
        </w:rPr>
        <w:t>Coronavirus (COVID-19)</w:t>
      </w:r>
      <w:r w:rsidR="009F0A30" w:rsidRPr="00BC2C95">
        <w:rPr>
          <w:rFonts w:ascii="Arial" w:hAnsi="Arial" w:cs="Arial"/>
          <w:sz w:val="24"/>
          <w:szCs w:val="24"/>
        </w:rPr>
        <w:t xml:space="preserve"> pandemic</w:t>
      </w:r>
      <w:r w:rsidRPr="00BC2C95">
        <w:rPr>
          <w:rFonts w:ascii="Arial" w:hAnsi="Arial" w:cs="Arial"/>
          <w:sz w:val="24"/>
          <w:szCs w:val="24"/>
        </w:rPr>
        <w:t>:</w:t>
      </w:r>
    </w:p>
    <w:p w14:paraId="6153BE43" w14:textId="18CF64B0" w:rsidR="0041195F" w:rsidRPr="00BC2C95" w:rsidRDefault="0041195F" w:rsidP="00DC54F7">
      <w:pPr>
        <w:pStyle w:val="ListParagraph"/>
        <w:numPr>
          <w:ilvl w:val="0"/>
          <w:numId w:val="75"/>
        </w:numPr>
        <w:spacing w:after="0" w:line="240" w:lineRule="auto"/>
        <w:jc w:val="both"/>
        <w:rPr>
          <w:rFonts w:ascii="Arial" w:hAnsi="Arial" w:cs="Arial"/>
          <w:bCs/>
          <w:sz w:val="24"/>
          <w:szCs w:val="24"/>
        </w:rPr>
      </w:pPr>
      <w:r w:rsidRPr="00BC2C95">
        <w:rPr>
          <w:rFonts w:ascii="Arial" w:hAnsi="Arial" w:cs="Arial"/>
          <w:bCs/>
          <w:sz w:val="24"/>
          <w:szCs w:val="24"/>
        </w:rPr>
        <w:t>“They've been great during lockdown and have delivered our prescriptions when my husband was shielding.”</w:t>
      </w:r>
    </w:p>
    <w:p w14:paraId="675669CF" w14:textId="7990173B" w:rsidR="007974A8" w:rsidRPr="00BC2C95" w:rsidRDefault="007974A8" w:rsidP="00DC54F7">
      <w:pPr>
        <w:pStyle w:val="ListParagraph"/>
        <w:numPr>
          <w:ilvl w:val="0"/>
          <w:numId w:val="75"/>
        </w:numPr>
        <w:spacing w:after="0" w:line="240" w:lineRule="auto"/>
        <w:jc w:val="both"/>
        <w:rPr>
          <w:rFonts w:ascii="Arial" w:hAnsi="Arial" w:cs="Arial"/>
          <w:bCs/>
          <w:sz w:val="24"/>
          <w:szCs w:val="24"/>
        </w:rPr>
      </w:pPr>
      <w:r w:rsidRPr="00BC2C95">
        <w:rPr>
          <w:rFonts w:ascii="Arial" w:hAnsi="Arial" w:cs="Arial"/>
          <w:bCs/>
          <w:sz w:val="24"/>
          <w:szCs w:val="24"/>
        </w:rPr>
        <w:t>“[Name of pharmacy] collects my prescription BUT WILL NOT DELIVER - even though I am shielding.”</w:t>
      </w:r>
    </w:p>
    <w:p w14:paraId="59AFC7F5" w14:textId="77777777" w:rsidR="0041195F" w:rsidRPr="00BC2C95" w:rsidRDefault="0041195F" w:rsidP="00DC54F7">
      <w:pPr>
        <w:spacing w:after="0" w:line="240" w:lineRule="auto"/>
        <w:jc w:val="both"/>
        <w:rPr>
          <w:rFonts w:ascii="Arial" w:hAnsi="Arial" w:cs="Arial"/>
          <w:bCs/>
          <w:sz w:val="24"/>
          <w:szCs w:val="24"/>
        </w:rPr>
      </w:pPr>
    </w:p>
    <w:p w14:paraId="772FDA74" w14:textId="7673AF02" w:rsidR="000F18DC" w:rsidRPr="00BC2C95" w:rsidRDefault="00F347DD" w:rsidP="00DC54F7">
      <w:pPr>
        <w:spacing w:after="0" w:line="240" w:lineRule="auto"/>
        <w:jc w:val="both"/>
        <w:rPr>
          <w:rFonts w:ascii="Arial" w:hAnsi="Arial" w:cs="Arial"/>
          <w:bCs/>
          <w:sz w:val="24"/>
          <w:szCs w:val="24"/>
        </w:rPr>
      </w:pPr>
      <w:r w:rsidRPr="00BC2C95">
        <w:rPr>
          <w:rFonts w:ascii="Arial" w:hAnsi="Arial" w:cs="Arial"/>
          <w:bCs/>
          <w:sz w:val="24"/>
          <w:szCs w:val="24"/>
        </w:rPr>
        <w:t>T</w:t>
      </w:r>
      <w:r w:rsidR="007715A6" w:rsidRPr="00BC2C95">
        <w:rPr>
          <w:rFonts w:ascii="Arial" w:hAnsi="Arial" w:cs="Arial"/>
          <w:bCs/>
          <w:sz w:val="24"/>
          <w:szCs w:val="24"/>
        </w:rPr>
        <w:t xml:space="preserve">wo comments were about opening times. </w:t>
      </w:r>
    </w:p>
    <w:p w14:paraId="499B835A" w14:textId="23DFD5CB" w:rsidR="005B3E95" w:rsidRPr="00BC2C95" w:rsidRDefault="00F347DD" w:rsidP="00DC54F7">
      <w:pPr>
        <w:pStyle w:val="ListParagraph"/>
        <w:numPr>
          <w:ilvl w:val="0"/>
          <w:numId w:val="74"/>
        </w:numPr>
        <w:spacing w:after="0" w:line="240" w:lineRule="auto"/>
        <w:jc w:val="both"/>
        <w:rPr>
          <w:rFonts w:ascii="Arial" w:eastAsia="Times New Roman" w:hAnsi="Arial" w:cs="Arial"/>
          <w:vanish/>
          <w:color w:val="000000"/>
          <w:sz w:val="24"/>
          <w:szCs w:val="24"/>
          <w:lang w:eastAsia="en-GB"/>
        </w:rPr>
      </w:pPr>
      <w:r w:rsidRPr="00BC2C95">
        <w:rPr>
          <w:rFonts w:ascii="Arial" w:eastAsia="Times New Roman" w:hAnsi="Arial" w:cs="Arial"/>
          <w:color w:val="000000"/>
          <w:sz w:val="24"/>
          <w:szCs w:val="24"/>
          <w:lang w:eastAsia="en-GB"/>
        </w:rPr>
        <w:t>“If only they would open at hours that people who work (in the NHS) could access them, I would go to the one that’s 30 seconds walk from my house, instead of having to track to [name of pharmacy].”</w:t>
      </w:r>
      <w:r w:rsidR="005B3E95" w:rsidRPr="00BC2C95">
        <w:rPr>
          <w:rFonts w:ascii="Arial" w:eastAsia="Times New Roman" w:hAnsi="Arial" w:cs="Arial"/>
          <w:vanish/>
          <w:color w:val="000000"/>
          <w:sz w:val="24"/>
          <w:szCs w:val="24"/>
          <w:lang w:eastAsia="en-GB"/>
        </w:rPr>
        <w:t> </w:t>
      </w:r>
    </w:p>
    <w:p w14:paraId="56FD913B" w14:textId="0E1210EC" w:rsidR="005B3E95" w:rsidRPr="00BC2C95" w:rsidRDefault="005B3E95" w:rsidP="00DC54F7">
      <w:pPr>
        <w:spacing w:after="0" w:line="240" w:lineRule="auto"/>
        <w:jc w:val="both"/>
        <w:rPr>
          <w:rFonts w:ascii="Arial" w:hAnsi="Arial" w:cs="Arial"/>
          <w:bCs/>
          <w:sz w:val="24"/>
          <w:szCs w:val="24"/>
        </w:rPr>
      </w:pPr>
    </w:p>
    <w:p w14:paraId="661FF703" w14:textId="7D759C74" w:rsidR="00076AA5" w:rsidRPr="00BC2C95" w:rsidRDefault="00076AA5" w:rsidP="00DC54F7">
      <w:pPr>
        <w:pStyle w:val="ListParagraph"/>
        <w:numPr>
          <w:ilvl w:val="0"/>
          <w:numId w:val="74"/>
        </w:numPr>
        <w:spacing w:after="0" w:line="240" w:lineRule="auto"/>
        <w:jc w:val="both"/>
        <w:rPr>
          <w:rFonts w:ascii="Arial" w:hAnsi="Arial" w:cs="Arial"/>
          <w:bCs/>
          <w:sz w:val="24"/>
          <w:szCs w:val="24"/>
        </w:rPr>
      </w:pPr>
      <w:r w:rsidRPr="00BC2C95">
        <w:rPr>
          <w:rFonts w:ascii="Arial" w:hAnsi="Arial" w:cs="Arial"/>
          <w:bCs/>
          <w:sz w:val="24"/>
          <w:szCs w:val="24"/>
        </w:rPr>
        <w:t>“Open on a Saturday.”</w:t>
      </w:r>
    </w:p>
    <w:p w14:paraId="06398576" w14:textId="46D68185" w:rsidR="000F18DC" w:rsidRPr="00BC2C95" w:rsidRDefault="000F18DC" w:rsidP="00DC54F7">
      <w:pPr>
        <w:spacing w:after="0" w:line="240" w:lineRule="auto"/>
        <w:jc w:val="both"/>
        <w:rPr>
          <w:rFonts w:ascii="Arial" w:hAnsi="Arial" w:cs="Arial"/>
          <w:bCs/>
          <w:sz w:val="24"/>
          <w:szCs w:val="24"/>
        </w:rPr>
      </w:pPr>
    </w:p>
    <w:p w14:paraId="13F99A63" w14:textId="1F86DB31" w:rsidR="001623D6" w:rsidRPr="00BC2C95" w:rsidRDefault="00707019" w:rsidP="00DC54F7">
      <w:pPr>
        <w:spacing w:after="0" w:line="240" w:lineRule="auto"/>
        <w:jc w:val="both"/>
        <w:rPr>
          <w:rFonts w:ascii="Arial" w:hAnsi="Arial" w:cs="Arial"/>
          <w:bCs/>
          <w:sz w:val="24"/>
          <w:szCs w:val="24"/>
        </w:rPr>
      </w:pPr>
      <w:r w:rsidRPr="00BC2C95">
        <w:rPr>
          <w:rFonts w:ascii="Arial" w:hAnsi="Arial" w:cs="Arial"/>
          <w:bCs/>
          <w:sz w:val="24"/>
          <w:szCs w:val="24"/>
        </w:rPr>
        <w:t>One comment received was about ease of parking</w:t>
      </w:r>
      <w:r w:rsidR="001623D6" w:rsidRPr="00BC2C95">
        <w:rPr>
          <w:rFonts w:ascii="Arial" w:hAnsi="Arial" w:cs="Arial"/>
          <w:bCs/>
          <w:sz w:val="24"/>
          <w:szCs w:val="24"/>
        </w:rPr>
        <w:t>.</w:t>
      </w:r>
      <w:r w:rsidRPr="00BC2C95">
        <w:rPr>
          <w:rFonts w:ascii="Arial" w:hAnsi="Arial" w:cs="Arial"/>
          <w:bCs/>
          <w:sz w:val="24"/>
          <w:szCs w:val="24"/>
        </w:rPr>
        <w:t xml:space="preserve"> </w:t>
      </w:r>
      <w:r w:rsidR="007715A6" w:rsidRPr="00BC2C95">
        <w:rPr>
          <w:rFonts w:ascii="Arial" w:hAnsi="Arial" w:cs="Arial"/>
          <w:bCs/>
          <w:sz w:val="24"/>
          <w:szCs w:val="24"/>
        </w:rPr>
        <w:t>Other comments include:</w:t>
      </w:r>
    </w:p>
    <w:p w14:paraId="7EABA8EA" w14:textId="77777777" w:rsidR="007715A6" w:rsidRPr="00BC2C95" w:rsidRDefault="007715A6" w:rsidP="00DC54F7">
      <w:pPr>
        <w:pStyle w:val="ListParagraph"/>
        <w:numPr>
          <w:ilvl w:val="0"/>
          <w:numId w:val="69"/>
        </w:numPr>
        <w:spacing w:after="0" w:line="240" w:lineRule="auto"/>
        <w:jc w:val="both"/>
        <w:rPr>
          <w:rFonts w:ascii="Arial" w:hAnsi="Arial" w:cs="Arial"/>
          <w:bCs/>
          <w:sz w:val="24"/>
          <w:szCs w:val="24"/>
        </w:rPr>
      </w:pPr>
      <w:r w:rsidRPr="00BC2C95">
        <w:rPr>
          <w:rFonts w:ascii="Arial" w:hAnsi="Arial" w:cs="Arial"/>
          <w:bCs/>
          <w:sz w:val="24"/>
          <w:szCs w:val="24"/>
        </w:rPr>
        <w:t>“This is pharmacy that the drs told me I had to use this one.”</w:t>
      </w:r>
    </w:p>
    <w:p w14:paraId="1A7C1012" w14:textId="5FF37285" w:rsidR="007715A6" w:rsidRPr="00BC2C95" w:rsidRDefault="007715A6" w:rsidP="00DC54F7">
      <w:pPr>
        <w:spacing w:after="0" w:line="240" w:lineRule="auto"/>
        <w:jc w:val="both"/>
        <w:rPr>
          <w:rFonts w:ascii="Arial" w:eastAsia="Symbol" w:hAnsi="Arial" w:cs="Arial"/>
          <w:color w:val="000000"/>
          <w:sz w:val="24"/>
          <w:szCs w:val="24"/>
          <w:lang w:eastAsia="en-GB"/>
        </w:rPr>
      </w:pPr>
      <w:r w:rsidRPr="00BC2C95">
        <w:rPr>
          <w:rFonts w:ascii="Symbol" w:eastAsia="Symbol" w:hAnsi="Symbol" w:cs="Symbol"/>
          <w:color w:val="000000"/>
          <w:sz w:val="24"/>
          <w:szCs w:val="24"/>
          <w:lang w:eastAsia="en-GB"/>
        </w:rPr>
        <w:t></w:t>
      </w:r>
      <w:r w:rsidRPr="00BC2C95">
        <w:rPr>
          <w:rFonts w:ascii="Times New Roman" w:eastAsia="Symbol" w:hAnsi="Times New Roman" w:cs="Times New Roman"/>
          <w:color w:val="000000"/>
          <w:sz w:val="24"/>
          <w:szCs w:val="24"/>
          <w:lang w:eastAsia="en-GB"/>
        </w:rPr>
        <w:t>    </w:t>
      </w:r>
      <w:r w:rsidR="00F56E8C" w:rsidRPr="00BC2C95">
        <w:rPr>
          <w:rFonts w:ascii="Times New Roman" w:eastAsia="Symbol" w:hAnsi="Times New Roman" w:cs="Times New Roman"/>
          <w:color w:val="000000"/>
          <w:sz w:val="24"/>
          <w:szCs w:val="24"/>
          <w:lang w:eastAsia="en-GB"/>
        </w:rPr>
        <w:t xml:space="preserve">  “</w:t>
      </w:r>
      <w:r w:rsidRPr="00BC2C95">
        <w:rPr>
          <w:rFonts w:ascii="Arial" w:eastAsia="Symbol" w:hAnsi="Arial" w:cs="Arial"/>
          <w:color w:val="000000"/>
          <w:sz w:val="24"/>
          <w:szCs w:val="24"/>
          <w:lang w:eastAsia="en-GB"/>
        </w:rPr>
        <w:t>I go to the pharmacy that is open but this has been harder lately since my local pharmacy has moved further away and I have to delay my treatment till the next day.”</w:t>
      </w:r>
    </w:p>
    <w:p w14:paraId="59005D55" w14:textId="11858586" w:rsidR="005566FA" w:rsidRPr="00BC2C95" w:rsidRDefault="005566FA" w:rsidP="00DC54F7">
      <w:pPr>
        <w:pStyle w:val="ListParagraph"/>
        <w:numPr>
          <w:ilvl w:val="0"/>
          <w:numId w:val="69"/>
        </w:num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“They get preferred brands.”</w:t>
      </w:r>
    </w:p>
    <w:p w14:paraId="4A601B2E" w14:textId="09DE9DBD" w:rsidR="006509E7" w:rsidRPr="00BC2C95" w:rsidRDefault="006509E7" w:rsidP="00DC54F7">
      <w:pPr>
        <w:pStyle w:val="ListParagraph"/>
        <w:numPr>
          <w:ilvl w:val="0"/>
          <w:numId w:val="69"/>
        </w:num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“The other local pharmacy is closed but service is appalling.”</w:t>
      </w:r>
    </w:p>
    <w:p w14:paraId="3C5605EC" w14:textId="3D79544A" w:rsidR="001623D6" w:rsidRPr="00BC2C95" w:rsidRDefault="001623D6" w:rsidP="00DC54F7">
      <w:pPr>
        <w:pStyle w:val="ListParagraph"/>
        <w:numPr>
          <w:ilvl w:val="0"/>
          <w:numId w:val="69"/>
        </w:num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 xml:space="preserve">“After negative experiences with other pharmacies, this one is the best in </w:t>
      </w:r>
      <w:r w:rsidR="000A0AC2" w:rsidRPr="00BC2C95">
        <w:rPr>
          <w:rFonts w:ascii="Arial" w:eastAsia="Times New Roman" w:hAnsi="Arial" w:cs="Arial"/>
          <w:color w:val="000000"/>
          <w:sz w:val="24"/>
          <w:szCs w:val="24"/>
          <w:lang w:eastAsia="en-GB"/>
        </w:rPr>
        <w:t>[name of location]</w:t>
      </w:r>
      <w:r w:rsidRPr="00BC2C95">
        <w:rPr>
          <w:rFonts w:ascii="Arial" w:eastAsia="Times New Roman" w:hAnsi="Arial" w:cs="Arial"/>
          <w:color w:val="000000"/>
          <w:sz w:val="24"/>
          <w:szCs w:val="24"/>
          <w:lang w:eastAsia="en-GB"/>
        </w:rPr>
        <w:t>.”</w:t>
      </w:r>
    </w:p>
    <w:p w14:paraId="747A0B9E" w14:textId="24814E25" w:rsidR="00101D72" w:rsidRDefault="00101D72" w:rsidP="00DC54F7">
      <w:pPr>
        <w:spacing w:after="0" w:line="240" w:lineRule="auto"/>
        <w:jc w:val="both"/>
        <w:rPr>
          <w:rFonts w:ascii="Arial" w:hAnsi="Arial" w:cs="Arial"/>
          <w:bCs/>
        </w:rPr>
      </w:pPr>
    </w:p>
    <w:p w14:paraId="197E1892" w14:textId="1C927B09" w:rsidR="00A33438" w:rsidRPr="00FF3397" w:rsidRDefault="005826BF" w:rsidP="00DC54F7">
      <w:pPr>
        <w:spacing w:after="0" w:line="240" w:lineRule="auto"/>
        <w:jc w:val="both"/>
        <w:rPr>
          <w:rFonts w:ascii="Arial" w:hAnsi="Arial" w:cs="Arial"/>
          <w:b/>
          <w:bCs/>
          <w:sz w:val="24"/>
          <w:szCs w:val="24"/>
        </w:rPr>
      </w:pPr>
      <w:r w:rsidRPr="00A11AB7">
        <w:rPr>
          <w:rFonts w:ascii="Arial" w:hAnsi="Arial" w:cs="Arial"/>
          <w:b/>
          <w:bCs/>
          <w:sz w:val="24"/>
          <w:szCs w:val="24"/>
        </w:rPr>
        <w:t>Figure</w:t>
      </w:r>
      <w:r w:rsidR="00D01D5D" w:rsidRPr="00A11AB7">
        <w:rPr>
          <w:rFonts w:ascii="Arial" w:hAnsi="Arial" w:cs="Arial"/>
          <w:b/>
          <w:bCs/>
          <w:sz w:val="24"/>
          <w:szCs w:val="24"/>
        </w:rPr>
        <w:t xml:space="preserve"> 1.</w:t>
      </w:r>
      <w:r w:rsidR="00200751" w:rsidRPr="00A11AB7">
        <w:rPr>
          <w:rFonts w:ascii="Arial" w:hAnsi="Arial" w:cs="Arial"/>
          <w:b/>
          <w:bCs/>
          <w:sz w:val="24"/>
          <w:szCs w:val="24"/>
        </w:rPr>
        <w:t>7</w:t>
      </w:r>
      <w:r w:rsidR="00ED3436" w:rsidRPr="00A11AB7">
        <w:rPr>
          <w:rFonts w:ascii="Arial" w:hAnsi="Arial" w:cs="Arial"/>
          <w:b/>
          <w:bCs/>
          <w:sz w:val="24"/>
          <w:szCs w:val="24"/>
        </w:rPr>
        <w:t xml:space="preserve">: </w:t>
      </w:r>
      <w:r w:rsidR="00863C24" w:rsidRPr="00A11AB7">
        <w:rPr>
          <w:rFonts w:ascii="Arial" w:hAnsi="Arial" w:cs="Arial"/>
          <w:b/>
          <w:bCs/>
          <w:sz w:val="24"/>
          <w:szCs w:val="24"/>
        </w:rPr>
        <w:t xml:space="preserve">Reasons that </w:t>
      </w:r>
      <w:r w:rsidR="00ED3436" w:rsidRPr="00A11AB7">
        <w:rPr>
          <w:rFonts w:ascii="Arial" w:hAnsi="Arial" w:cs="Arial"/>
          <w:b/>
          <w:bCs/>
          <w:sz w:val="24"/>
          <w:szCs w:val="24"/>
        </w:rPr>
        <w:t>Influenc</w:t>
      </w:r>
      <w:r w:rsidR="00863C24" w:rsidRPr="00A11AB7">
        <w:rPr>
          <w:rFonts w:ascii="Arial" w:hAnsi="Arial" w:cs="Arial"/>
          <w:b/>
          <w:bCs/>
          <w:sz w:val="24"/>
          <w:szCs w:val="24"/>
        </w:rPr>
        <w:t>e</w:t>
      </w:r>
      <w:r w:rsidR="00ED3436" w:rsidRPr="00A11AB7">
        <w:rPr>
          <w:rFonts w:ascii="Arial" w:hAnsi="Arial" w:cs="Arial"/>
          <w:b/>
          <w:bCs/>
          <w:sz w:val="24"/>
          <w:szCs w:val="24"/>
        </w:rPr>
        <w:t xml:space="preserve"> </w:t>
      </w:r>
      <w:r w:rsidR="00D01D5D" w:rsidRPr="00A11AB7">
        <w:rPr>
          <w:rFonts w:ascii="Arial" w:hAnsi="Arial" w:cs="Arial"/>
          <w:b/>
          <w:bCs/>
          <w:sz w:val="24"/>
          <w:szCs w:val="24"/>
        </w:rPr>
        <w:t xml:space="preserve">the </w:t>
      </w:r>
      <w:r w:rsidR="00ED3436" w:rsidRPr="00A11AB7">
        <w:rPr>
          <w:rFonts w:ascii="Arial" w:hAnsi="Arial" w:cs="Arial"/>
          <w:b/>
          <w:bCs/>
          <w:sz w:val="24"/>
          <w:szCs w:val="24"/>
        </w:rPr>
        <w:t>choice of pharmacy</w:t>
      </w:r>
    </w:p>
    <w:p w14:paraId="18C7664B" w14:textId="6CD3634B" w:rsidR="00FF3397" w:rsidRPr="00FF3397" w:rsidRDefault="00FF3397" w:rsidP="00DC54F7">
      <w:pPr>
        <w:spacing w:after="0" w:line="240" w:lineRule="auto"/>
        <w:jc w:val="both"/>
        <w:rPr>
          <w:rFonts w:ascii="Arial" w:hAnsi="Arial" w:cs="Arial"/>
          <w:b/>
          <w:bCs/>
        </w:rPr>
      </w:pPr>
      <w:r>
        <w:rPr>
          <w:noProof/>
          <w:lang w:eastAsia="en-GB"/>
        </w:rPr>
        <w:drawing>
          <wp:inline distT="0" distB="0" distL="0" distR="0" wp14:anchorId="6368FDB2" wp14:editId="408942C5">
            <wp:extent cx="5731510" cy="3313569"/>
            <wp:effectExtent l="0" t="0" r="2540" b="1270"/>
            <wp:docPr id="47" name="Chart 4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246B76E-FD4E-48FD-A68B-2E34DD84842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4C63D15" w14:textId="44220F71" w:rsidR="00DC54F7" w:rsidRDefault="00DC54F7">
      <w:pPr>
        <w:rPr>
          <w:rFonts w:ascii="Arial" w:hAnsi="Arial" w:cs="Arial"/>
          <w:bCs/>
          <w:sz w:val="24"/>
          <w:szCs w:val="24"/>
        </w:rPr>
      </w:pPr>
      <w:r>
        <w:rPr>
          <w:rFonts w:ascii="Arial" w:hAnsi="Arial" w:cs="Arial"/>
          <w:bCs/>
          <w:sz w:val="24"/>
          <w:szCs w:val="24"/>
        </w:rPr>
        <w:br w:type="page"/>
      </w:r>
    </w:p>
    <w:p w14:paraId="4FC68862" w14:textId="24B9BE4C" w:rsidR="001623D6" w:rsidRPr="00BC2C95" w:rsidRDefault="000053D4" w:rsidP="00DC54F7">
      <w:pPr>
        <w:spacing w:after="0" w:line="240" w:lineRule="auto"/>
        <w:jc w:val="both"/>
        <w:rPr>
          <w:rFonts w:ascii="Arial" w:hAnsi="Arial" w:cs="Arial"/>
          <w:bCs/>
          <w:sz w:val="24"/>
          <w:szCs w:val="24"/>
        </w:rPr>
      </w:pPr>
      <w:r w:rsidRPr="00BC2C95">
        <w:rPr>
          <w:rFonts w:ascii="Arial" w:hAnsi="Arial" w:cs="Arial"/>
          <w:bCs/>
          <w:sz w:val="24"/>
          <w:szCs w:val="24"/>
        </w:rPr>
        <w:lastRenderedPageBreak/>
        <w:t>T</w:t>
      </w:r>
      <w:r w:rsidR="000B2BCD" w:rsidRPr="00BC2C95">
        <w:rPr>
          <w:rFonts w:ascii="Arial" w:hAnsi="Arial" w:cs="Arial"/>
          <w:bCs/>
          <w:sz w:val="24"/>
          <w:szCs w:val="24"/>
        </w:rPr>
        <w:t xml:space="preserve">he majority of </w:t>
      </w:r>
      <w:r w:rsidR="00D83086" w:rsidRPr="00BC2C95">
        <w:rPr>
          <w:rFonts w:ascii="Arial" w:hAnsi="Arial" w:cs="Arial"/>
          <w:bCs/>
          <w:sz w:val="24"/>
          <w:szCs w:val="24"/>
        </w:rPr>
        <w:t>respondent</w:t>
      </w:r>
      <w:r w:rsidR="000B2BCD" w:rsidRPr="00BC2C95">
        <w:rPr>
          <w:rFonts w:ascii="Arial" w:hAnsi="Arial" w:cs="Arial"/>
          <w:bCs/>
          <w:sz w:val="24"/>
          <w:szCs w:val="24"/>
        </w:rPr>
        <w:t>s (</w:t>
      </w:r>
      <w:r w:rsidR="00576E05" w:rsidRPr="00BC2C95">
        <w:rPr>
          <w:rFonts w:ascii="Arial" w:hAnsi="Arial" w:cs="Arial"/>
          <w:bCs/>
          <w:sz w:val="24"/>
          <w:szCs w:val="24"/>
        </w:rPr>
        <w:t xml:space="preserve">67%, </w:t>
      </w:r>
      <w:r w:rsidR="00B65281" w:rsidRPr="00BC2C95">
        <w:rPr>
          <w:rFonts w:ascii="Arial" w:hAnsi="Arial" w:cs="Arial"/>
          <w:bCs/>
          <w:sz w:val="24"/>
          <w:szCs w:val="24"/>
        </w:rPr>
        <w:t>207</w:t>
      </w:r>
      <w:r w:rsidR="000B2BCD" w:rsidRPr="00BC2C95">
        <w:rPr>
          <w:rFonts w:ascii="Arial" w:hAnsi="Arial" w:cs="Arial"/>
          <w:bCs/>
          <w:sz w:val="24"/>
          <w:szCs w:val="24"/>
        </w:rPr>
        <w:t xml:space="preserve"> out of </w:t>
      </w:r>
      <w:r w:rsidR="00B65281" w:rsidRPr="00BC2C95">
        <w:rPr>
          <w:rFonts w:ascii="Arial" w:hAnsi="Arial" w:cs="Arial"/>
          <w:bCs/>
          <w:sz w:val="24"/>
          <w:szCs w:val="24"/>
        </w:rPr>
        <w:t>307</w:t>
      </w:r>
      <w:r w:rsidR="00576E05" w:rsidRPr="00BC2C95">
        <w:rPr>
          <w:rFonts w:ascii="Arial" w:hAnsi="Arial" w:cs="Arial"/>
          <w:bCs/>
          <w:sz w:val="24"/>
          <w:szCs w:val="24"/>
        </w:rPr>
        <w:t xml:space="preserve"> people</w:t>
      </w:r>
      <w:r w:rsidR="000B2BCD" w:rsidRPr="00BC2C95">
        <w:rPr>
          <w:rFonts w:ascii="Arial" w:hAnsi="Arial" w:cs="Arial"/>
          <w:bCs/>
          <w:sz w:val="24"/>
          <w:szCs w:val="24"/>
        </w:rPr>
        <w:t xml:space="preserve">), </w:t>
      </w:r>
      <w:r w:rsidR="00861DA5" w:rsidRPr="00BC2C95">
        <w:rPr>
          <w:rFonts w:ascii="Arial" w:hAnsi="Arial" w:cs="Arial"/>
          <w:bCs/>
          <w:sz w:val="24"/>
          <w:szCs w:val="24"/>
        </w:rPr>
        <w:t>us</w:t>
      </w:r>
      <w:r w:rsidR="004D10DD" w:rsidRPr="00BC2C95">
        <w:rPr>
          <w:rFonts w:ascii="Arial" w:hAnsi="Arial" w:cs="Arial"/>
          <w:bCs/>
          <w:sz w:val="24"/>
          <w:szCs w:val="24"/>
        </w:rPr>
        <w:t>e the pharmacy that is</w:t>
      </w:r>
      <w:r w:rsidR="00861DA5" w:rsidRPr="00BC2C95">
        <w:rPr>
          <w:rFonts w:ascii="Arial" w:hAnsi="Arial" w:cs="Arial"/>
          <w:bCs/>
          <w:sz w:val="24"/>
          <w:szCs w:val="24"/>
        </w:rPr>
        <w:t xml:space="preserve"> most convenient or closest </w:t>
      </w:r>
      <w:r w:rsidR="003B2E46" w:rsidRPr="00BC2C95">
        <w:rPr>
          <w:rFonts w:ascii="Arial" w:hAnsi="Arial" w:cs="Arial"/>
          <w:bCs/>
          <w:sz w:val="24"/>
          <w:szCs w:val="24"/>
        </w:rPr>
        <w:t>for them</w:t>
      </w:r>
      <w:r w:rsidR="00AC5B41" w:rsidRPr="00BC2C95">
        <w:rPr>
          <w:rFonts w:ascii="Arial" w:hAnsi="Arial" w:cs="Arial"/>
          <w:bCs/>
          <w:sz w:val="24"/>
          <w:szCs w:val="24"/>
        </w:rPr>
        <w:t xml:space="preserve"> to use</w:t>
      </w:r>
      <w:r w:rsidR="003B2E46" w:rsidRPr="00BC2C95">
        <w:rPr>
          <w:rFonts w:ascii="Arial" w:hAnsi="Arial" w:cs="Arial"/>
          <w:bCs/>
          <w:sz w:val="24"/>
          <w:szCs w:val="24"/>
        </w:rPr>
        <w:t xml:space="preserve">. </w:t>
      </w:r>
      <w:r w:rsidR="006D5AFE" w:rsidRPr="00BC2C95">
        <w:rPr>
          <w:rFonts w:ascii="Arial" w:hAnsi="Arial" w:cs="Arial"/>
          <w:bCs/>
          <w:sz w:val="24"/>
          <w:szCs w:val="24"/>
        </w:rPr>
        <w:t>11</w:t>
      </w:r>
      <w:r w:rsidR="000B2BCD" w:rsidRPr="00BC2C95">
        <w:rPr>
          <w:rFonts w:ascii="Arial" w:hAnsi="Arial" w:cs="Arial"/>
          <w:bCs/>
          <w:sz w:val="24"/>
          <w:szCs w:val="24"/>
        </w:rPr>
        <w:t xml:space="preserve"> </w:t>
      </w:r>
      <w:r w:rsidR="00D83086" w:rsidRPr="00BC2C95">
        <w:rPr>
          <w:rFonts w:ascii="Arial" w:hAnsi="Arial" w:cs="Arial"/>
          <w:bCs/>
          <w:sz w:val="24"/>
          <w:szCs w:val="24"/>
        </w:rPr>
        <w:t>respondent</w:t>
      </w:r>
      <w:r w:rsidR="000B2BCD" w:rsidRPr="00BC2C95">
        <w:rPr>
          <w:rFonts w:ascii="Arial" w:hAnsi="Arial" w:cs="Arial"/>
          <w:bCs/>
          <w:sz w:val="24"/>
          <w:szCs w:val="24"/>
        </w:rPr>
        <w:t>s</w:t>
      </w:r>
      <w:r w:rsidR="00576E05" w:rsidRPr="00BC2C95">
        <w:rPr>
          <w:rFonts w:ascii="Arial" w:hAnsi="Arial" w:cs="Arial"/>
          <w:bCs/>
          <w:sz w:val="24"/>
          <w:szCs w:val="24"/>
        </w:rPr>
        <w:t xml:space="preserve"> </w:t>
      </w:r>
      <w:r w:rsidR="0092068A" w:rsidRPr="00BC2C95">
        <w:rPr>
          <w:rFonts w:ascii="Arial" w:hAnsi="Arial" w:cs="Arial"/>
          <w:bCs/>
          <w:sz w:val="24"/>
          <w:szCs w:val="24"/>
        </w:rPr>
        <w:t xml:space="preserve">said they </w:t>
      </w:r>
      <w:r w:rsidR="00C16CC7" w:rsidRPr="00BC2C95">
        <w:rPr>
          <w:rFonts w:ascii="Arial" w:hAnsi="Arial" w:cs="Arial"/>
          <w:bCs/>
          <w:sz w:val="24"/>
          <w:szCs w:val="24"/>
        </w:rPr>
        <w:t>did not</w:t>
      </w:r>
      <w:r w:rsidR="00576E05" w:rsidRPr="00BC2C95">
        <w:rPr>
          <w:rFonts w:ascii="Arial" w:hAnsi="Arial" w:cs="Arial"/>
          <w:bCs/>
          <w:sz w:val="24"/>
          <w:szCs w:val="24"/>
        </w:rPr>
        <w:t xml:space="preserve"> know</w:t>
      </w:r>
      <w:r w:rsidR="00A36F73" w:rsidRPr="00BC2C95">
        <w:rPr>
          <w:rFonts w:ascii="Arial" w:hAnsi="Arial" w:cs="Arial"/>
          <w:bCs/>
          <w:sz w:val="24"/>
          <w:szCs w:val="24"/>
        </w:rPr>
        <w:t xml:space="preserve"> whether there was a closer </w:t>
      </w:r>
      <w:r w:rsidR="00163736" w:rsidRPr="00BC2C95">
        <w:rPr>
          <w:rFonts w:ascii="Arial" w:hAnsi="Arial" w:cs="Arial"/>
          <w:bCs/>
          <w:sz w:val="24"/>
          <w:szCs w:val="24"/>
        </w:rPr>
        <w:t xml:space="preserve">or </w:t>
      </w:r>
      <w:r w:rsidR="00130CE6" w:rsidRPr="00BC2C95">
        <w:rPr>
          <w:rFonts w:ascii="Arial" w:hAnsi="Arial" w:cs="Arial"/>
          <w:bCs/>
          <w:sz w:val="24"/>
          <w:szCs w:val="24"/>
        </w:rPr>
        <w:t xml:space="preserve">more </w:t>
      </w:r>
      <w:r w:rsidR="00163736" w:rsidRPr="00BC2C95">
        <w:rPr>
          <w:rFonts w:ascii="Arial" w:hAnsi="Arial" w:cs="Arial"/>
          <w:bCs/>
          <w:sz w:val="24"/>
          <w:szCs w:val="24"/>
        </w:rPr>
        <w:t xml:space="preserve">convenient </w:t>
      </w:r>
      <w:r w:rsidR="00A36F73" w:rsidRPr="00BC2C95">
        <w:rPr>
          <w:rFonts w:ascii="Arial" w:hAnsi="Arial" w:cs="Arial"/>
          <w:bCs/>
          <w:sz w:val="24"/>
          <w:szCs w:val="24"/>
        </w:rPr>
        <w:t>pharmacy</w:t>
      </w:r>
      <w:r w:rsidR="000B2BCD" w:rsidRPr="00BC2C95">
        <w:rPr>
          <w:rFonts w:ascii="Arial" w:hAnsi="Arial" w:cs="Arial"/>
          <w:bCs/>
          <w:sz w:val="24"/>
          <w:szCs w:val="24"/>
        </w:rPr>
        <w:t xml:space="preserve">. However, for </w:t>
      </w:r>
      <w:r w:rsidR="00576E05" w:rsidRPr="00BC2C95">
        <w:rPr>
          <w:rFonts w:ascii="Arial" w:hAnsi="Arial" w:cs="Arial"/>
          <w:bCs/>
          <w:sz w:val="24"/>
          <w:szCs w:val="24"/>
        </w:rPr>
        <w:t xml:space="preserve">29% </w:t>
      </w:r>
      <w:r w:rsidR="007B4FC6" w:rsidRPr="00BC2C95">
        <w:rPr>
          <w:rFonts w:ascii="Arial" w:hAnsi="Arial" w:cs="Arial"/>
          <w:bCs/>
          <w:sz w:val="24"/>
          <w:szCs w:val="24"/>
        </w:rPr>
        <w:t xml:space="preserve">of respondents </w:t>
      </w:r>
      <w:r w:rsidR="00576E05" w:rsidRPr="00BC2C95">
        <w:rPr>
          <w:rFonts w:ascii="Arial" w:hAnsi="Arial" w:cs="Arial"/>
          <w:bCs/>
          <w:sz w:val="24"/>
          <w:szCs w:val="24"/>
        </w:rPr>
        <w:t>(</w:t>
      </w:r>
      <w:r w:rsidR="006D5AFE" w:rsidRPr="00BC2C95">
        <w:rPr>
          <w:rFonts w:ascii="Arial" w:hAnsi="Arial" w:cs="Arial"/>
          <w:bCs/>
          <w:sz w:val="24"/>
          <w:szCs w:val="24"/>
        </w:rPr>
        <w:t>8</w:t>
      </w:r>
      <w:r w:rsidR="000B2BCD" w:rsidRPr="00BC2C95">
        <w:rPr>
          <w:rFonts w:ascii="Arial" w:hAnsi="Arial" w:cs="Arial"/>
          <w:bCs/>
          <w:sz w:val="24"/>
          <w:szCs w:val="24"/>
        </w:rPr>
        <w:t xml:space="preserve">9 </w:t>
      </w:r>
      <w:r w:rsidR="00576E05" w:rsidRPr="00BC2C95">
        <w:rPr>
          <w:rFonts w:ascii="Arial" w:hAnsi="Arial" w:cs="Arial"/>
          <w:bCs/>
          <w:sz w:val="24"/>
          <w:szCs w:val="24"/>
        </w:rPr>
        <w:t xml:space="preserve">people) </w:t>
      </w:r>
      <w:r w:rsidR="000B2BCD" w:rsidRPr="00BC2C95">
        <w:rPr>
          <w:rFonts w:ascii="Arial" w:hAnsi="Arial" w:cs="Arial"/>
          <w:bCs/>
          <w:sz w:val="24"/>
          <w:szCs w:val="24"/>
        </w:rPr>
        <w:t>there was a more convenient or closer pharmacy that they were choosing not to use. When asked why they d</w:t>
      </w:r>
      <w:r w:rsidR="001C4479" w:rsidRPr="00BC2C95">
        <w:rPr>
          <w:rFonts w:ascii="Arial" w:hAnsi="Arial" w:cs="Arial"/>
          <w:bCs/>
          <w:sz w:val="24"/>
          <w:szCs w:val="24"/>
        </w:rPr>
        <w:t>id</w:t>
      </w:r>
      <w:r w:rsidR="00202DAB" w:rsidRPr="00BC2C95">
        <w:rPr>
          <w:rFonts w:ascii="Arial" w:hAnsi="Arial" w:cs="Arial"/>
          <w:bCs/>
          <w:sz w:val="24"/>
          <w:szCs w:val="24"/>
        </w:rPr>
        <w:t xml:space="preserve"> not </w:t>
      </w:r>
      <w:r w:rsidR="000B2BCD" w:rsidRPr="00BC2C95">
        <w:rPr>
          <w:rFonts w:ascii="Arial" w:hAnsi="Arial" w:cs="Arial"/>
          <w:bCs/>
          <w:sz w:val="24"/>
          <w:szCs w:val="24"/>
        </w:rPr>
        <w:t>use that pharmacy</w:t>
      </w:r>
      <w:r w:rsidR="00064A16" w:rsidRPr="00BC2C95">
        <w:rPr>
          <w:rFonts w:ascii="Arial" w:hAnsi="Arial" w:cs="Arial"/>
          <w:bCs/>
          <w:sz w:val="24"/>
          <w:szCs w:val="24"/>
        </w:rPr>
        <w:t xml:space="preserve">, </w:t>
      </w:r>
      <w:r w:rsidR="00352679" w:rsidRPr="00BC2C95">
        <w:rPr>
          <w:rFonts w:ascii="Arial" w:hAnsi="Arial" w:cs="Arial"/>
          <w:bCs/>
          <w:sz w:val="24"/>
          <w:szCs w:val="24"/>
        </w:rPr>
        <w:t>90</w:t>
      </w:r>
      <w:r w:rsidR="000B2BCD" w:rsidRPr="00BC2C95">
        <w:rPr>
          <w:rFonts w:ascii="Arial" w:hAnsi="Arial" w:cs="Arial"/>
          <w:bCs/>
          <w:sz w:val="24"/>
          <w:szCs w:val="24"/>
        </w:rPr>
        <w:t xml:space="preserve"> people </w:t>
      </w:r>
      <w:r w:rsidR="00494D00" w:rsidRPr="00BC2C95">
        <w:rPr>
          <w:rFonts w:ascii="Arial" w:hAnsi="Arial" w:cs="Arial"/>
          <w:bCs/>
          <w:sz w:val="24"/>
          <w:szCs w:val="24"/>
        </w:rPr>
        <w:t>answered the question (one more than previous</w:t>
      </w:r>
      <w:r w:rsidR="007E7C43" w:rsidRPr="00BC2C95">
        <w:rPr>
          <w:rFonts w:ascii="Arial" w:hAnsi="Arial" w:cs="Arial"/>
          <w:bCs/>
          <w:sz w:val="24"/>
          <w:szCs w:val="24"/>
        </w:rPr>
        <w:t>ly responded</w:t>
      </w:r>
      <w:r w:rsidR="00494D00" w:rsidRPr="00BC2C95">
        <w:rPr>
          <w:rFonts w:ascii="Arial" w:hAnsi="Arial" w:cs="Arial"/>
          <w:bCs/>
          <w:sz w:val="24"/>
          <w:szCs w:val="24"/>
        </w:rPr>
        <w:t>)</w:t>
      </w:r>
      <w:r w:rsidR="007E7C43" w:rsidRPr="00BC2C95">
        <w:rPr>
          <w:rFonts w:ascii="Arial" w:hAnsi="Arial" w:cs="Arial"/>
          <w:bCs/>
          <w:sz w:val="24"/>
          <w:szCs w:val="24"/>
        </w:rPr>
        <w:t xml:space="preserve"> and a total of 164 responses were rec</w:t>
      </w:r>
      <w:r w:rsidR="008B3CF6" w:rsidRPr="00BC2C95">
        <w:rPr>
          <w:rFonts w:ascii="Arial" w:hAnsi="Arial" w:cs="Arial"/>
          <w:bCs/>
          <w:sz w:val="24"/>
          <w:szCs w:val="24"/>
        </w:rPr>
        <w:t xml:space="preserve">eived. </w:t>
      </w:r>
      <w:r w:rsidR="002D6805" w:rsidRPr="00BC2C95">
        <w:rPr>
          <w:rFonts w:ascii="Arial" w:hAnsi="Arial" w:cs="Arial"/>
          <w:bCs/>
          <w:sz w:val="24"/>
          <w:szCs w:val="24"/>
        </w:rPr>
        <w:t xml:space="preserve">Multiple answers could be given </w:t>
      </w:r>
      <w:r w:rsidR="00E23668" w:rsidRPr="00BC2C95">
        <w:rPr>
          <w:rFonts w:ascii="Arial" w:hAnsi="Arial" w:cs="Arial"/>
          <w:bCs/>
          <w:sz w:val="24"/>
          <w:szCs w:val="24"/>
        </w:rPr>
        <w:t xml:space="preserve">to this question and the number of responses received indicates </w:t>
      </w:r>
      <w:r w:rsidR="00760562" w:rsidRPr="00BC2C95">
        <w:rPr>
          <w:rFonts w:ascii="Arial" w:hAnsi="Arial" w:cs="Arial"/>
          <w:bCs/>
          <w:sz w:val="24"/>
          <w:szCs w:val="24"/>
        </w:rPr>
        <w:t xml:space="preserve">that some people chose more than one reason. </w:t>
      </w:r>
      <w:r w:rsidR="000B2BCD" w:rsidRPr="00A11AB7">
        <w:rPr>
          <w:rFonts w:ascii="Arial" w:hAnsi="Arial" w:cs="Arial"/>
          <w:bCs/>
          <w:sz w:val="24"/>
          <w:szCs w:val="24"/>
        </w:rPr>
        <w:t>The top three reasons provided were around ease of parking</w:t>
      </w:r>
      <w:r w:rsidR="00661B70" w:rsidRPr="00A11AB7">
        <w:rPr>
          <w:rFonts w:ascii="Arial" w:hAnsi="Arial" w:cs="Arial"/>
          <w:bCs/>
          <w:sz w:val="24"/>
          <w:szCs w:val="24"/>
        </w:rPr>
        <w:t xml:space="preserve"> (</w:t>
      </w:r>
      <w:r w:rsidR="00A018A1" w:rsidRPr="00A11AB7">
        <w:rPr>
          <w:rFonts w:ascii="Arial" w:hAnsi="Arial" w:cs="Arial"/>
          <w:bCs/>
          <w:sz w:val="24"/>
          <w:szCs w:val="24"/>
        </w:rPr>
        <w:t>29 responses)</w:t>
      </w:r>
      <w:r w:rsidR="000B2BCD" w:rsidRPr="00A11AB7">
        <w:rPr>
          <w:rFonts w:ascii="Arial" w:hAnsi="Arial" w:cs="Arial"/>
          <w:bCs/>
          <w:sz w:val="24"/>
          <w:szCs w:val="24"/>
        </w:rPr>
        <w:t>, speed of service</w:t>
      </w:r>
      <w:r w:rsidR="00A018A1" w:rsidRPr="00A11AB7">
        <w:rPr>
          <w:rFonts w:ascii="Arial" w:hAnsi="Arial" w:cs="Arial"/>
          <w:bCs/>
          <w:sz w:val="24"/>
          <w:szCs w:val="24"/>
        </w:rPr>
        <w:t xml:space="preserve"> (</w:t>
      </w:r>
      <w:r w:rsidR="004B2067" w:rsidRPr="00A11AB7">
        <w:rPr>
          <w:rFonts w:ascii="Arial" w:hAnsi="Arial" w:cs="Arial"/>
          <w:bCs/>
          <w:sz w:val="24"/>
          <w:szCs w:val="24"/>
        </w:rPr>
        <w:t>22 responses)</w:t>
      </w:r>
      <w:r w:rsidR="000B2BCD" w:rsidRPr="00A11AB7">
        <w:rPr>
          <w:rFonts w:ascii="Arial" w:hAnsi="Arial" w:cs="Arial"/>
          <w:bCs/>
          <w:sz w:val="24"/>
          <w:szCs w:val="24"/>
        </w:rPr>
        <w:t xml:space="preserve"> and </w:t>
      </w:r>
      <w:r w:rsidR="00BA0FAC" w:rsidRPr="00A11AB7">
        <w:rPr>
          <w:rFonts w:ascii="Arial" w:hAnsi="Arial" w:cs="Arial"/>
          <w:bCs/>
          <w:sz w:val="24"/>
          <w:szCs w:val="24"/>
        </w:rPr>
        <w:t>having a bad experience in the past</w:t>
      </w:r>
      <w:r w:rsidR="004B2067" w:rsidRPr="00A11AB7">
        <w:rPr>
          <w:rFonts w:ascii="Arial" w:hAnsi="Arial" w:cs="Arial"/>
          <w:bCs/>
          <w:sz w:val="24"/>
          <w:szCs w:val="24"/>
        </w:rPr>
        <w:t xml:space="preserve"> (</w:t>
      </w:r>
      <w:r w:rsidR="00C827F3" w:rsidRPr="00A11AB7">
        <w:rPr>
          <w:rFonts w:ascii="Arial" w:hAnsi="Arial" w:cs="Arial"/>
          <w:bCs/>
          <w:sz w:val="24"/>
          <w:szCs w:val="24"/>
        </w:rPr>
        <w:t>21 responses)</w:t>
      </w:r>
      <w:r w:rsidR="000B2BCD" w:rsidRPr="00A11AB7">
        <w:rPr>
          <w:rFonts w:ascii="Arial" w:hAnsi="Arial" w:cs="Arial"/>
          <w:bCs/>
          <w:sz w:val="24"/>
          <w:szCs w:val="24"/>
        </w:rPr>
        <w:t>.</w:t>
      </w:r>
      <w:r w:rsidR="00BE514D" w:rsidRPr="00BC2C95">
        <w:rPr>
          <w:rFonts w:ascii="Arial" w:hAnsi="Arial" w:cs="Arial"/>
          <w:bCs/>
          <w:sz w:val="24"/>
          <w:szCs w:val="24"/>
        </w:rPr>
        <w:t xml:space="preserve"> </w:t>
      </w:r>
    </w:p>
    <w:p w14:paraId="69C8F9E2" w14:textId="77777777" w:rsidR="00AD58BB" w:rsidRPr="00BC2C95" w:rsidRDefault="00AD58BB" w:rsidP="00DC54F7">
      <w:pPr>
        <w:spacing w:after="0" w:line="240" w:lineRule="auto"/>
        <w:jc w:val="both"/>
        <w:rPr>
          <w:rFonts w:ascii="Symbol" w:eastAsia="Times New Roman" w:hAnsi="Symbol" w:cs="Calibri"/>
          <w:color w:val="000000"/>
          <w:sz w:val="24"/>
          <w:szCs w:val="24"/>
          <w:lang w:eastAsia="en-GB"/>
        </w:rPr>
      </w:pPr>
    </w:p>
    <w:p w14:paraId="6ABC36B9" w14:textId="3A552567" w:rsidR="00AD58BB" w:rsidRPr="00BC2C95" w:rsidRDefault="004F6760" w:rsidP="00DC54F7">
      <w:pPr>
        <w:spacing w:after="0" w:line="240" w:lineRule="auto"/>
        <w:jc w:val="both"/>
        <w:rPr>
          <w:rFonts w:ascii="Arial" w:hAnsi="Arial" w:cs="Arial"/>
          <w:b/>
          <w:sz w:val="24"/>
          <w:szCs w:val="24"/>
        </w:rPr>
      </w:pPr>
      <w:r w:rsidRPr="00A11AB7">
        <w:rPr>
          <w:rFonts w:ascii="Arial" w:hAnsi="Arial" w:cs="Arial"/>
          <w:b/>
          <w:sz w:val="24"/>
          <w:szCs w:val="24"/>
        </w:rPr>
        <w:t>Figure 1.</w:t>
      </w:r>
      <w:r w:rsidR="00200751" w:rsidRPr="00A11AB7">
        <w:rPr>
          <w:rFonts w:ascii="Arial" w:hAnsi="Arial" w:cs="Arial"/>
          <w:b/>
          <w:sz w:val="24"/>
          <w:szCs w:val="24"/>
        </w:rPr>
        <w:t>8</w:t>
      </w:r>
      <w:r w:rsidR="00362FF1" w:rsidRPr="00A11AB7">
        <w:rPr>
          <w:rFonts w:ascii="Arial" w:hAnsi="Arial" w:cs="Arial"/>
          <w:b/>
          <w:sz w:val="24"/>
          <w:szCs w:val="24"/>
        </w:rPr>
        <w:t xml:space="preserve">: </w:t>
      </w:r>
      <w:r w:rsidR="00DE1AC3" w:rsidRPr="00A11AB7">
        <w:rPr>
          <w:rFonts w:ascii="Arial" w:hAnsi="Arial" w:cs="Arial"/>
          <w:b/>
          <w:sz w:val="24"/>
          <w:szCs w:val="24"/>
        </w:rPr>
        <w:t>Reasons for not using a nearer pharmacy</w:t>
      </w:r>
    </w:p>
    <w:p w14:paraId="58622C68" w14:textId="799C0A29" w:rsidR="004F6760" w:rsidRDefault="00FF3397" w:rsidP="00DC54F7">
      <w:pPr>
        <w:spacing w:after="0" w:line="240" w:lineRule="auto"/>
        <w:jc w:val="both"/>
        <w:rPr>
          <w:rFonts w:ascii="Arial" w:hAnsi="Arial" w:cs="Arial"/>
          <w:b/>
        </w:rPr>
      </w:pPr>
      <w:r>
        <w:rPr>
          <w:noProof/>
          <w:lang w:eastAsia="en-GB"/>
        </w:rPr>
        <w:drawing>
          <wp:inline distT="0" distB="0" distL="0" distR="0" wp14:anchorId="723EB9D5" wp14:editId="6B6C12CB">
            <wp:extent cx="5522614" cy="2679826"/>
            <wp:effectExtent l="0" t="0" r="1905" b="6350"/>
            <wp:docPr id="196" name="Chart 19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D42A7A7-D5A8-4DB1-A312-7FAF7EDC9A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871FB3C" w14:textId="17BFEBAA" w:rsidR="00B84786" w:rsidRDefault="00B84786" w:rsidP="00DC54F7">
      <w:pPr>
        <w:spacing w:after="0" w:line="240" w:lineRule="auto"/>
        <w:jc w:val="both"/>
        <w:rPr>
          <w:rFonts w:ascii="Arial" w:hAnsi="Arial" w:cs="Arial"/>
          <w:bCs/>
        </w:rPr>
      </w:pPr>
    </w:p>
    <w:p w14:paraId="51FC5E60" w14:textId="3E0FD06B" w:rsidR="0083710E" w:rsidRPr="00BC2C95" w:rsidRDefault="003B5362" w:rsidP="00DC54F7">
      <w:pPr>
        <w:spacing w:after="0" w:line="240" w:lineRule="auto"/>
        <w:jc w:val="both"/>
        <w:rPr>
          <w:rFonts w:ascii="Arial" w:hAnsi="Arial" w:cs="Arial"/>
          <w:bCs/>
          <w:sz w:val="24"/>
          <w:szCs w:val="24"/>
        </w:rPr>
      </w:pPr>
      <w:r w:rsidRPr="00BC2C95">
        <w:rPr>
          <w:rFonts w:ascii="Arial" w:hAnsi="Arial" w:cs="Arial"/>
          <w:bCs/>
          <w:sz w:val="24"/>
          <w:szCs w:val="24"/>
        </w:rPr>
        <w:t xml:space="preserve">Of the </w:t>
      </w:r>
      <w:r w:rsidR="0031239C" w:rsidRPr="00BC2C95">
        <w:rPr>
          <w:rFonts w:ascii="Arial" w:hAnsi="Arial" w:cs="Arial"/>
          <w:bCs/>
          <w:sz w:val="24"/>
          <w:szCs w:val="24"/>
        </w:rPr>
        <w:t>29</w:t>
      </w:r>
      <w:r w:rsidR="0083710E" w:rsidRPr="00BC2C95">
        <w:rPr>
          <w:rFonts w:ascii="Arial" w:hAnsi="Arial" w:cs="Arial"/>
          <w:bCs/>
          <w:sz w:val="24"/>
          <w:szCs w:val="24"/>
        </w:rPr>
        <w:t xml:space="preserve"> people </w:t>
      </w:r>
      <w:r w:rsidRPr="00BC2C95">
        <w:rPr>
          <w:rFonts w:ascii="Arial" w:hAnsi="Arial" w:cs="Arial"/>
          <w:bCs/>
          <w:sz w:val="24"/>
          <w:szCs w:val="24"/>
        </w:rPr>
        <w:t>who selected other, the following</w:t>
      </w:r>
      <w:r w:rsidR="003D412A" w:rsidRPr="00BC2C95">
        <w:rPr>
          <w:rFonts w:ascii="Arial" w:hAnsi="Arial" w:cs="Arial"/>
          <w:bCs/>
          <w:sz w:val="24"/>
          <w:szCs w:val="24"/>
        </w:rPr>
        <w:t xml:space="preserve"> </w:t>
      </w:r>
      <w:r w:rsidR="0032489B" w:rsidRPr="00BC2C95">
        <w:rPr>
          <w:rFonts w:ascii="Arial" w:hAnsi="Arial" w:cs="Arial"/>
          <w:bCs/>
          <w:sz w:val="24"/>
          <w:szCs w:val="24"/>
        </w:rPr>
        <w:t>themes emerged from the comments</w:t>
      </w:r>
      <w:r w:rsidR="003D412A" w:rsidRPr="00BC2C95">
        <w:rPr>
          <w:rFonts w:ascii="Arial" w:hAnsi="Arial" w:cs="Arial"/>
          <w:bCs/>
          <w:sz w:val="24"/>
          <w:szCs w:val="24"/>
        </w:rPr>
        <w:t xml:space="preserve"> rec</w:t>
      </w:r>
      <w:r w:rsidR="00C827F3" w:rsidRPr="00BC2C95">
        <w:rPr>
          <w:rFonts w:ascii="Arial" w:hAnsi="Arial" w:cs="Arial"/>
          <w:bCs/>
          <w:sz w:val="24"/>
          <w:szCs w:val="24"/>
        </w:rPr>
        <w:t>ei</w:t>
      </w:r>
      <w:r w:rsidR="003D412A" w:rsidRPr="00BC2C95">
        <w:rPr>
          <w:rFonts w:ascii="Arial" w:hAnsi="Arial" w:cs="Arial"/>
          <w:bCs/>
          <w:sz w:val="24"/>
          <w:szCs w:val="24"/>
        </w:rPr>
        <w:t>ved</w:t>
      </w:r>
      <w:r w:rsidR="00D13F37" w:rsidRPr="00BC2C95">
        <w:rPr>
          <w:rFonts w:ascii="Arial" w:hAnsi="Arial" w:cs="Arial"/>
          <w:bCs/>
          <w:sz w:val="24"/>
          <w:szCs w:val="24"/>
        </w:rPr>
        <w:t>:</w:t>
      </w:r>
      <w:r w:rsidRPr="00BC2C95">
        <w:rPr>
          <w:rFonts w:ascii="Arial" w:hAnsi="Arial" w:cs="Arial"/>
          <w:bCs/>
          <w:sz w:val="24"/>
          <w:szCs w:val="24"/>
        </w:rPr>
        <w:t xml:space="preserve"> </w:t>
      </w:r>
    </w:p>
    <w:p w14:paraId="6C4E4EB8" w14:textId="77777777" w:rsidR="004879D0" w:rsidRPr="00BC2C95" w:rsidRDefault="004879D0" w:rsidP="00DC54F7">
      <w:pPr>
        <w:spacing w:after="0" w:line="240" w:lineRule="auto"/>
        <w:jc w:val="both"/>
        <w:rPr>
          <w:rFonts w:ascii="Arial" w:hAnsi="Arial" w:cs="Arial"/>
          <w:bCs/>
          <w:sz w:val="24"/>
          <w:szCs w:val="24"/>
        </w:rPr>
      </w:pPr>
    </w:p>
    <w:p w14:paraId="5EB34931" w14:textId="6BC6C3B3" w:rsidR="00C64643" w:rsidRPr="00BC2C95" w:rsidRDefault="00770E3B" w:rsidP="00DC54F7">
      <w:pPr>
        <w:spacing w:after="0" w:line="240" w:lineRule="auto"/>
        <w:jc w:val="both"/>
        <w:rPr>
          <w:rFonts w:ascii="Arial" w:hAnsi="Arial" w:cs="Arial"/>
          <w:bCs/>
          <w:sz w:val="24"/>
          <w:szCs w:val="24"/>
        </w:rPr>
      </w:pPr>
      <w:r w:rsidRPr="00BC2C95">
        <w:rPr>
          <w:rFonts w:ascii="Arial" w:hAnsi="Arial" w:cs="Arial"/>
          <w:bCs/>
          <w:sz w:val="24"/>
          <w:szCs w:val="24"/>
        </w:rPr>
        <w:t xml:space="preserve">Five comments were about </w:t>
      </w:r>
      <w:r w:rsidR="00C27839" w:rsidRPr="00BC2C95">
        <w:rPr>
          <w:rFonts w:ascii="Arial" w:hAnsi="Arial" w:cs="Arial"/>
          <w:bCs/>
          <w:sz w:val="24"/>
          <w:szCs w:val="24"/>
        </w:rPr>
        <w:t xml:space="preserve">having built up a </w:t>
      </w:r>
      <w:r w:rsidR="001925D2" w:rsidRPr="00BC2C95">
        <w:rPr>
          <w:rFonts w:ascii="Arial" w:hAnsi="Arial" w:cs="Arial"/>
          <w:bCs/>
          <w:sz w:val="24"/>
          <w:szCs w:val="24"/>
        </w:rPr>
        <w:t>relationship with that particular pharmacy</w:t>
      </w:r>
      <w:r w:rsidRPr="00BC2C95">
        <w:rPr>
          <w:rFonts w:ascii="Arial" w:hAnsi="Arial" w:cs="Arial"/>
          <w:bCs/>
          <w:sz w:val="24"/>
          <w:szCs w:val="24"/>
        </w:rPr>
        <w:t xml:space="preserve"> </w:t>
      </w:r>
      <w:r w:rsidR="00712BA9" w:rsidRPr="00BC2C95">
        <w:rPr>
          <w:rFonts w:ascii="Arial" w:hAnsi="Arial" w:cs="Arial"/>
          <w:bCs/>
          <w:sz w:val="24"/>
          <w:szCs w:val="24"/>
        </w:rPr>
        <w:t>or being satisfied with the service received</w:t>
      </w:r>
      <w:r w:rsidR="002A399F" w:rsidRPr="00BC2C95">
        <w:rPr>
          <w:rFonts w:ascii="Arial" w:hAnsi="Arial" w:cs="Arial"/>
          <w:bCs/>
          <w:sz w:val="24"/>
          <w:szCs w:val="24"/>
        </w:rPr>
        <w:t xml:space="preserve"> from the pharmacy they were using</w:t>
      </w:r>
      <w:r w:rsidR="00F14A16" w:rsidRPr="00BC2C95">
        <w:rPr>
          <w:rFonts w:ascii="Arial" w:hAnsi="Arial" w:cs="Arial"/>
          <w:bCs/>
          <w:sz w:val="24"/>
          <w:szCs w:val="24"/>
        </w:rPr>
        <w:t xml:space="preserve"> or</w:t>
      </w:r>
      <w:r w:rsidR="00323F39" w:rsidRPr="00BC2C95">
        <w:rPr>
          <w:rFonts w:ascii="Arial" w:hAnsi="Arial" w:cs="Arial"/>
          <w:bCs/>
          <w:sz w:val="24"/>
          <w:szCs w:val="24"/>
        </w:rPr>
        <w:t xml:space="preserve"> both</w:t>
      </w:r>
      <w:r w:rsidR="00F14A16" w:rsidRPr="00BC2C95">
        <w:rPr>
          <w:rFonts w:ascii="Arial" w:hAnsi="Arial" w:cs="Arial"/>
          <w:bCs/>
          <w:sz w:val="24"/>
          <w:szCs w:val="24"/>
        </w:rPr>
        <w:t>:</w:t>
      </w:r>
    </w:p>
    <w:p w14:paraId="732B9F31" w14:textId="22D85DED" w:rsidR="009C0D5D" w:rsidRPr="00BC2C95" w:rsidRDefault="002D7523" w:rsidP="00DC54F7">
      <w:pPr>
        <w:pStyle w:val="ListParagraph"/>
        <w:numPr>
          <w:ilvl w:val="0"/>
          <w:numId w:val="69"/>
        </w:numPr>
        <w:spacing w:after="0" w:line="240" w:lineRule="auto"/>
        <w:jc w:val="both"/>
        <w:rPr>
          <w:rFonts w:ascii="Arial" w:hAnsi="Arial" w:cs="Arial"/>
          <w:bCs/>
          <w:sz w:val="24"/>
          <w:szCs w:val="24"/>
        </w:rPr>
      </w:pPr>
      <w:r w:rsidRPr="00BC2C95">
        <w:rPr>
          <w:rFonts w:ascii="Arial" w:eastAsia="Times New Roman" w:hAnsi="Arial" w:cs="Arial"/>
          <w:color w:val="000000"/>
          <w:sz w:val="24"/>
          <w:szCs w:val="24"/>
          <w:lang w:eastAsia="en-GB"/>
        </w:rPr>
        <w:t xml:space="preserve">“I moved house and am still within the catchment area for my GP and current pharmacy, so preferred not to change it as I like the staff and service, they know my medications (I take some </w:t>
      </w:r>
      <w:r w:rsidR="00540D6F" w:rsidRPr="00BC2C95">
        <w:rPr>
          <w:rFonts w:ascii="Arial" w:eastAsia="Times New Roman" w:hAnsi="Arial" w:cs="Arial"/>
          <w:color w:val="000000"/>
          <w:sz w:val="24"/>
          <w:szCs w:val="24"/>
          <w:lang w:eastAsia="en-GB"/>
        </w:rPr>
        <w:t>unusual</w:t>
      </w:r>
      <w:r w:rsidRPr="00BC2C95">
        <w:rPr>
          <w:rFonts w:ascii="Arial" w:eastAsia="Times New Roman" w:hAnsi="Arial" w:cs="Arial"/>
          <w:color w:val="000000"/>
          <w:sz w:val="24"/>
          <w:szCs w:val="24"/>
          <w:lang w:eastAsia="en-GB"/>
        </w:rPr>
        <w:t xml:space="preserve"> ones).”</w:t>
      </w:r>
    </w:p>
    <w:p w14:paraId="07A1C1BA" w14:textId="61396D86" w:rsidR="009612ED" w:rsidRPr="00BC2C95" w:rsidRDefault="00790821" w:rsidP="00DC54F7">
      <w:pPr>
        <w:pStyle w:val="ListParagraph"/>
        <w:numPr>
          <w:ilvl w:val="0"/>
          <w:numId w:val="69"/>
        </w:numPr>
        <w:spacing w:after="0" w:line="240" w:lineRule="auto"/>
        <w:jc w:val="both"/>
        <w:rPr>
          <w:rFonts w:ascii="Arial" w:hAnsi="Arial" w:cs="Arial"/>
          <w:bCs/>
          <w:sz w:val="24"/>
          <w:szCs w:val="24"/>
        </w:rPr>
      </w:pPr>
      <w:r w:rsidRPr="00BC2C95">
        <w:rPr>
          <w:rFonts w:ascii="Arial" w:eastAsia="Times New Roman" w:hAnsi="Arial" w:cs="Arial"/>
          <w:color w:val="000000"/>
          <w:sz w:val="24"/>
          <w:szCs w:val="24"/>
          <w:lang w:eastAsia="en-GB"/>
        </w:rPr>
        <w:t>“I’ve always been happy with the one I use.”</w:t>
      </w:r>
    </w:p>
    <w:p w14:paraId="26480E86" w14:textId="77777777" w:rsidR="004C65FF" w:rsidRPr="00BC2C95" w:rsidRDefault="004C65FF" w:rsidP="00DC54F7">
      <w:pPr>
        <w:spacing w:after="0" w:line="240" w:lineRule="auto"/>
        <w:ind w:firstLineChars="200" w:firstLine="480"/>
        <w:jc w:val="both"/>
        <w:rPr>
          <w:rFonts w:ascii="Arial" w:eastAsia="Times New Roman" w:hAnsi="Arial" w:cs="Arial"/>
          <w:color w:val="000000"/>
          <w:sz w:val="24"/>
          <w:szCs w:val="24"/>
          <w:lang w:eastAsia="en-GB"/>
        </w:rPr>
      </w:pPr>
    </w:p>
    <w:p w14:paraId="35F572B4" w14:textId="12E838B0" w:rsidR="000F4F82" w:rsidRPr="00BC2C95" w:rsidRDefault="000F4F82" w:rsidP="00DC54F7">
      <w:pPr>
        <w:spacing w:after="0" w:line="240" w:lineRule="auto"/>
        <w:jc w:val="both"/>
        <w:rPr>
          <w:rFonts w:ascii="Arial" w:hAnsi="Arial" w:cs="Arial"/>
          <w:bCs/>
          <w:sz w:val="24"/>
          <w:szCs w:val="24"/>
        </w:rPr>
      </w:pPr>
      <w:r w:rsidRPr="00BC2C95">
        <w:rPr>
          <w:rFonts w:ascii="Arial" w:hAnsi="Arial" w:cs="Arial"/>
          <w:bCs/>
          <w:sz w:val="24"/>
          <w:szCs w:val="24"/>
        </w:rPr>
        <w:t xml:space="preserve">Five comments were related to </w:t>
      </w:r>
      <w:r w:rsidR="008B3383" w:rsidRPr="00BC2C95">
        <w:rPr>
          <w:rFonts w:ascii="Arial" w:hAnsi="Arial" w:cs="Arial"/>
          <w:bCs/>
          <w:sz w:val="24"/>
          <w:szCs w:val="24"/>
        </w:rPr>
        <w:t xml:space="preserve">the </w:t>
      </w:r>
      <w:r w:rsidRPr="00BC2C95">
        <w:rPr>
          <w:rFonts w:ascii="Arial" w:hAnsi="Arial" w:cs="Arial"/>
          <w:bCs/>
          <w:sz w:val="24"/>
          <w:szCs w:val="24"/>
        </w:rPr>
        <w:t xml:space="preserve">proximity of pharmacy to </w:t>
      </w:r>
      <w:r w:rsidR="008C4A76" w:rsidRPr="00BC2C95">
        <w:rPr>
          <w:rFonts w:ascii="Arial" w:hAnsi="Arial" w:cs="Arial"/>
          <w:bCs/>
          <w:sz w:val="24"/>
          <w:szCs w:val="24"/>
        </w:rPr>
        <w:t xml:space="preserve">the </w:t>
      </w:r>
      <w:r w:rsidRPr="00BC2C95">
        <w:rPr>
          <w:rFonts w:ascii="Arial" w:hAnsi="Arial" w:cs="Arial"/>
          <w:bCs/>
          <w:sz w:val="24"/>
          <w:szCs w:val="24"/>
        </w:rPr>
        <w:t>GP practice</w:t>
      </w:r>
      <w:r w:rsidR="00660F5D" w:rsidRPr="00BC2C95">
        <w:rPr>
          <w:rFonts w:ascii="Arial" w:hAnsi="Arial" w:cs="Arial"/>
          <w:bCs/>
          <w:sz w:val="24"/>
          <w:szCs w:val="24"/>
        </w:rPr>
        <w:t>:</w:t>
      </w:r>
    </w:p>
    <w:p w14:paraId="62C1F423" w14:textId="6230589C" w:rsidR="00660F5D" w:rsidRPr="00BC2C95" w:rsidRDefault="00660F5D" w:rsidP="00DC54F7">
      <w:pPr>
        <w:pStyle w:val="ListParagraph"/>
        <w:numPr>
          <w:ilvl w:val="0"/>
          <w:numId w:val="69"/>
        </w:numPr>
        <w:spacing w:after="0" w:line="240" w:lineRule="auto"/>
        <w:jc w:val="both"/>
        <w:rPr>
          <w:rFonts w:ascii="Arial" w:hAnsi="Arial" w:cs="Arial"/>
          <w:bCs/>
          <w:sz w:val="24"/>
          <w:szCs w:val="24"/>
        </w:rPr>
      </w:pPr>
      <w:r w:rsidRPr="00BC2C95">
        <w:rPr>
          <w:rFonts w:ascii="Arial" w:hAnsi="Arial" w:cs="Arial"/>
          <w:bCs/>
          <w:sz w:val="24"/>
          <w:szCs w:val="24"/>
        </w:rPr>
        <w:t>“The pharmacy I do use is attached to my GP surgery so my script is passed to the pharmacy for me so it’s just easier to go there than the pharmacy nearest</w:t>
      </w:r>
      <w:r w:rsidR="009612ED" w:rsidRPr="00BC2C95">
        <w:rPr>
          <w:rFonts w:ascii="Arial" w:hAnsi="Arial" w:cs="Arial"/>
          <w:bCs/>
          <w:sz w:val="24"/>
          <w:szCs w:val="24"/>
        </w:rPr>
        <w:t xml:space="preserve"> my home which is not attached to my GP.”</w:t>
      </w:r>
    </w:p>
    <w:p w14:paraId="73C4452A" w14:textId="30E9DFB5" w:rsidR="00673033" w:rsidRPr="00BC2C95" w:rsidRDefault="00673033" w:rsidP="00DC54F7">
      <w:pPr>
        <w:pStyle w:val="ListParagraph"/>
        <w:numPr>
          <w:ilvl w:val="0"/>
          <w:numId w:val="69"/>
        </w:numPr>
        <w:spacing w:after="0" w:line="240" w:lineRule="auto"/>
        <w:jc w:val="both"/>
        <w:rPr>
          <w:rFonts w:ascii="Arial" w:hAnsi="Arial" w:cs="Arial"/>
          <w:bCs/>
          <w:sz w:val="24"/>
          <w:szCs w:val="24"/>
        </w:rPr>
      </w:pPr>
      <w:r w:rsidRPr="00BC2C95">
        <w:rPr>
          <w:rFonts w:ascii="Arial" w:hAnsi="Arial" w:cs="Arial"/>
          <w:bCs/>
          <w:sz w:val="24"/>
          <w:szCs w:val="24"/>
        </w:rPr>
        <w:t>“It's further away from the doctor's.”</w:t>
      </w:r>
    </w:p>
    <w:p w14:paraId="1737F9E6" w14:textId="79932D87" w:rsidR="00B93199" w:rsidRPr="00BC2C95" w:rsidRDefault="00B93199" w:rsidP="00DC54F7">
      <w:pPr>
        <w:spacing w:after="0" w:line="240" w:lineRule="auto"/>
        <w:jc w:val="both"/>
        <w:rPr>
          <w:rFonts w:ascii="Arial" w:hAnsi="Arial" w:cs="Arial"/>
          <w:bCs/>
          <w:sz w:val="24"/>
          <w:szCs w:val="24"/>
        </w:rPr>
      </w:pPr>
    </w:p>
    <w:p w14:paraId="1E467CA5" w14:textId="6B81E9D2" w:rsidR="00B93199" w:rsidRPr="00BC2C95" w:rsidRDefault="00B93199" w:rsidP="00DC54F7">
      <w:pPr>
        <w:spacing w:after="0" w:line="240" w:lineRule="auto"/>
        <w:jc w:val="both"/>
        <w:rPr>
          <w:rFonts w:ascii="Arial" w:hAnsi="Arial" w:cs="Arial"/>
          <w:bCs/>
          <w:sz w:val="24"/>
          <w:szCs w:val="24"/>
        </w:rPr>
      </w:pPr>
      <w:r w:rsidRPr="00BC2C95">
        <w:rPr>
          <w:rFonts w:ascii="Arial" w:hAnsi="Arial" w:cs="Arial"/>
          <w:bCs/>
          <w:sz w:val="24"/>
          <w:szCs w:val="24"/>
        </w:rPr>
        <w:t>Three comments were about where the GP sends the prescription</w:t>
      </w:r>
      <w:r w:rsidR="00323F39" w:rsidRPr="00BC2C95">
        <w:rPr>
          <w:rFonts w:ascii="Arial" w:hAnsi="Arial" w:cs="Arial"/>
          <w:bCs/>
          <w:sz w:val="24"/>
          <w:szCs w:val="24"/>
        </w:rPr>
        <w:t xml:space="preserve"> suggestin</w:t>
      </w:r>
      <w:r w:rsidR="00EE7A86" w:rsidRPr="00BC2C95">
        <w:rPr>
          <w:rFonts w:ascii="Arial" w:hAnsi="Arial" w:cs="Arial"/>
          <w:bCs/>
          <w:sz w:val="24"/>
          <w:szCs w:val="24"/>
        </w:rPr>
        <w:t>g</w:t>
      </w:r>
      <w:r w:rsidR="00323F39" w:rsidRPr="00BC2C95">
        <w:rPr>
          <w:rFonts w:ascii="Arial" w:hAnsi="Arial" w:cs="Arial"/>
          <w:bCs/>
          <w:sz w:val="24"/>
          <w:szCs w:val="24"/>
        </w:rPr>
        <w:t xml:space="preserve"> that the </w:t>
      </w:r>
      <w:r w:rsidR="001226D7" w:rsidRPr="00BC2C95">
        <w:rPr>
          <w:rFonts w:ascii="Arial" w:hAnsi="Arial" w:cs="Arial"/>
          <w:bCs/>
          <w:sz w:val="24"/>
          <w:szCs w:val="24"/>
        </w:rPr>
        <w:t>pa</w:t>
      </w:r>
      <w:r w:rsidR="00EE7A86" w:rsidRPr="00BC2C95">
        <w:rPr>
          <w:rFonts w:ascii="Arial" w:hAnsi="Arial" w:cs="Arial"/>
          <w:bCs/>
          <w:sz w:val="24"/>
          <w:szCs w:val="24"/>
        </w:rPr>
        <w:t>t</w:t>
      </w:r>
      <w:r w:rsidR="001226D7" w:rsidRPr="00BC2C95">
        <w:rPr>
          <w:rFonts w:ascii="Arial" w:hAnsi="Arial" w:cs="Arial"/>
          <w:bCs/>
          <w:sz w:val="24"/>
          <w:szCs w:val="24"/>
        </w:rPr>
        <w:t>ient</w:t>
      </w:r>
      <w:r w:rsidR="00EE7A86" w:rsidRPr="00BC2C95">
        <w:rPr>
          <w:rFonts w:ascii="Arial" w:hAnsi="Arial" w:cs="Arial"/>
          <w:bCs/>
          <w:sz w:val="24"/>
          <w:szCs w:val="24"/>
        </w:rPr>
        <w:t xml:space="preserve"> </w:t>
      </w:r>
      <w:r w:rsidR="00C16CC7" w:rsidRPr="00BC2C95">
        <w:rPr>
          <w:rFonts w:ascii="Arial" w:hAnsi="Arial" w:cs="Arial"/>
          <w:bCs/>
          <w:sz w:val="24"/>
          <w:szCs w:val="24"/>
        </w:rPr>
        <w:t>is not</w:t>
      </w:r>
      <w:r w:rsidR="00EE7A86" w:rsidRPr="00BC2C95">
        <w:rPr>
          <w:rFonts w:ascii="Arial" w:hAnsi="Arial" w:cs="Arial"/>
          <w:bCs/>
          <w:sz w:val="24"/>
          <w:szCs w:val="24"/>
        </w:rPr>
        <w:t xml:space="preserve"> given a choice</w:t>
      </w:r>
      <w:r w:rsidR="001226D7" w:rsidRPr="00BC2C95">
        <w:rPr>
          <w:rFonts w:ascii="Arial" w:hAnsi="Arial" w:cs="Arial"/>
          <w:bCs/>
          <w:sz w:val="24"/>
          <w:szCs w:val="24"/>
        </w:rPr>
        <w:t xml:space="preserve"> by their GP</w:t>
      </w:r>
      <w:r w:rsidR="00B178EB" w:rsidRPr="00BC2C95">
        <w:rPr>
          <w:rFonts w:ascii="Arial" w:hAnsi="Arial" w:cs="Arial"/>
          <w:bCs/>
          <w:sz w:val="24"/>
          <w:szCs w:val="24"/>
        </w:rPr>
        <w:t>:</w:t>
      </w:r>
    </w:p>
    <w:p w14:paraId="085944A4" w14:textId="244D1B0B" w:rsidR="00B93199" w:rsidRPr="00BC2C95" w:rsidRDefault="00B93199" w:rsidP="00DC54F7">
      <w:pPr>
        <w:pStyle w:val="ListParagraph"/>
        <w:numPr>
          <w:ilvl w:val="0"/>
          <w:numId w:val="76"/>
        </w:numPr>
        <w:spacing w:after="0" w:line="240" w:lineRule="auto"/>
        <w:ind w:left="360"/>
        <w:jc w:val="both"/>
        <w:rPr>
          <w:rFonts w:ascii="Arial" w:hAnsi="Arial" w:cs="Arial"/>
          <w:bCs/>
          <w:sz w:val="24"/>
          <w:szCs w:val="24"/>
        </w:rPr>
      </w:pPr>
      <w:r w:rsidRPr="00BC2C95">
        <w:rPr>
          <w:rFonts w:ascii="Arial" w:hAnsi="Arial" w:cs="Arial"/>
          <w:bCs/>
          <w:sz w:val="24"/>
          <w:szCs w:val="24"/>
        </w:rPr>
        <w:t xml:space="preserve">“My go </w:t>
      </w:r>
      <w:r w:rsidR="008A06B6" w:rsidRPr="00BC2C95">
        <w:rPr>
          <w:rFonts w:ascii="Arial" w:hAnsi="Arial" w:cs="Arial"/>
          <w:bCs/>
          <w:sz w:val="24"/>
          <w:szCs w:val="24"/>
        </w:rPr>
        <w:t xml:space="preserve">[GP] </w:t>
      </w:r>
      <w:r w:rsidRPr="00BC2C95">
        <w:rPr>
          <w:rFonts w:ascii="Arial" w:hAnsi="Arial" w:cs="Arial"/>
          <w:bCs/>
          <w:sz w:val="24"/>
          <w:szCs w:val="24"/>
        </w:rPr>
        <w:t>sends my prescription there.”</w:t>
      </w:r>
      <w:r w:rsidRPr="00BC2C95">
        <w:rPr>
          <w:rFonts w:ascii="Arial" w:hAnsi="Arial" w:cs="Arial"/>
          <w:bCs/>
          <w:sz w:val="24"/>
          <w:szCs w:val="24"/>
        </w:rPr>
        <w:tab/>
      </w:r>
      <w:r w:rsidRPr="00BC2C95">
        <w:rPr>
          <w:rFonts w:ascii="Arial" w:hAnsi="Arial" w:cs="Arial"/>
          <w:bCs/>
          <w:sz w:val="24"/>
          <w:szCs w:val="24"/>
        </w:rPr>
        <w:tab/>
      </w:r>
      <w:r w:rsidRPr="00BC2C95">
        <w:rPr>
          <w:rFonts w:ascii="Arial" w:hAnsi="Arial" w:cs="Arial"/>
          <w:bCs/>
          <w:sz w:val="24"/>
          <w:szCs w:val="24"/>
        </w:rPr>
        <w:tab/>
      </w:r>
      <w:r w:rsidRPr="00BC2C95">
        <w:rPr>
          <w:rFonts w:ascii="Arial" w:hAnsi="Arial" w:cs="Arial"/>
          <w:bCs/>
          <w:sz w:val="24"/>
          <w:szCs w:val="24"/>
        </w:rPr>
        <w:tab/>
      </w:r>
      <w:r w:rsidRPr="00BC2C95">
        <w:rPr>
          <w:rFonts w:ascii="Arial" w:hAnsi="Arial" w:cs="Arial"/>
          <w:bCs/>
          <w:sz w:val="24"/>
          <w:szCs w:val="24"/>
        </w:rPr>
        <w:tab/>
      </w:r>
    </w:p>
    <w:p w14:paraId="3B23A8B9" w14:textId="7B1060C1" w:rsidR="005C0277" w:rsidRPr="00BC2C95" w:rsidRDefault="00B93199" w:rsidP="00DC54F7">
      <w:pPr>
        <w:pStyle w:val="ListParagraph"/>
        <w:numPr>
          <w:ilvl w:val="0"/>
          <w:numId w:val="76"/>
        </w:numPr>
        <w:spacing w:after="0" w:line="240" w:lineRule="auto"/>
        <w:ind w:left="360"/>
        <w:jc w:val="both"/>
        <w:rPr>
          <w:rFonts w:ascii="Arial" w:hAnsi="Arial" w:cs="Arial"/>
          <w:bCs/>
          <w:sz w:val="24"/>
          <w:szCs w:val="24"/>
        </w:rPr>
      </w:pPr>
      <w:r w:rsidRPr="00BC2C95">
        <w:rPr>
          <w:rFonts w:ascii="Arial" w:hAnsi="Arial" w:cs="Arial"/>
          <w:bCs/>
          <w:sz w:val="24"/>
          <w:szCs w:val="24"/>
        </w:rPr>
        <w:lastRenderedPageBreak/>
        <w:t>“My doctors won't use it.”</w:t>
      </w:r>
      <w:r w:rsidRPr="00BC2C95">
        <w:rPr>
          <w:rFonts w:ascii="Arial" w:hAnsi="Arial" w:cs="Arial"/>
          <w:bCs/>
          <w:sz w:val="24"/>
          <w:szCs w:val="24"/>
        </w:rPr>
        <w:tab/>
      </w:r>
      <w:r w:rsidRPr="00BC2C95">
        <w:rPr>
          <w:rFonts w:ascii="Arial" w:hAnsi="Arial" w:cs="Arial"/>
          <w:bCs/>
          <w:sz w:val="24"/>
          <w:szCs w:val="24"/>
        </w:rPr>
        <w:tab/>
      </w:r>
      <w:r w:rsidRPr="00BC2C95">
        <w:rPr>
          <w:rFonts w:ascii="Arial" w:hAnsi="Arial" w:cs="Arial"/>
          <w:bCs/>
          <w:sz w:val="24"/>
          <w:szCs w:val="24"/>
        </w:rPr>
        <w:tab/>
      </w:r>
    </w:p>
    <w:p w14:paraId="760842BE" w14:textId="77777777" w:rsidR="000F4F82" w:rsidRPr="00BC2C95" w:rsidRDefault="000F4F82" w:rsidP="00DC54F7">
      <w:pPr>
        <w:spacing w:after="0" w:line="240" w:lineRule="auto"/>
        <w:jc w:val="both"/>
        <w:rPr>
          <w:rFonts w:ascii="Arial" w:hAnsi="Arial" w:cs="Arial"/>
          <w:bCs/>
          <w:sz w:val="24"/>
          <w:szCs w:val="24"/>
        </w:rPr>
      </w:pPr>
    </w:p>
    <w:p w14:paraId="1E1F54FB" w14:textId="081EA979" w:rsidR="006B51D6" w:rsidRPr="00BC2C95" w:rsidRDefault="006B51D6" w:rsidP="00DC54F7">
      <w:pPr>
        <w:spacing w:after="0" w:line="240" w:lineRule="auto"/>
        <w:jc w:val="both"/>
        <w:rPr>
          <w:rFonts w:ascii="Arial" w:hAnsi="Arial" w:cs="Arial"/>
          <w:bCs/>
          <w:sz w:val="24"/>
          <w:szCs w:val="24"/>
        </w:rPr>
      </w:pPr>
      <w:r w:rsidRPr="00BC2C95">
        <w:rPr>
          <w:rFonts w:ascii="Arial" w:hAnsi="Arial" w:cs="Arial"/>
          <w:bCs/>
          <w:sz w:val="24"/>
          <w:szCs w:val="24"/>
        </w:rPr>
        <w:t xml:space="preserve">Two comments </w:t>
      </w:r>
      <w:r w:rsidR="002F25D0" w:rsidRPr="00BC2C95">
        <w:rPr>
          <w:rFonts w:ascii="Arial" w:hAnsi="Arial" w:cs="Arial"/>
          <w:bCs/>
          <w:sz w:val="24"/>
          <w:szCs w:val="24"/>
        </w:rPr>
        <w:t xml:space="preserve">mentioned </w:t>
      </w:r>
      <w:r w:rsidRPr="00BC2C95">
        <w:rPr>
          <w:rFonts w:ascii="Arial" w:hAnsi="Arial" w:cs="Arial"/>
          <w:bCs/>
          <w:sz w:val="24"/>
          <w:szCs w:val="24"/>
        </w:rPr>
        <w:t>opening times</w:t>
      </w:r>
      <w:r w:rsidR="002F25D0" w:rsidRPr="00BC2C95">
        <w:rPr>
          <w:rFonts w:ascii="Arial" w:hAnsi="Arial" w:cs="Arial"/>
          <w:bCs/>
          <w:sz w:val="24"/>
          <w:szCs w:val="24"/>
        </w:rPr>
        <w:t>:</w:t>
      </w:r>
    </w:p>
    <w:p w14:paraId="7AA7DD73" w14:textId="5972C0AD" w:rsidR="008F06C5" w:rsidRPr="00BC2C95" w:rsidRDefault="008F06C5" w:rsidP="00DC54F7">
      <w:pPr>
        <w:pStyle w:val="ListParagraph"/>
        <w:numPr>
          <w:ilvl w:val="0"/>
          <w:numId w:val="90"/>
        </w:numPr>
        <w:spacing w:after="0" w:line="240" w:lineRule="auto"/>
        <w:jc w:val="both"/>
        <w:rPr>
          <w:rFonts w:ascii="Arial" w:hAnsi="Arial" w:cs="Arial"/>
          <w:bCs/>
          <w:sz w:val="24"/>
          <w:szCs w:val="24"/>
        </w:rPr>
      </w:pPr>
      <w:r w:rsidRPr="00BC2C95">
        <w:rPr>
          <w:rFonts w:ascii="Arial" w:hAnsi="Arial" w:cs="Arial"/>
          <w:bCs/>
          <w:sz w:val="24"/>
          <w:szCs w:val="24"/>
        </w:rPr>
        <w:t xml:space="preserve">“I only go elsewhere when its closed for lunch.” </w:t>
      </w:r>
    </w:p>
    <w:p w14:paraId="7D68D668" w14:textId="77777777" w:rsidR="00250C10" w:rsidRPr="00BC2C95" w:rsidRDefault="00250C10" w:rsidP="00DC54F7">
      <w:pPr>
        <w:spacing w:after="0" w:line="240" w:lineRule="auto"/>
        <w:jc w:val="both"/>
        <w:rPr>
          <w:rFonts w:ascii="Arial" w:hAnsi="Arial" w:cs="Arial"/>
          <w:bCs/>
          <w:sz w:val="24"/>
          <w:szCs w:val="24"/>
        </w:rPr>
      </w:pPr>
    </w:p>
    <w:p w14:paraId="5B6503C0" w14:textId="04E83A2C" w:rsidR="007D794D" w:rsidRPr="00BC2C95" w:rsidRDefault="001615A8" w:rsidP="00DC54F7">
      <w:pPr>
        <w:spacing w:after="0" w:line="240" w:lineRule="auto"/>
        <w:jc w:val="both"/>
        <w:rPr>
          <w:rFonts w:ascii="Arial" w:hAnsi="Arial" w:cs="Arial"/>
          <w:sz w:val="24"/>
          <w:szCs w:val="24"/>
        </w:rPr>
      </w:pPr>
      <w:r w:rsidRPr="00BC2C95">
        <w:rPr>
          <w:rFonts w:ascii="Arial" w:hAnsi="Arial" w:cs="Arial"/>
          <w:sz w:val="24"/>
          <w:szCs w:val="24"/>
        </w:rPr>
        <w:t>Eight</w:t>
      </w:r>
      <w:r w:rsidR="00B0735C" w:rsidRPr="00BC2C95">
        <w:rPr>
          <w:rFonts w:ascii="Arial" w:hAnsi="Arial" w:cs="Arial"/>
          <w:sz w:val="24"/>
          <w:szCs w:val="24"/>
        </w:rPr>
        <w:t xml:space="preserve"> </w:t>
      </w:r>
      <w:r w:rsidR="00250C10" w:rsidRPr="00BC2C95">
        <w:rPr>
          <w:rFonts w:ascii="Arial" w:hAnsi="Arial" w:cs="Arial"/>
          <w:sz w:val="24"/>
          <w:szCs w:val="24"/>
        </w:rPr>
        <w:t xml:space="preserve">comments mentioned the quality of service received such as </w:t>
      </w:r>
      <w:r w:rsidR="002754C5" w:rsidRPr="00BC2C95">
        <w:rPr>
          <w:rFonts w:ascii="Arial" w:hAnsi="Arial" w:cs="Arial"/>
          <w:sz w:val="24"/>
          <w:szCs w:val="24"/>
        </w:rPr>
        <w:t xml:space="preserve">the </w:t>
      </w:r>
      <w:r w:rsidR="00B51A48" w:rsidRPr="00BC2C95">
        <w:rPr>
          <w:rFonts w:ascii="Arial" w:hAnsi="Arial" w:cs="Arial"/>
          <w:sz w:val="24"/>
          <w:szCs w:val="24"/>
        </w:rPr>
        <w:t>in</w:t>
      </w:r>
      <w:r w:rsidR="00250C10" w:rsidRPr="00BC2C95">
        <w:rPr>
          <w:rFonts w:ascii="Arial" w:hAnsi="Arial" w:cs="Arial"/>
          <w:sz w:val="24"/>
          <w:szCs w:val="24"/>
        </w:rPr>
        <w:t>efficiency of staff, mistakes made (one comment), prescriptions</w:t>
      </w:r>
      <w:r w:rsidR="00F00EC8" w:rsidRPr="00BC2C95">
        <w:rPr>
          <w:rFonts w:ascii="Arial" w:hAnsi="Arial" w:cs="Arial"/>
          <w:sz w:val="24"/>
          <w:szCs w:val="24"/>
        </w:rPr>
        <w:t xml:space="preserve"> not </w:t>
      </w:r>
      <w:r w:rsidR="00250C10" w:rsidRPr="00BC2C95">
        <w:rPr>
          <w:rFonts w:ascii="Arial" w:hAnsi="Arial" w:cs="Arial"/>
          <w:sz w:val="24"/>
          <w:szCs w:val="24"/>
        </w:rPr>
        <w:t xml:space="preserve">being ready on time, and the </w:t>
      </w:r>
      <w:r w:rsidR="00250C10" w:rsidRPr="00BC2C95">
        <w:rPr>
          <w:rFonts w:ascii="Arial" w:hAnsi="Arial" w:cs="Arial"/>
          <w:bCs/>
          <w:sz w:val="24"/>
          <w:szCs w:val="24"/>
        </w:rPr>
        <w:t>pharmacy staff not being as approachable or as personable as the one they were choosing to use</w:t>
      </w:r>
      <w:r w:rsidR="002754C5" w:rsidRPr="00BC2C95">
        <w:rPr>
          <w:rFonts w:ascii="Arial" w:hAnsi="Arial" w:cs="Arial"/>
          <w:sz w:val="24"/>
          <w:szCs w:val="24"/>
        </w:rPr>
        <w:t>:</w:t>
      </w:r>
      <w:r w:rsidR="0007282E" w:rsidRPr="00BC2C95">
        <w:rPr>
          <w:rFonts w:ascii="Arial" w:hAnsi="Arial" w:cs="Arial"/>
          <w:bCs/>
          <w:sz w:val="24"/>
          <w:szCs w:val="24"/>
        </w:rPr>
        <w:tab/>
        <w:t xml:space="preserve"> </w:t>
      </w:r>
    </w:p>
    <w:p w14:paraId="09B451DB" w14:textId="613F7B2B" w:rsidR="00B77C5A" w:rsidRPr="00BC2C95" w:rsidRDefault="0007282E" w:rsidP="00DC54F7">
      <w:pPr>
        <w:pStyle w:val="ListParagraph"/>
        <w:numPr>
          <w:ilvl w:val="0"/>
          <w:numId w:val="78"/>
        </w:numPr>
        <w:spacing w:after="0" w:line="240" w:lineRule="auto"/>
        <w:jc w:val="both"/>
        <w:rPr>
          <w:rFonts w:ascii="Arial" w:hAnsi="Arial" w:cs="Arial"/>
          <w:sz w:val="24"/>
          <w:szCs w:val="24"/>
        </w:rPr>
      </w:pPr>
      <w:r w:rsidRPr="00BC2C95">
        <w:rPr>
          <w:rFonts w:ascii="Arial" w:hAnsi="Arial" w:cs="Arial"/>
          <w:bCs/>
          <w:sz w:val="24"/>
          <w:szCs w:val="24"/>
        </w:rPr>
        <w:t>“[Name of pharmacy] inefficient &amp; need customer service training.”</w:t>
      </w:r>
    </w:p>
    <w:p w14:paraId="15D3EC6D" w14:textId="3CAF5927" w:rsidR="006007F3" w:rsidRPr="00BC2C95" w:rsidRDefault="006007F3" w:rsidP="00DC54F7">
      <w:pPr>
        <w:pStyle w:val="ListParagraph"/>
        <w:numPr>
          <w:ilvl w:val="0"/>
          <w:numId w:val="78"/>
        </w:numPr>
        <w:spacing w:after="0" w:line="240" w:lineRule="auto"/>
        <w:jc w:val="both"/>
        <w:rPr>
          <w:rFonts w:ascii="Arial" w:hAnsi="Arial" w:cs="Arial"/>
          <w:bCs/>
          <w:sz w:val="24"/>
          <w:szCs w:val="24"/>
        </w:rPr>
      </w:pPr>
      <w:r w:rsidRPr="00BC2C95">
        <w:rPr>
          <w:rFonts w:ascii="Arial" w:hAnsi="Arial" w:cs="Arial"/>
          <w:bCs/>
          <w:sz w:val="24"/>
          <w:szCs w:val="24"/>
        </w:rPr>
        <w:t>“Have made mistakes on more than one occasion. Dangerous as life threatening medicines.”</w:t>
      </w:r>
    </w:p>
    <w:p w14:paraId="1B22C85B" w14:textId="77777777" w:rsidR="002B0D2E" w:rsidRPr="00BC2C95" w:rsidRDefault="002B0D2E" w:rsidP="00DC54F7">
      <w:pPr>
        <w:pStyle w:val="ListParagraph"/>
        <w:numPr>
          <w:ilvl w:val="0"/>
          <w:numId w:val="78"/>
        </w:num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Confined spaces in many pharmacies and the staff don’t always treat you with respect and dignity.”</w:t>
      </w:r>
    </w:p>
    <w:p w14:paraId="0A7B273C" w14:textId="77777777" w:rsidR="004C4501" w:rsidRPr="00BC2C95" w:rsidRDefault="004C4501" w:rsidP="00DC54F7">
      <w:pPr>
        <w:spacing w:after="0" w:line="240" w:lineRule="auto"/>
        <w:jc w:val="both"/>
        <w:rPr>
          <w:rFonts w:ascii="Arial" w:hAnsi="Arial" w:cs="Arial"/>
          <w:bCs/>
          <w:sz w:val="24"/>
          <w:szCs w:val="24"/>
        </w:rPr>
      </w:pPr>
    </w:p>
    <w:p w14:paraId="64152B16" w14:textId="3484B5FA" w:rsidR="002B0D2E" w:rsidRPr="00BC2C95" w:rsidRDefault="00D518FC" w:rsidP="00DC54F7">
      <w:pPr>
        <w:spacing w:after="0" w:line="240" w:lineRule="auto"/>
        <w:jc w:val="both"/>
        <w:rPr>
          <w:rFonts w:ascii="Arial" w:hAnsi="Arial" w:cs="Arial"/>
          <w:bCs/>
          <w:sz w:val="24"/>
          <w:szCs w:val="24"/>
        </w:rPr>
      </w:pPr>
      <w:r w:rsidRPr="00BC2C95">
        <w:rPr>
          <w:rFonts w:ascii="Arial" w:hAnsi="Arial" w:cs="Arial"/>
          <w:bCs/>
          <w:sz w:val="24"/>
          <w:szCs w:val="24"/>
        </w:rPr>
        <w:t xml:space="preserve">One comment </w:t>
      </w:r>
      <w:r w:rsidR="006E6B14" w:rsidRPr="00BC2C95">
        <w:rPr>
          <w:rFonts w:ascii="Arial" w:hAnsi="Arial" w:cs="Arial"/>
          <w:bCs/>
          <w:sz w:val="24"/>
          <w:szCs w:val="24"/>
        </w:rPr>
        <w:t xml:space="preserve">was related to </w:t>
      </w:r>
      <w:r w:rsidR="00F00EC8" w:rsidRPr="00BC2C95">
        <w:rPr>
          <w:rFonts w:ascii="Arial" w:hAnsi="Arial" w:cs="Arial"/>
          <w:bCs/>
          <w:sz w:val="24"/>
          <w:szCs w:val="24"/>
        </w:rPr>
        <w:t xml:space="preserve">the pharmacy not holding in stock the required </w:t>
      </w:r>
      <w:r w:rsidR="00022B15" w:rsidRPr="00BC2C95">
        <w:rPr>
          <w:rFonts w:ascii="Arial" w:hAnsi="Arial" w:cs="Arial"/>
          <w:bCs/>
          <w:sz w:val="24"/>
          <w:szCs w:val="24"/>
        </w:rPr>
        <w:t>prescription item</w:t>
      </w:r>
      <w:r w:rsidR="006E6B14" w:rsidRPr="00BC2C95">
        <w:rPr>
          <w:rFonts w:ascii="Arial" w:hAnsi="Arial" w:cs="Arial"/>
          <w:bCs/>
          <w:sz w:val="24"/>
          <w:szCs w:val="24"/>
        </w:rPr>
        <w:t>:</w:t>
      </w:r>
    </w:p>
    <w:p w14:paraId="2F914420" w14:textId="77777777" w:rsidR="001615A8" w:rsidRPr="00BC2C95" w:rsidRDefault="001615A8" w:rsidP="00DC54F7">
      <w:pPr>
        <w:pStyle w:val="ListParagraph"/>
        <w:numPr>
          <w:ilvl w:val="0"/>
          <w:numId w:val="78"/>
        </w:numPr>
        <w:spacing w:after="0" w:line="240" w:lineRule="auto"/>
        <w:jc w:val="both"/>
        <w:rPr>
          <w:rFonts w:ascii="Arial" w:hAnsi="Arial" w:cs="Arial"/>
          <w:bCs/>
          <w:sz w:val="24"/>
          <w:szCs w:val="24"/>
        </w:rPr>
      </w:pPr>
      <w:r w:rsidRPr="00BC2C95">
        <w:rPr>
          <w:rFonts w:ascii="Arial" w:hAnsi="Arial" w:cs="Arial"/>
          <w:bCs/>
          <w:sz w:val="24"/>
          <w:szCs w:val="24"/>
        </w:rPr>
        <w:t>“Altho within walking distance it means 2 visits as one of my monthly items is not held in stock. Other pharmacies carry this drug.”</w:t>
      </w:r>
    </w:p>
    <w:p w14:paraId="674159E4" w14:textId="77777777" w:rsidR="007A126A" w:rsidRPr="00BC2C95" w:rsidRDefault="007A126A" w:rsidP="00DC54F7">
      <w:pPr>
        <w:spacing w:after="0" w:line="240" w:lineRule="auto"/>
        <w:jc w:val="both"/>
        <w:rPr>
          <w:rFonts w:ascii="Arial" w:hAnsi="Arial" w:cs="Arial"/>
          <w:bCs/>
          <w:sz w:val="24"/>
          <w:szCs w:val="24"/>
          <w:highlight w:val="yellow"/>
        </w:rPr>
      </w:pPr>
    </w:p>
    <w:p w14:paraId="35EF61CB" w14:textId="77777777" w:rsidR="003A3610" w:rsidRPr="00BC2C95" w:rsidRDefault="00065606" w:rsidP="00DC54F7">
      <w:pPr>
        <w:spacing w:after="0" w:line="240" w:lineRule="auto"/>
        <w:jc w:val="both"/>
        <w:rPr>
          <w:rFonts w:ascii="Arial" w:hAnsi="Arial" w:cs="Arial"/>
          <w:sz w:val="24"/>
          <w:szCs w:val="24"/>
        </w:rPr>
      </w:pPr>
      <w:r w:rsidRPr="00BC2C95">
        <w:rPr>
          <w:rFonts w:ascii="Arial" w:hAnsi="Arial" w:cs="Arial"/>
          <w:sz w:val="24"/>
          <w:szCs w:val="24"/>
        </w:rPr>
        <w:t>Two comments were about pharmac</w:t>
      </w:r>
      <w:r w:rsidR="002D09BD" w:rsidRPr="00BC2C95">
        <w:rPr>
          <w:rFonts w:ascii="Arial" w:hAnsi="Arial" w:cs="Arial"/>
          <w:sz w:val="24"/>
          <w:szCs w:val="24"/>
        </w:rPr>
        <w:t>ies</w:t>
      </w:r>
      <w:r w:rsidRPr="00BC2C95">
        <w:rPr>
          <w:rFonts w:ascii="Arial" w:hAnsi="Arial" w:cs="Arial"/>
          <w:sz w:val="24"/>
          <w:szCs w:val="24"/>
        </w:rPr>
        <w:t xml:space="preserve"> being bu</w:t>
      </w:r>
      <w:r w:rsidR="00455002" w:rsidRPr="00BC2C95">
        <w:rPr>
          <w:rFonts w:ascii="Arial" w:hAnsi="Arial" w:cs="Arial"/>
          <w:sz w:val="24"/>
          <w:szCs w:val="24"/>
        </w:rPr>
        <w:t>sy</w:t>
      </w:r>
      <w:r w:rsidR="00B178EB" w:rsidRPr="00BC2C95">
        <w:rPr>
          <w:rFonts w:ascii="Arial" w:hAnsi="Arial" w:cs="Arial"/>
          <w:sz w:val="24"/>
          <w:szCs w:val="24"/>
        </w:rPr>
        <w:t xml:space="preserve">: </w:t>
      </w:r>
    </w:p>
    <w:p w14:paraId="1469772C" w14:textId="38034547" w:rsidR="00C83516" w:rsidRPr="00BC2C95" w:rsidRDefault="00C83516" w:rsidP="00DC54F7">
      <w:pPr>
        <w:pStyle w:val="ListParagraph"/>
        <w:numPr>
          <w:ilvl w:val="0"/>
          <w:numId w:val="69"/>
        </w:numPr>
        <w:spacing w:after="0" w:line="240" w:lineRule="auto"/>
        <w:jc w:val="both"/>
        <w:rPr>
          <w:rFonts w:ascii="Arial" w:hAnsi="Arial" w:cs="Arial"/>
          <w:sz w:val="24"/>
          <w:szCs w:val="24"/>
        </w:rPr>
      </w:pPr>
      <w:r w:rsidRPr="00BC2C95">
        <w:rPr>
          <w:rFonts w:ascii="Arial" w:eastAsia="Times New Roman" w:hAnsi="Arial" w:cs="Arial"/>
          <w:color w:val="000000"/>
          <w:sz w:val="24"/>
          <w:szCs w:val="24"/>
          <w:lang w:eastAsia="en-GB"/>
        </w:rPr>
        <w:t xml:space="preserve">“Very busy, have to wait a long time.” </w:t>
      </w:r>
    </w:p>
    <w:p w14:paraId="7085991F" w14:textId="3B865A6E" w:rsidR="004163CF" w:rsidRPr="00BC2C95" w:rsidRDefault="004163CF" w:rsidP="00DC54F7">
      <w:pPr>
        <w:spacing w:after="0" w:line="240" w:lineRule="auto"/>
        <w:jc w:val="both"/>
        <w:rPr>
          <w:rFonts w:ascii="Arial" w:hAnsi="Arial" w:cs="Arial"/>
          <w:sz w:val="24"/>
          <w:szCs w:val="24"/>
        </w:rPr>
      </w:pPr>
    </w:p>
    <w:p w14:paraId="2C47F5BE" w14:textId="13DB9889" w:rsidR="004163CF" w:rsidRPr="00BC2C95" w:rsidRDefault="004163CF" w:rsidP="00DC54F7">
      <w:pPr>
        <w:spacing w:after="0" w:line="240" w:lineRule="auto"/>
        <w:jc w:val="both"/>
        <w:rPr>
          <w:rFonts w:ascii="Arial" w:hAnsi="Arial" w:cs="Arial"/>
          <w:sz w:val="24"/>
          <w:szCs w:val="24"/>
        </w:rPr>
      </w:pPr>
      <w:r w:rsidRPr="00BC2C95">
        <w:rPr>
          <w:rFonts w:ascii="Arial" w:hAnsi="Arial" w:cs="Arial"/>
          <w:sz w:val="24"/>
          <w:szCs w:val="24"/>
        </w:rPr>
        <w:t>Two comments were about personal service:</w:t>
      </w:r>
    </w:p>
    <w:p w14:paraId="69DE17A6" w14:textId="700FCC07" w:rsidR="00A271E1" w:rsidRPr="00BC2C95" w:rsidRDefault="00A271E1" w:rsidP="00DC54F7">
      <w:pPr>
        <w:pStyle w:val="ListParagraph"/>
        <w:numPr>
          <w:ilvl w:val="0"/>
          <w:numId w:val="69"/>
        </w:numPr>
        <w:spacing w:after="0" w:line="240" w:lineRule="auto"/>
        <w:jc w:val="both"/>
        <w:rPr>
          <w:rFonts w:ascii="Arial" w:hAnsi="Arial" w:cs="Arial"/>
          <w:sz w:val="24"/>
          <w:szCs w:val="24"/>
        </w:rPr>
      </w:pPr>
      <w:r w:rsidRPr="00BC2C95">
        <w:rPr>
          <w:rFonts w:ascii="Arial" w:hAnsi="Arial" w:cs="Arial"/>
          <w:sz w:val="24"/>
          <w:szCs w:val="24"/>
        </w:rPr>
        <w:t>“Part if a chain with no sense of community.”</w:t>
      </w:r>
    </w:p>
    <w:p w14:paraId="6A776B27" w14:textId="5AED83C2" w:rsidR="00A271E1" w:rsidRPr="00BC2C95" w:rsidRDefault="00A271E1" w:rsidP="00DC54F7">
      <w:pPr>
        <w:pStyle w:val="ListParagraph"/>
        <w:numPr>
          <w:ilvl w:val="0"/>
          <w:numId w:val="69"/>
        </w:numPr>
        <w:spacing w:after="0" w:line="240" w:lineRule="auto"/>
        <w:jc w:val="both"/>
        <w:rPr>
          <w:rFonts w:ascii="Arial" w:hAnsi="Arial" w:cs="Arial"/>
          <w:sz w:val="24"/>
          <w:szCs w:val="24"/>
        </w:rPr>
      </w:pPr>
      <w:r w:rsidRPr="00BC2C95">
        <w:rPr>
          <w:rFonts w:ascii="Arial" w:hAnsi="Arial" w:cs="Arial"/>
          <w:sz w:val="24"/>
          <w:szCs w:val="24"/>
        </w:rPr>
        <w:t>“No personal service.”</w:t>
      </w:r>
    </w:p>
    <w:p w14:paraId="51BAD0A1" w14:textId="77777777" w:rsidR="00C83516" w:rsidRPr="00BC2C95" w:rsidRDefault="00C83516" w:rsidP="00DC54F7">
      <w:pPr>
        <w:spacing w:after="0" w:line="240" w:lineRule="auto"/>
        <w:jc w:val="both"/>
        <w:rPr>
          <w:rFonts w:ascii="Arial" w:hAnsi="Arial" w:cs="Arial"/>
          <w:sz w:val="24"/>
          <w:szCs w:val="24"/>
        </w:rPr>
      </w:pPr>
    </w:p>
    <w:p w14:paraId="64EA39EB" w14:textId="73A4E432" w:rsidR="00D602AA" w:rsidRPr="00BC2C95" w:rsidRDefault="009D5EAA" w:rsidP="00DC54F7">
      <w:pPr>
        <w:spacing w:after="0" w:line="240" w:lineRule="auto"/>
        <w:jc w:val="both"/>
        <w:rPr>
          <w:rFonts w:ascii="Arial" w:hAnsi="Arial" w:cs="Arial"/>
          <w:sz w:val="24"/>
          <w:szCs w:val="24"/>
        </w:rPr>
      </w:pPr>
      <w:r w:rsidRPr="00BC2C95">
        <w:rPr>
          <w:rFonts w:ascii="Arial" w:hAnsi="Arial" w:cs="Arial"/>
          <w:sz w:val="24"/>
          <w:szCs w:val="24"/>
        </w:rPr>
        <w:t xml:space="preserve">Two comments </w:t>
      </w:r>
      <w:r w:rsidR="003A6C9A" w:rsidRPr="00BC2C95">
        <w:rPr>
          <w:rFonts w:ascii="Arial" w:hAnsi="Arial" w:cs="Arial"/>
          <w:sz w:val="24"/>
          <w:szCs w:val="24"/>
        </w:rPr>
        <w:t xml:space="preserve">related directly to the Coronavirus (COVID-19) pandemic situation </w:t>
      </w:r>
      <w:r w:rsidR="00B0735C" w:rsidRPr="00BC2C95">
        <w:rPr>
          <w:rFonts w:ascii="Arial" w:hAnsi="Arial" w:cs="Arial"/>
          <w:sz w:val="24"/>
          <w:szCs w:val="24"/>
        </w:rPr>
        <w:t>and staff not wearing face masks:</w:t>
      </w:r>
    </w:p>
    <w:p w14:paraId="1B489334" w14:textId="0E89AA26" w:rsidR="002B0D2E" w:rsidRPr="00BC2C95" w:rsidRDefault="002B0D2E" w:rsidP="00DC54F7">
      <w:pPr>
        <w:pStyle w:val="ListParagraph"/>
        <w:numPr>
          <w:ilvl w:val="0"/>
          <w:numId w:val="77"/>
        </w:numPr>
        <w:spacing w:after="0" w:line="240" w:lineRule="auto"/>
        <w:jc w:val="both"/>
        <w:rPr>
          <w:rFonts w:ascii="Arial" w:hAnsi="Arial" w:cs="Arial"/>
          <w:bCs/>
          <w:sz w:val="24"/>
          <w:szCs w:val="24"/>
        </w:rPr>
      </w:pPr>
      <w:r w:rsidRPr="00BC2C95">
        <w:rPr>
          <w:rFonts w:ascii="Arial" w:hAnsi="Arial" w:cs="Arial"/>
          <w:bCs/>
          <w:sz w:val="24"/>
          <w:szCs w:val="24"/>
        </w:rPr>
        <w:t xml:space="preserve">“Staff not wearing face masks behind the counter. Visors have been proven to offer </w:t>
      </w:r>
      <w:r w:rsidR="00540D6F" w:rsidRPr="00BC2C95">
        <w:rPr>
          <w:rFonts w:ascii="Arial" w:hAnsi="Arial" w:cs="Arial"/>
          <w:bCs/>
          <w:sz w:val="24"/>
          <w:szCs w:val="24"/>
        </w:rPr>
        <w:t>little</w:t>
      </w:r>
      <w:r w:rsidRPr="00BC2C95">
        <w:rPr>
          <w:rFonts w:ascii="Arial" w:hAnsi="Arial" w:cs="Arial"/>
          <w:bCs/>
          <w:sz w:val="24"/>
          <w:szCs w:val="24"/>
        </w:rPr>
        <w:t xml:space="preserve"> or no protection and users of a pharmacy should be safe in Knowledge that all PPE is being worn. Last time there were two people in no masks!” </w:t>
      </w:r>
    </w:p>
    <w:p w14:paraId="41B77B63" w14:textId="37055A62" w:rsidR="00D261A2" w:rsidRPr="00BC2C95" w:rsidRDefault="00D261A2" w:rsidP="00DC54F7">
      <w:pPr>
        <w:spacing w:after="0" w:line="240" w:lineRule="auto"/>
        <w:jc w:val="both"/>
        <w:rPr>
          <w:rFonts w:ascii="Arial" w:hAnsi="Arial" w:cs="Arial"/>
          <w:sz w:val="24"/>
          <w:szCs w:val="24"/>
        </w:rPr>
      </w:pPr>
    </w:p>
    <w:p w14:paraId="49003FA7" w14:textId="271F2BA0" w:rsidR="003B1A91" w:rsidRPr="00BC2C95" w:rsidRDefault="002D4F23" w:rsidP="00DC54F7">
      <w:pPr>
        <w:spacing w:after="0" w:line="240" w:lineRule="auto"/>
        <w:jc w:val="both"/>
        <w:rPr>
          <w:rFonts w:ascii="Arial" w:hAnsi="Arial" w:cs="Arial"/>
          <w:sz w:val="24"/>
          <w:szCs w:val="24"/>
        </w:rPr>
      </w:pPr>
      <w:r w:rsidRPr="00BC2C95">
        <w:rPr>
          <w:rFonts w:ascii="Arial" w:hAnsi="Arial" w:cs="Arial"/>
          <w:sz w:val="24"/>
          <w:szCs w:val="24"/>
        </w:rPr>
        <w:t>The most popular way of travelling to a pharmacy was by car (</w:t>
      </w:r>
      <w:r w:rsidR="00E45AAD" w:rsidRPr="00BC2C95">
        <w:rPr>
          <w:rFonts w:ascii="Arial" w:hAnsi="Arial" w:cs="Arial"/>
          <w:sz w:val="24"/>
          <w:szCs w:val="24"/>
        </w:rPr>
        <w:t>51</w:t>
      </w:r>
      <w:r w:rsidRPr="00BC2C95">
        <w:rPr>
          <w:rFonts w:ascii="Arial" w:hAnsi="Arial" w:cs="Arial"/>
          <w:sz w:val="24"/>
          <w:szCs w:val="24"/>
        </w:rPr>
        <w:t>%</w:t>
      </w:r>
      <w:r w:rsidR="006839BD" w:rsidRPr="00BC2C95">
        <w:rPr>
          <w:rFonts w:ascii="Arial" w:hAnsi="Arial" w:cs="Arial"/>
          <w:sz w:val="24"/>
          <w:szCs w:val="24"/>
        </w:rPr>
        <w:t>, 158 out of 308 people)</w:t>
      </w:r>
      <w:r w:rsidRPr="00BC2C95">
        <w:rPr>
          <w:rFonts w:ascii="Arial" w:hAnsi="Arial" w:cs="Arial"/>
          <w:sz w:val="24"/>
          <w:szCs w:val="24"/>
        </w:rPr>
        <w:t xml:space="preserve"> and then </w:t>
      </w:r>
      <w:r w:rsidR="003A2827" w:rsidRPr="00BC2C95">
        <w:rPr>
          <w:rFonts w:ascii="Arial" w:hAnsi="Arial" w:cs="Arial"/>
          <w:sz w:val="24"/>
          <w:szCs w:val="24"/>
        </w:rPr>
        <w:t>on</w:t>
      </w:r>
      <w:r w:rsidRPr="00BC2C95">
        <w:rPr>
          <w:rFonts w:ascii="Arial" w:hAnsi="Arial" w:cs="Arial"/>
          <w:sz w:val="24"/>
          <w:szCs w:val="24"/>
        </w:rPr>
        <w:t xml:space="preserve"> foot (</w:t>
      </w:r>
      <w:r w:rsidR="00E45AAD" w:rsidRPr="00BC2C95">
        <w:rPr>
          <w:rFonts w:ascii="Arial" w:hAnsi="Arial" w:cs="Arial"/>
          <w:sz w:val="24"/>
          <w:szCs w:val="24"/>
        </w:rPr>
        <w:t>44</w:t>
      </w:r>
      <w:r w:rsidRPr="00BC2C95">
        <w:rPr>
          <w:rFonts w:ascii="Arial" w:hAnsi="Arial" w:cs="Arial"/>
          <w:sz w:val="24"/>
          <w:szCs w:val="24"/>
        </w:rPr>
        <w:t xml:space="preserve">%). </w:t>
      </w:r>
      <w:r w:rsidR="00E45AAD" w:rsidRPr="00BC2C95">
        <w:rPr>
          <w:rFonts w:ascii="Arial" w:hAnsi="Arial" w:cs="Arial"/>
          <w:sz w:val="24"/>
          <w:szCs w:val="24"/>
        </w:rPr>
        <w:t>1</w:t>
      </w:r>
      <w:r w:rsidRPr="00BC2C95">
        <w:rPr>
          <w:rFonts w:ascii="Arial" w:hAnsi="Arial" w:cs="Arial"/>
          <w:sz w:val="24"/>
          <w:szCs w:val="24"/>
        </w:rPr>
        <w:t xml:space="preserve">% </w:t>
      </w:r>
      <w:r w:rsidR="006839BD" w:rsidRPr="00BC2C95">
        <w:rPr>
          <w:rFonts w:ascii="Arial" w:hAnsi="Arial" w:cs="Arial"/>
          <w:sz w:val="24"/>
          <w:szCs w:val="24"/>
        </w:rPr>
        <w:t xml:space="preserve">(2 people) </w:t>
      </w:r>
      <w:r w:rsidRPr="00BC2C95">
        <w:rPr>
          <w:rFonts w:ascii="Arial" w:hAnsi="Arial" w:cs="Arial"/>
          <w:sz w:val="24"/>
          <w:szCs w:val="24"/>
        </w:rPr>
        <w:t>travelled by bus</w:t>
      </w:r>
      <w:r w:rsidR="00F06B3A" w:rsidRPr="00BC2C95">
        <w:rPr>
          <w:rFonts w:ascii="Arial" w:hAnsi="Arial" w:cs="Arial"/>
          <w:sz w:val="24"/>
          <w:szCs w:val="24"/>
        </w:rPr>
        <w:t xml:space="preserve"> and </w:t>
      </w:r>
      <w:r w:rsidR="00B024ED" w:rsidRPr="00BC2C95">
        <w:rPr>
          <w:rFonts w:ascii="Arial" w:hAnsi="Arial" w:cs="Arial"/>
          <w:sz w:val="24"/>
          <w:szCs w:val="24"/>
        </w:rPr>
        <w:t xml:space="preserve">the same </w:t>
      </w:r>
      <w:r w:rsidR="00F06B3A" w:rsidRPr="00BC2C95">
        <w:rPr>
          <w:rFonts w:ascii="Arial" w:hAnsi="Arial" w:cs="Arial"/>
          <w:sz w:val="24"/>
          <w:szCs w:val="24"/>
        </w:rPr>
        <w:t xml:space="preserve">by </w:t>
      </w:r>
      <w:r w:rsidR="00814810" w:rsidRPr="00BC2C95">
        <w:rPr>
          <w:rFonts w:ascii="Arial" w:hAnsi="Arial" w:cs="Arial"/>
          <w:sz w:val="24"/>
          <w:szCs w:val="24"/>
        </w:rPr>
        <w:t xml:space="preserve">taxi. These travel modes are likely to have been skewed by the </w:t>
      </w:r>
      <w:r w:rsidR="00307061" w:rsidRPr="00BC2C95">
        <w:rPr>
          <w:rFonts w:ascii="Arial" w:hAnsi="Arial" w:cs="Arial"/>
          <w:sz w:val="24"/>
          <w:szCs w:val="24"/>
        </w:rPr>
        <w:t>Coronavirus (</w:t>
      </w:r>
      <w:r w:rsidR="00814810" w:rsidRPr="00BC2C95">
        <w:rPr>
          <w:rFonts w:ascii="Arial" w:hAnsi="Arial" w:cs="Arial"/>
          <w:sz w:val="24"/>
          <w:szCs w:val="24"/>
        </w:rPr>
        <w:t>C</w:t>
      </w:r>
      <w:r w:rsidR="00307061" w:rsidRPr="00BC2C95">
        <w:rPr>
          <w:rFonts w:ascii="Arial" w:hAnsi="Arial" w:cs="Arial"/>
          <w:sz w:val="24"/>
          <w:szCs w:val="24"/>
        </w:rPr>
        <w:t>OVID</w:t>
      </w:r>
      <w:r w:rsidR="00814810" w:rsidRPr="00BC2C95">
        <w:rPr>
          <w:rFonts w:ascii="Arial" w:hAnsi="Arial" w:cs="Arial"/>
          <w:sz w:val="24"/>
          <w:szCs w:val="24"/>
        </w:rPr>
        <w:t>-19</w:t>
      </w:r>
      <w:r w:rsidR="00307061" w:rsidRPr="00BC2C95">
        <w:rPr>
          <w:rFonts w:ascii="Arial" w:hAnsi="Arial" w:cs="Arial"/>
          <w:sz w:val="24"/>
          <w:szCs w:val="24"/>
        </w:rPr>
        <w:t>) pandemic</w:t>
      </w:r>
      <w:r w:rsidR="00814810" w:rsidRPr="00BC2C95">
        <w:rPr>
          <w:rFonts w:ascii="Arial" w:hAnsi="Arial" w:cs="Arial"/>
          <w:sz w:val="24"/>
          <w:szCs w:val="24"/>
        </w:rPr>
        <w:t xml:space="preserve"> travel restrictions in place at the time of the survey.</w:t>
      </w:r>
      <w:r w:rsidRPr="00BC2C95">
        <w:rPr>
          <w:rFonts w:ascii="Arial" w:hAnsi="Arial" w:cs="Arial"/>
          <w:sz w:val="24"/>
          <w:szCs w:val="24"/>
        </w:rPr>
        <w:t xml:space="preserve"> </w:t>
      </w:r>
      <w:r w:rsidR="00772626" w:rsidRPr="00BC2C95">
        <w:rPr>
          <w:rFonts w:ascii="Arial" w:hAnsi="Arial" w:cs="Arial"/>
          <w:sz w:val="24"/>
          <w:szCs w:val="24"/>
        </w:rPr>
        <w:t xml:space="preserve">Of the five people who responded other, </w:t>
      </w:r>
      <w:r w:rsidR="003F2C39" w:rsidRPr="00BC2C95">
        <w:rPr>
          <w:rFonts w:ascii="Arial" w:hAnsi="Arial" w:cs="Arial"/>
          <w:sz w:val="24"/>
          <w:szCs w:val="24"/>
        </w:rPr>
        <w:t>t</w:t>
      </w:r>
      <w:r w:rsidR="00C76D26" w:rsidRPr="00BC2C95">
        <w:rPr>
          <w:rFonts w:ascii="Arial" w:hAnsi="Arial" w:cs="Arial"/>
          <w:sz w:val="24"/>
          <w:szCs w:val="24"/>
        </w:rPr>
        <w:t xml:space="preserve">wo </w:t>
      </w:r>
      <w:r w:rsidR="004A0A6B" w:rsidRPr="00BC2C95">
        <w:rPr>
          <w:rFonts w:ascii="Arial" w:hAnsi="Arial" w:cs="Arial"/>
          <w:sz w:val="24"/>
          <w:szCs w:val="24"/>
        </w:rPr>
        <w:t>comments were</w:t>
      </w:r>
      <w:r w:rsidR="00521896" w:rsidRPr="00BC2C95">
        <w:rPr>
          <w:rFonts w:ascii="Arial" w:hAnsi="Arial" w:cs="Arial"/>
          <w:sz w:val="24"/>
          <w:szCs w:val="24"/>
        </w:rPr>
        <w:t xml:space="preserve"> </w:t>
      </w:r>
      <w:r w:rsidR="00AD5E3C" w:rsidRPr="00BC2C95">
        <w:rPr>
          <w:rFonts w:ascii="Arial" w:hAnsi="Arial" w:cs="Arial"/>
          <w:sz w:val="24"/>
          <w:szCs w:val="24"/>
        </w:rPr>
        <w:t>about</w:t>
      </w:r>
      <w:r w:rsidR="00677C9F" w:rsidRPr="00BC2C95">
        <w:rPr>
          <w:rFonts w:ascii="Arial" w:hAnsi="Arial" w:cs="Arial"/>
          <w:sz w:val="24"/>
          <w:szCs w:val="24"/>
        </w:rPr>
        <w:t xml:space="preserve"> walking as well as</w:t>
      </w:r>
      <w:r w:rsidR="002D5633" w:rsidRPr="00BC2C95">
        <w:rPr>
          <w:rFonts w:ascii="Arial" w:hAnsi="Arial" w:cs="Arial"/>
          <w:sz w:val="24"/>
          <w:szCs w:val="24"/>
        </w:rPr>
        <w:t xml:space="preserve"> using another method of traveling to the pharmacy. </w:t>
      </w:r>
    </w:p>
    <w:p w14:paraId="5890F401" w14:textId="77777777" w:rsidR="00F2362A" w:rsidRPr="00BC2C95" w:rsidRDefault="00F2362A" w:rsidP="00DC54F7">
      <w:pPr>
        <w:spacing w:after="0" w:line="240" w:lineRule="auto"/>
        <w:jc w:val="both"/>
        <w:rPr>
          <w:rFonts w:ascii="Arial" w:hAnsi="Arial" w:cs="Arial"/>
          <w:sz w:val="24"/>
          <w:szCs w:val="24"/>
        </w:rPr>
      </w:pPr>
    </w:p>
    <w:p w14:paraId="61790E65" w14:textId="581EE35F" w:rsidR="002D4F23" w:rsidRPr="00BC2C95" w:rsidRDefault="002D4F23" w:rsidP="00DC54F7">
      <w:pPr>
        <w:spacing w:after="0" w:line="240" w:lineRule="auto"/>
        <w:jc w:val="both"/>
        <w:rPr>
          <w:rFonts w:ascii="Arial" w:hAnsi="Arial" w:cs="Arial"/>
          <w:sz w:val="24"/>
          <w:szCs w:val="24"/>
        </w:rPr>
      </w:pPr>
      <w:r w:rsidRPr="00BC2C95">
        <w:rPr>
          <w:rFonts w:ascii="Arial" w:hAnsi="Arial" w:cs="Arial"/>
          <w:sz w:val="24"/>
          <w:szCs w:val="24"/>
        </w:rPr>
        <w:t xml:space="preserve">Nearly all </w:t>
      </w:r>
      <w:r w:rsidR="00D83086" w:rsidRPr="00BC2C95">
        <w:rPr>
          <w:rFonts w:ascii="Arial" w:hAnsi="Arial" w:cs="Arial"/>
          <w:sz w:val="24"/>
          <w:szCs w:val="24"/>
        </w:rPr>
        <w:t>respondent</w:t>
      </w:r>
      <w:r w:rsidRPr="00BC2C95">
        <w:rPr>
          <w:rFonts w:ascii="Arial" w:hAnsi="Arial" w:cs="Arial"/>
          <w:sz w:val="24"/>
          <w:szCs w:val="24"/>
        </w:rPr>
        <w:t>s (</w:t>
      </w:r>
      <w:r w:rsidR="00147FB7" w:rsidRPr="00BC2C95">
        <w:rPr>
          <w:rFonts w:ascii="Arial" w:hAnsi="Arial" w:cs="Arial"/>
          <w:sz w:val="24"/>
          <w:szCs w:val="24"/>
        </w:rPr>
        <w:t>9</w:t>
      </w:r>
      <w:r w:rsidR="001400E4" w:rsidRPr="00BC2C95">
        <w:rPr>
          <w:rFonts w:ascii="Arial" w:hAnsi="Arial" w:cs="Arial"/>
          <w:sz w:val="24"/>
          <w:szCs w:val="24"/>
        </w:rPr>
        <w:t xml:space="preserve">6%, </w:t>
      </w:r>
      <w:r w:rsidR="009A2D6F" w:rsidRPr="00BC2C95">
        <w:rPr>
          <w:rFonts w:ascii="Arial" w:hAnsi="Arial" w:cs="Arial"/>
          <w:sz w:val="24"/>
          <w:szCs w:val="24"/>
        </w:rPr>
        <w:t>293</w:t>
      </w:r>
      <w:r w:rsidRPr="00BC2C95">
        <w:rPr>
          <w:rFonts w:ascii="Arial" w:hAnsi="Arial" w:cs="Arial"/>
          <w:sz w:val="24"/>
          <w:szCs w:val="24"/>
        </w:rPr>
        <w:t xml:space="preserve"> </w:t>
      </w:r>
      <w:r w:rsidR="001400E4" w:rsidRPr="00BC2C95">
        <w:rPr>
          <w:rFonts w:ascii="Arial" w:hAnsi="Arial" w:cs="Arial"/>
          <w:sz w:val="24"/>
          <w:szCs w:val="24"/>
        </w:rPr>
        <w:t xml:space="preserve">people </w:t>
      </w:r>
      <w:r w:rsidRPr="00BC2C95">
        <w:rPr>
          <w:rFonts w:ascii="Arial" w:hAnsi="Arial" w:cs="Arial"/>
          <w:sz w:val="24"/>
          <w:szCs w:val="24"/>
        </w:rPr>
        <w:t xml:space="preserve">out of </w:t>
      </w:r>
      <w:r w:rsidR="009A2D6F" w:rsidRPr="00BC2C95">
        <w:rPr>
          <w:rFonts w:ascii="Arial" w:hAnsi="Arial" w:cs="Arial"/>
          <w:sz w:val="24"/>
          <w:szCs w:val="24"/>
        </w:rPr>
        <w:t>a total of 304</w:t>
      </w:r>
      <w:r w:rsidRPr="00BC2C95">
        <w:rPr>
          <w:rFonts w:ascii="Arial" w:hAnsi="Arial" w:cs="Arial"/>
          <w:sz w:val="24"/>
          <w:szCs w:val="24"/>
        </w:rPr>
        <w:t xml:space="preserve">) could get to a pharmacy in less than 20 minutes. Only for </w:t>
      </w:r>
      <w:r w:rsidR="00E06BFD" w:rsidRPr="00BC2C95">
        <w:rPr>
          <w:rFonts w:ascii="Arial" w:hAnsi="Arial" w:cs="Arial"/>
          <w:sz w:val="24"/>
          <w:szCs w:val="24"/>
        </w:rPr>
        <w:t>4</w:t>
      </w:r>
      <w:r w:rsidRPr="00BC2C95">
        <w:rPr>
          <w:rFonts w:ascii="Arial" w:hAnsi="Arial" w:cs="Arial"/>
          <w:sz w:val="24"/>
          <w:szCs w:val="24"/>
        </w:rPr>
        <w:t xml:space="preserve">% </w:t>
      </w:r>
      <w:r w:rsidR="006B3B15" w:rsidRPr="00BC2C95">
        <w:rPr>
          <w:rFonts w:ascii="Arial" w:hAnsi="Arial" w:cs="Arial"/>
          <w:sz w:val="24"/>
          <w:szCs w:val="24"/>
        </w:rPr>
        <w:t xml:space="preserve">of respondents </w:t>
      </w:r>
      <w:r w:rsidRPr="00BC2C95">
        <w:rPr>
          <w:rFonts w:ascii="Arial" w:hAnsi="Arial" w:cs="Arial"/>
          <w:sz w:val="24"/>
          <w:szCs w:val="24"/>
        </w:rPr>
        <w:t>(1</w:t>
      </w:r>
      <w:r w:rsidR="00E06BFD" w:rsidRPr="00BC2C95">
        <w:rPr>
          <w:rFonts w:ascii="Arial" w:hAnsi="Arial" w:cs="Arial"/>
          <w:sz w:val="24"/>
          <w:szCs w:val="24"/>
        </w:rPr>
        <w:t>1</w:t>
      </w:r>
      <w:r w:rsidRPr="00BC2C95">
        <w:rPr>
          <w:rFonts w:ascii="Arial" w:hAnsi="Arial" w:cs="Arial"/>
          <w:sz w:val="24"/>
          <w:szCs w:val="24"/>
        </w:rPr>
        <w:t xml:space="preserve"> people) did it take </w:t>
      </w:r>
      <w:r w:rsidR="00B714C5" w:rsidRPr="00BC2C95">
        <w:rPr>
          <w:rFonts w:ascii="Arial" w:hAnsi="Arial" w:cs="Arial"/>
          <w:sz w:val="24"/>
          <w:szCs w:val="24"/>
        </w:rPr>
        <w:t>more than 20 minutes</w:t>
      </w:r>
      <w:r w:rsidRPr="00BC2C95">
        <w:rPr>
          <w:rFonts w:ascii="Arial" w:hAnsi="Arial" w:cs="Arial"/>
          <w:sz w:val="24"/>
          <w:szCs w:val="24"/>
        </w:rPr>
        <w:t xml:space="preserve">. </w:t>
      </w:r>
      <w:r w:rsidR="00B34F3F" w:rsidRPr="00BC2C95">
        <w:rPr>
          <w:rFonts w:ascii="Arial" w:hAnsi="Arial" w:cs="Arial"/>
          <w:sz w:val="24"/>
          <w:szCs w:val="24"/>
        </w:rPr>
        <w:t>38</w:t>
      </w:r>
      <w:r w:rsidRPr="00BC2C95">
        <w:rPr>
          <w:rFonts w:ascii="Arial" w:hAnsi="Arial" w:cs="Arial"/>
          <w:sz w:val="24"/>
          <w:szCs w:val="24"/>
        </w:rPr>
        <w:t xml:space="preserve">% </w:t>
      </w:r>
      <w:r w:rsidR="009E59D3" w:rsidRPr="00BC2C95">
        <w:rPr>
          <w:rFonts w:ascii="Arial" w:hAnsi="Arial" w:cs="Arial"/>
          <w:sz w:val="24"/>
          <w:szCs w:val="24"/>
        </w:rPr>
        <w:t xml:space="preserve">of respondents </w:t>
      </w:r>
      <w:r w:rsidR="00B34F3F" w:rsidRPr="00BC2C95">
        <w:rPr>
          <w:rFonts w:ascii="Arial" w:hAnsi="Arial" w:cs="Arial"/>
          <w:sz w:val="24"/>
          <w:szCs w:val="24"/>
        </w:rPr>
        <w:t xml:space="preserve">(114 people) </w:t>
      </w:r>
      <w:r w:rsidRPr="00BC2C95">
        <w:rPr>
          <w:rFonts w:ascii="Arial" w:hAnsi="Arial" w:cs="Arial"/>
          <w:sz w:val="24"/>
          <w:szCs w:val="24"/>
        </w:rPr>
        <w:t>could get to a pharmacy in less than 5 minutes.</w:t>
      </w:r>
      <w:r w:rsidR="00B34F3F" w:rsidRPr="00BC2C95">
        <w:rPr>
          <w:rFonts w:ascii="Arial" w:hAnsi="Arial" w:cs="Arial"/>
          <w:sz w:val="24"/>
          <w:szCs w:val="24"/>
        </w:rPr>
        <w:t xml:space="preserve"> The most popular response was between 5 minutes and 15 minutes (</w:t>
      </w:r>
      <w:r w:rsidR="00F0529B" w:rsidRPr="00BC2C95">
        <w:rPr>
          <w:rFonts w:ascii="Arial" w:hAnsi="Arial" w:cs="Arial"/>
          <w:sz w:val="24"/>
          <w:szCs w:val="24"/>
        </w:rPr>
        <w:t>52%, 159 people).</w:t>
      </w:r>
    </w:p>
    <w:p w14:paraId="59037AE1" w14:textId="77777777" w:rsidR="0003011D" w:rsidRDefault="0003011D" w:rsidP="00DC54F7">
      <w:pPr>
        <w:spacing w:after="0" w:line="240" w:lineRule="auto"/>
        <w:jc w:val="both"/>
        <w:rPr>
          <w:rFonts w:ascii="Arial" w:hAnsi="Arial" w:cs="Arial"/>
          <w:b/>
        </w:rPr>
      </w:pPr>
    </w:p>
    <w:p w14:paraId="61EE186E" w14:textId="77777777" w:rsidR="00FF3397" w:rsidRDefault="00FF3397" w:rsidP="00DC54F7">
      <w:pPr>
        <w:spacing w:after="0" w:line="240" w:lineRule="auto"/>
        <w:jc w:val="both"/>
        <w:rPr>
          <w:rFonts w:ascii="Arial" w:hAnsi="Arial" w:cs="Arial"/>
          <w:b/>
          <w:sz w:val="24"/>
          <w:szCs w:val="24"/>
        </w:rPr>
      </w:pPr>
    </w:p>
    <w:p w14:paraId="67F6EB25" w14:textId="63A6A36C" w:rsidR="00DC54F7" w:rsidRDefault="00DC54F7">
      <w:pPr>
        <w:rPr>
          <w:rFonts w:ascii="Arial" w:hAnsi="Arial" w:cs="Arial"/>
          <w:b/>
          <w:sz w:val="24"/>
          <w:szCs w:val="24"/>
        </w:rPr>
      </w:pPr>
      <w:r>
        <w:rPr>
          <w:rFonts w:ascii="Arial" w:hAnsi="Arial" w:cs="Arial"/>
          <w:b/>
          <w:sz w:val="24"/>
          <w:szCs w:val="24"/>
        </w:rPr>
        <w:br w:type="page"/>
      </w:r>
    </w:p>
    <w:p w14:paraId="6AAE1D05" w14:textId="3630C39D" w:rsidR="005D1505" w:rsidRPr="00BC2C95" w:rsidRDefault="00A6346C" w:rsidP="00DC54F7">
      <w:pPr>
        <w:spacing w:after="0" w:line="240" w:lineRule="auto"/>
        <w:jc w:val="both"/>
        <w:rPr>
          <w:rFonts w:ascii="Arial" w:hAnsi="Arial" w:cs="Arial"/>
          <w:b/>
          <w:sz w:val="24"/>
          <w:szCs w:val="24"/>
        </w:rPr>
      </w:pPr>
      <w:r w:rsidRPr="00BC2C95">
        <w:rPr>
          <w:rFonts w:ascii="Arial" w:hAnsi="Arial" w:cs="Arial"/>
          <w:b/>
          <w:sz w:val="24"/>
          <w:szCs w:val="24"/>
        </w:rPr>
        <w:lastRenderedPageBreak/>
        <w:t xml:space="preserve">Figure </w:t>
      </w:r>
      <w:r w:rsidR="005D1505" w:rsidRPr="00BC2C95">
        <w:rPr>
          <w:rFonts w:ascii="Arial" w:hAnsi="Arial" w:cs="Arial"/>
          <w:b/>
          <w:sz w:val="24"/>
          <w:szCs w:val="24"/>
        </w:rPr>
        <w:t>1.</w:t>
      </w:r>
      <w:r w:rsidR="00200751" w:rsidRPr="00BC2C95">
        <w:rPr>
          <w:rFonts w:ascii="Arial" w:hAnsi="Arial" w:cs="Arial"/>
          <w:b/>
          <w:sz w:val="24"/>
          <w:szCs w:val="24"/>
        </w:rPr>
        <w:t>9</w:t>
      </w:r>
      <w:r w:rsidRPr="00BC2C95">
        <w:rPr>
          <w:rFonts w:ascii="Arial" w:hAnsi="Arial" w:cs="Arial"/>
          <w:b/>
          <w:sz w:val="24"/>
          <w:szCs w:val="24"/>
        </w:rPr>
        <w:t xml:space="preserve">: </w:t>
      </w:r>
      <w:r w:rsidR="005D1505" w:rsidRPr="00BC2C95">
        <w:rPr>
          <w:rFonts w:ascii="Arial" w:hAnsi="Arial" w:cs="Arial"/>
          <w:b/>
          <w:sz w:val="24"/>
          <w:szCs w:val="24"/>
        </w:rPr>
        <w:t xml:space="preserve">Length of time taken to </w:t>
      </w:r>
      <w:r w:rsidR="001209E5" w:rsidRPr="00BC2C95">
        <w:rPr>
          <w:rFonts w:ascii="Arial" w:hAnsi="Arial" w:cs="Arial"/>
          <w:b/>
          <w:sz w:val="24"/>
          <w:szCs w:val="24"/>
        </w:rPr>
        <w:t>travel to a pharmacy</w:t>
      </w:r>
    </w:p>
    <w:p w14:paraId="6B1A3171" w14:textId="762C7FC1" w:rsidR="005D1505" w:rsidRPr="001209E5" w:rsidRDefault="005D1505" w:rsidP="00DC54F7">
      <w:pPr>
        <w:spacing w:after="0" w:line="240" w:lineRule="auto"/>
        <w:jc w:val="both"/>
        <w:rPr>
          <w:rFonts w:ascii="Arial" w:hAnsi="Arial" w:cs="Arial"/>
          <w:b/>
        </w:rPr>
      </w:pPr>
      <w:r>
        <w:rPr>
          <w:noProof/>
          <w:lang w:eastAsia="en-GB"/>
        </w:rPr>
        <w:drawing>
          <wp:inline distT="0" distB="0" distL="0" distR="0" wp14:anchorId="242E0DD2" wp14:editId="64A02152">
            <wp:extent cx="5598942" cy="2743200"/>
            <wp:effectExtent l="0" t="0" r="1905" b="0"/>
            <wp:docPr id="31" name="Chart 3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9A00643-48B1-46E7-BDE5-DCF189C603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0AB149F" w14:textId="77777777" w:rsidR="00BC2C95" w:rsidRDefault="00BC2C95" w:rsidP="00DC54F7">
      <w:pPr>
        <w:spacing w:after="0" w:line="240" w:lineRule="auto"/>
        <w:jc w:val="both"/>
        <w:rPr>
          <w:rFonts w:ascii="Arial" w:hAnsi="Arial" w:cs="Arial"/>
        </w:rPr>
      </w:pPr>
    </w:p>
    <w:p w14:paraId="0BED3607" w14:textId="5F9DDFB2" w:rsidR="008D26BD" w:rsidRPr="00BC2C95" w:rsidRDefault="00445E39" w:rsidP="00DC54F7">
      <w:pPr>
        <w:spacing w:after="0" w:line="240" w:lineRule="auto"/>
        <w:jc w:val="both"/>
        <w:rPr>
          <w:rFonts w:ascii="Arial" w:hAnsi="Arial" w:cs="Arial"/>
          <w:sz w:val="24"/>
          <w:szCs w:val="24"/>
        </w:rPr>
      </w:pPr>
      <w:r w:rsidRPr="00BC2C95">
        <w:rPr>
          <w:rFonts w:ascii="Arial" w:hAnsi="Arial" w:cs="Arial"/>
          <w:sz w:val="24"/>
          <w:szCs w:val="24"/>
        </w:rPr>
        <w:t xml:space="preserve">The majority of </w:t>
      </w:r>
      <w:r w:rsidR="00D83086" w:rsidRPr="00BC2C95">
        <w:rPr>
          <w:rFonts w:ascii="Arial" w:hAnsi="Arial" w:cs="Arial"/>
          <w:sz w:val="24"/>
          <w:szCs w:val="24"/>
        </w:rPr>
        <w:t>respondent</w:t>
      </w:r>
      <w:r w:rsidRPr="00BC2C95">
        <w:rPr>
          <w:rFonts w:ascii="Arial" w:hAnsi="Arial" w:cs="Arial"/>
          <w:sz w:val="24"/>
          <w:szCs w:val="24"/>
        </w:rPr>
        <w:t>s (9</w:t>
      </w:r>
      <w:r w:rsidR="0020184E" w:rsidRPr="00BC2C95">
        <w:rPr>
          <w:rFonts w:ascii="Arial" w:hAnsi="Arial" w:cs="Arial"/>
          <w:sz w:val="24"/>
          <w:szCs w:val="24"/>
        </w:rPr>
        <w:t>0</w:t>
      </w:r>
      <w:r w:rsidRPr="00BC2C95">
        <w:rPr>
          <w:rFonts w:ascii="Arial" w:hAnsi="Arial" w:cs="Arial"/>
          <w:sz w:val="24"/>
          <w:szCs w:val="24"/>
        </w:rPr>
        <w:t>%</w:t>
      </w:r>
      <w:r w:rsidR="009F5088" w:rsidRPr="00BC2C95">
        <w:rPr>
          <w:rFonts w:ascii="Arial" w:hAnsi="Arial" w:cs="Arial"/>
          <w:sz w:val="24"/>
          <w:szCs w:val="24"/>
        </w:rPr>
        <w:t>, 276 out of 308</w:t>
      </w:r>
      <w:r w:rsidR="00DE1BF5" w:rsidRPr="00BC2C95">
        <w:rPr>
          <w:rFonts w:ascii="Arial" w:hAnsi="Arial" w:cs="Arial"/>
          <w:sz w:val="24"/>
          <w:szCs w:val="24"/>
        </w:rPr>
        <w:t xml:space="preserve"> people</w:t>
      </w:r>
      <w:r w:rsidRPr="00BC2C95">
        <w:rPr>
          <w:rFonts w:ascii="Arial" w:hAnsi="Arial" w:cs="Arial"/>
          <w:sz w:val="24"/>
          <w:szCs w:val="24"/>
        </w:rPr>
        <w:t xml:space="preserve">) said they didn’t have difficulty getting to a pharmacy. Only </w:t>
      </w:r>
      <w:r w:rsidR="0000346C" w:rsidRPr="00BC2C95">
        <w:rPr>
          <w:rFonts w:ascii="Arial" w:hAnsi="Arial" w:cs="Arial"/>
          <w:sz w:val="24"/>
          <w:szCs w:val="24"/>
        </w:rPr>
        <w:t>7</w:t>
      </w:r>
      <w:r w:rsidRPr="00BC2C95">
        <w:rPr>
          <w:rFonts w:ascii="Arial" w:hAnsi="Arial" w:cs="Arial"/>
          <w:sz w:val="24"/>
          <w:szCs w:val="24"/>
        </w:rPr>
        <w:t>% (2</w:t>
      </w:r>
      <w:r w:rsidR="0000346C" w:rsidRPr="00BC2C95">
        <w:rPr>
          <w:rFonts w:ascii="Arial" w:hAnsi="Arial" w:cs="Arial"/>
          <w:sz w:val="24"/>
          <w:szCs w:val="24"/>
        </w:rPr>
        <w:t>3</w:t>
      </w:r>
      <w:r w:rsidRPr="00BC2C95">
        <w:rPr>
          <w:rFonts w:ascii="Arial" w:hAnsi="Arial" w:cs="Arial"/>
          <w:sz w:val="24"/>
          <w:szCs w:val="24"/>
        </w:rPr>
        <w:t xml:space="preserve"> peopl</w:t>
      </w:r>
      <w:r w:rsidR="00DE1BF5" w:rsidRPr="00BC2C95">
        <w:rPr>
          <w:rFonts w:ascii="Arial" w:hAnsi="Arial" w:cs="Arial"/>
          <w:sz w:val="24"/>
          <w:szCs w:val="24"/>
        </w:rPr>
        <w:t>e</w:t>
      </w:r>
      <w:r w:rsidRPr="00BC2C95">
        <w:rPr>
          <w:rFonts w:ascii="Arial" w:hAnsi="Arial" w:cs="Arial"/>
          <w:sz w:val="24"/>
          <w:szCs w:val="24"/>
        </w:rPr>
        <w:t>) replied that they did and 3% (</w:t>
      </w:r>
      <w:r w:rsidR="00871B2D" w:rsidRPr="00BC2C95">
        <w:rPr>
          <w:rFonts w:ascii="Arial" w:hAnsi="Arial" w:cs="Arial"/>
          <w:sz w:val="24"/>
          <w:szCs w:val="24"/>
        </w:rPr>
        <w:t>9</w:t>
      </w:r>
      <w:r w:rsidRPr="00BC2C95">
        <w:rPr>
          <w:rFonts w:ascii="Arial" w:hAnsi="Arial" w:cs="Arial"/>
          <w:sz w:val="24"/>
          <w:szCs w:val="24"/>
        </w:rPr>
        <w:t xml:space="preserve"> people) said the question was not applicable. </w:t>
      </w:r>
      <w:r w:rsidR="00DE1BF5" w:rsidRPr="00BC2C95">
        <w:rPr>
          <w:rFonts w:ascii="Arial" w:hAnsi="Arial" w:cs="Arial"/>
          <w:sz w:val="24"/>
          <w:szCs w:val="24"/>
        </w:rPr>
        <w:t xml:space="preserve">Of the </w:t>
      </w:r>
      <w:r w:rsidR="009572ED" w:rsidRPr="00BC2C95">
        <w:rPr>
          <w:rFonts w:ascii="Arial" w:hAnsi="Arial" w:cs="Arial"/>
          <w:sz w:val="24"/>
          <w:szCs w:val="24"/>
        </w:rPr>
        <w:t>25</w:t>
      </w:r>
      <w:r w:rsidRPr="00BC2C95">
        <w:rPr>
          <w:rFonts w:ascii="Arial" w:hAnsi="Arial" w:cs="Arial"/>
          <w:sz w:val="24"/>
          <w:szCs w:val="24"/>
        </w:rPr>
        <w:t xml:space="preserve"> </w:t>
      </w:r>
      <w:r w:rsidR="009E1DE8" w:rsidRPr="00BC2C95">
        <w:rPr>
          <w:rFonts w:ascii="Arial" w:hAnsi="Arial" w:cs="Arial"/>
          <w:sz w:val="24"/>
          <w:szCs w:val="24"/>
        </w:rPr>
        <w:t>people who responded other</w:t>
      </w:r>
      <w:r w:rsidR="008C4263">
        <w:rPr>
          <w:rFonts w:ascii="Arial" w:hAnsi="Arial" w:cs="Arial"/>
          <w:sz w:val="24"/>
          <w:szCs w:val="24"/>
        </w:rPr>
        <w:t>:</w:t>
      </w:r>
    </w:p>
    <w:p w14:paraId="442D9A85" w14:textId="77777777" w:rsidR="008D26BD" w:rsidRPr="00BC2C95" w:rsidRDefault="008D26BD" w:rsidP="00DC54F7">
      <w:pPr>
        <w:spacing w:after="0" w:line="240" w:lineRule="auto"/>
        <w:jc w:val="both"/>
        <w:rPr>
          <w:rFonts w:ascii="Arial" w:hAnsi="Arial" w:cs="Arial"/>
          <w:sz w:val="24"/>
          <w:szCs w:val="24"/>
        </w:rPr>
      </w:pPr>
    </w:p>
    <w:p w14:paraId="0DF6C655" w14:textId="2F8B6182" w:rsidR="008D26BD" w:rsidRPr="00BC2C95" w:rsidRDefault="008D26BD" w:rsidP="00DC54F7">
      <w:pPr>
        <w:spacing w:after="0" w:line="240" w:lineRule="auto"/>
        <w:jc w:val="both"/>
        <w:rPr>
          <w:rFonts w:ascii="Arial" w:hAnsi="Arial" w:cs="Arial"/>
          <w:sz w:val="24"/>
          <w:szCs w:val="24"/>
        </w:rPr>
      </w:pPr>
      <w:r w:rsidRPr="00BC2C95">
        <w:rPr>
          <w:rFonts w:ascii="Arial" w:hAnsi="Arial" w:cs="Arial"/>
          <w:sz w:val="24"/>
          <w:szCs w:val="24"/>
        </w:rPr>
        <w:t>S</w:t>
      </w:r>
      <w:r w:rsidR="002F3BD4" w:rsidRPr="00BC2C95">
        <w:rPr>
          <w:rFonts w:ascii="Arial" w:hAnsi="Arial" w:cs="Arial"/>
          <w:sz w:val="24"/>
          <w:szCs w:val="24"/>
        </w:rPr>
        <w:t xml:space="preserve">even comments </w:t>
      </w:r>
      <w:r w:rsidR="00AD720A" w:rsidRPr="00BC2C95">
        <w:rPr>
          <w:rFonts w:ascii="Arial" w:hAnsi="Arial" w:cs="Arial"/>
          <w:sz w:val="24"/>
          <w:szCs w:val="24"/>
        </w:rPr>
        <w:t xml:space="preserve">were </w:t>
      </w:r>
      <w:r w:rsidR="002F3BD4" w:rsidRPr="00BC2C95">
        <w:rPr>
          <w:rFonts w:ascii="Arial" w:hAnsi="Arial" w:cs="Arial"/>
          <w:sz w:val="24"/>
          <w:szCs w:val="24"/>
        </w:rPr>
        <w:t xml:space="preserve">related to </w:t>
      </w:r>
      <w:r w:rsidR="00AC4094" w:rsidRPr="00BC2C95">
        <w:rPr>
          <w:rFonts w:ascii="Arial" w:hAnsi="Arial" w:cs="Arial"/>
          <w:sz w:val="24"/>
          <w:szCs w:val="24"/>
        </w:rPr>
        <w:t xml:space="preserve">poor </w:t>
      </w:r>
      <w:r w:rsidR="00D61BF3" w:rsidRPr="00BC2C95">
        <w:rPr>
          <w:rFonts w:ascii="Arial" w:hAnsi="Arial" w:cs="Arial"/>
          <w:sz w:val="24"/>
          <w:szCs w:val="24"/>
        </w:rPr>
        <w:t xml:space="preserve">health or </w:t>
      </w:r>
      <w:r w:rsidR="00445E39" w:rsidRPr="00BC2C95">
        <w:rPr>
          <w:rFonts w:ascii="Arial" w:hAnsi="Arial" w:cs="Arial"/>
          <w:sz w:val="24"/>
          <w:szCs w:val="24"/>
        </w:rPr>
        <w:t>mobility</w:t>
      </w:r>
      <w:r w:rsidR="00450A73" w:rsidRPr="00BC2C95">
        <w:rPr>
          <w:rFonts w:ascii="Arial" w:hAnsi="Arial" w:cs="Arial"/>
          <w:sz w:val="24"/>
          <w:szCs w:val="24"/>
        </w:rPr>
        <w:t xml:space="preserve"> issues</w:t>
      </w:r>
      <w:r w:rsidR="0018072C" w:rsidRPr="00BC2C95">
        <w:rPr>
          <w:rFonts w:ascii="Arial" w:hAnsi="Arial" w:cs="Arial"/>
          <w:sz w:val="24"/>
          <w:szCs w:val="24"/>
        </w:rPr>
        <w:t xml:space="preserve"> </w:t>
      </w:r>
      <w:r w:rsidR="00445E39" w:rsidRPr="00BC2C95">
        <w:rPr>
          <w:rFonts w:ascii="Arial" w:hAnsi="Arial" w:cs="Arial"/>
          <w:sz w:val="24"/>
          <w:szCs w:val="24"/>
        </w:rPr>
        <w:t xml:space="preserve">due to a disability, injury or </w:t>
      </w:r>
      <w:r w:rsidR="00D61BF3" w:rsidRPr="00BC2C95">
        <w:rPr>
          <w:rFonts w:ascii="Arial" w:hAnsi="Arial" w:cs="Arial"/>
          <w:sz w:val="24"/>
          <w:szCs w:val="24"/>
        </w:rPr>
        <w:t xml:space="preserve">a </w:t>
      </w:r>
      <w:r w:rsidR="00445E39" w:rsidRPr="00BC2C95">
        <w:rPr>
          <w:rFonts w:ascii="Arial" w:hAnsi="Arial" w:cs="Arial"/>
          <w:sz w:val="24"/>
          <w:szCs w:val="24"/>
        </w:rPr>
        <w:t>health condition</w:t>
      </w:r>
      <w:r w:rsidR="00CC6DA5" w:rsidRPr="00BC2C95">
        <w:rPr>
          <w:rFonts w:ascii="Arial" w:hAnsi="Arial" w:cs="Arial"/>
          <w:sz w:val="24"/>
          <w:szCs w:val="24"/>
        </w:rPr>
        <w:t>,</w:t>
      </w:r>
      <w:r w:rsidR="00A53A91" w:rsidRPr="00BC2C95">
        <w:rPr>
          <w:rFonts w:ascii="Arial" w:hAnsi="Arial" w:cs="Arial"/>
          <w:sz w:val="24"/>
          <w:szCs w:val="24"/>
        </w:rPr>
        <w:t xml:space="preserve"> </w:t>
      </w:r>
      <w:r w:rsidR="00CC6DA5" w:rsidRPr="00BC2C95">
        <w:rPr>
          <w:rFonts w:ascii="Arial" w:hAnsi="Arial" w:cs="Arial"/>
          <w:sz w:val="24"/>
          <w:szCs w:val="24"/>
        </w:rPr>
        <w:t xml:space="preserve">as the </w:t>
      </w:r>
      <w:r w:rsidR="00C1516F" w:rsidRPr="00BC2C95">
        <w:rPr>
          <w:rFonts w:ascii="Arial" w:hAnsi="Arial" w:cs="Arial"/>
          <w:sz w:val="24"/>
          <w:szCs w:val="24"/>
        </w:rPr>
        <w:t xml:space="preserve">main </w:t>
      </w:r>
      <w:r w:rsidR="00CC6DA5" w:rsidRPr="00BC2C95">
        <w:rPr>
          <w:rFonts w:ascii="Arial" w:hAnsi="Arial" w:cs="Arial"/>
          <w:sz w:val="24"/>
          <w:szCs w:val="24"/>
        </w:rPr>
        <w:t xml:space="preserve">reason </w:t>
      </w:r>
      <w:r w:rsidR="00450A73" w:rsidRPr="00BC2C95">
        <w:rPr>
          <w:rFonts w:ascii="Arial" w:hAnsi="Arial" w:cs="Arial"/>
          <w:sz w:val="24"/>
          <w:szCs w:val="24"/>
        </w:rPr>
        <w:t xml:space="preserve">which made </w:t>
      </w:r>
      <w:r w:rsidR="00CC6DA5" w:rsidRPr="00BC2C95">
        <w:rPr>
          <w:rFonts w:ascii="Arial" w:hAnsi="Arial" w:cs="Arial"/>
          <w:sz w:val="24"/>
          <w:szCs w:val="24"/>
        </w:rPr>
        <w:t xml:space="preserve">getting to a pharmacy </w:t>
      </w:r>
      <w:r w:rsidR="00E43499" w:rsidRPr="00BC2C95">
        <w:rPr>
          <w:rFonts w:ascii="Arial" w:hAnsi="Arial" w:cs="Arial"/>
          <w:sz w:val="24"/>
          <w:szCs w:val="24"/>
        </w:rPr>
        <w:t>difficult</w:t>
      </w:r>
      <w:r w:rsidR="00547868" w:rsidRPr="00BC2C95">
        <w:rPr>
          <w:rFonts w:ascii="Arial" w:hAnsi="Arial" w:cs="Arial"/>
          <w:sz w:val="24"/>
          <w:szCs w:val="24"/>
        </w:rPr>
        <w:t>:</w:t>
      </w:r>
    </w:p>
    <w:p w14:paraId="23767C84" w14:textId="74FFC8A4" w:rsidR="00E05101" w:rsidRPr="00BC2C95" w:rsidRDefault="00E05101" w:rsidP="00DC54F7">
      <w:pPr>
        <w:pStyle w:val="ListParagraph"/>
        <w:numPr>
          <w:ilvl w:val="0"/>
          <w:numId w:val="77"/>
        </w:numPr>
        <w:spacing w:after="0" w:line="240" w:lineRule="auto"/>
        <w:jc w:val="both"/>
        <w:rPr>
          <w:rFonts w:ascii="Arial" w:hAnsi="Arial" w:cs="Arial"/>
          <w:sz w:val="24"/>
          <w:szCs w:val="24"/>
        </w:rPr>
      </w:pPr>
      <w:r w:rsidRPr="00BC2C95">
        <w:rPr>
          <w:rFonts w:ascii="Arial" w:hAnsi="Arial" w:cs="Arial"/>
          <w:sz w:val="24"/>
          <w:szCs w:val="24"/>
        </w:rPr>
        <w:t>“I am disabled and it is now too far for me to walk. This is recent (in the last 5 years).”</w:t>
      </w:r>
    </w:p>
    <w:p w14:paraId="13C12E12" w14:textId="463E074A" w:rsidR="007F24A5" w:rsidRPr="00BC2C95" w:rsidRDefault="00F75B28" w:rsidP="00DC54F7">
      <w:pPr>
        <w:pStyle w:val="ListParagraph"/>
        <w:numPr>
          <w:ilvl w:val="0"/>
          <w:numId w:val="77"/>
        </w:numPr>
        <w:spacing w:after="0" w:line="240" w:lineRule="auto"/>
        <w:jc w:val="both"/>
        <w:rPr>
          <w:rFonts w:ascii="Arial" w:hAnsi="Arial" w:cs="Arial"/>
          <w:sz w:val="24"/>
          <w:szCs w:val="24"/>
        </w:rPr>
      </w:pPr>
      <w:r w:rsidRPr="00BC2C95">
        <w:rPr>
          <w:rFonts w:ascii="Arial" w:hAnsi="Arial" w:cs="Arial"/>
          <w:sz w:val="24"/>
          <w:szCs w:val="24"/>
        </w:rPr>
        <w:t>“Sometimes I am too I'll to collect my prescription so.my dad goes for me.”</w:t>
      </w:r>
    </w:p>
    <w:p w14:paraId="6905092C" w14:textId="013DCF7B" w:rsidR="00547868" w:rsidRPr="00BC2C95" w:rsidRDefault="00547868" w:rsidP="00DC54F7">
      <w:pPr>
        <w:spacing w:after="0" w:line="240" w:lineRule="auto"/>
        <w:jc w:val="both"/>
        <w:rPr>
          <w:rFonts w:ascii="Arial" w:hAnsi="Arial" w:cs="Arial"/>
          <w:sz w:val="24"/>
          <w:szCs w:val="24"/>
        </w:rPr>
      </w:pPr>
    </w:p>
    <w:p w14:paraId="68811E09" w14:textId="5B7CC232" w:rsidR="00E261D1" w:rsidRPr="00BC2C95" w:rsidRDefault="003B2454" w:rsidP="00DC54F7">
      <w:pPr>
        <w:spacing w:after="0" w:line="240" w:lineRule="auto"/>
        <w:jc w:val="both"/>
        <w:rPr>
          <w:rFonts w:ascii="Arial" w:hAnsi="Arial" w:cs="Arial"/>
          <w:sz w:val="24"/>
          <w:szCs w:val="24"/>
        </w:rPr>
      </w:pPr>
      <w:r w:rsidRPr="00BC2C95">
        <w:rPr>
          <w:rFonts w:ascii="Arial" w:hAnsi="Arial" w:cs="Arial"/>
          <w:sz w:val="24"/>
          <w:szCs w:val="24"/>
        </w:rPr>
        <w:t>Eight comments mentioned opening times</w:t>
      </w:r>
      <w:r w:rsidR="00E961BA" w:rsidRPr="00BC2C95">
        <w:rPr>
          <w:rFonts w:ascii="Arial" w:hAnsi="Arial" w:cs="Arial"/>
          <w:sz w:val="24"/>
          <w:szCs w:val="24"/>
        </w:rPr>
        <w:t xml:space="preserve">, often related to work </w:t>
      </w:r>
      <w:r w:rsidRPr="00BC2C95">
        <w:rPr>
          <w:rFonts w:ascii="Arial" w:hAnsi="Arial" w:cs="Arial"/>
          <w:sz w:val="24"/>
          <w:szCs w:val="24"/>
        </w:rPr>
        <w:t>commitments</w:t>
      </w:r>
      <w:r w:rsidR="008F302C" w:rsidRPr="00BC2C95">
        <w:rPr>
          <w:rFonts w:ascii="Arial" w:hAnsi="Arial" w:cs="Arial"/>
          <w:sz w:val="24"/>
          <w:szCs w:val="24"/>
        </w:rPr>
        <w:t xml:space="preserve"> and one specifically mentioning limited hours due to Coronavirus (COVID-19) pandemic</w:t>
      </w:r>
      <w:r w:rsidR="00C46ED6" w:rsidRPr="00BC2C95">
        <w:rPr>
          <w:rFonts w:ascii="Arial" w:hAnsi="Arial" w:cs="Arial"/>
          <w:sz w:val="24"/>
          <w:szCs w:val="24"/>
        </w:rPr>
        <w:t>, which made getting to a pharmacy difficult</w:t>
      </w:r>
      <w:r w:rsidR="00E961BA" w:rsidRPr="00BC2C95">
        <w:rPr>
          <w:rFonts w:ascii="Arial" w:hAnsi="Arial" w:cs="Arial"/>
          <w:sz w:val="24"/>
          <w:szCs w:val="24"/>
        </w:rPr>
        <w:t>:</w:t>
      </w:r>
    </w:p>
    <w:p w14:paraId="3E1F5BAB" w14:textId="77777777" w:rsidR="00B31FA9" w:rsidRPr="00BC2C95" w:rsidRDefault="00E261D1" w:rsidP="00DC54F7">
      <w:pPr>
        <w:pStyle w:val="ListParagraph"/>
        <w:numPr>
          <w:ilvl w:val="0"/>
          <w:numId w:val="79"/>
        </w:numPr>
        <w:spacing w:after="0" w:line="240" w:lineRule="auto"/>
        <w:ind w:left="360"/>
        <w:jc w:val="both"/>
        <w:rPr>
          <w:rFonts w:ascii="Arial" w:eastAsia="Times New Roman" w:hAnsi="Arial" w:cs="Arial"/>
          <w:color w:val="333333"/>
          <w:sz w:val="24"/>
          <w:szCs w:val="24"/>
          <w:lang w:eastAsia="en-GB"/>
        </w:rPr>
      </w:pPr>
      <w:r w:rsidRPr="00BC2C95">
        <w:rPr>
          <w:rFonts w:ascii="Arial" w:eastAsia="Times New Roman" w:hAnsi="Arial" w:cs="Arial"/>
          <w:color w:val="333333"/>
          <w:sz w:val="24"/>
          <w:szCs w:val="24"/>
          <w:lang w:eastAsia="en-GB"/>
        </w:rPr>
        <w:t xml:space="preserve">“My work hours and family commitments and their opening hours give small windows of opportunity to get there.” </w:t>
      </w:r>
    </w:p>
    <w:p w14:paraId="1994AC47" w14:textId="21366076" w:rsidR="00B31FA9" w:rsidRPr="00BC2C95" w:rsidRDefault="00B31FA9" w:rsidP="00DC54F7">
      <w:pPr>
        <w:pStyle w:val="ListParagraph"/>
        <w:numPr>
          <w:ilvl w:val="0"/>
          <w:numId w:val="79"/>
        </w:numPr>
        <w:spacing w:after="0" w:line="240" w:lineRule="auto"/>
        <w:ind w:left="360"/>
        <w:jc w:val="both"/>
        <w:rPr>
          <w:rFonts w:ascii="Arial" w:eastAsia="Times New Roman" w:hAnsi="Arial" w:cs="Arial"/>
          <w:color w:val="333333"/>
          <w:sz w:val="24"/>
          <w:szCs w:val="24"/>
          <w:lang w:eastAsia="en-GB"/>
        </w:rPr>
      </w:pPr>
      <w:r w:rsidRPr="00BC2C95">
        <w:rPr>
          <w:rFonts w:ascii="Arial" w:eastAsia="Times New Roman" w:hAnsi="Arial" w:cs="Arial"/>
          <w:color w:val="333333"/>
          <w:sz w:val="24"/>
          <w:szCs w:val="24"/>
          <w:lang w:eastAsia="en-GB"/>
        </w:rPr>
        <w:t>“They no longer open on Saturday.”</w:t>
      </w:r>
    </w:p>
    <w:p w14:paraId="7DF5F0DB" w14:textId="77777777" w:rsidR="00B31FA9" w:rsidRPr="00BC2C95" w:rsidRDefault="00B31FA9" w:rsidP="00DC54F7">
      <w:pPr>
        <w:spacing w:after="0" w:line="240" w:lineRule="auto"/>
        <w:ind w:left="-360"/>
        <w:jc w:val="both"/>
        <w:rPr>
          <w:rFonts w:ascii="Arial" w:eastAsia="Times New Roman" w:hAnsi="Arial" w:cs="Arial"/>
          <w:color w:val="333333"/>
          <w:sz w:val="24"/>
          <w:szCs w:val="24"/>
          <w:lang w:eastAsia="en-GB"/>
        </w:rPr>
      </w:pPr>
    </w:p>
    <w:p w14:paraId="3CC0C12B" w14:textId="7332446B" w:rsidR="00C15D38" w:rsidRPr="00BC2C95" w:rsidRDefault="00C15D38" w:rsidP="00DC54F7">
      <w:pPr>
        <w:spacing w:after="0" w:line="240" w:lineRule="auto"/>
        <w:jc w:val="both"/>
        <w:rPr>
          <w:rFonts w:ascii="Arial" w:hAnsi="Arial" w:cs="Arial"/>
          <w:sz w:val="24"/>
          <w:szCs w:val="24"/>
        </w:rPr>
      </w:pPr>
      <w:r w:rsidRPr="00BC2C95">
        <w:rPr>
          <w:rFonts w:ascii="Arial" w:hAnsi="Arial" w:cs="Arial"/>
          <w:sz w:val="24"/>
          <w:szCs w:val="24"/>
        </w:rPr>
        <w:t xml:space="preserve">Two comments were </w:t>
      </w:r>
      <w:r w:rsidR="00FF11A5" w:rsidRPr="00BC2C95">
        <w:rPr>
          <w:rFonts w:ascii="Arial" w:hAnsi="Arial" w:cs="Arial"/>
          <w:sz w:val="24"/>
          <w:szCs w:val="24"/>
        </w:rPr>
        <w:t>related to the need to queue</w:t>
      </w:r>
      <w:r w:rsidR="009669AA" w:rsidRPr="00BC2C95">
        <w:rPr>
          <w:rFonts w:ascii="Arial" w:hAnsi="Arial" w:cs="Arial"/>
          <w:sz w:val="24"/>
          <w:szCs w:val="24"/>
        </w:rPr>
        <w:t xml:space="preserve">, most likely </w:t>
      </w:r>
      <w:r w:rsidR="00A153F8" w:rsidRPr="00BC2C95">
        <w:rPr>
          <w:rFonts w:ascii="Arial" w:hAnsi="Arial" w:cs="Arial"/>
          <w:sz w:val="24"/>
          <w:szCs w:val="24"/>
        </w:rPr>
        <w:t>related to social distancing measures in place</w:t>
      </w:r>
      <w:r w:rsidR="00D610E9" w:rsidRPr="00BC2C95">
        <w:rPr>
          <w:rFonts w:ascii="Arial" w:hAnsi="Arial" w:cs="Arial"/>
          <w:sz w:val="24"/>
          <w:szCs w:val="24"/>
        </w:rPr>
        <w:t xml:space="preserve"> due to Coronavirus (COVID-19) </w:t>
      </w:r>
      <w:r w:rsidR="00012A32" w:rsidRPr="00BC2C95">
        <w:rPr>
          <w:rFonts w:ascii="Arial" w:hAnsi="Arial" w:cs="Arial"/>
          <w:sz w:val="24"/>
          <w:szCs w:val="24"/>
        </w:rPr>
        <w:t>pandemic</w:t>
      </w:r>
      <w:r w:rsidR="00A153F8" w:rsidRPr="00BC2C95">
        <w:rPr>
          <w:rFonts w:ascii="Arial" w:hAnsi="Arial" w:cs="Arial"/>
          <w:sz w:val="24"/>
          <w:szCs w:val="24"/>
        </w:rPr>
        <w:t>:</w:t>
      </w:r>
    </w:p>
    <w:p w14:paraId="4E38D98C" w14:textId="4E1C84F8" w:rsidR="007C3903" w:rsidRPr="00BC2C95" w:rsidRDefault="007C3903" w:rsidP="00DC54F7">
      <w:pPr>
        <w:pStyle w:val="ListParagraph"/>
        <w:numPr>
          <w:ilvl w:val="0"/>
          <w:numId w:val="80"/>
        </w:numPr>
        <w:spacing w:after="0" w:line="240" w:lineRule="auto"/>
        <w:jc w:val="both"/>
        <w:rPr>
          <w:rFonts w:ascii="Symbol" w:eastAsia="Times New Roman" w:hAnsi="Symbol" w:cs="Calibri"/>
          <w:color w:val="333333"/>
          <w:sz w:val="24"/>
          <w:szCs w:val="24"/>
          <w:lang w:eastAsia="en-GB"/>
        </w:rPr>
      </w:pPr>
      <w:r w:rsidRPr="00BC2C95">
        <w:rPr>
          <w:rFonts w:ascii="Arial" w:eastAsia="Times New Roman" w:hAnsi="Arial" w:cs="Arial"/>
          <w:color w:val="333333"/>
          <w:sz w:val="24"/>
          <w:szCs w:val="24"/>
          <w:lang w:eastAsia="en-GB"/>
        </w:rPr>
        <w:t>“There is always a queue and I am unable to stand for long. Also the queue outside is very close to a busy bus stop.”</w:t>
      </w:r>
    </w:p>
    <w:p w14:paraId="177CE7C6" w14:textId="09991EED" w:rsidR="00435290" w:rsidRPr="00BC2C95" w:rsidRDefault="00435290" w:rsidP="00DC54F7">
      <w:pPr>
        <w:spacing w:after="0" w:line="240" w:lineRule="auto"/>
        <w:jc w:val="both"/>
        <w:rPr>
          <w:rFonts w:ascii="Arial" w:hAnsi="Arial" w:cs="Arial"/>
          <w:sz w:val="24"/>
          <w:szCs w:val="24"/>
        </w:rPr>
      </w:pPr>
    </w:p>
    <w:p w14:paraId="52442331" w14:textId="2189638C" w:rsidR="00C95B25" w:rsidRPr="00BC2C95" w:rsidRDefault="00C95B25" w:rsidP="00DC54F7">
      <w:pPr>
        <w:spacing w:after="0" w:line="240" w:lineRule="auto"/>
        <w:jc w:val="both"/>
        <w:rPr>
          <w:rFonts w:ascii="Arial" w:hAnsi="Arial" w:cs="Arial"/>
          <w:sz w:val="24"/>
          <w:szCs w:val="24"/>
        </w:rPr>
      </w:pPr>
      <w:r w:rsidRPr="00BC2C95">
        <w:rPr>
          <w:rFonts w:ascii="Arial" w:hAnsi="Arial" w:cs="Arial"/>
          <w:sz w:val="24"/>
          <w:szCs w:val="24"/>
        </w:rPr>
        <w:t xml:space="preserve">Another </w:t>
      </w:r>
      <w:r w:rsidR="008179CE" w:rsidRPr="00BC2C95">
        <w:rPr>
          <w:rFonts w:ascii="Arial" w:hAnsi="Arial" w:cs="Arial"/>
          <w:sz w:val="24"/>
          <w:szCs w:val="24"/>
        </w:rPr>
        <w:t>comment mentioned the Coronavirus (COVID-19) pandemic and the need to shield:</w:t>
      </w:r>
    </w:p>
    <w:p w14:paraId="61DF7383" w14:textId="469B87A2" w:rsidR="00555173" w:rsidRPr="00BC2C95" w:rsidRDefault="00157369" w:rsidP="00DC54F7">
      <w:pPr>
        <w:pStyle w:val="ListParagraph"/>
        <w:numPr>
          <w:ilvl w:val="0"/>
          <w:numId w:val="80"/>
        </w:numPr>
        <w:spacing w:after="0" w:line="240" w:lineRule="auto"/>
        <w:jc w:val="both"/>
        <w:rPr>
          <w:rFonts w:ascii="Arial" w:hAnsi="Arial" w:cs="Arial"/>
          <w:sz w:val="24"/>
          <w:szCs w:val="24"/>
        </w:rPr>
      </w:pPr>
      <w:r w:rsidRPr="00BC2C95">
        <w:rPr>
          <w:rFonts w:ascii="Arial" w:hAnsi="Arial" w:cs="Arial"/>
          <w:sz w:val="24"/>
          <w:szCs w:val="24"/>
        </w:rPr>
        <w:t>“Currently isolating as much as possible. My pharmacy recommend calling to make sure script is filled, they then ensure its in the to collect box so he picks it</w:t>
      </w:r>
      <w:r w:rsidR="00BF439F" w:rsidRPr="00BC2C95">
        <w:rPr>
          <w:rFonts w:ascii="Arial" w:hAnsi="Arial" w:cs="Arial"/>
          <w:sz w:val="24"/>
          <w:szCs w:val="24"/>
        </w:rPr>
        <w:t xml:space="preserve"> very easily</w:t>
      </w:r>
      <w:r w:rsidR="00A53A91" w:rsidRPr="00BC2C95">
        <w:rPr>
          <w:rFonts w:ascii="Arial" w:hAnsi="Arial" w:cs="Arial"/>
          <w:sz w:val="24"/>
          <w:szCs w:val="24"/>
        </w:rPr>
        <w:t>.</w:t>
      </w:r>
      <w:r w:rsidR="00BF439F" w:rsidRPr="00BC2C95">
        <w:rPr>
          <w:rFonts w:ascii="Arial" w:hAnsi="Arial" w:cs="Arial"/>
          <w:sz w:val="24"/>
          <w:szCs w:val="24"/>
        </w:rPr>
        <w:t>”</w:t>
      </w:r>
    </w:p>
    <w:p w14:paraId="3D4DB857" w14:textId="2A978B68" w:rsidR="008D26BD" w:rsidRPr="00BC2C95" w:rsidRDefault="0069381B" w:rsidP="00DC54F7">
      <w:pPr>
        <w:spacing w:after="0" w:line="240" w:lineRule="auto"/>
        <w:jc w:val="both"/>
        <w:rPr>
          <w:rFonts w:ascii="Arial" w:hAnsi="Arial" w:cs="Arial"/>
          <w:sz w:val="24"/>
          <w:szCs w:val="24"/>
        </w:rPr>
      </w:pPr>
      <w:r w:rsidRPr="00BC2C95">
        <w:rPr>
          <w:rFonts w:ascii="Arial" w:hAnsi="Arial" w:cs="Arial"/>
          <w:sz w:val="24"/>
          <w:szCs w:val="24"/>
        </w:rPr>
        <w:t xml:space="preserve">Six comments </w:t>
      </w:r>
      <w:r w:rsidR="00D823DD" w:rsidRPr="00BC2C95">
        <w:rPr>
          <w:rFonts w:ascii="Arial" w:hAnsi="Arial" w:cs="Arial"/>
          <w:sz w:val="24"/>
          <w:szCs w:val="24"/>
        </w:rPr>
        <w:t xml:space="preserve">were </w:t>
      </w:r>
      <w:r w:rsidR="003F4415" w:rsidRPr="00BC2C95">
        <w:rPr>
          <w:rFonts w:ascii="Arial" w:hAnsi="Arial" w:cs="Arial"/>
          <w:sz w:val="24"/>
          <w:szCs w:val="24"/>
        </w:rPr>
        <w:t xml:space="preserve">about </w:t>
      </w:r>
      <w:r w:rsidR="00031F7A" w:rsidRPr="00BC2C95">
        <w:rPr>
          <w:rFonts w:ascii="Arial" w:hAnsi="Arial" w:cs="Arial"/>
          <w:sz w:val="24"/>
          <w:szCs w:val="24"/>
        </w:rPr>
        <w:t>ease of getting to a pharmacy,</w:t>
      </w:r>
      <w:r w:rsidR="00C95B25" w:rsidRPr="00BC2C95">
        <w:rPr>
          <w:rFonts w:ascii="Arial" w:hAnsi="Arial" w:cs="Arial"/>
          <w:sz w:val="24"/>
          <w:szCs w:val="24"/>
        </w:rPr>
        <w:t xml:space="preserve"> including </w:t>
      </w:r>
      <w:r w:rsidR="003F4415" w:rsidRPr="00BC2C95">
        <w:rPr>
          <w:rFonts w:ascii="Arial" w:hAnsi="Arial" w:cs="Arial"/>
          <w:sz w:val="24"/>
          <w:szCs w:val="24"/>
        </w:rPr>
        <w:t xml:space="preserve">travel distance </w:t>
      </w:r>
      <w:r w:rsidR="002979A4" w:rsidRPr="00BC2C95">
        <w:rPr>
          <w:rFonts w:ascii="Arial" w:hAnsi="Arial" w:cs="Arial"/>
          <w:sz w:val="24"/>
          <w:szCs w:val="24"/>
        </w:rPr>
        <w:t>or pharmacy closure or both:</w:t>
      </w:r>
    </w:p>
    <w:p w14:paraId="7C4A50C6" w14:textId="0B1E211C" w:rsidR="004470D5" w:rsidRPr="00BC2C95" w:rsidRDefault="004470D5" w:rsidP="00DC54F7">
      <w:pPr>
        <w:pStyle w:val="ListParagraph"/>
        <w:numPr>
          <w:ilvl w:val="0"/>
          <w:numId w:val="80"/>
        </w:numPr>
        <w:spacing w:after="0" w:line="240" w:lineRule="auto"/>
        <w:jc w:val="both"/>
        <w:rPr>
          <w:rFonts w:ascii="Arial" w:eastAsia="Times New Roman" w:hAnsi="Arial" w:cs="Arial"/>
          <w:color w:val="333333"/>
          <w:sz w:val="24"/>
          <w:szCs w:val="24"/>
          <w:lang w:eastAsia="en-GB"/>
        </w:rPr>
      </w:pPr>
      <w:r w:rsidRPr="00BC2C95">
        <w:rPr>
          <w:rFonts w:ascii="Arial" w:eastAsia="Times New Roman" w:hAnsi="Arial" w:cs="Arial"/>
          <w:color w:val="333333"/>
          <w:sz w:val="24"/>
          <w:szCs w:val="24"/>
          <w:lang w:eastAsia="en-GB"/>
        </w:rPr>
        <w:lastRenderedPageBreak/>
        <w:t xml:space="preserve">“I often have late afternoon appointments with my gp in [name of location]. my usual pharmacy in [name of pharmacy] has now closed. </w:t>
      </w:r>
      <w:r w:rsidR="00540D6F" w:rsidRPr="00BC2C95">
        <w:rPr>
          <w:rFonts w:ascii="Arial" w:eastAsia="Times New Roman" w:hAnsi="Arial" w:cs="Arial"/>
          <w:color w:val="333333"/>
          <w:sz w:val="24"/>
          <w:szCs w:val="24"/>
          <w:lang w:eastAsia="en-GB"/>
        </w:rPr>
        <w:t>Other</w:t>
      </w:r>
      <w:r w:rsidRPr="00BC2C95">
        <w:rPr>
          <w:rFonts w:ascii="Arial" w:eastAsia="Times New Roman" w:hAnsi="Arial" w:cs="Arial"/>
          <w:color w:val="333333"/>
          <w:sz w:val="24"/>
          <w:szCs w:val="24"/>
          <w:lang w:eastAsia="en-GB"/>
        </w:rPr>
        <w:t xml:space="preserve"> pharmacies in the area are not open by the time i go there, so i </w:t>
      </w:r>
      <w:r w:rsidR="00540D6F" w:rsidRPr="00BC2C95">
        <w:rPr>
          <w:rFonts w:ascii="Arial" w:eastAsia="Times New Roman" w:hAnsi="Arial" w:cs="Arial"/>
          <w:color w:val="333333"/>
          <w:sz w:val="24"/>
          <w:szCs w:val="24"/>
          <w:lang w:eastAsia="en-GB"/>
        </w:rPr>
        <w:t>can’t</w:t>
      </w:r>
      <w:r w:rsidR="00540D6F">
        <w:rPr>
          <w:rFonts w:ascii="Arial" w:eastAsia="Times New Roman" w:hAnsi="Arial" w:cs="Arial"/>
          <w:color w:val="333333"/>
          <w:sz w:val="24"/>
          <w:szCs w:val="24"/>
          <w:lang w:eastAsia="en-GB"/>
        </w:rPr>
        <w:t xml:space="preserve"> get my medica</w:t>
      </w:r>
      <w:r w:rsidRPr="00BC2C95">
        <w:rPr>
          <w:rFonts w:ascii="Arial" w:eastAsia="Times New Roman" w:hAnsi="Arial" w:cs="Arial"/>
          <w:color w:val="333333"/>
          <w:sz w:val="24"/>
          <w:szCs w:val="24"/>
          <w:lang w:eastAsia="en-GB"/>
        </w:rPr>
        <w:t xml:space="preserve">tion on the same day. </w:t>
      </w:r>
      <w:r w:rsidR="00540D6F" w:rsidRPr="00BC2C95">
        <w:rPr>
          <w:rFonts w:ascii="Arial" w:eastAsia="Times New Roman" w:hAnsi="Arial" w:cs="Arial"/>
          <w:color w:val="333333"/>
          <w:sz w:val="24"/>
          <w:szCs w:val="24"/>
          <w:lang w:eastAsia="en-GB"/>
        </w:rPr>
        <w:t>If</w:t>
      </w:r>
      <w:r w:rsidRPr="00BC2C95">
        <w:rPr>
          <w:rFonts w:ascii="Arial" w:eastAsia="Times New Roman" w:hAnsi="Arial" w:cs="Arial"/>
          <w:color w:val="333333"/>
          <w:sz w:val="24"/>
          <w:szCs w:val="24"/>
          <w:lang w:eastAsia="en-GB"/>
        </w:rPr>
        <w:t xml:space="preserve"> i am working the next day i often </w:t>
      </w:r>
      <w:r w:rsidR="00540D6F" w:rsidRPr="00BC2C95">
        <w:rPr>
          <w:rFonts w:ascii="Arial" w:eastAsia="Times New Roman" w:hAnsi="Arial" w:cs="Arial"/>
          <w:color w:val="333333"/>
          <w:sz w:val="24"/>
          <w:szCs w:val="24"/>
          <w:lang w:eastAsia="en-GB"/>
        </w:rPr>
        <w:t>don’t</w:t>
      </w:r>
      <w:r w:rsidRPr="00BC2C95">
        <w:rPr>
          <w:rFonts w:ascii="Arial" w:eastAsia="Times New Roman" w:hAnsi="Arial" w:cs="Arial"/>
          <w:color w:val="333333"/>
          <w:sz w:val="24"/>
          <w:szCs w:val="24"/>
          <w:lang w:eastAsia="en-GB"/>
        </w:rPr>
        <w:t xml:space="preserve"> start my medication for a few days.”</w:t>
      </w:r>
    </w:p>
    <w:p w14:paraId="4A09AF3E" w14:textId="2DF53228" w:rsidR="004470D5" w:rsidRPr="00BC2C95" w:rsidRDefault="004470D5" w:rsidP="00DC54F7">
      <w:pPr>
        <w:pStyle w:val="ListParagraph"/>
        <w:numPr>
          <w:ilvl w:val="0"/>
          <w:numId w:val="80"/>
        </w:numPr>
        <w:spacing w:after="0" w:line="240" w:lineRule="auto"/>
        <w:jc w:val="both"/>
        <w:rPr>
          <w:rFonts w:ascii="Arial" w:eastAsia="Times New Roman" w:hAnsi="Arial" w:cs="Arial"/>
          <w:color w:val="333333"/>
          <w:sz w:val="24"/>
          <w:szCs w:val="24"/>
          <w:lang w:eastAsia="en-GB"/>
        </w:rPr>
      </w:pPr>
      <w:r w:rsidRPr="00BC2C95">
        <w:rPr>
          <w:rFonts w:ascii="Arial" w:eastAsia="Times New Roman" w:hAnsi="Arial" w:cs="Arial"/>
          <w:color w:val="333333"/>
          <w:sz w:val="24"/>
          <w:szCs w:val="24"/>
          <w:lang w:eastAsia="en-GB"/>
        </w:rPr>
        <w:t>“Too far away and not easy to get to.”</w:t>
      </w:r>
    </w:p>
    <w:p w14:paraId="7F0FE3BB" w14:textId="09F86FBB" w:rsidR="000E067B" w:rsidRPr="00BC2C95" w:rsidRDefault="004470D5" w:rsidP="00DC54F7">
      <w:pPr>
        <w:pStyle w:val="ListParagraph"/>
        <w:numPr>
          <w:ilvl w:val="0"/>
          <w:numId w:val="80"/>
        </w:numPr>
        <w:spacing w:after="0" w:line="240" w:lineRule="auto"/>
        <w:jc w:val="both"/>
        <w:rPr>
          <w:rFonts w:ascii="Arial" w:eastAsia="Times New Roman" w:hAnsi="Arial" w:cs="Arial"/>
          <w:color w:val="333333"/>
          <w:sz w:val="24"/>
          <w:szCs w:val="24"/>
          <w:lang w:eastAsia="en-GB"/>
        </w:rPr>
      </w:pPr>
      <w:r w:rsidRPr="00BC2C95">
        <w:rPr>
          <w:rFonts w:ascii="Arial" w:eastAsia="Times New Roman" w:hAnsi="Arial" w:cs="Arial"/>
          <w:color w:val="333333"/>
          <w:sz w:val="24"/>
          <w:szCs w:val="24"/>
          <w:lang w:eastAsia="en-GB"/>
        </w:rPr>
        <w:t>“I do not drive and have to walk to my surgery and to a pharmacy to collect my medication. I used to use the pharmacy on [name of location</w:t>
      </w:r>
      <w:r w:rsidR="00540D6F" w:rsidRPr="00BC2C95">
        <w:rPr>
          <w:rFonts w:ascii="Arial" w:eastAsia="Times New Roman" w:hAnsi="Arial" w:cs="Arial"/>
          <w:color w:val="333333"/>
          <w:sz w:val="24"/>
          <w:szCs w:val="24"/>
          <w:lang w:eastAsia="en-GB"/>
        </w:rPr>
        <w:t>] but</w:t>
      </w:r>
      <w:r w:rsidRPr="00BC2C95">
        <w:rPr>
          <w:rFonts w:ascii="Arial" w:eastAsia="Times New Roman" w:hAnsi="Arial" w:cs="Arial"/>
          <w:color w:val="333333"/>
          <w:sz w:val="24"/>
          <w:szCs w:val="24"/>
          <w:lang w:eastAsia="en-GB"/>
        </w:rPr>
        <w:t xml:space="preserve"> as that has now closed I struggle to get to a pharmacy near my gp. Because of this I have on occasions had to wait a day or two before I can get my medication which has resulted in my condition worsening. I suffer with chest infections and starting antibiotics and steroids is very important for me.”</w:t>
      </w:r>
    </w:p>
    <w:p w14:paraId="3138BC2F" w14:textId="396D2DCC" w:rsidR="004D3799" w:rsidRPr="00BC2C95" w:rsidRDefault="004D3799" w:rsidP="00DC54F7">
      <w:pPr>
        <w:spacing w:after="0" w:line="240" w:lineRule="auto"/>
        <w:jc w:val="both"/>
        <w:rPr>
          <w:rFonts w:ascii="Arial" w:eastAsia="Times New Roman" w:hAnsi="Arial" w:cs="Arial"/>
          <w:color w:val="333333"/>
          <w:sz w:val="24"/>
          <w:szCs w:val="24"/>
          <w:lang w:eastAsia="en-GB"/>
        </w:rPr>
      </w:pPr>
    </w:p>
    <w:p w14:paraId="2C82C207" w14:textId="3479DA18" w:rsidR="004D3799" w:rsidRPr="00BC2C95" w:rsidRDefault="004D3799" w:rsidP="00DC54F7">
      <w:pPr>
        <w:spacing w:after="0" w:line="240" w:lineRule="auto"/>
        <w:jc w:val="both"/>
        <w:rPr>
          <w:rFonts w:ascii="Arial" w:eastAsia="Times New Roman" w:hAnsi="Arial" w:cs="Arial"/>
          <w:color w:val="333333"/>
          <w:sz w:val="24"/>
          <w:szCs w:val="24"/>
          <w:lang w:eastAsia="en-GB"/>
        </w:rPr>
      </w:pPr>
      <w:r w:rsidRPr="00BC2C95">
        <w:rPr>
          <w:rFonts w:ascii="Arial" w:eastAsia="Times New Roman" w:hAnsi="Arial" w:cs="Arial"/>
          <w:color w:val="333333"/>
          <w:sz w:val="24"/>
          <w:szCs w:val="24"/>
          <w:lang w:eastAsia="en-GB"/>
        </w:rPr>
        <w:t xml:space="preserve">One comment mentioned </w:t>
      </w:r>
      <w:r w:rsidR="001128AB" w:rsidRPr="00BC2C95">
        <w:rPr>
          <w:rFonts w:ascii="Arial" w:eastAsia="Times New Roman" w:hAnsi="Arial" w:cs="Arial"/>
          <w:color w:val="333333"/>
          <w:sz w:val="24"/>
          <w:szCs w:val="24"/>
          <w:lang w:eastAsia="en-GB"/>
        </w:rPr>
        <w:t xml:space="preserve">parking difficulties and another </w:t>
      </w:r>
      <w:r w:rsidRPr="00BC2C95">
        <w:rPr>
          <w:rFonts w:ascii="Arial" w:eastAsia="Times New Roman" w:hAnsi="Arial" w:cs="Arial"/>
          <w:color w:val="333333"/>
          <w:sz w:val="24"/>
          <w:szCs w:val="24"/>
          <w:lang w:eastAsia="en-GB"/>
        </w:rPr>
        <w:t>the ongoing roa</w:t>
      </w:r>
      <w:r w:rsidR="009433AA" w:rsidRPr="00BC2C95">
        <w:rPr>
          <w:rFonts w:ascii="Arial" w:eastAsia="Times New Roman" w:hAnsi="Arial" w:cs="Arial"/>
          <w:color w:val="333333"/>
          <w:sz w:val="24"/>
          <w:szCs w:val="24"/>
          <w:lang w:eastAsia="en-GB"/>
        </w:rPr>
        <w:t>d works.</w:t>
      </w:r>
    </w:p>
    <w:p w14:paraId="1FCDA66F" w14:textId="2F76C213" w:rsidR="009433AA" w:rsidRPr="00BC2C95" w:rsidRDefault="009433AA" w:rsidP="00DC54F7">
      <w:pPr>
        <w:spacing w:after="0" w:line="240" w:lineRule="auto"/>
        <w:jc w:val="both"/>
        <w:rPr>
          <w:rFonts w:ascii="Arial" w:eastAsia="Times New Roman" w:hAnsi="Arial" w:cs="Arial"/>
          <w:color w:val="333333"/>
          <w:sz w:val="24"/>
          <w:szCs w:val="24"/>
          <w:lang w:eastAsia="en-GB"/>
        </w:rPr>
      </w:pPr>
    </w:p>
    <w:p w14:paraId="3744CA8A" w14:textId="239CE84C" w:rsidR="009F109A" w:rsidRPr="00BC2C95" w:rsidRDefault="0050792C" w:rsidP="00DC54F7">
      <w:pPr>
        <w:spacing w:after="0" w:line="240" w:lineRule="auto"/>
        <w:jc w:val="both"/>
        <w:rPr>
          <w:rFonts w:ascii="Arial" w:hAnsi="Arial" w:cs="Arial"/>
          <w:sz w:val="24"/>
          <w:szCs w:val="24"/>
        </w:rPr>
      </w:pPr>
      <w:r w:rsidRPr="00BC2C95">
        <w:rPr>
          <w:rFonts w:ascii="Arial" w:hAnsi="Arial" w:cs="Arial"/>
          <w:sz w:val="24"/>
          <w:szCs w:val="24"/>
        </w:rPr>
        <w:t>When asked how they find out information about a pharmacy such as opening times or the service being offered</w:t>
      </w:r>
      <w:r w:rsidR="00A100AC" w:rsidRPr="00BC2C95">
        <w:rPr>
          <w:rFonts w:ascii="Arial" w:hAnsi="Arial" w:cs="Arial"/>
          <w:sz w:val="24"/>
          <w:szCs w:val="24"/>
        </w:rPr>
        <w:t>,</w:t>
      </w:r>
      <w:r w:rsidRPr="00BC2C95">
        <w:rPr>
          <w:rFonts w:ascii="Arial" w:hAnsi="Arial" w:cs="Arial"/>
          <w:sz w:val="24"/>
          <w:szCs w:val="24"/>
        </w:rPr>
        <w:t xml:space="preserve"> </w:t>
      </w:r>
      <w:r w:rsidR="00B421FE" w:rsidRPr="00BC2C95">
        <w:rPr>
          <w:rFonts w:ascii="Arial" w:hAnsi="Arial" w:cs="Arial"/>
          <w:sz w:val="24"/>
          <w:szCs w:val="24"/>
        </w:rPr>
        <w:t>308</w:t>
      </w:r>
      <w:r w:rsidRPr="00BC2C95">
        <w:rPr>
          <w:rFonts w:ascii="Arial" w:hAnsi="Arial" w:cs="Arial"/>
          <w:sz w:val="24"/>
          <w:szCs w:val="24"/>
        </w:rPr>
        <w:t xml:space="preserve"> people answered the question and a total of </w:t>
      </w:r>
      <w:r w:rsidR="00B421FE" w:rsidRPr="00BC2C95">
        <w:rPr>
          <w:rFonts w:ascii="Arial" w:hAnsi="Arial" w:cs="Arial"/>
          <w:sz w:val="24"/>
          <w:szCs w:val="24"/>
        </w:rPr>
        <w:t>562</w:t>
      </w:r>
      <w:r w:rsidRPr="00BC2C95">
        <w:rPr>
          <w:rFonts w:ascii="Arial" w:hAnsi="Arial" w:cs="Arial"/>
          <w:sz w:val="24"/>
          <w:szCs w:val="24"/>
        </w:rPr>
        <w:t xml:space="preserve"> responses were received. Multiple answers could be given to this question and the number of responses received indicates that some people </w:t>
      </w:r>
      <w:r w:rsidR="00E24590" w:rsidRPr="00BC2C95">
        <w:rPr>
          <w:rFonts w:ascii="Arial" w:hAnsi="Arial" w:cs="Arial"/>
          <w:sz w:val="24"/>
          <w:szCs w:val="24"/>
        </w:rPr>
        <w:t>use more than one method</w:t>
      </w:r>
      <w:r w:rsidRPr="00BC2C95">
        <w:rPr>
          <w:rFonts w:ascii="Arial" w:hAnsi="Arial" w:cs="Arial"/>
          <w:sz w:val="24"/>
          <w:szCs w:val="24"/>
        </w:rPr>
        <w:t xml:space="preserve">. </w:t>
      </w:r>
      <w:r w:rsidRPr="00A11AB7">
        <w:rPr>
          <w:rFonts w:ascii="Arial" w:hAnsi="Arial" w:cs="Arial"/>
          <w:sz w:val="24"/>
          <w:szCs w:val="24"/>
        </w:rPr>
        <w:t xml:space="preserve">Overall, </w:t>
      </w:r>
      <w:r w:rsidR="0067313E" w:rsidRPr="00A11AB7">
        <w:rPr>
          <w:rFonts w:ascii="Arial" w:hAnsi="Arial" w:cs="Arial"/>
          <w:sz w:val="24"/>
          <w:szCs w:val="24"/>
        </w:rPr>
        <w:t xml:space="preserve">the internet or use of a smart phone app (221 </w:t>
      </w:r>
      <w:r w:rsidR="002366C5" w:rsidRPr="00A11AB7">
        <w:rPr>
          <w:rFonts w:ascii="Arial" w:hAnsi="Arial" w:cs="Arial"/>
          <w:sz w:val="24"/>
          <w:szCs w:val="24"/>
        </w:rPr>
        <w:t>responses</w:t>
      </w:r>
      <w:r w:rsidR="0067313E" w:rsidRPr="00A11AB7">
        <w:rPr>
          <w:rFonts w:ascii="Arial" w:hAnsi="Arial" w:cs="Arial"/>
          <w:sz w:val="24"/>
          <w:szCs w:val="24"/>
        </w:rPr>
        <w:t xml:space="preserve">) was the most common way </w:t>
      </w:r>
      <w:r w:rsidR="00D83086" w:rsidRPr="00A11AB7">
        <w:rPr>
          <w:rFonts w:ascii="Arial" w:hAnsi="Arial" w:cs="Arial"/>
          <w:sz w:val="24"/>
          <w:szCs w:val="24"/>
        </w:rPr>
        <w:t>respondent</w:t>
      </w:r>
      <w:r w:rsidR="0067313E" w:rsidRPr="00A11AB7">
        <w:rPr>
          <w:rFonts w:ascii="Arial" w:hAnsi="Arial" w:cs="Arial"/>
          <w:sz w:val="24"/>
          <w:szCs w:val="24"/>
        </w:rPr>
        <w:t>s used to find out information about a pharmacy</w:t>
      </w:r>
      <w:r w:rsidR="00D60E9E" w:rsidRPr="00A11AB7">
        <w:rPr>
          <w:rFonts w:ascii="Arial" w:hAnsi="Arial" w:cs="Arial"/>
          <w:sz w:val="24"/>
          <w:szCs w:val="24"/>
        </w:rPr>
        <w:t xml:space="preserve">, followed by the </w:t>
      </w:r>
      <w:r w:rsidR="00AB0CC9" w:rsidRPr="00A11AB7">
        <w:rPr>
          <w:rFonts w:ascii="Arial" w:hAnsi="Arial" w:cs="Arial"/>
          <w:sz w:val="24"/>
          <w:szCs w:val="24"/>
        </w:rPr>
        <w:t>calling them (105</w:t>
      </w:r>
      <w:r w:rsidR="00096A76" w:rsidRPr="00A11AB7">
        <w:rPr>
          <w:rFonts w:ascii="Arial" w:hAnsi="Arial" w:cs="Arial"/>
          <w:sz w:val="24"/>
          <w:szCs w:val="24"/>
        </w:rPr>
        <w:t xml:space="preserve"> responses)</w:t>
      </w:r>
      <w:r w:rsidR="000009B5" w:rsidRPr="00A11AB7">
        <w:rPr>
          <w:rFonts w:ascii="Arial" w:hAnsi="Arial" w:cs="Arial"/>
          <w:sz w:val="24"/>
          <w:szCs w:val="24"/>
        </w:rPr>
        <w:t xml:space="preserve"> and </w:t>
      </w:r>
      <w:r w:rsidR="0067313E" w:rsidRPr="00A11AB7">
        <w:rPr>
          <w:rFonts w:ascii="Arial" w:hAnsi="Arial" w:cs="Arial"/>
          <w:sz w:val="24"/>
          <w:szCs w:val="24"/>
        </w:rPr>
        <w:t>social media</w:t>
      </w:r>
      <w:r w:rsidR="000009B5" w:rsidRPr="00A11AB7">
        <w:rPr>
          <w:rFonts w:ascii="Arial" w:hAnsi="Arial" w:cs="Arial"/>
          <w:sz w:val="24"/>
          <w:szCs w:val="24"/>
        </w:rPr>
        <w:t xml:space="preserve"> (61 responses)</w:t>
      </w:r>
      <w:r w:rsidR="0067313E" w:rsidRPr="00A11AB7">
        <w:rPr>
          <w:rFonts w:ascii="Arial" w:hAnsi="Arial" w:cs="Arial"/>
          <w:sz w:val="24"/>
          <w:szCs w:val="24"/>
        </w:rPr>
        <w:t>. Less</w:t>
      </w:r>
      <w:r w:rsidR="0067313E" w:rsidRPr="00BC2C95">
        <w:rPr>
          <w:rFonts w:ascii="Arial" w:hAnsi="Arial" w:cs="Arial"/>
          <w:sz w:val="24"/>
          <w:szCs w:val="24"/>
        </w:rPr>
        <w:t xml:space="preserve"> than 1% (2</w:t>
      </w:r>
      <w:r w:rsidR="002366C5" w:rsidRPr="00BC2C95">
        <w:rPr>
          <w:rFonts w:ascii="Arial" w:hAnsi="Arial" w:cs="Arial"/>
          <w:sz w:val="24"/>
          <w:szCs w:val="24"/>
        </w:rPr>
        <w:t xml:space="preserve"> responses</w:t>
      </w:r>
      <w:r w:rsidR="0067313E" w:rsidRPr="00BC2C95">
        <w:rPr>
          <w:rFonts w:ascii="Arial" w:hAnsi="Arial" w:cs="Arial"/>
          <w:sz w:val="24"/>
          <w:szCs w:val="24"/>
        </w:rPr>
        <w:t xml:space="preserve">) would find out from reading the local newspaper or magazine. This mirrors the </w:t>
      </w:r>
      <w:r w:rsidR="0031295B" w:rsidRPr="00BC2C95">
        <w:rPr>
          <w:rFonts w:ascii="Arial" w:hAnsi="Arial" w:cs="Arial"/>
          <w:sz w:val="24"/>
          <w:szCs w:val="24"/>
        </w:rPr>
        <w:t xml:space="preserve">wider trend </w:t>
      </w:r>
      <w:r w:rsidR="0067313E" w:rsidRPr="00BC2C95">
        <w:rPr>
          <w:rFonts w:ascii="Arial" w:hAnsi="Arial" w:cs="Arial"/>
          <w:sz w:val="24"/>
          <w:szCs w:val="24"/>
        </w:rPr>
        <w:t xml:space="preserve">of people switching to the internet and social media to find news and information and the declining reach of printed newspapers. </w:t>
      </w:r>
      <w:r w:rsidRPr="00BC2C95">
        <w:rPr>
          <w:rFonts w:ascii="Arial" w:hAnsi="Arial" w:cs="Arial"/>
          <w:sz w:val="24"/>
          <w:szCs w:val="24"/>
        </w:rPr>
        <w:t xml:space="preserve">Of the </w:t>
      </w:r>
      <w:r w:rsidR="00A5045F" w:rsidRPr="00BC2C95">
        <w:rPr>
          <w:rFonts w:ascii="Arial" w:hAnsi="Arial" w:cs="Arial"/>
          <w:sz w:val="24"/>
          <w:szCs w:val="24"/>
        </w:rPr>
        <w:t xml:space="preserve">seven </w:t>
      </w:r>
      <w:r w:rsidRPr="00BC2C95">
        <w:rPr>
          <w:rFonts w:ascii="Arial" w:hAnsi="Arial" w:cs="Arial"/>
          <w:sz w:val="24"/>
          <w:szCs w:val="24"/>
        </w:rPr>
        <w:t xml:space="preserve">people who responded other, </w:t>
      </w:r>
      <w:r w:rsidR="00AF0D4D" w:rsidRPr="00BC2C95">
        <w:rPr>
          <w:rFonts w:ascii="Arial" w:hAnsi="Arial" w:cs="Arial"/>
          <w:sz w:val="24"/>
          <w:szCs w:val="24"/>
        </w:rPr>
        <w:t>three</w:t>
      </w:r>
      <w:r w:rsidR="00232198" w:rsidRPr="00BC2C95">
        <w:rPr>
          <w:rFonts w:ascii="Arial" w:hAnsi="Arial" w:cs="Arial"/>
          <w:sz w:val="24"/>
          <w:szCs w:val="24"/>
        </w:rPr>
        <w:t xml:space="preserve"> comments were about </w:t>
      </w:r>
      <w:r w:rsidR="00CA5C0B" w:rsidRPr="00BC2C95">
        <w:rPr>
          <w:rFonts w:ascii="Arial" w:hAnsi="Arial" w:cs="Arial"/>
          <w:sz w:val="24"/>
          <w:szCs w:val="24"/>
        </w:rPr>
        <w:t>checking the pharmacy website</w:t>
      </w:r>
      <w:r w:rsidR="00B41019" w:rsidRPr="00BC2C95">
        <w:rPr>
          <w:rFonts w:ascii="Arial" w:hAnsi="Arial" w:cs="Arial"/>
          <w:sz w:val="24"/>
          <w:szCs w:val="24"/>
        </w:rPr>
        <w:t xml:space="preserve">. </w:t>
      </w:r>
      <w:r w:rsidR="00467DBC" w:rsidRPr="00BC2C95">
        <w:rPr>
          <w:rFonts w:ascii="Arial" w:hAnsi="Arial" w:cs="Arial"/>
          <w:sz w:val="24"/>
          <w:szCs w:val="24"/>
        </w:rPr>
        <w:t xml:space="preserve">One </w:t>
      </w:r>
      <w:r w:rsidR="00D83086" w:rsidRPr="00BC2C95">
        <w:rPr>
          <w:rFonts w:ascii="Arial" w:hAnsi="Arial" w:cs="Arial"/>
          <w:sz w:val="24"/>
          <w:szCs w:val="24"/>
        </w:rPr>
        <w:t>respondent</w:t>
      </w:r>
      <w:r w:rsidR="00467DBC" w:rsidRPr="00BC2C95">
        <w:rPr>
          <w:rFonts w:ascii="Arial" w:hAnsi="Arial" w:cs="Arial"/>
          <w:sz w:val="24"/>
          <w:szCs w:val="24"/>
        </w:rPr>
        <w:t xml:space="preserve"> commented:</w:t>
      </w:r>
    </w:p>
    <w:p w14:paraId="0A39D5CB" w14:textId="5C32EBDA" w:rsidR="00F653AE" w:rsidRPr="00BC2C95" w:rsidRDefault="0019663B" w:rsidP="00DC54F7">
      <w:pPr>
        <w:pStyle w:val="ListParagraph"/>
        <w:numPr>
          <w:ilvl w:val="0"/>
          <w:numId w:val="91"/>
        </w:numPr>
        <w:spacing w:after="0" w:line="240" w:lineRule="auto"/>
        <w:jc w:val="both"/>
        <w:rPr>
          <w:rFonts w:ascii="Arial" w:eastAsia="Times New Roman" w:hAnsi="Arial" w:cs="Arial"/>
          <w:color w:val="333333"/>
          <w:sz w:val="24"/>
          <w:szCs w:val="24"/>
          <w:lang w:eastAsia="en-GB"/>
        </w:rPr>
      </w:pPr>
      <w:r w:rsidRPr="00BC2C95">
        <w:rPr>
          <w:rFonts w:ascii="Arial" w:eastAsia="Times New Roman" w:hAnsi="Arial" w:cs="Arial"/>
          <w:sz w:val="24"/>
          <w:szCs w:val="24"/>
          <w:lang w:eastAsia="en-GB"/>
        </w:rPr>
        <w:t xml:space="preserve">“It is advertised however during the pandemic </w:t>
      </w:r>
      <w:r w:rsidRPr="00BC2C95">
        <w:rPr>
          <w:rFonts w:ascii="Arial" w:eastAsia="Times New Roman" w:hAnsi="Arial" w:cs="Arial"/>
          <w:color w:val="333333"/>
          <w:sz w:val="24"/>
          <w:szCs w:val="24"/>
          <w:lang w:eastAsia="en-GB"/>
        </w:rPr>
        <w:t>they post their varied times on social media.”</w:t>
      </w:r>
    </w:p>
    <w:p w14:paraId="288EF56B" w14:textId="6A89C0F5" w:rsidR="007071EB" w:rsidRDefault="007071EB" w:rsidP="00DC54F7">
      <w:pPr>
        <w:spacing w:after="0" w:line="240" w:lineRule="auto"/>
        <w:jc w:val="both"/>
        <w:rPr>
          <w:rFonts w:ascii="Arial" w:eastAsia="Times New Roman" w:hAnsi="Arial" w:cs="Arial"/>
          <w:color w:val="333333"/>
          <w:lang w:eastAsia="en-GB"/>
        </w:rPr>
      </w:pPr>
    </w:p>
    <w:p w14:paraId="33A93A0D" w14:textId="6EAAFB76" w:rsidR="00445E39" w:rsidRPr="00BC2C95" w:rsidRDefault="00A8311B" w:rsidP="00DC54F7">
      <w:pPr>
        <w:spacing w:after="0" w:line="240" w:lineRule="auto"/>
        <w:jc w:val="both"/>
        <w:rPr>
          <w:rFonts w:ascii="Arial" w:eastAsia="Times New Roman" w:hAnsi="Arial" w:cs="Arial"/>
          <w:color w:val="333333"/>
          <w:sz w:val="24"/>
          <w:szCs w:val="24"/>
          <w:lang w:eastAsia="en-GB"/>
        </w:rPr>
      </w:pPr>
      <w:r w:rsidRPr="00A11AB7">
        <w:rPr>
          <w:rFonts w:ascii="Arial" w:hAnsi="Arial" w:cs="Arial"/>
          <w:b/>
          <w:sz w:val="24"/>
          <w:szCs w:val="24"/>
        </w:rPr>
        <w:t>Figure 1.</w:t>
      </w:r>
      <w:r w:rsidR="00200751" w:rsidRPr="00A11AB7">
        <w:rPr>
          <w:rFonts w:ascii="Arial" w:hAnsi="Arial" w:cs="Arial"/>
          <w:b/>
          <w:sz w:val="24"/>
          <w:szCs w:val="24"/>
        </w:rPr>
        <w:t>10</w:t>
      </w:r>
      <w:r w:rsidRPr="00A11AB7">
        <w:rPr>
          <w:rFonts w:ascii="Arial" w:hAnsi="Arial" w:cs="Arial"/>
          <w:b/>
          <w:sz w:val="24"/>
          <w:szCs w:val="24"/>
        </w:rPr>
        <w:t xml:space="preserve">: </w:t>
      </w:r>
      <w:r w:rsidR="00AC625C" w:rsidRPr="00A11AB7">
        <w:rPr>
          <w:rFonts w:ascii="Arial" w:hAnsi="Arial" w:cs="Arial"/>
          <w:b/>
          <w:bCs/>
          <w:sz w:val="24"/>
          <w:szCs w:val="24"/>
        </w:rPr>
        <w:t>Most common ways to find out information on pharmacies</w:t>
      </w:r>
    </w:p>
    <w:p w14:paraId="35354EFD" w14:textId="6D44DFDB" w:rsidR="003B1A91" w:rsidRDefault="000009B5" w:rsidP="00DC54F7">
      <w:pPr>
        <w:spacing w:after="0" w:line="240" w:lineRule="auto"/>
        <w:jc w:val="both"/>
        <w:rPr>
          <w:rFonts w:ascii="Arial" w:hAnsi="Arial" w:cs="Arial"/>
          <w:b/>
          <w:sz w:val="24"/>
          <w:szCs w:val="24"/>
        </w:rPr>
      </w:pPr>
      <w:r>
        <w:rPr>
          <w:noProof/>
          <w:lang w:eastAsia="en-GB"/>
        </w:rPr>
        <w:drawing>
          <wp:inline distT="0" distB="0" distL="0" distR="0" wp14:anchorId="064CCDB9" wp14:editId="4B7CDABE">
            <wp:extent cx="5640309" cy="2779414"/>
            <wp:effectExtent l="0" t="0" r="17780" b="1905"/>
            <wp:docPr id="206" name="Chart 20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AC134B2-C502-435E-9BA3-AB65438B20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C4B07A7" w14:textId="7B82372C" w:rsidR="003B1A91" w:rsidRDefault="003B1A91" w:rsidP="00DC54F7">
      <w:pPr>
        <w:spacing w:after="0" w:line="240" w:lineRule="auto"/>
        <w:jc w:val="both"/>
        <w:rPr>
          <w:rFonts w:ascii="Arial" w:hAnsi="Arial" w:cs="Arial"/>
          <w:b/>
          <w:sz w:val="24"/>
          <w:szCs w:val="24"/>
        </w:rPr>
      </w:pPr>
    </w:p>
    <w:p w14:paraId="2805D4EE" w14:textId="56945037" w:rsidR="00F12404" w:rsidRPr="00BC2C95" w:rsidRDefault="004F6DEC" w:rsidP="00DC54F7">
      <w:pPr>
        <w:spacing w:after="0" w:line="240" w:lineRule="auto"/>
        <w:jc w:val="both"/>
        <w:rPr>
          <w:rFonts w:ascii="Arial" w:hAnsi="Arial" w:cs="Arial"/>
          <w:sz w:val="24"/>
          <w:szCs w:val="24"/>
        </w:rPr>
      </w:pPr>
      <w:r w:rsidRPr="00BC2C95">
        <w:rPr>
          <w:rFonts w:ascii="Arial" w:hAnsi="Arial" w:cs="Arial"/>
          <w:sz w:val="24"/>
          <w:szCs w:val="24"/>
        </w:rPr>
        <w:t xml:space="preserve">When it comes to </w:t>
      </w:r>
      <w:r w:rsidR="007D145B" w:rsidRPr="00BC2C95">
        <w:rPr>
          <w:rFonts w:ascii="Arial" w:hAnsi="Arial" w:cs="Arial"/>
          <w:sz w:val="24"/>
          <w:szCs w:val="24"/>
        </w:rPr>
        <w:t xml:space="preserve">being able to discuss something </w:t>
      </w:r>
      <w:r w:rsidR="00E37A76" w:rsidRPr="00BC2C95">
        <w:rPr>
          <w:rFonts w:ascii="Arial" w:hAnsi="Arial" w:cs="Arial"/>
          <w:sz w:val="24"/>
          <w:szCs w:val="24"/>
        </w:rPr>
        <w:t xml:space="preserve">in </w:t>
      </w:r>
      <w:r w:rsidRPr="00BC2C95">
        <w:rPr>
          <w:rFonts w:ascii="Arial" w:hAnsi="Arial" w:cs="Arial"/>
          <w:sz w:val="24"/>
          <w:szCs w:val="24"/>
        </w:rPr>
        <w:t>pri</w:t>
      </w:r>
      <w:r w:rsidR="007D145B" w:rsidRPr="00BC2C95">
        <w:rPr>
          <w:rFonts w:ascii="Arial" w:hAnsi="Arial" w:cs="Arial"/>
          <w:sz w:val="24"/>
          <w:szCs w:val="24"/>
        </w:rPr>
        <w:t>va</w:t>
      </w:r>
      <w:r w:rsidR="00E37A76" w:rsidRPr="00BC2C95">
        <w:rPr>
          <w:rFonts w:ascii="Arial" w:hAnsi="Arial" w:cs="Arial"/>
          <w:sz w:val="24"/>
          <w:szCs w:val="24"/>
        </w:rPr>
        <w:t xml:space="preserve">te with their pharmacist, </w:t>
      </w:r>
      <w:r w:rsidR="00F12404" w:rsidRPr="00BC2C95">
        <w:rPr>
          <w:rFonts w:ascii="Arial" w:hAnsi="Arial" w:cs="Arial"/>
          <w:sz w:val="24"/>
          <w:szCs w:val="24"/>
        </w:rPr>
        <w:t>1</w:t>
      </w:r>
      <w:r w:rsidR="00BC1BBC" w:rsidRPr="00BC2C95">
        <w:rPr>
          <w:rFonts w:ascii="Arial" w:hAnsi="Arial" w:cs="Arial"/>
          <w:sz w:val="24"/>
          <w:szCs w:val="24"/>
        </w:rPr>
        <w:t>0</w:t>
      </w:r>
      <w:r w:rsidR="00F12404" w:rsidRPr="00BC2C95">
        <w:rPr>
          <w:rFonts w:ascii="Arial" w:hAnsi="Arial" w:cs="Arial"/>
          <w:sz w:val="24"/>
          <w:szCs w:val="24"/>
        </w:rPr>
        <w:t xml:space="preserve">% </w:t>
      </w:r>
      <w:r w:rsidR="00AE0660" w:rsidRPr="00BC2C95">
        <w:rPr>
          <w:rFonts w:ascii="Arial" w:hAnsi="Arial" w:cs="Arial"/>
          <w:sz w:val="24"/>
          <w:szCs w:val="24"/>
        </w:rPr>
        <w:t xml:space="preserve">of </w:t>
      </w:r>
      <w:r w:rsidR="00D83086" w:rsidRPr="00BC2C95">
        <w:rPr>
          <w:rFonts w:ascii="Arial" w:hAnsi="Arial" w:cs="Arial"/>
          <w:sz w:val="24"/>
          <w:szCs w:val="24"/>
        </w:rPr>
        <w:t>respondent</w:t>
      </w:r>
      <w:r w:rsidR="00AE0660" w:rsidRPr="00BC2C95">
        <w:rPr>
          <w:rFonts w:ascii="Arial" w:hAnsi="Arial" w:cs="Arial"/>
          <w:sz w:val="24"/>
          <w:szCs w:val="24"/>
        </w:rPr>
        <w:t xml:space="preserve">s </w:t>
      </w:r>
      <w:r w:rsidR="00F12404" w:rsidRPr="00BC2C95">
        <w:rPr>
          <w:rFonts w:ascii="Arial" w:hAnsi="Arial" w:cs="Arial"/>
          <w:sz w:val="24"/>
          <w:szCs w:val="24"/>
        </w:rPr>
        <w:t>(</w:t>
      </w:r>
      <w:r w:rsidR="008918E9" w:rsidRPr="00BC2C95">
        <w:rPr>
          <w:rFonts w:ascii="Arial" w:hAnsi="Arial" w:cs="Arial"/>
          <w:sz w:val="24"/>
          <w:szCs w:val="24"/>
        </w:rPr>
        <w:t xml:space="preserve">30 people out of </w:t>
      </w:r>
      <w:r w:rsidR="004F6232" w:rsidRPr="00BC2C95">
        <w:rPr>
          <w:rFonts w:ascii="Arial" w:hAnsi="Arial" w:cs="Arial"/>
          <w:sz w:val="24"/>
          <w:szCs w:val="24"/>
        </w:rPr>
        <w:t>308</w:t>
      </w:r>
      <w:r w:rsidR="00F12404" w:rsidRPr="00BC2C95">
        <w:rPr>
          <w:rFonts w:ascii="Arial" w:hAnsi="Arial" w:cs="Arial"/>
          <w:sz w:val="24"/>
          <w:szCs w:val="24"/>
        </w:rPr>
        <w:t>) did</w:t>
      </w:r>
      <w:r w:rsidR="0058529E" w:rsidRPr="00BC2C95">
        <w:rPr>
          <w:rFonts w:ascii="Arial" w:hAnsi="Arial" w:cs="Arial"/>
          <w:sz w:val="24"/>
          <w:szCs w:val="24"/>
        </w:rPr>
        <w:t xml:space="preserve"> not </w:t>
      </w:r>
      <w:r w:rsidR="00F12404" w:rsidRPr="00BC2C95">
        <w:rPr>
          <w:rFonts w:ascii="Arial" w:hAnsi="Arial" w:cs="Arial"/>
          <w:sz w:val="24"/>
          <w:szCs w:val="24"/>
        </w:rPr>
        <w:t xml:space="preserve">feel able to as </w:t>
      </w:r>
      <w:r w:rsidR="000238BA" w:rsidRPr="00BC2C95">
        <w:rPr>
          <w:rFonts w:ascii="Arial" w:hAnsi="Arial" w:cs="Arial"/>
          <w:sz w:val="24"/>
          <w:szCs w:val="24"/>
        </w:rPr>
        <w:t>oppose</w:t>
      </w:r>
      <w:r w:rsidR="0074686B">
        <w:rPr>
          <w:rFonts w:ascii="Arial" w:hAnsi="Arial" w:cs="Arial"/>
          <w:sz w:val="24"/>
          <w:szCs w:val="24"/>
        </w:rPr>
        <w:t>d</w:t>
      </w:r>
      <w:r w:rsidR="00F12404" w:rsidRPr="00BC2C95">
        <w:rPr>
          <w:rFonts w:ascii="Arial" w:hAnsi="Arial" w:cs="Arial"/>
          <w:sz w:val="24"/>
          <w:szCs w:val="24"/>
        </w:rPr>
        <w:t xml:space="preserve"> to 5</w:t>
      </w:r>
      <w:r w:rsidR="00931E71" w:rsidRPr="00BC2C95">
        <w:rPr>
          <w:rFonts w:ascii="Arial" w:hAnsi="Arial" w:cs="Arial"/>
          <w:sz w:val="24"/>
          <w:szCs w:val="24"/>
        </w:rPr>
        <w:t>6</w:t>
      </w:r>
      <w:r w:rsidR="00F12404" w:rsidRPr="00BC2C95">
        <w:rPr>
          <w:rFonts w:ascii="Arial" w:hAnsi="Arial" w:cs="Arial"/>
          <w:sz w:val="24"/>
          <w:szCs w:val="24"/>
        </w:rPr>
        <w:t xml:space="preserve">% </w:t>
      </w:r>
      <w:r w:rsidR="00F12404" w:rsidRPr="00BC2C95">
        <w:rPr>
          <w:rFonts w:ascii="Arial" w:hAnsi="Arial" w:cs="Arial"/>
          <w:sz w:val="24"/>
          <w:szCs w:val="24"/>
        </w:rPr>
        <w:lastRenderedPageBreak/>
        <w:t>(</w:t>
      </w:r>
      <w:r w:rsidR="00931E71" w:rsidRPr="00BC2C95">
        <w:rPr>
          <w:rFonts w:ascii="Arial" w:hAnsi="Arial" w:cs="Arial"/>
          <w:sz w:val="24"/>
          <w:szCs w:val="24"/>
        </w:rPr>
        <w:t>171</w:t>
      </w:r>
      <w:r w:rsidR="008E1247" w:rsidRPr="00BC2C95">
        <w:rPr>
          <w:rFonts w:ascii="Arial" w:hAnsi="Arial" w:cs="Arial"/>
          <w:sz w:val="24"/>
          <w:szCs w:val="24"/>
        </w:rPr>
        <w:t xml:space="preserve"> people</w:t>
      </w:r>
      <w:r w:rsidR="00F12404" w:rsidRPr="00BC2C95">
        <w:rPr>
          <w:rFonts w:ascii="Arial" w:hAnsi="Arial" w:cs="Arial"/>
          <w:sz w:val="24"/>
          <w:szCs w:val="24"/>
        </w:rPr>
        <w:t xml:space="preserve">) who did feel able to discuss something private with their pharmacist. </w:t>
      </w:r>
      <w:r w:rsidR="00931E71" w:rsidRPr="00BC2C95">
        <w:rPr>
          <w:rFonts w:ascii="Arial" w:hAnsi="Arial" w:cs="Arial"/>
          <w:sz w:val="24"/>
          <w:szCs w:val="24"/>
        </w:rPr>
        <w:t>31</w:t>
      </w:r>
      <w:r w:rsidR="00F12404" w:rsidRPr="00BC2C95">
        <w:rPr>
          <w:rFonts w:ascii="Arial" w:hAnsi="Arial" w:cs="Arial"/>
          <w:sz w:val="24"/>
          <w:szCs w:val="24"/>
        </w:rPr>
        <w:t>% had never needed to and 3% responded that they did</w:t>
      </w:r>
      <w:r w:rsidR="009F3613" w:rsidRPr="00BC2C95">
        <w:rPr>
          <w:rFonts w:ascii="Arial" w:hAnsi="Arial" w:cs="Arial"/>
          <w:sz w:val="24"/>
          <w:szCs w:val="24"/>
        </w:rPr>
        <w:t xml:space="preserve"> not</w:t>
      </w:r>
      <w:r w:rsidR="00F12404" w:rsidRPr="00BC2C95">
        <w:rPr>
          <w:rFonts w:ascii="Arial" w:hAnsi="Arial" w:cs="Arial"/>
          <w:sz w:val="24"/>
          <w:szCs w:val="24"/>
        </w:rPr>
        <w:t xml:space="preserve"> know. </w:t>
      </w:r>
    </w:p>
    <w:p w14:paraId="3AEC13B7" w14:textId="0DBD1DBD" w:rsidR="000B3EA6" w:rsidRPr="00BC2C95" w:rsidRDefault="000B3EA6" w:rsidP="00DC54F7">
      <w:pPr>
        <w:spacing w:after="0" w:line="240" w:lineRule="auto"/>
        <w:jc w:val="both"/>
        <w:rPr>
          <w:rFonts w:ascii="Arial" w:hAnsi="Arial" w:cs="Arial"/>
          <w:sz w:val="24"/>
          <w:szCs w:val="24"/>
        </w:rPr>
      </w:pPr>
    </w:p>
    <w:p w14:paraId="6BB45D55" w14:textId="0A548D56" w:rsidR="0022277F" w:rsidRPr="00BC2C95" w:rsidRDefault="00536E02" w:rsidP="00DC54F7">
      <w:pPr>
        <w:spacing w:after="0" w:line="240" w:lineRule="auto"/>
        <w:jc w:val="both"/>
        <w:rPr>
          <w:rFonts w:ascii="Arial" w:hAnsi="Arial" w:cs="Arial"/>
          <w:sz w:val="24"/>
          <w:szCs w:val="24"/>
        </w:rPr>
      </w:pPr>
      <w:r w:rsidRPr="00BC2C95">
        <w:rPr>
          <w:rFonts w:ascii="Arial" w:hAnsi="Arial" w:cs="Arial"/>
          <w:sz w:val="24"/>
          <w:szCs w:val="24"/>
        </w:rPr>
        <w:t xml:space="preserve">When asked whether they were aware </w:t>
      </w:r>
      <w:r w:rsidR="00755BC4" w:rsidRPr="00BC2C95">
        <w:rPr>
          <w:rFonts w:ascii="Arial" w:hAnsi="Arial" w:cs="Arial"/>
          <w:sz w:val="24"/>
          <w:szCs w:val="24"/>
        </w:rPr>
        <w:t xml:space="preserve">that they </w:t>
      </w:r>
      <w:r w:rsidR="007E214F" w:rsidRPr="00BC2C95">
        <w:rPr>
          <w:rFonts w:ascii="Arial" w:hAnsi="Arial" w:cs="Arial"/>
          <w:sz w:val="24"/>
          <w:szCs w:val="24"/>
        </w:rPr>
        <w:t xml:space="preserve">may be </w:t>
      </w:r>
      <w:r w:rsidR="008D6E9F" w:rsidRPr="00BC2C95">
        <w:rPr>
          <w:rFonts w:ascii="Arial" w:hAnsi="Arial" w:cs="Arial"/>
          <w:sz w:val="24"/>
          <w:szCs w:val="24"/>
        </w:rPr>
        <w:t xml:space="preserve">able to access </w:t>
      </w:r>
      <w:r w:rsidR="00963472" w:rsidRPr="00BC2C95">
        <w:rPr>
          <w:rFonts w:ascii="Arial" w:hAnsi="Arial" w:cs="Arial"/>
          <w:sz w:val="24"/>
          <w:szCs w:val="24"/>
        </w:rPr>
        <w:t xml:space="preserve">certain services </w:t>
      </w:r>
      <w:r w:rsidR="00D36A4D" w:rsidRPr="00BC2C95">
        <w:rPr>
          <w:rFonts w:ascii="Arial" w:hAnsi="Arial" w:cs="Arial"/>
          <w:sz w:val="24"/>
          <w:szCs w:val="24"/>
        </w:rPr>
        <w:t xml:space="preserve">from pharmacies as part of the NHS, </w:t>
      </w:r>
      <w:r w:rsidR="00853411" w:rsidRPr="00BC2C95">
        <w:rPr>
          <w:rFonts w:ascii="Arial" w:hAnsi="Arial" w:cs="Arial"/>
          <w:sz w:val="24"/>
          <w:szCs w:val="24"/>
        </w:rPr>
        <w:t>305 people</w:t>
      </w:r>
      <w:r w:rsidR="00923FF7" w:rsidRPr="00BC2C95">
        <w:rPr>
          <w:rFonts w:ascii="Arial" w:hAnsi="Arial" w:cs="Arial"/>
          <w:sz w:val="24"/>
          <w:szCs w:val="24"/>
        </w:rPr>
        <w:t xml:space="preserve"> </w:t>
      </w:r>
      <w:r w:rsidR="007E214F" w:rsidRPr="00BC2C95">
        <w:rPr>
          <w:rFonts w:ascii="Arial" w:hAnsi="Arial" w:cs="Arial"/>
          <w:sz w:val="24"/>
          <w:szCs w:val="24"/>
        </w:rPr>
        <w:t xml:space="preserve">responded to the </w:t>
      </w:r>
      <w:r w:rsidR="00923FF7" w:rsidRPr="00BC2C95">
        <w:rPr>
          <w:rFonts w:ascii="Arial" w:hAnsi="Arial" w:cs="Arial"/>
          <w:sz w:val="24"/>
          <w:szCs w:val="24"/>
        </w:rPr>
        <w:t xml:space="preserve">question </w:t>
      </w:r>
      <w:r w:rsidR="00FC2A7B" w:rsidRPr="00BC2C95">
        <w:rPr>
          <w:rFonts w:ascii="Arial" w:hAnsi="Arial" w:cs="Arial"/>
          <w:sz w:val="24"/>
          <w:szCs w:val="24"/>
        </w:rPr>
        <w:t xml:space="preserve">and </w:t>
      </w:r>
      <w:r w:rsidR="00923FF7" w:rsidRPr="00BC2C95">
        <w:rPr>
          <w:rFonts w:ascii="Arial" w:hAnsi="Arial" w:cs="Arial"/>
          <w:sz w:val="24"/>
          <w:szCs w:val="24"/>
        </w:rPr>
        <w:t xml:space="preserve">a total of </w:t>
      </w:r>
      <w:r w:rsidR="00FC2A7B" w:rsidRPr="00BC2C95">
        <w:rPr>
          <w:rFonts w:ascii="Arial" w:hAnsi="Arial" w:cs="Arial"/>
          <w:sz w:val="24"/>
          <w:szCs w:val="24"/>
        </w:rPr>
        <w:t xml:space="preserve">1264 </w:t>
      </w:r>
      <w:r w:rsidR="00FB2C08" w:rsidRPr="00BC2C95">
        <w:rPr>
          <w:rFonts w:ascii="Arial" w:hAnsi="Arial" w:cs="Arial"/>
          <w:sz w:val="24"/>
          <w:szCs w:val="24"/>
        </w:rPr>
        <w:t xml:space="preserve">responses were received. </w:t>
      </w:r>
      <w:r w:rsidR="00563C92" w:rsidRPr="00BC2C95">
        <w:rPr>
          <w:rFonts w:ascii="Arial" w:hAnsi="Arial" w:cs="Arial"/>
          <w:sz w:val="24"/>
          <w:szCs w:val="24"/>
        </w:rPr>
        <w:t>M</w:t>
      </w:r>
      <w:r w:rsidR="00F57569" w:rsidRPr="00BC2C95">
        <w:rPr>
          <w:rFonts w:ascii="Arial" w:hAnsi="Arial" w:cs="Arial"/>
          <w:sz w:val="24"/>
          <w:szCs w:val="24"/>
        </w:rPr>
        <w:t>ultiple answers could be given to this question</w:t>
      </w:r>
      <w:r w:rsidR="00351160" w:rsidRPr="00BC2C95">
        <w:rPr>
          <w:rFonts w:ascii="Arial" w:hAnsi="Arial" w:cs="Arial"/>
          <w:sz w:val="24"/>
          <w:szCs w:val="24"/>
        </w:rPr>
        <w:t xml:space="preserve"> and the number of </w:t>
      </w:r>
      <w:r w:rsidR="007761D4" w:rsidRPr="00BC2C95">
        <w:rPr>
          <w:rFonts w:ascii="Arial" w:hAnsi="Arial" w:cs="Arial"/>
          <w:sz w:val="24"/>
          <w:szCs w:val="24"/>
        </w:rPr>
        <w:t xml:space="preserve">responses received indicates that </w:t>
      </w:r>
      <w:r w:rsidR="006F51CD" w:rsidRPr="00BC2C95">
        <w:rPr>
          <w:rFonts w:ascii="Arial" w:hAnsi="Arial" w:cs="Arial"/>
          <w:sz w:val="24"/>
          <w:szCs w:val="24"/>
        </w:rPr>
        <w:t>some people were aware of more than one service</w:t>
      </w:r>
      <w:r w:rsidR="00F57569" w:rsidRPr="00BC2C95">
        <w:rPr>
          <w:rFonts w:ascii="Arial" w:hAnsi="Arial" w:cs="Arial"/>
          <w:sz w:val="24"/>
          <w:szCs w:val="24"/>
        </w:rPr>
        <w:t>.</w:t>
      </w:r>
      <w:r w:rsidR="00F57569" w:rsidRPr="00BC2C95">
        <w:rPr>
          <w:sz w:val="24"/>
          <w:szCs w:val="24"/>
        </w:rPr>
        <w:t xml:space="preserve"> </w:t>
      </w:r>
      <w:r w:rsidR="004B514B" w:rsidRPr="00BC2C95">
        <w:rPr>
          <w:sz w:val="24"/>
          <w:szCs w:val="24"/>
        </w:rPr>
        <w:t xml:space="preserve"> </w:t>
      </w:r>
      <w:r w:rsidR="00F76DA5" w:rsidRPr="00A11AB7">
        <w:rPr>
          <w:rFonts w:ascii="Arial" w:hAnsi="Arial" w:cs="Arial"/>
          <w:sz w:val="24"/>
          <w:szCs w:val="24"/>
        </w:rPr>
        <w:t>Flu vaccinations (</w:t>
      </w:r>
      <w:r w:rsidR="001306EB" w:rsidRPr="00A11AB7">
        <w:rPr>
          <w:rFonts w:ascii="Arial" w:hAnsi="Arial" w:cs="Arial"/>
          <w:sz w:val="24"/>
          <w:szCs w:val="24"/>
        </w:rPr>
        <w:t>269 responses</w:t>
      </w:r>
      <w:r w:rsidR="004E702B" w:rsidRPr="00A11AB7">
        <w:rPr>
          <w:rFonts w:ascii="Arial" w:hAnsi="Arial" w:cs="Arial"/>
          <w:sz w:val="24"/>
          <w:szCs w:val="24"/>
        </w:rPr>
        <w:t>)</w:t>
      </w:r>
      <w:r w:rsidR="00F76DA5" w:rsidRPr="00A11AB7">
        <w:rPr>
          <w:rFonts w:ascii="Arial" w:hAnsi="Arial" w:cs="Arial"/>
          <w:sz w:val="24"/>
          <w:szCs w:val="24"/>
        </w:rPr>
        <w:t xml:space="preserve"> followed by the Common </w:t>
      </w:r>
      <w:r w:rsidR="002144B1" w:rsidRPr="00A11AB7">
        <w:rPr>
          <w:rFonts w:ascii="Arial" w:hAnsi="Arial" w:cs="Arial"/>
          <w:sz w:val="24"/>
          <w:szCs w:val="24"/>
        </w:rPr>
        <w:t>Al</w:t>
      </w:r>
      <w:r w:rsidR="00F76DA5" w:rsidRPr="00A11AB7">
        <w:rPr>
          <w:rFonts w:ascii="Arial" w:hAnsi="Arial" w:cs="Arial"/>
          <w:sz w:val="24"/>
          <w:szCs w:val="24"/>
        </w:rPr>
        <w:t xml:space="preserve">iments </w:t>
      </w:r>
      <w:r w:rsidR="002144B1" w:rsidRPr="00A11AB7">
        <w:rPr>
          <w:rFonts w:ascii="Arial" w:hAnsi="Arial" w:cs="Arial"/>
          <w:sz w:val="24"/>
          <w:szCs w:val="24"/>
        </w:rPr>
        <w:t>S</w:t>
      </w:r>
      <w:r w:rsidR="00F76DA5" w:rsidRPr="00A11AB7">
        <w:rPr>
          <w:rFonts w:ascii="Arial" w:hAnsi="Arial" w:cs="Arial"/>
          <w:sz w:val="24"/>
          <w:szCs w:val="24"/>
        </w:rPr>
        <w:t>cheme (</w:t>
      </w:r>
      <w:r w:rsidR="001306EB" w:rsidRPr="00A11AB7">
        <w:rPr>
          <w:rFonts w:ascii="Arial" w:hAnsi="Arial" w:cs="Arial"/>
          <w:sz w:val="24"/>
          <w:szCs w:val="24"/>
        </w:rPr>
        <w:t>221 responses</w:t>
      </w:r>
      <w:r w:rsidR="00F76DA5" w:rsidRPr="00A11AB7">
        <w:rPr>
          <w:rFonts w:ascii="Arial" w:hAnsi="Arial" w:cs="Arial"/>
          <w:sz w:val="24"/>
          <w:szCs w:val="24"/>
        </w:rPr>
        <w:t xml:space="preserve">) are the services most </w:t>
      </w:r>
      <w:r w:rsidR="00D83086" w:rsidRPr="00A11AB7">
        <w:rPr>
          <w:rFonts w:ascii="Arial" w:hAnsi="Arial" w:cs="Arial"/>
          <w:sz w:val="24"/>
          <w:szCs w:val="24"/>
        </w:rPr>
        <w:t>respondent</w:t>
      </w:r>
      <w:r w:rsidR="00F76DA5" w:rsidRPr="00A11AB7">
        <w:rPr>
          <w:rFonts w:ascii="Arial" w:hAnsi="Arial" w:cs="Arial"/>
          <w:sz w:val="24"/>
          <w:szCs w:val="24"/>
        </w:rPr>
        <w:t xml:space="preserve">s are aware of as being offered by pharmacies </w:t>
      </w:r>
      <w:r w:rsidR="0090257D" w:rsidRPr="00A11AB7">
        <w:rPr>
          <w:rFonts w:ascii="Arial" w:hAnsi="Arial" w:cs="Arial"/>
          <w:sz w:val="24"/>
          <w:szCs w:val="24"/>
        </w:rPr>
        <w:t xml:space="preserve">as part of </w:t>
      </w:r>
      <w:r w:rsidR="00F76DA5" w:rsidRPr="00A11AB7">
        <w:rPr>
          <w:rFonts w:ascii="Arial" w:hAnsi="Arial" w:cs="Arial"/>
          <w:sz w:val="24"/>
          <w:szCs w:val="24"/>
        </w:rPr>
        <w:t>the NHS.</w:t>
      </w:r>
      <w:r w:rsidR="009564FA" w:rsidRPr="00A11AB7">
        <w:rPr>
          <w:rFonts w:ascii="Arial" w:hAnsi="Arial" w:cs="Arial"/>
          <w:sz w:val="24"/>
          <w:szCs w:val="24"/>
        </w:rPr>
        <w:t xml:space="preserve"> </w:t>
      </w:r>
      <w:r w:rsidR="0022277F" w:rsidRPr="00A11AB7">
        <w:rPr>
          <w:rFonts w:ascii="Arial" w:hAnsi="Arial" w:cs="Arial"/>
          <w:sz w:val="24"/>
          <w:szCs w:val="24"/>
        </w:rPr>
        <w:t>In general, there was limited awareness of the Appliance Use Review service (36 responses)</w:t>
      </w:r>
      <w:r w:rsidR="00B8022E" w:rsidRPr="00A11AB7">
        <w:rPr>
          <w:rFonts w:ascii="Arial" w:hAnsi="Arial" w:cs="Arial"/>
          <w:sz w:val="24"/>
          <w:szCs w:val="24"/>
        </w:rPr>
        <w:t xml:space="preserve">; however, this </w:t>
      </w:r>
      <w:r w:rsidR="009F3613" w:rsidRPr="00A11AB7">
        <w:rPr>
          <w:rFonts w:ascii="Arial" w:hAnsi="Arial" w:cs="Arial"/>
          <w:sz w:val="24"/>
          <w:szCs w:val="24"/>
        </w:rPr>
        <w:t xml:space="preserve">specialist </w:t>
      </w:r>
      <w:r w:rsidR="00B8022E" w:rsidRPr="00A11AB7">
        <w:rPr>
          <w:rFonts w:ascii="Arial" w:hAnsi="Arial" w:cs="Arial"/>
          <w:sz w:val="24"/>
          <w:szCs w:val="24"/>
        </w:rPr>
        <w:t xml:space="preserve">service </w:t>
      </w:r>
      <w:r w:rsidR="00CC69C9" w:rsidRPr="00A11AB7">
        <w:rPr>
          <w:rFonts w:ascii="Arial" w:hAnsi="Arial" w:cs="Arial"/>
          <w:sz w:val="24"/>
          <w:szCs w:val="24"/>
        </w:rPr>
        <w:t xml:space="preserve">would only be used by </w:t>
      </w:r>
      <w:r w:rsidR="00975524" w:rsidRPr="00A11AB7">
        <w:rPr>
          <w:rFonts w:ascii="Arial" w:hAnsi="Arial" w:cs="Arial"/>
          <w:sz w:val="24"/>
          <w:szCs w:val="24"/>
        </w:rPr>
        <w:t xml:space="preserve">those </w:t>
      </w:r>
      <w:r w:rsidR="00DF241B" w:rsidRPr="00A11AB7">
        <w:rPr>
          <w:rFonts w:ascii="Arial" w:hAnsi="Arial" w:cs="Arial"/>
          <w:sz w:val="24"/>
          <w:szCs w:val="24"/>
        </w:rPr>
        <w:t>in need of appliances such as stomas and colos</w:t>
      </w:r>
      <w:r w:rsidR="008758C5" w:rsidRPr="00A11AB7">
        <w:rPr>
          <w:rFonts w:ascii="Arial" w:hAnsi="Arial" w:cs="Arial"/>
          <w:sz w:val="24"/>
          <w:szCs w:val="24"/>
        </w:rPr>
        <w:t xml:space="preserve">tomies rather than the </w:t>
      </w:r>
      <w:r w:rsidR="009F3613" w:rsidRPr="00A11AB7">
        <w:rPr>
          <w:rFonts w:ascii="Arial" w:hAnsi="Arial" w:cs="Arial"/>
          <w:sz w:val="24"/>
          <w:szCs w:val="24"/>
        </w:rPr>
        <w:t xml:space="preserve">wider patient group. </w:t>
      </w:r>
      <w:r w:rsidR="0022277F" w:rsidRPr="00A11AB7">
        <w:rPr>
          <w:rFonts w:ascii="Arial" w:hAnsi="Arial" w:cs="Arial"/>
          <w:sz w:val="24"/>
          <w:szCs w:val="24"/>
        </w:rPr>
        <w:t>14 people were not aware of any of the services offered from pharmacies as part of the NHS</w:t>
      </w:r>
      <w:r w:rsidR="0022277F" w:rsidRPr="00BC2C95">
        <w:rPr>
          <w:rFonts w:ascii="Arial" w:hAnsi="Arial" w:cs="Arial"/>
          <w:sz w:val="24"/>
          <w:szCs w:val="24"/>
        </w:rPr>
        <w:t>.</w:t>
      </w:r>
    </w:p>
    <w:p w14:paraId="6057818B" w14:textId="77777777" w:rsidR="00151A0A" w:rsidRDefault="00151A0A" w:rsidP="00DC54F7">
      <w:pPr>
        <w:spacing w:after="0" w:line="240" w:lineRule="auto"/>
        <w:jc w:val="both"/>
        <w:rPr>
          <w:rFonts w:ascii="Arial" w:eastAsia="Times New Roman" w:hAnsi="Arial" w:cs="Arial"/>
          <w:b/>
          <w:bCs/>
          <w:color w:val="333333"/>
          <w:sz w:val="21"/>
          <w:szCs w:val="21"/>
          <w:lang w:eastAsia="en-GB"/>
        </w:rPr>
      </w:pPr>
    </w:p>
    <w:p w14:paraId="4D8B8CD1" w14:textId="6EE84978" w:rsidR="00F12404" w:rsidRPr="00BC2C95" w:rsidRDefault="00C46228" w:rsidP="00DC54F7">
      <w:pPr>
        <w:spacing w:after="0" w:line="240" w:lineRule="auto"/>
        <w:jc w:val="both"/>
        <w:rPr>
          <w:rFonts w:ascii="Arial" w:eastAsia="Times New Roman" w:hAnsi="Arial" w:cs="Arial"/>
          <w:b/>
          <w:bCs/>
          <w:color w:val="333333"/>
          <w:sz w:val="24"/>
          <w:szCs w:val="24"/>
          <w:lang w:eastAsia="en-GB"/>
        </w:rPr>
      </w:pPr>
      <w:r w:rsidRPr="00A11AB7">
        <w:rPr>
          <w:rFonts w:ascii="Arial" w:eastAsia="Times New Roman" w:hAnsi="Arial" w:cs="Arial"/>
          <w:b/>
          <w:bCs/>
          <w:color w:val="333333"/>
          <w:sz w:val="24"/>
          <w:szCs w:val="24"/>
          <w:lang w:eastAsia="en-GB"/>
        </w:rPr>
        <w:t>Figure</w:t>
      </w:r>
      <w:r w:rsidR="00126CA0" w:rsidRPr="00A11AB7">
        <w:rPr>
          <w:rFonts w:ascii="Arial" w:eastAsia="Times New Roman" w:hAnsi="Arial" w:cs="Arial"/>
          <w:b/>
          <w:bCs/>
          <w:color w:val="333333"/>
          <w:sz w:val="24"/>
          <w:szCs w:val="24"/>
          <w:lang w:eastAsia="en-GB"/>
        </w:rPr>
        <w:t xml:space="preserve"> 1.</w:t>
      </w:r>
      <w:r w:rsidR="00200751" w:rsidRPr="00A11AB7">
        <w:rPr>
          <w:rFonts w:ascii="Arial" w:eastAsia="Times New Roman" w:hAnsi="Arial" w:cs="Arial"/>
          <w:b/>
          <w:bCs/>
          <w:color w:val="333333"/>
          <w:sz w:val="24"/>
          <w:szCs w:val="24"/>
          <w:lang w:eastAsia="en-GB"/>
        </w:rPr>
        <w:t>11</w:t>
      </w:r>
      <w:r w:rsidRPr="00A11AB7">
        <w:rPr>
          <w:rFonts w:ascii="Arial" w:eastAsia="Times New Roman" w:hAnsi="Arial" w:cs="Arial"/>
          <w:b/>
          <w:bCs/>
          <w:color w:val="333333"/>
          <w:sz w:val="24"/>
          <w:szCs w:val="24"/>
          <w:lang w:eastAsia="en-GB"/>
        </w:rPr>
        <w:t>: Awareness of availability of services from pharmacies as part of the NHS</w:t>
      </w:r>
      <w:r w:rsidRPr="00BC2C95">
        <w:rPr>
          <w:rFonts w:ascii="Arial" w:eastAsia="Times New Roman" w:hAnsi="Arial" w:cs="Arial"/>
          <w:b/>
          <w:bCs/>
          <w:color w:val="333333"/>
          <w:sz w:val="24"/>
          <w:szCs w:val="24"/>
          <w:lang w:eastAsia="en-GB"/>
        </w:rPr>
        <w:t xml:space="preserve"> </w:t>
      </w:r>
    </w:p>
    <w:p w14:paraId="729C9930" w14:textId="19BE33C7" w:rsidR="00702245" w:rsidRDefault="000009B5" w:rsidP="00DC54F7">
      <w:pPr>
        <w:spacing w:after="0" w:line="240" w:lineRule="auto"/>
        <w:jc w:val="both"/>
        <w:rPr>
          <w:rFonts w:ascii="Arial" w:hAnsi="Arial" w:cs="Arial"/>
          <w:b/>
          <w:sz w:val="24"/>
          <w:szCs w:val="24"/>
        </w:rPr>
      </w:pPr>
      <w:r>
        <w:rPr>
          <w:noProof/>
          <w:lang w:eastAsia="en-GB"/>
        </w:rPr>
        <w:drawing>
          <wp:inline distT="0" distB="0" distL="0" distR="0" wp14:anchorId="30D50B1F" wp14:editId="1E3E1B99">
            <wp:extent cx="5731510" cy="3455581"/>
            <wp:effectExtent l="0" t="0" r="2540" b="12065"/>
            <wp:docPr id="219" name="Chart 21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16CE794-3F47-4436-B971-F8C8A35D45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D683586" w14:textId="77777777" w:rsidR="00043EC9" w:rsidRDefault="00043EC9" w:rsidP="00DC54F7">
      <w:pPr>
        <w:spacing w:after="0" w:line="240" w:lineRule="auto"/>
        <w:jc w:val="both"/>
        <w:rPr>
          <w:rFonts w:ascii="Arial" w:hAnsi="Arial" w:cs="Arial"/>
        </w:rPr>
      </w:pPr>
    </w:p>
    <w:p w14:paraId="6B7B06D9" w14:textId="596E68BC" w:rsidR="00BE7A61" w:rsidRPr="00BC2C95" w:rsidRDefault="00D217F0" w:rsidP="00DC54F7">
      <w:pPr>
        <w:spacing w:after="0" w:line="240" w:lineRule="auto"/>
        <w:jc w:val="both"/>
        <w:rPr>
          <w:rFonts w:ascii="Arial" w:hAnsi="Arial" w:cs="Arial"/>
          <w:sz w:val="24"/>
          <w:szCs w:val="24"/>
        </w:rPr>
      </w:pPr>
      <w:r w:rsidRPr="00BC2C95">
        <w:rPr>
          <w:rFonts w:ascii="Arial" w:hAnsi="Arial" w:cs="Arial"/>
          <w:sz w:val="24"/>
          <w:szCs w:val="24"/>
        </w:rPr>
        <w:t xml:space="preserve">When asked </w:t>
      </w:r>
      <w:r w:rsidR="00DE064A" w:rsidRPr="00BC2C95">
        <w:rPr>
          <w:rFonts w:ascii="Arial" w:hAnsi="Arial" w:cs="Arial"/>
          <w:sz w:val="24"/>
          <w:szCs w:val="24"/>
        </w:rPr>
        <w:t>whether they had used any of the services</w:t>
      </w:r>
      <w:r w:rsidR="00E00403" w:rsidRPr="00BC2C95">
        <w:rPr>
          <w:rFonts w:ascii="Arial" w:hAnsi="Arial" w:cs="Arial"/>
          <w:sz w:val="24"/>
          <w:szCs w:val="24"/>
        </w:rPr>
        <w:t xml:space="preserve">, 281 people responded </w:t>
      </w:r>
      <w:r w:rsidR="00F961E0" w:rsidRPr="00BC2C95">
        <w:rPr>
          <w:rFonts w:ascii="Arial" w:hAnsi="Arial" w:cs="Arial"/>
          <w:sz w:val="24"/>
          <w:szCs w:val="24"/>
        </w:rPr>
        <w:t xml:space="preserve">to the question </w:t>
      </w:r>
      <w:r w:rsidR="00E00403" w:rsidRPr="00BC2C95">
        <w:rPr>
          <w:rFonts w:ascii="Arial" w:hAnsi="Arial" w:cs="Arial"/>
          <w:sz w:val="24"/>
          <w:szCs w:val="24"/>
        </w:rPr>
        <w:t xml:space="preserve">and a total of </w:t>
      </w:r>
      <w:r w:rsidR="00B65C69" w:rsidRPr="00BC2C95">
        <w:rPr>
          <w:rFonts w:ascii="Arial" w:hAnsi="Arial" w:cs="Arial"/>
          <w:sz w:val="24"/>
          <w:szCs w:val="24"/>
        </w:rPr>
        <w:t>377 responses were received</w:t>
      </w:r>
      <w:r w:rsidR="00E941C2" w:rsidRPr="00BC2C95">
        <w:rPr>
          <w:rFonts w:ascii="Arial" w:hAnsi="Arial" w:cs="Arial"/>
          <w:sz w:val="24"/>
          <w:szCs w:val="24"/>
        </w:rPr>
        <w:t xml:space="preserve">. </w:t>
      </w:r>
      <w:r w:rsidR="00AC7987" w:rsidRPr="00BC2C95">
        <w:rPr>
          <w:rFonts w:ascii="Arial" w:hAnsi="Arial" w:cs="Arial"/>
          <w:sz w:val="24"/>
          <w:szCs w:val="24"/>
        </w:rPr>
        <w:t>M</w:t>
      </w:r>
      <w:r w:rsidR="008F6B1E" w:rsidRPr="00BC2C95">
        <w:rPr>
          <w:rFonts w:ascii="Arial" w:hAnsi="Arial" w:cs="Arial"/>
          <w:sz w:val="24"/>
          <w:szCs w:val="24"/>
        </w:rPr>
        <w:t>ultiple answers could be given to this question</w:t>
      </w:r>
      <w:r w:rsidR="00E941C2" w:rsidRPr="00BC2C95">
        <w:rPr>
          <w:rFonts w:ascii="Arial" w:hAnsi="Arial" w:cs="Arial"/>
          <w:sz w:val="24"/>
          <w:szCs w:val="24"/>
        </w:rPr>
        <w:t xml:space="preserve"> and </w:t>
      </w:r>
      <w:r w:rsidR="005D0E8C" w:rsidRPr="00BC2C95">
        <w:rPr>
          <w:rFonts w:ascii="Arial" w:hAnsi="Arial" w:cs="Arial"/>
          <w:sz w:val="24"/>
          <w:szCs w:val="24"/>
        </w:rPr>
        <w:t xml:space="preserve">the number of responses </w:t>
      </w:r>
      <w:r w:rsidR="00A26EB8" w:rsidRPr="00BC2C95">
        <w:rPr>
          <w:rFonts w:ascii="Arial" w:hAnsi="Arial" w:cs="Arial"/>
          <w:sz w:val="24"/>
          <w:szCs w:val="24"/>
        </w:rPr>
        <w:t xml:space="preserve">received </w:t>
      </w:r>
      <w:r w:rsidR="00E941C2" w:rsidRPr="00BC2C95">
        <w:rPr>
          <w:rFonts w:ascii="Arial" w:hAnsi="Arial" w:cs="Arial"/>
          <w:sz w:val="24"/>
          <w:szCs w:val="24"/>
        </w:rPr>
        <w:t>indicates that some people had</w:t>
      </w:r>
      <w:r w:rsidR="00AC7987" w:rsidRPr="00BC2C95">
        <w:rPr>
          <w:rFonts w:ascii="Arial" w:hAnsi="Arial" w:cs="Arial"/>
          <w:sz w:val="24"/>
          <w:szCs w:val="24"/>
        </w:rPr>
        <w:t xml:space="preserve"> </w:t>
      </w:r>
      <w:r w:rsidR="00E941C2" w:rsidRPr="00BC2C95">
        <w:rPr>
          <w:rFonts w:ascii="Arial" w:hAnsi="Arial" w:cs="Arial"/>
          <w:sz w:val="24"/>
          <w:szCs w:val="24"/>
        </w:rPr>
        <w:t>used more than one service.</w:t>
      </w:r>
      <w:r w:rsidR="005D0E8C" w:rsidRPr="00BC2C95">
        <w:rPr>
          <w:rFonts w:ascii="Arial" w:hAnsi="Arial" w:cs="Arial"/>
          <w:sz w:val="24"/>
          <w:szCs w:val="24"/>
        </w:rPr>
        <w:t xml:space="preserve"> </w:t>
      </w:r>
      <w:r w:rsidRPr="00A11AB7">
        <w:rPr>
          <w:rFonts w:ascii="Arial" w:hAnsi="Arial" w:cs="Arial"/>
          <w:sz w:val="24"/>
          <w:szCs w:val="24"/>
        </w:rPr>
        <w:t xml:space="preserve">The most popular service that </w:t>
      </w:r>
      <w:r w:rsidR="00D83086" w:rsidRPr="00A11AB7">
        <w:rPr>
          <w:rFonts w:ascii="Arial" w:hAnsi="Arial" w:cs="Arial"/>
          <w:sz w:val="24"/>
          <w:szCs w:val="24"/>
        </w:rPr>
        <w:t>respondent</w:t>
      </w:r>
      <w:r w:rsidRPr="00A11AB7">
        <w:rPr>
          <w:rFonts w:ascii="Arial" w:hAnsi="Arial" w:cs="Arial"/>
          <w:sz w:val="24"/>
          <w:szCs w:val="24"/>
        </w:rPr>
        <w:t xml:space="preserve">s said they had used was the </w:t>
      </w:r>
      <w:r w:rsidR="0075794E" w:rsidRPr="00A11AB7">
        <w:rPr>
          <w:rFonts w:ascii="Arial" w:hAnsi="Arial" w:cs="Arial"/>
          <w:sz w:val="24"/>
          <w:szCs w:val="24"/>
        </w:rPr>
        <w:t>C</w:t>
      </w:r>
      <w:r w:rsidRPr="00A11AB7">
        <w:rPr>
          <w:rFonts w:ascii="Arial" w:hAnsi="Arial" w:cs="Arial"/>
          <w:sz w:val="24"/>
          <w:szCs w:val="24"/>
        </w:rPr>
        <w:t xml:space="preserve">ommon </w:t>
      </w:r>
      <w:r w:rsidR="0075794E" w:rsidRPr="00A11AB7">
        <w:rPr>
          <w:rFonts w:ascii="Arial" w:hAnsi="Arial" w:cs="Arial"/>
          <w:sz w:val="24"/>
          <w:szCs w:val="24"/>
        </w:rPr>
        <w:t>A</w:t>
      </w:r>
      <w:r w:rsidRPr="00A11AB7">
        <w:rPr>
          <w:rFonts w:ascii="Arial" w:hAnsi="Arial" w:cs="Arial"/>
          <w:sz w:val="24"/>
          <w:szCs w:val="24"/>
        </w:rPr>
        <w:t xml:space="preserve">ilments </w:t>
      </w:r>
      <w:r w:rsidR="0075794E" w:rsidRPr="00A11AB7">
        <w:rPr>
          <w:rFonts w:ascii="Arial" w:hAnsi="Arial" w:cs="Arial"/>
          <w:sz w:val="24"/>
          <w:szCs w:val="24"/>
        </w:rPr>
        <w:t>S</w:t>
      </w:r>
      <w:r w:rsidRPr="00A11AB7">
        <w:rPr>
          <w:rFonts w:ascii="Arial" w:hAnsi="Arial" w:cs="Arial"/>
          <w:sz w:val="24"/>
          <w:szCs w:val="24"/>
        </w:rPr>
        <w:t>cheme (</w:t>
      </w:r>
      <w:r w:rsidR="00B77E34" w:rsidRPr="00A11AB7">
        <w:rPr>
          <w:rFonts w:ascii="Arial" w:hAnsi="Arial" w:cs="Arial"/>
          <w:sz w:val="24"/>
          <w:szCs w:val="24"/>
        </w:rPr>
        <w:t>88</w:t>
      </w:r>
      <w:r w:rsidRPr="00A11AB7">
        <w:rPr>
          <w:rFonts w:ascii="Arial" w:hAnsi="Arial" w:cs="Arial"/>
          <w:sz w:val="24"/>
          <w:szCs w:val="24"/>
        </w:rPr>
        <w:t xml:space="preserve"> </w:t>
      </w:r>
      <w:r w:rsidR="00887DB6" w:rsidRPr="00A11AB7">
        <w:rPr>
          <w:rFonts w:ascii="Arial" w:hAnsi="Arial" w:cs="Arial"/>
          <w:sz w:val="24"/>
          <w:szCs w:val="24"/>
        </w:rPr>
        <w:t>responses</w:t>
      </w:r>
      <w:r w:rsidRPr="00A11AB7">
        <w:rPr>
          <w:rFonts w:ascii="Arial" w:hAnsi="Arial" w:cs="Arial"/>
          <w:sz w:val="24"/>
          <w:szCs w:val="24"/>
        </w:rPr>
        <w:t xml:space="preserve">) followed by </w:t>
      </w:r>
      <w:r w:rsidR="00E21285" w:rsidRPr="00A11AB7">
        <w:rPr>
          <w:rFonts w:ascii="Arial" w:hAnsi="Arial" w:cs="Arial"/>
          <w:sz w:val="24"/>
          <w:szCs w:val="24"/>
        </w:rPr>
        <w:t>M</w:t>
      </w:r>
      <w:r w:rsidRPr="00A11AB7">
        <w:rPr>
          <w:rFonts w:ascii="Arial" w:hAnsi="Arial" w:cs="Arial"/>
          <w:sz w:val="24"/>
          <w:szCs w:val="24"/>
        </w:rPr>
        <w:t xml:space="preserve">edicines </w:t>
      </w:r>
      <w:r w:rsidR="00E21285" w:rsidRPr="00A11AB7">
        <w:rPr>
          <w:rFonts w:ascii="Arial" w:hAnsi="Arial" w:cs="Arial"/>
          <w:sz w:val="24"/>
          <w:szCs w:val="24"/>
        </w:rPr>
        <w:t>U</w:t>
      </w:r>
      <w:r w:rsidRPr="00A11AB7">
        <w:rPr>
          <w:rFonts w:ascii="Arial" w:hAnsi="Arial" w:cs="Arial"/>
          <w:sz w:val="24"/>
          <w:szCs w:val="24"/>
        </w:rPr>
        <w:t xml:space="preserve">se </w:t>
      </w:r>
      <w:r w:rsidR="00E21285" w:rsidRPr="00A11AB7">
        <w:rPr>
          <w:rFonts w:ascii="Arial" w:hAnsi="Arial" w:cs="Arial"/>
          <w:sz w:val="24"/>
          <w:szCs w:val="24"/>
        </w:rPr>
        <w:t>R</w:t>
      </w:r>
      <w:r w:rsidRPr="00A11AB7">
        <w:rPr>
          <w:rFonts w:ascii="Arial" w:hAnsi="Arial" w:cs="Arial"/>
          <w:sz w:val="24"/>
          <w:szCs w:val="24"/>
        </w:rPr>
        <w:t>eview service (</w:t>
      </w:r>
      <w:r w:rsidR="005D2441" w:rsidRPr="00A11AB7">
        <w:rPr>
          <w:rFonts w:ascii="Arial" w:hAnsi="Arial" w:cs="Arial"/>
          <w:sz w:val="24"/>
          <w:szCs w:val="24"/>
        </w:rPr>
        <w:t>60</w:t>
      </w:r>
      <w:r w:rsidRPr="00A11AB7">
        <w:rPr>
          <w:rFonts w:ascii="Arial" w:hAnsi="Arial" w:cs="Arial"/>
          <w:sz w:val="24"/>
          <w:szCs w:val="24"/>
        </w:rPr>
        <w:t xml:space="preserve"> </w:t>
      </w:r>
      <w:r w:rsidR="005D2441" w:rsidRPr="00A11AB7">
        <w:rPr>
          <w:rFonts w:ascii="Arial" w:hAnsi="Arial" w:cs="Arial"/>
          <w:sz w:val="24"/>
          <w:szCs w:val="24"/>
        </w:rPr>
        <w:t>responses</w:t>
      </w:r>
      <w:r w:rsidRPr="00A11AB7">
        <w:rPr>
          <w:rFonts w:ascii="Arial" w:hAnsi="Arial" w:cs="Arial"/>
          <w:sz w:val="24"/>
          <w:szCs w:val="24"/>
        </w:rPr>
        <w:t>)</w:t>
      </w:r>
      <w:r w:rsidR="00C4665C" w:rsidRPr="00A11AB7">
        <w:rPr>
          <w:rFonts w:ascii="Arial" w:hAnsi="Arial" w:cs="Arial"/>
          <w:sz w:val="24"/>
          <w:szCs w:val="24"/>
        </w:rPr>
        <w:t xml:space="preserve"> and then flu vaccinatio</w:t>
      </w:r>
      <w:r w:rsidR="00FD4350" w:rsidRPr="00A11AB7">
        <w:rPr>
          <w:rFonts w:ascii="Arial" w:hAnsi="Arial" w:cs="Arial"/>
          <w:sz w:val="24"/>
          <w:szCs w:val="24"/>
        </w:rPr>
        <w:t>n service</w:t>
      </w:r>
      <w:r w:rsidR="00C4665C" w:rsidRPr="00A11AB7">
        <w:rPr>
          <w:rFonts w:ascii="Arial" w:hAnsi="Arial" w:cs="Arial"/>
          <w:sz w:val="24"/>
          <w:szCs w:val="24"/>
        </w:rPr>
        <w:t xml:space="preserve"> </w:t>
      </w:r>
      <w:r w:rsidR="0046552A" w:rsidRPr="00A11AB7">
        <w:rPr>
          <w:rFonts w:ascii="Arial" w:hAnsi="Arial" w:cs="Arial"/>
          <w:sz w:val="24"/>
          <w:szCs w:val="24"/>
        </w:rPr>
        <w:t>(</w:t>
      </w:r>
      <w:r w:rsidR="00C1451B" w:rsidRPr="00A11AB7">
        <w:rPr>
          <w:rFonts w:ascii="Arial" w:hAnsi="Arial" w:cs="Arial"/>
          <w:sz w:val="24"/>
          <w:szCs w:val="24"/>
        </w:rPr>
        <w:t>57 responses)</w:t>
      </w:r>
      <w:r w:rsidRPr="00A11AB7">
        <w:rPr>
          <w:rFonts w:ascii="Arial" w:hAnsi="Arial" w:cs="Arial"/>
          <w:sz w:val="24"/>
          <w:szCs w:val="24"/>
        </w:rPr>
        <w:t xml:space="preserve">. </w:t>
      </w:r>
      <w:r w:rsidR="00BE7A61" w:rsidRPr="00A11AB7">
        <w:rPr>
          <w:rFonts w:ascii="Arial" w:hAnsi="Arial" w:cs="Arial"/>
          <w:sz w:val="24"/>
          <w:szCs w:val="24"/>
        </w:rPr>
        <w:t>However, the majority of respondents, 1</w:t>
      </w:r>
      <w:r w:rsidR="00936D41" w:rsidRPr="00A11AB7">
        <w:rPr>
          <w:rFonts w:ascii="Arial" w:hAnsi="Arial" w:cs="Arial"/>
          <w:sz w:val="24"/>
          <w:szCs w:val="24"/>
        </w:rPr>
        <w:t>10</w:t>
      </w:r>
      <w:r w:rsidR="00BE7A61" w:rsidRPr="00A11AB7">
        <w:rPr>
          <w:rFonts w:ascii="Arial" w:hAnsi="Arial" w:cs="Arial"/>
          <w:sz w:val="24"/>
          <w:szCs w:val="24"/>
        </w:rPr>
        <w:t xml:space="preserve"> people said they had never used any of these services.</w:t>
      </w:r>
    </w:p>
    <w:p w14:paraId="5FA8D833" w14:textId="77777777" w:rsidR="00BE7A61" w:rsidRPr="00702245" w:rsidRDefault="00BE7A61" w:rsidP="00DC54F7">
      <w:pPr>
        <w:spacing w:after="0" w:line="240" w:lineRule="auto"/>
        <w:jc w:val="both"/>
        <w:rPr>
          <w:rFonts w:ascii="Arial" w:hAnsi="Arial" w:cs="Arial"/>
          <w:b/>
          <w:sz w:val="24"/>
          <w:szCs w:val="24"/>
        </w:rPr>
      </w:pPr>
    </w:p>
    <w:p w14:paraId="44C20A31" w14:textId="77777777" w:rsidR="00936D41" w:rsidRDefault="00936D41" w:rsidP="00DC54F7">
      <w:pPr>
        <w:spacing w:after="0" w:line="240" w:lineRule="auto"/>
        <w:jc w:val="both"/>
        <w:rPr>
          <w:rFonts w:ascii="Arial" w:hAnsi="Arial" w:cs="Arial"/>
          <w:b/>
          <w:sz w:val="24"/>
          <w:szCs w:val="24"/>
          <w:highlight w:val="yellow"/>
        </w:rPr>
      </w:pPr>
    </w:p>
    <w:p w14:paraId="0AF848F2" w14:textId="418B3191" w:rsidR="00DC54F7" w:rsidRDefault="00DC54F7">
      <w:pPr>
        <w:rPr>
          <w:rFonts w:ascii="Arial" w:hAnsi="Arial" w:cs="Arial"/>
          <w:b/>
          <w:sz w:val="24"/>
          <w:szCs w:val="24"/>
        </w:rPr>
      </w:pPr>
      <w:r>
        <w:rPr>
          <w:rFonts w:ascii="Arial" w:hAnsi="Arial" w:cs="Arial"/>
          <w:b/>
          <w:sz w:val="24"/>
          <w:szCs w:val="24"/>
        </w:rPr>
        <w:br w:type="page"/>
      </w:r>
    </w:p>
    <w:p w14:paraId="441EBDA6" w14:textId="721310ED" w:rsidR="00C46228" w:rsidRPr="00BC2C95" w:rsidRDefault="00AA1116" w:rsidP="00DC54F7">
      <w:pPr>
        <w:spacing w:after="0" w:line="240" w:lineRule="auto"/>
        <w:jc w:val="both"/>
        <w:rPr>
          <w:rFonts w:ascii="Arial" w:hAnsi="Arial" w:cs="Arial"/>
          <w:b/>
          <w:sz w:val="24"/>
          <w:szCs w:val="24"/>
        </w:rPr>
      </w:pPr>
      <w:r w:rsidRPr="00A11AB7">
        <w:rPr>
          <w:rFonts w:ascii="Arial" w:hAnsi="Arial" w:cs="Arial"/>
          <w:b/>
          <w:sz w:val="24"/>
          <w:szCs w:val="24"/>
        </w:rPr>
        <w:lastRenderedPageBreak/>
        <w:t>Figure</w:t>
      </w:r>
      <w:r w:rsidR="00126CA0" w:rsidRPr="00A11AB7">
        <w:rPr>
          <w:rFonts w:ascii="Arial" w:hAnsi="Arial" w:cs="Arial"/>
          <w:b/>
          <w:sz w:val="24"/>
          <w:szCs w:val="24"/>
        </w:rPr>
        <w:t xml:space="preserve"> 1.</w:t>
      </w:r>
      <w:r w:rsidR="00200751" w:rsidRPr="00A11AB7">
        <w:rPr>
          <w:rFonts w:ascii="Arial" w:hAnsi="Arial" w:cs="Arial"/>
          <w:b/>
          <w:sz w:val="24"/>
          <w:szCs w:val="24"/>
        </w:rPr>
        <w:t>12</w:t>
      </w:r>
      <w:r w:rsidR="00E01612" w:rsidRPr="00A11AB7">
        <w:rPr>
          <w:rFonts w:ascii="Arial" w:hAnsi="Arial" w:cs="Arial"/>
          <w:b/>
          <w:sz w:val="24"/>
          <w:szCs w:val="24"/>
        </w:rPr>
        <w:t xml:space="preserve">: </w:t>
      </w:r>
      <w:r w:rsidRPr="00A11AB7">
        <w:rPr>
          <w:rFonts w:ascii="Arial" w:hAnsi="Arial" w:cs="Arial"/>
          <w:b/>
          <w:sz w:val="24"/>
          <w:szCs w:val="24"/>
        </w:rPr>
        <w:t>Have you used any of the services listed in question</w:t>
      </w:r>
    </w:p>
    <w:p w14:paraId="4230D290" w14:textId="1F62207B" w:rsidR="00C46228" w:rsidRDefault="000009B5" w:rsidP="00DC54F7">
      <w:pPr>
        <w:spacing w:after="0" w:line="240" w:lineRule="auto"/>
        <w:jc w:val="both"/>
        <w:rPr>
          <w:rFonts w:ascii="Arial" w:hAnsi="Arial" w:cs="Arial"/>
          <w:b/>
          <w:sz w:val="24"/>
          <w:szCs w:val="24"/>
        </w:rPr>
      </w:pPr>
      <w:r>
        <w:rPr>
          <w:noProof/>
          <w:lang w:eastAsia="en-GB"/>
        </w:rPr>
        <w:drawing>
          <wp:inline distT="0" distB="0" distL="0" distR="0" wp14:anchorId="1284C276" wp14:editId="640E639F">
            <wp:extent cx="5730240" cy="3625702"/>
            <wp:effectExtent l="0" t="0" r="3810" b="13335"/>
            <wp:docPr id="220" name="Chart 22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0E76732-A869-4BA8-B98F-E75199A15E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28CD5C2" w14:textId="7F4C8A4E" w:rsidR="00C46228" w:rsidRDefault="00C46228" w:rsidP="00DC54F7">
      <w:pPr>
        <w:spacing w:after="0" w:line="240" w:lineRule="auto"/>
        <w:jc w:val="both"/>
        <w:rPr>
          <w:rFonts w:ascii="Arial" w:hAnsi="Arial" w:cs="Arial"/>
          <w:b/>
          <w:sz w:val="24"/>
          <w:szCs w:val="24"/>
        </w:rPr>
      </w:pPr>
    </w:p>
    <w:p w14:paraId="5B164BD1" w14:textId="2AC64B1B" w:rsidR="008A6773" w:rsidRPr="00BC2C95" w:rsidRDefault="008A6773" w:rsidP="00DC54F7">
      <w:pPr>
        <w:spacing w:after="0" w:line="240" w:lineRule="auto"/>
        <w:jc w:val="both"/>
        <w:rPr>
          <w:rFonts w:ascii="Arial" w:hAnsi="Arial" w:cs="Arial"/>
          <w:bCs/>
          <w:sz w:val="24"/>
          <w:szCs w:val="24"/>
        </w:rPr>
      </w:pPr>
      <w:r w:rsidRPr="00BC2C95">
        <w:rPr>
          <w:rFonts w:ascii="Arial" w:hAnsi="Arial" w:cs="Arial"/>
          <w:bCs/>
          <w:sz w:val="24"/>
          <w:szCs w:val="24"/>
        </w:rPr>
        <w:t xml:space="preserve">When asked if there </w:t>
      </w:r>
      <w:r w:rsidR="00FB44F5" w:rsidRPr="00BC2C95">
        <w:rPr>
          <w:rFonts w:ascii="Arial" w:hAnsi="Arial" w:cs="Arial"/>
          <w:bCs/>
          <w:sz w:val="24"/>
          <w:szCs w:val="24"/>
        </w:rPr>
        <w:t>was</w:t>
      </w:r>
      <w:r w:rsidRPr="00BC2C95">
        <w:rPr>
          <w:rFonts w:ascii="Arial" w:hAnsi="Arial" w:cs="Arial"/>
          <w:bCs/>
          <w:sz w:val="24"/>
          <w:szCs w:val="24"/>
        </w:rPr>
        <w:t xml:space="preserve"> anything else respondents would like to share about their experience of their local pharmacy, a total of </w:t>
      </w:r>
      <w:r w:rsidR="005768E6" w:rsidRPr="00BC2C95">
        <w:rPr>
          <w:rFonts w:ascii="Arial" w:hAnsi="Arial" w:cs="Arial"/>
          <w:bCs/>
          <w:sz w:val="24"/>
          <w:szCs w:val="24"/>
        </w:rPr>
        <w:t>131</w:t>
      </w:r>
      <w:r w:rsidRPr="00BC2C95">
        <w:rPr>
          <w:rFonts w:ascii="Arial" w:hAnsi="Arial" w:cs="Arial"/>
          <w:bCs/>
          <w:sz w:val="24"/>
          <w:szCs w:val="24"/>
        </w:rPr>
        <w:t xml:space="preserve"> comments were received. </w:t>
      </w:r>
      <w:r w:rsidR="000C4E27" w:rsidRPr="00BC2C95">
        <w:rPr>
          <w:rFonts w:ascii="Arial" w:hAnsi="Arial" w:cs="Arial"/>
          <w:bCs/>
          <w:sz w:val="24"/>
          <w:szCs w:val="24"/>
        </w:rPr>
        <w:t xml:space="preserve">Nine </w:t>
      </w:r>
      <w:r w:rsidRPr="00BC2C95">
        <w:rPr>
          <w:rFonts w:ascii="Arial" w:hAnsi="Arial" w:cs="Arial"/>
          <w:bCs/>
          <w:sz w:val="24"/>
          <w:szCs w:val="24"/>
        </w:rPr>
        <w:t xml:space="preserve">of these comments said </w:t>
      </w:r>
      <w:r w:rsidR="000C4E27" w:rsidRPr="00BC2C95">
        <w:rPr>
          <w:rFonts w:ascii="Arial" w:hAnsi="Arial" w:cs="Arial"/>
          <w:bCs/>
          <w:sz w:val="24"/>
          <w:szCs w:val="24"/>
        </w:rPr>
        <w:t>no</w:t>
      </w:r>
      <w:r w:rsidR="00847C53" w:rsidRPr="00BC2C95">
        <w:rPr>
          <w:rFonts w:ascii="Arial" w:hAnsi="Arial" w:cs="Arial"/>
          <w:bCs/>
          <w:sz w:val="24"/>
          <w:szCs w:val="24"/>
        </w:rPr>
        <w:t xml:space="preserve"> or not applicable</w:t>
      </w:r>
      <w:r w:rsidRPr="00BC2C95">
        <w:rPr>
          <w:rFonts w:ascii="Arial" w:hAnsi="Arial" w:cs="Arial"/>
          <w:bCs/>
          <w:sz w:val="24"/>
          <w:szCs w:val="24"/>
        </w:rPr>
        <w:t xml:space="preserve">. </w:t>
      </w:r>
      <w:r w:rsidR="000C4E27" w:rsidRPr="00BC2C95">
        <w:rPr>
          <w:rFonts w:ascii="Arial" w:hAnsi="Arial" w:cs="Arial"/>
          <w:bCs/>
          <w:sz w:val="24"/>
          <w:szCs w:val="24"/>
        </w:rPr>
        <w:t>Of the remaining comments, s</w:t>
      </w:r>
      <w:r w:rsidRPr="00BC2C95">
        <w:rPr>
          <w:rFonts w:ascii="Arial" w:hAnsi="Arial" w:cs="Arial"/>
          <w:bCs/>
          <w:sz w:val="24"/>
          <w:szCs w:val="24"/>
        </w:rPr>
        <w:t>everal main themes</w:t>
      </w:r>
      <w:r w:rsidR="002D4B82" w:rsidRPr="00BC2C95">
        <w:rPr>
          <w:rFonts w:ascii="Arial" w:hAnsi="Arial" w:cs="Arial"/>
          <w:bCs/>
          <w:sz w:val="24"/>
          <w:szCs w:val="24"/>
        </w:rPr>
        <w:t xml:space="preserve"> emerged </w:t>
      </w:r>
      <w:r w:rsidRPr="00BC2C95">
        <w:rPr>
          <w:rFonts w:ascii="Arial" w:hAnsi="Arial" w:cs="Arial"/>
          <w:bCs/>
          <w:sz w:val="24"/>
          <w:szCs w:val="24"/>
        </w:rPr>
        <w:t>with some comments containing more than one theme. The</w:t>
      </w:r>
      <w:r w:rsidR="002D4B82" w:rsidRPr="00BC2C95">
        <w:rPr>
          <w:rFonts w:ascii="Arial" w:hAnsi="Arial" w:cs="Arial"/>
          <w:bCs/>
          <w:sz w:val="24"/>
          <w:szCs w:val="24"/>
        </w:rPr>
        <w:t>se were:</w:t>
      </w:r>
    </w:p>
    <w:p w14:paraId="3662DA42" w14:textId="0D83ACF4" w:rsidR="00C513F8" w:rsidRPr="00BC2C95" w:rsidRDefault="00C513F8" w:rsidP="00DC54F7">
      <w:pPr>
        <w:spacing w:after="0" w:line="240" w:lineRule="auto"/>
        <w:jc w:val="both"/>
        <w:rPr>
          <w:rFonts w:ascii="Arial" w:hAnsi="Arial" w:cs="Arial"/>
          <w:b/>
          <w:sz w:val="24"/>
          <w:szCs w:val="24"/>
        </w:rPr>
      </w:pPr>
    </w:p>
    <w:p w14:paraId="35B4D47A" w14:textId="36C1BE9B" w:rsidR="005C5692" w:rsidRPr="00BC2C95" w:rsidRDefault="009C0D79" w:rsidP="00DC54F7">
      <w:p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Ten</w:t>
      </w:r>
      <w:r w:rsidR="005C5692" w:rsidRPr="00BC2C95">
        <w:rPr>
          <w:rFonts w:ascii="Arial" w:eastAsia="Times New Roman" w:hAnsi="Arial" w:cs="Arial"/>
          <w:color w:val="000000"/>
          <w:sz w:val="24"/>
          <w:szCs w:val="24"/>
          <w:lang w:eastAsia="en-GB"/>
        </w:rPr>
        <w:t xml:space="preserve"> comments referred to opening times</w:t>
      </w:r>
      <w:r w:rsidR="00826D32" w:rsidRPr="00BC2C95">
        <w:rPr>
          <w:rFonts w:ascii="Arial" w:eastAsia="Times New Roman" w:hAnsi="Arial" w:cs="Arial"/>
          <w:color w:val="000000"/>
          <w:sz w:val="24"/>
          <w:szCs w:val="24"/>
          <w:lang w:eastAsia="en-GB"/>
        </w:rPr>
        <w:t xml:space="preserve"> </w:t>
      </w:r>
      <w:r w:rsidR="00FB7989" w:rsidRPr="00BC2C95">
        <w:rPr>
          <w:rFonts w:ascii="Arial" w:eastAsia="Times New Roman" w:hAnsi="Arial" w:cs="Arial"/>
          <w:color w:val="000000"/>
          <w:sz w:val="24"/>
          <w:szCs w:val="24"/>
          <w:lang w:eastAsia="en-GB"/>
        </w:rPr>
        <w:t>with four mentioning closing at lunchtime</w:t>
      </w:r>
      <w:r w:rsidR="00826D32" w:rsidRPr="00BC2C95">
        <w:rPr>
          <w:rFonts w:ascii="Arial" w:eastAsia="Times New Roman" w:hAnsi="Arial" w:cs="Arial"/>
          <w:color w:val="000000"/>
          <w:sz w:val="24"/>
          <w:szCs w:val="24"/>
          <w:lang w:eastAsia="en-GB"/>
        </w:rPr>
        <w:t xml:space="preserve">, </w:t>
      </w:r>
      <w:r w:rsidR="00E52F40" w:rsidRPr="00BC2C95">
        <w:rPr>
          <w:rFonts w:ascii="Arial" w:eastAsia="Times New Roman" w:hAnsi="Arial" w:cs="Arial"/>
          <w:color w:val="000000"/>
          <w:sz w:val="24"/>
          <w:szCs w:val="24"/>
          <w:lang w:eastAsia="en-GB"/>
        </w:rPr>
        <w:t>four</w:t>
      </w:r>
      <w:r w:rsidR="0007525A" w:rsidRPr="00BC2C95">
        <w:rPr>
          <w:rFonts w:ascii="Arial" w:eastAsia="Times New Roman" w:hAnsi="Arial" w:cs="Arial"/>
          <w:color w:val="000000"/>
          <w:sz w:val="24"/>
          <w:szCs w:val="24"/>
          <w:lang w:eastAsia="en-GB"/>
        </w:rPr>
        <w:t xml:space="preserve"> requesting opening over the weekend</w:t>
      </w:r>
      <w:r w:rsidR="00940127" w:rsidRPr="00BC2C95">
        <w:rPr>
          <w:rFonts w:ascii="Arial" w:eastAsia="Times New Roman" w:hAnsi="Arial" w:cs="Arial"/>
          <w:color w:val="000000"/>
          <w:sz w:val="24"/>
          <w:szCs w:val="24"/>
          <w:lang w:eastAsia="en-GB"/>
        </w:rPr>
        <w:t xml:space="preserve"> and </w:t>
      </w:r>
      <w:r w:rsidR="000809BD" w:rsidRPr="00BC2C95">
        <w:rPr>
          <w:rFonts w:ascii="Arial" w:eastAsia="Times New Roman" w:hAnsi="Arial" w:cs="Arial"/>
          <w:color w:val="000000"/>
          <w:sz w:val="24"/>
          <w:szCs w:val="24"/>
          <w:lang w:eastAsia="en-GB"/>
        </w:rPr>
        <w:t>two</w:t>
      </w:r>
      <w:r w:rsidR="0066779D" w:rsidRPr="00BC2C95">
        <w:rPr>
          <w:rFonts w:ascii="Arial" w:eastAsia="Times New Roman" w:hAnsi="Arial" w:cs="Arial"/>
          <w:color w:val="000000"/>
          <w:sz w:val="24"/>
          <w:szCs w:val="24"/>
          <w:lang w:eastAsia="en-GB"/>
        </w:rPr>
        <w:t xml:space="preserve"> </w:t>
      </w:r>
      <w:r w:rsidR="00940127" w:rsidRPr="00BC2C95">
        <w:rPr>
          <w:rFonts w:ascii="Arial" w:eastAsia="Times New Roman" w:hAnsi="Arial" w:cs="Arial"/>
          <w:color w:val="000000"/>
          <w:sz w:val="24"/>
          <w:szCs w:val="24"/>
          <w:lang w:eastAsia="en-GB"/>
        </w:rPr>
        <w:t>in the evening as well</w:t>
      </w:r>
      <w:r w:rsidR="0007525A" w:rsidRPr="00BC2C95">
        <w:rPr>
          <w:rFonts w:ascii="Arial" w:eastAsia="Times New Roman" w:hAnsi="Arial" w:cs="Arial"/>
          <w:color w:val="000000"/>
          <w:sz w:val="24"/>
          <w:szCs w:val="24"/>
          <w:lang w:eastAsia="en-GB"/>
        </w:rPr>
        <w:t>:</w:t>
      </w:r>
    </w:p>
    <w:p w14:paraId="30F4C9A7" w14:textId="75DCE11C" w:rsidR="00A04243" w:rsidRPr="00BC2C95" w:rsidRDefault="00A04243" w:rsidP="00DC54F7">
      <w:pPr>
        <w:pStyle w:val="ListParagraph"/>
        <w:numPr>
          <w:ilvl w:val="0"/>
          <w:numId w:val="82"/>
        </w:num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“It would be useful if pharmacy opening hours could reflect the opening hours of Gp surgeries.”</w:t>
      </w:r>
    </w:p>
    <w:p w14:paraId="53DFDCDA" w14:textId="7FBE0071" w:rsidR="00A04243" w:rsidRPr="00BC2C95" w:rsidRDefault="00A04243" w:rsidP="00DC54F7">
      <w:pPr>
        <w:pStyle w:val="ListParagraph"/>
        <w:numPr>
          <w:ilvl w:val="0"/>
          <w:numId w:val="82"/>
        </w:num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“Stop closing at lunchtime, sometimes it's the only time I can go.”</w:t>
      </w:r>
    </w:p>
    <w:p w14:paraId="7F576584" w14:textId="13F842F7" w:rsidR="00A04243" w:rsidRPr="00BC2C95" w:rsidRDefault="00A04243" w:rsidP="00DC54F7">
      <w:pPr>
        <w:pStyle w:val="ListParagraph"/>
        <w:numPr>
          <w:ilvl w:val="0"/>
          <w:numId w:val="82"/>
        </w:num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 xml:space="preserve">“Would prefer they opened weekends - even if shorter hours. My prescription becomes available on a Friday. There have been a couple of </w:t>
      </w:r>
      <w:r w:rsidR="00540D6F" w:rsidRPr="00BC2C95">
        <w:rPr>
          <w:rFonts w:ascii="Arial" w:eastAsia="Times New Roman" w:hAnsi="Arial" w:cs="Arial"/>
          <w:color w:val="000000"/>
          <w:sz w:val="24"/>
          <w:szCs w:val="24"/>
          <w:lang w:eastAsia="en-GB"/>
        </w:rPr>
        <w:t>times</w:t>
      </w:r>
      <w:r w:rsidRPr="00BC2C95">
        <w:rPr>
          <w:rFonts w:ascii="Arial" w:eastAsia="Times New Roman" w:hAnsi="Arial" w:cs="Arial"/>
          <w:color w:val="000000"/>
          <w:sz w:val="24"/>
          <w:szCs w:val="24"/>
          <w:lang w:eastAsia="en-GB"/>
        </w:rPr>
        <w:t xml:space="preserve"> when its been delayed and had to wait until Monda</w:t>
      </w:r>
      <w:r w:rsidR="00377223" w:rsidRPr="00BC2C95">
        <w:rPr>
          <w:rFonts w:ascii="Arial" w:eastAsia="Times New Roman" w:hAnsi="Arial" w:cs="Arial"/>
          <w:color w:val="000000"/>
          <w:sz w:val="24"/>
          <w:szCs w:val="24"/>
          <w:lang w:eastAsia="en-GB"/>
        </w:rPr>
        <w:t>y.”</w:t>
      </w:r>
    </w:p>
    <w:p w14:paraId="15685FBD" w14:textId="7436BC62" w:rsidR="000326F3" w:rsidRPr="00BC2C95" w:rsidRDefault="000326F3" w:rsidP="00DC54F7">
      <w:pPr>
        <w:pStyle w:val="ListParagraph"/>
        <w:numPr>
          <w:ilvl w:val="0"/>
          <w:numId w:val="82"/>
        </w:num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“Only open 9-6 Monday - Friday. Evening and weekend opening needed.”</w:t>
      </w:r>
    </w:p>
    <w:p w14:paraId="72E5E553" w14:textId="77777777" w:rsidR="00ED6338" w:rsidRPr="00BC2C95" w:rsidRDefault="00ED6338" w:rsidP="00DC54F7">
      <w:pPr>
        <w:pStyle w:val="ListParagraph"/>
        <w:spacing w:after="0" w:line="240" w:lineRule="auto"/>
        <w:ind w:left="360"/>
        <w:jc w:val="both"/>
        <w:rPr>
          <w:rFonts w:ascii="Arial" w:eastAsia="Times New Roman" w:hAnsi="Arial" w:cs="Arial"/>
          <w:color w:val="000000"/>
          <w:sz w:val="24"/>
          <w:szCs w:val="24"/>
          <w:lang w:eastAsia="en-GB"/>
        </w:rPr>
      </w:pPr>
    </w:p>
    <w:p w14:paraId="6051DDA8" w14:textId="1BCF393D" w:rsidR="00272899" w:rsidRPr="00BC2C95" w:rsidRDefault="003F772D" w:rsidP="00DC54F7">
      <w:pPr>
        <w:spacing w:after="0" w:line="240" w:lineRule="auto"/>
        <w:jc w:val="both"/>
        <w:rPr>
          <w:rFonts w:ascii="Arial" w:hAnsi="Arial" w:cs="Arial"/>
          <w:bCs/>
          <w:sz w:val="24"/>
          <w:szCs w:val="24"/>
        </w:rPr>
      </w:pPr>
      <w:r w:rsidRPr="00BC2C95">
        <w:rPr>
          <w:rFonts w:ascii="Arial" w:hAnsi="Arial" w:cs="Arial"/>
          <w:bCs/>
          <w:sz w:val="24"/>
          <w:szCs w:val="24"/>
        </w:rPr>
        <w:t>Five</w:t>
      </w:r>
      <w:r w:rsidR="00272899" w:rsidRPr="00BC2C95">
        <w:rPr>
          <w:rFonts w:ascii="Arial" w:hAnsi="Arial" w:cs="Arial"/>
          <w:bCs/>
          <w:sz w:val="24"/>
          <w:szCs w:val="24"/>
        </w:rPr>
        <w:t xml:space="preserve"> comments mentioned </w:t>
      </w:r>
      <w:r w:rsidR="00D702C5" w:rsidRPr="00BC2C95">
        <w:rPr>
          <w:rFonts w:ascii="Arial" w:hAnsi="Arial" w:cs="Arial"/>
          <w:bCs/>
          <w:sz w:val="24"/>
          <w:szCs w:val="24"/>
        </w:rPr>
        <w:t xml:space="preserve">the </w:t>
      </w:r>
      <w:r w:rsidR="00272899" w:rsidRPr="00BC2C95">
        <w:rPr>
          <w:rFonts w:ascii="Arial" w:hAnsi="Arial" w:cs="Arial"/>
          <w:bCs/>
          <w:sz w:val="24"/>
          <w:szCs w:val="24"/>
        </w:rPr>
        <w:t xml:space="preserve">lack of privacy </w:t>
      </w:r>
      <w:r w:rsidR="00274438" w:rsidRPr="00BC2C95">
        <w:rPr>
          <w:rFonts w:ascii="Arial" w:hAnsi="Arial" w:cs="Arial"/>
          <w:bCs/>
          <w:sz w:val="24"/>
          <w:szCs w:val="24"/>
        </w:rPr>
        <w:t>amongst other themes:</w:t>
      </w:r>
    </w:p>
    <w:p w14:paraId="50804DC2" w14:textId="2F2365F2" w:rsidR="00272899" w:rsidRPr="00BC2C95" w:rsidRDefault="00272899" w:rsidP="00DC54F7">
      <w:pPr>
        <w:pStyle w:val="ListParagraph"/>
        <w:numPr>
          <w:ilvl w:val="0"/>
          <w:numId w:val="84"/>
        </w:numPr>
        <w:spacing w:after="0" w:line="240" w:lineRule="auto"/>
        <w:jc w:val="both"/>
        <w:rPr>
          <w:rFonts w:ascii="Arial" w:hAnsi="Arial" w:cs="Arial"/>
          <w:bCs/>
          <w:sz w:val="24"/>
          <w:szCs w:val="24"/>
        </w:rPr>
      </w:pPr>
      <w:r w:rsidRPr="00BC2C95">
        <w:rPr>
          <w:rFonts w:ascii="Arial" w:hAnsi="Arial" w:cs="Arial"/>
          <w:bCs/>
          <w:sz w:val="24"/>
          <w:szCs w:val="24"/>
        </w:rPr>
        <w:t xml:space="preserve">“Find it difficult to have confidential conversations, and difficult to access the pharmacist. I </w:t>
      </w:r>
      <w:r w:rsidR="00540D6F" w:rsidRPr="00BC2C95">
        <w:rPr>
          <w:rFonts w:ascii="Arial" w:hAnsi="Arial" w:cs="Arial"/>
          <w:bCs/>
          <w:sz w:val="24"/>
          <w:szCs w:val="24"/>
        </w:rPr>
        <w:t>don’t</w:t>
      </w:r>
      <w:r w:rsidRPr="00BC2C95">
        <w:rPr>
          <w:rFonts w:ascii="Arial" w:hAnsi="Arial" w:cs="Arial"/>
          <w:bCs/>
          <w:sz w:val="24"/>
          <w:szCs w:val="24"/>
        </w:rPr>
        <w:t xml:space="preserve"> think the consultations rooms are well used or offered a lot. Wish I could order my medicine online, its very time consuming to use the paper slips or phone up. </w:t>
      </w:r>
      <w:r w:rsidR="00540D6F" w:rsidRPr="00BC2C95">
        <w:rPr>
          <w:rFonts w:ascii="Arial" w:hAnsi="Arial" w:cs="Arial"/>
          <w:bCs/>
          <w:sz w:val="24"/>
          <w:szCs w:val="24"/>
        </w:rPr>
        <w:t>I’ve</w:t>
      </w:r>
      <w:r w:rsidRPr="00BC2C95">
        <w:rPr>
          <w:rFonts w:ascii="Arial" w:hAnsi="Arial" w:cs="Arial"/>
          <w:bCs/>
          <w:sz w:val="24"/>
          <w:szCs w:val="24"/>
        </w:rPr>
        <w:t xml:space="preserve"> moved from England where things were much more efficient in terms of ordering and getting my repeat.”</w:t>
      </w:r>
    </w:p>
    <w:p w14:paraId="6533E876" w14:textId="660135C7" w:rsidR="00272899" w:rsidRPr="00BC2C95" w:rsidRDefault="00272899" w:rsidP="00DC54F7">
      <w:pPr>
        <w:pStyle w:val="ListParagraph"/>
        <w:numPr>
          <w:ilvl w:val="0"/>
          <w:numId w:val="83"/>
        </w:numPr>
        <w:spacing w:after="0" w:line="240" w:lineRule="auto"/>
        <w:jc w:val="both"/>
        <w:rPr>
          <w:rFonts w:ascii="Arial" w:hAnsi="Arial" w:cs="Arial"/>
          <w:bCs/>
          <w:sz w:val="24"/>
          <w:szCs w:val="24"/>
        </w:rPr>
      </w:pPr>
      <w:r w:rsidRPr="00BC2C95">
        <w:rPr>
          <w:rFonts w:ascii="Arial" w:hAnsi="Arial" w:cs="Arial"/>
          <w:bCs/>
          <w:sz w:val="24"/>
          <w:szCs w:val="24"/>
        </w:rPr>
        <w:t xml:space="preserve">“Small space, limited privacy even though there is a separate room, risk of being overheard.” </w:t>
      </w:r>
    </w:p>
    <w:p w14:paraId="1EDFD00F" w14:textId="59D16DEC" w:rsidR="003F3D03" w:rsidRPr="00BC2C95" w:rsidRDefault="00272899" w:rsidP="00DC54F7">
      <w:pPr>
        <w:pStyle w:val="ListParagraph"/>
        <w:numPr>
          <w:ilvl w:val="0"/>
          <w:numId w:val="83"/>
        </w:numPr>
        <w:spacing w:after="0" w:line="240" w:lineRule="auto"/>
        <w:jc w:val="both"/>
        <w:rPr>
          <w:rFonts w:ascii="Arial" w:hAnsi="Arial" w:cs="Arial"/>
          <w:bCs/>
          <w:sz w:val="24"/>
          <w:szCs w:val="24"/>
        </w:rPr>
      </w:pPr>
      <w:r w:rsidRPr="00BC2C95">
        <w:rPr>
          <w:rFonts w:ascii="Arial" w:hAnsi="Arial" w:cs="Arial"/>
          <w:bCs/>
          <w:sz w:val="24"/>
          <w:szCs w:val="24"/>
        </w:rPr>
        <w:t>“Local pharmacies are very confined.  It’s not easy to have a private conversation nor time because they’re busy.  I feel that requesting advice is an annoyance for pharmacists.”</w:t>
      </w:r>
    </w:p>
    <w:p w14:paraId="0D1E806D" w14:textId="16FB37B9" w:rsidR="00987B77" w:rsidRPr="00BC2C95" w:rsidRDefault="00970F81" w:rsidP="00DC54F7">
      <w:pPr>
        <w:spacing w:after="0" w:line="240" w:lineRule="auto"/>
        <w:jc w:val="both"/>
        <w:rPr>
          <w:rFonts w:ascii="Arial" w:hAnsi="Arial" w:cs="Arial"/>
          <w:bCs/>
          <w:sz w:val="24"/>
          <w:szCs w:val="24"/>
        </w:rPr>
      </w:pPr>
      <w:r w:rsidRPr="00BC2C95">
        <w:rPr>
          <w:rFonts w:ascii="Arial" w:hAnsi="Arial" w:cs="Arial"/>
          <w:bCs/>
          <w:sz w:val="24"/>
          <w:szCs w:val="24"/>
        </w:rPr>
        <w:lastRenderedPageBreak/>
        <w:t>S</w:t>
      </w:r>
      <w:r w:rsidR="00083AF7" w:rsidRPr="00BC2C95">
        <w:rPr>
          <w:rFonts w:ascii="Arial" w:hAnsi="Arial" w:cs="Arial"/>
          <w:bCs/>
          <w:sz w:val="24"/>
          <w:szCs w:val="24"/>
        </w:rPr>
        <w:t>ix</w:t>
      </w:r>
      <w:r w:rsidR="00987B77" w:rsidRPr="00BC2C95">
        <w:rPr>
          <w:rFonts w:ascii="Arial" w:hAnsi="Arial" w:cs="Arial"/>
          <w:bCs/>
          <w:sz w:val="24"/>
          <w:szCs w:val="24"/>
        </w:rPr>
        <w:t xml:space="preserve"> comments menti</w:t>
      </w:r>
      <w:r w:rsidR="00F7741C" w:rsidRPr="00BC2C95">
        <w:rPr>
          <w:rFonts w:ascii="Arial" w:hAnsi="Arial" w:cs="Arial"/>
          <w:bCs/>
          <w:sz w:val="24"/>
          <w:szCs w:val="24"/>
        </w:rPr>
        <w:t>on</w:t>
      </w:r>
      <w:r w:rsidR="00D702C5" w:rsidRPr="00BC2C95">
        <w:rPr>
          <w:rFonts w:ascii="Arial" w:hAnsi="Arial" w:cs="Arial"/>
          <w:bCs/>
          <w:sz w:val="24"/>
          <w:szCs w:val="24"/>
        </w:rPr>
        <w:t>ed</w:t>
      </w:r>
      <w:r w:rsidR="00987B77" w:rsidRPr="00BC2C95">
        <w:rPr>
          <w:rFonts w:ascii="Arial" w:hAnsi="Arial" w:cs="Arial"/>
          <w:bCs/>
          <w:sz w:val="24"/>
          <w:szCs w:val="24"/>
        </w:rPr>
        <w:t xml:space="preserve"> </w:t>
      </w:r>
      <w:r w:rsidRPr="00BC2C95">
        <w:rPr>
          <w:rFonts w:ascii="Arial" w:hAnsi="Arial" w:cs="Arial"/>
          <w:bCs/>
          <w:sz w:val="24"/>
          <w:szCs w:val="24"/>
        </w:rPr>
        <w:t xml:space="preserve">issues due </w:t>
      </w:r>
      <w:r w:rsidR="002E7558" w:rsidRPr="00BC2C95">
        <w:rPr>
          <w:rFonts w:ascii="Arial" w:hAnsi="Arial" w:cs="Arial"/>
          <w:bCs/>
          <w:sz w:val="24"/>
          <w:szCs w:val="24"/>
        </w:rPr>
        <w:t xml:space="preserve">to </w:t>
      </w:r>
      <w:r w:rsidR="003510BD" w:rsidRPr="00BC2C95">
        <w:rPr>
          <w:rFonts w:ascii="Arial" w:hAnsi="Arial" w:cs="Arial"/>
          <w:bCs/>
          <w:sz w:val="24"/>
          <w:szCs w:val="24"/>
        </w:rPr>
        <w:t xml:space="preserve">medication being out of stock or </w:t>
      </w:r>
      <w:r w:rsidR="00377C1F" w:rsidRPr="00BC2C95">
        <w:rPr>
          <w:rFonts w:ascii="Arial" w:hAnsi="Arial" w:cs="Arial"/>
          <w:bCs/>
          <w:sz w:val="24"/>
          <w:szCs w:val="24"/>
        </w:rPr>
        <w:t>items</w:t>
      </w:r>
      <w:r w:rsidR="007F1F1C" w:rsidRPr="00BC2C95">
        <w:rPr>
          <w:rFonts w:ascii="Arial" w:hAnsi="Arial" w:cs="Arial"/>
          <w:bCs/>
          <w:sz w:val="24"/>
          <w:szCs w:val="24"/>
        </w:rPr>
        <w:t xml:space="preserve"> </w:t>
      </w:r>
      <w:r w:rsidR="00377C1F" w:rsidRPr="00BC2C95">
        <w:rPr>
          <w:rFonts w:ascii="Arial" w:hAnsi="Arial" w:cs="Arial"/>
          <w:bCs/>
          <w:sz w:val="24"/>
          <w:szCs w:val="24"/>
        </w:rPr>
        <w:t>missing from the prescription:</w:t>
      </w:r>
    </w:p>
    <w:p w14:paraId="1BF1550E" w14:textId="7C05D5DC" w:rsidR="00F7741C" w:rsidRPr="00BC2C95" w:rsidRDefault="00F7741C" w:rsidP="00DC54F7">
      <w:pPr>
        <w:pStyle w:val="ListParagraph"/>
        <w:numPr>
          <w:ilvl w:val="0"/>
          <w:numId w:val="96"/>
        </w:numPr>
        <w:spacing w:after="0" w:line="240" w:lineRule="auto"/>
        <w:jc w:val="both"/>
        <w:rPr>
          <w:rFonts w:ascii="Arial" w:hAnsi="Arial" w:cs="Arial"/>
          <w:bCs/>
          <w:sz w:val="24"/>
          <w:szCs w:val="24"/>
        </w:rPr>
      </w:pPr>
      <w:r w:rsidRPr="00BC2C95">
        <w:rPr>
          <w:rFonts w:ascii="Arial" w:hAnsi="Arial" w:cs="Arial"/>
          <w:bCs/>
          <w:sz w:val="24"/>
          <w:szCs w:val="24"/>
        </w:rPr>
        <w:t xml:space="preserve">“Recently my experience has not been good. One pharmacy didn't have my medication in stock. They did not inform me. When I arrived after waiting 20 minutes to be </w:t>
      </w:r>
      <w:r w:rsidR="00540D6F" w:rsidRPr="00BC2C95">
        <w:rPr>
          <w:rFonts w:ascii="Arial" w:hAnsi="Arial" w:cs="Arial"/>
          <w:bCs/>
          <w:sz w:val="24"/>
          <w:szCs w:val="24"/>
        </w:rPr>
        <w:t>served then</w:t>
      </w:r>
      <w:r w:rsidRPr="00BC2C95">
        <w:rPr>
          <w:rFonts w:ascii="Arial" w:hAnsi="Arial" w:cs="Arial"/>
          <w:bCs/>
          <w:sz w:val="24"/>
          <w:szCs w:val="24"/>
        </w:rPr>
        <w:t xml:space="preserve"> I found out and they seemed to think that ordering it in by the next week was good enough. At another occasion at a different pharmacy they had outsourced the packaging of my medication to </w:t>
      </w:r>
      <w:r w:rsidR="00D160A7" w:rsidRPr="00BC2C95">
        <w:rPr>
          <w:rFonts w:ascii="Arial" w:hAnsi="Arial" w:cs="Arial"/>
          <w:bCs/>
          <w:sz w:val="24"/>
          <w:szCs w:val="24"/>
        </w:rPr>
        <w:t>[name of location]</w:t>
      </w:r>
      <w:r w:rsidRPr="00BC2C95">
        <w:rPr>
          <w:rFonts w:ascii="Arial" w:hAnsi="Arial" w:cs="Arial"/>
          <w:bCs/>
          <w:sz w:val="24"/>
          <w:szCs w:val="24"/>
        </w:rPr>
        <w:t xml:space="preserve"> Again I wasn't informed until I arrived (both times after waiting 48hours after sending in my </w:t>
      </w:r>
      <w:r w:rsidR="00540D6F" w:rsidRPr="00BC2C95">
        <w:rPr>
          <w:rFonts w:ascii="Arial" w:hAnsi="Arial" w:cs="Arial"/>
          <w:bCs/>
          <w:sz w:val="24"/>
          <w:szCs w:val="24"/>
        </w:rPr>
        <w:t>prescription</w:t>
      </w:r>
      <w:r w:rsidRPr="00BC2C95">
        <w:rPr>
          <w:rFonts w:ascii="Arial" w:hAnsi="Arial" w:cs="Arial"/>
          <w:bCs/>
          <w:sz w:val="24"/>
          <w:szCs w:val="24"/>
        </w:rPr>
        <w:t xml:space="preserve">) and I had to wait 2 more days for the medication. In general I do not understand why it takes pharmacies so long to bag up my medication once I take in the prescription.” </w:t>
      </w:r>
    </w:p>
    <w:p w14:paraId="1A06887E" w14:textId="77777777" w:rsidR="007D18DF" w:rsidRPr="00BC2C95" w:rsidRDefault="00C14EC4" w:rsidP="00DC54F7">
      <w:pPr>
        <w:pStyle w:val="ListParagraph"/>
        <w:numPr>
          <w:ilvl w:val="0"/>
          <w:numId w:val="96"/>
        </w:numPr>
        <w:spacing w:after="0" w:line="240" w:lineRule="auto"/>
        <w:jc w:val="both"/>
        <w:rPr>
          <w:rFonts w:ascii="Arial" w:hAnsi="Arial" w:cs="Arial"/>
          <w:bCs/>
          <w:sz w:val="24"/>
          <w:szCs w:val="24"/>
        </w:rPr>
      </w:pPr>
      <w:r w:rsidRPr="00BC2C95">
        <w:rPr>
          <w:rFonts w:ascii="Arial" w:hAnsi="Arial" w:cs="Arial"/>
          <w:bCs/>
          <w:sz w:val="24"/>
          <w:szCs w:val="24"/>
        </w:rPr>
        <w:t>“They seem to be not the best in terms of organisation and their always seems to be items missing or wrong when picking up my family meds.”</w:t>
      </w:r>
    </w:p>
    <w:p w14:paraId="07AEFF47" w14:textId="77777777" w:rsidR="007D18DF" w:rsidRPr="00BC2C95" w:rsidRDefault="007D18DF" w:rsidP="00DC54F7">
      <w:pPr>
        <w:pStyle w:val="ListParagraph"/>
        <w:numPr>
          <w:ilvl w:val="0"/>
          <w:numId w:val="96"/>
        </w:numPr>
        <w:spacing w:after="0" w:line="240" w:lineRule="auto"/>
        <w:jc w:val="both"/>
        <w:rPr>
          <w:rFonts w:ascii="Arial" w:hAnsi="Arial" w:cs="Arial"/>
          <w:bCs/>
          <w:sz w:val="24"/>
          <w:szCs w:val="24"/>
        </w:rPr>
      </w:pPr>
      <w:r w:rsidRPr="00BC2C95">
        <w:rPr>
          <w:rFonts w:ascii="Arial" w:hAnsi="Arial" w:cs="Arial"/>
          <w:bCs/>
          <w:sz w:val="24"/>
          <w:szCs w:val="24"/>
        </w:rPr>
        <w:t xml:space="preserve">“Don't always have what I need and aren't always helpful in finding it elsewhere. A staff issue.” </w:t>
      </w:r>
    </w:p>
    <w:p w14:paraId="6BE6E747" w14:textId="10E771D4" w:rsidR="00C14EC4" w:rsidRPr="00BC2C95" w:rsidRDefault="00C14EC4" w:rsidP="00DC54F7">
      <w:pPr>
        <w:spacing w:after="0" w:line="240" w:lineRule="auto"/>
        <w:jc w:val="both"/>
        <w:rPr>
          <w:rFonts w:ascii="Arial" w:hAnsi="Arial" w:cs="Arial"/>
          <w:bCs/>
          <w:sz w:val="24"/>
          <w:szCs w:val="24"/>
        </w:rPr>
      </w:pPr>
      <w:r w:rsidRPr="00BC2C95">
        <w:rPr>
          <w:rFonts w:ascii="Arial" w:hAnsi="Arial" w:cs="Arial"/>
          <w:bCs/>
          <w:sz w:val="24"/>
          <w:szCs w:val="24"/>
        </w:rPr>
        <w:tab/>
      </w:r>
    </w:p>
    <w:p w14:paraId="366C7307" w14:textId="7B5D9B38" w:rsidR="00845594" w:rsidRPr="00BC2C95" w:rsidRDefault="002D08A6" w:rsidP="00DC54F7">
      <w:pPr>
        <w:spacing w:after="0" w:line="240" w:lineRule="auto"/>
        <w:jc w:val="both"/>
        <w:rPr>
          <w:rFonts w:ascii="Arial" w:hAnsi="Arial" w:cs="Arial"/>
          <w:bCs/>
          <w:sz w:val="24"/>
          <w:szCs w:val="24"/>
        </w:rPr>
      </w:pPr>
      <w:r w:rsidRPr="00BC2C95">
        <w:rPr>
          <w:rFonts w:ascii="Arial" w:hAnsi="Arial" w:cs="Arial"/>
          <w:bCs/>
          <w:sz w:val="24"/>
          <w:szCs w:val="24"/>
        </w:rPr>
        <w:t>Six</w:t>
      </w:r>
      <w:r w:rsidR="00535153" w:rsidRPr="00BC2C95">
        <w:rPr>
          <w:rFonts w:ascii="Arial" w:hAnsi="Arial" w:cs="Arial"/>
          <w:bCs/>
          <w:sz w:val="24"/>
          <w:szCs w:val="24"/>
        </w:rPr>
        <w:t xml:space="preserve"> comments mention</w:t>
      </w:r>
      <w:r w:rsidR="00417236" w:rsidRPr="00BC2C95">
        <w:rPr>
          <w:rFonts w:ascii="Arial" w:hAnsi="Arial" w:cs="Arial"/>
          <w:bCs/>
          <w:sz w:val="24"/>
          <w:szCs w:val="24"/>
        </w:rPr>
        <w:t>ed</w:t>
      </w:r>
      <w:r w:rsidR="00535153" w:rsidRPr="00BC2C95">
        <w:rPr>
          <w:rFonts w:ascii="Arial" w:hAnsi="Arial" w:cs="Arial"/>
          <w:bCs/>
          <w:sz w:val="24"/>
          <w:szCs w:val="24"/>
        </w:rPr>
        <w:t xml:space="preserve"> the quality of the servic</w:t>
      </w:r>
      <w:r w:rsidR="00FA7311" w:rsidRPr="00BC2C95">
        <w:rPr>
          <w:rFonts w:ascii="Arial" w:hAnsi="Arial" w:cs="Arial"/>
          <w:bCs/>
          <w:sz w:val="24"/>
          <w:szCs w:val="24"/>
        </w:rPr>
        <w:t>e</w:t>
      </w:r>
      <w:r w:rsidR="00804F65" w:rsidRPr="00BC2C95">
        <w:rPr>
          <w:rFonts w:ascii="Arial" w:hAnsi="Arial" w:cs="Arial"/>
          <w:bCs/>
          <w:sz w:val="24"/>
          <w:szCs w:val="24"/>
        </w:rPr>
        <w:t xml:space="preserve"> in relation to </w:t>
      </w:r>
      <w:r w:rsidR="002B3224" w:rsidRPr="00BC2C95">
        <w:rPr>
          <w:rFonts w:ascii="Arial" w:hAnsi="Arial" w:cs="Arial"/>
          <w:bCs/>
          <w:sz w:val="24"/>
          <w:szCs w:val="24"/>
        </w:rPr>
        <w:t>staffing issues</w:t>
      </w:r>
      <w:r w:rsidR="00535153" w:rsidRPr="00BC2C95">
        <w:rPr>
          <w:rFonts w:ascii="Arial" w:hAnsi="Arial" w:cs="Arial"/>
          <w:bCs/>
          <w:sz w:val="24"/>
          <w:szCs w:val="24"/>
        </w:rPr>
        <w:t>:</w:t>
      </w:r>
    </w:p>
    <w:p w14:paraId="7985B09A" w14:textId="50A22EA4" w:rsidR="00845594" w:rsidRPr="00BC2C95" w:rsidRDefault="00845594" w:rsidP="00DC54F7">
      <w:pPr>
        <w:pStyle w:val="ListParagraph"/>
        <w:numPr>
          <w:ilvl w:val="0"/>
          <w:numId w:val="95"/>
        </w:numPr>
        <w:spacing w:after="0" w:line="240" w:lineRule="auto"/>
        <w:jc w:val="both"/>
        <w:rPr>
          <w:rFonts w:ascii="Arial" w:hAnsi="Arial" w:cs="Arial"/>
          <w:bCs/>
          <w:sz w:val="24"/>
          <w:szCs w:val="24"/>
        </w:rPr>
      </w:pPr>
      <w:r w:rsidRPr="00BC2C95">
        <w:rPr>
          <w:rFonts w:ascii="Arial" w:hAnsi="Arial" w:cs="Arial"/>
          <w:bCs/>
          <w:sz w:val="24"/>
          <w:szCs w:val="24"/>
        </w:rPr>
        <w:t>“The pharmacy we go to as it is near our GP is generally shot staffed and feels a bit chaotic as they have too much to do and are constantly firefighting. Not very comfortable for those using the service.”</w:t>
      </w:r>
    </w:p>
    <w:p w14:paraId="3CBCD231" w14:textId="54DA6B36" w:rsidR="00845594" w:rsidRPr="00BC2C95" w:rsidRDefault="00845594" w:rsidP="00DC54F7">
      <w:pPr>
        <w:pStyle w:val="ListParagraph"/>
        <w:numPr>
          <w:ilvl w:val="0"/>
          <w:numId w:val="95"/>
        </w:numPr>
        <w:spacing w:after="0" w:line="240" w:lineRule="auto"/>
        <w:jc w:val="both"/>
        <w:rPr>
          <w:rFonts w:ascii="Arial" w:hAnsi="Arial" w:cs="Arial"/>
          <w:bCs/>
          <w:sz w:val="24"/>
          <w:szCs w:val="24"/>
        </w:rPr>
      </w:pPr>
      <w:r w:rsidRPr="00BC2C95">
        <w:rPr>
          <w:rFonts w:ascii="Arial" w:hAnsi="Arial" w:cs="Arial"/>
          <w:bCs/>
          <w:sz w:val="24"/>
          <w:szCs w:val="24"/>
        </w:rPr>
        <w:t>“It used to be an excellent service but it is now very hit and miss. Constantly different staff who are not aware of what is needed.”</w:t>
      </w:r>
    </w:p>
    <w:p w14:paraId="3B17B975" w14:textId="5636A425" w:rsidR="00804F65" w:rsidRPr="00BC2C95" w:rsidRDefault="00845594" w:rsidP="00DC54F7">
      <w:pPr>
        <w:pStyle w:val="ListParagraph"/>
        <w:numPr>
          <w:ilvl w:val="0"/>
          <w:numId w:val="95"/>
        </w:numPr>
        <w:spacing w:after="0" w:line="240" w:lineRule="auto"/>
        <w:jc w:val="both"/>
        <w:rPr>
          <w:rFonts w:ascii="Arial" w:hAnsi="Arial" w:cs="Arial"/>
          <w:bCs/>
          <w:sz w:val="24"/>
          <w:szCs w:val="24"/>
        </w:rPr>
      </w:pPr>
      <w:r w:rsidRPr="00BC2C95">
        <w:rPr>
          <w:rFonts w:ascii="Arial" w:hAnsi="Arial" w:cs="Arial"/>
          <w:bCs/>
          <w:sz w:val="24"/>
          <w:szCs w:val="24"/>
        </w:rPr>
        <w:t>“[Name of pharmacy]. Poor experience with the pharmacy. Poor customer service (lack of compassion) and long wait times (appears to be understaffed/ poor systems in place)”</w:t>
      </w:r>
    </w:p>
    <w:p w14:paraId="09440054" w14:textId="62076ECB" w:rsidR="00804F65" w:rsidRPr="00BC2C95" w:rsidRDefault="00804F65" w:rsidP="00DC54F7">
      <w:pPr>
        <w:spacing w:after="0" w:line="240" w:lineRule="auto"/>
        <w:jc w:val="both"/>
        <w:rPr>
          <w:rFonts w:ascii="Arial" w:hAnsi="Arial" w:cs="Arial"/>
          <w:bCs/>
          <w:sz w:val="24"/>
          <w:szCs w:val="24"/>
        </w:rPr>
      </w:pPr>
    </w:p>
    <w:p w14:paraId="7043ABB3" w14:textId="7B7E500D" w:rsidR="00804F65" w:rsidRPr="00BC2C95" w:rsidRDefault="00804F65" w:rsidP="00DC54F7">
      <w:pPr>
        <w:spacing w:after="0" w:line="240" w:lineRule="auto"/>
        <w:jc w:val="both"/>
        <w:rPr>
          <w:rFonts w:ascii="Arial" w:hAnsi="Arial" w:cs="Arial"/>
          <w:bCs/>
          <w:sz w:val="24"/>
          <w:szCs w:val="24"/>
        </w:rPr>
      </w:pPr>
      <w:r w:rsidRPr="00BC2C95">
        <w:rPr>
          <w:rFonts w:ascii="Arial" w:hAnsi="Arial" w:cs="Arial"/>
          <w:bCs/>
          <w:sz w:val="24"/>
          <w:szCs w:val="24"/>
        </w:rPr>
        <w:t>T</w:t>
      </w:r>
      <w:r w:rsidR="00765F80" w:rsidRPr="00BC2C95">
        <w:rPr>
          <w:rFonts w:ascii="Arial" w:hAnsi="Arial" w:cs="Arial"/>
          <w:bCs/>
          <w:sz w:val="24"/>
          <w:szCs w:val="24"/>
        </w:rPr>
        <w:t>hree</w:t>
      </w:r>
      <w:r w:rsidRPr="00BC2C95">
        <w:rPr>
          <w:rFonts w:ascii="Arial" w:hAnsi="Arial" w:cs="Arial"/>
          <w:bCs/>
          <w:sz w:val="24"/>
          <w:szCs w:val="24"/>
        </w:rPr>
        <w:t xml:space="preserve"> comments mentioned errors that had been made by the pharmacy:</w:t>
      </w:r>
    </w:p>
    <w:p w14:paraId="62B7E60F" w14:textId="6D59E762" w:rsidR="00CE5DEA" w:rsidRPr="00BC2C95" w:rsidRDefault="00CE5DEA" w:rsidP="00DC54F7">
      <w:pPr>
        <w:pStyle w:val="ListParagraph"/>
        <w:numPr>
          <w:ilvl w:val="0"/>
          <w:numId w:val="85"/>
        </w:numPr>
        <w:spacing w:after="0" w:line="240" w:lineRule="auto"/>
        <w:jc w:val="both"/>
        <w:rPr>
          <w:rFonts w:ascii="Arial" w:hAnsi="Arial" w:cs="Arial"/>
          <w:bCs/>
          <w:sz w:val="24"/>
          <w:szCs w:val="24"/>
        </w:rPr>
      </w:pPr>
      <w:r w:rsidRPr="00BC2C95">
        <w:rPr>
          <w:rFonts w:ascii="Arial" w:hAnsi="Arial" w:cs="Arial"/>
          <w:bCs/>
          <w:sz w:val="24"/>
          <w:szCs w:val="24"/>
        </w:rPr>
        <w:t>“We are thinking of moving to another pharmacy, errors and unhappy staff don’t help.”</w:t>
      </w:r>
    </w:p>
    <w:p w14:paraId="6F1EE185" w14:textId="1DCD1AEB" w:rsidR="00804F65" w:rsidRPr="00BC2C95" w:rsidRDefault="00804F65" w:rsidP="00DC54F7">
      <w:pPr>
        <w:pStyle w:val="ListParagraph"/>
        <w:numPr>
          <w:ilvl w:val="0"/>
          <w:numId w:val="85"/>
        </w:numPr>
        <w:spacing w:after="0" w:line="240" w:lineRule="auto"/>
        <w:jc w:val="both"/>
        <w:rPr>
          <w:rFonts w:ascii="Arial" w:hAnsi="Arial" w:cs="Arial"/>
          <w:bCs/>
          <w:sz w:val="24"/>
          <w:szCs w:val="24"/>
        </w:rPr>
      </w:pPr>
      <w:r w:rsidRPr="00BC2C95">
        <w:rPr>
          <w:rFonts w:ascii="Arial" w:hAnsi="Arial" w:cs="Arial"/>
          <w:bCs/>
          <w:sz w:val="24"/>
          <w:szCs w:val="24"/>
        </w:rPr>
        <w:t xml:space="preserve">“They have made some errors, 4, recently which has made me worry about getting the correct medication. I </w:t>
      </w:r>
      <w:r w:rsidR="00540D6F" w:rsidRPr="00BC2C95">
        <w:rPr>
          <w:rFonts w:ascii="Arial" w:hAnsi="Arial" w:cs="Arial"/>
          <w:bCs/>
          <w:sz w:val="24"/>
          <w:szCs w:val="24"/>
        </w:rPr>
        <w:t>can’t</w:t>
      </w:r>
      <w:r w:rsidRPr="00BC2C95">
        <w:rPr>
          <w:rFonts w:ascii="Arial" w:hAnsi="Arial" w:cs="Arial"/>
          <w:bCs/>
          <w:sz w:val="24"/>
          <w:szCs w:val="24"/>
        </w:rPr>
        <w:t xml:space="preserve"> access the pharmacy and </w:t>
      </w:r>
      <w:r w:rsidR="00540D6F" w:rsidRPr="00BC2C95">
        <w:rPr>
          <w:rFonts w:ascii="Arial" w:hAnsi="Arial" w:cs="Arial"/>
          <w:bCs/>
          <w:sz w:val="24"/>
          <w:szCs w:val="24"/>
        </w:rPr>
        <w:t>I’d</w:t>
      </w:r>
      <w:r w:rsidRPr="00BC2C95">
        <w:rPr>
          <w:rFonts w:ascii="Arial" w:hAnsi="Arial" w:cs="Arial"/>
          <w:bCs/>
          <w:sz w:val="24"/>
          <w:szCs w:val="24"/>
        </w:rPr>
        <w:t xml:space="preserve"> like to change but I'm not confident to so that at the moment as I don't know if others will deliver.” </w:t>
      </w:r>
    </w:p>
    <w:p w14:paraId="4D0510D0" w14:textId="5FDB5B2D" w:rsidR="009F5702" w:rsidRPr="00BC2C95" w:rsidRDefault="009F5702" w:rsidP="00DC54F7">
      <w:pPr>
        <w:spacing w:after="0" w:line="240" w:lineRule="auto"/>
        <w:jc w:val="both"/>
        <w:rPr>
          <w:rFonts w:ascii="Arial" w:hAnsi="Arial" w:cs="Arial"/>
          <w:bCs/>
          <w:sz w:val="24"/>
          <w:szCs w:val="24"/>
        </w:rPr>
      </w:pPr>
    </w:p>
    <w:p w14:paraId="7702ED63" w14:textId="3336DB8C" w:rsidR="009F5702" w:rsidRPr="00BC2C95" w:rsidRDefault="009F5702" w:rsidP="00DC54F7">
      <w:pPr>
        <w:spacing w:after="0" w:line="240" w:lineRule="auto"/>
        <w:jc w:val="both"/>
        <w:rPr>
          <w:rFonts w:ascii="Arial" w:hAnsi="Arial" w:cs="Arial"/>
          <w:bCs/>
          <w:sz w:val="24"/>
          <w:szCs w:val="24"/>
        </w:rPr>
      </w:pPr>
      <w:r w:rsidRPr="00BC2C95">
        <w:rPr>
          <w:rFonts w:ascii="Arial" w:hAnsi="Arial" w:cs="Arial"/>
          <w:bCs/>
          <w:sz w:val="24"/>
          <w:szCs w:val="24"/>
        </w:rPr>
        <w:t xml:space="preserve">Four comments </w:t>
      </w:r>
      <w:r w:rsidR="007A76A2" w:rsidRPr="00BC2C95">
        <w:rPr>
          <w:rFonts w:ascii="Arial" w:hAnsi="Arial" w:cs="Arial"/>
          <w:bCs/>
          <w:sz w:val="24"/>
          <w:szCs w:val="24"/>
        </w:rPr>
        <w:t xml:space="preserve">addressed </w:t>
      </w:r>
      <w:r w:rsidRPr="00BC2C95">
        <w:rPr>
          <w:rFonts w:ascii="Arial" w:hAnsi="Arial" w:cs="Arial"/>
          <w:bCs/>
          <w:sz w:val="24"/>
          <w:szCs w:val="24"/>
        </w:rPr>
        <w:t>the organisation within the pharmacy:</w:t>
      </w:r>
    </w:p>
    <w:p w14:paraId="4659E7F9" w14:textId="77777777" w:rsidR="009F5702" w:rsidRPr="00BC2C95" w:rsidRDefault="009F5702" w:rsidP="00DC54F7">
      <w:pPr>
        <w:pStyle w:val="ListParagraph"/>
        <w:numPr>
          <w:ilvl w:val="0"/>
          <w:numId w:val="85"/>
        </w:numPr>
        <w:spacing w:after="0" w:line="240" w:lineRule="auto"/>
        <w:jc w:val="both"/>
        <w:rPr>
          <w:rFonts w:ascii="Arial" w:hAnsi="Arial" w:cs="Arial"/>
          <w:bCs/>
          <w:sz w:val="24"/>
          <w:szCs w:val="24"/>
        </w:rPr>
      </w:pPr>
      <w:r w:rsidRPr="00BC2C95">
        <w:rPr>
          <w:rFonts w:ascii="Arial" w:hAnsi="Arial" w:cs="Arial"/>
          <w:bCs/>
          <w:sz w:val="24"/>
          <w:szCs w:val="24"/>
        </w:rPr>
        <w:t>“It’s a very long wait and they are very disorganised.”</w:t>
      </w:r>
    </w:p>
    <w:p w14:paraId="022522CA" w14:textId="77777777" w:rsidR="009F5702" w:rsidRPr="00BC2C95" w:rsidRDefault="009F5702" w:rsidP="00DC54F7">
      <w:pPr>
        <w:pStyle w:val="ListParagraph"/>
        <w:numPr>
          <w:ilvl w:val="0"/>
          <w:numId w:val="85"/>
        </w:numPr>
        <w:spacing w:after="0" w:line="240" w:lineRule="auto"/>
        <w:jc w:val="both"/>
        <w:rPr>
          <w:rFonts w:ascii="Arial" w:hAnsi="Arial" w:cs="Arial"/>
          <w:bCs/>
          <w:sz w:val="24"/>
          <w:szCs w:val="24"/>
        </w:rPr>
      </w:pPr>
      <w:r w:rsidRPr="00BC2C95">
        <w:rPr>
          <w:rFonts w:ascii="Arial" w:hAnsi="Arial" w:cs="Arial"/>
          <w:bCs/>
          <w:sz w:val="24"/>
          <w:szCs w:val="24"/>
        </w:rPr>
        <w:t>“Disorganised. Deal with one customer at a time in spite of several staff behind counter.”</w:t>
      </w:r>
    </w:p>
    <w:p w14:paraId="65B43F00" w14:textId="77777777" w:rsidR="009F5702" w:rsidRPr="00BC2C95" w:rsidRDefault="009F5702" w:rsidP="00DC54F7">
      <w:pPr>
        <w:pStyle w:val="ListParagraph"/>
        <w:numPr>
          <w:ilvl w:val="0"/>
          <w:numId w:val="85"/>
        </w:numPr>
        <w:spacing w:after="0" w:line="240" w:lineRule="auto"/>
        <w:jc w:val="both"/>
        <w:rPr>
          <w:rFonts w:ascii="Arial" w:hAnsi="Arial" w:cs="Arial"/>
          <w:bCs/>
          <w:sz w:val="24"/>
          <w:szCs w:val="24"/>
        </w:rPr>
      </w:pPr>
      <w:r w:rsidRPr="00BC2C95">
        <w:rPr>
          <w:rFonts w:ascii="Arial" w:hAnsi="Arial" w:cs="Arial"/>
          <w:bCs/>
          <w:sz w:val="24"/>
          <w:szCs w:val="24"/>
        </w:rPr>
        <w:t>“They are always busy, often disorganised. I always ring ahead to make sure they have my prescription as before now they have mislaid it.”</w:t>
      </w:r>
    </w:p>
    <w:p w14:paraId="4EE1D5DE" w14:textId="77777777" w:rsidR="009F5702" w:rsidRPr="00BC2C95" w:rsidRDefault="009F5702" w:rsidP="00DC54F7">
      <w:pPr>
        <w:spacing w:after="0" w:line="240" w:lineRule="auto"/>
        <w:jc w:val="both"/>
        <w:rPr>
          <w:rFonts w:ascii="Arial" w:hAnsi="Arial" w:cs="Arial"/>
          <w:b/>
          <w:sz w:val="24"/>
          <w:szCs w:val="24"/>
        </w:rPr>
      </w:pPr>
    </w:p>
    <w:p w14:paraId="4312995B" w14:textId="65B1872F" w:rsidR="00503813" w:rsidRPr="00BC2C95" w:rsidRDefault="00083AF7" w:rsidP="00DC54F7">
      <w:pPr>
        <w:spacing w:after="0" w:line="240" w:lineRule="auto"/>
        <w:jc w:val="both"/>
        <w:rPr>
          <w:rFonts w:ascii="Arial" w:hAnsi="Arial" w:cs="Arial"/>
          <w:bCs/>
          <w:sz w:val="24"/>
          <w:szCs w:val="24"/>
        </w:rPr>
      </w:pPr>
      <w:r w:rsidRPr="00BC2C95">
        <w:rPr>
          <w:rFonts w:ascii="Arial" w:hAnsi="Arial" w:cs="Arial"/>
          <w:bCs/>
          <w:sz w:val="24"/>
          <w:szCs w:val="24"/>
        </w:rPr>
        <w:t>Seven</w:t>
      </w:r>
      <w:r w:rsidR="00503813" w:rsidRPr="00BC2C95">
        <w:rPr>
          <w:rFonts w:ascii="Arial" w:hAnsi="Arial" w:cs="Arial"/>
          <w:bCs/>
          <w:sz w:val="24"/>
          <w:szCs w:val="24"/>
        </w:rPr>
        <w:t xml:space="preserve"> comments were based around the repeat ordering system:</w:t>
      </w:r>
    </w:p>
    <w:p w14:paraId="3B91FE6B" w14:textId="77777777" w:rsidR="00503813" w:rsidRPr="00BC2C95" w:rsidRDefault="00503813" w:rsidP="00DC54F7">
      <w:pPr>
        <w:pStyle w:val="ListParagraph"/>
        <w:numPr>
          <w:ilvl w:val="0"/>
          <w:numId w:val="94"/>
        </w:numPr>
        <w:spacing w:after="0" w:line="240" w:lineRule="auto"/>
        <w:jc w:val="both"/>
        <w:rPr>
          <w:rFonts w:ascii="Arial" w:hAnsi="Arial" w:cs="Arial"/>
          <w:bCs/>
          <w:sz w:val="24"/>
          <w:szCs w:val="24"/>
        </w:rPr>
      </w:pPr>
      <w:r w:rsidRPr="00BC2C95">
        <w:rPr>
          <w:rFonts w:ascii="Arial" w:hAnsi="Arial" w:cs="Arial"/>
          <w:bCs/>
          <w:sz w:val="24"/>
          <w:szCs w:val="24"/>
        </w:rPr>
        <w:t xml:space="preserve">“Gp doesn’t always send prescription to pharmacy in time .. but they chase it.” </w:t>
      </w:r>
    </w:p>
    <w:p w14:paraId="63DA916E" w14:textId="77777777" w:rsidR="002E7558" w:rsidRPr="00BC2C95" w:rsidRDefault="002E7558" w:rsidP="00DC54F7">
      <w:pPr>
        <w:pStyle w:val="ListParagraph"/>
        <w:numPr>
          <w:ilvl w:val="0"/>
          <w:numId w:val="94"/>
        </w:numPr>
        <w:spacing w:after="0" w:line="240" w:lineRule="auto"/>
        <w:jc w:val="both"/>
        <w:rPr>
          <w:rFonts w:ascii="Arial" w:hAnsi="Arial" w:cs="Arial"/>
          <w:bCs/>
          <w:sz w:val="24"/>
          <w:szCs w:val="24"/>
        </w:rPr>
      </w:pPr>
      <w:r w:rsidRPr="00BC2C95">
        <w:rPr>
          <w:rFonts w:ascii="Arial" w:hAnsi="Arial" w:cs="Arial"/>
          <w:bCs/>
          <w:sz w:val="24"/>
          <w:szCs w:val="24"/>
        </w:rPr>
        <w:t>The nearest pharmacy to my house in [name of location] is on the high street so parking is difficult. They have recently started charging extra for delivery and no longer let me order repeat medicines through them. They say I have to call the doctors but the surgery say they can’t take repeat requests by phone. It hopeless! I would like there to be more choices of pharmacy in [name of location]</w:t>
      </w:r>
    </w:p>
    <w:p w14:paraId="530A1D53" w14:textId="420D5962" w:rsidR="002E7558" w:rsidRPr="00BC2C95" w:rsidRDefault="002E7558" w:rsidP="00DC54F7">
      <w:pPr>
        <w:pStyle w:val="ListParagraph"/>
        <w:numPr>
          <w:ilvl w:val="0"/>
          <w:numId w:val="94"/>
        </w:numPr>
        <w:spacing w:after="0" w:line="240" w:lineRule="auto"/>
        <w:jc w:val="both"/>
        <w:rPr>
          <w:rFonts w:ascii="Arial" w:hAnsi="Arial" w:cs="Arial"/>
          <w:bCs/>
          <w:sz w:val="24"/>
          <w:szCs w:val="24"/>
        </w:rPr>
      </w:pPr>
      <w:r w:rsidRPr="00BC2C95">
        <w:rPr>
          <w:rFonts w:ascii="Arial" w:hAnsi="Arial" w:cs="Arial"/>
          <w:bCs/>
          <w:sz w:val="24"/>
          <w:szCs w:val="24"/>
        </w:rPr>
        <w:lastRenderedPageBreak/>
        <w:t>“The wait for phone ordered repeat medication has increased from a 48 hour turnaround to 96 which has been hard to organise as I take insulin. Was not informed until I spoke to them but luckily I had enough supply. Queues outside are sometimes 15 people deep and as I am a frontline nurse this can be hard to waiting when your busy.”</w:t>
      </w:r>
    </w:p>
    <w:p w14:paraId="024B3433" w14:textId="296DB4AD" w:rsidR="00CC10DD" w:rsidRPr="00BC2C95" w:rsidRDefault="002E7558" w:rsidP="00DC54F7">
      <w:pPr>
        <w:pStyle w:val="ListParagraph"/>
        <w:numPr>
          <w:ilvl w:val="0"/>
          <w:numId w:val="94"/>
        </w:numPr>
        <w:spacing w:after="0" w:line="240" w:lineRule="auto"/>
        <w:jc w:val="both"/>
        <w:rPr>
          <w:rFonts w:ascii="Arial" w:hAnsi="Arial" w:cs="Arial"/>
          <w:bCs/>
          <w:sz w:val="24"/>
          <w:szCs w:val="24"/>
        </w:rPr>
      </w:pPr>
      <w:r w:rsidRPr="00BC2C95">
        <w:rPr>
          <w:rFonts w:ascii="Arial" w:hAnsi="Arial" w:cs="Arial"/>
          <w:bCs/>
          <w:sz w:val="24"/>
          <w:szCs w:val="24"/>
        </w:rPr>
        <w:t>“It's frustrating having to collect a prescription from the doctors and take it to the pharmacy and then wait for the medicine to be dispensed. They are next door to one another so I have no idea why the doctor can't pass the prescriptions to the pharmacy as soon as the doctor has written the prescription so the medicine is ready for collection. Makes much more sense with covid to only have to go to the pharmacy rather than both the surgery and the pharmacy and then have to wait around at the pharmacy. There needs to be a more streamlined process particularly for repeat prescriptions.”</w:t>
      </w:r>
    </w:p>
    <w:p w14:paraId="1421CD5A" w14:textId="77777777" w:rsidR="00CC10DD" w:rsidRPr="00BC2C95" w:rsidRDefault="00CC10DD" w:rsidP="00DC54F7">
      <w:pPr>
        <w:spacing w:after="0" w:line="240" w:lineRule="auto"/>
        <w:jc w:val="both"/>
        <w:rPr>
          <w:rFonts w:ascii="Arial" w:hAnsi="Arial" w:cs="Arial"/>
          <w:bCs/>
          <w:sz w:val="24"/>
          <w:szCs w:val="24"/>
        </w:rPr>
      </w:pPr>
    </w:p>
    <w:p w14:paraId="66722AC3" w14:textId="12667FB3" w:rsidR="00A77700" w:rsidRPr="00BC2C95" w:rsidRDefault="00A77700" w:rsidP="00DC54F7">
      <w:pPr>
        <w:spacing w:after="0" w:line="240" w:lineRule="auto"/>
        <w:jc w:val="both"/>
        <w:rPr>
          <w:rFonts w:ascii="Arial" w:hAnsi="Arial" w:cs="Arial"/>
          <w:bCs/>
          <w:sz w:val="24"/>
          <w:szCs w:val="24"/>
        </w:rPr>
      </w:pPr>
      <w:r w:rsidRPr="00BC2C95">
        <w:rPr>
          <w:rFonts w:ascii="Arial" w:hAnsi="Arial" w:cs="Arial"/>
          <w:bCs/>
          <w:sz w:val="24"/>
          <w:szCs w:val="24"/>
        </w:rPr>
        <w:t>F</w:t>
      </w:r>
      <w:r w:rsidR="002E7558" w:rsidRPr="00BC2C95">
        <w:rPr>
          <w:rFonts w:ascii="Arial" w:hAnsi="Arial" w:cs="Arial"/>
          <w:bCs/>
          <w:sz w:val="24"/>
          <w:szCs w:val="24"/>
        </w:rPr>
        <w:t>ive</w:t>
      </w:r>
      <w:r w:rsidRPr="00BC2C95">
        <w:rPr>
          <w:rFonts w:ascii="Arial" w:hAnsi="Arial" w:cs="Arial"/>
          <w:bCs/>
          <w:sz w:val="24"/>
          <w:szCs w:val="24"/>
        </w:rPr>
        <w:t xml:space="preserve"> comments mentioned prescription </w:t>
      </w:r>
      <w:r w:rsidR="00CC10DD" w:rsidRPr="00BC2C95">
        <w:rPr>
          <w:rFonts w:ascii="Arial" w:hAnsi="Arial" w:cs="Arial"/>
          <w:bCs/>
          <w:sz w:val="24"/>
          <w:szCs w:val="24"/>
        </w:rPr>
        <w:t>medicines not being ready in time for collection:</w:t>
      </w:r>
    </w:p>
    <w:p w14:paraId="14ECC120" w14:textId="05389328" w:rsidR="00AF1202" w:rsidRPr="00BC2C95" w:rsidRDefault="00AF1202" w:rsidP="00DC54F7">
      <w:pPr>
        <w:pStyle w:val="ListParagraph"/>
        <w:numPr>
          <w:ilvl w:val="0"/>
          <w:numId w:val="97"/>
        </w:numPr>
        <w:spacing w:after="0" w:line="240" w:lineRule="auto"/>
        <w:jc w:val="both"/>
        <w:rPr>
          <w:rFonts w:ascii="Arial" w:hAnsi="Arial" w:cs="Arial"/>
          <w:bCs/>
          <w:sz w:val="24"/>
          <w:szCs w:val="24"/>
        </w:rPr>
      </w:pPr>
      <w:r w:rsidRPr="00BC2C95">
        <w:rPr>
          <w:rFonts w:ascii="Arial" w:hAnsi="Arial" w:cs="Arial"/>
          <w:bCs/>
          <w:sz w:val="24"/>
          <w:szCs w:val="24"/>
        </w:rPr>
        <w:t>“Very poor service, often told to return after lunch and find items still not ready. Told on a phone items are ready to collect and on arrival told not in stock yet. Often long queues.</w:t>
      </w:r>
    </w:p>
    <w:p w14:paraId="59B9956E" w14:textId="55B2DB2A" w:rsidR="00AF1202" w:rsidRPr="00AF1202" w:rsidRDefault="00AF1202" w:rsidP="00DC54F7">
      <w:pPr>
        <w:pStyle w:val="ListParagraph"/>
        <w:numPr>
          <w:ilvl w:val="0"/>
          <w:numId w:val="97"/>
        </w:numPr>
        <w:spacing w:after="0" w:line="240" w:lineRule="auto"/>
        <w:jc w:val="both"/>
        <w:rPr>
          <w:rFonts w:ascii="Arial" w:hAnsi="Arial" w:cs="Arial"/>
          <w:bCs/>
        </w:rPr>
      </w:pPr>
      <w:r w:rsidRPr="00BC2C95">
        <w:rPr>
          <w:rFonts w:ascii="Arial" w:hAnsi="Arial" w:cs="Arial"/>
          <w:bCs/>
          <w:sz w:val="24"/>
          <w:szCs w:val="24"/>
        </w:rPr>
        <w:t>“It's got far worse. [Name of pharmacy] seem to wait ages for them to get your prescription ready but friends of staff who visit seem to get theirs a lot quicker while you</w:t>
      </w:r>
      <w:r w:rsidRPr="00AF1202">
        <w:rPr>
          <w:rFonts w:ascii="Arial" w:hAnsi="Arial" w:cs="Arial"/>
          <w:bCs/>
        </w:rPr>
        <w:t xml:space="preserve"> are still waiting. [Name of pharmacy] never answer the phone when you are chasing to see if your prescription is actually ready and order medication that you have said you do not need next time as seasonal but ones you do need regularly they don't order in time and is never ready.”</w:t>
      </w:r>
    </w:p>
    <w:p w14:paraId="3FA68EA1" w14:textId="7753338F" w:rsidR="00AF1202" w:rsidRPr="00AF1202" w:rsidRDefault="00AF1202" w:rsidP="00DC54F7">
      <w:pPr>
        <w:pStyle w:val="ListParagraph"/>
        <w:numPr>
          <w:ilvl w:val="0"/>
          <w:numId w:val="97"/>
        </w:numPr>
        <w:spacing w:after="0" w:line="240" w:lineRule="auto"/>
        <w:jc w:val="both"/>
        <w:rPr>
          <w:rFonts w:ascii="Arial" w:hAnsi="Arial" w:cs="Arial"/>
          <w:bCs/>
        </w:rPr>
      </w:pPr>
      <w:r w:rsidRPr="00AF1202">
        <w:rPr>
          <w:rFonts w:ascii="Arial" w:hAnsi="Arial" w:cs="Arial"/>
          <w:bCs/>
        </w:rPr>
        <w:t>“Service from gp to pharmacy appalling. During pandemic, new prescriptions are sent direct to pharmacy are not made up in good timescale. I often pop in about 4 days to a week later and not made up which results in me waiting for it to be processed (10 mins to 30 mins wait) defeats the purpose of covid19 safety.”</w:t>
      </w:r>
    </w:p>
    <w:p w14:paraId="0730571F" w14:textId="001F726D" w:rsidR="00503813" w:rsidRDefault="00AF1202" w:rsidP="00DC54F7">
      <w:pPr>
        <w:pStyle w:val="ListParagraph"/>
        <w:numPr>
          <w:ilvl w:val="0"/>
          <w:numId w:val="97"/>
        </w:numPr>
        <w:spacing w:after="0" w:line="240" w:lineRule="auto"/>
        <w:jc w:val="both"/>
        <w:rPr>
          <w:rFonts w:ascii="Arial" w:hAnsi="Arial" w:cs="Arial"/>
          <w:bCs/>
        </w:rPr>
      </w:pPr>
      <w:r w:rsidRPr="00AF1202">
        <w:rPr>
          <w:rFonts w:ascii="Arial" w:hAnsi="Arial" w:cs="Arial"/>
          <w:bCs/>
        </w:rPr>
        <w:t>“We collect out prescriptions from the same Chemist but every month they never have our medicines ready and although it is bagged ready they only give some. I really need to check I have everything whilst I am there as I always have to go back and they always say they forgot to hand everything over. Very frustrating.”</w:t>
      </w:r>
    </w:p>
    <w:p w14:paraId="1EFDD1E9" w14:textId="76C2ED2E" w:rsidR="002E7558" w:rsidRPr="002E7558" w:rsidRDefault="002E7558" w:rsidP="00DC54F7">
      <w:pPr>
        <w:pStyle w:val="ListParagraph"/>
        <w:numPr>
          <w:ilvl w:val="0"/>
          <w:numId w:val="97"/>
        </w:numPr>
        <w:spacing w:after="0" w:line="240" w:lineRule="auto"/>
        <w:jc w:val="both"/>
        <w:rPr>
          <w:rFonts w:ascii="Arial" w:hAnsi="Arial" w:cs="Arial"/>
          <w:bCs/>
        </w:rPr>
      </w:pPr>
      <w:r w:rsidRPr="002E7558">
        <w:rPr>
          <w:rFonts w:ascii="Arial" w:hAnsi="Arial" w:cs="Arial"/>
          <w:bCs/>
        </w:rPr>
        <w:t xml:space="preserve">“Lying about Dr's request for example my Step Father needed urgent </w:t>
      </w:r>
      <w:r w:rsidR="00540D6F" w:rsidRPr="002E7558">
        <w:rPr>
          <w:rFonts w:ascii="Arial" w:hAnsi="Arial" w:cs="Arial"/>
          <w:bCs/>
        </w:rPr>
        <w:t>medication, which</w:t>
      </w:r>
      <w:r w:rsidRPr="002E7558">
        <w:rPr>
          <w:rFonts w:ascii="Arial" w:hAnsi="Arial" w:cs="Arial"/>
          <w:bCs/>
        </w:rPr>
        <w:t xml:space="preserve"> Dr made house call &amp; marked as </w:t>
      </w:r>
      <w:r w:rsidR="00540D6F" w:rsidRPr="002E7558">
        <w:rPr>
          <w:rFonts w:ascii="Arial" w:hAnsi="Arial" w:cs="Arial"/>
          <w:bCs/>
        </w:rPr>
        <w:t>urgent. The</w:t>
      </w:r>
      <w:r w:rsidRPr="002E7558">
        <w:rPr>
          <w:rFonts w:ascii="Arial" w:hAnsi="Arial" w:cs="Arial"/>
          <w:bCs/>
        </w:rPr>
        <w:t xml:space="preserve"> front of house staff count have careless saying nope not </w:t>
      </w:r>
      <w:r w:rsidR="00540D6F" w:rsidRPr="002E7558">
        <w:rPr>
          <w:rFonts w:ascii="Arial" w:hAnsi="Arial" w:cs="Arial"/>
          <w:bCs/>
        </w:rPr>
        <w:t>ready, come</w:t>
      </w:r>
      <w:r w:rsidRPr="002E7558">
        <w:rPr>
          <w:rFonts w:ascii="Arial" w:hAnsi="Arial" w:cs="Arial"/>
          <w:bCs/>
        </w:rPr>
        <w:t xml:space="preserve"> back tomorrow. When investigated yes the dr had written urgent on there, dr enquired as he was concerned by this. We had an apology but was so upsetting my Mum refused to go </w:t>
      </w:r>
      <w:r w:rsidR="00540D6F" w:rsidRPr="002E7558">
        <w:rPr>
          <w:rFonts w:ascii="Arial" w:hAnsi="Arial" w:cs="Arial"/>
          <w:bCs/>
        </w:rPr>
        <w:t>there. I</w:t>
      </w:r>
      <w:r w:rsidRPr="002E7558">
        <w:rPr>
          <w:rFonts w:ascii="Arial" w:hAnsi="Arial" w:cs="Arial"/>
          <w:bCs/>
        </w:rPr>
        <w:t xml:space="preserve"> guess my frustration was the pharmacy knew my Step Dad was seriously </w:t>
      </w:r>
      <w:r w:rsidR="00540D6F" w:rsidRPr="002E7558">
        <w:rPr>
          <w:rFonts w:ascii="Arial" w:hAnsi="Arial" w:cs="Arial"/>
          <w:bCs/>
        </w:rPr>
        <w:t>ill, he</w:t>
      </w:r>
      <w:r w:rsidRPr="002E7558">
        <w:rPr>
          <w:rFonts w:ascii="Arial" w:hAnsi="Arial" w:cs="Arial"/>
          <w:bCs/>
        </w:rPr>
        <w:t xml:space="preserve"> took this medication but the dose was increased but they refused to deal with it </w:t>
      </w:r>
      <w:r w:rsidR="00540D6F" w:rsidRPr="002E7558">
        <w:rPr>
          <w:rFonts w:ascii="Arial" w:hAnsi="Arial" w:cs="Arial"/>
          <w:bCs/>
        </w:rPr>
        <w:t>urgently. They</w:t>
      </w:r>
      <w:r w:rsidRPr="002E7558">
        <w:rPr>
          <w:rFonts w:ascii="Arial" w:hAnsi="Arial" w:cs="Arial"/>
          <w:bCs/>
        </w:rPr>
        <w:t xml:space="preserve"> even showed the paper at a distance to my Mum who by now reduced to </w:t>
      </w:r>
      <w:r w:rsidR="00540D6F" w:rsidRPr="002E7558">
        <w:rPr>
          <w:rFonts w:ascii="Arial" w:hAnsi="Arial" w:cs="Arial"/>
          <w:bCs/>
        </w:rPr>
        <w:t>tears. Which</w:t>
      </w:r>
      <w:r w:rsidRPr="002E7558">
        <w:rPr>
          <w:rFonts w:ascii="Arial" w:hAnsi="Arial" w:cs="Arial"/>
          <w:bCs/>
        </w:rPr>
        <w:t xml:space="preserve"> is conflicting when say </w:t>
      </w:r>
      <w:r w:rsidR="00540D6F" w:rsidRPr="002E7558">
        <w:rPr>
          <w:rFonts w:ascii="Arial" w:hAnsi="Arial" w:cs="Arial"/>
          <w:bCs/>
        </w:rPr>
        <w:t>don’t</w:t>
      </w:r>
      <w:r w:rsidRPr="002E7558">
        <w:rPr>
          <w:rFonts w:ascii="Arial" w:hAnsi="Arial" w:cs="Arial"/>
          <w:bCs/>
        </w:rPr>
        <w:t xml:space="preserve"> bother GP go see the pharmacist!”</w:t>
      </w:r>
    </w:p>
    <w:p w14:paraId="44840B00" w14:textId="6AC1EF6C" w:rsidR="00503813" w:rsidRDefault="00503813" w:rsidP="00DC54F7">
      <w:pPr>
        <w:spacing w:after="0" w:line="240" w:lineRule="auto"/>
        <w:jc w:val="both"/>
        <w:rPr>
          <w:rFonts w:ascii="Arial" w:hAnsi="Arial" w:cs="Arial"/>
          <w:bCs/>
        </w:rPr>
      </w:pPr>
    </w:p>
    <w:p w14:paraId="6A680A1F" w14:textId="4B26FFB4" w:rsidR="005D0823" w:rsidRPr="005D0823" w:rsidRDefault="005D0823" w:rsidP="00DC54F7">
      <w:pPr>
        <w:spacing w:after="0" w:line="240" w:lineRule="auto"/>
        <w:jc w:val="both"/>
        <w:rPr>
          <w:rFonts w:ascii="Arial" w:hAnsi="Arial" w:cs="Arial"/>
          <w:bCs/>
        </w:rPr>
      </w:pPr>
      <w:r>
        <w:rPr>
          <w:rFonts w:ascii="Arial" w:hAnsi="Arial" w:cs="Arial"/>
          <w:bCs/>
        </w:rPr>
        <w:t>F</w:t>
      </w:r>
      <w:r w:rsidR="002E7558">
        <w:rPr>
          <w:rFonts w:ascii="Arial" w:hAnsi="Arial" w:cs="Arial"/>
          <w:bCs/>
        </w:rPr>
        <w:t>ive</w:t>
      </w:r>
      <w:r>
        <w:rPr>
          <w:rFonts w:ascii="Arial" w:hAnsi="Arial" w:cs="Arial"/>
          <w:bCs/>
        </w:rPr>
        <w:t xml:space="preserve"> comments mentioned</w:t>
      </w:r>
      <w:r w:rsidR="00216AAA">
        <w:rPr>
          <w:rFonts w:ascii="Arial" w:hAnsi="Arial" w:cs="Arial"/>
          <w:bCs/>
        </w:rPr>
        <w:t>,</w:t>
      </w:r>
      <w:r w:rsidR="00BE4D32">
        <w:rPr>
          <w:rFonts w:ascii="Arial" w:hAnsi="Arial" w:cs="Arial"/>
          <w:bCs/>
        </w:rPr>
        <w:t xml:space="preserve"> amongst other things,</w:t>
      </w:r>
      <w:r>
        <w:rPr>
          <w:rFonts w:ascii="Arial" w:hAnsi="Arial" w:cs="Arial"/>
          <w:bCs/>
        </w:rPr>
        <w:t xml:space="preserve"> difficulties with collecting prescriptions:</w:t>
      </w:r>
    </w:p>
    <w:p w14:paraId="44E31319" w14:textId="1CEA971D" w:rsidR="00595E0F" w:rsidRPr="00595E0F" w:rsidRDefault="00595E0F" w:rsidP="00DC54F7">
      <w:pPr>
        <w:pStyle w:val="ListParagraph"/>
        <w:numPr>
          <w:ilvl w:val="0"/>
          <w:numId w:val="116"/>
        </w:numPr>
        <w:spacing w:after="0" w:line="240" w:lineRule="auto"/>
        <w:jc w:val="both"/>
        <w:rPr>
          <w:rFonts w:ascii="Arial" w:hAnsi="Arial" w:cs="Arial"/>
          <w:bCs/>
        </w:rPr>
      </w:pPr>
      <w:r w:rsidRPr="00595E0F">
        <w:rPr>
          <w:rFonts w:ascii="Arial" w:hAnsi="Arial" w:cs="Arial"/>
          <w:bCs/>
        </w:rPr>
        <w:t xml:space="preserve">“They make it as awkward as possible to collect medication. Opening hours are difficult. They only collect prescriptions from the go once per day. If a prescription is handed in you are asked to wait outside in the rain even if it is empty.” </w:t>
      </w:r>
    </w:p>
    <w:p w14:paraId="703CDFF1" w14:textId="547AEF73" w:rsidR="005D0823" w:rsidRDefault="00595E0F" w:rsidP="00DC54F7">
      <w:pPr>
        <w:pStyle w:val="ListParagraph"/>
        <w:numPr>
          <w:ilvl w:val="0"/>
          <w:numId w:val="116"/>
        </w:numPr>
        <w:spacing w:after="0" w:line="240" w:lineRule="auto"/>
        <w:jc w:val="both"/>
        <w:rPr>
          <w:rFonts w:ascii="Arial" w:hAnsi="Arial" w:cs="Arial"/>
          <w:bCs/>
        </w:rPr>
      </w:pPr>
      <w:r w:rsidRPr="00595E0F">
        <w:rPr>
          <w:rFonts w:ascii="Arial" w:hAnsi="Arial" w:cs="Arial"/>
          <w:bCs/>
        </w:rPr>
        <w:t>“Slow service, queues outside. Doesn’t seem fair to only have 1 person on the counter to deal with collecting and queries. During this time, I think a quicker collection service would be better</w:t>
      </w:r>
      <w:r w:rsidR="00503813">
        <w:rPr>
          <w:rFonts w:ascii="Arial" w:hAnsi="Arial" w:cs="Arial"/>
          <w:bCs/>
        </w:rPr>
        <w:t>.”</w:t>
      </w:r>
    </w:p>
    <w:p w14:paraId="0B40F25C" w14:textId="1949E14B" w:rsidR="002E7558" w:rsidRPr="002E7558" w:rsidRDefault="002E7558" w:rsidP="00DC54F7">
      <w:pPr>
        <w:pStyle w:val="ListParagraph"/>
        <w:numPr>
          <w:ilvl w:val="0"/>
          <w:numId w:val="116"/>
        </w:numPr>
        <w:spacing w:after="0" w:line="240" w:lineRule="auto"/>
        <w:jc w:val="both"/>
        <w:rPr>
          <w:rFonts w:ascii="Arial" w:hAnsi="Arial" w:cs="Arial"/>
          <w:bCs/>
        </w:rPr>
      </w:pPr>
      <w:r w:rsidRPr="002E7558">
        <w:rPr>
          <w:rFonts w:ascii="Arial" w:eastAsia="Times New Roman" w:hAnsi="Arial" w:cs="Arial"/>
          <w:color w:val="000000"/>
          <w:lang w:eastAsia="en-GB"/>
        </w:rPr>
        <w:lastRenderedPageBreak/>
        <w:t>“They don't contact me when repeat prescription in, so food on prescription was out of date &amp; not given too me -what a waste of public money!! I assume the pharmacy would be paid for administering an incorrect prescription!!”</w:t>
      </w:r>
    </w:p>
    <w:p w14:paraId="32D94A94" w14:textId="18781C1D" w:rsidR="00D342CD" w:rsidRPr="00BC2C95" w:rsidRDefault="00BC7BDD" w:rsidP="00DC54F7">
      <w:pPr>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Three comments were about</w:t>
      </w:r>
      <w:r w:rsidR="00A12FA5" w:rsidRPr="00BC2C95">
        <w:rPr>
          <w:rFonts w:ascii="Arial" w:eastAsia="Times New Roman" w:hAnsi="Arial" w:cs="Arial"/>
          <w:sz w:val="24"/>
          <w:szCs w:val="24"/>
          <w:lang w:eastAsia="en-GB"/>
        </w:rPr>
        <w:t xml:space="preserve"> the </w:t>
      </w:r>
      <w:r w:rsidRPr="00BC2C95">
        <w:rPr>
          <w:rFonts w:ascii="Arial" w:eastAsia="Times New Roman" w:hAnsi="Arial" w:cs="Arial"/>
          <w:sz w:val="24"/>
          <w:szCs w:val="24"/>
          <w:lang w:eastAsia="en-GB"/>
        </w:rPr>
        <w:t>location</w:t>
      </w:r>
      <w:r w:rsidR="00A12FA5" w:rsidRPr="00BC2C95">
        <w:rPr>
          <w:rFonts w:ascii="Arial" w:eastAsia="Times New Roman" w:hAnsi="Arial" w:cs="Arial"/>
          <w:sz w:val="24"/>
          <w:szCs w:val="24"/>
          <w:lang w:eastAsia="en-GB"/>
        </w:rPr>
        <w:t xml:space="preserve"> of the pharmacy</w:t>
      </w:r>
      <w:r w:rsidRPr="00BC2C95">
        <w:rPr>
          <w:rFonts w:ascii="Arial" w:eastAsia="Times New Roman" w:hAnsi="Arial" w:cs="Arial"/>
          <w:sz w:val="24"/>
          <w:szCs w:val="24"/>
          <w:lang w:eastAsia="en-GB"/>
        </w:rPr>
        <w:t>:</w:t>
      </w:r>
    </w:p>
    <w:p w14:paraId="1AB1EE79" w14:textId="2D43EB42" w:rsidR="00D342CD" w:rsidRPr="00BC2C95" w:rsidRDefault="00D342CD" w:rsidP="00DC54F7">
      <w:pPr>
        <w:pStyle w:val="ListParagraph"/>
        <w:numPr>
          <w:ilvl w:val="0"/>
          <w:numId w:val="93"/>
        </w:numPr>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“The locations of the nearest pharmacies to my GP are not convenient and I find it difficult when walking.”</w:t>
      </w:r>
    </w:p>
    <w:p w14:paraId="21A50118" w14:textId="33B8D3E6" w:rsidR="00D35CA3" w:rsidRPr="00BC2C95" w:rsidRDefault="00FD6FB3" w:rsidP="00DC54F7">
      <w:pPr>
        <w:pStyle w:val="ListParagraph"/>
        <w:numPr>
          <w:ilvl w:val="0"/>
          <w:numId w:val="93"/>
        </w:numPr>
        <w:spacing w:after="0" w:line="240" w:lineRule="auto"/>
        <w:jc w:val="both"/>
        <w:rPr>
          <w:rFonts w:ascii="Arial" w:eastAsia="Times New Roman" w:hAnsi="Arial" w:cs="Arial"/>
          <w:sz w:val="24"/>
          <w:szCs w:val="24"/>
          <w:lang w:eastAsia="en-GB"/>
        </w:rPr>
      </w:pPr>
      <w:r w:rsidRPr="00BC2C95">
        <w:rPr>
          <w:rFonts w:ascii="Arial" w:eastAsia="Times New Roman" w:hAnsi="Arial" w:cs="Arial"/>
          <w:color w:val="000000"/>
          <w:sz w:val="24"/>
          <w:szCs w:val="24"/>
          <w:lang w:eastAsia="en-GB"/>
        </w:rPr>
        <w:t>“</w:t>
      </w:r>
      <w:r w:rsidR="00D35CA3" w:rsidRPr="00BC2C95">
        <w:rPr>
          <w:rFonts w:ascii="Arial" w:eastAsia="Times New Roman" w:hAnsi="Arial" w:cs="Arial"/>
          <w:color w:val="000000"/>
          <w:sz w:val="24"/>
          <w:szCs w:val="24"/>
          <w:lang w:eastAsia="en-GB"/>
        </w:rPr>
        <w:t>Would be useful if my own gp had pharmacy attached to it. [Name of surgery]</w:t>
      </w:r>
      <w:r w:rsidR="005C78AD" w:rsidRPr="00BC2C95">
        <w:rPr>
          <w:rFonts w:ascii="Arial" w:eastAsia="Times New Roman" w:hAnsi="Arial" w:cs="Arial"/>
          <w:color w:val="000000"/>
          <w:sz w:val="24"/>
          <w:szCs w:val="24"/>
          <w:lang w:eastAsia="en-GB"/>
        </w:rPr>
        <w:t>.”</w:t>
      </w:r>
    </w:p>
    <w:p w14:paraId="3B31740D" w14:textId="3CF3EF82" w:rsidR="00CA33FB" w:rsidRPr="00BC2C95" w:rsidRDefault="00CA33FB" w:rsidP="00DC54F7">
      <w:pPr>
        <w:spacing w:after="0" w:line="240" w:lineRule="auto"/>
        <w:jc w:val="both"/>
        <w:rPr>
          <w:rFonts w:ascii="Arial" w:eastAsia="Times New Roman" w:hAnsi="Arial" w:cs="Arial"/>
          <w:sz w:val="24"/>
          <w:szCs w:val="24"/>
          <w:lang w:eastAsia="en-GB"/>
        </w:rPr>
      </w:pPr>
    </w:p>
    <w:p w14:paraId="75381C00" w14:textId="64D7E1B1" w:rsidR="00D35CA3" w:rsidRPr="00BC2C95" w:rsidRDefault="00D35CA3" w:rsidP="00DC54F7">
      <w:pPr>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 xml:space="preserve">Three comments </w:t>
      </w:r>
      <w:r w:rsidR="0063511C" w:rsidRPr="00BC2C95">
        <w:rPr>
          <w:rFonts w:ascii="Arial" w:eastAsia="Times New Roman" w:hAnsi="Arial" w:cs="Arial"/>
          <w:sz w:val="24"/>
          <w:szCs w:val="24"/>
          <w:lang w:eastAsia="en-GB"/>
        </w:rPr>
        <w:t>mention</w:t>
      </w:r>
      <w:r w:rsidR="00350113" w:rsidRPr="00BC2C95">
        <w:rPr>
          <w:rFonts w:ascii="Arial" w:eastAsia="Times New Roman" w:hAnsi="Arial" w:cs="Arial"/>
          <w:sz w:val="24"/>
          <w:szCs w:val="24"/>
          <w:lang w:eastAsia="en-GB"/>
        </w:rPr>
        <w:t>ed</w:t>
      </w:r>
      <w:r w:rsidR="0063511C" w:rsidRPr="00BC2C95">
        <w:rPr>
          <w:rFonts w:ascii="Arial" w:eastAsia="Times New Roman" w:hAnsi="Arial" w:cs="Arial"/>
          <w:sz w:val="24"/>
          <w:szCs w:val="24"/>
          <w:lang w:eastAsia="en-GB"/>
        </w:rPr>
        <w:t xml:space="preserve"> </w:t>
      </w:r>
      <w:r w:rsidR="00965827" w:rsidRPr="00BC2C95">
        <w:rPr>
          <w:rFonts w:ascii="Arial" w:eastAsia="Times New Roman" w:hAnsi="Arial" w:cs="Arial"/>
          <w:sz w:val="24"/>
          <w:szCs w:val="24"/>
          <w:lang w:eastAsia="en-GB"/>
        </w:rPr>
        <w:t>‘</w:t>
      </w:r>
      <w:r w:rsidR="00DB7389" w:rsidRPr="00BC2C95">
        <w:rPr>
          <w:rFonts w:ascii="Arial" w:eastAsia="Times New Roman" w:hAnsi="Arial" w:cs="Arial"/>
          <w:sz w:val="24"/>
          <w:szCs w:val="24"/>
          <w:lang w:eastAsia="en-GB"/>
        </w:rPr>
        <w:t>fitness</w:t>
      </w:r>
      <w:r w:rsidR="00F73944" w:rsidRPr="00BC2C95">
        <w:rPr>
          <w:rFonts w:ascii="Arial" w:eastAsia="Times New Roman" w:hAnsi="Arial" w:cs="Arial"/>
          <w:sz w:val="24"/>
          <w:szCs w:val="24"/>
          <w:lang w:eastAsia="en-GB"/>
        </w:rPr>
        <w:t xml:space="preserve"> for purpose</w:t>
      </w:r>
      <w:r w:rsidR="00965827" w:rsidRPr="00BC2C95">
        <w:rPr>
          <w:rFonts w:ascii="Arial" w:eastAsia="Times New Roman" w:hAnsi="Arial" w:cs="Arial"/>
          <w:sz w:val="24"/>
          <w:szCs w:val="24"/>
          <w:lang w:eastAsia="en-GB"/>
        </w:rPr>
        <w:t>’</w:t>
      </w:r>
      <w:r w:rsidR="00F73944" w:rsidRPr="00BC2C95">
        <w:rPr>
          <w:rFonts w:ascii="Arial" w:eastAsia="Times New Roman" w:hAnsi="Arial" w:cs="Arial"/>
          <w:sz w:val="24"/>
          <w:szCs w:val="24"/>
          <w:lang w:eastAsia="en-GB"/>
        </w:rPr>
        <w:t xml:space="preserve"> </w:t>
      </w:r>
      <w:r w:rsidR="00B60F00" w:rsidRPr="00BC2C95">
        <w:rPr>
          <w:rFonts w:ascii="Arial" w:eastAsia="Times New Roman" w:hAnsi="Arial" w:cs="Arial"/>
          <w:sz w:val="24"/>
          <w:szCs w:val="24"/>
          <w:lang w:eastAsia="en-GB"/>
        </w:rPr>
        <w:t xml:space="preserve">to meet </w:t>
      </w:r>
      <w:r w:rsidR="00965827" w:rsidRPr="00BC2C95">
        <w:rPr>
          <w:rFonts w:ascii="Arial" w:eastAsia="Times New Roman" w:hAnsi="Arial" w:cs="Arial"/>
          <w:sz w:val="24"/>
          <w:szCs w:val="24"/>
          <w:lang w:eastAsia="en-GB"/>
        </w:rPr>
        <w:t>growing</w:t>
      </w:r>
      <w:r w:rsidR="00B60F00" w:rsidRPr="00BC2C95">
        <w:rPr>
          <w:rFonts w:ascii="Arial" w:eastAsia="Times New Roman" w:hAnsi="Arial" w:cs="Arial"/>
          <w:sz w:val="24"/>
          <w:szCs w:val="24"/>
          <w:lang w:eastAsia="en-GB"/>
        </w:rPr>
        <w:t xml:space="preserve"> needs</w:t>
      </w:r>
      <w:r w:rsidR="00350113" w:rsidRPr="00BC2C95">
        <w:rPr>
          <w:rFonts w:ascii="Arial" w:eastAsia="Times New Roman" w:hAnsi="Arial" w:cs="Arial"/>
          <w:sz w:val="24"/>
          <w:szCs w:val="24"/>
          <w:lang w:eastAsia="en-GB"/>
        </w:rPr>
        <w:t xml:space="preserve"> of the area</w:t>
      </w:r>
      <w:r w:rsidR="00B60F00" w:rsidRPr="00BC2C95">
        <w:rPr>
          <w:rFonts w:ascii="Arial" w:eastAsia="Times New Roman" w:hAnsi="Arial" w:cs="Arial"/>
          <w:sz w:val="24"/>
          <w:szCs w:val="24"/>
          <w:lang w:eastAsia="en-GB"/>
        </w:rPr>
        <w:t>:</w:t>
      </w:r>
      <w:r w:rsidR="00CD6BD1" w:rsidRPr="00BC2C95">
        <w:rPr>
          <w:rFonts w:ascii="Arial" w:eastAsia="Times New Roman" w:hAnsi="Arial" w:cs="Arial"/>
          <w:sz w:val="24"/>
          <w:szCs w:val="24"/>
          <w:lang w:eastAsia="en-GB"/>
        </w:rPr>
        <w:t xml:space="preserve"> </w:t>
      </w:r>
    </w:p>
    <w:p w14:paraId="2136D79A" w14:textId="1E4B71E5" w:rsidR="00D35CA3" w:rsidRPr="00BC2C95" w:rsidRDefault="00CA33FB" w:rsidP="00DC54F7">
      <w:pPr>
        <w:pStyle w:val="ListParagraph"/>
        <w:numPr>
          <w:ilvl w:val="0"/>
          <w:numId w:val="93"/>
        </w:numPr>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“It’s too small and too busy. A new housing estate with several thousand new residents hasn’t been planned for. There is higher staff turnover and supplies if needed prescription medicines aren’t always available on time. This can be stressful if supplies of a medicine runs now. Missing items mean repeat visits to the pharmacy, often multiple visits and this is an increasingly frequent issue.”</w:t>
      </w:r>
    </w:p>
    <w:p w14:paraId="03CA5D7E" w14:textId="42A2AAE3" w:rsidR="0078113E" w:rsidRPr="00BC2C95" w:rsidRDefault="0078113E" w:rsidP="00DC54F7">
      <w:pPr>
        <w:pStyle w:val="ListParagraph"/>
        <w:numPr>
          <w:ilvl w:val="0"/>
          <w:numId w:val="93"/>
        </w:numPr>
        <w:spacing w:after="0" w:line="240" w:lineRule="auto"/>
        <w:jc w:val="both"/>
        <w:rPr>
          <w:rFonts w:ascii="Arial" w:eastAsia="Times New Roman" w:hAnsi="Arial" w:cs="Arial"/>
          <w:sz w:val="24"/>
          <w:szCs w:val="24"/>
          <w:lang w:eastAsia="en-GB"/>
        </w:rPr>
      </w:pPr>
      <w:r w:rsidRPr="00BC2C95">
        <w:rPr>
          <w:rFonts w:ascii="Arial" w:eastAsia="Times New Roman" w:hAnsi="Arial" w:cs="Arial"/>
          <w:color w:val="000000"/>
          <w:sz w:val="24"/>
          <w:szCs w:val="24"/>
          <w:lang w:eastAsia="en-GB"/>
        </w:rPr>
        <w:t>“Run down not fit for purpose for a growing area.”</w:t>
      </w:r>
    </w:p>
    <w:p w14:paraId="342ACC4B" w14:textId="77777777" w:rsidR="00936D99" w:rsidRPr="00BC2C95" w:rsidRDefault="00936D99" w:rsidP="00DC54F7">
      <w:pPr>
        <w:spacing w:after="0" w:line="240" w:lineRule="auto"/>
        <w:jc w:val="both"/>
        <w:rPr>
          <w:rFonts w:ascii="Arial" w:eastAsia="Times New Roman" w:hAnsi="Arial" w:cs="Arial"/>
          <w:sz w:val="24"/>
          <w:szCs w:val="24"/>
          <w:lang w:eastAsia="en-GB"/>
        </w:rPr>
      </w:pPr>
    </w:p>
    <w:p w14:paraId="003D148C" w14:textId="4802F2D6" w:rsidR="00A504BB" w:rsidRPr="00BC2C95" w:rsidRDefault="00A504BB" w:rsidP="00DC54F7">
      <w:pPr>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T</w:t>
      </w:r>
      <w:r w:rsidR="009B3EC9" w:rsidRPr="00BC2C95">
        <w:rPr>
          <w:rFonts w:ascii="Arial" w:eastAsia="Times New Roman" w:hAnsi="Arial" w:cs="Arial"/>
          <w:sz w:val="24"/>
          <w:szCs w:val="24"/>
          <w:lang w:eastAsia="en-GB"/>
        </w:rPr>
        <w:t>hree</w:t>
      </w:r>
      <w:r w:rsidRPr="00BC2C95">
        <w:rPr>
          <w:rFonts w:ascii="Arial" w:eastAsia="Times New Roman" w:hAnsi="Arial" w:cs="Arial"/>
          <w:sz w:val="24"/>
          <w:szCs w:val="24"/>
          <w:lang w:eastAsia="en-GB"/>
        </w:rPr>
        <w:t xml:space="preserve"> comments were about the advice provided by pharmacies: </w:t>
      </w:r>
    </w:p>
    <w:p w14:paraId="4249F8A1" w14:textId="77777777" w:rsidR="00A504BB" w:rsidRPr="00BC2C95" w:rsidRDefault="00A504BB" w:rsidP="00DC54F7">
      <w:pPr>
        <w:pStyle w:val="ListParagraph"/>
        <w:numPr>
          <w:ilvl w:val="0"/>
          <w:numId w:val="92"/>
        </w:numPr>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“I think generally counselling service when issuing meds could be better.”</w:t>
      </w:r>
    </w:p>
    <w:p w14:paraId="410F51D1" w14:textId="05AD5AFC" w:rsidR="005553EA" w:rsidRPr="00BC2C95" w:rsidRDefault="00A504BB" w:rsidP="00DC54F7">
      <w:pPr>
        <w:pStyle w:val="ListParagraph"/>
        <w:numPr>
          <w:ilvl w:val="0"/>
          <w:numId w:val="92"/>
        </w:numPr>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“The pharmacists themselves are usually very busy and often out of sight of the main counter. It's therefore more likely that if I need advice I would initially have to discuss this with a member of sales staff who would then refer a question on to the pharmacist. This seems reasonable but I don't always feel that I'm getting 'expert' advice in the same way, despite the fact that I'm sure sales staff have a degree of training. There is no direct access to the pharmacist, either by phone or in person. One pharmacy I use nearby doesn't even answer the phone, no doubt due to the number of calls they would need to take if they did.”</w:t>
      </w:r>
    </w:p>
    <w:p w14:paraId="0F2D8D47" w14:textId="77777777" w:rsidR="005D0823" w:rsidRPr="00BC2C95" w:rsidRDefault="005D0823" w:rsidP="00DC54F7">
      <w:pPr>
        <w:pStyle w:val="ListParagraph"/>
        <w:numPr>
          <w:ilvl w:val="0"/>
          <w:numId w:val="92"/>
        </w:numPr>
        <w:spacing w:after="0" w:line="240" w:lineRule="auto"/>
        <w:jc w:val="both"/>
        <w:rPr>
          <w:rFonts w:ascii="Arial" w:hAnsi="Arial" w:cs="Arial"/>
          <w:bCs/>
          <w:sz w:val="24"/>
          <w:szCs w:val="24"/>
        </w:rPr>
      </w:pPr>
      <w:r w:rsidRPr="00BC2C95">
        <w:rPr>
          <w:rFonts w:ascii="Arial" w:hAnsi="Arial" w:cs="Arial"/>
          <w:bCs/>
          <w:sz w:val="24"/>
          <w:szCs w:val="24"/>
        </w:rPr>
        <w:t>“I feel that I can get advice from them quicker than with a GP, more approachable.”</w:t>
      </w:r>
    </w:p>
    <w:p w14:paraId="66881F81" w14:textId="77777777" w:rsidR="005D0823" w:rsidRPr="00BC2C95" w:rsidRDefault="005D0823" w:rsidP="00DC54F7">
      <w:pPr>
        <w:spacing w:after="0" w:line="240" w:lineRule="auto"/>
        <w:jc w:val="both"/>
        <w:rPr>
          <w:rFonts w:ascii="Arial" w:eastAsia="Times New Roman" w:hAnsi="Arial" w:cs="Arial"/>
          <w:sz w:val="24"/>
          <w:szCs w:val="24"/>
          <w:lang w:eastAsia="en-GB"/>
        </w:rPr>
      </w:pPr>
    </w:p>
    <w:p w14:paraId="34D9BAA1" w14:textId="3CAFD98B" w:rsidR="00D92C09" w:rsidRPr="00BC2C95" w:rsidRDefault="00D92C09" w:rsidP="00DC54F7">
      <w:pPr>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 xml:space="preserve">Three comments were </w:t>
      </w:r>
      <w:r w:rsidR="00C34EA2" w:rsidRPr="00BC2C95">
        <w:rPr>
          <w:rFonts w:ascii="Arial" w:eastAsia="Times New Roman" w:hAnsi="Arial" w:cs="Arial"/>
          <w:sz w:val="24"/>
          <w:szCs w:val="24"/>
          <w:lang w:eastAsia="en-GB"/>
        </w:rPr>
        <w:t>about other pharmacy services available on the NHS:</w:t>
      </w:r>
    </w:p>
    <w:p w14:paraId="0AF004F2" w14:textId="77777777" w:rsidR="00C34EA2" w:rsidRPr="00BC2C95" w:rsidRDefault="00C34EA2" w:rsidP="00DC54F7">
      <w:pPr>
        <w:pStyle w:val="ListParagraph"/>
        <w:numPr>
          <w:ilvl w:val="0"/>
          <w:numId w:val="115"/>
        </w:numPr>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 xml:space="preserve">“I’ve been getting a flu vaccine since 2017 when my mum and brother both developed cancer as I didn’t want to put them at greater risk. I pay for my flu jab.” </w:t>
      </w:r>
    </w:p>
    <w:p w14:paraId="34FA76A1" w14:textId="05C35E21" w:rsidR="00C34EA2" w:rsidRPr="00BC2C95" w:rsidRDefault="00C34EA2" w:rsidP="00DC54F7">
      <w:pPr>
        <w:pStyle w:val="ListParagraph"/>
        <w:numPr>
          <w:ilvl w:val="0"/>
          <w:numId w:val="115"/>
        </w:numPr>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“Feel that the medicine review was forced on me. Was of no use at all and had the impression it was a money making box ticking opportunity for the pharmacy and of more benefit to them than me.”</w:t>
      </w:r>
    </w:p>
    <w:p w14:paraId="4C19C6B5" w14:textId="0ECAA61E" w:rsidR="00E401AA" w:rsidRPr="00BC2C95" w:rsidRDefault="00C34EA2" w:rsidP="00DC54F7">
      <w:pPr>
        <w:pStyle w:val="ListParagraph"/>
        <w:numPr>
          <w:ilvl w:val="0"/>
          <w:numId w:val="115"/>
        </w:numPr>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“One medication review ever. I didn't know what it was. It was of no use whatsoever. Advice is to ask at the hospital. Basically I make it up as I go or ask on twitter. “</w:t>
      </w:r>
    </w:p>
    <w:p w14:paraId="06F477AC" w14:textId="13BA92BE" w:rsidR="002102DF" w:rsidRPr="00BC2C95" w:rsidRDefault="002102DF" w:rsidP="00DC54F7">
      <w:pPr>
        <w:spacing w:after="0" w:line="240" w:lineRule="auto"/>
        <w:jc w:val="both"/>
        <w:rPr>
          <w:rFonts w:ascii="Arial" w:eastAsia="Times New Roman" w:hAnsi="Arial" w:cs="Arial"/>
          <w:sz w:val="24"/>
          <w:szCs w:val="24"/>
          <w:lang w:eastAsia="en-GB"/>
        </w:rPr>
      </w:pPr>
    </w:p>
    <w:p w14:paraId="31A8C0FD" w14:textId="770ED9B6" w:rsidR="003249D2" w:rsidRPr="00BC2C95" w:rsidRDefault="002102DF" w:rsidP="00DC54F7">
      <w:pPr>
        <w:spacing w:after="0" w:line="240" w:lineRule="auto"/>
        <w:jc w:val="both"/>
        <w:rPr>
          <w:sz w:val="24"/>
          <w:szCs w:val="24"/>
        </w:rPr>
      </w:pPr>
      <w:r w:rsidRPr="00BC2C95">
        <w:rPr>
          <w:rFonts w:ascii="Arial" w:eastAsia="Times New Roman" w:hAnsi="Arial" w:cs="Arial"/>
          <w:sz w:val="24"/>
          <w:szCs w:val="24"/>
          <w:lang w:eastAsia="en-GB"/>
        </w:rPr>
        <w:t xml:space="preserve">One comment mentioned </w:t>
      </w:r>
      <w:r w:rsidR="002B31BA" w:rsidRPr="00BC2C95">
        <w:rPr>
          <w:rFonts w:ascii="Arial" w:eastAsia="Times New Roman" w:hAnsi="Arial" w:cs="Arial"/>
          <w:sz w:val="24"/>
          <w:szCs w:val="24"/>
          <w:lang w:eastAsia="en-GB"/>
        </w:rPr>
        <w:t xml:space="preserve">a request for a </w:t>
      </w:r>
      <w:r w:rsidR="007D1B96" w:rsidRPr="00BC2C95">
        <w:rPr>
          <w:rFonts w:ascii="Arial" w:eastAsia="Times New Roman" w:hAnsi="Arial" w:cs="Arial"/>
          <w:sz w:val="24"/>
          <w:szCs w:val="24"/>
          <w:lang w:eastAsia="en-GB"/>
        </w:rPr>
        <w:t xml:space="preserve">service that is not </w:t>
      </w:r>
      <w:r w:rsidR="00383B5E" w:rsidRPr="00BC2C95">
        <w:rPr>
          <w:rFonts w:ascii="Arial" w:eastAsia="Times New Roman" w:hAnsi="Arial" w:cs="Arial"/>
          <w:sz w:val="24"/>
          <w:szCs w:val="24"/>
          <w:lang w:eastAsia="en-GB"/>
        </w:rPr>
        <w:t xml:space="preserve">routinely available </w:t>
      </w:r>
      <w:r w:rsidR="007D1B96" w:rsidRPr="00BC2C95">
        <w:rPr>
          <w:rFonts w:ascii="Arial" w:eastAsia="Times New Roman" w:hAnsi="Arial" w:cs="Arial"/>
          <w:sz w:val="24"/>
          <w:szCs w:val="24"/>
          <w:lang w:eastAsia="en-GB"/>
        </w:rPr>
        <w:t>on the NHS, except following an assessment under the Equality Act</w:t>
      </w:r>
      <w:r w:rsidR="00992A5F" w:rsidRPr="00BC2C95">
        <w:rPr>
          <w:rFonts w:ascii="Arial" w:eastAsia="Times New Roman" w:hAnsi="Arial" w:cs="Arial"/>
          <w:sz w:val="24"/>
          <w:szCs w:val="24"/>
          <w:lang w:eastAsia="en-GB"/>
        </w:rPr>
        <w:t xml:space="preserve"> and where </w:t>
      </w:r>
      <w:r w:rsidR="00260777" w:rsidRPr="00BC2C95">
        <w:rPr>
          <w:rFonts w:ascii="Arial" w:eastAsia="Times New Roman" w:hAnsi="Arial" w:cs="Arial"/>
          <w:sz w:val="24"/>
          <w:szCs w:val="24"/>
          <w:lang w:eastAsia="en-GB"/>
        </w:rPr>
        <w:t xml:space="preserve">a </w:t>
      </w:r>
      <w:r w:rsidR="007D1B96" w:rsidRPr="00BC2C95">
        <w:rPr>
          <w:rFonts w:ascii="Arial" w:eastAsia="Times New Roman" w:hAnsi="Arial" w:cs="Arial"/>
          <w:sz w:val="24"/>
          <w:szCs w:val="24"/>
          <w:lang w:eastAsia="en-GB"/>
        </w:rPr>
        <w:t>reasonable adjustment</w:t>
      </w:r>
      <w:r w:rsidR="00260777" w:rsidRPr="00BC2C95">
        <w:rPr>
          <w:rFonts w:ascii="Arial" w:eastAsia="Times New Roman" w:hAnsi="Arial" w:cs="Arial"/>
          <w:sz w:val="24"/>
          <w:szCs w:val="24"/>
          <w:lang w:eastAsia="en-GB"/>
        </w:rPr>
        <w:t xml:space="preserve"> is</w:t>
      </w:r>
      <w:r w:rsidR="00992A5F" w:rsidRPr="00BC2C95">
        <w:rPr>
          <w:rFonts w:ascii="Arial" w:eastAsia="Times New Roman" w:hAnsi="Arial" w:cs="Arial"/>
          <w:sz w:val="24"/>
          <w:szCs w:val="24"/>
          <w:lang w:eastAsia="en-GB"/>
        </w:rPr>
        <w:t xml:space="preserve"> </w:t>
      </w:r>
      <w:r w:rsidR="003B4886" w:rsidRPr="00BC2C95">
        <w:rPr>
          <w:rFonts w:ascii="Arial" w:eastAsia="Times New Roman" w:hAnsi="Arial" w:cs="Arial"/>
          <w:sz w:val="24"/>
          <w:szCs w:val="24"/>
          <w:lang w:eastAsia="en-GB"/>
        </w:rPr>
        <w:t xml:space="preserve">identified as </w:t>
      </w:r>
      <w:r w:rsidR="00992A5F" w:rsidRPr="00BC2C95">
        <w:rPr>
          <w:rFonts w:ascii="Arial" w:eastAsia="Times New Roman" w:hAnsi="Arial" w:cs="Arial"/>
          <w:sz w:val="24"/>
          <w:szCs w:val="24"/>
          <w:lang w:eastAsia="en-GB"/>
        </w:rPr>
        <w:t>required</w:t>
      </w:r>
      <w:r w:rsidR="006B0E73" w:rsidRPr="00BC2C95">
        <w:rPr>
          <w:rFonts w:ascii="Arial" w:eastAsia="Times New Roman" w:hAnsi="Arial" w:cs="Arial"/>
          <w:sz w:val="24"/>
          <w:szCs w:val="24"/>
          <w:lang w:eastAsia="en-GB"/>
        </w:rPr>
        <w:t>, such as the provision of a compliance aid</w:t>
      </w:r>
      <w:r w:rsidR="003249D2" w:rsidRPr="00BC2C95">
        <w:rPr>
          <w:sz w:val="24"/>
          <w:szCs w:val="24"/>
        </w:rPr>
        <w:t>:</w:t>
      </w:r>
    </w:p>
    <w:p w14:paraId="5867732E" w14:textId="424DA087" w:rsidR="002102DF" w:rsidRPr="00BC2C95" w:rsidRDefault="002102DF" w:rsidP="00DC54F7">
      <w:pPr>
        <w:pStyle w:val="ListParagraph"/>
        <w:numPr>
          <w:ilvl w:val="0"/>
          <w:numId w:val="118"/>
        </w:numPr>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 xml:space="preserve">“My mother has her regular medication delivered by the pharmacy next door to her GP Practice, however, quite often, medication is not delivered or pumps left in the fridge in the pharmacy. My 85 year old mother has been in hospital for the past 4 weeks with Covid and is due to come home on Monday 15th February, once a care package has been put in place. We have been asked by the Social Worker to arrange for mum's medication to be put into 'Blister Packs' so that the care workers can help her with her medication, but, despite phoning every chemist in [name of </w:t>
      </w:r>
      <w:r w:rsidRPr="00BC2C95">
        <w:rPr>
          <w:rFonts w:ascii="Arial" w:eastAsia="Times New Roman" w:hAnsi="Arial" w:cs="Arial"/>
          <w:sz w:val="24"/>
          <w:szCs w:val="24"/>
          <w:lang w:eastAsia="en-GB"/>
        </w:rPr>
        <w:lastRenderedPageBreak/>
        <w:t>location], none of them are able to help us and mum's usual pharmacy doesn't even offer this service.”</w:t>
      </w:r>
    </w:p>
    <w:p w14:paraId="37142A05" w14:textId="526D12EC" w:rsidR="00893DFD" w:rsidRPr="00BC2C95" w:rsidRDefault="00893DFD" w:rsidP="00DC54F7">
      <w:pPr>
        <w:spacing w:after="0" w:line="240" w:lineRule="auto"/>
        <w:jc w:val="both"/>
        <w:rPr>
          <w:rFonts w:ascii="Arial" w:eastAsia="Times New Roman" w:hAnsi="Arial" w:cs="Arial"/>
          <w:sz w:val="24"/>
          <w:szCs w:val="24"/>
          <w:lang w:eastAsia="en-GB"/>
        </w:rPr>
      </w:pPr>
    </w:p>
    <w:p w14:paraId="090F32AD" w14:textId="2025FF08" w:rsidR="00893DFD" w:rsidRPr="00BC2C95" w:rsidRDefault="00893DFD" w:rsidP="00DC54F7">
      <w:pPr>
        <w:spacing w:after="0" w:line="240" w:lineRule="auto"/>
        <w:jc w:val="both"/>
        <w:rPr>
          <w:rFonts w:ascii="Arial" w:hAnsi="Arial" w:cs="Arial"/>
          <w:bCs/>
          <w:sz w:val="24"/>
          <w:szCs w:val="24"/>
        </w:rPr>
      </w:pPr>
      <w:r w:rsidRPr="00BC2C95">
        <w:rPr>
          <w:rFonts w:ascii="Arial" w:hAnsi="Arial" w:cs="Arial"/>
          <w:bCs/>
          <w:sz w:val="24"/>
          <w:szCs w:val="24"/>
        </w:rPr>
        <w:t>Three comments made suggestion</w:t>
      </w:r>
      <w:r w:rsidR="008438B1" w:rsidRPr="00BC2C95">
        <w:rPr>
          <w:rFonts w:ascii="Arial" w:hAnsi="Arial" w:cs="Arial"/>
          <w:bCs/>
          <w:sz w:val="24"/>
          <w:szCs w:val="24"/>
        </w:rPr>
        <w:t>s</w:t>
      </w:r>
      <w:r w:rsidRPr="00BC2C95">
        <w:rPr>
          <w:rFonts w:ascii="Arial" w:hAnsi="Arial" w:cs="Arial"/>
          <w:bCs/>
          <w:sz w:val="24"/>
          <w:szCs w:val="24"/>
        </w:rPr>
        <w:t xml:space="preserve"> as to how the service could be improved:</w:t>
      </w:r>
    </w:p>
    <w:p w14:paraId="2717DB1C" w14:textId="77777777" w:rsidR="00893DFD" w:rsidRPr="00BC2C95" w:rsidRDefault="00893DFD" w:rsidP="00DC54F7">
      <w:pPr>
        <w:pStyle w:val="ListParagraph"/>
        <w:numPr>
          <w:ilvl w:val="0"/>
          <w:numId w:val="93"/>
        </w:numPr>
        <w:spacing w:after="0" w:line="240" w:lineRule="auto"/>
        <w:jc w:val="both"/>
        <w:rPr>
          <w:rFonts w:ascii="Arial" w:hAnsi="Arial" w:cs="Arial"/>
          <w:bCs/>
          <w:sz w:val="24"/>
          <w:szCs w:val="24"/>
        </w:rPr>
      </w:pPr>
      <w:r w:rsidRPr="00BC2C95">
        <w:rPr>
          <w:rFonts w:ascii="Arial" w:hAnsi="Arial" w:cs="Arial"/>
          <w:bCs/>
          <w:sz w:val="24"/>
          <w:szCs w:val="24"/>
        </w:rPr>
        <w:t>“It would be good to be able to order prescriptions by email directly to the pharmacy.”</w:t>
      </w:r>
    </w:p>
    <w:p w14:paraId="593D86DB" w14:textId="77777777" w:rsidR="00893DFD" w:rsidRPr="00BC2C95" w:rsidRDefault="00893DFD" w:rsidP="00DC54F7">
      <w:pPr>
        <w:pStyle w:val="ListParagraph"/>
        <w:numPr>
          <w:ilvl w:val="0"/>
          <w:numId w:val="93"/>
        </w:numPr>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“During the pandemic the pharmacy should set up an area by the door to dispense repeat prescriptions rather than having to walk through the hole shop and queue - social distancing is present however many are keen to reduce time spent indoors.”</w:t>
      </w:r>
    </w:p>
    <w:p w14:paraId="286B568D" w14:textId="0ACCA304" w:rsidR="00893DFD" w:rsidRPr="00BC2C95" w:rsidRDefault="00893DFD" w:rsidP="00DC54F7">
      <w:pPr>
        <w:pStyle w:val="ListParagraph"/>
        <w:numPr>
          <w:ilvl w:val="0"/>
          <w:numId w:val="117"/>
        </w:numPr>
        <w:spacing w:after="160" w:line="259" w:lineRule="auto"/>
        <w:ind w:left="360"/>
        <w:jc w:val="both"/>
        <w:rPr>
          <w:rFonts w:ascii="Arial" w:hAnsi="Arial" w:cs="Arial"/>
          <w:sz w:val="24"/>
          <w:szCs w:val="24"/>
        </w:rPr>
      </w:pPr>
      <w:r w:rsidRPr="00BC2C95">
        <w:rPr>
          <w:rFonts w:ascii="Arial" w:hAnsi="Arial" w:cs="Arial"/>
          <w:sz w:val="24"/>
          <w:szCs w:val="24"/>
        </w:rPr>
        <w:t>“1)HOME DELIVERY OF MEDCINES WILL VERY USEFUL IF PROVIDED THROUGH SOME CENTRAL CARDIFF WIDE DELEIVERY SE</w:t>
      </w:r>
      <w:r w:rsidR="00540D6F">
        <w:rPr>
          <w:rFonts w:ascii="Arial" w:hAnsi="Arial" w:cs="Arial"/>
          <w:sz w:val="24"/>
          <w:szCs w:val="24"/>
        </w:rPr>
        <w:t>RVICE RATHER LEAVING IT AS AN OP</w:t>
      </w:r>
      <w:r w:rsidRPr="00BC2C95">
        <w:rPr>
          <w:rFonts w:ascii="Arial" w:hAnsi="Arial" w:cs="Arial"/>
          <w:sz w:val="24"/>
          <w:szCs w:val="24"/>
        </w:rPr>
        <w:t>TION A</w:t>
      </w:r>
      <w:r w:rsidR="00540D6F">
        <w:rPr>
          <w:rFonts w:ascii="Arial" w:hAnsi="Arial" w:cs="Arial"/>
          <w:sz w:val="24"/>
          <w:szCs w:val="24"/>
        </w:rPr>
        <w:t>VAI</w:t>
      </w:r>
      <w:r w:rsidRPr="00BC2C95">
        <w:rPr>
          <w:rFonts w:ascii="Arial" w:hAnsi="Arial" w:cs="Arial"/>
          <w:sz w:val="24"/>
          <w:szCs w:val="24"/>
        </w:rPr>
        <w:t xml:space="preserve">LABLE WITH SOME PHARMACIES ONLY. </w:t>
      </w:r>
    </w:p>
    <w:p w14:paraId="38E434A4" w14:textId="77777777" w:rsidR="00893DFD" w:rsidRPr="00BC2C95" w:rsidRDefault="00893DFD" w:rsidP="00DC54F7">
      <w:pPr>
        <w:pStyle w:val="ListParagraph"/>
        <w:numPr>
          <w:ilvl w:val="1"/>
          <w:numId w:val="117"/>
        </w:numPr>
        <w:spacing w:after="160" w:line="259" w:lineRule="auto"/>
        <w:ind w:left="1080"/>
        <w:jc w:val="both"/>
        <w:rPr>
          <w:rFonts w:ascii="Arial" w:hAnsi="Arial" w:cs="Arial"/>
          <w:sz w:val="24"/>
          <w:szCs w:val="24"/>
        </w:rPr>
      </w:pPr>
      <w:r w:rsidRPr="00BC2C95">
        <w:rPr>
          <w:rFonts w:ascii="Arial" w:hAnsi="Arial" w:cs="Arial"/>
          <w:sz w:val="24"/>
          <w:szCs w:val="24"/>
        </w:rPr>
        <w:t xml:space="preserve">2) ONLINE CUSTOMER SATISFACTION SURVEY BY THE HEALTH BOARD FOR EACH PHARMACY, PUBLICLY DISPLAY IN FRONT OF EVERY PHARMACY SHOULD BE STARTED. JUST SIMILAR TO HYGEINE RATING FOR RESTAURANTS. </w:t>
      </w:r>
    </w:p>
    <w:p w14:paraId="27EA0CA9" w14:textId="1C64004C" w:rsidR="008F7B99" w:rsidRPr="00BC2C95" w:rsidRDefault="00893DFD" w:rsidP="00DC54F7">
      <w:pPr>
        <w:pStyle w:val="ListParagraph"/>
        <w:numPr>
          <w:ilvl w:val="1"/>
          <w:numId w:val="117"/>
        </w:numPr>
        <w:spacing w:after="160" w:line="259" w:lineRule="auto"/>
        <w:ind w:left="1080"/>
        <w:jc w:val="both"/>
        <w:rPr>
          <w:rFonts w:ascii="Arial" w:hAnsi="Arial" w:cs="Arial"/>
          <w:sz w:val="24"/>
          <w:szCs w:val="24"/>
        </w:rPr>
      </w:pPr>
      <w:r w:rsidRPr="00BC2C95">
        <w:rPr>
          <w:rFonts w:ascii="Arial" w:hAnsi="Arial" w:cs="Arial"/>
          <w:sz w:val="24"/>
          <w:szCs w:val="24"/>
        </w:rPr>
        <w:t xml:space="preserve">3) We should be able to comment, provide </w:t>
      </w:r>
      <w:r w:rsidR="00540D6F" w:rsidRPr="00BC2C95">
        <w:rPr>
          <w:rFonts w:ascii="Arial" w:hAnsi="Arial" w:cs="Arial"/>
          <w:sz w:val="24"/>
          <w:szCs w:val="24"/>
        </w:rPr>
        <w:t>feedback</w:t>
      </w:r>
      <w:r w:rsidRPr="00BC2C95">
        <w:rPr>
          <w:rFonts w:ascii="Arial" w:hAnsi="Arial" w:cs="Arial"/>
          <w:sz w:val="24"/>
          <w:szCs w:val="24"/>
        </w:rPr>
        <w:t xml:space="preserve"> in the case of poor service or good service to the </w:t>
      </w:r>
      <w:r w:rsidR="00540D6F" w:rsidRPr="00BC2C95">
        <w:rPr>
          <w:rFonts w:ascii="Arial" w:hAnsi="Arial" w:cs="Arial"/>
          <w:sz w:val="24"/>
          <w:szCs w:val="24"/>
        </w:rPr>
        <w:t>Health</w:t>
      </w:r>
      <w:r w:rsidRPr="00BC2C95">
        <w:rPr>
          <w:rFonts w:ascii="Arial" w:hAnsi="Arial" w:cs="Arial"/>
          <w:sz w:val="24"/>
          <w:szCs w:val="24"/>
        </w:rPr>
        <w:t xml:space="preserve"> Board or Cardiff </w:t>
      </w:r>
      <w:r w:rsidR="00540D6F" w:rsidRPr="00BC2C95">
        <w:rPr>
          <w:rFonts w:ascii="Arial" w:hAnsi="Arial" w:cs="Arial"/>
          <w:sz w:val="24"/>
          <w:szCs w:val="24"/>
        </w:rPr>
        <w:t xml:space="preserve">Council. </w:t>
      </w:r>
      <w:r w:rsidRPr="00BC2C95">
        <w:rPr>
          <w:rFonts w:ascii="Arial" w:hAnsi="Arial" w:cs="Arial"/>
          <w:sz w:val="24"/>
          <w:szCs w:val="24"/>
        </w:rPr>
        <w:t xml:space="preserve">Otherwise behave with little accountability as a supply dominant service with no quality </w:t>
      </w:r>
      <w:r w:rsidR="00540D6F" w:rsidRPr="00BC2C95">
        <w:rPr>
          <w:rFonts w:ascii="Arial" w:hAnsi="Arial" w:cs="Arial"/>
          <w:sz w:val="24"/>
          <w:szCs w:val="24"/>
        </w:rPr>
        <w:t>control</w:t>
      </w:r>
      <w:r w:rsidRPr="00BC2C95">
        <w:rPr>
          <w:rFonts w:ascii="Arial" w:hAnsi="Arial" w:cs="Arial"/>
          <w:sz w:val="24"/>
          <w:szCs w:val="24"/>
        </w:rPr>
        <w:t xml:space="preserve">. they may.” </w:t>
      </w:r>
    </w:p>
    <w:p w14:paraId="48830026" w14:textId="43261B17" w:rsidR="00893DFD" w:rsidRPr="00BC2C95" w:rsidRDefault="00893DFD" w:rsidP="00DC54F7">
      <w:p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Three comments mentioned that pharmacies could offer more services:</w:t>
      </w:r>
    </w:p>
    <w:p w14:paraId="64A99C6D" w14:textId="77777777" w:rsidR="00893DFD" w:rsidRPr="00BC2C95" w:rsidRDefault="00893DFD" w:rsidP="00DC54F7">
      <w:pPr>
        <w:pStyle w:val="ListParagraph"/>
        <w:numPr>
          <w:ilvl w:val="0"/>
          <w:numId w:val="81"/>
        </w:num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 xml:space="preserve">“They should not close every lunchtime. Need to offer more services. They could take a lot of pressure off GPs. They could monitor iron. I've got chronic anaemia could be monitored by pharmacist. Also my thyroid function could be monitored by pharmacist. Most contraception services. Services for young people as they are more accessible and approachable. C card schemes. The list is endless they should not be dispensing machines.” </w:t>
      </w:r>
    </w:p>
    <w:p w14:paraId="59E2EDA5" w14:textId="26E65FD6" w:rsidR="00893DFD" w:rsidRPr="00BC2C95" w:rsidRDefault="00893DFD" w:rsidP="00DC54F7">
      <w:pPr>
        <w:pStyle w:val="ListParagraph"/>
        <w:numPr>
          <w:ilvl w:val="0"/>
          <w:numId w:val="81"/>
        </w:numPr>
        <w:spacing w:after="0" w:line="240" w:lineRule="auto"/>
        <w:jc w:val="both"/>
        <w:rPr>
          <w:rFonts w:ascii="Arial" w:hAnsi="Arial" w:cs="Arial"/>
          <w:bCs/>
          <w:sz w:val="24"/>
          <w:szCs w:val="24"/>
        </w:rPr>
      </w:pPr>
      <w:r w:rsidRPr="00BC2C95">
        <w:rPr>
          <w:rFonts w:ascii="Arial" w:hAnsi="Arial" w:cs="Arial"/>
          <w:bCs/>
          <w:sz w:val="24"/>
          <w:szCs w:val="24"/>
        </w:rPr>
        <w:t xml:space="preserve">“The pharmacist is a valuable and </w:t>
      </w:r>
      <w:r w:rsidR="00540D6F" w:rsidRPr="00BC2C95">
        <w:rPr>
          <w:rFonts w:ascii="Arial" w:hAnsi="Arial" w:cs="Arial"/>
          <w:bCs/>
          <w:sz w:val="24"/>
          <w:szCs w:val="24"/>
        </w:rPr>
        <w:t>essential</w:t>
      </w:r>
      <w:r w:rsidRPr="00BC2C95">
        <w:rPr>
          <w:rFonts w:ascii="Arial" w:hAnsi="Arial" w:cs="Arial"/>
          <w:bCs/>
          <w:sz w:val="24"/>
          <w:szCs w:val="24"/>
        </w:rPr>
        <w:t xml:space="preserve"> clinician in the community. The pharmacists are so knowledgeable and friendly. Staff easy to talk to. The turnaround of repeats is too slow. They should offer more services to take pressure off GPs. Pharmacies should do c card scheme, contraception, etc. They need more respect.”</w:t>
      </w:r>
    </w:p>
    <w:p w14:paraId="71C3A9EE" w14:textId="77777777" w:rsidR="00893DFD" w:rsidRPr="00BC2C95" w:rsidRDefault="00893DFD" w:rsidP="00DC54F7">
      <w:pPr>
        <w:pStyle w:val="ListParagraph"/>
        <w:numPr>
          <w:ilvl w:val="0"/>
          <w:numId w:val="81"/>
        </w:num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“Generally good and could do more.”</w:t>
      </w:r>
    </w:p>
    <w:p w14:paraId="6B132460" w14:textId="77777777" w:rsidR="002102DF" w:rsidRPr="00BC2C95" w:rsidRDefault="002102DF" w:rsidP="00DC54F7">
      <w:pPr>
        <w:spacing w:after="0" w:line="240" w:lineRule="auto"/>
        <w:jc w:val="both"/>
        <w:rPr>
          <w:rFonts w:ascii="Arial" w:eastAsia="Times New Roman" w:hAnsi="Arial" w:cs="Arial"/>
          <w:sz w:val="24"/>
          <w:szCs w:val="24"/>
          <w:lang w:eastAsia="en-GB"/>
        </w:rPr>
      </w:pPr>
    </w:p>
    <w:p w14:paraId="0F53870C" w14:textId="77777777" w:rsidR="00E401AA" w:rsidRPr="00BC2C95" w:rsidRDefault="00E401AA" w:rsidP="00DC54F7">
      <w:pPr>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Five comments were overall positive about the quality of service received:</w:t>
      </w:r>
    </w:p>
    <w:p w14:paraId="1270890A" w14:textId="77777777" w:rsidR="00E401AA" w:rsidRPr="00BC2C95" w:rsidRDefault="00E401AA" w:rsidP="00DC54F7">
      <w:pPr>
        <w:pStyle w:val="ListParagraph"/>
        <w:numPr>
          <w:ilvl w:val="0"/>
          <w:numId w:val="93"/>
        </w:numPr>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“They discard items safely on my behalf when applicable.”</w:t>
      </w:r>
    </w:p>
    <w:p w14:paraId="02460886" w14:textId="77777777" w:rsidR="00E401AA" w:rsidRPr="00BC2C95" w:rsidRDefault="00E401AA" w:rsidP="00DC54F7">
      <w:pPr>
        <w:pStyle w:val="ListParagraph"/>
        <w:numPr>
          <w:ilvl w:val="0"/>
          <w:numId w:val="93"/>
        </w:numPr>
        <w:spacing w:after="0" w:line="240" w:lineRule="auto"/>
        <w:jc w:val="both"/>
        <w:rPr>
          <w:rFonts w:ascii="Arial" w:hAnsi="Arial" w:cs="Arial"/>
          <w:bCs/>
          <w:sz w:val="24"/>
          <w:szCs w:val="24"/>
        </w:rPr>
      </w:pPr>
      <w:r w:rsidRPr="00BC2C95">
        <w:rPr>
          <w:rFonts w:ascii="Arial" w:hAnsi="Arial" w:cs="Arial"/>
          <w:bCs/>
          <w:sz w:val="24"/>
          <w:szCs w:val="24"/>
        </w:rPr>
        <w:t>“If product not available they will order it in for me usually same day!”</w:t>
      </w:r>
    </w:p>
    <w:p w14:paraId="1AF35136" w14:textId="1F3E8882" w:rsidR="00E401AA" w:rsidRPr="00BC2C95" w:rsidRDefault="00E401AA" w:rsidP="00DC54F7">
      <w:pPr>
        <w:pStyle w:val="ListParagraph"/>
        <w:numPr>
          <w:ilvl w:val="0"/>
          <w:numId w:val="93"/>
        </w:numPr>
        <w:spacing w:after="0" w:line="240" w:lineRule="auto"/>
        <w:jc w:val="both"/>
        <w:rPr>
          <w:rFonts w:ascii="Arial" w:hAnsi="Arial" w:cs="Arial"/>
          <w:bCs/>
          <w:sz w:val="24"/>
          <w:szCs w:val="24"/>
        </w:rPr>
      </w:pPr>
      <w:r w:rsidRPr="00BC2C95">
        <w:rPr>
          <w:rFonts w:ascii="Arial" w:hAnsi="Arial" w:cs="Arial"/>
          <w:bCs/>
          <w:sz w:val="24"/>
          <w:szCs w:val="24"/>
        </w:rPr>
        <w:t xml:space="preserve">I order my prescription once a month via MyHealthOnline, it takes </w:t>
      </w:r>
      <w:r w:rsidR="00540D6F" w:rsidRPr="00BC2C95">
        <w:rPr>
          <w:rFonts w:ascii="Arial" w:hAnsi="Arial" w:cs="Arial"/>
          <w:bCs/>
          <w:sz w:val="24"/>
          <w:szCs w:val="24"/>
        </w:rPr>
        <w:t>approx.</w:t>
      </w:r>
      <w:r w:rsidRPr="00BC2C95">
        <w:rPr>
          <w:rFonts w:ascii="Arial" w:hAnsi="Arial" w:cs="Arial"/>
          <w:bCs/>
          <w:sz w:val="24"/>
          <w:szCs w:val="24"/>
        </w:rPr>
        <w:t xml:space="preserve"> 5 days. The Pharmacy sends me a text to let me know when my medication is available to collect. I find this system works really well.” </w:t>
      </w:r>
    </w:p>
    <w:p w14:paraId="4469A8D2" w14:textId="19AF8D73" w:rsidR="00893DFD" w:rsidRPr="00BC2C95" w:rsidRDefault="00893DFD" w:rsidP="00DC54F7">
      <w:pPr>
        <w:pStyle w:val="ListParagraph"/>
        <w:numPr>
          <w:ilvl w:val="0"/>
          <w:numId w:val="93"/>
        </w:numPr>
        <w:spacing w:after="0" w:line="240" w:lineRule="auto"/>
        <w:jc w:val="both"/>
        <w:rPr>
          <w:rFonts w:ascii="Arial" w:hAnsi="Arial" w:cs="Arial"/>
          <w:bCs/>
          <w:sz w:val="24"/>
          <w:szCs w:val="24"/>
        </w:rPr>
      </w:pPr>
      <w:r w:rsidRPr="00BC2C95">
        <w:rPr>
          <w:rFonts w:ascii="Arial" w:hAnsi="Arial" w:cs="Arial"/>
          <w:bCs/>
          <w:sz w:val="24"/>
          <w:szCs w:val="24"/>
        </w:rPr>
        <w:t xml:space="preserve">“Never usually a problem. Have never been told </w:t>
      </w:r>
      <w:r w:rsidR="00540D6F" w:rsidRPr="00BC2C95">
        <w:rPr>
          <w:rFonts w:ascii="Arial" w:hAnsi="Arial" w:cs="Arial"/>
          <w:bCs/>
          <w:sz w:val="24"/>
          <w:szCs w:val="24"/>
        </w:rPr>
        <w:t>whether</w:t>
      </w:r>
      <w:r w:rsidRPr="00BC2C95">
        <w:rPr>
          <w:rFonts w:ascii="Arial" w:hAnsi="Arial" w:cs="Arial"/>
          <w:bCs/>
          <w:sz w:val="24"/>
          <w:szCs w:val="24"/>
        </w:rPr>
        <w:t xml:space="preserve"> I can get prescription medication delivered to my address or if it’s mandatory to collect in person.” </w:t>
      </w:r>
    </w:p>
    <w:p w14:paraId="247E5556" w14:textId="5FB1E585" w:rsidR="00893DFD" w:rsidRPr="00BC2C95" w:rsidRDefault="00893DFD" w:rsidP="00DC54F7">
      <w:pPr>
        <w:pStyle w:val="ListParagraph"/>
        <w:numPr>
          <w:ilvl w:val="0"/>
          <w:numId w:val="93"/>
        </w:numPr>
        <w:spacing w:after="0" w:line="240" w:lineRule="auto"/>
        <w:jc w:val="both"/>
        <w:rPr>
          <w:rFonts w:ascii="Arial" w:hAnsi="Arial" w:cs="Arial"/>
          <w:bCs/>
          <w:sz w:val="24"/>
          <w:szCs w:val="24"/>
        </w:rPr>
      </w:pPr>
      <w:r w:rsidRPr="00BC2C95">
        <w:rPr>
          <w:rFonts w:ascii="Arial" w:hAnsi="Arial" w:cs="Arial"/>
          <w:bCs/>
          <w:sz w:val="24"/>
          <w:szCs w:val="24"/>
        </w:rPr>
        <w:t xml:space="preserve">“My pharmacy – [name of pharmacy] - are great they pick up my prescriptions and are helpful if I ring and make inquiries BUT the fact they do not deliver especially with the lock down rules is APPALLING.” </w:t>
      </w:r>
    </w:p>
    <w:p w14:paraId="46BF109C" w14:textId="0D10CD80" w:rsidR="00893DFD" w:rsidRPr="00BC2C95" w:rsidRDefault="00893DFD" w:rsidP="00DC54F7">
      <w:pPr>
        <w:spacing w:after="0" w:line="240" w:lineRule="auto"/>
        <w:jc w:val="both"/>
        <w:rPr>
          <w:rFonts w:ascii="Arial" w:hAnsi="Arial" w:cs="Arial"/>
          <w:bCs/>
          <w:sz w:val="24"/>
          <w:szCs w:val="24"/>
        </w:rPr>
      </w:pPr>
    </w:p>
    <w:p w14:paraId="4EDC2D4D" w14:textId="5E61CD05" w:rsidR="00893DFD" w:rsidRPr="00BC2C95" w:rsidRDefault="00893DFD" w:rsidP="00DC54F7">
      <w:pPr>
        <w:spacing w:after="0" w:line="240" w:lineRule="auto"/>
        <w:jc w:val="both"/>
        <w:rPr>
          <w:rFonts w:ascii="Arial" w:hAnsi="Arial" w:cs="Arial"/>
          <w:bCs/>
          <w:sz w:val="24"/>
          <w:szCs w:val="24"/>
        </w:rPr>
      </w:pPr>
      <w:r w:rsidRPr="00BC2C95">
        <w:rPr>
          <w:rFonts w:ascii="Arial" w:hAnsi="Arial" w:cs="Arial"/>
          <w:bCs/>
          <w:sz w:val="24"/>
          <w:szCs w:val="24"/>
        </w:rPr>
        <w:lastRenderedPageBreak/>
        <w:t xml:space="preserve">Four comments referred to the accessibility of pharmacies and how they have </w:t>
      </w:r>
      <w:r w:rsidR="004F02C1" w:rsidRPr="00BC2C95">
        <w:rPr>
          <w:rFonts w:ascii="Arial" w:hAnsi="Arial" w:cs="Arial"/>
          <w:bCs/>
          <w:sz w:val="24"/>
          <w:szCs w:val="24"/>
        </w:rPr>
        <w:t xml:space="preserve">been </w:t>
      </w:r>
      <w:r w:rsidR="00477974" w:rsidRPr="00BC2C95">
        <w:rPr>
          <w:rFonts w:ascii="Arial" w:hAnsi="Arial" w:cs="Arial"/>
          <w:bCs/>
          <w:sz w:val="24"/>
          <w:szCs w:val="24"/>
        </w:rPr>
        <w:t xml:space="preserve">used </w:t>
      </w:r>
      <w:r w:rsidR="00633EBB" w:rsidRPr="00BC2C95">
        <w:rPr>
          <w:rFonts w:ascii="Arial" w:hAnsi="Arial" w:cs="Arial"/>
          <w:bCs/>
          <w:sz w:val="24"/>
          <w:szCs w:val="24"/>
        </w:rPr>
        <w:t xml:space="preserve">or </w:t>
      </w:r>
      <w:r w:rsidR="005B0152" w:rsidRPr="00BC2C95">
        <w:rPr>
          <w:rFonts w:ascii="Arial" w:hAnsi="Arial" w:cs="Arial"/>
          <w:bCs/>
          <w:sz w:val="24"/>
          <w:szCs w:val="24"/>
        </w:rPr>
        <w:t xml:space="preserve">can </w:t>
      </w:r>
      <w:r w:rsidR="00633EBB" w:rsidRPr="00BC2C95">
        <w:rPr>
          <w:rFonts w:ascii="Arial" w:hAnsi="Arial" w:cs="Arial"/>
          <w:bCs/>
          <w:sz w:val="24"/>
          <w:szCs w:val="24"/>
        </w:rPr>
        <w:t xml:space="preserve">be </w:t>
      </w:r>
      <w:r w:rsidRPr="00BC2C95">
        <w:rPr>
          <w:rFonts w:ascii="Arial" w:hAnsi="Arial" w:cs="Arial"/>
          <w:bCs/>
          <w:sz w:val="24"/>
          <w:szCs w:val="24"/>
        </w:rPr>
        <w:t xml:space="preserve">used: </w:t>
      </w:r>
    </w:p>
    <w:p w14:paraId="6FC2BE02" w14:textId="77777777" w:rsidR="00893DFD" w:rsidRPr="00BC2C95" w:rsidRDefault="00893DFD" w:rsidP="00DC54F7">
      <w:pPr>
        <w:pStyle w:val="ListParagraph"/>
        <w:numPr>
          <w:ilvl w:val="0"/>
          <w:numId w:val="70"/>
        </w:num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“Would prefer to use my local pharmacy in the first instance, before trying to obtain a doctor's appointment.”</w:t>
      </w:r>
    </w:p>
    <w:p w14:paraId="1D00472B" w14:textId="77777777" w:rsidR="00893DFD" w:rsidRPr="00BC2C95" w:rsidRDefault="00893DFD" w:rsidP="00DC54F7">
      <w:pPr>
        <w:pStyle w:val="ListParagraph"/>
        <w:numPr>
          <w:ilvl w:val="0"/>
          <w:numId w:val="70"/>
        </w:numPr>
        <w:spacing w:after="0" w:line="240" w:lineRule="auto"/>
        <w:jc w:val="both"/>
        <w:rPr>
          <w:rFonts w:ascii="Arial" w:hAnsi="Arial" w:cs="Arial"/>
          <w:bCs/>
          <w:sz w:val="24"/>
          <w:szCs w:val="24"/>
        </w:rPr>
      </w:pPr>
      <w:r w:rsidRPr="00BC2C95">
        <w:rPr>
          <w:rFonts w:ascii="Arial" w:hAnsi="Arial" w:cs="Arial"/>
          <w:bCs/>
          <w:sz w:val="24"/>
          <w:szCs w:val="24"/>
        </w:rPr>
        <w:t>“Community pharmacy has provided a consistently high-quality service during COVID-19 pandemic, with open access when other services have been closed or had very restricted accessibility. Responded very positively as a profession to help manage chronic illness and deal with minor ailments, thus reducing the burden elsewhere in NHS.”</w:t>
      </w:r>
    </w:p>
    <w:p w14:paraId="2EB6FA97" w14:textId="77777777" w:rsidR="00893DFD" w:rsidRDefault="00893DFD" w:rsidP="00DC54F7">
      <w:pPr>
        <w:pStyle w:val="ListParagraph"/>
        <w:numPr>
          <w:ilvl w:val="0"/>
          <w:numId w:val="70"/>
        </w:numPr>
        <w:spacing w:after="0" w:line="240" w:lineRule="auto"/>
        <w:jc w:val="both"/>
        <w:rPr>
          <w:rFonts w:ascii="Arial" w:hAnsi="Arial" w:cs="Arial"/>
          <w:bCs/>
        </w:rPr>
      </w:pPr>
      <w:r w:rsidRPr="00BC2C95">
        <w:rPr>
          <w:rFonts w:ascii="Arial" w:hAnsi="Arial" w:cs="Arial"/>
          <w:bCs/>
          <w:sz w:val="24"/>
          <w:szCs w:val="24"/>
        </w:rPr>
        <w:t>“Our local pharmacy was very helpful when I had a swollen leg. I couldn't get a GP appointment until the next day, so went to the pharmacy and they advised me to get it looked at immediately. As I couldn't get a GP appointment, despite going into the surgery and explaining that my leg was swelling up, I then went to A &amp; E and was diagnosed with cellulitis. If it hadn't been for the pharmacist, and in the absence of a GP consultation, I would have probably gone home and left it until the next day, therefore delaying use of</w:t>
      </w:r>
      <w:r w:rsidRPr="00CA33FB">
        <w:rPr>
          <w:rFonts w:ascii="Arial" w:hAnsi="Arial" w:cs="Arial"/>
          <w:bCs/>
        </w:rPr>
        <w:t xml:space="preserve"> antibiotics. I was on them for 3 weeks and off work for 2 weeks. At the GPs, there was a large notice suggesting that some medical ailments could be dealt with by the pharmacist. At A &amp; E there was a large notice telling people to go to their GPs rather than A &amp; E. I think this is a good example of how a pharmacist can help, but also an example which shows why people may well end up in A &amp; E, despite their best intentions of going to the right place.”</w:t>
      </w:r>
    </w:p>
    <w:p w14:paraId="3CB82EA6" w14:textId="77777777" w:rsidR="00893DFD" w:rsidRPr="00CA33FB" w:rsidRDefault="00893DFD" w:rsidP="00DC54F7">
      <w:pPr>
        <w:pStyle w:val="ListParagraph"/>
        <w:numPr>
          <w:ilvl w:val="0"/>
          <w:numId w:val="70"/>
        </w:numPr>
        <w:spacing w:after="0" w:line="240" w:lineRule="auto"/>
        <w:jc w:val="both"/>
        <w:rPr>
          <w:rFonts w:ascii="Arial" w:hAnsi="Arial" w:cs="Arial"/>
          <w:bCs/>
        </w:rPr>
      </w:pPr>
      <w:r w:rsidRPr="00D954EC">
        <w:rPr>
          <w:rFonts w:ascii="Arial" w:eastAsia="Times New Roman" w:hAnsi="Arial" w:cs="Arial"/>
          <w:color w:val="000000"/>
          <w:lang w:eastAsia="en-GB"/>
        </w:rPr>
        <w:t>It would be very useful to be able to pick up prescriptions from consultants in clinic in the local pharmacy rather than have to wait a long time in the hospital pharmacy (sometimes well over an hour) to pick up new medications.”</w:t>
      </w:r>
    </w:p>
    <w:p w14:paraId="58A8629E" w14:textId="77777777" w:rsidR="00893DFD" w:rsidRPr="00893DFD" w:rsidRDefault="00893DFD" w:rsidP="00DC54F7">
      <w:pPr>
        <w:spacing w:after="0" w:line="240" w:lineRule="auto"/>
        <w:jc w:val="both"/>
        <w:rPr>
          <w:rFonts w:ascii="Arial" w:hAnsi="Arial" w:cs="Arial"/>
          <w:bCs/>
        </w:rPr>
      </w:pPr>
    </w:p>
    <w:p w14:paraId="4B635601" w14:textId="572AC43E" w:rsidR="00BE4D32" w:rsidRPr="00BC2C95" w:rsidRDefault="00BE4D32" w:rsidP="00DC54F7">
      <w:pPr>
        <w:spacing w:after="0" w:line="240" w:lineRule="auto"/>
        <w:jc w:val="both"/>
        <w:rPr>
          <w:rFonts w:ascii="Arial" w:hAnsi="Arial" w:cs="Arial"/>
          <w:sz w:val="24"/>
          <w:szCs w:val="24"/>
        </w:rPr>
      </w:pPr>
      <w:r w:rsidRPr="00BC2C95">
        <w:rPr>
          <w:rFonts w:ascii="Arial" w:hAnsi="Arial" w:cs="Arial"/>
          <w:sz w:val="24"/>
          <w:szCs w:val="24"/>
        </w:rPr>
        <w:t>50 positive comment</w:t>
      </w:r>
      <w:r w:rsidR="00950AD3" w:rsidRPr="00BC2C95">
        <w:rPr>
          <w:rFonts w:ascii="Arial" w:hAnsi="Arial" w:cs="Arial"/>
          <w:sz w:val="24"/>
          <w:szCs w:val="24"/>
        </w:rPr>
        <w:t>s were rec</w:t>
      </w:r>
      <w:r w:rsidR="00693D07" w:rsidRPr="00BC2C95">
        <w:rPr>
          <w:rFonts w:ascii="Arial" w:hAnsi="Arial" w:cs="Arial"/>
          <w:sz w:val="24"/>
          <w:szCs w:val="24"/>
        </w:rPr>
        <w:t>eived</w:t>
      </w:r>
      <w:r w:rsidR="0078564F" w:rsidRPr="00BC2C95">
        <w:rPr>
          <w:rFonts w:ascii="Arial" w:hAnsi="Arial" w:cs="Arial"/>
          <w:sz w:val="24"/>
          <w:szCs w:val="24"/>
        </w:rPr>
        <w:t xml:space="preserve">, praising </w:t>
      </w:r>
      <w:r w:rsidR="00753C31" w:rsidRPr="00BC2C95">
        <w:rPr>
          <w:rFonts w:ascii="Arial" w:hAnsi="Arial" w:cs="Arial"/>
          <w:sz w:val="24"/>
          <w:szCs w:val="24"/>
        </w:rPr>
        <w:t>pharmacies</w:t>
      </w:r>
      <w:r w:rsidRPr="00BC2C95">
        <w:rPr>
          <w:rFonts w:ascii="Arial" w:hAnsi="Arial" w:cs="Arial"/>
          <w:sz w:val="24"/>
          <w:szCs w:val="24"/>
        </w:rPr>
        <w:t xml:space="preserve">: </w:t>
      </w:r>
    </w:p>
    <w:p w14:paraId="3CE73DFA" w14:textId="77777777" w:rsidR="00BE4D32" w:rsidRPr="00BC2C95" w:rsidRDefault="00BE4D32" w:rsidP="00DC54F7">
      <w:pPr>
        <w:pStyle w:val="ListParagraph"/>
        <w:numPr>
          <w:ilvl w:val="0"/>
          <w:numId w:val="70"/>
        </w:numPr>
        <w:spacing w:after="0" w:line="240" w:lineRule="auto"/>
        <w:jc w:val="both"/>
        <w:rPr>
          <w:rFonts w:ascii="Arial" w:hAnsi="Arial" w:cs="Arial"/>
          <w:bCs/>
          <w:sz w:val="24"/>
          <w:szCs w:val="24"/>
        </w:rPr>
      </w:pPr>
      <w:r w:rsidRPr="00BC2C95">
        <w:rPr>
          <w:rFonts w:ascii="Arial" w:hAnsi="Arial" w:cs="Arial"/>
          <w:bCs/>
          <w:sz w:val="24"/>
          <w:szCs w:val="24"/>
        </w:rPr>
        <w:t>“Amazing efficient staff, always friendly and never have any problems 10/10.”</w:t>
      </w:r>
    </w:p>
    <w:p w14:paraId="0E4182F4" w14:textId="77777777" w:rsidR="00BE4D32" w:rsidRPr="00BC2C95" w:rsidRDefault="00BE4D32" w:rsidP="00DC54F7">
      <w:pPr>
        <w:pStyle w:val="ListParagraph"/>
        <w:numPr>
          <w:ilvl w:val="0"/>
          <w:numId w:val="70"/>
        </w:numPr>
        <w:spacing w:after="0" w:line="240" w:lineRule="auto"/>
        <w:jc w:val="both"/>
        <w:rPr>
          <w:rFonts w:ascii="Arial" w:hAnsi="Arial" w:cs="Arial"/>
          <w:bCs/>
          <w:sz w:val="24"/>
          <w:szCs w:val="24"/>
        </w:rPr>
      </w:pPr>
      <w:r w:rsidRPr="00BC2C95">
        <w:rPr>
          <w:rFonts w:ascii="Arial" w:hAnsi="Arial" w:cs="Arial"/>
          <w:bCs/>
          <w:sz w:val="24"/>
          <w:szCs w:val="24"/>
        </w:rPr>
        <w:t>“They are EXCELLANT!! Fab customer service and advise.”</w:t>
      </w:r>
    </w:p>
    <w:p w14:paraId="02498A09" w14:textId="592F08D1" w:rsidR="00BE4D32" w:rsidRPr="00BC2C95" w:rsidRDefault="00BE4D32" w:rsidP="00DC54F7">
      <w:pPr>
        <w:pStyle w:val="ListParagraph"/>
        <w:numPr>
          <w:ilvl w:val="0"/>
          <w:numId w:val="70"/>
        </w:num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 xml:space="preserve">“All of the staff are very welcoming and friendly, good knowledge and will always try and help in any way they can.” </w:t>
      </w:r>
    </w:p>
    <w:p w14:paraId="7C7212F0" w14:textId="3060F765" w:rsidR="0080470C" w:rsidRPr="00BC2C95" w:rsidRDefault="0080470C" w:rsidP="00DC54F7">
      <w:pPr>
        <w:pStyle w:val="ListParagraph"/>
        <w:numPr>
          <w:ilvl w:val="0"/>
          <w:numId w:val="70"/>
        </w:num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“Very friendly staff. My tablets are already ready for collection. No problems, I've been using this pharmacy for over 20 years.”</w:t>
      </w:r>
    </w:p>
    <w:p w14:paraId="12FFB6B6" w14:textId="1C971D48" w:rsidR="001200E0" w:rsidRPr="00BC2C95" w:rsidRDefault="001200E0" w:rsidP="00DC54F7">
      <w:pPr>
        <w:pStyle w:val="ListParagraph"/>
        <w:numPr>
          <w:ilvl w:val="0"/>
          <w:numId w:val="70"/>
        </w:num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“Always helpful and happy to offer advice. Will source things quickly if not immediately available.”</w:t>
      </w:r>
    </w:p>
    <w:p w14:paraId="5A412202" w14:textId="77777777" w:rsidR="00BE4D32" w:rsidRPr="00BC2C95" w:rsidRDefault="00BE4D32" w:rsidP="00DC54F7">
      <w:pPr>
        <w:spacing w:after="0" w:line="240" w:lineRule="auto"/>
        <w:jc w:val="both"/>
        <w:rPr>
          <w:rFonts w:ascii="Arial" w:hAnsi="Arial" w:cs="Arial"/>
          <w:bCs/>
          <w:sz w:val="24"/>
          <w:szCs w:val="24"/>
          <w:highlight w:val="yellow"/>
        </w:rPr>
      </w:pPr>
    </w:p>
    <w:p w14:paraId="14B36D43" w14:textId="26AFCEF1" w:rsidR="00D402A2" w:rsidRPr="00BC2C95" w:rsidRDefault="00FB49D9" w:rsidP="00DC54F7">
      <w:pPr>
        <w:spacing w:after="0" w:line="240" w:lineRule="auto"/>
        <w:jc w:val="both"/>
        <w:rPr>
          <w:rFonts w:ascii="Arial" w:hAnsi="Arial" w:cs="Arial"/>
          <w:bCs/>
          <w:sz w:val="24"/>
          <w:szCs w:val="24"/>
        </w:rPr>
      </w:pPr>
      <w:r w:rsidRPr="00BC2C95">
        <w:rPr>
          <w:rFonts w:ascii="Arial" w:hAnsi="Arial" w:cs="Arial"/>
          <w:bCs/>
          <w:sz w:val="24"/>
          <w:szCs w:val="24"/>
        </w:rPr>
        <w:t xml:space="preserve">When asked if there are any barriers to accessing services </w:t>
      </w:r>
      <w:r w:rsidR="00585A3C" w:rsidRPr="00BC2C95">
        <w:rPr>
          <w:rFonts w:ascii="Arial" w:hAnsi="Arial" w:cs="Arial"/>
          <w:bCs/>
          <w:sz w:val="24"/>
          <w:szCs w:val="24"/>
        </w:rPr>
        <w:t>at their pharmacy, which had not already been mentioned</w:t>
      </w:r>
      <w:r w:rsidR="002D7EA0" w:rsidRPr="00BC2C95">
        <w:rPr>
          <w:rFonts w:ascii="Arial" w:hAnsi="Arial" w:cs="Arial"/>
          <w:bCs/>
          <w:sz w:val="24"/>
          <w:szCs w:val="24"/>
        </w:rPr>
        <w:t xml:space="preserve">, a </w:t>
      </w:r>
      <w:r w:rsidR="005D59F3" w:rsidRPr="00BC2C95">
        <w:rPr>
          <w:rFonts w:ascii="Arial" w:eastAsia="Times New Roman" w:hAnsi="Arial" w:cs="Arial"/>
          <w:bCs/>
          <w:color w:val="333333"/>
          <w:sz w:val="24"/>
          <w:szCs w:val="24"/>
        </w:rPr>
        <w:t>total of 90 people answered this question. Of those that answered, 4</w:t>
      </w:r>
      <w:r w:rsidR="00847A4F" w:rsidRPr="00BC2C95">
        <w:rPr>
          <w:rFonts w:ascii="Arial" w:eastAsia="Times New Roman" w:hAnsi="Arial" w:cs="Arial"/>
          <w:bCs/>
          <w:color w:val="333333"/>
          <w:sz w:val="24"/>
          <w:szCs w:val="24"/>
        </w:rPr>
        <w:t>7</w:t>
      </w:r>
      <w:r w:rsidR="005D59F3" w:rsidRPr="00BC2C95">
        <w:rPr>
          <w:rFonts w:ascii="Arial" w:eastAsia="Times New Roman" w:hAnsi="Arial" w:cs="Arial"/>
          <w:bCs/>
          <w:color w:val="333333"/>
          <w:sz w:val="24"/>
          <w:szCs w:val="24"/>
        </w:rPr>
        <w:t xml:space="preserve"> people replied with either a response of no, not applicable</w:t>
      </w:r>
      <w:r w:rsidR="00847A4F" w:rsidRPr="00BC2C95">
        <w:rPr>
          <w:rFonts w:ascii="Arial" w:eastAsia="Times New Roman" w:hAnsi="Arial" w:cs="Arial"/>
          <w:bCs/>
          <w:color w:val="333333"/>
          <w:sz w:val="24"/>
          <w:szCs w:val="24"/>
        </w:rPr>
        <w:t>, as above</w:t>
      </w:r>
      <w:r w:rsidR="005D59F3" w:rsidRPr="00BC2C95">
        <w:rPr>
          <w:rFonts w:ascii="Arial" w:eastAsia="Times New Roman" w:hAnsi="Arial" w:cs="Arial"/>
          <w:bCs/>
          <w:color w:val="333333"/>
          <w:sz w:val="24"/>
          <w:szCs w:val="24"/>
        </w:rPr>
        <w:t xml:space="preserve"> or none.</w:t>
      </w:r>
      <w:r w:rsidR="00847A4F" w:rsidRPr="00BC2C95">
        <w:rPr>
          <w:rFonts w:ascii="Arial" w:hAnsi="Arial" w:cs="Arial"/>
          <w:bCs/>
          <w:sz w:val="24"/>
          <w:szCs w:val="24"/>
        </w:rPr>
        <w:t xml:space="preserve"> </w:t>
      </w:r>
      <w:r w:rsidR="005D59F3" w:rsidRPr="00BC2C95">
        <w:rPr>
          <w:rFonts w:ascii="Arial" w:eastAsia="Times New Roman" w:hAnsi="Arial" w:cs="Arial"/>
          <w:bCs/>
          <w:color w:val="333333"/>
          <w:sz w:val="24"/>
          <w:szCs w:val="24"/>
        </w:rPr>
        <w:t>A total of 4</w:t>
      </w:r>
      <w:r w:rsidR="00847A4F" w:rsidRPr="00BC2C95">
        <w:rPr>
          <w:rFonts w:ascii="Arial" w:eastAsia="Times New Roman" w:hAnsi="Arial" w:cs="Arial"/>
          <w:bCs/>
          <w:color w:val="333333"/>
          <w:sz w:val="24"/>
          <w:szCs w:val="24"/>
        </w:rPr>
        <w:t>3</w:t>
      </w:r>
      <w:r w:rsidR="005D59F3" w:rsidRPr="00BC2C95">
        <w:rPr>
          <w:rFonts w:ascii="Arial" w:eastAsia="Times New Roman" w:hAnsi="Arial" w:cs="Arial"/>
          <w:bCs/>
          <w:color w:val="333333"/>
          <w:sz w:val="24"/>
          <w:szCs w:val="24"/>
        </w:rPr>
        <w:t xml:space="preserve"> other comments were received. </w:t>
      </w:r>
      <w:r w:rsidR="00847A4F" w:rsidRPr="00BC2C95">
        <w:rPr>
          <w:rFonts w:ascii="Arial" w:hAnsi="Arial" w:cs="Arial"/>
          <w:bCs/>
          <w:sz w:val="24"/>
          <w:szCs w:val="24"/>
        </w:rPr>
        <w:t>S</w:t>
      </w:r>
      <w:r w:rsidR="00D402A2" w:rsidRPr="00BC2C95">
        <w:rPr>
          <w:rFonts w:ascii="Arial" w:hAnsi="Arial" w:cs="Arial"/>
          <w:bCs/>
          <w:sz w:val="24"/>
          <w:szCs w:val="24"/>
        </w:rPr>
        <w:t xml:space="preserve">everal main themes emerged </w:t>
      </w:r>
      <w:r w:rsidR="00847A4F" w:rsidRPr="00BC2C95">
        <w:rPr>
          <w:rFonts w:ascii="Arial" w:hAnsi="Arial" w:cs="Arial"/>
          <w:bCs/>
          <w:sz w:val="24"/>
          <w:szCs w:val="24"/>
        </w:rPr>
        <w:t xml:space="preserve">from the comments, </w:t>
      </w:r>
      <w:r w:rsidR="00D402A2" w:rsidRPr="00BC2C95">
        <w:rPr>
          <w:rFonts w:ascii="Arial" w:hAnsi="Arial" w:cs="Arial"/>
          <w:bCs/>
          <w:sz w:val="24"/>
          <w:szCs w:val="24"/>
        </w:rPr>
        <w:t>with some comments containing more than one theme. These were:</w:t>
      </w:r>
    </w:p>
    <w:p w14:paraId="5DE67D1F" w14:textId="66DC9613" w:rsidR="006A3948" w:rsidRPr="00BC2C95" w:rsidRDefault="006A3948" w:rsidP="00DC54F7">
      <w:pPr>
        <w:spacing w:after="0" w:line="240" w:lineRule="auto"/>
        <w:jc w:val="both"/>
        <w:rPr>
          <w:rFonts w:ascii="Arial" w:hAnsi="Arial" w:cs="Arial"/>
          <w:b/>
          <w:sz w:val="24"/>
          <w:szCs w:val="24"/>
        </w:rPr>
      </w:pPr>
    </w:p>
    <w:p w14:paraId="37763D7B" w14:textId="4AC05828" w:rsidR="004F7B5D" w:rsidRPr="00BC2C95" w:rsidRDefault="004F7B5D" w:rsidP="00DC54F7">
      <w:pPr>
        <w:shd w:val="clear" w:color="auto" w:fill="FFFFFF" w:themeFill="background1"/>
        <w:spacing w:after="0" w:line="240" w:lineRule="auto"/>
        <w:jc w:val="both"/>
        <w:rPr>
          <w:rFonts w:ascii="Arial" w:hAnsi="Arial" w:cs="Arial"/>
          <w:sz w:val="24"/>
          <w:szCs w:val="24"/>
        </w:rPr>
      </w:pPr>
      <w:r w:rsidRPr="00BC2C95">
        <w:rPr>
          <w:rFonts w:ascii="Arial" w:hAnsi="Arial" w:cs="Arial"/>
          <w:bCs/>
          <w:sz w:val="24"/>
          <w:szCs w:val="24"/>
        </w:rPr>
        <w:t xml:space="preserve">11 comments were related to opening times of pharmacies, some in relation to the changes in opening times due to the </w:t>
      </w:r>
      <w:r w:rsidRPr="00BC2C95">
        <w:rPr>
          <w:rFonts w:ascii="Arial" w:hAnsi="Arial" w:cs="Arial"/>
          <w:sz w:val="24"/>
          <w:szCs w:val="24"/>
        </w:rPr>
        <w:t>Coronavirus (COVID-19) pandemic:</w:t>
      </w:r>
    </w:p>
    <w:p w14:paraId="6F1D103C" w14:textId="77777777" w:rsidR="0045708C" w:rsidRPr="00BC2C95" w:rsidRDefault="00603007" w:rsidP="00DC54F7">
      <w:pPr>
        <w:pStyle w:val="ListParagraph"/>
        <w:numPr>
          <w:ilvl w:val="0"/>
          <w:numId w:val="97"/>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“Closed Saturday and lunch times between 1 and 2 which can be inconvenient for people.”</w:t>
      </w:r>
    </w:p>
    <w:p w14:paraId="59A1DF71" w14:textId="77777777" w:rsidR="00B67507" w:rsidRPr="00BC2C95" w:rsidRDefault="0045708C" w:rsidP="00DC54F7">
      <w:pPr>
        <w:pStyle w:val="ListParagraph"/>
        <w:numPr>
          <w:ilvl w:val="0"/>
          <w:numId w:val="97"/>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 xml:space="preserve"> “They should be open more in the evenings and weekends.”</w:t>
      </w:r>
    </w:p>
    <w:p w14:paraId="10479521" w14:textId="58286362" w:rsidR="00B67507" w:rsidRPr="00BC2C95" w:rsidRDefault="00B67507" w:rsidP="00DC54F7">
      <w:pPr>
        <w:pStyle w:val="ListParagraph"/>
        <w:numPr>
          <w:ilvl w:val="0"/>
          <w:numId w:val="97"/>
        </w:numPr>
        <w:shd w:val="clear" w:color="auto" w:fill="FFFFFF" w:themeFill="background1"/>
        <w:spacing w:after="0" w:line="240" w:lineRule="auto"/>
        <w:jc w:val="both"/>
        <w:rPr>
          <w:rFonts w:ascii="Arial" w:hAnsi="Arial" w:cs="Arial"/>
          <w:bCs/>
          <w:sz w:val="24"/>
          <w:szCs w:val="24"/>
        </w:rPr>
      </w:pPr>
      <w:r w:rsidRPr="00BC2C95">
        <w:rPr>
          <w:rFonts w:ascii="Arial" w:eastAsia="Symbol" w:hAnsi="Arial" w:cs="Arial"/>
          <w:color w:val="000000"/>
          <w:sz w:val="24"/>
          <w:szCs w:val="24"/>
          <w:lang w:eastAsia="en-GB"/>
        </w:rPr>
        <w:t xml:space="preserve">“My old pharmacy are now only open 9-12 and 2-4 so there are really long queues down the high street for people to get their medicines. As the doctor is open their </w:t>
      </w:r>
      <w:r w:rsidRPr="00BC2C95">
        <w:rPr>
          <w:rFonts w:ascii="Arial" w:eastAsia="Symbol" w:hAnsi="Arial" w:cs="Arial"/>
          <w:color w:val="000000"/>
          <w:sz w:val="24"/>
          <w:szCs w:val="24"/>
          <w:lang w:eastAsia="en-GB"/>
        </w:rPr>
        <w:lastRenderedPageBreak/>
        <w:t xml:space="preserve">normal hours I think the chemist should be too. I was given a prescription for my sick child at 6pm and ended up driving to a supermarket in another county to get it made up as nowhere in </w:t>
      </w:r>
      <w:r w:rsidR="009B1463" w:rsidRPr="00BC2C95">
        <w:rPr>
          <w:rFonts w:ascii="Arial" w:eastAsia="Symbol" w:hAnsi="Arial" w:cs="Arial"/>
          <w:color w:val="000000"/>
          <w:sz w:val="24"/>
          <w:szCs w:val="24"/>
          <w:lang w:eastAsia="en-GB"/>
        </w:rPr>
        <w:t xml:space="preserve">[name of location] </w:t>
      </w:r>
      <w:r w:rsidRPr="00BC2C95">
        <w:rPr>
          <w:rFonts w:ascii="Arial" w:eastAsia="Symbol" w:hAnsi="Arial" w:cs="Arial"/>
          <w:color w:val="000000"/>
          <w:sz w:val="24"/>
          <w:szCs w:val="24"/>
          <w:lang w:eastAsia="en-GB"/>
        </w:rPr>
        <w:t>was open.”</w:t>
      </w:r>
    </w:p>
    <w:p w14:paraId="39EF7573" w14:textId="01C39BB0" w:rsidR="00D914B8" w:rsidRPr="00BC2C95" w:rsidRDefault="00D914B8" w:rsidP="00DC54F7">
      <w:pPr>
        <w:shd w:val="clear" w:color="auto" w:fill="FFFFFF" w:themeFill="background1"/>
        <w:spacing w:after="0" w:line="240" w:lineRule="auto"/>
        <w:jc w:val="both"/>
        <w:rPr>
          <w:rFonts w:ascii="Arial" w:hAnsi="Arial" w:cs="Arial"/>
          <w:bCs/>
          <w:sz w:val="24"/>
          <w:szCs w:val="24"/>
        </w:rPr>
      </w:pPr>
    </w:p>
    <w:p w14:paraId="79EE5684" w14:textId="46B095C2" w:rsidR="006A3948" w:rsidRPr="00BC2C95" w:rsidRDefault="002D44F5" w:rsidP="00DC54F7">
      <w:p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S</w:t>
      </w:r>
      <w:r w:rsidR="00C532DC" w:rsidRPr="00BC2C95">
        <w:rPr>
          <w:rFonts w:ascii="Arial" w:hAnsi="Arial" w:cs="Arial"/>
          <w:bCs/>
          <w:sz w:val="24"/>
          <w:szCs w:val="24"/>
        </w:rPr>
        <w:t xml:space="preserve">ix comments mentioned </w:t>
      </w:r>
      <w:r w:rsidR="003465D9" w:rsidRPr="00BC2C95">
        <w:rPr>
          <w:rFonts w:ascii="Arial" w:hAnsi="Arial" w:cs="Arial"/>
          <w:bCs/>
          <w:sz w:val="24"/>
          <w:szCs w:val="24"/>
        </w:rPr>
        <w:t>the need to qu</w:t>
      </w:r>
      <w:r w:rsidR="00E85C0B" w:rsidRPr="00BC2C95">
        <w:rPr>
          <w:rFonts w:ascii="Arial" w:hAnsi="Arial" w:cs="Arial"/>
          <w:bCs/>
          <w:sz w:val="24"/>
          <w:szCs w:val="24"/>
        </w:rPr>
        <w:t xml:space="preserve">eue, </w:t>
      </w:r>
      <w:r w:rsidR="00E85C0B" w:rsidRPr="00BC2C95">
        <w:rPr>
          <w:rFonts w:ascii="Arial" w:hAnsi="Arial" w:cs="Arial"/>
          <w:sz w:val="24"/>
          <w:szCs w:val="24"/>
        </w:rPr>
        <w:t xml:space="preserve">most likely </w:t>
      </w:r>
      <w:r w:rsidR="00FB561D" w:rsidRPr="00BC2C95">
        <w:rPr>
          <w:rFonts w:ascii="Arial" w:hAnsi="Arial" w:cs="Arial"/>
          <w:sz w:val="24"/>
          <w:szCs w:val="24"/>
        </w:rPr>
        <w:t xml:space="preserve">due </w:t>
      </w:r>
      <w:r w:rsidR="00E85C0B" w:rsidRPr="00BC2C95">
        <w:rPr>
          <w:rFonts w:ascii="Arial" w:hAnsi="Arial" w:cs="Arial"/>
          <w:sz w:val="24"/>
          <w:szCs w:val="24"/>
        </w:rPr>
        <w:t xml:space="preserve">to </w:t>
      </w:r>
      <w:r w:rsidR="00A67C18" w:rsidRPr="00BC2C95">
        <w:rPr>
          <w:rFonts w:ascii="Arial" w:hAnsi="Arial" w:cs="Arial"/>
          <w:sz w:val="24"/>
          <w:szCs w:val="24"/>
        </w:rPr>
        <w:t xml:space="preserve">the </w:t>
      </w:r>
      <w:r w:rsidR="00E85C0B" w:rsidRPr="00BC2C95">
        <w:rPr>
          <w:rFonts w:ascii="Arial" w:hAnsi="Arial" w:cs="Arial"/>
          <w:sz w:val="24"/>
          <w:szCs w:val="24"/>
        </w:rPr>
        <w:t xml:space="preserve">social distancing measures in place </w:t>
      </w:r>
      <w:r w:rsidR="00A67C18" w:rsidRPr="00BC2C95">
        <w:rPr>
          <w:rFonts w:ascii="Arial" w:hAnsi="Arial" w:cs="Arial"/>
          <w:sz w:val="24"/>
          <w:szCs w:val="24"/>
        </w:rPr>
        <w:t xml:space="preserve">at the time </w:t>
      </w:r>
      <w:r w:rsidR="00E85C0B" w:rsidRPr="00BC2C95">
        <w:rPr>
          <w:rFonts w:ascii="Arial" w:hAnsi="Arial" w:cs="Arial"/>
          <w:sz w:val="24"/>
          <w:szCs w:val="24"/>
        </w:rPr>
        <w:t>due to Coronavirus (COVID-19) pandemic:</w:t>
      </w:r>
    </w:p>
    <w:p w14:paraId="2E10F3FF" w14:textId="2389CA78" w:rsidR="002D44F5" w:rsidRPr="00BC2C95" w:rsidRDefault="002D44F5" w:rsidP="00DC54F7">
      <w:pPr>
        <w:pStyle w:val="ListParagraph"/>
        <w:numPr>
          <w:ilvl w:val="0"/>
          <w:numId w:val="104"/>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“Currently with restrictions there's sometimes a queue outdoors and while that's not a big problem for me it's not good for the frail, elderly or ill. Maybe they need one of those ticketing systems where says how long to wait and or a shelter outside.”</w:t>
      </w:r>
    </w:p>
    <w:p w14:paraId="5B6D57D9" w14:textId="1A3B9FA5" w:rsidR="002D44F5" w:rsidRPr="00BC2C95" w:rsidRDefault="002D44F5" w:rsidP="00DC54F7">
      <w:pPr>
        <w:pStyle w:val="ListParagraph"/>
        <w:numPr>
          <w:ilvl w:val="0"/>
          <w:numId w:val="104"/>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 xml:space="preserve">“They can be very slow at serving so the que outside gets long very quickly.” </w:t>
      </w:r>
    </w:p>
    <w:p w14:paraId="0CABB390" w14:textId="59B8AE98" w:rsidR="008E526F" w:rsidRPr="00BC2C95" w:rsidRDefault="002D44F5" w:rsidP="00DC54F7">
      <w:pPr>
        <w:pStyle w:val="ListParagraph"/>
        <w:numPr>
          <w:ilvl w:val="0"/>
          <w:numId w:val="104"/>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“Queues outside, especially in winter months.”</w:t>
      </w:r>
    </w:p>
    <w:p w14:paraId="16CDDD76" w14:textId="72B5BA40" w:rsidR="008E526F" w:rsidRPr="00BC2C95" w:rsidRDefault="008E526F" w:rsidP="00DC54F7">
      <w:pPr>
        <w:shd w:val="clear" w:color="auto" w:fill="FFFFFF" w:themeFill="background1"/>
        <w:spacing w:after="0" w:line="240" w:lineRule="auto"/>
        <w:jc w:val="both"/>
        <w:rPr>
          <w:rFonts w:ascii="Arial" w:hAnsi="Arial" w:cs="Arial"/>
          <w:bCs/>
          <w:sz w:val="24"/>
          <w:szCs w:val="24"/>
        </w:rPr>
      </w:pPr>
    </w:p>
    <w:p w14:paraId="5B17A8FF" w14:textId="3A07BA86" w:rsidR="00E85C0B" w:rsidRPr="00BC2C95" w:rsidRDefault="00C52AD7" w:rsidP="00DC54F7">
      <w:p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Four comments related to privacy</w:t>
      </w:r>
      <w:r w:rsidR="00C9380F" w:rsidRPr="00BC2C95">
        <w:rPr>
          <w:rFonts w:ascii="Arial" w:hAnsi="Arial" w:cs="Arial"/>
          <w:bCs/>
          <w:sz w:val="24"/>
          <w:szCs w:val="24"/>
        </w:rPr>
        <w:t xml:space="preserve"> or confidentiality</w:t>
      </w:r>
      <w:r w:rsidRPr="00BC2C95">
        <w:rPr>
          <w:rFonts w:ascii="Arial" w:hAnsi="Arial" w:cs="Arial"/>
          <w:bCs/>
          <w:sz w:val="24"/>
          <w:szCs w:val="24"/>
        </w:rPr>
        <w:t>:</w:t>
      </w:r>
    </w:p>
    <w:p w14:paraId="12ED7E5B" w14:textId="34B5EA8A" w:rsidR="008E526F" w:rsidRPr="00BC2C95" w:rsidRDefault="008E526F" w:rsidP="00DC54F7">
      <w:pPr>
        <w:pStyle w:val="ListParagraph"/>
        <w:numPr>
          <w:ilvl w:val="0"/>
          <w:numId w:val="103"/>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“Not sure it is as confidential as a doctor with other customers in their shop!”</w:t>
      </w:r>
    </w:p>
    <w:p w14:paraId="3C152F31" w14:textId="73756630" w:rsidR="008E526F" w:rsidRPr="00BC2C95" w:rsidRDefault="008E526F" w:rsidP="00DC54F7">
      <w:pPr>
        <w:pStyle w:val="ListParagraph"/>
        <w:numPr>
          <w:ilvl w:val="0"/>
          <w:numId w:val="103"/>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 xml:space="preserve">“As above confidentially, and not fully aware what the Pharmacist knows about so </w:t>
      </w:r>
      <w:r w:rsidR="00540D6F" w:rsidRPr="00BC2C95">
        <w:rPr>
          <w:rFonts w:ascii="Arial" w:hAnsi="Arial" w:cs="Arial"/>
          <w:bCs/>
          <w:sz w:val="24"/>
          <w:szCs w:val="24"/>
        </w:rPr>
        <w:t>don’t</w:t>
      </w:r>
      <w:r w:rsidRPr="00BC2C95">
        <w:rPr>
          <w:rFonts w:ascii="Arial" w:hAnsi="Arial" w:cs="Arial"/>
          <w:bCs/>
          <w:sz w:val="24"/>
          <w:szCs w:val="24"/>
        </w:rPr>
        <w:t xml:space="preserve"> want to divulge private information for them to just send me to GP or nurse.”</w:t>
      </w:r>
    </w:p>
    <w:p w14:paraId="13C0453E" w14:textId="58B2B3A9" w:rsidR="008E526F" w:rsidRPr="00BC2C95" w:rsidRDefault="008E526F" w:rsidP="00DC54F7">
      <w:pPr>
        <w:pStyle w:val="ListParagraph"/>
        <w:numPr>
          <w:ilvl w:val="0"/>
          <w:numId w:val="103"/>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 xml:space="preserve">“I wouldn’t feel comfortable discussing private matters due to lack of privacy.” </w:t>
      </w:r>
    </w:p>
    <w:p w14:paraId="35035B87" w14:textId="57DD40CC" w:rsidR="006A3948" w:rsidRPr="00BC2C95" w:rsidRDefault="008E526F" w:rsidP="00DC54F7">
      <w:pPr>
        <w:pStyle w:val="ListParagraph"/>
        <w:numPr>
          <w:ilvl w:val="0"/>
          <w:numId w:val="103"/>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 xml:space="preserve">“Asking for address or postcode in front of other people/reading address in front of others(DV survivor and hate crime victim </w:t>
      </w:r>
      <w:r w:rsidR="00540D6F" w:rsidRPr="00BC2C95">
        <w:rPr>
          <w:rFonts w:ascii="Arial" w:hAnsi="Arial" w:cs="Arial"/>
          <w:bCs/>
          <w:sz w:val="24"/>
          <w:szCs w:val="24"/>
        </w:rPr>
        <w:t>don’t</w:t>
      </w:r>
      <w:r w:rsidRPr="00BC2C95">
        <w:rPr>
          <w:rFonts w:ascii="Arial" w:hAnsi="Arial" w:cs="Arial"/>
          <w:bCs/>
          <w:sz w:val="24"/>
          <w:szCs w:val="24"/>
        </w:rPr>
        <w:t xml:space="preserve"> want my address public knowledge) Not accepting ID as an alternative to saying said address. Requirement to </w:t>
      </w:r>
      <w:r w:rsidR="00540D6F" w:rsidRPr="00BC2C95">
        <w:rPr>
          <w:rFonts w:ascii="Arial" w:hAnsi="Arial" w:cs="Arial"/>
          <w:bCs/>
          <w:sz w:val="24"/>
          <w:szCs w:val="24"/>
        </w:rPr>
        <w:t>talk (</w:t>
      </w:r>
      <w:r w:rsidRPr="00BC2C95">
        <w:rPr>
          <w:rFonts w:ascii="Arial" w:hAnsi="Arial" w:cs="Arial"/>
          <w:bCs/>
          <w:sz w:val="24"/>
          <w:szCs w:val="24"/>
        </w:rPr>
        <w:t>I use BSL to communicate).”</w:t>
      </w:r>
    </w:p>
    <w:p w14:paraId="3C0BC8A2" w14:textId="2B1CC6F8" w:rsidR="00947BE3" w:rsidRPr="00BC2C95" w:rsidRDefault="00947BE3" w:rsidP="00DC54F7">
      <w:pPr>
        <w:shd w:val="clear" w:color="auto" w:fill="FFFFFF" w:themeFill="background1"/>
        <w:spacing w:after="0" w:line="240" w:lineRule="auto"/>
        <w:jc w:val="both"/>
        <w:rPr>
          <w:rFonts w:ascii="Arial" w:hAnsi="Arial" w:cs="Arial"/>
          <w:bCs/>
          <w:sz w:val="24"/>
          <w:szCs w:val="24"/>
        </w:rPr>
      </w:pPr>
    </w:p>
    <w:p w14:paraId="0E97DB91" w14:textId="4CC30466" w:rsidR="00947BE3" w:rsidRPr="00BC2C95" w:rsidRDefault="00947BE3" w:rsidP="00DC54F7">
      <w:p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 xml:space="preserve">Four comments related to </w:t>
      </w:r>
      <w:r w:rsidR="004D3963" w:rsidRPr="00BC2C95">
        <w:rPr>
          <w:rFonts w:ascii="Arial" w:hAnsi="Arial" w:cs="Arial"/>
          <w:bCs/>
          <w:sz w:val="24"/>
          <w:szCs w:val="24"/>
        </w:rPr>
        <w:t xml:space="preserve">travelling </w:t>
      </w:r>
      <w:r w:rsidR="00C45BFB" w:rsidRPr="00BC2C95">
        <w:rPr>
          <w:rFonts w:ascii="Arial" w:hAnsi="Arial" w:cs="Arial"/>
          <w:bCs/>
          <w:sz w:val="24"/>
          <w:szCs w:val="24"/>
        </w:rPr>
        <w:t>to pharmacies</w:t>
      </w:r>
      <w:r w:rsidR="005C5B94" w:rsidRPr="00BC2C95">
        <w:rPr>
          <w:rFonts w:ascii="Arial" w:hAnsi="Arial" w:cs="Arial"/>
          <w:bCs/>
          <w:sz w:val="24"/>
          <w:szCs w:val="24"/>
        </w:rPr>
        <w:t xml:space="preserve">, including </w:t>
      </w:r>
      <w:r w:rsidR="00BA4647" w:rsidRPr="00BC2C95">
        <w:rPr>
          <w:rFonts w:ascii="Arial" w:hAnsi="Arial" w:cs="Arial"/>
          <w:bCs/>
          <w:sz w:val="24"/>
          <w:szCs w:val="24"/>
        </w:rPr>
        <w:t xml:space="preserve">travel </w:t>
      </w:r>
      <w:r w:rsidR="004D3963" w:rsidRPr="00BC2C95">
        <w:rPr>
          <w:rFonts w:ascii="Arial" w:hAnsi="Arial" w:cs="Arial"/>
          <w:bCs/>
          <w:sz w:val="24"/>
          <w:szCs w:val="24"/>
        </w:rPr>
        <w:t>distance</w:t>
      </w:r>
      <w:r w:rsidR="00C45BFB" w:rsidRPr="00BC2C95">
        <w:rPr>
          <w:rFonts w:ascii="Arial" w:hAnsi="Arial" w:cs="Arial"/>
          <w:bCs/>
          <w:sz w:val="24"/>
          <w:szCs w:val="24"/>
        </w:rPr>
        <w:t>,</w:t>
      </w:r>
      <w:r w:rsidR="004D3963" w:rsidRPr="00BC2C95">
        <w:rPr>
          <w:rFonts w:ascii="Arial" w:hAnsi="Arial" w:cs="Arial"/>
          <w:bCs/>
          <w:sz w:val="24"/>
          <w:szCs w:val="24"/>
        </w:rPr>
        <w:t xml:space="preserve"> time</w:t>
      </w:r>
      <w:r w:rsidR="00C45BFB" w:rsidRPr="00BC2C95">
        <w:rPr>
          <w:rFonts w:ascii="Arial" w:hAnsi="Arial" w:cs="Arial"/>
          <w:bCs/>
          <w:sz w:val="24"/>
          <w:szCs w:val="24"/>
        </w:rPr>
        <w:t xml:space="preserve"> </w:t>
      </w:r>
      <w:r w:rsidR="00BA4647" w:rsidRPr="00BC2C95">
        <w:rPr>
          <w:rFonts w:ascii="Arial" w:hAnsi="Arial" w:cs="Arial"/>
          <w:bCs/>
          <w:sz w:val="24"/>
          <w:szCs w:val="24"/>
        </w:rPr>
        <w:t xml:space="preserve">or </w:t>
      </w:r>
      <w:r w:rsidR="00C45BFB" w:rsidRPr="00BC2C95">
        <w:rPr>
          <w:rFonts w:ascii="Arial" w:hAnsi="Arial" w:cs="Arial"/>
          <w:bCs/>
          <w:sz w:val="24"/>
          <w:szCs w:val="24"/>
        </w:rPr>
        <w:t>travel mode:</w:t>
      </w:r>
    </w:p>
    <w:p w14:paraId="5497E250" w14:textId="14DC3B34" w:rsidR="00947BE3" w:rsidRPr="00BC2C95" w:rsidRDefault="00947BE3" w:rsidP="00DC54F7">
      <w:pPr>
        <w:pStyle w:val="ListParagraph"/>
        <w:numPr>
          <w:ilvl w:val="0"/>
          <w:numId w:val="101"/>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“Apart from the travelling time by car. We have to travel for the doctors surgery as well.”</w:t>
      </w:r>
    </w:p>
    <w:p w14:paraId="61D2026F" w14:textId="685DC32D" w:rsidR="00947BE3" w:rsidRPr="00BC2C95" w:rsidRDefault="00947BE3" w:rsidP="00DC54F7">
      <w:pPr>
        <w:pStyle w:val="ListParagraph"/>
        <w:numPr>
          <w:ilvl w:val="0"/>
          <w:numId w:val="101"/>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“nearest pharmacy is miles away from me in [name of location].”</w:t>
      </w:r>
    </w:p>
    <w:p w14:paraId="50B44154" w14:textId="63159742" w:rsidR="00947BE3" w:rsidRPr="00BC2C95" w:rsidRDefault="00947BE3" w:rsidP="00DC54F7">
      <w:pPr>
        <w:pStyle w:val="ListParagraph"/>
        <w:numPr>
          <w:ilvl w:val="0"/>
          <w:numId w:val="101"/>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 xml:space="preserve">“Travel distance and access via bus.” </w:t>
      </w:r>
    </w:p>
    <w:p w14:paraId="7979EE99" w14:textId="5136AB90" w:rsidR="00830E0A" w:rsidRPr="00BC2C95" w:rsidRDefault="00830E0A" w:rsidP="00DC54F7">
      <w:pPr>
        <w:shd w:val="clear" w:color="auto" w:fill="FFFFFF" w:themeFill="background1"/>
        <w:spacing w:after="0" w:line="240" w:lineRule="auto"/>
        <w:jc w:val="both"/>
        <w:rPr>
          <w:rFonts w:ascii="Arial" w:hAnsi="Arial" w:cs="Arial"/>
          <w:bCs/>
          <w:sz w:val="24"/>
          <w:szCs w:val="24"/>
        </w:rPr>
      </w:pPr>
    </w:p>
    <w:p w14:paraId="0F8EE5F7" w14:textId="77777777" w:rsidR="00E66670" w:rsidRPr="00BC2C95" w:rsidRDefault="00E66670" w:rsidP="00DC54F7">
      <w:p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Two comments were about access into the pharmacy:</w:t>
      </w:r>
    </w:p>
    <w:p w14:paraId="7818E01C" w14:textId="0FBF340F" w:rsidR="00E66670" w:rsidRPr="00BC2C95" w:rsidRDefault="00E66670" w:rsidP="00DC54F7">
      <w:pPr>
        <w:pStyle w:val="ListParagraph"/>
        <w:numPr>
          <w:ilvl w:val="0"/>
          <w:numId w:val="98"/>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“They have a ramp but it's very rickety and I don't feel confident using it.”</w:t>
      </w:r>
    </w:p>
    <w:p w14:paraId="6D5A98E4" w14:textId="77777777" w:rsidR="00E66670" w:rsidRPr="00BC2C95" w:rsidRDefault="00E66670" w:rsidP="00DC54F7">
      <w:pPr>
        <w:pStyle w:val="ListParagraph"/>
        <w:numPr>
          <w:ilvl w:val="0"/>
          <w:numId w:val="98"/>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“Heavy door - this is difficult in a wheelchair.”</w:t>
      </w:r>
    </w:p>
    <w:p w14:paraId="59F67747" w14:textId="77777777" w:rsidR="00E66670" w:rsidRPr="00BC2C95" w:rsidRDefault="00E66670" w:rsidP="00DC54F7">
      <w:pPr>
        <w:shd w:val="clear" w:color="auto" w:fill="FFFFFF" w:themeFill="background1"/>
        <w:spacing w:after="0" w:line="240" w:lineRule="auto"/>
        <w:jc w:val="both"/>
        <w:rPr>
          <w:rFonts w:ascii="Arial" w:hAnsi="Arial" w:cs="Arial"/>
          <w:bCs/>
          <w:sz w:val="24"/>
          <w:szCs w:val="24"/>
        </w:rPr>
      </w:pPr>
    </w:p>
    <w:p w14:paraId="18331B3D" w14:textId="5C510526" w:rsidR="00830E0A" w:rsidRPr="00BC2C95" w:rsidRDefault="004E7AEC" w:rsidP="00DC54F7">
      <w:p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Eight</w:t>
      </w:r>
      <w:r w:rsidR="00DD2B3E" w:rsidRPr="00BC2C95">
        <w:rPr>
          <w:rFonts w:ascii="Arial" w:hAnsi="Arial" w:cs="Arial"/>
          <w:bCs/>
          <w:sz w:val="24"/>
          <w:szCs w:val="24"/>
        </w:rPr>
        <w:t xml:space="preserve"> comments</w:t>
      </w:r>
      <w:r w:rsidR="00B55968" w:rsidRPr="00BC2C95">
        <w:rPr>
          <w:rFonts w:ascii="Arial" w:hAnsi="Arial" w:cs="Arial"/>
          <w:bCs/>
          <w:sz w:val="24"/>
          <w:szCs w:val="24"/>
        </w:rPr>
        <w:t xml:space="preserve"> </w:t>
      </w:r>
      <w:r w:rsidR="00BE0E1F" w:rsidRPr="00BC2C95">
        <w:rPr>
          <w:rFonts w:ascii="Arial" w:hAnsi="Arial" w:cs="Arial"/>
          <w:bCs/>
          <w:sz w:val="24"/>
          <w:szCs w:val="24"/>
        </w:rPr>
        <w:t xml:space="preserve">mentioned </w:t>
      </w:r>
      <w:r w:rsidR="00245BA3" w:rsidRPr="00BC2C95">
        <w:rPr>
          <w:rFonts w:ascii="Arial" w:hAnsi="Arial" w:cs="Arial"/>
          <w:bCs/>
          <w:sz w:val="24"/>
          <w:szCs w:val="24"/>
        </w:rPr>
        <w:t>the quality of service</w:t>
      </w:r>
      <w:r w:rsidR="00D42C71" w:rsidRPr="00BC2C95">
        <w:rPr>
          <w:rFonts w:ascii="Arial" w:hAnsi="Arial" w:cs="Arial"/>
          <w:bCs/>
          <w:sz w:val="24"/>
          <w:szCs w:val="24"/>
        </w:rPr>
        <w:t xml:space="preserve"> received</w:t>
      </w:r>
      <w:r w:rsidR="00245BA3" w:rsidRPr="00BC2C95">
        <w:rPr>
          <w:rFonts w:ascii="Arial" w:hAnsi="Arial" w:cs="Arial"/>
          <w:bCs/>
          <w:sz w:val="24"/>
          <w:szCs w:val="24"/>
        </w:rPr>
        <w:t>,</w:t>
      </w:r>
      <w:r w:rsidR="000F3FE9" w:rsidRPr="00BC2C95">
        <w:rPr>
          <w:rFonts w:ascii="Arial" w:hAnsi="Arial" w:cs="Arial"/>
          <w:bCs/>
          <w:sz w:val="24"/>
          <w:szCs w:val="24"/>
        </w:rPr>
        <w:t xml:space="preserve"> including </w:t>
      </w:r>
      <w:r w:rsidR="00245BA3" w:rsidRPr="00BC2C95">
        <w:rPr>
          <w:rFonts w:ascii="Arial" w:hAnsi="Arial" w:cs="Arial"/>
          <w:bCs/>
          <w:sz w:val="24"/>
          <w:szCs w:val="24"/>
        </w:rPr>
        <w:t xml:space="preserve">issues with </w:t>
      </w:r>
      <w:r w:rsidR="00B55968" w:rsidRPr="00BC2C95">
        <w:rPr>
          <w:rFonts w:ascii="Arial" w:hAnsi="Arial" w:cs="Arial"/>
          <w:bCs/>
          <w:sz w:val="24"/>
          <w:szCs w:val="24"/>
        </w:rPr>
        <w:t>communication</w:t>
      </w:r>
      <w:r w:rsidR="00BE0E1F" w:rsidRPr="00BC2C95">
        <w:rPr>
          <w:rFonts w:ascii="Arial" w:hAnsi="Arial" w:cs="Arial"/>
          <w:bCs/>
          <w:sz w:val="24"/>
          <w:szCs w:val="24"/>
        </w:rPr>
        <w:t xml:space="preserve">, </w:t>
      </w:r>
      <w:r w:rsidR="00B55968" w:rsidRPr="00BC2C95">
        <w:rPr>
          <w:rFonts w:ascii="Arial" w:hAnsi="Arial" w:cs="Arial"/>
          <w:bCs/>
          <w:sz w:val="24"/>
          <w:szCs w:val="24"/>
        </w:rPr>
        <w:t xml:space="preserve">personability and </w:t>
      </w:r>
      <w:r w:rsidR="00A046FB" w:rsidRPr="00BC2C95">
        <w:rPr>
          <w:rFonts w:ascii="Arial" w:hAnsi="Arial" w:cs="Arial"/>
          <w:bCs/>
          <w:sz w:val="24"/>
          <w:szCs w:val="24"/>
        </w:rPr>
        <w:t>approachability of pharmacy staff</w:t>
      </w:r>
      <w:r w:rsidR="00245BA3" w:rsidRPr="00BC2C95">
        <w:rPr>
          <w:rFonts w:ascii="Arial" w:hAnsi="Arial" w:cs="Arial"/>
          <w:bCs/>
          <w:sz w:val="24"/>
          <w:szCs w:val="24"/>
        </w:rPr>
        <w:t xml:space="preserve">, </w:t>
      </w:r>
      <w:r w:rsidR="00AC0203" w:rsidRPr="00BC2C95">
        <w:rPr>
          <w:rFonts w:ascii="Arial" w:hAnsi="Arial" w:cs="Arial"/>
          <w:bCs/>
          <w:sz w:val="24"/>
          <w:szCs w:val="24"/>
        </w:rPr>
        <w:t>collecting prescriptions</w:t>
      </w:r>
      <w:r w:rsidR="00FE7C34" w:rsidRPr="00BC2C95">
        <w:rPr>
          <w:rFonts w:ascii="Arial" w:hAnsi="Arial" w:cs="Arial"/>
          <w:bCs/>
          <w:sz w:val="24"/>
          <w:szCs w:val="24"/>
        </w:rPr>
        <w:t xml:space="preserve"> or prescription items being out of stock often requiring a further visit to the pharmacy</w:t>
      </w:r>
      <w:r w:rsidR="00A046FB" w:rsidRPr="00BC2C95">
        <w:rPr>
          <w:rFonts w:ascii="Arial" w:hAnsi="Arial" w:cs="Arial"/>
          <w:bCs/>
          <w:sz w:val="24"/>
          <w:szCs w:val="24"/>
        </w:rPr>
        <w:t>:</w:t>
      </w:r>
    </w:p>
    <w:p w14:paraId="1149BEAA" w14:textId="7F229691" w:rsidR="00830E0A" w:rsidRPr="00BC2C95" w:rsidRDefault="00DD2B3E" w:rsidP="00DC54F7">
      <w:pPr>
        <w:pStyle w:val="ListParagraph"/>
        <w:numPr>
          <w:ilvl w:val="0"/>
          <w:numId w:val="102"/>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 xml:space="preserve">“Yes, as a result of covid, my medications are now random and I've had problems for months. Due to staff problems before Christmas, they were 3 weeks late with medication and rude/stressed to me on the phone. I was promised meds on Christmas </w:t>
      </w:r>
      <w:r w:rsidR="00540D6F" w:rsidRPr="00BC2C95">
        <w:rPr>
          <w:rFonts w:ascii="Arial" w:hAnsi="Arial" w:cs="Arial"/>
          <w:bCs/>
          <w:sz w:val="24"/>
          <w:szCs w:val="24"/>
        </w:rPr>
        <w:t>Eve</w:t>
      </w:r>
      <w:r w:rsidRPr="00BC2C95">
        <w:rPr>
          <w:rFonts w:ascii="Arial" w:hAnsi="Arial" w:cs="Arial"/>
          <w:bCs/>
          <w:sz w:val="24"/>
          <w:szCs w:val="24"/>
        </w:rPr>
        <w:t xml:space="preserve"> but that didn't happen. Consequently I ran out of one particular medication over </w:t>
      </w:r>
      <w:r w:rsidR="00540D6F" w:rsidRPr="00BC2C95">
        <w:rPr>
          <w:rFonts w:ascii="Arial" w:hAnsi="Arial" w:cs="Arial"/>
          <w:bCs/>
          <w:sz w:val="24"/>
          <w:szCs w:val="24"/>
        </w:rPr>
        <w:t>Christmas</w:t>
      </w:r>
      <w:r w:rsidRPr="00BC2C95">
        <w:rPr>
          <w:rFonts w:ascii="Arial" w:hAnsi="Arial" w:cs="Arial"/>
          <w:bCs/>
          <w:sz w:val="24"/>
          <w:szCs w:val="24"/>
        </w:rPr>
        <w:t xml:space="preserve"> until pharmacy was open. I continue to experience ongoing issues </w:t>
      </w:r>
      <w:r w:rsidR="00A74FEF" w:rsidRPr="00BC2C95">
        <w:rPr>
          <w:rFonts w:ascii="Arial" w:hAnsi="Arial" w:cs="Arial"/>
          <w:bCs/>
          <w:sz w:val="24"/>
          <w:szCs w:val="24"/>
        </w:rPr>
        <w:t>i.e.</w:t>
      </w:r>
      <w:r w:rsidRPr="00BC2C95">
        <w:rPr>
          <w:rFonts w:ascii="Arial" w:hAnsi="Arial" w:cs="Arial"/>
          <w:bCs/>
          <w:sz w:val="24"/>
          <w:szCs w:val="24"/>
        </w:rPr>
        <w:t xml:space="preserve"> this month I was told I can't pick up a one off prescription until it's time for my regular medication at the end of the month. I'm worried about phoning because I'm clearly in the way. I understand it's pandemic related, but I don't know what to do”.</w:t>
      </w:r>
    </w:p>
    <w:p w14:paraId="47BFB167" w14:textId="77777777" w:rsidR="00BE0E1F" w:rsidRPr="00BC2C95" w:rsidRDefault="00E04288" w:rsidP="00DC54F7">
      <w:pPr>
        <w:pStyle w:val="ListParagraph"/>
        <w:numPr>
          <w:ilvl w:val="0"/>
          <w:numId w:val="99"/>
        </w:numPr>
        <w:shd w:val="clear" w:color="auto" w:fill="FFFFFF" w:themeFill="background1"/>
        <w:spacing w:after="0" w:line="240" w:lineRule="auto"/>
        <w:ind w:left="360"/>
        <w:jc w:val="both"/>
        <w:rPr>
          <w:rFonts w:ascii="Arial" w:hAnsi="Arial" w:cs="Arial"/>
          <w:bCs/>
          <w:sz w:val="24"/>
          <w:szCs w:val="24"/>
        </w:rPr>
      </w:pPr>
      <w:r w:rsidRPr="00BC2C95">
        <w:rPr>
          <w:rFonts w:ascii="Arial" w:hAnsi="Arial" w:cs="Arial"/>
          <w:bCs/>
          <w:sz w:val="24"/>
          <w:szCs w:val="24"/>
        </w:rPr>
        <w:lastRenderedPageBreak/>
        <w:t>“Some of my medicines are available to pick up on a monthly basis but others are not. This means that I have to ring my Doctor every month to ask for a repeat prescription. I am unsure why some medicines are issued automatically whilst others are not”.</w:t>
      </w:r>
    </w:p>
    <w:p w14:paraId="662E47C7" w14:textId="01FC5118" w:rsidR="00A30A81" w:rsidRPr="00BC2C95" w:rsidRDefault="00BE0E1F" w:rsidP="00DC54F7">
      <w:pPr>
        <w:pStyle w:val="ListParagraph"/>
        <w:numPr>
          <w:ilvl w:val="0"/>
          <w:numId w:val="99"/>
        </w:numPr>
        <w:shd w:val="clear" w:color="auto" w:fill="FFFFFF" w:themeFill="background1"/>
        <w:spacing w:after="0" w:line="240" w:lineRule="auto"/>
        <w:ind w:left="360"/>
        <w:jc w:val="both"/>
        <w:rPr>
          <w:rFonts w:ascii="Arial" w:hAnsi="Arial" w:cs="Arial"/>
          <w:bCs/>
          <w:sz w:val="24"/>
          <w:szCs w:val="24"/>
        </w:rPr>
      </w:pPr>
      <w:r w:rsidRPr="00BC2C95">
        <w:rPr>
          <w:rFonts w:ascii="Arial" w:hAnsi="Arial" w:cs="Arial"/>
          <w:bCs/>
          <w:sz w:val="24"/>
          <w:szCs w:val="24"/>
        </w:rPr>
        <w:t>“Long long queues then because the staff are so busy they lost my prescription and I had to come back the next day and queue again and even then there were things missing which I will have to wait another 4 days!!”</w:t>
      </w:r>
    </w:p>
    <w:p w14:paraId="06D307DE" w14:textId="68E176AF" w:rsidR="00830E0A" w:rsidRPr="00BC2C95" w:rsidRDefault="00830E0A" w:rsidP="00DC54F7">
      <w:pPr>
        <w:shd w:val="clear" w:color="auto" w:fill="FFFFFF" w:themeFill="background1"/>
        <w:spacing w:after="0" w:line="240" w:lineRule="auto"/>
        <w:jc w:val="both"/>
        <w:rPr>
          <w:rFonts w:ascii="Arial" w:hAnsi="Arial" w:cs="Arial"/>
          <w:bCs/>
          <w:sz w:val="24"/>
          <w:szCs w:val="24"/>
        </w:rPr>
      </w:pPr>
    </w:p>
    <w:p w14:paraId="2C9309C4" w14:textId="2A59296C" w:rsidR="00830E0A" w:rsidRPr="00BC2C95" w:rsidRDefault="00830E0A" w:rsidP="00DC54F7">
      <w:p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 xml:space="preserve">Five comments </w:t>
      </w:r>
      <w:r w:rsidR="00F0796E" w:rsidRPr="00BC2C95">
        <w:rPr>
          <w:rFonts w:ascii="Arial" w:hAnsi="Arial" w:cs="Arial"/>
          <w:bCs/>
          <w:sz w:val="24"/>
          <w:szCs w:val="24"/>
        </w:rPr>
        <w:t>m</w:t>
      </w:r>
      <w:r w:rsidR="001A13B1" w:rsidRPr="00BC2C95">
        <w:rPr>
          <w:rFonts w:ascii="Arial" w:hAnsi="Arial" w:cs="Arial"/>
          <w:bCs/>
          <w:sz w:val="24"/>
          <w:szCs w:val="24"/>
        </w:rPr>
        <w:t xml:space="preserve">entioned the potential of community </w:t>
      </w:r>
      <w:r w:rsidR="00E438CA" w:rsidRPr="00BC2C95">
        <w:rPr>
          <w:rFonts w:ascii="Arial" w:hAnsi="Arial" w:cs="Arial"/>
          <w:bCs/>
          <w:sz w:val="24"/>
          <w:szCs w:val="24"/>
        </w:rPr>
        <w:t>pharmacies or made servi</w:t>
      </w:r>
      <w:r w:rsidR="00950AD3" w:rsidRPr="00BC2C95">
        <w:rPr>
          <w:rFonts w:ascii="Arial" w:hAnsi="Arial" w:cs="Arial"/>
          <w:bCs/>
          <w:sz w:val="24"/>
          <w:szCs w:val="24"/>
        </w:rPr>
        <w:t>c</w:t>
      </w:r>
      <w:r w:rsidR="00E438CA" w:rsidRPr="00BC2C95">
        <w:rPr>
          <w:rFonts w:ascii="Arial" w:hAnsi="Arial" w:cs="Arial"/>
          <w:bCs/>
          <w:sz w:val="24"/>
          <w:szCs w:val="24"/>
        </w:rPr>
        <w:t>e suggestions:</w:t>
      </w:r>
    </w:p>
    <w:p w14:paraId="4A58A354" w14:textId="195D84DE" w:rsidR="00051937" w:rsidRPr="00BC2C95" w:rsidRDefault="00051937" w:rsidP="00DC54F7">
      <w:pPr>
        <w:pStyle w:val="ListParagraph"/>
        <w:numPr>
          <w:ilvl w:val="0"/>
          <w:numId w:val="100"/>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 xml:space="preserve">“Historically Cardiff had rota of pharmacies that were on call 24 hours a day, I </w:t>
      </w:r>
      <w:r w:rsidR="00540D6F" w:rsidRPr="00BC2C95">
        <w:rPr>
          <w:rFonts w:ascii="Arial" w:hAnsi="Arial" w:cs="Arial"/>
          <w:bCs/>
          <w:sz w:val="24"/>
          <w:szCs w:val="24"/>
        </w:rPr>
        <w:t>believe</w:t>
      </w:r>
      <w:r w:rsidRPr="00BC2C95">
        <w:rPr>
          <w:rFonts w:ascii="Arial" w:hAnsi="Arial" w:cs="Arial"/>
          <w:bCs/>
          <w:sz w:val="24"/>
          <w:szCs w:val="24"/>
        </w:rPr>
        <w:t xml:space="preserve"> this should happen </w:t>
      </w:r>
      <w:r w:rsidR="00540D6F" w:rsidRPr="00BC2C95">
        <w:rPr>
          <w:rFonts w:ascii="Arial" w:hAnsi="Arial" w:cs="Arial"/>
          <w:bCs/>
          <w:sz w:val="24"/>
          <w:szCs w:val="24"/>
        </w:rPr>
        <w:t>again. I</w:t>
      </w:r>
      <w:r w:rsidRPr="00BC2C95">
        <w:rPr>
          <w:rFonts w:ascii="Arial" w:hAnsi="Arial" w:cs="Arial"/>
          <w:bCs/>
          <w:sz w:val="24"/>
          <w:szCs w:val="24"/>
        </w:rPr>
        <w:t xml:space="preserve"> work for a 24 hour service and pts can't access medication </w:t>
      </w:r>
      <w:r w:rsidR="00540D6F" w:rsidRPr="00BC2C95">
        <w:rPr>
          <w:rFonts w:ascii="Arial" w:hAnsi="Arial" w:cs="Arial"/>
          <w:bCs/>
          <w:sz w:val="24"/>
          <w:szCs w:val="24"/>
        </w:rPr>
        <w:t>overnight</w:t>
      </w:r>
      <w:r w:rsidRPr="00BC2C95">
        <w:rPr>
          <w:rFonts w:ascii="Arial" w:hAnsi="Arial" w:cs="Arial"/>
          <w:bCs/>
          <w:sz w:val="24"/>
          <w:szCs w:val="24"/>
        </w:rPr>
        <w:t xml:space="preserve"> and often end up in A&amp;E as a large city having 24 hour access to pharmacies is vital.”</w:t>
      </w:r>
    </w:p>
    <w:p w14:paraId="457EA841" w14:textId="567B81FD" w:rsidR="00051937" w:rsidRPr="00BC2C95" w:rsidRDefault="00051937" w:rsidP="00DC54F7">
      <w:pPr>
        <w:pStyle w:val="ListParagraph"/>
        <w:numPr>
          <w:ilvl w:val="0"/>
          <w:numId w:val="100"/>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“They should be given opportunity to do more. Clusters should engage with them more. WG provide funding &amp; opportunities. Consulting rooms etc.”</w:t>
      </w:r>
    </w:p>
    <w:p w14:paraId="27099E2E" w14:textId="59F854F7" w:rsidR="00051937" w:rsidRPr="00BC2C95" w:rsidRDefault="00051937" w:rsidP="00DC54F7">
      <w:pPr>
        <w:pStyle w:val="ListParagraph"/>
        <w:numPr>
          <w:ilvl w:val="0"/>
          <w:numId w:val="100"/>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“Would be much easier if there was electronic prescribing from surgery to pharmacy.”</w:t>
      </w:r>
    </w:p>
    <w:p w14:paraId="40992D37" w14:textId="46AD8B18" w:rsidR="00830E0A" w:rsidRPr="00BC2C95" w:rsidRDefault="00051937" w:rsidP="00DC54F7">
      <w:pPr>
        <w:pStyle w:val="ListParagraph"/>
        <w:numPr>
          <w:ilvl w:val="0"/>
          <w:numId w:val="100"/>
        </w:num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“It’s a service that has great potential to help people live well.  Many pharmacies are local and they’re all very important shops in the community.  But they haven’t been set out in a way that makes advisory work easy.”</w:t>
      </w:r>
    </w:p>
    <w:p w14:paraId="0ABDE14E" w14:textId="6E1671EC" w:rsidR="004F06A0" w:rsidRPr="00BC2C95" w:rsidRDefault="004F06A0" w:rsidP="00DC54F7">
      <w:pPr>
        <w:shd w:val="clear" w:color="auto" w:fill="FFFFFF" w:themeFill="background1"/>
        <w:spacing w:after="0" w:line="240" w:lineRule="auto"/>
        <w:jc w:val="both"/>
        <w:rPr>
          <w:rFonts w:ascii="Arial" w:hAnsi="Arial" w:cs="Arial"/>
          <w:bCs/>
          <w:sz w:val="24"/>
          <w:szCs w:val="24"/>
        </w:rPr>
      </w:pPr>
    </w:p>
    <w:p w14:paraId="6E1D57FA" w14:textId="7621BC14" w:rsidR="004F06A0" w:rsidRPr="00BC2C95" w:rsidRDefault="004F06A0" w:rsidP="00DC54F7">
      <w:p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Other comments included:</w:t>
      </w:r>
    </w:p>
    <w:p w14:paraId="01925442" w14:textId="77777777" w:rsidR="004F06A0" w:rsidRPr="00BC2C95" w:rsidRDefault="004F06A0" w:rsidP="00DC54F7">
      <w:pPr>
        <w:pStyle w:val="ListParagraph"/>
        <w:numPr>
          <w:ilvl w:val="0"/>
          <w:numId w:val="105"/>
        </w:numPr>
        <w:shd w:val="clear" w:color="auto" w:fill="FFFFFF" w:themeFill="background1"/>
        <w:spacing w:after="0" w:line="240" w:lineRule="auto"/>
        <w:ind w:left="360"/>
        <w:jc w:val="both"/>
        <w:rPr>
          <w:rFonts w:ascii="Arial" w:hAnsi="Arial" w:cs="Arial"/>
          <w:bCs/>
          <w:sz w:val="24"/>
          <w:szCs w:val="24"/>
        </w:rPr>
      </w:pPr>
      <w:r w:rsidRPr="00BC2C95">
        <w:rPr>
          <w:rFonts w:ascii="Arial" w:hAnsi="Arial" w:cs="Arial"/>
          <w:bCs/>
          <w:sz w:val="24"/>
          <w:szCs w:val="24"/>
        </w:rPr>
        <w:t>“Due to a mental health issue I struggle to enter the shop when there are a few people in there. I generally wait outside and observe fir the right opportunity to enter.”</w:t>
      </w:r>
    </w:p>
    <w:p w14:paraId="65B72232" w14:textId="7FE7ED66" w:rsidR="004F06A0" w:rsidRPr="00BC2C95" w:rsidRDefault="004F06A0" w:rsidP="00DC54F7">
      <w:pPr>
        <w:pStyle w:val="ListParagraph"/>
        <w:numPr>
          <w:ilvl w:val="0"/>
          <w:numId w:val="105"/>
        </w:numPr>
        <w:shd w:val="clear" w:color="auto" w:fill="FFFFFF" w:themeFill="background1"/>
        <w:spacing w:after="0" w:line="240" w:lineRule="auto"/>
        <w:ind w:left="360"/>
        <w:jc w:val="both"/>
        <w:rPr>
          <w:rFonts w:ascii="Arial" w:hAnsi="Arial" w:cs="Arial"/>
          <w:bCs/>
          <w:sz w:val="24"/>
          <w:szCs w:val="24"/>
        </w:rPr>
      </w:pPr>
      <w:r w:rsidRPr="00BC2C95">
        <w:rPr>
          <w:rFonts w:ascii="Arial" w:hAnsi="Arial" w:cs="Arial"/>
          <w:bCs/>
          <w:sz w:val="24"/>
          <w:szCs w:val="24"/>
        </w:rPr>
        <w:t xml:space="preserve">“There are pharmacies closer to me but they are small, cramped, no privacy, difficult to park and one of them is really dirty.” </w:t>
      </w:r>
    </w:p>
    <w:p w14:paraId="14056341" w14:textId="77777777" w:rsidR="00182F60" w:rsidRPr="00BC2C95" w:rsidRDefault="004F06A0" w:rsidP="00DC54F7">
      <w:pPr>
        <w:pStyle w:val="ListParagraph"/>
        <w:numPr>
          <w:ilvl w:val="0"/>
          <w:numId w:val="105"/>
        </w:numPr>
        <w:shd w:val="clear" w:color="auto" w:fill="FFFFFF" w:themeFill="background1"/>
        <w:spacing w:after="0" w:line="240" w:lineRule="auto"/>
        <w:ind w:left="360"/>
        <w:jc w:val="both"/>
        <w:rPr>
          <w:rFonts w:ascii="Arial" w:hAnsi="Arial" w:cs="Arial"/>
          <w:bCs/>
          <w:sz w:val="24"/>
          <w:szCs w:val="24"/>
        </w:rPr>
      </w:pPr>
      <w:r w:rsidRPr="00BC2C95">
        <w:rPr>
          <w:rFonts w:ascii="Arial" w:hAnsi="Arial" w:cs="Arial"/>
          <w:bCs/>
          <w:sz w:val="24"/>
          <w:szCs w:val="24"/>
        </w:rPr>
        <w:t>“The pharmacist is not interested in engaging with the public”</w:t>
      </w:r>
    </w:p>
    <w:p w14:paraId="15D66DA4" w14:textId="69BB9D22" w:rsidR="00182F60" w:rsidRPr="00BC2C95" w:rsidRDefault="00182F60" w:rsidP="00DC54F7">
      <w:pPr>
        <w:pStyle w:val="ListParagraph"/>
        <w:numPr>
          <w:ilvl w:val="0"/>
          <w:numId w:val="105"/>
        </w:numPr>
        <w:shd w:val="clear" w:color="auto" w:fill="FFFFFF" w:themeFill="background1"/>
        <w:spacing w:after="0" w:line="240" w:lineRule="auto"/>
        <w:ind w:left="360"/>
        <w:jc w:val="both"/>
        <w:rPr>
          <w:rFonts w:ascii="Arial" w:hAnsi="Arial" w:cs="Arial"/>
          <w:bCs/>
          <w:sz w:val="24"/>
          <w:szCs w:val="24"/>
        </w:rPr>
      </w:pPr>
      <w:r w:rsidRPr="00BC2C95">
        <w:rPr>
          <w:rFonts w:ascii="Arial" w:hAnsi="Arial" w:cs="Arial"/>
          <w:bCs/>
          <w:sz w:val="24"/>
          <w:szCs w:val="24"/>
        </w:rPr>
        <w:t xml:space="preserve">“They have a very old fashioned air about them. I can’t imagine young people feeling encouraged to go in there and ask for contraception for example.” </w:t>
      </w:r>
    </w:p>
    <w:p w14:paraId="76AD6274" w14:textId="51B1991D" w:rsidR="004F06A0" w:rsidRPr="00BC2C95" w:rsidRDefault="004F06A0" w:rsidP="00DC54F7">
      <w:pPr>
        <w:pStyle w:val="ListParagraph"/>
        <w:numPr>
          <w:ilvl w:val="0"/>
          <w:numId w:val="105"/>
        </w:numPr>
        <w:shd w:val="clear" w:color="auto" w:fill="FFFFFF" w:themeFill="background1"/>
        <w:spacing w:after="0" w:line="240" w:lineRule="auto"/>
        <w:ind w:left="360"/>
        <w:jc w:val="both"/>
        <w:rPr>
          <w:rFonts w:ascii="Arial" w:hAnsi="Arial" w:cs="Arial"/>
          <w:bCs/>
          <w:sz w:val="24"/>
          <w:szCs w:val="24"/>
        </w:rPr>
      </w:pPr>
      <w:r w:rsidRPr="00BC2C95">
        <w:rPr>
          <w:rFonts w:ascii="Arial" w:hAnsi="Arial" w:cs="Arial"/>
          <w:bCs/>
          <w:sz w:val="24"/>
          <w:szCs w:val="24"/>
        </w:rPr>
        <w:t>“Is it not always easy to make a GP appointment to obtain prescriptions.”</w:t>
      </w:r>
    </w:p>
    <w:p w14:paraId="041B251E" w14:textId="206B9E22" w:rsidR="00635591" w:rsidRPr="00BC2C95" w:rsidRDefault="00635591" w:rsidP="00DC54F7">
      <w:pPr>
        <w:shd w:val="clear" w:color="auto" w:fill="FFFFFF" w:themeFill="background1"/>
        <w:spacing w:after="0" w:line="240" w:lineRule="auto"/>
        <w:jc w:val="both"/>
        <w:rPr>
          <w:rFonts w:ascii="Arial" w:hAnsi="Arial" w:cs="Arial"/>
          <w:bCs/>
          <w:sz w:val="24"/>
          <w:szCs w:val="24"/>
        </w:rPr>
      </w:pPr>
    </w:p>
    <w:p w14:paraId="5B9E3499" w14:textId="3669EF8A" w:rsidR="00635591" w:rsidRPr="00BC2C95" w:rsidRDefault="00635591" w:rsidP="00DC54F7">
      <w:pPr>
        <w:shd w:val="clear" w:color="auto" w:fill="FFFFFF" w:themeFill="background1"/>
        <w:spacing w:after="0" w:line="240" w:lineRule="auto"/>
        <w:jc w:val="both"/>
        <w:rPr>
          <w:rFonts w:ascii="Arial" w:hAnsi="Arial" w:cs="Arial"/>
          <w:bCs/>
          <w:sz w:val="24"/>
          <w:szCs w:val="24"/>
        </w:rPr>
      </w:pPr>
      <w:r w:rsidRPr="00BC2C95">
        <w:rPr>
          <w:rFonts w:ascii="Arial" w:hAnsi="Arial" w:cs="Arial"/>
          <w:bCs/>
          <w:sz w:val="24"/>
          <w:szCs w:val="24"/>
        </w:rPr>
        <w:t>Two comments related to the lack of pharmacy staff wearing masks.</w:t>
      </w:r>
      <w:r w:rsidR="00625284" w:rsidRPr="00BC2C95">
        <w:rPr>
          <w:rFonts w:ascii="Arial" w:hAnsi="Arial" w:cs="Arial"/>
          <w:bCs/>
          <w:sz w:val="24"/>
          <w:szCs w:val="24"/>
        </w:rPr>
        <w:t xml:space="preserve"> However, this may be for legitimate medical reasons.</w:t>
      </w:r>
    </w:p>
    <w:p w14:paraId="56AEDFB4" w14:textId="112B1777" w:rsidR="004C3A89" w:rsidRPr="00BC2C95" w:rsidRDefault="004C3A89" w:rsidP="00DC54F7">
      <w:pPr>
        <w:spacing w:after="0" w:line="240" w:lineRule="auto"/>
        <w:jc w:val="both"/>
        <w:rPr>
          <w:rFonts w:ascii="Arial" w:hAnsi="Arial" w:cs="Arial"/>
          <w:sz w:val="24"/>
          <w:szCs w:val="24"/>
        </w:rPr>
      </w:pPr>
    </w:p>
    <w:p w14:paraId="5F9C0068" w14:textId="6C4D5D6B" w:rsidR="00560754" w:rsidRPr="00BC2C95" w:rsidRDefault="00560754" w:rsidP="00DC54F7">
      <w:pPr>
        <w:spacing w:after="0" w:line="240" w:lineRule="auto"/>
        <w:jc w:val="both"/>
        <w:rPr>
          <w:rFonts w:ascii="Arial" w:hAnsi="Arial" w:cs="Arial"/>
          <w:sz w:val="24"/>
          <w:szCs w:val="24"/>
        </w:rPr>
      </w:pPr>
      <w:r w:rsidRPr="00BC2C95">
        <w:rPr>
          <w:rFonts w:ascii="Arial" w:hAnsi="Arial" w:cs="Arial"/>
          <w:sz w:val="24"/>
          <w:szCs w:val="24"/>
        </w:rPr>
        <w:t>Responses to the questionnaire were received from people living across the health board’s area as can be seen from the map below. The least number of responses came from</w:t>
      </w:r>
      <w:r w:rsidR="00294838" w:rsidRPr="00BC2C95">
        <w:rPr>
          <w:rFonts w:ascii="Arial" w:hAnsi="Arial" w:cs="Arial"/>
          <w:sz w:val="24"/>
          <w:szCs w:val="24"/>
        </w:rPr>
        <w:t xml:space="preserve"> CF72. </w:t>
      </w:r>
      <w:r w:rsidR="00983B67" w:rsidRPr="00BC2C95">
        <w:rPr>
          <w:rFonts w:ascii="Arial" w:hAnsi="Arial" w:cs="Arial"/>
          <w:sz w:val="24"/>
          <w:szCs w:val="24"/>
        </w:rPr>
        <w:t xml:space="preserve">Fourteen </w:t>
      </w:r>
      <w:r w:rsidRPr="00BC2C95">
        <w:rPr>
          <w:rFonts w:ascii="Arial" w:hAnsi="Arial" w:cs="Arial"/>
          <w:sz w:val="24"/>
          <w:szCs w:val="24"/>
        </w:rPr>
        <w:t>postcodes provided were invalid.</w:t>
      </w:r>
    </w:p>
    <w:p w14:paraId="589D5862" w14:textId="77777777" w:rsidR="00FA61D2" w:rsidRDefault="00FA61D2" w:rsidP="00DC54F7">
      <w:pPr>
        <w:jc w:val="both"/>
        <w:rPr>
          <w:rFonts w:ascii="Arial" w:hAnsi="Arial" w:cs="Arial"/>
          <w:b/>
          <w:bCs/>
          <w:sz w:val="24"/>
          <w:szCs w:val="24"/>
        </w:rPr>
      </w:pPr>
    </w:p>
    <w:p w14:paraId="103E627E" w14:textId="736B41DF" w:rsidR="00BC2C95" w:rsidRPr="00D15DDE" w:rsidRDefault="00FA61D2" w:rsidP="00FA61D2">
      <w:pPr>
        <w:rPr>
          <w:rFonts w:ascii="Arial" w:hAnsi="Arial" w:cs="Arial"/>
          <w:b/>
          <w:bCs/>
          <w:sz w:val="24"/>
          <w:szCs w:val="24"/>
        </w:rPr>
      </w:pPr>
      <w:r>
        <w:rPr>
          <w:rFonts w:ascii="Arial" w:hAnsi="Arial" w:cs="Arial"/>
          <w:b/>
          <w:bCs/>
          <w:sz w:val="24"/>
          <w:szCs w:val="24"/>
        </w:rPr>
        <w:br w:type="page"/>
      </w:r>
      <w:r w:rsidR="00560754" w:rsidRPr="00BC2C95">
        <w:rPr>
          <w:rFonts w:ascii="Arial" w:hAnsi="Arial" w:cs="Arial"/>
          <w:b/>
          <w:bCs/>
          <w:sz w:val="24"/>
          <w:szCs w:val="24"/>
        </w:rPr>
        <w:lastRenderedPageBreak/>
        <w:t xml:space="preserve">Map </w:t>
      </w:r>
      <w:r w:rsidR="00713232" w:rsidRPr="00BC2C95">
        <w:rPr>
          <w:rFonts w:ascii="Arial" w:hAnsi="Arial" w:cs="Arial"/>
          <w:b/>
          <w:bCs/>
          <w:sz w:val="24"/>
          <w:szCs w:val="24"/>
        </w:rPr>
        <w:t>1</w:t>
      </w:r>
      <w:r w:rsidR="00560754" w:rsidRPr="00BC2C95">
        <w:rPr>
          <w:rFonts w:ascii="Arial" w:hAnsi="Arial" w:cs="Arial"/>
          <w:b/>
          <w:bCs/>
          <w:sz w:val="24"/>
          <w:szCs w:val="24"/>
        </w:rPr>
        <w:t>: Location of respondents</w:t>
      </w:r>
    </w:p>
    <w:p w14:paraId="14BA4823" w14:textId="74CAF5EE" w:rsidR="00BC2C95" w:rsidRPr="00FA61D2" w:rsidRDefault="00713232" w:rsidP="00FA61D2">
      <w:pPr>
        <w:jc w:val="both"/>
        <w:rPr>
          <w:rFonts w:ascii="Arial" w:hAnsi="Arial" w:cs="Arial"/>
          <w:b/>
          <w:bCs/>
        </w:rPr>
      </w:pPr>
      <w:r>
        <w:rPr>
          <w:noProof/>
          <w:lang w:eastAsia="en-GB"/>
        </w:rPr>
        <w:drawing>
          <wp:inline distT="0" distB="0" distL="0" distR="0" wp14:anchorId="7A15B400" wp14:editId="5AB0CA53">
            <wp:extent cx="5731510" cy="4066540"/>
            <wp:effectExtent l="0" t="0" r="2540" b="0"/>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31510" cy="4066540"/>
                    </a:xfrm>
                    <a:prstGeom prst="rect">
                      <a:avLst/>
                    </a:prstGeom>
                    <a:noFill/>
                    <a:ln>
                      <a:noFill/>
                    </a:ln>
                  </pic:spPr>
                </pic:pic>
              </a:graphicData>
            </a:graphic>
          </wp:inline>
        </w:drawing>
      </w:r>
    </w:p>
    <w:p w14:paraId="6984BCD8" w14:textId="44553AB7" w:rsidR="001C2352" w:rsidRPr="00A10850" w:rsidRDefault="006F0A84" w:rsidP="00DC54F7">
      <w:pPr>
        <w:spacing w:after="0" w:line="240" w:lineRule="auto"/>
        <w:jc w:val="both"/>
        <w:rPr>
          <w:rFonts w:ascii="Arial" w:hAnsi="Arial" w:cs="Arial"/>
          <w:b/>
          <w:sz w:val="24"/>
          <w:szCs w:val="24"/>
        </w:rPr>
      </w:pPr>
      <w:r w:rsidRPr="00A10850">
        <w:rPr>
          <w:rFonts w:ascii="Arial" w:hAnsi="Arial" w:cs="Arial"/>
          <w:b/>
          <w:sz w:val="24"/>
          <w:szCs w:val="24"/>
        </w:rPr>
        <w:t>1.</w:t>
      </w:r>
      <w:r w:rsidR="003C4215" w:rsidRPr="00A10850">
        <w:rPr>
          <w:rFonts w:ascii="Arial" w:hAnsi="Arial" w:cs="Arial"/>
          <w:b/>
          <w:sz w:val="24"/>
          <w:szCs w:val="24"/>
        </w:rPr>
        <w:t>5</w:t>
      </w:r>
      <w:r w:rsidRPr="00A10850">
        <w:rPr>
          <w:rFonts w:ascii="Arial" w:hAnsi="Arial" w:cs="Arial"/>
          <w:b/>
          <w:sz w:val="24"/>
          <w:szCs w:val="24"/>
        </w:rPr>
        <w:t xml:space="preserve">.4 </w:t>
      </w:r>
      <w:r w:rsidR="001C2352" w:rsidRPr="00A10850">
        <w:rPr>
          <w:rFonts w:ascii="Arial" w:hAnsi="Arial" w:cs="Arial"/>
          <w:b/>
          <w:sz w:val="24"/>
          <w:szCs w:val="24"/>
        </w:rPr>
        <w:t>Contractor engagement</w:t>
      </w:r>
    </w:p>
    <w:p w14:paraId="244D9A0A" w14:textId="77777777" w:rsidR="001C2352" w:rsidRPr="00A10850" w:rsidRDefault="001C2352" w:rsidP="00DC54F7">
      <w:pPr>
        <w:spacing w:after="0" w:line="240" w:lineRule="auto"/>
        <w:jc w:val="both"/>
        <w:rPr>
          <w:rFonts w:ascii="Arial" w:hAnsi="Arial" w:cs="Arial"/>
          <w:b/>
        </w:rPr>
      </w:pPr>
    </w:p>
    <w:p w14:paraId="555D64A3" w14:textId="77777777" w:rsidR="00100E23" w:rsidRPr="00BC2C95" w:rsidRDefault="00100E23" w:rsidP="00DC54F7">
      <w:pPr>
        <w:shd w:val="clear" w:color="auto" w:fill="FFFFFF"/>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An online questionnaire for pharmacies was undertaken via the All Wales Pharmacy Database validation exercise, and the approach was taken to only ask contractors for information that could not be sourced elsewhere.</w:t>
      </w:r>
    </w:p>
    <w:p w14:paraId="7AEAA278" w14:textId="77777777" w:rsidR="00100E23" w:rsidRPr="00BC2C95" w:rsidRDefault="00100E23" w:rsidP="00DC54F7">
      <w:pPr>
        <w:shd w:val="clear" w:color="auto" w:fill="FFFFFF"/>
        <w:spacing w:after="0" w:line="240" w:lineRule="auto"/>
        <w:jc w:val="both"/>
        <w:rPr>
          <w:rFonts w:ascii="Arial" w:eastAsia="Times New Roman" w:hAnsi="Arial" w:cs="Arial"/>
          <w:sz w:val="24"/>
          <w:szCs w:val="24"/>
          <w:lang w:eastAsia="en-GB"/>
        </w:rPr>
      </w:pPr>
    </w:p>
    <w:p w14:paraId="1667CCF5" w14:textId="77777777" w:rsidR="00100E23" w:rsidRPr="00BC2C95" w:rsidRDefault="00100E23" w:rsidP="00DC54F7">
      <w:pPr>
        <w:shd w:val="clear" w:color="auto" w:fill="FFFFFF"/>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A copy of the questionnaire can be found in appendix I.</w:t>
      </w:r>
    </w:p>
    <w:p w14:paraId="272E941E" w14:textId="77777777" w:rsidR="00100E23" w:rsidRPr="00BC2C95" w:rsidRDefault="00100E23" w:rsidP="00DC54F7">
      <w:pPr>
        <w:shd w:val="clear" w:color="auto" w:fill="FFFFFF"/>
        <w:spacing w:after="0" w:line="240" w:lineRule="auto"/>
        <w:jc w:val="both"/>
        <w:rPr>
          <w:rFonts w:ascii="Arial" w:eastAsia="Times New Roman" w:hAnsi="Arial" w:cs="Arial"/>
          <w:sz w:val="24"/>
          <w:szCs w:val="24"/>
          <w:lang w:eastAsia="en-GB"/>
        </w:rPr>
      </w:pPr>
    </w:p>
    <w:p w14:paraId="51E6AD43" w14:textId="7C1AA795" w:rsidR="00100E23" w:rsidRPr="00BC2C95" w:rsidRDefault="00100E23" w:rsidP="00DC54F7">
      <w:pPr>
        <w:spacing w:after="0" w:line="240" w:lineRule="auto"/>
        <w:jc w:val="both"/>
        <w:rPr>
          <w:rFonts w:ascii="Arial" w:eastAsia="Times New Roman" w:hAnsi="Arial" w:cs="Arial"/>
          <w:sz w:val="24"/>
          <w:szCs w:val="24"/>
          <w:lang w:eastAsia="en-GB"/>
        </w:rPr>
      </w:pPr>
      <w:r w:rsidRPr="00BC2C95">
        <w:rPr>
          <w:rFonts w:ascii="Arial" w:eastAsia="Times New Roman" w:hAnsi="Arial" w:cs="Arial"/>
          <w:sz w:val="24"/>
          <w:szCs w:val="24"/>
          <w:lang w:eastAsia="en-GB"/>
        </w:rPr>
        <w:t>The questionnaire was open from 18 November to 20 December 2020 and the results are summarised below. </w:t>
      </w:r>
    </w:p>
    <w:p w14:paraId="259BFE49" w14:textId="77777777" w:rsidR="00121B42" w:rsidRPr="00BC2C95" w:rsidRDefault="00121B42" w:rsidP="00DC54F7">
      <w:pPr>
        <w:spacing w:after="0" w:line="240" w:lineRule="auto"/>
        <w:jc w:val="both"/>
        <w:rPr>
          <w:rFonts w:ascii="Arial" w:hAnsi="Arial" w:cs="Arial"/>
          <w:sz w:val="24"/>
          <w:szCs w:val="24"/>
        </w:rPr>
      </w:pPr>
    </w:p>
    <w:p w14:paraId="66D34102" w14:textId="7C4DFB87" w:rsidR="00B46B85" w:rsidRPr="00BC2C95" w:rsidRDefault="00CA3247" w:rsidP="00DC54F7">
      <w:pPr>
        <w:spacing w:after="0" w:line="240" w:lineRule="auto"/>
        <w:jc w:val="both"/>
        <w:rPr>
          <w:rFonts w:ascii="Arial" w:hAnsi="Arial" w:cs="Arial"/>
          <w:sz w:val="24"/>
          <w:szCs w:val="24"/>
          <w:highlight w:val="yellow"/>
        </w:rPr>
      </w:pPr>
      <w:r w:rsidRPr="00BC2C95">
        <w:rPr>
          <w:rFonts w:ascii="Arial" w:hAnsi="Arial" w:cs="Arial"/>
          <w:sz w:val="24"/>
          <w:szCs w:val="24"/>
        </w:rPr>
        <w:t xml:space="preserve">All </w:t>
      </w:r>
      <w:r w:rsidR="006A3E38" w:rsidRPr="00BC2C95">
        <w:rPr>
          <w:rFonts w:ascii="Arial" w:hAnsi="Arial" w:cs="Arial"/>
          <w:sz w:val="24"/>
          <w:szCs w:val="24"/>
        </w:rPr>
        <w:t>106</w:t>
      </w:r>
      <w:r w:rsidR="00D934AE" w:rsidRPr="00BC2C95">
        <w:rPr>
          <w:rFonts w:ascii="Arial" w:hAnsi="Arial" w:cs="Arial"/>
          <w:sz w:val="24"/>
          <w:szCs w:val="24"/>
        </w:rPr>
        <w:t xml:space="preserve"> </w:t>
      </w:r>
      <w:r w:rsidR="006A2403" w:rsidRPr="00BC2C95">
        <w:rPr>
          <w:rFonts w:ascii="Arial" w:hAnsi="Arial" w:cs="Arial"/>
          <w:sz w:val="24"/>
          <w:szCs w:val="24"/>
        </w:rPr>
        <w:t>pharmacies</w:t>
      </w:r>
      <w:r w:rsidR="00D934AE" w:rsidRPr="00BC2C95">
        <w:rPr>
          <w:rFonts w:ascii="Arial" w:hAnsi="Arial" w:cs="Arial"/>
          <w:sz w:val="24"/>
          <w:szCs w:val="24"/>
        </w:rPr>
        <w:t xml:space="preserve"> in</w:t>
      </w:r>
      <w:r w:rsidR="00B46B85" w:rsidRPr="00BC2C95">
        <w:rPr>
          <w:rFonts w:ascii="Arial" w:hAnsi="Arial" w:cs="Arial"/>
          <w:sz w:val="24"/>
          <w:szCs w:val="24"/>
        </w:rPr>
        <w:t xml:space="preserve"> </w:t>
      </w:r>
      <w:r w:rsidRPr="00BC2C95">
        <w:rPr>
          <w:rFonts w:ascii="Arial" w:hAnsi="Arial" w:cs="Arial"/>
          <w:sz w:val="24"/>
          <w:szCs w:val="24"/>
        </w:rPr>
        <w:t>Cardiff and Vale University Health Board area</w:t>
      </w:r>
      <w:r w:rsidR="00B46B85" w:rsidRPr="00BC2C95">
        <w:rPr>
          <w:rFonts w:ascii="Arial" w:hAnsi="Arial" w:cs="Arial"/>
          <w:sz w:val="24"/>
          <w:szCs w:val="24"/>
        </w:rPr>
        <w:t xml:space="preserve"> responded, a response rate of </w:t>
      </w:r>
      <w:r w:rsidRPr="00BC2C95">
        <w:rPr>
          <w:rFonts w:ascii="Arial" w:hAnsi="Arial" w:cs="Arial"/>
          <w:sz w:val="24"/>
          <w:szCs w:val="24"/>
        </w:rPr>
        <w:t>100%</w:t>
      </w:r>
      <w:r w:rsidR="00B46B85" w:rsidRPr="00BC2C95">
        <w:rPr>
          <w:rFonts w:ascii="Arial" w:hAnsi="Arial" w:cs="Arial"/>
          <w:sz w:val="24"/>
          <w:szCs w:val="24"/>
        </w:rPr>
        <w:t xml:space="preserve">.  The </w:t>
      </w:r>
      <w:r w:rsidRPr="00BC2C95">
        <w:rPr>
          <w:rFonts w:ascii="Arial" w:hAnsi="Arial" w:cs="Arial"/>
          <w:sz w:val="24"/>
          <w:szCs w:val="24"/>
        </w:rPr>
        <w:t>Cardiff and Vale University Health Board</w:t>
      </w:r>
      <w:r w:rsidR="00735FB3" w:rsidRPr="00BC2C95">
        <w:rPr>
          <w:rFonts w:ascii="Arial" w:hAnsi="Arial" w:cs="Arial"/>
          <w:sz w:val="24"/>
          <w:szCs w:val="24"/>
        </w:rPr>
        <w:t xml:space="preserve"> </w:t>
      </w:r>
      <w:r w:rsidR="00B46B85" w:rsidRPr="00BC2C95">
        <w:rPr>
          <w:rFonts w:ascii="Arial" w:hAnsi="Arial" w:cs="Arial"/>
          <w:sz w:val="24"/>
          <w:szCs w:val="24"/>
        </w:rPr>
        <w:t xml:space="preserve">is grateful for the support of </w:t>
      </w:r>
      <w:r w:rsidR="004654D5" w:rsidRPr="00BC2C95">
        <w:rPr>
          <w:rFonts w:ascii="Arial" w:hAnsi="Arial" w:cs="Arial"/>
          <w:sz w:val="24"/>
          <w:szCs w:val="24"/>
        </w:rPr>
        <w:t xml:space="preserve">Community Pharmacy Wales </w:t>
      </w:r>
      <w:r w:rsidR="00B46B85" w:rsidRPr="00BC2C95">
        <w:rPr>
          <w:rFonts w:ascii="Arial" w:hAnsi="Arial" w:cs="Arial"/>
          <w:sz w:val="24"/>
          <w:szCs w:val="24"/>
        </w:rPr>
        <w:t>in encouraging contractors to complete the questionnaire.</w:t>
      </w:r>
    </w:p>
    <w:p w14:paraId="5171D0C1" w14:textId="77777777" w:rsidR="00B46B85" w:rsidRPr="00BC2C95" w:rsidRDefault="00B46B85" w:rsidP="00DC54F7">
      <w:pPr>
        <w:spacing w:after="0" w:line="240" w:lineRule="auto"/>
        <w:jc w:val="both"/>
        <w:rPr>
          <w:rFonts w:ascii="Arial" w:hAnsi="Arial" w:cs="Arial"/>
          <w:sz w:val="24"/>
          <w:szCs w:val="24"/>
        </w:rPr>
      </w:pPr>
    </w:p>
    <w:p w14:paraId="3F7FB7CB" w14:textId="16547FD8" w:rsidR="0094190B" w:rsidRPr="00BC2C95" w:rsidRDefault="0094190B" w:rsidP="00DC54F7">
      <w:pPr>
        <w:spacing w:after="0" w:line="240" w:lineRule="auto"/>
        <w:jc w:val="both"/>
        <w:rPr>
          <w:rFonts w:ascii="Arial" w:hAnsi="Arial" w:cs="Arial"/>
          <w:bCs/>
          <w:sz w:val="24"/>
          <w:szCs w:val="24"/>
        </w:rPr>
      </w:pPr>
      <w:r w:rsidRPr="00BC2C95">
        <w:rPr>
          <w:rFonts w:ascii="Arial" w:hAnsi="Arial" w:cs="Arial"/>
          <w:bCs/>
          <w:sz w:val="24"/>
          <w:szCs w:val="24"/>
        </w:rPr>
        <w:t>95% (101) of pharmacies said that their premises where accessible by wheelchair and five pharmacies said they were</w:t>
      </w:r>
      <w:r w:rsidR="004A3B56" w:rsidRPr="00BC2C95">
        <w:rPr>
          <w:rFonts w:ascii="Arial" w:hAnsi="Arial" w:cs="Arial"/>
          <w:bCs/>
          <w:sz w:val="24"/>
          <w:szCs w:val="24"/>
        </w:rPr>
        <w:t xml:space="preserve"> not accessible by wheelchair</w:t>
      </w:r>
      <w:r w:rsidRPr="00BC2C95">
        <w:rPr>
          <w:rFonts w:ascii="Arial" w:hAnsi="Arial" w:cs="Arial"/>
          <w:bCs/>
          <w:sz w:val="24"/>
          <w:szCs w:val="24"/>
        </w:rPr>
        <w:t>.</w:t>
      </w:r>
    </w:p>
    <w:p w14:paraId="21BAC35C" w14:textId="77777777" w:rsidR="0094190B" w:rsidRPr="00BC2C95" w:rsidRDefault="0094190B" w:rsidP="00DC54F7">
      <w:pPr>
        <w:spacing w:after="0" w:line="240" w:lineRule="auto"/>
        <w:jc w:val="both"/>
        <w:rPr>
          <w:rFonts w:ascii="Arial" w:hAnsi="Arial" w:cs="Arial"/>
          <w:bCs/>
          <w:sz w:val="24"/>
          <w:szCs w:val="24"/>
        </w:rPr>
      </w:pPr>
    </w:p>
    <w:p w14:paraId="14E56762" w14:textId="77777777" w:rsidR="0094190B" w:rsidRPr="00BC2C95" w:rsidRDefault="0094190B" w:rsidP="00DC54F7">
      <w:pPr>
        <w:spacing w:after="0" w:line="240" w:lineRule="auto"/>
        <w:contextualSpacing/>
        <w:jc w:val="both"/>
        <w:rPr>
          <w:rFonts w:ascii="Arial" w:hAnsi="Arial" w:cs="Arial"/>
          <w:sz w:val="24"/>
          <w:szCs w:val="24"/>
        </w:rPr>
      </w:pPr>
      <w:r w:rsidRPr="00BC2C95">
        <w:rPr>
          <w:rFonts w:ascii="Arial" w:hAnsi="Arial" w:cs="Arial"/>
          <w:sz w:val="24"/>
          <w:szCs w:val="24"/>
        </w:rPr>
        <w:t xml:space="preserve">Consultation rooms are a pre-requisite for providing the advanced services and are often included as a requirement for a wider range of pharmacy commissioned services. In Cardiff and Vale University Health Board, 103 of the 106 pharmacies </w:t>
      </w:r>
      <w:bookmarkStart w:id="3" w:name="_Hlk65658135"/>
      <w:r w:rsidRPr="00BC2C95">
        <w:rPr>
          <w:rFonts w:ascii="Arial" w:hAnsi="Arial" w:cs="Arial"/>
          <w:sz w:val="24"/>
          <w:szCs w:val="24"/>
        </w:rPr>
        <w:t xml:space="preserve">said that they had a </w:t>
      </w:r>
      <w:bookmarkEnd w:id="3"/>
      <w:r w:rsidRPr="00BC2C95">
        <w:rPr>
          <w:rFonts w:ascii="Arial" w:hAnsi="Arial" w:cs="Arial"/>
          <w:sz w:val="24"/>
          <w:szCs w:val="24"/>
        </w:rPr>
        <w:t xml:space="preserve">consultation area on the premises: </w:t>
      </w:r>
    </w:p>
    <w:p w14:paraId="3FBBCE9A" w14:textId="77777777" w:rsidR="0094190B" w:rsidRPr="00BC2C95" w:rsidRDefault="0094190B" w:rsidP="00DC54F7">
      <w:pPr>
        <w:pStyle w:val="ListParagraph"/>
        <w:numPr>
          <w:ilvl w:val="0"/>
          <w:numId w:val="108"/>
        </w:numPr>
        <w:spacing w:after="0" w:line="240" w:lineRule="auto"/>
        <w:jc w:val="both"/>
        <w:rPr>
          <w:rFonts w:ascii="Arial" w:hAnsi="Arial" w:cs="Arial"/>
          <w:sz w:val="24"/>
          <w:szCs w:val="24"/>
        </w:rPr>
      </w:pPr>
      <w:r w:rsidRPr="00BC2C95">
        <w:rPr>
          <w:rFonts w:ascii="Arial" w:hAnsi="Arial" w:cs="Arial"/>
          <w:sz w:val="24"/>
          <w:szCs w:val="24"/>
        </w:rPr>
        <w:lastRenderedPageBreak/>
        <w:t xml:space="preserve">87 pharmacies confirmed the presence of a consultation area with wheelchair access.  </w:t>
      </w:r>
    </w:p>
    <w:p w14:paraId="22F1C609" w14:textId="77777777" w:rsidR="0094190B" w:rsidRPr="00BC2C95" w:rsidRDefault="0094190B" w:rsidP="00DC54F7">
      <w:pPr>
        <w:pStyle w:val="ListParagraph"/>
        <w:numPr>
          <w:ilvl w:val="0"/>
          <w:numId w:val="108"/>
        </w:numPr>
        <w:spacing w:after="0" w:line="240" w:lineRule="auto"/>
        <w:jc w:val="both"/>
        <w:rPr>
          <w:rFonts w:ascii="Arial" w:hAnsi="Arial" w:cs="Arial"/>
          <w:sz w:val="24"/>
          <w:szCs w:val="24"/>
        </w:rPr>
      </w:pPr>
      <w:r w:rsidRPr="00BC2C95">
        <w:rPr>
          <w:rFonts w:ascii="Arial" w:hAnsi="Arial" w:cs="Arial"/>
          <w:sz w:val="24"/>
          <w:szCs w:val="24"/>
        </w:rPr>
        <w:t>15 pharmacies confirmed the presence of a consultation area without wheelchair access.</w:t>
      </w:r>
    </w:p>
    <w:p w14:paraId="304703D0" w14:textId="4FA308AF" w:rsidR="0094190B" w:rsidRPr="00BC2C95" w:rsidRDefault="0094190B" w:rsidP="00DC54F7">
      <w:pPr>
        <w:pStyle w:val="ListParagraph"/>
        <w:numPr>
          <w:ilvl w:val="0"/>
          <w:numId w:val="107"/>
        </w:numPr>
        <w:spacing w:after="0" w:line="240" w:lineRule="auto"/>
        <w:ind w:left="357" w:hanging="357"/>
        <w:jc w:val="both"/>
        <w:rPr>
          <w:rFonts w:ascii="Arial" w:hAnsi="Arial" w:cs="Arial"/>
          <w:sz w:val="24"/>
          <w:szCs w:val="24"/>
        </w:rPr>
      </w:pPr>
      <w:r w:rsidRPr="00BC2C95">
        <w:rPr>
          <w:rFonts w:ascii="Arial" w:hAnsi="Arial" w:cs="Arial"/>
          <w:sz w:val="24"/>
          <w:szCs w:val="24"/>
        </w:rPr>
        <w:t>One pharmacy confirmed that they had “access for 'normal' wheel chair but not mobility scooter</w:t>
      </w:r>
      <w:r w:rsidR="00BB216E" w:rsidRPr="00BC2C95">
        <w:rPr>
          <w:rFonts w:ascii="Arial" w:hAnsi="Arial" w:cs="Arial"/>
          <w:sz w:val="24"/>
          <w:szCs w:val="24"/>
        </w:rPr>
        <w:t>.</w:t>
      </w:r>
      <w:r w:rsidRPr="00BC2C95">
        <w:rPr>
          <w:rFonts w:ascii="Arial" w:hAnsi="Arial" w:cs="Arial"/>
          <w:sz w:val="24"/>
          <w:szCs w:val="24"/>
        </w:rPr>
        <w:t>”</w:t>
      </w:r>
      <w:r w:rsidRPr="00BC2C95">
        <w:rPr>
          <w:rFonts w:ascii="Arial" w:hAnsi="Arial" w:cs="Arial"/>
          <w:color w:val="000000"/>
          <w:sz w:val="24"/>
          <w:szCs w:val="24"/>
        </w:rPr>
        <w:t xml:space="preserve"> </w:t>
      </w:r>
    </w:p>
    <w:p w14:paraId="2C5D5626" w14:textId="77777777" w:rsidR="00BB216E" w:rsidRPr="00BC2C95" w:rsidRDefault="00BB216E" w:rsidP="00DC54F7">
      <w:pPr>
        <w:spacing w:after="0" w:line="240" w:lineRule="auto"/>
        <w:jc w:val="both"/>
        <w:rPr>
          <w:rFonts w:ascii="Arial" w:hAnsi="Arial" w:cs="Arial"/>
          <w:sz w:val="24"/>
          <w:szCs w:val="24"/>
        </w:rPr>
      </w:pPr>
    </w:p>
    <w:p w14:paraId="2F6A1369" w14:textId="77F2FCDD" w:rsidR="0094190B" w:rsidRPr="00BC2C95" w:rsidRDefault="0094190B" w:rsidP="00DC54F7">
      <w:pPr>
        <w:spacing w:after="0" w:line="240" w:lineRule="auto"/>
        <w:jc w:val="both"/>
        <w:rPr>
          <w:rFonts w:ascii="Arial" w:hAnsi="Arial" w:cs="Arial"/>
          <w:sz w:val="24"/>
          <w:szCs w:val="24"/>
        </w:rPr>
      </w:pPr>
      <w:r w:rsidRPr="00BC2C95">
        <w:rPr>
          <w:rFonts w:ascii="Arial" w:hAnsi="Arial" w:cs="Arial"/>
          <w:sz w:val="24"/>
          <w:szCs w:val="24"/>
        </w:rPr>
        <w:t>Of the three pharmacies that did</w:t>
      </w:r>
      <w:r w:rsidR="00BB216E" w:rsidRPr="00BC2C95">
        <w:rPr>
          <w:rFonts w:ascii="Arial" w:hAnsi="Arial" w:cs="Arial"/>
          <w:sz w:val="24"/>
          <w:szCs w:val="24"/>
        </w:rPr>
        <w:t xml:space="preserve"> not</w:t>
      </w:r>
      <w:r w:rsidRPr="00BC2C95">
        <w:rPr>
          <w:rFonts w:ascii="Arial" w:hAnsi="Arial" w:cs="Arial"/>
          <w:sz w:val="24"/>
          <w:szCs w:val="24"/>
        </w:rPr>
        <w:t xml:space="preserve"> have a consultation area, two said that they had alternative arrangements in place for confidential discussions. One replied negatively. </w:t>
      </w:r>
    </w:p>
    <w:p w14:paraId="13777C9D" w14:textId="77777777" w:rsidR="0094190B" w:rsidRPr="00BC2C95" w:rsidRDefault="0094190B" w:rsidP="00DC54F7">
      <w:pPr>
        <w:spacing w:after="0" w:line="240" w:lineRule="auto"/>
        <w:jc w:val="both"/>
        <w:rPr>
          <w:rFonts w:ascii="Arial" w:hAnsi="Arial" w:cs="Arial"/>
          <w:sz w:val="24"/>
          <w:szCs w:val="24"/>
        </w:rPr>
      </w:pPr>
    </w:p>
    <w:p w14:paraId="69F441DD" w14:textId="77777777" w:rsidR="0094190B" w:rsidRPr="00BC2C95" w:rsidRDefault="0094190B" w:rsidP="00DC54F7">
      <w:pPr>
        <w:spacing w:after="0" w:line="240" w:lineRule="auto"/>
        <w:contextualSpacing/>
        <w:jc w:val="both"/>
        <w:rPr>
          <w:rFonts w:ascii="Arial" w:hAnsi="Arial" w:cs="Arial"/>
          <w:sz w:val="24"/>
          <w:szCs w:val="24"/>
        </w:rPr>
      </w:pPr>
      <w:r w:rsidRPr="00BC2C95">
        <w:rPr>
          <w:rFonts w:ascii="Arial" w:hAnsi="Arial" w:cs="Arial"/>
          <w:sz w:val="24"/>
          <w:szCs w:val="24"/>
        </w:rPr>
        <w:t>When considering whether the consultation area met the minimum requirements:</w:t>
      </w:r>
    </w:p>
    <w:p w14:paraId="5A8FA947" w14:textId="77777777" w:rsidR="0094190B" w:rsidRPr="00BC2C95" w:rsidRDefault="0094190B" w:rsidP="00DC54F7">
      <w:pPr>
        <w:pStyle w:val="ListParagraph"/>
        <w:numPr>
          <w:ilvl w:val="0"/>
          <w:numId w:val="107"/>
        </w:numPr>
        <w:spacing w:after="0" w:line="240" w:lineRule="auto"/>
        <w:jc w:val="both"/>
        <w:rPr>
          <w:rFonts w:ascii="Arial" w:hAnsi="Arial" w:cs="Arial"/>
          <w:sz w:val="24"/>
          <w:szCs w:val="24"/>
        </w:rPr>
      </w:pPr>
      <w:r w:rsidRPr="00BC2C95">
        <w:rPr>
          <w:rFonts w:ascii="Arial" w:hAnsi="Arial" w:cs="Arial"/>
          <w:sz w:val="24"/>
          <w:szCs w:val="24"/>
        </w:rPr>
        <w:t xml:space="preserve">102 respondents confirmed their consultation area is a closed room. </w:t>
      </w:r>
    </w:p>
    <w:p w14:paraId="545DFB82" w14:textId="77777777" w:rsidR="0094190B" w:rsidRPr="00BC2C95" w:rsidRDefault="0094190B" w:rsidP="00DC54F7">
      <w:pPr>
        <w:pStyle w:val="ListParagraph"/>
        <w:numPr>
          <w:ilvl w:val="0"/>
          <w:numId w:val="107"/>
        </w:numPr>
        <w:spacing w:after="0" w:line="240" w:lineRule="auto"/>
        <w:jc w:val="both"/>
        <w:rPr>
          <w:rFonts w:ascii="Arial" w:hAnsi="Arial" w:cs="Arial"/>
          <w:sz w:val="24"/>
          <w:szCs w:val="24"/>
        </w:rPr>
      </w:pPr>
      <w:r w:rsidRPr="00BC2C95">
        <w:rPr>
          <w:rFonts w:ascii="Arial" w:hAnsi="Arial" w:cs="Arial"/>
          <w:sz w:val="24"/>
          <w:szCs w:val="24"/>
        </w:rPr>
        <w:t xml:space="preserve">101 respondents confirmed that the consultation area is a designated area where both the pharmacist and the patient are able to sit down together. </w:t>
      </w:r>
    </w:p>
    <w:p w14:paraId="34868797" w14:textId="77777777" w:rsidR="0094190B" w:rsidRPr="00BC2C95" w:rsidRDefault="0094190B" w:rsidP="00DC54F7">
      <w:pPr>
        <w:pStyle w:val="ListParagraph"/>
        <w:numPr>
          <w:ilvl w:val="0"/>
          <w:numId w:val="107"/>
        </w:numPr>
        <w:spacing w:after="0" w:line="240" w:lineRule="auto"/>
        <w:jc w:val="both"/>
        <w:rPr>
          <w:rFonts w:ascii="Arial" w:eastAsia="Times New Roman" w:hAnsi="Arial" w:cs="Arial"/>
          <w:sz w:val="24"/>
          <w:szCs w:val="24"/>
          <w:lang w:eastAsia="en-GB"/>
        </w:rPr>
      </w:pPr>
      <w:r w:rsidRPr="00BC2C95">
        <w:rPr>
          <w:rFonts w:ascii="Arial" w:hAnsi="Arial" w:cs="Arial"/>
          <w:sz w:val="24"/>
          <w:szCs w:val="24"/>
        </w:rPr>
        <w:t xml:space="preserve">100 responded that the patient and the pharmacists are able to talk at normal volumes without being overheard by pharmacy staff or visitors to the pharmacy. </w:t>
      </w:r>
    </w:p>
    <w:p w14:paraId="280C6BC5" w14:textId="77777777" w:rsidR="0094190B" w:rsidRPr="00BC2C95" w:rsidRDefault="0094190B" w:rsidP="00DC54F7">
      <w:pPr>
        <w:pStyle w:val="ListParagraph"/>
        <w:numPr>
          <w:ilvl w:val="0"/>
          <w:numId w:val="107"/>
        </w:numPr>
        <w:spacing w:after="0" w:line="240" w:lineRule="auto"/>
        <w:jc w:val="both"/>
        <w:rPr>
          <w:rFonts w:ascii="Arial" w:hAnsi="Arial" w:cs="Arial"/>
          <w:sz w:val="24"/>
          <w:szCs w:val="24"/>
        </w:rPr>
      </w:pPr>
      <w:r w:rsidRPr="00BC2C95">
        <w:rPr>
          <w:rFonts w:ascii="Arial" w:hAnsi="Arial" w:cs="Arial"/>
          <w:sz w:val="24"/>
          <w:szCs w:val="24"/>
        </w:rPr>
        <w:t xml:space="preserve">101 respondents confirmed that their consultation area is clearly designated as an area for confidential consultation, distinct from the general public areas of the pharmacy. </w:t>
      </w:r>
    </w:p>
    <w:p w14:paraId="7F8F3C14" w14:textId="77777777" w:rsidR="0094190B" w:rsidRPr="00BC2C95" w:rsidRDefault="0094190B" w:rsidP="00DC54F7">
      <w:pPr>
        <w:spacing w:after="0" w:line="240" w:lineRule="auto"/>
        <w:contextualSpacing/>
        <w:jc w:val="both"/>
        <w:rPr>
          <w:rFonts w:ascii="Arial" w:hAnsi="Arial" w:cs="Arial"/>
          <w:b/>
          <w:bCs/>
          <w:sz w:val="24"/>
          <w:szCs w:val="24"/>
        </w:rPr>
      </w:pPr>
    </w:p>
    <w:p w14:paraId="3500D177" w14:textId="77777777" w:rsidR="0094190B" w:rsidRPr="00BC2C95" w:rsidRDefault="0094190B" w:rsidP="00DC54F7">
      <w:pPr>
        <w:spacing w:after="0" w:line="240" w:lineRule="auto"/>
        <w:contextualSpacing/>
        <w:jc w:val="both"/>
        <w:rPr>
          <w:rFonts w:ascii="Arial" w:hAnsi="Arial" w:cs="Arial"/>
          <w:b/>
          <w:bCs/>
          <w:sz w:val="24"/>
          <w:szCs w:val="24"/>
        </w:rPr>
      </w:pPr>
      <w:r w:rsidRPr="00BC2C95">
        <w:rPr>
          <w:rFonts w:ascii="Arial" w:hAnsi="Arial" w:cs="Arial"/>
          <w:sz w:val="24"/>
          <w:szCs w:val="24"/>
        </w:rPr>
        <w:t>Nine languages, in addition to English, are spoken across 18 pharmacies in the area. These are:</w:t>
      </w:r>
    </w:p>
    <w:p w14:paraId="7B7081FE" w14:textId="77777777" w:rsidR="0094190B" w:rsidRPr="00BC2C95" w:rsidRDefault="0094190B" w:rsidP="00DC54F7">
      <w:pPr>
        <w:pStyle w:val="ListParagraph"/>
        <w:numPr>
          <w:ilvl w:val="0"/>
          <w:numId w:val="28"/>
        </w:numPr>
        <w:spacing w:after="0" w:line="240" w:lineRule="auto"/>
        <w:jc w:val="both"/>
        <w:rPr>
          <w:rFonts w:ascii="Arial" w:hAnsi="Arial" w:cs="Arial"/>
          <w:sz w:val="24"/>
          <w:szCs w:val="24"/>
        </w:rPr>
      </w:pPr>
      <w:r w:rsidRPr="00BC2C95">
        <w:rPr>
          <w:rFonts w:ascii="Arial" w:hAnsi="Arial" w:cs="Arial"/>
          <w:sz w:val="24"/>
          <w:szCs w:val="24"/>
        </w:rPr>
        <w:t>Arabic (two pharmacies)</w:t>
      </w:r>
    </w:p>
    <w:p w14:paraId="2637DD38" w14:textId="77777777" w:rsidR="0094190B" w:rsidRPr="00BC2C95" w:rsidRDefault="0094190B" w:rsidP="00DC54F7">
      <w:pPr>
        <w:pStyle w:val="ListParagraph"/>
        <w:numPr>
          <w:ilvl w:val="0"/>
          <w:numId w:val="28"/>
        </w:numPr>
        <w:spacing w:after="0" w:line="240" w:lineRule="auto"/>
        <w:jc w:val="both"/>
        <w:rPr>
          <w:rFonts w:ascii="Arial" w:hAnsi="Arial" w:cs="Arial"/>
          <w:sz w:val="24"/>
          <w:szCs w:val="24"/>
        </w:rPr>
      </w:pPr>
      <w:r w:rsidRPr="00BC2C95">
        <w:rPr>
          <w:rFonts w:ascii="Arial" w:hAnsi="Arial" w:cs="Arial"/>
          <w:sz w:val="24"/>
          <w:szCs w:val="24"/>
        </w:rPr>
        <w:t>Czech</w:t>
      </w:r>
      <w:r w:rsidRPr="00BC2C95">
        <w:rPr>
          <w:rFonts w:ascii="Arial" w:hAnsi="Arial" w:cs="Arial"/>
          <w:sz w:val="24"/>
          <w:szCs w:val="24"/>
        </w:rPr>
        <w:tab/>
      </w:r>
    </w:p>
    <w:p w14:paraId="482E6F35" w14:textId="77777777" w:rsidR="0094190B" w:rsidRPr="00BC2C95" w:rsidRDefault="0094190B" w:rsidP="00DC54F7">
      <w:pPr>
        <w:pStyle w:val="ListParagraph"/>
        <w:numPr>
          <w:ilvl w:val="0"/>
          <w:numId w:val="28"/>
        </w:numPr>
        <w:spacing w:after="0" w:line="240" w:lineRule="auto"/>
        <w:jc w:val="both"/>
        <w:rPr>
          <w:rFonts w:ascii="Arial" w:hAnsi="Arial" w:cs="Arial"/>
          <w:sz w:val="24"/>
          <w:szCs w:val="24"/>
        </w:rPr>
      </w:pPr>
      <w:r w:rsidRPr="00BC2C95">
        <w:rPr>
          <w:rFonts w:ascii="Arial" w:hAnsi="Arial" w:cs="Arial"/>
          <w:sz w:val="24"/>
          <w:szCs w:val="24"/>
        </w:rPr>
        <w:t xml:space="preserve">French </w:t>
      </w:r>
    </w:p>
    <w:p w14:paraId="386D1122" w14:textId="77777777" w:rsidR="0094190B" w:rsidRPr="00BC2C95" w:rsidRDefault="0094190B" w:rsidP="00DC54F7">
      <w:pPr>
        <w:pStyle w:val="ListParagraph"/>
        <w:numPr>
          <w:ilvl w:val="0"/>
          <w:numId w:val="28"/>
        </w:numPr>
        <w:spacing w:after="0" w:line="240" w:lineRule="auto"/>
        <w:jc w:val="both"/>
        <w:rPr>
          <w:rFonts w:ascii="Arial" w:hAnsi="Arial" w:cs="Arial"/>
          <w:sz w:val="24"/>
          <w:szCs w:val="24"/>
        </w:rPr>
      </w:pPr>
      <w:r w:rsidRPr="00BC2C95">
        <w:rPr>
          <w:rFonts w:ascii="Arial" w:hAnsi="Arial" w:cs="Arial"/>
          <w:sz w:val="24"/>
          <w:szCs w:val="24"/>
        </w:rPr>
        <w:t>Gujarati (two pharmacies)</w:t>
      </w:r>
    </w:p>
    <w:p w14:paraId="4B3706C3" w14:textId="77777777" w:rsidR="0094190B" w:rsidRPr="00BC2C95" w:rsidRDefault="0094190B" w:rsidP="00DC54F7">
      <w:pPr>
        <w:pStyle w:val="ListParagraph"/>
        <w:numPr>
          <w:ilvl w:val="0"/>
          <w:numId w:val="28"/>
        </w:numPr>
        <w:spacing w:after="0" w:line="240" w:lineRule="auto"/>
        <w:jc w:val="both"/>
        <w:rPr>
          <w:rFonts w:ascii="Arial" w:hAnsi="Arial" w:cs="Arial"/>
          <w:sz w:val="24"/>
          <w:szCs w:val="24"/>
        </w:rPr>
      </w:pPr>
      <w:r w:rsidRPr="00BC2C95">
        <w:rPr>
          <w:rFonts w:ascii="Arial" w:hAnsi="Arial" w:cs="Arial"/>
          <w:sz w:val="24"/>
          <w:szCs w:val="24"/>
        </w:rPr>
        <w:t>Hindi (two pharmacies)</w:t>
      </w:r>
    </w:p>
    <w:p w14:paraId="190B56A3" w14:textId="77777777" w:rsidR="0094190B" w:rsidRPr="00BC2C95" w:rsidRDefault="0094190B" w:rsidP="00DC54F7">
      <w:pPr>
        <w:pStyle w:val="ListParagraph"/>
        <w:numPr>
          <w:ilvl w:val="0"/>
          <w:numId w:val="28"/>
        </w:numPr>
        <w:spacing w:after="0" w:line="240" w:lineRule="auto"/>
        <w:jc w:val="both"/>
        <w:rPr>
          <w:rFonts w:ascii="Arial" w:hAnsi="Arial" w:cs="Arial"/>
          <w:sz w:val="24"/>
          <w:szCs w:val="24"/>
        </w:rPr>
      </w:pPr>
      <w:r w:rsidRPr="00BC2C95">
        <w:rPr>
          <w:rFonts w:ascii="Arial" w:hAnsi="Arial" w:cs="Arial"/>
          <w:sz w:val="24"/>
          <w:szCs w:val="24"/>
        </w:rPr>
        <w:t xml:space="preserve">Polish </w:t>
      </w:r>
    </w:p>
    <w:p w14:paraId="63075EFD" w14:textId="77777777" w:rsidR="0094190B" w:rsidRPr="00BC2C95" w:rsidRDefault="0094190B" w:rsidP="00DC54F7">
      <w:pPr>
        <w:pStyle w:val="ListParagraph"/>
        <w:numPr>
          <w:ilvl w:val="0"/>
          <w:numId w:val="28"/>
        </w:numPr>
        <w:spacing w:after="0" w:line="240" w:lineRule="auto"/>
        <w:jc w:val="both"/>
        <w:rPr>
          <w:rFonts w:ascii="Arial" w:hAnsi="Arial" w:cs="Arial"/>
          <w:sz w:val="24"/>
          <w:szCs w:val="24"/>
        </w:rPr>
      </w:pPr>
      <w:r w:rsidRPr="00BC2C95">
        <w:rPr>
          <w:rFonts w:ascii="Arial" w:hAnsi="Arial" w:cs="Arial"/>
          <w:sz w:val="24"/>
          <w:szCs w:val="24"/>
        </w:rPr>
        <w:t>Punjabi (two pharmacies)</w:t>
      </w:r>
    </w:p>
    <w:p w14:paraId="2CD3FD75" w14:textId="77777777" w:rsidR="0094190B" w:rsidRPr="00BC2C95" w:rsidRDefault="0094190B" w:rsidP="00DC54F7">
      <w:pPr>
        <w:pStyle w:val="ListParagraph"/>
        <w:numPr>
          <w:ilvl w:val="0"/>
          <w:numId w:val="28"/>
        </w:numPr>
        <w:spacing w:after="0" w:line="240" w:lineRule="auto"/>
        <w:jc w:val="both"/>
        <w:rPr>
          <w:rFonts w:ascii="Arial" w:hAnsi="Arial" w:cs="Arial"/>
          <w:sz w:val="24"/>
          <w:szCs w:val="24"/>
        </w:rPr>
      </w:pPr>
      <w:r w:rsidRPr="00BC2C95">
        <w:rPr>
          <w:rFonts w:ascii="Arial" w:hAnsi="Arial" w:cs="Arial"/>
          <w:sz w:val="24"/>
          <w:szCs w:val="24"/>
        </w:rPr>
        <w:t xml:space="preserve">Tamil </w:t>
      </w:r>
    </w:p>
    <w:p w14:paraId="5BAF3A68" w14:textId="48389EF5" w:rsidR="0094190B" w:rsidRPr="00BC2C95" w:rsidRDefault="0094190B" w:rsidP="00DC54F7">
      <w:pPr>
        <w:pStyle w:val="ListParagraph"/>
        <w:numPr>
          <w:ilvl w:val="0"/>
          <w:numId w:val="28"/>
        </w:numPr>
        <w:spacing w:after="0" w:line="240" w:lineRule="auto"/>
        <w:jc w:val="both"/>
        <w:rPr>
          <w:rFonts w:ascii="Arial" w:hAnsi="Arial" w:cs="Arial"/>
          <w:sz w:val="24"/>
          <w:szCs w:val="24"/>
        </w:rPr>
      </w:pPr>
      <w:r w:rsidRPr="00BC2C95">
        <w:rPr>
          <w:rFonts w:ascii="Arial" w:hAnsi="Arial" w:cs="Arial"/>
          <w:sz w:val="24"/>
          <w:szCs w:val="24"/>
        </w:rPr>
        <w:t>Welsh (11 pharmacies</w:t>
      </w:r>
      <w:r w:rsidR="00DC48F9" w:rsidRPr="00BC2C95">
        <w:rPr>
          <w:rFonts w:ascii="Arial" w:hAnsi="Arial" w:cs="Arial"/>
          <w:sz w:val="24"/>
          <w:szCs w:val="24"/>
        </w:rPr>
        <w:t xml:space="preserve">, </w:t>
      </w:r>
      <w:r w:rsidR="0057341B" w:rsidRPr="00BC2C95">
        <w:rPr>
          <w:rFonts w:ascii="Arial" w:hAnsi="Arial" w:cs="Arial"/>
          <w:sz w:val="24"/>
          <w:szCs w:val="24"/>
        </w:rPr>
        <w:t xml:space="preserve">including </w:t>
      </w:r>
      <w:r w:rsidR="00DC48F9" w:rsidRPr="00BC2C95">
        <w:rPr>
          <w:rFonts w:ascii="Arial" w:hAnsi="Arial" w:cs="Arial"/>
          <w:sz w:val="24"/>
          <w:szCs w:val="24"/>
        </w:rPr>
        <w:t xml:space="preserve">one pharmacy </w:t>
      </w:r>
      <w:r w:rsidR="0057341B" w:rsidRPr="00BC2C95">
        <w:rPr>
          <w:rFonts w:ascii="Arial" w:hAnsi="Arial" w:cs="Arial"/>
          <w:sz w:val="24"/>
          <w:szCs w:val="24"/>
        </w:rPr>
        <w:t xml:space="preserve">where </w:t>
      </w:r>
      <w:r w:rsidR="008A77B2" w:rsidRPr="00BC2C95">
        <w:rPr>
          <w:rFonts w:ascii="Arial" w:hAnsi="Arial" w:cs="Arial"/>
          <w:sz w:val="24"/>
          <w:szCs w:val="24"/>
        </w:rPr>
        <w:t xml:space="preserve">Welsh </w:t>
      </w:r>
      <w:r w:rsidR="00C66828" w:rsidRPr="00BC2C95">
        <w:rPr>
          <w:rFonts w:ascii="Arial" w:hAnsi="Arial" w:cs="Arial"/>
          <w:sz w:val="24"/>
          <w:szCs w:val="24"/>
        </w:rPr>
        <w:t xml:space="preserve">is </w:t>
      </w:r>
      <w:r w:rsidR="008A77B2" w:rsidRPr="00BC2C95">
        <w:rPr>
          <w:rFonts w:ascii="Arial" w:hAnsi="Arial" w:cs="Arial"/>
          <w:sz w:val="24"/>
          <w:szCs w:val="24"/>
        </w:rPr>
        <w:t>only spoken one day a week.</w:t>
      </w:r>
      <w:r w:rsidRPr="00BC2C95">
        <w:rPr>
          <w:rFonts w:ascii="Arial" w:hAnsi="Arial" w:cs="Arial"/>
          <w:sz w:val="24"/>
          <w:szCs w:val="24"/>
        </w:rPr>
        <w:t>)</w:t>
      </w:r>
    </w:p>
    <w:p w14:paraId="6C609DDE" w14:textId="77777777" w:rsidR="0094190B" w:rsidRPr="00BC2C95" w:rsidRDefault="0094190B" w:rsidP="00DC54F7">
      <w:pPr>
        <w:spacing w:after="0" w:line="240" w:lineRule="auto"/>
        <w:contextualSpacing/>
        <w:jc w:val="both"/>
        <w:rPr>
          <w:rFonts w:ascii="Arial" w:hAnsi="Arial" w:cs="Arial"/>
          <w:sz w:val="24"/>
          <w:szCs w:val="24"/>
        </w:rPr>
      </w:pPr>
    </w:p>
    <w:p w14:paraId="519531AD" w14:textId="64EF943E" w:rsidR="0094190B" w:rsidRPr="00BC2C95" w:rsidRDefault="0094190B" w:rsidP="00DC54F7">
      <w:pPr>
        <w:spacing w:after="0" w:line="240" w:lineRule="auto"/>
        <w:contextualSpacing/>
        <w:jc w:val="both"/>
        <w:rPr>
          <w:rFonts w:ascii="Arial" w:hAnsi="Arial" w:cs="Arial"/>
          <w:sz w:val="24"/>
          <w:szCs w:val="24"/>
        </w:rPr>
      </w:pPr>
      <w:r w:rsidRPr="00BC2C95">
        <w:rPr>
          <w:rFonts w:ascii="Arial" w:hAnsi="Arial" w:cs="Arial"/>
          <w:sz w:val="24"/>
          <w:szCs w:val="24"/>
        </w:rPr>
        <w:t xml:space="preserve">It should be noted that four pharmacies listed more than one language. </w:t>
      </w:r>
    </w:p>
    <w:p w14:paraId="639FA691" w14:textId="77777777" w:rsidR="0094190B" w:rsidRPr="00BC2C95" w:rsidRDefault="0094190B" w:rsidP="00DC54F7">
      <w:pPr>
        <w:spacing w:after="0" w:line="240" w:lineRule="auto"/>
        <w:contextualSpacing/>
        <w:jc w:val="both"/>
        <w:rPr>
          <w:rFonts w:ascii="Arial" w:hAnsi="Arial" w:cs="Arial"/>
          <w:sz w:val="24"/>
          <w:szCs w:val="24"/>
        </w:rPr>
      </w:pPr>
    </w:p>
    <w:p w14:paraId="7EC5F804" w14:textId="77777777" w:rsidR="0094190B" w:rsidRPr="00BC2C95" w:rsidRDefault="0094190B" w:rsidP="00DC54F7">
      <w:pPr>
        <w:spacing w:after="0" w:line="240" w:lineRule="auto"/>
        <w:contextualSpacing/>
        <w:jc w:val="both"/>
        <w:rPr>
          <w:rFonts w:ascii="Arial" w:hAnsi="Arial" w:cs="Arial"/>
          <w:sz w:val="24"/>
          <w:szCs w:val="24"/>
        </w:rPr>
      </w:pPr>
      <w:r w:rsidRPr="00BC2C95">
        <w:rPr>
          <w:rFonts w:ascii="Arial" w:hAnsi="Arial" w:cs="Arial"/>
          <w:sz w:val="24"/>
          <w:szCs w:val="24"/>
        </w:rPr>
        <w:t>When considering whether the pharmacy dispenses appliance:</w:t>
      </w:r>
    </w:p>
    <w:p w14:paraId="0BC8AE83" w14:textId="77777777" w:rsidR="0094190B" w:rsidRPr="00BC2C95" w:rsidRDefault="0094190B" w:rsidP="00DC54F7">
      <w:pPr>
        <w:pStyle w:val="ListParagraph"/>
        <w:numPr>
          <w:ilvl w:val="0"/>
          <w:numId w:val="113"/>
        </w:numPr>
        <w:spacing w:after="0" w:line="240" w:lineRule="auto"/>
        <w:jc w:val="both"/>
        <w:rPr>
          <w:rFonts w:ascii="Arial" w:hAnsi="Arial" w:cs="Arial"/>
          <w:sz w:val="24"/>
          <w:szCs w:val="24"/>
        </w:rPr>
      </w:pPr>
      <w:r w:rsidRPr="00BC2C95">
        <w:rPr>
          <w:rFonts w:ascii="Arial" w:hAnsi="Arial" w:cs="Arial"/>
          <w:sz w:val="24"/>
          <w:szCs w:val="24"/>
        </w:rPr>
        <w:t xml:space="preserve">84 respondents (79%) confirmed that prescriptions for all types of appliances are dispensed from the premises. </w:t>
      </w:r>
    </w:p>
    <w:p w14:paraId="2CDB9136" w14:textId="77777777" w:rsidR="0094190B" w:rsidRPr="00BC2C95" w:rsidRDefault="0094190B" w:rsidP="00DC54F7">
      <w:pPr>
        <w:pStyle w:val="ListParagraph"/>
        <w:numPr>
          <w:ilvl w:val="0"/>
          <w:numId w:val="113"/>
        </w:numPr>
        <w:spacing w:after="0" w:line="240" w:lineRule="auto"/>
        <w:jc w:val="both"/>
        <w:rPr>
          <w:rFonts w:ascii="Arial" w:eastAsia="Times New Roman" w:hAnsi="Arial" w:cs="Arial"/>
          <w:color w:val="000000"/>
          <w:sz w:val="24"/>
          <w:szCs w:val="24"/>
          <w:lang w:eastAsia="en-GB"/>
        </w:rPr>
      </w:pPr>
      <w:r w:rsidRPr="00BC2C95">
        <w:rPr>
          <w:rFonts w:ascii="Arial" w:hAnsi="Arial" w:cs="Arial"/>
          <w:sz w:val="24"/>
          <w:szCs w:val="24"/>
        </w:rPr>
        <w:t xml:space="preserve">One pharmacy responded that they dispense appliances except stoma and incontinence appliances. </w:t>
      </w:r>
      <w:r w:rsidRPr="00BC2C95">
        <w:rPr>
          <w:rFonts w:ascii="Arial" w:eastAsia="Times New Roman" w:hAnsi="Arial" w:cs="Arial"/>
          <w:color w:val="000000"/>
          <w:sz w:val="24"/>
          <w:szCs w:val="24"/>
          <w:lang w:eastAsia="en-GB"/>
        </w:rPr>
        <w:t xml:space="preserve"> </w:t>
      </w:r>
    </w:p>
    <w:p w14:paraId="7E5E923D" w14:textId="77777777" w:rsidR="0094190B" w:rsidRPr="00BC2C95" w:rsidRDefault="0094190B" w:rsidP="00DC54F7">
      <w:pPr>
        <w:pStyle w:val="ListParagraph"/>
        <w:numPr>
          <w:ilvl w:val="0"/>
          <w:numId w:val="113"/>
        </w:numPr>
        <w:spacing w:after="0" w:line="240" w:lineRule="auto"/>
        <w:jc w:val="both"/>
        <w:rPr>
          <w:rFonts w:ascii="Arial" w:hAnsi="Arial" w:cs="Arial"/>
          <w:sz w:val="24"/>
          <w:szCs w:val="24"/>
        </w:rPr>
      </w:pPr>
      <w:r w:rsidRPr="00BC2C95">
        <w:rPr>
          <w:rFonts w:ascii="Arial" w:hAnsi="Arial" w:cs="Arial"/>
          <w:sz w:val="24"/>
          <w:szCs w:val="24"/>
        </w:rPr>
        <w:t>17 pharmacies only dispense dressings.</w:t>
      </w:r>
    </w:p>
    <w:p w14:paraId="0D1D3542" w14:textId="77777777" w:rsidR="0094190B" w:rsidRPr="00BC2C95" w:rsidRDefault="0094190B" w:rsidP="00DC54F7">
      <w:pPr>
        <w:pStyle w:val="ListParagraph"/>
        <w:numPr>
          <w:ilvl w:val="0"/>
          <w:numId w:val="113"/>
        </w:numPr>
        <w:spacing w:after="0" w:line="240" w:lineRule="auto"/>
        <w:jc w:val="both"/>
        <w:rPr>
          <w:rFonts w:ascii="Arial" w:hAnsi="Arial" w:cs="Arial"/>
          <w:sz w:val="24"/>
          <w:szCs w:val="24"/>
        </w:rPr>
      </w:pPr>
      <w:r w:rsidRPr="00BC2C95">
        <w:rPr>
          <w:rFonts w:ascii="Arial" w:hAnsi="Arial" w:cs="Arial"/>
          <w:sz w:val="24"/>
          <w:szCs w:val="24"/>
        </w:rPr>
        <w:t xml:space="preserve">Four pharmacies responded that they don’t dispense any appliances. </w:t>
      </w:r>
    </w:p>
    <w:p w14:paraId="3490EBA3" w14:textId="77777777" w:rsidR="0094190B" w:rsidRPr="00BC2C95" w:rsidRDefault="0094190B" w:rsidP="00DC54F7">
      <w:pPr>
        <w:spacing w:after="0" w:line="240" w:lineRule="auto"/>
        <w:contextualSpacing/>
        <w:jc w:val="both"/>
        <w:rPr>
          <w:rFonts w:ascii="Arial" w:hAnsi="Arial" w:cs="Arial"/>
          <w:sz w:val="24"/>
          <w:szCs w:val="24"/>
        </w:rPr>
      </w:pPr>
    </w:p>
    <w:p w14:paraId="36AC8AB5" w14:textId="77777777" w:rsidR="0094190B" w:rsidRPr="00BC2C95" w:rsidRDefault="0094190B" w:rsidP="00DC54F7">
      <w:pPr>
        <w:spacing w:after="0" w:line="240" w:lineRule="auto"/>
        <w:jc w:val="both"/>
        <w:rPr>
          <w:rFonts w:ascii="Arial" w:hAnsi="Arial" w:cs="Arial"/>
          <w:sz w:val="24"/>
          <w:szCs w:val="24"/>
        </w:rPr>
      </w:pPr>
      <w:r w:rsidRPr="00BC2C95">
        <w:rPr>
          <w:rFonts w:ascii="Arial" w:hAnsi="Arial" w:cs="Arial"/>
          <w:sz w:val="24"/>
          <w:szCs w:val="24"/>
        </w:rPr>
        <w:t>When asked about collection and delivery services offered:</w:t>
      </w:r>
    </w:p>
    <w:p w14:paraId="145207F7" w14:textId="77777777" w:rsidR="0094190B" w:rsidRPr="00BC2C95" w:rsidRDefault="0094190B" w:rsidP="00DC54F7">
      <w:pPr>
        <w:pStyle w:val="ListParagraph"/>
        <w:numPr>
          <w:ilvl w:val="0"/>
          <w:numId w:val="114"/>
        </w:numPr>
        <w:spacing w:after="0" w:line="240" w:lineRule="auto"/>
        <w:jc w:val="both"/>
        <w:rPr>
          <w:rFonts w:ascii="Arial" w:hAnsi="Arial" w:cs="Arial"/>
          <w:sz w:val="24"/>
          <w:szCs w:val="24"/>
        </w:rPr>
      </w:pPr>
      <w:r w:rsidRPr="00BC2C95">
        <w:rPr>
          <w:rFonts w:ascii="Arial" w:hAnsi="Arial" w:cs="Arial"/>
          <w:sz w:val="24"/>
          <w:szCs w:val="24"/>
        </w:rPr>
        <w:t xml:space="preserve">100 pharmacies responded that they collect prescriptions from their GP practices. </w:t>
      </w:r>
    </w:p>
    <w:p w14:paraId="2A0849C7" w14:textId="77777777" w:rsidR="0094190B" w:rsidRPr="00BC2C95" w:rsidRDefault="0094190B" w:rsidP="00DC54F7">
      <w:pPr>
        <w:pStyle w:val="ListParagraph"/>
        <w:numPr>
          <w:ilvl w:val="0"/>
          <w:numId w:val="109"/>
        </w:numPr>
        <w:spacing w:after="0" w:line="240" w:lineRule="auto"/>
        <w:jc w:val="both"/>
        <w:rPr>
          <w:rFonts w:ascii="Arial" w:hAnsi="Arial" w:cs="Arial"/>
          <w:sz w:val="24"/>
          <w:szCs w:val="24"/>
        </w:rPr>
      </w:pPr>
      <w:r w:rsidRPr="00BC2C95">
        <w:rPr>
          <w:rFonts w:ascii="Arial" w:hAnsi="Arial" w:cs="Arial"/>
          <w:sz w:val="24"/>
          <w:szCs w:val="24"/>
        </w:rPr>
        <w:t>68 pharmacies said that they provide a free delivery service for dispensed medicines on request.</w:t>
      </w:r>
    </w:p>
    <w:p w14:paraId="1B030FDE" w14:textId="77777777" w:rsidR="0094190B" w:rsidRPr="00BC2C95" w:rsidRDefault="0094190B" w:rsidP="00DC54F7">
      <w:pPr>
        <w:pStyle w:val="ListParagraph"/>
        <w:numPr>
          <w:ilvl w:val="0"/>
          <w:numId w:val="109"/>
        </w:numPr>
        <w:spacing w:after="0" w:line="240" w:lineRule="auto"/>
        <w:jc w:val="both"/>
        <w:rPr>
          <w:rFonts w:ascii="Arial" w:hAnsi="Arial" w:cs="Arial"/>
          <w:sz w:val="24"/>
          <w:szCs w:val="24"/>
        </w:rPr>
      </w:pPr>
      <w:r w:rsidRPr="00BC2C95">
        <w:rPr>
          <w:rFonts w:ascii="Arial" w:hAnsi="Arial" w:cs="Arial"/>
          <w:sz w:val="24"/>
          <w:szCs w:val="24"/>
        </w:rPr>
        <w:lastRenderedPageBreak/>
        <w:t xml:space="preserve">39 pharmacies said they provided a free delivery service to selected patients such as housebound patients, those aged over 70 years, disabled patients or those with mobility issues, those with a clinical need or who are clinically vulnerable, elderly and vulnerable, and those who are self-isolating or shielding due to Coronavirus (COVID-19) pandemic, with no support or means of collecting as per national guidance. </w:t>
      </w:r>
    </w:p>
    <w:p w14:paraId="5F847071" w14:textId="77777777" w:rsidR="0094190B" w:rsidRPr="00BC2C95" w:rsidRDefault="0094190B" w:rsidP="00DC54F7">
      <w:pPr>
        <w:pStyle w:val="ListParagraph"/>
        <w:numPr>
          <w:ilvl w:val="0"/>
          <w:numId w:val="109"/>
        </w:numPr>
        <w:spacing w:after="0" w:line="240" w:lineRule="auto"/>
        <w:jc w:val="both"/>
        <w:rPr>
          <w:rFonts w:ascii="Arial" w:hAnsi="Arial" w:cs="Arial"/>
          <w:sz w:val="24"/>
          <w:szCs w:val="24"/>
        </w:rPr>
      </w:pPr>
      <w:r w:rsidRPr="00BC2C95">
        <w:rPr>
          <w:rFonts w:ascii="Arial" w:hAnsi="Arial" w:cs="Arial"/>
          <w:sz w:val="24"/>
          <w:szCs w:val="24"/>
        </w:rPr>
        <w:t xml:space="preserve">24 pharmacies said they provided a free delivery service to selected areas. </w:t>
      </w:r>
    </w:p>
    <w:p w14:paraId="76DA931D" w14:textId="77777777" w:rsidR="0094190B" w:rsidRPr="00BC2C95" w:rsidRDefault="0094190B" w:rsidP="00DC54F7">
      <w:pPr>
        <w:pStyle w:val="ListParagraph"/>
        <w:numPr>
          <w:ilvl w:val="0"/>
          <w:numId w:val="109"/>
        </w:numPr>
        <w:spacing w:after="0" w:line="240" w:lineRule="auto"/>
        <w:jc w:val="both"/>
        <w:rPr>
          <w:rFonts w:ascii="Arial" w:hAnsi="Arial" w:cs="Arial"/>
          <w:sz w:val="24"/>
          <w:szCs w:val="24"/>
        </w:rPr>
      </w:pPr>
      <w:r w:rsidRPr="00BC2C95">
        <w:rPr>
          <w:rFonts w:ascii="Arial" w:hAnsi="Arial" w:cs="Arial"/>
          <w:sz w:val="24"/>
          <w:szCs w:val="24"/>
        </w:rPr>
        <w:t>12 pharmacies said they charged for the delivery of dispensed medicines. Further analysis showed that eight of those also offered a free of charge service. However, this again may be in line with national guidance due to Coronavirus (COVID-19) pandemic.</w:t>
      </w:r>
    </w:p>
    <w:p w14:paraId="3A4AA73D" w14:textId="77777777" w:rsidR="0094190B" w:rsidRPr="00BC2C95" w:rsidRDefault="0094190B" w:rsidP="00DC54F7">
      <w:pPr>
        <w:pStyle w:val="ListParagraph"/>
        <w:spacing w:after="0" w:line="240" w:lineRule="auto"/>
        <w:ind w:left="360"/>
        <w:jc w:val="both"/>
        <w:rPr>
          <w:rFonts w:ascii="Arial" w:hAnsi="Arial" w:cs="Arial"/>
          <w:sz w:val="24"/>
          <w:szCs w:val="24"/>
        </w:rPr>
      </w:pPr>
    </w:p>
    <w:p w14:paraId="0C7C9A85" w14:textId="07D67E7A" w:rsidR="00A66920" w:rsidRPr="00BC2C95" w:rsidRDefault="0094190B" w:rsidP="00DC54F7">
      <w:pPr>
        <w:spacing w:after="0" w:line="240" w:lineRule="auto"/>
        <w:contextualSpacing/>
        <w:jc w:val="both"/>
        <w:rPr>
          <w:rFonts w:ascii="Arial" w:hAnsi="Arial" w:cs="Arial"/>
          <w:sz w:val="24"/>
          <w:szCs w:val="24"/>
        </w:rPr>
      </w:pPr>
      <w:r w:rsidRPr="00BC2C95">
        <w:rPr>
          <w:rFonts w:ascii="Arial" w:hAnsi="Arial" w:cs="Arial"/>
          <w:sz w:val="24"/>
          <w:szCs w:val="24"/>
        </w:rPr>
        <w:t>It should be noted that collection and delivery services are not contractual services and are therefore provided privately by pharmacies at their discretion.</w:t>
      </w:r>
      <w:r w:rsidR="00A66920" w:rsidRPr="00BC2C95">
        <w:rPr>
          <w:rFonts w:ascii="Arial" w:hAnsi="Arial" w:cs="Arial"/>
          <w:sz w:val="24"/>
          <w:szCs w:val="24"/>
        </w:rPr>
        <w:t xml:space="preserve"> During the Coronavirus (COVID-19) pandemic, a </w:t>
      </w:r>
      <w:r w:rsidR="00975881" w:rsidRPr="00BC2C95">
        <w:rPr>
          <w:rFonts w:ascii="Arial" w:hAnsi="Arial" w:cs="Arial"/>
          <w:sz w:val="24"/>
          <w:szCs w:val="24"/>
        </w:rPr>
        <w:t xml:space="preserve">community pharmacy home delivery service was commissioned </w:t>
      </w:r>
      <w:r w:rsidR="00F74E56" w:rsidRPr="00BC2C95">
        <w:rPr>
          <w:rFonts w:ascii="Arial" w:hAnsi="Arial" w:cs="Arial"/>
          <w:sz w:val="24"/>
          <w:szCs w:val="24"/>
        </w:rPr>
        <w:t xml:space="preserve">to ensure the delivery of medicines to eligible </w:t>
      </w:r>
      <w:r w:rsidR="00950106" w:rsidRPr="00BC2C95">
        <w:rPr>
          <w:rFonts w:ascii="Arial" w:hAnsi="Arial" w:cs="Arial"/>
          <w:sz w:val="24"/>
          <w:szCs w:val="24"/>
        </w:rPr>
        <w:t xml:space="preserve">shielding </w:t>
      </w:r>
      <w:r w:rsidR="00F74E56" w:rsidRPr="00BC2C95">
        <w:rPr>
          <w:rFonts w:ascii="Arial" w:hAnsi="Arial" w:cs="Arial"/>
          <w:sz w:val="24"/>
          <w:szCs w:val="24"/>
        </w:rPr>
        <w:t xml:space="preserve">patients who should not present in the pharmacy. </w:t>
      </w:r>
    </w:p>
    <w:p w14:paraId="2D255F06" w14:textId="77777777" w:rsidR="0094190B" w:rsidRPr="00BC2C95" w:rsidRDefault="0094190B" w:rsidP="00DC54F7">
      <w:pPr>
        <w:spacing w:after="0" w:line="240" w:lineRule="auto"/>
        <w:contextualSpacing/>
        <w:jc w:val="both"/>
        <w:rPr>
          <w:rFonts w:ascii="Arial" w:hAnsi="Arial" w:cs="Arial"/>
          <w:sz w:val="24"/>
          <w:szCs w:val="24"/>
          <w:highlight w:val="yellow"/>
        </w:rPr>
      </w:pPr>
    </w:p>
    <w:p w14:paraId="0DBB2FFE" w14:textId="77777777" w:rsidR="0094190B" w:rsidRPr="00BC2C95" w:rsidRDefault="0094190B" w:rsidP="00DC54F7">
      <w:p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When asked whether there is a requirement for an existing enhanced service which is not currently provided in the area, 18 responders replied positively:</w:t>
      </w:r>
    </w:p>
    <w:p w14:paraId="612CC956" w14:textId="21A3C837" w:rsidR="0094190B" w:rsidRPr="00BC2C95" w:rsidRDefault="0094190B" w:rsidP="00DC54F7">
      <w:pPr>
        <w:pStyle w:val="ListParagraph"/>
        <w:numPr>
          <w:ilvl w:val="0"/>
          <w:numId w:val="110"/>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E</w:t>
      </w:r>
      <w:r w:rsidR="00DE228A" w:rsidRPr="00BC2C95">
        <w:rPr>
          <w:rFonts w:ascii="Arial" w:hAnsi="Arial" w:cs="Arial"/>
          <w:sz w:val="24"/>
          <w:szCs w:val="24"/>
        </w:rPr>
        <w:t>mergency contraception</w:t>
      </w:r>
      <w:r w:rsidRPr="00BC2C95">
        <w:rPr>
          <w:rFonts w:ascii="Arial" w:hAnsi="Arial" w:cs="Arial"/>
          <w:sz w:val="24"/>
          <w:szCs w:val="24"/>
        </w:rPr>
        <w:t xml:space="preserve"> (eight pharmacies)</w:t>
      </w:r>
    </w:p>
    <w:p w14:paraId="0E34CC93" w14:textId="31F516CE" w:rsidR="0094190B" w:rsidRPr="00BC2C95" w:rsidRDefault="0094190B" w:rsidP="00DC54F7">
      <w:pPr>
        <w:pStyle w:val="ListParagraph"/>
        <w:numPr>
          <w:ilvl w:val="0"/>
          <w:numId w:val="110"/>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C</w:t>
      </w:r>
      <w:r w:rsidR="00DE228A" w:rsidRPr="00BC2C95">
        <w:rPr>
          <w:rFonts w:ascii="Arial" w:hAnsi="Arial" w:cs="Arial"/>
          <w:sz w:val="24"/>
          <w:szCs w:val="24"/>
        </w:rPr>
        <w:t xml:space="preserve">ommon </w:t>
      </w:r>
      <w:r w:rsidRPr="00BC2C95">
        <w:rPr>
          <w:rFonts w:ascii="Arial" w:hAnsi="Arial" w:cs="Arial"/>
          <w:sz w:val="24"/>
          <w:szCs w:val="24"/>
        </w:rPr>
        <w:t>A</w:t>
      </w:r>
      <w:r w:rsidR="00DE228A" w:rsidRPr="00BC2C95">
        <w:rPr>
          <w:rFonts w:ascii="Arial" w:hAnsi="Arial" w:cs="Arial"/>
          <w:sz w:val="24"/>
          <w:szCs w:val="24"/>
        </w:rPr>
        <w:t xml:space="preserve">ilment </w:t>
      </w:r>
      <w:r w:rsidRPr="00BC2C95">
        <w:rPr>
          <w:rFonts w:ascii="Arial" w:hAnsi="Arial" w:cs="Arial"/>
          <w:sz w:val="24"/>
          <w:szCs w:val="24"/>
        </w:rPr>
        <w:t>S</w:t>
      </w:r>
      <w:r w:rsidR="00B61496" w:rsidRPr="00BC2C95">
        <w:rPr>
          <w:rFonts w:ascii="Arial" w:hAnsi="Arial" w:cs="Arial"/>
          <w:sz w:val="24"/>
          <w:szCs w:val="24"/>
        </w:rPr>
        <w:t>ervice</w:t>
      </w:r>
      <w:r w:rsidRPr="00BC2C95">
        <w:rPr>
          <w:rFonts w:ascii="Arial" w:hAnsi="Arial" w:cs="Arial"/>
          <w:sz w:val="24"/>
          <w:szCs w:val="24"/>
        </w:rPr>
        <w:t xml:space="preserve"> </w:t>
      </w:r>
    </w:p>
    <w:p w14:paraId="1A98DF33" w14:textId="77777777" w:rsidR="0094190B" w:rsidRPr="00BC2C95" w:rsidRDefault="0094190B" w:rsidP="00DC54F7">
      <w:pPr>
        <w:pStyle w:val="ListParagraph"/>
        <w:numPr>
          <w:ilvl w:val="0"/>
          <w:numId w:val="110"/>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Sore Throat Test and Treat (seven pharmacies)</w:t>
      </w:r>
    </w:p>
    <w:p w14:paraId="75B7590D" w14:textId="77777777" w:rsidR="0094190B" w:rsidRPr="00BC2C95" w:rsidRDefault="0094190B" w:rsidP="00DC54F7">
      <w:pPr>
        <w:pStyle w:val="ListParagraph"/>
        <w:numPr>
          <w:ilvl w:val="0"/>
          <w:numId w:val="110"/>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Independent prescribing (five pharmacies)</w:t>
      </w:r>
    </w:p>
    <w:p w14:paraId="15E04A67" w14:textId="4D319D3A" w:rsidR="0094190B" w:rsidRPr="00BC2C95" w:rsidRDefault="0094190B" w:rsidP="00DC54F7">
      <w:pPr>
        <w:pStyle w:val="ListParagraph"/>
        <w:numPr>
          <w:ilvl w:val="0"/>
          <w:numId w:val="110"/>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 xml:space="preserve">Monitored Dosage System (MDS) </w:t>
      </w:r>
    </w:p>
    <w:p w14:paraId="5892FC80" w14:textId="77777777" w:rsidR="0094190B" w:rsidRPr="00BC2C95" w:rsidRDefault="0094190B" w:rsidP="00DC54F7">
      <w:pPr>
        <w:pStyle w:val="ListParagraph"/>
        <w:numPr>
          <w:ilvl w:val="0"/>
          <w:numId w:val="110"/>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Smoking cessation (two pharmacies)</w:t>
      </w:r>
    </w:p>
    <w:p w14:paraId="19EDA55A" w14:textId="77777777" w:rsidR="0094190B" w:rsidRPr="00BC2C95" w:rsidRDefault="0094190B" w:rsidP="00DC54F7">
      <w:pPr>
        <w:pStyle w:val="ListParagraph"/>
        <w:numPr>
          <w:ilvl w:val="0"/>
          <w:numId w:val="110"/>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 xml:space="preserve">Palliative care </w:t>
      </w:r>
    </w:p>
    <w:p w14:paraId="4CED21EB" w14:textId="77777777" w:rsidR="0094190B" w:rsidRPr="00BC2C95" w:rsidRDefault="0094190B" w:rsidP="00DC54F7">
      <w:pPr>
        <w:pStyle w:val="ListParagraph"/>
        <w:numPr>
          <w:ilvl w:val="0"/>
          <w:numId w:val="110"/>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 xml:space="preserve">Needle exchange </w:t>
      </w:r>
    </w:p>
    <w:p w14:paraId="403B255D" w14:textId="77777777" w:rsidR="0094190B" w:rsidRPr="00BC2C95" w:rsidRDefault="0094190B" w:rsidP="00DC54F7">
      <w:pPr>
        <w:tabs>
          <w:tab w:val="left" w:pos="709"/>
        </w:tabs>
        <w:autoSpaceDE w:val="0"/>
        <w:autoSpaceDN w:val="0"/>
        <w:adjustRightInd w:val="0"/>
        <w:spacing w:after="0" w:line="240" w:lineRule="auto"/>
        <w:jc w:val="both"/>
        <w:rPr>
          <w:rFonts w:ascii="Arial" w:hAnsi="Arial" w:cs="Arial"/>
          <w:sz w:val="24"/>
          <w:szCs w:val="24"/>
        </w:rPr>
      </w:pPr>
    </w:p>
    <w:p w14:paraId="38153754" w14:textId="6C1CDBED" w:rsidR="0094190B" w:rsidRPr="00BC2C95" w:rsidRDefault="0094190B" w:rsidP="00DC54F7">
      <w:p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 xml:space="preserve">It should be noted that </w:t>
      </w:r>
      <w:r w:rsidR="00B73056" w:rsidRPr="00BC2C95">
        <w:rPr>
          <w:rFonts w:ascii="Arial" w:hAnsi="Arial" w:cs="Arial"/>
          <w:sz w:val="24"/>
          <w:szCs w:val="24"/>
        </w:rPr>
        <w:t>eight</w:t>
      </w:r>
      <w:r w:rsidRPr="00BC2C95">
        <w:rPr>
          <w:rFonts w:ascii="Arial" w:hAnsi="Arial" w:cs="Arial"/>
          <w:sz w:val="24"/>
          <w:szCs w:val="24"/>
        </w:rPr>
        <w:t xml:space="preserve"> pharmacies listed more than one suggestion</w:t>
      </w:r>
      <w:r w:rsidR="006B6C5D" w:rsidRPr="00BC2C95">
        <w:rPr>
          <w:rFonts w:ascii="Arial" w:hAnsi="Arial" w:cs="Arial"/>
          <w:sz w:val="24"/>
          <w:szCs w:val="24"/>
        </w:rPr>
        <w:t>,</w:t>
      </w:r>
      <w:r w:rsidR="00E67624" w:rsidRPr="00BC2C95">
        <w:rPr>
          <w:rFonts w:ascii="Arial" w:hAnsi="Arial" w:cs="Arial"/>
          <w:sz w:val="24"/>
          <w:szCs w:val="24"/>
        </w:rPr>
        <w:t xml:space="preserve"> and that </w:t>
      </w:r>
      <w:r w:rsidR="00C96E98" w:rsidRPr="00BC2C95">
        <w:rPr>
          <w:rFonts w:ascii="Arial" w:hAnsi="Arial" w:cs="Arial"/>
          <w:sz w:val="24"/>
          <w:szCs w:val="24"/>
        </w:rPr>
        <w:t>MDS is not an existing enhanced service</w:t>
      </w:r>
      <w:r w:rsidRPr="00BC2C95">
        <w:rPr>
          <w:rFonts w:ascii="Arial" w:hAnsi="Arial" w:cs="Arial"/>
          <w:sz w:val="24"/>
          <w:szCs w:val="24"/>
        </w:rPr>
        <w:t>.</w:t>
      </w:r>
    </w:p>
    <w:p w14:paraId="20F8637D" w14:textId="77777777" w:rsidR="0094190B" w:rsidRPr="00BC2C95" w:rsidRDefault="0094190B" w:rsidP="00DC54F7">
      <w:pPr>
        <w:tabs>
          <w:tab w:val="left" w:pos="709"/>
        </w:tabs>
        <w:autoSpaceDE w:val="0"/>
        <w:autoSpaceDN w:val="0"/>
        <w:adjustRightInd w:val="0"/>
        <w:spacing w:after="0" w:line="240" w:lineRule="auto"/>
        <w:jc w:val="both"/>
        <w:rPr>
          <w:rFonts w:ascii="Arial" w:hAnsi="Arial" w:cs="Arial"/>
          <w:sz w:val="24"/>
          <w:szCs w:val="24"/>
        </w:rPr>
      </w:pPr>
    </w:p>
    <w:p w14:paraId="740D814F" w14:textId="77777777" w:rsidR="0094190B" w:rsidRPr="00BC2C95" w:rsidRDefault="0094190B" w:rsidP="00DC54F7">
      <w:p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 xml:space="preserve">When asked if there is a requirement for a new service that is currently not available 11 pharmacies replied: </w:t>
      </w:r>
    </w:p>
    <w:p w14:paraId="452697CE" w14:textId="77777777" w:rsidR="0094190B" w:rsidRPr="00BC2C95" w:rsidRDefault="0094190B" w:rsidP="00DC54F7">
      <w:pPr>
        <w:pStyle w:val="ListParagraph"/>
        <w:numPr>
          <w:ilvl w:val="0"/>
          <w:numId w:val="111"/>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Independent Prescribing (four pharmacies)</w:t>
      </w:r>
    </w:p>
    <w:p w14:paraId="749A8716" w14:textId="77777777" w:rsidR="0094190B" w:rsidRPr="00BC2C95" w:rsidRDefault="0094190B" w:rsidP="00DC54F7">
      <w:pPr>
        <w:pStyle w:val="ListParagraph"/>
        <w:numPr>
          <w:ilvl w:val="0"/>
          <w:numId w:val="111"/>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 xml:space="preserve">Palliative Care </w:t>
      </w:r>
    </w:p>
    <w:p w14:paraId="673D3B3F" w14:textId="77777777" w:rsidR="0094190B" w:rsidRPr="00BC2C95" w:rsidRDefault="0094190B" w:rsidP="00DC54F7">
      <w:pPr>
        <w:pStyle w:val="ListParagraph"/>
        <w:numPr>
          <w:ilvl w:val="0"/>
          <w:numId w:val="111"/>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Monitored Dosage System (MDS) (three pharmacies)</w:t>
      </w:r>
    </w:p>
    <w:p w14:paraId="3316BB3A" w14:textId="77777777" w:rsidR="0094190B" w:rsidRPr="00BC2C95" w:rsidRDefault="0094190B" w:rsidP="00DC54F7">
      <w:pPr>
        <w:pStyle w:val="ListParagraph"/>
        <w:numPr>
          <w:ilvl w:val="0"/>
          <w:numId w:val="111"/>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 xml:space="preserve">Deliveries </w:t>
      </w:r>
    </w:p>
    <w:p w14:paraId="0A1963A9" w14:textId="77777777" w:rsidR="0094190B" w:rsidRPr="00BC2C95" w:rsidRDefault="0094190B" w:rsidP="00DC54F7">
      <w:pPr>
        <w:pStyle w:val="ListParagraph"/>
        <w:numPr>
          <w:ilvl w:val="0"/>
          <w:numId w:val="111"/>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Coronavirus (COVID-19) testing</w:t>
      </w:r>
    </w:p>
    <w:p w14:paraId="0B10F7BB" w14:textId="77777777" w:rsidR="0094190B" w:rsidRPr="00BC2C95" w:rsidRDefault="0094190B" w:rsidP="00DC54F7">
      <w:pPr>
        <w:pStyle w:val="ListParagraph"/>
        <w:numPr>
          <w:ilvl w:val="0"/>
          <w:numId w:val="111"/>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Coronavirus (COVID-19) vaccination</w:t>
      </w:r>
    </w:p>
    <w:p w14:paraId="24FC704A" w14:textId="77777777" w:rsidR="0094190B" w:rsidRPr="00BC2C95" w:rsidRDefault="0094190B" w:rsidP="00DC54F7">
      <w:pPr>
        <w:pStyle w:val="ListParagraph"/>
        <w:numPr>
          <w:ilvl w:val="0"/>
          <w:numId w:val="111"/>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shd w:val="clear" w:color="auto" w:fill="FFFFFF"/>
        </w:rPr>
        <w:t>Pre-exposure prophylaxis (PrEP)</w:t>
      </w:r>
    </w:p>
    <w:p w14:paraId="036C98EF" w14:textId="77777777" w:rsidR="0094190B" w:rsidRPr="00BC2C95" w:rsidRDefault="0094190B" w:rsidP="00DC54F7">
      <w:pPr>
        <w:pStyle w:val="ListParagraph"/>
        <w:numPr>
          <w:ilvl w:val="0"/>
          <w:numId w:val="111"/>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 xml:space="preserve">Patient Group Direction (PGD) services for UTI, Contraception, Ear infection and Strep throat </w:t>
      </w:r>
    </w:p>
    <w:p w14:paraId="7833B853" w14:textId="77777777" w:rsidR="0094190B" w:rsidRPr="00BC2C95" w:rsidRDefault="0094190B" w:rsidP="00DC54F7">
      <w:pPr>
        <w:tabs>
          <w:tab w:val="left" w:pos="709"/>
        </w:tabs>
        <w:autoSpaceDE w:val="0"/>
        <w:autoSpaceDN w:val="0"/>
        <w:adjustRightInd w:val="0"/>
        <w:spacing w:after="0" w:line="240" w:lineRule="auto"/>
        <w:jc w:val="both"/>
        <w:rPr>
          <w:rFonts w:ascii="Arial" w:hAnsi="Arial" w:cs="Arial"/>
          <w:sz w:val="24"/>
          <w:szCs w:val="24"/>
        </w:rPr>
      </w:pPr>
    </w:p>
    <w:p w14:paraId="73334E7F" w14:textId="77777777" w:rsidR="0094190B" w:rsidRPr="00BC2C95" w:rsidRDefault="0094190B" w:rsidP="00DC54F7">
      <w:p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It should be noted that two pharmacies listed more than one suggestion.</w:t>
      </w:r>
    </w:p>
    <w:p w14:paraId="3AF9564E" w14:textId="203E9BB5" w:rsidR="0094190B" w:rsidRPr="00BC2C95" w:rsidRDefault="0094190B" w:rsidP="00DC54F7">
      <w:pPr>
        <w:tabs>
          <w:tab w:val="left" w:pos="709"/>
        </w:tabs>
        <w:autoSpaceDE w:val="0"/>
        <w:autoSpaceDN w:val="0"/>
        <w:adjustRightInd w:val="0"/>
        <w:spacing w:after="0" w:line="240" w:lineRule="auto"/>
        <w:jc w:val="both"/>
        <w:rPr>
          <w:rFonts w:ascii="Arial" w:hAnsi="Arial" w:cs="Arial"/>
          <w:sz w:val="24"/>
          <w:szCs w:val="24"/>
        </w:rPr>
      </w:pPr>
    </w:p>
    <w:p w14:paraId="0A70B7C5" w14:textId="043AB850" w:rsidR="0094190B" w:rsidRPr="00BC2C95" w:rsidRDefault="0094190B" w:rsidP="00DC54F7">
      <w:pPr>
        <w:spacing w:after="0" w:line="240" w:lineRule="auto"/>
        <w:contextualSpacing/>
        <w:jc w:val="both"/>
        <w:rPr>
          <w:rFonts w:ascii="Arial" w:hAnsi="Arial" w:cs="Arial"/>
          <w:sz w:val="24"/>
          <w:szCs w:val="24"/>
        </w:rPr>
      </w:pPr>
      <w:r w:rsidRPr="00BC2C95">
        <w:rPr>
          <w:rFonts w:ascii="Arial" w:hAnsi="Arial" w:cs="Arial"/>
          <w:sz w:val="24"/>
          <w:szCs w:val="24"/>
        </w:rPr>
        <w:lastRenderedPageBreak/>
        <w:t>The demand for pharmaceutical services in general is increasing. Pharmac</w:t>
      </w:r>
      <w:r w:rsidR="00596DC8" w:rsidRPr="00BC2C95">
        <w:rPr>
          <w:rFonts w:ascii="Arial" w:hAnsi="Arial" w:cs="Arial"/>
          <w:sz w:val="24"/>
          <w:szCs w:val="24"/>
        </w:rPr>
        <w:t>y</w:t>
      </w:r>
      <w:r w:rsidRPr="00BC2C95">
        <w:rPr>
          <w:rFonts w:ascii="Arial" w:hAnsi="Arial" w:cs="Arial"/>
          <w:sz w:val="24"/>
          <w:szCs w:val="24"/>
        </w:rPr>
        <w:t xml:space="preserve"> contractors were asked about their ability to meet </w:t>
      </w:r>
      <w:r w:rsidR="009642EF" w:rsidRPr="00BC2C95">
        <w:rPr>
          <w:rFonts w:ascii="Arial" w:hAnsi="Arial" w:cs="Arial"/>
          <w:sz w:val="24"/>
          <w:szCs w:val="24"/>
        </w:rPr>
        <w:t>future</w:t>
      </w:r>
      <w:r w:rsidR="000B36F5" w:rsidRPr="00BC2C95">
        <w:rPr>
          <w:rFonts w:ascii="Arial" w:hAnsi="Arial" w:cs="Arial"/>
          <w:sz w:val="24"/>
          <w:szCs w:val="24"/>
        </w:rPr>
        <w:t xml:space="preserve"> </w:t>
      </w:r>
      <w:r w:rsidRPr="00BC2C95">
        <w:rPr>
          <w:rFonts w:ascii="Arial" w:hAnsi="Arial" w:cs="Arial"/>
          <w:sz w:val="24"/>
          <w:szCs w:val="24"/>
        </w:rPr>
        <w:t xml:space="preserve">needs. The responses were as follows: </w:t>
      </w:r>
    </w:p>
    <w:p w14:paraId="2146B458" w14:textId="77777777" w:rsidR="0094190B" w:rsidRPr="00BC2C95" w:rsidRDefault="0094190B" w:rsidP="00DC54F7">
      <w:pPr>
        <w:spacing w:after="0" w:line="240" w:lineRule="auto"/>
        <w:contextualSpacing/>
        <w:jc w:val="both"/>
        <w:rPr>
          <w:rFonts w:ascii="Arial" w:hAnsi="Arial" w:cs="Arial"/>
          <w:sz w:val="24"/>
          <w:szCs w:val="24"/>
        </w:rPr>
      </w:pPr>
    </w:p>
    <w:p w14:paraId="30815B27" w14:textId="77777777" w:rsidR="0094190B" w:rsidRPr="00BC2C95" w:rsidRDefault="0094190B" w:rsidP="00DC54F7">
      <w:pPr>
        <w:pStyle w:val="ListParagraph"/>
        <w:numPr>
          <w:ilvl w:val="0"/>
          <w:numId w:val="106"/>
        </w:numPr>
        <w:spacing w:after="0" w:line="240" w:lineRule="auto"/>
        <w:jc w:val="both"/>
        <w:rPr>
          <w:rFonts w:ascii="Arial" w:hAnsi="Arial" w:cs="Arial"/>
          <w:sz w:val="24"/>
          <w:szCs w:val="24"/>
        </w:rPr>
      </w:pPr>
      <w:r w:rsidRPr="00BC2C95">
        <w:rPr>
          <w:rFonts w:ascii="Arial" w:hAnsi="Arial" w:cs="Arial"/>
          <w:sz w:val="24"/>
          <w:szCs w:val="24"/>
        </w:rPr>
        <w:t>89% (94) of pharmacies have sufficient capacity within their existing premises and staffing levels to manage the increase in demand in the area.</w:t>
      </w:r>
    </w:p>
    <w:p w14:paraId="6D92B012" w14:textId="77777777" w:rsidR="0094190B" w:rsidRPr="00BC2C95" w:rsidRDefault="0094190B" w:rsidP="00DC54F7">
      <w:pPr>
        <w:pStyle w:val="ListParagraph"/>
        <w:numPr>
          <w:ilvl w:val="0"/>
          <w:numId w:val="106"/>
        </w:numPr>
        <w:spacing w:after="0" w:line="240" w:lineRule="auto"/>
        <w:jc w:val="both"/>
        <w:rPr>
          <w:rFonts w:ascii="Arial" w:hAnsi="Arial" w:cs="Arial"/>
          <w:sz w:val="24"/>
          <w:szCs w:val="24"/>
        </w:rPr>
      </w:pPr>
      <w:r w:rsidRPr="00BC2C95">
        <w:rPr>
          <w:rFonts w:ascii="Arial" w:hAnsi="Arial" w:cs="Arial"/>
          <w:sz w:val="24"/>
          <w:szCs w:val="24"/>
        </w:rPr>
        <w:t xml:space="preserve">8% (9) of pharmacies don’t have sufficient premises and staffing capacity at present but could make adjustments to manage the increase in demand in the area. </w:t>
      </w:r>
    </w:p>
    <w:p w14:paraId="2F7998A1" w14:textId="77777777" w:rsidR="0094190B" w:rsidRPr="00BC2C95" w:rsidRDefault="0094190B" w:rsidP="00DC54F7">
      <w:pPr>
        <w:pStyle w:val="ListParagraph"/>
        <w:numPr>
          <w:ilvl w:val="0"/>
          <w:numId w:val="106"/>
        </w:numPr>
        <w:spacing w:after="0" w:line="240" w:lineRule="auto"/>
        <w:jc w:val="both"/>
        <w:rPr>
          <w:rFonts w:ascii="Arial" w:hAnsi="Arial" w:cs="Arial"/>
          <w:sz w:val="24"/>
          <w:szCs w:val="24"/>
        </w:rPr>
      </w:pPr>
      <w:r w:rsidRPr="00BC2C95">
        <w:rPr>
          <w:rFonts w:ascii="Arial" w:hAnsi="Arial" w:cs="Arial"/>
          <w:sz w:val="24"/>
          <w:szCs w:val="24"/>
        </w:rPr>
        <w:t>3% (3) of pharmacies don’t have sufficient premises and staffing capacity and would have difficulty in managing an increase in demand in the area.</w:t>
      </w:r>
    </w:p>
    <w:p w14:paraId="66E11627" w14:textId="77777777" w:rsidR="0094190B" w:rsidRPr="00BC2C95" w:rsidRDefault="0094190B" w:rsidP="00DC54F7">
      <w:pPr>
        <w:tabs>
          <w:tab w:val="left" w:pos="709"/>
        </w:tabs>
        <w:autoSpaceDE w:val="0"/>
        <w:autoSpaceDN w:val="0"/>
        <w:adjustRightInd w:val="0"/>
        <w:spacing w:after="0" w:line="240" w:lineRule="auto"/>
        <w:jc w:val="both"/>
        <w:rPr>
          <w:rFonts w:ascii="Arial" w:hAnsi="Arial" w:cs="Arial"/>
          <w:sz w:val="24"/>
          <w:szCs w:val="24"/>
        </w:rPr>
      </w:pPr>
    </w:p>
    <w:p w14:paraId="641BC2D0" w14:textId="773855C1" w:rsidR="0094190B" w:rsidRPr="00BC2C95" w:rsidRDefault="0094190B" w:rsidP="00DC54F7">
      <w:p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When asked whether pharmacies have any plans to develop or expand their premises or service provision</w:t>
      </w:r>
      <w:r w:rsidR="000B36F5" w:rsidRPr="00BC2C95">
        <w:rPr>
          <w:rFonts w:ascii="Arial" w:hAnsi="Arial" w:cs="Arial"/>
          <w:sz w:val="24"/>
          <w:szCs w:val="24"/>
        </w:rPr>
        <w:t>,</w:t>
      </w:r>
      <w:r w:rsidRPr="00BC2C95">
        <w:rPr>
          <w:rFonts w:ascii="Arial" w:hAnsi="Arial" w:cs="Arial"/>
          <w:sz w:val="24"/>
          <w:szCs w:val="24"/>
        </w:rPr>
        <w:t xml:space="preserve"> 24 pharmacies responded positively with all 24 pharmacies providing further details. The themes of the responses are as follows:</w:t>
      </w:r>
    </w:p>
    <w:p w14:paraId="180D8DF1" w14:textId="77777777" w:rsidR="0094190B" w:rsidRPr="00BC2C95" w:rsidRDefault="0094190B" w:rsidP="00DC54F7">
      <w:pPr>
        <w:tabs>
          <w:tab w:val="left" w:pos="709"/>
        </w:tabs>
        <w:autoSpaceDE w:val="0"/>
        <w:autoSpaceDN w:val="0"/>
        <w:adjustRightInd w:val="0"/>
        <w:spacing w:after="0" w:line="240" w:lineRule="auto"/>
        <w:jc w:val="both"/>
        <w:rPr>
          <w:rFonts w:ascii="Arial" w:hAnsi="Arial" w:cs="Arial"/>
          <w:sz w:val="24"/>
          <w:szCs w:val="24"/>
        </w:rPr>
      </w:pPr>
    </w:p>
    <w:p w14:paraId="5B0B0B00" w14:textId="1C7B7455" w:rsidR="0094190B" w:rsidRPr="00BC2C95" w:rsidRDefault="00C2578F" w:rsidP="00DC54F7">
      <w:p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F</w:t>
      </w:r>
      <w:r w:rsidR="0094190B" w:rsidRPr="00BC2C95">
        <w:rPr>
          <w:rFonts w:ascii="Arial" w:hAnsi="Arial" w:cs="Arial"/>
          <w:sz w:val="24"/>
          <w:szCs w:val="24"/>
        </w:rPr>
        <w:t>ive pharmacies had plans to expand their pharmacy premises:</w:t>
      </w:r>
    </w:p>
    <w:p w14:paraId="51B1DE88" w14:textId="77777777" w:rsidR="0094190B" w:rsidRPr="00BC2C95" w:rsidRDefault="0094190B" w:rsidP="00DC54F7">
      <w:pPr>
        <w:pStyle w:val="ListParagraph"/>
        <w:numPr>
          <w:ilvl w:val="0"/>
          <w:numId w:val="112"/>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 xml:space="preserve">Pharmacy refit </w:t>
      </w:r>
    </w:p>
    <w:p w14:paraId="2FB2F7F3" w14:textId="77777777" w:rsidR="0094190B" w:rsidRPr="00BC2C95" w:rsidRDefault="0094190B" w:rsidP="00DC54F7">
      <w:pPr>
        <w:pStyle w:val="ListParagraph"/>
        <w:numPr>
          <w:ilvl w:val="0"/>
          <w:numId w:val="112"/>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Consultation rooms (two pharmacies)</w:t>
      </w:r>
    </w:p>
    <w:p w14:paraId="7FDEF85F" w14:textId="77777777" w:rsidR="0094190B" w:rsidRPr="00BC2C95" w:rsidRDefault="0094190B" w:rsidP="00DC54F7">
      <w:pPr>
        <w:pStyle w:val="ListParagraph"/>
        <w:numPr>
          <w:ilvl w:val="0"/>
          <w:numId w:val="112"/>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Exploring options to relocate into GP practice sites (two pharmacies)</w:t>
      </w:r>
    </w:p>
    <w:p w14:paraId="27EB3F36" w14:textId="77777777" w:rsidR="0094190B" w:rsidRPr="00BC2C95" w:rsidRDefault="0094190B" w:rsidP="00DC54F7">
      <w:pPr>
        <w:tabs>
          <w:tab w:val="left" w:pos="709"/>
        </w:tabs>
        <w:autoSpaceDE w:val="0"/>
        <w:autoSpaceDN w:val="0"/>
        <w:adjustRightInd w:val="0"/>
        <w:spacing w:after="0" w:line="240" w:lineRule="auto"/>
        <w:jc w:val="both"/>
        <w:rPr>
          <w:rFonts w:ascii="Arial" w:hAnsi="Arial" w:cs="Arial"/>
          <w:sz w:val="24"/>
          <w:szCs w:val="24"/>
        </w:rPr>
      </w:pPr>
    </w:p>
    <w:p w14:paraId="06E4C746" w14:textId="7C9CFA3D" w:rsidR="0094190B" w:rsidRPr="00BC2C95" w:rsidRDefault="00C2578F" w:rsidP="00DC54F7">
      <w:p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T</w:t>
      </w:r>
      <w:r w:rsidR="0094190B" w:rsidRPr="00BC2C95">
        <w:rPr>
          <w:rFonts w:ascii="Arial" w:hAnsi="Arial" w:cs="Arial"/>
          <w:sz w:val="24"/>
          <w:szCs w:val="24"/>
        </w:rPr>
        <w:t>hree pharmacies</w:t>
      </w:r>
      <w:r w:rsidR="0094190B" w:rsidRPr="00BC2C95">
        <w:rPr>
          <w:rFonts w:ascii="Arial" w:hAnsi="Arial" w:cs="Arial"/>
          <w:b/>
          <w:bCs/>
          <w:sz w:val="24"/>
          <w:szCs w:val="24"/>
        </w:rPr>
        <w:t xml:space="preserve"> </w:t>
      </w:r>
      <w:r w:rsidR="000E6B8A" w:rsidRPr="00BC2C95">
        <w:rPr>
          <w:rFonts w:ascii="Arial" w:hAnsi="Arial" w:cs="Arial"/>
          <w:sz w:val="24"/>
          <w:szCs w:val="24"/>
        </w:rPr>
        <w:t>had</w:t>
      </w:r>
      <w:r w:rsidR="000E6B8A" w:rsidRPr="00BC2C95">
        <w:rPr>
          <w:rFonts w:ascii="Arial" w:hAnsi="Arial" w:cs="Arial"/>
          <w:b/>
          <w:bCs/>
          <w:sz w:val="24"/>
          <w:szCs w:val="24"/>
        </w:rPr>
        <w:t xml:space="preserve"> </w:t>
      </w:r>
      <w:r w:rsidR="000B36F5" w:rsidRPr="00BC2C95">
        <w:rPr>
          <w:rFonts w:ascii="Arial" w:hAnsi="Arial" w:cs="Arial"/>
          <w:sz w:val="24"/>
          <w:szCs w:val="24"/>
        </w:rPr>
        <w:t>plan</w:t>
      </w:r>
      <w:r w:rsidR="000E6B8A" w:rsidRPr="00BC2C95">
        <w:rPr>
          <w:rFonts w:ascii="Arial" w:hAnsi="Arial" w:cs="Arial"/>
          <w:sz w:val="24"/>
          <w:szCs w:val="24"/>
        </w:rPr>
        <w:t>s</w:t>
      </w:r>
      <w:r w:rsidR="000B36F5" w:rsidRPr="00BC2C95">
        <w:rPr>
          <w:rFonts w:ascii="Arial" w:hAnsi="Arial" w:cs="Arial"/>
          <w:b/>
          <w:bCs/>
          <w:sz w:val="24"/>
          <w:szCs w:val="24"/>
        </w:rPr>
        <w:t xml:space="preserve"> </w:t>
      </w:r>
      <w:r w:rsidR="0094190B" w:rsidRPr="00BC2C95">
        <w:rPr>
          <w:rFonts w:ascii="Arial" w:hAnsi="Arial" w:cs="Arial"/>
          <w:sz w:val="24"/>
          <w:szCs w:val="24"/>
        </w:rPr>
        <w:t xml:space="preserve">to automate parts of their pharmacy service around collection of completed prescriptions/ medicines and deliveries. </w:t>
      </w:r>
    </w:p>
    <w:p w14:paraId="11BD74F1" w14:textId="77777777" w:rsidR="0094190B" w:rsidRPr="00BC2C95" w:rsidRDefault="0094190B" w:rsidP="00DC54F7">
      <w:pPr>
        <w:tabs>
          <w:tab w:val="left" w:pos="709"/>
        </w:tabs>
        <w:autoSpaceDE w:val="0"/>
        <w:autoSpaceDN w:val="0"/>
        <w:adjustRightInd w:val="0"/>
        <w:spacing w:after="0" w:line="240" w:lineRule="auto"/>
        <w:jc w:val="both"/>
        <w:rPr>
          <w:rFonts w:ascii="Arial" w:hAnsi="Arial" w:cs="Arial"/>
          <w:sz w:val="24"/>
          <w:szCs w:val="24"/>
        </w:rPr>
      </w:pPr>
    </w:p>
    <w:p w14:paraId="2C3BF0FB" w14:textId="06CD26F6" w:rsidR="0094190B" w:rsidRPr="00BC2C95" w:rsidRDefault="003A3097" w:rsidP="00DC54F7">
      <w:p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F</w:t>
      </w:r>
      <w:r w:rsidR="009E47BF" w:rsidRPr="00BC2C95">
        <w:rPr>
          <w:rFonts w:ascii="Arial" w:hAnsi="Arial" w:cs="Arial"/>
          <w:sz w:val="24"/>
          <w:szCs w:val="24"/>
        </w:rPr>
        <w:t xml:space="preserve">ifteen pharmacies </w:t>
      </w:r>
      <w:r w:rsidR="000E6B8A" w:rsidRPr="00BC2C95">
        <w:rPr>
          <w:rFonts w:ascii="Arial" w:hAnsi="Arial" w:cs="Arial"/>
          <w:sz w:val="24"/>
          <w:szCs w:val="24"/>
        </w:rPr>
        <w:t xml:space="preserve">had </w:t>
      </w:r>
      <w:r w:rsidR="00D07597" w:rsidRPr="00BC2C95">
        <w:rPr>
          <w:rFonts w:ascii="Arial" w:hAnsi="Arial" w:cs="Arial"/>
          <w:sz w:val="24"/>
          <w:szCs w:val="24"/>
        </w:rPr>
        <w:t>plan</w:t>
      </w:r>
      <w:r w:rsidR="000E6B8A" w:rsidRPr="00BC2C95">
        <w:rPr>
          <w:rFonts w:ascii="Arial" w:hAnsi="Arial" w:cs="Arial"/>
          <w:sz w:val="24"/>
          <w:szCs w:val="24"/>
        </w:rPr>
        <w:t xml:space="preserve">s </w:t>
      </w:r>
      <w:r w:rsidR="00D07597" w:rsidRPr="00BC2C95">
        <w:rPr>
          <w:rFonts w:ascii="Arial" w:hAnsi="Arial" w:cs="Arial"/>
          <w:sz w:val="24"/>
          <w:szCs w:val="24"/>
        </w:rPr>
        <w:t>to expand their service provision</w:t>
      </w:r>
      <w:r w:rsidR="00983106" w:rsidRPr="00BC2C95">
        <w:rPr>
          <w:rFonts w:ascii="Arial" w:hAnsi="Arial" w:cs="Arial"/>
          <w:sz w:val="24"/>
          <w:szCs w:val="24"/>
        </w:rPr>
        <w:t>, and the following examples were provided</w:t>
      </w:r>
      <w:r w:rsidR="00D07597" w:rsidRPr="00BC2C95">
        <w:rPr>
          <w:rFonts w:ascii="Arial" w:hAnsi="Arial" w:cs="Arial"/>
          <w:sz w:val="24"/>
          <w:szCs w:val="24"/>
        </w:rPr>
        <w:t>:</w:t>
      </w:r>
    </w:p>
    <w:p w14:paraId="1298A634" w14:textId="77777777" w:rsidR="0094190B" w:rsidRPr="00BC2C95" w:rsidRDefault="0094190B" w:rsidP="00DC54F7">
      <w:pPr>
        <w:pStyle w:val="ListParagraph"/>
        <w:numPr>
          <w:ilvl w:val="0"/>
          <w:numId w:val="119"/>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 xml:space="preserve">Independent prescribing (nine pharmacies) </w:t>
      </w:r>
    </w:p>
    <w:p w14:paraId="052CC447" w14:textId="77777777" w:rsidR="0094190B" w:rsidRPr="00BC2C95" w:rsidRDefault="0094190B" w:rsidP="00DC54F7">
      <w:pPr>
        <w:pStyle w:val="ListParagraph"/>
        <w:numPr>
          <w:ilvl w:val="0"/>
          <w:numId w:val="119"/>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 xml:space="preserve">More enhanced services as they become available (three pharmacies) </w:t>
      </w:r>
    </w:p>
    <w:p w14:paraId="217291CA" w14:textId="77777777" w:rsidR="0094190B" w:rsidRPr="00BC2C95" w:rsidRDefault="0094190B" w:rsidP="00DC54F7">
      <w:pPr>
        <w:pStyle w:val="ListParagraph"/>
        <w:numPr>
          <w:ilvl w:val="0"/>
          <w:numId w:val="119"/>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Smoking cessation</w:t>
      </w:r>
    </w:p>
    <w:p w14:paraId="434FBC7D" w14:textId="77777777" w:rsidR="0094190B" w:rsidRPr="00BC2C95" w:rsidRDefault="0094190B" w:rsidP="00DC54F7">
      <w:pPr>
        <w:pStyle w:val="ListParagraph"/>
        <w:numPr>
          <w:ilvl w:val="0"/>
          <w:numId w:val="119"/>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More vaccination services</w:t>
      </w:r>
    </w:p>
    <w:p w14:paraId="64FED389" w14:textId="77777777" w:rsidR="0094190B" w:rsidRPr="00BC2C95" w:rsidRDefault="0094190B" w:rsidP="00DC54F7">
      <w:pPr>
        <w:pStyle w:val="ListParagraph"/>
        <w:numPr>
          <w:ilvl w:val="0"/>
          <w:numId w:val="119"/>
        </w:num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Triage and treat services</w:t>
      </w:r>
    </w:p>
    <w:p w14:paraId="1F061D97" w14:textId="77777777" w:rsidR="0094190B" w:rsidRPr="00BC2C95" w:rsidRDefault="0094190B" w:rsidP="00DC54F7">
      <w:pPr>
        <w:tabs>
          <w:tab w:val="left" w:pos="709"/>
        </w:tabs>
        <w:autoSpaceDE w:val="0"/>
        <w:autoSpaceDN w:val="0"/>
        <w:adjustRightInd w:val="0"/>
        <w:spacing w:after="0" w:line="240" w:lineRule="auto"/>
        <w:jc w:val="both"/>
        <w:rPr>
          <w:rFonts w:ascii="Arial" w:hAnsi="Arial" w:cs="Arial"/>
          <w:sz w:val="24"/>
          <w:szCs w:val="24"/>
        </w:rPr>
      </w:pPr>
    </w:p>
    <w:p w14:paraId="48A9F622" w14:textId="0054251F" w:rsidR="0094190B" w:rsidRPr="00BC2C95" w:rsidRDefault="00D07597" w:rsidP="00DC54F7">
      <w:p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One pharmacy planned to offer more private services.</w:t>
      </w:r>
    </w:p>
    <w:p w14:paraId="2C10FF6C" w14:textId="77777777" w:rsidR="0094190B" w:rsidRPr="00BC2C95" w:rsidRDefault="0094190B" w:rsidP="00DC54F7">
      <w:pPr>
        <w:tabs>
          <w:tab w:val="left" w:pos="709"/>
        </w:tabs>
        <w:autoSpaceDE w:val="0"/>
        <w:autoSpaceDN w:val="0"/>
        <w:adjustRightInd w:val="0"/>
        <w:spacing w:after="0" w:line="240" w:lineRule="auto"/>
        <w:jc w:val="both"/>
        <w:rPr>
          <w:rFonts w:ascii="Arial" w:hAnsi="Arial" w:cs="Arial"/>
          <w:sz w:val="24"/>
          <w:szCs w:val="24"/>
        </w:rPr>
      </w:pPr>
    </w:p>
    <w:p w14:paraId="2323A961" w14:textId="74D30300" w:rsidR="0094190B" w:rsidRPr="00BC2C95" w:rsidRDefault="0094190B" w:rsidP="00DC54F7">
      <w:p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 xml:space="preserve">Two comments were received from pharmacies saying they would be willing to provide more services depending on funding being provided. One pharmacy mentioned having a business continuity plan in place for 2020 to 2021. </w:t>
      </w:r>
    </w:p>
    <w:p w14:paraId="5420F37A" w14:textId="77777777" w:rsidR="00EF16BD" w:rsidRPr="00BC2C95" w:rsidRDefault="00EF16BD" w:rsidP="00DC54F7">
      <w:pPr>
        <w:tabs>
          <w:tab w:val="left" w:pos="709"/>
        </w:tabs>
        <w:autoSpaceDE w:val="0"/>
        <w:autoSpaceDN w:val="0"/>
        <w:adjustRightInd w:val="0"/>
        <w:spacing w:after="0" w:line="240" w:lineRule="auto"/>
        <w:jc w:val="both"/>
        <w:rPr>
          <w:rFonts w:ascii="Arial" w:hAnsi="Arial" w:cs="Arial"/>
          <w:sz w:val="24"/>
          <w:szCs w:val="24"/>
        </w:rPr>
      </w:pPr>
    </w:p>
    <w:p w14:paraId="0F29791F" w14:textId="6113061C" w:rsidR="004654D5" w:rsidRPr="00BC2C95" w:rsidRDefault="00000FEE" w:rsidP="00DC54F7">
      <w:p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 xml:space="preserve">An online questionnaire for dispensing practices was also undertaken using </w:t>
      </w:r>
      <w:r w:rsidR="007A6622" w:rsidRPr="00BC2C95">
        <w:rPr>
          <w:rFonts w:ascii="Arial" w:hAnsi="Arial" w:cs="Arial"/>
          <w:sz w:val="24"/>
          <w:szCs w:val="24"/>
        </w:rPr>
        <w:t>Smart Survey</w:t>
      </w:r>
      <w:r w:rsidRPr="00BC2C95">
        <w:rPr>
          <w:rFonts w:ascii="Arial" w:hAnsi="Arial" w:cs="Arial"/>
          <w:sz w:val="24"/>
          <w:szCs w:val="24"/>
        </w:rPr>
        <w:t xml:space="preserve">.  </w:t>
      </w:r>
      <w:r w:rsidR="004654D5" w:rsidRPr="00BC2C95">
        <w:rPr>
          <w:rFonts w:ascii="Arial" w:hAnsi="Arial" w:cs="Arial"/>
          <w:sz w:val="24"/>
          <w:szCs w:val="24"/>
        </w:rPr>
        <w:t>As with pharmacies</w:t>
      </w:r>
      <w:r w:rsidR="000B707D" w:rsidRPr="00BC2C95">
        <w:rPr>
          <w:rFonts w:ascii="Arial" w:hAnsi="Arial" w:cs="Arial"/>
          <w:sz w:val="24"/>
          <w:szCs w:val="24"/>
        </w:rPr>
        <w:t xml:space="preserve"> </w:t>
      </w:r>
      <w:r w:rsidR="004654D5" w:rsidRPr="00BC2C95">
        <w:rPr>
          <w:rFonts w:ascii="Arial" w:hAnsi="Arial" w:cs="Arial"/>
          <w:sz w:val="24"/>
          <w:szCs w:val="24"/>
        </w:rPr>
        <w:t>the approach was taken to only ask contractors for information that could not be sourced elsewhere.</w:t>
      </w:r>
    </w:p>
    <w:p w14:paraId="45186005" w14:textId="77777777" w:rsidR="004654D5" w:rsidRPr="00BC2C95" w:rsidRDefault="004654D5" w:rsidP="00DC54F7">
      <w:pPr>
        <w:tabs>
          <w:tab w:val="left" w:pos="709"/>
        </w:tabs>
        <w:autoSpaceDE w:val="0"/>
        <w:autoSpaceDN w:val="0"/>
        <w:adjustRightInd w:val="0"/>
        <w:spacing w:after="0" w:line="240" w:lineRule="auto"/>
        <w:jc w:val="both"/>
        <w:rPr>
          <w:rFonts w:ascii="Arial" w:hAnsi="Arial" w:cs="Arial"/>
          <w:sz w:val="24"/>
          <w:szCs w:val="24"/>
        </w:rPr>
      </w:pPr>
    </w:p>
    <w:p w14:paraId="53287DC7" w14:textId="77777777" w:rsidR="00D9037C" w:rsidRPr="00BC2C95" w:rsidRDefault="00000FEE" w:rsidP="00DC54F7">
      <w:pPr>
        <w:tabs>
          <w:tab w:val="left" w:pos="709"/>
        </w:tabs>
        <w:autoSpaceDE w:val="0"/>
        <w:autoSpaceDN w:val="0"/>
        <w:adjustRightInd w:val="0"/>
        <w:spacing w:after="0" w:line="240" w:lineRule="auto"/>
        <w:jc w:val="both"/>
        <w:rPr>
          <w:rFonts w:ascii="Arial" w:hAnsi="Arial" w:cs="Arial"/>
          <w:sz w:val="24"/>
          <w:szCs w:val="24"/>
        </w:rPr>
      </w:pPr>
      <w:r w:rsidRPr="00BC2C95">
        <w:rPr>
          <w:rFonts w:ascii="Arial" w:hAnsi="Arial" w:cs="Arial"/>
          <w:sz w:val="24"/>
          <w:szCs w:val="24"/>
        </w:rPr>
        <w:t>A copy of the question</w:t>
      </w:r>
      <w:r w:rsidR="00837F00" w:rsidRPr="00BC2C95">
        <w:rPr>
          <w:rFonts w:ascii="Arial" w:hAnsi="Arial" w:cs="Arial"/>
          <w:sz w:val="24"/>
          <w:szCs w:val="24"/>
        </w:rPr>
        <w:t xml:space="preserve">naire can be found in appendix </w:t>
      </w:r>
      <w:r w:rsidR="003A1198" w:rsidRPr="00BC2C95">
        <w:rPr>
          <w:rFonts w:ascii="Arial" w:hAnsi="Arial" w:cs="Arial"/>
          <w:sz w:val="24"/>
          <w:szCs w:val="24"/>
        </w:rPr>
        <w:t>J</w:t>
      </w:r>
      <w:r w:rsidRPr="00BC2C95">
        <w:rPr>
          <w:rFonts w:ascii="Arial" w:hAnsi="Arial" w:cs="Arial"/>
          <w:sz w:val="24"/>
          <w:szCs w:val="24"/>
        </w:rPr>
        <w:t xml:space="preserve">.  </w:t>
      </w:r>
    </w:p>
    <w:p w14:paraId="536E0C97" w14:textId="77777777" w:rsidR="004654D5" w:rsidRPr="00BC2C95" w:rsidRDefault="004654D5" w:rsidP="00DC54F7">
      <w:pPr>
        <w:tabs>
          <w:tab w:val="left" w:pos="709"/>
        </w:tabs>
        <w:autoSpaceDE w:val="0"/>
        <w:autoSpaceDN w:val="0"/>
        <w:adjustRightInd w:val="0"/>
        <w:spacing w:after="0" w:line="240" w:lineRule="auto"/>
        <w:jc w:val="both"/>
        <w:rPr>
          <w:rFonts w:ascii="Arial" w:hAnsi="Arial" w:cs="Arial"/>
          <w:sz w:val="24"/>
          <w:szCs w:val="24"/>
        </w:rPr>
      </w:pPr>
    </w:p>
    <w:p w14:paraId="70B95EF8" w14:textId="7CF73F3B" w:rsidR="006022B6" w:rsidRPr="00BC2C95" w:rsidRDefault="004654D5" w:rsidP="00DC54F7">
      <w:pPr>
        <w:spacing w:after="0" w:line="240" w:lineRule="auto"/>
        <w:jc w:val="both"/>
        <w:rPr>
          <w:rFonts w:ascii="Arial" w:hAnsi="Arial" w:cs="Arial"/>
          <w:sz w:val="24"/>
          <w:szCs w:val="24"/>
        </w:rPr>
      </w:pPr>
      <w:r w:rsidRPr="00BC2C95">
        <w:rPr>
          <w:rFonts w:ascii="Arial" w:hAnsi="Arial" w:cs="Arial"/>
          <w:sz w:val="24"/>
          <w:szCs w:val="24"/>
        </w:rPr>
        <w:t xml:space="preserve">The questionnaire was </w:t>
      </w:r>
      <w:r w:rsidR="004E0600" w:rsidRPr="00BC2C95">
        <w:rPr>
          <w:rFonts w:ascii="Arial" w:hAnsi="Arial" w:cs="Arial"/>
          <w:sz w:val="24"/>
          <w:szCs w:val="24"/>
        </w:rPr>
        <w:t xml:space="preserve">initially </w:t>
      </w:r>
      <w:r w:rsidR="009D6354" w:rsidRPr="00BC2C95">
        <w:rPr>
          <w:rFonts w:ascii="Arial" w:hAnsi="Arial" w:cs="Arial"/>
          <w:sz w:val="24"/>
          <w:szCs w:val="24"/>
        </w:rPr>
        <w:t>open from 22</w:t>
      </w:r>
      <w:r w:rsidR="009D6354" w:rsidRPr="00BC2C95">
        <w:rPr>
          <w:rFonts w:ascii="Arial" w:hAnsi="Arial" w:cs="Arial"/>
          <w:sz w:val="24"/>
          <w:szCs w:val="24"/>
          <w:vertAlign w:val="superscript"/>
        </w:rPr>
        <w:t>nd</w:t>
      </w:r>
      <w:r w:rsidR="009D6354" w:rsidRPr="00BC2C95">
        <w:rPr>
          <w:rFonts w:ascii="Arial" w:hAnsi="Arial" w:cs="Arial"/>
          <w:sz w:val="24"/>
          <w:szCs w:val="24"/>
        </w:rPr>
        <w:t xml:space="preserve"> December 2020 to </w:t>
      </w:r>
      <w:r w:rsidR="00FD77DB" w:rsidRPr="00BC2C95">
        <w:rPr>
          <w:rFonts w:ascii="Arial" w:hAnsi="Arial" w:cs="Arial"/>
          <w:sz w:val="24"/>
          <w:szCs w:val="24"/>
        </w:rPr>
        <w:t>24</w:t>
      </w:r>
      <w:r w:rsidR="00FD77DB" w:rsidRPr="00BC2C95">
        <w:rPr>
          <w:rFonts w:ascii="Arial" w:hAnsi="Arial" w:cs="Arial"/>
          <w:sz w:val="24"/>
          <w:szCs w:val="24"/>
          <w:vertAlign w:val="superscript"/>
        </w:rPr>
        <w:t>th</w:t>
      </w:r>
      <w:r w:rsidR="00FD77DB" w:rsidRPr="00BC2C95">
        <w:rPr>
          <w:rFonts w:ascii="Arial" w:hAnsi="Arial" w:cs="Arial"/>
          <w:sz w:val="24"/>
          <w:szCs w:val="24"/>
        </w:rPr>
        <w:t xml:space="preserve"> January 2021</w:t>
      </w:r>
      <w:r w:rsidR="00340461" w:rsidRPr="00BC2C95">
        <w:rPr>
          <w:rFonts w:ascii="Arial" w:hAnsi="Arial" w:cs="Arial"/>
          <w:sz w:val="24"/>
          <w:szCs w:val="24"/>
        </w:rPr>
        <w:t xml:space="preserve">. The </w:t>
      </w:r>
      <w:r w:rsidR="00C76792" w:rsidRPr="00BC2C95">
        <w:rPr>
          <w:rFonts w:ascii="Arial" w:hAnsi="Arial" w:cs="Arial"/>
          <w:sz w:val="24"/>
          <w:szCs w:val="24"/>
        </w:rPr>
        <w:t xml:space="preserve">closing date was </w:t>
      </w:r>
      <w:r w:rsidR="009E0771" w:rsidRPr="00BC2C95">
        <w:rPr>
          <w:rFonts w:ascii="Arial" w:hAnsi="Arial" w:cs="Arial"/>
          <w:sz w:val="24"/>
          <w:szCs w:val="24"/>
        </w:rPr>
        <w:t xml:space="preserve">further </w:t>
      </w:r>
      <w:r w:rsidR="00C76792" w:rsidRPr="00BC2C95">
        <w:rPr>
          <w:rFonts w:ascii="Arial" w:hAnsi="Arial" w:cs="Arial"/>
          <w:sz w:val="24"/>
          <w:szCs w:val="24"/>
        </w:rPr>
        <w:t xml:space="preserve">extended </w:t>
      </w:r>
      <w:r w:rsidR="000F5489" w:rsidRPr="00BC2C95">
        <w:rPr>
          <w:rFonts w:ascii="Arial" w:hAnsi="Arial" w:cs="Arial"/>
          <w:sz w:val="24"/>
          <w:szCs w:val="24"/>
        </w:rPr>
        <w:t xml:space="preserve">until </w:t>
      </w:r>
      <w:r w:rsidR="005322D8" w:rsidRPr="00BC2C95">
        <w:rPr>
          <w:rFonts w:ascii="Arial" w:hAnsi="Arial" w:cs="Arial"/>
          <w:sz w:val="24"/>
          <w:szCs w:val="24"/>
        </w:rPr>
        <w:t>15</w:t>
      </w:r>
      <w:r w:rsidR="005322D8" w:rsidRPr="00BC2C95">
        <w:rPr>
          <w:rFonts w:ascii="Arial" w:hAnsi="Arial" w:cs="Arial"/>
          <w:sz w:val="24"/>
          <w:szCs w:val="24"/>
          <w:vertAlign w:val="superscript"/>
        </w:rPr>
        <w:t>th</w:t>
      </w:r>
      <w:r w:rsidR="005322D8" w:rsidRPr="00BC2C95">
        <w:rPr>
          <w:rFonts w:ascii="Arial" w:hAnsi="Arial" w:cs="Arial"/>
          <w:sz w:val="24"/>
          <w:szCs w:val="24"/>
        </w:rPr>
        <w:t xml:space="preserve"> February 2021</w:t>
      </w:r>
      <w:r w:rsidR="00C76792" w:rsidRPr="00BC2C95">
        <w:rPr>
          <w:rFonts w:ascii="Arial" w:hAnsi="Arial" w:cs="Arial"/>
          <w:sz w:val="24"/>
          <w:szCs w:val="24"/>
        </w:rPr>
        <w:t xml:space="preserve"> to </w:t>
      </w:r>
      <w:r w:rsidR="00E92620" w:rsidRPr="00BC2C95">
        <w:rPr>
          <w:rFonts w:ascii="Arial" w:hAnsi="Arial" w:cs="Arial"/>
          <w:sz w:val="24"/>
          <w:szCs w:val="24"/>
        </w:rPr>
        <w:t xml:space="preserve">encourage participation </w:t>
      </w:r>
      <w:r w:rsidR="00387EEA" w:rsidRPr="00BC2C95">
        <w:rPr>
          <w:rFonts w:ascii="Arial" w:hAnsi="Arial" w:cs="Arial"/>
          <w:sz w:val="24"/>
          <w:szCs w:val="24"/>
        </w:rPr>
        <w:t xml:space="preserve">and </w:t>
      </w:r>
      <w:r w:rsidR="001125DB" w:rsidRPr="00BC2C95">
        <w:rPr>
          <w:rFonts w:ascii="Arial" w:hAnsi="Arial" w:cs="Arial"/>
          <w:sz w:val="24"/>
          <w:szCs w:val="24"/>
        </w:rPr>
        <w:t xml:space="preserve">in acknowledgement of the increased </w:t>
      </w:r>
      <w:r w:rsidR="00387EEA" w:rsidRPr="00BC2C95">
        <w:rPr>
          <w:rFonts w:ascii="Arial" w:hAnsi="Arial" w:cs="Arial"/>
          <w:sz w:val="24"/>
          <w:szCs w:val="24"/>
        </w:rPr>
        <w:t>work pres</w:t>
      </w:r>
      <w:r w:rsidR="00C811F4" w:rsidRPr="00BC2C95">
        <w:rPr>
          <w:rFonts w:ascii="Arial" w:hAnsi="Arial" w:cs="Arial"/>
          <w:sz w:val="24"/>
          <w:szCs w:val="24"/>
        </w:rPr>
        <w:t xml:space="preserve">sures </w:t>
      </w:r>
      <w:r w:rsidR="00D7102F" w:rsidRPr="00BC2C95">
        <w:rPr>
          <w:rFonts w:ascii="Arial" w:hAnsi="Arial" w:cs="Arial"/>
          <w:sz w:val="24"/>
          <w:szCs w:val="24"/>
        </w:rPr>
        <w:t xml:space="preserve">all healthcare </w:t>
      </w:r>
      <w:r w:rsidR="00387621" w:rsidRPr="00BC2C95">
        <w:rPr>
          <w:rFonts w:ascii="Arial" w:hAnsi="Arial" w:cs="Arial"/>
          <w:sz w:val="24"/>
          <w:szCs w:val="24"/>
        </w:rPr>
        <w:lastRenderedPageBreak/>
        <w:t xml:space="preserve">staff and </w:t>
      </w:r>
      <w:r w:rsidR="00D7102F" w:rsidRPr="00BC2C95">
        <w:rPr>
          <w:rFonts w:ascii="Arial" w:hAnsi="Arial" w:cs="Arial"/>
          <w:sz w:val="24"/>
          <w:szCs w:val="24"/>
        </w:rPr>
        <w:t>prov</w:t>
      </w:r>
      <w:r w:rsidR="00E92620" w:rsidRPr="00BC2C95">
        <w:rPr>
          <w:rFonts w:ascii="Arial" w:hAnsi="Arial" w:cs="Arial"/>
          <w:sz w:val="24"/>
          <w:szCs w:val="24"/>
        </w:rPr>
        <w:t xml:space="preserve">iders were facing </w:t>
      </w:r>
      <w:r w:rsidR="00782C98" w:rsidRPr="00BC2C95">
        <w:rPr>
          <w:rFonts w:ascii="Arial" w:hAnsi="Arial" w:cs="Arial"/>
          <w:sz w:val="24"/>
          <w:szCs w:val="24"/>
        </w:rPr>
        <w:t xml:space="preserve">as a result of </w:t>
      </w:r>
      <w:r w:rsidR="00C811F4" w:rsidRPr="00BC2C95">
        <w:rPr>
          <w:rFonts w:ascii="Arial" w:hAnsi="Arial" w:cs="Arial"/>
          <w:sz w:val="24"/>
          <w:szCs w:val="24"/>
        </w:rPr>
        <w:t xml:space="preserve">the </w:t>
      </w:r>
      <w:r w:rsidR="00220830" w:rsidRPr="00BC2C95">
        <w:rPr>
          <w:rFonts w:ascii="Arial" w:hAnsi="Arial" w:cs="Arial"/>
          <w:sz w:val="24"/>
          <w:szCs w:val="24"/>
        </w:rPr>
        <w:t xml:space="preserve">ongoing </w:t>
      </w:r>
      <w:r w:rsidR="00F5621A" w:rsidRPr="00BC2C95">
        <w:rPr>
          <w:rFonts w:ascii="Arial" w:hAnsi="Arial" w:cs="Arial"/>
          <w:sz w:val="24"/>
          <w:szCs w:val="24"/>
        </w:rPr>
        <w:t>Coronavirus (COVID-19) pandemic</w:t>
      </w:r>
      <w:r w:rsidR="00220830" w:rsidRPr="00BC2C95">
        <w:rPr>
          <w:rFonts w:ascii="Arial" w:hAnsi="Arial" w:cs="Arial"/>
          <w:sz w:val="24"/>
          <w:szCs w:val="24"/>
        </w:rPr>
        <w:t>.</w:t>
      </w:r>
      <w:r w:rsidR="006022B6" w:rsidRPr="00BC2C95">
        <w:rPr>
          <w:rFonts w:ascii="Arial" w:hAnsi="Arial" w:cs="Arial"/>
          <w:sz w:val="24"/>
          <w:szCs w:val="24"/>
        </w:rPr>
        <w:t xml:space="preserve"> </w:t>
      </w:r>
      <w:r w:rsidR="000F5489" w:rsidRPr="00BC2C95">
        <w:rPr>
          <w:rFonts w:ascii="Arial" w:hAnsi="Arial" w:cs="Arial"/>
          <w:sz w:val="24"/>
          <w:szCs w:val="24"/>
        </w:rPr>
        <w:t>T</w:t>
      </w:r>
      <w:r w:rsidRPr="00BC2C95">
        <w:rPr>
          <w:rFonts w:ascii="Arial" w:hAnsi="Arial" w:cs="Arial"/>
          <w:sz w:val="24"/>
          <w:szCs w:val="24"/>
        </w:rPr>
        <w:t xml:space="preserve">he results are summarised below.  </w:t>
      </w:r>
    </w:p>
    <w:p w14:paraId="6BC64DA1" w14:textId="77777777" w:rsidR="006022B6" w:rsidRDefault="006022B6" w:rsidP="00DC54F7">
      <w:pPr>
        <w:spacing w:after="0" w:line="240" w:lineRule="auto"/>
        <w:jc w:val="both"/>
        <w:rPr>
          <w:rFonts w:ascii="Arial" w:hAnsi="Arial" w:cs="Arial"/>
        </w:rPr>
      </w:pPr>
    </w:p>
    <w:p w14:paraId="3FE5D9C4" w14:textId="3AAE4C71" w:rsidR="004654D5" w:rsidRPr="00BC2C95" w:rsidRDefault="00464990" w:rsidP="00DC54F7">
      <w:pPr>
        <w:spacing w:after="0" w:line="240" w:lineRule="auto"/>
        <w:jc w:val="both"/>
        <w:rPr>
          <w:rFonts w:ascii="Arial" w:hAnsi="Arial" w:cs="Arial"/>
          <w:sz w:val="24"/>
          <w:szCs w:val="24"/>
        </w:rPr>
      </w:pPr>
      <w:r w:rsidRPr="00BC2C95">
        <w:rPr>
          <w:rFonts w:ascii="Arial" w:hAnsi="Arial" w:cs="Arial"/>
          <w:sz w:val="24"/>
          <w:szCs w:val="24"/>
        </w:rPr>
        <w:t xml:space="preserve">There is only one </w:t>
      </w:r>
      <w:r w:rsidR="004654D5" w:rsidRPr="00BC2C95">
        <w:rPr>
          <w:rFonts w:ascii="Arial" w:hAnsi="Arial" w:cs="Arial"/>
          <w:sz w:val="24"/>
          <w:szCs w:val="24"/>
        </w:rPr>
        <w:t>dispensing practice in</w:t>
      </w:r>
      <w:r w:rsidRPr="00BC2C95">
        <w:rPr>
          <w:rFonts w:ascii="Arial" w:hAnsi="Arial" w:cs="Arial"/>
          <w:sz w:val="24"/>
          <w:szCs w:val="24"/>
        </w:rPr>
        <w:t xml:space="preserve"> Cardiff and Vale University Health Board</w:t>
      </w:r>
      <w:r w:rsidR="008763FC" w:rsidRPr="00BC2C95">
        <w:rPr>
          <w:rFonts w:ascii="Arial" w:hAnsi="Arial" w:cs="Arial"/>
          <w:sz w:val="24"/>
          <w:szCs w:val="24"/>
        </w:rPr>
        <w:t xml:space="preserve">. The dispensing practice </w:t>
      </w:r>
      <w:r w:rsidR="000369B9" w:rsidRPr="00BC2C95">
        <w:rPr>
          <w:rFonts w:ascii="Arial" w:hAnsi="Arial" w:cs="Arial"/>
          <w:sz w:val="24"/>
          <w:szCs w:val="24"/>
        </w:rPr>
        <w:t>responded to the questionnaire</w:t>
      </w:r>
      <w:r w:rsidR="00617E8A" w:rsidRPr="00BC2C95">
        <w:rPr>
          <w:rFonts w:ascii="Arial" w:hAnsi="Arial" w:cs="Arial"/>
          <w:sz w:val="24"/>
          <w:szCs w:val="24"/>
        </w:rPr>
        <w:t xml:space="preserve"> giving </w:t>
      </w:r>
      <w:r w:rsidR="004654D5" w:rsidRPr="00BC2C95">
        <w:rPr>
          <w:rFonts w:ascii="Arial" w:hAnsi="Arial" w:cs="Arial"/>
          <w:sz w:val="24"/>
          <w:szCs w:val="24"/>
        </w:rPr>
        <w:t xml:space="preserve">a response rate of </w:t>
      </w:r>
      <w:r w:rsidR="007D6791" w:rsidRPr="00BC2C95">
        <w:rPr>
          <w:rFonts w:ascii="Arial" w:hAnsi="Arial" w:cs="Arial"/>
          <w:sz w:val="24"/>
          <w:szCs w:val="24"/>
        </w:rPr>
        <w:t>100%</w:t>
      </w:r>
      <w:r w:rsidR="004654D5" w:rsidRPr="00BC2C95">
        <w:rPr>
          <w:rFonts w:ascii="Arial" w:hAnsi="Arial" w:cs="Arial"/>
          <w:sz w:val="24"/>
          <w:szCs w:val="24"/>
        </w:rPr>
        <w:t xml:space="preserve">.  </w:t>
      </w:r>
      <w:r w:rsidR="00C61BC8" w:rsidRPr="00BC2C95">
        <w:rPr>
          <w:rFonts w:ascii="Arial" w:hAnsi="Arial" w:cs="Arial"/>
          <w:sz w:val="24"/>
          <w:szCs w:val="24"/>
        </w:rPr>
        <w:t xml:space="preserve">Cardiff and Vale University Health Board </w:t>
      </w:r>
      <w:r w:rsidR="004654D5" w:rsidRPr="00BC2C95">
        <w:rPr>
          <w:rFonts w:ascii="Arial" w:hAnsi="Arial" w:cs="Arial"/>
          <w:sz w:val="24"/>
          <w:szCs w:val="24"/>
        </w:rPr>
        <w:t xml:space="preserve">is grateful for the support of </w:t>
      </w:r>
      <w:r w:rsidR="00E06796" w:rsidRPr="00BC2C95">
        <w:rPr>
          <w:rFonts w:ascii="Arial" w:hAnsi="Arial" w:cs="Arial"/>
          <w:sz w:val="24"/>
          <w:szCs w:val="24"/>
        </w:rPr>
        <w:t xml:space="preserve">the Medical Secretary </w:t>
      </w:r>
      <w:r w:rsidR="00472CDA" w:rsidRPr="00BC2C95">
        <w:rPr>
          <w:rFonts w:ascii="Arial" w:hAnsi="Arial" w:cs="Arial"/>
          <w:sz w:val="24"/>
          <w:szCs w:val="24"/>
        </w:rPr>
        <w:t>of</w:t>
      </w:r>
      <w:r w:rsidR="00E06796" w:rsidRPr="00BC2C95">
        <w:rPr>
          <w:rFonts w:ascii="Arial" w:hAnsi="Arial" w:cs="Arial"/>
          <w:sz w:val="24"/>
          <w:szCs w:val="24"/>
        </w:rPr>
        <w:t xml:space="preserve"> the Bro Taf Local Medical C</w:t>
      </w:r>
      <w:r w:rsidR="003849D3" w:rsidRPr="00BC2C95">
        <w:rPr>
          <w:rFonts w:ascii="Arial" w:hAnsi="Arial" w:cs="Arial"/>
          <w:sz w:val="24"/>
          <w:szCs w:val="24"/>
        </w:rPr>
        <w:t xml:space="preserve">ommittee </w:t>
      </w:r>
      <w:r w:rsidR="004654D5" w:rsidRPr="00BC2C95">
        <w:rPr>
          <w:rFonts w:ascii="Arial" w:hAnsi="Arial" w:cs="Arial"/>
          <w:sz w:val="24"/>
          <w:szCs w:val="24"/>
        </w:rPr>
        <w:t xml:space="preserve">in encouraging </w:t>
      </w:r>
      <w:r w:rsidR="000A2222" w:rsidRPr="00BC2C95">
        <w:rPr>
          <w:rFonts w:ascii="Arial" w:hAnsi="Arial" w:cs="Arial"/>
          <w:sz w:val="24"/>
          <w:szCs w:val="24"/>
        </w:rPr>
        <w:t xml:space="preserve">the </w:t>
      </w:r>
      <w:r w:rsidR="004654D5" w:rsidRPr="00BC2C95">
        <w:rPr>
          <w:rFonts w:ascii="Arial" w:hAnsi="Arial" w:cs="Arial"/>
          <w:sz w:val="24"/>
          <w:szCs w:val="24"/>
        </w:rPr>
        <w:t>contractor to complete the questionnaire.</w:t>
      </w:r>
    </w:p>
    <w:p w14:paraId="5029794C" w14:textId="621F4867" w:rsidR="00624146" w:rsidRPr="00BC2C95" w:rsidRDefault="00624146" w:rsidP="00DC54F7">
      <w:pPr>
        <w:spacing w:after="0" w:line="240" w:lineRule="auto"/>
        <w:jc w:val="both"/>
        <w:rPr>
          <w:rFonts w:ascii="Arial" w:hAnsi="Arial" w:cs="Arial"/>
          <w:sz w:val="24"/>
          <w:szCs w:val="24"/>
        </w:rPr>
      </w:pPr>
    </w:p>
    <w:p w14:paraId="100F3B39" w14:textId="1CA8B46C" w:rsidR="00C61BC8" w:rsidRPr="00BC2C95" w:rsidRDefault="00624146" w:rsidP="00DC54F7">
      <w:pPr>
        <w:spacing w:after="0" w:line="240" w:lineRule="auto"/>
        <w:jc w:val="both"/>
        <w:rPr>
          <w:rFonts w:ascii="Arial" w:eastAsia="Times New Roman" w:hAnsi="Arial" w:cs="Arial"/>
          <w:b/>
          <w:bCs/>
          <w:color w:val="333333"/>
          <w:sz w:val="24"/>
          <w:szCs w:val="24"/>
        </w:rPr>
      </w:pPr>
      <w:r w:rsidRPr="00BC2C95">
        <w:rPr>
          <w:rFonts w:ascii="Arial" w:hAnsi="Arial" w:cs="Arial"/>
          <w:sz w:val="24"/>
          <w:szCs w:val="24"/>
        </w:rPr>
        <w:t>The dispensing</w:t>
      </w:r>
      <w:r w:rsidR="000A2222" w:rsidRPr="00BC2C95">
        <w:rPr>
          <w:rFonts w:ascii="Arial" w:hAnsi="Arial" w:cs="Arial"/>
          <w:sz w:val="24"/>
          <w:szCs w:val="24"/>
        </w:rPr>
        <w:t xml:space="preserve"> GP</w:t>
      </w:r>
      <w:r w:rsidRPr="00BC2C95">
        <w:rPr>
          <w:rFonts w:ascii="Arial" w:hAnsi="Arial" w:cs="Arial"/>
          <w:sz w:val="24"/>
          <w:szCs w:val="24"/>
        </w:rPr>
        <w:t xml:space="preserve"> practice</w:t>
      </w:r>
      <w:r w:rsidR="00D73ADD" w:rsidRPr="00BC2C95">
        <w:rPr>
          <w:rFonts w:ascii="Arial" w:hAnsi="Arial" w:cs="Arial"/>
          <w:sz w:val="24"/>
          <w:szCs w:val="24"/>
        </w:rPr>
        <w:t>’s opening hours are limited to Monday and Thursday only</w:t>
      </w:r>
      <w:r w:rsidR="00A36CE8" w:rsidRPr="00BC2C95">
        <w:rPr>
          <w:rFonts w:ascii="Arial" w:hAnsi="Arial" w:cs="Arial"/>
          <w:sz w:val="24"/>
          <w:szCs w:val="24"/>
        </w:rPr>
        <w:t>.</w:t>
      </w:r>
      <w:r w:rsidR="00A36CE8" w:rsidRPr="00BC2C95">
        <w:rPr>
          <w:rFonts w:ascii="Arial" w:eastAsia="Times New Roman" w:hAnsi="Arial" w:cs="Arial"/>
          <w:b/>
          <w:bCs/>
          <w:color w:val="333333"/>
          <w:sz w:val="24"/>
          <w:szCs w:val="24"/>
        </w:rPr>
        <w:t xml:space="preserve"> </w:t>
      </w:r>
      <w:r w:rsidR="00115C82" w:rsidRPr="00BC2C95">
        <w:rPr>
          <w:rFonts w:ascii="Arial" w:hAnsi="Arial" w:cs="Arial"/>
          <w:sz w:val="24"/>
          <w:szCs w:val="24"/>
        </w:rPr>
        <w:t xml:space="preserve">The dispensing </w:t>
      </w:r>
      <w:r w:rsidR="00FB3BD5" w:rsidRPr="00BC2C95">
        <w:rPr>
          <w:rFonts w:ascii="Arial" w:hAnsi="Arial" w:cs="Arial"/>
          <w:sz w:val="24"/>
          <w:szCs w:val="24"/>
        </w:rPr>
        <w:t xml:space="preserve">practice </w:t>
      </w:r>
      <w:r w:rsidR="00ED15E6" w:rsidRPr="00BC2C95">
        <w:rPr>
          <w:rFonts w:ascii="Arial" w:hAnsi="Arial" w:cs="Arial"/>
          <w:sz w:val="24"/>
          <w:szCs w:val="24"/>
        </w:rPr>
        <w:t>provides a dispensing service</w:t>
      </w:r>
      <w:r w:rsidR="000A2222" w:rsidRPr="00BC2C95">
        <w:rPr>
          <w:rFonts w:ascii="Arial" w:hAnsi="Arial" w:cs="Arial"/>
          <w:sz w:val="24"/>
          <w:szCs w:val="24"/>
        </w:rPr>
        <w:t>,</w:t>
      </w:r>
      <w:r w:rsidR="00ED15E6" w:rsidRPr="00BC2C95">
        <w:rPr>
          <w:rFonts w:ascii="Arial" w:hAnsi="Arial" w:cs="Arial"/>
          <w:sz w:val="24"/>
          <w:szCs w:val="24"/>
        </w:rPr>
        <w:t xml:space="preserve"> </w:t>
      </w:r>
      <w:r w:rsidR="00877D31" w:rsidRPr="00BC2C95">
        <w:rPr>
          <w:rFonts w:ascii="Arial" w:hAnsi="Arial" w:cs="Arial"/>
          <w:sz w:val="24"/>
          <w:szCs w:val="24"/>
        </w:rPr>
        <w:t xml:space="preserve">as well as a delivery service </w:t>
      </w:r>
      <w:r w:rsidR="00940A6B" w:rsidRPr="00BC2C95">
        <w:rPr>
          <w:rFonts w:ascii="Arial" w:hAnsi="Arial" w:cs="Arial"/>
          <w:sz w:val="24"/>
          <w:szCs w:val="24"/>
        </w:rPr>
        <w:t>for dispensed medicines</w:t>
      </w:r>
      <w:r w:rsidR="000C09B3" w:rsidRPr="00BC2C95">
        <w:rPr>
          <w:rFonts w:ascii="Arial" w:hAnsi="Arial" w:cs="Arial"/>
          <w:sz w:val="24"/>
          <w:szCs w:val="24"/>
        </w:rPr>
        <w:t>,</w:t>
      </w:r>
      <w:r w:rsidR="00940A6B" w:rsidRPr="00BC2C95">
        <w:rPr>
          <w:rFonts w:ascii="Arial" w:hAnsi="Arial" w:cs="Arial"/>
          <w:sz w:val="24"/>
          <w:szCs w:val="24"/>
        </w:rPr>
        <w:t xml:space="preserve"> </w:t>
      </w:r>
      <w:r w:rsidR="00AE1AFB" w:rsidRPr="00BC2C95">
        <w:rPr>
          <w:rFonts w:ascii="Arial" w:hAnsi="Arial" w:cs="Arial"/>
          <w:sz w:val="24"/>
          <w:szCs w:val="24"/>
        </w:rPr>
        <w:t xml:space="preserve">to </w:t>
      </w:r>
      <w:r w:rsidR="003F3D63" w:rsidRPr="00BC2C95">
        <w:rPr>
          <w:rFonts w:ascii="Arial" w:hAnsi="Arial" w:cs="Arial"/>
          <w:sz w:val="24"/>
          <w:szCs w:val="24"/>
        </w:rPr>
        <w:t xml:space="preserve">the </w:t>
      </w:r>
      <w:r w:rsidR="00AE1AFB" w:rsidRPr="00BC2C95">
        <w:rPr>
          <w:rFonts w:ascii="Arial" w:hAnsi="Arial" w:cs="Arial"/>
          <w:sz w:val="24"/>
          <w:szCs w:val="24"/>
        </w:rPr>
        <w:t xml:space="preserve">students living in </w:t>
      </w:r>
      <w:r w:rsidR="00ED15E6" w:rsidRPr="00BC2C95">
        <w:rPr>
          <w:rFonts w:ascii="Arial" w:eastAsia="Times New Roman" w:hAnsi="Arial" w:cs="Arial"/>
          <w:sz w:val="24"/>
          <w:szCs w:val="24"/>
        </w:rPr>
        <w:t>Atlantic College</w:t>
      </w:r>
      <w:r w:rsidR="00422885" w:rsidRPr="00BC2C95">
        <w:rPr>
          <w:rFonts w:ascii="Arial" w:eastAsia="Times New Roman" w:hAnsi="Arial" w:cs="Arial"/>
          <w:sz w:val="24"/>
          <w:szCs w:val="24"/>
        </w:rPr>
        <w:t xml:space="preserve">, </w:t>
      </w:r>
      <w:r w:rsidR="00ED15E6" w:rsidRPr="00BC2C95">
        <w:rPr>
          <w:rFonts w:ascii="Arial" w:eastAsia="Times New Roman" w:hAnsi="Arial" w:cs="Arial"/>
          <w:sz w:val="24"/>
          <w:szCs w:val="24"/>
        </w:rPr>
        <w:t>St. Donats</w:t>
      </w:r>
      <w:r w:rsidR="00F04E57" w:rsidRPr="00BC2C95">
        <w:rPr>
          <w:rFonts w:ascii="Arial" w:eastAsia="Times New Roman" w:hAnsi="Arial" w:cs="Arial"/>
          <w:sz w:val="24"/>
          <w:szCs w:val="24"/>
        </w:rPr>
        <w:t xml:space="preserve">. </w:t>
      </w:r>
      <w:r w:rsidR="000A2222" w:rsidRPr="00BC2C95">
        <w:rPr>
          <w:rFonts w:ascii="Arial" w:eastAsia="Times New Roman" w:hAnsi="Arial" w:cs="Arial"/>
          <w:sz w:val="24"/>
          <w:szCs w:val="24"/>
        </w:rPr>
        <w:t xml:space="preserve">The dispensing GP practice </w:t>
      </w:r>
      <w:r w:rsidR="00471222" w:rsidRPr="00BC2C95">
        <w:rPr>
          <w:rFonts w:ascii="Arial" w:eastAsia="Times New Roman" w:hAnsi="Arial" w:cs="Arial"/>
          <w:sz w:val="24"/>
          <w:szCs w:val="24"/>
        </w:rPr>
        <w:t xml:space="preserve">does not dispense </w:t>
      </w:r>
      <w:r w:rsidR="003F3D63" w:rsidRPr="00BC2C95">
        <w:rPr>
          <w:rFonts w:ascii="Arial" w:hAnsi="Arial" w:cs="Arial"/>
          <w:sz w:val="24"/>
          <w:szCs w:val="24"/>
        </w:rPr>
        <w:t xml:space="preserve">appliances from the premises. </w:t>
      </w:r>
      <w:r w:rsidR="005B713F" w:rsidRPr="00BC2C95">
        <w:rPr>
          <w:rFonts w:ascii="Arial" w:hAnsi="Arial" w:cs="Arial"/>
          <w:sz w:val="24"/>
          <w:szCs w:val="24"/>
        </w:rPr>
        <w:t>The o</w:t>
      </w:r>
      <w:r w:rsidR="00680C7D" w:rsidRPr="00BC2C95">
        <w:rPr>
          <w:rFonts w:ascii="Arial" w:hAnsi="Arial" w:cs="Arial"/>
          <w:sz w:val="24"/>
          <w:szCs w:val="24"/>
        </w:rPr>
        <w:t xml:space="preserve">ther dispensing related services the practice provides </w:t>
      </w:r>
      <w:r w:rsidR="005B713F" w:rsidRPr="00BC2C95">
        <w:rPr>
          <w:rFonts w:ascii="Arial" w:hAnsi="Arial" w:cs="Arial"/>
          <w:sz w:val="24"/>
          <w:szCs w:val="24"/>
        </w:rPr>
        <w:t xml:space="preserve">is </w:t>
      </w:r>
      <w:r w:rsidR="00471222" w:rsidRPr="00BC2C95">
        <w:rPr>
          <w:rFonts w:ascii="Arial" w:hAnsi="Arial" w:cs="Arial"/>
          <w:sz w:val="24"/>
          <w:szCs w:val="24"/>
        </w:rPr>
        <w:t xml:space="preserve">the </w:t>
      </w:r>
      <w:r w:rsidR="00A36CE8" w:rsidRPr="00BC2C95">
        <w:rPr>
          <w:rFonts w:ascii="Arial" w:hAnsi="Arial" w:cs="Arial"/>
          <w:sz w:val="24"/>
          <w:szCs w:val="24"/>
        </w:rPr>
        <w:t xml:space="preserve">disposal of patient sharps. </w:t>
      </w:r>
      <w:r w:rsidR="00EC3960" w:rsidRPr="006C7E47">
        <w:rPr>
          <w:rFonts w:ascii="Arial" w:eastAsia="Times New Roman" w:hAnsi="Arial" w:cs="Arial"/>
          <w:sz w:val="24"/>
          <w:szCs w:val="24"/>
        </w:rPr>
        <w:t xml:space="preserve">The only </w:t>
      </w:r>
      <w:r w:rsidR="00890AA9" w:rsidRPr="006C7E47">
        <w:rPr>
          <w:rFonts w:ascii="Arial" w:eastAsia="Times New Roman" w:hAnsi="Arial" w:cs="Arial"/>
          <w:sz w:val="24"/>
          <w:szCs w:val="24"/>
        </w:rPr>
        <w:t>language available to patients from staff at the premise</w:t>
      </w:r>
      <w:r w:rsidR="00A62F54" w:rsidRPr="006C7E47">
        <w:rPr>
          <w:rFonts w:ascii="Arial" w:eastAsia="Times New Roman" w:hAnsi="Arial" w:cs="Arial"/>
          <w:sz w:val="24"/>
          <w:szCs w:val="24"/>
        </w:rPr>
        <w:t>,</w:t>
      </w:r>
      <w:r w:rsidR="00890AA9" w:rsidRPr="006C7E47">
        <w:rPr>
          <w:rFonts w:ascii="Arial" w:eastAsia="Times New Roman" w:hAnsi="Arial" w:cs="Arial"/>
          <w:sz w:val="24"/>
          <w:szCs w:val="24"/>
        </w:rPr>
        <w:t xml:space="preserve"> </w:t>
      </w:r>
      <w:r w:rsidR="00471222" w:rsidRPr="006C7E47">
        <w:rPr>
          <w:rFonts w:ascii="Arial" w:eastAsia="Times New Roman" w:hAnsi="Arial" w:cs="Arial"/>
          <w:sz w:val="24"/>
          <w:szCs w:val="24"/>
        </w:rPr>
        <w:t xml:space="preserve">on a daily basis </w:t>
      </w:r>
      <w:r w:rsidR="00EC3960" w:rsidRPr="006C7E47">
        <w:rPr>
          <w:rFonts w:ascii="Arial" w:eastAsia="Times New Roman" w:hAnsi="Arial" w:cs="Arial"/>
          <w:sz w:val="24"/>
          <w:szCs w:val="24"/>
        </w:rPr>
        <w:t xml:space="preserve">is English. </w:t>
      </w:r>
      <w:r w:rsidR="0061027E" w:rsidRPr="006C7E47">
        <w:rPr>
          <w:rFonts w:ascii="Arial" w:eastAsia="Times New Roman" w:hAnsi="Arial" w:cs="Arial"/>
          <w:sz w:val="24"/>
          <w:szCs w:val="24"/>
        </w:rPr>
        <w:t xml:space="preserve">The practice </w:t>
      </w:r>
      <w:r w:rsidR="00471222" w:rsidRPr="006C7E47">
        <w:rPr>
          <w:rFonts w:ascii="Arial" w:eastAsia="Times New Roman" w:hAnsi="Arial" w:cs="Arial"/>
          <w:sz w:val="24"/>
          <w:szCs w:val="24"/>
        </w:rPr>
        <w:t xml:space="preserve">confirmed </w:t>
      </w:r>
      <w:r w:rsidR="001F49D6" w:rsidRPr="006C7E47">
        <w:rPr>
          <w:rFonts w:ascii="Arial" w:eastAsia="Times New Roman" w:hAnsi="Arial" w:cs="Arial"/>
          <w:sz w:val="24"/>
          <w:szCs w:val="24"/>
        </w:rPr>
        <w:t xml:space="preserve">that </w:t>
      </w:r>
      <w:r w:rsidR="00471222" w:rsidRPr="006C7E47">
        <w:rPr>
          <w:rFonts w:ascii="Arial" w:eastAsia="Times New Roman" w:hAnsi="Arial" w:cs="Arial"/>
          <w:sz w:val="24"/>
          <w:szCs w:val="24"/>
        </w:rPr>
        <w:t xml:space="preserve">it </w:t>
      </w:r>
      <w:r w:rsidR="0061027E" w:rsidRPr="006C7E47">
        <w:rPr>
          <w:rFonts w:ascii="Arial" w:eastAsia="Times New Roman" w:hAnsi="Arial" w:cs="Arial"/>
          <w:sz w:val="24"/>
          <w:szCs w:val="24"/>
        </w:rPr>
        <w:t xml:space="preserve">has </w:t>
      </w:r>
      <w:r w:rsidR="00A34A52" w:rsidRPr="00BC2C95">
        <w:rPr>
          <w:rFonts w:ascii="Arial" w:eastAsia="Times New Roman" w:hAnsi="Arial" w:cs="Arial"/>
          <w:sz w:val="24"/>
          <w:szCs w:val="24"/>
        </w:rPr>
        <w:t xml:space="preserve">sufficient capacity within </w:t>
      </w:r>
      <w:r w:rsidR="0061027E" w:rsidRPr="00BC2C95">
        <w:rPr>
          <w:rFonts w:ascii="Arial" w:eastAsia="Times New Roman" w:hAnsi="Arial" w:cs="Arial"/>
          <w:sz w:val="24"/>
          <w:szCs w:val="24"/>
        </w:rPr>
        <w:t xml:space="preserve">its </w:t>
      </w:r>
      <w:r w:rsidR="00A34A52" w:rsidRPr="00BC2C95">
        <w:rPr>
          <w:rFonts w:ascii="Arial" w:eastAsia="Times New Roman" w:hAnsi="Arial" w:cs="Arial"/>
          <w:sz w:val="24"/>
          <w:szCs w:val="24"/>
        </w:rPr>
        <w:t xml:space="preserve">existing premises and staffing levels to manage </w:t>
      </w:r>
      <w:r w:rsidR="0013348D" w:rsidRPr="00BC2C95">
        <w:rPr>
          <w:rFonts w:ascii="Arial" w:eastAsia="Times New Roman" w:hAnsi="Arial" w:cs="Arial"/>
          <w:sz w:val="24"/>
          <w:szCs w:val="24"/>
        </w:rPr>
        <w:t>an</w:t>
      </w:r>
      <w:r w:rsidR="00A34A52" w:rsidRPr="00BC2C95">
        <w:rPr>
          <w:rFonts w:ascii="Arial" w:eastAsia="Times New Roman" w:hAnsi="Arial" w:cs="Arial"/>
          <w:sz w:val="24"/>
          <w:szCs w:val="24"/>
        </w:rPr>
        <w:t xml:space="preserve"> increase in demand in </w:t>
      </w:r>
      <w:r w:rsidR="0013348D" w:rsidRPr="00BC2C95">
        <w:rPr>
          <w:rFonts w:ascii="Arial" w:eastAsia="Times New Roman" w:hAnsi="Arial" w:cs="Arial"/>
          <w:sz w:val="24"/>
          <w:szCs w:val="24"/>
        </w:rPr>
        <w:t xml:space="preserve">its </w:t>
      </w:r>
      <w:r w:rsidR="00A34A52" w:rsidRPr="00BC2C95">
        <w:rPr>
          <w:rFonts w:ascii="Arial" w:eastAsia="Times New Roman" w:hAnsi="Arial" w:cs="Arial"/>
          <w:sz w:val="24"/>
          <w:szCs w:val="24"/>
        </w:rPr>
        <w:t>area</w:t>
      </w:r>
      <w:r w:rsidR="0013348D" w:rsidRPr="00BC2C95">
        <w:rPr>
          <w:rFonts w:ascii="Arial" w:eastAsia="Times New Roman" w:hAnsi="Arial" w:cs="Arial"/>
          <w:sz w:val="24"/>
          <w:szCs w:val="24"/>
        </w:rPr>
        <w:t xml:space="preserve"> if required. However, this would</w:t>
      </w:r>
      <w:r w:rsidR="000A2222" w:rsidRPr="00BC2C95">
        <w:rPr>
          <w:rFonts w:ascii="Arial" w:eastAsia="Times New Roman" w:hAnsi="Arial" w:cs="Arial"/>
          <w:sz w:val="24"/>
          <w:szCs w:val="24"/>
        </w:rPr>
        <w:t xml:space="preserve"> be </w:t>
      </w:r>
      <w:r w:rsidR="00AB5AB2" w:rsidRPr="00BC2C95">
        <w:rPr>
          <w:rFonts w:ascii="Arial" w:eastAsia="Times New Roman" w:hAnsi="Arial" w:cs="Arial"/>
          <w:sz w:val="24"/>
          <w:szCs w:val="24"/>
        </w:rPr>
        <w:t xml:space="preserve">dependent upon </w:t>
      </w:r>
      <w:r w:rsidR="00243ED1" w:rsidRPr="00BC2C95">
        <w:rPr>
          <w:rFonts w:ascii="Arial" w:eastAsia="Times New Roman" w:hAnsi="Arial" w:cs="Arial"/>
          <w:sz w:val="24"/>
          <w:szCs w:val="24"/>
        </w:rPr>
        <w:t xml:space="preserve">the terms set out in the </w:t>
      </w:r>
      <w:r w:rsidR="00612708" w:rsidRPr="00BC2C95">
        <w:rPr>
          <w:rFonts w:ascii="Arial" w:hAnsi="Arial" w:cs="Arial"/>
          <w:sz w:val="24"/>
          <w:szCs w:val="24"/>
        </w:rPr>
        <w:t>NHS (Pharmaceutical Services) (Wales) Regulations 2020</w:t>
      </w:r>
      <w:r w:rsidR="00607933" w:rsidRPr="00BC2C95">
        <w:rPr>
          <w:rFonts w:ascii="Arial" w:hAnsi="Arial" w:cs="Arial"/>
          <w:sz w:val="24"/>
          <w:szCs w:val="24"/>
        </w:rPr>
        <w:t>.</w:t>
      </w:r>
    </w:p>
    <w:p w14:paraId="78F3D0B3" w14:textId="77777777" w:rsidR="00C61BC8" w:rsidRPr="00A10850" w:rsidRDefault="00C61BC8" w:rsidP="00DC54F7">
      <w:pPr>
        <w:spacing w:after="0" w:line="240" w:lineRule="auto"/>
        <w:jc w:val="both"/>
        <w:rPr>
          <w:rFonts w:ascii="Arial" w:hAnsi="Arial" w:cs="Arial"/>
        </w:rPr>
      </w:pPr>
    </w:p>
    <w:p w14:paraId="3C79C9F6" w14:textId="77777777" w:rsidR="00D715E7" w:rsidRDefault="00D715E7" w:rsidP="00DC54F7">
      <w:pPr>
        <w:spacing w:after="0" w:line="240" w:lineRule="auto"/>
        <w:jc w:val="both"/>
        <w:rPr>
          <w:rFonts w:ascii="Arial" w:hAnsi="Arial" w:cs="Arial"/>
          <w:b/>
          <w:sz w:val="24"/>
          <w:szCs w:val="24"/>
        </w:rPr>
      </w:pPr>
    </w:p>
    <w:p w14:paraId="336271E4" w14:textId="2745C533" w:rsidR="00F90ED8" w:rsidRPr="00A10850" w:rsidRDefault="006F0A84" w:rsidP="00DC54F7">
      <w:pPr>
        <w:spacing w:after="0" w:line="240" w:lineRule="auto"/>
        <w:jc w:val="both"/>
        <w:rPr>
          <w:rFonts w:ascii="Arial" w:hAnsi="Arial" w:cs="Arial"/>
          <w:b/>
          <w:sz w:val="24"/>
          <w:szCs w:val="24"/>
        </w:rPr>
      </w:pPr>
      <w:r w:rsidRPr="00A10850">
        <w:rPr>
          <w:rFonts w:ascii="Arial" w:hAnsi="Arial" w:cs="Arial"/>
          <w:b/>
          <w:sz w:val="24"/>
          <w:szCs w:val="24"/>
        </w:rPr>
        <w:t>1.</w:t>
      </w:r>
      <w:r w:rsidR="003C4215" w:rsidRPr="00A10850">
        <w:rPr>
          <w:rFonts w:ascii="Arial" w:hAnsi="Arial" w:cs="Arial"/>
          <w:b/>
          <w:sz w:val="24"/>
          <w:szCs w:val="24"/>
        </w:rPr>
        <w:t>5</w:t>
      </w:r>
      <w:r w:rsidRPr="00A10850">
        <w:rPr>
          <w:rFonts w:ascii="Arial" w:hAnsi="Arial" w:cs="Arial"/>
          <w:b/>
          <w:sz w:val="24"/>
          <w:szCs w:val="24"/>
        </w:rPr>
        <w:t xml:space="preserve">.5 </w:t>
      </w:r>
      <w:r w:rsidR="008E3878" w:rsidRPr="00A10850">
        <w:rPr>
          <w:rFonts w:ascii="Arial" w:hAnsi="Arial" w:cs="Arial"/>
          <w:b/>
          <w:sz w:val="24"/>
          <w:szCs w:val="24"/>
        </w:rPr>
        <w:t>Other sources of information</w:t>
      </w:r>
    </w:p>
    <w:p w14:paraId="62B811D1" w14:textId="77777777" w:rsidR="008E3878" w:rsidRPr="00A10850" w:rsidRDefault="008E3878" w:rsidP="00DC54F7">
      <w:pPr>
        <w:spacing w:after="0" w:line="240" w:lineRule="auto"/>
        <w:jc w:val="both"/>
        <w:rPr>
          <w:rFonts w:ascii="Arial" w:hAnsi="Arial" w:cs="Arial"/>
          <w:b/>
        </w:rPr>
      </w:pPr>
    </w:p>
    <w:p w14:paraId="3EEA2E10" w14:textId="35E406A7" w:rsidR="00526CA1" w:rsidRPr="00BC2C95" w:rsidRDefault="00526CA1" w:rsidP="00DC54F7">
      <w:pPr>
        <w:spacing w:after="0" w:line="240" w:lineRule="auto"/>
        <w:jc w:val="both"/>
        <w:rPr>
          <w:rFonts w:ascii="Arial" w:hAnsi="Arial" w:cs="Arial"/>
          <w:bCs/>
          <w:sz w:val="24"/>
          <w:szCs w:val="24"/>
        </w:rPr>
      </w:pPr>
      <w:r w:rsidRPr="00BC2C95">
        <w:rPr>
          <w:rFonts w:ascii="Arial" w:hAnsi="Arial" w:cs="Arial"/>
          <w:sz w:val="24"/>
          <w:szCs w:val="24"/>
        </w:rPr>
        <w:t xml:space="preserve">Cardiff and Vale University Health Board provided information on: </w:t>
      </w:r>
    </w:p>
    <w:p w14:paraId="38F5F833" w14:textId="77777777" w:rsidR="00526CA1" w:rsidRPr="00BC2C95" w:rsidRDefault="00526CA1" w:rsidP="00DC54F7">
      <w:pPr>
        <w:spacing w:after="0" w:line="240" w:lineRule="auto"/>
        <w:jc w:val="both"/>
        <w:rPr>
          <w:rFonts w:ascii="Arial" w:hAnsi="Arial" w:cs="Arial"/>
          <w:sz w:val="24"/>
          <w:szCs w:val="24"/>
        </w:rPr>
      </w:pPr>
    </w:p>
    <w:p w14:paraId="4F3F94F1" w14:textId="77777777" w:rsidR="00526CA1" w:rsidRPr="00BC2C95" w:rsidRDefault="00526CA1" w:rsidP="00DC54F7">
      <w:pPr>
        <w:pStyle w:val="ListParagraph"/>
        <w:numPr>
          <w:ilvl w:val="0"/>
          <w:numId w:val="67"/>
        </w:numPr>
        <w:spacing w:after="0" w:line="240" w:lineRule="auto"/>
        <w:jc w:val="both"/>
        <w:rPr>
          <w:rFonts w:ascii="Arial" w:hAnsi="Arial" w:cs="Arial"/>
          <w:sz w:val="24"/>
          <w:szCs w:val="24"/>
        </w:rPr>
      </w:pPr>
      <w:r w:rsidRPr="00BC2C95">
        <w:rPr>
          <w:rFonts w:ascii="Arial" w:hAnsi="Arial" w:cs="Arial"/>
          <w:sz w:val="24"/>
          <w:szCs w:val="24"/>
        </w:rPr>
        <w:t xml:space="preserve">Services provided to residents of the health board area. </w:t>
      </w:r>
    </w:p>
    <w:p w14:paraId="5541C847" w14:textId="77777777" w:rsidR="00526CA1" w:rsidRPr="00BC2C95" w:rsidRDefault="00526CA1" w:rsidP="00DC54F7">
      <w:pPr>
        <w:pStyle w:val="ListParagraph"/>
        <w:numPr>
          <w:ilvl w:val="0"/>
          <w:numId w:val="67"/>
        </w:numPr>
        <w:spacing w:after="0" w:line="240" w:lineRule="auto"/>
        <w:jc w:val="both"/>
        <w:rPr>
          <w:rFonts w:ascii="Arial" w:hAnsi="Arial" w:cs="Arial"/>
          <w:sz w:val="24"/>
          <w:szCs w:val="24"/>
        </w:rPr>
      </w:pPr>
      <w:r w:rsidRPr="00BC2C95">
        <w:rPr>
          <w:rFonts w:ascii="Arial" w:hAnsi="Arial" w:cs="Arial"/>
          <w:sz w:val="24"/>
          <w:szCs w:val="24"/>
        </w:rPr>
        <w:t xml:space="preserve">Changes to current service provision. </w:t>
      </w:r>
    </w:p>
    <w:p w14:paraId="28B4A796" w14:textId="77777777" w:rsidR="00526CA1" w:rsidRPr="00BC2C95" w:rsidRDefault="00526CA1" w:rsidP="00DC54F7">
      <w:pPr>
        <w:pStyle w:val="ListParagraph"/>
        <w:numPr>
          <w:ilvl w:val="0"/>
          <w:numId w:val="67"/>
        </w:numPr>
        <w:spacing w:after="0" w:line="240" w:lineRule="auto"/>
        <w:jc w:val="both"/>
        <w:rPr>
          <w:rFonts w:ascii="Arial" w:hAnsi="Arial" w:cs="Arial"/>
          <w:sz w:val="24"/>
          <w:szCs w:val="24"/>
        </w:rPr>
      </w:pPr>
      <w:r w:rsidRPr="00BC2C95">
        <w:rPr>
          <w:rFonts w:ascii="Arial" w:hAnsi="Arial" w:cs="Arial"/>
          <w:sz w:val="24"/>
          <w:szCs w:val="24"/>
        </w:rPr>
        <w:t>Known housing developments within the lifetime of the pharmaceutical needs. assessment.</w:t>
      </w:r>
    </w:p>
    <w:p w14:paraId="358DE76E" w14:textId="77777777" w:rsidR="00526CA1" w:rsidRPr="00BC2C95" w:rsidRDefault="00526CA1" w:rsidP="00DC54F7">
      <w:pPr>
        <w:pStyle w:val="ListParagraph"/>
        <w:numPr>
          <w:ilvl w:val="0"/>
          <w:numId w:val="67"/>
        </w:numPr>
        <w:spacing w:after="0" w:line="240" w:lineRule="auto"/>
        <w:jc w:val="both"/>
        <w:rPr>
          <w:rFonts w:ascii="Arial" w:hAnsi="Arial" w:cs="Arial"/>
          <w:sz w:val="24"/>
          <w:szCs w:val="24"/>
        </w:rPr>
      </w:pPr>
      <w:r w:rsidRPr="00BC2C95">
        <w:rPr>
          <w:rFonts w:ascii="Arial" w:hAnsi="Arial" w:cs="Arial"/>
          <w:sz w:val="24"/>
          <w:szCs w:val="24"/>
        </w:rPr>
        <w:t>Any other developments which may affect the need for pharmaceutical services.</w:t>
      </w:r>
    </w:p>
    <w:p w14:paraId="1FF43ACF" w14:textId="77777777" w:rsidR="00526CA1" w:rsidRPr="00BC2C95" w:rsidRDefault="00526CA1" w:rsidP="00DC54F7">
      <w:pPr>
        <w:pStyle w:val="ListParagraph"/>
        <w:numPr>
          <w:ilvl w:val="0"/>
          <w:numId w:val="67"/>
        </w:numPr>
        <w:spacing w:after="0" w:line="240" w:lineRule="auto"/>
        <w:jc w:val="both"/>
        <w:rPr>
          <w:rFonts w:ascii="Arial" w:hAnsi="Arial" w:cs="Arial"/>
          <w:sz w:val="24"/>
          <w:szCs w:val="24"/>
        </w:rPr>
      </w:pPr>
      <w:r w:rsidRPr="00BC2C95">
        <w:rPr>
          <w:rFonts w:ascii="Arial" w:hAnsi="Arial" w:cs="Arial"/>
          <w:sz w:val="24"/>
          <w:szCs w:val="24"/>
        </w:rPr>
        <w:t xml:space="preserve">Background information on the health needs of the population. </w:t>
      </w:r>
    </w:p>
    <w:p w14:paraId="7780D47D" w14:textId="77777777" w:rsidR="00526CA1" w:rsidRPr="00BC2C95" w:rsidRDefault="00526CA1" w:rsidP="00DC54F7">
      <w:pPr>
        <w:spacing w:after="0" w:line="240" w:lineRule="auto"/>
        <w:jc w:val="both"/>
        <w:rPr>
          <w:rFonts w:ascii="Arial" w:hAnsi="Arial" w:cs="Arial"/>
          <w:b/>
          <w:sz w:val="24"/>
          <w:szCs w:val="24"/>
        </w:rPr>
      </w:pPr>
    </w:p>
    <w:p w14:paraId="2464AF94" w14:textId="77777777" w:rsidR="00526CA1" w:rsidRPr="00BC2C95" w:rsidRDefault="00526CA1" w:rsidP="00DC54F7">
      <w:pPr>
        <w:spacing w:after="0" w:line="240" w:lineRule="auto"/>
        <w:jc w:val="both"/>
        <w:rPr>
          <w:rFonts w:ascii="Arial" w:hAnsi="Arial" w:cs="Arial"/>
          <w:bCs/>
          <w:sz w:val="24"/>
          <w:szCs w:val="24"/>
        </w:rPr>
      </w:pPr>
      <w:r w:rsidRPr="00BC2C95">
        <w:rPr>
          <w:rFonts w:ascii="Arial" w:hAnsi="Arial" w:cs="Arial"/>
          <w:bCs/>
          <w:sz w:val="24"/>
          <w:szCs w:val="24"/>
        </w:rPr>
        <w:t>Information on the population, employment and labour market and health needs of the population was also obtained through:</w:t>
      </w:r>
    </w:p>
    <w:p w14:paraId="45B09775" w14:textId="77777777" w:rsidR="00526CA1" w:rsidRPr="00BC2C95" w:rsidRDefault="00526CA1" w:rsidP="00DC54F7">
      <w:pPr>
        <w:spacing w:after="0" w:line="240" w:lineRule="auto"/>
        <w:jc w:val="both"/>
        <w:rPr>
          <w:rFonts w:ascii="Arial" w:hAnsi="Arial" w:cs="Arial"/>
          <w:bCs/>
          <w:sz w:val="24"/>
          <w:szCs w:val="24"/>
        </w:rPr>
      </w:pPr>
    </w:p>
    <w:p w14:paraId="22AF436A" w14:textId="77777777" w:rsidR="00526CA1" w:rsidRPr="00BC2C95" w:rsidRDefault="00526CA1" w:rsidP="00DC54F7">
      <w:pPr>
        <w:pStyle w:val="ListParagraph"/>
        <w:numPr>
          <w:ilvl w:val="0"/>
          <w:numId w:val="65"/>
        </w:numPr>
        <w:spacing w:after="0" w:line="240" w:lineRule="auto"/>
        <w:jc w:val="both"/>
        <w:rPr>
          <w:rFonts w:ascii="Arial" w:hAnsi="Arial" w:cs="Arial"/>
          <w:sz w:val="24"/>
          <w:szCs w:val="24"/>
        </w:rPr>
      </w:pPr>
      <w:r w:rsidRPr="00BC2C95">
        <w:rPr>
          <w:rFonts w:ascii="Arial" w:hAnsi="Arial" w:cs="Arial"/>
          <w:sz w:val="24"/>
          <w:szCs w:val="24"/>
        </w:rPr>
        <w:t>Public Health Wales - Welsh Cancer Intelligence Unit, Cover of Vaccination Evaluation Rapidly Report (COVER), screening programmes, and Influenza.</w:t>
      </w:r>
    </w:p>
    <w:p w14:paraId="38BA002A" w14:textId="77777777" w:rsidR="00526CA1" w:rsidRPr="00BC2C95" w:rsidRDefault="00526CA1" w:rsidP="00DC54F7">
      <w:pPr>
        <w:pStyle w:val="ListParagraph"/>
        <w:numPr>
          <w:ilvl w:val="0"/>
          <w:numId w:val="65"/>
        </w:numPr>
        <w:spacing w:after="0" w:line="240" w:lineRule="auto"/>
        <w:jc w:val="both"/>
        <w:rPr>
          <w:rFonts w:ascii="Arial" w:hAnsi="Arial" w:cs="Arial"/>
          <w:sz w:val="24"/>
          <w:szCs w:val="24"/>
        </w:rPr>
      </w:pPr>
      <w:r w:rsidRPr="00BC2C95">
        <w:rPr>
          <w:rFonts w:ascii="Arial" w:hAnsi="Arial" w:cs="Arial"/>
          <w:sz w:val="24"/>
          <w:szCs w:val="24"/>
        </w:rPr>
        <w:t xml:space="preserve">Public Health Wales Observatory – public health information and data, including key public health topics and the Public Health Outcomes framework. </w:t>
      </w:r>
    </w:p>
    <w:p w14:paraId="52A5301C" w14:textId="77777777" w:rsidR="00526CA1" w:rsidRPr="00BC2C95" w:rsidRDefault="00526CA1" w:rsidP="00DC54F7">
      <w:pPr>
        <w:pStyle w:val="ListParagraph"/>
        <w:numPr>
          <w:ilvl w:val="0"/>
          <w:numId w:val="65"/>
        </w:numPr>
        <w:spacing w:after="0" w:line="240" w:lineRule="auto"/>
        <w:jc w:val="both"/>
        <w:rPr>
          <w:rFonts w:ascii="Arial" w:hAnsi="Arial" w:cs="Arial"/>
          <w:sz w:val="24"/>
          <w:szCs w:val="24"/>
        </w:rPr>
      </w:pPr>
      <w:r w:rsidRPr="00BC2C95">
        <w:rPr>
          <w:rFonts w:ascii="Arial" w:hAnsi="Arial" w:cs="Arial"/>
          <w:sz w:val="24"/>
          <w:szCs w:val="24"/>
        </w:rPr>
        <w:t xml:space="preserve">Office of National Statistics (ONS) - a wide range of statistics relating to the population, economy and society at national, health board and local level. </w:t>
      </w:r>
    </w:p>
    <w:p w14:paraId="26338EBF" w14:textId="77777777" w:rsidR="00526CA1" w:rsidRPr="00BC2C95" w:rsidRDefault="00526CA1" w:rsidP="00DC54F7">
      <w:pPr>
        <w:pStyle w:val="ListParagraph"/>
        <w:numPr>
          <w:ilvl w:val="0"/>
          <w:numId w:val="65"/>
        </w:numPr>
        <w:spacing w:after="0" w:line="240" w:lineRule="auto"/>
        <w:jc w:val="both"/>
        <w:rPr>
          <w:rFonts w:ascii="Arial" w:hAnsi="Arial" w:cs="Arial"/>
          <w:sz w:val="24"/>
          <w:szCs w:val="24"/>
        </w:rPr>
      </w:pPr>
      <w:r w:rsidRPr="00BC2C95">
        <w:rPr>
          <w:rFonts w:ascii="Arial" w:hAnsi="Arial" w:cs="Arial"/>
          <w:sz w:val="24"/>
          <w:szCs w:val="24"/>
        </w:rPr>
        <w:t>StatsWales – statistical data.</w:t>
      </w:r>
    </w:p>
    <w:p w14:paraId="22F7F06F" w14:textId="77777777" w:rsidR="00526CA1" w:rsidRPr="00BC2C95" w:rsidRDefault="00526CA1" w:rsidP="00DC54F7">
      <w:pPr>
        <w:pStyle w:val="ListParagraph"/>
        <w:numPr>
          <w:ilvl w:val="0"/>
          <w:numId w:val="65"/>
        </w:numPr>
        <w:spacing w:after="0" w:line="240" w:lineRule="auto"/>
        <w:jc w:val="both"/>
        <w:rPr>
          <w:rFonts w:ascii="Arial" w:hAnsi="Arial" w:cs="Arial"/>
          <w:sz w:val="24"/>
          <w:szCs w:val="24"/>
        </w:rPr>
      </w:pPr>
      <w:r w:rsidRPr="00BC2C95">
        <w:rPr>
          <w:rFonts w:ascii="Arial" w:hAnsi="Arial" w:cs="Arial"/>
          <w:sz w:val="24"/>
          <w:szCs w:val="24"/>
        </w:rPr>
        <w:t xml:space="preserve">Welsh Government - National Survey for Wales. </w:t>
      </w:r>
    </w:p>
    <w:p w14:paraId="1CCF8AE6" w14:textId="77777777" w:rsidR="00526CA1" w:rsidRPr="00BC2C95" w:rsidRDefault="00526CA1" w:rsidP="00DC54F7">
      <w:pPr>
        <w:pStyle w:val="ListParagraph"/>
        <w:numPr>
          <w:ilvl w:val="0"/>
          <w:numId w:val="65"/>
        </w:numPr>
        <w:spacing w:after="0" w:line="240" w:lineRule="auto"/>
        <w:jc w:val="both"/>
        <w:rPr>
          <w:rFonts w:ascii="Arial" w:hAnsi="Arial" w:cs="Arial"/>
          <w:sz w:val="24"/>
          <w:szCs w:val="24"/>
        </w:rPr>
      </w:pPr>
      <w:r w:rsidRPr="00BC2C95">
        <w:rPr>
          <w:rFonts w:ascii="Arial" w:hAnsi="Arial" w:cs="Arial"/>
          <w:sz w:val="24"/>
          <w:szCs w:val="24"/>
        </w:rPr>
        <w:t xml:space="preserve">Health Maps Wales – mortality data. </w:t>
      </w:r>
    </w:p>
    <w:p w14:paraId="61105259" w14:textId="77777777" w:rsidR="00526CA1" w:rsidRPr="00BC2C95" w:rsidRDefault="00526CA1" w:rsidP="00DC54F7">
      <w:pPr>
        <w:pStyle w:val="ListParagraph"/>
        <w:numPr>
          <w:ilvl w:val="0"/>
          <w:numId w:val="65"/>
        </w:numPr>
        <w:spacing w:after="0" w:line="240" w:lineRule="auto"/>
        <w:jc w:val="both"/>
        <w:rPr>
          <w:rFonts w:ascii="Arial" w:hAnsi="Arial" w:cs="Arial"/>
          <w:sz w:val="24"/>
          <w:szCs w:val="24"/>
        </w:rPr>
      </w:pPr>
      <w:r w:rsidRPr="00BC2C95">
        <w:rPr>
          <w:rFonts w:ascii="Arial" w:hAnsi="Arial" w:cs="Arial"/>
          <w:sz w:val="24"/>
          <w:szCs w:val="24"/>
        </w:rPr>
        <w:t>Quality and Outcomes Framework – GP practice register informed disease prevalence.</w:t>
      </w:r>
    </w:p>
    <w:p w14:paraId="4A341465" w14:textId="77777777" w:rsidR="00526CA1" w:rsidRPr="00BC2C95" w:rsidRDefault="00526CA1" w:rsidP="00DC54F7">
      <w:pPr>
        <w:spacing w:after="0" w:line="240" w:lineRule="auto"/>
        <w:jc w:val="both"/>
        <w:rPr>
          <w:rFonts w:ascii="Arial" w:hAnsi="Arial" w:cs="Arial"/>
          <w:sz w:val="24"/>
          <w:szCs w:val="24"/>
        </w:rPr>
      </w:pPr>
    </w:p>
    <w:p w14:paraId="3F6F3B27" w14:textId="4BE134E2" w:rsidR="00526CA1" w:rsidRPr="00BC2C95" w:rsidRDefault="00526CA1" w:rsidP="00DC54F7">
      <w:pPr>
        <w:spacing w:after="0" w:line="240" w:lineRule="auto"/>
        <w:jc w:val="both"/>
        <w:rPr>
          <w:rFonts w:ascii="Arial" w:hAnsi="Arial" w:cs="Arial"/>
          <w:bCs/>
          <w:sz w:val="24"/>
          <w:szCs w:val="24"/>
        </w:rPr>
      </w:pPr>
      <w:r w:rsidRPr="00BC2C95">
        <w:rPr>
          <w:rFonts w:ascii="Arial" w:hAnsi="Arial" w:cs="Arial"/>
          <w:bCs/>
          <w:sz w:val="24"/>
          <w:szCs w:val="24"/>
        </w:rPr>
        <w:t>Information on pharmaceutical contractors and services was also obtained through:</w:t>
      </w:r>
    </w:p>
    <w:p w14:paraId="293D256E" w14:textId="77777777" w:rsidR="00526CA1" w:rsidRPr="00BC2C95" w:rsidRDefault="00526CA1" w:rsidP="00DC54F7">
      <w:pPr>
        <w:pStyle w:val="ListParagraph"/>
        <w:numPr>
          <w:ilvl w:val="0"/>
          <w:numId w:val="66"/>
        </w:numPr>
        <w:spacing w:after="0" w:line="240" w:lineRule="auto"/>
        <w:jc w:val="both"/>
        <w:rPr>
          <w:rFonts w:ascii="Arial" w:hAnsi="Arial" w:cs="Arial"/>
          <w:bCs/>
          <w:sz w:val="24"/>
          <w:szCs w:val="24"/>
        </w:rPr>
      </w:pPr>
      <w:r w:rsidRPr="00BC2C95">
        <w:rPr>
          <w:rFonts w:ascii="Arial" w:hAnsi="Arial" w:cs="Arial"/>
          <w:bCs/>
          <w:sz w:val="24"/>
          <w:szCs w:val="24"/>
        </w:rPr>
        <w:lastRenderedPageBreak/>
        <w:t>NHS Wales Shared Partnership Services – dispensing data, prescribing data, dispensing contractor activity by service.</w:t>
      </w:r>
    </w:p>
    <w:p w14:paraId="29D1B3C5" w14:textId="710C0044" w:rsidR="00526CA1" w:rsidRPr="00BC2C95" w:rsidRDefault="00526CA1" w:rsidP="00DC54F7">
      <w:pPr>
        <w:pStyle w:val="ListParagraph"/>
        <w:numPr>
          <w:ilvl w:val="0"/>
          <w:numId w:val="66"/>
        </w:numPr>
        <w:spacing w:after="0" w:line="240" w:lineRule="auto"/>
        <w:jc w:val="both"/>
        <w:rPr>
          <w:rFonts w:ascii="Arial" w:hAnsi="Arial" w:cs="Arial"/>
          <w:bCs/>
          <w:sz w:val="24"/>
          <w:szCs w:val="24"/>
        </w:rPr>
      </w:pPr>
      <w:r w:rsidRPr="00BC2C95">
        <w:rPr>
          <w:rFonts w:ascii="Arial" w:hAnsi="Arial" w:cs="Arial"/>
          <w:bCs/>
          <w:sz w:val="24"/>
          <w:szCs w:val="24"/>
        </w:rPr>
        <w:t>Community Pharmacy Wales – community pharmacy contract</w:t>
      </w:r>
      <w:r w:rsidR="00747E01" w:rsidRPr="00BC2C95">
        <w:rPr>
          <w:rFonts w:ascii="Arial" w:hAnsi="Arial" w:cs="Arial"/>
          <w:bCs/>
          <w:sz w:val="24"/>
          <w:szCs w:val="24"/>
        </w:rPr>
        <w:t xml:space="preserve">, </w:t>
      </w:r>
      <w:r w:rsidRPr="00BC2C95">
        <w:rPr>
          <w:rFonts w:ascii="Arial" w:hAnsi="Arial" w:cs="Arial"/>
          <w:bCs/>
          <w:sz w:val="24"/>
          <w:szCs w:val="24"/>
        </w:rPr>
        <w:t>service details</w:t>
      </w:r>
      <w:r w:rsidR="00747E01" w:rsidRPr="00BC2C95">
        <w:rPr>
          <w:rFonts w:ascii="Arial" w:hAnsi="Arial" w:cs="Arial"/>
          <w:bCs/>
          <w:sz w:val="24"/>
          <w:szCs w:val="24"/>
        </w:rPr>
        <w:t xml:space="preserve"> and supporting the contractor questionnaire.</w:t>
      </w:r>
    </w:p>
    <w:p w14:paraId="6CEA58FE" w14:textId="77777777" w:rsidR="00526CA1" w:rsidRPr="00BC2C95" w:rsidRDefault="00526CA1" w:rsidP="00DC54F7">
      <w:pPr>
        <w:spacing w:after="0" w:line="240" w:lineRule="auto"/>
        <w:jc w:val="both"/>
        <w:rPr>
          <w:rFonts w:ascii="Arial" w:hAnsi="Arial" w:cs="Arial"/>
          <w:bCs/>
          <w:sz w:val="24"/>
          <w:szCs w:val="24"/>
        </w:rPr>
      </w:pPr>
    </w:p>
    <w:p w14:paraId="7564EC99" w14:textId="700E7BAF" w:rsidR="00526CA1" w:rsidRPr="00BC2C95" w:rsidRDefault="00526CA1" w:rsidP="00DC54F7">
      <w:pPr>
        <w:spacing w:after="0" w:line="240" w:lineRule="auto"/>
        <w:jc w:val="both"/>
        <w:rPr>
          <w:rFonts w:ascii="Arial" w:hAnsi="Arial" w:cs="Arial"/>
          <w:bCs/>
          <w:sz w:val="24"/>
          <w:szCs w:val="24"/>
        </w:rPr>
      </w:pPr>
      <w:r w:rsidRPr="00BC2C95">
        <w:rPr>
          <w:rFonts w:ascii="Arial" w:hAnsi="Arial" w:cs="Arial"/>
          <w:bCs/>
          <w:sz w:val="24"/>
          <w:szCs w:val="24"/>
        </w:rPr>
        <w:t>Maps were produced by NHS Wales Informatics Service</w:t>
      </w:r>
      <w:r w:rsidR="00346E0D" w:rsidRPr="00BC2C95">
        <w:rPr>
          <w:rFonts w:ascii="Arial" w:hAnsi="Arial" w:cs="Arial"/>
          <w:bCs/>
          <w:sz w:val="24"/>
          <w:szCs w:val="24"/>
        </w:rPr>
        <w:t xml:space="preserve"> (NWIS)</w:t>
      </w:r>
      <w:r w:rsidRPr="00BC2C95">
        <w:rPr>
          <w:rFonts w:ascii="Arial" w:hAnsi="Arial" w:cs="Arial"/>
          <w:bCs/>
          <w:sz w:val="24"/>
          <w:szCs w:val="24"/>
        </w:rPr>
        <w:t xml:space="preserve">. </w:t>
      </w:r>
      <w:r w:rsidRPr="00BC2C95">
        <w:rPr>
          <w:rFonts w:ascii="Arial" w:hAnsi="Arial" w:cs="Arial"/>
          <w:sz w:val="24"/>
          <w:szCs w:val="24"/>
        </w:rPr>
        <w:t>Cardiff and Vale University Health Board would like to thank them for their support</w:t>
      </w:r>
      <w:r w:rsidR="00FD18E5" w:rsidRPr="00BC2C95">
        <w:rPr>
          <w:rFonts w:ascii="Arial" w:hAnsi="Arial" w:cs="Arial"/>
          <w:sz w:val="24"/>
          <w:szCs w:val="24"/>
        </w:rPr>
        <w:t>.</w:t>
      </w:r>
    </w:p>
    <w:p w14:paraId="1F877EEB" w14:textId="4D1BD643" w:rsidR="00193688" w:rsidRDefault="00193688" w:rsidP="00DC54F7">
      <w:pPr>
        <w:spacing w:after="0" w:line="240" w:lineRule="auto"/>
        <w:jc w:val="both"/>
        <w:rPr>
          <w:rFonts w:ascii="Arial" w:hAnsi="Arial" w:cs="Arial"/>
          <w:sz w:val="24"/>
          <w:szCs w:val="24"/>
        </w:rPr>
      </w:pPr>
    </w:p>
    <w:p w14:paraId="3FF7B7FC" w14:textId="77777777" w:rsidR="00BC2C95" w:rsidRPr="00BC2C95" w:rsidRDefault="00BC2C95" w:rsidP="00DC54F7">
      <w:pPr>
        <w:spacing w:after="0" w:line="240" w:lineRule="auto"/>
        <w:jc w:val="both"/>
        <w:rPr>
          <w:rFonts w:ascii="Arial" w:hAnsi="Arial" w:cs="Arial"/>
          <w:sz w:val="24"/>
          <w:szCs w:val="24"/>
        </w:rPr>
      </w:pPr>
    </w:p>
    <w:p w14:paraId="2C1CCC59" w14:textId="77777777" w:rsidR="008E4A26" w:rsidRPr="00A10850" w:rsidRDefault="001C0154" w:rsidP="00DC54F7">
      <w:pPr>
        <w:spacing w:after="0" w:line="240" w:lineRule="auto"/>
        <w:jc w:val="both"/>
        <w:rPr>
          <w:rFonts w:ascii="Arial" w:hAnsi="Arial" w:cs="Arial"/>
          <w:b/>
          <w:sz w:val="24"/>
          <w:szCs w:val="24"/>
        </w:rPr>
      </w:pPr>
      <w:r w:rsidRPr="00A10850">
        <w:rPr>
          <w:rFonts w:ascii="Arial" w:hAnsi="Arial" w:cs="Arial"/>
          <w:b/>
          <w:sz w:val="24"/>
          <w:szCs w:val="24"/>
        </w:rPr>
        <w:t>1.</w:t>
      </w:r>
      <w:r w:rsidR="003C4215" w:rsidRPr="00A10850">
        <w:rPr>
          <w:rFonts w:ascii="Arial" w:hAnsi="Arial" w:cs="Arial"/>
          <w:b/>
          <w:sz w:val="24"/>
          <w:szCs w:val="24"/>
        </w:rPr>
        <w:t>5</w:t>
      </w:r>
      <w:r w:rsidRPr="00A10850">
        <w:rPr>
          <w:rFonts w:ascii="Arial" w:hAnsi="Arial" w:cs="Arial"/>
          <w:b/>
          <w:sz w:val="24"/>
          <w:szCs w:val="24"/>
        </w:rPr>
        <w:t>.</w:t>
      </w:r>
      <w:r w:rsidR="007A35DD" w:rsidRPr="00A10850">
        <w:rPr>
          <w:rFonts w:ascii="Arial" w:hAnsi="Arial" w:cs="Arial"/>
          <w:b/>
          <w:sz w:val="24"/>
          <w:szCs w:val="24"/>
        </w:rPr>
        <w:t>6</w:t>
      </w:r>
      <w:r w:rsidRPr="00A10850">
        <w:rPr>
          <w:rFonts w:ascii="Arial" w:hAnsi="Arial" w:cs="Arial"/>
          <w:b/>
          <w:sz w:val="24"/>
          <w:szCs w:val="24"/>
        </w:rPr>
        <w:t xml:space="preserve"> </w:t>
      </w:r>
      <w:r w:rsidR="008E4A26" w:rsidRPr="00A10850">
        <w:rPr>
          <w:rFonts w:ascii="Arial" w:hAnsi="Arial" w:cs="Arial"/>
          <w:b/>
          <w:sz w:val="24"/>
          <w:szCs w:val="24"/>
        </w:rPr>
        <w:t>Consultation</w:t>
      </w:r>
    </w:p>
    <w:p w14:paraId="67D8370A" w14:textId="77777777" w:rsidR="008E4A26" w:rsidRPr="00A10850" w:rsidRDefault="008E4A26" w:rsidP="00DC54F7">
      <w:pPr>
        <w:spacing w:after="0" w:line="240" w:lineRule="auto"/>
        <w:jc w:val="both"/>
        <w:rPr>
          <w:rFonts w:ascii="Arial" w:hAnsi="Arial" w:cs="Arial"/>
        </w:rPr>
      </w:pPr>
    </w:p>
    <w:p w14:paraId="2AB07CFD" w14:textId="77777777" w:rsidR="00FD18E5" w:rsidRPr="00BC2C95" w:rsidRDefault="00FD18E5" w:rsidP="00DC54F7">
      <w:pPr>
        <w:spacing w:after="0" w:line="240" w:lineRule="auto"/>
        <w:jc w:val="both"/>
        <w:rPr>
          <w:rFonts w:ascii="Arial" w:hAnsi="Arial" w:cs="Arial"/>
          <w:sz w:val="24"/>
          <w:szCs w:val="24"/>
        </w:rPr>
      </w:pPr>
      <w:r w:rsidRPr="00BC2C95">
        <w:rPr>
          <w:rFonts w:ascii="Arial" w:hAnsi="Arial" w:cs="Arial"/>
          <w:sz w:val="24"/>
          <w:szCs w:val="24"/>
        </w:rPr>
        <w:t xml:space="preserve">The responses to the patient and public engagement and contractor questionnaires informed the draft pharmaceutical needs assessment.  </w:t>
      </w:r>
    </w:p>
    <w:p w14:paraId="4FB7CFE6" w14:textId="77777777" w:rsidR="00FD18E5" w:rsidRPr="00BC2C95" w:rsidRDefault="00FD18E5" w:rsidP="00DC54F7">
      <w:pPr>
        <w:spacing w:after="0" w:line="240" w:lineRule="auto"/>
        <w:jc w:val="both"/>
        <w:rPr>
          <w:rFonts w:ascii="Arial" w:hAnsi="Arial" w:cs="Arial"/>
          <w:sz w:val="24"/>
          <w:szCs w:val="24"/>
        </w:rPr>
      </w:pPr>
    </w:p>
    <w:p w14:paraId="59AF8A29" w14:textId="0392CE65" w:rsidR="00FD18E5" w:rsidRPr="00BC2C95" w:rsidRDefault="00FD18E5" w:rsidP="00DC54F7">
      <w:pPr>
        <w:spacing w:after="0" w:line="240" w:lineRule="auto"/>
        <w:jc w:val="both"/>
        <w:rPr>
          <w:rFonts w:ascii="Arial" w:hAnsi="Arial" w:cs="Arial"/>
          <w:sz w:val="24"/>
          <w:szCs w:val="24"/>
        </w:rPr>
      </w:pPr>
      <w:r w:rsidRPr="00BC2C95">
        <w:rPr>
          <w:rFonts w:ascii="Arial" w:hAnsi="Arial" w:cs="Arial"/>
          <w:sz w:val="24"/>
          <w:szCs w:val="24"/>
        </w:rPr>
        <w:t>The statutory 60 day consultation on the draft pharmaceutical</w:t>
      </w:r>
      <w:r w:rsidR="007E6963">
        <w:rPr>
          <w:rFonts w:ascii="Arial" w:hAnsi="Arial" w:cs="Arial"/>
          <w:sz w:val="24"/>
          <w:szCs w:val="24"/>
        </w:rPr>
        <w:t xml:space="preserve"> needs assessment commenced on Friday 21</w:t>
      </w:r>
      <w:r w:rsidR="007E6963" w:rsidRPr="007E6963">
        <w:rPr>
          <w:rFonts w:ascii="Arial" w:hAnsi="Arial" w:cs="Arial"/>
          <w:sz w:val="24"/>
          <w:szCs w:val="24"/>
          <w:vertAlign w:val="superscript"/>
        </w:rPr>
        <w:t>st</w:t>
      </w:r>
      <w:r w:rsidR="007E6963">
        <w:rPr>
          <w:rFonts w:ascii="Arial" w:hAnsi="Arial" w:cs="Arial"/>
          <w:sz w:val="24"/>
          <w:szCs w:val="24"/>
        </w:rPr>
        <w:t xml:space="preserve"> May</w:t>
      </w:r>
      <w:r w:rsidRPr="00BC2C95">
        <w:rPr>
          <w:rFonts w:ascii="Arial" w:hAnsi="Arial" w:cs="Arial"/>
          <w:sz w:val="24"/>
          <w:szCs w:val="24"/>
        </w:rPr>
        <w:t xml:space="preserve"> and ran until </w:t>
      </w:r>
      <w:r w:rsidR="007E6963">
        <w:rPr>
          <w:rFonts w:ascii="Arial" w:hAnsi="Arial" w:cs="Arial"/>
          <w:sz w:val="24"/>
          <w:szCs w:val="24"/>
        </w:rPr>
        <w:t>Tuesday 20</w:t>
      </w:r>
      <w:r w:rsidR="007E6963" w:rsidRPr="007E6963">
        <w:rPr>
          <w:rFonts w:ascii="Arial" w:hAnsi="Arial" w:cs="Arial"/>
          <w:sz w:val="24"/>
          <w:szCs w:val="24"/>
          <w:vertAlign w:val="superscript"/>
        </w:rPr>
        <w:t>th</w:t>
      </w:r>
      <w:r w:rsidR="007E6963">
        <w:rPr>
          <w:rFonts w:ascii="Arial" w:hAnsi="Arial" w:cs="Arial"/>
          <w:sz w:val="24"/>
          <w:szCs w:val="24"/>
        </w:rPr>
        <w:t xml:space="preserve"> July 2021</w:t>
      </w:r>
      <w:r w:rsidRPr="00BC2C95">
        <w:rPr>
          <w:rFonts w:ascii="Arial" w:hAnsi="Arial" w:cs="Arial"/>
          <w:sz w:val="24"/>
          <w:szCs w:val="24"/>
        </w:rPr>
        <w:t xml:space="preserve">. The statutory consultees were written to regarding the consultation, provided with a link to the health board’s website where the draft pharmaceutical needs assessment was published and invited to respond online. </w:t>
      </w:r>
    </w:p>
    <w:p w14:paraId="3E543E68" w14:textId="77777777" w:rsidR="00FD18E5" w:rsidRPr="00BC2C95" w:rsidRDefault="00FD18E5" w:rsidP="00DC54F7">
      <w:pPr>
        <w:spacing w:after="0" w:line="240" w:lineRule="auto"/>
        <w:jc w:val="both"/>
        <w:rPr>
          <w:rFonts w:ascii="Arial" w:hAnsi="Arial" w:cs="Arial"/>
          <w:sz w:val="24"/>
          <w:szCs w:val="24"/>
        </w:rPr>
      </w:pPr>
    </w:p>
    <w:p w14:paraId="78138003" w14:textId="40EAEAC2" w:rsidR="002D5F1D" w:rsidRPr="00A10850" w:rsidRDefault="00FD18E5" w:rsidP="00DC54F7">
      <w:pPr>
        <w:spacing w:after="0" w:line="240" w:lineRule="auto"/>
        <w:jc w:val="both"/>
        <w:rPr>
          <w:rFonts w:ascii="Arial" w:hAnsi="Arial" w:cs="Arial"/>
          <w:b/>
        </w:rPr>
      </w:pPr>
      <w:r w:rsidRPr="00BC2C95">
        <w:rPr>
          <w:rFonts w:ascii="Arial" w:hAnsi="Arial" w:cs="Arial"/>
          <w:sz w:val="24"/>
          <w:szCs w:val="24"/>
        </w:rPr>
        <w:t>A report of the consultation including any changes to the PNA can be found at appendix K.</w:t>
      </w:r>
      <w:r w:rsidR="002D5F1D" w:rsidRPr="00A10850">
        <w:rPr>
          <w:rFonts w:ascii="Arial" w:hAnsi="Arial" w:cs="Arial"/>
          <w:b/>
        </w:rPr>
        <w:br w:type="page"/>
      </w:r>
    </w:p>
    <w:p w14:paraId="1F22DD31" w14:textId="05438847" w:rsidR="006F0A84" w:rsidRPr="00A10850" w:rsidRDefault="006F0A84" w:rsidP="00DC54F7">
      <w:pPr>
        <w:pStyle w:val="Heading1"/>
        <w:spacing w:before="0" w:line="240" w:lineRule="auto"/>
        <w:jc w:val="both"/>
        <w:rPr>
          <w:rFonts w:cs="Arial"/>
          <w:color w:val="auto"/>
        </w:rPr>
      </w:pPr>
      <w:bookmarkStart w:id="4" w:name="_Toc81585094"/>
      <w:r w:rsidRPr="00A10850">
        <w:rPr>
          <w:rFonts w:cs="Arial"/>
          <w:color w:val="auto"/>
        </w:rPr>
        <w:lastRenderedPageBreak/>
        <w:t xml:space="preserve">2 </w:t>
      </w:r>
      <w:r w:rsidR="00F62FF8" w:rsidRPr="00A10850">
        <w:rPr>
          <w:rFonts w:cs="Arial"/>
          <w:color w:val="auto"/>
        </w:rPr>
        <w:t xml:space="preserve">Overview of </w:t>
      </w:r>
      <w:r w:rsidR="00FA0306" w:rsidRPr="00FA0306">
        <w:rPr>
          <w:rFonts w:cs="Arial"/>
          <w:color w:val="auto"/>
        </w:rPr>
        <w:t>Cardiff and Vale University Health Board</w:t>
      </w:r>
      <w:bookmarkEnd w:id="4"/>
    </w:p>
    <w:p w14:paraId="178C5C12" w14:textId="0DAA235B" w:rsidR="00193688" w:rsidRDefault="00193688" w:rsidP="00DC54F7">
      <w:pPr>
        <w:pStyle w:val="Heading2"/>
        <w:spacing w:before="0" w:line="240" w:lineRule="auto"/>
        <w:jc w:val="both"/>
        <w:rPr>
          <w:rFonts w:cs="Arial"/>
          <w:color w:val="auto"/>
          <w:lang w:val="en-US"/>
        </w:rPr>
      </w:pPr>
    </w:p>
    <w:p w14:paraId="531B1061" w14:textId="77777777" w:rsidR="00BC2C95" w:rsidRPr="00BC2C95" w:rsidRDefault="00BC2C95" w:rsidP="00DC54F7">
      <w:pPr>
        <w:spacing w:after="0" w:line="240" w:lineRule="auto"/>
        <w:jc w:val="both"/>
        <w:rPr>
          <w:lang w:val="en-US"/>
        </w:rPr>
      </w:pPr>
    </w:p>
    <w:p w14:paraId="7EB4EC03" w14:textId="77777777" w:rsidR="006F0A84" w:rsidRPr="00A10850" w:rsidRDefault="006F0A84" w:rsidP="00DC54F7">
      <w:pPr>
        <w:spacing w:after="0" w:line="240" w:lineRule="auto"/>
        <w:jc w:val="both"/>
        <w:rPr>
          <w:rFonts w:ascii="Arial" w:hAnsi="Arial" w:cs="Arial"/>
          <w:b/>
          <w:sz w:val="26"/>
          <w:szCs w:val="26"/>
          <w:lang w:val="en-US"/>
        </w:rPr>
      </w:pPr>
      <w:r w:rsidRPr="00A10850">
        <w:rPr>
          <w:rFonts w:ascii="Arial" w:hAnsi="Arial" w:cs="Arial"/>
          <w:b/>
          <w:sz w:val="26"/>
          <w:szCs w:val="26"/>
          <w:lang w:val="en-US"/>
        </w:rPr>
        <w:t>2.1 Introduction</w:t>
      </w:r>
    </w:p>
    <w:p w14:paraId="2A74E530" w14:textId="76D4A7CF" w:rsidR="00A70BFD" w:rsidRDefault="00A70BFD" w:rsidP="00DC54F7">
      <w:pPr>
        <w:spacing w:after="0" w:line="240" w:lineRule="auto"/>
        <w:contextualSpacing/>
        <w:jc w:val="both"/>
        <w:rPr>
          <w:rFonts w:ascii="Arial" w:hAnsi="Arial" w:cs="Arial"/>
          <w:lang w:val="en-US"/>
        </w:rPr>
      </w:pPr>
    </w:p>
    <w:p w14:paraId="62D965C9" w14:textId="31F5BD09" w:rsidR="001F2327" w:rsidRPr="00BC2C95" w:rsidRDefault="005A4EF3" w:rsidP="00DC54F7">
      <w:pPr>
        <w:spacing w:after="0" w:line="240" w:lineRule="auto"/>
        <w:contextualSpacing/>
        <w:jc w:val="both"/>
        <w:rPr>
          <w:rFonts w:ascii="Arial" w:hAnsi="Arial" w:cs="Arial"/>
          <w:sz w:val="24"/>
          <w:szCs w:val="24"/>
          <w:lang w:val="en-US"/>
        </w:rPr>
      </w:pPr>
      <w:r w:rsidRPr="00BC2C95">
        <w:rPr>
          <w:rFonts w:ascii="Arial" w:hAnsi="Arial" w:cs="Arial"/>
          <w:sz w:val="24"/>
          <w:szCs w:val="24"/>
          <w:lang w:val="en-US"/>
        </w:rPr>
        <w:t>Cardiff and the Vale of Glamorgan ha</w:t>
      </w:r>
      <w:r w:rsidR="00C368C1" w:rsidRPr="00BC2C95">
        <w:rPr>
          <w:rFonts w:ascii="Arial" w:hAnsi="Arial" w:cs="Arial"/>
          <w:sz w:val="24"/>
          <w:szCs w:val="24"/>
          <w:lang w:val="en-US"/>
        </w:rPr>
        <w:t>ve</w:t>
      </w:r>
      <w:r w:rsidRPr="00BC2C95">
        <w:rPr>
          <w:rFonts w:ascii="Arial" w:hAnsi="Arial" w:cs="Arial"/>
          <w:sz w:val="24"/>
          <w:szCs w:val="24"/>
          <w:lang w:val="en-US"/>
        </w:rPr>
        <w:t xml:space="preserve"> a rich </w:t>
      </w:r>
      <w:r w:rsidR="00EA683E" w:rsidRPr="00BC2C95">
        <w:rPr>
          <w:rFonts w:ascii="Arial" w:hAnsi="Arial" w:cs="Arial"/>
          <w:sz w:val="24"/>
          <w:szCs w:val="24"/>
          <w:lang w:val="en-US"/>
        </w:rPr>
        <w:t>historic past; f</w:t>
      </w:r>
      <w:r w:rsidR="00B573A4" w:rsidRPr="00BC2C95">
        <w:rPr>
          <w:rFonts w:ascii="Arial" w:hAnsi="Arial" w:cs="Arial"/>
          <w:sz w:val="24"/>
          <w:szCs w:val="24"/>
          <w:lang w:val="en-US"/>
        </w:rPr>
        <w:t xml:space="preserve">rom the Romans to the Normans </w:t>
      </w:r>
      <w:r w:rsidR="00EA683E" w:rsidRPr="00BC2C95">
        <w:rPr>
          <w:rFonts w:ascii="Arial" w:hAnsi="Arial" w:cs="Arial"/>
          <w:sz w:val="24"/>
          <w:szCs w:val="24"/>
          <w:lang w:val="en-US"/>
        </w:rPr>
        <w:t>to the</w:t>
      </w:r>
      <w:r w:rsidR="006D5792" w:rsidRPr="00BC2C95">
        <w:rPr>
          <w:rFonts w:ascii="Arial" w:hAnsi="Arial" w:cs="Arial"/>
          <w:sz w:val="24"/>
          <w:szCs w:val="24"/>
          <w:lang w:val="en-US"/>
        </w:rPr>
        <w:t xml:space="preserve"> </w:t>
      </w:r>
      <w:r w:rsidR="00D94917" w:rsidRPr="00BC2C95">
        <w:rPr>
          <w:rFonts w:ascii="Arial" w:hAnsi="Arial" w:cs="Arial"/>
          <w:sz w:val="24"/>
          <w:szCs w:val="24"/>
          <w:lang w:val="en-US"/>
        </w:rPr>
        <w:t>transformation</w:t>
      </w:r>
      <w:r w:rsidR="00DB7487" w:rsidRPr="00BC2C95">
        <w:rPr>
          <w:rFonts w:ascii="Arial" w:hAnsi="Arial" w:cs="Arial"/>
          <w:sz w:val="24"/>
          <w:szCs w:val="24"/>
          <w:lang w:val="en-US"/>
        </w:rPr>
        <w:t>s</w:t>
      </w:r>
      <w:r w:rsidR="00D94917" w:rsidRPr="00BC2C95">
        <w:rPr>
          <w:rFonts w:ascii="Arial" w:hAnsi="Arial" w:cs="Arial"/>
          <w:sz w:val="24"/>
          <w:szCs w:val="24"/>
          <w:lang w:val="en-US"/>
        </w:rPr>
        <w:t xml:space="preserve"> that </w:t>
      </w:r>
      <w:r w:rsidR="00770D68" w:rsidRPr="00BC2C95">
        <w:rPr>
          <w:rFonts w:ascii="Arial" w:hAnsi="Arial" w:cs="Arial"/>
          <w:sz w:val="24"/>
          <w:szCs w:val="24"/>
          <w:lang w:val="en-US"/>
        </w:rPr>
        <w:t xml:space="preserve">came with the </w:t>
      </w:r>
      <w:r w:rsidR="008F78F1" w:rsidRPr="00BC2C95">
        <w:rPr>
          <w:rFonts w:ascii="Arial" w:hAnsi="Arial" w:cs="Arial"/>
          <w:sz w:val="24"/>
          <w:szCs w:val="24"/>
          <w:lang w:val="en-US"/>
        </w:rPr>
        <w:t>coal industry</w:t>
      </w:r>
      <w:r w:rsidR="00147C50" w:rsidRPr="00BC2C95">
        <w:rPr>
          <w:rFonts w:ascii="Arial" w:hAnsi="Arial" w:cs="Arial"/>
          <w:sz w:val="24"/>
          <w:szCs w:val="24"/>
          <w:lang w:val="en-US"/>
        </w:rPr>
        <w:t xml:space="preserve">, </w:t>
      </w:r>
      <w:r w:rsidR="00770D68" w:rsidRPr="00BC2C95">
        <w:rPr>
          <w:rFonts w:ascii="Arial" w:hAnsi="Arial" w:cs="Arial"/>
          <w:sz w:val="24"/>
          <w:szCs w:val="24"/>
          <w:lang w:val="en-US"/>
        </w:rPr>
        <w:t>establishing Cardiff as a major port and the future capital of Wales.</w:t>
      </w:r>
      <w:r w:rsidR="00376EED" w:rsidRPr="00BC2C95">
        <w:rPr>
          <w:rFonts w:ascii="Arial" w:hAnsi="Arial" w:cs="Arial"/>
          <w:sz w:val="24"/>
          <w:szCs w:val="24"/>
          <w:lang w:val="en-US"/>
        </w:rPr>
        <w:t xml:space="preserve"> All have contributed to making Cardiff </w:t>
      </w:r>
      <w:r w:rsidR="00876F7E" w:rsidRPr="00BC2C95">
        <w:rPr>
          <w:rFonts w:ascii="Arial" w:hAnsi="Arial" w:cs="Arial"/>
          <w:sz w:val="24"/>
          <w:szCs w:val="24"/>
          <w:lang w:val="en-US"/>
        </w:rPr>
        <w:t xml:space="preserve">and the Vale of Glamorgan </w:t>
      </w:r>
      <w:r w:rsidR="00AB4553" w:rsidRPr="00BC2C95">
        <w:rPr>
          <w:rFonts w:ascii="Arial" w:hAnsi="Arial" w:cs="Arial"/>
          <w:sz w:val="24"/>
          <w:szCs w:val="24"/>
          <w:lang w:val="en-US"/>
        </w:rPr>
        <w:t>one of the most popular tourist destinations in Wales.</w:t>
      </w:r>
    </w:p>
    <w:p w14:paraId="531D201C" w14:textId="77777777" w:rsidR="001F2327" w:rsidRPr="00BC2C95" w:rsidRDefault="001F2327" w:rsidP="00DC54F7">
      <w:pPr>
        <w:spacing w:after="0" w:line="240" w:lineRule="auto"/>
        <w:contextualSpacing/>
        <w:jc w:val="both"/>
        <w:rPr>
          <w:rFonts w:ascii="Arial" w:hAnsi="Arial" w:cs="Arial"/>
          <w:sz w:val="24"/>
          <w:szCs w:val="24"/>
          <w:lang w:val="en-US"/>
        </w:rPr>
      </w:pPr>
    </w:p>
    <w:p w14:paraId="6ACB4093" w14:textId="006558E5" w:rsidR="00042EB1" w:rsidRPr="00BC2C95" w:rsidRDefault="00E310B9" w:rsidP="00DC54F7">
      <w:pPr>
        <w:spacing w:after="0" w:line="240" w:lineRule="auto"/>
        <w:contextualSpacing/>
        <w:jc w:val="both"/>
        <w:rPr>
          <w:rFonts w:ascii="Arial" w:hAnsi="Arial" w:cs="Arial"/>
          <w:sz w:val="24"/>
          <w:szCs w:val="24"/>
          <w:lang w:val="en-US"/>
        </w:rPr>
      </w:pPr>
      <w:r w:rsidRPr="00BC2C95">
        <w:rPr>
          <w:rFonts w:ascii="Arial" w:hAnsi="Arial" w:cs="Arial"/>
          <w:sz w:val="24"/>
          <w:szCs w:val="24"/>
          <w:lang w:val="en-US"/>
        </w:rPr>
        <w:t xml:space="preserve">Cardiff is a thriving </w:t>
      </w:r>
      <w:r w:rsidR="00117010" w:rsidRPr="00BC2C95">
        <w:rPr>
          <w:rFonts w:ascii="Arial" w:hAnsi="Arial" w:cs="Arial"/>
          <w:sz w:val="24"/>
          <w:szCs w:val="24"/>
          <w:lang w:val="en-US"/>
        </w:rPr>
        <w:t xml:space="preserve">international </w:t>
      </w:r>
      <w:r w:rsidR="00D36116" w:rsidRPr="00BC2C95">
        <w:rPr>
          <w:rFonts w:ascii="Arial" w:hAnsi="Arial" w:cs="Arial"/>
          <w:sz w:val="24"/>
          <w:szCs w:val="24"/>
          <w:lang w:val="en-US"/>
        </w:rPr>
        <w:t xml:space="preserve">capital </w:t>
      </w:r>
      <w:r w:rsidRPr="00BC2C95">
        <w:rPr>
          <w:rFonts w:ascii="Arial" w:hAnsi="Arial" w:cs="Arial"/>
          <w:sz w:val="24"/>
          <w:szCs w:val="24"/>
          <w:lang w:val="en-US"/>
        </w:rPr>
        <w:t xml:space="preserve">city, with </w:t>
      </w:r>
      <w:r w:rsidR="00CD5BEB" w:rsidRPr="00BC2C95">
        <w:rPr>
          <w:rFonts w:ascii="Arial" w:hAnsi="Arial" w:cs="Arial"/>
          <w:sz w:val="24"/>
          <w:szCs w:val="24"/>
          <w:lang w:val="en-US"/>
        </w:rPr>
        <w:t xml:space="preserve">many cultural sites, </w:t>
      </w:r>
      <w:r w:rsidRPr="00BC2C95">
        <w:rPr>
          <w:rFonts w:ascii="Arial" w:hAnsi="Arial" w:cs="Arial"/>
          <w:sz w:val="24"/>
          <w:szCs w:val="24"/>
          <w:lang w:val="en-US"/>
        </w:rPr>
        <w:t>a long association with sport</w:t>
      </w:r>
      <w:r w:rsidR="00042EB1" w:rsidRPr="00BC2C95">
        <w:rPr>
          <w:rFonts w:ascii="Arial" w:hAnsi="Arial" w:cs="Arial"/>
          <w:sz w:val="24"/>
          <w:szCs w:val="24"/>
          <w:lang w:val="en-US"/>
        </w:rPr>
        <w:t xml:space="preserve"> and </w:t>
      </w:r>
      <w:r w:rsidR="00DD10E4" w:rsidRPr="00BC2C95">
        <w:rPr>
          <w:rFonts w:ascii="Arial" w:hAnsi="Arial" w:cs="Arial"/>
          <w:sz w:val="24"/>
          <w:szCs w:val="24"/>
          <w:lang w:val="en-US"/>
        </w:rPr>
        <w:t xml:space="preserve">a large </w:t>
      </w:r>
      <w:r w:rsidR="004A134B" w:rsidRPr="00BC2C95">
        <w:rPr>
          <w:rFonts w:ascii="Arial" w:hAnsi="Arial" w:cs="Arial"/>
          <w:sz w:val="24"/>
          <w:szCs w:val="24"/>
          <w:lang w:val="en-US"/>
        </w:rPr>
        <w:t>student population</w:t>
      </w:r>
      <w:r w:rsidR="003F7330" w:rsidRPr="00BC2C95">
        <w:rPr>
          <w:rFonts w:ascii="Arial" w:hAnsi="Arial" w:cs="Arial"/>
          <w:sz w:val="24"/>
          <w:szCs w:val="24"/>
          <w:lang w:val="en-US"/>
        </w:rPr>
        <w:t xml:space="preserve">; being </w:t>
      </w:r>
      <w:r w:rsidR="00DD10E4" w:rsidRPr="00BC2C95">
        <w:rPr>
          <w:rFonts w:ascii="Arial" w:hAnsi="Arial" w:cs="Arial"/>
          <w:sz w:val="24"/>
          <w:szCs w:val="24"/>
          <w:lang w:val="en-US"/>
        </w:rPr>
        <w:t xml:space="preserve">home to </w:t>
      </w:r>
      <w:r w:rsidR="00042EB1" w:rsidRPr="00BC2C95">
        <w:rPr>
          <w:rFonts w:ascii="Arial" w:hAnsi="Arial" w:cs="Arial"/>
          <w:sz w:val="24"/>
          <w:szCs w:val="24"/>
          <w:shd w:val="clear" w:color="auto" w:fill="FFFFFF"/>
        </w:rPr>
        <w:t>four major institutions of higher education</w:t>
      </w:r>
      <w:r w:rsidR="00DD10E4" w:rsidRPr="00BC2C95">
        <w:rPr>
          <w:rFonts w:ascii="Arial" w:hAnsi="Arial" w:cs="Arial"/>
          <w:sz w:val="24"/>
          <w:szCs w:val="24"/>
          <w:shd w:val="clear" w:color="auto" w:fill="FFFFFF"/>
        </w:rPr>
        <w:t>.</w:t>
      </w:r>
      <w:r w:rsidR="00D467CD" w:rsidRPr="00BC2C95">
        <w:rPr>
          <w:rFonts w:ascii="Arial" w:hAnsi="Arial" w:cs="Arial"/>
          <w:sz w:val="24"/>
          <w:szCs w:val="24"/>
          <w:shd w:val="clear" w:color="auto" w:fill="FFFFFF"/>
        </w:rPr>
        <w:t xml:space="preserve"> The city boasts more castle</w:t>
      </w:r>
      <w:r w:rsidR="00A47075" w:rsidRPr="00BC2C95">
        <w:rPr>
          <w:rFonts w:ascii="Arial" w:hAnsi="Arial" w:cs="Arial"/>
          <w:sz w:val="24"/>
          <w:szCs w:val="24"/>
          <w:shd w:val="clear" w:color="auto" w:fill="FFFFFF"/>
        </w:rPr>
        <w:t>s</w:t>
      </w:r>
      <w:r w:rsidR="003C674F" w:rsidRPr="00BC2C95">
        <w:rPr>
          <w:rFonts w:ascii="Arial" w:hAnsi="Arial" w:cs="Arial"/>
          <w:sz w:val="24"/>
          <w:szCs w:val="24"/>
          <w:shd w:val="clear" w:color="auto" w:fill="FFFFFF"/>
        </w:rPr>
        <w:t xml:space="preserve"> and green spaces per person than any other UK city. </w:t>
      </w:r>
    </w:p>
    <w:p w14:paraId="050F713F" w14:textId="3C7839AE" w:rsidR="008A05BF" w:rsidRPr="00BC2C95" w:rsidRDefault="008A05BF" w:rsidP="00DC54F7">
      <w:pPr>
        <w:spacing w:after="0" w:line="240" w:lineRule="auto"/>
        <w:contextualSpacing/>
        <w:jc w:val="both"/>
        <w:rPr>
          <w:rFonts w:ascii="Arial" w:hAnsi="Arial" w:cs="Arial"/>
          <w:sz w:val="24"/>
          <w:szCs w:val="24"/>
          <w:lang w:val="en-US"/>
        </w:rPr>
      </w:pPr>
    </w:p>
    <w:p w14:paraId="65BBE7E6" w14:textId="1750EA10" w:rsidR="00D467CD" w:rsidRPr="00BC2C95" w:rsidRDefault="008F284C" w:rsidP="00DC54F7">
      <w:pPr>
        <w:spacing w:after="0" w:line="240" w:lineRule="auto"/>
        <w:contextualSpacing/>
        <w:jc w:val="both"/>
        <w:rPr>
          <w:rFonts w:ascii="Arial" w:hAnsi="Arial" w:cs="Arial"/>
          <w:sz w:val="24"/>
          <w:szCs w:val="24"/>
        </w:rPr>
      </w:pPr>
      <w:r w:rsidRPr="00BC2C95">
        <w:rPr>
          <w:rFonts w:ascii="Arial" w:hAnsi="Arial" w:cs="Arial"/>
          <w:sz w:val="24"/>
          <w:szCs w:val="24"/>
        </w:rPr>
        <w:t>The Vale of Glamorgan is a diverse and beautiful part of Wales</w:t>
      </w:r>
      <w:r w:rsidR="00801402" w:rsidRPr="00BC2C95">
        <w:rPr>
          <w:rFonts w:ascii="Arial" w:hAnsi="Arial" w:cs="Arial"/>
          <w:sz w:val="24"/>
          <w:szCs w:val="24"/>
        </w:rPr>
        <w:t xml:space="preserve">, with </w:t>
      </w:r>
      <w:r w:rsidRPr="00BC2C95">
        <w:rPr>
          <w:rFonts w:ascii="Arial" w:hAnsi="Arial" w:cs="Arial"/>
          <w:sz w:val="24"/>
          <w:szCs w:val="24"/>
        </w:rPr>
        <w:t xml:space="preserve">rolling countryside, coastal communities, </w:t>
      </w:r>
      <w:r w:rsidR="00AA460C" w:rsidRPr="00BC2C95">
        <w:rPr>
          <w:rFonts w:ascii="Arial" w:hAnsi="Arial" w:cs="Arial"/>
          <w:sz w:val="24"/>
          <w:szCs w:val="24"/>
        </w:rPr>
        <w:t xml:space="preserve">rural villages and </w:t>
      </w:r>
      <w:r w:rsidRPr="00BC2C95">
        <w:rPr>
          <w:rFonts w:ascii="Arial" w:hAnsi="Arial" w:cs="Arial"/>
          <w:sz w:val="24"/>
          <w:szCs w:val="24"/>
        </w:rPr>
        <w:t>busy towns</w:t>
      </w:r>
      <w:r w:rsidR="00633A22" w:rsidRPr="00BC2C95">
        <w:rPr>
          <w:rFonts w:ascii="Arial" w:hAnsi="Arial" w:cs="Arial"/>
          <w:sz w:val="24"/>
          <w:szCs w:val="24"/>
        </w:rPr>
        <w:t xml:space="preserve">. </w:t>
      </w:r>
      <w:r w:rsidRPr="00BC2C95">
        <w:rPr>
          <w:rFonts w:ascii="Arial" w:hAnsi="Arial" w:cs="Arial"/>
          <w:sz w:val="24"/>
          <w:szCs w:val="24"/>
        </w:rPr>
        <w:t>Barry, Wales’s largest town</w:t>
      </w:r>
      <w:r w:rsidR="00AA460C" w:rsidRPr="00BC2C95">
        <w:rPr>
          <w:rFonts w:ascii="Arial" w:hAnsi="Arial" w:cs="Arial"/>
          <w:sz w:val="24"/>
          <w:szCs w:val="24"/>
        </w:rPr>
        <w:t xml:space="preserve"> can be found here </w:t>
      </w:r>
      <w:r w:rsidR="00DB7487" w:rsidRPr="00BC2C95">
        <w:rPr>
          <w:rFonts w:ascii="Arial" w:hAnsi="Arial" w:cs="Arial"/>
          <w:sz w:val="24"/>
          <w:szCs w:val="24"/>
        </w:rPr>
        <w:t xml:space="preserve">as well as </w:t>
      </w:r>
      <w:r w:rsidR="003F7330" w:rsidRPr="00BC2C95">
        <w:rPr>
          <w:rFonts w:ascii="Arial" w:hAnsi="Arial" w:cs="Arial"/>
          <w:sz w:val="24"/>
          <w:szCs w:val="24"/>
        </w:rPr>
        <w:t xml:space="preserve">Wales’s </w:t>
      </w:r>
      <w:r w:rsidR="00391BCF" w:rsidRPr="00BC2C95">
        <w:rPr>
          <w:rFonts w:ascii="Arial" w:hAnsi="Arial" w:cs="Arial"/>
          <w:sz w:val="24"/>
          <w:szCs w:val="24"/>
        </w:rPr>
        <w:t>only airport</w:t>
      </w:r>
      <w:r w:rsidR="00DB7487" w:rsidRPr="00BC2C95">
        <w:rPr>
          <w:rFonts w:ascii="Arial" w:hAnsi="Arial" w:cs="Arial"/>
          <w:sz w:val="24"/>
          <w:szCs w:val="24"/>
        </w:rPr>
        <w:t xml:space="preserve">. </w:t>
      </w:r>
    </w:p>
    <w:p w14:paraId="35AFFF2D" w14:textId="3BDD3B1D" w:rsidR="00812552" w:rsidRPr="00BC2C95" w:rsidRDefault="00812552" w:rsidP="00DC54F7">
      <w:pPr>
        <w:spacing w:after="0" w:line="240" w:lineRule="auto"/>
        <w:contextualSpacing/>
        <w:jc w:val="both"/>
        <w:rPr>
          <w:rFonts w:ascii="Arial" w:hAnsi="Arial" w:cs="Arial"/>
          <w:sz w:val="24"/>
          <w:szCs w:val="24"/>
        </w:rPr>
      </w:pPr>
    </w:p>
    <w:p w14:paraId="7C634DD2" w14:textId="31EFF8B5" w:rsidR="00270B89" w:rsidRPr="00BC2C95" w:rsidRDefault="00812552" w:rsidP="00DC54F7">
      <w:pPr>
        <w:spacing w:after="0" w:line="240" w:lineRule="auto"/>
        <w:contextualSpacing/>
        <w:jc w:val="both"/>
        <w:rPr>
          <w:rFonts w:ascii="Arial" w:hAnsi="Arial" w:cs="Arial"/>
          <w:sz w:val="24"/>
          <w:szCs w:val="24"/>
          <w:lang w:val="en-US"/>
        </w:rPr>
      </w:pPr>
      <w:r w:rsidRPr="00BC2C95">
        <w:rPr>
          <w:rFonts w:ascii="Arial" w:hAnsi="Arial" w:cs="Arial"/>
          <w:sz w:val="24"/>
          <w:szCs w:val="24"/>
          <w:lang w:val="en-US"/>
        </w:rPr>
        <w:t xml:space="preserve">Cardiff and Vale University Heath Board is </w:t>
      </w:r>
      <w:r w:rsidR="00151A0A" w:rsidRPr="00BC2C95">
        <w:rPr>
          <w:rFonts w:ascii="Arial" w:hAnsi="Arial" w:cs="Arial"/>
          <w:sz w:val="24"/>
          <w:szCs w:val="24"/>
          <w:lang w:val="en-US"/>
        </w:rPr>
        <w:t xml:space="preserve">one of </w:t>
      </w:r>
      <w:r w:rsidRPr="00BC2C95">
        <w:rPr>
          <w:rFonts w:ascii="Arial" w:hAnsi="Arial" w:cs="Arial"/>
          <w:sz w:val="24"/>
          <w:szCs w:val="24"/>
          <w:lang w:val="en-US"/>
        </w:rPr>
        <w:t>the largest health board</w:t>
      </w:r>
      <w:r w:rsidR="00A31D35" w:rsidRPr="00BC2C95">
        <w:rPr>
          <w:rFonts w:ascii="Arial" w:hAnsi="Arial" w:cs="Arial"/>
          <w:sz w:val="24"/>
          <w:szCs w:val="24"/>
          <w:lang w:val="en-US"/>
        </w:rPr>
        <w:t>s</w:t>
      </w:r>
      <w:r w:rsidRPr="00BC2C95">
        <w:rPr>
          <w:rFonts w:ascii="Arial" w:hAnsi="Arial" w:cs="Arial"/>
          <w:sz w:val="24"/>
          <w:szCs w:val="24"/>
          <w:lang w:val="en-US"/>
        </w:rPr>
        <w:t xml:space="preserve"> in Wales</w:t>
      </w:r>
      <w:r w:rsidR="002E2F1A" w:rsidRPr="00BC2C95">
        <w:rPr>
          <w:rFonts w:ascii="Arial" w:hAnsi="Arial" w:cs="Arial"/>
          <w:sz w:val="24"/>
          <w:szCs w:val="24"/>
          <w:lang w:val="en-US"/>
        </w:rPr>
        <w:t xml:space="preserve"> and is </w:t>
      </w:r>
      <w:r w:rsidRPr="00BC2C95">
        <w:rPr>
          <w:rFonts w:ascii="Arial" w:hAnsi="Arial" w:cs="Arial"/>
          <w:sz w:val="24"/>
          <w:szCs w:val="24"/>
          <w:lang w:val="en-US"/>
        </w:rPr>
        <w:t xml:space="preserve">responsible for the planning and delivery of NHS services to </w:t>
      </w:r>
      <w:r w:rsidR="00391BCF" w:rsidRPr="00BC2C95">
        <w:rPr>
          <w:rFonts w:ascii="Arial" w:hAnsi="Arial" w:cs="Arial"/>
          <w:sz w:val="24"/>
          <w:szCs w:val="24"/>
          <w:lang w:val="en-US"/>
        </w:rPr>
        <w:t>Cardi</w:t>
      </w:r>
      <w:r w:rsidR="00D21F13" w:rsidRPr="00BC2C95">
        <w:rPr>
          <w:rFonts w:ascii="Arial" w:hAnsi="Arial" w:cs="Arial"/>
          <w:sz w:val="24"/>
          <w:szCs w:val="24"/>
          <w:lang w:val="en-US"/>
        </w:rPr>
        <w:t xml:space="preserve">ff </w:t>
      </w:r>
      <w:r w:rsidR="00695845" w:rsidRPr="00BC2C95">
        <w:rPr>
          <w:rFonts w:ascii="Arial" w:hAnsi="Arial" w:cs="Arial"/>
          <w:sz w:val="24"/>
          <w:szCs w:val="24"/>
          <w:lang w:val="en-US"/>
        </w:rPr>
        <w:t>loca</w:t>
      </w:r>
      <w:r w:rsidR="00D21F13" w:rsidRPr="00BC2C95">
        <w:rPr>
          <w:rFonts w:ascii="Arial" w:hAnsi="Arial" w:cs="Arial"/>
          <w:sz w:val="24"/>
          <w:szCs w:val="24"/>
          <w:lang w:val="en-US"/>
        </w:rPr>
        <w:t xml:space="preserve">l authority </w:t>
      </w:r>
      <w:r w:rsidR="00391BCF" w:rsidRPr="00BC2C95">
        <w:rPr>
          <w:rFonts w:ascii="Arial" w:hAnsi="Arial" w:cs="Arial"/>
          <w:sz w:val="24"/>
          <w:szCs w:val="24"/>
          <w:lang w:val="en-US"/>
        </w:rPr>
        <w:t xml:space="preserve">and </w:t>
      </w:r>
      <w:r w:rsidR="00574A49" w:rsidRPr="00BC2C95">
        <w:rPr>
          <w:rFonts w:ascii="Arial" w:hAnsi="Arial" w:cs="Arial"/>
          <w:sz w:val="24"/>
          <w:szCs w:val="24"/>
          <w:lang w:val="en-US"/>
        </w:rPr>
        <w:t xml:space="preserve">the </w:t>
      </w:r>
      <w:r w:rsidR="00695845" w:rsidRPr="00BC2C95">
        <w:rPr>
          <w:rFonts w:ascii="Arial" w:hAnsi="Arial" w:cs="Arial"/>
          <w:sz w:val="24"/>
          <w:szCs w:val="24"/>
          <w:lang w:val="en-US"/>
        </w:rPr>
        <w:t>Vale of Glamorgan local authori</w:t>
      </w:r>
      <w:r w:rsidR="00D21F13" w:rsidRPr="00BC2C95">
        <w:rPr>
          <w:rFonts w:ascii="Arial" w:hAnsi="Arial" w:cs="Arial"/>
          <w:sz w:val="24"/>
          <w:szCs w:val="24"/>
          <w:lang w:val="en-US"/>
        </w:rPr>
        <w:t>ty</w:t>
      </w:r>
      <w:r w:rsidR="00CB4EBA" w:rsidRPr="00BC2C95">
        <w:rPr>
          <w:rFonts w:ascii="Arial" w:hAnsi="Arial" w:cs="Arial"/>
          <w:sz w:val="24"/>
          <w:szCs w:val="24"/>
          <w:lang w:val="en-US"/>
        </w:rPr>
        <w:t>,</w:t>
      </w:r>
      <w:r w:rsidR="00695845" w:rsidRPr="00BC2C95">
        <w:rPr>
          <w:rFonts w:ascii="Arial" w:hAnsi="Arial" w:cs="Arial"/>
          <w:sz w:val="24"/>
          <w:szCs w:val="24"/>
          <w:lang w:val="en-US"/>
        </w:rPr>
        <w:t xml:space="preserve"> and all </w:t>
      </w:r>
      <w:r w:rsidRPr="00BC2C95">
        <w:rPr>
          <w:rFonts w:ascii="Arial" w:hAnsi="Arial" w:cs="Arial"/>
          <w:sz w:val="24"/>
          <w:szCs w:val="24"/>
          <w:lang w:val="en-US"/>
        </w:rPr>
        <w:t xml:space="preserve">its residents.  </w:t>
      </w:r>
      <w:r w:rsidR="002E2F1A" w:rsidRPr="00BC2C95">
        <w:rPr>
          <w:rFonts w:ascii="Arial" w:hAnsi="Arial" w:cs="Arial"/>
          <w:sz w:val="24"/>
          <w:szCs w:val="24"/>
          <w:lang w:val="en-US"/>
        </w:rPr>
        <w:t xml:space="preserve">Its mission is </w:t>
      </w:r>
      <w:r w:rsidR="00144B81" w:rsidRPr="00BC2C95">
        <w:rPr>
          <w:rStyle w:val="Strong"/>
          <w:rFonts w:ascii="Arial" w:hAnsi="Arial" w:cs="Arial"/>
          <w:b w:val="0"/>
          <w:bCs w:val="0"/>
          <w:sz w:val="24"/>
          <w:szCs w:val="24"/>
          <w:shd w:val="clear" w:color="auto" w:fill="FFFFFF"/>
        </w:rPr>
        <w:t>“Caring for People, Keeping People Well”,</w:t>
      </w:r>
      <w:r w:rsidR="00144B81" w:rsidRPr="00BC2C95">
        <w:rPr>
          <w:rFonts w:ascii="Arial" w:hAnsi="Arial" w:cs="Arial"/>
          <w:sz w:val="24"/>
          <w:szCs w:val="24"/>
          <w:shd w:val="clear" w:color="auto" w:fill="FFFFFF"/>
        </w:rPr>
        <w:t xml:space="preserve"> and </w:t>
      </w:r>
      <w:r w:rsidR="002E2F1A" w:rsidRPr="00BC2C95">
        <w:rPr>
          <w:rFonts w:ascii="Arial" w:hAnsi="Arial" w:cs="Arial"/>
          <w:sz w:val="24"/>
          <w:szCs w:val="24"/>
          <w:shd w:val="clear" w:color="auto" w:fill="FFFFFF"/>
        </w:rPr>
        <w:t xml:space="preserve">its </w:t>
      </w:r>
      <w:r w:rsidR="00144B81" w:rsidRPr="00BC2C95">
        <w:rPr>
          <w:rFonts w:ascii="Arial" w:hAnsi="Arial" w:cs="Arial"/>
          <w:sz w:val="24"/>
          <w:szCs w:val="24"/>
          <w:shd w:val="clear" w:color="auto" w:fill="FFFFFF"/>
        </w:rPr>
        <w:t>vision is that a person’s chance of leading a healthy life should be the same wherever they live and whoever they are. </w:t>
      </w:r>
    </w:p>
    <w:p w14:paraId="55880BFC" w14:textId="1BB1F536" w:rsidR="004654D5" w:rsidRDefault="004654D5" w:rsidP="00DC54F7">
      <w:pPr>
        <w:spacing w:after="0" w:line="240" w:lineRule="auto"/>
        <w:contextualSpacing/>
        <w:jc w:val="both"/>
        <w:rPr>
          <w:rFonts w:ascii="Arial" w:hAnsi="Arial" w:cs="Arial"/>
          <w:lang w:val="en-US"/>
        </w:rPr>
      </w:pPr>
    </w:p>
    <w:p w14:paraId="1518D23D" w14:textId="77777777" w:rsidR="00BC2C95" w:rsidRPr="00A10850" w:rsidRDefault="00BC2C95" w:rsidP="00DC54F7">
      <w:pPr>
        <w:spacing w:after="0" w:line="240" w:lineRule="auto"/>
        <w:contextualSpacing/>
        <w:jc w:val="both"/>
        <w:rPr>
          <w:rFonts w:ascii="Arial" w:hAnsi="Arial" w:cs="Arial"/>
          <w:lang w:val="en-US"/>
        </w:rPr>
      </w:pPr>
    </w:p>
    <w:p w14:paraId="5F4096C4" w14:textId="75A148E8" w:rsidR="006F0A84" w:rsidRDefault="006F0A84" w:rsidP="00DC54F7">
      <w:pPr>
        <w:spacing w:after="0" w:line="240" w:lineRule="auto"/>
        <w:jc w:val="both"/>
        <w:rPr>
          <w:rFonts w:ascii="Arial" w:hAnsi="Arial" w:cs="Arial"/>
          <w:b/>
          <w:sz w:val="26"/>
          <w:szCs w:val="26"/>
          <w:lang w:val="en-US"/>
        </w:rPr>
      </w:pPr>
      <w:r w:rsidRPr="00A10850">
        <w:rPr>
          <w:rFonts w:ascii="Arial" w:hAnsi="Arial" w:cs="Arial"/>
          <w:b/>
          <w:sz w:val="26"/>
          <w:szCs w:val="26"/>
          <w:lang w:val="en-US"/>
        </w:rPr>
        <w:t>2.2 Population</w:t>
      </w:r>
    </w:p>
    <w:p w14:paraId="3E1B2F90" w14:textId="77777777" w:rsidR="006A0E52" w:rsidRDefault="006A0E52" w:rsidP="00DC54F7">
      <w:pPr>
        <w:spacing w:after="0" w:line="240" w:lineRule="auto"/>
        <w:jc w:val="both"/>
        <w:rPr>
          <w:rFonts w:ascii="Arial" w:hAnsi="Arial" w:cs="Arial"/>
        </w:rPr>
      </w:pPr>
    </w:p>
    <w:p w14:paraId="2B578BE8" w14:textId="578A09BE" w:rsidR="00BE03AB" w:rsidRPr="00BC2C95" w:rsidRDefault="00B20E58" w:rsidP="00DC54F7">
      <w:pPr>
        <w:spacing w:after="0" w:line="240" w:lineRule="auto"/>
        <w:jc w:val="both"/>
        <w:rPr>
          <w:rFonts w:ascii="Arial" w:eastAsia="Times New Roman" w:hAnsi="Arial" w:cs="Arial"/>
          <w:color w:val="000000"/>
          <w:sz w:val="24"/>
          <w:szCs w:val="24"/>
          <w:lang w:eastAsia="en-GB"/>
        </w:rPr>
      </w:pPr>
      <w:r w:rsidRPr="00BC2C95">
        <w:rPr>
          <w:rFonts w:ascii="Arial" w:hAnsi="Arial" w:cs="Arial"/>
          <w:sz w:val="24"/>
          <w:szCs w:val="24"/>
        </w:rPr>
        <w:t xml:space="preserve">Cardiff is </w:t>
      </w:r>
      <w:r w:rsidR="00B8376A" w:rsidRPr="00BC2C95">
        <w:rPr>
          <w:rFonts w:ascii="Arial" w:hAnsi="Arial" w:cs="Arial"/>
          <w:sz w:val="24"/>
          <w:szCs w:val="24"/>
        </w:rPr>
        <w:t xml:space="preserve">the largest </w:t>
      </w:r>
      <w:r w:rsidR="00567F4B" w:rsidRPr="00BC2C95">
        <w:rPr>
          <w:rFonts w:ascii="Arial" w:hAnsi="Arial" w:cs="Arial"/>
          <w:sz w:val="24"/>
          <w:szCs w:val="24"/>
        </w:rPr>
        <w:t>local</w:t>
      </w:r>
      <w:r w:rsidR="00B8376A" w:rsidRPr="00BC2C95">
        <w:rPr>
          <w:rFonts w:ascii="Arial" w:hAnsi="Arial" w:cs="Arial"/>
          <w:sz w:val="24"/>
          <w:szCs w:val="24"/>
        </w:rPr>
        <w:t xml:space="preserve"> authority in Wales in terms of population, with an estimated </w:t>
      </w:r>
      <w:r w:rsidR="0097206F" w:rsidRPr="00BC2C95">
        <w:rPr>
          <w:rFonts w:ascii="Arial" w:eastAsia="Times New Roman" w:hAnsi="Arial" w:cs="Arial"/>
          <w:color w:val="000000"/>
          <w:sz w:val="24"/>
          <w:szCs w:val="24"/>
          <w:lang w:eastAsia="en-GB"/>
        </w:rPr>
        <w:t>366,903 resi</w:t>
      </w:r>
      <w:r w:rsidR="007140F5" w:rsidRPr="00BC2C95">
        <w:rPr>
          <w:rFonts w:ascii="Arial" w:eastAsia="Times New Roman" w:hAnsi="Arial" w:cs="Arial"/>
          <w:color w:val="000000"/>
          <w:sz w:val="24"/>
          <w:szCs w:val="24"/>
          <w:lang w:eastAsia="en-GB"/>
        </w:rPr>
        <w:t>den</w:t>
      </w:r>
      <w:r w:rsidR="00EA0CF3" w:rsidRPr="00BC2C95">
        <w:rPr>
          <w:rFonts w:ascii="Arial" w:eastAsia="Times New Roman" w:hAnsi="Arial" w:cs="Arial"/>
          <w:color w:val="000000"/>
          <w:sz w:val="24"/>
          <w:szCs w:val="24"/>
          <w:lang w:eastAsia="en-GB"/>
        </w:rPr>
        <w:t>ts</w:t>
      </w:r>
      <w:r w:rsidR="00A67A00" w:rsidRPr="00BC2C95">
        <w:rPr>
          <w:rFonts w:ascii="Arial" w:eastAsia="Times New Roman" w:hAnsi="Arial" w:cs="Arial"/>
          <w:color w:val="000000"/>
          <w:sz w:val="24"/>
          <w:szCs w:val="24"/>
          <w:lang w:eastAsia="en-GB"/>
        </w:rPr>
        <w:t xml:space="preserve"> in 2019</w:t>
      </w:r>
      <w:r w:rsidR="00822C4B" w:rsidRPr="00BC2C95">
        <w:rPr>
          <w:rFonts w:ascii="Arial" w:eastAsia="Times New Roman" w:hAnsi="Arial" w:cs="Arial"/>
          <w:color w:val="000000"/>
          <w:sz w:val="24"/>
          <w:szCs w:val="24"/>
          <w:lang w:eastAsia="en-GB"/>
        </w:rPr>
        <w:t xml:space="preserve">. </w:t>
      </w:r>
      <w:r w:rsidR="00A666FC" w:rsidRPr="00BC2C95">
        <w:rPr>
          <w:rFonts w:ascii="Arial" w:eastAsia="Times New Roman" w:hAnsi="Arial" w:cs="Arial"/>
          <w:color w:val="000000"/>
          <w:sz w:val="24"/>
          <w:szCs w:val="24"/>
          <w:lang w:eastAsia="en-GB"/>
        </w:rPr>
        <w:t xml:space="preserve">The Vale of Glamorgan </w:t>
      </w:r>
      <w:r w:rsidR="00F23235" w:rsidRPr="00BC2C95">
        <w:rPr>
          <w:rFonts w:ascii="Arial" w:eastAsia="Times New Roman" w:hAnsi="Arial" w:cs="Arial"/>
          <w:color w:val="000000"/>
          <w:sz w:val="24"/>
          <w:szCs w:val="24"/>
          <w:lang w:eastAsia="en-GB"/>
        </w:rPr>
        <w:t>has a</w:t>
      </w:r>
      <w:r w:rsidR="00A31A2A" w:rsidRPr="00BC2C95">
        <w:rPr>
          <w:rFonts w:ascii="Arial" w:eastAsia="Times New Roman" w:hAnsi="Arial" w:cs="Arial"/>
          <w:color w:val="000000"/>
          <w:sz w:val="24"/>
          <w:szCs w:val="24"/>
          <w:lang w:eastAsia="en-GB"/>
        </w:rPr>
        <w:t xml:space="preserve"> </w:t>
      </w:r>
      <w:r w:rsidR="00F23235" w:rsidRPr="00BC2C95">
        <w:rPr>
          <w:rFonts w:ascii="Arial" w:eastAsia="Times New Roman" w:hAnsi="Arial" w:cs="Arial"/>
          <w:color w:val="000000"/>
          <w:sz w:val="24"/>
          <w:szCs w:val="24"/>
          <w:lang w:eastAsia="en-GB"/>
        </w:rPr>
        <w:t xml:space="preserve">smaller population </w:t>
      </w:r>
      <w:r w:rsidR="00710430" w:rsidRPr="00BC2C95">
        <w:rPr>
          <w:rFonts w:ascii="Arial" w:eastAsia="Times New Roman" w:hAnsi="Arial" w:cs="Arial"/>
          <w:color w:val="000000"/>
          <w:sz w:val="24"/>
          <w:szCs w:val="24"/>
          <w:lang w:eastAsia="en-GB"/>
        </w:rPr>
        <w:t xml:space="preserve">of </w:t>
      </w:r>
      <w:r w:rsidR="00AD6A76" w:rsidRPr="00BC2C95">
        <w:rPr>
          <w:rFonts w:ascii="Arial" w:eastAsia="Times New Roman" w:hAnsi="Arial" w:cs="Arial"/>
          <w:color w:val="000000"/>
          <w:sz w:val="24"/>
          <w:szCs w:val="24"/>
          <w:lang w:eastAsia="en-GB"/>
        </w:rPr>
        <w:t>133,</w:t>
      </w:r>
      <w:r w:rsidR="00F23235" w:rsidRPr="00BC2C95">
        <w:rPr>
          <w:rFonts w:ascii="Arial" w:eastAsia="Times New Roman" w:hAnsi="Arial" w:cs="Arial"/>
          <w:color w:val="000000"/>
          <w:sz w:val="24"/>
          <w:szCs w:val="24"/>
          <w:lang w:eastAsia="en-GB"/>
        </w:rPr>
        <w:t>578</w:t>
      </w:r>
      <w:r w:rsidR="00710430" w:rsidRPr="00BC2C95">
        <w:rPr>
          <w:rFonts w:ascii="Arial" w:eastAsia="Times New Roman" w:hAnsi="Arial" w:cs="Arial"/>
          <w:color w:val="000000"/>
          <w:sz w:val="24"/>
          <w:szCs w:val="24"/>
          <w:lang w:eastAsia="en-GB"/>
        </w:rPr>
        <w:t xml:space="preserve"> residents.</w:t>
      </w:r>
    </w:p>
    <w:p w14:paraId="371987BD" w14:textId="77777777" w:rsidR="0058085C" w:rsidRPr="00BC2C95" w:rsidRDefault="0058085C" w:rsidP="00DC54F7">
      <w:pPr>
        <w:spacing w:after="0" w:line="240" w:lineRule="auto"/>
        <w:jc w:val="both"/>
        <w:rPr>
          <w:rFonts w:ascii="Arial" w:hAnsi="Arial" w:cs="Arial"/>
          <w:sz w:val="24"/>
          <w:szCs w:val="24"/>
        </w:rPr>
      </w:pPr>
    </w:p>
    <w:p w14:paraId="10033C4A" w14:textId="0EA7AA49" w:rsidR="00D72D32" w:rsidRPr="00BC2C95" w:rsidRDefault="007D4B7E" w:rsidP="00DC54F7">
      <w:pPr>
        <w:spacing w:after="0" w:line="240" w:lineRule="auto"/>
        <w:jc w:val="both"/>
        <w:rPr>
          <w:rFonts w:ascii="Arial" w:hAnsi="Arial" w:cs="Arial"/>
          <w:sz w:val="24"/>
          <w:szCs w:val="24"/>
        </w:rPr>
      </w:pPr>
      <w:r w:rsidRPr="00BC2C95">
        <w:rPr>
          <w:rFonts w:ascii="Arial" w:hAnsi="Arial" w:cs="Arial"/>
          <w:sz w:val="24"/>
          <w:szCs w:val="24"/>
        </w:rPr>
        <w:t>T</w:t>
      </w:r>
      <w:r w:rsidR="00D90077" w:rsidRPr="00BC2C95">
        <w:rPr>
          <w:rFonts w:ascii="Arial" w:hAnsi="Arial" w:cs="Arial"/>
          <w:sz w:val="24"/>
          <w:szCs w:val="24"/>
        </w:rPr>
        <w:t>he age-gender profile differs between that of Cardiff and the Vale of Glamorgan</w:t>
      </w:r>
      <w:r w:rsidR="003E4F64" w:rsidRPr="00BC2C95">
        <w:rPr>
          <w:rFonts w:ascii="Arial" w:hAnsi="Arial" w:cs="Arial"/>
          <w:sz w:val="24"/>
          <w:szCs w:val="24"/>
        </w:rPr>
        <w:t xml:space="preserve"> (figure</w:t>
      </w:r>
      <w:r w:rsidR="00CE4648" w:rsidRPr="00BC2C95">
        <w:rPr>
          <w:rFonts w:ascii="Arial" w:hAnsi="Arial" w:cs="Arial"/>
          <w:sz w:val="24"/>
          <w:szCs w:val="24"/>
        </w:rPr>
        <w:t xml:space="preserve"> 2.1</w:t>
      </w:r>
      <w:r w:rsidR="003E4F64" w:rsidRPr="00BC2C95">
        <w:rPr>
          <w:rFonts w:ascii="Arial" w:hAnsi="Arial" w:cs="Arial"/>
          <w:sz w:val="24"/>
          <w:szCs w:val="24"/>
        </w:rPr>
        <w:t>)</w:t>
      </w:r>
      <w:r w:rsidR="00D90077" w:rsidRPr="00BC2C95">
        <w:rPr>
          <w:rFonts w:ascii="Arial" w:hAnsi="Arial" w:cs="Arial"/>
          <w:sz w:val="24"/>
          <w:szCs w:val="24"/>
        </w:rPr>
        <w:t xml:space="preserve">. </w:t>
      </w:r>
      <w:r w:rsidR="00B1451B" w:rsidRPr="00BC2C95">
        <w:rPr>
          <w:rFonts w:ascii="Arial" w:hAnsi="Arial" w:cs="Arial"/>
          <w:sz w:val="24"/>
          <w:szCs w:val="24"/>
        </w:rPr>
        <w:t xml:space="preserve">Cardiff </w:t>
      </w:r>
      <w:r w:rsidR="001D4A37" w:rsidRPr="00BC2C95">
        <w:rPr>
          <w:rFonts w:ascii="Arial" w:hAnsi="Arial" w:cs="Arial"/>
          <w:sz w:val="24"/>
          <w:szCs w:val="24"/>
        </w:rPr>
        <w:t>has a much larger p</w:t>
      </w:r>
      <w:r w:rsidR="00752480" w:rsidRPr="00BC2C95">
        <w:rPr>
          <w:rFonts w:ascii="Arial" w:hAnsi="Arial" w:cs="Arial"/>
          <w:sz w:val="24"/>
          <w:szCs w:val="24"/>
        </w:rPr>
        <w:t>roportion</w:t>
      </w:r>
      <w:r w:rsidR="001D4A37" w:rsidRPr="00BC2C95">
        <w:rPr>
          <w:rFonts w:ascii="Arial" w:hAnsi="Arial" w:cs="Arial"/>
          <w:sz w:val="24"/>
          <w:szCs w:val="24"/>
        </w:rPr>
        <w:t xml:space="preserve"> of its population in the age </w:t>
      </w:r>
      <w:r w:rsidR="00F97C5D" w:rsidRPr="00BC2C95">
        <w:rPr>
          <w:rFonts w:ascii="Arial" w:hAnsi="Arial" w:cs="Arial"/>
          <w:sz w:val="24"/>
          <w:szCs w:val="24"/>
        </w:rPr>
        <w:t>group</w:t>
      </w:r>
      <w:r w:rsidR="00844744" w:rsidRPr="00BC2C95">
        <w:rPr>
          <w:rFonts w:ascii="Arial" w:hAnsi="Arial" w:cs="Arial"/>
          <w:sz w:val="24"/>
          <w:szCs w:val="24"/>
        </w:rPr>
        <w:t>s</w:t>
      </w:r>
      <w:r w:rsidR="00F97C5D" w:rsidRPr="00BC2C95">
        <w:rPr>
          <w:rFonts w:ascii="Arial" w:hAnsi="Arial" w:cs="Arial"/>
          <w:sz w:val="24"/>
          <w:szCs w:val="24"/>
        </w:rPr>
        <w:t xml:space="preserve"> </w:t>
      </w:r>
      <w:r w:rsidR="00B62640" w:rsidRPr="00BC2C95">
        <w:rPr>
          <w:rFonts w:ascii="Arial" w:hAnsi="Arial" w:cs="Arial"/>
          <w:sz w:val="24"/>
          <w:szCs w:val="24"/>
        </w:rPr>
        <w:t>between</w:t>
      </w:r>
      <w:r w:rsidR="00F97C5D" w:rsidRPr="00BC2C95">
        <w:rPr>
          <w:rFonts w:ascii="Arial" w:hAnsi="Arial" w:cs="Arial"/>
          <w:sz w:val="24"/>
          <w:szCs w:val="24"/>
        </w:rPr>
        <w:t xml:space="preserve"> </w:t>
      </w:r>
      <w:r w:rsidR="005B32EA" w:rsidRPr="00BC2C95">
        <w:rPr>
          <w:rFonts w:ascii="Arial" w:hAnsi="Arial" w:cs="Arial"/>
          <w:sz w:val="24"/>
          <w:szCs w:val="24"/>
        </w:rPr>
        <w:t>19</w:t>
      </w:r>
      <w:r w:rsidR="00A860DF" w:rsidRPr="00BC2C95">
        <w:rPr>
          <w:rFonts w:ascii="Arial" w:hAnsi="Arial" w:cs="Arial"/>
          <w:sz w:val="24"/>
          <w:szCs w:val="24"/>
        </w:rPr>
        <w:t xml:space="preserve"> years to </w:t>
      </w:r>
      <w:r w:rsidR="00E516CF" w:rsidRPr="00BC2C95">
        <w:rPr>
          <w:rFonts w:ascii="Arial" w:hAnsi="Arial" w:cs="Arial"/>
          <w:sz w:val="24"/>
          <w:szCs w:val="24"/>
        </w:rPr>
        <w:t>40</w:t>
      </w:r>
      <w:r w:rsidR="00A860DF" w:rsidRPr="00BC2C95">
        <w:rPr>
          <w:rFonts w:ascii="Arial" w:hAnsi="Arial" w:cs="Arial"/>
          <w:sz w:val="24"/>
          <w:szCs w:val="24"/>
        </w:rPr>
        <w:t xml:space="preserve"> years, </w:t>
      </w:r>
      <w:r w:rsidR="00586907" w:rsidRPr="00BC2C95">
        <w:rPr>
          <w:rFonts w:ascii="Arial" w:hAnsi="Arial" w:cs="Arial"/>
          <w:sz w:val="24"/>
          <w:szCs w:val="24"/>
        </w:rPr>
        <w:t xml:space="preserve">with </w:t>
      </w:r>
      <w:r w:rsidR="00927036" w:rsidRPr="00BC2C95">
        <w:rPr>
          <w:rFonts w:ascii="Arial" w:hAnsi="Arial" w:cs="Arial"/>
          <w:sz w:val="24"/>
          <w:szCs w:val="24"/>
        </w:rPr>
        <w:t>the highest p</w:t>
      </w:r>
      <w:r w:rsidR="0051600A" w:rsidRPr="00BC2C95">
        <w:rPr>
          <w:rFonts w:ascii="Arial" w:hAnsi="Arial" w:cs="Arial"/>
          <w:sz w:val="24"/>
          <w:szCs w:val="24"/>
        </w:rPr>
        <w:t>ercentage</w:t>
      </w:r>
      <w:r w:rsidR="00927036" w:rsidRPr="00BC2C95">
        <w:rPr>
          <w:rFonts w:ascii="Arial" w:hAnsi="Arial" w:cs="Arial"/>
          <w:sz w:val="24"/>
          <w:szCs w:val="24"/>
        </w:rPr>
        <w:t xml:space="preserve"> </w:t>
      </w:r>
      <w:r w:rsidR="006A6CE8" w:rsidRPr="00BC2C95">
        <w:rPr>
          <w:rFonts w:ascii="Arial" w:hAnsi="Arial" w:cs="Arial"/>
          <w:sz w:val="24"/>
          <w:szCs w:val="24"/>
        </w:rPr>
        <w:t xml:space="preserve">being </w:t>
      </w:r>
      <w:r w:rsidR="00927036" w:rsidRPr="00BC2C95">
        <w:rPr>
          <w:rFonts w:ascii="Arial" w:hAnsi="Arial" w:cs="Arial"/>
          <w:sz w:val="24"/>
          <w:szCs w:val="24"/>
        </w:rPr>
        <w:t xml:space="preserve">between </w:t>
      </w:r>
      <w:r w:rsidR="00931E45" w:rsidRPr="00BC2C95">
        <w:rPr>
          <w:rFonts w:ascii="Arial" w:hAnsi="Arial" w:cs="Arial"/>
          <w:sz w:val="24"/>
          <w:szCs w:val="24"/>
        </w:rPr>
        <w:t xml:space="preserve">the </w:t>
      </w:r>
      <w:r w:rsidR="00844744" w:rsidRPr="00BC2C95">
        <w:rPr>
          <w:rFonts w:ascii="Arial" w:hAnsi="Arial" w:cs="Arial"/>
          <w:sz w:val="24"/>
          <w:szCs w:val="24"/>
        </w:rPr>
        <w:t>age</w:t>
      </w:r>
      <w:r w:rsidR="00931E45" w:rsidRPr="00BC2C95">
        <w:rPr>
          <w:rFonts w:ascii="Arial" w:hAnsi="Arial" w:cs="Arial"/>
          <w:sz w:val="24"/>
          <w:szCs w:val="24"/>
        </w:rPr>
        <w:t xml:space="preserve">s of </w:t>
      </w:r>
      <w:r w:rsidR="001B4308" w:rsidRPr="00BC2C95">
        <w:rPr>
          <w:rFonts w:ascii="Arial" w:hAnsi="Arial" w:cs="Arial"/>
          <w:sz w:val="24"/>
          <w:szCs w:val="24"/>
        </w:rPr>
        <w:t>19</w:t>
      </w:r>
      <w:r w:rsidR="00927036" w:rsidRPr="00BC2C95">
        <w:rPr>
          <w:rFonts w:ascii="Arial" w:hAnsi="Arial" w:cs="Arial"/>
          <w:sz w:val="24"/>
          <w:szCs w:val="24"/>
        </w:rPr>
        <w:t xml:space="preserve"> to 2</w:t>
      </w:r>
      <w:r w:rsidR="00AC4A3C" w:rsidRPr="00BC2C95">
        <w:rPr>
          <w:rFonts w:ascii="Arial" w:hAnsi="Arial" w:cs="Arial"/>
          <w:sz w:val="24"/>
          <w:szCs w:val="24"/>
        </w:rPr>
        <w:t>2</w:t>
      </w:r>
      <w:r w:rsidR="00927036" w:rsidRPr="00BC2C95">
        <w:rPr>
          <w:rFonts w:ascii="Arial" w:hAnsi="Arial" w:cs="Arial"/>
          <w:sz w:val="24"/>
          <w:szCs w:val="24"/>
        </w:rPr>
        <w:t xml:space="preserve"> years</w:t>
      </w:r>
      <w:r w:rsidR="00827487" w:rsidRPr="00BC2C95">
        <w:rPr>
          <w:rFonts w:ascii="Arial" w:hAnsi="Arial" w:cs="Arial"/>
          <w:sz w:val="24"/>
          <w:szCs w:val="24"/>
        </w:rPr>
        <w:t xml:space="preserve"> due to its high student population</w:t>
      </w:r>
      <w:r w:rsidR="00927036" w:rsidRPr="00BC2C95">
        <w:rPr>
          <w:rFonts w:ascii="Arial" w:hAnsi="Arial" w:cs="Arial"/>
          <w:sz w:val="24"/>
          <w:szCs w:val="24"/>
        </w:rPr>
        <w:t xml:space="preserve">. </w:t>
      </w:r>
      <w:r w:rsidR="00980C27" w:rsidRPr="00BC2C95">
        <w:rPr>
          <w:rFonts w:ascii="Arial" w:hAnsi="Arial" w:cs="Arial"/>
          <w:sz w:val="24"/>
          <w:szCs w:val="24"/>
        </w:rPr>
        <w:t>In co</w:t>
      </w:r>
      <w:r w:rsidR="007447F1" w:rsidRPr="00BC2C95">
        <w:rPr>
          <w:rFonts w:ascii="Arial" w:hAnsi="Arial" w:cs="Arial"/>
          <w:sz w:val="24"/>
          <w:szCs w:val="24"/>
        </w:rPr>
        <w:t>ntrast</w:t>
      </w:r>
      <w:r w:rsidR="007803D7" w:rsidRPr="00BC2C95">
        <w:rPr>
          <w:rFonts w:ascii="Arial" w:hAnsi="Arial" w:cs="Arial"/>
          <w:sz w:val="24"/>
          <w:szCs w:val="24"/>
        </w:rPr>
        <w:t xml:space="preserve">, </w:t>
      </w:r>
      <w:r w:rsidR="00980C27" w:rsidRPr="00BC2C95">
        <w:rPr>
          <w:rFonts w:ascii="Arial" w:hAnsi="Arial" w:cs="Arial"/>
          <w:sz w:val="24"/>
          <w:szCs w:val="24"/>
        </w:rPr>
        <w:t xml:space="preserve">the population of the Vale of Glamorgan </w:t>
      </w:r>
      <w:r w:rsidR="0083607F" w:rsidRPr="00BC2C95">
        <w:rPr>
          <w:rFonts w:ascii="Arial" w:hAnsi="Arial" w:cs="Arial"/>
          <w:sz w:val="24"/>
          <w:szCs w:val="24"/>
        </w:rPr>
        <w:t xml:space="preserve">decreases </w:t>
      </w:r>
      <w:r w:rsidR="007562B3" w:rsidRPr="00BC2C95">
        <w:rPr>
          <w:rFonts w:ascii="Arial" w:hAnsi="Arial" w:cs="Arial"/>
          <w:sz w:val="24"/>
          <w:szCs w:val="24"/>
        </w:rPr>
        <w:t xml:space="preserve">around </w:t>
      </w:r>
      <w:r w:rsidR="007803D7" w:rsidRPr="00BC2C95">
        <w:rPr>
          <w:rFonts w:ascii="Arial" w:hAnsi="Arial" w:cs="Arial"/>
          <w:sz w:val="24"/>
          <w:szCs w:val="24"/>
        </w:rPr>
        <w:t xml:space="preserve">the </w:t>
      </w:r>
      <w:r w:rsidR="007562B3" w:rsidRPr="00BC2C95">
        <w:rPr>
          <w:rFonts w:ascii="Arial" w:hAnsi="Arial" w:cs="Arial"/>
          <w:sz w:val="24"/>
          <w:szCs w:val="24"/>
        </w:rPr>
        <w:t xml:space="preserve">age </w:t>
      </w:r>
      <w:r w:rsidR="00DD12A9" w:rsidRPr="00BC2C95">
        <w:rPr>
          <w:rFonts w:ascii="Arial" w:hAnsi="Arial" w:cs="Arial"/>
          <w:sz w:val="24"/>
          <w:szCs w:val="24"/>
        </w:rPr>
        <w:t xml:space="preserve">of </w:t>
      </w:r>
      <w:r w:rsidR="00BB0E37" w:rsidRPr="00BC2C95">
        <w:rPr>
          <w:rFonts w:ascii="Arial" w:hAnsi="Arial" w:cs="Arial"/>
          <w:sz w:val="24"/>
          <w:szCs w:val="24"/>
        </w:rPr>
        <w:t xml:space="preserve">19 </w:t>
      </w:r>
      <w:r w:rsidR="00EC4395" w:rsidRPr="00BC2C95">
        <w:rPr>
          <w:rFonts w:ascii="Arial" w:hAnsi="Arial" w:cs="Arial"/>
          <w:sz w:val="24"/>
          <w:szCs w:val="24"/>
        </w:rPr>
        <w:t xml:space="preserve">years most likely due </w:t>
      </w:r>
      <w:r w:rsidR="00703198" w:rsidRPr="00BC2C95">
        <w:rPr>
          <w:rFonts w:ascii="Arial" w:hAnsi="Arial" w:cs="Arial"/>
          <w:sz w:val="24"/>
          <w:szCs w:val="24"/>
        </w:rPr>
        <w:t xml:space="preserve">to </w:t>
      </w:r>
      <w:r w:rsidR="00EC4395" w:rsidRPr="00BC2C95">
        <w:rPr>
          <w:rFonts w:ascii="Arial" w:hAnsi="Arial" w:cs="Arial"/>
          <w:sz w:val="24"/>
          <w:szCs w:val="24"/>
        </w:rPr>
        <w:t>people leaving home to study</w:t>
      </w:r>
      <w:r w:rsidR="00D758BB" w:rsidRPr="00BC2C95">
        <w:rPr>
          <w:rFonts w:ascii="Arial" w:hAnsi="Arial" w:cs="Arial"/>
          <w:sz w:val="24"/>
          <w:szCs w:val="24"/>
        </w:rPr>
        <w:t xml:space="preserve"> outside of the area</w:t>
      </w:r>
      <w:r w:rsidR="00EC4395" w:rsidRPr="00BC2C95">
        <w:rPr>
          <w:rFonts w:ascii="Arial" w:hAnsi="Arial" w:cs="Arial"/>
          <w:sz w:val="24"/>
          <w:szCs w:val="24"/>
        </w:rPr>
        <w:t>.</w:t>
      </w:r>
      <w:r w:rsidR="00275DDA" w:rsidRPr="00BC2C95">
        <w:rPr>
          <w:rFonts w:ascii="Arial" w:hAnsi="Arial" w:cs="Arial"/>
          <w:sz w:val="24"/>
          <w:szCs w:val="24"/>
        </w:rPr>
        <w:t xml:space="preserve"> After which, the</w:t>
      </w:r>
      <w:r w:rsidR="00C83D33" w:rsidRPr="00BC2C95">
        <w:rPr>
          <w:rFonts w:ascii="Arial" w:hAnsi="Arial" w:cs="Arial"/>
          <w:sz w:val="24"/>
          <w:szCs w:val="24"/>
        </w:rPr>
        <w:t xml:space="preserve"> population increases </w:t>
      </w:r>
      <w:r w:rsidR="0091114D" w:rsidRPr="00BC2C95">
        <w:rPr>
          <w:rFonts w:ascii="Arial" w:hAnsi="Arial" w:cs="Arial"/>
          <w:sz w:val="24"/>
          <w:szCs w:val="24"/>
        </w:rPr>
        <w:t>gradually</w:t>
      </w:r>
      <w:r w:rsidR="00C83D33" w:rsidRPr="00BC2C95">
        <w:rPr>
          <w:rFonts w:ascii="Arial" w:hAnsi="Arial" w:cs="Arial"/>
          <w:sz w:val="24"/>
          <w:szCs w:val="24"/>
        </w:rPr>
        <w:t xml:space="preserve"> </w:t>
      </w:r>
      <w:r w:rsidR="00814302" w:rsidRPr="00BC2C95">
        <w:rPr>
          <w:rFonts w:ascii="Arial" w:hAnsi="Arial" w:cs="Arial"/>
          <w:sz w:val="24"/>
          <w:szCs w:val="24"/>
        </w:rPr>
        <w:t>with age</w:t>
      </w:r>
      <w:r w:rsidR="00095A8F" w:rsidRPr="00BC2C95">
        <w:rPr>
          <w:rFonts w:ascii="Arial" w:hAnsi="Arial" w:cs="Arial"/>
          <w:sz w:val="24"/>
          <w:szCs w:val="24"/>
        </w:rPr>
        <w:t xml:space="preserve">. </w:t>
      </w:r>
      <w:r w:rsidR="00394B6C" w:rsidRPr="00BC2C95">
        <w:rPr>
          <w:rFonts w:ascii="Arial" w:hAnsi="Arial" w:cs="Arial"/>
          <w:sz w:val="24"/>
          <w:szCs w:val="24"/>
        </w:rPr>
        <w:t xml:space="preserve">Around the age of 60, </w:t>
      </w:r>
      <w:r w:rsidR="00A47EA3" w:rsidRPr="00BC2C95">
        <w:rPr>
          <w:rFonts w:ascii="Arial" w:hAnsi="Arial" w:cs="Arial"/>
          <w:sz w:val="24"/>
          <w:szCs w:val="24"/>
        </w:rPr>
        <w:t>the</w:t>
      </w:r>
      <w:r w:rsidR="00B72186" w:rsidRPr="00BC2C95">
        <w:rPr>
          <w:rFonts w:ascii="Arial" w:hAnsi="Arial" w:cs="Arial"/>
          <w:sz w:val="24"/>
          <w:szCs w:val="24"/>
        </w:rPr>
        <w:t xml:space="preserve"> </w:t>
      </w:r>
      <w:r w:rsidR="009075B7" w:rsidRPr="00BC2C95">
        <w:rPr>
          <w:rFonts w:ascii="Arial" w:hAnsi="Arial" w:cs="Arial"/>
          <w:sz w:val="24"/>
          <w:szCs w:val="24"/>
        </w:rPr>
        <w:t xml:space="preserve">percentage of the </w:t>
      </w:r>
      <w:r w:rsidR="00394B6C" w:rsidRPr="00BC2C95">
        <w:rPr>
          <w:rFonts w:ascii="Arial" w:hAnsi="Arial" w:cs="Arial"/>
          <w:sz w:val="24"/>
          <w:szCs w:val="24"/>
        </w:rPr>
        <w:t>popul</w:t>
      </w:r>
      <w:r w:rsidR="006D2D6F" w:rsidRPr="00BC2C95">
        <w:rPr>
          <w:rFonts w:ascii="Arial" w:hAnsi="Arial" w:cs="Arial"/>
          <w:sz w:val="24"/>
          <w:szCs w:val="24"/>
        </w:rPr>
        <w:t xml:space="preserve">ation </w:t>
      </w:r>
      <w:r w:rsidR="00B72186" w:rsidRPr="00BC2C95">
        <w:rPr>
          <w:rFonts w:ascii="Arial" w:hAnsi="Arial" w:cs="Arial"/>
          <w:sz w:val="24"/>
          <w:szCs w:val="24"/>
        </w:rPr>
        <w:t xml:space="preserve">reduces steadily with age </w:t>
      </w:r>
      <w:r w:rsidR="00B2573F" w:rsidRPr="00BC2C95">
        <w:rPr>
          <w:rFonts w:ascii="Arial" w:hAnsi="Arial" w:cs="Arial"/>
          <w:sz w:val="24"/>
          <w:szCs w:val="24"/>
        </w:rPr>
        <w:t xml:space="preserve">for </w:t>
      </w:r>
      <w:r w:rsidR="006D2D6F" w:rsidRPr="00BC2C95">
        <w:rPr>
          <w:rFonts w:ascii="Arial" w:hAnsi="Arial" w:cs="Arial"/>
          <w:sz w:val="24"/>
          <w:szCs w:val="24"/>
        </w:rPr>
        <w:t xml:space="preserve">of both Cardiff and the Vale of Glamorgan. </w:t>
      </w:r>
      <w:r w:rsidR="002226DB" w:rsidRPr="00BC2C95">
        <w:rPr>
          <w:rFonts w:ascii="Arial" w:hAnsi="Arial" w:cs="Arial"/>
          <w:sz w:val="24"/>
          <w:szCs w:val="24"/>
        </w:rPr>
        <w:t xml:space="preserve"> </w:t>
      </w:r>
      <w:r w:rsidR="00923278" w:rsidRPr="00BC2C95">
        <w:rPr>
          <w:rFonts w:ascii="Arial" w:hAnsi="Arial" w:cs="Arial"/>
          <w:sz w:val="24"/>
          <w:szCs w:val="24"/>
        </w:rPr>
        <w:t xml:space="preserve">There is a small noticeable percentage increase around the </w:t>
      </w:r>
      <w:r w:rsidR="008C2C69" w:rsidRPr="00BC2C95">
        <w:rPr>
          <w:rFonts w:ascii="Arial" w:hAnsi="Arial" w:cs="Arial"/>
          <w:sz w:val="24"/>
          <w:szCs w:val="24"/>
        </w:rPr>
        <w:t xml:space="preserve">age of 70 and a much larger noticeable increase in the over 90s </w:t>
      </w:r>
      <w:r w:rsidR="003D478F" w:rsidRPr="00BC2C95">
        <w:rPr>
          <w:rFonts w:ascii="Arial" w:hAnsi="Arial" w:cs="Arial"/>
          <w:sz w:val="24"/>
          <w:szCs w:val="24"/>
        </w:rPr>
        <w:t xml:space="preserve">group. </w:t>
      </w:r>
      <w:r w:rsidR="0051468C" w:rsidRPr="00BC2C95">
        <w:rPr>
          <w:rFonts w:ascii="Arial" w:hAnsi="Arial" w:cs="Arial"/>
          <w:sz w:val="24"/>
          <w:szCs w:val="24"/>
        </w:rPr>
        <w:t>Overall, t</w:t>
      </w:r>
      <w:r w:rsidR="00E5756A" w:rsidRPr="00BC2C95">
        <w:rPr>
          <w:rFonts w:ascii="Arial" w:hAnsi="Arial" w:cs="Arial"/>
          <w:sz w:val="24"/>
          <w:szCs w:val="24"/>
        </w:rPr>
        <w:t xml:space="preserve">here is a fairly even </w:t>
      </w:r>
      <w:r w:rsidR="0073016B" w:rsidRPr="00BC2C95">
        <w:rPr>
          <w:rFonts w:ascii="Arial" w:hAnsi="Arial" w:cs="Arial"/>
          <w:sz w:val="24"/>
          <w:szCs w:val="24"/>
        </w:rPr>
        <w:t xml:space="preserve">gender </w:t>
      </w:r>
      <w:r w:rsidR="00E5756A" w:rsidRPr="00BC2C95">
        <w:rPr>
          <w:rFonts w:ascii="Arial" w:hAnsi="Arial" w:cs="Arial"/>
          <w:sz w:val="24"/>
          <w:szCs w:val="24"/>
        </w:rPr>
        <w:t xml:space="preserve">balance </w:t>
      </w:r>
      <w:r w:rsidR="0073016B" w:rsidRPr="00BC2C95">
        <w:rPr>
          <w:rFonts w:ascii="Arial" w:hAnsi="Arial" w:cs="Arial"/>
          <w:sz w:val="24"/>
          <w:szCs w:val="24"/>
        </w:rPr>
        <w:t>in both Cardiff and the Vale of Glamorgan</w:t>
      </w:r>
      <w:r w:rsidR="00564557" w:rsidRPr="00BC2C95">
        <w:rPr>
          <w:rFonts w:ascii="Arial" w:hAnsi="Arial" w:cs="Arial"/>
          <w:sz w:val="24"/>
          <w:szCs w:val="24"/>
        </w:rPr>
        <w:t xml:space="preserve">, with the most noticeable difference being in the over 90 age group, where the female percentage of the population </w:t>
      </w:r>
      <w:r w:rsidR="00B04CCA" w:rsidRPr="00BC2C95">
        <w:rPr>
          <w:rFonts w:ascii="Arial" w:hAnsi="Arial" w:cs="Arial"/>
          <w:sz w:val="24"/>
          <w:szCs w:val="24"/>
        </w:rPr>
        <w:t xml:space="preserve">is </w:t>
      </w:r>
      <w:r w:rsidR="00D05B94" w:rsidRPr="00BC2C95">
        <w:rPr>
          <w:rFonts w:ascii="Arial" w:hAnsi="Arial" w:cs="Arial"/>
          <w:sz w:val="24"/>
          <w:szCs w:val="24"/>
        </w:rPr>
        <w:t xml:space="preserve">much </w:t>
      </w:r>
      <w:r w:rsidR="00B04CCA" w:rsidRPr="00BC2C95">
        <w:rPr>
          <w:rFonts w:ascii="Arial" w:hAnsi="Arial" w:cs="Arial"/>
          <w:sz w:val="24"/>
          <w:szCs w:val="24"/>
        </w:rPr>
        <w:t xml:space="preserve">higher. </w:t>
      </w:r>
    </w:p>
    <w:p w14:paraId="48AD7705" w14:textId="77777777" w:rsidR="00AA5955" w:rsidRPr="00BC2C95" w:rsidRDefault="00AA5955" w:rsidP="00DC54F7">
      <w:pPr>
        <w:spacing w:after="0" w:line="240" w:lineRule="auto"/>
        <w:jc w:val="both"/>
        <w:rPr>
          <w:rFonts w:ascii="Arial" w:hAnsi="Arial" w:cs="Arial"/>
          <w:sz w:val="24"/>
          <w:szCs w:val="24"/>
        </w:rPr>
      </w:pPr>
    </w:p>
    <w:p w14:paraId="4F4D7149" w14:textId="7C416D36" w:rsidR="001732BF" w:rsidRPr="00BC2C95" w:rsidRDefault="001732BF" w:rsidP="00DC54F7">
      <w:p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In the Vale of Glamorgan, the median age (the age at which half the population is older than and half the population is younger than), is 43.8 years</w:t>
      </w:r>
      <w:r w:rsidR="00CE4648" w:rsidRPr="00BC2C95">
        <w:rPr>
          <w:rFonts w:ascii="Arial" w:eastAsia="Times New Roman" w:hAnsi="Arial" w:cs="Arial"/>
          <w:color w:val="000000"/>
          <w:sz w:val="24"/>
          <w:szCs w:val="24"/>
          <w:lang w:eastAsia="en-GB"/>
        </w:rPr>
        <w:t xml:space="preserve">. This is </w:t>
      </w:r>
      <w:r w:rsidRPr="00BC2C95">
        <w:rPr>
          <w:rFonts w:ascii="Arial" w:eastAsia="Times New Roman" w:hAnsi="Arial" w:cs="Arial"/>
          <w:color w:val="000000"/>
          <w:sz w:val="24"/>
          <w:szCs w:val="24"/>
          <w:lang w:eastAsia="en-GB"/>
        </w:rPr>
        <w:t xml:space="preserve">1.3 years above the average for Wales at 42.5 years. </w:t>
      </w:r>
      <w:r w:rsidR="00FA0212" w:rsidRPr="00BC2C95">
        <w:rPr>
          <w:rFonts w:ascii="Arial" w:eastAsia="Times New Roman" w:hAnsi="Arial" w:cs="Arial"/>
          <w:color w:val="000000"/>
          <w:sz w:val="24"/>
          <w:szCs w:val="24"/>
          <w:lang w:eastAsia="en-GB"/>
        </w:rPr>
        <w:t>In Cardiff, t</w:t>
      </w:r>
      <w:r w:rsidRPr="00BC2C95">
        <w:rPr>
          <w:rFonts w:ascii="Arial" w:eastAsia="Times New Roman" w:hAnsi="Arial" w:cs="Arial"/>
          <w:color w:val="000000"/>
          <w:sz w:val="24"/>
          <w:szCs w:val="24"/>
          <w:lang w:eastAsia="en-GB"/>
        </w:rPr>
        <w:t>he</w:t>
      </w:r>
      <w:r w:rsidR="00FA0212" w:rsidRPr="00BC2C95">
        <w:rPr>
          <w:rFonts w:ascii="Arial" w:eastAsia="Times New Roman" w:hAnsi="Arial" w:cs="Arial"/>
          <w:color w:val="000000"/>
          <w:sz w:val="24"/>
          <w:szCs w:val="24"/>
          <w:lang w:eastAsia="en-GB"/>
        </w:rPr>
        <w:t xml:space="preserve"> median age is much younger at </w:t>
      </w:r>
      <w:r w:rsidRPr="00BC2C95">
        <w:rPr>
          <w:rFonts w:ascii="Arial" w:eastAsia="Times New Roman" w:hAnsi="Arial" w:cs="Arial"/>
          <w:color w:val="000000"/>
          <w:sz w:val="24"/>
          <w:szCs w:val="24"/>
          <w:lang w:eastAsia="en-GB"/>
        </w:rPr>
        <w:lastRenderedPageBreak/>
        <w:t xml:space="preserve">33.6 years, which is 10.2 years lower than the Vale of Glamorgan and 8.9 years lower </w:t>
      </w:r>
      <w:r w:rsidR="00F95718" w:rsidRPr="00BC2C95">
        <w:rPr>
          <w:rFonts w:ascii="Arial" w:eastAsia="Times New Roman" w:hAnsi="Arial" w:cs="Arial"/>
          <w:color w:val="000000"/>
          <w:sz w:val="24"/>
          <w:szCs w:val="24"/>
          <w:lang w:eastAsia="en-GB"/>
        </w:rPr>
        <w:t>than the average for Wales</w:t>
      </w:r>
      <w:r w:rsidRPr="00BC2C95">
        <w:rPr>
          <w:rFonts w:ascii="Arial" w:eastAsia="Times New Roman" w:hAnsi="Arial" w:cs="Arial"/>
          <w:color w:val="000000"/>
          <w:sz w:val="24"/>
          <w:szCs w:val="24"/>
          <w:lang w:eastAsia="en-GB"/>
        </w:rPr>
        <w:t>.</w:t>
      </w:r>
    </w:p>
    <w:p w14:paraId="5BAAA7A6" w14:textId="77777777" w:rsidR="00BC2C95" w:rsidRDefault="00BC2C95" w:rsidP="00DC54F7">
      <w:pPr>
        <w:spacing w:after="0" w:line="240" w:lineRule="auto"/>
        <w:jc w:val="both"/>
        <w:rPr>
          <w:rFonts w:ascii="Arial" w:hAnsi="Arial" w:cs="Arial"/>
        </w:rPr>
      </w:pPr>
      <w:bookmarkStart w:id="5" w:name="_Toc63533025"/>
    </w:p>
    <w:p w14:paraId="3A483B85" w14:textId="672398D2" w:rsidR="00D90077" w:rsidRPr="00BC2C95" w:rsidRDefault="00D90077" w:rsidP="00DC54F7">
      <w:pPr>
        <w:spacing w:after="0" w:line="240" w:lineRule="auto"/>
        <w:jc w:val="both"/>
        <w:rPr>
          <w:rFonts w:ascii="Arial" w:hAnsi="Arial" w:cs="Arial"/>
          <w:b/>
          <w:bCs/>
          <w:sz w:val="24"/>
          <w:szCs w:val="24"/>
        </w:rPr>
      </w:pPr>
      <w:r w:rsidRPr="00BC2C95">
        <w:rPr>
          <w:rFonts w:ascii="Arial" w:hAnsi="Arial" w:cs="Arial"/>
          <w:b/>
          <w:bCs/>
          <w:sz w:val="24"/>
          <w:szCs w:val="24"/>
        </w:rPr>
        <w:t>Figure</w:t>
      </w:r>
      <w:r w:rsidR="008F4406" w:rsidRPr="00BC2C95">
        <w:rPr>
          <w:rFonts w:ascii="Arial" w:hAnsi="Arial" w:cs="Arial"/>
          <w:b/>
          <w:bCs/>
          <w:sz w:val="24"/>
          <w:szCs w:val="24"/>
        </w:rPr>
        <w:t xml:space="preserve"> 2.1</w:t>
      </w:r>
      <w:r w:rsidRPr="00BC2C95">
        <w:rPr>
          <w:rFonts w:ascii="Arial" w:hAnsi="Arial" w:cs="Arial"/>
          <w:b/>
          <w:bCs/>
          <w:sz w:val="24"/>
          <w:szCs w:val="24"/>
        </w:rPr>
        <w:t xml:space="preserve">: Population pyramid for Cardiff and Vale of Glamorgan </w:t>
      </w:r>
      <w:r w:rsidR="00567F4B" w:rsidRPr="00BC2C95">
        <w:rPr>
          <w:rFonts w:ascii="Arial" w:hAnsi="Arial" w:cs="Arial"/>
          <w:b/>
          <w:bCs/>
          <w:sz w:val="24"/>
          <w:szCs w:val="24"/>
        </w:rPr>
        <w:t>local</w:t>
      </w:r>
      <w:r w:rsidRPr="00BC2C95">
        <w:rPr>
          <w:rFonts w:ascii="Arial" w:hAnsi="Arial" w:cs="Arial"/>
          <w:b/>
          <w:bCs/>
          <w:sz w:val="24"/>
          <w:szCs w:val="24"/>
        </w:rPr>
        <w:t xml:space="preserve"> authority, 2019</w:t>
      </w:r>
      <w:bookmarkEnd w:id="5"/>
    </w:p>
    <w:p w14:paraId="0671D9DF" w14:textId="77777777" w:rsidR="00E3472D" w:rsidRPr="00936361" w:rsidRDefault="00E3472D" w:rsidP="00DC54F7">
      <w:pPr>
        <w:spacing w:after="0" w:line="240" w:lineRule="auto"/>
        <w:jc w:val="both"/>
        <w:rPr>
          <w:rFonts w:ascii="Arial" w:hAnsi="Arial" w:cs="Arial"/>
          <w:b/>
          <w:bCs/>
        </w:rPr>
      </w:pPr>
    </w:p>
    <w:p w14:paraId="24840885" w14:textId="7675D97A" w:rsidR="00A34926" w:rsidRPr="00A34926" w:rsidRDefault="00A34926" w:rsidP="00DC54F7">
      <w:pPr>
        <w:spacing w:after="0" w:line="240" w:lineRule="auto"/>
        <w:jc w:val="both"/>
        <w:rPr>
          <w:rFonts w:ascii="Arial" w:eastAsia="Times New Roman" w:hAnsi="Arial" w:cs="Arial"/>
          <w:b/>
          <w:bCs/>
          <w:color w:val="000000"/>
          <w:lang w:eastAsia="en-GB"/>
        </w:rPr>
      </w:pPr>
      <w:r w:rsidRPr="00A34926">
        <w:rPr>
          <w:b/>
          <w:bCs/>
        </w:rPr>
        <w:t>Cardiff</w:t>
      </w:r>
      <w:r w:rsidR="00740326">
        <w:rPr>
          <w:b/>
          <w:bCs/>
        </w:rPr>
        <w:tab/>
      </w:r>
      <w:r w:rsidR="00740326">
        <w:rPr>
          <w:b/>
          <w:bCs/>
        </w:rPr>
        <w:tab/>
      </w:r>
      <w:r w:rsidR="00740326">
        <w:rPr>
          <w:b/>
          <w:bCs/>
        </w:rPr>
        <w:tab/>
      </w:r>
      <w:r w:rsidR="00740326">
        <w:rPr>
          <w:b/>
          <w:bCs/>
        </w:rPr>
        <w:tab/>
      </w:r>
      <w:r w:rsidR="00740326">
        <w:rPr>
          <w:b/>
          <w:bCs/>
        </w:rPr>
        <w:tab/>
      </w:r>
      <w:r w:rsidR="00740326">
        <w:rPr>
          <w:b/>
          <w:bCs/>
        </w:rPr>
        <w:tab/>
        <w:t>Vale of Glamorgan</w:t>
      </w:r>
    </w:p>
    <w:p w14:paraId="00202FAB" w14:textId="3EB2CED7" w:rsidR="00D90077" w:rsidRPr="005C70E3" w:rsidRDefault="00D90077" w:rsidP="00DC54F7">
      <w:pPr>
        <w:keepNext/>
        <w:spacing w:after="0" w:line="240" w:lineRule="auto"/>
        <w:jc w:val="both"/>
        <w:rPr>
          <w:rFonts w:ascii="Arial" w:hAnsi="Arial" w:cs="Arial"/>
          <w:b/>
          <w:bCs/>
          <w:color w:val="323132"/>
          <w:shd w:val="clear" w:color="auto" w:fill="FFFFFF"/>
        </w:rPr>
      </w:pPr>
      <w:r>
        <w:rPr>
          <w:noProof/>
          <w:lang w:eastAsia="en-GB"/>
        </w:rPr>
        <w:drawing>
          <wp:inline distT="0" distB="0" distL="0" distR="0" wp14:anchorId="468DE1BE" wp14:editId="4C1A017A">
            <wp:extent cx="5731510" cy="3417570"/>
            <wp:effectExtent l="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31510" cy="3417570"/>
                    </a:xfrm>
                    <a:prstGeom prst="rect">
                      <a:avLst/>
                    </a:prstGeom>
                  </pic:spPr>
                </pic:pic>
              </a:graphicData>
            </a:graphic>
          </wp:inline>
        </w:drawing>
      </w:r>
      <w:r w:rsidRPr="00BC2C95">
        <w:rPr>
          <w:rFonts w:ascii="Arial" w:hAnsi="Arial" w:cs="Arial"/>
          <w:color w:val="323132"/>
          <w:sz w:val="20"/>
          <w:szCs w:val="20"/>
          <w:shd w:val="clear" w:color="auto" w:fill="FFFFFF"/>
        </w:rPr>
        <w:t xml:space="preserve">Source:  – Office for National Statistics </w:t>
      </w:r>
      <w:r w:rsidR="00D17AF7" w:rsidRPr="00BC2C95">
        <w:rPr>
          <w:rFonts w:ascii="Arial" w:hAnsi="Arial" w:cs="Arial"/>
          <w:color w:val="323132"/>
          <w:sz w:val="20"/>
          <w:szCs w:val="20"/>
          <w:shd w:val="clear" w:color="auto" w:fill="FFFFFF"/>
        </w:rPr>
        <w:t xml:space="preserve">- </w:t>
      </w:r>
      <w:r w:rsidRPr="00BC2C95">
        <w:rPr>
          <w:rFonts w:ascii="Arial" w:hAnsi="Arial" w:cs="Arial"/>
          <w:color w:val="323132"/>
          <w:sz w:val="20"/>
          <w:szCs w:val="20"/>
          <w:shd w:val="clear" w:color="auto" w:fill="FFFFFF"/>
        </w:rPr>
        <w:t>Population estimates for the UK, England and Wales, Scotland and Northern Ireland</w:t>
      </w:r>
      <w:r w:rsidR="006D07B8" w:rsidRPr="00BC2C95">
        <w:rPr>
          <w:rFonts w:ascii="Arial" w:hAnsi="Arial" w:cs="Arial"/>
          <w:color w:val="323132"/>
          <w:sz w:val="20"/>
          <w:szCs w:val="20"/>
          <w:shd w:val="clear" w:color="auto" w:fill="FFFFFF"/>
        </w:rPr>
        <w:t>, 2020 (</w:t>
      </w:r>
      <w:r w:rsidRPr="00BC2C95">
        <w:rPr>
          <w:rFonts w:ascii="Arial" w:hAnsi="Arial" w:cs="Arial"/>
          <w:color w:val="323132"/>
          <w:sz w:val="20"/>
          <w:szCs w:val="20"/>
          <w:shd w:val="clear" w:color="auto" w:fill="FFFFFF"/>
        </w:rPr>
        <w:t xml:space="preserve">interactive population pyramid, </w:t>
      </w:r>
      <w:r w:rsidR="006D07B8" w:rsidRPr="00BC2C95">
        <w:rPr>
          <w:rFonts w:ascii="Arial" w:hAnsi="Arial" w:cs="Arial"/>
          <w:color w:val="323132"/>
          <w:sz w:val="20"/>
          <w:szCs w:val="20"/>
          <w:shd w:val="clear" w:color="auto" w:fill="FFFFFF"/>
        </w:rPr>
        <w:t>2019)</w:t>
      </w:r>
    </w:p>
    <w:p w14:paraId="2910078E" w14:textId="77777777" w:rsidR="005C70E3" w:rsidRDefault="005C70E3" w:rsidP="00DC54F7">
      <w:pPr>
        <w:spacing w:after="0" w:line="240" w:lineRule="auto"/>
        <w:jc w:val="both"/>
        <w:rPr>
          <w:rFonts w:ascii="Arial" w:eastAsia="Times New Roman" w:hAnsi="Arial" w:cs="Arial"/>
          <w:color w:val="000000"/>
          <w:lang w:eastAsia="en-GB"/>
        </w:rPr>
      </w:pPr>
    </w:p>
    <w:p w14:paraId="546332BE" w14:textId="29499749" w:rsidR="00E3472D" w:rsidRPr="00FA61D2" w:rsidRDefault="00824D21" w:rsidP="00FA61D2">
      <w:pPr>
        <w:spacing w:after="0" w:line="240" w:lineRule="auto"/>
        <w:jc w:val="both"/>
        <w:rPr>
          <w:rFonts w:ascii="Arial" w:eastAsia="Times New Roman" w:hAnsi="Arial" w:cs="Arial"/>
          <w:color w:val="000000"/>
          <w:sz w:val="24"/>
          <w:szCs w:val="24"/>
          <w:lang w:eastAsia="en-GB"/>
        </w:rPr>
      </w:pPr>
      <w:r w:rsidRPr="00BC2C95">
        <w:rPr>
          <w:rFonts w:ascii="Arial" w:eastAsia="Times New Roman" w:hAnsi="Arial" w:cs="Arial"/>
          <w:color w:val="000000"/>
          <w:sz w:val="24"/>
          <w:szCs w:val="24"/>
          <w:lang w:eastAsia="en-GB"/>
        </w:rPr>
        <w:t xml:space="preserve">Of all the </w:t>
      </w:r>
      <w:r w:rsidR="00567F4B" w:rsidRPr="00BC2C95">
        <w:rPr>
          <w:rFonts w:ascii="Arial" w:eastAsia="Times New Roman" w:hAnsi="Arial" w:cs="Arial"/>
          <w:color w:val="000000"/>
          <w:sz w:val="24"/>
          <w:szCs w:val="24"/>
          <w:lang w:eastAsia="en-GB"/>
        </w:rPr>
        <w:t>local</w:t>
      </w:r>
      <w:r w:rsidRPr="00BC2C95">
        <w:rPr>
          <w:rFonts w:ascii="Arial" w:eastAsia="Times New Roman" w:hAnsi="Arial" w:cs="Arial"/>
          <w:color w:val="000000"/>
          <w:sz w:val="24"/>
          <w:szCs w:val="24"/>
          <w:lang w:eastAsia="en-GB"/>
        </w:rPr>
        <w:t xml:space="preserve"> authorities in Wales, Cardiff has the lowest p</w:t>
      </w:r>
      <w:r w:rsidR="00BA1C95" w:rsidRPr="00BC2C95">
        <w:rPr>
          <w:rFonts w:ascii="Arial" w:eastAsia="Times New Roman" w:hAnsi="Arial" w:cs="Arial"/>
          <w:color w:val="000000"/>
          <w:sz w:val="24"/>
          <w:szCs w:val="24"/>
          <w:lang w:eastAsia="en-GB"/>
        </w:rPr>
        <w:t>roportion</w:t>
      </w:r>
      <w:r w:rsidRPr="00BC2C95">
        <w:rPr>
          <w:rFonts w:ascii="Arial" w:eastAsia="Times New Roman" w:hAnsi="Arial" w:cs="Arial"/>
          <w:color w:val="000000"/>
          <w:sz w:val="24"/>
          <w:szCs w:val="24"/>
          <w:lang w:eastAsia="en-GB"/>
        </w:rPr>
        <w:t xml:space="preserve"> of its population aged over 65 years old (14.2%) and has the highest p</w:t>
      </w:r>
      <w:r w:rsidR="00BA1C95" w:rsidRPr="00BC2C95">
        <w:rPr>
          <w:rFonts w:ascii="Arial" w:eastAsia="Times New Roman" w:hAnsi="Arial" w:cs="Arial"/>
          <w:color w:val="000000"/>
          <w:sz w:val="24"/>
          <w:szCs w:val="24"/>
          <w:lang w:eastAsia="en-GB"/>
        </w:rPr>
        <w:t>roportion</w:t>
      </w:r>
      <w:r w:rsidRPr="00BC2C95">
        <w:rPr>
          <w:rFonts w:ascii="Arial" w:eastAsia="Times New Roman" w:hAnsi="Arial" w:cs="Arial"/>
          <w:color w:val="000000"/>
          <w:sz w:val="24"/>
          <w:szCs w:val="24"/>
          <w:lang w:eastAsia="en-GB"/>
        </w:rPr>
        <w:t xml:space="preserve"> of its population aged between 16 to 64 years (67.4%). The proportion of the population aged 65 years and over in the Vale of Glamorgan (21.2%) is similar to </w:t>
      </w:r>
      <w:r w:rsidR="002D624A" w:rsidRPr="00BC2C95">
        <w:rPr>
          <w:rFonts w:ascii="Arial" w:eastAsia="Times New Roman" w:hAnsi="Arial" w:cs="Arial"/>
          <w:color w:val="000000"/>
          <w:sz w:val="24"/>
          <w:szCs w:val="24"/>
          <w:lang w:eastAsia="en-GB"/>
        </w:rPr>
        <w:t xml:space="preserve">the average for </w:t>
      </w:r>
      <w:r w:rsidRPr="00BC2C95">
        <w:rPr>
          <w:rFonts w:ascii="Arial" w:eastAsia="Times New Roman" w:hAnsi="Arial" w:cs="Arial"/>
          <w:color w:val="000000"/>
          <w:sz w:val="24"/>
          <w:szCs w:val="24"/>
          <w:lang w:eastAsia="en-GB"/>
        </w:rPr>
        <w:t>Wales (21.0%)</w:t>
      </w:r>
      <w:r w:rsidR="00A16A3B" w:rsidRPr="00BC2C95">
        <w:rPr>
          <w:rFonts w:ascii="Arial" w:eastAsia="Times New Roman" w:hAnsi="Arial" w:cs="Arial"/>
          <w:color w:val="000000"/>
          <w:sz w:val="24"/>
          <w:szCs w:val="24"/>
          <w:lang w:eastAsia="en-GB"/>
        </w:rPr>
        <w:t>.</w:t>
      </w:r>
      <w:r w:rsidR="000572FC" w:rsidRPr="00BC2C95">
        <w:rPr>
          <w:rFonts w:ascii="Arial" w:eastAsia="Times New Roman" w:hAnsi="Arial" w:cs="Arial"/>
          <w:color w:val="000000"/>
          <w:sz w:val="24"/>
          <w:szCs w:val="24"/>
          <w:lang w:eastAsia="en-GB"/>
        </w:rPr>
        <w:t xml:space="preserve"> </w:t>
      </w:r>
      <w:r w:rsidR="004462A8" w:rsidRPr="00BC2C95">
        <w:rPr>
          <w:rFonts w:ascii="Arial" w:eastAsia="Times New Roman" w:hAnsi="Arial" w:cs="Arial"/>
          <w:color w:val="000000"/>
          <w:sz w:val="24"/>
          <w:szCs w:val="24"/>
          <w:lang w:eastAsia="en-GB"/>
        </w:rPr>
        <w:t>F</w:t>
      </w:r>
      <w:r w:rsidR="0003074C" w:rsidRPr="00BC2C95">
        <w:rPr>
          <w:rFonts w:ascii="Arial" w:eastAsia="Times New Roman" w:hAnsi="Arial" w:cs="Arial"/>
          <w:color w:val="000000"/>
          <w:sz w:val="24"/>
          <w:szCs w:val="24"/>
          <w:lang w:eastAsia="en-GB"/>
        </w:rPr>
        <w:t xml:space="preserve">or </w:t>
      </w:r>
      <w:r w:rsidR="006F0075" w:rsidRPr="00BC2C95">
        <w:rPr>
          <w:rFonts w:ascii="Arial" w:eastAsia="Times New Roman" w:hAnsi="Arial" w:cs="Arial"/>
          <w:color w:val="000000"/>
          <w:sz w:val="24"/>
          <w:szCs w:val="24"/>
          <w:lang w:eastAsia="en-GB"/>
        </w:rPr>
        <w:t xml:space="preserve">the </w:t>
      </w:r>
      <w:r w:rsidR="0003074C" w:rsidRPr="00BC2C95">
        <w:rPr>
          <w:rFonts w:ascii="Arial" w:eastAsia="Times New Roman" w:hAnsi="Arial" w:cs="Arial"/>
          <w:color w:val="000000"/>
          <w:sz w:val="24"/>
          <w:szCs w:val="24"/>
          <w:lang w:eastAsia="en-GB"/>
        </w:rPr>
        <w:t xml:space="preserve">age group </w:t>
      </w:r>
      <w:r w:rsidRPr="00BC2C95">
        <w:rPr>
          <w:rFonts w:ascii="Arial" w:eastAsia="Times New Roman" w:hAnsi="Arial" w:cs="Arial"/>
          <w:color w:val="000000"/>
          <w:sz w:val="24"/>
          <w:szCs w:val="24"/>
          <w:lang w:eastAsia="en-GB"/>
        </w:rPr>
        <w:t>16 to 64 years</w:t>
      </w:r>
      <w:r w:rsidR="004462A8" w:rsidRPr="00BC2C95">
        <w:rPr>
          <w:rFonts w:ascii="Arial" w:eastAsia="Times New Roman" w:hAnsi="Arial" w:cs="Arial"/>
          <w:color w:val="000000"/>
          <w:sz w:val="24"/>
          <w:szCs w:val="24"/>
          <w:lang w:eastAsia="en-GB"/>
        </w:rPr>
        <w:t xml:space="preserve">, </w:t>
      </w:r>
      <w:r w:rsidRPr="00BC2C95">
        <w:rPr>
          <w:rFonts w:ascii="Arial" w:eastAsia="Times New Roman" w:hAnsi="Arial" w:cs="Arial"/>
          <w:color w:val="000000"/>
          <w:sz w:val="24"/>
          <w:szCs w:val="24"/>
          <w:lang w:eastAsia="en-GB"/>
        </w:rPr>
        <w:t xml:space="preserve">the Vale of Glamorgan (60.3%) is </w:t>
      </w:r>
      <w:r w:rsidR="009E69F0" w:rsidRPr="00BC2C95">
        <w:rPr>
          <w:rFonts w:ascii="Arial" w:eastAsia="Times New Roman" w:hAnsi="Arial" w:cs="Arial"/>
          <w:color w:val="000000"/>
          <w:sz w:val="24"/>
          <w:szCs w:val="24"/>
          <w:lang w:eastAsia="en-GB"/>
        </w:rPr>
        <w:t xml:space="preserve">slightly lower than </w:t>
      </w:r>
      <w:r w:rsidR="00882870" w:rsidRPr="00BC2C95">
        <w:rPr>
          <w:rFonts w:ascii="Arial" w:eastAsia="Times New Roman" w:hAnsi="Arial" w:cs="Arial"/>
          <w:color w:val="000000"/>
          <w:sz w:val="24"/>
          <w:szCs w:val="24"/>
          <w:lang w:eastAsia="en-GB"/>
        </w:rPr>
        <w:t xml:space="preserve">the average for </w:t>
      </w:r>
      <w:r w:rsidRPr="00BC2C95">
        <w:rPr>
          <w:rFonts w:ascii="Arial" w:eastAsia="Times New Roman" w:hAnsi="Arial" w:cs="Arial"/>
          <w:color w:val="000000"/>
          <w:sz w:val="24"/>
          <w:szCs w:val="24"/>
          <w:lang w:eastAsia="en-GB"/>
        </w:rPr>
        <w:t>Wales (61.1%)</w:t>
      </w:r>
      <w:r w:rsidR="004B47C7" w:rsidRPr="00BC2C95">
        <w:rPr>
          <w:rFonts w:ascii="Arial" w:eastAsia="Times New Roman" w:hAnsi="Arial" w:cs="Arial"/>
          <w:color w:val="000000"/>
          <w:sz w:val="24"/>
          <w:szCs w:val="24"/>
          <w:lang w:eastAsia="en-GB"/>
        </w:rPr>
        <w:t>.</w:t>
      </w:r>
      <w:r w:rsidR="00AD53C9" w:rsidRPr="00BC2C95">
        <w:rPr>
          <w:rFonts w:ascii="Arial" w:eastAsia="Times New Roman" w:hAnsi="Arial" w:cs="Arial"/>
          <w:color w:val="000000"/>
          <w:sz w:val="24"/>
          <w:szCs w:val="24"/>
          <w:lang w:eastAsia="en-GB"/>
        </w:rPr>
        <w:t xml:space="preserve"> </w:t>
      </w:r>
      <w:r w:rsidR="005B0A08" w:rsidRPr="00BC2C95">
        <w:rPr>
          <w:rFonts w:ascii="Arial" w:eastAsia="Times New Roman" w:hAnsi="Arial" w:cs="Arial"/>
          <w:color w:val="000000"/>
          <w:sz w:val="24"/>
          <w:szCs w:val="24"/>
          <w:lang w:eastAsia="en-GB"/>
        </w:rPr>
        <w:t>The proportion of the population</w:t>
      </w:r>
      <w:r w:rsidR="00B66620" w:rsidRPr="00BC2C95">
        <w:rPr>
          <w:rFonts w:ascii="Arial" w:eastAsia="Times New Roman" w:hAnsi="Arial" w:cs="Arial"/>
          <w:color w:val="000000"/>
          <w:sz w:val="24"/>
          <w:szCs w:val="24"/>
          <w:lang w:eastAsia="en-GB"/>
        </w:rPr>
        <w:t xml:space="preserve"> aged 15 years and younger is similar in Cardiff (</w:t>
      </w:r>
      <w:r w:rsidR="000F534B" w:rsidRPr="00BC2C95">
        <w:rPr>
          <w:rFonts w:ascii="Arial" w:eastAsia="Times New Roman" w:hAnsi="Arial" w:cs="Arial"/>
          <w:color w:val="000000"/>
          <w:sz w:val="24"/>
          <w:szCs w:val="24"/>
          <w:lang w:eastAsia="en-GB"/>
        </w:rPr>
        <w:t xml:space="preserve">18.4%) </w:t>
      </w:r>
      <w:r w:rsidR="00B66620" w:rsidRPr="00BC2C95">
        <w:rPr>
          <w:rFonts w:ascii="Arial" w:eastAsia="Times New Roman" w:hAnsi="Arial" w:cs="Arial"/>
          <w:color w:val="000000"/>
          <w:sz w:val="24"/>
          <w:szCs w:val="24"/>
          <w:lang w:eastAsia="en-GB"/>
        </w:rPr>
        <w:t xml:space="preserve">and the Vale of Glamorgan </w:t>
      </w:r>
      <w:r w:rsidR="000F534B" w:rsidRPr="00BC2C95">
        <w:rPr>
          <w:rFonts w:ascii="Arial" w:eastAsia="Times New Roman" w:hAnsi="Arial" w:cs="Arial"/>
          <w:color w:val="000000"/>
          <w:sz w:val="24"/>
          <w:szCs w:val="24"/>
          <w:lang w:eastAsia="en-GB"/>
        </w:rPr>
        <w:t>(18.5%) and is higher than the average for Wales (17.9%).</w:t>
      </w:r>
    </w:p>
    <w:p w14:paraId="132F0638" w14:textId="0A46ACE3" w:rsidR="00D90077" w:rsidRPr="00BC2C95" w:rsidRDefault="008F4406" w:rsidP="00DC54F7">
      <w:pPr>
        <w:pStyle w:val="Caption"/>
        <w:spacing w:before="0" w:after="0"/>
        <w:jc w:val="both"/>
        <w:rPr>
          <w:rFonts w:ascii="Arial" w:hAnsi="Arial" w:cs="Arial"/>
          <w:szCs w:val="24"/>
        </w:rPr>
      </w:pPr>
      <w:r w:rsidRPr="00BC2C95">
        <w:rPr>
          <w:rFonts w:ascii="Arial" w:hAnsi="Arial" w:cs="Arial"/>
          <w:szCs w:val="24"/>
        </w:rPr>
        <w:lastRenderedPageBreak/>
        <w:t>Figure 2.2</w:t>
      </w:r>
      <w:r w:rsidR="00D90077" w:rsidRPr="00BC2C95">
        <w:rPr>
          <w:rFonts w:ascii="Arial" w:hAnsi="Arial" w:cs="Arial"/>
          <w:szCs w:val="24"/>
        </w:rPr>
        <w:t>: Population percentages</w:t>
      </w:r>
      <w:r w:rsidR="00220C5B" w:rsidRPr="00BC2C95">
        <w:rPr>
          <w:rFonts w:ascii="Arial" w:hAnsi="Arial" w:cs="Arial"/>
          <w:szCs w:val="24"/>
        </w:rPr>
        <w:t xml:space="preserve"> </w:t>
      </w:r>
      <w:r w:rsidR="00D90077" w:rsidRPr="00BC2C95">
        <w:rPr>
          <w:rFonts w:ascii="Arial" w:hAnsi="Arial" w:cs="Arial"/>
          <w:szCs w:val="24"/>
        </w:rPr>
        <w:t>by age group</w:t>
      </w:r>
      <w:r w:rsidR="00220C5B" w:rsidRPr="00BC2C95">
        <w:rPr>
          <w:rFonts w:ascii="Arial" w:hAnsi="Arial" w:cs="Arial"/>
          <w:szCs w:val="24"/>
        </w:rPr>
        <w:t xml:space="preserve"> </w:t>
      </w:r>
      <w:r w:rsidR="00C75486" w:rsidRPr="00BC2C95">
        <w:rPr>
          <w:rFonts w:ascii="Arial" w:hAnsi="Arial" w:cs="Arial"/>
          <w:szCs w:val="24"/>
        </w:rPr>
        <w:t xml:space="preserve">and </w:t>
      </w:r>
      <w:r w:rsidR="00220C5B" w:rsidRPr="00BC2C95">
        <w:rPr>
          <w:rFonts w:ascii="Arial" w:hAnsi="Arial" w:cs="Arial"/>
          <w:szCs w:val="24"/>
        </w:rPr>
        <w:t xml:space="preserve">by </w:t>
      </w:r>
      <w:r w:rsidR="00567F4B" w:rsidRPr="00BC2C95">
        <w:rPr>
          <w:rFonts w:ascii="Arial" w:hAnsi="Arial" w:cs="Arial"/>
          <w:szCs w:val="24"/>
        </w:rPr>
        <w:t>local</w:t>
      </w:r>
      <w:r w:rsidR="00D90077" w:rsidRPr="00BC2C95">
        <w:rPr>
          <w:rFonts w:ascii="Arial" w:hAnsi="Arial" w:cs="Arial"/>
          <w:szCs w:val="24"/>
        </w:rPr>
        <w:t xml:space="preserve"> authority, health board and Wales, 2019</w:t>
      </w:r>
    </w:p>
    <w:p w14:paraId="0E0E4992" w14:textId="43455EDF" w:rsidR="00D90077" w:rsidRDefault="00B35B63" w:rsidP="00DC54F7">
      <w:pPr>
        <w:spacing w:after="0"/>
        <w:jc w:val="both"/>
        <w:rPr>
          <w:rFonts w:ascii="Calibri" w:eastAsia="Times New Roman" w:hAnsi="Calibri" w:cs="Calibri"/>
          <w:color w:val="000000"/>
          <w:lang w:eastAsia="en-GB"/>
        </w:rPr>
      </w:pPr>
      <w:r>
        <w:rPr>
          <w:noProof/>
          <w:lang w:eastAsia="en-GB"/>
        </w:rPr>
        <w:drawing>
          <wp:inline distT="0" distB="0" distL="0" distR="0" wp14:anchorId="575567ED" wp14:editId="455A3625">
            <wp:extent cx="5669280" cy="2338705"/>
            <wp:effectExtent l="0" t="0" r="7620" b="4445"/>
            <wp:docPr id="3" name="Chart 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877BA2B-E85B-4D84-95B4-7A03D131E3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D71E69D" w14:textId="1D0C8A65" w:rsidR="006553B8" w:rsidRPr="00BC2C95" w:rsidRDefault="006553B8" w:rsidP="00DC54F7">
      <w:pPr>
        <w:spacing w:after="0" w:line="240" w:lineRule="auto"/>
        <w:jc w:val="both"/>
        <w:rPr>
          <w:rFonts w:ascii="Arial" w:eastAsia="Times New Roman" w:hAnsi="Arial" w:cs="Arial"/>
          <w:color w:val="000000"/>
          <w:sz w:val="20"/>
          <w:szCs w:val="20"/>
          <w:lang w:eastAsia="en-GB"/>
        </w:rPr>
      </w:pPr>
      <w:r w:rsidRPr="00BC2C95">
        <w:rPr>
          <w:rFonts w:ascii="Arial" w:eastAsia="Times New Roman" w:hAnsi="Arial" w:cs="Arial"/>
          <w:color w:val="000000"/>
          <w:sz w:val="20"/>
          <w:szCs w:val="20"/>
          <w:lang w:eastAsia="en-GB"/>
        </w:rPr>
        <w:t>Source: StatsWales - Mid-year population estimates, Office for National Statistics</w:t>
      </w:r>
    </w:p>
    <w:p w14:paraId="39FC1B2F" w14:textId="77777777" w:rsidR="00B932A0" w:rsidRDefault="00B932A0" w:rsidP="00DC54F7">
      <w:pPr>
        <w:spacing w:after="0" w:line="240" w:lineRule="auto"/>
        <w:contextualSpacing/>
        <w:jc w:val="both"/>
        <w:rPr>
          <w:rFonts w:ascii="Arial" w:hAnsi="Arial" w:cs="Arial"/>
        </w:rPr>
      </w:pPr>
    </w:p>
    <w:p w14:paraId="661E3988" w14:textId="73C725A5" w:rsidR="00EE0F9B" w:rsidRPr="00BC2C95" w:rsidRDefault="00EE0F9B" w:rsidP="00DC54F7">
      <w:pPr>
        <w:spacing w:after="0" w:line="240" w:lineRule="auto"/>
        <w:contextualSpacing/>
        <w:jc w:val="both"/>
        <w:rPr>
          <w:rFonts w:ascii="Arial" w:hAnsi="Arial" w:cs="Arial"/>
          <w:sz w:val="24"/>
          <w:szCs w:val="24"/>
        </w:rPr>
      </w:pPr>
      <w:r w:rsidRPr="00BC2C95">
        <w:rPr>
          <w:rFonts w:ascii="Arial" w:hAnsi="Arial" w:cs="Arial"/>
          <w:sz w:val="24"/>
          <w:szCs w:val="24"/>
        </w:rPr>
        <w:t xml:space="preserve">Since 2018, the population of Cardiff increased by </w:t>
      </w:r>
      <w:r w:rsidR="008A2CDD" w:rsidRPr="00BC2C95">
        <w:rPr>
          <w:rFonts w:ascii="Arial" w:hAnsi="Arial" w:cs="Arial"/>
          <w:sz w:val="24"/>
          <w:szCs w:val="24"/>
        </w:rPr>
        <w:t>2,65</w:t>
      </w:r>
      <w:r w:rsidR="006F6C58" w:rsidRPr="00BC2C95">
        <w:rPr>
          <w:rFonts w:ascii="Arial" w:hAnsi="Arial" w:cs="Arial"/>
          <w:sz w:val="24"/>
          <w:szCs w:val="24"/>
        </w:rPr>
        <w:t>5</w:t>
      </w:r>
      <w:r w:rsidRPr="00BC2C95">
        <w:rPr>
          <w:rFonts w:ascii="Arial" w:hAnsi="Arial" w:cs="Arial"/>
          <w:sz w:val="24"/>
          <w:szCs w:val="24"/>
        </w:rPr>
        <w:t xml:space="preserve"> (</w:t>
      </w:r>
      <w:r w:rsidR="008A2CDD" w:rsidRPr="00BC2C95">
        <w:rPr>
          <w:rFonts w:ascii="Arial" w:hAnsi="Arial" w:cs="Arial"/>
          <w:sz w:val="24"/>
          <w:szCs w:val="24"/>
        </w:rPr>
        <w:t>0.7</w:t>
      </w:r>
      <w:r w:rsidRPr="00BC2C95">
        <w:rPr>
          <w:rFonts w:ascii="Arial" w:hAnsi="Arial" w:cs="Arial"/>
          <w:sz w:val="24"/>
          <w:szCs w:val="24"/>
        </w:rPr>
        <w:t xml:space="preserve">%) from </w:t>
      </w:r>
      <w:r w:rsidR="008A2CDD" w:rsidRPr="00BC2C95">
        <w:rPr>
          <w:rFonts w:ascii="Arial" w:eastAsia="Times New Roman" w:hAnsi="Arial" w:cs="Arial"/>
          <w:color w:val="000000"/>
          <w:sz w:val="24"/>
          <w:szCs w:val="24"/>
          <w:lang w:eastAsia="en-GB"/>
        </w:rPr>
        <w:t>364,248 to 366,903</w:t>
      </w:r>
      <w:r w:rsidRPr="00BC2C95">
        <w:rPr>
          <w:rFonts w:ascii="Arial" w:hAnsi="Arial" w:cs="Arial"/>
          <w:sz w:val="24"/>
          <w:szCs w:val="24"/>
        </w:rPr>
        <w:t>. This was mainly due to interna</w:t>
      </w:r>
      <w:r w:rsidR="005C205E" w:rsidRPr="00BC2C95">
        <w:rPr>
          <w:rFonts w:ascii="Arial" w:hAnsi="Arial" w:cs="Arial"/>
          <w:sz w:val="24"/>
          <w:szCs w:val="24"/>
        </w:rPr>
        <w:t>tiona</w:t>
      </w:r>
      <w:r w:rsidRPr="00BC2C95">
        <w:rPr>
          <w:rFonts w:ascii="Arial" w:hAnsi="Arial" w:cs="Arial"/>
          <w:sz w:val="24"/>
          <w:szCs w:val="24"/>
        </w:rPr>
        <w:t>l migration (</w:t>
      </w:r>
      <w:r w:rsidR="00812D92" w:rsidRPr="00BC2C95">
        <w:rPr>
          <w:rFonts w:ascii="Arial" w:hAnsi="Arial" w:cs="Arial"/>
          <w:sz w:val="24"/>
          <w:szCs w:val="24"/>
        </w:rPr>
        <w:t>2653</w:t>
      </w:r>
      <w:r w:rsidRPr="00BC2C95">
        <w:rPr>
          <w:rFonts w:ascii="Arial" w:hAnsi="Arial" w:cs="Arial"/>
          <w:sz w:val="24"/>
          <w:szCs w:val="24"/>
        </w:rPr>
        <w:t>)</w:t>
      </w:r>
      <w:r w:rsidR="00E56706" w:rsidRPr="00BC2C95">
        <w:rPr>
          <w:rFonts w:ascii="Arial" w:hAnsi="Arial" w:cs="Arial"/>
          <w:sz w:val="24"/>
          <w:szCs w:val="24"/>
        </w:rPr>
        <w:t xml:space="preserve"> </w:t>
      </w:r>
      <w:r w:rsidR="00676444" w:rsidRPr="00BC2C95">
        <w:rPr>
          <w:rFonts w:ascii="Arial" w:hAnsi="Arial" w:cs="Arial"/>
          <w:sz w:val="24"/>
          <w:szCs w:val="24"/>
        </w:rPr>
        <w:t>w</w:t>
      </w:r>
      <w:r w:rsidR="00E56706" w:rsidRPr="00BC2C95">
        <w:rPr>
          <w:rFonts w:ascii="Arial" w:hAnsi="Arial" w:cs="Arial"/>
          <w:sz w:val="24"/>
          <w:szCs w:val="24"/>
        </w:rPr>
        <w:t>h</w:t>
      </w:r>
      <w:r w:rsidR="00676444" w:rsidRPr="00BC2C95">
        <w:rPr>
          <w:rFonts w:ascii="Arial" w:hAnsi="Arial" w:cs="Arial"/>
          <w:sz w:val="24"/>
          <w:szCs w:val="24"/>
        </w:rPr>
        <w:t xml:space="preserve">ere </w:t>
      </w:r>
      <w:r w:rsidR="00E56706" w:rsidRPr="00BC2C95">
        <w:rPr>
          <w:rFonts w:ascii="Arial" w:hAnsi="Arial" w:cs="Arial"/>
          <w:sz w:val="24"/>
          <w:szCs w:val="24"/>
        </w:rPr>
        <w:t>there w</w:t>
      </w:r>
      <w:r w:rsidR="001608D5" w:rsidRPr="00BC2C95">
        <w:rPr>
          <w:rFonts w:ascii="Arial" w:hAnsi="Arial" w:cs="Arial"/>
          <w:sz w:val="24"/>
          <w:szCs w:val="24"/>
        </w:rPr>
        <w:t>ere</w:t>
      </w:r>
      <w:r w:rsidR="00E56706" w:rsidRPr="00BC2C95">
        <w:rPr>
          <w:rFonts w:ascii="Arial" w:hAnsi="Arial" w:cs="Arial"/>
          <w:sz w:val="24"/>
          <w:szCs w:val="24"/>
        </w:rPr>
        <w:t xml:space="preserve"> </w:t>
      </w:r>
      <w:r w:rsidR="00676444" w:rsidRPr="00BC2C95">
        <w:rPr>
          <w:rFonts w:ascii="Arial" w:hAnsi="Arial" w:cs="Arial"/>
          <w:sz w:val="24"/>
          <w:szCs w:val="24"/>
        </w:rPr>
        <w:t xml:space="preserve">more </w:t>
      </w:r>
      <w:r w:rsidR="003566F9" w:rsidRPr="00BC2C95">
        <w:rPr>
          <w:rFonts w:ascii="Arial" w:hAnsi="Arial" w:cs="Arial"/>
          <w:sz w:val="24"/>
          <w:szCs w:val="24"/>
        </w:rPr>
        <w:t>internation</w:t>
      </w:r>
      <w:r w:rsidR="007B780A" w:rsidRPr="00BC2C95">
        <w:rPr>
          <w:rFonts w:ascii="Arial" w:hAnsi="Arial" w:cs="Arial"/>
          <w:sz w:val="24"/>
          <w:szCs w:val="24"/>
        </w:rPr>
        <w:t xml:space="preserve">al </w:t>
      </w:r>
      <w:r w:rsidR="00676444" w:rsidRPr="00BC2C95">
        <w:rPr>
          <w:rFonts w:ascii="Arial" w:hAnsi="Arial" w:cs="Arial"/>
          <w:sz w:val="24"/>
          <w:szCs w:val="24"/>
        </w:rPr>
        <w:t>i</w:t>
      </w:r>
      <w:r w:rsidR="00270B4E" w:rsidRPr="00BC2C95">
        <w:rPr>
          <w:rFonts w:ascii="Arial" w:hAnsi="Arial" w:cs="Arial"/>
          <w:sz w:val="24"/>
          <w:szCs w:val="24"/>
        </w:rPr>
        <w:t>m</w:t>
      </w:r>
      <w:r w:rsidR="00676444" w:rsidRPr="00BC2C95">
        <w:rPr>
          <w:rFonts w:ascii="Arial" w:hAnsi="Arial" w:cs="Arial"/>
          <w:sz w:val="24"/>
          <w:szCs w:val="24"/>
        </w:rPr>
        <w:t xml:space="preserve">migrants than </w:t>
      </w:r>
      <w:r w:rsidR="007B780A" w:rsidRPr="00BC2C95">
        <w:rPr>
          <w:rFonts w:ascii="Arial" w:hAnsi="Arial" w:cs="Arial"/>
          <w:sz w:val="24"/>
          <w:szCs w:val="24"/>
        </w:rPr>
        <w:t xml:space="preserve">international </w:t>
      </w:r>
      <w:r w:rsidR="008D2108" w:rsidRPr="00BC2C95">
        <w:rPr>
          <w:rFonts w:ascii="Arial" w:hAnsi="Arial" w:cs="Arial"/>
          <w:sz w:val="24"/>
          <w:szCs w:val="24"/>
        </w:rPr>
        <w:t>e</w:t>
      </w:r>
      <w:r w:rsidR="00676444" w:rsidRPr="00BC2C95">
        <w:rPr>
          <w:rFonts w:ascii="Arial" w:hAnsi="Arial" w:cs="Arial"/>
          <w:sz w:val="24"/>
          <w:szCs w:val="24"/>
        </w:rPr>
        <w:t xml:space="preserve">migrants. </w:t>
      </w:r>
      <w:r w:rsidR="00622DD0" w:rsidRPr="00BC2C95">
        <w:rPr>
          <w:rFonts w:ascii="Arial" w:hAnsi="Arial" w:cs="Arial"/>
          <w:sz w:val="24"/>
          <w:szCs w:val="24"/>
        </w:rPr>
        <w:t>There w</w:t>
      </w:r>
      <w:r w:rsidR="009C0942" w:rsidRPr="00BC2C95">
        <w:rPr>
          <w:rFonts w:ascii="Arial" w:hAnsi="Arial" w:cs="Arial"/>
          <w:sz w:val="24"/>
          <w:szCs w:val="24"/>
        </w:rPr>
        <w:t>ere</w:t>
      </w:r>
      <w:r w:rsidR="00622DD0" w:rsidRPr="00BC2C95">
        <w:rPr>
          <w:rFonts w:ascii="Arial" w:hAnsi="Arial" w:cs="Arial"/>
          <w:sz w:val="24"/>
          <w:szCs w:val="24"/>
        </w:rPr>
        <w:t xml:space="preserve"> also </w:t>
      </w:r>
      <w:r w:rsidR="00674429" w:rsidRPr="00BC2C95">
        <w:rPr>
          <w:rFonts w:ascii="Arial" w:hAnsi="Arial" w:cs="Arial"/>
          <w:sz w:val="24"/>
          <w:szCs w:val="24"/>
        </w:rPr>
        <w:t xml:space="preserve">more births than deaths </w:t>
      </w:r>
      <w:r w:rsidR="00AD4052" w:rsidRPr="00BC2C95">
        <w:rPr>
          <w:rFonts w:ascii="Arial" w:hAnsi="Arial" w:cs="Arial"/>
          <w:sz w:val="24"/>
          <w:szCs w:val="24"/>
        </w:rPr>
        <w:t>in Cardiff</w:t>
      </w:r>
      <w:r w:rsidR="00B5314D" w:rsidRPr="00BC2C95">
        <w:rPr>
          <w:rFonts w:ascii="Arial" w:hAnsi="Arial" w:cs="Arial"/>
          <w:sz w:val="24"/>
          <w:szCs w:val="24"/>
        </w:rPr>
        <w:t xml:space="preserve">, </w:t>
      </w:r>
      <w:r w:rsidR="008C2BBA" w:rsidRPr="00BC2C95">
        <w:rPr>
          <w:rFonts w:ascii="Arial" w:hAnsi="Arial" w:cs="Arial"/>
          <w:sz w:val="24"/>
          <w:szCs w:val="24"/>
        </w:rPr>
        <w:t xml:space="preserve">leading to a natural change of 1112. </w:t>
      </w:r>
      <w:r w:rsidR="00B5314D" w:rsidRPr="00BC2C95">
        <w:rPr>
          <w:rFonts w:ascii="Arial" w:hAnsi="Arial" w:cs="Arial"/>
          <w:sz w:val="24"/>
          <w:szCs w:val="24"/>
        </w:rPr>
        <w:t>When looking at internal migration, m</w:t>
      </w:r>
      <w:r w:rsidR="00B54460" w:rsidRPr="00BC2C95">
        <w:rPr>
          <w:rFonts w:ascii="Arial" w:hAnsi="Arial" w:cs="Arial"/>
          <w:sz w:val="24"/>
          <w:szCs w:val="24"/>
        </w:rPr>
        <w:t xml:space="preserve">ore people </w:t>
      </w:r>
      <w:r w:rsidR="00F0298C" w:rsidRPr="00BC2C95">
        <w:rPr>
          <w:rFonts w:ascii="Arial" w:hAnsi="Arial" w:cs="Arial"/>
          <w:sz w:val="24"/>
          <w:szCs w:val="24"/>
        </w:rPr>
        <w:t xml:space="preserve">moved out of Cardiff to other areas </w:t>
      </w:r>
      <w:r w:rsidR="002719EF" w:rsidRPr="00BC2C95">
        <w:rPr>
          <w:rFonts w:ascii="Arial" w:hAnsi="Arial" w:cs="Arial"/>
          <w:sz w:val="24"/>
          <w:szCs w:val="24"/>
        </w:rPr>
        <w:t xml:space="preserve">of Wales or </w:t>
      </w:r>
      <w:r w:rsidR="009146C9" w:rsidRPr="00BC2C95">
        <w:rPr>
          <w:rFonts w:ascii="Arial" w:hAnsi="Arial" w:cs="Arial"/>
          <w:sz w:val="24"/>
          <w:szCs w:val="24"/>
        </w:rPr>
        <w:t xml:space="preserve">to other </w:t>
      </w:r>
      <w:r w:rsidR="002719EF" w:rsidRPr="00BC2C95">
        <w:rPr>
          <w:rFonts w:ascii="Arial" w:hAnsi="Arial" w:cs="Arial"/>
          <w:sz w:val="24"/>
          <w:szCs w:val="24"/>
        </w:rPr>
        <w:t>countries with</w:t>
      </w:r>
      <w:r w:rsidR="009C1158" w:rsidRPr="00BC2C95">
        <w:rPr>
          <w:rFonts w:ascii="Arial" w:hAnsi="Arial" w:cs="Arial"/>
          <w:sz w:val="24"/>
          <w:szCs w:val="24"/>
        </w:rPr>
        <w:t xml:space="preserve">in the United </w:t>
      </w:r>
      <w:r w:rsidR="00B4507D" w:rsidRPr="00BC2C95">
        <w:rPr>
          <w:rFonts w:ascii="Arial" w:hAnsi="Arial" w:cs="Arial"/>
          <w:sz w:val="24"/>
          <w:szCs w:val="24"/>
        </w:rPr>
        <w:t>Kingdom</w:t>
      </w:r>
      <w:r w:rsidR="002719EF" w:rsidRPr="00BC2C95">
        <w:rPr>
          <w:rFonts w:ascii="Arial" w:hAnsi="Arial" w:cs="Arial"/>
          <w:sz w:val="24"/>
          <w:szCs w:val="24"/>
        </w:rPr>
        <w:t xml:space="preserve"> than </w:t>
      </w:r>
      <w:r w:rsidR="00052569" w:rsidRPr="00BC2C95">
        <w:rPr>
          <w:rFonts w:ascii="Arial" w:hAnsi="Arial" w:cs="Arial"/>
          <w:sz w:val="24"/>
          <w:szCs w:val="24"/>
        </w:rPr>
        <w:t>moved in (-1102)</w:t>
      </w:r>
      <w:r w:rsidR="00802A90" w:rsidRPr="00BC2C95">
        <w:rPr>
          <w:rFonts w:ascii="Arial" w:hAnsi="Arial" w:cs="Arial"/>
          <w:sz w:val="24"/>
          <w:szCs w:val="24"/>
        </w:rPr>
        <w:t>.</w:t>
      </w:r>
      <w:r w:rsidRPr="00BC2C95">
        <w:rPr>
          <w:rFonts w:ascii="Arial" w:hAnsi="Arial" w:cs="Arial"/>
          <w:sz w:val="24"/>
          <w:szCs w:val="24"/>
        </w:rPr>
        <w:t xml:space="preserve"> In the last year, changes to special populations (home armed forces, foreign armed forces and the prison population) reduced the population of </w:t>
      </w:r>
      <w:r w:rsidR="00C0727B" w:rsidRPr="00BC2C95">
        <w:rPr>
          <w:rFonts w:ascii="Arial" w:hAnsi="Arial" w:cs="Arial"/>
          <w:sz w:val="24"/>
          <w:szCs w:val="24"/>
        </w:rPr>
        <w:t>Cardiff</w:t>
      </w:r>
      <w:r w:rsidR="00001EEA" w:rsidRPr="00BC2C95">
        <w:rPr>
          <w:rFonts w:ascii="Arial" w:hAnsi="Arial" w:cs="Arial"/>
          <w:sz w:val="24"/>
          <w:szCs w:val="24"/>
        </w:rPr>
        <w:t xml:space="preserve"> </w:t>
      </w:r>
      <w:r w:rsidR="003D7BF8" w:rsidRPr="00BC2C95">
        <w:rPr>
          <w:rFonts w:ascii="Arial" w:hAnsi="Arial" w:cs="Arial"/>
          <w:sz w:val="24"/>
          <w:szCs w:val="24"/>
        </w:rPr>
        <w:t xml:space="preserve">only </w:t>
      </w:r>
      <w:r w:rsidR="00001EEA" w:rsidRPr="00BC2C95">
        <w:rPr>
          <w:rFonts w:ascii="Arial" w:hAnsi="Arial" w:cs="Arial"/>
          <w:sz w:val="24"/>
          <w:szCs w:val="24"/>
        </w:rPr>
        <w:t>marginally (-8)</w:t>
      </w:r>
      <w:r w:rsidRPr="00BC2C95">
        <w:rPr>
          <w:rFonts w:ascii="Arial" w:hAnsi="Arial" w:cs="Arial"/>
          <w:sz w:val="24"/>
          <w:szCs w:val="24"/>
        </w:rPr>
        <w:t>.</w:t>
      </w:r>
    </w:p>
    <w:p w14:paraId="43ED8158" w14:textId="4EAEF2C0" w:rsidR="00202E45" w:rsidRDefault="00202E45" w:rsidP="00DC54F7">
      <w:pPr>
        <w:spacing w:after="0" w:line="240" w:lineRule="auto"/>
        <w:contextualSpacing/>
        <w:jc w:val="both"/>
        <w:rPr>
          <w:rFonts w:ascii="Arial" w:hAnsi="Arial" w:cs="Arial"/>
        </w:rPr>
      </w:pPr>
    </w:p>
    <w:p w14:paraId="3336229D" w14:textId="557E8C62" w:rsidR="00F32115" w:rsidRPr="00BC2C95" w:rsidRDefault="00545E35" w:rsidP="00DC54F7">
      <w:pPr>
        <w:spacing w:after="0" w:line="240" w:lineRule="auto"/>
        <w:jc w:val="both"/>
        <w:rPr>
          <w:rFonts w:ascii="Arial" w:eastAsia="Times New Roman" w:hAnsi="Arial" w:cs="Arial"/>
          <w:b/>
          <w:bCs/>
          <w:color w:val="000000"/>
          <w:sz w:val="24"/>
          <w:szCs w:val="24"/>
          <w:lang w:eastAsia="en-GB"/>
        </w:rPr>
      </w:pPr>
      <w:r w:rsidRPr="00BC2C95">
        <w:rPr>
          <w:rFonts w:ascii="Arial" w:eastAsia="Times New Roman" w:hAnsi="Arial" w:cs="Arial"/>
          <w:b/>
          <w:bCs/>
          <w:color w:val="000000"/>
          <w:sz w:val="24"/>
          <w:szCs w:val="24"/>
          <w:lang w:eastAsia="en-GB"/>
        </w:rPr>
        <w:t>Table</w:t>
      </w:r>
      <w:r w:rsidR="008F4406" w:rsidRPr="00BC2C95">
        <w:rPr>
          <w:rFonts w:ascii="Arial" w:eastAsia="Times New Roman" w:hAnsi="Arial" w:cs="Arial"/>
          <w:b/>
          <w:bCs/>
          <w:color w:val="000000"/>
          <w:sz w:val="24"/>
          <w:szCs w:val="24"/>
          <w:lang w:eastAsia="en-GB"/>
        </w:rPr>
        <w:t xml:space="preserve"> 2.</w:t>
      </w:r>
      <w:r w:rsidR="007537E8" w:rsidRPr="00BC2C95">
        <w:rPr>
          <w:rFonts w:ascii="Arial" w:eastAsia="Times New Roman" w:hAnsi="Arial" w:cs="Arial"/>
          <w:b/>
          <w:bCs/>
          <w:color w:val="000000"/>
          <w:sz w:val="24"/>
          <w:szCs w:val="24"/>
          <w:lang w:eastAsia="en-GB"/>
        </w:rPr>
        <w:t>1</w:t>
      </w:r>
      <w:r w:rsidRPr="00BC2C95">
        <w:rPr>
          <w:rFonts w:ascii="Arial" w:eastAsia="Times New Roman" w:hAnsi="Arial" w:cs="Arial"/>
          <w:b/>
          <w:bCs/>
          <w:color w:val="000000"/>
          <w:sz w:val="24"/>
          <w:szCs w:val="24"/>
          <w:lang w:eastAsia="en-GB"/>
        </w:rPr>
        <w:t xml:space="preserve">: Components of population change by </w:t>
      </w:r>
      <w:r w:rsidR="00567F4B" w:rsidRPr="00BC2C95">
        <w:rPr>
          <w:rFonts w:ascii="Arial" w:eastAsia="Times New Roman" w:hAnsi="Arial" w:cs="Arial"/>
          <w:b/>
          <w:bCs/>
          <w:color w:val="000000"/>
          <w:sz w:val="24"/>
          <w:szCs w:val="24"/>
          <w:lang w:eastAsia="en-GB"/>
        </w:rPr>
        <w:t>local</w:t>
      </w:r>
      <w:r w:rsidRPr="00BC2C95">
        <w:rPr>
          <w:rFonts w:ascii="Arial" w:eastAsia="Times New Roman" w:hAnsi="Arial" w:cs="Arial"/>
          <w:b/>
          <w:bCs/>
          <w:color w:val="000000"/>
          <w:sz w:val="24"/>
          <w:szCs w:val="24"/>
          <w:lang w:eastAsia="en-GB"/>
        </w:rPr>
        <w:t xml:space="preserve"> authority, </w:t>
      </w:r>
      <w:r w:rsidR="004C2691" w:rsidRPr="00BC2C95">
        <w:rPr>
          <w:rFonts w:ascii="Arial" w:eastAsia="Times New Roman" w:hAnsi="Arial" w:cs="Arial"/>
          <w:b/>
          <w:bCs/>
          <w:color w:val="000000"/>
          <w:sz w:val="24"/>
          <w:szCs w:val="24"/>
          <w:lang w:eastAsia="en-GB"/>
        </w:rPr>
        <w:t>health board and Wales, 2018 to 2019.</w:t>
      </w:r>
    </w:p>
    <w:tbl>
      <w:tblPr>
        <w:tblW w:w="9018" w:type="dxa"/>
        <w:tblBorders>
          <w:top w:val="single" w:sz="4" w:space="0" w:color="auto"/>
          <w:left w:val="single" w:sz="4" w:space="0" w:color="auto"/>
          <w:bottom w:val="single" w:sz="4" w:space="0" w:color="auto"/>
          <w:right w:val="single" w:sz="4" w:space="0" w:color="auto"/>
          <w:insideH w:val="single" w:sz="4" w:space="0" w:color="C9C9C9"/>
        </w:tblBorders>
        <w:tblLook w:val="04A0" w:firstRow="1" w:lastRow="0" w:firstColumn="1" w:lastColumn="0" w:noHBand="0" w:noVBand="1"/>
      </w:tblPr>
      <w:tblGrid>
        <w:gridCol w:w="2277"/>
        <w:gridCol w:w="1397"/>
        <w:gridCol w:w="1138"/>
        <w:gridCol w:w="1397"/>
        <w:gridCol w:w="1414"/>
        <w:gridCol w:w="1397"/>
      </w:tblGrid>
      <w:tr w:rsidR="005D25BE" w:rsidRPr="00800CB9" w14:paraId="32FFF4EB" w14:textId="77777777" w:rsidTr="006A1319">
        <w:trPr>
          <w:trHeight w:val="549"/>
        </w:trPr>
        <w:tc>
          <w:tcPr>
            <w:tcW w:w="2277" w:type="dxa"/>
            <w:shd w:val="clear" w:color="auto" w:fill="8497B0"/>
            <w:noWrap/>
            <w:vAlign w:val="bottom"/>
            <w:hideMark/>
          </w:tcPr>
          <w:p w14:paraId="18B1104F" w14:textId="77777777" w:rsidR="005D25BE" w:rsidRPr="00800CB9" w:rsidRDefault="005D25BE" w:rsidP="00DC54F7">
            <w:pPr>
              <w:spacing w:after="0" w:line="240" w:lineRule="auto"/>
              <w:jc w:val="both"/>
              <w:rPr>
                <w:rFonts w:ascii="Calibri" w:eastAsia="Times New Roman" w:hAnsi="Calibri" w:cs="Calibri"/>
                <w:b/>
                <w:bCs/>
                <w:color w:val="FFFFFF"/>
                <w:lang w:eastAsia="en-GB"/>
              </w:rPr>
            </w:pPr>
            <w:r w:rsidRPr="00800CB9">
              <w:rPr>
                <w:rFonts w:ascii="Calibri" w:eastAsia="Times New Roman" w:hAnsi="Calibri" w:cs="Calibri"/>
                <w:b/>
                <w:bCs/>
                <w:color w:val="FFFFFF"/>
                <w:lang w:eastAsia="en-GB"/>
              </w:rPr>
              <w:t>Area</w:t>
            </w:r>
          </w:p>
        </w:tc>
        <w:tc>
          <w:tcPr>
            <w:tcW w:w="1397" w:type="dxa"/>
            <w:shd w:val="clear" w:color="auto" w:fill="8497B0"/>
            <w:vAlign w:val="bottom"/>
            <w:hideMark/>
          </w:tcPr>
          <w:p w14:paraId="5BCB6EB4" w14:textId="09BECEF9" w:rsidR="005D25BE" w:rsidRPr="00800CB9" w:rsidRDefault="005D25BE" w:rsidP="00DC54F7">
            <w:pPr>
              <w:spacing w:after="0" w:line="240" w:lineRule="auto"/>
              <w:jc w:val="both"/>
              <w:rPr>
                <w:rFonts w:ascii="Calibri" w:eastAsia="Times New Roman" w:hAnsi="Calibri" w:cs="Calibri"/>
                <w:b/>
                <w:bCs/>
                <w:color w:val="FFFFFF"/>
                <w:lang w:eastAsia="en-GB"/>
              </w:rPr>
            </w:pPr>
            <w:r w:rsidRPr="00800CB9">
              <w:rPr>
                <w:rFonts w:ascii="Calibri" w:eastAsia="Times New Roman" w:hAnsi="Calibri" w:cs="Calibri"/>
                <w:b/>
                <w:bCs/>
                <w:color w:val="FFFFFF"/>
                <w:lang w:eastAsia="en-GB"/>
              </w:rPr>
              <w:t>Population mid</w:t>
            </w:r>
            <w:r w:rsidR="00281FFF">
              <w:rPr>
                <w:rFonts w:ascii="Calibri" w:eastAsia="Times New Roman" w:hAnsi="Calibri" w:cs="Calibri"/>
                <w:b/>
                <w:bCs/>
                <w:color w:val="FFFFFF"/>
                <w:lang w:eastAsia="en-GB"/>
              </w:rPr>
              <w:t>-</w:t>
            </w:r>
            <w:r w:rsidRPr="00800CB9">
              <w:rPr>
                <w:rFonts w:ascii="Calibri" w:eastAsia="Times New Roman" w:hAnsi="Calibri" w:cs="Calibri"/>
                <w:b/>
                <w:bCs/>
                <w:color w:val="FFFFFF"/>
                <w:lang w:eastAsia="en-GB"/>
              </w:rPr>
              <w:t>year 2018</w:t>
            </w:r>
          </w:p>
        </w:tc>
        <w:tc>
          <w:tcPr>
            <w:tcW w:w="1138" w:type="dxa"/>
            <w:shd w:val="clear" w:color="auto" w:fill="8497B0"/>
            <w:vAlign w:val="bottom"/>
            <w:hideMark/>
          </w:tcPr>
          <w:p w14:paraId="765DFE09" w14:textId="77777777" w:rsidR="005D25BE" w:rsidRPr="00800CB9" w:rsidRDefault="005D25BE" w:rsidP="00DC54F7">
            <w:pPr>
              <w:spacing w:after="0" w:line="240" w:lineRule="auto"/>
              <w:jc w:val="both"/>
              <w:rPr>
                <w:rFonts w:ascii="Calibri" w:eastAsia="Times New Roman" w:hAnsi="Calibri" w:cs="Calibri"/>
                <w:b/>
                <w:bCs/>
                <w:color w:val="FFFFFF"/>
                <w:lang w:eastAsia="en-GB"/>
              </w:rPr>
            </w:pPr>
            <w:r w:rsidRPr="00800CB9">
              <w:rPr>
                <w:rFonts w:ascii="Calibri" w:eastAsia="Times New Roman" w:hAnsi="Calibri" w:cs="Calibri"/>
                <w:b/>
                <w:bCs/>
                <w:color w:val="FFFFFF"/>
                <w:lang w:eastAsia="en-GB"/>
              </w:rPr>
              <w:t>Natural change</w:t>
            </w:r>
          </w:p>
        </w:tc>
        <w:tc>
          <w:tcPr>
            <w:tcW w:w="1397" w:type="dxa"/>
            <w:shd w:val="clear" w:color="auto" w:fill="8497B0"/>
            <w:vAlign w:val="bottom"/>
            <w:hideMark/>
          </w:tcPr>
          <w:p w14:paraId="0EE78B8B" w14:textId="77777777" w:rsidR="005D25BE" w:rsidRPr="00800CB9" w:rsidRDefault="005D25BE" w:rsidP="00DC54F7">
            <w:pPr>
              <w:spacing w:after="0" w:line="240" w:lineRule="auto"/>
              <w:jc w:val="both"/>
              <w:rPr>
                <w:rFonts w:ascii="Calibri" w:eastAsia="Times New Roman" w:hAnsi="Calibri" w:cs="Calibri"/>
                <w:b/>
                <w:bCs/>
                <w:color w:val="FFFFFF"/>
                <w:lang w:eastAsia="en-GB"/>
              </w:rPr>
            </w:pPr>
            <w:r w:rsidRPr="00800CB9">
              <w:rPr>
                <w:rFonts w:ascii="Calibri" w:eastAsia="Times New Roman" w:hAnsi="Calibri" w:cs="Calibri"/>
                <w:b/>
                <w:bCs/>
                <w:color w:val="FFFFFF"/>
                <w:lang w:eastAsia="en-GB"/>
              </w:rPr>
              <w:t xml:space="preserve">Internal migration net </w:t>
            </w:r>
          </w:p>
        </w:tc>
        <w:tc>
          <w:tcPr>
            <w:tcW w:w="1412" w:type="dxa"/>
            <w:shd w:val="clear" w:color="auto" w:fill="8497B0"/>
            <w:vAlign w:val="bottom"/>
            <w:hideMark/>
          </w:tcPr>
          <w:p w14:paraId="63E1191A" w14:textId="77777777" w:rsidR="005D25BE" w:rsidRPr="00800CB9" w:rsidRDefault="005D25BE" w:rsidP="00DC54F7">
            <w:pPr>
              <w:spacing w:after="0" w:line="240" w:lineRule="auto"/>
              <w:jc w:val="both"/>
              <w:rPr>
                <w:rFonts w:ascii="Calibri" w:eastAsia="Times New Roman" w:hAnsi="Calibri" w:cs="Calibri"/>
                <w:b/>
                <w:bCs/>
                <w:color w:val="FFFFFF"/>
                <w:lang w:eastAsia="en-GB"/>
              </w:rPr>
            </w:pPr>
            <w:r w:rsidRPr="00800CB9">
              <w:rPr>
                <w:rFonts w:ascii="Calibri" w:eastAsia="Times New Roman" w:hAnsi="Calibri" w:cs="Calibri"/>
                <w:b/>
                <w:bCs/>
                <w:color w:val="FFFFFF"/>
                <w:lang w:eastAsia="en-GB"/>
              </w:rPr>
              <w:t xml:space="preserve">International migration net </w:t>
            </w:r>
          </w:p>
        </w:tc>
        <w:tc>
          <w:tcPr>
            <w:tcW w:w="1397" w:type="dxa"/>
            <w:shd w:val="clear" w:color="auto" w:fill="8497B0"/>
            <w:vAlign w:val="bottom"/>
            <w:hideMark/>
          </w:tcPr>
          <w:p w14:paraId="4D8CF0D5" w14:textId="0ACBC31D" w:rsidR="005D25BE" w:rsidRPr="00800CB9" w:rsidRDefault="005D25BE" w:rsidP="00DC54F7">
            <w:pPr>
              <w:spacing w:after="0" w:line="240" w:lineRule="auto"/>
              <w:jc w:val="both"/>
              <w:rPr>
                <w:rFonts w:ascii="Calibri" w:eastAsia="Times New Roman" w:hAnsi="Calibri" w:cs="Calibri"/>
                <w:b/>
                <w:bCs/>
                <w:color w:val="FFFFFF"/>
                <w:lang w:eastAsia="en-GB"/>
              </w:rPr>
            </w:pPr>
            <w:r w:rsidRPr="00800CB9">
              <w:rPr>
                <w:rFonts w:ascii="Calibri" w:eastAsia="Times New Roman" w:hAnsi="Calibri" w:cs="Calibri"/>
                <w:b/>
                <w:bCs/>
                <w:color w:val="FFFFFF"/>
                <w:lang w:eastAsia="en-GB"/>
              </w:rPr>
              <w:t>Population mid</w:t>
            </w:r>
            <w:r w:rsidR="00C11D7D">
              <w:rPr>
                <w:rFonts w:ascii="Calibri" w:eastAsia="Times New Roman" w:hAnsi="Calibri" w:cs="Calibri"/>
                <w:b/>
                <w:bCs/>
                <w:color w:val="FFFFFF"/>
                <w:lang w:eastAsia="en-GB"/>
              </w:rPr>
              <w:t>-</w:t>
            </w:r>
            <w:r w:rsidRPr="00800CB9">
              <w:rPr>
                <w:rFonts w:ascii="Calibri" w:eastAsia="Times New Roman" w:hAnsi="Calibri" w:cs="Calibri"/>
                <w:b/>
                <w:bCs/>
                <w:color w:val="FFFFFF"/>
                <w:lang w:eastAsia="en-GB"/>
              </w:rPr>
              <w:t>year 2019</w:t>
            </w:r>
          </w:p>
        </w:tc>
      </w:tr>
      <w:tr w:rsidR="005D25BE" w:rsidRPr="00800CB9" w14:paraId="714BF67C" w14:textId="77777777" w:rsidTr="006A1319">
        <w:trPr>
          <w:trHeight w:val="274"/>
        </w:trPr>
        <w:tc>
          <w:tcPr>
            <w:tcW w:w="2277" w:type="dxa"/>
            <w:shd w:val="clear" w:color="EDEDED" w:fill="EDEDED"/>
            <w:noWrap/>
            <w:vAlign w:val="bottom"/>
            <w:hideMark/>
          </w:tcPr>
          <w:p w14:paraId="2063B789"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 xml:space="preserve">Cardiff </w:t>
            </w:r>
          </w:p>
        </w:tc>
        <w:tc>
          <w:tcPr>
            <w:tcW w:w="1397" w:type="dxa"/>
            <w:shd w:val="clear" w:color="EDEDED" w:fill="EDEDED"/>
            <w:noWrap/>
            <w:vAlign w:val="bottom"/>
            <w:hideMark/>
          </w:tcPr>
          <w:p w14:paraId="2C84C648"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364248</w:t>
            </w:r>
          </w:p>
        </w:tc>
        <w:tc>
          <w:tcPr>
            <w:tcW w:w="1138" w:type="dxa"/>
            <w:shd w:val="clear" w:color="EDEDED" w:fill="EDEDED"/>
            <w:noWrap/>
            <w:vAlign w:val="bottom"/>
            <w:hideMark/>
          </w:tcPr>
          <w:p w14:paraId="4EDE0E4C"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1112</w:t>
            </w:r>
          </w:p>
        </w:tc>
        <w:tc>
          <w:tcPr>
            <w:tcW w:w="1397" w:type="dxa"/>
            <w:shd w:val="clear" w:color="EDEDED" w:fill="EDEDED"/>
            <w:noWrap/>
            <w:vAlign w:val="bottom"/>
            <w:hideMark/>
          </w:tcPr>
          <w:p w14:paraId="37D759F8"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-1102</w:t>
            </w:r>
          </w:p>
        </w:tc>
        <w:tc>
          <w:tcPr>
            <w:tcW w:w="1412" w:type="dxa"/>
            <w:shd w:val="clear" w:color="EDEDED" w:fill="EDEDED"/>
            <w:noWrap/>
            <w:vAlign w:val="bottom"/>
            <w:hideMark/>
          </w:tcPr>
          <w:p w14:paraId="5BA34932"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2653</w:t>
            </w:r>
          </w:p>
        </w:tc>
        <w:tc>
          <w:tcPr>
            <w:tcW w:w="1397" w:type="dxa"/>
            <w:shd w:val="clear" w:color="EDEDED" w:fill="EDEDED"/>
            <w:noWrap/>
            <w:vAlign w:val="bottom"/>
            <w:hideMark/>
          </w:tcPr>
          <w:p w14:paraId="223BF5A8"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366903</w:t>
            </w:r>
          </w:p>
        </w:tc>
      </w:tr>
      <w:tr w:rsidR="005D25BE" w:rsidRPr="00800CB9" w14:paraId="0EF40A02" w14:textId="77777777" w:rsidTr="006A1319">
        <w:trPr>
          <w:trHeight w:val="274"/>
        </w:trPr>
        <w:tc>
          <w:tcPr>
            <w:tcW w:w="2277" w:type="dxa"/>
            <w:shd w:val="clear" w:color="auto" w:fill="auto"/>
            <w:noWrap/>
            <w:vAlign w:val="bottom"/>
            <w:hideMark/>
          </w:tcPr>
          <w:p w14:paraId="0A3BE5B1"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 xml:space="preserve">Vale of Glamorgan </w:t>
            </w:r>
          </w:p>
        </w:tc>
        <w:tc>
          <w:tcPr>
            <w:tcW w:w="1397" w:type="dxa"/>
            <w:shd w:val="clear" w:color="auto" w:fill="auto"/>
            <w:noWrap/>
            <w:vAlign w:val="bottom"/>
            <w:hideMark/>
          </w:tcPr>
          <w:p w14:paraId="36E7677B"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132165</w:t>
            </w:r>
          </w:p>
        </w:tc>
        <w:tc>
          <w:tcPr>
            <w:tcW w:w="1138" w:type="dxa"/>
            <w:shd w:val="clear" w:color="auto" w:fill="auto"/>
            <w:noWrap/>
            <w:vAlign w:val="bottom"/>
            <w:hideMark/>
          </w:tcPr>
          <w:p w14:paraId="79050090"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-23</w:t>
            </w:r>
          </w:p>
        </w:tc>
        <w:tc>
          <w:tcPr>
            <w:tcW w:w="1397" w:type="dxa"/>
            <w:shd w:val="clear" w:color="auto" w:fill="auto"/>
            <w:noWrap/>
            <w:vAlign w:val="bottom"/>
            <w:hideMark/>
          </w:tcPr>
          <w:p w14:paraId="4FF387ED"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1243</w:t>
            </w:r>
          </w:p>
        </w:tc>
        <w:tc>
          <w:tcPr>
            <w:tcW w:w="1412" w:type="dxa"/>
            <w:shd w:val="clear" w:color="auto" w:fill="auto"/>
            <w:noWrap/>
            <w:vAlign w:val="bottom"/>
            <w:hideMark/>
          </w:tcPr>
          <w:p w14:paraId="4CB2736D"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210</w:t>
            </w:r>
          </w:p>
        </w:tc>
        <w:tc>
          <w:tcPr>
            <w:tcW w:w="1397" w:type="dxa"/>
            <w:shd w:val="clear" w:color="auto" w:fill="auto"/>
            <w:noWrap/>
            <w:vAlign w:val="bottom"/>
            <w:hideMark/>
          </w:tcPr>
          <w:p w14:paraId="7502FEC0"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133587</w:t>
            </w:r>
          </w:p>
        </w:tc>
      </w:tr>
      <w:tr w:rsidR="005D25BE" w:rsidRPr="00800CB9" w14:paraId="24E72C41" w14:textId="77777777" w:rsidTr="006A1319">
        <w:trPr>
          <w:trHeight w:val="274"/>
        </w:trPr>
        <w:tc>
          <w:tcPr>
            <w:tcW w:w="2277" w:type="dxa"/>
            <w:shd w:val="clear" w:color="EDEDED" w:fill="EDEDED"/>
            <w:noWrap/>
            <w:vAlign w:val="bottom"/>
            <w:hideMark/>
          </w:tcPr>
          <w:p w14:paraId="4330A4C0"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Cardiff &amp; Vale UHB</w:t>
            </w:r>
          </w:p>
        </w:tc>
        <w:tc>
          <w:tcPr>
            <w:tcW w:w="1397" w:type="dxa"/>
            <w:shd w:val="clear" w:color="EDEDED" w:fill="EDEDED"/>
            <w:noWrap/>
            <w:vAlign w:val="bottom"/>
            <w:hideMark/>
          </w:tcPr>
          <w:p w14:paraId="3C2D322A"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496413</w:t>
            </w:r>
          </w:p>
        </w:tc>
        <w:tc>
          <w:tcPr>
            <w:tcW w:w="1138" w:type="dxa"/>
            <w:shd w:val="clear" w:color="EDEDED" w:fill="EDEDED"/>
            <w:noWrap/>
            <w:vAlign w:val="bottom"/>
            <w:hideMark/>
          </w:tcPr>
          <w:p w14:paraId="2E2841B3"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1089</w:t>
            </w:r>
          </w:p>
        </w:tc>
        <w:tc>
          <w:tcPr>
            <w:tcW w:w="1397" w:type="dxa"/>
            <w:shd w:val="clear" w:color="EDEDED" w:fill="EDEDED"/>
            <w:noWrap/>
            <w:vAlign w:val="bottom"/>
            <w:hideMark/>
          </w:tcPr>
          <w:p w14:paraId="596D31F7"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141</w:t>
            </w:r>
          </w:p>
        </w:tc>
        <w:tc>
          <w:tcPr>
            <w:tcW w:w="1412" w:type="dxa"/>
            <w:shd w:val="clear" w:color="EDEDED" w:fill="EDEDED"/>
            <w:noWrap/>
            <w:vAlign w:val="bottom"/>
            <w:hideMark/>
          </w:tcPr>
          <w:p w14:paraId="4D22A493"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2863</w:t>
            </w:r>
          </w:p>
        </w:tc>
        <w:tc>
          <w:tcPr>
            <w:tcW w:w="1397" w:type="dxa"/>
            <w:shd w:val="clear" w:color="EDEDED" w:fill="EDEDED"/>
            <w:noWrap/>
            <w:vAlign w:val="bottom"/>
            <w:hideMark/>
          </w:tcPr>
          <w:p w14:paraId="45107F0F"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500490</w:t>
            </w:r>
          </w:p>
        </w:tc>
      </w:tr>
      <w:tr w:rsidR="005D25BE" w:rsidRPr="00800CB9" w14:paraId="4DC3C725" w14:textId="77777777" w:rsidTr="006A1319">
        <w:trPr>
          <w:trHeight w:val="274"/>
        </w:trPr>
        <w:tc>
          <w:tcPr>
            <w:tcW w:w="2277" w:type="dxa"/>
            <w:shd w:val="clear" w:color="auto" w:fill="auto"/>
            <w:noWrap/>
            <w:vAlign w:val="bottom"/>
            <w:hideMark/>
          </w:tcPr>
          <w:p w14:paraId="5399903B"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 xml:space="preserve">Wales </w:t>
            </w:r>
          </w:p>
        </w:tc>
        <w:tc>
          <w:tcPr>
            <w:tcW w:w="1397" w:type="dxa"/>
            <w:shd w:val="clear" w:color="auto" w:fill="auto"/>
            <w:noWrap/>
            <w:vAlign w:val="bottom"/>
            <w:hideMark/>
          </w:tcPr>
          <w:p w14:paraId="453F0060"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3138631</w:t>
            </w:r>
          </w:p>
        </w:tc>
        <w:tc>
          <w:tcPr>
            <w:tcW w:w="1138" w:type="dxa"/>
            <w:shd w:val="clear" w:color="auto" w:fill="auto"/>
            <w:noWrap/>
            <w:vAlign w:val="bottom"/>
            <w:hideMark/>
          </w:tcPr>
          <w:p w14:paraId="16852F89"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-2437</w:t>
            </w:r>
          </w:p>
        </w:tc>
        <w:tc>
          <w:tcPr>
            <w:tcW w:w="1397" w:type="dxa"/>
            <w:shd w:val="clear" w:color="auto" w:fill="auto"/>
            <w:noWrap/>
            <w:vAlign w:val="bottom"/>
            <w:hideMark/>
          </w:tcPr>
          <w:p w14:paraId="0E7D6A6C"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8685</w:t>
            </w:r>
          </w:p>
        </w:tc>
        <w:tc>
          <w:tcPr>
            <w:tcW w:w="1412" w:type="dxa"/>
            <w:shd w:val="clear" w:color="auto" w:fill="auto"/>
            <w:noWrap/>
            <w:vAlign w:val="bottom"/>
            <w:hideMark/>
          </w:tcPr>
          <w:p w14:paraId="7C6867EE"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7812</w:t>
            </w:r>
          </w:p>
        </w:tc>
        <w:tc>
          <w:tcPr>
            <w:tcW w:w="1397" w:type="dxa"/>
            <w:shd w:val="clear" w:color="auto" w:fill="auto"/>
            <w:noWrap/>
            <w:vAlign w:val="bottom"/>
            <w:hideMark/>
          </w:tcPr>
          <w:p w14:paraId="4C68063A" w14:textId="77777777" w:rsidR="005D25BE" w:rsidRPr="00800CB9" w:rsidRDefault="005D25BE" w:rsidP="00DC54F7">
            <w:pPr>
              <w:spacing w:after="0" w:line="240" w:lineRule="auto"/>
              <w:jc w:val="both"/>
              <w:rPr>
                <w:rFonts w:ascii="Calibri" w:eastAsia="Times New Roman" w:hAnsi="Calibri" w:cs="Calibri"/>
                <w:color w:val="000000"/>
                <w:lang w:eastAsia="en-GB"/>
              </w:rPr>
            </w:pPr>
            <w:r w:rsidRPr="00800CB9">
              <w:rPr>
                <w:rFonts w:ascii="Calibri" w:eastAsia="Times New Roman" w:hAnsi="Calibri" w:cs="Calibri"/>
                <w:color w:val="000000"/>
                <w:lang w:eastAsia="en-GB"/>
              </w:rPr>
              <w:t>3152879</w:t>
            </w:r>
          </w:p>
        </w:tc>
      </w:tr>
    </w:tbl>
    <w:p w14:paraId="6D8925D3" w14:textId="253CC1E3" w:rsidR="004A24BB" w:rsidRPr="00BC2C95" w:rsidRDefault="004A24BB" w:rsidP="00DC54F7">
      <w:pPr>
        <w:jc w:val="both"/>
        <w:rPr>
          <w:rFonts w:ascii="Arial" w:eastAsia="Times New Roman" w:hAnsi="Arial" w:cs="Arial"/>
          <w:color w:val="000000"/>
          <w:sz w:val="20"/>
          <w:szCs w:val="20"/>
          <w:lang w:eastAsia="en-GB"/>
        </w:rPr>
      </w:pPr>
      <w:r w:rsidRPr="00BC2C95">
        <w:rPr>
          <w:rFonts w:ascii="Arial" w:hAnsi="Arial" w:cs="Arial"/>
          <w:sz w:val="20"/>
          <w:szCs w:val="20"/>
        </w:rPr>
        <w:t xml:space="preserve">Source: </w:t>
      </w:r>
      <w:r w:rsidRPr="00BC2C95">
        <w:rPr>
          <w:rFonts w:ascii="Arial" w:eastAsia="Times New Roman" w:hAnsi="Arial" w:cs="Arial"/>
          <w:color w:val="000000"/>
          <w:sz w:val="20"/>
          <w:szCs w:val="20"/>
          <w:lang w:eastAsia="en-GB"/>
        </w:rPr>
        <w:t>Mid-year population estimates, Office for National Statistics</w:t>
      </w:r>
    </w:p>
    <w:p w14:paraId="35FB82AD" w14:textId="2BC0C9AC" w:rsidR="00344E6C" w:rsidRPr="00BC2C95" w:rsidRDefault="005B4ACF" w:rsidP="00DC54F7">
      <w:pPr>
        <w:spacing w:after="0" w:line="240" w:lineRule="auto"/>
        <w:contextualSpacing/>
        <w:jc w:val="both"/>
        <w:rPr>
          <w:rFonts w:ascii="Arial" w:hAnsi="Arial" w:cs="Arial"/>
          <w:sz w:val="24"/>
          <w:szCs w:val="24"/>
        </w:rPr>
      </w:pPr>
      <w:r w:rsidRPr="00BC2C95">
        <w:rPr>
          <w:rFonts w:ascii="Arial" w:hAnsi="Arial" w:cs="Arial"/>
          <w:sz w:val="24"/>
          <w:szCs w:val="24"/>
        </w:rPr>
        <w:t xml:space="preserve">Over the same period, </w:t>
      </w:r>
      <w:r w:rsidR="001C225B" w:rsidRPr="00BC2C95">
        <w:rPr>
          <w:rFonts w:ascii="Arial" w:hAnsi="Arial" w:cs="Arial"/>
          <w:sz w:val="24"/>
          <w:szCs w:val="24"/>
        </w:rPr>
        <w:t xml:space="preserve">the population of </w:t>
      </w:r>
      <w:r w:rsidR="00BF6852" w:rsidRPr="00BC2C95">
        <w:rPr>
          <w:rFonts w:ascii="Arial" w:hAnsi="Arial" w:cs="Arial"/>
          <w:sz w:val="24"/>
          <w:szCs w:val="24"/>
        </w:rPr>
        <w:t xml:space="preserve">the </w:t>
      </w:r>
      <w:r w:rsidR="001C225B" w:rsidRPr="00BC2C95">
        <w:rPr>
          <w:rFonts w:ascii="Arial" w:hAnsi="Arial" w:cs="Arial"/>
          <w:sz w:val="24"/>
          <w:szCs w:val="24"/>
        </w:rPr>
        <w:t>Vale of Glamorgan increased by 1,422 (1.1%) from 132,165 to 133,587.</w:t>
      </w:r>
      <w:r w:rsidR="0088303E" w:rsidRPr="00BC2C95">
        <w:rPr>
          <w:rFonts w:ascii="Arial" w:hAnsi="Arial" w:cs="Arial"/>
          <w:sz w:val="24"/>
          <w:szCs w:val="24"/>
        </w:rPr>
        <w:t xml:space="preserve"> </w:t>
      </w:r>
      <w:r w:rsidRPr="00BC2C95">
        <w:rPr>
          <w:rFonts w:ascii="Arial" w:hAnsi="Arial" w:cs="Arial"/>
          <w:sz w:val="24"/>
          <w:szCs w:val="24"/>
        </w:rPr>
        <w:t>In contr</w:t>
      </w:r>
      <w:r w:rsidR="00FB40F7" w:rsidRPr="00BC2C95">
        <w:rPr>
          <w:rFonts w:ascii="Arial" w:hAnsi="Arial" w:cs="Arial"/>
          <w:sz w:val="24"/>
          <w:szCs w:val="24"/>
        </w:rPr>
        <w:t>ast to Cardiff, t</w:t>
      </w:r>
      <w:r w:rsidR="005E5217" w:rsidRPr="00BC2C95">
        <w:rPr>
          <w:rFonts w:ascii="Arial" w:hAnsi="Arial" w:cs="Arial"/>
          <w:sz w:val="24"/>
          <w:szCs w:val="24"/>
        </w:rPr>
        <w:t xml:space="preserve">his was mainly due to </w:t>
      </w:r>
      <w:r w:rsidR="00802EDE" w:rsidRPr="00BC2C95">
        <w:rPr>
          <w:rFonts w:ascii="Arial" w:hAnsi="Arial" w:cs="Arial"/>
          <w:sz w:val="24"/>
          <w:szCs w:val="24"/>
        </w:rPr>
        <w:t>internal migration</w:t>
      </w:r>
      <w:r w:rsidR="0035194E" w:rsidRPr="00BC2C95">
        <w:rPr>
          <w:rFonts w:ascii="Arial" w:hAnsi="Arial" w:cs="Arial"/>
          <w:sz w:val="24"/>
          <w:szCs w:val="24"/>
        </w:rPr>
        <w:t xml:space="preserve"> (1243)</w:t>
      </w:r>
      <w:r w:rsidR="00600448" w:rsidRPr="00BC2C95">
        <w:rPr>
          <w:rFonts w:ascii="Arial" w:hAnsi="Arial" w:cs="Arial"/>
          <w:sz w:val="24"/>
          <w:szCs w:val="24"/>
        </w:rPr>
        <w:t xml:space="preserve">. </w:t>
      </w:r>
      <w:r w:rsidR="0085752B" w:rsidRPr="00BC2C95">
        <w:rPr>
          <w:rFonts w:ascii="Arial" w:hAnsi="Arial" w:cs="Arial"/>
          <w:sz w:val="24"/>
          <w:szCs w:val="24"/>
        </w:rPr>
        <w:t xml:space="preserve">A smaller proportion of the population increase was due to </w:t>
      </w:r>
      <w:r w:rsidR="00184A5B" w:rsidRPr="00BC2C95">
        <w:rPr>
          <w:rFonts w:ascii="Arial" w:hAnsi="Arial" w:cs="Arial"/>
          <w:sz w:val="24"/>
          <w:szCs w:val="24"/>
        </w:rPr>
        <w:t>international migration</w:t>
      </w:r>
      <w:r w:rsidR="002F49C0" w:rsidRPr="00BC2C95">
        <w:rPr>
          <w:rFonts w:ascii="Arial" w:hAnsi="Arial" w:cs="Arial"/>
          <w:sz w:val="24"/>
          <w:szCs w:val="24"/>
        </w:rPr>
        <w:t xml:space="preserve"> (210)</w:t>
      </w:r>
      <w:r w:rsidR="001D4342" w:rsidRPr="00BC2C95">
        <w:rPr>
          <w:rFonts w:ascii="Arial" w:hAnsi="Arial" w:cs="Arial"/>
          <w:sz w:val="24"/>
          <w:szCs w:val="24"/>
        </w:rPr>
        <w:t>.</w:t>
      </w:r>
      <w:r w:rsidR="002F49C0" w:rsidRPr="00BC2C95">
        <w:rPr>
          <w:rFonts w:ascii="Arial" w:hAnsi="Arial" w:cs="Arial"/>
          <w:sz w:val="24"/>
          <w:szCs w:val="24"/>
        </w:rPr>
        <w:t xml:space="preserve"> </w:t>
      </w:r>
      <w:r w:rsidR="00221913" w:rsidRPr="00BC2C95">
        <w:rPr>
          <w:rFonts w:ascii="Arial" w:hAnsi="Arial" w:cs="Arial"/>
          <w:sz w:val="24"/>
          <w:szCs w:val="24"/>
        </w:rPr>
        <w:t>Similar</w:t>
      </w:r>
      <w:r w:rsidR="00A45FC3" w:rsidRPr="00BC2C95">
        <w:rPr>
          <w:rFonts w:ascii="Arial" w:hAnsi="Arial" w:cs="Arial"/>
          <w:sz w:val="24"/>
          <w:szCs w:val="24"/>
        </w:rPr>
        <w:t>ly</w:t>
      </w:r>
      <w:r w:rsidR="00221913" w:rsidRPr="00BC2C95">
        <w:rPr>
          <w:rFonts w:ascii="Arial" w:hAnsi="Arial" w:cs="Arial"/>
          <w:sz w:val="24"/>
          <w:szCs w:val="24"/>
        </w:rPr>
        <w:t xml:space="preserve"> to Wales, t</w:t>
      </w:r>
      <w:r w:rsidR="000F6E35" w:rsidRPr="00BC2C95">
        <w:rPr>
          <w:rFonts w:ascii="Arial" w:hAnsi="Arial" w:cs="Arial"/>
          <w:sz w:val="24"/>
          <w:szCs w:val="24"/>
        </w:rPr>
        <w:t xml:space="preserve">here were more deaths than births in the </w:t>
      </w:r>
      <w:r w:rsidR="00504B3D" w:rsidRPr="00BC2C95">
        <w:rPr>
          <w:rFonts w:ascii="Arial" w:hAnsi="Arial" w:cs="Arial"/>
          <w:sz w:val="24"/>
          <w:szCs w:val="24"/>
        </w:rPr>
        <w:t>Vale of Gl</w:t>
      </w:r>
      <w:r w:rsidR="00BD2530" w:rsidRPr="00BC2C95">
        <w:rPr>
          <w:rFonts w:ascii="Arial" w:hAnsi="Arial" w:cs="Arial"/>
          <w:sz w:val="24"/>
          <w:szCs w:val="24"/>
        </w:rPr>
        <w:t xml:space="preserve">amorgan </w:t>
      </w:r>
      <w:r w:rsidR="00F92570" w:rsidRPr="00BC2C95">
        <w:rPr>
          <w:rFonts w:ascii="Arial" w:hAnsi="Arial" w:cs="Arial"/>
          <w:sz w:val="24"/>
          <w:szCs w:val="24"/>
        </w:rPr>
        <w:t xml:space="preserve">resulting in a </w:t>
      </w:r>
      <w:r w:rsidR="00504B3D" w:rsidRPr="00BC2C95">
        <w:rPr>
          <w:rFonts w:ascii="Arial" w:hAnsi="Arial" w:cs="Arial"/>
          <w:sz w:val="24"/>
          <w:szCs w:val="24"/>
        </w:rPr>
        <w:t>negative natural change (</w:t>
      </w:r>
      <w:r w:rsidR="00CC69C8" w:rsidRPr="00BC2C95">
        <w:rPr>
          <w:rFonts w:ascii="Arial" w:hAnsi="Arial" w:cs="Arial"/>
          <w:sz w:val="24"/>
          <w:szCs w:val="24"/>
        </w:rPr>
        <w:t>-23</w:t>
      </w:r>
      <w:r w:rsidR="00504B3D" w:rsidRPr="00BC2C95">
        <w:rPr>
          <w:rFonts w:ascii="Arial" w:hAnsi="Arial" w:cs="Arial"/>
          <w:sz w:val="24"/>
          <w:szCs w:val="24"/>
        </w:rPr>
        <w:t xml:space="preserve">). </w:t>
      </w:r>
      <w:r w:rsidR="00E1262A" w:rsidRPr="00BC2C95">
        <w:rPr>
          <w:rFonts w:ascii="Arial" w:hAnsi="Arial" w:cs="Arial"/>
          <w:sz w:val="24"/>
          <w:szCs w:val="24"/>
        </w:rPr>
        <w:t>C</w:t>
      </w:r>
      <w:r w:rsidR="001C225B" w:rsidRPr="00BC2C95">
        <w:rPr>
          <w:rFonts w:ascii="Arial" w:hAnsi="Arial" w:cs="Arial"/>
          <w:sz w:val="24"/>
          <w:szCs w:val="24"/>
        </w:rPr>
        <w:t xml:space="preserve">hanges </w:t>
      </w:r>
      <w:r w:rsidR="00E1262A" w:rsidRPr="00BC2C95">
        <w:rPr>
          <w:rFonts w:ascii="Arial" w:hAnsi="Arial" w:cs="Arial"/>
          <w:sz w:val="24"/>
          <w:szCs w:val="24"/>
        </w:rPr>
        <w:t xml:space="preserve">due </w:t>
      </w:r>
      <w:r w:rsidR="001C225B" w:rsidRPr="00BC2C95">
        <w:rPr>
          <w:rFonts w:ascii="Arial" w:hAnsi="Arial" w:cs="Arial"/>
          <w:sz w:val="24"/>
          <w:szCs w:val="24"/>
        </w:rPr>
        <w:t xml:space="preserve">to special populations (home armed forces, foreign armed forces and the prison population) </w:t>
      </w:r>
      <w:r w:rsidR="001864DC" w:rsidRPr="00BC2C95">
        <w:rPr>
          <w:rFonts w:ascii="Arial" w:hAnsi="Arial" w:cs="Arial"/>
          <w:sz w:val="24"/>
          <w:szCs w:val="24"/>
        </w:rPr>
        <w:t>was the same as for Cardiff (-8).</w:t>
      </w:r>
    </w:p>
    <w:p w14:paraId="1F62FDC9" w14:textId="590638A2" w:rsidR="00044A15" w:rsidRPr="00BC2C95" w:rsidRDefault="00044A15" w:rsidP="00DC54F7">
      <w:pPr>
        <w:spacing w:after="0" w:line="240" w:lineRule="auto"/>
        <w:contextualSpacing/>
        <w:jc w:val="both"/>
        <w:rPr>
          <w:rFonts w:ascii="Arial" w:hAnsi="Arial" w:cs="Arial"/>
          <w:sz w:val="24"/>
          <w:szCs w:val="24"/>
        </w:rPr>
      </w:pPr>
    </w:p>
    <w:p w14:paraId="6D123B7F" w14:textId="1D6BEF1D" w:rsidR="001D595A" w:rsidRPr="00BC2C95" w:rsidRDefault="00A8143D" w:rsidP="00DC54F7">
      <w:pPr>
        <w:spacing w:after="0" w:line="240" w:lineRule="auto"/>
        <w:contextualSpacing/>
        <w:jc w:val="both"/>
        <w:rPr>
          <w:rFonts w:ascii="Arial" w:hAnsi="Arial" w:cs="Arial"/>
          <w:sz w:val="24"/>
          <w:szCs w:val="24"/>
        </w:rPr>
      </w:pPr>
      <w:r w:rsidRPr="00BC2C95">
        <w:rPr>
          <w:rFonts w:ascii="Arial" w:hAnsi="Arial" w:cs="Arial"/>
          <w:sz w:val="24"/>
          <w:szCs w:val="24"/>
        </w:rPr>
        <w:t>Th</w:t>
      </w:r>
      <w:r w:rsidR="006A1319" w:rsidRPr="00BC2C95">
        <w:rPr>
          <w:rFonts w:ascii="Arial" w:hAnsi="Arial" w:cs="Arial"/>
          <w:sz w:val="24"/>
          <w:szCs w:val="24"/>
        </w:rPr>
        <w:t>e</w:t>
      </w:r>
      <w:r w:rsidRPr="00BC2C95">
        <w:rPr>
          <w:rFonts w:ascii="Arial" w:hAnsi="Arial" w:cs="Arial"/>
          <w:sz w:val="24"/>
          <w:szCs w:val="24"/>
        </w:rPr>
        <w:t xml:space="preserve"> </w:t>
      </w:r>
      <w:r w:rsidR="00542E29" w:rsidRPr="00BC2C95">
        <w:rPr>
          <w:rFonts w:ascii="Arial" w:hAnsi="Arial" w:cs="Arial"/>
          <w:sz w:val="24"/>
          <w:szCs w:val="24"/>
        </w:rPr>
        <w:t>figures</w:t>
      </w:r>
      <w:r w:rsidR="00C11D7D" w:rsidRPr="00BC2C95">
        <w:rPr>
          <w:rFonts w:ascii="Arial" w:hAnsi="Arial" w:cs="Arial"/>
          <w:sz w:val="24"/>
          <w:szCs w:val="24"/>
        </w:rPr>
        <w:t xml:space="preserve"> 2.3 and 2.4</w:t>
      </w:r>
      <w:r w:rsidR="00502D8A" w:rsidRPr="00BC2C95">
        <w:rPr>
          <w:rFonts w:ascii="Arial" w:hAnsi="Arial" w:cs="Arial"/>
          <w:sz w:val="24"/>
          <w:szCs w:val="24"/>
        </w:rPr>
        <w:t xml:space="preserve"> </w:t>
      </w:r>
      <w:r w:rsidRPr="00BC2C95">
        <w:rPr>
          <w:rFonts w:ascii="Arial" w:hAnsi="Arial" w:cs="Arial"/>
          <w:sz w:val="24"/>
          <w:szCs w:val="24"/>
        </w:rPr>
        <w:t xml:space="preserve">below show </w:t>
      </w:r>
      <w:r w:rsidR="00510732" w:rsidRPr="00BC2C95">
        <w:rPr>
          <w:rFonts w:ascii="Arial" w:hAnsi="Arial" w:cs="Arial"/>
          <w:sz w:val="24"/>
          <w:szCs w:val="24"/>
        </w:rPr>
        <w:t xml:space="preserve">how </w:t>
      </w:r>
      <w:r w:rsidR="00CB7E0E" w:rsidRPr="00BC2C95">
        <w:rPr>
          <w:rFonts w:ascii="Arial" w:hAnsi="Arial" w:cs="Arial"/>
          <w:sz w:val="24"/>
          <w:szCs w:val="24"/>
        </w:rPr>
        <w:t xml:space="preserve">natural change, </w:t>
      </w:r>
      <w:r w:rsidR="009B3611" w:rsidRPr="00BC2C95">
        <w:rPr>
          <w:rFonts w:ascii="Arial" w:hAnsi="Arial" w:cs="Arial"/>
          <w:sz w:val="24"/>
          <w:szCs w:val="24"/>
        </w:rPr>
        <w:t xml:space="preserve">net internal migration and net international migration have </w:t>
      </w:r>
      <w:r w:rsidR="00B22356" w:rsidRPr="00BC2C95">
        <w:rPr>
          <w:rFonts w:ascii="Arial" w:hAnsi="Arial" w:cs="Arial"/>
          <w:sz w:val="24"/>
          <w:szCs w:val="24"/>
        </w:rPr>
        <w:t xml:space="preserve">influenced population change </w:t>
      </w:r>
      <w:r w:rsidR="001E522E" w:rsidRPr="00BC2C95">
        <w:rPr>
          <w:rFonts w:ascii="Arial" w:hAnsi="Arial" w:cs="Arial"/>
          <w:sz w:val="24"/>
          <w:szCs w:val="24"/>
        </w:rPr>
        <w:t xml:space="preserve">in Cardiff and the Vale of Glamorgan </w:t>
      </w:r>
      <w:r w:rsidR="00B22356" w:rsidRPr="00BC2C95">
        <w:rPr>
          <w:rFonts w:ascii="Arial" w:hAnsi="Arial" w:cs="Arial"/>
          <w:sz w:val="24"/>
          <w:szCs w:val="24"/>
        </w:rPr>
        <w:t xml:space="preserve">since 2012. </w:t>
      </w:r>
    </w:p>
    <w:p w14:paraId="2C325653" w14:textId="22267A35" w:rsidR="00FA61D2" w:rsidRDefault="00FA61D2" w:rsidP="00FA61D2">
      <w:pPr>
        <w:rPr>
          <w:rFonts w:ascii="Arial" w:hAnsi="Arial" w:cs="Arial"/>
          <w:b/>
          <w:bCs/>
          <w:noProof/>
          <w:sz w:val="24"/>
          <w:szCs w:val="24"/>
        </w:rPr>
      </w:pPr>
      <w:r>
        <w:rPr>
          <w:rFonts w:ascii="Arial" w:hAnsi="Arial" w:cs="Arial"/>
          <w:b/>
          <w:bCs/>
          <w:noProof/>
          <w:sz w:val="24"/>
          <w:szCs w:val="24"/>
        </w:rPr>
        <w:br w:type="page"/>
      </w:r>
    </w:p>
    <w:p w14:paraId="5802BA35" w14:textId="073D8DAF" w:rsidR="00655C62" w:rsidRPr="00BC2C95" w:rsidRDefault="00382A31" w:rsidP="00DC54F7">
      <w:pPr>
        <w:spacing w:after="0" w:line="240" w:lineRule="auto"/>
        <w:jc w:val="both"/>
        <w:rPr>
          <w:rFonts w:ascii="Arial" w:hAnsi="Arial" w:cs="Arial"/>
          <w:b/>
          <w:bCs/>
          <w:noProof/>
          <w:sz w:val="24"/>
          <w:szCs w:val="24"/>
        </w:rPr>
      </w:pPr>
      <w:r w:rsidRPr="00BC2C95">
        <w:rPr>
          <w:rFonts w:ascii="Arial" w:hAnsi="Arial" w:cs="Arial"/>
          <w:b/>
          <w:bCs/>
          <w:noProof/>
          <w:sz w:val="24"/>
          <w:szCs w:val="24"/>
        </w:rPr>
        <w:lastRenderedPageBreak/>
        <w:t>Figure</w:t>
      </w:r>
      <w:r w:rsidR="008F4406" w:rsidRPr="00BC2C95">
        <w:rPr>
          <w:rFonts w:ascii="Arial" w:hAnsi="Arial" w:cs="Arial"/>
          <w:b/>
          <w:bCs/>
          <w:noProof/>
          <w:sz w:val="24"/>
          <w:szCs w:val="24"/>
        </w:rPr>
        <w:t xml:space="preserve"> 2.3</w:t>
      </w:r>
      <w:r w:rsidRPr="00BC2C95">
        <w:rPr>
          <w:rFonts w:ascii="Arial" w:hAnsi="Arial" w:cs="Arial"/>
          <w:b/>
          <w:bCs/>
          <w:noProof/>
          <w:sz w:val="24"/>
          <w:szCs w:val="24"/>
        </w:rPr>
        <w:t>: Compenents of population change for Cardiff, 2012 to 2019</w:t>
      </w:r>
    </w:p>
    <w:p w14:paraId="6D585AD1" w14:textId="662239E8" w:rsidR="00655C62" w:rsidRDefault="00655C62" w:rsidP="00DC54F7">
      <w:pPr>
        <w:spacing w:after="0" w:line="240" w:lineRule="auto"/>
        <w:contextualSpacing/>
        <w:jc w:val="both"/>
        <w:rPr>
          <w:rFonts w:ascii="Arial" w:hAnsi="Arial" w:cs="Arial"/>
        </w:rPr>
      </w:pPr>
      <w:r>
        <w:rPr>
          <w:noProof/>
          <w:lang w:eastAsia="en-GB"/>
        </w:rPr>
        <w:drawing>
          <wp:inline distT="0" distB="0" distL="0" distR="0" wp14:anchorId="4A145E0F" wp14:editId="4D15BB67">
            <wp:extent cx="5573864" cy="3035300"/>
            <wp:effectExtent l="0" t="0" r="8255" b="12700"/>
            <wp:docPr id="27" name="Chart 2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100-00001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F20BCA6" w14:textId="77777777" w:rsidR="00010AFD" w:rsidRPr="00BC2C95" w:rsidRDefault="0001236B" w:rsidP="00DC54F7">
      <w:pPr>
        <w:spacing w:after="0" w:line="240" w:lineRule="auto"/>
        <w:contextualSpacing/>
        <w:jc w:val="both"/>
        <w:rPr>
          <w:rFonts w:ascii="Arial" w:hAnsi="Arial" w:cs="Arial"/>
          <w:sz w:val="20"/>
          <w:szCs w:val="20"/>
        </w:rPr>
      </w:pPr>
      <w:r w:rsidRPr="00BC2C95">
        <w:rPr>
          <w:rFonts w:ascii="Arial" w:hAnsi="Arial" w:cs="Arial"/>
          <w:sz w:val="20"/>
          <w:szCs w:val="20"/>
        </w:rPr>
        <w:t xml:space="preserve">Source: Analysis of Population Estimates Tool, Office of National Statistics </w:t>
      </w:r>
      <w:r w:rsidR="00765928" w:rsidRPr="00BC2C95">
        <w:rPr>
          <w:rFonts w:ascii="Arial" w:hAnsi="Arial" w:cs="Arial"/>
          <w:sz w:val="20"/>
          <w:szCs w:val="20"/>
        </w:rPr>
        <w:t>(June 2020)</w:t>
      </w:r>
    </w:p>
    <w:p w14:paraId="51B3DDC0" w14:textId="77777777" w:rsidR="00BC2C95" w:rsidRDefault="00BC2C95" w:rsidP="00DC54F7">
      <w:pPr>
        <w:spacing w:after="0" w:line="240" w:lineRule="auto"/>
        <w:contextualSpacing/>
        <w:jc w:val="both"/>
        <w:rPr>
          <w:rFonts w:ascii="Arial" w:hAnsi="Arial" w:cs="Arial"/>
          <w:b/>
          <w:bCs/>
          <w:noProof/>
        </w:rPr>
      </w:pPr>
    </w:p>
    <w:p w14:paraId="024786FD" w14:textId="24043D64" w:rsidR="00044A15" w:rsidRPr="00BC2C95" w:rsidRDefault="00382A31" w:rsidP="00DC54F7">
      <w:pPr>
        <w:spacing w:after="0" w:line="240" w:lineRule="auto"/>
        <w:contextualSpacing/>
        <w:jc w:val="both"/>
        <w:rPr>
          <w:rFonts w:ascii="Arial" w:hAnsi="Arial" w:cs="Arial"/>
          <w:sz w:val="24"/>
          <w:szCs w:val="24"/>
        </w:rPr>
      </w:pPr>
      <w:r w:rsidRPr="00BC2C95">
        <w:rPr>
          <w:rFonts w:ascii="Arial" w:hAnsi="Arial" w:cs="Arial"/>
          <w:b/>
          <w:bCs/>
          <w:noProof/>
          <w:sz w:val="24"/>
          <w:szCs w:val="24"/>
        </w:rPr>
        <w:t>Figure</w:t>
      </w:r>
      <w:r w:rsidR="008F4406" w:rsidRPr="00BC2C95">
        <w:rPr>
          <w:rFonts w:ascii="Arial" w:hAnsi="Arial" w:cs="Arial"/>
          <w:b/>
          <w:bCs/>
          <w:noProof/>
          <w:sz w:val="24"/>
          <w:szCs w:val="24"/>
        </w:rPr>
        <w:t xml:space="preserve"> 2.4</w:t>
      </w:r>
      <w:r w:rsidRPr="00BC2C95">
        <w:rPr>
          <w:rFonts w:ascii="Arial" w:hAnsi="Arial" w:cs="Arial"/>
          <w:b/>
          <w:bCs/>
          <w:noProof/>
          <w:sz w:val="24"/>
          <w:szCs w:val="24"/>
        </w:rPr>
        <w:t>: Compenents of population change for Vale of Glamorgan, 2012 to 2019</w:t>
      </w:r>
    </w:p>
    <w:p w14:paraId="406E42BD" w14:textId="5639C6D3" w:rsidR="00044A15" w:rsidRDefault="00B0562F" w:rsidP="00DC54F7">
      <w:pPr>
        <w:spacing w:after="0" w:line="240" w:lineRule="auto"/>
        <w:contextualSpacing/>
        <w:jc w:val="both"/>
        <w:rPr>
          <w:rFonts w:ascii="Arial" w:hAnsi="Arial" w:cs="Arial"/>
        </w:rPr>
      </w:pPr>
      <w:r>
        <w:rPr>
          <w:noProof/>
          <w:lang w:eastAsia="en-GB"/>
        </w:rPr>
        <w:drawing>
          <wp:inline distT="0" distB="0" distL="0" distR="0" wp14:anchorId="20CF5E32" wp14:editId="57F4C527">
            <wp:extent cx="5502303" cy="2413000"/>
            <wp:effectExtent l="0" t="0" r="3175" b="6350"/>
            <wp:docPr id="16" name="Chart 1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100-00001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3100935" w14:textId="77777777" w:rsidR="00765928" w:rsidRPr="00BC2C95" w:rsidRDefault="00765928" w:rsidP="00DC54F7">
      <w:pPr>
        <w:spacing w:after="0" w:line="240" w:lineRule="auto"/>
        <w:contextualSpacing/>
        <w:jc w:val="both"/>
        <w:rPr>
          <w:rFonts w:ascii="Arial" w:hAnsi="Arial" w:cs="Arial"/>
          <w:sz w:val="20"/>
          <w:szCs w:val="20"/>
        </w:rPr>
      </w:pPr>
      <w:r w:rsidRPr="00BC2C95">
        <w:rPr>
          <w:rFonts w:ascii="Arial" w:hAnsi="Arial" w:cs="Arial"/>
          <w:sz w:val="20"/>
          <w:szCs w:val="20"/>
        </w:rPr>
        <w:t>Source: Analysis of Population Estimates Tool, Office of National Statistics (June 2020)</w:t>
      </w:r>
    </w:p>
    <w:p w14:paraId="477452B8" w14:textId="508049A7" w:rsidR="00044A15" w:rsidRDefault="00044A15" w:rsidP="00DC54F7">
      <w:pPr>
        <w:spacing w:after="0" w:line="240" w:lineRule="auto"/>
        <w:contextualSpacing/>
        <w:jc w:val="both"/>
        <w:rPr>
          <w:rFonts w:ascii="Arial" w:hAnsi="Arial" w:cs="Arial"/>
        </w:rPr>
      </w:pPr>
    </w:p>
    <w:p w14:paraId="64967265" w14:textId="77777777" w:rsidR="0029702D" w:rsidRDefault="0029702D" w:rsidP="00DC54F7">
      <w:pPr>
        <w:spacing w:after="0" w:line="240" w:lineRule="auto"/>
        <w:contextualSpacing/>
        <w:jc w:val="both"/>
        <w:rPr>
          <w:rFonts w:ascii="Arial" w:hAnsi="Arial" w:cs="Arial"/>
        </w:rPr>
      </w:pPr>
    </w:p>
    <w:p w14:paraId="0BC79A26" w14:textId="0C79E5BE" w:rsidR="004424D0" w:rsidRPr="009E76BB" w:rsidRDefault="009E76BB" w:rsidP="00DC54F7">
      <w:pPr>
        <w:jc w:val="both"/>
        <w:rPr>
          <w:rFonts w:ascii="Arial" w:hAnsi="Arial" w:cs="Arial"/>
          <w:b/>
          <w:bCs/>
          <w:sz w:val="24"/>
          <w:szCs w:val="24"/>
        </w:rPr>
      </w:pPr>
      <w:r w:rsidRPr="009E76BB">
        <w:rPr>
          <w:rFonts w:ascii="Arial" w:hAnsi="Arial" w:cs="Arial"/>
          <w:b/>
          <w:bCs/>
          <w:sz w:val="24"/>
          <w:szCs w:val="24"/>
        </w:rPr>
        <w:t xml:space="preserve">2.2.1 </w:t>
      </w:r>
      <w:r w:rsidR="004424D0" w:rsidRPr="009E76BB">
        <w:rPr>
          <w:rFonts w:ascii="Arial" w:hAnsi="Arial" w:cs="Arial"/>
          <w:b/>
          <w:bCs/>
          <w:sz w:val="24"/>
          <w:szCs w:val="24"/>
        </w:rPr>
        <w:t>Population projections 2018 to 2028 (2018 based)</w:t>
      </w:r>
      <w:r w:rsidR="004424D0" w:rsidRPr="009E76BB">
        <w:rPr>
          <w:rStyle w:val="FootnoteReference"/>
          <w:rFonts w:ascii="Arial" w:hAnsi="Arial" w:cs="Arial"/>
          <w:b/>
          <w:bCs/>
          <w:sz w:val="24"/>
          <w:szCs w:val="24"/>
        </w:rPr>
        <w:footnoteReference w:id="2"/>
      </w:r>
    </w:p>
    <w:p w14:paraId="7C3BD7C5" w14:textId="30B50E69" w:rsidR="00CA48F3" w:rsidRPr="009E76BB" w:rsidRDefault="00CA48F3" w:rsidP="00DC54F7">
      <w:pPr>
        <w:spacing w:after="0" w:line="240" w:lineRule="auto"/>
        <w:jc w:val="both"/>
        <w:rPr>
          <w:rFonts w:ascii="Arial" w:hAnsi="Arial" w:cs="Arial"/>
          <w:sz w:val="24"/>
          <w:szCs w:val="24"/>
        </w:rPr>
      </w:pPr>
      <w:r w:rsidRPr="009E76BB">
        <w:rPr>
          <w:rFonts w:ascii="Arial" w:hAnsi="Arial" w:cs="Arial"/>
          <w:sz w:val="24"/>
          <w:szCs w:val="24"/>
        </w:rPr>
        <w:t>Between 2018 to 2028, the population of Cardiff is projected to increase by up to 3.2</w:t>
      </w:r>
      <w:r w:rsidR="00333F1B" w:rsidRPr="009E76BB">
        <w:rPr>
          <w:rFonts w:ascii="Arial" w:hAnsi="Arial" w:cs="Arial"/>
          <w:sz w:val="24"/>
          <w:szCs w:val="24"/>
        </w:rPr>
        <w:t>%</w:t>
      </w:r>
      <w:r w:rsidRPr="009E76BB">
        <w:rPr>
          <w:rFonts w:ascii="Arial" w:hAnsi="Arial" w:cs="Arial"/>
          <w:sz w:val="24"/>
          <w:szCs w:val="24"/>
        </w:rPr>
        <w:t>, the sixth lar</w:t>
      </w:r>
      <w:r w:rsidR="00333F1B" w:rsidRPr="009E76BB">
        <w:rPr>
          <w:rFonts w:ascii="Arial" w:hAnsi="Arial" w:cs="Arial"/>
          <w:sz w:val="24"/>
          <w:szCs w:val="24"/>
        </w:rPr>
        <w:t>gest</w:t>
      </w:r>
      <w:r w:rsidRPr="009E76BB">
        <w:rPr>
          <w:rFonts w:ascii="Arial" w:hAnsi="Arial" w:cs="Arial"/>
          <w:sz w:val="24"/>
          <w:szCs w:val="24"/>
        </w:rPr>
        <w:t xml:space="preserve"> percentage increase of all the local authorities within Wales. It is expected to have a population of around 375,700 by 2028, making it the largest local authority in Wales. Unlike all other local authorities, the increase in population will mainly be driven by natural change i.e. more births than deaths and a smaller </w:t>
      </w:r>
      <w:r w:rsidRPr="009E76BB">
        <w:rPr>
          <w:rFonts w:ascii="Arial" w:hAnsi="Arial" w:cs="Arial"/>
          <w:sz w:val="24"/>
          <w:szCs w:val="24"/>
        </w:rPr>
        <w:lastRenderedPageBreak/>
        <w:t xml:space="preserve">proportion of the increase will be due to net migration i.e. more people moving into the area than out. </w:t>
      </w:r>
      <w:r w:rsidR="006A457D" w:rsidRPr="009E76BB">
        <w:rPr>
          <w:rFonts w:ascii="Arial" w:hAnsi="Arial" w:cs="Arial"/>
          <w:sz w:val="24"/>
          <w:szCs w:val="24"/>
        </w:rPr>
        <w:t xml:space="preserve">Cardiff has the highest level of projected international migration of all the local authorities. </w:t>
      </w:r>
      <w:r w:rsidRPr="009E76BB">
        <w:rPr>
          <w:rFonts w:ascii="Arial" w:hAnsi="Arial" w:cs="Arial"/>
          <w:sz w:val="24"/>
          <w:szCs w:val="24"/>
        </w:rPr>
        <w:t>The population is expected to increase across all broad age groups, except the 0 to 15 year</w:t>
      </w:r>
      <w:r w:rsidR="00DB5140" w:rsidRPr="009E76BB">
        <w:rPr>
          <w:rFonts w:ascii="Arial" w:hAnsi="Arial" w:cs="Arial"/>
          <w:sz w:val="24"/>
          <w:szCs w:val="24"/>
        </w:rPr>
        <w:t>s</w:t>
      </w:r>
      <w:r w:rsidRPr="009E76BB">
        <w:rPr>
          <w:rFonts w:ascii="Arial" w:hAnsi="Arial" w:cs="Arial"/>
          <w:sz w:val="24"/>
          <w:szCs w:val="24"/>
        </w:rPr>
        <w:t xml:space="preserve"> old where a decrease is predicted.  The largest population increases will be in the over 65 age group followed by the working-age population aged 16 to 64 years. The population is projected to continue to age in the local authority.</w:t>
      </w:r>
    </w:p>
    <w:p w14:paraId="38049D54" w14:textId="77777777" w:rsidR="00010AFD" w:rsidRPr="009E76BB" w:rsidRDefault="00010AFD" w:rsidP="00DC54F7">
      <w:pPr>
        <w:spacing w:after="0" w:line="240" w:lineRule="auto"/>
        <w:jc w:val="both"/>
        <w:rPr>
          <w:rFonts w:ascii="Arial" w:hAnsi="Arial" w:cs="Arial"/>
          <w:b/>
          <w:bCs/>
          <w:sz w:val="24"/>
          <w:szCs w:val="24"/>
        </w:rPr>
      </w:pPr>
    </w:p>
    <w:p w14:paraId="2ABB5A8F" w14:textId="5E2D020D" w:rsidR="00D272DD" w:rsidRPr="009E76BB" w:rsidRDefault="007B16F0" w:rsidP="00DC54F7">
      <w:pPr>
        <w:spacing w:after="0" w:line="240" w:lineRule="auto"/>
        <w:jc w:val="both"/>
        <w:rPr>
          <w:rFonts w:ascii="Arial" w:hAnsi="Arial" w:cs="Arial"/>
          <w:b/>
          <w:bCs/>
          <w:sz w:val="24"/>
          <w:szCs w:val="24"/>
        </w:rPr>
      </w:pPr>
      <w:r w:rsidRPr="009E76BB">
        <w:rPr>
          <w:rFonts w:ascii="Arial" w:hAnsi="Arial" w:cs="Arial"/>
          <w:b/>
          <w:bCs/>
          <w:sz w:val="24"/>
          <w:szCs w:val="24"/>
        </w:rPr>
        <w:t>Figure 2.5:</w:t>
      </w:r>
      <w:r w:rsidR="00114EA5" w:rsidRPr="009E76BB">
        <w:rPr>
          <w:rFonts w:ascii="Arial" w:hAnsi="Arial" w:cs="Arial"/>
          <w:b/>
          <w:bCs/>
          <w:sz w:val="24"/>
          <w:szCs w:val="24"/>
        </w:rPr>
        <w:t xml:space="preserve"> Population projections</w:t>
      </w:r>
      <w:r w:rsidR="00BD423E" w:rsidRPr="009E76BB">
        <w:rPr>
          <w:rFonts w:ascii="Arial" w:hAnsi="Arial" w:cs="Arial"/>
          <w:b/>
          <w:bCs/>
          <w:sz w:val="24"/>
          <w:szCs w:val="24"/>
        </w:rPr>
        <w:t xml:space="preserve"> </w:t>
      </w:r>
      <w:r w:rsidR="001D595A" w:rsidRPr="009E76BB">
        <w:rPr>
          <w:rFonts w:ascii="Arial" w:hAnsi="Arial" w:cs="Arial"/>
          <w:b/>
          <w:bCs/>
          <w:sz w:val="24"/>
          <w:szCs w:val="24"/>
        </w:rPr>
        <w:t xml:space="preserve">(2018 based) </w:t>
      </w:r>
      <w:r w:rsidR="00BD423E" w:rsidRPr="009E76BB">
        <w:rPr>
          <w:rFonts w:ascii="Arial" w:hAnsi="Arial" w:cs="Arial"/>
          <w:b/>
          <w:bCs/>
          <w:sz w:val="24"/>
          <w:szCs w:val="24"/>
        </w:rPr>
        <w:t xml:space="preserve">by </w:t>
      </w:r>
      <w:r w:rsidR="00DB5140" w:rsidRPr="009E76BB">
        <w:rPr>
          <w:rFonts w:ascii="Arial" w:hAnsi="Arial" w:cs="Arial"/>
          <w:b/>
          <w:bCs/>
          <w:sz w:val="24"/>
          <w:szCs w:val="24"/>
        </w:rPr>
        <w:t xml:space="preserve">broad </w:t>
      </w:r>
      <w:r w:rsidR="00BD423E" w:rsidRPr="009E76BB">
        <w:rPr>
          <w:rFonts w:ascii="Arial" w:hAnsi="Arial" w:cs="Arial"/>
          <w:b/>
          <w:bCs/>
          <w:sz w:val="24"/>
          <w:szCs w:val="24"/>
        </w:rPr>
        <w:t xml:space="preserve">age </w:t>
      </w:r>
      <w:r w:rsidR="001D595A" w:rsidRPr="009E76BB">
        <w:rPr>
          <w:rFonts w:ascii="Arial" w:hAnsi="Arial" w:cs="Arial"/>
          <w:b/>
          <w:bCs/>
          <w:sz w:val="24"/>
          <w:szCs w:val="24"/>
        </w:rPr>
        <w:t>groups</w:t>
      </w:r>
      <w:r w:rsidR="00BD423E" w:rsidRPr="009E76BB">
        <w:rPr>
          <w:rFonts w:ascii="Arial" w:hAnsi="Arial" w:cs="Arial"/>
          <w:b/>
          <w:bCs/>
          <w:sz w:val="24"/>
          <w:szCs w:val="24"/>
        </w:rPr>
        <w:t xml:space="preserve"> for </w:t>
      </w:r>
      <w:r w:rsidR="00D272DD" w:rsidRPr="009E76BB">
        <w:rPr>
          <w:rFonts w:ascii="Arial" w:hAnsi="Arial" w:cs="Arial"/>
          <w:b/>
          <w:bCs/>
          <w:sz w:val="24"/>
          <w:szCs w:val="24"/>
        </w:rPr>
        <w:t>Cardiff</w:t>
      </w:r>
      <w:r w:rsidR="00BD423E" w:rsidRPr="009E76BB">
        <w:rPr>
          <w:rFonts w:ascii="Arial" w:hAnsi="Arial" w:cs="Arial"/>
          <w:b/>
          <w:bCs/>
          <w:sz w:val="24"/>
          <w:szCs w:val="24"/>
        </w:rPr>
        <w:t xml:space="preserve"> local authority, </w:t>
      </w:r>
      <w:r w:rsidR="0062237B" w:rsidRPr="009E76BB">
        <w:rPr>
          <w:rFonts w:ascii="Arial" w:hAnsi="Arial" w:cs="Arial"/>
          <w:b/>
          <w:bCs/>
          <w:sz w:val="24"/>
          <w:szCs w:val="24"/>
        </w:rPr>
        <w:t>2018 to 2028</w:t>
      </w:r>
    </w:p>
    <w:p w14:paraId="34A23C4D" w14:textId="77777777" w:rsidR="00791565" w:rsidRDefault="00791565" w:rsidP="00DC54F7">
      <w:pPr>
        <w:spacing w:after="0" w:line="240" w:lineRule="auto"/>
        <w:jc w:val="both"/>
        <w:rPr>
          <w:rFonts w:ascii="Arial" w:hAnsi="Arial" w:cs="Arial"/>
          <w:b/>
          <w:bCs/>
        </w:rPr>
      </w:pPr>
      <w:r>
        <w:rPr>
          <w:noProof/>
          <w:lang w:eastAsia="en-GB"/>
        </w:rPr>
        <w:drawing>
          <wp:inline distT="0" distB="0" distL="0" distR="0" wp14:anchorId="55A7708A" wp14:editId="4EBEEA55">
            <wp:extent cx="5629523" cy="2540000"/>
            <wp:effectExtent l="0" t="0" r="9525" b="12700"/>
            <wp:docPr id="193" name="Chart 19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8E0EFCF-62D3-48DF-AC21-E6C17874B1F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F4491C9" w14:textId="37A54C34" w:rsidR="00791565" w:rsidRDefault="00CA48F3" w:rsidP="00DC54F7">
      <w:pPr>
        <w:spacing w:after="0" w:line="240" w:lineRule="auto"/>
        <w:jc w:val="both"/>
        <w:rPr>
          <w:rFonts w:ascii="Arial" w:hAnsi="Arial" w:cs="Arial"/>
          <w:sz w:val="20"/>
          <w:szCs w:val="20"/>
        </w:rPr>
      </w:pPr>
      <w:r w:rsidRPr="00CA48F3">
        <w:rPr>
          <w:rFonts w:ascii="Arial" w:hAnsi="Arial" w:cs="Arial"/>
          <w:sz w:val="20"/>
          <w:szCs w:val="20"/>
        </w:rPr>
        <w:t>Source:</w:t>
      </w:r>
      <w:r w:rsidR="0062237B">
        <w:rPr>
          <w:rFonts w:ascii="Arial" w:hAnsi="Arial" w:cs="Arial"/>
          <w:sz w:val="20"/>
          <w:szCs w:val="20"/>
        </w:rPr>
        <w:t xml:space="preserve"> StatsWales</w:t>
      </w:r>
      <w:r w:rsidR="0033620C">
        <w:rPr>
          <w:rFonts w:ascii="Arial" w:hAnsi="Arial" w:cs="Arial"/>
          <w:sz w:val="20"/>
          <w:szCs w:val="20"/>
        </w:rPr>
        <w:t xml:space="preserve"> Welsh Govern</w:t>
      </w:r>
      <w:r w:rsidR="001D595A">
        <w:rPr>
          <w:rFonts w:ascii="Arial" w:hAnsi="Arial" w:cs="Arial"/>
          <w:sz w:val="20"/>
          <w:szCs w:val="20"/>
        </w:rPr>
        <w:t>ment</w:t>
      </w:r>
    </w:p>
    <w:p w14:paraId="11366595" w14:textId="77777777" w:rsidR="009E76BB" w:rsidRDefault="009E76BB" w:rsidP="00DC54F7">
      <w:pPr>
        <w:spacing w:after="0" w:line="240" w:lineRule="auto"/>
        <w:jc w:val="both"/>
        <w:rPr>
          <w:rFonts w:ascii="Arial" w:hAnsi="Arial" w:cs="Arial"/>
        </w:rPr>
      </w:pPr>
    </w:p>
    <w:p w14:paraId="49B7DA0A" w14:textId="4AB15C80" w:rsidR="00CA48F3" w:rsidRDefault="00CA48F3" w:rsidP="00DC54F7">
      <w:pPr>
        <w:spacing w:after="0" w:line="240" w:lineRule="auto"/>
        <w:jc w:val="both"/>
        <w:rPr>
          <w:rFonts w:ascii="Arial" w:hAnsi="Arial" w:cs="Arial"/>
        </w:rPr>
      </w:pPr>
      <w:r w:rsidRPr="009E76BB">
        <w:rPr>
          <w:rFonts w:ascii="Arial" w:hAnsi="Arial" w:cs="Arial"/>
          <w:sz w:val="24"/>
          <w:szCs w:val="24"/>
        </w:rPr>
        <w:t xml:space="preserve">Between 2018 to 2028, the population of the Vale of Glamorgan is projected to increase by up to 6%, the second largest percentage increase of all the local authorities within Wales. It is expected to have a population of around 140,000 by 2028, making it the tenth largest local authority in Wales. The increase in population will mainly be driven by net migration i.e. more people moving into the area than out. The number of births is expected to </w:t>
      </w:r>
      <w:r w:rsidR="00E9069E" w:rsidRPr="009E76BB">
        <w:rPr>
          <w:rFonts w:ascii="Arial" w:hAnsi="Arial" w:cs="Arial"/>
          <w:sz w:val="24"/>
          <w:szCs w:val="24"/>
        </w:rPr>
        <w:t>in</w:t>
      </w:r>
      <w:r w:rsidRPr="009E76BB">
        <w:rPr>
          <w:rFonts w:ascii="Arial" w:hAnsi="Arial" w:cs="Arial"/>
          <w:sz w:val="24"/>
          <w:szCs w:val="24"/>
        </w:rPr>
        <w:t xml:space="preserve">crease </w:t>
      </w:r>
      <w:r w:rsidR="00E9069E" w:rsidRPr="009E76BB">
        <w:rPr>
          <w:rFonts w:ascii="Arial" w:hAnsi="Arial" w:cs="Arial"/>
          <w:sz w:val="24"/>
          <w:szCs w:val="24"/>
        </w:rPr>
        <w:t xml:space="preserve">over this period as is </w:t>
      </w:r>
      <w:r w:rsidRPr="009E76BB">
        <w:rPr>
          <w:rFonts w:ascii="Arial" w:hAnsi="Arial" w:cs="Arial"/>
          <w:sz w:val="24"/>
          <w:szCs w:val="24"/>
        </w:rPr>
        <w:t>the number of deaths, resulting in a negative natural change (more deaths than births). The population is expected to increase across all broad age groups. Overall, there will be a small increase in the number of children and young people aged 0 to 15 years old and in the working-age population aged 16 to 64 years old. The largest population increases will be in the over 65 age group, where the Vale of Glamorgan is expected to have the largest increase of all local authorities at up to 20.5%. This is followed by the 75 or over age group. The population is projected to continue to age in the local authority</w:t>
      </w:r>
      <w:r w:rsidRPr="00E623D8">
        <w:rPr>
          <w:rFonts w:ascii="Arial" w:hAnsi="Arial" w:cs="Arial"/>
        </w:rPr>
        <w:t>.</w:t>
      </w:r>
    </w:p>
    <w:p w14:paraId="6C52E4B4" w14:textId="77777777" w:rsidR="00CA48F3" w:rsidRDefault="00CA48F3" w:rsidP="00DC54F7">
      <w:pPr>
        <w:spacing w:after="0" w:line="240" w:lineRule="auto"/>
        <w:jc w:val="both"/>
        <w:rPr>
          <w:rFonts w:ascii="Arial" w:hAnsi="Arial" w:cs="Arial"/>
          <w:b/>
          <w:bCs/>
        </w:rPr>
      </w:pPr>
    </w:p>
    <w:p w14:paraId="26E63651" w14:textId="77777777" w:rsidR="009E76BB" w:rsidRDefault="009E76BB" w:rsidP="00DC54F7">
      <w:pPr>
        <w:spacing w:after="0" w:line="240" w:lineRule="auto"/>
        <w:jc w:val="both"/>
        <w:rPr>
          <w:rFonts w:ascii="Arial" w:hAnsi="Arial" w:cs="Arial"/>
          <w:b/>
          <w:bCs/>
          <w:sz w:val="24"/>
          <w:szCs w:val="24"/>
        </w:rPr>
      </w:pPr>
    </w:p>
    <w:p w14:paraId="6F3580F7" w14:textId="57511C1C" w:rsidR="004D0CDC" w:rsidRDefault="004D0CDC">
      <w:pPr>
        <w:rPr>
          <w:rFonts w:ascii="Arial" w:hAnsi="Arial" w:cs="Arial"/>
          <w:b/>
          <w:bCs/>
          <w:sz w:val="24"/>
          <w:szCs w:val="24"/>
        </w:rPr>
      </w:pPr>
      <w:r>
        <w:rPr>
          <w:rFonts w:ascii="Arial" w:hAnsi="Arial" w:cs="Arial"/>
          <w:b/>
          <w:bCs/>
          <w:sz w:val="24"/>
          <w:szCs w:val="24"/>
        </w:rPr>
        <w:br w:type="page"/>
      </w:r>
    </w:p>
    <w:p w14:paraId="36933A79" w14:textId="0E8A8AB2" w:rsidR="002B6F5E" w:rsidRPr="009E76BB" w:rsidRDefault="001D595A" w:rsidP="00DC54F7">
      <w:pPr>
        <w:spacing w:after="0" w:line="240" w:lineRule="auto"/>
        <w:jc w:val="both"/>
        <w:rPr>
          <w:rFonts w:ascii="Arial" w:hAnsi="Arial" w:cs="Arial"/>
          <w:b/>
          <w:bCs/>
          <w:sz w:val="24"/>
          <w:szCs w:val="24"/>
        </w:rPr>
      </w:pPr>
      <w:r w:rsidRPr="009E76BB">
        <w:rPr>
          <w:rFonts w:ascii="Arial" w:hAnsi="Arial" w:cs="Arial"/>
          <w:b/>
          <w:bCs/>
          <w:sz w:val="24"/>
          <w:szCs w:val="24"/>
        </w:rPr>
        <w:lastRenderedPageBreak/>
        <w:t>Figure 2.6: Population projections (2018 based) by age groups for Vale of Glamorgan local authority, 2018 to 2028</w:t>
      </w:r>
    </w:p>
    <w:p w14:paraId="5C226A6F" w14:textId="7474611F" w:rsidR="002B6F5E" w:rsidRPr="006226C1" w:rsidRDefault="00CA48F3" w:rsidP="00DC54F7">
      <w:pPr>
        <w:spacing w:after="0"/>
        <w:jc w:val="both"/>
        <w:rPr>
          <w:rFonts w:ascii="Arial" w:hAnsi="Arial" w:cs="Arial"/>
          <w:b/>
          <w:bCs/>
        </w:rPr>
      </w:pPr>
      <w:r>
        <w:rPr>
          <w:noProof/>
          <w:lang w:eastAsia="en-GB"/>
        </w:rPr>
        <w:drawing>
          <wp:inline distT="0" distB="0" distL="0" distR="0" wp14:anchorId="2FBEE563" wp14:editId="7A78F421">
            <wp:extent cx="5669280" cy="2721610"/>
            <wp:effectExtent l="0" t="0" r="7620" b="2540"/>
            <wp:docPr id="197" name="Chart 19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66D3140-CF7A-476B-8C6D-0626782550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6559A3B" w14:textId="77777777" w:rsidR="001D595A" w:rsidRDefault="001D595A" w:rsidP="00DC54F7">
      <w:pPr>
        <w:spacing w:after="0" w:line="240" w:lineRule="auto"/>
        <w:jc w:val="both"/>
        <w:rPr>
          <w:rFonts w:ascii="Arial" w:hAnsi="Arial" w:cs="Arial"/>
          <w:sz w:val="20"/>
          <w:szCs w:val="20"/>
        </w:rPr>
      </w:pPr>
      <w:r w:rsidRPr="00CA48F3">
        <w:rPr>
          <w:rFonts w:ascii="Arial" w:hAnsi="Arial" w:cs="Arial"/>
          <w:sz w:val="20"/>
          <w:szCs w:val="20"/>
        </w:rPr>
        <w:t>Source:</w:t>
      </w:r>
      <w:r>
        <w:rPr>
          <w:rFonts w:ascii="Arial" w:hAnsi="Arial" w:cs="Arial"/>
          <w:sz w:val="20"/>
          <w:szCs w:val="20"/>
        </w:rPr>
        <w:t xml:space="preserve"> StatsWales Welsh Government</w:t>
      </w:r>
    </w:p>
    <w:p w14:paraId="0931E1F5" w14:textId="7F99476A" w:rsidR="00CA48F3" w:rsidRPr="00CA48F3" w:rsidRDefault="00CA48F3" w:rsidP="00DC54F7">
      <w:pPr>
        <w:spacing w:after="0" w:line="240" w:lineRule="auto"/>
        <w:jc w:val="both"/>
        <w:rPr>
          <w:rFonts w:ascii="Arial" w:hAnsi="Arial" w:cs="Arial"/>
          <w:sz w:val="20"/>
          <w:szCs w:val="20"/>
        </w:rPr>
      </w:pPr>
    </w:p>
    <w:p w14:paraId="753756D2" w14:textId="6F10DA5A" w:rsidR="00627574" w:rsidRPr="009E76BB" w:rsidRDefault="00627574" w:rsidP="00DC54F7">
      <w:pPr>
        <w:spacing w:after="0" w:line="240" w:lineRule="auto"/>
        <w:jc w:val="both"/>
        <w:rPr>
          <w:rFonts w:ascii="Arial" w:hAnsi="Arial" w:cs="Arial"/>
          <w:sz w:val="24"/>
          <w:szCs w:val="24"/>
        </w:rPr>
      </w:pPr>
      <w:r w:rsidRPr="009E76BB">
        <w:rPr>
          <w:rFonts w:ascii="Arial" w:hAnsi="Arial" w:cs="Arial"/>
          <w:sz w:val="24"/>
          <w:szCs w:val="24"/>
        </w:rPr>
        <w:t xml:space="preserve">Cardiff is by far the most densely populated </w:t>
      </w:r>
      <w:r w:rsidR="00567F4B" w:rsidRPr="009E76BB">
        <w:rPr>
          <w:rFonts w:ascii="Arial" w:hAnsi="Arial" w:cs="Arial"/>
          <w:sz w:val="24"/>
          <w:szCs w:val="24"/>
        </w:rPr>
        <w:t>local</w:t>
      </w:r>
      <w:r w:rsidR="00823811" w:rsidRPr="009E76BB">
        <w:rPr>
          <w:rFonts w:ascii="Arial" w:hAnsi="Arial" w:cs="Arial"/>
          <w:sz w:val="24"/>
          <w:szCs w:val="24"/>
        </w:rPr>
        <w:t xml:space="preserve"> </w:t>
      </w:r>
      <w:r w:rsidRPr="009E76BB">
        <w:rPr>
          <w:rFonts w:ascii="Arial" w:hAnsi="Arial" w:cs="Arial"/>
          <w:sz w:val="24"/>
          <w:szCs w:val="24"/>
        </w:rPr>
        <w:t xml:space="preserve">authority in Wales with 2,604 persons per square kilometre (2019).  For comparison, Newport is the second most densely populated authority with 812 persons per square kilometre. The Vale of Glamorgan is less densely populated with </w:t>
      </w:r>
      <w:r w:rsidRPr="009E76BB">
        <w:rPr>
          <w:rFonts w:ascii="Arial" w:eastAsia="Times New Roman" w:hAnsi="Arial" w:cs="Arial"/>
          <w:color w:val="000000"/>
          <w:sz w:val="24"/>
          <w:szCs w:val="24"/>
          <w:lang w:eastAsia="en-GB"/>
        </w:rPr>
        <w:t xml:space="preserve">403 </w:t>
      </w:r>
      <w:r w:rsidRPr="009E76BB">
        <w:rPr>
          <w:rFonts w:ascii="Arial" w:hAnsi="Arial" w:cs="Arial"/>
          <w:sz w:val="24"/>
          <w:szCs w:val="24"/>
        </w:rPr>
        <w:t>persons per square kilometre and is the tenth most densely populated area in Wales in 2019. Both Cardiff and the Vale of Glamorgan have a much higher population density when compared to Wales (152</w:t>
      </w:r>
      <w:r w:rsidR="00655104" w:rsidRPr="009E76BB">
        <w:rPr>
          <w:rFonts w:ascii="Arial" w:hAnsi="Arial" w:cs="Arial"/>
          <w:sz w:val="24"/>
          <w:szCs w:val="24"/>
        </w:rPr>
        <w:t xml:space="preserve"> persons per squ</w:t>
      </w:r>
      <w:r w:rsidR="001A5EAF" w:rsidRPr="009E76BB">
        <w:rPr>
          <w:rFonts w:ascii="Arial" w:hAnsi="Arial" w:cs="Arial"/>
          <w:sz w:val="24"/>
          <w:szCs w:val="24"/>
        </w:rPr>
        <w:t>are kilometre</w:t>
      </w:r>
      <w:r w:rsidRPr="009E76BB">
        <w:rPr>
          <w:rFonts w:ascii="Arial" w:hAnsi="Arial" w:cs="Arial"/>
          <w:sz w:val="24"/>
          <w:szCs w:val="24"/>
        </w:rPr>
        <w:t xml:space="preserve">). Between 2014 and 2019 and 2018 and 2019, the Vale of Glamorgan had the second highest percentage increase in population density of all the </w:t>
      </w:r>
      <w:r w:rsidR="00567F4B" w:rsidRPr="009E76BB">
        <w:rPr>
          <w:rFonts w:ascii="Arial" w:hAnsi="Arial" w:cs="Arial"/>
          <w:sz w:val="24"/>
          <w:szCs w:val="24"/>
        </w:rPr>
        <w:t>local</w:t>
      </w:r>
      <w:r w:rsidRPr="009E76BB">
        <w:rPr>
          <w:rFonts w:ascii="Arial" w:hAnsi="Arial" w:cs="Arial"/>
          <w:sz w:val="24"/>
          <w:szCs w:val="24"/>
        </w:rPr>
        <w:t xml:space="preserve"> authorities. </w:t>
      </w:r>
    </w:p>
    <w:p w14:paraId="3D5F7F3E" w14:textId="77777777" w:rsidR="00C27553" w:rsidRDefault="00C27553" w:rsidP="00DC54F7">
      <w:pPr>
        <w:pStyle w:val="Caption"/>
        <w:spacing w:before="0" w:after="0"/>
        <w:jc w:val="both"/>
        <w:rPr>
          <w:rFonts w:ascii="Arial" w:hAnsi="Arial" w:cs="Arial"/>
          <w:sz w:val="22"/>
          <w:szCs w:val="22"/>
        </w:rPr>
      </w:pPr>
      <w:bookmarkStart w:id="6" w:name="_Toc60225120"/>
    </w:p>
    <w:p w14:paraId="462A565E" w14:textId="5014CCAB" w:rsidR="001D6499" w:rsidRPr="009E76BB" w:rsidRDefault="00627574" w:rsidP="00DC54F7">
      <w:pPr>
        <w:pStyle w:val="Caption"/>
        <w:spacing w:before="0" w:after="0"/>
        <w:jc w:val="both"/>
        <w:rPr>
          <w:rFonts w:ascii="Arial" w:hAnsi="Arial" w:cs="Arial"/>
          <w:szCs w:val="24"/>
        </w:rPr>
      </w:pPr>
      <w:r w:rsidRPr="009E76BB">
        <w:rPr>
          <w:rFonts w:ascii="Arial" w:hAnsi="Arial" w:cs="Arial"/>
          <w:szCs w:val="24"/>
        </w:rPr>
        <w:t xml:space="preserve">Table </w:t>
      </w:r>
      <w:r w:rsidR="003D65CC" w:rsidRPr="009E76BB">
        <w:rPr>
          <w:rFonts w:ascii="Arial" w:hAnsi="Arial" w:cs="Arial"/>
          <w:szCs w:val="24"/>
        </w:rPr>
        <w:t>2.</w:t>
      </w:r>
      <w:r w:rsidR="001D595A" w:rsidRPr="009E76BB">
        <w:rPr>
          <w:rFonts w:ascii="Arial" w:hAnsi="Arial" w:cs="Arial"/>
          <w:szCs w:val="24"/>
        </w:rPr>
        <w:t>2</w:t>
      </w:r>
      <w:r w:rsidRPr="009E76BB">
        <w:rPr>
          <w:rFonts w:ascii="Arial" w:hAnsi="Arial" w:cs="Arial"/>
          <w:szCs w:val="24"/>
        </w:rPr>
        <w:t xml:space="preserve">: Population density (persons per square kilometre) and percentage change by </w:t>
      </w:r>
      <w:r w:rsidR="00567F4B" w:rsidRPr="009E76BB">
        <w:rPr>
          <w:rFonts w:ascii="Arial" w:hAnsi="Arial" w:cs="Arial"/>
          <w:szCs w:val="24"/>
        </w:rPr>
        <w:t>local</w:t>
      </w:r>
      <w:r w:rsidRPr="009E76BB">
        <w:rPr>
          <w:rFonts w:ascii="Arial" w:hAnsi="Arial" w:cs="Arial"/>
          <w:szCs w:val="24"/>
        </w:rPr>
        <w:t xml:space="preserve"> authorit</w:t>
      </w:r>
      <w:r w:rsidR="0019617C" w:rsidRPr="009E76BB">
        <w:rPr>
          <w:rFonts w:ascii="Arial" w:hAnsi="Arial" w:cs="Arial"/>
          <w:szCs w:val="24"/>
        </w:rPr>
        <w:t>y</w:t>
      </w:r>
      <w:r w:rsidRPr="009E76BB">
        <w:rPr>
          <w:rFonts w:ascii="Arial" w:hAnsi="Arial" w:cs="Arial"/>
          <w:szCs w:val="24"/>
        </w:rPr>
        <w:t xml:space="preserve"> and Wales, </w:t>
      </w:r>
      <w:r w:rsidR="00C53AD3" w:rsidRPr="009E76BB">
        <w:rPr>
          <w:rFonts w:ascii="Arial" w:hAnsi="Arial" w:cs="Arial"/>
          <w:szCs w:val="24"/>
        </w:rPr>
        <w:t xml:space="preserve">mid-year </w:t>
      </w:r>
      <w:r w:rsidRPr="009E76BB">
        <w:rPr>
          <w:rFonts w:ascii="Arial" w:hAnsi="Arial" w:cs="Arial"/>
          <w:szCs w:val="24"/>
        </w:rPr>
        <w:t>2014, 2018 and 2019</w:t>
      </w:r>
      <w:bookmarkEnd w:id="6"/>
    </w:p>
    <w:tbl>
      <w:tblPr>
        <w:tblW w:w="9069"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225"/>
        <w:gridCol w:w="1368"/>
        <w:gridCol w:w="1369"/>
        <w:gridCol w:w="1369"/>
        <w:gridCol w:w="1369"/>
        <w:gridCol w:w="1369"/>
      </w:tblGrid>
      <w:tr w:rsidR="00BB1445" w:rsidRPr="00F07641" w14:paraId="1750591F" w14:textId="77777777" w:rsidTr="00A332F2">
        <w:trPr>
          <w:trHeight w:val="351"/>
        </w:trPr>
        <w:tc>
          <w:tcPr>
            <w:tcW w:w="2225" w:type="dxa"/>
            <w:shd w:val="clear" w:color="000000" w:fill="8497B0"/>
            <w:noWrap/>
            <w:vAlign w:val="bottom"/>
            <w:hideMark/>
          </w:tcPr>
          <w:p w14:paraId="1DEE7537" w14:textId="77777777" w:rsidR="00BB1445" w:rsidRPr="00F07641" w:rsidRDefault="00BB1445" w:rsidP="00DC54F7">
            <w:pPr>
              <w:spacing w:after="0" w:line="240" w:lineRule="auto"/>
              <w:jc w:val="both"/>
              <w:rPr>
                <w:rFonts w:ascii="Calibri" w:eastAsia="Times New Roman" w:hAnsi="Calibri" w:cs="Calibri"/>
                <w:b/>
                <w:bCs/>
                <w:color w:val="FFFFFF"/>
                <w:lang w:eastAsia="en-GB"/>
              </w:rPr>
            </w:pPr>
            <w:r w:rsidRPr="00F07641">
              <w:rPr>
                <w:rFonts w:ascii="Calibri" w:eastAsia="Times New Roman" w:hAnsi="Calibri" w:cs="Calibri"/>
                <w:b/>
                <w:bCs/>
                <w:color w:val="FFFFFF"/>
                <w:lang w:eastAsia="en-GB"/>
              </w:rPr>
              <w:t>Area</w:t>
            </w:r>
          </w:p>
        </w:tc>
        <w:tc>
          <w:tcPr>
            <w:tcW w:w="1368" w:type="dxa"/>
            <w:shd w:val="clear" w:color="000000" w:fill="8497B0"/>
            <w:noWrap/>
            <w:vAlign w:val="bottom"/>
            <w:hideMark/>
          </w:tcPr>
          <w:p w14:paraId="601391D9" w14:textId="77777777" w:rsidR="00BB1445" w:rsidRPr="00F07641" w:rsidRDefault="00BB1445" w:rsidP="00DC54F7">
            <w:pPr>
              <w:spacing w:after="0" w:line="240" w:lineRule="auto"/>
              <w:jc w:val="both"/>
              <w:rPr>
                <w:rFonts w:ascii="Calibri" w:eastAsia="Times New Roman" w:hAnsi="Calibri" w:cs="Calibri"/>
                <w:b/>
                <w:bCs/>
                <w:color w:val="FFFFFF"/>
                <w:lang w:eastAsia="en-GB"/>
              </w:rPr>
            </w:pPr>
            <w:r w:rsidRPr="00F07641">
              <w:rPr>
                <w:rFonts w:ascii="Calibri" w:eastAsia="Times New Roman" w:hAnsi="Calibri" w:cs="Calibri"/>
                <w:b/>
                <w:bCs/>
                <w:color w:val="FFFFFF"/>
                <w:lang w:eastAsia="en-GB"/>
              </w:rPr>
              <w:t>2014</w:t>
            </w:r>
          </w:p>
        </w:tc>
        <w:tc>
          <w:tcPr>
            <w:tcW w:w="1369" w:type="dxa"/>
            <w:shd w:val="clear" w:color="000000" w:fill="8497B0"/>
            <w:noWrap/>
            <w:vAlign w:val="bottom"/>
            <w:hideMark/>
          </w:tcPr>
          <w:p w14:paraId="69CF2DFC" w14:textId="12C035F2" w:rsidR="00BB1445" w:rsidRPr="00F07641" w:rsidRDefault="00BB1445" w:rsidP="00DC54F7">
            <w:pPr>
              <w:spacing w:after="0" w:line="240" w:lineRule="auto"/>
              <w:jc w:val="both"/>
              <w:rPr>
                <w:rFonts w:ascii="Calibri" w:eastAsia="Times New Roman" w:hAnsi="Calibri" w:cs="Calibri"/>
                <w:b/>
                <w:bCs/>
                <w:color w:val="FFFFFF"/>
                <w:lang w:eastAsia="en-GB"/>
              </w:rPr>
            </w:pPr>
            <w:r w:rsidRPr="00F07641">
              <w:rPr>
                <w:rFonts w:ascii="Calibri" w:eastAsia="Times New Roman" w:hAnsi="Calibri" w:cs="Calibri"/>
                <w:b/>
                <w:bCs/>
                <w:color w:val="FFFFFF"/>
                <w:lang w:eastAsia="en-GB"/>
              </w:rPr>
              <w:t>2018</w:t>
            </w:r>
          </w:p>
        </w:tc>
        <w:tc>
          <w:tcPr>
            <w:tcW w:w="1369" w:type="dxa"/>
            <w:shd w:val="clear" w:color="000000" w:fill="8497B0"/>
            <w:noWrap/>
            <w:vAlign w:val="bottom"/>
            <w:hideMark/>
          </w:tcPr>
          <w:p w14:paraId="4C241BED" w14:textId="77777777" w:rsidR="00BB1445" w:rsidRPr="00F07641" w:rsidRDefault="00BB1445" w:rsidP="00DC54F7">
            <w:pPr>
              <w:spacing w:after="0" w:line="240" w:lineRule="auto"/>
              <w:jc w:val="both"/>
              <w:rPr>
                <w:rFonts w:ascii="Calibri" w:eastAsia="Times New Roman" w:hAnsi="Calibri" w:cs="Calibri"/>
                <w:b/>
                <w:bCs/>
                <w:color w:val="FFFFFF"/>
                <w:lang w:eastAsia="en-GB"/>
              </w:rPr>
            </w:pPr>
            <w:r w:rsidRPr="00F07641">
              <w:rPr>
                <w:rFonts w:ascii="Calibri" w:eastAsia="Times New Roman" w:hAnsi="Calibri" w:cs="Calibri"/>
                <w:b/>
                <w:bCs/>
                <w:color w:val="FFFFFF"/>
                <w:lang w:eastAsia="en-GB"/>
              </w:rPr>
              <w:t>% Increase</w:t>
            </w:r>
          </w:p>
        </w:tc>
        <w:tc>
          <w:tcPr>
            <w:tcW w:w="1369" w:type="dxa"/>
            <w:shd w:val="clear" w:color="000000" w:fill="8497B0"/>
            <w:noWrap/>
            <w:vAlign w:val="bottom"/>
            <w:hideMark/>
          </w:tcPr>
          <w:p w14:paraId="205024D9" w14:textId="77777777" w:rsidR="00BB1445" w:rsidRPr="00F07641" w:rsidRDefault="00BB1445" w:rsidP="00DC54F7">
            <w:pPr>
              <w:spacing w:after="0" w:line="240" w:lineRule="auto"/>
              <w:jc w:val="both"/>
              <w:rPr>
                <w:rFonts w:ascii="Calibri" w:eastAsia="Times New Roman" w:hAnsi="Calibri" w:cs="Calibri"/>
                <w:b/>
                <w:bCs/>
                <w:color w:val="FFFFFF"/>
                <w:lang w:eastAsia="en-GB"/>
              </w:rPr>
            </w:pPr>
            <w:r w:rsidRPr="00F07641">
              <w:rPr>
                <w:rFonts w:ascii="Calibri" w:eastAsia="Times New Roman" w:hAnsi="Calibri" w:cs="Calibri"/>
                <w:b/>
                <w:bCs/>
                <w:color w:val="FFFFFF"/>
                <w:lang w:eastAsia="en-GB"/>
              </w:rPr>
              <w:t>2019</w:t>
            </w:r>
          </w:p>
        </w:tc>
        <w:tc>
          <w:tcPr>
            <w:tcW w:w="1369" w:type="dxa"/>
            <w:shd w:val="clear" w:color="000000" w:fill="8497B0"/>
            <w:noWrap/>
            <w:vAlign w:val="bottom"/>
            <w:hideMark/>
          </w:tcPr>
          <w:p w14:paraId="3DA252D4" w14:textId="77777777" w:rsidR="00BB1445" w:rsidRPr="00F07641" w:rsidRDefault="00BB1445" w:rsidP="00DC54F7">
            <w:pPr>
              <w:spacing w:after="0" w:line="240" w:lineRule="auto"/>
              <w:jc w:val="both"/>
              <w:rPr>
                <w:rFonts w:ascii="Calibri" w:eastAsia="Times New Roman" w:hAnsi="Calibri" w:cs="Calibri"/>
                <w:b/>
                <w:bCs/>
                <w:color w:val="FFFFFF"/>
                <w:lang w:eastAsia="en-GB"/>
              </w:rPr>
            </w:pPr>
            <w:r w:rsidRPr="00F07641">
              <w:rPr>
                <w:rFonts w:ascii="Calibri" w:eastAsia="Times New Roman" w:hAnsi="Calibri" w:cs="Calibri"/>
                <w:b/>
                <w:bCs/>
                <w:color w:val="FFFFFF"/>
                <w:lang w:eastAsia="en-GB"/>
              </w:rPr>
              <w:t xml:space="preserve">% Increase </w:t>
            </w:r>
          </w:p>
        </w:tc>
      </w:tr>
      <w:tr w:rsidR="00BB1445" w:rsidRPr="00F07641" w14:paraId="3BCA99C2" w14:textId="77777777" w:rsidTr="00A332F2">
        <w:trPr>
          <w:trHeight w:val="351"/>
        </w:trPr>
        <w:tc>
          <w:tcPr>
            <w:tcW w:w="2225" w:type="dxa"/>
            <w:shd w:val="clear" w:color="EDEDED" w:fill="EDEDED"/>
            <w:noWrap/>
            <w:vAlign w:val="bottom"/>
            <w:hideMark/>
          </w:tcPr>
          <w:p w14:paraId="0077C665" w14:textId="77777777"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 xml:space="preserve">Cardiff </w:t>
            </w:r>
          </w:p>
        </w:tc>
        <w:tc>
          <w:tcPr>
            <w:tcW w:w="1368" w:type="dxa"/>
            <w:shd w:val="clear" w:color="EDEDED" w:fill="EDEDED"/>
            <w:noWrap/>
            <w:vAlign w:val="bottom"/>
            <w:hideMark/>
          </w:tcPr>
          <w:p w14:paraId="0E02B2CA" w14:textId="77777777"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2518.3</w:t>
            </w:r>
          </w:p>
        </w:tc>
        <w:tc>
          <w:tcPr>
            <w:tcW w:w="1369" w:type="dxa"/>
            <w:shd w:val="clear" w:color="EDEDED" w:fill="EDEDED"/>
            <w:noWrap/>
            <w:vAlign w:val="bottom"/>
            <w:hideMark/>
          </w:tcPr>
          <w:p w14:paraId="1891954D" w14:textId="1643479F"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2585.2</w:t>
            </w:r>
          </w:p>
        </w:tc>
        <w:tc>
          <w:tcPr>
            <w:tcW w:w="1369" w:type="dxa"/>
            <w:shd w:val="clear" w:color="EDEDED" w:fill="EDEDED"/>
            <w:noWrap/>
            <w:vAlign w:val="bottom"/>
            <w:hideMark/>
          </w:tcPr>
          <w:p w14:paraId="24196681" w14:textId="77777777"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2.7</w:t>
            </w:r>
          </w:p>
        </w:tc>
        <w:tc>
          <w:tcPr>
            <w:tcW w:w="1369" w:type="dxa"/>
            <w:shd w:val="clear" w:color="EDEDED" w:fill="EDEDED"/>
            <w:noWrap/>
            <w:vAlign w:val="bottom"/>
            <w:hideMark/>
          </w:tcPr>
          <w:p w14:paraId="7D7E358B" w14:textId="77777777"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2604.0</w:t>
            </w:r>
          </w:p>
        </w:tc>
        <w:tc>
          <w:tcPr>
            <w:tcW w:w="1369" w:type="dxa"/>
            <w:shd w:val="clear" w:color="EDEDED" w:fill="EDEDED"/>
            <w:noWrap/>
            <w:vAlign w:val="bottom"/>
            <w:hideMark/>
          </w:tcPr>
          <w:p w14:paraId="6DD91369" w14:textId="77777777"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0.7</w:t>
            </w:r>
          </w:p>
        </w:tc>
      </w:tr>
      <w:tr w:rsidR="00BB1445" w:rsidRPr="00F07641" w14:paraId="2AB654DB" w14:textId="77777777" w:rsidTr="00A332F2">
        <w:trPr>
          <w:trHeight w:val="351"/>
        </w:trPr>
        <w:tc>
          <w:tcPr>
            <w:tcW w:w="2225" w:type="dxa"/>
            <w:shd w:val="clear" w:color="auto" w:fill="auto"/>
            <w:noWrap/>
            <w:vAlign w:val="bottom"/>
            <w:hideMark/>
          </w:tcPr>
          <w:p w14:paraId="66796FA1" w14:textId="77777777"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 xml:space="preserve">Vale of Glamorgan </w:t>
            </w:r>
          </w:p>
        </w:tc>
        <w:tc>
          <w:tcPr>
            <w:tcW w:w="1368" w:type="dxa"/>
            <w:shd w:val="clear" w:color="auto" w:fill="auto"/>
            <w:noWrap/>
            <w:vAlign w:val="bottom"/>
            <w:hideMark/>
          </w:tcPr>
          <w:p w14:paraId="5BBC709E" w14:textId="77777777"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386.6</w:t>
            </w:r>
          </w:p>
        </w:tc>
        <w:tc>
          <w:tcPr>
            <w:tcW w:w="1369" w:type="dxa"/>
            <w:shd w:val="clear" w:color="auto" w:fill="auto"/>
            <w:noWrap/>
            <w:vAlign w:val="bottom"/>
            <w:hideMark/>
          </w:tcPr>
          <w:p w14:paraId="67394446" w14:textId="7A4BA0D1"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399.1</w:t>
            </w:r>
          </w:p>
        </w:tc>
        <w:tc>
          <w:tcPr>
            <w:tcW w:w="1369" w:type="dxa"/>
            <w:shd w:val="clear" w:color="auto" w:fill="auto"/>
            <w:noWrap/>
            <w:vAlign w:val="bottom"/>
            <w:hideMark/>
          </w:tcPr>
          <w:p w14:paraId="1AFD1A55" w14:textId="77777777"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3.2</w:t>
            </w:r>
          </w:p>
        </w:tc>
        <w:tc>
          <w:tcPr>
            <w:tcW w:w="1369" w:type="dxa"/>
            <w:shd w:val="clear" w:color="auto" w:fill="auto"/>
            <w:noWrap/>
            <w:vAlign w:val="bottom"/>
            <w:hideMark/>
          </w:tcPr>
          <w:p w14:paraId="7AE7EDBE" w14:textId="77777777"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403.4</w:t>
            </w:r>
          </w:p>
        </w:tc>
        <w:tc>
          <w:tcPr>
            <w:tcW w:w="1369" w:type="dxa"/>
            <w:shd w:val="clear" w:color="auto" w:fill="auto"/>
            <w:noWrap/>
            <w:vAlign w:val="bottom"/>
            <w:hideMark/>
          </w:tcPr>
          <w:p w14:paraId="2E987B13" w14:textId="77777777"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1.1</w:t>
            </w:r>
          </w:p>
        </w:tc>
      </w:tr>
      <w:tr w:rsidR="00BB1445" w:rsidRPr="00F07641" w14:paraId="0187A539" w14:textId="77777777" w:rsidTr="00A332F2">
        <w:trPr>
          <w:trHeight w:val="351"/>
        </w:trPr>
        <w:tc>
          <w:tcPr>
            <w:tcW w:w="2225" w:type="dxa"/>
            <w:shd w:val="clear" w:color="EDEDED" w:fill="EDEDED"/>
            <w:noWrap/>
            <w:vAlign w:val="bottom"/>
            <w:hideMark/>
          </w:tcPr>
          <w:p w14:paraId="2FE21DF1" w14:textId="77777777"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Wales</w:t>
            </w:r>
          </w:p>
        </w:tc>
        <w:tc>
          <w:tcPr>
            <w:tcW w:w="1368" w:type="dxa"/>
            <w:shd w:val="clear" w:color="EDEDED" w:fill="EDEDED"/>
            <w:noWrap/>
            <w:vAlign w:val="bottom"/>
            <w:hideMark/>
          </w:tcPr>
          <w:p w14:paraId="10A36BDD" w14:textId="77777777"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149.1</w:t>
            </w:r>
          </w:p>
        </w:tc>
        <w:tc>
          <w:tcPr>
            <w:tcW w:w="1369" w:type="dxa"/>
            <w:shd w:val="clear" w:color="EDEDED" w:fill="EDEDED"/>
            <w:noWrap/>
            <w:vAlign w:val="bottom"/>
            <w:hideMark/>
          </w:tcPr>
          <w:p w14:paraId="686DB16F" w14:textId="764C90EF"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151.4</w:t>
            </w:r>
          </w:p>
        </w:tc>
        <w:tc>
          <w:tcPr>
            <w:tcW w:w="1369" w:type="dxa"/>
            <w:shd w:val="clear" w:color="EDEDED" w:fill="EDEDED"/>
            <w:noWrap/>
            <w:vAlign w:val="bottom"/>
            <w:hideMark/>
          </w:tcPr>
          <w:p w14:paraId="533CD959" w14:textId="77777777"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1.5</w:t>
            </w:r>
          </w:p>
        </w:tc>
        <w:tc>
          <w:tcPr>
            <w:tcW w:w="1369" w:type="dxa"/>
            <w:shd w:val="clear" w:color="EDEDED" w:fill="EDEDED"/>
            <w:noWrap/>
            <w:vAlign w:val="bottom"/>
            <w:hideMark/>
          </w:tcPr>
          <w:p w14:paraId="606B05FE" w14:textId="77777777"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152.0</w:t>
            </w:r>
          </w:p>
        </w:tc>
        <w:tc>
          <w:tcPr>
            <w:tcW w:w="1369" w:type="dxa"/>
            <w:shd w:val="clear" w:color="EDEDED" w:fill="EDEDED"/>
            <w:noWrap/>
            <w:vAlign w:val="bottom"/>
            <w:hideMark/>
          </w:tcPr>
          <w:p w14:paraId="04D1D93D" w14:textId="77777777" w:rsidR="00BB1445" w:rsidRPr="00F07641" w:rsidRDefault="00BB1445" w:rsidP="00DC54F7">
            <w:pPr>
              <w:spacing w:after="0" w:line="240" w:lineRule="auto"/>
              <w:jc w:val="both"/>
              <w:rPr>
                <w:rFonts w:ascii="Calibri" w:eastAsia="Times New Roman" w:hAnsi="Calibri" w:cs="Calibri"/>
                <w:color w:val="000000"/>
                <w:lang w:eastAsia="en-GB"/>
              </w:rPr>
            </w:pPr>
            <w:r w:rsidRPr="00F07641">
              <w:rPr>
                <w:rFonts w:ascii="Calibri" w:eastAsia="Times New Roman" w:hAnsi="Calibri" w:cs="Calibri"/>
                <w:color w:val="000000"/>
                <w:lang w:eastAsia="en-GB"/>
              </w:rPr>
              <w:t>0.5</w:t>
            </w:r>
          </w:p>
        </w:tc>
      </w:tr>
    </w:tbl>
    <w:p w14:paraId="7F508C51" w14:textId="732ECBC5" w:rsidR="005F2762" w:rsidRPr="009E76BB" w:rsidRDefault="00627574" w:rsidP="00DC54F7">
      <w:pPr>
        <w:spacing w:after="0" w:line="240" w:lineRule="auto"/>
        <w:jc w:val="both"/>
        <w:rPr>
          <w:rFonts w:ascii="Arial" w:eastAsia="Times New Roman" w:hAnsi="Arial" w:cs="Arial"/>
          <w:color w:val="000000"/>
          <w:sz w:val="20"/>
          <w:szCs w:val="20"/>
          <w:lang w:eastAsia="en-GB"/>
        </w:rPr>
      </w:pPr>
      <w:r w:rsidRPr="009E76BB">
        <w:rPr>
          <w:rFonts w:ascii="Arial" w:hAnsi="Arial" w:cs="Arial"/>
          <w:sz w:val="20"/>
          <w:szCs w:val="20"/>
        </w:rPr>
        <w:t xml:space="preserve">Source: StatsWales - </w:t>
      </w:r>
      <w:r w:rsidRPr="009E76BB">
        <w:rPr>
          <w:rFonts w:ascii="Arial" w:eastAsia="Times New Roman" w:hAnsi="Arial" w:cs="Arial"/>
          <w:color w:val="000000"/>
          <w:sz w:val="20"/>
          <w:szCs w:val="20"/>
          <w:lang w:eastAsia="en-GB"/>
        </w:rPr>
        <w:t>Mid-year population estimates, and Standard area measurements, Office for National Statistics</w:t>
      </w:r>
    </w:p>
    <w:p w14:paraId="173314D7" w14:textId="77777777" w:rsidR="009E76BB" w:rsidRDefault="009E76BB" w:rsidP="00DC54F7">
      <w:pPr>
        <w:spacing w:after="0" w:line="240" w:lineRule="auto"/>
        <w:jc w:val="both"/>
        <w:rPr>
          <w:rFonts w:ascii="Arial" w:hAnsi="Arial" w:cs="Arial"/>
          <w:b/>
          <w:sz w:val="26"/>
          <w:szCs w:val="26"/>
        </w:rPr>
      </w:pPr>
    </w:p>
    <w:p w14:paraId="7DD65D11" w14:textId="77777777" w:rsidR="009E76BB" w:rsidRDefault="009E76BB" w:rsidP="00DC54F7">
      <w:pPr>
        <w:spacing w:after="0" w:line="240" w:lineRule="auto"/>
        <w:jc w:val="both"/>
        <w:rPr>
          <w:rFonts w:ascii="Arial" w:hAnsi="Arial" w:cs="Arial"/>
          <w:b/>
          <w:sz w:val="26"/>
          <w:szCs w:val="26"/>
        </w:rPr>
      </w:pPr>
    </w:p>
    <w:p w14:paraId="77C0B7D8" w14:textId="1DB32D1C" w:rsidR="00172BE6" w:rsidRPr="00A10850" w:rsidRDefault="00172BE6" w:rsidP="00DC54F7">
      <w:pPr>
        <w:spacing w:after="0" w:line="240" w:lineRule="auto"/>
        <w:jc w:val="both"/>
        <w:rPr>
          <w:rFonts w:ascii="Arial" w:hAnsi="Arial" w:cs="Arial"/>
          <w:b/>
          <w:sz w:val="26"/>
          <w:szCs w:val="26"/>
        </w:rPr>
      </w:pPr>
      <w:r w:rsidRPr="00A10850">
        <w:rPr>
          <w:rFonts w:ascii="Arial" w:hAnsi="Arial" w:cs="Arial"/>
          <w:b/>
          <w:sz w:val="26"/>
          <w:szCs w:val="26"/>
        </w:rPr>
        <w:t>2.3 Ethnicity</w:t>
      </w:r>
    </w:p>
    <w:p w14:paraId="3759D6AD" w14:textId="77777777" w:rsidR="00172BE6" w:rsidRPr="00A10850" w:rsidRDefault="00172BE6" w:rsidP="00DC54F7">
      <w:pPr>
        <w:spacing w:after="0" w:line="240" w:lineRule="auto"/>
        <w:jc w:val="both"/>
        <w:rPr>
          <w:rFonts w:ascii="Arial" w:hAnsi="Arial" w:cs="Arial"/>
          <w:lang w:val="en"/>
        </w:rPr>
      </w:pPr>
    </w:p>
    <w:p w14:paraId="5306F346" w14:textId="4C628CD7" w:rsidR="006049EC" w:rsidRPr="009E76BB" w:rsidRDefault="008B7518" w:rsidP="00DC54F7">
      <w:pPr>
        <w:spacing w:after="0" w:line="240" w:lineRule="auto"/>
        <w:jc w:val="both"/>
        <w:rPr>
          <w:rFonts w:ascii="Arial" w:hAnsi="Arial" w:cs="Arial"/>
          <w:sz w:val="24"/>
          <w:szCs w:val="24"/>
        </w:rPr>
      </w:pPr>
      <w:r w:rsidRPr="009E76BB">
        <w:rPr>
          <w:rFonts w:ascii="Arial" w:hAnsi="Arial" w:cs="Arial"/>
          <w:sz w:val="24"/>
          <w:szCs w:val="24"/>
        </w:rPr>
        <w:t xml:space="preserve">Cardiff has the most ethnically diverse population </w:t>
      </w:r>
      <w:r w:rsidR="008762A1" w:rsidRPr="009E76BB">
        <w:rPr>
          <w:rFonts w:ascii="Arial" w:hAnsi="Arial" w:cs="Arial"/>
          <w:sz w:val="24"/>
          <w:szCs w:val="24"/>
        </w:rPr>
        <w:t>in Wales with 21.1% of its population estimated to be</w:t>
      </w:r>
      <w:r w:rsidR="00BB7A15" w:rsidRPr="009E76BB">
        <w:rPr>
          <w:rFonts w:ascii="Arial" w:hAnsi="Arial" w:cs="Arial"/>
          <w:sz w:val="24"/>
          <w:szCs w:val="24"/>
        </w:rPr>
        <w:t xml:space="preserve"> </w:t>
      </w:r>
      <w:r w:rsidR="006049EC" w:rsidRPr="009E76BB">
        <w:rPr>
          <w:rFonts w:ascii="Arial" w:hAnsi="Arial" w:cs="Arial"/>
          <w:sz w:val="24"/>
          <w:szCs w:val="24"/>
        </w:rPr>
        <w:t xml:space="preserve">Black, Asian and </w:t>
      </w:r>
      <w:r w:rsidR="00342797" w:rsidRPr="009E76BB">
        <w:rPr>
          <w:rFonts w:ascii="Arial" w:hAnsi="Arial" w:cs="Arial"/>
          <w:sz w:val="24"/>
          <w:szCs w:val="24"/>
        </w:rPr>
        <w:t xml:space="preserve">minority ethnic. </w:t>
      </w:r>
    </w:p>
    <w:p w14:paraId="7BC2041F" w14:textId="5D25084E" w:rsidR="00A770B4" w:rsidRPr="009E76BB" w:rsidRDefault="00A770B4" w:rsidP="00DC54F7">
      <w:pPr>
        <w:spacing w:after="0" w:line="240" w:lineRule="auto"/>
        <w:jc w:val="both"/>
        <w:rPr>
          <w:rFonts w:ascii="Arial" w:hAnsi="Arial" w:cs="Arial"/>
          <w:sz w:val="24"/>
          <w:szCs w:val="24"/>
        </w:rPr>
      </w:pPr>
    </w:p>
    <w:p w14:paraId="09946D17" w14:textId="741CC293" w:rsidR="00A770B4" w:rsidRPr="009E76BB" w:rsidRDefault="00A770B4" w:rsidP="00DC54F7">
      <w:pPr>
        <w:spacing w:after="0" w:line="240" w:lineRule="auto"/>
        <w:jc w:val="both"/>
        <w:rPr>
          <w:rFonts w:ascii="Calibri" w:eastAsia="Times New Roman" w:hAnsi="Calibri" w:cs="Calibri"/>
          <w:color w:val="000000"/>
          <w:sz w:val="24"/>
          <w:szCs w:val="24"/>
          <w:lang w:eastAsia="en-GB"/>
        </w:rPr>
      </w:pPr>
      <w:r w:rsidRPr="009E76BB">
        <w:rPr>
          <w:rFonts w:ascii="Arial" w:hAnsi="Arial" w:cs="Arial"/>
          <w:sz w:val="24"/>
          <w:szCs w:val="24"/>
        </w:rPr>
        <w:t>In the Vale of Glamorgan, 2.3% of the population are estimated to be Black, Asian and minority ethnic. This is less than the average for Wales at 5.9%.</w:t>
      </w:r>
    </w:p>
    <w:p w14:paraId="5B88ADFB" w14:textId="7FBB894E" w:rsidR="009E76BB" w:rsidRDefault="009E76BB" w:rsidP="00DC54F7">
      <w:pPr>
        <w:jc w:val="both"/>
        <w:rPr>
          <w:rFonts w:ascii="Calibri" w:eastAsia="Times New Roman" w:hAnsi="Calibri" w:cs="Calibri"/>
          <w:color w:val="000000"/>
          <w:lang w:eastAsia="en-GB"/>
        </w:rPr>
      </w:pPr>
      <w:r>
        <w:rPr>
          <w:rFonts w:ascii="Calibri" w:eastAsia="Times New Roman" w:hAnsi="Calibri" w:cs="Calibri"/>
          <w:color w:val="000000"/>
          <w:lang w:eastAsia="en-GB"/>
        </w:rPr>
        <w:br w:type="page"/>
      </w:r>
    </w:p>
    <w:p w14:paraId="5E04036F" w14:textId="0302F3CC" w:rsidR="00A82E9E" w:rsidRPr="009E76BB" w:rsidRDefault="00CA32A2" w:rsidP="00FA61D2">
      <w:pPr>
        <w:spacing w:after="0" w:line="240" w:lineRule="auto"/>
        <w:jc w:val="both"/>
        <w:rPr>
          <w:rFonts w:ascii="Arial" w:eastAsia="Times New Roman" w:hAnsi="Arial" w:cs="Arial"/>
          <w:b/>
          <w:bCs/>
          <w:color w:val="000000"/>
          <w:sz w:val="24"/>
          <w:szCs w:val="24"/>
          <w:lang w:eastAsia="en-GB"/>
        </w:rPr>
      </w:pPr>
      <w:r w:rsidRPr="009E76BB">
        <w:rPr>
          <w:rFonts w:ascii="Arial" w:hAnsi="Arial" w:cs="Arial"/>
          <w:b/>
          <w:bCs/>
          <w:sz w:val="24"/>
          <w:szCs w:val="24"/>
        </w:rPr>
        <w:lastRenderedPageBreak/>
        <w:t>Table</w:t>
      </w:r>
      <w:r w:rsidR="003D65CC" w:rsidRPr="009E76BB">
        <w:rPr>
          <w:rFonts w:ascii="Arial" w:hAnsi="Arial" w:cs="Arial"/>
          <w:b/>
          <w:bCs/>
          <w:sz w:val="24"/>
          <w:szCs w:val="24"/>
        </w:rPr>
        <w:t xml:space="preserve"> 2.</w:t>
      </w:r>
      <w:r w:rsidR="008B2D50" w:rsidRPr="009E76BB">
        <w:rPr>
          <w:rFonts w:ascii="Arial" w:hAnsi="Arial" w:cs="Arial"/>
          <w:b/>
          <w:bCs/>
          <w:sz w:val="24"/>
          <w:szCs w:val="24"/>
        </w:rPr>
        <w:t>3</w:t>
      </w:r>
      <w:r w:rsidRPr="009E76BB">
        <w:rPr>
          <w:rFonts w:ascii="Arial" w:hAnsi="Arial" w:cs="Arial"/>
          <w:b/>
          <w:bCs/>
          <w:sz w:val="24"/>
          <w:szCs w:val="24"/>
        </w:rPr>
        <w:t xml:space="preserve">: </w:t>
      </w:r>
      <w:r w:rsidRPr="009E76BB">
        <w:rPr>
          <w:rFonts w:ascii="Arial" w:eastAsia="Times New Roman" w:hAnsi="Arial" w:cs="Arial"/>
          <w:b/>
          <w:bCs/>
          <w:color w:val="000000"/>
          <w:sz w:val="24"/>
          <w:szCs w:val="24"/>
          <w:lang w:eastAsia="en-GB"/>
        </w:rPr>
        <w:t>Ethnicity by ethnic group</w:t>
      </w:r>
      <w:r w:rsidR="0085792E" w:rsidRPr="009E76BB">
        <w:rPr>
          <w:rFonts w:ascii="Arial" w:eastAsia="Times New Roman" w:hAnsi="Arial" w:cs="Arial"/>
          <w:b/>
          <w:bCs/>
          <w:color w:val="000000"/>
          <w:sz w:val="24"/>
          <w:szCs w:val="24"/>
          <w:lang w:eastAsia="en-GB"/>
        </w:rPr>
        <w:t xml:space="preserve"> </w:t>
      </w:r>
      <w:r w:rsidR="00A42C89" w:rsidRPr="009E76BB">
        <w:rPr>
          <w:rFonts w:ascii="Arial" w:eastAsia="Times New Roman" w:hAnsi="Arial" w:cs="Arial"/>
          <w:b/>
          <w:bCs/>
          <w:color w:val="000000"/>
          <w:sz w:val="24"/>
          <w:szCs w:val="24"/>
          <w:lang w:eastAsia="en-GB"/>
        </w:rPr>
        <w:t xml:space="preserve">and </w:t>
      </w:r>
      <w:r w:rsidR="0085792E" w:rsidRPr="009E76BB">
        <w:rPr>
          <w:rFonts w:ascii="Arial" w:eastAsia="Times New Roman" w:hAnsi="Arial" w:cs="Arial"/>
          <w:b/>
          <w:bCs/>
          <w:color w:val="000000"/>
          <w:sz w:val="24"/>
          <w:szCs w:val="24"/>
          <w:lang w:eastAsia="en-GB"/>
        </w:rPr>
        <w:t xml:space="preserve">by </w:t>
      </w:r>
      <w:r w:rsidR="00567F4B" w:rsidRPr="009E76BB">
        <w:rPr>
          <w:rFonts w:ascii="Arial" w:eastAsia="Times New Roman" w:hAnsi="Arial" w:cs="Arial"/>
          <w:b/>
          <w:bCs/>
          <w:color w:val="000000"/>
          <w:sz w:val="24"/>
          <w:szCs w:val="24"/>
          <w:lang w:eastAsia="en-GB"/>
        </w:rPr>
        <w:t>local</w:t>
      </w:r>
      <w:r w:rsidRPr="009E76BB">
        <w:rPr>
          <w:rFonts w:ascii="Arial" w:eastAsia="Times New Roman" w:hAnsi="Arial" w:cs="Arial"/>
          <w:b/>
          <w:bCs/>
          <w:color w:val="000000"/>
          <w:sz w:val="24"/>
          <w:szCs w:val="24"/>
          <w:lang w:eastAsia="en-GB"/>
        </w:rPr>
        <w:t xml:space="preserve"> authority, health</w:t>
      </w:r>
      <w:r w:rsidR="004B155E" w:rsidRPr="009E76BB">
        <w:rPr>
          <w:rFonts w:ascii="Arial" w:eastAsia="Times New Roman" w:hAnsi="Arial" w:cs="Arial"/>
          <w:b/>
          <w:bCs/>
          <w:color w:val="000000"/>
          <w:sz w:val="24"/>
          <w:szCs w:val="24"/>
          <w:lang w:eastAsia="en-GB"/>
        </w:rPr>
        <w:t xml:space="preserve"> </w:t>
      </w:r>
      <w:r w:rsidRPr="009E76BB">
        <w:rPr>
          <w:rFonts w:ascii="Arial" w:eastAsia="Times New Roman" w:hAnsi="Arial" w:cs="Arial"/>
          <w:b/>
          <w:bCs/>
          <w:color w:val="000000"/>
          <w:sz w:val="24"/>
          <w:szCs w:val="24"/>
          <w:lang w:eastAsia="en-GB"/>
        </w:rPr>
        <w:t xml:space="preserve">board and Wales, </w:t>
      </w:r>
      <w:r w:rsidR="00297B94" w:rsidRPr="009E76BB">
        <w:rPr>
          <w:rFonts w:ascii="Arial" w:eastAsia="Times New Roman" w:hAnsi="Arial" w:cs="Arial"/>
          <w:b/>
          <w:bCs/>
          <w:color w:val="000000"/>
          <w:sz w:val="24"/>
          <w:szCs w:val="24"/>
          <w:lang w:eastAsia="en-GB"/>
        </w:rPr>
        <w:t xml:space="preserve">2019 to </w:t>
      </w:r>
      <w:r w:rsidRPr="009E76BB">
        <w:rPr>
          <w:rFonts w:ascii="Arial" w:eastAsia="Times New Roman" w:hAnsi="Arial" w:cs="Arial"/>
          <w:b/>
          <w:bCs/>
          <w:color w:val="000000"/>
          <w:sz w:val="24"/>
          <w:szCs w:val="24"/>
          <w:lang w:eastAsia="en-GB"/>
        </w:rPr>
        <w:t>2020</w:t>
      </w:r>
    </w:p>
    <w:tbl>
      <w:tblPr>
        <w:tblW w:w="9087"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972"/>
        <w:gridCol w:w="1778"/>
        <w:gridCol w:w="1779"/>
        <w:gridCol w:w="1779"/>
        <w:gridCol w:w="1779"/>
      </w:tblGrid>
      <w:tr w:rsidR="00E35E79" w:rsidRPr="00E35E79" w14:paraId="7984D8A2" w14:textId="77777777" w:rsidTr="00A332F2">
        <w:trPr>
          <w:trHeight w:val="971"/>
        </w:trPr>
        <w:tc>
          <w:tcPr>
            <w:tcW w:w="1972" w:type="dxa"/>
            <w:shd w:val="clear" w:color="000000" w:fill="8497B0"/>
            <w:noWrap/>
            <w:vAlign w:val="bottom"/>
            <w:hideMark/>
          </w:tcPr>
          <w:p w14:paraId="7E757755" w14:textId="77777777" w:rsidR="00E35E79" w:rsidRPr="00E35E79" w:rsidRDefault="00E35E79" w:rsidP="00DC54F7">
            <w:pPr>
              <w:spacing w:after="0" w:line="240" w:lineRule="auto"/>
              <w:jc w:val="both"/>
              <w:rPr>
                <w:rFonts w:ascii="Calibri" w:eastAsia="Times New Roman" w:hAnsi="Calibri" w:cs="Calibri"/>
                <w:b/>
                <w:bCs/>
                <w:color w:val="FFFFFF"/>
                <w:lang w:eastAsia="en-GB"/>
              </w:rPr>
            </w:pPr>
            <w:r w:rsidRPr="00E35E79">
              <w:rPr>
                <w:rFonts w:ascii="Calibri" w:eastAsia="Times New Roman" w:hAnsi="Calibri" w:cs="Calibri"/>
                <w:b/>
                <w:bCs/>
                <w:color w:val="FFFFFF"/>
                <w:lang w:eastAsia="en-GB"/>
              </w:rPr>
              <w:t>Area</w:t>
            </w:r>
          </w:p>
        </w:tc>
        <w:tc>
          <w:tcPr>
            <w:tcW w:w="1778" w:type="dxa"/>
            <w:shd w:val="clear" w:color="000000" w:fill="8497B0"/>
            <w:noWrap/>
            <w:vAlign w:val="bottom"/>
            <w:hideMark/>
          </w:tcPr>
          <w:p w14:paraId="7B6FEB44" w14:textId="77777777" w:rsidR="00E35E79" w:rsidRPr="00E35E79" w:rsidRDefault="00E35E79" w:rsidP="00DC54F7">
            <w:pPr>
              <w:spacing w:after="0" w:line="240" w:lineRule="auto"/>
              <w:jc w:val="both"/>
              <w:rPr>
                <w:rFonts w:ascii="Calibri" w:eastAsia="Times New Roman" w:hAnsi="Calibri" w:cs="Calibri"/>
                <w:b/>
                <w:bCs/>
                <w:color w:val="FFFFFF"/>
                <w:lang w:eastAsia="en-GB"/>
              </w:rPr>
            </w:pPr>
            <w:r w:rsidRPr="00E35E79">
              <w:rPr>
                <w:rFonts w:ascii="Calibri" w:eastAsia="Times New Roman" w:hAnsi="Calibri" w:cs="Calibri"/>
                <w:b/>
                <w:bCs/>
                <w:color w:val="FFFFFF"/>
                <w:lang w:eastAsia="en-GB"/>
              </w:rPr>
              <w:t xml:space="preserve">White </w:t>
            </w:r>
          </w:p>
        </w:tc>
        <w:tc>
          <w:tcPr>
            <w:tcW w:w="1779" w:type="dxa"/>
            <w:shd w:val="clear" w:color="000000" w:fill="8497B0"/>
            <w:vAlign w:val="bottom"/>
            <w:hideMark/>
          </w:tcPr>
          <w:p w14:paraId="0FA1856B" w14:textId="77777777" w:rsidR="00E35E79" w:rsidRPr="00E35E79" w:rsidRDefault="00E35E79" w:rsidP="00DC54F7">
            <w:pPr>
              <w:spacing w:after="0" w:line="240" w:lineRule="auto"/>
              <w:jc w:val="both"/>
              <w:rPr>
                <w:rFonts w:ascii="Calibri" w:eastAsia="Times New Roman" w:hAnsi="Calibri" w:cs="Calibri"/>
                <w:b/>
                <w:bCs/>
                <w:color w:val="FFFFFF"/>
                <w:lang w:eastAsia="en-GB"/>
              </w:rPr>
            </w:pPr>
            <w:r w:rsidRPr="00E35E79">
              <w:rPr>
                <w:rFonts w:ascii="Calibri" w:eastAsia="Times New Roman" w:hAnsi="Calibri" w:cs="Calibri"/>
                <w:b/>
                <w:bCs/>
                <w:color w:val="FFFFFF"/>
                <w:lang w:eastAsia="en-GB"/>
              </w:rPr>
              <w:t xml:space="preserve">Black, Asian and minority ethnic </w:t>
            </w:r>
          </w:p>
        </w:tc>
        <w:tc>
          <w:tcPr>
            <w:tcW w:w="1779" w:type="dxa"/>
            <w:shd w:val="clear" w:color="000000" w:fill="8497B0"/>
            <w:noWrap/>
            <w:vAlign w:val="bottom"/>
            <w:hideMark/>
          </w:tcPr>
          <w:p w14:paraId="42881B22" w14:textId="77777777" w:rsidR="00E35E79" w:rsidRPr="00E35E79" w:rsidRDefault="00E35E79" w:rsidP="00DC54F7">
            <w:pPr>
              <w:spacing w:after="0" w:line="240" w:lineRule="auto"/>
              <w:jc w:val="both"/>
              <w:rPr>
                <w:rFonts w:ascii="Calibri" w:eastAsia="Times New Roman" w:hAnsi="Calibri" w:cs="Calibri"/>
                <w:b/>
                <w:bCs/>
                <w:color w:val="FFFFFF"/>
                <w:lang w:eastAsia="en-GB"/>
              </w:rPr>
            </w:pPr>
            <w:r w:rsidRPr="00E35E79">
              <w:rPr>
                <w:rFonts w:ascii="Calibri" w:eastAsia="Times New Roman" w:hAnsi="Calibri" w:cs="Calibri"/>
                <w:b/>
                <w:bCs/>
                <w:color w:val="FFFFFF"/>
                <w:lang w:eastAsia="en-GB"/>
              </w:rPr>
              <w:t>Total</w:t>
            </w:r>
          </w:p>
        </w:tc>
        <w:tc>
          <w:tcPr>
            <w:tcW w:w="1779" w:type="dxa"/>
            <w:shd w:val="clear" w:color="000000" w:fill="8497B0"/>
            <w:vAlign w:val="bottom"/>
            <w:hideMark/>
          </w:tcPr>
          <w:p w14:paraId="7A85C934" w14:textId="77777777" w:rsidR="00E35E79" w:rsidRPr="00E35E79" w:rsidRDefault="00E35E79" w:rsidP="00DC54F7">
            <w:pPr>
              <w:spacing w:after="0" w:line="240" w:lineRule="auto"/>
              <w:jc w:val="both"/>
              <w:rPr>
                <w:rFonts w:ascii="Calibri" w:eastAsia="Times New Roman" w:hAnsi="Calibri" w:cs="Calibri"/>
                <w:b/>
                <w:bCs/>
                <w:color w:val="FFFFFF"/>
                <w:lang w:eastAsia="en-GB"/>
              </w:rPr>
            </w:pPr>
            <w:r w:rsidRPr="00E35E79">
              <w:rPr>
                <w:rFonts w:ascii="Calibri" w:eastAsia="Times New Roman" w:hAnsi="Calibri" w:cs="Calibri"/>
                <w:b/>
                <w:bCs/>
                <w:color w:val="FFFFFF"/>
                <w:lang w:eastAsia="en-GB"/>
              </w:rPr>
              <w:t xml:space="preserve">% of Black, Asian and minority ethnic </w:t>
            </w:r>
          </w:p>
        </w:tc>
      </w:tr>
      <w:tr w:rsidR="00E35E79" w:rsidRPr="00E35E79" w14:paraId="50E7EDAE" w14:textId="77777777" w:rsidTr="00A332F2">
        <w:trPr>
          <w:trHeight w:val="323"/>
        </w:trPr>
        <w:tc>
          <w:tcPr>
            <w:tcW w:w="1972" w:type="dxa"/>
            <w:shd w:val="clear" w:color="EDEDED" w:fill="EDEDED"/>
            <w:noWrap/>
            <w:vAlign w:val="bottom"/>
            <w:hideMark/>
          </w:tcPr>
          <w:p w14:paraId="7877ABB8"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 xml:space="preserve">Cardiff </w:t>
            </w:r>
          </w:p>
        </w:tc>
        <w:tc>
          <w:tcPr>
            <w:tcW w:w="1778" w:type="dxa"/>
            <w:shd w:val="clear" w:color="EDEDED" w:fill="EDEDED"/>
            <w:noWrap/>
            <w:vAlign w:val="bottom"/>
            <w:hideMark/>
          </w:tcPr>
          <w:p w14:paraId="2203AF33"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291700</w:t>
            </w:r>
          </w:p>
        </w:tc>
        <w:tc>
          <w:tcPr>
            <w:tcW w:w="1779" w:type="dxa"/>
            <w:shd w:val="clear" w:color="EDEDED" w:fill="EDEDED"/>
            <w:noWrap/>
            <w:vAlign w:val="bottom"/>
            <w:hideMark/>
          </w:tcPr>
          <w:p w14:paraId="02650D06"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78100</w:t>
            </w:r>
          </w:p>
        </w:tc>
        <w:tc>
          <w:tcPr>
            <w:tcW w:w="1779" w:type="dxa"/>
            <w:shd w:val="clear" w:color="EDEDED" w:fill="EDEDED"/>
            <w:noWrap/>
            <w:vAlign w:val="bottom"/>
            <w:hideMark/>
          </w:tcPr>
          <w:p w14:paraId="79B15C51"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370600</w:t>
            </w:r>
          </w:p>
        </w:tc>
        <w:tc>
          <w:tcPr>
            <w:tcW w:w="1779" w:type="dxa"/>
            <w:shd w:val="clear" w:color="EDEDED" w:fill="EDEDED"/>
            <w:noWrap/>
            <w:vAlign w:val="bottom"/>
            <w:hideMark/>
          </w:tcPr>
          <w:p w14:paraId="242F9806"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21.1</w:t>
            </w:r>
          </w:p>
        </w:tc>
      </w:tr>
      <w:tr w:rsidR="00E35E79" w:rsidRPr="00E35E79" w14:paraId="0CB40BB3" w14:textId="77777777" w:rsidTr="00A332F2">
        <w:trPr>
          <w:trHeight w:val="323"/>
        </w:trPr>
        <w:tc>
          <w:tcPr>
            <w:tcW w:w="1972" w:type="dxa"/>
            <w:shd w:val="clear" w:color="auto" w:fill="auto"/>
            <w:noWrap/>
            <w:vAlign w:val="bottom"/>
            <w:hideMark/>
          </w:tcPr>
          <w:p w14:paraId="6C95FB55"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 xml:space="preserve">Vale of Glamorgan </w:t>
            </w:r>
          </w:p>
        </w:tc>
        <w:tc>
          <w:tcPr>
            <w:tcW w:w="1778" w:type="dxa"/>
            <w:shd w:val="clear" w:color="auto" w:fill="auto"/>
            <w:noWrap/>
            <w:vAlign w:val="bottom"/>
            <w:hideMark/>
          </w:tcPr>
          <w:p w14:paraId="50D7E4E3"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124200</w:t>
            </w:r>
          </w:p>
        </w:tc>
        <w:tc>
          <w:tcPr>
            <w:tcW w:w="1779" w:type="dxa"/>
            <w:shd w:val="clear" w:color="auto" w:fill="auto"/>
            <w:noWrap/>
            <w:vAlign w:val="bottom"/>
            <w:hideMark/>
          </w:tcPr>
          <w:p w14:paraId="0574BFCB"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3000</w:t>
            </w:r>
          </w:p>
        </w:tc>
        <w:tc>
          <w:tcPr>
            <w:tcW w:w="1779" w:type="dxa"/>
            <w:shd w:val="clear" w:color="auto" w:fill="auto"/>
            <w:noWrap/>
            <w:vAlign w:val="bottom"/>
            <w:hideMark/>
          </w:tcPr>
          <w:p w14:paraId="6AEE94BA"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127200</w:t>
            </w:r>
          </w:p>
        </w:tc>
        <w:tc>
          <w:tcPr>
            <w:tcW w:w="1779" w:type="dxa"/>
            <w:shd w:val="clear" w:color="auto" w:fill="auto"/>
            <w:noWrap/>
            <w:vAlign w:val="bottom"/>
            <w:hideMark/>
          </w:tcPr>
          <w:p w14:paraId="5DCC966F"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2.3</w:t>
            </w:r>
          </w:p>
        </w:tc>
      </w:tr>
      <w:tr w:rsidR="00E35E79" w:rsidRPr="00E35E79" w14:paraId="0704F496" w14:textId="77777777" w:rsidTr="00A332F2">
        <w:trPr>
          <w:trHeight w:val="323"/>
        </w:trPr>
        <w:tc>
          <w:tcPr>
            <w:tcW w:w="1972" w:type="dxa"/>
            <w:shd w:val="clear" w:color="EDEDED" w:fill="EDEDED"/>
            <w:noWrap/>
            <w:vAlign w:val="bottom"/>
            <w:hideMark/>
          </w:tcPr>
          <w:p w14:paraId="723190AA"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Cardiff &amp; Vale UHB</w:t>
            </w:r>
          </w:p>
        </w:tc>
        <w:tc>
          <w:tcPr>
            <w:tcW w:w="1778" w:type="dxa"/>
            <w:shd w:val="clear" w:color="EDEDED" w:fill="EDEDED"/>
            <w:noWrap/>
            <w:vAlign w:val="bottom"/>
            <w:hideMark/>
          </w:tcPr>
          <w:p w14:paraId="7287C443"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415900</w:t>
            </w:r>
          </w:p>
        </w:tc>
        <w:tc>
          <w:tcPr>
            <w:tcW w:w="1779" w:type="dxa"/>
            <w:shd w:val="clear" w:color="EDEDED" w:fill="EDEDED"/>
            <w:noWrap/>
            <w:vAlign w:val="bottom"/>
            <w:hideMark/>
          </w:tcPr>
          <w:p w14:paraId="5D813DF1"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81100</w:t>
            </w:r>
          </w:p>
        </w:tc>
        <w:tc>
          <w:tcPr>
            <w:tcW w:w="1779" w:type="dxa"/>
            <w:shd w:val="clear" w:color="EDEDED" w:fill="EDEDED"/>
            <w:noWrap/>
            <w:vAlign w:val="bottom"/>
            <w:hideMark/>
          </w:tcPr>
          <w:p w14:paraId="42322D47"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497800</w:t>
            </w:r>
          </w:p>
        </w:tc>
        <w:tc>
          <w:tcPr>
            <w:tcW w:w="1779" w:type="dxa"/>
            <w:shd w:val="clear" w:color="EDEDED" w:fill="EDEDED"/>
            <w:noWrap/>
            <w:vAlign w:val="bottom"/>
            <w:hideMark/>
          </w:tcPr>
          <w:p w14:paraId="19FFD7C2"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16.3</w:t>
            </w:r>
          </w:p>
        </w:tc>
      </w:tr>
      <w:tr w:rsidR="00E35E79" w:rsidRPr="00E35E79" w14:paraId="1813FF8C" w14:textId="77777777" w:rsidTr="00A332F2">
        <w:trPr>
          <w:trHeight w:val="323"/>
        </w:trPr>
        <w:tc>
          <w:tcPr>
            <w:tcW w:w="1972" w:type="dxa"/>
            <w:shd w:val="clear" w:color="auto" w:fill="auto"/>
            <w:noWrap/>
            <w:vAlign w:val="bottom"/>
            <w:hideMark/>
          </w:tcPr>
          <w:p w14:paraId="6427E06D"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 xml:space="preserve">Wales </w:t>
            </w:r>
          </w:p>
        </w:tc>
        <w:tc>
          <w:tcPr>
            <w:tcW w:w="1778" w:type="dxa"/>
            <w:shd w:val="clear" w:color="auto" w:fill="auto"/>
            <w:noWrap/>
            <w:vAlign w:val="bottom"/>
            <w:hideMark/>
          </w:tcPr>
          <w:p w14:paraId="68D9AFCE"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2934100</w:t>
            </w:r>
          </w:p>
        </w:tc>
        <w:tc>
          <w:tcPr>
            <w:tcW w:w="1779" w:type="dxa"/>
            <w:shd w:val="clear" w:color="auto" w:fill="auto"/>
            <w:noWrap/>
            <w:vAlign w:val="bottom"/>
            <w:hideMark/>
          </w:tcPr>
          <w:p w14:paraId="023A557F"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184500</w:t>
            </w:r>
          </w:p>
        </w:tc>
        <w:tc>
          <w:tcPr>
            <w:tcW w:w="1779" w:type="dxa"/>
            <w:shd w:val="clear" w:color="auto" w:fill="auto"/>
            <w:noWrap/>
            <w:vAlign w:val="bottom"/>
            <w:hideMark/>
          </w:tcPr>
          <w:p w14:paraId="12EE8C95"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3121500</w:t>
            </w:r>
          </w:p>
        </w:tc>
        <w:tc>
          <w:tcPr>
            <w:tcW w:w="1779" w:type="dxa"/>
            <w:shd w:val="clear" w:color="auto" w:fill="auto"/>
            <w:noWrap/>
            <w:vAlign w:val="bottom"/>
            <w:hideMark/>
          </w:tcPr>
          <w:p w14:paraId="6493E062" w14:textId="77777777" w:rsidR="00E35E79" w:rsidRPr="00E35E79" w:rsidRDefault="00E35E79" w:rsidP="00DC54F7">
            <w:pPr>
              <w:spacing w:after="0" w:line="240" w:lineRule="auto"/>
              <w:jc w:val="both"/>
              <w:rPr>
                <w:rFonts w:ascii="Calibri" w:eastAsia="Times New Roman" w:hAnsi="Calibri" w:cs="Calibri"/>
                <w:color w:val="000000"/>
                <w:lang w:eastAsia="en-GB"/>
              </w:rPr>
            </w:pPr>
            <w:r w:rsidRPr="00E35E79">
              <w:rPr>
                <w:rFonts w:ascii="Calibri" w:eastAsia="Times New Roman" w:hAnsi="Calibri" w:cs="Calibri"/>
                <w:color w:val="000000"/>
                <w:lang w:eastAsia="en-GB"/>
              </w:rPr>
              <w:t>5.9</w:t>
            </w:r>
          </w:p>
        </w:tc>
      </w:tr>
    </w:tbl>
    <w:p w14:paraId="13A04AE5" w14:textId="697BCD4B" w:rsidR="00CA32A2" w:rsidRPr="009E76BB" w:rsidRDefault="00CA32A2" w:rsidP="00DC54F7">
      <w:pPr>
        <w:spacing w:after="0" w:line="240" w:lineRule="auto"/>
        <w:jc w:val="both"/>
        <w:rPr>
          <w:rFonts w:ascii="Arial" w:eastAsia="Times New Roman" w:hAnsi="Arial" w:cs="Arial"/>
          <w:color w:val="000000"/>
          <w:sz w:val="20"/>
          <w:szCs w:val="20"/>
          <w:lang w:eastAsia="en-GB"/>
        </w:rPr>
      </w:pPr>
      <w:r w:rsidRPr="009E76BB">
        <w:rPr>
          <w:rFonts w:ascii="Arial" w:hAnsi="Arial" w:cs="Arial"/>
          <w:sz w:val="20"/>
          <w:szCs w:val="20"/>
        </w:rPr>
        <w:t xml:space="preserve">Source: Stats Wales – Annual Population Survey </w:t>
      </w:r>
      <w:r w:rsidR="008E38C8" w:rsidRPr="009E76BB">
        <w:rPr>
          <w:rFonts w:ascii="Arial" w:hAnsi="Arial" w:cs="Arial"/>
          <w:sz w:val="20"/>
          <w:szCs w:val="20"/>
        </w:rPr>
        <w:t>(</w:t>
      </w:r>
      <w:r w:rsidR="00297B94" w:rsidRPr="009E76BB">
        <w:rPr>
          <w:rFonts w:ascii="Arial" w:hAnsi="Arial" w:cs="Arial"/>
          <w:sz w:val="20"/>
          <w:szCs w:val="20"/>
        </w:rPr>
        <w:t xml:space="preserve">year ending June </w:t>
      </w:r>
      <w:r w:rsidRPr="009E76BB">
        <w:rPr>
          <w:rFonts w:ascii="Arial" w:hAnsi="Arial" w:cs="Arial"/>
          <w:sz w:val="20"/>
          <w:szCs w:val="20"/>
        </w:rPr>
        <w:t>2020</w:t>
      </w:r>
      <w:r w:rsidR="008E38C8" w:rsidRPr="009E76BB">
        <w:rPr>
          <w:rFonts w:ascii="Arial" w:hAnsi="Arial" w:cs="Arial"/>
          <w:sz w:val="20"/>
          <w:szCs w:val="20"/>
        </w:rPr>
        <w:t>)</w:t>
      </w:r>
    </w:p>
    <w:p w14:paraId="4694B782" w14:textId="77777777" w:rsidR="00B46F55" w:rsidRDefault="00B46F55" w:rsidP="00DC54F7">
      <w:pPr>
        <w:spacing w:after="0" w:line="240" w:lineRule="auto"/>
        <w:jc w:val="both"/>
        <w:rPr>
          <w:rFonts w:ascii="Arial" w:hAnsi="Arial" w:cs="Arial"/>
        </w:rPr>
      </w:pPr>
    </w:p>
    <w:p w14:paraId="296AC52B" w14:textId="166CC561" w:rsidR="004654D5" w:rsidRDefault="004654D5" w:rsidP="00DC54F7">
      <w:pPr>
        <w:spacing w:after="0" w:line="240" w:lineRule="auto"/>
        <w:contextualSpacing/>
        <w:jc w:val="both"/>
        <w:rPr>
          <w:rFonts w:ascii="Arial" w:hAnsi="Arial" w:cs="Arial"/>
        </w:rPr>
      </w:pPr>
    </w:p>
    <w:p w14:paraId="001ABDBE" w14:textId="32F32F4E" w:rsidR="00D3388A" w:rsidRDefault="00D3388A" w:rsidP="00DC54F7">
      <w:pPr>
        <w:spacing w:after="0" w:line="240" w:lineRule="auto"/>
        <w:jc w:val="both"/>
        <w:rPr>
          <w:rFonts w:ascii="Arial" w:hAnsi="Arial" w:cs="Arial"/>
          <w:b/>
          <w:sz w:val="26"/>
          <w:szCs w:val="26"/>
        </w:rPr>
      </w:pPr>
      <w:r w:rsidRPr="00A10850">
        <w:rPr>
          <w:rFonts w:ascii="Arial" w:hAnsi="Arial" w:cs="Arial"/>
          <w:b/>
          <w:sz w:val="26"/>
          <w:szCs w:val="26"/>
        </w:rPr>
        <w:t>2.4 Household language</w:t>
      </w:r>
    </w:p>
    <w:p w14:paraId="366A9DC6" w14:textId="333397FC" w:rsidR="000D09DD" w:rsidRDefault="000D09DD" w:rsidP="00DC54F7">
      <w:pPr>
        <w:spacing w:after="0" w:line="240" w:lineRule="auto"/>
        <w:jc w:val="both"/>
        <w:rPr>
          <w:rFonts w:ascii="Arial" w:hAnsi="Arial" w:cs="Arial"/>
          <w:b/>
          <w:sz w:val="26"/>
          <w:szCs w:val="26"/>
        </w:rPr>
      </w:pPr>
    </w:p>
    <w:p w14:paraId="5D5A7D54" w14:textId="5D2B3555" w:rsidR="000D09DD" w:rsidRPr="009E76BB" w:rsidRDefault="007D42B7" w:rsidP="00DC54F7">
      <w:pPr>
        <w:spacing w:after="0" w:line="240" w:lineRule="auto"/>
        <w:jc w:val="both"/>
        <w:rPr>
          <w:rFonts w:ascii="Arial" w:hAnsi="Arial" w:cs="Arial"/>
          <w:bCs/>
          <w:sz w:val="24"/>
          <w:szCs w:val="24"/>
        </w:rPr>
      </w:pPr>
      <w:r w:rsidRPr="009E76BB">
        <w:rPr>
          <w:rFonts w:ascii="Arial" w:hAnsi="Arial" w:cs="Arial"/>
          <w:bCs/>
          <w:sz w:val="24"/>
          <w:szCs w:val="24"/>
        </w:rPr>
        <w:t xml:space="preserve">In Cardiff and Vale University Health Board, </w:t>
      </w:r>
      <w:r w:rsidR="00F549AD" w:rsidRPr="009E76BB">
        <w:rPr>
          <w:rFonts w:ascii="Arial" w:hAnsi="Arial" w:cs="Arial"/>
          <w:bCs/>
          <w:sz w:val="24"/>
          <w:szCs w:val="24"/>
        </w:rPr>
        <w:t>23.</w:t>
      </w:r>
      <w:r w:rsidR="00C05843" w:rsidRPr="009E76BB">
        <w:rPr>
          <w:rFonts w:ascii="Arial" w:hAnsi="Arial" w:cs="Arial"/>
          <w:bCs/>
          <w:sz w:val="24"/>
          <w:szCs w:val="24"/>
        </w:rPr>
        <w:t>8</w:t>
      </w:r>
      <w:r w:rsidR="00F549AD" w:rsidRPr="009E76BB">
        <w:rPr>
          <w:rFonts w:ascii="Arial" w:hAnsi="Arial" w:cs="Arial"/>
          <w:bCs/>
          <w:sz w:val="24"/>
          <w:szCs w:val="24"/>
        </w:rPr>
        <w:t xml:space="preserve">% of its population aged three and over can speak Welsh. </w:t>
      </w:r>
      <w:r w:rsidR="007112E3" w:rsidRPr="009E76BB">
        <w:rPr>
          <w:rFonts w:ascii="Arial" w:hAnsi="Arial" w:cs="Arial"/>
          <w:bCs/>
          <w:sz w:val="24"/>
          <w:szCs w:val="24"/>
        </w:rPr>
        <w:t>This is lower than the average for Wales.</w:t>
      </w:r>
      <w:r w:rsidR="004C7D50" w:rsidRPr="009E76BB">
        <w:rPr>
          <w:rFonts w:ascii="Arial" w:hAnsi="Arial" w:cs="Arial"/>
          <w:bCs/>
          <w:sz w:val="24"/>
          <w:szCs w:val="24"/>
        </w:rPr>
        <w:t xml:space="preserve"> The percen</w:t>
      </w:r>
      <w:r w:rsidR="005A21FF" w:rsidRPr="009E76BB">
        <w:rPr>
          <w:rFonts w:ascii="Arial" w:hAnsi="Arial" w:cs="Arial"/>
          <w:bCs/>
          <w:sz w:val="24"/>
          <w:szCs w:val="24"/>
        </w:rPr>
        <w:t>tage of Welsh speakers is higher in Cardiff than the Vale of Glamorgan.</w:t>
      </w:r>
    </w:p>
    <w:p w14:paraId="0C21B2B5" w14:textId="68926140" w:rsidR="00B163EA" w:rsidRDefault="00B163EA" w:rsidP="00DC54F7">
      <w:pPr>
        <w:spacing w:after="0" w:line="240" w:lineRule="auto"/>
        <w:jc w:val="both"/>
        <w:rPr>
          <w:rFonts w:ascii="Arial" w:hAnsi="Arial" w:cs="Arial"/>
          <w:bCs/>
        </w:rPr>
      </w:pPr>
    </w:p>
    <w:p w14:paraId="19983142" w14:textId="3C098CAA" w:rsidR="00B163EA" w:rsidRPr="009E76BB" w:rsidRDefault="006A0188" w:rsidP="00DC54F7">
      <w:pPr>
        <w:spacing w:after="0" w:line="240" w:lineRule="auto"/>
        <w:jc w:val="both"/>
        <w:rPr>
          <w:rFonts w:ascii="Arial" w:hAnsi="Arial" w:cs="Arial"/>
          <w:b/>
          <w:sz w:val="24"/>
          <w:szCs w:val="24"/>
        </w:rPr>
      </w:pPr>
      <w:r w:rsidRPr="009E76BB">
        <w:rPr>
          <w:rFonts w:ascii="Arial" w:hAnsi="Arial" w:cs="Arial"/>
          <w:b/>
          <w:sz w:val="24"/>
          <w:szCs w:val="24"/>
        </w:rPr>
        <w:t>Table</w:t>
      </w:r>
      <w:r w:rsidR="003D65CC" w:rsidRPr="009E76BB">
        <w:rPr>
          <w:rFonts w:ascii="Arial" w:hAnsi="Arial" w:cs="Arial"/>
          <w:b/>
          <w:sz w:val="24"/>
          <w:szCs w:val="24"/>
        </w:rPr>
        <w:t xml:space="preserve"> 2.</w:t>
      </w:r>
      <w:r w:rsidR="008B2D50" w:rsidRPr="009E76BB">
        <w:rPr>
          <w:rFonts w:ascii="Arial" w:hAnsi="Arial" w:cs="Arial"/>
          <w:b/>
          <w:sz w:val="24"/>
          <w:szCs w:val="24"/>
        </w:rPr>
        <w:t>4</w:t>
      </w:r>
      <w:r w:rsidR="00277DC1" w:rsidRPr="009E76BB">
        <w:rPr>
          <w:rFonts w:ascii="Arial" w:hAnsi="Arial" w:cs="Arial"/>
          <w:b/>
          <w:sz w:val="24"/>
          <w:szCs w:val="24"/>
        </w:rPr>
        <w:t>:</w:t>
      </w:r>
      <w:r w:rsidR="003C12D8" w:rsidRPr="009E76BB">
        <w:rPr>
          <w:rFonts w:ascii="Arial" w:hAnsi="Arial" w:cs="Arial"/>
          <w:b/>
          <w:sz w:val="24"/>
          <w:szCs w:val="24"/>
        </w:rPr>
        <w:t xml:space="preserve"> </w:t>
      </w:r>
      <w:r w:rsidR="00277DC1" w:rsidRPr="009E76BB">
        <w:rPr>
          <w:rFonts w:ascii="Arial" w:hAnsi="Arial" w:cs="Arial"/>
          <w:b/>
          <w:sz w:val="24"/>
          <w:szCs w:val="24"/>
        </w:rPr>
        <w:t xml:space="preserve">People aged </w:t>
      </w:r>
      <w:r w:rsidR="006C3F8E" w:rsidRPr="009E76BB">
        <w:rPr>
          <w:rFonts w:ascii="Arial" w:hAnsi="Arial" w:cs="Arial"/>
          <w:b/>
          <w:sz w:val="24"/>
          <w:szCs w:val="24"/>
        </w:rPr>
        <w:t>three</w:t>
      </w:r>
      <w:r w:rsidR="00277DC1" w:rsidRPr="009E76BB">
        <w:rPr>
          <w:rFonts w:ascii="Arial" w:hAnsi="Arial" w:cs="Arial"/>
          <w:b/>
          <w:sz w:val="24"/>
          <w:szCs w:val="24"/>
        </w:rPr>
        <w:t xml:space="preserve"> or more who say they can speak Welsh, by </w:t>
      </w:r>
      <w:r w:rsidR="00567F4B" w:rsidRPr="009E76BB">
        <w:rPr>
          <w:rFonts w:ascii="Arial" w:hAnsi="Arial" w:cs="Arial"/>
          <w:b/>
          <w:sz w:val="24"/>
          <w:szCs w:val="24"/>
        </w:rPr>
        <w:t>local</w:t>
      </w:r>
      <w:r w:rsidR="0085792E" w:rsidRPr="009E76BB">
        <w:rPr>
          <w:rFonts w:ascii="Arial" w:hAnsi="Arial" w:cs="Arial"/>
          <w:b/>
          <w:sz w:val="24"/>
          <w:szCs w:val="24"/>
        </w:rPr>
        <w:t xml:space="preserve"> authority, health board and Wales</w:t>
      </w:r>
      <w:r w:rsidR="0064363D" w:rsidRPr="009E76BB">
        <w:rPr>
          <w:rFonts w:ascii="Arial" w:hAnsi="Arial" w:cs="Arial"/>
          <w:b/>
          <w:sz w:val="24"/>
          <w:szCs w:val="24"/>
        </w:rPr>
        <w:t xml:space="preserve">, </w:t>
      </w:r>
      <w:r w:rsidR="00297B94" w:rsidRPr="009E76BB">
        <w:rPr>
          <w:rFonts w:ascii="Arial" w:hAnsi="Arial" w:cs="Arial"/>
          <w:b/>
          <w:sz w:val="24"/>
          <w:szCs w:val="24"/>
        </w:rPr>
        <w:t xml:space="preserve">2019 to </w:t>
      </w:r>
      <w:r w:rsidR="0064363D" w:rsidRPr="009E76BB">
        <w:rPr>
          <w:rFonts w:ascii="Arial" w:hAnsi="Arial" w:cs="Arial"/>
          <w:b/>
          <w:sz w:val="24"/>
          <w:szCs w:val="24"/>
        </w:rPr>
        <w:t>2020</w:t>
      </w:r>
    </w:p>
    <w:tbl>
      <w:tblPr>
        <w:tblW w:w="9264" w:type="dxa"/>
        <w:tblBorders>
          <w:top w:val="single" w:sz="4" w:space="0" w:color="auto"/>
          <w:left w:val="single" w:sz="4" w:space="0" w:color="auto"/>
          <w:bottom w:val="single" w:sz="4" w:space="0" w:color="auto"/>
          <w:right w:val="single" w:sz="4" w:space="0" w:color="auto"/>
          <w:insideH w:val="single" w:sz="4" w:space="0" w:color="C9C9C9"/>
        </w:tblBorders>
        <w:tblLook w:val="04A0" w:firstRow="1" w:lastRow="0" w:firstColumn="1" w:lastColumn="0" w:noHBand="0" w:noVBand="1"/>
      </w:tblPr>
      <w:tblGrid>
        <w:gridCol w:w="2324"/>
        <w:gridCol w:w="2313"/>
        <w:gridCol w:w="2313"/>
        <w:gridCol w:w="2314"/>
      </w:tblGrid>
      <w:tr w:rsidR="00B163EA" w:rsidRPr="00B163EA" w14:paraId="662D2D3B" w14:textId="77777777" w:rsidTr="00A332F2">
        <w:trPr>
          <w:trHeight w:val="1148"/>
        </w:trPr>
        <w:tc>
          <w:tcPr>
            <w:tcW w:w="2324" w:type="dxa"/>
            <w:shd w:val="clear" w:color="000000" w:fill="8497B0"/>
            <w:noWrap/>
            <w:vAlign w:val="bottom"/>
            <w:hideMark/>
          </w:tcPr>
          <w:p w14:paraId="4125B2C6" w14:textId="77777777" w:rsidR="00B163EA" w:rsidRPr="00B163EA" w:rsidRDefault="00B163EA" w:rsidP="00DC54F7">
            <w:pPr>
              <w:spacing w:after="0" w:line="240" w:lineRule="auto"/>
              <w:jc w:val="both"/>
              <w:rPr>
                <w:rFonts w:ascii="Calibri" w:eastAsia="Times New Roman" w:hAnsi="Calibri" w:cs="Calibri"/>
                <w:b/>
                <w:bCs/>
                <w:color w:val="FFFFFF"/>
                <w:lang w:eastAsia="en-GB"/>
              </w:rPr>
            </w:pPr>
            <w:r w:rsidRPr="00B163EA">
              <w:rPr>
                <w:rFonts w:ascii="Calibri" w:eastAsia="Times New Roman" w:hAnsi="Calibri" w:cs="Calibri"/>
                <w:b/>
                <w:bCs/>
                <w:color w:val="FFFFFF"/>
                <w:lang w:eastAsia="en-GB"/>
              </w:rPr>
              <w:t>Area</w:t>
            </w:r>
          </w:p>
        </w:tc>
        <w:tc>
          <w:tcPr>
            <w:tcW w:w="2313" w:type="dxa"/>
            <w:shd w:val="clear" w:color="000000" w:fill="8497B0"/>
            <w:vAlign w:val="bottom"/>
            <w:hideMark/>
          </w:tcPr>
          <w:p w14:paraId="5E483F94" w14:textId="77777777" w:rsidR="00B163EA" w:rsidRPr="00B163EA" w:rsidRDefault="00B163EA" w:rsidP="00DC54F7">
            <w:pPr>
              <w:spacing w:after="0" w:line="240" w:lineRule="auto"/>
              <w:jc w:val="both"/>
              <w:rPr>
                <w:rFonts w:ascii="Calibri" w:eastAsia="Times New Roman" w:hAnsi="Calibri" w:cs="Calibri"/>
                <w:b/>
                <w:bCs/>
                <w:color w:val="FFFFFF"/>
                <w:lang w:eastAsia="en-GB"/>
              </w:rPr>
            </w:pPr>
            <w:r w:rsidRPr="00B163EA">
              <w:rPr>
                <w:rFonts w:ascii="Calibri" w:eastAsia="Times New Roman" w:hAnsi="Calibri" w:cs="Calibri"/>
                <w:b/>
                <w:bCs/>
                <w:color w:val="FFFFFF"/>
                <w:lang w:eastAsia="en-GB"/>
              </w:rPr>
              <w:t xml:space="preserve">All aged 3 or over </w:t>
            </w:r>
          </w:p>
        </w:tc>
        <w:tc>
          <w:tcPr>
            <w:tcW w:w="2313" w:type="dxa"/>
            <w:shd w:val="clear" w:color="000000" w:fill="8497B0"/>
            <w:vAlign w:val="bottom"/>
            <w:hideMark/>
          </w:tcPr>
          <w:p w14:paraId="14BBEEF4" w14:textId="77777777" w:rsidR="00B163EA" w:rsidRPr="00B163EA" w:rsidRDefault="00B163EA" w:rsidP="00DC54F7">
            <w:pPr>
              <w:spacing w:after="0" w:line="240" w:lineRule="auto"/>
              <w:jc w:val="both"/>
              <w:rPr>
                <w:rFonts w:ascii="Calibri" w:eastAsia="Times New Roman" w:hAnsi="Calibri" w:cs="Calibri"/>
                <w:b/>
                <w:bCs/>
                <w:color w:val="FFFFFF"/>
                <w:lang w:eastAsia="en-GB"/>
              </w:rPr>
            </w:pPr>
            <w:r w:rsidRPr="00B163EA">
              <w:rPr>
                <w:rFonts w:ascii="Calibri" w:eastAsia="Times New Roman" w:hAnsi="Calibri" w:cs="Calibri"/>
                <w:b/>
                <w:bCs/>
                <w:color w:val="FFFFFF"/>
                <w:lang w:eastAsia="en-GB"/>
              </w:rPr>
              <w:t xml:space="preserve">Yes, can speak Welsh </w:t>
            </w:r>
          </w:p>
        </w:tc>
        <w:tc>
          <w:tcPr>
            <w:tcW w:w="2314" w:type="dxa"/>
            <w:shd w:val="clear" w:color="000000" w:fill="8497B0"/>
            <w:vAlign w:val="bottom"/>
            <w:hideMark/>
          </w:tcPr>
          <w:p w14:paraId="08CAC67C" w14:textId="77777777" w:rsidR="00B163EA" w:rsidRPr="00B163EA" w:rsidRDefault="00B163EA" w:rsidP="00DC54F7">
            <w:pPr>
              <w:spacing w:after="0" w:line="240" w:lineRule="auto"/>
              <w:jc w:val="both"/>
              <w:rPr>
                <w:rFonts w:ascii="Calibri" w:eastAsia="Times New Roman" w:hAnsi="Calibri" w:cs="Calibri"/>
                <w:b/>
                <w:bCs/>
                <w:color w:val="FFFFFF"/>
                <w:lang w:eastAsia="en-GB"/>
              </w:rPr>
            </w:pPr>
            <w:r w:rsidRPr="00B163EA">
              <w:rPr>
                <w:rFonts w:ascii="Calibri" w:eastAsia="Times New Roman" w:hAnsi="Calibri" w:cs="Calibri"/>
                <w:b/>
                <w:bCs/>
                <w:color w:val="FFFFFF"/>
                <w:lang w:eastAsia="en-GB"/>
              </w:rPr>
              <w:t xml:space="preserve">Percentage of people who say they can speak Welsh </w:t>
            </w:r>
          </w:p>
        </w:tc>
      </w:tr>
      <w:tr w:rsidR="00B163EA" w:rsidRPr="00B163EA" w14:paraId="1B13D88E" w14:textId="77777777" w:rsidTr="00A332F2">
        <w:trPr>
          <w:trHeight w:val="287"/>
        </w:trPr>
        <w:tc>
          <w:tcPr>
            <w:tcW w:w="2324" w:type="dxa"/>
            <w:shd w:val="clear" w:color="EDEDED" w:fill="EDEDED"/>
            <w:noWrap/>
            <w:vAlign w:val="bottom"/>
            <w:hideMark/>
          </w:tcPr>
          <w:p w14:paraId="6E2D1463" w14:textId="77777777" w:rsidR="00B163EA" w:rsidRPr="00B163EA" w:rsidRDefault="00B163EA" w:rsidP="00DC54F7">
            <w:pPr>
              <w:spacing w:after="0" w:line="240" w:lineRule="auto"/>
              <w:jc w:val="both"/>
              <w:rPr>
                <w:rFonts w:ascii="Calibri" w:eastAsia="Times New Roman" w:hAnsi="Calibri" w:cs="Calibri"/>
                <w:color w:val="000000"/>
                <w:lang w:eastAsia="en-GB"/>
              </w:rPr>
            </w:pPr>
            <w:r w:rsidRPr="00B163EA">
              <w:rPr>
                <w:rFonts w:ascii="Calibri" w:eastAsia="Times New Roman" w:hAnsi="Calibri" w:cs="Calibri"/>
                <w:color w:val="000000"/>
                <w:lang w:eastAsia="en-GB"/>
              </w:rPr>
              <w:t xml:space="preserve">Cardiff </w:t>
            </w:r>
          </w:p>
        </w:tc>
        <w:tc>
          <w:tcPr>
            <w:tcW w:w="2313" w:type="dxa"/>
            <w:shd w:val="clear" w:color="EDEDED" w:fill="EDEDED"/>
            <w:vAlign w:val="bottom"/>
            <w:hideMark/>
          </w:tcPr>
          <w:p w14:paraId="5273FFA4" w14:textId="77777777" w:rsidR="00B163EA" w:rsidRPr="00B163EA" w:rsidRDefault="00B163EA" w:rsidP="00DC54F7">
            <w:pPr>
              <w:spacing w:after="0" w:line="240" w:lineRule="auto"/>
              <w:jc w:val="both"/>
              <w:rPr>
                <w:rFonts w:ascii="Calibri" w:eastAsia="Times New Roman" w:hAnsi="Calibri" w:cs="Calibri"/>
                <w:color w:val="000000"/>
                <w:lang w:eastAsia="en-GB"/>
              </w:rPr>
            </w:pPr>
            <w:r w:rsidRPr="00B163EA">
              <w:rPr>
                <w:rFonts w:ascii="Calibri" w:eastAsia="Times New Roman" w:hAnsi="Calibri" w:cs="Calibri"/>
                <w:color w:val="000000"/>
                <w:lang w:eastAsia="en-GB"/>
              </w:rPr>
              <w:t>357500</w:t>
            </w:r>
          </w:p>
        </w:tc>
        <w:tc>
          <w:tcPr>
            <w:tcW w:w="2313" w:type="dxa"/>
            <w:shd w:val="clear" w:color="EDEDED" w:fill="EDEDED"/>
            <w:vAlign w:val="bottom"/>
            <w:hideMark/>
          </w:tcPr>
          <w:p w14:paraId="47232326" w14:textId="77777777" w:rsidR="00B163EA" w:rsidRPr="00B163EA" w:rsidRDefault="00B163EA" w:rsidP="00DC54F7">
            <w:pPr>
              <w:spacing w:after="0" w:line="240" w:lineRule="auto"/>
              <w:jc w:val="both"/>
              <w:rPr>
                <w:rFonts w:ascii="Calibri" w:eastAsia="Times New Roman" w:hAnsi="Calibri" w:cs="Calibri"/>
                <w:color w:val="000000"/>
                <w:lang w:eastAsia="en-GB"/>
              </w:rPr>
            </w:pPr>
            <w:r w:rsidRPr="00B163EA">
              <w:rPr>
                <w:rFonts w:ascii="Calibri" w:eastAsia="Times New Roman" w:hAnsi="Calibri" w:cs="Calibri"/>
                <w:color w:val="000000"/>
                <w:lang w:eastAsia="en-GB"/>
              </w:rPr>
              <w:t>89700</w:t>
            </w:r>
          </w:p>
        </w:tc>
        <w:tc>
          <w:tcPr>
            <w:tcW w:w="2314" w:type="dxa"/>
            <w:shd w:val="clear" w:color="EDEDED" w:fill="EDEDED"/>
            <w:vAlign w:val="bottom"/>
            <w:hideMark/>
          </w:tcPr>
          <w:p w14:paraId="2A084A37" w14:textId="77777777" w:rsidR="00B163EA" w:rsidRPr="00B163EA" w:rsidRDefault="00B163EA" w:rsidP="00DC54F7">
            <w:pPr>
              <w:spacing w:after="0" w:line="240" w:lineRule="auto"/>
              <w:jc w:val="both"/>
              <w:rPr>
                <w:rFonts w:ascii="Calibri" w:eastAsia="Times New Roman" w:hAnsi="Calibri" w:cs="Calibri"/>
                <w:color w:val="000000"/>
                <w:lang w:eastAsia="en-GB"/>
              </w:rPr>
            </w:pPr>
            <w:r w:rsidRPr="00B163EA">
              <w:rPr>
                <w:rFonts w:ascii="Calibri" w:eastAsia="Times New Roman" w:hAnsi="Calibri" w:cs="Calibri"/>
                <w:color w:val="000000"/>
                <w:lang w:eastAsia="en-GB"/>
              </w:rPr>
              <w:t>25.1</w:t>
            </w:r>
          </w:p>
        </w:tc>
      </w:tr>
      <w:tr w:rsidR="00B163EA" w:rsidRPr="00B163EA" w14:paraId="27B069F6" w14:textId="77777777" w:rsidTr="00A332F2">
        <w:trPr>
          <w:trHeight w:val="287"/>
        </w:trPr>
        <w:tc>
          <w:tcPr>
            <w:tcW w:w="2324" w:type="dxa"/>
            <w:shd w:val="clear" w:color="auto" w:fill="auto"/>
            <w:noWrap/>
            <w:vAlign w:val="bottom"/>
            <w:hideMark/>
          </w:tcPr>
          <w:p w14:paraId="63677861" w14:textId="77777777" w:rsidR="00B163EA" w:rsidRPr="00B163EA" w:rsidRDefault="00B163EA" w:rsidP="00DC54F7">
            <w:pPr>
              <w:spacing w:after="0" w:line="240" w:lineRule="auto"/>
              <w:jc w:val="both"/>
              <w:rPr>
                <w:rFonts w:ascii="Calibri" w:eastAsia="Times New Roman" w:hAnsi="Calibri" w:cs="Calibri"/>
                <w:color w:val="000000"/>
                <w:lang w:eastAsia="en-GB"/>
              </w:rPr>
            </w:pPr>
            <w:r w:rsidRPr="00B163EA">
              <w:rPr>
                <w:rFonts w:ascii="Calibri" w:eastAsia="Times New Roman" w:hAnsi="Calibri" w:cs="Calibri"/>
                <w:color w:val="000000"/>
                <w:lang w:eastAsia="en-GB"/>
              </w:rPr>
              <w:t xml:space="preserve">Vale of Glamorgan </w:t>
            </w:r>
          </w:p>
        </w:tc>
        <w:tc>
          <w:tcPr>
            <w:tcW w:w="2313" w:type="dxa"/>
            <w:shd w:val="clear" w:color="auto" w:fill="auto"/>
            <w:vAlign w:val="bottom"/>
            <w:hideMark/>
          </w:tcPr>
          <w:p w14:paraId="1382154E" w14:textId="77777777" w:rsidR="00B163EA" w:rsidRPr="00B163EA" w:rsidRDefault="00B163EA" w:rsidP="00DC54F7">
            <w:pPr>
              <w:spacing w:after="0" w:line="240" w:lineRule="auto"/>
              <w:jc w:val="both"/>
              <w:rPr>
                <w:rFonts w:ascii="Calibri" w:eastAsia="Times New Roman" w:hAnsi="Calibri" w:cs="Calibri"/>
                <w:color w:val="000000"/>
                <w:lang w:eastAsia="en-GB"/>
              </w:rPr>
            </w:pPr>
            <w:r w:rsidRPr="00B163EA">
              <w:rPr>
                <w:rFonts w:ascii="Calibri" w:eastAsia="Times New Roman" w:hAnsi="Calibri" w:cs="Calibri"/>
                <w:color w:val="000000"/>
                <w:lang w:eastAsia="en-GB"/>
              </w:rPr>
              <w:t>124000</w:t>
            </w:r>
          </w:p>
        </w:tc>
        <w:tc>
          <w:tcPr>
            <w:tcW w:w="2313" w:type="dxa"/>
            <w:shd w:val="clear" w:color="auto" w:fill="auto"/>
            <w:vAlign w:val="bottom"/>
            <w:hideMark/>
          </w:tcPr>
          <w:p w14:paraId="007812AD" w14:textId="77777777" w:rsidR="00B163EA" w:rsidRPr="00B163EA" w:rsidRDefault="00B163EA" w:rsidP="00DC54F7">
            <w:pPr>
              <w:spacing w:after="0" w:line="240" w:lineRule="auto"/>
              <w:jc w:val="both"/>
              <w:rPr>
                <w:rFonts w:ascii="Calibri" w:eastAsia="Times New Roman" w:hAnsi="Calibri" w:cs="Calibri"/>
                <w:color w:val="000000"/>
                <w:lang w:eastAsia="en-GB"/>
              </w:rPr>
            </w:pPr>
            <w:r w:rsidRPr="00B163EA">
              <w:rPr>
                <w:rFonts w:ascii="Calibri" w:eastAsia="Times New Roman" w:hAnsi="Calibri" w:cs="Calibri"/>
                <w:color w:val="000000"/>
                <w:lang w:eastAsia="en-GB"/>
              </w:rPr>
              <w:t>25000</w:t>
            </w:r>
          </w:p>
        </w:tc>
        <w:tc>
          <w:tcPr>
            <w:tcW w:w="2314" w:type="dxa"/>
            <w:shd w:val="clear" w:color="auto" w:fill="auto"/>
            <w:vAlign w:val="bottom"/>
            <w:hideMark/>
          </w:tcPr>
          <w:p w14:paraId="19713950" w14:textId="77777777" w:rsidR="00B163EA" w:rsidRPr="00B163EA" w:rsidRDefault="00B163EA" w:rsidP="00DC54F7">
            <w:pPr>
              <w:spacing w:after="0" w:line="240" w:lineRule="auto"/>
              <w:jc w:val="both"/>
              <w:rPr>
                <w:rFonts w:ascii="Calibri" w:eastAsia="Times New Roman" w:hAnsi="Calibri" w:cs="Calibri"/>
                <w:color w:val="000000"/>
                <w:lang w:eastAsia="en-GB"/>
              </w:rPr>
            </w:pPr>
            <w:r w:rsidRPr="00B163EA">
              <w:rPr>
                <w:rFonts w:ascii="Calibri" w:eastAsia="Times New Roman" w:hAnsi="Calibri" w:cs="Calibri"/>
                <w:color w:val="000000"/>
                <w:lang w:eastAsia="en-GB"/>
              </w:rPr>
              <w:t>20.2</w:t>
            </w:r>
          </w:p>
        </w:tc>
      </w:tr>
      <w:tr w:rsidR="00B163EA" w:rsidRPr="00B163EA" w14:paraId="25E6A784" w14:textId="77777777" w:rsidTr="00A332F2">
        <w:trPr>
          <w:trHeight w:val="287"/>
        </w:trPr>
        <w:tc>
          <w:tcPr>
            <w:tcW w:w="2324" w:type="dxa"/>
            <w:shd w:val="clear" w:color="EDEDED" w:fill="EDEDED"/>
            <w:noWrap/>
            <w:vAlign w:val="bottom"/>
            <w:hideMark/>
          </w:tcPr>
          <w:p w14:paraId="35DDD4AD" w14:textId="77777777" w:rsidR="00B163EA" w:rsidRPr="00B163EA" w:rsidRDefault="00B163EA" w:rsidP="00DC54F7">
            <w:pPr>
              <w:spacing w:after="0" w:line="240" w:lineRule="auto"/>
              <w:jc w:val="both"/>
              <w:rPr>
                <w:rFonts w:ascii="Calibri" w:eastAsia="Times New Roman" w:hAnsi="Calibri" w:cs="Calibri"/>
                <w:color w:val="000000"/>
                <w:lang w:eastAsia="en-GB"/>
              </w:rPr>
            </w:pPr>
            <w:r w:rsidRPr="00B163EA">
              <w:rPr>
                <w:rFonts w:ascii="Calibri" w:eastAsia="Times New Roman" w:hAnsi="Calibri" w:cs="Calibri"/>
                <w:color w:val="000000"/>
                <w:lang w:eastAsia="en-GB"/>
              </w:rPr>
              <w:t>Cardiff and Vale UHB</w:t>
            </w:r>
          </w:p>
        </w:tc>
        <w:tc>
          <w:tcPr>
            <w:tcW w:w="2313" w:type="dxa"/>
            <w:shd w:val="clear" w:color="EDEDED" w:fill="EDEDED"/>
            <w:vAlign w:val="bottom"/>
            <w:hideMark/>
          </w:tcPr>
          <w:p w14:paraId="1A34CBED" w14:textId="77777777" w:rsidR="00B163EA" w:rsidRPr="00B163EA" w:rsidRDefault="00B163EA" w:rsidP="00DC54F7">
            <w:pPr>
              <w:spacing w:after="0" w:line="240" w:lineRule="auto"/>
              <w:jc w:val="both"/>
              <w:rPr>
                <w:rFonts w:ascii="Calibri" w:eastAsia="Times New Roman" w:hAnsi="Calibri" w:cs="Calibri"/>
                <w:color w:val="000000"/>
                <w:lang w:eastAsia="en-GB"/>
              </w:rPr>
            </w:pPr>
            <w:r w:rsidRPr="00B163EA">
              <w:rPr>
                <w:rFonts w:ascii="Calibri" w:eastAsia="Times New Roman" w:hAnsi="Calibri" w:cs="Calibri"/>
                <w:color w:val="000000"/>
                <w:lang w:eastAsia="en-GB"/>
              </w:rPr>
              <w:t>481500</w:t>
            </w:r>
          </w:p>
        </w:tc>
        <w:tc>
          <w:tcPr>
            <w:tcW w:w="2313" w:type="dxa"/>
            <w:shd w:val="clear" w:color="EDEDED" w:fill="EDEDED"/>
            <w:vAlign w:val="bottom"/>
            <w:hideMark/>
          </w:tcPr>
          <w:p w14:paraId="7680016F" w14:textId="77777777" w:rsidR="00B163EA" w:rsidRPr="00B163EA" w:rsidRDefault="00B163EA" w:rsidP="00DC54F7">
            <w:pPr>
              <w:spacing w:after="0" w:line="240" w:lineRule="auto"/>
              <w:jc w:val="both"/>
              <w:rPr>
                <w:rFonts w:ascii="Calibri" w:eastAsia="Times New Roman" w:hAnsi="Calibri" w:cs="Calibri"/>
                <w:color w:val="000000"/>
                <w:lang w:eastAsia="en-GB"/>
              </w:rPr>
            </w:pPr>
            <w:r w:rsidRPr="00B163EA">
              <w:rPr>
                <w:rFonts w:ascii="Calibri" w:eastAsia="Times New Roman" w:hAnsi="Calibri" w:cs="Calibri"/>
                <w:color w:val="000000"/>
                <w:lang w:eastAsia="en-GB"/>
              </w:rPr>
              <w:t>114700</w:t>
            </w:r>
          </w:p>
        </w:tc>
        <w:tc>
          <w:tcPr>
            <w:tcW w:w="2314" w:type="dxa"/>
            <w:shd w:val="clear" w:color="EDEDED" w:fill="EDEDED"/>
            <w:vAlign w:val="bottom"/>
            <w:hideMark/>
          </w:tcPr>
          <w:p w14:paraId="27C40453" w14:textId="77777777" w:rsidR="00B163EA" w:rsidRPr="00B163EA" w:rsidRDefault="00B163EA" w:rsidP="00DC54F7">
            <w:pPr>
              <w:spacing w:after="0" w:line="240" w:lineRule="auto"/>
              <w:jc w:val="both"/>
              <w:rPr>
                <w:rFonts w:ascii="Calibri" w:eastAsia="Times New Roman" w:hAnsi="Calibri" w:cs="Calibri"/>
                <w:color w:val="000000"/>
                <w:lang w:eastAsia="en-GB"/>
              </w:rPr>
            </w:pPr>
            <w:r w:rsidRPr="00B163EA">
              <w:rPr>
                <w:rFonts w:ascii="Calibri" w:eastAsia="Times New Roman" w:hAnsi="Calibri" w:cs="Calibri"/>
                <w:color w:val="000000"/>
                <w:lang w:eastAsia="en-GB"/>
              </w:rPr>
              <w:t>23.8</w:t>
            </w:r>
          </w:p>
        </w:tc>
      </w:tr>
      <w:tr w:rsidR="00B163EA" w:rsidRPr="00B163EA" w14:paraId="304DF94C" w14:textId="77777777" w:rsidTr="00A332F2">
        <w:trPr>
          <w:trHeight w:val="287"/>
        </w:trPr>
        <w:tc>
          <w:tcPr>
            <w:tcW w:w="2324" w:type="dxa"/>
            <w:shd w:val="clear" w:color="auto" w:fill="auto"/>
            <w:noWrap/>
            <w:vAlign w:val="bottom"/>
            <w:hideMark/>
          </w:tcPr>
          <w:p w14:paraId="1CB531BF" w14:textId="77777777" w:rsidR="00B163EA" w:rsidRPr="00B163EA" w:rsidRDefault="00B163EA" w:rsidP="00DC54F7">
            <w:pPr>
              <w:spacing w:after="0" w:line="240" w:lineRule="auto"/>
              <w:jc w:val="both"/>
              <w:rPr>
                <w:rFonts w:ascii="Calibri" w:eastAsia="Times New Roman" w:hAnsi="Calibri" w:cs="Calibri"/>
                <w:color w:val="000000"/>
                <w:lang w:eastAsia="en-GB"/>
              </w:rPr>
            </w:pPr>
            <w:r w:rsidRPr="00B163EA">
              <w:rPr>
                <w:rFonts w:ascii="Calibri" w:eastAsia="Times New Roman" w:hAnsi="Calibri" w:cs="Calibri"/>
                <w:color w:val="000000"/>
                <w:lang w:eastAsia="en-GB"/>
              </w:rPr>
              <w:t xml:space="preserve">Wales </w:t>
            </w:r>
          </w:p>
        </w:tc>
        <w:tc>
          <w:tcPr>
            <w:tcW w:w="2313" w:type="dxa"/>
            <w:shd w:val="clear" w:color="auto" w:fill="auto"/>
            <w:vAlign w:val="bottom"/>
            <w:hideMark/>
          </w:tcPr>
          <w:p w14:paraId="6E42281A" w14:textId="77777777" w:rsidR="00B163EA" w:rsidRPr="00B163EA" w:rsidRDefault="00B163EA" w:rsidP="00DC54F7">
            <w:pPr>
              <w:spacing w:after="0" w:line="240" w:lineRule="auto"/>
              <w:jc w:val="both"/>
              <w:rPr>
                <w:rFonts w:ascii="Calibri" w:eastAsia="Times New Roman" w:hAnsi="Calibri" w:cs="Calibri"/>
                <w:color w:val="000000"/>
                <w:lang w:eastAsia="en-GB"/>
              </w:rPr>
            </w:pPr>
            <w:r w:rsidRPr="00B163EA">
              <w:rPr>
                <w:rFonts w:ascii="Calibri" w:eastAsia="Times New Roman" w:hAnsi="Calibri" w:cs="Calibri"/>
                <w:color w:val="000000"/>
                <w:lang w:eastAsia="en-GB"/>
              </w:rPr>
              <w:t>3030700</w:t>
            </w:r>
          </w:p>
        </w:tc>
        <w:tc>
          <w:tcPr>
            <w:tcW w:w="2313" w:type="dxa"/>
            <w:shd w:val="clear" w:color="auto" w:fill="auto"/>
            <w:vAlign w:val="bottom"/>
            <w:hideMark/>
          </w:tcPr>
          <w:p w14:paraId="7B0964BA" w14:textId="77777777" w:rsidR="00B163EA" w:rsidRPr="00B163EA" w:rsidRDefault="00B163EA" w:rsidP="00DC54F7">
            <w:pPr>
              <w:spacing w:after="0" w:line="240" w:lineRule="auto"/>
              <w:jc w:val="both"/>
              <w:rPr>
                <w:rFonts w:ascii="Calibri" w:eastAsia="Times New Roman" w:hAnsi="Calibri" w:cs="Calibri"/>
                <w:color w:val="000000"/>
                <w:lang w:eastAsia="en-GB"/>
              </w:rPr>
            </w:pPr>
            <w:r w:rsidRPr="00B163EA">
              <w:rPr>
                <w:rFonts w:ascii="Calibri" w:eastAsia="Times New Roman" w:hAnsi="Calibri" w:cs="Calibri"/>
                <w:color w:val="000000"/>
                <w:lang w:eastAsia="en-GB"/>
              </w:rPr>
              <w:t>861700</w:t>
            </w:r>
          </w:p>
        </w:tc>
        <w:tc>
          <w:tcPr>
            <w:tcW w:w="2314" w:type="dxa"/>
            <w:shd w:val="clear" w:color="auto" w:fill="auto"/>
            <w:vAlign w:val="bottom"/>
            <w:hideMark/>
          </w:tcPr>
          <w:p w14:paraId="326A3A5E" w14:textId="77777777" w:rsidR="00B163EA" w:rsidRPr="00B163EA" w:rsidRDefault="00B163EA" w:rsidP="00DC54F7">
            <w:pPr>
              <w:spacing w:after="0" w:line="240" w:lineRule="auto"/>
              <w:jc w:val="both"/>
              <w:rPr>
                <w:rFonts w:ascii="Calibri" w:eastAsia="Times New Roman" w:hAnsi="Calibri" w:cs="Calibri"/>
                <w:color w:val="000000"/>
                <w:lang w:eastAsia="en-GB"/>
              </w:rPr>
            </w:pPr>
            <w:r w:rsidRPr="00B163EA">
              <w:rPr>
                <w:rFonts w:ascii="Calibri" w:eastAsia="Times New Roman" w:hAnsi="Calibri" w:cs="Calibri"/>
                <w:color w:val="000000"/>
                <w:lang w:eastAsia="en-GB"/>
              </w:rPr>
              <w:t>28.5</w:t>
            </w:r>
          </w:p>
        </w:tc>
      </w:tr>
    </w:tbl>
    <w:p w14:paraId="5DFC8175" w14:textId="28AA1092" w:rsidR="00383B99" w:rsidRPr="009E76BB" w:rsidRDefault="00383B99" w:rsidP="00DC54F7">
      <w:pPr>
        <w:spacing w:after="0"/>
        <w:jc w:val="both"/>
        <w:rPr>
          <w:rFonts w:ascii="Arial" w:eastAsia="Times New Roman" w:hAnsi="Arial" w:cs="Arial"/>
          <w:color w:val="000000"/>
          <w:sz w:val="20"/>
          <w:szCs w:val="20"/>
          <w:lang w:eastAsia="en-GB"/>
        </w:rPr>
      </w:pPr>
      <w:r w:rsidRPr="009E76BB">
        <w:rPr>
          <w:rFonts w:ascii="Arial" w:hAnsi="Arial" w:cs="Arial"/>
          <w:sz w:val="20"/>
          <w:szCs w:val="20"/>
        </w:rPr>
        <w:t>Source: Stats Wales – Annual Population Survey</w:t>
      </w:r>
      <w:r w:rsidR="005F5FDF" w:rsidRPr="009E76BB">
        <w:rPr>
          <w:rFonts w:ascii="Arial" w:hAnsi="Arial" w:cs="Arial"/>
          <w:sz w:val="20"/>
          <w:szCs w:val="20"/>
        </w:rPr>
        <w:t xml:space="preserve"> (year ending 30 June 2020)</w:t>
      </w:r>
    </w:p>
    <w:p w14:paraId="1CEDE191" w14:textId="69AE4791" w:rsidR="00D3388A" w:rsidRPr="00A10850" w:rsidRDefault="00383B99" w:rsidP="00DC54F7">
      <w:pPr>
        <w:spacing w:after="0" w:line="240" w:lineRule="auto"/>
        <w:jc w:val="both"/>
        <w:rPr>
          <w:rFonts w:ascii="Arial" w:hAnsi="Arial" w:cs="Arial"/>
        </w:rPr>
      </w:pPr>
      <w:r>
        <w:rPr>
          <w:rFonts w:ascii="Arial" w:hAnsi="Arial" w:cs="Arial"/>
        </w:rPr>
        <w:t xml:space="preserve"> </w:t>
      </w:r>
    </w:p>
    <w:p w14:paraId="47F95528" w14:textId="77777777" w:rsidR="0002432A" w:rsidRPr="00A10850" w:rsidRDefault="0002432A" w:rsidP="00DC54F7">
      <w:pPr>
        <w:spacing w:after="0" w:line="240" w:lineRule="auto"/>
        <w:jc w:val="both"/>
        <w:rPr>
          <w:rFonts w:ascii="Arial" w:hAnsi="Arial" w:cs="Arial"/>
        </w:rPr>
      </w:pPr>
    </w:p>
    <w:p w14:paraId="4344BF11" w14:textId="0DEACD01" w:rsidR="00DF0E5E" w:rsidRDefault="00D3388A" w:rsidP="00DC54F7">
      <w:pPr>
        <w:spacing w:after="0" w:line="240" w:lineRule="auto"/>
        <w:jc w:val="both"/>
        <w:rPr>
          <w:rFonts w:ascii="Arial" w:hAnsi="Arial" w:cs="Arial"/>
          <w:b/>
          <w:sz w:val="26"/>
          <w:szCs w:val="26"/>
        </w:rPr>
      </w:pPr>
      <w:r w:rsidRPr="00A10850">
        <w:rPr>
          <w:rFonts w:ascii="Arial" w:hAnsi="Arial" w:cs="Arial"/>
          <w:b/>
          <w:sz w:val="26"/>
          <w:szCs w:val="26"/>
        </w:rPr>
        <w:t>2.5</w:t>
      </w:r>
      <w:r w:rsidR="00DF0E5E" w:rsidRPr="00A10850">
        <w:rPr>
          <w:rFonts w:ascii="Arial" w:hAnsi="Arial" w:cs="Arial"/>
          <w:b/>
          <w:sz w:val="26"/>
          <w:szCs w:val="26"/>
        </w:rPr>
        <w:t xml:space="preserve"> Religion</w:t>
      </w:r>
    </w:p>
    <w:p w14:paraId="03C75949" w14:textId="0AE9D770" w:rsidR="00167AB5" w:rsidRDefault="00167AB5" w:rsidP="00DC54F7">
      <w:pPr>
        <w:spacing w:after="0" w:line="240" w:lineRule="auto"/>
        <w:jc w:val="both"/>
        <w:rPr>
          <w:rFonts w:ascii="Arial" w:hAnsi="Arial" w:cs="Arial"/>
          <w:b/>
          <w:sz w:val="26"/>
          <w:szCs w:val="26"/>
        </w:rPr>
      </w:pPr>
    </w:p>
    <w:p w14:paraId="47FAA8C5" w14:textId="3B37C8B3" w:rsidR="003D372C" w:rsidRPr="009E76BB" w:rsidRDefault="003D372C" w:rsidP="00DC54F7">
      <w:pPr>
        <w:spacing w:after="0" w:line="240" w:lineRule="auto"/>
        <w:jc w:val="both"/>
        <w:rPr>
          <w:rFonts w:ascii="Arial" w:hAnsi="Arial" w:cs="Arial"/>
          <w:bCs/>
          <w:sz w:val="24"/>
          <w:szCs w:val="24"/>
        </w:rPr>
      </w:pPr>
      <w:r w:rsidRPr="009E76BB">
        <w:rPr>
          <w:rFonts w:ascii="Arial" w:hAnsi="Arial" w:cs="Arial"/>
          <w:bCs/>
          <w:sz w:val="24"/>
          <w:szCs w:val="24"/>
        </w:rPr>
        <w:t xml:space="preserve">Just over half </w:t>
      </w:r>
      <w:r w:rsidR="00BB158F" w:rsidRPr="009E76BB">
        <w:rPr>
          <w:rFonts w:ascii="Arial" w:hAnsi="Arial" w:cs="Arial"/>
          <w:bCs/>
          <w:sz w:val="24"/>
          <w:szCs w:val="24"/>
        </w:rPr>
        <w:t xml:space="preserve">of the population </w:t>
      </w:r>
      <w:r w:rsidR="00FB0978" w:rsidRPr="009E76BB">
        <w:rPr>
          <w:rFonts w:ascii="Arial" w:hAnsi="Arial" w:cs="Arial"/>
          <w:bCs/>
          <w:sz w:val="24"/>
          <w:szCs w:val="24"/>
        </w:rPr>
        <w:t xml:space="preserve">of </w:t>
      </w:r>
      <w:r w:rsidR="00BB158F" w:rsidRPr="009E76BB">
        <w:rPr>
          <w:rFonts w:ascii="Arial" w:hAnsi="Arial" w:cs="Arial"/>
          <w:bCs/>
          <w:sz w:val="24"/>
          <w:szCs w:val="24"/>
        </w:rPr>
        <w:t xml:space="preserve">Cardiff </w:t>
      </w:r>
      <w:r w:rsidR="00EC4C0B" w:rsidRPr="009E76BB">
        <w:rPr>
          <w:rFonts w:ascii="Arial" w:hAnsi="Arial" w:cs="Arial"/>
          <w:bCs/>
          <w:sz w:val="24"/>
          <w:szCs w:val="24"/>
        </w:rPr>
        <w:t xml:space="preserve">(51.4%) </w:t>
      </w:r>
      <w:r w:rsidR="00BB158F" w:rsidRPr="009E76BB">
        <w:rPr>
          <w:rFonts w:ascii="Arial" w:hAnsi="Arial" w:cs="Arial"/>
          <w:bCs/>
          <w:sz w:val="24"/>
          <w:szCs w:val="24"/>
        </w:rPr>
        <w:t xml:space="preserve">and </w:t>
      </w:r>
      <w:r w:rsidR="00381426" w:rsidRPr="009E76BB">
        <w:rPr>
          <w:rFonts w:ascii="Arial" w:hAnsi="Arial" w:cs="Arial"/>
          <w:bCs/>
          <w:sz w:val="24"/>
          <w:szCs w:val="24"/>
        </w:rPr>
        <w:t xml:space="preserve">the </w:t>
      </w:r>
      <w:r w:rsidR="00BB158F" w:rsidRPr="009E76BB">
        <w:rPr>
          <w:rFonts w:ascii="Arial" w:hAnsi="Arial" w:cs="Arial"/>
          <w:bCs/>
          <w:sz w:val="24"/>
          <w:szCs w:val="24"/>
        </w:rPr>
        <w:t xml:space="preserve">Vale </w:t>
      </w:r>
      <w:r w:rsidR="00381426" w:rsidRPr="009E76BB">
        <w:rPr>
          <w:rFonts w:ascii="Arial" w:hAnsi="Arial" w:cs="Arial"/>
          <w:bCs/>
          <w:sz w:val="24"/>
          <w:szCs w:val="24"/>
        </w:rPr>
        <w:t xml:space="preserve">of Glamorgan (58.1%) </w:t>
      </w:r>
      <w:r w:rsidR="00BB158F" w:rsidRPr="009E76BB">
        <w:rPr>
          <w:rFonts w:ascii="Arial" w:hAnsi="Arial" w:cs="Arial"/>
          <w:bCs/>
          <w:sz w:val="24"/>
          <w:szCs w:val="24"/>
        </w:rPr>
        <w:t>are estimated to be Chris</w:t>
      </w:r>
      <w:r w:rsidR="00DF3DE3" w:rsidRPr="009E76BB">
        <w:rPr>
          <w:rFonts w:ascii="Arial" w:hAnsi="Arial" w:cs="Arial"/>
          <w:bCs/>
          <w:sz w:val="24"/>
          <w:szCs w:val="24"/>
        </w:rPr>
        <w:t>tian</w:t>
      </w:r>
      <w:r w:rsidR="0041784E" w:rsidRPr="009E76BB">
        <w:rPr>
          <w:rFonts w:ascii="Arial" w:hAnsi="Arial" w:cs="Arial"/>
          <w:bCs/>
          <w:sz w:val="24"/>
          <w:szCs w:val="24"/>
        </w:rPr>
        <w:t xml:space="preserve">. </w:t>
      </w:r>
      <w:r w:rsidR="00F1649B" w:rsidRPr="009E76BB">
        <w:rPr>
          <w:rFonts w:ascii="Arial" w:hAnsi="Arial" w:cs="Arial"/>
          <w:bCs/>
          <w:sz w:val="24"/>
          <w:szCs w:val="24"/>
        </w:rPr>
        <w:t xml:space="preserve">Around a </w:t>
      </w:r>
      <w:r w:rsidR="00EE5824" w:rsidRPr="009E76BB">
        <w:rPr>
          <w:rFonts w:ascii="Arial" w:hAnsi="Arial" w:cs="Arial"/>
          <w:bCs/>
          <w:sz w:val="24"/>
          <w:szCs w:val="24"/>
        </w:rPr>
        <w:t xml:space="preserve">third </w:t>
      </w:r>
      <w:r w:rsidR="00953A46" w:rsidRPr="009E76BB">
        <w:rPr>
          <w:rFonts w:ascii="Arial" w:hAnsi="Arial" w:cs="Arial"/>
          <w:bCs/>
          <w:sz w:val="24"/>
          <w:szCs w:val="24"/>
        </w:rPr>
        <w:t xml:space="preserve">have no religion. </w:t>
      </w:r>
      <w:r w:rsidR="00BB58FE" w:rsidRPr="009E76BB">
        <w:rPr>
          <w:rFonts w:ascii="Arial" w:hAnsi="Arial" w:cs="Arial"/>
          <w:bCs/>
          <w:sz w:val="24"/>
          <w:szCs w:val="24"/>
        </w:rPr>
        <w:t xml:space="preserve">Muslim is the second most common religion in </w:t>
      </w:r>
      <w:r w:rsidR="00F1649B" w:rsidRPr="009E76BB">
        <w:rPr>
          <w:rFonts w:ascii="Arial" w:hAnsi="Arial" w:cs="Arial"/>
          <w:bCs/>
          <w:sz w:val="24"/>
          <w:szCs w:val="24"/>
        </w:rPr>
        <w:t xml:space="preserve">both Cardiff </w:t>
      </w:r>
      <w:r w:rsidR="002E4C52" w:rsidRPr="009E76BB">
        <w:rPr>
          <w:rFonts w:ascii="Arial" w:hAnsi="Arial" w:cs="Arial"/>
          <w:bCs/>
          <w:sz w:val="24"/>
          <w:szCs w:val="24"/>
        </w:rPr>
        <w:t xml:space="preserve">(6.8%) and </w:t>
      </w:r>
      <w:r w:rsidR="00BB58FE" w:rsidRPr="009E76BB">
        <w:rPr>
          <w:rFonts w:ascii="Arial" w:hAnsi="Arial" w:cs="Arial"/>
          <w:bCs/>
          <w:sz w:val="24"/>
          <w:szCs w:val="24"/>
        </w:rPr>
        <w:t xml:space="preserve">the </w:t>
      </w:r>
      <w:r w:rsidR="002E4C52" w:rsidRPr="009E76BB">
        <w:rPr>
          <w:rFonts w:ascii="Arial" w:hAnsi="Arial" w:cs="Arial"/>
          <w:bCs/>
          <w:sz w:val="24"/>
          <w:szCs w:val="24"/>
        </w:rPr>
        <w:t xml:space="preserve">Vale of Glamorgan </w:t>
      </w:r>
      <w:r w:rsidR="0017690B" w:rsidRPr="009E76BB">
        <w:rPr>
          <w:rFonts w:ascii="Arial" w:hAnsi="Arial" w:cs="Arial"/>
          <w:bCs/>
          <w:sz w:val="24"/>
          <w:szCs w:val="24"/>
        </w:rPr>
        <w:t>(0.6%)</w:t>
      </w:r>
      <w:r w:rsidR="001E0156" w:rsidRPr="009E76BB">
        <w:rPr>
          <w:rFonts w:ascii="Arial" w:hAnsi="Arial" w:cs="Arial"/>
          <w:bCs/>
          <w:sz w:val="24"/>
          <w:szCs w:val="24"/>
        </w:rPr>
        <w:t>.</w:t>
      </w:r>
    </w:p>
    <w:p w14:paraId="028DE549" w14:textId="1730128E" w:rsidR="00167AB5" w:rsidRPr="009E76BB" w:rsidRDefault="00167AB5" w:rsidP="00DC54F7">
      <w:pPr>
        <w:spacing w:after="0" w:line="240" w:lineRule="auto"/>
        <w:jc w:val="both"/>
        <w:rPr>
          <w:rFonts w:ascii="Arial" w:hAnsi="Arial" w:cs="Arial"/>
          <w:bCs/>
          <w:sz w:val="24"/>
          <w:szCs w:val="24"/>
        </w:rPr>
      </w:pPr>
    </w:p>
    <w:p w14:paraId="682093A1" w14:textId="77777777" w:rsidR="00FA61D2" w:rsidRDefault="00FA61D2" w:rsidP="00DC54F7">
      <w:pPr>
        <w:spacing w:after="0" w:line="240" w:lineRule="auto"/>
        <w:jc w:val="both"/>
        <w:rPr>
          <w:rFonts w:ascii="Arial" w:hAnsi="Arial" w:cs="Arial"/>
          <w:b/>
          <w:bCs/>
        </w:rPr>
      </w:pPr>
    </w:p>
    <w:p w14:paraId="718D705D" w14:textId="77777777" w:rsidR="00FA61D2" w:rsidRDefault="00FA61D2" w:rsidP="00DC54F7">
      <w:pPr>
        <w:spacing w:after="0" w:line="240" w:lineRule="auto"/>
        <w:jc w:val="both"/>
        <w:rPr>
          <w:rFonts w:ascii="Arial" w:hAnsi="Arial" w:cs="Arial"/>
          <w:b/>
          <w:bCs/>
        </w:rPr>
      </w:pPr>
    </w:p>
    <w:p w14:paraId="156F330A" w14:textId="77777777" w:rsidR="00FA61D2" w:rsidRDefault="00FA61D2" w:rsidP="00DC54F7">
      <w:pPr>
        <w:spacing w:after="0" w:line="240" w:lineRule="auto"/>
        <w:jc w:val="both"/>
        <w:rPr>
          <w:rFonts w:ascii="Arial" w:hAnsi="Arial" w:cs="Arial"/>
          <w:b/>
          <w:bCs/>
        </w:rPr>
      </w:pPr>
    </w:p>
    <w:p w14:paraId="0600A77E" w14:textId="77777777" w:rsidR="00FA61D2" w:rsidRDefault="00FA61D2" w:rsidP="00DC54F7">
      <w:pPr>
        <w:spacing w:after="0" w:line="240" w:lineRule="auto"/>
        <w:jc w:val="both"/>
        <w:rPr>
          <w:rFonts w:ascii="Arial" w:hAnsi="Arial" w:cs="Arial"/>
          <w:b/>
          <w:bCs/>
        </w:rPr>
      </w:pPr>
    </w:p>
    <w:p w14:paraId="70DA84A7" w14:textId="77777777" w:rsidR="00FA61D2" w:rsidRDefault="00FA61D2" w:rsidP="00DC54F7">
      <w:pPr>
        <w:spacing w:after="0" w:line="240" w:lineRule="auto"/>
        <w:jc w:val="both"/>
        <w:rPr>
          <w:rFonts w:ascii="Arial" w:hAnsi="Arial" w:cs="Arial"/>
          <w:b/>
          <w:bCs/>
        </w:rPr>
      </w:pPr>
    </w:p>
    <w:p w14:paraId="04B4D3B2" w14:textId="77777777" w:rsidR="00FA61D2" w:rsidRDefault="00FA61D2" w:rsidP="00DC54F7">
      <w:pPr>
        <w:spacing w:after="0" w:line="240" w:lineRule="auto"/>
        <w:jc w:val="both"/>
        <w:rPr>
          <w:rFonts w:ascii="Arial" w:hAnsi="Arial" w:cs="Arial"/>
          <w:b/>
          <w:bCs/>
        </w:rPr>
      </w:pPr>
    </w:p>
    <w:p w14:paraId="6F2FE3F2" w14:textId="77777777" w:rsidR="00FA61D2" w:rsidRDefault="00FA61D2" w:rsidP="00DC54F7">
      <w:pPr>
        <w:spacing w:after="0" w:line="240" w:lineRule="auto"/>
        <w:jc w:val="both"/>
        <w:rPr>
          <w:rFonts w:ascii="Arial" w:hAnsi="Arial" w:cs="Arial"/>
          <w:b/>
          <w:bCs/>
        </w:rPr>
      </w:pPr>
    </w:p>
    <w:p w14:paraId="4F2E2BDB" w14:textId="77777777" w:rsidR="00FA61D2" w:rsidRDefault="00FA61D2" w:rsidP="00DC54F7">
      <w:pPr>
        <w:spacing w:after="0" w:line="240" w:lineRule="auto"/>
        <w:jc w:val="both"/>
        <w:rPr>
          <w:rFonts w:ascii="Arial" w:hAnsi="Arial" w:cs="Arial"/>
          <w:b/>
          <w:bCs/>
        </w:rPr>
      </w:pPr>
    </w:p>
    <w:p w14:paraId="19308FED" w14:textId="77777777" w:rsidR="00FA61D2" w:rsidRDefault="00FA61D2" w:rsidP="00DC54F7">
      <w:pPr>
        <w:spacing w:after="0" w:line="240" w:lineRule="auto"/>
        <w:jc w:val="both"/>
        <w:rPr>
          <w:rFonts w:ascii="Arial" w:hAnsi="Arial" w:cs="Arial"/>
          <w:b/>
          <w:bCs/>
        </w:rPr>
      </w:pPr>
    </w:p>
    <w:p w14:paraId="778C63AA" w14:textId="77777777" w:rsidR="00FA61D2" w:rsidRDefault="00FA61D2" w:rsidP="00DC54F7">
      <w:pPr>
        <w:spacing w:after="0" w:line="240" w:lineRule="auto"/>
        <w:jc w:val="both"/>
        <w:rPr>
          <w:rFonts w:ascii="Arial" w:hAnsi="Arial" w:cs="Arial"/>
          <w:b/>
          <w:bCs/>
        </w:rPr>
      </w:pPr>
    </w:p>
    <w:p w14:paraId="0AD77D1F" w14:textId="07E7C543" w:rsidR="00FA61D2" w:rsidRDefault="00FA61D2">
      <w:pPr>
        <w:rPr>
          <w:rFonts w:ascii="Arial" w:hAnsi="Arial" w:cs="Arial"/>
          <w:b/>
          <w:bCs/>
        </w:rPr>
      </w:pPr>
      <w:r>
        <w:rPr>
          <w:rFonts w:ascii="Arial" w:hAnsi="Arial" w:cs="Arial"/>
          <w:b/>
          <w:bCs/>
        </w:rPr>
        <w:br w:type="page"/>
      </w:r>
    </w:p>
    <w:p w14:paraId="32FDDD26" w14:textId="5FD85F93" w:rsidR="006B3B2D" w:rsidRPr="009E76BB" w:rsidRDefault="008F4406" w:rsidP="00DC54F7">
      <w:pPr>
        <w:spacing w:after="0" w:line="240" w:lineRule="auto"/>
        <w:jc w:val="both"/>
        <w:rPr>
          <w:rFonts w:ascii="Arial" w:hAnsi="Arial" w:cs="Arial"/>
          <w:b/>
          <w:bCs/>
          <w:sz w:val="24"/>
          <w:szCs w:val="24"/>
        </w:rPr>
      </w:pPr>
      <w:r w:rsidRPr="009E76BB">
        <w:rPr>
          <w:rFonts w:ascii="Arial" w:hAnsi="Arial" w:cs="Arial"/>
          <w:b/>
          <w:bCs/>
          <w:sz w:val="24"/>
          <w:szCs w:val="24"/>
        </w:rPr>
        <w:lastRenderedPageBreak/>
        <w:t>Figure</w:t>
      </w:r>
      <w:r w:rsidR="008E38C8" w:rsidRPr="009E76BB">
        <w:rPr>
          <w:rFonts w:ascii="Arial" w:hAnsi="Arial" w:cs="Arial"/>
          <w:b/>
          <w:bCs/>
          <w:sz w:val="24"/>
          <w:szCs w:val="24"/>
        </w:rPr>
        <w:t xml:space="preserve"> </w:t>
      </w:r>
      <w:r w:rsidRPr="009E76BB">
        <w:rPr>
          <w:rFonts w:ascii="Arial" w:hAnsi="Arial" w:cs="Arial"/>
          <w:b/>
          <w:bCs/>
          <w:sz w:val="24"/>
          <w:szCs w:val="24"/>
        </w:rPr>
        <w:t>2.7</w:t>
      </w:r>
      <w:r w:rsidR="008E38C8" w:rsidRPr="009E76BB">
        <w:rPr>
          <w:rFonts w:ascii="Arial" w:hAnsi="Arial" w:cs="Arial"/>
          <w:b/>
          <w:bCs/>
          <w:sz w:val="24"/>
          <w:szCs w:val="24"/>
        </w:rPr>
        <w:t xml:space="preserve">: Religion </w:t>
      </w:r>
      <w:r w:rsidR="00D91F0B" w:rsidRPr="009E76BB">
        <w:rPr>
          <w:rFonts w:ascii="Arial" w:hAnsi="Arial" w:cs="Arial"/>
          <w:b/>
          <w:bCs/>
          <w:sz w:val="24"/>
          <w:szCs w:val="24"/>
        </w:rPr>
        <w:t xml:space="preserve">of Welsh residents by </w:t>
      </w:r>
      <w:r w:rsidR="00567F4B" w:rsidRPr="009E76BB">
        <w:rPr>
          <w:rFonts w:ascii="Arial" w:hAnsi="Arial" w:cs="Arial"/>
          <w:b/>
          <w:bCs/>
          <w:sz w:val="24"/>
          <w:szCs w:val="24"/>
        </w:rPr>
        <w:t>local</w:t>
      </w:r>
      <w:r w:rsidR="00D91F0B" w:rsidRPr="009E76BB">
        <w:rPr>
          <w:rFonts w:ascii="Arial" w:hAnsi="Arial" w:cs="Arial"/>
          <w:b/>
          <w:bCs/>
          <w:sz w:val="24"/>
          <w:szCs w:val="24"/>
        </w:rPr>
        <w:t xml:space="preserve"> </w:t>
      </w:r>
      <w:r w:rsidR="008E38C8" w:rsidRPr="009E76BB">
        <w:rPr>
          <w:rFonts w:ascii="Arial" w:hAnsi="Arial" w:cs="Arial"/>
          <w:b/>
          <w:bCs/>
          <w:sz w:val="24"/>
          <w:szCs w:val="24"/>
        </w:rPr>
        <w:t>authority</w:t>
      </w:r>
      <w:r w:rsidR="00D91F0B" w:rsidRPr="009E76BB">
        <w:rPr>
          <w:rFonts w:ascii="Arial" w:hAnsi="Arial" w:cs="Arial"/>
          <w:b/>
          <w:bCs/>
          <w:sz w:val="24"/>
          <w:szCs w:val="24"/>
        </w:rPr>
        <w:t xml:space="preserve">, health board and Wales, </w:t>
      </w:r>
      <w:r w:rsidR="0047137B" w:rsidRPr="009E76BB">
        <w:rPr>
          <w:rFonts w:ascii="Arial" w:hAnsi="Arial" w:cs="Arial"/>
          <w:b/>
          <w:bCs/>
          <w:sz w:val="24"/>
          <w:szCs w:val="24"/>
        </w:rPr>
        <w:t>2011</w:t>
      </w:r>
    </w:p>
    <w:p w14:paraId="00218EF8" w14:textId="62CAC0DF" w:rsidR="006B3B2D" w:rsidRPr="0032081C" w:rsidRDefault="00675856" w:rsidP="00DC54F7">
      <w:pPr>
        <w:spacing w:after="0" w:line="240" w:lineRule="auto"/>
        <w:jc w:val="both"/>
        <w:rPr>
          <w:b/>
          <w:bCs/>
        </w:rPr>
      </w:pPr>
      <w:r w:rsidRPr="007B5C01">
        <w:rPr>
          <w:noProof/>
          <w:lang w:eastAsia="en-GB"/>
        </w:rPr>
        <w:drawing>
          <wp:inline distT="0" distB="0" distL="0" distR="0" wp14:anchorId="02DFD981" wp14:editId="30A2AF84">
            <wp:extent cx="5502303" cy="2721610"/>
            <wp:effectExtent l="0" t="0" r="3175" b="2540"/>
            <wp:docPr id="10" name="Chart 1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DE49380-DF0A-472A-B434-DE8CEA1378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37E1684" w14:textId="57DD45AA" w:rsidR="008E38C8" w:rsidRPr="009E76BB" w:rsidRDefault="008E38C8" w:rsidP="00DC54F7">
      <w:pPr>
        <w:spacing w:after="0" w:line="240" w:lineRule="auto"/>
        <w:jc w:val="both"/>
        <w:rPr>
          <w:rFonts w:ascii="Arial" w:hAnsi="Arial" w:cs="Arial"/>
          <w:sz w:val="20"/>
          <w:szCs w:val="20"/>
        </w:rPr>
      </w:pPr>
      <w:r w:rsidRPr="009E76BB">
        <w:rPr>
          <w:rFonts w:ascii="Arial" w:hAnsi="Arial" w:cs="Arial"/>
          <w:sz w:val="20"/>
          <w:szCs w:val="20"/>
        </w:rPr>
        <w:t>Source: StatsWales</w:t>
      </w:r>
      <w:r w:rsidR="0085792E" w:rsidRPr="009E76BB">
        <w:rPr>
          <w:rFonts w:ascii="Arial" w:hAnsi="Arial" w:cs="Arial"/>
          <w:sz w:val="20"/>
          <w:szCs w:val="20"/>
        </w:rPr>
        <w:t xml:space="preserve"> </w:t>
      </w:r>
      <w:r w:rsidR="009E76BB">
        <w:rPr>
          <w:rFonts w:ascii="Arial" w:hAnsi="Arial" w:cs="Arial"/>
          <w:sz w:val="20"/>
          <w:szCs w:val="20"/>
        </w:rPr>
        <w:t>–</w:t>
      </w:r>
      <w:r w:rsidR="0085792E" w:rsidRPr="009E76BB">
        <w:rPr>
          <w:rFonts w:ascii="Arial" w:hAnsi="Arial" w:cs="Arial"/>
          <w:sz w:val="20"/>
          <w:szCs w:val="20"/>
        </w:rPr>
        <w:t xml:space="preserve"> </w:t>
      </w:r>
      <w:r w:rsidR="00AA05A2" w:rsidRPr="009E76BB">
        <w:rPr>
          <w:rFonts w:ascii="Arial" w:hAnsi="Arial" w:cs="Arial"/>
          <w:sz w:val="20"/>
          <w:szCs w:val="20"/>
        </w:rPr>
        <w:t>2011 Census: Religion of Welsh residents</w:t>
      </w:r>
    </w:p>
    <w:p w14:paraId="2A447FBE" w14:textId="03FF7A7F" w:rsidR="008E38C8" w:rsidRDefault="008E38C8" w:rsidP="00DC54F7">
      <w:pPr>
        <w:spacing w:after="0" w:line="240" w:lineRule="auto"/>
        <w:jc w:val="both"/>
        <w:rPr>
          <w:rFonts w:ascii="Arial" w:hAnsi="Arial" w:cs="Arial"/>
          <w:bCs/>
          <w:sz w:val="26"/>
          <w:szCs w:val="26"/>
        </w:rPr>
      </w:pPr>
    </w:p>
    <w:p w14:paraId="7B0B0465" w14:textId="77777777" w:rsidR="009E76BB" w:rsidRPr="003D372C" w:rsidRDefault="009E76BB" w:rsidP="00DC54F7">
      <w:pPr>
        <w:spacing w:after="0" w:line="240" w:lineRule="auto"/>
        <w:jc w:val="both"/>
        <w:rPr>
          <w:rFonts w:ascii="Arial" w:hAnsi="Arial" w:cs="Arial"/>
          <w:bCs/>
          <w:sz w:val="26"/>
          <w:szCs w:val="26"/>
        </w:rPr>
      </w:pPr>
    </w:p>
    <w:p w14:paraId="6D24CE4C" w14:textId="0DC71769" w:rsidR="00090CD4" w:rsidRPr="00A10850" w:rsidRDefault="00090CD4" w:rsidP="00DC54F7">
      <w:pPr>
        <w:spacing w:after="0" w:line="240" w:lineRule="auto"/>
        <w:jc w:val="both"/>
        <w:rPr>
          <w:rFonts w:ascii="Arial" w:hAnsi="Arial" w:cs="Arial"/>
          <w:b/>
          <w:sz w:val="26"/>
          <w:szCs w:val="26"/>
        </w:rPr>
      </w:pPr>
      <w:r w:rsidRPr="00A10850">
        <w:rPr>
          <w:rFonts w:ascii="Arial" w:hAnsi="Arial" w:cs="Arial"/>
          <w:b/>
          <w:sz w:val="26"/>
          <w:szCs w:val="26"/>
        </w:rPr>
        <w:t>2.</w:t>
      </w:r>
      <w:r w:rsidR="00D3388A" w:rsidRPr="00A10850">
        <w:rPr>
          <w:rFonts w:ascii="Arial" w:hAnsi="Arial" w:cs="Arial"/>
          <w:b/>
          <w:sz w:val="26"/>
          <w:szCs w:val="26"/>
        </w:rPr>
        <w:t>6</w:t>
      </w:r>
      <w:r w:rsidRPr="00A10850">
        <w:rPr>
          <w:rFonts w:ascii="Arial" w:hAnsi="Arial" w:cs="Arial"/>
          <w:b/>
          <w:sz w:val="26"/>
          <w:szCs w:val="26"/>
        </w:rPr>
        <w:t xml:space="preserve"> Index of multiple deprivation</w:t>
      </w:r>
    </w:p>
    <w:p w14:paraId="380B32D8" w14:textId="77777777" w:rsidR="00090CD4" w:rsidRPr="00A10850" w:rsidRDefault="00090CD4" w:rsidP="00DC54F7">
      <w:pPr>
        <w:spacing w:after="0" w:line="240" w:lineRule="auto"/>
        <w:jc w:val="both"/>
        <w:rPr>
          <w:rFonts w:ascii="Arial" w:hAnsi="Arial" w:cs="Arial"/>
        </w:rPr>
      </w:pPr>
    </w:p>
    <w:p w14:paraId="35317C13" w14:textId="2B05C48F" w:rsidR="00142EC7" w:rsidRPr="009E76BB" w:rsidRDefault="00C71BCE" w:rsidP="00DC54F7">
      <w:pPr>
        <w:spacing w:after="0" w:line="240" w:lineRule="auto"/>
        <w:jc w:val="both"/>
        <w:rPr>
          <w:rFonts w:ascii="Arial" w:hAnsi="Arial" w:cs="Arial"/>
          <w:sz w:val="24"/>
          <w:szCs w:val="24"/>
        </w:rPr>
      </w:pPr>
      <w:r w:rsidRPr="009E76BB">
        <w:rPr>
          <w:rFonts w:ascii="Arial" w:hAnsi="Arial" w:cs="Arial"/>
          <w:sz w:val="24"/>
          <w:szCs w:val="24"/>
        </w:rPr>
        <w:t xml:space="preserve">Deprivation is the lack of access to opportunities and resources which might </w:t>
      </w:r>
      <w:r w:rsidR="00F62ACC" w:rsidRPr="009E76BB">
        <w:rPr>
          <w:rFonts w:ascii="Arial" w:hAnsi="Arial" w:cs="Arial"/>
          <w:sz w:val="24"/>
          <w:szCs w:val="24"/>
        </w:rPr>
        <w:t xml:space="preserve">be </w:t>
      </w:r>
      <w:r w:rsidRPr="009E76BB">
        <w:rPr>
          <w:rFonts w:ascii="Arial" w:hAnsi="Arial" w:cs="Arial"/>
          <w:sz w:val="24"/>
          <w:szCs w:val="24"/>
        </w:rPr>
        <w:t>expect</w:t>
      </w:r>
      <w:r w:rsidR="00F62ACC" w:rsidRPr="009E76BB">
        <w:rPr>
          <w:rFonts w:ascii="Arial" w:hAnsi="Arial" w:cs="Arial"/>
          <w:sz w:val="24"/>
          <w:szCs w:val="24"/>
        </w:rPr>
        <w:t>ed</w:t>
      </w:r>
      <w:r w:rsidRPr="009E76BB">
        <w:rPr>
          <w:rFonts w:ascii="Arial" w:hAnsi="Arial" w:cs="Arial"/>
          <w:sz w:val="24"/>
          <w:szCs w:val="24"/>
        </w:rPr>
        <w:t xml:space="preserve"> in society.</w:t>
      </w:r>
      <w:r w:rsidR="00931177" w:rsidRPr="009E76BB">
        <w:rPr>
          <w:rFonts w:ascii="Arial" w:hAnsi="Arial" w:cs="Arial"/>
          <w:sz w:val="24"/>
          <w:szCs w:val="24"/>
        </w:rPr>
        <w:t xml:space="preserve"> </w:t>
      </w:r>
      <w:r w:rsidR="00461051" w:rsidRPr="009E76BB">
        <w:rPr>
          <w:rFonts w:ascii="Arial" w:hAnsi="Arial" w:cs="Arial"/>
          <w:sz w:val="24"/>
          <w:szCs w:val="24"/>
        </w:rPr>
        <w:t xml:space="preserve">The Welsh Index of Multiple Deprivation (WIMD) </w:t>
      </w:r>
      <w:r w:rsidR="00CE1DFD" w:rsidRPr="009E76BB">
        <w:rPr>
          <w:rFonts w:ascii="Arial" w:hAnsi="Arial" w:cs="Arial"/>
          <w:sz w:val="24"/>
          <w:szCs w:val="24"/>
        </w:rPr>
        <w:t xml:space="preserve">2019, </w:t>
      </w:r>
      <w:r w:rsidR="00461051" w:rsidRPr="009E76BB">
        <w:rPr>
          <w:rFonts w:ascii="Arial" w:hAnsi="Arial" w:cs="Arial"/>
          <w:sz w:val="24"/>
          <w:szCs w:val="24"/>
        </w:rPr>
        <w:t xml:space="preserve">is </w:t>
      </w:r>
      <w:r w:rsidR="00CE1DFD" w:rsidRPr="009E76BB">
        <w:rPr>
          <w:rFonts w:ascii="Arial" w:hAnsi="Arial" w:cs="Arial"/>
          <w:sz w:val="24"/>
          <w:szCs w:val="24"/>
        </w:rPr>
        <w:t xml:space="preserve">the method used in Wales to </w:t>
      </w:r>
      <w:r w:rsidR="00461051" w:rsidRPr="009E76BB">
        <w:rPr>
          <w:rFonts w:ascii="Arial" w:hAnsi="Arial" w:cs="Arial"/>
          <w:sz w:val="24"/>
          <w:szCs w:val="24"/>
        </w:rPr>
        <w:t>identify the small areas of Wales that are the most deprived</w:t>
      </w:r>
      <w:r w:rsidR="003F7A73" w:rsidRPr="009E76BB">
        <w:rPr>
          <w:rFonts w:ascii="Arial" w:hAnsi="Arial" w:cs="Arial"/>
          <w:b/>
          <w:bCs/>
          <w:sz w:val="24"/>
          <w:szCs w:val="24"/>
        </w:rPr>
        <w:t xml:space="preserve">. </w:t>
      </w:r>
      <w:r w:rsidR="007469A9" w:rsidRPr="009E76BB">
        <w:rPr>
          <w:rFonts w:ascii="Arial" w:hAnsi="Arial" w:cs="Arial"/>
          <w:b/>
          <w:bCs/>
          <w:sz w:val="24"/>
          <w:szCs w:val="24"/>
        </w:rPr>
        <w:t xml:space="preserve"> </w:t>
      </w:r>
      <w:r w:rsidR="00292D64" w:rsidRPr="009E76BB">
        <w:rPr>
          <w:rFonts w:ascii="Arial" w:hAnsi="Arial" w:cs="Arial"/>
          <w:sz w:val="24"/>
          <w:szCs w:val="24"/>
        </w:rPr>
        <w:t xml:space="preserve">It </w:t>
      </w:r>
      <w:r w:rsidR="00142EC7" w:rsidRPr="009E76BB">
        <w:rPr>
          <w:rFonts w:ascii="Arial" w:hAnsi="Arial" w:cs="Arial"/>
          <w:sz w:val="24"/>
          <w:szCs w:val="24"/>
        </w:rPr>
        <w:t xml:space="preserve">brings together </w:t>
      </w:r>
      <w:r w:rsidR="00D20A1B" w:rsidRPr="009E76BB">
        <w:rPr>
          <w:rFonts w:ascii="Arial" w:hAnsi="Arial" w:cs="Arial"/>
          <w:sz w:val="24"/>
          <w:szCs w:val="24"/>
        </w:rPr>
        <w:t xml:space="preserve">eight </w:t>
      </w:r>
      <w:r w:rsidR="00DB3621" w:rsidRPr="009E76BB">
        <w:rPr>
          <w:rFonts w:ascii="Arial" w:hAnsi="Arial" w:cs="Arial"/>
          <w:sz w:val="24"/>
          <w:szCs w:val="24"/>
        </w:rPr>
        <w:t>different</w:t>
      </w:r>
      <w:r w:rsidR="00042AF5" w:rsidRPr="009E76BB">
        <w:rPr>
          <w:rFonts w:ascii="Arial" w:hAnsi="Arial" w:cs="Arial"/>
          <w:sz w:val="24"/>
          <w:szCs w:val="24"/>
        </w:rPr>
        <w:t xml:space="preserve"> </w:t>
      </w:r>
      <w:r w:rsidR="00F2321D" w:rsidRPr="009E76BB">
        <w:rPr>
          <w:rFonts w:ascii="Arial" w:hAnsi="Arial" w:cs="Arial"/>
          <w:sz w:val="24"/>
          <w:szCs w:val="24"/>
        </w:rPr>
        <w:t>types of deprivation</w:t>
      </w:r>
      <w:r w:rsidR="00DC316D" w:rsidRPr="009E76BB">
        <w:rPr>
          <w:rFonts w:ascii="Arial" w:hAnsi="Arial" w:cs="Arial"/>
          <w:sz w:val="24"/>
          <w:szCs w:val="24"/>
        </w:rPr>
        <w:t>:</w:t>
      </w:r>
      <w:r w:rsidR="00DB3621" w:rsidRPr="009E76BB">
        <w:rPr>
          <w:rFonts w:ascii="Arial" w:hAnsi="Arial" w:cs="Arial"/>
          <w:sz w:val="24"/>
          <w:szCs w:val="24"/>
        </w:rPr>
        <w:t xml:space="preserve"> </w:t>
      </w:r>
      <w:r w:rsidR="005869A9" w:rsidRPr="009E76BB">
        <w:rPr>
          <w:rFonts w:ascii="Arial" w:hAnsi="Arial" w:cs="Arial"/>
          <w:sz w:val="24"/>
          <w:szCs w:val="24"/>
        </w:rPr>
        <w:t>i</w:t>
      </w:r>
      <w:r w:rsidR="00F2321D" w:rsidRPr="009E76BB">
        <w:rPr>
          <w:rFonts w:ascii="Arial" w:hAnsi="Arial" w:cs="Arial"/>
          <w:sz w:val="24"/>
          <w:szCs w:val="24"/>
        </w:rPr>
        <w:t>ncome</w:t>
      </w:r>
      <w:r w:rsidR="005869A9" w:rsidRPr="009E76BB">
        <w:rPr>
          <w:rFonts w:ascii="Arial" w:hAnsi="Arial" w:cs="Arial"/>
          <w:sz w:val="24"/>
          <w:szCs w:val="24"/>
        </w:rPr>
        <w:t>, e</w:t>
      </w:r>
      <w:r w:rsidR="00F2321D" w:rsidRPr="009E76BB">
        <w:rPr>
          <w:rFonts w:ascii="Arial" w:hAnsi="Arial" w:cs="Arial"/>
          <w:sz w:val="24"/>
          <w:szCs w:val="24"/>
        </w:rPr>
        <w:t>mployment</w:t>
      </w:r>
      <w:r w:rsidR="005869A9" w:rsidRPr="009E76BB">
        <w:rPr>
          <w:rFonts w:ascii="Arial" w:hAnsi="Arial" w:cs="Arial"/>
          <w:sz w:val="24"/>
          <w:szCs w:val="24"/>
        </w:rPr>
        <w:t>, h</w:t>
      </w:r>
      <w:r w:rsidR="00F2321D" w:rsidRPr="009E76BB">
        <w:rPr>
          <w:rFonts w:ascii="Arial" w:hAnsi="Arial" w:cs="Arial"/>
          <w:sz w:val="24"/>
          <w:szCs w:val="24"/>
        </w:rPr>
        <w:t>ealth</w:t>
      </w:r>
      <w:r w:rsidR="005869A9" w:rsidRPr="009E76BB">
        <w:rPr>
          <w:rFonts w:ascii="Arial" w:hAnsi="Arial" w:cs="Arial"/>
          <w:sz w:val="24"/>
          <w:szCs w:val="24"/>
        </w:rPr>
        <w:t>, e</w:t>
      </w:r>
      <w:r w:rsidR="00F2321D" w:rsidRPr="009E76BB">
        <w:rPr>
          <w:rFonts w:ascii="Arial" w:hAnsi="Arial" w:cs="Arial"/>
          <w:sz w:val="24"/>
          <w:szCs w:val="24"/>
        </w:rPr>
        <w:t>ducation</w:t>
      </w:r>
      <w:r w:rsidR="005869A9" w:rsidRPr="009E76BB">
        <w:rPr>
          <w:rFonts w:ascii="Arial" w:hAnsi="Arial" w:cs="Arial"/>
          <w:sz w:val="24"/>
          <w:szCs w:val="24"/>
        </w:rPr>
        <w:t>, a</w:t>
      </w:r>
      <w:r w:rsidR="00F2321D" w:rsidRPr="009E76BB">
        <w:rPr>
          <w:rFonts w:ascii="Arial" w:hAnsi="Arial" w:cs="Arial"/>
          <w:sz w:val="24"/>
          <w:szCs w:val="24"/>
        </w:rPr>
        <w:t xml:space="preserve">ccess to </w:t>
      </w:r>
      <w:r w:rsidR="005140FD" w:rsidRPr="009E76BB">
        <w:rPr>
          <w:rFonts w:ascii="Arial" w:hAnsi="Arial" w:cs="Arial"/>
          <w:sz w:val="24"/>
          <w:szCs w:val="24"/>
        </w:rPr>
        <w:t>s</w:t>
      </w:r>
      <w:r w:rsidR="00F2321D" w:rsidRPr="009E76BB">
        <w:rPr>
          <w:rFonts w:ascii="Arial" w:hAnsi="Arial" w:cs="Arial"/>
          <w:sz w:val="24"/>
          <w:szCs w:val="24"/>
        </w:rPr>
        <w:t>ervices</w:t>
      </w:r>
      <w:r w:rsidR="005869A9" w:rsidRPr="009E76BB">
        <w:rPr>
          <w:rFonts w:ascii="Arial" w:hAnsi="Arial" w:cs="Arial"/>
          <w:sz w:val="24"/>
          <w:szCs w:val="24"/>
        </w:rPr>
        <w:t>, h</w:t>
      </w:r>
      <w:r w:rsidR="00F2321D" w:rsidRPr="009E76BB">
        <w:rPr>
          <w:rFonts w:ascii="Arial" w:hAnsi="Arial" w:cs="Arial"/>
          <w:sz w:val="24"/>
          <w:szCs w:val="24"/>
        </w:rPr>
        <w:t>ousing</w:t>
      </w:r>
      <w:r w:rsidR="005869A9" w:rsidRPr="009E76BB">
        <w:rPr>
          <w:rFonts w:ascii="Arial" w:hAnsi="Arial" w:cs="Arial"/>
          <w:sz w:val="24"/>
          <w:szCs w:val="24"/>
        </w:rPr>
        <w:t>, c</w:t>
      </w:r>
      <w:r w:rsidR="00F2321D" w:rsidRPr="009E76BB">
        <w:rPr>
          <w:rFonts w:ascii="Arial" w:hAnsi="Arial" w:cs="Arial"/>
          <w:sz w:val="24"/>
          <w:szCs w:val="24"/>
        </w:rPr>
        <w:t xml:space="preserve">ommunity </w:t>
      </w:r>
      <w:r w:rsidR="005869A9" w:rsidRPr="009E76BB">
        <w:rPr>
          <w:rFonts w:ascii="Arial" w:hAnsi="Arial" w:cs="Arial"/>
          <w:sz w:val="24"/>
          <w:szCs w:val="24"/>
        </w:rPr>
        <w:t>s</w:t>
      </w:r>
      <w:r w:rsidR="00F2321D" w:rsidRPr="009E76BB">
        <w:rPr>
          <w:rFonts w:ascii="Arial" w:hAnsi="Arial" w:cs="Arial"/>
          <w:sz w:val="24"/>
          <w:szCs w:val="24"/>
        </w:rPr>
        <w:t xml:space="preserve">afety </w:t>
      </w:r>
      <w:r w:rsidR="005869A9" w:rsidRPr="009E76BB">
        <w:rPr>
          <w:rFonts w:ascii="Arial" w:hAnsi="Arial" w:cs="Arial"/>
          <w:sz w:val="24"/>
          <w:szCs w:val="24"/>
        </w:rPr>
        <w:t>and p</w:t>
      </w:r>
      <w:r w:rsidR="00F2321D" w:rsidRPr="009E76BB">
        <w:rPr>
          <w:rFonts w:ascii="Arial" w:hAnsi="Arial" w:cs="Arial"/>
          <w:sz w:val="24"/>
          <w:szCs w:val="24"/>
        </w:rPr>
        <w:t xml:space="preserve">hysical </w:t>
      </w:r>
      <w:r w:rsidR="005869A9" w:rsidRPr="009E76BB">
        <w:rPr>
          <w:rFonts w:ascii="Arial" w:hAnsi="Arial" w:cs="Arial"/>
          <w:sz w:val="24"/>
          <w:szCs w:val="24"/>
        </w:rPr>
        <w:t>e</w:t>
      </w:r>
      <w:r w:rsidR="00F2321D" w:rsidRPr="009E76BB">
        <w:rPr>
          <w:rFonts w:ascii="Arial" w:hAnsi="Arial" w:cs="Arial"/>
          <w:sz w:val="24"/>
          <w:szCs w:val="24"/>
        </w:rPr>
        <w:t>nvironment</w:t>
      </w:r>
      <w:r w:rsidR="00042AF5" w:rsidRPr="009E76BB">
        <w:rPr>
          <w:rFonts w:ascii="Arial" w:hAnsi="Arial" w:cs="Arial"/>
          <w:sz w:val="24"/>
          <w:szCs w:val="24"/>
        </w:rPr>
        <w:t xml:space="preserve">, </w:t>
      </w:r>
      <w:r w:rsidR="002B1AEE" w:rsidRPr="009E76BB">
        <w:rPr>
          <w:rFonts w:ascii="Arial" w:hAnsi="Arial" w:cs="Arial"/>
          <w:sz w:val="24"/>
          <w:szCs w:val="24"/>
        </w:rPr>
        <w:t xml:space="preserve">to produce </w:t>
      </w:r>
      <w:r w:rsidR="003568DA" w:rsidRPr="009E76BB">
        <w:rPr>
          <w:rFonts w:ascii="Arial" w:hAnsi="Arial" w:cs="Arial"/>
          <w:sz w:val="24"/>
          <w:szCs w:val="24"/>
        </w:rPr>
        <w:t xml:space="preserve">a set of </w:t>
      </w:r>
      <w:r w:rsidR="0037158D" w:rsidRPr="009E76BB">
        <w:rPr>
          <w:rFonts w:ascii="Arial" w:hAnsi="Arial" w:cs="Arial"/>
          <w:sz w:val="24"/>
          <w:szCs w:val="24"/>
        </w:rPr>
        <w:t>ind</w:t>
      </w:r>
      <w:r w:rsidR="00BF5D03" w:rsidRPr="009E76BB">
        <w:rPr>
          <w:rFonts w:ascii="Arial" w:hAnsi="Arial" w:cs="Arial"/>
          <w:sz w:val="24"/>
          <w:szCs w:val="24"/>
        </w:rPr>
        <w:t>i</w:t>
      </w:r>
      <w:r w:rsidR="0037158D" w:rsidRPr="009E76BB">
        <w:rPr>
          <w:rFonts w:ascii="Arial" w:hAnsi="Arial" w:cs="Arial"/>
          <w:sz w:val="24"/>
          <w:szCs w:val="24"/>
        </w:rPr>
        <w:t xml:space="preserve">ces and </w:t>
      </w:r>
      <w:r w:rsidR="002B1AEE" w:rsidRPr="009E76BB">
        <w:rPr>
          <w:rFonts w:ascii="Arial" w:hAnsi="Arial" w:cs="Arial"/>
          <w:sz w:val="24"/>
          <w:szCs w:val="24"/>
        </w:rPr>
        <w:t>an overall inde</w:t>
      </w:r>
      <w:r w:rsidR="0037158D" w:rsidRPr="009E76BB">
        <w:rPr>
          <w:rFonts w:ascii="Arial" w:hAnsi="Arial" w:cs="Arial"/>
          <w:sz w:val="24"/>
          <w:szCs w:val="24"/>
        </w:rPr>
        <w:t>x</w:t>
      </w:r>
      <w:r w:rsidR="002B1AEE" w:rsidRPr="009E76BB">
        <w:rPr>
          <w:rFonts w:ascii="Arial" w:hAnsi="Arial" w:cs="Arial"/>
          <w:sz w:val="24"/>
          <w:szCs w:val="24"/>
        </w:rPr>
        <w:t xml:space="preserve">. </w:t>
      </w:r>
      <w:r w:rsidR="00042AF5" w:rsidRPr="009E76BB">
        <w:rPr>
          <w:rFonts w:ascii="Arial" w:hAnsi="Arial" w:cs="Arial"/>
          <w:sz w:val="24"/>
          <w:szCs w:val="24"/>
        </w:rPr>
        <w:t xml:space="preserve"> This </w:t>
      </w:r>
      <w:r w:rsidR="00290834" w:rsidRPr="009E76BB">
        <w:rPr>
          <w:rFonts w:ascii="Arial" w:hAnsi="Arial" w:cs="Arial"/>
          <w:sz w:val="24"/>
          <w:szCs w:val="24"/>
        </w:rPr>
        <w:t xml:space="preserve">allows </w:t>
      </w:r>
      <w:r w:rsidR="003C6A81" w:rsidRPr="009E76BB">
        <w:rPr>
          <w:rFonts w:ascii="Arial" w:hAnsi="Arial" w:cs="Arial"/>
          <w:sz w:val="24"/>
          <w:szCs w:val="24"/>
        </w:rPr>
        <w:t xml:space="preserve">for </w:t>
      </w:r>
      <w:r w:rsidR="00290834" w:rsidRPr="009E76BB">
        <w:rPr>
          <w:rFonts w:ascii="Arial" w:hAnsi="Arial" w:cs="Arial"/>
          <w:sz w:val="24"/>
          <w:szCs w:val="24"/>
        </w:rPr>
        <w:t xml:space="preserve">the ranking of small areas </w:t>
      </w:r>
      <w:r w:rsidR="00280775" w:rsidRPr="009E76BB">
        <w:rPr>
          <w:rFonts w:ascii="Arial" w:hAnsi="Arial" w:cs="Arial"/>
          <w:sz w:val="24"/>
          <w:szCs w:val="24"/>
        </w:rPr>
        <w:t>according to their relative deprivation score</w:t>
      </w:r>
      <w:r w:rsidR="007367BA" w:rsidRPr="009E76BB">
        <w:rPr>
          <w:rFonts w:ascii="Arial" w:hAnsi="Arial" w:cs="Arial"/>
          <w:sz w:val="24"/>
          <w:szCs w:val="24"/>
        </w:rPr>
        <w:t xml:space="preserve"> to determine whether an area is more or less </w:t>
      </w:r>
      <w:r w:rsidR="004E02EC" w:rsidRPr="009E76BB">
        <w:rPr>
          <w:rFonts w:ascii="Arial" w:hAnsi="Arial" w:cs="Arial"/>
          <w:sz w:val="24"/>
          <w:szCs w:val="24"/>
        </w:rPr>
        <w:t xml:space="preserve">deprived </w:t>
      </w:r>
      <w:r w:rsidR="00391EFF" w:rsidRPr="009E76BB">
        <w:rPr>
          <w:rFonts w:ascii="Arial" w:hAnsi="Arial" w:cs="Arial"/>
          <w:sz w:val="24"/>
          <w:szCs w:val="24"/>
        </w:rPr>
        <w:t>compare</w:t>
      </w:r>
      <w:r w:rsidR="00511512" w:rsidRPr="009E76BB">
        <w:rPr>
          <w:rFonts w:ascii="Arial" w:hAnsi="Arial" w:cs="Arial"/>
          <w:sz w:val="24"/>
          <w:szCs w:val="24"/>
        </w:rPr>
        <w:t>d</w:t>
      </w:r>
      <w:r w:rsidR="00391EFF" w:rsidRPr="009E76BB">
        <w:rPr>
          <w:rFonts w:ascii="Arial" w:hAnsi="Arial" w:cs="Arial"/>
          <w:sz w:val="24"/>
          <w:szCs w:val="24"/>
        </w:rPr>
        <w:t xml:space="preserve"> </w:t>
      </w:r>
      <w:r w:rsidR="004E02EC" w:rsidRPr="009E76BB">
        <w:rPr>
          <w:rFonts w:ascii="Arial" w:hAnsi="Arial" w:cs="Arial"/>
          <w:sz w:val="24"/>
          <w:szCs w:val="24"/>
        </w:rPr>
        <w:t>to all other small areas in Wales.  The</w:t>
      </w:r>
      <w:r w:rsidR="003C6A81" w:rsidRPr="009E76BB">
        <w:rPr>
          <w:rFonts w:ascii="Arial" w:hAnsi="Arial" w:cs="Arial"/>
          <w:sz w:val="24"/>
          <w:szCs w:val="24"/>
        </w:rPr>
        <w:t>re are 1,909</w:t>
      </w:r>
      <w:r w:rsidR="004E02EC" w:rsidRPr="009E76BB">
        <w:rPr>
          <w:rFonts w:ascii="Arial" w:hAnsi="Arial" w:cs="Arial"/>
          <w:sz w:val="24"/>
          <w:szCs w:val="24"/>
        </w:rPr>
        <w:t xml:space="preserve"> small area</w:t>
      </w:r>
      <w:r w:rsidR="003C6A81" w:rsidRPr="009E76BB">
        <w:rPr>
          <w:rFonts w:ascii="Arial" w:hAnsi="Arial" w:cs="Arial"/>
          <w:sz w:val="24"/>
          <w:szCs w:val="24"/>
        </w:rPr>
        <w:t xml:space="preserve">s or </w:t>
      </w:r>
      <w:r w:rsidR="00355969" w:rsidRPr="009E76BB">
        <w:rPr>
          <w:rFonts w:ascii="Arial" w:hAnsi="Arial" w:cs="Arial"/>
          <w:sz w:val="24"/>
          <w:szCs w:val="24"/>
        </w:rPr>
        <w:t>L</w:t>
      </w:r>
      <w:r w:rsidR="00311545" w:rsidRPr="009E76BB">
        <w:rPr>
          <w:rFonts w:ascii="Arial" w:hAnsi="Arial" w:cs="Arial"/>
          <w:sz w:val="24"/>
          <w:szCs w:val="24"/>
        </w:rPr>
        <w:t xml:space="preserve">ower </w:t>
      </w:r>
      <w:r w:rsidR="00355969" w:rsidRPr="009E76BB">
        <w:rPr>
          <w:rFonts w:ascii="Arial" w:hAnsi="Arial" w:cs="Arial"/>
          <w:sz w:val="24"/>
          <w:szCs w:val="24"/>
        </w:rPr>
        <w:t>layer S</w:t>
      </w:r>
      <w:r w:rsidR="00311545" w:rsidRPr="009E76BB">
        <w:rPr>
          <w:rFonts w:ascii="Arial" w:hAnsi="Arial" w:cs="Arial"/>
          <w:sz w:val="24"/>
          <w:szCs w:val="24"/>
        </w:rPr>
        <w:t>uper</w:t>
      </w:r>
      <w:r w:rsidR="00355969" w:rsidRPr="009E76BB">
        <w:rPr>
          <w:rFonts w:ascii="Arial" w:hAnsi="Arial" w:cs="Arial"/>
          <w:sz w:val="24"/>
          <w:szCs w:val="24"/>
        </w:rPr>
        <w:t xml:space="preserve"> O</w:t>
      </w:r>
      <w:r w:rsidR="00311545" w:rsidRPr="009E76BB">
        <w:rPr>
          <w:rFonts w:ascii="Arial" w:hAnsi="Arial" w:cs="Arial"/>
          <w:sz w:val="24"/>
          <w:szCs w:val="24"/>
        </w:rPr>
        <w:t xml:space="preserve">utput </w:t>
      </w:r>
      <w:r w:rsidR="00355969" w:rsidRPr="009E76BB">
        <w:rPr>
          <w:rFonts w:ascii="Arial" w:hAnsi="Arial" w:cs="Arial"/>
          <w:sz w:val="24"/>
          <w:szCs w:val="24"/>
        </w:rPr>
        <w:t>A</w:t>
      </w:r>
      <w:r w:rsidR="00311545" w:rsidRPr="009E76BB">
        <w:rPr>
          <w:rFonts w:ascii="Arial" w:hAnsi="Arial" w:cs="Arial"/>
          <w:sz w:val="24"/>
          <w:szCs w:val="24"/>
        </w:rPr>
        <w:t>rea</w:t>
      </w:r>
      <w:r w:rsidR="003C6A81" w:rsidRPr="009E76BB">
        <w:rPr>
          <w:rFonts w:ascii="Arial" w:hAnsi="Arial" w:cs="Arial"/>
          <w:sz w:val="24"/>
          <w:szCs w:val="24"/>
        </w:rPr>
        <w:t>s</w:t>
      </w:r>
      <w:r w:rsidR="00311545" w:rsidRPr="009E76BB">
        <w:rPr>
          <w:rFonts w:ascii="Arial" w:hAnsi="Arial" w:cs="Arial"/>
          <w:sz w:val="24"/>
          <w:szCs w:val="24"/>
        </w:rPr>
        <w:t xml:space="preserve"> (</w:t>
      </w:r>
      <w:r w:rsidR="00B57E1F" w:rsidRPr="009E76BB">
        <w:rPr>
          <w:rFonts w:ascii="Arial" w:hAnsi="Arial" w:cs="Arial"/>
          <w:sz w:val="24"/>
          <w:szCs w:val="24"/>
        </w:rPr>
        <w:t>LSOA</w:t>
      </w:r>
      <w:r w:rsidR="003C6A81" w:rsidRPr="009E76BB">
        <w:rPr>
          <w:rFonts w:ascii="Arial" w:hAnsi="Arial" w:cs="Arial"/>
          <w:sz w:val="24"/>
          <w:szCs w:val="24"/>
        </w:rPr>
        <w:t>s</w:t>
      </w:r>
      <w:r w:rsidR="00311545" w:rsidRPr="009E76BB">
        <w:rPr>
          <w:rFonts w:ascii="Arial" w:hAnsi="Arial" w:cs="Arial"/>
          <w:sz w:val="24"/>
          <w:szCs w:val="24"/>
        </w:rPr>
        <w:t>)</w:t>
      </w:r>
      <w:r w:rsidR="00B57E1F" w:rsidRPr="009E76BB">
        <w:rPr>
          <w:rFonts w:ascii="Arial" w:hAnsi="Arial" w:cs="Arial"/>
          <w:sz w:val="24"/>
          <w:szCs w:val="24"/>
        </w:rPr>
        <w:t xml:space="preserve"> </w:t>
      </w:r>
      <w:r w:rsidR="00EF0923" w:rsidRPr="009E76BB">
        <w:rPr>
          <w:rFonts w:ascii="Arial" w:hAnsi="Arial" w:cs="Arial"/>
          <w:sz w:val="24"/>
          <w:szCs w:val="24"/>
        </w:rPr>
        <w:t>in Wales</w:t>
      </w:r>
      <w:r w:rsidR="003C6A81" w:rsidRPr="009E76BB">
        <w:rPr>
          <w:rFonts w:ascii="Arial" w:hAnsi="Arial" w:cs="Arial"/>
          <w:sz w:val="24"/>
          <w:szCs w:val="24"/>
        </w:rPr>
        <w:t>, which are ran</w:t>
      </w:r>
      <w:r w:rsidR="00B04E7A" w:rsidRPr="009E76BB">
        <w:rPr>
          <w:rFonts w:ascii="Arial" w:hAnsi="Arial" w:cs="Arial"/>
          <w:sz w:val="24"/>
          <w:szCs w:val="24"/>
        </w:rPr>
        <w:t xml:space="preserve">ked form </w:t>
      </w:r>
      <w:r w:rsidR="00D44D51" w:rsidRPr="009E76BB">
        <w:rPr>
          <w:rFonts w:ascii="Arial" w:hAnsi="Arial" w:cs="Arial"/>
          <w:sz w:val="24"/>
          <w:szCs w:val="24"/>
        </w:rPr>
        <w:t>1 (most deprived) to 1,909 (least deprived).</w:t>
      </w:r>
      <w:r w:rsidR="003147EE" w:rsidRPr="009E76BB">
        <w:rPr>
          <w:rFonts w:ascii="Arial" w:hAnsi="Arial" w:cs="Arial"/>
          <w:sz w:val="24"/>
          <w:szCs w:val="24"/>
        </w:rPr>
        <w:t xml:space="preserve"> </w:t>
      </w:r>
      <w:r w:rsidR="00931177" w:rsidRPr="009E76BB">
        <w:rPr>
          <w:rStyle w:val="FootnoteReference"/>
          <w:rFonts w:ascii="Arial" w:hAnsi="Arial" w:cs="Arial"/>
          <w:sz w:val="24"/>
          <w:szCs w:val="24"/>
        </w:rPr>
        <w:footnoteReference w:id="3"/>
      </w:r>
    </w:p>
    <w:p w14:paraId="3CDC81EA" w14:textId="77777777" w:rsidR="006378C8" w:rsidRPr="009E76BB" w:rsidRDefault="006378C8" w:rsidP="00DC54F7">
      <w:pPr>
        <w:spacing w:after="0" w:line="240" w:lineRule="auto"/>
        <w:jc w:val="both"/>
        <w:rPr>
          <w:rFonts w:ascii="Arial" w:hAnsi="Arial" w:cs="Arial"/>
          <w:sz w:val="24"/>
          <w:szCs w:val="24"/>
        </w:rPr>
      </w:pPr>
    </w:p>
    <w:p w14:paraId="50C1D7EB" w14:textId="75441D75" w:rsidR="001F77C8" w:rsidRPr="009E76BB" w:rsidRDefault="00025086" w:rsidP="00DC54F7">
      <w:pPr>
        <w:spacing w:after="0" w:line="240" w:lineRule="auto"/>
        <w:jc w:val="both"/>
        <w:rPr>
          <w:rFonts w:ascii="Arial" w:hAnsi="Arial" w:cs="Arial"/>
          <w:sz w:val="24"/>
          <w:szCs w:val="24"/>
        </w:rPr>
      </w:pPr>
      <w:r w:rsidRPr="009E76BB">
        <w:rPr>
          <w:rFonts w:ascii="Arial" w:hAnsi="Arial" w:cs="Arial"/>
          <w:sz w:val="24"/>
          <w:szCs w:val="24"/>
        </w:rPr>
        <w:t xml:space="preserve">Overall, Cardiff and Vale University Health Board has some of the most deprived and least deprived areas in Wales.  </w:t>
      </w:r>
      <w:r w:rsidR="0064065F" w:rsidRPr="009E76BB">
        <w:rPr>
          <w:rFonts w:ascii="Arial" w:hAnsi="Arial" w:cs="Arial"/>
          <w:sz w:val="24"/>
          <w:szCs w:val="24"/>
        </w:rPr>
        <w:t>293</w:t>
      </w:r>
      <w:r w:rsidR="00CF1D65" w:rsidRPr="009E76BB">
        <w:rPr>
          <w:rFonts w:ascii="Arial" w:hAnsi="Arial" w:cs="Arial"/>
          <w:sz w:val="24"/>
          <w:szCs w:val="24"/>
        </w:rPr>
        <w:t xml:space="preserve"> of the 1,909</w:t>
      </w:r>
      <w:r w:rsidR="006E062B" w:rsidRPr="009E76BB">
        <w:rPr>
          <w:rFonts w:ascii="Arial" w:hAnsi="Arial" w:cs="Arial"/>
          <w:sz w:val="24"/>
          <w:szCs w:val="24"/>
        </w:rPr>
        <w:t xml:space="preserve"> LSOAs</w:t>
      </w:r>
      <w:r w:rsidR="007D7DC0" w:rsidRPr="009E76BB">
        <w:rPr>
          <w:rFonts w:ascii="Arial" w:hAnsi="Arial" w:cs="Arial"/>
          <w:sz w:val="24"/>
          <w:szCs w:val="24"/>
        </w:rPr>
        <w:t xml:space="preserve"> </w:t>
      </w:r>
      <w:r w:rsidR="006E062B" w:rsidRPr="009E76BB">
        <w:rPr>
          <w:rFonts w:ascii="Arial" w:hAnsi="Arial" w:cs="Arial"/>
          <w:sz w:val="24"/>
          <w:szCs w:val="24"/>
        </w:rPr>
        <w:t xml:space="preserve">are </w:t>
      </w:r>
      <w:r w:rsidR="001B29F6" w:rsidRPr="009E76BB">
        <w:rPr>
          <w:rFonts w:ascii="Arial" w:hAnsi="Arial" w:cs="Arial"/>
          <w:sz w:val="24"/>
          <w:szCs w:val="24"/>
        </w:rPr>
        <w:t>in</w:t>
      </w:r>
      <w:r w:rsidR="006E062B" w:rsidRPr="009E76BB">
        <w:rPr>
          <w:rFonts w:ascii="Arial" w:hAnsi="Arial" w:cs="Arial"/>
          <w:sz w:val="24"/>
          <w:szCs w:val="24"/>
        </w:rPr>
        <w:t xml:space="preserve"> </w:t>
      </w:r>
      <w:r w:rsidR="00874C42" w:rsidRPr="009E76BB">
        <w:rPr>
          <w:rFonts w:ascii="Arial" w:hAnsi="Arial" w:cs="Arial"/>
          <w:sz w:val="24"/>
          <w:szCs w:val="24"/>
        </w:rPr>
        <w:t>Cardiff and Vale University Health Board</w:t>
      </w:r>
      <w:r w:rsidR="006A4D2B" w:rsidRPr="009E76BB">
        <w:rPr>
          <w:rFonts w:ascii="Arial" w:hAnsi="Arial" w:cs="Arial"/>
          <w:sz w:val="24"/>
          <w:szCs w:val="24"/>
        </w:rPr>
        <w:t xml:space="preserve">, of which </w:t>
      </w:r>
      <w:r w:rsidR="0064065F" w:rsidRPr="009E76BB">
        <w:rPr>
          <w:rFonts w:ascii="Arial" w:hAnsi="Arial" w:cs="Arial"/>
          <w:sz w:val="24"/>
          <w:szCs w:val="24"/>
        </w:rPr>
        <w:t>14%</w:t>
      </w:r>
      <w:r w:rsidR="00BB49B8" w:rsidRPr="009E76BB">
        <w:rPr>
          <w:rFonts w:ascii="Arial" w:hAnsi="Arial" w:cs="Arial"/>
          <w:sz w:val="24"/>
          <w:szCs w:val="24"/>
        </w:rPr>
        <w:t xml:space="preserve"> </w:t>
      </w:r>
      <w:r w:rsidR="0064065F" w:rsidRPr="009E76BB">
        <w:rPr>
          <w:rFonts w:ascii="Arial" w:hAnsi="Arial" w:cs="Arial"/>
          <w:sz w:val="24"/>
          <w:szCs w:val="24"/>
        </w:rPr>
        <w:t xml:space="preserve">are within the </w:t>
      </w:r>
      <w:r w:rsidR="00B57D78" w:rsidRPr="009E76BB">
        <w:rPr>
          <w:rFonts w:ascii="Arial" w:hAnsi="Arial" w:cs="Arial"/>
          <w:sz w:val="24"/>
          <w:szCs w:val="24"/>
        </w:rPr>
        <w:t>10% most deprived LSOA</w:t>
      </w:r>
      <w:r w:rsidR="00FA28CA" w:rsidRPr="009E76BB">
        <w:rPr>
          <w:rFonts w:ascii="Arial" w:hAnsi="Arial" w:cs="Arial"/>
          <w:sz w:val="24"/>
          <w:szCs w:val="24"/>
        </w:rPr>
        <w:t>s in Wales.</w:t>
      </w:r>
      <w:r w:rsidR="00FC3E74" w:rsidRPr="009E76BB">
        <w:rPr>
          <w:rFonts w:ascii="Arial" w:hAnsi="Arial" w:cs="Arial"/>
          <w:sz w:val="24"/>
          <w:szCs w:val="24"/>
        </w:rPr>
        <w:t xml:space="preserve"> </w:t>
      </w:r>
      <w:r w:rsidR="00504AC2" w:rsidRPr="009E76BB">
        <w:rPr>
          <w:rFonts w:ascii="Arial" w:hAnsi="Arial" w:cs="Arial"/>
          <w:sz w:val="24"/>
          <w:szCs w:val="24"/>
        </w:rPr>
        <w:t>Proportionally, t</w:t>
      </w:r>
      <w:r w:rsidR="00565344" w:rsidRPr="009E76BB">
        <w:rPr>
          <w:rFonts w:ascii="Arial" w:hAnsi="Arial" w:cs="Arial"/>
          <w:sz w:val="24"/>
          <w:szCs w:val="24"/>
        </w:rPr>
        <w:t xml:space="preserve">his is the second highest of all the </w:t>
      </w:r>
      <w:r w:rsidR="00C3617C" w:rsidRPr="009E76BB">
        <w:rPr>
          <w:rFonts w:ascii="Arial" w:hAnsi="Arial" w:cs="Arial"/>
          <w:sz w:val="24"/>
          <w:szCs w:val="24"/>
        </w:rPr>
        <w:t xml:space="preserve">seven </w:t>
      </w:r>
      <w:r w:rsidR="00565344" w:rsidRPr="009E76BB">
        <w:rPr>
          <w:rFonts w:ascii="Arial" w:hAnsi="Arial" w:cs="Arial"/>
          <w:sz w:val="24"/>
          <w:szCs w:val="24"/>
        </w:rPr>
        <w:t>health boards</w:t>
      </w:r>
      <w:r w:rsidR="007E0213" w:rsidRPr="009E76BB">
        <w:rPr>
          <w:rFonts w:ascii="Arial" w:hAnsi="Arial" w:cs="Arial"/>
          <w:sz w:val="24"/>
          <w:szCs w:val="24"/>
        </w:rPr>
        <w:t xml:space="preserve"> in Wales</w:t>
      </w:r>
      <w:r w:rsidR="00565344" w:rsidRPr="009E76BB">
        <w:rPr>
          <w:rFonts w:ascii="Arial" w:hAnsi="Arial" w:cs="Arial"/>
          <w:sz w:val="24"/>
          <w:szCs w:val="24"/>
        </w:rPr>
        <w:t>.</w:t>
      </w:r>
      <w:r w:rsidR="00F70CC1" w:rsidRPr="009E76BB">
        <w:rPr>
          <w:rFonts w:ascii="Arial" w:hAnsi="Arial" w:cs="Arial"/>
          <w:sz w:val="24"/>
          <w:szCs w:val="24"/>
        </w:rPr>
        <w:t xml:space="preserve"> However, </w:t>
      </w:r>
      <w:r w:rsidR="00050F26" w:rsidRPr="009E76BB">
        <w:rPr>
          <w:rFonts w:ascii="Arial" w:hAnsi="Arial" w:cs="Arial"/>
          <w:sz w:val="24"/>
          <w:szCs w:val="24"/>
        </w:rPr>
        <w:t xml:space="preserve">when considering the </w:t>
      </w:r>
      <w:r w:rsidR="0084575A" w:rsidRPr="009E76BB">
        <w:rPr>
          <w:rFonts w:ascii="Arial" w:hAnsi="Arial" w:cs="Arial"/>
          <w:sz w:val="24"/>
          <w:szCs w:val="24"/>
        </w:rPr>
        <w:t xml:space="preserve">20% </w:t>
      </w:r>
      <w:r w:rsidR="00A56520" w:rsidRPr="009E76BB">
        <w:rPr>
          <w:rFonts w:ascii="Arial" w:hAnsi="Arial" w:cs="Arial"/>
          <w:sz w:val="24"/>
          <w:szCs w:val="24"/>
        </w:rPr>
        <w:t xml:space="preserve">most deprived </w:t>
      </w:r>
      <w:r w:rsidR="00DD738A" w:rsidRPr="009E76BB">
        <w:rPr>
          <w:rFonts w:ascii="Arial" w:hAnsi="Arial" w:cs="Arial"/>
          <w:sz w:val="24"/>
          <w:szCs w:val="24"/>
        </w:rPr>
        <w:t xml:space="preserve">LSOAs in Wales, Cardiff and Vale University Health Board </w:t>
      </w:r>
      <w:r w:rsidR="008B05D4" w:rsidRPr="009E76BB">
        <w:rPr>
          <w:rFonts w:ascii="Arial" w:hAnsi="Arial" w:cs="Arial"/>
          <w:sz w:val="24"/>
          <w:szCs w:val="24"/>
        </w:rPr>
        <w:t>drop</w:t>
      </w:r>
      <w:r w:rsidR="00346B30" w:rsidRPr="009E76BB">
        <w:rPr>
          <w:rFonts w:ascii="Arial" w:hAnsi="Arial" w:cs="Arial"/>
          <w:sz w:val="24"/>
          <w:szCs w:val="24"/>
        </w:rPr>
        <w:t xml:space="preserve">s </w:t>
      </w:r>
      <w:r w:rsidR="002B4205" w:rsidRPr="009E76BB">
        <w:rPr>
          <w:rFonts w:ascii="Arial" w:hAnsi="Arial" w:cs="Arial"/>
          <w:sz w:val="24"/>
          <w:szCs w:val="24"/>
        </w:rPr>
        <w:t>down to fourth</w:t>
      </w:r>
      <w:r w:rsidR="00861F7B" w:rsidRPr="009E76BB">
        <w:rPr>
          <w:rFonts w:ascii="Arial" w:hAnsi="Arial" w:cs="Arial"/>
          <w:sz w:val="24"/>
          <w:szCs w:val="24"/>
        </w:rPr>
        <w:t xml:space="preserve"> highest</w:t>
      </w:r>
      <w:r w:rsidR="00757F51" w:rsidRPr="009E76BB">
        <w:rPr>
          <w:rFonts w:ascii="Arial" w:hAnsi="Arial" w:cs="Arial"/>
          <w:sz w:val="24"/>
          <w:szCs w:val="24"/>
        </w:rPr>
        <w:t xml:space="preserve"> with 24%</w:t>
      </w:r>
      <w:r w:rsidR="004334CF" w:rsidRPr="009E76BB">
        <w:rPr>
          <w:rFonts w:ascii="Arial" w:hAnsi="Arial" w:cs="Arial"/>
          <w:sz w:val="24"/>
          <w:szCs w:val="24"/>
        </w:rPr>
        <w:t xml:space="preserve">. </w:t>
      </w:r>
      <w:r w:rsidR="00BA5D32" w:rsidRPr="009E76BB">
        <w:rPr>
          <w:rFonts w:ascii="Arial" w:hAnsi="Arial" w:cs="Arial"/>
          <w:sz w:val="24"/>
          <w:szCs w:val="24"/>
        </w:rPr>
        <w:t>133 (45</w:t>
      </w:r>
      <w:r w:rsidR="00050F26" w:rsidRPr="009E76BB">
        <w:rPr>
          <w:rFonts w:ascii="Arial" w:hAnsi="Arial" w:cs="Arial"/>
          <w:sz w:val="24"/>
          <w:szCs w:val="24"/>
        </w:rPr>
        <w:t xml:space="preserve">%) of all LSOAs in </w:t>
      </w:r>
      <w:r w:rsidR="00AC015A" w:rsidRPr="009E76BB">
        <w:rPr>
          <w:rFonts w:ascii="Arial" w:hAnsi="Arial" w:cs="Arial"/>
          <w:sz w:val="24"/>
          <w:szCs w:val="24"/>
        </w:rPr>
        <w:t>Cardiff and Vale University Health Board</w:t>
      </w:r>
      <w:r w:rsidR="00050F26" w:rsidRPr="009E76BB">
        <w:rPr>
          <w:rFonts w:ascii="Arial" w:hAnsi="Arial" w:cs="Arial"/>
          <w:sz w:val="24"/>
          <w:szCs w:val="24"/>
        </w:rPr>
        <w:t xml:space="preserve"> lie within the 50% most deprived LSOAs in Wales</w:t>
      </w:r>
      <w:r w:rsidR="004334CF" w:rsidRPr="009E76BB">
        <w:rPr>
          <w:rFonts w:ascii="Arial" w:hAnsi="Arial" w:cs="Arial"/>
          <w:sz w:val="24"/>
          <w:szCs w:val="24"/>
        </w:rPr>
        <w:t xml:space="preserve">, </w:t>
      </w:r>
      <w:r w:rsidR="00C4602B" w:rsidRPr="009E76BB">
        <w:rPr>
          <w:rFonts w:ascii="Arial" w:hAnsi="Arial" w:cs="Arial"/>
          <w:sz w:val="24"/>
          <w:szCs w:val="24"/>
        </w:rPr>
        <w:t xml:space="preserve">fifth </w:t>
      </w:r>
      <w:r w:rsidR="00942D0B" w:rsidRPr="009E76BB">
        <w:rPr>
          <w:rFonts w:ascii="Arial" w:hAnsi="Arial" w:cs="Arial"/>
          <w:sz w:val="24"/>
          <w:szCs w:val="24"/>
        </w:rPr>
        <w:t xml:space="preserve">highest </w:t>
      </w:r>
      <w:r w:rsidR="00C4602B" w:rsidRPr="009E76BB">
        <w:rPr>
          <w:rFonts w:ascii="Arial" w:hAnsi="Arial" w:cs="Arial"/>
          <w:sz w:val="24"/>
          <w:szCs w:val="24"/>
        </w:rPr>
        <w:t>compared to other health boards in Wales.</w:t>
      </w:r>
    </w:p>
    <w:p w14:paraId="0BD29BB9" w14:textId="77777777" w:rsidR="001F77C8" w:rsidRPr="009E76BB" w:rsidRDefault="001F77C8" w:rsidP="00DC54F7">
      <w:pPr>
        <w:spacing w:after="0" w:line="240" w:lineRule="auto"/>
        <w:jc w:val="both"/>
        <w:rPr>
          <w:rFonts w:ascii="Arial" w:hAnsi="Arial" w:cs="Arial"/>
          <w:sz w:val="24"/>
          <w:szCs w:val="24"/>
        </w:rPr>
      </w:pPr>
    </w:p>
    <w:p w14:paraId="5AA9AF35" w14:textId="0435249E" w:rsidR="00A16FBD" w:rsidRPr="009E76BB" w:rsidRDefault="00E03396" w:rsidP="00DC54F7">
      <w:pPr>
        <w:spacing w:after="0" w:line="240" w:lineRule="auto"/>
        <w:jc w:val="both"/>
        <w:rPr>
          <w:rFonts w:ascii="Arial" w:hAnsi="Arial" w:cs="Arial"/>
          <w:sz w:val="24"/>
          <w:szCs w:val="24"/>
        </w:rPr>
      </w:pPr>
      <w:r w:rsidRPr="009E76BB">
        <w:rPr>
          <w:rFonts w:ascii="Arial" w:hAnsi="Arial" w:cs="Arial"/>
          <w:sz w:val="24"/>
          <w:szCs w:val="24"/>
        </w:rPr>
        <w:t>Within</w:t>
      </w:r>
      <w:r w:rsidR="000B6711" w:rsidRPr="009E76BB">
        <w:rPr>
          <w:rFonts w:ascii="Arial" w:hAnsi="Arial" w:cs="Arial"/>
          <w:sz w:val="24"/>
          <w:szCs w:val="24"/>
        </w:rPr>
        <w:t xml:space="preserve"> the health board area, </w:t>
      </w:r>
      <w:r w:rsidR="000F51BD" w:rsidRPr="009E76BB">
        <w:rPr>
          <w:rFonts w:ascii="Arial" w:hAnsi="Arial" w:cs="Arial"/>
          <w:sz w:val="24"/>
          <w:szCs w:val="24"/>
        </w:rPr>
        <w:t>C</w:t>
      </w:r>
      <w:r w:rsidR="005B2AA4" w:rsidRPr="009E76BB">
        <w:rPr>
          <w:rFonts w:ascii="Arial" w:hAnsi="Arial" w:cs="Arial"/>
          <w:sz w:val="24"/>
          <w:szCs w:val="24"/>
        </w:rPr>
        <w:t xml:space="preserve">ardiff </w:t>
      </w:r>
      <w:r w:rsidR="00BD200E" w:rsidRPr="009E76BB">
        <w:rPr>
          <w:rFonts w:ascii="Arial" w:hAnsi="Arial" w:cs="Arial"/>
          <w:sz w:val="24"/>
          <w:szCs w:val="24"/>
        </w:rPr>
        <w:t xml:space="preserve">(18%) </w:t>
      </w:r>
      <w:r w:rsidR="005B2AA4" w:rsidRPr="009E76BB">
        <w:rPr>
          <w:rFonts w:ascii="Arial" w:hAnsi="Arial" w:cs="Arial"/>
          <w:sz w:val="24"/>
          <w:szCs w:val="24"/>
        </w:rPr>
        <w:t>has the highest percentage of LSOAs in the most deprived</w:t>
      </w:r>
      <w:r w:rsidR="00BD200E" w:rsidRPr="009E76BB">
        <w:rPr>
          <w:rFonts w:ascii="Arial" w:hAnsi="Arial" w:cs="Arial"/>
          <w:sz w:val="24"/>
          <w:szCs w:val="24"/>
        </w:rPr>
        <w:t xml:space="preserve"> 10%</w:t>
      </w:r>
      <w:r w:rsidR="00B127A2" w:rsidRPr="009E76BB">
        <w:rPr>
          <w:rFonts w:ascii="Arial" w:hAnsi="Arial" w:cs="Arial"/>
          <w:sz w:val="24"/>
          <w:szCs w:val="24"/>
        </w:rPr>
        <w:t xml:space="preserve"> </w:t>
      </w:r>
      <w:r w:rsidR="00BD200E" w:rsidRPr="009E76BB">
        <w:rPr>
          <w:rFonts w:ascii="Arial" w:hAnsi="Arial" w:cs="Arial"/>
          <w:sz w:val="24"/>
          <w:szCs w:val="24"/>
        </w:rPr>
        <w:t>of LSOAs in Wales</w:t>
      </w:r>
      <w:r w:rsidR="00314ABD" w:rsidRPr="009E76BB">
        <w:rPr>
          <w:rFonts w:ascii="Arial" w:hAnsi="Arial" w:cs="Arial"/>
          <w:sz w:val="24"/>
          <w:szCs w:val="24"/>
        </w:rPr>
        <w:t xml:space="preserve">, </w:t>
      </w:r>
      <w:r w:rsidR="000E7A83" w:rsidRPr="009E76BB">
        <w:rPr>
          <w:rFonts w:ascii="Arial" w:hAnsi="Arial" w:cs="Arial"/>
          <w:sz w:val="24"/>
          <w:szCs w:val="24"/>
        </w:rPr>
        <w:t>the</w:t>
      </w:r>
      <w:r w:rsidR="00AB4ACA" w:rsidRPr="009E76BB">
        <w:rPr>
          <w:rFonts w:ascii="Arial" w:hAnsi="Arial" w:cs="Arial"/>
          <w:sz w:val="24"/>
          <w:szCs w:val="24"/>
        </w:rPr>
        <w:t xml:space="preserve"> </w:t>
      </w:r>
      <w:r w:rsidR="00DF0724" w:rsidRPr="009E76BB">
        <w:rPr>
          <w:rFonts w:ascii="Arial" w:hAnsi="Arial" w:cs="Arial"/>
          <w:sz w:val="24"/>
          <w:szCs w:val="24"/>
        </w:rPr>
        <w:t xml:space="preserve">fourth highest of all the </w:t>
      </w:r>
      <w:r w:rsidR="001A513F" w:rsidRPr="009E76BB">
        <w:rPr>
          <w:rFonts w:ascii="Arial" w:hAnsi="Arial" w:cs="Arial"/>
          <w:sz w:val="24"/>
          <w:szCs w:val="24"/>
        </w:rPr>
        <w:t xml:space="preserve">22 </w:t>
      </w:r>
      <w:r w:rsidR="00567F4B" w:rsidRPr="009E76BB">
        <w:rPr>
          <w:rFonts w:ascii="Arial" w:hAnsi="Arial" w:cs="Arial"/>
          <w:sz w:val="24"/>
          <w:szCs w:val="24"/>
        </w:rPr>
        <w:t>local</w:t>
      </w:r>
      <w:r w:rsidR="00DF0724" w:rsidRPr="009E76BB">
        <w:rPr>
          <w:rFonts w:ascii="Arial" w:hAnsi="Arial" w:cs="Arial"/>
          <w:sz w:val="24"/>
          <w:szCs w:val="24"/>
        </w:rPr>
        <w:t xml:space="preserve"> authorities</w:t>
      </w:r>
      <w:r w:rsidR="00C22285" w:rsidRPr="009E76BB">
        <w:rPr>
          <w:rFonts w:ascii="Arial" w:hAnsi="Arial" w:cs="Arial"/>
          <w:sz w:val="24"/>
          <w:szCs w:val="24"/>
        </w:rPr>
        <w:t>. 49%</w:t>
      </w:r>
      <w:r w:rsidR="00B86ABC" w:rsidRPr="009E76BB">
        <w:rPr>
          <w:rFonts w:ascii="Arial" w:hAnsi="Arial" w:cs="Arial"/>
          <w:sz w:val="24"/>
          <w:szCs w:val="24"/>
        </w:rPr>
        <w:t xml:space="preserve"> of all LSOAs</w:t>
      </w:r>
      <w:r w:rsidR="00CB15FB" w:rsidRPr="009E76BB">
        <w:rPr>
          <w:rFonts w:ascii="Arial" w:hAnsi="Arial" w:cs="Arial"/>
          <w:sz w:val="24"/>
          <w:szCs w:val="24"/>
        </w:rPr>
        <w:t xml:space="preserve"> in Cardiff</w:t>
      </w:r>
      <w:r w:rsidR="00B86ABC" w:rsidRPr="009E76BB">
        <w:rPr>
          <w:rFonts w:ascii="Arial" w:hAnsi="Arial" w:cs="Arial"/>
          <w:sz w:val="24"/>
          <w:szCs w:val="24"/>
        </w:rPr>
        <w:t xml:space="preserve"> lie within the 50% most deprived LSOAs in Wales</w:t>
      </w:r>
      <w:r w:rsidR="000C5336" w:rsidRPr="009E76BB">
        <w:rPr>
          <w:rFonts w:ascii="Arial" w:hAnsi="Arial" w:cs="Arial"/>
          <w:sz w:val="24"/>
          <w:szCs w:val="24"/>
        </w:rPr>
        <w:t>, the tenth highest of all local authorities</w:t>
      </w:r>
      <w:r w:rsidR="003B417A" w:rsidRPr="009E76BB">
        <w:rPr>
          <w:rFonts w:ascii="Arial" w:hAnsi="Arial" w:cs="Arial"/>
          <w:sz w:val="24"/>
          <w:szCs w:val="24"/>
        </w:rPr>
        <w:t>.</w:t>
      </w:r>
      <w:r w:rsidR="00B86ABC" w:rsidRPr="009E76BB">
        <w:rPr>
          <w:rFonts w:ascii="Arial" w:hAnsi="Arial" w:cs="Arial"/>
          <w:sz w:val="24"/>
          <w:szCs w:val="24"/>
        </w:rPr>
        <w:t xml:space="preserve"> </w:t>
      </w:r>
      <w:r w:rsidR="000B73F9" w:rsidRPr="009E76BB">
        <w:rPr>
          <w:rFonts w:ascii="Arial" w:hAnsi="Arial" w:cs="Arial"/>
          <w:sz w:val="24"/>
          <w:szCs w:val="24"/>
        </w:rPr>
        <w:t>The m</w:t>
      </w:r>
      <w:r w:rsidR="00E10239" w:rsidRPr="009E76BB">
        <w:rPr>
          <w:rFonts w:ascii="Arial" w:hAnsi="Arial" w:cs="Arial"/>
          <w:sz w:val="24"/>
          <w:szCs w:val="24"/>
        </w:rPr>
        <w:t xml:space="preserve">ost deprived LSOAs in Cardiff </w:t>
      </w:r>
      <w:r w:rsidR="00E10239" w:rsidRPr="009E76BB">
        <w:rPr>
          <w:rFonts w:ascii="Arial" w:hAnsi="Arial" w:cs="Arial"/>
          <w:sz w:val="24"/>
          <w:szCs w:val="24"/>
        </w:rPr>
        <w:lastRenderedPageBreak/>
        <w:t>are Splott 6 (</w:t>
      </w:r>
      <w:r w:rsidR="00B245A6" w:rsidRPr="009E76BB">
        <w:rPr>
          <w:rFonts w:ascii="Arial" w:hAnsi="Arial" w:cs="Arial"/>
          <w:sz w:val="24"/>
          <w:szCs w:val="24"/>
        </w:rPr>
        <w:t xml:space="preserve">rank </w:t>
      </w:r>
      <w:r w:rsidR="00E10239" w:rsidRPr="009E76BB">
        <w:rPr>
          <w:rFonts w:ascii="Arial" w:hAnsi="Arial" w:cs="Arial"/>
          <w:sz w:val="24"/>
          <w:szCs w:val="24"/>
        </w:rPr>
        <w:t>12</w:t>
      </w:r>
      <w:r w:rsidR="00526EF4" w:rsidRPr="009E76BB">
        <w:rPr>
          <w:rFonts w:ascii="Arial" w:hAnsi="Arial" w:cs="Arial"/>
          <w:sz w:val="24"/>
          <w:szCs w:val="24"/>
        </w:rPr>
        <w:t>), T</w:t>
      </w:r>
      <w:r w:rsidR="007B202A" w:rsidRPr="009E76BB">
        <w:rPr>
          <w:rFonts w:ascii="Arial" w:hAnsi="Arial" w:cs="Arial"/>
          <w:sz w:val="24"/>
          <w:szCs w:val="24"/>
        </w:rPr>
        <w:t>r</w:t>
      </w:r>
      <w:r w:rsidR="00526EF4" w:rsidRPr="009E76BB">
        <w:rPr>
          <w:rFonts w:ascii="Arial" w:hAnsi="Arial" w:cs="Arial"/>
          <w:sz w:val="24"/>
          <w:szCs w:val="24"/>
        </w:rPr>
        <w:t>owbridge 8 (</w:t>
      </w:r>
      <w:r w:rsidR="00B245A6" w:rsidRPr="009E76BB">
        <w:rPr>
          <w:rFonts w:ascii="Arial" w:hAnsi="Arial" w:cs="Arial"/>
          <w:sz w:val="24"/>
          <w:szCs w:val="24"/>
        </w:rPr>
        <w:t xml:space="preserve">rank </w:t>
      </w:r>
      <w:r w:rsidR="00526EF4" w:rsidRPr="009E76BB">
        <w:rPr>
          <w:rFonts w:ascii="Arial" w:hAnsi="Arial" w:cs="Arial"/>
          <w:sz w:val="24"/>
          <w:szCs w:val="24"/>
        </w:rPr>
        <w:t>13) and Ely 5 (</w:t>
      </w:r>
      <w:r w:rsidR="00B245A6" w:rsidRPr="009E76BB">
        <w:rPr>
          <w:rFonts w:ascii="Arial" w:hAnsi="Arial" w:cs="Arial"/>
          <w:sz w:val="24"/>
          <w:szCs w:val="24"/>
        </w:rPr>
        <w:t xml:space="preserve">rank </w:t>
      </w:r>
      <w:r w:rsidR="00526EF4" w:rsidRPr="009E76BB">
        <w:rPr>
          <w:rFonts w:ascii="Arial" w:hAnsi="Arial" w:cs="Arial"/>
          <w:sz w:val="24"/>
          <w:szCs w:val="24"/>
        </w:rPr>
        <w:t xml:space="preserve">14). </w:t>
      </w:r>
      <w:r w:rsidR="007B202A" w:rsidRPr="009E76BB">
        <w:rPr>
          <w:rFonts w:ascii="Arial" w:hAnsi="Arial" w:cs="Arial"/>
          <w:sz w:val="24"/>
          <w:szCs w:val="24"/>
        </w:rPr>
        <w:t xml:space="preserve"> The least deprived area in Cardiff </w:t>
      </w:r>
      <w:r w:rsidR="00D83E6D" w:rsidRPr="009E76BB">
        <w:rPr>
          <w:rFonts w:ascii="Arial" w:hAnsi="Arial" w:cs="Arial"/>
          <w:sz w:val="24"/>
          <w:szCs w:val="24"/>
        </w:rPr>
        <w:t>is</w:t>
      </w:r>
      <w:r w:rsidR="007B202A" w:rsidRPr="009E76BB">
        <w:rPr>
          <w:rFonts w:ascii="Arial" w:hAnsi="Arial" w:cs="Arial"/>
          <w:sz w:val="24"/>
          <w:szCs w:val="24"/>
        </w:rPr>
        <w:t xml:space="preserve"> </w:t>
      </w:r>
      <w:r w:rsidR="00713E75" w:rsidRPr="009E76BB">
        <w:rPr>
          <w:rFonts w:ascii="Arial" w:hAnsi="Arial" w:cs="Arial"/>
          <w:sz w:val="24"/>
          <w:szCs w:val="24"/>
        </w:rPr>
        <w:t>Radyr &amp; Morganst</w:t>
      </w:r>
      <w:r w:rsidR="00253DA0" w:rsidRPr="009E76BB">
        <w:rPr>
          <w:rFonts w:ascii="Arial" w:hAnsi="Arial" w:cs="Arial"/>
          <w:sz w:val="24"/>
          <w:szCs w:val="24"/>
        </w:rPr>
        <w:t>own 3 (</w:t>
      </w:r>
      <w:r w:rsidR="00B245A6" w:rsidRPr="009E76BB">
        <w:rPr>
          <w:rFonts w:ascii="Arial" w:hAnsi="Arial" w:cs="Arial"/>
          <w:sz w:val="24"/>
          <w:szCs w:val="24"/>
        </w:rPr>
        <w:t xml:space="preserve">rank </w:t>
      </w:r>
      <w:r w:rsidR="00253DA0" w:rsidRPr="009E76BB">
        <w:rPr>
          <w:rFonts w:ascii="Arial" w:hAnsi="Arial" w:cs="Arial"/>
          <w:sz w:val="24"/>
          <w:szCs w:val="24"/>
        </w:rPr>
        <w:t>1900)</w:t>
      </w:r>
      <w:r w:rsidR="00545052" w:rsidRPr="009E76BB">
        <w:rPr>
          <w:rFonts w:ascii="Arial" w:hAnsi="Arial" w:cs="Arial"/>
          <w:sz w:val="24"/>
          <w:szCs w:val="24"/>
        </w:rPr>
        <w:t xml:space="preserve">. </w:t>
      </w:r>
      <w:r w:rsidR="00253DA0" w:rsidRPr="009E76BB">
        <w:rPr>
          <w:rFonts w:ascii="Arial" w:hAnsi="Arial" w:cs="Arial"/>
          <w:sz w:val="24"/>
          <w:szCs w:val="24"/>
        </w:rPr>
        <w:t xml:space="preserve"> </w:t>
      </w:r>
    </w:p>
    <w:p w14:paraId="0E59DD3B" w14:textId="77777777" w:rsidR="000C00D5" w:rsidRPr="009E76BB" w:rsidRDefault="000C00D5" w:rsidP="00DC54F7">
      <w:pPr>
        <w:spacing w:after="0" w:line="240" w:lineRule="auto"/>
        <w:jc w:val="both"/>
        <w:rPr>
          <w:rFonts w:ascii="Arial" w:hAnsi="Arial" w:cs="Arial"/>
          <w:sz w:val="24"/>
          <w:szCs w:val="24"/>
        </w:rPr>
      </w:pPr>
    </w:p>
    <w:p w14:paraId="0F3044C1" w14:textId="2FE5E338" w:rsidR="00A16FBD" w:rsidRPr="009E76BB" w:rsidRDefault="00891A88" w:rsidP="00DC54F7">
      <w:pPr>
        <w:spacing w:after="0" w:line="240" w:lineRule="auto"/>
        <w:jc w:val="both"/>
        <w:rPr>
          <w:rFonts w:ascii="Arial" w:hAnsi="Arial" w:cs="Arial"/>
          <w:sz w:val="24"/>
          <w:szCs w:val="24"/>
        </w:rPr>
      </w:pPr>
      <w:r w:rsidRPr="009E76BB">
        <w:rPr>
          <w:rFonts w:ascii="Arial" w:hAnsi="Arial" w:cs="Arial"/>
          <w:sz w:val="24"/>
          <w:szCs w:val="24"/>
        </w:rPr>
        <w:t>Overall, t</w:t>
      </w:r>
      <w:r w:rsidR="00A16FBD" w:rsidRPr="009E76BB">
        <w:rPr>
          <w:rFonts w:ascii="Arial" w:hAnsi="Arial" w:cs="Arial"/>
          <w:sz w:val="24"/>
          <w:szCs w:val="24"/>
        </w:rPr>
        <w:t xml:space="preserve">he Vale of Glamorgan </w:t>
      </w:r>
      <w:r w:rsidR="00C60365" w:rsidRPr="009E76BB">
        <w:rPr>
          <w:rFonts w:ascii="Arial" w:hAnsi="Arial" w:cs="Arial"/>
          <w:sz w:val="24"/>
          <w:szCs w:val="24"/>
        </w:rPr>
        <w:t xml:space="preserve">is </w:t>
      </w:r>
      <w:r w:rsidR="00156909" w:rsidRPr="009E76BB">
        <w:rPr>
          <w:rFonts w:ascii="Arial" w:hAnsi="Arial" w:cs="Arial"/>
          <w:sz w:val="24"/>
          <w:szCs w:val="24"/>
        </w:rPr>
        <w:t xml:space="preserve">less </w:t>
      </w:r>
      <w:r w:rsidR="00DA579D" w:rsidRPr="009E76BB">
        <w:rPr>
          <w:rFonts w:ascii="Arial" w:hAnsi="Arial" w:cs="Arial"/>
          <w:sz w:val="24"/>
          <w:szCs w:val="24"/>
        </w:rPr>
        <w:t xml:space="preserve">deprived </w:t>
      </w:r>
      <w:r w:rsidR="00156909" w:rsidRPr="009E76BB">
        <w:rPr>
          <w:rFonts w:ascii="Arial" w:hAnsi="Arial" w:cs="Arial"/>
          <w:sz w:val="24"/>
          <w:szCs w:val="24"/>
        </w:rPr>
        <w:t xml:space="preserve">than </w:t>
      </w:r>
      <w:r w:rsidR="00E526DC" w:rsidRPr="009E76BB">
        <w:rPr>
          <w:rFonts w:ascii="Arial" w:hAnsi="Arial" w:cs="Arial"/>
          <w:sz w:val="24"/>
          <w:szCs w:val="24"/>
        </w:rPr>
        <w:t xml:space="preserve">Cardiff, </w:t>
      </w:r>
      <w:r w:rsidR="00DA579D" w:rsidRPr="009E76BB">
        <w:rPr>
          <w:rFonts w:ascii="Arial" w:hAnsi="Arial" w:cs="Arial"/>
          <w:sz w:val="24"/>
          <w:szCs w:val="24"/>
        </w:rPr>
        <w:t xml:space="preserve">with </w:t>
      </w:r>
      <w:r w:rsidR="0097566D" w:rsidRPr="009E76BB">
        <w:rPr>
          <w:rFonts w:ascii="Arial" w:hAnsi="Arial" w:cs="Arial"/>
          <w:sz w:val="24"/>
          <w:szCs w:val="24"/>
        </w:rPr>
        <w:t xml:space="preserve">only four </w:t>
      </w:r>
      <w:r w:rsidR="00B6532E" w:rsidRPr="009E76BB">
        <w:rPr>
          <w:rFonts w:ascii="Arial" w:hAnsi="Arial" w:cs="Arial"/>
          <w:sz w:val="24"/>
          <w:szCs w:val="24"/>
        </w:rPr>
        <w:t xml:space="preserve">percent of </w:t>
      </w:r>
      <w:r w:rsidR="0097566D" w:rsidRPr="009E76BB">
        <w:rPr>
          <w:rFonts w:ascii="Arial" w:hAnsi="Arial" w:cs="Arial"/>
          <w:sz w:val="24"/>
          <w:szCs w:val="24"/>
        </w:rPr>
        <w:t xml:space="preserve">its </w:t>
      </w:r>
      <w:r w:rsidR="00B6532E" w:rsidRPr="009E76BB">
        <w:rPr>
          <w:rFonts w:ascii="Arial" w:hAnsi="Arial" w:cs="Arial"/>
          <w:sz w:val="24"/>
          <w:szCs w:val="24"/>
        </w:rPr>
        <w:t>LSOAs in the most deprived 10% of LSOAs in Wales</w:t>
      </w:r>
      <w:r w:rsidR="0097566D" w:rsidRPr="009E76BB">
        <w:rPr>
          <w:rFonts w:ascii="Arial" w:hAnsi="Arial" w:cs="Arial"/>
          <w:sz w:val="24"/>
          <w:szCs w:val="24"/>
        </w:rPr>
        <w:t xml:space="preserve">. </w:t>
      </w:r>
      <w:r w:rsidR="00E579AA" w:rsidRPr="009E76BB">
        <w:rPr>
          <w:rFonts w:ascii="Arial" w:hAnsi="Arial" w:cs="Arial"/>
          <w:sz w:val="24"/>
          <w:szCs w:val="24"/>
        </w:rPr>
        <w:t xml:space="preserve">35% of all LSOAs in </w:t>
      </w:r>
      <w:r w:rsidR="007D14EF" w:rsidRPr="009E76BB">
        <w:rPr>
          <w:rFonts w:ascii="Arial" w:hAnsi="Arial" w:cs="Arial"/>
          <w:sz w:val="24"/>
          <w:szCs w:val="24"/>
        </w:rPr>
        <w:t>the Vale of Glamorg</w:t>
      </w:r>
      <w:r w:rsidR="004A209A" w:rsidRPr="009E76BB">
        <w:rPr>
          <w:rFonts w:ascii="Arial" w:hAnsi="Arial" w:cs="Arial"/>
          <w:sz w:val="24"/>
          <w:szCs w:val="24"/>
        </w:rPr>
        <w:t>a</w:t>
      </w:r>
      <w:r w:rsidR="007D14EF" w:rsidRPr="009E76BB">
        <w:rPr>
          <w:rFonts w:ascii="Arial" w:hAnsi="Arial" w:cs="Arial"/>
          <w:sz w:val="24"/>
          <w:szCs w:val="24"/>
        </w:rPr>
        <w:t>n</w:t>
      </w:r>
      <w:r w:rsidR="00E579AA" w:rsidRPr="009E76BB">
        <w:rPr>
          <w:rFonts w:ascii="Arial" w:hAnsi="Arial" w:cs="Arial"/>
          <w:sz w:val="24"/>
          <w:szCs w:val="24"/>
        </w:rPr>
        <w:t xml:space="preserve"> lie within the 50% most deprived LSOAs in Wales</w:t>
      </w:r>
      <w:r w:rsidR="004A209A" w:rsidRPr="009E76BB">
        <w:rPr>
          <w:rFonts w:ascii="Arial" w:hAnsi="Arial" w:cs="Arial"/>
          <w:sz w:val="24"/>
          <w:szCs w:val="24"/>
        </w:rPr>
        <w:t xml:space="preserve">. The </w:t>
      </w:r>
      <w:r w:rsidR="00AD4EEF" w:rsidRPr="009E76BB">
        <w:rPr>
          <w:rFonts w:ascii="Arial" w:hAnsi="Arial" w:cs="Arial"/>
          <w:sz w:val="24"/>
          <w:szCs w:val="24"/>
        </w:rPr>
        <w:t xml:space="preserve">two </w:t>
      </w:r>
      <w:r w:rsidR="00B76878" w:rsidRPr="009E76BB">
        <w:rPr>
          <w:rFonts w:ascii="Arial" w:hAnsi="Arial" w:cs="Arial"/>
          <w:sz w:val="24"/>
          <w:szCs w:val="24"/>
        </w:rPr>
        <w:t>LSOAs</w:t>
      </w:r>
      <w:r w:rsidR="00AD4EEF" w:rsidRPr="009E76BB">
        <w:rPr>
          <w:rFonts w:ascii="Arial" w:hAnsi="Arial" w:cs="Arial"/>
          <w:sz w:val="24"/>
          <w:szCs w:val="24"/>
        </w:rPr>
        <w:t xml:space="preserve"> with the highest deprivation are </w:t>
      </w:r>
      <w:r w:rsidR="003E5C02" w:rsidRPr="009E76BB">
        <w:rPr>
          <w:rFonts w:ascii="Arial" w:hAnsi="Arial" w:cs="Arial"/>
          <w:sz w:val="24"/>
          <w:szCs w:val="24"/>
        </w:rPr>
        <w:t xml:space="preserve">Gibbonsdown 2 (rank 105) and Court 3 (rank 142). </w:t>
      </w:r>
      <w:r w:rsidR="001A3224" w:rsidRPr="009E76BB">
        <w:rPr>
          <w:rFonts w:ascii="Arial" w:hAnsi="Arial" w:cs="Arial"/>
          <w:sz w:val="24"/>
          <w:szCs w:val="24"/>
        </w:rPr>
        <w:t xml:space="preserve"> The least deprive</w:t>
      </w:r>
      <w:r w:rsidR="008E3911" w:rsidRPr="009E76BB">
        <w:rPr>
          <w:rFonts w:ascii="Arial" w:hAnsi="Arial" w:cs="Arial"/>
          <w:sz w:val="24"/>
          <w:szCs w:val="24"/>
        </w:rPr>
        <w:t>d</w:t>
      </w:r>
      <w:r w:rsidR="001A3224" w:rsidRPr="009E76BB">
        <w:rPr>
          <w:rFonts w:ascii="Arial" w:hAnsi="Arial" w:cs="Arial"/>
          <w:sz w:val="24"/>
          <w:szCs w:val="24"/>
        </w:rPr>
        <w:t xml:space="preserve"> area is </w:t>
      </w:r>
      <w:r w:rsidR="006E1053" w:rsidRPr="009E76BB">
        <w:rPr>
          <w:rFonts w:ascii="Arial" w:hAnsi="Arial" w:cs="Arial"/>
          <w:sz w:val="24"/>
          <w:szCs w:val="24"/>
        </w:rPr>
        <w:t>Plymouth</w:t>
      </w:r>
      <w:r w:rsidR="002670DA" w:rsidRPr="009E76BB">
        <w:rPr>
          <w:rFonts w:ascii="Arial" w:hAnsi="Arial" w:cs="Arial"/>
          <w:sz w:val="24"/>
          <w:szCs w:val="24"/>
        </w:rPr>
        <w:t xml:space="preserve"> (</w:t>
      </w:r>
      <w:r w:rsidR="00392765" w:rsidRPr="009E76BB">
        <w:rPr>
          <w:rFonts w:ascii="Arial" w:hAnsi="Arial" w:cs="Arial"/>
          <w:sz w:val="24"/>
          <w:szCs w:val="24"/>
        </w:rPr>
        <w:t>T</w:t>
      </w:r>
      <w:r w:rsidR="002670DA" w:rsidRPr="009E76BB">
        <w:rPr>
          <w:rFonts w:ascii="Arial" w:hAnsi="Arial" w:cs="Arial"/>
          <w:sz w:val="24"/>
          <w:szCs w:val="24"/>
        </w:rPr>
        <w:t>he Vale of Glamorgan)1</w:t>
      </w:r>
      <w:r w:rsidR="006E1053" w:rsidRPr="009E76BB">
        <w:rPr>
          <w:rFonts w:ascii="Arial" w:hAnsi="Arial" w:cs="Arial"/>
          <w:sz w:val="24"/>
          <w:szCs w:val="24"/>
        </w:rPr>
        <w:t xml:space="preserve"> (rank 1899).</w:t>
      </w:r>
    </w:p>
    <w:p w14:paraId="74B520E8" w14:textId="63BC4F21" w:rsidR="00FC2CCC" w:rsidRDefault="00FC2CCC" w:rsidP="00DC54F7">
      <w:pPr>
        <w:spacing w:after="0" w:line="240" w:lineRule="auto"/>
        <w:contextualSpacing/>
        <w:jc w:val="both"/>
        <w:rPr>
          <w:rFonts w:ascii="Arial" w:hAnsi="Arial" w:cs="Arial"/>
          <w:lang w:val="en-US"/>
        </w:rPr>
      </w:pPr>
    </w:p>
    <w:p w14:paraId="672BE98E" w14:textId="4CE4FAA6" w:rsidR="00D11734" w:rsidRPr="009E76BB" w:rsidRDefault="00F508F7" w:rsidP="00DC54F7">
      <w:pPr>
        <w:spacing w:after="0" w:line="240" w:lineRule="auto"/>
        <w:contextualSpacing/>
        <w:jc w:val="both"/>
        <w:rPr>
          <w:rFonts w:ascii="Arial" w:hAnsi="Arial" w:cs="Arial"/>
          <w:b/>
          <w:bCs/>
          <w:sz w:val="24"/>
          <w:szCs w:val="24"/>
        </w:rPr>
      </w:pPr>
      <w:r w:rsidRPr="009E76BB">
        <w:rPr>
          <w:rFonts w:ascii="Arial" w:hAnsi="Arial" w:cs="Arial"/>
          <w:b/>
          <w:bCs/>
          <w:sz w:val="24"/>
          <w:szCs w:val="24"/>
        </w:rPr>
        <w:t>Table</w:t>
      </w:r>
      <w:r w:rsidR="003D65CC" w:rsidRPr="009E76BB">
        <w:rPr>
          <w:rFonts w:ascii="Arial" w:hAnsi="Arial" w:cs="Arial"/>
          <w:b/>
          <w:bCs/>
          <w:sz w:val="24"/>
          <w:szCs w:val="24"/>
        </w:rPr>
        <w:t xml:space="preserve"> 2.</w:t>
      </w:r>
      <w:r w:rsidR="008B2D50" w:rsidRPr="009E76BB">
        <w:rPr>
          <w:rFonts w:ascii="Arial" w:hAnsi="Arial" w:cs="Arial"/>
          <w:b/>
          <w:bCs/>
          <w:sz w:val="24"/>
          <w:szCs w:val="24"/>
        </w:rPr>
        <w:t>5</w:t>
      </w:r>
      <w:r w:rsidR="003D65CC" w:rsidRPr="009E76BB">
        <w:rPr>
          <w:rFonts w:ascii="Arial" w:hAnsi="Arial" w:cs="Arial"/>
          <w:b/>
          <w:bCs/>
          <w:sz w:val="24"/>
          <w:szCs w:val="24"/>
        </w:rPr>
        <w:t>:</w:t>
      </w:r>
      <w:r w:rsidRPr="009E76BB">
        <w:rPr>
          <w:rFonts w:ascii="Arial" w:hAnsi="Arial" w:cs="Arial"/>
          <w:b/>
          <w:bCs/>
          <w:sz w:val="24"/>
          <w:szCs w:val="24"/>
        </w:rPr>
        <w:t xml:space="preserve"> Number and p</w:t>
      </w:r>
      <w:r w:rsidR="00F01B9B" w:rsidRPr="009E76BB">
        <w:rPr>
          <w:rFonts w:ascii="Arial" w:hAnsi="Arial" w:cs="Arial"/>
          <w:b/>
          <w:bCs/>
          <w:sz w:val="24"/>
          <w:szCs w:val="24"/>
        </w:rPr>
        <w:t>ercentage of LSOAs by deprivation fifth</w:t>
      </w:r>
      <w:r w:rsidR="00D9474D" w:rsidRPr="009E76BB">
        <w:rPr>
          <w:rFonts w:ascii="Arial" w:hAnsi="Arial" w:cs="Arial"/>
          <w:b/>
          <w:bCs/>
          <w:sz w:val="24"/>
          <w:szCs w:val="24"/>
        </w:rPr>
        <w:t xml:space="preserve"> by </w:t>
      </w:r>
      <w:r w:rsidR="00567F4B" w:rsidRPr="009E76BB">
        <w:rPr>
          <w:rFonts w:ascii="Arial" w:hAnsi="Arial" w:cs="Arial"/>
          <w:b/>
          <w:bCs/>
          <w:sz w:val="24"/>
          <w:szCs w:val="24"/>
        </w:rPr>
        <w:t>local</w:t>
      </w:r>
      <w:r w:rsidR="00F01B9B" w:rsidRPr="009E76BB">
        <w:rPr>
          <w:rFonts w:ascii="Arial" w:hAnsi="Arial" w:cs="Arial"/>
          <w:b/>
          <w:bCs/>
          <w:sz w:val="24"/>
          <w:szCs w:val="24"/>
        </w:rPr>
        <w:t xml:space="preserve"> authorit</w:t>
      </w:r>
      <w:r w:rsidR="00D9474D" w:rsidRPr="009E76BB">
        <w:rPr>
          <w:rFonts w:ascii="Arial" w:hAnsi="Arial" w:cs="Arial"/>
          <w:b/>
          <w:bCs/>
          <w:sz w:val="24"/>
          <w:szCs w:val="24"/>
        </w:rPr>
        <w:t>y</w:t>
      </w:r>
      <w:r w:rsidR="006A538E" w:rsidRPr="009E76BB">
        <w:rPr>
          <w:rFonts w:ascii="Arial" w:hAnsi="Arial" w:cs="Arial"/>
          <w:b/>
          <w:bCs/>
          <w:sz w:val="24"/>
          <w:szCs w:val="24"/>
        </w:rPr>
        <w:t xml:space="preserve"> and health board</w:t>
      </w:r>
      <w:r w:rsidR="00F01B9B" w:rsidRPr="009E76BB">
        <w:rPr>
          <w:rFonts w:ascii="Arial" w:hAnsi="Arial" w:cs="Arial"/>
          <w:b/>
          <w:bCs/>
          <w:sz w:val="24"/>
          <w:szCs w:val="24"/>
        </w:rPr>
        <w:t>, 2019</w:t>
      </w:r>
    </w:p>
    <w:tbl>
      <w:tblPr>
        <w:tblW w:w="8935" w:type="dxa"/>
        <w:tblBorders>
          <w:top w:val="single" w:sz="4" w:space="0" w:color="auto"/>
          <w:left w:val="single" w:sz="4" w:space="0" w:color="auto"/>
          <w:bottom w:val="single" w:sz="4" w:space="0" w:color="auto"/>
          <w:right w:val="single" w:sz="4" w:space="0" w:color="auto"/>
          <w:insideH w:val="single" w:sz="4" w:space="0" w:color="C9C9C9"/>
        </w:tblBorders>
        <w:tblLook w:val="04A0" w:firstRow="1" w:lastRow="0" w:firstColumn="1" w:lastColumn="0" w:noHBand="0" w:noVBand="1"/>
      </w:tblPr>
      <w:tblGrid>
        <w:gridCol w:w="2127"/>
        <w:gridCol w:w="783"/>
        <w:gridCol w:w="1492"/>
        <w:gridCol w:w="1511"/>
        <w:gridCol w:w="1511"/>
        <w:gridCol w:w="1511"/>
      </w:tblGrid>
      <w:tr w:rsidR="00D11734" w:rsidRPr="00D11734" w14:paraId="223205A6" w14:textId="77777777" w:rsidTr="00472264">
        <w:trPr>
          <w:trHeight w:val="1547"/>
        </w:trPr>
        <w:tc>
          <w:tcPr>
            <w:tcW w:w="2127" w:type="dxa"/>
            <w:shd w:val="clear" w:color="000000" w:fill="8497B0"/>
            <w:noWrap/>
            <w:vAlign w:val="bottom"/>
            <w:hideMark/>
          </w:tcPr>
          <w:p w14:paraId="10DB99E5" w14:textId="77777777" w:rsidR="00D11734" w:rsidRPr="00D11734" w:rsidRDefault="00D11734" w:rsidP="00DC54F7">
            <w:pPr>
              <w:spacing w:after="0" w:line="240" w:lineRule="auto"/>
              <w:jc w:val="both"/>
              <w:rPr>
                <w:rFonts w:ascii="Calibri" w:eastAsia="Times New Roman" w:hAnsi="Calibri" w:cs="Calibri"/>
                <w:b/>
                <w:bCs/>
                <w:color w:val="FFFFFF"/>
                <w:lang w:eastAsia="en-GB"/>
              </w:rPr>
            </w:pPr>
            <w:r w:rsidRPr="00D11734">
              <w:rPr>
                <w:rFonts w:ascii="Calibri" w:eastAsia="Times New Roman" w:hAnsi="Calibri" w:cs="Calibri"/>
                <w:b/>
                <w:bCs/>
                <w:color w:val="FFFFFF"/>
                <w:lang w:eastAsia="en-GB"/>
              </w:rPr>
              <w:t>Area</w:t>
            </w:r>
          </w:p>
        </w:tc>
        <w:tc>
          <w:tcPr>
            <w:tcW w:w="764" w:type="dxa"/>
            <w:shd w:val="clear" w:color="000000" w:fill="8497B0"/>
            <w:vAlign w:val="bottom"/>
            <w:hideMark/>
          </w:tcPr>
          <w:p w14:paraId="53ABA13C" w14:textId="77777777" w:rsidR="00D11734" w:rsidRPr="00D11734" w:rsidRDefault="00D11734" w:rsidP="00DC54F7">
            <w:pPr>
              <w:spacing w:after="0" w:line="240" w:lineRule="auto"/>
              <w:jc w:val="both"/>
              <w:rPr>
                <w:rFonts w:ascii="Calibri" w:eastAsia="Times New Roman" w:hAnsi="Calibri" w:cs="Calibri"/>
                <w:b/>
                <w:bCs/>
                <w:color w:val="FFFFFF"/>
                <w:lang w:eastAsia="en-GB"/>
              </w:rPr>
            </w:pPr>
            <w:r w:rsidRPr="00D11734">
              <w:rPr>
                <w:rFonts w:ascii="Calibri" w:eastAsia="Times New Roman" w:hAnsi="Calibri" w:cs="Calibri"/>
                <w:b/>
                <w:bCs/>
                <w:color w:val="FFFFFF"/>
                <w:lang w:eastAsia="en-GB"/>
              </w:rPr>
              <w:t xml:space="preserve">Total LSOAs </w:t>
            </w:r>
          </w:p>
        </w:tc>
        <w:tc>
          <w:tcPr>
            <w:tcW w:w="1511" w:type="dxa"/>
            <w:shd w:val="clear" w:color="000000" w:fill="8497B0"/>
            <w:vAlign w:val="bottom"/>
            <w:hideMark/>
          </w:tcPr>
          <w:p w14:paraId="0E2786E8" w14:textId="77777777" w:rsidR="002F0913" w:rsidRDefault="00D11734" w:rsidP="00DC54F7">
            <w:pPr>
              <w:spacing w:after="0" w:line="240" w:lineRule="auto"/>
              <w:jc w:val="both"/>
              <w:rPr>
                <w:rFonts w:ascii="Calibri" w:eastAsia="Times New Roman" w:hAnsi="Calibri" w:cs="Calibri"/>
                <w:b/>
                <w:bCs/>
                <w:color w:val="FFFFFF"/>
                <w:lang w:eastAsia="en-GB"/>
              </w:rPr>
            </w:pPr>
            <w:r w:rsidRPr="00D11734">
              <w:rPr>
                <w:rFonts w:ascii="Calibri" w:eastAsia="Times New Roman" w:hAnsi="Calibri" w:cs="Calibri"/>
                <w:b/>
                <w:bCs/>
                <w:color w:val="FFFFFF"/>
                <w:lang w:eastAsia="en-GB"/>
              </w:rPr>
              <w:t>% LSOAs in most deprived 10</w:t>
            </w:r>
            <w:r w:rsidR="002F0913">
              <w:rPr>
                <w:rFonts w:ascii="Calibri" w:eastAsia="Times New Roman" w:hAnsi="Calibri" w:cs="Calibri"/>
                <w:b/>
                <w:bCs/>
                <w:color w:val="FFFFFF"/>
                <w:lang w:eastAsia="en-GB"/>
              </w:rPr>
              <w:t>%</w:t>
            </w:r>
          </w:p>
          <w:p w14:paraId="7A5559BA" w14:textId="27D4AE23" w:rsidR="00D11734" w:rsidRPr="00D11734" w:rsidRDefault="00D11734" w:rsidP="00DC54F7">
            <w:pPr>
              <w:spacing w:after="0" w:line="240" w:lineRule="auto"/>
              <w:jc w:val="both"/>
              <w:rPr>
                <w:rFonts w:ascii="Calibri" w:eastAsia="Times New Roman" w:hAnsi="Calibri" w:cs="Calibri"/>
                <w:b/>
                <w:bCs/>
                <w:color w:val="FFFFFF"/>
                <w:lang w:eastAsia="en-GB"/>
              </w:rPr>
            </w:pPr>
            <w:r w:rsidRPr="00D11734">
              <w:rPr>
                <w:rFonts w:ascii="Calibri" w:eastAsia="Times New Roman" w:hAnsi="Calibri" w:cs="Calibri"/>
                <w:b/>
                <w:bCs/>
                <w:color w:val="FFFFFF"/>
                <w:lang w:eastAsia="en-GB"/>
              </w:rPr>
              <w:t>(ranks 1-191)</w:t>
            </w:r>
          </w:p>
        </w:tc>
        <w:tc>
          <w:tcPr>
            <w:tcW w:w="1511" w:type="dxa"/>
            <w:shd w:val="clear" w:color="000000" w:fill="8497B0"/>
            <w:vAlign w:val="bottom"/>
            <w:hideMark/>
          </w:tcPr>
          <w:p w14:paraId="4C309356" w14:textId="252939A7" w:rsidR="002F0913" w:rsidRDefault="00D11734" w:rsidP="00DC54F7">
            <w:pPr>
              <w:spacing w:after="0" w:line="240" w:lineRule="auto"/>
              <w:jc w:val="both"/>
              <w:rPr>
                <w:rFonts w:ascii="Calibri" w:eastAsia="Times New Roman" w:hAnsi="Calibri" w:cs="Calibri"/>
                <w:b/>
                <w:bCs/>
                <w:color w:val="FFFFFF"/>
                <w:lang w:eastAsia="en-GB"/>
              </w:rPr>
            </w:pPr>
            <w:r w:rsidRPr="00D11734">
              <w:rPr>
                <w:rFonts w:ascii="Calibri" w:eastAsia="Times New Roman" w:hAnsi="Calibri" w:cs="Calibri"/>
                <w:b/>
                <w:bCs/>
                <w:color w:val="FFFFFF"/>
                <w:lang w:eastAsia="en-GB"/>
              </w:rPr>
              <w:t>% LSOAs in most deprived 20%</w:t>
            </w:r>
          </w:p>
          <w:p w14:paraId="37603A18" w14:textId="39957357" w:rsidR="00D11734" w:rsidRPr="00D11734" w:rsidRDefault="00D11734" w:rsidP="00DC54F7">
            <w:pPr>
              <w:spacing w:after="0" w:line="240" w:lineRule="auto"/>
              <w:jc w:val="both"/>
              <w:rPr>
                <w:rFonts w:ascii="Calibri" w:eastAsia="Times New Roman" w:hAnsi="Calibri" w:cs="Calibri"/>
                <w:b/>
                <w:bCs/>
                <w:color w:val="FFFFFF"/>
                <w:lang w:eastAsia="en-GB"/>
              </w:rPr>
            </w:pPr>
            <w:r w:rsidRPr="00D11734">
              <w:rPr>
                <w:rFonts w:ascii="Calibri" w:eastAsia="Times New Roman" w:hAnsi="Calibri" w:cs="Calibri"/>
                <w:b/>
                <w:bCs/>
                <w:color w:val="FFFFFF"/>
                <w:lang w:eastAsia="en-GB"/>
              </w:rPr>
              <w:t>(ranks 1 - 382)</w:t>
            </w:r>
          </w:p>
        </w:tc>
        <w:tc>
          <w:tcPr>
            <w:tcW w:w="1511" w:type="dxa"/>
            <w:shd w:val="clear" w:color="000000" w:fill="8497B0"/>
            <w:vAlign w:val="bottom"/>
            <w:hideMark/>
          </w:tcPr>
          <w:p w14:paraId="23EAEB3B" w14:textId="3576A8DF" w:rsidR="002F0913" w:rsidRDefault="00D11734" w:rsidP="00DC54F7">
            <w:pPr>
              <w:spacing w:after="0" w:line="240" w:lineRule="auto"/>
              <w:jc w:val="both"/>
              <w:rPr>
                <w:rFonts w:ascii="Calibri" w:eastAsia="Times New Roman" w:hAnsi="Calibri" w:cs="Calibri"/>
                <w:b/>
                <w:bCs/>
                <w:color w:val="FFFFFF"/>
                <w:lang w:eastAsia="en-GB"/>
              </w:rPr>
            </w:pPr>
            <w:r w:rsidRPr="00D11734">
              <w:rPr>
                <w:rFonts w:ascii="Calibri" w:eastAsia="Times New Roman" w:hAnsi="Calibri" w:cs="Calibri"/>
                <w:b/>
                <w:bCs/>
                <w:color w:val="FFFFFF"/>
                <w:lang w:eastAsia="en-GB"/>
              </w:rPr>
              <w:t>% LSOAs in most deprived 30%</w:t>
            </w:r>
          </w:p>
          <w:p w14:paraId="01A17893" w14:textId="7E9136A9" w:rsidR="00D11734" w:rsidRPr="00D11734" w:rsidRDefault="00D11734" w:rsidP="00DC54F7">
            <w:pPr>
              <w:spacing w:after="0" w:line="240" w:lineRule="auto"/>
              <w:jc w:val="both"/>
              <w:rPr>
                <w:rFonts w:ascii="Calibri" w:eastAsia="Times New Roman" w:hAnsi="Calibri" w:cs="Calibri"/>
                <w:b/>
                <w:bCs/>
                <w:color w:val="FFFFFF"/>
                <w:lang w:eastAsia="en-GB"/>
              </w:rPr>
            </w:pPr>
            <w:r w:rsidRPr="00D11734">
              <w:rPr>
                <w:rFonts w:ascii="Calibri" w:eastAsia="Times New Roman" w:hAnsi="Calibri" w:cs="Calibri"/>
                <w:b/>
                <w:bCs/>
                <w:color w:val="FFFFFF"/>
                <w:lang w:eastAsia="en-GB"/>
              </w:rPr>
              <w:t>(ranks 1 - 573)</w:t>
            </w:r>
          </w:p>
        </w:tc>
        <w:tc>
          <w:tcPr>
            <w:tcW w:w="1511" w:type="dxa"/>
            <w:shd w:val="clear" w:color="000000" w:fill="8497B0"/>
            <w:vAlign w:val="bottom"/>
            <w:hideMark/>
          </w:tcPr>
          <w:p w14:paraId="1E75CA0A" w14:textId="77777777" w:rsidR="002F0913" w:rsidRDefault="00D11734" w:rsidP="00DC54F7">
            <w:pPr>
              <w:spacing w:after="0" w:line="240" w:lineRule="auto"/>
              <w:jc w:val="both"/>
              <w:rPr>
                <w:rFonts w:ascii="Calibri" w:eastAsia="Times New Roman" w:hAnsi="Calibri" w:cs="Calibri"/>
                <w:b/>
                <w:bCs/>
                <w:color w:val="FFFFFF"/>
                <w:lang w:eastAsia="en-GB"/>
              </w:rPr>
            </w:pPr>
            <w:r w:rsidRPr="00D11734">
              <w:rPr>
                <w:rFonts w:ascii="Calibri" w:eastAsia="Times New Roman" w:hAnsi="Calibri" w:cs="Calibri"/>
                <w:b/>
                <w:bCs/>
                <w:color w:val="FFFFFF"/>
                <w:lang w:eastAsia="en-GB"/>
              </w:rPr>
              <w:t>% LSOAs in most deprived 50%</w:t>
            </w:r>
          </w:p>
          <w:p w14:paraId="2A9B4851" w14:textId="24394BCE" w:rsidR="00D11734" w:rsidRPr="00D11734" w:rsidRDefault="00D11734" w:rsidP="00DC54F7">
            <w:pPr>
              <w:spacing w:after="0" w:line="240" w:lineRule="auto"/>
              <w:jc w:val="both"/>
              <w:rPr>
                <w:rFonts w:ascii="Calibri" w:eastAsia="Times New Roman" w:hAnsi="Calibri" w:cs="Calibri"/>
                <w:b/>
                <w:bCs/>
                <w:color w:val="FFFFFF"/>
                <w:lang w:eastAsia="en-GB"/>
              </w:rPr>
            </w:pPr>
            <w:r w:rsidRPr="00D11734">
              <w:rPr>
                <w:rFonts w:ascii="Calibri" w:eastAsia="Times New Roman" w:hAnsi="Calibri" w:cs="Calibri"/>
                <w:b/>
                <w:bCs/>
                <w:color w:val="FFFFFF"/>
                <w:lang w:eastAsia="en-GB"/>
              </w:rPr>
              <w:t>(ranks 1 - 955)</w:t>
            </w:r>
          </w:p>
        </w:tc>
      </w:tr>
      <w:tr w:rsidR="00D11734" w:rsidRPr="00D11734" w14:paraId="4298A532" w14:textId="77777777" w:rsidTr="00472264">
        <w:trPr>
          <w:trHeight w:val="308"/>
        </w:trPr>
        <w:tc>
          <w:tcPr>
            <w:tcW w:w="2127" w:type="dxa"/>
            <w:shd w:val="clear" w:color="EDEDED" w:fill="EDEDED"/>
            <w:noWrap/>
            <w:vAlign w:val="center"/>
            <w:hideMark/>
          </w:tcPr>
          <w:p w14:paraId="740F7573"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 xml:space="preserve">Cardiff </w:t>
            </w:r>
          </w:p>
        </w:tc>
        <w:tc>
          <w:tcPr>
            <w:tcW w:w="764" w:type="dxa"/>
            <w:shd w:val="clear" w:color="EDEDED" w:fill="EDEDED"/>
            <w:noWrap/>
            <w:vAlign w:val="bottom"/>
            <w:hideMark/>
          </w:tcPr>
          <w:p w14:paraId="1019B18E" w14:textId="77777777" w:rsidR="00D11734" w:rsidRPr="00B27C3F" w:rsidRDefault="00D11734" w:rsidP="00DC54F7">
            <w:pPr>
              <w:spacing w:after="0" w:line="240" w:lineRule="auto"/>
              <w:jc w:val="both"/>
              <w:rPr>
                <w:rFonts w:eastAsia="Times New Roman" w:cstheme="minorHAnsi"/>
                <w:color w:val="000000"/>
                <w:lang w:eastAsia="en-GB"/>
              </w:rPr>
            </w:pPr>
            <w:r w:rsidRPr="00B27C3F">
              <w:rPr>
                <w:rFonts w:eastAsia="Times New Roman" w:cstheme="minorHAnsi"/>
                <w:color w:val="000000"/>
                <w:lang w:eastAsia="en-GB"/>
              </w:rPr>
              <w:t>214</w:t>
            </w:r>
          </w:p>
        </w:tc>
        <w:tc>
          <w:tcPr>
            <w:tcW w:w="1511" w:type="dxa"/>
            <w:shd w:val="clear" w:color="EDEDED" w:fill="EDEDED"/>
            <w:vAlign w:val="bottom"/>
            <w:hideMark/>
          </w:tcPr>
          <w:p w14:paraId="44BD5EB1" w14:textId="77777777" w:rsidR="00D11734" w:rsidRPr="00B27C3F" w:rsidRDefault="00D11734" w:rsidP="00DC54F7">
            <w:pPr>
              <w:spacing w:after="0" w:line="240" w:lineRule="auto"/>
              <w:jc w:val="both"/>
              <w:rPr>
                <w:rFonts w:eastAsia="Times New Roman" w:cstheme="minorHAnsi"/>
                <w:color w:val="000000"/>
                <w:lang w:eastAsia="en-GB"/>
              </w:rPr>
            </w:pPr>
            <w:r w:rsidRPr="00B27C3F">
              <w:rPr>
                <w:rFonts w:eastAsia="Times New Roman" w:cstheme="minorHAnsi"/>
                <w:color w:val="000000"/>
                <w:lang w:eastAsia="en-GB"/>
              </w:rPr>
              <w:t>39</w:t>
            </w:r>
          </w:p>
        </w:tc>
        <w:tc>
          <w:tcPr>
            <w:tcW w:w="1511" w:type="dxa"/>
            <w:shd w:val="clear" w:color="EDEDED" w:fill="EDEDED"/>
            <w:noWrap/>
            <w:vAlign w:val="bottom"/>
            <w:hideMark/>
          </w:tcPr>
          <w:p w14:paraId="2FE6786E"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59</w:t>
            </w:r>
          </w:p>
        </w:tc>
        <w:tc>
          <w:tcPr>
            <w:tcW w:w="1511" w:type="dxa"/>
            <w:shd w:val="clear" w:color="EDEDED" w:fill="EDEDED"/>
            <w:noWrap/>
            <w:vAlign w:val="bottom"/>
            <w:hideMark/>
          </w:tcPr>
          <w:p w14:paraId="37A6DC6B"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74</w:t>
            </w:r>
          </w:p>
        </w:tc>
        <w:tc>
          <w:tcPr>
            <w:tcW w:w="1511" w:type="dxa"/>
            <w:shd w:val="clear" w:color="EDEDED" w:fill="EDEDED"/>
            <w:noWrap/>
            <w:vAlign w:val="bottom"/>
            <w:hideMark/>
          </w:tcPr>
          <w:p w14:paraId="1762C127"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105</w:t>
            </w:r>
          </w:p>
        </w:tc>
      </w:tr>
      <w:tr w:rsidR="00D11734" w:rsidRPr="00D11734" w14:paraId="35D0B2D9" w14:textId="77777777" w:rsidTr="00472264">
        <w:trPr>
          <w:trHeight w:val="308"/>
        </w:trPr>
        <w:tc>
          <w:tcPr>
            <w:tcW w:w="2127" w:type="dxa"/>
            <w:shd w:val="clear" w:color="auto" w:fill="auto"/>
            <w:noWrap/>
            <w:vAlign w:val="center"/>
            <w:hideMark/>
          </w:tcPr>
          <w:p w14:paraId="7506598F" w14:textId="77777777" w:rsidR="00D11734" w:rsidRPr="00D11734" w:rsidRDefault="00D11734" w:rsidP="00DC54F7">
            <w:pPr>
              <w:spacing w:after="0" w:line="240" w:lineRule="auto"/>
              <w:jc w:val="both"/>
              <w:rPr>
                <w:rFonts w:ascii="Calibri" w:eastAsia="Times New Roman" w:hAnsi="Calibri" w:cs="Calibri"/>
                <w:color w:val="000000"/>
                <w:lang w:eastAsia="en-GB"/>
              </w:rPr>
            </w:pPr>
          </w:p>
        </w:tc>
        <w:tc>
          <w:tcPr>
            <w:tcW w:w="764" w:type="dxa"/>
            <w:shd w:val="clear" w:color="auto" w:fill="auto"/>
            <w:noWrap/>
            <w:vAlign w:val="center"/>
            <w:hideMark/>
          </w:tcPr>
          <w:p w14:paraId="0FA6C075" w14:textId="4F073400" w:rsidR="00D11734" w:rsidRPr="00B27C3F" w:rsidRDefault="00111987" w:rsidP="00DC54F7">
            <w:pPr>
              <w:spacing w:after="0" w:line="240" w:lineRule="auto"/>
              <w:jc w:val="both"/>
              <w:rPr>
                <w:rFonts w:eastAsia="Times New Roman" w:cstheme="minorHAnsi"/>
                <w:lang w:eastAsia="en-GB"/>
              </w:rPr>
            </w:pPr>
            <w:r w:rsidRPr="00B27C3F">
              <w:rPr>
                <w:rFonts w:eastAsia="Times New Roman" w:cstheme="minorHAnsi"/>
                <w:lang w:eastAsia="en-GB"/>
              </w:rPr>
              <w:t>11</w:t>
            </w:r>
            <w:r w:rsidR="00B27C3F" w:rsidRPr="00B27C3F">
              <w:rPr>
                <w:rFonts w:eastAsia="Times New Roman" w:cstheme="minorHAnsi"/>
                <w:lang w:eastAsia="en-GB"/>
              </w:rPr>
              <w:t>%</w:t>
            </w:r>
          </w:p>
        </w:tc>
        <w:tc>
          <w:tcPr>
            <w:tcW w:w="1511" w:type="dxa"/>
            <w:shd w:val="clear" w:color="auto" w:fill="auto"/>
            <w:vAlign w:val="bottom"/>
            <w:hideMark/>
          </w:tcPr>
          <w:p w14:paraId="0B320593" w14:textId="77777777" w:rsidR="00D11734" w:rsidRPr="00B27C3F" w:rsidRDefault="00D11734" w:rsidP="00DC54F7">
            <w:pPr>
              <w:spacing w:after="0" w:line="240" w:lineRule="auto"/>
              <w:jc w:val="both"/>
              <w:rPr>
                <w:rFonts w:eastAsia="Times New Roman" w:cstheme="minorHAnsi"/>
                <w:color w:val="000000"/>
                <w:lang w:eastAsia="en-GB"/>
              </w:rPr>
            </w:pPr>
            <w:r w:rsidRPr="00B27C3F">
              <w:rPr>
                <w:rFonts w:eastAsia="Times New Roman" w:cstheme="minorHAnsi"/>
                <w:color w:val="000000"/>
                <w:lang w:eastAsia="en-GB"/>
              </w:rPr>
              <w:t>18%</w:t>
            </w:r>
          </w:p>
        </w:tc>
        <w:tc>
          <w:tcPr>
            <w:tcW w:w="1511" w:type="dxa"/>
            <w:shd w:val="clear" w:color="auto" w:fill="auto"/>
            <w:noWrap/>
            <w:vAlign w:val="bottom"/>
            <w:hideMark/>
          </w:tcPr>
          <w:p w14:paraId="190C8D4E"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28%</w:t>
            </w:r>
          </w:p>
        </w:tc>
        <w:tc>
          <w:tcPr>
            <w:tcW w:w="1511" w:type="dxa"/>
            <w:shd w:val="clear" w:color="auto" w:fill="auto"/>
            <w:noWrap/>
            <w:vAlign w:val="bottom"/>
            <w:hideMark/>
          </w:tcPr>
          <w:p w14:paraId="1195A5F5"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35%</w:t>
            </w:r>
          </w:p>
        </w:tc>
        <w:tc>
          <w:tcPr>
            <w:tcW w:w="1511" w:type="dxa"/>
            <w:shd w:val="clear" w:color="auto" w:fill="auto"/>
            <w:noWrap/>
            <w:vAlign w:val="bottom"/>
            <w:hideMark/>
          </w:tcPr>
          <w:p w14:paraId="350C5975"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49%</w:t>
            </w:r>
          </w:p>
        </w:tc>
      </w:tr>
      <w:tr w:rsidR="00D11734" w:rsidRPr="00D11734" w14:paraId="58F6D850" w14:textId="77777777" w:rsidTr="00472264">
        <w:trPr>
          <w:trHeight w:val="308"/>
        </w:trPr>
        <w:tc>
          <w:tcPr>
            <w:tcW w:w="2127" w:type="dxa"/>
            <w:shd w:val="clear" w:color="EDEDED" w:fill="EDEDED"/>
            <w:noWrap/>
            <w:vAlign w:val="center"/>
            <w:hideMark/>
          </w:tcPr>
          <w:p w14:paraId="226A0467"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 xml:space="preserve">Vale of Glamorgan </w:t>
            </w:r>
          </w:p>
        </w:tc>
        <w:tc>
          <w:tcPr>
            <w:tcW w:w="764" w:type="dxa"/>
            <w:shd w:val="clear" w:color="EDEDED" w:fill="EDEDED"/>
            <w:noWrap/>
            <w:vAlign w:val="bottom"/>
            <w:hideMark/>
          </w:tcPr>
          <w:p w14:paraId="5837A787" w14:textId="77777777" w:rsidR="00D11734" w:rsidRPr="00B27C3F" w:rsidRDefault="00D11734" w:rsidP="00DC54F7">
            <w:pPr>
              <w:spacing w:after="0" w:line="240" w:lineRule="auto"/>
              <w:jc w:val="both"/>
              <w:rPr>
                <w:rFonts w:eastAsia="Times New Roman" w:cstheme="minorHAnsi"/>
                <w:color w:val="000000"/>
                <w:lang w:eastAsia="en-GB"/>
              </w:rPr>
            </w:pPr>
            <w:r w:rsidRPr="00B27C3F">
              <w:rPr>
                <w:rFonts w:eastAsia="Times New Roman" w:cstheme="minorHAnsi"/>
                <w:color w:val="000000"/>
                <w:lang w:eastAsia="en-GB"/>
              </w:rPr>
              <w:t>79</w:t>
            </w:r>
          </w:p>
        </w:tc>
        <w:tc>
          <w:tcPr>
            <w:tcW w:w="1511" w:type="dxa"/>
            <w:shd w:val="clear" w:color="EDEDED" w:fill="EDEDED"/>
            <w:vAlign w:val="bottom"/>
            <w:hideMark/>
          </w:tcPr>
          <w:p w14:paraId="6A22C427" w14:textId="77777777" w:rsidR="00D11734" w:rsidRPr="00B27C3F" w:rsidRDefault="00D11734" w:rsidP="00DC54F7">
            <w:pPr>
              <w:spacing w:after="0" w:line="240" w:lineRule="auto"/>
              <w:jc w:val="both"/>
              <w:rPr>
                <w:rFonts w:eastAsia="Times New Roman" w:cstheme="minorHAnsi"/>
                <w:color w:val="000000"/>
                <w:lang w:eastAsia="en-GB"/>
              </w:rPr>
            </w:pPr>
            <w:r w:rsidRPr="00B27C3F">
              <w:rPr>
                <w:rFonts w:eastAsia="Times New Roman" w:cstheme="minorHAnsi"/>
                <w:color w:val="000000"/>
                <w:lang w:eastAsia="en-GB"/>
              </w:rPr>
              <w:t>3</w:t>
            </w:r>
          </w:p>
        </w:tc>
        <w:tc>
          <w:tcPr>
            <w:tcW w:w="1511" w:type="dxa"/>
            <w:shd w:val="clear" w:color="EDEDED" w:fill="EDEDED"/>
            <w:noWrap/>
            <w:vAlign w:val="bottom"/>
            <w:hideMark/>
          </w:tcPr>
          <w:p w14:paraId="52CBEB67"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10</w:t>
            </w:r>
          </w:p>
        </w:tc>
        <w:tc>
          <w:tcPr>
            <w:tcW w:w="1511" w:type="dxa"/>
            <w:shd w:val="clear" w:color="EDEDED" w:fill="EDEDED"/>
            <w:noWrap/>
            <w:vAlign w:val="bottom"/>
            <w:hideMark/>
          </w:tcPr>
          <w:p w14:paraId="7412A316"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15</w:t>
            </w:r>
          </w:p>
        </w:tc>
        <w:tc>
          <w:tcPr>
            <w:tcW w:w="1511" w:type="dxa"/>
            <w:shd w:val="clear" w:color="EDEDED" w:fill="EDEDED"/>
            <w:noWrap/>
            <w:vAlign w:val="bottom"/>
            <w:hideMark/>
          </w:tcPr>
          <w:p w14:paraId="0A076693"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28</w:t>
            </w:r>
          </w:p>
        </w:tc>
      </w:tr>
      <w:tr w:rsidR="00D11734" w:rsidRPr="00D11734" w14:paraId="2E493D06" w14:textId="77777777" w:rsidTr="00472264">
        <w:trPr>
          <w:trHeight w:val="308"/>
        </w:trPr>
        <w:tc>
          <w:tcPr>
            <w:tcW w:w="2127" w:type="dxa"/>
            <w:shd w:val="clear" w:color="auto" w:fill="auto"/>
            <w:noWrap/>
            <w:vAlign w:val="center"/>
            <w:hideMark/>
          </w:tcPr>
          <w:p w14:paraId="10D556C6" w14:textId="77777777" w:rsidR="00D11734" w:rsidRPr="00D11734" w:rsidRDefault="00D11734" w:rsidP="00DC54F7">
            <w:pPr>
              <w:spacing w:after="0" w:line="240" w:lineRule="auto"/>
              <w:jc w:val="both"/>
              <w:rPr>
                <w:rFonts w:ascii="Calibri" w:eastAsia="Times New Roman" w:hAnsi="Calibri" w:cs="Calibri"/>
                <w:color w:val="000000"/>
                <w:lang w:eastAsia="en-GB"/>
              </w:rPr>
            </w:pPr>
          </w:p>
        </w:tc>
        <w:tc>
          <w:tcPr>
            <w:tcW w:w="764" w:type="dxa"/>
            <w:shd w:val="clear" w:color="auto" w:fill="auto"/>
            <w:noWrap/>
            <w:vAlign w:val="center"/>
            <w:hideMark/>
          </w:tcPr>
          <w:p w14:paraId="636E9802" w14:textId="035E58A8" w:rsidR="00D11734" w:rsidRPr="00B27C3F" w:rsidRDefault="00B27C3F" w:rsidP="00DC54F7">
            <w:pPr>
              <w:spacing w:after="0" w:line="240" w:lineRule="auto"/>
              <w:jc w:val="both"/>
              <w:rPr>
                <w:rFonts w:eastAsia="Times New Roman" w:cstheme="minorHAnsi"/>
                <w:lang w:eastAsia="en-GB"/>
              </w:rPr>
            </w:pPr>
            <w:r w:rsidRPr="00B27C3F">
              <w:rPr>
                <w:rFonts w:eastAsia="Times New Roman" w:cstheme="minorHAnsi"/>
                <w:lang w:eastAsia="en-GB"/>
              </w:rPr>
              <w:t>4%</w:t>
            </w:r>
          </w:p>
        </w:tc>
        <w:tc>
          <w:tcPr>
            <w:tcW w:w="1511" w:type="dxa"/>
            <w:shd w:val="clear" w:color="auto" w:fill="auto"/>
            <w:vAlign w:val="bottom"/>
            <w:hideMark/>
          </w:tcPr>
          <w:p w14:paraId="24CA79C4" w14:textId="77777777" w:rsidR="00D11734" w:rsidRPr="00B27C3F" w:rsidRDefault="00D11734" w:rsidP="00DC54F7">
            <w:pPr>
              <w:spacing w:after="0" w:line="240" w:lineRule="auto"/>
              <w:jc w:val="both"/>
              <w:rPr>
                <w:rFonts w:eastAsia="Times New Roman" w:cstheme="minorHAnsi"/>
                <w:color w:val="000000"/>
                <w:lang w:eastAsia="en-GB"/>
              </w:rPr>
            </w:pPr>
            <w:r w:rsidRPr="00B27C3F">
              <w:rPr>
                <w:rFonts w:eastAsia="Times New Roman" w:cstheme="minorHAnsi"/>
                <w:color w:val="000000"/>
                <w:lang w:eastAsia="en-GB"/>
              </w:rPr>
              <w:t>4%</w:t>
            </w:r>
          </w:p>
        </w:tc>
        <w:tc>
          <w:tcPr>
            <w:tcW w:w="1511" w:type="dxa"/>
            <w:shd w:val="clear" w:color="auto" w:fill="auto"/>
            <w:noWrap/>
            <w:vAlign w:val="bottom"/>
            <w:hideMark/>
          </w:tcPr>
          <w:p w14:paraId="06AE2368"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13%</w:t>
            </w:r>
          </w:p>
        </w:tc>
        <w:tc>
          <w:tcPr>
            <w:tcW w:w="1511" w:type="dxa"/>
            <w:shd w:val="clear" w:color="auto" w:fill="auto"/>
            <w:noWrap/>
            <w:vAlign w:val="bottom"/>
            <w:hideMark/>
          </w:tcPr>
          <w:p w14:paraId="61910008"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19%</w:t>
            </w:r>
          </w:p>
        </w:tc>
        <w:tc>
          <w:tcPr>
            <w:tcW w:w="1511" w:type="dxa"/>
            <w:shd w:val="clear" w:color="auto" w:fill="auto"/>
            <w:noWrap/>
            <w:vAlign w:val="bottom"/>
            <w:hideMark/>
          </w:tcPr>
          <w:p w14:paraId="12BB160A"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35%</w:t>
            </w:r>
          </w:p>
        </w:tc>
      </w:tr>
      <w:tr w:rsidR="00D11734" w:rsidRPr="00D11734" w14:paraId="64D53F79" w14:textId="77777777" w:rsidTr="00472264">
        <w:trPr>
          <w:trHeight w:val="308"/>
        </w:trPr>
        <w:tc>
          <w:tcPr>
            <w:tcW w:w="2127" w:type="dxa"/>
            <w:shd w:val="clear" w:color="EDEDED" w:fill="EDEDED"/>
            <w:noWrap/>
            <w:vAlign w:val="center"/>
            <w:hideMark/>
          </w:tcPr>
          <w:p w14:paraId="4AB6DC48"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 xml:space="preserve">Cardiff and Vale UHB </w:t>
            </w:r>
          </w:p>
        </w:tc>
        <w:tc>
          <w:tcPr>
            <w:tcW w:w="764" w:type="dxa"/>
            <w:shd w:val="clear" w:color="EDEDED" w:fill="EDEDED"/>
            <w:noWrap/>
            <w:vAlign w:val="bottom"/>
            <w:hideMark/>
          </w:tcPr>
          <w:p w14:paraId="642D8C79" w14:textId="77777777" w:rsidR="00D11734" w:rsidRPr="00B27C3F" w:rsidRDefault="00D11734" w:rsidP="00DC54F7">
            <w:pPr>
              <w:spacing w:after="0" w:line="240" w:lineRule="auto"/>
              <w:jc w:val="both"/>
              <w:rPr>
                <w:rFonts w:eastAsia="Times New Roman" w:cstheme="minorHAnsi"/>
                <w:color w:val="000000"/>
                <w:lang w:eastAsia="en-GB"/>
              </w:rPr>
            </w:pPr>
            <w:r w:rsidRPr="00B27C3F">
              <w:rPr>
                <w:rFonts w:eastAsia="Times New Roman" w:cstheme="minorHAnsi"/>
                <w:color w:val="000000"/>
                <w:lang w:eastAsia="en-GB"/>
              </w:rPr>
              <w:t>293</w:t>
            </w:r>
          </w:p>
        </w:tc>
        <w:tc>
          <w:tcPr>
            <w:tcW w:w="1511" w:type="dxa"/>
            <w:shd w:val="clear" w:color="EDEDED" w:fill="EDEDED"/>
            <w:vAlign w:val="bottom"/>
            <w:hideMark/>
          </w:tcPr>
          <w:p w14:paraId="4272E163" w14:textId="77777777" w:rsidR="00D11734" w:rsidRPr="00B27C3F" w:rsidRDefault="00D11734" w:rsidP="00DC54F7">
            <w:pPr>
              <w:spacing w:after="0" w:line="240" w:lineRule="auto"/>
              <w:jc w:val="both"/>
              <w:rPr>
                <w:rFonts w:eastAsia="Times New Roman" w:cstheme="minorHAnsi"/>
                <w:color w:val="000000"/>
                <w:lang w:eastAsia="en-GB"/>
              </w:rPr>
            </w:pPr>
            <w:r w:rsidRPr="00B27C3F">
              <w:rPr>
                <w:rFonts w:eastAsia="Times New Roman" w:cstheme="minorHAnsi"/>
                <w:color w:val="000000"/>
                <w:lang w:eastAsia="en-GB"/>
              </w:rPr>
              <w:t>42</w:t>
            </w:r>
          </w:p>
        </w:tc>
        <w:tc>
          <w:tcPr>
            <w:tcW w:w="1511" w:type="dxa"/>
            <w:shd w:val="clear" w:color="EDEDED" w:fill="EDEDED"/>
            <w:noWrap/>
            <w:vAlign w:val="bottom"/>
            <w:hideMark/>
          </w:tcPr>
          <w:p w14:paraId="4C3D6E3A"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69</w:t>
            </w:r>
          </w:p>
        </w:tc>
        <w:tc>
          <w:tcPr>
            <w:tcW w:w="1511" w:type="dxa"/>
            <w:shd w:val="clear" w:color="EDEDED" w:fill="EDEDED"/>
            <w:noWrap/>
            <w:vAlign w:val="bottom"/>
            <w:hideMark/>
          </w:tcPr>
          <w:p w14:paraId="6BBA8A0C"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89</w:t>
            </w:r>
          </w:p>
        </w:tc>
        <w:tc>
          <w:tcPr>
            <w:tcW w:w="1511" w:type="dxa"/>
            <w:shd w:val="clear" w:color="EDEDED" w:fill="EDEDED"/>
            <w:noWrap/>
            <w:vAlign w:val="bottom"/>
            <w:hideMark/>
          </w:tcPr>
          <w:p w14:paraId="6E4EEC89"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133</w:t>
            </w:r>
          </w:p>
        </w:tc>
      </w:tr>
      <w:tr w:rsidR="00D11734" w:rsidRPr="00D11734" w14:paraId="3050D09A" w14:textId="77777777" w:rsidTr="00472264">
        <w:trPr>
          <w:trHeight w:val="308"/>
        </w:trPr>
        <w:tc>
          <w:tcPr>
            <w:tcW w:w="2127" w:type="dxa"/>
            <w:shd w:val="clear" w:color="auto" w:fill="auto"/>
            <w:noWrap/>
            <w:vAlign w:val="center"/>
            <w:hideMark/>
          </w:tcPr>
          <w:p w14:paraId="63F100F6" w14:textId="77777777" w:rsidR="00D11734" w:rsidRPr="00D11734" w:rsidRDefault="00D11734" w:rsidP="00DC54F7">
            <w:pPr>
              <w:spacing w:after="0" w:line="240" w:lineRule="auto"/>
              <w:jc w:val="both"/>
              <w:rPr>
                <w:rFonts w:ascii="Calibri" w:eastAsia="Times New Roman" w:hAnsi="Calibri" w:cs="Calibri"/>
                <w:color w:val="000000"/>
                <w:lang w:eastAsia="en-GB"/>
              </w:rPr>
            </w:pPr>
          </w:p>
        </w:tc>
        <w:tc>
          <w:tcPr>
            <w:tcW w:w="764" w:type="dxa"/>
            <w:shd w:val="clear" w:color="auto" w:fill="auto"/>
            <w:noWrap/>
            <w:vAlign w:val="center"/>
            <w:hideMark/>
          </w:tcPr>
          <w:p w14:paraId="2FBECECF" w14:textId="5223CE52" w:rsidR="00D11734" w:rsidRPr="00B27C3F" w:rsidRDefault="00111987" w:rsidP="00DC54F7">
            <w:pPr>
              <w:spacing w:after="0" w:line="240" w:lineRule="auto"/>
              <w:jc w:val="both"/>
              <w:rPr>
                <w:rFonts w:eastAsia="Times New Roman" w:cstheme="minorHAnsi"/>
                <w:lang w:eastAsia="en-GB"/>
              </w:rPr>
            </w:pPr>
            <w:r w:rsidRPr="00B27C3F">
              <w:rPr>
                <w:rFonts w:eastAsia="Times New Roman" w:cstheme="minorHAnsi"/>
                <w:lang w:eastAsia="en-GB"/>
              </w:rPr>
              <w:t>15%</w:t>
            </w:r>
          </w:p>
        </w:tc>
        <w:tc>
          <w:tcPr>
            <w:tcW w:w="1511" w:type="dxa"/>
            <w:shd w:val="clear" w:color="auto" w:fill="auto"/>
            <w:vAlign w:val="bottom"/>
            <w:hideMark/>
          </w:tcPr>
          <w:p w14:paraId="4610B530" w14:textId="77777777" w:rsidR="00D11734" w:rsidRPr="00B27C3F" w:rsidRDefault="00D11734" w:rsidP="00DC54F7">
            <w:pPr>
              <w:spacing w:after="0" w:line="240" w:lineRule="auto"/>
              <w:jc w:val="both"/>
              <w:rPr>
                <w:rFonts w:eastAsia="Times New Roman" w:cstheme="minorHAnsi"/>
                <w:color w:val="000000"/>
                <w:lang w:eastAsia="en-GB"/>
              </w:rPr>
            </w:pPr>
            <w:r w:rsidRPr="00B27C3F">
              <w:rPr>
                <w:rFonts w:eastAsia="Times New Roman" w:cstheme="minorHAnsi"/>
                <w:color w:val="000000"/>
                <w:lang w:eastAsia="en-GB"/>
              </w:rPr>
              <w:t>14%</w:t>
            </w:r>
          </w:p>
        </w:tc>
        <w:tc>
          <w:tcPr>
            <w:tcW w:w="1511" w:type="dxa"/>
            <w:shd w:val="clear" w:color="auto" w:fill="auto"/>
            <w:noWrap/>
            <w:vAlign w:val="bottom"/>
            <w:hideMark/>
          </w:tcPr>
          <w:p w14:paraId="0A03D20D"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24%</w:t>
            </w:r>
          </w:p>
        </w:tc>
        <w:tc>
          <w:tcPr>
            <w:tcW w:w="1511" w:type="dxa"/>
            <w:shd w:val="clear" w:color="auto" w:fill="auto"/>
            <w:noWrap/>
            <w:vAlign w:val="bottom"/>
            <w:hideMark/>
          </w:tcPr>
          <w:p w14:paraId="4F9DE782"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30%</w:t>
            </w:r>
          </w:p>
        </w:tc>
        <w:tc>
          <w:tcPr>
            <w:tcW w:w="1511" w:type="dxa"/>
            <w:shd w:val="clear" w:color="auto" w:fill="auto"/>
            <w:noWrap/>
            <w:vAlign w:val="bottom"/>
            <w:hideMark/>
          </w:tcPr>
          <w:p w14:paraId="77C73533" w14:textId="77777777" w:rsidR="00D11734" w:rsidRPr="00D11734" w:rsidRDefault="00D11734" w:rsidP="00DC54F7">
            <w:pPr>
              <w:spacing w:after="0" w:line="240" w:lineRule="auto"/>
              <w:jc w:val="both"/>
              <w:rPr>
                <w:rFonts w:ascii="Calibri" w:eastAsia="Times New Roman" w:hAnsi="Calibri" w:cs="Calibri"/>
                <w:color w:val="000000"/>
                <w:lang w:eastAsia="en-GB"/>
              </w:rPr>
            </w:pPr>
            <w:r w:rsidRPr="00D11734">
              <w:rPr>
                <w:rFonts w:ascii="Calibri" w:eastAsia="Times New Roman" w:hAnsi="Calibri" w:cs="Calibri"/>
                <w:color w:val="000000"/>
                <w:lang w:eastAsia="en-GB"/>
              </w:rPr>
              <w:t>45%</w:t>
            </w:r>
          </w:p>
        </w:tc>
      </w:tr>
    </w:tbl>
    <w:p w14:paraId="5E93A48E" w14:textId="44AACD2E" w:rsidR="00810905" w:rsidRPr="009E76BB" w:rsidRDefault="00810905" w:rsidP="00DC54F7">
      <w:pPr>
        <w:spacing w:after="0" w:line="240" w:lineRule="auto"/>
        <w:contextualSpacing/>
        <w:jc w:val="both"/>
        <w:rPr>
          <w:rFonts w:ascii="Arial" w:hAnsi="Arial" w:cs="Arial"/>
          <w:sz w:val="20"/>
          <w:szCs w:val="20"/>
          <w:lang w:val="en-US"/>
        </w:rPr>
      </w:pPr>
      <w:r w:rsidRPr="009E76BB">
        <w:rPr>
          <w:rFonts w:ascii="Arial" w:hAnsi="Arial" w:cs="Arial"/>
          <w:sz w:val="20"/>
          <w:szCs w:val="20"/>
          <w:lang w:val="en-US"/>
        </w:rPr>
        <w:t>Source: StatWales -</w:t>
      </w:r>
      <w:r w:rsidR="00B424F0" w:rsidRPr="009E76BB">
        <w:rPr>
          <w:rFonts w:ascii="Arial" w:hAnsi="Arial" w:cs="Arial"/>
          <w:sz w:val="20"/>
          <w:szCs w:val="20"/>
          <w:lang w:val="en-US"/>
        </w:rPr>
        <w:t xml:space="preserve"> </w:t>
      </w:r>
      <w:r w:rsidRPr="009E76BB">
        <w:rPr>
          <w:rFonts w:ascii="Arial" w:eastAsia="Times New Roman" w:hAnsi="Arial" w:cs="Arial"/>
          <w:color w:val="000000"/>
          <w:sz w:val="20"/>
          <w:szCs w:val="20"/>
          <w:lang w:eastAsia="en-GB"/>
        </w:rPr>
        <w:t>Welsh Index of Multiple Deprivation 2019, Welsh Government</w:t>
      </w:r>
    </w:p>
    <w:p w14:paraId="48413E34" w14:textId="2BBC8750" w:rsidR="00FC2CCC" w:rsidRDefault="00FC2CCC" w:rsidP="00DC54F7">
      <w:pPr>
        <w:spacing w:after="0" w:line="240" w:lineRule="auto"/>
        <w:contextualSpacing/>
        <w:jc w:val="both"/>
        <w:rPr>
          <w:rFonts w:ascii="Arial" w:hAnsi="Arial" w:cs="Arial"/>
          <w:lang w:val="en-US"/>
        </w:rPr>
      </w:pPr>
    </w:p>
    <w:p w14:paraId="1B3DFE98" w14:textId="74A0EEE3" w:rsidR="00F447A3" w:rsidRPr="009E76BB" w:rsidRDefault="00891AF1" w:rsidP="00DC54F7">
      <w:pPr>
        <w:spacing w:after="0" w:line="240" w:lineRule="auto"/>
        <w:contextualSpacing/>
        <w:jc w:val="both"/>
        <w:rPr>
          <w:rFonts w:ascii="Arial" w:hAnsi="Arial" w:cs="Arial"/>
          <w:sz w:val="24"/>
          <w:szCs w:val="24"/>
        </w:rPr>
      </w:pPr>
      <w:r w:rsidRPr="009E76BB">
        <w:rPr>
          <w:rFonts w:ascii="Arial" w:hAnsi="Arial" w:cs="Arial"/>
          <w:sz w:val="24"/>
          <w:szCs w:val="24"/>
        </w:rPr>
        <w:t xml:space="preserve">The health domain of the Welsh Index of Multiple Deprivation 2019 captures deprivation relating to the lack of good health. </w:t>
      </w:r>
      <w:r w:rsidR="00C62449" w:rsidRPr="009E76BB">
        <w:rPr>
          <w:rFonts w:ascii="Arial" w:hAnsi="Arial" w:cs="Arial"/>
          <w:sz w:val="24"/>
          <w:szCs w:val="24"/>
        </w:rPr>
        <w:t xml:space="preserve">Cardiff has 16% of its </w:t>
      </w:r>
      <w:r w:rsidR="00E3519F" w:rsidRPr="009E76BB">
        <w:rPr>
          <w:rFonts w:ascii="Arial" w:hAnsi="Arial" w:cs="Arial"/>
          <w:sz w:val="24"/>
          <w:szCs w:val="24"/>
        </w:rPr>
        <w:t xml:space="preserve">LSOAs within the </w:t>
      </w:r>
      <w:r w:rsidR="00E2728F" w:rsidRPr="009E76BB">
        <w:rPr>
          <w:rFonts w:ascii="Arial" w:hAnsi="Arial" w:cs="Arial"/>
          <w:sz w:val="24"/>
          <w:szCs w:val="24"/>
        </w:rPr>
        <w:t xml:space="preserve">10% most deprived LSOAs in Wales and </w:t>
      </w:r>
      <w:r w:rsidR="005F43DE" w:rsidRPr="009E76BB">
        <w:rPr>
          <w:rFonts w:ascii="Arial" w:hAnsi="Arial" w:cs="Arial"/>
          <w:sz w:val="24"/>
          <w:szCs w:val="24"/>
        </w:rPr>
        <w:t>the Vale of Glamorgan has</w:t>
      </w:r>
      <w:r w:rsidR="00CE1129" w:rsidRPr="009E76BB">
        <w:rPr>
          <w:rFonts w:ascii="Arial" w:hAnsi="Arial" w:cs="Arial"/>
          <w:sz w:val="24"/>
          <w:szCs w:val="24"/>
        </w:rPr>
        <w:t xml:space="preserve"> just 5%.</w:t>
      </w:r>
    </w:p>
    <w:p w14:paraId="6747A817" w14:textId="77777777" w:rsidR="00F447A3" w:rsidRPr="00D9474D" w:rsidRDefault="00F447A3" w:rsidP="00DC54F7">
      <w:pPr>
        <w:spacing w:after="0" w:line="240" w:lineRule="auto"/>
        <w:contextualSpacing/>
        <w:jc w:val="both"/>
        <w:rPr>
          <w:rFonts w:ascii="Arial" w:hAnsi="Arial" w:cs="Arial"/>
        </w:rPr>
      </w:pPr>
    </w:p>
    <w:p w14:paraId="35CBD365" w14:textId="77777777" w:rsidR="00010AFD" w:rsidRDefault="00010AFD" w:rsidP="00DC54F7">
      <w:pPr>
        <w:spacing w:after="0" w:line="240" w:lineRule="auto"/>
        <w:jc w:val="both"/>
      </w:pPr>
    </w:p>
    <w:p w14:paraId="43D38D96" w14:textId="43913C87" w:rsidR="006F0A84" w:rsidRDefault="006F0A84" w:rsidP="00DC54F7">
      <w:pPr>
        <w:spacing w:after="0" w:line="240" w:lineRule="auto"/>
        <w:jc w:val="both"/>
        <w:rPr>
          <w:rFonts w:ascii="Arial" w:hAnsi="Arial" w:cs="Arial"/>
          <w:b/>
          <w:sz w:val="26"/>
          <w:szCs w:val="26"/>
        </w:rPr>
      </w:pPr>
      <w:r w:rsidRPr="00A10850">
        <w:rPr>
          <w:rFonts w:ascii="Arial" w:hAnsi="Arial" w:cs="Arial"/>
          <w:b/>
          <w:sz w:val="26"/>
          <w:szCs w:val="26"/>
        </w:rPr>
        <w:t>2.</w:t>
      </w:r>
      <w:r w:rsidR="00D3388A" w:rsidRPr="00A10850">
        <w:rPr>
          <w:rFonts w:ascii="Arial" w:hAnsi="Arial" w:cs="Arial"/>
          <w:b/>
          <w:sz w:val="26"/>
          <w:szCs w:val="26"/>
        </w:rPr>
        <w:t>7</w:t>
      </w:r>
      <w:r w:rsidRPr="00A10850">
        <w:rPr>
          <w:rFonts w:ascii="Arial" w:hAnsi="Arial" w:cs="Arial"/>
          <w:b/>
          <w:sz w:val="26"/>
          <w:szCs w:val="26"/>
        </w:rPr>
        <w:t xml:space="preserve"> </w:t>
      </w:r>
      <w:r w:rsidR="009316DF" w:rsidRPr="00A10850">
        <w:rPr>
          <w:rFonts w:ascii="Arial" w:hAnsi="Arial" w:cs="Arial"/>
          <w:b/>
          <w:sz w:val="26"/>
          <w:szCs w:val="26"/>
        </w:rPr>
        <w:t>Births</w:t>
      </w:r>
    </w:p>
    <w:p w14:paraId="229A1451" w14:textId="77777777" w:rsidR="00A437D0" w:rsidRDefault="00A437D0" w:rsidP="00DC54F7">
      <w:pPr>
        <w:spacing w:after="0" w:line="240" w:lineRule="auto"/>
        <w:jc w:val="both"/>
        <w:rPr>
          <w:rFonts w:ascii="Arial" w:hAnsi="Arial" w:cs="Arial"/>
          <w:b/>
          <w:sz w:val="26"/>
          <w:szCs w:val="26"/>
        </w:rPr>
      </w:pPr>
    </w:p>
    <w:p w14:paraId="62929FB6" w14:textId="1C52DAFD" w:rsidR="00C376DD" w:rsidRPr="009E76BB" w:rsidRDefault="00513419" w:rsidP="00DC54F7">
      <w:pPr>
        <w:spacing w:after="0" w:line="240" w:lineRule="auto"/>
        <w:jc w:val="both"/>
        <w:rPr>
          <w:rFonts w:ascii="Arial" w:hAnsi="Arial" w:cs="Arial"/>
          <w:sz w:val="24"/>
          <w:szCs w:val="24"/>
          <w:shd w:val="clear" w:color="auto" w:fill="FFFFFF"/>
        </w:rPr>
      </w:pPr>
      <w:r w:rsidRPr="009E76BB">
        <w:rPr>
          <w:rFonts w:ascii="Arial" w:hAnsi="Arial" w:cs="Arial"/>
          <w:sz w:val="24"/>
          <w:szCs w:val="24"/>
          <w:shd w:val="clear" w:color="auto" w:fill="FFFFFF"/>
        </w:rPr>
        <w:t xml:space="preserve">In </w:t>
      </w:r>
      <w:r w:rsidR="00E92FE3" w:rsidRPr="009E76BB">
        <w:rPr>
          <w:rFonts w:ascii="Arial" w:hAnsi="Arial" w:cs="Arial"/>
          <w:sz w:val="24"/>
          <w:szCs w:val="24"/>
          <w:shd w:val="clear" w:color="auto" w:fill="FFFFFF"/>
        </w:rPr>
        <w:t>2019, t</w:t>
      </w:r>
      <w:r w:rsidR="00C376DD" w:rsidRPr="009E76BB">
        <w:rPr>
          <w:rFonts w:ascii="Arial" w:hAnsi="Arial" w:cs="Arial"/>
          <w:sz w:val="24"/>
          <w:szCs w:val="24"/>
          <w:shd w:val="clear" w:color="auto" w:fill="FFFFFF"/>
        </w:rPr>
        <w:t xml:space="preserve">here were </w:t>
      </w:r>
      <w:r w:rsidR="00A437D0" w:rsidRPr="009E76BB">
        <w:rPr>
          <w:rFonts w:ascii="Arial" w:hAnsi="Arial" w:cs="Arial"/>
          <w:sz w:val="24"/>
          <w:szCs w:val="24"/>
          <w:shd w:val="clear" w:color="auto" w:fill="FFFFFF"/>
        </w:rPr>
        <w:t>4,939</w:t>
      </w:r>
      <w:r w:rsidR="00C376DD" w:rsidRPr="009E76BB">
        <w:rPr>
          <w:rFonts w:ascii="Arial" w:hAnsi="Arial" w:cs="Arial"/>
          <w:sz w:val="24"/>
          <w:szCs w:val="24"/>
          <w:shd w:val="clear" w:color="auto" w:fill="FFFFFF"/>
        </w:rPr>
        <w:t xml:space="preserve"> live births in </w:t>
      </w:r>
      <w:r w:rsidR="003D1096" w:rsidRPr="009E76BB">
        <w:rPr>
          <w:rFonts w:ascii="Arial" w:hAnsi="Arial" w:cs="Arial"/>
          <w:sz w:val="24"/>
          <w:szCs w:val="24"/>
          <w:shd w:val="clear" w:color="auto" w:fill="FFFFFF"/>
        </w:rPr>
        <w:t>Cardiff and Vale U</w:t>
      </w:r>
      <w:r w:rsidR="00BD64B9" w:rsidRPr="009E76BB">
        <w:rPr>
          <w:rFonts w:ascii="Arial" w:hAnsi="Arial" w:cs="Arial"/>
          <w:sz w:val="24"/>
          <w:szCs w:val="24"/>
          <w:shd w:val="clear" w:color="auto" w:fill="FFFFFF"/>
        </w:rPr>
        <w:t xml:space="preserve">niversity </w:t>
      </w:r>
      <w:r w:rsidR="003D1096" w:rsidRPr="009E76BB">
        <w:rPr>
          <w:rFonts w:ascii="Arial" w:hAnsi="Arial" w:cs="Arial"/>
          <w:sz w:val="24"/>
          <w:szCs w:val="24"/>
          <w:shd w:val="clear" w:color="auto" w:fill="FFFFFF"/>
        </w:rPr>
        <w:t>H</w:t>
      </w:r>
      <w:r w:rsidR="00BD64B9" w:rsidRPr="009E76BB">
        <w:rPr>
          <w:rFonts w:ascii="Arial" w:hAnsi="Arial" w:cs="Arial"/>
          <w:sz w:val="24"/>
          <w:szCs w:val="24"/>
          <w:shd w:val="clear" w:color="auto" w:fill="FFFFFF"/>
        </w:rPr>
        <w:t xml:space="preserve">ealth </w:t>
      </w:r>
      <w:r w:rsidR="003D1096" w:rsidRPr="009E76BB">
        <w:rPr>
          <w:rFonts w:ascii="Arial" w:hAnsi="Arial" w:cs="Arial"/>
          <w:sz w:val="24"/>
          <w:szCs w:val="24"/>
          <w:shd w:val="clear" w:color="auto" w:fill="FFFFFF"/>
        </w:rPr>
        <w:t>B</w:t>
      </w:r>
      <w:r w:rsidR="00BD64B9" w:rsidRPr="009E76BB">
        <w:rPr>
          <w:rFonts w:ascii="Arial" w:hAnsi="Arial" w:cs="Arial"/>
          <w:sz w:val="24"/>
          <w:szCs w:val="24"/>
          <w:shd w:val="clear" w:color="auto" w:fill="FFFFFF"/>
        </w:rPr>
        <w:t>oard</w:t>
      </w:r>
      <w:r w:rsidR="00C376DD" w:rsidRPr="009E76BB">
        <w:rPr>
          <w:rFonts w:ascii="Arial" w:hAnsi="Arial" w:cs="Arial"/>
          <w:sz w:val="24"/>
          <w:szCs w:val="24"/>
          <w:shd w:val="clear" w:color="auto" w:fill="FFFFFF"/>
        </w:rPr>
        <w:t xml:space="preserve">, a decrease of </w:t>
      </w:r>
      <w:r w:rsidR="00EA571C" w:rsidRPr="009E76BB">
        <w:rPr>
          <w:rFonts w:ascii="Arial" w:hAnsi="Arial" w:cs="Arial"/>
          <w:sz w:val="24"/>
          <w:szCs w:val="24"/>
          <w:shd w:val="clear" w:color="auto" w:fill="FFFFFF"/>
        </w:rPr>
        <w:t>7.</w:t>
      </w:r>
      <w:r w:rsidR="00027FA2" w:rsidRPr="009E76BB">
        <w:rPr>
          <w:rFonts w:ascii="Arial" w:hAnsi="Arial" w:cs="Arial"/>
          <w:sz w:val="24"/>
          <w:szCs w:val="24"/>
          <w:shd w:val="clear" w:color="auto" w:fill="FFFFFF"/>
        </w:rPr>
        <w:t>7</w:t>
      </w:r>
      <w:r w:rsidR="00B93354" w:rsidRPr="009E76BB">
        <w:rPr>
          <w:rFonts w:ascii="Arial" w:hAnsi="Arial" w:cs="Arial"/>
          <w:sz w:val="24"/>
          <w:szCs w:val="24"/>
          <w:shd w:val="clear" w:color="auto" w:fill="FFFFFF"/>
        </w:rPr>
        <w:t xml:space="preserve">% </w:t>
      </w:r>
      <w:r w:rsidR="00C376DD" w:rsidRPr="009E76BB">
        <w:rPr>
          <w:rFonts w:ascii="Arial" w:hAnsi="Arial" w:cs="Arial"/>
          <w:sz w:val="24"/>
          <w:szCs w:val="24"/>
          <w:shd w:val="clear" w:color="auto" w:fill="FFFFFF"/>
        </w:rPr>
        <w:t>since 2018</w:t>
      </w:r>
      <w:r w:rsidR="00974EEA" w:rsidRPr="009E76BB">
        <w:rPr>
          <w:rFonts w:ascii="Arial" w:hAnsi="Arial" w:cs="Arial"/>
          <w:sz w:val="24"/>
          <w:szCs w:val="24"/>
          <w:shd w:val="clear" w:color="auto" w:fill="FFFFFF"/>
        </w:rPr>
        <w:t>.</w:t>
      </w:r>
      <w:r w:rsidR="0010122C" w:rsidRPr="009E76BB">
        <w:rPr>
          <w:rFonts w:ascii="Arial" w:hAnsi="Arial" w:cs="Arial"/>
          <w:sz w:val="24"/>
          <w:szCs w:val="24"/>
          <w:shd w:val="clear" w:color="auto" w:fill="FFFFFF"/>
        </w:rPr>
        <w:t xml:space="preserve"> Cardiff </w:t>
      </w:r>
      <w:r w:rsidR="00AC7718" w:rsidRPr="009E76BB">
        <w:rPr>
          <w:rFonts w:ascii="Arial" w:hAnsi="Arial" w:cs="Arial"/>
          <w:sz w:val="24"/>
          <w:szCs w:val="24"/>
          <w:shd w:val="clear" w:color="auto" w:fill="FFFFFF"/>
        </w:rPr>
        <w:t>had 3,738 live births</w:t>
      </w:r>
      <w:r w:rsidR="003D17BC" w:rsidRPr="009E76BB">
        <w:rPr>
          <w:rFonts w:ascii="Arial" w:hAnsi="Arial" w:cs="Arial"/>
          <w:sz w:val="24"/>
          <w:szCs w:val="24"/>
          <w:shd w:val="clear" w:color="auto" w:fill="FFFFFF"/>
        </w:rPr>
        <w:t xml:space="preserve"> in 2019, a decrease of </w:t>
      </w:r>
      <w:r w:rsidR="00CD3467" w:rsidRPr="009E76BB">
        <w:rPr>
          <w:rFonts w:ascii="Arial" w:hAnsi="Arial" w:cs="Arial"/>
          <w:sz w:val="24"/>
          <w:szCs w:val="24"/>
          <w:shd w:val="clear" w:color="auto" w:fill="FFFFFF"/>
        </w:rPr>
        <w:t>7.</w:t>
      </w:r>
      <w:r w:rsidR="00027FA2" w:rsidRPr="009E76BB">
        <w:rPr>
          <w:rFonts w:ascii="Arial" w:hAnsi="Arial" w:cs="Arial"/>
          <w:sz w:val="24"/>
          <w:szCs w:val="24"/>
          <w:shd w:val="clear" w:color="auto" w:fill="FFFFFF"/>
        </w:rPr>
        <w:t>2</w:t>
      </w:r>
      <w:r w:rsidR="00CD3467" w:rsidRPr="009E76BB">
        <w:rPr>
          <w:rFonts w:ascii="Arial" w:hAnsi="Arial" w:cs="Arial"/>
          <w:sz w:val="24"/>
          <w:szCs w:val="24"/>
          <w:shd w:val="clear" w:color="auto" w:fill="FFFFFF"/>
        </w:rPr>
        <w:t xml:space="preserve">% from 2018. </w:t>
      </w:r>
      <w:r w:rsidR="00AC7718" w:rsidRPr="009E76BB">
        <w:rPr>
          <w:rFonts w:ascii="Arial" w:hAnsi="Arial" w:cs="Arial"/>
          <w:sz w:val="24"/>
          <w:szCs w:val="24"/>
          <w:shd w:val="clear" w:color="auto" w:fill="FFFFFF"/>
        </w:rPr>
        <w:t xml:space="preserve"> </w:t>
      </w:r>
      <w:r w:rsidR="00CD3467" w:rsidRPr="009E76BB">
        <w:rPr>
          <w:rFonts w:ascii="Arial" w:hAnsi="Arial" w:cs="Arial"/>
          <w:sz w:val="24"/>
          <w:szCs w:val="24"/>
          <w:shd w:val="clear" w:color="auto" w:fill="FFFFFF"/>
        </w:rPr>
        <w:t>T</w:t>
      </w:r>
      <w:r w:rsidR="00AC7718" w:rsidRPr="009E76BB">
        <w:rPr>
          <w:rFonts w:ascii="Arial" w:hAnsi="Arial" w:cs="Arial"/>
          <w:sz w:val="24"/>
          <w:szCs w:val="24"/>
          <w:shd w:val="clear" w:color="auto" w:fill="FFFFFF"/>
        </w:rPr>
        <w:t xml:space="preserve">he Vale of Glamorgan </w:t>
      </w:r>
      <w:r w:rsidR="00CD3467" w:rsidRPr="009E76BB">
        <w:rPr>
          <w:rFonts w:ascii="Arial" w:hAnsi="Arial" w:cs="Arial"/>
          <w:sz w:val="24"/>
          <w:szCs w:val="24"/>
          <w:shd w:val="clear" w:color="auto" w:fill="FFFFFF"/>
        </w:rPr>
        <w:t xml:space="preserve">had </w:t>
      </w:r>
      <w:r w:rsidR="00AC7718" w:rsidRPr="009E76BB">
        <w:rPr>
          <w:rFonts w:ascii="Arial" w:hAnsi="Arial" w:cs="Arial"/>
          <w:sz w:val="24"/>
          <w:szCs w:val="24"/>
          <w:shd w:val="clear" w:color="auto" w:fill="FFFFFF"/>
        </w:rPr>
        <w:t>1,201 live births</w:t>
      </w:r>
      <w:r w:rsidR="00CD3467" w:rsidRPr="009E76BB">
        <w:rPr>
          <w:rFonts w:ascii="Arial" w:hAnsi="Arial" w:cs="Arial"/>
          <w:sz w:val="24"/>
          <w:szCs w:val="24"/>
          <w:shd w:val="clear" w:color="auto" w:fill="FFFFFF"/>
        </w:rPr>
        <w:t xml:space="preserve">, a decrease of </w:t>
      </w:r>
      <w:r w:rsidR="008A0A0D" w:rsidRPr="009E76BB">
        <w:rPr>
          <w:rFonts w:ascii="Arial" w:hAnsi="Arial" w:cs="Arial"/>
          <w:sz w:val="24"/>
          <w:szCs w:val="24"/>
          <w:shd w:val="clear" w:color="auto" w:fill="FFFFFF"/>
        </w:rPr>
        <w:t>9.</w:t>
      </w:r>
      <w:r w:rsidR="00027FA2" w:rsidRPr="009E76BB">
        <w:rPr>
          <w:rFonts w:ascii="Arial" w:hAnsi="Arial" w:cs="Arial"/>
          <w:sz w:val="24"/>
          <w:szCs w:val="24"/>
          <w:shd w:val="clear" w:color="auto" w:fill="FFFFFF"/>
        </w:rPr>
        <w:t>2</w:t>
      </w:r>
      <w:r w:rsidR="008A0A0D" w:rsidRPr="009E76BB">
        <w:rPr>
          <w:rFonts w:ascii="Arial" w:hAnsi="Arial" w:cs="Arial"/>
          <w:sz w:val="24"/>
          <w:szCs w:val="24"/>
          <w:shd w:val="clear" w:color="auto" w:fill="FFFFFF"/>
        </w:rPr>
        <w:t>% since 2018.</w:t>
      </w:r>
    </w:p>
    <w:p w14:paraId="149F08F2" w14:textId="3426E0BD" w:rsidR="00AF19A3" w:rsidRPr="009E76BB" w:rsidRDefault="00AF19A3" w:rsidP="00DC54F7">
      <w:pPr>
        <w:spacing w:after="0" w:line="240" w:lineRule="auto"/>
        <w:jc w:val="both"/>
        <w:rPr>
          <w:rFonts w:ascii="Arial" w:hAnsi="Arial" w:cs="Arial"/>
          <w:sz w:val="24"/>
          <w:szCs w:val="24"/>
          <w:shd w:val="clear" w:color="auto" w:fill="FFFFFF"/>
        </w:rPr>
      </w:pPr>
    </w:p>
    <w:p w14:paraId="1DCEBA1C" w14:textId="77777777" w:rsidR="008716EA" w:rsidRPr="006C7E47" w:rsidRDefault="00F160C3" w:rsidP="00DC54F7">
      <w:pPr>
        <w:spacing w:after="0" w:line="240" w:lineRule="auto"/>
        <w:jc w:val="both"/>
        <w:rPr>
          <w:rFonts w:ascii="Arial" w:hAnsi="Arial" w:cs="Arial"/>
          <w:sz w:val="24"/>
          <w:szCs w:val="24"/>
          <w:shd w:val="clear" w:color="auto" w:fill="FFFFFF"/>
        </w:rPr>
      </w:pPr>
      <w:r w:rsidRPr="009E76BB">
        <w:rPr>
          <w:rFonts w:ascii="Arial" w:hAnsi="Arial" w:cs="Arial"/>
          <w:sz w:val="24"/>
          <w:szCs w:val="24"/>
          <w:shd w:val="clear" w:color="auto" w:fill="FFFFFF"/>
        </w:rPr>
        <w:t xml:space="preserve">In 2019, the </w:t>
      </w:r>
      <w:r w:rsidR="009819A8" w:rsidRPr="009E76BB">
        <w:rPr>
          <w:rFonts w:ascii="Arial" w:hAnsi="Arial" w:cs="Arial"/>
          <w:sz w:val="24"/>
          <w:szCs w:val="24"/>
          <w:shd w:val="clear" w:color="auto" w:fill="FFFFFF"/>
        </w:rPr>
        <w:t>total fertility rate</w:t>
      </w:r>
      <w:r w:rsidRPr="009E76BB">
        <w:rPr>
          <w:rFonts w:ascii="Arial" w:hAnsi="Arial" w:cs="Arial"/>
          <w:sz w:val="24"/>
          <w:szCs w:val="24"/>
          <w:shd w:val="clear" w:color="auto" w:fill="FFFFFF"/>
        </w:rPr>
        <w:t xml:space="preserve"> </w:t>
      </w:r>
      <w:r w:rsidR="003C2BF0" w:rsidRPr="009E76BB">
        <w:rPr>
          <w:rFonts w:ascii="Arial" w:hAnsi="Arial" w:cs="Arial"/>
          <w:sz w:val="24"/>
          <w:szCs w:val="24"/>
          <w:shd w:val="clear" w:color="auto" w:fill="FFFFFF"/>
        </w:rPr>
        <w:t>(the average number of children a woman gives birth to</w:t>
      </w:r>
      <w:r w:rsidR="00A427B9" w:rsidRPr="009E76BB">
        <w:rPr>
          <w:rFonts w:ascii="Arial" w:hAnsi="Arial" w:cs="Arial"/>
          <w:sz w:val="24"/>
          <w:szCs w:val="24"/>
          <w:shd w:val="clear" w:color="auto" w:fill="FFFFFF"/>
        </w:rPr>
        <w:t xml:space="preserve"> during reproductive years</w:t>
      </w:r>
      <w:r w:rsidR="003C2BF0" w:rsidRPr="009E76BB">
        <w:rPr>
          <w:rFonts w:ascii="Arial" w:hAnsi="Arial" w:cs="Arial"/>
          <w:sz w:val="24"/>
          <w:szCs w:val="24"/>
          <w:shd w:val="clear" w:color="auto" w:fill="FFFFFF"/>
        </w:rPr>
        <w:t xml:space="preserve">) </w:t>
      </w:r>
      <w:r w:rsidRPr="009E76BB">
        <w:rPr>
          <w:rFonts w:ascii="Arial" w:hAnsi="Arial" w:cs="Arial"/>
          <w:sz w:val="24"/>
          <w:szCs w:val="24"/>
          <w:shd w:val="clear" w:color="auto" w:fill="FFFFFF"/>
        </w:rPr>
        <w:t xml:space="preserve">for Wales </w:t>
      </w:r>
      <w:r w:rsidR="00A77A74" w:rsidRPr="009E76BB">
        <w:rPr>
          <w:rFonts w:ascii="Arial" w:hAnsi="Arial" w:cs="Arial"/>
          <w:sz w:val="24"/>
          <w:szCs w:val="24"/>
          <w:shd w:val="clear" w:color="auto" w:fill="FFFFFF"/>
        </w:rPr>
        <w:t>was 1.5</w:t>
      </w:r>
      <w:r w:rsidR="00C0126D" w:rsidRPr="009E76BB">
        <w:rPr>
          <w:rFonts w:ascii="Arial" w:hAnsi="Arial" w:cs="Arial"/>
          <w:sz w:val="24"/>
          <w:szCs w:val="24"/>
          <w:shd w:val="clear" w:color="auto" w:fill="FFFFFF"/>
        </w:rPr>
        <w:t>4</w:t>
      </w:r>
      <w:r w:rsidR="00C763D3" w:rsidRPr="009E76BB">
        <w:rPr>
          <w:rFonts w:ascii="Arial" w:hAnsi="Arial" w:cs="Arial"/>
          <w:sz w:val="24"/>
          <w:szCs w:val="24"/>
          <w:shd w:val="clear" w:color="auto" w:fill="FFFFFF"/>
        </w:rPr>
        <w:t xml:space="preserve"> children per women</w:t>
      </w:r>
      <w:r w:rsidR="000749FA" w:rsidRPr="009E76BB">
        <w:rPr>
          <w:rFonts w:ascii="Arial" w:hAnsi="Arial" w:cs="Arial"/>
          <w:sz w:val="24"/>
          <w:szCs w:val="24"/>
          <w:shd w:val="clear" w:color="auto" w:fill="FFFFFF"/>
        </w:rPr>
        <w:t xml:space="preserve">. This was </w:t>
      </w:r>
      <w:r w:rsidR="00A77A74" w:rsidRPr="009E76BB">
        <w:rPr>
          <w:rFonts w:ascii="Arial" w:hAnsi="Arial" w:cs="Arial"/>
          <w:sz w:val="24"/>
          <w:szCs w:val="24"/>
          <w:shd w:val="clear" w:color="auto" w:fill="FFFFFF"/>
        </w:rPr>
        <w:t xml:space="preserve">a </w:t>
      </w:r>
      <w:r w:rsidR="00290E5D" w:rsidRPr="009E76BB">
        <w:rPr>
          <w:rFonts w:ascii="Arial" w:hAnsi="Arial" w:cs="Arial"/>
          <w:sz w:val="24"/>
          <w:szCs w:val="24"/>
          <w:shd w:val="clear" w:color="auto" w:fill="FFFFFF"/>
        </w:rPr>
        <w:t>decrease</w:t>
      </w:r>
      <w:r w:rsidR="009819A8" w:rsidRPr="009E76BB">
        <w:rPr>
          <w:rFonts w:ascii="Arial" w:hAnsi="Arial" w:cs="Arial"/>
          <w:sz w:val="24"/>
          <w:szCs w:val="24"/>
          <w:shd w:val="clear" w:color="auto" w:fill="FFFFFF"/>
        </w:rPr>
        <w:t xml:space="preserve"> from </w:t>
      </w:r>
      <w:r w:rsidR="005D7AAD" w:rsidRPr="009E76BB">
        <w:rPr>
          <w:rFonts w:ascii="Arial" w:hAnsi="Arial" w:cs="Arial"/>
          <w:sz w:val="24"/>
          <w:szCs w:val="24"/>
          <w:shd w:val="clear" w:color="auto" w:fill="FFFFFF"/>
        </w:rPr>
        <w:t xml:space="preserve">1.63 children per women in </w:t>
      </w:r>
      <w:r w:rsidR="00290E5D" w:rsidRPr="009E76BB">
        <w:rPr>
          <w:rFonts w:ascii="Arial" w:hAnsi="Arial" w:cs="Arial"/>
          <w:sz w:val="24"/>
          <w:szCs w:val="24"/>
          <w:shd w:val="clear" w:color="auto" w:fill="FFFFFF"/>
        </w:rPr>
        <w:t>2018</w:t>
      </w:r>
      <w:r w:rsidR="0098507D" w:rsidRPr="009E76BB">
        <w:rPr>
          <w:rFonts w:ascii="Arial" w:hAnsi="Arial" w:cs="Arial"/>
          <w:sz w:val="24"/>
          <w:szCs w:val="24"/>
          <w:shd w:val="clear" w:color="auto" w:fill="FFFFFF"/>
        </w:rPr>
        <w:t xml:space="preserve"> and </w:t>
      </w:r>
      <w:r w:rsidRPr="009E76BB">
        <w:rPr>
          <w:rFonts w:ascii="Arial" w:hAnsi="Arial" w:cs="Arial"/>
          <w:sz w:val="24"/>
          <w:szCs w:val="24"/>
          <w:shd w:val="clear" w:color="auto" w:fill="FFFFFF"/>
        </w:rPr>
        <w:t>the lowest since records began in 1982</w:t>
      </w:r>
      <w:r w:rsidR="00FF707E" w:rsidRPr="009E76BB">
        <w:rPr>
          <w:rFonts w:ascii="Arial" w:hAnsi="Arial" w:cs="Arial"/>
          <w:sz w:val="24"/>
          <w:szCs w:val="24"/>
          <w:shd w:val="clear" w:color="auto" w:fill="FFFFFF"/>
        </w:rPr>
        <w:t>.</w:t>
      </w:r>
      <w:r w:rsidR="006A5F6F" w:rsidRPr="009E76BB">
        <w:rPr>
          <w:rStyle w:val="FootnoteReference"/>
          <w:rFonts w:ascii="Arial" w:hAnsi="Arial" w:cs="Arial"/>
          <w:sz w:val="24"/>
          <w:szCs w:val="24"/>
          <w:shd w:val="clear" w:color="auto" w:fill="FFFFFF"/>
        </w:rPr>
        <w:footnoteReference w:id="4"/>
      </w:r>
      <w:r w:rsidR="001A4F67" w:rsidRPr="009E76BB">
        <w:rPr>
          <w:rFonts w:ascii="Arial" w:hAnsi="Arial" w:cs="Arial"/>
          <w:sz w:val="24"/>
          <w:szCs w:val="24"/>
          <w:shd w:val="clear" w:color="auto" w:fill="FFFFFF"/>
        </w:rPr>
        <w:t>.</w:t>
      </w:r>
      <w:r w:rsidR="008716EA" w:rsidRPr="009E76BB">
        <w:rPr>
          <w:rFonts w:ascii="Arial" w:hAnsi="Arial" w:cs="Arial"/>
          <w:sz w:val="24"/>
          <w:szCs w:val="24"/>
          <w:shd w:val="clear" w:color="auto" w:fill="FFFFFF"/>
        </w:rPr>
        <w:t xml:space="preserve"> </w:t>
      </w:r>
      <w:r w:rsidR="008716EA" w:rsidRPr="006C7E47">
        <w:rPr>
          <w:rFonts w:ascii="Arial" w:hAnsi="Arial" w:cs="Arial"/>
          <w:sz w:val="24"/>
          <w:szCs w:val="24"/>
          <w:shd w:val="clear" w:color="auto" w:fill="FFFFFF"/>
        </w:rPr>
        <w:t>When considering the age-specific fertility rates, the rates decreased in all age groups except for women aged 40 years and over, where it increased from 11.2 to 11.6 births per 1,000 women. This suggests that women may be delaying childbearing to older ages and reflects the trend seen in the UK.</w:t>
      </w:r>
    </w:p>
    <w:p w14:paraId="118353DE" w14:textId="69622681" w:rsidR="00572734" w:rsidRPr="009E76BB" w:rsidRDefault="001238AD" w:rsidP="00DC54F7">
      <w:pPr>
        <w:spacing w:after="0" w:line="240" w:lineRule="auto"/>
        <w:jc w:val="both"/>
        <w:rPr>
          <w:rFonts w:ascii="Arial" w:hAnsi="Arial" w:cs="Arial"/>
          <w:sz w:val="24"/>
          <w:szCs w:val="24"/>
          <w:shd w:val="clear" w:color="auto" w:fill="FFFFFF"/>
        </w:rPr>
      </w:pPr>
      <w:r w:rsidRPr="009E76BB">
        <w:rPr>
          <w:rFonts w:ascii="Arial" w:hAnsi="Arial" w:cs="Arial"/>
          <w:sz w:val="24"/>
          <w:szCs w:val="24"/>
          <w:shd w:val="clear" w:color="auto" w:fill="FFFFFF"/>
        </w:rPr>
        <w:lastRenderedPageBreak/>
        <w:t xml:space="preserve">The total fertility rate </w:t>
      </w:r>
      <w:r w:rsidR="000F3A03" w:rsidRPr="009E76BB">
        <w:rPr>
          <w:rFonts w:ascii="Arial" w:hAnsi="Arial" w:cs="Arial"/>
          <w:sz w:val="24"/>
          <w:szCs w:val="24"/>
          <w:shd w:val="clear" w:color="auto" w:fill="FFFFFF"/>
        </w:rPr>
        <w:t>for Cardiff</w:t>
      </w:r>
      <w:r w:rsidR="004245D3" w:rsidRPr="009E76BB">
        <w:rPr>
          <w:rFonts w:ascii="Arial" w:hAnsi="Arial" w:cs="Arial"/>
          <w:sz w:val="24"/>
          <w:szCs w:val="24"/>
          <w:shd w:val="clear" w:color="auto" w:fill="FFFFFF"/>
        </w:rPr>
        <w:t xml:space="preserve"> </w:t>
      </w:r>
      <w:r w:rsidR="00F307ED" w:rsidRPr="009E76BB">
        <w:rPr>
          <w:rFonts w:ascii="Arial" w:hAnsi="Arial" w:cs="Arial"/>
          <w:sz w:val="24"/>
          <w:szCs w:val="24"/>
          <w:shd w:val="clear" w:color="auto" w:fill="FFFFFF"/>
        </w:rPr>
        <w:t xml:space="preserve">decreased </w:t>
      </w:r>
      <w:r w:rsidR="000F3A03" w:rsidRPr="009E76BB">
        <w:rPr>
          <w:rFonts w:ascii="Arial" w:hAnsi="Arial" w:cs="Arial"/>
          <w:sz w:val="24"/>
          <w:szCs w:val="24"/>
          <w:shd w:val="clear" w:color="auto" w:fill="FFFFFF"/>
        </w:rPr>
        <w:t>form 1.45 children per women in 201</w:t>
      </w:r>
      <w:r w:rsidR="000E2B9F" w:rsidRPr="009E76BB">
        <w:rPr>
          <w:rFonts w:ascii="Arial" w:hAnsi="Arial" w:cs="Arial"/>
          <w:sz w:val="24"/>
          <w:szCs w:val="24"/>
          <w:shd w:val="clear" w:color="auto" w:fill="FFFFFF"/>
        </w:rPr>
        <w:t>8</w:t>
      </w:r>
      <w:r w:rsidR="000F3A03" w:rsidRPr="009E76BB">
        <w:rPr>
          <w:rFonts w:ascii="Arial" w:hAnsi="Arial" w:cs="Arial"/>
          <w:sz w:val="24"/>
          <w:szCs w:val="24"/>
          <w:shd w:val="clear" w:color="auto" w:fill="FFFFFF"/>
        </w:rPr>
        <w:t xml:space="preserve"> to 1.35 children per women in 201</w:t>
      </w:r>
      <w:r w:rsidR="000E2B9F" w:rsidRPr="009E76BB">
        <w:rPr>
          <w:rFonts w:ascii="Arial" w:hAnsi="Arial" w:cs="Arial"/>
          <w:sz w:val="24"/>
          <w:szCs w:val="24"/>
          <w:shd w:val="clear" w:color="auto" w:fill="FFFFFF"/>
        </w:rPr>
        <w:t>9</w:t>
      </w:r>
      <w:r w:rsidR="000F3A03" w:rsidRPr="009E76BB">
        <w:rPr>
          <w:rFonts w:ascii="Arial" w:hAnsi="Arial" w:cs="Arial"/>
          <w:sz w:val="24"/>
          <w:szCs w:val="24"/>
          <w:shd w:val="clear" w:color="auto" w:fill="FFFFFF"/>
        </w:rPr>
        <w:t>.</w:t>
      </w:r>
      <w:r w:rsidRPr="009E76BB">
        <w:rPr>
          <w:rFonts w:ascii="Arial" w:hAnsi="Arial" w:cs="Arial"/>
          <w:sz w:val="24"/>
          <w:szCs w:val="24"/>
          <w:shd w:val="clear" w:color="auto" w:fill="FFFFFF"/>
        </w:rPr>
        <w:t xml:space="preserve"> </w:t>
      </w:r>
      <w:r w:rsidR="00572734" w:rsidRPr="006C7E47">
        <w:rPr>
          <w:rFonts w:ascii="Arial" w:hAnsi="Arial" w:cs="Arial"/>
          <w:sz w:val="24"/>
          <w:szCs w:val="24"/>
          <w:shd w:val="clear" w:color="auto" w:fill="FFFFFF"/>
        </w:rPr>
        <w:t>When considering the age-specific fertility rates</w:t>
      </w:r>
      <w:r w:rsidR="00572734" w:rsidRPr="009E76BB">
        <w:rPr>
          <w:rFonts w:ascii="Arial" w:hAnsi="Arial" w:cs="Arial"/>
          <w:sz w:val="24"/>
          <w:szCs w:val="24"/>
          <w:shd w:val="clear" w:color="auto" w:fill="FFFFFF"/>
        </w:rPr>
        <w:t>, t</w:t>
      </w:r>
      <w:r w:rsidR="00CD27CE" w:rsidRPr="009E76BB">
        <w:rPr>
          <w:rFonts w:ascii="Arial" w:hAnsi="Arial" w:cs="Arial"/>
          <w:sz w:val="24"/>
          <w:szCs w:val="24"/>
          <w:shd w:val="clear" w:color="auto" w:fill="FFFFFF"/>
        </w:rPr>
        <w:t xml:space="preserve">he </w:t>
      </w:r>
      <w:r w:rsidR="001A5B57" w:rsidRPr="009E76BB">
        <w:rPr>
          <w:rFonts w:ascii="Arial" w:hAnsi="Arial" w:cs="Arial"/>
          <w:sz w:val="24"/>
          <w:szCs w:val="24"/>
          <w:shd w:val="clear" w:color="auto" w:fill="FFFFFF"/>
        </w:rPr>
        <w:t>decrease</w:t>
      </w:r>
      <w:r w:rsidR="00CD27CE" w:rsidRPr="009E76BB">
        <w:rPr>
          <w:rFonts w:ascii="Arial" w:hAnsi="Arial" w:cs="Arial"/>
          <w:sz w:val="24"/>
          <w:szCs w:val="24"/>
          <w:shd w:val="clear" w:color="auto" w:fill="FFFFFF"/>
        </w:rPr>
        <w:t xml:space="preserve"> was</w:t>
      </w:r>
      <w:r w:rsidR="001A5B57" w:rsidRPr="009E76BB">
        <w:rPr>
          <w:rFonts w:ascii="Arial" w:hAnsi="Arial" w:cs="Arial"/>
          <w:sz w:val="24"/>
          <w:szCs w:val="24"/>
          <w:shd w:val="clear" w:color="auto" w:fill="FFFFFF"/>
        </w:rPr>
        <w:t xml:space="preserve"> in all age groups </w:t>
      </w:r>
      <w:r w:rsidR="005E5E3D" w:rsidRPr="009E76BB">
        <w:rPr>
          <w:rFonts w:ascii="Arial" w:hAnsi="Arial" w:cs="Arial"/>
          <w:sz w:val="24"/>
          <w:szCs w:val="24"/>
          <w:shd w:val="clear" w:color="auto" w:fill="FFFFFF"/>
        </w:rPr>
        <w:t xml:space="preserve">except for </w:t>
      </w:r>
      <w:r w:rsidR="00140CD0" w:rsidRPr="009E76BB">
        <w:rPr>
          <w:rFonts w:ascii="Arial" w:hAnsi="Arial" w:cs="Arial"/>
          <w:sz w:val="24"/>
          <w:szCs w:val="24"/>
          <w:shd w:val="clear" w:color="auto" w:fill="FFFFFF"/>
        </w:rPr>
        <w:t>women aged 40 years and over</w:t>
      </w:r>
      <w:r w:rsidR="009349EE" w:rsidRPr="009E76BB">
        <w:rPr>
          <w:rFonts w:ascii="Arial" w:hAnsi="Arial" w:cs="Arial"/>
          <w:sz w:val="24"/>
          <w:szCs w:val="24"/>
          <w:shd w:val="clear" w:color="auto" w:fill="FFFFFF"/>
        </w:rPr>
        <w:t xml:space="preserve">. </w:t>
      </w:r>
      <w:r w:rsidR="0032019B" w:rsidRPr="009E76BB">
        <w:rPr>
          <w:rFonts w:ascii="Arial" w:hAnsi="Arial" w:cs="Arial"/>
          <w:sz w:val="24"/>
          <w:szCs w:val="24"/>
          <w:shd w:val="clear" w:color="auto" w:fill="FFFFFF"/>
        </w:rPr>
        <w:t>T</w:t>
      </w:r>
      <w:r w:rsidR="00800CEF" w:rsidRPr="009E76BB">
        <w:rPr>
          <w:rFonts w:ascii="Arial" w:hAnsi="Arial" w:cs="Arial"/>
          <w:sz w:val="24"/>
          <w:szCs w:val="24"/>
          <w:shd w:val="clear" w:color="auto" w:fill="FFFFFF"/>
        </w:rPr>
        <w:t xml:space="preserve">here was also an increase in </w:t>
      </w:r>
      <w:r w:rsidR="00732186" w:rsidRPr="009E76BB">
        <w:rPr>
          <w:rFonts w:ascii="Arial" w:hAnsi="Arial" w:cs="Arial"/>
          <w:sz w:val="24"/>
          <w:szCs w:val="24"/>
          <w:shd w:val="clear" w:color="auto" w:fill="FFFFFF"/>
        </w:rPr>
        <w:t xml:space="preserve">age-specific </w:t>
      </w:r>
      <w:r w:rsidR="00F675AB" w:rsidRPr="009E76BB">
        <w:rPr>
          <w:rFonts w:ascii="Arial" w:hAnsi="Arial" w:cs="Arial"/>
          <w:sz w:val="24"/>
          <w:szCs w:val="24"/>
          <w:shd w:val="clear" w:color="auto" w:fill="FFFFFF"/>
        </w:rPr>
        <w:t xml:space="preserve">fertility rates in the </w:t>
      </w:r>
      <w:r w:rsidR="00AF4C7C" w:rsidRPr="009E76BB">
        <w:rPr>
          <w:rFonts w:ascii="Arial" w:hAnsi="Arial" w:cs="Arial"/>
          <w:sz w:val="24"/>
          <w:szCs w:val="24"/>
          <w:shd w:val="clear" w:color="auto" w:fill="FFFFFF"/>
        </w:rPr>
        <w:t xml:space="preserve">18 to 19 </w:t>
      </w:r>
      <w:r w:rsidR="00B52902" w:rsidRPr="009E76BB">
        <w:rPr>
          <w:rFonts w:ascii="Arial" w:hAnsi="Arial" w:cs="Arial"/>
          <w:sz w:val="24"/>
          <w:szCs w:val="24"/>
          <w:shd w:val="clear" w:color="auto" w:fill="FFFFFF"/>
        </w:rPr>
        <w:t>age group.</w:t>
      </w:r>
      <w:r w:rsidR="00CD6B37" w:rsidRPr="009E76BB">
        <w:rPr>
          <w:rFonts w:ascii="Arial" w:hAnsi="Arial" w:cs="Arial"/>
          <w:sz w:val="24"/>
          <w:szCs w:val="24"/>
          <w:shd w:val="clear" w:color="auto" w:fill="FFFFFF"/>
        </w:rPr>
        <w:t xml:space="preserve"> </w:t>
      </w:r>
    </w:p>
    <w:p w14:paraId="6D70F1E2" w14:textId="77777777" w:rsidR="00572734" w:rsidRPr="009E76BB" w:rsidRDefault="00572734" w:rsidP="00DC54F7">
      <w:pPr>
        <w:spacing w:after="0" w:line="240" w:lineRule="auto"/>
        <w:jc w:val="both"/>
        <w:rPr>
          <w:rFonts w:ascii="Arial" w:hAnsi="Arial" w:cs="Arial"/>
          <w:sz w:val="24"/>
          <w:szCs w:val="24"/>
          <w:shd w:val="clear" w:color="auto" w:fill="FFFFFF"/>
        </w:rPr>
      </w:pPr>
    </w:p>
    <w:p w14:paraId="2F8EDA42" w14:textId="23DC4F4B" w:rsidR="00EA5044" w:rsidRPr="009E76BB" w:rsidRDefault="009432FD" w:rsidP="00DC54F7">
      <w:pPr>
        <w:spacing w:after="0" w:line="240" w:lineRule="auto"/>
        <w:jc w:val="both"/>
        <w:rPr>
          <w:rFonts w:ascii="Arial" w:hAnsi="Arial" w:cs="Arial"/>
          <w:sz w:val="24"/>
          <w:szCs w:val="24"/>
          <w:shd w:val="clear" w:color="auto" w:fill="FFFFFF"/>
        </w:rPr>
      </w:pPr>
      <w:r w:rsidRPr="009E76BB">
        <w:rPr>
          <w:rFonts w:ascii="Arial" w:hAnsi="Arial" w:cs="Arial"/>
          <w:sz w:val="24"/>
          <w:szCs w:val="24"/>
          <w:shd w:val="clear" w:color="auto" w:fill="FFFFFF"/>
        </w:rPr>
        <w:t xml:space="preserve">Over the same period, the total fertility rate for the Vale of Glamorgan was higher than </w:t>
      </w:r>
      <w:r w:rsidR="00CD6B37" w:rsidRPr="009E76BB">
        <w:rPr>
          <w:rFonts w:ascii="Arial" w:hAnsi="Arial" w:cs="Arial"/>
          <w:sz w:val="24"/>
          <w:szCs w:val="24"/>
          <w:shd w:val="clear" w:color="auto" w:fill="FFFFFF"/>
        </w:rPr>
        <w:t xml:space="preserve">both </w:t>
      </w:r>
      <w:r w:rsidRPr="009E76BB">
        <w:rPr>
          <w:rFonts w:ascii="Arial" w:hAnsi="Arial" w:cs="Arial"/>
          <w:sz w:val="24"/>
          <w:szCs w:val="24"/>
          <w:shd w:val="clear" w:color="auto" w:fill="FFFFFF"/>
        </w:rPr>
        <w:t xml:space="preserve">Wales </w:t>
      </w:r>
      <w:r w:rsidR="00CD6B37" w:rsidRPr="009E76BB">
        <w:rPr>
          <w:rFonts w:ascii="Arial" w:hAnsi="Arial" w:cs="Arial"/>
          <w:sz w:val="24"/>
          <w:szCs w:val="24"/>
          <w:shd w:val="clear" w:color="auto" w:fill="FFFFFF"/>
        </w:rPr>
        <w:t xml:space="preserve">and Cardiff </w:t>
      </w:r>
      <w:r w:rsidRPr="009E76BB">
        <w:rPr>
          <w:rFonts w:ascii="Arial" w:hAnsi="Arial" w:cs="Arial"/>
          <w:sz w:val="24"/>
          <w:szCs w:val="24"/>
          <w:shd w:val="clear" w:color="auto" w:fill="FFFFFF"/>
        </w:rPr>
        <w:t xml:space="preserve">at 1.60 children per women, a decrease from 1.79 children per women from the previous year. </w:t>
      </w:r>
      <w:r w:rsidR="008167F6" w:rsidRPr="009E76BB">
        <w:rPr>
          <w:rFonts w:ascii="Arial" w:hAnsi="Arial" w:cs="Arial"/>
          <w:color w:val="323132"/>
          <w:sz w:val="24"/>
          <w:szCs w:val="24"/>
          <w:shd w:val="clear" w:color="auto" w:fill="FFFFFF"/>
        </w:rPr>
        <w:t>When considering the age-specific fertility rates</w:t>
      </w:r>
      <w:r w:rsidR="008167F6" w:rsidRPr="009E76BB">
        <w:rPr>
          <w:rFonts w:ascii="Arial" w:hAnsi="Arial" w:cs="Arial"/>
          <w:sz w:val="24"/>
          <w:szCs w:val="24"/>
          <w:shd w:val="clear" w:color="auto" w:fill="FFFFFF"/>
        </w:rPr>
        <w:t>, t</w:t>
      </w:r>
      <w:r w:rsidRPr="009E76BB">
        <w:rPr>
          <w:rFonts w:ascii="Arial" w:hAnsi="Arial" w:cs="Arial"/>
          <w:sz w:val="24"/>
          <w:szCs w:val="24"/>
          <w:shd w:val="clear" w:color="auto" w:fill="FFFFFF"/>
        </w:rPr>
        <w:t xml:space="preserve">he decrease was across all age groups except the </w:t>
      </w:r>
      <w:r w:rsidR="00011D8D" w:rsidRPr="009E76BB">
        <w:rPr>
          <w:rFonts w:ascii="Arial" w:hAnsi="Arial" w:cs="Arial"/>
          <w:sz w:val="24"/>
          <w:szCs w:val="24"/>
          <w:shd w:val="clear" w:color="auto" w:fill="FFFFFF"/>
        </w:rPr>
        <w:t>18 to 19 age group</w:t>
      </w:r>
      <w:r w:rsidRPr="009E76BB">
        <w:rPr>
          <w:rFonts w:ascii="Arial" w:hAnsi="Arial" w:cs="Arial"/>
          <w:sz w:val="24"/>
          <w:szCs w:val="24"/>
          <w:shd w:val="clear" w:color="auto" w:fill="FFFFFF"/>
        </w:rPr>
        <w:t>, w</w:t>
      </w:r>
      <w:r w:rsidR="005F77A9" w:rsidRPr="009E76BB">
        <w:rPr>
          <w:rFonts w:ascii="Arial" w:hAnsi="Arial" w:cs="Arial"/>
          <w:sz w:val="24"/>
          <w:szCs w:val="24"/>
          <w:shd w:val="clear" w:color="auto" w:fill="FFFFFF"/>
        </w:rPr>
        <w:t>here there was no change.</w:t>
      </w:r>
      <w:r w:rsidR="00D156CF" w:rsidRPr="009E76BB">
        <w:rPr>
          <w:rFonts w:ascii="Arial" w:hAnsi="Arial" w:cs="Arial"/>
          <w:sz w:val="24"/>
          <w:szCs w:val="24"/>
          <w:shd w:val="clear" w:color="auto" w:fill="FFFFFF"/>
        </w:rPr>
        <w:t xml:space="preserve"> </w:t>
      </w:r>
    </w:p>
    <w:p w14:paraId="4461B013" w14:textId="77777777" w:rsidR="00EA5044" w:rsidRPr="009E76BB" w:rsidRDefault="00EA5044" w:rsidP="00DC54F7">
      <w:pPr>
        <w:spacing w:after="0" w:line="240" w:lineRule="auto"/>
        <w:jc w:val="both"/>
        <w:rPr>
          <w:rFonts w:ascii="Arial" w:hAnsi="Arial" w:cs="Arial"/>
          <w:color w:val="323132"/>
          <w:sz w:val="24"/>
          <w:szCs w:val="24"/>
          <w:shd w:val="clear" w:color="auto" w:fill="FFFFFF"/>
        </w:rPr>
      </w:pPr>
    </w:p>
    <w:p w14:paraId="10BC7E6B" w14:textId="44D4C611" w:rsidR="009432FD" w:rsidRPr="009E76BB" w:rsidRDefault="007D5EB5" w:rsidP="00DC54F7">
      <w:pPr>
        <w:spacing w:after="0" w:line="240" w:lineRule="auto"/>
        <w:jc w:val="both"/>
        <w:rPr>
          <w:rFonts w:ascii="Arial" w:hAnsi="Arial" w:cs="Arial"/>
          <w:sz w:val="24"/>
          <w:szCs w:val="24"/>
          <w:shd w:val="clear" w:color="auto" w:fill="FFFFFF"/>
        </w:rPr>
      </w:pPr>
      <w:r w:rsidRPr="006C7E47">
        <w:rPr>
          <w:rFonts w:ascii="Arial" w:hAnsi="Arial" w:cs="Arial"/>
          <w:sz w:val="24"/>
          <w:szCs w:val="24"/>
          <w:shd w:val="clear" w:color="auto" w:fill="FFFFFF"/>
        </w:rPr>
        <w:t>In 2019, t</w:t>
      </w:r>
      <w:r w:rsidR="00D156CF" w:rsidRPr="006C7E47">
        <w:rPr>
          <w:rFonts w:ascii="Arial" w:hAnsi="Arial" w:cs="Arial"/>
          <w:sz w:val="24"/>
          <w:szCs w:val="24"/>
          <w:shd w:val="clear" w:color="auto" w:fill="FFFFFF"/>
        </w:rPr>
        <w:t>he standardised mean age of mother at childbirth was 3</w:t>
      </w:r>
      <w:r w:rsidR="00EA5044" w:rsidRPr="006C7E47">
        <w:rPr>
          <w:rFonts w:ascii="Arial" w:hAnsi="Arial" w:cs="Arial"/>
          <w:sz w:val="24"/>
          <w:szCs w:val="24"/>
          <w:shd w:val="clear" w:color="auto" w:fill="FFFFFF"/>
        </w:rPr>
        <w:t>2</w:t>
      </w:r>
      <w:r w:rsidR="00D156CF" w:rsidRPr="006C7E47">
        <w:rPr>
          <w:rFonts w:ascii="Arial" w:hAnsi="Arial" w:cs="Arial"/>
          <w:sz w:val="24"/>
          <w:szCs w:val="24"/>
          <w:shd w:val="clear" w:color="auto" w:fill="FFFFFF"/>
        </w:rPr>
        <w:t>.</w:t>
      </w:r>
      <w:r w:rsidR="00EA5044" w:rsidRPr="006C7E47">
        <w:rPr>
          <w:rFonts w:ascii="Arial" w:hAnsi="Arial" w:cs="Arial"/>
          <w:sz w:val="24"/>
          <w:szCs w:val="24"/>
          <w:shd w:val="clear" w:color="auto" w:fill="FFFFFF"/>
        </w:rPr>
        <w:t>1</w:t>
      </w:r>
      <w:r w:rsidR="00D156CF" w:rsidRPr="006C7E47">
        <w:rPr>
          <w:rFonts w:ascii="Arial" w:hAnsi="Arial" w:cs="Arial"/>
          <w:sz w:val="24"/>
          <w:szCs w:val="24"/>
          <w:shd w:val="clear" w:color="auto" w:fill="FFFFFF"/>
        </w:rPr>
        <w:t xml:space="preserve"> years</w:t>
      </w:r>
      <w:r w:rsidR="00EA5044" w:rsidRPr="006C7E47">
        <w:rPr>
          <w:rFonts w:ascii="Arial" w:hAnsi="Arial" w:cs="Arial"/>
          <w:sz w:val="24"/>
          <w:szCs w:val="24"/>
          <w:shd w:val="clear" w:color="auto" w:fill="FFFFFF"/>
        </w:rPr>
        <w:t xml:space="preserve"> in Cardiff and </w:t>
      </w:r>
      <w:r w:rsidR="00CD7EE3" w:rsidRPr="006C7E47">
        <w:rPr>
          <w:rFonts w:ascii="Arial" w:hAnsi="Arial" w:cs="Arial"/>
          <w:sz w:val="24"/>
          <w:szCs w:val="24"/>
          <w:shd w:val="clear" w:color="auto" w:fill="FFFFFF"/>
        </w:rPr>
        <w:t xml:space="preserve">30 years for the Vale of Glamorgan, </w:t>
      </w:r>
      <w:r w:rsidR="00FB4090" w:rsidRPr="006C7E47">
        <w:rPr>
          <w:rFonts w:ascii="Arial" w:hAnsi="Arial" w:cs="Arial"/>
          <w:sz w:val="24"/>
          <w:szCs w:val="24"/>
          <w:shd w:val="clear" w:color="auto" w:fill="FFFFFF"/>
        </w:rPr>
        <w:t xml:space="preserve">slightly </w:t>
      </w:r>
      <w:r w:rsidR="00CD7EE3" w:rsidRPr="006C7E47">
        <w:rPr>
          <w:rFonts w:ascii="Arial" w:hAnsi="Arial" w:cs="Arial"/>
          <w:sz w:val="24"/>
          <w:szCs w:val="24"/>
          <w:shd w:val="clear" w:color="auto" w:fill="FFFFFF"/>
        </w:rPr>
        <w:t xml:space="preserve">higher </w:t>
      </w:r>
      <w:r w:rsidR="00F95718" w:rsidRPr="006C7E47">
        <w:rPr>
          <w:rFonts w:ascii="Arial" w:hAnsi="Arial" w:cs="Arial"/>
          <w:sz w:val="24"/>
          <w:szCs w:val="24"/>
          <w:shd w:val="clear" w:color="auto" w:fill="FFFFFF"/>
        </w:rPr>
        <w:t>than the average for Wales</w:t>
      </w:r>
      <w:r w:rsidR="00CD7EE3" w:rsidRPr="006C7E47">
        <w:rPr>
          <w:rFonts w:ascii="Arial" w:hAnsi="Arial" w:cs="Arial"/>
          <w:sz w:val="24"/>
          <w:szCs w:val="24"/>
          <w:shd w:val="clear" w:color="auto" w:fill="FFFFFF"/>
        </w:rPr>
        <w:t xml:space="preserve"> at </w:t>
      </w:r>
      <w:r w:rsidRPr="006C7E47">
        <w:rPr>
          <w:rFonts w:ascii="Arial" w:hAnsi="Arial" w:cs="Arial"/>
          <w:sz w:val="24"/>
          <w:szCs w:val="24"/>
          <w:shd w:val="clear" w:color="auto" w:fill="FFFFFF"/>
        </w:rPr>
        <w:t>29.9 years</w:t>
      </w:r>
      <w:r w:rsidRPr="009E76BB">
        <w:rPr>
          <w:rFonts w:ascii="Arial" w:hAnsi="Arial" w:cs="Arial"/>
          <w:color w:val="323132"/>
          <w:sz w:val="24"/>
          <w:szCs w:val="24"/>
          <w:shd w:val="clear" w:color="auto" w:fill="FFFFFF"/>
        </w:rPr>
        <w:t>.</w:t>
      </w:r>
    </w:p>
    <w:p w14:paraId="03A8F823" w14:textId="04440A0B" w:rsidR="00F965F9" w:rsidRDefault="00F965F9" w:rsidP="00DC54F7">
      <w:pPr>
        <w:spacing w:after="0" w:line="240" w:lineRule="auto"/>
        <w:jc w:val="both"/>
        <w:rPr>
          <w:rFonts w:ascii="Arial" w:hAnsi="Arial" w:cs="Arial"/>
          <w:shd w:val="clear" w:color="auto" w:fill="FFFFFF"/>
        </w:rPr>
      </w:pPr>
    </w:p>
    <w:p w14:paraId="6DE235E7" w14:textId="0743D082" w:rsidR="00681097" w:rsidRPr="009E76BB" w:rsidRDefault="00F965F9" w:rsidP="00DC54F7">
      <w:pPr>
        <w:spacing w:after="0" w:line="240" w:lineRule="auto"/>
        <w:jc w:val="both"/>
        <w:rPr>
          <w:rFonts w:ascii="Arial" w:hAnsi="Arial" w:cs="Arial"/>
          <w:b/>
          <w:bCs/>
          <w:sz w:val="24"/>
          <w:szCs w:val="24"/>
          <w:shd w:val="clear" w:color="auto" w:fill="FFFFFF"/>
        </w:rPr>
      </w:pPr>
      <w:r w:rsidRPr="009E76BB">
        <w:rPr>
          <w:rFonts w:ascii="Arial" w:hAnsi="Arial" w:cs="Arial"/>
          <w:b/>
          <w:bCs/>
          <w:sz w:val="24"/>
          <w:szCs w:val="24"/>
          <w:shd w:val="clear" w:color="auto" w:fill="FFFFFF"/>
        </w:rPr>
        <w:t>Table</w:t>
      </w:r>
      <w:r w:rsidR="003D65CC" w:rsidRPr="009E76BB">
        <w:rPr>
          <w:rFonts w:ascii="Arial" w:hAnsi="Arial" w:cs="Arial"/>
          <w:b/>
          <w:bCs/>
          <w:sz w:val="24"/>
          <w:szCs w:val="24"/>
          <w:shd w:val="clear" w:color="auto" w:fill="FFFFFF"/>
        </w:rPr>
        <w:t xml:space="preserve"> 2.</w:t>
      </w:r>
      <w:r w:rsidR="008B2D50" w:rsidRPr="009E76BB">
        <w:rPr>
          <w:rFonts w:ascii="Arial" w:hAnsi="Arial" w:cs="Arial"/>
          <w:b/>
          <w:bCs/>
          <w:sz w:val="24"/>
          <w:szCs w:val="24"/>
          <w:shd w:val="clear" w:color="auto" w:fill="FFFFFF"/>
        </w:rPr>
        <w:t>6</w:t>
      </w:r>
      <w:r w:rsidRPr="009E76BB">
        <w:rPr>
          <w:rFonts w:ascii="Arial" w:hAnsi="Arial" w:cs="Arial"/>
          <w:b/>
          <w:bCs/>
          <w:sz w:val="24"/>
          <w:szCs w:val="24"/>
          <w:shd w:val="clear" w:color="auto" w:fill="FFFFFF"/>
        </w:rPr>
        <w:t xml:space="preserve">: Percentage change in live births, and total fertility rate </w:t>
      </w:r>
      <w:r w:rsidR="007C34C6" w:rsidRPr="009E76BB">
        <w:rPr>
          <w:rFonts w:ascii="Arial" w:hAnsi="Arial" w:cs="Arial"/>
          <w:b/>
          <w:bCs/>
          <w:sz w:val="24"/>
          <w:szCs w:val="24"/>
          <w:shd w:val="clear" w:color="auto" w:fill="FFFFFF"/>
        </w:rPr>
        <w:t xml:space="preserve">(TFR) </w:t>
      </w:r>
      <w:r w:rsidRPr="009E76BB">
        <w:rPr>
          <w:rFonts w:ascii="Arial" w:hAnsi="Arial" w:cs="Arial"/>
          <w:b/>
          <w:bCs/>
          <w:sz w:val="24"/>
          <w:szCs w:val="24"/>
          <w:shd w:val="clear" w:color="auto" w:fill="FFFFFF"/>
        </w:rPr>
        <w:t xml:space="preserve">by </w:t>
      </w:r>
      <w:r w:rsidR="00567F4B" w:rsidRPr="009E76BB">
        <w:rPr>
          <w:rFonts w:ascii="Arial" w:hAnsi="Arial" w:cs="Arial"/>
          <w:b/>
          <w:bCs/>
          <w:sz w:val="24"/>
          <w:szCs w:val="24"/>
          <w:shd w:val="clear" w:color="auto" w:fill="FFFFFF"/>
        </w:rPr>
        <w:t>local</w:t>
      </w:r>
      <w:r w:rsidRPr="009E76BB">
        <w:rPr>
          <w:rFonts w:ascii="Arial" w:hAnsi="Arial" w:cs="Arial"/>
          <w:b/>
          <w:bCs/>
          <w:sz w:val="24"/>
          <w:szCs w:val="24"/>
          <w:shd w:val="clear" w:color="auto" w:fill="FFFFFF"/>
        </w:rPr>
        <w:t xml:space="preserve"> authority and Wales, 2018 and 2019</w:t>
      </w:r>
    </w:p>
    <w:tbl>
      <w:tblPr>
        <w:tblW w:w="9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60"/>
        <w:gridCol w:w="1441"/>
        <w:gridCol w:w="1416"/>
        <w:gridCol w:w="1465"/>
        <w:gridCol w:w="1392"/>
        <w:gridCol w:w="49"/>
        <w:gridCol w:w="1442"/>
      </w:tblGrid>
      <w:tr w:rsidR="009D3678" w:rsidRPr="00BD359E" w14:paraId="2F5EA6DF" w14:textId="77777777" w:rsidTr="00472264">
        <w:trPr>
          <w:trHeight w:val="263"/>
        </w:trPr>
        <w:tc>
          <w:tcPr>
            <w:tcW w:w="1860" w:type="dxa"/>
            <w:tcBorders>
              <w:top w:val="single" w:sz="4" w:space="0" w:color="auto"/>
              <w:left w:val="single" w:sz="4" w:space="0" w:color="auto"/>
              <w:bottom w:val="nil"/>
              <w:right w:val="nil"/>
            </w:tcBorders>
            <w:shd w:val="clear" w:color="000000" w:fill="8497B0"/>
            <w:noWrap/>
            <w:vAlign w:val="bottom"/>
            <w:hideMark/>
          </w:tcPr>
          <w:p w14:paraId="3465CFBD" w14:textId="77777777" w:rsidR="00BD359E" w:rsidRPr="00BD359E" w:rsidRDefault="00BD359E" w:rsidP="00DC54F7">
            <w:pPr>
              <w:spacing w:after="0" w:line="240" w:lineRule="auto"/>
              <w:jc w:val="both"/>
              <w:rPr>
                <w:rFonts w:ascii="Calibri" w:eastAsia="Times New Roman" w:hAnsi="Calibri" w:cs="Calibri"/>
                <w:color w:val="000000"/>
                <w:lang w:eastAsia="en-GB"/>
              </w:rPr>
            </w:pPr>
            <w:r w:rsidRPr="00BD359E">
              <w:rPr>
                <w:rFonts w:ascii="Calibri" w:eastAsia="Times New Roman" w:hAnsi="Calibri" w:cs="Calibri"/>
                <w:color w:val="000000"/>
                <w:lang w:eastAsia="en-GB"/>
              </w:rPr>
              <w:t> </w:t>
            </w:r>
          </w:p>
        </w:tc>
        <w:tc>
          <w:tcPr>
            <w:tcW w:w="2857" w:type="dxa"/>
            <w:gridSpan w:val="2"/>
            <w:tcBorders>
              <w:top w:val="single" w:sz="4" w:space="0" w:color="auto"/>
              <w:left w:val="nil"/>
              <w:bottom w:val="nil"/>
              <w:right w:val="nil"/>
            </w:tcBorders>
            <w:shd w:val="clear" w:color="000000" w:fill="8497B0"/>
            <w:noWrap/>
            <w:vAlign w:val="bottom"/>
            <w:hideMark/>
          </w:tcPr>
          <w:p w14:paraId="40DF5EAD" w14:textId="77777777" w:rsidR="00BD359E" w:rsidRPr="00BD359E" w:rsidRDefault="00BD359E" w:rsidP="00DC54F7">
            <w:pPr>
              <w:spacing w:after="0" w:line="240" w:lineRule="auto"/>
              <w:jc w:val="both"/>
              <w:rPr>
                <w:rFonts w:ascii="Calibri" w:eastAsia="Times New Roman" w:hAnsi="Calibri" w:cs="Calibri"/>
                <w:b/>
                <w:bCs/>
                <w:color w:val="FFFFFF"/>
                <w:lang w:eastAsia="en-GB"/>
              </w:rPr>
            </w:pPr>
            <w:r w:rsidRPr="00BD359E">
              <w:rPr>
                <w:rFonts w:ascii="Calibri" w:eastAsia="Times New Roman" w:hAnsi="Calibri" w:cs="Calibri"/>
                <w:b/>
                <w:bCs/>
                <w:color w:val="FFFFFF"/>
                <w:lang w:eastAsia="en-GB"/>
              </w:rPr>
              <w:t>2018</w:t>
            </w:r>
          </w:p>
        </w:tc>
        <w:tc>
          <w:tcPr>
            <w:tcW w:w="2857" w:type="dxa"/>
            <w:gridSpan w:val="2"/>
            <w:tcBorders>
              <w:top w:val="single" w:sz="4" w:space="0" w:color="auto"/>
              <w:left w:val="nil"/>
              <w:bottom w:val="nil"/>
              <w:right w:val="nil"/>
            </w:tcBorders>
            <w:shd w:val="clear" w:color="000000" w:fill="8497B0"/>
            <w:noWrap/>
            <w:vAlign w:val="bottom"/>
            <w:hideMark/>
          </w:tcPr>
          <w:p w14:paraId="543FE498" w14:textId="77777777" w:rsidR="00BD359E" w:rsidRPr="00BD359E" w:rsidRDefault="00BD359E" w:rsidP="00DC54F7">
            <w:pPr>
              <w:spacing w:after="0" w:line="240" w:lineRule="auto"/>
              <w:jc w:val="both"/>
              <w:rPr>
                <w:rFonts w:ascii="Calibri" w:eastAsia="Times New Roman" w:hAnsi="Calibri" w:cs="Calibri"/>
                <w:b/>
                <w:bCs/>
                <w:color w:val="FFFFFF"/>
                <w:lang w:eastAsia="en-GB"/>
              </w:rPr>
            </w:pPr>
            <w:r w:rsidRPr="00BD359E">
              <w:rPr>
                <w:rFonts w:ascii="Calibri" w:eastAsia="Times New Roman" w:hAnsi="Calibri" w:cs="Calibri"/>
                <w:b/>
                <w:bCs/>
                <w:color w:val="FFFFFF"/>
                <w:lang w:eastAsia="en-GB"/>
              </w:rPr>
              <w:t>2019</w:t>
            </w:r>
          </w:p>
        </w:tc>
        <w:tc>
          <w:tcPr>
            <w:tcW w:w="1491" w:type="dxa"/>
            <w:gridSpan w:val="2"/>
            <w:tcBorders>
              <w:top w:val="single" w:sz="4" w:space="0" w:color="auto"/>
              <w:left w:val="nil"/>
              <w:bottom w:val="nil"/>
              <w:right w:val="single" w:sz="4" w:space="0" w:color="auto"/>
            </w:tcBorders>
            <w:shd w:val="clear" w:color="000000" w:fill="8497B0"/>
            <w:hideMark/>
          </w:tcPr>
          <w:p w14:paraId="32317B94" w14:textId="77777777" w:rsidR="00BD359E" w:rsidRPr="00BD359E" w:rsidRDefault="00BD359E" w:rsidP="00DC54F7">
            <w:pPr>
              <w:spacing w:after="0" w:line="240" w:lineRule="auto"/>
              <w:jc w:val="both"/>
              <w:rPr>
                <w:rFonts w:ascii="Arial" w:eastAsia="Times New Roman" w:hAnsi="Arial" w:cs="Arial"/>
                <w:b/>
                <w:bCs/>
                <w:color w:val="FFFFFF"/>
                <w:sz w:val="20"/>
                <w:szCs w:val="20"/>
                <w:lang w:eastAsia="en-GB"/>
              </w:rPr>
            </w:pPr>
            <w:r w:rsidRPr="00BD359E">
              <w:rPr>
                <w:rFonts w:ascii="Arial" w:eastAsia="Times New Roman" w:hAnsi="Arial" w:cs="Arial"/>
                <w:b/>
                <w:bCs/>
                <w:color w:val="FFFFFF"/>
                <w:sz w:val="20"/>
                <w:szCs w:val="20"/>
                <w:lang w:eastAsia="en-GB"/>
              </w:rPr>
              <w:t>Live births</w:t>
            </w:r>
          </w:p>
        </w:tc>
      </w:tr>
      <w:tr w:rsidR="009D3678" w:rsidRPr="00BD359E" w14:paraId="04B32346" w14:textId="77777777" w:rsidTr="00472264">
        <w:trPr>
          <w:trHeight w:val="263"/>
        </w:trPr>
        <w:tc>
          <w:tcPr>
            <w:tcW w:w="1860" w:type="dxa"/>
            <w:tcBorders>
              <w:top w:val="nil"/>
              <w:left w:val="single" w:sz="4" w:space="0" w:color="auto"/>
              <w:bottom w:val="nil"/>
              <w:right w:val="nil"/>
            </w:tcBorders>
            <w:shd w:val="clear" w:color="000000" w:fill="8497B0"/>
            <w:noWrap/>
            <w:vAlign w:val="bottom"/>
            <w:hideMark/>
          </w:tcPr>
          <w:p w14:paraId="5D348523" w14:textId="77777777" w:rsidR="00BD359E" w:rsidRPr="00BD359E" w:rsidRDefault="00BD359E" w:rsidP="00DC54F7">
            <w:pPr>
              <w:spacing w:after="0" w:line="240" w:lineRule="auto"/>
              <w:jc w:val="both"/>
              <w:rPr>
                <w:rFonts w:ascii="Calibri" w:eastAsia="Times New Roman" w:hAnsi="Calibri" w:cs="Calibri"/>
                <w:b/>
                <w:bCs/>
                <w:color w:val="FFFFFF"/>
                <w:lang w:eastAsia="en-GB"/>
              </w:rPr>
            </w:pPr>
            <w:r w:rsidRPr="00BD359E">
              <w:rPr>
                <w:rFonts w:ascii="Calibri" w:eastAsia="Times New Roman" w:hAnsi="Calibri" w:cs="Calibri"/>
                <w:b/>
                <w:bCs/>
                <w:color w:val="FFFFFF"/>
                <w:lang w:eastAsia="en-GB"/>
              </w:rPr>
              <w:t>Area</w:t>
            </w:r>
          </w:p>
        </w:tc>
        <w:tc>
          <w:tcPr>
            <w:tcW w:w="1441" w:type="dxa"/>
            <w:tcBorders>
              <w:top w:val="nil"/>
              <w:left w:val="nil"/>
              <w:bottom w:val="nil"/>
              <w:right w:val="nil"/>
            </w:tcBorders>
            <w:shd w:val="clear" w:color="000000" w:fill="8497B0"/>
            <w:noWrap/>
            <w:hideMark/>
          </w:tcPr>
          <w:p w14:paraId="42E47E89" w14:textId="77777777" w:rsidR="00BD359E" w:rsidRPr="00BD359E" w:rsidRDefault="00BD359E" w:rsidP="00DC54F7">
            <w:pPr>
              <w:spacing w:after="0" w:line="240" w:lineRule="auto"/>
              <w:jc w:val="both"/>
              <w:rPr>
                <w:rFonts w:ascii="Arial" w:eastAsia="Times New Roman" w:hAnsi="Arial" w:cs="Arial"/>
                <w:b/>
                <w:bCs/>
                <w:color w:val="FFFFFF"/>
                <w:sz w:val="20"/>
                <w:szCs w:val="20"/>
                <w:lang w:eastAsia="en-GB"/>
              </w:rPr>
            </w:pPr>
            <w:r w:rsidRPr="00BD359E">
              <w:rPr>
                <w:rFonts w:ascii="Arial" w:eastAsia="Times New Roman" w:hAnsi="Arial" w:cs="Arial"/>
                <w:b/>
                <w:bCs/>
                <w:color w:val="FFFFFF"/>
                <w:sz w:val="20"/>
                <w:szCs w:val="20"/>
                <w:lang w:eastAsia="en-GB"/>
              </w:rPr>
              <w:t xml:space="preserve">Live births </w:t>
            </w:r>
          </w:p>
        </w:tc>
        <w:tc>
          <w:tcPr>
            <w:tcW w:w="1416" w:type="dxa"/>
            <w:tcBorders>
              <w:top w:val="nil"/>
              <w:left w:val="nil"/>
              <w:bottom w:val="nil"/>
              <w:right w:val="nil"/>
            </w:tcBorders>
            <w:shd w:val="clear" w:color="000000" w:fill="8497B0"/>
            <w:noWrap/>
            <w:hideMark/>
          </w:tcPr>
          <w:p w14:paraId="52D71A0C" w14:textId="77777777" w:rsidR="00BD359E" w:rsidRPr="00BD359E" w:rsidRDefault="00BD359E" w:rsidP="00DC54F7">
            <w:pPr>
              <w:spacing w:after="0" w:line="240" w:lineRule="auto"/>
              <w:jc w:val="both"/>
              <w:rPr>
                <w:rFonts w:ascii="Arial" w:eastAsia="Times New Roman" w:hAnsi="Arial" w:cs="Arial"/>
                <w:b/>
                <w:bCs/>
                <w:color w:val="FFFFFF"/>
                <w:sz w:val="20"/>
                <w:szCs w:val="20"/>
                <w:lang w:eastAsia="en-GB"/>
              </w:rPr>
            </w:pPr>
            <w:r w:rsidRPr="00BD359E">
              <w:rPr>
                <w:rFonts w:ascii="Arial" w:eastAsia="Times New Roman" w:hAnsi="Arial" w:cs="Arial"/>
                <w:b/>
                <w:bCs/>
                <w:color w:val="FFFFFF"/>
                <w:sz w:val="20"/>
                <w:szCs w:val="20"/>
                <w:lang w:eastAsia="en-GB"/>
              </w:rPr>
              <w:t>TFR</w:t>
            </w:r>
          </w:p>
        </w:tc>
        <w:tc>
          <w:tcPr>
            <w:tcW w:w="1465" w:type="dxa"/>
            <w:tcBorders>
              <w:top w:val="nil"/>
              <w:left w:val="nil"/>
              <w:bottom w:val="nil"/>
              <w:right w:val="nil"/>
            </w:tcBorders>
            <w:shd w:val="clear" w:color="000000" w:fill="8497B0"/>
            <w:noWrap/>
            <w:hideMark/>
          </w:tcPr>
          <w:p w14:paraId="210F14C1" w14:textId="77777777" w:rsidR="00BD359E" w:rsidRPr="00BD359E" w:rsidRDefault="00BD359E" w:rsidP="00DC54F7">
            <w:pPr>
              <w:spacing w:after="0" w:line="240" w:lineRule="auto"/>
              <w:jc w:val="both"/>
              <w:rPr>
                <w:rFonts w:ascii="Arial" w:eastAsia="Times New Roman" w:hAnsi="Arial" w:cs="Arial"/>
                <w:b/>
                <w:bCs/>
                <w:color w:val="FFFFFF"/>
                <w:sz w:val="20"/>
                <w:szCs w:val="20"/>
                <w:lang w:eastAsia="en-GB"/>
              </w:rPr>
            </w:pPr>
            <w:r w:rsidRPr="00BD359E">
              <w:rPr>
                <w:rFonts w:ascii="Arial" w:eastAsia="Times New Roman" w:hAnsi="Arial" w:cs="Arial"/>
                <w:b/>
                <w:bCs/>
                <w:color w:val="FFFFFF"/>
                <w:sz w:val="20"/>
                <w:szCs w:val="20"/>
                <w:lang w:eastAsia="en-GB"/>
              </w:rPr>
              <w:t>Live births</w:t>
            </w:r>
          </w:p>
        </w:tc>
        <w:tc>
          <w:tcPr>
            <w:tcW w:w="1441" w:type="dxa"/>
            <w:gridSpan w:val="2"/>
            <w:tcBorders>
              <w:top w:val="nil"/>
              <w:left w:val="nil"/>
              <w:bottom w:val="nil"/>
              <w:right w:val="nil"/>
            </w:tcBorders>
            <w:shd w:val="clear" w:color="000000" w:fill="8497B0"/>
            <w:noWrap/>
            <w:hideMark/>
          </w:tcPr>
          <w:p w14:paraId="5A9BF426" w14:textId="77777777" w:rsidR="00BD359E" w:rsidRPr="00BD359E" w:rsidRDefault="00BD359E" w:rsidP="00DC54F7">
            <w:pPr>
              <w:spacing w:after="0" w:line="240" w:lineRule="auto"/>
              <w:jc w:val="both"/>
              <w:rPr>
                <w:rFonts w:ascii="Arial" w:eastAsia="Times New Roman" w:hAnsi="Arial" w:cs="Arial"/>
                <w:b/>
                <w:bCs/>
                <w:color w:val="FFFFFF"/>
                <w:sz w:val="20"/>
                <w:szCs w:val="20"/>
                <w:lang w:eastAsia="en-GB"/>
              </w:rPr>
            </w:pPr>
            <w:r w:rsidRPr="00BD359E">
              <w:rPr>
                <w:rFonts w:ascii="Arial" w:eastAsia="Times New Roman" w:hAnsi="Arial" w:cs="Arial"/>
                <w:b/>
                <w:bCs/>
                <w:color w:val="FFFFFF"/>
                <w:sz w:val="20"/>
                <w:szCs w:val="20"/>
                <w:lang w:eastAsia="en-GB"/>
              </w:rPr>
              <w:t>TFR</w:t>
            </w:r>
          </w:p>
        </w:tc>
        <w:tc>
          <w:tcPr>
            <w:tcW w:w="1441" w:type="dxa"/>
            <w:tcBorders>
              <w:top w:val="nil"/>
              <w:left w:val="nil"/>
              <w:bottom w:val="nil"/>
              <w:right w:val="single" w:sz="4" w:space="0" w:color="auto"/>
            </w:tcBorders>
            <w:shd w:val="clear" w:color="000000" w:fill="8497B0"/>
            <w:noWrap/>
            <w:hideMark/>
          </w:tcPr>
          <w:p w14:paraId="2BF22CF3" w14:textId="77777777" w:rsidR="00BD359E" w:rsidRPr="00BD359E" w:rsidRDefault="00BD359E" w:rsidP="00DC54F7">
            <w:pPr>
              <w:spacing w:after="0" w:line="240" w:lineRule="auto"/>
              <w:jc w:val="both"/>
              <w:rPr>
                <w:rFonts w:ascii="Arial" w:eastAsia="Times New Roman" w:hAnsi="Arial" w:cs="Arial"/>
                <w:b/>
                <w:bCs/>
                <w:color w:val="FFFFFF"/>
                <w:sz w:val="20"/>
                <w:szCs w:val="20"/>
                <w:lang w:eastAsia="en-GB"/>
              </w:rPr>
            </w:pPr>
            <w:r w:rsidRPr="00BD359E">
              <w:rPr>
                <w:rFonts w:ascii="Arial" w:eastAsia="Times New Roman" w:hAnsi="Arial" w:cs="Arial"/>
                <w:b/>
                <w:bCs/>
                <w:color w:val="FFFFFF"/>
                <w:sz w:val="20"/>
                <w:szCs w:val="20"/>
                <w:lang w:eastAsia="en-GB"/>
              </w:rPr>
              <w:t>Percent change</w:t>
            </w:r>
          </w:p>
        </w:tc>
      </w:tr>
      <w:tr w:rsidR="009D3678" w:rsidRPr="00BD359E" w14:paraId="0B270111" w14:textId="77777777" w:rsidTr="00472264">
        <w:trPr>
          <w:trHeight w:val="263"/>
        </w:trPr>
        <w:tc>
          <w:tcPr>
            <w:tcW w:w="1860" w:type="dxa"/>
            <w:tcBorders>
              <w:top w:val="nil"/>
              <w:left w:val="single" w:sz="4" w:space="0" w:color="auto"/>
              <w:bottom w:val="nil"/>
              <w:right w:val="nil"/>
            </w:tcBorders>
            <w:shd w:val="clear" w:color="000000" w:fill="F2F2F2"/>
            <w:vAlign w:val="center"/>
            <w:hideMark/>
          </w:tcPr>
          <w:p w14:paraId="675CE25C" w14:textId="77777777" w:rsidR="00BD359E" w:rsidRPr="00BD359E" w:rsidRDefault="00BD359E" w:rsidP="00DC54F7">
            <w:pPr>
              <w:spacing w:after="0" w:line="240" w:lineRule="auto"/>
              <w:jc w:val="both"/>
              <w:rPr>
                <w:rFonts w:ascii="Arial" w:eastAsia="Times New Roman" w:hAnsi="Arial" w:cs="Arial"/>
                <w:lang w:eastAsia="en-GB"/>
              </w:rPr>
            </w:pPr>
            <w:r w:rsidRPr="00BD359E">
              <w:rPr>
                <w:rFonts w:ascii="Arial" w:eastAsia="Times New Roman" w:hAnsi="Arial" w:cs="Arial"/>
                <w:lang w:eastAsia="en-GB"/>
              </w:rPr>
              <w:t>Cardiff</w:t>
            </w:r>
          </w:p>
        </w:tc>
        <w:tc>
          <w:tcPr>
            <w:tcW w:w="1441" w:type="dxa"/>
            <w:tcBorders>
              <w:top w:val="nil"/>
              <w:left w:val="nil"/>
              <w:bottom w:val="nil"/>
              <w:right w:val="nil"/>
            </w:tcBorders>
            <w:shd w:val="clear" w:color="000000" w:fill="F2F2F2"/>
            <w:noWrap/>
            <w:hideMark/>
          </w:tcPr>
          <w:p w14:paraId="7164CA85" w14:textId="77777777" w:rsidR="00BD359E" w:rsidRPr="00BD359E" w:rsidRDefault="00BD359E" w:rsidP="00DC54F7">
            <w:pPr>
              <w:spacing w:after="0" w:line="240" w:lineRule="auto"/>
              <w:jc w:val="both"/>
              <w:rPr>
                <w:rFonts w:ascii="Arial" w:eastAsia="Times New Roman" w:hAnsi="Arial" w:cs="Arial"/>
                <w:sz w:val="20"/>
                <w:szCs w:val="20"/>
                <w:lang w:eastAsia="en-GB"/>
              </w:rPr>
            </w:pPr>
            <w:r w:rsidRPr="00BD359E">
              <w:rPr>
                <w:rFonts w:ascii="Arial" w:eastAsia="Times New Roman" w:hAnsi="Arial" w:cs="Arial"/>
                <w:sz w:val="20"/>
                <w:szCs w:val="20"/>
                <w:lang w:eastAsia="en-GB"/>
              </w:rPr>
              <w:t>4,027</w:t>
            </w:r>
          </w:p>
        </w:tc>
        <w:tc>
          <w:tcPr>
            <w:tcW w:w="1416" w:type="dxa"/>
            <w:tcBorders>
              <w:top w:val="nil"/>
              <w:left w:val="nil"/>
              <w:bottom w:val="nil"/>
              <w:right w:val="nil"/>
            </w:tcBorders>
            <w:shd w:val="clear" w:color="000000" w:fill="F2F2F2"/>
            <w:noWrap/>
            <w:hideMark/>
          </w:tcPr>
          <w:p w14:paraId="42BA4E1F" w14:textId="77777777" w:rsidR="00BD359E" w:rsidRPr="00BD359E" w:rsidRDefault="00BD359E" w:rsidP="00DC54F7">
            <w:pPr>
              <w:spacing w:after="0" w:line="240" w:lineRule="auto"/>
              <w:jc w:val="both"/>
              <w:rPr>
                <w:rFonts w:ascii="Arial" w:eastAsia="Times New Roman" w:hAnsi="Arial" w:cs="Arial"/>
                <w:sz w:val="20"/>
                <w:szCs w:val="20"/>
                <w:lang w:eastAsia="en-GB"/>
              </w:rPr>
            </w:pPr>
            <w:r w:rsidRPr="00BD359E">
              <w:rPr>
                <w:rFonts w:ascii="Arial" w:eastAsia="Times New Roman" w:hAnsi="Arial" w:cs="Arial"/>
                <w:sz w:val="20"/>
                <w:szCs w:val="20"/>
                <w:lang w:eastAsia="en-GB"/>
              </w:rPr>
              <w:t>1.45</w:t>
            </w:r>
          </w:p>
        </w:tc>
        <w:tc>
          <w:tcPr>
            <w:tcW w:w="1465" w:type="dxa"/>
            <w:tcBorders>
              <w:top w:val="nil"/>
              <w:left w:val="nil"/>
              <w:bottom w:val="nil"/>
              <w:right w:val="nil"/>
            </w:tcBorders>
            <w:shd w:val="clear" w:color="000000" w:fill="F2F2F2"/>
            <w:noWrap/>
            <w:hideMark/>
          </w:tcPr>
          <w:p w14:paraId="0053D435" w14:textId="77777777" w:rsidR="00BD359E" w:rsidRPr="00BD359E" w:rsidRDefault="00BD359E" w:rsidP="00DC54F7">
            <w:pPr>
              <w:spacing w:after="0" w:line="240" w:lineRule="auto"/>
              <w:jc w:val="both"/>
              <w:rPr>
                <w:rFonts w:ascii="Arial" w:eastAsia="Times New Roman" w:hAnsi="Arial" w:cs="Arial"/>
                <w:sz w:val="20"/>
                <w:szCs w:val="20"/>
                <w:lang w:eastAsia="en-GB"/>
              </w:rPr>
            </w:pPr>
            <w:r w:rsidRPr="00BD359E">
              <w:rPr>
                <w:rFonts w:ascii="Arial" w:eastAsia="Times New Roman" w:hAnsi="Arial" w:cs="Arial"/>
                <w:sz w:val="20"/>
                <w:szCs w:val="20"/>
                <w:lang w:eastAsia="en-GB"/>
              </w:rPr>
              <w:t>3,738</w:t>
            </w:r>
          </w:p>
        </w:tc>
        <w:tc>
          <w:tcPr>
            <w:tcW w:w="1441" w:type="dxa"/>
            <w:gridSpan w:val="2"/>
            <w:tcBorders>
              <w:top w:val="nil"/>
              <w:left w:val="nil"/>
              <w:bottom w:val="nil"/>
              <w:right w:val="nil"/>
            </w:tcBorders>
            <w:shd w:val="clear" w:color="000000" w:fill="F2F2F2"/>
            <w:noWrap/>
            <w:hideMark/>
          </w:tcPr>
          <w:p w14:paraId="2B0099AC" w14:textId="77777777" w:rsidR="00BD359E" w:rsidRPr="00BD359E" w:rsidRDefault="00BD359E" w:rsidP="00DC54F7">
            <w:pPr>
              <w:spacing w:after="0" w:line="240" w:lineRule="auto"/>
              <w:jc w:val="both"/>
              <w:rPr>
                <w:rFonts w:ascii="Arial" w:eastAsia="Times New Roman" w:hAnsi="Arial" w:cs="Arial"/>
                <w:sz w:val="20"/>
                <w:szCs w:val="20"/>
                <w:lang w:eastAsia="en-GB"/>
              </w:rPr>
            </w:pPr>
            <w:r w:rsidRPr="00BD359E">
              <w:rPr>
                <w:rFonts w:ascii="Arial" w:eastAsia="Times New Roman" w:hAnsi="Arial" w:cs="Arial"/>
                <w:sz w:val="20"/>
                <w:szCs w:val="20"/>
                <w:lang w:eastAsia="en-GB"/>
              </w:rPr>
              <w:t>1.35</w:t>
            </w:r>
          </w:p>
        </w:tc>
        <w:tc>
          <w:tcPr>
            <w:tcW w:w="1441" w:type="dxa"/>
            <w:tcBorders>
              <w:top w:val="nil"/>
              <w:left w:val="nil"/>
              <w:bottom w:val="nil"/>
              <w:right w:val="single" w:sz="4" w:space="0" w:color="auto"/>
            </w:tcBorders>
            <w:shd w:val="clear" w:color="000000" w:fill="F2F2F2"/>
            <w:noWrap/>
            <w:hideMark/>
          </w:tcPr>
          <w:p w14:paraId="5114199A" w14:textId="77777777" w:rsidR="00BD359E" w:rsidRPr="00BD359E" w:rsidRDefault="00BD359E" w:rsidP="00DC54F7">
            <w:pPr>
              <w:spacing w:after="0" w:line="240" w:lineRule="auto"/>
              <w:jc w:val="both"/>
              <w:rPr>
                <w:rFonts w:ascii="Arial" w:eastAsia="Times New Roman" w:hAnsi="Arial" w:cs="Arial"/>
                <w:sz w:val="20"/>
                <w:szCs w:val="20"/>
                <w:lang w:eastAsia="en-GB"/>
              </w:rPr>
            </w:pPr>
            <w:r w:rsidRPr="00BD359E">
              <w:rPr>
                <w:rFonts w:ascii="Arial" w:eastAsia="Times New Roman" w:hAnsi="Arial" w:cs="Arial"/>
                <w:sz w:val="20"/>
                <w:szCs w:val="20"/>
                <w:lang w:eastAsia="en-GB"/>
              </w:rPr>
              <w:t>-7.2%</w:t>
            </w:r>
          </w:p>
        </w:tc>
      </w:tr>
      <w:tr w:rsidR="009D3678" w:rsidRPr="00BD359E" w14:paraId="23EB4E7F" w14:textId="77777777" w:rsidTr="00472264">
        <w:trPr>
          <w:trHeight w:val="263"/>
        </w:trPr>
        <w:tc>
          <w:tcPr>
            <w:tcW w:w="1860" w:type="dxa"/>
            <w:tcBorders>
              <w:top w:val="nil"/>
              <w:left w:val="single" w:sz="4" w:space="0" w:color="auto"/>
              <w:bottom w:val="nil"/>
              <w:right w:val="nil"/>
            </w:tcBorders>
            <w:shd w:val="clear" w:color="auto" w:fill="auto"/>
            <w:vAlign w:val="center"/>
            <w:hideMark/>
          </w:tcPr>
          <w:p w14:paraId="72608DAA" w14:textId="77777777" w:rsidR="00BD359E" w:rsidRPr="00BD359E" w:rsidRDefault="00BD359E" w:rsidP="00DC54F7">
            <w:pPr>
              <w:spacing w:after="0" w:line="240" w:lineRule="auto"/>
              <w:jc w:val="both"/>
              <w:rPr>
                <w:rFonts w:ascii="Arial" w:eastAsia="Times New Roman" w:hAnsi="Arial" w:cs="Arial"/>
                <w:lang w:eastAsia="en-GB"/>
              </w:rPr>
            </w:pPr>
            <w:r w:rsidRPr="00BD359E">
              <w:rPr>
                <w:rFonts w:ascii="Arial" w:eastAsia="Times New Roman" w:hAnsi="Arial" w:cs="Arial"/>
                <w:lang w:eastAsia="en-GB"/>
              </w:rPr>
              <w:t>Vale of Glamorgan</w:t>
            </w:r>
          </w:p>
        </w:tc>
        <w:tc>
          <w:tcPr>
            <w:tcW w:w="1441" w:type="dxa"/>
            <w:tcBorders>
              <w:top w:val="nil"/>
              <w:left w:val="nil"/>
              <w:bottom w:val="nil"/>
              <w:right w:val="nil"/>
            </w:tcBorders>
            <w:shd w:val="clear" w:color="auto" w:fill="auto"/>
            <w:noWrap/>
            <w:hideMark/>
          </w:tcPr>
          <w:p w14:paraId="7D279E34" w14:textId="77777777" w:rsidR="00BD359E" w:rsidRPr="00BD359E" w:rsidRDefault="00BD359E" w:rsidP="00DC54F7">
            <w:pPr>
              <w:spacing w:after="0" w:line="240" w:lineRule="auto"/>
              <w:jc w:val="both"/>
              <w:rPr>
                <w:rFonts w:ascii="Arial" w:eastAsia="Times New Roman" w:hAnsi="Arial" w:cs="Arial"/>
                <w:sz w:val="20"/>
                <w:szCs w:val="20"/>
                <w:lang w:eastAsia="en-GB"/>
              </w:rPr>
            </w:pPr>
            <w:r w:rsidRPr="00BD359E">
              <w:rPr>
                <w:rFonts w:ascii="Arial" w:eastAsia="Times New Roman" w:hAnsi="Arial" w:cs="Arial"/>
                <w:sz w:val="20"/>
                <w:szCs w:val="20"/>
                <w:lang w:eastAsia="en-GB"/>
              </w:rPr>
              <w:t>1,322</w:t>
            </w:r>
          </w:p>
        </w:tc>
        <w:tc>
          <w:tcPr>
            <w:tcW w:w="1416" w:type="dxa"/>
            <w:tcBorders>
              <w:top w:val="nil"/>
              <w:left w:val="nil"/>
              <w:bottom w:val="nil"/>
              <w:right w:val="nil"/>
            </w:tcBorders>
            <w:shd w:val="clear" w:color="auto" w:fill="auto"/>
            <w:noWrap/>
            <w:hideMark/>
          </w:tcPr>
          <w:p w14:paraId="73ED1D02" w14:textId="77777777" w:rsidR="00BD359E" w:rsidRPr="00BD359E" w:rsidRDefault="00BD359E" w:rsidP="00DC54F7">
            <w:pPr>
              <w:spacing w:after="0" w:line="240" w:lineRule="auto"/>
              <w:jc w:val="both"/>
              <w:rPr>
                <w:rFonts w:ascii="Arial" w:eastAsia="Times New Roman" w:hAnsi="Arial" w:cs="Arial"/>
                <w:sz w:val="20"/>
                <w:szCs w:val="20"/>
                <w:lang w:eastAsia="en-GB"/>
              </w:rPr>
            </w:pPr>
            <w:r w:rsidRPr="00BD359E">
              <w:rPr>
                <w:rFonts w:ascii="Arial" w:eastAsia="Times New Roman" w:hAnsi="Arial" w:cs="Arial"/>
                <w:sz w:val="20"/>
                <w:szCs w:val="20"/>
                <w:lang w:eastAsia="en-GB"/>
              </w:rPr>
              <w:t>1.79</w:t>
            </w:r>
          </w:p>
        </w:tc>
        <w:tc>
          <w:tcPr>
            <w:tcW w:w="1465" w:type="dxa"/>
            <w:tcBorders>
              <w:top w:val="nil"/>
              <w:left w:val="nil"/>
              <w:bottom w:val="nil"/>
              <w:right w:val="nil"/>
            </w:tcBorders>
            <w:shd w:val="clear" w:color="auto" w:fill="auto"/>
            <w:noWrap/>
            <w:hideMark/>
          </w:tcPr>
          <w:p w14:paraId="6A7EDA1F" w14:textId="77777777" w:rsidR="00BD359E" w:rsidRPr="00BD359E" w:rsidRDefault="00BD359E" w:rsidP="00DC54F7">
            <w:pPr>
              <w:spacing w:after="0" w:line="240" w:lineRule="auto"/>
              <w:jc w:val="both"/>
              <w:rPr>
                <w:rFonts w:ascii="Arial" w:eastAsia="Times New Roman" w:hAnsi="Arial" w:cs="Arial"/>
                <w:sz w:val="20"/>
                <w:szCs w:val="20"/>
                <w:lang w:eastAsia="en-GB"/>
              </w:rPr>
            </w:pPr>
            <w:r w:rsidRPr="00BD359E">
              <w:rPr>
                <w:rFonts w:ascii="Arial" w:eastAsia="Times New Roman" w:hAnsi="Arial" w:cs="Arial"/>
                <w:sz w:val="20"/>
                <w:szCs w:val="20"/>
                <w:lang w:eastAsia="en-GB"/>
              </w:rPr>
              <w:t>1,201</w:t>
            </w:r>
          </w:p>
        </w:tc>
        <w:tc>
          <w:tcPr>
            <w:tcW w:w="1441" w:type="dxa"/>
            <w:gridSpan w:val="2"/>
            <w:tcBorders>
              <w:top w:val="nil"/>
              <w:left w:val="nil"/>
              <w:bottom w:val="nil"/>
              <w:right w:val="nil"/>
            </w:tcBorders>
            <w:shd w:val="clear" w:color="auto" w:fill="auto"/>
            <w:noWrap/>
            <w:hideMark/>
          </w:tcPr>
          <w:p w14:paraId="1F82D5F8" w14:textId="77777777" w:rsidR="00BD359E" w:rsidRPr="00BD359E" w:rsidRDefault="00BD359E" w:rsidP="00DC54F7">
            <w:pPr>
              <w:spacing w:after="0" w:line="240" w:lineRule="auto"/>
              <w:jc w:val="both"/>
              <w:rPr>
                <w:rFonts w:ascii="Arial" w:eastAsia="Times New Roman" w:hAnsi="Arial" w:cs="Arial"/>
                <w:sz w:val="20"/>
                <w:szCs w:val="20"/>
                <w:lang w:eastAsia="en-GB"/>
              </w:rPr>
            </w:pPr>
            <w:r w:rsidRPr="00BD359E">
              <w:rPr>
                <w:rFonts w:ascii="Arial" w:eastAsia="Times New Roman" w:hAnsi="Arial" w:cs="Arial"/>
                <w:sz w:val="20"/>
                <w:szCs w:val="20"/>
                <w:lang w:eastAsia="en-GB"/>
              </w:rPr>
              <w:t>1.60</w:t>
            </w:r>
          </w:p>
        </w:tc>
        <w:tc>
          <w:tcPr>
            <w:tcW w:w="1441" w:type="dxa"/>
            <w:tcBorders>
              <w:top w:val="nil"/>
              <w:left w:val="nil"/>
              <w:bottom w:val="nil"/>
              <w:right w:val="single" w:sz="4" w:space="0" w:color="auto"/>
            </w:tcBorders>
            <w:shd w:val="clear" w:color="000000" w:fill="FFFFFF"/>
            <w:noWrap/>
            <w:hideMark/>
          </w:tcPr>
          <w:p w14:paraId="7957447C" w14:textId="77777777" w:rsidR="00BD359E" w:rsidRPr="00BD359E" w:rsidRDefault="00BD359E" w:rsidP="00DC54F7">
            <w:pPr>
              <w:spacing w:after="0" w:line="240" w:lineRule="auto"/>
              <w:jc w:val="both"/>
              <w:rPr>
                <w:rFonts w:ascii="Arial" w:eastAsia="Times New Roman" w:hAnsi="Arial" w:cs="Arial"/>
                <w:sz w:val="20"/>
                <w:szCs w:val="20"/>
                <w:lang w:eastAsia="en-GB"/>
              </w:rPr>
            </w:pPr>
            <w:r w:rsidRPr="00BD359E">
              <w:rPr>
                <w:rFonts w:ascii="Arial" w:eastAsia="Times New Roman" w:hAnsi="Arial" w:cs="Arial"/>
                <w:sz w:val="20"/>
                <w:szCs w:val="20"/>
                <w:lang w:eastAsia="en-GB"/>
              </w:rPr>
              <w:t>-9.2%</w:t>
            </w:r>
          </w:p>
        </w:tc>
      </w:tr>
      <w:tr w:rsidR="009D3678" w:rsidRPr="00BD359E" w14:paraId="4935F86D" w14:textId="77777777" w:rsidTr="00472264">
        <w:trPr>
          <w:trHeight w:val="263"/>
        </w:trPr>
        <w:tc>
          <w:tcPr>
            <w:tcW w:w="1860" w:type="dxa"/>
            <w:tcBorders>
              <w:top w:val="nil"/>
              <w:left w:val="single" w:sz="4" w:space="0" w:color="auto"/>
              <w:bottom w:val="single" w:sz="4" w:space="0" w:color="auto"/>
              <w:right w:val="nil"/>
            </w:tcBorders>
            <w:shd w:val="clear" w:color="000000" w:fill="F2F2F2"/>
            <w:vAlign w:val="center"/>
            <w:hideMark/>
          </w:tcPr>
          <w:p w14:paraId="152F24F2" w14:textId="77777777" w:rsidR="00BD359E" w:rsidRPr="00BD359E" w:rsidRDefault="00BD359E" w:rsidP="00DC54F7">
            <w:pPr>
              <w:spacing w:after="0" w:line="240" w:lineRule="auto"/>
              <w:jc w:val="both"/>
              <w:rPr>
                <w:rFonts w:ascii="Arial" w:eastAsia="Times New Roman" w:hAnsi="Arial" w:cs="Arial"/>
                <w:lang w:eastAsia="en-GB"/>
              </w:rPr>
            </w:pPr>
            <w:r w:rsidRPr="00BD359E">
              <w:rPr>
                <w:rFonts w:ascii="Arial" w:eastAsia="Times New Roman" w:hAnsi="Arial" w:cs="Arial"/>
                <w:lang w:eastAsia="en-GB"/>
              </w:rPr>
              <w:t>Wales</w:t>
            </w:r>
          </w:p>
        </w:tc>
        <w:tc>
          <w:tcPr>
            <w:tcW w:w="1441" w:type="dxa"/>
            <w:tcBorders>
              <w:top w:val="nil"/>
              <w:left w:val="nil"/>
              <w:bottom w:val="single" w:sz="4" w:space="0" w:color="auto"/>
              <w:right w:val="nil"/>
            </w:tcBorders>
            <w:shd w:val="clear" w:color="000000" w:fill="F2F2F2"/>
            <w:noWrap/>
            <w:hideMark/>
          </w:tcPr>
          <w:p w14:paraId="4CA92457" w14:textId="77777777" w:rsidR="00BD359E" w:rsidRPr="00BD359E" w:rsidRDefault="00BD359E" w:rsidP="00DC54F7">
            <w:pPr>
              <w:spacing w:after="0" w:line="240" w:lineRule="auto"/>
              <w:jc w:val="both"/>
              <w:rPr>
                <w:rFonts w:ascii="Arial" w:eastAsia="Times New Roman" w:hAnsi="Arial" w:cs="Arial"/>
                <w:sz w:val="20"/>
                <w:szCs w:val="20"/>
                <w:lang w:eastAsia="en-GB"/>
              </w:rPr>
            </w:pPr>
            <w:r w:rsidRPr="00BD359E">
              <w:rPr>
                <w:rFonts w:ascii="Arial" w:eastAsia="Times New Roman" w:hAnsi="Arial" w:cs="Arial"/>
                <w:sz w:val="20"/>
                <w:szCs w:val="20"/>
                <w:lang w:eastAsia="en-GB"/>
              </w:rPr>
              <w:t>31,274</w:t>
            </w:r>
          </w:p>
        </w:tc>
        <w:tc>
          <w:tcPr>
            <w:tcW w:w="1416" w:type="dxa"/>
            <w:tcBorders>
              <w:top w:val="nil"/>
              <w:left w:val="nil"/>
              <w:bottom w:val="single" w:sz="4" w:space="0" w:color="auto"/>
              <w:right w:val="nil"/>
            </w:tcBorders>
            <w:shd w:val="clear" w:color="000000" w:fill="F2F2F2"/>
            <w:noWrap/>
            <w:hideMark/>
          </w:tcPr>
          <w:p w14:paraId="0FE401F0" w14:textId="77777777" w:rsidR="00BD359E" w:rsidRPr="00BD359E" w:rsidRDefault="00BD359E" w:rsidP="00DC54F7">
            <w:pPr>
              <w:spacing w:after="0" w:line="240" w:lineRule="auto"/>
              <w:jc w:val="both"/>
              <w:rPr>
                <w:rFonts w:ascii="Arial" w:eastAsia="Times New Roman" w:hAnsi="Arial" w:cs="Arial"/>
                <w:sz w:val="20"/>
                <w:szCs w:val="20"/>
                <w:lang w:eastAsia="en-GB"/>
              </w:rPr>
            </w:pPr>
            <w:r w:rsidRPr="00BD359E">
              <w:rPr>
                <w:rFonts w:ascii="Arial" w:eastAsia="Times New Roman" w:hAnsi="Arial" w:cs="Arial"/>
                <w:sz w:val="20"/>
                <w:szCs w:val="20"/>
                <w:lang w:eastAsia="en-GB"/>
              </w:rPr>
              <w:t>1.63</w:t>
            </w:r>
          </w:p>
        </w:tc>
        <w:tc>
          <w:tcPr>
            <w:tcW w:w="1465" w:type="dxa"/>
            <w:tcBorders>
              <w:top w:val="nil"/>
              <w:left w:val="nil"/>
              <w:bottom w:val="single" w:sz="4" w:space="0" w:color="auto"/>
              <w:right w:val="nil"/>
            </w:tcBorders>
            <w:shd w:val="clear" w:color="000000" w:fill="F2F2F2"/>
            <w:noWrap/>
            <w:hideMark/>
          </w:tcPr>
          <w:p w14:paraId="392B0FFB" w14:textId="77777777" w:rsidR="00BD359E" w:rsidRPr="00BD359E" w:rsidRDefault="00BD359E" w:rsidP="00DC54F7">
            <w:pPr>
              <w:spacing w:after="0" w:line="240" w:lineRule="auto"/>
              <w:jc w:val="both"/>
              <w:rPr>
                <w:rFonts w:ascii="Arial" w:eastAsia="Times New Roman" w:hAnsi="Arial" w:cs="Arial"/>
                <w:sz w:val="20"/>
                <w:szCs w:val="20"/>
                <w:lang w:eastAsia="en-GB"/>
              </w:rPr>
            </w:pPr>
            <w:r w:rsidRPr="00BD359E">
              <w:rPr>
                <w:rFonts w:ascii="Arial" w:eastAsia="Times New Roman" w:hAnsi="Arial" w:cs="Arial"/>
                <w:sz w:val="20"/>
                <w:szCs w:val="20"/>
                <w:lang w:eastAsia="en-GB"/>
              </w:rPr>
              <w:t>29,704</w:t>
            </w:r>
          </w:p>
        </w:tc>
        <w:tc>
          <w:tcPr>
            <w:tcW w:w="1441" w:type="dxa"/>
            <w:gridSpan w:val="2"/>
            <w:tcBorders>
              <w:top w:val="nil"/>
              <w:left w:val="nil"/>
              <w:bottom w:val="single" w:sz="4" w:space="0" w:color="auto"/>
              <w:right w:val="nil"/>
            </w:tcBorders>
            <w:shd w:val="clear" w:color="000000" w:fill="F2F2F2"/>
            <w:noWrap/>
            <w:hideMark/>
          </w:tcPr>
          <w:p w14:paraId="4410E813" w14:textId="77777777" w:rsidR="00BD359E" w:rsidRPr="00BD359E" w:rsidRDefault="00BD359E" w:rsidP="00DC54F7">
            <w:pPr>
              <w:spacing w:after="0" w:line="240" w:lineRule="auto"/>
              <w:jc w:val="both"/>
              <w:rPr>
                <w:rFonts w:ascii="Arial" w:eastAsia="Times New Roman" w:hAnsi="Arial" w:cs="Arial"/>
                <w:sz w:val="20"/>
                <w:szCs w:val="20"/>
                <w:lang w:eastAsia="en-GB"/>
              </w:rPr>
            </w:pPr>
            <w:r w:rsidRPr="00BD359E">
              <w:rPr>
                <w:rFonts w:ascii="Arial" w:eastAsia="Times New Roman" w:hAnsi="Arial" w:cs="Arial"/>
                <w:sz w:val="20"/>
                <w:szCs w:val="20"/>
                <w:lang w:eastAsia="en-GB"/>
              </w:rPr>
              <w:t>1.54</w:t>
            </w:r>
          </w:p>
        </w:tc>
        <w:tc>
          <w:tcPr>
            <w:tcW w:w="1441" w:type="dxa"/>
            <w:tcBorders>
              <w:top w:val="nil"/>
              <w:left w:val="nil"/>
              <w:bottom w:val="single" w:sz="4" w:space="0" w:color="auto"/>
              <w:right w:val="single" w:sz="4" w:space="0" w:color="auto"/>
            </w:tcBorders>
            <w:shd w:val="clear" w:color="000000" w:fill="F2F2F2"/>
            <w:noWrap/>
            <w:hideMark/>
          </w:tcPr>
          <w:p w14:paraId="57A3FD36" w14:textId="77777777" w:rsidR="00BD359E" w:rsidRPr="00BD359E" w:rsidRDefault="00BD359E" w:rsidP="00DC54F7">
            <w:pPr>
              <w:spacing w:after="0" w:line="240" w:lineRule="auto"/>
              <w:jc w:val="both"/>
              <w:rPr>
                <w:rFonts w:ascii="Arial" w:eastAsia="Times New Roman" w:hAnsi="Arial" w:cs="Arial"/>
                <w:sz w:val="20"/>
                <w:szCs w:val="20"/>
                <w:lang w:eastAsia="en-GB"/>
              </w:rPr>
            </w:pPr>
            <w:r w:rsidRPr="00BD359E">
              <w:rPr>
                <w:rFonts w:ascii="Arial" w:eastAsia="Times New Roman" w:hAnsi="Arial" w:cs="Arial"/>
                <w:sz w:val="20"/>
                <w:szCs w:val="20"/>
                <w:lang w:eastAsia="en-GB"/>
              </w:rPr>
              <w:t>-5.0%</w:t>
            </w:r>
          </w:p>
        </w:tc>
      </w:tr>
    </w:tbl>
    <w:p w14:paraId="3A869AF6" w14:textId="715E2B06" w:rsidR="009C5735" w:rsidRPr="009E76BB" w:rsidRDefault="009C5735" w:rsidP="00DC54F7">
      <w:pPr>
        <w:spacing w:after="0" w:line="240" w:lineRule="auto"/>
        <w:jc w:val="both"/>
        <w:rPr>
          <w:rFonts w:ascii="Arial" w:hAnsi="Arial" w:cs="Arial"/>
          <w:sz w:val="20"/>
          <w:szCs w:val="20"/>
          <w:shd w:val="clear" w:color="auto" w:fill="FFFFFF"/>
        </w:rPr>
      </w:pPr>
      <w:r w:rsidRPr="009E76BB">
        <w:rPr>
          <w:rFonts w:ascii="Arial" w:hAnsi="Arial" w:cs="Arial"/>
          <w:sz w:val="20"/>
          <w:szCs w:val="20"/>
          <w:shd w:val="clear" w:color="auto" w:fill="FFFFFF"/>
        </w:rPr>
        <w:t>Source: Nomis</w:t>
      </w:r>
      <w:r w:rsidR="007C34C6" w:rsidRPr="009E76BB">
        <w:rPr>
          <w:rFonts w:ascii="Arial" w:hAnsi="Arial" w:cs="Arial"/>
          <w:sz w:val="20"/>
          <w:szCs w:val="20"/>
          <w:shd w:val="clear" w:color="auto" w:fill="FFFFFF"/>
        </w:rPr>
        <w:t xml:space="preserve"> </w:t>
      </w:r>
      <w:r w:rsidR="00B46EC7" w:rsidRPr="009E76BB">
        <w:rPr>
          <w:rFonts w:ascii="Arial" w:hAnsi="Arial" w:cs="Arial"/>
          <w:sz w:val="20"/>
          <w:szCs w:val="20"/>
          <w:shd w:val="clear" w:color="auto" w:fill="FFFFFF"/>
        </w:rPr>
        <w:t>–</w:t>
      </w:r>
      <w:r w:rsidR="007C34C6" w:rsidRPr="009E76BB">
        <w:rPr>
          <w:rFonts w:ascii="Arial" w:hAnsi="Arial" w:cs="Arial"/>
          <w:sz w:val="20"/>
          <w:szCs w:val="20"/>
          <w:shd w:val="clear" w:color="auto" w:fill="FFFFFF"/>
        </w:rPr>
        <w:t xml:space="preserve"> </w:t>
      </w:r>
      <w:r w:rsidR="00B46EC7" w:rsidRPr="009E76BB">
        <w:rPr>
          <w:rFonts w:ascii="Arial" w:hAnsi="Arial" w:cs="Arial"/>
          <w:sz w:val="20"/>
          <w:szCs w:val="20"/>
          <w:shd w:val="clear" w:color="auto" w:fill="FFFFFF"/>
        </w:rPr>
        <w:t>Office of National Statistics</w:t>
      </w:r>
    </w:p>
    <w:p w14:paraId="5676D25F" w14:textId="4CECC804" w:rsidR="00423813" w:rsidRDefault="00423813" w:rsidP="00DC54F7">
      <w:pPr>
        <w:spacing w:after="0" w:line="240" w:lineRule="auto"/>
        <w:jc w:val="both"/>
        <w:rPr>
          <w:rFonts w:ascii="Arial" w:hAnsi="Arial" w:cs="Arial"/>
          <w:b/>
          <w:sz w:val="20"/>
          <w:szCs w:val="20"/>
        </w:rPr>
      </w:pPr>
    </w:p>
    <w:p w14:paraId="32C214D9" w14:textId="77777777" w:rsidR="009E76BB" w:rsidRPr="009E76BB" w:rsidRDefault="009E76BB" w:rsidP="00DC54F7">
      <w:pPr>
        <w:spacing w:after="0" w:line="240" w:lineRule="auto"/>
        <w:jc w:val="both"/>
        <w:rPr>
          <w:rFonts w:ascii="Arial" w:hAnsi="Arial" w:cs="Arial"/>
          <w:b/>
          <w:sz w:val="20"/>
          <w:szCs w:val="20"/>
        </w:rPr>
      </w:pPr>
    </w:p>
    <w:p w14:paraId="532AC9EE" w14:textId="4201AE7E" w:rsidR="000F318E" w:rsidRDefault="000F318E" w:rsidP="00DC54F7">
      <w:pPr>
        <w:spacing w:after="0" w:line="240" w:lineRule="auto"/>
        <w:jc w:val="both"/>
        <w:rPr>
          <w:rFonts w:ascii="Arial" w:hAnsi="Arial" w:cs="Arial"/>
          <w:b/>
          <w:sz w:val="26"/>
          <w:szCs w:val="26"/>
        </w:rPr>
      </w:pPr>
      <w:r w:rsidRPr="00A10850">
        <w:rPr>
          <w:rFonts w:ascii="Arial" w:hAnsi="Arial" w:cs="Arial"/>
          <w:b/>
          <w:sz w:val="26"/>
          <w:szCs w:val="26"/>
        </w:rPr>
        <w:t>2.</w:t>
      </w:r>
      <w:r w:rsidR="00D3388A" w:rsidRPr="00A10850">
        <w:rPr>
          <w:rFonts w:ascii="Arial" w:hAnsi="Arial" w:cs="Arial"/>
          <w:b/>
          <w:sz w:val="26"/>
          <w:szCs w:val="26"/>
        </w:rPr>
        <w:t>8</w:t>
      </w:r>
      <w:r w:rsidRPr="00A10850">
        <w:rPr>
          <w:rFonts w:ascii="Arial" w:hAnsi="Arial" w:cs="Arial"/>
          <w:b/>
          <w:sz w:val="26"/>
          <w:szCs w:val="26"/>
        </w:rPr>
        <w:t xml:space="preserve"> </w:t>
      </w:r>
      <w:r w:rsidR="00350BBC" w:rsidRPr="00A10850">
        <w:rPr>
          <w:rFonts w:ascii="Arial" w:hAnsi="Arial" w:cs="Arial"/>
          <w:b/>
          <w:sz w:val="26"/>
          <w:szCs w:val="26"/>
        </w:rPr>
        <w:t>Life expectancy</w:t>
      </w:r>
    </w:p>
    <w:p w14:paraId="558FE4E0" w14:textId="0C4C3BB2" w:rsidR="00B70A89" w:rsidRDefault="00B70A89" w:rsidP="00DC54F7">
      <w:pPr>
        <w:spacing w:after="0" w:line="240" w:lineRule="auto"/>
        <w:jc w:val="both"/>
        <w:rPr>
          <w:rFonts w:ascii="Arial" w:hAnsi="Arial" w:cs="Arial"/>
          <w:b/>
          <w:sz w:val="26"/>
          <w:szCs w:val="26"/>
        </w:rPr>
      </w:pPr>
    </w:p>
    <w:p w14:paraId="114C2C84" w14:textId="2478211A" w:rsidR="00F30E35" w:rsidRPr="006C7E47" w:rsidRDefault="00F30E35" w:rsidP="00DC54F7">
      <w:pPr>
        <w:spacing w:after="0" w:line="240" w:lineRule="auto"/>
        <w:jc w:val="both"/>
        <w:rPr>
          <w:rFonts w:ascii="Arial" w:hAnsi="Arial" w:cs="Arial"/>
          <w:sz w:val="24"/>
          <w:szCs w:val="24"/>
          <w:shd w:val="clear" w:color="auto" w:fill="FFFFFF"/>
        </w:rPr>
      </w:pPr>
      <w:r w:rsidRPr="006C7E47">
        <w:rPr>
          <w:rFonts w:ascii="Arial" w:hAnsi="Arial" w:cs="Arial"/>
          <w:sz w:val="24"/>
          <w:szCs w:val="24"/>
          <w:shd w:val="clear" w:color="auto" w:fill="FFFFFF"/>
        </w:rPr>
        <w:t>In Wales</w:t>
      </w:r>
      <w:r w:rsidR="0068211C" w:rsidRPr="006C7E47">
        <w:rPr>
          <w:rFonts w:ascii="Arial" w:hAnsi="Arial" w:cs="Arial"/>
          <w:sz w:val="24"/>
          <w:szCs w:val="24"/>
          <w:shd w:val="clear" w:color="auto" w:fill="FFFFFF"/>
        </w:rPr>
        <w:t xml:space="preserve">, the </w:t>
      </w:r>
      <w:r w:rsidR="00022B66" w:rsidRPr="006C7E47">
        <w:rPr>
          <w:rFonts w:ascii="Arial" w:hAnsi="Arial" w:cs="Arial"/>
          <w:sz w:val="24"/>
          <w:szCs w:val="24"/>
          <w:shd w:val="clear" w:color="auto" w:fill="FFFFFF"/>
        </w:rPr>
        <w:t xml:space="preserve">average life expectancy for females at birth was </w:t>
      </w:r>
      <w:r w:rsidR="005F2C8E" w:rsidRPr="006C7E47">
        <w:rPr>
          <w:rFonts w:ascii="Arial" w:hAnsi="Arial" w:cs="Arial"/>
          <w:sz w:val="24"/>
          <w:szCs w:val="24"/>
          <w:shd w:val="clear" w:color="auto" w:fill="FFFFFF"/>
        </w:rPr>
        <w:t>82.3 years and 78.3 years for men</w:t>
      </w:r>
      <w:r w:rsidR="00BD4F81" w:rsidRPr="006C7E47">
        <w:rPr>
          <w:rFonts w:ascii="Arial" w:hAnsi="Arial" w:cs="Arial"/>
          <w:sz w:val="24"/>
          <w:szCs w:val="24"/>
          <w:shd w:val="clear" w:color="auto" w:fill="FFFFFF"/>
        </w:rPr>
        <w:t xml:space="preserve"> between 2016 to 2018</w:t>
      </w:r>
      <w:r w:rsidR="005F2C8E" w:rsidRPr="006C7E47">
        <w:rPr>
          <w:rFonts w:ascii="Arial" w:hAnsi="Arial" w:cs="Arial"/>
          <w:sz w:val="24"/>
          <w:szCs w:val="24"/>
          <w:shd w:val="clear" w:color="auto" w:fill="FFFFFF"/>
        </w:rPr>
        <w:t xml:space="preserve">. The gap between </w:t>
      </w:r>
      <w:r w:rsidR="00567F4B" w:rsidRPr="006C7E47">
        <w:rPr>
          <w:rFonts w:ascii="Arial" w:hAnsi="Arial" w:cs="Arial"/>
          <w:sz w:val="24"/>
          <w:szCs w:val="24"/>
          <w:shd w:val="clear" w:color="auto" w:fill="FFFFFF"/>
        </w:rPr>
        <w:t>local</w:t>
      </w:r>
      <w:r w:rsidR="001C2FF4" w:rsidRPr="006C7E47">
        <w:rPr>
          <w:rFonts w:ascii="Arial" w:hAnsi="Arial" w:cs="Arial"/>
          <w:sz w:val="24"/>
          <w:szCs w:val="24"/>
          <w:shd w:val="clear" w:color="auto" w:fill="FFFFFF"/>
        </w:rPr>
        <w:t xml:space="preserve"> </w:t>
      </w:r>
      <w:r w:rsidR="005F2C8E" w:rsidRPr="006C7E47">
        <w:rPr>
          <w:rFonts w:ascii="Arial" w:hAnsi="Arial" w:cs="Arial"/>
          <w:sz w:val="24"/>
          <w:szCs w:val="24"/>
          <w:shd w:val="clear" w:color="auto" w:fill="FFFFFF"/>
        </w:rPr>
        <w:t>authorities</w:t>
      </w:r>
      <w:r w:rsidR="00FA700D" w:rsidRPr="006C7E47">
        <w:rPr>
          <w:rFonts w:ascii="Arial" w:hAnsi="Arial" w:cs="Arial"/>
          <w:sz w:val="24"/>
          <w:szCs w:val="24"/>
          <w:shd w:val="clear" w:color="auto" w:fill="FFFFFF"/>
        </w:rPr>
        <w:t xml:space="preserve"> across Wales was 4.5 years for men</w:t>
      </w:r>
      <w:r w:rsidR="00A23FCB" w:rsidRPr="006C7E47">
        <w:rPr>
          <w:rFonts w:ascii="Arial" w:hAnsi="Arial" w:cs="Arial"/>
          <w:sz w:val="24"/>
          <w:szCs w:val="24"/>
          <w:shd w:val="clear" w:color="auto" w:fill="FFFFFF"/>
        </w:rPr>
        <w:t xml:space="preserve"> (</w:t>
      </w:r>
      <w:r w:rsidR="00987EC9" w:rsidRPr="006C7E47">
        <w:rPr>
          <w:rFonts w:ascii="Arial" w:hAnsi="Arial" w:cs="Arial"/>
          <w:sz w:val="24"/>
          <w:szCs w:val="24"/>
          <w:shd w:val="clear" w:color="auto" w:fill="FFFFFF"/>
        </w:rPr>
        <w:t>80.8 years to 76.3 years) and 3.6 years for females (</w:t>
      </w:r>
      <w:r w:rsidR="001C2FF4" w:rsidRPr="006C7E47">
        <w:rPr>
          <w:rFonts w:ascii="Arial" w:hAnsi="Arial" w:cs="Arial"/>
          <w:sz w:val="24"/>
          <w:szCs w:val="24"/>
          <w:shd w:val="clear" w:color="auto" w:fill="FFFFFF"/>
        </w:rPr>
        <w:t>84.2 years to 80.6 years).</w:t>
      </w:r>
      <w:r w:rsidR="00FA700D" w:rsidRPr="006C7E47">
        <w:rPr>
          <w:rFonts w:ascii="Arial" w:hAnsi="Arial" w:cs="Arial"/>
          <w:sz w:val="24"/>
          <w:szCs w:val="24"/>
          <w:shd w:val="clear" w:color="auto" w:fill="FFFFFF"/>
        </w:rPr>
        <w:t xml:space="preserve"> </w:t>
      </w:r>
    </w:p>
    <w:p w14:paraId="31AB3B7F" w14:textId="77777777" w:rsidR="008C7C61" w:rsidRPr="009E76BB" w:rsidRDefault="008C7C61" w:rsidP="00DC54F7">
      <w:pPr>
        <w:spacing w:after="0" w:line="240" w:lineRule="auto"/>
        <w:jc w:val="both"/>
        <w:rPr>
          <w:rFonts w:ascii="Arial" w:hAnsi="Arial" w:cs="Arial"/>
          <w:sz w:val="24"/>
          <w:szCs w:val="24"/>
          <w:lang w:eastAsia="en-GB"/>
        </w:rPr>
      </w:pPr>
    </w:p>
    <w:p w14:paraId="1153F8FF" w14:textId="0B0269C0" w:rsidR="00D03609" w:rsidRPr="009E76BB" w:rsidRDefault="00AA3809" w:rsidP="00DC54F7">
      <w:pPr>
        <w:spacing w:after="0" w:line="240" w:lineRule="auto"/>
        <w:jc w:val="both"/>
        <w:rPr>
          <w:rFonts w:ascii="Arial" w:hAnsi="Arial" w:cs="Arial"/>
          <w:sz w:val="24"/>
          <w:szCs w:val="24"/>
          <w:lang w:eastAsia="en-GB"/>
        </w:rPr>
      </w:pPr>
      <w:r w:rsidRPr="009E76BB">
        <w:rPr>
          <w:rFonts w:ascii="Arial" w:hAnsi="Arial" w:cs="Arial"/>
          <w:sz w:val="24"/>
          <w:szCs w:val="24"/>
          <w:lang w:eastAsia="en-GB"/>
        </w:rPr>
        <w:t>The average life expectancy at birth</w:t>
      </w:r>
      <w:r w:rsidR="001E1E4C" w:rsidRPr="009E76BB">
        <w:rPr>
          <w:rFonts w:ascii="Arial" w:hAnsi="Arial" w:cs="Arial"/>
          <w:sz w:val="24"/>
          <w:szCs w:val="24"/>
          <w:lang w:eastAsia="en-GB"/>
        </w:rPr>
        <w:t xml:space="preserve"> in </w:t>
      </w:r>
      <w:r w:rsidR="003C1F8A" w:rsidRPr="009E76BB">
        <w:rPr>
          <w:rFonts w:ascii="Arial" w:hAnsi="Arial" w:cs="Arial"/>
          <w:sz w:val="24"/>
          <w:szCs w:val="24"/>
          <w:lang w:eastAsia="en-GB"/>
        </w:rPr>
        <w:t xml:space="preserve">Cardiff and Vale University Health Board </w:t>
      </w:r>
      <w:r w:rsidR="001E1E4C" w:rsidRPr="009E76BB">
        <w:rPr>
          <w:rFonts w:ascii="Arial" w:hAnsi="Arial" w:cs="Arial"/>
          <w:sz w:val="24"/>
          <w:szCs w:val="24"/>
          <w:lang w:eastAsia="en-GB"/>
        </w:rPr>
        <w:t xml:space="preserve">is </w:t>
      </w:r>
      <w:r w:rsidR="00B81FE2" w:rsidRPr="009E76BB">
        <w:rPr>
          <w:rFonts w:ascii="Arial" w:hAnsi="Arial" w:cs="Arial"/>
          <w:sz w:val="24"/>
          <w:szCs w:val="24"/>
          <w:lang w:eastAsia="en-GB"/>
        </w:rPr>
        <w:t xml:space="preserve">83.1 years </w:t>
      </w:r>
      <w:r w:rsidR="007664C8" w:rsidRPr="009E76BB">
        <w:rPr>
          <w:rFonts w:ascii="Arial" w:hAnsi="Arial" w:cs="Arial"/>
          <w:sz w:val="24"/>
          <w:szCs w:val="24"/>
          <w:lang w:eastAsia="en-GB"/>
        </w:rPr>
        <w:t xml:space="preserve">for females </w:t>
      </w:r>
      <w:r w:rsidR="00B81FE2" w:rsidRPr="009E76BB">
        <w:rPr>
          <w:rFonts w:ascii="Arial" w:hAnsi="Arial" w:cs="Arial"/>
          <w:sz w:val="24"/>
          <w:szCs w:val="24"/>
          <w:lang w:eastAsia="en-GB"/>
        </w:rPr>
        <w:t xml:space="preserve">and </w:t>
      </w:r>
      <w:r w:rsidR="00EF21C0" w:rsidRPr="009E76BB">
        <w:rPr>
          <w:rFonts w:ascii="Arial" w:hAnsi="Arial" w:cs="Arial"/>
          <w:sz w:val="24"/>
          <w:szCs w:val="24"/>
          <w:lang w:eastAsia="en-GB"/>
        </w:rPr>
        <w:t xml:space="preserve">78.6 years for males, </w:t>
      </w:r>
      <w:r w:rsidR="00A269B0" w:rsidRPr="009E76BB">
        <w:rPr>
          <w:rFonts w:ascii="Arial" w:hAnsi="Arial" w:cs="Arial"/>
          <w:sz w:val="24"/>
          <w:szCs w:val="24"/>
          <w:lang w:eastAsia="en-GB"/>
        </w:rPr>
        <w:t xml:space="preserve">a </w:t>
      </w:r>
      <w:r w:rsidR="00A23FCB" w:rsidRPr="009E76BB">
        <w:rPr>
          <w:rFonts w:ascii="Arial" w:hAnsi="Arial" w:cs="Arial"/>
          <w:sz w:val="24"/>
          <w:szCs w:val="24"/>
          <w:lang w:eastAsia="en-GB"/>
        </w:rPr>
        <w:t>difference</w:t>
      </w:r>
      <w:r w:rsidR="00A269B0" w:rsidRPr="009E76BB">
        <w:rPr>
          <w:rFonts w:ascii="Arial" w:hAnsi="Arial" w:cs="Arial"/>
          <w:sz w:val="24"/>
          <w:szCs w:val="24"/>
          <w:lang w:eastAsia="en-GB"/>
        </w:rPr>
        <w:t xml:space="preserve"> of 4.5 years</w:t>
      </w:r>
      <w:r w:rsidR="00964857" w:rsidRPr="009E76BB">
        <w:rPr>
          <w:rFonts w:ascii="Arial" w:hAnsi="Arial" w:cs="Arial"/>
          <w:sz w:val="24"/>
          <w:szCs w:val="24"/>
          <w:lang w:eastAsia="en-GB"/>
        </w:rPr>
        <w:t xml:space="preserve"> between genders</w:t>
      </w:r>
      <w:r w:rsidR="00A269B0" w:rsidRPr="009E76BB">
        <w:rPr>
          <w:rFonts w:ascii="Arial" w:hAnsi="Arial" w:cs="Arial"/>
          <w:sz w:val="24"/>
          <w:szCs w:val="24"/>
          <w:lang w:eastAsia="en-GB"/>
        </w:rPr>
        <w:t>. Th</w:t>
      </w:r>
      <w:r w:rsidR="002654CC" w:rsidRPr="009E76BB">
        <w:rPr>
          <w:rFonts w:ascii="Arial" w:hAnsi="Arial" w:cs="Arial"/>
          <w:sz w:val="24"/>
          <w:szCs w:val="24"/>
          <w:lang w:eastAsia="en-GB"/>
        </w:rPr>
        <w:t>e average life expectancy</w:t>
      </w:r>
      <w:r w:rsidR="00A269B0" w:rsidRPr="009E76BB">
        <w:rPr>
          <w:rFonts w:ascii="Arial" w:hAnsi="Arial" w:cs="Arial"/>
          <w:sz w:val="24"/>
          <w:szCs w:val="24"/>
          <w:lang w:eastAsia="en-GB"/>
        </w:rPr>
        <w:t xml:space="preserve"> is </w:t>
      </w:r>
      <w:r w:rsidR="00560ED2" w:rsidRPr="009E76BB">
        <w:rPr>
          <w:rFonts w:ascii="Arial" w:hAnsi="Arial" w:cs="Arial"/>
          <w:sz w:val="24"/>
          <w:szCs w:val="24"/>
          <w:lang w:eastAsia="en-GB"/>
        </w:rPr>
        <w:t xml:space="preserve">higher </w:t>
      </w:r>
      <w:r w:rsidR="00F95718" w:rsidRPr="009E76BB">
        <w:rPr>
          <w:rFonts w:ascii="Arial" w:hAnsi="Arial" w:cs="Arial"/>
          <w:sz w:val="24"/>
          <w:szCs w:val="24"/>
          <w:lang w:eastAsia="en-GB"/>
        </w:rPr>
        <w:t>than the average for Wales</w:t>
      </w:r>
      <w:r w:rsidR="00560ED2" w:rsidRPr="009E76BB">
        <w:rPr>
          <w:rFonts w:ascii="Arial" w:hAnsi="Arial" w:cs="Arial"/>
          <w:sz w:val="24"/>
          <w:szCs w:val="24"/>
          <w:lang w:eastAsia="en-GB"/>
        </w:rPr>
        <w:t xml:space="preserve"> and </w:t>
      </w:r>
      <w:r w:rsidR="00A269B0" w:rsidRPr="009E76BB">
        <w:rPr>
          <w:rFonts w:ascii="Arial" w:hAnsi="Arial" w:cs="Arial"/>
          <w:sz w:val="24"/>
          <w:szCs w:val="24"/>
          <w:lang w:eastAsia="en-GB"/>
        </w:rPr>
        <w:t xml:space="preserve">significantly higher </w:t>
      </w:r>
      <w:r w:rsidR="00970739" w:rsidRPr="009E76BB">
        <w:rPr>
          <w:rFonts w:ascii="Arial" w:hAnsi="Arial" w:cs="Arial"/>
          <w:sz w:val="24"/>
          <w:szCs w:val="24"/>
          <w:lang w:eastAsia="en-GB"/>
        </w:rPr>
        <w:t>for females at birth</w:t>
      </w:r>
      <w:r w:rsidR="00781380" w:rsidRPr="009E76BB">
        <w:rPr>
          <w:rFonts w:ascii="Arial" w:hAnsi="Arial" w:cs="Arial"/>
          <w:sz w:val="24"/>
          <w:szCs w:val="24"/>
          <w:lang w:eastAsia="en-GB"/>
        </w:rPr>
        <w:t>.</w:t>
      </w:r>
      <w:r w:rsidR="002E2EDB" w:rsidRPr="009E76BB">
        <w:rPr>
          <w:rFonts w:ascii="Arial" w:hAnsi="Arial" w:cs="Arial"/>
          <w:sz w:val="24"/>
          <w:szCs w:val="24"/>
          <w:lang w:eastAsia="en-GB"/>
        </w:rPr>
        <w:t xml:space="preserve"> </w:t>
      </w:r>
      <w:r w:rsidR="00547485" w:rsidRPr="009E76BB">
        <w:rPr>
          <w:rFonts w:ascii="Arial" w:hAnsi="Arial" w:cs="Arial"/>
          <w:sz w:val="24"/>
          <w:szCs w:val="24"/>
          <w:lang w:eastAsia="en-GB"/>
        </w:rPr>
        <w:t xml:space="preserve">Life expectancy at 65 in </w:t>
      </w:r>
      <w:r w:rsidR="006A51B9" w:rsidRPr="009E76BB">
        <w:rPr>
          <w:rFonts w:ascii="Arial" w:hAnsi="Arial" w:cs="Arial"/>
          <w:sz w:val="24"/>
          <w:szCs w:val="24"/>
          <w:lang w:eastAsia="en-GB"/>
        </w:rPr>
        <w:t xml:space="preserve">Cardiff and Vale University Health Board is </w:t>
      </w:r>
      <w:r w:rsidR="00547485" w:rsidRPr="009E76BB">
        <w:rPr>
          <w:rFonts w:ascii="Arial" w:hAnsi="Arial" w:cs="Arial"/>
          <w:sz w:val="24"/>
          <w:szCs w:val="24"/>
          <w:lang w:eastAsia="en-GB"/>
        </w:rPr>
        <w:t>21.1 years for females and 18.1 years for males. Again</w:t>
      </w:r>
      <w:r w:rsidR="001D59EA" w:rsidRPr="009E76BB">
        <w:rPr>
          <w:rFonts w:ascii="Arial" w:hAnsi="Arial" w:cs="Arial"/>
          <w:sz w:val="24"/>
          <w:szCs w:val="24"/>
          <w:lang w:eastAsia="en-GB"/>
        </w:rPr>
        <w:t>,</w:t>
      </w:r>
      <w:r w:rsidR="00547485" w:rsidRPr="009E76BB">
        <w:rPr>
          <w:rFonts w:ascii="Arial" w:hAnsi="Arial" w:cs="Arial"/>
          <w:sz w:val="24"/>
          <w:szCs w:val="24"/>
          <w:lang w:eastAsia="en-GB"/>
        </w:rPr>
        <w:t xml:space="preserve"> th</w:t>
      </w:r>
      <w:r w:rsidR="00300BF1" w:rsidRPr="009E76BB">
        <w:rPr>
          <w:rFonts w:ascii="Arial" w:hAnsi="Arial" w:cs="Arial"/>
          <w:sz w:val="24"/>
          <w:szCs w:val="24"/>
          <w:lang w:eastAsia="en-GB"/>
        </w:rPr>
        <w:t>is</w:t>
      </w:r>
      <w:r w:rsidR="00547485" w:rsidRPr="009E76BB">
        <w:rPr>
          <w:rFonts w:ascii="Arial" w:hAnsi="Arial" w:cs="Arial"/>
          <w:sz w:val="24"/>
          <w:szCs w:val="24"/>
          <w:lang w:eastAsia="en-GB"/>
        </w:rPr>
        <w:t xml:space="preserve"> is higher </w:t>
      </w:r>
      <w:r w:rsidR="00F95718" w:rsidRPr="009E76BB">
        <w:rPr>
          <w:rFonts w:ascii="Arial" w:hAnsi="Arial" w:cs="Arial"/>
          <w:sz w:val="24"/>
          <w:szCs w:val="24"/>
          <w:lang w:eastAsia="en-GB"/>
        </w:rPr>
        <w:t>than the average for Wales</w:t>
      </w:r>
      <w:r w:rsidR="00547485" w:rsidRPr="009E76BB">
        <w:rPr>
          <w:rFonts w:ascii="Arial" w:hAnsi="Arial" w:cs="Arial"/>
          <w:sz w:val="24"/>
          <w:szCs w:val="24"/>
          <w:lang w:eastAsia="en-GB"/>
        </w:rPr>
        <w:t xml:space="preserve"> and significantly </w:t>
      </w:r>
      <w:r w:rsidR="00B305B7" w:rsidRPr="009E76BB">
        <w:rPr>
          <w:rFonts w:ascii="Arial" w:hAnsi="Arial" w:cs="Arial"/>
          <w:sz w:val="24"/>
          <w:szCs w:val="24"/>
          <w:lang w:eastAsia="en-GB"/>
        </w:rPr>
        <w:t>higher</w:t>
      </w:r>
      <w:r w:rsidR="00547485" w:rsidRPr="009E76BB">
        <w:rPr>
          <w:rFonts w:ascii="Arial" w:hAnsi="Arial" w:cs="Arial"/>
          <w:sz w:val="24"/>
          <w:szCs w:val="24"/>
          <w:lang w:eastAsia="en-GB"/>
        </w:rPr>
        <w:t xml:space="preserve"> for females </w:t>
      </w:r>
      <w:r w:rsidR="002654CC" w:rsidRPr="009E76BB">
        <w:rPr>
          <w:rFonts w:ascii="Arial" w:hAnsi="Arial" w:cs="Arial"/>
          <w:sz w:val="24"/>
          <w:szCs w:val="24"/>
          <w:lang w:eastAsia="en-GB"/>
        </w:rPr>
        <w:t>at</w:t>
      </w:r>
      <w:r w:rsidR="00547485" w:rsidRPr="009E76BB">
        <w:rPr>
          <w:rFonts w:ascii="Arial" w:hAnsi="Arial" w:cs="Arial"/>
          <w:sz w:val="24"/>
          <w:szCs w:val="24"/>
          <w:lang w:eastAsia="en-GB"/>
        </w:rPr>
        <w:t xml:space="preserve"> 65.</w:t>
      </w:r>
    </w:p>
    <w:p w14:paraId="2347BE43" w14:textId="125AC551" w:rsidR="00652AFA" w:rsidRPr="009E76BB" w:rsidRDefault="00652AFA" w:rsidP="00DC54F7">
      <w:pPr>
        <w:spacing w:after="0" w:line="240" w:lineRule="auto"/>
        <w:jc w:val="both"/>
        <w:rPr>
          <w:rFonts w:ascii="Arial" w:hAnsi="Arial" w:cs="Arial"/>
          <w:sz w:val="24"/>
          <w:szCs w:val="24"/>
          <w:lang w:eastAsia="en-GB"/>
        </w:rPr>
      </w:pPr>
    </w:p>
    <w:p w14:paraId="3F507803" w14:textId="198969AC" w:rsidR="00652AFA" w:rsidRPr="009E76BB" w:rsidRDefault="00652AFA" w:rsidP="00DC54F7">
      <w:pPr>
        <w:spacing w:after="0" w:line="240" w:lineRule="auto"/>
        <w:jc w:val="both"/>
        <w:rPr>
          <w:rFonts w:ascii="Arial" w:hAnsi="Arial" w:cs="Arial"/>
          <w:sz w:val="24"/>
          <w:szCs w:val="24"/>
          <w:lang w:eastAsia="en-GB"/>
        </w:rPr>
      </w:pPr>
      <w:r w:rsidRPr="009E76BB">
        <w:rPr>
          <w:rFonts w:ascii="Arial" w:hAnsi="Arial" w:cs="Arial"/>
          <w:sz w:val="24"/>
          <w:szCs w:val="24"/>
          <w:lang w:eastAsia="en-GB"/>
        </w:rPr>
        <w:t xml:space="preserve">Overall, </w:t>
      </w:r>
      <w:r w:rsidR="00123A80" w:rsidRPr="009E76BB">
        <w:rPr>
          <w:rFonts w:ascii="Arial" w:hAnsi="Arial" w:cs="Arial"/>
          <w:sz w:val="24"/>
          <w:szCs w:val="24"/>
          <w:lang w:eastAsia="en-GB"/>
        </w:rPr>
        <w:t xml:space="preserve">females in Cardiff </w:t>
      </w:r>
      <w:r w:rsidR="0052112E" w:rsidRPr="009E76BB">
        <w:rPr>
          <w:rFonts w:ascii="Arial" w:hAnsi="Arial" w:cs="Arial"/>
          <w:sz w:val="24"/>
          <w:szCs w:val="24"/>
          <w:lang w:eastAsia="en-GB"/>
        </w:rPr>
        <w:t>can expect to li</w:t>
      </w:r>
      <w:r w:rsidR="006F7378" w:rsidRPr="009E76BB">
        <w:rPr>
          <w:rFonts w:ascii="Arial" w:hAnsi="Arial" w:cs="Arial"/>
          <w:sz w:val="24"/>
          <w:szCs w:val="24"/>
          <w:lang w:eastAsia="en-GB"/>
        </w:rPr>
        <w:t xml:space="preserve">ve longer compared to </w:t>
      </w:r>
      <w:r w:rsidR="008E511C" w:rsidRPr="009E76BB">
        <w:rPr>
          <w:rFonts w:ascii="Arial" w:hAnsi="Arial" w:cs="Arial"/>
          <w:sz w:val="24"/>
          <w:szCs w:val="24"/>
          <w:lang w:eastAsia="en-GB"/>
        </w:rPr>
        <w:t xml:space="preserve">the </w:t>
      </w:r>
      <w:r w:rsidR="00AF12A8" w:rsidRPr="009E76BB">
        <w:rPr>
          <w:rFonts w:ascii="Arial" w:hAnsi="Arial" w:cs="Arial"/>
          <w:sz w:val="24"/>
          <w:szCs w:val="24"/>
          <w:lang w:eastAsia="en-GB"/>
        </w:rPr>
        <w:t xml:space="preserve">average population of </w:t>
      </w:r>
      <w:r w:rsidR="006F7378" w:rsidRPr="009E76BB">
        <w:rPr>
          <w:rFonts w:ascii="Arial" w:hAnsi="Arial" w:cs="Arial"/>
          <w:sz w:val="24"/>
          <w:szCs w:val="24"/>
          <w:lang w:eastAsia="en-GB"/>
        </w:rPr>
        <w:t>Wales</w:t>
      </w:r>
      <w:r w:rsidR="002250AF" w:rsidRPr="009E76BB">
        <w:rPr>
          <w:rFonts w:ascii="Arial" w:hAnsi="Arial" w:cs="Arial"/>
          <w:sz w:val="24"/>
          <w:szCs w:val="24"/>
          <w:lang w:eastAsia="en-GB"/>
        </w:rPr>
        <w:t>, with l</w:t>
      </w:r>
      <w:r w:rsidR="00961F6C" w:rsidRPr="009E76BB">
        <w:rPr>
          <w:rFonts w:ascii="Arial" w:hAnsi="Arial" w:cs="Arial"/>
          <w:sz w:val="24"/>
          <w:szCs w:val="24"/>
          <w:lang w:eastAsia="en-GB"/>
        </w:rPr>
        <w:t xml:space="preserve">ife expectancy at </w:t>
      </w:r>
      <w:r w:rsidR="00C5208D" w:rsidRPr="009E76BB">
        <w:rPr>
          <w:rFonts w:ascii="Arial" w:hAnsi="Arial" w:cs="Arial"/>
          <w:sz w:val="24"/>
          <w:szCs w:val="24"/>
          <w:lang w:eastAsia="en-GB"/>
        </w:rPr>
        <w:t xml:space="preserve">birth </w:t>
      </w:r>
      <w:r w:rsidR="00052A68" w:rsidRPr="009E76BB">
        <w:rPr>
          <w:rFonts w:ascii="Arial" w:hAnsi="Arial" w:cs="Arial"/>
          <w:sz w:val="24"/>
          <w:szCs w:val="24"/>
          <w:lang w:eastAsia="en-GB"/>
        </w:rPr>
        <w:t xml:space="preserve">for females </w:t>
      </w:r>
      <w:r w:rsidR="00CC7CCC" w:rsidRPr="009E76BB">
        <w:rPr>
          <w:rFonts w:ascii="Arial" w:hAnsi="Arial" w:cs="Arial"/>
          <w:sz w:val="24"/>
          <w:szCs w:val="24"/>
          <w:lang w:eastAsia="en-GB"/>
        </w:rPr>
        <w:t xml:space="preserve">being </w:t>
      </w:r>
      <w:r w:rsidR="00C5208D" w:rsidRPr="009E76BB">
        <w:rPr>
          <w:rFonts w:ascii="Arial" w:hAnsi="Arial" w:cs="Arial"/>
          <w:sz w:val="24"/>
          <w:szCs w:val="24"/>
          <w:lang w:eastAsia="en-GB"/>
        </w:rPr>
        <w:t xml:space="preserve">significantly higher. </w:t>
      </w:r>
      <w:r w:rsidR="00764F45" w:rsidRPr="009E76BB">
        <w:rPr>
          <w:rFonts w:ascii="Arial" w:hAnsi="Arial" w:cs="Arial"/>
          <w:sz w:val="24"/>
          <w:szCs w:val="24"/>
          <w:lang w:eastAsia="en-GB"/>
        </w:rPr>
        <w:t xml:space="preserve">However, </w:t>
      </w:r>
      <w:r w:rsidR="00C5208D" w:rsidRPr="009E76BB">
        <w:rPr>
          <w:rFonts w:ascii="Arial" w:hAnsi="Arial" w:cs="Arial"/>
          <w:sz w:val="24"/>
          <w:szCs w:val="24"/>
          <w:lang w:eastAsia="en-GB"/>
        </w:rPr>
        <w:t xml:space="preserve">men in Cardiff </w:t>
      </w:r>
      <w:r w:rsidR="00764F45" w:rsidRPr="009E76BB">
        <w:rPr>
          <w:rFonts w:ascii="Arial" w:hAnsi="Arial" w:cs="Arial"/>
          <w:sz w:val="24"/>
          <w:szCs w:val="24"/>
          <w:lang w:eastAsia="en-GB"/>
        </w:rPr>
        <w:t>have a shorter life expe</w:t>
      </w:r>
      <w:r w:rsidR="00FF3A09" w:rsidRPr="009E76BB">
        <w:rPr>
          <w:rFonts w:ascii="Arial" w:hAnsi="Arial" w:cs="Arial"/>
          <w:sz w:val="24"/>
          <w:szCs w:val="24"/>
          <w:lang w:eastAsia="en-GB"/>
        </w:rPr>
        <w:t>ctancy, significantly so for males at 65</w:t>
      </w:r>
      <w:r w:rsidR="00585A1B" w:rsidRPr="009E76BB">
        <w:rPr>
          <w:rFonts w:ascii="Arial" w:hAnsi="Arial" w:cs="Arial"/>
          <w:sz w:val="24"/>
          <w:szCs w:val="24"/>
          <w:lang w:eastAsia="en-GB"/>
        </w:rPr>
        <w:t xml:space="preserve"> years</w:t>
      </w:r>
      <w:r w:rsidR="00FF3A09" w:rsidRPr="009E76BB">
        <w:rPr>
          <w:rFonts w:ascii="Arial" w:hAnsi="Arial" w:cs="Arial"/>
          <w:sz w:val="24"/>
          <w:szCs w:val="24"/>
          <w:lang w:eastAsia="en-GB"/>
        </w:rPr>
        <w:t>.</w:t>
      </w:r>
    </w:p>
    <w:p w14:paraId="3FE1AB68" w14:textId="5B84782C" w:rsidR="00EF3024" w:rsidRDefault="00EF3024" w:rsidP="00DC54F7">
      <w:pPr>
        <w:spacing w:after="0" w:line="240" w:lineRule="auto"/>
        <w:jc w:val="both"/>
        <w:rPr>
          <w:rFonts w:ascii="Arial" w:hAnsi="Arial" w:cs="Arial"/>
          <w:sz w:val="24"/>
          <w:szCs w:val="24"/>
          <w:lang w:eastAsia="en-GB"/>
        </w:rPr>
      </w:pPr>
    </w:p>
    <w:p w14:paraId="04030422" w14:textId="02C23F28" w:rsidR="009E76BB" w:rsidRDefault="009E76BB" w:rsidP="00DC54F7">
      <w:pPr>
        <w:spacing w:after="0" w:line="240" w:lineRule="auto"/>
        <w:jc w:val="both"/>
        <w:rPr>
          <w:rFonts w:ascii="Arial" w:hAnsi="Arial" w:cs="Arial"/>
          <w:sz w:val="24"/>
          <w:szCs w:val="24"/>
          <w:lang w:eastAsia="en-GB"/>
        </w:rPr>
      </w:pPr>
    </w:p>
    <w:p w14:paraId="70FD9AD9" w14:textId="4C2A7550" w:rsidR="009E76BB" w:rsidRDefault="009E76BB" w:rsidP="00DC54F7">
      <w:pPr>
        <w:spacing w:after="0" w:line="240" w:lineRule="auto"/>
        <w:jc w:val="both"/>
        <w:rPr>
          <w:rFonts w:ascii="Arial" w:hAnsi="Arial" w:cs="Arial"/>
          <w:sz w:val="24"/>
          <w:szCs w:val="24"/>
          <w:lang w:eastAsia="en-GB"/>
        </w:rPr>
      </w:pPr>
    </w:p>
    <w:p w14:paraId="13E35FFF" w14:textId="14E67CA0" w:rsidR="009E76BB" w:rsidRDefault="009E76BB" w:rsidP="00DC54F7">
      <w:pPr>
        <w:jc w:val="both"/>
        <w:rPr>
          <w:rFonts w:ascii="Arial" w:hAnsi="Arial" w:cs="Arial"/>
          <w:sz w:val="24"/>
          <w:szCs w:val="24"/>
          <w:lang w:eastAsia="en-GB"/>
        </w:rPr>
      </w:pPr>
      <w:r>
        <w:rPr>
          <w:rFonts w:ascii="Arial" w:hAnsi="Arial" w:cs="Arial"/>
          <w:sz w:val="24"/>
          <w:szCs w:val="24"/>
          <w:lang w:eastAsia="en-GB"/>
        </w:rPr>
        <w:br w:type="page"/>
      </w:r>
    </w:p>
    <w:p w14:paraId="17EA49E5" w14:textId="18BCE874" w:rsidR="001943E9" w:rsidRPr="009E76BB" w:rsidRDefault="007222E9" w:rsidP="00DC54F7">
      <w:pPr>
        <w:spacing w:after="0" w:line="240" w:lineRule="auto"/>
        <w:jc w:val="both"/>
        <w:rPr>
          <w:rFonts w:ascii="Arial" w:hAnsi="Arial" w:cs="Arial"/>
          <w:b/>
          <w:bCs/>
          <w:sz w:val="24"/>
          <w:szCs w:val="24"/>
          <w:lang w:eastAsia="en-GB"/>
        </w:rPr>
      </w:pPr>
      <w:r w:rsidRPr="009E76BB">
        <w:rPr>
          <w:rFonts w:ascii="Arial" w:hAnsi="Arial" w:cs="Arial"/>
          <w:b/>
          <w:bCs/>
          <w:sz w:val="24"/>
          <w:szCs w:val="24"/>
          <w:lang w:eastAsia="en-GB"/>
        </w:rPr>
        <w:lastRenderedPageBreak/>
        <w:t>Table</w:t>
      </w:r>
      <w:r w:rsidR="003D65CC" w:rsidRPr="009E76BB">
        <w:rPr>
          <w:rFonts w:ascii="Arial" w:hAnsi="Arial" w:cs="Arial"/>
          <w:b/>
          <w:bCs/>
          <w:sz w:val="24"/>
          <w:szCs w:val="24"/>
          <w:lang w:eastAsia="en-GB"/>
        </w:rPr>
        <w:t xml:space="preserve"> 2.</w:t>
      </w:r>
      <w:r w:rsidR="008B2D50" w:rsidRPr="009E76BB">
        <w:rPr>
          <w:rFonts w:ascii="Arial" w:hAnsi="Arial" w:cs="Arial"/>
          <w:b/>
          <w:bCs/>
          <w:sz w:val="24"/>
          <w:szCs w:val="24"/>
          <w:lang w:eastAsia="en-GB"/>
        </w:rPr>
        <w:t>7</w:t>
      </w:r>
      <w:r w:rsidRPr="009E76BB">
        <w:rPr>
          <w:rFonts w:ascii="Arial" w:hAnsi="Arial" w:cs="Arial"/>
          <w:b/>
          <w:bCs/>
          <w:sz w:val="24"/>
          <w:szCs w:val="24"/>
          <w:lang w:eastAsia="en-GB"/>
        </w:rPr>
        <w:t xml:space="preserve">: Life expectancy at birth and age 65 by </w:t>
      </w:r>
      <w:r w:rsidR="00567F4B" w:rsidRPr="009E76BB">
        <w:rPr>
          <w:rFonts w:ascii="Arial" w:hAnsi="Arial" w:cs="Arial"/>
          <w:b/>
          <w:bCs/>
          <w:sz w:val="24"/>
          <w:szCs w:val="24"/>
          <w:lang w:eastAsia="en-GB"/>
        </w:rPr>
        <w:t>local</w:t>
      </w:r>
      <w:r w:rsidRPr="009E76BB">
        <w:rPr>
          <w:rFonts w:ascii="Arial" w:hAnsi="Arial" w:cs="Arial"/>
          <w:b/>
          <w:bCs/>
          <w:sz w:val="24"/>
          <w:szCs w:val="24"/>
          <w:lang w:eastAsia="en-GB"/>
        </w:rPr>
        <w:t xml:space="preserve"> authority, health board and Wales, 2016 to 2018 </w:t>
      </w:r>
    </w:p>
    <w:tbl>
      <w:tblPr>
        <w:tblW w:w="9092" w:type="dxa"/>
        <w:tblBorders>
          <w:top w:val="single" w:sz="4" w:space="0" w:color="auto"/>
          <w:left w:val="single" w:sz="4" w:space="0" w:color="auto"/>
          <w:bottom w:val="single" w:sz="4" w:space="0" w:color="auto"/>
          <w:right w:val="single" w:sz="4" w:space="0" w:color="auto"/>
          <w:insideH w:val="single" w:sz="4" w:space="0" w:color="C9C9C9"/>
        </w:tblBorders>
        <w:tblLook w:val="04A0" w:firstRow="1" w:lastRow="0" w:firstColumn="1" w:lastColumn="0" w:noHBand="0" w:noVBand="1"/>
      </w:tblPr>
      <w:tblGrid>
        <w:gridCol w:w="2264"/>
        <w:gridCol w:w="1707"/>
        <w:gridCol w:w="1707"/>
        <w:gridCol w:w="1707"/>
        <w:gridCol w:w="1707"/>
      </w:tblGrid>
      <w:tr w:rsidR="00D25628" w:rsidRPr="00D25628" w14:paraId="3E9E3A0E" w14:textId="77777777" w:rsidTr="00472264">
        <w:trPr>
          <w:trHeight w:val="285"/>
        </w:trPr>
        <w:tc>
          <w:tcPr>
            <w:tcW w:w="2264" w:type="dxa"/>
            <w:shd w:val="clear" w:color="000000" w:fill="8497B0"/>
            <w:vAlign w:val="bottom"/>
            <w:hideMark/>
          </w:tcPr>
          <w:p w14:paraId="0623B68C" w14:textId="77777777" w:rsidR="00D25628" w:rsidRPr="00D25628" w:rsidRDefault="00D25628" w:rsidP="00DC54F7">
            <w:pPr>
              <w:spacing w:after="0" w:line="240" w:lineRule="auto"/>
              <w:jc w:val="both"/>
              <w:rPr>
                <w:rFonts w:ascii="Arial" w:eastAsia="Times New Roman" w:hAnsi="Arial" w:cs="Arial"/>
                <w:b/>
                <w:bCs/>
                <w:color w:val="FFFFFF"/>
                <w:sz w:val="20"/>
                <w:szCs w:val="20"/>
                <w:lang w:eastAsia="en-GB"/>
              </w:rPr>
            </w:pPr>
            <w:r w:rsidRPr="00D25628">
              <w:rPr>
                <w:rFonts w:ascii="Arial" w:eastAsia="Times New Roman" w:hAnsi="Arial" w:cs="Arial"/>
                <w:b/>
                <w:bCs/>
                <w:color w:val="FFFFFF"/>
                <w:sz w:val="20"/>
                <w:szCs w:val="20"/>
                <w:lang w:eastAsia="en-GB"/>
              </w:rPr>
              <w:t>Area</w:t>
            </w:r>
          </w:p>
        </w:tc>
        <w:tc>
          <w:tcPr>
            <w:tcW w:w="1707" w:type="dxa"/>
            <w:shd w:val="clear" w:color="000000" w:fill="8497B0"/>
            <w:vAlign w:val="bottom"/>
            <w:hideMark/>
          </w:tcPr>
          <w:p w14:paraId="5F32D211" w14:textId="77777777" w:rsidR="00D25628" w:rsidRDefault="00D25628" w:rsidP="00DC54F7">
            <w:pPr>
              <w:spacing w:after="0" w:line="240" w:lineRule="auto"/>
              <w:jc w:val="both"/>
              <w:rPr>
                <w:rFonts w:ascii="Arial" w:eastAsia="Times New Roman" w:hAnsi="Arial" w:cs="Arial"/>
                <w:b/>
                <w:bCs/>
                <w:color w:val="FFFFFF"/>
                <w:sz w:val="20"/>
                <w:szCs w:val="20"/>
                <w:lang w:eastAsia="en-GB"/>
              </w:rPr>
            </w:pPr>
            <w:r w:rsidRPr="00D25628">
              <w:rPr>
                <w:rFonts w:ascii="Arial" w:eastAsia="Times New Roman" w:hAnsi="Arial" w:cs="Arial"/>
                <w:b/>
                <w:bCs/>
                <w:color w:val="FFFFFF"/>
                <w:sz w:val="20"/>
                <w:szCs w:val="20"/>
                <w:lang w:eastAsia="en-GB"/>
              </w:rPr>
              <w:t>Female at birth</w:t>
            </w:r>
          </w:p>
          <w:p w14:paraId="231EDB9F" w14:textId="23B2FD66" w:rsidR="0023069D" w:rsidRPr="00D25628" w:rsidRDefault="0023069D" w:rsidP="00DC54F7">
            <w:pPr>
              <w:spacing w:after="0" w:line="240" w:lineRule="auto"/>
              <w:jc w:val="both"/>
              <w:rPr>
                <w:rFonts w:ascii="Arial" w:eastAsia="Times New Roman" w:hAnsi="Arial" w:cs="Arial"/>
                <w:b/>
                <w:bCs/>
                <w:color w:val="FFFFFF"/>
                <w:sz w:val="20"/>
                <w:szCs w:val="20"/>
                <w:lang w:eastAsia="en-GB"/>
              </w:rPr>
            </w:pPr>
            <w:r>
              <w:rPr>
                <w:rFonts w:ascii="Arial" w:eastAsia="Times New Roman" w:hAnsi="Arial" w:cs="Arial"/>
                <w:b/>
                <w:bCs/>
                <w:color w:val="FFFFFF"/>
                <w:sz w:val="20"/>
                <w:szCs w:val="20"/>
                <w:lang w:eastAsia="en-GB"/>
              </w:rPr>
              <w:t>Years</w:t>
            </w:r>
          </w:p>
        </w:tc>
        <w:tc>
          <w:tcPr>
            <w:tcW w:w="1707" w:type="dxa"/>
            <w:shd w:val="clear" w:color="000000" w:fill="8497B0"/>
            <w:vAlign w:val="bottom"/>
            <w:hideMark/>
          </w:tcPr>
          <w:p w14:paraId="0FD0CCDC" w14:textId="77777777" w:rsidR="00D25628" w:rsidRDefault="00D25628" w:rsidP="00DC54F7">
            <w:pPr>
              <w:spacing w:after="0" w:line="240" w:lineRule="auto"/>
              <w:jc w:val="both"/>
              <w:rPr>
                <w:rFonts w:ascii="Arial" w:eastAsia="Times New Roman" w:hAnsi="Arial" w:cs="Arial"/>
                <w:b/>
                <w:bCs/>
                <w:color w:val="FFFFFF"/>
                <w:sz w:val="20"/>
                <w:szCs w:val="20"/>
                <w:lang w:eastAsia="en-GB"/>
              </w:rPr>
            </w:pPr>
            <w:r w:rsidRPr="00D25628">
              <w:rPr>
                <w:rFonts w:ascii="Arial" w:eastAsia="Times New Roman" w:hAnsi="Arial" w:cs="Arial"/>
                <w:b/>
                <w:bCs/>
                <w:color w:val="FFFFFF"/>
                <w:sz w:val="20"/>
                <w:szCs w:val="20"/>
                <w:lang w:eastAsia="en-GB"/>
              </w:rPr>
              <w:t>Male at birth</w:t>
            </w:r>
          </w:p>
          <w:p w14:paraId="71DC3687" w14:textId="16C3747C" w:rsidR="0023069D" w:rsidRPr="00D25628" w:rsidRDefault="0023069D" w:rsidP="00DC54F7">
            <w:pPr>
              <w:spacing w:after="0" w:line="240" w:lineRule="auto"/>
              <w:jc w:val="both"/>
              <w:rPr>
                <w:rFonts w:ascii="Arial" w:eastAsia="Times New Roman" w:hAnsi="Arial" w:cs="Arial"/>
                <w:b/>
                <w:bCs/>
                <w:color w:val="FFFFFF"/>
                <w:sz w:val="20"/>
                <w:szCs w:val="20"/>
                <w:lang w:eastAsia="en-GB"/>
              </w:rPr>
            </w:pPr>
            <w:r>
              <w:rPr>
                <w:rFonts w:ascii="Arial" w:eastAsia="Times New Roman" w:hAnsi="Arial" w:cs="Arial"/>
                <w:b/>
                <w:bCs/>
                <w:color w:val="FFFFFF"/>
                <w:sz w:val="20"/>
                <w:szCs w:val="20"/>
                <w:lang w:eastAsia="en-GB"/>
              </w:rPr>
              <w:t>Years</w:t>
            </w:r>
          </w:p>
        </w:tc>
        <w:tc>
          <w:tcPr>
            <w:tcW w:w="1707" w:type="dxa"/>
            <w:shd w:val="clear" w:color="000000" w:fill="8497B0"/>
            <w:vAlign w:val="bottom"/>
            <w:hideMark/>
          </w:tcPr>
          <w:p w14:paraId="51902AA1" w14:textId="77777777" w:rsidR="00D25628" w:rsidRDefault="00D25628" w:rsidP="00DC54F7">
            <w:pPr>
              <w:spacing w:after="0" w:line="240" w:lineRule="auto"/>
              <w:jc w:val="both"/>
              <w:rPr>
                <w:rFonts w:ascii="Arial" w:eastAsia="Times New Roman" w:hAnsi="Arial" w:cs="Arial"/>
                <w:b/>
                <w:bCs/>
                <w:color w:val="FFFFFF"/>
                <w:sz w:val="20"/>
                <w:szCs w:val="20"/>
                <w:lang w:eastAsia="en-GB"/>
              </w:rPr>
            </w:pPr>
            <w:r w:rsidRPr="00D25628">
              <w:rPr>
                <w:rFonts w:ascii="Arial" w:eastAsia="Times New Roman" w:hAnsi="Arial" w:cs="Arial"/>
                <w:b/>
                <w:bCs/>
                <w:color w:val="FFFFFF"/>
                <w:sz w:val="20"/>
                <w:szCs w:val="20"/>
                <w:lang w:eastAsia="en-GB"/>
              </w:rPr>
              <w:t>Female at 65</w:t>
            </w:r>
          </w:p>
          <w:p w14:paraId="2824DC18" w14:textId="1C107773" w:rsidR="0023069D" w:rsidRPr="00D25628" w:rsidRDefault="0023069D" w:rsidP="00DC54F7">
            <w:pPr>
              <w:spacing w:after="0" w:line="240" w:lineRule="auto"/>
              <w:jc w:val="both"/>
              <w:rPr>
                <w:rFonts w:ascii="Arial" w:eastAsia="Times New Roman" w:hAnsi="Arial" w:cs="Arial"/>
                <w:b/>
                <w:bCs/>
                <w:color w:val="FFFFFF"/>
                <w:sz w:val="20"/>
                <w:szCs w:val="20"/>
                <w:lang w:eastAsia="en-GB"/>
              </w:rPr>
            </w:pPr>
            <w:r>
              <w:rPr>
                <w:rFonts w:ascii="Arial" w:eastAsia="Times New Roman" w:hAnsi="Arial" w:cs="Arial"/>
                <w:b/>
                <w:bCs/>
                <w:color w:val="FFFFFF"/>
                <w:sz w:val="20"/>
                <w:szCs w:val="20"/>
                <w:lang w:eastAsia="en-GB"/>
              </w:rPr>
              <w:t>Years</w:t>
            </w:r>
          </w:p>
        </w:tc>
        <w:tc>
          <w:tcPr>
            <w:tcW w:w="1707" w:type="dxa"/>
            <w:shd w:val="clear" w:color="000000" w:fill="8497B0"/>
            <w:vAlign w:val="bottom"/>
            <w:hideMark/>
          </w:tcPr>
          <w:p w14:paraId="61978181" w14:textId="77777777" w:rsidR="00D25628" w:rsidRDefault="00D25628" w:rsidP="00DC54F7">
            <w:pPr>
              <w:spacing w:after="0" w:line="240" w:lineRule="auto"/>
              <w:jc w:val="both"/>
              <w:rPr>
                <w:rFonts w:ascii="Arial" w:eastAsia="Times New Roman" w:hAnsi="Arial" w:cs="Arial"/>
                <w:b/>
                <w:bCs/>
                <w:color w:val="FFFFFF"/>
                <w:sz w:val="20"/>
                <w:szCs w:val="20"/>
                <w:lang w:eastAsia="en-GB"/>
              </w:rPr>
            </w:pPr>
            <w:r w:rsidRPr="00D25628">
              <w:rPr>
                <w:rFonts w:ascii="Arial" w:eastAsia="Times New Roman" w:hAnsi="Arial" w:cs="Arial"/>
                <w:b/>
                <w:bCs/>
                <w:color w:val="FFFFFF"/>
                <w:sz w:val="20"/>
                <w:szCs w:val="20"/>
                <w:lang w:eastAsia="en-GB"/>
              </w:rPr>
              <w:t>Male at 65</w:t>
            </w:r>
          </w:p>
          <w:p w14:paraId="291C52B9" w14:textId="46E26B4F" w:rsidR="0023069D" w:rsidRPr="00D25628" w:rsidRDefault="0023069D" w:rsidP="00DC54F7">
            <w:pPr>
              <w:spacing w:after="0" w:line="240" w:lineRule="auto"/>
              <w:jc w:val="both"/>
              <w:rPr>
                <w:rFonts w:ascii="Arial" w:eastAsia="Times New Roman" w:hAnsi="Arial" w:cs="Arial"/>
                <w:b/>
                <w:bCs/>
                <w:color w:val="FFFFFF"/>
                <w:sz w:val="20"/>
                <w:szCs w:val="20"/>
                <w:lang w:eastAsia="en-GB"/>
              </w:rPr>
            </w:pPr>
            <w:r>
              <w:rPr>
                <w:rFonts w:ascii="Arial" w:eastAsia="Times New Roman" w:hAnsi="Arial" w:cs="Arial"/>
                <w:b/>
                <w:bCs/>
                <w:color w:val="FFFFFF"/>
                <w:sz w:val="20"/>
                <w:szCs w:val="20"/>
                <w:lang w:eastAsia="en-GB"/>
              </w:rPr>
              <w:t>Years</w:t>
            </w:r>
          </w:p>
        </w:tc>
      </w:tr>
      <w:tr w:rsidR="00D25628" w:rsidRPr="00D25628" w14:paraId="55455649" w14:textId="77777777" w:rsidTr="00472264">
        <w:trPr>
          <w:trHeight w:val="285"/>
        </w:trPr>
        <w:tc>
          <w:tcPr>
            <w:tcW w:w="2264" w:type="dxa"/>
            <w:shd w:val="clear" w:color="EDEDED" w:fill="EDEDED"/>
            <w:noWrap/>
            <w:vAlign w:val="bottom"/>
            <w:hideMark/>
          </w:tcPr>
          <w:p w14:paraId="5726036D"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Cardiff</w:t>
            </w:r>
          </w:p>
        </w:tc>
        <w:tc>
          <w:tcPr>
            <w:tcW w:w="1707" w:type="dxa"/>
            <w:shd w:val="clear" w:color="EDEDED" w:fill="EDEDED"/>
            <w:noWrap/>
            <w:vAlign w:val="bottom"/>
            <w:hideMark/>
          </w:tcPr>
          <w:p w14:paraId="685E4C5B"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82.9</w:t>
            </w:r>
          </w:p>
        </w:tc>
        <w:tc>
          <w:tcPr>
            <w:tcW w:w="1707" w:type="dxa"/>
            <w:shd w:val="clear" w:color="EDEDED" w:fill="EDEDED"/>
            <w:noWrap/>
            <w:vAlign w:val="bottom"/>
            <w:hideMark/>
          </w:tcPr>
          <w:p w14:paraId="04A41E26"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78.2</w:t>
            </w:r>
          </w:p>
        </w:tc>
        <w:tc>
          <w:tcPr>
            <w:tcW w:w="1707" w:type="dxa"/>
            <w:shd w:val="clear" w:color="EDEDED" w:fill="EDEDED"/>
            <w:noWrap/>
            <w:vAlign w:val="bottom"/>
            <w:hideMark/>
          </w:tcPr>
          <w:p w14:paraId="2725382D"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20.8</w:t>
            </w:r>
          </w:p>
        </w:tc>
        <w:tc>
          <w:tcPr>
            <w:tcW w:w="1707" w:type="dxa"/>
            <w:shd w:val="clear" w:color="EDEDED" w:fill="EDEDED"/>
            <w:noWrap/>
            <w:vAlign w:val="bottom"/>
            <w:hideMark/>
          </w:tcPr>
          <w:p w14:paraId="59E8DBCE"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17.7</w:t>
            </w:r>
          </w:p>
        </w:tc>
      </w:tr>
      <w:tr w:rsidR="00D25628" w:rsidRPr="00D25628" w14:paraId="2382F643" w14:textId="77777777" w:rsidTr="00472264">
        <w:trPr>
          <w:trHeight w:val="285"/>
        </w:trPr>
        <w:tc>
          <w:tcPr>
            <w:tcW w:w="2264" w:type="dxa"/>
            <w:shd w:val="clear" w:color="auto" w:fill="auto"/>
            <w:noWrap/>
            <w:vAlign w:val="bottom"/>
            <w:hideMark/>
          </w:tcPr>
          <w:p w14:paraId="600C104D"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Vale of Glamorgan</w:t>
            </w:r>
          </w:p>
        </w:tc>
        <w:tc>
          <w:tcPr>
            <w:tcW w:w="1707" w:type="dxa"/>
            <w:shd w:val="clear" w:color="auto" w:fill="auto"/>
            <w:noWrap/>
            <w:vAlign w:val="bottom"/>
            <w:hideMark/>
          </w:tcPr>
          <w:p w14:paraId="49DA3563"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83.4</w:t>
            </w:r>
          </w:p>
        </w:tc>
        <w:tc>
          <w:tcPr>
            <w:tcW w:w="1707" w:type="dxa"/>
            <w:shd w:val="clear" w:color="auto" w:fill="auto"/>
            <w:noWrap/>
            <w:vAlign w:val="bottom"/>
            <w:hideMark/>
          </w:tcPr>
          <w:p w14:paraId="533EE185"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79.3</w:t>
            </w:r>
          </w:p>
        </w:tc>
        <w:tc>
          <w:tcPr>
            <w:tcW w:w="1707" w:type="dxa"/>
            <w:shd w:val="clear" w:color="auto" w:fill="auto"/>
            <w:noWrap/>
            <w:vAlign w:val="bottom"/>
            <w:hideMark/>
          </w:tcPr>
          <w:p w14:paraId="2E5E7AE4"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21.6</w:t>
            </w:r>
          </w:p>
        </w:tc>
        <w:tc>
          <w:tcPr>
            <w:tcW w:w="1707" w:type="dxa"/>
            <w:shd w:val="clear" w:color="auto" w:fill="auto"/>
            <w:noWrap/>
            <w:vAlign w:val="bottom"/>
            <w:hideMark/>
          </w:tcPr>
          <w:p w14:paraId="799D52EB"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18.5</w:t>
            </w:r>
          </w:p>
        </w:tc>
      </w:tr>
      <w:tr w:rsidR="00D25628" w:rsidRPr="00D25628" w14:paraId="65E65292" w14:textId="77777777" w:rsidTr="00472264">
        <w:trPr>
          <w:trHeight w:val="285"/>
        </w:trPr>
        <w:tc>
          <w:tcPr>
            <w:tcW w:w="2264" w:type="dxa"/>
            <w:shd w:val="clear" w:color="EDEDED" w:fill="EDEDED"/>
            <w:noWrap/>
            <w:vAlign w:val="bottom"/>
            <w:hideMark/>
          </w:tcPr>
          <w:p w14:paraId="722E299A"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Cardiff and Vale UHB</w:t>
            </w:r>
          </w:p>
        </w:tc>
        <w:tc>
          <w:tcPr>
            <w:tcW w:w="1707" w:type="dxa"/>
            <w:shd w:val="clear" w:color="EDEDED" w:fill="EDEDED"/>
            <w:noWrap/>
            <w:vAlign w:val="bottom"/>
            <w:hideMark/>
          </w:tcPr>
          <w:p w14:paraId="6FFEDACD"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83.1</w:t>
            </w:r>
          </w:p>
        </w:tc>
        <w:tc>
          <w:tcPr>
            <w:tcW w:w="1707" w:type="dxa"/>
            <w:shd w:val="clear" w:color="EDEDED" w:fill="EDEDED"/>
            <w:noWrap/>
            <w:vAlign w:val="bottom"/>
            <w:hideMark/>
          </w:tcPr>
          <w:p w14:paraId="1F1CCD01"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78.6</w:t>
            </w:r>
          </w:p>
        </w:tc>
        <w:tc>
          <w:tcPr>
            <w:tcW w:w="1707" w:type="dxa"/>
            <w:shd w:val="clear" w:color="EDEDED" w:fill="EDEDED"/>
            <w:noWrap/>
            <w:vAlign w:val="bottom"/>
            <w:hideMark/>
          </w:tcPr>
          <w:p w14:paraId="2EF173CF"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21.1</w:t>
            </w:r>
          </w:p>
        </w:tc>
        <w:tc>
          <w:tcPr>
            <w:tcW w:w="1707" w:type="dxa"/>
            <w:shd w:val="clear" w:color="EDEDED" w:fill="EDEDED"/>
            <w:noWrap/>
            <w:vAlign w:val="bottom"/>
            <w:hideMark/>
          </w:tcPr>
          <w:p w14:paraId="7FF49ADF"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18.1</w:t>
            </w:r>
          </w:p>
        </w:tc>
      </w:tr>
      <w:tr w:rsidR="00D25628" w:rsidRPr="00D25628" w14:paraId="0F857F98" w14:textId="77777777" w:rsidTr="00472264">
        <w:trPr>
          <w:trHeight w:val="285"/>
        </w:trPr>
        <w:tc>
          <w:tcPr>
            <w:tcW w:w="2264" w:type="dxa"/>
            <w:shd w:val="clear" w:color="auto" w:fill="auto"/>
            <w:noWrap/>
            <w:vAlign w:val="bottom"/>
            <w:hideMark/>
          </w:tcPr>
          <w:p w14:paraId="4FFAAB17"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Wales</w:t>
            </w:r>
          </w:p>
        </w:tc>
        <w:tc>
          <w:tcPr>
            <w:tcW w:w="1707" w:type="dxa"/>
            <w:shd w:val="clear" w:color="auto" w:fill="auto"/>
            <w:noWrap/>
            <w:vAlign w:val="bottom"/>
            <w:hideMark/>
          </w:tcPr>
          <w:p w14:paraId="5E827B74"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82.3</w:t>
            </w:r>
          </w:p>
        </w:tc>
        <w:tc>
          <w:tcPr>
            <w:tcW w:w="1707" w:type="dxa"/>
            <w:shd w:val="clear" w:color="auto" w:fill="auto"/>
            <w:noWrap/>
            <w:vAlign w:val="bottom"/>
            <w:hideMark/>
          </w:tcPr>
          <w:p w14:paraId="4EC6F2C6"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78.3</w:t>
            </w:r>
          </w:p>
        </w:tc>
        <w:tc>
          <w:tcPr>
            <w:tcW w:w="1707" w:type="dxa"/>
            <w:shd w:val="clear" w:color="auto" w:fill="auto"/>
            <w:noWrap/>
            <w:vAlign w:val="bottom"/>
            <w:hideMark/>
          </w:tcPr>
          <w:p w14:paraId="415C6368"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20.6</w:t>
            </w:r>
          </w:p>
        </w:tc>
        <w:tc>
          <w:tcPr>
            <w:tcW w:w="1707" w:type="dxa"/>
            <w:shd w:val="clear" w:color="auto" w:fill="auto"/>
            <w:noWrap/>
            <w:vAlign w:val="bottom"/>
            <w:hideMark/>
          </w:tcPr>
          <w:p w14:paraId="105E5F95" w14:textId="77777777" w:rsidR="00D25628" w:rsidRPr="00D25628" w:rsidRDefault="00D25628" w:rsidP="00DC54F7">
            <w:pPr>
              <w:spacing w:after="0" w:line="240" w:lineRule="auto"/>
              <w:jc w:val="both"/>
              <w:rPr>
                <w:rFonts w:ascii="Arial" w:eastAsia="Times New Roman" w:hAnsi="Arial" w:cs="Arial"/>
                <w:color w:val="000000"/>
                <w:sz w:val="20"/>
                <w:szCs w:val="20"/>
                <w:lang w:eastAsia="en-GB"/>
              </w:rPr>
            </w:pPr>
            <w:r w:rsidRPr="00D25628">
              <w:rPr>
                <w:rFonts w:ascii="Arial" w:eastAsia="Times New Roman" w:hAnsi="Arial" w:cs="Arial"/>
                <w:color w:val="000000"/>
                <w:sz w:val="20"/>
                <w:szCs w:val="20"/>
                <w:lang w:eastAsia="en-GB"/>
              </w:rPr>
              <w:t>18.2</w:t>
            </w:r>
          </w:p>
        </w:tc>
      </w:tr>
    </w:tbl>
    <w:p w14:paraId="2FF136DF" w14:textId="522D2BF1" w:rsidR="00350662" w:rsidRPr="009E76BB" w:rsidRDefault="00350662" w:rsidP="00DC54F7">
      <w:pPr>
        <w:spacing w:after="0" w:line="240" w:lineRule="auto"/>
        <w:jc w:val="both"/>
        <w:rPr>
          <w:rFonts w:ascii="Arial" w:eastAsia="Times New Roman" w:hAnsi="Arial" w:cs="Arial"/>
          <w:b/>
          <w:bCs/>
          <w:sz w:val="20"/>
          <w:szCs w:val="20"/>
          <w:lang w:eastAsia="en-GB"/>
        </w:rPr>
      </w:pPr>
      <w:r w:rsidRPr="009E76BB">
        <w:rPr>
          <w:rFonts w:ascii="Arial" w:hAnsi="Arial" w:cs="Arial"/>
          <w:sz w:val="20"/>
          <w:szCs w:val="20"/>
          <w:lang w:eastAsia="en-GB"/>
        </w:rPr>
        <w:t xml:space="preserve">Source: Office of National Statistic- </w:t>
      </w:r>
      <w:r w:rsidRPr="009E76BB">
        <w:rPr>
          <w:rFonts w:ascii="Arial" w:eastAsia="Times New Roman" w:hAnsi="Arial" w:cs="Arial"/>
          <w:sz w:val="20"/>
          <w:szCs w:val="20"/>
          <w:lang w:eastAsia="en-GB"/>
        </w:rPr>
        <w:t>Life expectancy, healthy life expectancy and disability-free life expectancy at birth and age 65 by sex, UK, 2016 to 2018</w:t>
      </w:r>
    </w:p>
    <w:p w14:paraId="2DCA7766" w14:textId="77777777" w:rsidR="009E76BB" w:rsidRDefault="009E76BB" w:rsidP="00DC54F7">
      <w:pPr>
        <w:spacing w:after="0" w:line="240" w:lineRule="auto"/>
        <w:jc w:val="both"/>
        <w:rPr>
          <w:rFonts w:ascii="Arial" w:hAnsi="Arial" w:cs="Arial"/>
          <w:lang w:eastAsia="en-GB"/>
        </w:rPr>
      </w:pPr>
    </w:p>
    <w:p w14:paraId="3E32E066" w14:textId="5D695ABA" w:rsidR="001D59EA" w:rsidRPr="009E76BB" w:rsidRDefault="001D59EA" w:rsidP="00DC54F7">
      <w:pPr>
        <w:spacing w:after="0" w:line="240" w:lineRule="auto"/>
        <w:jc w:val="both"/>
        <w:rPr>
          <w:rFonts w:ascii="Arial" w:hAnsi="Arial" w:cs="Arial"/>
          <w:sz w:val="24"/>
          <w:szCs w:val="24"/>
          <w:lang w:eastAsia="en-GB"/>
        </w:rPr>
      </w:pPr>
      <w:r w:rsidRPr="009E76BB">
        <w:rPr>
          <w:rFonts w:ascii="Arial" w:hAnsi="Arial" w:cs="Arial"/>
          <w:sz w:val="24"/>
          <w:szCs w:val="24"/>
          <w:lang w:eastAsia="en-GB"/>
        </w:rPr>
        <w:t xml:space="preserve">Overall, </w:t>
      </w:r>
      <w:r w:rsidR="00DE1235" w:rsidRPr="009E76BB">
        <w:rPr>
          <w:rFonts w:ascii="Arial" w:hAnsi="Arial" w:cs="Arial"/>
          <w:sz w:val="24"/>
          <w:szCs w:val="24"/>
          <w:lang w:eastAsia="en-GB"/>
        </w:rPr>
        <w:t xml:space="preserve">males and females in the Vale of Glamorgan can expect to live longer than in Cardiff, </w:t>
      </w:r>
      <w:r w:rsidR="00501F2D" w:rsidRPr="009E76BB">
        <w:rPr>
          <w:rFonts w:ascii="Arial" w:hAnsi="Arial" w:cs="Arial"/>
          <w:sz w:val="24"/>
          <w:szCs w:val="24"/>
          <w:lang w:eastAsia="en-GB"/>
        </w:rPr>
        <w:t xml:space="preserve">Cardiff and Vale University Health Board and Wales. </w:t>
      </w:r>
      <w:r w:rsidR="00847181" w:rsidRPr="009E76BB">
        <w:rPr>
          <w:rFonts w:ascii="Arial" w:hAnsi="Arial" w:cs="Arial"/>
          <w:sz w:val="24"/>
          <w:szCs w:val="24"/>
          <w:lang w:eastAsia="en-GB"/>
        </w:rPr>
        <w:t xml:space="preserve">Life expectancy is significantly higher </w:t>
      </w:r>
      <w:r w:rsidR="00F95718" w:rsidRPr="009E76BB">
        <w:rPr>
          <w:rFonts w:ascii="Arial" w:hAnsi="Arial" w:cs="Arial"/>
          <w:sz w:val="24"/>
          <w:szCs w:val="24"/>
          <w:lang w:eastAsia="en-GB"/>
        </w:rPr>
        <w:t>than the average for Wales</w:t>
      </w:r>
      <w:r w:rsidR="00847181" w:rsidRPr="009E76BB">
        <w:rPr>
          <w:rFonts w:ascii="Arial" w:hAnsi="Arial" w:cs="Arial"/>
          <w:sz w:val="24"/>
          <w:szCs w:val="24"/>
          <w:lang w:eastAsia="en-GB"/>
        </w:rPr>
        <w:t xml:space="preserve"> excep</w:t>
      </w:r>
      <w:r w:rsidR="00180389" w:rsidRPr="009E76BB">
        <w:rPr>
          <w:rFonts w:ascii="Arial" w:hAnsi="Arial" w:cs="Arial"/>
          <w:sz w:val="24"/>
          <w:szCs w:val="24"/>
          <w:lang w:eastAsia="en-GB"/>
        </w:rPr>
        <w:t>t for males at 65 years.</w:t>
      </w:r>
      <w:r w:rsidR="00FE3C86" w:rsidRPr="009E76BB">
        <w:rPr>
          <w:rFonts w:ascii="Arial" w:hAnsi="Arial" w:cs="Arial"/>
          <w:sz w:val="24"/>
          <w:szCs w:val="24"/>
          <w:lang w:eastAsia="en-GB"/>
        </w:rPr>
        <w:t xml:space="preserve"> </w:t>
      </w:r>
    </w:p>
    <w:p w14:paraId="248C3679" w14:textId="55308BB9" w:rsidR="001D59EA" w:rsidRPr="009E76BB" w:rsidRDefault="000D191F" w:rsidP="00DC54F7">
      <w:pPr>
        <w:spacing w:after="0" w:line="240" w:lineRule="auto"/>
        <w:jc w:val="both"/>
        <w:rPr>
          <w:rFonts w:ascii="Arial" w:hAnsi="Arial" w:cs="Arial"/>
          <w:sz w:val="24"/>
          <w:szCs w:val="24"/>
          <w:lang w:eastAsia="en-GB"/>
        </w:rPr>
      </w:pPr>
      <w:r w:rsidRPr="009E76BB">
        <w:rPr>
          <w:rFonts w:ascii="Arial" w:hAnsi="Arial" w:cs="Arial"/>
          <w:sz w:val="24"/>
          <w:szCs w:val="24"/>
          <w:lang w:eastAsia="en-GB"/>
        </w:rPr>
        <w:t xml:space="preserve">Further details on life expectancy, healthy life expectancy and the inequalities gap </w:t>
      </w:r>
      <w:r w:rsidR="002F2F3D" w:rsidRPr="009E76BB">
        <w:rPr>
          <w:rFonts w:ascii="Arial" w:hAnsi="Arial" w:cs="Arial"/>
          <w:sz w:val="24"/>
          <w:szCs w:val="24"/>
          <w:lang w:eastAsia="en-GB"/>
        </w:rPr>
        <w:t xml:space="preserve">for </w:t>
      </w:r>
      <w:r w:rsidR="002113AF" w:rsidRPr="009E76BB">
        <w:rPr>
          <w:rFonts w:ascii="Arial" w:hAnsi="Arial" w:cs="Arial"/>
          <w:sz w:val="24"/>
          <w:szCs w:val="24"/>
          <w:lang w:eastAsia="en-GB"/>
        </w:rPr>
        <w:t xml:space="preserve">2015 to 2017, can be found in the cluster </w:t>
      </w:r>
      <w:r w:rsidR="00A80A9B" w:rsidRPr="009E76BB">
        <w:rPr>
          <w:rFonts w:ascii="Arial" w:hAnsi="Arial" w:cs="Arial"/>
          <w:sz w:val="24"/>
          <w:szCs w:val="24"/>
          <w:lang w:eastAsia="en-GB"/>
        </w:rPr>
        <w:t xml:space="preserve">level </w:t>
      </w:r>
      <w:r w:rsidR="002113AF" w:rsidRPr="009E76BB">
        <w:rPr>
          <w:rFonts w:ascii="Arial" w:hAnsi="Arial" w:cs="Arial"/>
          <w:sz w:val="24"/>
          <w:szCs w:val="24"/>
          <w:lang w:eastAsia="en-GB"/>
        </w:rPr>
        <w:t>chapters.</w:t>
      </w:r>
    </w:p>
    <w:p w14:paraId="587DFE63" w14:textId="52EA523E" w:rsidR="00A80A9B" w:rsidRDefault="00A80A9B" w:rsidP="00DC54F7">
      <w:pPr>
        <w:spacing w:after="0" w:line="240" w:lineRule="auto"/>
        <w:jc w:val="both"/>
        <w:rPr>
          <w:rFonts w:ascii="Arial" w:hAnsi="Arial" w:cs="Arial"/>
          <w:lang w:eastAsia="en-GB"/>
        </w:rPr>
      </w:pPr>
    </w:p>
    <w:p w14:paraId="0261EE37" w14:textId="77777777" w:rsidR="009E76BB" w:rsidRDefault="009E76BB" w:rsidP="00DC54F7">
      <w:pPr>
        <w:spacing w:after="0" w:line="240" w:lineRule="auto"/>
        <w:jc w:val="both"/>
        <w:rPr>
          <w:rFonts w:ascii="Arial" w:hAnsi="Arial" w:cs="Arial"/>
          <w:lang w:eastAsia="en-GB"/>
        </w:rPr>
      </w:pPr>
    </w:p>
    <w:p w14:paraId="5F5085EB" w14:textId="1893DF6E" w:rsidR="00A94FFF" w:rsidRDefault="00A94FFF" w:rsidP="00DC54F7">
      <w:pPr>
        <w:spacing w:after="0" w:line="240" w:lineRule="auto"/>
        <w:jc w:val="both"/>
        <w:rPr>
          <w:rFonts w:ascii="Arial" w:hAnsi="Arial" w:cs="Arial"/>
          <w:b/>
          <w:sz w:val="26"/>
          <w:szCs w:val="26"/>
        </w:rPr>
      </w:pPr>
      <w:r w:rsidRPr="00A10850">
        <w:rPr>
          <w:rFonts w:ascii="Arial" w:hAnsi="Arial" w:cs="Arial"/>
          <w:b/>
          <w:sz w:val="26"/>
          <w:szCs w:val="26"/>
        </w:rPr>
        <w:t>2.</w:t>
      </w:r>
      <w:r w:rsidR="00D3388A" w:rsidRPr="00A10850">
        <w:rPr>
          <w:rFonts w:ascii="Arial" w:hAnsi="Arial" w:cs="Arial"/>
          <w:b/>
          <w:sz w:val="26"/>
          <w:szCs w:val="26"/>
        </w:rPr>
        <w:t>9</w:t>
      </w:r>
      <w:r w:rsidRPr="00A10850">
        <w:rPr>
          <w:rFonts w:ascii="Arial" w:hAnsi="Arial" w:cs="Arial"/>
          <w:b/>
          <w:sz w:val="26"/>
          <w:szCs w:val="26"/>
        </w:rPr>
        <w:t xml:space="preserve"> Deaths</w:t>
      </w:r>
    </w:p>
    <w:p w14:paraId="3E299350" w14:textId="5C05271F" w:rsidR="00732DD8" w:rsidRDefault="00732DD8" w:rsidP="00DC54F7">
      <w:pPr>
        <w:spacing w:after="0" w:line="240" w:lineRule="auto"/>
        <w:jc w:val="both"/>
        <w:rPr>
          <w:rFonts w:ascii="Arial" w:hAnsi="Arial" w:cs="Arial"/>
          <w:b/>
          <w:sz w:val="26"/>
          <w:szCs w:val="26"/>
        </w:rPr>
      </w:pPr>
    </w:p>
    <w:p w14:paraId="4E8F92B6" w14:textId="05102618" w:rsidR="00596812" w:rsidRPr="00AE4C69" w:rsidRDefault="00596812" w:rsidP="00DC54F7">
      <w:pPr>
        <w:spacing w:after="0" w:line="240" w:lineRule="auto"/>
        <w:jc w:val="both"/>
        <w:rPr>
          <w:rFonts w:ascii="Arial" w:hAnsi="Arial" w:cs="Arial"/>
          <w:sz w:val="24"/>
          <w:szCs w:val="24"/>
          <w:shd w:val="clear" w:color="auto" w:fill="FFFFFF"/>
        </w:rPr>
      </w:pPr>
      <w:r w:rsidRPr="00AE4C69">
        <w:rPr>
          <w:rFonts w:ascii="Arial" w:hAnsi="Arial" w:cs="Arial"/>
          <w:sz w:val="24"/>
          <w:szCs w:val="24"/>
          <w:shd w:val="clear" w:color="auto" w:fill="FFFFFF"/>
        </w:rPr>
        <w:t xml:space="preserve">For Wales, the </w:t>
      </w:r>
      <w:r w:rsidR="00283484" w:rsidRPr="00AE4C69">
        <w:rPr>
          <w:rFonts w:ascii="Arial" w:hAnsi="Arial" w:cs="Arial"/>
          <w:sz w:val="24"/>
          <w:szCs w:val="24"/>
          <w:shd w:val="clear" w:color="auto" w:fill="FFFFFF"/>
        </w:rPr>
        <w:t>age-standardised</w:t>
      </w:r>
      <w:r w:rsidRPr="00AE4C69">
        <w:rPr>
          <w:rFonts w:ascii="Arial" w:hAnsi="Arial" w:cs="Arial"/>
          <w:sz w:val="24"/>
          <w:szCs w:val="24"/>
          <w:shd w:val="clear" w:color="auto" w:fill="FFFFFF"/>
        </w:rPr>
        <w:t xml:space="preserve"> mortality rate per 100,000 </w:t>
      </w:r>
      <w:r w:rsidR="001F12B1" w:rsidRPr="00AE4C69">
        <w:rPr>
          <w:rFonts w:ascii="Arial" w:hAnsi="Arial" w:cs="Arial"/>
          <w:sz w:val="24"/>
          <w:szCs w:val="24"/>
          <w:shd w:val="clear" w:color="auto" w:fill="FFFFFF"/>
        </w:rPr>
        <w:t xml:space="preserve">population </w:t>
      </w:r>
      <w:r w:rsidRPr="00AE4C69">
        <w:rPr>
          <w:rFonts w:ascii="Arial" w:hAnsi="Arial" w:cs="Arial"/>
          <w:sz w:val="24"/>
          <w:szCs w:val="24"/>
          <w:shd w:val="clear" w:color="auto" w:fill="FFFFFF"/>
        </w:rPr>
        <w:t>w</w:t>
      </w:r>
      <w:r w:rsidR="00856693" w:rsidRPr="00AE4C69">
        <w:rPr>
          <w:rFonts w:ascii="Arial" w:hAnsi="Arial" w:cs="Arial"/>
          <w:sz w:val="24"/>
          <w:szCs w:val="24"/>
          <w:shd w:val="clear" w:color="auto" w:fill="FFFFFF"/>
        </w:rPr>
        <w:t>as</w:t>
      </w:r>
      <w:r w:rsidRPr="00AE4C69">
        <w:rPr>
          <w:rFonts w:ascii="Arial" w:hAnsi="Arial" w:cs="Arial"/>
          <w:sz w:val="24"/>
          <w:szCs w:val="24"/>
          <w:shd w:val="clear" w:color="auto" w:fill="FFFFFF"/>
        </w:rPr>
        <w:t xml:space="preserve"> higher for both </w:t>
      </w:r>
      <w:r w:rsidR="000A5A70" w:rsidRPr="00AE4C69">
        <w:rPr>
          <w:rFonts w:ascii="Arial" w:hAnsi="Arial" w:cs="Arial"/>
          <w:sz w:val="24"/>
          <w:szCs w:val="24"/>
          <w:shd w:val="clear" w:color="auto" w:fill="FFFFFF"/>
        </w:rPr>
        <w:t xml:space="preserve">females (915.9) and </w:t>
      </w:r>
      <w:r w:rsidRPr="00AE4C69">
        <w:rPr>
          <w:rFonts w:ascii="Arial" w:hAnsi="Arial" w:cs="Arial"/>
          <w:sz w:val="24"/>
          <w:szCs w:val="24"/>
          <w:shd w:val="clear" w:color="auto" w:fill="FFFFFF"/>
        </w:rPr>
        <w:t xml:space="preserve">males (1,231.0) </w:t>
      </w:r>
      <w:r w:rsidR="00493C25" w:rsidRPr="00AE4C69">
        <w:rPr>
          <w:rFonts w:ascii="Arial" w:hAnsi="Arial" w:cs="Arial"/>
          <w:sz w:val="24"/>
          <w:szCs w:val="24"/>
          <w:shd w:val="clear" w:color="auto" w:fill="FFFFFF"/>
        </w:rPr>
        <w:t xml:space="preserve">compared with the UK </w:t>
      </w:r>
      <w:r w:rsidRPr="00AE4C69">
        <w:rPr>
          <w:rFonts w:ascii="Arial" w:hAnsi="Arial" w:cs="Arial"/>
          <w:sz w:val="24"/>
          <w:szCs w:val="24"/>
          <w:shd w:val="clear" w:color="auto" w:fill="FFFFFF"/>
        </w:rPr>
        <w:t xml:space="preserve">in 2018. </w:t>
      </w:r>
      <w:r w:rsidR="001405C3" w:rsidRPr="00AE4C69">
        <w:rPr>
          <w:rFonts w:ascii="Arial" w:hAnsi="Arial" w:cs="Arial"/>
          <w:sz w:val="24"/>
          <w:szCs w:val="24"/>
          <w:shd w:val="clear" w:color="auto" w:fill="FFFFFF"/>
        </w:rPr>
        <w:t xml:space="preserve">Cardiff and </w:t>
      </w:r>
      <w:r w:rsidR="00BA0A4D" w:rsidRPr="00AE4C69">
        <w:rPr>
          <w:rFonts w:ascii="Arial" w:hAnsi="Arial" w:cs="Arial"/>
          <w:sz w:val="24"/>
          <w:szCs w:val="24"/>
          <w:shd w:val="clear" w:color="auto" w:fill="FFFFFF"/>
        </w:rPr>
        <w:t xml:space="preserve">Vale University Health Board had </w:t>
      </w:r>
      <w:r w:rsidR="00856693" w:rsidRPr="00AE4C69">
        <w:rPr>
          <w:rFonts w:ascii="Arial" w:hAnsi="Arial" w:cs="Arial"/>
          <w:sz w:val="24"/>
          <w:szCs w:val="24"/>
          <w:shd w:val="clear" w:color="auto" w:fill="FFFFFF"/>
        </w:rPr>
        <w:t xml:space="preserve">a </w:t>
      </w:r>
      <w:r w:rsidR="00BA0A4D" w:rsidRPr="00AE4C69">
        <w:rPr>
          <w:rFonts w:ascii="Arial" w:hAnsi="Arial" w:cs="Arial"/>
          <w:sz w:val="24"/>
          <w:szCs w:val="24"/>
          <w:shd w:val="clear" w:color="auto" w:fill="FFFFFF"/>
        </w:rPr>
        <w:t xml:space="preserve">higher </w:t>
      </w:r>
      <w:r w:rsidR="00283484" w:rsidRPr="00AE4C69">
        <w:rPr>
          <w:rFonts w:ascii="Arial" w:hAnsi="Arial" w:cs="Arial"/>
          <w:sz w:val="24"/>
          <w:szCs w:val="24"/>
          <w:shd w:val="clear" w:color="auto" w:fill="FFFFFF"/>
        </w:rPr>
        <w:t>age-standardised</w:t>
      </w:r>
      <w:r w:rsidR="00BA0A4D" w:rsidRPr="00AE4C69">
        <w:rPr>
          <w:rFonts w:ascii="Arial" w:hAnsi="Arial" w:cs="Arial"/>
          <w:sz w:val="24"/>
          <w:szCs w:val="24"/>
          <w:shd w:val="clear" w:color="auto" w:fill="FFFFFF"/>
        </w:rPr>
        <w:t xml:space="preserve"> mortality rate per 100,00</w:t>
      </w:r>
      <w:r w:rsidR="00C26D20" w:rsidRPr="00AE4C69">
        <w:rPr>
          <w:rFonts w:ascii="Arial" w:hAnsi="Arial" w:cs="Arial"/>
          <w:sz w:val="24"/>
          <w:szCs w:val="24"/>
          <w:shd w:val="clear" w:color="auto" w:fill="FFFFFF"/>
        </w:rPr>
        <w:t>0</w:t>
      </w:r>
      <w:r w:rsidR="00856693" w:rsidRPr="00AE4C69">
        <w:rPr>
          <w:rFonts w:ascii="Arial" w:hAnsi="Arial" w:cs="Arial"/>
          <w:sz w:val="24"/>
          <w:szCs w:val="24"/>
          <w:shd w:val="clear" w:color="auto" w:fill="FFFFFF"/>
        </w:rPr>
        <w:t xml:space="preserve"> population </w:t>
      </w:r>
      <w:r w:rsidR="00B6208B" w:rsidRPr="00AE4C69">
        <w:rPr>
          <w:rFonts w:ascii="Arial" w:hAnsi="Arial" w:cs="Arial"/>
          <w:sz w:val="24"/>
          <w:szCs w:val="24"/>
          <w:shd w:val="clear" w:color="auto" w:fill="FFFFFF"/>
        </w:rPr>
        <w:t xml:space="preserve">for </w:t>
      </w:r>
      <w:r w:rsidR="00A85D86" w:rsidRPr="00AE4C69">
        <w:rPr>
          <w:rFonts w:ascii="Arial" w:hAnsi="Arial" w:cs="Arial"/>
          <w:sz w:val="24"/>
          <w:szCs w:val="24"/>
          <w:shd w:val="clear" w:color="auto" w:fill="FFFFFF"/>
        </w:rPr>
        <w:t xml:space="preserve">both </w:t>
      </w:r>
      <w:r w:rsidR="00AC720C" w:rsidRPr="00AE4C69">
        <w:rPr>
          <w:rFonts w:ascii="Arial" w:hAnsi="Arial" w:cs="Arial"/>
          <w:sz w:val="24"/>
          <w:szCs w:val="24"/>
          <w:shd w:val="clear" w:color="auto" w:fill="FFFFFF"/>
        </w:rPr>
        <w:t xml:space="preserve">females (931.3) and </w:t>
      </w:r>
      <w:r w:rsidR="00B6208B" w:rsidRPr="00AE4C69">
        <w:rPr>
          <w:rFonts w:ascii="Arial" w:hAnsi="Arial" w:cs="Arial"/>
          <w:sz w:val="24"/>
          <w:szCs w:val="24"/>
          <w:shd w:val="clear" w:color="auto" w:fill="FFFFFF"/>
        </w:rPr>
        <w:t xml:space="preserve">males (1,342.5) </w:t>
      </w:r>
      <w:r w:rsidR="0073504F" w:rsidRPr="00AE4C69">
        <w:rPr>
          <w:rFonts w:ascii="Arial" w:hAnsi="Arial" w:cs="Arial"/>
          <w:sz w:val="24"/>
          <w:szCs w:val="24"/>
          <w:shd w:val="clear" w:color="auto" w:fill="FFFFFF"/>
        </w:rPr>
        <w:t xml:space="preserve">than </w:t>
      </w:r>
      <w:r w:rsidR="00AC720C" w:rsidRPr="00AE4C69">
        <w:rPr>
          <w:rFonts w:ascii="Arial" w:hAnsi="Arial" w:cs="Arial"/>
          <w:sz w:val="24"/>
          <w:szCs w:val="24"/>
          <w:shd w:val="clear" w:color="auto" w:fill="FFFFFF"/>
        </w:rPr>
        <w:t xml:space="preserve">the average for </w:t>
      </w:r>
      <w:r w:rsidR="0073504F" w:rsidRPr="00AE4C69">
        <w:rPr>
          <w:rFonts w:ascii="Arial" w:hAnsi="Arial" w:cs="Arial"/>
          <w:sz w:val="24"/>
          <w:szCs w:val="24"/>
          <w:shd w:val="clear" w:color="auto" w:fill="FFFFFF"/>
        </w:rPr>
        <w:t>Wales.</w:t>
      </w:r>
    </w:p>
    <w:p w14:paraId="58A20192" w14:textId="77777777" w:rsidR="00404F2C" w:rsidRPr="00AE4C69" w:rsidRDefault="00404F2C" w:rsidP="00DC54F7">
      <w:pPr>
        <w:spacing w:after="0" w:line="240" w:lineRule="auto"/>
        <w:jc w:val="both"/>
        <w:rPr>
          <w:rFonts w:ascii="Arial" w:hAnsi="Arial" w:cs="Arial"/>
          <w:sz w:val="24"/>
          <w:szCs w:val="24"/>
          <w:shd w:val="clear" w:color="auto" w:fill="FFFFFF"/>
        </w:rPr>
      </w:pPr>
    </w:p>
    <w:p w14:paraId="04F2D156" w14:textId="642BF243" w:rsidR="00B6313D" w:rsidRPr="009E76BB" w:rsidRDefault="008F5EDA" w:rsidP="00DC54F7">
      <w:pPr>
        <w:spacing w:after="0" w:line="240" w:lineRule="auto"/>
        <w:jc w:val="both"/>
        <w:rPr>
          <w:rFonts w:ascii="Arial" w:hAnsi="Arial" w:cs="Arial"/>
          <w:color w:val="323132"/>
          <w:sz w:val="24"/>
          <w:szCs w:val="24"/>
          <w:shd w:val="clear" w:color="auto" w:fill="FFFFFF"/>
        </w:rPr>
      </w:pPr>
      <w:r w:rsidRPr="00AE4C69">
        <w:rPr>
          <w:rFonts w:ascii="Arial" w:hAnsi="Arial" w:cs="Arial"/>
          <w:sz w:val="24"/>
          <w:szCs w:val="24"/>
          <w:shd w:val="clear" w:color="auto" w:fill="FFFFFF"/>
        </w:rPr>
        <w:t xml:space="preserve">At the </w:t>
      </w:r>
      <w:r w:rsidR="00567F4B" w:rsidRPr="00AE4C69">
        <w:rPr>
          <w:rFonts w:ascii="Arial" w:hAnsi="Arial" w:cs="Arial"/>
          <w:sz w:val="24"/>
          <w:szCs w:val="24"/>
          <w:shd w:val="clear" w:color="auto" w:fill="FFFFFF"/>
        </w:rPr>
        <w:t>local</w:t>
      </w:r>
      <w:r w:rsidRPr="00AE4C69">
        <w:rPr>
          <w:rFonts w:ascii="Arial" w:hAnsi="Arial" w:cs="Arial"/>
          <w:sz w:val="24"/>
          <w:szCs w:val="24"/>
          <w:shd w:val="clear" w:color="auto" w:fill="FFFFFF"/>
        </w:rPr>
        <w:t xml:space="preserve"> authority level, Cardiff had a</w:t>
      </w:r>
      <w:r w:rsidR="009F2125" w:rsidRPr="00AE4C69">
        <w:rPr>
          <w:rFonts w:ascii="Arial" w:hAnsi="Arial" w:cs="Arial"/>
          <w:sz w:val="24"/>
          <w:szCs w:val="24"/>
          <w:shd w:val="clear" w:color="auto" w:fill="FFFFFF"/>
        </w:rPr>
        <w:t xml:space="preserve"> higher </w:t>
      </w:r>
      <w:r w:rsidR="00283484" w:rsidRPr="00AE4C69">
        <w:rPr>
          <w:rFonts w:ascii="Arial" w:hAnsi="Arial" w:cs="Arial"/>
          <w:sz w:val="24"/>
          <w:szCs w:val="24"/>
          <w:shd w:val="clear" w:color="auto" w:fill="FFFFFF"/>
        </w:rPr>
        <w:t>age-standardised</w:t>
      </w:r>
      <w:r w:rsidR="00821C41" w:rsidRPr="00AE4C69">
        <w:rPr>
          <w:rFonts w:ascii="Arial" w:hAnsi="Arial" w:cs="Arial"/>
          <w:sz w:val="24"/>
          <w:szCs w:val="24"/>
          <w:shd w:val="clear" w:color="auto" w:fill="FFFFFF"/>
        </w:rPr>
        <w:t xml:space="preserve"> mortality rate per 100,000</w:t>
      </w:r>
      <w:r w:rsidR="00856693" w:rsidRPr="00AE4C69">
        <w:rPr>
          <w:rFonts w:ascii="Arial" w:hAnsi="Arial" w:cs="Arial"/>
          <w:sz w:val="24"/>
          <w:szCs w:val="24"/>
          <w:shd w:val="clear" w:color="auto" w:fill="FFFFFF"/>
        </w:rPr>
        <w:t xml:space="preserve"> population</w:t>
      </w:r>
      <w:r w:rsidR="00821C41" w:rsidRPr="00AE4C69">
        <w:rPr>
          <w:rFonts w:ascii="Arial" w:hAnsi="Arial" w:cs="Arial"/>
          <w:sz w:val="24"/>
          <w:szCs w:val="24"/>
          <w:shd w:val="clear" w:color="auto" w:fill="FFFFFF"/>
        </w:rPr>
        <w:t xml:space="preserve"> for males (1327.8) compared to </w:t>
      </w:r>
      <w:r w:rsidR="00DE7384" w:rsidRPr="00AE4C69">
        <w:rPr>
          <w:rFonts w:ascii="Arial" w:hAnsi="Arial" w:cs="Arial"/>
          <w:sz w:val="24"/>
          <w:szCs w:val="24"/>
          <w:shd w:val="clear" w:color="auto" w:fill="FFFFFF"/>
        </w:rPr>
        <w:t xml:space="preserve">the average for </w:t>
      </w:r>
      <w:r w:rsidR="00821C41" w:rsidRPr="00AE4C69">
        <w:rPr>
          <w:rFonts w:ascii="Arial" w:hAnsi="Arial" w:cs="Arial"/>
          <w:sz w:val="24"/>
          <w:szCs w:val="24"/>
          <w:shd w:val="clear" w:color="auto" w:fill="FFFFFF"/>
        </w:rPr>
        <w:t>Wales</w:t>
      </w:r>
      <w:r w:rsidR="00AD460D" w:rsidRPr="00AE4C69">
        <w:rPr>
          <w:rFonts w:ascii="Arial" w:hAnsi="Arial" w:cs="Arial"/>
          <w:sz w:val="24"/>
          <w:szCs w:val="24"/>
          <w:shd w:val="clear" w:color="auto" w:fill="FFFFFF"/>
        </w:rPr>
        <w:t xml:space="preserve"> but a lower </w:t>
      </w:r>
      <w:r w:rsidR="00BF130B" w:rsidRPr="00AE4C69">
        <w:rPr>
          <w:rFonts w:ascii="Arial" w:hAnsi="Arial" w:cs="Arial"/>
          <w:sz w:val="24"/>
          <w:szCs w:val="24"/>
          <w:shd w:val="clear" w:color="auto" w:fill="FFFFFF"/>
        </w:rPr>
        <w:t>rate for females (880.9)</w:t>
      </w:r>
      <w:r w:rsidR="00821C41" w:rsidRPr="00AE4C69">
        <w:rPr>
          <w:rFonts w:ascii="Arial" w:hAnsi="Arial" w:cs="Arial"/>
          <w:sz w:val="24"/>
          <w:szCs w:val="24"/>
          <w:shd w:val="clear" w:color="auto" w:fill="FFFFFF"/>
        </w:rPr>
        <w:t xml:space="preserve">. </w:t>
      </w:r>
      <w:r w:rsidR="00030999" w:rsidRPr="00AE4C69">
        <w:rPr>
          <w:rFonts w:ascii="Arial" w:hAnsi="Arial" w:cs="Arial"/>
          <w:sz w:val="24"/>
          <w:szCs w:val="24"/>
          <w:shd w:val="clear" w:color="auto" w:fill="FFFFFF"/>
        </w:rPr>
        <w:t xml:space="preserve">The Vale of Glamorgan had the lowest </w:t>
      </w:r>
      <w:r w:rsidR="00283484" w:rsidRPr="00AE4C69">
        <w:rPr>
          <w:rFonts w:ascii="Arial" w:hAnsi="Arial" w:cs="Arial"/>
          <w:sz w:val="24"/>
          <w:szCs w:val="24"/>
          <w:shd w:val="clear" w:color="auto" w:fill="FFFFFF"/>
        </w:rPr>
        <w:t>age-standardised</w:t>
      </w:r>
      <w:r w:rsidR="00B6313D" w:rsidRPr="00AE4C69">
        <w:rPr>
          <w:rFonts w:ascii="Arial" w:hAnsi="Arial" w:cs="Arial"/>
          <w:sz w:val="24"/>
          <w:szCs w:val="24"/>
          <w:shd w:val="clear" w:color="auto" w:fill="FFFFFF"/>
        </w:rPr>
        <w:t xml:space="preserve"> mortality rates per 100,000 </w:t>
      </w:r>
      <w:r w:rsidR="00856693" w:rsidRPr="00AE4C69">
        <w:rPr>
          <w:rFonts w:ascii="Arial" w:hAnsi="Arial" w:cs="Arial"/>
          <w:sz w:val="24"/>
          <w:szCs w:val="24"/>
          <w:shd w:val="clear" w:color="auto" w:fill="FFFFFF"/>
        </w:rPr>
        <w:t xml:space="preserve">population </w:t>
      </w:r>
      <w:r w:rsidR="00B6313D" w:rsidRPr="00AE4C69">
        <w:rPr>
          <w:rFonts w:ascii="Arial" w:hAnsi="Arial" w:cs="Arial"/>
          <w:sz w:val="24"/>
          <w:szCs w:val="24"/>
          <w:shd w:val="clear" w:color="auto" w:fill="FFFFFF"/>
        </w:rPr>
        <w:t xml:space="preserve">for </w:t>
      </w:r>
      <w:r w:rsidR="00856693" w:rsidRPr="00AE4C69">
        <w:rPr>
          <w:rFonts w:ascii="Arial" w:hAnsi="Arial" w:cs="Arial"/>
          <w:sz w:val="24"/>
          <w:szCs w:val="24"/>
          <w:shd w:val="clear" w:color="auto" w:fill="FFFFFF"/>
        </w:rPr>
        <w:t xml:space="preserve">both </w:t>
      </w:r>
      <w:r w:rsidR="00E735AE" w:rsidRPr="00AE4C69">
        <w:rPr>
          <w:rFonts w:ascii="Arial" w:hAnsi="Arial" w:cs="Arial"/>
          <w:sz w:val="24"/>
          <w:szCs w:val="24"/>
          <w:shd w:val="clear" w:color="auto" w:fill="FFFFFF"/>
        </w:rPr>
        <w:t xml:space="preserve">females (821.2) </w:t>
      </w:r>
      <w:r w:rsidR="00D334F5" w:rsidRPr="00AE4C69">
        <w:rPr>
          <w:rFonts w:ascii="Arial" w:hAnsi="Arial" w:cs="Arial"/>
          <w:sz w:val="24"/>
          <w:szCs w:val="24"/>
          <w:shd w:val="clear" w:color="auto" w:fill="FFFFFF"/>
        </w:rPr>
        <w:t xml:space="preserve">and males (1151.2) </w:t>
      </w:r>
      <w:r w:rsidR="00E735AE" w:rsidRPr="00AE4C69">
        <w:rPr>
          <w:rFonts w:ascii="Arial" w:hAnsi="Arial" w:cs="Arial"/>
          <w:sz w:val="24"/>
          <w:szCs w:val="24"/>
          <w:shd w:val="clear" w:color="auto" w:fill="FFFFFF"/>
        </w:rPr>
        <w:t>within the health board area</w:t>
      </w:r>
      <w:r w:rsidR="00C51EB6" w:rsidRPr="00AE4C69">
        <w:rPr>
          <w:rFonts w:ascii="Arial" w:hAnsi="Arial" w:cs="Arial"/>
          <w:sz w:val="24"/>
          <w:szCs w:val="24"/>
          <w:shd w:val="clear" w:color="auto" w:fill="FFFFFF"/>
        </w:rPr>
        <w:t xml:space="preserve">. Both rates </w:t>
      </w:r>
      <w:r w:rsidR="00E735AE" w:rsidRPr="00AE4C69">
        <w:rPr>
          <w:rFonts w:ascii="Arial" w:hAnsi="Arial" w:cs="Arial"/>
          <w:sz w:val="24"/>
          <w:szCs w:val="24"/>
          <w:shd w:val="clear" w:color="auto" w:fill="FFFFFF"/>
        </w:rPr>
        <w:t>were lower than</w:t>
      </w:r>
      <w:r w:rsidR="0006065B" w:rsidRPr="00AE4C69">
        <w:rPr>
          <w:rFonts w:ascii="Arial" w:hAnsi="Arial" w:cs="Arial"/>
          <w:sz w:val="24"/>
          <w:szCs w:val="24"/>
          <w:shd w:val="clear" w:color="auto" w:fill="FFFFFF"/>
        </w:rPr>
        <w:t xml:space="preserve"> the average for</w:t>
      </w:r>
      <w:r w:rsidR="00E735AE" w:rsidRPr="00AE4C69">
        <w:rPr>
          <w:rFonts w:ascii="Arial" w:hAnsi="Arial" w:cs="Arial"/>
          <w:sz w:val="24"/>
          <w:szCs w:val="24"/>
          <w:shd w:val="clear" w:color="auto" w:fill="FFFFFF"/>
        </w:rPr>
        <w:t xml:space="preserve"> Wale</w:t>
      </w:r>
      <w:r w:rsidR="00BF130B" w:rsidRPr="00AE4C69">
        <w:rPr>
          <w:rFonts w:ascii="Arial" w:hAnsi="Arial" w:cs="Arial"/>
          <w:sz w:val="24"/>
          <w:szCs w:val="24"/>
          <w:shd w:val="clear" w:color="auto" w:fill="FFFFFF"/>
        </w:rPr>
        <w:t>s</w:t>
      </w:r>
      <w:r w:rsidR="002A4F64" w:rsidRPr="009E76BB">
        <w:rPr>
          <w:rFonts w:ascii="Arial" w:hAnsi="Arial" w:cs="Arial"/>
          <w:color w:val="323132"/>
          <w:sz w:val="24"/>
          <w:szCs w:val="24"/>
          <w:shd w:val="clear" w:color="auto" w:fill="FFFFFF"/>
        </w:rPr>
        <w:t>.</w:t>
      </w:r>
      <w:r w:rsidR="00E735AE" w:rsidRPr="009E76BB">
        <w:rPr>
          <w:rFonts w:ascii="Arial" w:hAnsi="Arial" w:cs="Arial"/>
          <w:color w:val="323132"/>
          <w:sz w:val="24"/>
          <w:szCs w:val="24"/>
          <w:shd w:val="clear" w:color="auto" w:fill="FFFFFF"/>
        </w:rPr>
        <w:t xml:space="preserve"> </w:t>
      </w:r>
    </w:p>
    <w:p w14:paraId="5FC15683" w14:textId="1720D934" w:rsidR="008A05BF" w:rsidRPr="00711873" w:rsidRDefault="008A05BF" w:rsidP="00DC54F7">
      <w:pPr>
        <w:spacing w:after="0" w:line="240" w:lineRule="auto"/>
        <w:jc w:val="both"/>
        <w:rPr>
          <w:rFonts w:ascii="Arial" w:hAnsi="Arial" w:cs="Arial"/>
          <w:b/>
        </w:rPr>
      </w:pPr>
    </w:p>
    <w:p w14:paraId="638DC149" w14:textId="0124ECD5" w:rsidR="00732DD8" w:rsidRPr="009E76BB" w:rsidRDefault="00334382" w:rsidP="00DC54F7">
      <w:pPr>
        <w:spacing w:after="0" w:line="240" w:lineRule="auto"/>
        <w:jc w:val="both"/>
        <w:rPr>
          <w:rFonts w:ascii="Arial" w:hAnsi="Arial" w:cs="Arial"/>
          <w:b/>
          <w:sz w:val="24"/>
          <w:szCs w:val="24"/>
        </w:rPr>
      </w:pPr>
      <w:r w:rsidRPr="009E76BB">
        <w:rPr>
          <w:rFonts w:ascii="Arial" w:hAnsi="Arial" w:cs="Arial"/>
          <w:b/>
          <w:sz w:val="24"/>
          <w:szCs w:val="24"/>
        </w:rPr>
        <w:t>Table 2.</w:t>
      </w:r>
      <w:r w:rsidR="008B2D50" w:rsidRPr="009E76BB">
        <w:rPr>
          <w:rFonts w:ascii="Arial" w:hAnsi="Arial" w:cs="Arial"/>
          <w:b/>
          <w:sz w:val="24"/>
          <w:szCs w:val="24"/>
        </w:rPr>
        <w:t>8</w:t>
      </w:r>
      <w:r w:rsidRPr="009E76BB">
        <w:rPr>
          <w:rFonts w:ascii="Arial" w:hAnsi="Arial" w:cs="Arial"/>
          <w:b/>
          <w:sz w:val="24"/>
          <w:szCs w:val="24"/>
        </w:rPr>
        <w:t xml:space="preserve">: </w:t>
      </w:r>
      <w:r w:rsidR="00283484" w:rsidRPr="009E76BB">
        <w:rPr>
          <w:rFonts w:ascii="Arial" w:hAnsi="Arial" w:cs="Arial"/>
          <w:b/>
          <w:sz w:val="24"/>
          <w:szCs w:val="24"/>
        </w:rPr>
        <w:t>Age-standardised</w:t>
      </w:r>
      <w:r w:rsidRPr="009E76BB">
        <w:rPr>
          <w:rFonts w:ascii="Arial" w:hAnsi="Arial" w:cs="Arial"/>
          <w:b/>
          <w:sz w:val="24"/>
          <w:szCs w:val="24"/>
        </w:rPr>
        <w:t xml:space="preserve"> mortality rate per 100,000 population by local authority, health board, Wales and UK, 2018</w:t>
      </w:r>
    </w:p>
    <w:tbl>
      <w:tblPr>
        <w:tblW w:w="8946" w:type="dxa"/>
        <w:tblLook w:val="04A0" w:firstRow="1" w:lastRow="0" w:firstColumn="1" w:lastColumn="0" w:noHBand="0" w:noVBand="1"/>
      </w:tblPr>
      <w:tblGrid>
        <w:gridCol w:w="2236"/>
        <w:gridCol w:w="2252"/>
        <w:gridCol w:w="2355"/>
        <w:gridCol w:w="2103"/>
      </w:tblGrid>
      <w:tr w:rsidR="00BD2146" w:rsidRPr="00BD2146" w14:paraId="19482FDA" w14:textId="77777777" w:rsidTr="00300BF1">
        <w:trPr>
          <w:trHeight w:val="259"/>
        </w:trPr>
        <w:tc>
          <w:tcPr>
            <w:tcW w:w="2236" w:type="dxa"/>
            <w:tcBorders>
              <w:top w:val="single" w:sz="4" w:space="0" w:color="auto"/>
              <w:left w:val="single" w:sz="4" w:space="0" w:color="auto"/>
              <w:bottom w:val="nil"/>
              <w:right w:val="nil"/>
            </w:tcBorders>
            <w:shd w:val="clear" w:color="000000" w:fill="8497B0"/>
            <w:noWrap/>
            <w:vAlign w:val="bottom"/>
            <w:hideMark/>
          </w:tcPr>
          <w:p w14:paraId="07047DD1" w14:textId="77777777"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 </w:t>
            </w:r>
          </w:p>
        </w:tc>
        <w:tc>
          <w:tcPr>
            <w:tcW w:w="6710" w:type="dxa"/>
            <w:gridSpan w:val="3"/>
            <w:tcBorders>
              <w:top w:val="single" w:sz="4" w:space="0" w:color="auto"/>
              <w:left w:val="nil"/>
              <w:bottom w:val="nil"/>
              <w:right w:val="single" w:sz="4" w:space="0" w:color="auto"/>
            </w:tcBorders>
            <w:shd w:val="clear" w:color="000000" w:fill="8497B0"/>
            <w:noWrap/>
            <w:vAlign w:val="bottom"/>
            <w:hideMark/>
          </w:tcPr>
          <w:p w14:paraId="525B7299" w14:textId="54C8A3F9" w:rsidR="00BD2146" w:rsidRPr="00BD2146" w:rsidRDefault="00283484" w:rsidP="00DC54F7">
            <w:pPr>
              <w:spacing w:after="0" w:line="240" w:lineRule="auto"/>
              <w:jc w:val="both"/>
              <w:rPr>
                <w:rFonts w:ascii="Calibri" w:eastAsia="Times New Roman" w:hAnsi="Calibri" w:cs="Calibri"/>
                <w:b/>
                <w:bCs/>
                <w:color w:val="FFFFFF"/>
                <w:lang w:eastAsia="en-GB"/>
              </w:rPr>
            </w:pPr>
            <w:r>
              <w:rPr>
                <w:rFonts w:ascii="Calibri" w:eastAsia="Times New Roman" w:hAnsi="Calibri" w:cs="Calibri"/>
                <w:b/>
                <w:bCs/>
                <w:color w:val="FFFFFF"/>
                <w:lang w:eastAsia="en-GB"/>
              </w:rPr>
              <w:t>Age-standardised</w:t>
            </w:r>
            <w:r w:rsidR="00BD2146" w:rsidRPr="00BD2146">
              <w:rPr>
                <w:rFonts w:ascii="Calibri" w:eastAsia="Times New Roman" w:hAnsi="Calibri" w:cs="Calibri"/>
                <w:b/>
                <w:bCs/>
                <w:color w:val="FFFFFF"/>
                <w:lang w:eastAsia="en-GB"/>
              </w:rPr>
              <w:t xml:space="preserve"> mortality rate per 100,000 </w:t>
            </w:r>
          </w:p>
        </w:tc>
      </w:tr>
      <w:tr w:rsidR="00BD2146" w:rsidRPr="00BD2146" w14:paraId="5E3F14E8" w14:textId="77777777" w:rsidTr="00300BF1">
        <w:trPr>
          <w:trHeight w:val="259"/>
        </w:trPr>
        <w:tc>
          <w:tcPr>
            <w:tcW w:w="2236" w:type="dxa"/>
            <w:tcBorders>
              <w:left w:val="single" w:sz="4" w:space="0" w:color="auto"/>
              <w:right w:val="nil"/>
            </w:tcBorders>
            <w:shd w:val="clear" w:color="000000" w:fill="8497B0"/>
            <w:noWrap/>
            <w:vAlign w:val="bottom"/>
            <w:hideMark/>
          </w:tcPr>
          <w:p w14:paraId="016070A0" w14:textId="77777777" w:rsidR="00BD2146" w:rsidRPr="00BD2146" w:rsidRDefault="00BD2146" w:rsidP="00DC54F7">
            <w:pPr>
              <w:spacing w:after="0" w:line="240" w:lineRule="auto"/>
              <w:jc w:val="both"/>
              <w:rPr>
                <w:rFonts w:ascii="Calibri" w:eastAsia="Times New Roman" w:hAnsi="Calibri" w:cs="Calibri"/>
                <w:b/>
                <w:bCs/>
                <w:color w:val="FFFFFF"/>
                <w:lang w:eastAsia="en-GB"/>
              </w:rPr>
            </w:pPr>
            <w:r w:rsidRPr="00BD2146">
              <w:rPr>
                <w:rFonts w:ascii="Calibri" w:eastAsia="Times New Roman" w:hAnsi="Calibri" w:cs="Calibri"/>
                <w:b/>
                <w:bCs/>
                <w:color w:val="FFFFFF"/>
                <w:lang w:eastAsia="en-GB"/>
              </w:rPr>
              <w:t>Area</w:t>
            </w:r>
          </w:p>
        </w:tc>
        <w:tc>
          <w:tcPr>
            <w:tcW w:w="2252" w:type="dxa"/>
            <w:tcBorders>
              <w:left w:val="nil"/>
              <w:right w:val="nil"/>
            </w:tcBorders>
            <w:shd w:val="clear" w:color="000000" w:fill="8497B0"/>
            <w:noWrap/>
            <w:vAlign w:val="bottom"/>
            <w:hideMark/>
          </w:tcPr>
          <w:p w14:paraId="6BCD66F7" w14:textId="77777777" w:rsidR="00BD2146" w:rsidRPr="00BD2146" w:rsidRDefault="00BD2146" w:rsidP="00DC54F7">
            <w:pPr>
              <w:spacing w:after="0" w:line="240" w:lineRule="auto"/>
              <w:jc w:val="both"/>
              <w:rPr>
                <w:rFonts w:ascii="Calibri" w:eastAsia="Times New Roman" w:hAnsi="Calibri" w:cs="Calibri"/>
                <w:b/>
                <w:bCs/>
                <w:color w:val="FFFFFF"/>
                <w:lang w:eastAsia="en-GB"/>
              </w:rPr>
            </w:pPr>
            <w:r w:rsidRPr="00BD2146">
              <w:rPr>
                <w:rFonts w:ascii="Calibri" w:eastAsia="Times New Roman" w:hAnsi="Calibri" w:cs="Calibri"/>
                <w:b/>
                <w:bCs/>
                <w:color w:val="FFFFFF"/>
                <w:lang w:eastAsia="en-GB"/>
              </w:rPr>
              <w:t>Persons</w:t>
            </w:r>
          </w:p>
        </w:tc>
        <w:tc>
          <w:tcPr>
            <w:tcW w:w="2355" w:type="dxa"/>
            <w:tcBorders>
              <w:left w:val="nil"/>
              <w:right w:val="nil"/>
            </w:tcBorders>
            <w:shd w:val="clear" w:color="000000" w:fill="8497B0"/>
            <w:noWrap/>
            <w:vAlign w:val="bottom"/>
            <w:hideMark/>
          </w:tcPr>
          <w:p w14:paraId="41F3FE74" w14:textId="77777777" w:rsidR="00BD2146" w:rsidRPr="00BD2146" w:rsidRDefault="00BD2146" w:rsidP="00DC54F7">
            <w:pPr>
              <w:spacing w:after="0" w:line="240" w:lineRule="auto"/>
              <w:jc w:val="both"/>
              <w:rPr>
                <w:rFonts w:ascii="Calibri" w:eastAsia="Times New Roman" w:hAnsi="Calibri" w:cs="Calibri"/>
                <w:b/>
                <w:bCs/>
                <w:color w:val="FFFFFF"/>
                <w:lang w:eastAsia="en-GB"/>
              </w:rPr>
            </w:pPr>
            <w:r w:rsidRPr="00BD2146">
              <w:rPr>
                <w:rFonts w:ascii="Calibri" w:eastAsia="Times New Roman" w:hAnsi="Calibri" w:cs="Calibri"/>
                <w:b/>
                <w:bCs/>
                <w:color w:val="FFFFFF"/>
                <w:lang w:eastAsia="en-GB"/>
              </w:rPr>
              <w:t>Females</w:t>
            </w:r>
          </w:p>
        </w:tc>
        <w:tc>
          <w:tcPr>
            <w:tcW w:w="2102" w:type="dxa"/>
            <w:tcBorders>
              <w:left w:val="nil"/>
              <w:right w:val="single" w:sz="4" w:space="0" w:color="auto"/>
            </w:tcBorders>
            <w:shd w:val="clear" w:color="000000" w:fill="8497B0"/>
            <w:noWrap/>
            <w:vAlign w:val="bottom"/>
            <w:hideMark/>
          </w:tcPr>
          <w:p w14:paraId="48757CBC" w14:textId="77777777" w:rsidR="00BD2146" w:rsidRPr="00BD2146" w:rsidRDefault="00BD2146" w:rsidP="00DC54F7">
            <w:pPr>
              <w:spacing w:after="0" w:line="240" w:lineRule="auto"/>
              <w:jc w:val="both"/>
              <w:rPr>
                <w:rFonts w:ascii="Calibri" w:eastAsia="Times New Roman" w:hAnsi="Calibri" w:cs="Calibri"/>
                <w:b/>
                <w:bCs/>
                <w:color w:val="FFFFFF"/>
                <w:lang w:eastAsia="en-GB"/>
              </w:rPr>
            </w:pPr>
            <w:r w:rsidRPr="00BD2146">
              <w:rPr>
                <w:rFonts w:ascii="Calibri" w:eastAsia="Times New Roman" w:hAnsi="Calibri" w:cs="Calibri"/>
                <w:b/>
                <w:bCs/>
                <w:color w:val="FFFFFF"/>
                <w:lang w:eastAsia="en-GB"/>
              </w:rPr>
              <w:t>Males</w:t>
            </w:r>
          </w:p>
        </w:tc>
      </w:tr>
      <w:tr w:rsidR="00BD2146" w:rsidRPr="00BD2146" w14:paraId="1CA31EF3" w14:textId="77777777" w:rsidTr="00300BF1">
        <w:trPr>
          <w:trHeight w:val="259"/>
        </w:trPr>
        <w:tc>
          <w:tcPr>
            <w:tcW w:w="2236" w:type="dxa"/>
            <w:tcBorders>
              <w:left w:val="single" w:sz="4" w:space="0" w:color="auto"/>
              <w:bottom w:val="single" w:sz="4" w:space="0" w:color="C9C9C9"/>
              <w:right w:val="nil"/>
            </w:tcBorders>
            <w:shd w:val="clear" w:color="EDEDED" w:fill="EDEDED"/>
            <w:noWrap/>
            <w:vAlign w:val="bottom"/>
            <w:hideMark/>
          </w:tcPr>
          <w:p w14:paraId="3511F59A" w14:textId="77777777"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Cardiff</w:t>
            </w:r>
          </w:p>
        </w:tc>
        <w:tc>
          <w:tcPr>
            <w:tcW w:w="2252" w:type="dxa"/>
            <w:tcBorders>
              <w:left w:val="nil"/>
              <w:bottom w:val="single" w:sz="4" w:space="0" w:color="C9C9C9"/>
              <w:right w:val="nil"/>
            </w:tcBorders>
            <w:shd w:val="clear" w:color="EDEDED" w:fill="EDEDED"/>
            <w:noWrap/>
            <w:vAlign w:val="bottom"/>
            <w:hideMark/>
          </w:tcPr>
          <w:p w14:paraId="0D07EF50" w14:textId="5585EDC8"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1</w:t>
            </w:r>
            <w:r>
              <w:rPr>
                <w:rFonts w:ascii="Calibri" w:eastAsia="Times New Roman" w:hAnsi="Calibri" w:cs="Calibri"/>
                <w:color w:val="000000"/>
                <w:lang w:eastAsia="en-GB"/>
              </w:rPr>
              <w:t>,</w:t>
            </w:r>
            <w:r w:rsidRPr="00BD2146">
              <w:rPr>
                <w:rFonts w:ascii="Calibri" w:eastAsia="Times New Roman" w:hAnsi="Calibri" w:cs="Calibri"/>
                <w:color w:val="000000"/>
                <w:lang w:eastAsia="en-GB"/>
              </w:rPr>
              <w:t>073.7</w:t>
            </w:r>
          </w:p>
        </w:tc>
        <w:tc>
          <w:tcPr>
            <w:tcW w:w="2355" w:type="dxa"/>
            <w:tcBorders>
              <w:left w:val="nil"/>
              <w:bottom w:val="single" w:sz="4" w:space="0" w:color="C9C9C9"/>
              <w:right w:val="nil"/>
            </w:tcBorders>
            <w:shd w:val="clear" w:color="EDEDED" w:fill="EDEDED"/>
            <w:noWrap/>
            <w:vAlign w:val="bottom"/>
            <w:hideMark/>
          </w:tcPr>
          <w:p w14:paraId="047485CA" w14:textId="77777777"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880.9</w:t>
            </w:r>
          </w:p>
        </w:tc>
        <w:tc>
          <w:tcPr>
            <w:tcW w:w="2102" w:type="dxa"/>
            <w:tcBorders>
              <w:left w:val="nil"/>
              <w:bottom w:val="single" w:sz="4" w:space="0" w:color="C9C9C9"/>
              <w:right w:val="single" w:sz="4" w:space="0" w:color="auto"/>
            </w:tcBorders>
            <w:shd w:val="clear" w:color="EDEDED" w:fill="EDEDED"/>
            <w:noWrap/>
            <w:vAlign w:val="bottom"/>
            <w:hideMark/>
          </w:tcPr>
          <w:p w14:paraId="053D52EE" w14:textId="2D08C3AC"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1</w:t>
            </w:r>
            <w:r>
              <w:rPr>
                <w:rFonts w:ascii="Calibri" w:eastAsia="Times New Roman" w:hAnsi="Calibri" w:cs="Calibri"/>
                <w:color w:val="000000"/>
                <w:lang w:eastAsia="en-GB"/>
              </w:rPr>
              <w:t>,</w:t>
            </w:r>
            <w:r w:rsidRPr="00BD2146">
              <w:rPr>
                <w:rFonts w:ascii="Calibri" w:eastAsia="Times New Roman" w:hAnsi="Calibri" w:cs="Calibri"/>
                <w:color w:val="000000"/>
                <w:lang w:eastAsia="en-GB"/>
              </w:rPr>
              <w:t>327.8</w:t>
            </w:r>
          </w:p>
        </w:tc>
      </w:tr>
      <w:tr w:rsidR="00BD2146" w:rsidRPr="00BD2146" w14:paraId="56ECD17E" w14:textId="77777777" w:rsidTr="00300BF1">
        <w:trPr>
          <w:trHeight w:val="259"/>
        </w:trPr>
        <w:tc>
          <w:tcPr>
            <w:tcW w:w="2236" w:type="dxa"/>
            <w:tcBorders>
              <w:top w:val="single" w:sz="4" w:space="0" w:color="C9C9C9"/>
              <w:left w:val="single" w:sz="4" w:space="0" w:color="auto"/>
              <w:bottom w:val="single" w:sz="4" w:space="0" w:color="C9C9C9"/>
              <w:right w:val="nil"/>
            </w:tcBorders>
            <w:shd w:val="clear" w:color="auto" w:fill="auto"/>
            <w:noWrap/>
            <w:vAlign w:val="bottom"/>
            <w:hideMark/>
          </w:tcPr>
          <w:p w14:paraId="38E70361" w14:textId="77777777"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Vale of Glamorgan</w:t>
            </w:r>
          </w:p>
        </w:tc>
        <w:tc>
          <w:tcPr>
            <w:tcW w:w="2252" w:type="dxa"/>
            <w:tcBorders>
              <w:top w:val="single" w:sz="4" w:space="0" w:color="C9C9C9"/>
              <w:left w:val="nil"/>
              <w:bottom w:val="single" w:sz="4" w:space="0" w:color="C9C9C9"/>
              <w:right w:val="nil"/>
            </w:tcBorders>
            <w:shd w:val="clear" w:color="auto" w:fill="auto"/>
            <w:noWrap/>
            <w:vAlign w:val="bottom"/>
            <w:hideMark/>
          </w:tcPr>
          <w:p w14:paraId="1179756F" w14:textId="46C0B36C"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959</w:t>
            </w:r>
            <w:r w:rsidR="00CA6490">
              <w:rPr>
                <w:rFonts w:ascii="Calibri" w:eastAsia="Times New Roman" w:hAnsi="Calibri" w:cs="Calibri"/>
                <w:color w:val="000000"/>
                <w:lang w:eastAsia="en-GB"/>
              </w:rPr>
              <w:t>.0</w:t>
            </w:r>
          </w:p>
        </w:tc>
        <w:tc>
          <w:tcPr>
            <w:tcW w:w="2355" w:type="dxa"/>
            <w:tcBorders>
              <w:top w:val="single" w:sz="4" w:space="0" w:color="C9C9C9"/>
              <w:left w:val="nil"/>
              <w:bottom w:val="single" w:sz="4" w:space="0" w:color="C9C9C9"/>
              <w:right w:val="single" w:sz="4" w:space="0" w:color="auto"/>
            </w:tcBorders>
            <w:shd w:val="clear" w:color="auto" w:fill="auto"/>
            <w:noWrap/>
            <w:vAlign w:val="bottom"/>
            <w:hideMark/>
          </w:tcPr>
          <w:p w14:paraId="7B9AEAF4" w14:textId="77777777"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821.2</w:t>
            </w:r>
          </w:p>
        </w:tc>
        <w:tc>
          <w:tcPr>
            <w:tcW w:w="2102" w:type="dxa"/>
            <w:tcBorders>
              <w:top w:val="single" w:sz="4" w:space="0" w:color="C9C9C9"/>
              <w:left w:val="nil"/>
              <w:bottom w:val="single" w:sz="4" w:space="0" w:color="C9C9C9"/>
              <w:right w:val="single" w:sz="4" w:space="0" w:color="auto"/>
            </w:tcBorders>
            <w:shd w:val="clear" w:color="auto" w:fill="auto"/>
            <w:noWrap/>
            <w:vAlign w:val="bottom"/>
            <w:hideMark/>
          </w:tcPr>
          <w:p w14:paraId="0134855C" w14:textId="444777C6"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1</w:t>
            </w:r>
            <w:r>
              <w:rPr>
                <w:rFonts w:ascii="Calibri" w:eastAsia="Times New Roman" w:hAnsi="Calibri" w:cs="Calibri"/>
                <w:color w:val="000000"/>
                <w:lang w:eastAsia="en-GB"/>
              </w:rPr>
              <w:t>,</w:t>
            </w:r>
            <w:r w:rsidRPr="00BD2146">
              <w:rPr>
                <w:rFonts w:ascii="Calibri" w:eastAsia="Times New Roman" w:hAnsi="Calibri" w:cs="Calibri"/>
                <w:color w:val="000000"/>
                <w:lang w:eastAsia="en-GB"/>
              </w:rPr>
              <w:t>151.2</w:t>
            </w:r>
          </w:p>
        </w:tc>
      </w:tr>
      <w:tr w:rsidR="00BD2146" w:rsidRPr="00BD2146" w14:paraId="21E7F578" w14:textId="77777777" w:rsidTr="00300BF1">
        <w:trPr>
          <w:trHeight w:val="259"/>
        </w:trPr>
        <w:tc>
          <w:tcPr>
            <w:tcW w:w="2236" w:type="dxa"/>
            <w:tcBorders>
              <w:top w:val="single" w:sz="4" w:space="0" w:color="C9C9C9"/>
              <w:left w:val="single" w:sz="4" w:space="0" w:color="auto"/>
              <w:bottom w:val="single" w:sz="4" w:space="0" w:color="C9C9C9"/>
              <w:right w:val="nil"/>
            </w:tcBorders>
            <w:shd w:val="clear" w:color="EDEDED" w:fill="EDEDED"/>
            <w:noWrap/>
            <w:vAlign w:val="bottom"/>
            <w:hideMark/>
          </w:tcPr>
          <w:p w14:paraId="562DBC05" w14:textId="77777777" w:rsidR="00BD2146" w:rsidRPr="00BD2146" w:rsidRDefault="00BD2146" w:rsidP="00DC54F7">
            <w:pPr>
              <w:spacing w:after="0" w:line="240" w:lineRule="auto"/>
              <w:jc w:val="both"/>
              <w:rPr>
                <w:rFonts w:ascii="Arial" w:eastAsia="Times New Roman" w:hAnsi="Arial" w:cs="Arial"/>
                <w:color w:val="000000"/>
                <w:sz w:val="20"/>
                <w:szCs w:val="20"/>
                <w:lang w:eastAsia="en-GB"/>
              </w:rPr>
            </w:pPr>
            <w:r w:rsidRPr="00BD2146">
              <w:rPr>
                <w:rFonts w:ascii="Arial" w:eastAsia="Times New Roman" w:hAnsi="Arial" w:cs="Arial"/>
                <w:color w:val="000000"/>
                <w:sz w:val="20"/>
                <w:szCs w:val="20"/>
                <w:lang w:eastAsia="en-GB"/>
              </w:rPr>
              <w:t>Cardiff and Vale UHB</w:t>
            </w:r>
          </w:p>
        </w:tc>
        <w:tc>
          <w:tcPr>
            <w:tcW w:w="2252" w:type="dxa"/>
            <w:tcBorders>
              <w:top w:val="single" w:sz="4" w:space="0" w:color="C9C9C9"/>
              <w:left w:val="nil"/>
              <w:bottom w:val="single" w:sz="4" w:space="0" w:color="C9C9C9"/>
              <w:right w:val="nil"/>
            </w:tcBorders>
            <w:shd w:val="clear" w:color="EDEDED" w:fill="EDEDED"/>
            <w:noWrap/>
            <w:vAlign w:val="bottom"/>
            <w:hideMark/>
          </w:tcPr>
          <w:p w14:paraId="3392EAAD" w14:textId="77777777" w:rsidR="00BD2146" w:rsidRPr="00BD2146" w:rsidRDefault="00BD2146" w:rsidP="00DC54F7">
            <w:pPr>
              <w:spacing w:after="0" w:line="240" w:lineRule="auto"/>
              <w:jc w:val="both"/>
              <w:rPr>
                <w:rFonts w:ascii="Arial" w:eastAsia="Times New Roman" w:hAnsi="Arial" w:cs="Arial"/>
                <w:sz w:val="20"/>
                <w:szCs w:val="20"/>
                <w:lang w:eastAsia="en-GB"/>
              </w:rPr>
            </w:pPr>
            <w:r w:rsidRPr="00BD2146">
              <w:rPr>
                <w:rFonts w:ascii="Arial" w:eastAsia="Times New Roman" w:hAnsi="Arial" w:cs="Arial"/>
                <w:sz w:val="20"/>
                <w:szCs w:val="20"/>
                <w:lang w:eastAsia="en-GB"/>
              </w:rPr>
              <w:t>1,111.2</w:t>
            </w:r>
          </w:p>
        </w:tc>
        <w:tc>
          <w:tcPr>
            <w:tcW w:w="2355" w:type="dxa"/>
            <w:tcBorders>
              <w:top w:val="single" w:sz="4" w:space="0" w:color="C9C9C9"/>
              <w:left w:val="nil"/>
              <w:bottom w:val="single" w:sz="4" w:space="0" w:color="C9C9C9"/>
              <w:right w:val="nil"/>
            </w:tcBorders>
            <w:shd w:val="clear" w:color="EDEDED" w:fill="EDEDED"/>
            <w:noWrap/>
            <w:vAlign w:val="bottom"/>
            <w:hideMark/>
          </w:tcPr>
          <w:p w14:paraId="2641C70A" w14:textId="77777777" w:rsidR="00BD2146" w:rsidRPr="00BD2146" w:rsidRDefault="00BD2146" w:rsidP="00DC54F7">
            <w:pPr>
              <w:spacing w:after="0" w:line="240" w:lineRule="auto"/>
              <w:jc w:val="both"/>
              <w:rPr>
                <w:rFonts w:ascii="Arial" w:eastAsia="Times New Roman" w:hAnsi="Arial" w:cs="Arial"/>
                <w:sz w:val="20"/>
                <w:szCs w:val="20"/>
                <w:lang w:eastAsia="en-GB"/>
              </w:rPr>
            </w:pPr>
            <w:r w:rsidRPr="00BD2146">
              <w:rPr>
                <w:rFonts w:ascii="Arial" w:eastAsia="Times New Roman" w:hAnsi="Arial" w:cs="Arial"/>
                <w:sz w:val="20"/>
                <w:szCs w:val="20"/>
                <w:lang w:eastAsia="en-GB"/>
              </w:rPr>
              <w:t>931.3</w:t>
            </w:r>
          </w:p>
        </w:tc>
        <w:tc>
          <w:tcPr>
            <w:tcW w:w="2102" w:type="dxa"/>
            <w:tcBorders>
              <w:top w:val="single" w:sz="4" w:space="0" w:color="C9C9C9"/>
              <w:left w:val="nil"/>
              <w:bottom w:val="single" w:sz="4" w:space="0" w:color="C9C9C9"/>
              <w:right w:val="single" w:sz="4" w:space="0" w:color="auto"/>
            </w:tcBorders>
            <w:shd w:val="clear" w:color="EDEDED" w:fill="EDEDED"/>
            <w:noWrap/>
            <w:vAlign w:val="bottom"/>
            <w:hideMark/>
          </w:tcPr>
          <w:p w14:paraId="447D9C74" w14:textId="77777777" w:rsidR="00BD2146" w:rsidRPr="00BD2146" w:rsidRDefault="00BD2146" w:rsidP="00DC54F7">
            <w:pPr>
              <w:spacing w:after="0" w:line="240" w:lineRule="auto"/>
              <w:jc w:val="both"/>
              <w:rPr>
                <w:rFonts w:ascii="Arial" w:eastAsia="Times New Roman" w:hAnsi="Arial" w:cs="Arial"/>
                <w:sz w:val="20"/>
                <w:szCs w:val="20"/>
                <w:lang w:eastAsia="en-GB"/>
              </w:rPr>
            </w:pPr>
            <w:r w:rsidRPr="00BD2146">
              <w:rPr>
                <w:rFonts w:ascii="Arial" w:eastAsia="Times New Roman" w:hAnsi="Arial" w:cs="Arial"/>
                <w:sz w:val="20"/>
                <w:szCs w:val="20"/>
                <w:lang w:eastAsia="en-GB"/>
              </w:rPr>
              <w:t>1,342.5</w:t>
            </w:r>
          </w:p>
        </w:tc>
      </w:tr>
      <w:tr w:rsidR="00BD2146" w:rsidRPr="00BD2146" w14:paraId="5EEB179C" w14:textId="77777777" w:rsidTr="00300BF1">
        <w:trPr>
          <w:trHeight w:val="259"/>
        </w:trPr>
        <w:tc>
          <w:tcPr>
            <w:tcW w:w="2236" w:type="dxa"/>
            <w:tcBorders>
              <w:top w:val="single" w:sz="4" w:space="0" w:color="C9C9C9"/>
              <w:left w:val="single" w:sz="4" w:space="0" w:color="auto"/>
              <w:bottom w:val="single" w:sz="4" w:space="0" w:color="C9C9C9"/>
              <w:right w:val="nil"/>
            </w:tcBorders>
            <w:shd w:val="clear" w:color="auto" w:fill="auto"/>
            <w:noWrap/>
            <w:vAlign w:val="bottom"/>
            <w:hideMark/>
          </w:tcPr>
          <w:p w14:paraId="5AC0C293" w14:textId="77777777"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Wales</w:t>
            </w:r>
          </w:p>
        </w:tc>
        <w:tc>
          <w:tcPr>
            <w:tcW w:w="2252" w:type="dxa"/>
            <w:tcBorders>
              <w:top w:val="single" w:sz="4" w:space="0" w:color="C9C9C9"/>
              <w:left w:val="nil"/>
              <w:bottom w:val="single" w:sz="4" w:space="0" w:color="C9C9C9"/>
              <w:right w:val="nil"/>
            </w:tcBorders>
            <w:shd w:val="clear" w:color="auto" w:fill="auto"/>
            <w:noWrap/>
            <w:vAlign w:val="bottom"/>
            <w:hideMark/>
          </w:tcPr>
          <w:p w14:paraId="2FF57445" w14:textId="0DFFE534"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1</w:t>
            </w:r>
            <w:r>
              <w:rPr>
                <w:rFonts w:ascii="Calibri" w:eastAsia="Times New Roman" w:hAnsi="Calibri" w:cs="Calibri"/>
                <w:color w:val="000000"/>
                <w:lang w:eastAsia="en-GB"/>
              </w:rPr>
              <w:t>,</w:t>
            </w:r>
            <w:r w:rsidRPr="00BD2146">
              <w:rPr>
                <w:rFonts w:ascii="Calibri" w:eastAsia="Times New Roman" w:hAnsi="Calibri" w:cs="Calibri"/>
                <w:color w:val="000000"/>
                <w:lang w:eastAsia="en-GB"/>
              </w:rPr>
              <w:t>058.7</w:t>
            </w:r>
          </w:p>
        </w:tc>
        <w:tc>
          <w:tcPr>
            <w:tcW w:w="2355" w:type="dxa"/>
            <w:tcBorders>
              <w:top w:val="single" w:sz="4" w:space="0" w:color="C9C9C9"/>
              <w:left w:val="nil"/>
              <w:bottom w:val="single" w:sz="4" w:space="0" w:color="C9C9C9"/>
              <w:right w:val="nil"/>
            </w:tcBorders>
            <w:shd w:val="clear" w:color="auto" w:fill="auto"/>
            <w:noWrap/>
            <w:vAlign w:val="bottom"/>
            <w:hideMark/>
          </w:tcPr>
          <w:p w14:paraId="767A3FFF" w14:textId="77777777"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915.9</w:t>
            </w:r>
          </w:p>
        </w:tc>
        <w:tc>
          <w:tcPr>
            <w:tcW w:w="2102" w:type="dxa"/>
            <w:tcBorders>
              <w:top w:val="single" w:sz="4" w:space="0" w:color="C9C9C9"/>
              <w:left w:val="nil"/>
              <w:bottom w:val="single" w:sz="4" w:space="0" w:color="C9C9C9"/>
              <w:right w:val="single" w:sz="4" w:space="0" w:color="auto"/>
            </w:tcBorders>
            <w:shd w:val="clear" w:color="auto" w:fill="auto"/>
            <w:noWrap/>
            <w:vAlign w:val="bottom"/>
            <w:hideMark/>
          </w:tcPr>
          <w:p w14:paraId="4AF61E09" w14:textId="2FB38737"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1231</w:t>
            </w:r>
            <w:r w:rsidR="00CA6490">
              <w:rPr>
                <w:rFonts w:ascii="Calibri" w:eastAsia="Times New Roman" w:hAnsi="Calibri" w:cs="Calibri"/>
                <w:color w:val="000000"/>
                <w:lang w:eastAsia="en-GB"/>
              </w:rPr>
              <w:t>.0</w:t>
            </w:r>
          </w:p>
        </w:tc>
      </w:tr>
      <w:tr w:rsidR="00BD2146" w:rsidRPr="00BD2146" w14:paraId="56C3F3B0" w14:textId="77777777" w:rsidTr="00300BF1">
        <w:trPr>
          <w:trHeight w:val="259"/>
        </w:trPr>
        <w:tc>
          <w:tcPr>
            <w:tcW w:w="2236" w:type="dxa"/>
            <w:tcBorders>
              <w:top w:val="single" w:sz="4" w:space="0" w:color="C9C9C9"/>
              <w:left w:val="single" w:sz="4" w:space="0" w:color="auto"/>
              <w:bottom w:val="single" w:sz="4" w:space="0" w:color="auto"/>
              <w:right w:val="nil"/>
            </w:tcBorders>
            <w:shd w:val="clear" w:color="EDEDED" w:fill="EDEDED"/>
            <w:noWrap/>
            <w:vAlign w:val="bottom"/>
            <w:hideMark/>
          </w:tcPr>
          <w:p w14:paraId="7BF59B6D" w14:textId="77777777"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UK</w:t>
            </w:r>
          </w:p>
        </w:tc>
        <w:tc>
          <w:tcPr>
            <w:tcW w:w="2252" w:type="dxa"/>
            <w:tcBorders>
              <w:top w:val="single" w:sz="4" w:space="0" w:color="C9C9C9"/>
              <w:left w:val="nil"/>
              <w:bottom w:val="single" w:sz="4" w:space="0" w:color="auto"/>
              <w:right w:val="nil"/>
            </w:tcBorders>
            <w:shd w:val="clear" w:color="EDEDED" w:fill="EDEDED"/>
            <w:noWrap/>
            <w:vAlign w:val="bottom"/>
            <w:hideMark/>
          </w:tcPr>
          <w:p w14:paraId="1858AA0C" w14:textId="77777777"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981.2</w:t>
            </w:r>
          </w:p>
        </w:tc>
        <w:tc>
          <w:tcPr>
            <w:tcW w:w="2355" w:type="dxa"/>
            <w:tcBorders>
              <w:top w:val="single" w:sz="4" w:space="0" w:color="C9C9C9"/>
              <w:left w:val="nil"/>
              <w:bottom w:val="single" w:sz="4" w:space="0" w:color="auto"/>
              <w:right w:val="nil"/>
            </w:tcBorders>
            <w:shd w:val="clear" w:color="EDEDED" w:fill="EDEDED"/>
            <w:noWrap/>
            <w:vAlign w:val="bottom"/>
            <w:hideMark/>
          </w:tcPr>
          <w:p w14:paraId="1C80552B" w14:textId="77777777"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852.9</w:t>
            </w:r>
          </w:p>
        </w:tc>
        <w:tc>
          <w:tcPr>
            <w:tcW w:w="2102" w:type="dxa"/>
            <w:tcBorders>
              <w:top w:val="single" w:sz="4" w:space="0" w:color="C9C9C9"/>
              <w:left w:val="nil"/>
              <w:bottom w:val="single" w:sz="4" w:space="0" w:color="auto"/>
              <w:right w:val="single" w:sz="4" w:space="0" w:color="auto"/>
            </w:tcBorders>
            <w:shd w:val="clear" w:color="EDEDED" w:fill="EDEDED"/>
            <w:noWrap/>
            <w:vAlign w:val="bottom"/>
            <w:hideMark/>
          </w:tcPr>
          <w:p w14:paraId="02501F0D" w14:textId="04CABC0D" w:rsidR="00BD2146" w:rsidRPr="00BD2146" w:rsidRDefault="00BD2146" w:rsidP="00DC54F7">
            <w:pPr>
              <w:spacing w:after="0" w:line="240" w:lineRule="auto"/>
              <w:jc w:val="both"/>
              <w:rPr>
                <w:rFonts w:ascii="Calibri" w:eastAsia="Times New Roman" w:hAnsi="Calibri" w:cs="Calibri"/>
                <w:color w:val="000000"/>
                <w:lang w:eastAsia="en-GB"/>
              </w:rPr>
            </w:pPr>
            <w:r w:rsidRPr="00BD2146">
              <w:rPr>
                <w:rFonts w:ascii="Calibri" w:eastAsia="Times New Roman" w:hAnsi="Calibri" w:cs="Calibri"/>
                <w:color w:val="000000"/>
                <w:lang w:eastAsia="en-GB"/>
              </w:rPr>
              <w:t>1</w:t>
            </w:r>
            <w:r>
              <w:rPr>
                <w:rFonts w:ascii="Calibri" w:eastAsia="Times New Roman" w:hAnsi="Calibri" w:cs="Calibri"/>
                <w:color w:val="000000"/>
                <w:lang w:eastAsia="en-GB"/>
              </w:rPr>
              <w:t>,</w:t>
            </w:r>
            <w:r w:rsidRPr="00BD2146">
              <w:rPr>
                <w:rFonts w:ascii="Calibri" w:eastAsia="Times New Roman" w:hAnsi="Calibri" w:cs="Calibri"/>
                <w:color w:val="000000"/>
                <w:lang w:eastAsia="en-GB"/>
              </w:rPr>
              <w:t>138.4</w:t>
            </w:r>
          </w:p>
        </w:tc>
      </w:tr>
    </w:tbl>
    <w:p w14:paraId="4E8123B1" w14:textId="16C34105" w:rsidR="00732DD8" w:rsidRPr="009E76BB" w:rsidRDefault="004C3F7A" w:rsidP="00DC54F7">
      <w:pPr>
        <w:spacing w:after="0" w:line="240" w:lineRule="auto"/>
        <w:jc w:val="both"/>
        <w:rPr>
          <w:rFonts w:ascii="Arial" w:hAnsi="Arial" w:cs="Arial"/>
          <w:bCs/>
          <w:sz w:val="20"/>
          <w:szCs w:val="20"/>
        </w:rPr>
      </w:pPr>
      <w:r w:rsidRPr="009E76BB">
        <w:rPr>
          <w:rFonts w:ascii="Arial" w:hAnsi="Arial" w:cs="Arial"/>
          <w:bCs/>
          <w:sz w:val="20"/>
          <w:szCs w:val="20"/>
        </w:rPr>
        <w:t xml:space="preserve">Source: </w:t>
      </w:r>
      <w:r w:rsidR="008E02A4" w:rsidRPr="009E76BB">
        <w:rPr>
          <w:rFonts w:ascii="Arial" w:hAnsi="Arial" w:cs="Arial"/>
          <w:bCs/>
          <w:sz w:val="20"/>
          <w:szCs w:val="20"/>
        </w:rPr>
        <w:t xml:space="preserve">Office of National Statistics – Death </w:t>
      </w:r>
      <w:r w:rsidR="0022353F" w:rsidRPr="009E76BB">
        <w:rPr>
          <w:rFonts w:ascii="Arial" w:hAnsi="Arial" w:cs="Arial"/>
          <w:bCs/>
          <w:sz w:val="20"/>
          <w:szCs w:val="20"/>
        </w:rPr>
        <w:t>regist</w:t>
      </w:r>
      <w:r w:rsidR="000F3300" w:rsidRPr="009E76BB">
        <w:rPr>
          <w:rFonts w:ascii="Arial" w:hAnsi="Arial" w:cs="Arial"/>
          <w:bCs/>
          <w:sz w:val="20"/>
          <w:szCs w:val="20"/>
        </w:rPr>
        <w:t xml:space="preserve">ered by area of usual residence, </w:t>
      </w:r>
      <w:r w:rsidR="008E02A4" w:rsidRPr="009E76BB">
        <w:rPr>
          <w:rFonts w:ascii="Arial" w:hAnsi="Arial" w:cs="Arial"/>
          <w:bCs/>
          <w:sz w:val="20"/>
          <w:szCs w:val="20"/>
        </w:rPr>
        <w:t>2</w:t>
      </w:r>
      <w:r w:rsidR="00066867" w:rsidRPr="009E76BB">
        <w:rPr>
          <w:rFonts w:ascii="Arial" w:hAnsi="Arial" w:cs="Arial"/>
          <w:bCs/>
          <w:sz w:val="20"/>
          <w:szCs w:val="20"/>
        </w:rPr>
        <w:t>01</w:t>
      </w:r>
      <w:r w:rsidR="008E02A4" w:rsidRPr="009E76BB">
        <w:rPr>
          <w:rFonts w:ascii="Arial" w:hAnsi="Arial" w:cs="Arial"/>
          <w:bCs/>
          <w:sz w:val="20"/>
          <w:szCs w:val="20"/>
        </w:rPr>
        <w:t>8</w:t>
      </w:r>
    </w:p>
    <w:p w14:paraId="61885891" w14:textId="46BA91AF" w:rsidR="00E865D7" w:rsidRDefault="00E865D7" w:rsidP="00DC54F7">
      <w:pPr>
        <w:spacing w:after="0" w:line="240" w:lineRule="auto"/>
        <w:jc w:val="both"/>
        <w:rPr>
          <w:rFonts w:ascii="Arial" w:hAnsi="Arial" w:cs="Arial"/>
          <w:b/>
          <w:sz w:val="26"/>
          <w:szCs w:val="26"/>
        </w:rPr>
      </w:pPr>
    </w:p>
    <w:p w14:paraId="751D4668" w14:textId="3DFC7D22" w:rsidR="00924E53" w:rsidRPr="00AE4C69" w:rsidRDefault="006E5211" w:rsidP="00DC54F7">
      <w:pPr>
        <w:spacing w:after="0" w:line="240" w:lineRule="auto"/>
        <w:jc w:val="both"/>
        <w:rPr>
          <w:rFonts w:ascii="Arial" w:hAnsi="Arial" w:cs="Arial"/>
          <w:bCs/>
          <w:sz w:val="24"/>
          <w:szCs w:val="24"/>
        </w:rPr>
      </w:pPr>
      <w:r w:rsidRPr="009E76BB">
        <w:rPr>
          <w:rFonts w:ascii="Arial" w:hAnsi="Arial" w:cs="Arial"/>
          <w:bCs/>
          <w:sz w:val="24"/>
          <w:szCs w:val="24"/>
        </w:rPr>
        <w:t>T</w:t>
      </w:r>
      <w:r w:rsidR="00E4022E" w:rsidRPr="009E76BB">
        <w:rPr>
          <w:rFonts w:ascii="Arial" w:hAnsi="Arial" w:cs="Arial"/>
          <w:bCs/>
          <w:sz w:val="24"/>
          <w:szCs w:val="24"/>
        </w:rPr>
        <w:t xml:space="preserve">he </w:t>
      </w:r>
      <w:r w:rsidR="009B7438" w:rsidRPr="009E76BB">
        <w:rPr>
          <w:rFonts w:ascii="Arial" w:hAnsi="Arial" w:cs="Arial"/>
          <w:bCs/>
          <w:sz w:val="24"/>
          <w:szCs w:val="24"/>
        </w:rPr>
        <w:t xml:space="preserve">avoidable mortality rate </w:t>
      </w:r>
      <w:r w:rsidR="005160CC" w:rsidRPr="009E76BB">
        <w:rPr>
          <w:rFonts w:ascii="Arial" w:hAnsi="Arial" w:cs="Arial"/>
          <w:bCs/>
          <w:sz w:val="24"/>
          <w:szCs w:val="24"/>
        </w:rPr>
        <w:t xml:space="preserve">(deaths defined as either preventable or treatable) </w:t>
      </w:r>
      <w:r w:rsidR="009B7438" w:rsidRPr="009E76BB">
        <w:rPr>
          <w:rFonts w:ascii="Arial" w:hAnsi="Arial" w:cs="Arial"/>
          <w:bCs/>
          <w:sz w:val="24"/>
          <w:szCs w:val="24"/>
        </w:rPr>
        <w:t xml:space="preserve">for </w:t>
      </w:r>
      <w:r w:rsidR="006266D9" w:rsidRPr="009E76BB">
        <w:rPr>
          <w:rFonts w:ascii="Arial" w:hAnsi="Arial" w:cs="Arial"/>
          <w:bCs/>
          <w:sz w:val="24"/>
          <w:szCs w:val="24"/>
        </w:rPr>
        <w:t xml:space="preserve">females in </w:t>
      </w:r>
      <w:r w:rsidR="009B7438" w:rsidRPr="009E76BB">
        <w:rPr>
          <w:rFonts w:ascii="Arial" w:hAnsi="Arial" w:cs="Arial"/>
          <w:bCs/>
          <w:sz w:val="24"/>
          <w:szCs w:val="24"/>
        </w:rPr>
        <w:t xml:space="preserve">Wales was </w:t>
      </w:r>
      <w:r w:rsidR="003D0F62" w:rsidRPr="009E76BB">
        <w:rPr>
          <w:rFonts w:ascii="Arial" w:eastAsia="Times New Roman" w:hAnsi="Arial" w:cs="Arial"/>
          <w:color w:val="000000"/>
          <w:sz w:val="24"/>
          <w:szCs w:val="24"/>
          <w:lang w:eastAsia="en-GB"/>
        </w:rPr>
        <w:t>2</w:t>
      </w:r>
      <w:r w:rsidR="0022154B" w:rsidRPr="009E76BB">
        <w:rPr>
          <w:rFonts w:ascii="Arial" w:eastAsia="Times New Roman" w:hAnsi="Arial" w:cs="Arial"/>
          <w:color w:val="000000"/>
          <w:sz w:val="24"/>
          <w:szCs w:val="24"/>
          <w:lang w:eastAsia="en-GB"/>
        </w:rPr>
        <w:t>06.1</w:t>
      </w:r>
      <w:r w:rsidR="00557F4F" w:rsidRPr="009E76BB">
        <w:rPr>
          <w:rFonts w:ascii="Helvetica" w:hAnsi="Helvetica" w:cs="Helvetica"/>
          <w:color w:val="323132"/>
          <w:sz w:val="24"/>
          <w:szCs w:val="24"/>
          <w:shd w:val="clear" w:color="auto" w:fill="FFFFFF"/>
        </w:rPr>
        <w:t xml:space="preserve"> </w:t>
      </w:r>
      <w:r w:rsidR="00557F4F" w:rsidRPr="00AE4C69">
        <w:rPr>
          <w:rFonts w:ascii="Arial" w:hAnsi="Arial" w:cs="Arial"/>
          <w:sz w:val="24"/>
          <w:szCs w:val="24"/>
          <w:shd w:val="clear" w:color="auto" w:fill="FFFFFF"/>
        </w:rPr>
        <w:t xml:space="preserve">deaths per 100,000 </w:t>
      </w:r>
      <w:r w:rsidR="006266D9" w:rsidRPr="00AE4C69">
        <w:rPr>
          <w:rFonts w:ascii="Arial" w:hAnsi="Arial" w:cs="Arial"/>
          <w:sz w:val="24"/>
          <w:szCs w:val="24"/>
          <w:shd w:val="clear" w:color="auto" w:fill="FFFFFF"/>
        </w:rPr>
        <w:t xml:space="preserve">female </w:t>
      </w:r>
      <w:r w:rsidR="00557F4F" w:rsidRPr="00AE4C69">
        <w:rPr>
          <w:rFonts w:ascii="Arial" w:hAnsi="Arial" w:cs="Arial"/>
          <w:sz w:val="24"/>
          <w:szCs w:val="24"/>
          <w:shd w:val="clear" w:color="auto" w:fill="FFFFFF"/>
        </w:rPr>
        <w:t>population</w:t>
      </w:r>
      <w:r w:rsidR="0022154B" w:rsidRPr="00AE4C69">
        <w:rPr>
          <w:rFonts w:ascii="Arial" w:hAnsi="Arial" w:cs="Arial"/>
          <w:sz w:val="24"/>
          <w:szCs w:val="24"/>
          <w:shd w:val="clear" w:color="auto" w:fill="FFFFFF"/>
        </w:rPr>
        <w:t xml:space="preserve"> and </w:t>
      </w:r>
      <w:r w:rsidR="006266D9" w:rsidRPr="00AE4C69">
        <w:rPr>
          <w:rFonts w:ascii="Arial" w:hAnsi="Arial" w:cs="Arial"/>
          <w:sz w:val="24"/>
          <w:szCs w:val="24"/>
          <w:shd w:val="clear" w:color="auto" w:fill="FFFFFF"/>
        </w:rPr>
        <w:t xml:space="preserve">for </w:t>
      </w:r>
      <w:r w:rsidR="0022154B" w:rsidRPr="00AE4C69">
        <w:rPr>
          <w:rFonts w:ascii="Arial" w:hAnsi="Arial" w:cs="Arial"/>
          <w:sz w:val="24"/>
          <w:szCs w:val="24"/>
          <w:shd w:val="clear" w:color="auto" w:fill="FFFFFF"/>
        </w:rPr>
        <w:t>males it was 330.5 deaths per 100,00</w:t>
      </w:r>
      <w:r w:rsidR="006266D9" w:rsidRPr="00AE4C69">
        <w:rPr>
          <w:rFonts w:ascii="Arial" w:hAnsi="Arial" w:cs="Arial"/>
          <w:sz w:val="24"/>
          <w:szCs w:val="24"/>
          <w:shd w:val="clear" w:color="auto" w:fill="FFFFFF"/>
        </w:rPr>
        <w:t>0 male population</w:t>
      </w:r>
      <w:r w:rsidRPr="00AE4C69">
        <w:rPr>
          <w:rFonts w:ascii="Arial" w:hAnsi="Arial" w:cs="Arial"/>
          <w:sz w:val="24"/>
          <w:szCs w:val="24"/>
          <w:shd w:val="clear" w:color="auto" w:fill="FFFFFF"/>
        </w:rPr>
        <w:t>, between 2016 to 2018</w:t>
      </w:r>
      <w:r w:rsidR="006266D9" w:rsidRPr="00AE4C69">
        <w:rPr>
          <w:rFonts w:ascii="Arial" w:hAnsi="Arial" w:cs="Arial"/>
          <w:sz w:val="24"/>
          <w:szCs w:val="24"/>
          <w:shd w:val="clear" w:color="auto" w:fill="FFFFFF"/>
        </w:rPr>
        <w:t>.</w:t>
      </w:r>
      <w:r w:rsidR="008A50D2" w:rsidRPr="00AE4C69">
        <w:rPr>
          <w:rFonts w:ascii="Arial" w:eastAsia="Times New Roman" w:hAnsi="Arial" w:cs="Arial"/>
          <w:sz w:val="24"/>
          <w:szCs w:val="24"/>
          <w:lang w:eastAsia="en-GB"/>
        </w:rPr>
        <w:t xml:space="preserve"> </w:t>
      </w:r>
      <w:r w:rsidR="00B21123" w:rsidRPr="00AE4C69">
        <w:rPr>
          <w:rFonts w:ascii="Arial" w:eastAsia="Times New Roman" w:hAnsi="Arial" w:cs="Arial"/>
          <w:sz w:val="24"/>
          <w:szCs w:val="24"/>
          <w:lang w:eastAsia="en-GB"/>
        </w:rPr>
        <w:t xml:space="preserve">In Wales, </w:t>
      </w:r>
      <w:r w:rsidR="0002374F" w:rsidRPr="00AE4C69">
        <w:rPr>
          <w:rFonts w:ascii="Arial" w:eastAsia="Times New Roman" w:hAnsi="Arial" w:cs="Arial"/>
          <w:sz w:val="24"/>
          <w:szCs w:val="24"/>
          <w:lang w:eastAsia="en-GB"/>
        </w:rPr>
        <w:t xml:space="preserve">57.3% of avoidable deaths in women </w:t>
      </w:r>
      <w:r w:rsidR="00EA1716" w:rsidRPr="00AE4C69">
        <w:rPr>
          <w:rFonts w:ascii="Arial" w:eastAsia="Times New Roman" w:hAnsi="Arial" w:cs="Arial"/>
          <w:sz w:val="24"/>
          <w:szCs w:val="24"/>
          <w:lang w:eastAsia="en-GB"/>
        </w:rPr>
        <w:t>were attributed to preventable conditions</w:t>
      </w:r>
      <w:r w:rsidR="00BB0FBC" w:rsidRPr="00AE4C69">
        <w:rPr>
          <w:rFonts w:ascii="Arial" w:eastAsia="Times New Roman" w:hAnsi="Arial" w:cs="Arial"/>
          <w:sz w:val="24"/>
          <w:szCs w:val="24"/>
          <w:lang w:eastAsia="en-GB"/>
        </w:rPr>
        <w:t xml:space="preserve"> (</w:t>
      </w:r>
      <w:r w:rsidR="00BB0FBC" w:rsidRPr="00AE4C69">
        <w:rPr>
          <w:rFonts w:ascii="Arial" w:hAnsi="Arial" w:cs="Arial"/>
          <w:sz w:val="24"/>
          <w:szCs w:val="24"/>
          <w:shd w:val="clear" w:color="auto" w:fill="FFFFFF"/>
        </w:rPr>
        <w:t>through effective public health and primary prevention interventions</w:t>
      </w:r>
      <w:r w:rsidR="00FC741D" w:rsidRPr="00AE4C69">
        <w:rPr>
          <w:rFonts w:ascii="Arial" w:eastAsia="Times New Roman" w:hAnsi="Arial" w:cs="Arial"/>
          <w:sz w:val="24"/>
          <w:szCs w:val="24"/>
          <w:lang w:eastAsia="en-GB"/>
        </w:rPr>
        <w:t xml:space="preserve">) </w:t>
      </w:r>
      <w:r w:rsidR="00EA1716" w:rsidRPr="00AE4C69">
        <w:rPr>
          <w:rFonts w:ascii="Arial" w:eastAsia="Times New Roman" w:hAnsi="Arial" w:cs="Arial"/>
          <w:sz w:val="24"/>
          <w:szCs w:val="24"/>
          <w:lang w:eastAsia="en-GB"/>
        </w:rPr>
        <w:t xml:space="preserve">and 67.5% </w:t>
      </w:r>
      <w:r w:rsidR="00EB0495" w:rsidRPr="00AE4C69">
        <w:rPr>
          <w:rFonts w:ascii="Arial" w:eastAsia="Times New Roman" w:hAnsi="Arial" w:cs="Arial"/>
          <w:sz w:val="24"/>
          <w:szCs w:val="24"/>
          <w:lang w:eastAsia="en-GB"/>
        </w:rPr>
        <w:t xml:space="preserve">in males. </w:t>
      </w:r>
    </w:p>
    <w:p w14:paraId="6E0189E0" w14:textId="271BACF3" w:rsidR="005A034B" w:rsidRPr="009E76BB" w:rsidRDefault="006E5211" w:rsidP="00DC54F7">
      <w:pPr>
        <w:spacing w:after="0" w:line="240" w:lineRule="auto"/>
        <w:jc w:val="both"/>
        <w:rPr>
          <w:rFonts w:ascii="Arial" w:eastAsia="Times New Roman" w:hAnsi="Arial" w:cs="Arial"/>
          <w:sz w:val="24"/>
          <w:szCs w:val="24"/>
          <w:lang w:eastAsia="en-GB"/>
        </w:rPr>
      </w:pPr>
      <w:r w:rsidRPr="00AE4C69">
        <w:rPr>
          <w:rFonts w:ascii="Arial" w:hAnsi="Arial" w:cs="Arial"/>
          <w:sz w:val="24"/>
          <w:szCs w:val="24"/>
          <w:shd w:val="clear" w:color="auto" w:fill="FFFFFF"/>
        </w:rPr>
        <w:t>T</w:t>
      </w:r>
      <w:r w:rsidR="00C13B87" w:rsidRPr="00AE4C69">
        <w:rPr>
          <w:rFonts w:ascii="Arial" w:hAnsi="Arial" w:cs="Arial"/>
          <w:sz w:val="24"/>
          <w:szCs w:val="24"/>
          <w:shd w:val="clear" w:color="auto" w:fill="FFFFFF"/>
        </w:rPr>
        <w:t>he Vale of Glamorgan had one of the lowest avoidable mortality rates</w:t>
      </w:r>
      <w:r w:rsidR="00557365" w:rsidRPr="00AE4C69">
        <w:rPr>
          <w:rFonts w:ascii="Arial" w:hAnsi="Arial" w:cs="Arial"/>
          <w:sz w:val="24"/>
          <w:szCs w:val="24"/>
          <w:shd w:val="clear" w:color="auto" w:fill="FFFFFF"/>
        </w:rPr>
        <w:t xml:space="preserve"> for </w:t>
      </w:r>
      <w:r w:rsidR="001C3349" w:rsidRPr="00AE4C69">
        <w:rPr>
          <w:rFonts w:ascii="Arial" w:hAnsi="Arial" w:cs="Arial"/>
          <w:sz w:val="24"/>
          <w:szCs w:val="24"/>
          <w:shd w:val="clear" w:color="auto" w:fill="FFFFFF"/>
        </w:rPr>
        <w:t xml:space="preserve">females </w:t>
      </w:r>
      <w:r w:rsidR="00514C26" w:rsidRPr="00AE4C69">
        <w:rPr>
          <w:rFonts w:ascii="Arial" w:hAnsi="Arial" w:cs="Arial"/>
          <w:sz w:val="24"/>
          <w:szCs w:val="24"/>
          <w:shd w:val="clear" w:color="auto" w:fill="FFFFFF"/>
        </w:rPr>
        <w:t>(</w:t>
      </w:r>
      <w:r w:rsidR="001C3349" w:rsidRPr="00AE4C69">
        <w:rPr>
          <w:rFonts w:ascii="Arial" w:hAnsi="Arial" w:cs="Arial"/>
          <w:sz w:val="24"/>
          <w:szCs w:val="24"/>
          <w:shd w:val="clear" w:color="auto" w:fill="FFFFFF"/>
        </w:rPr>
        <w:t>165.6</w:t>
      </w:r>
      <w:r w:rsidR="00C13B87" w:rsidRPr="00AE4C69">
        <w:rPr>
          <w:rFonts w:ascii="Arial" w:hAnsi="Arial" w:cs="Arial"/>
          <w:sz w:val="24"/>
          <w:szCs w:val="24"/>
          <w:shd w:val="clear" w:color="auto" w:fill="FFFFFF"/>
        </w:rPr>
        <w:t xml:space="preserve"> </w:t>
      </w:r>
      <w:r w:rsidR="00514C26" w:rsidRPr="00AE4C69">
        <w:rPr>
          <w:rFonts w:ascii="Arial" w:eastAsia="Times New Roman" w:hAnsi="Arial" w:cs="Arial"/>
          <w:sz w:val="24"/>
          <w:szCs w:val="24"/>
          <w:lang w:eastAsia="en-GB"/>
        </w:rPr>
        <w:t xml:space="preserve">deaths per 100,000 female population) and males </w:t>
      </w:r>
      <w:r w:rsidR="00514C26" w:rsidRPr="009E76BB">
        <w:rPr>
          <w:rFonts w:ascii="Arial" w:eastAsia="Times New Roman" w:hAnsi="Arial" w:cs="Arial"/>
          <w:sz w:val="24"/>
          <w:szCs w:val="24"/>
          <w:lang w:eastAsia="en-GB"/>
        </w:rPr>
        <w:t>(</w:t>
      </w:r>
      <w:r w:rsidR="0023311E" w:rsidRPr="009E76BB">
        <w:rPr>
          <w:rFonts w:ascii="Arial" w:eastAsia="Times New Roman" w:hAnsi="Arial" w:cs="Arial"/>
          <w:sz w:val="24"/>
          <w:szCs w:val="24"/>
          <w:lang w:eastAsia="en-GB"/>
        </w:rPr>
        <w:t xml:space="preserve">271.6 deaths per 100,000 </w:t>
      </w:r>
      <w:r w:rsidR="0023311E" w:rsidRPr="009E76BB">
        <w:rPr>
          <w:rFonts w:ascii="Arial" w:eastAsia="Times New Roman" w:hAnsi="Arial" w:cs="Arial"/>
          <w:sz w:val="24"/>
          <w:szCs w:val="24"/>
          <w:lang w:eastAsia="en-GB"/>
        </w:rPr>
        <w:lastRenderedPageBreak/>
        <w:t>male population)</w:t>
      </w:r>
      <w:r w:rsidR="00514C26" w:rsidRPr="009E76BB">
        <w:rPr>
          <w:rFonts w:ascii="Arial" w:hAnsi="Arial" w:cs="Arial"/>
          <w:color w:val="323132"/>
          <w:sz w:val="24"/>
          <w:szCs w:val="24"/>
          <w:shd w:val="clear" w:color="auto" w:fill="FFFFFF"/>
        </w:rPr>
        <w:t xml:space="preserve"> </w:t>
      </w:r>
      <w:r w:rsidR="00C13B87" w:rsidRPr="009E76BB">
        <w:rPr>
          <w:rFonts w:ascii="Arial" w:hAnsi="Arial" w:cs="Arial"/>
          <w:color w:val="323132"/>
          <w:sz w:val="24"/>
          <w:szCs w:val="24"/>
          <w:shd w:val="clear" w:color="auto" w:fill="FFFFFF"/>
        </w:rPr>
        <w:t>of the</w:t>
      </w:r>
      <w:r w:rsidR="00931BE8" w:rsidRPr="009E76BB">
        <w:rPr>
          <w:rFonts w:ascii="Arial" w:hAnsi="Arial" w:cs="Arial"/>
          <w:color w:val="323132"/>
          <w:sz w:val="24"/>
          <w:szCs w:val="24"/>
          <w:shd w:val="clear" w:color="auto" w:fill="FFFFFF"/>
        </w:rPr>
        <w:t xml:space="preserve"> 2</w:t>
      </w:r>
      <w:r w:rsidR="00C13B87" w:rsidRPr="009E76BB">
        <w:rPr>
          <w:rFonts w:ascii="Arial" w:hAnsi="Arial" w:cs="Arial"/>
          <w:color w:val="323132"/>
          <w:sz w:val="24"/>
          <w:szCs w:val="24"/>
          <w:shd w:val="clear" w:color="auto" w:fill="FFFFFF"/>
        </w:rPr>
        <w:t xml:space="preserve">2 </w:t>
      </w:r>
      <w:r w:rsidR="00567F4B" w:rsidRPr="009E76BB">
        <w:rPr>
          <w:rFonts w:ascii="Arial" w:hAnsi="Arial" w:cs="Arial"/>
          <w:color w:val="323132"/>
          <w:sz w:val="24"/>
          <w:szCs w:val="24"/>
          <w:shd w:val="clear" w:color="auto" w:fill="FFFFFF"/>
        </w:rPr>
        <w:t>local</w:t>
      </w:r>
      <w:r w:rsidR="00AC7C60" w:rsidRPr="009E76BB">
        <w:rPr>
          <w:rFonts w:ascii="Arial" w:hAnsi="Arial" w:cs="Arial"/>
          <w:color w:val="323132"/>
          <w:sz w:val="24"/>
          <w:szCs w:val="24"/>
          <w:shd w:val="clear" w:color="auto" w:fill="FFFFFF"/>
        </w:rPr>
        <w:t xml:space="preserve"> </w:t>
      </w:r>
      <w:r w:rsidR="00C13B87" w:rsidRPr="009E76BB">
        <w:rPr>
          <w:rFonts w:ascii="Arial" w:hAnsi="Arial" w:cs="Arial"/>
          <w:color w:val="323132"/>
          <w:sz w:val="24"/>
          <w:szCs w:val="24"/>
          <w:shd w:val="clear" w:color="auto" w:fill="FFFFFF"/>
        </w:rPr>
        <w:t>authorities</w:t>
      </w:r>
      <w:r w:rsidR="00AC7C60" w:rsidRPr="009E76BB">
        <w:rPr>
          <w:rFonts w:ascii="Arial" w:hAnsi="Arial" w:cs="Arial"/>
          <w:color w:val="323132"/>
          <w:sz w:val="24"/>
          <w:szCs w:val="24"/>
          <w:shd w:val="clear" w:color="auto" w:fill="FFFFFF"/>
        </w:rPr>
        <w:t xml:space="preserve"> and was significantly lower than </w:t>
      </w:r>
      <w:r w:rsidR="00CE74B0" w:rsidRPr="009E76BB">
        <w:rPr>
          <w:rFonts w:ascii="Arial" w:hAnsi="Arial" w:cs="Arial"/>
          <w:color w:val="323132"/>
          <w:sz w:val="24"/>
          <w:szCs w:val="24"/>
          <w:shd w:val="clear" w:color="auto" w:fill="FFFFFF"/>
        </w:rPr>
        <w:t xml:space="preserve">the average for </w:t>
      </w:r>
      <w:r w:rsidR="00AC7C60" w:rsidRPr="009E76BB">
        <w:rPr>
          <w:rFonts w:ascii="Arial" w:hAnsi="Arial" w:cs="Arial"/>
          <w:color w:val="323132"/>
          <w:sz w:val="24"/>
          <w:szCs w:val="24"/>
          <w:shd w:val="clear" w:color="auto" w:fill="FFFFFF"/>
        </w:rPr>
        <w:t>Wales.</w:t>
      </w:r>
      <w:r w:rsidR="006B5A71" w:rsidRPr="009E76BB">
        <w:rPr>
          <w:rFonts w:ascii="Arial" w:hAnsi="Arial" w:cs="Arial"/>
          <w:color w:val="323132"/>
          <w:sz w:val="24"/>
          <w:szCs w:val="24"/>
          <w:shd w:val="clear" w:color="auto" w:fill="FFFFFF"/>
        </w:rPr>
        <w:t xml:space="preserve"> </w:t>
      </w:r>
      <w:r w:rsidR="00C13B87" w:rsidRPr="009E76BB">
        <w:rPr>
          <w:rFonts w:ascii="Arial" w:eastAsia="Times New Roman" w:hAnsi="Arial" w:cs="Arial"/>
          <w:sz w:val="24"/>
          <w:szCs w:val="24"/>
          <w:lang w:eastAsia="en-GB"/>
        </w:rPr>
        <w:t xml:space="preserve">It also had one of the lowest preventable deaths rates </w:t>
      </w:r>
      <w:r w:rsidR="001B2FB5" w:rsidRPr="009E76BB">
        <w:rPr>
          <w:rFonts w:ascii="Arial" w:eastAsia="Times New Roman" w:hAnsi="Arial" w:cs="Arial"/>
          <w:sz w:val="24"/>
          <w:szCs w:val="24"/>
          <w:lang w:eastAsia="en-GB"/>
        </w:rPr>
        <w:t xml:space="preserve">and treatable </w:t>
      </w:r>
      <w:r w:rsidR="00400B6F" w:rsidRPr="009E76BB">
        <w:rPr>
          <w:rFonts w:ascii="Arial" w:eastAsia="Times New Roman" w:hAnsi="Arial" w:cs="Arial"/>
          <w:sz w:val="24"/>
          <w:szCs w:val="24"/>
          <w:lang w:eastAsia="en-GB"/>
        </w:rPr>
        <w:t xml:space="preserve">death rates </w:t>
      </w:r>
      <w:r w:rsidR="00F31621" w:rsidRPr="009E76BB">
        <w:rPr>
          <w:rFonts w:ascii="Arial" w:eastAsia="Times New Roman" w:hAnsi="Arial" w:cs="Arial"/>
          <w:sz w:val="24"/>
          <w:szCs w:val="24"/>
          <w:lang w:eastAsia="en-GB"/>
        </w:rPr>
        <w:t>for males and females</w:t>
      </w:r>
      <w:r w:rsidR="003D2819" w:rsidRPr="009E76BB">
        <w:rPr>
          <w:rFonts w:ascii="Arial" w:eastAsia="Times New Roman" w:hAnsi="Arial" w:cs="Arial"/>
          <w:sz w:val="24"/>
          <w:szCs w:val="24"/>
          <w:lang w:eastAsia="en-GB"/>
        </w:rPr>
        <w:t xml:space="preserve">. All </w:t>
      </w:r>
      <w:r w:rsidR="00F31621" w:rsidRPr="009E76BB">
        <w:rPr>
          <w:rFonts w:ascii="Arial" w:eastAsia="Times New Roman" w:hAnsi="Arial" w:cs="Arial"/>
          <w:sz w:val="24"/>
          <w:szCs w:val="24"/>
          <w:lang w:eastAsia="en-GB"/>
        </w:rPr>
        <w:t>w</w:t>
      </w:r>
      <w:r w:rsidR="00400B6F" w:rsidRPr="009E76BB">
        <w:rPr>
          <w:rFonts w:ascii="Arial" w:eastAsia="Times New Roman" w:hAnsi="Arial" w:cs="Arial"/>
          <w:sz w:val="24"/>
          <w:szCs w:val="24"/>
          <w:lang w:eastAsia="en-GB"/>
        </w:rPr>
        <w:t>ere</w:t>
      </w:r>
      <w:r w:rsidR="00F31621" w:rsidRPr="009E76BB">
        <w:rPr>
          <w:rFonts w:ascii="Arial" w:eastAsia="Times New Roman" w:hAnsi="Arial" w:cs="Arial"/>
          <w:sz w:val="24"/>
          <w:szCs w:val="24"/>
          <w:lang w:eastAsia="en-GB"/>
        </w:rPr>
        <w:t xml:space="preserve"> </w:t>
      </w:r>
      <w:r w:rsidR="006B5A71" w:rsidRPr="009E76BB">
        <w:rPr>
          <w:rFonts w:ascii="Arial" w:eastAsia="Times New Roman" w:hAnsi="Arial" w:cs="Arial"/>
          <w:sz w:val="24"/>
          <w:szCs w:val="24"/>
          <w:lang w:eastAsia="en-GB"/>
        </w:rPr>
        <w:t xml:space="preserve">significantly lower than </w:t>
      </w:r>
      <w:r w:rsidR="00770735" w:rsidRPr="009E76BB">
        <w:rPr>
          <w:rFonts w:ascii="Arial" w:eastAsia="Times New Roman" w:hAnsi="Arial" w:cs="Arial"/>
          <w:sz w:val="24"/>
          <w:szCs w:val="24"/>
          <w:lang w:eastAsia="en-GB"/>
        </w:rPr>
        <w:t xml:space="preserve">the average for </w:t>
      </w:r>
      <w:r w:rsidR="006B5A71" w:rsidRPr="009E76BB">
        <w:rPr>
          <w:rFonts w:ascii="Arial" w:eastAsia="Times New Roman" w:hAnsi="Arial" w:cs="Arial"/>
          <w:sz w:val="24"/>
          <w:szCs w:val="24"/>
          <w:lang w:eastAsia="en-GB"/>
        </w:rPr>
        <w:t>Wales</w:t>
      </w:r>
      <w:r w:rsidR="00400B6F" w:rsidRPr="009E76BB">
        <w:rPr>
          <w:rFonts w:ascii="Arial" w:eastAsia="Times New Roman" w:hAnsi="Arial" w:cs="Arial"/>
          <w:sz w:val="24"/>
          <w:szCs w:val="24"/>
          <w:lang w:eastAsia="en-GB"/>
        </w:rPr>
        <w:t xml:space="preserve"> except for </w:t>
      </w:r>
      <w:r w:rsidR="009D2E1C" w:rsidRPr="009E76BB">
        <w:rPr>
          <w:rFonts w:ascii="Arial" w:eastAsia="Times New Roman" w:hAnsi="Arial" w:cs="Arial"/>
          <w:sz w:val="24"/>
          <w:szCs w:val="24"/>
          <w:lang w:eastAsia="en-GB"/>
        </w:rPr>
        <w:t xml:space="preserve">female </w:t>
      </w:r>
      <w:r w:rsidR="001F7706" w:rsidRPr="009E76BB">
        <w:rPr>
          <w:rFonts w:ascii="Arial" w:eastAsia="Times New Roman" w:hAnsi="Arial" w:cs="Arial"/>
          <w:sz w:val="24"/>
          <w:szCs w:val="24"/>
          <w:lang w:eastAsia="en-GB"/>
        </w:rPr>
        <w:t xml:space="preserve">treatable </w:t>
      </w:r>
      <w:r w:rsidR="00DF1616" w:rsidRPr="009E76BB">
        <w:rPr>
          <w:rFonts w:ascii="Arial" w:eastAsia="Times New Roman" w:hAnsi="Arial" w:cs="Arial"/>
          <w:sz w:val="24"/>
          <w:szCs w:val="24"/>
          <w:lang w:eastAsia="en-GB"/>
        </w:rPr>
        <w:t xml:space="preserve">mortality rate. </w:t>
      </w:r>
    </w:p>
    <w:p w14:paraId="3CDBD48D" w14:textId="58760774" w:rsidR="00CF6A22" w:rsidRPr="009E76BB" w:rsidRDefault="00CF6A22" w:rsidP="00DC54F7">
      <w:pPr>
        <w:spacing w:after="0" w:line="240" w:lineRule="auto"/>
        <w:jc w:val="both"/>
        <w:rPr>
          <w:rFonts w:ascii="Arial" w:eastAsia="Times New Roman" w:hAnsi="Arial" w:cs="Arial"/>
          <w:sz w:val="24"/>
          <w:szCs w:val="24"/>
          <w:lang w:eastAsia="en-GB"/>
        </w:rPr>
      </w:pPr>
    </w:p>
    <w:p w14:paraId="4308CC00" w14:textId="37A16501" w:rsidR="00CF6A22" w:rsidRPr="009E76BB" w:rsidRDefault="00CF6A22" w:rsidP="00DC54F7">
      <w:pPr>
        <w:spacing w:after="0" w:line="240" w:lineRule="auto"/>
        <w:jc w:val="both"/>
        <w:rPr>
          <w:rFonts w:ascii="Arial" w:eastAsia="Times New Roman" w:hAnsi="Arial" w:cs="Arial"/>
          <w:sz w:val="24"/>
          <w:szCs w:val="24"/>
          <w:lang w:eastAsia="en-GB"/>
        </w:rPr>
      </w:pPr>
      <w:r w:rsidRPr="009E76BB">
        <w:rPr>
          <w:rFonts w:ascii="Arial" w:eastAsia="Times New Roman" w:hAnsi="Arial" w:cs="Arial"/>
          <w:sz w:val="24"/>
          <w:szCs w:val="24"/>
          <w:lang w:eastAsia="en-GB"/>
        </w:rPr>
        <w:t xml:space="preserve">Cardiff </w:t>
      </w:r>
      <w:r w:rsidR="008652C9" w:rsidRPr="009E76BB">
        <w:rPr>
          <w:rFonts w:ascii="Arial" w:eastAsia="Times New Roman" w:hAnsi="Arial" w:cs="Arial"/>
          <w:sz w:val="24"/>
          <w:szCs w:val="24"/>
          <w:lang w:eastAsia="en-GB"/>
        </w:rPr>
        <w:t xml:space="preserve">(123.8 deaths per 100,000 male population) </w:t>
      </w:r>
      <w:r w:rsidRPr="009E76BB">
        <w:rPr>
          <w:rFonts w:ascii="Arial" w:eastAsia="Times New Roman" w:hAnsi="Arial" w:cs="Arial"/>
          <w:sz w:val="24"/>
          <w:szCs w:val="24"/>
          <w:lang w:eastAsia="en-GB"/>
        </w:rPr>
        <w:t>ha</w:t>
      </w:r>
      <w:r w:rsidR="00931BE8" w:rsidRPr="009E76BB">
        <w:rPr>
          <w:rFonts w:ascii="Arial" w:eastAsia="Times New Roman" w:hAnsi="Arial" w:cs="Arial"/>
          <w:sz w:val="24"/>
          <w:szCs w:val="24"/>
          <w:lang w:eastAsia="en-GB"/>
        </w:rPr>
        <w:t>d</w:t>
      </w:r>
      <w:r w:rsidRPr="009E76BB">
        <w:rPr>
          <w:rFonts w:ascii="Arial" w:eastAsia="Times New Roman" w:hAnsi="Arial" w:cs="Arial"/>
          <w:sz w:val="24"/>
          <w:szCs w:val="24"/>
          <w:lang w:eastAsia="en-GB"/>
        </w:rPr>
        <w:t xml:space="preserve"> the </w:t>
      </w:r>
      <w:r w:rsidR="00191F7D" w:rsidRPr="009E76BB">
        <w:rPr>
          <w:rFonts w:ascii="Arial" w:eastAsia="Times New Roman" w:hAnsi="Arial" w:cs="Arial"/>
          <w:sz w:val="24"/>
          <w:szCs w:val="24"/>
          <w:lang w:eastAsia="en-GB"/>
        </w:rPr>
        <w:t>fifth highest treatable mortality rate for m</w:t>
      </w:r>
      <w:r w:rsidR="00A63B67" w:rsidRPr="009E76BB">
        <w:rPr>
          <w:rFonts w:ascii="Arial" w:eastAsia="Times New Roman" w:hAnsi="Arial" w:cs="Arial"/>
          <w:sz w:val="24"/>
          <w:szCs w:val="24"/>
          <w:lang w:eastAsia="en-GB"/>
        </w:rPr>
        <w:t>ales</w:t>
      </w:r>
      <w:r w:rsidR="00191F7D" w:rsidRPr="009E76BB">
        <w:rPr>
          <w:rFonts w:ascii="Arial" w:eastAsia="Times New Roman" w:hAnsi="Arial" w:cs="Arial"/>
          <w:sz w:val="24"/>
          <w:szCs w:val="24"/>
          <w:lang w:eastAsia="en-GB"/>
        </w:rPr>
        <w:t xml:space="preserve"> out of all the </w:t>
      </w:r>
      <w:r w:rsidR="00441241" w:rsidRPr="009E76BB">
        <w:rPr>
          <w:rFonts w:ascii="Arial" w:eastAsia="Times New Roman" w:hAnsi="Arial" w:cs="Arial"/>
          <w:sz w:val="24"/>
          <w:szCs w:val="24"/>
          <w:lang w:eastAsia="en-GB"/>
        </w:rPr>
        <w:t xml:space="preserve">22 </w:t>
      </w:r>
      <w:r w:rsidR="00567F4B" w:rsidRPr="009E76BB">
        <w:rPr>
          <w:rFonts w:ascii="Arial" w:eastAsia="Times New Roman" w:hAnsi="Arial" w:cs="Arial"/>
          <w:sz w:val="24"/>
          <w:szCs w:val="24"/>
          <w:lang w:eastAsia="en-GB"/>
        </w:rPr>
        <w:t>local</w:t>
      </w:r>
      <w:r w:rsidR="00191F7D" w:rsidRPr="009E76BB">
        <w:rPr>
          <w:rFonts w:ascii="Arial" w:eastAsia="Times New Roman" w:hAnsi="Arial" w:cs="Arial"/>
          <w:sz w:val="24"/>
          <w:szCs w:val="24"/>
          <w:lang w:eastAsia="en-GB"/>
        </w:rPr>
        <w:t xml:space="preserve"> </w:t>
      </w:r>
      <w:r w:rsidR="00CE74B0" w:rsidRPr="009E76BB">
        <w:rPr>
          <w:rFonts w:ascii="Arial" w:eastAsia="Times New Roman" w:hAnsi="Arial" w:cs="Arial"/>
          <w:sz w:val="24"/>
          <w:szCs w:val="24"/>
          <w:lang w:eastAsia="en-GB"/>
        </w:rPr>
        <w:t>authorities</w:t>
      </w:r>
      <w:r w:rsidR="002E1375" w:rsidRPr="009E76BB">
        <w:rPr>
          <w:rFonts w:ascii="Arial" w:eastAsia="Times New Roman" w:hAnsi="Arial" w:cs="Arial"/>
          <w:sz w:val="24"/>
          <w:szCs w:val="24"/>
          <w:lang w:eastAsia="en-GB"/>
        </w:rPr>
        <w:t xml:space="preserve"> and </w:t>
      </w:r>
      <w:r w:rsidR="00A34490" w:rsidRPr="009E76BB">
        <w:rPr>
          <w:rFonts w:ascii="Arial" w:eastAsia="Times New Roman" w:hAnsi="Arial" w:cs="Arial"/>
          <w:sz w:val="24"/>
          <w:szCs w:val="24"/>
          <w:lang w:eastAsia="en-GB"/>
        </w:rPr>
        <w:t>was</w:t>
      </w:r>
      <w:r w:rsidR="002E1375" w:rsidRPr="009E76BB">
        <w:rPr>
          <w:rFonts w:ascii="Arial" w:eastAsia="Times New Roman" w:hAnsi="Arial" w:cs="Arial"/>
          <w:sz w:val="24"/>
          <w:szCs w:val="24"/>
          <w:lang w:eastAsia="en-GB"/>
        </w:rPr>
        <w:t xml:space="preserve"> significantly higher than </w:t>
      </w:r>
      <w:r w:rsidR="00721DBD" w:rsidRPr="009E76BB">
        <w:rPr>
          <w:rFonts w:ascii="Arial" w:eastAsia="Times New Roman" w:hAnsi="Arial" w:cs="Arial"/>
          <w:sz w:val="24"/>
          <w:szCs w:val="24"/>
          <w:lang w:eastAsia="en-GB"/>
        </w:rPr>
        <w:t xml:space="preserve">the average </w:t>
      </w:r>
      <w:r w:rsidR="002E1375" w:rsidRPr="009E76BB">
        <w:rPr>
          <w:rFonts w:ascii="Arial" w:eastAsia="Times New Roman" w:hAnsi="Arial" w:cs="Arial"/>
          <w:sz w:val="24"/>
          <w:szCs w:val="24"/>
          <w:lang w:eastAsia="en-GB"/>
        </w:rPr>
        <w:t>Wales</w:t>
      </w:r>
      <w:r w:rsidR="00F167B6" w:rsidRPr="009E76BB">
        <w:rPr>
          <w:rFonts w:ascii="Arial" w:eastAsia="Times New Roman" w:hAnsi="Arial" w:cs="Arial"/>
          <w:sz w:val="24"/>
          <w:szCs w:val="24"/>
          <w:lang w:eastAsia="en-GB"/>
        </w:rPr>
        <w:t>.</w:t>
      </w:r>
      <w:r w:rsidR="002E6BF5" w:rsidRPr="009E76BB">
        <w:rPr>
          <w:rFonts w:ascii="Arial" w:eastAsia="Times New Roman" w:hAnsi="Arial" w:cs="Arial"/>
          <w:sz w:val="24"/>
          <w:szCs w:val="24"/>
          <w:lang w:eastAsia="en-GB"/>
        </w:rPr>
        <w:t xml:space="preserve"> </w:t>
      </w:r>
      <w:r w:rsidR="00790C94" w:rsidRPr="009E76BB">
        <w:rPr>
          <w:rFonts w:ascii="Arial" w:eastAsia="Times New Roman" w:hAnsi="Arial" w:cs="Arial"/>
          <w:sz w:val="24"/>
          <w:szCs w:val="24"/>
          <w:lang w:eastAsia="en-GB"/>
        </w:rPr>
        <w:t xml:space="preserve">It also had a higher avoidable and preventable </w:t>
      </w:r>
      <w:r w:rsidR="00283484" w:rsidRPr="009E76BB">
        <w:rPr>
          <w:rFonts w:ascii="Arial" w:eastAsia="Times New Roman" w:hAnsi="Arial" w:cs="Arial"/>
          <w:sz w:val="24"/>
          <w:szCs w:val="24"/>
          <w:lang w:eastAsia="en-GB"/>
        </w:rPr>
        <w:t>age-standardised</w:t>
      </w:r>
      <w:r w:rsidR="00721DBD" w:rsidRPr="009E76BB">
        <w:rPr>
          <w:rFonts w:ascii="Arial" w:eastAsia="Times New Roman" w:hAnsi="Arial" w:cs="Arial"/>
          <w:sz w:val="24"/>
          <w:szCs w:val="24"/>
          <w:lang w:eastAsia="en-GB"/>
        </w:rPr>
        <w:t xml:space="preserve"> mortality rate for m</w:t>
      </w:r>
      <w:r w:rsidR="00A63B67" w:rsidRPr="009E76BB">
        <w:rPr>
          <w:rFonts w:ascii="Arial" w:eastAsia="Times New Roman" w:hAnsi="Arial" w:cs="Arial"/>
          <w:sz w:val="24"/>
          <w:szCs w:val="24"/>
          <w:lang w:eastAsia="en-GB"/>
        </w:rPr>
        <w:t>ales</w:t>
      </w:r>
      <w:r w:rsidR="00721DBD" w:rsidRPr="009E76BB">
        <w:rPr>
          <w:rFonts w:ascii="Arial" w:eastAsia="Times New Roman" w:hAnsi="Arial" w:cs="Arial"/>
          <w:sz w:val="24"/>
          <w:szCs w:val="24"/>
          <w:lang w:eastAsia="en-GB"/>
        </w:rPr>
        <w:t xml:space="preserve"> compared to the average for Wales.</w:t>
      </w:r>
    </w:p>
    <w:p w14:paraId="45ACBBEB" w14:textId="0EB1F712" w:rsidR="0022217F" w:rsidRPr="009E76BB" w:rsidRDefault="0022217F" w:rsidP="00DC54F7">
      <w:pPr>
        <w:spacing w:after="0" w:line="240" w:lineRule="auto"/>
        <w:jc w:val="both"/>
        <w:rPr>
          <w:rFonts w:ascii="Arial" w:eastAsia="Times New Roman" w:hAnsi="Arial" w:cs="Arial"/>
          <w:sz w:val="24"/>
          <w:szCs w:val="24"/>
          <w:lang w:eastAsia="en-GB"/>
        </w:rPr>
      </w:pPr>
    </w:p>
    <w:p w14:paraId="1B62810C" w14:textId="5717F5EA" w:rsidR="00FA5B9A" w:rsidRPr="009E76BB" w:rsidRDefault="00FA5B9A" w:rsidP="00DC54F7">
      <w:pPr>
        <w:spacing w:after="0" w:line="240" w:lineRule="auto"/>
        <w:jc w:val="both"/>
        <w:rPr>
          <w:rFonts w:ascii="Arial" w:hAnsi="Arial" w:cs="Arial"/>
          <w:color w:val="323132"/>
          <w:sz w:val="24"/>
          <w:szCs w:val="24"/>
          <w:shd w:val="clear" w:color="auto" w:fill="FFFFFF"/>
        </w:rPr>
      </w:pPr>
      <w:r w:rsidRPr="009E76BB">
        <w:rPr>
          <w:rFonts w:ascii="Arial" w:eastAsia="Times New Roman" w:hAnsi="Arial" w:cs="Arial"/>
          <w:sz w:val="24"/>
          <w:szCs w:val="24"/>
          <w:lang w:eastAsia="en-GB"/>
        </w:rPr>
        <w:t xml:space="preserve">Of note, the mortality figures here do not capture the impact of the </w:t>
      </w:r>
      <w:r w:rsidR="00F60815" w:rsidRPr="009E76BB">
        <w:rPr>
          <w:rFonts w:ascii="Arial" w:eastAsia="Times New Roman" w:hAnsi="Arial" w:cs="Arial"/>
          <w:sz w:val="24"/>
          <w:szCs w:val="24"/>
          <w:lang w:eastAsia="en-GB"/>
        </w:rPr>
        <w:t>Coronavirus (COVID-19)</w:t>
      </w:r>
      <w:r w:rsidRPr="009E76BB">
        <w:rPr>
          <w:rFonts w:ascii="Arial" w:eastAsia="Times New Roman" w:hAnsi="Arial" w:cs="Arial"/>
          <w:sz w:val="24"/>
          <w:szCs w:val="24"/>
          <w:lang w:eastAsia="en-GB"/>
        </w:rPr>
        <w:t xml:space="preserve"> pandemic, which increased mortality above historic levels across the UK.</w:t>
      </w:r>
    </w:p>
    <w:p w14:paraId="5C603911" w14:textId="77777777" w:rsidR="0022217F" w:rsidRPr="006B5A71" w:rsidRDefault="0022217F" w:rsidP="00DC54F7">
      <w:pPr>
        <w:spacing w:after="0" w:line="240" w:lineRule="auto"/>
        <w:jc w:val="both"/>
        <w:rPr>
          <w:rFonts w:ascii="Arial" w:hAnsi="Arial" w:cs="Arial"/>
          <w:color w:val="323132"/>
          <w:shd w:val="clear" w:color="auto" w:fill="FFFFFF"/>
        </w:rPr>
      </w:pPr>
    </w:p>
    <w:p w14:paraId="12FEC61C" w14:textId="6FD5E56A" w:rsidR="007C7237" w:rsidRPr="009E76BB" w:rsidRDefault="007C7237" w:rsidP="00DC54F7">
      <w:pPr>
        <w:spacing w:after="0" w:line="240" w:lineRule="auto"/>
        <w:jc w:val="both"/>
        <w:rPr>
          <w:rFonts w:ascii="Arial" w:hAnsi="Arial" w:cs="Arial"/>
          <w:b/>
          <w:sz w:val="24"/>
          <w:szCs w:val="24"/>
        </w:rPr>
      </w:pPr>
      <w:r w:rsidRPr="009E76BB">
        <w:rPr>
          <w:rFonts w:ascii="Arial" w:hAnsi="Arial" w:cs="Arial"/>
          <w:b/>
          <w:sz w:val="24"/>
          <w:szCs w:val="24"/>
        </w:rPr>
        <w:t xml:space="preserve">Table </w:t>
      </w:r>
      <w:r w:rsidR="003D65CC" w:rsidRPr="009E76BB">
        <w:rPr>
          <w:rFonts w:ascii="Arial" w:hAnsi="Arial" w:cs="Arial"/>
          <w:b/>
          <w:sz w:val="24"/>
          <w:szCs w:val="24"/>
        </w:rPr>
        <w:t>2.</w:t>
      </w:r>
      <w:r w:rsidR="008B2D50" w:rsidRPr="009E76BB">
        <w:rPr>
          <w:rFonts w:ascii="Arial" w:hAnsi="Arial" w:cs="Arial"/>
          <w:b/>
          <w:sz w:val="24"/>
          <w:szCs w:val="24"/>
        </w:rPr>
        <w:t>9</w:t>
      </w:r>
      <w:r w:rsidRPr="009E76BB">
        <w:rPr>
          <w:rFonts w:ascii="Arial" w:hAnsi="Arial" w:cs="Arial"/>
          <w:b/>
          <w:sz w:val="24"/>
          <w:szCs w:val="24"/>
        </w:rPr>
        <w:t xml:space="preserve">: Number and age-standardised avoidable, preventable and treatable mortality rates by sex and </w:t>
      </w:r>
      <w:r w:rsidR="00770735" w:rsidRPr="009E76BB">
        <w:rPr>
          <w:rFonts w:ascii="Arial" w:hAnsi="Arial" w:cs="Arial"/>
          <w:b/>
          <w:sz w:val="24"/>
          <w:szCs w:val="24"/>
        </w:rPr>
        <w:t xml:space="preserve">by </w:t>
      </w:r>
      <w:r w:rsidR="00567F4B" w:rsidRPr="009E76BB">
        <w:rPr>
          <w:rFonts w:ascii="Arial" w:hAnsi="Arial" w:cs="Arial"/>
          <w:b/>
          <w:sz w:val="24"/>
          <w:szCs w:val="24"/>
        </w:rPr>
        <w:t>local</w:t>
      </w:r>
      <w:r w:rsidRPr="009E76BB">
        <w:rPr>
          <w:rFonts w:ascii="Arial" w:hAnsi="Arial" w:cs="Arial"/>
          <w:b/>
          <w:sz w:val="24"/>
          <w:szCs w:val="24"/>
        </w:rPr>
        <w:t xml:space="preserve"> authority and Wales,</w:t>
      </w:r>
      <w:r w:rsidR="006E5211" w:rsidRPr="009E76BB">
        <w:rPr>
          <w:rFonts w:ascii="Arial" w:hAnsi="Arial" w:cs="Arial"/>
          <w:b/>
          <w:sz w:val="24"/>
          <w:szCs w:val="24"/>
        </w:rPr>
        <w:t xml:space="preserve"> 2016 to</w:t>
      </w:r>
      <w:r w:rsidRPr="009E76BB">
        <w:rPr>
          <w:rFonts w:ascii="Arial" w:hAnsi="Arial" w:cs="Arial"/>
          <w:b/>
          <w:sz w:val="24"/>
          <w:szCs w:val="24"/>
        </w:rPr>
        <w:t xml:space="preserve"> 2018</w:t>
      </w:r>
    </w:p>
    <w:tbl>
      <w:tblPr>
        <w:tblW w:w="8571"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54"/>
        <w:gridCol w:w="1890"/>
        <w:gridCol w:w="844"/>
        <w:gridCol w:w="1065"/>
        <w:gridCol w:w="1065"/>
        <w:gridCol w:w="844"/>
        <w:gridCol w:w="1065"/>
        <w:gridCol w:w="844"/>
      </w:tblGrid>
      <w:tr w:rsidR="00593E7F" w:rsidRPr="00593E7F" w14:paraId="126C1E94" w14:textId="77777777" w:rsidTr="00387321">
        <w:trPr>
          <w:trHeight w:val="280"/>
        </w:trPr>
        <w:tc>
          <w:tcPr>
            <w:tcW w:w="954" w:type="dxa"/>
            <w:shd w:val="clear" w:color="000000" w:fill="8497B0"/>
            <w:noWrap/>
            <w:vAlign w:val="bottom"/>
            <w:hideMark/>
          </w:tcPr>
          <w:p w14:paraId="3CACA73D"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 </w:t>
            </w:r>
          </w:p>
        </w:tc>
        <w:tc>
          <w:tcPr>
            <w:tcW w:w="1890" w:type="dxa"/>
            <w:shd w:val="clear" w:color="000000" w:fill="8497B0"/>
            <w:noWrap/>
            <w:vAlign w:val="bottom"/>
            <w:hideMark/>
          </w:tcPr>
          <w:p w14:paraId="46989FA2"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 </w:t>
            </w:r>
          </w:p>
        </w:tc>
        <w:tc>
          <w:tcPr>
            <w:tcW w:w="1909" w:type="dxa"/>
            <w:gridSpan w:val="2"/>
            <w:shd w:val="clear" w:color="000000" w:fill="8497B0"/>
            <w:noWrap/>
            <w:vAlign w:val="bottom"/>
            <w:hideMark/>
          </w:tcPr>
          <w:p w14:paraId="6830E6D6" w14:textId="77777777" w:rsidR="00593E7F" w:rsidRPr="00593E7F" w:rsidRDefault="00593E7F" w:rsidP="00DC54F7">
            <w:pPr>
              <w:spacing w:after="0" w:line="240" w:lineRule="auto"/>
              <w:jc w:val="both"/>
              <w:rPr>
                <w:rFonts w:ascii="Calibri" w:eastAsia="Times New Roman" w:hAnsi="Calibri" w:cs="Calibri"/>
                <w:b/>
                <w:bCs/>
                <w:color w:val="FFFFFF"/>
                <w:lang w:eastAsia="en-GB"/>
              </w:rPr>
            </w:pPr>
            <w:r w:rsidRPr="00593E7F">
              <w:rPr>
                <w:rFonts w:ascii="Calibri" w:eastAsia="Times New Roman" w:hAnsi="Calibri" w:cs="Calibri"/>
                <w:b/>
                <w:bCs/>
                <w:color w:val="FFFFFF"/>
                <w:lang w:eastAsia="en-GB"/>
              </w:rPr>
              <w:t>Avoidable</w:t>
            </w:r>
          </w:p>
        </w:tc>
        <w:tc>
          <w:tcPr>
            <w:tcW w:w="1909" w:type="dxa"/>
            <w:gridSpan w:val="2"/>
            <w:shd w:val="clear" w:color="000000" w:fill="8497B0"/>
            <w:noWrap/>
            <w:vAlign w:val="bottom"/>
            <w:hideMark/>
          </w:tcPr>
          <w:p w14:paraId="3714898B" w14:textId="77777777" w:rsidR="00593E7F" w:rsidRPr="00593E7F" w:rsidRDefault="00593E7F" w:rsidP="00DC54F7">
            <w:pPr>
              <w:spacing w:after="0" w:line="240" w:lineRule="auto"/>
              <w:jc w:val="both"/>
              <w:rPr>
                <w:rFonts w:ascii="Calibri" w:eastAsia="Times New Roman" w:hAnsi="Calibri" w:cs="Calibri"/>
                <w:b/>
                <w:bCs/>
                <w:color w:val="FFFFFF"/>
                <w:lang w:eastAsia="en-GB"/>
              </w:rPr>
            </w:pPr>
            <w:r w:rsidRPr="00593E7F">
              <w:rPr>
                <w:rFonts w:ascii="Calibri" w:eastAsia="Times New Roman" w:hAnsi="Calibri" w:cs="Calibri"/>
                <w:b/>
                <w:bCs/>
                <w:color w:val="FFFFFF"/>
                <w:lang w:eastAsia="en-GB"/>
              </w:rPr>
              <w:t>Preventable</w:t>
            </w:r>
          </w:p>
        </w:tc>
        <w:tc>
          <w:tcPr>
            <w:tcW w:w="1909" w:type="dxa"/>
            <w:gridSpan w:val="2"/>
            <w:shd w:val="clear" w:color="000000" w:fill="8497B0"/>
            <w:noWrap/>
            <w:vAlign w:val="bottom"/>
            <w:hideMark/>
          </w:tcPr>
          <w:p w14:paraId="29ED5F42" w14:textId="77777777" w:rsidR="00593E7F" w:rsidRPr="00593E7F" w:rsidRDefault="00593E7F" w:rsidP="00DC54F7">
            <w:pPr>
              <w:spacing w:after="0" w:line="240" w:lineRule="auto"/>
              <w:jc w:val="both"/>
              <w:rPr>
                <w:rFonts w:ascii="Calibri" w:eastAsia="Times New Roman" w:hAnsi="Calibri" w:cs="Calibri"/>
                <w:b/>
                <w:bCs/>
                <w:color w:val="FFFFFF"/>
                <w:lang w:eastAsia="en-GB"/>
              </w:rPr>
            </w:pPr>
            <w:r w:rsidRPr="00593E7F">
              <w:rPr>
                <w:rFonts w:ascii="Calibri" w:eastAsia="Times New Roman" w:hAnsi="Calibri" w:cs="Calibri"/>
                <w:b/>
                <w:bCs/>
                <w:color w:val="FFFFFF"/>
                <w:lang w:eastAsia="en-GB"/>
              </w:rPr>
              <w:t>Treatable</w:t>
            </w:r>
          </w:p>
        </w:tc>
      </w:tr>
      <w:tr w:rsidR="00593E7F" w:rsidRPr="00593E7F" w14:paraId="621D5DAA" w14:textId="77777777" w:rsidTr="00387321">
        <w:trPr>
          <w:trHeight w:val="280"/>
        </w:trPr>
        <w:tc>
          <w:tcPr>
            <w:tcW w:w="954" w:type="dxa"/>
            <w:shd w:val="clear" w:color="000000" w:fill="8497B0"/>
            <w:noWrap/>
            <w:vAlign w:val="bottom"/>
            <w:hideMark/>
          </w:tcPr>
          <w:p w14:paraId="58DDBEB3" w14:textId="77777777" w:rsidR="00593E7F" w:rsidRPr="00593E7F" w:rsidRDefault="00593E7F" w:rsidP="00DC54F7">
            <w:pPr>
              <w:spacing w:after="0" w:line="240" w:lineRule="auto"/>
              <w:jc w:val="both"/>
              <w:rPr>
                <w:rFonts w:ascii="Calibri" w:eastAsia="Times New Roman" w:hAnsi="Calibri" w:cs="Calibri"/>
                <w:b/>
                <w:bCs/>
                <w:color w:val="000000"/>
                <w:lang w:eastAsia="en-GB"/>
              </w:rPr>
            </w:pPr>
            <w:r w:rsidRPr="00593E7F">
              <w:rPr>
                <w:rFonts w:ascii="Calibri" w:eastAsia="Times New Roman" w:hAnsi="Calibri" w:cs="Calibri"/>
                <w:b/>
                <w:bCs/>
                <w:color w:val="000000"/>
                <w:lang w:eastAsia="en-GB"/>
              </w:rPr>
              <w:t> </w:t>
            </w:r>
          </w:p>
        </w:tc>
        <w:tc>
          <w:tcPr>
            <w:tcW w:w="1890" w:type="dxa"/>
            <w:shd w:val="clear" w:color="000000" w:fill="8497B0"/>
            <w:noWrap/>
            <w:vAlign w:val="bottom"/>
            <w:hideMark/>
          </w:tcPr>
          <w:p w14:paraId="4DE9B5F0" w14:textId="77777777" w:rsidR="00593E7F" w:rsidRPr="00593E7F" w:rsidRDefault="00593E7F" w:rsidP="00DC54F7">
            <w:pPr>
              <w:spacing w:after="0" w:line="240" w:lineRule="auto"/>
              <w:jc w:val="both"/>
              <w:rPr>
                <w:rFonts w:ascii="Calibri" w:eastAsia="Times New Roman" w:hAnsi="Calibri" w:cs="Calibri"/>
                <w:b/>
                <w:bCs/>
                <w:color w:val="000000"/>
                <w:lang w:eastAsia="en-GB"/>
              </w:rPr>
            </w:pPr>
            <w:r w:rsidRPr="00593E7F">
              <w:rPr>
                <w:rFonts w:ascii="Calibri" w:eastAsia="Times New Roman" w:hAnsi="Calibri" w:cs="Calibri"/>
                <w:b/>
                <w:bCs/>
                <w:color w:val="000000"/>
                <w:lang w:eastAsia="en-GB"/>
              </w:rPr>
              <w:t> </w:t>
            </w:r>
          </w:p>
        </w:tc>
        <w:tc>
          <w:tcPr>
            <w:tcW w:w="844" w:type="dxa"/>
            <w:shd w:val="clear" w:color="000000" w:fill="8497B0"/>
            <w:noWrap/>
            <w:vAlign w:val="bottom"/>
            <w:hideMark/>
          </w:tcPr>
          <w:p w14:paraId="19F59B05" w14:textId="77777777" w:rsidR="00593E7F" w:rsidRPr="00593E7F" w:rsidRDefault="00593E7F" w:rsidP="00DC54F7">
            <w:pPr>
              <w:spacing w:after="0" w:line="240" w:lineRule="auto"/>
              <w:jc w:val="both"/>
              <w:rPr>
                <w:rFonts w:ascii="Calibri" w:eastAsia="Times New Roman" w:hAnsi="Calibri" w:cs="Calibri"/>
                <w:b/>
                <w:bCs/>
                <w:color w:val="FFFFFF"/>
                <w:lang w:eastAsia="en-GB"/>
              </w:rPr>
            </w:pPr>
            <w:r w:rsidRPr="00593E7F">
              <w:rPr>
                <w:rFonts w:ascii="Calibri" w:eastAsia="Times New Roman" w:hAnsi="Calibri" w:cs="Calibri"/>
                <w:b/>
                <w:bCs/>
                <w:color w:val="FFFFFF"/>
                <w:lang w:eastAsia="en-GB"/>
              </w:rPr>
              <w:t>Rate</w:t>
            </w:r>
          </w:p>
        </w:tc>
        <w:tc>
          <w:tcPr>
            <w:tcW w:w="1065" w:type="dxa"/>
            <w:shd w:val="clear" w:color="000000" w:fill="8497B0"/>
            <w:noWrap/>
            <w:vAlign w:val="bottom"/>
            <w:hideMark/>
          </w:tcPr>
          <w:p w14:paraId="7E48D8B1" w14:textId="77777777" w:rsidR="00593E7F" w:rsidRPr="00593E7F" w:rsidRDefault="00593E7F" w:rsidP="00DC54F7">
            <w:pPr>
              <w:spacing w:after="0" w:line="240" w:lineRule="auto"/>
              <w:jc w:val="both"/>
              <w:rPr>
                <w:rFonts w:ascii="Calibri" w:eastAsia="Times New Roman" w:hAnsi="Calibri" w:cs="Calibri"/>
                <w:b/>
                <w:bCs/>
                <w:color w:val="FFFFFF"/>
                <w:lang w:eastAsia="en-GB"/>
              </w:rPr>
            </w:pPr>
            <w:r w:rsidRPr="00593E7F">
              <w:rPr>
                <w:rFonts w:ascii="Calibri" w:eastAsia="Times New Roman" w:hAnsi="Calibri" w:cs="Calibri"/>
                <w:b/>
                <w:bCs/>
                <w:color w:val="FFFFFF"/>
                <w:lang w:eastAsia="en-GB"/>
              </w:rPr>
              <w:t>Deaths</w:t>
            </w:r>
          </w:p>
        </w:tc>
        <w:tc>
          <w:tcPr>
            <w:tcW w:w="1065" w:type="dxa"/>
            <w:shd w:val="clear" w:color="000000" w:fill="8497B0"/>
            <w:noWrap/>
            <w:vAlign w:val="bottom"/>
            <w:hideMark/>
          </w:tcPr>
          <w:p w14:paraId="4BAE0240" w14:textId="77777777" w:rsidR="00593E7F" w:rsidRPr="00593E7F" w:rsidRDefault="00593E7F" w:rsidP="00DC54F7">
            <w:pPr>
              <w:spacing w:after="0" w:line="240" w:lineRule="auto"/>
              <w:jc w:val="both"/>
              <w:rPr>
                <w:rFonts w:ascii="Calibri" w:eastAsia="Times New Roman" w:hAnsi="Calibri" w:cs="Calibri"/>
                <w:b/>
                <w:bCs/>
                <w:color w:val="FFFFFF"/>
                <w:lang w:eastAsia="en-GB"/>
              </w:rPr>
            </w:pPr>
            <w:r w:rsidRPr="00593E7F">
              <w:rPr>
                <w:rFonts w:ascii="Calibri" w:eastAsia="Times New Roman" w:hAnsi="Calibri" w:cs="Calibri"/>
                <w:b/>
                <w:bCs/>
                <w:color w:val="FFFFFF"/>
                <w:lang w:eastAsia="en-GB"/>
              </w:rPr>
              <w:t>Rate</w:t>
            </w:r>
          </w:p>
        </w:tc>
        <w:tc>
          <w:tcPr>
            <w:tcW w:w="844" w:type="dxa"/>
            <w:shd w:val="clear" w:color="000000" w:fill="8497B0"/>
            <w:noWrap/>
            <w:vAlign w:val="bottom"/>
            <w:hideMark/>
          </w:tcPr>
          <w:p w14:paraId="6D992624" w14:textId="77777777" w:rsidR="00593E7F" w:rsidRPr="00593E7F" w:rsidRDefault="00593E7F" w:rsidP="00DC54F7">
            <w:pPr>
              <w:spacing w:after="0" w:line="240" w:lineRule="auto"/>
              <w:jc w:val="both"/>
              <w:rPr>
                <w:rFonts w:ascii="Calibri" w:eastAsia="Times New Roman" w:hAnsi="Calibri" w:cs="Calibri"/>
                <w:b/>
                <w:bCs/>
                <w:color w:val="FFFFFF"/>
                <w:lang w:eastAsia="en-GB"/>
              </w:rPr>
            </w:pPr>
            <w:r w:rsidRPr="00593E7F">
              <w:rPr>
                <w:rFonts w:ascii="Calibri" w:eastAsia="Times New Roman" w:hAnsi="Calibri" w:cs="Calibri"/>
                <w:b/>
                <w:bCs/>
                <w:color w:val="FFFFFF"/>
                <w:lang w:eastAsia="en-GB"/>
              </w:rPr>
              <w:t>%</w:t>
            </w:r>
          </w:p>
        </w:tc>
        <w:tc>
          <w:tcPr>
            <w:tcW w:w="1065" w:type="dxa"/>
            <w:shd w:val="clear" w:color="000000" w:fill="8497B0"/>
            <w:noWrap/>
            <w:vAlign w:val="bottom"/>
            <w:hideMark/>
          </w:tcPr>
          <w:p w14:paraId="27592B91" w14:textId="77777777" w:rsidR="00593E7F" w:rsidRPr="00593E7F" w:rsidRDefault="00593E7F" w:rsidP="00DC54F7">
            <w:pPr>
              <w:spacing w:after="0" w:line="240" w:lineRule="auto"/>
              <w:jc w:val="both"/>
              <w:rPr>
                <w:rFonts w:ascii="Calibri" w:eastAsia="Times New Roman" w:hAnsi="Calibri" w:cs="Calibri"/>
                <w:b/>
                <w:bCs/>
                <w:color w:val="FFFFFF"/>
                <w:lang w:eastAsia="en-GB"/>
              </w:rPr>
            </w:pPr>
            <w:r w:rsidRPr="00593E7F">
              <w:rPr>
                <w:rFonts w:ascii="Calibri" w:eastAsia="Times New Roman" w:hAnsi="Calibri" w:cs="Calibri"/>
                <w:b/>
                <w:bCs/>
                <w:color w:val="FFFFFF"/>
                <w:lang w:eastAsia="en-GB"/>
              </w:rPr>
              <w:t>Rate</w:t>
            </w:r>
          </w:p>
        </w:tc>
        <w:tc>
          <w:tcPr>
            <w:tcW w:w="844" w:type="dxa"/>
            <w:shd w:val="clear" w:color="000000" w:fill="8497B0"/>
            <w:noWrap/>
            <w:vAlign w:val="bottom"/>
            <w:hideMark/>
          </w:tcPr>
          <w:p w14:paraId="22E91027" w14:textId="77777777" w:rsidR="00593E7F" w:rsidRPr="00593E7F" w:rsidRDefault="00593E7F" w:rsidP="00DC54F7">
            <w:pPr>
              <w:spacing w:after="0" w:line="240" w:lineRule="auto"/>
              <w:jc w:val="both"/>
              <w:rPr>
                <w:rFonts w:ascii="Calibri" w:eastAsia="Times New Roman" w:hAnsi="Calibri" w:cs="Calibri"/>
                <w:b/>
                <w:bCs/>
                <w:color w:val="FFFFFF"/>
                <w:lang w:eastAsia="en-GB"/>
              </w:rPr>
            </w:pPr>
            <w:r w:rsidRPr="00593E7F">
              <w:rPr>
                <w:rFonts w:ascii="Calibri" w:eastAsia="Times New Roman" w:hAnsi="Calibri" w:cs="Calibri"/>
                <w:b/>
                <w:bCs/>
                <w:color w:val="FFFFFF"/>
                <w:lang w:eastAsia="en-GB"/>
              </w:rPr>
              <w:t>%</w:t>
            </w:r>
          </w:p>
        </w:tc>
      </w:tr>
      <w:tr w:rsidR="00593E7F" w:rsidRPr="00593E7F" w14:paraId="392FED48" w14:textId="77777777" w:rsidTr="00387321">
        <w:trPr>
          <w:trHeight w:val="280"/>
        </w:trPr>
        <w:tc>
          <w:tcPr>
            <w:tcW w:w="954" w:type="dxa"/>
            <w:shd w:val="clear" w:color="000000" w:fill="F2F2F2"/>
            <w:noWrap/>
            <w:vAlign w:val="center"/>
            <w:hideMark/>
          </w:tcPr>
          <w:p w14:paraId="1B9F3720"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Female</w:t>
            </w:r>
          </w:p>
        </w:tc>
        <w:tc>
          <w:tcPr>
            <w:tcW w:w="1890" w:type="dxa"/>
            <w:shd w:val="clear" w:color="000000" w:fill="F2F2F2"/>
            <w:noWrap/>
            <w:vAlign w:val="center"/>
            <w:hideMark/>
          </w:tcPr>
          <w:p w14:paraId="46127D79"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Cardiff</w:t>
            </w:r>
          </w:p>
        </w:tc>
        <w:tc>
          <w:tcPr>
            <w:tcW w:w="844" w:type="dxa"/>
            <w:shd w:val="clear" w:color="000000" w:fill="F2F2F2"/>
            <w:noWrap/>
            <w:vAlign w:val="center"/>
            <w:hideMark/>
          </w:tcPr>
          <w:p w14:paraId="4E64634C"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195.4</w:t>
            </w:r>
          </w:p>
        </w:tc>
        <w:tc>
          <w:tcPr>
            <w:tcW w:w="1065" w:type="dxa"/>
            <w:shd w:val="clear" w:color="000000" w:fill="F2F2F2"/>
            <w:noWrap/>
            <w:vAlign w:val="center"/>
            <w:hideMark/>
          </w:tcPr>
          <w:p w14:paraId="7C423A5D"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766</w:t>
            </w:r>
          </w:p>
        </w:tc>
        <w:tc>
          <w:tcPr>
            <w:tcW w:w="1065" w:type="dxa"/>
            <w:shd w:val="clear" w:color="000000" w:fill="F2F2F2"/>
            <w:noWrap/>
            <w:vAlign w:val="center"/>
            <w:hideMark/>
          </w:tcPr>
          <w:p w14:paraId="13C6073C"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111.5</w:t>
            </w:r>
          </w:p>
        </w:tc>
        <w:tc>
          <w:tcPr>
            <w:tcW w:w="844" w:type="dxa"/>
            <w:shd w:val="clear" w:color="000000" w:fill="F2F2F2"/>
            <w:noWrap/>
            <w:vAlign w:val="center"/>
            <w:hideMark/>
          </w:tcPr>
          <w:p w14:paraId="2F104F9B"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57.1</w:t>
            </w:r>
          </w:p>
        </w:tc>
        <w:tc>
          <w:tcPr>
            <w:tcW w:w="1065" w:type="dxa"/>
            <w:shd w:val="clear" w:color="000000" w:fill="F2F2F2"/>
            <w:noWrap/>
            <w:vAlign w:val="center"/>
            <w:hideMark/>
          </w:tcPr>
          <w:p w14:paraId="1FCAB9BD"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83.8</w:t>
            </w:r>
          </w:p>
        </w:tc>
        <w:tc>
          <w:tcPr>
            <w:tcW w:w="844" w:type="dxa"/>
            <w:shd w:val="clear" w:color="000000" w:fill="F2F2F2"/>
            <w:noWrap/>
            <w:vAlign w:val="center"/>
            <w:hideMark/>
          </w:tcPr>
          <w:p w14:paraId="3F4445A0"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42.9</w:t>
            </w:r>
          </w:p>
        </w:tc>
      </w:tr>
      <w:tr w:rsidR="00593E7F" w:rsidRPr="00593E7F" w14:paraId="259E720E" w14:textId="77777777" w:rsidTr="00387321">
        <w:trPr>
          <w:trHeight w:val="280"/>
        </w:trPr>
        <w:tc>
          <w:tcPr>
            <w:tcW w:w="954" w:type="dxa"/>
            <w:shd w:val="clear" w:color="auto" w:fill="auto"/>
            <w:noWrap/>
            <w:vAlign w:val="center"/>
            <w:hideMark/>
          </w:tcPr>
          <w:p w14:paraId="7EAEBB0B"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Male</w:t>
            </w:r>
          </w:p>
        </w:tc>
        <w:tc>
          <w:tcPr>
            <w:tcW w:w="1890" w:type="dxa"/>
            <w:shd w:val="clear" w:color="auto" w:fill="auto"/>
            <w:noWrap/>
            <w:vAlign w:val="center"/>
            <w:hideMark/>
          </w:tcPr>
          <w:p w14:paraId="104A97AD"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Cardiff</w:t>
            </w:r>
          </w:p>
        </w:tc>
        <w:tc>
          <w:tcPr>
            <w:tcW w:w="844" w:type="dxa"/>
            <w:shd w:val="clear" w:color="auto" w:fill="auto"/>
            <w:noWrap/>
            <w:vAlign w:val="center"/>
            <w:hideMark/>
          </w:tcPr>
          <w:p w14:paraId="18A972EF"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350.4</w:t>
            </w:r>
          </w:p>
        </w:tc>
        <w:tc>
          <w:tcPr>
            <w:tcW w:w="1065" w:type="dxa"/>
            <w:shd w:val="clear" w:color="auto" w:fill="auto"/>
            <w:noWrap/>
            <w:vAlign w:val="center"/>
            <w:hideMark/>
          </w:tcPr>
          <w:p w14:paraId="37AAFF4F"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1,309</w:t>
            </w:r>
          </w:p>
        </w:tc>
        <w:tc>
          <w:tcPr>
            <w:tcW w:w="1065" w:type="dxa"/>
            <w:shd w:val="clear" w:color="auto" w:fill="auto"/>
            <w:noWrap/>
            <w:vAlign w:val="center"/>
            <w:hideMark/>
          </w:tcPr>
          <w:p w14:paraId="3611544A"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226.6</w:t>
            </w:r>
          </w:p>
        </w:tc>
        <w:tc>
          <w:tcPr>
            <w:tcW w:w="844" w:type="dxa"/>
            <w:shd w:val="clear" w:color="auto" w:fill="auto"/>
            <w:noWrap/>
            <w:vAlign w:val="center"/>
            <w:hideMark/>
          </w:tcPr>
          <w:p w14:paraId="51DB6583"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65.4</w:t>
            </w:r>
          </w:p>
        </w:tc>
        <w:tc>
          <w:tcPr>
            <w:tcW w:w="1065" w:type="dxa"/>
            <w:shd w:val="clear" w:color="auto" w:fill="auto"/>
            <w:noWrap/>
            <w:vAlign w:val="center"/>
            <w:hideMark/>
          </w:tcPr>
          <w:p w14:paraId="68D22921"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123.8</w:t>
            </w:r>
          </w:p>
        </w:tc>
        <w:tc>
          <w:tcPr>
            <w:tcW w:w="844" w:type="dxa"/>
            <w:shd w:val="clear" w:color="auto" w:fill="auto"/>
            <w:noWrap/>
            <w:vAlign w:val="center"/>
            <w:hideMark/>
          </w:tcPr>
          <w:p w14:paraId="6180CF52"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34.6</w:t>
            </w:r>
          </w:p>
        </w:tc>
      </w:tr>
      <w:tr w:rsidR="00593E7F" w:rsidRPr="00593E7F" w14:paraId="656866A8" w14:textId="77777777" w:rsidTr="00387321">
        <w:trPr>
          <w:trHeight w:val="280"/>
        </w:trPr>
        <w:tc>
          <w:tcPr>
            <w:tcW w:w="954" w:type="dxa"/>
            <w:shd w:val="clear" w:color="000000" w:fill="F2F2F2"/>
            <w:noWrap/>
            <w:vAlign w:val="center"/>
            <w:hideMark/>
          </w:tcPr>
          <w:p w14:paraId="4A8A40D4"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Female</w:t>
            </w:r>
          </w:p>
        </w:tc>
        <w:tc>
          <w:tcPr>
            <w:tcW w:w="1890" w:type="dxa"/>
            <w:shd w:val="clear" w:color="000000" w:fill="F2F2F2"/>
            <w:noWrap/>
            <w:vAlign w:val="center"/>
            <w:hideMark/>
          </w:tcPr>
          <w:p w14:paraId="34E5D245"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Vale of Glamorgan</w:t>
            </w:r>
          </w:p>
        </w:tc>
        <w:tc>
          <w:tcPr>
            <w:tcW w:w="844" w:type="dxa"/>
            <w:shd w:val="clear" w:color="000000" w:fill="F2F2F2"/>
            <w:noWrap/>
            <w:vAlign w:val="center"/>
            <w:hideMark/>
          </w:tcPr>
          <w:p w14:paraId="6FC05EF4"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165.6</w:t>
            </w:r>
          </w:p>
        </w:tc>
        <w:tc>
          <w:tcPr>
            <w:tcW w:w="1065" w:type="dxa"/>
            <w:shd w:val="clear" w:color="000000" w:fill="F2F2F2"/>
            <w:noWrap/>
            <w:vAlign w:val="center"/>
            <w:hideMark/>
          </w:tcPr>
          <w:p w14:paraId="4207B831"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326</w:t>
            </w:r>
          </w:p>
        </w:tc>
        <w:tc>
          <w:tcPr>
            <w:tcW w:w="1065" w:type="dxa"/>
            <w:shd w:val="clear" w:color="000000" w:fill="F2F2F2"/>
            <w:noWrap/>
            <w:vAlign w:val="center"/>
            <w:hideMark/>
          </w:tcPr>
          <w:p w14:paraId="3D320BE3"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85.6</w:t>
            </w:r>
          </w:p>
        </w:tc>
        <w:tc>
          <w:tcPr>
            <w:tcW w:w="844" w:type="dxa"/>
            <w:shd w:val="clear" w:color="000000" w:fill="F2F2F2"/>
            <w:noWrap/>
            <w:vAlign w:val="center"/>
            <w:hideMark/>
          </w:tcPr>
          <w:p w14:paraId="43FEE65F"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51.7</w:t>
            </w:r>
          </w:p>
        </w:tc>
        <w:tc>
          <w:tcPr>
            <w:tcW w:w="1065" w:type="dxa"/>
            <w:shd w:val="clear" w:color="000000" w:fill="F2F2F2"/>
            <w:noWrap/>
            <w:vAlign w:val="center"/>
            <w:hideMark/>
          </w:tcPr>
          <w:p w14:paraId="24D89B5D"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80.1</w:t>
            </w:r>
          </w:p>
        </w:tc>
        <w:tc>
          <w:tcPr>
            <w:tcW w:w="844" w:type="dxa"/>
            <w:shd w:val="clear" w:color="000000" w:fill="F2F2F2"/>
            <w:noWrap/>
            <w:vAlign w:val="center"/>
            <w:hideMark/>
          </w:tcPr>
          <w:p w14:paraId="24CCF1E3"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48.3</w:t>
            </w:r>
          </w:p>
        </w:tc>
      </w:tr>
      <w:tr w:rsidR="00593E7F" w:rsidRPr="00593E7F" w14:paraId="3AEA8759" w14:textId="77777777" w:rsidTr="00387321">
        <w:trPr>
          <w:trHeight w:val="280"/>
        </w:trPr>
        <w:tc>
          <w:tcPr>
            <w:tcW w:w="954" w:type="dxa"/>
            <w:shd w:val="clear" w:color="auto" w:fill="auto"/>
            <w:noWrap/>
            <w:vAlign w:val="center"/>
            <w:hideMark/>
          </w:tcPr>
          <w:p w14:paraId="71372906"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Male</w:t>
            </w:r>
          </w:p>
        </w:tc>
        <w:tc>
          <w:tcPr>
            <w:tcW w:w="1890" w:type="dxa"/>
            <w:shd w:val="clear" w:color="auto" w:fill="auto"/>
            <w:noWrap/>
            <w:vAlign w:val="center"/>
            <w:hideMark/>
          </w:tcPr>
          <w:p w14:paraId="6C2DBDE4"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Vale of Glamorgan</w:t>
            </w:r>
          </w:p>
        </w:tc>
        <w:tc>
          <w:tcPr>
            <w:tcW w:w="844" w:type="dxa"/>
            <w:shd w:val="clear" w:color="auto" w:fill="auto"/>
            <w:noWrap/>
            <w:vAlign w:val="center"/>
            <w:hideMark/>
          </w:tcPr>
          <w:p w14:paraId="31DAD7A1"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271.6</w:t>
            </w:r>
          </w:p>
        </w:tc>
        <w:tc>
          <w:tcPr>
            <w:tcW w:w="1065" w:type="dxa"/>
            <w:shd w:val="clear" w:color="auto" w:fill="auto"/>
            <w:noWrap/>
            <w:vAlign w:val="center"/>
            <w:hideMark/>
          </w:tcPr>
          <w:p w14:paraId="338F0272"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486</w:t>
            </w:r>
          </w:p>
        </w:tc>
        <w:tc>
          <w:tcPr>
            <w:tcW w:w="1065" w:type="dxa"/>
            <w:shd w:val="clear" w:color="auto" w:fill="auto"/>
            <w:noWrap/>
            <w:vAlign w:val="center"/>
            <w:hideMark/>
          </w:tcPr>
          <w:p w14:paraId="105DA9C8"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184.7</w:t>
            </w:r>
          </w:p>
        </w:tc>
        <w:tc>
          <w:tcPr>
            <w:tcW w:w="844" w:type="dxa"/>
            <w:shd w:val="clear" w:color="auto" w:fill="auto"/>
            <w:noWrap/>
            <w:vAlign w:val="center"/>
            <w:hideMark/>
          </w:tcPr>
          <w:p w14:paraId="74471361"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67.9</w:t>
            </w:r>
          </w:p>
        </w:tc>
        <w:tc>
          <w:tcPr>
            <w:tcW w:w="1065" w:type="dxa"/>
            <w:shd w:val="clear" w:color="auto" w:fill="auto"/>
            <w:noWrap/>
            <w:vAlign w:val="center"/>
            <w:hideMark/>
          </w:tcPr>
          <w:p w14:paraId="65BF5324"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86.9</w:t>
            </w:r>
          </w:p>
        </w:tc>
        <w:tc>
          <w:tcPr>
            <w:tcW w:w="844" w:type="dxa"/>
            <w:shd w:val="clear" w:color="auto" w:fill="auto"/>
            <w:noWrap/>
            <w:vAlign w:val="center"/>
            <w:hideMark/>
          </w:tcPr>
          <w:p w14:paraId="77E58349"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32.1</w:t>
            </w:r>
          </w:p>
        </w:tc>
      </w:tr>
      <w:tr w:rsidR="00593E7F" w:rsidRPr="00593E7F" w14:paraId="4BE7F653" w14:textId="77777777" w:rsidTr="00387321">
        <w:trPr>
          <w:trHeight w:val="280"/>
        </w:trPr>
        <w:tc>
          <w:tcPr>
            <w:tcW w:w="954" w:type="dxa"/>
            <w:shd w:val="clear" w:color="EDEDED" w:fill="F2F2F2"/>
            <w:noWrap/>
            <w:vAlign w:val="center"/>
            <w:hideMark/>
          </w:tcPr>
          <w:p w14:paraId="525736AD"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Female</w:t>
            </w:r>
          </w:p>
        </w:tc>
        <w:tc>
          <w:tcPr>
            <w:tcW w:w="1890" w:type="dxa"/>
            <w:shd w:val="clear" w:color="EDEDED" w:fill="F2F2F2"/>
            <w:noWrap/>
            <w:vAlign w:val="center"/>
            <w:hideMark/>
          </w:tcPr>
          <w:p w14:paraId="76D9606A"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Wales</w:t>
            </w:r>
          </w:p>
        </w:tc>
        <w:tc>
          <w:tcPr>
            <w:tcW w:w="844" w:type="dxa"/>
            <w:shd w:val="clear" w:color="000000" w:fill="F2F2F2"/>
            <w:noWrap/>
            <w:vAlign w:val="center"/>
            <w:hideMark/>
          </w:tcPr>
          <w:p w14:paraId="0C54ACFC"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206.1</w:t>
            </w:r>
          </w:p>
        </w:tc>
        <w:tc>
          <w:tcPr>
            <w:tcW w:w="1065" w:type="dxa"/>
            <w:shd w:val="clear" w:color="EDEDED" w:fill="F2F2F2"/>
            <w:noWrap/>
            <w:vAlign w:val="center"/>
            <w:hideMark/>
          </w:tcPr>
          <w:p w14:paraId="277CF75F"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9,316</w:t>
            </w:r>
          </w:p>
        </w:tc>
        <w:tc>
          <w:tcPr>
            <w:tcW w:w="1065" w:type="dxa"/>
            <w:shd w:val="clear" w:color="000000" w:fill="F2F2F2"/>
            <w:noWrap/>
            <w:vAlign w:val="center"/>
            <w:hideMark/>
          </w:tcPr>
          <w:p w14:paraId="002AB75B"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118.1</w:t>
            </w:r>
          </w:p>
        </w:tc>
        <w:tc>
          <w:tcPr>
            <w:tcW w:w="844" w:type="dxa"/>
            <w:shd w:val="clear" w:color="EDEDED" w:fill="F2F2F2"/>
            <w:noWrap/>
            <w:vAlign w:val="center"/>
            <w:hideMark/>
          </w:tcPr>
          <w:p w14:paraId="01C8C83F"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57.3</w:t>
            </w:r>
          </w:p>
        </w:tc>
        <w:tc>
          <w:tcPr>
            <w:tcW w:w="1065" w:type="dxa"/>
            <w:shd w:val="clear" w:color="000000" w:fill="F2F2F2"/>
            <w:noWrap/>
            <w:vAlign w:val="center"/>
            <w:hideMark/>
          </w:tcPr>
          <w:p w14:paraId="0EB6D67C" w14:textId="05AA0B6A"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88</w:t>
            </w:r>
            <w:r w:rsidR="001E3AD9">
              <w:rPr>
                <w:rFonts w:ascii="Calibri" w:eastAsia="Times New Roman" w:hAnsi="Calibri" w:cs="Calibri"/>
                <w:color w:val="000000"/>
                <w:lang w:eastAsia="en-GB"/>
              </w:rPr>
              <w:t>.0</w:t>
            </w:r>
          </w:p>
        </w:tc>
        <w:tc>
          <w:tcPr>
            <w:tcW w:w="844" w:type="dxa"/>
            <w:shd w:val="clear" w:color="EDEDED" w:fill="F2F2F2"/>
            <w:noWrap/>
            <w:vAlign w:val="center"/>
            <w:hideMark/>
          </w:tcPr>
          <w:p w14:paraId="174EFA60"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42.7</w:t>
            </w:r>
          </w:p>
        </w:tc>
      </w:tr>
      <w:tr w:rsidR="00593E7F" w:rsidRPr="00593E7F" w14:paraId="7ED685BE" w14:textId="77777777" w:rsidTr="00387321">
        <w:trPr>
          <w:trHeight w:val="280"/>
        </w:trPr>
        <w:tc>
          <w:tcPr>
            <w:tcW w:w="954" w:type="dxa"/>
            <w:shd w:val="clear" w:color="auto" w:fill="auto"/>
            <w:noWrap/>
            <w:vAlign w:val="center"/>
            <w:hideMark/>
          </w:tcPr>
          <w:p w14:paraId="1CE1AE40"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Male</w:t>
            </w:r>
          </w:p>
        </w:tc>
        <w:tc>
          <w:tcPr>
            <w:tcW w:w="1890" w:type="dxa"/>
            <w:shd w:val="clear" w:color="auto" w:fill="auto"/>
            <w:noWrap/>
            <w:vAlign w:val="center"/>
            <w:hideMark/>
          </w:tcPr>
          <w:p w14:paraId="18E69230"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Wales</w:t>
            </w:r>
          </w:p>
        </w:tc>
        <w:tc>
          <w:tcPr>
            <w:tcW w:w="844" w:type="dxa"/>
            <w:shd w:val="clear" w:color="auto" w:fill="auto"/>
            <w:noWrap/>
            <w:vAlign w:val="center"/>
            <w:hideMark/>
          </w:tcPr>
          <w:p w14:paraId="6082F31C"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330.5</w:t>
            </w:r>
          </w:p>
        </w:tc>
        <w:tc>
          <w:tcPr>
            <w:tcW w:w="1065" w:type="dxa"/>
            <w:shd w:val="clear" w:color="auto" w:fill="auto"/>
            <w:noWrap/>
            <w:vAlign w:val="center"/>
            <w:hideMark/>
          </w:tcPr>
          <w:p w14:paraId="1AB55171"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14,124</w:t>
            </w:r>
          </w:p>
        </w:tc>
        <w:tc>
          <w:tcPr>
            <w:tcW w:w="1065" w:type="dxa"/>
            <w:shd w:val="clear" w:color="auto" w:fill="auto"/>
            <w:noWrap/>
            <w:vAlign w:val="center"/>
            <w:hideMark/>
          </w:tcPr>
          <w:p w14:paraId="39020E7A"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223.9</w:t>
            </w:r>
          </w:p>
        </w:tc>
        <w:tc>
          <w:tcPr>
            <w:tcW w:w="844" w:type="dxa"/>
            <w:shd w:val="clear" w:color="auto" w:fill="auto"/>
            <w:noWrap/>
            <w:vAlign w:val="center"/>
            <w:hideMark/>
          </w:tcPr>
          <w:p w14:paraId="1EF24187"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67.5</w:t>
            </w:r>
          </w:p>
        </w:tc>
        <w:tc>
          <w:tcPr>
            <w:tcW w:w="1065" w:type="dxa"/>
            <w:shd w:val="clear" w:color="auto" w:fill="auto"/>
            <w:noWrap/>
            <w:vAlign w:val="center"/>
            <w:hideMark/>
          </w:tcPr>
          <w:p w14:paraId="4EC89E66"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106.6</w:t>
            </w:r>
          </w:p>
        </w:tc>
        <w:tc>
          <w:tcPr>
            <w:tcW w:w="844" w:type="dxa"/>
            <w:shd w:val="clear" w:color="auto" w:fill="auto"/>
            <w:noWrap/>
            <w:vAlign w:val="center"/>
            <w:hideMark/>
          </w:tcPr>
          <w:p w14:paraId="01719E67" w14:textId="77777777" w:rsidR="00593E7F" w:rsidRPr="00593E7F" w:rsidRDefault="00593E7F" w:rsidP="00DC54F7">
            <w:pPr>
              <w:spacing w:after="0" w:line="240" w:lineRule="auto"/>
              <w:jc w:val="both"/>
              <w:rPr>
                <w:rFonts w:ascii="Calibri" w:eastAsia="Times New Roman" w:hAnsi="Calibri" w:cs="Calibri"/>
                <w:color w:val="000000"/>
                <w:lang w:eastAsia="en-GB"/>
              </w:rPr>
            </w:pPr>
            <w:r w:rsidRPr="00593E7F">
              <w:rPr>
                <w:rFonts w:ascii="Calibri" w:eastAsia="Times New Roman" w:hAnsi="Calibri" w:cs="Calibri"/>
                <w:color w:val="000000"/>
                <w:lang w:eastAsia="en-GB"/>
              </w:rPr>
              <w:t>32.5</w:t>
            </w:r>
          </w:p>
        </w:tc>
      </w:tr>
    </w:tbl>
    <w:p w14:paraId="445452CE" w14:textId="72C7FE36" w:rsidR="00B4663C" w:rsidRPr="009E76BB" w:rsidRDefault="007C7237" w:rsidP="00DC54F7">
      <w:pPr>
        <w:spacing w:after="0" w:line="240" w:lineRule="auto"/>
        <w:jc w:val="both"/>
        <w:rPr>
          <w:rFonts w:ascii="Arial" w:eastAsia="Times New Roman" w:hAnsi="Arial" w:cs="Arial"/>
          <w:sz w:val="20"/>
          <w:szCs w:val="20"/>
          <w:lang w:eastAsia="en-GB"/>
        </w:rPr>
      </w:pPr>
      <w:r w:rsidRPr="009E76BB">
        <w:rPr>
          <w:rFonts w:ascii="Arial" w:eastAsia="Times New Roman" w:hAnsi="Arial" w:cs="Arial"/>
          <w:sz w:val="20"/>
          <w:szCs w:val="20"/>
          <w:lang w:eastAsia="en-GB"/>
        </w:rPr>
        <w:t>Source: Off</w:t>
      </w:r>
      <w:r w:rsidR="005426D0" w:rsidRPr="009E76BB">
        <w:rPr>
          <w:rFonts w:ascii="Arial" w:eastAsia="Times New Roman" w:hAnsi="Arial" w:cs="Arial"/>
          <w:sz w:val="20"/>
          <w:szCs w:val="20"/>
          <w:lang w:eastAsia="en-GB"/>
        </w:rPr>
        <w:t xml:space="preserve">ice of National Statistics </w:t>
      </w:r>
      <w:r w:rsidR="0036369E" w:rsidRPr="009E76BB">
        <w:rPr>
          <w:rFonts w:ascii="Arial" w:eastAsia="Times New Roman" w:hAnsi="Arial" w:cs="Arial"/>
          <w:sz w:val="20"/>
          <w:szCs w:val="20"/>
          <w:lang w:eastAsia="en-GB"/>
        </w:rPr>
        <w:t>– avoidable mortality in the UK</w:t>
      </w:r>
    </w:p>
    <w:p w14:paraId="79C3E30A" w14:textId="77777777" w:rsidR="00D73A8C" w:rsidRPr="009E76BB" w:rsidRDefault="00D73A8C" w:rsidP="00DC54F7">
      <w:pPr>
        <w:spacing w:after="0" w:line="240" w:lineRule="auto"/>
        <w:jc w:val="both"/>
        <w:rPr>
          <w:rFonts w:ascii="Arial" w:hAnsi="Arial" w:cs="Arial"/>
          <w:b/>
          <w:sz w:val="20"/>
          <w:szCs w:val="20"/>
          <w:lang w:val="en" w:eastAsia="en-GB"/>
        </w:rPr>
      </w:pPr>
    </w:p>
    <w:p w14:paraId="2B872EBC" w14:textId="77777777" w:rsidR="00D73A8C" w:rsidRDefault="00D73A8C" w:rsidP="00DC54F7">
      <w:pPr>
        <w:spacing w:after="0" w:line="240" w:lineRule="auto"/>
        <w:jc w:val="both"/>
        <w:rPr>
          <w:rFonts w:ascii="Arial" w:hAnsi="Arial" w:cs="Arial"/>
          <w:b/>
          <w:sz w:val="26"/>
          <w:szCs w:val="26"/>
          <w:lang w:val="en" w:eastAsia="en-GB"/>
        </w:rPr>
      </w:pPr>
    </w:p>
    <w:p w14:paraId="103C4F6A" w14:textId="6AE9EF1D" w:rsidR="0060607B" w:rsidRDefault="000044A8" w:rsidP="00DC54F7">
      <w:pPr>
        <w:spacing w:after="0" w:line="240" w:lineRule="auto"/>
        <w:jc w:val="both"/>
        <w:rPr>
          <w:rFonts w:ascii="Arial" w:hAnsi="Arial" w:cs="Arial"/>
          <w:b/>
          <w:sz w:val="26"/>
          <w:szCs w:val="26"/>
          <w:lang w:val="en" w:eastAsia="en-GB"/>
        </w:rPr>
      </w:pPr>
      <w:r w:rsidRPr="00A10850">
        <w:rPr>
          <w:rFonts w:ascii="Arial" w:hAnsi="Arial" w:cs="Arial"/>
          <w:b/>
          <w:sz w:val="26"/>
          <w:szCs w:val="26"/>
          <w:lang w:val="en" w:eastAsia="en-GB"/>
        </w:rPr>
        <w:t>2.</w:t>
      </w:r>
      <w:r w:rsidR="00D3388A" w:rsidRPr="00A10850">
        <w:rPr>
          <w:rFonts w:ascii="Arial" w:hAnsi="Arial" w:cs="Arial"/>
          <w:b/>
          <w:sz w:val="26"/>
          <w:szCs w:val="26"/>
          <w:lang w:val="en" w:eastAsia="en-GB"/>
        </w:rPr>
        <w:t>10</w:t>
      </w:r>
      <w:r w:rsidR="003D522A" w:rsidRPr="00A10850">
        <w:rPr>
          <w:rFonts w:ascii="Arial" w:hAnsi="Arial" w:cs="Arial"/>
          <w:b/>
          <w:sz w:val="26"/>
          <w:szCs w:val="26"/>
          <w:lang w:val="en" w:eastAsia="en-GB"/>
        </w:rPr>
        <w:t xml:space="preserve"> </w:t>
      </w:r>
      <w:r w:rsidR="0060607B" w:rsidRPr="00A10850">
        <w:rPr>
          <w:rFonts w:ascii="Arial" w:hAnsi="Arial" w:cs="Arial"/>
          <w:b/>
          <w:sz w:val="26"/>
          <w:szCs w:val="26"/>
          <w:lang w:val="en" w:eastAsia="en-GB"/>
        </w:rPr>
        <w:t>People with disabilities</w:t>
      </w:r>
    </w:p>
    <w:p w14:paraId="1B89DDCE" w14:textId="130ED65F" w:rsidR="00CA06FB" w:rsidRDefault="00CA06FB" w:rsidP="00DC54F7">
      <w:pPr>
        <w:spacing w:after="0" w:line="240" w:lineRule="auto"/>
        <w:jc w:val="both"/>
        <w:rPr>
          <w:rFonts w:ascii="Arial" w:hAnsi="Arial" w:cs="Arial"/>
          <w:b/>
          <w:sz w:val="26"/>
          <w:szCs w:val="26"/>
          <w:lang w:val="en" w:eastAsia="en-GB"/>
        </w:rPr>
      </w:pPr>
    </w:p>
    <w:p w14:paraId="2BB8C88B" w14:textId="2AD36426" w:rsidR="007635B1" w:rsidRPr="009E76BB" w:rsidRDefault="00D73A8C" w:rsidP="00DC54F7">
      <w:pPr>
        <w:spacing w:after="0" w:line="240" w:lineRule="auto"/>
        <w:contextualSpacing/>
        <w:jc w:val="both"/>
        <w:rPr>
          <w:rFonts w:ascii="Arial" w:hAnsi="Arial" w:cs="Arial"/>
          <w:sz w:val="24"/>
          <w:szCs w:val="24"/>
        </w:rPr>
      </w:pPr>
      <w:r w:rsidRPr="009E76BB">
        <w:rPr>
          <w:rFonts w:ascii="Arial" w:hAnsi="Arial" w:cs="Arial"/>
          <w:sz w:val="24"/>
          <w:szCs w:val="24"/>
        </w:rPr>
        <w:t xml:space="preserve">The National Survey for Wales (NSW) collects self-reported data on the general health and illness among adults. It provides estimates of population characteristics rather than exact measures. </w:t>
      </w:r>
      <w:r w:rsidR="001263C2" w:rsidRPr="009E76BB">
        <w:rPr>
          <w:rFonts w:ascii="Arial" w:hAnsi="Arial" w:cs="Arial"/>
          <w:sz w:val="24"/>
          <w:szCs w:val="24"/>
        </w:rPr>
        <w:t>For the combined year of 2018</w:t>
      </w:r>
      <w:r w:rsidR="005F55B8" w:rsidRPr="009E76BB">
        <w:rPr>
          <w:rFonts w:ascii="Arial" w:hAnsi="Arial" w:cs="Arial"/>
          <w:sz w:val="24"/>
          <w:szCs w:val="24"/>
        </w:rPr>
        <w:t xml:space="preserve"> to </w:t>
      </w:r>
      <w:r w:rsidRPr="009E76BB">
        <w:rPr>
          <w:rFonts w:ascii="Arial" w:hAnsi="Arial" w:cs="Arial"/>
          <w:sz w:val="24"/>
          <w:szCs w:val="24"/>
        </w:rPr>
        <w:t>20</w:t>
      </w:r>
      <w:r w:rsidR="001263C2" w:rsidRPr="009E76BB">
        <w:rPr>
          <w:rFonts w:ascii="Arial" w:hAnsi="Arial" w:cs="Arial"/>
          <w:sz w:val="24"/>
          <w:szCs w:val="24"/>
        </w:rPr>
        <w:t>19 and 2019</w:t>
      </w:r>
      <w:r w:rsidR="005F55B8" w:rsidRPr="009E76BB">
        <w:rPr>
          <w:rFonts w:ascii="Arial" w:hAnsi="Arial" w:cs="Arial"/>
          <w:sz w:val="24"/>
          <w:szCs w:val="24"/>
        </w:rPr>
        <w:t xml:space="preserve"> to </w:t>
      </w:r>
      <w:r w:rsidR="001263C2" w:rsidRPr="009E76BB">
        <w:rPr>
          <w:rFonts w:ascii="Arial" w:hAnsi="Arial" w:cs="Arial"/>
          <w:sz w:val="24"/>
          <w:szCs w:val="24"/>
        </w:rPr>
        <w:t>20</w:t>
      </w:r>
      <w:r w:rsidR="00D648BD" w:rsidRPr="009E76BB">
        <w:rPr>
          <w:rFonts w:ascii="Arial" w:hAnsi="Arial" w:cs="Arial"/>
          <w:sz w:val="24"/>
          <w:szCs w:val="24"/>
        </w:rPr>
        <w:t>20</w:t>
      </w:r>
      <w:r w:rsidR="00333C32" w:rsidRPr="009E76BB">
        <w:rPr>
          <w:rFonts w:ascii="Arial" w:hAnsi="Arial" w:cs="Arial"/>
          <w:sz w:val="24"/>
          <w:szCs w:val="24"/>
        </w:rPr>
        <w:t xml:space="preserve">, </w:t>
      </w:r>
      <w:r w:rsidR="0070364F" w:rsidRPr="009E76BB">
        <w:rPr>
          <w:rFonts w:ascii="Arial" w:hAnsi="Arial" w:cs="Arial"/>
          <w:sz w:val="24"/>
          <w:szCs w:val="24"/>
        </w:rPr>
        <w:t>7.</w:t>
      </w:r>
      <w:r w:rsidR="00957FC5" w:rsidRPr="009E76BB">
        <w:rPr>
          <w:rFonts w:ascii="Arial" w:hAnsi="Arial" w:cs="Arial"/>
          <w:sz w:val="24"/>
          <w:szCs w:val="24"/>
        </w:rPr>
        <w:t>8</w:t>
      </w:r>
      <w:r w:rsidR="0070364F" w:rsidRPr="009E76BB">
        <w:rPr>
          <w:rFonts w:ascii="Arial" w:hAnsi="Arial" w:cs="Arial"/>
          <w:sz w:val="24"/>
          <w:szCs w:val="24"/>
        </w:rPr>
        <w:t xml:space="preserve">% of adults in Cardiff and </w:t>
      </w:r>
      <w:r w:rsidR="008958FE" w:rsidRPr="009E76BB">
        <w:rPr>
          <w:rFonts w:ascii="Arial" w:hAnsi="Arial" w:cs="Arial"/>
          <w:sz w:val="24"/>
          <w:szCs w:val="24"/>
        </w:rPr>
        <w:t xml:space="preserve">7.1% </w:t>
      </w:r>
      <w:r w:rsidR="0005332B" w:rsidRPr="009E76BB">
        <w:rPr>
          <w:rFonts w:ascii="Arial" w:hAnsi="Arial" w:cs="Arial"/>
          <w:sz w:val="24"/>
          <w:szCs w:val="24"/>
        </w:rPr>
        <w:t xml:space="preserve">in the </w:t>
      </w:r>
      <w:r w:rsidR="0070364F" w:rsidRPr="009E76BB">
        <w:rPr>
          <w:rFonts w:ascii="Arial" w:hAnsi="Arial" w:cs="Arial"/>
          <w:sz w:val="24"/>
          <w:szCs w:val="24"/>
        </w:rPr>
        <w:t xml:space="preserve">Vale </w:t>
      </w:r>
      <w:r w:rsidR="008641FE" w:rsidRPr="009E76BB">
        <w:rPr>
          <w:rFonts w:ascii="Arial" w:hAnsi="Arial" w:cs="Arial"/>
          <w:sz w:val="24"/>
          <w:szCs w:val="24"/>
        </w:rPr>
        <w:t>of Glamorgan</w:t>
      </w:r>
      <w:r w:rsidR="0005332B" w:rsidRPr="009E76BB">
        <w:rPr>
          <w:rFonts w:ascii="Arial" w:hAnsi="Arial" w:cs="Arial"/>
          <w:sz w:val="24"/>
          <w:szCs w:val="24"/>
        </w:rPr>
        <w:t xml:space="preserve"> reported being in ‘bad or very bad’ health. </w:t>
      </w:r>
      <w:r w:rsidR="00117EA7" w:rsidRPr="009E76BB">
        <w:rPr>
          <w:rFonts w:ascii="Arial" w:hAnsi="Arial" w:cs="Arial"/>
          <w:sz w:val="24"/>
          <w:szCs w:val="24"/>
        </w:rPr>
        <w:t xml:space="preserve">This was lower than </w:t>
      </w:r>
      <w:r w:rsidR="009305B0" w:rsidRPr="009E76BB">
        <w:rPr>
          <w:rFonts w:ascii="Arial" w:hAnsi="Arial" w:cs="Arial"/>
          <w:sz w:val="24"/>
          <w:szCs w:val="24"/>
        </w:rPr>
        <w:t xml:space="preserve">the average for </w:t>
      </w:r>
      <w:r w:rsidR="00117EA7" w:rsidRPr="009E76BB">
        <w:rPr>
          <w:rFonts w:ascii="Arial" w:hAnsi="Arial" w:cs="Arial"/>
          <w:sz w:val="24"/>
          <w:szCs w:val="24"/>
        </w:rPr>
        <w:t>Wales (8.8%)</w:t>
      </w:r>
      <w:r w:rsidR="009E76BB">
        <w:rPr>
          <w:rFonts w:ascii="Arial" w:hAnsi="Arial" w:cs="Arial"/>
          <w:sz w:val="24"/>
          <w:szCs w:val="24"/>
        </w:rPr>
        <w:t>.</w:t>
      </w:r>
    </w:p>
    <w:p w14:paraId="6A661B43" w14:textId="77777777" w:rsidR="007635B1" w:rsidRDefault="007635B1" w:rsidP="00DC54F7">
      <w:pPr>
        <w:spacing w:after="0" w:line="240" w:lineRule="auto"/>
        <w:contextualSpacing/>
        <w:jc w:val="both"/>
        <w:rPr>
          <w:rFonts w:ascii="Arial" w:hAnsi="Arial" w:cs="Arial"/>
        </w:rPr>
      </w:pPr>
    </w:p>
    <w:p w14:paraId="7CA541E1" w14:textId="77777777" w:rsidR="009E76BB" w:rsidRDefault="009E76BB" w:rsidP="00DC54F7">
      <w:pPr>
        <w:spacing w:after="0" w:line="240" w:lineRule="auto"/>
        <w:contextualSpacing/>
        <w:jc w:val="both"/>
        <w:rPr>
          <w:rFonts w:ascii="Arial" w:hAnsi="Arial" w:cs="Arial"/>
          <w:b/>
          <w:bCs/>
        </w:rPr>
      </w:pPr>
    </w:p>
    <w:p w14:paraId="4807D39C" w14:textId="1D9C635C" w:rsidR="009E76BB" w:rsidRDefault="009E76BB" w:rsidP="00DC54F7">
      <w:pPr>
        <w:jc w:val="both"/>
        <w:rPr>
          <w:rFonts w:ascii="Arial" w:hAnsi="Arial" w:cs="Arial"/>
          <w:b/>
          <w:bCs/>
        </w:rPr>
      </w:pPr>
      <w:r>
        <w:rPr>
          <w:rFonts w:ascii="Arial" w:hAnsi="Arial" w:cs="Arial"/>
          <w:b/>
          <w:bCs/>
        </w:rPr>
        <w:br w:type="page"/>
      </w:r>
    </w:p>
    <w:p w14:paraId="1454CD30" w14:textId="65CF65FB" w:rsidR="0005332B" w:rsidRPr="009E76BB" w:rsidRDefault="008F4406" w:rsidP="00DC54F7">
      <w:pPr>
        <w:spacing w:after="0" w:line="240" w:lineRule="auto"/>
        <w:contextualSpacing/>
        <w:jc w:val="both"/>
        <w:rPr>
          <w:rFonts w:ascii="Arial" w:hAnsi="Arial" w:cs="Arial"/>
          <w:sz w:val="24"/>
          <w:szCs w:val="24"/>
        </w:rPr>
      </w:pPr>
      <w:r w:rsidRPr="009E76BB">
        <w:rPr>
          <w:rFonts w:ascii="Arial" w:hAnsi="Arial" w:cs="Arial"/>
          <w:b/>
          <w:bCs/>
          <w:sz w:val="24"/>
          <w:szCs w:val="24"/>
        </w:rPr>
        <w:lastRenderedPageBreak/>
        <w:t>Figure 2.</w:t>
      </w:r>
      <w:r w:rsidR="00F82C8B" w:rsidRPr="009E76BB">
        <w:rPr>
          <w:rFonts w:ascii="Arial" w:hAnsi="Arial" w:cs="Arial"/>
          <w:b/>
          <w:bCs/>
          <w:sz w:val="24"/>
          <w:szCs w:val="24"/>
        </w:rPr>
        <w:t>8</w:t>
      </w:r>
      <w:r w:rsidRPr="009E76BB">
        <w:rPr>
          <w:rFonts w:ascii="Arial" w:hAnsi="Arial" w:cs="Arial"/>
          <w:b/>
          <w:bCs/>
          <w:sz w:val="24"/>
          <w:szCs w:val="24"/>
        </w:rPr>
        <w:t xml:space="preserve">: </w:t>
      </w:r>
      <w:r w:rsidR="007635B1" w:rsidRPr="009E76BB">
        <w:rPr>
          <w:rFonts w:ascii="Arial" w:hAnsi="Arial" w:cs="Arial"/>
          <w:b/>
          <w:bCs/>
          <w:sz w:val="24"/>
          <w:szCs w:val="24"/>
        </w:rPr>
        <w:t xml:space="preserve">Adult general health by </w:t>
      </w:r>
      <w:r w:rsidR="00567F4B" w:rsidRPr="009E76BB">
        <w:rPr>
          <w:rFonts w:ascii="Arial" w:hAnsi="Arial" w:cs="Arial"/>
          <w:b/>
          <w:bCs/>
          <w:sz w:val="24"/>
          <w:szCs w:val="24"/>
        </w:rPr>
        <w:t>local</w:t>
      </w:r>
      <w:r w:rsidR="007635B1" w:rsidRPr="009E76BB">
        <w:rPr>
          <w:rFonts w:ascii="Arial" w:hAnsi="Arial" w:cs="Arial"/>
          <w:b/>
          <w:bCs/>
          <w:sz w:val="24"/>
          <w:szCs w:val="24"/>
        </w:rPr>
        <w:t xml:space="preserve"> authority, health board and Wales, 2018</w:t>
      </w:r>
      <w:r w:rsidR="00203F43" w:rsidRPr="009E76BB">
        <w:rPr>
          <w:rFonts w:ascii="Arial" w:hAnsi="Arial" w:cs="Arial"/>
          <w:b/>
          <w:bCs/>
          <w:sz w:val="24"/>
          <w:szCs w:val="24"/>
        </w:rPr>
        <w:t xml:space="preserve"> to </w:t>
      </w:r>
      <w:r w:rsidR="007635B1" w:rsidRPr="009E76BB">
        <w:rPr>
          <w:rFonts w:ascii="Arial" w:hAnsi="Arial" w:cs="Arial"/>
          <w:b/>
          <w:bCs/>
          <w:sz w:val="24"/>
          <w:szCs w:val="24"/>
        </w:rPr>
        <w:t xml:space="preserve">2019 </w:t>
      </w:r>
      <w:r w:rsidR="00203F43" w:rsidRPr="009E76BB">
        <w:rPr>
          <w:rFonts w:ascii="Arial" w:hAnsi="Arial" w:cs="Arial"/>
          <w:b/>
          <w:bCs/>
          <w:sz w:val="24"/>
          <w:szCs w:val="24"/>
        </w:rPr>
        <w:t xml:space="preserve">and </w:t>
      </w:r>
      <w:r w:rsidR="007635B1" w:rsidRPr="009E76BB">
        <w:rPr>
          <w:rFonts w:ascii="Arial" w:hAnsi="Arial" w:cs="Arial"/>
          <w:b/>
          <w:bCs/>
          <w:sz w:val="24"/>
          <w:szCs w:val="24"/>
        </w:rPr>
        <w:t>2019</w:t>
      </w:r>
      <w:r w:rsidR="00203F43" w:rsidRPr="009E76BB">
        <w:rPr>
          <w:rFonts w:ascii="Arial" w:hAnsi="Arial" w:cs="Arial"/>
          <w:b/>
          <w:bCs/>
          <w:sz w:val="24"/>
          <w:szCs w:val="24"/>
        </w:rPr>
        <w:t xml:space="preserve"> to </w:t>
      </w:r>
      <w:r w:rsidR="007635B1" w:rsidRPr="009E76BB">
        <w:rPr>
          <w:rFonts w:ascii="Arial" w:hAnsi="Arial" w:cs="Arial"/>
          <w:b/>
          <w:bCs/>
          <w:sz w:val="24"/>
          <w:szCs w:val="24"/>
        </w:rPr>
        <w:t>2020</w:t>
      </w:r>
    </w:p>
    <w:p w14:paraId="387B0B77" w14:textId="298D3674" w:rsidR="009F1027" w:rsidRPr="00D648BD" w:rsidRDefault="00F91D0B" w:rsidP="00DC54F7">
      <w:pPr>
        <w:spacing w:after="0" w:line="240" w:lineRule="auto"/>
        <w:contextualSpacing/>
        <w:jc w:val="both"/>
      </w:pPr>
      <w:r>
        <w:rPr>
          <w:noProof/>
          <w:lang w:eastAsia="en-GB"/>
        </w:rPr>
        <w:drawing>
          <wp:inline distT="0" distB="0" distL="0" distR="0" wp14:anchorId="6C0C71F8" wp14:editId="11582584">
            <wp:extent cx="5573864" cy="2520563"/>
            <wp:effectExtent l="0" t="0" r="8255" b="13335"/>
            <wp:docPr id="2" name="Chart 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9C9F574-9C63-4998-91D4-F3D19E7993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251789F" w14:textId="6726B8F0" w:rsidR="007635B1" w:rsidRPr="009E76BB" w:rsidRDefault="007635B1" w:rsidP="00DC54F7">
      <w:pPr>
        <w:spacing w:after="0" w:line="240" w:lineRule="auto"/>
        <w:jc w:val="both"/>
        <w:rPr>
          <w:rFonts w:ascii="Arial" w:hAnsi="Arial" w:cs="Arial"/>
          <w:sz w:val="20"/>
          <w:szCs w:val="20"/>
        </w:rPr>
      </w:pPr>
      <w:r w:rsidRPr="009E76BB">
        <w:rPr>
          <w:rFonts w:ascii="Arial" w:hAnsi="Arial" w:cs="Arial"/>
          <w:sz w:val="20"/>
          <w:szCs w:val="20"/>
        </w:rPr>
        <w:t xml:space="preserve">Source: StatsWales – National Survey for Wales </w:t>
      </w:r>
    </w:p>
    <w:p w14:paraId="2B0D2502" w14:textId="77777777" w:rsidR="007635B1" w:rsidRPr="00117EA7" w:rsidRDefault="007635B1" w:rsidP="00DC54F7">
      <w:pPr>
        <w:spacing w:after="0" w:line="240" w:lineRule="auto"/>
        <w:contextualSpacing/>
        <w:jc w:val="both"/>
        <w:rPr>
          <w:rFonts w:ascii="Arial" w:hAnsi="Arial" w:cs="Arial"/>
          <w:lang w:val="en-US"/>
        </w:rPr>
      </w:pPr>
    </w:p>
    <w:p w14:paraId="3AFD0EBB" w14:textId="0E40A16D" w:rsidR="00FB28FB" w:rsidRPr="009E76BB" w:rsidRDefault="00B971A9" w:rsidP="00DC54F7">
      <w:pPr>
        <w:spacing w:after="0" w:line="240" w:lineRule="auto"/>
        <w:jc w:val="both"/>
        <w:rPr>
          <w:rFonts w:ascii="Arial" w:hAnsi="Arial" w:cs="Arial"/>
          <w:sz w:val="24"/>
          <w:szCs w:val="24"/>
        </w:rPr>
      </w:pPr>
      <w:r w:rsidRPr="009E76BB">
        <w:rPr>
          <w:rFonts w:ascii="Arial" w:hAnsi="Arial" w:cs="Arial"/>
          <w:sz w:val="24"/>
          <w:szCs w:val="24"/>
        </w:rPr>
        <w:t xml:space="preserve">For Cardiff, </w:t>
      </w:r>
      <w:r w:rsidR="00B41EF1" w:rsidRPr="009E76BB">
        <w:rPr>
          <w:rFonts w:ascii="Arial" w:hAnsi="Arial" w:cs="Arial"/>
          <w:sz w:val="24"/>
          <w:szCs w:val="24"/>
        </w:rPr>
        <w:t>44.8</w:t>
      </w:r>
      <w:r w:rsidR="00A433D1" w:rsidRPr="009E76BB">
        <w:rPr>
          <w:rFonts w:ascii="Arial" w:hAnsi="Arial" w:cs="Arial"/>
          <w:sz w:val="24"/>
          <w:szCs w:val="24"/>
        </w:rPr>
        <w:t>% reported having a longstanding illness</w:t>
      </w:r>
      <w:r w:rsidR="00FA123C" w:rsidRPr="009E76BB">
        <w:rPr>
          <w:rFonts w:ascii="Arial" w:hAnsi="Arial" w:cs="Arial"/>
          <w:sz w:val="24"/>
          <w:szCs w:val="24"/>
        </w:rPr>
        <w:t xml:space="preserve">. </w:t>
      </w:r>
      <w:r w:rsidR="00FB3B24" w:rsidRPr="009E76BB">
        <w:rPr>
          <w:rFonts w:ascii="Arial" w:hAnsi="Arial" w:cs="Arial"/>
          <w:sz w:val="24"/>
          <w:szCs w:val="24"/>
        </w:rPr>
        <w:t>17.5% reported having two or more</w:t>
      </w:r>
      <w:r w:rsidR="00C37A1F" w:rsidRPr="009E76BB">
        <w:rPr>
          <w:rFonts w:ascii="Arial" w:hAnsi="Arial" w:cs="Arial"/>
          <w:sz w:val="24"/>
          <w:szCs w:val="24"/>
        </w:rPr>
        <w:t xml:space="preserve"> longstanding illnesses</w:t>
      </w:r>
      <w:r w:rsidR="001A571C" w:rsidRPr="009E76BB">
        <w:rPr>
          <w:rFonts w:ascii="Arial" w:hAnsi="Arial" w:cs="Arial"/>
          <w:sz w:val="24"/>
          <w:szCs w:val="24"/>
        </w:rPr>
        <w:t xml:space="preserve">, which was significantly lower </w:t>
      </w:r>
      <w:r w:rsidR="00F95718" w:rsidRPr="009E76BB">
        <w:rPr>
          <w:rFonts w:ascii="Arial" w:hAnsi="Arial" w:cs="Arial"/>
          <w:sz w:val="24"/>
          <w:szCs w:val="24"/>
        </w:rPr>
        <w:t>than the average for Wales</w:t>
      </w:r>
      <w:r w:rsidR="00605DE8" w:rsidRPr="009E76BB">
        <w:rPr>
          <w:rFonts w:ascii="Arial" w:hAnsi="Arial" w:cs="Arial"/>
          <w:sz w:val="24"/>
          <w:szCs w:val="24"/>
        </w:rPr>
        <w:t xml:space="preserve"> (19.7%)</w:t>
      </w:r>
      <w:r w:rsidR="00C37A1F" w:rsidRPr="009E76BB">
        <w:rPr>
          <w:rFonts w:ascii="Arial" w:hAnsi="Arial" w:cs="Arial"/>
          <w:sz w:val="24"/>
          <w:szCs w:val="24"/>
        </w:rPr>
        <w:t>.</w:t>
      </w:r>
      <w:r w:rsidR="00C43130" w:rsidRPr="009E76BB">
        <w:rPr>
          <w:rFonts w:ascii="Arial" w:hAnsi="Arial" w:cs="Arial"/>
          <w:sz w:val="24"/>
          <w:szCs w:val="24"/>
        </w:rPr>
        <w:t xml:space="preserve"> </w:t>
      </w:r>
      <w:r w:rsidR="00DD07EE" w:rsidRPr="009E76BB">
        <w:rPr>
          <w:rFonts w:ascii="Arial" w:hAnsi="Arial" w:cs="Arial"/>
          <w:sz w:val="24"/>
          <w:szCs w:val="24"/>
        </w:rPr>
        <w:t>The most commonly reported complaints were, m</w:t>
      </w:r>
      <w:r w:rsidR="00C43130" w:rsidRPr="009E76BB">
        <w:rPr>
          <w:rFonts w:ascii="Arial" w:hAnsi="Arial" w:cs="Arial"/>
          <w:sz w:val="24"/>
          <w:szCs w:val="24"/>
        </w:rPr>
        <w:t>usc</w:t>
      </w:r>
      <w:r w:rsidR="004936BA" w:rsidRPr="009E76BB">
        <w:rPr>
          <w:rFonts w:ascii="Arial" w:hAnsi="Arial" w:cs="Arial"/>
          <w:sz w:val="24"/>
          <w:szCs w:val="24"/>
        </w:rPr>
        <w:t>u</w:t>
      </w:r>
      <w:r w:rsidR="0017525E" w:rsidRPr="009E76BB">
        <w:rPr>
          <w:rFonts w:ascii="Arial" w:hAnsi="Arial" w:cs="Arial"/>
          <w:sz w:val="24"/>
          <w:szCs w:val="24"/>
        </w:rPr>
        <w:t>loskeletal</w:t>
      </w:r>
      <w:r w:rsidR="00E41207" w:rsidRPr="009E76BB">
        <w:rPr>
          <w:rFonts w:ascii="Arial" w:hAnsi="Arial" w:cs="Arial"/>
          <w:sz w:val="24"/>
          <w:szCs w:val="24"/>
        </w:rPr>
        <w:t xml:space="preserve"> disorders</w:t>
      </w:r>
      <w:r w:rsidR="0017525E" w:rsidRPr="009E76BB">
        <w:rPr>
          <w:rFonts w:ascii="Arial" w:hAnsi="Arial" w:cs="Arial"/>
          <w:sz w:val="24"/>
          <w:szCs w:val="24"/>
        </w:rPr>
        <w:t xml:space="preserve"> (15.8%), hea</w:t>
      </w:r>
      <w:r w:rsidR="00992B72" w:rsidRPr="009E76BB">
        <w:rPr>
          <w:rFonts w:ascii="Arial" w:hAnsi="Arial" w:cs="Arial"/>
          <w:sz w:val="24"/>
          <w:szCs w:val="24"/>
        </w:rPr>
        <w:t>rt</w:t>
      </w:r>
      <w:r w:rsidR="006D7F8A" w:rsidRPr="009E76BB">
        <w:rPr>
          <w:rFonts w:ascii="Arial" w:hAnsi="Arial" w:cs="Arial"/>
          <w:sz w:val="24"/>
          <w:szCs w:val="24"/>
        </w:rPr>
        <w:t xml:space="preserve"> and </w:t>
      </w:r>
      <w:r w:rsidR="00992B72" w:rsidRPr="009E76BB">
        <w:rPr>
          <w:rFonts w:ascii="Arial" w:hAnsi="Arial" w:cs="Arial"/>
          <w:sz w:val="24"/>
          <w:szCs w:val="24"/>
        </w:rPr>
        <w:t>circulatory related illnesse</w:t>
      </w:r>
      <w:r w:rsidR="00E41207" w:rsidRPr="009E76BB">
        <w:rPr>
          <w:rFonts w:ascii="Arial" w:hAnsi="Arial" w:cs="Arial"/>
          <w:sz w:val="24"/>
          <w:szCs w:val="24"/>
        </w:rPr>
        <w:t>s (</w:t>
      </w:r>
      <w:r w:rsidR="00C71CA7" w:rsidRPr="009E76BB">
        <w:rPr>
          <w:rFonts w:ascii="Arial" w:hAnsi="Arial" w:cs="Arial"/>
          <w:sz w:val="24"/>
          <w:szCs w:val="24"/>
        </w:rPr>
        <w:t>12%) and mental health disorders (</w:t>
      </w:r>
      <w:r w:rsidR="00DD07EE" w:rsidRPr="009E76BB">
        <w:rPr>
          <w:rFonts w:ascii="Arial" w:hAnsi="Arial" w:cs="Arial"/>
          <w:sz w:val="24"/>
          <w:szCs w:val="24"/>
        </w:rPr>
        <w:t>9.3%).</w:t>
      </w:r>
    </w:p>
    <w:p w14:paraId="2A144442" w14:textId="668B666D" w:rsidR="004936BA" w:rsidRPr="009E76BB" w:rsidRDefault="004936BA" w:rsidP="00DC54F7">
      <w:pPr>
        <w:spacing w:after="0" w:line="240" w:lineRule="auto"/>
        <w:jc w:val="both"/>
        <w:rPr>
          <w:rFonts w:ascii="Arial" w:hAnsi="Arial" w:cs="Arial"/>
          <w:sz w:val="24"/>
          <w:szCs w:val="24"/>
        </w:rPr>
      </w:pPr>
    </w:p>
    <w:p w14:paraId="52785797" w14:textId="0089DF18" w:rsidR="004936BA" w:rsidRPr="009E76BB" w:rsidRDefault="004936BA" w:rsidP="00DC54F7">
      <w:pPr>
        <w:spacing w:after="0" w:line="240" w:lineRule="auto"/>
        <w:jc w:val="both"/>
        <w:rPr>
          <w:rFonts w:ascii="Arial" w:hAnsi="Arial" w:cs="Arial"/>
          <w:sz w:val="24"/>
          <w:szCs w:val="24"/>
        </w:rPr>
      </w:pPr>
      <w:r w:rsidRPr="009E76BB">
        <w:rPr>
          <w:rFonts w:ascii="Arial" w:hAnsi="Arial" w:cs="Arial"/>
          <w:sz w:val="24"/>
          <w:szCs w:val="24"/>
        </w:rPr>
        <w:t xml:space="preserve">For the Vale of Glamorgan, 47.8% reported having a longstanding illness and 21.0% reported having two or more longstanding illnesses. The most commonly reported complaints were, musculoskeletal disorders (16.4%), heart and circulatory related illnesses (12.9%) and mental health disorders (10.7%). </w:t>
      </w:r>
    </w:p>
    <w:p w14:paraId="7005FB89" w14:textId="32F7D36F" w:rsidR="004C0414" w:rsidRPr="009E76BB" w:rsidRDefault="00820654" w:rsidP="00DC54F7">
      <w:pPr>
        <w:spacing w:after="0" w:line="240" w:lineRule="auto"/>
        <w:jc w:val="both"/>
        <w:rPr>
          <w:rFonts w:ascii="Arial" w:hAnsi="Arial" w:cs="Arial"/>
          <w:sz w:val="24"/>
          <w:szCs w:val="24"/>
        </w:rPr>
      </w:pPr>
      <w:r w:rsidRPr="009E76BB">
        <w:rPr>
          <w:rFonts w:ascii="Arial" w:hAnsi="Arial" w:cs="Arial"/>
          <w:sz w:val="24"/>
          <w:szCs w:val="24"/>
        </w:rPr>
        <w:t>In Cardiff and Vale University Health Board (16.2</w:t>
      </w:r>
      <w:r w:rsidR="00E91620" w:rsidRPr="009E76BB">
        <w:rPr>
          <w:rFonts w:ascii="Arial" w:hAnsi="Arial" w:cs="Arial"/>
          <w:sz w:val="24"/>
          <w:szCs w:val="24"/>
        </w:rPr>
        <w:t>%) and Cardiff (15.6%)</w:t>
      </w:r>
      <w:r w:rsidR="009F33CA" w:rsidRPr="009E76BB">
        <w:rPr>
          <w:rFonts w:ascii="Arial" w:hAnsi="Arial" w:cs="Arial"/>
          <w:sz w:val="24"/>
          <w:szCs w:val="24"/>
        </w:rPr>
        <w:t>,</w:t>
      </w:r>
      <w:r w:rsidR="00E91620" w:rsidRPr="009E76BB">
        <w:rPr>
          <w:rFonts w:ascii="Arial" w:hAnsi="Arial" w:cs="Arial"/>
          <w:sz w:val="24"/>
          <w:szCs w:val="24"/>
        </w:rPr>
        <w:t xml:space="preserve"> a significantly lower propo</w:t>
      </w:r>
      <w:r w:rsidR="003C0F48" w:rsidRPr="009E76BB">
        <w:rPr>
          <w:rFonts w:ascii="Arial" w:hAnsi="Arial" w:cs="Arial"/>
          <w:sz w:val="24"/>
          <w:szCs w:val="24"/>
        </w:rPr>
        <w:t>r</w:t>
      </w:r>
      <w:r w:rsidR="00E91620" w:rsidRPr="009E76BB">
        <w:rPr>
          <w:rFonts w:ascii="Arial" w:hAnsi="Arial" w:cs="Arial"/>
          <w:sz w:val="24"/>
          <w:szCs w:val="24"/>
        </w:rPr>
        <w:t>tion of adults rep</w:t>
      </w:r>
      <w:r w:rsidR="003C0F48" w:rsidRPr="009E76BB">
        <w:rPr>
          <w:rFonts w:ascii="Arial" w:hAnsi="Arial" w:cs="Arial"/>
          <w:sz w:val="24"/>
          <w:szCs w:val="24"/>
        </w:rPr>
        <w:t xml:space="preserve">orted </w:t>
      </w:r>
      <w:r w:rsidR="00C962AB" w:rsidRPr="009E76BB">
        <w:rPr>
          <w:rFonts w:ascii="Arial" w:hAnsi="Arial" w:cs="Arial"/>
          <w:sz w:val="24"/>
          <w:szCs w:val="24"/>
        </w:rPr>
        <w:t>an illness which limited their activity a lot</w:t>
      </w:r>
      <w:r w:rsidR="00836AA9" w:rsidRPr="009E76BB">
        <w:rPr>
          <w:rFonts w:ascii="Arial" w:hAnsi="Arial" w:cs="Arial"/>
          <w:sz w:val="24"/>
          <w:szCs w:val="24"/>
        </w:rPr>
        <w:t xml:space="preserve"> compared to Wales (18.4%).</w:t>
      </w:r>
      <w:r w:rsidR="004C0414" w:rsidRPr="009E76BB">
        <w:rPr>
          <w:rFonts w:ascii="Arial" w:hAnsi="Arial" w:cs="Arial"/>
          <w:sz w:val="24"/>
          <w:szCs w:val="24"/>
        </w:rPr>
        <w:t xml:space="preserve"> </w:t>
      </w:r>
      <w:r w:rsidR="00AD00AA" w:rsidRPr="009E76BB">
        <w:rPr>
          <w:rFonts w:ascii="Arial" w:hAnsi="Arial" w:cs="Arial"/>
          <w:sz w:val="24"/>
          <w:szCs w:val="24"/>
        </w:rPr>
        <w:t xml:space="preserve">In the Vale of Glamorgan, </w:t>
      </w:r>
      <w:r w:rsidR="004C0414" w:rsidRPr="009E76BB">
        <w:rPr>
          <w:rFonts w:ascii="Arial" w:hAnsi="Arial" w:cs="Arial"/>
          <w:sz w:val="24"/>
          <w:szCs w:val="24"/>
        </w:rPr>
        <w:t>18.8 % report</w:t>
      </w:r>
      <w:r w:rsidR="00BF44D4" w:rsidRPr="009E76BB">
        <w:rPr>
          <w:rFonts w:ascii="Arial" w:hAnsi="Arial" w:cs="Arial"/>
          <w:sz w:val="24"/>
          <w:szCs w:val="24"/>
        </w:rPr>
        <w:t xml:space="preserve">ed an </w:t>
      </w:r>
      <w:r w:rsidR="004C0414" w:rsidRPr="009E76BB">
        <w:rPr>
          <w:rFonts w:ascii="Arial" w:hAnsi="Arial" w:cs="Arial"/>
          <w:sz w:val="24"/>
          <w:szCs w:val="24"/>
        </w:rPr>
        <w:t xml:space="preserve">illness(es) </w:t>
      </w:r>
      <w:r w:rsidR="00EB53C8" w:rsidRPr="009E76BB">
        <w:rPr>
          <w:rFonts w:ascii="Arial" w:hAnsi="Arial" w:cs="Arial"/>
          <w:sz w:val="24"/>
          <w:szCs w:val="24"/>
        </w:rPr>
        <w:t xml:space="preserve">that </w:t>
      </w:r>
      <w:r w:rsidR="004C0414" w:rsidRPr="009E76BB">
        <w:rPr>
          <w:rFonts w:ascii="Arial" w:hAnsi="Arial" w:cs="Arial"/>
          <w:sz w:val="24"/>
          <w:szCs w:val="24"/>
        </w:rPr>
        <w:t>limited their activity a lot</w:t>
      </w:r>
      <w:r w:rsidR="002F675E" w:rsidRPr="009E76BB">
        <w:rPr>
          <w:rFonts w:ascii="Arial" w:hAnsi="Arial" w:cs="Arial"/>
          <w:sz w:val="24"/>
          <w:szCs w:val="24"/>
        </w:rPr>
        <w:t>, which was higher than the average for Wales.</w:t>
      </w:r>
    </w:p>
    <w:p w14:paraId="4D3E800C" w14:textId="16DA7591" w:rsidR="00E221F9" w:rsidRPr="009E76BB" w:rsidRDefault="00E221F9" w:rsidP="00DC54F7">
      <w:pPr>
        <w:spacing w:after="0" w:line="240" w:lineRule="auto"/>
        <w:jc w:val="both"/>
        <w:rPr>
          <w:sz w:val="24"/>
          <w:szCs w:val="24"/>
        </w:rPr>
      </w:pPr>
    </w:p>
    <w:p w14:paraId="51EE51D2" w14:textId="7BE1C164" w:rsidR="00B660EB" w:rsidRPr="009E76BB" w:rsidRDefault="00B92466" w:rsidP="00DC54F7">
      <w:pPr>
        <w:spacing w:after="0" w:line="240" w:lineRule="auto"/>
        <w:jc w:val="both"/>
        <w:rPr>
          <w:rFonts w:ascii="Arial" w:hAnsi="Arial" w:cs="Arial"/>
          <w:b/>
          <w:bCs/>
          <w:sz w:val="24"/>
          <w:szCs w:val="24"/>
        </w:rPr>
      </w:pPr>
      <w:r w:rsidRPr="009E76BB">
        <w:rPr>
          <w:rFonts w:ascii="Arial" w:hAnsi="Arial" w:cs="Arial"/>
          <w:b/>
          <w:bCs/>
          <w:sz w:val="24"/>
          <w:szCs w:val="24"/>
        </w:rPr>
        <w:t>Table</w:t>
      </w:r>
      <w:r w:rsidR="003D65CC" w:rsidRPr="009E76BB">
        <w:rPr>
          <w:rFonts w:ascii="Arial" w:hAnsi="Arial" w:cs="Arial"/>
          <w:b/>
          <w:bCs/>
          <w:sz w:val="24"/>
          <w:szCs w:val="24"/>
        </w:rPr>
        <w:t xml:space="preserve"> 2.</w:t>
      </w:r>
      <w:r w:rsidR="009F33CA" w:rsidRPr="009E76BB">
        <w:rPr>
          <w:rFonts w:ascii="Arial" w:hAnsi="Arial" w:cs="Arial"/>
          <w:b/>
          <w:bCs/>
          <w:sz w:val="24"/>
          <w:szCs w:val="24"/>
        </w:rPr>
        <w:t>1</w:t>
      </w:r>
      <w:r w:rsidR="008B2D50" w:rsidRPr="009E76BB">
        <w:rPr>
          <w:rFonts w:ascii="Arial" w:hAnsi="Arial" w:cs="Arial"/>
          <w:b/>
          <w:bCs/>
          <w:sz w:val="24"/>
          <w:szCs w:val="24"/>
        </w:rPr>
        <w:t>0</w:t>
      </w:r>
      <w:r w:rsidRPr="009E76BB">
        <w:rPr>
          <w:rFonts w:ascii="Arial" w:hAnsi="Arial" w:cs="Arial"/>
          <w:b/>
          <w:bCs/>
          <w:sz w:val="24"/>
          <w:szCs w:val="24"/>
        </w:rPr>
        <w:t xml:space="preserve">: </w:t>
      </w:r>
      <w:r w:rsidR="00C218F0" w:rsidRPr="009E76BB">
        <w:rPr>
          <w:rFonts w:ascii="Arial" w:hAnsi="Arial" w:cs="Arial"/>
          <w:b/>
          <w:bCs/>
          <w:sz w:val="24"/>
          <w:szCs w:val="24"/>
        </w:rPr>
        <w:t>A</w:t>
      </w:r>
      <w:r w:rsidR="00C87555" w:rsidRPr="009E76BB">
        <w:rPr>
          <w:rFonts w:ascii="Arial" w:hAnsi="Arial" w:cs="Arial"/>
          <w:b/>
          <w:bCs/>
          <w:sz w:val="24"/>
          <w:szCs w:val="24"/>
        </w:rPr>
        <w:t xml:space="preserve">dult general health and illness by </w:t>
      </w:r>
      <w:r w:rsidR="00567F4B" w:rsidRPr="009E76BB">
        <w:rPr>
          <w:rFonts w:ascii="Arial" w:hAnsi="Arial" w:cs="Arial"/>
          <w:b/>
          <w:bCs/>
          <w:sz w:val="24"/>
          <w:szCs w:val="24"/>
        </w:rPr>
        <w:t>local</w:t>
      </w:r>
      <w:r w:rsidR="00C87555" w:rsidRPr="009E76BB">
        <w:rPr>
          <w:rFonts w:ascii="Arial" w:hAnsi="Arial" w:cs="Arial"/>
          <w:b/>
          <w:bCs/>
          <w:sz w:val="24"/>
          <w:szCs w:val="24"/>
        </w:rPr>
        <w:t xml:space="preserve"> authority, health board and Wales</w:t>
      </w:r>
      <w:r w:rsidR="00C218F0" w:rsidRPr="009E76BB">
        <w:rPr>
          <w:rFonts w:ascii="Arial" w:hAnsi="Arial" w:cs="Arial"/>
          <w:b/>
          <w:bCs/>
          <w:sz w:val="24"/>
          <w:szCs w:val="24"/>
        </w:rPr>
        <w:t>, 20</w:t>
      </w:r>
      <w:r w:rsidR="00166F17" w:rsidRPr="009E76BB">
        <w:rPr>
          <w:rFonts w:ascii="Arial" w:hAnsi="Arial" w:cs="Arial"/>
          <w:b/>
          <w:bCs/>
          <w:sz w:val="24"/>
          <w:szCs w:val="24"/>
        </w:rPr>
        <w:t>18</w:t>
      </w:r>
      <w:r w:rsidR="006E4E1D" w:rsidRPr="009E76BB">
        <w:rPr>
          <w:rFonts w:ascii="Arial" w:hAnsi="Arial" w:cs="Arial"/>
          <w:b/>
          <w:bCs/>
          <w:sz w:val="24"/>
          <w:szCs w:val="24"/>
        </w:rPr>
        <w:t xml:space="preserve"> to </w:t>
      </w:r>
      <w:r w:rsidR="00166F17" w:rsidRPr="009E76BB">
        <w:rPr>
          <w:rFonts w:ascii="Arial" w:hAnsi="Arial" w:cs="Arial"/>
          <w:b/>
          <w:bCs/>
          <w:sz w:val="24"/>
          <w:szCs w:val="24"/>
        </w:rPr>
        <w:t xml:space="preserve">2019 </w:t>
      </w:r>
      <w:r w:rsidR="006E4E1D" w:rsidRPr="009E76BB">
        <w:rPr>
          <w:rFonts w:ascii="Arial" w:hAnsi="Arial" w:cs="Arial"/>
          <w:b/>
          <w:bCs/>
          <w:sz w:val="24"/>
          <w:szCs w:val="24"/>
        </w:rPr>
        <w:t xml:space="preserve">and </w:t>
      </w:r>
      <w:r w:rsidR="00166F17" w:rsidRPr="009E76BB">
        <w:rPr>
          <w:rFonts w:ascii="Arial" w:hAnsi="Arial" w:cs="Arial"/>
          <w:b/>
          <w:bCs/>
          <w:sz w:val="24"/>
          <w:szCs w:val="24"/>
        </w:rPr>
        <w:t>2019</w:t>
      </w:r>
      <w:r w:rsidR="006E4E1D" w:rsidRPr="009E76BB">
        <w:rPr>
          <w:rFonts w:ascii="Arial" w:hAnsi="Arial" w:cs="Arial"/>
          <w:b/>
          <w:bCs/>
          <w:sz w:val="24"/>
          <w:szCs w:val="24"/>
        </w:rPr>
        <w:t xml:space="preserve"> to </w:t>
      </w:r>
      <w:r w:rsidR="00166F17" w:rsidRPr="009E76BB">
        <w:rPr>
          <w:rFonts w:ascii="Arial" w:hAnsi="Arial" w:cs="Arial"/>
          <w:b/>
          <w:bCs/>
          <w:sz w:val="24"/>
          <w:szCs w:val="24"/>
        </w:rPr>
        <w:t>2020</w:t>
      </w:r>
    </w:p>
    <w:tbl>
      <w:tblPr>
        <w:tblW w:w="9038" w:type="dxa"/>
        <w:tblLook w:val="04A0" w:firstRow="1" w:lastRow="0" w:firstColumn="1" w:lastColumn="0" w:noHBand="0" w:noVBand="1"/>
      </w:tblPr>
      <w:tblGrid>
        <w:gridCol w:w="2254"/>
        <w:gridCol w:w="1695"/>
        <w:gridCol w:w="1695"/>
        <w:gridCol w:w="1695"/>
        <w:gridCol w:w="1699"/>
      </w:tblGrid>
      <w:tr w:rsidR="00B660EB" w:rsidRPr="00B660EB" w14:paraId="49F1DC97" w14:textId="77777777" w:rsidTr="00387321">
        <w:trPr>
          <w:trHeight w:val="268"/>
        </w:trPr>
        <w:tc>
          <w:tcPr>
            <w:tcW w:w="2254" w:type="dxa"/>
            <w:tcBorders>
              <w:top w:val="single" w:sz="4" w:space="0" w:color="auto"/>
              <w:left w:val="single" w:sz="4" w:space="0" w:color="auto"/>
              <w:bottom w:val="nil"/>
              <w:right w:val="nil"/>
            </w:tcBorders>
            <w:shd w:val="clear" w:color="000000" w:fill="8497B0"/>
            <w:noWrap/>
            <w:vAlign w:val="bottom"/>
            <w:hideMark/>
          </w:tcPr>
          <w:p w14:paraId="02DF924D" w14:textId="77777777" w:rsidR="00B660EB" w:rsidRPr="00B660EB" w:rsidRDefault="00B660EB" w:rsidP="00DC54F7">
            <w:pPr>
              <w:spacing w:after="0" w:line="240" w:lineRule="auto"/>
              <w:jc w:val="both"/>
              <w:rPr>
                <w:rFonts w:ascii="Calibri" w:eastAsia="Times New Roman" w:hAnsi="Calibri" w:cs="Times New Roman"/>
                <w:b/>
                <w:bCs/>
                <w:color w:val="FFFFFF"/>
                <w:lang w:eastAsia="en-GB"/>
              </w:rPr>
            </w:pPr>
            <w:r w:rsidRPr="00B660EB">
              <w:rPr>
                <w:rFonts w:ascii="Calibri" w:eastAsia="Times New Roman" w:hAnsi="Calibri" w:cs="Times New Roman"/>
                <w:b/>
                <w:bCs/>
                <w:color w:val="FFFFFF"/>
                <w:lang w:eastAsia="en-GB"/>
              </w:rPr>
              <w:t> </w:t>
            </w:r>
          </w:p>
        </w:tc>
        <w:tc>
          <w:tcPr>
            <w:tcW w:w="6784" w:type="dxa"/>
            <w:gridSpan w:val="4"/>
            <w:tcBorders>
              <w:top w:val="single" w:sz="4" w:space="0" w:color="auto"/>
              <w:left w:val="nil"/>
              <w:bottom w:val="nil"/>
              <w:right w:val="single" w:sz="4" w:space="0" w:color="auto"/>
            </w:tcBorders>
            <w:shd w:val="clear" w:color="000000" w:fill="8497B0"/>
            <w:noWrap/>
            <w:vAlign w:val="bottom"/>
            <w:hideMark/>
          </w:tcPr>
          <w:p w14:paraId="55FC450D" w14:textId="77777777" w:rsidR="00B660EB" w:rsidRPr="00B660EB" w:rsidRDefault="00B660EB" w:rsidP="00DC54F7">
            <w:pPr>
              <w:spacing w:after="0" w:line="240" w:lineRule="auto"/>
              <w:jc w:val="both"/>
              <w:rPr>
                <w:rFonts w:ascii="Calibri" w:eastAsia="Times New Roman" w:hAnsi="Calibri" w:cs="Times New Roman"/>
                <w:b/>
                <w:bCs/>
                <w:color w:val="FFFFFF"/>
                <w:lang w:eastAsia="en-GB"/>
              </w:rPr>
            </w:pPr>
            <w:r w:rsidRPr="00B660EB">
              <w:rPr>
                <w:rFonts w:ascii="Calibri" w:eastAsia="Times New Roman" w:hAnsi="Calibri" w:cs="Times New Roman"/>
                <w:b/>
                <w:bCs/>
                <w:color w:val="FFFFFF"/>
                <w:lang w:eastAsia="en-GB"/>
              </w:rPr>
              <w:t>Longstanding illness</w:t>
            </w:r>
          </w:p>
        </w:tc>
      </w:tr>
      <w:tr w:rsidR="00B660EB" w:rsidRPr="00B660EB" w14:paraId="3367F95C" w14:textId="77777777" w:rsidTr="00387321">
        <w:trPr>
          <w:trHeight w:val="268"/>
        </w:trPr>
        <w:tc>
          <w:tcPr>
            <w:tcW w:w="2254" w:type="dxa"/>
            <w:tcBorders>
              <w:left w:val="single" w:sz="4" w:space="0" w:color="auto"/>
              <w:right w:val="nil"/>
            </w:tcBorders>
            <w:shd w:val="clear" w:color="000000" w:fill="8497B0"/>
            <w:noWrap/>
            <w:vAlign w:val="bottom"/>
            <w:hideMark/>
          </w:tcPr>
          <w:p w14:paraId="5EA867AB" w14:textId="77777777" w:rsidR="00B660EB" w:rsidRPr="00B660EB" w:rsidRDefault="00B660EB" w:rsidP="00DC54F7">
            <w:pPr>
              <w:spacing w:after="0" w:line="240" w:lineRule="auto"/>
              <w:jc w:val="both"/>
              <w:rPr>
                <w:rFonts w:ascii="Calibri" w:eastAsia="Times New Roman" w:hAnsi="Calibri" w:cs="Times New Roman"/>
                <w:b/>
                <w:bCs/>
                <w:color w:val="FFFFFF"/>
                <w:lang w:eastAsia="en-GB"/>
              </w:rPr>
            </w:pPr>
            <w:r w:rsidRPr="00B660EB">
              <w:rPr>
                <w:rFonts w:ascii="Calibri" w:eastAsia="Times New Roman" w:hAnsi="Calibri" w:cs="Times New Roman"/>
                <w:b/>
                <w:bCs/>
                <w:color w:val="FFFFFF"/>
                <w:lang w:eastAsia="en-GB"/>
              </w:rPr>
              <w:t>Area</w:t>
            </w:r>
          </w:p>
        </w:tc>
        <w:tc>
          <w:tcPr>
            <w:tcW w:w="1695" w:type="dxa"/>
            <w:tcBorders>
              <w:left w:val="nil"/>
              <w:right w:val="nil"/>
            </w:tcBorders>
            <w:shd w:val="clear" w:color="000000" w:fill="8497B0"/>
            <w:vAlign w:val="bottom"/>
            <w:hideMark/>
          </w:tcPr>
          <w:p w14:paraId="7D9DEAA7" w14:textId="77777777" w:rsidR="00B660EB" w:rsidRPr="00B660EB" w:rsidRDefault="00B660EB" w:rsidP="00DC54F7">
            <w:pPr>
              <w:spacing w:after="0" w:line="240" w:lineRule="auto"/>
              <w:jc w:val="both"/>
              <w:rPr>
                <w:rFonts w:ascii="Calibri" w:eastAsia="Times New Roman" w:hAnsi="Calibri" w:cs="Times New Roman"/>
                <w:b/>
                <w:bCs/>
                <w:color w:val="FFFFFF"/>
                <w:lang w:eastAsia="en-GB"/>
              </w:rPr>
            </w:pPr>
            <w:r w:rsidRPr="00B660EB">
              <w:rPr>
                <w:rFonts w:ascii="Calibri" w:eastAsia="Times New Roman" w:hAnsi="Calibri" w:cs="Times New Roman"/>
                <w:b/>
                <w:bCs/>
                <w:color w:val="FFFFFF"/>
                <w:lang w:eastAsia="en-GB"/>
              </w:rPr>
              <w:t xml:space="preserve">Any </w:t>
            </w:r>
          </w:p>
        </w:tc>
        <w:tc>
          <w:tcPr>
            <w:tcW w:w="1695" w:type="dxa"/>
            <w:tcBorders>
              <w:left w:val="nil"/>
              <w:right w:val="nil"/>
            </w:tcBorders>
            <w:shd w:val="clear" w:color="000000" w:fill="8497B0"/>
            <w:vAlign w:val="bottom"/>
            <w:hideMark/>
          </w:tcPr>
          <w:p w14:paraId="2E3FF936" w14:textId="77777777" w:rsidR="00B660EB" w:rsidRPr="00B660EB" w:rsidRDefault="00B660EB" w:rsidP="00DC54F7">
            <w:pPr>
              <w:spacing w:after="0" w:line="240" w:lineRule="auto"/>
              <w:jc w:val="both"/>
              <w:rPr>
                <w:rFonts w:ascii="Calibri" w:eastAsia="Times New Roman" w:hAnsi="Calibri" w:cs="Times New Roman"/>
                <w:b/>
                <w:bCs/>
                <w:color w:val="FFFFFF"/>
                <w:lang w:eastAsia="en-GB"/>
              </w:rPr>
            </w:pPr>
            <w:r w:rsidRPr="00B660EB">
              <w:rPr>
                <w:rFonts w:ascii="Calibri" w:eastAsia="Times New Roman" w:hAnsi="Calibri" w:cs="Times New Roman"/>
                <w:b/>
                <w:bCs/>
                <w:color w:val="FFFFFF"/>
                <w:lang w:eastAsia="en-GB"/>
              </w:rPr>
              <w:t xml:space="preserve">2 or more </w:t>
            </w:r>
          </w:p>
        </w:tc>
        <w:tc>
          <w:tcPr>
            <w:tcW w:w="1695" w:type="dxa"/>
            <w:tcBorders>
              <w:left w:val="nil"/>
              <w:right w:val="nil"/>
            </w:tcBorders>
            <w:shd w:val="clear" w:color="000000" w:fill="8497B0"/>
            <w:vAlign w:val="bottom"/>
            <w:hideMark/>
          </w:tcPr>
          <w:p w14:paraId="67485FDC" w14:textId="77777777" w:rsidR="00B660EB" w:rsidRPr="00B660EB" w:rsidRDefault="00B660EB" w:rsidP="00DC54F7">
            <w:pPr>
              <w:spacing w:after="0" w:line="240" w:lineRule="auto"/>
              <w:jc w:val="both"/>
              <w:rPr>
                <w:rFonts w:ascii="Calibri" w:eastAsia="Times New Roman" w:hAnsi="Calibri" w:cs="Times New Roman"/>
                <w:b/>
                <w:bCs/>
                <w:color w:val="FFFFFF"/>
                <w:lang w:eastAsia="en-GB"/>
              </w:rPr>
            </w:pPr>
            <w:r w:rsidRPr="00B660EB">
              <w:rPr>
                <w:rFonts w:ascii="Calibri" w:eastAsia="Times New Roman" w:hAnsi="Calibri" w:cs="Times New Roman"/>
                <w:b/>
                <w:bCs/>
                <w:color w:val="FFFFFF"/>
                <w:lang w:eastAsia="en-GB"/>
              </w:rPr>
              <w:t>Limited at all by</w:t>
            </w:r>
          </w:p>
        </w:tc>
        <w:tc>
          <w:tcPr>
            <w:tcW w:w="1696" w:type="dxa"/>
            <w:tcBorders>
              <w:left w:val="nil"/>
              <w:right w:val="single" w:sz="4" w:space="0" w:color="auto"/>
            </w:tcBorders>
            <w:shd w:val="clear" w:color="000000" w:fill="8497B0"/>
            <w:vAlign w:val="bottom"/>
            <w:hideMark/>
          </w:tcPr>
          <w:p w14:paraId="5E92738E" w14:textId="77777777" w:rsidR="00B660EB" w:rsidRPr="00B660EB" w:rsidRDefault="00B660EB" w:rsidP="00DC54F7">
            <w:pPr>
              <w:spacing w:after="0" w:line="240" w:lineRule="auto"/>
              <w:jc w:val="both"/>
              <w:rPr>
                <w:rFonts w:ascii="Calibri" w:eastAsia="Times New Roman" w:hAnsi="Calibri" w:cs="Times New Roman"/>
                <w:b/>
                <w:bCs/>
                <w:color w:val="FFFFFF"/>
                <w:lang w:eastAsia="en-GB"/>
              </w:rPr>
            </w:pPr>
            <w:r w:rsidRPr="00B660EB">
              <w:rPr>
                <w:rFonts w:ascii="Calibri" w:eastAsia="Times New Roman" w:hAnsi="Calibri" w:cs="Times New Roman"/>
                <w:b/>
                <w:bCs/>
                <w:color w:val="FFFFFF"/>
                <w:lang w:eastAsia="en-GB"/>
              </w:rPr>
              <w:t>Limited a lot by</w:t>
            </w:r>
          </w:p>
        </w:tc>
      </w:tr>
      <w:tr w:rsidR="00B660EB" w:rsidRPr="00B660EB" w14:paraId="62C3EDCC" w14:textId="77777777" w:rsidTr="00387321">
        <w:trPr>
          <w:trHeight w:val="268"/>
        </w:trPr>
        <w:tc>
          <w:tcPr>
            <w:tcW w:w="2254" w:type="dxa"/>
            <w:tcBorders>
              <w:left w:val="single" w:sz="4" w:space="0" w:color="auto"/>
              <w:bottom w:val="single" w:sz="4" w:space="0" w:color="C9C9C9"/>
              <w:right w:val="nil"/>
            </w:tcBorders>
            <w:shd w:val="clear" w:color="EDEDED" w:fill="EDEDED"/>
            <w:noWrap/>
            <w:vAlign w:val="bottom"/>
            <w:hideMark/>
          </w:tcPr>
          <w:p w14:paraId="36D6120B"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 xml:space="preserve">Cardiff </w:t>
            </w:r>
          </w:p>
        </w:tc>
        <w:tc>
          <w:tcPr>
            <w:tcW w:w="1695" w:type="dxa"/>
            <w:tcBorders>
              <w:left w:val="nil"/>
              <w:bottom w:val="single" w:sz="4" w:space="0" w:color="C9C9C9"/>
              <w:right w:val="nil"/>
            </w:tcBorders>
            <w:shd w:val="clear" w:color="EDEDED" w:fill="EDEDED"/>
            <w:noWrap/>
            <w:vAlign w:val="bottom"/>
            <w:hideMark/>
          </w:tcPr>
          <w:p w14:paraId="4D7EFEBF"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44.8</w:t>
            </w:r>
          </w:p>
        </w:tc>
        <w:tc>
          <w:tcPr>
            <w:tcW w:w="1695" w:type="dxa"/>
            <w:tcBorders>
              <w:left w:val="nil"/>
              <w:bottom w:val="single" w:sz="4" w:space="0" w:color="C9C9C9"/>
              <w:right w:val="nil"/>
            </w:tcBorders>
            <w:shd w:val="clear" w:color="EDEDED" w:fill="EDEDED"/>
            <w:noWrap/>
            <w:vAlign w:val="bottom"/>
            <w:hideMark/>
          </w:tcPr>
          <w:p w14:paraId="1BFFBB8F"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17.5</w:t>
            </w:r>
          </w:p>
        </w:tc>
        <w:tc>
          <w:tcPr>
            <w:tcW w:w="1695" w:type="dxa"/>
            <w:tcBorders>
              <w:left w:val="nil"/>
              <w:bottom w:val="single" w:sz="4" w:space="0" w:color="C9C9C9"/>
              <w:right w:val="nil"/>
            </w:tcBorders>
            <w:shd w:val="clear" w:color="EDEDED" w:fill="EDEDED"/>
            <w:noWrap/>
            <w:vAlign w:val="bottom"/>
            <w:hideMark/>
          </w:tcPr>
          <w:p w14:paraId="3CCB0C14"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32.4</w:t>
            </w:r>
          </w:p>
        </w:tc>
        <w:tc>
          <w:tcPr>
            <w:tcW w:w="1696" w:type="dxa"/>
            <w:tcBorders>
              <w:left w:val="nil"/>
              <w:bottom w:val="single" w:sz="4" w:space="0" w:color="C9C9C9"/>
              <w:right w:val="single" w:sz="4" w:space="0" w:color="auto"/>
            </w:tcBorders>
            <w:shd w:val="clear" w:color="EDEDED" w:fill="EDEDED"/>
            <w:noWrap/>
            <w:vAlign w:val="bottom"/>
            <w:hideMark/>
          </w:tcPr>
          <w:p w14:paraId="549B3EC5"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15.6</w:t>
            </w:r>
          </w:p>
        </w:tc>
      </w:tr>
      <w:tr w:rsidR="00B660EB" w:rsidRPr="00B660EB" w14:paraId="637500B3" w14:textId="77777777" w:rsidTr="00387321">
        <w:trPr>
          <w:trHeight w:val="268"/>
        </w:trPr>
        <w:tc>
          <w:tcPr>
            <w:tcW w:w="2254" w:type="dxa"/>
            <w:tcBorders>
              <w:top w:val="single" w:sz="4" w:space="0" w:color="C9C9C9"/>
              <w:left w:val="single" w:sz="4" w:space="0" w:color="auto"/>
              <w:bottom w:val="single" w:sz="4" w:space="0" w:color="C9C9C9"/>
              <w:right w:val="nil"/>
            </w:tcBorders>
            <w:shd w:val="clear" w:color="auto" w:fill="auto"/>
            <w:noWrap/>
            <w:vAlign w:val="bottom"/>
            <w:hideMark/>
          </w:tcPr>
          <w:p w14:paraId="118689F9"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 xml:space="preserve">Vale of Glamorgan </w:t>
            </w:r>
          </w:p>
        </w:tc>
        <w:tc>
          <w:tcPr>
            <w:tcW w:w="1695" w:type="dxa"/>
            <w:tcBorders>
              <w:top w:val="single" w:sz="4" w:space="0" w:color="C9C9C9"/>
              <w:left w:val="nil"/>
              <w:bottom w:val="single" w:sz="4" w:space="0" w:color="C9C9C9"/>
              <w:right w:val="nil"/>
            </w:tcBorders>
            <w:shd w:val="clear" w:color="auto" w:fill="auto"/>
            <w:noWrap/>
            <w:vAlign w:val="bottom"/>
            <w:hideMark/>
          </w:tcPr>
          <w:p w14:paraId="7167C748"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47.8</w:t>
            </w:r>
          </w:p>
        </w:tc>
        <w:tc>
          <w:tcPr>
            <w:tcW w:w="1695" w:type="dxa"/>
            <w:tcBorders>
              <w:top w:val="single" w:sz="4" w:space="0" w:color="C9C9C9"/>
              <w:left w:val="nil"/>
              <w:bottom w:val="single" w:sz="4" w:space="0" w:color="C9C9C9"/>
              <w:right w:val="nil"/>
            </w:tcBorders>
            <w:shd w:val="clear" w:color="auto" w:fill="auto"/>
            <w:noWrap/>
            <w:vAlign w:val="bottom"/>
            <w:hideMark/>
          </w:tcPr>
          <w:p w14:paraId="35550D58"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21.0</w:t>
            </w:r>
          </w:p>
        </w:tc>
        <w:tc>
          <w:tcPr>
            <w:tcW w:w="1695" w:type="dxa"/>
            <w:tcBorders>
              <w:top w:val="single" w:sz="4" w:space="0" w:color="C9C9C9"/>
              <w:left w:val="nil"/>
              <w:bottom w:val="single" w:sz="4" w:space="0" w:color="C9C9C9"/>
              <w:right w:val="nil"/>
            </w:tcBorders>
            <w:shd w:val="clear" w:color="auto" w:fill="auto"/>
            <w:noWrap/>
            <w:vAlign w:val="bottom"/>
            <w:hideMark/>
          </w:tcPr>
          <w:p w14:paraId="1AEDA9EF"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36.6</w:t>
            </w:r>
          </w:p>
        </w:tc>
        <w:tc>
          <w:tcPr>
            <w:tcW w:w="1696" w:type="dxa"/>
            <w:tcBorders>
              <w:top w:val="single" w:sz="4" w:space="0" w:color="C9C9C9"/>
              <w:left w:val="nil"/>
              <w:bottom w:val="single" w:sz="4" w:space="0" w:color="C9C9C9"/>
              <w:right w:val="single" w:sz="4" w:space="0" w:color="auto"/>
            </w:tcBorders>
            <w:shd w:val="clear" w:color="auto" w:fill="auto"/>
            <w:noWrap/>
            <w:vAlign w:val="bottom"/>
            <w:hideMark/>
          </w:tcPr>
          <w:p w14:paraId="2A9CFBCF"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18.8</w:t>
            </w:r>
          </w:p>
        </w:tc>
      </w:tr>
      <w:tr w:rsidR="00B660EB" w:rsidRPr="00B660EB" w14:paraId="2C70CB9A" w14:textId="77777777" w:rsidTr="00387321">
        <w:trPr>
          <w:trHeight w:val="268"/>
        </w:trPr>
        <w:tc>
          <w:tcPr>
            <w:tcW w:w="2254" w:type="dxa"/>
            <w:tcBorders>
              <w:top w:val="single" w:sz="4" w:space="0" w:color="C9C9C9"/>
              <w:left w:val="single" w:sz="4" w:space="0" w:color="auto"/>
              <w:bottom w:val="single" w:sz="4" w:space="0" w:color="C9C9C9"/>
              <w:right w:val="nil"/>
            </w:tcBorders>
            <w:shd w:val="clear" w:color="EDEDED" w:fill="EDEDED"/>
            <w:noWrap/>
            <w:vAlign w:val="bottom"/>
            <w:hideMark/>
          </w:tcPr>
          <w:p w14:paraId="1AA8BE54"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Cardiff and Vale UHB</w:t>
            </w:r>
          </w:p>
        </w:tc>
        <w:tc>
          <w:tcPr>
            <w:tcW w:w="1695" w:type="dxa"/>
            <w:tcBorders>
              <w:top w:val="single" w:sz="4" w:space="0" w:color="C9C9C9"/>
              <w:left w:val="nil"/>
              <w:bottom w:val="single" w:sz="4" w:space="0" w:color="C9C9C9"/>
              <w:right w:val="nil"/>
            </w:tcBorders>
            <w:shd w:val="clear" w:color="EDEDED" w:fill="EDEDED"/>
            <w:noWrap/>
            <w:vAlign w:val="bottom"/>
            <w:hideMark/>
          </w:tcPr>
          <w:p w14:paraId="569A5430"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45.5</w:t>
            </w:r>
          </w:p>
        </w:tc>
        <w:tc>
          <w:tcPr>
            <w:tcW w:w="1695" w:type="dxa"/>
            <w:tcBorders>
              <w:top w:val="single" w:sz="4" w:space="0" w:color="C9C9C9"/>
              <w:left w:val="nil"/>
              <w:bottom w:val="single" w:sz="4" w:space="0" w:color="C9C9C9"/>
              <w:right w:val="nil"/>
            </w:tcBorders>
            <w:shd w:val="clear" w:color="EDEDED" w:fill="EDEDED"/>
            <w:noWrap/>
            <w:vAlign w:val="bottom"/>
            <w:hideMark/>
          </w:tcPr>
          <w:p w14:paraId="799C8DB3"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18.5</w:t>
            </w:r>
          </w:p>
        </w:tc>
        <w:tc>
          <w:tcPr>
            <w:tcW w:w="1695" w:type="dxa"/>
            <w:tcBorders>
              <w:top w:val="single" w:sz="4" w:space="0" w:color="C9C9C9"/>
              <w:left w:val="nil"/>
              <w:bottom w:val="single" w:sz="4" w:space="0" w:color="C9C9C9"/>
              <w:right w:val="nil"/>
            </w:tcBorders>
            <w:shd w:val="clear" w:color="EDEDED" w:fill="EDEDED"/>
            <w:noWrap/>
            <w:vAlign w:val="bottom"/>
            <w:hideMark/>
          </w:tcPr>
          <w:p w14:paraId="05F50B2F"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33.4</w:t>
            </w:r>
          </w:p>
        </w:tc>
        <w:tc>
          <w:tcPr>
            <w:tcW w:w="1696" w:type="dxa"/>
            <w:tcBorders>
              <w:top w:val="single" w:sz="4" w:space="0" w:color="C9C9C9"/>
              <w:left w:val="nil"/>
              <w:bottom w:val="single" w:sz="4" w:space="0" w:color="C9C9C9"/>
              <w:right w:val="single" w:sz="4" w:space="0" w:color="auto"/>
            </w:tcBorders>
            <w:shd w:val="clear" w:color="EDEDED" w:fill="EDEDED"/>
            <w:noWrap/>
            <w:vAlign w:val="bottom"/>
            <w:hideMark/>
          </w:tcPr>
          <w:p w14:paraId="24BAC6FE"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16.2</w:t>
            </w:r>
          </w:p>
        </w:tc>
      </w:tr>
      <w:tr w:rsidR="00B660EB" w:rsidRPr="00B660EB" w14:paraId="518FF9B0" w14:textId="77777777" w:rsidTr="00387321">
        <w:trPr>
          <w:trHeight w:val="268"/>
        </w:trPr>
        <w:tc>
          <w:tcPr>
            <w:tcW w:w="2254" w:type="dxa"/>
            <w:tcBorders>
              <w:top w:val="single" w:sz="4" w:space="0" w:color="C9C9C9"/>
              <w:left w:val="single" w:sz="4" w:space="0" w:color="auto"/>
              <w:bottom w:val="single" w:sz="4" w:space="0" w:color="auto"/>
              <w:right w:val="nil"/>
            </w:tcBorders>
            <w:shd w:val="clear" w:color="auto" w:fill="auto"/>
            <w:noWrap/>
            <w:vAlign w:val="bottom"/>
            <w:hideMark/>
          </w:tcPr>
          <w:p w14:paraId="7E3F97CD"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 xml:space="preserve">Wales </w:t>
            </w:r>
          </w:p>
        </w:tc>
        <w:tc>
          <w:tcPr>
            <w:tcW w:w="1695" w:type="dxa"/>
            <w:tcBorders>
              <w:top w:val="single" w:sz="4" w:space="0" w:color="C9C9C9"/>
              <w:left w:val="nil"/>
              <w:bottom w:val="single" w:sz="4" w:space="0" w:color="auto"/>
              <w:right w:val="nil"/>
            </w:tcBorders>
            <w:shd w:val="clear" w:color="auto" w:fill="auto"/>
            <w:noWrap/>
            <w:vAlign w:val="bottom"/>
            <w:hideMark/>
          </w:tcPr>
          <w:p w14:paraId="68AF90E7"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46.6</w:t>
            </w:r>
          </w:p>
        </w:tc>
        <w:tc>
          <w:tcPr>
            <w:tcW w:w="1695" w:type="dxa"/>
            <w:tcBorders>
              <w:top w:val="single" w:sz="4" w:space="0" w:color="C9C9C9"/>
              <w:left w:val="nil"/>
              <w:bottom w:val="single" w:sz="4" w:space="0" w:color="auto"/>
              <w:right w:val="nil"/>
            </w:tcBorders>
            <w:shd w:val="clear" w:color="auto" w:fill="auto"/>
            <w:noWrap/>
            <w:vAlign w:val="bottom"/>
            <w:hideMark/>
          </w:tcPr>
          <w:p w14:paraId="3256CA75"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19.7</w:t>
            </w:r>
          </w:p>
        </w:tc>
        <w:tc>
          <w:tcPr>
            <w:tcW w:w="1695" w:type="dxa"/>
            <w:tcBorders>
              <w:top w:val="single" w:sz="4" w:space="0" w:color="C9C9C9"/>
              <w:left w:val="nil"/>
              <w:bottom w:val="single" w:sz="4" w:space="0" w:color="auto"/>
              <w:right w:val="nil"/>
            </w:tcBorders>
            <w:shd w:val="clear" w:color="auto" w:fill="auto"/>
            <w:noWrap/>
            <w:vAlign w:val="bottom"/>
            <w:hideMark/>
          </w:tcPr>
          <w:p w14:paraId="46A1AA7E"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34.1</w:t>
            </w:r>
          </w:p>
        </w:tc>
        <w:tc>
          <w:tcPr>
            <w:tcW w:w="1696" w:type="dxa"/>
            <w:tcBorders>
              <w:top w:val="single" w:sz="4" w:space="0" w:color="C9C9C9"/>
              <w:left w:val="nil"/>
              <w:bottom w:val="single" w:sz="4" w:space="0" w:color="auto"/>
              <w:right w:val="single" w:sz="4" w:space="0" w:color="auto"/>
            </w:tcBorders>
            <w:shd w:val="clear" w:color="auto" w:fill="auto"/>
            <w:noWrap/>
            <w:vAlign w:val="bottom"/>
            <w:hideMark/>
          </w:tcPr>
          <w:p w14:paraId="43168242" w14:textId="77777777" w:rsidR="00B660EB" w:rsidRPr="00B660EB" w:rsidRDefault="00B660EB" w:rsidP="00DC54F7">
            <w:pPr>
              <w:spacing w:after="0" w:line="240" w:lineRule="auto"/>
              <w:jc w:val="both"/>
              <w:rPr>
                <w:rFonts w:ascii="Calibri" w:eastAsia="Times New Roman" w:hAnsi="Calibri" w:cs="Times New Roman"/>
                <w:color w:val="000000"/>
                <w:lang w:eastAsia="en-GB"/>
              </w:rPr>
            </w:pPr>
            <w:r w:rsidRPr="00B660EB">
              <w:rPr>
                <w:rFonts w:ascii="Calibri" w:eastAsia="Times New Roman" w:hAnsi="Calibri" w:cs="Times New Roman"/>
                <w:color w:val="000000"/>
                <w:lang w:eastAsia="en-GB"/>
              </w:rPr>
              <w:t>18.4</w:t>
            </w:r>
          </w:p>
        </w:tc>
      </w:tr>
    </w:tbl>
    <w:p w14:paraId="078F5960" w14:textId="7D88AB45" w:rsidR="00DB44C1" w:rsidRPr="009E76BB" w:rsidRDefault="00B92466" w:rsidP="00DC54F7">
      <w:pPr>
        <w:spacing w:after="0" w:line="240" w:lineRule="auto"/>
        <w:jc w:val="both"/>
        <w:rPr>
          <w:rFonts w:ascii="Arial" w:hAnsi="Arial" w:cs="Arial"/>
          <w:sz w:val="20"/>
          <w:szCs w:val="20"/>
        </w:rPr>
      </w:pPr>
      <w:r w:rsidRPr="009E76BB">
        <w:rPr>
          <w:rFonts w:ascii="Arial" w:hAnsi="Arial" w:cs="Arial"/>
          <w:sz w:val="20"/>
          <w:szCs w:val="20"/>
        </w:rPr>
        <w:t xml:space="preserve">Source: </w:t>
      </w:r>
      <w:r w:rsidR="00DB6A8C" w:rsidRPr="009E76BB">
        <w:rPr>
          <w:rFonts w:ascii="Arial" w:hAnsi="Arial" w:cs="Arial"/>
          <w:sz w:val="20"/>
          <w:szCs w:val="20"/>
        </w:rPr>
        <w:t>StatsWales – National Survey for Wales</w:t>
      </w:r>
    </w:p>
    <w:p w14:paraId="1F8E104B" w14:textId="0F6AC582" w:rsidR="00AE17DF" w:rsidRDefault="00AE17DF" w:rsidP="00DC54F7">
      <w:pPr>
        <w:spacing w:after="0" w:line="240" w:lineRule="auto"/>
        <w:jc w:val="both"/>
      </w:pPr>
    </w:p>
    <w:p w14:paraId="0E27CF84" w14:textId="77777777" w:rsidR="00010AFD" w:rsidRDefault="00010AFD" w:rsidP="00DC54F7">
      <w:pPr>
        <w:spacing w:after="0" w:line="240" w:lineRule="auto"/>
        <w:jc w:val="both"/>
      </w:pPr>
    </w:p>
    <w:p w14:paraId="395E8B40" w14:textId="109C9AC5" w:rsidR="00DA3E1C" w:rsidRDefault="0060607B" w:rsidP="00DC54F7">
      <w:pPr>
        <w:spacing w:after="0" w:line="240" w:lineRule="auto"/>
        <w:jc w:val="both"/>
        <w:rPr>
          <w:rFonts w:ascii="Arial" w:hAnsi="Arial" w:cs="Arial"/>
          <w:b/>
          <w:sz w:val="26"/>
          <w:szCs w:val="26"/>
          <w:lang w:val="en" w:eastAsia="en-GB"/>
        </w:rPr>
      </w:pPr>
      <w:r w:rsidRPr="00A10850">
        <w:rPr>
          <w:rFonts w:ascii="Arial" w:hAnsi="Arial" w:cs="Arial"/>
          <w:b/>
          <w:sz w:val="26"/>
          <w:szCs w:val="26"/>
          <w:lang w:val="en" w:eastAsia="en-GB"/>
        </w:rPr>
        <w:t>2.</w:t>
      </w:r>
      <w:r w:rsidR="00450AF8" w:rsidRPr="00A10850">
        <w:rPr>
          <w:rFonts w:ascii="Arial" w:hAnsi="Arial" w:cs="Arial"/>
          <w:b/>
          <w:sz w:val="26"/>
          <w:szCs w:val="26"/>
          <w:lang w:val="en" w:eastAsia="en-GB"/>
        </w:rPr>
        <w:t>1</w:t>
      </w:r>
      <w:r w:rsidR="00D3388A" w:rsidRPr="00A10850">
        <w:rPr>
          <w:rFonts w:ascii="Arial" w:hAnsi="Arial" w:cs="Arial"/>
          <w:b/>
          <w:sz w:val="26"/>
          <w:szCs w:val="26"/>
          <w:lang w:val="en" w:eastAsia="en-GB"/>
        </w:rPr>
        <w:t>1</w:t>
      </w:r>
      <w:r w:rsidRPr="00A10850">
        <w:rPr>
          <w:rFonts w:ascii="Arial" w:hAnsi="Arial" w:cs="Arial"/>
          <w:b/>
          <w:sz w:val="26"/>
          <w:szCs w:val="26"/>
          <w:lang w:val="en" w:eastAsia="en-GB"/>
        </w:rPr>
        <w:t xml:space="preserve"> </w:t>
      </w:r>
      <w:r w:rsidR="00B50F95" w:rsidRPr="00A10850">
        <w:rPr>
          <w:rFonts w:ascii="Arial" w:hAnsi="Arial" w:cs="Arial"/>
          <w:b/>
          <w:sz w:val="26"/>
          <w:szCs w:val="26"/>
          <w:lang w:val="en" w:eastAsia="en-GB"/>
        </w:rPr>
        <w:t>Households</w:t>
      </w:r>
    </w:p>
    <w:p w14:paraId="74B60152" w14:textId="055D8C78" w:rsidR="00891AD1" w:rsidRDefault="00891AD1" w:rsidP="00DC54F7">
      <w:pPr>
        <w:spacing w:after="0" w:line="240" w:lineRule="auto"/>
        <w:jc w:val="both"/>
        <w:rPr>
          <w:rFonts w:ascii="Arial" w:hAnsi="Arial" w:cs="Arial"/>
          <w:b/>
          <w:sz w:val="26"/>
          <w:szCs w:val="26"/>
          <w:lang w:val="en" w:eastAsia="en-GB"/>
        </w:rPr>
      </w:pPr>
    </w:p>
    <w:p w14:paraId="70E29DCD" w14:textId="758E6AEC" w:rsidR="00891AD1" w:rsidRPr="009E76BB" w:rsidRDefault="005B2615" w:rsidP="00DC54F7">
      <w:pPr>
        <w:spacing w:after="0" w:line="240" w:lineRule="auto"/>
        <w:jc w:val="both"/>
        <w:rPr>
          <w:rFonts w:ascii="Arial" w:hAnsi="Arial" w:cs="Arial"/>
          <w:bCs/>
          <w:sz w:val="24"/>
          <w:szCs w:val="24"/>
          <w:lang w:val="en" w:eastAsia="en-GB"/>
        </w:rPr>
      </w:pPr>
      <w:r w:rsidRPr="009E76BB">
        <w:rPr>
          <w:rFonts w:ascii="Arial" w:eastAsia="Times New Roman" w:hAnsi="Arial" w:cs="Arial"/>
          <w:color w:val="000000"/>
          <w:sz w:val="24"/>
          <w:szCs w:val="24"/>
          <w:lang w:eastAsia="en-GB"/>
        </w:rPr>
        <w:t xml:space="preserve">In Cardiff </w:t>
      </w:r>
      <w:r w:rsidR="007635B1" w:rsidRPr="009E76BB">
        <w:rPr>
          <w:rFonts w:ascii="Arial" w:eastAsia="Times New Roman" w:hAnsi="Arial" w:cs="Arial"/>
          <w:color w:val="000000"/>
          <w:sz w:val="24"/>
          <w:szCs w:val="24"/>
          <w:lang w:eastAsia="en-GB"/>
        </w:rPr>
        <w:t xml:space="preserve">and </w:t>
      </w:r>
      <w:r w:rsidRPr="009E76BB">
        <w:rPr>
          <w:rFonts w:ascii="Arial" w:eastAsia="Times New Roman" w:hAnsi="Arial" w:cs="Arial"/>
          <w:color w:val="000000"/>
          <w:sz w:val="24"/>
          <w:szCs w:val="24"/>
          <w:lang w:eastAsia="en-GB"/>
        </w:rPr>
        <w:t>Vale</w:t>
      </w:r>
      <w:r w:rsidR="0069289D" w:rsidRPr="009E76BB">
        <w:rPr>
          <w:rFonts w:ascii="Arial" w:eastAsia="Times New Roman" w:hAnsi="Arial" w:cs="Arial"/>
          <w:color w:val="000000"/>
          <w:sz w:val="24"/>
          <w:szCs w:val="24"/>
          <w:lang w:eastAsia="en-GB"/>
        </w:rPr>
        <w:t xml:space="preserve"> </w:t>
      </w:r>
      <w:r w:rsidRPr="009E76BB">
        <w:rPr>
          <w:rFonts w:ascii="Arial" w:eastAsia="Times New Roman" w:hAnsi="Arial" w:cs="Arial"/>
          <w:color w:val="000000"/>
          <w:sz w:val="24"/>
          <w:szCs w:val="24"/>
          <w:lang w:eastAsia="en-GB"/>
        </w:rPr>
        <w:t>University Health Board</w:t>
      </w:r>
      <w:r w:rsidR="007635B1" w:rsidRPr="009E76BB">
        <w:rPr>
          <w:rFonts w:ascii="Arial" w:eastAsia="Times New Roman" w:hAnsi="Arial" w:cs="Arial"/>
          <w:color w:val="000000"/>
          <w:sz w:val="24"/>
          <w:szCs w:val="24"/>
          <w:lang w:eastAsia="en-GB"/>
        </w:rPr>
        <w:t>,</w:t>
      </w:r>
      <w:r w:rsidRPr="009E76BB">
        <w:rPr>
          <w:rFonts w:ascii="Arial" w:hAnsi="Arial" w:cs="Arial"/>
          <w:bCs/>
          <w:sz w:val="24"/>
          <w:szCs w:val="24"/>
          <w:lang w:val="en" w:eastAsia="en-GB"/>
        </w:rPr>
        <w:t xml:space="preserve"> </w:t>
      </w:r>
      <w:r w:rsidR="0069289D" w:rsidRPr="009E76BB">
        <w:rPr>
          <w:rFonts w:ascii="Arial" w:hAnsi="Arial" w:cs="Arial"/>
          <w:bCs/>
          <w:sz w:val="24"/>
          <w:szCs w:val="24"/>
          <w:lang w:val="en" w:eastAsia="en-GB"/>
        </w:rPr>
        <w:t xml:space="preserve">11.5 </w:t>
      </w:r>
      <w:r w:rsidR="00043697" w:rsidRPr="009E76BB">
        <w:rPr>
          <w:rFonts w:ascii="Arial" w:hAnsi="Arial" w:cs="Arial"/>
          <w:bCs/>
          <w:sz w:val="24"/>
          <w:szCs w:val="24"/>
          <w:lang w:val="en" w:eastAsia="en-GB"/>
        </w:rPr>
        <w:t xml:space="preserve">% </w:t>
      </w:r>
      <w:r w:rsidRPr="009E76BB">
        <w:rPr>
          <w:rFonts w:ascii="Arial" w:hAnsi="Arial" w:cs="Arial"/>
          <w:bCs/>
          <w:sz w:val="24"/>
          <w:szCs w:val="24"/>
          <w:lang w:val="en" w:eastAsia="en-GB"/>
        </w:rPr>
        <w:t xml:space="preserve">of the population aged 65 years and over </w:t>
      </w:r>
      <w:r w:rsidR="00662614" w:rsidRPr="009E76BB">
        <w:rPr>
          <w:rFonts w:ascii="Arial" w:hAnsi="Arial" w:cs="Arial"/>
          <w:bCs/>
          <w:sz w:val="24"/>
          <w:szCs w:val="24"/>
          <w:lang w:val="en" w:eastAsia="en-GB"/>
        </w:rPr>
        <w:t>live alone</w:t>
      </w:r>
      <w:r w:rsidR="00AB2FCE" w:rsidRPr="009E76BB">
        <w:rPr>
          <w:rFonts w:ascii="Arial" w:hAnsi="Arial" w:cs="Arial"/>
          <w:bCs/>
          <w:sz w:val="24"/>
          <w:szCs w:val="24"/>
          <w:lang w:val="en" w:eastAsia="en-GB"/>
        </w:rPr>
        <w:t xml:space="preserve">, which is lower than the average for Wales </w:t>
      </w:r>
      <w:r w:rsidR="009657E6" w:rsidRPr="009E76BB">
        <w:rPr>
          <w:rFonts w:ascii="Arial" w:hAnsi="Arial" w:cs="Arial"/>
          <w:bCs/>
          <w:sz w:val="24"/>
          <w:szCs w:val="24"/>
          <w:lang w:val="en" w:eastAsia="en-GB"/>
        </w:rPr>
        <w:t xml:space="preserve">(13.7%). Within the </w:t>
      </w:r>
      <w:r w:rsidR="009657E6" w:rsidRPr="009E76BB">
        <w:rPr>
          <w:rFonts w:ascii="Arial" w:hAnsi="Arial" w:cs="Arial"/>
          <w:bCs/>
          <w:sz w:val="24"/>
          <w:szCs w:val="24"/>
          <w:lang w:val="en" w:eastAsia="en-GB"/>
        </w:rPr>
        <w:lastRenderedPageBreak/>
        <w:t>health board area, the Vale of Gl</w:t>
      </w:r>
      <w:r w:rsidR="00E24CCF" w:rsidRPr="009E76BB">
        <w:rPr>
          <w:rFonts w:ascii="Arial" w:hAnsi="Arial" w:cs="Arial"/>
          <w:bCs/>
          <w:sz w:val="24"/>
          <w:szCs w:val="24"/>
          <w:lang w:val="en" w:eastAsia="en-GB"/>
        </w:rPr>
        <w:t>amorgan</w:t>
      </w:r>
      <w:r w:rsidR="002C0FC0" w:rsidRPr="009E76BB">
        <w:rPr>
          <w:rFonts w:ascii="Arial" w:hAnsi="Arial" w:cs="Arial"/>
          <w:bCs/>
          <w:sz w:val="24"/>
          <w:szCs w:val="24"/>
          <w:lang w:val="en" w:eastAsia="en-GB"/>
        </w:rPr>
        <w:t xml:space="preserve"> (13.2%)</w:t>
      </w:r>
      <w:r w:rsidR="009657E6" w:rsidRPr="009E76BB">
        <w:rPr>
          <w:rFonts w:ascii="Arial" w:hAnsi="Arial" w:cs="Arial"/>
          <w:bCs/>
          <w:sz w:val="24"/>
          <w:szCs w:val="24"/>
          <w:lang w:val="en" w:eastAsia="en-GB"/>
        </w:rPr>
        <w:t xml:space="preserve"> ha</w:t>
      </w:r>
      <w:r w:rsidR="00F53556" w:rsidRPr="009E76BB">
        <w:rPr>
          <w:rFonts w:ascii="Arial" w:hAnsi="Arial" w:cs="Arial"/>
          <w:bCs/>
          <w:sz w:val="24"/>
          <w:szCs w:val="24"/>
          <w:lang w:val="en" w:eastAsia="en-GB"/>
        </w:rPr>
        <w:t>s</w:t>
      </w:r>
      <w:r w:rsidR="009657E6" w:rsidRPr="009E76BB">
        <w:rPr>
          <w:rFonts w:ascii="Arial" w:hAnsi="Arial" w:cs="Arial"/>
          <w:bCs/>
          <w:sz w:val="24"/>
          <w:szCs w:val="24"/>
          <w:lang w:val="en" w:eastAsia="en-GB"/>
        </w:rPr>
        <w:t xml:space="preserve"> the</w:t>
      </w:r>
      <w:r w:rsidR="005D725A" w:rsidRPr="009E76BB">
        <w:rPr>
          <w:rFonts w:ascii="Arial" w:hAnsi="Arial" w:cs="Arial"/>
          <w:bCs/>
          <w:sz w:val="24"/>
          <w:szCs w:val="24"/>
          <w:lang w:val="en" w:eastAsia="en-GB"/>
        </w:rPr>
        <w:t xml:space="preserve"> highest </w:t>
      </w:r>
      <w:r w:rsidR="002C0FC0" w:rsidRPr="009E76BB">
        <w:rPr>
          <w:rFonts w:ascii="Arial" w:hAnsi="Arial" w:cs="Arial"/>
          <w:bCs/>
          <w:sz w:val="24"/>
          <w:szCs w:val="24"/>
          <w:lang w:val="en" w:eastAsia="en-GB"/>
        </w:rPr>
        <w:t>proportion of its population aged 65 and over that live alone.</w:t>
      </w:r>
    </w:p>
    <w:p w14:paraId="7B10EFA3" w14:textId="53C9CCBB" w:rsidR="00193688" w:rsidRDefault="00193688" w:rsidP="00DC54F7">
      <w:pPr>
        <w:spacing w:after="0" w:line="240" w:lineRule="auto"/>
        <w:jc w:val="both"/>
        <w:rPr>
          <w:rFonts w:ascii="Arial" w:hAnsi="Arial" w:cs="Arial"/>
          <w:lang w:val="en" w:eastAsia="en-GB"/>
        </w:rPr>
      </w:pPr>
    </w:p>
    <w:p w14:paraId="7FC002E3" w14:textId="0BECB716" w:rsidR="001C2A3E" w:rsidRPr="009E76BB" w:rsidRDefault="001C2A3E" w:rsidP="00DC54F7">
      <w:pPr>
        <w:spacing w:after="0" w:line="240" w:lineRule="auto"/>
        <w:jc w:val="both"/>
        <w:rPr>
          <w:rFonts w:ascii="Arial" w:hAnsi="Arial" w:cs="Arial"/>
          <w:b/>
          <w:bCs/>
          <w:sz w:val="24"/>
          <w:szCs w:val="24"/>
        </w:rPr>
      </w:pPr>
      <w:bookmarkStart w:id="7" w:name="_Toc60225125"/>
      <w:r w:rsidRPr="009E76BB">
        <w:rPr>
          <w:rFonts w:ascii="Arial" w:hAnsi="Arial" w:cs="Arial"/>
          <w:b/>
          <w:bCs/>
          <w:sz w:val="24"/>
          <w:szCs w:val="24"/>
        </w:rPr>
        <w:t xml:space="preserve">Table </w:t>
      </w:r>
      <w:r w:rsidR="003D65CC" w:rsidRPr="009E76BB">
        <w:rPr>
          <w:rFonts w:ascii="Arial" w:hAnsi="Arial" w:cs="Arial"/>
          <w:b/>
          <w:bCs/>
          <w:sz w:val="24"/>
          <w:szCs w:val="24"/>
        </w:rPr>
        <w:t>2.</w:t>
      </w:r>
      <w:r w:rsidR="009F33CA" w:rsidRPr="009E76BB">
        <w:rPr>
          <w:rFonts w:ascii="Arial" w:hAnsi="Arial" w:cs="Arial"/>
          <w:b/>
          <w:bCs/>
          <w:sz w:val="24"/>
          <w:szCs w:val="24"/>
        </w:rPr>
        <w:t>1</w:t>
      </w:r>
      <w:r w:rsidR="008B2D50" w:rsidRPr="009E76BB">
        <w:rPr>
          <w:rFonts w:ascii="Arial" w:hAnsi="Arial" w:cs="Arial"/>
          <w:b/>
          <w:bCs/>
          <w:sz w:val="24"/>
          <w:szCs w:val="24"/>
        </w:rPr>
        <w:t>1</w:t>
      </w:r>
      <w:r w:rsidRPr="009E76BB">
        <w:rPr>
          <w:rFonts w:ascii="Arial" w:hAnsi="Arial" w:cs="Arial"/>
          <w:b/>
          <w:bCs/>
          <w:sz w:val="24"/>
          <w:szCs w:val="24"/>
        </w:rPr>
        <w:t xml:space="preserve">: Household composition, number and percentage of one person households, </w:t>
      </w:r>
      <w:r w:rsidR="00567F4B" w:rsidRPr="009E76BB">
        <w:rPr>
          <w:rFonts w:ascii="Arial" w:hAnsi="Arial" w:cs="Arial"/>
          <w:b/>
          <w:bCs/>
          <w:sz w:val="24"/>
          <w:szCs w:val="24"/>
        </w:rPr>
        <w:t>local</w:t>
      </w:r>
      <w:r w:rsidRPr="009E76BB">
        <w:rPr>
          <w:rFonts w:ascii="Arial" w:hAnsi="Arial" w:cs="Arial"/>
          <w:b/>
          <w:bCs/>
          <w:sz w:val="24"/>
          <w:szCs w:val="24"/>
        </w:rPr>
        <w:t xml:space="preserve"> authority, health board and Wales, 2011</w:t>
      </w:r>
      <w:bookmarkEnd w:id="7"/>
    </w:p>
    <w:tbl>
      <w:tblPr>
        <w:tblW w:w="8978" w:type="dxa"/>
        <w:tblLook w:val="04A0" w:firstRow="1" w:lastRow="0" w:firstColumn="1" w:lastColumn="0" w:noHBand="0" w:noVBand="1"/>
      </w:tblPr>
      <w:tblGrid>
        <w:gridCol w:w="2242"/>
        <w:gridCol w:w="1593"/>
        <w:gridCol w:w="1774"/>
        <w:gridCol w:w="1592"/>
        <w:gridCol w:w="1777"/>
      </w:tblGrid>
      <w:tr w:rsidR="008F1D2F" w:rsidRPr="008F1D2F" w14:paraId="3AEF19EA" w14:textId="77777777" w:rsidTr="00387321">
        <w:trPr>
          <w:trHeight w:val="259"/>
        </w:trPr>
        <w:tc>
          <w:tcPr>
            <w:tcW w:w="2242" w:type="dxa"/>
            <w:tcBorders>
              <w:top w:val="single" w:sz="4" w:space="0" w:color="auto"/>
              <w:left w:val="single" w:sz="4" w:space="0" w:color="auto"/>
              <w:right w:val="nil"/>
            </w:tcBorders>
            <w:shd w:val="clear" w:color="000000" w:fill="8497B0"/>
            <w:noWrap/>
            <w:vAlign w:val="bottom"/>
            <w:hideMark/>
          </w:tcPr>
          <w:p w14:paraId="4C3FD158"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 </w:t>
            </w:r>
          </w:p>
        </w:tc>
        <w:tc>
          <w:tcPr>
            <w:tcW w:w="6736" w:type="dxa"/>
            <w:gridSpan w:val="4"/>
            <w:tcBorders>
              <w:top w:val="single" w:sz="4" w:space="0" w:color="auto"/>
              <w:left w:val="nil"/>
              <w:right w:val="single" w:sz="4" w:space="0" w:color="auto"/>
            </w:tcBorders>
            <w:shd w:val="clear" w:color="000000" w:fill="8497B0"/>
            <w:noWrap/>
            <w:vAlign w:val="bottom"/>
            <w:hideMark/>
          </w:tcPr>
          <w:p w14:paraId="474EF3E3" w14:textId="77777777" w:rsidR="008F1D2F" w:rsidRPr="008F1D2F" w:rsidRDefault="008F1D2F" w:rsidP="00DC54F7">
            <w:pPr>
              <w:spacing w:after="0" w:line="240" w:lineRule="auto"/>
              <w:jc w:val="both"/>
              <w:rPr>
                <w:rFonts w:ascii="Calibri" w:eastAsia="Times New Roman" w:hAnsi="Calibri" w:cs="Calibri"/>
                <w:b/>
                <w:bCs/>
                <w:color w:val="FFFFFF"/>
                <w:lang w:eastAsia="en-GB"/>
              </w:rPr>
            </w:pPr>
            <w:r w:rsidRPr="008F1D2F">
              <w:rPr>
                <w:rFonts w:ascii="Calibri" w:eastAsia="Times New Roman" w:hAnsi="Calibri" w:cs="Calibri"/>
                <w:b/>
                <w:bCs/>
                <w:color w:val="FFFFFF"/>
                <w:lang w:eastAsia="en-GB"/>
              </w:rPr>
              <w:t>One Person household</w:t>
            </w:r>
          </w:p>
        </w:tc>
      </w:tr>
      <w:tr w:rsidR="008F1D2F" w:rsidRPr="008F1D2F" w14:paraId="26D45C49" w14:textId="77777777" w:rsidTr="00387321">
        <w:trPr>
          <w:trHeight w:val="259"/>
        </w:trPr>
        <w:tc>
          <w:tcPr>
            <w:tcW w:w="2242" w:type="dxa"/>
            <w:tcBorders>
              <w:top w:val="nil"/>
              <w:left w:val="single" w:sz="4" w:space="0" w:color="auto"/>
              <w:bottom w:val="nil"/>
              <w:right w:val="nil"/>
            </w:tcBorders>
            <w:shd w:val="clear" w:color="000000" w:fill="8497B0"/>
            <w:noWrap/>
            <w:vAlign w:val="bottom"/>
            <w:hideMark/>
          </w:tcPr>
          <w:p w14:paraId="01C206AB"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 </w:t>
            </w:r>
          </w:p>
        </w:tc>
        <w:tc>
          <w:tcPr>
            <w:tcW w:w="3367" w:type="dxa"/>
            <w:gridSpan w:val="2"/>
            <w:tcBorders>
              <w:top w:val="nil"/>
              <w:left w:val="nil"/>
              <w:bottom w:val="nil"/>
              <w:right w:val="nil"/>
            </w:tcBorders>
            <w:shd w:val="clear" w:color="000000" w:fill="8497B0"/>
            <w:vAlign w:val="bottom"/>
            <w:hideMark/>
          </w:tcPr>
          <w:p w14:paraId="0B868DBD" w14:textId="77777777" w:rsidR="008F1D2F" w:rsidRPr="008F1D2F" w:rsidRDefault="008F1D2F" w:rsidP="00DC54F7">
            <w:pPr>
              <w:spacing w:after="0" w:line="240" w:lineRule="auto"/>
              <w:jc w:val="both"/>
              <w:rPr>
                <w:rFonts w:ascii="Calibri" w:eastAsia="Times New Roman" w:hAnsi="Calibri" w:cs="Calibri"/>
                <w:b/>
                <w:bCs/>
                <w:color w:val="FFFFFF"/>
                <w:lang w:eastAsia="en-GB"/>
              </w:rPr>
            </w:pPr>
            <w:r w:rsidRPr="008F1D2F">
              <w:rPr>
                <w:rFonts w:ascii="Calibri" w:eastAsia="Times New Roman" w:hAnsi="Calibri" w:cs="Calibri"/>
                <w:b/>
                <w:bCs/>
                <w:color w:val="FFFFFF"/>
                <w:lang w:eastAsia="en-GB"/>
              </w:rPr>
              <w:t xml:space="preserve">Aged 65 and over </w:t>
            </w:r>
          </w:p>
        </w:tc>
        <w:tc>
          <w:tcPr>
            <w:tcW w:w="3369" w:type="dxa"/>
            <w:gridSpan w:val="2"/>
            <w:tcBorders>
              <w:top w:val="nil"/>
              <w:left w:val="nil"/>
              <w:bottom w:val="nil"/>
              <w:right w:val="single" w:sz="4" w:space="0" w:color="auto"/>
            </w:tcBorders>
            <w:shd w:val="clear" w:color="000000" w:fill="8497B0"/>
            <w:noWrap/>
            <w:vAlign w:val="bottom"/>
            <w:hideMark/>
          </w:tcPr>
          <w:p w14:paraId="43F8474E" w14:textId="7E2A0B66" w:rsidR="008F1D2F" w:rsidRPr="008F1D2F" w:rsidRDefault="00AD2FB1" w:rsidP="00DC54F7">
            <w:pPr>
              <w:spacing w:after="0" w:line="240" w:lineRule="auto"/>
              <w:jc w:val="both"/>
              <w:rPr>
                <w:rFonts w:ascii="Calibri" w:eastAsia="Times New Roman" w:hAnsi="Calibri" w:cs="Calibri"/>
                <w:b/>
                <w:bCs/>
                <w:color w:val="FFFFFF"/>
                <w:lang w:eastAsia="en-GB"/>
              </w:rPr>
            </w:pPr>
            <w:r>
              <w:rPr>
                <w:rFonts w:ascii="Calibri" w:eastAsia="Times New Roman" w:hAnsi="Calibri" w:cs="Calibri"/>
                <w:b/>
                <w:bCs/>
                <w:color w:val="FFFFFF"/>
                <w:lang w:eastAsia="en-GB"/>
              </w:rPr>
              <w:t>Aged under 65 years</w:t>
            </w:r>
          </w:p>
        </w:tc>
      </w:tr>
      <w:tr w:rsidR="008F1D2F" w:rsidRPr="008F1D2F" w14:paraId="7A4F4733" w14:textId="77777777" w:rsidTr="00387321">
        <w:trPr>
          <w:trHeight w:val="259"/>
        </w:trPr>
        <w:tc>
          <w:tcPr>
            <w:tcW w:w="2242" w:type="dxa"/>
            <w:tcBorders>
              <w:left w:val="single" w:sz="4" w:space="0" w:color="auto"/>
              <w:right w:val="nil"/>
            </w:tcBorders>
            <w:shd w:val="clear" w:color="000000" w:fill="8497B0"/>
            <w:noWrap/>
            <w:vAlign w:val="bottom"/>
            <w:hideMark/>
          </w:tcPr>
          <w:p w14:paraId="3BE528B9" w14:textId="77777777" w:rsidR="008F1D2F" w:rsidRPr="008F1D2F" w:rsidRDefault="008F1D2F" w:rsidP="00DC54F7">
            <w:pPr>
              <w:spacing w:after="0" w:line="240" w:lineRule="auto"/>
              <w:jc w:val="both"/>
              <w:rPr>
                <w:rFonts w:ascii="Calibri" w:eastAsia="Times New Roman" w:hAnsi="Calibri" w:cs="Calibri"/>
                <w:b/>
                <w:bCs/>
                <w:color w:val="FFFFFF"/>
                <w:lang w:eastAsia="en-GB"/>
              </w:rPr>
            </w:pPr>
            <w:r w:rsidRPr="008F1D2F">
              <w:rPr>
                <w:rFonts w:ascii="Calibri" w:eastAsia="Times New Roman" w:hAnsi="Calibri" w:cs="Calibri"/>
                <w:b/>
                <w:bCs/>
                <w:color w:val="FFFFFF"/>
                <w:lang w:eastAsia="en-GB"/>
              </w:rPr>
              <w:t>Area</w:t>
            </w:r>
          </w:p>
        </w:tc>
        <w:tc>
          <w:tcPr>
            <w:tcW w:w="1593" w:type="dxa"/>
            <w:tcBorders>
              <w:left w:val="nil"/>
              <w:right w:val="nil"/>
            </w:tcBorders>
            <w:shd w:val="clear" w:color="000000" w:fill="8497B0"/>
            <w:vAlign w:val="bottom"/>
            <w:hideMark/>
          </w:tcPr>
          <w:p w14:paraId="615810A1" w14:textId="77777777" w:rsidR="008F1D2F" w:rsidRPr="008F1D2F" w:rsidRDefault="008F1D2F" w:rsidP="00DC54F7">
            <w:pPr>
              <w:spacing w:after="0" w:line="240" w:lineRule="auto"/>
              <w:jc w:val="both"/>
              <w:rPr>
                <w:rFonts w:ascii="Calibri" w:eastAsia="Times New Roman" w:hAnsi="Calibri" w:cs="Calibri"/>
                <w:b/>
                <w:bCs/>
                <w:color w:val="FFFFFF"/>
                <w:lang w:eastAsia="en-GB"/>
              </w:rPr>
            </w:pPr>
            <w:r w:rsidRPr="008F1D2F">
              <w:rPr>
                <w:rFonts w:ascii="Calibri" w:eastAsia="Times New Roman" w:hAnsi="Calibri" w:cs="Calibri"/>
                <w:b/>
                <w:bCs/>
                <w:color w:val="FFFFFF"/>
                <w:lang w:eastAsia="en-GB"/>
              </w:rPr>
              <w:t>Number</w:t>
            </w:r>
          </w:p>
        </w:tc>
        <w:tc>
          <w:tcPr>
            <w:tcW w:w="1773" w:type="dxa"/>
            <w:tcBorders>
              <w:left w:val="nil"/>
              <w:right w:val="nil"/>
            </w:tcBorders>
            <w:shd w:val="clear" w:color="000000" w:fill="8497B0"/>
            <w:vAlign w:val="bottom"/>
            <w:hideMark/>
          </w:tcPr>
          <w:p w14:paraId="0A82DF03" w14:textId="77777777" w:rsidR="008F1D2F" w:rsidRPr="008F1D2F" w:rsidRDefault="008F1D2F" w:rsidP="00DC54F7">
            <w:pPr>
              <w:spacing w:after="0" w:line="240" w:lineRule="auto"/>
              <w:jc w:val="both"/>
              <w:rPr>
                <w:rFonts w:ascii="Calibri" w:eastAsia="Times New Roman" w:hAnsi="Calibri" w:cs="Calibri"/>
                <w:b/>
                <w:bCs/>
                <w:color w:val="FFFFFF"/>
                <w:lang w:eastAsia="en-GB"/>
              </w:rPr>
            </w:pPr>
            <w:r w:rsidRPr="008F1D2F">
              <w:rPr>
                <w:rFonts w:ascii="Calibri" w:eastAsia="Times New Roman" w:hAnsi="Calibri" w:cs="Calibri"/>
                <w:b/>
                <w:bCs/>
                <w:color w:val="FFFFFF"/>
                <w:lang w:eastAsia="en-GB"/>
              </w:rPr>
              <w:t>Percentage</w:t>
            </w:r>
          </w:p>
        </w:tc>
        <w:tc>
          <w:tcPr>
            <w:tcW w:w="1592" w:type="dxa"/>
            <w:tcBorders>
              <w:left w:val="nil"/>
              <w:right w:val="nil"/>
            </w:tcBorders>
            <w:shd w:val="clear" w:color="000000" w:fill="8497B0"/>
            <w:vAlign w:val="bottom"/>
            <w:hideMark/>
          </w:tcPr>
          <w:p w14:paraId="59B2267E" w14:textId="77777777" w:rsidR="008F1D2F" w:rsidRPr="008F1D2F" w:rsidRDefault="008F1D2F" w:rsidP="00DC54F7">
            <w:pPr>
              <w:spacing w:after="0" w:line="240" w:lineRule="auto"/>
              <w:jc w:val="both"/>
              <w:rPr>
                <w:rFonts w:ascii="Calibri" w:eastAsia="Times New Roman" w:hAnsi="Calibri" w:cs="Calibri"/>
                <w:b/>
                <w:bCs/>
                <w:color w:val="FFFFFF"/>
                <w:lang w:eastAsia="en-GB"/>
              </w:rPr>
            </w:pPr>
            <w:r w:rsidRPr="008F1D2F">
              <w:rPr>
                <w:rFonts w:ascii="Calibri" w:eastAsia="Times New Roman" w:hAnsi="Calibri" w:cs="Calibri"/>
                <w:b/>
                <w:bCs/>
                <w:color w:val="FFFFFF"/>
                <w:lang w:eastAsia="en-GB"/>
              </w:rPr>
              <w:t xml:space="preserve">Number </w:t>
            </w:r>
          </w:p>
        </w:tc>
        <w:tc>
          <w:tcPr>
            <w:tcW w:w="1776" w:type="dxa"/>
            <w:tcBorders>
              <w:left w:val="nil"/>
              <w:right w:val="single" w:sz="4" w:space="0" w:color="auto"/>
            </w:tcBorders>
            <w:shd w:val="clear" w:color="000000" w:fill="8497B0"/>
            <w:vAlign w:val="bottom"/>
            <w:hideMark/>
          </w:tcPr>
          <w:p w14:paraId="227B96A7" w14:textId="77777777" w:rsidR="008F1D2F" w:rsidRPr="008F1D2F" w:rsidRDefault="008F1D2F" w:rsidP="00DC54F7">
            <w:pPr>
              <w:spacing w:after="0" w:line="240" w:lineRule="auto"/>
              <w:jc w:val="both"/>
              <w:rPr>
                <w:rFonts w:ascii="Calibri" w:eastAsia="Times New Roman" w:hAnsi="Calibri" w:cs="Calibri"/>
                <w:b/>
                <w:bCs/>
                <w:color w:val="FFFFFF"/>
                <w:lang w:eastAsia="en-GB"/>
              </w:rPr>
            </w:pPr>
            <w:r w:rsidRPr="008F1D2F">
              <w:rPr>
                <w:rFonts w:ascii="Calibri" w:eastAsia="Times New Roman" w:hAnsi="Calibri" w:cs="Calibri"/>
                <w:b/>
                <w:bCs/>
                <w:color w:val="FFFFFF"/>
                <w:lang w:eastAsia="en-GB"/>
              </w:rPr>
              <w:t xml:space="preserve">Percentage </w:t>
            </w:r>
          </w:p>
        </w:tc>
      </w:tr>
      <w:tr w:rsidR="008F1D2F" w:rsidRPr="008F1D2F" w14:paraId="4C524A46" w14:textId="77777777" w:rsidTr="00387321">
        <w:trPr>
          <w:trHeight w:val="259"/>
        </w:trPr>
        <w:tc>
          <w:tcPr>
            <w:tcW w:w="2242" w:type="dxa"/>
            <w:tcBorders>
              <w:left w:val="single" w:sz="4" w:space="0" w:color="auto"/>
              <w:bottom w:val="single" w:sz="4" w:space="0" w:color="C9C9C9"/>
              <w:right w:val="nil"/>
            </w:tcBorders>
            <w:shd w:val="clear" w:color="EDEDED" w:fill="EDEDED"/>
            <w:noWrap/>
            <w:vAlign w:val="bottom"/>
            <w:hideMark/>
          </w:tcPr>
          <w:p w14:paraId="4E6B7B1E"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Cardiff</w:t>
            </w:r>
          </w:p>
        </w:tc>
        <w:tc>
          <w:tcPr>
            <w:tcW w:w="1593" w:type="dxa"/>
            <w:tcBorders>
              <w:left w:val="nil"/>
              <w:bottom w:val="single" w:sz="4" w:space="0" w:color="C9C9C9"/>
              <w:right w:val="nil"/>
            </w:tcBorders>
            <w:shd w:val="clear" w:color="EDEDED" w:fill="EDEDED"/>
            <w:noWrap/>
            <w:vAlign w:val="bottom"/>
            <w:hideMark/>
          </w:tcPr>
          <w:p w14:paraId="0C5F1707"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15,436</w:t>
            </w:r>
          </w:p>
        </w:tc>
        <w:tc>
          <w:tcPr>
            <w:tcW w:w="1773" w:type="dxa"/>
            <w:tcBorders>
              <w:left w:val="nil"/>
              <w:bottom w:val="single" w:sz="4" w:space="0" w:color="C9C9C9"/>
              <w:right w:val="nil"/>
            </w:tcBorders>
            <w:shd w:val="clear" w:color="EDEDED" w:fill="EDEDED"/>
            <w:noWrap/>
            <w:vAlign w:val="bottom"/>
            <w:hideMark/>
          </w:tcPr>
          <w:p w14:paraId="370314F3"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10.8</w:t>
            </w:r>
          </w:p>
        </w:tc>
        <w:tc>
          <w:tcPr>
            <w:tcW w:w="1592" w:type="dxa"/>
            <w:tcBorders>
              <w:left w:val="nil"/>
              <w:bottom w:val="single" w:sz="4" w:space="0" w:color="C9C9C9"/>
              <w:right w:val="nil"/>
            </w:tcBorders>
            <w:shd w:val="clear" w:color="EDEDED" w:fill="EDEDED"/>
            <w:noWrap/>
            <w:vAlign w:val="bottom"/>
            <w:hideMark/>
          </w:tcPr>
          <w:p w14:paraId="0C478AF8"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31,705</w:t>
            </w:r>
          </w:p>
        </w:tc>
        <w:tc>
          <w:tcPr>
            <w:tcW w:w="1776" w:type="dxa"/>
            <w:tcBorders>
              <w:left w:val="nil"/>
              <w:bottom w:val="single" w:sz="4" w:space="0" w:color="C9C9C9"/>
              <w:right w:val="single" w:sz="4" w:space="0" w:color="auto"/>
            </w:tcBorders>
            <w:shd w:val="clear" w:color="EDEDED" w:fill="EDEDED"/>
            <w:noWrap/>
            <w:vAlign w:val="bottom"/>
            <w:hideMark/>
          </w:tcPr>
          <w:p w14:paraId="2FAAF3A8"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22.2</w:t>
            </w:r>
          </w:p>
        </w:tc>
      </w:tr>
      <w:tr w:rsidR="008F1D2F" w:rsidRPr="008F1D2F" w14:paraId="1418CB9D" w14:textId="77777777" w:rsidTr="00387321">
        <w:trPr>
          <w:trHeight w:val="259"/>
        </w:trPr>
        <w:tc>
          <w:tcPr>
            <w:tcW w:w="2242" w:type="dxa"/>
            <w:tcBorders>
              <w:top w:val="single" w:sz="4" w:space="0" w:color="C9C9C9"/>
              <w:left w:val="single" w:sz="4" w:space="0" w:color="auto"/>
              <w:bottom w:val="single" w:sz="4" w:space="0" w:color="C9C9C9"/>
              <w:right w:val="nil"/>
            </w:tcBorders>
            <w:shd w:val="clear" w:color="auto" w:fill="auto"/>
            <w:noWrap/>
            <w:vAlign w:val="bottom"/>
            <w:hideMark/>
          </w:tcPr>
          <w:p w14:paraId="0BF83BE5"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Vale of Glamorgan</w:t>
            </w:r>
          </w:p>
        </w:tc>
        <w:tc>
          <w:tcPr>
            <w:tcW w:w="1593" w:type="dxa"/>
            <w:tcBorders>
              <w:top w:val="single" w:sz="4" w:space="0" w:color="C9C9C9"/>
              <w:left w:val="nil"/>
              <w:bottom w:val="single" w:sz="4" w:space="0" w:color="C9C9C9"/>
              <w:right w:val="nil"/>
            </w:tcBorders>
            <w:shd w:val="clear" w:color="auto" w:fill="auto"/>
            <w:noWrap/>
            <w:vAlign w:val="bottom"/>
            <w:hideMark/>
          </w:tcPr>
          <w:p w14:paraId="4D1E7936"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7057</w:t>
            </w:r>
          </w:p>
        </w:tc>
        <w:tc>
          <w:tcPr>
            <w:tcW w:w="1773" w:type="dxa"/>
            <w:tcBorders>
              <w:top w:val="single" w:sz="4" w:space="0" w:color="C9C9C9"/>
              <w:left w:val="nil"/>
              <w:bottom w:val="single" w:sz="4" w:space="0" w:color="C9C9C9"/>
              <w:right w:val="nil"/>
            </w:tcBorders>
            <w:shd w:val="clear" w:color="auto" w:fill="auto"/>
            <w:noWrap/>
            <w:vAlign w:val="bottom"/>
            <w:hideMark/>
          </w:tcPr>
          <w:p w14:paraId="251CEF3A"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13.2</w:t>
            </w:r>
          </w:p>
        </w:tc>
        <w:tc>
          <w:tcPr>
            <w:tcW w:w="1592" w:type="dxa"/>
            <w:tcBorders>
              <w:top w:val="single" w:sz="4" w:space="0" w:color="C9C9C9"/>
              <w:left w:val="nil"/>
              <w:bottom w:val="single" w:sz="4" w:space="0" w:color="C9C9C9"/>
              <w:right w:val="nil"/>
            </w:tcBorders>
            <w:shd w:val="clear" w:color="auto" w:fill="auto"/>
            <w:noWrap/>
            <w:vAlign w:val="bottom"/>
            <w:hideMark/>
          </w:tcPr>
          <w:p w14:paraId="6212390B"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8,794</w:t>
            </w:r>
          </w:p>
        </w:tc>
        <w:tc>
          <w:tcPr>
            <w:tcW w:w="1776" w:type="dxa"/>
            <w:tcBorders>
              <w:top w:val="single" w:sz="4" w:space="0" w:color="C9C9C9"/>
              <w:left w:val="nil"/>
              <w:bottom w:val="single" w:sz="4" w:space="0" w:color="C9C9C9"/>
              <w:right w:val="single" w:sz="4" w:space="0" w:color="auto"/>
            </w:tcBorders>
            <w:shd w:val="clear" w:color="auto" w:fill="auto"/>
            <w:noWrap/>
            <w:vAlign w:val="bottom"/>
            <w:hideMark/>
          </w:tcPr>
          <w:p w14:paraId="702344F1"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16.4</w:t>
            </w:r>
          </w:p>
        </w:tc>
      </w:tr>
      <w:tr w:rsidR="008F1D2F" w:rsidRPr="008F1D2F" w14:paraId="6DB7CA13" w14:textId="77777777" w:rsidTr="00387321">
        <w:trPr>
          <w:trHeight w:val="259"/>
        </w:trPr>
        <w:tc>
          <w:tcPr>
            <w:tcW w:w="2242" w:type="dxa"/>
            <w:tcBorders>
              <w:top w:val="single" w:sz="4" w:space="0" w:color="C9C9C9"/>
              <w:left w:val="single" w:sz="4" w:space="0" w:color="auto"/>
              <w:bottom w:val="single" w:sz="4" w:space="0" w:color="C9C9C9"/>
              <w:right w:val="nil"/>
            </w:tcBorders>
            <w:shd w:val="clear" w:color="EDEDED" w:fill="EDEDED"/>
            <w:noWrap/>
            <w:vAlign w:val="bottom"/>
            <w:hideMark/>
          </w:tcPr>
          <w:p w14:paraId="1647F578"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Cardiff &amp; Vale UHB</w:t>
            </w:r>
          </w:p>
        </w:tc>
        <w:tc>
          <w:tcPr>
            <w:tcW w:w="1593" w:type="dxa"/>
            <w:tcBorders>
              <w:top w:val="single" w:sz="4" w:space="0" w:color="C9C9C9"/>
              <w:left w:val="nil"/>
              <w:bottom w:val="single" w:sz="4" w:space="0" w:color="C9C9C9"/>
              <w:right w:val="nil"/>
            </w:tcBorders>
            <w:shd w:val="clear" w:color="EDEDED" w:fill="EDEDED"/>
            <w:noWrap/>
            <w:vAlign w:val="bottom"/>
            <w:hideMark/>
          </w:tcPr>
          <w:p w14:paraId="61A0AF3E"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22,493</w:t>
            </w:r>
          </w:p>
        </w:tc>
        <w:tc>
          <w:tcPr>
            <w:tcW w:w="1773" w:type="dxa"/>
            <w:tcBorders>
              <w:top w:val="single" w:sz="4" w:space="0" w:color="C9C9C9"/>
              <w:left w:val="nil"/>
              <w:bottom w:val="single" w:sz="4" w:space="0" w:color="C9C9C9"/>
              <w:right w:val="nil"/>
            </w:tcBorders>
            <w:shd w:val="clear" w:color="EDEDED" w:fill="EDEDED"/>
            <w:noWrap/>
            <w:vAlign w:val="bottom"/>
            <w:hideMark/>
          </w:tcPr>
          <w:p w14:paraId="6C6FD5A2"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11.5</w:t>
            </w:r>
          </w:p>
        </w:tc>
        <w:tc>
          <w:tcPr>
            <w:tcW w:w="1592" w:type="dxa"/>
            <w:tcBorders>
              <w:top w:val="single" w:sz="4" w:space="0" w:color="C9C9C9"/>
              <w:left w:val="nil"/>
              <w:bottom w:val="single" w:sz="4" w:space="0" w:color="C9C9C9"/>
              <w:right w:val="nil"/>
            </w:tcBorders>
            <w:shd w:val="clear" w:color="EDEDED" w:fill="EDEDED"/>
            <w:noWrap/>
            <w:vAlign w:val="bottom"/>
            <w:hideMark/>
          </w:tcPr>
          <w:p w14:paraId="19638836"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40,499</w:t>
            </w:r>
          </w:p>
        </w:tc>
        <w:tc>
          <w:tcPr>
            <w:tcW w:w="1776" w:type="dxa"/>
            <w:tcBorders>
              <w:top w:val="single" w:sz="4" w:space="0" w:color="C9C9C9"/>
              <w:left w:val="nil"/>
              <w:bottom w:val="single" w:sz="4" w:space="0" w:color="C9C9C9"/>
              <w:right w:val="single" w:sz="4" w:space="0" w:color="auto"/>
            </w:tcBorders>
            <w:shd w:val="clear" w:color="EDEDED" w:fill="EDEDED"/>
            <w:noWrap/>
            <w:vAlign w:val="bottom"/>
            <w:hideMark/>
          </w:tcPr>
          <w:p w14:paraId="1A6D49E0"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20.7</w:t>
            </w:r>
          </w:p>
        </w:tc>
      </w:tr>
      <w:tr w:rsidR="008F1D2F" w:rsidRPr="008F1D2F" w14:paraId="44E7F65E" w14:textId="77777777" w:rsidTr="00387321">
        <w:trPr>
          <w:trHeight w:val="259"/>
        </w:trPr>
        <w:tc>
          <w:tcPr>
            <w:tcW w:w="2242" w:type="dxa"/>
            <w:tcBorders>
              <w:top w:val="single" w:sz="4" w:space="0" w:color="C9C9C9"/>
              <w:left w:val="single" w:sz="4" w:space="0" w:color="auto"/>
              <w:bottom w:val="single" w:sz="4" w:space="0" w:color="auto"/>
              <w:right w:val="nil"/>
            </w:tcBorders>
            <w:shd w:val="clear" w:color="auto" w:fill="auto"/>
            <w:noWrap/>
            <w:vAlign w:val="bottom"/>
            <w:hideMark/>
          </w:tcPr>
          <w:p w14:paraId="3ED0217B"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Wales</w:t>
            </w:r>
          </w:p>
        </w:tc>
        <w:tc>
          <w:tcPr>
            <w:tcW w:w="1593" w:type="dxa"/>
            <w:tcBorders>
              <w:top w:val="single" w:sz="4" w:space="0" w:color="C9C9C9"/>
              <w:left w:val="nil"/>
              <w:bottom w:val="single" w:sz="4" w:space="0" w:color="auto"/>
              <w:right w:val="nil"/>
            </w:tcBorders>
            <w:shd w:val="clear" w:color="auto" w:fill="auto"/>
            <w:noWrap/>
            <w:vAlign w:val="bottom"/>
            <w:hideMark/>
          </w:tcPr>
          <w:p w14:paraId="51A138C9"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178,334</w:t>
            </w:r>
          </w:p>
        </w:tc>
        <w:tc>
          <w:tcPr>
            <w:tcW w:w="1773" w:type="dxa"/>
            <w:tcBorders>
              <w:top w:val="single" w:sz="4" w:space="0" w:color="C9C9C9"/>
              <w:left w:val="nil"/>
              <w:bottom w:val="single" w:sz="4" w:space="0" w:color="auto"/>
              <w:right w:val="nil"/>
            </w:tcBorders>
            <w:shd w:val="clear" w:color="auto" w:fill="auto"/>
            <w:noWrap/>
            <w:vAlign w:val="bottom"/>
            <w:hideMark/>
          </w:tcPr>
          <w:p w14:paraId="310C4D57"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13.7</w:t>
            </w:r>
          </w:p>
        </w:tc>
        <w:tc>
          <w:tcPr>
            <w:tcW w:w="1592" w:type="dxa"/>
            <w:tcBorders>
              <w:top w:val="single" w:sz="4" w:space="0" w:color="C9C9C9"/>
              <w:left w:val="nil"/>
              <w:bottom w:val="single" w:sz="4" w:space="0" w:color="auto"/>
              <w:right w:val="nil"/>
            </w:tcBorders>
            <w:shd w:val="clear" w:color="auto" w:fill="auto"/>
            <w:noWrap/>
            <w:vAlign w:val="bottom"/>
            <w:hideMark/>
          </w:tcPr>
          <w:p w14:paraId="3FFFBFAC"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222,434</w:t>
            </w:r>
          </w:p>
        </w:tc>
        <w:tc>
          <w:tcPr>
            <w:tcW w:w="1776" w:type="dxa"/>
            <w:tcBorders>
              <w:top w:val="single" w:sz="4" w:space="0" w:color="C9C9C9"/>
              <w:left w:val="nil"/>
              <w:bottom w:val="single" w:sz="4" w:space="0" w:color="auto"/>
              <w:right w:val="single" w:sz="4" w:space="0" w:color="auto"/>
            </w:tcBorders>
            <w:shd w:val="clear" w:color="auto" w:fill="auto"/>
            <w:noWrap/>
            <w:vAlign w:val="bottom"/>
            <w:hideMark/>
          </w:tcPr>
          <w:p w14:paraId="516904BF" w14:textId="77777777" w:rsidR="008F1D2F" w:rsidRPr="008F1D2F" w:rsidRDefault="008F1D2F" w:rsidP="00DC54F7">
            <w:pPr>
              <w:spacing w:after="0" w:line="240" w:lineRule="auto"/>
              <w:jc w:val="both"/>
              <w:rPr>
                <w:rFonts w:ascii="Calibri" w:eastAsia="Times New Roman" w:hAnsi="Calibri" w:cs="Calibri"/>
                <w:color w:val="000000"/>
                <w:lang w:eastAsia="en-GB"/>
              </w:rPr>
            </w:pPr>
            <w:r w:rsidRPr="008F1D2F">
              <w:rPr>
                <w:rFonts w:ascii="Calibri" w:eastAsia="Times New Roman" w:hAnsi="Calibri" w:cs="Calibri"/>
                <w:color w:val="000000"/>
                <w:lang w:eastAsia="en-GB"/>
              </w:rPr>
              <w:t>17.1</w:t>
            </w:r>
          </w:p>
        </w:tc>
      </w:tr>
    </w:tbl>
    <w:p w14:paraId="355F5604" w14:textId="77777777" w:rsidR="00235248" w:rsidRPr="009E76BB" w:rsidRDefault="00235248" w:rsidP="00DC54F7">
      <w:pPr>
        <w:spacing w:after="0" w:line="240" w:lineRule="auto"/>
        <w:jc w:val="both"/>
        <w:rPr>
          <w:rFonts w:ascii="Arial" w:hAnsi="Arial" w:cs="Arial"/>
          <w:bCs/>
          <w:sz w:val="20"/>
          <w:szCs w:val="20"/>
          <w:lang w:val="en" w:eastAsia="en-GB"/>
        </w:rPr>
      </w:pPr>
      <w:r w:rsidRPr="009E76BB">
        <w:rPr>
          <w:rFonts w:ascii="Arial" w:hAnsi="Arial" w:cs="Arial"/>
          <w:bCs/>
          <w:sz w:val="20"/>
          <w:szCs w:val="20"/>
          <w:lang w:val="en" w:eastAsia="en-GB"/>
        </w:rPr>
        <w:t>Source: Nomis – Census, 2011</w:t>
      </w:r>
    </w:p>
    <w:p w14:paraId="75E48E96" w14:textId="67AD17BD" w:rsidR="00193688" w:rsidRDefault="00193688" w:rsidP="00DC54F7">
      <w:pPr>
        <w:pStyle w:val="ListParagraph"/>
        <w:spacing w:after="0" w:line="240" w:lineRule="auto"/>
        <w:ind w:left="0"/>
        <w:jc w:val="both"/>
        <w:rPr>
          <w:rFonts w:ascii="Arial" w:hAnsi="Arial" w:cs="Arial"/>
          <w:lang w:val="en" w:eastAsia="en-GB"/>
        </w:rPr>
      </w:pPr>
    </w:p>
    <w:p w14:paraId="7674A47E" w14:textId="77777777" w:rsidR="00D648BD" w:rsidRPr="00A10850" w:rsidRDefault="00D648BD" w:rsidP="00DC54F7">
      <w:pPr>
        <w:pStyle w:val="ListParagraph"/>
        <w:spacing w:after="0" w:line="240" w:lineRule="auto"/>
        <w:ind w:left="0"/>
        <w:jc w:val="both"/>
        <w:rPr>
          <w:rFonts w:ascii="Arial" w:hAnsi="Arial" w:cs="Arial"/>
          <w:lang w:val="en" w:eastAsia="en-GB"/>
        </w:rPr>
      </w:pPr>
    </w:p>
    <w:p w14:paraId="7D907D7E" w14:textId="3DA7C7CA" w:rsidR="00BB5DBE" w:rsidRDefault="00450AF8" w:rsidP="00DC54F7">
      <w:pPr>
        <w:spacing w:after="0" w:line="240" w:lineRule="auto"/>
        <w:jc w:val="both"/>
        <w:rPr>
          <w:rFonts w:ascii="Arial" w:hAnsi="Arial" w:cs="Arial"/>
          <w:b/>
          <w:sz w:val="26"/>
          <w:szCs w:val="26"/>
          <w:lang w:val="en" w:eastAsia="en-GB"/>
        </w:rPr>
      </w:pPr>
      <w:r w:rsidRPr="00A10850">
        <w:rPr>
          <w:rFonts w:ascii="Arial" w:hAnsi="Arial" w:cs="Arial"/>
          <w:b/>
          <w:sz w:val="26"/>
          <w:szCs w:val="26"/>
          <w:lang w:val="en" w:eastAsia="en-GB"/>
        </w:rPr>
        <w:t>2.1</w:t>
      </w:r>
      <w:r w:rsidR="00D3388A" w:rsidRPr="00A10850">
        <w:rPr>
          <w:rFonts w:ascii="Arial" w:hAnsi="Arial" w:cs="Arial"/>
          <w:b/>
          <w:sz w:val="26"/>
          <w:szCs w:val="26"/>
          <w:lang w:val="en" w:eastAsia="en-GB"/>
        </w:rPr>
        <w:t>2</w:t>
      </w:r>
      <w:r w:rsidR="00DA3E1C" w:rsidRPr="00A10850">
        <w:rPr>
          <w:rFonts w:ascii="Arial" w:hAnsi="Arial" w:cs="Arial"/>
          <w:b/>
          <w:sz w:val="26"/>
          <w:szCs w:val="26"/>
          <w:lang w:val="en" w:eastAsia="en-GB"/>
        </w:rPr>
        <w:t xml:space="preserve"> </w:t>
      </w:r>
      <w:r w:rsidR="0014607D" w:rsidRPr="00A10850">
        <w:rPr>
          <w:rFonts w:ascii="Arial" w:hAnsi="Arial" w:cs="Arial"/>
          <w:b/>
          <w:sz w:val="26"/>
          <w:szCs w:val="26"/>
          <w:lang w:val="en" w:eastAsia="en-GB"/>
        </w:rPr>
        <w:t>Car ownership</w:t>
      </w:r>
    </w:p>
    <w:p w14:paraId="68A85D7B" w14:textId="1E17345E" w:rsidR="00980BCC" w:rsidRDefault="00980BCC" w:rsidP="00DC54F7">
      <w:pPr>
        <w:spacing w:after="0" w:line="240" w:lineRule="auto"/>
        <w:jc w:val="both"/>
        <w:rPr>
          <w:rFonts w:ascii="Arial" w:hAnsi="Arial" w:cs="Arial"/>
          <w:b/>
          <w:sz w:val="26"/>
          <w:szCs w:val="26"/>
          <w:lang w:val="en" w:eastAsia="en-GB"/>
        </w:rPr>
      </w:pPr>
    </w:p>
    <w:p w14:paraId="10CC11D0" w14:textId="08C378E9" w:rsidR="00010AFD" w:rsidRPr="009E76BB" w:rsidRDefault="0024229A" w:rsidP="00DC54F7">
      <w:pPr>
        <w:spacing w:after="0" w:line="240" w:lineRule="auto"/>
        <w:jc w:val="both"/>
        <w:rPr>
          <w:rFonts w:ascii="Arial" w:eastAsia="Times New Roman" w:hAnsi="Arial" w:cs="Arial"/>
          <w:color w:val="000000"/>
          <w:sz w:val="24"/>
          <w:szCs w:val="24"/>
          <w:lang w:eastAsia="en-GB"/>
        </w:rPr>
      </w:pPr>
      <w:r w:rsidRPr="009E76BB">
        <w:rPr>
          <w:rFonts w:ascii="Arial" w:hAnsi="Arial" w:cs="Arial"/>
          <w:sz w:val="24"/>
          <w:szCs w:val="24"/>
        </w:rPr>
        <w:t xml:space="preserve">Just over a quarter </w:t>
      </w:r>
      <w:r w:rsidR="003816B9" w:rsidRPr="009E76BB">
        <w:rPr>
          <w:rFonts w:ascii="Arial" w:hAnsi="Arial" w:cs="Arial"/>
          <w:sz w:val="24"/>
          <w:szCs w:val="24"/>
        </w:rPr>
        <w:t xml:space="preserve">of households in </w:t>
      </w:r>
      <w:r w:rsidR="007A1A71" w:rsidRPr="009E76BB">
        <w:rPr>
          <w:rFonts w:ascii="Arial" w:eastAsia="Times New Roman" w:hAnsi="Arial" w:cs="Arial"/>
          <w:color w:val="000000"/>
          <w:sz w:val="24"/>
          <w:szCs w:val="24"/>
          <w:lang w:eastAsia="en-GB"/>
        </w:rPr>
        <w:t>Cardiff and Vale University Health Board</w:t>
      </w:r>
      <w:r w:rsidR="00CB59E6" w:rsidRPr="009E76BB">
        <w:rPr>
          <w:rFonts w:ascii="Arial" w:eastAsia="Times New Roman" w:hAnsi="Arial" w:cs="Arial"/>
          <w:color w:val="000000"/>
          <w:sz w:val="24"/>
          <w:szCs w:val="24"/>
          <w:lang w:eastAsia="en-GB"/>
        </w:rPr>
        <w:t xml:space="preserve"> </w:t>
      </w:r>
      <w:r w:rsidRPr="009E76BB">
        <w:rPr>
          <w:rFonts w:ascii="Arial" w:eastAsia="Times New Roman" w:hAnsi="Arial" w:cs="Arial"/>
          <w:color w:val="000000"/>
          <w:sz w:val="24"/>
          <w:szCs w:val="24"/>
          <w:lang w:eastAsia="en-GB"/>
        </w:rPr>
        <w:t>(26</w:t>
      </w:r>
      <w:r w:rsidR="00902586" w:rsidRPr="009E76BB">
        <w:rPr>
          <w:rFonts w:ascii="Arial" w:eastAsia="Times New Roman" w:hAnsi="Arial" w:cs="Arial"/>
          <w:color w:val="000000"/>
          <w:sz w:val="24"/>
          <w:szCs w:val="24"/>
          <w:lang w:eastAsia="en-GB"/>
        </w:rPr>
        <w:t xml:space="preserve">.4%) </w:t>
      </w:r>
      <w:r w:rsidR="00CB59E6" w:rsidRPr="009E76BB">
        <w:rPr>
          <w:rFonts w:ascii="Arial" w:eastAsia="Times New Roman" w:hAnsi="Arial" w:cs="Arial"/>
          <w:color w:val="000000"/>
          <w:sz w:val="24"/>
          <w:szCs w:val="24"/>
          <w:lang w:eastAsia="en-GB"/>
        </w:rPr>
        <w:t>do not have a car</w:t>
      </w:r>
      <w:r w:rsidR="00902586" w:rsidRPr="009E76BB">
        <w:rPr>
          <w:rFonts w:ascii="Arial" w:eastAsia="Times New Roman" w:hAnsi="Arial" w:cs="Arial"/>
          <w:color w:val="000000"/>
          <w:sz w:val="24"/>
          <w:szCs w:val="24"/>
          <w:lang w:eastAsia="en-GB"/>
        </w:rPr>
        <w:t xml:space="preserve"> </w:t>
      </w:r>
      <w:r w:rsidR="00DC360A" w:rsidRPr="009E76BB">
        <w:rPr>
          <w:rFonts w:ascii="Arial" w:eastAsia="Times New Roman" w:hAnsi="Arial" w:cs="Arial"/>
          <w:color w:val="000000"/>
          <w:sz w:val="24"/>
          <w:szCs w:val="24"/>
          <w:lang w:eastAsia="en-GB"/>
        </w:rPr>
        <w:t xml:space="preserve">or van </w:t>
      </w:r>
      <w:r w:rsidR="00902586" w:rsidRPr="009E76BB">
        <w:rPr>
          <w:rFonts w:ascii="Arial" w:eastAsia="Times New Roman" w:hAnsi="Arial" w:cs="Arial"/>
          <w:color w:val="000000"/>
          <w:sz w:val="24"/>
          <w:szCs w:val="24"/>
          <w:lang w:eastAsia="en-GB"/>
        </w:rPr>
        <w:t>at the time of the 2011 Census</w:t>
      </w:r>
      <w:r w:rsidR="00CB59E6" w:rsidRPr="009E76BB">
        <w:rPr>
          <w:rFonts w:ascii="Arial" w:eastAsia="Times New Roman" w:hAnsi="Arial" w:cs="Arial"/>
          <w:color w:val="000000"/>
          <w:sz w:val="24"/>
          <w:szCs w:val="24"/>
          <w:lang w:eastAsia="en-GB"/>
        </w:rPr>
        <w:t xml:space="preserve">. The </w:t>
      </w:r>
      <w:r w:rsidR="00E135FE" w:rsidRPr="009E76BB">
        <w:rPr>
          <w:rFonts w:ascii="Arial" w:eastAsia="Times New Roman" w:hAnsi="Arial" w:cs="Arial"/>
          <w:color w:val="000000"/>
          <w:sz w:val="24"/>
          <w:szCs w:val="24"/>
          <w:lang w:eastAsia="en-GB"/>
        </w:rPr>
        <w:t>percentage</w:t>
      </w:r>
      <w:r w:rsidR="00CB59E6" w:rsidRPr="009E76BB">
        <w:rPr>
          <w:rFonts w:ascii="Arial" w:eastAsia="Times New Roman" w:hAnsi="Arial" w:cs="Arial"/>
          <w:color w:val="000000"/>
          <w:sz w:val="24"/>
          <w:szCs w:val="24"/>
          <w:lang w:eastAsia="en-GB"/>
        </w:rPr>
        <w:t xml:space="preserve"> is slightly higher in Cardiff</w:t>
      </w:r>
      <w:r w:rsidR="00CF3B03" w:rsidRPr="009E76BB">
        <w:rPr>
          <w:rFonts w:ascii="Arial" w:eastAsia="Times New Roman" w:hAnsi="Arial" w:cs="Arial"/>
          <w:color w:val="000000"/>
          <w:sz w:val="24"/>
          <w:szCs w:val="24"/>
          <w:lang w:eastAsia="en-GB"/>
        </w:rPr>
        <w:t xml:space="preserve"> </w:t>
      </w:r>
      <w:r w:rsidR="00E135FE" w:rsidRPr="009E76BB">
        <w:rPr>
          <w:rFonts w:ascii="Arial" w:eastAsia="Times New Roman" w:hAnsi="Arial" w:cs="Arial"/>
          <w:color w:val="000000"/>
          <w:sz w:val="24"/>
          <w:szCs w:val="24"/>
          <w:lang w:eastAsia="en-GB"/>
        </w:rPr>
        <w:t xml:space="preserve">(29%) than </w:t>
      </w:r>
      <w:r w:rsidR="00C35714" w:rsidRPr="009E76BB">
        <w:rPr>
          <w:rFonts w:ascii="Arial" w:eastAsia="Times New Roman" w:hAnsi="Arial" w:cs="Arial"/>
          <w:color w:val="000000"/>
          <w:sz w:val="24"/>
          <w:szCs w:val="24"/>
          <w:lang w:eastAsia="en-GB"/>
        </w:rPr>
        <w:t>the Vale of Glamorgan (19.4</w:t>
      </w:r>
      <w:r w:rsidR="00AB67E1" w:rsidRPr="009E76BB">
        <w:rPr>
          <w:rFonts w:ascii="Arial" w:eastAsia="Times New Roman" w:hAnsi="Arial" w:cs="Arial"/>
          <w:color w:val="000000"/>
          <w:sz w:val="24"/>
          <w:szCs w:val="24"/>
          <w:lang w:eastAsia="en-GB"/>
        </w:rPr>
        <w:t>%</w:t>
      </w:r>
      <w:r w:rsidR="00CF3B03" w:rsidRPr="009E76BB">
        <w:rPr>
          <w:rFonts w:ascii="Arial" w:eastAsia="Times New Roman" w:hAnsi="Arial" w:cs="Arial"/>
          <w:color w:val="000000"/>
          <w:sz w:val="24"/>
          <w:szCs w:val="24"/>
          <w:lang w:eastAsia="en-GB"/>
        </w:rPr>
        <w:t>)</w:t>
      </w:r>
      <w:r w:rsidR="005D725A" w:rsidRPr="009E76BB">
        <w:rPr>
          <w:rFonts w:ascii="Arial" w:eastAsia="Times New Roman" w:hAnsi="Arial" w:cs="Arial"/>
          <w:color w:val="000000"/>
          <w:sz w:val="24"/>
          <w:szCs w:val="24"/>
          <w:lang w:eastAsia="en-GB"/>
        </w:rPr>
        <w:t>.</w:t>
      </w:r>
      <w:bookmarkStart w:id="8" w:name="_Toc60225127"/>
    </w:p>
    <w:p w14:paraId="3AE73C22" w14:textId="5415616A" w:rsidR="00010AFD" w:rsidRPr="009E76BB" w:rsidRDefault="00010AFD" w:rsidP="00DC54F7">
      <w:pPr>
        <w:spacing w:after="0" w:line="240" w:lineRule="auto"/>
        <w:jc w:val="both"/>
        <w:rPr>
          <w:rFonts w:ascii="Arial" w:eastAsia="Times New Roman" w:hAnsi="Arial" w:cs="Arial"/>
          <w:color w:val="000000"/>
          <w:sz w:val="24"/>
          <w:szCs w:val="24"/>
          <w:lang w:eastAsia="en-GB"/>
        </w:rPr>
      </w:pPr>
    </w:p>
    <w:p w14:paraId="71372CC5" w14:textId="7FD415DA" w:rsidR="006D102D" w:rsidRPr="009E76BB" w:rsidRDefault="008C1F9A" w:rsidP="00DC54F7">
      <w:pPr>
        <w:pStyle w:val="Caption"/>
        <w:spacing w:before="0" w:after="0"/>
        <w:jc w:val="both"/>
        <w:rPr>
          <w:rFonts w:ascii="Arial" w:hAnsi="Arial" w:cs="Arial"/>
          <w:szCs w:val="24"/>
        </w:rPr>
      </w:pPr>
      <w:r w:rsidRPr="009E76BB">
        <w:rPr>
          <w:rFonts w:ascii="Arial" w:hAnsi="Arial" w:cs="Arial"/>
          <w:szCs w:val="24"/>
        </w:rPr>
        <w:t>Table</w:t>
      </w:r>
      <w:r w:rsidR="003D65CC" w:rsidRPr="009E76BB">
        <w:rPr>
          <w:rFonts w:ascii="Arial" w:hAnsi="Arial" w:cs="Arial"/>
          <w:szCs w:val="24"/>
        </w:rPr>
        <w:t xml:space="preserve"> 2.1</w:t>
      </w:r>
      <w:r w:rsidR="008B2D50" w:rsidRPr="009E76BB">
        <w:rPr>
          <w:rFonts w:ascii="Arial" w:hAnsi="Arial" w:cs="Arial"/>
          <w:szCs w:val="24"/>
        </w:rPr>
        <w:t>2</w:t>
      </w:r>
      <w:r w:rsidRPr="009E76BB">
        <w:rPr>
          <w:rFonts w:ascii="Arial" w:hAnsi="Arial" w:cs="Arial"/>
          <w:szCs w:val="24"/>
        </w:rPr>
        <w:t>: Number &amp; percentage of households with no cars or vans</w:t>
      </w:r>
      <w:r w:rsidR="00993AAC" w:rsidRPr="009E76BB">
        <w:rPr>
          <w:rFonts w:ascii="Arial" w:hAnsi="Arial" w:cs="Arial"/>
          <w:szCs w:val="24"/>
        </w:rPr>
        <w:t xml:space="preserve"> by </w:t>
      </w:r>
      <w:r w:rsidR="00567F4B" w:rsidRPr="009E76BB">
        <w:rPr>
          <w:rFonts w:ascii="Arial" w:hAnsi="Arial" w:cs="Arial"/>
          <w:szCs w:val="24"/>
        </w:rPr>
        <w:t>local</w:t>
      </w:r>
      <w:r w:rsidR="00993AAC" w:rsidRPr="009E76BB">
        <w:rPr>
          <w:rFonts w:ascii="Arial" w:hAnsi="Arial" w:cs="Arial"/>
          <w:szCs w:val="24"/>
        </w:rPr>
        <w:t xml:space="preserve"> authority, health board and </w:t>
      </w:r>
      <w:r w:rsidRPr="009E76BB">
        <w:rPr>
          <w:rFonts w:ascii="Arial" w:hAnsi="Arial" w:cs="Arial"/>
          <w:szCs w:val="24"/>
        </w:rPr>
        <w:t>Wales, 2011</w:t>
      </w:r>
      <w:bookmarkEnd w:id="8"/>
    </w:p>
    <w:tbl>
      <w:tblPr>
        <w:tblW w:w="9133" w:type="dxa"/>
        <w:tblBorders>
          <w:top w:val="single" w:sz="4" w:space="0" w:color="auto"/>
          <w:left w:val="single" w:sz="4" w:space="0" w:color="auto"/>
          <w:bottom w:val="single" w:sz="4" w:space="0" w:color="auto"/>
          <w:right w:val="single" w:sz="4" w:space="0" w:color="auto"/>
          <w:insideH w:val="single" w:sz="8" w:space="0" w:color="C9C9C9"/>
        </w:tblBorders>
        <w:tblLook w:val="04A0" w:firstRow="1" w:lastRow="0" w:firstColumn="1" w:lastColumn="0" w:noHBand="0" w:noVBand="1"/>
      </w:tblPr>
      <w:tblGrid>
        <w:gridCol w:w="3042"/>
        <w:gridCol w:w="3038"/>
        <w:gridCol w:w="3053"/>
      </w:tblGrid>
      <w:tr w:rsidR="00C754F0" w:rsidRPr="00C754F0" w14:paraId="7E4B04C4" w14:textId="77777777" w:rsidTr="00387321">
        <w:trPr>
          <w:trHeight w:val="280"/>
        </w:trPr>
        <w:tc>
          <w:tcPr>
            <w:tcW w:w="3042" w:type="dxa"/>
            <w:shd w:val="clear" w:color="000000" w:fill="8497B0"/>
            <w:vAlign w:val="center"/>
            <w:hideMark/>
          </w:tcPr>
          <w:p w14:paraId="7F812CB4" w14:textId="77777777" w:rsidR="00C754F0" w:rsidRPr="00C754F0" w:rsidRDefault="00C754F0" w:rsidP="00DC54F7">
            <w:pPr>
              <w:spacing w:after="0" w:line="240" w:lineRule="auto"/>
              <w:jc w:val="both"/>
              <w:rPr>
                <w:rFonts w:ascii="Arial" w:eastAsia="Times New Roman" w:hAnsi="Arial" w:cs="Arial"/>
                <w:b/>
                <w:bCs/>
                <w:color w:val="FFFFFF"/>
                <w:sz w:val="20"/>
                <w:szCs w:val="20"/>
                <w:lang w:eastAsia="en-GB"/>
              </w:rPr>
            </w:pPr>
            <w:r w:rsidRPr="00C754F0">
              <w:rPr>
                <w:rFonts w:ascii="Arial" w:eastAsia="Times New Roman" w:hAnsi="Arial" w:cs="Arial"/>
                <w:b/>
                <w:bCs/>
                <w:color w:val="FFFFFF"/>
                <w:sz w:val="20"/>
                <w:szCs w:val="20"/>
                <w:lang w:eastAsia="en-GB"/>
              </w:rPr>
              <w:t>Area</w:t>
            </w:r>
          </w:p>
        </w:tc>
        <w:tc>
          <w:tcPr>
            <w:tcW w:w="3038" w:type="dxa"/>
            <w:shd w:val="clear" w:color="000000" w:fill="8497B0"/>
            <w:vAlign w:val="center"/>
            <w:hideMark/>
          </w:tcPr>
          <w:p w14:paraId="199CE81C" w14:textId="00737C0D" w:rsidR="00C754F0" w:rsidRPr="00C754F0" w:rsidRDefault="00C754F0" w:rsidP="00DC54F7">
            <w:pPr>
              <w:spacing w:after="0" w:line="240" w:lineRule="auto"/>
              <w:jc w:val="both"/>
              <w:rPr>
                <w:rFonts w:ascii="Arial" w:eastAsia="Times New Roman" w:hAnsi="Arial" w:cs="Arial"/>
                <w:b/>
                <w:bCs/>
                <w:color w:val="FFFFFF"/>
                <w:sz w:val="20"/>
                <w:szCs w:val="20"/>
                <w:lang w:eastAsia="en-GB"/>
              </w:rPr>
            </w:pPr>
            <w:r w:rsidRPr="00C754F0">
              <w:rPr>
                <w:rFonts w:ascii="Arial" w:eastAsia="Times New Roman" w:hAnsi="Arial" w:cs="Arial"/>
                <w:b/>
                <w:bCs/>
                <w:color w:val="FFFFFF"/>
                <w:sz w:val="20"/>
                <w:szCs w:val="20"/>
                <w:lang w:eastAsia="en-GB"/>
              </w:rPr>
              <w:t>Number</w:t>
            </w:r>
            <w:r w:rsidR="00E3050C">
              <w:rPr>
                <w:rFonts w:ascii="Arial" w:eastAsia="Times New Roman" w:hAnsi="Arial" w:cs="Arial"/>
                <w:b/>
                <w:bCs/>
                <w:color w:val="FFFFFF"/>
                <w:sz w:val="20"/>
                <w:szCs w:val="20"/>
                <w:lang w:eastAsia="en-GB"/>
              </w:rPr>
              <w:t xml:space="preserve"> of </w:t>
            </w:r>
            <w:r w:rsidR="00DA4728">
              <w:rPr>
                <w:rFonts w:ascii="Arial" w:eastAsia="Times New Roman" w:hAnsi="Arial" w:cs="Arial"/>
                <w:b/>
                <w:bCs/>
                <w:color w:val="FFFFFF"/>
                <w:sz w:val="20"/>
                <w:szCs w:val="20"/>
                <w:lang w:eastAsia="en-GB"/>
              </w:rPr>
              <w:t>households with no cars</w:t>
            </w:r>
            <w:r w:rsidR="00DC360A">
              <w:rPr>
                <w:rFonts w:ascii="Arial" w:eastAsia="Times New Roman" w:hAnsi="Arial" w:cs="Arial"/>
                <w:b/>
                <w:bCs/>
                <w:color w:val="FFFFFF"/>
                <w:sz w:val="20"/>
                <w:szCs w:val="20"/>
                <w:lang w:eastAsia="en-GB"/>
              </w:rPr>
              <w:t xml:space="preserve"> or vans</w:t>
            </w:r>
          </w:p>
        </w:tc>
        <w:tc>
          <w:tcPr>
            <w:tcW w:w="3053" w:type="dxa"/>
            <w:shd w:val="clear" w:color="000000" w:fill="8497B0"/>
            <w:noWrap/>
            <w:vAlign w:val="center"/>
            <w:hideMark/>
          </w:tcPr>
          <w:p w14:paraId="3381313F" w14:textId="399A4E80" w:rsidR="00C754F0" w:rsidRPr="00C754F0" w:rsidRDefault="00C754F0" w:rsidP="00DC54F7">
            <w:pPr>
              <w:spacing w:after="0" w:line="240" w:lineRule="auto"/>
              <w:jc w:val="both"/>
              <w:rPr>
                <w:rFonts w:ascii="Calibri" w:eastAsia="Times New Roman" w:hAnsi="Calibri" w:cs="Calibri"/>
                <w:b/>
                <w:bCs/>
                <w:color w:val="FFFFFF"/>
                <w:lang w:eastAsia="en-GB"/>
              </w:rPr>
            </w:pPr>
            <w:r w:rsidRPr="00C754F0">
              <w:rPr>
                <w:rFonts w:ascii="Calibri" w:eastAsia="Times New Roman" w:hAnsi="Calibri" w:cs="Calibri"/>
                <w:b/>
                <w:bCs/>
                <w:color w:val="FFFFFF"/>
                <w:lang w:eastAsia="en-GB"/>
              </w:rPr>
              <w:t>Percentage</w:t>
            </w:r>
            <w:r w:rsidR="00DA4728">
              <w:rPr>
                <w:rFonts w:ascii="Calibri" w:eastAsia="Times New Roman" w:hAnsi="Calibri" w:cs="Calibri"/>
                <w:b/>
                <w:bCs/>
                <w:color w:val="FFFFFF"/>
                <w:lang w:eastAsia="en-GB"/>
              </w:rPr>
              <w:t xml:space="preserve"> of households with no cars</w:t>
            </w:r>
            <w:r w:rsidR="00DC360A">
              <w:rPr>
                <w:rFonts w:ascii="Calibri" w:eastAsia="Times New Roman" w:hAnsi="Calibri" w:cs="Calibri"/>
                <w:b/>
                <w:bCs/>
                <w:color w:val="FFFFFF"/>
                <w:lang w:eastAsia="en-GB"/>
              </w:rPr>
              <w:t xml:space="preserve"> or vans</w:t>
            </w:r>
          </w:p>
        </w:tc>
      </w:tr>
      <w:tr w:rsidR="00C754F0" w:rsidRPr="00C754F0" w14:paraId="17C01516" w14:textId="77777777" w:rsidTr="00387321">
        <w:trPr>
          <w:trHeight w:val="280"/>
        </w:trPr>
        <w:tc>
          <w:tcPr>
            <w:tcW w:w="3042" w:type="dxa"/>
            <w:shd w:val="clear" w:color="000000" w:fill="EDEDED"/>
            <w:noWrap/>
            <w:vAlign w:val="center"/>
            <w:hideMark/>
          </w:tcPr>
          <w:p w14:paraId="1F02CCF7" w14:textId="77777777" w:rsidR="00C754F0" w:rsidRPr="00C754F0" w:rsidRDefault="00C754F0" w:rsidP="00DC54F7">
            <w:pPr>
              <w:spacing w:after="0" w:line="240" w:lineRule="auto"/>
              <w:jc w:val="both"/>
              <w:rPr>
                <w:rFonts w:ascii="Arial" w:eastAsia="Times New Roman" w:hAnsi="Arial" w:cs="Arial"/>
                <w:color w:val="000000"/>
                <w:sz w:val="20"/>
                <w:szCs w:val="20"/>
                <w:lang w:eastAsia="en-GB"/>
              </w:rPr>
            </w:pPr>
            <w:r w:rsidRPr="00C754F0">
              <w:rPr>
                <w:rFonts w:ascii="Arial" w:eastAsia="Times New Roman" w:hAnsi="Arial" w:cs="Arial"/>
                <w:color w:val="000000"/>
                <w:sz w:val="20"/>
                <w:szCs w:val="20"/>
                <w:lang w:eastAsia="en-GB"/>
              </w:rPr>
              <w:t>Cardiff</w:t>
            </w:r>
          </w:p>
        </w:tc>
        <w:tc>
          <w:tcPr>
            <w:tcW w:w="3038" w:type="dxa"/>
            <w:shd w:val="clear" w:color="000000" w:fill="EDEDED"/>
            <w:noWrap/>
            <w:vAlign w:val="center"/>
            <w:hideMark/>
          </w:tcPr>
          <w:p w14:paraId="497DD9A6" w14:textId="77777777" w:rsidR="00C754F0" w:rsidRPr="00C754F0" w:rsidRDefault="00C754F0" w:rsidP="00DC54F7">
            <w:pPr>
              <w:spacing w:after="0" w:line="240" w:lineRule="auto"/>
              <w:jc w:val="both"/>
              <w:rPr>
                <w:rFonts w:ascii="Arial" w:eastAsia="Times New Roman" w:hAnsi="Arial" w:cs="Arial"/>
                <w:color w:val="000000"/>
                <w:sz w:val="20"/>
                <w:szCs w:val="20"/>
                <w:lang w:eastAsia="en-GB"/>
              </w:rPr>
            </w:pPr>
            <w:r w:rsidRPr="00C754F0">
              <w:rPr>
                <w:rFonts w:ascii="Arial" w:eastAsia="Times New Roman" w:hAnsi="Arial" w:cs="Arial"/>
                <w:color w:val="000000"/>
                <w:sz w:val="20"/>
                <w:szCs w:val="20"/>
                <w:lang w:eastAsia="en-GB"/>
              </w:rPr>
              <w:t>41,400</w:t>
            </w:r>
          </w:p>
        </w:tc>
        <w:tc>
          <w:tcPr>
            <w:tcW w:w="3053" w:type="dxa"/>
            <w:shd w:val="clear" w:color="000000" w:fill="EDEDED"/>
            <w:noWrap/>
            <w:vAlign w:val="center"/>
            <w:hideMark/>
          </w:tcPr>
          <w:p w14:paraId="7C139ECD" w14:textId="77777777" w:rsidR="00C754F0" w:rsidRPr="00C754F0" w:rsidRDefault="00C754F0" w:rsidP="00DC54F7">
            <w:pPr>
              <w:spacing w:after="0" w:line="240" w:lineRule="auto"/>
              <w:jc w:val="both"/>
              <w:rPr>
                <w:rFonts w:ascii="Calibri" w:eastAsia="Times New Roman" w:hAnsi="Calibri" w:cs="Calibri"/>
                <w:color w:val="000000"/>
                <w:lang w:eastAsia="en-GB"/>
              </w:rPr>
            </w:pPr>
            <w:r w:rsidRPr="00C754F0">
              <w:rPr>
                <w:rFonts w:ascii="Calibri" w:eastAsia="Times New Roman" w:hAnsi="Calibri" w:cs="Calibri"/>
                <w:color w:val="000000"/>
                <w:lang w:eastAsia="en-GB"/>
              </w:rPr>
              <w:t>29.0</w:t>
            </w:r>
          </w:p>
        </w:tc>
      </w:tr>
      <w:tr w:rsidR="00C754F0" w:rsidRPr="00C754F0" w14:paraId="678595FB" w14:textId="77777777" w:rsidTr="00387321">
        <w:trPr>
          <w:trHeight w:val="280"/>
        </w:trPr>
        <w:tc>
          <w:tcPr>
            <w:tcW w:w="3042" w:type="dxa"/>
            <w:shd w:val="clear" w:color="auto" w:fill="auto"/>
            <w:noWrap/>
            <w:vAlign w:val="center"/>
            <w:hideMark/>
          </w:tcPr>
          <w:p w14:paraId="3EF5B526" w14:textId="77777777" w:rsidR="00C754F0" w:rsidRPr="00C754F0" w:rsidRDefault="00C754F0" w:rsidP="00DC54F7">
            <w:pPr>
              <w:spacing w:after="0" w:line="240" w:lineRule="auto"/>
              <w:jc w:val="both"/>
              <w:rPr>
                <w:rFonts w:ascii="Arial" w:eastAsia="Times New Roman" w:hAnsi="Arial" w:cs="Arial"/>
                <w:color w:val="000000"/>
                <w:sz w:val="20"/>
                <w:szCs w:val="20"/>
                <w:lang w:eastAsia="en-GB"/>
              </w:rPr>
            </w:pPr>
            <w:r w:rsidRPr="00C754F0">
              <w:rPr>
                <w:rFonts w:ascii="Arial" w:eastAsia="Times New Roman" w:hAnsi="Arial" w:cs="Arial"/>
                <w:color w:val="000000"/>
                <w:sz w:val="20"/>
                <w:szCs w:val="20"/>
                <w:lang w:eastAsia="en-GB"/>
              </w:rPr>
              <w:t>Vale of Glamorgan</w:t>
            </w:r>
          </w:p>
        </w:tc>
        <w:tc>
          <w:tcPr>
            <w:tcW w:w="3038" w:type="dxa"/>
            <w:shd w:val="clear" w:color="auto" w:fill="auto"/>
            <w:noWrap/>
            <w:vAlign w:val="center"/>
            <w:hideMark/>
          </w:tcPr>
          <w:p w14:paraId="73334992" w14:textId="77777777" w:rsidR="00C754F0" w:rsidRPr="00C754F0" w:rsidRDefault="00C754F0" w:rsidP="00DC54F7">
            <w:pPr>
              <w:spacing w:after="0" w:line="240" w:lineRule="auto"/>
              <w:jc w:val="both"/>
              <w:rPr>
                <w:rFonts w:ascii="Arial" w:eastAsia="Times New Roman" w:hAnsi="Arial" w:cs="Arial"/>
                <w:color w:val="000000"/>
                <w:sz w:val="20"/>
                <w:szCs w:val="20"/>
                <w:lang w:eastAsia="en-GB"/>
              </w:rPr>
            </w:pPr>
            <w:r w:rsidRPr="00C754F0">
              <w:rPr>
                <w:rFonts w:ascii="Arial" w:eastAsia="Times New Roman" w:hAnsi="Arial" w:cs="Arial"/>
                <w:color w:val="000000"/>
                <w:sz w:val="20"/>
                <w:szCs w:val="20"/>
                <w:lang w:eastAsia="en-GB"/>
              </w:rPr>
              <w:t>10,368</w:t>
            </w:r>
          </w:p>
        </w:tc>
        <w:tc>
          <w:tcPr>
            <w:tcW w:w="3053" w:type="dxa"/>
            <w:shd w:val="clear" w:color="auto" w:fill="auto"/>
            <w:noWrap/>
            <w:vAlign w:val="center"/>
            <w:hideMark/>
          </w:tcPr>
          <w:p w14:paraId="119A4CEB" w14:textId="77777777" w:rsidR="00C754F0" w:rsidRPr="00C754F0" w:rsidRDefault="00C754F0" w:rsidP="00DC54F7">
            <w:pPr>
              <w:spacing w:after="0" w:line="240" w:lineRule="auto"/>
              <w:jc w:val="both"/>
              <w:rPr>
                <w:rFonts w:ascii="Calibri" w:eastAsia="Times New Roman" w:hAnsi="Calibri" w:cs="Calibri"/>
                <w:color w:val="000000"/>
                <w:lang w:eastAsia="en-GB"/>
              </w:rPr>
            </w:pPr>
            <w:r w:rsidRPr="00C754F0">
              <w:rPr>
                <w:rFonts w:ascii="Calibri" w:eastAsia="Times New Roman" w:hAnsi="Calibri" w:cs="Calibri"/>
                <w:color w:val="000000"/>
                <w:lang w:eastAsia="en-GB"/>
              </w:rPr>
              <w:t>19.4</w:t>
            </w:r>
          </w:p>
        </w:tc>
      </w:tr>
      <w:tr w:rsidR="00C754F0" w:rsidRPr="00C754F0" w14:paraId="3822A565" w14:textId="77777777" w:rsidTr="00387321">
        <w:trPr>
          <w:trHeight w:val="280"/>
        </w:trPr>
        <w:tc>
          <w:tcPr>
            <w:tcW w:w="3042" w:type="dxa"/>
            <w:shd w:val="clear" w:color="000000" w:fill="EDEDED"/>
            <w:noWrap/>
            <w:vAlign w:val="center"/>
            <w:hideMark/>
          </w:tcPr>
          <w:p w14:paraId="0AD7AA62" w14:textId="77777777" w:rsidR="00C754F0" w:rsidRPr="00C754F0" w:rsidRDefault="00C754F0" w:rsidP="00DC54F7">
            <w:pPr>
              <w:spacing w:after="0" w:line="240" w:lineRule="auto"/>
              <w:jc w:val="both"/>
              <w:rPr>
                <w:rFonts w:ascii="Calibri" w:eastAsia="Times New Roman" w:hAnsi="Calibri" w:cs="Calibri"/>
                <w:color w:val="000000"/>
                <w:lang w:eastAsia="en-GB"/>
              </w:rPr>
            </w:pPr>
            <w:r w:rsidRPr="00C754F0">
              <w:rPr>
                <w:rFonts w:ascii="Calibri" w:eastAsia="Times New Roman" w:hAnsi="Calibri" w:cs="Calibri"/>
                <w:color w:val="000000"/>
                <w:lang w:eastAsia="en-GB"/>
              </w:rPr>
              <w:t>Cardiff and Vale UHB</w:t>
            </w:r>
          </w:p>
        </w:tc>
        <w:tc>
          <w:tcPr>
            <w:tcW w:w="3038" w:type="dxa"/>
            <w:shd w:val="clear" w:color="000000" w:fill="EDEDED"/>
            <w:noWrap/>
            <w:vAlign w:val="center"/>
            <w:hideMark/>
          </w:tcPr>
          <w:p w14:paraId="0EB0302C" w14:textId="77777777" w:rsidR="00C754F0" w:rsidRPr="00C754F0" w:rsidRDefault="00C754F0" w:rsidP="00DC54F7">
            <w:pPr>
              <w:spacing w:after="0" w:line="240" w:lineRule="auto"/>
              <w:jc w:val="both"/>
              <w:rPr>
                <w:rFonts w:ascii="Calibri" w:eastAsia="Times New Roman" w:hAnsi="Calibri" w:cs="Calibri"/>
                <w:color w:val="000000"/>
                <w:lang w:eastAsia="en-GB"/>
              </w:rPr>
            </w:pPr>
            <w:r w:rsidRPr="00C754F0">
              <w:rPr>
                <w:rFonts w:ascii="Calibri" w:eastAsia="Times New Roman" w:hAnsi="Calibri" w:cs="Calibri"/>
                <w:color w:val="000000"/>
                <w:lang w:eastAsia="en-GB"/>
              </w:rPr>
              <w:t>51,768</w:t>
            </w:r>
          </w:p>
        </w:tc>
        <w:tc>
          <w:tcPr>
            <w:tcW w:w="3053" w:type="dxa"/>
            <w:shd w:val="clear" w:color="000000" w:fill="EDEDED"/>
            <w:noWrap/>
            <w:vAlign w:val="center"/>
            <w:hideMark/>
          </w:tcPr>
          <w:p w14:paraId="1834AECD" w14:textId="77777777" w:rsidR="00C754F0" w:rsidRPr="00C754F0" w:rsidRDefault="00C754F0" w:rsidP="00DC54F7">
            <w:pPr>
              <w:spacing w:after="0" w:line="240" w:lineRule="auto"/>
              <w:jc w:val="both"/>
              <w:rPr>
                <w:rFonts w:ascii="Calibri" w:eastAsia="Times New Roman" w:hAnsi="Calibri" w:cs="Calibri"/>
                <w:color w:val="000000"/>
                <w:lang w:eastAsia="en-GB"/>
              </w:rPr>
            </w:pPr>
            <w:r w:rsidRPr="00C754F0">
              <w:rPr>
                <w:rFonts w:ascii="Calibri" w:eastAsia="Times New Roman" w:hAnsi="Calibri" w:cs="Calibri"/>
                <w:color w:val="000000"/>
                <w:lang w:eastAsia="en-GB"/>
              </w:rPr>
              <w:t>26.4</w:t>
            </w:r>
          </w:p>
        </w:tc>
      </w:tr>
      <w:tr w:rsidR="00C754F0" w:rsidRPr="00C754F0" w14:paraId="1489FE10" w14:textId="77777777" w:rsidTr="00387321">
        <w:trPr>
          <w:trHeight w:val="280"/>
        </w:trPr>
        <w:tc>
          <w:tcPr>
            <w:tcW w:w="3042" w:type="dxa"/>
            <w:shd w:val="clear" w:color="auto" w:fill="auto"/>
            <w:noWrap/>
            <w:vAlign w:val="center"/>
            <w:hideMark/>
          </w:tcPr>
          <w:p w14:paraId="242FF301" w14:textId="77777777" w:rsidR="00C754F0" w:rsidRPr="00C754F0" w:rsidRDefault="00C754F0" w:rsidP="00DC54F7">
            <w:pPr>
              <w:spacing w:after="0" w:line="240" w:lineRule="auto"/>
              <w:jc w:val="both"/>
              <w:rPr>
                <w:rFonts w:ascii="Calibri" w:eastAsia="Times New Roman" w:hAnsi="Calibri" w:cs="Calibri"/>
                <w:color w:val="000000"/>
                <w:lang w:eastAsia="en-GB"/>
              </w:rPr>
            </w:pPr>
            <w:r w:rsidRPr="00C754F0">
              <w:rPr>
                <w:rFonts w:ascii="Calibri" w:eastAsia="Times New Roman" w:hAnsi="Calibri" w:cs="Calibri"/>
                <w:color w:val="000000"/>
                <w:lang w:eastAsia="en-GB"/>
              </w:rPr>
              <w:t>Wales</w:t>
            </w:r>
          </w:p>
        </w:tc>
        <w:tc>
          <w:tcPr>
            <w:tcW w:w="3038" w:type="dxa"/>
            <w:shd w:val="clear" w:color="auto" w:fill="auto"/>
            <w:noWrap/>
            <w:vAlign w:val="center"/>
            <w:hideMark/>
          </w:tcPr>
          <w:p w14:paraId="5E8A22A3" w14:textId="77777777" w:rsidR="00C754F0" w:rsidRPr="00C754F0" w:rsidRDefault="00C754F0" w:rsidP="00DC54F7">
            <w:pPr>
              <w:spacing w:after="0" w:line="240" w:lineRule="auto"/>
              <w:jc w:val="both"/>
              <w:rPr>
                <w:rFonts w:ascii="Arial" w:eastAsia="Times New Roman" w:hAnsi="Arial" w:cs="Arial"/>
                <w:color w:val="000000"/>
                <w:sz w:val="20"/>
                <w:szCs w:val="20"/>
                <w:lang w:eastAsia="en-GB"/>
              </w:rPr>
            </w:pPr>
            <w:r w:rsidRPr="00C754F0">
              <w:rPr>
                <w:rFonts w:ascii="Arial" w:eastAsia="Times New Roman" w:hAnsi="Arial" w:cs="Arial"/>
                <w:color w:val="000000"/>
                <w:sz w:val="20"/>
                <w:szCs w:val="20"/>
                <w:lang w:eastAsia="en-GB"/>
              </w:rPr>
              <w:t>298,519</w:t>
            </w:r>
          </w:p>
        </w:tc>
        <w:tc>
          <w:tcPr>
            <w:tcW w:w="3053" w:type="dxa"/>
            <w:shd w:val="clear" w:color="auto" w:fill="auto"/>
            <w:noWrap/>
            <w:vAlign w:val="center"/>
            <w:hideMark/>
          </w:tcPr>
          <w:p w14:paraId="745FA6AC" w14:textId="77777777" w:rsidR="00C754F0" w:rsidRPr="00C754F0" w:rsidRDefault="00C754F0" w:rsidP="00DC54F7">
            <w:pPr>
              <w:spacing w:after="0" w:line="240" w:lineRule="auto"/>
              <w:jc w:val="both"/>
              <w:rPr>
                <w:rFonts w:ascii="Calibri" w:eastAsia="Times New Roman" w:hAnsi="Calibri" w:cs="Calibri"/>
                <w:color w:val="000000"/>
                <w:lang w:eastAsia="en-GB"/>
              </w:rPr>
            </w:pPr>
            <w:r w:rsidRPr="00C754F0">
              <w:rPr>
                <w:rFonts w:ascii="Calibri" w:eastAsia="Times New Roman" w:hAnsi="Calibri" w:cs="Calibri"/>
                <w:color w:val="000000"/>
                <w:lang w:eastAsia="en-GB"/>
              </w:rPr>
              <w:t>22.9</w:t>
            </w:r>
          </w:p>
        </w:tc>
      </w:tr>
    </w:tbl>
    <w:p w14:paraId="38F804A1" w14:textId="6845179D" w:rsidR="006D102D" w:rsidRPr="00FA61D2" w:rsidRDefault="00B4057E" w:rsidP="00DC54F7">
      <w:pPr>
        <w:spacing w:after="0" w:line="240" w:lineRule="auto"/>
        <w:jc w:val="both"/>
        <w:rPr>
          <w:rFonts w:ascii="Arial" w:hAnsi="Arial" w:cs="Arial"/>
          <w:bCs/>
          <w:sz w:val="20"/>
          <w:szCs w:val="20"/>
          <w:lang w:val="en" w:eastAsia="en-GB"/>
        </w:rPr>
      </w:pPr>
      <w:r w:rsidRPr="00FA61D2">
        <w:rPr>
          <w:rFonts w:ascii="Arial" w:hAnsi="Arial" w:cs="Arial"/>
          <w:bCs/>
          <w:sz w:val="20"/>
          <w:szCs w:val="20"/>
          <w:lang w:val="en" w:eastAsia="en-GB"/>
        </w:rPr>
        <w:t xml:space="preserve">Source: Nomis </w:t>
      </w:r>
      <w:r w:rsidR="00980BCC" w:rsidRPr="00FA61D2">
        <w:rPr>
          <w:rFonts w:ascii="Arial" w:hAnsi="Arial" w:cs="Arial"/>
          <w:bCs/>
          <w:sz w:val="20"/>
          <w:szCs w:val="20"/>
          <w:lang w:val="en" w:eastAsia="en-GB"/>
        </w:rPr>
        <w:t>–</w:t>
      </w:r>
      <w:r w:rsidRPr="00FA61D2">
        <w:rPr>
          <w:rFonts w:ascii="Arial" w:hAnsi="Arial" w:cs="Arial"/>
          <w:bCs/>
          <w:sz w:val="20"/>
          <w:szCs w:val="20"/>
          <w:lang w:val="en" w:eastAsia="en-GB"/>
        </w:rPr>
        <w:t xml:space="preserve"> Cens</w:t>
      </w:r>
      <w:r w:rsidR="00980BCC" w:rsidRPr="00FA61D2">
        <w:rPr>
          <w:rFonts w:ascii="Arial" w:hAnsi="Arial" w:cs="Arial"/>
          <w:bCs/>
          <w:sz w:val="20"/>
          <w:szCs w:val="20"/>
          <w:lang w:val="en" w:eastAsia="en-GB"/>
        </w:rPr>
        <w:t>us, 2011</w:t>
      </w:r>
    </w:p>
    <w:p w14:paraId="6BA69691" w14:textId="77777777" w:rsidR="00FA5B9A" w:rsidRDefault="00FA5B9A" w:rsidP="00DC54F7">
      <w:pPr>
        <w:spacing w:after="0" w:line="240" w:lineRule="auto"/>
        <w:jc w:val="both"/>
        <w:rPr>
          <w:rFonts w:ascii="Arial" w:hAnsi="Arial" w:cs="Arial"/>
          <w:b/>
          <w:sz w:val="26"/>
          <w:szCs w:val="26"/>
          <w:lang w:val="en" w:eastAsia="en-GB"/>
        </w:rPr>
      </w:pPr>
    </w:p>
    <w:p w14:paraId="0B567D0A" w14:textId="77777777" w:rsidR="00FA5B9A" w:rsidRDefault="00FA5B9A" w:rsidP="00DC54F7">
      <w:pPr>
        <w:spacing w:after="0" w:line="240" w:lineRule="auto"/>
        <w:jc w:val="both"/>
        <w:rPr>
          <w:rFonts w:ascii="Arial" w:hAnsi="Arial" w:cs="Arial"/>
          <w:b/>
          <w:sz w:val="26"/>
          <w:szCs w:val="26"/>
          <w:lang w:val="en" w:eastAsia="en-GB"/>
        </w:rPr>
      </w:pPr>
    </w:p>
    <w:p w14:paraId="2B2B4AE7" w14:textId="70EB3B7F" w:rsidR="00B63860" w:rsidRDefault="0014607D" w:rsidP="00DC54F7">
      <w:pPr>
        <w:spacing w:after="0" w:line="240" w:lineRule="auto"/>
        <w:jc w:val="both"/>
        <w:rPr>
          <w:rFonts w:ascii="Arial" w:hAnsi="Arial" w:cs="Arial"/>
          <w:b/>
          <w:sz w:val="26"/>
          <w:szCs w:val="26"/>
          <w:lang w:val="en" w:eastAsia="en-GB"/>
        </w:rPr>
      </w:pPr>
      <w:r w:rsidRPr="00A10850">
        <w:rPr>
          <w:rFonts w:ascii="Arial" w:hAnsi="Arial" w:cs="Arial"/>
          <w:b/>
          <w:sz w:val="26"/>
          <w:szCs w:val="26"/>
          <w:lang w:val="en" w:eastAsia="en-GB"/>
        </w:rPr>
        <w:t>2.</w:t>
      </w:r>
      <w:r w:rsidR="00F3746B" w:rsidRPr="00A10850">
        <w:rPr>
          <w:rFonts w:ascii="Arial" w:hAnsi="Arial" w:cs="Arial"/>
          <w:b/>
          <w:sz w:val="26"/>
          <w:szCs w:val="26"/>
          <w:lang w:val="en" w:eastAsia="en-GB"/>
        </w:rPr>
        <w:t>1</w:t>
      </w:r>
      <w:r w:rsidR="00D3388A" w:rsidRPr="00A10850">
        <w:rPr>
          <w:rFonts w:ascii="Arial" w:hAnsi="Arial" w:cs="Arial"/>
          <w:b/>
          <w:sz w:val="26"/>
          <w:szCs w:val="26"/>
          <w:lang w:val="en" w:eastAsia="en-GB"/>
        </w:rPr>
        <w:t>3</w:t>
      </w:r>
      <w:r w:rsidRPr="00A10850">
        <w:rPr>
          <w:rFonts w:ascii="Arial" w:hAnsi="Arial" w:cs="Arial"/>
          <w:b/>
          <w:sz w:val="26"/>
          <w:szCs w:val="26"/>
          <w:lang w:val="en" w:eastAsia="en-GB"/>
        </w:rPr>
        <w:t xml:space="preserve"> </w:t>
      </w:r>
      <w:r w:rsidR="00B63860" w:rsidRPr="00A10850">
        <w:rPr>
          <w:rFonts w:ascii="Arial" w:hAnsi="Arial" w:cs="Arial"/>
          <w:b/>
          <w:sz w:val="26"/>
          <w:szCs w:val="26"/>
          <w:lang w:val="en" w:eastAsia="en-GB"/>
        </w:rPr>
        <w:t>Economic activity</w:t>
      </w:r>
    </w:p>
    <w:p w14:paraId="47A2BF1A" w14:textId="77777777" w:rsidR="00B42AE1" w:rsidRDefault="00B42AE1" w:rsidP="00DC54F7">
      <w:pPr>
        <w:spacing w:after="0" w:line="240" w:lineRule="auto"/>
        <w:jc w:val="both"/>
      </w:pPr>
    </w:p>
    <w:p w14:paraId="34CEABD3" w14:textId="4B17525E" w:rsidR="00E07774" w:rsidRPr="009E76BB" w:rsidRDefault="00140473" w:rsidP="00DC54F7">
      <w:pPr>
        <w:spacing w:after="0" w:line="240" w:lineRule="auto"/>
        <w:jc w:val="both"/>
        <w:rPr>
          <w:rFonts w:ascii="Arial" w:hAnsi="Arial" w:cs="Arial"/>
          <w:sz w:val="24"/>
          <w:szCs w:val="24"/>
        </w:rPr>
      </w:pPr>
      <w:r w:rsidRPr="009E76BB">
        <w:rPr>
          <w:rFonts w:ascii="Arial" w:hAnsi="Arial" w:cs="Arial"/>
          <w:sz w:val="24"/>
          <w:szCs w:val="24"/>
        </w:rPr>
        <w:t>For</w:t>
      </w:r>
      <w:r w:rsidR="00FA3D38" w:rsidRPr="009E76BB">
        <w:rPr>
          <w:rFonts w:ascii="Arial" w:hAnsi="Arial" w:cs="Arial"/>
          <w:sz w:val="24"/>
          <w:szCs w:val="24"/>
        </w:rPr>
        <w:t xml:space="preserve"> the year ending June 2019, both Cardiff and the Vale of Glamorgan ha</w:t>
      </w:r>
      <w:r w:rsidR="00E868F9" w:rsidRPr="009E76BB">
        <w:rPr>
          <w:rFonts w:ascii="Arial" w:hAnsi="Arial" w:cs="Arial"/>
          <w:sz w:val="24"/>
          <w:szCs w:val="24"/>
        </w:rPr>
        <w:t>ve</w:t>
      </w:r>
      <w:r w:rsidR="00FA3D38" w:rsidRPr="009E76BB">
        <w:rPr>
          <w:rFonts w:ascii="Arial" w:hAnsi="Arial" w:cs="Arial"/>
          <w:sz w:val="24"/>
          <w:szCs w:val="24"/>
        </w:rPr>
        <w:t xml:space="preserve"> similar </w:t>
      </w:r>
      <w:r w:rsidR="00B42AE1" w:rsidRPr="009E76BB">
        <w:rPr>
          <w:rFonts w:ascii="Arial" w:hAnsi="Arial" w:cs="Arial"/>
          <w:sz w:val="24"/>
          <w:szCs w:val="24"/>
        </w:rPr>
        <w:t>unemployment rates</w:t>
      </w:r>
      <w:r w:rsidR="00E17A17" w:rsidRPr="009E76BB">
        <w:rPr>
          <w:rFonts w:ascii="Arial" w:hAnsi="Arial" w:cs="Arial"/>
          <w:sz w:val="24"/>
          <w:szCs w:val="24"/>
        </w:rPr>
        <w:t xml:space="preserve"> (percentage of the economically active population who are unemployed)</w:t>
      </w:r>
      <w:r w:rsidR="001D0097" w:rsidRPr="009E76BB">
        <w:rPr>
          <w:rFonts w:ascii="Arial" w:hAnsi="Arial" w:cs="Arial"/>
          <w:sz w:val="24"/>
          <w:szCs w:val="24"/>
        </w:rPr>
        <w:t xml:space="preserve">, which </w:t>
      </w:r>
      <w:r w:rsidR="00926984" w:rsidRPr="009E76BB">
        <w:rPr>
          <w:rFonts w:ascii="Arial" w:hAnsi="Arial" w:cs="Arial"/>
          <w:sz w:val="24"/>
          <w:szCs w:val="24"/>
        </w:rPr>
        <w:t>are</w:t>
      </w:r>
      <w:r w:rsidR="001D0097" w:rsidRPr="009E76BB">
        <w:rPr>
          <w:rFonts w:ascii="Arial" w:hAnsi="Arial" w:cs="Arial"/>
          <w:sz w:val="24"/>
          <w:szCs w:val="24"/>
        </w:rPr>
        <w:t xml:space="preserve"> lower </w:t>
      </w:r>
      <w:r w:rsidR="00F95718" w:rsidRPr="009E76BB">
        <w:rPr>
          <w:rFonts w:ascii="Arial" w:hAnsi="Arial" w:cs="Arial"/>
          <w:sz w:val="24"/>
          <w:szCs w:val="24"/>
        </w:rPr>
        <w:t>than the average for Wales</w:t>
      </w:r>
      <w:r w:rsidR="00E17A17" w:rsidRPr="009E76BB">
        <w:rPr>
          <w:rFonts w:ascii="Arial" w:hAnsi="Arial" w:cs="Arial"/>
          <w:sz w:val="24"/>
          <w:szCs w:val="24"/>
        </w:rPr>
        <w:t xml:space="preserve">. </w:t>
      </w:r>
    </w:p>
    <w:p w14:paraId="2C4E8423" w14:textId="77777777" w:rsidR="00D648BD" w:rsidRDefault="00D648BD" w:rsidP="00DC54F7">
      <w:pPr>
        <w:spacing w:after="0" w:line="240" w:lineRule="auto"/>
        <w:jc w:val="both"/>
        <w:rPr>
          <w:rFonts w:ascii="Arial" w:hAnsi="Arial" w:cs="Arial"/>
          <w:b/>
          <w:bCs/>
        </w:rPr>
      </w:pPr>
    </w:p>
    <w:p w14:paraId="77A29C22" w14:textId="1E4A0F77" w:rsidR="00E07774" w:rsidRPr="009E76BB" w:rsidRDefault="00E272B1" w:rsidP="00DC54F7">
      <w:pPr>
        <w:spacing w:after="0" w:line="240" w:lineRule="auto"/>
        <w:jc w:val="both"/>
        <w:rPr>
          <w:rFonts w:ascii="Arial" w:hAnsi="Arial" w:cs="Arial"/>
          <w:b/>
          <w:bCs/>
          <w:sz w:val="24"/>
          <w:szCs w:val="24"/>
        </w:rPr>
      </w:pPr>
      <w:r w:rsidRPr="009E76BB">
        <w:rPr>
          <w:rFonts w:ascii="Arial" w:hAnsi="Arial" w:cs="Arial"/>
          <w:b/>
          <w:bCs/>
          <w:sz w:val="24"/>
          <w:szCs w:val="24"/>
        </w:rPr>
        <w:t xml:space="preserve">Table </w:t>
      </w:r>
      <w:r w:rsidR="003D65CC" w:rsidRPr="009E76BB">
        <w:rPr>
          <w:rFonts w:ascii="Arial" w:hAnsi="Arial" w:cs="Arial"/>
          <w:b/>
          <w:bCs/>
          <w:sz w:val="24"/>
          <w:szCs w:val="24"/>
        </w:rPr>
        <w:t>2.1</w:t>
      </w:r>
      <w:r w:rsidR="008B2D50" w:rsidRPr="009E76BB">
        <w:rPr>
          <w:rFonts w:ascii="Arial" w:hAnsi="Arial" w:cs="Arial"/>
          <w:b/>
          <w:bCs/>
          <w:sz w:val="24"/>
          <w:szCs w:val="24"/>
        </w:rPr>
        <w:t>3</w:t>
      </w:r>
      <w:r w:rsidR="00C32BE7" w:rsidRPr="009E76BB">
        <w:rPr>
          <w:rFonts w:ascii="Arial" w:hAnsi="Arial" w:cs="Arial"/>
          <w:b/>
          <w:bCs/>
          <w:sz w:val="24"/>
          <w:szCs w:val="24"/>
        </w:rPr>
        <w:t>:</w:t>
      </w:r>
      <w:r w:rsidR="000F62DA" w:rsidRPr="009E76BB">
        <w:rPr>
          <w:rFonts w:ascii="Arial" w:hAnsi="Arial" w:cs="Arial"/>
          <w:b/>
          <w:bCs/>
          <w:sz w:val="24"/>
          <w:szCs w:val="24"/>
        </w:rPr>
        <w:t xml:space="preserve"> Summary of economic activity by </w:t>
      </w:r>
      <w:r w:rsidR="00567F4B" w:rsidRPr="009E76BB">
        <w:rPr>
          <w:rFonts w:ascii="Arial" w:hAnsi="Arial" w:cs="Arial"/>
          <w:b/>
          <w:bCs/>
          <w:sz w:val="24"/>
          <w:szCs w:val="24"/>
        </w:rPr>
        <w:t>local</w:t>
      </w:r>
      <w:r w:rsidR="000F62DA" w:rsidRPr="009E76BB">
        <w:rPr>
          <w:rFonts w:ascii="Arial" w:hAnsi="Arial" w:cs="Arial"/>
          <w:b/>
          <w:bCs/>
          <w:sz w:val="24"/>
          <w:szCs w:val="24"/>
        </w:rPr>
        <w:t xml:space="preserve"> authority</w:t>
      </w:r>
      <w:r w:rsidR="004E0855" w:rsidRPr="009E76BB">
        <w:rPr>
          <w:rFonts w:ascii="Arial" w:hAnsi="Arial" w:cs="Arial"/>
          <w:b/>
          <w:bCs/>
          <w:sz w:val="24"/>
          <w:szCs w:val="24"/>
        </w:rPr>
        <w:t xml:space="preserve"> and Wales, 2019</w:t>
      </w:r>
    </w:p>
    <w:tbl>
      <w:tblPr>
        <w:tblW w:w="9120" w:type="dxa"/>
        <w:tblLayout w:type="fixed"/>
        <w:tblLook w:val="04A0" w:firstRow="1" w:lastRow="0" w:firstColumn="1" w:lastColumn="0" w:noHBand="0" w:noVBand="1"/>
      </w:tblPr>
      <w:tblGrid>
        <w:gridCol w:w="1896"/>
        <w:gridCol w:w="1774"/>
        <w:gridCol w:w="1776"/>
        <w:gridCol w:w="1775"/>
        <w:gridCol w:w="1899"/>
      </w:tblGrid>
      <w:tr w:rsidR="005964A3" w:rsidRPr="005964A3" w14:paraId="5B0FC40A" w14:textId="77777777" w:rsidTr="00387321">
        <w:trPr>
          <w:trHeight w:val="259"/>
        </w:trPr>
        <w:tc>
          <w:tcPr>
            <w:tcW w:w="1896" w:type="dxa"/>
            <w:tcBorders>
              <w:top w:val="single" w:sz="4" w:space="0" w:color="auto"/>
              <w:left w:val="single" w:sz="4" w:space="0" w:color="auto"/>
              <w:right w:val="nil"/>
            </w:tcBorders>
            <w:shd w:val="clear" w:color="000000" w:fill="8497B0"/>
            <w:noWrap/>
            <w:vAlign w:val="bottom"/>
            <w:hideMark/>
          </w:tcPr>
          <w:p w14:paraId="1437D6BE" w14:textId="77777777"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 </w:t>
            </w:r>
          </w:p>
        </w:tc>
        <w:tc>
          <w:tcPr>
            <w:tcW w:w="7224" w:type="dxa"/>
            <w:gridSpan w:val="4"/>
            <w:tcBorders>
              <w:top w:val="single" w:sz="4" w:space="0" w:color="auto"/>
              <w:left w:val="nil"/>
              <w:right w:val="single" w:sz="4" w:space="0" w:color="auto"/>
            </w:tcBorders>
            <w:shd w:val="clear" w:color="000000" w:fill="8497B0"/>
            <w:noWrap/>
            <w:vAlign w:val="bottom"/>
            <w:hideMark/>
          </w:tcPr>
          <w:p w14:paraId="3D35FBF5" w14:textId="77777777" w:rsidR="005964A3" w:rsidRPr="005964A3" w:rsidRDefault="005964A3" w:rsidP="00DC54F7">
            <w:pPr>
              <w:spacing w:after="0" w:line="240" w:lineRule="auto"/>
              <w:jc w:val="both"/>
              <w:rPr>
                <w:rFonts w:ascii="Calibri" w:eastAsia="Times New Roman" w:hAnsi="Calibri" w:cs="Calibri"/>
                <w:b/>
                <w:bCs/>
                <w:color w:val="FFFFFF"/>
                <w:lang w:eastAsia="en-GB"/>
              </w:rPr>
            </w:pPr>
            <w:r w:rsidRPr="005964A3">
              <w:rPr>
                <w:rFonts w:ascii="Calibri" w:eastAsia="Times New Roman" w:hAnsi="Calibri" w:cs="Calibri"/>
                <w:b/>
                <w:bCs/>
                <w:color w:val="FFFFFF"/>
                <w:lang w:eastAsia="en-GB"/>
              </w:rPr>
              <w:t>Population Age</w:t>
            </w:r>
          </w:p>
        </w:tc>
      </w:tr>
      <w:tr w:rsidR="005964A3" w:rsidRPr="005964A3" w14:paraId="688EF2B4" w14:textId="77777777" w:rsidTr="00387321">
        <w:trPr>
          <w:trHeight w:val="259"/>
        </w:trPr>
        <w:tc>
          <w:tcPr>
            <w:tcW w:w="1896" w:type="dxa"/>
            <w:tcBorders>
              <w:top w:val="nil"/>
              <w:left w:val="single" w:sz="4" w:space="0" w:color="auto"/>
              <w:right w:val="nil"/>
            </w:tcBorders>
            <w:shd w:val="clear" w:color="000000" w:fill="8497B0"/>
            <w:noWrap/>
            <w:vAlign w:val="bottom"/>
            <w:hideMark/>
          </w:tcPr>
          <w:p w14:paraId="06E08BE7" w14:textId="77777777"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 </w:t>
            </w:r>
          </w:p>
        </w:tc>
        <w:tc>
          <w:tcPr>
            <w:tcW w:w="3550" w:type="dxa"/>
            <w:gridSpan w:val="2"/>
            <w:tcBorders>
              <w:top w:val="nil"/>
              <w:left w:val="nil"/>
              <w:right w:val="nil"/>
            </w:tcBorders>
            <w:shd w:val="clear" w:color="000000" w:fill="8497B0"/>
            <w:vAlign w:val="bottom"/>
            <w:hideMark/>
          </w:tcPr>
          <w:p w14:paraId="6F63CF58" w14:textId="4B14AD3E" w:rsidR="005964A3" w:rsidRPr="005964A3" w:rsidRDefault="005964A3" w:rsidP="00DC54F7">
            <w:pPr>
              <w:spacing w:after="0" w:line="240" w:lineRule="auto"/>
              <w:jc w:val="both"/>
              <w:rPr>
                <w:rFonts w:ascii="Calibri" w:eastAsia="Times New Roman" w:hAnsi="Calibri" w:cs="Calibri"/>
                <w:b/>
                <w:bCs/>
                <w:color w:val="FFFFFF"/>
                <w:lang w:eastAsia="en-GB"/>
              </w:rPr>
            </w:pPr>
            <w:r w:rsidRPr="005964A3">
              <w:rPr>
                <w:rFonts w:ascii="Calibri" w:eastAsia="Times New Roman" w:hAnsi="Calibri" w:cs="Calibri"/>
                <w:b/>
                <w:bCs/>
                <w:color w:val="FFFFFF"/>
                <w:lang w:eastAsia="en-GB"/>
              </w:rPr>
              <w:t>16</w:t>
            </w:r>
            <w:r w:rsidR="001D0097">
              <w:rPr>
                <w:rFonts w:ascii="Calibri" w:eastAsia="Times New Roman" w:hAnsi="Calibri" w:cs="Calibri"/>
                <w:b/>
                <w:bCs/>
                <w:color w:val="FFFFFF"/>
                <w:lang w:eastAsia="en-GB"/>
              </w:rPr>
              <w:t xml:space="preserve"> years</w:t>
            </w:r>
            <w:r w:rsidRPr="005964A3">
              <w:rPr>
                <w:rFonts w:ascii="Calibri" w:eastAsia="Times New Roman" w:hAnsi="Calibri" w:cs="Calibri"/>
                <w:b/>
                <w:bCs/>
                <w:color w:val="FFFFFF"/>
                <w:lang w:eastAsia="en-GB"/>
              </w:rPr>
              <w:t xml:space="preserve"> and over</w:t>
            </w:r>
          </w:p>
        </w:tc>
        <w:tc>
          <w:tcPr>
            <w:tcW w:w="3674" w:type="dxa"/>
            <w:gridSpan w:val="2"/>
            <w:tcBorders>
              <w:top w:val="nil"/>
              <w:left w:val="nil"/>
              <w:right w:val="single" w:sz="4" w:space="0" w:color="auto"/>
            </w:tcBorders>
            <w:shd w:val="clear" w:color="000000" w:fill="8497B0"/>
            <w:noWrap/>
            <w:vAlign w:val="bottom"/>
            <w:hideMark/>
          </w:tcPr>
          <w:p w14:paraId="6316462C" w14:textId="013BAC5A" w:rsidR="005964A3" w:rsidRPr="005964A3" w:rsidRDefault="005964A3" w:rsidP="00DC54F7">
            <w:pPr>
              <w:spacing w:after="0" w:line="240" w:lineRule="auto"/>
              <w:jc w:val="both"/>
              <w:rPr>
                <w:rFonts w:ascii="Calibri" w:eastAsia="Times New Roman" w:hAnsi="Calibri" w:cs="Calibri"/>
                <w:b/>
                <w:bCs/>
                <w:color w:val="FFFFFF"/>
                <w:lang w:eastAsia="en-GB"/>
              </w:rPr>
            </w:pPr>
            <w:r w:rsidRPr="005964A3">
              <w:rPr>
                <w:rFonts w:ascii="Calibri" w:eastAsia="Times New Roman" w:hAnsi="Calibri" w:cs="Calibri"/>
                <w:b/>
                <w:bCs/>
                <w:color w:val="FFFFFF"/>
                <w:lang w:eastAsia="en-GB"/>
              </w:rPr>
              <w:t>16 to 64</w:t>
            </w:r>
            <w:r w:rsidR="001D0097">
              <w:rPr>
                <w:rFonts w:ascii="Calibri" w:eastAsia="Times New Roman" w:hAnsi="Calibri" w:cs="Calibri"/>
                <w:b/>
                <w:bCs/>
                <w:color w:val="FFFFFF"/>
                <w:lang w:eastAsia="en-GB"/>
              </w:rPr>
              <w:t xml:space="preserve"> years</w:t>
            </w:r>
          </w:p>
        </w:tc>
      </w:tr>
      <w:tr w:rsidR="005964A3" w:rsidRPr="005964A3" w14:paraId="0CAE7AC7" w14:textId="77777777" w:rsidTr="00387321">
        <w:trPr>
          <w:trHeight w:val="519"/>
        </w:trPr>
        <w:tc>
          <w:tcPr>
            <w:tcW w:w="1896" w:type="dxa"/>
            <w:tcBorders>
              <w:left w:val="single" w:sz="4" w:space="0" w:color="auto"/>
              <w:right w:val="nil"/>
            </w:tcBorders>
            <w:shd w:val="clear" w:color="000000" w:fill="8497B0"/>
            <w:noWrap/>
            <w:vAlign w:val="bottom"/>
            <w:hideMark/>
          </w:tcPr>
          <w:p w14:paraId="4F01D2BC" w14:textId="77777777" w:rsidR="005964A3" w:rsidRPr="005964A3" w:rsidRDefault="005964A3" w:rsidP="00DC54F7">
            <w:pPr>
              <w:spacing w:after="0" w:line="240" w:lineRule="auto"/>
              <w:jc w:val="both"/>
              <w:rPr>
                <w:rFonts w:ascii="Calibri" w:eastAsia="Times New Roman" w:hAnsi="Calibri" w:cs="Calibri"/>
                <w:b/>
                <w:bCs/>
                <w:color w:val="FFFFFF"/>
                <w:lang w:eastAsia="en-GB"/>
              </w:rPr>
            </w:pPr>
            <w:r w:rsidRPr="005964A3">
              <w:rPr>
                <w:rFonts w:ascii="Calibri" w:eastAsia="Times New Roman" w:hAnsi="Calibri" w:cs="Calibri"/>
                <w:b/>
                <w:bCs/>
                <w:color w:val="FFFFFF"/>
                <w:lang w:eastAsia="en-GB"/>
              </w:rPr>
              <w:t>Area</w:t>
            </w:r>
          </w:p>
        </w:tc>
        <w:tc>
          <w:tcPr>
            <w:tcW w:w="1774" w:type="dxa"/>
            <w:tcBorders>
              <w:left w:val="nil"/>
              <w:right w:val="nil"/>
            </w:tcBorders>
            <w:shd w:val="clear" w:color="000000" w:fill="8497B0"/>
            <w:vAlign w:val="bottom"/>
            <w:hideMark/>
          </w:tcPr>
          <w:p w14:paraId="13FE4CFE" w14:textId="176EAFE2" w:rsidR="005964A3" w:rsidRPr="005964A3" w:rsidRDefault="005964A3" w:rsidP="00DC54F7">
            <w:pPr>
              <w:spacing w:after="0" w:line="240" w:lineRule="auto"/>
              <w:jc w:val="both"/>
              <w:rPr>
                <w:rFonts w:ascii="Calibri" w:eastAsia="Times New Roman" w:hAnsi="Calibri" w:cs="Calibri"/>
                <w:b/>
                <w:bCs/>
                <w:color w:val="FFFFFF"/>
                <w:lang w:eastAsia="en-GB"/>
              </w:rPr>
            </w:pPr>
            <w:r w:rsidRPr="005964A3">
              <w:rPr>
                <w:rFonts w:ascii="Calibri" w:eastAsia="Times New Roman" w:hAnsi="Calibri" w:cs="Calibri"/>
                <w:b/>
                <w:bCs/>
                <w:color w:val="FFFFFF"/>
                <w:lang w:eastAsia="en-GB"/>
              </w:rPr>
              <w:t>Unemployment Rate</w:t>
            </w:r>
            <w:r w:rsidR="00F62764">
              <w:rPr>
                <w:rFonts w:ascii="Calibri" w:eastAsia="Times New Roman" w:hAnsi="Calibri" w:cs="Calibri"/>
                <w:b/>
                <w:bCs/>
                <w:color w:val="FFFFFF"/>
                <w:lang w:eastAsia="en-GB"/>
              </w:rPr>
              <w:t xml:space="preserve"> (percentage)</w:t>
            </w:r>
            <w:r w:rsidRPr="005964A3">
              <w:rPr>
                <w:rFonts w:ascii="Calibri" w:eastAsia="Times New Roman" w:hAnsi="Calibri" w:cs="Calibri"/>
                <w:b/>
                <w:bCs/>
                <w:color w:val="FFFFFF"/>
                <w:lang w:eastAsia="en-GB"/>
              </w:rPr>
              <w:t xml:space="preserve"> </w:t>
            </w:r>
          </w:p>
        </w:tc>
        <w:tc>
          <w:tcPr>
            <w:tcW w:w="1775" w:type="dxa"/>
            <w:tcBorders>
              <w:left w:val="nil"/>
              <w:right w:val="nil"/>
            </w:tcBorders>
            <w:shd w:val="clear" w:color="000000" w:fill="8497B0"/>
            <w:vAlign w:val="bottom"/>
            <w:hideMark/>
          </w:tcPr>
          <w:p w14:paraId="1DDC65D2" w14:textId="6C415D64" w:rsidR="005964A3" w:rsidRPr="005964A3" w:rsidRDefault="005964A3" w:rsidP="00DC54F7">
            <w:pPr>
              <w:spacing w:after="0" w:line="240" w:lineRule="auto"/>
              <w:jc w:val="both"/>
              <w:rPr>
                <w:rFonts w:ascii="Calibri" w:eastAsia="Times New Roman" w:hAnsi="Calibri" w:cs="Calibri"/>
                <w:b/>
                <w:bCs/>
                <w:color w:val="FFFFFF"/>
                <w:lang w:eastAsia="en-GB"/>
              </w:rPr>
            </w:pPr>
            <w:r w:rsidRPr="005964A3">
              <w:rPr>
                <w:rFonts w:ascii="Calibri" w:eastAsia="Times New Roman" w:hAnsi="Calibri" w:cs="Calibri"/>
                <w:b/>
                <w:bCs/>
                <w:color w:val="FFFFFF"/>
                <w:lang w:eastAsia="en-GB"/>
              </w:rPr>
              <w:t>Employment level</w:t>
            </w:r>
            <w:r w:rsidR="00F62764">
              <w:rPr>
                <w:rFonts w:ascii="Calibri" w:eastAsia="Times New Roman" w:hAnsi="Calibri" w:cs="Calibri"/>
                <w:b/>
                <w:bCs/>
                <w:color w:val="FFFFFF"/>
                <w:lang w:eastAsia="en-GB"/>
              </w:rPr>
              <w:t xml:space="preserve"> (</w:t>
            </w:r>
            <w:r w:rsidR="001A5A75">
              <w:rPr>
                <w:rFonts w:ascii="Calibri" w:eastAsia="Times New Roman" w:hAnsi="Calibri" w:cs="Calibri"/>
                <w:b/>
                <w:bCs/>
                <w:color w:val="FFFFFF"/>
                <w:lang w:eastAsia="en-GB"/>
              </w:rPr>
              <w:t>number of people</w:t>
            </w:r>
            <w:r w:rsidR="00F62764">
              <w:rPr>
                <w:rFonts w:ascii="Calibri" w:eastAsia="Times New Roman" w:hAnsi="Calibri" w:cs="Calibri"/>
                <w:b/>
                <w:bCs/>
                <w:color w:val="FFFFFF"/>
                <w:lang w:eastAsia="en-GB"/>
              </w:rPr>
              <w:t>)</w:t>
            </w:r>
            <w:r w:rsidRPr="005964A3">
              <w:rPr>
                <w:rFonts w:ascii="Calibri" w:eastAsia="Times New Roman" w:hAnsi="Calibri" w:cs="Calibri"/>
                <w:b/>
                <w:bCs/>
                <w:color w:val="FFFFFF"/>
                <w:lang w:eastAsia="en-GB"/>
              </w:rPr>
              <w:t xml:space="preserve"> </w:t>
            </w:r>
          </w:p>
        </w:tc>
        <w:tc>
          <w:tcPr>
            <w:tcW w:w="1775" w:type="dxa"/>
            <w:tcBorders>
              <w:left w:val="nil"/>
              <w:right w:val="nil"/>
            </w:tcBorders>
            <w:shd w:val="clear" w:color="000000" w:fill="8497B0"/>
            <w:vAlign w:val="bottom"/>
            <w:hideMark/>
          </w:tcPr>
          <w:p w14:paraId="2B3AEFF3" w14:textId="7A9F67BD" w:rsidR="005964A3" w:rsidRPr="005964A3" w:rsidRDefault="005964A3" w:rsidP="00DC54F7">
            <w:pPr>
              <w:spacing w:after="0" w:line="240" w:lineRule="auto"/>
              <w:jc w:val="both"/>
              <w:rPr>
                <w:rFonts w:ascii="Calibri" w:eastAsia="Times New Roman" w:hAnsi="Calibri" w:cs="Calibri"/>
                <w:b/>
                <w:bCs/>
                <w:color w:val="FFFFFF"/>
                <w:lang w:eastAsia="en-GB"/>
              </w:rPr>
            </w:pPr>
            <w:r w:rsidRPr="005964A3">
              <w:rPr>
                <w:rFonts w:ascii="Calibri" w:eastAsia="Times New Roman" w:hAnsi="Calibri" w:cs="Calibri"/>
                <w:b/>
                <w:bCs/>
                <w:color w:val="FFFFFF"/>
                <w:lang w:eastAsia="en-GB"/>
              </w:rPr>
              <w:t>Employment Rate</w:t>
            </w:r>
            <w:r w:rsidR="00F62764">
              <w:rPr>
                <w:rFonts w:ascii="Calibri" w:eastAsia="Times New Roman" w:hAnsi="Calibri" w:cs="Calibri"/>
                <w:b/>
                <w:bCs/>
                <w:color w:val="FFFFFF"/>
                <w:lang w:eastAsia="en-GB"/>
              </w:rPr>
              <w:t xml:space="preserve"> (percentage)</w:t>
            </w:r>
            <w:r w:rsidRPr="005964A3">
              <w:rPr>
                <w:rFonts w:ascii="Calibri" w:eastAsia="Times New Roman" w:hAnsi="Calibri" w:cs="Calibri"/>
                <w:b/>
                <w:bCs/>
                <w:color w:val="FFFFFF"/>
                <w:lang w:eastAsia="en-GB"/>
              </w:rPr>
              <w:t xml:space="preserve"> </w:t>
            </w:r>
          </w:p>
        </w:tc>
        <w:tc>
          <w:tcPr>
            <w:tcW w:w="1899" w:type="dxa"/>
            <w:tcBorders>
              <w:left w:val="nil"/>
              <w:right w:val="single" w:sz="4" w:space="0" w:color="auto"/>
            </w:tcBorders>
            <w:shd w:val="clear" w:color="000000" w:fill="8497B0"/>
            <w:vAlign w:val="bottom"/>
            <w:hideMark/>
          </w:tcPr>
          <w:p w14:paraId="0F13FBC5" w14:textId="6BA0E9C2" w:rsidR="005964A3" w:rsidRPr="005964A3" w:rsidRDefault="005964A3" w:rsidP="00DC54F7">
            <w:pPr>
              <w:spacing w:after="0" w:line="240" w:lineRule="auto"/>
              <w:jc w:val="both"/>
              <w:rPr>
                <w:rFonts w:ascii="Calibri" w:eastAsia="Times New Roman" w:hAnsi="Calibri" w:cs="Calibri"/>
                <w:b/>
                <w:bCs/>
                <w:color w:val="FFFFFF"/>
                <w:lang w:eastAsia="en-GB"/>
              </w:rPr>
            </w:pPr>
            <w:r w:rsidRPr="005964A3">
              <w:rPr>
                <w:rFonts w:ascii="Calibri" w:eastAsia="Times New Roman" w:hAnsi="Calibri" w:cs="Calibri"/>
                <w:b/>
                <w:bCs/>
                <w:color w:val="FFFFFF"/>
                <w:lang w:eastAsia="en-GB"/>
              </w:rPr>
              <w:t xml:space="preserve">Inactivity </w:t>
            </w:r>
            <w:r w:rsidR="00F62764">
              <w:rPr>
                <w:rFonts w:ascii="Calibri" w:eastAsia="Times New Roman" w:hAnsi="Calibri" w:cs="Calibri"/>
                <w:b/>
                <w:bCs/>
                <w:color w:val="FFFFFF"/>
                <w:lang w:eastAsia="en-GB"/>
              </w:rPr>
              <w:t>(percentage)</w:t>
            </w:r>
          </w:p>
        </w:tc>
      </w:tr>
      <w:tr w:rsidR="005964A3" w:rsidRPr="005964A3" w14:paraId="215EC7F0" w14:textId="77777777" w:rsidTr="00387321">
        <w:trPr>
          <w:trHeight w:val="259"/>
        </w:trPr>
        <w:tc>
          <w:tcPr>
            <w:tcW w:w="1896" w:type="dxa"/>
            <w:tcBorders>
              <w:left w:val="single" w:sz="4" w:space="0" w:color="auto"/>
              <w:bottom w:val="single" w:sz="4" w:space="0" w:color="C9C9C9"/>
              <w:right w:val="nil"/>
            </w:tcBorders>
            <w:shd w:val="clear" w:color="EDEDED" w:fill="EDEDED"/>
            <w:noWrap/>
            <w:vAlign w:val="bottom"/>
            <w:hideMark/>
          </w:tcPr>
          <w:p w14:paraId="1CA8DF57" w14:textId="77777777"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 xml:space="preserve">Cardiff </w:t>
            </w:r>
          </w:p>
        </w:tc>
        <w:tc>
          <w:tcPr>
            <w:tcW w:w="1774" w:type="dxa"/>
            <w:tcBorders>
              <w:left w:val="nil"/>
              <w:bottom w:val="single" w:sz="4" w:space="0" w:color="C9C9C9"/>
              <w:right w:val="nil"/>
            </w:tcBorders>
            <w:shd w:val="clear" w:color="EDEDED" w:fill="EDEDED"/>
            <w:noWrap/>
            <w:vAlign w:val="bottom"/>
            <w:hideMark/>
          </w:tcPr>
          <w:p w14:paraId="158CC52E" w14:textId="77777777"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3.7</w:t>
            </w:r>
          </w:p>
        </w:tc>
        <w:tc>
          <w:tcPr>
            <w:tcW w:w="1775" w:type="dxa"/>
            <w:tcBorders>
              <w:left w:val="nil"/>
              <w:bottom w:val="single" w:sz="4" w:space="0" w:color="C9C9C9"/>
              <w:right w:val="nil"/>
            </w:tcBorders>
            <w:shd w:val="clear" w:color="EDEDED" w:fill="EDEDED"/>
            <w:noWrap/>
            <w:vAlign w:val="bottom"/>
            <w:hideMark/>
          </w:tcPr>
          <w:p w14:paraId="54752E81" w14:textId="4FDA47E3"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193</w:t>
            </w:r>
            <w:r w:rsidR="005A5576">
              <w:rPr>
                <w:rFonts w:ascii="Calibri" w:eastAsia="Times New Roman" w:hAnsi="Calibri" w:cs="Calibri"/>
                <w:color w:val="000000"/>
                <w:lang w:eastAsia="en-GB"/>
              </w:rPr>
              <w:t>,</w:t>
            </w:r>
            <w:r w:rsidRPr="005964A3">
              <w:rPr>
                <w:rFonts w:ascii="Calibri" w:eastAsia="Times New Roman" w:hAnsi="Calibri" w:cs="Calibri"/>
                <w:color w:val="000000"/>
                <w:lang w:eastAsia="en-GB"/>
              </w:rPr>
              <w:t>000</w:t>
            </w:r>
          </w:p>
        </w:tc>
        <w:tc>
          <w:tcPr>
            <w:tcW w:w="1775" w:type="dxa"/>
            <w:tcBorders>
              <w:left w:val="nil"/>
              <w:bottom w:val="single" w:sz="4" w:space="0" w:color="C9C9C9"/>
              <w:right w:val="nil"/>
            </w:tcBorders>
            <w:shd w:val="clear" w:color="EDEDED" w:fill="EDEDED"/>
            <w:noWrap/>
            <w:vAlign w:val="bottom"/>
            <w:hideMark/>
          </w:tcPr>
          <w:p w14:paraId="2E85FEEE" w14:textId="77777777"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76.3</w:t>
            </w:r>
          </w:p>
        </w:tc>
        <w:tc>
          <w:tcPr>
            <w:tcW w:w="1899" w:type="dxa"/>
            <w:tcBorders>
              <w:left w:val="nil"/>
              <w:bottom w:val="single" w:sz="4" w:space="0" w:color="C9C9C9"/>
              <w:right w:val="single" w:sz="4" w:space="0" w:color="auto"/>
            </w:tcBorders>
            <w:shd w:val="clear" w:color="EDEDED" w:fill="EDEDED"/>
            <w:noWrap/>
            <w:vAlign w:val="bottom"/>
            <w:hideMark/>
          </w:tcPr>
          <w:p w14:paraId="6591B1CC" w14:textId="77777777"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14.7</w:t>
            </w:r>
          </w:p>
        </w:tc>
      </w:tr>
      <w:tr w:rsidR="005964A3" w:rsidRPr="005964A3" w14:paraId="46CDA6DE" w14:textId="77777777" w:rsidTr="00387321">
        <w:trPr>
          <w:trHeight w:val="259"/>
        </w:trPr>
        <w:tc>
          <w:tcPr>
            <w:tcW w:w="1896" w:type="dxa"/>
            <w:tcBorders>
              <w:top w:val="single" w:sz="4" w:space="0" w:color="C9C9C9"/>
              <w:left w:val="single" w:sz="4" w:space="0" w:color="auto"/>
              <w:bottom w:val="single" w:sz="4" w:space="0" w:color="C9C9C9"/>
              <w:right w:val="nil"/>
            </w:tcBorders>
            <w:shd w:val="clear" w:color="auto" w:fill="auto"/>
            <w:noWrap/>
            <w:vAlign w:val="bottom"/>
            <w:hideMark/>
          </w:tcPr>
          <w:p w14:paraId="4C28FA15" w14:textId="77777777"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 xml:space="preserve">Vale of Glamorgan </w:t>
            </w:r>
          </w:p>
        </w:tc>
        <w:tc>
          <w:tcPr>
            <w:tcW w:w="1774" w:type="dxa"/>
            <w:tcBorders>
              <w:top w:val="single" w:sz="4" w:space="0" w:color="C9C9C9"/>
              <w:left w:val="nil"/>
              <w:bottom w:val="single" w:sz="4" w:space="0" w:color="C9C9C9"/>
              <w:right w:val="nil"/>
            </w:tcBorders>
            <w:shd w:val="clear" w:color="auto" w:fill="auto"/>
            <w:noWrap/>
            <w:vAlign w:val="bottom"/>
            <w:hideMark/>
          </w:tcPr>
          <w:p w14:paraId="5B0EE4CC" w14:textId="77777777"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3.8</w:t>
            </w:r>
          </w:p>
        </w:tc>
        <w:tc>
          <w:tcPr>
            <w:tcW w:w="1775" w:type="dxa"/>
            <w:tcBorders>
              <w:top w:val="single" w:sz="4" w:space="0" w:color="C9C9C9"/>
              <w:left w:val="nil"/>
              <w:bottom w:val="single" w:sz="4" w:space="0" w:color="C9C9C9"/>
              <w:right w:val="nil"/>
            </w:tcBorders>
            <w:shd w:val="clear" w:color="auto" w:fill="auto"/>
            <w:noWrap/>
            <w:vAlign w:val="bottom"/>
            <w:hideMark/>
          </w:tcPr>
          <w:p w14:paraId="656C58E6" w14:textId="0404B7B2"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63</w:t>
            </w:r>
            <w:r w:rsidR="005A5576">
              <w:rPr>
                <w:rFonts w:ascii="Calibri" w:eastAsia="Times New Roman" w:hAnsi="Calibri" w:cs="Calibri"/>
                <w:color w:val="000000"/>
                <w:lang w:eastAsia="en-GB"/>
              </w:rPr>
              <w:t>,</w:t>
            </w:r>
            <w:r w:rsidRPr="005964A3">
              <w:rPr>
                <w:rFonts w:ascii="Calibri" w:eastAsia="Times New Roman" w:hAnsi="Calibri" w:cs="Calibri"/>
                <w:color w:val="000000"/>
                <w:lang w:eastAsia="en-GB"/>
              </w:rPr>
              <w:t>600</w:t>
            </w:r>
          </w:p>
        </w:tc>
        <w:tc>
          <w:tcPr>
            <w:tcW w:w="1775" w:type="dxa"/>
            <w:tcBorders>
              <w:top w:val="single" w:sz="4" w:space="0" w:color="C9C9C9"/>
              <w:left w:val="nil"/>
              <w:bottom w:val="single" w:sz="4" w:space="0" w:color="C9C9C9"/>
              <w:right w:val="nil"/>
            </w:tcBorders>
            <w:shd w:val="clear" w:color="auto" w:fill="auto"/>
            <w:noWrap/>
            <w:vAlign w:val="bottom"/>
            <w:hideMark/>
          </w:tcPr>
          <w:p w14:paraId="089B53E3" w14:textId="77777777"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78.6</w:t>
            </w:r>
          </w:p>
        </w:tc>
        <w:tc>
          <w:tcPr>
            <w:tcW w:w="1899" w:type="dxa"/>
            <w:tcBorders>
              <w:top w:val="single" w:sz="4" w:space="0" w:color="C9C9C9"/>
              <w:left w:val="nil"/>
              <w:bottom w:val="single" w:sz="4" w:space="0" w:color="C9C9C9"/>
              <w:right w:val="single" w:sz="4" w:space="0" w:color="auto"/>
            </w:tcBorders>
            <w:shd w:val="clear" w:color="auto" w:fill="auto"/>
            <w:noWrap/>
            <w:vAlign w:val="bottom"/>
            <w:hideMark/>
          </w:tcPr>
          <w:p w14:paraId="49EDE742" w14:textId="77777777"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15.5</w:t>
            </w:r>
          </w:p>
        </w:tc>
      </w:tr>
      <w:tr w:rsidR="005964A3" w:rsidRPr="005964A3" w14:paraId="6F8EB082" w14:textId="77777777" w:rsidTr="00387321">
        <w:trPr>
          <w:trHeight w:val="259"/>
        </w:trPr>
        <w:tc>
          <w:tcPr>
            <w:tcW w:w="1896" w:type="dxa"/>
            <w:tcBorders>
              <w:top w:val="single" w:sz="4" w:space="0" w:color="C9C9C9"/>
              <w:left w:val="single" w:sz="4" w:space="0" w:color="auto"/>
              <w:bottom w:val="single" w:sz="4" w:space="0" w:color="auto"/>
              <w:right w:val="nil"/>
            </w:tcBorders>
            <w:shd w:val="clear" w:color="EDEDED" w:fill="EDEDED"/>
            <w:noWrap/>
            <w:vAlign w:val="bottom"/>
            <w:hideMark/>
          </w:tcPr>
          <w:p w14:paraId="5A876EF5" w14:textId="77777777"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 xml:space="preserve">Wales </w:t>
            </w:r>
          </w:p>
        </w:tc>
        <w:tc>
          <w:tcPr>
            <w:tcW w:w="1774" w:type="dxa"/>
            <w:tcBorders>
              <w:top w:val="single" w:sz="4" w:space="0" w:color="C9C9C9"/>
              <w:left w:val="nil"/>
              <w:bottom w:val="single" w:sz="4" w:space="0" w:color="auto"/>
              <w:right w:val="nil"/>
            </w:tcBorders>
            <w:shd w:val="clear" w:color="EDEDED" w:fill="EDEDED"/>
            <w:noWrap/>
            <w:vAlign w:val="bottom"/>
            <w:hideMark/>
          </w:tcPr>
          <w:p w14:paraId="18B8A4D1" w14:textId="77777777"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4.2</w:t>
            </w:r>
          </w:p>
        </w:tc>
        <w:tc>
          <w:tcPr>
            <w:tcW w:w="1775" w:type="dxa"/>
            <w:tcBorders>
              <w:top w:val="single" w:sz="4" w:space="0" w:color="C9C9C9"/>
              <w:left w:val="nil"/>
              <w:bottom w:val="single" w:sz="4" w:space="0" w:color="auto"/>
              <w:right w:val="nil"/>
            </w:tcBorders>
            <w:shd w:val="clear" w:color="EDEDED" w:fill="EDEDED"/>
            <w:noWrap/>
            <w:vAlign w:val="bottom"/>
            <w:hideMark/>
          </w:tcPr>
          <w:p w14:paraId="7E97AA68" w14:textId="7A7D7C1F"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1</w:t>
            </w:r>
            <w:r w:rsidR="005A5576">
              <w:rPr>
                <w:rFonts w:ascii="Calibri" w:eastAsia="Times New Roman" w:hAnsi="Calibri" w:cs="Calibri"/>
                <w:color w:val="000000"/>
                <w:lang w:eastAsia="en-GB"/>
              </w:rPr>
              <w:t>,</w:t>
            </w:r>
            <w:r w:rsidRPr="005964A3">
              <w:rPr>
                <w:rFonts w:ascii="Calibri" w:eastAsia="Times New Roman" w:hAnsi="Calibri" w:cs="Calibri"/>
                <w:color w:val="000000"/>
                <w:lang w:eastAsia="en-GB"/>
              </w:rPr>
              <w:t>459</w:t>
            </w:r>
            <w:r w:rsidR="005A5576">
              <w:rPr>
                <w:rFonts w:ascii="Calibri" w:eastAsia="Times New Roman" w:hAnsi="Calibri" w:cs="Calibri"/>
                <w:color w:val="000000"/>
                <w:lang w:eastAsia="en-GB"/>
              </w:rPr>
              <w:t>,</w:t>
            </w:r>
            <w:r w:rsidRPr="005964A3">
              <w:rPr>
                <w:rFonts w:ascii="Calibri" w:eastAsia="Times New Roman" w:hAnsi="Calibri" w:cs="Calibri"/>
                <w:color w:val="000000"/>
                <w:lang w:eastAsia="en-GB"/>
              </w:rPr>
              <w:t>700</w:t>
            </w:r>
          </w:p>
        </w:tc>
        <w:tc>
          <w:tcPr>
            <w:tcW w:w="1775" w:type="dxa"/>
            <w:tcBorders>
              <w:top w:val="single" w:sz="4" w:space="0" w:color="C9C9C9"/>
              <w:left w:val="nil"/>
              <w:bottom w:val="single" w:sz="4" w:space="0" w:color="auto"/>
              <w:right w:val="nil"/>
            </w:tcBorders>
            <w:shd w:val="clear" w:color="EDEDED" w:fill="EDEDED"/>
            <w:noWrap/>
            <w:vAlign w:val="bottom"/>
            <w:hideMark/>
          </w:tcPr>
          <w:p w14:paraId="1B7158BC" w14:textId="77777777"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73.2</w:t>
            </w:r>
          </w:p>
        </w:tc>
        <w:tc>
          <w:tcPr>
            <w:tcW w:w="1899" w:type="dxa"/>
            <w:tcBorders>
              <w:top w:val="single" w:sz="4" w:space="0" w:color="C9C9C9"/>
              <w:left w:val="nil"/>
              <w:bottom w:val="single" w:sz="4" w:space="0" w:color="auto"/>
              <w:right w:val="single" w:sz="4" w:space="0" w:color="auto"/>
            </w:tcBorders>
            <w:shd w:val="clear" w:color="EDEDED" w:fill="EDEDED"/>
            <w:noWrap/>
            <w:vAlign w:val="bottom"/>
            <w:hideMark/>
          </w:tcPr>
          <w:p w14:paraId="6665EF00" w14:textId="77777777" w:rsidR="005964A3" w:rsidRPr="005964A3" w:rsidRDefault="005964A3" w:rsidP="00DC54F7">
            <w:pPr>
              <w:spacing w:after="0" w:line="240" w:lineRule="auto"/>
              <w:jc w:val="both"/>
              <w:rPr>
                <w:rFonts w:ascii="Calibri" w:eastAsia="Times New Roman" w:hAnsi="Calibri" w:cs="Calibri"/>
                <w:color w:val="000000"/>
                <w:lang w:eastAsia="en-GB"/>
              </w:rPr>
            </w:pPr>
            <w:r w:rsidRPr="005964A3">
              <w:rPr>
                <w:rFonts w:ascii="Calibri" w:eastAsia="Times New Roman" w:hAnsi="Calibri" w:cs="Calibri"/>
                <w:color w:val="000000"/>
                <w:lang w:eastAsia="en-GB"/>
              </w:rPr>
              <w:t>19.8</w:t>
            </w:r>
          </w:p>
        </w:tc>
      </w:tr>
    </w:tbl>
    <w:p w14:paraId="7ABDE1CD" w14:textId="77777777" w:rsidR="002B55C6" w:rsidRPr="009E76BB" w:rsidRDefault="004E0855" w:rsidP="00DC54F7">
      <w:pPr>
        <w:spacing w:after="0" w:line="240" w:lineRule="auto"/>
        <w:jc w:val="both"/>
        <w:rPr>
          <w:rFonts w:ascii="Arial" w:eastAsia="Times New Roman" w:hAnsi="Arial" w:cs="Arial"/>
          <w:bCs/>
          <w:color w:val="000000"/>
          <w:sz w:val="20"/>
          <w:szCs w:val="20"/>
          <w:lang w:eastAsia="en-GB"/>
        </w:rPr>
      </w:pPr>
      <w:r w:rsidRPr="009E76BB">
        <w:rPr>
          <w:rFonts w:ascii="Arial" w:hAnsi="Arial" w:cs="Arial"/>
          <w:bCs/>
          <w:sz w:val="20"/>
          <w:szCs w:val="20"/>
          <w:lang w:val="en" w:eastAsia="en-GB"/>
        </w:rPr>
        <w:t xml:space="preserve">Source: </w:t>
      </w:r>
      <w:r w:rsidR="00855F29" w:rsidRPr="009E76BB">
        <w:rPr>
          <w:rFonts w:ascii="Arial" w:hAnsi="Arial" w:cs="Arial"/>
          <w:bCs/>
          <w:sz w:val="20"/>
          <w:szCs w:val="20"/>
          <w:lang w:val="en" w:eastAsia="en-GB"/>
        </w:rPr>
        <w:t xml:space="preserve">StatsWales - </w:t>
      </w:r>
      <w:r w:rsidR="00855F29" w:rsidRPr="009E76BB">
        <w:rPr>
          <w:rFonts w:ascii="Arial" w:eastAsia="Times New Roman" w:hAnsi="Arial" w:cs="Arial"/>
          <w:bCs/>
          <w:color w:val="000000"/>
          <w:sz w:val="20"/>
          <w:szCs w:val="20"/>
          <w:lang w:eastAsia="en-GB"/>
        </w:rPr>
        <w:t xml:space="preserve">Annual Population Survey / Local Labour Force Survey, </w:t>
      </w:r>
      <w:r w:rsidR="00D759A1" w:rsidRPr="009E76BB">
        <w:rPr>
          <w:rFonts w:ascii="Arial" w:eastAsia="Times New Roman" w:hAnsi="Arial" w:cs="Arial"/>
          <w:bCs/>
          <w:color w:val="000000"/>
          <w:sz w:val="20"/>
          <w:szCs w:val="20"/>
          <w:lang w:eastAsia="en-GB"/>
        </w:rPr>
        <w:t>Office of National Statistics</w:t>
      </w:r>
    </w:p>
    <w:p w14:paraId="1A4BA7AC" w14:textId="0AADB447" w:rsidR="007C0BE0" w:rsidRPr="002C681B" w:rsidRDefault="001955BE" w:rsidP="00DC54F7">
      <w:pPr>
        <w:spacing w:after="0" w:line="240" w:lineRule="auto"/>
        <w:jc w:val="both"/>
        <w:rPr>
          <w:rFonts w:ascii="Arial" w:eastAsia="Times New Roman" w:hAnsi="Arial" w:cs="Arial"/>
          <w:bCs/>
          <w:color w:val="000000"/>
          <w:sz w:val="24"/>
          <w:szCs w:val="24"/>
          <w:lang w:eastAsia="en-GB"/>
        </w:rPr>
      </w:pPr>
      <w:r w:rsidRPr="002C681B">
        <w:rPr>
          <w:rFonts w:ascii="Arial" w:hAnsi="Arial" w:cs="Arial"/>
          <w:sz w:val="24"/>
          <w:szCs w:val="24"/>
        </w:rPr>
        <w:lastRenderedPageBreak/>
        <w:t xml:space="preserve">Cardiff has the highest employment level (the total number of people aged 16 and over that are in employment) in Wales at 193,000.  </w:t>
      </w:r>
      <w:r w:rsidR="00064F47" w:rsidRPr="002C681B">
        <w:rPr>
          <w:rFonts w:ascii="Arial" w:hAnsi="Arial" w:cs="Arial"/>
          <w:sz w:val="24"/>
          <w:szCs w:val="24"/>
        </w:rPr>
        <w:t xml:space="preserve">This </w:t>
      </w:r>
      <w:r w:rsidR="004D3ED1" w:rsidRPr="002C681B">
        <w:rPr>
          <w:rFonts w:ascii="Arial" w:hAnsi="Arial" w:cs="Arial"/>
          <w:sz w:val="24"/>
          <w:szCs w:val="24"/>
        </w:rPr>
        <w:t xml:space="preserve">reflects the fact it has the largest population in Wales. </w:t>
      </w:r>
      <w:r w:rsidR="00D665E0" w:rsidRPr="002C681B">
        <w:rPr>
          <w:rFonts w:ascii="Arial" w:hAnsi="Arial" w:cs="Arial"/>
          <w:sz w:val="24"/>
          <w:szCs w:val="24"/>
        </w:rPr>
        <w:t>When considering the employment rate (the percentage of the population aged 16</w:t>
      </w:r>
      <w:r w:rsidR="007130DA" w:rsidRPr="002C681B">
        <w:rPr>
          <w:rFonts w:ascii="Arial" w:hAnsi="Arial" w:cs="Arial"/>
          <w:sz w:val="24"/>
          <w:szCs w:val="24"/>
        </w:rPr>
        <w:t xml:space="preserve"> to </w:t>
      </w:r>
      <w:r w:rsidR="00D665E0" w:rsidRPr="002C681B">
        <w:rPr>
          <w:rFonts w:ascii="Arial" w:hAnsi="Arial" w:cs="Arial"/>
          <w:sz w:val="24"/>
          <w:szCs w:val="24"/>
        </w:rPr>
        <w:t xml:space="preserve">64 that </w:t>
      </w:r>
      <w:r w:rsidR="00D26D4E" w:rsidRPr="002C681B">
        <w:rPr>
          <w:rFonts w:ascii="Arial" w:hAnsi="Arial" w:cs="Arial"/>
          <w:sz w:val="24"/>
          <w:szCs w:val="24"/>
        </w:rPr>
        <w:t>are</w:t>
      </w:r>
      <w:r w:rsidR="00D665E0" w:rsidRPr="002C681B">
        <w:rPr>
          <w:rFonts w:ascii="Arial" w:hAnsi="Arial" w:cs="Arial"/>
          <w:sz w:val="24"/>
          <w:szCs w:val="24"/>
        </w:rPr>
        <w:t xml:space="preserve"> in employment</w:t>
      </w:r>
      <w:r w:rsidR="00284CF5" w:rsidRPr="002C681B">
        <w:rPr>
          <w:rFonts w:ascii="Arial" w:hAnsi="Arial" w:cs="Arial"/>
          <w:sz w:val="24"/>
          <w:szCs w:val="24"/>
        </w:rPr>
        <w:t xml:space="preserve">), the Vale of Glamorgan has </w:t>
      </w:r>
      <w:r w:rsidR="00EB7420" w:rsidRPr="002C681B">
        <w:rPr>
          <w:rFonts w:ascii="Arial" w:hAnsi="Arial" w:cs="Arial"/>
          <w:sz w:val="24"/>
          <w:szCs w:val="24"/>
        </w:rPr>
        <w:t xml:space="preserve">the highest rate in </w:t>
      </w:r>
      <w:r w:rsidR="00D80DC9" w:rsidRPr="002C681B">
        <w:rPr>
          <w:rFonts w:ascii="Arial" w:hAnsi="Arial" w:cs="Arial"/>
          <w:sz w:val="24"/>
          <w:szCs w:val="24"/>
        </w:rPr>
        <w:t>W</w:t>
      </w:r>
      <w:r w:rsidR="00EB7420" w:rsidRPr="002C681B">
        <w:rPr>
          <w:rFonts w:ascii="Arial" w:hAnsi="Arial" w:cs="Arial"/>
          <w:sz w:val="24"/>
          <w:szCs w:val="24"/>
        </w:rPr>
        <w:t xml:space="preserve">ales at </w:t>
      </w:r>
      <w:r w:rsidR="008A17B4" w:rsidRPr="002C681B">
        <w:rPr>
          <w:rFonts w:ascii="Arial" w:hAnsi="Arial" w:cs="Arial"/>
          <w:sz w:val="24"/>
          <w:szCs w:val="24"/>
        </w:rPr>
        <w:t>78.</w:t>
      </w:r>
      <w:r w:rsidR="00EB7420" w:rsidRPr="002C681B">
        <w:rPr>
          <w:rFonts w:ascii="Arial" w:hAnsi="Arial" w:cs="Arial"/>
          <w:sz w:val="24"/>
          <w:szCs w:val="24"/>
        </w:rPr>
        <w:t>6</w:t>
      </w:r>
      <w:r w:rsidR="001E0D7D" w:rsidRPr="002C681B">
        <w:rPr>
          <w:rFonts w:ascii="Arial" w:hAnsi="Arial" w:cs="Arial"/>
          <w:sz w:val="24"/>
          <w:szCs w:val="24"/>
        </w:rPr>
        <w:t>%</w:t>
      </w:r>
      <w:r w:rsidR="007C0BE0" w:rsidRPr="002C681B">
        <w:rPr>
          <w:rFonts w:ascii="Arial" w:hAnsi="Arial" w:cs="Arial"/>
          <w:sz w:val="24"/>
          <w:szCs w:val="24"/>
        </w:rPr>
        <w:t xml:space="preserve"> over this period</w:t>
      </w:r>
      <w:r w:rsidR="001E0D7D" w:rsidRPr="002C681B">
        <w:rPr>
          <w:rFonts w:ascii="Arial" w:hAnsi="Arial" w:cs="Arial"/>
          <w:sz w:val="24"/>
          <w:szCs w:val="24"/>
        </w:rPr>
        <w:t xml:space="preserve">. </w:t>
      </w:r>
    </w:p>
    <w:p w14:paraId="47E3D6C1" w14:textId="77777777" w:rsidR="007C0BE0" w:rsidRPr="002C681B" w:rsidRDefault="007C0BE0" w:rsidP="00DC54F7">
      <w:pPr>
        <w:spacing w:after="0" w:line="240" w:lineRule="auto"/>
        <w:jc w:val="both"/>
        <w:rPr>
          <w:sz w:val="24"/>
          <w:szCs w:val="24"/>
        </w:rPr>
      </w:pPr>
    </w:p>
    <w:p w14:paraId="5159F399" w14:textId="2019DA9F" w:rsidR="00FC71D0" w:rsidRPr="002C681B" w:rsidRDefault="00171FF0" w:rsidP="00DC54F7">
      <w:pPr>
        <w:spacing w:after="0" w:line="240" w:lineRule="auto"/>
        <w:jc w:val="both"/>
        <w:rPr>
          <w:rFonts w:ascii="Arial" w:hAnsi="Arial" w:cs="Arial"/>
          <w:sz w:val="24"/>
          <w:szCs w:val="24"/>
        </w:rPr>
      </w:pPr>
      <w:r w:rsidRPr="002C681B">
        <w:rPr>
          <w:rFonts w:ascii="Arial" w:hAnsi="Arial" w:cs="Arial"/>
          <w:sz w:val="24"/>
          <w:szCs w:val="24"/>
        </w:rPr>
        <w:t xml:space="preserve">The graph below shows the </w:t>
      </w:r>
      <w:r w:rsidR="00BB1E5C" w:rsidRPr="002C681B">
        <w:rPr>
          <w:rFonts w:ascii="Arial" w:hAnsi="Arial" w:cs="Arial"/>
          <w:sz w:val="24"/>
          <w:szCs w:val="24"/>
        </w:rPr>
        <w:t xml:space="preserve">change in employment rate between </w:t>
      </w:r>
      <w:r w:rsidR="00A6741F" w:rsidRPr="002C681B">
        <w:rPr>
          <w:rFonts w:ascii="Arial" w:hAnsi="Arial" w:cs="Arial"/>
          <w:sz w:val="24"/>
          <w:szCs w:val="24"/>
        </w:rPr>
        <w:t xml:space="preserve">the years ending June </w:t>
      </w:r>
      <w:r w:rsidR="00BB1E5C" w:rsidRPr="002C681B">
        <w:rPr>
          <w:rFonts w:ascii="Arial" w:hAnsi="Arial" w:cs="Arial"/>
          <w:sz w:val="24"/>
          <w:szCs w:val="24"/>
        </w:rPr>
        <w:t xml:space="preserve">2014 </w:t>
      </w:r>
      <w:r w:rsidR="00A6741F" w:rsidRPr="002C681B">
        <w:rPr>
          <w:rFonts w:ascii="Arial" w:hAnsi="Arial" w:cs="Arial"/>
          <w:sz w:val="24"/>
          <w:szCs w:val="24"/>
        </w:rPr>
        <w:t>to June</w:t>
      </w:r>
      <w:r w:rsidR="00BB1E5C" w:rsidRPr="002C681B">
        <w:rPr>
          <w:rFonts w:ascii="Arial" w:hAnsi="Arial" w:cs="Arial"/>
          <w:sz w:val="24"/>
          <w:szCs w:val="24"/>
        </w:rPr>
        <w:t xml:space="preserve"> 20</w:t>
      </w:r>
      <w:r w:rsidR="00A04C55" w:rsidRPr="002C681B">
        <w:rPr>
          <w:rFonts w:ascii="Arial" w:hAnsi="Arial" w:cs="Arial"/>
          <w:sz w:val="24"/>
          <w:szCs w:val="24"/>
        </w:rPr>
        <w:t>19</w:t>
      </w:r>
      <w:r w:rsidR="00BB1E5C" w:rsidRPr="002C681B">
        <w:rPr>
          <w:rFonts w:ascii="Arial" w:hAnsi="Arial" w:cs="Arial"/>
          <w:sz w:val="24"/>
          <w:szCs w:val="24"/>
        </w:rPr>
        <w:t>.</w:t>
      </w:r>
      <w:r w:rsidR="00612D88" w:rsidRPr="002C681B">
        <w:rPr>
          <w:rFonts w:ascii="Arial" w:hAnsi="Arial" w:cs="Arial"/>
          <w:sz w:val="24"/>
          <w:szCs w:val="24"/>
        </w:rPr>
        <w:t xml:space="preserve"> </w:t>
      </w:r>
      <w:r w:rsidR="00077B83" w:rsidRPr="002C681B">
        <w:rPr>
          <w:rFonts w:ascii="Arial" w:hAnsi="Arial" w:cs="Arial"/>
          <w:sz w:val="24"/>
          <w:szCs w:val="24"/>
        </w:rPr>
        <w:t xml:space="preserve">Overall, each </w:t>
      </w:r>
      <w:r w:rsidR="00567F4B" w:rsidRPr="002C681B">
        <w:rPr>
          <w:rFonts w:ascii="Arial" w:hAnsi="Arial" w:cs="Arial"/>
          <w:sz w:val="24"/>
          <w:szCs w:val="24"/>
        </w:rPr>
        <w:t>local</w:t>
      </w:r>
      <w:r w:rsidR="00077B83" w:rsidRPr="002C681B">
        <w:rPr>
          <w:rFonts w:ascii="Arial" w:hAnsi="Arial" w:cs="Arial"/>
          <w:sz w:val="24"/>
          <w:szCs w:val="24"/>
        </w:rPr>
        <w:t xml:space="preserve"> authority has shown an increase in employment rate since 2014. </w:t>
      </w:r>
      <w:r w:rsidR="00612D88" w:rsidRPr="002C681B">
        <w:rPr>
          <w:rFonts w:ascii="Arial" w:hAnsi="Arial" w:cs="Arial"/>
          <w:sz w:val="24"/>
          <w:szCs w:val="24"/>
        </w:rPr>
        <w:t>Between</w:t>
      </w:r>
      <w:r w:rsidR="002A7E45" w:rsidRPr="002C681B">
        <w:rPr>
          <w:rFonts w:ascii="Arial" w:hAnsi="Arial" w:cs="Arial"/>
          <w:sz w:val="24"/>
          <w:szCs w:val="24"/>
        </w:rPr>
        <w:t xml:space="preserve"> June </w:t>
      </w:r>
      <w:r w:rsidR="006056A5" w:rsidRPr="002C681B">
        <w:rPr>
          <w:rFonts w:ascii="Arial" w:hAnsi="Arial" w:cs="Arial"/>
          <w:sz w:val="24"/>
          <w:szCs w:val="24"/>
        </w:rPr>
        <w:t xml:space="preserve">2018 and 2019, Cardiff saw the </w:t>
      </w:r>
      <w:r w:rsidR="00A377EB" w:rsidRPr="002C681B">
        <w:rPr>
          <w:rFonts w:ascii="Arial" w:hAnsi="Arial" w:cs="Arial"/>
          <w:sz w:val="24"/>
          <w:szCs w:val="24"/>
        </w:rPr>
        <w:t>biggest increase</w:t>
      </w:r>
      <w:r w:rsidR="006056A5" w:rsidRPr="002C681B">
        <w:rPr>
          <w:rFonts w:ascii="Arial" w:hAnsi="Arial" w:cs="Arial"/>
          <w:sz w:val="24"/>
          <w:szCs w:val="24"/>
        </w:rPr>
        <w:t xml:space="preserve"> in employment rate </w:t>
      </w:r>
      <w:r w:rsidR="00A6741F" w:rsidRPr="002C681B">
        <w:rPr>
          <w:rFonts w:ascii="Arial" w:hAnsi="Arial" w:cs="Arial"/>
          <w:sz w:val="24"/>
          <w:szCs w:val="24"/>
        </w:rPr>
        <w:t xml:space="preserve">of all the </w:t>
      </w:r>
      <w:r w:rsidR="00567F4B" w:rsidRPr="002C681B">
        <w:rPr>
          <w:rFonts w:ascii="Arial" w:hAnsi="Arial" w:cs="Arial"/>
          <w:sz w:val="24"/>
          <w:szCs w:val="24"/>
        </w:rPr>
        <w:t>local</w:t>
      </w:r>
      <w:r w:rsidR="00A6741F" w:rsidRPr="002C681B">
        <w:rPr>
          <w:rFonts w:ascii="Arial" w:hAnsi="Arial" w:cs="Arial"/>
          <w:sz w:val="24"/>
          <w:szCs w:val="24"/>
        </w:rPr>
        <w:t xml:space="preserve"> authorities in </w:t>
      </w:r>
      <w:r w:rsidR="006056A5" w:rsidRPr="002C681B">
        <w:rPr>
          <w:rFonts w:ascii="Arial" w:hAnsi="Arial" w:cs="Arial"/>
          <w:sz w:val="24"/>
          <w:szCs w:val="24"/>
        </w:rPr>
        <w:t>Wales</w:t>
      </w:r>
      <w:r w:rsidR="00E86418" w:rsidRPr="002C681B">
        <w:rPr>
          <w:rFonts w:ascii="Arial" w:hAnsi="Arial" w:cs="Arial"/>
          <w:sz w:val="24"/>
          <w:szCs w:val="24"/>
        </w:rPr>
        <w:t>.</w:t>
      </w:r>
      <w:r w:rsidR="004043C9" w:rsidRPr="002C681B">
        <w:rPr>
          <w:rFonts w:ascii="Arial" w:hAnsi="Arial" w:cs="Arial"/>
          <w:sz w:val="24"/>
          <w:szCs w:val="24"/>
        </w:rPr>
        <w:t xml:space="preserve"> </w:t>
      </w:r>
      <w:r w:rsidR="004E15BE" w:rsidRPr="002C681B">
        <w:rPr>
          <w:rFonts w:ascii="Arial" w:hAnsi="Arial" w:cs="Arial"/>
          <w:sz w:val="24"/>
          <w:szCs w:val="24"/>
        </w:rPr>
        <w:t xml:space="preserve">The Vale of Glamorgan had the </w:t>
      </w:r>
      <w:r w:rsidR="00D05EAF" w:rsidRPr="002C681B">
        <w:rPr>
          <w:rFonts w:ascii="Arial" w:hAnsi="Arial" w:cs="Arial"/>
          <w:sz w:val="24"/>
          <w:szCs w:val="24"/>
        </w:rPr>
        <w:t>fourth</w:t>
      </w:r>
      <w:r w:rsidR="00C25BC8" w:rsidRPr="002C681B">
        <w:rPr>
          <w:rFonts w:ascii="Arial" w:hAnsi="Arial" w:cs="Arial"/>
          <w:sz w:val="24"/>
          <w:szCs w:val="24"/>
        </w:rPr>
        <w:t xml:space="preserve"> biggest increase. </w:t>
      </w:r>
    </w:p>
    <w:p w14:paraId="5AB30228" w14:textId="77777777" w:rsidR="00FC71D0" w:rsidRDefault="00FC71D0" w:rsidP="00DC54F7">
      <w:pPr>
        <w:spacing w:after="0" w:line="240" w:lineRule="auto"/>
        <w:jc w:val="both"/>
        <w:rPr>
          <w:rFonts w:ascii="Arial" w:hAnsi="Arial" w:cs="Arial"/>
        </w:rPr>
      </w:pPr>
    </w:p>
    <w:p w14:paraId="0FBBF947" w14:textId="575125E7" w:rsidR="009E73D2" w:rsidRPr="002C681B" w:rsidRDefault="009E73D2" w:rsidP="00DC54F7">
      <w:pPr>
        <w:spacing w:after="0" w:line="240" w:lineRule="auto"/>
        <w:jc w:val="both"/>
        <w:rPr>
          <w:rFonts w:ascii="Arial" w:hAnsi="Arial" w:cs="Arial"/>
          <w:b/>
          <w:bCs/>
          <w:sz w:val="24"/>
          <w:szCs w:val="24"/>
        </w:rPr>
      </w:pPr>
      <w:r w:rsidRPr="002C681B">
        <w:rPr>
          <w:rFonts w:ascii="Arial" w:hAnsi="Arial" w:cs="Arial"/>
          <w:b/>
          <w:bCs/>
          <w:sz w:val="24"/>
          <w:szCs w:val="24"/>
        </w:rPr>
        <w:t xml:space="preserve">Figure </w:t>
      </w:r>
      <w:r w:rsidR="008F4406" w:rsidRPr="002C681B">
        <w:rPr>
          <w:rFonts w:ascii="Arial" w:hAnsi="Arial" w:cs="Arial"/>
          <w:b/>
          <w:bCs/>
          <w:sz w:val="24"/>
          <w:szCs w:val="24"/>
        </w:rPr>
        <w:t>2.</w:t>
      </w:r>
      <w:r w:rsidR="00F82C8B" w:rsidRPr="002C681B">
        <w:rPr>
          <w:rFonts w:ascii="Arial" w:hAnsi="Arial" w:cs="Arial"/>
          <w:b/>
          <w:bCs/>
          <w:sz w:val="24"/>
          <w:szCs w:val="24"/>
        </w:rPr>
        <w:t>9</w:t>
      </w:r>
      <w:r w:rsidRPr="002C681B">
        <w:rPr>
          <w:rFonts w:ascii="Arial" w:hAnsi="Arial" w:cs="Arial"/>
          <w:b/>
          <w:bCs/>
          <w:sz w:val="24"/>
          <w:szCs w:val="24"/>
        </w:rPr>
        <w:t>: Employment rate</w:t>
      </w:r>
      <w:r w:rsidR="00043A9F" w:rsidRPr="002C681B">
        <w:rPr>
          <w:rFonts w:ascii="Arial" w:hAnsi="Arial" w:cs="Arial"/>
          <w:b/>
          <w:bCs/>
          <w:sz w:val="24"/>
          <w:szCs w:val="24"/>
        </w:rPr>
        <w:t xml:space="preserve"> by </w:t>
      </w:r>
      <w:r w:rsidR="00567F4B" w:rsidRPr="002C681B">
        <w:rPr>
          <w:rFonts w:ascii="Arial" w:hAnsi="Arial" w:cs="Arial"/>
          <w:b/>
          <w:bCs/>
          <w:sz w:val="24"/>
          <w:szCs w:val="24"/>
        </w:rPr>
        <w:t>local</w:t>
      </w:r>
      <w:r w:rsidR="00043A9F" w:rsidRPr="002C681B">
        <w:rPr>
          <w:rFonts w:ascii="Arial" w:hAnsi="Arial" w:cs="Arial"/>
          <w:b/>
          <w:bCs/>
          <w:sz w:val="24"/>
          <w:szCs w:val="24"/>
        </w:rPr>
        <w:t xml:space="preserve"> authority</w:t>
      </w:r>
      <w:r w:rsidR="00A3158C" w:rsidRPr="002C681B">
        <w:rPr>
          <w:rFonts w:ascii="Arial" w:hAnsi="Arial" w:cs="Arial"/>
          <w:b/>
          <w:bCs/>
          <w:sz w:val="24"/>
          <w:szCs w:val="24"/>
        </w:rPr>
        <w:t xml:space="preserve"> </w:t>
      </w:r>
      <w:r w:rsidR="00043A9F" w:rsidRPr="002C681B">
        <w:rPr>
          <w:rFonts w:ascii="Arial" w:hAnsi="Arial" w:cs="Arial"/>
          <w:b/>
          <w:bCs/>
          <w:sz w:val="24"/>
          <w:szCs w:val="24"/>
        </w:rPr>
        <w:t>and Wales, 2014</w:t>
      </w:r>
      <w:r w:rsidR="00EF78E3" w:rsidRPr="002C681B">
        <w:rPr>
          <w:rFonts w:ascii="Arial" w:hAnsi="Arial" w:cs="Arial"/>
          <w:b/>
          <w:bCs/>
          <w:sz w:val="24"/>
          <w:szCs w:val="24"/>
        </w:rPr>
        <w:t xml:space="preserve"> to </w:t>
      </w:r>
      <w:r w:rsidRPr="002C681B">
        <w:rPr>
          <w:rFonts w:ascii="Arial" w:hAnsi="Arial" w:cs="Arial"/>
          <w:b/>
          <w:bCs/>
          <w:sz w:val="24"/>
          <w:szCs w:val="24"/>
        </w:rPr>
        <w:t>20</w:t>
      </w:r>
      <w:r w:rsidR="00066952" w:rsidRPr="002C681B">
        <w:rPr>
          <w:rFonts w:ascii="Arial" w:hAnsi="Arial" w:cs="Arial"/>
          <w:b/>
          <w:bCs/>
          <w:sz w:val="24"/>
          <w:szCs w:val="24"/>
        </w:rPr>
        <w:t>19</w:t>
      </w:r>
    </w:p>
    <w:p w14:paraId="502A68C4" w14:textId="66247602" w:rsidR="00066952" w:rsidRPr="00D4646D" w:rsidRDefault="00066952" w:rsidP="00DC54F7">
      <w:pPr>
        <w:spacing w:after="0" w:line="240" w:lineRule="auto"/>
        <w:jc w:val="both"/>
        <w:rPr>
          <w:rFonts w:ascii="Arial" w:hAnsi="Arial" w:cs="Arial"/>
          <w:b/>
          <w:bCs/>
        </w:rPr>
      </w:pPr>
      <w:r>
        <w:rPr>
          <w:noProof/>
          <w:lang w:eastAsia="en-GB"/>
        </w:rPr>
        <w:drawing>
          <wp:inline distT="0" distB="0" distL="0" distR="0" wp14:anchorId="1FD0180D" wp14:editId="3AB2E762">
            <wp:extent cx="5645426" cy="2409245"/>
            <wp:effectExtent l="0" t="0" r="12700" b="10160"/>
            <wp:docPr id="201" name="Chart 20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94C367E-4F61-488E-ADBD-70EF8D05B9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059B627" w14:textId="65980B64" w:rsidR="006311D8" w:rsidRPr="002C681B" w:rsidRDefault="006311D8" w:rsidP="00DC54F7">
      <w:pPr>
        <w:spacing w:after="0" w:line="240" w:lineRule="auto"/>
        <w:jc w:val="both"/>
        <w:rPr>
          <w:sz w:val="20"/>
          <w:szCs w:val="20"/>
        </w:rPr>
      </w:pPr>
      <w:r w:rsidRPr="002C681B">
        <w:rPr>
          <w:rFonts w:ascii="Arial" w:hAnsi="Arial" w:cs="Arial"/>
          <w:sz w:val="20"/>
          <w:szCs w:val="20"/>
        </w:rPr>
        <w:t xml:space="preserve">Source: </w:t>
      </w:r>
      <w:r w:rsidR="00C70D89" w:rsidRPr="002C681B">
        <w:rPr>
          <w:rFonts w:ascii="Arial" w:hAnsi="Arial" w:cs="Arial"/>
          <w:sz w:val="20"/>
          <w:szCs w:val="20"/>
        </w:rPr>
        <w:t>StatsWales – Annual Population Survey, Office of National Statistics</w:t>
      </w:r>
    </w:p>
    <w:p w14:paraId="7F68988E" w14:textId="77777777" w:rsidR="006311D8" w:rsidRDefault="006311D8" w:rsidP="00DC54F7">
      <w:pPr>
        <w:spacing w:after="0" w:line="240" w:lineRule="auto"/>
        <w:jc w:val="both"/>
      </w:pPr>
    </w:p>
    <w:p w14:paraId="76E138BC" w14:textId="7D8986B0" w:rsidR="00972C9E" w:rsidRPr="002C681B" w:rsidRDefault="00972C9E" w:rsidP="00DC54F7">
      <w:pPr>
        <w:spacing w:after="0" w:line="240" w:lineRule="auto"/>
        <w:jc w:val="both"/>
        <w:rPr>
          <w:rFonts w:ascii="Arial" w:hAnsi="Arial" w:cs="Arial"/>
          <w:sz w:val="24"/>
          <w:szCs w:val="24"/>
        </w:rPr>
      </w:pPr>
      <w:r w:rsidRPr="002C681B">
        <w:rPr>
          <w:rFonts w:ascii="Arial" w:hAnsi="Arial" w:cs="Arial"/>
          <w:sz w:val="24"/>
          <w:szCs w:val="24"/>
        </w:rPr>
        <w:t xml:space="preserve">The economic inactivity rate is the percentage of the population </w:t>
      </w:r>
      <w:r w:rsidR="00251588" w:rsidRPr="002C681B">
        <w:rPr>
          <w:rFonts w:ascii="Arial" w:hAnsi="Arial" w:cs="Arial"/>
          <w:sz w:val="24"/>
          <w:szCs w:val="24"/>
        </w:rPr>
        <w:t xml:space="preserve">aged 16 to 64 years who are </w:t>
      </w:r>
      <w:r w:rsidRPr="002C681B">
        <w:rPr>
          <w:rFonts w:ascii="Arial" w:hAnsi="Arial" w:cs="Arial"/>
          <w:sz w:val="24"/>
          <w:szCs w:val="24"/>
        </w:rPr>
        <w:t xml:space="preserve">not working and not seeking nor available to work. Economically inactive people include people looking after the family or home, retirees and people with a sickness or disability. It does not include students. </w:t>
      </w:r>
      <w:r w:rsidR="00B3425A" w:rsidRPr="002C681B">
        <w:rPr>
          <w:rFonts w:ascii="Arial" w:hAnsi="Arial" w:cs="Arial"/>
          <w:sz w:val="24"/>
          <w:szCs w:val="24"/>
        </w:rPr>
        <w:t xml:space="preserve">For the year ending </w:t>
      </w:r>
      <w:r w:rsidR="00E83723" w:rsidRPr="002C681B">
        <w:rPr>
          <w:rFonts w:ascii="Arial" w:hAnsi="Arial" w:cs="Arial"/>
          <w:sz w:val="24"/>
          <w:szCs w:val="24"/>
        </w:rPr>
        <w:t>June 2019,</w:t>
      </w:r>
      <w:r w:rsidRPr="002C681B">
        <w:rPr>
          <w:rFonts w:ascii="Arial" w:hAnsi="Arial" w:cs="Arial"/>
          <w:sz w:val="24"/>
          <w:szCs w:val="24"/>
        </w:rPr>
        <w:t xml:space="preserve"> </w:t>
      </w:r>
      <w:r w:rsidR="001A5ED3" w:rsidRPr="002C681B">
        <w:rPr>
          <w:rFonts w:ascii="Arial" w:hAnsi="Arial" w:cs="Arial"/>
          <w:sz w:val="24"/>
          <w:szCs w:val="24"/>
        </w:rPr>
        <w:t xml:space="preserve">Cardiff </w:t>
      </w:r>
      <w:r w:rsidR="00B3425A" w:rsidRPr="002C681B">
        <w:rPr>
          <w:rFonts w:ascii="Arial" w:hAnsi="Arial" w:cs="Arial"/>
          <w:sz w:val="24"/>
          <w:szCs w:val="24"/>
        </w:rPr>
        <w:t>(14.7</w:t>
      </w:r>
      <w:r w:rsidR="008A55D7" w:rsidRPr="002C681B">
        <w:rPr>
          <w:rFonts w:ascii="Arial" w:hAnsi="Arial" w:cs="Arial"/>
          <w:sz w:val="24"/>
          <w:szCs w:val="24"/>
        </w:rPr>
        <w:t>%</w:t>
      </w:r>
      <w:r w:rsidR="00B3425A" w:rsidRPr="002C681B">
        <w:rPr>
          <w:rFonts w:ascii="Arial" w:hAnsi="Arial" w:cs="Arial"/>
          <w:sz w:val="24"/>
          <w:szCs w:val="24"/>
        </w:rPr>
        <w:t xml:space="preserve">) had the lowest economic </w:t>
      </w:r>
      <w:r w:rsidR="00C44581" w:rsidRPr="002C681B">
        <w:rPr>
          <w:rFonts w:ascii="Arial" w:hAnsi="Arial" w:cs="Arial"/>
          <w:sz w:val="24"/>
          <w:szCs w:val="24"/>
        </w:rPr>
        <w:t xml:space="preserve">inactivity </w:t>
      </w:r>
      <w:r w:rsidR="00F56E8C" w:rsidRPr="002C681B">
        <w:rPr>
          <w:rFonts w:ascii="Arial" w:hAnsi="Arial" w:cs="Arial"/>
          <w:sz w:val="24"/>
          <w:szCs w:val="24"/>
        </w:rPr>
        <w:t>rate,</w:t>
      </w:r>
      <w:r w:rsidR="00C44581" w:rsidRPr="002C681B">
        <w:rPr>
          <w:rFonts w:ascii="Arial" w:hAnsi="Arial" w:cs="Arial"/>
          <w:sz w:val="24"/>
          <w:szCs w:val="24"/>
        </w:rPr>
        <w:t xml:space="preserve"> </w:t>
      </w:r>
      <w:r w:rsidR="001A5ED3" w:rsidRPr="002C681B">
        <w:rPr>
          <w:rFonts w:ascii="Arial" w:hAnsi="Arial" w:cs="Arial"/>
          <w:sz w:val="24"/>
          <w:szCs w:val="24"/>
        </w:rPr>
        <w:t xml:space="preserve">and the Vale of Glamorgan </w:t>
      </w:r>
      <w:r w:rsidR="00541023" w:rsidRPr="002C681B">
        <w:rPr>
          <w:rFonts w:ascii="Arial" w:hAnsi="Arial" w:cs="Arial"/>
          <w:sz w:val="24"/>
          <w:szCs w:val="24"/>
        </w:rPr>
        <w:t>(15.5</w:t>
      </w:r>
      <w:r w:rsidR="008A55D7" w:rsidRPr="002C681B">
        <w:rPr>
          <w:rFonts w:ascii="Arial" w:hAnsi="Arial" w:cs="Arial"/>
          <w:sz w:val="24"/>
          <w:szCs w:val="24"/>
        </w:rPr>
        <w:t>%</w:t>
      </w:r>
      <w:r w:rsidR="00541023" w:rsidRPr="002C681B">
        <w:rPr>
          <w:rFonts w:ascii="Arial" w:hAnsi="Arial" w:cs="Arial"/>
          <w:sz w:val="24"/>
          <w:szCs w:val="24"/>
        </w:rPr>
        <w:t>)</w:t>
      </w:r>
      <w:r w:rsidR="00FC2777" w:rsidRPr="002C681B">
        <w:rPr>
          <w:rFonts w:ascii="Arial" w:hAnsi="Arial" w:cs="Arial"/>
          <w:sz w:val="24"/>
          <w:szCs w:val="24"/>
        </w:rPr>
        <w:t xml:space="preserve"> had </w:t>
      </w:r>
      <w:r w:rsidR="00541023" w:rsidRPr="002C681B">
        <w:rPr>
          <w:rFonts w:ascii="Arial" w:hAnsi="Arial" w:cs="Arial"/>
          <w:sz w:val="24"/>
          <w:szCs w:val="24"/>
        </w:rPr>
        <w:t xml:space="preserve">the second </w:t>
      </w:r>
      <w:r w:rsidR="001A5ED3" w:rsidRPr="002C681B">
        <w:rPr>
          <w:rFonts w:ascii="Arial" w:hAnsi="Arial" w:cs="Arial"/>
          <w:sz w:val="24"/>
          <w:szCs w:val="24"/>
        </w:rPr>
        <w:t>lowe</w:t>
      </w:r>
      <w:r w:rsidR="00541023" w:rsidRPr="002C681B">
        <w:rPr>
          <w:rFonts w:ascii="Arial" w:hAnsi="Arial" w:cs="Arial"/>
          <w:sz w:val="24"/>
          <w:szCs w:val="24"/>
        </w:rPr>
        <w:t>st</w:t>
      </w:r>
      <w:r w:rsidR="001A5ED3" w:rsidRPr="002C681B">
        <w:rPr>
          <w:rFonts w:ascii="Arial" w:hAnsi="Arial" w:cs="Arial"/>
          <w:sz w:val="24"/>
          <w:szCs w:val="24"/>
        </w:rPr>
        <w:t xml:space="preserve"> </w:t>
      </w:r>
      <w:r w:rsidR="00541023" w:rsidRPr="002C681B">
        <w:rPr>
          <w:rFonts w:ascii="Arial" w:hAnsi="Arial" w:cs="Arial"/>
          <w:sz w:val="24"/>
          <w:szCs w:val="24"/>
        </w:rPr>
        <w:t xml:space="preserve">economic </w:t>
      </w:r>
      <w:r w:rsidR="001A5ED3" w:rsidRPr="002C681B">
        <w:rPr>
          <w:rFonts w:ascii="Arial" w:hAnsi="Arial" w:cs="Arial"/>
          <w:sz w:val="24"/>
          <w:szCs w:val="24"/>
        </w:rPr>
        <w:t>inactivity rate</w:t>
      </w:r>
      <w:r w:rsidR="00541023" w:rsidRPr="002C681B">
        <w:rPr>
          <w:rFonts w:ascii="Arial" w:hAnsi="Arial" w:cs="Arial"/>
          <w:sz w:val="24"/>
          <w:szCs w:val="24"/>
        </w:rPr>
        <w:t xml:space="preserve"> of all the </w:t>
      </w:r>
      <w:r w:rsidR="00567F4B" w:rsidRPr="002C681B">
        <w:rPr>
          <w:rFonts w:ascii="Arial" w:hAnsi="Arial" w:cs="Arial"/>
          <w:sz w:val="24"/>
          <w:szCs w:val="24"/>
        </w:rPr>
        <w:t>local</w:t>
      </w:r>
      <w:r w:rsidR="00541023" w:rsidRPr="002C681B">
        <w:rPr>
          <w:rFonts w:ascii="Arial" w:hAnsi="Arial" w:cs="Arial"/>
          <w:sz w:val="24"/>
          <w:szCs w:val="24"/>
        </w:rPr>
        <w:t xml:space="preserve"> authorities. </w:t>
      </w:r>
    </w:p>
    <w:p w14:paraId="20010C92" w14:textId="634BEF9D" w:rsidR="002C128E" w:rsidRPr="002C681B" w:rsidRDefault="002C128E" w:rsidP="00DC54F7">
      <w:pPr>
        <w:spacing w:after="0" w:line="240" w:lineRule="auto"/>
        <w:jc w:val="both"/>
        <w:rPr>
          <w:rFonts w:ascii="Arial" w:hAnsi="Arial" w:cs="Arial"/>
          <w:sz w:val="24"/>
          <w:szCs w:val="24"/>
        </w:rPr>
      </w:pPr>
    </w:p>
    <w:p w14:paraId="3834E1D4" w14:textId="75802FD0" w:rsidR="002C128E" w:rsidRPr="00045D64" w:rsidRDefault="002C128E" w:rsidP="00DC54F7">
      <w:pPr>
        <w:spacing w:after="0" w:line="240" w:lineRule="auto"/>
        <w:jc w:val="both"/>
        <w:rPr>
          <w:rFonts w:ascii="Arial" w:hAnsi="Arial" w:cs="Arial"/>
        </w:rPr>
      </w:pPr>
      <w:r w:rsidRPr="002C681B">
        <w:rPr>
          <w:rFonts w:ascii="Arial" w:hAnsi="Arial" w:cs="Arial"/>
          <w:sz w:val="24"/>
          <w:szCs w:val="24"/>
        </w:rPr>
        <w:t xml:space="preserve">Of note the economic activity data here do not include the impact of the </w:t>
      </w:r>
      <w:r w:rsidR="00F60815" w:rsidRPr="002C681B">
        <w:rPr>
          <w:rFonts w:ascii="Arial" w:hAnsi="Arial" w:cs="Arial"/>
          <w:sz w:val="24"/>
          <w:szCs w:val="24"/>
        </w:rPr>
        <w:t>Coronavirus (COVID-19)</w:t>
      </w:r>
      <w:r w:rsidRPr="002C681B">
        <w:rPr>
          <w:rFonts w:ascii="Arial" w:hAnsi="Arial" w:cs="Arial"/>
          <w:sz w:val="24"/>
          <w:szCs w:val="24"/>
        </w:rPr>
        <w:t xml:space="preserve"> pandemic, the long-term effects of which are not yet clear</w:t>
      </w:r>
      <w:r w:rsidRPr="008F04B4">
        <w:rPr>
          <w:rFonts w:ascii="Arial" w:hAnsi="Arial" w:cs="Arial"/>
        </w:rPr>
        <w:t>.</w:t>
      </w:r>
    </w:p>
    <w:p w14:paraId="73344B2D" w14:textId="77777777" w:rsidR="002C128E" w:rsidRPr="00045D64" w:rsidRDefault="002C128E" w:rsidP="00DC54F7">
      <w:pPr>
        <w:spacing w:after="0" w:line="240" w:lineRule="auto"/>
        <w:jc w:val="both"/>
        <w:rPr>
          <w:rFonts w:ascii="Arial" w:hAnsi="Arial" w:cs="Arial"/>
        </w:rPr>
      </w:pPr>
    </w:p>
    <w:p w14:paraId="6E262790" w14:textId="77777777" w:rsidR="008B2D50" w:rsidRDefault="008B2D50" w:rsidP="00DC54F7">
      <w:pPr>
        <w:spacing w:after="0" w:line="240" w:lineRule="auto"/>
        <w:jc w:val="both"/>
        <w:rPr>
          <w:rFonts w:ascii="Arial" w:hAnsi="Arial" w:cs="Arial"/>
          <w:b/>
          <w:sz w:val="26"/>
          <w:szCs w:val="26"/>
          <w:lang w:val="en" w:eastAsia="en-GB"/>
        </w:rPr>
      </w:pPr>
    </w:p>
    <w:p w14:paraId="5DE7860F" w14:textId="34925DD3" w:rsidR="003D522A" w:rsidRDefault="006316A3" w:rsidP="00DC54F7">
      <w:pPr>
        <w:spacing w:after="0" w:line="240" w:lineRule="auto"/>
        <w:jc w:val="both"/>
        <w:rPr>
          <w:rFonts w:ascii="Arial" w:hAnsi="Arial" w:cs="Arial"/>
          <w:b/>
          <w:sz w:val="26"/>
          <w:szCs w:val="26"/>
          <w:lang w:val="en" w:eastAsia="en-GB"/>
        </w:rPr>
      </w:pPr>
      <w:r w:rsidRPr="00A10850">
        <w:rPr>
          <w:rFonts w:ascii="Arial" w:hAnsi="Arial" w:cs="Arial"/>
          <w:b/>
          <w:sz w:val="26"/>
          <w:szCs w:val="26"/>
          <w:lang w:val="en" w:eastAsia="en-GB"/>
        </w:rPr>
        <w:t>2.</w:t>
      </w:r>
      <w:r w:rsidR="00103351" w:rsidRPr="00A10850">
        <w:rPr>
          <w:rFonts w:ascii="Arial" w:hAnsi="Arial" w:cs="Arial"/>
          <w:b/>
          <w:sz w:val="26"/>
          <w:szCs w:val="26"/>
          <w:lang w:val="en" w:eastAsia="en-GB"/>
        </w:rPr>
        <w:t>1</w:t>
      </w:r>
      <w:r w:rsidR="00D3388A" w:rsidRPr="00A10850">
        <w:rPr>
          <w:rFonts w:ascii="Arial" w:hAnsi="Arial" w:cs="Arial"/>
          <w:b/>
          <w:sz w:val="26"/>
          <w:szCs w:val="26"/>
          <w:lang w:val="en" w:eastAsia="en-GB"/>
        </w:rPr>
        <w:t>4</w:t>
      </w:r>
      <w:r w:rsidRPr="00A10850">
        <w:rPr>
          <w:rFonts w:ascii="Arial" w:hAnsi="Arial" w:cs="Arial"/>
          <w:b/>
          <w:sz w:val="26"/>
          <w:szCs w:val="26"/>
          <w:lang w:val="en" w:eastAsia="en-GB"/>
        </w:rPr>
        <w:t xml:space="preserve"> </w:t>
      </w:r>
      <w:r w:rsidR="00103351" w:rsidRPr="00A10850">
        <w:rPr>
          <w:rFonts w:ascii="Arial" w:hAnsi="Arial" w:cs="Arial"/>
          <w:b/>
          <w:sz w:val="26"/>
          <w:szCs w:val="26"/>
          <w:lang w:val="en" w:eastAsia="en-GB"/>
        </w:rPr>
        <w:t>Sexual orientation</w:t>
      </w:r>
    </w:p>
    <w:p w14:paraId="171EA6DC" w14:textId="6382B1EC" w:rsidR="003B5505" w:rsidRDefault="003B5505" w:rsidP="00DC54F7">
      <w:pPr>
        <w:spacing w:after="0" w:line="240" w:lineRule="auto"/>
        <w:jc w:val="both"/>
        <w:rPr>
          <w:rFonts w:ascii="Arial" w:hAnsi="Arial" w:cs="Arial"/>
          <w:b/>
          <w:sz w:val="26"/>
          <w:szCs w:val="26"/>
          <w:lang w:val="en" w:eastAsia="en-GB"/>
        </w:rPr>
      </w:pPr>
    </w:p>
    <w:p w14:paraId="2372459A" w14:textId="50ABBC6F" w:rsidR="00C104BD" w:rsidRPr="002C681B" w:rsidRDefault="00494BEC" w:rsidP="00DC54F7">
      <w:pPr>
        <w:shd w:val="clear" w:color="auto" w:fill="FFFFFF"/>
        <w:spacing w:after="0" w:line="240" w:lineRule="auto"/>
        <w:jc w:val="both"/>
        <w:rPr>
          <w:rFonts w:ascii="Arial" w:hAnsi="Arial" w:cs="Arial"/>
          <w:color w:val="323132"/>
          <w:sz w:val="24"/>
          <w:szCs w:val="24"/>
          <w:shd w:val="clear" w:color="auto" w:fill="FFFFFF"/>
        </w:rPr>
      </w:pPr>
      <w:r w:rsidRPr="002C681B">
        <w:rPr>
          <w:rFonts w:ascii="Arial" w:hAnsi="Arial" w:cs="Arial"/>
          <w:color w:val="323132"/>
          <w:sz w:val="24"/>
          <w:szCs w:val="24"/>
          <w:shd w:val="clear" w:color="auto" w:fill="FFFFFF"/>
        </w:rPr>
        <w:t xml:space="preserve">In the UK, </w:t>
      </w:r>
      <w:r w:rsidR="008210E0" w:rsidRPr="002C681B">
        <w:rPr>
          <w:rFonts w:ascii="Arial" w:hAnsi="Arial" w:cs="Arial"/>
          <w:color w:val="323132"/>
          <w:sz w:val="24"/>
          <w:szCs w:val="24"/>
          <w:shd w:val="clear" w:color="auto" w:fill="FFFFFF"/>
        </w:rPr>
        <w:t>94.6</w:t>
      </w:r>
      <w:r w:rsidR="00C104BD" w:rsidRPr="002C681B">
        <w:rPr>
          <w:rFonts w:ascii="Arial" w:hAnsi="Arial" w:cs="Arial"/>
          <w:color w:val="323132"/>
          <w:sz w:val="24"/>
          <w:szCs w:val="24"/>
          <w:shd w:val="clear" w:color="auto" w:fill="FFFFFF"/>
        </w:rPr>
        <w:t xml:space="preserve">% of people aged </w:t>
      </w:r>
      <w:r w:rsidR="00C104BD" w:rsidRPr="002C681B">
        <w:rPr>
          <w:rFonts w:ascii="Arial" w:eastAsia="Times New Roman" w:hAnsi="Arial" w:cs="Arial"/>
          <w:color w:val="1F1F1F"/>
          <w:sz w:val="24"/>
          <w:szCs w:val="24"/>
          <w:lang w:eastAsia="en-GB"/>
        </w:rPr>
        <w:t>16 and over identified as heterosexual/straight</w:t>
      </w:r>
      <w:r w:rsidR="008969A1" w:rsidRPr="002C681B">
        <w:rPr>
          <w:rFonts w:ascii="Arial" w:eastAsia="Times New Roman" w:hAnsi="Arial" w:cs="Arial"/>
          <w:color w:val="1F1F1F"/>
          <w:sz w:val="24"/>
          <w:szCs w:val="24"/>
          <w:lang w:eastAsia="en-GB"/>
        </w:rPr>
        <w:t xml:space="preserve"> in 2018</w:t>
      </w:r>
      <w:r w:rsidR="00C104BD" w:rsidRPr="002C681B">
        <w:rPr>
          <w:rFonts w:ascii="Arial" w:eastAsia="Times New Roman" w:hAnsi="Arial" w:cs="Arial"/>
          <w:color w:val="1F1F1F"/>
          <w:sz w:val="24"/>
          <w:szCs w:val="24"/>
          <w:lang w:eastAsia="en-GB"/>
        </w:rPr>
        <w:t xml:space="preserve">. </w:t>
      </w:r>
      <w:r w:rsidR="00B9696A" w:rsidRPr="002C681B">
        <w:rPr>
          <w:rFonts w:ascii="Arial" w:eastAsia="Times New Roman" w:hAnsi="Arial" w:cs="Arial"/>
          <w:color w:val="1F1F1F"/>
          <w:sz w:val="24"/>
          <w:szCs w:val="24"/>
          <w:lang w:eastAsia="en-GB"/>
        </w:rPr>
        <w:t xml:space="preserve">Of </w:t>
      </w:r>
      <w:r w:rsidR="00B05E7F" w:rsidRPr="002C681B">
        <w:rPr>
          <w:rFonts w:ascii="Arial" w:eastAsia="Times New Roman" w:hAnsi="Arial" w:cs="Arial"/>
          <w:color w:val="1F1F1F"/>
          <w:sz w:val="24"/>
          <w:szCs w:val="24"/>
          <w:lang w:eastAsia="en-GB"/>
        </w:rPr>
        <w:t xml:space="preserve">the </w:t>
      </w:r>
      <w:r w:rsidR="00421FC8" w:rsidRPr="002C681B">
        <w:rPr>
          <w:rFonts w:ascii="Arial" w:eastAsia="Times New Roman" w:hAnsi="Arial" w:cs="Arial"/>
          <w:color w:val="1F1F1F"/>
          <w:sz w:val="24"/>
          <w:szCs w:val="24"/>
          <w:lang w:eastAsia="en-GB"/>
        </w:rPr>
        <w:t>2.2% who identified as</w:t>
      </w:r>
      <w:r w:rsidR="007B7FE6" w:rsidRPr="002C681B">
        <w:rPr>
          <w:rFonts w:ascii="Arial" w:hAnsi="Arial" w:cs="Arial"/>
          <w:color w:val="323132"/>
          <w:sz w:val="24"/>
          <w:szCs w:val="24"/>
          <w:shd w:val="clear" w:color="auto" w:fill="FFFFFF"/>
        </w:rPr>
        <w:t xml:space="preserve"> lesbian, gay or bisexual (LGB)</w:t>
      </w:r>
      <w:r w:rsidR="00534925" w:rsidRPr="002C681B">
        <w:rPr>
          <w:rFonts w:ascii="Arial" w:eastAsia="Times New Roman" w:hAnsi="Arial" w:cs="Arial"/>
          <w:color w:val="1F1F1F"/>
          <w:sz w:val="24"/>
          <w:szCs w:val="24"/>
          <w:lang w:eastAsia="en-GB"/>
        </w:rPr>
        <w:t>:</w:t>
      </w:r>
    </w:p>
    <w:p w14:paraId="780102D8" w14:textId="77777777" w:rsidR="00C104BD" w:rsidRPr="002C681B" w:rsidRDefault="00C104BD" w:rsidP="00DC54F7">
      <w:pPr>
        <w:shd w:val="clear" w:color="auto" w:fill="FFFFFF"/>
        <w:spacing w:after="0" w:line="240" w:lineRule="auto"/>
        <w:jc w:val="both"/>
        <w:rPr>
          <w:rFonts w:ascii="Arial" w:hAnsi="Arial" w:cs="Arial"/>
          <w:color w:val="323132"/>
          <w:sz w:val="24"/>
          <w:szCs w:val="24"/>
          <w:shd w:val="clear" w:color="auto" w:fill="FFFFFF"/>
        </w:rPr>
      </w:pPr>
    </w:p>
    <w:p w14:paraId="18CFBC89" w14:textId="44BC41E4" w:rsidR="00534925" w:rsidRPr="002C681B" w:rsidRDefault="006F4304" w:rsidP="00DC54F7">
      <w:pPr>
        <w:pStyle w:val="ListParagraph"/>
        <w:numPr>
          <w:ilvl w:val="0"/>
          <w:numId w:val="28"/>
        </w:numPr>
        <w:shd w:val="clear" w:color="auto" w:fill="FFFFFF"/>
        <w:spacing w:after="0" w:line="240" w:lineRule="auto"/>
        <w:jc w:val="both"/>
        <w:rPr>
          <w:rFonts w:ascii="Arial" w:eastAsia="Times New Roman" w:hAnsi="Arial" w:cs="Arial"/>
          <w:color w:val="323132"/>
          <w:sz w:val="24"/>
          <w:szCs w:val="24"/>
          <w:lang w:eastAsia="en-GB"/>
        </w:rPr>
      </w:pPr>
      <w:r w:rsidRPr="002C681B">
        <w:rPr>
          <w:rFonts w:ascii="Arial" w:hAnsi="Arial" w:cs="Arial"/>
          <w:color w:val="323132"/>
          <w:sz w:val="24"/>
          <w:szCs w:val="24"/>
          <w:shd w:val="clear" w:color="auto" w:fill="FFFFFF"/>
        </w:rPr>
        <w:t>M</w:t>
      </w:r>
      <w:r w:rsidR="00494BEC" w:rsidRPr="002C681B">
        <w:rPr>
          <w:rFonts w:ascii="Arial" w:hAnsi="Arial" w:cs="Arial"/>
          <w:color w:val="323132"/>
          <w:sz w:val="24"/>
          <w:szCs w:val="24"/>
          <w:shd w:val="clear" w:color="auto" w:fill="FFFFFF"/>
        </w:rPr>
        <w:t xml:space="preserve">en </w:t>
      </w:r>
      <w:r w:rsidR="00494BEC" w:rsidRPr="002C681B">
        <w:rPr>
          <w:rFonts w:ascii="Arial" w:eastAsia="Times New Roman" w:hAnsi="Arial" w:cs="Arial"/>
          <w:color w:val="323132"/>
          <w:sz w:val="24"/>
          <w:szCs w:val="24"/>
          <w:lang w:eastAsia="en-GB"/>
        </w:rPr>
        <w:t>(2.5%) were more likely to identify as LGB than women (2.0%).</w:t>
      </w:r>
    </w:p>
    <w:p w14:paraId="5AE86627" w14:textId="77777777" w:rsidR="006F4304" w:rsidRPr="002C681B" w:rsidRDefault="00494BEC" w:rsidP="00DC54F7">
      <w:pPr>
        <w:pStyle w:val="ListParagraph"/>
        <w:numPr>
          <w:ilvl w:val="0"/>
          <w:numId w:val="28"/>
        </w:numPr>
        <w:shd w:val="clear" w:color="auto" w:fill="FFFFFF"/>
        <w:spacing w:after="0" w:line="240" w:lineRule="auto"/>
        <w:jc w:val="both"/>
        <w:rPr>
          <w:rFonts w:ascii="Arial" w:eastAsia="Times New Roman" w:hAnsi="Arial" w:cs="Arial"/>
          <w:color w:val="323132"/>
          <w:sz w:val="24"/>
          <w:szCs w:val="24"/>
          <w:lang w:eastAsia="en-GB"/>
        </w:rPr>
      </w:pPr>
      <w:r w:rsidRPr="002C681B">
        <w:rPr>
          <w:rFonts w:ascii="Arial" w:eastAsia="Times New Roman" w:hAnsi="Arial" w:cs="Arial"/>
          <w:color w:val="323132"/>
          <w:sz w:val="24"/>
          <w:szCs w:val="24"/>
          <w:lang w:eastAsia="en-GB"/>
        </w:rPr>
        <w:t>Younger people (aged 16 to 24 years) were most likely to identify as LG</w:t>
      </w:r>
      <w:r w:rsidR="006F4304" w:rsidRPr="002C681B">
        <w:rPr>
          <w:rFonts w:ascii="Arial" w:eastAsia="Times New Roman" w:hAnsi="Arial" w:cs="Arial"/>
          <w:color w:val="323132"/>
          <w:sz w:val="24"/>
          <w:szCs w:val="24"/>
          <w:lang w:eastAsia="en-GB"/>
        </w:rPr>
        <w:t>B</w:t>
      </w:r>
      <w:r w:rsidR="009457A6" w:rsidRPr="002C681B">
        <w:rPr>
          <w:rFonts w:ascii="Arial" w:eastAsia="Times New Roman" w:hAnsi="Arial" w:cs="Arial"/>
          <w:color w:val="323132"/>
          <w:sz w:val="24"/>
          <w:szCs w:val="24"/>
          <w:lang w:eastAsia="en-GB"/>
        </w:rPr>
        <w:t xml:space="preserve"> </w:t>
      </w:r>
      <w:r w:rsidRPr="002C681B">
        <w:rPr>
          <w:rFonts w:ascii="Arial" w:eastAsia="Times New Roman" w:hAnsi="Arial" w:cs="Arial"/>
          <w:color w:val="323132"/>
          <w:sz w:val="24"/>
          <w:szCs w:val="24"/>
          <w:lang w:eastAsia="en-GB"/>
        </w:rPr>
        <w:t xml:space="preserve">(4.4%). </w:t>
      </w:r>
    </w:p>
    <w:p w14:paraId="4D50BB91" w14:textId="38918E53" w:rsidR="00494BEC" w:rsidRPr="002C681B" w:rsidRDefault="00494BEC" w:rsidP="00DC54F7">
      <w:pPr>
        <w:pStyle w:val="ListParagraph"/>
        <w:numPr>
          <w:ilvl w:val="0"/>
          <w:numId w:val="28"/>
        </w:numPr>
        <w:shd w:val="clear" w:color="auto" w:fill="FFFFFF"/>
        <w:spacing w:after="0" w:line="240" w:lineRule="auto"/>
        <w:jc w:val="both"/>
        <w:rPr>
          <w:rFonts w:ascii="Arial" w:eastAsia="Times New Roman" w:hAnsi="Arial" w:cs="Arial"/>
          <w:color w:val="323132"/>
          <w:sz w:val="24"/>
          <w:szCs w:val="24"/>
          <w:lang w:eastAsia="en-GB"/>
        </w:rPr>
      </w:pPr>
      <w:r w:rsidRPr="002C681B">
        <w:rPr>
          <w:rFonts w:ascii="Arial" w:eastAsia="Times New Roman" w:hAnsi="Arial" w:cs="Arial"/>
          <w:color w:val="323132"/>
          <w:sz w:val="24"/>
          <w:szCs w:val="24"/>
          <w:lang w:eastAsia="en-GB"/>
        </w:rPr>
        <w:lastRenderedPageBreak/>
        <w:t>More than two-thirds (68.7%) of people who identified as LGB were single (never married or in a civil partnership).</w:t>
      </w:r>
      <w:r w:rsidR="00F107DF" w:rsidRPr="002C681B">
        <w:rPr>
          <w:rFonts w:ascii="Arial" w:eastAsia="Times New Roman" w:hAnsi="Arial" w:cs="Arial"/>
          <w:color w:val="323132"/>
          <w:sz w:val="24"/>
          <w:szCs w:val="24"/>
          <w:lang w:eastAsia="en-GB"/>
        </w:rPr>
        <w:t xml:space="preserve"> </w:t>
      </w:r>
      <w:r w:rsidR="00F107DF" w:rsidRPr="002C681B">
        <w:rPr>
          <w:rStyle w:val="FootnoteReference"/>
          <w:rFonts w:ascii="Arial" w:eastAsia="Times New Roman" w:hAnsi="Arial" w:cs="Arial"/>
          <w:color w:val="323132"/>
          <w:sz w:val="24"/>
          <w:szCs w:val="24"/>
          <w:lang w:eastAsia="en-GB"/>
        </w:rPr>
        <w:footnoteReference w:id="5"/>
      </w:r>
    </w:p>
    <w:p w14:paraId="468B8784" w14:textId="77777777" w:rsidR="006F4304" w:rsidRPr="002C681B" w:rsidRDefault="006F4304" w:rsidP="00DC54F7">
      <w:pPr>
        <w:shd w:val="clear" w:color="auto" w:fill="FFFFFF"/>
        <w:spacing w:after="0" w:line="240" w:lineRule="auto"/>
        <w:jc w:val="both"/>
        <w:rPr>
          <w:rFonts w:ascii="Arial" w:eastAsia="Times New Roman" w:hAnsi="Arial" w:cs="Arial"/>
          <w:color w:val="1F1F1F"/>
          <w:sz w:val="24"/>
          <w:szCs w:val="24"/>
          <w:lang w:eastAsia="en-GB"/>
        </w:rPr>
      </w:pPr>
    </w:p>
    <w:p w14:paraId="7CA942D8" w14:textId="77777777" w:rsidR="00355DCD" w:rsidRPr="002C681B" w:rsidRDefault="006F4304" w:rsidP="00DC54F7">
      <w:pPr>
        <w:shd w:val="clear" w:color="auto" w:fill="FFFFFF"/>
        <w:spacing w:after="0" w:line="240" w:lineRule="auto"/>
        <w:jc w:val="both"/>
        <w:rPr>
          <w:rFonts w:ascii="Arial" w:eastAsia="Times New Roman" w:hAnsi="Arial" w:cs="Arial"/>
          <w:color w:val="1F1F1F"/>
          <w:sz w:val="24"/>
          <w:szCs w:val="24"/>
          <w:lang w:eastAsia="en-GB"/>
        </w:rPr>
      </w:pPr>
      <w:r w:rsidRPr="002C681B">
        <w:rPr>
          <w:rFonts w:ascii="Arial" w:eastAsia="Times New Roman" w:hAnsi="Arial" w:cs="Arial"/>
          <w:color w:val="1F1F1F"/>
          <w:sz w:val="24"/>
          <w:szCs w:val="24"/>
          <w:lang w:eastAsia="en-GB"/>
        </w:rPr>
        <w:t xml:space="preserve">In 2018, 95.2% of people in Wales aged 16 and over identified as heterosexual/straight. This compares to 1.5% who identified as gay/lesbian, 0.8% who identified as bisexual, and 0.8% who identified as other. 1.7% responded that they didn’t know or refused to say. </w:t>
      </w:r>
    </w:p>
    <w:p w14:paraId="4909C944" w14:textId="77777777" w:rsidR="00355DCD" w:rsidRPr="002C681B" w:rsidRDefault="00355DCD" w:rsidP="00DC54F7">
      <w:pPr>
        <w:shd w:val="clear" w:color="auto" w:fill="FFFFFF"/>
        <w:spacing w:after="0" w:line="240" w:lineRule="auto"/>
        <w:jc w:val="both"/>
        <w:rPr>
          <w:rFonts w:ascii="Arial" w:eastAsia="Times New Roman" w:hAnsi="Arial" w:cs="Arial"/>
          <w:color w:val="1F1F1F"/>
          <w:sz w:val="24"/>
          <w:szCs w:val="24"/>
          <w:lang w:eastAsia="en-GB"/>
        </w:rPr>
      </w:pPr>
    </w:p>
    <w:p w14:paraId="68E014A7" w14:textId="5B598CC7" w:rsidR="00407B39" w:rsidRPr="002C681B" w:rsidRDefault="00B26B02" w:rsidP="00DC54F7">
      <w:pPr>
        <w:shd w:val="clear" w:color="auto" w:fill="FFFFFF"/>
        <w:spacing w:after="0" w:line="240" w:lineRule="auto"/>
        <w:jc w:val="both"/>
        <w:rPr>
          <w:rFonts w:ascii="Arial" w:hAnsi="Arial" w:cs="Arial"/>
          <w:color w:val="323132"/>
          <w:sz w:val="24"/>
          <w:szCs w:val="24"/>
          <w:shd w:val="clear" w:color="auto" w:fill="FFFFFF"/>
        </w:rPr>
      </w:pPr>
      <w:r w:rsidRPr="002C681B">
        <w:rPr>
          <w:rFonts w:ascii="Arial" w:eastAsia="Times New Roman" w:hAnsi="Arial" w:cs="Arial"/>
          <w:color w:val="1F1F1F"/>
          <w:sz w:val="24"/>
          <w:szCs w:val="24"/>
          <w:lang w:eastAsia="en-GB"/>
        </w:rPr>
        <w:t xml:space="preserve">Figure 2.10 </w:t>
      </w:r>
      <w:r w:rsidR="00355DCD" w:rsidRPr="002C681B">
        <w:rPr>
          <w:rFonts w:ascii="Arial" w:eastAsia="Times New Roman" w:hAnsi="Arial" w:cs="Arial"/>
          <w:color w:val="1F1F1F"/>
          <w:sz w:val="24"/>
          <w:szCs w:val="24"/>
          <w:lang w:eastAsia="en-GB"/>
        </w:rPr>
        <w:t xml:space="preserve">shows that </w:t>
      </w:r>
      <w:r w:rsidR="00682A85" w:rsidRPr="002C681B">
        <w:rPr>
          <w:rFonts w:ascii="Arial" w:eastAsia="Times New Roman" w:hAnsi="Arial" w:cs="Arial"/>
          <w:color w:val="1F1F1F"/>
          <w:sz w:val="24"/>
          <w:szCs w:val="24"/>
          <w:lang w:eastAsia="en-GB"/>
        </w:rPr>
        <w:t xml:space="preserve">in 2018, </w:t>
      </w:r>
      <w:r w:rsidR="00355DCD" w:rsidRPr="002C681B">
        <w:rPr>
          <w:rFonts w:ascii="Arial" w:hAnsi="Arial" w:cs="Arial"/>
          <w:color w:val="323132"/>
          <w:sz w:val="24"/>
          <w:szCs w:val="24"/>
          <w:shd w:val="clear" w:color="auto" w:fill="FFFFFF"/>
        </w:rPr>
        <w:t>t</w:t>
      </w:r>
      <w:r w:rsidR="00407B39" w:rsidRPr="002C681B">
        <w:rPr>
          <w:rFonts w:ascii="Arial" w:hAnsi="Arial" w:cs="Arial"/>
          <w:color w:val="323132"/>
          <w:sz w:val="24"/>
          <w:szCs w:val="24"/>
          <w:shd w:val="clear" w:color="auto" w:fill="FFFFFF"/>
        </w:rPr>
        <w:t>he percentage of people who identified as lesbian, gay or bisexual (LGB) was similar for England (2.3%), Wales (2.4%)</w:t>
      </w:r>
      <w:r w:rsidR="00F70D4D" w:rsidRPr="002C681B">
        <w:rPr>
          <w:rFonts w:ascii="Arial" w:hAnsi="Arial" w:cs="Arial"/>
          <w:color w:val="323132"/>
          <w:sz w:val="24"/>
          <w:szCs w:val="24"/>
          <w:shd w:val="clear" w:color="auto" w:fill="FFFFFF"/>
        </w:rPr>
        <w:t xml:space="preserve">, </w:t>
      </w:r>
      <w:r w:rsidR="00407B39" w:rsidRPr="002C681B">
        <w:rPr>
          <w:rFonts w:ascii="Arial" w:hAnsi="Arial" w:cs="Arial"/>
          <w:color w:val="323132"/>
          <w:sz w:val="24"/>
          <w:szCs w:val="24"/>
          <w:shd w:val="clear" w:color="auto" w:fill="FFFFFF"/>
        </w:rPr>
        <w:t>Scotland (2.0%) and the UK (2.2%).</w:t>
      </w:r>
    </w:p>
    <w:p w14:paraId="6945B80F" w14:textId="77777777" w:rsidR="00481059" w:rsidRDefault="00481059" w:rsidP="00DC54F7">
      <w:pPr>
        <w:shd w:val="clear" w:color="auto" w:fill="FFFFFF"/>
        <w:spacing w:after="0" w:line="240" w:lineRule="auto"/>
        <w:jc w:val="both"/>
        <w:rPr>
          <w:rFonts w:ascii="Arial" w:hAnsi="Arial" w:cs="Arial"/>
          <w:b/>
          <w:bCs/>
          <w:shd w:val="clear" w:color="auto" w:fill="FFFFFF"/>
        </w:rPr>
      </w:pPr>
    </w:p>
    <w:p w14:paraId="602C33F1" w14:textId="48225C8F" w:rsidR="00113B0C" w:rsidRPr="002C681B" w:rsidRDefault="008F4406" w:rsidP="00DC54F7">
      <w:pPr>
        <w:shd w:val="clear" w:color="auto" w:fill="FFFFFF"/>
        <w:spacing w:after="0" w:line="240" w:lineRule="auto"/>
        <w:jc w:val="both"/>
        <w:rPr>
          <w:rFonts w:ascii="Arial" w:hAnsi="Arial" w:cs="Arial"/>
          <w:b/>
          <w:bCs/>
          <w:sz w:val="24"/>
          <w:szCs w:val="24"/>
          <w:shd w:val="clear" w:color="auto" w:fill="FFFFFF"/>
        </w:rPr>
      </w:pPr>
      <w:r w:rsidRPr="002C681B">
        <w:rPr>
          <w:rFonts w:ascii="Arial" w:hAnsi="Arial" w:cs="Arial"/>
          <w:b/>
          <w:bCs/>
          <w:sz w:val="24"/>
          <w:szCs w:val="24"/>
          <w:shd w:val="clear" w:color="auto" w:fill="FFFFFF"/>
        </w:rPr>
        <w:t>Figure 2.</w:t>
      </w:r>
      <w:r w:rsidR="00F82C8B" w:rsidRPr="002C681B">
        <w:rPr>
          <w:rFonts w:ascii="Arial" w:hAnsi="Arial" w:cs="Arial"/>
          <w:b/>
          <w:bCs/>
          <w:sz w:val="24"/>
          <w:szCs w:val="24"/>
          <w:shd w:val="clear" w:color="auto" w:fill="FFFFFF"/>
        </w:rPr>
        <w:t>10</w:t>
      </w:r>
      <w:r w:rsidR="00E30B0A" w:rsidRPr="002C681B">
        <w:rPr>
          <w:rFonts w:ascii="Arial" w:hAnsi="Arial" w:cs="Arial"/>
          <w:b/>
          <w:bCs/>
          <w:sz w:val="24"/>
          <w:szCs w:val="24"/>
          <w:shd w:val="clear" w:color="auto" w:fill="FFFFFF"/>
        </w:rPr>
        <w:t>: UK constituent countries by lesbian, gay or bisexual population, 2014 and 2018</w:t>
      </w:r>
    </w:p>
    <w:p w14:paraId="4B990190" w14:textId="77853177" w:rsidR="006F4304" w:rsidRPr="00E30B0A" w:rsidRDefault="006F4304" w:rsidP="00DC54F7">
      <w:pPr>
        <w:shd w:val="clear" w:color="auto" w:fill="FFFFFF"/>
        <w:spacing w:after="0" w:line="240" w:lineRule="auto"/>
        <w:jc w:val="both"/>
        <w:rPr>
          <w:rFonts w:ascii="Arial" w:eastAsia="Times New Roman" w:hAnsi="Arial" w:cs="Arial"/>
          <w:b/>
          <w:bCs/>
          <w:lang w:eastAsia="en-GB"/>
        </w:rPr>
      </w:pPr>
    </w:p>
    <w:p w14:paraId="77FC3D20" w14:textId="7D4B1B49" w:rsidR="0077078E" w:rsidRDefault="0077078E" w:rsidP="00DC54F7">
      <w:pPr>
        <w:shd w:val="clear" w:color="auto" w:fill="FFFFFF"/>
        <w:spacing w:after="120" w:line="480" w:lineRule="atLeast"/>
        <w:jc w:val="both"/>
        <w:rPr>
          <w:rFonts w:ascii="Arial" w:eastAsia="Times New Roman" w:hAnsi="Arial" w:cs="Arial"/>
          <w:color w:val="323132"/>
          <w:sz w:val="24"/>
          <w:szCs w:val="24"/>
          <w:lang w:eastAsia="en-GB"/>
        </w:rPr>
      </w:pPr>
      <w:r>
        <w:rPr>
          <w:noProof/>
          <w:lang w:eastAsia="en-GB"/>
        </w:rPr>
        <w:drawing>
          <wp:inline distT="0" distB="0" distL="0" distR="0" wp14:anchorId="23524A6E" wp14:editId="5CD0F311">
            <wp:extent cx="5716988" cy="2558266"/>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56722" cy="2576046"/>
                    </a:xfrm>
                    <a:prstGeom prst="rect">
                      <a:avLst/>
                    </a:prstGeom>
                    <a:noFill/>
                    <a:ln>
                      <a:noFill/>
                    </a:ln>
                  </pic:spPr>
                </pic:pic>
              </a:graphicData>
            </a:graphic>
          </wp:inline>
        </w:drawing>
      </w:r>
    </w:p>
    <w:p w14:paraId="5F5D53D1" w14:textId="3B298475" w:rsidR="005005A0" w:rsidRPr="002C681B" w:rsidRDefault="005005A0" w:rsidP="00DC54F7">
      <w:pPr>
        <w:shd w:val="clear" w:color="auto" w:fill="FFFFFF"/>
        <w:spacing w:after="0" w:line="240" w:lineRule="auto"/>
        <w:jc w:val="both"/>
        <w:rPr>
          <w:rFonts w:ascii="Arial" w:eastAsia="Times New Roman" w:hAnsi="Arial" w:cs="Arial"/>
          <w:color w:val="1F1F1F"/>
          <w:sz w:val="20"/>
          <w:szCs w:val="20"/>
          <w:lang w:eastAsia="en-GB"/>
        </w:rPr>
      </w:pPr>
      <w:r w:rsidRPr="002C681B">
        <w:rPr>
          <w:rFonts w:ascii="Arial" w:hAnsi="Arial" w:cs="Arial"/>
          <w:color w:val="323132"/>
          <w:sz w:val="20"/>
          <w:szCs w:val="20"/>
          <w:shd w:val="clear" w:color="auto" w:fill="FFFFFF"/>
        </w:rPr>
        <w:t>Source: Office for National Statistics – Annual Population Survey</w:t>
      </w:r>
    </w:p>
    <w:p w14:paraId="76B13634" w14:textId="77777777" w:rsidR="00AB3131" w:rsidRDefault="00AB3131" w:rsidP="00DC54F7">
      <w:pPr>
        <w:shd w:val="clear" w:color="auto" w:fill="FFFFFF"/>
        <w:spacing w:after="0" w:line="240" w:lineRule="auto"/>
        <w:jc w:val="both"/>
        <w:rPr>
          <w:rFonts w:ascii="Arial" w:eastAsia="Times New Roman" w:hAnsi="Arial" w:cs="Arial"/>
          <w:color w:val="1F1F1F"/>
          <w:lang w:eastAsia="en-GB"/>
        </w:rPr>
      </w:pPr>
    </w:p>
    <w:p w14:paraId="16DC2D21" w14:textId="1F2F968B" w:rsidR="00A858A1" w:rsidRPr="002C681B" w:rsidRDefault="00FF2F90" w:rsidP="00DC54F7">
      <w:pPr>
        <w:shd w:val="clear" w:color="auto" w:fill="FFFFFF"/>
        <w:spacing w:after="0" w:line="240" w:lineRule="auto"/>
        <w:jc w:val="both"/>
        <w:rPr>
          <w:rFonts w:ascii="Arial" w:eastAsia="Times New Roman" w:hAnsi="Arial" w:cs="Arial"/>
          <w:color w:val="1F1F1F"/>
          <w:sz w:val="24"/>
          <w:szCs w:val="24"/>
          <w:lang w:eastAsia="en-GB"/>
        </w:rPr>
      </w:pPr>
      <w:r w:rsidRPr="002C681B">
        <w:rPr>
          <w:rFonts w:ascii="Arial" w:eastAsia="Times New Roman" w:hAnsi="Arial" w:cs="Arial"/>
          <w:color w:val="1F1F1F"/>
          <w:sz w:val="24"/>
          <w:szCs w:val="24"/>
          <w:lang w:eastAsia="en-GB"/>
        </w:rPr>
        <w:t xml:space="preserve">When considering </w:t>
      </w:r>
      <w:r w:rsidR="00802C91" w:rsidRPr="002C681B">
        <w:rPr>
          <w:rFonts w:ascii="Arial" w:eastAsia="Times New Roman" w:hAnsi="Arial" w:cs="Arial"/>
          <w:color w:val="1F1F1F"/>
          <w:sz w:val="24"/>
          <w:szCs w:val="24"/>
          <w:lang w:eastAsia="en-GB"/>
        </w:rPr>
        <w:t xml:space="preserve">sexual orientation at the </w:t>
      </w:r>
      <w:r w:rsidR="00567F4B" w:rsidRPr="002C681B">
        <w:rPr>
          <w:rFonts w:ascii="Arial" w:eastAsia="Times New Roman" w:hAnsi="Arial" w:cs="Arial"/>
          <w:color w:val="1F1F1F"/>
          <w:sz w:val="24"/>
          <w:szCs w:val="24"/>
          <w:lang w:eastAsia="en-GB"/>
        </w:rPr>
        <w:t>local</w:t>
      </w:r>
      <w:r w:rsidR="00802C91" w:rsidRPr="002C681B">
        <w:rPr>
          <w:rFonts w:ascii="Arial" w:eastAsia="Times New Roman" w:hAnsi="Arial" w:cs="Arial"/>
          <w:color w:val="1F1F1F"/>
          <w:sz w:val="24"/>
          <w:szCs w:val="24"/>
          <w:lang w:eastAsia="en-GB"/>
        </w:rPr>
        <w:t xml:space="preserve"> authority level</w:t>
      </w:r>
      <w:r w:rsidR="00EC6099" w:rsidRPr="002C681B">
        <w:rPr>
          <w:rFonts w:ascii="Arial" w:eastAsia="Times New Roman" w:hAnsi="Arial" w:cs="Arial"/>
          <w:color w:val="1F1F1F"/>
          <w:sz w:val="24"/>
          <w:szCs w:val="24"/>
          <w:lang w:eastAsia="en-GB"/>
        </w:rPr>
        <w:t xml:space="preserve">, </w:t>
      </w:r>
      <w:r w:rsidR="00372E4A" w:rsidRPr="002C681B">
        <w:rPr>
          <w:rFonts w:ascii="Arial" w:eastAsia="Times New Roman" w:hAnsi="Arial" w:cs="Arial"/>
          <w:color w:val="1F1F1F"/>
          <w:sz w:val="24"/>
          <w:szCs w:val="24"/>
          <w:lang w:eastAsia="en-GB"/>
        </w:rPr>
        <w:t>d</w:t>
      </w:r>
      <w:r w:rsidR="00EC6099" w:rsidRPr="002C681B">
        <w:rPr>
          <w:rFonts w:ascii="Arial" w:eastAsia="Times New Roman" w:hAnsi="Arial" w:cs="Arial"/>
          <w:color w:val="1F1F1F"/>
          <w:sz w:val="24"/>
          <w:szCs w:val="24"/>
          <w:lang w:eastAsia="en-GB"/>
        </w:rPr>
        <w:t xml:space="preserve">ata from the </w:t>
      </w:r>
      <w:r w:rsidR="00F91A32" w:rsidRPr="002C681B">
        <w:rPr>
          <w:rFonts w:ascii="Arial" w:hAnsi="Arial" w:cs="Arial"/>
          <w:color w:val="323132"/>
          <w:sz w:val="24"/>
          <w:szCs w:val="24"/>
          <w:shd w:val="clear" w:color="auto" w:fill="FFFFFF"/>
        </w:rPr>
        <w:t xml:space="preserve">Annual Population Survey 3-year pooled dataset for 2016 to 2018, showed that </w:t>
      </w:r>
      <w:r w:rsidR="009878C7" w:rsidRPr="002C681B">
        <w:rPr>
          <w:rFonts w:ascii="Arial" w:hAnsi="Arial" w:cs="Arial"/>
          <w:color w:val="323132"/>
          <w:sz w:val="24"/>
          <w:szCs w:val="24"/>
          <w:shd w:val="clear" w:color="auto" w:fill="FFFFFF"/>
        </w:rPr>
        <w:t xml:space="preserve">in </w:t>
      </w:r>
      <w:r w:rsidR="008C39C5" w:rsidRPr="002C681B">
        <w:rPr>
          <w:rFonts w:ascii="Arial" w:hAnsi="Arial" w:cs="Arial"/>
          <w:color w:val="323132"/>
          <w:sz w:val="24"/>
          <w:szCs w:val="24"/>
          <w:shd w:val="clear" w:color="auto" w:fill="FFFFFF"/>
        </w:rPr>
        <w:t>Cardiff</w:t>
      </w:r>
      <w:r w:rsidR="00DD7772" w:rsidRPr="002C681B">
        <w:rPr>
          <w:rFonts w:ascii="Arial" w:hAnsi="Arial" w:cs="Arial"/>
          <w:color w:val="323132"/>
          <w:sz w:val="24"/>
          <w:szCs w:val="24"/>
          <w:shd w:val="clear" w:color="auto" w:fill="FFFFFF"/>
        </w:rPr>
        <w:t xml:space="preserve">, </w:t>
      </w:r>
      <w:r w:rsidR="009878C7" w:rsidRPr="002C681B">
        <w:rPr>
          <w:rFonts w:ascii="Arial" w:hAnsi="Arial" w:cs="Arial"/>
          <w:color w:val="323132"/>
          <w:sz w:val="24"/>
          <w:szCs w:val="24"/>
          <w:shd w:val="clear" w:color="auto" w:fill="FFFFFF"/>
        </w:rPr>
        <w:t>93.8</w:t>
      </w:r>
      <w:r w:rsidR="00201037" w:rsidRPr="002C681B">
        <w:rPr>
          <w:rFonts w:ascii="Arial" w:hAnsi="Arial" w:cs="Arial"/>
          <w:color w:val="323132"/>
          <w:sz w:val="24"/>
          <w:szCs w:val="24"/>
          <w:shd w:val="clear" w:color="auto" w:fill="FFFFFF"/>
        </w:rPr>
        <w:t>% of the population identified themselves as heterosexual</w:t>
      </w:r>
      <w:r w:rsidR="00DD4DF9" w:rsidRPr="002C681B">
        <w:rPr>
          <w:rFonts w:ascii="Arial" w:hAnsi="Arial" w:cs="Arial"/>
          <w:color w:val="323132"/>
          <w:sz w:val="24"/>
          <w:szCs w:val="24"/>
          <w:shd w:val="clear" w:color="auto" w:fill="FFFFFF"/>
        </w:rPr>
        <w:t xml:space="preserve"> </w:t>
      </w:r>
      <w:r w:rsidR="00A858A1" w:rsidRPr="002C681B">
        <w:rPr>
          <w:rFonts w:ascii="Arial" w:hAnsi="Arial" w:cs="Arial"/>
          <w:color w:val="323132"/>
          <w:sz w:val="24"/>
          <w:szCs w:val="24"/>
          <w:shd w:val="clear" w:color="auto" w:fill="FFFFFF"/>
        </w:rPr>
        <w:t xml:space="preserve">compared to 96.1% in the Vale of Glamorgan. The percentage of people who identified as lesbian, gay or bisexual (LGB) was highest in Cardiff (5.2%) and third highest in Vale of Glamorgan (2.8%) compared to the other </w:t>
      </w:r>
      <w:r w:rsidR="00567F4B" w:rsidRPr="002C681B">
        <w:rPr>
          <w:rFonts w:ascii="Arial" w:hAnsi="Arial" w:cs="Arial"/>
          <w:color w:val="323132"/>
          <w:sz w:val="24"/>
          <w:szCs w:val="24"/>
          <w:shd w:val="clear" w:color="auto" w:fill="FFFFFF"/>
        </w:rPr>
        <w:t>local</w:t>
      </w:r>
      <w:r w:rsidR="00A858A1" w:rsidRPr="002C681B">
        <w:rPr>
          <w:rFonts w:ascii="Arial" w:hAnsi="Arial" w:cs="Arial"/>
          <w:color w:val="323132"/>
          <w:sz w:val="24"/>
          <w:szCs w:val="24"/>
          <w:shd w:val="clear" w:color="auto" w:fill="FFFFFF"/>
        </w:rPr>
        <w:t xml:space="preserve"> authorities</w:t>
      </w:r>
      <w:r w:rsidR="0013117C" w:rsidRPr="002C681B">
        <w:rPr>
          <w:rFonts w:ascii="Arial" w:hAnsi="Arial" w:cs="Arial"/>
          <w:color w:val="323132"/>
          <w:sz w:val="24"/>
          <w:szCs w:val="24"/>
          <w:shd w:val="clear" w:color="auto" w:fill="FFFFFF"/>
        </w:rPr>
        <w:t xml:space="preserve"> in Wales</w:t>
      </w:r>
      <w:r w:rsidR="00A858A1" w:rsidRPr="002C681B">
        <w:rPr>
          <w:rFonts w:ascii="Arial" w:hAnsi="Arial" w:cs="Arial"/>
          <w:color w:val="323132"/>
          <w:sz w:val="24"/>
          <w:szCs w:val="24"/>
          <w:shd w:val="clear" w:color="auto" w:fill="FFFFFF"/>
        </w:rPr>
        <w:t xml:space="preserve">. </w:t>
      </w:r>
    </w:p>
    <w:p w14:paraId="4819F0F7" w14:textId="2BECAEAE" w:rsidR="004325AD" w:rsidRDefault="004325AD" w:rsidP="00DC54F7">
      <w:pPr>
        <w:shd w:val="clear" w:color="auto" w:fill="FFFFFF"/>
        <w:spacing w:after="0" w:line="240" w:lineRule="auto"/>
        <w:jc w:val="both"/>
        <w:rPr>
          <w:rFonts w:ascii="Arial" w:hAnsi="Arial" w:cs="Arial"/>
          <w:color w:val="323132"/>
          <w:shd w:val="clear" w:color="auto" w:fill="FFFFFF"/>
        </w:rPr>
      </w:pPr>
    </w:p>
    <w:p w14:paraId="31F6071A" w14:textId="467B4BA2" w:rsidR="002C681B" w:rsidRDefault="002C681B" w:rsidP="00DC54F7">
      <w:pPr>
        <w:shd w:val="clear" w:color="auto" w:fill="FFFFFF"/>
        <w:spacing w:after="0" w:line="240" w:lineRule="auto"/>
        <w:jc w:val="both"/>
        <w:rPr>
          <w:rFonts w:ascii="Arial" w:hAnsi="Arial" w:cs="Arial"/>
          <w:color w:val="323132"/>
          <w:shd w:val="clear" w:color="auto" w:fill="FFFFFF"/>
        </w:rPr>
      </w:pPr>
    </w:p>
    <w:p w14:paraId="031161DE" w14:textId="4CE43739" w:rsidR="002C681B" w:rsidRDefault="002C681B" w:rsidP="00DC54F7">
      <w:pPr>
        <w:shd w:val="clear" w:color="auto" w:fill="FFFFFF"/>
        <w:spacing w:after="0" w:line="240" w:lineRule="auto"/>
        <w:jc w:val="both"/>
        <w:rPr>
          <w:rFonts w:ascii="Arial" w:hAnsi="Arial" w:cs="Arial"/>
          <w:color w:val="323132"/>
          <w:shd w:val="clear" w:color="auto" w:fill="FFFFFF"/>
        </w:rPr>
      </w:pPr>
    </w:p>
    <w:p w14:paraId="6A275AAD" w14:textId="02CE8EF2" w:rsidR="002C681B" w:rsidRDefault="002C681B" w:rsidP="00DC54F7">
      <w:pPr>
        <w:shd w:val="clear" w:color="auto" w:fill="FFFFFF"/>
        <w:spacing w:after="0" w:line="240" w:lineRule="auto"/>
        <w:jc w:val="both"/>
        <w:rPr>
          <w:rFonts w:ascii="Arial" w:hAnsi="Arial" w:cs="Arial"/>
          <w:color w:val="323132"/>
          <w:shd w:val="clear" w:color="auto" w:fill="FFFFFF"/>
        </w:rPr>
      </w:pPr>
    </w:p>
    <w:p w14:paraId="494E8333" w14:textId="640C1897" w:rsidR="002C681B" w:rsidRDefault="002C681B" w:rsidP="00DC54F7">
      <w:pPr>
        <w:shd w:val="clear" w:color="auto" w:fill="FFFFFF"/>
        <w:spacing w:after="0" w:line="240" w:lineRule="auto"/>
        <w:jc w:val="both"/>
        <w:rPr>
          <w:rFonts w:ascii="Arial" w:hAnsi="Arial" w:cs="Arial"/>
          <w:color w:val="323132"/>
          <w:shd w:val="clear" w:color="auto" w:fill="FFFFFF"/>
        </w:rPr>
      </w:pPr>
    </w:p>
    <w:p w14:paraId="4B08BCC8" w14:textId="35C0921F" w:rsidR="00B53914" w:rsidRPr="002C681B" w:rsidRDefault="002C681B" w:rsidP="00DC54F7">
      <w:pPr>
        <w:spacing w:after="0" w:line="240" w:lineRule="auto"/>
        <w:jc w:val="both"/>
        <w:rPr>
          <w:rFonts w:ascii="Arial" w:hAnsi="Arial" w:cs="Arial"/>
          <w:color w:val="323132"/>
          <w:shd w:val="clear" w:color="auto" w:fill="FFFFFF"/>
        </w:rPr>
      </w:pPr>
      <w:r>
        <w:rPr>
          <w:rFonts w:ascii="Arial" w:hAnsi="Arial" w:cs="Arial"/>
          <w:color w:val="323132"/>
          <w:shd w:val="clear" w:color="auto" w:fill="FFFFFF"/>
        </w:rPr>
        <w:br w:type="page"/>
      </w:r>
      <w:r w:rsidR="00F56E8C" w:rsidRPr="002C681B">
        <w:rPr>
          <w:rFonts w:ascii="Arial" w:hAnsi="Arial" w:cs="Arial"/>
          <w:b/>
          <w:bCs/>
          <w:color w:val="323132"/>
          <w:sz w:val="24"/>
          <w:szCs w:val="24"/>
          <w:shd w:val="clear" w:color="auto" w:fill="FFFFFF"/>
        </w:rPr>
        <w:lastRenderedPageBreak/>
        <w:t>Table</w:t>
      </w:r>
      <w:r w:rsidR="00F572A1" w:rsidRPr="002C681B">
        <w:rPr>
          <w:rFonts w:ascii="Arial" w:hAnsi="Arial" w:cs="Arial"/>
          <w:b/>
          <w:bCs/>
          <w:color w:val="323132"/>
          <w:sz w:val="24"/>
          <w:szCs w:val="24"/>
          <w:shd w:val="clear" w:color="auto" w:fill="FFFFFF"/>
        </w:rPr>
        <w:t xml:space="preserve"> </w:t>
      </w:r>
      <w:r w:rsidR="008B2D50" w:rsidRPr="002C681B">
        <w:rPr>
          <w:rFonts w:ascii="Arial" w:hAnsi="Arial" w:cs="Arial"/>
          <w:b/>
          <w:bCs/>
          <w:color w:val="323132"/>
          <w:sz w:val="24"/>
          <w:szCs w:val="24"/>
          <w:shd w:val="clear" w:color="auto" w:fill="FFFFFF"/>
        </w:rPr>
        <w:t>2.14</w:t>
      </w:r>
      <w:r w:rsidR="00F56E8C" w:rsidRPr="002C681B">
        <w:rPr>
          <w:rFonts w:ascii="Arial" w:hAnsi="Arial" w:cs="Arial"/>
          <w:b/>
          <w:bCs/>
          <w:color w:val="323132"/>
          <w:sz w:val="24"/>
          <w:szCs w:val="24"/>
          <w:shd w:val="clear" w:color="auto" w:fill="FFFFFF"/>
        </w:rPr>
        <w:t>:</w:t>
      </w:r>
      <w:r w:rsidR="004325AD" w:rsidRPr="002C681B">
        <w:rPr>
          <w:rFonts w:ascii="Arial" w:hAnsi="Arial" w:cs="Arial"/>
          <w:color w:val="323132"/>
          <w:sz w:val="24"/>
          <w:szCs w:val="24"/>
          <w:shd w:val="clear" w:color="auto" w:fill="FFFFFF"/>
        </w:rPr>
        <w:t xml:space="preserve"> </w:t>
      </w:r>
      <w:r w:rsidR="004325AD" w:rsidRPr="002C681B">
        <w:rPr>
          <w:rFonts w:ascii="Arial" w:eastAsia="Times New Roman" w:hAnsi="Arial" w:cs="Arial"/>
          <w:b/>
          <w:bCs/>
          <w:color w:val="000000"/>
          <w:sz w:val="24"/>
          <w:szCs w:val="24"/>
          <w:lang w:eastAsia="en-GB"/>
        </w:rPr>
        <w:t xml:space="preserve">Sexual orientation by </w:t>
      </w:r>
      <w:r w:rsidR="00567F4B" w:rsidRPr="002C681B">
        <w:rPr>
          <w:rFonts w:ascii="Arial" w:eastAsia="Times New Roman" w:hAnsi="Arial" w:cs="Arial"/>
          <w:b/>
          <w:bCs/>
          <w:color w:val="000000"/>
          <w:sz w:val="24"/>
          <w:szCs w:val="24"/>
          <w:lang w:eastAsia="en-GB"/>
        </w:rPr>
        <w:t>local</w:t>
      </w:r>
      <w:r w:rsidR="004325AD" w:rsidRPr="002C681B">
        <w:rPr>
          <w:rFonts w:ascii="Arial" w:eastAsia="Times New Roman" w:hAnsi="Arial" w:cs="Arial"/>
          <w:b/>
          <w:bCs/>
          <w:color w:val="000000"/>
          <w:sz w:val="24"/>
          <w:szCs w:val="24"/>
          <w:lang w:eastAsia="en-GB"/>
        </w:rPr>
        <w:t xml:space="preserve"> authority, 2016-2018</w:t>
      </w:r>
    </w:p>
    <w:tbl>
      <w:tblPr>
        <w:tblW w:w="8707" w:type="dxa"/>
        <w:tblBorders>
          <w:top w:val="single" w:sz="4" w:space="0" w:color="auto"/>
          <w:left w:val="single" w:sz="4" w:space="0" w:color="auto"/>
          <w:bottom w:val="single" w:sz="4" w:space="0" w:color="auto"/>
          <w:right w:val="single" w:sz="4" w:space="0" w:color="auto"/>
          <w:insideH w:val="single" w:sz="4" w:space="0" w:color="C9C9C9"/>
        </w:tblBorders>
        <w:tblLayout w:type="fixed"/>
        <w:tblLook w:val="04A0" w:firstRow="1" w:lastRow="0" w:firstColumn="1" w:lastColumn="0" w:noHBand="0" w:noVBand="1"/>
      </w:tblPr>
      <w:tblGrid>
        <w:gridCol w:w="1919"/>
        <w:gridCol w:w="1357"/>
        <w:gridCol w:w="1358"/>
        <w:gridCol w:w="1357"/>
        <w:gridCol w:w="1358"/>
        <w:gridCol w:w="1358"/>
      </w:tblGrid>
      <w:tr w:rsidR="00B53914" w:rsidRPr="00B53914" w14:paraId="79FF0F05" w14:textId="77777777" w:rsidTr="00387321">
        <w:trPr>
          <w:trHeight w:val="377"/>
        </w:trPr>
        <w:tc>
          <w:tcPr>
            <w:tcW w:w="1919" w:type="dxa"/>
            <w:shd w:val="clear" w:color="000000" w:fill="8497B0"/>
            <w:noWrap/>
            <w:vAlign w:val="bottom"/>
            <w:hideMark/>
          </w:tcPr>
          <w:p w14:paraId="249B0F5B" w14:textId="77777777" w:rsidR="00B53914" w:rsidRPr="00F572A1" w:rsidRDefault="00B53914" w:rsidP="00DC54F7">
            <w:pPr>
              <w:spacing w:after="0" w:line="240" w:lineRule="auto"/>
              <w:jc w:val="both"/>
              <w:rPr>
                <w:rFonts w:ascii="Arial" w:eastAsia="Times New Roman" w:hAnsi="Arial" w:cs="Arial"/>
                <w:b/>
                <w:bCs/>
                <w:color w:val="FFFFFF"/>
                <w:lang w:eastAsia="en-GB"/>
              </w:rPr>
            </w:pPr>
            <w:r w:rsidRPr="00F572A1">
              <w:rPr>
                <w:rFonts w:ascii="Arial" w:eastAsia="Times New Roman" w:hAnsi="Arial" w:cs="Arial"/>
                <w:b/>
                <w:bCs/>
                <w:color w:val="FFFFFF"/>
                <w:lang w:eastAsia="en-GB"/>
              </w:rPr>
              <w:t>Area</w:t>
            </w:r>
          </w:p>
        </w:tc>
        <w:tc>
          <w:tcPr>
            <w:tcW w:w="1357" w:type="dxa"/>
            <w:shd w:val="clear" w:color="000000" w:fill="8497B0"/>
            <w:vAlign w:val="bottom"/>
            <w:hideMark/>
          </w:tcPr>
          <w:p w14:paraId="6BA8CF27" w14:textId="77777777" w:rsidR="00B53914" w:rsidRPr="00F572A1" w:rsidRDefault="00B53914" w:rsidP="00DC54F7">
            <w:pPr>
              <w:spacing w:after="0" w:line="240" w:lineRule="auto"/>
              <w:jc w:val="both"/>
              <w:rPr>
                <w:rFonts w:ascii="Arial" w:eastAsia="Times New Roman" w:hAnsi="Arial" w:cs="Arial"/>
                <w:b/>
                <w:bCs/>
                <w:color w:val="FFFFFF"/>
                <w:lang w:eastAsia="en-GB"/>
              </w:rPr>
            </w:pPr>
            <w:r w:rsidRPr="00F572A1">
              <w:rPr>
                <w:rFonts w:ascii="Arial" w:eastAsia="Times New Roman" w:hAnsi="Arial" w:cs="Arial"/>
                <w:b/>
                <w:bCs/>
                <w:color w:val="FFFFFF"/>
                <w:lang w:eastAsia="en-GB"/>
              </w:rPr>
              <w:t>Heterosexual or straight</w:t>
            </w:r>
          </w:p>
        </w:tc>
        <w:tc>
          <w:tcPr>
            <w:tcW w:w="1358" w:type="dxa"/>
            <w:shd w:val="clear" w:color="000000" w:fill="8497B0"/>
            <w:vAlign w:val="bottom"/>
            <w:hideMark/>
          </w:tcPr>
          <w:p w14:paraId="461FF4BE" w14:textId="77777777" w:rsidR="00B53914" w:rsidRPr="00F572A1" w:rsidRDefault="00B53914" w:rsidP="00DC54F7">
            <w:pPr>
              <w:spacing w:after="0" w:line="240" w:lineRule="auto"/>
              <w:jc w:val="both"/>
              <w:rPr>
                <w:rFonts w:ascii="Arial" w:eastAsia="Times New Roman" w:hAnsi="Arial" w:cs="Arial"/>
                <w:b/>
                <w:bCs/>
                <w:color w:val="FFFFFF"/>
                <w:lang w:eastAsia="en-GB"/>
              </w:rPr>
            </w:pPr>
            <w:r w:rsidRPr="00F572A1">
              <w:rPr>
                <w:rFonts w:ascii="Arial" w:eastAsia="Times New Roman" w:hAnsi="Arial" w:cs="Arial"/>
                <w:b/>
                <w:bCs/>
                <w:color w:val="FFFFFF"/>
                <w:lang w:eastAsia="en-GB"/>
              </w:rPr>
              <w:t>Gay or lesbian</w:t>
            </w:r>
          </w:p>
        </w:tc>
        <w:tc>
          <w:tcPr>
            <w:tcW w:w="1357" w:type="dxa"/>
            <w:shd w:val="clear" w:color="000000" w:fill="8497B0"/>
            <w:vAlign w:val="bottom"/>
            <w:hideMark/>
          </w:tcPr>
          <w:p w14:paraId="52FCF450" w14:textId="77777777" w:rsidR="00B53914" w:rsidRPr="00F572A1" w:rsidRDefault="00B53914" w:rsidP="00DC54F7">
            <w:pPr>
              <w:spacing w:after="0" w:line="240" w:lineRule="auto"/>
              <w:jc w:val="both"/>
              <w:rPr>
                <w:rFonts w:ascii="Arial" w:eastAsia="Times New Roman" w:hAnsi="Arial" w:cs="Arial"/>
                <w:b/>
                <w:bCs/>
                <w:color w:val="FFFFFF"/>
                <w:lang w:eastAsia="en-GB"/>
              </w:rPr>
            </w:pPr>
            <w:r w:rsidRPr="00F572A1">
              <w:rPr>
                <w:rFonts w:ascii="Arial" w:eastAsia="Times New Roman" w:hAnsi="Arial" w:cs="Arial"/>
                <w:b/>
                <w:bCs/>
                <w:color w:val="FFFFFF"/>
                <w:lang w:eastAsia="en-GB"/>
              </w:rPr>
              <w:t>Bisexual</w:t>
            </w:r>
          </w:p>
        </w:tc>
        <w:tc>
          <w:tcPr>
            <w:tcW w:w="1358" w:type="dxa"/>
            <w:shd w:val="clear" w:color="000000" w:fill="8497B0"/>
            <w:vAlign w:val="bottom"/>
            <w:hideMark/>
          </w:tcPr>
          <w:p w14:paraId="4D35925B" w14:textId="77777777" w:rsidR="00B53914" w:rsidRPr="00F572A1" w:rsidRDefault="00B53914" w:rsidP="00DC54F7">
            <w:pPr>
              <w:spacing w:after="0" w:line="240" w:lineRule="auto"/>
              <w:jc w:val="both"/>
              <w:rPr>
                <w:rFonts w:ascii="Arial" w:eastAsia="Times New Roman" w:hAnsi="Arial" w:cs="Arial"/>
                <w:b/>
                <w:bCs/>
                <w:color w:val="FFFFFF"/>
                <w:lang w:eastAsia="en-GB"/>
              </w:rPr>
            </w:pPr>
            <w:r w:rsidRPr="00F572A1">
              <w:rPr>
                <w:rFonts w:ascii="Arial" w:eastAsia="Times New Roman" w:hAnsi="Arial" w:cs="Arial"/>
                <w:b/>
                <w:bCs/>
                <w:color w:val="FFFFFF"/>
                <w:lang w:eastAsia="en-GB"/>
              </w:rPr>
              <w:t>Other</w:t>
            </w:r>
          </w:p>
        </w:tc>
        <w:tc>
          <w:tcPr>
            <w:tcW w:w="1358" w:type="dxa"/>
            <w:shd w:val="clear" w:color="000000" w:fill="8497B0"/>
            <w:vAlign w:val="bottom"/>
            <w:hideMark/>
          </w:tcPr>
          <w:p w14:paraId="1B3C791D" w14:textId="2D1CE6E8" w:rsidR="00B53914" w:rsidRPr="00F572A1" w:rsidRDefault="00C16CC7" w:rsidP="00DC54F7">
            <w:pPr>
              <w:spacing w:after="0" w:line="240" w:lineRule="auto"/>
              <w:jc w:val="both"/>
              <w:rPr>
                <w:rFonts w:ascii="Arial" w:eastAsia="Times New Roman" w:hAnsi="Arial" w:cs="Arial"/>
                <w:b/>
                <w:bCs/>
                <w:color w:val="FFFFFF"/>
                <w:lang w:eastAsia="en-GB"/>
              </w:rPr>
            </w:pPr>
            <w:r w:rsidRPr="00F572A1">
              <w:rPr>
                <w:rFonts w:ascii="Arial" w:eastAsia="Times New Roman" w:hAnsi="Arial" w:cs="Arial"/>
                <w:b/>
                <w:bCs/>
                <w:color w:val="FFFFFF"/>
                <w:lang w:eastAsia="en-GB"/>
              </w:rPr>
              <w:t>Do not</w:t>
            </w:r>
            <w:r w:rsidR="00B53914" w:rsidRPr="00F572A1">
              <w:rPr>
                <w:rFonts w:ascii="Arial" w:eastAsia="Times New Roman" w:hAnsi="Arial" w:cs="Arial"/>
                <w:b/>
                <w:bCs/>
                <w:color w:val="FFFFFF"/>
                <w:lang w:eastAsia="en-GB"/>
              </w:rPr>
              <w:t xml:space="preserve"> know or refuse</w:t>
            </w:r>
          </w:p>
        </w:tc>
      </w:tr>
      <w:tr w:rsidR="00B53914" w:rsidRPr="00B53914" w14:paraId="2684DA2F" w14:textId="77777777" w:rsidTr="00387321">
        <w:trPr>
          <w:trHeight w:val="228"/>
        </w:trPr>
        <w:tc>
          <w:tcPr>
            <w:tcW w:w="1919" w:type="dxa"/>
            <w:shd w:val="clear" w:color="EDEDED" w:fill="EDEDED"/>
            <w:noWrap/>
            <w:vAlign w:val="bottom"/>
            <w:hideMark/>
          </w:tcPr>
          <w:p w14:paraId="48F02994" w14:textId="77777777" w:rsidR="00B53914" w:rsidRPr="00F572A1" w:rsidRDefault="00B53914" w:rsidP="00DC54F7">
            <w:pPr>
              <w:spacing w:after="0" w:line="240" w:lineRule="auto"/>
              <w:jc w:val="both"/>
              <w:rPr>
                <w:rFonts w:ascii="Arial" w:eastAsia="Times New Roman" w:hAnsi="Arial" w:cs="Arial"/>
                <w:color w:val="000000"/>
                <w:lang w:eastAsia="en-GB"/>
              </w:rPr>
            </w:pPr>
            <w:r w:rsidRPr="00F572A1">
              <w:rPr>
                <w:rFonts w:ascii="Arial" w:eastAsia="Times New Roman" w:hAnsi="Arial" w:cs="Arial"/>
                <w:color w:val="000000"/>
                <w:lang w:eastAsia="en-GB"/>
              </w:rPr>
              <w:t>Cardiff</w:t>
            </w:r>
          </w:p>
        </w:tc>
        <w:tc>
          <w:tcPr>
            <w:tcW w:w="1357" w:type="dxa"/>
            <w:shd w:val="clear" w:color="EDEDED" w:fill="EDEDED"/>
            <w:noWrap/>
            <w:vAlign w:val="bottom"/>
            <w:hideMark/>
          </w:tcPr>
          <w:p w14:paraId="4077E8DC" w14:textId="77777777" w:rsidR="00B53914" w:rsidRPr="00F572A1" w:rsidRDefault="00B53914" w:rsidP="00DC54F7">
            <w:pPr>
              <w:spacing w:after="0" w:line="240" w:lineRule="auto"/>
              <w:jc w:val="both"/>
              <w:rPr>
                <w:rFonts w:ascii="Arial" w:eastAsia="Times New Roman" w:hAnsi="Arial" w:cs="Arial"/>
                <w:color w:val="000000"/>
                <w:lang w:eastAsia="en-GB"/>
              </w:rPr>
            </w:pPr>
            <w:r w:rsidRPr="00F572A1">
              <w:rPr>
                <w:rFonts w:ascii="Arial" w:eastAsia="Times New Roman" w:hAnsi="Arial" w:cs="Arial"/>
                <w:color w:val="000000"/>
                <w:lang w:eastAsia="en-GB"/>
              </w:rPr>
              <w:t xml:space="preserve">                         93.8 </w:t>
            </w:r>
          </w:p>
        </w:tc>
        <w:tc>
          <w:tcPr>
            <w:tcW w:w="1358" w:type="dxa"/>
            <w:shd w:val="clear" w:color="EDEDED" w:fill="EDEDED"/>
            <w:noWrap/>
            <w:vAlign w:val="bottom"/>
            <w:hideMark/>
          </w:tcPr>
          <w:p w14:paraId="532D0E72" w14:textId="77777777" w:rsidR="00B53914" w:rsidRPr="00F572A1" w:rsidRDefault="00B53914" w:rsidP="00DC54F7">
            <w:pPr>
              <w:spacing w:after="0" w:line="240" w:lineRule="auto"/>
              <w:jc w:val="both"/>
              <w:rPr>
                <w:rFonts w:ascii="Arial" w:eastAsia="Times New Roman" w:hAnsi="Arial" w:cs="Arial"/>
                <w:color w:val="000000"/>
                <w:lang w:eastAsia="en-GB"/>
              </w:rPr>
            </w:pPr>
            <w:r w:rsidRPr="00F572A1">
              <w:rPr>
                <w:rFonts w:ascii="Arial" w:eastAsia="Times New Roman" w:hAnsi="Arial" w:cs="Arial"/>
                <w:color w:val="000000"/>
                <w:lang w:eastAsia="en-GB"/>
              </w:rPr>
              <w:t xml:space="preserve">                           3.3 </w:t>
            </w:r>
          </w:p>
        </w:tc>
        <w:tc>
          <w:tcPr>
            <w:tcW w:w="1357" w:type="dxa"/>
            <w:shd w:val="clear" w:color="EDEDED" w:fill="EDEDED"/>
            <w:noWrap/>
            <w:vAlign w:val="bottom"/>
            <w:hideMark/>
          </w:tcPr>
          <w:p w14:paraId="0290130B" w14:textId="77777777" w:rsidR="00B53914" w:rsidRPr="00F572A1" w:rsidRDefault="00B53914" w:rsidP="00DC54F7">
            <w:pPr>
              <w:spacing w:after="0" w:line="240" w:lineRule="auto"/>
              <w:jc w:val="both"/>
              <w:rPr>
                <w:rFonts w:ascii="Arial" w:eastAsia="Times New Roman" w:hAnsi="Arial" w:cs="Arial"/>
                <w:color w:val="000000"/>
                <w:lang w:eastAsia="en-GB"/>
              </w:rPr>
            </w:pPr>
            <w:r w:rsidRPr="00F572A1">
              <w:rPr>
                <w:rFonts w:ascii="Arial" w:eastAsia="Times New Roman" w:hAnsi="Arial" w:cs="Arial"/>
                <w:color w:val="000000"/>
                <w:lang w:eastAsia="en-GB"/>
              </w:rPr>
              <w:t xml:space="preserve">                           1.9 </w:t>
            </w:r>
          </w:p>
        </w:tc>
        <w:tc>
          <w:tcPr>
            <w:tcW w:w="1358" w:type="dxa"/>
            <w:shd w:val="clear" w:color="EDEDED" w:fill="EDEDED"/>
            <w:noWrap/>
            <w:vAlign w:val="bottom"/>
            <w:hideMark/>
          </w:tcPr>
          <w:p w14:paraId="6C37487D" w14:textId="77777777" w:rsidR="00B53914" w:rsidRPr="00F572A1" w:rsidRDefault="00B53914" w:rsidP="00DC54F7">
            <w:pPr>
              <w:spacing w:after="0" w:line="240" w:lineRule="auto"/>
              <w:jc w:val="both"/>
              <w:rPr>
                <w:rFonts w:ascii="Arial" w:eastAsia="Times New Roman" w:hAnsi="Arial" w:cs="Arial"/>
                <w:color w:val="000000"/>
                <w:lang w:eastAsia="en-GB"/>
              </w:rPr>
            </w:pPr>
            <w:r w:rsidRPr="00F572A1">
              <w:rPr>
                <w:rFonts w:ascii="Arial" w:eastAsia="Times New Roman" w:hAnsi="Arial" w:cs="Arial"/>
                <w:color w:val="000000"/>
                <w:lang w:eastAsia="en-GB"/>
              </w:rPr>
              <w:t xml:space="preserve">                           0.3 </w:t>
            </w:r>
          </w:p>
        </w:tc>
        <w:tc>
          <w:tcPr>
            <w:tcW w:w="1358" w:type="dxa"/>
            <w:shd w:val="clear" w:color="EDEDED" w:fill="EDEDED"/>
            <w:noWrap/>
            <w:vAlign w:val="bottom"/>
            <w:hideMark/>
          </w:tcPr>
          <w:p w14:paraId="1FE4C5CC" w14:textId="77777777" w:rsidR="00B53914" w:rsidRPr="00F572A1" w:rsidRDefault="00B53914" w:rsidP="00DC54F7">
            <w:pPr>
              <w:spacing w:after="0" w:line="240" w:lineRule="auto"/>
              <w:jc w:val="both"/>
              <w:rPr>
                <w:rFonts w:ascii="Arial" w:eastAsia="Times New Roman" w:hAnsi="Arial" w:cs="Arial"/>
                <w:color w:val="000000"/>
                <w:lang w:eastAsia="en-GB"/>
              </w:rPr>
            </w:pPr>
            <w:r w:rsidRPr="00F572A1">
              <w:rPr>
                <w:rFonts w:ascii="Arial" w:eastAsia="Times New Roman" w:hAnsi="Arial" w:cs="Arial"/>
                <w:color w:val="000000"/>
                <w:lang w:eastAsia="en-GB"/>
              </w:rPr>
              <w:t xml:space="preserve">                           0.7 </w:t>
            </w:r>
          </w:p>
        </w:tc>
      </w:tr>
      <w:tr w:rsidR="00B53914" w:rsidRPr="00B53914" w14:paraId="65043DC2" w14:textId="77777777" w:rsidTr="00387321">
        <w:trPr>
          <w:trHeight w:val="228"/>
        </w:trPr>
        <w:tc>
          <w:tcPr>
            <w:tcW w:w="1919" w:type="dxa"/>
            <w:shd w:val="clear" w:color="auto" w:fill="auto"/>
            <w:noWrap/>
            <w:vAlign w:val="bottom"/>
            <w:hideMark/>
          </w:tcPr>
          <w:p w14:paraId="51B303F5" w14:textId="77777777" w:rsidR="00B53914" w:rsidRPr="00F572A1" w:rsidRDefault="00B53914" w:rsidP="00DC54F7">
            <w:pPr>
              <w:spacing w:after="0" w:line="240" w:lineRule="auto"/>
              <w:jc w:val="both"/>
              <w:rPr>
                <w:rFonts w:ascii="Arial" w:eastAsia="Times New Roman" w:hAnsi="Arial" w:cs="Arial"/>
                <w:color w:val="000000"/>
                <w:lang w:eastAsia="en-GB"/>
              </w:rPr>
            </w:pPr>
            <w:r w:rsidRPr="00F572A1">
              <w:rPr>
                <w:rFonts w:ascii="Arial" w:eastAsia="Times New Roman" w:hAnsi="Arial" w:cs="Arial"/>
                <w:color w:val="000000"/>
                <w:lang w:eastAsia="en-GB"/>
              </w:rPr>
              <w:t>Vale of Glamorgan</w:t>
            </w:r>
          </w:p>
        </w:tc>
        <w:tc>
          <w:tcPr>
            <w:tcW w:w="1357" w:type="dxa"/>
            <w:shd w:val="clear" w:color="auto" w:fill="auto"/>
            <w:noWrap/>
            <w:vAlign w:val="bottom"/>
            <w:hideMark/>
          </w:tcPr>
          <w:p w14:paraId="5BABA166" w14:textId="77777777" w:rsidR="00B53914" w:rsidRPr="00F572A1" w:rsidRDefault="00B53914" w:rsidP="00DC54F7">
            <w:pPr>
              <w:spacing w:after="0" w:line="240" w:lineRule="auto"/>
              <w:jc w:val="both"/>
              <w:rPr>
                <w:rFonts w:ascii="Arial" w:eastAsia="Times New Roman" w:hAnsi="Arial" w:cs="Arial"/>
                <w:color w:val="000000"/>
                <w:lang w:eastAsia="en-GB"/>
              </w:rPr>
            </w:pPr>
            <w:r w:rsidRPr="00F572A1">
              <w:rPr>
                <w:rFonts w:ascii="Arial" w:eastAsia="Times New Roman" w:hAnsi="Arial" w:cs="Arial"/>
                <w:color w:val="000000"/>
                <w:lang w:eastAsia="en-GB"/>
              </w:rPr>
              <w:t xml:space="preserve">                         96.1 </w:t>
            </w:r>
          </w:p>
        </w:tc>
        <w:tc>
          <w:tcPr>
            <w:tcW w:w="1358" w:type="dxa"/>
            <w:shd w:val="clear" w:color="auto" w:fill="auto"/>
            <w:noWrap/>
            <w:vAlign w:val="bottom"/>
            <w:hideMark/>
          </w:tcPr>
          <w:p w14:paraId="625BA643" w14:textId="77777777" w:rsidR="00B53914" w:rsidRPr="00F572A1" w:rsidRDefault="00B53914" w:rsidP="00DC54F7">
            <w:pPr>
              <w:spacing w:after="0" w:line="240" w:lineRule="auto"/>
              <w:jc w:val="both"/>
              <w:rPr>
                <w:rFonts w:ascii="Arial" w:eastAsia="Times New Roman" w:hAnsi="Arial" w:cs="Arial"/>
                <w:color w:val="000000"/>
                <w:lang w:eastAsia="en-GB"/>
              </w:rPr>
            </w:pPr>
            <w:r w:rsidRPr="00F572A1">
              <w:rPr>
                <w:rFonts w:ascii="Arial" w:eastAsia="Times New Roman" w:hAnsi="Arial" w:cs="Arial"/>
                <w:color w:val="000000"/>
                <w:lang w:eastAsia="en-GB"/>
              </w:rPr>
              <w:t xml:space="preserve">                           2.5 </w:t>
            </w:r>
          </w:p>
        </w:tc>
        <w:tc>
          <w:tcPr>
            <w:tcW w:w="1357" w:type="dxa"/>
            <w:shd w:val="clear" w:color="auto" w:fill="auto"/>
            <w:noWrap/>
            <w:vAlign w:val="bottom"/>
            <w:hideMark/>
          </w:tcPr>
          <w:p w14:paraId="71063ADE" w14:textId="77777777" w:rsidR="00B53914" w:rsidRPr="00F572A1" w:rsidRDefault="00B53914" w:rsidP="00DC54F7">
            <w:pPr>
              <w:spacing w:after="0" w:line="240" w:lineRule="auto"/>
              <w:jc w:val="both"/>
              <w:rPr>
                <w:rFonts w:ascii="Arial" w:eastAsia="Times New Roman" w:hAnsi="Arial" w:cs="Arial"/>
                <w:color w:val="000000"/>
                <w:lang w:eastAsia="en-GB"/>
              </w:rPr>
            </w:pPr>
            <w:r w:rsidRPr="00F572A1">
              <w:rPr>
                <w:rFonts w:ascii="Arial" w:eastAsia="Times New Roman" w:hAnsi="Arial" w:cs="Arial"/>
                <w:color w:val="000000"/>
                <w:lang w:eastAsia="en-GB"/>
              </w:rPr>
              <w:t xml:space="preserve">                           0.3 </w:t>
            </w:r>
          </w:p>
        </w:tc>
        <w:tc>
          <w:tcPr>
            <w:tcW w:w="1358" w:type="dxa"/>
            <w:shd w:val="clear" w:color="auto" w:fill="auto"/>
            <w:noWrap/>
            <w:vAlign w:val="bottom"/>
            <w:hideMark/>
          </w:tcPr>
          <w:p w14:paraId="170D5162" w14:textId="77777777" w:rsidR="00B53914" w:rsidRPr="00F572A1" w:rsidRDefault="00B53914" w:rsidP="00DC54F7">
            <w:pPr>
              <w:spacing w:after="0" w:line="240" w:lineRule="auto"/>
              <w:jc w:val="both"/>
              <w:rPr>
                <w:rFonts w:ascii="Arial" w:eastAsia="Times New Roman" w:hAnsi="Arial" w:cs="Arial"/>
                <w:color w:val="000000"/>
                <w:lang w:eastAsia="en-GB"/>
              </w:rPr>
            </w:pPr>
            <w:r w:rsidRPr="00F572A1">
              <w:rPr>
                <w:rFonts w:ascii="Arial" w:eastAsia="Times New Roman" w:hAnsi="Arial" w:cs="Arial"/>
                <w:color w:val="000000"/>
                <w:lang w:eastAsia="en-GB"/>
              </w:rPr>
              <w:t xml:space="preserve">                           0.5 </w:t>
            </w:r>
          </w:p>
        </w:tc>
        <w:tc>
          <w:tcPr>
            <w:tcW w:w="1358" w:type="dxa"/>
            <w:shd w:val="clear" w:color="auto" w:fill="auto"/>
            <w:noWrap/>
            <w:vAlign w:val="bottom"/>
            <w:hideMark/>
          </w:tcPr>
          <w:p w14:paraId="74F7E474" w14:textId="77777777" w:rsidR="00B53914" w:rsidRPr="00F572A1" w:rsidRDefault="00B53914" w:rsidP="00DC54F7">
            <w:pPr>
              <w:spacing w:after="0" w:line="240" w:lineRule="auto"/>
              <w:jc w:val="both"/>
              <w:rPr>
                <w:rFonts w:ascii="Arial" w:eastAsia="Times New Roman" w:hAnsi="Arial" w:cs="Arial"/>
                <w:color w:val="000000"/>
                <w:lang w:eastAsia="en-GB"/>
              </w:rPr>
            </w:pPr>
            <w:r w:rsidRPr="00F572A1">
              <w:rPr>
                <w:rFonts w:ascii="Arial" w:eastAsia="Times New Roman" w:hAnsi="Arial" w:cs="Arial"/>
                <w:color w:val="000000"/>
                <w:lang w:eastAsia="en-GB"/>
              </w:rPr>
              <w:t xml:space="preserve">                           0.6 </w:t>
            </w:r>
          </w:p>
        </w:tc>
      </w:tr>
    </w:tbl>
    <w:p w14:paraId="332D94B0" w14:textId="77777777" w:rsidR="00A533A0" w:rsidRPr="00FA61D2" w:rsidRDefault="00A533A0" w:rsidP="00DC54F7">
      <w:pPr>
        <w:spacing w:after="0" w:line="240" w:lineRule="auto"/>
        <w:jc w:val="both"/>
        <w:rPr>
          <w:rFonts w:ascii="Arial" w:eastAsia="Times New Roman" w:hAnsi="Arial" w:cs="Arial"/>
          <w:sz w:val="20"/>
          <w:szCs w:val="20"/>
          <w:lang w:eastAsia="en-GB"/>
        </w:rPr>
      </w:pPr>
      <w:r w:rsidRPr="00FA61D2">
        <w:rPr>
          <w:rFonts w:ascii="Arial" w:eastAsia="Times New Roman" w:hAnsi="Arial" w:cs="Arial"/>
          <w:sz w:val="20"/>
          <w:szCs w:val="20"/>
          <w:lang w:eastAsia="en-GB"/>
        </w:rPr>
        <w:t>Source: Annual Population Survey (APS), Office for National Statistics</w:t>
      </w:r>
    </w:p>
    <w:p w14:paraId="2CE21E74" w14:textId="77777777" w:rsidR="00F572A1" w:rsidRPr="001B69BA" w:rsidRDefault="00F572A1" w:rsidP="00DC54F7">
      <w:pPr>
        <w:shd w:val="clear" w:color="auto" w:fill="FFFFFF"/>
        <w:spacing w:after="0" w:line="240" w:lineRule="auto"/>
        <w:jc w:val="both"/>
        <w:rPr>
          <w:rFonts w:ascii="Arial" w:eastAsia="Times New Roman" w:hAnsi="Arial" w:cs="Arial"/>
          <w:color w:val="1F1F1F"/>
          <w:lang w:eastAsia="en-GB"/>
        </w:rPr>
      </w:pPr>
    </w:p>
    <w:p w14:paraId="71481C21" w14:textId="77777777" w:rsidR="00936454" w:rsidRDefault="00936454" w:rsidP="00DC54F7">
      <w:pPr>
        <w:spacing w:after="0" w:line="240" w:lineRule="auto"/>
        <w:jc w:val="both"/>
        <w:rPr>
          <w:rFonts w:ascii="Arial" w:eastAsia="Times New Roman" w:hAnsi="Arial" w:cs="Arial"/>
          <w:color w:val="1F1F1F"/>
          <w:sz w:val="24"/>
          <w:szCs w:val="24"/>
          <w:lang w:eastAsia="en-GB"/>
        </w:rPr>
      </w:pPr>
    </w:p>
    <w:p w14:paraId="72BA4D4C" w14:textId="34F8D283" w:rsidR="00ED0BBC" w:rsidRDefault="006F0A84" w:rsidP="00DC54F7">
      <w:pPr>
        <w:spacing w:after="0" w:line="240" w:lineRule="auto"/>
        <w:jc w:val="both"/>
        <w:rPr>
          <w:rFonts w:ascii="Arial" w:hAnsi="Arial" w:cs="Arial"/>
          <w:b/>
          <w:sz w:val="26"/>
          <w:szCs w:val="26"/>
        </w:rPr>
      </w:pPr>
      <w:r w:rsidRPr="00A10850">
        <w:rPr>
          <w:rFonts w:ascii="Arial" w:hAnsi="Arial" w:cs="Arial"/>
          <w:b/>
          <w:sz w:val="26"/>
          <w:szCs w:val="26"/>
        </w:rPr>
        <w:t>2.</w:t>
      </w:r>
      <w:r w:rsidR="003D522A" w:rsidRPr="00A10850">
        <w:rPr>
          <w:rFonts w:ascii="Arial" w:hAnsi="Arial" w:cs="Arial"/>
          <w:b/>
          <w:sz w:val="26"/>
          <w:szCs w:val="26"/>
        </w:rPr>
        <w:t>1</w:t>
      </w:r>
      <w:r w:rsidR="00D3388A" w:rsidRPr="00A10850">
        <w:rPr>
          <w:rFonts w:ascii="Arial" w:hAnsi="Arial" w:cs="Arial"/>
          <w:b/>
          <w:sz w:val="26"/>
          <w:szCs w:val="26"/>
        </w:rPr>
        <w:t>5</w:t>
      </w:r>
      <w:r w:rsidRPr="00A10850">
        <w:rPr>
          <w:rFonts w:ascii="Arial" w:hAnsi="Arial" w:cs="Arial"/>
          <w:b/>
          <w:sz w:val="26"/>
          <w:szCs w:val="26"/>
        </w:rPr>
        <w:t xml:space="preserve"> </w:t>
      </w:r>
      <w:r w:rsidR="00ED0BBC" w:rsidRPr="00A10850">
        <w:rPr>
          <w:rFonts w:ascii="Arial" w:hAnsi="Arial" w:cs="Arial"/>
          <w:b/>
          <w:sz w:val="26"/>
          <w:szCs w:val="26"/>
        </w:rPr>
        <w:t>Carers</w:t>
      </w:r>
      <w:r w:rsidR="00561CBD">
        <w:rPr>
          <w:rStyle w:val="FootnoteReference"/>
          <w:rFonts w:ascii="Arial" w:hAnsi="Arial" w:cs="Arial"/>
          <w:b/>
          <w:sz w:val="26"/>
          <w:szCs w:val="26"/>
        </w:rPr>
        <w:footnoteReference w:id="6"/>
      </w:r>
    </w:p>
    <w:p w14:paraId="34502565" w14:textId="77777777" w:rsidR="006136BB" w:rsidRDefault="006136BB" w:rsidP="00DC54F7">
      <w:pPr>
        <w:spacing w:after="0" w:line="240" w:lineRule="auto"/>
        <w:jc w:val="both"/>
        <w:rPr>
          <w:rFonts w:ascii="Arial" w:hAnsi="Arial" w:cs="Arial"/>
          <w:b/>
          <w:sz w:val="26"/>
          <w:szCs w:val="26"/>
        </w:rPr>
      </w:pPr>
    </w:p>
    <w:p w14:paraId="5FA75562" w14:textId="570F3C78" w:rsidR="002400F3" w:rsidRPr="002C681B" w:rsidRDefault="00DC7B91" w:rsidP="00DC54F7">
      <w:pPr>
        <w:spacing w:after="0" w:line="240" w:lineRule="auto"/>
        <w:jc w:val="both"/>
        <w:rPr>
          <w:rFonts w:ascii="Arial" w:hAnsi="Arial" w:cs="Arial"/>
          <w:sz w:val="24"/>
          <w:szCs w:val="24"/>
        </w:rPr>
      </w:pPr>
      <w:r w:rsidRPr="002C681B">
        <w:rPr>
          <w:rFonts w:ascii="Arial" w:hAnsi="Arial" w:cs="Arial"/>
          <w:sz w:val="24"/>
          <w:szCs w:val="24"/>
        </w:rPr>
        <w:t>At the 2011 Census, 50,580</w:t>
      </w:r>
      <w:r w:rsidR="002C5D0E" w:rsidRPr="002C681B">
        <w:rPr>
          <w:rFonts w:ascii="Arial" w:hAnsi="Arial" w:cs="Arial"/>
          <w:sz w:val="24"/>
          <w:szCs w:val="24"/>
        </w:rPr>
        <w:t xml:space="preserve"> adult</w:t>
      </w:r>
      <w:r w:rsidR="006B06BB" w:rsidRPr="002C681B">
        <w:rPr>
          <w:rFonts w:ascii="Arial" w:hAnsi="Arial" w:cs="Arial"/>
          <w:sz w:val="24"/>
          <w:szCs w:val="24"/>
        </w:rPr>
        <w:t>s</w:t>
      </w:r>
      <w:r w:rsidR="002C5D0E" w:rsidRPr="002C681B">
        <w:rPr>
          <w:rFonts w:ascii="Arial" w:hAnsi="Arial" w:cs="Arial"/>
          <w:sz w:val="24"/>
          <w:szCs w:val="24"/>
        </w:rPr>
        <w:t xml:space="preserve"> </w:t>
      </w:r>
      <w:r w:rsidR="00104EB7" w:rsidRPr="002C681B">
        <w:rPr>
          <w:rFonts w:ascii="Arial" w:hAnsi="Arial" w:cs="Arial"/>
          <w:sz w:val="24"/>
          <w:szCs w:val="24"/>
        </w:rPr>
        <w:t xml:space="preserve">self-reported as </w:t>
      </w:r>
      <w:r w:rsidR="001404A7" w:rsidRPr="002C681B">
        <w:rPr>
          <w:rFonts w:ascii="Arial" w:hAnsi="Arial" w:cs="Arial"/>
          <w:sz w:val="24"/>
          <w:szCs w:val="24"/>
        </w:rPr>
        <w:t xml:space="preserve">being </w:t>
      </w:r>
      <w:r w:rsidR="00F1602F" w:rsidRPr="002C681B">
        <w:rPr>
          <w:rFonts w:ascii="Arial" w:hAnsi="Arial" w:cs="Arial"/>
          <w:sz w:val="24"/>
          <w:szCs w:val="24"/>
        </w:rPr>
        <w:t xml:space="preserve">an </w:t>
      </w:r>
      <w:r w:rsidR="000775F8" w:rsidRPr="002C681B">
        <w:rPr>
          <w:rFonts w:ascii="Arial" w:hAnsi="Arial" w:cs="Arial"/>
          <w:sz w:val="24"/>
          <w:szCs w:val="24"/>
        </w:rPr>
        <w:t xml:space="preserve">unpaid </w:t>
      </w:r>
      <w:r w:rsidRPr="002C681B">
        <w:rPr>
          <w:rFonts w:ascii="Arial" w:hAnsi="Arial" w:cs="Arial"/>
          <w:sz w:val="24"/>
          <w:szCs w:val="24"/>
        </w:rPr>
        <w:t>carer in Cardiff and the Vale of Glamorgan. This represented a 12% rise over the number in the previous Census 10 years earlier.</w:t>
      </w:r>
      <w:r w:rsidR="002C5D0E" w:rsidRPr="002C681B">
        <w:rPr>
          <w:rFonts w:ascii="Arial" w:hAnsi="Arial" w:cs="Arial"/>
          <w:sz w:val="24"/>
          <w:szCs w:val="24"/>
        </w:rPr>
        <w:t xml:space="preserve"> </w:t>
      </w:r>
      <w:r w:rsidRPr="002C681B">
        <w:rPr>
          <w:rFonts w:ascii="Arial" w:hAnsi="Arial" w:cs="Arial"/>
          <w:sz w:val="24"/>
          <w:szCs w:val="24"/>
        </w:rPr>
        <w:t>The percentage of people in the population who identif</w:t>
      </w:r>
      <w:r w:rsidR="00E462C4" w:rsidRPr="002C681B">
        <w:rPr>
          <w:rFonts w:ascii="Arial" w:hAnsi="Arial" w:cs="Arial"/>
          <w:sz w:val="24"/>
          <w:szCs w:val="24"/>
        </w:rPr>
        <w:t>ied</w:t>
      </w:r>
      <w:r w:rsidRPr="002C681B">
        <w:rPr>
          <w:rFonts w:ascii="Arial" w:hAnsi="Arial" w:cs="Arial"/>
          <w:sz w:val="24"/>
          <w:szCs w:val="24"/>
        </w:rPr>
        <w:t xml:space="preserve"> as carers</w:t>
      </w:r>
      <w:r w:rsidR="009846E8" w:rsidRPr="002C681B">
        <w:rPr>
          <w:rFonts w:ascii="Arial" w:hAnsi="Arial" w:cs="Arial"/>
          <w:sz w:val="24"/>
          <w:szCs w:val="24"/>
        </w:rPr>
        <w:t xml:space="preserve"> providing 50 hours </w:t>
      </w:r>
      <w:r w:rsidR="00B7555C" w:rsidRPr="002C681B">
        <w:rPr>
          <w:rFonts w:ascii="Arial" w:hAnsi="Arial" w:cs="Arial"/>
          <w:sz w:val="24"/>
          <w:szCs w:val="24"/>
        </w:rPr>
        <w:t xml:space="preserve">or </w:t>
      </w:r>
      <w:r w:rsidR="009846E8" w:rsidRPr="002C681B">
        <w:rPr>
          <w:rFonts w:ascii="Arial" w:hAnsi="Arial" w:cs="Arial"/>
          <w:sz w:val="24"/>
          <w:szCs w:val="24"/>
        </w:rPr>
        <w:t>more</w:t>
      </w:r>
      <w:r w:rsidR="00B7555C" w:rsidRPr="002C681B">
        <w:rPr>
          <w:rFonts w:ascii="Arial" w:hAnsi="Arial" w:cs="Arial"/>
          <w:sz w:val="24"/>
          <w:szCs w:val="24"/>
        </w:rPr>
        <w:t xml:space="preserve"> a week of unpaid care</w:t>
      </w:r>
      <w:r w:rsidRPr="002C681B">
        <w:rPr>
          <w:rFonts w:ascii="Arial" w:hAnsi="Arial" w:cs="Arial"/>
          <w:sz w:val="24"/>
          <w:szCs w:val="24"/>
        </w:rPr>
        <w:t xml:space="preserve"> </w:t>
      </w:r>
      <w:r w:rsidR="00D14B41" w:rsidRPr="002C681B">
        <w:rPr>
          <w:rFonts w:ascii="Arial" w:hAnsi="Arial" w:cs="Arial"/>
          <w:sz w:val="24"/>
          <w:szCs w:val="24"/>
        </w:rPr>
        <w:t xml:space="preserve">was </w:t>
      </w:r>
      <w:r w:rsidRPr="002C681B">
        <w:rPr>
          <w:rFonts w:ascii="Arial" w:hAnsi="Arial" w:cs="Arial"/>
          <w:sz w:val="24"/>
          <w:szCs w:val="24"/>
        </w:rPr>
        <w:t xml:space="preserve">below the Wales average in both Cardiff and the Vale of Glamorgan. </w:t>
      </w:r>
    </w:p>
    <w:p w14:paraId="6D273438" w14:textId="03187F9E" w:rsidR="004519C7" w:rsidRDefault="004519C7" w:rsidP="00DC54F7">
      <w:pPr>
        <w:spacing w:after="0" w:line="240" w:lineRule="auto"/>
        <w:jc w:val="both"/>
        <w:rPr>
          <w:rFonts w:ascii="Arial" w:hAnsi="Arial" w:cs="Arial"/>
        </w:rPr>
      </w:pPr>
    </w:p>
    <w:p w14:paraId="2F1A2000" w14:textId="5752C55A" w:rsidR="00FC4A96" w:rsidRPr="002C681B" w:rsidRDefault="00FC4A96" w:rsidP="00DC54F7">
      <w:pPr>
        <w:spacing w:after="0" w:line="240" w:lineRule="auto"/>
        <w:jc w:val="both"/>
        <w:rPr>
          <w:rFonts w:ascii="Arial" w:hAnsi="Arial" w:cs="Arial"/>
          <w:b/>
          <w:bCs/>
          <w:sz w:val="24"/>
          <w:szCs w:val="24"/>
        </w:rPr>
      </w:pPr>
      <w:r w:rsidRPr="002C681B">
        <w:rPr>
          <w:rFonts w:ascii="Arial" w:hAnsi="Arial" w:cs="Arial"/>
          <w:b/>
          <w:bCs/>
          <w:sz w:val="24"/>
          <w:szCs w:val="24"/>
        </w:rPr>
        <w:t>Figure</w:t>
      </w:r>
      <w:r w:rsidR="003A02E4" w:rsidRPr="002C681B">
        <w:rPr>
          <w:rFonts w:ascii="Arial" w:hAnsi="Arial" w:cs="Arial"/>
          <w:b/>
          <w:bCs/>
          <w:sz w:val="24"/>
          <w:szCs w:val="24"/>
        </w:rPr>
        <w:t xml:space="preserve"> 2.11</w:t>
      </w:r>
      <w:r w:rsidRPr="002C681B">
        <w:rPr>
          <w:rFonts w:ascii="Arial" w:hAnsi="Arial" w:cs="Arial"/>
          <w:b/>
          <w:bCs/>
          <w:sz w:val="24"/>
          <w:szCs w:val="24"/>
        </w:rPr>
        <w:t xml:space="preserve">: Percentage of the population </w:t>
      </w:r>
      <w:r w:rsidR="00C6176C" w:rsidRPr="002C681B">
        <w:rPr>
          <w:rFonts w:ascii="Arial" w:hAnsi="Arial" w:cs="Arial"/>
          <w:b/>
          <w:bCs/>
          <w:sz w:val="24"/>
          <w:szCs w:val="24"/>
        </w:rPr>
        <w:t xml:space="preserve">providing 50 hours or more of unpaid care a week, by local authority, </w:t>
      </w:r>
      <w:r w:rsidR="00CA4EB0" w:rsidRPr="002C681B">
        <w:rPr>
          <w:rFonts w:ascii="Arial" w:hAnsi="Arial" w:cs="Arial"/>
          <w:b/>
          <w:bCs/>
          <w:sz w:val="24"/>
          <w:szCs w:val="24"/>
        </w:rPr>
        <w:t>health board and Wales, 2011</w:t>
      </w:r>
    </w:p>
    <w:p w14:paraId="1018F28A" w14:textId="0FF32434" w:rsidR="004519C7" w:rsidRPr="00D82A33" w:rsidRDefault="004519C7" w:rsidP="00DC54F7">
      <w:pPr>
        <w:spacing w:after="0" w:line="240" w:lineRule="auto"/>
        <w:jc w:val="both"/>
        <w:rPr>
          <w:rFonts w:ascii="Arial" w:hAnsi="Arial" w:cs="Arial"/>
        </w:rPr>
      </w:pPr>
      <w:r>
        <w:rPr>
          <w:noProof/>
          <w:lang w:eastAsia="en-GB"/>
        </w:rPr>
        <w:drawing>
          <wp:inline distT="0" distB="0" distL="0" distR="0" wp14:anchorId="7DC0A492" wp14:editId="4A353591">
            <wp:extent cx="5748793" cy="2369489"/>
            <wp:effectExtent l="0" t="0" r="4445" b="12065"/>
            <wp:docPr id="199" name="Chart 19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0E98E53-D024-4310-872B-2AF08E2F4AE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B498BF2" w14:textId="77777777" w:rsidR="00FE3491" w:rsidRPr="002C681B" w:rsidRDefault="00FE3491" w:rsidP="00DC54F7">
      <w:pPr>
        <w:jc w:val="both"/>
        <w:rPr>
          <w:rFonts w:ascii="Arial" w:hAnsi="Arial" w:cs="Arial"/>
          <w:sz w:val="20"/>
          <w:szCs w:val="20"/>
        </w:rPr>
      </w:pPr>
      <w:r w:rsidRPr="002C681B">
        <w:rPr>
          <w:rFonts w:ascii="Arial" w:hAnsi="Arial" w:cs="Arial"/>
          <w:sz w:val="20"/>
          <w:szCs w:val="20"/>
        </w:rPr>
        <w:t>Source: Nomis – Census 2011</w:t>
      </w:r>
    </w:p>
    <w:p w14:paraId="7F17E680" w14:textId="7C5A35E5" w:rsidR="00A7149C" w:rsidRPr="002C681B" w:rsidRDefault="00A7149C" w:rsidP="00DC54F7">
      <w:pPr>
        <w:spacing w:after="0" w:line="240" w:lineRule="auto"/>
        <w:jc w:val="both"/>
        <w:rPr>
          <w:rFonts w:ascii="Arial" w:hAnsi="Arial" w:cs="Arial"/>
          <w:sz w:val="24"/>
          <w:szCs w:val="24"/>
        </w:rPr>
      </w:pPr>
      <w:r w:rsidRPr="002C681B">
        <w:rPr>
          <w:rFonts w:ascii="Arial" w:hAnsi="Arial" w:cs="Arial"/>
          <w:sz w:val="24"/>
          <w:szCs w:val="24"/>
        </w:rPr>
        <w:t>A survey of adult carers in Cardiff and the Vale was undertaken in 2011, with 292</w:t>
      </w:r>
      <w:r w:rsidR="006136BB" w:rsidRPr="002C681B">
        <w:rPr>
          <w:rFonts w:ascii="Arial" w:hAnsi="Arial" w:cs="Arial"/>
          <w:sz w:val="24"/>
          <w:szCs w:val="24"/>
        </w:rPr>
        <w:t xml:space="preserve"> </w:t>
      </w:r>
      <w:r w:rsidRPr="002C681B">
        <w:rPr>
          <w:rFonts w:ascii="Arial" w:hAnsi="Arial" w:cs="Arial"/>
          <w:sz w:val="24"/>
          <w:szCs w:val="24"/>
        </w:rPr>
        <w:t xml:space="preserve">respondents. Of the respondents, the majority were female (72%) and caring full time (72%). Most people cared for one person (87%) although over one in ten (13%) cared for two or more. Two thirds of carers (67%) had been caring for more than 5 years, including nearly half (46%) caring for over 10 years. Three quarters (77%) were aged 40 or over, including a quarter (24%) who were </w:t>
      </w:r>
      <w:r w:rsidR="00C607B2" w:rsidRPr="002C681B">
        <w:rPr>
          <w:rFonts w:ascii="Arial" w:hAnsi="Arial" w:cs="Arial"/>
          <w:sz w:val="24"/>
          <w:szCs w:val="24"/>
        </w:rPr>
        <w:t xml:space="preserve">aged </w:t>
      </w:r>
      <w:r w:rsidRPr="002C681B">
        <w:rPr>
          <w:rFonts w:ascii="Arial" w:hAnsi="Arial" w:cs="Arial"/>
          <w:sz w:val="24"/>
          <w:szCs w:val="24"/>
        </w:rPr>
        <w:t>75 or over.</w:t>
      </w:r>
    </w:p>
    <w:p w14:paraId="54ABDD54" w14:textId="6056D12E" w:rsidR="002059A7" w:rsidRPr="002C681B" w:rsidRDefault="002059A7" w:rsidP="00DC54F7">
      <w:pPr>
        <w:spacing w:after="0" w:line="240" w:lineRule="auto"/>
        <w:jc w:val="both"/>
        <w:rPr>
          <w:rFonts w:ascii="Arial" w:hAnsi="Arial" w:cs="Arial"/>
          <w:sz w:val="24"/>
          <w:szCs w:val="24"/>
        </w:rPr>
      </w:pPr>
    </w:p>
    <w:p w14:paraId="7D99A74F" w14:textId="77777777" w:rsidR="002F43F5" w:rsidRPr="002C681B" w:rsidRDefault="002059A7" w:rsidP="00DC54F7">
      <w:pPr>
        <w:spacing w:after="0" w:line="240" w:lineRule="auto"/>
        <w:jc w:val="both"/>
        <w:rPr>
          <w:rFonts w:ascii="Arial" w:hAnsi="Arial" w:cs="Arial"/>
          <w:sz w:val="24"/>
          <w:szCs w:val="24"/>
        </w:rPr>
      </w:pPr>
      <w:r w:rsidRPr="002C681B">
        <w:rPr>
          <w:rFonts w:ascii="Arial" w:hAnsi="Arial" w:cs="Arial"/>
          <w:sz w:val="24"/>
          <w:szCs w:val="24"/>
        </w:rPr>
        <w:t xml:space="preserve">A young carer is someone aged 18 or under who helps look after a relative who has a condition, such as a disability, illness, mental health condition, or a drug or alcohol problem. Most young carers look after one of their parents or care for a brother or </w:t>
      </w:r>
      <w:r w:rsidRPr="002C681B">
        <w:rPr>
          <w:rFonts w:ascii="Arial" w:hAnsi="Arial" w:cs="Arial"/>
          <w:sz w:val="24"/>
          <w:szCs w:val="24"/>
        </w:rPr>
        <w:lastRenderedPageBreak/>
        <w:t xml:space="preserve">sister. At the 2011 Census, 1,579 young carers were identified in Cardiff and the Vale of Glamorgan, although </w:t>
      </w:r>
      <w:r w:rsidR="00C2731F" w:rsidRPr="002C681B">
        <w:rPr>
          <w:rFonts w:ascii="Arial" w:hAnsi="Arial" w:cs="Arial"/>
          <w:sz w:val="24"/>
          <w:szCs w:val="24"/>
        </w:rPr>
        <w:t>this is likely to be an undere</w:t>
      </w:r>
      <w:r w:rsidR="002F43F5" w:rsidRPr="002C681B">
        <w:rPr>
          <w:rFonts w:ascii="Arial" w:hAnsi="Arial" w:cs="Arial"/>
          <w:sz w:val="24"/>
          <w:szCs w:val="24"/>
        </w:rPr>
        <w:t xml:space="preserve">stimation. </w:t>
      </w:r>
    </w:p>
    <w:p w14:paraId="49D42D7F" w14:textId="77777777" w:rsidR="002F43F5" w:rsidRPr="002C681B" w:rsidRDefault="002F43F5" w:rsidP="00DC54F7">
      <w:pPr>
        <w:spacing w:after="0" w:line="240" w:lineRule="auto"/>
        <w:jc w:val="both"/>
        <w:rPr>
          <w:rFonts w:ascii="Arial" w:hAnsi="Arial" w:cs="Arial"/>
          <w:sz w:val="24"/>
          <w:szCs w:val="24"/>
        </w:rPr>
      </w:pPr>
    </w:p>
    <w:p w14:paraId="7DA3C09A" w14:textId="49852227" w:rsidR="002059A7" w:rsidRPr="002C681B" w:rsidRDefault="002059A7" w:rsidP="00DC54F7">
      <w:pPr>
        <w:spacing w:after="0" w:line="240" w:lineRule="auto"/>
        <w:jc w:val="both"/>
        <w:rPr>
          <w:rFonts w:ascii="Arial" w:hAnsi="Arial" w:cs="Arial"/>
          <w:sz w:val="24"/>
          <w:szCs w:val="24"/>
        </w:rPr>
      </w:pPr>
      <w:r w:rsidRPr="002C681B">
        <w:rPr>
          <w:rFonts w:ascii="Arial" w:hAnsi="Arial" w:cs="Arial"/>
          <w:sz w:val="24"/>
          <w:szCs w:val="24"/>
        </w:rPr>
        <w:t xml:space="preserve">Young adult carers are defined as carers aged </w:t>
      </w:r>
      <w:r w:rsidR="00545E88" w:rsidRPr="002C681B">
        <w:rPr>
          <w:rFonts w:ascii="Arial" w:hAnsi="Arial" w:cs="Arial"/>
          <w:sz w:val="24"/>
          <w:szCs w:val="24"/>
        </w:rPr>
        <w:t xml:space="preserve">between </w:t>
      </w:r>
      <w:r w:rsidRPr="002C681B">
        <w:rPr>
          <w:rFonts w:ascii="Arial" w:hAnsi="Arial" w:cs="Arial"/>
          <w:sz w:val="24"/>
          <w:szCs w:val="24"/>
        </w:rPr>
        <w:t>18</w:t>
      </w:r>
      <w:r w:rsidR="00545E88" w:rsidRPr="002C681B">
        <w:rPr>
          <w:rFonts w:ascii="Arial" w:hAnsi="Arial" w:cs="Arial"/>
          <w:sz w:val="24"/>
          <w:szCs w:val="24"/>
        </w:rPr>
        <w:t xml:space="preserve"> to </w:t>
      </w:r>
      <w:r w:rsidRPr="002C681B">
        <w:rPr>
          <w:rFonts w:ascii="Arial" w:hAnsi="Arial" w:cs="Arial"/>
          <w:sz w:val="24"/>
          <w:szCs w:val="24"/>
        </w:rPr>
        <w:t>25</w:t>
      </w:r>
      <w:r w:rsidR="00545E88" w:rsidRPr="002C681B">
        <w:rPr>
          <w:rFonts w:ascii="Arial" w:hAnsi="Arial" w:cs="Arial"/>
          <w:sz w:val="24"/>
          <w:szCs w:val="24"/>
        </w:rPr>
        <w:t xml:space="preserve"> years</w:t>
      </w:r>
      <w:r w:rsidRPr="002C681B">
        <w:rPr>
          <w:rFonts w:ascii="Arial" w:hAnsi="Arial" w:cs="Arial"/>
          <w:sz w:val="24"/>
          <w:szCs w:val="24"/>
        </w:rPr>
        <w:t>. This group is particularly vulnerable to transition on leaving school, and are more likely to be not in education, employment or training, or experience difficulties balancing caring with college or university.</w:t>
      </w:r>
    </w:p>
    <w:p w14:paraId="04849966" w14:textId="4B2234F3" w:rsidR="00ED0BBC" w:rsidRPr="002C681B" w:rsidRDefault="00ED0BBC" w:rsidP="00DC54F7">
      <w:pPr>
        <w:spacing w:after="0" w:line="240" w:lineRule="auto"/>
        <w:jc w:val="both"/>
        <w:rPr>
          <w:rFonts w:ascii="Arial" w:hAnsi="Arial" w:cs="Arial"/>
          <w:sz w:val="24"/>
          <w:szCs w:val="24"/>
        </w:rPr>
      </w:pPr>
    </w:p>
    <w:p w14:paraId="0EAB29E8" w14:textId="77777777" w:rsidR="00B2486D" w:rsidRPr="00A10850" w:rsidRDefault="00B2486D" w:rsidP="00DC54F7">
      <w:pPr>
        <w:spacing w:after="0" w:line="240" w:lineRule="auto"/>
        <w:jc w:val="both"/>
        <w:rPr>
          <w:rFonts w:ascii="Arial" w:hAnsi="Arial" w:cs="Arial"/>
        </w:rPr>
      </w:pPr>
    </w:p>
    <w:p w14:paraId="6DFD980C" w14:textId="77777777" w:rsidR="00F02292" w:rsidRPr="00A10850" w:rsidRDefault="00ED0BBC" w:rsidP="00DC54F7">
      <w:pPr>
        <w:spacing w:after="0" w:line="240" w:lineRule="auto"/>
        <w:jc w:val="both"/>
        <w:rPr>
          <w:rFonts w:ascii="Arial" w:hAnsi="Arial" w:cs="Arial"/>
          <w:b/>
          <w:sz w:val="26"/>
          <w:szCs w:val="26"/>
        </w:rPr>
      </w:pPr>
      <w:r w:rsidRPr="00A10850">
        <w:rPr>
          <w:rFonts w:ascii="Arial" w:hAnsi="Arial" w:cs="Arial"/>
          <w:b/>
          <w:sz w:val="26"/>
          <w:szCs w:val="26"/>
        </w:rPr>
        <w:t>2.1</w:t>
      </w:r>
      <w:r w:rsidR="00D3388A" w:rsidRPr="00A10850">
        <w:rPr>
          <w:rFonts w:ascii="Arial" w:hAnsi="Arial" w:cs="Arial"/>
          <w:b/>
          <w:sz w:val="26"/>
          <w:szCs w:val="26"/>
        </w:rPr>
        <w:t>6</w:t>
      </w:r>
      <w:r w:rsidRPr="00A10850">
        <w:rPr>
          <w:rFonts w:ascii="Arial" w:hAnsi="Arial" w:cs="Arial"/>
          <w:b/>
          <w:sz w:val="26"/>
          <w:szCs w:val="26"/>
        </w:rPr>
        <w:t xml:space="preserve"> Traveller and </w:t>
      </w:r>
      <w:r w:rsidR="00817614" w:rsidRPr="00A10850">
        <w:rPr>
          <w:rFonts w:ascii="Arial" w:hAnsi="Arial" w:cs="Arial"/>
          <w:b/>
          <w:sz w:val="26"/>
          <w:szCs w:val="26"/>
        </w:rPr>
        <w:t>g</w:t>
      </w:r>
      <w:r w:rsidRPr="00A10850">
        <w:rPr>
          <w:rFonts w:ascii="Arial" w:hAnsi="Arial" w:cs="Arial"/>
          <w:b/>
          <w:sz w:val="26"/>
          <w:szCs w:val="26"/>
        </w:rPr>
        <w:t>ypsy communities</w:t>
      </w:r>
    </w:p>
    <w:p w14:paraId="34BEF4D4" w14:textId="77777777" w:rsidR="00F02292" w:rsidRPr="00A10850" w:rsidRDefault="00F02292" w:rsidP="00DC54F7">
      <w:pPr>
        <w:spacing w:after="0" w:line="240" w:lineRule="auto"/>
        <w:contextualSpacing/>
        <w:jc w:val="both"/>
        <w:rPr>
          <w:rFonts w:ascii="Arial" w:hAnsi="Arial" w:cs="Arial"/>
        </w:rPr>
      </w:pPr>
    </w:p>
    <w:p w14:paraId="07DD74C6" w14:textId="37C11BD5" w:rsidR="00510AE8" w:rsidRPr="002C681B" w:rsidRDefault="00744B5E" w:rsidP="00DC54F7">
      <w:pPr>
        <w:spacing w:after="0" w:line="240" w:lineRule="auto"/>
        <w:jc w:val="both"/>
        <w:rPr>
          <w:rFonts w:ascii="Arial" w:hAnsi="Arial" w:cs="Arial"/>
          <w:sz w:val="24"/>
          <w:szCs w:val="24"/>
        </w:rPr>
      </w:pPr>
      <w:r w:rsidRPr="002C681B">
        <w:rPr>
          <w:rFonts w:ascii="Arial" w:hAnsi="Arial" w:cs="Arial"/>
          <w:sz w:val="24"/>
          <w:szCs w:val="24"/>
        </w:rPr>
        <w:t xml:space="preserve">In </w:t>
      </w:r>
      <w:r w:rsidR="00D70846" w:rsidRPr="002C681B">
        <w:rPr>
          <w:rFonts w:ascii="Arial" w:hAnsi="Arial" w:cs="Arial"/>
          <w:sz w:val="24"/>
          <w:szCs w:val="24"/>
        </w:rPr>
        <w:t>January 2</w:t>
      </w:r>
      <w:r w:rsidR="00F36550" w:rsidRPr="002C681B">
        <w:rPr>
          <w:rFonts w:ascii="Arial" w:hAnsi="Arial" w:cs="Arial"/>
          <w:sz w:val="24"/>
          <w:szCs w:val="24"/>
        </w:rPr>
        <w:t>020</w:t>
      </w:r>
      <w:r w:rsidR="00072E02" w:rsidRPr="002C681B">
        <w:rPr>
          <w:rFonts w:ascii="Arial" w:hAnsi="Arial" w:cs="Arial"/>
          <w:sz w:val="24"/>
          <w:szCs w:val="24"/>
        </w:rPr>
        <w:t>,</w:t>
      </w:r>
      <w:r w:rsidR="00D70846" w:rsidRPr="002C681B">
        <w:rPr>
          <w:rFonts w:ascii="Arial" w:hAnsi="Arial" w:cs="Arial"/>
          <w:sz w:val="24"/>
          <w:szCs w:val="24"/>
        </w:rPr>
        <w:t xml:space="preserve"> there were </w:t>
      </w:r>
      <w:r w:rsidR="00536CAE" w:rsidRPr="002C681B">
        <w:rPr>
          <w:rFonts w:ascii="Arial" w:hAnsi="Arial" w:cs="Arial"/>
          <w:sz w:val="24"/>
          <w:szCs w:val="24"/>
        </w:rPr>
        <w:t>227</w:t>
      </w:r>
      <w:r w:rsidR="00D70846" w:rsidRPr="002C681B">
        <w:rPr>
          <w:rFonts w:ascii="Arial" w:hAnsi="Arial" w:cs="Arial"/>
          <w:sz w:val="24"/>
          <w:szCs w:val="24"/>
        </w:rPr>
        <w:t xml:space="preserve"> Gypsy and Traveller caravans and </w:t>
      </w:r>
      <w:r w:rsidR="0097776C" w:rsidRPr="002C681B">
        <w:rPr>
          <w:rFonts w:ascii="Arial" w:hAnsi="Arial" w:cs="Arial"/>
          <w:sz w:val="24"/>
          <w:szCs w:val="24"/>
        </w:rPr>
        <w:t>13</w:t>
      </w:r>
      <w:r w:rsidR="00710BAB" w:rsidRPr="002C681B">
        <w:rPr>
          <w:rFonts w:ascii="Arial" w:hAnsi="Arial" w:cs="Arial"/>
          <w:sz w:val="24"/>
          <w:szCs w:val="24"/>
        </w:rPr>
        <w:t xml:space="preserve"> sites</w:t>
      </w:r>
      <w:r w:rsidR="00F62B9D" w:rsidRPr="002C681B">
        <w:rPr>
          <w:rFonts w:ascii="Arial" w:hAnsi="Arial" w:cs="Arial"/>
          <w:sz w:val="24"/>
          <w:szCs w:val="24"/>
        </w:rPr>
        <w:t xml:space="preserve"> (</w:t>
      </w:r>
      <w:r w:rsidR="00D54EDA" w:rsidRPr="002C681B">
        <w:rPr>
          <w:rFonts w:ascii="Arial" w:hAnsi="Arial" w:cs="Arial"/>
          <w:sz w:val="24"/>
          <w:szCs w:val="24"/>
        </w:rPr>
        <w:t>nine</w:t>
      </w:r>
      <w:r w:rsidR="00F62B9D" w:rsidRPr="002C681B">
        <w:rPr>
          <w:rFonts w:ascii="Arial" w:hAnsi="Arial" w:cs="Arial"/>
          <w:sz w:val="24"/>
          <w:szCs w:val="24"/>
        </w:rPr>
        <w:t xml:space="preserve"> authorised and </w:t>
      </w:r>
      <w:r w:rsidR="00D54EDA" w:rsidRPr="002C681B">
        <w:rPr>
          <w:rFonts w:ascii="Arial" w:hAnsi="Arial" w:cs="Arial"/>
          <w:sz w:val="24"/>
          <w:szCs w:val="24"/>
        </w:rPr>
        <w:t>four</w:t>
      </w:r>
      <w:r w:rsidR="00F62B9D" w:rsidRPr="002C681B">
        <w:rPr>
          <w:rFonts w:ascii="Arial" w:hAnsi="Arial" w:cs="Arial"/>
          <w:sz w:val="24"/>
          <w:szCs w:val="24"/>
        </w:rPr>
        <w:t xml:space="preserve"> </w:t>
      </w:r>
      <w:r w:rsidR="00064854" w:rsidRPr="002C681B">
        <w:rPr>
          <w:rFonts w:ascii="Arial" w:hAnsi="Arial" w:cs="Arial"/>
          <w:sz w:val="24"/>
          <w:szCs w:val="24"/>
        </w:rPr>
        <w:t xml:space="preserve">sites </w:t>
      </w:r>
      <w:r w:rsidR="00F62B9D" w:rsidRPr="002C681B">
        <w:rPr>
          <w:rFonts w:ascii="Arial" w:hAnsi="Arial" w:cs="Arial"/>
          <w:sz w:val="24"/>
          <w:szCs w:val="24"/>
        </w:rPr>
        <w:t>unauthorised)</w:t>
      </w:r>
      <w:r w:rsidR="00D70846" w:rsidRPr="002C681B">
        <w:rPr>
          <w:rFonts w:ascii="Arial" w:hAnsi="Arial" w:cs="Arial"/>
          <w:sz w:val="24"/>
          <w:szCs w:val="24"/>
        </w:rPr>
        <w:t xml:space="preserve"> reported in </w:t>
      </w:r>
      <w:r w:rsidR="0018283B" w:rsidRPr="002C681B">
        <w:rPr>
          <w:rFonts w:ascii="Arial" w:hAnsi="Arial" w:cs="Arial"/>
          <w:sz w:val="24"/>
          <w:szCs w:val="24"/>
        </w:rPr>
        <w:t xml:space="preserve">Cardiff and Vale </w:t>
      </w:r>
      <w:r w:rsidR="0050456C" w:rsidRPr="002C681B">
        <w:rPr>
          <w:rFonts w:ascii="Arial" w:hAnsi="Arial" w:cs="Arial"/>
          <w:sz w:val="24"/>
          <w:szCs w:val="24"/>
        </w:rPr>
        <w:t>University Health Board</w:t>
      </w:r>
      <w:r w:rsidR="00D70846" w:rsidRPr="002C681B">
        <w:rPr>
          <w:rFonts w:ascii="Arial" w:hAnsi="Arial" w:cs="Arial"/>
          <w:sz w:val="24"/>
          <w:szCs w:val="24"/>
        </w:rPr>
        <w:t>. Of the total number of caravans, 8</w:t>
      </w:r>
      <w:r w:rsidR="0083661A" w:rsidRPr="002C681B">
        <w:rPr>
          <w:rFonts w:ascii="Arial" w:hAnsi="Arial" w:cs="Arial"/>
          <w:sz w:val="24"/>
          <w:szCs w:val="24"/>
        </w:rPr>
        <w:t>9</w:t>
      </w:r>
      <w:r w:rsidR="00D73D0B" w:rsidRPr="002C681B">
        <w:rPr>
          <w:rFonts w:ascii="Arial" w:hAnsi="Arial" w:cs="Arial"/>
          <w:sz w:val="24"/>
          <w:szCs w:val="24"/>
        </w:rPr>
        <w:t>%</w:t>
      </w:r>
      <w:r w:rsidR="00D70846" w:rsidRPr="002C681B">
        <w:rPr>
          <w:rFonts w:ascii="Arial" w:hAnsi="Arial" w:cs="Arial"/>
          <w:sz w:val="24"/>
          <w:szCs w:val="24"/>
        </w:rPr>
        <w:t xml:space="preserve"> (</w:t>
      </w:r>
      <w:r w:rsidR="00454EFC" w:rsidRPr="002C681B">
        <w:rPr>
          <w:rFonts w:ascii="Arial" w:hAnsi="Arial" w:cs="Arial"/>
          <w:sz w:val="24"/>
          <w:szCs w:val="24"/>
        </w:rPr>
        <w:t>20</w:t>
      </w:r>
      <w:r w:rsidR="00D70846" w:rsidRPr="002C681B">
        <w:rPr>
          <w:rFonts w:ascii="Arial" w:hAnsi="Arial" w:cs="Arial"/>
          <w:sz w:val="24"/>
          <w:szCs w:val="24"/>
        </w:rPr>
        <w:t xml:space="preserve">3 caravans) were on authorised sites. Of these, </w:t>
      </w:r>
      <w:r w:rsidR="007671E7" w:rsidRPr="002C681B">
        <w:rPr>
          <w:rFonts w:ascii="Arial" w:hAnsi="Arial" w:cs="Arial"/>
          <w:sz w:val="24"/>
          <w:szCs w:val="24"/>
        </w:rPr>
        <w:t>164</w:t>
      </w:r>
      <w:r w:rsidR="00D70846" w:rsidRPr="002C681B">
        <w:rPr>
          <w:rFonts w:ascii="Arial" w:hAnsi="Arial" w:cs="Arial"/>
          <w:sz w:val="24"/>
          <w:szCs w:val="24"/>
        </w:rPr>
        <w:t xml:space="preserve"> (</w:t>
      </w:r>
      <w:r w:rsidR="004F37D0" w:rsidRPr="002C681B">
        <w:rPr>
          <w:rFonts w:ascii="Arial" w:hAnsi="Arial" w:cs="Arial"/>
          <w:sz w:val="24"/>
          <w:szCs w:val="24"/>
        </w:rPr>
        <w:t>81</w:t>
      </w:r>
      <w:r w:rsidR="00D73D0B" w:rsidRPr="002C681B">
        <w:rPr>
          <w:rFonts w:ascii="Arial" w:hAnsi="Arial" w:cs="Arial"/>
          <w:sz w:val="24"/>
          <w:szCs w:val="24"/>
        </w:rPr>
        <w:t>%</w:t>
      </w:r>
      <w:r w:rsidR="00D70846" w:rsidRPr="002C681B">
        <w:rPr>
          <w:rFonts w:ascii="Arial" w:hAnsi="Arial" w:cs="Arial"/>
          <w:sz w:val="24"/>
          <w:szCs w:val="24"/>
        </w:rPr>
        <w:t>) were on</w:t>
      </w:r>
      <w:r w:rsidR="00A10951" w:rsidRPr="002C681B">
        <w:rPr>
          <w:rFonts w:ascii="Arial" w:hAnsi="Arial" w:cs="Arial"/>
          <w:sz w:val="24"/>
          <w:szCs w:val="24"/>
        </w:rPr>
        <w:t xml:space="preserve"> </w:t>
      </w:r>
      <w:r w:rsidR="00567F4B" w:rsidRPr="002C681B">
        <w:rPr>
          <w:rFonts w:ascii="Arial" w:hAnsi="Arial" w:cs="Arial"/>
          <w:sz w:val="24"/>
          <w:szCs w:val="24"/>
        </w:rPr>
        <w:t>local</w:t>
      </w:r>
      <w:r w:rsidR="00A10951" w:rsidRPr="002C681B">
        <w:rPr>
          <w:rFonts w:ascii="Arial" w:hAnsi="Arial" w:cs="Arial"/>
          <w:sz w:val="24"/>
          <w:szCs w:val="24"/>
        </w:rPr>
        <w:t xml:space="preserve"> authority </w:t>
      </w:r>
      <w:r w:rsidR="00D70846" w:rsidRPr="002C681B">
        <w:rPr>
          <w:rFonts w:ascii="Arial" w:hAnsi="Arial" w:cs="Arial"/>
          <w:sz w:val="24"/>
          <w:szCs w:val="24"/>
        </w:rPr>
        <w:t xml:space="preserve">sites and </w:t>
      </w:r>
      <w:r w:rsidR="007E2DE1" w:rsidRPr="002C681B">
        <w:rPr>
          <w:rFonts w:ascii="Arial" w:hAnsi="Arial" w:cs="Arial"/>
          <w:sz w:val="24"/>
          <w:szCs w:val="24"/>
        </w:rPr>
        <w:t>39</w:t>
      </w:r>
      <w:r w:rsidR="00D70846" w:rsidRPr="002C681B">
        <w:rPr>
          <w:rFonts w:ascii="Arial" w:hAnsi="Arial" w:cs="Arial"/>
          <w:sz w:val="24"/>
          <w:szCs w:val="24"/>
        </w:rPr>
        <w:t xml:space="preserve"> (</w:t>
      </w:r>
      <w:r w:rsidR="000D4F35" w:rsidRPr="002C681B">
        <w:rPr>
          <w:rFonts w:ascii="Arial" w:hAnsi="Arial" w:cs="Arial"/>
          <w:sz w:val="24"/>
          <w:szCs w:val="24"/>
        </w:rPr>
        <w:t>19%</w:t>
      </w:r>
      <w:r w:rsidR="00D70846" w:rsidRPr="002C681B">
        <w:rPr>
          <w:rFonts w:ascii="Arial" w:hAnsi="Arial" w:cs="Arial"/>
          <w:sz w:val="24"/>
          <w:szCs w:val="24"/>
        </w:rPr>
        <w:t>) were on private sites</w:t>
      </w:r>
      <w:r w:rsidR="007E2DE1" w:rsidRPr="002C681B">
        <w:rPr>
          <w:rFonts w:ascii="Arial" w:hAnsi="Arial" w:cs="Arial"/>
          <w:sz w:val="24"/>
          <w:szCs w:val="24"/>
        </w:rPr>
        <w:t>.</w:t>
      </w:r>
    </w:p>
    <w:p w14:paraId="78827746" w14:textId="4026AD8B" w:rsidR="00D54EDA" w:rsidRPr="002C681B" w:rsidRDefault="00D54EDA" w:rsidP="00DC54F7">
      <w:pPr>
        <w:spacing w:after="0" w:line="240" w:lineRule="auto"/>
        <w:jc w:val="both"/>
        <w:rPr>
          <w:rFonts w:ascii="Arial" w:hAnsi="Arial" w:cs="Arial"/>
          <w:sz w:val="24"/>
          <w:szCs w:val="24"/>
        </w:rPr>
      </w:pPr>
    </w:p>
    <w:p w14:paraId="74B6C61E" w14:textId="77777777" w:rsidR="00D54EDA" w:rsidRPr="002C681B" w:rsidRDefault="00D54EDA" w:rsidP="00DC54F7">
      <w:pPr>
        <w:spacing w:after="0" w:line="240" w:lineRule="auto"/>
        <w:jc w:val="both"/>
        <w:rPr>
          <w:rFonts w:ascii="Arial" w:hAnsi="Arial" w:cs="Arial"/>
          <w:bCs/>
          <w:sz w:val="24"/>
          <w:szCs w:val="24"/>
        </w:rPr>
      </w:pPr>
      <w:r w:rsidRPr="002C681B">
        <w:rPr>
          <w:rFonts w:ascii="Arial" w:hAnsi="Arial" w:cs="Arial"/>
          <w:bCs/>
          <w:sz w:val="24"/>
          <w:szCs w:val="24"/>
        </w:rPr>
        <w:t xml:space="preserve">Cardiff had the highest number of caravans of all the 22 local authorities at a count of 202. All of the caravans in Cardiff were reported to be on the six available authorised sites. </w:t>
      </w:r>
    </w:p>
    <w:p w14:paraId="22DB72A6" w14:textId="77777777" w:rsidR="00D54EDA" w:rsidRPr="002C681B" w:rsidRDefault="00D54EDA" w:rsidP="00DC54F7">
      <w:pPr>
        <w:spacing w:after="0" w:line="240" w:lineRule="auto"/>
        <w:jc w:val="both"/>
        <w:rPr>
          <w:rFonts w:ascii="Arial" w:hAnsi="Arial" w:cs="Arial"/>
          <w:bCs/>
          <w:sz w:val="24"/>
          <w:szCs w:val="24"/>
        </w:rPr>
      </w:pPr>
    </w:p>
    <w:p w14:paraId="57CA069F" w14:textId="77777777" w:rsidR="00D54EDA" w:rsidRPr="002C681B" w:rsidRDefault="00D54EDA" w:rsidP="00DC54F7">
      <w:pPr>
        <w:spacing w:after="0" w:line="240" w:lineRule="auto"/>
        <w:jc w:val="both"/>
        <w:rPr>
          <w:rFonts w:ascii="Arial" w:hAnsi="Arial" w:cs="Arial"/>
          <w:bCs/>
          <w:sz w:val="24"/>
          <w:szCs w:val="24"/>
        </w:rPr>
      </w:pPr>
      <w:r w:rsidRPr="002C681B">
        <w:rPr>
          <w:rFonts w:ascii="Arial" w:hAnsi="Arial" w:cs="Arial"/>
          <w:bCs/>
          <w:sz w:val="24"/>
          <w:szCs w:val="24"/>
        </w:rPr>
        <w:t>The Vale of Glamorgan had 25 caravans with only one reported to be on the three available authorised sites. The remaining 24 caravans were reported to be on four unauthorised ‘tolerated’ sites, where removal of encampment had not been sought by the authority. This was the highest number of all the local authorities. 19 of these caravans were on lands not owned by Gypsies and Travellers.</w:t>
      </w:r>
    </w:p>
    <w:p w14:paraId="113E0006" w14:textId="1293AD24" w:rsidR="00B129F2" w:rsidRDefault="00B129F2" w:rsidP="00DC54F7">
      <w:pPr>
        <w:spacing w:after="0" w:line="240" w:lineRule="auto"/>
        <w:jc w:val="both"/>
        <w:rPr>
          <w:rFonts w:ascii="Arial" w:hAnsi="Arial" w:cs="Arial"/>
        </w:rPr>
      </w:pPr>
    </w:p>
    <w:p w14:paraId="5FA75B27" w14:textId="74622638" w:rsidR="00D70846" w:rsidRPr="002C681B" w:rsidRDefault="00B129F2" w:rsidP="00DC54F7">
      <w:pPr>
        <w:spacing w:after="0" w:line="240" w:lineRule="auto"/>
        <w:jc w:val="both"/>
        <w:rPr>
          <w:rFonts w:ascii="Arial" w:hAnsi="Arial" w:cs="Arial"/>
          <w:b/>
          <w:bCs/>
          <w:sz w:val="24"/>
          <w:szCs w:val="24"/>
        </w:rPr>
      </w:pPr>
      <w:r w:rsidRPr="002C681B">
        <w:rPr>
          <w:rFonts w:ascii="Arial" w:hAnsi="Arial" w:cs="Arial"/>
          <w:b/>
          <w:bCs/>
          <w:sz w:val="24"/>
          <w:szCs w:val="24"/>
        </w:rPr>
        <w:t>Table</w:t>
      </w:r>
      <w:r w:rsidR="003D65CC" w:rsidRPr="002C681B">
        <w:rPr>
          <w:rFonts w:ascii="Arial" w:hAnsi="Arial" w:cs="Arial"/>
          <w:b/>
          <w:bCs/>
          <w:sz w:val="24"/>
          <w:szCs w:val="24"/>
        </w:rPr>
        <w:t xml:space="preserve"> 2.1</w:t>
      </w:r>
      <w:r w:rsidR="009354D9" w:rsidRPr="002C681B">
        <w:rPr>
          <w:rFonts w:ascii="Arial" w:hAnsi="Arial" w:cs="Arial"/>
          <w:b/>
          <w:bCs/>
          <w:sz w:val="24"/>
          <w:szCs w:val="24"/>
        </w:rPr>
        <w:t>5</w:t>
      </w:r>
      <w:r w:rsidRPr="002C681B">
        <w:rPr>
          <w:rFonts w:ascii="Arial" w:hAnsi="Arial" w:cs="Arial"/>
          <w:b/>
          <w:bCs/>
          <w:sz w:val="24"/>
          <w:szCs w:val="24"/>
        </w:rPr>
        <w:t xml:space="preserve">: Count of Gypsy and Traveller </w:t>
      </w:r>
      <w:r w:rsidR="00C7029E" w:rsidRPr="002C681B">
        <w:rPr>
          <w:rFonts w:ascii="Arial" w:hAnsi="Arial" w:cs="Arial"/>
          <w:b/>
          <w:bCs/>
          <w:sz w:val="24"/>
          <w:szCs w:val="24"/>
        </w:rPr>
        <w:t>Caravans</w:t>
      </w:r>
      <w:r w:rsidR="00496A34" w:rsidRPr="002C681B">
        <w:rPr>
          <w:rFonts w:ascii="Arial" w:hAnsi="Arial" w:cs="Arial"/>
          <w:b/>
          <w:bCs/>
          <w:sz w:val="24"/>
          <w:szCs w:val="24"/>
        </w:rPr>
        <w:t xml:space="preserve"> by </w:t>
      </w:r>
      <w:r w:rsidR="00567F4B" w:rsidRPr="002C681B">
        <w:rPr>
          <w:rFonts w:ascii="Arial" w:hAnsi="Arial" w:cs="Arial"/>
          <w:b/>
          <w:bCs/>
          <w:sz w:val="24"/>
          <w:szCs w:val="24"/>
        </w:rPr>
        <w:t>local</w:t>
      </w:r>
      <w:r w:rsidR="00496A34" w:rsidRPr="002C681B">
        <w:rPr>
          <w:rFonts w:ascii="Arial" w:hAnsi="Arial" w:cs="Arial"/>
          <w:b/>
          <w:bCs/>
          <w:sz w:val="24"/>
          <w:szCs w:val="24"/>
        </w:rPr>
        <w:t xml:space="preserve"> authority, health board and Wales, </w:t>
      </w:r>
      <w:r w:rsidR="000A564F" w:rsidRPr="002C681B">
        <w:rPr>
          <w:rFonts w:ascii="Arial" w:hAnsi="Arial" w:cs="Arial"/>
          <w:b/>
          <w:bCs/>
          <w:sz w:val="24"/>
          <w:szCs w:val="24"/>
        </w:rPr>
        <w:t>January 2020</w:t>
      </w:r>
    </w:p>
    <w:tbl>
      <w:tblPr>
        <w:tblW w:w="8972" w:type="dxa"/>
        <w:tblBorders>
          <w:top w:val="single" w:sz="4" w:space="0" w:color="auto"/>
          <w:left w:val="single" w:sz="4" w:space="0" w:color="auto"/>
          <w:bottom w:val="single" w:sz="4" w:space="0" w:color="auto"/>
          <w:right w:val="single" w:sz="4" w:space="0" w:color="auto"/>
          <w:insideH w:val="single" w:sz="4" w:space="0" w:color="C9C9C9"/>
        </w:tblBorders>
        <w:tblLook w:val="04A0" w:firstRow="1" w:lastRow="0" w:firstColumn="1" w:lastColumn="0" w:noHBand="0" w:noVBand="1"/>
      </w:tblPr>
      <w:tblGrid>
        <w:gridCol w:w="2333"/>
        <w:gridCol w:w="1307"/>
        <w:gridCol w:w="1306"/>
        <w:gridCol w:w="1306"/>
        <w:gridCol w:w="1458"/>
        <w:gridCol w:w="1306"/>
      </w:tblGrid>
      <w:tr w:rsidR="00EE16C2" w:rsidRPr="00EE16C2" w14:paraId="2C31D989" w14:textId="77777777" w:rsidTr="00387321">
        <w:trPr>
          <w:trHeight w:val="582"/>
        </w:trPr>
        <w:tc>
          <w:tcPr>
            <w:tcW w:w="2345" w:type="dxa"/>
            <w:shd w:val="clear" w:color="000000" w:fill="8497B0"/>
            <w:noWrap/>
            <w:vAlign w:val="bottom"/>
            <w:hideMark/>
          </w:tcPr>
          <w:p w14:paraId="2781722E" w14:textId="77777777" w:rsidR="00EE16C2" w:rsidRPr="00EE16C2" w:rsidRDefault="00EE16C2" w:rsidP="00DC54F7">
            <w:pPr>
              <w:spacing w:after="0" w:line="240" w:lineRule="auto"/>
              <w:jc w:val="both"/>
              <w:rPr>
                <w:rFonts w:ascii="Calibri" w:eastAsia="Times New Roman" w:hAnsi="Calibri" w:cs="Calibri"/>
                <w:b/>
                <w:bCs/>
                <w:color w:val="FFFFFF"/>
                <w:lang w:eastAsia="en-GB"/>
              </w:rPr>
            </w:pPr>
            <w:r w:rsidRPr="00EE16C2">
              <w:rPr>
                <w:rFonts w:ascii="Calibri" w:eastAsia="Times New Roman" w:hAnsi="Calibri" w:cs="Calibri"/>
                <w:b/>
                <w:bCs/>
                <w:color w:val="FFFFFF"/>
                <w:lang w:eastAsia="en-GB"/>
              </w:rPr>
              <w:t>Area</w:t>
            </w:r>
          </w:p>
        </w:tc>
        <w:tc>
          <w:tcPr>
            <w:tcW w:w="1313" w:type="dxa"/>
            <w:shd w:val="clear" w:color="000000" w:fill="8497B0"/>
            <w:vAlign w:val="bottom"/>
            <w:hideMark/>
          </w:tcPr>
          <w:p w14:paraId="2C0606D5" w14:textId="7AD70A70" w:rsidR="00EE16C2" w:rsidRPr="00EE16C2" w:rsidRDefault="00567F4B" w:rsidP="00DC54F7">
            <w:pPr>
              <w:spacing w:after="0" w:line="240" w:lineRule="auto"/>
              <w:jc w:val="both"/>
              <w:rPr>
                <w:rFonts w:ascii="Calibri" w:eastAsia="Times New Roman" w:hAnsi="Calibri" w:cs="Calibri"/>
                <w:b/>
                <w:bCs/>
                <w:color w:val="FFFFFF"/>
                <w:lang w:eastAsia="en-GB"/>
              </w:rPr>
            </w:pPr>
            <w:r>
              <w:rPr>
                <w:rFonts w:ascii="Calibri" w:eastAsia="Times New Roman" w:hAnsi="Calibri" w:cs="Calibri"/>
                <w:b/>
                <w:bCs/>
                <w:color w:val="FFFFFF"/>
                <w:lang w:eastAsia="en-GB"/>
              </w:rPr>
              <w:t>Local</w:t>
            </w:r>
            <w:r w:rsidR="00D57D6A">
              <w:rPr>
                <w:rFonts w:ascii="Calibri" w:eastAsia="Times New Roman" w:hAnsi="Calibri" w:cs="Calibri"/>
                <w:b/>
                <w:bCs/>
                <w:color w:val="FFFFFF"/>
                <w:lang w:eastAsia="en-GB"/>
              </w:rPr>
              <w:t xml:space="preserve"> </w:t>
            </w:r>
            <w:r w:rsidR="00EE16C2" w:rsidRPr="00EE16C2">
              <w:rPr>
                <w:rFonts w:ascii="Calibri" w:eastAsia="Times New Roman" w:hAnsi="Calibri" w:cs="Calibri"/>
                <w:b/>
                <w:bCs/>
                <w:color w:val="FFFFFF"/>
                <w:lang w:eastAsia="en-GB"/>
              </w:rPr>
              <w:t xml:space="preserve">Authority </w:t>
            </w:r>
          </w:p>
        </w:tc>
        <w:tc>
          <w:tcPr>
            <w:tcW w:w="1313" w:type="dxa"/>
            <w:shd w:val="clear" w:color="000000" w:fill="8497B0"/>
            <w:vAlign w:val="bottom"/>
            <w:hideMark/>
          </w:tcPr>
          <w:p w14:paraId="7E40F516" w14:textId="77777777" w:rsidR="00EE16C2" w:rsidRPr="00EE16C2" w:rsidRDefault="00EE16C2" w:rsidP="00DC54F7">
            <w:pPr>
              <w:spacing w:after="0" w:line="240" w:lineRule="auto"/>
              <w:jc w:val="both"/>
              <w:rPr>
                <w:rFonts w:ascii="Calibri" w:eastAsia="Times New Roman" w:hAnsi="Calibri" w:cs="Calibri"/>
                <w:b/>
                <w:bCs/>
                <w:color w:val="FFFFFF"/>
                <w:lang w:eastAsia="en-GB"/>
              </w:rPr>
            </w:pPr>
            <w:r w:rsidRPr="00EE16C2">
              <w:rPr>
                <w:rFonts w:ascii="Calibri" w:eastAsia="Times New Roman" w:hAnsi="Calibri" w:cs="Calibri"/>
                <w:b/>
                <w:bCs/>
                <w:color w:val="FFFFFF"/>
                <w:lang w:eastAsia="en-GB"/>
              </w:rPr>
              <w:t xml:space="preserve">Private </w:t>
            </w:r>
          </w:p>
        </w:tc>
        <w:tc>
          <w:tcPr>
            <w:tcW w:w="1313" w:type="dxa"/>
            <w:shd w:val="clear" w:color="000000" w:fill="8497B0"/>
            <w:vAlign w:val="bottom"/>
            <w:hideMark/>
          </w:tcPr>
          <w:p w14:paraId="1D0759C9" w14:textId="77777777" w:rsidR="00EE16C2" w:rsidRPr="00EE16C2" w:rsidRDefault="00EE16C2" w:rsidP="00DC54F7">
            <w:pPr>
              <w:spacing w:after="0" w:line="240" w:lineRule="auto"/>
              <w:jc w:val="both"/>
              <w:rPr>
                <w:rFonts w:ascii="Calibri" w:eastAsia="Times New Roman" w:hAnsi="Calibri" w:cs="Calibri"/>
                <w:b/>
                <w:bCs/>
                <w:color w:val="FFFFFF"/>
                <w:lang w:eastAsia="en-GB"/>
              </w:rPr>
            </w:pPr>
            <w:r w:rsidRPr="00EE16C2">
              <w:rPr>
                <w:rFonts w:ascii="Calibri" w:eastAsia="Times New Roman" w:hAnsi="Calibri" w:cs="Calibri"/>
                <w:b/>
                <w:bCs/>
                <w:color w:val="FFFFFF"/>
                <w:lang w:eastAsia="en-GB"/>
              </w:rPr>
              <w:t xml:space="preserve">Authorised Sites  </w:t>
            </w:r>
          </w:p>
        </w:tc>
        <w:tc>
          <w:tcPr>
            <w:tcW w:w="1375" w:type="dxa"/>
            <w:shd w:val="clear" w:color="000000" w:fill="8497B0"/>
            <w:vAlign w:val="bottom"/>
            <w:hideMark/>
          </w:tcPr>
          <w:p w14:paraId="3E0C332F" w14:textId="77777777" w:rsidR="00EE16C2" w:rsidRPr="00EE16C2" w:rsidRDefault="00EE16C2" w:rsidP="00DC54F7">
            <w:pPr>
              <w:spacing w:after="0" w:line="240" w:lineRule="auto"/>
              <w:jc w:val="both"/>
              <w:rPr>
                <w:rFonts w:ascii="Calibri" w:eastAsia="Times New Roman" w:hAnsi="Calibri" w:cs="Calibri"/>
                <w:b/>
                <w:bCs/>
                <w:color w:val="FFFFFF"/>
                <w:lang w:eastAsia="en-GB"/>
              </w:rPr>
            </w:pPr>
            <w:r w:rsidRPr="00EE16C2">
              <w:rPr>
                <w:rFonts w:ascii="Calibri" w:eastAsia="Times New Roman" w:hAnsi="Calibri" w:cs="Calibri"/>
                <w:b/>
                <w:bCs/>
                <w:color w:val="FFFFFF"/>
                <w:lang w:eastAsia="en-GB"/>
              </w:rPr>
              <w:t>Unauthorised Sites</w:t>
            </w:r>
          </w:p>
        </w:tc>
        <w:tc>
          <w:tcPr>
            <w:tcW w:w="1313" w:type="dxa"/>
            <w:shd w:val="clear" w:color="000000" w:fill="8497B0"/>
            <w:vAlign w:val="bottom"/>
            <w:hideMark/>
          </w:tcPr>
          <w:p w14:paraId="751470A1" w14:textId="77777777" w:rsidR="00EE16C2" w:rsidRPr="00EE16C2" w:rsidRDefault="00EE16C2" w:rsidP="00DC54F7">
            <w:pPr>
              <w:spacing w:after="0" w:line="240" w:lineRule="auto"/>
              <w:jc w:val="both"/>
              <w:rPr>
                <w:rFonts w:ascii="Calibri" w:eastAsia="Times New Roman" w:hAnsi="Calibri" w:cs="Calibri"/>
                <w:b/>
                <w:bCs/>
                <w:color w:val="FFFFFF"/>
                <w:lang w:eastAsia="en-GB"/>
              </w:rPr>
            </w:pPr>
            <w:r w:rsidRPr="00EE16C2">
              <w:rPr>
                <w:rFonts w:ascii="Calibri" w:eastAsia="Times New Roman" w:hAnsi="Calibri" w:cs="Calibri"/>
                <w:b/>
                <w:bCs/>
                <w:color w:val="FFFFFF"/>
                <w:lang w:eastAsia="en-GB"/>
              </w:rPr>
              <w:t>All Caravans</w:t>
            </w:r>
          </w:p>
        </w:tc>
      </w:tr>
      <w:tr w:rsidR="00EE16C2" w:rsidRPr="00EE16C2" w14:paraId="1F3B6002" w14:textId="77777777" w:rsidTr="00387321">
        <w:trPr>
          <w:trHeight w:val="263"/>
        </w:trPr>
        <w:tc>
          <w:tcPr>
            <w:tcW w:w="2345" w:type="dxa"/>
            <w:shd w:val="clear" w:color="EDEDED" w:fill="EDEDED"/>
            <w:noWrap/>
            <w:vAlign w:val="bottom"/>
            <w:hideMark/>
          </w:tcPr>
          <w:p w14:paraId="0F7318CA"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 xml:space="preserve">Cardiff </w:t>
            </w:r>
          </w:p>
        </w:tc>
        <w:tc>
          <w:tcPr>
            <w:tcW w:w="1313" w:type="dxa"/>
            <w:shd w:val="clear" w:color="EDEDED" w:fill="EDEDED"/>
            <w:noWrap/>
            <w:vAlign w:val="bottom"/>
            <w:hideMark/>
          </w:tcPr>
          <w:p w14:paraId="4D8AC3D1"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164</w:t>
            </w:r>
          </w:p>
        </w:tc>
        <w:tc>
          <w:tcPr>
            <w:tcW w:w="1313" w:type="dxa"/>
            <w:shd w:val="clear" w:color="EDEDED" w:fill="EDEDED"/>
            <w:noWrap/>
            <w:vAlign w:val="bottom"/>
            <w:hideMark/>
          </w:tcPr>
          <w:p w14:paraId="5F86F8DF"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38</w:t>
            </w:r>
          </w:p>
        </w:tc>
        <w:tc>
          <w:tcPr>
            <w:tcW w:w="1313" w:type="dxa"/>
            <w:shd w:val="clear" w:color="EDEDED" w:fill="EDEDED"/>
            <w:noWrap/>
            <w:vAlign w:val="bottom"/>
            <w:hideMark/>
          </w:tcPr>
          <w:p w14:paraId="58067BF2"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202</w:t>
            </w:r>
          </w:p>
        </w:tc>
        <w:tc>
          <w:tcPr>
            <w:tcW w:w="1375" w:type="dxa"/>
            <w:shd w:val="clear" w:color="EDEDED" w:fill="EDEDED"/>
            <w:noWrap/>
            <w:vAlign w:val="bottom"/>
            <w:hideMark/>
          </w:tcPr>
          <w:p w14:paraId="0BCDD333"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0</w:t>
            </w:r>
          </w:p>
        </w:tc>
        <w:tc>
          <w:tcPr>
            <w:tcW w:w="1313" w:type="dxa"/>
            <w:shd w:val="clear" w:color="EDEDED" w:fill="EDEDED"/>
            <w:noWrap/>
            <w:vAlign w:val="bottom"/>
            <w:hideMark/>
          </w:tcPr>
          <w:p w14:paraId="722C0EA9"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202</w:t>
            </w:r>
          </w:p>
        </w:tc>
      </w:tr>
      <w:tr w:rsidR="00EE16C2" w:rsidRPr="00EE16C2" w14:paraId="002457F5" w14:textId="77777777" w:rsidTr="00387321">
        <w:trPr>
          <w:trHeight w:val="263"/>
        </w:trPr>
        <w:tc>
          <w:tcPr>
            <w:tcW w:w="2345" w:type="dxa"/>
            <w:shd w:val="clear" w:color="auto" w:fill="auto"/>
            <w:noWrap/>
            <w:vAlign w:val="bottom"/>
            <w:hideMark/>
          </w:tcPr>
          <w:p w14:paraId="43DEF4E2"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 xml:space="preserve">Vale of Glamorgan </w:t>
            </w:r>
          </w:p>
        </w:tc>
        <w:tc>
          <w:tcPr>
            <w:tcW w:w="1313" w:type="dxa"/>
            <w:shd w:val="clear" w:color="auto" w:fill="auto"/>
            <w:noWrap/>
            <w:vAlign w:val="bottom"/>
            <w:hideMark/>
          </w:tcPr>
          <w:p w14:paraId="5B6558DE"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0</w:t>
            </w:r>
          </w:p>
        </w:tc>
        <w:tc>
          <w:tcPr>
            <w:tcW w:w="1313" w:type="dxa"/>
            <w:shd w:val="clear" w:color="auto" w:fill="auto"/>
            <w:noWrap/>
            <w:vAlign w:val="bottom"/>
            <w:hideMark/>
          </w:tcPr>
          <w:p w14:paraId="5A0F2386"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1</w:t>
            </w:r>
          </w:p>
        </w:tc>
        <w:tc>
          <w:tcPr>
            <w:tcW w:w="1313" w:type="dxa"/>
            <w:shd w:val="clear" w:color="auto" w:fill="auto"/>
            <w:noWrap/>
            <w:vAlign w:val="bottom"/>
            <w:hideMark/>
          </w:tcPr>
          <w:p w14:paraId="11D2B495"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1</w:t>
            </w:r>
          </w:p>
        </w:tc>
        <w:tc>
          <w:tcPr>
            <w:tcW w:w="1375" w:type="dxa"/>
            <w:shd w:val="clear" w:color="auto" w:fill="auto"/>
            <w:noWrap/>
            <w:vAlign w:val="bottom"/>
            <w:hideMark/>
          </w:tcPr>
          <w:p w14:paraId="5B6676FE"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24</w:t>
            </w:r>
          </w:p>
        </w:tc>
        <w:tc>
          <w:tcPr>
            <w:tcW w:w="1313" w:type="dxa"/>
            <w:shd w:val="clear" w:color="auto" w:fill="auto"/>
            <w:noWrap/>
            <w:vAlign w:val="bottom"/>
            <w:hideMark/>
          </w:tcPr>
          <w:p w14:paraId="04EFD754"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25</w:t>
            </w:r>
          </w:p>
        </w:tc>
      </w:tr>
      <w:tr w:rsidR="00EE16C2" w:rsidRPr="00EE16C2" w14:paraId="28A7B583" w14:textId="77777777" w:rsidTr="00387321">
        <w:trPr>
          <w:trHeight w:val="263"/>
        </w:trPr>
        <w:tc>
          <w:tcPr>
            <w:tcW w:w="2345" w:type="dxa"/>
            <w:shd w:val="clear" w:color="EDEDED" w:fill="EDEDED"/>
            <w:noWrap/>
            <w:vAlign w:val="bottom"/>
            <w:hideMark/>
          </w:tcPr>
          <w:p w14:paraId="0D4F0C74"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Cardiff and Vale UHB</w:t>
            </w:r>
          </w:p>
        </w:tc>
        <w:tc>
          <w:tcPr>
            <w:tcW w:w="1313" w:type="dxa"/>
            <w:shd w:val="clear" w:color="EDEDED" w:fill="EDEDED"/>
            <w:noWrap/>
            <w:vAlign w:val="bottom"/>
            <w:hideMark/>
          </w:tcPr>
          <w:p w14:paraId="2C9D6555"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164</w:t>
            </w:r>
          </w:p>
        </w:tc>
        <w:tc>
          <w:tcPr>
            <w:tcW w:w="1313" w:type="dxa"/>
            <w:shd w:val="clear" w:color="EDEDED" w:fill="EDEDED"/>
            <w:noWrap/>
            <w:vAlign w:val="bottom"/>
            <w:hideMark/>
          </w:tcPr>
          <w:p w14:paraId="2D452FA8"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39</w:t>
            </w:r>
          </w:p>
        </w:tc>
        <w:tc>
          <w:tcPr>
            <w:tcW w:w="1313" w:type="dxa"/>
            <w:shd w:val="clear" w:color="EDEDED" w:fill="EDEDED"/>
            <w:noWrap/>
            <w:vAlign w:val="bottom"/>
            <w:hideMark/>
          </w:tcPr>
          <w:p w14:paraId="52421D0E"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203</w:t>
            </w:r>
          </w:p>
        </w:tc>
        <w:tc>
          <w:tcPr>
            <w:tcW w:w="1375" w:type="dxa"/>
            <w:shd w:val="clear" w:color="EDEDED" w:fill="EDEDED"/>
            <w:noWrap/>
            <w:vAlign w:val="bottom"/>
            <w:hideMark/>
          </w:tcPr>
          <w:p w14:paraId="4D617C30"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24</w:t>
            </w:r>
          </w:p>
        </w:tc>
        <w:tc>
          <w:tcPr>
            <w:tcW w:w="1313" w:type="dxa"/>
            <w:shd w:val="clear" w:color="EDEDED" w:fill="EDEDED"/>
            <w:noWrap/>
            <w:vAlign w:val="bottom"/>
            <w:hideMark/>
          </w:tcPr>
          <w:p w14:paraId="2FE6145B"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227</w:t>
            </w:r>
          </w:p>
        </w:tc>
      </w:tr>
      <w:tr w:rsidR="00EE16C2" w:rsidRPr="00EE16C2" w14:paraId="2DA475FE" w14:textId="77777777" w:rsidTr="00387321">
        <w:trPr>
          <w:trHeight w:val="263"/>
        </w:trPr>
        <w:tc>
          <w:tcPr>
            <w:tcW w:w="2345" w:type="dxa"/>
            <w:shd w:val="clear" w:color="auto" w:fill="auto"/>
            <w:noWrap/>
            <w:vAlign w:val="bottom"/>
            <w:hideMark/>
          </w:tcPr>
          <w:p w14:paraId="44EB1CE2"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Wales</w:t>
            </w:r>
          </w:p>
        </w:tc>
        <w:tc>
          <w:tcPr>
            <w:tcW w:w="1313" w:type="dxa"/>
            <w:shd w:val="clear" w:color="auto" w:fill="auto"/>
            <w:noWrap/>
            <w:vAlign w:val="bottom"/>
            <w:hideMark/>
          </w:tcPr>
          <w:p w14:paraId="0ABFF015"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614</w:t>
            </w:r>
          </w:p>
        </w:tc>
        <w:tc>
          <w:tcPr>
            <w:tcW w:w="1313" w:type="dxa"/>
            <w:shd w:val="clear" w:color="auto" w:fill="auto"/>
            <w:noWrap/>
            <w:vAlign w:val="bottom"/>
            <w:hideMark/>
          </w:tcPr>
          <w:p w14:paraId="006A1147"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358</w:t>
            </w:r>
          </w:p>
        </w:tc>
        <w:tc>
          <w:tcPr>
            <w:tcW w:w="1313" w:type="dxa"/>
            <w:shd w:val="clear" w:color="auto" w:fill="auto"/>
            <w:noWrap/>
            <w:vAlign w:val="bottom"/>
            <w:hideMark/>
          </w:tcPr>
          <w:p w14:paraId="00257463"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972</w:t>
            </w:r>
          </w:p>
        </w:tc>
        <w:tc>
          <w:tcPr>
            <w:tcW w:w="1375" w:type="dxa"/>
            <w:shd w:val="clear" w:color="auto" w:fill="auto"/>
            <w:noWrap/>
            <w:vAlign w:val="bottom"/>
            <w:hideMark/>
          </w:tcPr>
          <w:p w14:paraId="37EEB828"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120</w:t>
            </w:r>
          </w:p>
        </w:tc>
        <w:tc>
          <w:tcPr>
            <w:tcW w:w="1313" w:type="dxa"/>
            <w:shd w:val="clear" w:color="auto" w:fill="auto"/>
            <w:noWrap/>
            <w:vAlign w:val="bottom"/>
            <w:hideMark/>
          </w:tcPr>
          <w:p w14:paraId="5C1BB2BA" w14:textId="77777777" w:rsidR="00EE16C2" w:rsidRPr="00EE16C2" w:rsidRDefault="00EE16C2" w:rsidP="00DC54F7">
            <w:pPr>
              <w:spacing w:after="0" w:line="240" w:lineRule="auto"/>
              <w:jc w:val="both"/>
              <w:rPr>
                <w:rFonts w:ascii="Calibri" w:eastAsia="Times New Roman" w:hAnsi="Calibri" w:cs="Calibri"/>
                <w:color w:val="000000"/>
                <w:lang w:eastAsia="en-GB"/>
              </w:rPr>
            </w:pPr>
            <w:r w:rsidRPr="00EE16C2">
              <w:rPr>
                <w:rFonts w:ascii="Calibri" w:eastAsia="Times New Roman" w:hAnsi="Calibri" w:cs="Calibri"/>
                <w:color w:val="000000"/>
                <w:lang w:eastAsia="en-GB"/>
              </w:rPr>
              <w:t>1092</w:t>
            </w:r>
          </w:p>
        </w:tc>
      </w:tr>
    </w:tbl>
    <w:p w14:paraId="2113B3B4" w14:textId="3C778845" w:rsidR="00771D51" w:rsidRPr="002C681B" w:rsidRDefault="000A564F" w:rsidP="00DC54F7">
      <w:pPr>
        <w:jc w:val="both"/>
        <w:rPr>
          <w:rFonts w:ascii="Arial" w:eastAsia="Times New Roman" w:hAnsi="Arial" w:cs="Arial"/>
          <w:color w:val="000000"/>
          <w:sz w:val="20"/>
          <w:szCs w:val="20"/>
          <w:lang w:eastAsia="en-GB"/>
        </w:rPr>
      </w:pPr>
      <w:r w:rsidRPr="002C681B">
        <w:rPr>
          <w:rFonts w:ascii="Arial" w:hAnsi="Arial" w:cs="Arial"/>
          <w:bCs/>
          <w:sz w:val="20"/>
          <w:szCs w:val="20"/>
        </w:rPr>
        <w:t xml:space="preserve">Source: </w:t>
      </w:r>
      <w:r w:rsidR="00771D51" w:rsidRPr="002C681B">
        <w:rPr>
          <w:rFonts w:ascii="Arial" w:hAnsi="Arial" w:cs="Arial"/>
          <w:bCs/>
          <w:sz w:val="20"/>
          <w:szCs w:val="20"/>
        </w:rPr>
        <w:t>StatsWales</w:t>
      </w:r>
      <w:r w:rsidR="00462B53" w:rsidRPr="002C681B">
        <w:rPr>
          <w:rFonts w:ascii="Arial" w:hAnsi="Arial" w:cs="Arial"/>
          <w:bCs/>
          <w:sz w:val="20"/>
          <w:szCs w:val="20"/>
        </w:rPr>
        <w:t xml:space="preserve"> - </w:t>
      </w:r>
      <w:r w:rsidR="00771D51" w:rsidRPr="002C681B">
        <w:rPr>
          <w:rFonts w:ascii="Arial" w:eastAsia="Times New Roman" w:hAnsi="Arial" w:cs="Arial"/>
          <w:color w:val="000000"/>
          <w:sz w:val="20"/>
          <w:szCs w:val="20"/>
          <w:lang w:eastAsia="en-GB"/>
        </w:rPr>
        <w:t>Gypsy and traveller caravan count, Welsh Government</w:t>
      </w:r>
    </w:p>
    <w:p w14:paraId="3658B6EA" w14:textId="5107FC49" w:rsidR="008D3574" w:rsidRDefault="008D3574" w:rsidP="00DC54F7">
      <w:pPr>
        <w:spacing w:after="0" w:line="240" w:lineRule="auto"/>
        <w:jc w:val="both"/>
        <w:rPr>
          <w:rFonts w:ascii="Arial" w:hAnsi="Arial" w:cs="Arial"/>
          <w:sz w:val="24"/>
          <w:szCs w:val="24"/>
        </w:rPr>
      </w:pPr>
      <w:r w:rsidRPr="002C681B">
        <w:rPr>
          <w:rFonts w:ascii="Arial" w:hAnsi="Arial" w:cs="Arial"/>
          <w:sz w:val="24"/>
          <w:szCs w:val="24"/>
        </w:rPr>
        <w:t>Cardiff had the highest number of pitches provided by local authorities with 80 residential pitches. The Vale of Glamorgan had no pitches. Of the 80 residential pitches available in Cardiff, 78 (98%) were occupied. This is slightly less than 2019, where 100% were occupied.</w:t>
      </w:r>
    </w:p>
    <w:p w14:paraId="3A666EF0" w14:textId="06BAAEAE" w:rsidR="00BA7289" w:rsidRDefault="00BA7289" w:rsidP="00DC54F7">
      <w:pPr>
        <w:spacing w:after="0" w:line="240" w:lineRule="auto"/>
        <w:jc w:val="both"/>
        <w:rPr>
          <w:rFonts w:ascii="Arial" w:hAnsi="Arial" w:cs="Arial"/>
          <w:sz w:val="24"/>
          <w:szCs w:val="24"/>
        </w:rPr>
      </w:pPr>
    </w:p>
    <w:p w14:paraId="42CBF33F" w14:textId="253F8DE8" w:rsidR="00BA7289" w:rsidRDefault="00BA7289" w:rsidP="00DC54F7">
      <w:pPr>
        <w:spacing w:after="0" w:line="240" w:lineRule="auto"/>
        <w:jc w:val="both"/>
        <w:rPr>
          <w:rFonts w:ascii="Arial" w:hAnsi="Arial" w:cs="Arial"/>
          <w:sz w:val="24"/>
          <w:szCs w:val="24"/>
        </w:rPr>
      </w:pPr>
    </w:p>
    <w:p w14:paraId="1233C4D7" w14:textId="6713317D" w:rsidR="00BA7289" w:rsidRDefault="00BA7289" w:rsidP="00DC54F7">
      <w:pPr>
        <w:spacing w:after="0" w:line="240" w:lineRule="auto"/>
        <w:jc w:val="both"/>
        <w:rPr>
          <w:rFonts w:ascii="Arial" w:hAnsi="Arial" w:cs="Arial"/>
          <w:sz w:val="24"/>
          <w:szCs w:val="24"/>
        </w:rPr>
      </w:pPr>
    </w:p>
    <w:p w14:paraId="665E69E4" w14:textId="4F1135BB" w:rsidR="00BA7289" w:rsidRDefault="00BA7289" w:rsidP="00DC54F7">
      <w:pPr>
        <w:spacing w:after="0" w:line="240" w:lineRule="auto"/>
        <w:jc w:val="both"/>
        <w:rPr>
          <w:rFonts w:ascii="Arial" w:hAnsi="Arial" w:cs="Arial"/>
          <w:sz w:val="24"/>
          <w:szCs w:val="24"/>
        </w:rPr>
      </w:pPr>
    </w:p>
    <w:p w14:paraId="624721F8" w14:textId="5DEF1B88" w:rsidR="00BA7289" w:rsidRDefault="00BA7289" w:rsidP="00DC54F7">
      <w:pPr>
        <w:spacing w:after="0" w:line="240" w:lineRule="auto"/>
        <w:jc w:val="both"/>
        <w:rPr>
          <w:rFonts w:ascii="Arial" w:hAnsi="Arial" w:cs="Arial"/>
          <w:sz w:val="24"/>
          <w:szCs w:val="24"/>
        </w:rPr>
      </w:pPr>
    </w:p>
    <w:p w14:paraId="39001496" w14:textId="532292B6" w:rsidR="00BA7289" w:rsidRDefault="00BA7289" w:rsidP="00DC54F7">
      <w:pPr>
        <w:spacing w:after="0" w:line="240" w:lineRule="auto"/>
        <w:jc w:val="both"/>
        <w:rPr>
          <w:rFonts w:ascii="Arial" w:hAnsi="Arial" w:cs="Arial"/>
          <w:sz w:val="24"/>
          <w:szCs w:val="24"/>
        </w:rPr>
      </w:pPr>
    </w:p>
    <w:p w14:paraId="7063303F" w14:textId="283EE2D0" w:rsidR="00BA7289" w:rsidRDefault="00BA7289" w:rsidP="00DC54F7">
      <w:pPr>
        <w:jc w:val="both"/>
        <w:rPr>
          <w:rFonts w:ascii="Arial" w:hAnsi="Arial" w:cs="Arial"/>
          <w:sz w:val="24"/>
          <w:szCs w:val="24"/>
        </w:rPr>
      </w:pPr>
      <w:r>
        <w:rPr>
          <w:rFonts w:ascii="Arial" w:hAnsi="Arial" w:cs="Arial"/>
          <w:sz w:val="24"/>
          <w:szCs w:val="24"/>
        </w:rPr>
        <w:br w:type="page"/>
      </w:r>
    </w:p>
    <w:p w14:paraId="6FD7110E" w14:textId="7E3A932D" w:rsidR="009B7C93" w:rsidRPr="00BA7289" w:rsidRDefault="00F746F1" w:rsidP="00DC54F7">
      <w:pPr>
        <w:spacing w:after="0" w:line="240" w:lineRule="auto"/>
        <w:jc w:val="both"/>
        <w:rPr>
          <w:rFonts w:ascii="Arial" w:eastAsia="Times New Roman" w:hAnsi="Arial" w:cs="Arial"/>
          <w:b/>
          <w:bCs/>
          <w:color w:val="000000"/>
          <w:sz w:val="24"/>
          <w:szCs w:val="24"/>
          <w:lang w:eastAsia="en-GB"/>
        </w:rPr>
      </w:pPr>
      <w:r w:rsidRPr="00BA7289">
        <w:rPr>
          <w:rFonts w:ascii="Arial" w:hAnsi="Arial" w:cs="Arial"/>
          <w:b/>
          <w:bCs/>
          <w:sz w:val="24"/>
          <w:szCs w:val="24"/>
        </w:rPr>
        <w:lastRenderedPageBreak/>
        <w:t xml:space="preserve">Table </w:t>
      </w:r>
      <w:r w:rsidR="003A02E4" w:rsidRPr="00BA7289">
        <w:rPr>
          <w:rFonts w:ascii="Arial" w:hAnsi="Arial" w:cs="Arial"/>
          <w:b/>
          <w:bCs/>
          <w:sz w:val="24"/>
          <w:szCs w:val="24"/>
        </w:rPr>
        <w:t>2.16</w:t>
      </w:r>
      <w:r w:rsidRPr="00BA7289">
        <w:rPr>
          <w:rFonts w:ascii="Arial" w:hAnsi="Arial" w:cs="Arial"/>
          <w:b/>
          <w:bCs/>
          <w:sz w:val="24"/>
          <w:szCs w:val="24"/>
        </w:rPr>
        <w:t xml:space="preserve">: </w:t>
      </w:r>
      <w:r w:rsidRPr="00BA7289">
        <w:rPr>
          <w:rFonts w:ascii="Arial" w:eastAsia="Times New Roman" w:hAnsi="Arial" w:cs="Arial"/>
          <w:b/>
          <w:bCs/>
          <w:color w:val="000000"/>
          <w:sz w:val="24"/>
          <w:szCs w:val="24"/>
          <w:lang w:eastAsia="en-GB"/>
        </w:rPr>
        <w:t xml:space="preserve">Number of pitches by residential status, occupied status and </w:t>
      </w:r>
      <w:r w:rsidR="00567F4B" w:rsidRPr="00BA7289">
        <w:rPr>
          <w:rFonts w:ascii="Arial" w:eastAsia="Times New Roman" w:hAnsi="Arial" w:cs="Arial"/>
          <w:b/>
          <w:bCs/>
          <w:color w:val="000000"/>
          <w:sz w:val="24"/>
          <w:szCs w:val="24"/>
          <w:lang w:eastAsia="en-GB"/>
        </w:rPr>
        <w:t>local</w:t>
      </w:r>
      <w:r w:rsidRPr="00BA7289">
        <w:rPr>
          <w:rFonts w:ascii="Arial" w:eastAsia="Times New Roman" w:hAnsi="Arial" w:cs="Arial"/>
          <w:b/>
          <w:bCs/>
          <w:color w:val="000000"/>
          <w:sz w:val="24"/>
          <w:szCs w:val="24"/>
          <w:lang w:eastAsia="en-GB"/>
        </w:rPr>
        <w:t xml:space="preserve"> authority, at January 2019 and January 2020</w:t>
      </w:r>
    </w:p>
    <w:tbl>
      <w:tblPr>
        <w:tblW w:w="9063" w:type="dxa"/>
        <w:tblLayout w:type="fixed"/>
        <w:tblLook w:val="04A0" w:firstRow="1" w:lastRow="0" w:firstColumn="1" w:lastColumn="0" w:noHBand="0" w:noVBand="1"/>
      </w:tblPr>
      <w:tblGrid>
        <w:gridCol w:w="1997"/>
        <w:gridCol w:w="1176"/>
        <w:gridCol w:w="1177"/>
        <w:gridCol w:w="1180"/>
        <w:gridCol w:w="1176"/>
        <w:gridCol w:w="1177"/>
        <w:gridCol w:w="1180"/>
      </w:tblGrid>
      <w:tr w:rsidR="009B7C93" w:rsidRPr="009B7C93" w14:paraId="20BB0ED6" w14:textId="77777777" w:rsidTr="00387321">
        <w:trPr>
          <w:trHeight w:val="272"/>
        </w:trPr>
        <w:tc>
          <w:tcPr>
            <w:tcW w:w="1997" w:type="dxa"/>
            <w:tcBorders>
              <w:top w:val="single" w:sz="4" w:space="0" w:color="auto"/>
              <w:left w:val="single" w:sz="4" w:space="0" w:color="auto"/>
              <w:bottom w:val="nil"/>
              <w:right w:val="nil"/>
            </w:tcBorders>
            <w:shd w:val="clear" w:color="000000" w:fill="8497B0"/>
            <w:noWrap/>
            <w:vAlign w:val="bottom"/>
            <w:hideMark/>
          </w:tcPr>
          <w:p w14:paraId="1D347322" w14:textId="77777777" w:rsidR="009B7C93" w:rsidRPr="009B7C93" w:rsidRDefault="009B7C93" w:rsidP="00DC54F7">
            <w:pPr>
              <w:spacing w:after="0" w:line="240" w:lineRule="auto"/>
              <w:jc w:val="both"/>
              <w:rPr>
                <w:rFonts w:ascii="Calibri" w:eastAsia="Times New Roman" w:hAnsi="Calibri" w:cs="Calibri"/>
                <w:color w:val="000000"/>
                <w:lang w:eastAsia="en-GB"/>
              </w:rPr>
            </w:pPr>
            <w:r w:rsidRPr="009B7C93">
              <w:rPr>
                <w:rFonts w:ascii="Calibri" w:eastAsia="Times New Roman" w:hAnsi="Calibri" w:cs="Calibri"/>
                <w:color w:val="000000"/>
                <w:lang w:eastAsia="en-GB"/>
              </w:rPr>
              <w:t> </w:t>
            </w:r>
          </w:p>
        </w:tc>
        <w:tc>
          <w:tcPr>
            <w:tcW w:w="3533" w:type="dxa"/>
            <w:gridSpan w:val="3"/>
            <w:tcBorders>
              <w:top w:val="single" w:sz="4" w:space="0" w:color="auto"/>
              <w:left w:val="nil"/>
              <w:bottom w:val="nil"/>
              <w:right w:val="nil"/>
            </w:tcBorders>
            <w:shd w:val="clear" w:color="000000" w:fill="8497B0"/>
            <w:noWrap/>
            <w:vAlign w:val="bottom"/>
            <w:hideMark/>
          </w:tcPr>
          <w:p w14:paraId="00319A06" w14:textId="77777777" w:rsidR="009B7C93" w:rsidRPr="009B7C93" w:rsidRDefault="009B7C93" w:rsidP="00DC54F7">
            <w:pPr>
              <w:spacing w:after="0" w:line="240" w:lineRule="auto"/>
              <w:jc w:val="both"/>
              <w:rPr>
                <w:rFonts w:ascii="Calibri" w:eastAsia="Times New Roman" w:hAnsi="Calibri" w:cs="Calibri"/>
                <w:b/>
                <w:bCs/>
                <w:color w:val="FFFFFF"/>
                <w:lang w:eastAsia="en-GB"/>
              </w:rPr>
            </w:pPr>
            <w:r w:rsidRPr="009B7C93">
              <w:rPr>
                <w:rFonts w:ascii="Calibri" w:eastAsia="Times New Roman" w:hAnsi="Calibri" w:cs="Calibri"/>
                <w:b/>
                <w:bCs/>
                <w:color w:val="FFFFFF"/>
                <w:lang w:eastAsia="en-GB"/>
              </w:rPr>
              <w:t>January 2019</w:t>
            </w:r>
          </w:p>
        </w:tc>
        <w:tc>
          <w:tcPr>
            <w:tcW w:w="3533" w:type="dxa"/>
            <w:gridSpan w:val="3"/>
            <w:tcBorders>
              <w:top w:val="single" w:sz="4" w:space="0" w:color="auto"/>
              <w:left w:val="nil"/>
              <w:bottom w:val="nil"/>
              <w:right w:val="single" w:sz="4" w:space="0" w:color="auto"/>
            </w:tcBorders>
            <w:shd w:val="clear" w:color="000000" w:fill="8497B0"/>
            <w:noWrap/>
            <w:vAlign w:val="bottom"/>
            <w:hideMark/>
          </w:tcPr>
          <w:p w14:paraId="09EE9447" w14:textId="77777777" w:rsidR="009B7C93" w:rsidRPr="009B7C93" w:rsidRDefault="009B7C93" w:rsidP="00DC54F7">
            <w:pPr>
              <w:spacing w:after="0" w:line="240" w:lineRule="auto"/>
              <w:jc w:val="both"/>
              <w:rPr>
                <w:rFonts w:ascii="Calibri" w:eastAsia="Times New Roman" w:hAnsi="Calibri" w:cs="Calibri"/>
                <w:b/>
                <w:bCs/>
                <w:color w:val="FFFFFF"/>
                <w:lang w:eastAsia="en-GB"/>
              </w:rPr>
            </w:pPr>
            <w:r w:rsidRPr="009B7C93">
              <w:rPr>
                <w:rFonts w:ascii="Calibri" w:eastAsia="Times New Roman" w:hAnsi="Calibri" w:cs="Calibri"/>
                <w:b/>
                <w:bCs/>
                <w:color w:val="FFFFFF"/>
                <w:lang w:eastAsia="en-GB"/>
              </w:rPr>
              <w:t>January 2020</w:t>
            </w:r>
          </w:p>
        </w:tc>
      </w:tr>
      <w:tr w:rsidR="009B7C93" w:rsidRPr="009B7C93" w14:paraId="6A085290" w14:textId="77777777" w:rsidTr="00387321">
        <w:trPr>
          <w:trHeight w:val="545"/>
        </w:trPr>
        <w:tc>
          <w:tcPr>
            <w:tcW w:w="1997" w:type="dxa"/>
            <w:tcBorders>
              <w:left w:val="single" w:sz="4" w:space="0" w:color="auto"/>
              <w:right w:val="nil"/>
            </w:tcBorders>
            <w:shd w:val="clear" w:color="000000" w:fill="8497B0"/>
            <w:noWrap/>
            <w:vAlign w:val="bottom"/>
            <w:hideMark/>
          </w:tcPr>
          <w:p w14:paraId="4334DB95" w14:textId="77777777" w:rsidR="009B7C93" w:rsidRPr="009B7C93" w:rsidRDefault="009B7C93" w:rsidP="00DC54F7">
            <w:pPr>
              <w:spacing w:after="0" w:line="240" w:lineRule="auto"/>
              <w:jc w:val="both"/>
              <w:rPr>
                <w:rFonts w:ascii="Calibri" w:eastAsia="Times New Roman" w:hAnsi="Calibri" w:cs="Calibri"/>
                <w:b/>
                <w:bCs/>
                <w:color w:val="FFFFFF"/>
                <w:lang w:eastAsia="en-GB"/>
              </w:rPr>
            </w:pPr>
            <w:r w:rsidRPr="009B7C93">
              <w:rPr>
                <w:rFonts w:ascii="Calibri" w:eastAsia="Times New Roman" w:hAnsi="Calibri" w:cs="Calibri"/>
                <w:b/>
                <w:bCs/>
                <w:color w:val="FFFFFF"/>
                <w:lang w:eastAsia="en-GB"/>
              </w:rPr>
              <w:t>Area</w:t>
            </w:r>
          </w:p>
        </w:tc>
        <w:tc>
          <w:tcPr>
            <w:tcW w:w="1176" w:type="dxa"/>
            <w:tcBorders>
              <w:left w:val="nil"/>
              <w:right w:val="nil"/>
            </w:tcBorders>
            <w:shd w:val="clear" w:color="000000" w:fill="8497B0"/>
            <w:vAlign w:val="bottom"/>
            <w:hideMark/>
          </w:tcPr>
          <w:p w14:paraId="5DD8C865" w14:textId="77777777" w:rsidR="009B7C93" w:rsidRPr="009B7C93" w:rsidRDefault="009B7C93" w:rsidP="00DC54F7">
            <w:pPr>
              <w:spacing w:after="0" w:line="240" w:lineRule="auto"/>
              <w:jc w:val="both"/>
              <w:rPr>
                <w:rFonts w:ascii="Calibri" w:eastAsia="Times New Roman" w:hAnsi="Calibri" w:cs="Calibri"/>
                <w:b/>
                <w:bCs/>
                <w:color w:val="FFFFFF"/>
                <w:lang w:eastAsia="en-GB"/>
              </w:rPr>
            </w:pPr>
            <w:r w:rsidRPr="009B7C93">
              <w:rPr>
                <w:rFonts w:ascii="Calibri" w:eastAsia="Times New Roman" w:hAnsi="Calibri" w:cs="Calibri"/>
                <w:b/>
                <w:bCs/>
                <w:color w:val="FFFFFF"/>
                <w:lang w:eastAsia="en-GB"/>
              </w:rPr>
              <w:t xml:space="preserve">Residential occupied       </w:t>
            </w:r>
          </w:p>
        </w:tc>
        <w:tc>
          <w:tcPr>
            <w:tcW w:w="1177" w:type="dxa"/>
            <w:tcBorders>
              <w:left w:val="nil"/>
              <w:right w:val="nil"/>
            </w:tcBorders>
            <w:shd w:val="clear" w:color="000000" w:fill="8497B0"/>
            <w:vAlign w:val="bottom"/>
            <w:hideMark/>
          </w:tcPr>
          <w:p w14:paraId="608CA401" w14:textId="77777777" w:rsidR="009B7C93" w:rsidRPr="009B7C93" w:rsidRDefault="009B7C93" w:rsidP="00DC54F7">
            <w:pPr>
              <w:spacing w:after="0" w:line="240" w:lineRule="auto"/>
              <w:jc w:val="both"/>
              <w:rPr>
                <w:rFonts w:ascii="Calibri" w:eastAsia="Times New Roman" w:hAnsi="Calibri" w:cs="Calibri"/>
                <w:b/>
                <w:bCs/>
                <w:color w:val="FFFFFF"/>
                <w:lang w:eastAsia="en-GB"/>
              </w:rPr>
            </w:pPr>
            <w:r w:rsidRPr="009B7C93">
              <w:rPr>
                <w:rFonts w:ascii="Calibri" w:eastAsia="Times New Roman" w:hAnsi="Calibri" w:cs="Calibri"/>
                <w:b/>
                <w:bCs/>
                <w:color w:val="FFFFFF"/>
                <w:lang w:eastAsia="en-GB"/>
              </w:rPr>
              <w:t>Residential vacant</w:t>
            </w:r>
          </w:p>
        </w:tc>
        <w:tc>
          <w:tcPr>
            <w:tcW w:w="1179" w:type="dxa"/>
            <w:tcBorders>
              <w:left w:val="nil"/>
              <w:right w:val="nil"/>
            </w:tcBorders>
            <w:shd w:val="clear" w:color="000000" w:fill="8497B0"/>
            <w:vAlign w:val="bottom"/>
            <w:hideMark/>
          </w:tcPr>
          <w:p w14:paraId="0E7CA7FD" w14:textId="77777777" w:rsidR="009B7C93" w:rsidRPr="009B7C93" w:rsidRDefault="009B7C93" w:rsidP="00DC54F7">
            <w:pPr>
              <w:spacing w:after="0" w:line="240" w:lineRule="auto"/>
              <w:jc w:val="both"/>
              <w:rPr>
                <w:rFonts w:ascii="Calibri" w:eastAsia="Times New Roman" w:hAnsi="Calibri" w:cs="Calibri"/>
                <w:b/>
                <w:bCs/>
                <w:color w:val="FFFFFF"/>
                <w:lang w:eastAsia="en-GB"/>
              </w:rPr>
            </w:pPr>
            <w:r w:rsidRPr="009B7C93">
              <w:rPr>
                <w:rFonts w:ascii="Calibri" w:eastAsia="Times New Roman" w:hAnsi="Calibri" w:cs="Calibri"/>
                <w:b/>
                <w:bCs/>
                <w:color w:val="FFFFFF"/>
                <w:lang w:eastAsia="en-GB"/>
              </w:rPr>
              <w:t>Total of all pitches</w:t>
            </w:r>
          </w:p>
        </w:tc>
        <w:tc>
          <w:tcPr>
            <w:tcW w:w="1176" w:type="dxa"/>
            <w:tcBorders>
              <w:left w:val="nil"/>
              <w:right w:val="nil"/>
            </w:tcBorders>
            <w:shd w:val="clear" w:color="000000" w:fill="8497B0"/>
            <w:vAlign w:val="bottom"/>
            <w:hideMark/>
          </w:tcPr>
          <w:p w14:paraId="5F453E6B" w14:textId="77777777" w:rsidR="009B7C93" w:rsidRPr="009B7C93" w:rsidRDefault="009B7C93" w:rsidP="00DC54F7">
            <w:pPr>
              <w:spacing w:after="0" w:line="240" w:lineRule="auto"/>
              <w:jc w:val="both"/>
              <w:rPr>
                <w:rFonts w:ascii="Calibri" w:eastAsia="Times New Roman" w:hAnsi="Calibri" w:cs="Calibri"/>
                <w:b/>
                <w:bCs/>
                <w:color w:val="FFFFFF"/>
                <w:lang w:eastAsia="en-GB"/>
              </w:rPr>
            </w:pPr>
            <w:r w:rsidRPr="009B7C93">
              <w:rPr>
                <w:rFonts w:ascii="Calibri" w:eastAsia="Times New Roman" w:hAnsi="Calibri" w:cs="Calibri"/>
                <w:b/>
                <w:bCs/>
                <w:color w:val="FFFFFF"/>
                <w:lang w:eastAsia="en-GB"/>
              </w:rPr>
              <w:t>Residential occupied</w:t>
            </w:r>
          </w:p>
        </w:tc>
        <w:tc>
          <w:tcPr>
            <w:tcW w:w="1177" w:type="dxa"/>
            <w:tcBorders>
              <w:left w:val="nil"/>
              <w:right w:val="nil"/>
            </w:tcBorders>
            <w:shd w:val="clear" w:color="000000" w:fill="8497B0"/>
            <w:vAlign w:val="bottom"/>
            <w:hideMark/>
          </w:tcPr>
          <w:p w14:paraId="7E7880D5" w14:textId="77777777" w:rsidR="009B7C93" w:rsidRPr="009B7C93" w:rsidRDefault="009B7C93" w:rsidP="00DC54F7">
            <w:pPr>
              <w:spacing w:after="0" w:line="240" w:lineRule="auto"/>
              <w:jc w:val="both"/>
              <w:rPr>
                <w:rFonts w:ascii="Calibri" w:eastAsia="Times New Roman" w:hAnsi="Calibri" w:cs="Calibri"/>
                <w:b/>
                <w:bCs/>
                <w:color w:val="FFFFFF"/>
                <w:lang w:eastAsia="en-GB"/>
              </w:rPr>
            </w:pPr>
            <w:r w:rsidRPr="009B7C93">
              <w:rPr>
                <w:rFonts w:ascii="Calibri" w:eastAsia="Times New Roman" w:hAnsi="Calibri" w:cs="Calibri"/>
                <w:b/>
                <w:bCs/>
                <w:color w:val="FFFFFF"/>
                <w:lang w:eastAsia="en-GB"/>
              </w:rPr>
              <w:t xml:space="preserve">Residential vacant   </w:t>
            </w:r>
          </w:p>
        </w:tc>
        <w:tc>
          <w:tcPr>
            <w:tcW w:w="1179" w:type="dxa"/>
            <w:tcBorders>
              <w:left w:val="nil"/>
              <w:right w:val="single" w:sz="4" w:space="0" w:color="auto"/>
            </w:tcBorders>
            <w:shd w:val="clear" w:color="000000" w:fill="8497B0"/>
            <w:vAlign w:val="bottom"/>
            <w:hideMark/>
          </w:tcPr>
          <w:p w14:paraId="6FF37625" w14:textId="77777777" w:rsidR="009B7C93" w:rsidRPr="009B7C93" w:rsidRDefault="009B7C93" w:rsidP="00DC54F7">
            <w:pPr>
              <w:spacing w:after="0" w:line="240" w:lineRule="auto"/>
              <w:jc w:val="both"/>
              <w:rPr>
                <w:rFonts w:ascii="Calibri" w:eastAsia="Times New Roman" w:hAnsi="Calibri" w:cs="Calibri"/>
                <w:b/>
                <w:bCs/>
                <w:color w:val="FFFFFF"/>
                <w:lang w:eastAsia="en-GB"/>
              </w:rPr>
            </w:pPr>
            <w:r w:rsidRPr="009B7C93">
              <w:rPr>
                <w:rFonts w:ascii="Calibri" w:eastAsia="Times New Roman" w:hAnsi="Calibri" w:cs="Calibri"/>
                <w:b/>
                <w:bCs/>
                <w:color w:val="FFFFFF"/>
                <w:lang w:eastAsia="en-GB"/>
              </w:rPr>
              <w:t xml:space="preserve">Total of all pitches  </w:t>
            </w:r>
          </w:p>
        </w:tc>
      </w:tr>
      <w:tr w:rsidR="009B7C93" w:rsidRPr="009B7C93" w14:paraId="6720A075" w14:textId="77777777" w:rsidTr="00387321">
        <w:trPr>
          <w:trHeight w:val="272"/>
        </w:trPr>
        <w:tc>
          <w:tcPr>
            <w:tcW w:w="1997" w:type="dxa"/>
            <w:tcBorders>
              <w:left w:val="single" w:sz="4" w:space="0" w:color="auto"/>
              <w:bottom w:val="single" w:sz="4" w:space="0" w:color="C9C9C9"/>
              <w:right w:val="nil"/>
            </w:tcBorders>
            <w:shd w:val="clear" w:color="EDEDED" w:fill="EDEDED"/>
            <w:noWrap/>
            <w:vAlign w:val="bottom"/>
            <w:hideMark/>
          </w:tcPr>
          <w:p w14:paraId="5C545885" w14:textId="77777777" w:rsidR="009B7C93" w:rsidRPr="009B7C93" w:rsidRDefault="009B7C93" w:rsidP="00DC54F7">
            <w:pPr>
              <w:spacing w:after="0" w:line="240" w:lineRule="auto"/>
              <w:jc w:val="both"/>
              <w:rPr>
                <w:rFonts w:ascii="Calibri" w:eastAsia="Times New Roman" w:hAnsi="Calibri" w:cs="Calibri"/>
                <w:color w:val="000000"/>
                <w:lang w:eastAsia="en-GB"/>
              </w:rPr>
            </w:pPr>
            <w:r w:rsidRPr="009B7C93">
              <w:rPr>
                <w:rFonts w:ascii="Calibri" w:eastAsia="Times New Roman" w:hAnsi="Calibri" w:cs="Calibri"/>
                <w:color w:val="000000"/>
                <w:lang w:eastAsia="en-GB"/>
              </w:rPr>
              <w:t xml:space="preserve">Cardiff </w:t>
            </w:r>
          </w:p>
        </w:tc>
        <w:tc>
          <w:tcPr>
            <w:tcW w:w="1176" w:type="dxa"/>
            <w:tcBorders>
              <w:left w:val="nil"/>
              <w:bottom w:val="single" w:sz="4" w:space="0" w:color="C9C9C9"/>
              <w:right w:val="nil"/>
            </w:tcBorders>
            <w:shd w:val="clear" w:color="EDEDED" w:fill="EDEDED"/>
            <w:noWrap/>
            <w:vAlign w:val="bottom"/>
            <w:hideMark/>
          </w:tcPr>
          <w:p w14:paraId="2AD4C9F9" w14:textId="77777777" w:rsidR="009B7C93" w:rsidRPr="009B7C93" w:rsidRDefault="009B7C93" w:rsidP="00DC54F7">
            <w:pPr>
              <w:spacing w:after="0" w:line="240" w:lineRule="auto"/>
              <w:jc w:val="both"/>
              <w:rPr>
                <w:rFonts w:ascii="Calibri" w:eastAsia="Times New Roman" w:hAnsi="Calibri" w:cs="Calibri"/>
                <w:color w:val="000000"/>
                <w:lang w:eastAsia="en-GB"/>
              </w:rPr>
            </w:pPr>
            <w:r w:rsidRPr="009B7C93">
              <w:rPr>
                <w:rFonts w:ascii="Calibri" w:eastAsia="Times New Roman" w:hAnsi="Calibri" w:cs="Calibri"/>
                <w:color w:val="000000"/>
                <w:lang w:eastAsia="en-GB"/>
              </w:rPr>
              <w:t>80</w:t>
            </w:r>
          </w:p>
        </w:tc>
        <w:tc>
          <w:tcPr>
            <w:tcW w:w="1177" w:type="dxa"/>
            <w:tcBorders>
              <w:left w:val="nil"/>
              <w:bottom w:val="single" w:sz="4" w:space="0" w:color="C9C9C9"/>
              <w:right w:val="nil"/>
            </w:tcBorders>
            <w:shd w:val="clear" w:color="EDEDED" w:fill="EDEDED"/>
            <w:noWrap/>
            <w:vAlign w:val="bottom"/>
            <w:hideMark/>
          </w:tcPr>
          <w:p w14:paraId="40551F43" w14:textId="77777777" w:rsidR="009B7C93" w:rsidRPr="009B7C93" w:rsidRDefault="009B7C93" w:rsidP="00DC54F7">
            <w:pPr>
              <w:spacing w:after="0" w:line="240" w:lineRule="auto"/>
              <w:jc w:val="both"/>
              <w:rPr>
                <w:rFonts w:ascii="Calibri" w:eastAsia="Times New Roman" w:hAnsi="Calibri" w:cs="Calibri"/>
                <w:color w:val="000000"/>
                <w:lang w:eastAsia="en-GB"/>
              </w:rPr>
            </w:pPr>
            <w:r w:rsidRPr="009B7C93">
              <w:rPr>
                <w:rFonts w:ascii="Calibri" w:eastAsia="Times New Roman" w:hAnsi="Calibri" w:cs="Calibri"/>
                <w:color w:val="000000"/>
                <w:lang w:eastAsia="en-GB"/>
              </w:rPr>
              <w:t>0</w:t>
            </w:r>
          </w:p>
        </w:tc>
        <w:tc>
          <w:tcPr>
            <w:tcW w:w="1179" w:type="dxa"/>
            <w:tcBorders>
              <w:left w:val="nil"/>
              <w:bottom w:val="single" w:sz="4" w:space="0" w:color="C9C9C9"/>
              <w:right w:val="nil"/>
            </w:tcBorders>
            <w:shd w:val="clear" w:color="EDEDED" w:fill="EDEDED"/>
            <w:noWrap/>
            <w:vAlign w:val="bottom"/>
            <w:hideMark/>
          </w:tcPr>
          <w:p w14:paraId="1C9D23F6" w14:textId="77777777" w:rsidR="009B7C93" w:rsidRPr="009B7C93" w:rsidRDefault="009B7C93" w:rsidP="00DC54F7">
            <w:pPr>
              <w:spacing w:after="0" w:line="240" w:lineRule="auto"/>
              <w:jc w:val="both"/>
              <w:rPr>
                <w:rFonts w:ascii="Calibri" w:eastAsia="Times New Roman" w:hAnsi="Calibri" w:cs="Calibri"/>
                <w:color w:val="000000"/>
                <w:lang w:eastAsia="en-GB"/>
              </w:rPr>
            </w:pPr>
            <w:r w:rsidRPr="009B7C93">
              <w:rPr>
                <w:rFonts w:ascii="Calibri" w:eastAsia="Times New Roman" w:hAnsi="Calibri" w:cs="Calibri"/>
                <w:color w:val="000000"/>
                <w:lang w:eastAsia="en-GB"/>
              </w:rPr>
              <w:t>80</w:t>
            </w:r>
          </w:p>
        </w:tc>
        <w:tc>
          <w:tcPr>
            <w:tcW w:w="1176" w:type="dxa"/>
            <w:tcBorders>
              <w:left w:val="nil"/>
              <w:bottom w:val="single" w:sz="4" w:space="0" w:color="C9C9C9"/>
              <w:right w:val="nil"/>
            </w:tcBorders>
            <w:shd w:val="clear" w:color="EDEDED" w:fill="EDEDED"/>
            <w:noWrap/>
            <w:vAlign w:val="bottom"/>
            <w:hideMark/>
          </w:tcPr>
          <w:p w14:paraId="537946F1" w14:textId="77777777" w:rsidR="009B7C93" w:rsidRPr="009B7C93" w:rsidRDefault="009B7C93" w:rsidP="00DC54F7">
            <w:pPr>
              <w:spacing w:after="0" w:line="240" w:lineRule="auto"/>
              <w:jc w:val="both"/>
              <w:rPr>
                <w:rFonts w:ascii="Calibri" w:eastAsia="Times New Roman" w:hAnsi="Calibri" w:cs="Calibri"/>
                <w:color w:val="000000"/>
                <w:lang w:eastAsia="en-GB"/>
              </w:rPr>
            </w:pPr>
            <w:r w:rsidRPr="009B7C93">
              <w:rPr>
                <w:rFonts w:ascii="Calibri" w:eastAsia="Times New Roman" w:hAnsi="Calibri" w:cs="Calibri"/>
                <w:color w:val="000000"/>
                <w:lang w:eastAsia="en-GB"/>
              </w:rPr>
              <w:t>78</w:t>
            </w:r>
          </w:p>
        </w:tc>
        <w:tc>
          <w:tcPr>
            <w:tcW w:w="1177" w:type="dxa"/>
            <w:tcBorders>
              <w:left w:val="nil"/>
              <w:bottom w:val="single" w:sz="4" w:space="0" w:color="C9C9C9"/>
              <w:right w:val="nil"/>
            </w:tcBorders>
            <w:shd w:val="clear" w:color="EDEDED" w:fill="EDEDED"/>
            <w:noWrap/>
            <w:vAlign w:val="bottom"/>
            <w:hideMark/>
          </w:tcPr>
          <w:p w14:paraId="6EA37CB1" w14:textId="77777777" w:rsidR="009B7C93" w:rsidRPr="009B7C93" w:rsidRDefault="009B7C93" w:rsidP="00DC54F7">
            <w:pPr>
              <w:spacing w:after="0" w:line="240" w:lineRule="auto"/>
              <w:jc w:val="both"/>
              <w:rPr>
                <w:rFonts w:ascii="Calibri" w:eastAsia="Times New Roman" w:hAnsi="Calibri" w:cs="Calibri"/>
                <w:color w:val="000000"/>
                <w:lang w:eastAsia="en-GB"/>
              </w:rPr>
            </w:pPr>
            <w:r w:rsidRPr="009B7C93">
              <w:rPr>
                <w:rFonts w:ascii="Calibri" w:eastAsia="Times New Roman" w:hAnsi="Calibri" w:cs="Calibri"/>
                <w:color w:val="000000"/>
                <w:lang w:eastAsia="en-GB"/>
              </w:rPr>
              <w:t>2</w:t>
            </w:r>
          </w:p>
        </w:tc>
        <w:tc>
          <w:tcPr>
            <w:tcW w:w="1179" w:type="dxa"/>
            <w:tcBorders>
              <w:left w:val="nil"/>
              <w:bottom w:val="single" w:sz="4" w:space="0" w:color="C9C9C9"/>
              <w:right w:val="single" w:sz="4" w:space="0" w:color="auto"/>
            </w:tcBorders>
            <w:shd w:val="clear" w:color="EDEDED" w:fill="EDEDED"/>
            <w:noWrap/>
            <w:vAlign w:val="bottom"/>
            <w:hideMark/>
          </w:tcPr>
          <w:p w14:paraId="10F376C8" w14:textId="77777777" w:rsidR="009B7C93" w:rsidRPr="009B7C93" w:rsidRDefault="009B7C93" w:rsidP="00DC54F7">
            <w:pPr>
              <w:spacing w:after="0" w:line="240" w:lineRule="auto"/>
              <w:jc w:val="both"/>
              <w:rPr>
                <w:rFonts w:ascii="Calibri" w:eastAsia="Times New Roman" w:hAnsi="Calibri" w:cs="Calibri"/>
                <w:color w:val="000000"/>
                <w:lang w:eastAsia="en-GB"/>
              </w:rPr>
            </w:pPr>
            <w:r w:rsidRPr="009B7C93">
              <w:rPr>
                <w:rFonts w:ascii="Calibri" w:eastAsia="Times New Roman" w:hAnsi="Calibri" w:cs="Calibri"/>
                <w:color w:val="000000"/>
                <w:lang w:eastAsia="en-GB"/>
              </w:rPr>
              <w:t>80</w:t>
            </w:r>
          </w:p>
        </w:tc>
      </w:tr>
      <w:tr w:rsidR="009B7C93" w:rsidRPr="00BA7289" w14:paraId="4B45824C" w14:textId="77777777" w:rsidTr="00387321">
        <w:trPr>
          <w:trHeight w:val="272"/>
        </w:trPr>
        <w:tc>
          <w:tcPr>
            <w:tcW w:w="1997" w:type="dxa"/>
            <w:tcBorders>
              <w:top w:val="single" w:sz="4" w:space="0" w:color="C9C9C9"/>
              <w:left w:val="single" w:sz="4" w:space="0" w:color="auto"/>
              <w:bottom w:val="single" w:sz="4" w:space="0" w:color="auto"/>
              <w:right w:val="nil"/>
            </w:tcBorders>
            <w:shd w:val="clear" w:color="auto" w:fill="auto"/>
            <w:noWrap/>
            <w:vAlign w:val="bottom"/>
            <w:hideMark/>
          </w:tcPr>
          <w:p w14:paraId="69B8A57B" w14:textId="77777777" w:rsidR="009B7C93" w:rsidRPr="00BA7289" w:rsidRDefault="009B7C93" w:rsidP="00DC54F7">
            <w:pPr>
              <w:spacing w:after="0" w:line="240" w:lineRule="auto"/>
              <w:jc w:val="both"/>
              <w:rPr>
                <w:rFonts w:ascii="Calibri" w:eastAsia="Times New Roman" w:hAnsi="Calibri" w:cs="Calibri"/>
                <w:color w:val="000000"/>
                <w:sz w:val="20"/>
                <w:szCs w:val="20"/>
                <w:lang w:eastAsia="en-GB"/>
              </w:rPr>
            </w:pPr>
            <w:r w:rsidRPr="00BA7289">
              <w:rPr>
                <w:rFonts w:ascii="Calibri" w:eastAsia="Times New Roman" w:hAnsi="Calibri" w:cs="Calibri"/>
                <w:color w:val="000000"/>
                <w:sz w:val="20"/>
                <w:szCs w:val="20"/>
                <w:lang w:eastAsia="en-GB"/>
              </w:rPr>
              <w:t xml:space="preserve">Vale of Glamorgan </w:t>
            </w:r>
          </w:p>
        </w:tc>
        <w:tc>
          <w:tcPr>
            <w:tcW w:w="1176" w:type="dxa"/>
            <w:tcBorders>
              <w:top w:val="single" w:sz="4" w:space="0" w:color="C9C9C9"/>
              <w:left w:val="nil"/>
              <w:bottom w:val="single" w:sz="4" w:space="0" w:color="auto"/>
              <w:right w:val="nil"/>
            </w:tcBorders>
            <w:shd w:val="clear" w:color="auto" w:fill="auto"/>
            <w:noWrap/>
            <w:vAlign w:val="bottom"/>
            <w:hideMark/>
          </w:tcPr>
          <w:p w14:paraId="6BB15EFC" w14:textId="77777777" w:rsidR="009B7C93" w:rsidRPr="00BA7289" w:rsidRDefault="009B7C93" w:rsidP="00DC54F7">
            <w:pPr>
              <w:spacing w:after="0" w:line="240" w:lineRule="auto"/>
              <w:jc w:val="both"/>
              <w:rPr>
                <w:rFonts w:ascii="Calibri" w:eastAsia="Times New Roman" w:hAnsi="Calibri" w:cs="Calibri"/>
                <w:color w:val="000000"/>
                <w:sz w:val="20"/>
                <w:szCs w:val="20"/>
                <w:lang w:eastAsia="en-GB"/>
              </w:rPr>
            </w:pPr>
            <w:r w:rsidRPr="00BA7289">
              <w:rPr>
                <w:rFonts w:ascii="Calibri" w:eastAsia="Times New Roman" w:hAnsi="Calibri" w:cs="Calibri"/>
                <w:color w:val="000000"/>
                <w:sz w:val="20"/>
                <w:szCs w:val="20"/>
                <w:lang w:eastAsia="en-GB"/>
              </w:rPr>
              <w:t>0</w:t>
            </w:r>
          </w:p>
        </w:tc>
        <w:tc>
          <w:tcPr>
            <w:tcW w:w="1177" w:type="dxa"/>
            <w:tcBorders>
              <w:top w:val="single" w:sz="4" w:space="0" w:color="C9C9C9"/>
              <w:left w:val="nil"/>
              <w:bottom w:val="single" w:sz="4" w:space="0" w:color="auto"/>
              <w:right w:val="nil"/>
            </w:tcBorders>
            <w:shd w:val="clear" w:color="auto" w:fill="auto"/>
            <w:noWrap/>
            <w:vAlign w:val="bottom"/>
            <w:hideMark/>
          </w:tcPr>
          <w:p w14:paraId="0E95DAB1" w14:textId="77777777" w:rsidR="009B7C93" w:rsidRPr="00BA7289" w:rsidRDefault="009B7C93" w:rsidP="00DC54F7">
            <w:pPr>
              <w:spacing w:after="0" w:line="240" w:lineRule="auto"/>
              <w:jc w:val="both"/>
              <w:rPr>
                <w:rFonts w:ascii="Calibri" w:eastAsia="Times New Roman" w:hAnsi="Calibri" w:cs="Calibri"/>
                <w:color w:val="000000"/>
                <w:sz w:val="20"/>
                <w:szCs w:val="20"/>
                <w:lang w:eastAsia="en-GB"/>
              </w:rPr>
            </w:pPr>
            <w:r w:rsidRPr="00BA7289">
              <w:rPr>
                <w:rFonts w:ascii="Calibri" w:eastAsia="Times New Roman" w:hAnsi="Calibri" w:cs="Calibri"/>
                <w:color w:val="000000"/>
                <w:sz w:val="20"/>
                <w:szCs w:val="20"/>
                <w:lang w:eastAsia="en-GB"/>
              </w:rPr>
              <w:t>0</w:t>
            </w:r>
          </w:p>
        </w:tc>
        <w:tc>
          <w:tcPr>
            <w:tcW w:w="1179" w:type="dxa"/>
            <w:tcBorders>
              <w:top w:val="single" w:sz="4" w:space="0" w:color="C9C9C9"/>
              <w:left w:val="nil"/>
              <w:bottom w:val="single" w:sz="4" w:space="0" w:color="auto"/>
              <w:right w:val="nil"/>
            </w:tcBorders>
            <w:shd w:val="clear" w:color="auto" w:fill="auto"/>
            <w:noWrap/>
            <w:vAlign w:val="bottom"/>
            <w:hideMark/>
          </w:tcPr>
          <w:p w14:paraId="25F37691" w14:textId="77777777" w:rsidR="009B7C93" w:rsidRPr="00BA7289" w:rsidRDefault="009B7C93" w:rsidP="00DC54F7">
            <w:pPr>
              <w:spacing w:after="0" w:line="240" w:lineRule="auto"/>
              <w:jc w:val="both"/>
              <w:rPr>
                <w:rFonts w:ascii="Calibri" w:eastAsia="Times New Roman" w:hAnsi="Calibri" w:cs="Calibri"/>
                <w:color w:val="000000"/>
                <w:sz w:val="20"/>
                <w:szCs w:val="20"/>
                <w:lang w:eastAsia="en-GB"/>
              </w:rPr>
            </w:pPr>
            <w:r w:rsidRPr="00BA7289">
              <w:rPr>
                <w:rFonts w:ascii="Calibri" w:eastAsia="Times New Roman" w:hAnsi="Calibri" w:cs="Calibri"/>
                <w:color w:val="000000"/>
                <w:sz w:val="20"/>
                <w:szCs w:val="20"/>
                <w:lang w:eastAsia="en-GB"/>
              </w:rPr>
              <w:t>0</w:t>
            </w:r>
          </w:p>
        </w:tc>
        <w:tc>
          <w:tcPr>
            <w:tcW w:w="1176" w:type="dxa"/>
            <w:tcBorders>
              <w:top w:val="single" w:sz="4" w:space="0" w:color="C9C9C9"/>
              <w:left w:val="nil"/>
              <w:bottom w:val="single" w:sz="4" w:space="0" w:color="auto"/>
              <w:right w:val="nil"/>
            </w:tcBorders>
            <w:shd w:val="clear" w:color="auto" w:fill="auto"/>
            <w:noWrap/>
            <w:vAlign w:val="bottom"/>
            <w:hideMark/>
          </w:tcPr>
          <w:p w14:paraId="08187058" w14:textId="77777777" w:rsidR="009B7C93" w:rsidRPr="00BA7289" w:rsidRDefault="009B7C93" w:rsidP="00DC54F7">
            <w:pPr>
              <w:spacing w:after="0" w:line="240" w:lineRule="auto"/>
              <w:jc w:val="both"/>
              <w:rPr>
                <w:rFonts w:ascii="Calibri" w:eastAsia="Times New Roman" w:hAnsi="Calibri" w:cs="Calibri"/>
                <w:color w:val="000000"/>
                <w:sz w:val="20"/>
                <w:szCs w:val="20"/>
                <w:lang w:eastAsia="en-GB"/>
              </w:rPr>
            </w:pPr>
            <w:r w:rsidRPr="00BA7289">
              <w:rPr>
                <w:rFonts w:ascii="Calibri" w:eastAsia="Times New Roman" w:hAnsi="Calibri" w:cs="Calibri"/>
                <w:color w:val="000000"/>
                <w:sz w:val="20"/>
                <w:szCs w:val="20"/>
                <w:lang w:eastAsia="en-GB"/>
              </w:rPr>
              <w:t>0</w:t>
            </w:r>
          </w:p>
        </w:tc>
        <w:tc>
          <w:tcPr>
            <w:tcW w:w="1177" w:type="dxa"/>
            <w:tcBorders>
              <w:top w:val="single" w:sz="4" w:space="0" w:color="C9C9C9"/>
              <w:left w:val="nil"/>
              <w:bottom w:val="single" w:sz="4" w:space="0" w:color="auto"/>
              <w:right w:val="nil"/>
            </w:tcBorders>
            <w:shd w:val="clear" w:color="auto" w:fill="auto"/>
            <w:noWrap/>
            <w:vAlign w:val="bottom"/>
            <w:hideMark/>
          </w:tcPr>
          <w:p w14:paraId="2C9AA760" w14:textId="77777777" w:rsidR="009B7C93" w:rsidRPr="00BA7289" w:rsidRDefault="009B7C93" w:rsidP="00DC54F7">
            <w:pPr>
              <w:spacing w:after="0" w:line="240" w:lineRule="auto"/>
              <w:jc w:val="both"/>
              <w:rPr>
                <w:rFonts w:ascii="Calibri" w:eastAsia="Times New Roman" w:hAnsi="Calibri" w:cs="Calibri"/>
                <w:color w:val="000000"/>
                <w:sz w:val="20"/>
                <w:szCs w:val="20"/>
                <w:lang w:eastAsia="en-GB"/>
              </w:rPr>
            </w:pPr>
            <w:r w:rsidRPr="00BA7289">
              <w:rPr>
                <w:rFonts w:ascii="Calibri" w:eastAsia="Times New Roman" w:hAnsi="Calibri" w:cs="Calibri"/>
                <w:color w:val="000000"/>
                <w:sz w:val="20"/>
                <w:szCs w:val="20"/>
                <w:lang w:eastAsia="en-GB"/>
              </w:rPr>
              <w:t>0</w:t>
            </w:r>
          </w:p>
        </w:tc>
        <w:tc>
          <w:tcPr>
            <w:tcW w:w="1179" w:type="dxa"/>
            <w:tcBorders>
              <w:top w:val="single" w:sz="4" w:space="0" w:color="C9C9C9"/>
              <w:left w:val="nil"/>
              <w:bottom w:val="single" w:sz="4" w:space="0" w:color="auto"/>
              <w:right w:val="single" w:sz="4" w:space="0" w:color="auto"/>
            </w:tcBorders>
            <w:shd w:val="clear" w:color="auto" w:fill="auto"/>
            <w:noWrap/>
            <w:vAlign w:val="bottom"/>
            <w:hideMark/>
          </w:tcPr>
          <w:p w14:paraId="4413EBAF" w14:textId="77777777" w:rsidR="009B7C93" w:rsidRPr="00BA7289" w:rsidRDefault="009B7C93" w:rsidP="00DC54F7">
            <w:pPr>
              <w:spacing w:after="0" w:line="240" w:lineRule="auto"/>
              <w:jc w:val="both"/>
              <w:rPr>
                <w:rFonts w:ascii="Calibri" w:eastAsia="Times New Roman" w:hAnsi="Calibri" w:cs="Calibri"/>
                <w:color w:val="000000"/>
                <w:sz w:val="20"/>
                <w:szCs w:val="20"/>
                <w:lang w:eastAsia="en-GB"/>
              </w:rPr>
            </w:pPr>
            <w:r w:rsidRPr="00BA7289">
              <w:rPr>
                <w:rFonts w:ascii="Calibri" w:eastAsia="Times New Roman" w:hAnsi="Calibri" w:cs="Calibri"/>
                <w:color w:val="000000"/>
                <w:sz w:val="20"/>
                <w:szCs w:val="20"/>
                <w:lang w:eastAsia="en-GB"/>
              </w:rPr>
              <w:t>0</w:t>
            </w:r>
          </w:p>
        </w:tc>
      </w:tr>
    </w:tbl>
    <w:p w14:paraId="27FF5B01" w14:textId="2F4861F2" w:rsidR="00A8577E" w:rsidRPr="00BA7289" w:rsidRDefault="00FA61D2" w:rsidP="00DC54F7">
      <w:pPr>
        <w:spacing w:after="0" w:line="240" w:lineRule="auto"/>
        <w:jc w:val="both"/>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Source: </w:t>
      </w:r>
      <w:r w:rsidR="00A8577E" w:rsidRPr="00BA7289">
        <w:rPr>
          <w:rFonts w:ascii="Arial" w:eastAsia="Times New Roman" w:hAnsi="Arial" w:cs="Arial"/>
          <w:color w:val="000000"/>
          <w:sz w:val="20"/>
          <w:szCs w:val="20"/>
          <w:lang w:eastAsia="en-GB"/>
        </w:rPr>
        <w:t>StatsWales</w:t>
      </w:r>
      <w:r w:rsidR="00B31D24">
        <w:rPr>
          <w:rFonts w:ascii="Arial" w:eastAsia="Times New Roman" w:hAnsi="Arial" w:cs="Arial"/>
          <w:color w:val="000000"/>
          <w:sz w:val="20"/>
          <w:szCs w:val="20"/>
          <w:lang w:eastAsia="en-GB"/>
        </w:rPr>
        <w:t xml:space="preserve"> - </w:t>
      </w:r>
      <w:r w:rsidR="00A8577E" w:rsidRPr="00BA7289">
        <w:rPr>
          <w:rFonts w:ascii="Arial" w:eastAsia="Times New Roman" w:hAnsi="Arial" w:cs="Arial"/>
          <w:color w:val="000000"/>
          <w:sz w:val="20"/>
          <w:szCs w:val="20"/>
          <w:lang w:eastAsia="en-GB"/>
        </w:rPr>
        <w:t>Gypsy and traveller caravan count, Welsh Government</w:t>
      </w:r>
    </w:p>
    <w:p w14:paraId="74516F97" w14:textId="77777777" w:rsidR="009B7C93" w:rsidRDefault="009B7C93" w:rsidP="00DC54F7">
      <w:pPr>
        <w:spacing w:after="0" w:line="240" w:lineRule="auto"/>
        <w:jc w:val="both"/>
        <w:rPr>
          <w:rFonts w:ascii="Arial" w:hAnsi="Arial" w:cs="Arial"/>
        </w:rPr>
      </w:pPr>
    </w:p>
    <w:p w14:paraId="45A27258" w14:textId="77777777" w:rsidR="00D70846" w:rsidRDefault="00D70846" w:rsidP="00DC54F7">
      <w:pPr>
        <w:spacing w:after="0" w:line="240" w:lineRule="auto"/>
        <w:jc w:val="both"/>
        <w:rPr>
          <w:rFonts w:ascii="Arial" w:hAnsi="Arial" w:cs="Arial"/>
          <w:b/>
          <w:sz w:val="26"/>
          <w:szCs w:val="26"/>
        </w:rPr>
      </w:pPr>
    </w:p>
    <w:p w14:paraId="55D571B9" w14:textId="11757E4F" w:rsidR="006423CA" w:rsidRPr="00BA7289" w:rsidRDefault="006423CA" w:rsidP="00DC54F7">
      <w:pPr>
        <w:spacing w:after="0" w:line="240" w:lineRule="auto"/>
        <w:jc w:val="both"/>
        <w:rPr>
          <w:rFonts w:ascii="Arial" w:hAnsi="Arial" w:cs="Arial"/>
          <w:b/>
          <w:sz w:val="26"/>
          <w:szCs w:val="26"/>
        </w:rPr>
      </w:pPr>
      <w:r w:rsidRPr="00BA7289">
        <w:rPr>
          <w:rFonts w:ascii="Arial" w:hAnsi="Arial" w:cs="Arial"/>
          <w:b/>
          <w:sz w:val="26"/>
          <w:szCs w:val="26"/>
        </w:rPr>
        <w:t>2.1</w:t>
      </w:r>
      <w:r w:rsidR="00D3388A" w:rsidRPr="00BA7289">
        <w:rPr>
          <w:rFonts w:ascii="Arial" w:hAnsi="Arial" w:cs="Arial"/>
          <w:b/>
          <w:sz w:val="26"/>
          <w:szCs w:val="26"/>
        </w:rPr>
        <w:t>7</w:t>
      </w:r>
      <w:r w:rsidRPr="00BA7289">
        <w:rPr>
          <w:rFonts w:ascii="Arial" w:hAnsi="Arial" w:cs="Arial"/>
          <w:b/>
          <w:sz w:val="26"/>
          <w:szCs w:val="26"/>
        </w:rPr>
        <w:t xml:space="preserve"> Offenders</w:t>
      </w:r>
      <w:r w:rsidR="00B2486D" w:rsidRPr="00BA7289">
        <w:rPr>
          <w:rStyle w:val="FootnoteReference"/>
          <w:rFonts w:ascii="Arial" w:hAnsi="Arial" w:cs="Arial"/>
          <w:sz w:val="26"/>
          <w:szCs w:val="26"/>
        </w:rPr>
        <w:footnoteReference w:id="7"/>
      </w:r>
    </w:p>
    <w:p w14:paraId="3C7BE2A1" w14:textId="77B21A52" w:rsidR="00ED6821" w:rsidRDefault="00ED6821" w:rsidP="00DC54F7">
      <w:pPr>
        <w:spacing w:after="0" w:line="240" w:lineRule="auto"/>
        <w:jc w:val="both"/>
        <w:rPr>
          <w:rFonts w:ascii="Arial" w:hAnsi="Arial" w:cs="Arial"/>
          <w:b/>
          <w:sz w:val="26"/>
          <w:szCs w:val="26"/>
        </w:rPr>
      </w:pPr>
    </w:p>
    <w:p w14:paraId="7F6EF9EF" w14:textId="7E2A994E" w:rsidR="00413371" w:rsidRPr="00BA7289" w:rsidRDefault="00725965" w:rsidP="00DC54F7">
      <w:pPr>
        <w:spacing w:after="0" w:line="240" w:lineRule="auto"/>
        <w:jc w:val="both"/>
        <w:rPr>
          <w:rFonts w:ascii="Arial" w:hAnsi="Arial" w:cs="Arial"/>
          <w:sz w:val="24"/>
          <w:szCs w:val="24"/>
        </w:rPr>
      </w:pPr>
      <w:r w:rsidRPr="00BA7289">
        <w:rPr>
          <w:rFonts w:ascii="Arial" w:hAnsi="Arial" w:cs="Arial"/>
          <w:sz w:val="24"/>
          <w:szCs w:val="24"/>
        </w:rPr>
        <w:t xml:space="preserve">Cardiff and Vale University Health Board </w:t>
      </w:r>
      <w:r w:rsidR="00567023" w:rsidRPr="00BA7289">
        <w:rPr>
          <w:rFonts w:ascii="Arial" w:hAnsi="Arial" w:cs="Arial"/>
          <w:sz w:val="24"/>
          <w:szCs w:val="24"/>
        </w:rPr>
        <w:t>has one prison HM</w:t>
      </w:r>
      <w:r w:rsidR="00CA4428" w:rsidRPr="00BA7289">
        <w:rPr>
          <w:rFonts w:ascii="Arial" w:hAnsi="Arial" w:cs="Arial"/>
          <w:sz w:val="24"/>
          <w:szCs w:val="24"/>
        </w:rPr>
        <w:t>P Cardiff</w:t>
      </w:r>
      <w:r w:rsidR="0002780E" w:rsidRPr="00BA7289">
        <w:rPr>
          <w:rFonts w:ascii="Arial" w:hAnsi="Arial" w:cs="Arial"/>
          <w:sz w:val="24"/>
          <w:szCs w:val="24"/>
        </w:rPr>
        <w:t xml:space="preserve">, a category B local prison for </w:t>
      </w:r>
      <w:r w:rsidR="0080695D" w:rsidRPr="00BA7289">
        <w:rPr>
          <w:rFonts w:ascii="Arial" w:hAnsi="Arial" w:cs="Arial"/>
          <w:sz w:val="24"/>
          <w:szCs w:val="24"/>
        </w:rPr>
        <w:t xml:space="preserve">adult </w:t>
      </w:r>
      <w:r w:rsidR="0002780E" w:rsidRPr="00BA7289">
        <w:rPr>
          <w:rFonts w:ascii="Arial" w:hAnsi="Arial" w:cs="Arial"/>
          <w:sz w:val="24"/>
          <w:szCs w:val="24"/>
        </w:rPr>
        <w:t>m</w:t>
      </w:r>
      <w:r w:rsidR="005D72BE" w:rsidRPr="00BA7289">
        <w:rPr>
          <w:rFonts w:ascii="Arial" w:hAnsi="Arial" w:cs="Arial"/>
          <w:sz w:val="24"/>
          <w:szCs w:val="24"/>
        </w:rPr>
        <w:t>ale prisoners</w:t>
      </w:r>
      <w:r w:rsidR="00CA4428" w:rsidRPr="00BA7289">
        <w:rPr>
          <w:rFonts w:ascii="Arial" w:hAnsi="Arial" w:cs="Arial"/>
          <w:sz w:val="24"/>
          <w:szCs w:val="24"/>
        </w:rPr>
        <w:t xml:space="preserve">. It is a traditional prison, situated in the heart of the city, and serving the courts of </w:t>
      </w:r>
      <w:r w:rsidR="00534A0D" w:rsidRPr="00BA7289">
        <w:rPr>
          <w:rFonts w:ascii="Arial" w:hAnsi="Arial" w:cs="Arial"/>
          <w:sz w:val="24"/>
          <w:szCs w:val="24"/>
        </w:rPr>
        <w:t>S</w:t>
      </w:r>
      <w:r w:rsidR="00CA4428" w:rsidRPr="00BA7289">
        <w:rPr>
          <w:rFonts w:ascii="Arial" w:hAnsi="Arial" w:cs="Arial"/>
          <w:sz w:val="24"/>
          <w:szCs w:val="24"/>
        </w:rPr>
        <w:t>outh</w:t>
      </w:r>
      <w:r w:rsidR="002166F4" w:rsidRPr="00BA7289">
        <w:rPr>
          <w:rFonts w:ascii="Arial" w:hAnsi="Arial" w:cs="Arial"/>
          <w:sz w:val="24"/>
          <w:szCs w:val="24"/>
        </w:rPr>
        <w:t>e</w:t>
      </w:r>
      <w:r w:rsidR="00CA4428" w:rsidRPr="00BA7289">
        <w:rPr>
          <w:rFonts w:ascii="Arial" w:hAnsi="Arial" w:cs="Arial"/>
          <w:sz w:val="24"/>
          <w:szCs w:val="24"/>
        </w:rPr>
        <w:t>ast Wales</w:t>
      </w:r>
      <w:r w:rsidR="0002780E" w:rsidRPr="00BA7289">
        <w:rPr>
          <w:rFonts w:ascii="Arial" w:hAnsi="Arial" w:cs="Arial"/>
          <w:sz w:val="24"/>
          <w:szCs w:val="24"/>
        </w:rPr>
        <w:t xml:space="preserve">. </w:t>
      </w:r>
      <w:r w:rsidR="006E1821" w:rsidRPr="00BA7289">
        <w:rPr>
          <w:rFonts w:ascii="Arial" w:hAnsi="Arial" w:cs="Arial"/>
          <w:sz w:val="24"/>
          <w:szCs w:val="24"/>
        </w:rPr>
        <w:t>In general</w:t>
      </w:r>
      <w:r w:rsidR="00A827F4" w:rsidRPr="00BA7289">
        <w:rPr>
          <w:rFonts w:ascii="Arial" w:hAnsi="Arial" w:cs="Arial"/>
          <w:sz w:val="24"/>
          <w:szCs w:val="24"/>
        </w:rPr>
        <w:t>,</w:t>
      </w:r>
      <w:r w:rsidR="006E1821" w:rsidRPr="00BA7289">
        <w:rPr>
          <w:rFonts w:ascii="Arial" w:hAnsi="Arial" w:cs="Arial"/>
          <w:sz w:val="24"/>
          <w:szCs w:val="24"/>
        </w:rPr>
        <w:t xml:space="preserve"> the prison </w:t>
      </w:r>
      <w:r w:rsidR="00EB2292" w:rsidRPr="00BA7289">
        <w:rPr>
          <w:rFonts w:ascii="Arial" w:hAnsi="Arial" w:cs="Arial"/>
          <w:sz w:val="24"/>
          <w:szCs w:val="24"/>
        </w:rPr>
        <w:t>h</w:t>
      </w:r>
      <w:r w:rsidR="00A827F4" w:rsidRPr="00BA7289">
        <w:rPr>
          <w:rFonts w:ascii="Arial" w:hAnsi="Arial" w:cs="Arial"/>
          <w:sz w:val="24"/>
          <w:szCs w:val="24"/>
        </w:rPr>
        <w:t>o</w:t>
      </w:r>
      <w:r w:rsidR="00EB2292" w:rsidRPr="00BA7289">
        <w:rPr>
          <w:rFonts w:ascii="Arial" w:hAnsi="Arial" w:cs="Arial"/>
          <w:sz w:val="24"/>
          <w:szCs w:val="24"/>
        </w:rPr>
        <w:t>ld</w:t>
      </w:r>
      <w:r w:rsidR="00025B94" w:rsidRPr="00BA7289">
        <w:rPr>
          <w:rFonts w:ascii="Arial" w:hAnsi="Arial" w:cs="Arial"/>
          <w:sz w:val="24"/>
          <w:szCs w:val="24"/>
        </w:rPr>
        <w:t>s</w:t>
      </w:r>
      <w:r w:rsidR="00EB2292" w:rsidRPr="00BA7289">
        <w:rPr>
          <w:rFonts w:ascii="Arial" w:hAnsi="Arial" w:cs="Arial"/>
          <w:sz w:val="24"/>
          <w:szCs w:val="24"/>
        </w:rPr>
        <w:t xml:space="preserve"> unconvicted and remand prisoners and short-term prisoners </w:t>
      </w:r>
      <w:r w:rsidR="00B3632A" w:rsidRPr="00BA7289">
        <w:rPr>
          <w:rFonts w:ascii="Arial" w:hAnsi="Arial" w:cs="Arial"/>
          <w:sz w:val="24"/>
          <w:szCs w:val="24"/>
        </w:rPr>
        <w:t xml:space="preserve">serving up to 12 months. </w:t>
      </w:r>
      <w:r w:rsidR="00413371" w:rsidRPr="00BA7289">
        <w:rPr>
          <w:rFonts w:ascii="Arial" w:hAnsi="Arial" w:cs="Arial"/>
          <w:sz w:val="24"/>
          <w:szCs w:val="24"/>
        </w:rPr>
        <w:t>Cardiff and Vale University Health Board provide</w:t>
      </w:r>
      <w:r w:rsidR="00BB22BF" w:rsidRPr="00BA7289">
        <w:rPr>
          <w:rFonts w:ascii="Arial" w:hAnsi="Arial" w:cs="Arial"/>
          <w:sz w:val="24"/>
          <w:szCs w:val="24"/>
        </w:rPr>
        <w:t>s</w:t>
      </w:r>
      <w:r w:rsidR="00413371" w:rsidRPr="00BA7289">
        <w:rPr>
          <w:rFonts w:ascii="Arial" w:hAnsi="Arial" w:cs="Arial"/>
          <w:sz w:val="24"/>
          <w:szCs w:val="24"/>
        </w:rPr>
        <w:t xml:space="preserve"> health services to the prison.</w:t>
      </w:r>
    </w:p>
    <w:p w14:paraId="5F775203" w14:textId="77777777" w:rsidR="00413371" w:rsidRPr="00BA7289" w:rsidRDefault="00413371" w:rsidP="00DC54F7">
      <w:pPr>
        <w:spacing w:after="0" w:line="240" w:lineRule="auto"/>
        <w:jc w:val="both"/>
        <w:rPr>
          <w:sz w:val="24"/>
          <w:szCs w:val="24"/>
        </w:rPr>
      </w:pPr>
    </w:p>
    <w:p w14:paraId="21C00937" w14:textId="524D5B48" w:rsidR="00645052" w:rsidRPr="00BA7289" w:rsidRDefault="005B7078" w:rsidP="00DC54F7">
      <w:pPr>
        <w:spacing w:after="0" w:line="240" w:lineRule="auto"/>
        <w:jc w:val="both"/>
        <w:rPr>
          <w:rFonts w:ascii="Arial" w:hAnsi="Arial" w:cs="Arial"/>
          <w:sz w:val="24"/>
          <w:szCs w:val="24"/>
        </w:rPr>
      </w:pPr>
      <w:r w:rsidRPr="00BA7289">
        <w:rPr>
          <w:rFonts w:ascii="Arial" w:hAnsi="Arial" w:cs="Arial"/>
          <w:sz w:val="24"/>
          <w:szCs w:val="24"/>
        </w:rPr>
        <w:t xml:space="preserve">An </w:t>
      </w:r>
      <w:r w:rsidR="00A03CA1" w:rsidRPr="00BA7289">
        <w:rPr>
          <w:rFonts w:ascii="Arial" w:hAnsi="Arial" w:cs="Arial"/>
          <w:sz w:val="24"/>
          <w:szCs w:val="24"/>
        </w:rPr>
        <w:t xml:space="preserve">unannounced </w:t>
      </w:r>
      <w:r w:rsidR="00B3622A" w:rsidRPr="00BA7289">
        <w:rPr>
          <w:rFonts w:ascii="Arial" w:hAnsi="Arial" w:cs="Arial"/>
          <w:sz w:val="24"/>
          <w:szCs w:val="24"/>
        </w:rPr>
        <w:t>inspection</w:t>
      </w:r>
      <w:r w:rsidR="00E674F0" w:rsidRPr="00BA7289">
        <w:rPr>
          <w:rFonts w:ascii="Arial" w:hAnsi="Arial" w:cs="Arial"/>
          <w:sz w:val="24"/>
          <w:szCs w:val="24"/>
        </w:rPr>
        <w:t xml:space="preserve"> by HM Inspectorate of Prisons</w:t>
      </w:r>
      <w:r w:rsidR="00EE242A" w:rsidRPr="00BA7289">
        <w:rPr>
          <w:rFonts w:ascii="Arial" w:hAnsi="Arial" w:cs="Arial"/>
          <w:sz w:val="24"/>
          <w:szCs w:val="24"/>
        </w:rPr>
        <w:t>,</w:t>
      </w:r>
      <w:r w:rsidR="001560F1" w:rsidRPr="00BA7289">
        <w:rPr>
          <w:rFonts w:ascii="Arial" w:hAnsi="Arial" w:cs="Arial"/>
          <w:sz w:val="24"/>
          <w:szCs w:val="24"/>
        </w:rPr>
        <w:t xml:space="preserve"> </w:t>
      </w:r>
      <w:r w:rsidR="000913E6" w:rsidRPr="00BA7289">
        <w:rPr>
          <w:rFonts w:ascii="Arial" w:hAnsi="Arial" w:cs="Arial"/>
          <w:sz w:val="24"/>
          <w:szCs w:val="24"/>
        </w:rPr>
        <w:t xml:space="preserve">was </w:t>
      </w:r>
      <w:r w:rsidRPr="00BA7289">
        <w:rPr>
          <w:rFonts w:ascii="Arial" w:hAnsi="Arial" w:cs="Arial"/>
          <w:sz w:val="24"/>
          <w:szCs w:val="24"/>
        </w:rPr>
        <w:t>carried out between</w:t>
      </w:r>
      <w:r w:rsidR="00395D1C" w:rsidRPr="00BA7289">
        <w:rPr>
          <w:rFonts w:ascii="Arial" w:hAnsi="Arial" w:cs="Arial"/>
          <w:sz w:val="24"/>
          <w:szCs w:val="24"/>
        </w:rPr>
        <w:t xml:space="preserve"> 15</w:t>
      </w:r>
      <w:r w:rsidR="00E87215" w:rsidRPr="00BA7289">
        <w:rPr>
          <w:rFonts w:ascii="Arial" w:hAnsi="Arial" w:cs="Arial"/>
          <w:sz w:val="24"/>
          <w:szCs w:val="24"/>
        </w:rPr>
        <w:t xml:space="preserve"> to </w:t>
      </w:r>
      <w:r w:rsidR="00395D1C" w:rsidRPr="00BA7289">
        <w:rPr>
          <w:rFonts w:ascii="Arial" w:hAnsi="Arial" w:cs="Arial"/>
          <w:sz w:val="24"/>
          <w:szCs w:val="24"/>
        </w:rPr>
        <w:t>26 July 201</w:t>
      </w:r>
      <w:r w:rsidR="00BB6573" w:rsidRPr="00BA7289">
        <w:rPr>
          <w:rFonts w:ascii="Arial" w:hAnsi="Arial" w:cs="Arial"/>
          <w:sz w:val="24"/>
          <w:szCs w:val="24"/>
        </w:rPr>
        <w:t>9</w:t>
      </w:r>
      <w:r w:rsidR="00D26F5F" w:rsidRPr="00BA7289">
        <w:rPr>
          <w:rFonts w:ascii="Arial" w:hAnsi="Arial" w:cs="Arial"/>
          <w:sz w:val="24"/>
          <w:szCs w:val="24"/>
        </w:rPr>
        <w:t xml:space="preserve">. </w:t>
      </w:r>
      <w:r w:rsidR="00C276E7" w:rsidRPr="00BA7289">
        <w:rPr>
          <w:rFonts w:ascii="Arial" w:hAnsi="Arial" w:cs="Arial"/>
          <w:sz w:val="24"/>
          <w:szCs w:val="24"/>
        </w:rPr>
        <w:t>The</w:t>
      </w:r>
      <w:r w:rsidR="00B22BF4" w:rsidRPr="00BA7289">
        <w:rPr>
          <w:rFonts w:ascii="Arial" w:hAnsi="Arial" w:cs="Arial"/>
          <w:sz w:val="24"/>
          <w:szCs w:val="24"/>
        </w:rPr>
        <w:t xml:space="preserve"> information below is taken from the inspection repor</w:t>
      </w:r>
      <w:r w:rsidR="00B2486D" w:rsidRPr="00BA7289">
        <w:rPr>
          <w:rFonts w:ascii="Arial" w:hAnsi="Arial" w:cs="Arial"/>
          <w:sz w:val="24"/>
          <w:szCs w:val="24"/>
        </w:rPr>
        <w:t xml:space="preserve">t </w:t>
      </w:r>
      <w:r w:rsidR="00C3040C" w:rsidRPr="00BA7289">
        <w:rPr>
          <w:rFonts w:ascii="Arial" w:hAnsi="Arial" w:cs="Arial"/>
          <w:sz w:val="24"/>
          <w:szCs w:val="24"/>
        </w:rPr>
        <w:t xml:space="preserve">and provides an insight into the </w:t>
      </w:r>
      <w:r w:rsidR="0057192A" w:rsidRPr="00BA7289">
        <w:rPr>
          <w:rFonts w:ascii="Arial" w:hAnsi="Arial" w:cs="Arial"/>
          <w:sz w:val="24"/>
          <w:szCs w:val="24"/>
        </w:rPr>
        <w:t xml:space="preserve">prison’s </w:t>
      </w:r>
      <w:r w:rsidR="00645052" w:rsidRPr="00BA7289">
        <w:rPr>
          <w:rFonts w:ascii="Arial" w:hAnsi="Arial" w:cs="Arial"/>
          <w:sz w:val="24"/>
          <w:szCs w:val="24"/>
        </w:rPr>
        <w:t>popul</w:t>
      </w:r>
      <w:r w:rsidR="00FC5698" w:rsidRPr="00BA7289">
        <w:rPr>
          <w:rFonts w:ascii="Arial" w:hAnsi="Arial" w:cs="Arial"/>
          <w:sz w:val="24"/>
          <w:szCs w:val="24"/>
        </w:rPr>
        <w:t xml:space="preserve">ation and </w:t>
      </w:r>
      <w:r w:rsidR="0057192A" w:rsidRPr="00BA7289">
        <w:rPr>
          <w:rFonts w:ascii="Arial" w:hAnsi="Arial" w:cs="Arial"/>
          <w:sz w:val="24"/>
          <w:szCs w:val="24"/>
        </w:rPr>
        <w:t xml:space="preserve">the </w:t>
      </w:r>
      <w:r w:rsidR="00D26F5F" w:rsidRPr="00BA7289">
        <w:rPr>
          <w:rFonts w:ascii="Arial" w:hAnsi="Arial" w:cs="Arial"/>
          <w:sz w:val="24"/>
          <w:szCs w:val="24"/>
        </w:rPr>
        <w:t xml:space="preserve">health needs </w:t>
      </w:r>
      <w:r w:rsidR="00FC5698" w:rsidRPr="00BA7289">
        <w:rPr>
          <w:rFonts w:ascii="Arial" w:hAnsi="Arial" w:cs="Arial"/>
          <w:sz w:val="24"/>
          <w:szCs w:val="24"/>
        </w:rPr>
        <w:t>at the prison</w:t>
      </w:r>
      <w:r w:rsidR="001050DD" w:rsidRPr="00BA7289">
        <w:rPr>
          <w:rFonts w:ascii="Arial" w:hAnsi="Arial" w:cs="Arial"/>
          <w:sz w:val="24"/>
          <w:szCs w:val="24"/>
        </w:rPr>
        <w:t xml:space="preserve"> during this time</w:t>
      </w:r>
      <w:r w:rsidR="00D26F5F" w:rsidRPr="00BA7289">
        <w:rPr>
          <w:rFonts w:ascii="Arial" w:hAnsi="Arial" w:cs="Arial"/>
          <w:sz w:val="24"/>
          <w:szCs w:val="24"/>
        </w:rPr>
        <w:t xml:space="preserve">. </w:t>
      </w:r>
    </w:p>
    <w:p w14:paraId="0AEED80D" w14:textId="77777777" w:rsidR="00645052" w:rsidRPr="00BA7289" w:rsidRDefault="00645052" w:rsidP="00DC54F7">
      <w:pPr>
        <w:spacing w:after="0" w:line="240" w:lineRule="auto"/>
        <w:jc w:val="both"/>
        <w:rPr>
          <w:rFonts w:ascii="Arial" w:hAnsi="Arial" w:cs="Arial"/>
          <w:sz w:val="24"/>
          <w:szCs w:val="24"/>
        </w:rPr>
      </w:pPr>
    </w:p>
    <w:p w14:paraId="037C3174" w14:textId="63664EF9" w:rsidR="00926E9A" w:rsidRPr="00BA7289" w:rsidRDefault="00BB6573" w:rsidP="00DC54F7">
      <w:pPr>
        <w:spacing w:after="0" w:line="240" w:lineRule="auto"/>
        <w:jc w:val="both"/>
        <w:rPr>
          <w:rFonts w:ascii="Arial" w:hAnsi="Arial" w:cs="Arial"/>
          <w:sz w:val="24"/>
          <w:szCs w:val="24"/>
        </w:rPr>
      </w:pPr>
      <w:r w:rsidRPr="00BA7289">
        <w:rPr>
          <w:rFonts w:ascii="Arial" w:hAnsi="Arial" w:cs="Arial"/>
          <w:sz w:val="24"/>
          <w:szCs w:val="24"/>
        </w:rPr>
        <w:t xml:space="preserve">At the time of </w:t>
      </w:r>
      <w:r w:rsidR="005B7078" w:rsidRPr="00BA7289">
        <w:rPr>
          <w:rFonts w:ascii="Arial" w:hAnsi="Arial" w:cs="Arial"/>
          <w:sz w:val="24"/>
          <w:szCs w:val="24"/>
        </w:rPr>
        <w:t xml:space="preserve">the </w:t>
      </w:r>
      <w:r w:rsidRPr="00BA7289">
        <w:rPr>
          <w:rFonts w:ascii="Arial" w:hAnsi="Arial" w:cs="Arial"/>
          <w:sz w:val="24"/>
          <w:szCs w:val="24"/>
        </w:rPr>
        <w:t>inspection</w:t>
      </w:r>
      <w:r w:rsidR="00B2486D" w:rsidRPr="00BA7289">
        <w:rPr>
          <w:rFonts w:ascii="Arial" w:hAnsi="Arial" w:cs="Arial"/>
          <w:sz w:val="24"/>
          <w:szCs w:val="24"/>
        </w:rPr>
        <w:t>,</w:t>
      </w:r>
      <w:r w:rsidRPr="00BA7289">
        <w:rPr>
          <w:rFonts w:ascii="Arial" w:hAnsi="Arial" w:cs="Arial"/>
          <w:sz w:val="24"/>
          <w:szCs w:val="24"/>
        </w:rPr>
        <w:t xml:space="preserve"> </w:t>
      </w:r>
      <w:r w:rsidR="005B7078" w:rsidRPr="00BA7289">
        <w:rPr>
          <w:rFonts w:ascii="Arial" w:hAnsi="Arial" w:cs="Arial"/>
          <w:sz w:val="24"/>
          <w:szCs w:val="24"/>
        </w:rPr>
        <w:t>the prison</w:t>
      </w:r>
      <w:r w:rsidRPr="00BA7289">
        <w:rPr>
          <w:rFonts w:ascii="Arial" w:hAnsi="Arial" w:cs="Arial"/>
          <w:sz w:val="24"/>
          <w:szCs w:val="24"/>
        </w:rPr>
        <w:t xml:space="preserve"> held </w:t>
      </w:r>
      <w:r w:rsidR="00626AF4" w:rsidRPr="00BA7289">
        <w:rPr>
          <w:rFonts w:ascii="Arial" w:hAnsi="Arial" w:cs="Arial"/>
          <w:sz w:val="24"/>
          <w:szCs w:val="24"/>
        </w:rPr>
        <w:t xml:space="preserve">just </w:t>
      </w:r>
      <w:r w:rsidRPr="00BA7289">
        <w:rPr>
          <w:rFonts w:ascii="Arial" w:hAnsi="Arial" w:cs="Arial"/>
          <w:sz w:val="24"/>
          <w:szCs w:val="24"/>
        </w:rPr>
        <w:t xml:space="preserve">under 750 prisoners. About 20% </w:t>
      </w:r>
      <w:r w:rsidR="005B7078" w:rsidRPr="00BA7289">
        <w:rPr>
          <w:rFonts w:ascii="Arial" w:hAnsi="Arial" w:cs="Arial"/>
          <w:sz w:val="24"/>
          <w:szCs w:val="24"/>
        </w:rPr>
        <w:t xml:space="preserve">of prisoners </w:t>
      </w:r>
      <w:r w:rsidRPr="00BA7289">
        <w:rPr>
          <w:rFonts w:ascii="Arial" w:hAnsi="Arial" w:cs="Arial"/>
          <w:sz w:val="24"/>
          <w:szCs w:val="24"/>
        </w:rPr>
        <w:t xml:space="preserve">were serving </w:t>
      </w:r>
      <w:r w:rsidR="00C16CC7" w:rsidRPr="00BA7289">
        <w:rPr>
          <w:rFonts w:ascii="Arial" w:hAnsi="Arial" w:cs="Arial"/>
          <w:sz w:val="24"/>
          <w:szCs w:val="24"/>
        </w:rPr>
        <w:t>short</w:t>
      </w:r>
      <w:r w:rsidRPr="00BA7289">
        <w:rPr>
          <w:rFonts w:ascii="Arial" w:hAnsi="Arial" w:cs="Arial"/>
          <w:sz w:val="24"/>
          <w:szCs w:val="24"/>
        </w:rPr>
        <w:t xml:space="preserve"> sentences and 70% had been at Cardiff for less than three months. The prison </w:t>
      </w:r>
      <w:r w:rsidR="004D73FF" w:rsidRPr="00BA7289">
        <w:rPr>
          <w:rFonts w:ascii="Arial" w:hAnsi="Arial" w:cs="Arial"/>
          <w:sz w:val="24"/>
          <w:szCs w:val="24"/>
        </w:rPr>
        <w:t>has a high turnover</w:t>
      </w:r>
      <w:r w:rsidR="00F13A8E" w:rsidRPr="00BA7289">
        <w:rPr>
          <w:rFonts w:ascii="Arial" w:hAnsi="Arial" w:cs="Arial"/>
          <w:sz w:val="24"/>
          <w:szCs w:val="24"/>
        </w:rPr>
        <w:t xml:space="preserve">, </w:t>
      </w:r>
      <w:r w:rsidRPr="00BA7289">
        <w:rPr>
          <w:rFonts w:ascii="Arial" w:hAnsi="Arial" w:cs="Arial"/>
          <w:sz w:val="24"/>
          <w:szCs w:val="24"/>
        </w:rPr>
        <w:t>releas</w:t>
      </w:r>
      <w:r w:rsidR="00F13A8E" w:rsidRPr="00BA7289">
        <w:rPr>
          <w:rFonts w:ascii="Arial" w:hAnsi="Arial" w:cs="Arial"/>
          <w:sz w:val="24"/>
          <w:szCs w:val="24"/>
        </w:rPr>
        <w:t>ing</w:t>
      </w:r>
      <w:r w:rsidRPr="00BA7289">
        <w:rPr>
          <w:rFonts w:ascii="Arial" w:hAnsi="Arial" w:cs="Arial"/>
          <w:sz w:val="24"/>
          <w:szCs w:val="24"/>
        </w:rPr>
        <w:t xml:space="preserve"> on average over 200 prisoners a month</w:t>
      </w:r>
      <w:r w:rsidR="00F13A8E" w:rsidRPr="00BA7289">
        <w:rPr>
          <w:rFonts w:ascii="Arial" w:hAnsi="Arial" w:cs="Arial"/>
          <w:sz w:val="24"/>
          <w:szCs w:val="24"/>
        </w:rPr>
        <w:t xml:space="preserve">. </w:t>
      </w:r>
      <w:r w:rsidR="00EB42BE" w:rsidRPr="00BA7289">
        <w:rPr>
          <w:rFonts w:ascii="Arial" w:hAnsi="Arial" w:cs="Arial"/>
          <w:sz w:val="24"/>
          <w:szCs w:val="24"/>
        </w:rPr>
        <w:t xml:space="preserve">The </w:t>
      </w:r>
      <w:r w:rsidR="00F70ABF" w:rsidRPr="00BA7289">
        <w:rPr>
          <w:rFonts w:ascii="Arial" w:hAnsi="Arial" w:cs="Arial"/>
          <w:sz w:val="24"/>
          <w:szCs w:val="24"/>
        </w:rPr>
        <w:t>m</w:t>
      </w:r>
      <w:r w:rsidR="00550FF6" w:rsidRPr="00BA7289">
        <w:rPr>
          <w:rFonts w:ascii="Arial" w:hAnsi="Arial" w:cs="Arial"/>
          <w:sz w:val="24"/>
          <w:szCs w:val="24"/>
        </w:rPr>
        <w:t xml:space="preserve">inimum and maximum </w:t>
      </w:r>
      <w:r w:rsidR="00EB42BE" w:rsidRPr="00BA7289">
        <w:rPr>
          <w:rFonts w:ascii="Arial" w:hAnsi="Arial" w:cs="Arial"/>
          <w:sz w:val="24"/>
          <w:szCs w:val="24"/>
        </w:rPr>
        <w:t xml:space="preserve">age at the prison </w:t>
      </w:r>
      <w:r w:rsidR="00F70ABF" w:rsidRPr="00BA7289">
        <w:rPr>
          <w:rFonts w:ascii="Arial" w:hAnsi="Arial" w:cs="Arial"/>
          <w:sz w:val="24"/>
          <w:szCs w:val="24"/>
        </w:rPr>
        <w:t>is</w:t>
      </w:r>
      <w:r w:rsidR="00B33FA0" w:rsidRPr="00BA7289">
        <w:rPr>
          <w:rFonts w:ascii="Arial" w:hAnsi="Arial" w:cs="Arial"/>
          <w:sz w:val="24"/>
          <w:szCs w:val="24"/>
        </w:rPr>
        <w:t xml:space="preserve"> </w:t>
      </w:r>
      <w:r w:rsidR="00EB42BE" w:rsidRPr="00BA7289">
        <w:rPr>
          <w:rFonts w:ascii="Arial" w:hAnsi="Arial" w:cs="Arial"/>
          <w:sz w:val="24"/>
          <w:szCs w:val="24"/>
        </w:rPr>
        <w:t>18 years</w:t>
      </w:r>
      <w:r w:rsidR="00C9297A" w:rsidRPr="00BA7289">
        <w:rPr>
          <w:rFonts w:ascii="Arial" w:hAnsi="Arial" w:cs="Arial"/>
          <w:sz w:val="24"/>
          <w:szCs w:val="24"/>
        </w:rPr>
        <w:t xml:space="preserve"> </w:t>
      </w:r>
      <w:r w:rsidR="00B33FA0" w:rsidRPr="00BA7289">
        <w:rPr>
          <w:rFonts w:ascii="Arial" w:hAnsi="Arial" w:cs="Arial"/>
          <w:sz w:val="24"/>
          <w:szCs w:val="24"/>
        </w:rPr>
        <w:t xml:space="preserve">and </w:t>
      </w:r>
      <w:r w:rsidR="00C9297A" w:rsidRPr="00BA7289">
        <w:rPr>
          <w:rFonts w:ascii="Arial" w:hAnsi="Arial" w:cs="Arial"/>
          <w:sz w:val="24"/>
          <w:szCs w:val="24"/>
        </w:rPr>
        <w:t>75 years</w:t>
      </w:r>
      <w:r w:rsidR="00CE545D" w:rsidRPr="00BA7289">
        <w:rPr>
          <w:rFonts w:ascii="Arial" w:hAnsi="Arial" w:cs="Arial"/>
          <w:sz w:val="24"/>
          <w:szCs w:val="24"/>
        </w:rPr>
        <w:t xml:space="preserve">. The </w:t>
      </w:r>
      <w:r w:rsidR="003A7066" w:rsidRPr="00BA7289">
        <w:rPr>
          <w:rFonts w:ascii="Arial" w:hAnsi="Arial" w:cs="Arial"/>
          <w:sz w:val="24"/>
          <w:szCs w:val="24"/>
        </w:rPr>
        <w:t xml:space="preserve">vast </w:t>
      </w:r>
      <w:r w:rsidR="00D15936" w:rsidRPr="00BA7289">
        <w:rPr>
          <w:rFonts w:ascii="Arial" w:hAnsi="Arial" w:cs="Arial"/>
          <w:sz w:val="24"/>
          <w:szCs w:val="24"/>
        </w:rPr>
        <w:t xml:space="preserve">majority of prisoners </w:t>
      </w:r>
      <w:r w:rsidR="00BF5AFA" w:rsidRPr="00BA7289">
        <w:rPr>
          <w:rFonts w:ascii="Arial" w:hAnsi="Arial" w:cs="Arial"/>
          <w:sz w:val="24"/>
          <w:szCs w:val="24"/>
        </w:rPr>
        <w:t xml:space="preserve">were </w:t>
      </w:r>
      <w:r w:rsidR="00D15936" w:rsidRPr="00BA7289">
        <w:rPr>
          <w:rFonts w:ascii="Arial" w:hAnsi="Arial" w:cs="Arial"/>
          <w:sz w:val="24"/>
          <w:szCs w:val="24"/>
        </w:rPr>
        <w:t xml:space="preserve">aged between </w:t>
      </w:r>
      <w:r w:rsidR="00E7008F" w:rsidRPr="00BA7289">
        <w:rPr>
          <w:rFonts w:ascii="Arial" w:hAnsi="Arial" w:cs="Arial"/>
          <w:sz w:val="24"/>
          <w:szCs w:val="24"/>
        </w:rPr>
        <w:t xml:space="preserve">21 years to 49 years </w:t>
      </w:r>
      <w:r w:rsidR="0040603B" w:rsidRPr="00BA7289">
        <w:rPr>
          <w:rFonts w:ascii="Arial" w:hAnsi="Arial" w:cs="Arial"/>
          <w:sz w:val="24"/>
          <w:szCs w:val="24"/>
        </w:rPr>
        <w:t>(89%)</w:t>
      </w:r>
      <w:r w:rsidR="00BF5AFA" w:rsidRPr="00BA7289">
        <w:rPr>
          <w:rFonts w:ascii="Arial" w:hAnsi="Arial" w:cs="Arial"/>
          <w:sz w:val="24"/>
          <w:szCs w:val="24"/>
        </w:rPr>
        <w:t xml:space="preserve">, with the </w:t>
      </w:r>
      <w:r w:rsidR="00221483" w:rsidRPr="00BA7289">
        <w:rPr>
          <w:rFonts w:ascii="Arial" w:hAnsi="Arial" w:cs="Arial"/>
          <w:sz w:val="24"/>
          <w:szCs w:val="24"/>
        </w:rPr>
        <w:t xml:space="preserve">highest proportion </w:t>
      </w:r>
      <w:r w:rsidR="006C354B" w:rsidRPr="00BA7289">
        <w:rPr>
          <w:rFonts w:ascii="Arial" w:hAnsi="Arial" w:cs="Arial"/>
          <w:sz w:val="24"/>
          <w:szCs w:val="24"/>
        </w:rPr>
        <w:t xml:space="preserve">aged </w:t>
      </w:r>
      <w:r w:rsidR="00E77B48" w:rsidRPr="00BA7289">
        <w:rPr>
          <w:rFonts w:ascii="Arial" w:hAnsi="Arial" w:cs="Arial"/>
          <w:sz w:val="24"/>
          <w:szCs w:val="24"/>
        </w:rPr>
        <w:t xml:space="preserve">between 30 years to 39 years </w:t>
      </w:r>
      <w:r w:rsidR="00852936" w:rsidRPr="00BA7289">
        <w:rPr>
          <w:rFonts w:ascii="Arial" w:hAnsi="Arial" w:cs="Arial"/>
          <w:sz w:val="24"/>
          <w:szCs w:val="24"/>
        </w:rPr>
        <w:t>(39%).</w:t>
      </w:r>
      <w:r w:rsidR="008B029C" w:rsidRPr="00BA7289">
        <w:rPr>
          <w:rFonts w:ascii="Arial" w:hAnsi="Arial" w:cs="Arial"/>
          <w:sz w:val="24"/>
          <w:szCs w:val="24"/>
        </w:rPr>
        <w:t xml:space="preserve"> </w:t>
      </w:r>
      <w:r w:rsidR="00ED05B7" w:rsidRPr="00BA7289">
        <w:rPr>
          <w:rFonts w:ascii="Arial" w:hAnsi="Arial" w:cs="Arial"/>
          <w:sz w:val="24"/>
          <w:szCs w:val="24"/>
        </w:rPr>
        <w:t xml:space="preserve">92% </w:t>
      </w:r>
      <w:r w:rsidR="008B029C" w:rsidRPr="00BA7289">
        <w:rPr>
          <w:rFonts w:ascii="Arial" w:hAnsi="Arial" w:cs="Arial"/>
          <w:sz w:val="24"/>
          <w:szCs w:val="24"/>
        </w:rPr>
        <w:t xml:space="preserve">of prisoners were </w:t>
      </w:r>
      <w:r w:rsidR="003E7CC4" w:rsidRPr="00BA7289">
        <w:rPr>
          <w:rFonts w:ascii="Arial" w:hAnsi="Arial" w:cs="Arial"/>
          <w:sz w:val="24"/>
          <w:szCs w:val="24"/>
        </w:rPr>
        <w:t>British</w:t>
      </w:r>
      <w:r w:rsidR="00CF59D3" w:rsidRPr="00BA7289">
        <w:rPr>
          <w:rFonts w:ascii="Arial" w:hAnsi="Arial" w:cs="Arial"/>
          <w:sz w:val="24"/>
          <w:szCs w:val="24"/>
        </w:rPr>
        <w:t>.</w:t>
      </w:r>
      <w:r w:rsidR="00BF5AFA" w:rsidRPr="00BA7289">
        <w:rPr>
          <w:rFonts w:ascii="Arial" w:hAnsi="Arial" w:cs="Arial"/>
          <w:sz w:val="24"/>
          <w:szCs w:val="24"/>
        </w:rPr>
        <w:t xml:space="preserve"> Key findings from the report included:</w:t>
      </w:r>
    </w:p>
    <w:p w14:paraId="69132B3B" w14:textId="77777777" w:rsidR="00926E9A" w:rsidRPr="00BA7289" w:rsidRDefault="00926E9A" w:rsidP="00DC54F7">
      <w:pPr>
        <w:spacing w:after="0" w:line="240" w:lineRule="auto"/>
        <w:jc w:val="both"/>
        <w:rPr>
          <w:rFonts w:ascii="Arial" w:hAnsi="Arial" w:cs="Arial"/>
          <w:sz w:val="24"/>
          <w:szCs w:val="24"/>
        </w:rPr>
      </w:pPr>
    </w:p>
    <w:p w14:paraId="2B4372CA" w14:textId="77777777" w:rsidR="000839CC" w:rsidRPr="00BA7289" w:rsidRDefault="00266F54" w:rsidP="00DC54F7">
      <w:pPr>
        <w:pStyle w:val="ListParagraph"/>
        <w:numPr>
          <w:ilvl w:val="0"/>
          <w:numId w:val="60"/>
        </w:numPr>
        <w:spacing w:after="0" w:line="240" w:lineRule="auto"/>
        <w:jc w:val="both"/>
        <w:rPr>
          <w:rFonts w:ascii="Arial" w:hAnsi="Arial" w:cs="Arial"/>
          <w:sz w:val="24"/>
          <w:szCs w:val="24"/>
        </w:rPr>
      </w:pPr>
      <w:r w:rsidRPr="00BA7289">
        <w:rPr>
          <w:rFonts w:ascii="Arial" w:hAnsi="Arial" w:cs="Arial"/>
          <w:sz w:val="24"/>
          <w:szCs w:val="24"/>
        </w:rPr>
        <w:t xml:space="preserve">65% of prisoners </w:t>
      </w:r>
      <w:r w:rsidR="0024618C" w:rsidRPr="00BA7289">
        <w:rPr>
          <w:rFonts w:ascii="Arial" w:hAnsi="Arial" w:cs="Arial"/>
          <w:sz w:val="24"/>
          <w:szCs w:val="24"/>
        </w:rPr>
        <w:t xml:space="preserve">arriving at the </w:t>
      </w:r>
      <w:r w:rsidR="000D1542" w:rsidRPr="00BA7289">
        <w:rPr>
          <w:rFonts w:ascii="Arial" w:hAnsi="Arial" w:cs="Arial"/>
          <w:sz w:val="24"/>
          <w:szCs w:val="24"/>
        </w:rPr>
        <w:t xml:space="preserve">prison reported having a </w:t>
      </w:r>
      <w:r w:rsidR="00E83C8F" w:rsidRPr="00BA7289">
        <w:rPr>
          <w:rFonts w:ascii="Arial" w:hAnsi="Arial" w:cs="Arial"/>
          <w:sz w:val="24"/>
          <w:szCs w:val="24"/>
        </w:rPr>
        <w:t>mental health problem.</w:t>
      </w:r>
    </w:p>
    <w:p w14:paraId="1B576D8E" w14:textId="270D0A97" w:rsidR="0024618C" w:rsidRPr="00BA7289" w:rsidRDefault="00266F54" w:rsidP="00DC54F7">
      <w:pPr>
        <w:pStyle w:val="ListParagraph"/>
        <w:numPr>
          <w:ilvl w:val="0"/>
          <w:numId w:val="60"/>
        </w:numPr>
        <w:spacing w:after="0" w:line="240" w:lineRule="auto"/>
        <w:jc w:val="both"/>
        <w:rPr>
          <w:rFonts w:ascii="Arial" w:hAnsi="Arial" w:cs="Arial"/>
          <w:sz w:val="24"/>
          <w:szCs w:val="24"/>
        </w:rPr>
      </w:pPr>
      <w:r w:rsidRPr="00BA7289">
        <w:rPr>
          <w:rFonts w:ascii="Arial" w:hAnsi="Arial" w:cs="Arial"/>
          <w:sz w:val="24"/>
          <w:szCs w:val="24"/>
        </w:rPr>
        <w:t xml:space="preserve">44% </w:t>
      </w:r>
      <w:r w:rsidR="00F70F2B" w:rsidRPr="00BA7289">
        <w:rPr>
          <w:rFonts w:ascii="Arial" w:hAnsi="Arial" w:cs="Arial"/>
          <w:sz w:val="24"/>
          <w:szCs w:val="24"/>
        </w:rPr>
        <w:t xml:space="preserve">reported </w:t>
      </w:r>
      <w:r w:rsidRPr="00BA7289">
        <w:rPr>
          <w:rFonts w:ascii="Arial" w:hAnsi="Arial" w:cs="Arial"/>
          <w:sz w:val="24"/>
          <w:szCs w:val="24"/>
        </w:rPr>
        <w:t xml:space="preserve">they had a disability. </w:t>
      </w:r>
    </w:p>
    <w:p w14:paraId="39EE5F73" w14:textId="2B06F921" w:rsidR="00B6356F" w:rsidRPr="00BA7289" w:rsidRDefault="0084768C" w:rsidP="00DC54F7">
      <w:pPr>
        <w:pStyle w:val="ListParagraph"/>
        <w:numPr>
          <w:ilvl w:val="0"/>
          <w:numId w:val="60"/>
        </w:numPr>
        <w:spacing w:after="0" w:line="240" w:lineRule="auto"/>
        <w:jc w:val="both"/>
        <w:rPr>
          <w:rFonts w:ascii="Arial" w:hAnsi="Arial" w:cs="Arial"/>
          <w:sz w:val="24"/>
          <w:szCs w:val="24"/>
        </w:rPr>
      </w:pPr>
      <w:r w:rsidRPr="00BA7289">
        <w:rPr>
          <w:rFonts w:ascii="Arial" w:hAnsi="Arial" w:cs="Arial"/>
          <w:sz w:val="24"/>
          <w:szCs w:val="24"/>
        </w:rPr>
        <w:t xml:space="preserve">33% said they had an alcohol problem before they came into prison. </w:t>
      </w:r>
      <w:r w:rsidR="00B6356F" w:rsidRPr="00BA7289">
        <w:rPr>
          <w:rFonts w:ascii="Arial" w:hAnsi="Arial" w:cs="Arial"/>
          <w:sz w:val="24"/>
          <w:szCs w:val="24"/>
        </w:rPr>
        <w:t xml:space="preserve">In the six months prior to </w:t>
      </w:r>
      <w:r w:rsidRPr="00BA7289">
        <w:rPr>
          <w:rFonts w:ascii="Arial" w:hAnsi="Arial" w:cs="Arial"/>
          <w:sz w:val="24"/>
          <w:szCs w:val="24"/>
        </w:rPr>
        <w:t>the</w:t>
      </w:r>
      <w:r w:rsidR="00B6356F" w:rsidRPr="00BA7289">
        <w:rPr>
          <w:rFonts w:ascii="Arial" w:hAnsi="Arial" w:cs="Arial"/>
          <w:sz w:val="24"/>
          <w:szCs w:val="24"/>
        </w:rPr>
        <w:t xml:space="preserve"> inspection more than 350 prisoners required alcohol detoxification</w:t>
      </w:r>
      <w:r w:rsidR="00A34706" w:rsidRPr="00BA7289">
        <w:rPr>
          <w:rFonts w:ascii="Arial" w:hAnsi="Arial" w:cs="Arial"/>
          <w:sz w:val="24"/>
          <w:szCs w:val="24"/>
        </w:rPr>
        <w:t>.</w:t>
      </w:r>
    </w:p>
    <w:p w14:paraId="1117E8FF" w14:textId="57872CA2" w:rsidR="00EE3089" w:rsidRPr="00BA7289" w:rsidRDefault="00A34706" w:rsidP="00DC54F7">
      <w:pPr>
        <w:pStyle w:val="ListParagraph"/>
        <w:numPr>
          <w:ilvl w:val="0"/>
          <w:numId w:val="60"/>
        </w:numPr>
        <w:spacing w:after="0" w:line="240" w:lineRule="auto"/>
        <w:jc w:val="both"/>
        <w:rPr>
          <w:rFonts w:ascii="Arial" w:hAnsi="Arial" w:cs="Arial"/>
          <w:sz w:val="24"/>
          <w:szCs w:val="24"/>
        </w:rPr>
      </w:pPr>
      <w:r w:rsidRPr="00BA7289">
        <w:rPr>
          <w:rFonts w:ascii="Arial" w:hAnsi="Arial" w:cs="Arial"/>
          <w:sz w:val="24"/>
          <w:szCs w:val="24"/>
        </w:rPr>
        <w:t>51% said they had a drug problem before they came into prison.</w:t>
      </w:r>
      <w:r w:rsidR="003504C1" w:rsidRPr="00BA7289">
        <w:rPr>
          <w:rFonts w:ascii="Arial" w:hAnsi="Arial" w:cs="Arial"/>
          <w:sz w:val="24"/>
          <w:szCs w:val="24"/>
        </w:rPr>
        <w:t xml:space="preserve"> 20% said the</w:t>
      </w:r>
      <w:r w:rsidR="00E610DB" w:rsidRPr="00BA7289">
        <w:rPr>
          <w:rFonts w:ascii="Arial" w:hAnsi="Arial" w:cs="Arial"/>
          <w:sz w:val="24"/>
          <w:szCs w:val="24"/>
        </w:rPr>
        <w:t>y</w:t>
      </w:r>
      <w:r w:rsidR="003504C1" w:rsidRPr="00BA7289">
        <w:rPr>
          <w:rFonts w:ascii="Arial" w:hAnsi="Arial" w:cs="Arial"/>
          <w:sz w:val="24"/>
          <w:szCs w:val="24"/>
        </w:rPr>
        <w:t xml:space="preserve"> had developed an illicit drug problem while in prison.</w:t>
      </w:r>
    </w:p>
    <w:p w14:paraId="1833CAE7" w14:textId="0406C6BC" w:rsidR="0024618C" w:rsidRPr="00BA7289" w:rsidRDefault="00266F54" w:rsidP="00DC54F7">
      <w:pPr>
        <w:pStyle w:val="ListParagraph"/>
        <w:numPr>
          <w:ilvl w:val="0"/>
          <w:numId w:val="60"/>
        </w:numPr>
        <w:spacing w:after="0" w:line="240" w:lineRule="auto"/>
        <w:jc w:val="both"/>
        <w:rPr>
          <w:rFonts w:ascii="Arial" w:hAnsi="Arial" w:cs="Arial"/>
          <w:sz w:val="24"/>
          <w:szCs w:val="24"/>
        </w:rPr>
      </w:pPr>
      <w:r w:rsidRPr="00BA7289">
        <w:rPr>
          <w:rFonts w:ascii="Arial" w:hAnsi="Arial" w:cs="Arial"/>
          <w:sz w:val="24"/>
          <w:szCs w:val="24"/>
        </w:rPr>
        <w:t xml:space="preserve">40% of the </w:t>
      </w:r>
      <w:r w:rsidR="00CA5AE2" w:rsidRPr="00BA7289">
        <w:rPr>
          <w:rFonts w:ascii="Arial" w:hAnsi="Arial" w:cs="Arial"/>
          <w:sz w:val="24"/>
          <w:szCs w:val="24"/>
        </w:rPr>
        <w:t xml:space="preserve">prison </w:t>
      </w:r>
      <w:r w:rsidRPr="00BA7289">
        <w:rPr>
          <w:rFonts w:ascii="Arial" w:hAnsi="Arial" w:cs="Arial"/>
          <w:sz w:val="24"/>
          <w:szCs w:val="24"/>
        </w:rPr>
        <w:t xml:space="preserve">population had been </w:t>
      </w:r>
      <w:r w:rsidR="00EE3089" w:rsidRPr="00BA7289">
        <w:rPr>
          <w:rFonts w:ascii="Arial" w:hAnsi="Arial" w:cs="Arial"/>
          <w:sz w:val="24"/>
          <w:szCs w:val="24"/>
        </w:rPr>
        <w:t xml:space="preserve">accused or convicted </w:t>
      </w:r>
      <w:r w:rsidRPr="00BA7289">
        <w:rPr>
          <w:rFonts w:ascii="Arial" w:hAnsi="Arial" w:cs="Arial"/>
          <w:sz w:val="24"/>
          <w:szCs w:val="24"/>
        </w:rPr>
        <w:t xml:space="preserve">of domestic violence. </w:t>
      </w:r>
    </w:p>
    <w:p w14:paraId="6CA001FB" w14:textId="73B5CB3D" w:rsidR="00BC4D47" w:rsidRPr="00BA7289" w:rsidRDefault="00D16B1F" w:rsidP="00DC54F7">
      <w:pPr>
        <w:pStyle w:val="ListParagraph"/>
        <w:numPr>
          <w:ilvl w:val="0"/>
          <w:numId w:val="60"/>
        </w:numPr>
        <w:spacing w:after="0" w:line="240" w:lineRule="auto"/>
        <w:jc w:val="both"/>
        <w:rPr>
          <w:rFonts w:ascii="Arial" w:hAnsi="Arial" w:cs="Arial"/>
          <w:sz w:val="24"/>
          <w:szCs w:val="24"/>
        </w:rPr>
      </w:pPr>
      <w:r w:rsidRPr="00BA7289">
        <w:rPr>
          <w:rFonts w:ascii="Arial" w:hAnsi="Arial" w:cs="Arial"/>
          <w:sz w:val="24"/>
          <w:szCs w:val="24"/>
        </w:rPr>
        <w:t>The incidence of self-harm</w:t>
      </w:r>
      <w:r w:rsidR="00DD09A2" w:rsidRPr="00BA7289">
        <w:rPr>
          <w:rFonts w:ascii="Arial" w:hAnsi="Arial" w:cs="Arial"/>
          <w:sz w:val="24"/>
          <w:szCs w:val="24"/>
        </w:rPr>
        <w:t xml:space="preserve"> </w:t>
      </w:r>
      <w:r w:rsidR="006A2770" w:rsidRPr="00BA7289">
        <w:rPr>
          <w:rFonts w:ascii="Arial" w:hAnsi="Arial" w:cs="Arial"/>
          <w:sz w:val="24"/>
          <w:szCs w:val="24"/>
        </w:rPr>
        <w:t xml:space="preserve">had tripled since the previous </w:t>
      </w:r>
      <w:r w:rsidR="0010403A" w:rsidRPr="00BA7289">
        <w:rPr>
          <w:rFonts w:ascii="Arial" w:hAnsi="Arial" w:cs="Arial"/>
          <w:sz w:val="24"/>
          <w:szCs w:val="24"/>
        </w:rPr>
        <w:t>inspection in 2016, with a small number of prisoners repeatedly self</w:t>
      </w:r>
      <w:r w:rsidR="00051990" w:rsidRPr="00BA7289">
        <w:rPr>
          <w:rFonts w:ascii="Arial" w:hAnsi="Arial" w:cs="Arial"/>
          <w:sz w:val="24"/>
          <w:szCs w:val="24"/>
        </w:rPr>
        <w:t xml:space="preserve">-harming. </w:t>
      </w:r>
      <w:r w:rsidR="00516601" w:rsidRPr="00BA7289">
        <w:rPr>
          <w:rFonts w:ascii="Arial" w:hAnsi="Arial" w:cs="Arial"/>
          <w:sz w:val="24"/>
          <w:szCs w:val="24"/>
        </w:rPr>
        <w:t xml:space="preserve"> </w:t>
      </w:r>
    </w:p>
    <w:p w14:paraId="7D0FBBFB" w14:textId="124ADAD5" w:rsidR="001D7A6A" w:rsidRPr="00BA7289" w:rsidRDefault="00266F54" w:rsidP="00DC54F7">
      <w:pPr>
        <w:pStyle w:val="ListParagraph"/>
        <w:numPr>
          <w:ilvl w:val="0"/>
          <w:numId w:val="60"/>
        </w:numPr>
        <w:spacing w:after="0" w:line="240" w:lineRule="auto"/>
        <w:jc w:val="both"/>
        <w:rPr>
          <w:rFonts w:ascii="Arial" w:hAnsi="Arial" w:cs="Arial"/>
          <w:sz w:val="24"/>
          <w:szCs w:val="24"/>
        </w:rPr>
      </w:pPr>
      <w:r w:rsidRPr="00BA7289">
        <w:rPr>
          <w:rFonts w:ascii="Arial" w:hAnsi="Arial" w:cs="Arial"/>
          <w:sz w:val="24"/>
          <w:szCs w:val="24"/>
        </w:rPr>
        <w:lastRenderedPageBreak/>
        <w:t>Over the previous six months, 47% of prisoners had been released without having a home to go to.</w:t>
      </w:r>
    </w:p>
    <w:p w14:paraId="5CB9E5C2" w14:textId="65689D07" w:rsidR="001D7A6A" w:rsidRDefault="001D7A6A" w:rsidP="00DC54F7">
      <w:pPr>
        <w:spacing w:after="0" w:line="240" w:lineRule="auto"/>
        <w:jc w:val="both"/>
        <w:rPr>
          <w:rFonts w:ascii="Arial" w:hAnsi="Arial" w:cs="Arial"/>
        </w:rPr>
      </w:pPr>
    </w:p>
    <w:p w14:paraId="0528DAEB" w14:textId="77777777" w:rsidR="00081D6C" w:rsidRDefault="00081D6C" w:rsidP="00DC54F7">
      <w:pPr>
        <w:spacing w:after="0" w:line="240" w:lineRule="auto"/>
        <w:jc w:val="both"/>
        <w:rPr>
          <w:rFonts w:ascii="Arial" w:hAnsi="Arial" w:cs="Arial"/>
        </w:rPr>
      </w:pPr>
    </w:p>
    <w:p w14:paraId="603FC364" w14:textId="67C13B7C" w:rsidR="006210BE" w:rsidRDefault="006210BE" w:rsidP="00DC54F7">
      <w:pPr>
        <w:spacing w:after="0" w:line="240" w:lineRule="auto"/>
        <w:jc w:val="both"/>
        <w:rPr>
          <w:rFonts w:ascii="Arial" w:hAnsi="Arial" w:cs="Arial"/>
          <w:b/>
          <w:sz w:val="26"/>
          <w:szCs w:val="26"/>
        </w:rPr>
      </w:pPr>
      <w:r w:rsidRPr="00A10850">
        <w:rPr>
          <w:rFonts w:ascii="Arial" w:hAnsi="Arial" w:cs="Arial"/>
          <w:b/>
          <w:sz w:val="26"/>
          <w:szCs w:val="26"/>
        </w:rPr>
        <w:t>2.1</w:t>
      </w:r>
      <w:r w:rsidR="00D3388A" w:rsidRPr="00A10850">
        <w:rPr>
          <w:rFonts w:ascii="Arial" w:hAnsi="Arial" w:cs="Arial"/>
          <w:b/>
          <w:sz w:val="26"/>
          <w:szCs w:val="26"/>
        </w:rPr>
        <w:t>8</w:t>
      </w:r>
      <w:r w:rsidRPr="00A10850">
        <w:rPr>
          <w:rFonts w:ascii="Arial" w:hAnsi="Arial" w:cs="Arial"/>
          <w:b/>
          <w:sz w:val="26"/>
          <w:szCs w:val="26"/>
        </w:rPr>
        <w:t xml:space="preserve"> Homeless and rough sleepers</w:t>
      </w:r>
    </w:p>
    <w:p w14:paraId="131E06ED" w14:textId="01FC6F2B" w:rsidR="003F6382" w:rsidRDefault="003F6382" w:rsidP="00DC54F7">
      <w:pPr>
        <w:spacing w:after="0" w:line="240" w:lineRule="auto"/>
        <w:jc w:val="both"/>
        <w:rPr>
          <w:rFonts w:ascii="Arial" w:hAnsi="Arial" w:cs="Arial"/>
          <w:b/>
          <w:sz w:val="26"/>
          <w:szCs w:val="26"/>
        </w:rPr>
      </w:pPr>
    </w:p>
    <w:p w14:paraId="3E810F32" w14:textId="40D5A36F" w:rsidR="00C11663" w:rsidRPr="00BA7289" w:rsidRDefault="00D42DEE" w:rsidP="00DC54F7">
      <w:pPr>
        <w:spacing w:after="0" w:line="240" w:lineRule="auto"/>
        <w:jc w:val="both"/>
        <w:rPr>
          <w:rFonts w:ascii="Arial" w:hAnsi="Arial" w:cs="Arial"/>
          <w:sz w:val="24"/>
          <w:szCs w:val="24"/>
        </w:rPr>
      </w:pPr>
      <w:r w:rsidRPr="00BA7289">
        <w:rPr>
          <w:rFonts w:ascii="Arial" w:hAnsi="Arial" w:cs="Arial"/>
          <w:sz w:val="24"/>
          <w:szCs w:val="24"/>
        </w:rPr>
        <w:t xml:space="preserve">The </w:t>
      </w:r>
      <w:r w:rsidR="007B39F5" w:rsidRPr="00BA7289">
        <w:rPr>
          <w:rFonts w:ascii="Arial" w:hAnsi="Arial" w:cs="Arial"/>
          <w:sz w:val="24"/>
          <w:szCs w:val="24"/>
        </w:rPr>
        <w:t>national rough sleeper monitoring exercise</w:t>
      </w:r>
      <w:r w:rsidRPr="00BA7289">
        <w:rPr>
          <w:rFonts w:ascii="Arial" w:hAnsi="Arial" w:cs="Arial"/>
          <w:sz w:val="24"/>
          <w:szCs w:val="24"/>
        </w:rPr>
        <w:t xml:space="preserve"> </w:t>
      </w:r>
      <w:r w:rsidR="00001885" w:rsidRPr="00BA7289">
        <w:rPr>
          <w:rFonts w:ascii="Arial" w:hAnsi="Arial" w:cs="Arial"/>
          <w:sz w:val="24"/>
          <w:szCs w:val="24"/>
        </w:rPr>
        <w:t xml:space="preserve">consists of a </w:t>
      </w:r>
      <w:r w:rsidR="002221F0" w:rsidRPr="00BA7289">
        <w:rPr>
          <w:rFonts w:ascii="Arial" w:hAnsi="Arial" w:cs="Arial"/>
          <w:sz w:val="24"/>
          <w:szCs w:val="24"/>
        </w:rPr>
        <w:t>one night snapshot count</w:t>
      </w:r>
      <w:r w:rsidR="003F1F9B" w:rsidRPr="00BA7289">
        <w:rPr>
          <w:rFonts w:ascii="Arial" w:hAnsi="Arial" w:cs="Arial"/>
          <w:sz w:val="24"/>
          <w:szCs w:val="24"/>
        </w:rPr>
        <w:t>,</w:t>
      </w:r>
      <w:r w:rsidR="002221F0" w:rsidRPr="00BA7289">
        <w:rPr>
          <w:rFonts w:ascii="Arial" w:hAnsi="Arial" w:cs="Arial"/>
          <w:sz w:val="24"/>
          <w:szCs w:val="24"/>
        </w:rPr>
        <w:t xml:space="preserve"> as well as data collected over a two week period</w:t>
      </w:r>
      <w:r w:rsidR="003F1F9B" w:rsidRPr="00BA7289">
        <w:rPr>
          <w:rFonts w:ascii="Arial" w:hAnsi="Arial" w:cs="Arial"/>
          <w:sz w:val="24"/>
          <w:szCs w:val="24"/>
        </w:rPr>
        <w:t>,</w:t>
      </w:r>
      <w:r w:rsidR="002221F0" w:rsidRPr="00BA7289">
        <w:rPr>
          <w:rFonts w:ascii="Arial" w:hAnsi="Arial" w:cs="Arial"/>
          <w:sz w:val="24"/>
          <w:szCs w:val="24"/>
        </w:rPr>
        <w:t xml:space="preserve"> </w:t>
      </w:r>
      <w:r w:rsidR="00893D37" w:rsidRPr="00BA7289">
        <w:rPr>
          <w:rFonts w:ascii="Arial" w:hAnsi="Arial" w:cs="Arial"/>
          <w:sz w:val="24"/>
          <w:szCs w:val="24"/>
        </w:rPr>
        <w:t xml:space="preserve">to gain a better understanding of rough sleeping across Wales. </w:t>
      </w:r>
      <w:r w:rsidR="00E46115" w:rsidRPr="00BA7289">
        <w:rPr>
          <w:rFonts w:ascii="Arial" w:hAnsi="Arial" w:cs="Arial"/>
          <w:sz w:val="24"/>
          <w:szCs w:val="24"/>
        </w:rPr>
        <w:t>A</w:t>
      </w:r>
      <w:r w:rsidR="00F83D63" w:rsidRPr="00BA7289">
        <w:rPr>
          <w:rFonts w:ascii="Arial" w:hAnsi="Arial" w:cs="Arial"/>
          <w:sz w:val="24"/>
          <w:szCs w:val="24"/>
        </w:rPr>
        <w:t xml:space="preserve"> </w:t>
      </w:r>
      <w:r w:rsidR="008E3077" w:rsidRPr="00BA7289">
        <w:rPr>
          <w:rFonts w:ascii="Arial" w:hAnsi="Arial" w:cs="Arial"/>
          <w:sz w:val="24"/>
          <w:szCs w:val="24"/>
        </w:rPr>
        <w:t>range of factors can impact o</w:t>
      </w:r>
      <w:r w:rsidR="005C0C9D" w:rsidRPr="00BA7289">
        <w:rPr>
          <w:rFonts w:ascii="Arial" w:hAnsi="Arial" w:cs="Arial"/>
          <w:sz w:val="24"/>
          <w:szCs w:val="24"/>
        </w:rPr>
        <w:t xml:space="preserve">n the monitoring exercise, especially on the </w:t>
      </w:r>
      <w:r w:rsidR="008E3077" w:rsidRPr="00BA7289">
        <w:rPr>
          <w:rFonts w:ascii="Arial" w:hAnsi="Arial" w:cs="Arial"/>
          <w:sz w:val="24"/>
          <w:szCs w:val="24"/>
        </w:rPr>
        <w:t>single night count</w:t>
      </w:r>
      <w:r w:rsidR="00F83D63" w:rsidRPr="00BA7289">
        <w:rPr>
          <w:rFonts w:ascii="Arial" w:hAnsi="Arial" w:cs="Arial"/>
          <w:sz w:val="24"/>
          <w:szCs w:val="24"/>
        </w:rPr>
        <w:t>,</w:t>
      </w:r>
      <w:r w:rsidR="008E3077" w:rsidRPr="00BA7289">
        <w:rPr>
          <w:rFonts w:ascii="Arial" w:hAnsi="Arial" w:cs="Arial"/>
          <w:sz w:val="24"/>
          <w:szCs w:val="24"/>
        </w:rPr>
        <w:t xml:space="preserve"> including location, timing</w:t>
      </w:r>
      <w:r w:rsidR="00F83D63" w:rsidRPr="00BA7289">
        <w:rPr>
          <w:rFonts w:ascii="Arial" w:hAnsi="Arial" w:cs="Arial"/>
          <w:sz w:val="24"/>
          <w:szCs w:val="24"/>
        </w:rPr>
        <w:t xml:space="preserve">, </w:t>
      </w:r>
      <w:r w:rsidR="008E3077" w:rsidRPr="00BA7289">
        <w:rPr>
          <w:rFonts w:ascii="Arial" w:hAnsi="Arial" w:cs="Arial"/>
          <w:sz w:val="24"/>
          <w:szCs w:val="24"/>
        </w:rPr>
        <w:t>weather</w:t>
      </w:r>
      <w:r w:rsidR="00F83D63" w:rsidRPr="00BA7289">
        <w:rPr>
          <w:rFonts w:ascii="Arial" w:hAnsi="Arial" w:cs="Arial"/>
          <w:sz w:val="24"/>
          <w:szCs w:val="24"/>
        </w:rPr>
        <w:t xml:space="preserve"> and service engagement</w:t>
      </w:r>
      <w:r w:rsidR="00651352" w:rsidRPr="00BA7289">
        <w:rPr>
          <w:rFonts w:ascii="Arial" w:hAnsi="Arial" w:cs="Arial"/>
          <w:sz w:val="24"/>
          <w:szCs w:val="24"/>
        </w:rPr>
        <w:t xml:space="preserve">, </w:t>
      </w:r>
      <w:r w:rsidR="00E46115" w:rsidRPr="00BA7289">
        <w:rPr>
          <w:rFonts w:ascii="Arial" w:hAnsi="Arial" w:cs="Arial"/>
          <w:sz w:val="24"/>
          <w:szCs w:val="24"/>
        </w:rPr>
        <w:t>and it</w:t>
      </w:r>
      <w:r w:rsidR="00E83954" w:rsidRPr="00BA7289">
        <w:rPr>
          <w:rFonts w:ascii="Arial" w:hAnsi="Arial" w:cs="Arial"/>
          <w:sz w:val="24"/>
          <w:szCs w:val="24"/>
        </w:rPr>
        <w:t xml:space="preserve"> is important to bear this in mind when considering the results.</w:t>
      </w:r>
    </w:p>
    <w:p w14:paraId="0F34103C" w14:textId="5B5F8A1D" w:rsidR="00830147" w:rsidRPr="00BA7289" w:rsidRDefault="00830147" w:rsidP="00DC54F7">
      <w:pPr>
        <w:spacing w:after="0" w:line="240" w:lineRule="auto"/>
        <w:jc w:val="both"/>
        <w:rPr>
          <w:rFonts w:ascii="Arial" w:hAnsi="Arial" w:cs="Arial"/>
          <w:sz w:val="24"/>
          <w:szCs w:val="24"/>
        </w:rPr>
      </w:pPr>
    </w:p>
    <w:p w14:paraId="3BF089EF" w14:textId="211E0269" w:rsidR="00830147" w:rsidRPr="00BA7289" w:rsidRDefault="00830147" w:rsidP="00DC54F7">
      <w:pPr>
        <w:spacing w:after="0" w:line="240" w:lineRule="auto"/>
        <w:contextualSpacing/>
        <w:jc w:val="both"/>
        <w:rPr>
          <w:rFonts w:ascii="Arial" w:hAnsi="Arial" w:cs="Arial"/>
          <w:sz w:val="24"/>
          <w:szCs w:val="24"/>
        </w:rPr>
      </w:pPr>
      <w:r w:rsidRPr="00BA7289">
        <w:rPr>
          <w:rFonts w:ascii="Arial" w:hAnsi="Arial" w:cs="Arial"/>
          <w:sz w:val="24"/>
          <w:szCs w:val="24"/>
          <w:lang w:val="en-US"/>
        </w:rPr>
        <w:t xml:space="preserve">The estimated count is based on data collected over a two week period, </w:t>
      </w:r>
      <w:r w:rsidRPr="00BA7289">
        <w:rPr>
          <w:rFonts w:ascii="Arial" w:hAnsi="Arial" w:cs="Arial"/>
          <w:sz w:val="24"/>
          <w:szCs w:val="24"/>
        </w:rPr>
        <w:t xml:space="preserve">between 14th and 27th October 2019, </w:t>
      </w:r>
      <w:r w:rsidRPr="00BA7289">
        <w:rPr>
          <w:rFonts w:ascii="Arial" w:hAnsi="Arial" w:cs="Arial"/>
          <w:sz w:val="24"/>
          <w:szCs w:val="24"/>
          <w:lang w:val="en-US"/>
        </w:rPr>
        <w:t xml:space="preserve">with assistance from the voluntary sector, faith groups, local businesses/residents, health and substance misuse agencies, and the police. Over this period, </w:t>
      </w:r>
      <w:r w:rsidRPr="00BA7289">
        <w:rPr>
          <w:rFonts w:ascii="Arial" w:hAnsi="Arial" w:cs="Arial"/>
          <w:sz w:val="24"/>
          <w:szCs w:val="24"/>
        </w:rPr>
        <w:t>Cardiff had the highest estimated number of rough sleepers (92)</w:t>
      </w:r>
      <w:r w:rsidR="00106B44" w:rsidRPr="00BA7289">
        <w:rPr>
          <w:rFonts w:ascii="Arial" w:hAnsi="Arial" w:cs="Arial"/>
          <w:sz w:val="24"/>
          <w:szCs w:val="24"/>
        </w:rPr>
        <w:t xml:space="preserve"> in Wales</w:t>
      </w:r>
      <w:r w:rsidRPr="00BA7289">
        <w:rPr>
          <w:rFonts w:ascii="Arial" w:hAnsi="Arial" w:cs="Arial"/>
          <w:sz w:val="24"/>
          <w:szCs w:val="24"/>
        </w:rPr>
        <w:t xml:space="preserve">, which was a decrease of eight persons since 2018. The Vale of Glamorgan had one of the lowest estimated numbers of </w:t>
      </w:r>
      <w:r w:rsidR="00651323" w:rsidRPr="00BA7289">
        <w:rPr>
          <w:rFonts w:ascii="Arial" w:hAnsi="Arial" w:cs="Arial"/>
          <w:sz w:val="24"/>
          <w:szCs w:val="24"/>
        </w:rPr>
        <w:t>rough sleepers</w:t>
      </w:r>
      <w:r w:rsidRPr="00BA7289">
        <w:rPr>
          <w:rFonts w:ascii="Arial" w:hAnsi="Arial" w:cs="Arial"/>
          <w:sz w:val="24"/>
          <w:szCs w:val="24"/>
        </w:rPr>
        <w:t xml:space="preserve">, with only one rough sleeper, the same as 2018. </w:t>
      </w:r>
    </w:p>
    <w:p w14:paraId="15E869F9" w14:textId="77777777" w:rsidR="00830147" w:rsidRPr="00BA7289" w:rsidRDefault="00830147" w:rsidP="00DC54F7">
      <w:pPr>
        <w:spacing w:after="0" w:line="240" w:lineRule="auto"/>
        <w:contextualSpacing/>
        <w:jc w:val="both"/>
        <w:rPr>
          <w:rFonts w:ascii="Arial" w:hAnsi="Arial" w:cs="Arial"/>
          <w:sz w:val="24"/>
          <w:szCs w:val="24"/>
        </w:rPr>
      </w:pPr>
    </w:p>
    <w:p w14:paraId="7B425CD6" w14:textId="3DD8FEF9" w:rsidR="00830147" w:rsidRPr="00BA7289" w:rsidRDefault="00830147" w:rsidP="00DC54F7">
      <w:pPr>
        <w:spacing w:after="0" w:line="240" w:lineRule="auto"/>
        <w:jc w:val="both"/>
        <w:rPr>
          <w:rFonts w:ascii="Arial" w:hAnsi="Arial" w:cs="Arial"/>
          <w:sz w:val="24"/>
          <w:szCs w:val="24"/>
        </w:rPr>
      </w:pPr>
      <w:r w:rsidRPr="00BA7289">
        <w:rPr>
          <w:rFonts w:ascii="Arial" w:hAnsi="Arial" w:cs="Arial"/>
          <w:sz w:val="24"/>
          <w:szCs w:val="24"/>
        </w:rPr>
        <w:t xml:space="preserve">The one night snapshot count was carried out between the hours of 10pm on Thursday 7th November and 5am on Friday 8th November 2019. Cardiff (57) had the highest total count of rough sleepers (57) of all the </w:t>
      </w:r>
      <w:r w:rsidR="00567F4B" w:rsidRPr="00BA7289">
        <w:rPr>
          <w:rFonts w:ascii="Arial" w:hAnsi="Arial" w:cs="Arial"/>
          <w:sz w:val="24"/>
          <w:szCs w:val="24"/>
        </w:rPr>
        <w:t>local</w:t>
      </w:r>
      <w:r w:rsidRPr="00BA7289">
        <w:rPr>
          <w:rFonts w:ascii="Arial" w:hAnsi="Arial" w:cs="Arial"/>
          <w:sz w:val="24"/>
          <w:szCs w:val="24"/>
        </w:rPr>
        <w:t xml:space="preserve"> authorities in Wales. It also ha</w:t>
      </w:r>
      <w:r w:rsidR="005C153C" w:rsidRPr="00BA7289">
        <w:rPr>
          <w:rFonts w:ascii="Arial" w:hAnsi="Arial" w:cs="Arial"/>
          <w:sz w:val="24"/>
          <w:szCs w:val="24"/>
        </w:rPr>
        <w:t>d</w:t>
      </w:r>
      <w:r w:rsidRPr="00BA7289">
        <w:rPr>
          <w:rFonts w:ascii="Arial" w:hAnsi="Arial" w:cs="Arial"/>
          <w:sz w:val="24"/>
          <w:szCs w:val="24"/>
        </w:rPr>
        <w:t xml:space="preserve"> the highest number of emergency bed spaces (114), which were fully occupied on the night of the count. In comparison, the Vale of Glamorgan had one of the lowest total counts of rough sleepers (one) and as such has no emergency bed spaces.</w:t>
      </w:r>
    </w:p>
    <w:p w14:paraId="48BA67C2" w14:textId="322B4B07" w:rsidR="00C4027E" w:rsidRPr="00BA7289" w:rsidRDefault="00C4027E" w:rsidP="00DC54F7">
      <w:pPr>
        <w:spacing w:after="0" w:line="240" w:lineRule="auto"/>
        <w:jc w:val="both"/>
        <w:rPr>
          <w:rFonts w:ascii="Arial" w:hAnsi="Arial" w:cs="Arial"/>
          <w:sz w:val="24"/>
          <w:szCs w:val="24"/>
        </w:rPr>
      </w:pPr>
    </w:p>
    <w:p w14:paraId="4EA61267" w14:textId="79B127D5" w:rsidR="00C4027E" w:rsidRPr="00BA7289" w:rsidRDefault="00C4027E" w:rsidP="00DC54F7">
      <w:pPr>
        <w:spacing w:after="0" w:line="240" w:lineRule="auto"/>
        <w:jc w:val="both"/>
        <w:rPr>
          <w:rFonts w:ascii="Arial" w:hAnsi="Arial" w:cs="Arial"/>
          <w:sz w:val="24"/>
          <w:szCs w:val="24"/>
        </w:rPr>
      </w:pPr>
      <w:r w:rsidRPr="00BA7289">
        <w:rPr>
          <w:rFonts w:ascii="Arial" w:hAnsi="Arial" w:cs="Arial"/>
          <w:sz w:val="24"/>
          <w:szCs w:val="24"/>
        </w:rPr>
        <w:t xml:space="preserve">The </w:t>
      </w:r>
      <w:r w:rsidR="00F60815" w:rsidRPr="00BA7289">
        <w:rPr>
          <w:rFonts w:ascii="Arial" w:hAnsi="Arial" w:cs="Arial"/>
          <w:sz w:val="24"/>
          <w:szCs w:val="24"/>
        </w:rPr>
        <w:t>Coronavirus (COVID-19)</w:t>
      </w:r>
      <w:r w:rsidRPr="00BA7289">
        <w:rPr>
          <w:rFonts w:ascii="Arial" w:hAnsi="Arial" w:cs="Arial"/>
          <w:sz w:val="24"/>
          <w:szCs w:val="24"/>
        </w:rPr>
        <w:t xml:space="preserve"> pandemic has had an impact on the number of rough sleepers, with more people supported into accommodation and fewer rough sleepers during the pandemic.</w:t>
      </w:r>
    </w:p>
    <w:p w14:paraId="7BDE9BB4" w14:textId="7830D258" w:rsidR="008E3077" w:rsidRPr="00A10850" w:rsidRDefault="008E3077" w:rsidP="00DC54F7">
      <w:pPr>
        <w:spacing w:after="0" w:line="240" w:lineRule="auto"/>
        <w:jc w:val="both"/>
        <w:rPr>
          <w:rFonts w:ascii="Arial" w:hAnsi="Arial" w:cs="Arial"/>
          <w:b/>
          <w:sz w:val="26"/>
          <w:szCs w:val="26"/>
        </w:rPr>
      </w:pPr>
    </w:p>
    <w:p w14:paraId="60471C71" w14:textId="54701BB8" w:rsidR="00CD29F7" w:rsidRPr="00BA7289" w:rsidRDefault="003B6E14" w:rsidP="00DC54F7">
      <w:pPr>
        <w:spacing w:after="0" w:line="240" w:lineRule="auto"/>
        <w:jc w:val="both"/>
        <w:rPr>
          <w:rFonts w:ascii="Arial" w:eastAsia="Times New Roman" w:hAnsi="Arial" w:cs="Arial"/>
          <w:b/>
          <w:bCs/>
          <w:color w:val="000000"/>
          <w:sz w:val="24"/>
          <w:szCs w:val="24"/>
          <w:lang w:eastAsia="en-GB"/>
        </w:rPr>
      </w:pPr>
      <w:r w:rsidRPr="00BA7289">
        <w:rPr>
          <w:rFonts w:ascii="Arial" w:hAnsi="Arial" w:cs="Arial"/>
          <w:b/>
          <w:bCs/>
          <w:sz w:val="24"/>
          <w:szCs w:val="24"/>
          <w:lang w:val="en-US"/>
        </w:rPr>
        <w:t>Table</w:t>
      </w:r>
      <w:r w:rsidR="003D65CC" w:rsidRPr="00BA7289">
        <w:rPr>
          <w:rFonts w:ascii="Arial" w:hAnsi="Arial" w:cs="Arial"/>
          <w:b/>
          <w:bCs/>
          <w:sz w:val="24"/>
          <w:szCs w:val="24"/>
          <w:lang w:val="en-US"/>
        </w:rPr>
        <w:t xml:space="preserve"> 2.1</w:t>
      </w:r>
      <w:r w:rsidR="003A02E4" w:rsidRPr="00BA7289">
        <w:rPr>
          <w:rFonts w:ascii="Arial" w:hAnsi="Arial" w:cs="Arial"/>
          <w:b/>
          <w:bCs/>
          <w:sz w:val="24"/>
          <w:szCs w:val="24"/>
          <w:lang w:val="en-US"/>
        </w:rPr>
        <w:t>7</w:t>
      </w:r>
      <w:r w:rsidRPr="00BA7289">
        <w:rPr>
          <w:rFonts w:ascii="Arial" w:hAnsi="Arial" w:cs="Arial"/>
          <w:b/>
          <w:bCs/>
          <w:sz w:val="24"/>
          <w:szCs w:val="24"/>
          <w:lang w:val="en-US"/>
        </w:rPr>
        <w:t xml:space="preserve">: </w:t>
      </w:r>
      <w:r w:rsidRPr="00BA7289">
        <w:rPr>
          <w:rFonts w:ascii="Arial" w:eastAsia="Times New Roman" w:hAnsi="Arial" w:cs="Arial"/>
          <w:b/>
          <w:bCs/>
          <w:color w:val="000000"/>
          <w:sz w:val="24"/>
          <w:szCs w:val="24"/>
          <w:lang w:eastAsia="en-GB"/>
        </w:rPr>
        <w:t xml:space="preserve">Rough </w:t>
      </w:r>
      <w:r w:rsidR="00BC2352" w:rsidRPr="00BA7289">
        <w:rPr>
          <w:rFonts w:ascii="Arial" w:eastAsia="Times New Roman" w:hAnsi="Arial" w:cs="Arial"/>
          <w:b/>
          <w:bCs/>
          <w:color w:val="000000"/>
          <w:sz w:val="24"/>
          <w:szCs w:val="24"/>
          <w:lang w:eastAsia="en-GB"/>
        </w:rPr>
        <w:t>s</w:t>
      </w:r>
      <w:r w:rsidRPr="00BA7289">
        <w:rPr>
          <w:rFonts w:ascii="Arial" w:eastAsia="Times New Roman" w:hAnsi="Arial" w:cs="Arial"/>
          <w:b/>
          <w:bCs/>
          <w:color w:val="000000"/>
          <w:sz w:val="24"/>
          <w:szCs w:val="24"/>
          <w:lang w:eastAsia="en-GB"/>
        </w:rPr>
        <w:t xml:space="preserve">leeper </w:t>
      </w:r>
      <w:r w:rsidR="00BC2352" w:rsidRPr="00BA7289">
        <w:rPr>
          <w:rFonts w:ascii="Arial" w:eastAsia="Times New Roman" w:hAnsi="Arial" w:cs="Arial"/>
          <w:b/>
          <w:bCs/>
          <w:color w:val="000000"/>
          <w:sz w:val="24"/>
          <w:szCs w:val="24"/>
          <w:lang w:eastAsia="en-GB"/>
        </w:rPr>
        <w:t>c</w:t>
      </w:r>
      <w:r w:rsidR="00F80BED" w:rsidRPr="00BA7289">
        <w:rPr>
          <w:rFonts w:ascii="Arial" w:eastAsia="Times New Roman" w:hAnsi="Arial" w:cs="Arial"/>
          <w:b/>
          <w:bCs/>
          <w:color w:val="000000"/>
          <w:sz w:val="24"/>
          <w:szCs w:val="24"/>
          <w:lang w:eastAsia="en-GB"/>
        </w:rPr>
        <w:t xml:space="preserve">ount </w:t>
      </w:r>
      <w:r w:rsidRPr="00BA7289">
        <w:rPr>
          <w:rFonts w:ascii="Arial" w:eastAsia="Times New Roman" w:hAnsi="Arial" w:cs="Arial"/>
          <w:b/>
          <w:bCs/>
          <w:color w:val="000000"/>
          <w:sz w:val="24"/>
          <w:szCs w:val="24"/>
          <w:lang w:eastAsia="en-GB"/>
        </w:rPr>
        <w:t xml:space="preserve">by </w:t>
      </w:r>
      <w:r w:rsidR="00567F4B" w:rsidRPr="00BA7289">
        <w:rPr>
          <w:rFonts w:ascii="Arial" w:eastAsia="Times New Roman" w:hAnsi="Arial" w:cs="Arial"/>
          <w:b/>
          <w:bCs/>
          <w:color w:val="000000"/>
          <w:sz w:val="24"/>
          <w:szCs w:val="24"/>
          <w:lang w:eastAsia="en-GB"/>
        </w:rPr>
        <w:t>local</w:t>
      </w:r>
      <w:r w:rsidRPr="00BA7289">
        <w:rPr>
          <w:rFonts w:ascii="Arial" w:eastAsia="Times New Roman" w:hAnsi="Arial" w:cs="Arial"/>
          <w:b/>
          <w:bCs/>
          <w:color w:val="000000"/>
          <w:sz w:val="24"/>
          <w:szCs w:val="24"/>
          <w:lang w:eastAsia="en-GB"/>
        </w:rPr>
        <w:t xml:space="preserve"> authority, health board, Wales, </w:t>
      </w:r>
      <w:r w:rsidR="00ED13FE" w:rsidRPr="00BA7289">
        <w:rPr>
          <w:rFonts w:ascii="Arial" w:eastAsia="Times New Roman" w:hAnsi="Arial" w:cs="Arial"/>
          <w:b/>
          <w:bCs/>
          <w:color w:val="000000"/>
          <w:sz w:val="24"/>
          <w:szCs w:val="24"/>
          <w:lang w:eastAsia="en-GB"/>
        </w:rPr>
        <w:t>2019-2020.</w:t>
      </w:r>
    </w:p>
    <w:tbl>
      <w:tblPr>
        <w:tblW w:w="8926" w:type="dxa"/>
        <w:tblBorders>
          <w:top w:val="single" w:sz="4" w:space="0" w:color="auto"/>
          <w:left w:val="single" w:sz="4" w:space="0" w:color="auto"/>
          <w:bottom w:val="single" w:sz="4" w:space="0" w:color="auto"/>
          <w:right w:val="single" w:sz="4" w:space="0" w:color="auto"/>
          <w:insideH w:val="single" w:sz="4" w:space="0" w:color="C9C9C9"/>
        </w:tblBorders>
        <w:tblLook w:val="04A0" w:firstRow="1" w:lastRow="0" w:firstColumn="1" w:lastColumn="0" w:noHBand="0" w:noVBand="1"/>
      </w:tblPr>
      <w:tblGrid>
        <w:gridCol w:w="2222"/>
        <w:gridCol w:w="1676"/>
        <w:gridCol w:w="1676"/>
        <w:gridCol w:w="1676"/>
        <w:gridCol w:w="1676"/>
      </w:tblGrid>
      <w:tr w:rsidR="00837EF3" w:rsidRPr="00837EF3" w14:paraId="2EEE6274" w14:textId="77777777" w:rsidTr="00387321">
        <w:trPr>
          <w:trHeight w:val="841"/>
        </w:trPr>
        <w:tc>
          <w:tcPr>
            <w:tcW w:w="2222" w:type="dxa"/>
            <w:shd w:val="clear" w:color="000000" w:fill="8497B0"/>
            <w:noWrap/>
            <w:vAlign w:val="bottom"/>
            <w:hideMark/>
          </w:tcPr>
          <w:p w14:paraId="50BDDF0F" w14:textId="77777777" w:rsidR="00837EF3" w:rsidRPr="00837EF3" w:rsidRDefault="00837EF3" w:rsidP="00DC54F7">
            <w:pPr>
              <w:spacing w:after="0" w:line="240" w:lineRule="auto"/>
              <w:jc w:val="both"/>
              <w:rPr>
                <w:rFonts w:ascii="Calibri" w:eastAsia="Times New Roman" w:hAnsi="Calibri" w:cs="Calibri"/>
                <w:b/>
                <w:bCs/>
                <w:color w:val="FFFFFF"/>
                <w:lang w:eastAsia="en-GB"/>
              </w:rPr>
            </w:pPr>
            <w:r w:rsidRPr="00837EF3">
              <w:rPr>
                <w:rFonts w:ascii="Calibri" w:eastAsia="Times New Roman" w:hAnsi="Calibri" w:cs="Calibri"/>
                <w:b/>
                <w:bCs/>
                <w:color w:val="FFFFFF"/>
                <w:lang w:eastAsia="en-GB"/>
              </w:rPr>
              <w:t>Area</w:t>
            </w:r>
          </w:p>
        </w:tc>
        <w:tc>
          <w:tcPr>
            <w:tcW w:w="1676" w:type="dxa"/>
            <w:shd w:val="clear" w:color="000000" w:fill="8497B0"/>
            <w:vAlign w:val="bottom"/>
            <w:hideMark/>
          </w:tcPr>
          <w:p w14:paraId="1F23261B" w14:textId="77777777" w:rsidR="00837EF3" w:rsidRPr="00837EF3" w:rsidRDefault="00837EF3" w:rsidP="00DC54F7">
            <w:pPr>
              <w:spacing w:after="0" w:line="240" w:lineRule="auto"/>
              <w:jc w:val="both"/>
              <w:rPr>
                <w:rFonts w:ascii="Calibri" w:eastAsia="Times New Roman" w:hAnsi="Calibri" w:cs="Calibri"/>
                <w:b/>
                <w:bCs/>
                <w:color w:val="FFFFFF"/>
                <w:lang w:eastAsia="en-GB"/>
              </w:rPr>
            </w:pPr>
            <w:r w:rsidRPr="00837EF3">
              <w:rPr>
                <w:rFonts w:ascii="Calibri" w:eastAsia="Times New Roman" w:hAnsi="Calibri" w:cs="Calibri"/>
                <w:b/>
                <w:bCs/>
                <w:color w:val="FFFFFF"/>
                <w:lang w:eastAsia="en-GB"/>
              </w:rPr>
              <w:t xml:space="preserve">Total count of rough sleepers </w:t>
            </w:r>
          </w:p>
        </w:tc>
        <w:tc>
          <w:tcPr>
            <w:tcW w:w="1676" w:type="dxa"/>
            <w:shd w:val="clear" w:color="000000" w:fill="8497B0"/>
            <w:vAlign w:val="bottom"/>
            <w:hideMark/>
          </w:tcPr>
          <w:p w14:paraId="2279A39D" w14:textId="77777777" w:rsidR="00837EF3" w:rsidRPr="00837EF3" w:rsidRDefault="00837EF3" w:rsidP="00DC54F7">
            <w:pPr>
              <w:spacing w:after="0" w:line="240" w:lineRule="auto"/>
              <w:jc w:val="both"/>
              <w:rPr>
                <w:rFonts w:ascii="Calibri" w:eastAsia="Times New Roman" w:hAnsi="Calibri" w:cs="Calibri"/>
                <w:b/>
                <w:bCs/>
                <w:color w:val="FFFFFF"/>
                <w:lang w:eastAsia="en-GB"/>
              </w:rPr>
            </w:pPr>
            <w:r w:rsidRPr="00837EF3">
              <w:rPr>
                <w:rFonts w:ascii="Calibri" w:eastAsia="Times New Roman" w:hAnsi="Calibri" w:cs="Calibri"/>
                <w:b/>
                <w:bCs/>
                <w:color w:val="FFFFFF"/>
                <w:lang w:eastAsia="en-GB"/>
              </w:rPr>
              <w:t xml:space="preserve">Total number of emergency bed spaces </w:t>
            </w:r>
          </w:p>
        </w:tc>
        <w:tc>
          <w:tcPr>
            <w:tcW w:w="1676" w:type="dxa"/>
            <w:shd w:val="clear" w:color="000000" w:fill="8497B0"/>
            <w:vAlign w:val="bottom"/>
            <w:hideMark/>
          </w:tcPr>
          <w:p w14:paraId="2F8694A7" w14:textId="77777777" w:rsidR="00837EF3" w:rsidRPr="00837EF3" w:rsidRDefault="00837EF3" w:rsidP="00DC54F7">
            <w:pPr>
              <w:spacing w:after="0" w:line="240" w:lineRule="auto"/>
              <w:jc w:val="both"/>
              <w:rPr>
                <w:rFonts w:ascii="Calibri" w:eastAsia="Times New Roman" w:hAnsi="Calibri" w:cs="Calibri"/>
                <w:b/>
                <w:bCs/>
                <w:color w:val="FFFFFF"/>
                <w:lang w:eastAsia="en-GB"/>
              </w:rPr>
            </w:pPr>
            <w:r w:rsidRPr="00837EF3">
              <w:rPr>
                <w:rFonts w:ascii="Calibri" w:eastAsia="Times New Roman" w:hAnsi="Calibri" w:cs="Calibri"/>
                <w:b/>
                <w:bCs/>
                <w:color w:val="FFFFFF"/>
                <w:lang w:eastAsia="en-GB"/>
              </w:rPr>
              <w:t xml:space="preserve">Number available on the count night </w:t>
            </w:r>
          </w:p>
        </w:tc>
        <w:tc>
          <w:tcPr>
            <w:tcW w:w="1676" w:type="dxa"/>
            <w:shd w:val="clear" w:color="000000" w:fill="8497B0"/>
            <w:vAlign w:val="bottom"/>
            <w:hideMark/>
          </w:tcPr>
          <w:p w14:paraId="5901A39B" w14:textId="77777777" w:rsidR="00837EF3" w:rsidRPr="00837EF3" w:rsidRDefault="00837EF3" w:rsidP="00DC54F7">
            <w:pPr>
              <w:spacing w:after="0" w:line="240" w:lineRule="auto"/>
              <w:jc w:val="both"/>
              <w:rPr>
                <w:rFonts w:ascii="Calibri" w:eastAsia="Times New Roman" w:hAnsi="Calibri" w:cs="Calibri"/>
                <w:b/>
                <w:bCs/>
                <w:color w:val="FFFFFF"/>
                <w:lang w:eastAsia="en-GB"/>
              </w:rPr>
            </w:pPr>
            <w:r w:rsidRPr="00837EF3">
              <w:rPr>
                <w:rFonts w:ascii="Calibri" w:eastAsia="Times New Roman" w:hAnsi="Calibri" w:cs="Calibri"/>
                <w:b/>
                <w:bCs/>
                <w:color w:val="FFFFFF"/>
                <w:lang w:eastAsia="en-GB"/>
              </w:rPr>
              <w:t xml:space="preserve">Estimated number of rough sleepers </w:t>
            </w:r>
          </w:p>
        </w:tc>
      </w:tr>
      <w:tr w:rsidR="00837EF3" w:rsidRPr="00837EF3" w14:paraId="371AAEFE" w14:textId="77777777" w:rsidTr="00387321">
        <w:trPr>
          <w:trHeight w:val="280"/>
        </w:trPr>
        <w:tc>
          <w:tcPr>
            <w:tcW w:w="2222" w:type="dxa"/>
            <w:shd w:val="clear" w:color="EDEDED" w:fill="EDEDED"/>
            <w:noWrap/>
            <w:vAlign w:val="bottom"/>
            <w:hideMark/>
          </w:tcPr>
          <w:p w14:paraId="0A43BA43"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 xml:space="preserve">Cardiff </w:t>
            </w:r>
          </w:p>
        </w:tc>
        <w:tc>
          <w:tcPr>
            <w:tcW w:w="1676" w:type="dxa"/>
            <w:shd w:val="clear" w:color="EDEDED" w:fill="EDEDED"/>
            <w:noWrap/>
            <w:vAlign w:val="bottom"/>
            <w:hideMark/>
          </w:tcPr>
          <w:p w14:paraId="634D3FB4"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57</w:t>
            </w:r>
          </w:p>
        </w:tc>
        <w:tc>
          <w:tcPr>
            <w:tcW w:w="1676" w:type="dxa"/>
            <w:shd w:val="clear" w:color="EDEDED" w:fill="EDEDED"/>
            <w:noWrap/>
            <w:vAlign w:val="bottom"/>
            <w:hideMark/>
          </w:tcPr>
          <w:p w14:paraId="2591D268"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114</w:t>
            </w:r>
          </w:p>
        </w:tc>
        <w:tc>
          <w:tcPr>
            <w:tcW w:w="1676" w:type="dxa"/>
            <w:shd w:val="clear" w:color="EDEDED" w:fill="EDEDED"/>
            <w:noWrap/>
            <w:vAlign w:val="bottom"/>
            <w:hideMark/>
          </w:tcPr>
          <w:p w14:paraId="6641967A"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0</w:t>
            </w:r>
          </w:p>
        </w:tc>
        <w:tc>
          <w:tcPr>
            <w:tcW w:w="1676" w:type="dxa"/>
            <w:shd w:val="clear" w:color="EDEDED" w:fill="EDEDED"/>
            <w:noWrap/>
            <w:vAlign w:val="bottom"/>
            <w:hideMark/>
          </w:tcPr>
          <w:p w14:paraId="7D36B715"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92</w:t>
            </w:r>
          </w:p>
        </w:tc>
      </w:tr>
      <w:tr w:rsidR="00837EF3" w:rsidRPr="00837EF3" w14:paraId="5914AA3D" w14:textId="77777777" w:rsidTr="00387321">
        <w:trPr>
          <w:trHeight w:val="280"/>
        </w:trPr>
        <w:tc>
          <w:tcPr>
            <w:tcW w:w="2222" w:type="dxa"/>
            <w:shd w:val="clear" w:color="auto" w:fill="auto"/>
            <w:noWrap/>
            <w:vAlign w:val="bottom"/>
            <w:hideMark/>
          </w:tcPr>
          <w:p w14:paraId="15B8249C"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 xml:space="preserve">Vale of Glamorgan </w:t>
            </w:r>
          </w:p>
        </w:tc>
        <w:tc>
          <w:tcPr>
            <w:tcW w:w="1676" w:type="dxa"/>
            <w:shd w:val="clear" w:color="auto" w:fill="auto"/>
            <w:noWrap/>
            <w:vAlign w:val="bottom"/>
            <w:hideMark/>
          </w:tcPr>
          <w:p w14:paraId="54614272"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1</w:t>
            </w:r>
          </w:p>
        </w:tc>
        <w:tc>
          <w:tcPr>
            <w:tcW w:w="1676" w:type="dxa"/>
            <w:shd w:val="clear" w:color="auto" w:fill="auto"/>
            <w:noWrap/>
            <w:vAlign w:val="bottom"/>
            <w:hideMark/>
          </w:tcPr>
          <w:p w14:paraId="323EFE16"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0</w:t>
            </w:r>
          </w:p>
        </w:tc>
        <w:tc>
          <w:tcPr>
            <w:tcW w:w="1676" w:type="dxa"/>
            <w:shd w:val="clear" w:color="auto" w:fill="auto"/>
            <w:noWrap/>
            <w:vAlign w:val="bottom"/>
            <w:hideMark/>
          </w:tcPr>
          <w:p w14:paraId="35A65055"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0</w:t>
            </w:r>
          </w:p>
        </w:tc>
        <w:tc>
          <w:tcPr>
            <w:tcW w:w="1676" w:type="dxa"/>
            <w:shd w:val="clear" w:color="auto" w:fill="auto"/>
            <w:noWrap/>
            <w:vAlign w:val="bottom"/>
            <w:hideMark/>
          </w:tcPr>
          <w:p w14:paraId="4864AB83"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1</w:t>
            </w:r>
          </w:p>
        </w:tc>
      </w:tr>
      <w:tr w:rsidR="00837EF3" w:rsidRPr="00837EF3" w14:paraId="718FDDA7" w14:textId="77777777" w:rsidTr="00387321">
        <w:trPr>
          <w:trHeight w:val="280"/>
        </w:trPr>
        <w:tc>
          <w:tcPr>
            <w:tcW w:w="2222" w:type="dxa"/>
            <w:shd w:val="clear" w:color="EDEDED" w:fill="EDEDED"/>
            <w:noWrap/>
            <w:vAlign w:val="bottom"/>
            <w:hideMark/>
          </w:tcPr>
          <w:p w14:paraId="08D3C459"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 xml:space="preserve">Cardiff and Vales UHB </w:t>
            </w:r>
          </w:p>
        </w:tc>
        <w:tc>
          <w:tcPr>
            <w:tcW w:w="1676" w:type="dxa"/>
            <w:shd w:val="clear" w:color="EDEDED" w:fill="EDEDED"/>
            <w:noWrap/>
            <w:vAlign w:val="bottom"/>
            <w:hideMark/>
          </w:tcPr>
          <w:p w14:paraId="3F204A2C"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58</w:t>
            </w:r>
          </w:p>
        </w:tc>
        <w:tc>
          <w:tcPr>
            <w:tcW w:w="1676" w:type="dxa"/>
            <w:shd w:val="clear" w:color="EDEDED" w:fill="EDEDED"/>
            <w:noWrap/>
            <w:vAlign w:val="bottom"/>
            <w:hideMark/>
          </w:tcPr>
          <w:p w14:paraId="54CA4A88"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114</w:t>
            </w:r>
          </w:p>
        </w:tc>
        <w:tc>
          <w:tcPr>
            <w:tcW w:w="1676" w:type="dxa"/>
            <w:shd w:val="clear" w:color="EDEDED" w:fill="EDEDED"/>
            <w:noWrap/>
            <w:vAlign w:val="bottom"/>
            <w:hideMark/>
          </w:tcPr>
          <w:p w14:paraId="6F9A275C"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0</w:t>
            </w:r>
          </w:p>
        </w:tc>
        <w:tc>
          <w:tcPr>
            <w:tcW w:w="1676" w:type="dxa"/>
            <w:shd w:val="clear" w:color="EDEDED" w:fill="EDEDED"/>
            <w:noWrap/>
            <w:vAlign w:val="bottom"/>
            <w:hideMark/>
          </w:tcPr>
          <w:p w14:paraId="07E4DA1A"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93</w:t>
            </w:r>
          </w:p>
        </w:tc>
      </w:tr>
      <w:tr w:rsidR="00837EF3" w:rsidRPr="00837EF3" w14:paraId="46A01FC7" w14:textId="77777777" w:rsidTr="00387321">
        <w:trPr>
          <w:trHeight w:val="280"/>
        </w:trPr>
        <w:tc>
          <w:tcPr>
            <w:tcW w:w="2222" w:type="dxa"/>
            <w:shd w:val="clear" w:color="auto" w:fill="auto"/>
            <w:noWrap/>
            <w:vAlign w:val="bottom"/>
            <w:hideMark/>
          </w:tcPr>
          <w:p w14:paraId="37373113"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 xml:space="preserve">Wales </w:t>
            </w:r>
          </w:p>
        </w:tc>
        <w:tc>
          <w:tcPr>
            <w:tcW w:w="1676" w:type="dxa"/>
            <w:shd w:val="clear" w:color="auto" w:fill="auto"/>
            <w:noWrap/>
            <w:vAlign w:val="bottom"/>
            <w:hideMark/>
          </w:tcPr>
          <w:p w14:paraId="5B6284D6"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176</w:t>
            </w:r>
          </w:p>
        </w:tc>
        <w:tc>
          <w:tcPr>
            <w:tcW w:w="1676" w:type="dxa"/>
            <w:shd w:val="clear" w:color="auto" w:fill="auto"/>
            <w:noWrap/>
            <w:vAlign w:val="bottom"/>
            <w:hideMark/>
          </w:tcPr>
          <w:p w14:paraId="6D8EE4E6"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210</w:t>
            </w:r>
          </w:p>
        </w:tc>
        <w:tc>
          <w:tcPr>
            <w:tcW w:w="1676" w:type="dxa"/>
            <w:shd w:val="clear" w:color="auto" w:fill="auto"/>
            <w:noWrap/>
            <w:vAlign w:val="bottom"/>
            <w:hideMark/>
          </w:tcPr>
          <w:p w14:paraId="1DF03F9F"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16</w:t>
            </w:r>
          </w:p>
        </w:tc>
        <w:tc>
          <w:tcPr>
            <w:tcW w:w="1676" w:type="dxa"/>
            <w:shd w:val="clear" w:color="auto" w:fill="auto"/>
            <w:noWrap/>
            <w:vAlign w:val="bottom"/>
            <w:hideMark/>
          </w:tcPr>
          <w:p w14:paraId="24C5782D" w14:textId="77777777" w:rsidR="00837EF3" w:rsidRPr="00837EF3" w:rsidRDefault="00837EF3" w:rsidP="00DC54F7">
            <w:pPr>
              <w:spacing w:after="0" w:line="240" w:lineRule="auto"/>
              <w:jc w:val="both"/>
              <w:rPr>
                <w:rFonts w:ascii="Calibri" w:eastAsia="Times New Roman" w:hAnsi="Calibri" w:cs="Calibri"/>
                <w:color w:val="000000"/>
                <w:lang w:eastAsia="en-GB"/>
              </w:rPr>
            </w:pPr>
            <w:r w:rsidRPr="00837EF3">
              <w:rPr>
                <w:rFonts w:ascii="Calibri" w:eastAsia="Times New Roman" w:hAnsi="Calibri" w:cs="Calibri"/>
                <w:color w:val="000000"/>
                <w:lang w:eastAsia="en-GB"/>
              </w:rPr>
              <w:t>405</w:t>
            </w:r>
          </w:p>
        </w:tc>
      </w:tr>
    </w:tbl>
    <w:p w14:paraId="5167B9ED" w14:textId="15E0D496" w:rsidR="007339B1" w:rsidRPr="00BA7289" w:rsidRDefault="00164948" w:rsidP="00DC54F7">
      <w:pPr>
        <w:jc w:val="both"/>
        <w:rPr>
          <w:rFonts w:ascii="Arial" w:eastAsia="Times New Roman" w:hAnsi="Arial" w:cs="Arial"/>
          <w:sz w:val="20"/>
          <w:szCs w:val="20"/>
          <w:lang w:eastAsia="en-GB"/>
        </w:rPr>
      </w:pPr>
      <w:r w:rsidRPr="00BA7289">
        <w:rPr>
          <w:rFonts w:ascii="Arial" w:hAnsi="Arial" w:cs="Arial"/>
          <w:sz w:val="20"/>
          <w:szCs w:val="20"/>
        </w:rPr>
        <w:t>Source: Stat</w:t>
      </w:r>
      <w:r w:rsidR="002E7360" w:rsidRPr="00BA7289">
        <w:rPr>
          <w:rFonts w:ascii="Arial" w:hAnsi="Arial" w:cs="Arial"/>
          <w:sz w:val="20"/>
          <w:szCs w:val="20"/>
        </w:rPr>
        <w:t>s</w:t>
      </w:r>
      <w:r w:rsidRPr="00BA7289">
        <w:rPr>
          <w:rFonts w:ascii="Arial" w:hAnsi="Arial" w:cs="Arial"/>
          <w:sz w:val="20"/>
          <w:szCs w:val="20"/>
        </w:rPr>
        <w:t xml:space="preserve">Wales - </w:t>
      </w:r>
      <w:r w:rsidRPr="00BA7289">
        <w:rPr>
          <w:rFonts w:ascii="Arial" w:eastAsia="Times New Roman" w:hAnsi="Arial" w:cs="Arial"/>
          <w:sz w:val="20"/>
          <w:szCs w:val="20"/>
          <w:lang w:eastAsia="en-GB"/>
        </w:rPr>
        <w:t>National Rough Sleeper Count, Welsh Government</w:t>
      </w:r>
    </w:p>
    <w:p w14:paraId="4D4A3437" w14:textId="77777777" w:rsidR="005A4EF3" w:rsidRDefault="005A4EF3" w:rsidP="00DC54F7">
      <w:pPr>
        <w:jc w:val="both"/>
        <w:rPr>
          <w:rFonts w:ascii="Arial" w:hAnsi="Arial" w:cs="Arial"/>
          <w:color w:val="942D83"/>
        </w:rPr>
      </w:pPr>
      <w:r>
        <w:rPr>
          <w:rFonts w:ascii="Arial" w:hAnsi="Arial" w:cs="Arial"/>
          <w:color w:val="942D83"/>
        </w:rPr>
        <w:br w:type="page"/>
      </w:r>
    </w:p>
    <w:p w14:paraId="25517E6B" w14:textId="2A84621E" w:rsidR="006F0A84" w:rsidRDefault="00C85438" w:rsidP="00DC54F7">
      <w:pPr>
        <w:pStyle w:val="Heading1"/>
        <w:spacing w:before="0" w:line="240" w:lineRule="auto"/>
        <w:jc w:val="both"/>
        <w:rPr>
          <w:rFonts w:cs="Arial"/>
          <w:color w:val="auto"/>
        </w:rPr>
      </w:pPr>
      <w:bookmarkStart w:id="9" w:name="_Toc81585095"/>
      <w:r w:rsidRPr="00A10850">
        <w:rPr>
          <w:rFonts w:cs="Arial"/>
          <w:color w:val="auto"/>
        </w:rPr>
        <w:lastRenderedPageBreak/>
        <w:t>3</w:t>
      </w:r>
      <w:r w:rsidR="006F0A84" w:rsidRPr="00A10850">
        <w:rPr>
          <w:rFonts w:cs="Arial"/>
          <w:color w:val="auto"/>
        </w:rPr>
        <w:t xml:space="preserve"> </w:t>
      </w:r>
      <w:r w:rsidRPr="00A10850">
        <w:rPr>
          <w:rFonts w:cs="Arial"/>
          <w:color w:val="auto"/>
        </w:rPr>
        <w:t xml:space="preserve">General health needs of </w:t>
      </w:r>
      <w:r w:rsidR="00FA0306" w:rsidRPr="00FA0306">
        <w:rPr>
          <w:rFonts w:cs="Arial"/>
          <w:color w:val="auto"/>
        </w:rPr>
        <w:t>Cardiff and Vale University Health Board</w:t>
      </w:r>
      <w:bookmarkEnd w:id="9"/>
    </w:p>
    <w:p w14:paraId="6F184B4E" w14:textId="120DF0BD" w:rsidR="00784E9C" w:rsidRPr="00DB5063" w:rsidRDefault="00784E9C" w:rsidP="00DC54F7">
      <w:pPr>
        <w:spacing w:after="0" w:line="240" w:lineRule="auto"/>
        <w:jc w:val="both"/>
      </w:pPr>
    </w:p>
    <w:p w14:paraId="3BD950D0" w14:textId="14500BB1" w:rsidR="00784E9C" w:rsidRPr="00BA7289" w:rsidRDefault="00E0543C" w:rsidP="00DC54F7">
      <w:pPr>
        <w:spacing w:after="0" w:line="240" w:lineRule="auto"/>
        <w:jc w:val="both"/>
        <w:rPr>
          <w:rFonts w:ascii="Arial" w:hAnsi="Arial" w:cs="Arial"/>
          <w:color w:val="333333"/>
          <w:sz w:val="24"/>
          <w:szCs w:val="24"/>
          <w:shd w:val="clear" w:color="auto" w:fill="FFFFFF"/>
        </w:rPr>
      </w:pPr>
      <w:r w:rsidRPr="00BA7289">
        <w:rPr>
          <w:rFonts w:ascii="Arial" w:hAnsi="Arial" w:cs="Arial"/>
          <w:color w:val="333333"/>
          <w:sz w:val="24"/>
          <w:szCs w:val="24"/>
          <w:shd w:val="clear" w:color="auto" w:fill="FFFFFF"/>
        </w:rPr>
        <w:t>Throughout</w:t>
      </w:r>
      <w:r w:rsidR="00925E71" w:rsidRPr="00BA7289">
        <w:rPr>
          <w:rFonts w:ascii="Arial" w:hAnsi="Arial" w:cs="Arial"/>
          <w:color w:val="333333"/>
          <w:sz w:val="24"/>
          <w:szCs w:val="24"/>
          <w:shd w:val="clear" w:color="auto" w:fill="FFFFFF"/>
        </w:rPr>
        <w:t xml:space="preserve"> this chapter</w:t>
      </w:r>
      <w:r w:rsidRPr="00BA7289">
        <w:rPr>
          <w:rFonts w:ascii="Arial" w:hAnsi="Arial" w:cs="Arial"/>
          <w:color w:val="333333"/>
          <w:sz w:val="24"/>
          <w:szCs w:val="24"/>
          <w:shd w:val="clear" w:color="auto" w:fill="FFFFFF"/>
        </w:rPr>
        <w:t xml:space="preserve">, </w:t>
      </w:r>
      <w:r w:rsidR="00925E71" w:rsidRPr="00BA7289">
        <w:rPr>
          <w:rFonts w:ascii="Arial" w:hAnsi="Arial" w:cs="Arial"/>
          <w:color w:val="333333"/>
          <w:sz w:val="24"/>
          <w:szCs w:val="24"/>
          <w:shd w:val="clear" w:color="auto" w:fill="FFFFFF"/>
        </w:rPr>
        <w:t xml:space="preserve">rates have been age-standardised </w:t>
      </w:r>
      <w:r w:rsidR="000D6336" w:rsidRPr="00BA7289">
        <w:rPr>
          <w:rFonts w:ascii="Arial" w:hAnsi="Arial" w:cs="Arial"/>
          <w:color w:val="333333"/>
          <w:sz w:val="24"/>
          <w:szCs w:val="24"/>
          <w:shd w:val="clear" w:color="auto" w:fill="FFFFFF"/>
        </w:rPr>
        <w:t xml:space="preserve">unless otherwise stated, </w:t>
      </w:r>
      <w:r w:rsidR="001A3497" w:rsidRPr="00BA7289">
        <w:rPr>
          <w:rFonts w:ascii="Arial" w:hAnsi="Arial" w:cs="Arial"/>
          <w:color w:val="333333"/>
          <w:sz w:val="24"/>
          <w:szCs w:val="24"/>
          <w:shd w:val="clear" w:color="auto" w:fill="FFFFFF"/>
        </w:rPr>
        <w:t xml:space="preserve">to </w:t>
      </w:r>
      <w:r w:rsidR="000D6336" w:rsidRPr="00BA7289">
        <w:rPr>
          <w:rFonts w:ascii="Arial" w:hAnsi="Arial" w:cs="Arial"/>
          <w:color w:val="333333"/>
          <w:sz w:val="24"/>
          <w:szCs w:val="24"/>
          <w:shd w:val="clear" w:color="auto" w:fill="FFFFFF"/>
        </w:rPr>
        <w:t xml:space="preserve">adjust for the effect of age between areas and </w:t>
      </w:r>
      <w:r w:rsidR="001A3497" w:rsidRPr="00BA7289">
        <w:rPr>
          <w:rFonts w:ascii="Arial" w:hAnsi="Arial" w:cs="Arial"/>
          <w:color w:val="333333"/>
          <w:sz w:val="24"/>
          <w:szCs w:val="24"/>
          <w:shd w:val="clear" w:color="auto" w:fill="FFFFFF"/>
        </w:rPr>
        <w:t>allow for better comparison</w:t>
      </w:r>
      <w:r w:rsidR="00214AC9" w:rsidRPr="00BA7289">
        <w:rPr>
          <w:rFonts w:ascii="Arial" w:hAnsi="Arial" w:cs="Arial"/>
          <w:color w:val="333333"/>
          <w:sz w:val="24"/>
          <w:szCs w:val="24"/>
          <w:shd w:val="clear" w:color="auto" w:fill="FFFFFF"/>
        </w:rPr>
        <w:t xml:space="preserve">. </w:t>
      </w:r>
      <w:r w:rsidR="000D6336" w:rsidRPr="00BA7289">
        <w:rPr>
          <w:rFonts w:ascii="Arial" w:hAnsi="Arial" w:cs="Arial"/>
          <w:color w:val="333333"/>
          <w:sz w:val="24"/>
          <w:szCs w:val="24"/>
          <w:shd w:val="clear" w:color="auto" w:fill="FFFFFF"/>
        </w:rPr>
        <w:t xml:space="preserve"> W</w:t>
      </w:r>
      <w:r w:rsidR="00784E9C" w:rsidRPr="00BA7289">
        <w:rPr>
          <w:rFonts w:ascii="Arial" w:hAnsi="Arial" w:cs="Arial"/>
          <w:color w:val="333333"/>
          <w:sz w:val="24"/>
          <w:szCs w:val="24"/>
          <w:shd w:val="clear" w:color="auto" w:fill="FFFFFF"/>
        </w:rPr>
        <w:t xml:space="preserve">here age-standardised rates are presented, the rates </w:t>
      </w:r>
      <w:r w:rsidR="00B447E8" w:rsidRPr="00BA7289">
        <w:rPr>
          <w:rFonts w:ascii="Arial" w:hAnsi="Arial" w:cs="Arial"/>
          <w:color w:val="333333"/>
          <w:sz w:val="24"/>
          <w:szCs w:val="24"/>
          <w:shd w:val="clear" w:color="auto" w:fill="FFFFFF"/>
        </w:rPr>
        <w:t>are</w:t>
      </w:r>
      <w:r w:rsidR="00784E9C" w:rsidRPr="00BA7289">
        <w:rPr>
          <w:rFonts w:ascii="Arial" w:hAnsi="Arial" w:cs="Arial"/>
          <w:color w:val="333333"/>
          <w:sz w:val="24"/>
          <w:szCs w:val="24"/>
          <w:shd w:val="clear" w:color="auto" w:fill="FFFFFF"/>
        </w:rPr>
        <w:t xml:space="preserve"> directly standardised to the European standard population 2013.</w:t>
      </w:r>
    </w:p>
    <w:p w14:paraId="01166F02" w14:textId="77777777" w:rsidR="00497997" w:rsidRPr="00BA7289" w:rsidRDefault="00497997" w:rsidP="00DC54F7">
      <w:pPr>
        <w:spacing w:after="0" w:line="240" w:lineRule="auto"/>
        <w:jc w:val="both"/>
        <w:rPr>
          <w:sz w:val="24"/>
          <w:szCs w:val="24"/>
        </w:rPr>
      </w:pPr>
    </w:p>
    <w:p w14:paraId="06414787" w14:textId="58EF19AF" w:rsidR="001C415A" w:rsidRPr="00BA7289" w:rsidRDefault="001C7BD7" w:rsidP="00DC54F7">
      <w:pPr>
        <w:pStyle w:val="NoSpacing"/>
        <w:rPr>
          <w:szCs w:val="24"/>
        </w:rPr>
      </w:pPr>
      <w:r w:rsidRPr="00BA7289">
        <w:rPr>
          <w:rFonts w:ascii="Arial" w:hAnsi="Arial" w:cs="Arial"/>
          <w:color w:val="303030"/>
          <w:szCs w:val="24"/>
        </w:rPr>
        <w:t xml:space="preserve">Where </w:t>
      </w:r>
      <w:r w:rsidR="00CD52EC" w:rsidRPr="00BA7289">
        <w:rPr>
          <w:rFonts w:ascii="Arial" w:hAnsi="Arial" w:cs="Arial"/>
          <w:color w:val="303030"/>
          <w:szCs w:val="24"/>
        </w:rPr>
        <w:t>Quality and Outcomes Framework (QOF)</w:t>
      </w:r>
      <w:r w:rsidR="00154CA4" w:rsidRPr="00BA7289">
        <w:rPr>
          <w:rFonts w:ascii="Arial" w:hAnsi="Arial" w:cs="Arial"/>
          <w:color w:val="303030"/>
          <w:szCs w:val="24"/>
        </w:rPr>
        <w:t xml:space="preserve"> </w:t>
      </w:r>
      <w:r w:rsidR="006647C7" w:rsidRPr="00BA7289">
        <w:rPr>
          <w:rFonts w:ascii="Arial" w:hAnsi="Arial" w:cs="Arial"/>
          <w:color w:val="303030"/>
          <w:szCs w:val="24"/>
        </w:rPr>
        <w:t>data has been used</w:t>
      </w:r>
      <w:r w:rsidR="00887B8D" w:rsidRPr="00BA7289">
        <w:rPr>
          <w:rFonts w:ascii="Arial" w:hAnsi="Arial" w:cs="Arial"/>
          <w:color w:val="303030"/>
          <w:szCs w:val="24"/>
        </w:rPr>
        <w:t xml:space="preserve">, caution should be taken when </w:t>
      </w:r>
      <w:r w:rsidR="00B40EB6" w:rsidRPr="00BA7289">
        <w:rPr>
          <w:rFonts w:ascii="Arial" w:hAnsi="Arial" w:cs="Arial"/>
          <w:szCs w:val="24"/>
        </w:rPr>
        <w:t xml:space="preserve">interpreting </w:t>
      </w:r>
      <w:r w:rsidR="00DB5063" w:rsidRPr="00BA7289">
        <w:rPr>
          <w:rFonts w:ascii="Arial" w:hAnsi="Arial" w:cs="Arial"/>
          <w:szCs w:val="24"/>
        </w:rPr>
        <w:t xml:space="preserve">the data. </w:t>
      </w:r>
      <w:r w:rsidR="00370F83" w:rsidRPr="00BA7289">
        <w:rPr>
          <w:rFonts w:ascii="Arial" w:hAnsi="Arial" w:cs="Arial"/>
          <w:szCs w:val="24"/>
        </w:rPr>
        <w:t xml:space="preserve">Reported </w:t>
      </w:r>
      <w:r w:rsidR="00B40EB6" w:rsidRPr="00BA7289">
        <w:rPr>
          <w:rFonts w:ascii="Arial" w:hAnsi="Arial" w:cs="Arial"/>
          <w:szCs w:val="24"/>
        </w:rPr>
        <w:t xml:space="preserve">QOF data </w:t>
      </w:r>
      <w:r w:rsidR="00370F83" w:rsidRPr="00BA7289">
        <w:rPr>
          <w:rFonts w:ascii="Arial" w:hAnsi="Arial" w:cs="Arial"/>
          <w:szCs w:val="24"/>
        </w:rPr>
        <w:t xml:space="preserve">is </w:t>
      </w:r>
      <w:r w:rsidR="005D3F32" w:rsidRPr="00BA7289">
        <w:rPr>
          <w:rFonts w:ascii="Arial" w:hAnsi="Arial" w:cs="Arial"/>
          <w:szCs w:val="24"/>
        </w:rPr>
        <w:t xml:space="preserve">dependent on </w:t>
      </w:r>
      <w:r w:rsidR="00EA7906" w:rsidRPr="00BA7289">
        <w:rPr>
          <w:rFonts w:ascii="Arial" w:hAnsi="Arial" w:cs="Arial"/>
          <w:szCs w:val="24"/>
        </w:rPr>
        <w:t xml:space="preserve">diagnosis and recording within the general practice. </w:t>
      </w:r>
      <w:r w:rsidR="00313DBF" w:rsidRPr="00BA7289">
        <w:rPr>
          <w:rFonts w:ascii="Arial" w:hAnsi="Arial" w:cs="Arial"/>
          <w:szCs w:val="24"/>
        </w:rPr>
        <w:t xml:space="preserve">It is also dependent on the </w:t>
      </w:r>
      <w:r w:rsidR="00DD3E8B" w:rsidRPr="00BA7289">
        <w:rPr>
          <w:rFonts w:ascii="Arial" w:hAnsi="Arial" w:cs="Arial"/>
          <w:szCs w:val="24"/>
        </w:rPr>
        <w:t xml:space="preserve">social and demographic characteristics of the population and </w:t>
      </w:r>
      <w:r w:rsidR="001C415A" w:rsidRPr="00BA7289">
        <w:rPr>
          <w:rFonts w:ascii="Arial" w:hAnsi="Arial" w:cs="Arial"/>
          <w:szCs w:val="24"/>
        </w:rPr>
        <w:t xml:space="preserve">their readiness to seek healthcare services. </w:t>
      </w:r>
    </w:p>
    <w:p w14:paraId="22D5AC21" w14:textId="77777777" w:rsidR="00C41311" w:rsidRDefault="00C41311" w:rsidP="00DC54F7">
      <w:pPr>
        <w:jc w:val="both"/>
        <w:rPr>
          <w:rFonts w:ascii="Arial" w:hAnsi="Arial" w:cs="Arial"/>
          <w:b/>
          <w:bCs/>
          <w:sz w:val="26"/>
          <w:szCs w:val="26"/>
        </w:rPr>
      </w:pPr>
    </w:p>
    <w:p w14:paraId="449B44CD" w14:textId="67804682" w:rsidR="009C469A" w:rsidRDefault="00991EEF" w:rsidP="00DC54F7">
      <w:pPr>
        <w:jc w:val="both"/>
        <w:rPr>
          <w:rFonts w:ascii="Arial" w:hAnsi="Arial" w:cs="Arial"/>
          <w:b/>
          <w:bCs/>
          <w:sz w:val="26"/>
          <w:szCs w:val="26"/>
        </w:rPr>
      </w:pPr>
      <w:r>
        <w:rPr>
          <w:rFonts w:ascii="Arial" w:hAnsi="Arial" w:cs="Arial"/>
          <w:b/>
          <w:bCs/>
          <w:sz w:val="26"/>
          <w:szCs w:val="26"/>
        </w:rPr>
        <w:t xml:space="preserve">3.1 </w:t>
      </w:r>
      <w:r w:rsidR="009F0A04">
        <w:rPr>
          <w:rFonts w:ascii="Arial" w:hAnsi="Arial" w:cs="Arial"/>
          <w:b/>
          <w:bCs/>
          <w:sz w:val="26"/>
          <w:szCs w:val="26"/>
        </w:rPr>
        <w:t>Long</w:t>
      </w:r>
      <w:r w:rsidR="00AD67C7">
        <w:rPr>
          <w:rFonts w:ascii="Arial" w:hAnsi="Arial" w:cs="Arial"/>
          <w:b/>
          <w:bCs/>
          <w:sz w:val="26"/>
          <w:szCs w:val="26"/>
        </w:rPr>
        <w:t>-term</w:t>
      </w:r>
      <w:r w:rsidR="00152202" w:rsidRPr="00152202">
        <w:rPr>
          <w:rFonts w:ascii="Arial" w:hAnsi="Arial" w:cs="Arial"/>
          <w:b/>
          <w:bCs/>
          <w:sz w:val="26"/>
          <w:szCs w:val="26"/>
        </w:rPr>
        <w:t xml:space="preserve"> </w:t>
      </w:r>
      <w:r w:rsidR="00AD67C7">
        <w:rPr>
          <w:rFonts w:ascii="Arial" w:hAnsi="Arial" w:cs="Arial"/>
          <w:b/>
          <w:bCs/>
          <w:sz w:val="26"/>
          <w:szCs w:val="26"/>
        </w:rPr>
        <w:t>c</w:t>
      </w:r>
      <w:r w:rsidR="00152202" w:rsidRPr="00152202">
        <w:rPr>
          <w:rFonts w:ascii="Arial" w:hAnsi="Arial" w:cs="Arial"/>
          <w:b/>
          <w:bCs/>
          <w:sz w:val="26"/>
          <w:szCs w:val="26"/>
        </w:rPr>
        <w:t>onditions</w:t>
      </w:r>
    </w:p>
    <w:p w14:paraId="6369971E" w14:textId="541253FA" w:rsidR="00B84273" w:rsidRPr="002B7CB6" w:rsidRDefault="003222F4" w:rsidP="00DC54F7">
      <w:pPr>
        <w:spacing w:after="0" w:line="240" w:lineRule="auto"/>
        <w:jc w:val="both"/>
        <w:rPr>
          <w:rFonts w:ascii="Arial" w:hAnsi="Arial" w:cs="Arial"/>
          <w:sz w:val="24"/>
          <w:szCs w:val="24"/>
        </w:rPr>
      </w:pPr>
      <w:r w:rsidRPr="002B7CB6">
        <w:rPr>
          <w:rFonts w:ascii="Arial" w:eastAsia="Times New Roman" w:hAnsi="Arial" w:cs="Arial"/>
          <w:sz w:val="24"/>
          <w:szCs w:val="24"/>
          <w:lang w:eastAsia="en-GB"/>
        </w:rPr>
        <w:t xml:space="preserve">DALY </w:t>
      </w:r>
      <w:r w:rsidR="00391D1E" w:rsidRPr="002B7CB6">
        <w:rPr>
          <w:rFonts w:ascii="Arial" w:eastAsia="Times New Roman" w:hAnsi="Arial" w:cs="Arial"/>
          <w:sz w:val="24"/>
          <w:szCs w:val="24"/>
          <w:lang w:eastAsia="en-GB"/>
        </w:rPr>
        <w:t>(</w:t>
      </w:r>
      <w:r w:rsidRPr="002B7CB6">
        <w:rPr>
          <w:rFonts w:ascii="Arial" w:eastAsia="Times New Roman" w:hAnsi="Arial" w:cs="Arial"/>
          <w:sz w:val="24"/>
          <w:szCs w:val="24"/>
          <w:lang w:eastAsia="en-GB"/>
        </w:rPr>
        <w:t>disability-adjusted life years</w:t>
      </w:r>
      <w:r w:rsidR="00391D1E" w:rsidRPr="002B7CB6">
        <w:rPr>
          <w:rFonts w:ascii="Arial" w:eastAsia="Times New Roman" w:hAnsi="Arial" w:cs="Arial"/>
          <w:sz w:val="24"/>
          <w:szCs w:val="24"/>
          <w:lang w:eastAsia="en-GB"/>
        </w:rPr>
        <w:t>)</w:t>
      </w:r>
      <w:r w:rsidR="00FC53A4" w:rsidRPr="002B7CB6">
        <w:rPr>
          <w:rFonts w:ascii="Arial" w:eastAsia="Times New Roman" w:hAnsi="Arial" w:cs="Arial"/>
          <w:sz w:val="24"/>
          <w:szCs w:val="24"/>
          <w:lang w:eastAsia="en-GB"/>
        </w:rPr>
        <w:t xml:space="preserve"> take into account both premature death and </w:t>
      </w:r>
      <w:r w:rsidRPr="002B7CB6">
        <w:rPr>
          <w:rFonts w:ascii="Arial" w:eastAsia="Times New Roman" w:hAnsi="Arial" w:cs="Arial"/>
          <w:sz w:val="24"/>
          <w:szCs w:val="24"/>
          <w:lang w:eastAsia="en-GB"/>
        </w:rPr>
        <w:t>health-related suffering to portray the total years of healthy life lost from all causes.</w:t>
      </w:r>
      <w:r w:rsidR="00FC19B0" w:rsidRPr="002B7CB6">
        <w:rPr>
          <w:rStyle w:val="FootnoteReference"/>
          <w:rFonts w:ascii="Arial" w:eastAsia="Times New Roman" w:hAnsi="Arial" w:cs="Arial"/>
          <w:sz w:val="24"/>
          <w:szCs w:val="24"/>
          <w:lang w:eastAsia="en-GB"/>
        </w:rPr>
        <w:footnoteReference w:id="8"/>
      </w:r>
      <w:r w:rsidRPr="002B7CB6">
        <w:rPr>
          <w:rFonts w:ascii="Arial" w:eastAsia="Times New Roman" w:hAnsi="Arial" w:cs="Arial"/>
          <w:sz w:val="24"/>
          <w:szCs w:val="24"/>
          <w:lang w:eastAsia="en-GB"/>
        </w:rPr>
        <w:t xml:space="preserve"> </w:t>
      </w:r>
      <w:r w:rsidR="00B84273" w:rsidRPr="002B7CB6">
        <w:rPr>
          <w:rFonts w:ascii="Arial" w:eastAsia="Times New Roman" w:hAnsi="Arial" w:cs="Arial"/>
          <w:sz w:val="24"/>
          <w:szCs w:val="24"/>
          <w:lang w:eastAsia="en-GB"/>
        </w:rPr>
        <w:t xml:space="preserve">In Wales, </w:t>
      </w:r>
      <w:r w:rsidR="008B34D5" w:rsidRPr="002B7CB6">
        <w:rPr>
          <w:rFonts w:ascii="Arial" w:hAnsi="Arial" w:cs="Arial"/>
          <w:sz w:val="24"/>
          <w:szCs w:val="24"/>
        </w:rPr>
        <w:t>i</w:t>
      </w:r>
      <w:r w:rsidR="00B84273" w:rsidRPr="002B7CB6">
        <w:rPr>
          <w:rFonts w:ascii="Arial" w:hAnsi="Arial" w:cs="Arial"/>
          <w:sz w:val="24"/>
          <w:szCs w:val="24"/>
        </w:rPr>
        <w:t xml:space="preserve">schaemic heart disease remains the </w:t>
      </w:r>
      <w:r w:rsidR="00E449B9" w:rsidRPr="002B7CB6">
        <w:rPr>
          <w:rFonts w:ascii="Arial" w:hAnsi="Arial" w:cs="Arial"/>
          <w:sz w:val="24"/>
          <w:szCs w:val="24"/>
        </w:rPr>
        <w:t xml:space="preserve">leading </w:t>
      </w:r>
      <w:r w:rsidR="00B84273" w:rsidRPr="002B7CB6">
        <w:rPr>
          <w:rFonts w:ascii="Arial" w:hAnsi="Arial" w:cs="Arial"/>
          <w:sz w:val="24"/>
          <w:szCs w:val="24"/>
        </w:rPr>
        <w:t>cause of death and disability in Wales in 2019,</w:t>
      </w:r>
      <w:r w:rsidR="003F3926" w:rsidRPr="002B7CB6">
        <w:rPr>
          <w:rFonts w:ascii="Arial" w:hAnsi="Arial" w:cs="Arial"/>
          <w:sz w:val="24"/>
          <w:szCs w:val="24"/>
        </w:rPr>
        <w:t xml:space="preserve"> though </w:t>
      </w:r>
      <w:r w:rsidR="00B374B2" w:rsidRPr="002B7CB6">
        <w:rPr>
          <w:rFonts w:ascii="Arial" w:hAnsi="Arial" w:cs="Arial"/>
          <w:sz w:val="24"/>
          <w:szCs w:val="24"/>
        </w:rPr>
        <w:t xml:space="preserve">this has reduced since </w:t>
      </w:r>
      <w:r w:rsidR="003F3926" w:rsidRPr="002B7CB6">
        <w:rPr>
          <w:rFonts w:ascii="Arial" w:hAnsi="Arial" w:cs="Arial"/>
          <w:sz w:val="24"/>
          <w:szCs w:val="24"/>
        </w:rPr>
        <w:t xml:space="preserve">2009. </w:t>
      </w:r>
      <w:r w:rsidR="00390EB0" w:rsidRPr="002B7CB6">
        <w:rPr>
          <w:rFonts w:ascii="Arial" w:hAnsi="Arial" w:cs="Arial"/>
          <w:sz w:val="24"/>
          <w:szCs w:val="24"/>
        </w:rPr>
        <w:t>Since 2009</w:t>
      </w:r>
      <w:r w:rsidR="00D50289" w:rsidRPr="002B7CB6">
        <w:rPr>
          <w:rFonts w:ascii="Arial" w:hAnsi="Arial" w:cs="Arial"/>
          <w:sz w:val="24"/>
          <w:szCs w:val="24"/>
        </w:rPr>
        <w:t xml:space="preserve">, the greatest increase </w:t>
      </w:r>
      <w:r w:rsidR="00B41B93" w:rsidRPr="002B7CB6">
        <w:rPr>
          <w:rFonts w:ascii="Arial" w:hAnsi="Arial" w:cs="Arial"/>
          <w:sz w:val="24"/>
          <w:szCs w:val="24"/>
        </w:rPr>
        <w:t>can be seen in lower respiratory infection,</w:t>
      </w:r>
      <w:r w:rsidR="003727CC" w:rsidRPr="002B7CB6">
        <w:rPr>
          <w:rFonts w:ascii="Arial" w:hAnsi="Arial" w:cs="Arial"/>
          <w:sz w:val="24"/>
          <w:szCs w:val="24"/>
        </w:rPr>
        <w:t xml:space="preserve"> </w:t>
      </w:r>
      <w:r w:rsidR="00680662" w:rsidRPr="002B7CB6">
        <w:rPr>
          <w:rFonts w:ascii="Arial" w:hAnsi="Arial" w:cs="Arial"/>
          <w:sz w:val="24"/>
          <w:szCs w:val="24"/>
        </w:rPr>
        <w:t>Chronic Obstructive Pulmonary Disease (</w:t>
      </w:r>
      <w:r w:rsidR="003727CC" w:rsidRPr="002B7CB6">
        <w:rPr>
          <w:rFonts w:ascii="Arial" w:hAnsi="Arial" w:cs="Arial"/>
          <w:sz w:val="24"/>
          <w:szCs w:val="24"/>
        </w:rPr>
        <w:t>COPD</w:t>
      </w:r>
      <w:r w:rsidR="00680662" w:rsidRPr="002B7CB6">
        <w:rPr>
          <w:rFonts w:ascii="Arial" w:hAnsi="Arial" w:cs="Arial"/>
          <w:sz w:val="24"/>
          <w:szCs w:val="24"/>
        </w:rPr>
        <w:t>)</w:t>
      </w:r>
      <w:r w:rsidR="003727CC" w:rsidRPr="002B7CB6">
        <w:rPr>
          <w:rFonts w:ascii="Arial" w:hAnsi="Arial" w:cs="Arial"/>
          <w:sz w:val="24"/>
          <w:szCs w:val="24"/>
        </w:rPr>
        <w:t>,</w:t>
      </w:r>
      <w:r w:rsidR="00B41B93" w:rsidRPr="002B7CB6">
        <w:rPr>
          <w:rFonts w:ascii="Arial" w:hAnsi="Arial" w:cs="Arial"/>
          <w:sz w:val="24"/>
          <w:szCs w:val="24"/>
        </w:rPr>
        <w:t xml:space="preserve"> falls and Alz</w:t>
      </w:r>
      <w:r w:rsidR="00033906" w:rsidRPr="002B7CB6">
        <w:rPr>
          <w:rFonts w:ascii="Arial" w:hAnsi="Arial" w:cs="Arial"/>
          <w:sz w:val="24"/>
          <w:szCs w:val="24"/>
        </w:rPr>
        <w:t>h</w:t>
      </w:r>
      <w:r w:rsidR="003727CC" w:rsidRPr="002B7CB6">
        <w:rPr>
          <w:rFonts w:ascii="Arial" w:hAnsi="Arial" w:cs="Arial"/>
          <w:sz w:val="24"/>
          <w:szCs w:val="24"/>
        </w:rPr>
        <w:t xml:space="preserve">eimer’s disease. </w:t>
      </w:r>
    </w:p>
    <w:p w14:paraId="691D19B7" w14:textId="77777777" w:rsidR="00C41311" w:rsidRPr="00A85458" w:rsidRDefault="00C41311" w:rsidP="00DC54F7">
      <w:pPr>
        <w:spacing w:after="0" w:line="240" w:lineRule="auto"/>
        <w:jc w:val="both"/>
        <w:rPr>
          <w:rFonts w:ascii="Arial" w:hAnsi="Arial" w:cs="Arial"/>
        </w:rPr>
      </w:pPr>
    </w:p>
    <w:p w14:paraId="79C35A8B" w14:textId="2519A15F" w:rsidR="00CD4A12" w:rsidRPr="002B7CB6" w:rsidRDefault="009479B6" w:rsidP="00DC54F7">
      <w:pPr>
        <w:jc w:val="both"/>
        <w:rPr>
          <w:rFonts w:ascii="Arial" w:hAnsi="Arial" w:cs="Arial"/>
          <w:b/>
          <w:bCs/>
          <w:sz w:val="24"/>
          <w:szCs w:val="24"/>
        </w:rPr>
      </w:pPr>
      <w:r w:rsidRPr="002B7CB6">
        <w:rPr>
          <w:rFonts w:ascii="Arial" w:hAnsi="Arial" w:cs="Arial"/>
          <w:b/>
          <w:bCs/>
          <w:color w:val="000000"/>
          <w:sz w:val="24"/>
          <w:szCs w:val="24"/>
        </w:rPr>
        <w:t>Figure</w:t>
      </w:r>
      <w:r w:rsidR="009A68CE" w:rsidRPr="002B7CB6">
        <w:rPr>
          <w:rFonts w:ascii="Arial" w:hAnsi="Arial" w:cs="Arial"/>
          <w:b/>
          <w:bCs/>
          <w:color w:val="000000"/>
          <w:sz w:val="24"/>
          <w:szCs w:val="24"/>
        </w:rPr>
        <w:t xml:space="preserve"> 3.1</w:t>
      </w:r>
      <w:r w:rsidRPr="002B7CB6">
        <w:rPr>
          <w:rFonts w:ascii="Arial" w:hAnsi="Arial" w:cs="Arial"/>
          <w:b/>
          <w:bCs/>
          <w:color w:val="000000"/>
          <w:sz w:val="24"/>
          <w:szCs w:val="24"/>
        </w:rPr>
        <w:t xml:space="preserve">: </w:t>
      </w:r>
      <w:r w:rsidR="00CD4A12" w:rsidRPr="002B7CB6">
        <w:rPr>
          <w:rFonts w:ascii="Arial" w:hAnsi="Arial" w:cs="Arial"/>
          <w:b/>
          <w:bCs/>
          <w:color w:val="000000"/>
          <w:sz w:val="24"/>
          <w:szCs w:val="24"/>
        </w:rPr>
        <w:t xml:space="preserve">Top 10 causes of </w:t>
      </w:r>
      <w:r w:rsidR="00F318BD" w:rsidRPr="002B7CB6">
        <w:rPr>
          <w:rFonts w:ascii="Arial" w:hAnsi="Arial" w:cs="Arial"/>
          <w:b/>
          <w:bCs/>
          <w:color w:val="000000"/>
          <w:sz w:val="24"/>
          <w:szCs w:val="24"/>
        </w:rPr>
        <w:t xml:space="preserve">death and disability </w:t>
      </w:r>
      <w:r w:rsidR="003815FD" w:rsidRPr="002B7CB6">
        <w:rPr>
          <w:rFonts w:ascii="Arial" w:hAnsi="Arial" w:cs="Arial"/>
          <w:b/>
          <w:bCs/>
          <w:color w:val="000000"/>
          <w:sz w:val="24"/>
          <w:szCs w:val="24"/>
        </w:rPr>
        <w:t xml:space="preserve">(DALYs) </w:t>
      </w:r>
      <w:r w:rsidR="00CD4A12" w:rsidRPr="002B7CB6">
        <w:rPr>
          <w:rFonts w:ascii="Arial" w:hAnsi="Arial" w:cs="Arial"/>
          <w:b/>
          <w:bCs/>
          <w:color w:val="000000"/>
          <w:sz w:val="24"/>
          <w:szCs w:val="24"/>
        </w:rPr>
        <w:t>in Wales in 2019 and percent change 2009</w:t>
      </w:r>
      <w:r w:rsidR="00D641F2" w:rsidRPr="002B7CB6">
        <w:rPr>
          <w:rFonts w:ascii="Arial" w:hAnsi="Arial" w:cs="Arial"/>
          <w:b/>
          <w:bCs/>
          <w:color w:val="000000"/>
          <w:sz w:val="24"/>
          <w:szCs w:val="24"/>
        </w:rPr>
        <w:t xml:space="preserve"> to </w:t>
      </w:r>
      <w:r w:rsidR="00CD4A12" w:rsidRPr="002B7CB6">
        <w:rPr>
          <w:rFonts w:ascii="Arial" w:hAnsi="Arial" w:cs="Arial"/>
          <w:b/>
          <w:bCs/>
          <w:color w:val="000000"/>
          <w:sz w:val="24"/>
          <w:szCs w:val="24"/>
        </w:rPr>
        <w:t>2019, all ages combined</w:t>
      </w:r>
    </w:p>
    <w:p w14:paraId="238AB8FD" w14:textId="34EDFFB3" w:rsidR="00BA21ED" w:rsidRDefault="001B4AE0" w:rsidP="00DC54F7">
      <w:pPr>
        <w:pStyle w:val="NoSpacing"/>
        <w:spacing w:before="240" w:after="120"/>
        <w:rPr>
          <w:rFonts w:ascii="Arial" w:hAnsi="Arial" w:cs="Arial"/>
          <w:sz w:val="22"/>
          <w:szCs w:val="22"/>
        </w:rPr>
      </w:pPr>
      <w:r>
        <w:rPr>
          <w:noProof/>
          <w:lang w:eastAsia="en-GB"/>
        </w:rPr>
        <w:drawing>
          <wp:inline distT="0" distB="0" distL="0" distR="0" wp14:anchorId="2977387E" wp14:editId="102340E3">
            <wp:extent cx="5731510" cy="2675255"/>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31510" cy="2675255"/>
                    </a:xfrm>
                    <a:prstGeom prst="rect">
                      <a:avLst/>
                    </a:prstGeom>
                  </pic:spPr>
                </pic:pic>
              </a:graphicData>
            </a:graphic>
          </wp:inline>
        </w:drawing>
      </w:r>
    </w:p>
    <w:p w14:paraId="6C0DC4DF" w14:textId="77777777" w:rsidR="003815FD" w:rsidRPr="002B7CB6" w:rsidRDefault="003815FD" w:rsidP="00DC54F7">
      <w:pPr>
        <w:spacing w:after="0" w:line="240" w:lineRule="auto"/>
        <w:jc w:val="both"/>
        <w:rPr>
          <w:rFonts w:ascii="Arial" w:hAnsi="Arial" w:cs="Arial"/>
          <w:color w:val="4C4D4F"/>
          <w:sz w:val="20"/>
          <w:szCs w:val="20"/>
        </w:rPr>
      </w:pPr>
      <w:r w:rsidRPr="002B7CB6">
        <w:rPr>
          <w:rFonts w:ascii="Arial" w:hAnsi="Arial" w:cs="Arial"/>
          <w:color w:val="4C4D4F"/>
          <w:sz w:val="20"/>
          <w:szCs w:val="20"/>
        </w:rPr>
        <w:t>Source: Institute for Health Metrics and Evaluation (IHME). </w:t>
      </w:r>
      <w:r w:rsidRPr="002B7CB6">
        <w:rPr>
          <w:rStyle w:val="Strong"/>
          <w:rFonts w:ascii="Arial" w:hAnsi="Arial" w:cs="Arial"/>
          <w:b w:val="0"/>
          <w:bCs w:val="0"/>
          <w:color w:val="4C4D4F"/>
          <w:sz w:val="20"/>
          <w:szCs w:val="20"/>
        </w:rPr>
        <w:t>Wales profile</w:t>
      </w:r>
      <w:r w:rsidRPr="002B7CB6">
        <w:rPr>
          <w:rFonts w:ascii="Arial" w:hAnsi="Arial" w:cs="Arial"/>
          <w:color w:val="4C4D4F"/>
          <w:sz w:val="20"/>
          <w:szCs w:val="20"/>
        </w:rPr>
        <w:t xml:space="preserve">. </w:t>
      </w:r>
    </w:p>
    <w:p w14:paraId="29FACF7E" w14:textId="77777777" w:rsidR="00FD22BE" w:rsidRDefault="00FD22BE" w:rsidP="00DC54F7">
      <w:pPr>
        <w:pStyle w:val="Caption"/>
        <w:spacing w:before="0" w:after="0"/>
        <w:jc w:val="both"/>
        <w:rPr>
          <w:rFonts w:ascii="Arial" w:hAnsi="Arial" w:cs="Arial"/>
          <w:b w:val="0"/>
          <w:bCs/>
          <w:sz w:val="22"/>
          <w:szCs w:val="22"/>
        </w:rPr>
      </w:pPr>
      <w:bookmarkStart w:id="10" w:name="_Toc60225188"/>
    </w:p>
    <w:p w14:paraId="5F20648B" w14:textId="3BE139C1" w:rsidR="00DC014C" w:rsidRDefault="00614FDA" w:rsidP="00DC54F7">
      <w:pPr>
        <w:pStyle w:val="Caption"/>
        <w:spacing w:before="0" w:after="0"/>
        <w:jc w:val="both"/>
        <w:rPr>
          <w:rFonts w:ascii="Arial" w:hAnsi="Arial" w:cs="Arial"/>
          <w:b w:val="0"/>
          <w:bCs/>
          <w:sz w:val="22"/>
          <w:szCs w:val="22"/>
        </w:rPr>
      </w:pPr>
      <w:r w:rsidRPr="002B7CB6">
        <w:rPr>
          <w:rFonts w:ascii="Arial" w:hAnsi="Arial" w:cs="Arial"/>
          <w:b w:val="0"/>
          <w:bCs/>
          <w:szCs w:val="24"/>
        </w:rPr>
        <w:t xml:space="preserve">Chronic health conditions tend to become more common with age. </w:t>
      </w:r>
      <w:r w:rsidR="00B52F99" w:rsidRPr="002B7CB6">
        <w:rPr>
          <w:rFonts w:ascii="Arial" w:hAnsi="Arial" w:cs="Arial"/>
          <w:b w:val="0"/>
          <w:bCs/>
          <w:szCs w:val="24"/>
        </w:rPr>
        <w:t xml:space="preserve">Based </w:t>
      </w:r>
      <w:r w:rsidR="002E7D9C" w:rsidRPr="002B7CB6">
        <w:rPr>
          <w:rFonts w:ascii="Arial" w:hAnsi="Arial" w:cs="Arial"/>
          <w:b w:val="0"/>
          <w:bCs/>
          <w:szCs w:val="24"/>
        </w:rPr>
        <w:t xml:space="preserve">on </w:t>
      </w:r>
      <w:r w:rsidR="00096D9F" w:rsidRPr="002B7CB6">
        <w:rPr>
          <w:rFonts w:ascii="Arial" w:hAnsi="Arial" w:cs="Arial"/>
          <w:b w:val="0"/>
          <w:bCs/>
          <w:szCs w:val="24"/>
        </w:rPr>
        <w:t>QOF 2019</w:t>
      </w:r>
      <w:r w:rsidR="007C4A53" w:rsidRPr="002B7CB6">
        <w:rPr>
          <w:rFonts w:ascii="Arial" w:hAnsi="Arial" w:cs="Arial"/>
          <w:b w:val="0"/>
          <w:bCs/>
          <w:szCs w:val="24"/>
        </w:rPr>
        <w:t xml:space="preserve"> </w:t>
      </w:r>
      <w:r w:rsidR="00DB5063" w:rsidRPr="002B7CB6">
        <w:rPr>
          <w:rFonts w:ascii="Arial" w:hAnsi="Arial" w:cs="Arial"/>
          <w:b w:val="0"/>
          <w:bCs/>
          <w:szCs w:val="24"/>
        </w:rPr>
        <w:t xml:space="preserve">reported </w:t>
      </w:r>
      <w:r w:rsidR="007C4A53" w:rsidRPr="002B7CB6">
        <w:rPr>
          <w:rFonts w:ascii="Arial" w:hAnsi="Arial" w:cs="Arial"/>
          <w:b w:val="0"/>
          <w:bCs/>
          <w:szCs w:val="24"/>
        </w:rPr>
        <w:t>GP practice data</w:t>
      </w:r>
      <w:r w:rsidR="00096D9F" w:rsidRPr="002B7CB6">
        <w:rPr>
          <w:rFonts w:ascii="Arial" w:hAnsi="Arial" w:cs="Arial"/>
          <w:b w:val="0"/>
          <w:bCs/>
          <w:szCs w:val="24"/>
        </w:rPr>
        <w:t xml:space="preserve">, </w:t>
      </w:r>
      <w:r w:rsidR="00587137" w:rsidRPr="002B7CB6">
        <w:rPr>
          <w:rFonts w:ascii="Arial" w:hAnsi="Arial" w:cs="Arial"/>
          <w:b w:val="0"/>
          <w:bCs/>
          <w:szCs w:val="24"/>
        </w:rPr>
        <w:t xml:space="preserve">Cardiff and Vale University Health Board has a lower </w:t>
      </w:r>
      <w:r w:rsidR="00FD22BE" w:rsidRPr="002B7CB6">
        <w:rPr>
          <w:rFonts w:ascii="Arial" w:hAnsi="Arial" w:cs="Arial"/>
          <w:b w:val="0"/>
          <w:bCs/>
          <w:szCs w:val="24"/>
        </w:rPr>
        <w:t xml:space="preserve">estimated </w:t>
      </w:r>
      <w:r w:rsidR="00B52F99" w:rsidRPr="002B7CB6">
        <w:rPr>
          <w:rFonts w:ascii="Arial" w:hAnsi="Arial" w:cs="Arial"/>
          <w:b w:val="0"/>
          <w:bCs/>
          <w:szCs w:val="24"/>
        </w:rPr>
        <w:t>prevalence of chronic</w:t>
      </w:r>
      <w:r w:rsidR="00D47751" w:rsidRPr="002B7CB6">
        <w:rPr>
          <w:rFonts w:ascii="Arial" w:hAnsi="Arial" w:cs="Arial"/>
          <w:b w:val="0"/>
          <w:bCs/>
          <w:szCs w:val="24"/>
        </w:rPr>
        <w:t xml:space="preserve"> health</w:t>
      </w:r>
      <w:r w:rsidR="00B52F99" w:rsidRPr="002B7CB6">
        <w:rPr>
          <w:rFonts w:ascii="Arial" w:hAnsi="Arial" w:cs="Arial"/>
          <w:b w:val="0"/>
          <w:bCs/>
          <w:szCs w:val="24"/>
        </w:rPr>
        <w:t xml:space="preserve"> </w:t>
      </w:r>
      <w:r w:rsidRPr="002B7CB6">
        <w:rPr>
          <w:rFonts w:ascii="Arial" w:hAnsi="Arial" w:cs="Arial"/>
          <w:b w:val="0"/>
          <w:bCs/>
          <w:szCs w:val="24"/>
        </w:rPr>
        <w:t>conditions</w:t>
      </w:r>
      <w:r w:rsidR="00FD22BE" w:rsidRPr="002B7CB6">
        <w:rPr>
          <w:rFonts w:ascii="Arial" w:hAnsi="Arial" w:cs="Arial"/>
          <w:b w:val="0"/>
          <w:bCs/>
          <w:szCs w:val="24"/>
        </w:rPr>
        <w:t xml:space="preserve"> </w:t>
      </w:r>
      <w:r w:rsidR="00CB647B" w:rsidRPr="002B7CB6">
        <w:rPr>
          <w:rFonts w:ascii="Arial" w:hAnsi="Arial" w:cs="Arial"/>
          <w:b w:val="0"/>
          <w:bCs/>
          <w:szCs w:val="24"/>
        </w:rPr>
        <w:t xml:space="preserve">when compared to </w:t>
      </w:r>
      <w:r w:rsidR="00B52F99" w:rsidRPr="002B7CB6">
        <w:rPr>
          <w:rFonts w:ascii="Arial" w:hAnsi="Arial" w:cs="Arial"/>
          <w:b w:val="0"/>
          <w:bCs/>
          <w:szCs w:val="24"/>
        </w:rPr>
        <w:t xml:space="preserve">the average for </w:t>
      </w:r>
      <w:r w:rsidR="00B52F99" w:rsidRPr="002B7CB6">
        <w:rPr>
          <w:rFonts w:ascii="Arial" w:hAnsi="Arial" w:cs="Arial"/>
          <w:b w:val="0"/>
          <w:bCs/>
          <w:szCs w:val="24"/>
        </w:rPr>
        <w:lastRenderedPageBreak/>
        <w:t xml:space="preserve">Wales. </w:t>
      </w:r>
      <w:r w:rsidR="000A472A" w:rsidRPr="002B7CB6">
        <w:rPr>
          <w:rFonts w:ascii="Arial" w:hAnsi="Arial" w:cs="Arial"/>
          <w:b w:val="0"/>
          <w:bCs/>
          <w:szCs w:val="24"/>
        </w:rPr>
        <w:t xml:space="preserve">At the local authority level, </w:t>
      </w:r>
      <w:r w:rsidR="003F48AB" w:rsidRPr="002B7CB6">
        <w:rPr>
          <w:rFonts w:ascii="Arial" w:hAnsi="Arial" w:cs="Arial"/>
          <w:b w:val="0"/>
          <w:bCs/>
          <w:szCs w:val="24"/>
        </w:rPr>
        <w:t xml:space="preserve">Cardiff </w:t>
      </w:r>
      <w:r w:rsidR="000A472A" w:rsidRPr="002B7CB6">
        <w:rPr>
          <w:rFonts w:ascii="Arial" w:hAnsi="Arial" w:cs="Arial"/>
          <w:b w:val="0"/>
          <w:bCs/>
          <w:szCs w:val="24"/>
        </w:rPr>
        <w:t xml:space="preserve">also </w:t>
      </w:r>
      <w:r w:rsidR="00FD22BE" w:rsidRPr="002B7CB6">
        <w:rPr>
          <w:rFonts w:ascii="Arial" w:hAnsi="Arial" w:cs="Arial"/>
          <w:b w:val="0"/>
          <w:bCs/>
          <w:szCs w:val="24"/>
        </w:rPr>
        <w:t xml:space="preserve">has </w:t>
      </w:r>
      <w:r w:rsidR="00424AEA" w:rsidRPr="002B7CB6">
        <w:rPr>
          <w:rFonts w:ascii="Arial" w:hAnsi="Arial" w:cs="Arial"/>
          <w:b w:val="0"/>
          <w:bCs/>
          <w:szCs w:val="24"/>
        </w:rPr>
        <w:t>a lower prevalence of chronic</w:t>
      </w:r>
      <w:r w:rsidR="00D47751" w:rsidRPr="002B7CB6">
        <w:rPr>
          <w:rFonts w:ascii="Arial" w:hAnsi="Arial" w:cs="Arial"/>
          <w:b w:val="0"/>
          <w:bCs/>
          <w:szCs w:val="24"/>
        </w:rPr>
        <w:t xml:space="preserve"> health </w:t>
      </w:r>
      <w:r w:rsidR="00424AEA" w:rsidRPr="002B7CB6">
        <w:rPr>
          <w:rFonts w:ascii="Arial" w:hAnsi="Arial" w:cs="Arial"/>
          <w:b w:val="0"/>
          <w:bCs/>
          <w:szCs w:val="24"/>
        </w:rPr>
        <w:t xml:space="preserve">conditions </w:t>
      </w:r>
      <w:r w:rsidR="00C42EC8" w:rsidRPr="002B7CB6">
        <w:rPr>
          <w:rFonts w:ascii="Arial" w:hAnsi="Arial" w:cs="Arial"/>
          <w:b w:val="0"/>
          <w:bCs/>
          <w:szCs w:val="24"/>
        </w:rPr>
        <w:t>while t</w:t>
      </w:r>
      <w:r w:rsidR="00FD22BE" w:rsidRPr="002B7CB6">
        <w:rPr>
          <w:rFonts w:ascii="Arial" w:hAnsi="Arial" w:cs="Arial"/>
          <w:b w:val="0"/>
          <w:bCs/>
          <w:szCs w:val="24"/>
        </w:rPr>
        <w:t>he Vale of Glamor</w:t>
      </w:r>
      <w:r w:rsidR="00CB655D" w:rsidRPr="002B7CB6">
        <w:rPr>
          <w:rFonts w:ascii="Arial" w:hAnsi="Arial" w:cs="Arial"/>
          <w:b w:val="0"/>
          <w:bCs/>
          <w:szCs w:val="24"/>
        </w:rPr>
        <w:t>gan has a lower estimated preval</w:t>
      </w:r>
      <w:r w:rsidR="000A472A" w:rsidRPr="002B7CB6">
        <w:rPr>
          <w:rFonts w:ascii="Arial" w:hAnsi="Arial" w:cs="Arial"/>
          <w:b w:val="0"/>
          <w:bCs/>
          <w:szCs w:val="24"/>
        </w:rPr>
        <w:t>ence</w:t>
      </w:r>
      <w:r w:rsidR="00CB655D" w:rsidRPr="002B7CB6">
        <w:rPr>
          <w:rFonts w:ascii="Arial" w:hAnsi="Arial" w:cs="Arial"/>
          <w:b w:val="0"/>
          <w:bCs/>
          <w:szCs w:val="24"/>
        </w:rPr>
        <w:t xml:space="preserve"> of chronic conditions</w:t>
      </w:r>
      <w:r w:rsidR="000A472A" w:rsidRPr="002B7CB6">
        <w:rPr>
          <w:rFonts w:ascii="Arial" w:hAnsi="Arial" w:cs="Arial"/>
          <w:b w:val="0"/>
          <w:bCs/>
          <w:szCs w:val="24"/>
        </w:rPr>
        <w:t xml:space="preserve"> </w:t>
      </w:r>
      <w:r w:rsidR="0049700D" w:rsidRPr="002B7CB6">
        <w:rPr>
          <w:rFonts w:ascii="Arial" w:hAnsi="Arial" w:cs="Arial"/>
          <w:b w:val="0"/>
          <w:bCs/>
          <w:szCs w:val="24"/>
        </w:rPr>
        <w:t>except for heart failure</w:t>
      </w:r>
      <w:r w:rsidR="00FD22BE" w:rsidRPr="002B7CB6">
        <w:rPr>
          <w:rFonts w:ascii="Arial" w:hAnsi="Arial" w:cs="Arial"/>
          <w:b w:val="0"/>
          <w:bCs/>
          <w:szCs w:val="24"/>
        </w:rPr>
        <w:t>,</w:t>
      </w:r>
      <w:r w:rsidR="0049700D" w:rsidRPr="002B7CB6">
        <w:rPr>
          <w:rFonts w:ascii="Arial" w:hAnsi="Arial" w:cs="Arial"/>
          <w:b w:val="0"/>
          <w:bCs/>
          <w:szCs w:val="24"/>
        </w:rPr>
        <w:t xml:space="preserve"> and stroke and transient isc</w:t>
      </w:r>
      <w:r w:rsidR="00E745F6" w:rsidRPr="002B7CB6">
        <w:rPr>
          <w:rFonts w:ascii="Arial" w:hAnsi="Arial" w:cs="Arial"/>
          <w:b w:val="0"/>
          <w:bCs/>
          <w:szCs w:val="24"/>
        </w:rPr>
        <w:t>haemic attacks</w:t>
      </w:r>
      <w:r w:rsidR="002C5C3A" w:rsidRPr="002B7CB6">
        <w:rPr>
          <w:rFonts w:ascii="Arial" w:hAnsi="Arial" w:cs="Arial"/>
          <w:b w:val="0"/>
          <w:bCs/>
          <w:szCs w:val="24"/>
        </w:rPr>
        <w:t>, which are the same as the average for Wales</w:t>
      </w:r>
      <w:r w:rsidR="00F133B0" w:rsidRPr="002B7CB6">
        <w:rPr>
          <w:rFonts w:ascii="Arial" w:hAnsi="Arial" w:cs="Arial"/>
          <w:b w:val="0"/>
          <w:bCs/>
          <w:szCs w:val="24"/>
        </w:rPr>
        <w:t xml:space="preserve">. </w:t>
      </w:r>
      <w:r w:rsidRPr="002B7CB6">
        <w:rPr>
          <w:rFonts w:ascii="Arial" w:hAnsi="Arial" w:cs="Arial"/>
          <w:b w:val="0"/>
          <w:bCs/>
          <w:szCs w:val="24"/>
        </w:rPr>
        <w:t>Overall, t</w:t>
      </w:r>
      <w:r w:rsidR="00424AEA" w:rsidRPr="002B7CB6">
        <w:rPr>
          <w:rFonts w:ascii="Arial" w:hAnsi="Arial" w:cs="Arial"/>
          <w:b w:val="0"/>
          <w:bCs/>
          <w:szCs w:val="24"/>
        </w:rPr>
        <w:t>he Vale of Glamorgan h</w:t>
      </w:r>
      <w:r w:rsidR="00F133B0" w:rsidRPr="002B7CB6">
        <w:rPr>
          <w:rFonts w:ascii="Arial" w:hAnsi="Arial" w:cs="Arial"/>
          <w:b w:val="0"/>
          <w:bCs/>
          <w:szCs w:val="24"/>
        </w:rPr>
        <w:t>as</w:t>
      </w:r>
      <w:r w:rsidR="00424AEA" w:rsidRPr="002B7CB6">
        <w:rPr>
          <w:rFonts w:ascii="Arial" w:hAnsi="Arial" w:cs="Arial"/>
          <w:b w:val="0"/>
          <w:bCs/>
          <w:szCs w:val="24"/>
        </w:rPr>
        <w:t xml:space="preserve"> </w:t>
      </w:r>
      <w:r w:rsidR="00636DBC" w:rsidRPr="002B7CB6">
        <w:rPr>
          <w:rFonts w:ascii="Arial" w:hAnsi="Arial" w:cs="Arial"/>
          <w:b w:val="0"/>
          <w:bCs/>
          <w:szCs w:val="24"/>
        </w:rPr>
        <w:t xml:space="preserve">a higher </w:t>
      </w:r>
      <w:r w:rsidR="009D480A" w:rsidRPr="002B7CB6">
        <w:rPr>
          <w:rFonts w:ascii="Arial" w:hAnsi="Arial" w:cs="Arial"/>
          <w:b w:val="0"/>
          <w:bCs/>
          <w:szCs w:val="24"/>
        </w:rPr>
        <w:t xml:space="preserve">estimated </w:t>
      </w:r>
      <w:r w:rsidR="00636DBC" w:rsidRPr="002B7CB6">
        <w:rPr>
          <w:rFonts w:ascii="Arial" w:hAnsi="Arial" w:cs="Arial"/>
          <w:b w:val="0"/>
          <w:bCs/>
          <w:szCs w:val="24"/>
        </w:rPr>
        <w:t xml:space="preserve">prevalence </w:t>
      </w:r>
      <w:r w:rsidR="009D480A" w:rsidRPr="002B7CB6">
        <w:rPr>
          <w:rFonts w:ascii="Arial" w:hAnsi="Arial" w:cs="Arial"/>
          <w:b w:val="0"/>
          <w:bCs/>
          <w:szCs w:val="24"/>
        </w:rPr>
        <w:t xml:space="preserve">of </w:t>
      </w:r>
      <w:r w:rsidR="00997FA3" w:rsidRPr="002B7CB6">
        <w:rPr>
          <w:rFonts w:ascii="Arial" w:hAnsi="Arial" w:cs="Arial"/>
          <w:b w:val="0"/>
          <w:bCs/>
          <w:szCs w:val="24"/>
        </w:rPr>
        <w:t>chronic health conditions</w:t>
      </w:r>
      <w:r w:rsidR="009D480A" w:rsidRPr="002B7CB6">
        <w:rPr>
          <w:rFonts w:ascii="Arial" w:hAnsi="Arial" w:cs="Arial"/>
          <w:b w:val="0"/>
          <w:bCs/>
          <w:szCs w:val="24"/>
        </w:rPr>
        <w:t xml:space="preserve"> than Cardiff</w:t>
      </w:r>
      <w:r w:rsidR="00D47751" w:rsidRPr="002B7CB6">
        <w:rPr>
          <w:rFonts w:ascii="Arial" w:hAnsi="Arial" w:cs="Arial"/>
          <w:b w:val="0"/>
          <w:bCs/>
          <w:szCs w:val="24"/>
        </w:rPr>
        <w:t xml:space="preserve">, </w:t>
      </w:r>
      <w:r w:rsidR="00636DBC" w:rsidRPr="002B7CB6">
        <w:rPr>
          <w:rFonts w:ascii="Arial" w:hAnsi="Arial" w:cs="Arial"/>
          <w:b w:val="0"/>
          <w:bCs/>
          <w:szCs w:val="24"/>
        </w:rPr>
        <w:t>reflect</w:t>
      </w:r>
      <w:r w:rsidR="000749FE" w:rsidRPr="002B7CB6">
        <w:rPr>
          <w:rFonts w:ascii="Arial" w:hAnsi="Arial" w:cs="Arial"/>
          <w:b w:val="0"/>
          <w:bCs/>
          <w:szCs w:val="24"/>
        </w:rPr>
        <w:t>ing</w:t>
      </w:r>
      <w:r w:rsidR="00636DBC" w:rsidRPr="002B7CB6">
        <w:rPr>
          <w:rFonts w:ascii="Arial" w:hAnsi="Arial" w:cs="Arial"/>
          <w:b w:val="0"/>
          <w:bCs/>
          <w:szCs w:val="24"/>
        </w:rPr>
        <w:t xml:space="preserve"> its </w:t>
      </w:r>
      <w:r w:rsidR="008C0B4F" w:rsidRPr="002B7CB6">
        <w:rPr>
          <w:rFonts w:ascii="Arial" w:hAnsi="Arial" w:cs="Arial"/>
          <w:b w:val="0"/>
          <w:bCs/>
          <w:szCs w:val="24"/>
        </w:rPr>
        <w:t>older population.</w:t>
      </w:r>
      <w:r w:rsidR="008C0B4F" w:rsidRPr="000749FE">
        <w:rPr>
          <w:rFonts w:ascii="Arial" w:hAnsi="Arial" w:cs="Arial"/>
          <w:b w:val="0"/>
          <w:bCs/>
          <w:sz w:val="22"/>
          <w:szCs w:val="22"/>
        </w:rPr>
        <w:t xml:space="preserve"> </w:t>
      </w:r>
    </w:p>
    <w:p w14:paraId="4507EC53" w14:textId="77777777" w:rsidR="00FD22BE" w:rsidRPr="00FD22BE" w:rsidRDefault="00FD22BE" w:rsidP="00DC54F7">
      <w:pPr>
        <w:spacing w:after="0" w:line="240" w:lineRule="auto"/>
        <w:jc w:val="both"/>
      </w:pPr>
    </w:p>
    <w:p w14:paraId="50970B1D" w14:textId="67C58E7A" w:rsidR="00B56E6C" w:rsidRPr="002B7CB6" w:rsidRDefault="00DC014C" w:rsidP="00DC54F7">
      <w:pPr>
        <w:pStyle w:val="Caption"/>
        <w:spacing w:before="0" w:after="0"/>
        <w:jc w:val="both"/>
        <w:rPr>
          <w:rFonts w:ascii="Arial" w:hAnsi="Arial" w:cs="Arial"/>
          <w:szCs w:val="24"/>
        </w:rPr>
      </w:pPr>
      <w:r w:rsidRPr="002B7CB6">
        <w:rPr>
          <w:rFonts w:ascii="Arial" w:hAnsi="Arial" w:cs="Arial"/>
          <w:szCs w:val="24"/>
        </w:rPr>
        <w:t>Table</w:t>
      </w:r>
      <w:r w:rsidR="00F22702" w:rsidRPr="002B7CB6">
        <w:rPr>
          <w:rFonts w:ascii="Arial" w:hAnsi="Arial" w:cs="Arial"/>
          <w:szCs w:val="24"/>
        </w:rPr>
        <w:t xml:space="preserve"> 3.1</w:t>
      </w:r>
      <w:r w:rsidRPr="002B7CB6">
        <w:rPr>
          <w:rFonts w:ascii="Arial" w:hAnsi="Arial" w:cs="Arial"/>
          <w:szCs w:val="24"/>
        </w:rPr>
        <w:t xml:space="preserve">: </w:t>
      </w:r>
      <w:r w:rsidR="00AF7F53" w:rsidRPr="002B7CB6">
        <w:rPr>
          <w:rFonts w:ascii="Arial" w:hAnsi="Arial" w:cs="Arial"/>
          <w:szCs w:val="24"/>
        </w:rPr>
        <w:t xml:space="preserve">Estimated </w:t>
      </w:r>
      <w:r w:rsidR="00B42F09" w:rsidRPr="002B7CB6">
        <w:rPr>
          <w:rFonts w:ascii="Arial" w:hAnsi="Arial" w:cs="Arial"/>
          <w:szCs w:val="24"/>
        </w:rPr>
        <w:t xml:space="preserve">percentage </w:t>
      </w:r>
      <w:r w:rsidR="00027872" w:rsidRPr="002B7CB6">
        <w:rPr>
          <w:rFonts w:ascii="Arial" w:hAnsi="Arial" w:cs="Arial"/>
          <w:szCs w:val="24"/>
        </w:rPr>
        <w:t>prevalence of chronic conditions</w:t>
      </w:r>
      <w:r w:rsidR="00B42F09" w:rsidRPr="002B7CB6">
        <w:rPr>
          <w:rFonts w:ascii="Arial" w:hAnsi="Arial" w:cs="Arial"/>
          <w:szCs w:val="24"/>
        </w:rPr>
        <w:t xml:space="preserve"> </w:t>
      </w:r>
      <w:r w:rsidR="00790730" w:rsidRPr="002B7CB6">
        <w:rPr>
          <w:rFonts w:ascii="Arial" w:hAnsi="Arial" w:cs="Arial"/>
          <w:szCs w:val="24"/>
        </w:rPr>
        <w:t xml:space="preserve">based on </w:t>
      </w:r>
      <w:r w:rsidRPr="002B7CB6">
        <w:rPr>
          <w:rFonts w:ascii="Arial" w:hAnsi="Arial" w:cs="Arial"/>
          <w:szCs w:val="24"/>
        </w:rPr>
        <w:t xml:space="preserve">patients on GP </w:t>
      </w:r>
      <w:r w:rsidR="00790730" w:rsidRPr="002B7CB6">
        <w:rPr>
          <w:rFonts w:ascii="Arial" w:hAnsi="Arial" w:cs="Arial"/>
          <w:szCs w:val="24"/>
        </w:rPr>
        <w:t>p</w:t>
      </w:r>
      <w:r w:rsidRPr="002B7CB6">
        <w:rPr>
          <w:rFonts w:ascii="Arial" w:hAnsi="Arial" w:cs="Arial"/>
          <w:szCs w:val="24"/>
        </w:rPr>
        <w:t>ractice registers</w:t>
      </w:r>
      <w:r w:rsidR="00B42F09" w:rsidRPr="002B7CB6">
        <w:rPr>
          <w:rFonts w:ascii="Arial" w:hAnsi="Arial" w:cs="Arial"/>
          <w:szCs w:val="24"/>
        </w:rPr>
        <w:t xml:space="preserve"> </w:t>
      </w:r>
      <w:r w:rsidR="006E4D71" w:rsidRPr="002B7CB6">
        <w:rPr>
          <w:rFonts w:ascii="Arial" w:hAnsi="Arial" w:cs="Arial"/>
          <w:szCs w:val="24"/>
        </w:rPr>
        <w:t xml:space="preserve">by </w:t>
      </w:r>
      <w:r w:rsidR="00567F4B" w:rsidRPr="002B7CB6">
        <w:rPr>
          <w:rFonts w:ascii="Arial" w:hAnsi="Arial" w:cs="Arial"/>
          <w:szCs w:val="24"/>
        </w:rPr>
        <w:t>local</w:t>
      </w:r>
      <w:r w:rsidR="00F13B09" w:rsidRPr="002B7CB6">
        <w:rPr>
          <w:rFonts w:ascii="Arial" w:hAnsi="Arial" w:cs="Arial"/>
          <w:szCs w:val="24"/>
        </w:rPr>
        <w:t xml:space="preserve"> authority, health board and </w:t>
      </w:r>
      <w:r w:rsidRPr="002B7CB6">
        <w:rPr>
          <w:rFonts w:ascii="Arial" w:hAnsi="Arial" w:cs="Arial"/>
          <w:szCs w:val="24"/>
        </w:rPr>
        <w:t>Wales, 2019</w:t>
      </w:r>
      <w:bookmarkEnd w:id="10"/>
    </w:p>
    <w:tbl>
      <w:tblPr>
        <w:tblW w:w="9160" w:type="dxa"/>
        <w:tblLook w:val="04A0" w:firstRow="1" w:lastRow="0" w:firstColumn="1" w:lastColumn="0" w:noHBand="0" w:noVBand="1"/>
      </w:tblPr>
      <w:tblGrid>
        <w:gridCol w:w="1956"/>
        <w:gridCol w:w="1200"/>
        <w:gridCol w:w="1224"/>
        <w:gridCol w:w="1200"/>
        <w:gridCol w:w="1200"/>
        <w:gridCol w:w="1200"/>
        <w:gridCol w:w="1180"/>
      </w:tblGrid>
      <w:tr w:rsidR="00004585" w:rsidRPr="00004585" w14:paraId="211A4F22" w14:textId="77777777" w:rsidTr="0001203E">
        <w:trPr>
          <w:trHeight w:val="272"/>
        </w:trPr>
        <w:tc>
          <w:tcPr>
            <w:tcW w:w="1956" w:type="dxa"/>
            <w:tcBorders>
              <w:top w:val="single" w:sz="4" w:space="0" w:color="auto"/>
              <w:left w:val="single" w:sz="4" w:space="0" w:color="auto"/>
              <w:bottom w:val="nil"/>
              <w:right w:val="nil"/>
            </w:tcBorders>
            <w:shd w:val="clear" w:color="000000" w:fill="8497B0"/>
            <w:noWrap/>
            <w:vAlign w:val="bottom"/>
            <w:hideMark/>
          </w:tcPr>
          <w:p w14:paraId="5EA58F9E" w14:textId="77777777" w:rsidR="00004585" w:rsidRPr="00004585" w:rsidRDefault="00004585" w:rsidP="00DC54F7">
            <w:pPr>
              <w:spacing w:after="0" w:line="240" w:lineRule="auto"/>
              <w:jc w:val="both"/>
              <w:rPr>
                <w:rFonts w:ascii="Calibri" w:eastAsia="Times New Roman" w:hAnsi="Calibri" w:cs="Calibri"/>
                <w:color w:val="000000"/>
                <w:lang w:eastAsia="en-GB"/>
              </w:rPr>
            </w:pPr>
            <w:r w:rsidRPr="00004585">
              <w:rPr>
                <w:rFonts w:ascii="Calibri" w:eastAsia="Times New Roman" w:hAnsi="Calibri" w:cs="Calibri"/>
                <w:color w:val="000000"/>
                <w:lang w:eastAsia="en-GB"/>
              </w:rPr>
              <w:t> </w:t>
            </w:r>
          </w:p>
        </w:tc>
        <w:tc>
          <w:tcPr>
            <w:tcW w:w="7204" w:type="dxa"/>
            <w:gridSpan w:val="6"/>
            <w:tcBorders>
              <w:top w:val="single" w:sz="4" w:space="0" w:color="auto"/>
              <w:left w:val="nil"/>
              <w:bottom w:val="single" w:sz="4" w:space="0" w:color="FFFFFF"/>
              <w:right w:val="single" w:sz="4" w:space="0" w:color="auto"/>
            </w:tcBorders>
            <w:shd w:val="clear" w:color="000000" w:fill="8497B0"/>
            <w:noWrap/>
            <w:vAlign w:val="bottom"/>
            <w:hideMark/>
          </w:tcPr>
          <w:p w14:paraId="1083888D" w14:textId="77777777" w:rsidR="00004585" w:rsidRPr="00004585" w:rsidRDefault="00004585" w:rsidP="00DC54F7">
            <w:pPr>
              <w:spacing w:after="0" w:line="240" w:lineRule="auto"/>
              <w:jc w:val="both"/>
              <w:rPr>
                <w:rFonts w:ascii="Calibri" w:eastAsia="Times New Roman" w:hAnsi="Calibri" w:cs="Calibri"/>
                <w:b/>
                <w:bCs/>
                <w:color w:val="FFFFFF"/>
                <w:lang w:eastAsia="en-GB"/>
              </w:rPr>
            </w:pPr>
            <w:r w:rsidRPr="00004585">
              <w:rPr>
                <w:rFonts w:ascii="Calibri" w:eastAsia="Times New Roman" w:hAnsi="Calibri" w:cs="Calibri"/>
                <w:b/>
                <w:bCs/>
                <w:color w:val="FFFFFF"/>
                <w:lang w:eastAsia="en-GB"/>
              </w:rPr>
              <w:t>Percentage</w:t>
            </w:r>
          </w:p>
        </w:tc>
      </w:tr>
      <w:tr w:rsidR="00004585" w:rsidRPr="00004585" w14:paraId="20837A01" w14:textId="77777777" w:rsidTr="0001203E">
        <w:trPr>
          <w:trHeight w:val="732"/>
        </w:trPr>
        <w:tc>
          <w:tcPr>
            <w:tcW w:w="1956" w:type="dxa"/>
            <w:tcBorders>
              <w:top w:val="nil"/>
              <w:left w:val="single" w:sz="4" w:space="0" w:color="auto"/>
              <w:bottom w:val="nil"/>
              <w:right w:val="nil"/>
            </w:tcBorders>
            <w:shd w:val="clear" w:color="000000" w:fill="8497B0"/>
            <w:noWrap/>
            <w:vAlign w:val="center"/>
            <w:hideMark/>
          </w:tcPr>
          <w:p w14:paraId="095A90E4" w14:textId="77777777" w:rsidR="00004585" w:rsidRPr="00004585" w:rsidRDefault="00004585" w:rsidP="00DC54F7">
            <w:pPr>
              <w:spacing w:after="0" w:line="240" w:lineRule="auto"/>
              <w:jc w:val="both"/>
              <w:rPr>
                <w:rFonts w:ascii="Calibri" w:eastAsia="Times New Roman" w:hAnsi="Calibri" w:cs="Calibri"/>
                <w:b/>
                <w:bCs/>
                <w:color w:val="FFFFFF"/>
                <w:sz w:val="20"/>
                <w:szCs w:val="20"/>
                <w:lang w:eastAsia="en-GB"/>
              </w:rPr>
            </w:pPr>
            <w:r w:rsidRPr="00004585">
              <w:rPr>
                <w:rFonts w:ascii="Calibri" w:eastAsia="Times New Roman" w:hAnsi="Calibri" w:cs="Calibri"/>
                <w:b/>
                <w:bCs/>
                <w:color w:val="FFFFFF"/>
                <w:sz w:val="20"/>
                <w:szCs w:val="20"/>
                <w:lang w:eastAsia="en-GB"/>
              </w:rPr>
              <w:t>Area</w:t>
            </w:r>
          </w:p>
        </w:tc>
        <w:tc>
          <w:tcPr>
            <w:tcW w:w="1200" w:type="dxa"/>
            <w:tcBorders>
              <w:top w:val="nil"/>
              <w:left w:val="nil"/>
              <w:bottom w:val="nil"/>
              <w:right w:val="nil"/>
            </w:tcBorders>
            <w:shd w:val="clear" w:color="000000" w:fill="8497B0"/>
            <w:vAlign w:val="center"/>
            <w:hideMark/>
          </w:tcPr>
          <w:p w14:paraId="72751D84" w14:textId="77777777" w:rsidR="00004585" w:rsidRPr="00004585" w:rsidRDefault="00004585" w:rsidP="00DC54F7">
            <w:pPr>
              <w:spacing w:after="0" w:line="240" w:lineRule="auto"/>
              <w:jc w:val="both"/>
              <w:rPr>
                <w:rFonts w:ascii="Calibri" w:eastAsia="Times New Roman" w:hAnsi="Calibri" w:cs="Calibri"/>
                <w:b/>
                <w:bCs/>
                <w:color w:val="FFFFFF"/>
                <w:sz w:val="20"/>
                <w:szCs w:val="20"/>
                <w:lang w:eastAsia="en-GB"/>
              </w:rPr>
            </w:pPr>
            <w:r w:rsidRPr="00004585">
              <w:rPr>
                <w:rFonts w:ascii="Calibri" w:eastAsia="Times New Roman" w:hAnsi="Calibri" w:cs="Calibri"/>
                <w:b/>
                <w:bCs/>
                <w:color w:val="FFFFFF"/>
                <w:sz w:val="20"/>
                <w:szCs w:val="20"/>
                <w:lang w:eastAsia="en-GB"/>
              </w:rPr>
              <w:t>Asthma</w:t>
            </w:r>
          </w:p>
        </w:tc>
        <w:tc>
          <w:tcPr>
            <w:tcW w:w="1224" w:type="dxa"/>
            <w:tcBorders>
              <w:top w:val="nil"/>
              <w:left w:val="nil"/>
              <w:bottom w:val="nil"/>
              <w:right w:val="nil"/>
            </w:tcBorders>
            <w:shd w:val="clear" w:color="000000" w:fill="8497B0"/>
            <w:vAlign w:val="center"/>
            <w:hideMark/>
          </w:tcPr>
          <w:p w14:paraId="11FA54FB" w14:textId="77777777" w:rsidR="00004585" w:rsidRPr="00004585" w:rsidRDefault="00004585" w:rsidP="00DC54F7">
            <w:pPr>
              <w:spacing w:after="0" w:line="240" w:lineRule="auto"/>
              <w:jc w:val="both"/>
              <w:rPr>
                <w:rFonts w:ascii="Calibri" w:eastAsia="Times New Roman" w:hAnsi="Calibri" w:cs="Calibri"/>
                <w:b/>
                <w:bCs/>
                <w:color w:val="FFFFFF"/>
                <w:sz w:val="20"/>
                <w:szCs w:val="20"/>
                <w:lang w:eastAsia="en-GB"/>
              </w:rPr>
            </w:pPr>
            <w:r w:rsidRPr="00004585">
              <w:rPr>
                <w:rFonts w:ascii="Calibri" w:eastAsia="Times New Roman" w:hAnsi="Calibri" w:cs="Calibri"/>
                <w:b/>
                <w:bCs/>
                <w:color w:val="FFFFFF"/>
                <w:sz w:val="20"/>
                <w:szCs w:val="20"/>
                <w:lang w:eastAsia="en-GB"/>
              </w:rPr>
              <w:t>Coronary Heart Disease</w:t>
            </w:r>
          </w:p>
        </w:tc>
        <w:tc>
          <w:tcPr>
            <w:tcW w:w="1200" w:type="dxa"/>
            <w:tcBorders>
              <w:top w:val="nil"/>
              <w:left w:val="nil"/>
              <w:bottom w:val="nil"/>
              <w:right w:val="nil"/>
            </w:tcBorders>
            <w:shd w:val="clear" w:color="000000" w:fill="8497B0"/>
            <w:vAlign w:val="center"/>
            <w:hideMark/>
          </w:tcPr>
          <w:p w14:paraId="4B9AD6C2" w14:textId="77777777" w:rsidR="00004585" w:rsidRPr="00004585" w:rsidRDefault="00004585" w:rsidP="00DC54F7">
            <w:pPr>
              <w:spacing w:after="0" w:line="240" w:lineRule="auto"/>
              <w:jc w:val="both"/>
              <w:rPr>
                <w:rFonts w:ascii="Calibri" w:eastAsia="Times New Roman" w:hAnsi="Calibri" w:cs="Calibri"/>
                <w:b/>
                <w:bCs/>
                <w:color w:val="FFFFFF"/>
                <w:sz w:val="20"/>
                <w:szCs w:val="20"/>
                <w:lang w:eastAsia="en-GB"/>
              </w:rPr>
            </w:pPr>
            <w:r w:rsidRPr="00004585">
              <w:rPr>
                <w:rFonts w:ascii="Calibri" w:eastAsia="Times New Roman" w:hAnsi="Calibri" w:cs="Calibri"/>
                <w:b/>
                <w:bCs/>
                <w:color w:val="FFFFFF"/>
                <w:sz w:val="20"/>
                <w:szCs w:val="20"/>
                <w:lang w:eastAsia="en-GB"/>
              </w:rPr>
              <w:t>COPD</w:t>
            </w:r>
          </w:p>
        </w:tc>
        <w:tc>
          <w:tcPr>
            <w:tcW w:w="1200" w:type="dxa"/>
            <w:tcBorders>
              <w:top w:val="nil"/>
              <w:left w:val="nil"/>
              <w:bottom w:val="nil"/>
              <w:right w:val="nil"/>
            </w:tcBorders>
            <w:shd w:val="clear" w:color="000000" w:fill="8497B0"/>
            <w:vAlign w:val="center"/>
            <w:hideMark/>
          </w:tcPr>
          <w:p w14:paraId="0E2DA573" w14:textId="77777777" w:rsidR="00004585" w:rsidRPr="00004585" w:rsidRDefault="00004585" w:rsidP="00DC54F7">
            <w:pPr>
              <w:spacing w:after="0" w:line="240" w:lineRule="auto"/>
              <w:jc w:val="both"/>
              <w:rPr>
                <w:rFonts w:ascii="Calibri" w:eastAsia="Times New Roman" w:hAnsi="Calibri" w:cs="Calibri"/>
                <w:b/>
                <w:bCs/>
                <w:color w:val="FFFFFF"/>
                <w:sz w:val="20"/>
                <w:szCs w:val="20"/>
                <w:lang w:eastAsia="en-GB"/>
              </w:rPr>
            </w:pPr>
            <w:r w:rsidRPr="00004585">
              <w:rPr>
                <w:rFonts w:ascii="Calibri" w:eastAsia="Times New Roman" w:hAnsi="Calibri" w:cs="Calibri"/>
                <w:b/>
                <w:bCs/>
                <w:color w:val="FFFFFF"/>
                <w:sz w:val="20"/>
                <w:szCs w:val="20"/>
                <w:lang w:eastAsia="en-GB"/>
              </w:rPr>
              <w:t>Diabetes</w:t>
            </w:r>
          </w:p>
        </w:tc>
        <w:tc>
          <w:tcPr>
            <w:tcW w:w="1200" w:type="dxa"/>
            <w:tcBorders>
              <w:top w:val="nil"/>
              <w:left w:val="nil"/>
              <w:bottom w:val="nil"/>
              <w:right w:val="nil"/>
            </w:tcBorders>
            <w:shd w:val="clear" w:color="000000" w:fill="8497B0"/>
            <w:vAlign w:val="center"/>
            <w:hideMark/>
          </w:tcPr>
          <w:p w14:paraId="0830DF82" w14:textId="77777777" w:rsidR="00004585" w:rsidRPr="00004585" w:rsidRDefault="00004585" w:rsidP="00DC54F7">
            <w:pPr>
              <w:spacing w:after="0" w:line="240" w:lineRule="auto"/>
              <w:jc w:val="both"/>
              <w:rPr>
                <w:rFonts w:ascii="Calibri" w:eastAsia="Times New Roman" w:hAnsi="Calibri" w:cs="Calibri"/>
                <w:b/>
                <w:bCs/>
                <w:color w:val="FFFFFF"/>
                <w:sz w:val="20"/>
                <w:szCs w:val="20"/>
                <w:lang w:eastAsia="en-GB"/>
              </w:rPr>
            </w:pPr>
            <w:r w:rsidRPr="00004585">
              <w:rPr>
                <w:rFonts w:ascii="Calibri" w:eastAsia="Times New Roman" w:hAnsi="Calibri" w:cs="Calibri"/>
                <w:b/>
                <w:bCs/>
                <w:color w:val="FFFFFF"/>
                <w:sz w:val="20"/>
                <w:szCs w:val="20"/>
                <w:lang w:eastAsia="en-GB"/>
              </w:rPr>
              <w:t>Heart Failure</w:t>
            </w:r>
          </w:p>
        </w:tc>
        <w:tc>
          <w:tcPr>
            <w:tcW w:w="1178" w:type="dxa"/>
            <w:tcBorders>
              <w:top w:val="nil"/>
              <w:left w:val="nil"/>
              <w:bottom w:val="nil"/>
              <w:right w:val="single" w:sz="4" w:space="0" w:color="auto"/>
            </w:tcBorders>
            <w:shd w:val="clear" w:color="000000" w:fill="8497B0"/>
            <w:vAlign w:val="center"/>
            <w:hideMark/>
          </w:tcPr>
          <w:p w14:paraId="55FB3094" w14:textId="77777777" w:rsidR="00004585" w:rsidRPr="00004585" w:rsidRDefault="00004585" w:rsidP="00DC54F7">
            <w:pPr>
              <w:spacing w:after="0" w:line="240" w:lineRule="auto"/>
              <w:jc w:val="both"/>
              <w:rPr>
                <w:rFonts w:ascii="Calibri" w:eastAsia="Times New Roman" w:hAnsi="Calibri" w:cs="Calibri"/>
                <w:b/>
                <w:bCs/>
                <w:color w:val="FFFFFF"/>
                <w:sz w:val="20"/>
                <w:szCs w:val="20"/>
                <w:lang w:eastAsia="en-GB"/>
              </w:rPr>
            </w:pPr>
            <w:r w:rsidRPr="00004585">
              <w:rPr>
                <w:rFonts w:ascii="Calibri" w:eastAsia="Times New Roman" w:hAnsi="Calibri" w:cs="Calibri"/>
                <w:b/>
                <w:bCs/>
                <w:color w:val="FFFFFF"/>
                <w:sz w:val="20"/>
                <w:szCs w:val="20"/>
                <w:lang w:eastAsia="en-GB"/>
              </w:rPr>
              <w:t>Stroke and TIA</w:t>
            </w:r>
          </w:p>
        </w:tc>
      </w:tr>
      <w:tr w:rsidR="00004585" w:rsidRPr="00004585" w14:paraId="0576E8EB" w14:textId="77777777" w:rsidTr="0001203E">
        <w:trPr>
          <w:trHeight w:val="272"/>
        </w:trPr>
        <w:tc>
          <w:tcPr>
            <w:tcW w:w="1956" w:type="dxa"/>
            <w:tcBorders>
              <w:top w:val="nil"/>
              <w:left w:val="single" w:sz="4" w:space="0" w:color="auto"/>
              <w:bottom w:val="nil"/>
              <w:right w:val="nil"/>
            </w:tcBorders>
            <w:shd w:val="clear" w:color="000000" w:fill="F2F2F2"/>
            <w:noWrap/>
            <w:vAlign w:val="center"/>
            <w:hideMark/>
          </w:tcPr>
          <w:p w14:paraId="6EEC42D7" w14:textId="77777777"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 xml:space="preserve">Cardiff </w:t>
            </w:r>
          </w:p>
        </w:tc>
        <w:tc>
          <w:tcPr>
            <w:tcW w:w="1200" w:type="dxa"/>
            <w:tcBorders>
              <w:top w:val="nil"/>
              <w:left w:val="nil"/>
              <w:bottom w:val="nil"/>
              <w:right w:val="nil"/>
            </w:tcBorders>
            <w:shd w:val="clear" w:color="000000" w:fill="F2F2F2"/>
            <w:vAlign w:val="center"/>
            <w:hideMark/>
          </w:tcPr>
          <w:p w14:paraId="78CD2112" w14:textId="2D69805C"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6.6</w:t>
            </w:r>
          </w:p>
        </w:tc>
        <w:tc>
          <w:tcPr>
            <w:tcW w:w="1224" w:type="dxa"/>
            <w:tcBorders>
              <w:top w:val="nil"/>
              <w:left w:val="nil"/>
              <w:bottom w:val="nil"/>
              <w:right w:val="nil"/>
            </w:tcBorders>
            <w:shd w:val="clear" w:color="000000" w:fill="F2F2F2"/>
            <w:vAlign w:val="center"/>
            <w:hideMark/>
          </w:tcPr>
          <w:p w14:paraId="707AB030" w14:textId="261B91BC"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2.5</w:t>
            </w:r>
          </w:p>
        </w:tc>
        <w:tc>
          <w:tcPr>
            <w:tcW w:w="1200" w:type="dxa"/>
            <w:tcBorders>
              <w:top w:val="nil"/>
              <w:left w:val="nil"/>
              <w:bottom w:val="nil"/>
              <w:right w:val="nil"/>
            </w:tcBorders>
            <w:shd w:val="clear" w:color="000000" w:fill="F2F2F2"/>
            <w:vAlign w:val="center"/>
            <w:hideMark/>
          </w:tcPr>
          <w:p w14:paraId="2DC61CFF" w14:textId="10F8AF05"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1.6</w:t>
            </w:r>
          </w:p>
        </w:tc>
        <w:tc>
          <w:tcPr>
            <w:tcW w:w="1200" w:type="dxa"/>
            <w:tcBorders>
              <w:top w:val="nil"/>
              <w:left w:val="nil"/>
              <w:bottom w:val="nil"/>
              <w:right w:val="nil"/>
            </w:tcBorders>
            <w:shd w:val="clear" w:color="000000" w:fill="F2F2F2"/>
            <w:vAlign w:val="center"/>
            <w:hideMark/>
          </w:tcPr>
          <w:p w14:paraId="24532A58" w14:textId="35C75FAA"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4.9</w:t>
            </w:r>
          </w:p>
        </w:tc>
        <w:tc>
          <w:tcPr>
            <w:tcW w:w="1200" w:type="dxa"/>
            <w:tcBorders>
              <w:top w:val="nil"/>
              <w:left w:val="nil"/>
              <w:bottom w:val="nil"/>
              <w:right w:val="nil"/>
            </w:tcBorders>
            <w:shd w:val="clear" w:color="000000" w:fill="F2F2F2"/>
            <w:vAlign w:val="center"/>
            <w:hideMark/>
          </w:tcPr>
          <w:p w14:paraId="258C454A" w14:textId="4DB5FB3D"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0.8</w:t>
            </w:r>
          </w:p>
        </w:tc>
        <w:tc>
          <w:tcPr>
            <w:tcW w:w="1178" w:type="dxa"/>
            <w:tcBorders>
              <w:top w:val="nil"/>
              <w:left w:val="nil"/>
              <w:bottom w:val="nil"/>
              <w:right w:val="single" w:sz="4" w:space="0" w:color="auto"/>
            </w:tcBorders>
            <w:shd w:val="clear" w:color="000000" w:fill="F2F2F2"/>
            <w:vAlign w:val="center"/>
            <w:hideMark/>
          </w:tcPr>
          <w:p w14:paraId="114B0120" w14:textId="7F2C55CB"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1.6</w:t>
            </w:r>
          </w:p>
        </w:tc>
      </w:tr>
      <w:tr w:rsidR="00004585" w:rsidRPr="00004585" w14:paraId="1898A035" w14:textId="77777777" w:rsidTr="0001203E">
        <w:trPr>
          <w:trHeight w:val="272"/>
        </w:trPr>
        <w:tc>
          <w:tcPr>
            <w:tcW w:w="1956" w:type="dxa"/>
            <w:tcBorders>
              <w:top w:val="nil"/>
              <w:left w:val="single" w:sz="4" w:space="0" w:color="auto"/>
              <w:bottom w:val="nil"/>
              <w:right w:val="nil"/>
            </w:tcBorders>
            <w:shd w:val="clear" w:color="000000" w:fill="FFFFFF"/>
            <w:noWrap/>
            <w:vAlign w:val="center"/>
            <w:hideMark/>
          </w:tcPr>
          <w:p w14:paraId="3DD22D01" w14:textId="77777777"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Vale of Glamorgan</w:t>
            </w:r>
          </w:p>
        </w:tc>
        <w:tc>
          <w:tcPr>
            <w:tcW w:w="1200" w:type="dxa"/>
            <w:tcBorders>
              <w:top w:val="nil"/>
              <w:left w:val="nil"/>
              <w:bottom w:val="nil"/>
              <w:right w:val="nil"/>
            </w:tcBorders>
            <w:shd w:val="clear" w:color="000000" w:fill="FFFFFF"/>
            <w:vAlign w:val="center"/>
            <w:hideMark/>
          </w:tcPr>
          <w:p w14:paraId="43154A97" w14:textId="73418376"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6.8</w:t>
            </w:r>
          </w:p>
        </w:tc>
        <w:tc>
          <w:tcPr>
            <w:tcW w:w="1224" w:type="dxa"/>
            <w:tcBorders>
              <w:top w:val="nil"/>
              <w:left w:val="nil"/>
              <w:bottom w:val="nil"/>
              <w:right w:val="nil"/>
            </w:tcBorders>
            <w:shd w:val="clear" w:color="000000" w:fill="FFFFFF"/>
            <w:vAlign w:val="center"/>
            <w:hideMark/>
          </w:tcPr>
          <w:p w14:paraId="22DB6AC8" w14:textId="0272AFB4"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3.3</w:t>
            </w:r>
          </w:p>
        </w:tc>
        <w:tc>
          <w:tcPr>
            <w:tcW w:w="1200" w:type="dxa"/>
            <w:tcBorders>
              <w:top w:val="nil"/>
              <w:left w:val="nil"/>
              <w:bottom w:val="nil"/>
              <w:right w:val="nil"/>
            </w:tcBorders>
            <w:shd w:val="clear" w:color="000000" w:fill="FFFFFF"/>
            <w:vAlign w:val="center"/>
            <w:hideMark/>
          </w:tcPr>
          <w:p w14:paraId="569C5206" w14:textId="6C58D337"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1.9</w:t>
            </w:r>
          </w:p>
        </w:tc>
        <w:tc>
          <w:tcPr>
            <w:tcW w:w="1200" w:type="dxa"/>
            <w:tcBorders>
              <w:top w:val="nil"/>
              <w:left w:val="nil"/>
              <w:bottom w:val="nil"/>
              <w:right w:val="nil"/>
            </w:tcBorders>
            <w:shd w:val="clear" w:color="000000" w:fill="FFFFFF"/>
            <w:vAlign w:val="center"/>
            <w:hideMark/>
          </w:tcPr>
          <w:p w14:paraId="46038214" w14:textId="706B2727"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5.5</w:t>
            </w:r>
          </w:p>
        </w:tc>
        <w:tc>
          <w:tcPr>
            <w:tcW w:w="1200" w:type="dxa"/>
            <w:tcBorders>
              <w:top w:val="nil"/>
              <w:left w:val="nil"/>
              <w:bottom w:val="nil"/>
              <w:right w:val="nil"/>
            </w:tcBorders>
            <w:shd w:val="clear" w:color="000000" w:fill="FFFFFF"/>
            <w:vAlign w:val="center"/>
            <w:hideMark/>
          </w:tcPr>
          <w:p w14:paraId="0FA20133" w14:textId="5BA6CB60"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1.1</w:t>
            </w:r>
          </w:p>
        </w:tc>
        <w:tc>
          <w:tcPr>
            <w:tcW w:w="1178" w:type="dxa"/>
            <w:tcBorders>
              <w:top w:val="nil"/>
              <w:left w:val="nil"/>
              <w:bottom w:val="nil"/>
              <w:right w:val="single" w:sz="4" w:space="0" w:color="auto"/>
            </w:tcBorders>
            <w:shd w:val="clear" w:color="000000" w:fill="FFFFFF"/>
            <w:vAlign w:val="center"/>
            <w:hideMark/>
          </w:tcPr>
          <w:p w14:paraId="5514C363" w14:textId="6B5798CC"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2.1</w:t>
            </w:r>
          </w:p>
        </w:tc>
      </w:tr>
      <w:tr w:rsidR="00004585" w:rsidRPr="00004585" w14:paraId="18A0F335" w14:textId="77777777" w:rsidTr="0001203E">
        <w:trPr>
          <w:trHeight w:val="272"/>
        </w:trPr>
        <w:tc>
          <w:tcPr>
            <w:tcW w:w="1956" w:type="dxa"/>
            <w:tcBorders>
              <w:top w:val="nil"/>
              <w:left w:val="single" w:sz="4" w:space="0" w:color="auto"/>
              <w:bottom w:val="nil"/>
              <w:right w:val="nil"/>
            </w:tcBorders>
            <w:shd w:val="clear" w:color="000000" w:fill="F2F2F2"/>
            <w:noWrap/>
            <w:vAlign w:val="center"/>
            <w:hideMark/>
          </w:tcPr>
          <w:p w14:paraId="3246D2AB" w14:textId="77777777"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Cardiff &amp; Vale UHB</w:t>
            </w:r>
          </w:p>
        </w:tc>
        <w:tc>
          <w:tcPr>
            <w:tcW w:w="1200" w:type="dxa"/>
            <w:tcBorders>
              <w:top w:val="nil"/>
              <w:left w:val="nil"/>
              <w:bottom w:val="nil"/>
              <w:right w:val="nil"/>
            </w:tcBorders>
            <w:shd w:val="clear" w:color="000000" w:fill="F2F2F2"/>
            <w:vAlign w:val="center"/>
            <w:hideMark/>
          </w:tcPr>
          <w:p w14:paraId="620CB38D" w14:textId="1B8F9B49"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6.7</w:t>
            </w:r>
          </w:p>
        </w:tc>
        <w:tc>
          <w:tcPr>
            <w:tcW w:w="1224" w:type="dxa"/>
            <w:tcBorders>
              <w:top w:val="nil"/>
              <w:left w:val="nil"/>
              <w:bottom w:val="nil"/>
              <w:right w:val="nil"/>
            </w:tcBorders>
            <w:shd w:val="clear" w:color="000000" w:fill="F2F2F2"/>
            <w:vAlign w:val="center"/>
            <w:hideMark/>
          </w:tcPr>
          <w:p w14:paraId="1C51025D" w14:textId="056C2D2B"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2.7</w:t>
            </w:r>
          </w:p>
        </w:tc>
        <w:tc>
          <w:tcPr>
            <w:tcW w:w="1200" w:type="dxa"/>
            <w:tcBorders>
              <w:top w:val="nil"/>
              <w:left w:val="nil"/>
              <w:bottom w:val="nil"/>
              <w:right w:val="nil"/>
            </w:tcBorders>
            <w:shd w:val="clear" w:color="000000" w:fill="F2F2F2"/>
            <w:vAlign w:val="center"/>
            <w:hideMark/>
          </w:tcPr>
          <w:p w14:paraId="6AD470F7" w14:textId="2B1F7246"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1.7</w:t>
            </w:r>
          </w:p>
        </w:tc>
        <w:tc>
          <w:tcPr>
            <w:tcW w:w="1200" w:type="dxa"/>
            <w:tcBorders>
              <w:top w:val="nil"/>
              <w:left w:val="nil"/>
              <w:bottom w:val="nil"/>
              <w:right w:val="nil"/>
            </w:tcBorders>
            <w:shd w:val="clear" w:color="000000" w:fill="F2F2F2"/>
            <w:vAlign w:val="center"/>
            <w:hideMark/>
          </w:tcPr>
          <w:p w14:paraId="72FEA2FF" w14:textId="34BF72F8"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5.0</w:t>
            </w:r>
          </w:p>
        </w:tc>
        <w:tc>
          <w:tcPr>
            <w:tcW w:w="1200" w:type="dxa"/>
            <w:tcBorders>
              <w:top w:val="nil"/>
              <w:left w:val="nil"/>
              <w:bottom w:val="nil"/>
              <w:right w:val="nil"/>
            </w:tcBorders>
            <w:shd w:val="clear" w:color="000000" w:fill="F2F2F2"/>
            <w:vAlign w:val="center"/>
            <w:hideMark/>
          </w:tcPr>
          <w:p w14:paraId="2DC006CD" w14:textId="0DBDEDAC"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0.9</w:t>
            </w:r>
          </w:p>
        </w:tc>
        <w:tc>
          <w:tcPr>
            <w:tcW w:w="1178" w:type="dxa"/>
            <w:tcBorders>
              <w:top w:val="nil"/>
              <w:left w:val="nil"/>
              <w:bottom w:val="nil"/>
              <w:right w:val="single" w:sz="4" w:space="0" w:color="auto"/>
            </w:tcBorders>
            <w:shd w:val="clear" w:color="000000" w:fill="F2F2F2"/>
            <w:vAlign w:val="center"/>
            <w:hideMark/>
          </w:tcPr>
          <w:p w14:paraId="3AD1AB2F" w14:textId="4B861D05"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1.7</w:t>
            </w:r>
          </w:p>
        </w:tc>
      </w:tr>
      <w:tr w:rsidR="00004585" w:rsidRPr="00004585" w14:paraId="5AC32B0E" w14:textId="77777777" w:rsidTr="0001203E">
        <w:trPr>
          <w:trHeight w:val="272"/>
        </w:trPr>
        <w:tc>
          <w:tcPr>
            <w:tcW w:w="1956" w:type="dxa"/>
            <w:tcBorders>
              <w:top w:val="nil"/>
              <w:left w:val="single" w:sz="4" w:space="0" w:color="auto"/>
              <w:bottom w:val="single" w:sz="4" w:space="0" w:color="auto"/>
              <w:right w:val="nil"/>
            </w:tcBorders>
            <w:shd w:val="clear" w:color="000000" w:fill="FFFFFF"/>
            <w:noWrap/>
            <w:vAlign w:val="center"/>
            <w:hideMark/>
          </w:tcPr>
          <w:p w14:paraId="719EF684" w14:textId="77777777"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Wales</w:t>
            </w:r>
          </w:p>
        </w:tc>
        <w:tc>
          <w:tcPr>
            <w:tcW w:w="1200" w:type="dxa"/>
            <w:tcBorders>
              <w:top w:val="nil"/>
              <w:left w:val="nil"/>
              <w:bottom w:val="single" w:sz="4" w:space="0" w:color="auto"/>
              <w:right w:val="nil"/>
            </w:tcBorders>
            <w:shd w:val="clear" w:color="000000" w:fill="FFFFFF"/>
            <w:vAlign w:val="center"/>
            <w:hideMark/>
          </w:tcPr>
          <w:p w14:paraId="7A6423FB" w14:textId="478EDFBE"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7.1</w:t>
            </w:r>
          </w:p>
        </w:tc>
        <w:tc>
          <w:tcPr>
            <w:tcW w:w="1224" w:type="dxa"/>
            <w:tcBorders>
              <w:top w:val="nil"/>
              <w:left w:val="nil"/>
              <w:bottom w:val="single" w:sz="4" w:space="0" w:color="auto"/>
              <w:right w:val="nil"/>
            </w:tcBorders>
            <w:shd w:val="clear" w:color="000000" w:fill="FFFFFF"/>
            <w:vAlign w:val="center"/>
            <w:hideMark/>
          </w:tcPr>
          <w:p w14:paraId="6EC5421A" w14:textId="7D7C7A4E"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3.6</w:t>
            </w:r>
          </w:p>
        </w:tc>
        <w:tc>
          <w:tcPr>
            <w:tcW w:w="1200" w:type="dxa"/>
            <w:tcBorders>
              <w:top w:val="nil"/>
              <w:left w:val="nil"/>
              <w:bottom w:val="single" w:sz="4" w:space="0" w:color="auto"/>
              <w:right w:val="nil"/>
            </w:tcBorders>
            <w:shd w:val="clear" w:color="000000" w:fill="FFFFFF"/>
            <w:vAlign w:val="center"/>
            <w:hideMark/>
          </w:tcPr>
          <w:p w14:paraId="2085CB45" w14:textId="08E3766D"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2.4</w:t>
            </w:r>
          </w:p>
        </w:tc>
        <w:tc>
          <w:tcPr>
            <w:tcW w:w="1200" w:type="dxa"/>
            <w:tcBorders>
              <w:top w:val="nil"/>
              <w:left w:val="nil"/>
              <w:bottom w:val="single" w:sz="4" w:space="0" w:color="auto"/>
              <w:right w:val="nil"/>
            </w:tcBorders>
            <w:shd w:val="clear" w:color="000000" w:fill="FFFFFF"/>
            <w:vAlign w:val="center"/>
            <w:hideMark/>
          </w:tcPr>
          <w:p w14:paraId="47D3D83A" w14:textId="35BBB8DB"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6.1</w:t>
            </w:r>
          </w:p>
        </w:tc>
        <w:tc>
          <w:tcPr>
            <w:tcW w:w="1200" w:type="dxa"/>
            <w:tcBorders>
              <w:top w:val="nil"/>
              <w:left w:val="nil"/>
              <w:bottom w:val="single" w:sz="4" w:space="0" w:color="auto"/>
              <w:right w:val="nil"/>
            </w:tcBorders>
            <w:shd w:val="clear" w:color="000000" w:fill="FFFFFF"/>
            <w:vAlign w:val="center"/>
            <w:hideMark/>
          </w:tcPr>
          <w:p w14:paraId="251B11D2" w14:textId="05A0DD5E"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1.1</w:t>
            </w:r>
          </w:p>
        </w:tc>
        <w:tc>
          <w:tcPr>
            <w:tcW w:w="1178" w:type="dxa"/>
            <w:tcBorders>
              <w:top w:val="nil"/>
              <w:left w:val="nil"/>
              <w:bottom w:val="single" w:sz="4" w:space="0" w:color="auto"/>
              <w:right w:val="single" w:sz="4" w:space="0" w:color="auto"/>
            </w:tcBorders>
            <w:shd w:val="clear" w:color="000000" w:fill="FFFFFF"/>
            <w:vAlign w:val="center"/>
            <w:hideMark/>
          </w:tcPr>
          <w:p w14:paraId="1A877C95" w14:textId="679EEBE6" w:rsidR="00004585" w:rsidRPr="00004585" w:rsidRDefault="00004585" w:rsidP="00DC54F7">
            <w:pPr>
              <w:spacing w:after="0" w:line="240" w:lineRule="auto"/>
              <w:jc w:val="both"/>
              <w:rPr>
                <w:rFonts w:ascii="Calibri" w:eastAsia="Times New Roman" w:hAnsi="Calibri" w:cs="Calibri"/>
                <w:color w:val="000000"/>
                <w:sz w:val="20"/>
                <w:szCs w:val="20"/>
                <w:lang w:eastAsia="en-GB"/>
              </w:rPr>
            </w:pPr>
            <w:r w:rsidRPr="00004585">
              <w:rPr>
                <w:rFonts w:ascii="Calibri" w:eastAsia="Times New Roman" w:hAnsi="Calibri" w:cs="Calibri"/>
                <w:color w:val="000000"/>
                <w:sz w:val="20"/>
                <w:szCs w:val="20"/>
                <w:lang w:eastAsia="en-GB"/>
              </w:rPr>
              <w:t>2.1</w:t>
            </w:r>
          </w:p>
        </w:tc>
      </w:tr>
    </w:tbl>
    <w:p w14:paraId="6C2075EA" w14:textId="46CCB959" w:rsidR="00284FEF" w:rsidRPr="00FD22BE" w:rsidRDefault="00D94B86" w:rsidP="00DC54F7">
      <w:pPr>
        <w:spacing w:after="0" w:line="240" w:lineRule="auto"/>
        <w:jc w:val="both"/>
        <w:rPr>
          <w:rFonts w:ascii="Arial" w:hAnsi="Arial" w:cs="Arial"/>
          <w:sz w:val="20"/>
          <w:szCs w:val="20"/>
        </w:rPr>
      </w:pPr>
      <w:r w:rsidRPr="00FD22BE">
        <w:rPr>
          <w:rFonts w:ascii="Arial" w:hAnsi="Arial" w:cs="Arial"/>
          <w:sz w:val="20"/>
          <w:szCs w:val="20"/>
        </w:rPr>
        <w:t>Source: QOF 2019</w:t>
      </w:r>
      <w:r w:rsidR="00A60D3C" w:rsidRPr="00FD22BE">
        <w:rPr>
          <w:rFonts w:ascii="Arial" w:hAnsi="Arial" w:cs="Arial"/>
          <w:sz w:val="20"/>
          <w:szCs w:val="20"/>
        </w:rPr>
        <w:t xml:space="preserve"> </w:t>
      </w:r>
    </w:p>
    <w:p w14:paraId="4469B950" w14:textId="05B615E7" w:rsidR="00284FEF" w:rsidRDefault="00284FEF" w:rsidP="00DC54F7">
      <w:pPr>
        <w:spacing w:after="0" w:line="240" w:lineRule="auto"/>
        <w:jc w:val="both"/>
        <w:rPr>
          <w:rFonts w:ascii="Arial" w:hAnsi="Arial" w:cs="Arial"/>
          <w:b/>
          <w:sz w:val="26"/>
          <w:szCs w:val="26"/>
        </w:rPr>
      </w:pPr>
    </w:p>
    <w:p w14:paraId="3572E907" w14:textId="77777777" w:rsidR="002B7CB6" w:rsidRDefault="002B7CB6" w:rsidP="00DC54F7">
      <w:pPr>
        <w:spacing w:after="0" w:line="240" w:lineRule="auto"/>
        <w:jc w:val="both"/>
        <w:rPr>
          <w:rFonts w:ascii="Arial" w:hAnsi="Arial" w:cs="Arial"/>
          <w:b/>
          <w:sz w:val="26"/>
          <w:szCs w:val="26"/>
        </w:rPr>
      </w:pPr>
    </w:p>
    <w:p w14:paraId="324BF84E" w14:textId="0C06BE7F" w:rsidR="00CF356D" w:rsidRDefault="00974F9C" w:rsidP="00DC54F7">
      <w:pPr>
        <w:spacing w:after="0" w:line="240" w:lineRule="auto"/>
        <w:jc w:val="both"/>
        <w:rPr>
          <w:rFonts w:ascii="Arial" w:hAnsi="Arial" w:cs="Arial"/>
          <w:b/>
          <w:sz w:val="26"/>
          <w:szCs w:val="26"/>
        </w:rPr>
      </w:pPr>
      <w:r w:rsidRPr="00A10850">
        <w:rPr>
          <w:rFonts w:ascii="Arial" w:hAnsi="Arial" w:cs="Arial"/>
          <w:b/>
          <w:sz w:val="26"/>
          <w:szCs w:val="26"/>
        </w:rPr>
        <w:t>3.1</w:t>
      </w:r>
      <w:r w:rsidR="00D60F79">
        <w:rPr>
          <w:rFonts w:ascii="Arial" w:hAnsi="Arial" w:cs="Arial"/>
          <w:b/>
          <w:sz w:val="26"/>
          <w:szCs w:val="26"/>
        </w:rPr>
        <w:t>.</w:t>
      </w:r>
      <w:r w:rsidR="005A4EF3">
        <w:rPr>
          <w:rFonts w:ascii="Arial" w:hAnsi="Arial" w:cs="Arial"/>
          <w:b/>
          <w:sz w:val="26"/>
          <w:szCs w:val="26"/>
        </w:rPr>
        <w:t>1</w:t>
      </w:r>
      <w:r w:rsidRPr="00A10850">
        <w:rPr>
          <w:rFonts w:ascii="Arial" w:hAnsi="Arial" w:cs="Arial"/>
          <w:b/>
          <w:sz w:val="26"/>
          <w:szCs w:val="26"/>
        </w:rPr>
        <w:t xml:space="preserve"> </w:t>
      </w:r>
      <w:r w:rsidR="004654D5" w:rsidRPr="00A10850">
        <w:rPr>
          <w:rFonts w:ascii="Arial" w:hAnsi="Arial" w:cs="Arial"/>
          <w:b/>
          <w:sz w:val="26"/>
          <w:szCs w:val="26"/>
        </w:rPr>
        <w:t>Cancer</w:t>
      </w:r>
    </w:p>
    <w:p w14:paraId="3B014BBF" w14:textId="3BC3B66E" w:rsidR="001E48B2" w:rsidRDefault="001E48B2" w:rsidP="00DC54F7">
      <w:pPr>
        <w:spacing w:after="0" w:line="240" w:lineRule="auto"/>
        <w:jc w:val="both"/>
        <w:rPr>
          <w:rFonts w:ascii="Arial" w:hAnsi="Arial" w:cs="Arial"/>
          <w:b/>
          <w:sz w:val="26"/>
          <w:szCs w:val="26"/>
        </w:rPr>
      </w:pPr>
    </w:p>
    <w:p w14:paraId="103BA27C" w14:textId="3D1B65BC" w:rsidR="0061772A" w:rsidRPr="002B7CB6" w:rsidRDefault="00844C98" w:rsidP="00DC54F7">
      <w:pPr>
        <w:spacing w:after="0" w:line="240" w:lineRule="auto"/>
        <w:jc w:val="both"/>
        <w:rPr>
          <w:rFonts w:ascii="Arial" w:hAnsi="Arial" w:cs="Arial"/>
          <w:sz w:val="24"/>
          <w:szCs w:val="24"/>
          <w:shd w:val="clear" w:color="auto" w:fill="FFFFFF"/>
        </w:rPr>
      </w:pPr>
      <w:r w:rsidRPr="002B7CB6">
        <w:rPr>
          <w:rFonts w:ascii="Arial" w:hAnsi="Arial" w:cs="Arial"/>
          <w:sz w:val="24"/>
          <w:szCs w:val="24"/>
          <w:shd w:val="clear" w:color="auto" w:fill="FFFFFF"/>
        </w:rPr>
        <w:t>T</w:t>
      </w:r>
      <w:r w:rsidR="00570F80" w:rsidRPr="002B7CB6">
        <w:rPr>
          <w:rFonts w:ascii="Arial" w:hAnsi="Arial" w:cs="Arial"/>
          <w:sz w:val="24"/>
          <w:szCs w:val="24"/>
          <w:shd w:val="clear" w:color="auto" w:fill="FFFFFF"/>
        </w:rPr>
        <w:t>he most common</w:t>
      </w:r>
      <w:r w:rsidR="004F1B08" w:rsidRPr="002B7CB6">
        <w:rPr>
          <w:rFonts w:ascii="Arial" w:hAnsi="Arial" w:cs="Arial"/>
          <w:sz w:val="24"/>
          <w:szCs w:val="24"/>
          <w:shd w:val="clear" w:color="auto" w:fill="FFFFFF"/>
        </w:rPr>
        <w:t xml:space="preserve"> forms of cancer in </w:t>
      </w:r>
      <w:r w:rsidR="006E4292" w:rsidRPr="002B7CB6">
        <w:rPr>
          <w:rFonts w:ascii="Arial" w:hAnsi="Arial" w:cs="Arial"/>
          <w:sz w:val="24"/>
          <w:szCs w:val="24"/>
          <w:shd w:val="clear" w:color="auto" w:fill="FFFFFF"/>
        </w:rPr>
        <w:t>Wales</w:t>
      </w:r>
      <w:r w:rsidR="003D40C9" w:rsidRPr="002B7CB6">
        <w:rPr>
          <w:rFonts w:ascii="Arial" w:hAnsi="Arial" w:cs="Arial"/>
          <w:sz w:val="24"/>
          <w:szCs w:val="24"/>
          <w:shd w:val="clear" w:color="auto" w:fill="FFFFFF"/>
        </w:rPr>
        <w:t xml:space="preserve">, </w:t>
      </w:r>
      <w:r w:rsidR="006E4292" w:rsidRPr="002B7CB6">
        <w:rPr>
          <w:rFonts w:ascii="Arial" w:hAnsi="Arial" w:cs="Arial"/>
          <w:sz w:val="24"/>
          <w:szCs w:val="24"/>
          <w:shd w:val="clear" w:color="auto" w:fill="FFFFFF"/>
        </w:rPr>
        <w:t>Cardiff University Health Board</w:t>
      </w:r>
      <w:r w:rsidR="00614461" w:rsidRPr="002B7CB6">
        <w:rPr>
          <w:rFonts w:ascii="Arial" w:hAnsi="Arial" w:cs="Arial"/>
          <w:sz w:val="24"/>
          <w:szCs w:val="24"/>
          <w:shd w:val="clear" w:color="auto" w:fill="FFFFFF"/>
        </w:rPr>
        <w:t xml:space="preserve"> </w:t>
      </w:r>
      <w:r w:rsidR="003D40C9" w:rsidRPr="002B7CB6">
        <w:rPr>
          <w:rFonts w:ascii="Arial" w:hAnsi="Arial" w:cs="Arial"/>
          <w:sz w:val="24"/>
          <w:szCs w:val="24"/>
          <w:shd w:val="clear" w:color="auto" w:fill="FFFFFF"/>
        </w:rPr>
        <w:t>and Cardif</w:t>
      </w:r>
      <w:r w:rsidR="00724742" w:rsidRPr="002B7CB6">
        <w:rPr>
          <w:rFonts w:ascii="Arial" w:hAnsi="Arial" w:cs="Arial"/>
          <w:sz w:val="24"/>
          <w:szCs w:val="24"/>
          <w:shd w:val="clear" w:color="auto" w:fill="FFFFFF"/>
        </w:rPr>
        <w:t xml:space="preserve">f </w:t>
      </w:r>
      <w:r w:rsidR="00A8656A" w:rsidRPr="002B7CB6">
        <w:rPr>
          <w:rFonts w:ascii="Arial" w:hAnsi="Arial" w:cs="Arial"/>
          <w:sz w:val="24"/>
          <w:szCs w:val="24"/>
          <w:shd w:val="clear" w:color="auto" w:fill="FFFFFF"/>
        </w:rPr>
        <w:t xml:space="preserve">are </w:t>
      </w:r>
      <w:r w:rsidR="00FF1F58" w:rsidRPr="002B7CB6">
        <w:rPr>
          <w:rFonts w:ascii="Arial" w:hAnsi="Arial" w:cs="Arial"/>
          <w:sz w:val="24"/>
          <w:szCs w:val="24"/>
          <w:shd w:val="clear" w:color="auto" w:fill="FFFFFF"/>
        </w:rPr>
        <w:t xml:space="preserve">prostate, </w:t>
      </w:r>
      <w:r w:rsidR="00B27F13" w:rsidRPr="002B7CB6">
        <w:rPr>
          <w:rFonts w:ascii="Arial" w:hAnsi="Arial" w:cs="Arial"/>
          <w:sz w:val="24"/>
          <w:szCs w:val="24"/>
          <w:shd w:val="clear" w:color="auto" w:fill="FFFFFF"/>
        </w:rPr>
        <w:t xml:space="preserve">breast, </w:t>
      </w:r>
      <w:r w:rsidR="005A1AF8" w:rsidRPr="002B7CB6">
        <w:rPr>
          <w:rFonts w:ascii="Arial" w:hAnsi="Arial" w:cs="Arial"/>
          <w:sz w:val="24"/>
          <w:szCs w:val="24"/>
          <w:shd w:val="clear" w:color="auto" w:fill="FFFFFF"/>
        </w:rPr>
        <w:t xml:space="preserve">lung, </w:t>
      </w:r>
      <w:r w:rsidR="00FF1F58" w:rsidRPr="002B7CB6">
        <w:rPr>
          <w:rFonts w:ascii="Arial" w:hAnsi="Arial" w:cs="Arial"/>
          <w:sz w:val="24"/>
          <w:szCs w:val="24"/>
          <w:shd w:val="clear" w:color="auto" w:fill="FFFFFF"/>
        </w:rPr>
        <w:t xml:space="preserve">colorectal, </w:t>
      </w:r>
      <w:r w:rsidR="005A1AF8" w:rsidRPr="002B7CB6">
        <w:rPr>
          <w:rFonts w:ascii="Arial" w:hAnsi="Arial" w:cs="Arial"/>
          <w:sz w:val="24"/>
          <w:szCs w:val="24"/>
          <w:shd w:val="clear" w:color="auto" w:fill="FFFFFF"/>
        </w:rPr>
        <w:t xml:space="preserve">and </w:t>
      </w:r>
      <w:r w:rsidR="002C21F5" w:rsidRPr="002B7CB6">
        <w:rPr>
          <w:rFonts w:ascii="Arial" w:hAnsi="Arial" w:cs="Arial"/>
          <w:sz w:val="24"/>
          <w:szCs w:val="24"/>
          <w:shd w:val="clear" w:color="auto" w:fill="FFFFFF"/>
        </w:rPr>
        <w:t>colo</w:t>
      </w:r>
      <w:r w:rsidR="005A1AF8" w:rsidRPr="002B7CB6">
        <w:rPr>
          <w:rFonts w:ascii="Arial" w:hAnsi="Arial" w:cs="Arial"/>
          <w:sz w:val="24"/>
          <w:szCs w:val="24"/>
          <w:shd w:val="clear" w:color="auto" w:fill="FFFFFF"/>
        </w:rPr>
        <w:t>n</w:t>
      </w:r>
      <w:r w:rsidRPr="002B7CB6">
        <w:rPr>
          <w:rFonts w:ascii="Arial" w:hAnsi="Arial" w:cs="Arial"/>
          <w:sz w:val="24"/>
          <w:szCs w:val="24"/>
          <w:shd w:val="clear" w:color="auto" w:fill="FFFFFF"/>
        </w:rPr>
        <w:t xml:space="preserve"> (2013 to 2017)</w:t>
      </w:r>
      <w:r w:rsidR="002C21F5" w:rsidRPr="002B7CB6">
        <w:rPr>
          <w:rFonts w:ascii="Arial" w:hAnsi="Arial" w:cs="Arial"/>
          <w:sz w:val="24"/>
          <w:szCs w:val="24"/>
          <w:shd w:val="clear" w:color="auto" w:fill="FFFFFF"/>
        </w:rPr>
        <w:t>.</w:t>
      </w:r>
      <w:r w:rsidRPr="002B7CB6">
        <w:rPr>
          <w:rFonts w:ascii="Arial" w:hAnsi="Arial" w:cs="Arial"/>
          <w:sz w:val="24"/>
          <w:szCs w:val="24"/>
          <w:shd w:val="clear" w:color="auto" w:fill="FFFFFF"/>
        </w:rPr>
        <w:t xml:space="preserve"> In</w:t>
      </w:r>
      <w:r w:rsidR="00614461" w:rsidRPr="002B7CB6">
        <w:rPr>
          <w:rFonts w:ascii="Arial" w:hAnsi="Arial" w:cs="Arial"/>
          <w:sz w:val="24"/>
          <w:szCs w:val="24"/>
          <w:shd w:val="clear" w:color="auto" w:fill="FFFFFF"/>
        </w:rPr>
        <w:t xml:space="preserve"> the Vale</w:t>
      </w:r>
      <w:r w:rsidR="00B3378F" w:rsidRPr="002B7CB6">
        <w:rPr>
          <w:rFonts w:ascii="Arial" w:hAnsi="Arial" w:cs="Arial"/>
          <w:sz w:val="24"/>
          <w:szCs w:val="24"/>
          <w:shd w:val="clear" w:color="auto" w:fill="FFFFFF"/>
        </w:rPr>
        <w:t xml:space="preserve"> </w:t>
      </w:r>
      <w:r w:rsidR="00614461" w:rsidRPr="002B7CB6">
        <w:rPr>
          <w:rFonts w:ascii="Arial" w:hAnsi="Arial" w:cs="Arial"/>
          <w:sz w:val="24"/>
          <w:szCs w:val="24"/>
          <w:shd w:val="clear" w:color="auto" w:fill="FFFFFF"/>
        </w:rPr>
        <w:t xml:space="preserve">of Glamorgan, </w:t>
      </w:r>
      <w:r w:rsidR="00B3378F" w:rsidRPr="002B7CB6">
        <w:rPr>
          <w:rFonts w:ascii="Arial" w:hAnsi="Arial" w:cs="Arial"/>
          <w:sz w:val="24"/>
          <w:szCs w:val="24"/>
          <w:shd w:val="clear" w:color="auto" w:fill="FFFFFF"/>
        </w:rPr>
        <w:t xml:space="preserve">the incidence </w:t>
      </w:r>
      <w:r w:rsidR="00A76922" w:rsidRPr="002B7CB6">
        <w:rPr>
          <w:rFonts w:ascii="Arial" w:hAnsi="Arial" w:cs="Arial"/>
          <w:sz w:val="24"/>
          <w:szCs w:val="24"/>
          <w:shd w:val="clear" w:color="auto" w:fill="FFFFFF"/>
        </w:rPr>
        <w:t xml:space="preserve">rate for </w:t>
      </w:r>
      <w:r w:rsidR="001524F8" w:rsidRPr="002B7CB6">
        <w:rPr>
          <w:rFonts w:ascii="Arial" w:hAnsi="Arial" w:cs="Arial"/>
          <w:sz w:val="24"/>
          <w:szCs w:val="24"/>
          <w:shd w:val="clear" w:color="auto" w:fill="FFFFFF"/>
        </w:rPr>
        <w:t xml:space="preserve">colorectal cancer </w:t>
      </w:r>
      <w:r w:rsidR="00A8656A" w:rsidRPr="002B7CB6">
        <w:rPr>
          <w:rFonts w:ascii="Arial" w:hAnsi="Arial" w:cs="Arial"/>
          <w:sz w:val="24"/>
          <w:szCs w:val="24"/>
          <w:shd w:val="clear" w:color="auto" w:fill="FFFFFF"/>
        </w:rPr>
        <w:t>is</w:t>
      </w:r>
      <w:r w:rsidR="001524F8" w:rsidRPr="002B7CB6">
        <w:rPr>
          <w:rFonts w:ascii="Arial" w:hAnsi="Arial" w:cs="Arial"/>
          <w:sz w:val="24"/>
          <w:szCs w:val="24"/>
          <w:shd w:val="clear" w:color="auto" w:fill="FFFFFF"/>
        </w:rPr>
        <w:t xml:space="preserve"> higher than lung cancer.</w:t>
      </w:r>
    </w:p>
    <w:p w14:paraId="72C9FD3E" w14:textId="77777777" w:rsidR="005F2E6B" w:rsidRPr="005F2E6B" w:rsidRDefault="005F2E6B" w:rsidP="00DC54F7">
      <w:pPr>
        <w:spacing w:after="0" w:line="240" w:lineRule="auto"/>
        <w:jc w:val="both"/>
        <w:rPr>
          <w:rFonts w:ascii="Arial" w:hAnsi="Arial" w:cs="Arial"/>
          <w:color w:val="44434B"/>
          <w:sz w:val="23"/>
          <w:szCs w:val="23"/>
          <w:shd w:val="clear" w:color="auto" w:fill="FFFFFF"/>
        </w:rPr>
      </w:pPr>
    </w:p>
    <w:p w14:paraId="22077F5D" w14:textId="0BF36A0E" w:rsidR="00223533" w:rsidRPr="002B7CB6" w:rsidRDefault="00F22702" w:rsidP="00DC54F7">
      <w:pPr>
        <w:spacing w:after="0" w:line="240" w:lineRule="auto"/>
        <w:jc w:val="both"/>
        <w:rPr>
          <w:rFonts w:ascii="Arial" w:hAnsi="Arial" w:cs="Arial"/>
          <w:b/>
          <w:bCs/>
          <w:sz w:val="24"/>
          <w:szCs w:val="24"/>
        </w:rPr>
      </w:pPr>
      <w:r w:rsidRPr="002B7CB6">
        <w:rPr>
          <w:rFonts w:ascii="Arial" w:hAnsi="Arial" w:cs="Arial"/>
          <w:b/>
          <w:bCs/>
          <w:sz w:val="24"/>
          <w:szCs w:val="24"/>
        </w:rPr>
        <w:t>Figure 3.2</w:t>
      </w:r>
      <w:r w:rsidR="0061772A" w:rsidRPr="002B7CB6">
        <w:rPr>
          <w:rFonts w:ascii="Arial" w:hAnsi="Arial" w:cs="Arial"/>
          <w:b/>
          <w:bCs/>
          <w:sz w:val="24"/>
          <w:szCs w:val="24"/>
        </w:rPr>
        <w:t xml:space="preserve">: Cancer </w:t>
      </w:r>
      <w:r w:rsidR="00A76922" w:rsidRPr="002B7CB6">
        <w:rPr>
          <w:rFonts w:ascii="Arial" w:hAnsi="Arial" w:cs="Arial"/>
          <w:b/>
          <w:bCs/>
          <w:sz w:val="24"/>
          <w:szCs w:val="24"/>
        </w:rPr>
        <w:t>i</w:t>
      </w:r>
      <w:r w:rsidR="0061772A" w:rsidRPr="002B7CB6">
        <w:rPr>
          <w:rFonts w:ascii="Arial" w:hAnsi="Arial" w:cs="Arial"/>
          <w:b/>
          <w:bCs/>
          <w:sz w:val="24"/>
          <w:szCs w:val="24"/>
        </w:rPr>
        <w:t xml:space="preserve">ncidence European </w:t>
      </w:r>
      <w:r w:rsidR="00283484" w:rsidRPr="002B7CB6">
        <w:rPr>
          <w:rFonts w:ascii="Arial" w:hAnsi="Arial" w:cs="Arial"/>
          <w:b/>
          <w:bCs/>
          <w:sz w:val="24"/>
          <w:szCs w:val="24"/>
        </w:rPr>
        <w:t>Age-standardised</w:t>
      </w:r>
      <w:r w:rsidR="0061772A" w:rsidRPr="002B7CB6">
        <w:rPr>
          <w:rFonts w:ascii="Arial" w:hAnsi="Arial" w:cs="Arial"/>
          <w:b/>
          <w:bCs/>
          <w:sz w:val="24"/>
          <w:szCs w:val="24"/>
        </w:rPr>
        <w:t xml:space="preserve"> Rates (EASR) by cancer types</w:t>
      </w:r>
      <w:r w:rsidR="002374D4" w:rsidRPr="002B7CB6">
        <w:rPr>
          <w:rFonts w:ascii="Arial" w:hAnsi="Arial" w:cs="Arial"/>
          <w:b/>
          <w:bCs/>
          <w:sz w:val="24"/>
          <w:szCs w:val="24"/>
        </w:rPr>
        <w:t xml:space="preserve"> in Cardiff and Vale University Health Board</w:t>
      </w:r>
      <w:r w:rsidR="0061772A" w:rsidRPr="002B7CB6">
        <w:rPr>
          <w:rFonts w:ascii="Arial" w:hAnsi="Arial" w:cs="Arial"/>
          <w:b/>
          <w:bCs/>
          <w:sz w:val="24"/>
          <w:szCs w:val="24"/>
        </w:rPr>
        <w:t>, 2013 to 2017</w:t>
      </w:r>
    </w:p>
    <w:p w14:paraId="5114950F" w14:textId="033D75D4" w:rsidR="004415EA" w:rsidRPr="008E10AE" w:rsidRDefault="0048248E" w:rsidP="00DC54F7">
      <w:pPr>
        <w:spacing w:after="0" w:line="240" w:lineRule="auto"/>
        <w:contextualSpacing/>
        <w:jc w:val="both"/>
        <w:rPr>
          <w:rFonts w:ascii="Arial" w:hAnsi="Arial" w:cs="Arial"/>
          <w:lang w:val="en-US"/>
        </w:rPr>
      </w:pPr>
      <w:r>
        <w:rPr>
          <w:noProof/>
          <w:lang w:eastAsia="en-GB"/>
        </w:rPr>
        <w:drawing>
          <wp:inline distT="0" distB="0" distL="0" distR="0" wp14:anchorId="76B74F69" wp14:editId="5189906C">
            <wp:extent cx="6092825" cy="3404103"/>
            <wp:effectExtent l="0" t="0" r="3175"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112697" cy="3415206"/>
                    </a:xfrm>
                    <a:prstGeom prst="rect">
                      <a:avLst/>
                    </a:prstGeom>
                    <a:noFill/>
                    <a:ln>
                      <a:noFill/>
                    </a:ln>
                  </pic:spPr>
                </pic:pic>
              </a:graphicData>
            </a:graphic>
          </wp:inline>
        </w:drawing>
      </w:r>
    </w:p>
    <w:p w14:paraId="031DC33E" w14:textId="28531C36" w:rsidR="002B7CB6" w:rsidRPr="00B31D24" w:rsidRDefault="004C52DD" w:rsidP="00DC54F7">
      <w:pPr>
        <w:spacing w:after="0" w:line="240" w:lineRule="auto"/>
        <w:jc w:val="both"/>
        <w:rPr>
          <w:rStyle w:val="Emphasis"/>
          <w:rFonts w:ascii="Arial" w:hAnsi="Arial" w:cs="Arial"/>
          <w:i w:val="0"/>
          <w:iCs w:val="0"/>
          <w:color w:val="333333"/>
          <w:sz w:val="20"/>
          <w:szCs w:val="20"/>
          <w:shd w:val="clear" w:color="auto" w:fill="FFFFFF"/>
        </w:rPr>
      </w:pPr>
      <w:r w:rsidRPr="00B31D24">
        <w:rPr>
          <w:rStyle w:val="Emphasis"/>
          <w:rFonts w:ascii="Arial" w:hAnsi="Arial" w:cs="Arial"/>
          <w:i w:val="0"/>
          <w:iCs w:val="0"/>
          <w:color w:val="333333"/>
          <w:sz w:val="20"/>
          <w:szCs w:val="20"/>
          <w:shd w:val="clear" w:color="auto" w:fill="FFFFFF"/>
        </w:rPr>
        <w:t>Source: Welsh Cancer Intelligence and Surveillance Unit's cancer registry</w:t>
      </w:r>
      <w:r w:rsidR="002B7CB6" w:rsidRPr="00B31D24">
        <w:rPr>
          <w:rStyle w:val="Emphasis"/>
          <w:rFonts w:ascii="Arial" w:hAnsi="Arial" w:cs="Arial"/>
          <w:i w:val="0"/>
          <w:iCs w:val="0"/>
          <w:color w:val="333333"/>
          <w:sz w:val="20"/>
          <w:szCs w:val="20"/>
          <w:shd w:val="clear" w:color="auto" w:fill="FFFFFF"/>
        </w:rPr>
        <w:br w:type="page"/>
      </w:r>
    </w:p>
    <w:p w14:paraId="0EE064BE" w14:textId="485359B2" w:rsidR="0011313F" w:rsidRPr="002B7CB6" w:rsidRDefault="0011313F" w:rsidP="00DC54F7">
      <w:pPr>
        <w:spacing w:after="0" w:line="240" w:lineRule="auto"/>
        <w:jc w:val="both"/>
        <w:rPr>
          <w:rFonts w:ascii="Arial" w:eastAsia="Times New Roman" w:hAnsi="Arial" w:cs="Arial"/>
          <w:color w:val="000000"/>
          <w:sz w:val="24"/>
          <w:szCs w:val="24"/>
          <w:lang w:eastAsia="en-GB"/>
        </w:rPr>
      </w:pPr>
      <w:r w:rsidRPr="002B7CB6">
        <w:rPr>
          <w:rFonts w:ascii="Arial" w:eastAsia="Times New Roman" w:hAnsi="Arial" w:cs="Arial"/>
          <w:color w:val="000000"/>
          <w:sz w:val="24"/>
          <w:szCs w:val="24"/>
          <w:lang w:eastAsia="en-GB"/>
        </w:rPr>
        <w:lastRenderedPageBreak/>
        <w:t xml:space="preserve">In </w:t>
      </w:r>
      <w:r w:rsidR="008E10AE" w:rsidRPr="002B7CB6">
        <w:rPr>
          <w:rFonts w:ascii="Arial" w:eastAsia="Times New Roman" w:hAnsi="Arial" w:cs="Arial"/>
          <w:color w:val="000000"/>
          <w:sz w:val="24"/>
          <w:szCs w:val="24"/>
          <w:lang w:eastAsia="en-GB"/>
        </w:rPr>
        <w:t xml:space="preserve">Wales, </w:t>
      </w:r>
      <w:r w:rsidRPr="002B7CB6">
        <w:rPr>
          <w:rFonts w:ascii="Arial" w:eastAsia="Times New Roman" w:hAnsi="Arial" w:cs="Arial"/>
          <w:color w:val="000000"/>
          <w:sz w:val="24"/>
          <w:szCs w:val="24"/>
          <w:lang w:eastAsia="en-GB"/>
        </w:rPr>
        <w:t>C</w:t>
      </w:r>
      <w:r w:rsidR="000211AB" w:rsidRPr="002B7CB6">
        <w:rPr>
          <w:rFonts w:ascii="Arial" w:eastAsia="Times New Roman" w:hAnsi="Arial" w:cs="Arial"/>
          <w:color w:val="000000"/>
          <w:sz w:val="24"/>
          <w:szCs w:val="24"/>
          <w:lang w:eastAsia="en-GB"/>
        </w:rPr>
        <w:t xml:space="preserve">ardiff and Vale </w:t>
      </w:r>
      <w:r w:rsidRPr="002B7CB6">
        <w:rPr>
          <w:rFonts w:ascii="Arial" w:eastAsia="Times New Roman" w:hAnsi="Arial" w:cs="Arial"/>
          <w:color w:val="000000"/>
          <w:sz w:val="24"/>
          <w:szCs w:val="24"/>
          <w:lang w:eastAsia="en-GB"/>
        </w:rPr>
        <w:t>U</w:t>
      </w:r>
      <w:r w:rsidR="000211AB" w:rsidRPr="002B7CB6">
        <w:rPr>
          <w:rFonts w:ascii="Arial" w:eastAsia="Times New Roman" w:hAnsi="Arial" w:cs="Arial"/>
          <w:color w:val="000000"/>
          <w:sz w:val="24"/>
          <w:szCs w:val="24"/>
          <w:lang w:eastAsia="en-GB"/>
        </w:rPr>
        <w:t xml:space="preserve">niversity </w:t>
      </w:r>
      <w:r w:rsidRPr="002B7CB6">
        <w:rPr>
          <w:rFonts w:ascii="Arial" w:eastAsia="Times New Roman" w:hAnsi="Arial" w:cs="Arial"/>
          <w:color w:val="000000"/>
          <w:sz w:val="24"/>
          <w:szCs w:val="24"/>
          <w:lang w:eastAsia="en-GB"/>
        </w:rPr>
        <w:t>H</w:t>
      </w:r>
      <w:r w:rsidR="000211AB" w:rsidRPr="002B7CB6">
        <w:rPr>
          <w:rFonts w:ascii="Arial" w:eastAsia="Times New Roman" w:hAnsi="Arial" w:cs="Arial"/>
          <w:color w:val="000000"/>
          <w:sz w:val="24"/>
          <w:szCs w:val="24"/>
          <w:lang w:eastAsia="en-GB"/>
        </w:rPr>
        <w:t xml:space="preserve">ealth </w:t>
      </w:r>
      <w:r w:rsidRPr="002B7CB6">
        <w:rPr>
          <w:rFonts w:ascii="Arial" w:eastAsia="Times New Roman" w:hAnsi="Arial" w:cs="Arial"/>
          <w:color w:val="000000"/>
          <w:sz w:val="24"/>
          <w:szCs w:val="24"/>
          <w:lang w:eastAsia="en-GB"/>
        </w:rPr>
        <w:t>B</w:t>
      </w:r>
      <w:r w:rsidR="00D40C67" w:rsidRPr="002B7CB6">
        <w:rPr>
          <w:rFonts w:ascii="Arial" w:eastAsia="Times New Roman" w:hAnsi="Arial" w:cs="Arial"/>
          <w:color w:val="000000"/>
          <w:sz w:val="24"/>
          <w:szCs w:val="24"/>
          <w:lang w:eastAsia="en-GB"/>
        </w:rPr>
        <w:t>oard</w:t>
      </w:r>
      <w:r w:rsidRPr="002B7CB6">
        <w:rPr>
          <w:rFonts w:ascii="Arial" w:eastAsia="Times New Roman" w:hAnsi="Arial" w:cs="Arial"/>
          <w:color w:val="000000"/>
          <w:sz w:val="24"/>
          <w:szCs w:val="24"/>
          <w:lang w:eastAsia="en-GB"/>
        </w:rPr>
        <w:t xml:space="preserve"> and Cardiff</w:t>
      </w:r>
      <w:r w:rsidR="00301DAE" w:rsidRPr="002B7CB6">
        <w:rPr>
          <w:rFonts w:ascii="Arial" w:eastAsia="Times New Roman" w:hAnsi="Arial" w:cs="Arial"/>
          <w:color w:val="000000"/>
          <w:sz w:val="24"/>
          <w:szCs w:val="24"/>
          <w:lang w:eastAsia="en-GB"/>
        </w:rPr>
        <w:t>,</w:t>
      </w:r>
      <w:r w:rsidRPr="002B7CB6">
        <w:rPr>
          <w:rFonts w:ascii="Arial" w:eastAsia="Times New Roman" w:hAnsi="Arial" w:cs="Arial"/>
          <w:color w:val="000000"/>
          <w:sz w:val="24"/>
          <w:szCs w:val="24"/>
          <w:lang w:eastAsia="en-GB"/>
        </w:rPr>
        <w:t xml:space="preserve"> the most common forms of cancer in women </w:t>
      </w:r>
      <w:r w:rsidR="00C070BC" w:rsidRPr="002B7CB6">
        <w:rPr>
          <w:rFonts w:ascii="Arial" w:eastAsia="Times New Roman" w:hAnsi="Arial" w:cs="Arial"/>
          <w:color w:val="000000"/>
          <w:sz w:val="24"/>
          <w:szCs w:val="24"/>
          <w:lang w:eastAsia="en-GB"/>
        </w:rPr>
        <w:t>are</w:t>
      </w:r>
      <w:r w:rsidRPr="002B7CB6">
        <w:rPr>
          <w:rFonts w:ascii="Arial" w:eastAsia="Times New Roman" w:hAnsi="Arial" w:cs="Arial"/>
          <w:color w:val="000000"/>
          <w:sz w:val="24"/>
          <w:szCs w:val="24"/>
          <w:lang w:eastAsia="en-GB"/>
        </w:rPr>
        <w:t xml:space="preserve"> breast, lung, colorectal, colon and uterus. In the Vale of Glamorgan, colorectal cancer </w:t>
      </w:r>
      <w:r w:rsidR="00C070BC" w:rsidRPr="002B7CB6">
        <w:rPr>
          <w:rFonts w:ascii="Arial" w:eastAsia="Times New Roman" w:hAnsi="Arial" w:cs="Arial"/>
          <w:color w:val="000000"/>
          <w:sz w:val="24"/>
          <w:szCs w:val="24"/>
          <w:lang w:eastAsia="en-GB"/>
        </w:rPr>
        <w:t>is</w:t>
      </w:r>
      <w:r w:rsidRPr="002B7CB6">
        <w:rPr>
          <w:rFonts w:ascii="Arial" w:eastAsia="Times New Roman" w:hAnsi="Arial" w:cs="Arial"/>
          <w:color w:val="000000"/>
          <w:sz w:val="24"/>
          <w:szCs w:val="24"/>
          <w:lang w:eastAsia="en-GB"/>
        </w:rPr>
        <w:t xml:space="preserve"> more common than lung cancer and melanoma </w:t>
      </w:r>
      <w:r w:rsidR="00C070BC" w:rsidRPr="002B7CB6">
        <w:rPr>
          <w:rFonts w:ascii="Arial" w:eastAsia="Times New Roman" w:hAnsi="Arial" w:cs="Arial"/>
          <w:color w:val="000000"/>
          <w:sz w:val="24"/>
          <w:szCs w:val="24"/>
          <w:lang w:eastAsia="en-GB"/>
        </w:rPr>
        <w:t>is</w:t>
      </w:r>
      <w:r w:rsidRPr="002B7CB6">
        <w:rPr>
          <w:rFonts w:ascii="Arial" w:eastAsia="Times New Roman" w:hAnsi="Arial" w:cs="Arial"/>
          <w:color w:val="000000"/>
          <w:sz w:val="24"/>
          <w:szCs w:val="24"/>
          <w:lang w:eastAsia="en-GB"/>
        </w:rPr>
        <w:t xml:space="preserve"> more common than cancer of the uterus</w:t>
      </w:r>
      <w:r w:rsidR="00F1523F" w:rsidRPr="002B7CB6">
        <w:rPr>
          <w:rFonts w:ascii="Arial" w:eastAsia="Times New Roman" w:hAnsi="Arial" w:cs="Arial"/>
          <w:color w:val="000000"/>
          <w:sz w:val="24"/>
          <w:szCs w:val="24"/>
          <w:lang w:eastAsia="en-GB"/>
        </w:rPr>
        <w:t xml:space="preserve">. This is reflected in the fact that </w:t>
      </w:r>
      <w:r w:rsidR="007A561E" w:rsidRPr="002B7CB6">
        <w:rPr>
          <w:rFonts w:ascii="Arial" w:eastAsia="Times New Roman" w:hAnsi="Arial" w:cs="Arial"/>
          <w:color w:val="000000"/>
          <w:sz w:val="24"/>
          <w:szCs w:val="24"/>
          <w:lang w:eastAsia="en-GB"/>
        </w:rPr>
        <w:t xml:space="preserve">when compared to other </w:t>
      </w:r>
      <w:r w:rsidR="00567F4B" w:rsidRPr="002B7CB6">
        <w:rPr>
          <w:rFonts w:ascii="Arial" w:eastAsia="Times New Roman" w:hAnsi="Arial" w:cs="Arial"/>
          <w:color w:val="000000"/>
          <w:sz w:val="24"/>
          <w:szCs w:val="24"/>
          <w:lang w:eastAsia="en-GB"/>
        </w:rPr>
        <w:t>local</w:t>
      </w:r>
      <w:r w:rsidR="007A561E" w:rsidRPr="002B7CB6">
        <w:rPr>
          <w:rFonts w:ascii="Arial" w:eastAsia="Times New Roman" w:hAnsi="Arial" w:cs="Arial"/>
          <w:color w:val="000000"/>
          <w:sz w:val="24"/>
          <w:szCs w:val="24"/>
          <w:lang w:eastAsia="en-GB"/>
        </w:rPr>
        <w:t xml:space="preserve"> authorities:</w:t>
      </w:r>
    </w:p>
    <w:p w14:paraId="40A4D775" w14:textId="77777777" w:rsidR="007F12E8" w:rsidRPr="002B7CB6" w:rsidRDefault="007F12E8" w:rsidP="00DC54F7">
      <w:pPr>
        <w:spacing w:after="0" w:line="240" w:lineRule="auto"/>
        <w:jc w:val="both"/>
        <w:rPr>
          <w:rFonts w:ascii="Arial" w:eastAsia="Times New Roman" w:hAnsi="Arial" w:cs="Arial"/>
          <w:color w:val="000000"/>
          <w:sz w:val="24"/>
          <w:szCs w:val="24"/>
          <w:lang w:eastAsia="en-GB"/>
        </w:rPr>
      </w:pPr>
    </w:p>
    <w:p w14:paraId="51858046" w14:textId="16C117DE" w:rsidR="0011313F" w:rsidRPr="002B7CB6" w:rsidRDefault="0011313F" w:rsidP="00DC54F7">
      <w:pPr>
        <w:pStyle w:val="ListParagraph"/>
        <w:numPr>
          <w:ilvl w:val="0"/>
          <w:numId w:val="28"/>
        </w:numPr>
        <w:spacing w:after="0" w:line="240" w:lineRule="auto"/>
        <w:jc w:val="both"/>
        <w:rPr>
          <w:rFonts w:ascii="Arial" w:eastAsia="Times New Roman" w:hAnsi="Arial" w:cs="Arial"/>
          <w:color w:val="000000"/>
          <w:sz w:val="24"/>
          <w:szCs w:val="24"/>
          <w:lang w:eastAsia="en-GB"/>
        </w:rPr>
      </w:pPr>
      <w:r w:rsidRPr="002B7CB6">
        <w:rPr>
          <w:rFonts w:ascii="Arial" w:eastAsia="Times New Roman" w:hAnsi="Arial" w:cs="Arial"/>
          <w:color w:val="000000"/>
          <w:sz w:val="24"/>
          <w:szCs w:val="24"/>
          <w:lang w:eastAsia="en-GB"/>
        </w:rPr>
        <w:t>The Vale of Glamorgan (58.2</w:t>
      </w:r>
      <w:r w:rsidR="00BA023A" w:rsidRPr="002B7CB6">
        <w:rPr>
          <w:rFonts w:ascii="Arial" w:eastAsia="Times New Roman" w:hAnsi="Arial" w:cs="Arial"/>
          <w:color w:val="000000"/>
          <w:sz w:val="24"/>
          <w:szCs w:val="24"/>
          <w:lang w:eastAsia="en-GB"/>
        </w:rPr>
        <w:t xml:space="preserve"> per 100,000 females</w:t>
      </w:r>
      <w:r w:rsidRPr="002B7CB6">
        <w:rPr>
          <w:rFonts w:ascii="Arial" w:eastAsia="Times New Roman" w:hAnsi="Arial" w:cs="Arial"/>
          <w:color w:val="000000"/>
          <w:sz w:val="24"/>
          <w:szCs w:val="24"/>
          <w:lang w:eastAsia="en-GB"/>
        </w:rPr>
        <w:t>) ha</w:t>
      </w:r>
      <w:r w:rsidR="005C1B68" w:rsidRPr="002B7CB6">
        <w:rPr>
          <w:rFonts w:ascii="Arial" w:eastAsia="Times New Roman" w:hAnsi="Arial" w:cs="Arial"/>
          <w:color w:val="000000"/>
          <w:sz w:val="24"/>
          <w:szCs w:val="24"/>
          <w:lang w:eastAsia="en-GB"/>
        </w:rPr>
        <w:t>s</w:t>
      </w:r>
      <w:r w:rsidRPr="002B7CB6">
        <w:rPr>
          <w:rFonts w:ascii="Arial" w:eastAsia="Times New Roman" w:hAnsi="Arial" w:cs="Arial"/>
          <w:color w:val="000000"/>
          <w:sz w:val="24"/>
          <w:szCs w:val="24"/>
          <w:lang w:eastAsia="en-GB"/>
        </w:rPr>
        <w:t xml:space="preserve"> the fourth lowest rate of lung cancer, significantly lower than </w:t>
      </w:r>
      <w:r w:rsidR="00662A4F" w:rsidRPr="002B7CB6">
        <w:rPr>
          <w:rFonts w:ascii="Arial" w:eastAsia="Times New Roman" w:hAnsi="Arial" w:cs="Arial"/>
          <w:color w:val="000000"/>
          <w:sz w:val="24"/>
          <w:szCs w:val="24"/>
          <w:lang w:eastAsia="en-GB"/>
        </w:rPr>
        <w:t xml:space="preserve">the average for </w:t>
      </w:r>
      <w:r w:rsidRPr="002B7CB6">
        <w:rPr>
          <w:rFonts w:ascii="Arial" w:eastAsia="Times New Roman" w:hAnsi="Arial" w:cs="Arial"/>
          <w:color w:val="000000"/>
          <w:sz w:val="24"/>
          <w:szCs w:val="24"/>
          <w:lang w:eastAsia="en-GB"/>
        </w:rPr>
        <w:t>Wales (69.1</w:t>
      </w:r>
      <w:r w:rsidR="00BA023A" w:rsidRPr="002B7CB6">
        <w:rPr>
          <w:rFonts w:ascii="Arial" w:eastAsia="Times New Roman" w:hAnsi="Arial" w:cs="Arial"/>
          <w:color w:val="000000"/>
          <w:sz w:val="24"/>
          <w:szCs w:val="24"/>
          <w:lang w:eastAsia="en-GB"/>
        </w:rPr>
        <w:t xml:space="preserve"> per 100,000 females</w:t>
      </w:r>
      <w:r w:rsidRPr="002B7CB6">
        <w:rPr>
          <w:rFonts w:ascii="Arial" w:eastAsia="Times New Roman" w:hAnsi="Arial" w:cs="Arial"/>
          <w:color w:val="000000"/>
          <w:sz w:val="24"/>
          <w:szCs w:val="24"/>
          <w:lang w:eastAsia="en-GB"/>
        </w:rPr>
        <w:t>).</w:t>
      </w:r>
    </w:p>
    <w:p w14:paraId="0996E090" w14:textId="0EEA7C86" w:rsidR="0011313F" w:rsidRPr="002B7CB6" w:rsidRDefault="00965B12" w:rsidP="00DC54F7">
      <w:pPr>
        <w:pStyle w:val="ListParagraph"/>
        <w:numPr>
          <w:ilvl w:val="0"/>
          <w:numId w:val="28"/>
        </w:numPr>
        <w:spacing w:after="0" w:line="240" w:lineRule="auto"/>
        <w:jc w:val="both"/>
        <w:rPr>
          <w:rFonts w:ascii="Arial" w:eastAsia="Times New Roman" w:hAnsi="Arial" w:cs="Arial"/>
          <w:color w:val="000000"/>
          <w:sz w:val="24"/>
          <w:szCs w:val="24"/>
          <w:lang w:eastAsia="en-GB"/>
        </w:rPr>
      </w:pPr>
      <w:r w:rsidRPr="002B7CB6">
        <w:rPr>
          <w:rFonts w:ascii="Arial" w:eastAsia="Times New Roman" w:hAnsi="Arial" w:cs="Arial"/>
          <w:color w:val="000000"/>
          <w:sz w:val="24"/>
          <w:szCs w:val="24"/>
          <w:lang w:eastAsia="en-GB"/>
        </w:rPr>
        <w:t xml:space="preserve">The </w:t>
      </w:r>
      <w:r w:rsidR="0011313F" w:rsidRPr="002B7CB6">
        <w:rPr>
          <w:rFonts w:ascii="Arial" w:eastAsia="Times New Roman" w:hAnsi="Arial" w:cs="Arial"/>
          <w:color w:val="000000"/>
          <w:sz w:val="24"/>
          <w:szCs w:val="24"/>
          <w:lang w:eastAsia="en-GB"/>
        </w:rPr>
        <w:t>Vale of Glamorgan (34.2</w:t>
      </w:r>
      <w:r w:rsidR="00BA023A" w:rsidRPr="002B7CB6">
        <w:rPr>
          <w:rFonts w:ascii="Arial" w:eastAsia="Times New Roman" w:hAnsi="Arial" w:cs="Arial"/>
          <w:color w:val="000000"/>
          <w:sz w:val="24"/>
          <w:szCs w:val="24"/>
          <w:lang w:eastAsia="en-GB"/>
        </w:rPr>
        <w:t xml:space="preserve"> per 100,000 females</w:t>
      </w:r>
      <w:r w:rsidR="0011313F" w:rsidRPr="002B7CB6">
        <w:rPr>
          <w:rFonts w:ascii="Arial" w:eastAsia="Times New Roman" w:hAnsi="Arial" w:cs="Arial"/>
          <w:color w:val="000000"/>
          <w:sz w:val="24"/>
          <w:szCs w:val="24"/>
          <w:lang w:eastAsia="en-GB"/>
        </w:rPr>
        <w:t>) ha</w:t>
      </w:r>
      <w:r w:rsidRPr="002B7CB6">
        <w:rPr>
          <w:rFonts w:ascii="Arial" w:eastAsia="Times New Roman" w:hAnsi="Arial" w:cs="Arial"/>
          <w:color w:val="000000"/>
          <w:sz w:val="24"/>
          <w:szCs w:val="24"/>
          <w:lang w:eastAsia="en-GB"/>
        </w:rPr>
        <w:t>s</w:t>
      </w:r>
      <w:r w:rsidR="0011313F" w:rsidRPr="002B7CB6">
        <w:rPr>
          <w:rFonts w:ascii="Arial" w:eastAsia="Times New Roman" w:hAnsi="Arial" w:cs="Arial"/>
          <w:color w:val="000000"/>
          <w:sz w:val="24"/>
          <w:szCs w:val="24"/>
          <w:lang w:eastAsia="en-GB"/>
        </w:rPr>
        <w:t xml:space="preserve"> the highest incidence of melanoma, significantly higher than </w:t>
      </w:r>
      <w:r w:rsidR="009F5D00" w:rsidRPr="002B7CB6">
        <w:rPr>
          <w:rFonts w:ascii="Arial" w:eastAsia="Times New Roman" w:hAnsi="Arial" w:cs="Arial"/>
          <w:color w:val="000000"/>
          <w:sz w:val="24"/>
          <w:szCs w:val="24"/>
          <w:lang w:eastAsia="en-GB"/>
        </w:rPr>
        <w:t xml:space="preserve">the average for </w:t>
      </w:r>
      <w:r w:rsidR="0011313F" w:rsidRPr="002B7CB6">
        <w:rPr>
          <w:rFonts w:ascii="Arial" w:eastAsia="Times New Roman" w:hAnsi="Arial" w:cs="Arial"/>
          <w:color w:val="000000"/>
          <w:sz w:val="24"/>
          <w:szCs w:val="24"/>
          <w:lang w:eastAsia="en-GB"/>
        </w:rPr>
        <w:t>Wales (24.8</w:t>
      </w:r>
      <w:r w:rsidR="00BA023A" w:rsidRPr="002B7CB6">
        <w:rPr>
          <w:rFonts w:ascii="Arial" w:eastAsia="Times New Roman" w:hAnsi="Arial" w:cs="Arial"/>
          <w:color w:val="000000"/>
          <w:sz w:val="24"/>
          <w:szCs w:val="24"/>
          <w:lang w:eastAsia="en-GB"/>
        </w:rPr>
        <w:t xml:space="preserve"> per 100,000 females</w:t>
      </w:r>
      <w:r w:rsidR="0011313F" w:rsidRPr="002B7CB6">
        <w:rPr>
          <w:rFonts w:ascii="Arial" w:eastAsia="Times New Roman" w:hAnsi="Arial" w:cs="Arial"/>
          <w:color w:val="000000"/>
          <w:sz w:val="24"/>
          <w:szCs w:val="24"/>
          <w:lang w:eastAsia="en-GB"/>
        </w:rPr>
        <w:t xml:space="preserve">).  </w:t>
      </w:r>
    </w:p>
    <w:p w14:paraId="54B7CC10" w14:textId="77777777" w:rsidR="007F12E8" w:rsidRPr="002B7CB6" w:rsidRDefault="007F12E8" w:rsidP="00DC54F7">
      <w:pPr>
        <w:pStyle w:val="ListParagraph"/>
        <w:spacing w:after="0" w:line="240" w:lineRule="auto"/>
        <w:jc w:val="both"/>
        <w:rPr>
          <w:rFonts w:ascii="Arial" w:eastAsia="Times New Roman" w:hAnsi="Arial" w:cs="Arial"/>
          <w:color w:val="000000"/>
          <w:sz w:val="24"/>
          <w:szCs w:val="24"/>
          <w:lang w:eastAsia="en-GB"/>
        </w:rPr>
      </w:pPr>
    </w:p>
    <w:p w14:paraId="57D3D373" w14:textId="385BBF34" w:rsidR="005C3A88" w:rsidRPr="002B7CB6" w:rsidRDefault="00BA023A" w:rsidP="00DC54F7">
      <w:pPr>
        <w:spacing w:after="0" w:line="240" w:lineRule="auto"/>
        <w:jc w:val="both"/>
        <w:rPr>
          <w:rFonts w:ascii="Arial" w:eastAsia="Times New Roman" w:hAnsi="Arial" w:cs="Arial"/>
          <w:color w:val="000000"/>
          <w:sz w:val="24"/>
          <w:szCs w:val="24"/>
          <w:lang w:eastAsia="en-GB"/>
        </w:rPr>
      </w:pPr>
      <w:r w:rsidRPr="002B7CB6">
        <w:rPr>
          <w:rFonts w:ascii="Arial" w:hAnsi="Arial" w:cs="Arial"/>
          <w:sz w:val="24"/>
          <w:szCs w:val="24"/>
          <w:lang w:val="en-US"/>
        </w:rPr>
        <w:t>T</w:t>
      </w:r>
      <w:r w:rsidR="009A1CBC" w:rsidRPr="002B7CB6">
        <w:rPr>
          <w:rFonts w:ascii="Arial" w:eastAsia="Times New Roman" w:hAnsi="Arial" w:cs="Arial"/>
          <w:color w:val="000000"/>
          <w:sz w:val="24"/>
          <w:szCs w:val="24"/>
          <w:lang w:eastAsia="en-GB"/>
        </w:rPr>
        <w:t xml:space="preserve">he most common </w:t>
      </w:r>
      <w:r w:rsidR="00E02913" w:rsidRPr="002B7CB6">
        <w:rPr>
          <w:rFonts w:ascii="Arial" w:eastAsia="Times New Roman" w:hAnsi="Arial" w:cs="Arial"/>
          <w:color w:val="000000"/>
          <w:sz w:val="24"/>
          <w:szCs w:val="24"/>
          <w:lang w:eastAsia="en-GB"/>
        </w:rPr>
        <w:t xml:space="preserve">types of </w:t>
      </w:r>
      <w:r w:rsidR="009A1CBC" w:rsidRPr="002B7CB6">
        <w:rPr>
          <w:rFonts w:ascii="Arial" w:eastAsia="Times New Roman" w:hAnsi="Arial" w:cs="Arial"/>
          <w:color w:val="000000"/>
          <w:sz w:val="24"/>
          <w:szCs w:val="24"/>
          <w:lang w:eastAsia="en-GB"/>
        </w:rPr>
        <w:t xml:space="preserve">cancers for men </w:t>
      </w:r>
      <w:r w:rsidR="009A1CBC" w:rsidRPr="002B7CB6">
        <w:rPr>
          <w:rFonts w:ascii="Arial" w:hAnsi="Arial" w:cs="Arial"/>
          <w:sz w:val="24"/>
          <w:szCs w:val="24"/>
          <w:lang w:val="en-US"/>
        </w:rPr>
        <w:t xml:space="preserve">in </w:t>
      </w:r>
      <w:r w:rsidR="009A11AD" w:rsidRPr="002B7CB6">
        <w:rPr>
          <w:rFonts w:ascii="Arial" w:hAnsi="Arial" w:cs="Arial"/>
          <w:sz w:val="24"/>
          <w:szCs w:val="24"/>
          <w:lang w:val="en-US"/>
        </w:rPr>
        <w:t xml:space="preserve">Wales and the Vale of Glamorgan </w:t>
      </w:r>
      <w:r w:rsidR="00FF44F9" w:rsidRPr="002B7CB6">
        <w:rPr>
          <w:rFonts w:ascii="Arial" w:hAnsi="Arial" w:cs="Arial"/>
          <w:sz w:val="24"/>
          <w:szCs w:val="24"/>
          <w:lang w:val="en-US"/>
        </w:rPr>
        <w:t>are</w:t>
      </w:r>
      <w:r w:rsidR="009A11AD" w:rsidRPr="002B7CB6">
        <w:rPr>
          <w:rFonts w:ascii="Arial" w:hAnsi="Arial" w:cs="Arial"/>
          <w:sz w:val="24"/>
          <w:szCs w:val="24"/>
          <w:lang w:val="en-US"/>
        </w:rPr>
        <w:t xml:space="preserve"> </w:t>
      </w:r>
      <w:r w:rsidR="00094D79" w:rsidRPr="002B7CB6">
        <w:rPr>
          <w:rFonts w:ascii="Arial" w:hAnsi="Arial" w:cs="Arial"/>
          <w:sz w:val="24"/>
          <w:szCs w:val="24"/>
          <w:lang w:val="en-US"/>
        </w:rPr>
        <w:t>prostate</w:t>
      </w:r>
      <w:r w:rsidR="008807D8" w:rsidRPr="002B7CB6">
        <w:rPr>
          <w:rFonts w:ascii="Arial" w:hAnsi="Arial" w:cs="Arial"/>
          <w:sz w:val="24"/>
          <w:szCs w:val="24"/>
          <w:lang w:val="en-US"/>
        </w:rPr>
        <w:t xml:space="preserve">, colorectal, </w:t>
      </w:r>
      <w:r w:rsidR="00A2089D" w:rsidRPr="002B7CB6">
        <w:rPr>
          <w:rFonts w:ascii="Arial" w:hAnsi="Arial" w:cs="Arial"/>
          <w:sz w:val="24"/>
          <w:szCs w:val="24"/>
          <w:lang w:val="en-US"/>
        </w:rPr>
        <w:t xml:space="preserve">lung, </w:t>
      </w:r>
      <w:r w:rsidR="008807D8" w:rsidRPr="002B7CB6">
        <w:rPr>
          <w:rFonts w:ascii="Arial" w:hAnsi="Arial" w:cs="Arial"/>
          <w:sz w:val="24"/>
          <w:szCs w:val="24"/>
          <w:lang w:val="en-US"/>
        </w:rPr>
        <w:t>colon and rectum.</w:t>
      </w:r>
      <w:r w:rsidR="00FF44F9" w:rsidRPr="002B7CB6">
        <w:rPr>
          <w:rFonts w:ascii="Arial" w:hAnsi="Arial" w:cs="Arial"/>
          <w:sz w:val="24"/>
          <w:szCs w:val="24"/>
          <w:lang w:val="en-US"/>
        </w:rPr>
        <w:t xml:space="preserve"> </w:t>
      </w:r>
      <w:r w:rsidR="00506987" w:rsidRPr="002B7CB6">
        <w:rPr>
          <w:rFonts w:ascii="Arial" w:hAnsi="Arial" w:cs="Arial"/>
          <w:sz w:val="24"/>
          <w:szCs w:val="24"/>
          <w:lang w:val="en-US"/>
        </w:rPr>
        <w:t xml:space="preserve">This differed </w:t>
      </w:r>
      <w:r w:rsidR="0003491F" w:rsidRPr="002B7CB6">
        <w:rPr>
          <w:rFonts w:ascii="Arial" w:hAnsi="Arial" w:cs="Arial"/>
          <w:sz w:val="24"/>
          <w:szCs w:val="24"/>
          <w:lang w:val="en-US"/>
        </w:rPr>
        <w:t xml:space="preserve">from </w:t>
      </w:r>
      <w:r w:rsidR="00584E8C" w:rsidRPr="002B7CB6">
        <w:rPr>
          <w:rFonts w:ascii="Arial" w:eastAsia="Times New Roman" w:hAnsi="Arial" w:cs="Arial"/>
          <w:color w:val="000000"/>
          <w:sz w:val="24"/>
          <w:szCs w:val="24"/>
          <w:lang w:eastAsia="en-GB"/>
        </w:rPr>
        <w:t xml:space="preserve">Cardiff and Vale </w:t>
      </w:r>
      <w:r w:rsidR="00CF722B" w:rsidRPr="002B7CB6">
        <w:rPr>
          <w:rFonts w:ascii="Arial" w:eastAsia="Times New Roman" w:hAnsi="Arial" w:cs="Arial"/>
          <w:color w:val="000000"/>
          <w:sz w:val="24"/>
          <w:szCs w:val="24"/>
          <w:lang w:eastAsia="en-GB"/>
        </w:rPr>
        <w:t>University Health Board</w:t>
      </w:r>
      <w:r w:rsidR="00B836BF" w:rsidRPr="002B7CB6">
        <w:rPr>
          <w:rFonts w:ascii="Arial" w:eastAsia="Times New Roman" w:hAnsi="Arial" w:cs="Arial"/>
          <w:color w:val="000000"/>
          <w:sz w:val="24"/>
          <w:szCs w:val="24"/>
          <w:lang w:eastAsia="en-GB"/>
        </w:rPr>
        <w:t xml:space="preserve"> and </w:t>
      </w:r>
      <w:r w:rsidR="00FF44F9" w:rsidRPr="002B7CB6">
        <w:rPr>
          <w:rFonts w:ascii="Arial" w:eastAsia="Times New Roman" w:hAnsi="Arial" w:cs="Arial"/>
          <w:color w:val="000000"/>
          <w:sz w:val="24"/>
          <w:szCs w:val="24"/>
          <w:lang w:eastAsia="en-GB"/>
        </w:rPr>
        <w:t xml:space="preserve">Cardiff </w:t>
      </w:r>
      <w:r w:rsidR="009A1CBC" w:rsidRPr="002B7CB6">
        <w:rPr>
          <w:rFonts w:ascii="Arial" w:eastAsia="Times New Roman" w:hAnsi="Arial" w:cs="Arial"/>
          <w:color w:val="000000"/>
          <w:sz w:val="24"/>
          <w:szCs w:val="24"/>
          <w:lang w:eastAsia="en-GB"/>
        </w:rPr>
        <w:t xml:space="preserve">where </w:t>
      </w:r>
      <w:r w:rsidR="005C757D" w:rsidRPr="002B7CB6">
        <w:rPr>
          <w:rFonts w:ascii="Arial" w:eastAsia="Times New Roman" w:hAnsi="Arial" w:cs="Arial"/>
          <w:color w:val="000000"/>
          <w:sz w:val="24"/>
          <w:szCs w:val="24"/>
          <w:lang w:eastAsia="en-GB"/>
        </w:rPr>
        <w:t xml:space="preserve">lung </w:t>
      </w:r>
      <w:r w:rsidR="009A1CBC" w:rsidRPr="002B7CB6">
        <w:rPr>
          <w:rFonts w:ascii="Arial" w:eastAsia="Times New Roman" w:hAnsi="Arial" w:cs="Arial"/>
          <w:color w:val="000000"/>
          <w:sz w:val="24"/>
          <w:szCs w:val="24"/>
          <w:lang w:eastAsia="en-GB"/>
        </w:rPr>
        <w:t xml:space="preserve">cancer </w:t>
      </w:r>
      <w:r w:rsidR="005C757D" w:rsidRPr="002B7CB6">
        <w:rPr>
          <w:rFonts w:ascii="Arial" w:eastAsia="Times New Roman" w:hAnsi="Arial" w:cs="Arial"/>
          <w:color w:val="000000"/>
          <w:sz w:val="24"/>
          <w:szCs w:val="24"/>
          <w:lang w:eastAsia="en-GB"/>
        </w:rPr>
        <w:t xml:space="preserve">is </w:t>
      </w:r>
      <w:r w:rsidR="009A1CBC" w:rsidRPr="002B7CB6">
        <w:rPr>
          <w:rFonts w:ascii="Arial" w:eastAsia="Times New Roman" w:hAnsi="Arial" w:cs="Arial"/>
          <w:color w:val="000000"/>
          <w:sz w:val="24"/>
          <w:szCs w:val="24"/>
          <w:lang w:eastAsia="en-GB"/>
        </w:rPr>
        <w:t xml:space="preserve">the second highest cancer followed by </w:t>
      </w:r>
      <w:r w:rsidR="005C757D" w:rsidRPr="002B7CB6">
        <w:rPr>
          <w:rFonts w:ascii="Arial" w:eastAsia="Times New Roman" w:hAnsi="Arial" w:cs="Arial"/>
          <w:color w:val="000000"/>
          <w:sz w:val="24"/>
          <w:szCs w:val="24"/>
          <w:lang w:eastAsia="en-GB"/>
        </w:rPr>
        <w:t>colorectal</w:t>
      </w:r>
      <w:r w:rsidR="009A1CBC" w:rsidRPr="002B7CB6">
        <w:rPr>
          <w:rFonts w:ascii="Arial" w:eastAsia="Times New Roman" w:hAnsi="Arial" w:cs="Arial"/>
          <w:color w:val="000000"/>
          <w:sz w:val="24"/>
          <w:szCs w:val="24"/>
          <w:lang w:eastAsia="en-GB"/>
        </w:rPr>
        <w:t xml:space="preserve"> cancer</w:t>
      </w:r>
      <w:r w:rsidR="008838A6" w:rsidRPr="002B7CB6">
        <w:rPr>
          <w:rFonts w:ascii="Arial" w:eastAsia="Times New Roman" w:hAnsi="Arial" w:cs="Arial"/>
          <w:color w:val="000000"/>
          <w:sz w:val="24"/>
          <w:szCs w:val="24"/>
          <w:lang w:eastAsia="en-GB"/>
        </w:rPr>
        <w:t>,</w:t>
      </w:r>
      <w:r w:rsidR="001F0B1A" w:rsidRPr="002B7CB6">
        <w:rPr>
          <w:rFonts w:ascii="Arial" w:eastAsia="Times New Roman" w:hAnsi="Arial" w:cs="Arial"/>
          <w:color w:val="000000"/>
          <w:sz w:val="24"/>
          <w:szCs w:val="24"/>
          <w:lang w:eastAsia="en-GB"/>
        </w:rPr>
        <w:t xml:space="preserve"> and </w:t>
      </w:r>
      <w:r w:rsidR="00B836BF" w:rsidRPr="002B7CB6">
        <w:rPr>
          <w:rFonts w:ascii="Arial" w:eastAsia="Times New Roman" w:hAnsi="Arial" w:cs="Arial"/>
          <w:color w:val="000000"/>
          <w:sz w:val="24"/>
          <w:szCs w:val="24"/>
          <w:lang w:eastAsia="en-GB"/>
        </w:rPr>
        <w:t>head and neck cancer</w:t>
      </w:r>
      <w:r w:rsidR="005C757D" w:rsidRPr="002B7CB6">
        <w:rPr>
          <w:rFonts w:ascii="Arial" w:eastAsia="Times New Roman" w:hAnsi="Arial" w:cs="Arial"/>
          <w:color w:val="000000"/>
          <w:sz w:val="24"/>
          <w:szCs w:val="24"/>
          <w:lang w:eastAsia="en-GB"/>
        </w:rPr>
        <w:t xml:space="preserve"> is more common than rectum cancer</w:t>
      </w:r>
      <w:r w:rsidR="00B836BF" w:rsidRPr="002B7CB6">
        <w:rPr>
          <w:rFonts w:ascii="Arial" w:eastAsia="Times New Roman" w:hAnsi="Arial" w:cs="Arial"/>
          <w:color w:val="000000"/>
          <w:sz w:val="24"/>
          <w:szCs w:val="24"/>
          <w:lang w:eastAsia="en-GB"/>
        </w:rPr>
        <w:t>.</w:t>
      </w:r>
      <w:r w:rsidR="0042064E" w:rsidRPr="002B7CB6">
        <w:rPr>
          <w:rFonts w:ascii="Arial" w:eastAsia="Times New Roman" w:hAnsi="Arial" w:cs="Arial"/>
          <w:color w:val="000000"/>
          <w:sz w:val="24"/>
          <w:szCs w:val="24"/>
          <w:lang w:eastAsia="en-GB"/>
        </w:rPr>
        <w:t xml:space="preserve"> </w:t>
      </w:r>
      <w:r w:rsidR="00CF044E" w:rsidRPr="002B7CB6">
        <w:rPr>
          <w:rFonts w:ascii="Arial" w:eastAsia="Times New Roman" w:hAnsi="Arial" w:cs="Arial"/>
          <w:color w:val="000000"/>
          <w:sz w:val="24"/>
          <w:szCs w:val="24"/>
          <w:lang w:eastAsia="en-GB"/>
        </w:rPr>
        <w:t>When compared to other local auth</w:t>
      </w:r>
      <w:r w:rsidR="00113163" w:rsidRPr="002B7CB6">
        <w:rPr>
          <w:rFonts w:ascii="Arial" w:eastAsia="Times New Roman" w:hAnsi="Arial" w:cs="Arial"/>
          <w:color w:val="000000"/>
          <w:sz w:val="24"/>
          <w:szCs w:val="24"/>
          <w:lang w:eastAsia="en-GB"/>
        </w:rPr>
        <w:t>orities</w:t>
      </w:r>
      <w:r w:rsidR="00DF0612" w:rsidRPr="002B7CB6">
        <w:rPr>
          <w:rFonts w:ascii="Arial" w:eastAsia="Times New Roman" w:hAnsi="Arial" w:cs="Arial"/>
          <w:color w:val="000000"/>
          <w:sz w:val="24"/>
          <w:szCs w:val="24"/>
          <w:lang w:eastAsia="en-GB"/>
        </w:rPr>
        <w:t>:</w:t>
      </w:r>
    </w:p>
    <w:p w14:paraId="7C2C3DFF" w14:textId="77777777" w:rsidR="007F12E8" w:rsidRPr="002B7CB6" w:rsidRDefault="007F12E8" w:rsidP="00DC54F7">
      <w:pPr>
        <w:spacing w:after="0" w:line="240" w:lineRule="auto"/>
        <w:jc w:val="both"/>
        <w:rPr>
          <w:rFonts w:ascii="Arial" w:eastAsia="Times New Roman" w:hAnsi="Arial" w:cs="Arial"/>
          <w:color w:val="000000"/>
          <w:sz w:val="24"/>
          <w:szCs w:val="24"/>
          <w:lang w:eastAsia="en-GB"/>
        </w:rPr>
      </w:pPr>
    </w:p>
    <w:p w14:paraId="21468210" w14:textId="3CE1422C" w:rsidR="00C97D5C" w:rsidRPr="002B7CB6" w:rsidRDefault="00C97D5C" w:rsidP="00DC54F7">
      <w:pPr>
        <w:pStyle w:val="ListParagraph"/>
        <w:numPr>
          <w:ilvl w:val="0"/>
          <w:numId w:val="61"/>
        </w:numPr>
        <w:spacing w:after="0" w:line="240" w:lineRule="auto"/>
        <w:ind w:left="714" w:hanging="357"/>
        <w:jc w:val="both"/>
        <w:rPr>
          <w:rFonts w:ascii="Arial" w:eastAsia="Times New Roman" w:hAnsi="Arial" w:cs="Arial"/>
          <w:color w:val="000000"/>
          <w:sz w:val="24"/>
          <w:szCs w:val="24"/>
          <w:lang w:eastAsia="en-GB"/>
        </w:rPr>
      </w:pPr>
      <w:r w:rsidRPr="002B7CB6">
        <w:rPr>
          <w:rFonts w:ascii="Arial" w:eastAsia="Times New Roman" w:hAnsi="Arial" w:cs="Arial"/>
          <w:color w:val="000000"/>
          <w:sz w:val="24"/>
          <w:szCs w:val="24"/>
          <w:lang w:eastAsia="en-GB"/>
        </w:rPr>
        <w:t>The Vale of Glamorgan (208.2</w:t>
      </w:r>
      <w:r w:rsidR="00E45576" w:rsidRPr="002B7CB6">
        <w:rPr>
          <w:rFonts w:ascii="Arial" w:eastAsia="Times New Roman" w:hAnsi="Arial" w:cs="Arial"/>
          <w:color w:val="000000"/>
          <w:sz w:val="24"/>
          <w:szCs w:val="24"/>
          <w:lang w:eastAsia="en-GB"/>
        </w:rPr>
        <w:t xml:space="preserve"> per 100,000 males</w:t>
      </w:r>
      <w:r w:rsidRPr="002B7CB6">
        <w:rPr>
          <w:rFonts w:ascii="Arial" w:eastAsia="Times New Roman" w:hAnsi="Arial" w:cs="Arial"/>
          <w:color w:val="000000"/>
          <w:sz w:val="24"/>
          <w:szCs w:val="24"/>
          <w:lang w:eastAsia="en-GB"/>
        </w:rPr>
        <w:t>) ha</w:t>
      </w:r>
      <w:r w:rsidR="00703E59" w:rsidRPr="002B7CB6">
        <w:rPr>
          <w:rFonts w:ascii="Arial" w:eastAsia="Times New Roman" w:hAnsi="Arial" w:cs="Arial"/>
          <w:color w:val="000000"/>
          <w:sz w:val="24"/>
          <w:szCs w:val="24"/>
          <w:lang w:eastAsia="en-GB"/>
        </w:rPr>
        <w:t>s</w:t>
      </w:r>
      <w:r w:rsidRPr="002B7CB6">
        <w:rPr>
          <w:rFonts w:ascii="Arial" w:eastAsia="Times New Roman" w:hAnsi="Arial" w:cs="Arial"/>
          <w:color w:val="000000"/>
          <w:sz w:val="24"/>
          <w:szCs w:val="24"/>
          <w:lang w:eastAsia="en-GB"/>
        </w:rPr>
        <w:t xml:space="preserve"> the </w:t>
      </w:r>
      <w:r w:rsidR="003A15E9" w:rsidRPr="002B7CB6">
        <w:rPr>
          <w:rFonts w:ascii="Arial" w:eastAsia="Times New Roman" w:hAnsi="Arial" w:cs="Arial"/>
          <w:color w:val="000000"/>
          <w:sz w:val="24"/>
          <w:szCs w:val="24"/>
          <w:lang w:eastAsia="en-GB"/>
        </w:rPr>
        <w:t>fourth</w:t>
      </w:r>
      <w:r w:rsidRPr="002B7CB6">
        <w:rPr>
          <w:rFonts w:ascii="Arial" w:eastAsia="Times New Roman" w:hAnsi="Arial" w:cs="Arial"/>
          <w:color w:val="000000"/>
          <w:sz w:val="24"/>
          <w:szCs w:val="24"/>
          <w:lang w:eastAsia="en-GB"/>
        </w:rPr>
        <w:t xml:space="preserve"> highest </w:t>
      </w:r>
      <w:r w:rsidR="00AD470D" w:rsidRPr="002B7CB6">
        <w:rPr>
          <w:rFonts w:ascii="Arial" w:eastAsia="Times New Roman" w:hAnsi="Arial" w:cs="Arial"/>
          <w:color w:val="000000"/>
          <w:sz w:val="24"/>
          <w:szCs w:val="24"/>
          <w:lang w:eastAsia="en-GB"/>
        </w:rPr>
        <w:t xml:space="preserve">incidence </w:t>
      </w:r>
      <w:r w:rsidR="00F46C03" w:rsidRPr="002B7CB6">
        <w:rPr>
          <w:rFonts w:ascii="Arial" w:eastAsia="Times New Roman" w:hAnsi="Arial" w:cs="Arial"/>
          <w:color w:val="000000"/>
          <w:sz w:val="24"/>
          <w:szCs w:val="24"/>
          <w:lang w:eastAsia="en-GB"/>
        </w:rPr>
        <w:t xml:space="preserve">rate of </w:t>
      </w:r>
      <w:r w:rsidRPr="002B7CB6">
        <w:rPr>
          <w:rFonts w:ascii="Arial" w:eastAsia="Times New Roman" w:hAnsi="Arial" w:cs="Arial"/>
          <w:color w:val="000000"/>
          <w:sz w:val="24"/>
          <w:szCs w:val="24"/>
          <w:lang w:eastAsia="en-GB"/>
        </w:rPr>
        <w:t xml:space="preserve">prostate cancer, </w:t>
      </w:r>
      <w:r w:rsidR="00F46C03" w:rsidRPr="002B7CB6">
        <w:rPr>
          <w:rFonts w:ascii="Arial" w:eastAsia="Times New Roman" w:hAnsi="Arial" w:cs="Arial"/>
          <w:color w:val="000000"/>
          <w:sz w:val="24"/>
          <w:szCs w:val="24"/>
          <w:lang w:eastAsia="en-GB"/>
        </w:rPr>
        <w:t xml:space="preserve">which is </w:t>
      </w:r>
      <w:r w:rsidRPr="002B7CB6">
        <w:rPr>
          <w:rFonts w:ascii="Arial" w:eastAsia="Times New Roman" w:hAnsi="Arial" w:cs="Arial"/>
          <w:color w:val="000000"/>
          <w:sz w:val="24"/>
          <w:szCs w:val="24"/>
          <w:lang w:eastAsia="en-GB"/>
        </w:rPr>
        <w:t xml:space="preserve">significantly higher than </w:t>
      </w:r>
      <w:r w:rsidR="00F46C03" w:rsidRPr="002B7CB6">
        <w:rPr>
          <w:rFonts w:ascii="Arial" w:eastAsia="Times New Roman" w:hAnsi="Arial" w:cs="Arial"/>
          <w:color w:val="000000"/>
          <w:sz w:val="24"/>
          <w:szCs w:val="24"/>
          <w:lang w:eastAsia="en-GB"/>
        </w:rPr>
        <w:t xml:space="preserve">the average </w:t>
      </w:r>
      <w:r w:rsidR="00AD470D" w:rsidRPr="002B7CB6">
        <w:rPr>
          <w:rFonts w:ascii="Arial" w:eastAsia="Times New Roman" w:hAnsi="Arial" w:cs="Arial"/>
          <w:color w:val="000000"/>
          <w:sz w:val="24"/>
          <w:szCs w:val="24"/>
          <w:lang w:eastAsia="en-GB"/>
        </w:rPr>
        <w:t xml:space="preserve">for </w:t>
      </w:r>
      <w:r w:rsidRPr="002B7CB6">
        <w:rPr>
          <w:rFonts w:ascii="Arial" w:eastAsia="Times New Roman" w:hAnsi="Arial" w:cs="Arial"/>
          <w:color w:val="000000"/>
          <w:sz w:val="24"/>
          <w:szCs w:val="24"/>
          <w:lang w:eastAsia="en-GB"/>
        </w:rPr>
        <w:t>Wales (184.5</w:t>
      </w:r>
      <w:r w:rsidR="008378AE" w:rsidRPr="002B7CB6">
        <w:rPr>
          <w:rFonts w:ascii="Arial" w:eastAsia="Times New Roman" w:hAnsi="Arial" w:cs="Arial"/>
          <w:color w:val="000000"/>
          <w:sz w:val="24"/>
          <w:szCs w:val="24"/>
          <w:lang w:eastAsia="en-GB"/>
        </w:rPr>
        <w:t xml:space="preserve"> per 100,000 males</w:t>
      </w:r>
      <w:r w:rsidRPr="002B7CB6">
        <w:rPr>
          <w:rFonts w:ascii="Arial" w:eastAsia="Times New Roman" w:hAnsi="Arial" w:cs="Arial"/>
          <w:color w:val="000000"/>
          <w:sz w:val="24"/>
          <w:szCs w:val="24"/>
          <w:lang w:eastAsia="en-GB"/>
        </w:rPr>
        <w:t>).</w:t>
      </w:r>
    </w:p>
    <w:p w14:paraId="4196C71B" w14:textId="2F1359C4" w:rsidR="00CB0387" w:rsidRPr="002B7CB6" w:rsidRDefault="003767A7" w:rsidP="00DC54F7">
      <w:pPr>
        <w:pStyle w:val="ListParagraph"/>
        <w:numPr>
          <w:ilvl w:val="0"/>
          <w:numId w:val="28"/>
        </w:numPr>
        <w:spacing w:after="0" w:line="240" w:lineRule="auto"/>
        <w:ind w:left="714" w:hanging="357"/>
        <w:jc w:val="both"/>
        <w:rPr>
          <w:rFonts w:ascii="Arial" w:eastAsia="Times New Roman" w:hAnsi="Arial" w:cs="Arial"/>
          <w:color w:val="000000"/>
          <w:sz w:val="24"/>
          <w:szCs w:val="24"/>
          <w:lang w:eastAsia="en-GB"/>
        </w:rPr>
      </w:pPr>
      <w:r w:rsidRPr="002B7CB6">
        <w:rPr>
          <w:rFonts w:ascii="Arial" w:hAnsi="Arial" w:cs="Arial"/>
          <w:sz w:val="24"/>
          <w:szCs w:val="24"/>
          <w:lang w:val="en-US"/>
        </w:rPr>
        <w:t>B</w:t>
      </w:r>
      <w:r w:rsidR="00CB0387" w:rsidRPr="002B7CB6">
        <w:rPr>
          <w:rFonts w:ascii="Arial" w:hAnsi="Arial" w:cs="Arial"/>
          <w:sz w:val="24"/>
          <w:szCs w:val="24"/>
          <w:lang w:val="en-US"/>
        </w:rPr>
        <w:t>oth Cardiff (19.9</w:t>
      </w:r>
      <w:r w:rsidR="008378AE" w:rsidRPr="002B7CB6">
        <w:rPr>
          <w:rFonts w:ascii="Arial" w:hAnsi="Arial" w:cs="Arial"/>
          <w:sz w:val="24"/>
          <w:szCs w:val="24"/>
          <w:lang w:val="en-US"/>
        </w:rPr>
        <w:t xml:space="preserve"> per 100,000 males</w:t>
      </w:r>
      <w:r w:rsidR="00CB0387" w:rsidRPr="002B7CB6">
        <w:rPr>
          <w:rFonts w:ascii="Arial" w:hAnsi="Arial" w:cs="Arial"/>
          <w:sz w:val="24"/>
          <w:szCs w:val="24"/>
          <w:lang w:val="en-US"/>
        </w:rPr>
        <w:t>) and Cardiff and Vale University Health Board (19.8</w:t>
      </w:r>
      <w:r w:rsidR="008378AE" w:rsidRPr="002B7CB6">
        <w:rPr>
          <w:rFonts w:ascii="Arial" w:hAnsi="Arial" w:cs="Arial"/>
          <w:sz w:val="24"/>
          <w:szCs w:val="24"/>
          <w:lang w:val="en-US"/>
        </w:rPr>
        <w:t xml:space="preserve"> per 100,000 males</w:t>
      </w:r>
      <w:r w:rsidR="00CB0387" w:rsidRPr="002B7CB6">
        <w:rPr>
          <w:rFonts w:ascii="Arial" w:hAnsi="Arial" w:cs="Arial"/>
          <w:sz w:val="24"/>
          <w:szCs w:val="24"/>
          <w:lang w:val="en-US"/>
        </w:rPr>
        <w:t xml:space="preserve">) </w:t>
      </w:r>
      <w:r w:rsidR="00FE5E94" w:rsidRPr="002B7CB6">
        <w:rPr>
          <w:rFonts w:ascii="Arial" w:hAnsi="Arial" w:cs="Arial"/>
          <w:sz w:val="24"/>
          <w:szCs w:val="24"/>
          <w:lang w:val="en-US"/>
        </w:rPr>
        <w:t xml:space="preserve">have </w:t>
      </w:r>
      <w:r w:rsidR="00CB0387" w:rsidRPr="002B7CB6">
        <w:rPr>
          <w:rFonts w:ascii="Arial" w:hAnsi="Arial" w:cs="Arial"/>
          <w:sz w:val="24"/>
          <w:szCs w:val="24"/>
          <w:lang w:val="en-US"/>
        </w:rPr>
        <w:t xml:space="preserve">the highest incidence of liver cancer in men out of all the </w:t>
      </w:r>
      <w:r w:rsidR="00567F4B" w:rsidRPr="002B7CB6">
        <w:rPr>
          <w:rFonts w:ascii="Arial" w:hAnsi="Arial" w:cs="Arial"/>
          <w:sz w:val="24"/>
          <w:szCs w:val="24"/>
          <w:lang w:val="en-US"/>
        </w:rPr>
        <w:t>local</w:t>
      </w:r>
      <w:r w:rsidR="00CB0387" w:rsidRPr="002B7CB6">
        <w:rPr>
          <w:rFonts w:ascii="Arial" w:hAnsi="Arial" w:cs="Arial"/>
          <w:sz w:val="24"/>
          <w:szCs w:val="24"/>
          <w:lang w:val="en-US"/>
        </w:rPr>
        <w:t xml:space="preserve"> authorities and health boards. This </w:t>
      </w:r>
      <w:r w:rsidR="00FE5E94" w:rsidRPr="002B7CB6">
        <w:rPr>
          <w:rFonts w:ascii="Arial" w:hAnsi="Arial" w:cs="Arial"/>
          <w:sz w:val="24"/>
          <w:szCs w:val="24"/>
          <w:lang w:val="en-US"/>
        </w:rPr>
        <w:t xml:space="preserve">is </w:t>
      </w:r>
      <w:r w:rsidR="00CB0387" w:rsidRPr="002B7CB6">
        <w:rPr>
          <w:rFonts w:ascii="Arial" w:hAnsi="Arial" w:cs="Arial"/>
          <w:sz w:val="24"/>
          <w:szCs w:val="24"/>
          <w:lang w:val="en-US"/>
        </w:rPr>
        <w:t xml:space="preserve">significantly higher than </w:t>
      </w:r>
      <w:r w:rsidR="00955FFD" w:rsidRPr="002B7CB6">
        <w:rPr>
          <w:rFonts w:ascii="Arial" w:hAnsi="Arial" w:cs="Arial"/>
          <w:sz w:val="24"/>
          <w:szCs w:val="24"/>
          <w:lang w:val="en-US"/>
        </w:rPr>
        <w:t xml:space="preserve">the average for </w:t>
      </w:r>
      <w:r w:rsidR="00CB0387" w:rsidRPr="002B7CB6">
        <w:rPr>
          <w:rFonts w:ascii="Arial" w:hAnsi="Arial" w:cs="Arial"/>
          <w:sz w:val="24"/>
          <w:szCs w:val="24"/>
          <w:lang w:val="en-US"/>
        </w:rPr>
        <w:t>Wales (14.3</w:t>
      </w:r>
      <w:r w:rsidR="00CB0AAD" w:rsidRPr="002B7CB6">
        <w:rPr>
          <w:rFonts w:ascii="Arial" w:hAnsi="Arial" w:cs="Arial"/>
          <w:sz w:val="24"/>
          <w:szCs w:val="24"/>
          <w:lang w:val="en-US"/>
        </w:rPr>
        <w:t xml:space="preserve"> per 100,000 males</w:t>
      </w:r>
      <w:r w:rsidR="00CB0387" w:rsidRPr="002B7CB6">
        <w:rPr>
          <w:rFonts w:ascii="Arial" w:hAnsi="Arial" w:cs="Arial"/>
          <w:sz w:val="24"/>
          <w:szCs w:val="24"/>
          <w:lang w:val="en-US"/>
        </w:rPr>
        <w:t xml:space="preserve">). </w:t>
      </w:r>
      <w:r w:rsidR="00B41980" w:rsidRPr="002B7CB6">
        <w:rPr>
          <w:rFonts w:ascii="Arial" w:hAnsi="Arial" w:cs="Arial"/>
          <w:sz w:val="24"/>
          <w:szCs w:val="24"/>
          <w:lang w:val="en-US"/>
        </w:rPr>
        <w:t>The Vale of Glamorgan has the second highest rate (</w:t>
      </w:r>
      <w:r w:rsidR="00E3631E" w:rsidRPr="002B7CB6">
        <w:rPr>
          <w:rFonts w:ascii="Arial" w:hAnsi="Arial" w:cs="Arial"/>
          <w:sz w:val="24"/>
          <w:szCs w:val="24"/>
          <w:lang w:val="en-US"/>
        </w:rPr>
        <w:t>19.2 per 100,000 males).</w:t>
      </w:r>
    </w:p>
    <w:p w14:paraId="6E82E120" w14:textId="0B8B7F3C" w:rsidR="00F844A1" w:rsidRPr="002B7CB6" w:rsidRDefault="007A076F" w:rsidP="00DC54F7">
      <w:pPr>
        <w:pStyle w:val="ListParagraph"/>
        <w:numPr>
          <w:ilvl w:val="0"/>
          <w:numId w:val="28"/>
        </w:numPr>
        <w:spacing w:after="0" w:line="240" w:lineRule="auto"/>
        <w:ind w:left="714" w:hanging="357"/>
        <w:jc w:val="both"/>
        <w:rPr>
          <w:rFonts w:ascii="Arial" w:eastAsia="Times New Roman" w:hAnsi="Arial" w:cs="Arial"/>
          <w:color w:val="000000"/>
          <w:sz w:val="24"/>
          <w:szCs w:val="24"/>
          <w:lang w:eastAsia="en-GB"/>
        </w:rPr>
      </w:pPr>
      <w:r w:rsidRPr="002B7CB6">
        <w:rPr>
          <w:rFonts w:ascii="Arial" w:hAnsi="Arial" w:cs="Arial"/>
          <w:sz w:val="24"/>
          <w:szCs w:val="24"/>
          <w:lang w:val="en-US"/>
        </w:rPr>
        <w:t>The Vale of Glamorgan (38.2</w:t>
      </w:r>
      <w:r w:rsidR="00CB0AAD" w:rsidRPr="002B7CB6">
        <w:rPr>
          <w:rFonts w:ascii="Arial" w:hAnsi="Arial" w:cs="Arial"/>
          <w:sz w:val="24"/>
          <w:szCs w:val="24"/>
          <w:lang w:val="en-US"/>
        </w:rPr>
        <w:t xml:space="preserve"> per 100,000 males</w:t>
      </w:r>
      <w:r w:rsidRPr="002B7CB6">
        <w:rPr>
          <w:rFonts w:ascii="Arial" w:hAnsi="Arial" w:cs="Arial"/>
          <w:sz w:val="24"/>
          <w:szCs w:val="24"/>
          <w:lang w:val="en-US"/>
        </w:rPr>
        <w:t>) ha</w:t>
      </w:r>
      <w:r w:rsidR="00FE5E94" w:rsidRPr="002B7CB6">
        <w:rPr>
          <w:rFonts w:ascii="Arial" w:hAnsi="Arial" w:cs="Arial"/>
          <w:sz w:val="24"/>
          <w:szCs w:val="24"/>
          <w:lang w:val="en-US"/>
        </w:rPr>
        <w:t>s</w:t>
      </w:r>
      <w:r w:rsidRPr="002B7CB6">
        <w:rPr>
          <w:rFonts w:ascii="Arial" w:hAnsi="Arial" w:cs="Arial"/>
          <w:sz w:val="24"/>
          <w:szCs w:val="24"/>
          <w:lang w:val="en-US"/>
        </w:rPr>
        <w:t xml:space="preserve"> the second highest incidence of melanoma of all the local authorities, significantly higher than </w:t>
      </w:r>
      <w:r w:rsidR="00475076" w:rsidRPr="002B7CB6">
        <w:rPr>
          <w:rFonts w:ascii="Arial" w:hAnsi="Arial" w:cs="Arial"/>
          <w:sz w:val="24"/>
          <w:szCs w:val="24"/>
          <w:lang w:val="en-US"/>
        </w:rPr>
        <w:t xml:space="preserve">the average for </w:t>
      </w:r>
      <w:r w:rsidRPr="002B7CB6">
        <w:rPr>
          <w:rFonts w:ascii="Arial" w:hAnsi="Arial" w:cs="Arial"/>
          <w:sz w:val="24"/>
          <w:szCs w:val="24"/>
          <w:lang w:val="en-US"/>
        </w:rPr>
        <w:t>Wales (</w:t>
      </w:r>
      <w:r w:rsidRPr="002B7CB6">
        <w:rPr>
          <w:rFonts w:ascii="Arial" w:eastAsia="Times New Roman" w:hAnsi="Arial" w:cs="Arial"/>
          <w:color w:val="000000"/>
          <w:sz w:val="24"/>
          <w:szCs w:val="24"/>
          <w:lang w:eastAsia="en-GB"/>
        </w:rPr>
        <w:t>29.9</w:t>
      </w:r>
      <w:r w:rsidR="00CB0AAD" w:rsidRPr="002B7CB6">
        <w:rPr>
          <w:rFonts w:ascii="Arial" w:eastAsia="Times New Roman" w:hAnsi="Arial" w:cs="Arial"/>
          <w:color w:val="000000"/>
          <w:sz w:val="24"/>
          <w:szCs w:val="24"/>
          <w:lang w:eastAsia="en-GB"/>
        </w:rPr>
        <w:t xml:space="preserve"> per 100,000 males</w:t>
      </w:r>
      <w:r w:rsidRPr="002B7CB6">
        <w:rPr>
          <w:rFonts w:ascii="Arial" w:eastAsia="Times New Roman" w:hAnsi="Arial" w:cs="Arial"/>
          <w:color w:val="000000"/>
          <w:sz w:val="24"/>
          <w:szCs w:val="24"/>
          <w:lang w:eastAsia="en-GB"/>
        </w:rPr>
        <w:t>). Cardiff and Vale University Health Board (35.9</w:t>
      </w:r>
      <w:r w:rsidR="00CB0AAD" w:rsidRPr="002B7CB6">
        <w:rPr>
          <w:rFonts w:ascii="Arial" w:eastAsia="Times New Roman" w:hAnsi="Arial" w:cs="Arial"/>
          <w:color w:val="000000"/>
          <w:sz w:val="24"/>
          <w:szCs w:val="24"/>
          <w:lang w:eastAsia="en-GB"/>
        </w:rPr>
        <w:t xml:space="preserve"> per 100,000 males</w:t>
      </w:r>
      <w:r w:rsidRPr="002B7CB6">
        <w:rPr>
          <w:rFonts w:ascii="Arial" w:eastAsia="Times New Roman" w:hAnsi="Arial" w:cs="Arial"/>
          <w:color w:val="000000"/>
          <w:sz w:val="24"/>
          <w:szCs w:val="24"/>
          <w:lang w:eastAsia="en-GB"/>
        </w:rPr>
        <w:t>) ha</w:t>
      </w:r>
      <w:r w:rsidR="00FE5E94" w:rsidRPr="002B7CB6">
        <w:rPr>
          <w:rFonts w:ascii="Arial" w:eastAsia="Times New Roman" w:hAnsi="Arial" w:cs="Arial"/>
          <w:color w:val="000000"/>
          <w:sz w:val="24"/>
          <w:szCs w:val="24"/>
          <w:lang w:eastAsia="en-GB"/>
        </w:rPr>
        <w:t>s</w:t>
      </w:r>
      <w:r w:rsidRPr="002B7CB6">
        <w:rPr>
          <w:rFonts w:ascii="Arial" w:eastAsia="Times New Roman" w:hAnsi="Arial" w:cs="Arial"/>
          <w:color w:val="000000"/>
          <w:sz w:val="24"/>
          <w:szCs w:val="24"/>
          <w:lang w:eastAsia="en-GB"/>
        </w:rPr>
        <w:t xml:space="preserve"> the highest rate of all health boards and </w:t>
      </w:r>
      <w:r w:rsidR="00CF5004" w:rsidRPr="002B7CB6">
        <w:rPr>
          <w:rFonts w:ascii="Arial" w:eastAsia="Times New Roman" w:hAnsi="Arial" w:cs="Arial"/>
          <w:color w:val="000000"/>
          <w:sz w:val="24"/>
          <w:szCs w:val="24"/>
          <w:lang w:eastAsia="en-GB"/>
        </w:rPr>
        <w:t xml:space="preserve">is </w:t>
      </w:r>
      <w:r w:rsidRPr="002B7CB6">
        <w:rPr>
          <w:rFonts w:ascii="Arial" w:eastAsia="Times New Roman" w:hAnsi="Arial" w:cs="Arial"/>
          <w:color w:val="000000"/>
          <w:sz w:val="24"/>
          <w:szCs w:val="24"/>
          <w:lang w:eastAsia="en-GB"/>
        </w:rPr>
        <w:t xml:space="preserve">significantly higher than </w:t>
      </w:r>
      <w:r w:rsidR="00427C69" w:rsidRPr="002B7CB6">
        <w:rPr>
          <w:rFonts w:ascii="Arial" w:eastAsia="Times New Roman" w:hAnsi="Arial" w:cs="Arial"/>
          <w:color w:val="000000"/>
          <w:sz w:val="24"/>
          <w:szCs w:val="24"/>
          <w:lang w:eastAsia="en-GB"/>
        </w:rPr>
        <w:t xml:space="preserve">the average for </w:t>
      </w:r>
      <w:r w:rsidRPr="002B7CB6">
        <w:rPr>
          <w:rFonts w:ascii="Arial" w:eastAsia="Times New Roman" w:hAnsi="Arial" w:cs="Arial"/>
          <w:color w:val="000000"/>
          <w:sz w:val="24"/>
          <w:szCs w:val="24"/>
          <w:lang w:eastAsia="en-GB"/>
        </w:rPr>
        <w:t>Wales.</w:t>
      </w:r>
      <w:r w:rsidR="001E71D7" w:rsidRPr="002B7CB6">
        <w:rPr>
          <w:rFonts w:ascii="Arial" w:eastAsia="Times New Roman" w:hAnsi="Arial" w:cs="Arial"/>
          <w:color w:val="000000"/>
          <w:sz w:val="24"/>
          <w:szCs w:val="24"/>
          <w:lang w:eastAsia="en-GB"/>
        </w:rPr>
        <w:t xml:space="preserve"> Cardiff (</w:t>
      </w:r>
      <w:r w:rsidR="00F47BBF" w:rsidRPr="002B7CB6">
        <w:rPr>
          <w:rFonts w:ascii="Arial" w:eastAsia="Times New Roman" w:hAnsi="Arial" w:cs="Arial"/>
          <w:color w:val="000000"/>
          <w:sz w:val="24"/>
          <w:szCs w:val="24"/>
          <w:lang w:eastAsia="en-GB"/>
        </w:rPr>
        <w:t>34.8 per 100,000 males) has the third highest rate.</w:t>
      </w:r>
    </w:p>
    <w:p w14:paraId="571CB9ED" w14:textId="5E4EE41E" w:rsidR="00D51259" w:rsidRPr="002B7CB6" w:rsidRDefault="00D51259" w:rsidP="00DC54F7">
      <w:pPr>
        <w:pStyle w:val="ListParagraph"/>
        <w:numPr>
          <w:ilvl w:val="0"/>
          <w:numId w:val="28"/>
        </w:numPr>
        <w:spacing w:after="0" w:line="240" w:lineRule="auto"/>
        <w:ind w:left="714" w:hanging="357"/>
        <w:jc w:val="both"/>
        <w:rPr>
          <w:rFonts w:ascii="Arial" w:eastAsia="Times New Roman" w:hAnsi="Arial" w:cs="Arial"/>
          <w:color w:val="000000"/>
          <w:sz w:val="24"/>
          <w:szCs w:val="24"/>
          <w:lang w:eastAsia="en-GB"/>
        </w:rPr>
      </w:pPr>
      <w:r w:rsidRPr="002B7CB6">
        <w:rPr>
          <w:rFonts w:ascii="Arial" w:hAnsi="Arial" w:cs="Arial"/>
          <w:sz w:val="24"/>
          <w:szCs w:val="24"/>
          <w:lang w:val="en-US"/>
        </w:rPr>
        <w:t>Cardiff</w:t>
      </w:r>
      <w:r w:rsidR="00CC7CBF" w:rsidRPr="002B7CB6">
        <w:rPr>
          <w:rFonts w:ascii="Arial" w:hAnsi="Arial" w:cs="Arial"/>
          <w:sz w:val="24"/>
          <w:szCs w:val="24"/>
          <w:lang w:val="en-US"/>
        </w:rPr>
        <w:t xml:space="preserve"> </w:t>
      </w:r>
      <w:r w:rsidR="00511617" w:rsidRPr="002B7CB6">
        <w:rPr>
          <w:rFonts w:ascii="Arial" w:hAnsi="Arial" w:cs="Arial"/>
          <w:sz w:val="24"/>
          <w:szCs w:val="24"/>
          <w:lang w:val="en-US"/>
        </w:rPr>
        <w:t xml:space="preserve">(101.7 per 100,000 males) </w:t>
      </w:r>
      <w:r w:rsidR="00CC7CBF" w:rsidRPr="002B7CB6">
        <w:rPr>
          <w:rFonts w:ascii="Arial" w:hAnsi="Arial" w:cs="Arial"/>
          <w:sz w:val="24"/>
          <w:szCs w:val="24"/>
          <w:lang w:val="en-US"/>
        </w:rPr>
        <w:t xml:space="preserve">has the fifth highest incidence of </w:t>
      </w:r>
      <w:r w:rsidR="00511617" w:rsidRPr="002B7CB6">
        <w:rPr>
          <w:rFonts w:ascii="Arial" w:hAnsi="Arial" w:cs="Arial"/>
          <w:sz w:val="24"/>
          <w:szCs w:val="24"/>
          <w:lang w:val="en-US"/>
        </w:rPr>
        <w:t>lung cancer in Wales</w:t>
      </w:r>
      <w:r w:rsidR="00886BDA" w:rsidRPr="002B7CB6">
        <w:rPr>
          <w:rFonts w:ascii="Arial" w:hAnsi="Arial" w:cs="Arial"/>
          <w:sz w:val="24"/>
          <w:szCs w:val="24"/>
          <w:lang w:val="en-US"/>
        </w:rPr>
        <w:t xml:space="preserve"> and the Vale of Glamorgan (81.7 per 100,000 males) </w:t>
      </w:r>
      <w:r w:rsidR="00113163" w:rsidRPr="002B7CB6">
        <w:rPr>
          <w:rFonts w:ascii="Arial" w:hAnsi="Arial" w:cs="Arial"/>
          <w:sz w:val="24"/>
          <w:szCs w:val="24"/>
          <w:lang w:val="en-US"/>
        </w:rPr>
        <w:t xml:space="preserve">has </w:t>
      </w:r>
      <w:r w:rsidR="00886BDA" w:rsidRPr="002B7CB6">
        <w:rPr>
          <w:rFonts w:ascii="Arial" w:hAnsi="Arial" w:cs="Arial"/>
          <w:sz w:val="24"/>
          <w:szCs w:val="24"/>
          <w:lang w:val="en-US"/>
        </w:rPr>
        <w:t>the fourth lowest.</w:t>
      </w:r>
    </w:p>
    <w:p w14:paraId="0CA7AD7E" w14:textId="6FD2E459" w:rsidR="00511617" w:rsidRPr="002B7CB6" w:rsidRDefault="00511617" w:rsidP="00DC54F7">
      <w:pPr>
        <w:pStyle w:val="ListParagraph"/>
        <w:numPr>
          <w:ilvl w:val="0"/>
          <w:numId w:val="28"/>
        </w:numPr>
        <w:spacing w:after="0" w:line="240" w:lineRule="auto"/>
        <w:ind w:left="714" w:hanging="357"/>
        <w:jc w:val="both"/>
        <w:rPr>
          <w:rFonts w:ascii="Arial" w:eastAsia="Times New Roman" w:hAnsi="Arial" w:cs="Arial"/>
          <w:color w:val="000000"/>
          <w:sz w:val="24"/>
          <w:szCs w:val="24"/>
          <w:lang w:eastAsia="en-GB"/>
        </w:rPr>
      </w:pPr>
      <w:r w:rsidRPr="002B7CB6">
        <w:rPr>
          <w:rFonts w:ascii="Arial" w:hAnsi="Arial" w:cs="Arial"/>
          <w:sz w:val="24"/>
          <w:szCs w:val="24"/>
          <w:lang w:val="en-US"/>
        </w:rPr>
        <w:t xml:space="preserve">The Vale of Glamorgan </w:t>
      </w:r>
      <w:r w:rsidR="00A16967" w:rsidRPr="002B7CB6">
        <w:rPr>
          <w:rFonts w:ascii="Arial" w:hAnsi="Arial" w:cs="Arial"/>
          <w:sz w:val="24"/>
          <w:szCs w:val="24"/>
          <w:lang w:val="en-US"/>
        </w:rPr>
        <w:t xml:space="preserve">(100.8 per 100,000 males) </w:t>
      </w:r>
      <w:r w:rsidRPr="002B7CB6">
        <w:rPr>
          <w:rFonts w:ascii="Arial" w:hAnsi="Arial" w:cs="Arial"/>
          <w:sz w:val="24"/>
          <w:szCs w:val="24"/>
          <w:lang w:val="en-US"/>
        </w:rPr>
        <w:t xml:space="preserve">has the fifth highest incidence of </w:t>
      </w:r>
      <w:r w:rsidR="00A16967" w:rsidRPr="002B7CB6">
        <w:rPr>
          <w:rFonts w:ascii="Arial" w:hAnsi="Arial" w:cs="Arial"/>
          <w:sz w:val="24"/>
          <w:szCs w:val="24"/>
          <w:lang w:val="en-US"/>
        </w:rPr>
        <w:t>colorectal cancer in Wales.</w:t>
      </w:r>
    </w:p>
    <w:p w14:paraId="6FCC45F5" w14:textId="6D6F655E" w:rsidR="00DD3CC3" w:rsidRPr="002B7CB6" w:rsidRDefault="0000110D" w:rsidP="00DC54F7">
      <w:pPr>
        <w:pStyle w:val="ListParagraph"/>
        <w:numPr>
          <w:ilvl w:val="0"/>
          <w:numId w:val="28"/>
        </w:numPr>
        <w:spacing w:after="0" w:line="240" w:lineRule="auto"/>
        <w:ind w:left="714" w:hanging="357"/>
        <w:jc w:val="both"/>
        <w:rPr>
          <w:rFonts w:ascii="Arial" w:eastAsia="Times New Roman" w:hAnsi="Arial" w:cs="Arial"/>
          <w:color w:val="000000"/>
          <w:sz w:val="24"/>
          <w:szCs w:val="24"/>
          <w:lang w:eastAsia="en-GB"/>
        </w:rPr>
      </w:pPr>
      <w:r w:rsidRPr="002B7CB6">
        <w:rPr>
          <w:rFonts w:ascii="Arial" w:hAnsi="Arial" w:cs="Arial"/>
          <w:sz w:val="24"/>
          <w:szCs w:val="24"/>
          <w:lang w:val="en-US"/>
        </w:rPr>
        <w:t>Cardiff and Vale University Health Board (725.3</w:t>
      </w:r>
      <w:r w:rsidR="00CB0AAD" w:rsidRPr="002B7CB6">
        <w:rPr>
          <w:rFonts w:ascii="Arial" w:hAnsi="Arial" w:cs="Arial"/>
          <w:sz w:val="24"/>
          <w:szCs w:val="24"/>
          <w:lang w:val="en-US"/>
        </w:rPr>
        <w:t xml:space="preserve"> per 100,000 males</w:t>
      </w:r>
      <w:r w:rsidRPr="002B7CB6">
        <w:rPr>
          <w:rFonts w:ascii="Arial" w:hAnsi="Arial" w:cs="Arial"/>
          <w:sz w:val="24"/>
          <w:szCs w:val="24"/>
          <w:lang w:val="en-US"/>
        </w:rPr>
        <w:t>) ha</w:t>
      </w:r>
      <w:r w:rsidR="00CF5004" w:rsidRPr="002B7CB6">
        <w:rPr>
          <w:rFonts w:ascii="Arial" w:hAnsi="Arial" w:cs="Arial"/>
          <w:sz w:val="24"/>
          <w:szCs w:val="24"/>
          <w:lang w:val="en-US"/>
        </w:rPr>
        <w:t>s</w:t>
      </w:r>
      <w:r w:rsidRPr="002B7CB6">
        <w:rPr>
          <w:rFonts w:ascii="Arial" w:hAnsi="Arial" w:cs="Arial"/>
          <w:sz w:val="24"/>
          <w:szCs w:val="24"/>
          <w:lang w:val="en-US"/>
        </w:rPr>
        <w:t xml:space="preserve"> a significantly higher rate of all malignancies excluding </w:t>
      </w:r>
      <w:r w:rsidR="00F50E87" w:rsidRPr="002B7CB6">
        <w:rPr>
          <w:rFonts w:ascii="Arial" w:hAnsi="Arial" w:cs="Arial"/>
          <w:sz w:val="24"/>
          <w:szCs w:val="24"/>
          <w:lang w:val="en-US"/>
        </w:rPr>
        <w:t xml:space="preserve">nonmelanoma skin cancer </w:t>
      </w:r>
      <w:r w:rsidRPr="002B7CB6">
        <w:rPr>
          <w:rFonts w:ascii="Arial" w:hAnsi="Arial" w:cs="Arial"/>
          <w:sz w:val="24"/>
          <w:szCs w:val="24"/>
          <w:lang w:val="en-US"/>
        </w:rPr>
        <w:t>than</w:t>
      </w:r>
      <w:r w:rsidR="00014351" w:rsidRPr="002B7CB6">
        <w:rPr>
          <w:rFonts w:ascii="Arial" w:hAnsi="Arial" w:cs="Arial"/>
          <w:sz w:val="24"/>
          <w:szCs w:val="24"/>
          <w:lang w:val="en-US"/>
        </w:rPr>
        <w:t xml:space="preserve"> the average for</w:t>
      </w:r>
      <w:r w:rsidRPr="002B7CB6">
        <w:rPr>
          <w:rFonts w:ascii="Arial" w:hAnsi="Arial" w:cs="Arial"/>
          <w:sz w:val="24"/>
          <w:szCs w:val="24"/>
          <w:lang w:val="en-US"/>
        </w:rPr>
        <w:t xml:space="preserve"> Wales (</w:t>
      </w:r>
      <w:r w:rsidRPr="002B7CB6">
        <w:rPr>
          <w:rFonts w:ascii="Arial" w:eastAsia="Times New Roman" w:hAnsi="Arial" w:cs="Arial"/>
          <w:color w:val="000000"/>
          <w:sz w:val="24"/>
          <w:szCs w:val="24"/>
          <w:lang w:eastAsia="en-GB"/>
        </w:rPr>
        <w:t>699</w:t>
      </w:r>
      <w:r w:rsidR="00CB0AAD" w:rsidRPr="002B7CB6">
        <w:rPr>
          <w:rFonts w:ascii="Arial" w:eastAsia="Times New Roman" w:hAnsi="Arial" w:cs="Arial"/>
          <w:color w:val="000000"/>
          <w:sz w:val="24"/>
          <w:szCs w:val="24"/>
          <w:lang w:eastAsia="en-GB"/>
        </w:rPr>
        <w:t xml:space="preserve"> per 100,000 males</w:t>
      </w:r>
      <w:r w:rsidRPr="002B7CB6">
        <w:rPr>
          <w:rFonts w:ascii="Arial" w:hAnsi="Arial" w:cs="Arial"/>
          <w:sz w:val="24"/>
          <w:szCs w:val="24"/>
          <w:lang w:val="en-US"/>
        </w:rPr>
        <w:t xml:space="preserve">), second highest of all the health boards. </w:t>
      </w:r>
    </w:p>
    <w:p w14:paraId="6590C16E" w14:textId="77777777" w:rsidR="007F12E8" w:rsidRPr="002B7CB6" w:rsidRDefault="007F12E8" w:rsidP="00DC54F7">
      <w:pPr>
        <w:pStyle w:val="ListParagraph"/>
        <w:spacing w:after="0" w:line="240" w:lineRule="auto"/>
        <w:ind w:left="714"/>
        <w:jc w:val="both"/>
        <w:rPr>
          <w:rFonts w:ascii="Arial" w:eastAsia="Times New Roman" w:hAnsi="Arial" w:cs="Arial"/>
          <w:color w:val="000000"/>
          <w:sz w:val="24"/>
          <w:szCs w:val="24"/>
          <w:lang w:eastAsia="en-GB"/>
        </w:rPr>
      </w:pPr>
    </w:p>
    <w:p w14:paraId="17D46DF3" w14:textId="6BD17D2C" w:rsidR="0078496E" w:rsidRPr="002B7CB6" w:rsidRDefault="005519DF" w:rsidP="00DC54F7">
      <w:pPr>
        <w:spacing w:after="0" w:line="240" w:lineRule="auto"/>
        <w:jc w:val="both"/>
        <w:rPr>
          <w:rFonts w:ascii="Arial" w:hAnsi="Arial" w:cs="Arial"/>
          <w:sz w:val="24"/>
          <w:szCs w:val="24"/>
          <w:lang w:val="en-US"/>
        </w:rPr>
      </w:pPr>
      <w:r w:rsidRPr="002B7CB6">
        <w:rPr>
          <w:rFonts w:ascii="Arial" w:hAnsi="Arial" w:cs="Arial"/>
          <w:sz w:val="24"/>
          <w:szCs w:val="24"/>
          <w:lang w:val="en-US"/>
        </w:rPr>
        <w:t xml:space="preserve">Between </w:t>
      </w:r>
      <w:r w:rsidR="008B0708" w:rsidRPr="002B7CB6">
        <w:rPr>
          <w:rFonts w:ascii="Arial" w:hAnsi="Arial" w:cs="Arial"/>
          <w:sz w:val="24"/>
          <w:szCs w:val="24"/>
          <w:lang w:val="en-US"/>
        </w:rPr>
        <w:t>201</w:t>
      </w:r>
      <w:r w:rsidR="000351C4" w:rsidRPr="002B7CB6">
        <w:rPr>
          <w:rFonts w:ascii="Arial" w:hAnsi="Arial" w:cs="Arial"/>
          <w:sz w:val="24"/>
          <w:szCs w:val="24"/>
          <w:lang w:val="en-US"/>
        </w:rPr>
        <w:t>5</w:t>
      </w:r>
      <w:r w:rsidR="008B0708" w:rsidRPr="002B7CB6">
        <w:rPr>
          <w:rFonts w:ascii="Arial" w:hAnsi="Arial" w:cs="Arial"/>
          <w:sz w:val="24"/>
          <w:szCs w:val="24"/>
          <w:lang w:val="en-US"/>
        </w:rPr>
        <w:t xml:space="preserve"> to 201</w:t>
      </w:r>
      <w:r w:rsidR="000351C4" w:rsidRPr="002B7CB6">
        <w:rPr>
          <w:rFonts w:ascii="Arial" w:hAnsi="Arial" w:cs="Arial"/>
          <w:sz w:val="24"/>
          <w:szCs w:val="24"/>
          <w:lang w:val="en-US"/>
        </w:rPr>
        <w:t>7</w:t>
      </w:r>
      <w:r w:rsidR="00676480" w:rsidRPr="002B7CB6">
        <w:rPr>
          <w:rFonts w:ascii="Arial" w:hAnsi="Arial" w:cs="Arial"/>
          <w:sz w:val="24"/>
          <w:szCs w:val="24"/>
          <w:lang w:val="en-US"/>
        </w:rPr>
        <w:t>,</w:t>
      </w:r>
      <w:r w:rsidR="00D62ADD" w:rsidRPr="002B7CB6">
        <w:rPr>
          <w:rFonts w:ascii="Arial" w:hAnsi="Arial" w:cs="Arial"/>
          <w:sz w:val="24"/>
          <w:szCs w:val="24"/>
          <w:lang w:val="en-US"/>
        </w:rPr>
        <w:t xml:space="preserve"> </w:t>
      </w:r>
      <w:r w:rsidR="00390355" w:rsidRPr="002B7CB6">
        <w:rPr>
          <w:rFonts w:ascii="Arial" w:hAnsi="Arial" w:cs="Arial"/>
          <w:sz w:val="24"/>
          <w:szCs w:val="24"/>
          <w:lang w:val="en-US"/>
        </w:rPr>
        <w:t xml:space="preserve">the Vale of Glamorgan had a lower death rate for most types of cancers except colorectal cancer (31.1 per 100,000 population) when compared to </w:t>
      </w:r>
      <w:r w:rsidR="00014351" w:rsidRPr="002B7CB6">
        <w:rPr>
          <w:rFonts w:ascii="Arial" w:hAnsi="Arial" w:cs="Arial"/>
          <w:sz w:val="24"/>
          <w:szCs w:val="24"/>
          <w:lang w:val="en-US"/>
        </w:rPr>
        <w:t xml:space="preserve">the average for </w:t>
      </w:r>
      <w:r w:rsidR="00390355" w:rsidRPr="002B7CB6">
        <w:rPr>
          <w:rFonts w:ascii="Arial" w:hAnsi="Arial" w:cs="Arial"/>
          <w:sz w:val="24"/>
          <w:szCs w:val="24"/>
          <w:lang w:val="en-US"/>
        </w:rPr>
        <w:t xml:space="preserve">Wales. It </w:t>
      </w:r>
      <w:r w:rsidR="006F5518" w:rsidRPr="002B7CB6">
        <w:rPr>
          <w:rFonts w:ascii="Arial" w:hAnsi="Arial" w:cs="Arial"/>
          <w:sz w:val="24"/>
          <w:szCs w:val="24"/>
          <w:lang w:val="en-US"/>
        </w:rPr>
        <w:t>ha</w:t>
      </w:r>
      <w:r w:rsidR="0084556E" w:rsidRPr="002B7CB6">
        <w:rPr>
          <w:rFonts w:ascii="Arial" w:hAnsi="Arial" w:cs="Arial"/>
          <w:sz w:val="24"/>
          <w:szCs w:val="24"/>
          <w:lang w:val="en-US"/>
        </w:rPr>
        <w:t xml:space="preserve">d </w:t>
      </w:r>
      <w:r w:rsidR="006F5518" w:rsidRPr="002B7CB6">
        <w:rPr>
          <w:rFonts w:ascii="Arial" w:hAnsi="Arial" w:cs="Arial"/>
          <w:sz w:val="24"/>
          <w:szCs w:val="24"/>
          <w:lang w:val="en-US"/>
        </w:rPr>
        <w:t xml:space="preserve">a </w:t>
      </w:r>
      <w:r w:rsidR="0084556E" w:rsidRPr="002B7CB6">
        <w:rPr>
          <w:rFonts w:ascii="Arial" w:hAnsi="Arial" w:cs="Arial"/>
          <w:sz w:val="24"/>
          <w:szCs w:val="24"/>
          <w:lang w:val="en-US"/>
        </w:rPr>
        <w:t xml:space="preserve">significantly </w:t>
      </w:r>
      <w:r w:rsidR="00BE6355" w:rsidRPr="002B7CB6">
        <w:rPr>
          <w:rFonts w:ascii="Arial" w:hAnsi="Arial" w:cs="Arial"/>
          <w:sz w:val="24"/>
          <w:szCs w:val="24"/>
          <w:lang w:val="en-US"/>
        </w:rPr>
        <w:t xml:space="preserve">lower </w:t>
      </w:r>
      <w:r w:rsidR="0084556E" w:rsidRPr="002B7CB6">
        <w:rPr>
          <w:rFonts w:ascii="Arial" w:hAnsi="Arial" w:cs="Arial"/>
          <w:sz w:val="24"/>
          <w:szCs w:val="24"/>
          <w:lang w:val="en-US"/>
        </w:rPr>
        <w:t xml:space="preserve">cancer death rate for </w:t>
      </w:r>
      <w:r w:rsidR="0043709F" w:rsidRPr="002B7CB6">
        <w:rPr>
          <w:rFonts w:ascii="Arial" w:hAnsi="Arial" w:cs="Arial"/>
          <w:sz w:val="24"/>
          <w:szCs w:val="24"/>
          <w:lang w:val="en-US"/>
        </w:rPr>
        <w:t>trachea, bronchus and lung cancer (48</w:t>
      </w:r>
      <w:r w:rsidR="0060662D" w:rsidRPr="002B7CB6">
        <w:rPr>
          <w:rFonts w:ascii="Arial" w:hAnsi="Arial" w:cs="Arial"/>
          <w:sz w:val="24"/>
          <w:szCs w:val="24"/>
          <w:lang w:val="en-US"/>
        </w:rPr>
        <w:t>.0</w:t>
      </w:r>
      <w:r w:rsidR="0043709F" w:rsidRPr="002B7CB6">
        <w:rPr>
          <w:rFonts w:ascii="Arial" w:hAnsi="Arial" w:cs="Arial"/>
          <w:sz w:val="24"/>
          <w:szCs w:val="24"/>
          <w:lang w:val="en-US"/>
        </w:rPr>
        <w:t xml:space="preserve"> per 100,000 population) compared to </w:t>
      </w:r>
      <w:r w:rsidR="00014351" w:rsidRPr="002B7CB6">
        <w:rPr>
          <w:rFonts w:ascii="Arial" w:hAnsi="Arial" w:cs="Arial"/>
          <w:sz w:val="24"/>
          <w:szCs w:val="24"/>
          <w:lang w:val="en-US"/>
        </w:rPr>
        <w:t xml:space="preserve">the average for </w:t>
      </w:r>
      <w:r w:rsidR="0043709F" w:rsidRPr="002B7CB6">
        <w:rPr>
          <w:rFonts w:ascii="Arial" w:hAnsi="Arial" w:cs="Arial"/>
          <w:sz w:val="24"/>
          <w:szCs w:val="24"/>
          <w:lang w:val="en-US"/>
        </w:rPr>
        <w:t>Wales (</w:t>
      </w:r>
      <w:r w:rsidR="004C67D2" w:rsidRPr="002B7CB6">
        <w:rPr>
          <w:rFonts w:ascii="Arial" w:hAnsi="Arial" w:cs="Arial"/>
          <w:sz w:val="24"/>
          <w:szCs w:val="24"/>
          <w:lang w:val="en-US"/>
        </w:rPr>
        <w:t>59.7 per 100,000 population)</w:t>
      </w:r>
      <w:r w:rsidR="00CA651A" w:rsidRPr="002B7CB6">
        <w:rPr>
          <w:rFonts w:ascii="Arial" w:hAnsi="Arial" w:cs="Arial"/>
          <w:sz w:val="24"/>
          <w:szCs w:val="24"/>
          <w:lang w:val="en-US"/>
        </w:rPr>
        <w:t>.</w:t>
      </w:r>
      <w:r w:rsidR="004C67D2" w:rsidRPr="002B7CB6">
        <w:rPr>
          <w:rFonts w:ascii="Arial" w:hAnsi="Arial" w:cs="Arial"/>
          <w:sz w:val="24"/>
          <w:szCs w:val="24"/>
          <w:lang w:val="en-US"/>
        </w:rPr>
        <w:t xml:space="preserve">  </w:t>
      </w:r>
    </w:p>
    <w:p w14:paraId="25F3405F" w14:textId="77777777" w:rsidR="0078496E" w:rsidRPr="002B7CB6" w:rsidRDefault="0078496E" w:rsidP="00DC54F7">
      <w:pPr>
        <w:spacing w:after="0" w:line="240" w:lineRule="auto"/>
        <w:jc w:val="both"/>
        <w:rPr>
          <w:rFonts w:ascii="Arial" w:hAnsi="Arial" w:cs="Arial"/>
          <w:sz w:val="24"/>
          <w:szCs w:val="24"/>
          <w:lang w:val="en-US"/>
        </w:rPr>
      </w:pPr>
    </w:p>
    <w:p w14:paraId="0D74AC54" w14:textId="6718A443" w:rsidR="0003491F" w:rsidRDefault="00870034" w:rsidP="00DC54F7">
      <w:pPr>
        <w:spacing w:after="0" w:line="240" w:lineRule="auto"/>
        <w:jc w:val="both"/>
        <w:rPr>
          <w:rFonts w:ascii="Arial" w:hAnsi="Arial" w:cs="Arial"/>
          <w:sz w:val="24"/>
          <w:szCs w:val="24"/>
          <w:lang w:val="en-US"/>
        </w:rPr>
      </w:pPr>
      <w:r w:rsidRPr="002B7CB6">
        <w:rPr>
          <w:rFonts w:ascii="Arial" w:hAnsi="Arial" w:cs="Arial"/>
          <w:sz w:val="24"/>
          <w:szCs w:val="24"/>
          <w:lang w:val="en-US"/>
        </w:rPr>
        <w:lastRenderedPageBreak/>
        <w:t xml:space="preserve">Cardiff </w:t>
      </w:r>
      <w:r w:rsidR="001F0E05" w:rsidRPr="002B7CB6">
        <w:rPr>
          <w:rFonts w:ascii="Arial" w:hAnsi="Arial" w:cs="Arial"/>
          <w:sz w:val="24"/>
          <w:szCs w:val="24"/>
          <w:lang w:val="en-US"/>
        </w:rPr>
        <w:t>ha</w:t>
      </w:r>
      <w:r w:rsidR="0060662D" w:rsidRPr="002B7CB6">
        <w:rPr>
          <w:rFonts w:ascii="Arial" w:hAnsi="Arial" w:cs="Arial"/>
          <w:sz w:val="24"/>
          <w:szCs w:val="24"/>
          <w:lang w:val="en-US"/>
        </w:rPr>
        <w:t>d</w:t>
      </w:r>
      <w:r w:rsidR="001F0E05" w:rsidRPr="002B7CB6">
        <w:rPr>
          <w:rFonts w:ascii="Arial" w:hAnsi="Arial" w:cs="Arial"/>
          <w:sz w:val="24"/>
          <w:szCs w:val="24"/>
          <w:lang w:val="en-US"/>
        </w:rPr>
        <w:t xml:space="preserve"> a </w:t>
      </w:r>
      <w:r w:rsidR="00365A3A" w:rsidRPr="002B7CB6">
        <w:rPr>
          <w:rFonts w:ascii="Arial" w:hAnsi="Arial" w:cs="Arial"/>
          <w:sz w:val="24"/>
          <w:szCs w:val="24"/>
          <w:lang w:val="en-US"/>
        </w:rPr>
        <w:t xml:space="preserve">slightly higher </w:t>
      </w:r>
      <w:r w:rsidR="001F0E05" w:rsidRPr="002B7CB6">
        <w:rPr>
          <w:rFonts w:ascii="Arial" w:hAnsi="Arial" w:cs="Arial"/>
          <w:sz w:val="24"/>
          <w:szCs w:val="24"/>
          <w:lang w:val="en-US"/>
        </w:rPr>
        <w:t xml:space="preserve">cancer death rate </w:t>
      </w:r>
      <w:r w:rsidR="00CF5004" w:rsidRPr="002B7CB6">
        <w:rPr>
          <w:rFonts w:ascii="Arial" w:hAnsi="Arial" w:cs="Arial"/>
          <w:sz w:val="24"/>
          <w:szCs w:val="24"/>
          <w:lang w:val="en-US"/>
        </w:rPr>
        <w:t xml:space="preserve">than </w:t>
      </w:r>
      <w:r w:rsidR="00014351" w:rsidRPr="002B7CB6">
        <w:rPr>
          <w:rFonts w:ascii="Arial" w:hAnsi="Arial" w:cs="Arial"/>
          <w:sz w:val="24"/>
          <w:szCs w:val="24"/>
          <w:lang w:val="en-US"/>
        </w:rPr>
        <w:t xml:space="preserve">the average for </w:t>
      </w:r>
      <w:r w:rsidRPr="002B7CB6">
        <w:rPr>
          <w:rFonts w:ascii="Arial" w:hAnsi="Arial" w:cs="Arial"/>
          <w:sz w:val="24"/>
          <w:szCs w:val="24"/>
          <w:lang w:val="en-US"/>
        </w:rPr>
        <w:t xml:space="preserve">Wales </w:t>
      </w:r>
      <w:r w:rsidR="00ED3014" w:rsidRPr="002B7CB6">
        <w:rPr>
          <w:rFonts w:ascii="Arial" w:hAnsi="Arial" w:cs="Arial"/>
          <w:sz w:val="24"/>
          <w:szCs w:val="24"/>
          <w:lang w:val="en-US"/>
        </w:rPr>
        <w:t xml:space="preserve">across most </w:t>
      </w:r>
      <w:r w:rsidR="009B190F" w:rsidRPr="002B7CB6">
        <w:rPr>
          <w:rFonts w:ascii="Arial" w:hAnsi="Arial" w:cs="Arial"/>
          <w:sz w:val="24"/>
          <w:szCs w:val="24"/>
          <w:lang w:val="en-US"/>
        </w:rPr>
        <w:t xml:space="preserve">cancer </w:t>
      </w:r>
      <w:r w:rsidR="00ED3014" w:rsidRPr="002B7CB6">
        <w:rPr>
          <w:rFonts w:ascii="Arial" w:hAnsi="Arial" w:cs="Arial"/>
          <w:sz w:val="24"/>
          <w:szCs w:val="24"/>
          <w:lang w:val="en-US"/>
        </w:rPr>
        <w:t xml:space="preserve">types </w:t>
      </w:r>
      <w:r w:rsidR="00B05795" w:rsidRPr="002B7CB6">
        <w:rPr>
          <w:rFonts w:ascii="Arial" w:hAnsi="Arial" w:cs="Arial"/>
          <w:sz w:val="24"/>
          <w:szCs w:val="24"/>
          <w:lang w:val="en-US"/>
        </w:rPr>
        <w:t xml:space="preserve">except </w:t>
      </w:r>
      <w:r w:rsidR="000A2D68" w:rsidRPr="002B7CB6">
        <w:rPr>
          <w:rFonts w:ascii="Arial" w:hAnsi="Arial" w:cs="Arial"/>
          <w:sz w:val="24"/>
          <w:szCs w:val="24"/>
          <w:lang w:val="en-US"/>
        </w:rPr>
        <w:t>prostate cancer (42.1</w:t>
      </w:r>
      <w:r w:rsidR="002C457A" w:rsidRPr="002B7CB6">
        <w:rPr>
          <w:rFonts w:ascii="Arial" w:hAnsi="Arial" w:cs="Arial"/>
          <w:sz w:val="24"/>
          <w:szCs w:val="24"/>
          <w:lang w:val="en-US"/>
        </w:rPr>
        <w:t xml:space="preserve"> per 100,000</w:t>
      </w:r>
      <w:r w:rsidR="0060662D" w:rsidRPr="002B7CB6">
        <w:rPr>
          <w:rFonts w:ascii="Arial" w:hAnsi="Arial" w:cs="Arial"/>
          <w:sz w:val="24"/>
          <w:szCs w:val="24"/>
          <w:lang w:val="en-US"/>
        </w:rPr>
        <w:t xml:space="preserve"> males</w:t>
      </w:r>
      <w:r w:rsidR="002C457A" w:rsidRPr="002B7CB6">
        <w:rPr>
          <w:rFonts w:ascii="Arial" w:hAnsi="Arial" w:cs="Arial"/>
          <w:sz w:val="24"/>
          <w:szCs w:val="24"/>
          <w:lang w:val="en-US"/>
        </w:rPr>
        <w:t xml:space="preserve">) where it </w:t>
      </w:r>
      <w:r w:rsidR="0060662D" w:rsidRPr="002B7CB6">
        <w:rPr>
          <w:rFonts w:ascii="Arial" w:hAnsi="Arial" w:cs="Arial"/>
          <w:sz w:val="24"/>
          <w:szCs w:val="24"/>
          <w:lang w:val="en-US"/>
        </w:rPr>
        <w:t>was</w:t>
      </w:r>
      <w:r w:rsidR="00516C5F" w:rsidRPr="002B7CB6">
        <w:rPr>
          <w:rFonts w:ascii="Arial" w:hAnsi="Arial" w:cs="Arial"/>
          <w:sz w:val="24"/>
          <w:szCs w:val="24"/>
          <w:lang w:val="en-US"/>
        </w:rPr>
        <w:t xml:space="preserve"> </w:t>
      </w:r>
      <w:r w:rsidR="002C457A" w:rsidRPr="002B7CB6">
        <w:rPr>
          <w:rFonts w:ascii="Arial" w:hAnsi="Arial" w:cs="Arial"/>
          <w:sz w:val="24"/>
          <w:szCs w:val="24"/>
          <w:lang w:val="en-US"/>
        </w:rPr>
        <w:t xml:space="preserve">lower than </w:t>
      </w:r>
      <w:r w:rsidR="0060662D" w:rsidRPr="002B7CB6">
        <w:rPr>
          <w:rFonts w:ascii="Arial" w:hAnsi="Arial" w:cs="Arial"/>
          <w:sz w:val="24"/>
          <w:szCs w:val="24"/>
          <w:lang w:val="en-US"/>
        </w:rPr>
        <w:t xml:space="preserve">the average for </w:t>
      </w:r>
      <w:r w:rsidR="002C457A" w:rsidRPr="002B7CB6">
        <w:rPr>
          <w:rFonts w:ascii="Arial" w:hAnsi="Arial" w:cs="Arial"/>
          <w:sz w:val="24"/>
          <w:szCs w:val="24"/>
          <w:lang w:val="en-US"/>
        </w:rPr>
        <w:t>Wales (45.5 per 100</w:t>
      </w:r>
      <w:r w:rsidR="008531CB" w:rsidRPr="002B7CB6">
        <w:rPr>
          <w:rFonts w:ascii="Arial" w:hAnsi="Arial" w:cs="Arial"/>
          <w:sz w:val="24"/>
          <w:szCs w:val="24"/>
          <w:lang w:val="en-US"/>
        </w:rPr>
        <w:t>,000</w:t>
      </w:r>
      <w:r w:rsidR="0060662D" w:rsidRPr="002B7CB6">
        <w:rPr>
          <w:rFonts w:ascii="Arial" w:hAnsi="Arial" w:cs="Arial"/>
          <w:sz w:val="24"/>
          <w:szCs w:val="24"/>
          <w:lang w:val="en-US"/>
        </w:rPr>
        <w:t xml:space="preserve"> males</w:t>
      </w:r>
      <w:r w:rsidR="008531CB" w:rsidRPr="002B7CB6">
        <w:rPr>
          <w:rFonts w:ascii="Arial" w:hAnsi="Arial" w:cs="Arial"/>
          <w:sz w:val="24"/>
          <w:szCs w:val="24"/>
          <w:lang w:val="en-US"/>
        </w:rPr>
        <w:t xml:space="preserve">). </w:t>
      </w:r>
      <w:bookmarkStart w:id="11" w:name="_Toc60225178"/>
    </w:p>
    <w:p w14:paraId="3762878A" w14:textId="77777777" w:rsidR="002B7CB6" w:rsidRPr="002B7CB6" w:rsidRDefault="002B7CB6" w:rsidP="00DC54F7">
      <w:pPr>
        <w:spacing w:after="0" w:line="240" w:lineRule="auto"/>
        <w:jc w:val="both"/>
        <w:rPr>
          <w:rFonts w:ascii="Arial" w:hAnsi="Arial" w:cs="Arial"/>
          <w:sz w:val="24"/>
          <w:szCs w:val="24"/>
          <w:lang w:val="en-US"/>
        </w:rPr>
      </w:pPr>
    </w:p>
    <w:p w14:paraId="1C63F14A" w14:textId="523B78AD" w:rsidR="00C74105" w:rsidRPr="002B7CB6" w:rsidRDefault="003648B0" w:rsidP="00DC54F7">
      <w:pPr>
        <w:pStyle w:val="Caption"/>
        <w:spacing w:before="0" w:after="0"/>
        <w:jc w:val="both"/>
        <w:rPr>
          <w:rFonts w:ascii="Arial" w:hAnsi="Arial" w:cs="Arial"/>
          <w:szCs w:val="24"/>
        </w:rPr>
      </w:pPr>
      <w:r w:rsidRPr="002B7CB6">
        <w:rPr>
          <w:rFonts w:ascii="Arial" w:hAnsi="Arial" w:cs="Arial"/>
          <w:szCs w:val="24"/>
        </w:rPr>
        <w:t>Table</w:t>
      </w:r>
      <w:r w:rsidR="00F22702" w:rsidRPr="002B7CB6">
        <w:rPr>
          <w:rFonts w:ascii="Arial" w:hAnsi="Arial" w:cs="Arial"/>
          <w:szCs w:val="24"/>
        </w:rPr>
        <w:t xml:space="preserve"> 3.2</w:t>
      </w:r>
      <w:r w:rsidRPr="002B7CB6">
        <w:rPr>
          <w:rFonts w:ascii="Arial" w:hAnsi="Arial" w:cs="Arial"/>
          <w:szCs w:val="24"/>
        </w:rPr>
        <w:t>: C</w:t>
      </w:r>
      <w:r w:rsidR="00BA7F79" w:rsidRPr="002B7CB6">
        <w:rPr>
          <w:rFonts w:ascii="Arial" w:hAnsi="Arial" w:cs="Arial"/>
          <w:szCs w:val="24"/>
        </w:rPr>
        <w:t xml:space="preserve">ancer death </w:t>
      </w:r>
      <w:r w:rsidR="00E860CA" w:rsidRPr="002B7CB6">
        <w:rPr>
          <w:rFonts w:ascii="Arial" w:hAnsi="Arial" w:cs="Arial"/>
          <w:szCs w:val="24"/>
        </w:rPr>
        <w:t xml:space="preserve">rates </w:t>
      </w:r>
      <w:r w:rsidR="00CC1B2F" w:rsidRPr="002B7CB6">
        <w:rPr>
          <w:rFonts w:ascii="Arial" w:hAnsi="Arial" w:cs="Arial"/>
          <w:szCs w:val="24"/>
        </w:rPr>
        <w:t>(</w:t>
      </w:r>
      <w:r w:rsidR="00283484" w:rsidRPr="002B7CB6">
        <w:rPr>
          <w:rFonts w:ascii="Arial" w:hAnsi="Arial" w:cs="Arial"/>
          <w:szCs w:val="24"/>
        </w:rPr>
        <w:t>age-standardised</w:t>
      </w:r>
      <w:r w:rsidR="00E860CA" w:rsidRPr="002B7CB6">
        <w:rPr>
          <w:rFonts w:ascii="Arial" w:hAnsi="Arial" w:cs="Arial"/>
          <w:szCs w:val="24"/>
        </w:rPr>
        <w:t xml:space="preserve"> per 100,000</w:t>
      </w:r>
      <w:r w:rsidR="00CC1B2F" w:rsidRPr="002B7CB6">
        <w:rPr>
          <w:rFonts w:ascii="Arial" w:hAnsi="Arial" w:cs="Arial"/>
          <w:szCs w:val="24"/>
        </w:rPr>
        <w:t>)</w:t>
      </w:r>
      <w:r w:rsidR="00E860CA" w:rsidRPr="002B7CB6">
        <w:rPr>
          <w:rFonts w:ascii="Arial" w:hAnsi="Arial" w:cs="Arial"/>
          <w:szCs w:val="24"/>
        </w:rPr>
        <w:t xml:space="preserve"> </w:t>
      </w:r>
      <w:r w:rsidR="00B15FA2" w:rsidRPr="002B7CB6">
        <w:rPr>
          <w:rFonts w:ascii="Arial" w:hAnsi="Arial" w:cs="Arial"/>
          <w:szCs w:val="24"/>
        </w:rPr>
        <w:t>for all cancers</w:t>
      </w:r>
      <w:r w:rsidR="00720FA9" w:rsidRPr="002B7CB6">
        <w:rPr>
          <w:rFonts w:ascii="Arial" w:hAnsi="Arial" w:cs="Arial"/>
          <w:szCs w:val="24"/>
        </w:rPr>
        <w:t xml:space="preserve">, colorectal cancer, female breast cancer, prostate cancer and trachea, bronchus and lung cancer by </w:t>
      </w:r>
      <w:r w:rsidR="00567F4B" w:rsidRPr="002B7CB6">
        <w:rPr>
          <w:rFonts w:ascii="Arial" w:hAnsi="Arial" w:cs="Arial"/>
          <w:szCs w:val="24"/>
        </w:rPr>
        <w:t>local</w:t>
      </w:r>
      <w:r w:rsidR="00720FA9" w:rsidRPr="002B7CB6">
        <w:rPr>
          <w:rFonts w:ascii="Arial" w:hAnsi="Arial" w:cs="Arial"/>
          <w:szCs w:val="24"/>
        </w:rPr>
        <w:t xml:space="preserve"> authority, health board and Wales, </w:t>
      </w:r>
      <w:r w:rsidR="00CC1B2F" w:rsidRPr="002B7CB6">
        <w:rPr>
          <w:rFonts w:ascii="Arial" w:hAnsi="Arial" w:cs="Arial"/>
          <w:szCs w:val="24"/>
        </w:rPr>
        <w:t xml:space="preserve">2015 to 2017 </w:t>
      </w:r>
      <w:bookmarkEnd w:id="11"/>
    </w:p>
    <w:tbl>
      <w:tblPr>
        <w:tblW w:w="9136"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894"/>
        <w:gridCol w:w="1205"/>
        <w:gridCol w:w="1206"/>
        <w:gridCol w:w="1206"/>
        <w:gridCol w:w="1205"/>
        <w:gridCol w:w="1206"/>
        <w:gridCol w:w="1214"/>
      </w:tblGrid>
      <w:tr w:rsidR="00134690" w:rsidRPr="00134690" w14:paraId="1B81CFFF" w14:textId="77777777" w:rsidTr="00237D3A">
        <w:trPr>
          <w:trHeight w:val="292"/>
        </w:trPr>
        <w:tc>
          <w:tcPr>
            <w:tcW w:w="1894" w:type="dxa"/>
            <w:shd w:val="clear" w:color="000000" w:fill="8497B0"/>
            <w:noWrap/>
            <w:vAlign w:val="bottom"/>
            <w:hideMark/>
          </w:tcPr>
          <w:p w14:paraId="3AFA80B3" w14:textId="77777777" w:rsidR="00134690" w:rsidRPr="00134690" w:rsidRDefault="00134690" w:rsidP="00DC54F7">
            <w:pPr>
              <w:spacing w:after="0" w:line="240" w:lineRule="auto"/>
              <w:jc w:val="both"/>
              <w:rPr>
                <w:rFonts w:ascii="Calibri" w:eastAsia="Times New Roman" w:hAnsi="Calibri" w:cs="Calibri"/>
                <w:color w:val="000000"/>
                <w:lang w:eastAsia="en-GB"/>
              </w:rPr>
            </w:pPr>
            <w:r w:rsidRPr="00134690">
              <w:rPr>
                <w:rFonts w:ascii="Calibri" w:eastAsia="Times New Roman" w:hAnsi="Calibri" w:cs="Calibri"/>
                <w:color w:val="000000"/>
                <w:lang w:eastAsia="en-GB"/>
              </w:rPr>
              <w:t> </w:t>
            </w:r>
          </w:p>
        </w:tc>
        <w:tc>
          <w:tcPr>
            <w:tcW w:w="7242" w:type="dxa"/>
            <w:gridSpan w:val="6"/>
            <w:shd w:val="clear" w:color="000000" w:fill="8497B0"/>
            <w:noWrap/>
            <w:vAlign w:val="bottom"/>
            <w:hideMark/>
          </w:tcPr>
          <w:p w14:paraId="37282E37" w14:textId="3DB8CBC5" w:rsidR="00134690" w:rsidRPr="00134690" w:rsidRDefault="00134690" w:rsidP="00DC54F7">
            <w:pPr>
              <w:spacing w:after="0" w:line="240" w:lineRule="auto"/>
              <w:jc w:val="both"/>
              <w:rPr>
                <w:rFonts w:ascii="Calibri" w:eastAsia="Times New Roman" w:hAnsi="Calibri" w:cs="Calibri"/>
                <w:b/>
                <w:bCs/>
                <w:color w:val="FFFFFF"/>
                <w:lang w:eastAsia="en-GB"/>
              </w:rPr>
            </w:pPr>
            <w:r w:rsidRPr="00134690">
              <w:rPr>
                <w:rFonts w:ascii="Calibri" w:eastAsia="Times New Roman" w:hAnsi="Calibri" w:cs="Calibri"/>
                <w:b/>
                <w:bCs/>
                <w:color w:val="FFFFFF"/>
                <w:lang w:eastAsia="en-GB"/>
              </w:rPr>
              <w:t>Death Rates (</w:t>
            </w:r>
            <w:r w:rsidR="00283484">
              <w:rPr>
                <w:rFonts w:ascii="Calibri" w:eastAsia="Times New Roman" w:hAnsi="Calibri" w:cs="Calibri"/>
                <w:b/>
                <w:bCs/>
                <w:color w:val="FFFFFF"/>
                <w:lang w:eastAsia="en-GB"/>
              </w:rPr>
              <w:t>Age-standardised</w:t>
            </w:r>
            <w:r w:rsidRPr="00134690">
              <w:rPr>
                <w:rFonts w:ascii="Calibri" w:eastAsia="Times New Roman" w:hAnsi="Calibri" w:cs="Calibri"/>
                <w:b/>
                <w:bCs/>
                <w:color w:val="FFFFFF"/>
                <w:lang w:eastAsia="en-GB"/>
              </w:rPr>
              <w:t xml:space="preserve">) per 100,000 population </w:t>
            </w:r>
          </w:p>
        </w:tc>
      </w:tr>
      <w:tr w:rsidR="00134690" w:rsidRPr="00134690" w14:paraId="057F4528" w14:textId="77777777" w:rsidTr="00237D3A">
        <w:trPr>
          <w:trHeight w:val="636"/>
        </w:trPr>
        <w:tc>
          <w:tcPr>
            <w:tcW w:w="1894" w:type="dxa"/>
            <w:shd w:val="clear" w:color="000000" w:fill="8497B0"/>
            <w:noWrap/>
            <w:vAlign w:val="bottom"/>
            <w:hideMark/>
          </w:tcPr>
          <w:p w14:paraId="5E151F35" w14:textId="77777777" w:rsidR="00134690" w:rsidRPr="00134690" w:rsidRDefault="00134690" w:rsidP="00DC54F7">
            <w:pPr>
              <w:spacing w:after="0" w:line="240" w:lineRule="auto"/>
              <w:jc w:val="both"/>
              <w:rPr>
                <w:rFonts w:ascii="Verdana" w:eastAsia="Times New Roman" w:hAnsi="Verdana" w:cs="Calibri"/>
                <w:b/>
                <w:bCs/>
                <w:color w:val="FFFFFF"/>
                <w:sz w:val="16"/>
                <w:szCs w:val="16"/>
                <w:lang w:eastAsia="en-GB"/>
              </w:rPr>
            </w:pPr>
            <w:r w:rsidRPr="00134690">
              <w:rPr>
                <w:rFonts w:ascii="Verdana" w:eastAsia="Times New Roman" w:hAnsi="Verdana" w:cs="Calibri"/>
                <w:b/>
                <w:bCs/>
                <w:color w:val="FFFFFF"/>
                <w:sz w:val="16"/>
                <w:szCs w:val="16"/>
                <w:lang w:eastAsia="en-GB"/>
              </w:rPr>
              <w:t>Area</w:t>
            </w:r>
          </w:p>
        </w:tc>
        <w:tc>
          <w:tcPr>
            <w:tcW w:w="1205" w:type="dxa"/>
            <w:shd w:val="clear" w:color="000000" w:fill="8497B0"/>
            <w:vAlign w:val="bottom"/>
            <w:hideMark/>
          </w:tcPr>
          <w:p w14:paraId="6B5B2F95" w14:textId="02BCD5E3" w:rsidR="00134690" w:rsidRPr="00134690" w:rsidRDefault="00134690" w:rsidP="00DC54F7">
            <w:pPr>
              <w:spacing w:after="0" w:line="240" w:lineRule="auto"/>
              <w:jc w:val="both"/>
              <w:rPr>
                <w:rFonts w:ascii="Verdana" w:eastAsia="Times New Roman" w:hAnsi="Verdana" w:cs="Calibri"/>
                <w:b/>
                <w:bCs/>
                <w:color w:val="FFFFFF"/>
                <w:sz w:val="16"/>
                <w:szCs w:val="16"/>
                <w:lang w:eastAsia="en-GB"/>
              </w:rPr>
            </w:pPr>
            <w:r w:rsidRPr="00134690">
              <w:rPr>
                <w:rFonts w:ascii="Verdana" w:eastAsia="Times New Roman" w:hAnsi="Verdana" w:cs="Calibri"/>
                <w:b/>
                <w:bCs/>
                <w:color w:val="FFFFFF"/>
                <w:sz w:val="16"/>
                <w:szCs w:val="16"/>
                <w:lang w:eastAsia="en-GB"/>
              </w:rPr>
              <w:t xml:space="preserve">All cancers </w:t>
            </w:r>
          </w:p>
        </w:tc>
        <w:tc>
          <w:tcPr>
            <w:tcW w:w="1206" w:type="dxa"/>
            <w:shd w:val="clear" w:color="000000" w:fill="8497B0"/>
            <w:vAlign w:val="bottom"/>
            <w:hideMark/>
          </w:tcPr>
          <w:p w14:paraId="243D6695" w14:textId="77777777" w:rsidR="00134690" w:rsidRPr="00134690" w:rsidRDefault="00134690" w:rsidP="00DC54F7">
            <w:pPr>
              <w:spacing w:after="0" w:line="240" w:lineRule="auto"/>
              <w:jc w:val="both"/>
              <w:rPr>
                <w:rFonts w:ascii="Verdana" w:eastAsia="Times New Roman" w:hAnsi="Verdana" w:cs="Calibri"/>
                <w:b/>
                <w:bCs/>
                <w:color w:val="FFFFFF"/>
                <w:sz w:val="16"/>
                <w:szCs w:val="16"/>
                <w:lang w:eastAsia="en-GB"/>
              </w:rPr>
            </w:pPr>
            <w:r w:rsidRPr="00134690">
              <w:rPr>
                <w:rFonts w:ascii="Verdana" w:eastAsia="Times New Roman" w:hAnsi="Verdana" w:cs="Calibri"/>
                <w:b/>
                <w:bCs/>
                <w:color w:val="FFFFFF"/>
                <w:sz w:val="16"/>
                <w:szCs w:val="16"/>
                <w:lang w:eastAsia="en-GB"/>
              </w:rPr>
              <w:t xml:space="preserve">All cancers - under 75 years </w:t>
            </w:r>
          </w:p>
        </w:tc>
        <w:tc>
          <w:tcPr>
            <w:tcW w:w="1206" w:type="dxa"/>
            <w:shd w:val="clear" w:color="000000" w:fill="8497B0"/>
            <w:vAlign w:val="bottom"/>
            <w:hideMark/>
          </w:tcPr>
          <w:p w14:paraId="62953AEB" w14:textId="77777777" w:rsidR="00134690" w:rsidRPr="00134690" w:rsidRDefault="00134690" w:rsidP="00DC54F7">
            <w:pPr>
              <w:spacing w:after="0" w:line="240" w:lineRule="auto"/>
              <w:jc w:val="both"/>
              <w:rPr>
                <w:rFonts w:ascii="Verdana" w:eastAsia="Times New Roman" w:hAnsi="Verdana" w:cs="Calibri"/>
                <w:b/>
                <w:bCs/>
                <w:color w:val="FFFFFF"/>
                <w:sz w:val="16"/>
                <w:szCs w:val="16"/>
                <w:lang w:eastAsia="en-GB"/>
              </w:rPr>
            </w:pPr>
            <w:r w:rsidRPr="00134690">
              <w:rPr>
                <w:rFonts w:ascii="Verdana" w:eastAsia="Times New Roman" w:hAnsi="Verdana" w:cs="Calibri"/>
                <w:b/>
                <w:bCs/>
                <w:color w:val="FFFFFF"/>
                <w:sz w:val="16"/>
                <w:szCs w:val="16"/>
                <w:lang w:eastAsia="en-GB"/>
              </w:rPr>
              <w:t>Colorectal cancer</w:t>
            </w:r>
          </w:p>
        </w:tc>
        <w:tc>
          <w:tcPr>
            <w:tcW w:w="1205" w:type="dxa"/>
            <w:shd w:val="clear" w:color="000000" w:fill="8497B0"/>
            <w:vAlign w:val="bottom"/>
            <w:hideMark/>
          </w:tcPr>
          <w:p w14:paraId="12022C94" w14:textId="77777777" w:rsidR="00134690" w:rsidRPr="00134690" w:rsidRDefault="00134690" w:rsidP="00DC54F7">
            <w:pPr>
              <w:spacing w:after="0" w:line="240" w:lineRule="auto"/>
              <w:jc w:val="both"/>
              <w:rPr>
                <w:rFonts w:ascii="Verdana" w:eastAsia="Times New Roman" w:hAnsi="Verdana" w:cs="Calibri"/>
                <w:b/>
                <w:bCs/>
                <w:color w:val="FFFFFF"/>
                <w:sz w:val="16"/>
                <w:szCs w:val="16"/>
                <w:lang w:eastAsia="en-GB"/>
              </w:rPr>
            </w:pPr>
            <w:r w:rsidRPr="00134690">
              <w:rPr>
                <w:rFonts w:ascii="Verdana" w:eastAsia="Times New Roman" w:hAnsi="Verdana" w:cs="Calibri"/>
                <w:b/>
                <w:bCs/>
                <w:color w:val="FFFFFF"/>
                <w:sz w:val="16"/>
                <w:szCs w:val="16"/>
                <w:lang w:eastAsia="en-GB"/>
              </w:rPr>
              <w:t xml:space="preserve">Female breast cancer </w:t>
            </w:r>
          </w:p>
        </w:tc>
        <w:tc>
          <w:tcPr>
            <w:tcW w:w="1206" w:type="dxa"/>
            <w:shd w:val="clear" w:color="000000" w:fill="8497B0"/>
            <w:vAlign w:val="bottom"/>
            <w:hideMark/>
          </w:tcPr>
          <w:p w14:paraId="7874F01F" w14:textId="2C144583" w:rsidR="00134690" w:rsidRPr="00134690" w:rsidRDefault="00134690" w:rsidP="00DC54F7">
            <w:pPr>
              <w:spacing w:after="0" w:line="240" w:lineRule="auto"/>
              <w:jc w:val="both"/>
              <w:rPr>
                <w:rFonts w:ascii="Verdana" w:eastAsia="Times New Roman" w:hAnsi="Verdana" w:cs="Calibri"/>
                <w:b/>
                <w:bCs/>
                <w:color w:val="FFFFFF"/>
                <w:sz w:val="16"/>
                <w:szCs w:val="16"/>
                <w:lang w:eastAsia="en-GB"/>
              </w:rPr>
            </w:pPr>
            <w:r w:rsidRPr="00134690">
              <w:rPr>
                <w:rFonts w:ascii="Verdana" w:eastAsia="Times New Roman" w:hAnsi="Verdana" w:cs="Calibri"/>
                <w:b/>
                <w:bCs/>
                <w:color w:val="FFFFFF"/>
                <w:sz w:val="16"/>
                <w:szCs w:val="16"/>
                <w:lang w:eastAsia="en-GB"/>
              </w:rPr>
              <w:t>Pros</w:t>
            </w:r>
            <w:r w:rsidR="00B627B6">
              <w:rPr>
                <w:rFonts w:ascii="Verdana" w:eastAsia="Times New Roman" w:hAnsi="Verdana" w:cs="Calibri"/>
                <w:b/>
                <w:bCs/>
                <w:color w:val="FFFFFF"/>
                <w:sz w:val="16"/>
                <w:szCs w:val="16"/>
                <w:lang w:eastAsia="en-GB"/>
              </w:rPr>
              <w:t>t</w:t>
            </w:r>
            <w:r w:rsidRPr="00134690">
              <w:rPr>
                <w:rFonts w:ascii="Verdana" w:eastAsia="Times New Roman" w:hAnsi="Verdana" w:cs="Calibri"/>
                <w:b/>
                <w:bCs/>
                <w:color w:val="FFFFFF"/>
                <w:sz w:val="16"/>
                <w:szCs w:val="16"/>
                <w:lang w:eastAsia="en-GB"/>
              </w:rPr>
              <w:t xml:space="preserve">ate cancer </w:t>
            </w:r>
          </w:p>
        </w:tc>
        <w:tc>
          <w:tcPr>
            <w:tcW w:w="1210" w:type="dxa"/>
            <w:shd w:val="clear" w:color="000000" w:fill="8497B0"/>
            <w:vAlign w:val="bottom"/>
            <w:hideMark/>
          </w:tcPr>
          <w:p w14:paraId="392CC49B" w14:textId="77777777" w:rsidR="00134690" w:rsidRPr="00134690" w:rsidRDefault="00134690" w:rsidP="00DC54F7">
            <w:pPr>
              <w:spacing w:after="0" w:line="240" w:lineRule="auto"/>
              <w:jc w:val="both"/>
              <w:rPr>
                <w:rFonts w:ascii="Verdana" w:eastAsia="Times New Roman" w:hAnsi="Verdana" w:cs="Calibri"/>
                <w:b/>
                <w:bCs/>
                <w:color w:val="FFFFFF"/>
                <w:sz w:val="16"/>
                <w:szCs w:val="16"/>
                <w:lang w:eastAsia="en-GB"/>
              </w:rPr>
            </w:pPr>
            <w:r w:rsidRPr="00134690">
              <w:rPr>
                <w:rFonts w:ascii="Verdana" w:eastAsia="Times New Roman" w:hAnsi="Verdana" w:cs="Calibri"/>
                <w:b/>
                <w:bCs/>
                <w:color w:val="FFFFFF"/>
                <w:sz w:val="16"/>
                <w:szCs w:val="16"/>
                <w:lang w:eastAsia="en-GB"/>
              </w:rPr>
              <w:t xml:space="preserve">Trachea, bronchus and lung cancer </w:t>
            </w:r>
          </w:p>
        </w:tc>
      </w:tr>
      <w:tr w:rsidR="00134690" w:rsidRPr="00134690" w14:paraId="77B066AF" w14:textId="77777777" w:rsidTr="00237D3A">
        <w:trPr>
          <w:trHeight w:val="292"/>
        </w:trPr>
        <w:tc>
          <w:tcPr>
            <w:tcW w:w="1894" w:type="dxa"/>
            <w:shd w:val="clear" w:color="EDEDED" w:fill="EDEDED"/>
            <w:noWrap/>
            <w:vAlign w:val="bottom"/>
            <w:hideMark/>
          </w:tcPr>
          <w:p w14:paraId="7E8CB0A5"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Cardiff</w:t>
            </w:r>
          </w:p>
        </w:tc>
        <w:tc>
          <w:tcPr>
            <w:tcW w:w="1205" w:type="dxa"/>
            <w:shd w:val="clear" w:color="EDEDED" w:fill="EDEDED"/>
            <w:noWrap/>
            <w:vAlign w:val="bottom"/>
            <w:hideMark/>
          </w:tcPr>
          <w:p w14:paraId="7661B515" w14:textId="6E0A576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279</w:t>
            </w:r>
            <w:r w:rsidR="00BF39E3">
              <w:rPr>
                <w:rFonts w:ascii="Verdana" w:eastAsia="Times New Roman" w:hAnsi="Verdana" w:cs="Calibri"/>
                <w:sz w:val="16"/>
                <w:szCs w:val="16"/>
                <w:lang w:eastAsia="en-GB"/>
              </w:rPr>
              <w:t>.0</w:t>
            </w:r>
          </w:p>
        </w:tc>
        <w:tc>
          <w:tcPr>
            <w:tcW w:w="1206" w:type="dxa"/>
            <w:shd w:val="clear" w:color="EDEDED" w:fill="EDEDED"/>
            <w:noWrap/>
            <w:vAlign w:val="bottom"/>
            <w:hideMark/>
          </w:tcPr>
          <w:p w14:paraId="1D6CCC4F"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146.8</w:t>
            </w:r>
          </w:p>
        </w:tc>
        <w:tc>
          <w:tcPr>
            <w:tcW w:w="1206" w:type="dxa"/>
            <w:shd w:val="clear" w:color="EDEDED" w:fill="EDEDED"/>
            <w:noWrap/>
            <w:vAlign w:val="bottom"/>
            <w:hideMark/>
          </w:tcPr>
          <w:p w14:paraId="71E6B8E8"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29.4</w:t>
            </w:r>
          </w:p>
        </w:tc>
        <w:tc>
          <w:tcPr>
            <w:tcW w:w="1205" w:type="dxa"/>
            <w:shd w:val="clear" w:color="EDEDED" w:fill="EDEDED"/>
            <w:noWrap/>
            <w:vAlign w:val="bottom"/>
            <w:hideMark/>
          </w:tcPr>
          <w:p w14:paraId="3B507DB0"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36.1</w:t>
            </w:r>
          </w:p>
        </w:tc>
        <w:tc>
          <w:tcPr>
            <w:tcW w:w="1206" w:type="dxa"/>
            <w:shd w:val="clear" w:color="EDEDED" w:fill="EDEDED"/>
            <w:noWrap/>
            <w:vAlign w:val="bottom"/>
            <w:hideMark/>
          </w:tcPr>
          <w:p w14:paraId="19F2A7E0"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42.1</w:t>
            </w:r>
          </w:p>
        </w:tc>
        <w:tc>
          <w:tcPr>
            <w:tcW w:w="1210" w:type="dxa"/>
            <w:shd w:val="clear" w:color="EDEDED" w:fill="EDEDED"/>
            <w:noWrap/>
            <w:vAlign w:val="bottom"/>
            <w:hideMark/>
          </w:tcPr>
          <w:p w14:paraId="0D1EF52D"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62.5</w:t>
            </w:r>
          </w:p>
        </w:tc>
      </w:tr>
      <w:tr w:rsidR="00134690" w:rsidRPr="00134690" w14:paraId="25C2E814" w14:textId="77777777" w:rsidTr="00237D3A">
        <w:trPr>
          <w:trHeight w:val="292"/>
        </w:trPr>
        <w:tc>
          <w:tcPr>
            <w:tcW w:w="1894" w:type="dxa"/>
            <w:shd w:val="clear" w:color="auto" w:fill="auto"/>
            <w:noWrap/>
            <w:vAlign w:val="bottom"/>
            <w:hideMark/>
          </w:tcPr>
          <w:p w14:paraId="45602F46" w14:textId="2E664FFD"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Vale of Glamorgan</w:t>
            </w:r>
          </w:p>
        </w:tc>
        <w:tc>
          <w:tcPr>
            <w:tcW w:w="1205" w:type="dxa"/>
            <w:shd w:val="clear" w:color="auto" w:fill="auto"/>
            <w:noWrap/>
            <w:vAlign w:val="bottom"/>
            <w:hideMark/>
          </w:tcPr>
          <w:p w14:paraId="16027942"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270.8</w:t>
            </w:r>
          </w:p>
        </w:tc>
        <w:tc>
          <w:tcPr>
            <w:tcW w:w="1206" w:type="dxa"/>
            <w:shd w:val="clear" w:color="auto" w:fill="auto"/>
            <w:noWrap/>
            <w:vAlign w:val="bottom"/>
            <w:hideMark/>
          </w:tcPr>
          <w:p w14:paraId="77F290DF"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132.8</w:t>
            </w:r>
          </w:p>
        </w:tc>
        <w:tc>
          <w:tcPr>
            <w:tcW w:w="1206" w:type="dxa"/>
            <w:shd w:val="clear" w:color="auto" w:fill="auto"/>
            <w:noWrap/>
            <w:vAlign w:val="bottom"/>
            <w:hideMark/>
          </w:tcPr>
          <w:p w14:paraId="2FACA82F"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31.1</w:t>
            </w:r>
          </w:p>
        </w:tc>
        <w:tc>
          <w:tcPr>
            <w:tcW w:w="1205" w:type="dxa"/>
            <w:shd w:val="clear" w:color="auto" w:fill="auto"/>
            <w:noWrap/>
            <w:vAlign w:val="bottom"/>
            <w:hideMark/>
          </w:tcPr>
          <w:p w14:paraId="0DBCDF94"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29.3</w:t>
            </w:r>
          </w:p>
        </w:tc>
        <w:tc>
          <w:tcPr>
            <w:tcW w:w="1206" w:type="dxa"/>
            <w:shd w:val="clear" w:color="auto" w:fill="auto"/>
            <w:noWrap/>
            <w:vAlign w:val="bottom"/>
            <w:hideMark/>
          </w:tcPr>
          <w:p w14:paraId="21D9F5B4"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43.2</w:t>
            </w:r>
          </w:p>
        </w:tc>
        <w:tc>
          <w:tcPr>
            <w:tcW w:w="1210" w:type="dxa"/>
            <w:shd w:val="clear" w:color="auto" w:fill="auto"/>
            <w:noWrap/>
            <w:vAlign w:val="bottom"/>
            <w:hideMark/>
          </w:tcPr>
          <w:p w14:paraId="41B3B210" w14:textId="667D6F6A"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48</w:t>
            </w:r>
            <w:r w:rsidR="00355A2D">
              <w:rPr>
                <w:rFonts w:ascii="Verdana" w:eastAsia="Times New Roman" w:hAnsi="Verdana" w:cs="Calibri"/>
                <w:sz w:val="16"/>
                <w:szCs w:val="16"/>
                <w:lang w:eastAsia="en-GB"/>
              </w:rPr>
              <w:t>.0</w:t>
            </w:r>
          </w:p>
        </w:tc>
      </w:tr>
      <w:tr w:rsidR="00134690" w:rsidRPr="00134690" w14:paraId="2121EC45" w14:textId="77777777" w:rsidTr="00237D3A">
        <w:trPr>
          <w:trHeight w:val="292"/>
        </w:trPr>
        <w:tc>
          <w:tcPr>
            <w:tcW w:w="1894" w:type="dxa"/>
            <w:shd w:val="clear" w:color="EDEDED" w:fill="EDEDED"/>
            <w:noWrap/>
            <w:vAlign w:val="bottom"/>
            <w:hideMark/>
          </w:tcPr>
          <w:p w14:paraId="414E200E"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Cardiff and Vale UHB</w:t>
            </w:r>
          </w:p>
        </w:tc>
        <w:tc>
          <w:tcPr>
            <w:tcW w:w="1205" w:type="dxa"/>
            <w:shd w:val="clear" w:color="EDEDED" w:fill="EDEDED"/>
            <w:noWrap/>
            <w:vAlign w:val="bottom"/>
            <w:hideMark/>
          </w:tcPr>
          <w:p w14:paraId="6D309C4A"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275.7</w:t>
            </w:r>
          </w:p>
        </w:tc>
        <w:tc>
          <w:tcPr>
            <w:tcW w:w="1206" w:type="dxa"/>
            <w:shd w:val="clear" w:color="EDEDED" w:fill="EDEDED"/>
            <w:noWrap/>
            <w:vAlign w:val="bottom"/>
            <w:hideMark/>
          </w:tcPr>
          <w:p w14:paraId="7CE8AF9A"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141.8</w:t>
            </w:r>
          </w:p>
        </w:tc>
        <w:tc>
          <w:tcPr>
            <w:tcW w:w="1206" w:type="dxa"/>
            <w:shd w:val="clear" w:color="EDEDED" w:fill="EDEDED"/>
            <w:noWrap/>
            <w:vAlign w:val="bottom"/>
            <w:hideMark/>
          </w:tcPr>
          <w:p w14:paraId="05A5965E"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29.8</w:t>
            </w:r>
          </w:p>
        </w:tc>
        <w:tc>
          <w:tcPr>
            <w:tcW w:w="1205" w:type="dxa"/>
            <w:shd w:val="clear" w:color="EDEDED" w:fill="EDEDED"/>
            <w:noWrap/>
            <w:vAlign w:val="bottom"/>
            <w:hideMark/>
          </w:tcPr>
          <w:p w14:paraId="3C864B85"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33.8</w:t>
            </w:r>
          </w:p>
        </w:tc>
        <w:tc>
          <w:tcPr>
            <w:tcW w:w="1206" w:type="dxa"/>
            <w:shd w:val="clear" w:color="EDEDED" w:fill="EDEDED"/>
            <w:noWrap/>
            <w:vAlign w:val="bottom"/>
            <w:hideMark/>
          </w:tcPr>
          <w:p w14:paraId="070C1013"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42.4</w:t>
            </w:r>
          </w:p>
        </w:tc>
        <w:tc>
          <w:tcPr>
            <w:tcW w:w="1210" w:type="dxa"/>
            <w:shd w:val="clear" w:color="EDEDED" w:fill="EDEDED"/>
            <w:noWrap/>
            <w:vAlign w:val="bottom"/>
            <w:hideMark/>
          </w:tcPr>
          <w:p w14:paraId="74D16BCF"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57.4</w:t>
            </w:r>
          </w:p>
        </w:tc>
      </w:tr>
      <w:tr w:rsidR="00134690" w:rsidRPr="00134690" w14:paraId="2A41FBDE" w14:textId="77777777" w:rsidTr="00237D3A">
        <w:trPr>
          <w:trHeight w:val="292"/>
        </w:trPr>
        <w:tc>
          <w:tcPr>
            <w:tcW w:w="1894" w:type="dxa"/>
            <w:shd w:val="clear" w:color="auto" w:fill="auto"/>
            <w:noWrap/>
            <w:vAlign w:val="bottom"/>
            <w:hideMark/>
          </w:tcPr>
          <w:p w14:paraId="2D71E783"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Wales</w:t>
            </w:r>
          </w:p>
        </w:tc>
        <w:tc>
          <w:tcPr>
            <w:tcW w:w="1205" w:type="dxa"/>
            <w:shd w:val="clear" w:color="auto" w:fill="auto"/>
            <w:noWrap/>
            <w:vAlign w:val="bottom"/>
            <w:hideMark/>
          </w:tcPr>
          <w:p w14:paraId="05CB5B45"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278.6</w:t>
            </w:r>
          </w:p>
        </w:tc>
        <w:tc>
          <w:tcPr>
            <w:tcW w:w="1206" w:type="dxa"/>
            <w:shd w:val="clear" w:color="auto" w:fill="auto"/>
            <w:noWrap/>
            <w:vAlign w:val="bottom"/>
            <w:hideMark/>
          </w:tcPr>
          <w:p w14:paraId="65790EE6"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144.4</w:t>
            </w:r>
          </w:p>
        </w:tc>
        <w:tc>
          <w:tcPr>
            <w:tcW w:w="1206" w:type="dxa"/>
            <w:shd w:val="clear" w:color="auto" w:fill="auto"/>
            <w:noWrap/>
            <w:vAlign w:val="bottom"/>
            <w:hideMark/>
          </w:tcPr>
          <w:p w14:paraId="703D8D88"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28.9</w:t>
            </w:r>
          </w:p>
        </w:tc>
        <w:tc>
          <w:tcPr>
            <w:tcW w:w="1205" w:type="dxa"/>
            <w:shd w:val="clear" w:color="auto" w:fill="auto"/>
            <w:noWrap/>
            <w:vAlign w:val="bottom"/>
            <w:hideMark/>
          </w:tcPr>
          <w:p w14:paraId="046B7D8A"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33.9</w:t>
            </w:r>
          </w:p>
        </w:tc>
        <w:tc>
          <w:tcPr>
            <w:tcW w:w="1206" w:type="dxa"/>
            <w:shd w:val="clear" w:color="auto" w:fill="auto"/>
            <w:noWrap/>
            <w:vAlign w:val="bottom"/>
            <w:hideMark/>
          </w:tcPr>
          <w:p w14:paraId="2ABBD699"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45.5</w:t>
            </w:r>
          </w:p>
        </w:tc>
        <w:tc>
          <w:tcPr>
            <w:tcW w:w="1210" w:type="dxa"/>
            <w:shd w:val="clear" w:color="auto" w:fill="auto"/>
            <w:noWrap/>
            <w:vAlign w:val="bottom"/>
            <w:hideMark/>
          </w:tcPr>
          <w:p w14:paraId="03247FA8" w14:textId="77777777" w:rsidR="00134690" w:rsidRPr="00134690" w:rsidRDefault="00134690" w:rsidP="00DC54F7">
            <w:pPr>
              <w:spacing w:after="0" w:line="240" w:lineRule="auto"/>
              <w:jc w:val="both"/>
              <w:rPr>
                <w:rFonts w:ascii="Verdana" w:eastAsia="Times New Roman" w:hAnsi="Verdana" w:cs="Calibri"/>
                <w:sz w:val="16"/>
                <w:szCs w:val="16"/>
                <w:lang w:eastAsia="en-GB"/>
              </w:rPr>
            </w:pPr>
            <w:r w:rsidRPr="00134690">
              <w:rPr>
                <w:rFonts w:ascii="Verdana" w:eastAsia="Times New Roman" w:hAnsi="Verdana" w:cs="Calibri"/>
                <w:sz w:val="16"/>
                <w:szCs w:val="16"/>
                <w:lang w:eastAsia="en-GB"/>
              </w:rPr>
              <w:t>59.7</w:t>
            </w:r>
          </w:p>
        </w:tc>
      </w:tr>
    </w:tbl>
    <w:p w14:paraId="233579CE" w14:textId="26B72F8D" w:rsidR="00FF05C5" w:rsidRPr="002B7CB6" w:rsidRDefault="00E637B0" w:rsidP="00DC54F7">
      <w:pPr>
        <w:spacing w:after="0" w:line="240" w:lineRule="auto"/>
        <w:jc w:val="both"/>
        <w:rPr>
          <w:rFonts w:ascii="Arial" w:hAnsi="Arial" w:cs="Arial"/>
          <w:sz w:val="20"/>
          <w:szCs w:val="20"/>
          <w:lang w:val="en-US"/>
        </w:rPr>
      </w:pPr>
      <w:r w:rsidRPr="002B7CB6">
        <w:rPr>
          <w:rFonts w:ascii="Arial" w:hAnsi="Arial" w:cs="Arial"/>
          <w:sz w:val="20"/>
          <w:szCs w:val="20"/>
          <w:lang w:val="en-US"/>
        </w:rPr>
        <w:t xml:space="preserve">Source: </w:t>
      </w:r>
      <w:r w:rsidR="00D70F31" w:rsidRPr="002B7CB6">
        <w:rPr>
          <w:rFonts w:ascii="Arial" w:hAnsi="Arial" w:cs="Arial"/>
          <w:sz w:val="20"/>
          <w:szCs w:val="20"/>
          <w:lang w:val="en-US"/>
        </w:rPr>
        <w:t>Health Maps Wales</w:t>
      </w:r>
    </w:p>
    <w:p w14:paraId="5D2B1D35" w14:textId="77777777" w:rsidR="00FF05C5" w:rsidRDefault="00FF05C5" w:rsidP="00DC54F7">
      <w:pPr>
        <w:spacing w:after="0" w:line="240" w:lineRule="auto"/>
        <w:jc w:val="both"/>
        <w:rPr>
          <w:rFonts w:ascii="Arial" w:hAnsi="Arial" w:cs="Arial"/>
          <w:lang w:val="en-US"/>
        </w:rPr>
      </w:pPr>
    </w:p>
    <w:p w14:paraId="5D7F11D3" w14:textId="6EDBB67F" w:rsidR="00C74105" w:rsidRDefault="00C74105" w:rsidP="00DC54F7">
      <w:pPr>
        <w:spacing w:after="0" w:line="240" w:lineRule="auto"/>
        <w:jc w:val="both"/>
        <w:rPr>
          <w:rFonts w:ascii="Arial" w:hAnsi="Arial" w:cs="Arial"/>
          <w:lang w:val="en-US"/>
        </w:rPr>
      </w:pPr>
    </w:p>
    <w:p w14:paraId="391CECC0" w14:textId="5F6F8C65" w:rsidR="004654D5" w:rsidRPr="00A10850" w:rsidRDefault="004654D5" w:rsidP="00DC54F7">
      <w:pPr>
        <w:spacing w:after="0" w:line="240" w:lineRule="auto"/>
        <w:jc w:val="both"/>
        <w:rPr>
          <w:rFonts w:ascii="Arial" w:hAnsi="Arial" w:cs="Arial"/>
          <w:b/>
          <w:sz w:val="26"/>
          <w:szCs w:val="26"/>
        </w:rPr>
      </w:pPr>
      <w:r w:rsidRPr="00A10850">
        <w:rPr>
          <w:rFonts w:ascii="Arial" w:hAnsi="Arial" w:cs="Arial"/>
          <w:b/>
          <w:sz w:val="26"/>
          <w:szCs w:val="26"/>
        </w:rPr>
        <w:t>3.</w:t>
      </w:r>
      <w:r w:rsidR="00D60F79">
        <w:rPr>
          <w:rFonts w:ascii="Arial" w:hAnsi="Arial" w:cs="Arial"/>
          <w:b/>
          <w:sz w:val="26"/>
          <w:szCs w:val="26"/>
        </w:rPr>
        <w:t>1.2</w:t>
      </w:r>
      <w:r w:rsidRPr="00A10850">
        <w:rPr>
          <w:rFonts w:ascii="Arial" w:hAnsi="Arial" w:cs="Arial"/>
          <w:b/>
          <w:sz w:val="26"/>
          <w:szCs w:val="26"/>
        </w:rPr>
        <w:t xml:space="preserve"> Mental health</w:t>
      </w:r>
    </w:p>
    <w:p w14:paraId="25B35D77" w14:textId="77777777" w:rsidR="004654D5" w:rsidRPr="00A10850" w:rsidRDefault="004654D5" w:rsidP="00DC54F7">
      <w:pPr>
        <w:spacing w:after="0" w:line="240" w:lineRule="auto"/>
        <w:contextualSpacing/>
        <w:jc w:val="both"/>
        <w:rPr>
          <w:rFonts w:ascii="Arial" w:hAnsi="Arial" w:cs="Arial"/>
          <w:lang w:val="en-US"/>
        </w:rPr>
      </w:pPr>
    </w:p>
    <w:p w14:paraId="6D155E4B" w14:textId="045723E9" w:rsidR="004654D5" w:rsidRPr="002B7CB6" w:rsidRDefault="009D7D3E" w:rsidP="00DC54F7">
      <w:pPr>
        <w:spacing w:after="0" w:line="240" w:lineRule="auto"/>
        <w:contextualSpacing/>
        <w:jc w:val="both"/>
        <w:rPr>
          <w:rFonts w:ascii="Arial" w:hAnsi="Arial" w:cs="Arial"/>
          <w:sz w:val="24"/>
          <w:szCs w:val="24"/>
        </w:rPr>
      </w:pPr>
      <w:r w:rsidRPr="002B7CB6">
        <w:rPr>
          <w:rFonts w:ascii="Arial" w:hAnsi="Arial" w:cs="Arial"/>
          <w:sz w:val="24"/>
          <w:szCs w:val="24"/>
        </w:rPr>
        <w:t>In 2012</w:t>
      </w:r>
      <w:r w:rsidR="00686B55" w:rsidRPr="002B7CB6">
        <w:rPr>
          <w:rFonts w:ascii="Arial" w:hAnsi="Arial" w:cs="Arial"/>
          <w:sz w:val="24"/>
          <w:szCs w:val="24"/>
        </w:rPr>
        <w:t>,</w:t>
      </w:r>
      <w:r w:rsidRPr="002B7CB6">
        <w:rPr>
          <w:rFonts w:ascii="Arial" w:hAnsi="Arial" w:cs="Arial"/>
          <w:sz w:val="24"/>
          <w:szCs w:val="24"/>
        </w:rPr>
        <w:t xml:space="preserve"> the Welsh Government published a </w:t>
      </w:r>
      <w:r w:rsidR="00732DCA" w:rsidRPr="002B7CB6">
        <w:rPr>
          <w:rFonts w:ascii="Arial" w:hAnsi="Arial" w:cs="Arial"/>
          <w:sz w:val="24"/>
          <w:szCs w:val="24"/>
        </w:rPr>
        <w:t xml:space="preserve">ten year </w:t>
      </w:r>
      <w:r w:rsidRPr="002B7CB6">
        <w:rPr>
          <w:rFonts w:ascii="Arial" w:hAnsi="Arial" w:cs="Arial"/>
          <w:sz w:val="24"/>
          <w:szCs w:val="24"/>
        </w:rPr>
        <w:t>strategy called</w:t>
      </w:r>
      <w:r w:rsidRPr="002B7CB6">
        <w:rPr>
          <w:rFonts w:ascii="Arial" w:hAnsi="Arial" w:cs="Arial"/>
          <w:b/>
          <w:bCs/>
          <w:sz w:val="24"/>
          <w:szCs w:val="24"/>
        </w:rPr>
        <w:t xml:space="preserve"> </w:t>
      </w:r>
      <w:bookmarkStart w:id="12" w:name="_Hlk64115684"/>
      <w:r w:rsidR="007C06F0" w:rsidRPr="002B7CB6">
        <w:rPr>
          <w:rStyle w:val="Strong"/>
          <w:rFonts w:ascii="Arial" w:hAnsi="Arial" w:cs="Arial"/>
          <w:b w:val="0"/>
          <w:bCs w:val="0"/>
          <w:sz w:val="24"/>
          <w:szCs w:val="24"/>
          <w:bdr w:val="none" w:sz="0" w:space="0" w:color="auto" w:frame="1"/>
        </w:rPr>
        <w:t>“Together for Mental Health – A Mental Health and Wellbeing Strategy for Wales”</w:t>
      </w:r>
      <w:r w:rsidR="007C06F0" w:rsidRPr="002B7CB6">
        <w:rPr>
          <w:rFonts w:ascii="Arial" w:hAnsi="Arial" w:cs="Arial"/>
          <w:sz w:val="24"/>
          <w:szCs w:val="24"/>
        </w:rPr>
        <w:t xml:space="preserve">. </w:t>
      </w:r>
      <w:bookmarkEnd w:id="12"/>
      <w:r w:rsidRPr="002B7CB6">
        <w:rPr>
          <w:rFonts w:ascii="Arial" w:hAnsi="Arial" w:cs="Arial"/>
          <w:sz w:val="24"/>
          <w:szCs w:val="24"/>
        </w:rPr>
        <w:t xml:space="preserve">Its </w:t>
      </w:r>
      <w:r w:rsidR="0080769C" w:rsidRPr="002B7CB6">
        <w:rPr>
          <w:rFonts w:ascii="Arial" w:hAnsi="Arial" w:cs="Arial"/>
          <w:sz w:val="24"/>
          <w:szCs w:val="24"/>
        </w:rPr>
        <w:t xml:space="preserve">overall aim was to </w:t>
      </w:r>
      <w:r w:rsidRPr="002B7CB6">
        <w:rPr>
          <w:rFonts w:ascii="Arial" w:hAnsi="Arial" w:cs="Arial"/>
          <w:sz w:val="24"/>
          <w:szCs w:val="24"/>
        </w:rPr>
        <w:t>improve the mental health of everyone across Wales</w:t>
      </w:r>
      <w:r w:rsidR="00E24C1C" w:rsidRPr="002B7CB6">
        <w:rPr>
          <w:rFonts w:ascii="Arial" w:hAnsi="Arial" w:cs="Arial"/>
          <w:sz w:val="24"/>
          <w:szCs w:val="24"/>
        </w:rPr>
        <w:t xml:space="preserve"> and ensure that </w:t>
      </w:r>
      <w:r w:rsidRPr="002B7CB6">
        <w:rPr>
          <w:rFonts w:ascii="Arial" w:hAnsi="Arial" w:cs="Arial"/>
          <w:sz w:val="24"/>
          <w:szCs w:val="24"/>
        </w:rPr>
        <w:t>people can get the right support at the right time and in the right place</w:t>
      </w:r>
      <w:r w:rsidR="001B661F" w:rsidRPr="002B7CB6">
        <w:rPr>
          <w:rFonts w:ascii="Arial" w:hAnsi="Arial" w:cs="Arial"/>
          <w:sz w:val="24"/>
          <w:szCs w:val="24"/>
        </w:rPr>
        <w:t>.</w:t>
      </w:r>
      <w:r w:rsidR="007D1CCB" w:rsidRPr="002B7CB6">
        <w:rPr>
          <w:rStyle w:val="FootnoteReference"/>
          <w:rFonts w:ascii="Arial" w:hAnsi="Arial" w:cs="Arial"/>
          <w:sz w:val="24"/>
          <w:szCs w:val="24"/>
        </w:rPr>
        <w:footnoteReference w:id="9"/>
      </w:r>
      <w:r w:rsidR="0056475C" w:rsidRPr="002B7CB6">
        <w:rPr>
          <w:rFonts w:ascii="Arial" w:hAnsi="Arial" w:cs="Arial"/>
          <w:sz w:val="24"/>
          <w:szCs w:val="24"/>
        </w:rPr>
        <w:t xml:space="preserve"> </w:t>
      </w:r>
    </w:p>
    <w:p w14:paraId="1E094E61" w14:textId="77777777" w:rsidR="00E15583" w:rsidRPr="002B7CB6" w:rsidRDefault="00E15583" w:rsidP="00DC54F7">
      <w:pPr>
        <w:spacing w:after="0" w:line="240" w:lineRule="auto"/>
        <w:contextualSpacing/>
        <w:jc w:val="both"/>
        <w:rPr>
          <w:rFonts w:ascii="Arial" w:hAnsi="Arial" w:cs="Arial"/>
          <w:sz w:val="24"/>
          <w:szCs w:val="24"/>
        </w:rPr>
      </w:pPr>
    </w:p>
    <w:p w14:paraId="3C898067" w14:textId="7BE2D999" w:rsidR="003364C9" w:rsidRDefault="00A81E0D" w:rsidP="00DC54F7">
      <w:pPr>
        <w:pStyle w:val="NoSpacing"/>
        <w:rPr>
          <w:rFonts w:ascii="Arial" w:hAnsi="Arial" w:cs="Arial"/>
          <w:sz w:val="22"/>
          <w:szCs w:val="22"/>
        </w:rPr>
      </w:pPr>
      <w:r w:rsidRPr="002B7CB6">
        <w:rPr>
          <w:rFonts w:ascii="Arial" w:hAnsi="Arial" w:cs="Arial"/>
          <w:szCs w:val="24"/>
        </w:rPr>
        <w:t>Based on QOF</w:t>
      </w:r>
      <w:r w:rsidR="008612DA" w:rsidRPr="002B7CB6">
        <w:rPr>
          <w:rFonts w:ascii="Arial" w:hAnsi="Arial" w:cs="Arial"/>
          <w:szCs w:val="24"/>
        </w:rPr>
        <w:t xml:space="preserve"> 2019</w:t>
      </w:r>
      <w:r w:rsidRPr="002B7CB6">
        <w:rPr>
          <w:rFonts w:ascii="Arial" w:hAnsi="Arial" w:cs="Arial"/>
          <w:szCs w:val="24"/>
        </w:rPr>
        <w:t xml:space="preserve"> reported prevalence rates, t</w:t>
      </w:r>
      <w:r w:rsidR="007E3E9F" w:rsidRPr="002B7CB6">
        <w:rPr>
          <w:rFonts w:ascii="Arial" w:hAnsi="Arial" w:cs="Arial"/>
          <w:szCs w:val="24"/>
        </w:rPr>
        <w:t xml:space="preserve">he percentages of patients registered as having a mental health condition in </w:t>
      </w:r>
      <w:r w:rsidR="00E502B4" w:rsidRPr="002B7CB6">
        <w:rPr>
          <w:rFonts w:ascii="Arial" w:hAnsi="Arial" w:cs="Arial"/>
          <w:szCs w:val="24"/>
        </w:rPr>
        <w:t>Cardiff and Vale University Health Board</w:t>
      </w:r>
      <w:r w:rsidR="00112340" w:rsidRPr="002B7CB6">
        <w:rPr>
          <w:rFonts w:ascii="Arial" w:hAnsi="Arial" w:cs="Arial"/>
          <w:szCs w:val="24"/>
        </w:rPr>
        <w:t xml:space="preserve"> </w:t>
      </w:r>
      <w:r w:rsidR="0002321C" w:rsidRPr="002B7CB6">
        <w:rPr>
          <w:rFonts w:ascii="Arial" w:hAnsi="Arial" w:cs="Arial"/>
          <w:szCs w:val="24"/>
        </w:rPr>
        <w:t>is below the average for Wales</w:t>
      </w:r>
      <w:r w:rsidR="0002321C">
        <w:rPr>
          <w:rFonts w:ascii="Arial" w:hAnsi="Arial" w:cs="Arial"/>
          <w:sz w:val="22"/>
          <w:szCs w:val="22"/>
        </w:rPr>
        <w:t xml:space="preserve">. </w:t>
      </w:r>
    </w:p>
    <w:p w14:paraId="48C2C52F" w14:textId="77777777" w:rsidR="00194C15" w:rsidRPr="000318CC" w:rsidRDefault="00194C15" w:rsidP="00DC54F7">
      <w:pPr>
        <w:pStyle w:val="NoSpacing"/>
        <w:rPr>
          <w:rFonts w:ascii="Arial" w:hAnsi="Arial" w:cs="Arial"/>
          <w:sz w:val="22"/>
          <w:szCs w:val="22"/>
        </w:rPr>
      </w:pPr>
    </w:p>
    <w:p w14:paraId="08557F09" w14:textId="147346BA" w:rsidR="003364C9" w:rsidRPr="002B7CB6" w:rsidRDefault="00F24F0C" w:rsidP="00DC54F7">
      <w:pPr>
        <w:pStyle w:val="Caption"/>
        <w:spacing w:before="0" w:after="0"/>
        <w:jc w:val="both"/>
        <w:rPr>
          <w:rFonts w:ascii="Arial" w:hAnsi="Arial" w:cs="Arial"/>
          <w:szCs w:val="24"/>
        </w:rPr>
      </w:pPr>
      <w:bookmarkStart w:id="13" w:name="_Toc60225161"/>
      <w:r w:rsidRPr="002B7CB6">
        <w:rPr>
          <w:rFonts w:ascii="Arial" w:hAnsi="Arial" w:cs="Arial"/>
          <w:szCs w:val="24"/>
        </w:rPr>
        <w:t>Table</w:t>
      </w:r>
      <w:r w:rsidR="00F22702" w:rsidRPr="002B7CB6">
        <w:rPr>
          <w:rFonts w:ascii="Arial" w:hAnsi="Arial" w:cs="Arial"/>
          <w:szCs w:val="24"/>
        </w:rPr>
        <w:t xml:space="preserve"> 3.3</w:t>
      </w:r>
      <w:r w:rsidRPr="002B7CB6">
        <w:rPr>
          <w:rFonts w:ascii="Arial" w:hAnsi="Arial" w:cs="Arial"/>
          <w:szCs w:val="24"/>
        </w:rPr>
        <w:t xml:space="preserve">: Percentage of patients registered as having a mental health condition by </w:t>
      </w:r>
      <w:r w:rsidR="00567F4B" w:rsidRPr="002B7CB6">
        <w:rPr>
          <w:rFonts w:ascii="Arial" w:hAnsi="Arial" w:cs="Arial"/>
          <w:szCs w:val="24"/>
        </w:rPr>
        <w:t>local</w:t>
      </w:r>
      <w:r w:rsidRPr="002B7CB6">
        <w:rPr>
          <w:rFonts w:ascii="Arial" w:hAnsi="Arial" w:cs="Arial"/>
          <w:szCs w:val="24"/>
        </w:rPr>
        <w:t xml:space="preserve"> auth</w:t>
      </w:r>
      <w:r w:rsidR="001F0F06" w:rsidRPr="002B7CB6">
        <w:rPr>
          <w:rFonts w:ascii="Arial" w:hAnsi="Arial" w:cs="Arial"/>
          <w:szCs w:val="24"/>
        </w:rPr>
        <w:t>ority</w:t>
      </w:r>
      <w:r w:rsidRPr="002B7CB6">
        <w:rPr>
          <w:rFonts w:ascii="Arial" w:hAnsi="Arial" w:cs="Arial"/>
          <w:szCs w:val="24"/>
        </w:rPr>
        <w:t>,</w:t>
      </w:r>
      <w:r w:rsidR="001F0F06" w:rsidRPr="002B7CB6">
        <w:rPr>
          <w:rFonts w:ascii="Arial" w:hAnsi="Arial" w:cs="Arial"/>
          <w:szCs w:val="24"/>
        </w:rPr>
        <w:t xml:space="preserve"> health board and </w:t>
      </w:r>
      <w:r w:rsidRPr="002B7CB6">
        <w:rPr>
          <w:rFonts w:ascii="Arial" w:hAnsi="Arial" w:cs="Arial"/>
          <w:szCs w:val="24"/>
        </w:rPr>
        <w:t>Wales, 2019</w:t>
      </w:r>
      <w:bookmarkEnd w:id="13"/>
    </w:p>
    <w:tbl>
      <w:tblPr>
        <w:tblW w:w="912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563"/>
        <w:gridCol w:w="4563"/>
      </w:tblGrid>
      <w:tr w:rsidR="003C2F17" w:rsidRPr="003C2F17" w14:paraId="0E458CFE" w14:textId="77777777" w:rsidTr="00237D3A">
        <w:trPr>
          <w:trHeight w:val="291"/>
        </w:trPr>
        <w:tc>
          <w:tcPr>
            <w:tcW w:w="4563" w:type="dxa"/>
            <w:shd w:val="clear" w:color="000000" w:fill="8497B0"/>
            <w:noWrap/>
            <w:vAlign w:val="bottom"/>
            <w:hideMark/>
          </w:tcPr>
          <w:p w14:paraId="7693A44D" w14:textId="77777777" w:rsidR="003C2F17" w:rsidRPr="003C2F17" w:rsidRDefault="003C2F17" w:rsidP="00DC54F7">
            <w:pPr>
              <w:spacing w:after="0" w:line="240" w:lineRule="auto"/>
              <w:jc w:val="both"/>
              <w:rPr>
                <w:rFonts w:ascii="Calibri" w:eastAsia="Times New Roman" w:hAnsi="Calibri" w:cs="Calibri"/>
                <w:b/>
                <w:bCs/>
                <w:color w:val="FFFFFF"/>
                <w:lang w:eastAsia="en-GB"/>
              </w:rPr>
            </w:pPr>
            <w:r w:rsidRPr="003C2F17">
              <w:rPr>
                <w:rFonts w:ascii="Calibri" w:eastAsia="Times New Roman" w:hAnsi="Calibri" w:cs="Calibri"/>
                <w:b/>
                <w:bCs/>
                <w:color w:val="FFFFFF"/>
                <w:lang w:eastAsia="en-GB"/>
              </w:rPr>
              <w:t xml:space="preserve">Area </w:t>
            </w:r>
          </w:p>
        </w:tc>
        <w:tc>
          <w:tcPr>
            <w:tcW w:w="4563" w:type="dxa"/>
            <w:shd w:val="clear" w:color="000000" w:fill="8497B0"/>
            <w:noWrap/>
            <w:vAlign w:val="bottom"/>
            <w:hideMark/>
          </w:tcPr>
          <w:p w14:paraId="1913237F" w14:textId="77777777" w:rsidR="003C2F17" w:rsidRPr="003C2F17" w:rsidRDefault="003C2F17" w:rsidP="00DC54F7">
            <w:pPr>
              <w:spacing w:after="0" w:line="240" w:lineRule="auto"/>
              <w:jc w:val="both"/>
              <w:rPr>
                <w:rFonts w:ascii="Calibri" w:eastAsia="Times New Roman" w:hAnsi="Calibri" w:cs="Calibri"/>
                <w:b/>
                <w:bCs/>
                <w:color w:val="FFFFFF"/>
                <w:lang w:eastAsia="en-GB"/>
              </w:rPr>
            </w:pPr>
            <w:r w:rsidRPr="003C2F17">
              <w:rPr>
                <w:rFonts w:ascii="Calibri" w:eastAsia="Times New Roman" w:hAnsi="Calibri" w:cs="Calibri"/>
                <w:b/>
                <w:bCs/>
                <w:color w:val="FFFFFF"/>
                <w:lang w:eastAsia="en-GB"/>
              </w:rPr>
              <w:t>Percentage</w:t>
            </w:r>
          </w:p>
        </w:tc>
      </w:tr>
      <w:tr w:rsidR="003C2F17" w:rsidRPr="003C2F17" w14:paraId="3B68680A" w14:textId="77777777" w:rsidTr="00237D3A">
        <w:trPr>
          <w:trHeight w:val="291"/>
        </w:trPr>
        <w:tc>
          <w:tcPr>
            <w:tcW w:w="4563" w:type="dxa"/>
            <w:shd w:val="clear" w:color="EDEDED" w:fill="EDEDED"/>
            <w:noWrap/>
            <w:vAlign w:val="bottom"/>
            <w:hideMark/>
          </w:tcPr>
          <w:p w14:paraId="1D3E9530" w14:textId="77777777" w:rsidR="003C2F17" w:rsidRPr="003C2F17" w:rsidRDefault="003C2F17" w:rsidP="00DC54F7">
            <w:pPr>
              <w:spacing w:after="0" w:line="240" w:lineRule="auto"/>
              <w:jc w:val="both"/>
              <w:rPr>
                <w:rFonts w:ascii="Calibri" w:eastAsia="Times New Roman" w:hAnsi="Calibri" w:cs="Calibri"/>
                <w:color w:val="000000"/>
                <w:lang w:eastAsia="en-GB"/>
              </w:rPr>
            </w:pPr>
            <w:r w:rsidRPr="003C2F17">
              <w:rPr>
                <w:rFonts w:ascii="Calibri" w:eastAsia="Times New Roman" w:hAnsi="Calibri" w:cs="Calibri"/>
                <w:color w:val="000000"/>
                <w:lang w:eastAsia="en-GB"/>
              </w:rPr>
              <w:t>Cardiff</w:t>
            </w:r>
          </w:p>
        </w:tc>
        <w:tc>
          <w:tcPr>
            <w:tcW w:w="4563" w:type="dxa"/>
            <w:shd w:val="clear" w:color="EDEDED" w:fill="EDEDED"/>
            <w:noWrap/>
            <w:vAlign w:val="bottom"/>
            <w:hideMark/>
          </w:tcPr>
          <w:p w14:paraId="04EE0CA9" w14:textId="47B88117" w:rsidR="003C2F17" w:rsidRPr="003C2F17" w:rsidRDefault="003C2F17" w:rsidP="00DC54F7">
            <w:pPr>
              <w:spacing w:after="0" w:line="240" w:lineRule="auto"/>
              <w:jc w:val="both"/>
              <w:rPr>
                <w:rFonts w:ascii="Calibri" w:eastAsia="Times New Roman" w:hAnsi="Calibri" w:cs="Calibri"/>
                <w:color w:val="000000"/>
                <w:lang w:eastAsia="en-GB"/>
              </w:rPr>
            </w:pPr>
            <w:r w:rsidRPr="003C2F17">
              <w:rPr>
                <w:rFonts w:ascii="Calibri" w:eastAsia="Times New Roman" w:hAnsi="Calibri" w:cs="Calibri"/>
                <w:color w:val="000000"/>
                <w:lang w:eastAsia="en-GB"/>
              </w:rPr>
              <w:t>0.90</w:t>
            </w:r>
          </w:p>
        </w:tc>
      </w:tr>
      <w:tr w:rsidR="003C2F17" w:rsidRPr="003C2F17" w14:paraId="61D3FFF2" w14:textId="77777777" w:rsidTr="00237D3A">
        <w:trPr>
          <w:trHeight w:val="291"/>
        </w:trPr>
        <w:tc>
          <w:tcPr>
            <w:tcW w:w="4563" w:type="dxa"/>
            <w:shd w:val="clear" w:color="auto" w:fill="auto"/>
            <w:noWrap/>
            <w:vAlign w:val="bottom"/>
            <w:hideMark/>
          </w:tcPr>
          <w:p w14:paraId="2F6C2DC3" w14:textId="77777777" w:rsidR="003C2F17" w:rsidRPr="003C2F17" w:rsidRDefault="003C2F17" w:rsidP="00DC54F7">
            <w:pPr>
              <w:spacing w:after="0" w:line="240" w:lineRule="auto"/>
              <w:jc w:val="both"/>
              <w:rPr>
                <w:rFonts w:ascii="Calibri" w:eastAsia="Times New Roman" w:hAnsi="Calibri" w:cs="Calibri"/>
                <w:color w:val="000000"/>
                <w:lang w:eastAsia="en-GB"/>
              </w:rPr>
            </w:pPr>
            <w:r w:rsidRPr="003C2F17">
              <w:rPr>
                <w:rFonts w:ascii="Calibri" w:eastAsia="Times New Roman" w:hAnsi="Calibri" w:cs="Calibri"/>
                <w:color w:val="000000"/>
                <w:lang w:eastAsia="en-GB"/>
              </w:rPr>
              <w:t>Vale of Glamorgan</w:t>
            </w:r>
          </w:p>
        </w:tc>
        <w:tc>
          <w:tcPr>
            <w:tcW w:w="4563" w:type="dxa"/>
            <w:shd w:val="clear" w:color="auto" w:fill="auto"/>
            <w:noWrap/>
            <w:vAlign w:val="bottom"/>
            <w:hideMark/>
          </w:tcPr>
          <w:p w14:paraId="64245B6B" w14:textId="0C3D22E7" w:rsidR="003C2F17" w:rsidRPr="003C2F17" w:rsidRDefault="003C2F17" w:rsidP="00DC54F7">
            <w:pPr>
              <w:spacing w:after="0" w:line="240" w:lineRule="auto"/>
              <w:jc w:val="both"/>
              <w:rPr>
                <w:rFonts w:ascii="Calibri" w:eastAsia="Times New Roman" w:hAnsi="Calibri" w:cs="Calibri"/>
                <w:color w:val="000000"/>
                <w:lang w:eastAsia="en-GB"/>
              </w:rPr>
            </w:pPr>
            <w:r w:rsidRPr="003C2F17">
              <w:rPr>
                <w:rFonts w:ascii="Calibri" w:eastAsia="Times New Roman" w:hAnsi="Calibri" w:cs="Calibri"/>
                <w:color w:val="000000"/>
                <w:lang w:eastAsia="en-GB"/>
              </w:rPr>
              <w:t>0.90</w:t>
            </w:r>
          </w:p>
        </w:tc>
      </w:tr>
      <w:tr w:rsidR="003C2F17" w:rsidRPr="003C2F17" w14:paraId="07CCAAAF" w14:textId="77777777" w:rsidTr="00237D3A">
        <w:trPr>
          <w:trHeight w:val="291"/>
        </w:trPr>
        <w:tc>
          <w:tcPr>
            <w:tcW w:w="4563" w:type="dxa"/>
            <w:shd w:val="clear" w:color="EDEDED" w:fill="EDEDED"/>
            <w:noWrap/>
            <w:vAlign w:val="bottom"/>
            <w:hideMark/>
          </w:tcPr>
          <w:p w14:paraId="1D0ECC38" w14:textId="77777777" w:rsidR="003C2F17" w:rsidRPr="003C2F17" w:rsidRDefault="003C2F17" w:rsidP="00DC54F7">
            <w:pPr>
              <w:spacing w:after="0" w:line="240" w:lineRule="auto"/>
              <w:jc w:val="both"/>
              <w:rPr>
                <w:rFonts w:ascii="Calibri" w:eastAsia="Times New Roman" w:hAnsi="Calibri" w:cs="Calibri"/>
                <w:color w:val="000000"/>
                <w:lang w:eastAsia="en-GB"/>
              </w:rPr>
            </w:pPr>
            <w:r w:rsidRPr="003C2F17">
              <w:rPr>
                <w:rFonts w:ascii="Calibri" w:eastAsia="Times New Roman" w:hAnsi="Calibri" w:cs="Calibri"/>
                <w:color w:val="000000"/>
                <w:lang w:eastAsia="en-GB"/>
              </w:rPr>
              <w:t>Cardiff and Vale UHB</w:t>
            </w:r>
          </w:p>
        </w:tc>
        <w:tc>
          <w:tcPr>
            <w:tcW w:w="4563" w:type="dxa"/>
            <w:shd w:val="clear" w:color="EDEDED" w:fill="EDEDED"/>
            <w:noWrap/>
            <w:vAlign w:val="bottom"/>
            <w:hideMark/>
          </w:tcPr>
          <w:p w14:paraId="5BBD49FF" w14:textId="2070BFB4" w:rsidR="003C2F17" w:rsidRPr="003C2F17" w:rsidRDefault="003C2F17" w:rsidP="00DC54F7">
            <w:pPr>
              <w:spacing w:after="0" w:line="240" w:lineRule="auto"/>
              <w:jc w:val="both"/>
              <w:rPr>
                <w:rFonts w:ascii="Calibri" w:eastAsia="Times New Roman" w:hAnsi="Calibri" w:cs="Calibri"/>
                <w:color w:val="000000"/>
                <w:lang w:eastAsia="en-GB"/>
              </w:rPr>
            </w:pPr>
            <w:r w:rsidRPr="003C2F17">
              <w:rPr>
                <w:rFonts w:ascii="Calibri" w:eastAsia="Times New Roman" w:hAnsi="Calibri" w:cs="Calibri"/>
                <w:color w:val="000000"/>
                <w:lang w:eastAsia="en-GB"/>
              </w:rPr>
              <w:t>0.90</w:t>
            </w:r>
          </w:p>
        </w:tc>
      </w:tr>
      <w:tr w:rsidR="003C2F17" w:rsidRPr="003C2F17" w14:paraId="62DE205D" w14:textId="77777777" w:rsidTr="00237D3A">
        <w:trPr>
          <w:trHeight w:val="291"/>
        </w:trPr>
        <w:tc>
          <w:tcPr>
            <w:tcW w:w="4563" w:type="dxa"/>
            <w:shd w:val="clear" w:color="auto" w:fill="auto"/>
            <w:noWrap/>
            <w:vAlign w:val="bottom"/>
            <w:hideMark/>
          </w:tcPr>
          <w:p w14:paraId="51BCB664" w14:textId="77777777" w:rsidR="003C2F17" w:rsidRPr="003C2F17" w:rsidRDefault="003C2F17" w:rsidP="00DC54F7">
            <w:pPr>
              <w:spacing w:after="0" w:line="240" w:lineRule="auto"/>
              <w:jc w:val="both"/>
              <w:rPr>
                <w:rFonts w:ascii="Calibri" w:eastAsia="Times New Roman" w:hAnsi="Calibri" w:cs="Calibri"/>
                <w:color w:val="000000"/>
                <w:lang w:eastAsia="en-GB"/>
              </w:rPr>
            </w:pPr>
            <w:r w:rsidRPr="003C2F17">
              <w:rPr>
                <w:rFonts w:ascii="Calibri" w:eastAsia="Times New Roman" w:hAnsi="Calibri" w:cs="Calibri"/>
                <w:color w:val="000000"/>
                <w:lang w:eastAsia="en-GB"/>
              </w:rPr>
              <w:t>Wales</w:t>
            </w:r>
          </w:p>
        </w:tc>
        <w:tc>
          <w:tcPr>
            <w:tcW w:w="4563" w:type="dxa"/>
            <w:shd w:val="clear" w:color="auto" w:fill="auto"/>
            <w:noWrap/>
            <w:vAlign w:val="bottom"/>
            <w:hideMark/>
          </w:tcPr>
          <w:p w14:paraId="4FAE0AB8" w14:textId="20771051" w:rsidR="003C2F17" w:rsidRPr="003C2F17" w:rsidRDefault="003C2F17" w:rsidP="00DC54F7">
            <w:pPr>
              <w:spacing w:after="0" w:line="240" w:lineRule="auto"/>
              <w:jc w:val="both"/>
              <w:rPr>
                <w:rFonts w:ascii="Calibri" w:eastAsia="Times New Roman" w:hAnsi="Calibri" w:cs="Calibri"/>
                <w:color w:val="000000"/>
                <w:lang w:eastAsia="en-GB"/>
              </w:rPr>
            </w:pPr>
            <w:r w:rsidRPr="003C2F17">
              <w:rPr>
                <w:rFonts w:ascii="Calibri" w:eastAsia="Times New Roman" w:hAnsi="Calibri" w:cs="Calibri"/>
                <w:color w:val="000000"/>
                <w:lang w:eastAsia="en-GB"/>
              </w:rPr>
              <w:t>1.00</w:t>
            </w:r>
          </w:p>
        </w:tc>
      </w:tr>
    </w:tbl>
    <w:p w14:paraId="44AA769F" w14:textId="447EA8A5" w:rsidR="003C2F17" w:rsidRPr="002B7CB6" w:rsidRDefault="001F0F06" w:rsidP="00DC54F7">
      <w:pPr>
        <w:spacing w:after="0" w:line="240" w:lineRule="auto"/>
        <w:contextualSpacing/>
        <w:jc w:val="both"/>
        <w:rPr>
          <w:rFonts w:ascii="Arial" w:hAnsi="Arial" w:cs="Arial"/>
          <w:sz w:val="20"/>
          <w:szCs w:val="20"/>
        </w:rPr>
      </w:pPr>
      <w:r w:rsidRPr="002B7CB6">
        <w:rPr>
          <w:rFonts w:ascii="Arial" w:hAnsi="Arial" w:cs="Arial"/>
          <w:sz w:val="20"/>
          <w:szCs w:val="20"/>
        </w:rPr>
        <w:t xml:space="preserve">Source: QOF </w:t>
      </w:r>
      <w:r w:rsidR="00F22702" w:rsidRPr="002B7CB6">
        <w:rPr>
          <w:rFonts w:ascii="Arial" w:hAnsi="Arial" w:cs="Arial"/>
          <w:sz w:val="20"/>
          <w:szCs w:val="20"/>
        </w:rPr>
        <w:t>2019</w:t>
      </w:r>
    </w:p>
    <w:p w14:paraId="35308F18" w14:textId="77777777" w:rsidR="003C2F17" w:rsidRDefault="003C2F17" w:rsidP="00DC54F7">
      <w:pPr>
        <w:spacing w:after="0" w:line="240" w:lineRule="auto"/>
        <w:contextualSpacing/>
        <w:jc w:val="both"/>
        <w:rPr>
          <w:rFonts w:ascii="Arial" w:hAnsi="Arial" w:cs="Arial"/>
        </w:rPr>
      </w:pPr>
    </w:p>
    <w:p w14:paraId="48F17549" w14:textId="50E92456" w:rsidR="00721D94" w:rsidRDefault="006D0288" w:rsidP="00DC54F7">
      <w:pPr>
        <w:spacing w:after="0" w:line="240" w:lineRule="auto"/>
        <w:contextualSpacing/>
        <w:jc w:val="both"/>
        <w:rPr>
          <w:rFonts w:ascii="Arial" w:hAnsi="Arial" w:cs="Arial"/>
        </w:rPr>
      </w:pPr>
      <w:r w:rsidRPr="002B7CB6">
        <w:rPr>
          <w:rFonts w:ascii="Arial" w:hAnsi="Arial" w:cs="Arial"/>
          <w:sz w:val="24"/>
          <w:szCs w:val="24"/>
        </w:rPr>
        <w:t>Mental well</w:t>
      </w:r>
      <w:r w:rsidR="00DC184B" w:rsidRPr="002B7CB6">
        <w:rPr>
          <w:rFonts w:ascii="Arial" w:hAnsi="Arial" w:cs="Arial"/>
          <w:sz w:val="24"/>
          <w:szCs w:val="24"/>
        </w:rPr>
        <w:t>-</w:t>
      </w:r>
      <w:r w:rsidRPr="002B7CB6">
        <w:rPr>
          <w:rFonts w:ascii="Arial" w:hAnsi="Arial" w:cs="Arial"/>
          <w:sz w:val="24"/>
          <w:szCs w:val="24"/>
        </w:rPr>
        <w:t xml:space="preserve">being is an important factor in an individual’s overall health. </w:t>
      </w:r>
      <w:r w:rsidR="00137A10" w:rsidRPr="002B7CB6">
        <w:rPr>
          <w:rFonts w:ascii="Arial" w:hAnsi="Arial" w:cs="Arial"/>
          <w:sz w:val="24"/>
          <w:szCs w:val="24"/>
        </w:rPr>
        <w:t>To measure menta</w:t>
      </w:r>
      <w:r w:rsidR="00077580" w:rsidRPr="002B7CB6">
        <w:rPr>
          <w:rFonts w:ascii="Arial" w:hAnsi="Arial" w:cs="Arial"/>
          <w:sz w:val="24"/>
          <w:szCs w:val="24"/>
        </w:rPr>
        <w:t>l well</w:t>
      </w:r>
      <w:r w:rsidR="00DC184B" w:rsidRPr="002B7CB6">
        <w:rPr>
          <w:rFonts w:ascii="Arial" w:hAnsi="Arial" w:cs="Arial"/>
          <w:sz w:val="24"/>
          <w:szCs w:val="24"/>
        </w:rPr>
        <w:t>-</w:t>
      </w:r>
      <w:r w:rsidR="00077580" w:rsidRPr="002B7CB6">
        <w:rPr>
          <w:rFonts w:ascii="Arial" w:hAnsi="Arial" w:cs="Arial"/>
          <w:sz w:val="24"/>
          <w:szCs w:val="24"/>
        </w:rPr>
        <w:t>being, t</w:t>
      </w:r>
      <w:r w:rsidR="000E5CFD" w:rsidRPr="002B7CB6">
        <w:rPr>
          <w:rFonts w:ascii="Arial" w:hAnsi="Arial" w:cs="Arial"/>
          <w:sz w:val="24"/>
          <w:szCs w:val="24"/>
        </w:rPr>
        <w:t>he National Survey for Wales</w:t>
      </w:r>
      <w:r w:rsidR="00122590" w:rsidRPr="002B7CB6">
        <w:rPr>
          <w:rFonts w:ascii="Arial" w:hAnsi="Arial" w:cs="Arial"/>
          <w:sz w:val="24"/>
          <w:szCs w:val="24"/>
        </w:rPr>
        <w:t xml:space="preserve"> </w:t>
      </w:r>
      <w:r w:rsidR="00321EFD" w:rsidRPr="002B7CB6">
        <w:rPr>
          <w:rFonts w:ascii="Arial" w:hAnsi="Arial" w:cs="Arial"/>
          <w:sz w:val="24"/>
          <w:szCs w:val="24"/>
        </w:rPr>
        <w:t xml:space="preserve">uses the </w:t>
      </w:r>
      <w:r w:rsidR="003364C9" w:rsidRPr="002B7CB6">
        <w:rPr>
          <w:rFonts w:ascii="Arial" w:hAnsi="Arial" w:cs="Arial"/>
          <w:sz w:val="24"/>
          <w:szCs w:val="24"/>
        </w:rPr>
        <w:t xml:space="preserve">Warwick-Edinburgh Mental Well-being Scale </w:t>
      </w:r>
      <w:r w:rsidR="00CF4D4A" w:rsidRPr="002B7CB6">
        <w:rPr>
          <w:rFonts w:ascii="Arial" w:hAnsi="Arial" w:cs="Arial"/>
          <w:sz w:val="24"/>
          <w:szCs w:val="24"/>
        </w:rPr>
        <w:t>(WEMWBS)</w:t>
      </w:r>
      <w:r w:rsidR="00122590" w:rsidRPr="002B7CB6">
        <w:rPr>
          <w:rFonts w:ascii="Arial" w:hAnsi="Arial" w:cs="Arial"/>
          <w:sz w:val="24"/>
          <w:szCs w:val="24"/>
        </w:rPr>
        <w:t xml:space="preserve">, which </w:t>
      </w:r>
      <w:r w:rsidR="00EA420B" w:rsidRPr="002B7CB6">
        <w:rPr>
          <w:rFonts w:ascii="Arial" w:hAnsi="Arial" w:cs="Arial"/>
          <w:sz w:val="24"/>
          <w:szCs w:val="24"/>
        </w:rPr>
        <w:t>contains 14 self-assessed questions</w:t>
      </w:r>
      <w:r w:rsidR="00C16E7F" w:rsidRPr="002B7CB6">
        <w:rPr>
          <w:rFonts w:ascii="Arial" w:hAnsi="Arial" w:cs="Arial"/>
          <w:sz w:val="24"/>
          <w:szCs w:val="24"/>
        </w:rPr>
        <w:t>. S</w:t>
      </w:r>
      <w:r w:rsidR="003364C9" w:rsidRPr="002B7CB6">
        <w:rPr>
          <w:rFonts w:ascii="Arial" w:hAnsi="Arial" w:cs="Arial"/>
          <w:sz w:val="24"/>
          <w:szCs w:val="24"/>
        </w:rPr>
        <w:t>cores rang</w:t>
      </w:r>
      <w:r w:rsidR="00501778" w:rsidRPr="002B7CB6">
        <w:rPr>
          <w:rFonts w:ascii="Arial" w:hAnsi="Arial" w:cs="Arial"/>
          <w:sz w:val="24"/>
          <w:szCs w:val="24"/>
        </w:rPr>
        <w:t>e</w:t>
      </w:r>
      <w:r w:rsidR="003364C9" w:rsidRPr="002B7CB6">
        <w:rPr>
          <w:rFonts w:ascii="Arial" w:hAnsi="Arial" w:cs="Arial"/>
          <w:sz w:val="24"/>
          <w:szCs w:val="24"/>
        </w:rPr>
        <w:t xml:space="preserve"> from 14 to 70, where higher scores suggest higher mental well-being.</w:t>
      </w:r>
      <w:r w:rsidR="00A23602" w:rsidRPr="002B7CB6">
        <w:rPr>
          <w:rFonts w:ascii="Arial" w:hAnsi="Arial" w:cs="Arial"/>
          <w:sz w:val="24"/>
          <w:szCs w:val="24"/>
        </w:rPr>
        <w:t xml:space="preserve"> </w:t>
      </w:r>
      <w:r w:rsidR="00DE69CF" w:rsidRPr="002B7CB6">
        <w:rPr>
          <w:rFonts w:ascii="Arial" w:hAnsi="Arial" w:cs="Arial"/>
          <w:sz w:val="24"/>
          <w:szCs w:val="24"/>
        </w:rPr>
        <w:t xml:space="preserve">Of all the health boards in Wales, </w:t>
      </w:r>
      <w:r w:rsidR="007223E5" w:rsidRPr="002B7CB6">
        <w:rPr>
          <w:rFonts w:ascii="Arial" w:hAnsi="Arial" w:cs="Arial"/>
          <w:sz w:val="24"/>
          <w:szCs w:val="24"/>
        </w:rPr>
        <w:t xml:space="preserve">Cardiff and Vale University Health Board </w:t>
      </w:r>
      <w:r w:rsidR="007D7398" w:rsidRPr="002B7CB6">
        <w:rPr>
          <w:rFonts w:ascii="Arial" w:hAnsi="Arial" w:cs="Arial"/>
          <w:sz w:val="24"/>
          <w:szCs w:val="24"/>
        </w:rPr>
        <w:t xml:space="preserve">reported the highest </w:t>
      </w:r>
      <w:r w:rsidR="003E4CEA" w:rsidRPr="002B7CB6">
        <w:rPr>
          <w:rFonts w:ascii="Arial" w:hAnsi="Arial" w:cs="Arial"/>
          <w:sz w:val="24"/>
          <w:szCs w:val="24"/>
        </w:rPr>
        <w:t xml:space="preserve">mean </w:t>
      </w:r>
      <w:r w:rsidR="00257779" w:rsidRPr="002B7CB6">
        <w:rPr>
          <w:rFonts w:ascii="Arial" w:hAnsi="Arial" w:cs="Arial"/>
          <w:sz w:val="24"/>
          <w:szCs w:val="24"/>
        </w:rPr>
        <w:t xml:space="preserve">WEMWBS score of </w:t>
      </w:r>
      <w:r w:rsidR="00B57020" w:rsidRPr="002B7CB6">
        <w:rPr>
          <w:rFonts w:ascii="Arial" w:hAnsi="Arial" w:cs="Arial"/>
          <w:sz w:val="24"/>
          <w:szCs w:val="24"/>
        </w:rPr>
        <w:t>5</w:t>
      </w:r>
      <w:r w:rsidR="00F83A74" w:rsidRPr="002B7CB6">
        <w:rPr>
          <w:rFonts w:ascii="Arial" w:hAnsi="Arial" w:cs="Arial"/>
          <w:sz w:val="24"/>
          <w:szCs w:val="24"/>
        </w:rPr>
        <w:t>2</w:t>
      </w:r>
      <w:r w:rsidR="00B57020" w:rsidRPr="002B7CB6">
        <w:rPr>
          <w:rFonts w:ascii="Arial" w:hAnsi="Arial" w:cs="Arial"/>
          <w:sz w:val="24"/>
          <w:szCs w:val="24"/>
        </w:rPr>
        <w:t>.</w:t>
      </w:r>
      <w:r w:rsidR="00F83A74" w:rsidRPr="002B7CB6">
        <w:rPr>
          <w:rFonts w:ascii="Arial" w:hAnsi="Arial" w:cs="Arial"/>
          <w:sz w:val="24"/>
          <w:szCs w:val="24"/>
        </w:rPr>
        <w:t>5</w:t>
      </w:r>
      <w:r w:rsidR="00E607DD" w:rsidRPr="002B7CB6">
        <w:rPr>
          <w:rFonts w:ascii="Arial" w:hAnsi="Arial" w:cs="Arial"/>
          <w:sz w:val="24"/>
          <w:szCs w:val="24"/>
        </w:rPr>
        <w:t xml:space="preserve"> out of 70</w:t>
      </w:r>
      <w:r w:rsidR="00B57020" w:rsidRPr="002B7CB6">
        <w:rPr>
          <w:rFonts w:ascii="Arial" w:hAnsi="Arial" w:cs="Arial"/>
          <w:sz w:val="24"/>
          <w:szCs w:val="24"/>
        </w:rPr>
        <w:t xml:space="preserve">, which was significantly higher </w:t>
      </w:r>
      <w:r w:rsidR="00F95718" w:rsidRPr="002B7CB6">
        <w:rPr>
          <w:rFonts w:ascii="Arial" w:hAnsi="Arial" w:cs="Arial"/>
          <w:sz w:val="24"/>
          <w:szCs w:val="24"/>
        </w:rPr>
        <w:t>than the average for Wales</w:t>
      </w:r>
      <w:r w:rsidR="00B57020" w:rsidRPr="002B7CB6">
        <w:rPr>
          <w:rFonts w:ascii="Arial" w:hAnsi="Arial" w:cs="Arial"/>
          <w:sz w:val="24"/>
          <w:szCs w:val="24"/>
        </w:rPr>
        <w:t xml:space="preserve"> (</w:t>
      </w:r>
      <w:r w:rsidR="00F83A74" w:rsidRPr="002B7CB6">
        <w:rPr>
          <w:rFonts w:ascii="Arial" w:hAnsi="Arial" w:cs="Arial"/>
          <w:sz w:val="24"/>
          <w:szCs w:val="24"/>
        </w:rPr>
        <w:t>51.4</w:t>
      </w:r>
      <w:r w:rsidR="006B3C33" w:rsidRPr="002B7CB6">
        <w:rPr>
          <w:rFonts w:ascii="Arial" w:hAnsi="Arial" w:cs="Arial"/>
          <w:sz w:val="24"/>
          <w:szCs w:val="24"/>
        </w:rPr>
        <w:t xml:space="preserve">). Cardiff (53.2) </w:t>
      </w:r>
      <w:r w:rsidR="00581EC7" w:rsidRPr="002B7CB6">
        <w:rPr>
          <w:rFonts w:ascii="Arial" w:hAnsi="Arial" w:cs="Arial"/>
          <w:sz w:val="24"/>
          <w:szCs w:val="24"/>
        </w:rPr>
        <w:t xml:space="preserve">had the third highest score of all the </w:t>
      </w:r>
      <w:r w:rsidR="00567F4B" w:rsidRPr="002B7CB6">
        <w:rPr>
          <w:rFonts w:ascii="Arial" w:hAnsi="Arial" w:cs="Arial"/>
          <w:sz w:val="24"/>
          <w:szCs w:val="24"/>
        </w:rPr>
        <w:t>local</w:t>
      </w:r>
      <w:r w:rsidR="00E55931" w:rsidRPr="002B7CB6">
        <w:rPr>
          <w:rFonts w:ascii="Arial" w:hAnsi="Arial" w:cs="Arial"/>
          <w:sz w:val="24"/>
          <w:szCs w:val="24"/>
        </w:rPr>
        <w:t xml:space="preserve"> authorities and </w:t>
      </w:r>
      <w:r w:rsidR="006B3C33" w:rsidRPr="002B7CB6">
        <w:rPr>
          <w:rFonts w:ascii="Arial" w:hAnsi="Arial" w:cs="Arial"/>
          <w:sz w:val="24"/>
          <w:szCs w:val="24"/>
        </w:rPr>
        <w:t>was</w:t>
      </w:r>
      <w:r w:rsidR="003B2CA7" w:rsidRPr="002B7CB6">
        <w:rPr>
          <w:rFonts w:ascii="Arial" w:hAnsi="Arial" w:cs="Arial"/>
          <w:sz w:val="24"/>
          <w:szCs w:val="24"/>
        </w:rPr>
        <w:t xml:space="preserve"> </w:t>
      </w:r>
      <w:r w:rsidR="006B3C33" w:rsidRPr="002B7CB6">
        <w:rPr>
          <w:rFonts w:ascii="Arial" w:hAnsi="Arial" w:cs="Arial"/>
          <w:sz w:val="24"/>
          <w:szCs w:val="24"/>
        </w:rPr>
        <w:t xml:space="preserve">also significantly higher </w:t>
      </w:r>
      <w:r w:rsidR="00F95718" w:rsidRPr="002B7CB6">
        <w:rPr>
          <w:rFonts w:ascii="Arial" w:hAnsi="Arial" w:cs="Arial"/>
          <w:sz w:val="24"/>
          <w:szCs w:val="24"/>
        </w:rPr>
        <w:t>than the average for Wales</w:t>
      </w:r>
      <w:r w:rsidR="00E55931" w:rsidRPr="002B7CB6">
        <w:rPr>
          <w:rFonts w:ascii="Arial" w:hAnsi="Arial" w:cs="Arial"/>
          <w:sz w:val="24"/>
          <w:szCs w:val="24"/>
        </w:rPr>
        <w:t xml:space="preserve">. </w:t>
      </w:r>
      <w:r w:rsidR="00A918E7" w:rsidRPr="002B7CB6">
        <w:rPr>
          <w:rFonts w:ascii="Arial" w:hAnsi="Arial" w:cs="Arial"/>
          <w:sz w:val="24"/>
          <w:szCs w:val="24"/>
        </w:rPr>
        <w:t xml:space="preserve">The Vale of Glamorgan </w:t>
      </w:r>
      <w:r w:rsidR="00AA035C" w:rsidRPr="002B7CB6">
        <w:rPr>
          <w:rFonts w:ascii="Arial" w:hAnsi="Arial" w:cs="Arial"/>
          <w:sz w:val="24"/>
          <w:szCs w:val="24"/>
        </w:rPr>
        <w:t xml:space="preserve">had </w:t>
      </w:r>
      <w:r w:rsidR="007111D2" w:rsidRPr="002B7CB6">
        <w:rPr>
          <w:rFonts w:ascii="Arial" w:hAnsi="Arial" w:cs="Arial"/>
          <w:sz w:val="24"/>
          <w:szCs w:val="24"/>
        </w:rPr>
        <w:t xml:space="preserve">a </w:t>
      </w:r>
      <w:r w:rsidR="00F72A5C" w:rsidRPr="002B7CB6">
        <w:rPr>
          <w:rFonts w:ascii="Arial" w:hAnsi="Arial" w:cs="Arial"/>
          <w:sz w:val="24"/>
          <w:szCs w:val="24"/>
        </w:rPr>
        <w:t xml:space="preserve">lower </w:t>
      </w:r>
      <w:r w:rsidR="003E4CEA" w:rsidRPr="002B7CB6">
        <w:rPr>
          <w:rFonts w:ascii="Arial" w:hAnsi="Arial" w:cs="Arial"/>
          <w:sz w:val="24"/>
          <w:szCs w:val="24"/>
        </w:rPr>
        <w:t xml:space="preserve">mean </w:t>
      </w:r>
      <w:r w:rsidR="009D7118" w:rsidRPr="002B7CB6">
        <w:rPr>
          <w:rFonts w:ascii="Arial" w:hAnsi="Arial" w:cs="Arial"/>
          <w:sz w:val="24"/>
          <w:szCs w:val="24"/>
        </w:rPr>
        <w:t xml:space="preserve">WEMWBS score of </w:t>
      </w:r>
      <w:r w:rsidR="003B2CA7" w:rsidRPr="002B7CB6">
        <w:rPr>
          <w:rFonts w:ascii="Arial" w:hAnsi="Arial" w:cs="Arial"/>
          <w:sz w:val="24"/>
          <w:szCs w:val="24"/>
        </w:rPr>
        <w:t>50</w:t>
      </w:r>
      <w:r w:rsidR="009D7118" w:rsidRPr="002B7CB6">
        <w:rPr>
          <w:rFonts w:ascii="Arial" w:hAnsi="Arial" w:cs="Arial"/>
          <w:sz w:val="24"/>
          <w:szCs w:val="24"/>
        </w:rPr>
        <w:t>.</w:t>
      </w:r>
      <w:r w:rsidR="003B2CA7" w:rsidRPr="002B7CB6">
        <w:rPr>
          <w:rFonts w:ascii="Arial" w:hAnsi="Arial" w:cs="Arial"/>
          <w:sz w:val="24"/>
          <w:szCs w:val="24"/>
        </w:rPr>
        <w:t>0</w:t>
      </w:r>
      <w:r w:rsidR="009D7118" w:rsidRPr="002B7CB6">
        <w:rPr>
          <w:rFonts w:ascii="Arial" w:hAnsi="Arial" w:cs="Arial"/>
          <w:sz w:val="24"/>
          <w:szCs w:val="24"/>
        </w:rPr>
        <w:t xml:space="preserve"> out of 70, which was a </w:t>
      </w:r>
      <w:r w:rsidR="009D7118" w:rsidRPr="002B7CB6">
        <w:rPr>
          <w:rFonts w:ascii="Arial" w:hAnsi="Arial" w:cs="Arial"/>
          <w:sz w:val="24"/>
          <w:szCs w:val="24"/>
        </w:rPr>
        <w:lastRenderedPageBreak/>
        <w:t>decrease from the previous year</w:t>
      </w:r>
      <w:r w:rsidR="009566EE" w:rsidRPr="002B7CB6">
        <w:rPr>
          <w:rFonts w:ascii="Arial" w:hAnsi="Arial" w:cs="Arial"/>
          <w:sz w:val="24"/>
          <w:szCs w:val="24"/>
        </w:rPr>
        <w:t xml:space="preserve"> and the fourth lowest of all the </w:t>
      </w:r>
      <w:r w:rsidR="00567F4B" w:rsidRPr="002B7CB6">
        <w:rPr>
          <w:rFonts w:ascii="Arial" w:hAnsi="Arial" w:cs="Arial"/>
          <w:sz w:val="24"/>
          <w:szCs w:val="24"/>
        </w:rPr>
        <w:t>local</w:t>
      </w:r>
      <w:r w:rsidR="009566EE" w:rsidRPr="002B7CB6">
        <w:rPr>
          <w:rFonts w:ascii="Arial" w:hAnsi="Arial" w:cs="Arial"/>
          <w:sz w:val="24"/>
          <w:szCs w:val="24"/>
        </w:rPr>
        <w:t xml:space="preserve"> authoritie</w:t>
      </w:r>
      <w:r w:rsidR="00195A99" w:rsidRPr="002B7CB6">
        <w:rPr>
          <w:rFonts w:ascii="Arial" w:hAnsi="Arial" w:cs="Arial"/>
          <w:sz w:val="24"/>
          <w:szCs w:val="24"/>
        </w:rPr>
        <w:t xml:space="preserve">s. </w:t>
      </w:r>
      <w:r w:rsidR="00721D94" w:rsidRPr="002B7CB6">
        <w:rPr>
          <w:rFonts w:ascii="Arial" w:hAnsi="Arial" w:cs="Arial"/>
          <w:sz w:val="24"/>
          <w:szCs w:val="24"/>
        </w:rPr>
        <w:t xml:space="preserve">This suggests that people in Cardiff have </w:t>
      </w:r>
      <w:r w:rsidR="00A74D4B" w:rsidRPr="002B7CB6">
        <w:rPr>
          <w:rFonts w:ascii="Arial" w:hAnsi="Arial" w:cs="Arial"/>
          <w:sz w:val="24"/>
          <w:szCs w:val="24"/>
        </w:rPr>
        <w:t xml:space="preserve">a </w:t>
      </w:r>
      <w:r w:rsidR="00721D94" w:rsidRPr="002B7CB6">
        <w:rPr>
          <w:rFonts w:ascii="Arial" w:hAnsi="Arial" w:cs="Arial"/>
          <w:sz w:val="24"/>
          <w:szCs w:val="24"/>
        </w:rPr>
        <w:t>high</w:t>
      </w:r>
      <w:r w:rsidR="00380042" w:rsidRPr="002B7CB6">
        <w:rPr>
          <w:rFonts w:ascii="Arial" w:hAnsi="Arial" w:cs="Arial"/>
          <w:sz w:val="24"/>
          <w:szCs w:val="24"/>
        </w:rPr>
        <w:t>er</w:t>
      </w:r>
      <w:r w:rsidR="00721D94" w:rsidRPr="002B7CB6">
        <w:rPr>
          <w:rFonts w:ascii="Arial" w:hAnsi="Arial" w:cs="Arial"/>
          <w:sz w:val="24"/>
          <w:szCs w:val="24"/>
        </w:rPr>
        <w:t xml:space="preserve"> mental well-being </w:t>
      </w:r>
      <w:r w:rsidR="00380042" w:rsidRPr="002B7CB6">
        <w:rPr>
          <w:rFonts w:ascii="Arial" w:hAnsi="Arial" w:cs="Arial"/>
          <w:sz w:val="24"/>
          <w:szCs w:val="24"/>
        </w:rPr>
        <w:t>than those in the Vale of Glamorgan.</w:t>
      </w:r>
    </w:p>
    <w:p w14:paraId="6E5D1629" w14:textId="722D45BC" w:rsidR="003364C9" w:rsidRPr="00B3351B" w:rsidRDefault="003364C9" w:rsidP="00DC54F7">
      <w:pPr>
        <w:spacing w:after="0" w:line="240" w:lineRule="auto"/>
        <w:contextualSpacing/>
        <w:jc w:val="both"/>
        <w:rPr>
          <w:rFonts w:ascii="Arial" w:hAnsi="Arial" w:cs="Arial"/>
        </w:rPr>
      </w:pPr>
    </w:p>
    <w:p w14:paraId="07FCDF3A" w14:textId="3F5EBFE5" w:rsidR="00181157" w:rsidRPr="002B7CB6" w:rsidRDefault="002E2F4E" w:rsidP="00DC54F7">
      <w:pPr>
        <w:spacing w:after="0" w:line="240" w:lineRule="auto"/>
        <w:contextualSpacing/>
        <w:jc w:val="both"/>
        <w:rPr>
          <w:rFonts w:ascii="Arial" w:hAnsi="Arial" w:cs="Arial"/>
          <w:b/>
          <w:bCs/>
          <w:color w:val="333333"/>
          <w:sz w:val="24"/>
          <w:szCs w:val="24"/>
          <w:shd w:val="clear" w:color="auto" w:fill="FFFFFF"/>
        </w:rPr>
      </w:pPr>
      <w:r w:rsidRPr="002B7CB6">
        <w:rPr>
          <w:rFonts w:ascii="Arial" w:hAnsi="Arial" w:cs="Arial"/>
          <w:b/>
          <w:bCs/>
          <w:color w:val="333333"/>
          <w:sz w:val="24"/>
          <w:szCs w:val="24"/>
          <w:shd w:val="clear" w:color="auto" w:fill="FFFFFF"/>
        </w:rPr>
        <w:t>Table</w:t>
      </w:r>
      <w:r w:rsidR="00F22702" w:rsidRPr="002B7CB6">
        <w:rPr>
          <w:rFonts w:ascii="Arial" w:hAnsi="Arial" w:cs="Arial"/>
          <w:b/>
          <w:bCs/>
          <w:color w:val="333333"/>
          <w:sz w:val="24"/>
          <w:szCs w:val="24"/>
          <w:shd w:val="clear" w:color="auto" w:fill="FFFFFF"/>
        </w:rPr>
        <w:t xml:space="preserve"> 3.4</w:t>
      </w:r>
      <w:r w:rsidRPr="002B7CB6">
        <w:rPr>
          <w:rFonts w:ascii="Arial" w:hAnsi="Arial" w:cs="Arial"/>
          <w:b/>
          <w:bCs/>
          <w:color w:val="333333"/>
          <w:sz w:val="24"/>
          <w:szCs w:val="24"/>
          <w:shd w:val="clear" w:color="auto" w:fill="FFFFFF"/>
        </w:rPr>
        <w:t xml:space="preserve">: </w:t>
      </w:r>
      <w:r w:rsidR="00B30637" w:rsidRPr="002B7CB6">
        <w:rPr>
          <w:rFonts w:ascii="Arial" w:hAnsi="Arial" w:cs="Arial"/>
          <w:b/>
          <w:bCs/>
          <w:color w:val="333333"/>
          <w:sz w:val="24"/>
          <w:szCs w:val="24"/>
          <w:shd w:val="clear" w:color="auto" w:fill="FFFFFF"/>
        </w:rPr>
        <w:t xml:space="preserve">National Survey for Wales </w:t>
      </w:r>
      <w:r w:rsidR="00F46905" w:rsidRPr="002B7CB6">
        <w:rPr>
          <w:rFonts w:ascii="Arial" w:hAnsi="Arial" w:cs="Arial"/>
          <w:b/>
          <w:bCs/>
          <w:color w:val="333333"/>
          <w:sz w:val="24"/>
          <w:szCs w:val="24"/>
          <w:shd w:val="clear" w:color="auto" w:fill="FFFFFF"/>
        </w:rPr>
        <w:t>– age</w:t>
      </w:r>
      <w:r w:rsidR="00283484" w:rsidRPr="002B7CB6">
        <w:rPr>
          <w:rFonts w:ascii="Arial" w:hAnsi="Arial" w:cs="Arial"/>
          <w:b/>
          <w:bCs/>
          <w:color w:val="333333"/>
          <w:sz w:val="24"/>
          <w:szCs w:val="24"/>
          <w:shd w:val="clear" w:color="auto" w:fill="FFFFFF"/>
        </w:rPr>
        <w:t>-</w:t>
      </w:r>
      <w:r w:rsidR="00F46905" w:rsidRPr="002B7CB6">
        <w:rPr>
          <w:rFonts w:ascii="Arial" w:hAnsi="Arial" w:cs="Arial"/>
          <w:b/>
          <w:bCs/>
          <w:color w:val="333333"/>
          <w:sz w:val="24"/>
          <w:szCs w:val="24"/>
          <w:shd w:val="clear" w:color="auto" w:fill="FFFFFF"/>
        </w:rPr>
        <w:t>standar</w:t>
      </w:r>
      <w:r w:rsidR="00283484" w:rsidRPr="002B7CB6">
        <w:rPr>
          <w:rFonts w:ascii="Arial" w:hAnsi="Arial" w:cs="Arial"/>
          <w:b/>
          <w:bCs/>
          <w:color w:val="333333"/>
          <w:sz w:val="24"/>
          <w:szCs w:val="24"/>
          <w:shd w:val="clear" w:color="auto" w:fill="FFFFFF"/>
        </w:rPr>
        <w:t>d</w:t>
      </w:r>
      <w:r w:rsidR="00F46905" w:rsidRPr="002B7CB6">
        <w:rPr>
          <w:rFonts w:ascii="Arial" w:hAnsi="Arial" w:cs="Arial"/>
          <w:b/>
          <w:bCs/>
          <w:color w:val="333333"/>
          <w:sz w:val="24"/>
          <w:szCs w:val="24"/>
          <w:shd w:val="clear" w:color="auto" w:fill="FFFFFF"/>
        </w:rPr>
        <w:t>ised</w:t>
      </w:r>
      <w:r w:rsidR="000C6326" w:rsidRPr="002B7CB6">
        <w:rPr>
          <w:rFonts w:ascii="Arial" w:hAnsi="Arial" w:cs="Arial"/>
          <w:b/>
          <w:bCs/>
          <w:color w:val="333333"/>
          <w:sz w:val="24"/>
          <w:szCs w:val="24"/>
          <w:shd w:val="clear" w:color="auto" w:fill="FFFFFF"/>
        </w:rPr>
        <w:t xml:space="preserve"> mean </w:t>
      </w:r>
      <w:r w:rsidR="00B30637" w:rsidRPr="002B7CB6">
        <w:rPr>
          <w:rFonts w:ascii="Arial" w:hAnsi="Arial" w:cs="Arial"/>
          <w:b/>
          <w:bCs/>
          <w:color w:val="333333"/>
          <w:sz w:val="24"/>
          <w:szCs w:val="24"/>
          <w:shd w:val="clear" w:color="auto" w:fill="FFFFFF"/>
        </w:rPr>
        <w:t xml:space="preserve">Warwick-Edinburgh Mental Well-being Scale (WEMWBS) </w:t>
      </w:r>
      <w:r w:rsidR="00A0433D" w:rsidRPr="002B7CB6">
        <w:rPr>
          <w:rFonts w:ascii="Arial" w:hAnsi="Arial" w:cs="Arial"/>
          <w:b/>
          <w:bCs/>
          <w:color w:val="333333"/>
          <w:sz w:val="24"/>
          <w:szCs w:val="24"/>
          <w:shd w:val="clear" w:color="auto" w:fill="FFFFFF"/>
        </w:rPr>
        <w:t xml:space="preserve">for adults aged 16 years and over, </w:t>
      </w:r>
      <w:r w:rsidR="00B30637" w:rsidRPr="002B7CB6">
        <w:rPr>
          <w:rFonts w:ascii="Arial" w:hAnsi="Arial" w:cs="Arial"/>
          <w:b/>
          <w:bCs/>
          <w:color w:val="333333"/>
          <w:sz w:val="24"/>
          <w:szCs w:val="24"/>
          <w:shd w:val="clear" w:color="auto" w:fill="FFFFFF"/>
        </w:rPr>
        <w:t xml:space="preserve">by </w:t>
      </w:r>
      <w:r w:rsidR="00567F4B" w:rsidRPr="002B7CB6">
        <w:rPr>
          <w:rFonts w:ascii="Arial" w:hAnsi="Arial" w:cs="Arial"/>
          <w:b/>
          <w:bCs/>
          <w:color w:val="333333"/>
          <w:sz w:val="24"/>
          <w:szCs w:val="24"/>
          <w:shd w:val="clear" w:color="auto" w:fill="FFFFFF"/>
        </w:rPr>
        <w:t>local</w:t>
      </w:r>
      <w:r w:rsidR="0053415E" w:rsidRPr="002B7CB6">
        <w:rPr>
          <w:rFonts w:ascii="Arial" w:hAnsi="Arial" w:cs="Arial"/>
          <w:b/>
          <w:bCs/>
          <w:color w:val="333333"/>
          <w:sz w:val="24"/>
          <w:szCs w:val="24"/>
          <w:shd w:val="clear" w:color="auto" w:fill="FFFFFF"/>
        </w:rPr>
        <w:t xml:space="preserve"> authori</w:t>
      </w:r>
      <w:r w:rsidRPr="002B7CB6">
        <w:rPr>
          <w:rFonts w:ascii="Arial" w:hAnsi="Arial" w:cs="Arial"/>
          <w:b/>
          <w:bCs/>
          <w:color w:val="333333"/>
          <w:sz w:val="24"/>
          <w:szCs w:val="24"/>
          <w:shd w:val="clear" w:color="auto" w:fill="FFFFFF"/>
        </w:rPr>
        <w:t xml:space="preserve">ty, </w:t>
      </w:r>
      <w:r w:rsidR="00B30637" w:rsidRPr="002B7CB6">
        <w:rPr>
          <w:rFonts w:ascii="Arial" w:hAnsi="Arial" w:cs="Arial"/>
          <w:b/>
          <w:bCs/>
          <w:color w:val="333333"/>
          <w:sz w:val="24"/>
          <w:szCs w:val="24"/>
          <w:shd w:val="clear" w:color="auto" w:fill="FFFFFF"/>
        </w:rPr>
        <w:t>health board</w:t>
      </w:r>
      <w:r w:rsidRPr="002B7CB6">
        <w:rPr>
          <w:rFonts w:ascii="Arial" w:hAnsi="Arial" w:cs="Arial"/>
          <w:b/>
          <w:bCs/>
          <w:color w:val="333333"/>
          <w:sz w:val="24"/>
          <w:szCs w:val="24"/>
          <w:shd w:val="clear" w:color="auto" w:fill="FFFFFF"/>
        </w:rPr>
        <w:t xml:space="preserve"> and Wales, 2016 to 2019</w:t>
      </w:r>
    </w:p>
    <w:tbl>
      <w:tblPr>
        <w:tblW w:w="8841" w:type="dxa"/>
        <w:tblLook w:val="04A0" w:firstRow="1" w:lastRow="0" w:firstColumn="1" w:lastColumn="0" w:noHBand="0" w:noVBand="1"/>
      </w:tblPr>
      <w:tblGrid>
        <w:gridCol w:w="3313"/>
        <w:gridCol w:w="2764"/>
        <w:gridCol w:w="2764"/>
      </w:tblGrid>
      <w:tr w:rsidR="00181157" w:rsidRPr="00181157" w14:paraId="72C09E23" w14:textId="77777777" w:rsidTr="00237D3A">
        <w:trPr>
          <w:trHeight w:val="256"/>
        </w:trPr>
        <w:tc>
          <w:tcPr>
            <w:tcW w:w="3313" w:type="dxa"/>
            <w:tcBorders>
              <w:top w:val="single" w:sz="4" w:space="0" w:color="auto"/>
              <w:left w:val="single" w:sz="4" w:space="0" w:color="auto"/>
              <w:bottom w:val="single" w:sz="4" w:space="0" w:color="C9C9C9"/>
              <w:right w:val="nil"/>
            </w:tcBorders>
            <w:shd w:val="clear" w:color="000000" w:fill="8497B0"/>
            <w:noWrap/>
            <w:vAlign w:val="bottom"/>
            <w:hideMark/>
          </w:tcPr>
          <w:p w14:paraId="1383F25E" w14:textId="77777777" w:rsidR="00181157" w:rsidRPr="00181157" w:rsidRDefault="00181157" w:rsidP="00DC54F7">
            <w:pPr>
              <w:spacing w:after="0" w:line="240" w:lineRule="auto"/>
              <w:jc w:val="both"/>
              <w:rPr>
                <w:rFonts w:ascii="Calibri" w:eastAsia="Times New Roman" w:hAnsi="Calibri" w:cs="Calibri"/>
                <w:b/>
                <w:bCs/>
                <w:color w:val="FFFFFF"/>
                <w:lang w:eastAsia="en-GB"/>
              </w:rPr>
            </w:pPr>
            <w:r w:rsidRPr="00181157">
              <w:rPr>
                <w:rFonts w:ascii="Calibri" w:eastAsia="Times New Roman" w:hAnsi="Calibri" w:cs="Calibri"/>
                <w:b/>
                <w:bCs/>
                <w:color w:val="FFFFFF"/>
                <w:lang w:eastAsia="en-GB"/>
              </w:rPr>
              <w:t>Area</w:t>
            </w:r>
          </w:p>
        </w:tc>
        <w:tc>
          <w:tcPr>
            <w:tcW w:w="2764" w:type="dxa"/>
            <w:tcBorders>
              <w:top w:val="single" w:sz="4" w:space="0" w:color="auto"/>
              <w:left w:val="nil"/>
              <w:bottom w:val="single" w:sz="4" w:space="0" w:color="C9C9C9"/>
              <w:right w:val="nil"/>
            </w:tcBorders>
            <w:shd w:val="clear" w:color="000000" w:fill="8497B0"/>
            <w:noWrap/>
            <w:vAlign w:val="bottom"/>
            <w:hideMark/>
          </w:tcPr>
          <w:p w14:paraId="47F5CE99" w14:textId="5EDEE6B9" w:rsidR="00181157" w:rsidRPr="00181157" w:rsidRDefault="00181157" w:rsidP="00DC54F7">
            <w:pPr>
              <w:spacing w:after="0" w:line="240" w:lineRule="auto"/>
              <w:jc w:val="both"/>
              <w:rPr>
                <w:rFonts w:ascii="Calibri" w:eastAsia="Times New Roman" w:hAnsi="Calibri" w:cs="Calibri"/>
                <w:b/>
                <w:bCs/>
                <w:color w:val="FFFFFF"/>
                <w:lang w:eastAsia="en-GB"/>
              </w:rPr>
            </w:pPr>
            <w:r w:rsidRPr="00181157">
              <w:rPr>
                <w:rFonts w:ascii="Calibri" w:eastAsia="Times New Roman" w:hAnsi="Calibri" w:cs="Calibri"/>
                <w:b/>
                <w:bCs/>
                <w:color w:val="FFFFFF"/>
                <w:lang w:eastAsia="en-GB"/>
              </w:rPr>
              <w:t>2016</w:t>
            </w:r>
            <w:r w:rsidR="009073EB">
              <w:rPr>
                <w:rFonts w:ascii="Calibri" w:eastAsia="Times New Roman" w:hAnsi="Calibri" w:cs="Calibri"/>
                <w:b/>
                <w:bCs/>
                <w:color w:val="FFFFFF"/>
                <w:lang w:eastAsia="en-GB"/>
              </w:rPr>
              <w:t xml:space="preserve"> to 20</w:t>
            </w:r>
            <w:r w:rsidRPr="00181157">
              <w:rPr>
                <w:rFonts w:ascii="Calibri" w:eastAsia="Times New Roman" w:hAnsi="Calibri" w:cs="Calibri"/>
                <w:b/>
                <w:bCs/>
                <w:color w:val="FFFFFF"/>
                <w:lang w:eastAsia="en-GB"/>
              </w:rPr>
              <w:t xml:space="preserve">17 </w:t>
            </w:r>
          </w:p>
        </w:tc>
        <w:tc>
          <w:tcPr>
            <w:tcW w:w="2764" w:type="dxa"/>
            <w:tcBorders>
              <w:top w:val="single" w:sz="4" w:space="0" w:color="auto"/>
              <w:left w:val="nil"/>
              <w:bottom w:val="single" w:sz="4" w:space="0" w:color="C9C9C9"/>
              <w:right w:val="single" w:sz="4" w:space="0" w:color="auto"/>
            </w:tcBorders>
            <w:shd w:val="clear" w:color="000000" w:fill="8497B0"/>
            <w:noWrap/>
            <w:vAlign w:val="bottom"/>
            <w:hideMark/>
          </w:tcPr>
          <w:p w14:paraId="3C03A43D" w14:textId="16601C5E" w:rsidR="00181157" w:rsidRPr="00181157" w:rsidRDefault="00181157" w:rsidP="00DC54F7">
            <w:pPr>
              <w:spacing w:after="0" w:line="240" w:lineRule="auto"/>
              <w:jc w:val="both"/>
              <w:rPr>
                <w:rFonts w:ascii="Calibri" w:eastAsia="Times New Roman" w:hAnsi="Calibri" w:cs="Calibri"/>
                <w:b/>
                <w:bCs/>
                <w:color w:val="FFFFFF"/>
                <w:lang w:eastAsia="en-GB"/>
              </w:rPr>
            </w:pPr>
            <w:r w:rsidRPr="00181157">
              <w:rPr>
                <w:rFonts w:ascii="Calibri" w:eastAsia="Times New Roman" w:hAnsi="Calibri" w:cs="Calibri"/>
                <w:b/>
                <w:bCs/>
                <w:color w:val="FFFFFF"/>
                <w:lang w:eastAsia="en-GB"/>
              </w:rPr>
              <w:t>2018</w:t>
            </w:r>
            <w:r w:rsidR="009073EB">
              <w:rPr>
                <w:rFonts w:ascii="Calibri" w:eastAsia="Times New Roman" w:hAnsi="Calibri" w:cs="Calibri"/>
                <w:b/>
                <w:bCs/>
                <w:color w:val="FFFFFF"/>
                <w:lang w:eastAsia="en-GB"/>
              </w:rPr>
              <w:t xml:space="preserve"> to 20</w:t>
            </w:r>
            <w:r w:rsidRPr="00181157">
              <w:rPr>
                <w:rFonts w:ascii="Calibri" w:eastAsia="Times New Roman" w:hAnsi="Calibri" w:cs="Calibri"/>
                <w:b/>
                <w:bCs/>
                <w:color w:val="FFFFFF"/>
                <w:lang w:eastAsia="en-GB"/>
              </w:rPr>
              <w:t xml:space="preserve">19 </w:t>
            </w:r>
          </w:p>
        </w:tc>
      </w:tr>
      <w:tr w:rsidR="00181157" w:rsidRPr="00181157" w14:paraId="3C11CA7A" w14:textId="77777777" w:rsidTr="00237D3A">
        <w:trPr>
          <w:trHeight w:val="256"/>
        </w:trPr>
        <w:tc>
          <w:tcPr>
            <w:tcW w:w="3313" w:type="dxa"/>
            <w:tcBorders>
              <w:top w:val="single" w:sz="4" w:space="0" w:color="C9C9C9"/>
              <w:left w:val="single" w:sz="4" w:space="0" w:color="auto"/>
              <w:bottom w:val="single" w:sz="4" w:space="0" w:color="C9C9C9"/>
              <w:right w:val="nil"/>
            </w:tcBorders>
            <w:shd w:val="clear" w:color="EDEDED" w:fill="EDEDED"/>
            <w:noWrap/>
            <w:vAlign w:val="bottom"/>
            <w:hideMark/>
          </w:tcPr>
          <w:p w14:paraId="627F86B8" w14:textId="77777777" w:rsidR="00181157" w:rsidRPr="00181157" w:rsidRDefault="00181157" w:rsidP="00DC54F7">
            <w:pPr>
              <w:spacing w:after="0" w:line="240" w:lineRule="auto"/>
              <w:jc w:val="both"/>
              <w:rPr>
                <w:rFonts w:ascii="Calibri" w:eastAsia="Times New Roman" w:hAnsi="Calibri" w:cs="Calibri"/>
                <w:color w:val="000000"/>
                <w:lang w:eastAsia="en-GB"/>
              </w:rPr>
            </w:pPr>
            <w:r w:rsidRPr="00181157">
              <w:rPr>
                <w:rFonts w:ascii="Calibri" w:eastAsia="Times New Roman" w:hAnsi="Calibri" w:cs="Calibri"/>
                <w:color w:val="000000"/>
                <w:lang w:eastAsia="en-GB"/>
              </w:rPr>
              <w:t xml:space="preserve">Cardiff </w:t>
            </w:r>
          </w:p>
        </w:tc>
        <w:tc>
          <w:tcPr>
            <w:tcW w:w="2764" w:type="dxa"/>
            <w:tcBorders>
              <w:top w:val="single" w:sz="4" w:space="0" w:color="C9C9C9"/>
              <w:left w:val="nil"/>
              <w:bottom w:val="single" w:sz="4" w:space="0" w:color="C9C9C9"/>
              <w:right w:val="nil"/>
            </w:tcBorders>
            <w:shd w:val="clear" w:color="EDEDED" w:fill="EDEDED"/>
            <w:noWrap/>
            <w:vAlign w:val="bottom"/>
            <w:hideMark/>
          </w:tcPr>
          <w:p w14:paraId="51603129" w14:textId="77777777" w:rsidR="00181157" w:rsidRPr="00181157" w:rsidRDefault="00181157" w:rsidP="00DC54F7">
            <w:pPr>
              <w:spacing w:after="0" w:line="240" w:lineRule="auto"/>
              <w:jc w:val="both"/>
              <w:rPr>
                <w:rFonts w:ascii="Calibri" w:eastAsia="Times New Roman" w:hAnsi="Calibri" w:cs="Calibri"/>
                <w:color w:val="000000"/>
                <w:lang w:eastAsia="en-GB"/>
              </w:rPr>
            </w:pPr>
            <w:r w:rsidRPr="00181157">
              <w:rPr>
                <w:rFonts w:ascii="Calibri" w:eastAsia="Times New Roman" w:hAnsi="Calibri" w:cs="Calibri"/>
                <w:color w:val="000000"/>
                <w:lang w:eastAsia="en-GB"/>
              </w:rPr>
              <w:t>51.8</w:t>
            </w:r>
          </w:p>
        </w:tc>
        <w:tc>
          <w:tcPr>
            <w:tcW w:w="2764" w:type="dxa"/>
            <w:tcBorders>
              <w:top w:val="single" w:sz="4" w:space="0" w:color="C9C9C9"/>
              <w:left w:val="nil"/>
              <w:bottom w:val="single" w:sz="4" w:space="0" w:color="C9C9C9"/>
              <w:right w:val="single" w:sz="4" w:space="0" w:color="auto"/>
            </w:tcBorders>
            <w:shd w:val="clear" w:color="EDEDED" w:fill="EDEDED"/>
            <w:noWrap/>
            <w:vAlign w:val="bottom"/>
            <w:hideMark/>
          </w:tcPr>
          <w:p w14:paraId="724AD672" w14:textId="77777777" w:rsidR="00181157" w:rsidRPr="00181157" w:rsidRDefault="00181157" w:rsidP="00DC54F7">
            <w:pPr>
              <w:spacing w:after="0" w:line="240" w:lineRule="auto"/>
              <w:jc w:val="both"/>
              <w:rPr>
                <w:rFonts w:ascii="Calibri" w:eastAsia="Times New Roman" w:hAnsi="Calibri" w:cs="Calibri"/>
                <w:color w:val="000000"/>
                <w:lang w:eastAsia="en-GB"/>
              </w:rPr>
            </w:pPr>
            <w:r w:rsidRPr="00181157">
              <w:rPr>
                <w:rFonts w:ascii="Calibri" w:eastAsia="Times New Roman" w:hAnsi="Calibri" w:cs="Calibri"/>
                <w:color w:val="000000"/>
                <w:lang w:eastAsia="en-GB"/>
              </w:rPr>
              <w:t>53.2</w:t>
            </w:r>
          </w:p>
        </w:tc>
      </w:tr>
      <w:tr w:rsidR="00181157" w:rsidRPr="00181157" w14:paraId="446C51E0" w14:textId="77777777" w:rsidTr="00237D3A">
        <w:trPr>
          <w:trHeight w:val="256"/>
        </w:trPr>
        <w:tc>
          <w:tcPr>
            <w:tcW w:w="3313" w:type="dxa"/>
            <w:tcBorders>
              <w:top w:val="single" w:sz="4" w:space="0" w:color="C9C9C9"/>
              <w:left w:val="single" w:sz="4" w:space="0" w:color="auto"/>
              <w:bottom w:val="single" w:sz="4" w:space="0" w:color="C9C9C9"/>
              <w:right w:val="nil"/>
            </w:tcBorders>
            <w:shd w:val="clear" w:color="auto" w:fill="auto"/>
            <w:noWrap/>
            <w:vAlign w:val="bottom"/>
            <w:hideMark/>
          </w:tcPr>
          <w:p w14:paraId="119175ED" w14:textId="77777777" w:rsidR="00181157" w:rsidRPr="00181157" w:rsidRDefault="00181157" w:rsidP="00DC54F7">
            <w:pPr>
              <w:spacing w:after="0" w:line="240" w:lineRule="auto"/>
              <w:jc w:val="both"/>
              <w:rPr>
                <w:rFonts w:ascii="Calibri" w:eastAsia="Times New Roman" w:hAnsi="Calibri" w:cs="Calibri"/>
                <w:color w:val="000000"/>
                <w:lang w:eastAsia="en-GB"/>
              </w:rPr>
            </w:pPr>
            <w:r w:rsidRPr="00181157">
              <w:rPr>
                <w:rFonts w:ascii="Calibri" w:eastAsia="Times New Roman" w:hAnsi="Calibri" w:cs="Calibri"/>
                <w:color w:val="000000"/>
                <w:lang w:eastAsia="en-GB"/>
              </w:rPr>
              <w:t xml:space="preserve">Vale of Glamorgan </w:t>
            </w:r>
          </w:p>
        </w:tc>
        <w:tc>
          <w:tcPr>
            <w:tcW w:w="2764" w:type="dxa"/>
            <w:tcBorders>
              <w:top w:val="single" w:sz="4" w:space="0" w:color="C9C9C9"/>
              <w:left w:val="nil"/>
              <w:bottom w:val="single" w:sz="4" w:space="0" w:color="C9C9C9"/>
              <w:right w:val="nil"/>
            </w:tcBorders>
            <w:shd w:val="clear" w:color="auto" w:fill="auto"/>
            <w:noWrap/>
            <w:vAlign w:val="bottom"/>
            <w:hideMark/>
          </w:tcPr>
          <w:p w14:paraId="1465C324" w14:textId="77777777" w:rsidR="00181157" w:rsidRPr="00181157" w:rsidRDefault="00181157" w:rsidP="00DC54F7">
            <w:pPr>
              <w:spacing w:after="0" w:line="240" w:lineRule="auto"/>
              <w:jc w:val="both"/>
              <w:rPr>
                <w:rFonts w:ascii="Calibri" w:eastAsia="Times New Roman" w:hAnsi="Calibri" w:cs="Calibri"/>
                <w:color w:val="000000"/>
                <w:lang w:eastAsia="en-GB"/>
              </w:rPr>
            </w:pPr>
            <w:r w:rsidRPr="00181157">
              <w:rPr>
                <w:rFonts w:ascii="Calibri" w:eastAsia="Times New Roman" w:hAnsi="Calibri" w:cs="Calibri"/>
                <w:color w:val="000000"/>
                <w:lang w:eastAsia="en-GB"/>
              </w:rPr>
              <w:t>51.0</w:t>
            </w:r>
          </w:p>
        </w:tc>
        <w:tc>
          <w:tcPr>
            <w:tcW w:w="2764" w:type="dxa"/>
            <w:tcBorders>
              <w:top w:val="single" w:sz="4" w:space="0" w:color="C9C9C9"/>
              <w:left w:val="nil"/>
              <w:bottom w:val="single" w:sz="4" w:space="0" w:color="C9C9C9"/>
              <w:right w:val="single" w:sz="4" w:space="0" w:color="auto"/>
            </w:tcBorders>
            <w:shd w:val="clear" w:color="auto" w:fill="auto"/>
            <w:noWrap/>
            <w:vAlign w:val="bottom"/>
            <w:hideMark/>
          </w:tcPr>
          <w:p w14:paraId="1EFBFED7" w14:textId="77777777" w:rsidR="00181157" w:rsidRPr="00181157" w:rsidRDefault="00181157" w:rsidP="00DC54F7">
            <w:pPr>
              <w:spacing w:after="0" w:line="240" w:lineRule="auto"/>
              <w:jc w:val="both"/>
              <w:rPr>
                <w:rFonts w:ascii="Calibri" w:eastAsia="Times New Roman" w:hAnsi="Calibri" w:cs="Calibri"/>
                <w:color w:val="000000"/>
                <w:lang w:eastAsia="en-GB"/>
              </w:rPr>
            </w:pPr>
            <w:r w:rsidRPr="00181157">
              <w:rPr>
                <w:rFonts w:ascii="Calibri" w:eastAsia="Times New Roman" w:hAnsi="Calibri" w:cs="Calibri"/>
                <w:color w:val="000000"/>
                <w:lang w:eastAsia="en-GB"/>
              </w:rPr>
              <w:t>50.0</w:t>
            </w:r>
          </w:p>
        </w:tc>
      </w:tr>
      <w:tr w:rsidR="00181157" w:rsidRPr="00181157" w14:paraId="22865475" w14:textId="77777777" w:rsidTr="00237D3A">
        <w:trPr>
          <w:trHeight w:val="256"/>
        </w:trPr>
        <w:tc>
          <w:tcPr>
            <w:tcW w:w="3313" w:type="dxa"/>
            <w:tcBorders>
              <w:top w:val="single" w:sz="4" w:space="0" w:color="C9C9C9"/>
              <w:left w:val="single" w:sz="4" w:space="0" w:color="auto"/>
              <w:bottom w:val="single" w:sz="4" w:space="0" w:color="C9C9C9"/>
              <w:right w:val="nil"/>
            </w:tcBorders>
            <w:shd w:val="clear" w:color="EDEDED" w:fill="EDEDED"/>
            <w:noWrap/>
            <w:vAlign w:val="bottom"/>
            <w:hideMark/>
          </w:tcPr>
          <w:p w14:paraId="0A8DDB11" w14:textId="77777777" w:rsidR="00181157" w:rsidRPr="00181157" w:rsidRDefault="00181157" w:rsidP="00DC54F7">
            <w:pPr>
              <w:spacing w:after="0" w:line="240" w:lineRule="auto"/>
              <w:jc w:val="both"/>
              <w:rPr>
                <w:rFonts w:ascii="Calibri" w:eastAsia="Times New Roman" w:hAnsi="Calibri" w:cs="Calibri"/>
                <w:color w:val="000000"/>
                <w:lang w:eastAsia="en-GB"/>
              </w:rPr>
            </w:pPr>
            <w:r w:rsidRPr="00181157">
              <w:rPr>
                <w:rFonts w:ascii="Calibri" w:eastAsia="Times New Roman" w:hAnsi="Calibri" w:cs="Calibri"/>
                <w:color w:val="000000"/>
                <w:lang w:eastAsia="en-GB"/>
              </w:rPr>
              <w:t>Cardiff and Vale UHB</w:t>
            </w:r>
          </w:p>
        </w:tc>
        <w:tc>
          <w:tcPr>
            <w:tcW w:w="2764" w:type="dxa"/>
            <w:tcBorders>
              <w:top w:val="single" w:sz="4" w:space="0" w:color="C9C9C9"/>
              <w:left w:val="nil"/>
              <w:bottom w:val="single" w:sz="4" w:space="0" w:color="C9C9C9"/>
              <w:right w:val="nil"/>
            </w:tcBorders>
            <w:shd w:val="clear" w:color="EDEDED" w:fill="EDEDED"/>
            <w:noWrap/>
            <w:vAlign w:val="bottom"/>
            <w:hideMark/>
          </w:tcPr>
          <w:p w14:paraId="7F19C2BC" w14:textId="77777777" w:rsidR="00181157" w:rsidRPr="00181157" w:rsidRDefault="00181157" w:rsidP="00DC54F7">
            <w:pPr>
              <w:spacing w:after="0" w:line="240" w:lineRule="auto"/>
              <w:jc w:val="both"/>
              <w:rPr>
                <w:rFonts w:ascii="Calibri" w:eastAsia="Times New Roman" w:hAnsi="Calibri" w:cs="Calibri"/>
                <w:color w:val="000000"/>
                <w:lang w:eastAsia="en-GB"/>
              </w:rPr>
            </w:pPr>
            <w:r w:rsidRPr="00181157">
              <w:rPr>
                <w:rFonts w:ascii="Calibri" w:eastAsia="Times New Roman" w:hAnsi="Calibri" w:cs="Calibri"/>
                <w:color w:val="000000"/>
                <w:lang w:eastAsia="en-GB"/>
              </w:rPr>
              <w:t>51.6</w:t>
            </w:r>
          </w:p>
        </w:tc>
        <w:tc>
          <w:tcPr>
            <w:tcW w:w="2764" w:type="dxa"/>
            <w:tcBorders>
              <w:top w:val="single" w:sz="4" w:space="0" w:color="C9C9C9"/>
              <w:left w:val="nil"/>
              <w:bottom w:val="single" w:sz="4" w:space="0" w:color="C9C9C9"/>
              <w:right w:val="single" w:sz="4" w:space="0" w:color="auto"/>
            </w:tcBorders>
            <w:shd w:val="clear" w:color="EDEDED" w:fill="EDEDED"/>
            <w:noWrap/>
            <w:vAlign w:val="bottom"/>
            <w:hideMark/>
          </w:tcPr>
          <w:p w14:paraId="1A50A2E8" w14:textId="77777777" w:rsidR="00181157" w:rsidRPr="00181157" w:rsidRDefault="00181157" w:rsidP="00DC54F7">
            <w:pPr>
              <w:spacing w:after="0" w:line="240" w:lineRule="auto"/>
              <w:jc w:val="both"/>
              <w:rPr>
                <w:rFonts w:ascii="Calibri" w:eastAsia="Times New Roman" w:hAnsi="Calibri" w:cs="Calibri"/>
                <w:color w:val="000000"/>
                <w:lang w:eastAsia="en-GB"/>
              </w:rPr>
            </w:pPr>
            <w:r w:rsidRPr="00181157">
              <w:rPr>
                <w:rFonts w:ascii="Calibri" w:eastAsia="Times New Roman" w:hAnsi="Calibri" w:cs="Calibri"/>
                <w:color w:val="000000"/>
                <w:lang w:eastAsia="en-GB"/>
              </w:rPr>
              <w:t>52.5</w:t>
            </w:r>
          </w:p>
        </w:tc>
      </w:tr>
      <w:tr w:rsidR="00181157" w:rsidRPr="00181157" w14:paraId="12C0655E" w14:textId="77777777" w:rsidTr="00237D3A">
        <w:trPr>
          <w:trHeight w:val="256"/>
        </w:trPr>
        <w:tc>
          <w:tcPr>
            <w:tcW w:w="3313" w:type="dxa"/>
            <w:tcBorders>
              <w:top w:val="single" w:sz="4" w:space="0" w:color="C9C9C9"/>
              <w:left w:val="single" w:sz="4" w:space="0" w:color="auto"/>
              <w:bottom w:val="single" w:sz="4" w:space="0" w:color="auto"/>
              <w:right w:val="nil"/>
            </w:tcBorders>
            <w:shd w:val="clear" w:color="auto" w:fill="auto"/>
            <w:noWrap/>
            <w:vAlign w:val="bottom"/>
            <w:hideMark/>
          </w:tcPr>
          <w:p w14:paraId="1662CC7F" w14:textId="77777777" w:rsidR="00181157" w:rsidRPr="00181157" w:rsidRDefault="00181157" w:rsidP="00DC54F7">
            <w:pPr>
              <w:spacing w:after="0" w:line="240" w:lineRule="auto"/>
              <w:jc w:val="both"/>
              <w:rPr>
                <w:rFonts w:ascii="Calibri" w:eastAsia="Times New Roman" w:hAnsi="Calibri" w:cs="Calibri"/>
                <w:color w:val="000000"/>
                <w:lang w:eastAsia="en-GB"/>
              </w:rPr>
            </w:pPr>
            <w:r w:rsidRPr="00181157">
              <w:rPr>
                <w:rFonts w:ascii="Calibri" w:eastAsia="Times New Roman" w:hAnsi="Calibri" w:cs="Calibri"/>
                <w:color w:val="000000"/>
                <w:lang w:eastAsia="en-GB"/>
              </w:rPr>
              <w:t xml:space="preserve">Wales </w:t>
            </w:r>
          </w:p>
        </w:tc>
        <w:tc>
          <w:tcPr>
            <w:tcW w:w="2764" w:type="dxa"/>
            <w:tcBorders>
              <w:top w:val="single" w:sz="4" w:space="0" w:color="C9C9C9"/>
              <w:left w:val="nil"/>
              <w:bottom w:val="single" w:sz="4" w:space="0" w:color="auto"/>
              <w:right w:val="nil"/>
            </w:tcBorders>
            <w:shd w:val="clear" w:color="auto" w:fill="auto"/>
            <w:noWrap/>
            <w:vAlign w:val="bottom"/>
            <w:hideMark/>
          </w:tcPr>
          <w:p w14:paraId="674BDC42" w14:textId="77777777" w:rsidR="00181157" w:rsidRPr="00181157" w:rsidRDefault="00181157" w:rsidP="00DC54F7">
            <w:pPr>
              <w:spacing w:after="0" w:line="240" w:lineRule="auto"/>
              <w:jc w:val="both"/>
              <w:rPr>
                <w:rFonts w:ascii="Calibri" w:eastAsia="Times New Roman" w:hAnsi="Calibri" w:cs="Calibri"/>
                <w:color w:val="000000"/>
                <w:lang w:eastAsia="en-GB"/>
              </w:rPr>
            </w:pPr>
            <w:r w:rsidRPr="00181157">
              <w:rPr>
                <w:rFonts w:ascii="Calibri" w:eastAsia="Times New Roman" w:hAnsi="Calibri" w:cs="Calibri"/>
                <w:color w:val="000000"/>
                <w:lang w:eastAsia="en-GB"/>
              </w:rPr>
              <w:t>50.9</w:t>
            </w:r>
          </w:p>
        </w:tc>
        <w:tc>
          <w:tcPr>
            <w:tcW w:w="2764" w:type="dxa"/>
            <w:tcBorders>
              <w:top w:val="single" w:sz="4" w:space="0" w:color="C9C9C9"/>
              <w:left w:val="nil"/>
              <w:bottom w:val="single" w:sz="4" w:space="0" w:color="auto"/>
              <w:right w:val="single" w:sz="4" w:space="0" w:color="auto"/>
            </w:tcBorders>
            <w:shd w:val="clear" w:color="auto" w:fill="auto"/>
            <w:noWrap/>
            <w:vAlign w:val="bottom"/>
            <w:hideMark/>
          </w:tcPr>
          <w:p w14:paraId="644DABB0" w14:textId="77777777" w:rsidR="00181157" w:rsidRPr="00181157" w:rsidRDefault="00181157" w:rsidP="00DC54F7">
            <w:pPr>
              <w:spacing w:after="0" w:line="240" w:lineRule="auto"/>
              <w:jc w:val="both"/>
              <w:rPr>
                <w:rFonts w:ascii="Calibri" w:eastAsia="Times New Roman" w:hAnsi="Calibri" w:cs="Calibri"/>
                <w:color w:val="000000"/>
                <w:lang w:eastAsia="en-GB"/>
              </w:rPr>
            </w:pPr>
            <w:r w:rsidRPr="00181157">
              <w:rPr>
                <w:rFonts w:ascii="Calibri" w:eastAsia="Times New Roman" w:hAnsi="Calibri" w:cs="Calibri"/>
                <w:color w:val="000000"/>
                <w:lang w:eastAsia="en-GB"/>
              </w:rPr>
              <w:t>51.4</w:t>
            </w:r>
          </w:p>
        </w:tc>
      </w:tr>
    </w:tbl>
    <w:p w14:paraId="413C47C3" w14:textId="207A16D1" w:rsidR="00690C5E" w:rsidRPr="00B31D24" w:rsidRDefault="00E724F6" w:rsidP="00DC54F7">
      <w:pPr>
        <w:spacing w:after="0" w:line="240" w:lineRule="auto"/>
        <w:contextualSpacing/>
        <w:jc w:val="both"/>
        <w:rPr>
          <w:rFonts w:ascii="Arial" w:hAnsi="Arial" w:cs="Arial"/>
          <w:color w:val="333333"/>
          <w:sz w:val="20"/>
          <w:szCs w:val="20"/>
          <w:shd w:val="clear" w:color="auto" w:fill="FFFFFF"/>
        </w:rPr>
      </w:pPr>
      <w:r w:rsidRPr="00B31D24">
        <w:rPr>
          <w:rFonts w:ascii="Arial" w:hAnsi="Arial" w:cs="Arial"/>
          <w:color w:val="333333"/>
          <w:sz w:val="20"/>
          <w:szCs w:val="20"/>
          <w:shd w:val="clear" w:color="auto" w:fill="FFFFFF"/>
        </w:rPr>
        <w:t xml:space="preserve">Source: </w:t>
      </w:r>
      <w:r w:rsidR="000E5CFD" w:rsidRPr="00B31D24">
        <w:rPr>
          <w:rFonts w:ascii="Arial" w:hAnsi="Arial" w:cs="Arial"/>
          <w:color w:val="333333"/>
          <w:sz w:val="20"/>
          <w:szCs w:val="20"/>
          <w:shd w:val="clear" w:color="auto" w:fill="FFFFFF"/>
        </w:rPr>
        <w:t>StatsWales</w:t>
      </w:r>
      <w:r w:rsidR="00321EFD" w:rsidRPr="00B31D24">
        <w:rPr>
          <w:rFonts w:ascii="Arial" w:hAnsi="Arial" w:cs="Arial"/>
          <w:color w:val="333333"/>
          <w:sz w:val="20"/>
          <w:szCs w:val="20"/>
          <w:shd w:val="clear" w:color="auto" w:fill="FFFFFF"/>
        </w:rPr>
        <w:t xml:space="preserve"> - </w:t>
      </w:r>
      <w:r w:rsidRPr="00B31D24">
        <w:rPr>
          <w:rFonts w:ascii="Arial" w:hAnsi="Arial" w:cs="Arial"/>
          <w:color w:val="333333"/>
          <w:sz w:val="20"/>
          <w:szCs w:val="20"/>
          <w:shd w:val="clear" w:color="auto" w:fill="FFFFFF"/>
        </w:rPr>
        <w:t>National Survey for Wales, Welsh Government</w:t>
      </w:r>
    </w:p>
    <w:p w14:paraId="16640809" w14:textId="77777777" w:rsidR="00A0433D" w:rsidRDefault="00A0433D" w:rsidP="00DC54F7">
      <w:pPr>
        <w:spacing w:after="0" w:line="240" w:lineRule="auto"/>
        <w:contextualSpacing/>
        <w:jc w:val="both"/>
        <w:rPr>
          <w:rFonts w:ascii="Arial" w:hAnsi="Arial" w:cs="Arial"/>
        </w:rPr>
      </w:pPr>
    </w:p>
    <w:p w14:paraId="22C1B0FD" w14:textId="12EE92AD" w:rsidR="00762645" w:rsidRPr="002B7CB6" w:rsidRDefault="008A3EA3" w:rsidP="00DC54F7">
      <w:pPr>
        <w:spacing w:after="0" w:line="240" w:lineRule="auto"/>
        <w:contextualSpacing/>
        <w:jc w:val="both"/>
        <w:rPr>
          <w:rFonts w:ascii="Arial" w:hAnsi="Arial" w:cs="Arial"/>
          <w:sz w:val="24"/>
          <w:szCs w:val="24"/>
        </w:rPr>
      </w:pPr>
      <w:r w:rsidRPr="002B7CB6">
        <w:rPr>
          <w:rFonts w:ascii="Arial" w:hAnsi="Arial" w:cs="Arial"/>
          <w:sz w:val="24"/>
          <w:szCs w:val="24"/>
        </w:rPr>
        <w:t xml:space="preserve">The National Survey for Wales </w:t>
      </w:r>
      <w:r w:rsidR="001E4139" w:rsidRPr="002B7CB6">
        <w:rPr>
          <w:rFonts w:ascii="Arial" w:hAnsi="Arial" w:cs="Arial"/>
          <w:sz w:val="24"/>
          <w:szCs w:val="24"/>
        </w:rPr>
        <w:t xml:space="preserve">also measures levels of loneliness in Wales. </w:t>
      </w:r>
      <w:r w:rsidR="00905E98" w:rsidRPr="002B7CB6">
        <w:rPr>
          <w:rFonts w:ascii="Arial" w:hAnsi="Arial" w:cs="Arial"/>
          <w:sz w:val="24"/>
          <w:szCs w:val="24"/>
        </w:rPr>
        <w:t xml:space="preserve">In 2019 to 2020, </w:t>
      </w:r>
      <w:r w:rsidR="00EE6E64" w:rsidRPr="002B7CB6">
        <w:rPr>
          <w:rFonts w:ascii="Arial" w:hAnsi="Arial" w:cs="Arial"/>
          <w:sz w:val="24"/>
          <w:szCs w:val="24"/>
        </w:rPr>
        <w:t>15% of people</w:t>
      </w:r>
      <w:r w:rsidR="001039A8" w:rsidRPr="002B7CB6">
        <w:rPr>
          <w:rFonts w:ascii="Arial" w:hAnsi="Arial" w:cs="Arial"/>
          <w:sz w:val="24"/>
          <w:szCs w:val="24"/>
        </w:rPr>
        <w:t xml:space="preserve"> aged 16 years</w:t>
      </w:r>
      <w:r w:rsidR="000842EE" w:rsidRPr="002B7CB6">
        <w:rPr>
          <w:rFonts w:ascii="Arial" w:hAnsi="Arial" w:cs="Arial"/>
          <w:sz w:val="24"/>
          <w:szCs w:val="24"/>
        </w:rPr>
        <w:t xml:space="preserve"> and over</w:t>
      </w:r>
      <w:r w:rsidR="00EE6E64" w:rsidRPr="002B7CB6">
        <w:rPr>
          <w:rFonts w:ascii="Arial" w:hAnsi="Arial" w:cs="Arial"/>
          <w:sz w:val="24"/>
          <w:szCs w:val="24"/>
        </w:rPr>
        <w:t xml:space="preserve"> in Wales</w:t>
      </w:r>
      <w:r w:rsidR="00905E98" w:rsidRPr="002B7CB6">
        <w:rPr>
          <w:rFonts w:ascii="Arial" w:hAnsi="Arial" w:cs="Arial"/>
          <w:sz w:val="24"/>
          <w:szCs w:val="24"/>
        </w:rPr>
        <w:t xml:space="preserve"> reported that they</w:t>
      </w:r>
      <w:r w:rsidR="00EE6E64" w:rsidRPr="002B7CB6">
        <w:rPr>
          <w:rFonts w:ascii="Arial" w:hAnsi="Arial" w:cs="Arial"/>
          <w:sz w:val="24"/>
          <w:szCs w:val="24"/>
        </w:rPr>
        <w:t xml:space="preserve"> were lonely.</w:t>
      </w:r>
      <w:r w:rsidR="004535A2" w:rsidRPr="002B7CB6">
        <w:rPr>
          <w:rFonts w:ascii="Arial" w:hAnsi="Arial" w:cs="Arial"/>
          <w:sz w:val="24"/>
          <w:szCs w:val="24"/>
        </w:rPr>
        <w:t xml:space="preserve"> </w:t>
      </w:r>
      <w:r w:rsidR="00AB33E1" w:rsidRPr="002B7CB6">
        <w:rPr>
          <w:rFonts w:ascii="Arial" w:hAnsi="Arial" w:cs="Arial"/>
          <w:sz w:val="24"/>
          <w:szCs w:val="24"/>
        </w:rPr>
        <w:t>Cardiff</w:t>
      </w:r>
      <w:r w:rsidR="0054496A" w:rsidRPr="002B7CB6">
        <w:rPr>
          <w:rFonts w:ascii="Arial" w:hAnsi="Arial" w:cs="Arial"/>
          <w:sz w:val="24"/>
          <w:szCs w:val="24"/>
        </w:rPr>
        <w:t xml:space="preserve"> </w:t>
      </w:r>
      <w:r w:rsidR="00F855CF" w:rsidRPr="002B7CB6">
        <w:rPr>
          <w:rFonts w:ascii="Arial" w:hAnsi="Arial" w:cs="Arial"/>
          <w:sz w:val="24"/>
          <w:szCs w:val="24"/>
        </w:rPr>
        <w:t>was</w:t>
      </w:r>
      <w:r w:rsidR="00AB33E1" w:rsidRPr="002B7CB6">
        <w:rPr>
          <w:rFonts w:ascii="Arial" w:hAnsi="Arial" w:cs="Arial"/>
          <w:sz w:val="24"/>
          <w:szCs w:val="24"/>
        </w:rPr>
        <w:t xml:space="preserve"> slightly higher at 17% and </w:t>
      </w:r>
      <w:r w:rsidR="001318EA" w:rsidRPr="002B7CB6">
        <w:rPr>
          <w:rFonts w:ascii="Arial" w:hAnsi="Arial" w:cs="Arial"/>
          <w:sz w:val="24"/>
          <w:szCs w:val="24"/>
        </w:rPr>
        <w:t>the Vale of Glamorgan slightl</w:t>
      </w:r>
      <w:r w:rsidR="00EB34CF" w:rsidRPr="002B7CB6">
        <w:rPr>
          <w:rFonts w:ascii="Arial" w:hAnsi="Arial" w:cs="Arial"/>
          <w:sz w:val="24"/>
          <w:szCs w:val="24"/>
        </w:rPr>
        <w:t xml:space="preserve">y lower at 14%. </w:t>
      </w:r>
      <w:r w:rsidR="00D452BD" w:rsidRPr="002B7CB6">
        <w:rPr>
          <w:rFonts w:ascii="Arial" w:hAnsi="Arial" w:cs="Arial"/>
          <w:sz w:val="24"/>
          <w:szCs w:val="24"/>
        </w:rPr>
        <w:t xml:space="preserve">In addition, the </w:t>
      </w:r>
      <w:r w:rsidR="00DE4F2C" w:rsidRPr="002B7CB6">
        <w:rPr>
          <w:rFonts w:ascii="Arial" w:hAnsi="Arial" w:cs="Arial"/>
          <w:sz w:val="24"/>
          <w:szCs w:val="24"/>
        </w:rPr>
        <w:t xml:space="preserve">survey results showed that </w:t>
      </w:r>
      <w:r w:rsidR="00273EA1" w:rsidRPr="002B7CB6">
        <w:rPr>
          <w:rFonts w:ascii="Arial" w:hAnsi="Arial" w:cs="Arial"/>
          <w:sz w:val="24"/>
          <w:szCs w:val="24"/>
        </w:rPr>
        <w:t xml:space="preserve">44% of those with a mental illness (including anxiety and depression) </w:t>
      </w:r>
      <w:r w:rsidR="006468AE" w:rsidRPr="002B7CB6">
        <w:rPr>
          <w:rFonts w:ascii="Arial" w:hAnsi="Arial" w:cs="Arial"/>
          <w:sz w:val="24"/>
          <w:szCs w:val="24"/>
        </w:rPr>
        <w:t xml:space="preserve">were </w:t>
      </w:r>
      <w:r w:rsidR="00273EA1" w:rsidRPr="002B7CB6">
        <w:rPr>
          <w:rFonts w:ascii="Arial" w:hAnsi="Arial" w:cs="Arial"/>
          <w:sz w:val="24"/>
          <w:szCs w:val="24"/>
        </w:rPr>
        <w:t>lonely, while just 12% of those without such an illness were lonely</w:t>
      </w:r>
      <w:r w:rsidR="00C665E2" w:rsidRPr="002B7CB6">
        <w:rPr>
          <w:rFonts w:ascii="Arial" w:hAnsi="Arial" w:cs="Arial"/>
          <w:sz w:val="24"/>
          <w:szCs w:val="24"/>
        </w:rPr>
        <w:t xml:space="preserve">, </w:t>
      </w:r>
      <w:r w:rsidR="006067F5" w:rsidRPr="002B7CB6">
        <w:rPr>
          <w:rFonts w:ascii="Arial" w:hAnsi="Arial" w:cs="Arial"/>
          <w:sz w:val="24"/>
          <w:szCs w:val="24"/>
        </w:rPr>
        <w:t>further supporting</w:t>
      </w:r>
      <w:r w:rsidR="00C665E2" w:rsidRPr="002B7CB6">
        <w:rPr>
          <w:rFonts w:ascii="Arial" w:hAnsi="Arial" w:cs="Arial"/>
          <w:sz w:val="24"/>
          <w:szCs w:val="24"/>
        </w:rPr>
        <w:t xml:space="preserve"> the link between mental health conditions and loneliness</w:t>
      </w:r>
      <w:r w:rsidR="00E73E73" w:rsidRPr="002B7CB6">
        <w:rPr>
          <w:rFonts w:ascii="Arial" w:hAnsi="Arial" w:cs="Arial"/>
          <w:sz w:val="24"/>
          <w:szCs w:val="24"/>
        </w:rPr>
        <w:t>.</w:t>
      </w:r>
      <w:r w:rsidR="00C665E2" w:rsidRPr="002B7CB6">
        <w:rPr>
          <w:rFonts w:ascii="Arial" w:hAnsi="Arial" w:cs="Arial"/>
          <w:sz w:val="24"/>
          <w:szCs w:val="24"/>
        </w:rPr>
        <w:t xml:space="preserve"> </w:t>
      </w:r>
      <w:r w:rsidR="002B3468" w:rsidRPr="002B7CB6">
        <w:rPr>
          <w:rFonts w:ascii="Arial" w:hAnsi="Arial" w:cs="Arial"/>
          <w:sz w:val="24"/>
          <w:szCs w:val="24"/>
        </w:rPr>
        <w:t xml:space="preserve">Other </w:t>
      </w:r>
      <w:r w:rsidR="00BC7207" w:rsidRPr="002B7CB6">
        <w:rPr>
          <w:rFonts w:ascii="Arial" w:hAnsi="Arial" w:cs="Arial"/>
          <w:sz w:val="24"/>
          <w:szCs w:val="24"/>
        </w:rPr>
        <w:t xml:space="preserve">significant </w:t>
      </w:r>
      <w:r w:rsidR="006067F5" w:rsidRPr="002B7CB6">
        <w:rPr>
          <w:rFonts w:ascii="Arial" w:hAnsi="Arial" w:cs="Arial"/>
          <w:sz w:val="24"/>
          <w:szCs w:val="24"/>
        </w:rPr>
        <w:t xml:space="preserve">factors </w:t>
      </w:r>
      <w:r w:rsidR="00E73E73" w:rsidRPr="002B7CB6">
        <w:rPr>
          <w:rFonts w:ascii="Arial" w:hAnsi="Arial" w:cs="Arial"/>
          <w:sz w:val="24"/>
          <w:szCs w:val="24"/>
        </w:rPr>
        <w:t xml:space="preserve">for loneliness </w:t>
      </w:r>
      <w:r w:rsidR="009E3A42" w:rsidRPr="002B7CB6">
        <w:rPr>
          <w:rFonts w:ascii="Arial" w:hAnsi="Arial" w:cs="Arial"/>
          <w:sz w:val="24"/>
          <w:szCs w:val="24"/>
        </w:rPr>
        <w:t xml:space="preserve">identified </w:t>
      </w:r>
      <w:r w:rsidR="00BC7207" w:rsidRPr="002B7CB6">
        <w:rPr>
          <w:rFonts w:ascii="Arial" w:hAnsi="Arial" w:cs="Arial"/>
          <w:sz w:val="24"/>
          <w:szCs w:val="24"/>
        </w:rPr>
        <w:t>include</w:t>
      </w:r>
      <w:r w:rsidR="00667648" w:rsidRPr="002B7CB6">
        <w:rPr>
          <w:rFonts w:ascii="Arial" w:hAnsi="Arial" w:cs="Arial"/>
          <w:sz w:val="24"/>
          <w:szCs w:val="24"/>
        </w:rPr>
        <w:t>d</w:t>
      </w:r>
      <w:r w:rsidR="00BC7207" w:rsidRPr="002B7CB6">
        <w:rPr>
          <w:rFonts w:ascii="Arial" w:hAnsi="Arial" w:cs="Arial"/>
          <w:sz w:val="24"/>
          <w:szCs w:val="24"/>
        </w:rPr>
        <w:t xml:space="preserve"> poor general health and material deprivation. </w:t>
      </w:r>
      <w:r w:rsidR="00DA0117" w:rsidRPr="002B7CB6">
        <w:rPr>
          <w:rFonts w:ascii="Arial" w:hAnsi="Arial" w:cs="Arial"/>
          <w:sz w:val="24"/>
          <w:szCs w:val="24"/>
        </w:rPr>
        <w:t xml:space="preserve">In turn, lonely people reported much lower satisfaction with life than those who were not lonely. </w:t>
      </w:r>
      <w:r w:rsidR="00982745" w:rsidRPr="002B7CB6">
        <w:rPr>
          <w:rFonts w:ascii="Arial" w:hAnsi="Arial" w:cs="Arial"/>
          <w:sz w:val="24"/>
          <w:szCs w:val="24"/>
        </w:rPr>
        <w:t>Y</w:t>
      </w:r>
      <w:r w:rsidR="003C4893" w:rsidRPr="002B7CB6">
        <w:rPr>
          <w:rFonts w:ascii="Arial" w:hAnsi="Arial" w:cs="Arial"/>
          <w:sz w:val="24"/>
          <w:szCs w:val="24"/>
        </w:rPr>
        <w:t>oung</w:t>
      </w:r>
      <w:r w:rsidR="002A01E5" w:rsidRPr="002B7CB6">
        <w:rPr>
          <w:rFonts w:ascii="Arial" w:hAnsi="Arial" w:cs="Arial"/>
          <w:sz w:val="24"/>
          <w:szCs w:val="24"/>
        </w:rPr>
        <w:t xml:space="preserve">er people reported being more </w:t>
      </w:r>
      <w:r w:rsidR="003C4893" w:rsidRPr="002B7CB6">
        <w:rPr>
          <w:rFonts w:ascii="Arial" w:hAnsi="Arial" w:cs="Arial"/>
          <w:sz w:val="24"/>
          <w:szCs w:val="24"/>
        </w:rPr>
        <w:t>likely to be lonely than older people</w:t>
      </w:r>
      <w:r w:rsidR="00490C22" w:rsidRPr="002B7CB6">
        <w:rPr>
          <w:rFonts w:ascii="Arial" w:hAnsi="Arial" w:cs="Arial"/>
          <w:sz w:val="24"/>
          <w:szCs w:val="24"/>
        </w:rPr>
        <w:t>.</w:t>
      </w:r>
      <w:r w:rsidR="00BC5947" w:rsidRPr="002B7CB6">
        <w:rPr>
          <w:rStyle w:val="FootnoteReference"/>
          <w:rFonts w:ascii="Arial" w:hAnsi="Arial" w:cs="Arial"/>
          <w:sz w:val="24"/>
          <w:szCs w:val="24"/>
        </w:rPr>
        <w:footnoteReference w:id="10"/>
      </w:r>
      <w:r w:rsidR="0005610F" w:rsidRPr="002B7CB6">
        <w:rPr>
          <w:rFonts w:ascii="Arial" w:hAnsi="Arial" w:cs="Arial"/>
          <w:sz w:val="24"/>
          <w:szCs w:val="24"/>
        </w:rPr>
        <w:t xml:space="preserve"> This may </w:t>
      </w:r>
      <w:r w:rsidR="00E932E4" w:rsidRPr="002B7CB6">
        <w:rPr>
          <w:rFonts w:ascii="Arial" w:hAnsi="Arial" w:cs="Arial"/>
          <w:sz w:val="24"/>
          <w:szCs w:val="24"/>
        </w:rPr>
        <w:t xml:space="preserve">explain </w:t>
      </w:r>
      <w:r w:rsidR="0005610F" w:rsidRPr="002B7CB6">
        <w:rPr>
          <w:rFonts w:ascii="Arial" w:hAnsi="Arial" w:cs="Arial"/>
          <w:sz w:val="24"/>
          <w:szCs w:val="24"/>
        </w:rPr>
        <w:t xml:space="preserve">the higher percentage of loneliness </w:t>
      </w:r>
      <w:r w:rsidR="00E932E4" w:rsidRPr="002B7CB6">
        <w:rPr>
          <w:rFonts w:ascii="Arial" w:hAnsi="Arial" w:cs="Arial"/>
          <w:sz w:val="24"/>
          <w:szCs w:val="24"/>
        </w:rPr>
        <w:t xml:space="preserve">reported </w:t>
      </w:r>
      <w:r w:rsidR="0005610F" w:rsidRPr="002B7CB6">
        <w:rPr>
          <w:rFonts w:ascii="Arial" w:hAnsi="Arial" w:cs="Arial"/>
          <w:sz w:val="24"/>
          <w:szCs w:val="24"/>
        </w:rPr>
        <w:t xml:space="preserve">in Cardiff </w:t>
      </w:r>
      <w:r w:rsidR="00E932E4" w:rsidRPr="002B7CB6">
        <w:rPr>
          <w:rFonts w:ascii="Arial" w:hAnsi="Arial" w:cs="Arial"/>
          <w:sz w:val="24"/>
          <w:szCs w:val="24"/>
        </w:rPr>
        <w:t xml:space="preserve">compared to the Vale of Glamorgan and </w:t>
      </w:r>
      <w:r w:rsidR="0005610F" w:rsidRPr="002B7CB6">
        <w:rPr>
          <w:rFonts w:ascii="Arial" w:hAnsi="Arial" w:cs="Arial"/>
          <w:sz w:val="24"/>
          <w:szCs w:val="24"/>
        </w:rPr>
        <w:t>Wales.</w:t>
      </w:r>
      <w:r w:rsidR="00762645" w:rsidRPr="002B7CB6">
        <w:rPr>
          <w:rFonts w:ascii="Arial" w:hAnsi="Arial" w:cs="Arial"/>
          <w:sz w:val="24"/>
          <w:szCs w:val="24"/>
        </w:rPr>
        <w:t xml:space="preserve"> The long-term impact of the </w:t>
      </w:r>
      <w:r w:rsidR="00F60815" w:rsidRPr="002B7CB6">
        <w:rPr>
          <w:rFonts w:ascii="Arial" w:hAnsi="Arial" w:cs="Arial"/>
          <w:sz w:val="24"/>
          <w:szCs w:val="24"/>
        </w:rPr>
        <w:t>Coronavirus (COVID-19)</w:t>
      </w:r>
      <w:r w:rsidR="00762645" w:rsidRPr="002B7CB6">
        <w:rPr>
          <w:rFonts w:ascii="Arial" w:hAnsi="Arial" w:cs="Arial"/>
          <w:sz w:val="24"/>
          <w:szCs w:val="24"/>
        </w:rPr>
        <w:t xml:space="preserve"> pandemic on levels of loneliness is not yet clear.</w:t>
      </w:r>
    </w:p>
    <w:p w14:paraId="69BA8F4E" w14:textId="7BAF8C2F" w:rsidR="00690C5E" w:rsidRPr="002B7CB6" w:rsidRDefault="00690C5E" w:rsidP="00DC54F7">
      <w:pPr>
        <w:spacing w:after="0" w:line="240" w:lineRule="auto"/>
        <w:contextualSpacing/>
        <w:jc w:val="both"/>
        <w:rPr>
          <w:rFonts w:ascii="Arial" w:hAnsi="Arial" w:cs="Arial"/>
          <w:sz w:val="24"/>
          <w:szCs w:val="24"/>
        </w:rPr>
      </w:pPr>
    </w:p>
    <w:p w14:paraId="16C8A7DD" w14:textId="2FFC71DD" w:rsidR="009820B2" w:rsidRPr="002B7CB6" w:rsidRDefault="00202AC1" w:rsidP="00DC54F7">
      <w:pPr>
        <w:spacing w:after="0" w:line="240" w:lineRule="auto"/>
        <w:contextualSpacing/>
        <w:jc w:val="both"/>
        <w:rPr>
          <w:rFonts w:ascii="Arial" w:hAnsi="Arial" w:cs="Arial"/>
          <w:sz w:val="24"/>
          <w:szCs w:val="24"/>
        </w:rPr>
      </w:pPr>
      <w:r w:rsidRPr="002B7CB6">
        <w:rPr>
          <w:rFonts w:ascii="Arial" w:hAnsi="Arial" w:cs="Arial"/>
          <w:sz w:val="24"/>
          <w:szCs w:val="24"/>
        </w:rPr>
        <w:t>R</w:t>
      </w:r>
      <w:r w:rsidR="009076F0" w:rsidRPr="002B7CB6">
        <w:rPr>
          <w:rFonts w:ascii="Arial" w:hAnsi="Arial" w:cs="Arial"/>
          <w:sz w:val="24"/>
          <w:szCs w:val="24"/>
        </w:rPr>
        <w:t xml:space="preserve">aising awareness of and reducing </w:t>
      </w:r>
      <w:r w:rsidR="00723F43" w:rsidRPr="002B7CB6">
        <w:rPr>
          <w:rFonts w:ascii="Arial" w:hAnsi="Arial" w:cs="Arial"/>
          <w:sz w:val="24"/>
          <w:szCs w:val="24"/>
        </w:rPr>
        <w:t xml:space="preserve">suicide and self- harm has been a priority in Wales since the launch of </w:t>
      </w:r>
      <w:r w:rsidR="00AF164F" w:rsidRPr="002B7CB6">
        <w:rPr>
          <w:rFonts w:ascii="Arial" w:hAnsi="Arial" w:cs="Arial"/>
          <w:sz w:val="24"/>
          <w:szCs w:val="24"/>
        </w:rPr>
        <w:t xml:space="preserve">the </w:t>
      </w:r>
      <w:r w:rsidR="00525FD3" w:rsidRPr="002B7CB6">
        <w:rPr>
          <w:rFonts w:ascii="Arial" w:hAnsi="Arial" w:cs="Arial"/>
          <w:sz w:val="24"/>
          <w:szCs w:val="24"/>
        </w:rPr>
        <w:t xml:space="preserve">national action plan, </w:t>
      </w:r>
      <w:r w:rsidR="007A1DD1" w:rsidRPr="002B7CB6">
        <w:rPr>
          <w:rFonts w:ascii="Arial" w:hAnsi="Arial" w:cs="Arial"/>
          <w:sz w:val="24"/>
          <w:szCs w:val="24"/>
        </w:rPr>
        <w:t>‘</w:t>
      </w:r>
      <w:r w:rsidR="00FA5B64" w:rsidRPr="002B7CB6">
        <w:rPr>
          <w:rFonts w:ascii="Arial" w:hAnsi="Arial" w:cs="Arial"/>
          <w:sz w:val="24"/>
          <w:szCs w:val="24"/>
        </w:rPr>
        <w:t>Talk to Me</w:t>
      </w:r>
      <w:r w:rsidR="007A1DD1" w:rsidRPr="002B7CB6">
        <w:rPr>
          <w:rFonts w:ascii="Arial" w:hAnsi="Arial" w:cs="Arial"/>
          <w:sz w:val="24"/>
          <w:szCs w:val="24"/>
        </w:rPr>
        <w:t>’</w:t>
      </w:r>
      <w:r w:rsidR="00525FD3" w:rsidRPr="002B7CB6">
        <w:rPr>
          <w:rFonts w:ascii="Arial" w:hAnsi="Arial" w:cs="Arial"/>
          <w:sz w:val="24"/>
          <w:szCs w:val="24"/>
        </w:rPr>
        <w:t xml:space="preserve"> in 2009</w:t>
      </w:r>
      <w:r w:rsidR="00A27DC9" w:rsidRPr="002B7CB6">
        <w:rPr>
          <w:rFonts w:ascii="Arial" w:hAnsi="Arial" w:cs="Arial"/>
          <w:sz w:val="24"/>
          <w:szCs w:val="24"/>
        </w:rPr>
        <w:t xml:space="preserve"> followed by </w:t>
      </w:r>
      <w:r w:rsidR="007A1DD1" w:rsidRPr="002B7CB6">
        <w:rPr>
          <w:rFonts w:ascii="Arial" w:hAnsi="Arial" w:cs="Arial"/>
          <w:sz w:val="24"/>
          <w:szCs w:val="24"/>
        </w:rPr>
        <w:t>‘</w:t>
      </w:r>
      <w:r w:rsidR="00C44E98" w:rsidRPr="002B7CB6">
        <w:rPr>
          <w:rFonts w:ascii="Arial" w:hAnsi="Arial" w:cs="Arial"/>
          <w:sz w:val="24"/>
          <w:szCs w:val="24"/>
        </w:rPr>
        <w:t>Talk to Me 2</w:t>
      </w:r>
      <w:r w:rsidR="007A1DD1" w:rsidRPr="002B7CB6">
        <w:rPr>
          <w:rFonts w:ascii="Arial" w:hAnsi="Arial" w:cs="Arial"/>
          <w:sz w:val="24"/>
          <w:szCs w:val="24"/>
        </w:rPr>
        <w:t>’</w:t>
      </w:r>
      <w:r w:rsidR="00C44E98" w:rsidRPr="002B7CB6">
        <w:rPr>
          <w:rFonts w:ascii="Arial" w:hAnsi="Arial" w:cs="Arial"/>
          <w:sz w:val="24"/>
          <w:szCs w:val="24"/>
        </w:rPr>
        <w:t xml:space="preserve">, </w:t>
      </w:r>
      <w:r w:rsidR="00525FD3" w:rsidRPr="002B7CB6">
        <w:rPr>
          <w:rFonts w:ascii="Arial" w:hAnsi="Arial" w:cs="Arial"/>
          <w:sz w:val="24"/>
          <w:szCs w:val="24"/>
        </w:rPr>
        <w:t>five years later</w:t>
      </w:r>
      <w:r w:rsidR="00C44E98" w:rsidRPr="002B7CB6">
        <w:rPr>
          <w:rFonts w:ascii="Arial" w:hAnsi="Arial" w:cs="Arial"/>
          <w:sz w:val="24"/>
          <w:szCs w:val="24"/>
          <w:shd w:val="clear" w:color="auto" w:fill="FFFFFF"/>
        </w:rPr>
        <w:t>.</w:t>
      </w:r>
      <w:r w:rsidR="00C17376" w:rsidRPr="002B7CB6">
        <w:rPr>
          <w:rFonts w:ascii="Arial" w:hAnsi="Arial" w:cs="Arial"/>
          <w:sz w:val="24"/>
          <w:szCs w:val="24"/>
          <w:shd w:val="clear" w:color="auto" w:fill="FFFFFF"/>
        </w:rPr>
        <w:t xml:space="preserve"> Over the period 2014 to 2018, the </w:t>
      </w:r>
      <w:r w:rsidR="00283484" w:rsidRPr="002B7CB6">
        <w:rPr>
          <w:rFonts w:ascii="Arial" w:hAnsi="Arial" w:cs="Arial"/>
          <w:sz w:val="24"/>
          <w:szCs w:val="24"/>
          <w:shd w:val="clear" w:color="auto" w:fill="FFFFFF"/>
        </w:rPr>
        <w:t>age-standardised</w:t>
      </w:r>
      <w:r w:rsidR="00B06219" w:rsidRPr="002B7CB6">
        <w:rPr>
          <w:rFonts w:ascii="Arial" w:hAnsi="Arial" w:cs="Arial"/>
          <w:sz w:val="24"/>
          <w:szCs w:val="24"/>
          <w:shd w:val="clear" w:color="auto" w:fill="FFFFFF"/>
        </w:rPr>
        <w:t xml:space="preserve"> </w:t>
      </w:r>
      <w:r w:rsidR="00C17376" w:rsidRPr="002B7CB6">
        <w:rPr>
          <w:rFonts w:ascii="Arial" w:hAnsi="Arial" w:cs="Arial"/>
          <w:sz w:val="24"/>
          <w:szCs w:val="24"/>
          <w:shd w:val="clear" w:color="auto" w:fill="FFFFFF"/>
        </w:rPr>
        <w:t>rate of sui</w:t>
      </w:r>
      <w:r w:rsidR="008C6EA9" w:rsidRPr="002B7CB6">
        <w:rPr>
          <w:rFonts w:ascii="Arial" w:hAnsi="Arial" w:cs="Arial"/>
          <w:sz w:val="24"/>
          <w:szCs w:val="24"/>
          <w:shd w:val="clear" w:color="auto" w:fill="FFFFFF"/>
        </w:rPr>
        <w:t xml:space="preserve">cide in Wales was </w:t>
      </w:r>
      <w:r w:rsidR="007F60F2" w:rsidRPr="002B7CB6">
        <w:rPr>
          <w:rFonts w:ascii="Arial" w:hAnsi="Arial" w:cs="Arial"/>
          <w:sz w:val="24"/>
          <w:szCs w:val="24"/>
        </w:rPr>
        <w:t xml:space="preserve">12 per 100,000 persons aged </w:t>
      </w:r>
      <w:r w:rsidR="00CF3295" w:rsidRPr="002B7CB6">
        <w:rPr>
          <w:rFonts w:ascii="Arial" w:hAnsi="Arial" w:cs="Arial"/>
          <w:sz w:val="24"/>
          <w:szCs w:val="24"/>
        </w:rPr>
        <w:t xml:space="preserve">10 years and over. </w:t>
      </w:r>
      <w:r w:rsidR="00C56BF2" w:rsidRPr="002B7CB6">
        <w:rPr>
          <w:rFonts w:ascii="Arial" w:hAnsi="Arial" w:cs="Arial"/>
          <w:sz w:val="24"/>
          <w:szCs w:val="24"/>
        </w:rPr>
        <w:t>Cardiff and Vale University Health Board ha</w:t>
      </w:r>
      <w:r w:rsidR="007A1DD1" w:rsidRPr="002B7CB6">
        <w:rPr>
          <w:rFonts w:ascii="Arial" w:hAnsi="Arial" w:cs="Arial"/>
          <w:sz w:val="24"/>
          <w:szCs w:val="24"/>
        </w:rPr>
        <w:t>d</w:t>
      </w:r>
      <w:r w:rsidR="00C56BF2" w:rsidRPr="002B7CB6">
        <w:rPr>
          <w:rFonts w:ascii="Arial" w:hAnsi="Arial" w:cs="Arial"/>
          <w:sz w:val="24"/>
          <w:szCs w:val="24"/>
        </w:rPr>
        <w:t xml:space="preserve"> a </w:t>
      </w:r>
      <w:r w:rsidR="005D5D45" w:rsidRPr="002B7CB6">
        <w:rPr>
          <w:rFonts w:ascii="Arial" w:hAnsi="Arial" w:cs="Arial"/>
          <w:sz w:val="24"/>
          <w:szCs w:val="24"/>
        </w:rPr>
        <w:t xml:space="preserve">similar </w:t>
      </w:r>
      <w:r w:rsidR="00283484" w:rsidRPr="002B7CB6">
        <w:rPr>
          <w:rFonts w:ascii="Arial" w:hAnsi="Arial" w:cs="Arial"/>
          <w:sz w:val="24"/>
          <w:szCs w:val="24"/>
        </w:rPr>
        <w:t>age-standardised</w:t>
      </w:r>
      <w:r w:rsidR="00946632" w:rsidRPr="002B7CB6">
        <w:rPr>
          <w:rFonts w:ascii="Arial" w:hAnsi="Arial" w:cs="Arial"/>
          <w:sz w:val="24"/>
          <w:szCs w:val="24"/>
        </w:rPr>
        <w:t xml:space="preserve"> </w:t>
      </w:r>
      <w:r w:rsidR="005D5D45" w:rsidRPr="002B7CB6">
        <w:rPr>
          <w:rFonts w:ascii="Arial" w:hAnsi="Arial" w:cs="Arial"/>
          <w:sz w:val="24"/>
          <w:szCs w:val="24"/>
        </w:rPr>
        <w:t>rate of 11.8</w:t>
      </w:r>
      <w:r w:rsidR="0027311A" w:rsidRPr="002B7CB6">
        <w:rPr>
          <w:rFonts w:ascii="Arial" w:hAnsi="Arial" w:cs="Arial"/>
          <w:sz w:val="24"/>
          <w:szCs w:val="24"/>
        </w:rPr>
        <w:t xml:space="preserve"> per 100,000 persons aged 10 years</w:t>
      </w:r>
      <w:r w:rsidR="00426E0E" w:rsidRPr="002B7CB6">
        <w:rPr>
          <w:rFonts w:ascii="Arial" w:hAnsi="Arial" w:cs="Arial"/>
          <w:sz w:val="24"/>
          <w:szCs w:val="24"/>
        </w:rPr>
        <w:t xml:space="preserve"> and over</w:t>
      </w:r>
      <w:r w:rsidR="005D5D45" w:rsidRPr="002B7CB6">
        <w:rPr>
          <w:rFonts w:ascii="Arial" w:hAnsi="Arial" w:cs="Arial"/>
          <w:sz w:val="24"/>
          <w:szCs w:val="24"/>
        </w:rPr>
        <w:t xml:space="preserve">. </w:t>
      </w:r>
      <w:r w:rsidR="00B63B76" w:rsidRPr="002B7CB6">
        <w:rPr>
          <w:rFonts w:ascii="Arial" w:hAnsi="Arial" w:cs="Arial"/>
          <w:sz w:val="24"/>
          <w:szCs w:val="24"/>
        </w:rPr>
        <w:t xml:space="preserve"> </w:t>
      </w:r>
      <w:r w:rsidR="00B71C0E" w:rsidRPr="002B7CB6">
        <w:rPr>
          <w:rFonts w:ascii="Arial" w:hAnsi="Arial" w:cs="Arial"/>
          <w:sz w:val="24"/>
          <w:szCs w:val="24"/>
        </w:rPr>
        <w:t xml:space="preserve">At the </w:t>
      </w:r>
      <w:r w:rsidR="00567F4B" w:rsidRPr="002B7CB6">
        <w:rPr>
          <w:rFonts w:ascii="Arial" w:hAnsi="Arial" w:cs="Arial"/>
          <w:sz w:val="24"/>
          <w:szCs w:val="24"/>
        </w:rPr>
        <w:t>local</w:t>
      </w:r>
      <w:r w:rsidR="00B71C0E" w:rsidRPr="002B7CB6">
        <w:rPr>
          <w:rFonts w:ascii="Arial" w:hAnsi="Arial" w:cs="Arial"/>
          <w:sz w:val="24"/>
          <w:szCs w:val="24"/>
        </w:rPr>
        <w:t xml:space="preserve"> authority level, </w:t>
      </w:r>
      <w:r w:rsidR="00B63B76" w:rsidRPr="002B7CB6">
        <w:rPr>
          <w:rFonts w:ascii="Arial" w:hAnsi="Arial" w:cs="Arial"/>
          <w:sz w:val="24"/>
          <w:szCs w:val="24"/>
        </w:rPr>
        <w:t xml:space="preserve">Cardiff </w:t>
      </w:r>
      <w:r w:rsidR="00B71C0E" w:rsidRPr="002B7CB6">
        <w:rPr>
          <w:rFonts w:ascii="Arial" w:hAnsi="Arial" w:cs="Arial"/>
          <w:sz w:val="24"/>
          <w:szCs w:val="24"/>
        </w:rPr>
        <w:t>(11.4</w:t>
      </w:r>
      <w:r w:rsidR="00D54A2A" w:rsidRPr="002B7CB6">
        <w:rPr>
          <w:rFonts w:ascii="Arial" w:hAnsi="Arial" w:cs="Arial"/>
          <w:sz w:val="24"/>
          <w:szCs w:val="24"/>
        </w:rPr>
        <w:t xml:space="preserve"> per 100,000</w:t>
      </w:r>
      <w:r w:rsidR="00B71C0E" w:rsidRPr="002B7CB6">
        <w:rPr>
          <w:rFonts w:ascii="Arial" w:hAnsi="Arial" w:cs="Arial"/>
          <w:sz w:val="24"/>
          <w:szCs w:val="24"/>
        </w:rPr>
        <w:t xml:space="preserve">) </w:t>
      </w:r>
      <w:r w:rsidR="007A1DD1" w:rsidRPr="002B7CB6">
        <w:rPr>
          <w:rFonts w:ascii="Arial" w:hAnsi="Arial" w:cs="Arial"/>
          <w:sz w:val="24"/>
          <w:szCs w:val="24"/>
        </w:rPr>
        <w:t>was</w:t>
      </w:r>
      <w:r w:rsidR="00EE2090" w:rsidRPr="002B7CB6">
        <w:rPr>
          <w:rFonts w:ascii="Arial" w:hAnsi="Arial" w:cs="Arial"/>
          <w:sz w:val="24"/>
          <w:szCs w:val="24"/>
        </w:rPr>
        <w:t xml:space="preserve"> </w:t>
      </w:r>
      <w:r w:rsidR="009666A4" w:rsidRPr="002B7CB6">
        <w:rPr>
          <w:rFonts w:ascii="Arial" w:hAnsi="Arial" w:cs="Arial"/>
          <w:sz w:val="24"/>
          <w:szCs w:val="24"/>
        </w:rPr>
        <w:t xml:space="preserve">slightly lower </w:t>
      </w:r>
      <w:r w:rsidR="00B71C0E" w:rsidRPr="002B7CB6">
        <w:rPr>
          <w:rFonts w:ascii="Arial" w:hAnsi="Arial" w:cs="Arial"/>
          <w:sz w:val="24"/>
          <w:szCs w:val="24"/>
        </w:rPr>
        <w:t xml:space="preserve">and </w:t>
      </w:r>
      <w:r w:rsidR="009666A4" w:rsidRPr="002B7CB6">
        <w:rPr>
          <w:rFonts w:ascii="Arial" w:hAnsi="Arial" w:cs="Arial"/>
          <w:sz w:val="24"/>
          <w:szCs w:val="24"/>
        </w:rPr>
        <w:t xml:space="preserve">the </w:t>
      </w:r>
      <w:r w:rsidR="00EE2090" w:rsidRPr="002B7CB6">
        <w:rPr>
          <w:rFonts w:ascii="Arial" w:hAnsi="Arial" w:cs="Arial"/>
          <w:sz w:val="24"/>
          <w:szCs w:val="24"/>
        </w:rPr>
        <w:t xml:space="preserve">Vale of Glamorgan </w:t>
      </w:r>
      <w:r w:rsidR="00B71C0E" w:rsidRPr="002B7CB6">
        <w:rPr>
          <w:rFonts w:ascii="Arial" w:hAnsi="Arial" w:cs="Arial"/>
          <w:sz w:val="24"/>
          <w:szCs w:val="24"/>
        </w:rPr>
        <w:t>(13.7</w:t>
      </w:r>
      <w:r w:rsidR="00426E0E" w:rsidRPr="002B7CB6">
        <w:rPr>
          <w:rFonts w:ascii="Arial" w:hAnsi="Arial" w:cs="Arial"/>
          <w:sz w:val="24"/>
          <w:szCs w:val="24"/>
        </w:rPr>
        <w:t xml:space="preserve"> per 100,000</w:t>
      </w:r>
      <w:r w:rsidR="00B71C0E" w:rsidRPr="002B7CB6">
        <w:rPr>
          <w:rFonts w:ascii="Arial" w:hAnsi="Arial" w:cs="Arial"/>
          <w:sz w:val="24"/>
          <w:szCs w:val="24"/>
        </w:rPr>
        <w:t xml:space="preserve">) </w:t>
      </w:r>
      <w:r w:rsidR="007A1DD1" w:rsidRPr="002B7CB6">
        <w:rPr>
          <w:rFonts w:ascii="Arial" w:hAnsi="Arial" w:cs="Arial"/>
          <w:sz w:val="24"/>
          <w:szCs w:val="24"/>
        </w:rPr>
        <w:t>was</w:t>
      </w:r>
      <w:r w:rsidR="009666A4" w:rsidRPr="002B7CB6">
        <w:rPr>
          <w:rFonts w:ascii="Arial" w:hAnsi="Arial" w:cs="Arial"/>
          <w:sz w:val="24"/>
          <w:szCs w:val="24"/>
        </w:rPr>
        <w:t xml:space="preserve"> high</w:t>
      </w:r>
      <w:r w:rsidR="00B71C0E" w:rsidRPr="002B7CB6">
        <w:rPr>
          <w:rFonts w:ascii="Arial" w:hAnsi="Arial" w:cs="Arial"/>
          <w:sz w:val="24"/>
          <w:szCs w:val="24"/>
        </w:rPr>
        <w:t>er</w:t>
      </w:r>
      <w:r w:rsidR="00D75F82" w:rsidRPr="002B7CB6">
        <w:rPr>
          <w:rFonts w:ascii="Arial" w:hAnsi="Arial" w:cs="Arial"/>
          <w:sz w:val="24"/>
          <w:szCs w:val="24"/>
        </w:rPr>
        <w:t xml:space="preserve"> than the average for Wales</w:t>
      </w:r>
      <w:r w:rsidR="00B71C0E" w:rsidRPr="002B7CB6">
        <w:rPr>
          <w:rFonts w:ascii="Arial" w:hAnsi="Arial" w:cs="Arial"/>
          <w:sz w:val="24"/>
          <w:szCs w:val="24"/>
        </w:rPr>
        <w:t>.</w:t>
      </w:r>
      <w:r w:rsidR="00577889" w:rsidRPr="002B7CB6">
        <w:rPr>
          <w:rStyle w:val="FootnoteReference"/>
          <w:rFonts w:ascii="Arial" w:hAnsi="Arial" w:cs="Arial"/>
          <w:sz w:val="24"/>
          <w:szCs w:val="24"/>
        </w:rPr>
        <w:footnoteReference w:id="11"/>
      </w:r>
      <w:r w:rsidR="00B71C0E" w:rsidRPr="002B7CB6">
        <w:rPr>
          <w:rFonts w:ascii="Arial" w:hAnsi="Arial" w:cs="Arial"/>
          <w:sz w:val="24"/>
          <w:szCs w:val="24"/>
        </w:rPr>
        <w:t xml:space="preserve"> </w:t>
      </w:r>
      <w:r w:rsidR="00371FD8" w:rsidRPr="002B7CB6">
        <w:rPr>
          <w:rFonts w:ascii="Arial" w:hAnsi="Arial" w:cs="Arial"/>
          <w:sz w:val="24"/>
          <w:szCs w:val="24"/>
        </w:rPr>
        <w:t>All the rates ha</w:t>
      </w:r>
      <w:r w:rsidR="001F7F50" w:rsidRPr="002B7CB6">
        <w:rPr>
          <w:rFonts w:ascii="Arial" w:hAnsi="Arial" w:cs="Arial"/>
          <w:sz w:val="24"/>
          <w:szCs w:val="24"/>
        </w:rPr>
        <w:t>d</w:t>
      </w:r>
      <w:r w:rsidR="00371FD8" w:rsidRPr="002B7CB6">
        <w:rPr>
          <w:rFonts w:ascii="Arial" w:hAnsi="Arial" w:cs="Arial"/>
          <w:sz w:val="24"/>
          <w:szCs w:val="24"/>
        </w:rPr>
        <w:t xml:space="preserve"> dec</w:t>
      </w:r>
      <w:r w:rsidR="002D179F" w:rsidRPr="002B7CB6">
        <w:rPr>
          <w:rFonts w:ascii="Arial" w:hAnsi="Arial" w:cs="Arial"/>
          <w:sz w:val="24"/>
          <w:szCs w:val="24"/>
        </w:rPr>
        <w:t xml:space="preserve">reased </w:t>
      </w:r>
      <w:r w:rsidR="002D4F8B" w:rsidRPr="002B7CB6">
        <w:rPr>
          <w:rFonts w:ascii="Arial" w:hAnsi="Arial" w:cs="Arial"/>
          <w:sz w:val="24"/>
          <w:szCs w:val="24"/>
        </w:rPr>
        <w:t>since</w:t>
      </w:r>
      <w:r w:rsidR="002D179F" w:rsidRPr="002B7CB6">
        <w:rPr>
          <w:rFonts w:ascii="Arial" w:hAnsi="Arial" w:cs="Arial"/>
          <w:sz w:val="24"/>
          <w:szCs w:val="24"/>
        </w:rPr>
        <w:t xml:space="preserve"> </w:t>
      </w:r>
      <w:r w:rsidR="00946632" w:rsidRPr="002B7CB6">
        <w:rPr>
          <w:rFonts w:ascii="Arial" w:hAnsi="Arial" w:cs="Arial"/>
          <w:sz w:val="24"/>
          <w:szCs w:val="24"/>
        </w:rPr>
        <w:t>2</w:t>
      </w:r>
      <w:r w:rsidR="002D179F" w:rsidRPr="002B7CB6">
        <w:rPr>
          <w:rFonts w:ascii="Arial" w:hAnsi="Arial" w:cs="Arial"/>
          <w:sz w:val="24"/>
          <w:szCs w:val="24"/>
        </w:rPr>
        <w:t>013 to 2017</w:t>
      </w:r>
      <w:r w:rsidR="00E97D3C" w:rsidRPr="002B7CB6">
        <w:rPr>
          <w:rFonts w:ascii="Arial" w:hAnsi="Arial" w:cs="Arial"/>
          <w:sz w:val="24"/>
          <w:szCs w:val="24"/>
        </w:rPr>
        <w:t>; however, caution should be used when interpreting suicide rates due to the small numbers involved.</w:t>
      </w:r>
    </w:p>
    <w:p w14:paraId="4D90CB7F" w14:textId="46DBA6BF" w:rsidR="008A3111" w:rsidRPr="002B7CB6" w:rsidRDefault="008A3111" w:rsidP="00DC54F7">
      <w:pPr>
        <w:spacing w:after="0" w:line="240" w:lineRule="auto"/>
        <w:contextualSpacing/>
        <w:jc w:val="both"/>
        <w:rPr>
          <w:rFonts w:ascii="Arial" w:hAnsi="Arial" w:cs="Arial"/>
          <w:sz w:val="24"/>
          <w:szCs w:val="24"/>
        </w:rPr>
      </w:pPr>
    </w:p>
    <w:p w14:paraId="661B7FB6" w14:textId="6CD61329" w:rsidR="00ED4A41" w:rsidRPr="006D6217" w:rsidRDefault="008A3111" w:rsidP="00DC54F7">
      <w:pPr>
        <w:spacing w:after="0" w:line="240" w:lineRule="auto"/>
        <w:contextualSpacing/>
        <w:jc w:val="both"/>
        <w:rPr>
          <w:rFonts w:ascii="Arial" w:hAnsi="Arial" w:cs="Arial"/>
          <w:sz w:val="24"/>
          <w:szCs w:val="24"/>
        </w:rPr>
      </w:pPr>
      <w:r w:rsidRPr="006D6217">
        <w:rPr>
          <w:rFonts w:ascii="Arial" w:hAnsi="Arial" w:cs="Arial"/>
          <w:sz w:val="24"/>
          <w:szCs w:val="24"/>
          <w:shd w:val="clear" w:color="auto" w:fill="FFFFFF"/>
        </w:rPr>
        <w:t>The Five Ways to Wellbeing are a set of evidence-based public mental health messages aimed at improving the mental health and wellbeing of the whole population.</w:t>
      </w:r>
      <w:r w:rsidR="00ED4A41" w:rsidRPr="006D6217">
        <w:rPr>
          <w:rFonts w:ascii="Arial" w:hAnsi="Arial" w:cs="Arial"/>
          <w:sz w:val="24"/>
          <w:szCs w:val="24"/>
          <w:shd w:val="clear" w:color="auto" w:fill="FFFFFF"/>
        </w:rPr>
        <w:t xml:space="preserve"> </w:t>
      </w:r>
      <w:r w:rsidR="004A6A5B" w:rsidRPr="006D6217">
        <w:rPr>
          <w:rFonts w:ascii="Arial" w:hAnsi="Arial" w:cs="Arial"/>
          <w:sz w:val="24"/>
          <w:szCs w:val="24"/>
          <w:shd w:val="clear" w:color="auto" w:fill="FFFFFF"/>
        </w:rPr>
        <w:t xml:space="preserve">It </w:t>
      </w:r>
      <w:r w:rsidR="00ED4A41" w:rsidRPr="006D6217">
        <w:rPr>
          <w:rFonts w:ascii="Arial" w:hAnsi="Arial" w:cs="Arial"/>
          <w:sz w:val="24"/>
          <w:szCs w:val="24"/>
        </w:rPr>
        <w:t>encourages individuals to do five things each day to improve their personal well-being: connect; be active; take notice; keep learning; and give.</w:t>
      </w:r>
    </w:p>
    <w:p w14:paraId="6BA9FCE2" w14:textId="75421320" w:rsidR="00B31D24" w:rsidRDefault="00B31D24">
      <w:pPr>
        <w:rPr>
          <w:rFonts w:ascii="Arial" w:hAnsi="Arial" w:cs="Arial"/>
          <w:sz w:val="24"/>
          <w:szCs w:val="24"/>
        </w:rPr>
      </w:pPr>
      <w:r>
        <w:rPr>
          <w:rFonts w:ascii="Arial" w:hAnsi="Arial" w:cs="Arial"/>
          <w:sz w:val="24"/>
          <w:szCs w:val="24"/>
        </w:rPr>
        <w:br w:type="page"/>
      </w:r>
    </w:p>
    <w:p w14:paraId="2F943BD2" w14:textId="07E7F6F0" w:rsidR="005B2089" w:rsidRDefault="00D60F79" w:rsidP="00DC54F7">
      <w:pPr>
        <w:spacing w:after="0" w:line="240" w:lineRule="auto"/>
        <w:jc w:val="both"/>
        <w:rPr>
          <w:rFonts w:ascii="Arial" w:hAnsi="Arial" w:cs="Arial"/>
          <w:b/>
          <w:sz w:val="26"/>
          <w:szCs w:val="26"/>
        </w:rPr>
      </w:pPr>
      <w:r>
        <w:rPr>
          <w:rFonts w:ascii="Arial" w:hAnsi="Arial" w:cs="Arial"/>
          <w:b/>
          <w:sz w:val="26"/>
          <w:szCs w:val="26"/>
        </w:rPr>
        <w:lastRenderedPageBreak/>
        <w:t xml:space="preserve">3.2 </w:t>
      </w:r>
      <w:r w:rsidR="005B2089">
        <w:rPr>
          <w:rFonts w:ascii="Arial" w:hAnsi="Arial" w:cs="Arial"/>
          <w:b/>
          <w:sz w:val="26"/>
          <w:szCs w:val="26"/>
        </w:rPr>
        <w:t>Lifestyle behaviours</w:t>
      </w:r>
    </w:p>
    <w:p w14:paraId="68F8F913" w14:textId="32784E55" w:rsidR="00787385" w:rsidRDefault="00787385" w:rsidP="00DC54F7">
      <w:pPr>
        <w:spacing w:after="0" w:line="240" w:lineRule="auto"/>
        <w:jc w:val="both"/>
        <w:rPr>
          <w:rFonts w:ascii="Arial" w:hAnsi="Arial" w:cs="Arial"/>
          <w:b/>
          <w:sz w:val="26"/>
          <w:szCs w:val="26"/>
        </w:rPr>
      </w:pPr>
    </w:p>
    <w:p w14:paraId="2F82D47C" w14:textId="75102E83" w:rsidR="00316444" w:rsidRPr="002B7CB6" w:rsidRDefault="007B6DA1" w:rsidP="00DC54F7">
      <w:pPr>
        <w:spacing w:after="0" w:line="240" w:lineRule="auto"/>
        <w:jc w:val="both"/>
        <w:rPr>
          <w:rFonts w:ascii="Arial" w:hAnsi="Arial" w:cs="Arial"/>
          <w:sz w:val="24"/>
          <w:szCs w:val="24"/>
        </w:rPr>
      </w:pPr>
      <w:r w:rsidRPr="002B7CB6">
        <w:rPr>
          <w:rFonts w:ascii="Arial" w:hAnsi="Arial" w:cs="Arial"/>
          <w:color w:val="333333"/>
          <w:sz w:val="24"/>
          <w:szCs w:val="24"/>
          <w:shd w:val="clear" w:color="auto" w:fill="FFFFFF"/>
        </w:rPr>
        <w:t xml:space="preserve">Tobacco use, high blood pressure, </w:t>
      </w:r>
      <w:r w:rsidR="00E37C8F" w:rsidRPr="002B7CB6">
        <w:rPr>
          <w:rFonts w:ascii="Arial" w:hAnsi="Arial" w:cs="Arial"/>
          <w:color w:val="333333"/>
          <w:sz w:val="24"/>
          <w:szCs w:val="24"/>
          <w:shd w:val="clear" w:color="auto" w:fill="FFFFFF"/>
        </w:rPr>
        <w:t>u</w:t>
      </w:r>
      <w:r w:rsidR="00684E48" w:rsidRPr="002B7CB6">
        <w:rPr>
          <w:rFonts w:ascii="Arial" w:hAnsi="Arial" w:cs="Arial"/>
          <w:color w:val="333333"/>
          <w:sz w:val="24"/>
          <w:szCs w:val="24"/>
          <w:shd w:val="clear" w:color="auto" w:fill="FFFFFF"/>
        </w:rPr>
        <w:t xml:space="preserve">nhealthy diets, </w:t>
      </w:r>
      <w:r w:rsidR="00E37C8F" w:rsidRPr="002B7CB6">
        <w:rPr>
          <w:rFonts w:ascii="Arial" w:hAnsi="Arial" w:cs="Arial"/>
          <w:color w:val="333333"/>
          <w:sz w:val="24"/>
          <w:szCs w:val="24"/>
          <w:shd w:val="clear" w:color="auto" w:fill="FFFFFF"/>
        </w:rPr>
        <w:t>obesity</w:t>
      </w:r>
      <w:r w:rsidR="001827BA" w:rsidRPr="002B7CB6">
        <w:rPr>
          <w:rFonts w:ascii="Arial" w:hAnsi="Arial" w:cs="Arial"/>
          <w:color w:val="333333"/>
          <w:sz w:val="24"/>
          <w:szCs w:val="24"/>
          <w:shd w:val="clear" w:color="auto" w:fill="FFFFFF"/>
        </w:rPr>
        <w:t xml:space="preserve"> </w:t>
      </w:r>
      <w:r w:rsidR="00774408" w:rsidRPr="002B7CB6">
        <w:rPr>
          <w:rFonts w:ascii="Arial" w:hAnsi="Arial" w:cs="Arial"/>
          <w:color w:val="333333"/>
          <w:sz w:val="24"/>
          <w:szCs w:val="24"/>
          <w:shd w:val="clear" w:color="auto" w:fill="FFFFFF"/>
        </w:rPr>
        <w:t xml:space="preserve">and </w:t>
      </w:r>
      <w:r w:rsidR="00773CCB" w:rsidRPr="002B7CB6">
        <w:rPr>
          <w:rFonts w:ascii="Arial" w:hAnsi="Arial" w:cs="Arial"/>
          <w:color w:val="333333"/>
          <w:sz w:val="24"/>
          <w:szCs w:val="24"/>
          <w:shd w:val="clear" w:color="auto" w:fill="FFFFFF"/>
        </w:rPr>
        <w:t xml:space="preserve">the </w:t>
      </w:r>
      <w:r w:rsidR="00684E48" w:rsidRPr="002B7CB6">
        <w:rPr>
          <w:rFonts w:ascii="Arial" w:hAnsi="Arial" w:cs="Arial"/>
          <w:color w:val="333333"/>
          <w:sz w:val="24"/>
          <w:szCs w:val="24"/>
          <w:shd w:val="clear" w:color="auto" w:fill="FFFFFF"/>
        </w:rPr>
        <w:t>harmful use of alcohol</w:t>
      </w:r>
      <w:r w:rsidR="00962D4E" w:rsidRPr="002B7CB6">
        <w:rPr>
          <w:rFonts w:ascii="Arial" w:hAnsi="Arial" w:cs="Arial"/>
          <w:color w:val="333333"/>
          <w:sz w:val="24"/>
          <w:szCs w:val="24"/>
          <w:shd w:val="clear" w:color="auto" w:fill="FFFFFF"/>
        </w:rPr>
        <w:t xml:space="preserve"> </w:t>
      </w:r>
      <w:r w:rsidR="00684E48" w:rsidRPr="002B7CB6">
        <w:rPr>
          <w:rFonts w:ascii="Arial" w:hAnsi="Arial" w:cs="Arial"/>
          <w:color w:val="333333"/>
          <w:sz w:val="24"/>
          <w:szCs w:val="24"/>
          <w:shd w:val="clear" w:color="auto" w:fill="FFFFFF"/>
        </w:rPr>
        <w:t xml:space="preserve">have been identified as the top risk factors for </w:t>
      </w:r>
      <w:r w:rsidR="00E37C8F" w:rsidRPr="002B7CB6">
        <w:rPr>
          <w:rFonts w:ascii="Arial" w:hAnsi="Arial" w:cs="Arial"/>
          <w:color w:val="333333"/>
          <w:sz w:val="24"/>
          <w:szCs w:val="24"/>
          <w:shd w:val="clear" w:color="auto" w:fill="FFFFFF"/>
        </w:rPr>
        <w:t>noncommunicable diseases in Wales in 2019.</w:t>
      </w:r>
      <w:r w:rsidR="00C804FB" w:rsidRPr="002B7CB6">
        <w:rPr>
          <w:rFonts w:ascii="Arial" w:hAnsi="Arial" w:cs="Arial"/>
          <w:sz w:val="24"/>
          <w:szCs w:val="24"/>
        </w:rPr>
        <w:t xml:space="preserve"> </w:t>
      </w:r>
    </w:p>
    <w:p w14:paraId="08D559E5" w14:textId="77777777" w:rsidR="00077AE8" w:rsidRPr="002B7CB6" w:rsidRDefault="00077AE8" w:rsidP="00DC54F7">
      <w:pPr>
        <w:spacing w:after="0" w:line="240" w:lineRule="auto"/>
        <w:jc w:val="both"/>
        <w:rPr>
          <w:rFonts w:ascii="Arial" w:hAnsi="Arial" w:cs="Arial"/>
          <w:b/>
          <w:sz w:val="24"/>
          <w:szCs w:val="24"/>
        </w:rPr>
      </w:pPr>
    </w:p>
    <w:p w14:paraId="4804E07D" w14:textId="17F6EEF3" w:rsidR="005C5867" w:rsidRPr="002B7CB6" w:rsidRDefault="00905C60" w:rsidP="00DC54F7">
      <w:pPr>
        <w:spacing w:after="0" w:line="240" w:lineRule="auto"/>
        <w:jc w:val="both"/>
        <w:rPr>
          <w:rFonts w:ascii="Arial" w:hAnsi="Arial" w:cs="Arial"/>
          <w:b/>
          <w:bCs/>
          <w:sz w:val="24"/>
          <w:szCs w:val="24"/>
        </w:rPr>
      </w:pPr>
      <w:r w:rsidRPr="002B7CB6">
        <w:rPr>
          <w:rFonts w:ascii="Arial" w:hAnsi="Arial" w:cs="Arial"/>
          <w:b/>
          <w:bCs/>
          <w:color w:val="000000"/>
          <w:sz w:val="24"/>
          <w:szCs w:val="24"/>
        </w:rPr>
        <w:t>Figure</w:t>
      </w:r>
      <w:r w:rsidR="00F22702" w:rsidRPr="002B7CB6">
        <w:rPr>
          <w:rFonts w:ascii="Arial" w:hAnsi="Arial" w:cs="Arial"/>
          <w:b/>
          <w:bCs/>
          <w:color w:val="000000"/>
          <w:sz w:val="24"/>
          <w:szCs w:val="24"/>
        </w:rPr>
        <w:t xml:space="preserve"> 3.3</w:t>
      </w:r>
      <w:r w:rsidRPr="002B7CB6">
        <w:rPr>
          <w:rFonts w:ascii="Arial" w:hAnsi="Arial" w:cs="Arial"/>
          <w:b/>
          <w:bCs/>
          <w:color w:val="000000"/>
          <w:sz w:val="24"/>
          <w:szCs w:val="24"/>
        </w:rPr>
        <w:t>: Top 10 risks contributing to total number of DALYs in 2019 and percent change 2009</w:t>
      </w:r>
      <w:r w:rsidR="00D75F82" w:rsidRPr="002B7CB6">
        <w:rPr>
          <w:rFonts w:ascii="Arial" w:hAnsi="Arial" w:cs="Arial"/>
          <w:b/>
          <w:bCs/>
          <w:color w:val="000000"/>
          <w:sz w:val="24"/>
          <w:szCs w:val="24"/>
        </w:rPr>
        <w:t xml:space="preserve"> to </w:t>
      </w:r>
      <w:r w:rsidRPr="002B7CB6">
        <w:rPr>
          <w:rFonts w:ascii="Arial" w:hAnsi="Arial" w:cs="Arial"/>
          <w:b/>
          <w:bCs/>
          <w:color w:val="000000"/>
          <w:sz w:val="24"/>
          <w:szCs w:val="24"/>
        </w:rPr>
        <w:t>2019, all ages combined</w:t>
      </w:r>
      <w:r w:rsidR="005C5867" w:rsidRPr="002B7CB6">
        <w:rPr>
          <w:rStyle w:val="FootnoteReference"/>
          <w:rFonts w:ascii="Arial" w:hAnsi="Arial" w:cs="Arial"/>
          <w:b/>
          <w:bCs/>
          <w:sz w:val="24"/>
          <w:szCs w:val="24"/>
        </w:rPr>
        <w:footnoteReference w:id="12"/>
      </w:r>
    </w:p>
    <w:p w14:paraId="307D9C63" w14:textId="26C7A2C4" w:rsidR="00316444" w:rsidRDefault="003D7375" w:rsidP="00DC54F7">
      <w:pPr>
        <w:spacing w:after="0" w:line="240" w:lineRule="auto"/>
        <w:jc w:val="both"/>
        <w:rPr>
          <w:rFonts w:ascii="Arial" w:hAnsi="Arial" w:cs="Arial"/>
          <w:b/>
          <w:sz w:val="26"/>
          <w:szCs w:val="26"/>
        </w:rPr>
      </w:pPr>
      <w:r>
        <w:rPr>
          <w:noProof/>
          <w:lang w:eastAsia="en-GB"/>
        </w:rPr>
        <w:drawing>
          <wp:inline distT="0" distB="0" distL="0" distR="0" wp14:anchorId="53BC113E" wp14:editId="22CB883E">
            <wp:extent cx="5478509" cy="2703443"/>
            <wp:effectExtent l="0" t="0" r="8255" b="190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549577" cy="2738512"/>
                    </a:xfrm>
                    <a:prstGeom prst="rect">
                      <a:avLst/>
                    </a:prstGeom>
                  </pic:spPr>
                </pic:pic>
              </a:graphicData>
            </a:graphic>
          </wp:inline>
        </w:drawing>
      </w:r>
    </w:p>
    <w:p w14:paraId="13E2CE79" w14:textId="15BA9FB0" w:rsidR="00D3238B" w:rsidRPr="002B7CB6" w:rsidRDefault="001B18D7" w:rsidP="00DC54F7">
      <w:pPr>
        <w:spacing w:after="0" w:line="240" w:lineRule="auto"/>
        <w:jc w:val="both"/>
        <w:rPr>
          <w:rStyle w:val="Strong"/>
          <w:rFonts w:ascii="Arial" w:hAnsi="Arial" w:cs="Arial"/>
          <w:b w:val="0"/>
          <w:bCs w:val="0"/>
          <w:color w:val="4C4D4F"/>
          <w:sz w:val="20"/>
          <w:szCs w:val="20"/>
        </w:rPr>
      </w:pPr>
      <w:r w:rsidRPr="002B7CB6">
        <w:rPr>
          <w:rFonts w:ascii="Arial" w:hAnsi="Arial" w:cs="Arial"/>
          <w:color w:val="4C4D4F"/>
          <w:sz w:val="20"/>
          <w:szCs w:val="20"/>
        </w:rPr>
        <w:t>Source: Institute for Health Metrics and Evaluation (IHME). </w:t>
      </w:r>
      <w:r w:rsidRPr="002B7CB6">
        <w:rPr>
          <w:rStyle w:val="Strong"/>
          <w:rFonts w:ascii="Arial" w:hAnsi="Arial" w:cs="Arial"/>
          <w:b w:val="0"/>
          <w:bCs w:val="0"/>
          <w:color w:val="4C4D4F"/>
          <w:sz w:val="20"/>
          <w:szCs w:val="20"/>
        </w:rPr>
        <w:t>Wales profile</w:t>
      </w:r>
    </w:p>
    <w:p w14:paraId="338CD105" w14:textId="57AB5EF9" w:rsidR="00E61706" w:rsidRPr="002B7CB6" w:rsidRDefault="00E61706" w:rsidP="00DC54F7">
      <w:pPr>
        <w:spacing w:after="0" w:line="240" w:lineRule="auto"/>
        <w:jc w:val="both"/>
        <w:rPr>
          <w:rStyle w:val="Strong"/>
          <w:rFonts w:ascii="Arial" w:hAnsi="Arial" w:cs="Arial"/>
          <w:b w:val="0"/>
          <w:bCs w:val="0"/>
          <w:color w:val="4C4D4F"/>
          <w:sz w:val="20"/>
          <w:szCs w:val="20"/>
        </w:rPr>
      </w:pPr>
    </w:p>
    <w:p w14:paraId="64676799" w14:textId="77777777" w:rsidR="002B7CB6" w:rsidRDefault="002B7CB6" w:rsidP="00DC54F7">
      <w:pPr>
        <w:spacing w:after="0" w:line="240" w:lineRule="auto"/>
        <w:jc w:val="both"/>
        <w:rPr>
          <w:rStyle w:val="Strong"/>
          <w:rFonts w:ascii="Arial" w:hAnsi="Arial" w:cs="Arial"/>
          <w:b w:val="0"/>
          <w:bCs w:val="0"/>
          <w:color w:val="4C4D4F"/>
        </w:rPr>
      </w:pPr>
    </w:p>
    <w:p w14:paraId="4659CD18" w14:textId="78700A77" w:rsidR="007B668C" w:rsidRDefault="00D60F79" w:rsidP="00DC54F7">
      <w:pPr>
        <w:spacing w:after="0" w:line="240" w:lineRule="auto"/>
        <w:jc w:val="both"/>
        <w:rPr>
          <w:rFonts w:ascii="Arial" w:hAnsi="Arial" w:cs="Arial"/>
          <w:b/>
          <w:sz w:val="26"/>
          <w:szCs w:val="26"/>
        </w:rPr>
      </w:pPr>
      <w:r>
        <w:rPr>
          <w:rFonts w:ascii="Arial" w:hAnsi="Arial" w:cs="Arial"/>
          <w:b/>
          <w:sz w:val="26"/>
          <w:szCs w:val="26"/>
        </w:rPr>
        <w:t xml:space="preserve">3.2.1 </w:t>
      </w:r>
      <w:r w:rsidR="007B668C" w:rsidRPr="00A10850">
        <w:rPr>
          <w:rFonts w:ascii="Arial" w:hAnsi="Arial" w:cs="Arial"/>
          <w:b/>
          <w:sz w:val="26"/>
          <w:szCs w:val="26"/>
        </w:rPr>
        <w:t xml:space="preserve">Smoking </w:t>
      </w:r>
    </w:p>
    <w:p w14:paraId="7E1DE316" w14:textId="77777777" w:rsidR="007B668C" w:rsidRDefault="007B668C" w:rsidP="00DC54F7">
      <w:pPr>
        <w:spacing w:after="0" w:line="240" w:lineRule="auto"/>
        <w:jc w:val="both"/>
        <w:rPr>
          <w:rFonts w:ascii="Arial" w:hAnsi="Arial" w:cs="Arial"/>
          <w:b/>
          <w:sz w:val="26"/>
          <w:szCs w:val="26"/>
        </w:rPr>
      </w:pPr>
    </w:p>
    <w:p w14:paraId="5B9DCD3C" w14:textId="32611B23" w:rsidR="007B668C" w:rsidRPr="002B7CB6" w:rsidRDefault="00A74E29" w:rsidP="00DC54F7">
      <w:pPr>
        <w:spacing w:after="0" w:line="240" w:lineRule="auto"/>
        <w:jc w:val="both"/>
        <w:rPr>
          <w:rFonts w:ascii="Arial" w:eastAsia="Times New Roman" w:hAnsi="Arial" w:cs="Arial"/>
          <w:color w:val="333333"/>
          <w:sz w:val="24"/>
          <w:szCs w:val="24"/>
          <w:lang w:eastAsia="en-GB"/>
        </w:rPr>
      </w:pPr>
      <w:r w:rsidRPr="002B7CB6">
        <w:rPr>
          <w:rFonts w:ascii="Arial" w:hAnsi="Arial" w:cs="Arial"/>
          <w:sz w:val="24"/>
          <w:szCs w:val="24"/>
        </w:rPr>
        <w:t xml:space="preserve">Cigarette smoking remains the </w:t>
      </w:r>
      <w:r w:rsidR="001643E6" w:rsidRPr="002B7CB6">
        <w:rPr>
          <w:rFonts w:ascii="Arial" w:hAnsi="Arial" w:cs="Arial"/>
          <w:sz w:val="24"/>
          <w:szCs w:val="24"/>
        </w:rPr>
        <w:t xml:space="preserve">biggest </w:t>
      </w:r>
      <w:r w:rsidRPr="002B7CB6">
        <w:rPr>
          <w:rFonts w:ascii="Arial" w:hAnsi="Arial" w:cs="Arial"/>
          <w:sz w:val="24"/>
          <w:szCs w:val="24"/>
        </w:rPr>
        <w:t>driver for combined deaths and disabilities in Wales</w:t>
      </w:r>
      <w:r w:rsidR="009D3332" w:rsidRPr="002B7CB6">
        <w:rPr>
          <w:rFonts w:ascii="Arial" w:hAnsi="Arial" w:cs="Arial"/>
          <w:sz w:val="24"/>
          <w:szCs w:val="24"/>
        </w:rPr>
        <w:t xml:space="preserve"> in 2019</w:t>
      </w:r>
      <w:r w:rsidR="00077AE8" w:rsidRPr="002B7CB6">
        <w:rPr>
          <w:rFonts w:ascii="Arial" w:hAnsi="Arial" w:cs="Arial"/>
          <w:sz w:val="24"/>
          <w:szCs w:val="24"/>
        </w:rPr>
        <w:t xml:space="preserve">. </w:t>
      </w:r>
      <w:r w:rsidR="007B668C" w:rsidRPr="006D6217">
        <w:rPr>
          <w:rFonts w:ascii="Arial" w:eastAsia="Times New Roman" w:hAnsi="Arial" w:cs="Arial"/>
          <w:sz w:val="24"/>
          <w:szCs w:val="24"/>
          <w:lang w:eastAsia="en-GB"/>
        </w:rPr>
        <w:t xml:space="preserve">Both smoking and passive smoking are linked to a range of serious illnesses including cancers and heart disease. The Welsh Government has introduced </w:t>
      </w:r>
      <w:r w:rsidR="00077AE8" w:rsidRPr="006D6217">
        <w:rPr>
          <w:rFonts w:ascii="Arial" w:eastAsia="Times New Roman" w:hAnsi="Arial" w:cs="Arial"/>
          <w:sz w:val="24"/>
          <w:szCs w:val="24"/>
          <w:lang w:eastAsia="en-GB"/>
        </w:rPr>
        <w:t xml:space="preserve">several </w:t>
      </w:r>
      <w:r w:rsidR="007B668C" w:rsidRPr="006D6217">
        <w:rPr>
          <w:rFonts w:ascii="Arial" w:eastAsia="Times New Roman" w:hAnsi="Arial" w:cs="Arial"/>
          <w:sz w:val="24"/>
          <w:szCs w:val="24"/>
          <w:lang w:eastAsia="en-GB"/>
        </w:rPr>
        <w:t xml:space="preserve">policies and legislations in its commitment to reduce </w:t>
      </w:r>
      <w:r w:rsidR="00966DE2" w:rsidRPr="006D6217">
        <w:rPr>
          <w:rFonts w:ascii="Arial" w:eastAsia="Times New Roman" w:hAnsi="Arial" w:cs="Arial"/>
          <w:sz w:val="24"/>
          <w:szCs w:val="24"/>
          <w:lang w:eastAsia="en-GB"/>
        </w:rPr>
        <w:t>this</w:t>
      </w:r>
      <w:r w:rsidR="00A01D63" w:rsidRPr="006D6217">
        <w:rPr>
          <w:rFonts w:ascii="Arial" w:eastAsia="Times New Roman" w:hAnsi="Arial" w:cs="Arial"/>
          <w:sz w:val="24"/>
          <w:szCs w:val="24"/>
          <w:lang w:eastAsia="en-GB"/>
        </w:rPr>
        <w:t xml:space="preserve">, </w:t>
      </w:r>
      <w:r w:rsidR="007B668C" w:rsidRPr="006D6217">
        <w:rPr>
          <w:rFonts w:ascii="Arial" w:eastAsia="Times New Roman" w:hAnsi="Arial" w:cs="Arial"/>
          <w:sz w:val="24"/>
          <w:szCs w:val="24"/>
          <w:lang w:eastAsia="en-GB"/>
        </w:rPr>
        <w:t>includ</w:t>
      </w:r>
      <w:r w:rsidR="00A01D63" w:rsidRPr="006D6217">
        <w:rPr>
          <w:rFonts w:ascii="Arial" w:eastAsia="Times New Roman" w:hAnsi="Arial" w:cs="Arial"/>
          <w:sz w:val="24"/>
          <w:szCs w:val="24"/>
          <w:lang w:eastAsia="en-GB"/>
        </w:rPr>
        <w:t>ing</w:t>
      </w:r>
      <w:r w:rsidR="007B668C" w:rsidRPr="006D6217">
        <w:rPr>
          <w:rFonts w:ascii="Arial" w:eastAsia="Times New Roman" w:hAnsi="Arial" w:cs="Arial"/>
          <w:sz w:val="24"/>
          <w:szCs w:val="24"/>
          <w:lang w:eastAsia="en-GB"/>
        </w:rPr>
        <w:t xml:space="preserve"> the smoking ban in 2007, the smoking in vehicles with children ban in 2015 and the Tobacco</w:t>
      </w:r>
      <w:r w:rsidR="007B668C" w:rsidRPr="002B7CB6">
        <w:rPr>
          <w:rFonts w:ascii="Arial" w:eastAsia="Times New Roman" w:hAnsi="Arial" w:cs="Arial"/>
          <w:color w:val="000000" w:themeColor="text1"/>
          <w:sz w:val="24"/>
          <w:szCs w:val="24"/>
          <w:lang w:eastAsia="en-GB"/>
        </w:rPr>
        <w:t xml:space="preserve"> Control Delivery Plan for Wales 2017</w:t>
      </w:r>
      <w:r w:rsidR="009F4E1D" w:rsidRPr="002B7CB6">
        <w:rPr>
          <w:rFonts w:ascii="Arial" w:eastAsia="Times New Roman" w:hAnsi="Arial" w:cs="Arial"/>
          <w:color w:val="000000" w:themeColor="text1"/>
          <w:sz w:val="24"/>
          <w:szCs w:val="24"/>
          <w:lang w:eastAsia="en-GB"/>
        </w:rPr>
        <w:t xml:space="preserve"> to 20</w:t>
      </w:r>
      <w:r w:rsidR="007B668C" w:rsidRPr="002B7CB6">
        <w:rPr>
          <w:rFonts w:ascii="Arial" w:eastAsia="Times New Roman" w:hAnsi="Arial" w:cs="Arial"/>
          <w:color w:val="000000" w:themeColor="text1"/>
          <w:sz w:val="24"/>
          <w:szCs w:val="24"/>
          <w:lang w:eastAsia="en-GB"/>
        </w:rPr>
        <w:t xml:space="preserve">20. </w:t>
      </w:r>
      <w:r w:rsidR="00580410" w:rsidRPr="002B7CB6">
        <w:rPr>
          <w:rFonts w:ascii="Arial" w:eastAsia="Times New Roman" w:hAnsi="Arial" w:cs="Arial"/>
          <w:color w:val="000000" w:themeColor="text1"/>
          <w:sz w:val="24"/>
          <w:szCs w:val="24"/>
          <w:lang w:eastAsia="en-GB"/>
        </w:rPr>
        <w:t xml:space="preserve">This </w:t>
      </w:r>
      <w:r w:rsidR="006C3914" w:rsidRPr="002B7CB6">
        <w:rPr>
          <w:rFonts w:ascii="Arial" w:eastAsia="Times New Roman" w:hAnsi="Arial" w:cs="Arial"/>
          <w:color w:val="000000" w:themeColor="text1"/>
          <w:sz w:val="24"/>
          <w:szCs w:val="24"/>
          <w:lang w:eastAsia="en-GB"/>
        </w:rPr>
        <w:t xml:space="preserve">has successfully </w:t>
      </w:r>
      <w:r w:rsidR="00580410" w:rsidRPr="002B7CB6">
        <w:rPr>
          <w:rFonts w:ascii="Arial" w:eastAsia="Times New Roman" w:hAnsi="Arial" w:cs="Arial"/>
          <w:color w:val="000000" w:themeColor="text1"/>
          <w:sz w:val="24"/>
          <w:szCs w:val="24"/>
          <w:lang w:eastAsia="en-GB"/>
        </w:rPr>
        <w:t xml:space="preserve">contributed to lowering the burden of disease </w:t>
      </w:r>
      <w:r w:rsidR="006C3914" w:rsidRPr="002B7CB6">
        <w:rPr>
          <w:rFonts w:ascii="Arial" w:eastAsia="Times New Roman" w:hAnsi="Arial" w:cs="Arial"/>
          <w:color w:val="000000" w:themeColor="text1"/>
          <w:sz w:val="24"/>
          <w:szCs w:val="24"/>
          <w:lang w:eastAsia="en-GB"/>
        </w:rPr>
        <w:t xml:space="preserve">due to smoking between 2009 and 2019. </w:t>
      </w:r>
      <w:r w:rsidR="007B668C" w:rsidRPr="002B7CB6">
        <w:rPr>
          <w:rFonts w:ascii="Arial" w:eastAsia="Times New Roman" w:hAnsi="Arial" w:cs="Arial"/>
          <w:color w:val="000000" w:themeColor="text1"/>
          <w:sz w:val="24"/>
          <w:szCs w:val="24"/>
          <w:lang w:eastAsia="en-GB"/>
        </w:rPr>
        <w:t>From March 202</w:t>
      </w:r>
      <w:r w:rsidR="00016A0B" w:rsidRPr="002B7CB6">
        <w:rPr>
          <w:rFonts w:ascii="Arial" w:eastAsia="Times New Roman" w:hAnsi="Arial" w:cs="Arial"/>
          <w:color w:val="000000" w:themeColor="text1"/>
          <w:sz w:val="24"/>
          <w:szCs w:val="24"/>
          <w:lang w:eastAsia="en-GB"/>
        </w:rPr>
        <w:t>1</w:t>
      </w:r>
      <w:r w:rsidR="00A817B5" w:rsidRPr="002B7CB6">
        <w:rPr>
          <w:rFonts w:ascii="Arial" w:eastAsia="Times New Roman" w:hAnsi="Arial" w:cs="Arial"/>
          <w:color w:val="000000" w:themeColor="text1"/>
          <w:sz w:val="24"/>
          <w:szCs w:val="24"/>
          <w:lang w:eastAsia="en-GB"/>
        </w:rPr>
        <w:t>,</w:t>
      </w:r>
      <w:r w:rsidR="007B668C" w:rsidRPr="002B7CB6">
        <w:rPr>
          <w:rFonts w:ascii="Arial" w:eastAsia="Times New Roman" w:hAnsi="Arial" w:cs="Arial"/>
          <w:color w:val="000000" w:themeColor="text1"/>
          <w:sz w:val="24"/>
          <w:szCs w:val="24"/>
          <w:lang w:eastAsia="en-GB"/>
        </w:rPr>
        <w:t xml:space="preserve"> new legislation extend</w:t>
      </w:r>
      <w:r w:rsidR="00FA22E4" w:rsidRPr="002B7CB6">
        <w:rPr>
          <w:rFonts w:ascii="Arial" w:eastAsia="Times New Roman" w:hAnsi="Arial" w:cs="Arial"/>
          <w:color w:val="000000" w:themeColor="text1"/>
          <w:sz w:val="24"/>
          <w:szCs w:val="24"/>
          <w:lang w:eastAsia="en-GB"/>
        </w:rPr>
        <w:t>s</w:t>
      </w:r>
      <w:r w:rsidR="007B668C" w:rsidRPr="002B7CB6">
        <w:rPr>
          <w:rFonts w:ascii="Arial" w:eastAsia="Times New Roman" w:hAnsi="Arial" w:cs="Arial"/>
          <w:color w:val="000000" w:themeColor="text1"/>
          <w:sz w:val="24"/>
          <w:szCs w:val="24"/>
          <w:lang w:eastAsia="en-GB"/>
        </w:rPr>
        <w:t xml:space="preserve"> the smoke free requirements to include hospital grounds, school grounds and public playgrounds, as well as outdoor day care and child-minding settings. Furthermore, from March 2022, smoking bedrooms in hotels, guest houses, self-contained holiday accommodation will be required to be smoke-free. In addition, Mental Health Units will be required to phase out any smoking rooms by 1 September 2022, and amendments will be made to who can use designated smoking rooms in adult care homes and adult hospices.</w:t>
      </w:r>
      <w:r w:rsidR="005F3FBC" w:rsidRPr="002B7CB6">
        <w:rPr>
          <w:rStyle w:val="FootnoteReference"/>
          <w:rFonts w:ascii="Arial" w:eastAsia="Times New Roman" w:hAnsi="Arial" w:cs="Arial"/>
          <w:color w:val="000000" w:themeColor="text1"/>
          <w:sz w:val="24"/>
          <w:szCs w:val="24"/>
          <w:lang w:eastAsia="en-GB"/>
        </w:rPr>
        <w:footnoteReference w:id="13"/>
      </w:r>
    </w:p>
    <w:p w14:paraId="4FD75595" w14:textId="58025BCD" w:rsidR="007B668C" w:rsidRPr="002B7CB6" w:rsidRDefault="007B668C" w:rsidP="00DC54F7">
      <w:pPr>
        <w:spacing w:after="0" w:line="240" w:lineRule="auto"/>
        <w:jc w:val="both"/>
        <w:rPr>
          <w:rFonts w:ascii="Arial" w:hAnsi="Arial" w:cs="Arial"/>
          <w:color w:val="000000" w:themeColor="text1"/>
          <w:sz w:val="24"/>
          <w:szCs w:val="24"/>
          <w:shd w:val="clear" w:color="auto" w:fill="FFFFFF"/>
        </w:rPr>
      </w:pPr>
      <w:r w:rsidRPr="002B7CB6">
        <w:rPr>
          <w:rFonts w:ascii="Arial" w:hAnsi="Arial" w:cs="Arial"/>
          <w:color w:val="000000" w:themeColor="text1"/>
          <w:sz w:val="24"/>
          <w:szCs w:val="24"/>
          <w:shd w:val="clear" w:color="auto" w:fill="FFFFFF"/>
        </w:rPr>
        <w:lastRenderedPageBreak/>
        <w:t xml:space="preserve">Based on </w:t>
      </w:r>
      <w:r w:rsidR="00F40290" w:rsidRPr="002B7CB6">
        <w:rPr>
          <w:rFonts w:ascii="Arial" w:hAnsi="Arial" w:cs="Arial"/>
          <w:color w:val="000000" w:themeColor="text1"/>
          <w:sz w:val="24"/>
          <w:szCs w:val="24"/>
          <w:shd w:val="clear" w:color="auto" w:fill="FFFFFF"/>
        </w:rPr>
        <w:t xml:space="preserve">data collected between </w:t>
      </w:r>
      <w:r w:rsidRPr="002B7CB6">
        <w:rPr>
          <w:rFonts w:ascii="Arial" w:hAnsi="Arial" w:cs="Arial"/>
          <w:color w:val="000000" w:themeColor="text1"/>
          <w:sz w:val="24"/>
          <w:szCs w:val="24"/>
          <w:shd w:val="clear" w:color="auto" w:fill="FFFFFF"/>
        </w:rPr>
        <w:t>2018</w:t>
      </w:r>
      <w:r w:rsidR="00A817B5" w:rsidRPr="002B7CB6">
        <w:rPr>
          <w:rFonts w:ascii="Arial" w:hAnsi="Arial" w:cs="Arial"/>
          <w:color w:val="000000" w:themeColor="text1"/>
          <w:sz w:val="24"/>
          <w:szCs w:val="24"/>
          <w:shd w:val="clear" w:color="auto" w:fill="FFFFFF"/>
        </w:rPr>
        <w:t xml:space="preserve"> to 20</w:t>
      </w:r>
      <w:r w:rsidRPr="002B7CB6">
        <w:rPr>
          <w:rFonts w:ascii="Arial" w:hAnsi="Arial" w:cs="Arial"/>
          <w:color w:val="000000" w:themeColor="text1"/>
          <w:sz w:val="24"/>
          <w:szCs w:val="24"/>
          <w:shd w:val="clear" w:color="auto" w:fill="FFFFFF"/>
        </w:rPr>
        <w:t>19</w:t>
      </w:r>
      <w:r w:rsidR="00F40290" w:rsidRPr="002B7CB6">
        <w:rPr>
          <w:rFonts w:ascii="Arial" w:hAnsi="Arial" w:cs="Arial"/>
          <w:color w:val="000000" w:themeColor="text1"/>
          <w:sz w:val="24"/>
          <w:szCs w:val="24"/>
          <w:shd w:val="clear" w:color="auto" w:fill="FFFFFF"/>
        </w:rPr>
        <w:t xml:space="preserve"> and </w:t>
      </w:r>
      <w:r w:rsidRPr="002B7CB6">
        <w:rPr>
          <w:rFonts w:ascii="Arial" w:hAnsi="Arial" w:cs="Arial"/>
          <w:color w:val="000000" w:themeColor="text1"/>
          <w:sz w:val="24"/>
          <w:szCs w:val="24"/>
          <w:shd w:val="clear" w:color="auto" w:fill="FFFFFF"/>
        </w:rPr>
        <w:t>2019</w:t>
      </w:r>
      <w:r w:rsidR="00F40290" w:rsidRPr="002B7CB6">
        <w:rPr>
          <w:rFonts w:ascii="Arial" w:hAnsi="Arial" w:cs="Arial"/>
          <w:color w:val="000000" w:themeColor="text1"/>
          <w:sz w:val="24"/>
          <w:szCs w:val="24"/>
          <w:shd w:val="clear" w:color="auto" w:fill="FFFFFF"/>
        </w:rPr>
        <w:t xml:space="preserve"> to 20</w:t>
      </w:r>
      <w:r w:rsidRPr="002B7CB6">
        <w:rPr>
          <w:rFonts w:ascii="Arial" w:hAnsi="Arial" w:cs="Arial"/>
          <w:color w:val="000000" w:themeColor="text1"/>
          <w:sz w:val="24"/>
          <w:szCs w:val="24"/>
          <w:shd w:val="clear" w:color="auto" w:fill="FFFFFF"/>
        </w:rPr>
        <w:t>20</w:t>
      </w:r>
      <w:r w:rsidR="00275D49" w:rsidRPr="002B7CB6">
        <w:rPr>
          <w:rFonts w:ascii="Arial" w:hAnsi="Arial" w:cs="Arial"/>
          <w:color w:val="000000" w:themeColor="text1"/>
          <w:sz w:val="24"/>
          <w:szCs w:val="24"/>
          <w:shd w:val="clear" w:color="auto" w:fill="FFFFFF"/>
        </w:rPr>
        <w:t xml:space="preserve"> as part of the</w:t>
      </w:r>
      <w:r w:rsidRPr="002B7CB6">
        <w:rPr>
          <w:rFonts w:ascii="Arial" w:hAnsi="Arial" w:cs="Arial"/>
          <w:color w:val="000000" w:themeColor="text1"/>
          <w:sz w:val="24"/>
          <w:szCs w:val="24"/>
          <w:shd w:val="clear" w:color="auto" w:fill="FFFFFF"/>
        </w:rPr>
        <w:t xml:space="preserve"> National Survey for Wales, 14.4% of adults repor</w:t>
      </w:r>
      <w:r w:rsidR="00142EB9" w:rsidRPr="002B7CB6">
        <w:rPr>
          <w:rFonts w:ascii="Arial" w:hAnsi="Arial" w:cs="Arial"/>
          <w:color w:val="000000" w:themeColor="text1"/>
          <w:sz w:val="24"/>
          <w:szCs w:val="24"/>
          <w:shd w:val="clear" w:color="auto" w:fill="FFFFFF"/>
        </w:rPr>
        <w:t>t</w:t>
      </w:r>
      <w:r w:rsidRPr="002B7CB6">
        <w:rPr>
          <w:rFonts w:ascii="Arial" w:hAnsi="Arial" w:cs="Arial"/>
          <w:color w:val="000000" w:themeColor="text1"/>
          <w:sz w:val="24"/>
          <w:szCs w:val="24"/>
          <w:shd w:val="clear" w:color="auto" w:fill="FFFFFF"/>
        </w:rPr>
        <w:t xml:space="preserve"> that they smoke in Cardiff and Vale University Health Board. This was the lowest rate of all the health boards and was significantly lower </w:t>
      </w:r>
      <w:r w:rsidR="00F95718" w:rsidRPr="002B7CB6">
        <w:rPr>
          <w:rFonts w:ascii="Arial" w:hAnsi="Arial" w:cs="Arial"/>
          <w:color w:val="000000" w:themeColor="text1"/>
          <w:sz w:val="24"/>
          <w:szCs w:val="24"/>
          <w:shd w:val="clear" w:color="auto" w:fill="FFFFFF"/>
        </w:rPr>
        <w:t>than the average for Wales</w:t>
      </w:r>
      <w:r w:rsidRPr="002B7CB6">
        <w:rPr>
          <w:rFonts w:ascii="Arial" w:hAnsi="Arial" w:cs="Arial"/>
          <w:color w:val="000000" w:themeColor="text1"/>
          <w:sz w:val="24"/>
          <w:szCs w:val="24"/>
          <w:shd w:val="clear" w:color="auto" w:fill="FFFFFF"/>
        </w:rPr>
        <w:t xml:space="preserve"> (17.4%). At the </w:t>
      </w:r>
      <w:r w:rsidR="00567F4B" w:rsidRPr="002B7CB6">
        <w:rPr>
          <w:rFonts w:ascii="Arial" w:hAnsi="Arial" w:cs="Arial"/>
          <w:color w:val="000000" w:themeColor="text1"/>
          <w:sz w:val="24"/>
          <w:szCs w:val="24"/>
          <w:shd w:val="clear" w:color="auto" w:fill="FFFFFF"/>
        </w:rPr>
        <w:t>local</w:t>
      </w:r>
      <w:r w:rsidRPr="002B7CB6">
        <w:rPr>
          <w:rFonts w:ascii="Arial" w:hAnsi="Arial" w:cs="Arial"/>
          <w:color w:val="000000" w:themeColor="text1"/>
          <w:sz w:val="24"/>
          <w:szCs w:val="24"/>
          <w:shd w:val="clear" w:color="auto" w:fill="FFFFFF"/>
        </w:rPr>
        <w:t xml:space="preserve"> authority level, 14.2% </w:t>
      </w:r>
      <w:r w:rsidR="0031134C" w:rsidRPr="002B7CB6">
        <w:rPr>
          <w:rFonts w:ascii="Arial" w:hAnsi="Arial" w:cs="Arial"/>
          <w:color w:val="000000" w:themeColor="text1"/>
          <w:sz w:val="24"/>
          <w:szCs w:val="24"/>
          <w:shd w:val="clear" w:color="auto" w:fill="FFFFFF"/>
        </w:rPr>
        <w:t xml:space="preserve">of people </w:t>
      </w:r>
      <w:r w:rsidR="00142EB9" w:rsidRPr="002B7CB6">
        <w:rPr>
          <w:rFonts w:ascii="Arial" w:hAnsi="Arial" w:cs="Arial"/>
          <w:color w:val="000000" w:themeColor="text1"/>
          <w:sz w:val="24"/>
          <w:szCs w:val="24"/>
          <w:shd w:val="clear" w:color="auto" w:fill="FFFFFF"/>
        </w:rPr>
        <w:t>report that they smoke</w:t>
      </w:r>
      <w:r w:rsidR="00521D1C" w:rsidRPr="002B7CB6">
        <w:rPr>
          <w:rFonts w:ascii="Arial" w:hAnsi="Arial" w:cs="Arial"/>
          <w:color w:val="000000" w:themeColor="text1"/>
          <w:sz w:val="24"/>
          <w:szCs w:val="24"/>
          <w:shd w:val="clear" w:color="auto" w:fill="FFFFFF"/>
        </w:rPr>
        <w:t xml:space="preserve"> in</w:t>
      </w:r>
      <w:r w:rsidRPr="002B7CB6">
        <w:rPr>
          <w:rFonts w:ascii="Arial" w:hAnsi="Arial" w:cs="Arial"/>
          <w:color w:val="000000" w:themeColor="text1"/>
          <w:sz w:val="24"/>
          <w:szCs w:val="24"/>
          <w:shd w:val="clear" w:color="auto" w:fill="FFFFFF"/>
        </w:rPr>
        <w:t xml:space="preserve"> Cardiff, the second lowest of all the </w:t>
      </w:r>
      <w:r w:rsidR="00567F4B" w:rsidRPr="002B7CB6">
        <w:rPr>
          <w:rFonts w:ascii="Arial" w:hAnsi="Arial" w:cs="Arial"/>
          <w:color w:val="000000" w:themeColor="text1"/>
          <w:sz w:val="24"/>
          <w:szCs w:val="24"/>
          <w:shd w:val="clear" w:color="auto" w:fill="FFFFFF"/>
        </w:rPr>
        <w:t>local</w:t>
      </w:r>
      <w:r w:rsidRPr="002B7CB6">
        <w:rPr>
          <w:rFonts w:ascii="Arial" w:hAnsi="Arial" w:cs="Arial"/>
          <w:color w:val="000000" w:themeColor="text1"/>
          <w:sz w:val="24"/>
          <w:szCs w:val="24"/>
          <w:shd w:val="clear" w:color="auto" w:fill="FFFFFF"/>
        </w:rPr>
        <w:t xml:space="preserve"> authorities.  16.2% of people said they smoke in the Vale of Glamorgan. The Vale of Glamorgan (11.2%) had the highest reported rate of e-cigarette users, which was significantly higher </w:t>
      </w:r>
      <w:r w:rsidR="00F95718" w:rsidRPr="002B7CB6">
        <w:rPr>
          <w:rFonts w:ascii="Arial" w:hAnsi="Arial" w:cs="Arial"/>
          <w:color w:val="000000" w:themeColor="text1"/>
          <w:sz w:val="24"/>
          <w:szCs w:val="24"/>
          <w:shd w:val="clear" w:color="auto" w:fill="FFFFFF"/>
        </w:rPr>
        <w:t>than the average for Wales</w:t>
      </w:r>
      <w:r w:rsidRPr="002B7CB6">
        <w:rPr>
          <w:rFonts w:ascii="Arial" w:hAnsi="Arial" w:cs="Arial"/>
          <w:color w:val="000000" w:themeColor="text1"/>
          <w:sz w:val="24"/>
          <w:szCs w:val="24"/>
          <w:shd w:val="clear" w:color="auto" w:fill="FFFFFF"/>
        </w:rPr>
        <w:t xml:space="preserve"> (6.4%). </w:t>
      </w:r>
    </w:p>
    <w:p w14:paraId="7645F041" w14:textId="77777777" w:rsidR="00F5045B" w:rsidRPr="002B7CB6" w:rsidRDefault="00F5045B" w:rsidP="00DC54F7">
      <w:pPr>
        <w:spacing w:after="0" w:line="240" w:lineRule="auto"/>
        <w:jc w:val="both"/>
        <w:rPr>
          <w:rFonts w:ascii="Arial" w:hAnsi="Arial" w:cs="Arial"/>
          <w:color w:val="333333"/>
          <w:sz w:val="24"/>
          <w:szCs w:val="24"/>
          <w:shd w:val="clear" w:color="auto" w:fill="FFFFFF"/>
        </w:rPr>
      </w:pPr>
    </w:p>
    <w:p w14:paraId="12FB065B" w14:textId="5C2EF705" w:rsidR="007B668C" w:rsidRPr="002B7CB6" w:rsidRDefault="00F5045B" w:rsidP="00DC54F7">
      <w:pPr>
        <w:spacing w:after="0" w:line="240" w:lineRule="auto"/>
        <w:jc w:val="both"/>
        <w:rPr>
          <w:rFonts w:ascii="Arial" w:hAnsi="Arial" w:cs="Arial"/>
          <w:b/>
          <w:bCs/>
          <w:color w:val="000000" w:themeColor="text1"/>
          <w:sz w:val="24"/>
          <w:szCs w:val="24"/>
          <w:shd w:val="clear" w:color="auto" w:fill="FFFFFF"/>
        </w:rPr>
      </w:pPr>
      <w:r w:rsidRPr="002B7CB6">
        <w:rPr>
          <w:rFonts w:ascii="Arial" w:hAnsi="Arial" w:cs="Arial"/>
          <w:b/>
          <w:bCs/>
          <w:color w:val="000000" w:themeColor="text1"/>
          <w:sz w:val="24"/>
          <w:szCs w:val="24"/>
          <w:shd w:val="clear" w:color="auto" w:fill="FFFFFF"/>
        </w:rPr>
        <w:t>Table</w:t>
      </w:r>
      <w:r w:rsidR="00F22702" w:rsidRPr="002B7CB6">
        <w:rPr>
          <w:rFonts w:ascii="Arial" w:hAnsi="Arial" w:cs="Arial"/>
          <w:b/>
          <w:bCs/>
          <w:color w:val="000000" w:themeColor="text1"/>
          <w:sz w:val="24"/>
          <w:szCs w:val="24"/>
          <w:shd w:val="clear" w:color="auto" w:fill="FFFFFF"/>
        </w:rPr>
        <w:t xml:space="preserve"> 3.5</w:t>
      </w:r>
      <w:r w:rsidRPr="002B7CB6">
        <w:rPr>
          <w:rFonts w:ascii="Arial" w:hAnsi="Arial" w:cs="Arial"/>
          <w:b/>
          <w:bCs/>
          <w:color w:val="000000" w:themeColor="text1"/>
          <w:sz w:val="24"/>
          <w:szCs w:val="24"/>
          <w:shd w:val="clear" w:color="auto" w:fill="FFFFFF"/>
        </w:rPr>
        <w:t>:</w:t>
      </w:r>
      <w:r w:rsidR="001541EA" w:rsidRPr="002B7CB6">
        <w:rPr>
          <w:rFonts w:ascii="Arial" w:hAnsi="Arial" w:cs="Arial"/>
          <w:b/>
          <w:bCs/>
          <w:color w:val="000000" w:themeColor="text1"/>
          <w:sz w:val="24"/>
          <w:szCs w:val="24"/>
          <w:shd w:val="clear" w:color="auto" w:fill="FFFFFF"/>
        </w:rPr>
        <w:t xml:space="preserve"> Adult smoking </w:t>
      </w:r>
      <w:r w:rsidR="00473024" w:rsidRPr="002B7CB6">
        <w:rPr>
          <w:rFonts w:ascii="Arial" w:hAnsi="Arial" w:cs="Arial"/>
          <w:b/>
          <w:bCs/>
          <w:color w:val="000000" w:themeColor="text1"/>
          <w:sz w:val="24"/>
          <w:szCs w:val="24"/>
          <w:shd w:val="clear" w:color="auto" w:fill="FFFFFF"/>
        </w:rPr>
        <w:t xml:space="preserve">patterns by </w:t>
      </w:r>
      <w:r w:rsidR="00567F4B" w:rsidRPr="002B7CB6">
        <w:rPr>
          <w:rFonts w:ascii="Arial" w:hAnsi="Arial" w:cs="Arial"/>
          <w:b/>
          <w:bCs/>
          <w:color w:val="000000" w:themeColor="text1"/>
          <w:sz w:val="24"/>
          <w:szCs w:val="24"/>
          <w:shd w:val="clear" w:color="auto" w:fill="FFFFFF"/>
        </w:rPr>
        <w:t>local</w:t>
      </w:r>
      <w:r w:rsidR="00473024" w:rsidRPr="002B7CB6">
        <w:rPr>
          <w:rFonts w:ascii="Arial" w:hAnsi="Arial" w:cs="Arial"/>
          <w:b/>
          <w:bCs/>
          <w:color w:val="000000" w:themeColor="text1"/>
          <w:sz w:val="24"/>
          <w:szCs w:val="24"/>
          <w:shd w:val="clear" w:color="auto" w:fill="FFFFFF"/>
        </w:rPr>
        <w:t xml:space="preserve"> authority, health board and Wales, </w:t>
      </w:r>
      <w:r w:rsidR="00B03A2A" w:rsidRPr="002B7CB6">
        <w:rPr>
          <w:rFonts w:ascii="Arial" w:hAnsi="Arial" w:cs="Arial"/>
          <w:b/>
          <w:bCs/>
          <w:color w:val="000000" w:themeColor="text1"/>
          <w:sz w:val="24"/>
          <w:szCs w:val="24"/>
          <w:shd w:val="clear" w:color="auto" w:fill="FFFFFF"/>
        </w:rPr>
        <w:t>2018 to 2020</w:t>
      </w:r>
    </w:p>
    <w:tbl>
      <w:tblPr>
        <w:tblW w:w="871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533"/>
        <w:gridCol w:w="1545"/>
        <w:gridCol w:w="1545"/>
        <w:gridCol w:w="1545"/>
        <w:gridCol w:w="1545"/>
      </w:tblGrid>
      <w:tr w:rsidR="007B668C" w:rsidRPr="00646EE4" w14:paraId="1F06ACB4" w14:textId="77777777" w:rsidTr="00237D3A">
        <w:trPr>
          <w:trHeight w:val="285"/>
        </w:trPr>
        <w:tc>
          <w:tcPr>
            <w:tcW w:w="2533" w:type="dxa"/>
            <w:shd w:val="clear" w:color="000000" w:fill="8497B0"/>
            <w:noWrap/>
            <w:vAlign w:val="bottom"/>
            <w:hideMark/>
          </w:tcPr>
          <w:p w14:paraId="432F80A3" w14:textId="77777777" w:rsidR="007B668C" w:rsidRPr="00646EE4" w:rsidRDefault="007B668C" w:rsidP="00DC54F7">
            <w:pPr>
              <w:spacing w:after="0" w:line="240" w:lineRule="auto"/>
              <w:jc w:val="both"/>
              <w:rPr>
                <w:rFonts w:ascii="Calibri" w:eastAsia="Times New Roman" w:hAnsi="Calibri" w:cs="Times New Roman"/>
                <w:b/>
                <w:bCs/>
                <w:color w:val="FFFFFF"/>
                <w:lang w:eastAsia="en-GB"/>
              </w:rPr>
            </w:pPr>
            <w:r w:rsidRPr="00646EE4">
              <w:rPr>
                <w:rFonts w:ascii="Calibri" w:eastAsia="Times New Roman" w:hAnsi="Calibri" w:cs="Times New Roman"/>
                <w:b/>
                <w:bCs/>
                <w:color w:val="FFFFFF"/>
                <w:lang w:eastAsia="en-GB"/>
              </w:rPr>
              <w:t>Area</w:t>
            </w:r>
          </w:p>
        </w:tc>
        <w:tc>
          <w:tcPr>
            <w:tcW w:w="1545" w:type="dxa"/>
            <w:shd w:val="clear" w:color="000000" w:fill="8497B0"/>
            <w:vAlign w:val="center"/>
            <w:hideMark/>
          </w:tcPr>
          <w:p w14:paraId="1066D42B" w14:textId="6226B30A" w:rsidR="007B668C" w:rsidRPr="00646EE4" w:rsidRDefault="003209BD" w:rsidP="00DC54F7">
            <w:pPr>
              <w:spacing w:after="0" w:line="240" w:lineRule="auto"/>
              <w:jc w:val="both"/>
              <w:rPr>
                <w:rFonts w:ascii="Tahoma" w:eastAsia="Times New Roman" w:hAnsi="Tahoma" w:cs="Tahoma"/>
                <w:b/>
                <w:bCs/>
                <w:color w:val="FFFFFF"/>
                <w:sz w:val="17"/>
                <w:szCs w:val="17"/>
                <w:lang w:eastAsia="en-GB"/>
              </w:rPr>
            </w:pPr>
            <w:r>
              <w:rPr>
                <w:rFonts w:ascii="Tahoma" w:eastAsia="Times New Roman" w:hAnsi="Tahoma" w:cs="Tahoma"/>
                <w:b/>
                <w:bCs/>
                <w:color w:val="FFFFFF"/>
                <w:sz w:val="17"/>
                <w:szCs w:val="17"/>
                <w:lang w:eastAsia="en-GB"/>
              </w:rPr>
              <w:t xml:space="preserve">Percentage </w:t>
            </w:r>
            <w:r w:rsidR="007B668C" w:rsidRPr="00646EE4">
              <w:rPr>
                <w:rFonts w:ascii="Tahoma" w:eastAsia="Times New Roman" w:hAnsi="Tahoma" w:cs="Tahoma"/>
                <w:b/>
                <w:bCs/>
                <w:color w:val="FFFFFF"/>
                <w:sz w:val="17"/>
                <w:szCs w:val="17"/>
                <w:lang w:eastAsia="en-GB"/>
              </w:rPr>
              <w:t xml:space="preserve">Smoker </w:t>
            </w:r>
          </w:p>
        </w:tc>
        <w:tc>
          <w:tcPr>
            <w:tcW w:w="1545" w:type="dxa"/>
            <w:shd w:val="clear" w:color="000000" w:fill="8497B0"/>
            <w:vAlign w:val="center"/>
            <w:hideMark/>
          </w:tcPr>
          <w:p w14:paraId="3195C6D1" w14:textId="77777777" w:rsidR="00890E30" w:rsidRDefault="003209BD" w:rsidP="00DC54F7">
            <w:pPr>
              <w:spacing w:after="0" w:line="240" w:lineRule="auto"/>
              <w:jc w:val="both"/>
              <w:rPr>
                <w:rFonts w:ascii="Tahoma" w:eastAsia="Times New Roman" w:hAnsi="Tahoma" w:cs="Tahoma"/>
                <w:b/>
                <w:bCs/>
                <w:color w:val="FFFFFF"/>
                <w:sz w:val="17"/>
                <w:szCs w:val="17"/>
                <w:lang w:eastAsia="en-GB"/>
              </w:rPr>
            </w:pPr>
            <w:r>
              <w:rPr>
                <w:rFonts w:ascii="Tahoma" w:eastAsia="Times New Roman" w:hAnsi="Tahoma" w:cs="Tahoma"/>
                <w:b/>
                <w:bCs/>
                <w:color w:val="FFFFFF"/>
                <w:sz w:val="17"/>
                <w:szCs w:val="17"/>
                <w:lang w:eastAsia="en-GB"/>
              </w:rPr>
              <w:t xml:space="preserve">Percentage </w:t>
            </w:r>
          </w:p>
          <w:p w14:paraId="53E63F20" w14:textId="79B86208" w:rsidR="007B668C" w:rsidRPr="00646EE4" w:rsidRDefault="007B668C" w:rsidP="00DC54F7">
            <w:pPr>
              <w:spacing w:after="0" w:line="240" w:lineRule="auto"/>
              <w:jc w:val="both"/>
              <w:rPr>
                <w:rFonts w:ascii="Tahoma" w:eastAsia="Times New Roman" w:hAnsi="Tahoma" w:cs="Tahoma"/>
                <w:b/>
                <w:bCs/>
                <w:color w:val="FFFFFF"/>
                <w:sz w:val="17"/>
                <w:szCs w:val="17"/>
                <w:lang w:eastAsia="en-GB"/>
              </w:rPr>
            </w:pPr>
            <w:r w:rsidRPr="00646EE4">
              <w:rPr>
                <w:rFonts w:ascii="Tahoma" w:eastAsia="Times New Roman" w:hAnsi="Tahoma" w:cs="Tahoma"/>
                <w:b/>
                <w:bCs/>
                <w:color w:val="FFFFFF"/>
                <w:sz w:val="17"/>
                <w:szCs w:val="17"/>
                <w:lang w:eastAsia="en-GB"/>
              </w:rPr>
              <w:t xml:space="preserve">Ex-smoker </w:t>
            </w:r>
          </w:p>
        </w:tc>
        <w:tc>
          <w:tcPr>
            <w:tcW w:w="1545" w:type="dxa"/>
            <w:shd w:val="clear" w:color="000000" w:fill="8497B0"/>
            <w:vAlign w:val="center"/>
            <w:hideMark/>
          </w:tcPr>
          <w:p w14:paraId="43108FBB" w14:textId="5B45C4AB" w:rsidR="007B668C" w:rsidRPr="00646EE4" w:rsidRDefault="00890E30" w:rsidP="00DC54F7">
            <w:pPr>
              <w:spacing w:after="0" w:line="240" w:lineRule="auto"/>
              <w:jc w:val="both"/>
              <w:rPr>
                <w:rFonts w:ascii="Tahoma" w:eastAsia="Times New Roman" w:hAnsi="Tahoma" w:cs="Tahoma"/>
                <w:b/>
                <w:bCs/>
                <w:color w:val="FFFFFF"/>
                <w:sz w:val="17"/>
                <w:szCs w:val="17"/>
                <w:lang w:eastAsia="en-GB"/>
              </w:rPr>
            </w:pPr>
            <w:r>
              <w:rPr>
                <w:rFonts w:ascii="Tahoma" w:eastAsia="Times New Roman" w:hAnsi="Tahoma" w:cs="Tahoma"/>
                <w:b/>
                <w:bCs/>
                <w:color w:val="FFFFFF"/>
                <w:sz w:val="17"/>
                <w:szCs w:val="17"/>
                <w:lang w:eastAsia="en-GB"/>
              </w:rPr>
              <w:t xml:space="preserve">Percentage </w:t>
            </w:r>
            <w:r w:rsidR="007B668C" w:rsidRPr="00646EE4">
              <w:rPr>
                <w:rFonts w:ascii="Tahoma" w:eastAsia="Times New Roman" w:hAnsi="Tahoma" w:cs="Tahoma"/>
                <w:b/>
                <w:bCs/>
                <w:color w:val="FFFFFF"/>
                <w:sz w:val="17"/>
                <w:szCs w:val="17"/>
                <w:lang w:eastAsia="en-GB"/>
              </w:rPr>
              <w:t xml:space="preserve">Never smoked </w:t>
            </w:r>
          </w:p>
        </w:tc>
        <w:tc>
          <w:tcPr>
            <w:tcW w:w="1545" w:type="dxa"/>
            <w:shd w:val="clear" w:color="000000" w:fill="8497B0"/>
            <w:vAlign w:val="center"/>
            <w:hideMark/>
          </w:tcPr>
          <w:p w14:paraId="4C51FBAC" w14:textId="77777777" w:rsidR="00890E30" w:rsidRDefault="00890E30" w:rsidP="00DC54F7">
            <w:pPr>
              <w:spacing w:after="0" w:line="240" w:lineRule="auto"/>
              <w:jc w:val="both"/>
              <w:rPr>
                <w:rFonts w:ascii="Tahoma" w:eastAsia="Times New Roman" w:hAnsi="Tahoma" w:cs="Tahoma"/>
                <w:b/>
                <w:bCs/>
                <w:color w:val="FFFFFF"/>
                <w:sz w:val="17"/>
                <w:szCs w:val="17"/>
                <w:lang w:eastAsia="en-GB"/>
              </w:rPr>
            </w:pPr>
            <w:r>
              <w:rPr>
                <w:rFonts w:ascii="Tahoma" w:eastAsia="Times New Roman" w:hAnsi="Tahoma" w:cs="Tahoma"/>
                <w:b/>
                <w:bCs/>
                <w:color w:val="FFFFFF"/>
                <w:sz w:val="17"/>
                <w:szCs w:val="17"/>
                <w:lang w:eastAsia="en-GB"/>
              </w:rPr>
              <w:t>Percentage</w:t>
            </w:r>
          </w:p>
          <w:p w14:paraId="6D66E25B" w14:textId="47CE319C" w:rsidR="007B668C" w:rsidRPr="00646EE4" w:rsidRDefault="007B668C" w:rsidP="00DC54F7">
            <w:pPr>
              <w:spacing w:after="0" w:line="240" w:lineRule="auto"/>
              <w:jc w:val="both"/>
              <w:rPr>
                <w:rFonts w:ascii="Tahoma" w:eastAsia="Times New Roman" w:hAnsi="Tahoma" w:cs="Tahoma"/>
                <w:b/>
                <w:bCs/>
                <w:color w:val="FFFFFF"/>
                <w:sz w:val="17"/>
                <w:szCs w:val="17"/>
                <w:lang w:eastAsia="en-GB"/>
              </w:rPr>
            </w:pPr>
            <w:r w:rsidRPr="00646EE4">
              <w:rPr>
                <w:rFonts w:ascii="Tahoma" w:eastAsia="Times New Roman" w:hAnsi="Tahoma" w:cs="Tahoma"/>
                <w:b/>
                <w:bCs/>
                <w:color w:val="FFFFFF"/>
                <w:sz w:val="17"/>
                <w:szCs w:val="17"/>
                <w:lang w:eastAsia="en-GB"/>
              </w:rPr>
              <w:t xml:space="preserve">E-cigarette user </w:t>
            </w:r>
          </w:p>
        </w:tc>
      </w:tr>
      <w:tr w:rsidR="007B668C" w:rsidRPr="00646EE4" w14:paraId="233A015C" w14:textId="77777777" w:rsidTr="00237D3A">
        <w:trPr>
          <w:trHeight w:val="285"/>
        </w:trPr>
        <w:tc>
          <w:tcPr>
            <w:tcW w:w="2533" w:type="dxa"/>
            <w:shd w:val="clear" w:color="000000" w:fill="F2F2F2"/>
            <w:vAlign w:val="center"/>
            <w:hideMark/>
          </w:tcPr>
          <w:p w14:paraId="5E1C41BE"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 xml:space="preserve">Cardiff </w:t>
            </w:r>
          </w:p>
        </w:tc>
        <w:tc>
          <w:tcPr>
            <w:tcW w:w="1545" w:type="dxa"/>
            <w:shd w:val="clear" w:color="000000" w:fill="F2F2F2"/>
            <w:vAlign w:val="center"/>
            <w:hideMark/>
          </w:tcPr>
          <w:p w14:paraId="7D12F361"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14.2</w:t>
            </w:r>
          </w:p>
        </w:tc>
        <w:tc>
          <w:tcPr>
            <w:tcW w:w="1545" w:type="dxa"/>
            <w:shd w:val="clear" w:color="000000" w:fill="F2F2F2"/>
            <w:vAlign w:val="center"/>
            <w:hideMark/>
          </w:tcPr>
          <w:p w14:paraId="5B0FDCE1"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31.1</w:t>
            </w:r>
          </w:p>
        </w:tc>
        <w:tc>
          <w:tcPr>
            <w:tcW w:w="1545" w:type="dxa"/>
            <w:shd w:val="clear" w:color="000000" w:fill="F2F2F2"/>
            <w:vAlign w:val="center"/>
            <w:hideMark/>
          </w:tcPr>
          <w:p w14:paraId="0A997B55"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54.7</w:t>
            </w:r>
          </w:p>
        </w:tc>
        <w:tc>
          <w:tcPr>
            <w:tcW w:w="1545" w:type="dxa"/>
            <w:shd w:val="clear" w:color="000000" w:fill="F2F2F2"/>
            <w:vAlign w:val="center"/>
            <w:hideMark/>
          </w:tcPr>
          <w:p w14:paraId="3D1D2C51"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6.2</w:t>
            </w:r>
          </w:p>
        </w:tc>
      </w:tr>
      <w:tr w:rsidR="007B668C" w:rsidRPr="00646EE4" w14:paraId="1289AD01" w14:textId="77777777" w:rsidTr="00237D3A">
        <w:trPr>
          <w:trHeight w:val="285"/>
        </w:trPr>
        <w:tc>
          <w:tcPr>
            <w:tcW w:w="2533" w:type="dxa"/>
            <w:shd w:val="clear" w:color="auto" w:fill="auto"/>
            <w:vAlign w:val="center"/>
            <w:hideMark/>
          </w:tcPr>
          <w:p w14:paraId="0352E969"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 xml:space="preserve">Vale of Glamorgan </w:t>
            </w:r>
          </w:p>
        </w:tc>
        <w:tc>
          <w:tcPr>
            <w:tcW w:w="1545" w:type="dxa"/>
            <w:shd w:val="clear" w:color="auto" w:fill="auto"/>
            <w:vAlign w:val="center"/>
            <w:hideMark/>
          </w:tcPr>
          <w:p w14:paraId="1ED12375"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16.2</w:t>
            </w:r>
          </w:p>
        </w:tc>
        <w:tc>
          <w:tcPr>
            <w:tcW w:w="1545" w:type="dxa"/>
            <w:shd w:val="clear" w:color="auto" w:fill="auto"/>
            <w:vAlign w:val="center"/>
            <w:hideMark/>
          </w:tcPr>
          <w:p w14:paraId="584A0FD4"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31.1</w:t>
            </w:r>
          </w:p>
        </w:tc>
        <w:tc>
          <w:tcPr>
            <w:tcW w:w="1545" w:type="dxa"/>
            <w:shd w:val="clear" w:color="auto" w:fill="auto"/>
            <w:vAlign w:val="center"/>
            <w:hideMark/>
          </w:tcPr>
          <w:p w14:paraId="2C4E1E12"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52.7</w:t>
            </w:r>
          </w:p>
        </w:tc>
        <w:tc>
          <w:tcPr>
            <w:tcW w:w="1545" w:type="dxa"/>
            <w:shd w:val="clear" w:color="auto" w:fill="auto"/>
            <w:vAlign w:val="center"/>
            <w:hideMark/>
          </w:tcPr>
          <w:p w14:paraId="4BE45B26"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11.2</w:t>
            </w:r>
          </w:p>
        </w:tc>
      </w:tr>
      <w:tr w:rsidR="007B668C" w:rsidRPr="00646EE4" w14:paraId="677E1833" w14:textId="77777777" w:rsidTr="00237D3A">
        <w:trPr>
          <w:trHeight w:val="285"/>
        </w:trPr>
        <w:tc>
          <w:tcPr>
            <w:tcW w:w="2533" w:type="dxa"/>
            <w:shd w:val="clear" w:color="000000" w:fill="F2F2F2"/>
            <w:vAlign w:val="center"/>
            <w:hideMark/>
          </w:tcPr>
          <w:p w14:paraId="46BEBDEE"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Cardiff and Vale UHB</w:t>
            </w:r>
          </w:p>
        </w:tc>
        <w:tc>
          <w:tcPr>
            <w:tcW w:w="1545" w:type="dxa"/>
            <w:shd w:val="clear" w:color="000000" w:fill="F2F2F2"/>
            <w:vAlign w:val="center"/>
            <w:hideMark/>
          </w:tcPr>
          <w:p w14:paraId="1E8920A4"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14.4</w:t>
            </w:r>
          </w:p>
        </w:tc>
        <w:tc>
          <w:tcPr>
            <w:tcW w:w="1545" w:type="dxa"/>
            <w:shd w:val="clear" w:color="000000" w:fill="F2F2F2"/>
            <w:vAlign w:val="center"/>
            <w:hideMark/>
          </w:tcPr>
          <w:p w14:paraId="0DB5EA81"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31.3</w:t>
            </w:r>
          </w:p>
        </w:tc>
        <w:tc>
          <w:tcPr>
            <w:tcW w:w="1545" w:type="dxa"/>
            <w:shd w:val="clear" w:color="000000" w:fill="F2F2F2"/>
            <w:vAlign w:val="center"/>
            <w:hideMark/>
          </w:tcPr>
          <w:p w14:paraId="16F20FD0"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54.3</w:t>
            </w:r>
          </w:p>
        </w:tc>
        <w:tc>
          <w:tcPr>
            <w:tcW w:w="1545" w:type="dxa"/>
            <w:shd w:val="clear" w:color="000000" w:fill="F2F2F2"/>
            <w:vAlign w:val="center"/>
            <w:hideMark/>
          </w:tcPr>
          <w:p w14:paraId="5F5553D6"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7.1</w:t>
            </w:r>
          </w:p>
        </w:tc>
      </w:tr>
      <w:tr w:rsidR="007B668C" w:rsidRPr="00646EE4" w14:paraId="28B93462" w14:textId="77777777" w:rsidTr="00237D3A">
        <w:trPr>
          <w:trHeight w:val="285"/>
        </w:trPr>
        <w:tc>
          <w:tcPr>
            <w:tcW w:w="2533" w:type="dxa"/>
            <w:shd w:val="clear" w:color="000000" w:fill="FFFFFF"/>
            <w:vAlign w:val="center"/>
            <w:hideMark/>
          </w:tcPr>
          <w:p w14:paraId="6B734619"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 xml:space="preserve">Wales </w:t>
            </w:r>
          </w:p>
        </w:tc>
        <w:tc>
          <w:tcPr>
            <w:tcW w:w="1545" w:type="dxa"/>
            <w:shd w:val="clear" w:color="000000" w:fill="FFFFFF"/>
            <w:vAlign w:val="center"/>
            <w:hideMark/>
          </w:tcPr>
          <w:p w14:paraId="40552AAA"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17.4</w:t>
            </w:r>
          </w:p>
        </w:tc>
        <w:tc>
          <w:tcPr>
            <w:tcW w:w="1545" w:type="dxa"/>
            <w:shd w:val="clear" w:color="000000" w:fill="FFFFFF"/>
            <w:vAlign w:val="center"/>
            <w:hideMark/>
          </w:tcPr>
          <w:p w14:paraId="1E527FB8"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29.4</w:t>
            </w:r>
          </w:p>
        </w:tc>
        <w:tc>
          <w:tcPr>
            <w:tcW w:w="1545" w:type="dxa"/>
            <w:shd w:val="clear" w:color="000000" w:fill="FFFFFF"/>
            <w:vAlign w:val="center"/>
            <w:hideMark/>
          </w:tcPr>
          <w:p w14:paraId="5DFA8604"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53.2</w:t>
            </w:r>
          </w:p>
        </w:tc>
        <w:tc>
          <w:tcPr>
            <w:tcW w:w="1545" w:type="dxa"/>
            <w:shd w:val="clear" w:color="000000" w:fill="FFFFFF"/>
            <w:vAlign w:val="center"/>
            <w:hideMark/>
          </w:tcPr>
          <w:p w14:paraId="6EF42EED" w14:textId="77777777" w:rsidR="007B668C" w:rsidRPr="00646EE4" w:rsidRDefault="007B668C" w:rsidP="00DC54F7">
            <w:pPr>
              <w:spacing w:after="0" w:line="240" w:lineRule="auto"/>
              <w:jc w:val="both"/>
              <w:rPr>
                <w:rFonts w:ascii="Tahoma" w:eastAsia="Times New Roman" w:hAnsi="Tahoma" w:cs="Tahoma"/>
                <w:color w:val="000000"/>
                <w:sz w:val="17"/>
                <w:szCs w:val="17"/>
                <w:lang w:eastAsia="en-GB"/>
              </w:rPr>
            </w:pPr>
            <w:r w:rsidRPr="00646EE4">
              <w:rPr>
                <w:rFonts w:ascii="Tahoma" w:eastAsia="Times New Roman" w:hAnsi="Tahoma" w:cs="Tahoma"/>
                <w:color w:val="000000"/>
                <w:sz w:val="17"/>
                <w:szCs w:val="17"/>
                <w:lang w:eastAsia="en-GB"/>
              </w:rPr>
              <w:t>6.4</w:t>
            </w:r>
          </w:p>
        </w:tc>
      </w:tr>
    </w:tbl>
    <w:p w14:paraId="08067EF9" w14:textId="4CC659AA" w:rsidR="007B668C" w:rsidRPr="002B7CB6" w:rsidRDefault="004E1999" w:rsidP="00DC54F7">
      <w:pPr>
        <w:spacing w:after="0" w:line="240" w:lineRule="auto"/>
        <w:jc w:val="both"/>
        <w:rPr>
          <w:rFonts w:ascii="Arial" w:hAnsi="Arial" w:cs="Arial"/>
          <w:color w:val="333333"/>
          <w:sz w:val="20"/>
          <w:szCs w:val="20"/>
          <w:shd w:val="clear" w:color="auto" w:fill="FFFFFF"/>
        </w:rPr>
      </w:pPr>
      <w:r w:rsidRPr="002B7CB6">
        <w:rPr>
          <w:rFonts w:ascii="Arial" w:hAnsi="Arial" w:cs="Arial"/>
          <w:color w:val="333333"/>
          <w:sz w:val="20"/>
          <w:szCs w:val="20"/>
          <w:shd w:val="clear" w:color="auto" w:fill="FFFFFF"/>
        </w:rPr>
        <w:t>Source: Stat</w:t>
      </w:r>
      <w:r w:rsidR="00C871F8" w:rsidRPr="002B7CB6">
        <w:rPr>
          <w:rFonts w:ascii="Arial" w:hAnsi="Arial" w:cs="Arial"/>
          <w:color w:val="333333"/>
          <w:sz w:val="20"/>
          <w:szCs w:val="20"/>
          <w:shd w:val="clear" w:color="auto" w:fill="FFFFFF"/>
        </w:rPr>
        <w:t>s</w:t>
      </w:r>
      <w:r w:rsidRPr="002B7CB6">
        <w:rPr>
          <w:rFonts w:ascii="Arial" w:hAnsi="Arial" w:cs="Arial"/>
          <w:color w:val="333333"/>
          <w:sz w:val="20"/>
          <w:szCs w:val="20"/>
          <w:shd w:val="clear" w:color="auto" w:fill="FFFFFF"/>
        </w:rPr>
        <w:t>Wales – National Survey for Wales</w:t>
      </w:r>
    </w:p>
    <w:p w14:paraId="7C41C715" w14:textId="77777777" w:rsidR="007B668C" w:rsidRPr="002B7CB6" w:rsidRDefault="007B668C" w:rsidP="00DC54F7">
      <w:pPr>
        <w:spacing w:after="0" w:line="240" w:lineRule="auto"/>
        <w:jc w:val="both"/>
        <w:rPr>
          <w:rFonts w:ascii="Verdana" w:hAnsi="Verdana"/>
          <w:color w:val="333333"/>
          <w:sz w:val="20"/>
          <w:szCs w:val="20"/>
          <w:shd w:val="clear" w:color="auto" w:fill="FFFFFF"/>
        </w:rPr>
      </w:pPr>
    </w:p>
    <w:p w14:paraId="027F6C6A" w14:textId="5410CE11" w:rsidR="007B668C" w:rsidRDefault="007B668C" w:rsidP="00DC54F7">
      <w:pPr>
        <w:pStyle w:val="NormalWeb"/>
        <w:shd w:val="clear" w:color="auto" w:fill="FFFFFF"/>
        <w:spacing w:before="0" w:beforeAutospacing="0" w:after="0" w:afterAutospacing="0"/>
        <w:jc w:val="both"/>
        <w:rPr>
          <w:rFonts w:ascii="Arial" w:hAnsi="Arial" w:cs="Arial"/>
          <w:color w:val="333333"/>
        </w:rPr>
      </w:pPr>
      <w:r w:rsidRPr="006D6217">
        <w:rPr>
          <w:rFonts w:ascii="Arial" w:hAnsi="Arial" w:cs="Arial"/>
        </w:rPr>
        <w:t xml:space="preserve">Results taken from School Health Research Network (SHRN) health and wellbeing survey for the academic year 2017 to 2018, showed that both Cardiff (2.8%) and the Vale of Glamorgan (2.7%) had </w:t>
      </w:r>
      <w:r w:rsidR="00F73E6A" w:rsidRPr="006D6217">
        <w:rPr>
          <w:rFonts w:ascii="Arial" w:hAnsi="Arial" w:cs="Arial"/>
        </w:rPr>
        <w:t xml:space="preserve">a </w:t>
      </w:r>
      <w:r w:rsidRPr="006D6217">
        <w:rPr>
          <w:rFonts w:ascii="Arial" w:hAnsi="Arial" w:cs="Arial"/>
        </w:rPr>
        <w:t xml:space="preserve">significantly lower prevalence of adolescent smokers (aged 11 to 16 years) compared to </w:t>
      </w:r>
      <w:r w:rsidR="00F73E6A" w:rsidRPr="006D6217">
        <w:rPr>
          <w:rFonts w:ascii="Arial" w:hAnsi="Arial" w:cs="Arial"/>
        </w:rPr>
        <w:t xml:space="preserve">the average for </w:t>
      </w:r>
      <w:r w:rsidRPr="006D6217">
        <w:rPr>
          <w:rFonts w:ascii="Arial" w:hAnsi="Arial" w:cs="Arial"/>
        </w:rPr>
        <w:t xml:space="preserve">Wales (3.6%). The Cardiff and Vale University Health Board (2.8%) had the lowest prevalence of all the health boards and was also significantly lower </w:t>
      </w:r>
      <w:r w:rsidR="00F95718" w:rsidRPr="006D6217">
        <w:rPr>
          <w:rFonts w:ascii="Arial" w:hAnsi="Arial" w:cs="Arial"/>
        </w:rPr>
        <w:t>than the average for Wales</w:t>
      </w:r>
      <w:r w:rsidRPr="006D6217">
        <w:rPr>
          <w:rFonts w:ascii="Arial" w:hAnsi="Arial" w:cs="Arial"/>
        </w:rPr>
        <w:t xml:space="preserve">.  For e-cigarettes, Cardiff (2.6%) had a significantly lower rate of use in adolescents </w:t>
      </w:r>
      <w:r w:rsidR="00F95718" w:rsidRPr="006D6217">
        <w:rPr>
          <w:rFonts w:ascii="Arial" w:hAnsi="Arial" w:cs="Arial"/>
        </w:rPr>
        <w:t>than the average for Wales</w:t>
      </w:r>
      <w:r w:rsidRPr="006D6217">
        <w:rPr>
          <w:rFonts w:ascii="Arial" w:hAnsi="Arial" w:cs="Arial"/>
        </w:rPr>
        <w:t xml:space="preserve"> (3.3%). The </w:t>
      </w:r>
      <w:r w:rsidR="00307BB0" w:rsidRPr="006D6217">
        <w:rPr>
          <w:rFonts w:ascii="Arial" w:hAnsi="Arial" w:cs="Arial"/>
        </w:rPr>
        <w:t xml:space="preserve">use of e-cigarettes in </w:t>
      </w:r>
      <w:r w:rsidR="008D7B6E" w:rsidRPr="006D6217">
        <w:rPr>
          <w:rFonts w:ascii="Arial" w:hAnsi="Arial" w:cs="Arial"/>
        </w:rPr>
        <w:t xml:space="preserve">adolescents was higher in </w:t>
      </w:r>
      <w:r w:rsidRPr="006D6217">
        <w:rPr>
          <w:rFonts w:ascii="Arial" w:hAnsi="Arial" w:cs="Arial"/>
        </w:rPr>
        <w:t>the Vale of Glamorgan</w:t>
      </w:r>
      <w:r w:rsidR="008D7B6E" w:rsidRPr="006D6217">
        <w:rPr>
          <w:rFonts w:ascii="Arial" w:hAnsi="Arial" w:cs="Arial"/>
        </w:rPr>
        <w:t xml:space="preserve"> (3.5%)</w:t>
      </w:r>
      <w:r w:rsidR="006127A6" w:rsidRPr="006D6217">
        <w:rPr>
          <w:rFonts w:ascii="Arial" w:hAnsi="Arial" w:cs="Arial"/>
        </w:rPr>
        <w:t xml:space="preserve">. </w:t>
      </w:r>
    </w:p>
    <w:p w14:paraId="23BE3CF4" w14:textId="77777777" w:rsidR="002B7CB6" w:rsidRPr="002B7CB6" w:rsidRDefault="002B7CB6" w:rsidP="00DC54F7">
      <w:pPr>
        <w:pStyle w:val="NormalWeb"/>
        <w:shd w:val="clear" w:color="auto" w:fill="FFFFFF"/>
        <w:spacing w:before="0" w:beforeAutospacing="0" w:after="0" w:afterAutospacing="0"/>
        <w:jc w:val="both"/>
        <w:rPr>
          <w:rFonts w:ascii="Arial" w:hAnsi="Arial" w:cs="Arial"/>
          <w:color w:val="333333"/>
        </w:rPr>
      </w:pPr>
    </w:p>
    <w:p w14:paraId="4E954C29" w14:textId="59CA7CF1" w:rsidR="00B00F0D" w:rsidRPr="002B7CB6" w:rsidRDefault="00B00F0D" w:rsidP="00DC54F7">
      <w:pPr>
        <w:pStyle w:val="NormalWeb"/>
        <w:shd w:val="clear" w:color="auto" w:fill="FFFFFF"/>
        <w:spacing w:before="0" w:beforeAutospacing="0" w:after="0" w:afterAutospacing="0"/>
        <w:jc w:val="both"/>
        <w:rPr>
          <w:rFonts w:ascii="Arial" w:hAnsi="Arial" w:cs="Arial"/>
          <w:b/>
          <w:bCs/>
          <w:color w:val="333333"/>
        </w:rPr>
      </w:pPr>
      <w:r w:rsidRPr="002B7CB6">
        <w:rPr>
          <w:rFonts w:ascii="Arial" w:hAnsi="Arial" w:cs="Arial"/>
          <w:b/>
          <w:bCs/>
          <w:color w:val="333333"/>
        </w:rPr>
        <w:t>Table</w:t>
      </w:r>
      <w:r w:rsidR="00F22702" w:rsidRPr="002B7CB6">
        <w:rPr>
          <w:rFonts w:ascii="Arial" w:hAnsi="Arial" w:cs="Arial"/>
          <w:b/>
          <w:bCs/>
          <w:color w:val="333333"/>
        </w:rPr>
        <w:t xml:space="preserve"> 3.6</w:t>
      </w:r>
      <w:r w:rsidRPr="002B7CB6">
        <w:rPr>
          <w:rFonts w:ascii="Arial" w:hAnsi="Arial" w:cs="Arial"/>
          <w:b/>
          <w:bCs/>
          <w:color w:val="333333"/>
        </w:rPr>
        <w:t xml:space="preserve">: </w:t>
      </w:r>
      <w:r w:rsidR="007C56DE" w:rsidRPr="002B7CB6">
        <w:rPr>
          <w:rFonts w:ascii="Arial" w:hAnsi="Arial" w:cs="Arial"/>
          <w:b/>
          <w:bCs/>
          <w:color w:val="333333"/>
        </w:rPr>
        <w:t xml:space="preserve">Percentage of adolescent smokers </w:t>
      </w:r>
      <w:r w:rsidR="00AD4BE6" w:rsidRPr="002B7CB6">
        <w:rPr>
          <w:rFonts w:ascii="Arial" w:hAnsi="Arial" w:cs="Arial"/>
          <w:b/>
          <w:bCs/>
          <w:color w:val="333333"/>
        </w:rPr>
        <w:t>and E-ciga</w:t>
      </w:r>
      <w:r w:rsidR="00412EE1" w:rsidRPr="002B7CB6">
        <w:rPr>
          <w:rFonts w:ascii="Arial" w:hAnsi="Arial" w:cs="Arial"/>
          <w:b/>
          <w:bCs/>
          <w:color w:val="333333"/>
        </w:rPr>
        <w:t xml:space="preserve">rette users </w:t>
      </w:r>
      <w:r w:rsidR="007C56DE" w:rsidRPr="002B7CB6">
        <w:rPr>
          <w:rFonts w:ascii="Arial" w:hAnsi="Arial" w:cs="Arial"/>
          <w:b/>
          <w:bCs/>
          <w:color w:val="333333"/>
        </w:rPr>
        <w:t xml:space="preserve">by </w:t>
      </w:r>
      <w:r w:rsidR="00567F4B" w:rsidRPr="002B7CB6">
        <w:rPr>
          <w:rFonts w:ascii="Arial" w:hAnsi="Arial" w:cs="Arial"/>
          <w:b/>
          <w:bCs/>
          <w:color w:val="333333"/>
        </w:rPr>
        <w:t>local</w:t>
      </w:r>
      <w:r w:rsidR="007C56DE" w:rsidRPr="002B7CB6">
        <w:rPr>
          <w:rFonts w:ascii="Arial" w:hAnsi="Arial" w:cs="Arial"/>
          <w:b/>
          <w:bCs/>
          <w:color w:val="333333"/>
        </w:rPr>
        <w:t xml:space="preserve"> authority, health board and Wales, </w:t>
      </w:r>
      <w:r w:rsidR="006D6A64" w:rsidRPr="002B7CB6">
        <w:rPr>
          <w:rFonts w:ascii="Arial" w:hAnsi="Arial" w:cs="Arial"/>
          <w:b/>
          <w:bCs/>
          <w:color w:val="333333"/>
        </w:rPr>
        <w:t>2017 to 2018</w:t>
      </w:r>
    </w:p>
    <w:tbl>
      <w:tblPr>
        <w:tblW w:w="896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638"/>
        <w:gridCol w:w="3162"/>
        <w:gridCol w:w="3162"/>
      </w:tblGrid>
      <w:tr w:rsidR="007F7622" w:rsidRPr="007F7622" w14:paraId="492D3713" w14:textId="77777777" w:rsidTr="00237D3A">
        <w:trPr>
          <w:trHeight w:val="361"/>
        </w:trPr>
        <w:tc>
          <w:tcPr>
            <w:tcW w:w="2638" w:type="dxa"/>
            <w:shd w:val="clear" w:color="000000" w:fill="8497B0"/>
            <w:noWrap/>
            <w:vAlign w:val="bottom"/>
            <w:hideMark/>
          </w:tcPr>
          <w:p w14:paraId="0EED6540" w14:textId="77777777" w:rsidR="007F7622" w:rsidRPr="007F7622" w:rsidRDefault="007F7622" w:rsidP="00DC54F7">
            <w:pPr>
              <w:spacing w:after="0" w:line="240" w:lineRule="auto"/>
              <w:jc w:val="both"/>
              <w:rPr>
                <w:rFonts w:ascii="Calibri" w:eastAsia="Times New Roman" w:hAnsi="Calibri" w:cs="Calibri"/>
                <w:b/>
                <w:bCs/>
                <w:color w:val="FFFFFF"/>
                <w:lang w:eastAsia="en-GB"/>
              </w:rPr>
            </w:pPr>
            <w:r w:rsidRPr="007F7622">
              <w:rPr>
                <w:rFonts w:ascii="Calibri" w:eastAsia="Times New Roman" w:hAnsi="Calibri" w:cs="Calibri"/>
                <w:b/>
                <w:bCs/>
                <w:color w:val="FFFFFF"/>
                <w:lang w:eastAsia="en-GB"/>
              </w:rPr>
              <w:t>Area</w:t>
            </w:r>
          </w:p>
        </w:tc>
        <w:tc>
          <w:tcPr>
            <w:tcW w:w="3162" w:type="dxa"/>
            <w:shd w:val="clear" w:color="000000" w:fill="8497B0"/>
            <w:vAlign w:val="center"/>
            <w:hideMark/>
          </w:tcPr>
          <w:p w14:paraId="44520744" w14:textId="625760C2" w:rsidR="007F7622" w:rsidRPr="007F7622" w:rsidRDefault="007F7622" w:rsidP="00DC54F7">
            <w:pPr>
              <w:spacing w:after="0" w:line="240" w:lineRule="auto"/>
              <w:jc w:val="both"/>
              <w:rPr>
                <w:rFonts w:ascii="Tahoma" w:eastAsia="Times New Roman" w:hAnsi="Tahoma" w:cs="Tahoma"/>
                <w:b/>
                <w:bCs/>
                <w:color w:val="FFFFFF"/>
                <w:sz w:val="17"/>
                <w:szCs w:val="17"/>
                <w:lang w:eastAsia="en-GB"/>
              </w:rPr>
            </w:pPr>
            <w:r w:rsidRPr="007F7622">
              <w:rPr>
                <w:rFonts w:ascii="Tahoma" w:eastAsia="Times New Roman" w:hAnsi="Tahoma" w:cs="Tahoma"/>
                <w:b/>
                <w:bCs/>
                <w:color w:val="FFFFFF"/>
                <w:sz w:val="17"/>
                <w:szCs w:val="17"/>
                <w:lang w:eastAsia="en-GB"/>
              </w:rPr>
              <w:t xml:space="preserve">Percentage smoker </w:t>
            </w:r>
            <w:r w:rsidRPr="007F7622">
              <w:rPr>
                <w:rFonts w:ascii="Tahoma" w:eastAsia="Times New Roman" w:hAnsi="Tahoma" w:cs="Tahoma"/>
                <w:b/>
                <w:bCs/>
                <w:color w:val="FFFFFF"/>
                <w:sz w:val="17"/>
                <w:szCs w:val="17"/>
                <w:lang w:eastAsia="en-GB"/>
              </w:rPr>
              <w:br/>
              <w:t>Children aged 11 to 16</w:t>
            </w:r>
            <w:r w:rsidR="00822574">
              <w:rPr>
                <w:rFonts w:ascii="Tahoma" w:eastAsia="Times New Roman" w:hAnsi="Tahoma" w:cs="Tahoma"/>
                <w:b/>
                <w:bCs/>
                <w:color w:val="FFFFFF"/>
                <w:sz w:val="17"/>
                <w:szCs w:val="17"/>
                <w:lang w:eastAsia="en-GB"/>
              </w:rPr>
              <w:t xml:space="preserve"> years</w:t>
            </w:r>
          </w:p>
        </w:tc>
        <w:tc>
          <w:tcPr>
            <w:tcW w:w="3162" w:type="dxa"/>
            <w:shd w:val="clear" w:color="000000" w:fill="8497B0"/>
            <w:vAlign w:val="center"/>
            <w:hideMark/>
          </w:tcPr>
          <w:p w14:paraId="19ED8C54" w14:textId="185E68CB" w:rsidR="007F7622" w:rsidRPr="007F7622" w:rsidRDefault="007F7622" w:rsidP="00DC54F7">
            <w:pPr>
              <w:spacing w:after="0" w:line="240" w:lineRule="auto"/>
              <w:jc w:val="both"/>
              <w:rPr>
                <w:rFonts w:ascii="Tahoma" w:eastAsia="Times New Roman" w:hAnsi="Tahoma" w:cs="Tahoma"/>
                <w:b/>
                <w:bCs/>
                <w:color w:val="FFFFFF"/>
                <w:sz w:val="17"/>
                <w:szCs w:val="17"/>
                <w:lang w:eastAsia="en-GB"/>
              </w:rPr>
            </w:pPr>
            <w:r w:rsidRPr="007F7622">
              <w:rPr>
                <w:rFonts w:ascii="Tahoma" w:eastAsia="Times New Roman" w:hAnsi="Tahoma" w:cs="Tahoma"/>
                <w:b/>
                <w:bCs/>
                <w:color w:val="FFFFFF"/>
                <w:sz w:val="17"/>
                <w:szCs w:val="17"/>
                <w:lang w:eastAsia="en-GB"/>
              </w:rPr>
              <w:t xml:space="preserve">Percentage E cigarette user </w:t>
            </w:r>
            <w:r w:rsidRPr="007F7622">
              <w:rPr>
                <w:rFonts w:ascii="Tahoma" w:eastAsia="Times New Roman" w:hAnsi="Tahoma" w:cs="Tahoma"/>
                <w:b/>
                <w:bCs/>
                <w:color w:val="FFFFFF"/>
                <w:sz w:val="17"/>
                <w:szCs w:val="17"/>
                <w:lang w:eastAsia="en-GB"/>
              </w:rPr>
              <w:br/>
              <w:t>Children aged 11 to 1</w:t>
            </w:r>
            <w:r w:rsidR="009B3979">
              <w:rPr>
                <w:rFonts w:ascii="Tahoma" w:eastAsia="Times New Roman" w:hAnsi="Tahoma" w:cs="Tahoma"/>
                <w:b/>
                <w:bCs/>
                <w:color w:val="FFFFFF"/>
                <w:sz w:val="17"/>
                <w:szCs w:val="17"/>
                <w:lang w:eastAsia="en-GB"/>
              </w:rPr>
              <w:t>6</w:t>
            </w:r>
            <w:r w:rsidR="00822574">
              <w:rPr>
                <w:rFonts w:ascii="Tahoma" w:eastAsia="Times New Roman" w:hAnsi="Tahoma" w:cs="Tahoma"/>
                <w:b/>
                <w:bCs/>
                <w:color w:val="FFFFFF"/>
                <w:sz w:val="17"/>
                <w:szCs w:val="17"/>
                <w:lang w:eastAsia="en-GB"/>
              </w:rPr>
              <w:t xml:space="preserve"> years</w:t>
            </w:r>
          </w:p>
        </w:tc>
      </w:tr>
      <w:tr w:rsidR="007F7622" w:rsidRPr="007F7622" w14:paraId="7E795531" w14:textId="77777777" w:rsidTr="00237D3A">
        <w:trPr>
          <w:trHeight w:val="238"/>
        </w:trPr>
        <w:tc>
          <w:tcPr>
            <w:tcW w:w="2638" w:type="dxa"/>
            <w:shd w:val="clear" w:color="000000" w:fill="F2F2F2"/>
            <w:vAlign w:val="center"/>
            <w:hideMark/>
          </w:tcPr>
          <w:p w14:paraId="66A6B575" w14:textId="77777777" w:rsidR="007F7622" w:rsidRPr="007F7622" w:rsidRDefault="007F7622" w:rsidP="00DC54F7">
            <w:pPr>
              <w:spacing w:after="0" w:line="240" w:lineRule="auto"/>
              <w:jc w:val="both"/>
              <w:rPr>
                <w:rFonts w:ascii="Tahoma" w:eastAsia="Times New Roman" w:hAnsi="Tahoma" w:cs="Tahoma"/>
                <w:color w:val="000000"/>
                <w:sz w:val="17"/>
                <w:szCs w:val="17"/>
                <w:lang w:eastAsia="en-GB"/>
              </w:rPr>
            </w:pPr>
            <w:r w:rsidRPr="007F7622">
              <w:rPr>
                <w:rFonts w:ascii="Tahoma" w:eastAsia="Times New Roman" w:hAnsi="Tahoma" w:cs="Tahoma"/>
                <w:color w:val="000000"/>
                <w:sz w:val="17"/>
                <w:szCs w:val="17"/>
                <w:lang w:eastAsia="en-GB"/>
              </w:rPr>
              <w:t xml:space="preserve">Cardiff </w:t>
            </w:r>
          </w:p>
        </w:tc>
        <w:tc>
          <w:tcPr>
            <w:tcW w:w="3162" w:type="dxa"/>
            <w:shd w:val="clear" w:color="000000" w:fill="F2F2F2"/>
            <w:vAlign w:val="center"/>
            <w:hideMark/>
          </w:tcPr>
          <w:p w14:paraId="248C3660" w14:textId="77777777" w:rsidR="007F7622" w:rsidRPr="007F7622" w:rsidRDefault="007F7622" w:rsidP="00DC54F7">
            <w:pPr>
              <w:spacing w:after="0" w:line="240" w:lineRule="auto"/>
              <w:jc w:val="both"/>
              <w:rPr>
                <w:rFonts w:ascii="Tahoma" w:eastAsia="Times New Roman" w:hAnsi="Tahoma" w:cs="Tahoma"/>
                <w:color w:val="000000"/>
                <w:sz w:val="17"/>
                <w:szCs w:val="17"/>
                <w:lang w:eastAsia="en-GB"/>
              </w:rPr>
            </w:pPr>
            <w:r w:rsidRPr="007F7622">
              <w:rPr>
                <w:rFonts w:ascii="Tahoma" w:eastAsia="Times New Roman" w:hAnsi="Tahoma" w:cs="Tahoma"/>
                <w:color w:val="000000"/>
                <w:sz w:val="17"/>
                <w:szCs w:val="17"/>
                <w:lang w:eastAsia="en-GB"/>
              </w:rPr>
              <w:t>2.8</w:t>
            </w:r>
          </w:p>
        </w:tc>
        <w:tc>
          <w:tcPr>
            <w:tcW w:w="3162" w:type="dxa"/>
            <w:shd w:val="clear" w:color="000000" w:fill="F2F2F2"/>
            <w:vAlign w:val="center"/>
            <w:hideMark/>
          </w:tcPr>
          <w:p w14:paraId="320ED7CB" w14:textId="77777777" w:rsidR="007F7622" w:rsidRPr="007F7622" w:rsidRDefault="007F7622" w:rsidP="00DC54F7">
            <w:pPr>
              <w:spacing w:after="0" w:line="240" w:lineRule="auto"/>
              <w:jc w:val="both"/>
              <w:rPr>
                <w:rFonts w:ascii="Tahoma" w:eastAsia="Times New Roman" w:hAnsi="Tahoma" w:cs="Tahoma"/>
                <w:color w:val="000000"/>
                <w:sz w:val="17"/>
                <w:szCs w:val="17"/>
                <w:lang w:eastAsia="en-GB"/>
              </w:rPr>
            </w:pPr>
            <w:r w:rsidRPr="007F7622">
              <w:rPr>
                <w:rFonts w:ascii="Tahoma" w:eastAsia="Times New Roman" w:hAnsi="Tahoma" w:cs="Tahoma"/>
                <w:color w:val="000000"/>
                <w:sz w:val="17"/>
                <w:szCs w:val="17"/>
                <w:lang w:eastAsia="en-GB"/>
              </w:rPr>
              <w:t>2.6</w:t>
            </w:r>
          </w:p>
        </w:tc>
      </w:tr>
      <w:tr w:rsidR="007F7622" w:rsidRPr="007F7622" w14:paraId="121576DB" w14:textId="77777777" w:rsidTr="00237D3A">
        <w:trPr>
          <w:trHeight w:val="238"/>
        </w:trPr>
        <w:tc>
          <w:tcPr>
            <w:tcW w:w="2638" w:type="dxa"/>
            <w:shd w:val="clear" w:color="auto" w:fill="auto"/>
            <w:vAlign w:val="center"/>
            <w:hideMark/>
          </w:tcPr>
          <w:p w14:paraId="0FC63FD3" w14:textId="77777777" w:rsidR="007F7622" w:rsidRPr="007F7622" w:rsidRDefault="007F7622" w:rsidP="00DC54F7">
            <w:pPr>
              <w:spacing w:after="0" w:line="240" w:lineRule="auto"/>
              <w:jc w:val="both"/>
              <w:rPr>
                <w:rFonts w:ascii="Tahoma" w:eastAsia="Times New Roman" w:hAnsi="Tahoma" w:cs="Tahoma"/>
                <w:color w:val="000000"/>
                <w:sz w:val="17"/>
                <w:szCs w:val="17"/>
                <w:lang w:eastAsia="en-GB"/>
              </w:rPr>
            </w:pPr>
            <w:r w:rsidRPr="007F7622">
              <w:rPr>
                <w:rFonts w:ascii="Tahoma" w:eastAsia="Times New Roman" w:hAnsi="Tahoma" w:cs="Tahoma"/>
                <w:color w:val="000000"/>
                <w:sz w:val="17"/>
                <w:szCs w:val="17"/>
                <w:lang w:eastAsia="en-GB"/>
              </w:rPr>
              <w:t xml:space="preserve">Vale of Glamorgan </w:t>
            </w:r>
          </w:p>
        </w:tc>
        <w:tc>
          <w:tcPr>
            <w:tcW w:w="3162" w:type="dxa"/>
            <w:shd w:val="clear" w:color="auto" w:fill="auto"/>
            <w:vAlign w:val="center"/>
            <w:hideMark/>
          </w:tcPr>
          <w:p w14:paraId="438B416B" w14:textId="77777777" w:rsidR="007F7622" w:rsidRPr="007F7622" w:rsidRDefault="007F7622" w:rsidP="00DC54F7">
            <w:pPr>
              <w:spacing w:after="0" w:line="240" w:lineRule="auto"/>
              <w:jc w:val="both"/>
              <w:rPr>
                <w:rFonts w:ascii="Tahoma" w:eastAsia="Times New Roman" w:hAnsi="Tahoma" w:cs="Tahoma"/>
                <w:color w:val="000000"/>
                <w:sz w:val="17"/>
                <w:szCs w:val="17"/>
                <w:lang w:eastAsia="en-GB"/>
              </w:rPr>
            </w:pPr>
            <w:r w:rsidRPr="007F7622">
              <w:rPr>
                <w:rFonts w:ascii="Tahoma" w:eastAsia="Times New Roman" w:hAnsi="Tahoma" w:cs="Tahoma"/>
                <w:color w:val="000000"/>
                <w:sz w:val="17"/>
                <w:szCs w:val="17"/>
                <w:lang w:eastAsia="en-GB"/>
              </w:rPr>
              <w:t>2.7</w:t>
            </w:r>
          </w:p>
        </w:tc>
        <w:tc>
          <w:tcPr>
            <w:tcW w:w="3162" w:type="dxa"/>
            <w:shd w:val="clear" w:color="000000" w:fill="FFFFFF"/>
            <w:vAlign w:val="center"/>
            <w:hideMark/>
          </w:tcPr>
          <w:p w14:paraId="50596F73" w14:textId="77777777" w:rsidR="007F7622" w:rsidRPr="007F7622" w:rsidRDefault="007F7622" w:rsidP="00DC54F7">
            <w:pPr>
              <w:spacing w:after="0" w:line="240" w:lineRule="auto"/>
              <w:jc w:val="both"/>
              <w:rPr>
                <w:rFonts w:ascii="Tahoma" w:eastAsia="Times New Roman" w:hAnsi="Tahoma" w:cs="Tahoma"/>
                <w:color w:val="000000"/>
                <w:sz w:val="17"/>
                <w:szCs w:val="17"/>
                <w:lang w:eastAsia="en-GB"/>
              </w:rPr>
            </w:pPr>
            <w:r w:rsidRPr="007F7622">
              <w:rPr>
                <w:rFonts w:ascii="Tahoma" w:eastAsia="Times New Roman" w:hAnsi="Tahoma" w:cs="Tahoma"/>
                <w:color w:val="000000"/>
                <w:sz w:val="17"/>
                <w:szCs w:val="17"/>
                <w:lang w:eastAsia="en-GB"/>
              </w:rPr>
              <w:t>3.5</w:t>
            </w:r>
          </w:p>
        </w:tc>
      </w:tr>
      <w:tr w:rsidR="007F7622" w:rsidRPr="007F7622" w14:paraId="1F0621CD" w14:textId="77777777" w:rsidTr="00237D3A">
        <w:trPr>
          <w:trHeight w:val="238"/>
        </w:trPr>
        <w:tc>
          <w:tcPr>
            <w:tcW w:w="2638" w:type="dxa"/>
            <w:shd w:val="clear" w:color="000000" w:fill="F2F2F2"/>
            <w:vAlign w:val="center"/>
            <w:hideMark/>
          </w:tcPr>
          <w:p w14:paraId="5C7D6E7F" w14:textId="77777777" w:rsidR="007F7622" w:rsidRPr="007F7622" w:rsidRDefault="007F7622" w:rsidP="00DC54F7">
            <w:pPr>
              <w:spacing w:after="0" w:line="240" w:lineRule="auto"/>
              <w:jc w:val="both"/>
              <w:rPr>
                <w:rFonts w:ascii="Tahoma" w:eastAsia="Times New Roman" w:hAnsi="Tahoma" w:cs="Tahoma"/>
                <w:color w:val="000000"/>
                <w:sz w:val="17"/>
                <w:szCs w:val="17"/>
                <w:lang w:eastAsia="en-GB"/>
              </w:rPr>
            </w:pPr>
            <w:r w:rsidRPr="007F7622">
              <w:rPr>
                <w:rFonts w:ascii="Tahoma" w:eastAsia="Times New Roman" w:hAnsi="Tahoma" w:cs="Tahoma"/>
                <w:color w:val="000000"/>
                <w:sz w:val="17"/>
                <w:szCs w:val="17"/>
                <w:lang w:eastAsia="en-GB"/>
              </w:rPr>
              <w:t>Cardiff and Vale UHB</w:t>
            </w:r>
          </w:p>
        </w:tc>
        <w:tc>
          <w:tcPr>
            <w:tcW w:w="3162" w:type="dxa"/>
            <w:shd w:val="clear" w:color="000000" w:fill="F2F2F2"/>
            <w:vAlign w:val="center"/>
            <w:hideMark/>
          </w:tcPr>
          <w:p w14:paraId="5304EE27" w14:textId="77777777" w:rsidR="007F7622" w:rsidRPr="007F7622" w:rsidRDefault="007F7622" w:rsidP="00DC54F7">
            <w:pPr>
              <w:spacing w:after="0" w:line="240" w:lineRule="auto"/>
              <w:jc w:val="both"/>
              <w:rPr>
                <w:rFonts w:ascii="Tahoma" w:eastAsia="Times New Roman" w:hAnsi="Tahoma" w:cs="Tahoma"/>
                <w:color w:val="000000"/>
                <w:sz w:val="17"/>
                <w:szCs w:val="17"/>
                <w:lang w:eastAsia="en-GB"/>
              </w:rPr>
            </w:pPr>
            <w:r w:rsidRPr="007F7622">
              <w:rPr>
                <w:rFonts w:ascii="Tahoma" w:eastAsia="Times New Roman" w:hAnsi="Tahoma" w:cs="Tahoma"/>
                <w:color w:val="000000"/>
                <w:sz w:val="17"/>
                <w:szCs w:val="17"/>
                <w:lang w:eastAsia="en-GB"/>
              </w:rPr>
              <w:t>2.8</w:t>
            </w:r>
          </w:p>
        </w:tc>
        <w:tc>
          <w:tcPr>
            <w:tcW w:w="3162" w:type="dxa"/>
            <w:shd w:val="clear" w:color="000000" w:fill="F2F2F2"/>
            <w:vAlign w:val="center"/>
            <w:hideMark/>
          </w:tcPr>
          <w:p w14:paraId="7F313D35" w14:textId="0D8C2B6F" w:rsidR="007F7622" w:rsidRPr="007F7622" w:rsidRDefault="007F7622" w:rsidP="00DC54F7">
            <w:pPr>
              <w:spacing w:after="0" w:line="240" w:lineRule="auto"/>
              <w:jc w:val="both"/>
              <w:rPr>
                <w:rFonts w:ascii="Tahoma" w:eastAsia="Times New Roman" w:hAnsi="Tahoma" w:cs="Tahoma"/>
                <w:color w:val="000000"/>
                <w:sz w:val="17"/>
                <w:szCs w:val="17"/>
                <w:lang w:eastAsia="en-GB"/>
              </w:rPr>
            </w:pPr>
            <w:r w:rsidRPr="007F7622">
              <w:rPr>
                <w:rFonts w:ascii="Tahoma" w:eastAsia="Times New Roman" w:hAnsi="Tahoma" w:cs="Tahoma"/>
                <w:color w:val="000000"/>
                <w:sz w:val="17"/>
                <w:szCs w:val="17"/>
                <w:lang w:eastAsia="en-GB"/>
              </w:rPr>
              <w:t>3</w:t>
            </w:r>
            <w:r w:rsidR="00FA6B8F">
              <w:rPr>
                <w:rFonts w:ascii="Tahoma" w:eastAsia="Times New Roman" w:hAnsi="Tahoma" w:cs="Tahoma"/>
                <w:color w:val="000000"/>
                <w:sz w:val="17"/>
                <w:szCs w:val="17"/>
                <w:lang w:eastAsia="en-GB"/>
              </w:rPr>
              <w:t>.0</w:t>
            </w:r>
          </w:p>
        </w:tc>
      </w:tr>
      <w:tr w:rsidR="007F7622" w:rsidRPr="007F7622" w14:paraId="76F3BDA7" w14:textId="77777777" w:rsidTr="00237D3A">
        <w:trPr>
          <w:trHeight w:val="238"/>
        </w:trPr>
        <w:tc>
          <w:tcPr>
            <w:tcW w:w="2638" w:type="dxa"/>
            <w:shd w:val="clear" w:color="000000" w:fill="FFFFFF"/>
            <w:vAlign w:val="center"/>
            <w:hideMark/>
          </w:tcPr>
          <w:p w14:paraId="494B7F94" w14:textId="77777777" w:rsidR="007F7622" w:rsidRPr="007F7622" w:rsidRDefault="007F7622" w:rsidP="00DC54F7">
            <w:pPr>
              <w:spacing w:after="0" w:line="240" w:lineRule="auto"/>
              <w:jc w:val="both"/>
              <w:rPr>
                <w:rFonts w:ascii="Tahoma" w:eastAsia="Times New Roman" w:hAnsi="Tahoma" w:cs="Tahoma"/>
                <w:color w:val="000000"/>
                <w:sz w:val="17"/>
                <w:szCs w:val="17"/>
                <w:lang w:eastAsia="en-GB"/>
              </w:rPr>
            </w:pPr>
            <w:r w:rsidRPr="007F7622">
              <w:rPr>
                <w:rFonts w:ascii="Tahoma" w:eastAsia="Times New Roman" w:hAnsi="Tahoma" w:cs="Tahoma"/>
                <w:color w:val="000000"/>
                <w:sz w:val="17"/>
                <w:szCs w:val="17"/>
                <w:lang w:eastAsia="en-GB"/>
              </w:rPr>
              <w:t xml:space="preserve">Wales </w:t>
            </w:r>
          </w:p>
        </w:tc>
        <w:tc>
          <w:tcPr>
            <w:tcW w:w="3162" w:type="dxa"/>
            <w:shd w:val="clear" w:color="000000" w:fill="FFFFFF"/>
            <w:vAlign w:val="center"/>
            <w:hideMark/>
          </w:tcPr>
          <w:p w14:paraId="706A1CE4" w14:textId="77777777" w:rsidR="007F7622" w:rsidRPr="007F7622" w:rsidRDefault="007F7622" w:rsidP="00DC54F7">
            <w:pPr>
              <w:spacing w:after="0" w:line="240" w:lineRule="auto"/>
              <w:jc w:val="both"/>
              <w:rPr>
                <w:rFonts w:ascii="Tahoma" w:eastAsia="Times New Roman" w:hAnsi="Tahoma" w:cs="Tahoma"/>
                <w:color w:val="000000"/>
                <w:sz w:val="17"/>
                <w:szCs w:val="17"/>
                <w:lang w:eastAsia="en-GB"/>
              </w:rPr>
            </w:pPr>
            <w:r w:rsidRPr="007F7622">
              <w:rPr>
                <w:rFonts w:ascii="Tahoma" w:eastAsia="Times New Roman" w:hAnsi="Tahoma" w:cs="Tahoma"/>
                <w:color w:val="000000"/>
                <w:sz w:val="17"/>
                <w:szCs w:val="17"/>
                <w:lang w:eastAsia="en-GB"/>
              </w:rPr>
              <w:t>3.6</w:t>
            </w:r>
          </w:p>
        </w:tc>
        <w:tc>
          <w:tcPr>
            <w:tcW w:w="3162" w:type="dxa"/>
            <w:shd w:val="clear" w:color="000000" w:fill="FFFFFF"/>
            <w:vAlign w:val="center"/>
            <w:hideMark/>
          </w:tcPr>
          <w:p w14:paraId="31E345A6" w14:textId="77777777" w:rsidR="007F7622" w:rsidRPr="007F7622" w:rsidRDefault="007F7622" w:rsidP="00DC54F7">
            <w:pPr>
              <w:spacing w:after="0" w:line="240" w:lineRule="auto"/>
              <w:jc w:val="both"/>
              <w:rPr>
                <w:rFonts w:ascii="Tahoma" w:eastAsia="Times New Roman" w:hAnsi="Tahoma" w:cs="Tahoma"/>
                <w:color w:val="000000"/>
                <w:sz w:val="17"/>
                <w:szCs w:val="17"/>
                <w:lang w:eastAsia="en-GB"/>
              </w:rPr>
            </w:pPr>
            <w:r w:rsidRPr="007F7622">
              <w:rPr>
                <w:rFonts w:ascii="Tahoma" w:eastAsia="Times New Roman" w:hAnsi="Tahoma" w:cs="Tahoma"/>
                <w:color w:val="000000"/>
                <w:sz w:val="17"/>
                <w:szCs w:val="17"/>
                <w:lang w:eastAsia="en-GB"/>
              </w:rPr>
              <w:t>3.3</w:t>
            </w:r>
          </w:p>
        </w:tc>
      </w:tr>
    </w:tbl>
    <w:p w14:paraId="10F07121" w14:textId="77777777" w:rsidR="00AD4BE6" w:rsidRPr="001E7194" w:rsidRDefault="00AD4BE6" w:rsidP="00DC54F7">
      <w:pPr>
        <w:pStyle w:val="NormalWeb"/>
        <w:shd w:val="clear" w:color="auto" w:fill="FFFFFF"/>
        <w:spacing w:before="0" w:beforeAutospacing="0" w:after="150" w:afterAutospacing="0"/>
        <w:jc w:val="both"/>
        <w:rPr>
          <w:rFonts w:ascii="Arial" w:hAnsi="Arial" w:cs="Arial"/>
          <w:color w:val="333333"/>
          <w:sz w:val="20"/>
          <w:szCs w:val="20"/>
        </w:rPr>
      </w:pPr>
      <w:r w:rsidRPr="001E7194">
        <w:rPr>
          <w:rFonts w:ascii="Arial" w:hAnsi="Arial" w:cs="Arial"/>
          <w:color w:val="333333"/>
          <w:sz w:val="20"/>
          <w:szCs w:val="20"/>
        </w:rPr>
        <w:t>Source: Public Health Observatory Wales – HBSC and SHRN (DECIPHer)</w:t>
      </w:r>
    </w:p>
    <w:p w14:paraId="6D6ED4AE" w14:textId="36B01065" w:rsidR="007B668C" w:rsidRPr="006D6217" w:rsidRDefault="007B668C" w:rsidP="00DC54F7">
      <w:pPr>
        <w:pStyle w:val="NormalWeb"/>
        <w:shd w:val="clear" w:color="auto" w:fill="FFFFFF"/>
        <w:spacing w:before="0" w:beforeAutospacing="0" w:after="150" w:afterAutospacing="0"/>
        <w:jc w:val="both"/>
        <w:rPr>
          <w:rFonts w:ascii="Arial" w:hAnsi="Arial" w:cs="Arial"/>
        </w:rPr>
      </w:pPr>
      <w:r w:rsidRPr="006D6217">
        <w:rPr>
          <w:rFonts w:ascii="Arial" w:hAnsi="Arial" w:cs="Arial"/>
        </w:rPr>
        <w:t xml:space="preserve">Provider based data </w:t>
      </w:r>
      <w:r w:rsidR="0075202D" w:rsidRPr="006D6217">
        <w:rPr>
          <w:rFonts w:ascii="Arial" w:hAnsi="Arial" w:cs="Arial"/>
        </w:rPr>
        <w:t xml:space="preserve">collected between </w:t>
      </w:r>
      <w:r w:rsidRPr="006D6217">
        <w:rPr>
          <w:rFonts w:ascii="Arial" w:hAnsi="Arial" w:cs="Arial"/>
        </w:rPr>
        <w:t>2017</w:t>
      </w:r>
      <w:r w:rsidR="001E7194" w:rsidRPr="006D6217">
        <w:rPr>
          <w:rFonts w:ascii="Arial" w:hAnsi="Arial" w:cs="Arial"/>
        </w:rPr>
        <w:t xml:space="preserve"> to </w:t>
      </w:r>
      <w:r w:rsidRPr="006D6217">
        <w:rPr>
          <w:rFonts w:ascii="Arial" w:hAnsi="Arial" w:cs="Arial"/>
        </w:rPr>
        <w:t>2018</w:t>
      </w:r>
      <w:r w:rsidR="00074290" w:rsidRPr="006D6217">
        <w:rPr>
          <w:rFonts w:ascii="Arial" w:hAnsi="Arial" w:cs="Arial"/>
        </w:rPr>
        <w:t>,</w:t>
      </w:r>
      <w:r w:rsidRPr="006D6217">
        <w:rPr>
          <w:rFonts w:ascii="Arial" w:hAnsi="Arial" w:cs="Arial"/>
        </w:rPr>
        <w:t xml:space="preserve"> showed that Cardiff and Vale University Health Board (13.4%) had a significantly lower rate of smoking in pregnancy </w:t>
      </w:r>
      <w:r w:rsidR="00F95718" w:rsidRPr="006D6217">
        <w:rPr>
          <w:rFonts w:ascii="Arial" w:hAnsi="Arial" w:cs="Arial"/>
        </w:rPr>
        <w:t>than the average for Wales</w:t>
      </w:r>
      <w:r w:rsidRPr="006D6217">
        <w:rPr>
          <w:rFonts w:ascii="Arial" w:hAnsi="Arial" w:cs="Arial"/>
        </w:rPr>
        <w:t xml:space="preserve"> (17.8%)</w:t>
      </w:r>
      <w:r w:rsidR="00ED252F" w:rsidRPr="006D6217">
        <w:rPr>
          <w:rStyle w:val="FootnoteReference"/>
          <w:rFonts w:ascii="Arial" w:hAnsi="Arial" w:cs="Arial"/>
        </w:rPr>
        <w:footnoteReference w:id="14"/>
      </w:r>
      <w:r w:rsidRPr="006D6217">
        <w:rPr>
          <w:rFonts w:ascii="Arial" w:hAnsi="Arial" w:cs="Arial"/>
        </w:rPr>
        <w:t>.</w:t>
      </w:r>
    </w:p>
    <w:p w14:paraId="07736337" w14:textId="77777777" w:rsidR="00237D3A" w:rsidRPr="006D6217" w:rsidRDefault="007B668C" w:rsidP="00DC54F7">
      <w:pPr>
        <w:spacing w:after="0" w:line="240" w:lineRule="auto"/>
        <w:jc w:val="both"/>
        <w:rPr>
          <w:rFonts w:ascii="Arial" w:hAnsi="Arial" w:cs="Arial"/>
          <w:sz w:val="24"/>
          <w:szCs w:val="24"/>
          <w:shd w:val="clear" w:color="auto" w:fill="FFFFFF"/>
        </w:rPr>
      </w:pPr>
      <w:r w:rsidRPr="006D6217">
        <w:rPr>
          <w:rFonts w:ascii="Arial" w:hAnsi="Arial" w:cs="Arial"/>
          <w:sz w:val="24"/>
          <w:szCs w:val="24"/>
          <w:shd w:val="clear" w:color="auto" w:fill="FFFFFF"/>
        </w:rPr>
        <w:t>Although smoking rates are declining in Wales, there remains a considerable difference between socio-economic groups. The smoking rate in the most deprived fifth remains more than double the rate in the least deprived fifth.</w:t>
      </w:r>
    </w:p>
    <w:p w14:paraId="72DC716F" w14:textId="77777777" w:rsidR="00237D3A" w:rsidRDefault="00237D3A" w:rsidP="00DC54F7">
      <w:pPr>
        <w:spacing w:after="0" w:line="240" w:lineRule="auto"/>
        <w:jc w:val="both"/>
        <w:rPr>
          <w:rFonts w:ascii="Arial" w:hAnsi="Arial" w:cs="Arial"/>
          <w:color w:val="333333"/>
          <w:shd w:val="clear" w:color="auto" w:fill="FFFFFF"/>
        </w:rPr>
      </w:pPr>
    </w:p>
    <w:p w14:paraId="16843609" w14:textId="381B9164" w:rsidR="002B7CB6" w:rsidRDefault="002B7CB6" w:rsidP="00DC54F7">
      <w:pPr>
        <w:jc w:val="both"/>
        <w:rPr>
          <w:rFonts w:ascii="Arial" w:hAnsi="Arial" w:cs="Arial"/>
          <w:color w:val="333333"/>
          <w:shd w:val="clear" w:color="auto" w:fill="FFFFFF"/>
        </w:rPr>
      </w:pPr>
      <w:r>
        <w:rPr>
          <w:rFonts w:ascii="Arial" w:hAnsi="Arial" w:cs="Arial"/>
          <w:color w:val="333333"/>
          <w:shd w:val="clear" w:color="auto" w:fill="FFFFFF"/>
        </w:rPr>
        <w:br w:type="page"/>
      </w:r>
    </w:p>
    <w:p w14:paraId="5F410589" w14:textId="4E6C7700" w:rsidR="007F3DC8" w:rsidRPr="002B7CB6" w:rsidRDefault="007F3DC8" w:rsidP="00DC54F7">
      <w:pPr>
        <w:spacing w:after="0" w:line="240" w:lineRule="auto"/>
        <w:jc w:val="both"/>
        <w:rPr>
          <w:rFonts w:ascii="Arial" w:hAnsi="Arial" w:cs="Arial"/>
          <w:color w:val="333333"/>
          <w:sz w:val="24"/>
          <w:szCs w:val="24"/>
          <w:shd w:val="clear" w:color="auto" w:fill="FFFFFF"/>
        </w:rPr>
      </w:pPr>
      <w:r w:rsidRPr="002B7CB6">
        <w:rPr>
          <w:rFonts w:ascii="Arial" w:hAnsi="Arial" w:cs="Arial"/>
          <w:b/>
          <w:bCs/>
          <w:color w:val="333333"/>
          <w:sz w:val="24"/>
          <w:szCs w:val="24"/>
          <w:shd w:val="clear" w:color="auto" w:fill="FFFFFF"/>
        </w:rPr>
        <w:lastRenderedPageBreak/>
        <w:t xml:space="preserve">Figure 3.4: </w:t>
      </w:r>
      <w:r w:rsidR="000B2318" w:rsidRPr="002B7CB6">
        <w:rPr>
          <w:rFonts w:ascii="Arial" w:hAnsi="Arial" w:cs="Arial"/>
          <w:b/>
          <w:bCs/>
          <w:color w:val="333333"/>
          <w:sz w:val="24"/>
          <w:szCs w:val="24"/>
          <w:shd w:val="clear" w:color="auto" w:fill="FFFFFF"/>
        </w:rPr>
        <w:t xml:space="preserve">Adult smoking prevalence, age-standardised percentage, </w:t>
      </w:r>
      <w:r w:rsidR="00986166" w:rsidRPr="002B7CB6">
        <w:rPr>
          <w:rFonts w:ascii="Arial" w:hAnsi="Arial" w:cs="Arial"/>
          <w:b/>
          <w:bCs/>
          <w:color w:val="333333"/>
          <w:sz w:val="24"/>
          <w:szCs w:val="24"/>
          <w:shd w:val="clear" w:color="auto" w:fill="FFFFFF"/>
        </w:rPr>
        <w:t>persons 16 years and over, by deprivation fifth, Wales</w:t>
      </w:r>
      <w:r w:rsidR="007366C1" w:rsidRPr="002B7CB6">
        <w:rPr>
          <w:rFonts w:ascii="Arial" w:hAnsi="Arial" w:cs="Arial"/>
          <w:b/>
          <w:bCs/>
          <w:color w:val="333333"/>
          <w:sz w:val="24"/>
          <w:szCs w:val="24"/>
          <w:shd w:val="clear" w:color="auto" w:fill="FFFFFF"/>
        </w:rPr>
        <w:t>, 2016 to 2017 and 2018 to 2019</w:t>
      </w:r>
    </w:p>
    <w:p w14:paraId="102304C4" w14:textId="2ABF4C25" w:rsidR="001501EF" w:rsidRPr="00E416F6" w:rsidRDefault="007B668C" w:rsidP="00DC54F7">
      <w:pPr>
        <w:pStyle w:val="Heading5"/>
        <w:spacing w:before="0" w:line="240" w:lineRule="auto"/>
        <w:jc w:val="both"/>
        <w:rPr>
          <w:rFonts w:ascii="Verdana" w:hAnsi="Verdana"/>
          <w:color w:val="333333"/>
          <w:sz w:val="24"/>
          <w:szCs w:val="24"/>
        </w:rPr>
      </w:pPr>
      <w:r>
        <w:rPr>
          <w:noProof/>
          <w:lang w:eastAsia="en-GB"/>
        </w:rPr>
        <w:drawing>
          <wp:inline distT="0" distB="0" distL="0" distR="0" wp14:anchorId="4FEFDFA4" wp14:editId="6559C1BC">
            <wp:extent cx="5646240" cy="3085106"/>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75929" cy="3155968"/>
                    </a:xfrm>
                    <a:prstGeom prst="rect">
                      <a:avLst/>
                    </a:prstGeom>
                    <a:noFill/>
                    <a:ln>
                      <a:noFill/>
                    </a:ln>
                  </pic:spPr>
                </pic:pic>
              </a:graphicData>
            </a:graphic>
          </wp:inline>
        </w:drawing>
      </w:r>
    </w:p>
    <w:p w14:paraId="09EE278B" w14:textId="77777777" w:rsidR="00E416F6" w:rsidRDefault="00E416F6" w:rsidP="00DC54F7">
      <w:pPr>
        <w:shd w:val="clear" w:color="auto" w:fill="FFFFFF"/>
        <w:spacing w:after="0" w:line="240" w:lineRule="auto"/>
        <w:jc w:val="both"/>
        <w:rPr>
          <w:rFonts w:ascii="Arial" w:hAnsi="Arial" w:cs="Arial"/>
          <w:color w:val="333333"/>
          <w:shd w:val="clear" w:color="auto" w:fill="FFFFFF"/>
        </w:rPr>
      </w:pPr>
    </w:p>
    <w:p w14:paraId="6A48D4FD" w14:textId="348C6AE8" w:rsidR="007B668C" w:rsidRPr="006D6217" w:rsidRDefault="001D312C" w:rsidP="00DC54F7">
      <w:pPr>
        <w:shd w:val="clear" w:color="auto" w:fill="FFFFFF"/>
        <w:spacing w:after="0" w:line="240" w:lineRule="auto"/>
        <w:jc w:val="both"/>
        <w:rPr>
          <w:rFonts w:ascii="Arial" w:hAnsi="Arial" w:cs="Arial"/>
          <w:sz w:val="24"/>
          <w:szCs w:val="24"/>
          <w:shd w:val="clear" w:color="auto" w:fill="FFFFFF"/>
        </w:rPr>
      </w:pPr>
      <w:r w:rsidRPr="006D6217">
        <w:rPr>
          <w:rFonts w:ascii="Arial" w:hAnsi="Arial" w:cs="Arial"/>
          <w:sz w:val="24"/>
          <w:szCs w:val="24"/>
          <w:shd w:val="clear" w:color="auto" w:fill="FFFFFF"/>
        </w:rPr>
        <w:t xml:space="preserve">As well as </w:t>
      </w:r>
      <w:r w:rsidR="00876269" w:rsidRPr="006D6217">
        <w:rPr>
          <w:rFonts w:ascii="Arial" w:hAnsi="Arial" w:cs="Arial"/>
          <w:sz w:val="24"/>
          <w:szCs w:val="24"/>
          <w:shd w:val="clear" w:color="auto" w:fill="FFFFFF"/>
        </w:rPr>
        <w:t>changes to legislation, s</w:t>
      </w:r>
      <w:r w:rsidR="008063E1" w:rsidRPr="006D6217">
        <w:rPr>
          <w:rFonts w:ascii="Arial" w:hAnsi="Arial" w:cs="Arial"/>
          <w:sz w:val="24"/>
          <w:szCs w:val="24"/>
          <w:shd w:val="clear" w:color="auto" w:fill="FFFFFF"/>
        </w:rPr>
        <w:t>moking cessation services have contribute</w:t>
      </w:r>
      <w:r w:rsidR="000321D5" w:rsidRPr="006D6217">
        <w:rPr>
          <w:rFonts w:ascii="Arial" w:hAnsi="Arial" w:cs="Arial"/>
          <w:sz w:val="24"/>
          <w:szCs w:val="24"/>
          <w:shd w:val="clear" w:color="auto" w:fill="FFFFFF"/>
        </w:rPr>
        <w:t>d</w:t>
      </w:r>
      <w:r w:rsidR="008063E1" w:rsidRPr="006D6217">
        <w:rPr>
          <w:rFonts w:ascii="Arial" w:hAnsi="Arial" w:cs="Arial"/>
          <w:sz w:val="24"/>
          <w:szCs w:val="24"/>
          <w:shd w:val="clear" w:color="auto" w:fill="FFFFFF"/>
        </w:rPr>
        <w:t xml:space="preserve"> to the lower</w:t>
      </w:r>
      <w:r w:rsidR="000321D5" w:rsidRPr="006D6217">
        <w:rPr>
          <w:rFonts w:ascii="Arial" w:hAnsi="Arial" w:cs="Arial"/>
          <w:sz w:val="24"/>
          <w:szCs w:val="24"/>
          <w:shd w:val="clear" w:color="auto" w:fill="FFFFFF"/>
        </w:rPr>
        <w:t>ing</w:t>
      </w:r>
      <w:r w:rsidR="008063E1" w:rsidRPr="006D6217">
        <w:rPr>
          <w:rFonts w:ascii="Arial" w:hAnsi="Arial" w:cs="Arial"/>
          <w:sz w:val="24"/>
          <w:szCs w:val="24"/>
          <w:shd w:val="clear" w:color="auto" w:fill="FFFFFF"/>
        </w:rPr>
        <w:t xml:space="preserve"> of </w:t>
      </w:r>
      <w:r w:rsidR="00F468D6" w:rsidRPr="006D6217">
        <w:rPr>
          <w:rFonts w:ascii="Arial" w:hAnsi="Arial" w:cs="Arial"/>
          <w:sz w:val="24"/>
          <w:szCs w:val="24"/>
          <w:shd w:val="clear" w:color="auto" w:fill="FFFFFF"/>
        </w:rPr>
        <w:t xml:space="preserve">the </w:t>
      </w:r>
      <w:r w:rsidR="008063E1" w:rsidRPr="006D6217">
        <w:rPr>
          <w:rFonts w:ascii="Arial" w:hAnsi="Arial" w:cs="Arial"/>
          <w:sz w:val="24"/>
          <w:szCs w:val="24"/>
          <w:shd w:val="clear" w:color="auto" w:fill="FFFFFF"/>
        </w:rPr>
        <w:t xml:space="preserve">burden of disease </w:t>
      </w:r>
      <w:r w:rsidR="00F468D6" w:rsidRPr="006D6217">
        <w:rPr>
          <w:rFonts w:ascii="Arial" w:hAnsi="Arial" w:cs="Arial"/>
          <w:sz w:val="24"/>
          <w:szCs w:val="24"/>
          <w:shd w:val="clear" w:color="auto" w:fill="FFFFFF"/>
        </w:rPr>
        <w:t xml:space="preserve">due to </w:t>
      </w:r>
      <w:r w:rsidR="008063E1" w:rsidRPr="006D6217">
        <w:rPr>
          <w:rFonts w:ascii="Arial" w:hAnsi="Arial" w:cs="Arial"/>
          <w:sz w:val="24"/>
          <w:szCs w:val="24"/>
          <w:shd w:val="clear" w:color="auto" w:fill="FFFFFF"/>
        </w:rPr>
        <w:t xml:space="preserve">smoking between 2009 and 2019. </w:t>
      </w:r>
      <w:r w:rsidR="00603DDC" w:rsidRPr="006D6217">
        <w:rPr>
          <w:rFonts w:ascii="Arial" w:hAnsi="Arial" w:cs="Arial"/>
          <w:sz w:val="24"/>
          <w:szCs w:val="24"/>
          <w:shd w:val="clear" w:color="auto" w:fill="FFFFFF"/>
        </w:rPr>
        <w:t xml:space="preserve">The Welsh Level 3 </w:t>
      </w:r>
      <w:r w:rsidR="00DA4E41" w:rsidRPr="006D6217">
        <w:rPr>
          <w:rFonts w:ascii="Arial" w:hAnsi="Arial" w:cs="Arial"/>
          <w:sz w:val="24"/>
          <w:szCs w:val="24"/>
          <w:shd w:val="clear" w:color="auto" w:fill="FFFFFF"/>
        </w:rPr>
        <w:t xml:space="preserve">pharmacy based smoking cessation service has the highest percentage </w:t>
      </w:r>
      <w:r w:rsidR="00770310" w:rsidRPr="006D6217">
        <w:rPr>
          <w:rFonts w:ascii="Arial" w:hAnsi="Arial" w:cs="Arial"/>
          <w:sz w:val="24"/>
          <w:szCs w:val="24"/>
          <w:shd w:val="clear" w:color="auto" w:fill="FFFFFF"/>
        </w:rPr>
        <w:t xml:space="preserve">of treated smokers (50.6%) and </w:t>
      </w:r>
      <w:r w:rsidR="00DF02F0" w:rsidRPr="006D6217">
        <w:rPr>
          <w:rFonts w:ascii="Arial" w:hAnsi="Arial" w:cs="Arial"/>
          <w:sz w:val="24"/>
          <w:szCs w:val="24"/>
          <w:shd w:val="clear" w:color="auto" w:fill="FFFFFF"/>
        </w:rPr>
        <w:t>CO-</w:t>
      </w:r>
      <w:r w:rsidR="00770310" w:rsidRPr="006D6217">
        <w:rPr>
          <w:rFonts w:ascii="Arial" w:hAnsi="Arial" w:cs="Arial"/>
          <w:sz w:val="24"/>
          <w:szCs w:val="24"/>
          <w:shd w:val="clear" w:color="auto" w:fill="FFFFFF"/>
        </w:rPr>
        <w:t xml:space="preserve">validated </w:t>
      </w:r>
      <w:r w:rsidR="00DF02F0" w:rsidRPr="006D6217">
        <w:rPr>
          <w:rFonts w:ascii="Arial" w:hAnsi="Arial" w:cs="Arial"/>
          <w:sz w:val="24"/>
          <w:szCs w:val="24"/>
          <w:shd w:val="clear" w:color="auto" w:fill="FFFFFF"/>
        </w:rPr>
        <w:t>quitters (46.2%).</w:t>
      </w:r>
    </w:p>
    <w:p w14:paraId="4CA2A86C" w14:textId="77777777" w:rsidR="00B20538" w:rsidRPr="00603DDC" w:rsidRDefault="00B20538" w:rsidP="00DC54F7">
      <w:pPr>
        <w:shd w:val="clear" w:color="auto" w:fill="FFFFFF"/>
        <w:spacing w:after="0" w:line="240" w:lineRule="auto"/>
        <w:jc w:val="both"/>
        <w:rPr>
          <w:rFonts w:ascii="Arial" w:hAnsi="Arial" w:cs="Arial"/>
          <w:color w:val="333333"/>
          <w:shd w:val="clear" w:color="auto" w:fill="FFFFFF"/>
        </w:rPr>
      </w:pPr>
    </w:p>
    <w:p w14:paraId="071FD10B" w14:textId="234C5E28" w:rsidR="007B668C" w:rsidRPr="00944EB7" w:rsidRDefault="007B668C" w:rsidP="00DC54F7">
      <w:pPr>
        <w:spacing w:after="0" w:line="240" w:lineRule="auto"/>
        <w:jc w:val="both"/>
        <w:rPr>
          <w:rFonts w:ascii="Arial" w:hAnsi="Arial" w:cs="Arial"/>
          <w:sz w:val="24"/>
          <w:szCs w:val="24"/>
        </w:rPr>
      </w:pPr>
      <w:r w:rsidRPr="00944EB7">
        <w:rPr>
          <w:rFonts w:ascii="Arial" w:hAnsi="Arial" w:cs="Arial"/>
          <w:b/>
          <w:bCs/>
          <w:color w:val="000000"/>
          <w:sz w:val="24"/>
          <w:szCs w:val="24"/>
          <w:shd w:val="clear" w:color="auto" w:fill="FFFFFF"/>
        </w:rPr>
        <w:t>Table</w:t>
      </w:r>
      <w:r w:rsidR="00F22702" w:rsidRPr="00944EB7">
        <w:rPr>
          <w:rFonts w:ascii="Arial" w:hAnsi="Arial" w:cs="Arial"/>
          <w:b/>
          <w:bCs/>
          <w:color w:val="000000"/>
          <w:sz w:val="24"/>
          <w:szCs w:val="24"/>
          <w:shd w:val="clear" w:color="auto" w:fill="FFFFFF"/>
        </w:rPr>
        <w:t xml:space="preserve"> 3.7:</w:t>
      </w:r>
      <w:r w:rsidR="00F221C9" w:rsidRPr="00944EB7">
        <w:rPr>
          <w:rFonts w:ascii="Arial" w:hAnsi="Arial" w:cs="Arial"/>
          <w:b/>
          <w:bCs/>
          <w:color w:val="000000"/>
          <w:sz w:val="24"/>
          <w:szCs w:val="24"/>
          <w:shd w:val="clear" w:color="auto" w:fill="FFFFFF"/>
        </w:rPr>
        <w:t xml:space="preserve"> </w:t>
      </w:r>
      <w:r w:rsidRPr="00944EB7">
        <w:rPr>
          <w:rFonts w:ascii="Arial" w:hAnsi="Arial" w:cs="Arial"/>
          <w:b/>
          <w:bCs/>
          <w:color w:val="000000"/>
          <w:sz w:val="24"/>
          <w:szCs w:val="24"/>
          <w:shd w:val="clear" w:color="auto" w:fill="FFFFFF"/>
        </w:rPr>
        <w:t>Treated smokers and those achieving a 4 week CO-validated quit, count and percentage, persons aged 16+, Wales, 2018</w:t>
      </w:r>
      <w:r w:rsidR="00976892" w:rsidRPr="00944EB7">
        <w:rPr>
          <w:rFonts w:ascii="Arial" w:hAnsi="Arial" w:cs="Arial"/>
          <w:b/>
          <w:bCs/>
          <w:color w:val="000000"/>
          <w:sz w:val="24"/>
          <w:szCs w:val="24"/>
          <w:shd w:val="clear" w:color="auto" w:fill="FFFFFF"/>
        </w:rPr>
        <w:t xml:space="preserve"> to 2019</w:t>
      </w:r>
    </w:p>
    <w:tbl>
      <w:tblPr>
        <w:tblW w:w="9137" w:type="dxa"/>
        <w:tblBorders>
          <w:top w:val="single" w:sz="4" w:space="0" w:color="auto"/>
          <w:left w:val="single" w:sz="4" w:space="0" w:color="auto"/>
          <w:bottom w:val="single" w:sz="4" w:space="0" w:color="auto"/>
          <w:right w:val="single" w:sz="4" w:space="0" w:color="auto"/>
          <w:insideH w:val="single" w:sz="4" w:space="0" w:color="C9C9C9"/>
        </w:tblBorders>
        <w:tblLook w:val="04A0" w:firstRow="1" w:lastRow="0" w:firstColumn="1" w:lastColumn="0" w:noHBand="0" w:noVBand="1"/>
      </w:tblPr>
      <w:tblGrid>
        <w:gridCol w:w="2901"/>
        <w:gridCol w:w="1559"/>
        <w:gridCol w:w="1559"/>
        <w:gridCol w:w="1559"/>
        <w:gridCol w:w="1559"/>
      </w:tblGrid>
      <w:tr w:rsidR="007B668C" w:rsidRPr="00736D2E" w14:paraId="15069D27" w14:textId="77777777" w:rsidTr="00237D3A">
        <w:trPr>
          <w:trHeight w:val="837"/>
        </w:trPr>
        <w:tc>
          <w:tcPr>
            <w:tcW w:w="2901" w:type="dxa"/>
            <w:shd w:val="clear" w:color="000000" w:fill="8497B0"/>
            <w:vAlign w:val="bottom"/>
            <w:hideMark/>
          </w:tcPr>
          <w:p w14:paraId="6AA35262" w14:textId="77777777" w:rsidR="007B668C" w:rsidRPr="00736D2E" w:rsidRDefault="007B668C" w:rsidP="00DC54F7">
            <w:pPr>
              <w:spacing w:after="0" w:line="240" w:lineRule="auto"/>
              <w:jc w:val="both"/>
              <w:rPr>
                <w:rFonts w:ascii="Calibri" w:eastAsia="Times New Roman" w:hAnsi="Calibri" w:cs="Calibri"/>
                <w:b/>
                <w:bCs/>
                <w:color w:val="FFFFFF"/>
                <w:lang w:eastAsia="en-GB"/>
              </w:rPr>
            </w:pPr>
            <w:r w:rsidRPr="00736D2E">
              <w:rPr>
                <w:rFonts w:ascii="Calibri" w:eastAsia="Times New Roman" w:hAnsi="Calibri" w:cs="Calibri"/>
                <w:b/>
                <w:bCs/>
                <w:color w:val="FFFFFF"/>
                <w:lang w:eastAsia="en-GB"/>
              </w:rPr>
              <w:t>Service</w:t>
            </w:r>
          </w:p>
        </w:tc>
        <w:tc>
          <w:tcPr>
            <w:tcW w:w="1559" w:type="dxa"/>
            <w:shd w:val="clear" w:color="000000" w:fill="8497B0"/>
            <w:vAlign w:val="bottom"/>
            <w:hideMark/>
          </w:tcPr>
          <w:p w14:paraId="169C6D12" w14:textId="77777777" w:rsidR="007B668C" w:rsidRPr="00736D2E" w:rsidRDefault="007B668C" w:rsidP="00DC54F7">
            <w:pPr>
              <w:spacing w:after="0" w:line="240" w:lineRule="auto"/>
              <w:jc w:val="both"/>
              <w:rPr>
                <w:rFonts w:ascii="Calibri" w:eastAsia="Times New Roman" w:hAnsi="Calibri" w:cs="Calibri"/>
                <w:b/>
                <w:bCs/>
                <w:color w:val="FFFFFF"/>
                <w:lang w:eastAsia="en-GB"/>
              </w:rPr>
            </w:pPr>
            <w:r w:rsidRPr="00736D2E">
              <w:rPr>
                <w:rFonts w:ascii="Calibri" w:eastAsia="Times New Roman" w:hAnsi="Calibri" w:cs="Calibri"/>
                <w:b/>
                <w:bCs/>
                <w:color w:val="FFFFFF"/>
                <w:lang w:eastAsia="en-GB"/>
              </w:rPr>
              <w:t>CO-validated quitters</w:t>
            </w:r>
          </w:p>
        </w:tc>
        <w:tc>
          <w:tcPr>
            <w:tcW w:w="1559" w:type="dxa"/>
            <w:shd w:val="clear" w:color="000000" w:fill="8497B0"/>
            <w:vAlign w:val="bottom"/>
            <w:hideMark/>
          </w:tcPr>
          <w:p w14:paraId="0A10FB7F" w14:textId="77777777" w:rsidR="007B668C" w:rsidRPr="00736D2E" w:rsidRDefault="007B668C" w:rsidP="00DC54F7">
            <w:pPr>
              <w:spacing w:after="0" w:line="240" w:lineRule="auto"/>
              <w:jc w:val="both"/>
              <w:rPr>
                <w:rFonts w:ascii="Calibri" w:eastAsia="Times New Roman" w:hAnsi="Calibri" w:cs="Calibri"/>
                <w:b/>
                <w:bCs/>
                <w:color w:val="FFFFFF"/>
                <w:lang w:eastAsia="en-GB"/>
              </w:rPr>
            </w:pPr>
            <w:r w:rsidRPr="00736D2E">
              <w:rPr>
                <w:rFonts w:ascii="Calibri" w:eastAsia="Times New Roman" w:hAnsi="Calibri" w:cs="Calibri"/>
                <w:b/>
                <w:bCs/>
                <w:color w:val="FFFFFF"/>
                <w:lang w:eastAsia="en-GB"/>
              </w:rPr>
              <w:t>Percentage CO-validated quitters</w:t>
            </w:r>
          </w:p>
        </w:tc>
        <w:tc>
          <w:tcPr>
            <w:tcW w:w="1559" w:type="dxa"/>
            <w:shd w:val="clear" w:color="000000" w:fill="8497B0"/>
            <w:vAlign w:val="bottom"/>
            <w:hideMark/>
          </w:tcPr>
          <w:p w14:paraId="488CF434" w14:textId="77777777" w:rsidR="007B668C" w:rsidRPr="00736D2E" w:rsidRDefault="007B668C" w:rsidP="00DC54F7">
            <w:pPr>
              <w:spacing w:after="0" w:line="240" w:lineRule="auto"/>
              <w:jc w:val="both"/>
              <w:rPr>
                <w:rFonts w:ascii="Calibri" w:eastAsia="Times New Roman" w:hAnsi="Calibri" w:cs="Calibri"/>
                <w:b/>
                <w:bCs/>
                <w:color w:val="FFFFFF"/>
                <w:lang w:eastAsia="en-GB"/>
              </w:rPr>
            </w:pPr>
            <w:r w:rsidRPr="00736D2E">
              <w:rPr>
                <w:rFonts w:ascii="Calibri" w:eastAsia="Times New Roman" w:hAnsi="Calibri" w:cs="Calibri"/>
                <w:b/>
                <w:bCs/>
                <w:color w:val="FFFFFF"/>
                <w:lang w:eastAsia="en-GB"/>
              </w:rPr>
              <w:t>Treated smokers</w:t>
            </w:r>
          </w:p>
        </w:tc>
        <w:tc>
          <w:tcPr>
            <w:tcW w:w="1559" w:type="dxa"/>
            <w:shd w:val="clear" w:color="000000" w:fill="8497B0"/>
            <w:vAlign w:val="bottom"/>
            <w:hideMark/>
          </w:tcPr>
          <w:p w14:paraId="62814A27" w14:textId="77777777" w:rsidR="007B668C" w:rsidRPr="00736D2E" w:rsidRDefault="007B668C" w:rsidP="00DC54F7">
            <w:pPr>
              <w:spacing w:after="0" w:line="240" w:lineRule="auto"/>
              <w:jc w:val="both"/>
              <w:rPr>
                <w:rFonts w:ascii="Calibri" w:eastAsia="Times New Roman" w:hAnsi="Calibri" w:cs="Calibri"/>
                <w:b/>
                <w:bCs/>
                <w:color w:val="FFFFFF"/>
                <w:lang w:eastAsia="en-GB"/>
              </w:rPr>
            </w:pPr>
            <w:r w:rsidRPr="00736D2E">
              <w:rPr>
                <w:rFonts w:ascii="Calibri" w:eastAsia="Times New Roman" w:hAnsi="Calibri" w:cs="Calibri"/>
                <w:b/>
                <w:bCs/>
                <w:color w:val="FFFFFF"/>
                <w:lang w:eastAsia="en-GB"/>
              </w:rPr>
              <w:t>Percentage Treated Smokers</w:t>
            </w:r>
          </w:p>
        </w:tc>
      </w:tr>
      <w:tr w:rsidR="007B668C" w:rsidRPr="00736D2E" w14:paraId="36A6AF49" w14:textId="77777777" w:rsidTr="00237D3A">
        <w:trPr>
          <w:trHeight w:val="278"/>
        </w:trPr>
        <w:tc>
          <w:tcPr>
            <w:tcW w:w="2901" w:type="dxa"/>
            <w:shd w:val="clear" w:color="EDEDED" w:fill="EDEDED"/>
            <w:noWrap/>
            <w:vAlign w:val="bottom"/>
            <w:hideMark/>
          </w:tcPr>
          <w:p w14:paraId="39C7929F"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All services</w:t>
            </w:r>
          </w:p>
        </w:tc>
        <w:tc>
          <w:tcPr>
            <w:tcW w:w="1559" w:type="dxa"/>
            <w:shd w:val="clear" w:color="EDEDED" w:fill="EDEDED"/>
            <w:noWrap/>
            <w:vAlign w:val="bottom"/>
            <w:hideMark/>
          </w:tcPr>
          <w:p w14:paraId="3850B31B"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6753</w:t>
            </w:r>
          </w:p>
        </w:tc>
        <w:tc>
          <w:tcPr>
            <w:tcW w:w="1559" w:type="dxa"/>
            <w:shd w:val="clear" w:color="EDEDED" w:fill="EDEDED"/>
            <w:noWrap/>
            <w:vAlign w:val="bottom"/>
            <w:hideMark/>
          </w:tcPr>
          <w:p w14:paraId="0AF3E861" w14:textId="77777777" w:rsidR="007B668C" w:rsidRPr="00736D2E" w:rsidRDefault="007B668C" w:rsidP="00DC54F7">
            <w:pPr>
              <w:spacing w:after="0" w:line="240" w:lineRule="auto"/>
              <w:jc w:val="both"/>
              <w:rPr>
                <w:rFonts w:ascii="Calibri" w:eastAsia="Times New Roman" w:hAnsi="Calibri" w:cs="Calibri"/>
                <w:color w:val="000000"/>
                <w:lang w:eastAsia="en-GB"/>
              </w:rPr>
            </w:pPr>
          </w:p>
        </w:tc>
        <w:tc>
          <w:tcPr>
            <w:tcW w:w="1559" w:type="dxa"/>
            <w:shd w:val="clear" w:color="EDEDED" w:fill="EDEDED"/>
            <w:noWrap/>
            <w:vAlign w:val="bottom"/>
            <w:hideMark/>
          </w:tcPr>
          <w:p w14:paraId="4A269559"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15599</w:t>
            </w:r>
          </w:p>
        </w:tc>
        <w:tc>
          <w:tcPr>
            <w:tcW w:w="1559" w:type="dxa"/>
            <w:shd w:val="clear" w:color="EDEDED" w:fill="EDEDED"/>
            <w:noWrap/>
            <w:vAlign w:val="bottom"/>
            <w:hideMark/>
          </w:tcPr>
          <w:p w14:paraId="453C5571" w14:textId="77777777" w:rsidR="007B668C" w:rsidRPr="00736D2E" w:rsidRDefault="007B668C" w:rsidP="00DC54F7">
            <w:pPr>
              <w:spacing w:after="0" w:line="240" w:lineRule="auto"/>
              <w:jc w:val="both"/>
              <w:rPr>
                <w:rFonts w:ascii="Calibri" w:eastAsia="Times New Roman" w:hAnsi="Calibri" w:cs="Calibri"/>
                <w:color w:val="000000"/>
                <w:lang w:eastAsia="en-GB"/>
              </w:rPr>
            </w:pPr>
          </w:p>
        </w:tc>
      </w:tr>
      <w:tr w:rsidR="007B668C" w:rsidRPr="00736D2E" w14:paraId="00DF62EF" w14:textId="77777777" w:rsidTr="00237D3A">
        <w:trPr>
          <w:trHeight w:val="278"/>
        </w:trPr>
        <w:tc>
          <w:tcPr>
            <w:tcW w:w="2901" w:type="dxa"/>
            <w:shd w:val="clear" w:color="auto" w:fill="auto"/>
            <w:noWrap/>
            <w:vAlign w:val="bottom"/>
            <w:hideMark/>
          </w:tcPr>
          <w:p w14:paraId="339F5831"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In house GP based services</w:t>
            </w:r>
          </w:p>
        </w:tc>
        <w:tc>
          <w:tcPr>
            <w:tcW w:w="1559" w:type="dxa"/>
            <w:shd w:val="clear" w:color="auto" w:fill="auto"/>
            <w:noWrap/>
            <w:vAlign w:val="bottom"/>
            <w:hideMark/>
          </w:tcPr>
          <w:p w14:paraId="03070D05"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58</w:t>
            </w:r>
          </w:p>
        </w:tc>
        <w:tc>
          <w:tcPr>
            <w:tcW w:w="1559" w:type="dxa"/>
            <w:shd w:val="clear" w:color="auto" w:fill="auto"/>
            <w:noWrap/>
            <w:vAlign w:val="bottom"/>
            <w:hideMark/>
          </w:tcPr>
          <w:p w14:paraId="408B3BA7"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0.9</w:t>
            </w:r>
          </w:p>
        </w:tc>
        <w:tc>
          <w:tcPr>
            <w:tcW w:w="1559" w:type="dxa"/>
            <w:shd w:val="clear" w:color="auto" w:fill="auto"/>
            <w:noWrap/>
            <w:vAlign w:val="bottom"/>
            <w:hideMark/>
          </w:tcPr>
          <w:p w14:paraId="387C5069"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110</w:t>
            </w:r>
          </w:p>
        </w:tc>
        <w:tc>
          <w:tcPr>
            <w:tcW w:w="1559" w:type="dxa"/>
            <w:shd w:val="clear" w:color="auto" w:fill="auto"/>
            <w:noWrap/>
            <w:vAlign w:val="bottom"/>
            <w:hideMark/>
          </w:tcPr>
          <w:p w14:paraId="1425955A"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0.7</w:t>
            </w:r>
          </w:p>
        </w:tc>
      </w:tr>
      <w:tr w:rsidR="007B668C" w:rsidRPr="00736D2E" w14:paraId="530CE638" w14:textId="77777777" w:rsidTr="00237D3A">
        <w:trPr>
          <w:trHeight w:val="278"/>
        </w:trPr>
        <w:tc>
          <w:tcPr>
            <w:tcW w:w="2901" w:type="dxa"/>
            <w:shd w:val="clear" w:color="EDEDED" w:fill="EDEDED"/>
            <w:noWrap/>
            <w:vAlign w:val="bottom"/>
            <w:hideMark/>
          </w:tcPr>
          <w:p w14:paraId="14E31802"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In house hospital based services</w:t>
            </w:r>
          </w:p>
        </w:tc>
        <w:tc>
          <w:tcPr>
            <w:tcW w:w="1559" w:type="dxa"/>
            <w:shd w:val="clear" w:color="EDEDED" w:fill="EDEDED"/>
            <w:noWrap/>
            <w:vAlign w:val="bottom"/>
            <w:hideMark/>
          </w:tcPr>
          <w:p w14:paraId="671CCC82"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824</w:t>
            </w:r>
          </w:p>
        </w:tc>
        <w:tc>
          <w:tcPr>
            <w:tcW w:w="1559" w:type="dxa"/>
            <w:shd w:val="clear" w:color="EDEDED" w:fill="EDEDED"/>
            <w:noWrap/>
            <w:vAlign w:val="bottom"/>
            <w:hideMark/>
          </w:tcPr>
          <w:p w14:paraId="56DE7D04"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12.2</w:t>
            </w:r>
          </w:p>
        </w:tc>
        <w:tc>
          <w:tcPr>
            <w:tcW w:w="1559" w:type="dxa"/>
            <w:shd w:val="clear" w:color="EDEDED" w:fill="EDEDED"/>
            <w:noWrap/>
            <w:vAlign w:val="bottom"/>
            <w:hideMark/>
          </w:tcPr>
          <w:p w14:paraId="306EE642"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1703</w:t>
            </w:r>
          </w:p>
        </w:tc>
        <w:tc>
          <w:tcPr>
            <w:tcW w:w="1559" w:type="dxa"/>
            <w:shd w:val="clear" w:color="EDEDED" w:fill="EDEDED"/>
            <w:noWrap/>
            <w:vAlign w:val="bottom"/>
            <w:hideMark/>
          </w:tcPr>
          <w:p w14:paraId="298449B8"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10.9</w:t>
            </w:r>
          </w:p>
        </w:tc>
      </w:tr>
      <w:tr w:rsidR="007B668C" w:rsidRPr="00736D2E" w14:paraId="2F3F7019" w14:textId="77777777" w:rsidTr="00237D3A">
        <w:trPr>
          <w:trHeight w:val="278"/>
        </w:trPr>
        <w:tc>
          <w:tcPr>
            <w:tcW w:w="2901" w:type="dxa"/>
            <w:shd w:val="clear" w:color="auto" w:fill="auto"/>
            <w:noWrap/>
            <w:vAlign w:val="bottom"/>
            <w:hideMark/>
          </w:tcPr>
          <w:p w14:paraId="30E8CC09"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Level 3 pharmacy based services</w:t>
            </w:r>
          </w:p>
        </w:tc>
        <w:tc>
          <w:tcPr>
            <w:tcW w:w="1559" w:type="dxa"/>
            <w:shd w:val="clear" w:color="auto" w:fill="auto"/>
            <w:noWrap/>
            <w:vAlign w:val="bottom"/>
            <w:hideMark/>
          </w:tcPr>
          <w:p w14:paraId="6DE83901"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3117</w:t>
            </w:r>
          </w:p>
        </w:tc>
        <w:tc>
          <w:tcPr>
            <w:tcW w:w="1559" w:type="dxa"/>
            <w:shd w:val="clear" w:color="auto" w:fill="auto"/>
            <w:noWrap/>
            <w:vAlign w:val="bottom"/>
            <w:hideMark/>
          </w:tcPr>
          <w:p w14:paraId="00DFBD00"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46.2</w:t>
            </w:r>
          </w:p>
        </w:tc>
        <w:tc>
          <w:tcPr>
            <w:tcW w:w="1559" w:type="dxa"/>
            <w:shd w:val="clear" w:color="auto" w:fill="auto"/>
            <w:noWrap/>
            <w:vAlign w:val="bottom"/>
            <w:hideMark/>
          </w:tcPr>
          <w:p w14:paraId="22625031"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7889</w:t>
            </w:r>
          </w:p>
        </w:tc>
        <w:tc>
          <w:tcPr>
            <w:tcW w:w="1559" w:type="dxa"/>
            <w:shd w:val="clear" w:color="auto" w:fill="auto"/>
            <w:noWrap/>
            <w:vAlign w:val="bottom"/>
            <w:hideMark/>
          </w:tcPr>
          <w:p w14:paraId="30AB1B34"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50.6</w:t>
            </w:r>
          </w:p>
        </w:tc>
      </w:tr>
      <w:tr w:rsidR="007B668C" w:rsidRPr="00736D2E" w14:paraId="72A2A911" w14:textId="77777777" w:rsidTr="00237D3A">
        <w:trPr>
          <w:trHeight w:val="278"/>
        </w:trPr>
        <w:tc>
          <w:tcPr>
            <w:tcW w:w="2901" w:type="dxa"/>
            <w:shd w:val="clear" w:color="EDEDED" w:fill="EDEDED"/>
            <w:noWrap/>
            <w:vAlign w:val="bottom"/>
            <w:hideMark/>
          </w:tcPr>
          <w:p w14:paraId="2FBC34E1"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Specialist Maternity Service</w:t>
            </w:r>
          </w:p>
        </w:tc>
        <w:tc>
          <w:tcPr>
            <w:tcW w:w="1559" w:type="dxa"/>
            <w:shd w:val="clear" w:color="EDEDED" w:fill="EDEDED"/>
            <w:noWrap/>
            <w:vAlign w:val="bottom"/>
            <w:hideMark/>
          </w:tcPr>
          <w:p w14:paraId="62456A00"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71</w:t>
            </w:r>
          </w:p>
        </w:tc>
        <w:tc>
          <w:tcPr>
            <w:tcW w:w="1559" w:type="dxa"/>
            <w:shd w:val="clear" w:color="EDEDED" w:fill="EDEDED"/>
            <w:noWrap/>
            <w:vAlign w:val="bottom"/>
            <w:hideMark/>
          </w:tcPr>
          <w:p w14:paraId="1C00646C"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1.1</w:t>
            </w:r>
          </w:p>
        </w:tc>
        <w:tc>
          <w:tcPr>
            <w:tcW w:w="1559" w:type="dxa"/>
            <w:shd w:val="clear" w:color="EDEDED" w:fill="EDEDED"/>
            <w:noWrap/>
            <w:vAlign w:val="bottom"/>
            <w:hideMark/>
          </w:tcPr>
          <w:p w14:paraId="561939EE"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238</w:t>
            </w:r>
          </w:p>
        </w:tc>
        <w:tc>
          <w:tcPr>
            <w:tcW w:w="1559" w:type="dxa"/>
            <w:shd w:val="clear" w:color="EDEDED" w:fill="EDEDED"/>
            <w:noWrap/>
            <w:vAlign w:val="bottom"/>
            <w:hideMark/>
          </w:tcPr>
          <w:p w14:paraId="20D0503B"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1.5</w:t>
            </w:r>
          </w:p>
        </w:tc>
      </w:tr>
      <w:tr w:rsidR="007B668C" w:rsidRPr="00736D2E" w14:paraId="641E0157" w14:textId="77777777" w:rsidTr="00237D3A">
        <w:trPr>
          <w:trHeight w:val="278"/>
        </w:trPr>
        <w:tc>
          <w:tcPr>
            <w:tcW w:w="2901" w:type="dxa"/>
            <w:shd w:val="clear" w:color="auto" w:fill="auto"/>
            <w:noWrap/>
            <w:vAlign w:val="bottom"/>
            <w:hideMark/>
          </w:tcPr>
          <w:p w14:paraId="653CF5DF"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Stop Smoking Wales</w:t>
            </w:r>
          </w:p>
        </w:tc>
        <w:tc>
          <w:tcPr>
            <w:tcW w:w="1559" w:type="dxa"/>
            <w:shd w:val="clear" w:color="auto" w:fill="auto"/>
            <w:noWrap/>
            <w:vAlign w:val="bottom"/>
            <w:hideMark/>
          </w:tcPr>
          <w:p w14:paraId="6EB16039"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2683</w:t>
            </w:r>
          </w:p>
        </w:tc>
        <w:tc>
          <w:tcPr>
            <w:tcW w:w="1559" w:type="dxa"/>
            <w:shd w:val="clear" w:color="auto" w:fill="auto"/>
            <w:noWrap/>
            <w:vAlign w:val="bottom"/>
            <w:hideMark/>
          </w:tcPr>
          <w:p w14:paraId="25C56059"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39.7</w:t>
            </w:r>
          </w:p>
        </w:tc>
        <w:tc>
          <w:tcPr>
            <w:tcW w:w="1559" w:type="dxa"/>
            <w:shd w:val="clear" w:color="auto" w:fill="auto"/>
            <w:noWrap/>
            <w:vAlign w:val="bottom"/>
            <w:hideMark/>
          </w:tcPr>
          <w:p w14:paraId="200DF0B4"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5659</w:t>
            </w:r>
          </w:p>
        </w:tc>
        <w:tc>
          <w:tcPr>
            <w:tcW w:w="1559" w:type="dxa"/>
            <w:shd w:val="clear" w:color="auto" w:fill="auto"/>
            <w:noWrap/>
            <w:vAlign w:val="bottom"/>
            <w:hideMark/>
          </w:tcPr>
          <w:p w14:paraId="51D7EFF9" w14:textId="77777777" w:rsidR="007B668C" w:rsidRPr="00736D2E" w:rsidRDefault="007B668C" w:rsidP="00DC54F7">
            <w:pPr>
              <w:spacing w:after="0" w:line="240" w:lineRule="auto"/>
              <w:jc w:val="both"/>
              <w:rPr>
                <w:rFonts w:ascii="Calibri" w:eastAsia="Times New Roman" w:hAnsi="Calibri" w:cs="Calibri"/>
                <w:color w:val="000000"/>
                <w:lang w:eastAsia="en-GB"/>
              </w:rPr>
            </w:pPr>
            <w:r w:rsidRPr="00736D2E">
              <w:rPr>
                <w:rFonts w:ascii="Calibri" w:eastAsia="Times New Roman" w:hAnsi="Calibri" w:cs="Calibri"/>
                <w:color w:val="000000"/>
                <w:lang w:eastAsia="en-GB"/>
              </w:rPr>
              <w:t>36.3</w:t>
            </w:r>
          </w:p>
        </w:tc>
      </w:tr>
    </w:tbl>
    <w:p w14:paraId="6E26574C" w14:textId="4EAC0D79" w:rsidR="007B668C" w:rsidRPr="00944EB7" w:rsidRDefault="007B668C" w:rsidP="00DC54F7">
      <w:pPr>
        <w:pStyle w:val="Heading5"/>
        <w:spacing w:before="0" w:line="240" w:lineRule="auto"/>
        <w:jc w:val="both"/>
        <w:rPr>
          <w:rFonts w:ascii="Arial" w:hAnsi="Arial" w:cs="Arial"/>
          <w:color w:val="auto"/>
          <w:sz w:val="20"/>
          <w:szCs w:val="20"/>
          <w:shd w:val="clear" w:color="auto" w:fill="FFFFFF"/>
        </w:rPr>
      </w:pPr>
      <w:r w:rsidRPr="00944EB7">
        <w:rPr>
          <w:rStyle w:val="Strong"/>
          <w:rFonts w:ascii="Arial" w:hAnsi="Arial" w:cs="Arial"/>
          <w:b w:val="0"/>
          <w:bCs w:val="0"/>
          <w:color w:val="auto"/>
          <w:sz w:val="20"/>
          <w:szCs w:val="20"/>
        </w:rPr>
        <w:t xml:space="preserve">Source: </w:t>
      </w:r>
      <w:r w:rsidRPr="00944EB7">
        <w:rPr>
          <w:rFonts w:ascii="Arial" w:hAnsi="Arial" w:cs="Arial"/>
          <w:color w:val="auto"/>
          <w:sz w:val="20"/>
          <w:szCs w:val="20"/>
          <w:shd w:val="clear" w:color="auto" w:fill="FFFFFF"/>
        </w:rPr>
        <w:t>Produced by Public Health Wales, using Smoking Cessation Services Data Collection (WG)</w:t>
      </w:r>
    </w:p>
    <w:p w14:paraId="4044D90C" w14:textId="6828510A" w:rsidR="009953B6" w:rsidRDefault="009953B6" w:rsidP="00DC54F7">
      <w:pPr>
        <w:pStyle w:val="NormalWeb"/>
        <w:shd w:val="clear" w:color="auto" w:fill="FFFFFF"/>
        <w:spacing w:before="0" w:beforeAutospacing="0" w:after="0" w:afterAutospacing="0"/>
        <w:jc w:val="both"/>
        <w:rPr>
          <w:rFonts w:ascii="Arial" w:hAnsi="Arial" w:cs="Arial"/>
          <w:color w:val="0B0C0C"/>
          <w:sz w:val="22"/>
          <w:szCs w:val="22"/>
        </w:rPr>
      </w:pPr>
    </w:p>
    <w:p w14:paraId="6DB9D395" w14:textId="77777777" w:rsidR="00944EB7" w:rsidRDefault="00944EB7" w:rsidP="00DC54F7">
      <w:pPr>
        <w:pStyle w:val="NormalWeb"/>
        <w:shd w:val="clear" w:color="auto" w:fill="FFFFFF"/>
        <w:spacing w:before="0" w:beforeAutospacing="0" w:after="0" w:afterAutospacing="0"/>
        <w:jc w:val="both"/>
        <w:rPr>
          <w:rFonts w:ascii="Arial" w:hAnsi="Arial" w:cs="Arial"/>
          <w:color w:val="0B0C0C"/>
          <w:sz w:val="22"/>
          <w:szCs w:val="22"/>
        </w:rPr>
      </w:pPr>
    </w:p>
    <w:p w14:paraId="1E89DB05" w14:textId="384D936B" w:rsidR="002E5FEE" w:rsidRPr="00944EB7" w:rsidRDefault="002E5FEE" w:rsidP="00DC54F7">
      <w:pPr>
        <w:pStyle w:val="NormalWeb"/>
        <w:shd w:val="clear" w:color="auto" w:fill="FFFFFF"/>
        <w:spacing w:before="0" w:beforeAutospacing="0" w:after="150" w:afterAutospacing="0"/>
        <w:jc w:val="both"/>
        <w:rPr>
          <w:rFonts w:ascii="Arial" w:hAnsi="Arial" w:cs="Arial"/>
          <w:b/>
          <w:bCs/>
          <w:color w:val="333333"/>
        </w:rPr>
      </w:pPr>
      <w:r w:rsidRPr="00944EB7">
        <w:rPr>
          <w:rFonts w:ascii="Arial" w:hAnsi="Arial" w:cs="Arial"/>
          <w:b/>
          <w:bCs/>
          <w:color w:val="333333"/>
        </w:rPr>
        <w:t>3.2.2 Hypertension</w:t>
      </w:r>
    </w:p>
    <w:p w14:paraId="666513FE" w14:textId="6F9AFDE7" w:rsidR="00237A36" w:rsidRPr="006D6217" w:rsidRDefault="00237A36" w:rsidP="00DC54F7">
      <w:pPr>
        <w:pStyle w:val="NormalWeb"/>
        <w:shd w:val="clear" w:color="auto" w:fill="FFFFFF"/>
        <w:spacing w:before="0" w:beforeAutospacing="0" w:after="0" w:afterAutospacing="0"/>
        <w:jc w:val="both"/>
        <w:rPr>
          <w:rFonts w:ascii="Arial" w:hAnsi="Arial" w:cs="Arial"/>
        </w:rPr>
      </w:pPr>
      <w:r w:rsidRPr="006D6217">
        <w:rPr>
          <w:rFonts w:ascii="Arial" w:hAnsi="Arial" w:cs="Arial"/>
        </w:rPr>
        <w:t>In Wales, hypertension or high blood pressure is the second biggest risk factor for disability and disease</w:t>
      </w:r>
      <w:r w:rsidR="00E416F6" w:rsidRPr="006D6217">
        <w:rPr>
          <w:rFonts w:ascii="Arial" w:hAnsi="Arial" w:cs="Arial"/>
        </w:rPr>
        <w:t xml:space="preserve"> in 2019</w:t>
      </w:r>
      <w:r w:rsidRPr="006D6217">
        <w:rPr>
          <w:rFonts w:ascii="Arial" w:hAnsi="Arial" w:cs="Arial"/>
        </w:rPr>
        <w:t xml:space="preserve">. It is a major risk factor for heart disease, stroke, kidney disease, peripheral arterial disease and vascular dementia. Early detection and effective management can prevent progression to cardiovascular disease. Although hypertension is classed as more of a clinical risk factor, its prevention or reduction is affected by life-style choices such as excessive salt intake, poor diet and obesity, </w:t>
      </w:r>
      <w:r w:rsidRPr="006D6217">
        <w:rPr>
          <w:rFonts w:ascii="Arial" w:hAnsi="Arial" w:cs="Arial"/>
        </w:rPr>
        <w:lastRenderedPageBreak/>
        <w:t xml:space="preserve">excess alcohol consumption, lack of physical activity, mental well-being and stress. </w:t>
      </w:r>
      <w:r w:rsidRPr="006D6217">
        <w:rPr>
          <w:rFonts w:ascii="Arial" w:hAnsi="Arial" w:cs="Arial"/>
          <w:shd w:val="clear" w:color="auto" w:fill="FFFFFF"/>
        </w:rPr>
        <w:t>The burden of high blood pressure is greatest among individuals from low-income households and those living in deprived areas</w:t>
      </w:r>
      <w:r w:rsidR="009235F1" w:rsidRPr="006D6217">
        <w:rPr>
          <w:rStyle w:val="FootnoteReference"/>
          <w:rFonts w:ascii="Arial" w:hAnsi="Arial" w:cs="Arial"/>
          <w:shd w:val="clear" w:color="auto" w:fill="FFFFFF"/>
        </w:rPr>
        <w:footnoteReference w:id="15"/>
      </w:r>
      <w:r w:rsidRPr="006D6217">
        <w:rPr>
          <w:rFonts w:ascii="Arial" w:hAnsi="Arial" w:cs="Arial"/>
          <w:shd w:val="clear" w:color="auto" w:fill="FFFFFF"/>
        </w:rPr>
        <w:t>.</w:t>
      </w:r>
    </w:p>
    <w:p w14:paraId="409D29F1" w14:textId="77777777" w:rsidR="00237A36" w:rsidRPr="006D6217" w:rsidRDefault="00237A36" w:rsidP="00DC54F7">
      <w:pPr>
        <w:pStyle w:val="NormalWeb"/>
        <w:shd w:val="clear" w:color="auto" w:fill="FFFFFF"/>
        <w:spacing w:before="0" w:beforeAutospacing="0" w:after="0" w:afterAutospacing="0"/>
        <w:jc w:val="both"/>
        <w:rPr>
          <w:rFonts w:ascii="Arial" w:hAnsi="Arial" w:cs="Arial"/>
        </w:rPr>
      </w:pPr>
    </w:p>
    <w:p w14:paraId="685EEB60" w14:textId="5E5C24BE" w:rsidR="00237A36" w:rsidRPr="006D6217" w:rsidRDefault="00237A36" w:rsidP="00DC54F7">
      <w:pPr>
        <w:pStyle w:val="NormalWeb"/>
        <w:shd w:val="clear" w:color="auto" w:fill="FFFFFF"/>
        <w:spacing w:before="0" w:beforeAutospacing="0" w:after="0" w:afterAutospacing="0"/>
        <w:jc w:val="both"/>
        <w:rPr>
          <w:rFonts w:ascii="Arial" w:hAnsi="Arial" w:cs="Arial"/>
          <w:shd w:val="clear" w:color="auto" w:fill="FFFFFF"/>
        </w:rPr>
      </w:pPr>
      <w:r w:rsidRPr="006D6217">
        <w:rPr>
          <w:rFonts w:ascii="Arial" w:hAnsi="Arial" w:cs="Arial"/>
          <w:shd w:val="clear" w:color="auto" w:fill="FFFFFF"/>
        </w:rPr>
        <w:t xml:space="preserve">Based on QOF </w:t>
      </w:r>
      <w:r w:rsidR="008129A4" w:rsidRPr="006D6217">
        <w:rPr>
          <w:rFonts w:ascii="Arial" w:hAnsi="Arial" w:cs="Arial"/>
          <w:shd w:val="clear" w:color="auto" w:fill="FFFFFF"/>
        </w:rPr>
        <w:t xml:space="preserve">2019 </w:t>
      </w:r>
      <w:r w:rsidRPr="006D6217">
        <w:rPr>
          <w:rFonts w:ascii="Arial" w:hAnsi="Arial" w:cs="Arial"/>
          <w:shd w:val="clear" w:color="auto" w:fill="FFFFFF"/>
        </w:rPr>
        <w:t xml:space="preserve">reported prevalence rates, Cardiff and Vale University Health Board (12.6%) has a lower prevalence of hypertension </w:t>
      </w:r>
      <w:r w:rsidR="00F95718" w:rsidRPr="006D6217">
        <w:rPr>
          <w:rFonts w:ascii="Arial" w:hAnsi="Arial" w:cs="Arial"/>
          <w:shd w:val="clear" w:color="auto" w:fill="FFFFFF"/>
        </w:rPr>
        <w:t>than the average for Wales</w:t>
      </w:r>
      <w:r w:rsidRPr="006D6217">
        <w:rPr>
          <w:rFonts w:ascii="Arial" w:hAnsi="Arial" w:cs="Arial"/>
          <w:shd w:val="clear" w:color="auto" w:fill="FFFFFF"/>
        </w:rPr>
        <w:t xml:space="preserve"> (15.8%). Cardiff (11.8%) has </w:t>
      </w:r>
      <w:r w:rsidR="00031756" w:rsidRPr="006D6217">
        <w:rPr>
          <w:rFonts w:ascii="Arial" w:hAnsi="Arial" w:cs="Arial"/>
          <w:shd w:val="clear" w:color="auto" w:fill="FFFFFF"/>
        </w:rPr>
        <w:t xml:space="preserve">the </w:t>
      </w:r>
      <w:r w:rsidRPr="006D6217">
        <w:rPr>
          <w:rFonts w:ascii="Arial" w:hAnsi="Arial" w:cs="Arial"/>
          <w:shd w:val="clear" w:color="auto" w:fill="FFFFFF"/>
        </w:rPr>
        <w:t>lowe</w:t>
      </w:r>
      <w:r w:rsidR="00031756" w:rsidRPr="006D6217">
        <w:rPr>
          <w:rFonts w:ascii="Arial" w:hAnsi="Arial" w:cs="Arial"/>
          <w:shd w:val="clear" w:color="auto" w:fill="FFFFFF"/>
        </w:rPr>
        <w:t>st</w:t>
      </w:r>
      <w:r w:rsidRPr="006D6217">
        <w:rPr>
          <w:rFonts w:ascii="Arial" w:hAnsi="Arial" w:cs="Arial"/>
          <w:shd w:val="clear" w:color="auto" w:fill="FFFFFF"/>
        </w:rPr>
        <w:t xml:space="preserve"> prevalence of hypertension </w:t>
      </w:r>
      <w:r w:rsidR="00031756" w:rsidRPr="006D6217">
        <w:rPr>
          <w:rFonts w:ascii="Arial" w:hAnsi="Arial" w:cs="Arial"/>
          <w:shd w:val="clear" w:color="auto" w:fill="FFFFFF"/>
        </w:rPr>
        <w:t>within the health board area reflecting its younger population</w:t>
      </w:r>
      <w:r w:rsidR="00113B09" w:rsidRPr="006D6217">
        <w:rPr>
          <w:rFonts w:ascii="Arial" w:hAnsi="Arial" w:cs="Arial"/>
          <w:shd w:val="clear" w:color="auto" w:fill="FFFFFF"/>
        </w:rPr>
        <w:t xml:space="preserve"> and the Vale of Glamorgan </w:t>
      </w:r>
      <w:r w:rsidR="006175D9" w:rsidRPr="006D6217">
        <w:rPr>
          <w:rFonts w:ascii="Arial" w:hAnsi="Arial" w:cs="Arial"/>
          <w:shd w:val="clear" w:color="auto" w:fill="FFFFFF"/>
        </w:rPr>
        <w:t>has the highest at 14.9%.</w:t>
      </w:r>
    </w:p>
    <w:p w14:paraId="1B12B5DE" w14:textId="77777777" w:rsidR="00882163" w:rsidRDefault="00882163" w:rsidP="00DC54F7">
      <w:pPr>
        <w:pStyle w:val="Caption"/>
        <w:spacing w:before="0" w:after="0"/>
        <w:jc w:val="both"/>
        <w:rPr>
          <w:rFonts w:ascii="Arial" w:hAnsi="Arial" w:cs="Arial"/>
          <w:sz w:val="22"/>
          <w:szCs w:val="22"/>
        </w:rPr>
      </w:pPr>
    </w:p>
    <w:p w14:paraId="146A2A2A" w14:textId="74347252" w:rsidR="004B2250" w:rsidRPr="00944EB7" w:rsidRDefault="00421876" w:rsidP="00DC54F7">
      <w:pPr>
        <w:pStyle w:val="Caption"/>
        <w:spacing w:before="0" w:after="0"/>
        <w:jc w:val="both"/>
        <w:rPr>
          <w:rFonts w:ascii="Arial" w:hAnsi="Arial" w:cs="Arial"/>
          <w:szCs w:val="24"/>
        </w:rPr>
      </w:pPr>
      <w:r w:rsidRPr="00944EB7">
        <w:rPr>
          <w:rFonts w:ascii="Arial" w:hAnsi="Arial" w:cs="Arial"/>
          <w:szCs w:val="24"/>
        </w:rPr>
        <w:t>Table</w:t>
      </w:r>
      <w:r w:rsidR="00F22702" w:rsidRPr="00944EB7">
        <w:rPr>
          <w:rFonts w:ascii="Arial" w:hAnsi="Arial" w:cs="Arial"/>
          <w:szCs w:val="24"/>
        </w:rPr>
        <w:t xml:space="preserve"> 3.8</w:t>
      </w:r>
      <w:r w:rsidRPr="00944EB7">
        <w:rPr>
          <w:rFonts w:ascii="Arial" w:hAnsi="Arial" w:cs="Arial"/>
          <w:szCs w:val="24"/>
        </w:rPr>
        <w:t xml:space="preserve">: Estimated percentage prevalence of hypertension based on patients on GP practice registers by </w:t>
      </w:r>
      <w:r w:rsidR="00567F4B" w:rsidRPr="00944EB7">
        <w:rPr>
          <w:rFonts w:ascii="Arial" w:hAnsi="Arial" w:cs="Arial"/>
          <w:szCs w:val="24"/>
        </w:rPr>
        <w:t>local</w:t>
      </w:r>
      <w:r w:rsidRPr="00944EB7">
        <w:rPr>
          <w:rFonts w:ascii="Arial" w:hAnsi="Arial" w:cs="Arial"/>
          <w:szCs w:val="24"/>
        </w:rPr>
        <w:t xml:space="preserve"> authority, health board and Wales, 2019</w:t>
      </w:r>
    </w:p>
    <w:tbl>
      <w:tblPr>
        <w:tblW w:w="9070"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55"/>
        <w:gridCol w:w="4615"/>
      </w:tblGrid>
      <w:tr w:rsidR="009953B6" w:rsidRPr="000A6869" w14:paraId="799B0BC7" w14:textId="77777777" w:rsidTr="00237D3A">
        <w:trPr>
          <w:trHeight w:val="758"/>
        </w:trPr>
        <w:tc>
          <w:tcPr>
            <w:tcW w:w="4455" w:type="dxa"/>
            <w:shd w:val="clear" w:color="000000" w:fill="8497B0"/>
            <w:vAlign w:val="bottom"/>
            <w:hideMark/>
          </w:tcPr>
          <w:p w14:paraId="4C6DEF49" w14:textId="77777777" w:rsidR="009953B6" w:rsidRPr="000A6869" w:rsidRDefault="009953B6" w:rsidP="00DC54F7">
            <w:pPr>
              <w:spacing w:after="0" w:line="240" w:lineRule="auto"/>
              <w:jc w:val="both"/>
              <w:rPr>
                <w:rFonts w:ascii="Calibri" w:eastAsia="Times New Roman" w:hAnsi="Calibri" w:cs="Calibri"/>
                <w:b/>
                <w:bCs/>
                <w:color w:val="FFFFFF"/>
                <w:sz w:val="20"/>
                <w:szCs w:val="20"/>
                <w:lang w:eastAsia="en-GB"/>
              </w:rPr>
            </w:pPr>
            <w:r>
              <w:rPr>
                <w:rFonts w:ascii="Calibri" w:eastAsia="Times New Roman" w:hAnsi="Calibri" w:cs="Calibri"/>
                <w:b/>
                <w:bCs/>
                <w:color w:val="FFFFFF"/>
                <w:sz w:val="20"/>
                <w:szCs w:val="20"/>
                <w:lang w:eastAsia="en-GB"/>
              </w:rPr>
              <w:t xml:space="preserve">Area </w:t>
            </w:r>
          </w:p>
        </w:tc>
        <w:tc>
          <w:tcPr>
            <w:tcW w:w="4615" w:type="dxa"/>
            <w:shd w:val="clear" w:color="000000" w:fill="8497B0"/>
            <w:vAlign w:val="bottom"/>
          </w:tcPr>
          <w:p w14:paraId="3081AB72" w14:textId="18809698" w:rsidR="009953B6" w:rsidRPr="00405C3A" w:rsidRDefault="009953B6" w:rsidP="00DC54F7">
            <w:pPr>
              <w:spacing w:after="0" w:line="240" w:lineRule="auto"/>
              <w:jc w:val="both"/>
              <w:rPr>
                <w:rFonts w:ascii="Calibri" w:eastAsia="Times New Roman" w:hAnsi="Calibri" w:cs="Calibri"/>
                <w:b/>
                <w:bCs/>
                <w:color w:val="548DD4" w:themeColor="text2" w:themeTint="99"/>
                <w:sz w:val="20"/>
                <w:szCs w:val="20"/>
                <w:lang w:eastAsia="en-GB"/>
              </w:rPr>
            </w:pPr>
            <w:r w:rsidRPr="000A6869">
              <w:rPr>
                <w:rFonts w:ascii="Calibri" w:eastAsia="Times New Roman" w:hAnsi="Calibri" w:cs="Calibri"/>
                <w:b/>
                <w:bCs/>
                <w:color w:val="FFFFFF"/>
                <w:sz w:val="20"/>
                <w:szCs w:val="20"/>
                <w:lang w:eastAsia="en-GB"/>
              </w:rPr>
              <w:t>Hypertension</w:t>
            </w:r>
            <w:r w:rsidR="00F0198F">
              <w:rPr>
                <w:rFonts w:ascii="Calibri" w:eastAsia="Times New Roman" w:hAnsi="Calibri" w:cs="Calibri"/>
                <w:b/>
                <w:bCs/>
                <w:color w:val="FFFFFF"/>
                <w:sz w:val="20"/>
                <w:szCs w:val="20"/>
                <w:lang w:eastAsia="en-GB"/>
              </w:rPr>
              <w:t xml:space="preserve"> </w:t>
            </w:r>
            <w:r w:rsidR="007D0943">
              <w:rPr>
                <w:rFonts w:ascii="Calibri" w:eastAsia="Times New Roman" w:hAnsi="Calibri" w:cs="Calibri"/>
                <w:b/>
                <w:bCs/>
                <w:color w:val="FFFFFF"/>
                <w:sz w:val="20"/>
                <w:szCs w:val="20"/>
                <w:lang w:eastAsia="en-GB"/>
              </w:rPr>
              <w:t>percentage prevalence</w:t>
            </w:r>
          </w:p>
        </w:tc>
      </w:tr>
      <w:tr w:rsidR="009953B6" w:rsidRPr="000A6869" w14:paraId="3816D40D" w14:textId="77777777" w:rsidTr="00237D3A">
        <w:trPr>
          <w:trHeight w:val="278"/>
        </w:trPr>
        <w:tc>
          <w:tcPr>
            <w:tcW w:w="4455" w:type="dxa"/>
            <w:shd w:val="clear" w:color="000000" w:fill="F2F2F2"/>
            <w:vAlign w:val="center"/>
            <w:hideMark/>
          </w:tcPr>
          <w:p w14:paraId="4C1FC98D" w14:textId="77777777" w:rsidR="009953B6" w:rsidRPr="000A6869" w:rsidRDefault="009953B6" w:rsidP="00DC54F7">
            <w:pPr>
              <w:spacing w:after="0" w:line="240" w:lineRule="auto"/>
              <w:jc w:val="both"/>
              <w:rPr>
                <w:rFonts w:ascii="Calibri" w:eastAsia="Times New Roman" w:hAnsi="Calibri" w:cs="Calibri"/>
                <w:color w:val="000000"/>
                <w:sz w:val="20"/>
                <w:szCs w:val="20"/>
                <w:lang w:eastAsia="en-GB"/>
              </w:rPr>
            </w:pPr>
            <w:r w:rsidRPr="0016658E">
              <w:rPr>
                <w:rFonts w:ascii="Tahoma" w:eastAsia="Times New Roman" w:hAnsi="Tahoma" w:cs="Tahoma"/>
                <w:color w:val="000000"/>
                <w:sz w:val="17"/>
                <w:szCs w:val="17"/>
                <w:lang w:eastAsia="en-GB"/>
              </w:rPr>
              <w:t xml:space="preserve">Cardiff </w:t>
            </w:r>
          </w:p>
        </w:tc>
        <w:tc>
          <w:tcPr>
            <w:tcW w:w="4615" w:type="dxa"/>
            <w:shd w:val="clear" w:color="000000" w:fill="F2F2F2"/>
            <w:vAlign w:val="bottom"/>
          </w:tcPr>
          <w:p w14:paraId="7A841497" w14:textId="4AB47143" w:rsidR="009953B6" w:rsidRPr="000A6869" w:rsidRDefault="009953B6" w:rsidP="00DC54F7">
            <w:pPr>
              <w:spacing w:after="0" w:line="240" w:lineRule="auto"/>
              <w:jc w:val="both"/>
              <w:rPr>
                <w:rFonts w:ascii="Calibri" w:eastAsia="Times New Roman" w:hAnsi="Calibri" w:cs="Calibri"/>
                <w:color w:val="000000"/>
                <w:sz w:val="20"/>
                <w:szCs w:val="20"/>
                <w:lang w:eastAsia="en-GB"/>
              </w:rPr>
            </w:pPr>
            <w:r w:rsidRPr="000A6869">
              <w:rPr>
                <w:rFonts w:ascii="Calibri" w:eastAsia="Times New Roman" w:hAnsi="Calibri" w:cs="Calibri"/>
                <w:color w:val="000000"/>
                <w:sz w:val="20"/>
                <w:szCs w:val="20"/>
                <w:lang w:eastAsia="en-GB"/>
              </w:rPr>
              <w:t>11.8</w:t>
            </w:r>
          </w:p>
        </w:tc>
      </w:tr>
      <w:tr w:rsidR="009953B6" w:rsidRPr="000A6869" w14:paraId="64454EDD" w14:textId="77777777" w:rsidTr="00237D3A">
        <w:trPr>
          <w:trHeight w:val="278"/>
        </w:trPr>
        <w:tc>
          <w:tcPr>
            <w:tcW w:w="4455" w:type="dxa"/>
            <w:shd w:val="clear" w:color="000000" w:fill="FFFFFF"/>
            <w:vAlign w:val="center"/>
            <w:hideMark/>
          </w:tcPr>
          <w:p w14:paraId="5ED1BF7A" w14:textId="77777777" w:rsidR="009953B6" w:rsidRPr="000A6869" w:rsidRDefault="009953B6" w:rsidP="00DC54F7">
            <w:pPr>
              <w:spacing w:after="0" w:line="240" w:lineRule="auto"/>
              <w:jc w:val="both"/>
              <w:rPr>
                <w:rFonts w:ascii="Calibri" w:eastAsia="Times New Roman" w:hAnsi="Calibri" w:cs="Calibri"/>
                <w:color w:val="000000"/>
                <w:sz w:val="20"/>
                <w:szCs w:val="20"/>
                <w:lang w:eastAsia="en-GB"/>
              </w:rPr>
            </w:pPr>
            <w:r w:rsidRPr="0016658E">
              <w:rPr>
                <w:rFonts w:ascii="Tahoma" w:eastAsia="Times New Roman" w:hAnsi="Tahoma" w:cs="Tahoma"/>
                <w:color w:val="000000"/>
                <w:sz w:val="17"/>
                <w:szCs w:val="17"/>
                <w:lang w:eastAsia="en-GB"/>
              </w:rPr>
              <w:t xml:space="preserve">Vale of Glamorgan </w:t>
            </w:r>
          </w:p>
        </w:tc>
        <w:tc>
          <w:tcPr>
            <w:tcW w:w="4615" w:type="dxa"/>
            <w:shd w:val="clear" w:color="000000" w:fill="FFFFFF"/>
            <w:vAlign w:val="bottom"/>
          </w:tcPr>
          <w:p w14:paraId="2FAB9379" w14:textId="0769EC76" w:rsidR="009953B6" w:rsidRPr="000A6869" w:rsidRDefault="009953B6" w:rsidP="00DC54F7">
            <w:pPr>
              <w:spacing w:after="0" w:line="240" w:lineRule="auto"/>
              <w:jc w:val="both"/>
              <w:rPr>
                <w:rFonts w:ascii="Calibri" w:eastAsia="Times New Roman" w:hAnsi="Calibri" w:cs="Calibri"/>
                <w:color w:val="000000"/>
                <w:sz w:val="20"/>
                <w:szCs w:val="20"/>
                <w:lang w:eastAsia="en-GB"/>
              </w:rPr>
            </w:pPr>
            <w:r w:rsidRPr="000A6869">
              <w:rPr>
                <w:rFonts w:ascii="Calibri" w:eastAsia="Times New Roman" w:hAnsi="Calibri" w:cs="Calibri"/>
                <w:color w:val="000000"/>
                <w:sz w:val="20"/>
                <w:szCs w:val="20"/>
                <w:lang w:eastAsia="en-GB"/>
              </w:rPr>
              <w:t>14.9</w:t>
            </w:r>
          </w:p>
        </w:tc>
      </w:tr>
      <w:tr w:rsidR="009953B6" w:rsidRPr="000A6869" w14:paraId="119033A7" w14:textId="77777777" w:rsidTr="00237D3A">
        <w:trPr>
          <w:trHeight w:val="278"/>
        </w:trPr>
        <w:tc>
          <w:tcPr>
            <w:tcW w:w="4455" w:type="dxa"/>
            <w:shd w:val="clear" w:color="000000" w:fill="F2F2F2"/>
            <w:vAlign w:val="center"/>
            <w:hideMark/>
          </w:tcPr>
          <w:p w14:paraId="51EF602E" w14:textId="77777777" w:rsidR="009953B6" w:rsidRPr="000A6869" w:rsidRDefault="009953B6" w:rsidP="00DC54F7">
            <w:pPr>
              <w:spacing w:after="0" w:line="240" w:lineRule="auto"/>
              <w:jc w:val="both"/>
              <w:rPr>
                <w:rFonts w:ascii="Calibri" w:eastAsia="Times New Roman" w:hAnsi="Calibri" w:cs="Calibri"/>
                <w:color w:val="000000"/>
                <w:sz w:val="20"/>
                <w:szCs w:val="20"/>
                <w:lang w:eastAsia="en-GB"/>
              </w:rPr>
            </w:pPr>
            <w:r w:rsidRPr="0016658E">
              <w:rPr>
                <w:rFonts w:ascii="Tahoma" w:eastAsia="Times New Roman" w:hAnsi="Tahoma" w:cs="Tahoma"/>
                <w:color w:val="000000"/>
                <w:sz w:val="17"/>
                <w:szCs w:val="17"/>
                <w:lang w:eastAsia="en-GB"/>
              </w:rPr>
              <w:t>Cardiff and Vale UHB</w:t>
            </w:r>
          </w:p>
        </w:tc>
        <w:tc>
          <w:tcPr>
            <w:tcW w:w="4615" w:type="dxa"/>
            <w:shd w:val="clear" w:color="000000" w:fill="F2F2F2"/>
            <w:vAlign w:val="bottom"/>
          </w:tcPr>
          <w:p w14:paraId="6749B421" w14:textId="05A12B89" w:rsidR="009953B6" w:rsidRPr="000A6869" w:rsidRDefault="009953B6" w:rsidP="00DC54F7">
            <w:pPr>
              <w:spacing w:after="0" w:line="240" w:lineRule="auto"/>
              <w:jc w:val="both"/>
              <w:rPr>
                <w:rFonts w:ascii="Calibri" w:eastAsia="Times New Roman" w:hAnsi="Calibri" w:cs="Calibri"/>
                <w:color w:val="000000"/>
                <w:sz w:val="20"/>
                <w:szCs w:val="20"/>
                <w:lang w:eastAsia="en-GB"/>
              </w:rPr>
            </w:pPr>
            <w:r w:rsidRPr="000A6869">
              <w:rPr>
                <w:rFonts w:ascii="Calibri" w:eastAsia="Times New Roman" w:hAnsi="Calibri" w:cs="Calibri"/>
                <w:color w:val="000000"/>
                <w:sz w:val="20"/>
                <w:szCs w:val="20"/>
                <w:lang w:eastAsia="en-GB"/>
              </w:rPr>
              <w:t>12.6</w:t>
            </w:r>
          </w:p>
        </w:tc>
      </w:tr>
      <w:tr w:rsidR="009953B6" w:rsidRPr="000A6869" w14:paraId="574BC515" w14:textId="77777777" w:rsidTr="00237D3A">
        <w:trPr>
          <w:trHeight w:val="278"/>
        </w:trPr>
        <w:tc>
          <w:tcPr>
            <w:tcW w:w="4455" w:type="dxa"/>
            <w:shd w:val="clear" w:color="000000" w:fill="FFFFFF"/>
            <w:vAlign w:val="center"/>
            <w:hideMark/>
          </w:tcPr>
          <w:p w14:paraId="641A4317" w14:textId="77777777" w:rsidR="009953B6" w:rsidRPr="000A6869" w:rsidRDefault="009953B6" w:rsidP="00DC54F7">
            <w:pPr>
              <w:spacing w:after="0" w:line="240" w:lineRule="auto"/>
              <w:jc w:val="both"/>
              <w:rPr>
                <w:rFonts w:ascii="Calibri" w:eastAsia="Times New Roman" w:hAnsi="Calibri" w:cs="Calibri"/>
                <w:color w:val="000000"/>
                <w:sz w:val="20"/>
                <w:szCs w:val="20"/>
                <w:lang w:eastAsia="en-GB"/>
              </w:rPr>
            </w:pPr>
            <w:r w:rsidRPr="0016658E">
              <w:rPr>
                <w:rFonts w:ascii="Tahoma" w:eastAsia="Times New Roman" w:hAnsi="Tahoma" w:cs="Tahoma"/>
                <w:color w:val="000000"/>
                <w:sz w:val="17"/>
                <w:szCs w:val="17"/>
                <w:lang w:eastAsia="en-GB"/>
              </w:rPr>
              <w:t xml:space="preserve">Wales </w:t>
            </w:r>
          </w:p>
        </w:tc>
        <w:tc>
          <w:tcPr>
            <w:tcW w:w="4615" w:type="dxa"/>
            <w:shd w:val="clear" w:color="000000" w:fill="FFFFFF"/>
            <w:vAlign w:val="bottom"/>
          </w:tcPr>
          <w:p w14:paraId="5E8CB6C0" w14:textId="130FD0E2" w:rsidR="009953B6" w:rsidRPr="000A6869" w:rsidRDefault="009953B6" w:rsidP="00DC54F7">
            <w:pPr>
              <w:spacing w:after="0" w:line="240" w:lineRule="auto"/>
              <w:jc w:val="both"/>
              <w:rPr>
                <w:rFonts w:ascii="Calibri" w:eastAsia="Times New Roman" w:hAnsi="Calibri" w:cs="Calibri"/>
                <w:color w:val="000000"/>
                <w:sz w:val="20"/>
                <w:szCs w:val="20"/>
                <w:lang w:eastAsia="en-GB"/>
              </w:rPr>
            </w:pPr>
            <w:r w:rsidRPr="000A6869">
              <w:rPr>
                <w:rFonts w:ascii="Calibri" w:eastAsia="Times New Roman" w:hAnsi="Calibri" w:cs="Calibri"/>
                <w:color w:val="000000"/>
                <w:sz w:val="20"/>
                <w:szCs w:val="20"/>
                <w:lang w:eastAsia="en-GB"/>
              </w:rPr>
              <w:t>15.8</w:t>
            </w:r>
          </w:p>
        </w:tc>
      </w:tr>
    </w:tbl>
    <w:p w14:paraId="10D48E99" w14:textId="7097F0C9" w:rsidR="009953B6" w:rsidRPr="00944EB7" w:rsidRDefault="004B2250" w:rsidP="00DC54F7">
      <w:pPr>
        <w:pStyle w:val="NormalWeb"/>
        <w:shd w:val="clear" w:color="auto" w:fill="FFFFFF"/>
        <w:spacing w:before="0" w:beforeAutospacing="0" w:after="0" w:afterAutospacing="0"/>
        <w:jc w:val="both"/>
        <w:rPr>
          <w:rFonts w:ascii="Arial" w:hAnsi="Arial" w:cs="Arial"/>
          <w:sz w:val="20"/>
          <w:szCs w:val="20"/>
        </w:rPr>
      </w:pPr>
      <w:r w:rsidRPr="00944EB7">
        <w:rPr>
          <w:rFonts w:ascii="Arial" w:hAnsi="Arial" w:cs="Arial"/>
          <w:sz w:val="20"/>
          <w:szCs w:val="20"/>
        </w:rPr>
        <w:t>Source: QOF</w:t>
      </w:r>
      <w:r w:rsidR="00421876" w:rsidRPr="00944EB7">
        <w:rPr>
          <w:rFonts w:ascii="Arial" w:hAnsi="Arial" w:cs="Arial"/>
          <w:sz w:val="20"/>
          <w:szCs w:val="20"/>
        </w:rPr>
        <w:t xml:space="preserve"> 2019</w:t>
      </w:r>
    </w:p>
    <w:p w14:paraId="57FD3CEB" w14:textId="77777777" w:rsidR="004B2250" w:rsidRDefault="004B2250" w:rsidP="00DC54F7">
      <w:pPr>
        <w:pStyle w:val="NormalWeb"/>
        <w:shd w:val="clear" w:color="auto" w:fill="FFFFFF"/>
        <w:spacing w:before="0" w:beforeAutospacing="0" w:after="0" w:afterAutospacing="0"/>
        <w:jc w:val="both"/>
        <w:rPr>
          <w:rFonts w:ascii="Arial" w:hAnsi="Arial" w:cs="Arial"/>
          <w:color w:val="0B0C0C"/>
          <w:sz w:val="22"/>
          <w:szCs w:val="22"/>
        </w:rPr>
      </w:pPr>
    </w:p>
    <w:p w14:paraId="19EAB395" w14:textId="77777777" w:rsidR="00B91FAB" w:rsidRDefault="00B91FAB" w:rsidP="00DC54F7">
      <w:pPr>
        <w:pStyle w:val="NormalWeb"/>
        <w:shd w:val="clear" w:color="auto" w:fill="FFFFFF"/>
        <w:spacing w:before="0" w:beforeAutospacing="0" w:after="0" w:afterAutospacing="0"/>
        <w:jc w:val="both"/>
        <w:rPr>
          <w:rFonts w:ascii="Arial" w:hAnsi="Arial" w:cs="Arial"/>
          <w:color w:val="0B0C0C"/>
          <w:sz w:val="22"/>
          <w:szCs w:val="22"/>
          <w:shd w:val="clear" w:color="auto" w:fill="FFFFFF"/>
        </w:rPr>
      </w:pPr>
    </w:p>
    <w:p w14:paraId="62391EF6" w14:textId="7C15CF50" w:rsidR="00181CBE" w:rsidRPr="00944EB7" w:rsidRDefault="00D60F79" w:rsidP="00DC54F7">
      <w:pPr>
        <w:spacing w:after="0" w:line="240" w:lineRule="auto"/>
        <w:jc w:val="both"/>
        <w:rPr>
          <w:rFonts w:ascii="Arial" w:hAnsi="Arial" w:cs="Arial"/>
          <w:b/>
          <w:sz w:val="24"/>
          <w:szCs w:val="24"/>
        </w:rPr>
      </w:pPr>
      <w:r w:rsidRPr="00944EB7">
        <w:rPr>
          <w:rFonts w:ascii="Arial" w:hAnsi="Arial" w:cs="Arial"/>
          <w:b/>
          <w:sz w:val="24"/>
          <w:szCs w:val="24"/>
        </w:rPr>
        <w:t>3.</w:t>
      </w:r>
      <w:r w:rsidR="00E61D85" w:rsidRPr="00944EB7">
        <w:rPr>
          <w:rFonts w:ascii="Arial" w:hAnsi="Arial" w:cs="Arial"/>
          <w:b/>
          <w:sz w:val="24"/>
          <w:szCs w:val="24"/>
        </w:rPr>
        <w:t>2.</w:t>
      </w:r>
      <w:r w:rsidR="00237A36" w:rsidRPr="00944EB7">
        <w:rPr>
          <w:rFonts w:ascii="Arial" w:hAnsi="Arial" w:cs="Arial"/>
          <w:b/>
          <w:sz w:val="24"/>
          <w:szCs w:val="24"/>
        </w:rPr>
        <w:t>3</w:t>
      </w:r>
      <w:r w:rsidR="00E61D85" w:rsidRPr="00944EB7">
        <w:rPr>
          <w:rFonts w:ascii="Arial" w:hAnsi="Arial" w:cs="Arial"/>
          <w:b/>
          <w:sz w:val="24"/>
          <w:szCs w:val="24"/>
        </w:rPr>
        <w:t xml:space="preserve"> </w:t>
      </w:r>
      <w:r w:rsidR="00181CBE" w:rsidRPr="00944EB7">
        <w:rPr>
          <w:rFonts w:ascii="Arial" w:hAnsi="Arial" w:cs="Arial"/>
          <w:b/>
          <w:sz w:val="24"/>
          <w:szCs w:val="24"/>
        </w:rPr>
        <w:t>Diet, Physical Activity and Obesity</w:t>
      </w:r>
    </w:p>
    <w:p w14:paraId="6BBF31E9" w14:textId="20EAAF9B" w:rsidR="0066662C" w:rsidRDefault="0066662C" w:rsidP="00DC54F7">
      <w:pPr>
        <w:spacing w:after="0" w:line="240" w:lineRule="auto"/>
        <w:jc w:val="both"/>
        <w:rPr>
          <w:rFonts w:ascii="Arial" w:hAnsi="Arial" w:cs="Arial"/>
          <w:b/>
          <w:sz w:val="26"/>
          <w:szCs w:val="26"/>
        </w:rPr>
      </w:pPr>
    </w:p>
    <w:p w14:paraId="665F9FCD" w14:textId="41933514" w:rsidR="0066662C" w:rsidRPr="006D6217" w:rsidRDefault="0066662C" w:rsidP="00DC54F7">
      <w:pPr>
        <w:spacing w:after="0" w:line="240" w:lineRule="auto"/>
        <w:jc w:val="both"/>
        <w:rPr>
          <w:rFonts w:ascii="Arial" w:hAnsi="Arial" w:cs="Arial"/>
          <w:b/>
          <w:sz w:val="24"/>
          <w:szCs w:val="24"/>
        </w:rPr>
      </w:pPr>
      <w:r w:rsidRPr="006D6217">
        <w:rPr>
          <w:rFonts w:ascii="Arial" w:hAnsi="Arial" w:cs="Arial"/>
          <w:sz w:val="24"/>
          <w:szCs w:val="24"/>
          <w:shd w:val="clear" w:color="auto" w:fill="FFFFFF"/>
        </w:rPr>
        <w:t>Being overweight or obese increases the risk of a wide range of chronic diseases, principally type 2 diabetes, hypertension, cardiovascular disease including stroke, as well as some types of cancer. It can also impair a person’s well-being, quality of life and ability to earn. Poor diet and a sedentary lifestyle are the main causes of overweight and obesity.</w:t>
      </w:r>
      <w:r w:rsidR="0077125B" w:rsidRPr="006D6217">
        <w:rPr>
          <w:rStyle w:val="FootnoteReference"/>
          <w:rFonts w:ascii="Arial" w:hAnsi="Arial" w:cs="Arial"/>
          <w:sz w:val="24"/>
          <w:szCs w:val="24"/>
          <w:shd w:val="clear" w:color="auto" w:fill="FFFFFF"/>
        </w:rPr>
        <w:footnoteReference w:id="16"/>
      </w:r>
    </w:p>
    <w:p w14:paraId="6D49C40B" w14:textId="3D8671A7" w:rsidR="000118CF" w:rsidRPr="006D6217" w:rsidRDefault="000118CF" w:rsidP="00DC54F7">
      <w:pPr>
        <w:spacing w:after="0" w:line="240" w:lineRule="auto"/>
        <w:jc w:val="both"/>
        <w:rPr>
          <w:rFonts w:ascii="Arial" w:hAnsi="Arial" w:cs="Arial"/>
          <w:b/>
          <w:sz w:val="24"/>
          <w:szCs w:val="24"/>
        </w:rPr>
      </w:pPr>
    </w:p>
    <w:p w14:paraId="18A49693" w14:textId="041DABC6" w:rsidR="000118CF" w:rsidRDefault="00161848" w:rsidP="00DC54F7">
      <w:pPr>
        <w:spacing w:after="0" w:line="240" w:lineRule="auto"/>
        <w:jc w:val="both"/>
        <w:rPr>
          <w:rFonts w:ascii="Arial" w:hAnsi="Arial" w:cs="Arial"/>
          <w:bCs/>
        </w:rPr>
      </w:pPr>
      <w:r w:rsidRPr="00944EB7">
        <w:rPr>
          <w:rFonts w:ascii="Arial" w:hAnsi="Arial" w:cs="Arial"/>
          <w:sz w:val="24"/>
          <w:szCs w:val="24"/>
        </w:rPr>
        <w:t>Based on combined data for 2018 to 2019 and 2019 to 2020</w:t>
      </w:r>
      <w:r w:rsidR="00BC5CBF" w:rsidRPr="00944EB7">
        <w:rPr>
          <w:rFonts w:ascii="Arial" w:hAnsi="Arial" w:cs="Arial"/>
          <w:sz w:val="24"/>
          <w:szCs w:val="24"/>
        </w:rPr>
        <w:t xml:space="preserve"> collected from the National Survey for Wales</w:t>
      </w:r>
      <w:r w:rsidRPr="00944EB7">
        <w:rPr>
          <w:rFonts w:ascii="Arial" w:hAnsi="Arial" w:cs="Arial"/>
          <w:sz w:val="24"/>
          <w:szCs w:val="24"/>
        </w:rPr>
        <w:t xml:space="preserve">, </w:t>
      </w:r>
      <w:r w:rsidR="00181CBE" w:rsidRPr="00944EB7">
        <w:rPr>
          <w:rFonts w:ascii="Arial" w:hAnsi="Arial" w:cs="Arial"/>
          <w:bCs/>
          <w:sz w:val="24"/>
          <w:szCs w:val="24"/>
        </w:rPr>
        <w:t>41.7% of the adult population</w:t>
      </w:r>
      <w:r w:rsidR="00E528F0" w:rsidRPr="00944EB7">
        <w:rPr>
          <w:rFonts w:ascii="Arial" w:hAnsi="Arial" w:cs="Arial"/>
          <w:bCs/>
          <w:sz w:val="24"/>
          <w:szCs w:val="24"/>
        </w:rPr>
        <w:t xml:space="preserve"> in</w:t>
      </w:r>
      <w:r w:rsidR="00181CBE" w:rsidRPr="00944EB7">
        <w:rPr>
          <w:rFonts w:ascii="Arial" w:hAnsi="Arial" w:cs="Arial"/>
          <w:bCs/>
          <w:sz w:val="24"/>
          <w:szCs w:val="24"/>
        </w:rPr>
        <w:t xml:space="preserve"> </w:t>
      </w:r>
      <w:r w:rsidR="00E528F0" w:rsidRPr="00944EB7">
        <w:rPr>
          <w:rFonts w:ascii="Arial" w:hAnsi="Arial" w:cs="Arial"/>
          <w:bCs/>
          <w:sz w:val="24"/>
          <w:szCs w:val="24"/>
        </w:rPr>
        <w:t xml:space="preserve">Cardiff and Vale University Health Board </w:t>
      </w:r>
      <w:r w:rsidR="00181CBE" w:rsidRPr="00944EB7">
        <w:rPr>
          <w:rFonts w:ascii="Arial" w:hAnsi="Arial" w:cs="Arial"/>
          <w:bCs/>
          <w:sz w:val="24"/>
          <w:szCs w:val="24"/>
        </w:rPr>
        <w:t>self-reported that they are of a healthy weight, with a Body Mass Index between 18.5</w:t>
      </w:r>
      <w:r w:rsidR="0003687D" w:rsidRPr="00944EB7">
        <w:rPr>
          <w:rFonts w:ascii="Arial" w:hAnsi="Arial" w:cs="Arial"/>
          <w:bCs/>
          <w:sz w:val="24"/>
          <w:szCs w:val="24"/>
        </w:rPr>
        <w:t>kg/m</w:t>
      </w:r>
      <w:r w:rsidR="0003687D" w:rsidRPr="00944EB7">
        <w:rPr>
          <w:rFonts w:ascii="Arial" w:hAnsi="Arial" w:cs="Arial"/>
          <w:bCs/>
          <w:sz w:val="24"/>
          <w:szCs w:val="24"/>
          <w:vertAlign w:val="superscript"/>
        </w:rPr>
        <w:t>2</w:t>
      </w:r>
      <w:r w:rsidR="00181CBE" w:rsidRPr="00944EB7">
        <w:rPr>
          <w:rFonts w:ascii="Arial" w:hAnsi="Arial" w:cs="Arial"/>
          <w:bCs/>
          <w:sz w:val="24"/>
          <w:szCs w:val="24"/>
        </w:rPr>
        <w:t xml:space="preserve"> and under 25</w:t>
      </w:r>
      <w:r w:rsidR="00F14A6A" w:rsidRPr="00944EB7">
        <w:rPr>
          <w:rFonts w:ascii="Arial" w:hAnsi="Arial" w:cs="Arial"/>
          <w:bCs/>
          <w:sz w:val="24"/>
          <w:szCs w:val="24"/>
        </w:rPr>
        <w:t>kg/m</w:t>
      </w:r>
      <w:r w:rsidR="00F14A6A" w:rsidRPr="00944EB7">
        <w:rPr>
          <w:rFonts w:ascii="Arial" w:hAnsi="Arial" w:cs="Arial"/>
          <w:bCs/>
          <w:sz w:val="24"/>
          <w:szCs w:val="24"/>
          <w:vertAlign w:val="superscript"/>
        </w:rPr>
        <w:t>2</w:t>
      </w:r>
      <w:r w:rsidR="00181CBE" w:rsidRPr="00944EB7">
        <w:rPr>
          <w:rFonts w:ascii="Arial" w:hAnsi="Arial" w:cs="Arial"/>
          <w:bCs/>
          <w:sz w:val="24"/>
          <w:szCs w:val="24"/>
        </w:rPr>
        <w:t>. Only 20.2% reported being obese, which</w:t>
      </w:r>
      <w:r w:rsidR="00AE2887" w:rsidRPr="00944EB7">
        <w:rPr>
          <w:rFonts w:ascii="Arial" w:hAnsi="Arial" w:cs="Arial"/>
          <w:bCs/>
          <w:sz w:val="24"/>
          <w:szCs w:val="24"/>
        </w:rPr>
        <w:t xml:space="preserve"> wa</w:t>
      </w:r>
      <w:r w:rsidR="00181CBE" w:rsidRPr="00944EB7">
        <w:rPr>
          <w:rFonts w:ascii="Arial" w:hAnsi="Arial" w:cs="Arial"/>
          <w:bCs/>
          <w:sz w:val="24"/>
          <w:szCs w:val="24"/>
        </w:rPr>
        <w:t xml:space="preserve">s the </w:t>
      </w:r>
      <w:r w:rsidR="00B7450D" w:rsidRPr="00944EB7">
        <w:rPr>
          <w:rFonts w:ascii="Arial" w:hAnsi="Arial" w:cs="Arial"/>
          <w:bCs/>
          <w:sz w:val="24"/>
          <w:szCs w:val="24"/>
        </w:rPr>
        <w:t xml:space="preserve">second </w:t>
      </w:r>
      <w:r w:rsidR="00181CBE" w:rsidRPr="00944EB7">
        <w:rPr>
          <w:rFonts w:ascii="Arial" w:hAnsi="Arial" w:cs="Arial"/>
          <w:bCs/>
          <w:sz w:val="24"/>
          <w:szCs w:val="24"/>
        </w:rPr>
        <w:t xml:space="preserve">lowest of all the health boards and was significantly lower </w:t>
      </w:r>
      <w:r w:rsidR="00F95718" w:rsidRPr="00944EB7">
        <w:rPr>
          <w:rFonts w:ascii="Arial" w:hAnsi="Arial" w:cs="Arial"/>
          <w:bCs/>
          <w:sz w:val="24"/>
          <w:szCs w:val="24"/>
        </w:rPr>
        <w:t>than the average for Wales</w:t>
      </w:r>
      <w:r w:rsidR="00181CBE" w:rsidRPr="00944EB7">
        <w:rPr>
          <w:rFonts w:ascii="Arial" w:hAnsi="Arial" w:cs="Arial"/>
          <w:bCs/>
          <w:sz w:val="24"/>
          <w:szCs w:val="24"/>
        </w:rPr>
        <w:t xml:space="preserve"> (24.1%). At the </w:t>
      </w:r>
      <w:r w:rsidR="00567F4B" w:rsidRPr="00944EB7">
        <w:rPr>
          <w:rFonts w:ascii="Arial" w:hAnsi="Arial" w:cs="Arial"/>
          <w:bCs/>
          <w:sz w:val="24"/>
          <w:szCs w:val="24"/>
        </w:rPr>
        <w:t>local</w:t>
      </w:r>
      <w:r w:rsidR="00181CBE" w:rsidRPr="00944EB7">
        <w:rPr>
          <w:rFonts w:ascii="Arial" w:hAnsi="Arial" w:cs="Arial"/>
          <w:bCs/>
          <w:sz w:val="24"/>
          <w:szCs w:val="24"/>
        </w:rPr>
        <w:t xml:space="preserve"> authority level, Cardiff ha</w:t>
      </w:r>
      <w:r w:rsidR="007A0CC3" w:rsidRPr="00944EB7">
        <w:rPr>
          <w:rFonts w:ascii="Arial" w:hAnsi="Arial" w:cs="Arial"/>
          <w:bCs/>
          <w:sz w:val="24"/>
          <w:szCs w:val="24"/>
        </w:rPr>
        <w:t>s</w:t>
      </w:r>
      <w:r w:rsidR="00181CBE" w:rsidRPr="00944EB7">
        <w:rPr>
          <w:rFonts w:ascii="Arial" w:hAnsi="Arial" w:cs="Arial"/>
          <w:bCs/>
          <w:sz w:val="24"/>
          <w:szCs w:val="24"/>
        </w:rPr>
        <w:t xml:space="preserve"> the second highest </w:t>
      </w:r>
      <w:r w:rsidR="00EC7077" w:rsidRPr="00944EB7">
        <w:rPr>
          <w:rFonts w:ascii="Arial" w:hAnsi="Arial" w:cs="Arial"/>
          <w:bCs/>
          <w:sz w:val="24"/>
          <w:szCs w:val="24"/>
        </w:rPr>
        <w:t>propor</w:t>
      </w:r>
      <w:r w:rsidR="00465927" w:rsidRPr="00944EB7">
        <w:rPr>
          <w:rFonts w:ascii="Arial" w:hAnsi="Arial" w:cs="Arial"/>
          <w:bCs/>
          <w:sz w:val="24"/>
          <w:szCs w:val="24"/>
        </w:rPr>
        <w:t>tion</w:t>
      </w:r>
      <w:r w:rsidR="00181CBE" w:rsidRPr="00944EB7">
        <w:rPr>
          <w:rFonts w:ascii="Arial" w:hAnsi="Arial" w:cs="Arial"/>
          <w:bCs/>
          <w:sz w:val="24"/>
          <w:szCs w:val="24"/>
        </w:rPr>
        <w:t xml:space="preserve"> of people reporting to be of a healthy weight (43.2%), which </w:t>
      </w:r>
      <w:r w:rsidR="00541076" w:rsidRPr="00944EB7">
        <w:rPr>
          <w:rFonts w:ascii="Arial" w:hAnsi="Arial" w:cs="Arial"/>
          <w:bCs/>
          <w:sz w:val="24"/>
          <w:szCs w:val="24"/>
        </w:rPr>
        <w:t>is</w:t>
      </w:r>
      <w:r w:rsidR="00181CBE" w:rsidRPr="00944EB7">
        <w:rPr>
          <w:rFonts w:ascii="Arial" w:hAnsi="Arial" w:cs="Arial"/>
          <w:bCs/>
          <w:sz w:val="24"/>
          <w:szCs w:val="24"/>
        </w:rPr>
        <w:t xml:space="preserve"> significantly higher </w:t>
      </w:r>
      <w:r w:rsidR="00F95718" w:rsidRPr="00944EB7">
        <w:rPr>
          <w:rFonts w:ascii="Arial" w:hAnsi="Arial" w:cs="Arial"/>
          <w:bCs/>
          <w:sz w:val="24"/>
          <w:szCs w:val="24"/>
        </w:rPr>
        <w:t>than the average for Wales</w:t>
      </w:r>
      <w:r w:rsidR="00181CBE" w:rsidRPr="00944EB7">
        <w:rPr>
          <w:rFonts w:ascii="Arial" w:hAnsi="Arial" w:cs="Arial"/>
          <w:bCs/>
          <w:sz w:val="24"/>
          <w:szCs w:val="24"/>
        </w:rPr>
        <w:t>. It also ha</w:t>
      </w:r>
      <w:r w:rsidR="00541076" w:rsidRPr="00944EB7">
        <w:rPr>
          <w:rFonts w:ascii="Arial" w:hAnsi="Arial" w:cs="Arial"/>
          <w:bCs/>
          <w:sz w:val="24"/>
          <w:szCs w:val="24"/>
        </w:rPr>
        <w:t>s</w:t>
      </w:r>
      <w:r w:rsidR="00181CBE" w:rsidRPr="00944EB7">
        <w:rPr>
          <w:rFonts w:ascii="Arial" w:hAnsi="Arial" w:cs="Arial"/>
          <w:bCs/>
          <w:sz w:val="24"/>
          <w:szCs w:val="24"/>
        </w:rPr>
        <w:t xml:space="preserve"> the second lowest </w:t>
      </w:r>
      <w:r w:rsidR="00465927" w:rsidRPr="00944EB7">
        <w:rPr>
          <w:rFonts w:ascii="Arial" w:hAnsi="Arial" w:cs="Arial"/>
          <w:bCs/>
          <w:sz w:val="24"/>
          <w:szCs w:val="24"/>
        </w:rPr>
        <w:t>proportion</w:t>
      </w:r>
      <w:r w:rsidR="00181CBE" w:rsidRPr="00944EB7">
        <w:rPr>
          <w:rFonts w:ascii="Arial" w:hAnsi="Arial" w:cs="Arial"/>
          <w:bCs/>
          <w:sz w:val="24"/>
          <w:szCs w:val="24"/>
        </w:rPr>
        <w:t xml:space="preserve"> of people reporting to be obese (18.4%)</w:t>
      </w:r>
      <w:r w:rsidR="00BA7163" w:rsidRPr="00944EB7">
        <w:rPr>
          <w:rFonts w:ascii="Arial" w:hAnsi="Arial" w:cs="Arial"/>
          <w:bCs/>
          <w:sz w:val="24"/>
          <w:szCs w:val="24"/>
        </w:rPr>
        <w:t xml:space="preserve">, which </w:t>
      </w:r>
      <w:r w:rsidR="00AE2887" w:rsidRPr="00944EB7">
        <w:rPr>
          <w:rFonts w:ascii="Arial" w:hAnsi="Arial" w:cs="Arial"/>
          <w:bCs/>
          <w:sz w:val="24"/>
          <w:szCs w:val="24"/>
        </w:rPr>
        <w:t>was</w:t>
      </w:r>
      <w:r w:rsidR="00181CBE" w:rsidRPr="00944EB7">
        <w:rPr>
          <w:rFonts w:ascii="Arial" w:hAnsi="Arial" w:cs="Arial"/>
          <w:bCs/>
          <w:sz w:val="24"/>
          <w:szCs w:val="24"/>
        </w:rPr>
        <w:t xml:space="preserve"> </w:t>
      </w:r>
      <w:r w:rsidR="0021344E" w:rsidRPr="00944EB7">
        <w:rPr>
          <w:rFonts w:ascii="Arial" w:hAnsi="Arial" w:cs="Arial"/>
          <w:bCs/>
          <w:sz w:val="24"/>
          <w:szCs w:val="24"/>
        </w:rPr>
        <w:t xml:space="preserve">also </w:t>
      </w:r>
      <w:r w:rsidR="00181CBE" w:rsidRPr="00944EB7">
        <w:rPr>
          <w:rFonts w:ascii="Arial" w:hAnsi="Arial" w:cs="Arial"/>
          <w:bCs/>
          <w:sz w:val="24"/>
          <w:szCs w:val="24"/>
        </w:rPr>
        <w:t xml:space="preserve">significantly lower </w:t>
      </w:r>
      <w:r w:rsidR="00F95718" w:rsidRPr="00944EB7">
        <w:rPr>
          <w:rFonts w:ascii="Arial" w:hAnsi="Arial" w:cs="Arial"/>
          <w:bCs/>
          <w:sz w:val="24"/>
          <w:szCs w:val="24"/>
        </w:rPr>
        <w:t>than the average for Wales</w:t>
      </w:r>
      <w:r w:rsidR="00181CBE" w:rsidRPr="00944EB7">
        <w:rPr>
          <w:rFonts w:ascii="Arial" w:hAnsi="Arial" w:cs="Arial"/>
          <w:bCs/>
          <w:sz w:val="24"/>
          <w:szCs w:val="24"/>
        </w:rPr>
        <w:t>. The Vale of Glamorgan ha</w:t>
      </w:r>
      <w:r w:rsidR="004E0FDC" w:rsidRPr="00944EB7">
        <w:rPr>
          <w:rFonts w:ascii="Arial" w:hAnsi="Arial" w:cs="Arial"/>
          <w:bCs/>
          <w:sz w:val="24"/>
          <w:szCs w:val="24"/>
        </w:rPr>
        <w:t>s</w:t>
      </w:r>
      <w:r w:rsidR="00181CBE" w:rsidRPr="00944EB7">
        <w:rPr>
          <w:rFonts w:ascii="Arial" w:hAnsi="Arial" w:cs="Arial"/>
          <w:bCs/>
          <w:sz w:val="24"/>
          <w:szCs w:val="24"/>
        </w:rPr>
        <w:t xml:space="preserve"> a higher proportion of its population self-reporting to be obese (25.6%) and a lower proportion reporting to have a healthy weight (36.5%) compared to </w:t>
      </w:r>
      <w:r w:rsidR="00525F93" w:rsidRPr="00944EB7">
        <w:rPr>
          <w:rFonts w:ascii="Arial" w:hAnsi="Arial" w:cs="Arial"/>
          <w:bCs/>
          <w:sz w:val="24"/>
          <w:szCs w:val="24"/>
        </w:rPr>
        <w:t xml:space="preserve">the average for </w:t>
      </w:r>
      <w:r w:rsidR="00181CBE" w:rsidRPr="00944EB7">
        <w:rPr>
          <w:rFonts w:ascii="Arial" w:hAnsi="Arial" w:cs="Arial"/>
          <w:bCs/>
          <w:sz w:val="24"/>
          <w:szCs w:val="24"/>
        </w:rPr>
        <w:t>Wales</w:t>
      </w:r>
      <w:r w:rsidR="00181CBE" w:rsidRPr="00DF6105">
        <w:rPr>
          <w:rFonts w:ascii="Arial" w:hAnsi="Arial" w:cs="Arial"/>
          <w:bCs/>
        </w:rPr>
        <w:t xml:space="preserve">. </w:t>
      </w:r>
    </w:p>
    <w:p w14:paraId="01537AF6" w14:textId="7AA0F366" w:rsidR="00944EB7" w:rsidRDefault="00944EB7" w:rsidP="00DC54F7">
      <w:pPr>
        <w:spacing w:after="0" w:line="240" w:lineRule="auto"/>
        <w:jc w:val="both"/>
        <w:rPr>
          <w:rFonts w:ascii="Arial" w:hAnsi="Arial" w:cs="Arial"/>
          <w:bCs/>
        </w:rPr>
      </w:pPr>
    </w:p>
    <w:p w14:paraId="5F313295" w14:textId="7D6E72A4" w:rsidR="00944EB7" w:rsidRDefault="00944EB7" w:rsidP="00DC54F7">
      <w:pPr>
        <w:jc w:val="both"/>
        <w:rPr>
          <w:rFonts w:ascii="Arial" w:hAnsi="Arial" w:cs="Arial"/>
          <w:bCs/>
        </w:rPr>
      </w:pPr>
      <w:r>
        <w:rPr>
          <w:rFonts w:ascii="Arial" w:hAnsi="Arial" w:cs="Arial"/>
          <w:bCs/>
        </w:rPr>
        <w:br w:type="page"/>
      </w:r>
    </w:p>
    <w:p w14:paraId="36A7A13C" w14:textId="51AFF194" w:rsidR="00E25065" w:rsidRPr="00944EB7" w:rsidRDefault="00793936" w:rsidP="00DC54F7">
      <w:pPr>
        <w:pStyle w:val="Caption"/>
        <w:spacing w:before="0" w:after="0"/>
        <w:jc w:val="both"/>
        <w:rPr>
          <w:rFonts w:ascii="Arial" w:hAnsi="Arial" w:cs="Arial"/>
          <w:szCs w:val="24"/>
        </w:rPr>
      </w:pPr>
      <w:r w:rsidRPr="00944EB7">
        <w:rPr>
          <w:rFonts w:ascii="Arial" w:hAnsi="Arial" w:cs="Arial"/>
          <w:szCs w:val="24"/>
        </w:rPr>
        <w:lastRenderedPageBreak/>
        <w:t>Table</w:t>
      </w:r>
      <w:r w:rsidR="00F22702" w:rsidRPr="00944EB7">
        <w:rPr>
          <w:rFonts w:ascii="Arial" w:hAnsi="Arial" w:cs="Arial"/>
          <w:szCs w:val="24"/>
        </w:rPr>
        <w:t xml:space="preserve"> 3.9</w:t>
      </w:r>
      <w:r w:rsidRPr="00944EB7">
        <w:rPr>
          <w:rFonts w:ascii="Arial" w:hAnsi="Arial" w:cs="Arial"/>
          <w:szCs w:val="24"/>
        </w:rPr>
        <w:t xml:space="preserve">: </w:t>
      </w:r>
      <w:r w:rsidR="006B7AD3" w:rsidRPr="00944EB7">
        <w:rPr>
          <w:rFonts w:ascii="Arial" w:hAnsi="Arial" w:cs="Arial"/>
          <w:szCs w:val="24"/>
        </w:rPr>
        <w:t>Percentage of adults (aged 16 years and over) reporting</w:t>
      </w:r>
      <w:r w:rsidR="00AA3D72" w:rsidRPr="00944EB7">
        <w:rPr>
          <w:rFonts w:ascii="Arial" w:hAnsi="Arial" w:cs="Arial"/>
          <w:szCs w:val="24"/>
        </w:rPr>
        <w:t xml:space="preserve"> </w:t>
      </w:r>
      <w:r w:rsidR="00F86CA9" w:rsidRPr="00944EB7">
        <w:rPr>
          <w:rFonts w:ascii="Arial" w:hAnsi="Arial" w:cs="Arial"/>
          <w:szCs w:val="24"/>
        </w:rPr>
        <w:t xml:space="preserve">lifestyle </w:t>
      </w:r>
      <w:r w:rsidR="006B7AD3" w:rsidRPr="00944EB7">
        <w:rPr>
          <w:rFonts w:ascii="Arial" w:hAnsi="Arial" w:cs="Arial"/>
          <w:szCs w:val="24"/>
        </w:rPr>
        <w:t>behaviours</w:t>
      </w:r>
      <w:r w:rsidR="00AA3D72" w:rsidRPr="00944EB7">
        <w:rPr>
          <w:rFonts w:ascii="Arial" w:hAnsi="Arial" w:cs="Arial"/>
          <w:szCs w:val="24"/>
        </w:rPr>
        <w:t xml:space="preserve"> by </w:t>
      </w:r>
      <w:r w:rsidR="00567F4B" w:rsidRPr="00944EB7">
        <w:rPr>
          <w:rFonts w:ascii="Arial" w:hAnsi="Arial" w:cs="Arial"/>
          <w:szCs w:val="24"/>
        </w:rPr>
        <w:t>local</w:t>
      </w:r>
      <w:r w:rsidR="00AA3D72" w:rsidRPr="00944EB7">
        <w:rPr>
          <w:rFonts w:ascii="Arial" w:hAnsi="Arial" w:cs="Arial"/>
          <w:szCs w:val="24"/>
        </w:rPr>
        <w:t xml:space="preserve"> authority</w:t>
      </w:r>
      <w:r w:rsidR="006B7AD3" w:rsidRPr="00944EB7">
        <w:rPr>
          <w:rFonts w:ascii="Arial" w:hAnsi="Arial" w:cs="Arial"/>
          <w:szCs w:val="24"/>
        </w:rPr>
        <w:t>,</w:t>
      </w:r>
      <w:r w:rsidR="005868EA" w:rsidRPr="00944EB7">
        <w:rPr>
          <w:rFonts w:ascii="Arial" w:hAnsi="Arial" w:cs="Arial"/>
          <w:szCs w:val="24"/>
        </w:rPr>
        <w:t xml:space="preserve"> health board and </w:t>
      </w:r>
      <w:r w:rsidR="006B7AD3" w:rsidRPr="00944EB7">
        <w:rPr>
          <w:rFonts w:ascii="Arial" w:hAnsi="Arial" w:cs="Arial"/>
          <w:szCs w:val="24"/>
        </w:rPr>
        <w:t>Wales, 2018</w:t>
      </w:r>
      <w:r w:rsidR="00FF3545" w:rsidRPr="00944EB7">
        <w:rPr>
          <w:rFonts w:ascii="Arial" w:hAnsi="Arial" w:cs="Arial"/>
          <w:szCs w:val="24"/>
        </w:rPr>
        <w:t xml:space="preserve"> to 20</w:t>
      </w:r>
      <w:r w:rsidR="006B7AD3" w:rsidRPr="00944EB7">
        <w:rPr>
          <w:rFonts w:ascii="Arial" w:hAnsi="Arial" w:cs="Arial"/>
          <w:szCs w:val="24"/>
        </w:rPr>
        <w:t xml:space="preserve">19 </w:t>
      </w:r>
      <w:r w:rsidR="00FF3545" w:rsidRPr="00944EB7">
        <w:rPr>
          <w:rFonts w:ascii="Arial" w:hAnsi="Arial" w:cs="Arial"/>
          <w:szCs w:val="24"/>
        </w:rPr>
        <w:t xml:space="preserve">and </w:t>
      </w:r>
      <w:r w:rsidR="006B7AD3" w:rsidRPr="00944EB7">
        <w:rPr>
          <w:rFonts w:ascii="Arial" w:hAnsi="Arial" w:cs="Arial"/>
          <w:szCs w:val="24"/>
        </w:rPr>
        <w:t>2019</w:t>
      </w:r>
      <w:r w:rsidR="00FF3545" w:rsidRPr="00944EB7">
        <w:rPr>
          <w:rFonts w:ascii="Arial" w:hAnsi="Arial" w:cs="Arial"/>
          <w:szCs w:val="24"/>
        </w:rPr>
        <w:t xml:space="preserve"> to 20</w:t>
      </w:r>
      <w:r w:rsidR="006B7AD3" w:rsidRPr="00944EB7">
        <w:rPr>
          <w:rFonts w:ascii="Arial" w:hAnsi="Arial" w:cs="Arial"/>
          <w:szCs w:val="24"/>
        </w:rPr>
        <w:t>20</w:t>
      </w:r>
    </w:p>
    <w:tbl>
      <w:tblPr>
        <w:tblW w:w="9175"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623"/>
        <w:gridCol w:w="1078"/>
        <w:gridCol w:w="1079"/>
        <w:gridCol w:w="359"/>
        <w:gridCol w:w="720"/>
        <w:gridCol w:w="1078"/>
        <w:gridCol w:w="719"/>
        <w:gridCol w:w="360"/>
        <w:gridCol w:w="1079"/>
        <w:gridCol w:w="1080"/>
      </w:tblGrid>
      <w:tr w:rsidR="00F54AC0" w:rsidRPr="00F54AC0" w14:paraId="0EC526FC" w14:textId="77777777" w:rsidTr="00237D3A">
        <w:trPr>
          <w:trHeight w:val="255"/>
        </w:trPr>
        <w:tc>
          <w:tcPr>
            <w:tcW w:w="1623" w:type="dxa"/>
            <w:shd w:val="clear" w:color="000000" w:fill="8497B0"/>
            <w:noWrap/>
            <w:vAlign w:val="bottom"/>
            <w:hideMark/>
          </w:tcPr>
          <w:p w14:paraId="69F8A9ED" w14:textId="77777777" w:rsidR="00F54AC0" w:rsidRPr="00F54AC0" w:rsidRDefault="00F54AC0" w:rsidP="00DC54F7">
            <w:pPr>
              <w:spacing w:after="0" w:line="240" w:lineRule="auto"/>
              <w:jc w:val="both"/>
              <w:rPr>
                <w:rFonts w:ascii="Calibri" w:eastAsia="Times New Roman" w:hAnsi="Calibri" w:cs="Calibri"/>
                <w:color w:val="000000"/>
                <w:lang w:eastAsia="en-GB"/>
              </w:rPr>
            </w:pPr>
            <w:r w:rsidRPr="00F54AC0">
              <w:rPr>
                <w:rFonts w:ascii="Calibri" w:eastAsia="Times New Roman" w:hAnsi="Calibri" w:cs="Calibri"/>
                <w:color w:val="000000"/>
                <w:lang w:eastAsia="en-GB"/>
              </w:rPr>
              <w:t> </w:t>
            </w:r>
          </w:p>
        </w:tc>
        <w:tc>
          <w:tcPr>
            <w:tcW w:w="7552" w:type="dxa"/>
            <w:gridSpan w:val="9"/>
            <w:shd w:val="clear" w:color="000000" w:fill="8497B0"/>
            <w:noWrap/>
            <w:vAlign w:val="bottom"/>
            <w:hideMark/>
          </w:tcPr>
          <w:p w14:paraId="039BE5A2" w14:textId="77777777" w:rsidR="00F54AC0" w:rsidRPr="00F54AC0" w:rsidRDefault="00F54AC0" w:rsidP="00DC54F7">
            <w:pPr>
              <w:spacing w:after="0" w:line="240" w:lineRule="auto"/>
              <w:jc w:val="both"/>
              <w:rPr>
                <w:rFonts w:ascii="Calibri" w:eastAsia="Times New Roman" w:hAnsi="Calibri" w:cs="Calibri"/>
                <w:b/>
                <w:bCs/>
                <w:color w:val="FFFFFF"/>
                <w:lang w:eastAsia="en-GB"/>
              </w:rPr>
            </w:pPr>
            <w:r w:rsidRPr="00F54AC0">
              <w:rPr>
                <w:rFonts w:ascii="Calibri" w:eastAsia="Times New Roman" w:hAnsi="Calibri" w:cs="Calibri"/>
                <w:b/>
                <w:bCs/>
                <w:color w:val="FFFFFF"/>
                <w:lang w:eastAsia="en-GB"/>
              </w:rPr>
              <w:t>Percentage</w:t>
            </w:r>
          </w:p>
        </w:tc>
      </w:tr>
      <w:tr w:rsidR="00FF3545" w:rsidRPr="00F54AC0" w14:paraId="35A958F0" w14:textId="77777777" w:rsidTr="00237D3A">
        <w:trPr>
          <w:trHeight w:val="255"/>
        </w:trPr>
        <w:tc>
          <w:tcPr>
            <w:tcW w:w="1623" w:type="dxa"/>
            <w:shd w:val="clear" w:color="000000" w:fill="8497B0"/>
            <w:noWrap/>
            <w:vAlign w:val="center"/>
            <w:hideMark/>
          </w:tcPr>
          <w:p w14:paraId="3C754EB0" w14:textId="77777777" w:rsidR="00F54AC0" w:rsidRPr="00F54AC0" w:rsidRDefault="00F54AC0" w:rsidP="00DC54F7">
            <w:pPr>
              <w:spacing w:after="0" w:line="240" w:lineRule="auto"/>
              <w:jc w:val="both"/>
              <w:rPr>
                <w:rFonts w:ascii="Arial" w:eastAsia="Times New Roman" w:hAnsi="Arial" w:cs="Arial"/>
                <w:b/>
                <w:bCs/>
                <w:color w:val="FFFFFF"/>
                <w:sz w:val="20"/>
                <w:szCs w:val="20"/>
                <w:lang w:eastAsia="en-GB"/>
              </w:rPr>
            </w:pPr>
            <w:r w:rsidRPr="00F54AC0">
              <w:rPr>
                <w:rFonts w:ascii="Arial" w:eastAsia="Times New Roman" w:hAnsi="Arial" w:cs="Arial"/>
                <w:b/>
                <w:bCs/>
                <w:color w:val="FFFFFF"/>
                <w:sz w:val="20"/>
                <w:szCs w:val="20"/>
                <w:lang w:eastAsia="en-GB"/>
              </w:rPr>
              <w:t> </w:t>
            </w:r>
          </w:p>
        </w:tc>
        <w:tc>
          <w:tcPr>
            <w:tcW w:w="2516" w:type="dxa"/>
            <w:gridSpan w:val="3"/>
            <w:shd w:val="clear" w:color="000000" w:fill="8497B0"/>
            <w:vAlign w:val="bottom"/>
            <w:hideMark/>
          </w:tcPr>
          <w:p w14:paraId="7B58982A" w14:textId="29223062" w:rsidR="0099240A" w:rsidRPr="00F54AC0" w:rsidRDefault="00F54AC0" w:rsidP="00DC54F7">
            <w:pPr>
              <w:spacing w:after="0" w:line="240" w:lineRule="auto"/>
              <w:jc w:val="both"/>
              <w:rPr>
                <w:rFonts w:ascii="Arial" w:eastAsia="Times New Roman" w:hAnsi="Arial" w:cs="Arial"/>
                <w:b/>
                <w:bCs/>
                <w:color w:val="FFFFFF"/>
                <w:sz w:val="18"/>
                <w:szCs w:val="18"/>
                <w:lang w:eastAsia="en-GB"/>
              </w:rPr>
            </w:pPr>
            <w:r w:rsidRPr="00F54AC0">
              <w:rPr>
                <w:rFonts w:ascii="Arial" w:eastAsia="Times New Roman" w:hAnsi="Arial" w:cs="Arial"/>
                <w:b/>
                <w:bCs/>
                <w:color w:val="FFFFFF"/>
                <w:sz w:val="18"/>
                <w:szCs w:val="18"/>
                <w:lang w:eastAsia="en-GB"/>
              </w:rPr>
              <w:t>Fruit &amp; vegetable</w:t>
            </w:r>
          </w:p>
        </w:tc>
        <w:tc>
          <w:tcPr>
            <w:tcW w:w="2517" w:type="dxa"/>
            <w:gridSpan w:val="3"/>
            <w:shd w:val="clear" w:color="000000" w:fill="8497B0"/>
            <w:vAlign w:val="bottom"/>
            <w:hideMark/>
          </w:tcPr>
          <w:p w14:paraId="10D2887C" w14:textId="77777777" w:rsidR="00F54AC0" w:rsidRPr="00F54AC0" w:rsidRDefault="00F54AC0" w:rsidP="00DC54F7">
            <w:pPr>
              <w:spacing w:after="0" w:line="240" w:lineRule="auto"/>
              <w:jc w:val="both"/>
              <w:rPr>
                <w:rFonts w:ascii="Arial" w:eastAsia="Times New Roman" w:hAnsi="Arial" w:cs="Arial"/>
                <w:b/>
                <w:bCs/>
                <w:color w:val="FFFFFF"/>
                <w:sz w:val="18"/>
                <w:szCs w:val="18"/>
                <w:lang w:eastAsia="en-GB"/>
              </w:rPr>
            </w:pPr>
            <w:r w:rsidRPr="00F54AC0">
              <w:rPr>
                <w:rFonts w:ascii="Arial" w:eastAsia="Times New Roman" w:hAnsi="Arial" w:cs="Arial"/>
                <w:b/>
                <w:bCs/>
                <w:color w:val="FFFFFF"/>
                <w:sz w:val="18"/>
                <w:szCs w:val="18"/>
                <w:lang w:eastAsia="en-GB"/>
              </w:rPr>
              <w:t>Physical activity</w:t>
            </w:r>
          </w:p>
        </w:tc>
        <w:tc>
          <w:tcPr>
            <w:tcW w:w="2517" w:type="dxa"/>
            <w:gridSpan w:val="3"/>
            <w:shd w:val="clear" w:color="000000" w:fill="8497B0"/>
            <w:vAlign w:val="bottom"/>
            <w:hideMark/>
          </w:tcPr>
          <w:p w14:paraId="77CAAF05" w14:textId="77777777" w:rsidR="00F54AC0" w:rsidRPr="00F54AC0" w:rsidRDefault="00F54AC0" w:rsidP="00DC54F7">
            <w:pPr>
              <w:spacing w:after="0" w:line="240" w:lineRule="auto"/>
              <w:jc w:val="both"/>
              <w:rPr>
                <w:rFonts w:ascii="Arial" w:eastAsia="Times New Roman" w:hAnsi="Arial" w:cs="Arial"/>
                <w:b/>
                <w:bCs/>
                <w:color w:val="FFFFFF"/>
                <w:sz w:val="18"/>
                <w:szCs w:val="18"/>
                <w:lang w:eastAsia="en-GB"/>
              </w:rPr>
            </w:pPr>
            <w:r w:rsidRPr="00F54AC0">
              <w:rPr>
                <w:rFonts w:ascii="Arial" w:eastAsia="Times New Roman" w:hAnsi="Arial" w:cs="Arial"/>
                <w:b/>
                <w:bCs/>
                <w:color w:val="FFFFFF"/>
                <w:sz w:val="18"/>
                <w:szCs w:val="18"/>
                <w:lang w:eastAsia="en-GB"/>
              </w:rPr>
              <w:t>Body mass index (kg/m2)</w:t>
            </w:r>
          </w:p>
        </w:tc>
      </w:tr>
      <w:tr w:rsidR="00FF3545" w:rsidRPr="00F54AC0" w14:paraId="102E7584" w14:textId="77777777" w:rsidTr="00237D3A">
        <w:trPr>
          <w:trHeight w:val="457"/>
        </w:trPr>
        <w:tc>
          <w:tcPr>
            <w:tcW w:w="1623" w:type="dxa"/>
            <w:shd w:val="clear" w:color="000000" w:fill="8497B0"/>
            <w:noWrap/>
            <w:vAlign w:val="center"/>
            <w:hideMark/>
          </w:tcPr>
          <w:p w14:paraId="3CC5CE6C" w14:textId="77777777" w:rsidR="00F54AC0" w:rsidRPr="00F54AC0" w:rsidRDefault="00F54AC0" w:rsidP="00DC54F7">
            <w:pPr>
              <w:spacing w:after="0" w:line="240" w:lineRule="auto"/>
              <w:jc w:val="both"/>
              <w:rPr>
                <w:rFonts w:ascii="Arial" w:eastAsia="Times New Roman" w:hAnsi="Arial" w:cs="Arial"/>
                <w:b/>
                <w:bCs/>
                <w:color w:val="FFFFFF"/>
                <w:sz w:val="20"/>
                <w:szCs w:val="20"/>
                <w:lang w:eastAsia="en-GB"/>
              </w:rPr>
            </w:pPr>
            <w:r w:rsidRPr="00F54AC0">
              <w:rPr>
                <w:rFonts w:ascii="Arial" w:eastAsia="Times New Roman" w:hAnsi="Arial" w:cs="Arial"/>
                <w:b/>
                <w:bCs/>
                <w:color w:val="FFFFFF"/>
                <w:sz w:val="20"/>
                <w:szCs w:val="20"/>
                <w:lang w:eastAsia="en-GB"/>
              </w:rPr>
              <w:t>Area</w:t>
            </w:r>
          </w:p>
        </w:tc>
        <w:tc>
          <w:tcPr>
            <w:tcW w:w="1078" w:type="dxa"/>
            <w:shd w:val="clear" w:color="000000" w:fill="8497B0"/>
            <w:vAlign w:val="center"/>
            <w:hideMark/>
          </w:tcPr>
          <w:p w14:paraId="0B8CD9E8" w14:textId="638B346A" w:rsidR="00F54AC0" w:rsidRPr="00F54AC0" w:rsidRDefault="00FF3545" w:rsidP="00DC54F7">
            <w:pPr>
              <w:spacing w:after="0" w:line="240" w:lineRule="auto"/>
              <w:jc w:val="both"/>
              <w:rPr>
                <w:rFonts w:ascii="Arial" w:eastAsia="Times New Roman" w:hAnsi="Arial" w:cs="Arial"/>
                <w:b/>
                <w:bCs/>
                <w:color w:val="FFFFFF"/>
                <w:sz w:val="18"/>
                <w:szCs w:val="18"/>
                <w:lang w:eastAsia="en-GB"/>
              </w:rPr>
            </w:pPr>
            <w:r w:rsidRPr="00FF3545">
              <w:rPr>
                <w:rFonts w:ascii="Arial" w:eastAsia="Times New Roman" w:hAnsi="Arial" w:cs="Arial"/>
                <w:b/>
                <w:bCs/>
                <w:color w:val="FFFFFF"/>
                <w:sz w:val="18"/>
                <w:szCs w:val="18"/>
                <w:lang w:eastAsia="en-GB"/>
              </w:rPr>
              <w:t>None</w:t>
            </w:r>
          </w:p>
        </w:tc>
        <w:tc>
          <w:tcPr>
            <w:tcW w:w="1079" w:type="dxa"/>
            <w:shd w:val="clear" w:color="000000" w:fill="8497B0"/>
            <w:vAlign w:val="center"/>
            <w:hideMark/>
          </w:tcPr>
          <w:p w14:paraId="35905680" w14:textId="34F2552D" w:rsidR="00F54AC0" w:rsidRPr="00F54AC0" w:rsidRDefault="00FF3545" w:rsidP="00DC54F7">
            <w:pPr>
              <w:spacing w:after="0" w:line="240" w:lineRule="auto"/>
              <w:jc w:val="both"/>
              <w:rPr>
                <w:rFonts w:ascii="Arial" w:eastAsia="Times New Roman" w:hAnsi="Arial" w:cs="Arial"/>
                <w:b/>
                <w:bCs/>
                <w:color w:val="FFFFFF"/>
                <w:sz w:val="18"/>
                <w:szCs w:val="18"/>
                <w:lang w:eastAsia="en-GB"/>
              </w:rPr>
            </w:pPr>
            <w:r w:rsidRPr="00FF3545">
              <w:rPr>
                <w:rFonts w:ascii="Arial" w:eastAsia="Times New Roman" w:hAnsi="Arial" w:cs="Arial"/>
                <w:b/>
                <w:bCs/>
                <w:color w:val="FFFFFF"/>
                <w:sz w:val="18"/>
                <w:szCs w:val="18"/>
                <w:lang w:eastAsia="en-GB"/>
              </w:rPr>
              <w:t>A</w:t>
            </w:r>
            <w:r w:rsidR="00F54AC0" w:rsidRPr="00F54AC0">
              <w:rPr>
                <w:rFonts w:ascii="Arial" w:eastAsia="Times New Roman" w:hAnsi="Arial" w:cs="Arial"/>
                <w:b/>
                <w:bCs/>
                <w:color w:val="FFFFFF"/>
                <w:sz w:val="18"/>
                <w:szCs w:val="18"/>
                <w:lang w:eastAsia="en-GB"/>
              </w:rPr>
              <w:t xml:space="preserve">t least 5 portions </w:t>
            </w:r>
          </w:p>
        </w:tc>
        <w:tc>
          <w:tcPr>
            <w:tcW w:w="1079" w:type="dxa"/>
            <w:gridSpan w:val="2"/>
            <w:shd w:val="clear" w:color="000000" w:fill="8497B0"/>
            <w:vAlign w:val="center"/>
            <w:hideMark/>
          </w:tcPr>
          <w:p w14:paraId="7D532F55" w14:textId="77777777" w:rsidR="00F54AC0" w:rsidRPr="00F54AC0" w:rsidRDefault="00F54AC0" w:rsidP="00DC54F7">
            <w:pPr>
              <w:spacing w:after="0" w:line="240" w:lineRule="auto"/>
              <w:jc w:val="both"/>
              <w:rPr>
                <w:rFonts w:ascii="Arial" w:eastAsia="Times New Roman" w:hAnsi="Arial" w:cs="Arial"/>
                <w:b/>
                <w:bCs/>
                <w:color w:val="FFFFFF"/>
                <w:sz w:val="18"/>
                <w:szCs w:val="18"/>
                <w:lang w:eastAsia="en-GB"/>
              </w:rPr>
            </w:pPr>
            <w:r w:rsidRPr="00F54AC0">
              <w:rPr>
                <w:rFonts w:ascii="Arial" w:eastAsia="Times New Roman" w:hAnsi="Arial" w:cs="Arial"/>
                <w:b/>
                <w:bCs/>
                <w:color w:val="FFFFFF"/>
                <w:sz w:val="18"/>
                <w:szCs w:val="18"/>
                <w:lang w:eastAsia="en-GB"/>
              </w:rPr>
              <w:t>Less than 30 minutes</w:t>
            </w:r>
          </w:p>
        </w:tc>
        <w:tc>
          <w:tcPr>
            <w:tcW w:w="1078" w:type="dxa"/>
            <w:shd w:val="clear" w:color="000000" w:fill="8497B0"/>
            <w:vAlign w:val="center"/>
            <w:hideMark/>
          </w:tcPr>
          <w:p w14:paraId="7B4BD0FA" w14:textId="77777777" w:rsidR="00F54AC0" w:rsidRPr="00F54AC0" w:rsidRDefault="00F54AC0" w:rsidP="00DC54F7">
            <w:pPr>
              <w:spacing w:after="0" w:line="240" w:lineRule="auto"/>
              <w:jc w:val="both"/>
              <w:rPr>
                <w:rFonts w:ascii="Arial" w:eastAsia="Times New Roman" w:hAnsi="Arial" w:cs="Arial"/>
                <w:b/>
                <w:bCs/>
                <w:color w:val="FFFFFF"/>
                <w:sz w:val="18"/>
                <w:szCs w:val="18"/>
                <w:lang w:eastAsia="en-GB"/>
              </w:rPr>
            </w:pPr>
            <w:r w:rsidRPr="00F54AC0">
              <w:rPr>
                <w:rFonts w:ascii="Arial" w:eastAsia="Times New Roman" w:hAnsi="Arial" w:cs="Arial"/>
                <w:b/>
                <w:bCs/>
                <w:color w:val="FFFFFF"/>
                <w:sz w:val="18"/>
                <w:szCs w:val="18"/>
                <w:lang w:eastAsia="en-GB"/>
              </w:rPr>
              <w:t>At least 150 minutes</w:t>
            </w:r>
          </w:p>
        </w:tc>
        <w:tc>
          <w:tcPr>
            <w:tcW w:w="1079" w:type="dxa"/>
            <w:gridSpan w:val="2"/>
            <w:shd w:val="clear" w:color="000000" w:fill="8497B0"/>
            <w:vAlign w:val="center"/>
            <w:hideMark/>
          </w:tcPr>
          <w:p w14:paraId="269D05D3" w14:textId="77777777" w:rsidR="00F54AC0" w:rsidRPr="00F54AC0" w:rsidRDefault="00F54AC0" w:rsidP="00DC54F7">
            <w:pPr>
              <w:spacing w:after="0" w:line="240" w:lineRule="auto"/>
              <w:jc w:val="both"/>
              <w:rPr>
                <w:rFonts w:ascii="Arial" w:eastAsia="Times New Roman" w:hAnsi="Arial" w:cs="Arial"/>
                <w:b/>
                <w:bCs/>
                <w:color w:val="FFFFFF"/>
                <w:sz w:val="18"/>
                <w:szCs w:val="18"/>
                <w:lang w:eastAsia="en-GB"/>
              </w:rPr>
            </w:pPr>
            <w:r w:rsidRPr="00F54AC0">
              <w:rPr>
                <w:rFonts w:ascii="Arial" w:eastAsia="Times New Roman" w:hAnsi="Arial" w:cs="Arial"/>
                <w:b/>
                <w:bCs/>
                <w:color w:val="FFFFFF"/>
                <w:sz w:val="18"/>
                <w:szCs w:val="18"/>
                <w:lang w:eastAsia="en-GB"/>
              </w:rPr>
              <w:t>18.5 - under 25 (healthy weight)</w:t>
            </w:r>
          </w:p>
        </w:tc>
        <w:tc>
          <w:tcPr>
            <w:tcW w:w="1079" w:type="dxa"/>
            <w:shd w:val="clear" w:color="000000" w:fill="8497B0"/>
            <w:vAlign w:val="center"/>
            <w:hideMark/>
          </w:tcPr>
          <w:p w14:paraId="0C86783A" w14:textId="77777777" w:rsidR="00FF3545" w:rsidRPr="00FF3545" w:rsidRDefault="00F54AC0" w:rsidP="00DC54F7">
            <w:pPr>
              <w:spacing w:after="0" w:line="240" w:lineRule="auto"/>
              <w:jc w:val="both"/>
              <w:rPr>
                <w:rFonts w:ascii="Arial" w:eastAsia="Times New Roman" w:hAnsi="Arial" w:cs="Arial"/>
                <w:b/>
                <w:bCs/>
                <w:color w:val="FFFFFF"/>
                <w:sz w:val="18"/>
                <w:szCs w:val="18"/>
                <w:lang w:eastAsia="en-GB"/>
              </w:rPr>
            </w:pPr>
            <w:r w:rsidRPr="00F54AC0">
              <w:rPr>
                <w:rFonts w:ascii="Arial" w:eastAsia="Times New Roman" w:hAnsi="Arial" w:cs="Arial"/>
                <w:b/>
                <w:bCs/>
                <w:color w:val="FFFFFF"/>
                <w:sz w:val="18"/>
                <w:szCs w:val="18"/>
                <w:lang w:eastAsia="en-GB"/>
              </w:rPr>
              <w:t xml:space="preserve">25+ </w:t>
            </w:r>
          </w:p>
          <w:p w14:paraId="70F544FE" w14:textId="1C47E0C4" w:rsidR="00F54AC0" w:rsidRPr="00F54AC0" w:rsidRDefault="00F54AC0" w:rsidP="00DC54F7">
            <w:pPr>
              <w:spacing w:after="0" w:line="240" w:lineRule="auto"/>
              <w:jc w:val="both"/>
              <w:rPr>
                <w:rFonts w:ascii="Arial" w:eastAsia="Times New Roman" w:hAnsi="Arial" w:cs="Arial"/>
                <w:b/>
                <w:bCs/>
                <w:color w:val="FFFFFF"/>
                <w:sz w:val="18"/>
                <w:szCs w:val="18"/>
                <w:lang w:eastAsia="en-GB"/>
              </w:rPr>
            </w:pPr>
            <w:r w:rsidRPr="00F54AC0">
              <w:rPr>
                <w:rFonts w:ascii="Arial" w:eastAsia="Times New Roman" w:hAnsi="Arial" w:cs="Arial"/>
                <w:b/>
                <w:bCs/>
                <w:color w:val="FFFFFF"/>
                <w:sz w:val="18"/>
                <w:szCs w:val="18"/>
                <w:lang w:eastAsia="en-GB"/>
              </w:rPr>
              <w:t>(overweight or obese)</w:t>
            </w:r>
          </w:p>
        </w:tc>
        <w:tc>
          <w:tcPr>
            <w:tcW w:w="1079" w:type="dxa"/>
            <w:shd w:val="clear" w:color="000000" w:fill="8497B0"/>
            <w:vAlign w:val="center"/>
            <w:hideMark/>
          </w:tcPr>
          <w:p w14:paraId="0C64C035" w14:textId="77777777" w:rsidR="00F54AC0" w:rsidRPr="00F54AC0" w:rsidRDefault="00F54AC0" w:rsidP="00DC54F7">
            <w:pPr>
              <w:spacing w:after="0" w:line="240" w:lineRule="auto"/>
              <w:jc w:val="both"/>
              <w:rPr>
                <w:rFonts w:ascii="Arial" w:eastAsia="Times New Roman" w:hAnsi="Arial" w:cs="Arial"/>
                <w:b/>
                <w:bCs/>
                <w:color w:val="FFFFFF"/>
                <w:sz w:val="18"/>
                <w:szCs w:val="18"/>
                <w:lang w:eastAsia="en-GB"/>
              </w:rPr>
            </w:pPr>
            <w:r w:rsidRPr="00F54AC0">
              <w:rPr>
                <w:rFonts w:ascii="Arial" w:eastAsia="Times New Roman" w:hAnsi="Arial" w:cs="Arial"/>
                <w:b/>
                <w:bCs/>
                <w:color w:val="FFFFFF"/>
                <w:sz w:val="18"/>
                <w:szCs w:val="18"/>
                <w:lang w:eastAsia="en-GB"/>
              </w:rPr>
              <w:t>30+ (obese)</w:t>
            </w:r>
          </w:p>
        </w:tc>
      </w:tr>
      <w:tr w:rsidR="00FF3545" w:rsidRPr="00F54AC0" w14:paraId="0430768E" w14:textId="77777777" w:rsidTr="00237D3A">
        <w:trPr>
          <w:trHeight w:val="255"/>
        </w:trPr>
        <w:tc>
          <w:tcPr>
            <w:tcW w:w="1623" w:type="dxa"/>
            <w:shd w:val="clear" w:color="000000" w:fill="F2F2F2"/>
            <w:vAlign w:val="center"/>
            <w:hideMark/>
          </w:tcPr>
          <w:p w14:paraId="615F0EA2"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 xml:space="preserve">Cardiff </w:t>
            </w:r>
          </w:p>
        </w:tc>
        <w:tc>
          <w:tcPr>
            <w:tcW w:w="1078" w:type="dxa"/>
            <w:shd w:val="clear" w:color="000000" w:fill="F2F2F2"/>
            <w:vAlign w:val="center"/>
            <w:hideMark/>
          </w:tcPr>
          <w:p w14:paraId="16C15A36"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4.3</w:t>
            </w:r>
          </w:p>
        </w:tc>
        <w:tc>
          <w:tcPr>
            <w:tcW w:w="1079" w:type="dxa"/>
            <w:shd w:val="clear" w:color="000000" w:fill="F2F2F2"/>
            <w:vAlign w:val="center"/>
            <w:hideMark/>
          </w:tcPr>
          <w:p w14:paraId="12AE78AD"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33.9</w:t>
            </w:r>
          </w:p>
        </w:tc>
        <w:tc>
          <w:tcPr>
            <w:tcW w:w="1079" w:type="dxa"/>
            <w:gridSpan w:val="2"/>
            <w:shd w:val="clear" w:color="000000" w:fill="F2F2F2"/>
            <w:vAlign w:val="center"/>
            <w:hideMark/>
          </w:tcPr>
          <w:p w14:paraId="4A583B05"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29.4</w:t>
            </w:r>
          </w:p>
        </w:tc>
        <w:tc>
          <w:tcPr>
            <w:tcW w:w="1078" w:type="dxa"/>
            <w:shd w:val="clear" w:color="000000" w:fill="F2F2F2"/>
            <w:vAlign w:val="center"/>
            <w:hideMark/>
          </w:tcPr>
          <w:p w14:paraId="35DD152B"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56.9</w:t>
            </w:r>
          </w:p>
        </w:tc>
        <w:tc>
          <w:tcPr>
            <w:tcW w:w="1079" w:type="dxa"/>
            <w:gridSpan w:val="2"/>
            <w:shd w:val="clear" w:color="000000" w:fill="F2F2F2"/>
            <w:vAlign w:val="center"/>
            <w:hideMark/>
          </w:tcPr>
          <w:p w14:paraId="7D81F11A"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43.2</w:t>
            </w:r>
          </w:p>
        </w:tc>
        <w:tc>
          <w:tcPr>
            <w:tcW w:w="1079" w:type="dxa"/>
            <w:shd w:val="clear" w:color="000000" w:fill="F2F2F2"/>
            <w:vAlign w:val="center"/>
            <w:hideMark/>
          </w:tcPr>
          <w:p w14:paraId="7D0B7484"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55.3</w:t>
            </w:r>
          </w:p>
        </w:tc>
        <w:tc>
          <w:tcPr>
            <w:tcW w:w="1079" w:type="dxa"/>
            <w:shd w:val="clear" w:color="000000" w:fill="F2F2F2"/>
            <w:vAlign w:val="center"/>
            <w:hideMark/>
          </w:tcPr>
          <w:p w14:paraId="3B81F8BE"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18.4</w:t>
            </w:r>
          </w:p>
        </w:tc>
      </w:tr>
      <w:tr w:rsidR="00FF3545" w:rsidRPr="00F54AC0" w14:paraId="456554C0" w14:textId="77777777" w:rsidTr="00237D3A">
        <w:trPr>
          <w:trHeight w:val="387"/>
        </w:trPr>
        <w:tc>
          <w:tcPr>
            <w:tcW w:w="1623" w:type="dxa"/>
            <w:shd w:val="clear" w:color="000000" w:fill="FFFFFF"/>
            <w:vAlign w:val="center"/>
            <w:hideMark/>
          </w:tcPr>
          <w:p w14:paraId="5240DDC8"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 xml:space="preserve">Vale of Glamorgan </w:t>
            </w:r>
          </w:p>
        </w:tc>
        <w:tc>
          <w:tcPr>
            <w:tcW w:w="1078" w:type="dxa"/>
            <w:shd w:val="clear" w:color="000000" w:fill="FFFFFF"/>
            <w:vAlign w:val="center"/>
            <w:hideMark/>
          </w:tcPr>
          <w:p w14:paraId="1D892457"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6.2</w:t>
            </w:r>
          </w:p>
        </w:tc>
        <w:tc>
          <w:tcPr>
            <w:tcW w:w="1079" w:type="dxa"/>
            <w:shd w:val="clear" w:color="000000" w:fill="FFFFFF"/>
            <w:vAlign w:val="center"/>
            <w:hideMark/>
          </w:tcPr>
          <w:p w14:paraId="3143D98D"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26.4</w:t>
            </w:r>
          </w:p>
        </w:tc>
        <w:tc>
          <w:tcPr>
            <w:tcW w:w="1079" w:type="dxa"/>
            <w:gridSpan w:val="2"/>
            <w:shd w:val="clear" w:color="000000" w:fill="FFFFFF"/>
            <w:vAlign w:val="center"/>
            <w:hideMark/>
          </w:tcPr>
          <w:p w14:paraId="12FDB5B1"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29.7</w:t>
            </w:r>
          </w:p>
        </w:tc>
        <w:tc>
          <w:tcPr>
            <w:tcW w:w="1078" w:type="dxa"/>
            <w:shd w:val="clear" w:color="000000" w:fill="FFFFFF"/>
            <w:vAlign w:val="center"/>
            <w:hideMark/>
          </w:tcPr>
          <w:p w14:paraId="2A2FF502"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55.2</w:t>
            </w:r>
          </w:p>
        </w:tc>
        <w:tc>
          <w:tcPr>
            <w:tcW w:w="1079" w:type="dxa"/>
            <w:gridSpan w:val="2"/>
            <w:shd w:val="clear" w:color="000000" w:fill="FFFFFF"/>
            <w:vAlign w:val="center"/>
            <w:hideMark/>
          </w:tcPr>
          <w:p w14:paraId="0CD71FED"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36.5</w:t>
            </w:r>
          </w:p>
        </w:tc>
        <w:tc>
          <w:tcPr>
            <w:tcW w:w="1079" w:type="dxa"/>
            <w:shd w:val="clear" w:color="000000" w:fill="FFFFFF"/>
            <w:vAlign w:val="center"/>
            <w:hideMark/>
          </w:tcPr>
          <w:p w14:paraId="33F0848A"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60.3</w:t>
            </w:r>
          </w:p>
        </w:tc>
        <w:tc>
          <w:tcPr>
            <w:tcW w:w="1079" w:type="dxa"/>
            <w:shd w:val="clear" w:color="000000" w:fill="FFFFFF"/>
            <w:vAlign w:val="center"/>
            <w:hideMark/>
          </w:tcPr>
          <w:p w14:paraId="2D1979E0"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25.6</w:t>
            </w:r>
          </w:p>
        </w:tc>
      </w:tr>
      <w:tr w:rsidR="00FF3545" w:rsidRPr="00F54AC0" w14:paraId="5DFEC2CB" w14:textId="77777777" w:rsidTr="00237D3A">
        <w:trPr>
          <w:trHeight w:val="387"/>
        </w:trPr>
        <w:tc>
          <w:tcPr>
            <w:tcW w:w="1623" w:type="dxa"/>
            <w:shd w:val="clear" w:color="000000" w:fill="F2F2F2"/>
            <w:vAlign w:val="center"/>
            <w:hideMark/>
          </w:tcPr>
          <w:p w14:paraId="5B712370"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Cardiff and Vale UHB</w:t>
            </w:r>
          </w:p>
        </w:tc>
        <w:tc>
          <w:tcPr>
            <w:tcW w:w="1078" w:type="dxa"/>
            <w:shd w:val="clear" w:color="000000" w:fill="F2F2F2"/>
            <w:vAlign w:val="center"/>
            <w:hideMark/>
          </w:tcPr>
          <w:p w14:paraId="1E6969CA"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4.8</w:t>
            </w:r>
          </w:p>
        </w:tc>
        <w:tc>
          <w:tcPr>
            <w:tcW w:w="1079" w:type="dxa"/>
            <w:shd w:val="clear" w:color="000000" w:fill="F2F2F2"/>
            <w:vAlign w:val="center"/>
            <w:hideMark/>
          </w:tcPr>
          <w:p w14:paraId="4D0C25A7"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32.1</w:t>
            </w:r>
          </w:p>
        </w:tc>
        <w:tc>
          <w:tcPr>
            <w:tcW w:w="1079" w:type="dxa"/>
            <w:gridSpan w:val="2"/>
            <w:shd w:val="clear" w:color="000000" w:fill="F2F2F2"/>
            <w:vAlign w:val="center"/>
            <w:hideMark/>
          </w:tcPr>
          <w:p w14:paraId="660D4524"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29.4</w:t>
            </w:r>
          </w:p>
        </w:tc>
        <w:tc>
          <w:tcPr>
            <w:tcW w:w="1078" w:type="dxa"/>
            <w:shd w:val="clear" w:color="000000" w:fill="F2F2F2"/>
            <w:vAlign w:val="center"/>
            <w:hideMark/>
          </w:tcPr>
          <w:p w14:paraId="26226F3D"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56.8</w:t>
            </w:r>
          </w:p>
        </w:tc>
        <w:tc>
          <w:tcPr>
            <w:tcW w:w="1079" w:type="dxa"/>
            <w:gridSpan w:val="2"/>
            <w:shd w:val="clear" w:color="000000" w:fill="F2F2F2"/>
            <w:vAlign w:val="center"/>
            <w:hideMark/>
          </w:tcPr>
          <w:p w14:paraId="121245FD"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41.7</w:t>
            </w:r>
          </w:p>
        </w:tc>
        <w:tc>
          <w:tcPr>
            <w:tcW w:w="1079" w:type="dxa"/>
            <w:shd w:val="clear" w:color="000000" w:fill="F2F2F2"/>
            <w:vAlign w:val="center"/>
            <w:hideMark/>
          </w:tcPr>
          <w:p w14:paraId="6213B1AE"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56.3</w:t>
            </w:r>
          </w:p>
        </w:tc>
        <w:tc>
          <w:tcPr>
            <w:tcW w:w="1079" w:type="dxa"/>
            <w:shd w:val="clear" w:color="000000" w:fill="F2F2F2"/>
            <w:vAlign w:val="center"/>
            <w:hideMark/>
          </w:tcPr>
          <w:p w14:paraId="289457F3"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20.2</w:t>
            </w:r>
          </w:p>
        </w:tc>
      </w:tr>
      <w:tr w:rsidR="00FF3545" w:rsidRPr="00F54AC0" w14:paraId="7E8F9482" w14:textId="77777777" w:rsidTr="00237D3A">
        <w:trPr>
          <w:trHeight w:val="255"/>
        </w:trPr>
        <w:tc>
          <w:tcPr>
            <w:tcW w:w="1623" w:type="dxa"/>
            <w:shd w:val="clear" w:color="000000" w:fill="FFFFFF"/>
            <w:vAlign w:val="center"/>
            <w:hideMark/>
          </w:tcPr>
          <w:p w14:paraId="1183C475"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 xml:space="preserve">Wales </w:t>
            </w:r>
          </w:p>
        </w:tc>
        <w:tc>
          <w:tcPr>
            <w:tcW w:w="1078" w:type="dxa"/>
            <w:shd w:val="clear" w:color="000000" w:fill="FFFFFF"/>
            <w:vAlign w:val="center"/>
            <w:hideMark/>
          </w:tcPr>
          <w:p w14:paraId="071486C3"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7.9</w:t>
            </w:r>
          </w:p>
        </w:tc>
        <w:tc>
          <w:tcPr>
            <w:tcW w:w="1079" w:type="dxa"/>
            <w:shd w:val="clear" w:color="000000" w:fill="FFFFFF"/>
            <w:vAlign w:val="center"/>
            <w:hideMark/>
          </w:tcPr>
          <w:p w14:paraId="39829A8B"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24.3</w:t>
            </w:r>
          </w:p>
        </w:tc>
        <w:tc>
          <w:tcPr>
            <w:tcW w:w="1079" w:type="dxa"/>
            <w:gridSpan w:val="2"/>
            <w:shd w:val="clear" w:color="000000" w:fill="FFFFFF"/>
            <w:vAlign w:val="center"/>
            <w:hideMark/>
          </w:tcPr>
          <w:p w14:paraId="626F86B5" w14:textId="779489EA"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33</w:t>
            </w:r>
            <w:r w:rsidR="00FC06DF">
              <w:rPr>
                <w:rFonts w:ascii="Tahoma" w:eastAsia="Times New Roman" w:hAnsi="Tahoma" w:cs="Tahoma"/>
                <w:color w:val="000000"/>
                <w:sz w:val="17"/>
                <w:szCs w:val="17"/>
                <w:lang w:eastAsia="en-GB"/>
              </w:rPr>
              <w:t>.0</w:t>
            </w:r>
          </w:p>
        </w:tc>
        <w:tc>
          <w:tcPr>
            <w:tcW w:w="1078" w:type="dxa"/>
            <w:shd w:val="clear" w:color="000000" w:fill="FFFFFF"/>
            <w:vAlign w:val="center"/>
            <w:hideMark/>
          </w:tcPr>
          <w:p w14:paraId="6B8FC124"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53.2</w:t>
            </w:r>
          </w:p>
        </w:tc>
        <w:tc>
          <w:tcPr>
            <w:tcW w:w="1079" w:type="dxa"/>
            <w:gridSpan w:val="2"/>
            <w:shd w:val="clear" w:color="000000" w:fill="FFFFFF"/>
            <w:vAlign w:val="center"/>
            <w:hideMark/>
          </w:tcPr>
          <w:p w14:paraId="04F177CB"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38.2</w:t>
            </w:r>
          </w:p>
        </w:tc>
        <w:tc>
          <w:tcPr>
            <w:tcW w:w="1079" w:type="dxa"/>
            <w:shd w:val="clear" w:color="000000" w:fill="FFFFFF"/>
            <w:vAlign w:val="center"/>
            <w:hideMark/>
          </w:tcPr>
          <w:p w14:paraId="3E8D6802"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59.9</w:t>
            </w:r>
          </w:p>
        </w:tc>
        <w:tc>
          <w:tcPr>
            <w:tcW w:w="1079" w:type="dxa"/>
            <w:shd w:val="clear" w:color="000000" w:fill="FFFFFF"/>
            <w:vAlign w:val="center"/>
            <w:hideMark/>
          </w:tcPr>
          <w:p w14:paraId="51DBF695" w14:textId="77777777" w:rsidR="00F54AC0" w:rsidRPr="00F54AC0" w:rsidRDefault="00F54AC0" w:rsidP="00DC54F7">
            <w:pPr>
              <w:spacing w:after="0" w:line="240" w:lineRule="auto"/>
              <w:jc w:val="both"/>
              <w:rPr>
                <w:rFonts w:ascii="Tahoma" w:eastAsia="Times New Roman" w:hAnsi="Tahoma" w:cs="Tahoma"/>
                <w:color w:val="000000"/>
                <w:sz w:val="17"/>
                <w:szCs w:val="17"/>
                <w:lang w:eastAsia="en-GB"/>
              </w:rPr>
            </w:pPr>
            <w:r w:rsidRPr="00F54AC0">
              <w:rPr>
                <w:rFonts w:ascii="Tahoma" w:eastAsia="Times New Roman" w:hAnsi="Tahoma" w:cs="Tahoma"/>
                <w:color w:val="000000"/>
                <w:sz w:val="17"/>
                <w:szCs w:val="17"/>
                <w:lang w:eastAsia="en-GB"/>
              </w:rPr>
              <w:t>24.1</w:t>
            </w:r>
          </w:p>
        </w:tc>
      </w:tr>
    </w:tbl>
    <w:p w14:paraId="3E1B6E4F" w14:textId="57E14C05" w:rsidR="001D2C90" w:rsidRPr="00944EB7" w:rsidRDefault="005868EA" w:rsidP="00DC54F7">
      <w:pPr>
        <w:jc w:val="both"/>
        <w:rPr>
          <w:rFonts w:ascii="Arial" w:hAnsi="Arial" w:cs="Arial"/>
          <w:sz w:val="20"/>
          <w:szCs w:val="20"/>
        </w:rPr>
      </w:pPr>
      <w:r w:rsidRPr="00944EB7">
        <w:rPr>
          <w:rFonts w:ascii="Arial" w:hAnsi="Arial" w:cs="Arial"/>
          <w:sz w:val="20"/>
          <w:szCs w:val="20"/>
        </w:rPr>
        <w:t>Source: StatsWales</w:t>
      </w:r>
      <w:r w:rsidR="00A771FD" w:rsidRPr="00944EB7">
        <w:rPr>
          <w:rFonts w:ascii="Arial" w:hAnsi="Arial" w:cs="Arial"/>
          <w:sz w:val="20"/>
          <w:szCs w:val="20"/>
        </w:rPr>
        <w:t xml:space="preserve"> – National Survey for Wales</w:t>
      </w:r>
    </w:p>
    <w:p w14:paraId="59B25A30" w14:textId="63F24680" w:rsidR="001D2C90" w:rsidRPr="00944EB7" w:rsidRDefault="00DE5A5A" w:rsidP="00DC54F7">
      <w:pPr>
        <w:spacing w:after="0" w:line="240" w:lineRule="auto"/>
        <w:jc w:val="both"/>
        <w:rPr>
          <w:rFonts w:ascii="Arial" w:hAnsi="Arial" w:cs="Arial"/>
          <w:bCs/>
          <w:sz w:val="24"/>
          <w:szCs w:val="24"/>
        </w:rPr>
      </w:pPr>
      <w:r w:rsidRPr="00944EB7">
        <w:rPr>
          <w:rFonts w:ascii="Arial" w:hAnsi="Arial" w:cs="Arial"/>
          <w:bCs/>
          <w:sz w:val="24"/>
          <w:szCs w:val="24"/>
        </w:rPr>
        <w:t>Poor diet and nutrition are recognised as major contributory risk factors for ill health and premature death.</w:t>
      </w:r>
      <w:r w:rsidR="00D90CBD" w:rsidRPr="00944EB7">
        <w:rPr>
          <w:rFonts w:ascii="Arial" w:hAnsi="Arial" w:cs="Arial"/>
          <w:bCs/>
          <w:sz w:val="24"/>
          <w:szCs w:val="24"/>
        </w:rPr>
        <w:t xml:space="preserve"> </w:t>
      </w:r>
      <w:r w:rsidR="001D2C90" w:rsidRPr="00944EB7">
        <w:rPr>
          <w:rFonts w:ascii="Arial" w:hAnsi="Arial" w:cs="Arial"/>
          <w:bCs/>
          <w:sz w:val="24"/>
          <w:szCs w:val="24"/>
        </w:rPr>
        <w:t>Of all the health boards, Cardiff and Vale University Health Board ha</w:t>
      </w:r>
      <w:r w:rsidR="007D684D" w:rsidRPr="00944EB7">
        <w:rPr>
          <w:rFonts w:ascii="Arial" w:hAnsi="Arial" w:cs="Arial"/>
          <w:bCs/>
          <w:sz w:val="24"/>
          <w:szCs w:val="24"/>
        </w:rPr>
        <w:t>s</w:t>
      </w:r>
      <w:r w:rsidR="001D2C90" w:rsidRPr="00944EB7">
        <w:rPr>
          <w:rFonts w:ascii="Arial" w:hAnsi="Arial" w:cs="Arial"/>
          <w:bCs/>
          <w:sz w:val="24"/>
          <w:szCs w:val="24"/>
        </w:rPr>
        <w:t xml:space="preserve"> the highest reported rate for those who ate at least five portions of fruit and vegetables a day (32.1%)</w:t>
      </w:r>
      <w:r w:rsidR="006C0B51" w:rsidRPr="00944EB7">
        <w:rPr>
          <w:rFonts w:ascii="Arial" w:hAnsi="Arial" w:cs="Arial"/>
          <w:bCs/>
          <w:sz w:val="24"/>
          <w:szCs w:val="24"/>
        </w:rPr>
        <w:t xml:space="preserve">, </w:t>
      </w:r>
      <w:r w:rsidR="001D2C90" w:rsidRPr="00944EB7">
        <w:rPr>
          <w:rFonts w:ascii="Arial" w:hAnsi="Arial" w:cs="Arial"/>
          <w:bCs/>
          <w:sz w:val="24"/>
          <w:szCs w:val="24"/>
        </w:rPr>
        <w:t xml:space="preserve">significantly higher </w:t>
      </w:r>
      <w:r w:rsidR="00F95718" w:rsidRPr="00944EB7">
        <w:rPr>
          <w:rFonts w:ascii="Arial" w:hAnsi="Arial" w:cs="Arial"/>
          <w:bCs/>
          <w:sz w:val="24"/>
          <w:szCs w:val="24"/>
        </w:rPr>
        <w:t>than the average for Wales</w:t>
      </w:r>
      <w:r w:rsidR="001D2C90" w:rsidRPr="00944EB7">
        <w:rPr>
          <w:rFonts w:ascii="Arial" w:hAnsi="Arial" w:cs="Arial"/>
          <w:bCs/>
          <w:sz w:val="24"/>
          <w:szCs w:val="24"/>
        </w:rPr>
        <w:t xml:space="preserve"> (24.3%). It also ha</w:t>
      </w:r>
      <w:r w:rsidR="007D684D" w:rsidRPr="00944EB7">
        <w:rPr>
          <w:rFonts w:ascii="Arial" w:hAnsi="Arial" w:cs="Arial"/>
          <w:bCs/>
          <w:sz w:val="24"/>
          <w:szCs w:val="24"/>
        </w:rPr>
        <w:t>s</w:t>
      </w:r>
      <w:r w:rsidR="001D2C90" w:rsidRPr="00944EB7">
        <w:rPr>
          <w:rFonts w:ascii="Arial" w:hAnsi="Arial" w:cs="Arial"/>
          <w:bCs/>
          <w:sz w:val="24"/>
          <w:szCs w:val="24"/>
        </w:rPr>
        <w:t xml:space="preserve"> the lowest population proportion reporting to have eaten no fruit and vegetables on the previous day (4.</w:t>
      </w:r>
      <w:r w:rsidR="00ED0756" w:rsidRPr="00944EB7">
        <w:rPr>
          <w:rFonts w:ascii="Arial" w:hAnsi="Arial" w:cs="Arial"/>
          <w:bCs/>
          <w:sz w:val="24"/>
          <w:szCs w:val="24"/>
        </w:rPr>
        <w:t>8</w:t>
      </w:r>
      <w:r w:rsidR="001D2C90" w:rsidRPr="00944EB7">
        <w:rPr>
          <w:rFonts w:ascii="Arial" w:hAnsi="Arial" w:cs="Arial"/>
          <w:bCs/>
          <w:sz w:val="24"/>
          <w:szCs w:val="24"/>
        </w:rPr>
        <w:t>%)</w:t>
      </w:r>
      <w:r w:rsidR="00593458" w:rsidRPr="00944EB7">
        <w:rPr>
          <w:rFonts w:ascii="Arial" w:hAnsi="Arial" w:cs="Arial"/>
          <w:bCs/>
          <w:sz w:val="24"/>
          <w:szCs w:val="24"/>
        </w:rPr>
        <w:t xml:space="preserve">, </w:t>
      </w:r>
      <w:r w:rsidR="001D2C90" w:rsidRPr="00944EB7">
        <w:rPr>
          <w:rFonts w:ascii="Arial" w:hAnsi="Arial" w:cs="Arial"/>
          <w:bCs/>
          <w:sz w:val="24"/>
          <w:szCs w:val="24"/>
        </w:rPr>
        <w:t xml:space="preserve">significantly lower </w:t>
      </w:r>
      <w:r w:rsidR="00F95718" w:rsidRPr="00944EB7">
        <w:rPr>
          <w:rFonts w:ascii="Arial" w:hAnsi="Arial" w:cs="Arial"/>
          <w:bCs/>
          <w:sz w:val="24"/>
          <w:szCs w:val="24"/>
        </w:rPr>
        <w:t>than the average for Wales</w:t>
      </w:r>
      <w:r w:rsidR="001D2C90" w:rsidRPr="00944EB7">
        <w:rPr>
          <w:rFonts w:ascii="Arial" w:hAnsi="Arial" w:cs="Arial"/>
          <w:bCs/>
          <w:sz w:val="24"/>
          <w:szCs w:val="24"/>
        </w:rPr>
        <w:t xml:space="preserve"> (7.9%). </w:t>
      </w:r>
      <w:r w:rsidR="00D7250F" w:rsidRPr="00944EB7">
        <w:rPr>
          <w:rFonts w:ascii="Arial" w:hAnsi="Arial" w:cs="Arial"/>
          <w:bCs/>
          <w:sz w:val="24"/>
          <w:szCs w:val="24"/>
        </w:rPr>
        <w:t xml:space="preserve">Compared to Wales, </w:t>
      </w:r>
      <w:r w:rsidR="007D268B" w:rsidRPr="00944EB7">
        <w:rPr>
          <w:rFonts w:ascii="Arial" w:hAnsi="Arial" w:cs="Arial"/>
          <w:bCs/>
          <w:sz w:val="24"/>
          <w:szCs w:val="24"/>
        </w:rPr>
        <w:t xml:space="preserve">Cardiff </w:t>
      </w:r>
      <w:r w:rsidR="00D7250F" w:rsidRPr="00944EB7">
        <w:rPr>
          <w:rFonts w:ascii="Arial" w:hAnsi="Arial" w:cs="Arial"/>
          <w:bCs/>
          <w:sz w:val="24"/>
          <w:szCs w:val="24"/>
        </w:rPr>
        <w:t xml:space="preserve">(33.9%) </w:t>
      </w:r>
      <w:r w:rsidR="007D268B" w:rsidRPr="00944EB7">
        <w:rPr>
          <w:rFonts w:ascii="Arial" w:hAnsi="Arial" w:cs="Arial"/>
          <w:bCs/>
          <w:sz w:val="24"/>
          <w:szCs w:val="24"/>
        </w:rPr>
        <w:t>ha</w:t>
      </w:r>
      <w:r w:rsidR="009D559C" w:rsidRPr="00944EB7">
        <w:rPr>
          <w:rFonts w:ascii="Arial" w:hAnsi="Arial" w:cs="Arial"/>
          <w:bCs/>
          <w:sz w:val="24"/>
          <w:szCs w:val="24"/>
        </w:rPr>
        <w:t>s</w:t>
      </w:r>
      <w:r w:rsidR="007D268B" w:rsidRPr="00944EB7">
        <w:rPr>
          <w:rFonts w:ascii="Arial" w:hAnsi="Arial" w:cs="Arial"/>
          <w:bCs/>
          <w:sz w:val="24"/>
          <w:szCs w:val="24"/>
        </w:rPr>
        <w:t xml:space="preserve"> </w:t>
      </w:r>
      <w:r w:rsidR="004A7FED" w:rsidRPr="00944EB7">
        <w:rPr>
          <w:rFonts w:ascii="Arial" w:hAnsi="Arial" w:cs="Arial"/>
          <w:bCs/>
          <w:sz w:val="24"/>
          <w:szCs w:val="24"/>
        </w:rPr>
        <w:t>a significantly highe</w:t>
      </w:r>
      <w:r w:rsidR="009D559C" w:rsidRPr="00944EB7">
        <w:rPr>
          <w:rFonts w:ascii="Arial" w:hAnsi="Arial" w:cs="Arial"/>
          <w:bCs/>
          <w:sz w:val="24"/>
          <w:szCs w:val="24"/>
        </w:rPr>
        <w:t>r</w:t>
      </w:r>
      <w:r w:rsidR="00F81665" w:rsidRPr="00944EB7">
        <w:rPr>
          <w:rFonts w:ascii="Arial" w:hAnsi="Arial" w:cs="Arial"/>
          <w:bCs/>
          <w:sz w:val="24"/>
          <w:szCs w:val="24"/>
        </w:rPr>
        <w:t xml:space="preserve"> proportion claiming to eat </w:t>
      </w:r>
      <w:r w:rsidR="00721AD9" w:rsidRPr="00944EB7">
        <w:rPr>
          <w:rFonts w:ascii="Arial" w:hAnsi="Arial" w:cs="Arial"/>
          <w:bCs/>
          <w:sz w:val="24"/>
          <w:szCs w:val="24"/>
        </w:rPr>
        <w:t>at least five p</w:t>
      </w:r>
      <w:r w:rsidR="00667CA8" w:rsidRPr="00944EB7">
        <w:rPr>
          <w:rFonts w:ascii="Arial" w:hAnsi="Arial" w:cs="Arial"/>
          <w:bCs/>
          <w:sz w:val="24"/>
          <w:szCs w:val="24"/>
        </w:rPr>
        <w:t>or</w:t>
      </w:r>
      <w:r w:rsidR="00721AD9" w:rsidRPr="00944EB7">
        <w:rPr>
          <w:rFonts w:ascii="Arial" w:hAnsi="Arial" w:cs="Arial"/>
          <w:bCs/>
          <w:sz w:val="24"/>
          <w:szCs w:val="24"/>
        </w:rPr>
        <w:t xml:space="preserve">tions of fruit </w:t>
      </w:r>
      <w:r w:rsidR="00061265" w:rsidRPr="00944EB7">
        <w:rPr>
          <w:rFonts w:ascii="Arial" w:hAnsi="Arial" w:cs="Arial"/>
          <w:bCs/>
          <w:sz w:val="24"/>
          <w:szCs w:val="24"/>
        </w:rPr>
        <w:t>and</w:t>
      </w:r>
      <w:r w:rsidR="00721AD9" w:rsidRPr="00944EB7">
        <w:rPr>
          <w:rFonts w:ascii="Arial" w:hAnsi="Arial" w:cs="Arial"/>
          <w:bCs/>
          <w:sz w:val="24"/>
          <w:szCs w:val="24"/>
        </w:rPr>
        <w:t xml:space="preserve"> vegetables a day</w:t>
      </w:r>
      <w:r w:rsidR="00D7250F" w:rsidRPr="00944EB7">
        <w:rPr>
          <w:rFonts w:ascii="Arial" w:hAnsi="Arial" w:cs="Arial"/>
          <w:bCs/>
          <w:sz w:val="24"/>
          <w:szCs w:val="24"/>
        </w:rPr>
        <w:t xml:space="preserve">, highest </w:t>
      </w:r>
      <w:r w:rsidR="00721AD9" w:rsidRPr="00944EB7">
        <w:rPr>
          <w:rFonts w:ascii="Arial" w:hAnsi="Arial" w:cs="Arial"/>
          <w:bCs/>
          <w:sz w:val="24"/>
          <w:szCs w:val="24"/>
        </w:rPr>
        <w:t xml:space="preserve">of all the </w:t>
      </w:r>
      <w:r w:rsidR="00567F4B" w:rsidRPr="00944EB7">
        <w:rPr>
          <w:rFonts w:ascii="Arial" w:hAnsi="Arial" w:cs="Arial"/>
          <w:bCs/>
          <w:sz w:val="24"/>
          <w:szCs w:val="24"/>
        </w:rPr>
        <w:t>local</w:t>
      </w:r>
      <w:r w:rsidR="00721AD9" w:rsidRPr="00944EB7">
        <w:rPr>
          <w:rFonts w:ascii="Arial" w:hAnsi="Arial" w:cs="Arial"/>
          <w:bCs/>
          <w:sz w:val="24"/>
          <w:szCs w:val="24"/>
        </w:rPr>
        <w:t xml:space="preserve"> authorities</w:t>
      </w:r>
      <w:r w:rsidR="00D505B0" w:rsidRPr="00944EB7">
        <w:rPr>
          <w:rFonts w:ascii="Arial" w:hAnsi="Arial" w:cs="Arial"/>
          <w:bCs/>
          <w:sz w:val="24"/>
          <w:szCs w:val="24"/>
        </w:rPr>
        <w:t xml:space="preserve">. It has </w:t>
      </w:r>
      <w:r w:rsidR="00D7250F" w:rsidRPr="00944EB7">
        <w:rPr>
          <w:rFonts w:ascii="Arial" w:hAnsi="Arial" w:cs="Arial"/>
          <w:bCs/>
          <w:sz w:val="24"/>
          <w:szCs w:val="24"/>
        </w:rPr>
        <w:t xml:space="preserve">a </w:t>
      </w:r>
      <w:r w:rsidR="00721AD9" w:rsidRPr="00944EB7">
        <w:rPr>
          <w:rFonts w:ascii="Arial" w:hAnsi="Arial" w:cs="Arial"/>
          <w:bCs/>
          <w:sz w:val="24"/>
          <w:szCs w:val="24"/>
        </w:rPr>
        <w:t xml:space="preserve">significantly </w:t>
      </w:r>
      <w:r w:rsidR="00B63B3F" w:rsidRPr="00944EB7">
        <w:rPr>
          <w:rFonts w:ascii="Arial" w:hAnsi="Arial" w:cs="Arial"/>
          <w:bCs/>
          <w:sz w:val="24"/>
          <w:szCs w:val="24"/>
        </w:rPr>
        <w:t>lower proportion (4.</w:t>
      </w:r>
      <w:r w:rsidR="00293F3A" w:rsidRPr="00944EB7">
        <w:rPr>
          <w:rFonts w:ascii="Arial" w:hAnsi="Arial" w:cs="Arial"/>
          <w:bCs/>
          <w:sz w:val="24"/>
          <w:szCs w:val="24"/>
        </w:rPr>
        <w:t>3</w:t>
      </w:r>
      <w:r w:rsidR="00B63B3F" w:rsidRPr="00944EB7">
        <w:rPr>
          <w:rFonts w:ascii="Arial" w:hAnsi="Arial" w:cs="Arial"/>
          <w:bCs/>
          <w:sz w:val="24"/>
          <w:szCs w:val="24"/>
        </w:rPr>
        <w:t xml:space="preserve">%) </w:t>
      </w:r>
      <w:r w:rsidR="006F4A18" w:rsidRPr="00944EB7">
        <w:rPr>
          <w:rFonts w:ascii="Arial" w:hAnsi="Arial" w:cs="Arial"/>
          <w:bCs/>
          <w:sz w:val="24"/>
          <w:szCs w:val="24"/>
        </w:rPr>
        <w:t xml:space="preserve">self-reporting to have </w:t>
      </w:r>
      <w:r w:rsidR="00B63B3F" w:rsidRPr="00944EB7">
        <w:rPr>
          <w:rFonts w:ascii="Arial" w:hAnsi="Arial" w:cs="Arial"/>
          <w:bCs/>
          <w:sz w:val="24"/>
          <w:szCs w:val="24"/>
        </w:rPr>
        <w:t>eat</w:t>
      </w:r>
      <w:r w:rsidR="00D65D8D" w:rsidRPr="00944EB7">
        <w:rPr>
          <w:rFonts w:ascii="Arial" w:hAnsi="Arial" w:cs="Arial"/>
          <w:bCs/>
          <w:sz w:val="24"/>
          <w:szCs w:val="24"/>
        </w:rPr>
        <w:t>en none</w:t>
      </w:r>
      <w:r w:rsidR="00B63B3F" w:rsidRPr="00944EB7">
        <w:rPr>
          <w:rFonts w:ascii="Arial" w:hAnsi="Arial" w:cs="Arial"/>
          <w:bCs/>
          <w:sz w:val="24"/>
          <w:szCs w:val="24"/>
        </w:rPr>
        <w:t xml:space="preserve"> </w:t>
      </w:r>
      <w:r w:rsidR="006F4A18" w:rsidRPr="00944EB7">
        <w:rPr>
          <w:rFonts w:ascii="Arial" w:hAnsi="Arial" w:cs="Arial"/>
          <w:bCs/>
          <w:sz w:val="24"/>
          <w:szCs w:val="24"/>
        </w:rPr>
        <w:t>on the previous day, the second lowest of all the local authorities</w:t>
      </w:r>
      <w:r w:rsidR="00B63B3F" w:rsidRPr="00944EB7">
        <w:rPr>
          <w:rFonts w:ascii="Arial" w:hAnsi="Arial" w:cs="Arial"/>
          <w:bCs/>
          <w:sz w:val="24"/>
          <w:szCs w:val="24"/>
        </w:rPr>
        <w:t xml:space="preserve">. </w:t>
      </w:r>
      <w:r w:rsidR="001D2C90" w:rsidRPr="00944EB7">
        <w:rPr>
          <w:rFonts w:ascii="Arial" w:hAnsi="Arial" w:cs="Arial"/>
          <w:bCs/>
          <w:sz w:val="24"/>
          <w:szCs w:val="24"/>
        </w:rPr>
        <w:t>The Vale of Glamorgan ha</w:t>
      </w:r>
      <w:r w:rsidR="00892B70" w:rsidRPr="00944EB7">
        <w:rPr>
          <w:rFonts w:ascii="Arial" w:hAnsi="Arial" w:cs="Arial"/>
          <w:bCs/>
          <w:sz w:val="24"/>
          <w:szCs w:val="24"/>
        </w:rPr>
        <w:t>s</w:t>
      </w:r>
      <w:r w:rsidR="001D2C90" w:rsidRPr="00944EB7">
        <w:rPr>
          <w:rFonts w:ascii="Arial" w:hAnsi="Arial" w:cs="Arial"/>
          <w:bCs/>
          <w:sz w:val="24"/>
          <w:szCs w:val="24"/>
        </w:rPr>
        <w:t xml:space="preserve"> a </w:t>
      </w:r>
      <w:r w:rsidR="000842C7" w:rsidRPr="00944EB7">
        <w:rPr>
          <w:rFonts w:ascii="Arial" w:hAnsi="Arial" w:cs="Arial"/>
          <w:bCs/>
          <w:sz w:val="24"/>
          <w:szCs w:val="24"/>
        </w:rPr>
        <w:t>lower</w:t>
      </w:r>
      <w:r w:rsidR="001D2C90" w:rsidRPr="00944EB7">
        <w:rPr>
          <w:rFonts w:ascii="Arial" w:hAnsi="Arial" w:cs="Arial"/>
          <w:bCs/>
          <w:sz w:val="24"/>
          <w:szCs w:val="24"/>
        </w:rPr>
        <w:t xml:space="preserve"> proportion of its population self-reporting to eat at least five portions of fruit and vegetables </w:t>
      </w:r>
      <w:r w:rsidR="00CB226B" w:rsidRPr="00944EB7">
        <w:rPr>
          <w:rFonts w:ascii="Arial" w:hAnsi="Arial" w:cs="Arial"/>
          <w:bCs/>
          <w:sz w:val="24"/>
          <w:szCs w:val="24"/>
        </w:rPr>
        <w:t xml:space="preserve">a day </w:t>
      </w:r>
      <w:r w:rsidR="001D2C90" w:rsidRPr="00944EB7">
        <w:rPr>
          <w:rFonts w:ascii="Arial" w:hAnsi="Arial" w:cs="Arial"/>
          <w:bCs/>
          <w:sz w:val="24"/>
          <w:szCs w:val="24"/>
        </w:rPr>
        <w:t xml:space="preserve">(26.4%) and a </w:t>
      </w:r>
      <w:r w:rsidR="000842C7" w:rsidRPr="00944EB7">
        <w:rPr>
          <w:rFonts w:ascii="Arial" w:hAnsi="Arial" w:cs="Arial"/>
          <w:bCs/>
          <w:sz w:val="24"/>
          <w:szCs w:val="24"/>
        </w:rPr>
        <w:t>higher</w:t>
      </w:r>
      <w:r w:rsidR="001D2C90" w:rsidRPr="00944EB7">
        <w:rPr>
          <w:rFonts w:ascii="Arial" w:hAnsi="Arial" w:cs="Arial"/>
          <w:bCs/>
          <w:sz w:val="24"/>
          <w:szCs w:val="24"/>
        </w:rPr>
        <w:t xml:space="preserve"> proportion (6.2%) reporting to have eaten no fruit </w:t>
      </w:r>
      <w:r w:rsidR="00061265" w:rsidRPr="00944EB7">
        <w:rPr>
          <w:rFonts w:ascii="Arial" w:hAnsi="Arial" w:cs="Arial"/>
          <w:bCs/>
          <w:sz w:val="24"/>
          <w:szCs w:val="24"/>
        </w:rPr>
        <w:t xml:space="preserve">and </w:t>
      </w:r>
      <w:r w:rsidR="001D2C90" w:rsidRPr="00944EB7">
        <w:rPr>
          <w:rFonts w:ascii="Arial" w:hAnsi="Arial" w:cs="Arial"/>
          <w:bCs/>
          <w:sz w:val="24"/>
          <w:szCs w:val="24"/>
        </w:rPr>
        <w:t xml:space="preserve">vegetables on the previous day. </w:t>
      </w:r>
    </w:p>
    <w:p w14:paraId="2A3ABA5B" w14:textId="77777777" w:rsidR="001D2C90" w:rsidRPr="00944EB7" w:rsidRDefault="001D2C90" w:rsidP="00DC54F7">
      <w:pPr>
        <w:spacing w:after="0" w:line="240" w:lineRule="auto"/>
        <w:jc w:val="both"/>
        <w:rPr>
          <w:rFonts w:ascii="Arial" w:hAnsi="Arial" w:cs="Arial"/>
          <w:bCs/>
          <w:sz w:val="24"/>
          <w:szCs w:val="24"/>
        </w:rPr>
      </w:pPr>
    </w:p>
    <w:p w14:paraId="0F5CDC58" w14:textId="2BA557BB" w:rsidR="0073213D" w:rsidRPr="00944EB7" w:rsidRDefault="0073213D" w:rsidP="00DC54F7">
      <w:pPr>
        <w:spacing w:after="0" w:line="240" w:lineRule="auto"/>
        <w:jc w:val="both"/>
        <w:rPr>
          <w:rFonts w:ascii="Arial" w:hAnsi="Arial" w:cs="Arial"/>
          <w:bCs/>
          <w:sz w:val="24"/>
          <w:szCs w:val="24"/>
        </w:rPr>
      </w:pPr>
      <w:r w:rsidRPr="00944EB7">
        <w:rPr>
          <w:rFonts w:ascii="Arial" w:hAnsi="Arial" w:cs="Arial"/>
          <w:sz w:val="24"/>
          <w:szCs w:val="24"/>
        </w:rPr>
        <w:t xml:space="preserve">In general, the more time spent being physically active, the greater the health benefits. For adults, </w:t>
      </w:r>
      <w:r w:rsidRPr="00944EB7">
        <w:rPr>
          <w:rFonts w:ascii="Arial" w:hAnsi="Arial" w:cs="Arial"/>
          <w:bCs/>
          <w:sz w:val="24"/>
          <w:szCs w:val="24"/>
        </w:rPr>
        <w:t xml:space="preserve">at least 150 minutes (2 1/2 hours) of moderate intensity activity (such as brisk walking or cycling); or 75 minutes of vigorous intensity activity (such as running); or even shorter durations of very vigorous intensity activity (such as sprinting or stair climbing); or a combination of moderate, vigorous and very vigorous intensity activity are recommended each week. It is also recommended that adults should do activities to develop or maintain strength in the major muscle groups and should </w:t>
      </w:r>
      <w:r w:rsidRPr="00944EB7">
        <w:rPr>
          <w:rFonts w:ascii="Arial" w:hAnsi="Arial" w:cs="Arial"/>
          <w:sz w:val="24"/>
          <w:szCs w:val="24"/>
        </w:rPr>
        <w:t>aim to minimise the amount of time spent being sedentary</w:t>
      </w:r>
      <w:r w:rsidR="00A843AB" w:rsidRPr="00944EB7">
        <w:rPr>
          <w:rStyle w:val="FootnoteReference"/>
          <w:rFonts w:ascii="Arial" w:hAnsi="Arial" w:cs="Arial"/>
          <w:sz w:val="24"/>
          <w:szCs w:val="24"/>
        </w:rPr>
        <w:footnoteReference w:id="17"/>
      </w:r>
      <w:r w:rsidRPr="00944EB7">
        <w:rPr>
          <w:rFonts w:ascii="Arial" w:hAnsi="Arial" w:cs="Arial"/>
          <w:sz w:val="24"/>
          <w:szCs w:val="24"/>
        </w:rPr>
        <w:t xml:space="preserve">. </w:t>
      </w:r>
    </w:p>
    <w:p w14:paraId="720E07E6" w14:textId="77777777" w:rsidR="0073213D" w:rsidRPr="00944EB7" w:rsidRDefault="0073213D" w:rsidP="00DC54F7">
      <w:pPr>
        <w:spacing w:after="0" w:line="240" w:lineRule="auto"/>
        <w:jc w:val="both"/>
        <w:rPr>
          <w:rFonts w:ascii="Arial" w:hAnsi="Arial" w:cs="Arial"/>
          <w:bCs/>
          <w:sz w:val="24"/>
          <w:szCs w:val="24"/>
        </w:rPr>
      </w:pPr>
    </w:p>
    <w:p w14:paraId="29EF72E3" w14:textId="66E1541E" w:rsidR="00B31D24" w:rsidRDefault="008E7C45" w:rsidP="004D0CDC">
      <w:pPr>
        <w:spacing w:after="0" w:line="240" w:lineRule="auto"/>
        <w:jc w:val="both"/>
        <w:rPr>
          <w:rFonts w:ascii="Arial" w:hAnsi="Arial" w:cs="Arial"/>
          <w:bCs/>
          <w:sz w:val="24"/>
          <w:szCs w:val="24"/>
        </w:rPr>
      </w:pPr>
      <w:r w:rsidRPr="00944EB7">
        <w:rPr>
          <w:rFonts w:ascii="Arial" w:hAnsi="Arial" w:cs="Arial"/>
          <w:bCs/>
          <w:sz w:val="24"/>
          <w:szCs w:val="24"/>
        </w:rPr>
        <w:t>T</w:t>
      </w:r>
      <w:r w:rsidR="003C2BCA" w:rsidRPr="00944EB7">
        <w:rPr>
          <w:rFonts w:ascii="Arial" w:hAnsi="Arial" w:cs="Arial"/>
          <w:bCs/>
          <w:sz w:val="24"/>
          <w:szCs w:val="24"/>
        </w:rPr>
        <w:t xml:space="preserve">he population of Cardiff and Vale University Health Board are </w:t>
      </w:r>
      <w:r w:rsidRPr="00944EB7">
        <w:rPr>
          <w:rFonts w:ascii="Arial" w:hAnsi="Arial" w:cs="Arial"/>
          <w:bCs/>
          <w:sz w:val="24"/>
          <w:szCs w:val="24"/>
        </w:rPr>
        <w:t xml:space="preserve">generally </w:t>
      </w:r>
      <w:r w:rsidR="006B220F" w:rsidRPr="00944EB7">
        <w:rPr>
          <w:rFonts w:ascii="Arial" w:hAnsi="Arial" w:cs="Arial"/>
          <w:bCs/>
          <w:sz w:val="24"/>
          <w:szCs w:val="24"/>
        </w:rPr>
        <w:t xml:space="preserve">more physically active than most in Wales. </w:t>
      </w:r>
      <w:r w:rsidR="001D2C90" w:rsidRPr="00944EB7">
        <w:rPr>
          <w:rFonts w:ascii="Arial" w:hAnsi="Arial" w:cs="Arial"/>
          <w:bCs/>
          <w:sz w:val="24"/>
          <w:szCs w:val="24"/>
        </w:rPr>
        <w:t xml:space="preserve">Cardiff (56.9%) and the Vale of Glamorgan (55.2%) had a higher percentage of its population self-reporting to be active at least 150 minutes a week compared to </w:t>
      </w:r>
      <w:r w:rsidR="00167603" w:rsidRPr="00944EB7">
        <w:rPr>
          <w:rFonts w:ascii="Arial" w:hAnsi="Arial" w:cs="Arial"/>
          <w:bCs/>
          <w:sz w:val="24"/>
          <w:szCs w:val="24"/>
        </w:rPr>
        <w:t xml:space="preserve">the average for </w:t>
      </w:r>
      <w:r w:rsidR="001D2C90" w:rsidRPr="00944EB7">
        <w:rPr>
          <w:rFonts w:ascii="Arial" w:hAnsi="Arial" w:cs="Arial"/>
          <w:bCs/>
          <w:sz w:val="24"/>
          <w:szCs w:val="24"/>
        </w:rPr>
        <w:t xml:space="preserve">Wales (53.2%). Cardiff (29.4%) and the Vale of Glamorgan (29.7%) also had a lower proportion of their population reporting to be active less than 30 minutes a week compared to </w:t>
      </w:r>
      <w:r w:rsidR="00FC06DF" w:rsidRPr="00944EB7">
        <w:rPr>
          <w:rFonts w:ascii="Arial" w:hAnsi="Arial" w:cs="Arial"/>
          <w:bCs/>
          <w:sz w:val="24"/>
          <w:szCs w:val="24"/>
        </w:rPr>
        <w:t xml:space="preserve">the average for </w:t>
      </w:r>
      <w:r w:rsidR="001D2C90" w:rsidRPr="00944EB7">
        <w:rPr>
          <w:rFonts w:ascii="Arial" w:hAnsi="Arial" w:cs="Arial"/>
          <w:bCs/>
          <w:sz w:val="24"/>
          <w:szCs w:val="24"/>
        </w:rPr>
        <w:t>Wales (3</w:t>
      </w:r>
      <w:r w:rsidR="00326BEE" w:rsidRPr="00944EB7">
        <w:rPr>
          <w:rFonts w:ascii="Arial" w:hAnsi="Arial" w:cs="Arial"/>
          <w:bCs/>
          <w:sz w:val="24"/>
          <w:szCs w:val="24"/>
        </w:rPr>
        <w:t>3.0</w:t>
      </w:r>
      <w:r w:rsidR="001D2C90" w:rsidRPr="00944EB7">
        <w:rPr>
          <w:rFonts w:ascii="Arial" w:hAnsi="Arial" w:cs="Arial"/>
          <w:bCs/>
          <w:sz w:val="24"/>
          <w:szCs w:val="24"/>
        </w:rPr>
        <w:t>%).</w:t>
      </w:r>
      <w:r w:rsidR="00B31D24">
        <w:rPr>
          <w:rFonts w:ascii="Arial" w:hAnsi="Arial" w:cs="Arial"/>
          <w:bCs/>
          <w:sz w:val="24"/>
          <w:szCs w:val="24"/>
        </w:rPr>
        <w:br w:type="page"/>
      </w:r>
    </w:p>
    <w:p w14:paraId="09344F7A" w14:textId="77777777" w:rsidR="00541AE5" w:rsidRDefault="00E61D85" w:rsidP="00DC54F7">
      <w:pPr>
        <w:spacing w:after="0" w:line="240" w:lineRule="auto"/>
        <w:jc w:val="both"/>
        <w:rPr>
          <w:rFonts w:ascii="Arial" w:hAnsi="Arial" w:cs="Arial"/>
          <w:b/>
          <w:sz w:val="26"/>
          <w:szCs w:val="26"/>
        </w:rPr>
      </w:pPr>
      <w:r>
        <w:rPr>
          <w:rFonts w:ascii="Arial" w:hAnsi="Arial" w:cs="Arial"/>
          <w:b/>
          <w:sz w:val="26"/>
          <w:szCs w:val="26"/>
        </w:rPr>
        <w:lastRenderedPageBreak/>
        <w:t>3.2.</w:t>
      </w:r>
      <w:r w:rsidR="00237A36">
        <w:rPr>
          <w:rFonts w:ascii="Arial" w:hAnsi="Arial" w:cs="Arial"/>
          <w:b/>
          <w:sz w:val="26"/>
          <w:szCs w:val="26"/>
        </w:rPr>
        <w:t>4</w:t>
      </w:r>
      <w:r>
        <w:rPr>
          <w:rFonts w:ascii="Arial" w:hAnsi="Arial" w:cs="Arial"/>
          <w:b/>
          <w:sz w:val="26"/>
          <w:szCs w:val="26"/>
        </w:rPr>
        <w:t xml:space="preserve"> </w:t>
      </w:r>
      <w:r w:rsidR="004654D5" w:rsidRPr="00A10850">
        <w:rPr>
          <w:rFonts w:ascii="Arial" w:hAnsi="Arial" w:cs="Arial"/>
          <w:b/>
          <w:sz w:val="26"/>
          <w:szCs w:val="26"/>
        </w:rPr>
        <w:t>Alcohol</w:t>
      </w:r>
    </w:p>
    <w:p w14:paraId="5E94C2C4" w14:textId="77777777" w:rsidR="008518A0" w:rsidRDefault="008518A0" w:rsidP="00DC54F7">
      <w:pPr>
        <w:spacing w:after="0" w:line="240" w:lineRule="auto"/>
        <w:jc w:val="both"/>
        <w:rPr>
          <w:rFonts w:ascii="Arial" w:hAnsi="Arial" w:cs="Arial"/>
          <w:bCs/>
        </w:rPr>
      </w:pPr>
    </w:p>
    <w:p w14:paraId="416AFA7A" w14:textId="635625D6" w:rsidR="00FF2351" w:rsidRPr="00944EB7" w:rsidRDefault="00FF2351" w:rsidP="00DC54F7">
      <w:pPr>
        <w:spacing w:after="0" w:line="240" w:lineRule="auto"/>
        <w:jc w:val="both"/>
        <w:rPr>
          <w:rFonts w:ascii="Arial" w:hAnsi="Arial" w:cs="Arial"/>
          <w:b/>
          <w:sz w:val="24"/>
          <w:szCs w:val="24"/>
        </w:rPr>
      </w:pPr>
      <w:r w:rsidRPr="00944EB7">
        <w:rPr>
          <w:rFonts w:ascii="Arial" w:hAnsi="Arial" w:cs="Arial"/>
          <w:bCs/>
          <w:sz w:val="24"/>
          <w:szCs w:val="24"/>
        </w:rPr>
        <w:t>Alcohol use remains a major public health challenge in Wales. It is associated with the development of many health conditions such as high blood pressure, heart disease, cirrhosis of the liver and cancers of the mouth, throat and breast cancer. Alcohol misuse is a cause of falls, accidents and injuries</w:t>
      </w:r>
      <w:r w:rsidR="00144107" w:rsidRPr="00944EB7">
        <w:rPr>
          <w:rFonts w:ascii="Arial" w:hAnsi="Arial" w:cs="Arial"/>
          <w:bCs/>
          <w:sz w:val="24"/>
          <w:szCs w:val="24"/>
        </w:rPr>
        <w:t>,</w:t>
      </w:r>
      <w:r w:rsidRPr="00944EB7">
        <w:rPr>
          <w:rFonts w:ascii="Arial" w:hAnsi="Arial" w:cs="Arial"/>
          <w:bCs/>
          <w:sz w:val="24"/>
          <w:szCs w:val="24"/>
        </w:rPr>
        <w:t xml:space="preserve"> as well as social problems such as assaults and crimes.  </w:t>
      </w:r>
    </w:p>
    <w:p w14:paraId="4017F249" w14:textId="77777777" w:rsidR="00FF2351" w:rsidRPr="00944EB7" w:rsidRDefault="00FF2351" w:rsidP="00DC54F7">
      <w:pPr>
        <w:spacing w:after="0" w:line="240" w:lineRule="auto"/>
        <w:contextualSpacing/>
        <w:jc w:val="both"/>
        <w:rPr>
          <w:rFonts w:ascii="Arial" w:hAnsi="Arial" w:cs="Arial"/>
          <w:color w:val="0E0E0E"/>
          <w:sz w:val="24"/>
          <w:szCs w:val="24"/>
          <w:shd w:val="clear" w:color="auto" w:fill="FAFAFB"/>
        </w:rPr>
      </w:pPr>
    </w:p>
    <w:p w14:paraId="22CE6806" w14:textId="05CF1B0F" w:rsidR="00581960" w:rsidRPr="00944EB7" w:rsidRDefault="00FF2351" w:rsidP="00DC54F7">
      <w:pPr>
        <w:spacing w:after="0" w:line="240" w:lineRule="auto"/>
        <w:jc w:val="both"/>
        <w:rPr>
          <w:rFonts w:ascii="Arial" w:hAnsi="Arial" w:cs="Arial"/>
          <w:b/>
          <w:sz w:val="24"/>
          <w:szCs w:val="24"/>
        </w:rPr>
      </w:pPr>
      <w:r w:rsidRPr="00944EB7">
        <w:rPr>
          <w:rFonts w:ascii="Arial" w:hAnsi="Arial" w:cs="Arial"/>
          <w:sz w:val="24"/>
          <w:szCs w:val="24"/>
        </w:rPr>
        <w:t xml:space="preserve">In 2016, the UK Chief Medical Officer published new guidelines that advise drinking no more than 14 units </w:t>
      </w:r>
      <w:r w:rsidR="00FA6A1D" w:rsidRPr="00944EB7">
        <w:rPr>
          <w:rFonts w:ascii="Arial" w:hAnsi="Arial" w:cs="Arial"/>
          <w:sz w:val="24"/>
          <w:szCs w:val="24"/>
        </w:rPr>
        <w:t xml:space="preserve">of alcohol </w:t>
      </w:r>
      <w:r w:rsidRPr="00944EB7">
        <w:rPr>
          <w:rFonts w:ascii="Arial" w:hAnsi="Arial" w:cs="Arial"/>
          <w:sz w:val="24"/>
          <w:szCs w:val="24"/>
        </w:rPr>
        <w:t>a week to keep health risks low</w:t>
      </w:r>
      <w:r w:rsidR="003C6A75" w:rsidRPr="00944EB7">
        <w:rPr>
          <w:rStyle w:val="FootnoteReference"/>
          <w:rFonts w:ascii="Arial" w:hAnsi="Arial" w:cs="Arial"/>
          <w:sz w:val="24"/>
          <w:szCs w:val="24"/>
        </w:rPr>
        <w:footnoteReference w:id="18"/>
      </w:r>
      <w:r w:rsidRPr="00944EB7">
        <w:rPr>
          <w:rFonts w:ascii="Arial" w:hAnsi="Arial" w:cs="Arial"/>
          <w:sz w:val="24"/>
          <w:szCs w:val="24"/>
        </w:rPr>
        <w:t>.</w:t>
      </w:r>
      <w:r w:rsidR="00460CF8" w:rsidRPr="00944EB7">
        <w:rPr>
          <w:rFonts w:ascii="Arial" w:hAnsi="Arial" w:cs="Arial"/>
          <w:b/>
          <w:sz w:val="24"/>
          <w:szCs w:val="24"/>
        </w:rPr>
        <w:t xml:space="preserve"> </w:t>
      </w:r>
      <w:r w:rsidR="0086261A" w:rsidRPr="00944EB7">
        <w:rPr>
          <w:rFonts w:ascii="Arial" w:hAnsi="Arial" w:cs="Arial"/>
          <w:sz w:val="24"/>
          <w:szCs w:val="24"/>
        </w:rPr>
        <w:t>Based on combined data for 2018 to 2019 and 2019 to 2020, collected from the National Survey for Wales, nearly one in five adults (1</w:t>
      </w:r>
      <w:r w:rsidR="00647739" w:rsidRPr="00944EB7">
        <w:rPr>
          <w:rFonts w:ascii="Arial" w:hAnsi="Arial" w:cs="Arial"/>
          <w:sz w:val="24"/>
          <w:szCs w:val="24"/>
        </w:rPr>
        <w:t>8.6</w:t>
      </w:r>
      <w:r w:rsidR="0086261A" w:rsidRPr="00944EB7">
        <w:rPr>
          <w:rFonts w:ascii="Arial" w:hAnsi="Arial" w:cs="Arial"/>
          <w:sz w:val="24"/>
          <w:szCs w:val="24"/>
        </w:rPr>
        <w:t xml:space="preserve">%) nationally drink more than the recommended weekly limit of 14 units </w:t>
      </w:r>
      <w:r w:rsidR="005068E6" w:rsidRPr="00944EB7">
        <w:rPr>
          <w:rFonts w:ascii="Arial" w:hAnsi="Arial" w:cs="Arial"/>
          <w:sz w:val="24"/>
          <w:szCs w:val="24"/>
        </w:rPr>
        <w:t xml:space="preserve">of alcohol </w:t>
      </w:r>
      <w:r w:rsidR="0086261A" w:rsidRPr="00944EB7">
        <w:rPr>
          <w:rFonts w:ascii="Arial" w:hAnsi="Arial" w:cs="Arial"/>
          <w:sz w:val="24"/>
          <w:szCs w:val="24"/>
        </w:rPr>
        <w:t xml:space="preserve">a week. </w:t>
      </w:r>
    </w:p>
    <w:p w14:paraId="426ABE4A" w14:textId="1B51AE3B" w:rsidR="00581960" w:rsidRPr="00944EB7" w:rsidRDefault="00581960" w:rsidP="00DC54F7">
      <w:pPr>
        <w:spacing w:after="0" w:line="240" w:lineRule="auto"/>
        <w:contextualSpacing/>
        <w:jc w:val="both"/>
        <w:rPr>
          <w:rFonts w:ascii="Arial" w:hAnsi="Arial" w:cs="Arial"/>
          <w:sz w:val="24"/>
          <w:szCs w:val="24"/>
        </w:rPr>
      </w:pPr>
    </w:p>
    <w:p w14:paraId="719B27F7" w14:textId="62D2E5B7" w:rsidR="009227F7" w:rsidRPr="00944EB7" w:rsidRDefault="0086261A" w:rsidP="00DC54F7">
      <w:pPr>
        <w:spacing w:after="0" w:line="240" w:lineRule="auto"/>
        <w:contextualSpacing/>
        <w:jc w:val="both"/>
        <w:rPr>
          <w:rFonts w:ascii="Arial" w:hAnsi="Arial" w:cs="Arial"/>
          <w:sz w:val="24"/>
          <w:szCs w:val="24"/>
        </w:rPr>
      </w:pPr>
      <w:r w:rsidRPr="00944EB7">
        <w:rPr>
          <w:rFonts w:ascii="Arial" w:hAnsi="Arial" w:cs="Arial"/>
          <w:sz w:val="24"/>
          <w:szCs w:val="24"/>
        </w:rPr>
        <w:t xml:space="preserve">Of all the health boards, </w:t>
      </w:r>
      <w:r w:rsidRPr="00944EB7">
        <w:rPr>
          <w:rFonts w:ascii="Arial" w:eastAsia="Times New Roman" w:hAnsi="Arial" w:cs="Arial"/>
          <w:color w:val="000000"/>
          <w:sz w:val="24"/>
          <w:szCs w:val="24"/>
          <w:lang w:eastAsia="en-GB"/>
        </w:rPr>
        <w:t>C</w:t>
      </w:r>
      <w:r w:rsidR="00215DD3" w:rsidRPr="00944EB7">
        <w:rPr>
          <w:rFonts w:ascii="Arial" w:eastAsia="Times New Roman" w:hAnsi="Arial" w:cs="Arial"/>
          <w:color w:val="000000"/>
          <w:sz w:val="24"/>
          <w:szCs w:val="24"/>
          <w:lang w:eastAsia="en-GB"/>
        </w:rPr>
        <w:t xml:space="preserve">ardiff and Vale </w:t>
      </w:r>
      <w:r w:rsidRPr="00944EB7">
        <w:rPr>
          <w:rFonts w:ascii="Arial" w:eastAsia="Times New Roman" w:hAnsi="Arial" w:cs="Arial"/>
          <w:color w:val="000000"/>
          <w:sz w:val="24"/>
          <w:szCs w:val="24"/>
          <w:lang w:eastAsia="en-GB"/>
        </w:rPr>
        <w:t>University Health Board (</w:t>
      </w:r>
      <w:r w:rsidR="00215DD3" w:rsidRPr="00944EB7">
        <w:rPr>
          <w:rFonts w:ascii="Arial" w:eastAsia="Times New Roman" w:hAnsi="Arial" w:cs="Arial"/>
          <w:color w:val="000000"/>
          <w:sz w:val="24"/>
          <w:szCs w:val="24"/>
          <w:lang w:eastAsia="en-GB"/>
        </w:rPr>
        <w:t>21</w:t>
      </w:r>
      <w:r w:rsidRPr="00944EB7">
        <w:rPr>
          <w:rFonts w:ascii="Arial" w:eastAsia="Times New Roman" w:hAnsi="Arial" w:cs="Arial"/>
          <w:color w:val="000000"/>
          <w:sz w:val="24"/>
          <w:szCs w:val="24"/>
          <w:lang w:eastAsia="en-GB"/>
        </w:rPr>
        <w:t>.</w:t>
      </w:r>
      <w:r w:rsidR="00215DD3" w:rsidRPr="00944EB7">
        <w:rPr>
          <w:rFonts w:ascii="Arial" w:eastAsia="Times New Roman" w:hAnsi="Arial" w:cs="Arial"/>
          <w:color w:val="000000"/>
          <w:sz w:val="24"/>
          <w:szCs w:val="24"/>
          <w:lang w:eastAsia="en-GB"/>
        </w:rPr>
        <w:t>6</w:t>
      </w:r>
      <w:r w:rsidRPr="00944EB7">
        <w:rPr>
          <w:rFonts w:ascii="Arial" w:eastAsia="Times New Roman" w:hAnsi="Arial" w:cs="Arial"/>
          <w:color w:val="000000"/>
          <w:sz w:val="24"/>
          <w:szCs w:val="24"/>
          <w:lang w:eastAsia="en-GB"/>
        </w:rPr>
        <w:t>%) ha</w:t>
      </w:r>
      <w:r w:rsidR="009227F7" w:rsidRPr="00944EB7">
        <w:rPr>
          <w:rFonts w:ascii="Arial" w:eastAsia="Times New Roman" w:hAnsi="Arial" w:cs="Arial"/>
          <w:color w:val="000000"/>
          <w:sz w:val="24"/>
          <w:szCs w:val="24"/>
          <w:lang w:eastAsia="en-GB"/>
        </w:rPr>
        <w:t>s</w:t>
      </w:r>
      <w:r w:rsidRPr="00944EB7">
        <w:rPr>
          <w:rFonts w:ascii="Arial" w:eastAsia="Times New Roman" w:hAnsi="Arial" w:cs="Arial"/>
          <w:color w:val="000000"/>
          <w:sz w:val="24"/>
          <w:szCs w:val="24"/>
          <w:lang w:eastAsia="en-GB"/>
        </w:rPr>
        <w:t xml:space="preserve"> the </w:t>
      </w:r>
      <w:r w:rsidR="00372B20" w:rsidRPr="00944EB7">
        <w:rPr>
          <w:rFonts w:ascii="Arial" w:eastAsia="Times New Roman" w:hAnsi="Arial" w:cs="Arial"/>
          <w:color w:val="000000"/>
          <w:sz w:val="24"/>
          <w:szCs w:val="24"/>
          <w:lang w:eastAsia="en-GB"/>
        </w:rPr>
        <w:t xml:space="preserve">highest </w:t>
      </w:r>
      <w:r w:rsidRPr="00944EB7">
        <w:rPr>
          <w:rFonts w:ascii="Arial" w:hAnsi="Arial" w:cs="Arial"/>
          <w:sz w:val="24"/>
          <w:szCs w:val="24"/>
        </w:rPr>
        <w:t xml:space="preserve">proportion of its population </w:t>
      </w:r>
      <w:r w:rsidR="005C05FD" w:rsidRPr="00944EB7">
        <w:rPr>
          <w:rFonts w:ascii="Arial" w:hAnsi="Arial" w:cs="Arial"/>
          <w:sz w:val="24"/>
          <w:szCs w:val="24"/>
        </w:rPr>
        <w:t xml:space="preserve">reporting to </w:t>
      </w:r>
      <w:r w:rsidRPr="00944EB7">
        <w:rPr>
          <w:rFonts w:ascii="Arial" w:hAnsi="Arial" w:cs="Arial"/>
          <w:sz w:val="24"/>
          <w:szCs w:val="24"/>
        </w:rPr>
        <w:t>dr</w:t>
      </w:r>
      <w:r w:rsidR="00E17D6D" w:rsidRPr="00944EB7">
        <w:rPr>
          <w:rFonts w:ascii="Arial" w:hAnsi="Arial" w:cs="Arial"/>
          <w:sz w:val="24"/>
          <w:szCs w:val="24"/>
        </w:rPr>
        <w:t>i</w:t>
      </w:r>
      <w:r w:rsidRPr="00944EB7">
        <w:rPr>
          <w:rFonts w:ascii="Arial" w:hAnsi="Arial" w:cs="Arial"/>
          <w:sz w:val="24"/>
          <w:szCs w:val="24"/>
        </w:rPr>
        <w:t xml:space="preserve">nk above the recommended weekly units. </w:t>
      </w:r>
      <w:r w:rsidR="00BC1A14" w:rsidRPr="00944EB7">
        <w:rPr>
          <w:rFonts w:ascii="Arial" w:hAnsi="Arial" w:cs="Arial"/>
          <w:sz w:val="24"/>
          <w:szCs w:val="24"/>
        </w:rPr>
        <w:t>T</w:t>
      </w:r>
      <w:r w:rsidR="006E41C0" w:rsidRPr="00944EB7">
        <w:rPr>
          <w:rFonts w:ascii="Arial" w:hAnsi="Arial" w:cs="Arial"/>
          <w:sz w:val="24"/>
          <w:szCs w:val="24"/>
        </w:rPr>
        <w:t xml:space="preserve">he Vale of Glamorgan (25.2%) has the </w:t>
      </w:r>
      <w:r w:rsidR="0074484C" w:rsidRPr="00944EB7">
        <w:rPr>
          <w:rFonts w:ascii="Arial" w:hAnsi="Arial" w:cs="Arial"/>
          <w:sz w:val="24"/>
          <w:szCs w:val="24"/>
        </w:rPr>
        <w:t>highes</w:t>
      </w:r>
      <w:r w:rsidR="00581993" w:rsidRPr="00944EB7">
        <w:rPr>
          <w:rFonts w:ascii="Arial" w:hAnsi="Arial" w:cs="Arial"/>
          <w:sz w:val="24"/>
          <w:szCs w:val="24"/>
        </w:rPr>
        <w:t xml:space="preserve">t </w:t>
      </w:r>
      <w:r w:rsidR="00D03B8D" w:rsidRPr="00944EB7">
        <w:rPr>
          <w:rFonts w:ascii="Arial" w:hAnsi="Arial" w:cs="Arial"/>
          <w:sz w:val="24"/>
          <w:szCs w:val="24"/>
        </w:rPr>
        <w:t xml:space="preserve">proportion </w:t>
      </w:r>
      <w:r w:rsidR="00A33816" w:rsidRPr="00944EB7">
        <w:rPr>
          <w:rFonts w:ascii="Arial" w:hAnsi="Arial" w:cs="Arial"/>
          <w:sz w:val="24"/>
          <w:szCs w:val="24"/>
        </w:rPr>
        <w:t xml:space="preserve">of all </w:t>
      </w:r>
      <w:r w:rsidR="00567F4B" w:rsidRPr="00944EB7">
        <w:rPr>
          <w:rFonts w:ascii="Arial" w:hAnsi="Arial" w:cs="Arial"/>
          <w:sz w:val="24"/>
          <w:szCs w:val="24"/>
        </w:rPr>
        <w:t>local</w:t>
      </w:r>
      <w:r w:rsidR="00A33816" w:rsidRPr="00944EB7">
        <w:rPr>
          <w:rFonts w:ascii="Arial" w:hAnsi="Arial" w:cs="Arial"/>
          <w:sz w:val="24"/>
          <w:szCs w:val="24"/>
        </w:rPr>
        <w:t xml:space="preserve"> authorities, </w:t>
      </w:r>
      <w:r w:rsidR="003654BC" w:rsidRPr="00944EB7">
        <w:rPr>
          <w:rFonts w:ascii="Arial" w:hAnsi="Arial" w:cs="Arial"/>
          <w:sz w:val="24"/>
          <w:szCs w:val="24"/>
        </w:rPr>
        <w:t xml:space="preserve">significantly higher </w:t>
      </w:r>
      <w:r w:rsidR="00F95718" w:rsidRPr="00944EB7">
        <w:rPr>
          <w:rFonts w:ascii="Arial" w:hAnsi="Arial" w:cs="Arial"/>
          <w:sz w:val="24"/>
          <w:szCs w:val="24"/>
        </w:rPr>
        <w:t>than the average for Wales</w:t>
      </w:r>
      <w:r w:rsidR="003654BC" w:rsidRPr="00944EB7">
        <w:rPr>
          <w:rFonts w:ascii="Arial" w:hAnsi="Arial" w:cs="Arial"/>
          <w:sz w:val="24"/>
          <w:szCs w:val="24"/>
        </w:rPr>
        <w:t xml:space="preserve">. </w:t>
      </w:r>
      <w:r w:rsidR="002B1F08" w:rsidRPr="00944EB7">
        <w:rPr>
          <w:rFonts w:ascii="Arial" w:hAnsi="Arial" w:cs="Arial"/>
          <w:sz w:val="24"/>
          <w:szCs w:val="24"/>
        </w:rPr>
        <w:t xml:space="preserve">Cardiff </w:t>
      </w:r>
      <w:r w:rsidR="00A0159D" w:rsidRPr="00944EB7">
        <w:rPr>
          <w:rFonts w:ascii="Arial" w:hAnsi="Arial" w:cs="Arial"/>
          <w:sz w:val="24"/>
          <w:szCs w:val="24"/>
        </w:rPr>
        <w:t xml:space="preserve">has a lower </w:t>
      </w:r>
      <w:r w:rsidR="00A3081E" w:rsidRPr="00944EB7">
        <w:rPr>
          <w:rFonts w:ascii="Arial" w:hAnsi="Arial" w:cs="Arial"/>
          <w:sz w:val="24"/>
          <w:szCs w:val="24"/>
        </w:rPr>
        <w:t>proportion</w:t>
      </w:r>
      <w:r w:rsidR="00A0159D" w:rsidRPr="00944EB7">
        <w:rPr>
          <w:rFonts w:ascii="Arial" w:hAnsi="Arial" w:cs="Arial"/>
          <w:sz w:val="24"/>
          <w:szCs w:val="24"/>
        </w:rPr>
        <w:t xml:space="preserve"> </w:t>
      </w:r>
      <w:r w:rsidR="002B1F08" w:rsidRPr="00944EB7">
        <w:rPr>
          <w:rFonts w:ascii="Arial" w:hAnsi="Arial" w:cs="Arial"/>
          <w:sz w:val="24"/>
          <w:szCs w:val="24"/>
        </w:rPr>
        <w:t>(20.2%)</w:t>
      </w:r>
      <w:r w:rsidR="004861DA" w:rsidRPr="00944EB7">
        <w:rPr>
          <w:rFonts w:ascii="Arial" w:hAnsi="Arial" w:cs="Arial"/>
          <w:sz w:val="24"/>
          <w:szCs w:val="24"/>
        </w:rPr>
        <w:t xml:space="preserve">, although </w:t>
      </w:r>
      <w:r w:rsidR="003F38B7" w:rsidRPr="00944EB7">
        <w:rPr>
          <w:rFonts w:ascii="Arial" w:hAnsi="Arial" w:cs="Arial"/>
          <w:sz w:val="24"/>
          <w:szCs w:val="24"/>
        </w:rPr>
        <w:t xml:space="preserve">still higher </w:t>
      </w:r>
      <w:r w:rsidR="00F95718" w:rsidRPr="00944EB7">
        <w:rPr>
          <w:rFonts w:ascii="Arial" w:hAnsi="Arial" w:cs="Arial"/>
          <w:sz w:val="24"/>
          <w:szCs w:val="24"/>
        </w:rPr>
        <w:t>than the average for Wales</w:t>
      </w:r>
      <w:r w:rsidR="003F38B7" w:rsidRPr="00944EB7">
        <w:rPr>
          <w:rFonts w:ascii="Arial" w:hAnsi="Arial" w:cs="Arial"/>
          <w:sz w:val="24"/>
          <w:szCs w:val="24"/>
        </w:rPr>
        <w:t>.</w:t>
      </w:r>
    </w:p>
    <w:p w14:paraId="40591959" w14:textId="37F15C35" w:rsidR="009227F7" w:rsidRDefault="009227F7" w:rsidP="00DC54F7">
      <w:pPr>
        <w:spacing w:after="0" w:line="240" w:lineRule="auto"/>
        <w:contextualSpacing/>
        <w:jc w:val="both"/>
        <w:rPr>
          <w:rFonts w:ascii="Arial" w:hAnsi="Arial" w:cs="Arial"/>
        </w:rPr>
      </w:pPr>
    </w:p>
    <w:p w14:paraId="2ED53855" w14:textId="61BEFE86" w:rsidR="00754DE6" w:rsidRPr="00944EB7" w:rsidRDefault="00584BB8" w:rsidP="00DC54F7">
      <w:pPr>
        <w:spacing w:after="0" w:line="240" w:lineRule="auto"/>
        <w:contextualSpacing/>
        <w:jc w:val="both"/>
        <w:rPr>
          <w:rFonts w:ascii="Arial" w:hAnsi="Arial" w:cs="Arial"/>
          <w:b/>
          <w:bCs/>
          <w:sz w:val="24"/>
          <w:szCs w:val="24"/>
        </w:rPr>
      </w:pPr>
      <w:r w:rsidRPr="00944EB7">
        <w:rPr>
          <w:rFonts w:ascii="Arial" w:hAnsi="Arial" w:cs="Arial"/>
          <w:b/>
          <w:bCs/>
          <w:sz w:val="24"/>
          <w:szCs w:val="24"/>
        </w:rPr>
        <w:t>Table</w:t>
      </w:r>
      <w:r w:rsidR="00F22702" w:rsidRPr="00944EB7">
        <w:rPr>
          <w:rFonts w:ascii="Arial" w:hAnsi="Arial" w:cs="Arial"/>
          <w:b/>
          <w:bCs/>
          <w:sz w:val="24"/>
          <w:szCs w:val="24"/>
        </w:rPr>
        <w:t xml:space="preserve"> 3.10</w:t>
      </w:r>
      <w:r w:rsidRPr="00944EB7">
        <w:rPr>
          <w:rFonts w:ascii="Arial" w:hAnsi="Arial" w:cs="Arial"/>
          <w:b/>
          <w:bCs/>
          <w:sz w:val="24"/>
          <w:szCs w:val="24"/>
        </w:rPr>
        <w:t xml:space="preserve">: </w:t>
      </w:r>
      <w:r w:rsidR="009A5360" w:rsidRPr="00944EB7">
        <w:rPr>
          <w:rFonts w:ascii="Arial" w:hAnsi="Arial" w:cs="Arial"/>
          <w:b/>
          <w:bCs/>
          <w:sz w:val="24"/>
          <w:szCs w:val="24"/>
        </w:rPr>
        <w:t>Weekly average alcohol consumption ab</w:t>
      </w:r>
      <w:r w:rsidR="007E5208" w:rsidRPr="00944EB7">
        <w:rPr>
          <w:rFonts w:ascii="Arial" w:hAnsi="Arial" w:cs="Arial"/>
          <w:b/>
          <w:bCs/>
          <w:sz w:val="24"/>
          <w:szCs w:val="24"/>
        </w:rPr>
        <w:t>ove the</w:t>
      </w:r>
      <w:r w:rsidR="009A5360" w:rsidRPr="00944EB7">
        <w:rPr>
          <w:rFonts w:ascii="Arial" w:hAnsi="Arial" w:cs="Arial"/>
          <w:b/>
          <w:bCs/>
          <w:sz w:val="24"/>
          <w:szCs w:val="24"/>
        </w:rPr>
        <w:t xml:space="preserve"> </w:t>
      </w:r>
      <w:r w:rsidR="005F081B" w:rsidRPr="00944EB7">
        <w:rPr>
          <w:rFonts w:ascii="Arial" w:hAnsi="Arial" w:cs="Arial"/>
          <w:b/>
          <w:bCs/>
          <w:sz w:val="24"/>
          <w:szCs w:val="24"/>
        </w:rPr>
        <w:t xml:space="preserve">recommended guidelines by </w:t>
      </w:r>
      <w:r w:rsidR="00567F4B" w:rsidRPr="00944EB7">
        <w:rPr>
          <w:rFonts w:ascii="Arial" w:hAnsi="Arial" w:cs="Arial"/>
          <w:b/>
          <w:bCs/>
          <w:sz w:val="24"/>
          <w:szCs w:val="24"/>
        </w:rPr>
        <w:t>local</w:t>
      </w:r>
      <w:r w:rsidR="005F081B" w:rsidRPr="00944EB7">
        <w:rPr>
          <w:rFonts w:ascii="Arial" w:hAnsi="Arial" w:cs="Arial"/>
          <w:b/>
          <w:bCs/>
          <w:sz w:val="24"/>
          <w:szCs w:val="24"/>
        </w:rPr>
        <w:t xml:space="preserve"> authority, health board and Wales, </w:t>
      </w:r>
      <w:r w:rsidR="00DD34C2" w:rsidRPr="00944EB7">
        <w:rPr>
          <w:rFonts w:ascii="Arial" w:hAnsi="Arial" w:cs="Arial"/>
          <w:b/>
          <w:bCs/>
          <w:sz w:val="24"/>
          <w:szCs w:val="24"/>
        </w:rPr>
        <w:t>2018 to 2020</w:t>
      </w:r>
    </w:p>
    <w:tbl>
      <w:tblPr>
        <w:tblW w:w="9106" w:type="dxa"/>
        <w:tblBorders>
          <w:top w:val="single" w:sz="4" w:space="0" w:color="auto"/>
          <w:left w:val="single" w:sz="4" w:space="0" w:color="auto"/>
          <w:bottom w:val="single" w:sz="4" w:space="0" w:color="auto"/>
          <w:right w:val="single" w:sz="4" w:space="0" w:color="auto"/>
          <w:insideH w:val="single" w:sz="4" w:space="0" w:color="C9C9C9"/>
        </w:tblBorders>
        <w:tblLook w:val="04A0" w:firstRow="1" w:lastRow="0" w:firstColumn="1" w:lastColumn="0" w:noHBand="0" w:noVBand="1"/>
      </w:tblPr>
      <w:tblGrid>
        <w:gridCol w:w="4551"/>
        <w:gridCol w:w="4555"/>
      </w:tblGrid>
      <w:tr w:rsidR="00447D9E" w:rsidRPr="00754DE6" w14:paraId="6A78D6F6" w14:textId="77777777" w:rsidTr="00237D3A">
        <w:trPr>
          <w:trHeight w:val="810"/>
        </w:trPr>
        <w:tc>
          <w:tcPr>
            <w:tcW w:w="4551" w:type="dxa"/>
            <w:shd w:val="clear" w:color="000000" w:fill="8497B0"/>
            <w:noWrap/>
            <w:vAlign w:val="bottom"/>
            <w:hideMark/>
          </w:tcPr>
          <w:p w14:paraId="04685DE7" w14:textId="77777777" w:rsidR="00447D9E" w:rsidRPr="00754DE6" w:rsidRDefault="00447D9E" w:rsidP="00DC54F7">
            <w:pPr>
              <w:spacing w:after="0" w:line="240" w:lineRule="auto"/>
              <w:jc w:val="both"/>
              <w:rPr>
                <w:rFonts w:ascii="Calibri" w:eastAsia="Times New Roman" w:hAnsi="Calibri" w:cs="Times New Roman"/>
                <w:b/>
                <w:bCs/>
                <w:color w:val="FFFFFF"/>
                <w:lang w:eastAsia="en-GB"/>
              </w:rPr>
            </w:pPr>
            <w:r w:rsidRPr="00754DE6">
              <w:rPr>
                <w:rFonts w:ascii="Calibri" w:eastAsia="Times New Roman" w:hAnsi="Calibri" w:cs="Times New Roman"/>
                <w:b/>
                <w:bCs/>
                <w:color w:val="FFFFFF"/>
                <w:lang w:eastAsia="en-GB"/>
              </w:rPr>
              <w:t>Area</w:t>
            </w:r>
          </w:p>
        </w:tc>
        <w:tc>
          <w:tcPr>
            <w:tcW w:w="4555" w:type="dxa"/>
            <w:shd w:val="clear" w:color="000000" w:fill="8497B0"/>
            <w:vAlign w:val="bottom"/>
            <w:hideMark/>
          </w:tcPr>
          <w:p w14:paraId="5B3AEFEB" w14:textId="6F2FC2F3" w:rsidR="006F5B02" w:rsidRPr="006F5B02" w:rsidRDefault="006F5B02" w:rsidP="00DC54F7">
            <w:pPr>
              <w:jc w:val="both"/>
              <w:rPr>
                <w:rFonts w:ascii="Calibri" w:hAnsi="Calibri"/>
                <w:b/>
                <w:bCs/>
                <w:color w:val="FFFFFF" w:themeColor="background1"/>
              </w:rPr>
            </w:pPr>
            <w:r w:rsidRPr="006F5B02">
              <w:rPr>
                <w:rFonts w:ascii="Calibri" w:hAnsi="Calibri"/>
                <w:b/>
                <w:bCs/>
                <w:color w:val="FFFFFF" w:themeColor="background1"/>
              </w:rPr>
              <w:t xml:space="preserve">Average weekly alcohol consumption - above 14 units (over </w:t>
            </w:r>
            <w:r w:rsidR="00FC06DF">
              <w:rPr>
                <w:rFonts w:ascii="Calibri" w:hAnsi="Calibri"/>
                <w:b/>
                <w:bCs/>
                <w:color w:val="FFFFFF" w:themeColor="background1"/>
              </w:rPr>
              <w:t xml:space="preserve">the </w:t>
            </w:r>
            <w:r w:rsidRPr="006F5B02">
              <w:rPr>
                <w:rFonts w:ascii="Calibri" w:hAnsi="Calibri"/>
                <w:b/>
                <w:bCs/>
                <w:color w:val="FFFFFF" w:themeColor="background1"/>
              </w:rPr>
              <w:t xml:space="preserve">guidelines) </w:t>
            </w:r>
          </w:p>
          <w:p w14:paraId="6AF59598" w14:textId="28FEE6BA" w:rsidR="00447D9E" w:rsidRPr="00754DE6" w:rsidRDefault="00447D9E" w:rsidP="00DC54F7">
            <w:pPr>
              <w:spacing w:after="0" w:line="240" w:lineRule="auto"/>
              <w:jc w:val="both"/>
              <w:rPr>
                <w:rFonts w:ascii="Calibri" w:eastAsia="Times New Roman" w:hAnsi="Calibri" w:cs="Times New Roman"/>
                <w:b/>
                <w:bCs/>
                <w:color w:val="FFFFFF"/>
                <w:lang w:eastAsia="en-GB"/>
              </w:rPr>
            </w:pPr>
          </w:p>
        </w:tc>
      </w:tr>
      <w:tr w:rsidR="00447D9E" w:rsidRPr="00754DE6" w14:paraId="0C79AF7F" w14:textId="77777777" w:rsidTr="00237D3A">
        <w:trPr>
          <w:trHeight w:val="269"/>
        </w:trPr>
        <w:tc>
          <w:tcPr>
            <w:tcW w:w="4551" w:type="dxa"/>
            <w:shd w:val="clear" w:color="EDEDED" w:fill="EDEDED"/>
            <w:noWrap/>
            <w:vAlign w:val="bottom"/>
            <w:hideMark/>
          </w:tcPr>
          <w:p w14:paraId="38DB8731" w14:textId="77777777" w:rsidR="00447D9E" w:rsidRPr="00754DE6" w:rsidRDefault="00447D9E" w:rsidP="00DC54F7">
            <w:pPr>
              <w:spacing w:after="0" w:line="240" w:lineRule="auto"/>
              <w:jc w:val="both"/>
              <w:rPr>
                <w:rFonts w:ascii="Calibri" w:eastAsia="Times New Roman" w:hAnsi="Calibri" w:cs="Times New Roman"/>
                <w:color w:val="000000"/>
                <w:lang w:eastAsia="en-GB"/>
              </w:rPr>
            </w:pPr>
            <w:r w:rsidRPr="00754DE6">
              <w:rPr>
                <w:rFonts w:ascii="Calibri" w:eastAsia="Times New Roman" w:hAnsi="Calibri" w:cs="Times New Roman"/>
                <w:color w:val="000000"/>
                <w:lang w:eastAsia="en-GB"/>
              </w:rPr>
              <w:t xml:space="preserve">Cardiff </w:t>
            </w:r>
          </w:p>
        </w:tc>
        <w:tc>
          <w:tcPr>
            <w:tcW w:w="4555" w:type="dxa"/>
            <w:shd w:val="clear" w:color="EDEDED" w:fill="EDEDED"/>
            <w:noWrap/>
            <w:vAlign w:val="bottom"/>
            <w:hideMark/>
          </w:tcPr>
          <w:p w14:paraId="297F1C9E" w14:textId="77777777" w:rsidR="00447D9E" w:rsidRPr="00754DE6" w:rsidRDefault="00447D9E" w:rsidP="00DC54F7">
            <w:pPr>
              <w:spacing w:after="0" w:line="240" w:lineRule="auto"/>
              <w:jc w:val="both"/>
              <w:rPr>
                <w:rFonts w:ascii="Calibri" w:eastAsia="Times New Roman" w:hAnsi="Calibri" w:cs="Times New Roman"/>
                <w:color w:val="000000"/>
                <w:lang w:eastAsia="en-GB"/>
              </w:rPr>
            </w:pPr>
            <w:r w:rsidRPr="00754DE6">
              <w:rPr>
                <w:rFonts w:ascii="Calibri" w:eastAsia="Times New Roman" w:hAnsi="Calibri" w:cs="Times New Roman"/>
                <w:color w:val="000000"/>
                <w:lang w:eastAsia="en-GB"/>
              </w:rPr>
              <w:t>20.2</w:t>
            </w:r>
          </w:p>
        </w:tc>
      </w:tr>
      <w:tr w:rsidR="00447D9E" w:rsidRPr="00754DE6" w14:paraId="28ABEE55" w14:textId="77777777" w:rsidTr="00237D3A">
        <w:trPr>
          <w:trHeight w:val="269"/>
        </w:trPr>
        <w:tc>
          <w:tcPr>
            <w:tcW w:w="4551" w:type="dxa"/>
            <w:shd w:val="clear" w:color="auto" w:fill="auto"/>
            <w:noWrap/>
            <w:vAlign w:val="bottom"/>
            <w:hideMark/>
          </w:tcPr>
          <w:p w14:paraId="334E434D" w14:textId="77777777" w:rsidR="00447D9E" w:rsidRPr="00754DE6" w:rsidRDefault="00447D9E" w:rsidP="00DC54F7">
            <w:pPr>
              <w:spacing w:after="0" w:line="240" w:lineRule="auto"/>
              <w:jc w:val="both"/>
              <w:rPr>
                <w:rFonts w:ascii="Calibri" w:eastAsia="Times New Roman" w:hAnsi="Calibri" w:cs="Times New Roman"/>
                <w:color w:val="000000"/>
                <w:lang w:eastAsia="en-GB"/>
              </w:rPr>
            </w:pPr>
            <w:r w:rsidRPr="00754DE6">
              <w:rPr>
                <w:rFonts w:ascii="Calibri" w:eastAsia="Times New Roman" w:hAnsi="Calibri" w:cs="Times New Roman"/>
                <w:color w:val="000000"/>
                <w:lang w:eastAsia="en-GB"/>
              </w:rPr>
              <w:t xml:space="preserve">Vale of Glamorgan </w:t>
            </w:r>
          </w:p>
        </w:tc>
        <w:tc>
          <w:tcPr>
            <w:tcW w:w="4555" w:type="dxa"/>
            <w:shd w:val="clear" w:color="auto" w:fill="auto"/>
            <w:noWrap/>
            <w:vAlign w:val="bottom"/>
            <w:hideMark/>
          </w:tcPr>
          <w:p w14:paraId="75FA917A" w14:textId="77777777" w:rsidR="00447D9E" w:rsidRPr="00754DE6" w:rsidRDefault="00447D9E" w:rsidP="00DC54F7">
            <w:pPr>
              <w:spacing w:after="0" w:line="240" w:lineRule="auto"/>
              <w:jc w:val="both"/>
              <w:rPr>
                <w:rFonts w:ascii="Calibri" w:eastAsia="Times New Roman" w:hAnsi="Calibri" w:cs="Times New Roman"/>
                <w:color w:val="000000"/>
                <w:lang w:eastAsia="en-GB"/>
              </w:rPr>
            </w:pPr>
            <w:r w:rsidRPr="00754DE6">
              <w:rPr>
                <w:rFonts w:ascii="Calibri" w:eastAsia="Times New Roman" w:hAnsi="Calibri" w:cs="Times New Roman"/>
                <w:color w:val="000000"/>
                <w:lang w:eastAsia="en-GB"/>
              </w:rPr>
              <w:t>25.2</w:t>
            </w:r>
          </w:p>
        </w:tc>
      </w:tr>
      <w:tr w:rsidR="00447D9E" w:rsidRPr="00754DE6" w14:paraId="4F0392EF" w14:textId="77777777" w:rsidTr="00237D3A">
        <w:trPr>
          <w:trHeight w:val="269"/>
        </w:trPr>
        <w:tc>
          <w:tcPr>
            <w:tcW w:w="4551" w:type="dxa"/>
            <w:shd w:val="clear" w:color="EDEDED" w:fill="EDEDED"/>
            <w:noWrap/>
            <w:vAlign w:val="bottom"/>
            <w:hideMark/>
          </w:tcPr>
          <w:p w14:paraId="66E2F3D7" w14:textId="77777777" w:rsidR="00447D9E" w:rsidRPr="00754DE6" w:rsidRDefault="00447D9E" w:rsidP="00DC54F7">
            <w:pPr>
              <w:spacing w:after="0" w:line="240" w:lineRule="auto"/>
              <w:jc w:val="both"/>
              <w:rPr>
                <w:rFonts w:ascii="Calibri" w:eastAsia="Times New Roman" w:hAnsi="Calibri" w:cs="Times New Roman"/>
                <w:color w:val="000000"/>
                <w:lang w:eastAsia="en-GB"/>
              </w:rPr>
            </w:pPr>
            <w:r w:rsidRPr="00754DE6">
              <w:rPr>
                <w:rFonts w:ascii="Calibri" w:eastAsia="Times New Roman" w:hAnsi="Calibri" w:cs="Times New Roman"/>
                <w:color w:val="000000"/>
                <w:lang w:eastAsia="en-GB"/>
              </w:rPr>
              <w:t>Cardiff and Vale UHB</w:t>
            </w:r>
          </w:p>
        </w:tc>
        <w:tc>
          <w:tcPr>
            <w:tcW w:w="4555" w:type="dxa"/>
            <w:shd w:val="clear" w:color="EDEDED" w:fill="EDEDED"/>
            <w:noWrap/>
            <w:vAlign w:val="bottom"/>
            <w:hideMark/>
          </w:tcPr>
          <w:p w14:paraId="53571669" w14:textId="77777777" w:rsidR="00447D9E" w:rsidRPr="00754DE6" w:rsidRDefault="00447D9E" w:rsidP="00DC54F7">
            <w:pPr>
              <w:spacing w:after="0" w:line="240" w:lineRule="auto"/>
              <w:jc w:val="both"/>
              <w:rPr>
                <w:rFonts w:ascii="Calibri" w:eastAsia="Times New Roman" w:hAnsi="Calibri" w:cs="Times New Roman"/>
                <w:color w:val="000000"/>
                <w:lang w:eastAsia="en-GB"/>
              </w:rPr>
            </w:pPr>
            <w:r w:rsidRPr="00754DE6">
              <w:rPr>
                <w:rFonts w:ascii="Calibri" w:eastAsia="Times New Roman" w:hAnsi="Calibri" w:cs="Times New Roman"/>
                <w:color w:val="000000"/>
                <w:lang w:eastAsia="en-GB"/>
              </w:rPr>
              <w:t>21.6</w:t>
            </w:r>
          </w:p>
        </w:tc>
      </w:tr>
      <w:tr w:rsidR="00447D9E" w:rsidRPr="00754DE6" w14:paraId="2F0AA028" w14:textId="77777777" w:rsidTr="00237D3A">
        <w:trPr>
          <w:trHeight w:val="269"/>
        </w:trPr>
        <w:tc>
          <w:tcPr>
            <w:tcW w:w="4551" w:type="dxa"/>
            <w:shd w:val="clear" w:color="auto" w:fill="auto"/>
            <w:noWrap/>
            <w:vAlign w:val="bottom"/>
            <w:hideMark/>
          </w:tcPr>
          <w:p w14:paraId="5728BE07" w14:textId="77777777" w:rsidR="00447D9E" w:rsidRPr="00754DE6" w:rsidRDefault="00447D9E" w:rsidP="00DC54F7">
            <w:pPr>
              <w:spacing w:after="0" w:line="240" w:lineRule="auto"/>
              <w:jc w:val="both"/>
              <w:rPr>
                <w:rFonts w:ascii="Calibri" w:eastAsia="Times New Roman" w:hAnsi="Calibri" w:cs="Times New Roman"/>
                <w:color w:val="000000"/>
                <w:lang w:eastAsia="en-GB"/>
              </w:rPr>
            </w:pPr>
            <w:r w:rsidRPr="00754DE6">
              <w:rPr>
                <w:rFonts w:ascii="Calibri" w:eastAsia="Times New Roman" w:hAnsi="Calibri" w:cs="Times New Roman"/>
                <w:color w:val="000000"/>
                <w:lang w:eastAsia="en-GB"/>
              </w:rPr>
              <w:t xml:space="preserve">Wales </w:t>
            </w:r>
          </w:p>
        </w:tc>
        <w:tc>
          <w:tcPr>
            <w:tcW w:w="4555" w:type="dxa"/>
            <w:shd w:val="clear" w:color="auto" w:fill="auto"/>
            <w:noWrap/>
            <w:vAlign w:val="bottom"/>
            <w:hideMark/>
          </w:tcPr>
          <w:p w14:paraId="4232B9B1" w14:textId="77777777" w:rsidR="00447D9E" w:rsidRPr="00754DE6" w:rsidRDefault="00447D9E" w:rsidP="00DC54F7">
            <w:pPr>
              <w:spacing w:after="0" w:line="240" w:lineRule="auto"/>
              <w:jc w:val="both"/>
              <w:rPr>
                <w:rFonts w:ascii="Calibri" w:eastAsia="Times New Roman" w:hAnsi="Calibri" w:cs="Times New Roman"/>
                <w:color w:val="000000"/>
                <w:lang w:eastAsia="en-GB"/>
              </w:rPr>
            </w:pPr>
            <w:r w:rsidRPr="00754DE6">
              <w:rPr>
                <w:rFonts w:ascii="Calibri" w:eastAsia="Times New Roman" w:hAnsi="Calibri" w:cs="Times New Roman"/>
                <w:color w:val="000000"/>
                <w:lang w:eastAsia="en-GB"/>
              </w:rPr>
              <w:t>18.6</w:t>
            </w:r>
          </w:p>
        </w:tc>
      </w:tr>
    </w:tbl>
    <w:p w14:paraId="46B82FC1" w14:textId="77777777" w:rsidR="00584BB8" w:rsidRPr="00944EB7" w:rsidRDefault="00584BB8" w:rsidP="00DC54F7">
      <w:pPr>
        <w:jc w:val="both"/>
        <w:rPr>
          <w:rFonts w:ascii="Arial" w:hAnsi="Arial" w:cs="Arial"/>
          <w:sz w:val="20"/>
          <w:szCs w:val="20"/>
        </w:rPr>
      </w:pPr>
      <w:r w:rsidRPr="00944EB7">
        <w:rPr>
          <w:rFonts w:ascii="Arial" w:hAnsi="Arial" w:cs="Arial"/>
          <w:sz w:val="20"/>
          <w:szCs w:val="20"/>
        </w:rPr>
        <w:t>Source: StatsWales – National Survey for Wales</w:t>
      </w:r>
    </w:p>
    <w:p w14:paraId="53C3C509" w14:textId="45C22CC8" w:rsidR="00B76DFF" w:rsidRPr="00944EB7" w:rsidRDefault="00B76DFF" w:rsidP="00DC54F7">
      <w:pPr>
        <w:spacing w:after="0" w:line="240" w:lineRule="auto"/>
        <w:contextualSpacing/>
        <w:jc w:val="both"/>
        <w:rPr>
          <w:rFonts w:ascii="Arial" w:hAnsi="Arial" w:cs="Arial"/>
          <w:sz w:val="24"/>
          <w:szCs w:val="24"/>
        </w:rPr>
      </w:pPr>
      <w:r w:rsidRPr="00944EB7">
        <w:rPr>
          <w:rFonts w:ascii="Arial" w:hAnsi="Arial" w:cs="Arial"/>
          <w:sz w:val="24"/>
          <w:szCs w:val="24"/>
        </w:rPr>
        <w:t xml:space="preserve">The chart below highlights the reported drinking patterns in the </w:t>
      </w:r>
      <w:r w:rsidRPr="00944EB7">
        <w:rPr>
          <w:rFonts w:ascii="Arial" w:eastAsia="Times New Roman" w:hAnsi="Arial" w:cs="Arial"/>
          <w:color w:val="000000"/>
          <w:sz w:val="24"/>
          <w:szCs w:val="24"/>
          <w:lang w:eastAsia="en-GB"/>
        </w:rPr>
        <w:t>Cardiff and Vale University Health Board area</w:t>
      </w:r>
      <w:r w:rsidR="00BF458C" w:rsidRPr="00944EB7">
        <w:rPr>
          <w:rFonts w:ascii="Arial" w:eastAsia="Times New Roman" w:hAnsi="Arial" w:cs="Arial"/>
          <w:color w:val="000000"/>
          <w:sz w:val="24"/>
          <w:szCs w:val="24"/>
          <w:lang w:eastAsia="en-GB"/>
        </w:rPr>
        <w:t xml:space="preserve"> compared to Wales</w:t>
      </w:r>
      <w:r w:rsidRPr="00944EB7">
        <w:rPr>
          <w:rFonts w:ascii="Arial" w:eastAsia="Times New Roman" w:hAnsi="Arial" w:cs="Arial"/>
          <w:color w:val="000000"/>
          <w:sz w:val="24"/>
          <w:szCs w:val="24"/>
          <w:lang w:eastAsia="en-GB"/>
        </w:rPr>
        <w:t xml:space="preserve">. </w:t>
      </w:r>
    </w:p>
    <w:p w14:paraId="4F703791" w14:textId="6D2357ED" w:rsidR="0086261A" w:rsidRDefault="0086261A" w:rsidP="00DC54F7">
      <w:pPr>
        <w:spacing w:after="0" w:line="240" w:lineRule="auto"/>
        <w:contextualSpacing/>
        <w:jc w:val="both"/>
        <w:rPr>
          <w:rFonts w:ascii="Arial" w:hAnsi="Arial" w:cs="Arial"/>
        </w:rPr>
      </w:pPr>
    </w:p>
    <w:p w14:paraId="5ED47A50" w14:textId="77777777" w:rsidR="00944EB7" w:rsidRDefault="00944EB7" w:rsidP="00DC54F7">
      <w:pPr>
        <w:spacing w:after="0" w:line="240" w:lineRule="auto"/>
        <w:contextualSpacing/>
        <w:jc w:val="both"/>
        <w:rPr>
          <w:rFonts w:ascii="Arial" w:hAnsi="Arial" w:cs="Arial"/>
          <w:b/>
          <w:bCs/>
        </w:rPr>
      </w:pPr>
    </w:p>
    <w:p w14:paraId="00B8BFBA" w14:textId="77777777" w:rsidR="00944EB7" w:rsidRDefault="00944EB7" w:rsidP="00DC54F7">
      <w:pPr>
        <w:spacing w:after="0" w:line="240" w:lineRule="auto"/>
        <w:contextualSpacing/>
        <w:jc w:val="both"/>
        <w:rPr>
          <w:rFonts w:ascii="Arial" w:hAnsi="Arial" w:cs="Arial"/>
          <w:b/>
          <w:bCs/>
        </w:rPr>
      </w:pPr>
    </w:p>
    <w:p w14:paraId="7347D7B5" w14:textId="77777777" w:rsidR="00944EB7" w:rsidRDefault="00944EB7" w:rsidP="00DC54F7">
      <w:pPr>
        <w:spacing w:after="0" w:line="240" w:lineRule="auto"/>
        <w:contextualSpacing/>
        <w:jc w:val="both"/>
        <w:rPr>
          <w:rFonts w:ascii="Arial" w:hAnsi="Arial" w:cs="Arial"/>
          <w:b/>
          <w:bCs/>
        </w:rPr>
      </w:pPr>
    </w:p>
    <w:p w14:paraId="5F572AA7" w14:textId="77777777" w:rsidR="00944EB7" w:rsidRDefault="00944EB7" w:rsidP="00DC54F7">
      <w:pPr>
        <w:spacing w:after="0" w:line="240" w:lineRule="auto"/>
        <w:contextualSpacing/>
        <w:jc w:val="both"/>
        <w:rPr>
          <w:rFonts w:ascii="Arial" w:hAnsi="Arial" w:cs="Arial"/>
          <w:b/>
          <w:bCs/>
        </w:rPr>
      </w:pPr>
    </w:p>
    <w:p w14:paraId="276B8F29" w14:textId="77777777" w:rsidR="00944EB7" w:rsidRDefault="00944EB7" w:rsidP="00DC54F7">
      <w:pPr>
        <w:spacing w:after="0" w:line="240" w:lineRule="auto"/>
        <w:contextualSpacing/>
        <w:jc w:val="both"/>
        <w:rPr>
          <w:rFonts w:ascii="Arial" w:hAnsi="Arial" w:cs="Arial"/>
          <w:b/>
          <w:bCs/>
        </w:rPr>
      </w:pPr>
    </w:p>
    <w:p w14:paraId="4E007F88" w14:textId="77777777" w:rsidR="00944EB7" w:rsidRDefault="00944EB7" w:rsidP="00DC54F7">
      <w:pPr>
        <w:spacing w:after="0" w:line="240" w:lineRule="auto"/>
        <w:contextualSpacing/>
        <w:jc w:val="both"/>
        <w:rPr>
          <w:rFonts w:ascii="Arial" w:hAnsi="Arial" w:cs="Arial"/>
          <w:b/>
          <w:bCs/>
        </w:rPr>
      </w:pPr>
    </w:p>
    <w:p w14:paraId="42760408" w14:textId="77777777" w:rsidR="00944EB7" w:rsidRDefault="00944EB7" w:rsidP="00DC54F7">
      <w:pPr>
        <w:spacing w:after="0" w:line="240" w:lineRule="auto"/>
        <w:contextualSpacing/>
        <w:jc w:val="both"/>
        <w:rPr>
          <w:rFonts w:ascii="Arial" w:hAnsi="Arial" w:cs="Arial"/>
          <w:b/>
          <w:bCs/>
        </w:rPr>
      </w:pPr>
    </w:p>
    <w:p w14:paraId="51F941ED" w14:textId="77777777" w:rsidR="00944EB7" w:rsidRDefault="00944EB7" w:rsidP="00DC54F7">
      <w:pPr>
        <w:spacing w:after="0" w:line="240" w:lineRule="auto"/>
        <w:contextualSpacing/>
        <w:jc w:val="both"/>
        <w:rPr>
          <w:rFonts w:ascii="Arial" w:hAnsi="Arial" w:cs="Arial"/>
          <w:b/>
          <w:bCs/>
        </w:rPr>
      </w:pPr>
    </w:p>
    <w:p w14:paraId="0CAB9F0F" w14:textId="1C18740B" w:rsidR="00944EB7" w:rsidRDefault="00944EB7" w:rsidP="00DC54F7">
      <w:pPr>
        <w:jc w:val="both"/>
        <w:rPr>
          <w:rFonts w:ascii="Arial" w:hAnsi="Arial" w:cs="Arial"/>
          <w:b/>
          <w:bCs/>
        </w:rPr>
      </w:pPr>
      <w:r>
        <w:rPr>
          <w:rFonts w:ascii="Arial" w:hAnsi="Arial" w:cs="Arial"/>
          <w:b/>
          <w:bCs/>
        </w:rPr>
        <w:br w:type="page"/>
      </w:r>
    </w:p>
    <w:p w14:paraId="770EBFB5" w14:textId="7EFA5487" w:rsidR="00D60470" w:rsidRPr="00944EB7" w:rsidRDefault="008B33D7" w:rsidP="00DC54F7">
      <w:pPr>
        <w:spacing w:after="0" w:line="240" w:lineRule="auto"/>
        <w:contextualSpacing/>
        <w:jc w:val="both"/>
        <w:rPr>
          <w:rFonts w:ascii="Arial" w:hAnsi="Arial" w:cs="Arial"/>
          <w:b/>
          <w:bCs/>
          <w:sz w:val="24"/>
          <w:szCs w:val="24"/>
        </w:rPr>
      </w:pPr>
      <w:r w:rsidRPr="00944EB7">
        <w:rPr>
          <w:rFonts w:ascii="Arial" w:hAnsi="Arial" w:cs="Arial"/>
          <w:b/>
          <w:bCs/>
          <w:sz w:val="24"/>
          <w:szCs w:val="24"/>
        </w:rPr>
        <w:lastRenderedPageBreak/>
        <w:t>Figure</w:t>
      </w:r>
      <w:r w:rsidR="008518A0" w:rsidRPr="00944EB7">
        <w:rPr>
          <w:rFonts w:ascii="Arial" w:hAnsi="Arial" w:cs="Arial"/>
          <w:b/>
          <w:bCs/>
          <w:sz w:val="24"/>
          <w:szCs w:val="24"/>
        </w:rPr>
        <w:t xml:space="preserve"> 3.5</w:t>
      </w:r>
      <w:r w:rsidR="00275487" w:rsidRPr="00944EB7">
        <w:rPr>
          <w:rFonts w:ascii="Arial" w:hAnsi="Arial" w:cs="Arial"/>
          <w:b/>
          <w:bCs/>
          <w:sz w:val="24"/>
          <w:szCs w:val="24"/>
        </w:rPr>
        <w:t>:</w:t>
      </w:r>
      <w:r w:rsidRPr="00944EB7">
        <w:rPr>
          <w:rFonts w:ascii="Arial" w:hAnsi="Arial" w:cs="Arial"/>
          <w:b/>
          <w:bCs/>
          <w:sz w:val="24"/>
          <w:szCs w:val="24"/>
        </w:rPr>
        <w:t xml:space="preserve"> </w:t>
      </w:r>
      <w:r w:rsidR="008F0C4B" w:rsidRPr="00944EB7">
        <w:rPr>
          <w:rFonts w:ascii="Arial" w:hAnsi="Arial" w:cs="Arial"/>
          <w:b/>
          <w:bCs/>
          <w:sz w:val="24"/>
          <w:szCs w:val="24"/>
        </w:rPr>
        <w:t xml:space="preserve">Adult weekly drinking levels by </w:t>
      </w:r>
      <w:r w:rsidR="00567F4B" w:rsidRPr="00944EB7">
        <w:rPr>
          <w:rFonts w:ascii="Arial" w:hAnsi="Arial" w:cs="Arial"/>
          <w:b/>
          <w:bCs/>
          <w:sz w:val="24"/>
          <w:szCs w:val="24"/>
        </w:rPr>
        <w:t>local</w:t>
      </w:r>
      <w:r w:rsidR="00AD2741" w:rsidRPr="00944EB7">
        <w:rPr>
          <w:rFonts w:ascii="Arial" w:hAnsi="Arial" w:cs="Arial"/>
          <w:b/>
          <w:bCs/>
          <w:sz w:val="24"/>
          <w:szCs w:val="24"/>
        </w:rPr>
        <w:t xml:space="preserve"> authority, health board and Wales</w:t>
      </w:r>
    </w:p>
    <w:p w14:paraId="5AC8BC54" w14:textId="6489A9D0" w:rsidR="0086261A" w:rsidRDefault="00944EB7" w:rsidP="00DC54F7">
      <w:pPr>
        <w:spacing w:after="0" w:line="240" w:lineRule="auto"/>
        <w:contextualSpacing/>
        <w:jc w:val="both"/>
        <w:rPr>
          <w:rFonts w:ascii="Arial" w:hAnsi="Arial" w:cs="Arial"/>
        </w:rPr>
      </w:pPr>
      <w:r w:rsidRPr="00F352E0">
        <w:rPr>
          <w:rFonts w:ascii="Arial" w:hAnsi="Arial" w:cs="Arial"/>
          <w:noProof/>
          <w:lang w:eastAsia="en-GB"/>
        </w:rPr>
        <mc:AlternateContent>
          <mc:Choice Requires="wps">
            <w:drawing>
              <wp:anchor distT="45720" distB="45720" distL="114300" distR="114300" simplePos="0" relativeHeight="251659264" behindDoc="0" locked="0" layoutInCell="1" allowOverlap="1" wp14:anchorId="1D06DEDF" wp14:editId="32F52AA7">
                <wp:simplePos x="0" y="0"/>
                <wp:positionH relativeFrom="page">
                  <wp:posOffset>5640070</wp:posOffset>
                </wp:positionH>
                <wp:positionV relativeFrom="paragraph">
                  <wp:posOffset>11430</wp:posOffset>
                </wp:positionV>
                <wp:extent cx="1511300" cy="2757170"/>
                <wp:effectExtent l="0" t="0" r="12700" b="241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300" cy="2757170"/>
                        </a:xfrm>
                        <a:prstGeom prst="rect">
                          <a:avLst/>
                        </a:prstGeom>
                        <a:solidFill>
                          <a:srgbClr val="FFFFFF"/>
                        </a:solidFill>
                        <a:ln w="9525">
                          <a:solidFill>
                            <a:srgbClr val="000000"/>
                          </a:solidFill>
                          <a:miter lim="800000"/>
                          <a:headEnd/>
                          <a:tailEnd/>
                        </a:ln>
                      </wps:spPr>
                      <wps:txbx>
                        <w:txbxContent>
                          <w:p w14:paraId="39D38750" w14:textId="77777777" w:rsidR="005670EB" w:rsidRPr="00944EB7" w:rsidRDefault="005670EB" w:rsidP="00391AAF">
                            <w:pPr>
                              <w:shd w:val="clear" w:color="auto" w:fill="FFFFFF"/>
                              <w:spacing w:before="100" w:beforeAutospacing="1" w:after="100" w:afterAutospacing="1" w:line="240" w:lineRule="auto"/>
                              <w:rPr>
                                <w:rFonts w:ascii="Arial" w:eastAsia="Times New Roman" w:hAnsi="Arial" w:cs="Arial"/>
                                <w:color w:val="333333"/>
                                <w:sz w:val="20"/>
                                <w:szCs w:val="20"/>
                                <w:lang w:eastAsia="en-GB"/>
                              </w:rPr>
                            </w:pPr>
                            <w:r w:rsidRPr="00944EB7">
                              <w:rPr>
                                <w:rFonts w:ascii="Arial" w:eastAsia="Times New Roman" w:hAnsi="Arial" w:cs="Arial"/>
                                <w:color w:val="333333"/>
                                <w:sz w:val="20"/>
                                <w:szCs w:val="20"/>
                                <w:lang w:eastAsia="en-GB"/>
                              </w:rPr>
                              <w:t xml:space="preserve">Drinking levels </w:t>
                            </w:r>
                          </w:p>
                          <w:p w14:paraId="02FACECD" w14:textId="77777777" w:rsidR="005670EB" w:rsidRPr="00944EB7" w:rsidRDefault="005670EB" w:rsidP="00391AAF">
                            <w:pPr>
                              <w:shd w:val="clear" w:color="auto" w:fill="FFFFFF"/>
                              <w:spacing w:before="100" w:beforeAutospacing="1" w:after="100" w:afterAutospacing="1" w:line="240" w:lineRule="auto"/>
                              <w:rPr>
                                <w:rFonts w:ascii="Arial" w:eastAsia="Times New Roman" w:hAnsi="Arial" w:cs="Arial"/>
                                <w:color w:val="333333"/>
                                <w:sz w:val="20"/>
                                <w:szCs w:val="20"/>
                                <w:lang w:eastAsia="en-GB"/>
                              </w:rPr>
                            </w:pPr>
                            <w:r w:rsidRPr="00944EB7">
                              <w:rPr>
                                <w:rFonts w:ascii="Arial" w:eastAsia="Times New Roman" w:hAnsi="Arial" w:cs="Arial"/>
                                <w:color w:val="333333"/>
                                <w:sz w:val="20"/>
                                <w:szCs w:val="20"/>
                                <w:lang w:eastAsia="en-GB"/>
                              </w:rPr>
                              <w:t>Non-drinker - Usual 0 units</w:t>
                            </w:r>
                          </w:p>
                          <w:p w14:paraId="6ADC2D91" w14:textId="77777777" w:rsidR="005670EB" w:rsidRPr="00944EB7" w:rsidRDefault="005670EB" w:rsidP="00391AAF">
                            <w:pPr>
                              <w:shd w:val="clear" w:color="auto" w:fill="FFFFFF"/>
                              <w:spacing w:before="100" w:beforeAutospacing="1" w:after="100" w:afterAutospacing="1" w:line="240" w:lineRule="auto"/>
                              <w:rPr>
                                <w:rFonts w:ascii="Arial" w:eastAsia="Times New Roman" w:hAnsi="Arial" w:cs="Arial"/>
                                <w:color w:val="333333"/>
                                <w:sz w:val="20"/>
                                <w:szCs w:val="20"/>
                                <w:lang w:eastAsia="en-GB"/>
                              </w:rPr>
                            </w:pPr>
                            <w:r w:rsidRPr="00944EB7">
                              <w:rPr>
                                <w:rFonts w:ascii="Arial" w:eastAsia="Times New Roman" w:hAnsi="Arial" w:cs="Arial"/>
                                <w:color w:val="333333"/>
                                <w:sz w:val="20"/>
                                <w:szCs w:val="20"/>
                                <w:lang w:eastAsia="en-GB"/>
                              </w:rPr>
                              <w:t>Moderate - Up to and including 14 units</w:t>
                            </w:r>
                          </w:p>
                          <w:p w14:paraId="1BCCFC21" w14:textId="77777777" w:rsidR="005670EB" w:rsidRPr="00944EB7" w:rsidRDefault="005670EB" w:rsidP="00391AAF">
                            <w:pPr>
                              <w:shd w:val="clear" w:color="auto" w:fill="FFFFFF"/>
                              <w:spacing w:before="100" w:beforeAutospacing="1" w:after="100" w:afterAutospacing="1" w:line="240" w:lineRule="auto"/>
                              <w:rPr>
                                <w:rFonts w:ascii="Arial" w:eastAsia="Times New Roman" w:hAnsi="Arial" w:cs="Arial"/>
                                <w:color w:val="333333"/>
                                <w:sz w:val="20"/>
                                <w:szCs w:val="20"/>
                                <w:lang w:eastAsia="en-GB"/>
                              </w:rPr>
                            </w:pPr>
                            <w:r w:rsidRPr="00944EB7">
                              <w:rPr>
                                <w:rFonts w:ascii="Arial" w:eastAsia="Times New Roman" w:hAnsi="Arial" w:cs="Arial"/>
                                <w:color w:val="333333"/>
                                <w:sz w:val="20"/>
                                <w:szCs w:val="20"/>
                                <w:lang w:eastAsia="en-GB"/>
                              </w:rPr>
                              <w:t>Hazardous - &gt; 14 to 50 units for males or &gt;14 to 35 units for females</w:t>
                            </w:r>
                          </w:p>
                          <w:p w14:paraId="21F1507D" w14:textId="77777777" w:rsidR="005670EB" w:rsidRPr="00944EB7" w:rsidRDefault="005670EB" w:rsidP="00391AAF">
                            <w:pPr>
                              <w:rPr>
                                <w:rFonts w:ascii="Arial" w:hAnsi="Arial" w:cs="Arial"/>
                                <w:sz w:val="20"/>
                                <w:szCs w:val="20"/>
                              </w:rPr>
                            </w:pPr>
                            <w:r w:rsidRPr="00944EB7">
                              <w:rPr>
                                <w:rFonts w:ascii="Arial" w:eastAsia="Times New Roman" w:hAnsi="Arial" w:cs="Arial"/>
                                <w:color w:val="333333"/>
                                <w:sz w:val="20"/>
                                <w:szCs w:val="20"/>
                                <w:lang w:eastAsia="en-GB"/>
                              </w:rPr>
                              <w:t>Harmful – 50 units a week or more for men and 35 units a week or more for women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D06DEDF" id="_x0000_t202" coordsize="21600,21600" o:spt="202" path="m,l,21600r21600,l21600,xe">
                <v:stroke joinstyle="miter"/>
                <v:path gradientshapeok="t" o:connecttype="rect"/>
              </v:shapetype>
              <v:shape id="Text Box 2" o:spid="_x0000_s1026" type="#_x0000_t202" style="position:absolute;left:0;text-align:left;margin-left:444.1pt;margin-top:.9pt;width:119pt;height:217.1pt;z-index:25165926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">
                <v:textbox>
                  <w:txbxContent>
                    <w:p w14:paraId="39D38750" w14:textId="77777777" w:rsidR="005670EB" w:rsidRPr="00944EB7" w:rsidRDefault="005670EB" w:rsidP="00391AAF">
                      <w:pPr>
                        <w:shd w:val="clear" w:color="auto" w:fill="FFFFFF"/>
                        <w:spacing w:before="100" w:beforeAutospacing="1" w:after="100" w:afterAutospacing="1" w:line="240" w:lineRule="auto"/>
                        <w:rPr>
                          <w:rFonts w:ascii="Arial" w:eastAsia="Times New Roman" w:hAnsi="Arial" w:cs="Arial"/>
                          <w:color w:val="333333"/>
                          <w:sz w:val="20"/>
                          <w:szCs w:val="20"/>
                          <w:lang w:eastAsia="en-GB"/>
                        </w:rPr>
                      </w:pPr>
                      <w:r w:rsidRPr="00944EB7">
                        <w:rPr>
                          <w:rFonts w:ascii="Arial" w:eastAsia="Times New Roman" w:hAnsi="Arial" w:cs="Arial"/>
                          <w:color w:val="333333"/>
                          <w:sz w:val="20"/>
                          <w:szCs w:val="20"/>
                          <w:lang w:eastAsia="en-GB"/>
                        </w:rPr>
                        <w:t xml:space="preserve">Drinking levels </w:t>
                      </w:r>
                    </w:p>
                    <w:p w14:paraId="02FACECD" w14:textId="77777777" w:rsidR="005670EB" w:rsidRPr="00944EB7" w:rsidRDefault="005670EB" w:rsidP="00391AAF">
                      <w:pPr>
                        <w:shd w:val="clear" w:color="auto" w:fill="FFFFFF"/>
                        <w:spacing w:before="100" w:beforeAutospacing="1" w:after="100" w:afterAutospacing="1" w:line="240" w:lineRule="auto"/>
                        <w:rPr>
                          <w:rFonts w:ascii="Arial" w:eastAsia="Times New Roman" w:hAnsi="Arial" w:cs="Arial"/>
                          <w:color w:val="333333"/>
                          <w:sz w:val="20"/>
                          <w:szCs w:val="20"/>
                          <w:lang w:eastAsia="en-GB"/>
                        </w:rPr>
                      </w:pPr>
                      <w:r w:rsidRPr="00944EB7">
                        <w:rPr>
                          <w:rFonts w:ascii="Arial" w:eastAsia="Times New Roman" w:hAnsi="Arial" w:cs="Arial"/>
                          <w:color w:val="333333"/>
                          <w:sz w:val="20"/>
                          <w:szCs w:val="20"/>
                          <w:lang w:eastAsia="en-GB"/>
                        </w:rPr>
                        <w:t>Non-drinker - Usual 0 units</w:t>
                      </w:r>
                    </w:p>
                    <w:p w14:paraId="6ADC2D91" w14:textId="77777777" w:rsidR="005670EB" w:rsidRPr="00944EB7" w:rsidRDefault="005670EB" w:rsidP="00391AAF">
                      <w:pPr>
                        <w:shd w:val="clear" w:color="auto" w:fill="FFFFFF"/>
                        <w:spacing w:before="100" w:beforeAutospacing="1" w:after="100" w:afterAutospacing="1" w:line="240" w:lineRule="auto"/>
                        <w:rPr>
                          <w:rFonts w:ascii="Arial" w:eastAsia="Times New Roman" w:hAnsi="Arial" w:cs="Arial"/>
                          <w:color w:val="333333"/>
                          <w:sz w:val="20"/>
                          <w:szCs w:val="20"/>
                          <w:lang w:eastAsia="en-GB"/>
                        </w:rPr>
                      </w:pPr>
                      <w:r w:rsidRPr="00944EB7">
                        <w:rPr>
                          <w:rFonts w:ascii="Arial" w:eastAsia="Times New Roman" w:hAnsi="Arial" w:cs="Arial"/>
                          <w:color w:val="333333"/>
                          <w:sz w:val="20"/>
                          <w:szCs w:val="20"/>
                          <w:lang w:eastAsia="en-GB"/>
                        </w:rPr>
                        <w:t>Moderate - Up to and including 14 units</w:t>
                      </w:r>
                    </w:p>
                    <w:p w14:paraId="1BCCFC21" w14:textId="77777777" w:rsidR="005670EB" w:rsidRPr="00944EB7" w:rsidRDefault="005670EB" w:rsidP="00391AAF">
                      <w:pPr>
                        <w:shd w:val="clear" w:color="auto" w:fill="FFFFFF"/>
                        <w:spacing w:before="100" w:beforeAutospacing="1" w:after="100" w:afterAutospacing="1" w:line="240" w:lineRule="auto"/>
                        <w:rPr>
                          <w:rFonts w:ascii="Arial" w:eastAsia="Times New Roman" w:hAnsi="Arial" w:cs="Arial"/>
                          <w:color w:val="333333"/>
                          <w:sz w:val="20"/>
                          <w:szCs w:val="20"/>
                          <w:lang w:eastAsia="en-GB"/>
                        </w:rPr>
                      </w:pPr>
                      <w:r w:rsidRPr="00944EB7">
                        <w:rPr>
                          <w:rFonts w:ascii="Arial" w:eastAsia="Times New Roman" w:hAnsi="Arial" w:cs="Arial"/>
                          <w:color w:val="333333"/>
                          <w:sz w:val="20"/>
                          <w:szCs w:val="20"/>
                          <w:lang w:eastAsia="en-GB"/>
                        </w:rPr>
                        <w:t>Hazardous - &gt; 14 to 50 units for males or &gt;14 to 35 units for females</w:t>
                      </w:r>
                    </w:p>
                    <w:p w14:paraId="21F1507D" w14:textId="77777777" w:rsidR="005670EB" w:rsidRPr="00944EB7" w:rsidRDefault="005670EB" w:rsidP="00391AAF">
                      <w:pPr>
                        <w:rPr>
                          <w:rFonts w:ascii="Arial" w:hAnsi="Arial" w:cs="Arial"/>
                          <w:sz w:val="20"/>
                          <w:szCs w:val="20"/>
                        </w:rPr>
                      </w:pPr>
                      <w:r w:rsidRPr="00944EB7">
                        <w:rPr>
                          <w:rFonts w:ascii="Arial" w:eastAsia="Times New Roman" w:hAnsi="Arial" w:cs="Arial"/>
                          <w:color w:val="333333"/>
                          <w:sz w:val="20"/>
                          <w:szCs w:val="20"/>
                          <w:lang w:eastAsia="en-GB"/>
                        </w:rPr>
                        <w:t>Harmful – 50 units a week or more for men and 35 units a week or more for women</w:t>
                      </w:r>
                    </w:p>
                  </w:txbxContent>
                </v:textbox>
                <w10:wrap type="square" anchorx="page"/>
              </v:shape>
            </w:pict>
          </mc:Fallback>
        </mc:AlternateContent>
      </w:r>
      <w:r w:rsidR="00D60470">
        <w:rPr>
          <w:noProof/>
          <w:lang w:eastAsia="en-GB"/>
        </w:rPr>
        <w:drawing>
          <wp:inline distT="0" distB="0" distL="0" distR="0" wp14:anchorId="20A79E42" wp14:editId="41BAEBB1">
            <wp:extent cx="4572000" cy="2488758"/>
            <wp:effectExtent l="0" t="0" r="0" b="6985"/>
            <wp:docPr id="9" name="Chart 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55A8F84-9CB6-4B32-BAFB-9BC75F5F10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1728E88C" w14:textId="77777777" w:rsidR="00584BB8" w:rsidRPr="00944EB7" w:rsidRDefault="00584BB8" w:rsidP="00DC54F7">
      <w:pPr>
        <w:jc w:val="both"/>
        <w:rPr>
          <w:rFonts w:ascii="Arial" w:hAnsi="Arial" w:cs="Arial"/>
          <w:sz w:val="20"/>
          <w:szCs w:val="20"/>
        </w:rPr>
      </w:pPr>
      <w:r w:rsidRPr="00944EB7">
        <w:rPr>
          <w:rFonts w:ascii="Arial" w:hAnsi="Arial" w:cs="Arial"/>
          <w:sz w:val="20"/>
          <w:szCs w:val="20"/>
        </w:rPr>
        <w:t>Source: StatsWales – National Survey for Wales</w:t>
      </w:r>
    </w:p>
    <w:p w14:paraId="7AFAA2B9" w14:textId="5FC566A3" w:rsidR="0086261A" w:rsidRDefault="0086261A" w:rsidP="00DC54F7">
      <w:pPr>
        <w:spacing w:after="0" w:line="240" w:lineRule="auto"/>
        <w:contextualSpacing/>
        <w:jc w:val="both"/>
        <w:rPr>
          <w:rFonts w:ascii="Arial" w:hAnsi="Arial" w:cs="Arial"/>
        </w:rPr>
      </w:pPr>
    </w:p>
    <w:p w14:paraId="37D11F11" w14:textId="283040A0" w:rsidR="00A17865" w:rsidRPr="00944EB7" w:rsidRDefault="00D14AF9" w:rsidP="00DC54F7">
      <w:pPr>
        <w:spacing w:after="0" w:line="240" w:lineRule="auto"/>
        <w:contextualSpacing/>
        <w:jc w:val="both"/>
        <w:rPr>
          <w:rFonts w:ascii="Arial" w:hAnsi="Arial" w:cs="Arial"/>
          <w:sz w:val="24"/>
          <w:szCs w:val="24"/>
        </w:rPr>
      </w:pPr>
      <w:r w:rsidRPr="00944EB7">
        <w:rPr>
          <w:rFonts w:ascii="Arial" w:hAnsi="Arial" w:cs="Arial"/>
          <w:sz w:val="24"/>
          <w:szCs w:val="24"/>
        </w:rPr>
        <w:t xml:space="preserve">The Vale of Glamorgan </w:t>
      </w:r>
      <w:r w:rsidR="00962D2F" w:rsidRPr="00944EB7">
        <w:rPr>
          <w:rFonts w:ascii="Arial" w:hAnsi="Arial" w:cs="Arial"/>
          <w:sz w:val="24"/>
          <w:szCs w:val="24"/>
        </w:rPr>
        <w:t>(1</w:t>
      </w:r>
      <w:r w:rsidR="00A327A2" w:rsidRPr="00944EB7">
        <w:rPr>
          <w:rFonts w:ascii="Arial" w:hAnsi="Arial" w:cs="Arial"/>
          <w:sz w:val="24"/>
          <w:szCs w:val="24"/>
        </w:rPr>
        <w:t>5</w:t>
      </w:r>
      <w:r w:rsidR="00962D2F" w:rsidRPr="00944EB7">
        <w:rPr>
          <w:rFonts w:ascii="Arial" w:hAnsi="Arial" w:cs="Arial"/>
          <w:sz w:val="24"/>
          <w:szCs w:val="24"/>
        </w:rPr>
        <w:t>.</w:t>
      </w:r>
      <w:r w:rsidR="00A327A2" w:rsidRPr="00944EB7">
        <w:rPr>
          <w:rFonts w:ascii="Arial" w:hAnsi="Arial" w:cs="Arial"/>
          <w:sz w:val="24"/>
          <w:szCs w:val="24"/>
        </w:rPr>
        <w:t>0</w:t>
      </w:r>
      <w:r w:rsidR="00962D2F" w:rsidRPr="00944EB7">
        <w:rPr>
          <w:rFonts w:ascii="Arial" w:hAnsi="Arial" w:cs="Arial"/>
          <w:sz w:val="24"/>
          <w:szCs w:val="24"/>
        </w:rPr>
        <w:t xml:space="preserve">%) </w:t>
      </w:r>
      <w:r w:rsidRPr="00944EB7">
        <w:rPr>
          <w:rFonts w:ascii="Arial" w:hAnsi="Arial" w:cs="Arial"/>
          <w:sz w:val="24"/>
          <w:szCs w:val="24"/>
        </w:rPr>
        <w:t xml:space="preserve">has a significantly </w:t>
      </w:r>
      <w:r w:rsidR="00962D2F" w:rsidRPr="00944EB7">
        <w:rPr>
          <w:rFonts w:ascii="Arial" w:hAnsi="Arial" w:cs="Arial"/>
          <w:sz w:val="24"/>
          <w:szCs w:val="24"/>
        </w:rPr>
        <w:t xml:space="preserve">lower </w:t>
      </w:r>
      <w:r w:rsidR="00DF40C5" w:rsidRPr="00944EB7">
        <w:rPr>
          <w:rFonts w:ascii="Arial" w:hAnsi="Arial" w:cs="Arial"/>
          <w:sz w:val="24"/>
          <w:szCs w:val="24"/>
        </w:rPr>
        <w:t xml:space="preserve">percentage of non-drinkers compared to </w:t>
      </w:r>
      <w:r w:rsidR="005F44E2" w:rsidRPr="00944EB7">
        <w:rPr>
          <w:rFonts w:ascii="Arial" w:hAnsi="Arial" w:cs="Arial"/>
          <w:sz w:val="24"/>
          <w:szCs w:val="24"/>
        </w:rPr>
        <w:t xml:space="preserve">the average for </w:t>
      </w:r>
      <w:r w:rsidR="00817EE7" w:rsidRPr="00944EB7">
        <w:rPr>
          <w:rFonts w:ascii="Arial" w:hAnsi="Arial" w:cs="Arial"/>
          <w:sz w:val="24"/>
          <w:szCs w:val="24"/>
        </w:rPr>
        <w:t>Wales (20.9%).</w:t>
      </w:r>
      <w:r w:rsidR="00D17D5E" w:rsidRPr="00944EB7">
        <w:rPr>
          <w:rFonts w:ascii="Arial" w:hAnsi="Arial" w:cs="Arial"/>
          <w:sz w:val="24"/>
          <w:szCs w:val="24"/>
        </w:rPr>
        <w:t xml:space="preserve"> It also has a significantly higher proporti</w:t>
      </w:r>
      <w:r w:rsidR="00712C96" w:rsidRPr="00944EB7">
        <w:rPr>
          <w:rFonts w:ascii="Arial" w:hAnsi="Arial" w:cs="Arial"/>
          <w:sz w:val="24"/>
          <w:szCs w:val="24"/>
        </w:rPr>
        <w:t xml:space="preserve">on of its population </w:t>
      </w:r>
      <w:r w:rsidR="00B77FFD" w:rsidRPr="00944EB7">
        <w:rPr>
          <w:rFonts w:ascii="Arial" w:hAnsi="Arial" w:cs="Arial"/>
          <w:sz w:val="24"/>
          <w:szCs w:val="24"/>
        </w:rPr>
        <w:t xml:space="preserve">(21.5%) </w:t>
      </w:r>
      <w:r w:rsidR="00712C96" w:rsidRPr="00944EB7">
        <w:rPr>
          <w:rFonts w:ascii="Arial" w:hAnsi="Arial" w:cs="Arial"/>
          <w:sz w:val="24"/>
          <w:szCs w:val="24"/>
        </w:rPr>
        <w:t xml:space="preserve">reporting to drink at a </w:t>
      </w:r>
      <w:r w:rsidR="00984994" w:rsidRPr="00944EB7">
        <w:rPr>
          <w:rFonts w:ascii="Arial" w:hAnsi="Arial" w:cs="Arial"/>
          <w:sz w:val="24"/>
          <w:szCs w:val="24"/>
        </w:rPr>
        <w:t xml:space="preserve">hazardous level </w:t>
      </w:r>
      <w:r w:rsidR="00B77FFD" w:rsidRPr="00944EB7">
        <w:rPr>
          <w:rFonts w:ascii="Arial" w:hAnsi="Arial" w:cs="Arial"/>
          <w:sz w:val="24"/>
          <w:szCs w:val="24"/>
        </w:rPr>
        <w:t xml:space="preserve">compared to </w:t>
      </w:r>
      <w:r w:rsidR="007B4F06" w:rsidRPr="00944EB7">
        <w:rPr>
          <w:rFonts w:ascii="Arial" w:hAnsi="Arial" w:cs="Arial"/>
          <w:sz w:val="24"/>
          <w:szCs w:val="24"/>
        </w:rPr>
        <w:t xml:space="preserve">the average of </w:t>
      </w:r>
      <w:r w:rsidR="00B77FFD" w:rsidRPr="00944EB7">
        <w:rPr>
          <w:rFonts w:ascii="Arial" w:hAnsi="Arial" w:cs="Arial"/>
          <w:sz w:val="24"/>
          <w:szCs w:val="24"/>
        </w:rPr>
        <w:t>Wales (</w:t>
      </w:r>
      <w:r w:rsidR="00353312" w:rsidRPr="00944EB7">
        <w:rPr>
          <w:rFonts w:ascii="Arial" w:hAnsi="Arial" w:cs="Arial"/>
          <w:sz w:val="24"/>
          <w:szCs w:val="24"/>
        </w:rPr>
        <w:t>16.1%)</w:t>
      </w:r>
      <w:r w:rsidR="005F44E2" w:rsidRPr="00944EB7">
        <w:rPr>
          <w:rFonts w:ascii="Arial" w:hAnsi="Arial" w:cs="Arial"/>
          <w:sz w:val="24"/>
          <w:szCs w:val="24"/>
        </w:rPr>
        <w:t>, the highest of all local authorities.</w:t>
      </w:r>
    </w:p>
    <w:p w14:paraId="7E224D09" w14:textId="77777777" w:rsidR="00712C96" w:rsidRPr="00944EB7" w:rsidRDefault="00712C96" w:rsidP="00DC54F7">
      <w:pPr>
        <w:spacing w:after="0" w:line="240" w:lineRule="auto"/>
        <w:contextualSpacing/>
        <w:jc w:val="both"/>
        <w:rPr>
          <w:rFonts w:ascii="Arial" w:hAnsi="Arial" w:cs="Arial"/>
          <w:sz w:val="24"/>
          <w:szCs w:val="24"/>
          <w:lang w:val="en-US"/>
        </w:rPr>
      </w:pPr>
    </w:p>
    <w:p w14:paraId="675CF913" w14:textId="77777777" w:rsidR="00E521F9" w:rsidRPr="00944EB7" w:rsidRDefault="006104C2" w:rsidP="00DC54F7">
      <w:pPr>
        <w:spacing w:after="0" w:line="240" w:lineRule="auto"/>
        <w:jc w:val="both"/>
        <w:rPr>
          <w:rFonts w:ascii="Arial" w:hAnsi="Arial" w:cs="Arial"/>
          <w:sz w:val="24"/>
          <w:szCs w:val="24"/>
        </w:rPr>
      </w:pPr>
      <w:r w:rsidRPr="00944EB7">
        <w:rPr>
          <w:rFonts w:ascii="Arial" w:hAnsi="Arial" w:cs="Arial"/>
          <w:sz w:val="24"/>
          <w:szCs w:val="24"/>
        </w:rPr>
        <w:t>Alcohol-related hospital admissions are used as a way of understanding the impact of alcohol on the health of the population. In 2017</w:t>
      </w:r>
      <w:r w:rsidR="00CD6E5C" w:rsidRPr="00944EB7">
        <w:rPr>
          <w:rFonts w:ascii="Arial" w:hAnsi="Arial" w:cs="Arial"/>
          <w:sz w:val="24"/>
          <w:szCs w:val="24"/>
        </w:rPr>
        <w:t xml:space="preserve"> to 20</w:t>
      </w:r>
      <w:r w:rsidRPr="00944EB7">
        <w:rPr>
          <w:rFonts w:ascii="Arial" w:hAnsi="Arial" w:cs="Arial"/>
          <w:sz w:val="24"/>
          <w:szCs w:val="24"/>
        </w:rPr>
        <w:t xml:space="preserve">18, there was around 14,600 alcohol-specific hospital admissions (wholly attributable to alcohol) in Wales, with almost double the number of admissions being for men than women. </w:t>
      </w:r>
    </w:p>
    <w:p w14:paraId="5C6FF865" w14:textId="77777777" w:rsidR="00E521F9" w:rsidRPr="00944EB7" w:rsidRDefault="00E521F9" w:rsidP="00DC54F7">
      <w:pPr>
        <w:spacing w:after="0" w:line="240" w:lineRule="auto"/>
        <w:jc w:val="both"/>
        <w:rPr>
          <w:rFonts w:ascii="Arial" w:hAnsi="Arial" w:cs="Arial"/>
          <w:sz w:val="24"/>
          <w:szCs w:val="24"/>
        </w:rPr>
      </w:pPr>
    </w:p>
    <w:p w14:paraId="79F25F71" w14:textId="0AB868AC" w:rsidR="007A63FF" w:rsidRPr="00944EB7" w:rsidRDefault="00D16280" w:rsidP="00DC54F7">
      <w:pPr>
        <w:spacing w:after="0" w:line="240" w:lineRule="auto"/>
        <w:jc w:val="both"/>
        <w:rPr>
          <w:rFonts w:ascii="Arial" w:hAnsi="Arial" w:cs="Arial"/>
          <w:sz w:val="24"/>
          <w:szCs w:val="24"/>
        </w:rPr>
      </w:pPr>
      <w:r w:rsidRPr="00944EB7">
        <w:rPr>
          <w:rFonts w:ascii="Arial" w:hAnsi="Arial" w:cs="Arial"/>
          <w:sz w:val="24"/>
          <w:szCs w:val="24"/>
        </w:rPr>
        <w:t xml:space="preserve">Cardiff and Vale University Hospital Board </w:t>
      </w:r>
      <w:r w:rsidR="005E7319" w:rsidRPr="00944EB7">
        <w:rPr>
          <w:rFonts w:ascii="Arial" w:hAnsi="Arial" w:cs="Arial"/>
          <w:sz w:val="24"/>
          <w:szCs w:val="24"/>
        </w:rPr>
        <w:t>(428</w:t>
      </w:r>
      <w:r w:rsidR="006571B5" w:rsidRPr="00944EB7">
        <w:rPr>
          <w:rFonts w:ascii="Arial" w:hAnsi="Arial" w:cs="Arial"/>
          <w:sz w:val="24"/>
          <w:szCs w:val="24"/>
        </w:rPr>
        <w:t xml:space="preserve"> </w:t>
      </w:r>
      <w:r w:rsidR="00495B0D" w:rsidRPr="00944EB7">
        <w:rPr>
          <w:rFonts w:ascii="Arial" w:hAnsi="Arial" w:cs="Arial"/>
          <w:sz w:val="24"/>
          <w:szCs w:val="24"/>
        </w:rPr>
        <w:t>per 100,000 persons</w:t>
      </w:r>
      <w:r w:rsidR="005E7319" w:rsidRPr="00944EB7">
        <w:rPr>
          <w:rFonts w:ascii="Arial" w:hAnsi="Arial" w:cs="Arial"/>
          <w:sz w:val="24"/>
          <w:szCs w:val="24"/>
        </w:rPr>
        <w:t xml:space="preserve">) </w:t>
      </w:r>
      <w:r w:rsidR="00C30509" w:rsidRPr="00944EB7">
        <w:rPr>
          <w:rFonts w:ascii="Arial" w:hAnsi="Arial" w:cs="Arial"/>
          <w:sz w:val="24"/>
          <w:szCs w:val="24"/>
        </w:rPr>
        <w:t>and Cardiff (415</w:t>
      </w:r>
      <w:r w:rsidR="00495B0D" w:rsidRPr="00944EB7">
        <w:rPr>
          <w:rFonts w:ascii="Arial" w:hAnsi="Arial" w:cs="Arial"/>
          <w:sz w:val="24"/>
          <w:szCs w:val="24"/>
        </w:rPr>
        <w:t xml:space="preserve"> per 100,000 persons</w:t>
      </w:r>
      <w:r w:rsidR="00C30509" w:rsidRPr="00944EB7">
        <w:rPr>
          <w:rFonts w:ascii="Arial" w:hAnsi="Arial" w:cs="Arial"/>
          <w:sz w:val="24"/>
          <w:szCs w:val="24"/>
        </w:rPr>
        <w:t xml:space="preserve">) </w:t>
      </w:r>
      <w:r w:rsidR="005E7319" w:rsidRPr="00944EB7">
        <w:rPr>
          <w:rFonts w:ascii="Arial" w:hAnsi="Arial" w:cs="Arial"/>
          <w:sz w:val="24"/>
          <w:szCs w:val="24"/>
        </w:rPr>
        <w:t xml:space="preserve">had </w:t>
      </w:r>
      <w:r w:rsidR="00215A69" w:rsidRPr="00944EB7">
        <w:rPr>
          <w:rFonts w:ascii="Arial" w:hAnsi="Arial" w:cs="Arial"/>
          <w:sz w:val="24"/>
          <w:szCs w:val="24"/>
        </w:rPr>
        <w:t xml:space="preserve">significantly lower </w:t>
      </w:r>
      <w:r w:rsidR="005E7319" w:rsidRPr="00944EB7">
        <w:rPr>
          <w:rFonts w:ascii="Arial" w:hAnsi="Arial" w:cs="Arial"/>
          <w:sz w:val="24"/>
          <w:szCs w:val="24"/>
        </w:rPr>
        <w:t xml:space="preserve">alcohol-specific </w:t>
      </w:r>
      <w:r w:rsidR="00183CAA" w:rsidRPr="00944EB7">
        <w:rPr>
          <w:rFonts w:ascii="Arial" w:hAnsi="Arial" w:cs="Arial"/>
          <w:sz w:val="24"/>
          <w:szCs w:val="24"/>
        </w:rPr>
        <w:t>admissions rate</w:t>
      </w:r>
      <w:r w:rsidR="00E00E40" w:rsidRPr="00944EB7">
        <w:rPr>
          <w:rFonts w:ascii="Arial" w:hAnsi="Arial" w:cs="Arial"/>
          <w:sz w:val="24"/>
          <w:szCs w:val="24"/>
        </w:rPr>
        <w:t>s</w:t>
      </w:r>
      <w:r w:rsidR="001D764F" w:rsidRPr="00944EB7">
        <w:rPr>
          <w:rFonts w:ascii="Arial" w:hAnsi="Arial" w:cs="Arial"/>
          <w:sz w:val="24"/>
          <w:szCs w:val="24"/>
        </w:rPr>
        <w:t xml:space="preserve"> </w:t>
      </w:r>
      <w:r w:rsidR="00F95718" w:rsidRPr="00944EB7">
        <w:rPr>
          <w:rFonts w:ascii="Arial" w:hAnsi="Arial" w:cs="Arial"/>
          <w:sz w:val="24"/>
          <w:szCs w:val="24"/>
        </w:rPr>
        <w:t>than the average for Wales</w:t>
      </w:r>
      <w:r w:rsidR="00183CAA" w:rsidRPr="00944EB7">
        <w:rPr>
          <w:rFonts w:ascii="Arial" w:hAnsi="Arial" w:cs="Arial"/>
          <w:sz w:val="24"/>
          <w:szCs w:val="24"/>
        </w:rPr>
        <w:t xml:space="preserve"> (477</w:t>
      </w:r>
      <w:r w:rsidR="00F47AA8" w:rsidRPr="00944EB7">
        <w:rPr>
          <w:rFonts w:ascii="Arial" w:hAnsi="Arial" w:cs="Arial"/>
          <w:sz w:val="24"/>
          <w:szCs w:val="24"/>
        </w:rPr>
        <w:t xml:space="preserve"> per 100,000 persons</w:t>
      </w:r>
      <w:r w:rsidR="00183CAA" w:rsidRPr="00944EB7">
        <w:rPr>
          <w:rFonts w:ascii="Arial" w:hAnsi="Arial" w:cs="Arial"/>
          <w:sz w:val="24"/>
          <w:szCs w:val="24"/>
        </w:rPr>
        <w:t>).</w:t>
      </w:r>
      <w:r w:rsidR="00A466F0" w:rsidRPr="00944EB7">
        <w:rPr>
          <w:rFonts w:ascii="Arial" w:hAnsi="Arial" w:cs="Arial"/>
          <w:sz w:val="24"/>
          <w:szCs w:val="24"/>
        </w:rPr>
        <w:t xml:space="preserve"> </w:t>
      </w:r>
      <w:r w:rsidR="008F1A5F" w:rsidRPr="00944EB7">
        <w:rPr>
          <w:rFonts w:ascii="Arial" w:hAnsi="Arial" w:cs="Arial"/>
          <w:sz w:val="24"/>
          <w:szCs w:val="24"/>
        </w:rPr>
        <w:t>The Vale of Glamorgan had a</w:t>
      </w:r>
      <w:r w:rsidR="00FA041F" w:rsidRPr="00944EB7">
        <w:rPr>
          <w:rFonts w:ascii="Arial" w:hAnsi="Arial" w:cs="Arial"/>
          <w:sz w:val="24"/>
          <w:szCs w:val="24"/>
        </w:rPr>
        <w:t>n</w:t>
      </w:r>
      <w:r w:rsidR="008F1A5F" w:rsidRPr="00944EB7">
        <w:rPr>
          <w:rFonts w:ascii="Arial" w:hAnsi="Arial" w:cs="Arial"/>
          <w:sz w:val="24"/>
          <w:szCs w:val="24"/>
        </w:rPr>
        <w:t xml:space="preserve"> </w:t>
      </w:r>
      <w:r w:rsidR="00947EEE" w:rsidRPr="00944EB7">
        <w:rPr>
          <w:rFonts w:ascii="Arial" w:hAnsi="Arial" w:cs="Arial"/>
          <w:sz w:val="24"/>
          <w:szCs w:val="24"/>
        </w:rPr>
        <w:t>alcohol</w:t>
      </w:r>
      <w:r w:rsidR="00407651" w:rsidRPr="00944EB7">
        <w:rPr>
          <w:rFonts w:ascii="Arial" w:hAnsi="Arial" w:cs="Arial"/>
          <w:sz w:val="24"/>
          <w:szCs w:val="24"/>
        </w:rPr>
        <w:t>-specific admissions rate of 462</w:t>
      </w:r>
      <w:r w:rsidR="00F47AA8" w:rsidRPr="00944EB7">
        <w:rPr>
          <w:rFonts w:ascii="Arial" w:hAnsi="Arial" w:cs="Arial"/>
          <w:sz w:val="24"/>
          <w:szCs w:val="24"/>
        </w:rPr>
        <w:t xml:space="preserve"> per 100,000 persons</w:t>
      </w:r>
      <w:r w:rsidR="00407651" w:rsidRPr="00944EB7">
        <w:rPr>
          <w:rFonts w:ascii="Arial" w:hAnsi="Arial" w:cs="Arial"/>
          <w:sz w:val="24"/>
          <w:szCs w:val="24"/>
        </w:rPr>
        <w:t xml:space="preserve">, </w:t>
      </w:r>
      <w:r w:rsidR="00167A32" w:rsidRPr="00944EB7">
        <w:rPr>
          <w:rFonts w:ascii="Arial" w:hAnsi="Arial" w:cs="Arial"/>
          <w:sz w:val="24"/>
          <w:szCs w:val="24"/>
        </w:rPr>
        <w:t xml:space="preserve">lower </w:t>
      </w:r>
      <w:r w:rsidR="00F95718" w:rsidRPr="00944EB7">
        <w:rPr>
          <w:rFonts w:ascii="Arial" w:hAnsi="Arial" w:cs="Arial"/>
          <w:sz w:val="24"/>
          <w:szCs w:val="24"/>
        </w:rPr>
        <w:t>than the average for Wales</w:t>
      </w:r>
      <w:r w:rsidR="00167A32" w:rsidRPr="00944EB7">
        <w:rPr>
          <w:rFonts w:ascii="Arial" w:hAnsi="Arial" w:cs="Arial"/>
          <w:sz w:val="24"/>
          <w:szCs w:val="24"/>
        </w:rPr>
        <w:t xml:space="preserve">. </w:t>
      </w:r>
    </w:p>
    <w:p w14:paraId="4BA8D693" w14:textId="77777777" w:rsidR="00473738" w:rsidRDefault="00473738" w:rsidP="00DC54F7">
      <w:pPr>
        <w:spacing w:after="0" w:line="240" w:lineRule="auto"/>
        <w:jc w:val="both"/>
        <w:rPr>
          <w:rFonts w:ascii="Arial" w:hAnsi="Arial" w:cs="Arial"/>
          <w:color w:val="000000"/>
        </w:rPr>
      </w:pPr>
    </w:p>
    <w:p w14:paraId="40D05EF0" w14:textId="02720B49" w:rsidR="00944EB7" w:rsidRDefault="00944EB7" w:rsidP="00DC54F7">
      <w:pPr>
        <w:jc w:val="both"/>
        <w:rPr>
          <w:rFonts w:ascii="Arial" w:hAnsi="Arial" w:cs="Arial"/>
          <w:b/>
          <w:bCs/>
          <w:sz w:val="24"/>
          <w:szCs w:val="24"/>
          <w:lang w:val="en-US"/>
        </w:rPr>
      </w:pPr>
      <w:r>
        <w:rPr>
          <w:rFonts w:ascii="Arial" w:hAnsi="Arial" w:cs="Arial"/>
          <w:b/>
          <w:bCs/>
          <w:sz w:val="24"/>
          <w:szCs w:val="24"/>
          <w:lang w:val="en-US"/>
        </w:rPr>
        <w:br w:type="page"/>
      </w:r>
    </w:p>
    <w:p w14:paraId="7459ABC6" w14:textId="55F12484" w:rsidR="006104C2" w:rsidRPr="00944EB7" w:rsidRDefault="006104C2" w:rsidP="00DC54F7">
      <w:pPr>
        <w:spacing w:after="0" w:line="240" w:lineRule="auto"/>
        <w:contextualSpacing/>
        <w:jc w:val="both"/>
        <w:rPr>
          <w:rFonts w:ascii="Arial" w:hAnsi="Arial" w:cs="Arial"/>
          <w:b/>
          <w:bCs/>
          <w:sz w:val="24"/>
          <w:szCs w:val="24"/>
          <w:lang w:val="en-US"/>
        </w:rPr>
      </w:pPr>
      <w:r w:rsidRPr="00944EB7">
        <w:rPr>
          <w:rFonts w:ascii="Arial" w:hAnsi="Arial" w:cs="Arial"/>
          <w:b/>
          <w:bCs/>
          <w:sz w:val="24"/>
          <w:szCs w:val="24"/>
          <w:lang w:val="en-US"/>
        </w:rPr>
        <w:lastRenderedPageBreak/>
        <w:t>Figure</w:t>
      </w:r>
      <w:r w:rsidR="00275487" w:rsidRPr="00944EB7">
        <w:rPr>
          <w:rFonts w:ascii="Arial" w:hAnsi="Arial" w:cs="Arial"/>
          <w:b/>
          <w:bCs/>
          <w:sz w:val="24"/>
          <w:szCs w:val="24"/>
          <w:lang w:val="en-US"/>
        </w:rPr>
        <w:t xml:space="preserve"> 3.6</w:t>
      </w:r>
      <w:r w:rsidRPr="00944EB7">
        <w:rPr>
          <w:rFonts w:ascii="Arial" w:hAnsi="Arial" w:cs="Arial"/>
          <w:b/>
          <w:bCs/>
          <w:sz w:val="24"/>
          <w:szCs w:val="24"/>
          <w:lang w:val="en-US"/>
        </w:rPr>
        <w:t xml:space="preserve">: Alcohol-specific admissions (wholly attributable to alcohol - either as a primary or secondary diagnosis), European age-standardised rates per 100,000 persons by </w:t>
      </w:r>
      <w:r w:rsidR="00567F4B" w:rsidRPr="00944EB7">
        <w:rPr>
          <w:rFonts w:ascii="Arial" w:hAnsi="Arial" w:cs="Arial"/>
          <w:b/>
          <w:bCs/>
          <w:sz w:val="24"/>
          <w:szCs w:val="24"/>
          <w:lang w:val="en-US"/>
        </w:rPr>
        <w:t>local</w:t>
      </w:r>
      <w:r w:rsidRPr="00944EB7">
        <w:rPr>
          <w:rFonts w:ascii="Arial" w:hAnsi="Arial" w:cs="Arial"/>
          <w:b/>
          <w:bCs/>
          <w:sz w:val="24"/>
          <w:szCs w:val="24"/>
          <w:lang w:val="en-US"/>
        </w:rPr>
        <w:t xml:space="preserve"> authority, 201</w:t>
      </w:r>
      <w:r w:rsidR="001A0636" w:rsidRPr="00944EB7">
        <w:rPr>
          <w:rFonts w:ascii="Arial" w:hAnsi="Arial" w:cs="Arial"/>
          <w:b/>
          <w:bCs/>
          <w:sz w:val="24"/>
          <w:szCs w:val="24"/>
          <w:lang w:val="en-US"/>
        </w:rPr>
        <w:t>7</w:t>
      </w:r>
      <w:r w:rsidRPr="00944EB7">
        <w:rPr>
          <w:rFonts w:ascii="Arial" w:hAnsi="Arial" w:cs="Arial"/>
          <w:b/>
          <w:bCs/>
          <w:sz w:val="24"/>
          <w:szCs w:val="24"/>
          <w:lang w:val="en-US"/>
        </w:rPr>
        <w:t xml:space="preserve"> to 201</w:t>
      </w:r>
      <w:r w:rsidR="001A0636" w:rsidRPr="00944EB7">
        <w:rPr>
          <w:rFonts w:ascii="Arial" w:hAnsi="Arial" w:cs="Arial"/>
          <w:b/>
          <w:bCs/>
          <w:sz w:val="24"/>
          <w:szCs w:val="24"/>
          <w:lang w:val="en-US"/>
        </w:rPr>
        <w:t>8</w:t>
      </w:r>
      <w:r w:rsidRPr="00944EB7">
        <w:rPr>
          <w:rFonts w:ascii="Arial" w:hAnsi="Arial" w:cs="Arial"/>
          <w:b/>
          <w:bCs/>
          <w:sz w:val="24"/>
          <w:szCs w:val="24"/>
          <w:lang w:val="en-US"/>
        </w:rPr>
        <w:t xml:space="preserve"> </w:t>
      </w:r>
    </w:p>
    <w:p w14:paraId="2F1FC07E" w14:textId="77777777" w:rsidR="006104C2" w:rsidRDefault="006104C2" w:rsidP="00DC54F7">
      <w:pPr>
        <w:spacing w:after="0" w:line="240" w:lineRule="auto"/>
        <w:contextualSpacing/>
        <w:jc w:val="both"/>
        <w:rPr>
          <w:rFonts w:ascii="Arial" w:hAnsi="Arial" w:cs="Arial"/>
          <w:lang w:val="en-US"/>
        </w:rPr>
      </w:pPr>
      <w:r>
        <w:rPr>
          <w:noProof/>
          <w:lang w:eastAsia="en-GB"/>
        </w:rPr>
        <w:drawing>
          <wp:inline distT="0" distB="0" distL="0" distR="0" wp14:anchorId="0321EF87" wp14:editId="29DFE8DA">
            <wp:extent cx="5640296" cy="4762123"/>
            <wp:effectExtent l="0" t="0" r="0"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18922" cy="4828508"/>
                    </a:xfrm>
                    <a:prstGeom prst="rect">
                      <a:avLst/>
                    </a:prstGeom>
                    <a:noFill/>
                    <a:ln>
                      <a:noFill/>
                    </a:ln>
                  </pic:spPr>
                </pic:pic>
              </a:graphicData>
            </a:graphic>
          </wp:inline>
        </w:drawing>
      </w:r>
    </w:p>
    <w:p w14:paraId="70287B76" w14:textId="77777777" w:rsidR="006104C2" w:rsidRDefault="006104C2" w:rsidP="00DC54F7">
      <w:pPr>
        <w:spacing w:after="0" w:line="240" w:lineRule="auto"/>
        <w:contextualSpacing/>
        <w:jc w:val="both"/>
        <w:rPr>
          <w:rFonts w:ascii="Arial" w:hAnsi="Arial" w:cs="Arial"/>
          <w:lang w:val="en-US"/>
        </w:rPr>
      </w:pPr>
    </w:p>
    <w:p w14:paraId="5F58AD42" w14:textId="4799E363" w:rsidR="006104C2" w:rsidRPr="006D6217" w:rsidRDefault="006104C2" w:rsidP="00DC54F7">
      <w:pPr>
        <w:pStyle w:val="NormalWeb"/>
        <w:shd w:val="clear" w:color="auto" w:fill="FFFFFF"/>
        <w:spacing w:before="0" w:beforeAutospacing="0" w:after="0" w:afterAutospacing="0"/>
        <w:jc w:val="both"/>
        <w:rPr>
          <w:rFonts w:ascii="Arial" w:hAnsi="Arial" w:cs="Arial"/>
        </w:rPr>
      </w:pPr>
      <w:r w:rsidRPr="006D6217">
        <w:rPr>
          <w:rFonts w:ascii="Arial" w:hAnsi="Arial" w:cs="Arial"/>
        </w:rPr>
        <w:t>Alcohol-specific mortality represents deaths which are considered to be entirely caused by alcohol. The overwhelming majority of the 1,170 alcohol-specific deaths in Wales in 2015</w:t>
      </w:r>
      <w:r w:rsidR="00087E0C" w:rsidRPr="006D6217">
        <w:rPr>
          <w:rFonts w:ascii="Arial" w:hAnsi="Arial" w:cs="Arial"/>
        </w:rPr>
        <w:t xml:space="preserve"> to </w:t>
      </w:r>
      <w:r w:rsidRPr="006D6217">
        <w:rPr>
          <w:rFonts w:ascii="Arial" w:hAnsi="Arial" w:cs="Arial"/>
        </w:rPr>
        <w:t xml:space="preserve">2017 were caused by alcoholic liver disease - nearly </w:t>
      </w:r>
      <w:r w:rsidR="006C3821" w:rsidRPr="006D6217">
        <w:rPr>
          <w:rFonts w:ascii="Arial" w:hAnsi="Arial" w:cs="Arial"/>
        </w:rPr>
        <w:t xml:space="preserve">nine </w:t>
      </w:r>
      <w:r w:rsidRPr="006D6217">
        <w:rPr>
          <w:rFonts w:ascii="Arial" w:hAnsi="Arial" w:cs="Arial"/>
        </w:rPr>
        <w:t>in 10 males and over</w:t>
      </w:r>
      <w:r w:rsidR="006C3821" w:rsidRPr="006D6217">
        <w:rPr>
          <w:rFonts w:ascii="Arial" w:hAnsi="Arial" w:cs="Arial"/>
        </w:rPr>
        <w:t xml:space="preserve"> eight</w:t>
      </w:r>
      <w:r w:rsidRPr="006D6217">
        <w:rPr>
          <w:rFonts w:ascii="Arial" w:hAnsi="Arial" w:cs="Arial"/>
        </w:rPr>
        <w:t xml:space="preserve"> in 10 females. Other causes include mental and behavioural conditions and accidental poisoning by/and exposure to alcohol.</w:t>
      </w:r>
      <w:r w:rsidR="003E3CFF" w:rsidRPr="006D6217">
        <w:rPr>
          <w:rStyle w:val="FootnoteReference"/>
          <w:rFonts w:ascii="Arial" w:hAnsi="Arial" w:cs="Arial"/>
        </w:rPr>
        <w:footnoteReference w:id="19"/>
      </w:r>
    </w:p>
    <w:p w14:paraId="4D8678A1" w14:textId="77777777" w:rsidR="0027234C" w:rsidRPr="00944EB7" w:rsidRDefault="0027234C" w:rsidP="00DC54F7">
      <w:pPr>
        <w:spacing w:after="0" w:line="240" w:lineRule="auto"/>
        <w:jc w:val="both"/>
        <w:rPr>
          <w:rFonts w:ascii="Arial" w:eastAsia="Times New Roman" w:hAnsi="Arial" w:cs="Arial"/>
          <w:color w:val="000000"/>
          <w:sz w:val="24"/>
          <w:szCs w:val="24"/>
          <w:lang w:eastAsia="en-GB"/>
        </w:rPr>
      </w:pPr>
    </w:p>
    <w:p w14:paraId="67FBB622" w14:textId="721E71F3" w:rsidR="006104C2" w:rsidRPr="00944EB7" w:rsidRDefault="006104C2" w:rsidP="00DC54F7">
      <w:pPr>
        <w:spacing w:after="0" w:line="240" w:lineRule="auto"/>
        <w:jc w:val="both"/>
        <w:rPr>
          <w:rFonts w:ascii="Arial" w:eastAsia="Times New Roman" w:hAnsi="Arial" w:cs="Arial"/>
          <w:color w:val="000000"/>
          <w:sz w:val="24"/>
          <w:szCs w:val="24"/>
          <w:lang w:eastAsia="en-GB"/>
        </w:rPr>
      </w:pPr>
      <w:r w:rsidRPr="00944EB7">
        <w:rPr>
          <w:rFonts w:ascii="Arial" w:eastAsia="Times New Roman" w:hAnsi="Arial" w:cs="Arial"/>
          <w:color w:val="000000"/>
          <w:sz w:val="24"/>
          <w:szCs w:val="24"/>
          <w:lang w:eastAsia="en-GB"/>
        </w:rPr>
        <w:t xml:space="preserve">In 2015 to 2017, </w:t>
      </w:r>
      <w:r w:rsidR="00074A11" w:rsidRPr="00944EB7">
        <w:rPr>
          <w:rFonts w:ascii="Arial" w:eastAsia="Times New Roman" w:hAnsi="Arial" w:cs="Arial"/>
          <w:color w:val="000000"/>
          <w:sz w:val="24"/>
          <w:szCs w:val="24"/>
          <w:lang w:eastAsia="en-GB"/>
        </w:rPr>
        <w:t xml:space="preserve">Cardiff and Vale University Hospital Board </w:t>
      </w:r>
      <w:r w:rsidR="00473738" w:rsidRPr="00944EB7">
        <w:rPr>
          <w:rFonts w:ascii="Arial" w:eastAsia="Times New Roman" w:hAnsi="Arial" w:cs="Arial"/>
          <w:color w:val="000000"/>
          <w:sz w:val="24"/>
          <w:szCs w:val="24"/>
          <w:lang w:eastAsia="en-GB"/>
        </w:rPr>
        <w:t>had an alcohol-specific mortality rate of 11.5</w:t>
      </w:r>
      <w:r w:rsidR="00EB695C" w:rsidRPr="00944EB7">
        <w:rPr>
          <w:rFonts w:ascii="Arial" w:eastAsia="Times New Roman" w:hAnsi="Arial" w:cs="Arial"/>
          <w:color w:val="000000"/>
          <w:sz w:val="24"/>
          <w:szCs w:val="24"/>
          <w:lang w:eastAsia="en-GB"/>
        </w:rPr>
        <w:t xml:space="preserve"> per 100,000 persons</w:t>
      </w:r>
      <w:r w:rsidR="00473738" w:rsidRPr="00944EB7">
        <w:rPr>
          <w:rFonts w:ascii="Arial" w:eastAsia="Times New Roman" w:hAnsi="Arial" w:cs="Arial"/>
          <w:color w:val="000000"/>
          <w:sz w:val="24"/>
          <w:szCs w:val="24"/>
          <w:lang w:eastAsia="en-GB"/>
        </w:rPr>
        <w:t xml:space="preserve">, which was lower </w:t>
      </w:r>
      <w:r w:rsidR="00F95718" w:rsidRPr="00944EB7">
        <w:rPr>
          <w:rFonts w:ascii="Arial" w:eastAsia="Times New Roman" w:hAnsi="Arial" w:cs="Arial"/>
          <w:color w:val="000000"/>
          <w:sz w:val="24"/>
          <w:szCs w:val="24"/>
          <w:lang w:eastAsia="en-GB"/>
        </w:rPr>
        <w:t>than the average for Wales</w:t>
      </w:r>
      <w:r w:rsidRPr="00944EB7">
        <w:rPr>
          <w:rFonts w:ascii="Arial" w:eastAsia="Times New Roman" w:hAnsi="Arial" w:cs="Arial"/>
          <w:color w:val="000000"/>
          <w:sz w:val="24"/>
          <w:szCs w:val="24"/>
          <w:lang w:eastAsia="en-GB"/>
        </w:rPr>
        <w:t xml:space="preserve"> (12.7</w:t>
      </w:r>
      <w:r w:rsidR="00EB695C" w:rsidRPr="00944EB7">
        <w:rPr>
          <w:rFonts w:ascii="Arial" w:eastAsia="Times New Roman" w:hAnsi="Arial" w:cs="Arial"/>
          <w:color w:val="000000"/>
          <w:sz w:val="24"/>
          <w:szCs w:val="24"/>
          <w:lang w:eastAsia="en-GB"/>
        </w:rPr>
        <w:t xml:space="preserve"> per 100,000</w:t>
      </w:r>
      <w:r w:rsidR="00030EA7" w:rsidRPr="00944EB7">
        <w:rPr>
          <w:rFonts w:ascii="Arial" w:eastAsia="Times New Roman" w:hAnsi="Arial" w:cs="Arial"/>
          <w:color w:val="000000"/>
          <w:sz w:val="24"/>
          <w:szCs w:val="24"/>
          <w:lang w:eastAsia="en-GB"/>
        </w:rPr>
        <w:t xml:space="preserve"> persons</w:t>
      </w:r>
      <w:r w:rsidR="00473738" w:rsidRPr="00944EB7">
        <w:rPr>
          <w:rFonts w:ascii="Arial" w:eastAsia="Times New Roman" w:hAnsi="Arial" w:cs="Arial"/>
          <w:color w:val="000000"/>
          <w:sz w:val="24"/>
          <w:szCs w:val="24"/>
          <w:lang w:eastAsia="en-GB"/>
        </w:rPr>
        <w:t>)</w:t>
      </w:r>
      <w:r w:rsidRPr="00944EB7">
        <w:rPr>
          <w:rFonts w:ascii="Arial" w:eastAsia="Times New Roman" w:hAnsi="Arial" w:cs="Arial"/>
          <w:color w:val="000000"/>
          <w:sz w:val="24"/>
          <w:szCs w:val="24"/>
          <w:lang w:eastAsia="en-GB"/>
        </w:rPr>
        <w:t>.</w:t>
      </w:r>
    </w:p>
    <w:p w14:paraId="3E872B8A" w14:textId="77777777" w:rsidR="006104C2" w:rsidRPr="00944EB7" w:rsidRDefault="006104C2" w:rsidP="00DC54F7">
      <w:pPr>
        <w:spacing w:after="0" w:line="240" w:lineRule="auto"/>
        <w:jc w:val="both"/>
        <w:rPr>
          <w:rFonts w:ascii="Arial" w:eastAsia="Times New Roman" w:hAnsi="Arial" w:cs="Arial"/>
          <w:color w:val="000000"/>
          <w:sz w:val="24"/>
          <w:szCs w:val="24"/>
          <w:lang w:eastAsia="en-GB"/>
        </w:rPr>
      </w:pPr>
    </w:p>
    <w:p w14:paraId="18BEFB65" w14:textId="77777777" w:rsidR="00944EB7" w:rsidRDefault="00944EB7" w:rsidP="00DC54F7">
      <w:pPr>
        <w:spacing w:after="0" w:line="240" w:lineRule="auto"/>
        <w:contextualSpacing/>
        <w:jc w:val="both"/>
        <w:rPr>
          <w:rFonts w:ascii="Arial" w:hAnsi="Arial" w:cs="Arial"/>
          <w:b/>
          <w:bCs/>
          <w:lang w:val="en-US"/>
        </w:rPr>
      </w:pPr>
    </w:p>
    <w:p w14:paraId="4B103372" w14:textId="77777777" w:rsidR="00944EB7" w:rsidRDefault="00944EB7" w:rsidP="00DC54F7">
      <w:pPr>
        <w:spacing w:after="0" w:line="240" w:lineRule="auto"/>
        <w:contextualSpacing/>
        <w:jc w:val="both"/>
        <w:rPr>
          <w:rFonts w:ascii="Arial" w:hAnsi="Arial" w:cs="Arial"/>
          <w:b/>
          <w:bCs/>
          <w:lang w:val="en-US"/>
        </w:rPr>
      </w:pPr>
    </w:p>
    <w:p w14:paraId="571A80F1" w14:textId="77777777" w:rsidR="00944EB7" w:rsidRDefault="00944EB7" w:rsidP="00DC54F7">
      <w:pPr>
        <w:spacing w:after="0" w:line="240" w:lineRule="auto"/>
        <w:contextualSpacing/>
        <w:jc w:val="both"/>
        <w:rPr>
          <w:rFonts w:ascii="Arial" w:hAnsi="Arial" w:cs="Arial"/>
          <w:b/>
          <w:bCs/>
          <w:lang w:val="en-US"/>
        </w:rPr>
      </w:pPr>
    </w:p>
    <w:p w14:paraId="629E2A44" w14:textId="1D7B155E" w:rsidR="006104C2" w:rsidRPr="00944EB7" w:rsidRDefault="00944EB7" w:rsidP="00DC54F7">
      <w:pPr>
        <w:spacing w:after="0" w:line="240" w:lineRule="auto"/>
        <w:jc w:val="both"/>
        <w:rPr>
          <w:rFonts w:ascii="Arial" w:hAnsi="Arial" w:cs="Arial"/>
          <w:b/>
          <w:bCs/>
          <w:sz w:val="24"/>
          <w:szCs w:val="24"/>
          <w:lang w:val="en-US"/>
        </w:rPr>
      </w:pPr>
      <w:r>
        <w:rPr>
          <w:rFonts w:ascii="Arial" w:hAnsi="Arial" w:cs="Arial"/>
          <w:b/>
          <w:bCs/>
          <w:lang w:val="en-US"/>
        </w:rPr>
        <w:br w:type="page"/>
      </w:r>
      <w:r w:rsidR="00124C1B" w:rsidRPr="00944EB7">
        <w:rPr>
          <w:rFonts w:ascii="Arial" w:hAnsi="Arial" w:cs="Arial"/>
          <w:b/>
          <w:bCs/>
          <w:sz w:val="24"/>
          <w:szCs w:val="24"/>
          <w:lang w:val="en-US"/>
        </w:rPr>
        <w:lastRenderedPageBreak/>
        <w:t>Figure</w:t>
      </w:r>
      <w:r w:rsidR="00275487" w:rsidRPr="00944EB7">
        <w:rPr>
          <w:rFonts w:ascii="Arial" w:hAnsi="Arial" w:cs="Arial"/>
          <w:b/>
          <w:bCs/>
          <w:sz w:val="24"/>
          <w:szCs w:val="24"/>
          <w:lang w:val="en-US"/>
        </w:rPr>
        <w:t xml:space="preserve"> 3.7</w:t>
      </w:r>
      <w:r w:rsidR="00124C1B" w:rsidRPr="00944EB7">
        <w:rPr>
          <w:rFonts w:ascii="Arial" w:hAnsi="Arial" w:cs="Arial"/>
          <w:b/>
          <w:bCs/>
          <w:sz w:val="24"/>
          <w:szCs w:val="24"/>
          <w:lang w:val="en-US"/>
        </w:rPr>
        <w:t>: Alcohol-specific mortality European age-standardised rates per 100,000 persons by health board and Wales, 201</w:t>
      </w:r>
      <w:r w:rsidR="0027234C" w:rsidRPr="00944EB7">
        <w:rPr>
          <w:rFonts w:ascii="Arial" w:hAnsi="Arial" w:cs="Arial"/>
          <w:b/>
          <w:bCs/>
          <w:sz w:val="24"/>
          <w:szCs w:val="24"/>
          <w:lang w:val="en-US"/>
        </w:rPr>
        <w:t>5</w:t>
      </w:r>
      <w:r w:rsidR="00124C1B" w:rsidRPr="00944EB7">
        <w:rPr>
          <w:rFonts w:ascii="Arial" w:hAnsi="Arial" w:cs="Arial"/>
          <w:b/>
          <w:bCs/>
          <w:sz w:val="24"/>
          <w:szCs w:val="24"/>
          <w:lang w:val="en-US"/>
        </w:rPr>
        <w:t xml:space="preserve"> to 201</w:t>
      </w:r>
      <w:r w:rsidR="0027234C" w:rsidRPr="00944EB7">
        <w:rPr>
          <w:rFonts w:ascii="Arial" w:hAnsi="Arial" w:cs="Arial"/>
          <w:b/>
          <w:bCs/>
          <w:sz w:val="24"/>
          <w:szCs w:val="24"/>
          <w:lang w:val="en-US"/>
        </w:rPr>
        <w:t>7</w:t>
      </w:r>
      <w:r w:rsidR="00124C1B" w:rsidRPr="00944EB7">
        <w:rPr>
          <w:rFonts w:ascii="Arial" w:hAnsi="Arial" w:cs="Arial"/>
          <w:b/>
          <w:bCs/>
          <w:sz w:val="24"/>
          <w:szCs w:val="24"/>
          <w:lang w:val="en-US"/>
        </w:rPr>
        <w:t xml:space="preserve">. </w:t>
      </w:r>
    </w:p>
    <w:p w14:paraId="31FF339C" w14:textId="100505CE" w:rsidR="00124C1B" w:rsidRDefault="00124C1B" w:rsidP="00DC54F7">
      <w:pPr>
        <w:pStyle w:val="NormalWeb"/>
        <w:shd w:val="clear" w:color="auto" w:fill="FFFFFF"/>
        <w:spacing w:before="0" w:beforeAutospacing="0" w:after="150" w:afterAutospacing="0"/>
        <w:jc w:val="both"/>
        <w:rPr>
          <w:rFonts w:ascii="Verdana" w:hAnsi="Verdana"/>
          <w:b/>
          <w:bCs/>
          <w:color w:val="333333"/>
          <w:sz w:val="21"/>
          <w:szCs w:val="21"/>
        </w:rPr>
      </w:pPr>
      <w:r>
        <w:rPr>
          <w:noProof/>
        </w:rPr>
        <w:drawing>
          <wp:inline distT="0" distB="0" distL="0" distR="0" wp14:anchorId="2BBC63C3" wp14:editId="792B9362">
            <wp:extent cx="5547458" cy="2670772"/>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601188" cy="2696640"/>
                    </a:xfrm>
                    <a:prstGeom prst="rect">
                      <a:avLst/>
                    </a:prstGeom>
                    <a:noFill/>
                    <a:ln>
                      <a:noFill/>
                    </a:ln>
                  </pic:spPr>
                </pic:pic>
              </a:graphicData>
            </a:graphic>
          </wp:inline>
        </w:drawing>
      </w:r>
    </w:p>
    <w:p w14:paraId="2E0F4F63" w14:textId="6DC44639" w:rsidR="006104C2" w:rsidRPr="006D6217" w:rsidRDefault="006104C2" w:rsidP="00DC54F7">
      <w:pPr>
        <w:pStyle w:val="NormalWeb"/>
        <w:shd w:val="clear" w:color="auto" w:fill="FFFFFF"/>
        <w:spacing w:before="0" w:beforeAutospacing="0" w:after="0" w:afterAutospacing="0"/>
        <w:jc w:val="both"/>
        <w:rPr>
          <w:rFonts w:ascii="Arial" w:hAnsi="Arial" w:cs="Arial"/>
        </w:rPr>
      </w:pPr>
      <w:r w:rsidRPr="006D6217">
        <w:rPr>
          <w:rFonts w:ascii="Arial" w:hAnsi="Arial" w:cs="Arial"/>
          <w:shd w:val="clear" w:color="auto" w:fill="FFFFFF"/>
        </w:rPr>
        <w:t xml:space="preserve">Alcohol-attributable mortality captures deaths which can be partially attributed to alcohol use, based on the underlying cause of death. Both </w:t>
      </w:r>
      <w:r w:rsidR="0006316E" w:rsidRPr="006D6217">
        <w:rPr>
          <w:rFonts w:ascii="Arial" w:hAnsi="Arial" w:cs="Arial"/>
          <w:shd w:val="clear" w:color="auto" w:fill="FFFFFF"/>
        </w:rPr>
        <w:t>Cardiff and the Vale of Glamorgan have the same alcohol</w:t>
      </w:r>
      <w:r w:rsidR="00CA58AB" w:rsidRPr="006D6217">
        <w:rPr>
          <w:rFonts w:ascii="Arial" w:hAnsi="Arial" w:cs="Arial"/>
          <w:shd w:val="clear" w:color="auto" w:fill="FFFFFF"/>
        </w:rPr>
        <w:t>-attributable mortality rate (50.50</w:t>
      </w:r>
      <w:r w:rsidR="00EB695C" w:rsidRPr="006D6217">
        <w:rPr>
          <w:rFonts w:ascii="Arial" w:hAnsi="Arial" w:cs="Arial"/>
          <w:shd w:val="clear" w:color="auto" w:fill="FFFFFF"/>
        </w:rPr>
        <w:t xml:space="preserve"> per 100,000</w:t>
      </w:r>
      <w:r w:rsidR="004C6805" w:rsidRPr="006D6217">
        <w:rPr>
          <w:rFonts w:ascii="Arial" w:hAnsi="Arial" w:cs="Arial"/>
          <w:shd w:val="clear" w:color="auto" w:fill="FFFFFF"/>
        </w:rPr>
        <w:t xml:space="preserve"> p</w:t>
      </w:r>
      <w:r w:rsidR="00030EA7" w:rsidRPr="006D6217">
        <w:rPr>
          <w:rFonts w:ascii="Arial" w:hAnsi="Arial" w:cs="Arial"/>
          <w:shd w:val="clear" w:color="auto" w:fill="FFFFFF"/>
        </w:rPr>
        <w:t>ersons</w:t>
      </w:r>
      <w:r w:rsidR="00CA58AB" w:rsidRPr="006D6217">
        <w:rPr>
          <w:rFonts w:ascii="Arial" w:hAnsi="Arial" w:cs="Arial"/>
          <w:shd w:val="clear" w:color="auto" w:fill="FFFFFF"/>
        </w:rPr>
        <w:t xml:space="preserve">), which is </w:t>
      </w:r>
      <w:r w:rsidR="00074A11" w:rsidRPr="006D6217">
        <w:rPr>
          <w:rFonts w:ascii="Arial" w:hAnsi="Arial" w:cs="Arial"/>
          <w:shd w:val="clear" w:color="auto" w:fill="FFFFFF"/>
        </w:rPr>
        <w:t xml:space="preserve">less </w:t>
      </w:r>
      <w:r w:rsidR="00F95718" w:rsidRPr="006D6217">
        <w:rPr>
          <w:rFonts w:ascii="Arial" w:hAnsi="Arial" w:cs="Arial"/>
          <w:shd w:val="clear" w:color="auto" w:fill="FFFFFF"/>
        </w:rPr>
        <w:t>than the average for Wales</w:t>
      </w:r>
      <w:r w:rsidR="00074A11" w:rsidRPr="006D6217">
        <w:rPr>
          <w:rFonts w:ascii="Arial" w:hAnsi="Arial" w:cs="Arial"/>
          <w:shd w:val="clear" w:color="auto" w:fill="FFFFFF"/>
        </w:rPr>
        <w:t xml:space="preserve"> (52.6</w:t>
      </w:r>
      <w:r w:rsidR="00EB695C" w:rsidRPr="006D6217">
        <w:rPr>
          <w:rFonts w:ascii="Arial" w:hAnsi="Arial" w:cs="Arial"/>
          <w:shd w:val="clear" w:color="auto" w:fill="FFFFFF"/>
        </w:rPr>
        <w:t xml:space="preserve"> per 100,000</w:t>
      </w:r>
      <w:r w:rsidR="004C6805" w:rsidRPr="006D6217">
        <w:rPr>
          <w:rFonts w:ascii="Arial" w:hAnsi="Arial" w:cs="Arial"/>
          <w:shd w:val="clear" w:color="auto" w:fill="FFFFFF"/>
        </w:rPr>
        <w:t xml:space="preserve"> p</w:t>
      </w:r>
      <w:r w:rsidR="00030EA7" w:rsidRPr="006D6217">
        <w:rPr>
          <w:rFonts w:ascii="Arial" w:hAnsi="Arial" w:cs="Arial"/>
          <w:shd w:val="clear" w:color="auto" w:fill="FFFFFF"/>
        </w:rPr>
        <w:t>ersons</w:t>
      </w:r>
      <w:r w:rsidR="00074A11" w:rsidRPr="006D6217">
        <w:rPr>
          <w:rFonts w:ascii="Arial" w:hAnsi="Arial" w:cs="Arial"/>
          <w:shd w:val="clear" w:color="auto" w:fill="FFFFFF"/>
        </w:rPr>
        <w:t>).</w:t>
      </w:r>
      <w:r w:rsidR="00251595" w:rsidRPr="006D6217">
        <w:rPr>
          <w:rStyle w:val="FootnoteReference"/>
          <w:rFonts w:ascii="Arial" w:hAnsi="Arial" w:cs="Arial"/>
        </w:rPr>
        <w:t>6</w:t>
      </w:r>
    </w:p>
    <w:p w14:paraId="76EB307A" w14:textId="12AB1169" w:rsidR="00237A36" w:rsidRDefault="00237A36" w:rsidP="00DC54F7">
      <w:pPr>
        <w:spacing w:after="0" w:line="240" w:lineRule="auto"/>
        <w:jc w:val="both"/>
        <w:rPr>
          <w:rFonts w:ascii="Arial" w:hAnsi="Arial" w:cs="Arial"/>
          <w:b/>
          <w:bCs/>
          <w:sz w:val="26"/>
          <w:szCs w:val="26"/>
        </w:rPr>
      </w:pPr>
    </w:p>
    <w:p w14:paraId="47C7A83C" w14:textId="77777777" w:rsidR="00BC5374" w:rsidRDefault="00BC5374" w:rsidP="00DC54F7">
      <w:pPr>
        <w:spacing w:after="0" w:line="240" w:lineRule="auto"/>
        <w:jc w:val="both"/>
        <w:rPr>
          <w:rFonts w:ascii="Arial" w:hAnsi="Arial" w:cs="Arial"/>
          <w:b/>
          <w:bCs/>
          <w:sz w:val="26"/>
          <w:szCs w:val="26"/>
        </w:rPr>
      </w:pPr>
    </w:p>
    <w:p w14:paraId="01536403" w14:textId="65AE9DDE" w:rsidR="004A0A18" w:rsidRDefault="00E61D85" w:rsidP="00DC54F7">
      <w:pPr>
        <w:spacing w:after="0" w:line="240" w:lineRule="auto"/>
        <w:jc w:val="both"/>
        <w:rPr>
          <w:rFonts w:ascii="Arial" w:hAnsi="Arial" w:cs="Arial"/>
          <w:b/>
          <w:bCs/>
          <w:sz w:val="26"/>
          <w:szCs w:val="26"/>
        </w:rPr>
      </w:pPr>
      <w:r>
        <w:rPr>
          <w:rFonts w:ascii="Arial" w:hAnsi="Arial" w:cs="Arial"/>
          <w:b/>
          <w:bCs/>
          <w:sz w:val="26"/>
          <w:szCs w:val="26"/>
        </w:rPr>
        <w:t xml:space="preserve">3.3 </w:t>
      </w:r>
      <w:r w:rsidR="004A0A18" w:rsidRPr="004A0A18">
        <w:rPr>
          <w:rFonts w:ascii="Arial" w:hAnsi="Arial" w:cs="Arial"/>
          <w:b/>
          <w:bCs/>
          <w:sz w:val="26"/>
          <w:szCs w:val="26"/>
        </w:rPr>
        <w:t>Healthy Ageing</w:t>
      </w:r>
    </w:p>
    <w:p w14:paraId="3517A99C" w14:textId="77777777" w:rsidR="00944EB7" w:rsidRDefault="00944EB7" w:rsidP="00DC54F7">
      <w:pPr>
        <w:spacing w:after="0" w:line="240" w:lineRule="auto"/>
        <w:jc w:val="both"/>
        <w:rPr>
          <w:rFonts w:ascii="Arial" w:hAnsi="Arial" w:cs="Arial"/>
          <w:b/>
          <w:bCs/>
          <w:sz w:val="26"/>
          <w:szCs w:val="26"/>
        </w:rPr>
      </w:pPr>
    </w:p>
    <w:p w14:paraId="7FF1B788" w14:textId="4AC650D4" w:rsidR="0042607F" w:rsidRPr="00944EB7" w:rsidRDefault="00E61D85" w:rsidP="00DC54F7">
      <w:pPr>
        <w:spacing w:after="0" w:line="240" w:lineRule="auto"/>
        <w:jc w:val="both"/>
        <w:rPr>
          <w:rFonts w:ascii="Arial" w:hAnsi="Arial" w:cs="Arial"/>
          <w:b/>
          <w:bCs/>
          <w:sz w:val="24"/>
          <w:szCs w:val="24"/>
        </w:rPr>
      </w:pPr>
      <w:r w:rsidRPr="00944EB7">
        <w:rPr>
          <w:rFonts w:ascii="Arial" w:hAnsi="Arial" w:cs="Arial"/>
          <w:b/>
          <w:bCs/>
          <w:sz w:val="24"/>
          <w:szCs w:val="24"/>
        </w:rPr>
        <w:t xml:space="preserve">3.3.1 </w:t>
      </w:r>
      <w:r w:rsidR="004A0A18" w:rsidRPr="00944EB7">
        <w:rPr>
          <w:rFonts w:ascii="Arial" w:hAnsi="Arial" w:cs="Arial"/>
          <w:b/>
          <w:bCs/>
          <w:sz w:val="24"/>
          <w:szCs w:val="24"/>
        </w:rPr>
        <w:t>Low birth weight</w:t>
      </w:r>
    </w:p>
    <w:p w14:paraId="4D4F80D2" w14:textId="77777777" w:rsidR="00944EB7" w:rsidRDefault="00944EB7" w:rsidP="00DC54F7">
      <w:pPr>
        <w:spacing w:after="0" w:line="240" w:lineRule="auto"/>
        <w:jc w:val="both"/>
        <w:rPr>
          <w:rFonts w:ascii="Arial" w:hAnsi="Arial" w:cs="Arial"/>
          <w:color w:val="323132"/>
          <w:shd w:val="clear" w:color="auto" w:fill="FFFFFF"/>
        </w:rPr>
      </w:pPr>
    </w:p>
    <w:p w14:paraId="114EDE8D" w14:textId="10955E4E" w:rsidR="00F14890" w:rsidRPr="006D6217" w:rsidRDefault="00353480" w:rsidP="00DC54F7">
      <w:pPr>
        <w:spacing w:after="0" w:line="240" w:lineRule="auto"/>
        <w:jc w:val="both"/>
        <w:rPr>
          <w:rFonts w:ascii="Arial" w:hAnsi="Arial" w:cs="Arial"/>
          <w:sz w:val="24"/>
          <w:szCs w:val="24"/>
          <w:shd w:val="clear" w:color="auto" w:fill="FFFFFF"/>
        </w:rPr>
      </w:pPr>
      <w:r w:rsidRPr="006D6217">
        <w:rPr>
          <w:rFonts w:ascii="Arial" w:hAnsi="Arial" w:cs="Arial"/>
          <w:sz w:val="24"/>
          <w:szCs w:val="24"/>
          <w:shd w:val="clear" w:color="auto" w:fill="FFFFFF"/>
        </w:rPr>
        <w:t xml:space="preserve">Low birth weight is influenced by maternal lifestyle issues such as smoking. </w:t>
      </w:r>
      <w:r w:rsidR="00B825DE" w:rsidRPr="006D6217">
        <w:rPr>
          <w:rFonts w:ascii="Arial" w:hAnsi="Arial" w:cs="Arial"/>
          <w:sz w:val="24"/>
          <w:szCs w:val="24"/>
          <w:shd w:val="clear" w:color="auto" w:fill="FFFFFF"/>
        </w:rPr>
        <w:t>B</w:t>
      </w:r>
      <w:r w:rsidR="00737AD3" w:rsidRPr="006D6217">
        <w:rPr>
          <w:rFonts w:ascii="Arial" w:hAnsi="Arial" w:cs="Arial"/>
          <w:sz w:val="24"/>
          <w:szCs w:val="24"/>
        </w:rPr>
        <w:t xml:space="preserve">irth weight is inversely associated with infant mortality, life expectancy, </w:t>
      </w:r>
      <w:r w:rsidR="000B6834" w:rsidRPr="006D6217">
        <w:rPr>
          <w:rFonts w:ascii="Arial" w:hAnsi="Arial" w:cs="Arial"/>
          <w:sz w:val="24"/>
          <w:szCs w:val="24"/>
        </w:rPr>
        <w:t>and</w:t>
      </w:r>
      <w:r w:rsidR="0075074C" w:rsidRPr="006D6217">
        <w:rPr>
          <w:rFonts w:ascii="Arial" w:hAnsi="Arial" w:cs="Arial"/>
          <w:sz w:val="24"/>
          <w:szCs w:val="24"/>
        </w:rPr>
        <w:t xml:space="preserve"> is predictive </w:t>
      </w:r>
      <w:r w:rsidR="006C6849" w:rsidRPr="006D6217">
        <w:rPr>
          <w:rFonts w:ascii="Arial" w:hAnsi="Arial" w:cs="Arial"/>
          <w:sz w:val="24"/>
          <w:szCs w:val="24"/>
        </w:rPr>
        <w:t xml:space="preserve">of </w:t>
      </w:r>
      <w:r w:rsidR="000B6834" w:rsidRPr="006D6217">
        <w:rPr>
          <w:rFonts w:ascii="Arial" w:hAnsi="Arial" w:cs="Arial"/>
          <w:sz w:val="24"/>
          <w:szCs w:val="24"/>
        </w:rPr>
        <w:t>the onset of chronic conditions</w:t>
      </w:r>
      <w:r w:rsidR="0048070B" w:rsidRPr="006D6217">
        <w:rPr>
          <w:rFonts w:ascii="Arial" w:hAnsi="Arial" w:cs="Arial"/>
          <w:sz w:val="24"/>
          <w:szCs w:val="24"/>
        </w:rPr>
        <w:t xml:space="preserve"> in adult life</w:t>
      </w:r>
      <w:r w:rsidR="000B6834" w:rsidRPr="006D6217">
        <w:rPr>
          <w:rFonts w:ascii="Arial" w:hAnsi="Arial" w:cs="Arial"/>
          <w:sz w:val="24"/>
          <w:szCs w:val="24"/>
        </w:rPr>
        <w:t>.</w:t>
      </w:r>
      <w:r w:rsidR="00B16BC9" w:rsidRPr="006D6217">
        <w:rPr>
          <w:rStyle w:val="FootnoteReference"/>
          <w:rFonts w:ascii="Arial" w:hAnsi="Arial" w:cs="Arial"/>
          <w:sz w:val="24"/>
          <w:szCs w:val="24"/>
        </w:rPr>
        <w:footnoteReference w:id="20"/>
      </w:r>
    </w:p>
    <w:p w14:paraId="1F5151BE" w14:textId="77777777" w:rsidR="00737AD3" w:rsidRPr="006D6217" w:rsidRDefault="00737AD3" w:rsidP="00DC54F7">
      <w:pPr>
        <w:spacing w:after="0" w:line="240" w:lineRule="auto"/>
        <w:jc w:val="both"/>
        <w:rPr>
          <w:rFonts w:ascii="Arial" w:hAnsi="Arial" w:cs="Arial"/>
          <w:sz w:val="24"/>
          <w:szCs w:val="24"/>
          <w:shd w:val="clear" w:color="auto" w:fill="FFFFFF"/>
        </w:rPr>
      </w:pPr>
    </w:p>
    <w:p w14:paraId="30D3D60B" w14:textId="09FF5E07" w:rsidR="00353480" w:rsidRPr="006D6217" w:rsidRDefault="00353480" w:rsidP="00DC54F7">
      <w:pPr>
        <w:spacing w:after="0" w:line="240" w:lineRule="auto"/>
        <w:jc w:val="both"/>
        <w:rPr>
          <w:rFonts w:ascii="Arial" w:hAnsi="Arial" w:cs="Arial"/>
          <w:sz w:val="24"/>
          <w:szCs w:val="24"/>
          <w:shd w:val="clear" w:color="auto" w:fill="FFFFFF"/>
        </w:rPr>
      </w:pPr>
      <w:r w:rsidRPr="006D6217">
        <w:rPr>
          <w:rFonts w:ascii="Arial" w:hAnsi="Arial" w:cs="Arial"/>
          <w:sz w:val="24"/>
          <w:szCs w:val="24"/>
          <w:shd w:val="clear" w:color="auto" w:fill="FFFFFF"/>
        </w:rPr>
        <w:t xml:space="preserve">In 2018, Cardiff and Vale University Health Board (4.6%) had the lowest percentage of low birth weights of all the health boards. The Vale of Glamorgan (4.1%) had the </w:t>
      </w:r>
      <w:r w:rsidR="0074397D" w:rsidRPr="006D6217">
        <w:rPr>
          <w:rFonts w:ascii="Arial" w:hAnsi="Arial" w:cs="Arial"/>
          <w:sz w:val="24"/>
          <w:szCs w:val="24"/>
          <w:shd w:val="clear" w:color="auto" w:fill="FFFFFF"/>
        </w:rPr>
        <w:t xml:space="preserve">second </w:t>
      </w:r>
      <w:r w:rsidRPr="006D6217">
        <w:rPr>
          <w:rFonts w:ascii="Arial" w:hAnsi="Arial" w:cs="Arial"/>
          <w:sz w:val="24"/>
          <w:szCs w:val="24"/>
          <w:shd w:val="clear" w:color="auto" w:fill="FFFFFF"/>
        </w:rPr>
        <w:t xml:space="preserve">lowest percentage of low birth weights of all the </w:t>
      </w:r>
      <w:r w:rsidR="00567F4B" w:rsidRPr="006D6217">
        <w:rPr>
          <w:rFonts w:ascii="Arial" w:hAnsi="Arial" w:cs="Arial"/>
          <w:sz w:val="24"/>
          <w:szCs w:val="24"/>
          <w:shd w:val="clear" w:color="auto" w:fill="FFFFFF"/>
        </w:rPr>
        <w:t>local</w:t>
      </w:r>
      <w:r w:rsidRPr="006D6217">
        <w:rPr>
          <w:rFonts w:ascii="Arial" w:hAnsi="Arial" w:cs="Arial"/>
          <w:sz w:val="24"/>
          <w:szCs w:val="24"/>
          <w:shd w:val="clear" w:color="auto" w:fill="FFFFFF"/>
        </w:rPr>
        <w:t xml:space="preserve"> authorities</w:t>
      </w:r>
      <w:r w:rsidR="007B0E79" w:rsidRPr="006D6217">
        <w:rPr>
          <w:rFonts w:ascii="Arial" w:hAnsi="Arial" w:cs="Arial"/>
          <w:sz w:val="24"/>
          <w:szCs w:val="24"/>
          <w:shd w:val="clear" w:color="auto" w:fill="FFFFFF"/>
        </w:rPr>
        <w:t xml:space="preserve"> and </w:t>
      </w:r>
      <w:r w:rsidRPr="006D6217">
        <w:rPr>
          <w:rFonts w:ascii="Arial" w:hAnsi="Arial" w:cs="Arial"/>
          <w:sz w:val="24"/>
          <w:szCs w:val="24"/>
          <w:shd w:val="clear" w:color="auto" w:fill="FFFFFF"/>
        </w:rPr>
        <w:t>Cardiff had the third lowest rate of 4.7%.</w:t>
      </w:r>
      <w:r w:rsidR="007B0E79" w:rsidRPr="006D6217">
        <w:rPr>
          <w:rFonts w:ascii="Arial" w:hAnsi="Arial" w:cs="Arial"/>
          <w:sz w:val="24"/>
          <w:szCs w:val="24"/>
          <w:shd w:val="clear" w:color="auto" w:fill="FFFFFF"/>
        </w:rPr>
        <w:t xml:space="preserve"> All were significantly lower than the average for Wales (5.6%).</w:t>
      </w:r>
    </w:p>
    <w:p w14:paraId="5E8A1A0C" w14:textId="77777777" w:rsidR="00B5227D" w:rsidRPr="00B5227D" w:rsidRDefault="00B5227D" w:rsidP="00DC54F7">
      <w:pPr>
        <w:spacing w:after="0" w:line="240" w:lineRule="auto"/>
        <w:jc w:val="both"/>
        <w:rPr>
          <w:rFonts w:ascii="Arial" w:hAnsi="Arial" w:cs="Arial"/>
          <w:color w:val="323132"/>
          <w:shd w:val="clear" w:color="auto" w:fill="FFFFFF"/>
        </w:rPr>
      </w:pPr>
    </w:p>
    <w:p w14:paraId="700ADC4B" w14:textId="1E4ED7C2" w:rsidR="00353480" w:rsidRPr="00944EB7" w:rsidRDefault="00353480" w:rsidP="00DC54F7">
      <w:pPr>
        <w:spacing w:after="0" w:line="240" w:lineRule="auto"/>
        <w:jc w:val="both"/>
        <w:rPr>
          <w:rFonts w:ascii="Arial" w:hAnsi="Arial" w:cs="Arial"/>
          <w:b/>
          <w:bCs/>
          <w:color w:val="323132"/>
          <w:sz w:val="24"/>
          <w:szCs w:val="24"/>
          <w:shd w:val="clear" w:color="auto" w:fill="FFFFFF"/>
        </w:rPr>
      </w:pPr>
      <w:r w:rsidRPr="00944EB7">
        <w:rPr>
          <w:rFonts w:ascii="Arial" w:hAnsi="Arial" w:cs="Arial"/>
          <w:b/>
          <w:bCs/>
          <w:color w:val="323132"/>
          <w:sz w:val="24"/>
          <w:szCs w:val="24"/>
          <w:shd w:val="clear" w:color="auto" w:fill="FFFFFF"/>
        </w:rPr>
        <w:t>Table</w:t>
      </w:r>
      <w:r w:rsidR="00F22702" w:rsidRPr="00944EB7">
        <w:rPr>
          <w:rFonts w:ascii="Arial" w:hAnsi="Arial" w:cs="Arial"/>
          <w:b/>
          <w:bCs/>
          <w:color w:val="323132"/>
          <w:sz w:val="24"/>
          <w:szCs w:val="24"/>
          <w:shd w:val="clear" w:color="auto" w:fill="FFFFFF"/>
        </w:rPr>
        <w:t xml:space="preserve"> 3.11</w:t>
      </w:r>
      <w:r w:rsidRPr="00944EB7">
        <w:rPr>
          <w:rFonts w:ascii="Arial" w:hAnsi="Arial" w:cs="Arial"/>
          <w:b/>
          <w:bCs/>
          <w:color w:val="323132"/>
          <w:sz w:val="24"/>
          <w:szCs w:val="24"/>
          <w:shd w:val="clear" w:color="auto" w:fill="FFFFFF"/>
        </w:rPr>
        <w:t xml:space="preserve">: </w:t>
      </w:r>
      <w:r w:rsidRPr="00944EB7">
        <w:rPr>
          <w:rFonts w:ascii="Arial" w:hAnsi="Arial" w:cs="Arial"/>
          <w:b/>
          <w:bCs/>
          <w:sz w:val="24"/>
          <w:szCs w:val="24"/>
        </w:rPr>
        <w:t xml:space="preserve">Percentage of low birth weight </w:t>
      </w:r>
      <w:r w:rsidR="0046241B" w:rsidRPr="00944EB7">
        <w:rPr>
          <w:rFonts w:ascii="Arial" w:hAnsi="Arial" w:cs="Arial"/>
          <w:b/>
          <w:bCs/>
          <w:sz w:val="24"/>
          <w:szCs w:val="24"/>
        </w:rPr>
        <w:t>(below 2500g</w:t>
      </w:r>
      <w:r w:rsidR="00CD124F" w:rsidRPr="00944EB7">
        <w:rPr>
          <w:rFonts w:ascii="Arial" w:hAnsi="Arial" w:cs="Arial"/>
          <w:b/>
          <w:bCs/>
          <w:sz w:val="24"/>
          <w:szCs w:val="24"/>
        </w:rPr>
        <w:t xml:space="preserve">) </w:t>
      </w:r>
      <w:r w:rsidRPr="00944EB7">
        <w:rPr>
          <w:rFonts w:ascii="Arial" w:hAnsi="Arial" w:cs="Arial"/>
          <w:b/>
          <w:bCs/>
          <w:sz w:val="24"/>
          <w:szCs w:val="24"/>
        </w:rPr>
        <w:t xml:space="preserve">births by </w:t>
      </w:r>
      <w:r w:rsidR="00567F4B" w:rsidRPr="00944EB7">
        <w:rPr>
          <w:rFonts w:ascii="Arial" w:hAnsi="Arial" w:cs="Arial"/>
          <w:b/>
          <w:bCs/>
          <w:sz w:val="24"/>
          <w:szCs w:val="24"/>
        </w:rPr>
        <w:t>local</w:t>
      </w:r>
      <w:r w:rsidRPr="00944EB7">
        <w:rPr>
          <w:rFonts w:ascii="Arial" w:hAnsi="Arial" w:cs="Arial"/>
          <w:b/>
          <w:bCs/>
          <w:sz w:val="24"/>
          <w:szCs w:val="24"/>
        </w:rPr>
        <w:t xml:space="preserve"> authority, health board and Wales, 2018</w:t>
      </w:r>
    </w:p>
    <w:tbl>
      <w:tblPr>
        <w:tblW w:w="9045" w:type="dxa"/>
        <w:tblBorders>
          <w:top w:val="single" w:sz="4" w:space="0" w:color="auto"/>
          <w:left w:val="single" w:sz="4" w:space="0" w:color="auto"/>
          <w:bottom w:val="single" w:sz="4" w:space="0" w:color="auto"/>
          <w:right w:val="single" w:sz="4" w:space="0" w:color="auto"/>
          <w:insideH w:val="single" w:sz="4" w:space="0" w:color="C9C9C9"/>
        </w:tblBorders>
        <w:tblLook w:val="04A0" w:firstRow="1" w:lastRow="0" w:firstColumn="1" w:lastColumn="0" w:noHBand="0" w:noVBand="1"/>
      </w:tblPr>
      <w:tblGrid>
        <w:gridCol w:w="2809"/>
        <w:gridCol w:w="6236"/>
      </w:tblGrid>
      <w:tr w:rsidR="00353480" w:rsidRPr="00423813" w14:paraId="4A7CF971" w14:textId="77777777" w:rsidTr="00BB4EE0">
        <w:trPr>
          <w:trHeight w:val="301"/>
        </w:trPr>
        <w:tc>
          <w:tcPr>
            <w:tcW w:w="2809" w:type="dxa"/>
            <w:shd w:val="clear" w:color="000000" w:fill="8497B0"/>
            <w:noWrap/>
            <w:vAlign w:val="bottom"/>
            <w:hideMark/>
          </w:tcPr>
          <w:p w14:paraId="6BB223D4" w14:textId="77777777" w:rsidR="00353480" w:rsidRPr="00423813" w:rsidRDefault="00353480" w:rsidP="00DC54F7">
            <w:pPr>
              <w:spacing w:after="0" w:line="240" w:lineRule="auto"/>
              <w:jc w:val="both"/>
              <w:rPr>
                <w:rFonts w:ascii="Calibri" w:eastAsia="Times New Roman" w:hAnsi="Calibri" w:cs="Calibri"/>
                <w:b/>
                <w:bCs/>
                <w:color w:val="FFFFFF"/>
                <w:lang w:eastAsia="en-GB"/>
              </w:rPr>
            </w:pPr>
            <w:r w:rsidRPr="00423813">
              <w:rPr>
                <w:rFonts w:ascii="Calibri" w:eastAsia="Times New Roman" w:hAnsi="Calibri" w:cs="Calibri"/>
                <w:b/>
                <w:bCs/>
                <w:color w:val="FFFFFF"/>
                <w:lang w:eastAsia="en-GB"/>
              </w:rPr>
              <w:t>Area</w:t>
            </w:r>
          </w:p>
        </w:tc>
        <w:tc>
          <w:tcPr>
            <w:tcW w:w="6236" w:type="dxa"/>
            <w:shd w:val="clear" w:color="000000" w:fill="8497B0"/>
            <w:noWrap/>
            <w:vAlign w:val="bottom"/>
            <w:hideMark/>
          </w:tcPr>
          <w:p w14:paraId="2C155C26" w14:textId="77777777" w:rsidR="00353480" w:rsidRPr="00423813" w:rsidRDefault="00353480" w:rsidP="00DC54F7">
            <w:pPr>
              <w:spacing w:after="0" w:line="240" w:lineRule="auto"/>
              <w:jc w:val="both"/>
              <w:rPr>
                <w:rFonts w:ascii="Calibri" w:eastAsia="Times New Roman" w:hAnsi="Calibri" w:cs="Calibri"/>
                <w:b/>
                <w:bCs/>
                <w:color w:val="FFFFFF"/>
                <w:lang w:eastAsia="en-GB"/>
              </w:rPr>
            </w:pPr>
            <w:r w:rsidRPr="00423813">
              <w:rPr>
                <w:rFonts w:ascii="Calibri" w:eastAsia="Times New Roman" w:hAnsi="Calibri" w:cs="Calibri"/>
                <w:b/>
                <w:bCs/>
                <w:color w:val="FFFFFF"/>
                <w:lang w:eastAsia="en-GB"/>
              </w:rPr>
              <w:t xml:space="preserve">Percentage </w:t>
            </w:r>
          </w:p>
        </w:tc>
      </w:tr>
      <w:tr w:rsidR="00353480" w:rsidRPr="00423813" w14:paraId="143D7EB1" w14:textId="77777777" w:rsidTr="00BB4EE0">
        <w:trPr>
          <w:trHeight w:val="301"/>
        </w:trPr>
        <w:tc>
          <w:tcPr>
            <w:tcW w:w="2809" w:type="dxa"/>
            <w:shd w:val="clear" w:color="EDEDED" w:fill="EDEDED"/>
            <w:noWrap/>
            <w:vAlign w:val="bottom"/>
            <w:hideMark/>
          </w:tcPr>
          <w:p w14:paraId="377A4383" w14:textId="77777777" w:rsidR="00353480" w:rsidRPr="00423813" w:rsidRDefault="00353480" w:rsidP="00DC54F7">
            <w:pPr>
              <w:spacing w:after="0" w:line="240" w:lineRule="auto"/>
              <w:jc w:val="both"/>
              <w:rPr>
                <w:rFonts w:ascii="Calibri" w:eastAsia="Times New Roman" w:hAnsi="Calibri" w:cs="Calibri"/>
                <w:color w:val="000000"/>
                <w:lang w:eastAsia="en-GB"/>
              </w:rPr>
            </w:pPr>
            <w:r w:rsidRPr="00423813">
              <w:rPr>
                <w:rFonts w:ascii="Calibri" w:eastAsia="Times New Roman" w:hAnsi="Calibri" w:cs="Calibri"/>
                <w:color w:val="000000"/>
                <w:lang w:eastAsia="en-GB"/>
              </w:rPr>
              <w:t xml:space="preserve">Cardiff </w:t>
            </w:r>
          </w:p>
        </w:tc>
        <w:tc>
          <w:tcPr>
            <w:tcW w:w="6236" w:type="dxa"/>
            <w:shd w:val="clear" w:color="EDEDED" w:fill="EDEDED"/>
            <w:noWrap/>
            <w:vAlign w:val="bottom"/>
            <w:hideMark/>
          </w:tcPr>
          <w:p w14:paraId="687CBBCC" w14:textId="77777777" w:rsidR="00353480" w:rsidRPr="00423813" w:rsidRDefault="00353480" w:rsidP="00DC54F7">
            <w:pPr>
              <w:spacing w:after="0" w:line="240" w:lineRule="auto"/>
              <w:jc w:val="both"/>
              <w:rPr>
                <w:rFonts w:ascii="Calibri" w:eastAsia="Times New Roman" w:hAnsi="Calibri" w:cs="Calibri"/>
                <w:color w:val="000000"/>
                <w:lang w:eastAsia="en-GB"/>
              </w:rPr>
            </w:pPr>
            <w:r w:rsidRPr="00423813">
              <w:rPr>
                <w:rFonts w:ascii="Calibri" w:eastAsia="Times New Roman" w:hAnsi="Calibri" w:cs="Calibri"/>
                <w:color w:val="000000"/>
                <w:lang w:eastAsia="en-GB"/>
              </w:rPr>
              <w:t>4.7</w:t>
            </w:r>
          </w:p>
        </w:tc>
      </w:tr>
      <w:tr w:rsidR="00353480" w:rsidRPr="00423813" w14:paraId="29E84B11" w14:textId="77777777" w:rsidTr="00BB4EE0">
        <w:trPr>
          <w:trHeight w:val="301"/>
        </w:trPr>
        <w:tc>
          <w:tcPr>
            <w:tcW w:w="2809" w:type="dxa"/>
            <w:shd w:val="clear" w:color="auto" w:fill="auto"/>
            <w:noWrap/>
            <w:vAlign w:val="bottom"/>
            <w:hideMark/>
          </w:tcPr>
          <w:p w14:paraId="16321043" w14:textId="77777777" w:rsidR="00353480" w:rsidRPr="00423813" w:rsidRDefault="00353480" w:rsidP="00DC54F7">
            <w:pPr>
              <w:spacing w:after="0" w:line="240" w:lineRule="auto"/>
              <w:jc w:val="both"/>
              <w:rPr>
                <w:rFonts w:ascii="Calibri" w:eastAsia="Times New Roman" w:hAnsi="Calibri" w:cs="Calibri"/>
                <w:color w:val="000000"/>
                <w:lang w:eastAsia="en-GB"/>
              </w:rPr>
            </w:pPr>
            <w:r w:rsidRPr="00423813">
              <w:rPr>
                <w:rFonts w:ascii="Calibri" w:eastAsia="Times New Roman" w:hAnsi="Calibri" w:cs="Calibri"/>
                <w:color w:val="000000"/>
                <w:lang w:eastAsia="en-GB"/>
              </w:rPr>
              <w:t xml:space="preserve">Vale of Glamorgan </w:t>
            </w:r>
          </w:p>
        </w:tc>
        <w:tc>
          <w:tcPr>
            <w:tcW w:w="6236" w:type="dxa"/>
            <w:shd w:val="clear" w:color="auto" w:fill="auto"/>
            <w:noWrap/>
            <w:vAlign w:val="bottom"/>
            <w:hideMark/>
          </w:tcPr>
          <w:p w14:paraId="19A6AA84" w14:textId="77777777" w:rsidR="00353480" w:rsidRPr="00423813" w:rsidRDefault="00353480" w:rsidP="00DC54F7">
            <w:pPr>
              <w:spacing w:after="0" w:line="240" w:lineRule="auto"/>
              <w:jc w:val="both"/>
              <w:rPr>
                <w:rFonts w:ascii="Calibri" w:eastAsia="Times New Roman" w:hAnsi="Calibri" w:cs="Calibri"/>
                <w:color w:val="000000"/>
                <w:lang w:eastAsia="en-GB"/>
              </w:rPr>
            </w:pPr>
            <w:r w:rsidRPr="00423813">
              <w:rPr>
                <w:rFonts w:ascii="Calibri" w:eastAsia="Times New Roman" w:hAnsi="Calibri" w:cs="Calibri"/>
                <w:color w:val="000000"/>
                <w:lang w:eastAsia="en-GB"/>
              </w:rPr>
              <w:t>4.1</w:t>
            </w:r>
          </w:p>
        </w:tc>
      </w:tr>
      <w:tr w:rsidR="00353480" w:rsidRPr="00423813" w14:paraId="399F63A7" w14:textId="77777777" w:rsidTr="00BB4EE0">
        <w:trPr>
          <w:trHeight w:val="301"/>
        </w:trPr>
        <w:tc>
          <w:tcPr>
            <w:tcW w:w="2809" w:type="dxa"/>
            <w:shd w:val="clear" w:color="EDEDED" w:fill="EDEDED"/>
            <w:noWrap/>
            <w:vAlign w:val="bottom"/>
            <w:hideMark/>
          </w:tcPr>
          <w:p w14:paraId="4F949F18" w14:textId="7D0B792F" w:rsidR="00353480" w:rsidRPr="00423813" w:rsidRDefault="00353480" w:rsidP="00DC54F7">
            <w:pPr>
              <w:spacing w:after="0" w:line="240" w:lineRule="auto"/>
              <w:jc w:val="both"/>
              <w:rPr>
                <w:rFonts w:ascii="Calibri" w:eastAsia="Times New Roman" w:hAnsi="Calibri" w:cs="Calibri"/>
                <w:color w:val="000000"/>
                <w:lang w:eastAsia="en-GB"/>
              </w:rPr>
            </w:pPr>
            <w:r w:rsidRPr="00423813">
              <w:rPr>
                <w:rFonts w:ascii="Calibri" w:eastAsia="Times New Roman" w:hAnsi="Calibri" w:cs="Calibri"/>
                <w:color w:val="000000"/>
                <w:lang w:eastAsia="en-GB"/>
              </w:rPr>
              <w:t xml:space="preserve">Cardiff </w:t>
            </w:r>
            <w:r w:rsidR="002E355E">
              <w:rPr>
                <w:rFonts w:ascii="Calibri" w:eastAsia="Times New Roman" w:hAnsi="Calibri" w:cs="Calibri"/>
                <w:color w:val="000000"/>
                <w:lang w:eastAsia="en-GB"/>
              </w:rPr>
              <w:t xml:space="preserve">and </w:t>
            </w:r>
            <w:r w:rsidRPr="00423813">
              <w:rPr>
                <w:rFonts w:ascii="Calibri" w:eastAsia="Times New Roman" w:hAnsi="Calibri" w:cs="Calibri"/>
                <w:color w:val="000000"/>
                <w:lang w:eastAsia="en-GB"/>
              </w:rPr>
              <w:t xml:space="preserve">Vale </w:t>
            </w:r>
            <w:r>
              <w:rPr>
                <w:rFonts w:ascii="Calibri" w:eastAsia="Times New Roman" w:hAnsi="Calibri" w:cs="Calibri"/>
                <w:color w:val="000000"/>
                <w:lang w:eastAsia="en-GB"/>
              </w:rPr>
              <w:t>U</w:t>
            </w:r>
            <w:r w:rsidRPr="00423813">
              <w:rPr>
                <w:rFonts w:ascii="Calibri" w:eastAsia="Times New Roman" w:hAnsi="Calibri" w:cs="Calibri"/>
                <w:color w:val="000000"/>
                <w:lang w:eastAsia="en-GB"/>
              </w:rPr>
              <w:t xml:space="preserve">HB </w:t>
            </w:r>
          </w:p>
        </w:tc>
        <w:tc>
          <w:tcPr>
            <w:tcW w:w="6236" w:type="dxa"/>
            <w:shd w:val="clear" w:color="EDEDED" w:fill="EDEDED"/>
            <w:noWrap/>
            <w:vAlign w:val="bottom"/>
            <w:hideMark/>
          </w:tcPr>
          <w:p w14:paraId="13A84658" w14:textId="77777777" w:rsidR="00353480" w:rsidRPr="00423813" w:rsidRDefault="00353480" w:rsidP="00DC54F7">
            <w:pPr>
              <w:spacing w:after="0" w:line="240" w:lineRule="auto"/>
              <w:jc w:val="both"/>
              <w:rPr>
                <w:rFonts w:ascii="Calibri" w:eastAsia="Times New Roman" w:hAnsi="Calibri" w:cs="Calibri"/>
                <w:color w:val="000000"/>
                <w:lang w:eastAsia="en-GB"/>
              </w:rPr>
            </w:pPr>
            <w:r w:rsidRPr="00423813">
              <w:rPr>
                <w:rFonts w:ascii="Calibri" w:eastAsia="Times New Roman" w:hAnsi="Calibri" w:cs="Calibri"/>
                <w:color w:val="000000"/>
                <w:lang w:eastAsia="en-GB"/>
              </w:rPr>
              <w:t>4.6</w:t>
            </w:r>
          </w:p>
        </w:tc>
      </w:tr>
      <w:tr w:rsidR="00353480" w:rsidRPr="00423813" w14:paraId="0851041A" w14:textId="77777777" w:rsidTr="00BB4EE0">
        <w:trPr>
          <w:trHeight w:val="301"/>
        </w:trPr>
        <w:tc>
          <w:tcPr>
            <w:tcW w:w="2809" w:type="dxa"/>
            <w:shd w:val="clear" w:color="auto" w:fill="auto"/>
            <w:noWrap/>
            <w:vAlign w:val="bottom"/>
            <w:hideMark/>
          </w:tcPr>
          <w:p w14:paraId="32BED4A9" w14:textId="77777777" w:rsidR="00353480" w:rsidRPr="00423813" w:rsidRDefault="00353480" w:rsidP="00DC54F7">
            <w:pPr>
              <w:spacing w:after="0" w:line="240" w:lineRule="auto"/>
              <w:jc w:val="both"/>
              <w:rPr>
                <w:rFonts w:ascii="Calibri" w:eastAsia="Times New Roman" w:hAnsi="Calibri" w:cs="Calibri"/>
                <w:color w:val="000000"/>
                <w:lang w:eastAsia="en-GB"/>
              </w:rPr>
            </w:pPr>
            <w:r w:rsidRPr="00423813">
              <w:rPr>
                <w:rFonts w:ascii="Calibri" w:eastAsia="Times New Roman" w:hAnsi="Calibri" w:cs="Calibri"/>
                <w:color w:val="000000"/>
                <w:lang w:eastAsia="en-GB"/>
              </w:rPr>
              <w:t xml:space="preserve">Wales </w:t>
            </w:r>
          </w:p>
        </w:tc>
        <w:tc>
          <w:tcPr>
            <w:tcW w:w="6236" w:type="dxa"/>
            <w:shd w:val="clear" w:color="auto" w:fill="auto"/>
            <w:noWrap/>
            <w:vAlign w:val="bottom"/>
            <w:hideMark/>
          </w:tcPr>
          <w:p w14:paraId="5DF12CD0" w14:textId="77777777" w:rsidR="00353480" w:rsidRPr="00423813" w:rsidRDefault="00353480" w:rsidP="00DC54F7">
            <w:pPr>
              <w:spacing w:after="0" w:line="240" w:lineRule="auto"/>
              <w:jc w:val="both"/>
              <w:rPr>
                <w:rFonts w:ascii="Calibri" w:eastAsia="Times New Roman" w:hAnsi="Calibri" w:cs="Calibri"/>
                <w:color w:val="000000"/>
                <w:lang w:eastAsia="en-GB"/>
              </w:rPr>
            </w:pPr>
            <w:r w:rsidRPr="00423813">
              <w:rPr>
                <w:rFonts w:ascii="Calibri" w:eastAsia="Times New Roman" w:hAnsi="Calibri" w:cs="Calibri"/>
                <w:color w:val="000000"/>
                <w:lang w:eastAsia="en-GB"/>
              </w:rPr>
              <w:t>5.6</w:t>
            </w:r>
          </w:p>
        </w:tc>
      </w:tr>
    </w:tbl>
    <w:p w14:paraId="3C3795CF" w14:textId="77777777" w:rsidR="00353480" w:rsidRPr="00944EB7" w:rsidRDefault="00353480" w:rsidP="00DC54F7">
      <w:pPr>
        <w:spacing w:after="0" w:line="240" w:lineRule="auto"/>
        <w:jc w:val="both"/>
        <w:rPr>
          <w:rFonts w:ascii="Arial" w:hAnsi="Arial" w:cs="Arial"/>
          <w:bCs/>
          <w:sz w:val="20"/>
          <w:szCs w:val="20"/>
        </w:rPr>
      </w:pPr>
      <w:r w:rsidRPr="00944EB7">
        <w:rPr>
          <w:rFonts w:ascii="Arial" w:hAnsi="Arial" w:cs="Arial"/>
          <w:bCs/>
          <w:sz w:val="20"/>
          <w:szCs w:val="20"/>
        </w:rPr>
        <w:t>Source: Public Health Wales Observatory</w:t>
      </w:r>
    </w:p>
    <w:p w14:paraId="243C00A5" w14:textId="43628B15" w:rsidR="00597C41" w:rsidRDefault="00E61D85" w:rsidP="00DC54F7">
      <w:pPr>
        <w:pStyle w:val="Heading4"/>
        <w:spacing w:before="0" w:line="240" w:lineRule="auto"/>
        <w:jc w:val="both"/>
        <w:rPr>
          <w:color w:val="auto"/>
        </w:rPr>
      </w:pPr>
      <w:r>
        <w:rPr>
          <w:color w:val="auto"/>
        </w:rPr>
        <w:lastRenderedPageBreak/>
        <w:t xml:space="preserve">3.3.2 </w:t>
      </w:r>
      <w:r w:rsidR="00597C41" w:rsidRPr="00597C41">
        <w:rPr>
          <w:color w:val="auto"/>
        </w:rPr>
        <w:t>Breast feeding</w:t>
      </w:r>
    </w:p>
    <w:p w14:paraId="7C0D8C43" w14:textId="77777777" w:rsidR="00275487" w:rsidRPr="00275487" w:rsidRDefault="00275487" w:rsidP="00DC54F7">
      <w:pPr>
        <w:spacing w:after="0" w:line="240" w:lineRule="auto"/>
        <w:jc w:val="both"/>
      </w:pPr>
    </w:p>
    <w:p w14:paraId="04D02FCC" w14:textId="180C5C27" w:rsidR="00DB1E25" w:rsidRDefault="0031313D" w:rsidP="00DC54F7">
      <w:pPr>
        <w:spacing w:after="0" w:line="240" w:lineRule="auto"/>
        <w:jc w:val="both"/>
        <w:rPr>
          <w:rFonts w:ascii="Arial" w:hAnsi="Arial" w:cs="Arial"/>
        </w:rPr>
      </w:pPr>
      <w:r w:rsidRPr="00944EB7">
        <w:rPr>
          <w:rFonts w:ascii="Arial" w:hAnsi="Arial" w:cs="Arial"/>
          <w:color w:val="0B0C0C"/>
          <w:sz w:val="24"/>
          <w:szCs w:val="24"/>
          <w:shd w:val="clear" w:color="auto" w:fill="FFFFFF"/>
        </w:rPr>
        <w:t>Breastfeeding provides the best nutritional start in life for a baby</w:t>
      </w:r>
      <w:r w:rsidR="00454490" w:rsidRPr="00944EB7">
        <w:rPr>
          <w:rFonts w:ascii="Arial" w:hAnsi="Arial" w:cs="Arial"/>
          <w:color w:val="0B0C0C"/>
          <w:sz w:val="24"/>
          <w:szCs w:val="24"/>
          <w:shd w:val="clear" w:color="auto" w:fill="FFFFFF"/>
        </w:rPr>
        <w:t>.</w:t>
      </w:r>
      <w:r w:rsidR="00E553A4" w:rsidRPr="00944EB7">
        <w:rPr>
          <w:rFonts w:ascii="Arial" w:hAnsi="Arial" w:cs="Arial"/>
          <w:color w:val="0B0C0C"/>
          <w:sz w:val="24"/>
          <w:szCs w:val="24"/>
          <w:shd w:val="clear" w:color="auto" w:fill="FFFFFF"/>
        </w:rPr>
        <w:t xml:space="preserve"> The percentage of </w:t>
      </w:r>
      <w:r w:rsidR="003E3DEF" w:rsidRPr="00944EB7">
        <w:rPr>
          <w:rFonts w:ascii="Arial" w:hAnsi="Arial" w:cs="Arial"/>
          <w:color w:val="0B0C0C"/>
          <w:sz w:val="24"/>
          <w:szCs w:val="24"/>
          <w:shd w:val="clear" w:color="auto" w:fill="FFFFFF"/>
        </w:rPr>
        <w:t xml:space="preserve">babies that were exclusively breast fed </w:t>
      </w:r>
      <w:r w:rsidR="00597C41" w:rsidRPr="00944EB7">
        <w:rPr>
          <w:rFonts w:ascii="Arial" w:hAnsi="Arial" w:cs="Arial"/>
          <w:sz w:val="24"/>
          <w:szCs w:val="24"/>
        </w:rPr>
        <w:t xml:space="preserve">at 10 days </w:t>
      </w:r>
      <w:r w:rsidR="00A346FC" w:rsidRPr="00944EB7">
        <w:rPr>
          <w:rFonts w:ascii="Arial" w:hAnsi="Arial" w:cs="Arial"/>
          <w:sz w:val="24"/>
          <w:szCs w:val="24"/>
        </w:rPr>
        <w:t xml:space="preserve">following birth </w:t>
      </w:r>
      <w:r w:rsidR="00597C41" w:rsidRPr="00944EB7">
        <w:rPr>
          <w:rFonts w:ascii="Arial" w:hAnsi="Arial" w:cs="Arial"/>
          <w:sz w:val="24"/>
          <w:szCs w:val="24"/>
        </w:rPr>
        <w:t xml:space="preserve">in </w:t>
      </w:r>
      <w:r w:rsidR="0048666D" w:rsidRPr="00944EB7">
        <w:rPr>
          <w:rFonts w:ascii="Arial" w:hAnsi="Arial" w:cs="Arial"/>
          <w:sz w:val="24"/>
          <w:szCs w:val="24"/>
        </w:rPr>
        <w:t>Cardiff and Vale University Health Board</w:t>
      </w:r>
      <w:r w:rsidR="00516D6E" w:rsidRPr="00944EB7">
        <w:rPr>
          <w:rFonts w:ascii="Arial" w:hAnsi="Arial" w:cs="Arial"/>
          <w:sz w:val="24"/>
          <w:szCs w:val="24"/>
        </w:rPr>
        <w:t xml:space="preserve"> </w:t>
      </w:r>
      <w:r w:rsidR="000E603C" w:rsidRPr="00944EB7">
        <w:rPr>
          <w:rFonts w:ascii="Arial" w:hAnsi="Arial" w:cs="Arial"/>
          <w:sz w:val="24"/>
          <w:szCs w:val="24"/>
        </w:rPr>
        <w:t>(4</w:t>
      </w:r>
      <w:r w:rsidR="00E553A4" w:rsidRPr="00944EB7">
        <w:rPr>
          <w:rFonts w:ascii="Arial" w:hAnsi="Arial" w:cs="Arial"/>
          <w:sz w:val="24"/>
          <w:szCs w:val="24"/>
        </w:rPr>
        <w:t>6.1</w:t>
      </w:r>
      <w:r w:rsidR="000E603C" w:rsidRPr="00944EB7">
        <w:rPr>
          <w:rFonts w:ascii="Arial" w:hAnsi="Arial" w:cs="Arial"/>
          <w:sz w:val="24"/>
          <w:szCs w:val="24"/>
        </w:rPr>
        <w:t>%)</w:t>
      </w:r>
      <w:r w:rsidR="00D323F1" w:rsidRPr="00944EB7">
        <w:rPr>
          <w:rFonts w:ascii="Arial" w:hAnsi="Arial" w:cs="Arial"/>
          <w:sz w:val="24"/>
          <w:szCs w:val="24"/>
        </w:rPr>
        <w:t xml:space="preserve"> </w:t>
      </w:r>
      <w:r w:rsidR="00B5487D" w:rsidRPr="00944EB7">
        <w:rPr>
          <w:rFonts w:ascii="Arial" w:hAnsi="Arial" w:cs="Arial"/>
          <w:sz w:val="24"/>
          <w:szCs w:val="24"/>
        </w:rPr>
        <w:t>was</w:t>
      </w:r>
      <w:r w:rsidR="00A346FC" w:rsidRPr="00944EB7">
        <w:rPr>
          <w:rFonts w:ascii="Arial" w:hAnsi="Arial" w:cs="Arial"/>
          <w:sz w:val="24"/>
          <w:szCs w:val="24"/>
        </w:rPr>
        <w:t xml:space="preserve"> significantly higher</w:t>
      </w:r>
      <w:r w:rsidR="0048666D" w:rsidRPr="00944EB7">
        <w:rPr>
          <w:rFonts w:ascii="Arial" w:hAnsi="Arial" w:cs="Arial"/>
          <w:sz w:val="24"/>
          <w:szCs w:val="24"/>
        </w:rPr>
        <w:t xml:space="preserve"> </w:t>
      </w:r>
      <w:r w:rsidR="00F95718" w:rsidRPr="00944EB7">
        <w:rPr>
          <w:rFonts w:ascii="Arial" w:hAnsi="Arial" w:cs="Arial"/>
          <w:sz w:val="24"/>
          <w:szCs w:val="24"/>
        </w:rPr>
        <w:t>than the average for Wales</w:t>
      </w:r>
      <w:r w:rsidR="000E603C" w:rsidRPr="00944EB7">
        <w:rPr>
          <w:rFonts w:ascii="Arial" w:hAnsi="Arial" w:cs="Arial"/>
          <w:sz w:val="24"/>
          <w:szCs w:val="24"/>
        </w:rPr>
        <w:t xml:space="preserve"> (</w:t>
      </w:r>
      <w:r w:rsidR="00BA45B3" w:rsidRPr="00944EB7">
        <w:rPr>
          <w:rFonts w:ascii="Arial" w:hAnsi="Arial" w:cs="Arial"/>
          <w:sz w:val="24"/>
          <w:szCs w:val="24"/>
        </w:rPr>
        <w:t>3</w:t>
      </w:r>
      <w:r w:rsidR="00A346FC" w:rsidRPr="00944EB7">
        <w:rPr>
          <w:rFonts w:ascii="Arial" w:hAnsi="Arial" w:cs="Arial"/>
          <w:sz w:val="24"/>
          <w:szCs w:val="24"/>
        </w:rPr>
        <w:t>5.2</w:t>
      </w:r>
      <w:r w:rsidR="000E603C" w:rsidRPr="00944EB7">
        <w:rPr>
          <w:rFonts w:ascii="Arial" w:hAnsi="Arial" w:cs="Arial"/>
          <w:sz w:val="24"/>
          <w:szCs w:val="24"/>
        </w:rPr>
        <w:t>%)</w:t>
      </w:r>
      <w:r w:rsidR="00DB1E25" w:rsidRPr="00944EB7">
        <w:rPr>
          <w:rFonts w:ascii="Arial" w:hAnsi="Arial" w:cs="Arial"/>
          <w:sz w:val="24"/>
          <w:szCs w:val="24"/>
        </w:rPr>
        <w:t>.</w:t>
      </w:r>
      <w:r w:rsidR="00193E08" w:rsidRPr="00944EB7">
        <w:rPr>
          <w:rFonts w:ascii="Arial" w:hAnsi="Arial" w:cs="Arial"/>
          <w:sz w:val="24"/>
          <w:szCs w:val="24"/>
        </w:rPr>
        <w:t xml:space="preserve"> </w:t>
      </w:r>
      <w:r w:rsidR="00D323F1" w:rsidRPr="00944EB7">
        <w:rPr>
          <w:rFonts w:ascii="Arial" w:hAnsi="Arial" w:cs="Arial"/>
          <w:sz w:val="24"/>
          <w:szCs w:val="24"/>
        </w:rPr>
        <w:t>Additional</w:t>
      </w:r>
      <w:r w:rsidR="00520A4B" w:rsidRPr="00944EB7">
        <w:rPr>
          <w:rFonts w:ascii="Arial" w:hAnsi="Arial" w:cs="Arial"/>
          <w:sz w:val="24"/>
          <w:szCs w:val="24"/>
        </w:rPr>
        <w:t>ly, b</w:t>
      </w:r>
      <w:r w:rsidR="006B5552" w:rsidRPr="00944EB7">
        <w:rPr>
          <w:rFonts w:ascii="Arial" w:hAnsi="Arial" w:cs="Arial"/>
          <w:sz w:val="24"/>
          <w:szCs w:val="24"/>
        </w:rPr>
        <w:t>oth Cardiff (47.5%) and the Vale of Glamorgan (</w:t>
      </w:r>
      <w:r w:rsidR="00725147" w:rsidRPr="00944EB7">
        <w:rPr>
          <w:rFonts w:ascii="Arial" w:hAnsi="Arial" w:cs="Arial"/>
          <w:sz w:val="24"/>
          <w:szCs w:val="24"/>
        </w:rPr>
        <w:t xml:space="preserve">41.9%) </w:t>
      </w:r>
      <w:r w:rsidR="00E25143" w:rsidRPr="00944EB7">
        <w:rPr>
          <w:rFonts w:ascii="Arial" w:hAnsi="Arial" w:cs="Arial"/>
          <w:sz w:val="24"/>
          <w:szCs w:val="24"/>
        </w:rPr>
        <w:t xml:space="preserve">had </w:t>
      </w:r>
      <w:r w:rsidR="0024771D" w:rsidRPr="00944EB7">
        <w:rPr>
          <w:rFonts w:ascii="Arial" w:hAnsi="Arial" w:cs="Arial"/>
          <w:sz w:val="24"/>
          <w:szCs w:val="24"/>
        </w:rPr>
        <w:t xml:space="preserve">a </w:t>
      </w:r>
      <w:r w:rsidR="00725147" w:rsidRPr="00944EB7">
        <w:rPr>
          <w:rFonts w:ascii="Arial" w:hAnsi="Arial" w:cs="Arial"/>
          <w:sz w:val="24"/>
          <w:szCs w:val="24"/>
        </w:rPr>
        <w:t xml:space="preserve">significantly higher </w:t>
      </w:r>
      <w:r w:rsidR="00E25143" w:rsidRPr="00944EB7">
        <w:rPr>
          <w:rFonts w:ascii="Arial" w:hAnsi="Arial" w:cs="Arial"/>
          <w:color w:val="0B0C0C"/>
          <w:sz w:val="24"/>
          <w:szCs w:val="24"/>
          <w:shd w:val="clear" w:color="auto" w:fill="FFFFFF"/>
        </w:rPr>
        <w:t xml:space="preserve">percentage of babies that were exclusively breast fed </w:t>
      </w:r>
      <w:r w:rsidR="00E25143" w:rsidRPr="00944EB7">
        <w:rPr>
          <w:rFonts w:ascii="Arial" w:hAnsi="Arial" w:cs="Arial"/>
          <w:sz w:val="24"/>
          <w:szCs w:val="24"/>
        </w:rPr>
        <w:t xml:space="preserve">at 10 days following birth </w:t>
      </w:r>
      <w:r w:rsidR="00F95718" w:rsidRPr="00944EB7">
        <w:rPr>
          <w:rFonts w:ascii="Arial" w:hAnsi="Arial" w:cs="Arial"/>
          <w:sz w:val="24"/>
          <w:szCs w:val="24"/>
        </w:rPr>
        <w:t>than the average for Wales</w:t>
      </w:r>
      <w:r w:rsidR="00725147">
        <w:rPr>
          <w:rFonts w:ascii="Arial" w:hAnsi="Arial" w:cs="Arial"/>
        </w:rPr>
        <w:t>.</w:t>
      </w:r>
      <w:r w:rsidR="00DB1E25" w:rsidRPr="00DB1E25">
        <w:rPr>
          <w:rFonts w:ascii="Arial" w:hAnsi="Arial" w:cs="Arial"/>
        </w:rPr>
        <w:t xml:space="preserve"> </w:t>
      </w:r>
      <w:r w:rsidR="00597C41" w:rsidRPr="00DB1E25">
        <w:rPr>
          <w:rFonts w:ascii="Arial" w:hAnsi="Arial" w:cs="Arial"/>
        </w:rPr>
        <w:t xml:space="preserve"> </w:t>
      </w:r>
    </w:p>
    <w:p w14:paraId="29587232" w14:textId="77777777" w:rsidR="00033481" w:rsidRPr="00454490" w:rsidRDefault="00033481" w:rsidP="00DC54F7">
      <w:pPr>
        <w:spacing w:after="0" w:line="240" w:lineRule="auto"/>
        <w:jc w:val="both"/>
      </w:pPr>
    </w:p>
    <w:p w14:paraId="3648A94B" w14:textId="77AAD38F" w:rsidR="00E553A4" w:rsidRPr="00944EB7" w:rsidRDefault="00597C41" w:rsidP="00DC54F7">
      <w:pPr>
        <w:pStyle w:val="Caption"/>
        <w:spacing w:before="0" w:after="0"/>
        <w:jc w:val="both"/>
        <w:rPr>
          <w:rFonts w:ascii="Arial" w:hAnsi="Arial" w:cs="Arial"/>
          <w:szCs w:val="24"/>
        </w:rPr>
      </w:pPr>
      <w:bookmarkStart w:id="14" w:name="_Toc60225190"/>
      <w:r w:rsidRPr="00944EB7">
        <w:rPr>
          <w:rFonts w:ascii="Arial" w:hAnsi="Arial" w:cs="Arial"/>
          <w:szCs w:val="24"/>
        </w:rPr>
        <w:t>Table</w:t>
      </w:r>
      <w:r w:rsidR="00F22702" w:rsidRPr="00944EB7">
        <w:rPr>
          <w:rFonts w:ascii="Arial" w:hAnsi="Arial" w:cs="Arial"/>
          <w:szCs w:val="24"/>
        </w:rPr>
        <w:t xml:space="preserve"> 3.12</w:t>
      </w:r>
      <w:r w:rsidRPr="00944EB7">
        <w:rPr>
          <w:rFonts w:ascii="Arial" w:hAnsi="Arial" w:cs="Arial"/>
          <w:szCs w:val="24"/>
        </w:rPr>
        <w:t xml:space="preserve">: Percentage breast feeding at 10 days by </w:t>
      </w:r>
      <w:r w:rsidR="00567F4B" w:rsidRPr="00944EB7">
        <w:rPr>
          <w:rFonts w:ascii="Arial" w:hAnsi="Arial" w:cs="Arial"/>
          <w:szCs w:val="24"/>
        </w:rPr>
        <w:t>local</w:t>
      </w:r>
      <w:r w:rsidRPr="00944EB7">
        <w:rPr>
          <w:rFonts w:ascii="Arial" w:hAnsi="Arial" w:cs="Arial"/>
          <w:szCs w:val="24"/>
        </w:rPr>
        <w:t xml:space="preserve"> authority</w:t>
      </w:r>
      <w:r w:rsidR="00CA286D" w:rsidRPr="00944EB7">
        <w:rPr>
          <w:rFonts w:ascii="Arial" w:hAnsi="Arial" w:cs="Arial"/>
          <w:szCs w:val="24"/>
        </w:rPr>
        <w:t xml:space="preserve">, health board and </w:t>
      </w:r>
      <w:r w:rsidRPr="00944EB7">
        <w:rPr>
          <w:rFonts w:ascii="Arial" w:hAnsi="Arial" w:cs="Arial"/>
          <w:szCs w:val="24"/>
        </w:rPr>
        <w:t>Wales, 2018</w:t>
      </w:r>
      <w:bookmarkEnd w:id="14"/>
    </w:p>
    <w:tbl>
      <w:tblPr>
        <w:tblW w:w="9234" w:type="dxa"/>
        <w:tblBorders>
          <w:top w:val="single" w:sz="4" w:space="0" w:color="auto"/>
          <w:left w:val="single" w:sz="4" w:space="0" w:color="auto"/>
          <w:bottom w:val="single" w:sz="4" w:space="0" w:color="auto"/>
          <w:right w:val="single" w:sz="4" w:space="0" w:color="auto"/>
          <w:insideH w:val="single" w:sz="4" w:space="0" w:color="C9C9C9"/>
        </w:tblBorders>
        <w:tblLook w:val="04A0" w:firstRow="1" w:lastRow="0" w:firstColumn="1" w:lastColumn="0" w:noHBand="0" w:noVBand="1"/>
      </w:tblPr>
      <w:tblGrid>
        <w:gridCol w:w="4617"/>
        <w:gridCol w:w="4617"/>
      </w:tblGrid>
      <w:tr w:rsidR="00E553A4" w:rsidRPr="00E553A4" w14:paraId="4A73BD06" w14:textId="77777777" w:rsidTr="00BB4EE0">
        <w:trPr>
          <w:trHeight w:val="330"/>
        </w:trPr>
        <w:tc>
          <w:tcPr>
            <w:tcW w:w="4617" w:type="dxa"/>
            <w:shd w:val="clear" w:color="000000" w:fill="8497B0"/>
            <w:noWrap/>
            <w:vAlign w:val="bottom"/>
            <w:hideMark/>
          </w:tcPr>
          <w:p w14:paraId="44349677" w14:textId="77777777" w:rsidR="00E553A4" w:rsidRPr="00E553A4" w:rsidRDefault="00E553A4" w:rsidP="00DC54F7">
            <w:pPr>
              <w:spacing w:after="0" w:line="240" w:lineRule="auto"/>
              <w:jc w:val="both"/>
              <w:rPr>
                <w:rFonts w:ascii="Calibri" w:eastAsia="Times New Roman" w:hAnsi="Calibri" w:cs="Calibri"/>
                <w:b/>
                <w:bCs/>
                <w:color w:val="FFFFFF"/>
                <w:lang w:eastAsia="en-GB"/>
              </w:rPr>
            </w:pPr>
            <w:r w:rsidRPr="00E553A4">
              <w:rPr>
                <w:rFonts w:ascii="Calibri" w:eastAsia="Times New Roman" w:hAnsi="Calibri" w:cs="Calibri"/>
                <w:b/>
                <w:bCs/>
                <w:color w:val="FFFFFF"/>
                <w:lang w:eastAsia="en-GB"/>
              </w:rPr>
              <w:t>Area</w:t>
            </w:r>
          </w:p>
        </w:tc>
        <w:tc>
          <w:tcPr>
            <w:tcW w:w="4617" w:type="dxa"/>
            <w:shd w:val="clear" w:color="000000" w:fill="8497B0"/>
            <w:noWrap/>
            <w:vAlign w:val="bottom"/>
            <w:hideMark/>
          </w:tcPr>
          <w:p w14:paraId="307D1AA3" w14:textId="77777777" w:rsidR="00E553A4" w:rsidRPr="00E553A4" w:rsidRDefault="00E553A4" w:rsidP="00DC54F7">
            <w:pPr>
              <w:spacing w:after="0" w:line="240" w:lineRule="auto"/>
              <w:jc w:val="both"/>
              <w:rPr>
                <w:rFonts w:ascii="Calibri" w:eastAsia="Times New Roman" w:hAnsi="Calibri" w:cs="Calibri"/>
                <w:b/>
                <w:bCs/>
                <w:color w:val="FFFFFF"/>
                <w:lang w:eastAsia="en-GB"/>
              </w:rPr>
            </w:pPr>
            <w:r w:rsidRPr="00E553A4">
              <w:rPr>
                <w:rFonts w:ascii="Calibri" w:eastAsia="Times New Roman" w:hAnsi="Calibri" w:cs="Calibri"/>
                <w:b/>
                <w:bCs/>
                <w:color w:val="FFFFFF"/>
                <w:lang w:eastAsia="en-GB"/>
              </w:rPr>
              <w:t xml:space="preserve">Percentage </w:t>
            </w:r>
          </w:p>
        </w:tc>
      </w:tr>
      <w:tr w:rsidR="00E553A4" w:rsidRPr="00E553A4" w14:paraId="105963A0" w14:textId="77777777" w:rsidTr="00BB4EE0">
        <w:trPr>
          <w:trHeight w:val="330"/>
        </w:trPr>
        <w:tc>
          <w:tcPr>
            <w:tcW w:w="4617" w:type="dxa"/>
            <w:shd w:val="clear" w:color="000000" w:fill="F2F2F2"/>
            <w:noWrap/>
            <w:vAlign w:val="bottom"/>
            <w:hideMark/>
          </w:tcPr>
          <w:p w14:paraId="552778E7" w14:textId="77777777" w:rsidR="00E553A4" w:rsidRPr="00E553A4" w:rsidRDefault="00E553A4" w:rsidP="00DC54F7">
            <w:pPr>
              <w:spacing w:after="0" w:line="240" w:lineRule="auto"/>
              <w:jc w:val="both"/>
              <w:rPr>
                <w:rFonts w:ascii="Calibri" w:eastAsia="Times New Roman" w:hAnsi="Calibri" w:cs="Calibri"/>
                <w:color w:val="000000"/>
                <w:lang w:eastAsia="en-GB"/>
              </w:rPr>
            </w:pPr>
            <w:r w:rsidRPr="00E553A4">
              <w:rPr>
                <w:rFonts w:ascii="Calibri" w:eastAsia="Times New Roman" w:hAnsi="Calibri" w:cs="Calibri"/>
                <w:color w:val="000000"/>
                <w:lang w:eastAsia="en-GB"/>
              </w:rPr>
              <w:t xml:space="preserve">Cardiff </w:t>
            </w:r>
          </w:p>
        </w:tc>
        <w:tc>
          <w:tcPr>
            <w:tcW w:w="4617" w:type="dxa"/>
            <w:shd w:val="clear" w:color="000000" w:fill="F2F2F2"/>
            <w:noWrap/>
            <w:vAlign w:val="bottom"/>
            <w:hideMark/>
          </w:tcPr>
          <w:p w14:paraId="66561B12" w14:textId="77777777" w:rsidR="00E553A4" w:rsidRPr="00E553A4" w:rsidRDefault="00E553A4" w:rsidP="00DC54F7">
            <w:pPr>
              <w:spacing w:after="0" w:line="240" w:lineRule="auto"/>
              <w:jc w:val="both"/>
              <w:rPr>
                <w:rFonts w:ascii="Calibri" w:eastAsia="Times New Roman" w:hAnsi="Calibri" w:cs="Calibri"/>
                <w:sz w:val="20"/>
                <w:szCs w:val="20"/>
                <w:lang w:eastAsia="en-GB"/>
              </w:rPr>
            </w:pPr>
            <w:r w:rsidRPr="00E553A4">
              <w:rPr>
                <w:rFonts w:ascii="Calibri" w:eastAsia="Times New Roman" w:hAnsi="Calibri" w:cs="Calibri"/>
                <w:sz w:val="20"/>
                <w:szCs w:val="20"/>
                <w:lang w:eastAsia="en-GB"/>
              </w:rPr>
              <w:t>47.5</w:t>
            </w:r>
          </w:p>
        </w:tc>
      </w:tr>
      <w:tr w:rsidR="00E553A4" w:rsidRPr="00E553A4" w14:paraId="3F0D42CD" w14:textId="77777777" w:rsidTr="00BB4EE0">
        <w:trPr>
          <w:trHeight w:val="330"/>
        </w:trPr>
        <w:tc>
          <w:tcPr>
            <w:tcW w:w="4617" w:type="dxa"/>
            <w:shd w:val="clear" w:color="auto" w:fill="auto"/>
            <w:noWrap/>
            <w:vAlign w:val="bottom"/>
            <w:hideMark/>
          </w:tcPr>
          <w:p w14:paraId="504F9BAF" w14:textId="77777777" w:rsidR="00E553A4" w:rsidRPr="00E553A4" w:rsidRDefault="00E553A4" w:rsidP="00DC54F7">
            <w:pPr>
              <w:spacing w:after="0" w:line="240" w:lineRule="auto"/>
              <w:jc w:val="both"/>
              <w:rPr>
                <w:rFonts w:ascii="Calibri" w:eastAsia="Times New Roman" w:hAnsi="Calibri" w:cs="Calibri"/>
                <w:color w:val="000000"/>
                <w:lang w:eastAsia="en-GB"/>
              </w:rPr>
            </w:pPr>
            <w:r w:rsidRPr="00E553A4">
              <w:rPr>
                <w:rFonts w:ascii="Calibri" w:eastAsia="Times New Roman" w:hAnsi="Calibri" w:cs="Calibri"/>
                <w:color w:val="000000"/>
                <w:lang w:eastAsia="en-GB"/>
              </w:rPr>
              <w:t>Vale of Glamorgan</w:t>
            </w:r>
          </w:p>
        </w:tc>
        <w:tc>
          <w:tcPr>
            <w:tcW w:w="4617" w:type="dxa"/>
            <w:shd w:val="clear" w:color="000000" w:fill="FFFFFF"/>
            <w:noWrap/>
            <w:vAlign w:val="bottom"/>
            <w:hideMark/>
          </w:tcPr>
          <w:p w14:paraId="19146902" w14:textId="77777777" w:rsidR="00E553A4" w:rsidRPr="00E553A4" w:rsidRDefault="00E553A4" w:rsidP="00DC54F7">
            <w:pPr>
              <w:spacing w:after="0" w:line="240" w:lineRule="auto"/>
              <w:jc w:val="both"/>
              <w:rPr>
                <w:rFonts w:ascii="Calibri" w:eastAsia="Times New Roman" w:hAnsi="Calibri" w:cs="Calibri"/>
                <w:sz w:val="20"/>
                <w:szCs w:val="20"/>
                <w:lang w:eastAsia="en-GB"/>
              </w:rPr>
            </w:pPr>
            <w:r w:rsidRPr="00E553A4">
              <w:rPr>
                <w:rFonts w:ascii="Calibri" w:eastAsia="Times New Roman" w:hAnsi="Calibri" w:cs="Calibri"/>
                <w:sz w:val="20"/>
                <w:szCs w:val="20"/>
                <w:lang w:eastAsia="en-GB"/>
              </w:rPr>
              <w:t>41.9</w:t>
            </w:r>
          </w:p>
        </w:tc>
      </w:tr>
      <w:tr w:rsidR="00E553A4" w:rsidRPr="00E553A4" w14:paraId="071B55B6" w14:textId="77777777" w:rsidTr="00BB4EE0">
        <w:trPr>
          <w:trHeight w:val="330"/>
        </w:trPr>
        <w:tc>
          <w:tcPr>
            <w:tcW w:w="4617" w:type="dxa"/>
            <w:shd w:val="clear" w:color="000000" w:fill="F2F2F2"/>
            <w:noWrap/>
            <w:vAlign w:val="bottom"/>
            <w:hideMark/>
          </w:tcPr>
          <w:p w14:paraId="7AC87A7A" w14:textId="77777777" w:rsidR="00E553A4" w:rsidRPr="00E553A4" w:rsidRDefault="00E553A4" w:rsidP="00DC54F7">
            <w:pPr>
              <w:spacing w:after="0" w:line="240" w:lineRule="auto"/>
              <w:jc w:val="both"/>
              <w:rPr>
                <w:rFonts w:ascii="Calibri" w:eastAsia="Times New Roman" w:hAnsi="Calibri" w:cs="Calibri"/>
                <w:color w:val="000000"/>
                <w:lang w:eastAsia="en-GB"/>
              </w:rPr>
            </w:pPr>
            <w:r w:rsidRPr="00E553A4">
              <w:rPr>
                <w:rFonts w:ascii="Calibri" w:eastAsia="Times New Roman" w:hAnsi="Calibri" w:cs="Calibri"/>
                <w:color w:val="000000"/>
                <w:lang w:eastAsia="en-GB"/>
              </w:rPr>
              <w:t>Cardiff and Vale UHB</w:t>
            </w:r>
          </w:p>
        </w:tc>
        <w:tc>
          <w:tcPr>
            <w:tcW w:w="4617" w:type="dxa"/>
            <w:shd w:val="clear" w:color="000000" w:fill="F2F2F2"/>
            <w:noWrap/>
            <w:vAlign w:val="bottom"/>
            <w:hideMark/>
          </w:tcPr>
          <w:p w14:paraId="780F8983" w14:textId="77777777" w:rsidR="00E553A4" w:rsidRPr="00E553A4" w:rsidRDefault="00E553A4" w:rsidP="00DC54F7">
            <w:pPr>
              <w:spacing w:after="0" w:line="240" w:lineRule="auto"/>
              <w:jc w:val="both"/>
              <w:rPr>
                <w:rFonts w:ascii="Calibri" w:eastAsia="Times New Roman" w:hAnsi="Calibri" w:cs="Calibri"/>
                <w:sz w:val="20"/>
                <w:szCs w:val="20"/>
                <w:lang w:eastAsia="en-GB"/>
              </w:rPr>
            </w:pPr>
            <w:r w:rsidRPr="00E553A4">
              <w:rPr>
                <w:rFonts w:ascii="Calibri" w:eastAsia="Times New Roman" w:hAnsi="Calibri" w:cs="Calibri"/>
                <w:sz w:val="20"/>
                <w:szCs w:val="20"/>
                <w:lang w:eastAsia="en-GB"/>
              </w:rPr>
              <w:t>46.1</w:t>
            </w:r>
          </w:p>
        </w:tc>
      </w:tr>
      <w:tr w:rsidR="00E553A4" w:rsidRPr="00E553A4" w14:paraId="1DA4D13A" w14:textId="77777777" w:rsidTr="00BB4EE0">
        <w:trPr>
          <w:trHeight w:val="330"/>
        </w:trPr>
        <w:tc>
          <w:tcPr>
            <w:tcW w:w="4617" w:type="dxa"/>
            <w:shd w:val="clear" w:color="auto" w:fill="auto"/>
            <w:noWrap/>
            <w:vAlign w:val="bottom"/>
            <w:hideMark/>
          </w:tcPr>
          <w:p w14:paraId="3EB3E8FB" w14:textId="77777777" w:rsidR="00E553A4" w:rsidRPr="00E553A4" w:rsidRDefault="00E553A4" w:rsidP="00DC54F7">
            <w:pPr>
              <w:spacing w:after="0" w:line="240" w:lineRule="auto"/>
              <w:jc w:val="both"/>
              <w:rPr>
                <w:rFonts w:ascii="Calibri" w:eastAsia="Times New Roman" w:hAnsi="Calibri" w:cs="Calibri"/>
                <w:color w:val="000000"/>
                <w:lang w:eastAsia="en-GB"/>
              </w:rPr>
            </w:pPr>
            <w:r w:rsidRPr="00E553A4">
              <w:rPr>
                <w:rFonts w:ascii="Calibri" w:eastAsia="Times New Roman" w:hAnsi="Calibri" w:cs="Calibri"/>
                <w:color w:val="000000"/>
                <w:lang w:eastAsia="en-GB"/>
              </w:rPr>
              <w:t>Wales</w:t>
            </w:r>
          </w:p>
        </w:tc>
        <w:tc>
          <w:tcPr>
            <w:tcW w:w="4617" w:type="dxa"/>
            <w:shd w:val="clear" w:color="000000" w:fill="FFFFFF"/>
            <w:noWrap/>
            <w:vAlign w:val="bottom"/>
            <w:hideMark/>
          </w:tcPr>
          <w:p w14:paraId="16FDB210" w14:textId="77777777" w:rsidR="00E553A4" w:rsidRPr="00E553A4" w:rsidRDefault="00E553A4" w:rsidP="00DC54F7">
            <w:pPr>
              <w:spacing w:after="0" w:line="240" w:lineRule="auto"/>
              <w:jc w:val="both"/>
              <w:rPr>
                <w:rFonts w:ascii="Calibri" w:eastAsia="Times New Roman" w:hAnsi="Calibri" w:cs="Calibri"/>
                <w:sz w:val="20"/>
                <w:szCs w:val="20"/>
                <w:lang w:eastAsia="en-GB"/>
              </w:rPr>
            </w:pPr>
            <w:r w:rsidRPr="00E553A4">
              <w:rPr>
                <w:rFonts w:ascii="Calibri" w:eastAsia="Times New Roman" w:hAnsi="Calibri" w:cs="Calibri"/>
                <w:sz w:val="20"/>
                <w:szCs w:val="20"/>
                <w:lang w:eastAsia="en-GB"/>
              </w:rPr>
              <w:t>35.2</w:t>
            </w:r>
          </w:p>
        </w:tc>
      </w:tr>
    </w:tbl>
    <w:p w14:paraId="208AF1A2" w14:textId="58667F33" w:rsidR="00E61D85" w:rsidRPr="00944EB7" w:rsidRDefault="00516D6E" w:rsidP="00DC54F7">
      <w:pPr>
        <w:spacing w:after="0" w:line="240" w:lineRule="auto"/>
        <w:jc w:val="both"/>
        <w:rPr>
          <w:rFonts w:ascii="Arial" w:hAnsi="Arial" w:cs="Arial"/>
          <w:b/>
          <w:bCs/>
          <w:sz w:val="20"/>
          <w:szCs w:val="20"/>
        </w:rPr>
      </w:pPr>
      <w:r w:rsidRPr="00944EB7">
        <w:rPr>
          <w:rFonts w:ascii="Arial" w:hAnsi="Arial" w:cs="Arial"/>
          <w:sz w:val="20"/>
          <w:szCs w:val="20"/>
        </w:rPr>
        <w:t>Source: Public Health Wales Observatory</w:t>
      </w:r>
    </w:p>
    <w:p w14:paraId="561444F5" w14:textId="5CD5FB55" w:rsidR="00944EB7" w:rsidRDefault="00944EB7" w:rsidP="00DC54F7">
      <w:pPr>
        <w:spacing w:after="0" w:line="240" w:lineRule="auto"/>
        <w:jc w:val="both"/>
        <w:rPr>
          <w:rFonts w:ascii="Arial" w:hAnsi="Arial" w:cs="Arial"/>
          <w:b/>
          <w:bCs/>
          <w:sz w:val="26"/>
          <w:szCs w:val="26"/>
        </w:rPr>
      </w:pPr>
    </w:p>
    <w:p w14:paraId="1817C38C" w14:textId="77777777" w:rsidR="00944EB7" w:rsidRDefault="00944EB7" w:rsidP="00DC54F7">
      <w:pPr>
        <w:spacing w:after="0" w:line="240" w:lineRule="auto"/>
        <w:jc w:val="both"/>
        <w:rPr>
          <w:rFonts w:ascii="Arial" w:hAnsi="Arial" w:cs="Arial"/>
          <w:b/>
          <w:bCs/>
          <w:sz w:val="26"/>
          <w:szCs w:val="26"/>
        </w:rPr>
      </w:pPr>
    </w:p>
    <w:p w14:paraId="1B02330A" w14:textId="0ED680B4" w:rsidR="00A95C8F" w:rsidRDefault="00E61D85" w:rsidP="00DC54F7">
      <w:pPr>
        <w:spacing w:after="0" w:line="240" w:lineRule="auto"/>
        <w:jc w:val="both"/>
        <w:rPr>
          <w:rFonts w:ascii="Arial" w:hAnsi="Arial" w:cs="Arial"/>
          <w:b/>
          <w:bCs/>
          <w:sz w:val="26"/>
          <w:szCs w:val="26"/>
        </w:rPr>
      </w:pPr>
      <w:r>
        <w:rPr>
          <w:rFonts w:ascii="Arial" w:hAnsi="Arial" w:cs="Arial"/>
          <w:b/>
          <w:bCs/>
          <w:sz w:val="26"/>
          <w:szCs w:val="26"/>
        </w:rPr>
        <w:t xml:space="preserve">3.3.3 </w:t>
      </w:r>
      <w:r w:rsidR="00A95C8F">
        <w:rPr>
          <w:rFonts w:ascii="Arial" w:hAnsi="Arial" w:cs="Arial"/>
          <w:b/>
          <w:bCs/>
          <w:sz w:val="26"/>
          <w:szCs w:val="26"/>
        </w:rPr>
        <w:t>Children living in poverty</w:t>
      </w:r>
    </w:p>
    <w:p w14:paraId="6BC5A383" w14:textId="77777777" w:rsidR="00944EB7" w:rsidRDefault="00944EB7" w:rsidP="00DC54F7">
      <w:pPr>
        <w:spacing w:after="0" w:line="240" w:lineRule="auto"/>
        <w:jc w:val="both"/>
        <w:rPr>
          <w:rFonts w:ascii="Arial" w:hAnsi="Arial" w:cs="Arial"/>
        </w:rPr>
      </w:pPr>
    </w:p>
    <w:p w14:paraId="223BE74D" w14:textId="62B59944" w:rsidR="00BD6D65" w:rsidRPr="00944EB7" w:rsidRDefault="002C61FE" w:rsidP="00DC54F7">
      <w:pPr>
        <w:spacing w:after="0" w:line="240" w:lineRule="auto"/>
        <w:jc w:val="both"/>
        <w:rPr>
          <w:rFonts w:ascii="Arial" w:hAnsi="Arial" w:cs="Arial"/>
          <w:sz w:val="24"/>
          <w:szCs w:val="24"/>
        </w:rPr>
      </w:pPr>
      <w:r w:rsidRPr="00944EB7">
        <w:rPr>
          <w:rFonts w:ascii="Arial" w:hAnsi="Arial" w:cs="Arial"/>
          <w:sz w:val="24"/>
          <w:szCs w:val="24"/>
        </w:rPr>
        <w:t>In Cardiff</w:t>
      </w:r>
      <w:r w:rsidR="008F41DE" w:rsidRPr="00944EB7">
        <w:rPr>
          <w:rFonts w:ascii="Arial" w:hAnsi="Arial" w:cs="Arial"/>
          <w:sz w:val="24"/>
          <w:szCs w:val="24"/>
        </w:rPr>
        <w:t xml:space="preserve"> and Vale University Health Board</w:t>
      </w:r>
      <w:r w:rsidRPr="00944EB7">
        <w:rPr>
          <w:rFonts w:ascii="Arial" w:hAnsi="Arial" w:cs="Arial"/>
          <w:sz w:val="24"/>
          <w:szCs w:val="24"/>
        </w:rPr>
        <w:t xml:space="preserve">, 27% of </w:t>
      </w:r>
      <w:r w:rsidR="00572711" w:rsidRPr="00944EB7">
        <w:rPr>
          <w:rFonts w:ascii="Arial" w:hAnsi="Arial" w:cs="Arial"/>
          <w:sz w:val="24"/>
          <w:szCs w:val="24"/>
        </w:rPr>
        <w:t>people</w:t>
      </w:r>
      <w:r w:rsidRPr="00944EB7">
        <w:rPr>
          <w:rFonts w:ascii="Arial" w:hAnsi="Arial" w:cs="Arial"/>
          <w:sz w:val="24"/>
          <w:szCs w:val="24"/>
        </w:rPr>
        <w:t xml:space="preserve"> </w:t>
      </w:r>
      <w:r w:rsidR="001A544D" w:rsidRPr="00944EB7">
        <w:rPr>
          <w:rFonts w:ascii="Arial" w:hAnsi="Arial" w:cs="Arial"/>
          <w:sz w:val="24"/>
          <w:szCs w:val="24"/>
        </w:rPr>
        <w:t xml:space="preserve">in Cardiff </w:t>
      </w:r>
      <w:r w:rsidR="00A04AAE" w:rsidRPr="00944EB7">
        <w:rPr>
          <w:rFonts w:ascii="Arial" w:hAnsi="Arial" w:cs="Arial"/>
          <w:sz w:val="24"/>
          <w:szCs w:val="24"/>
        </w:rPr>
        <w:t xml:space="preserve">aged </w:t>
      </w:r>
      <w:r w:rsidR="00953EA2" w:rsidRPr="00944EB7">
        <w:rPr>
          <w:rFonts w:ascii="Arial" w:hAnsi="Arial" w:cs="Arial"/>
          <w:sz w:val="24"/>
          <w:szCs w:val="24"/>
        </w:rPr>
        <w:t xml:space="preserve">under 18 years </w:t>
      </w:r>
      <w:r w:rsidRPr="00944EB7">
        <w:rPr>
          <w:rFonts w:ascii="Arial" w:hAnsi="Arial" w:cs="Arial"/>
          <w:sz w:val="24"/>
          <w:szCs w:val="24"/>
        </w:rPr>
        <w:t>live in poverty</w:t>
      </w:r>
      <w:r w:rsidR="001A544D" w:rsidRPr="00944EB7">
        <w:rPr>
          <w:rFonts w:ascii="Arial" w:hAnsi="Arial" w:cs="Arial"/>
          <w:sz w:val="24"/>
          <w:szCs w:val="24"/>
        </w:rPr>
        <w:t>. This is higher than the average for Wales (24%)</w:t>
      </w:r>
      <w:r w:rsidR="00FE13E3" w:rsidRPr="00944EB7">
        <w:rPr>
          <w:rFonts w:ascii="Arial" w:hAnsi="Arial" w:cs="Arial"/>
          <w:sz w:val="24"/>
          <w:szCs w:val="24"/>
        </w:rPr>
        <w:t xml:space="preserve"> and fifth highest of all the </w:t>
      </w:r>
      <w:r w:rsidR="00567F4B" w:rsidRPr="00944EB7">
        <w:rPr>
          <w:rFonts w:ascii="Arial" w:hAnsi="Arial" w:cs="Arial"/>
          <w:sz w:val="24"/>
          <w:szCs w:val="24"/>
        </w:rPr>
        <w:t>local</w:t>
      </w:r>
      <w:r w:rsidR="00FE13E3" w:rsidRPr="00944EB7">
        <w:rPr>
          <w:rFonts w:ascii="Arial" w:hAnsi="Arial" w:cs="Arial"/>
          <w:sz w:val="24"/>
          <w:szCs w:val="24"/>
        </w:rPr>
        <w:t xml:space="preserve"> authorities</w:t>
      </w:r>
      <w:r w:rsidR="001A544D" w:rsidRPr="00944EB7">
        <w:rPr>
          <w:rFonts w:ascii="Arial" w:hAnsi="Arial" w:cs="Arial"/>
          <w:sz w:val="24"/>
          <w:szCs w:val="24"/>
        </w:rPr>
        <w:t xml:space="preserve">. </w:t>
      </w:r>
      <w:r w:rsidR="00032DCD" w:rsidRPr="00944EB7">
        <w:rPr>
          <w:rFonts w:ascii="Arial" w:hAnsi="Arial" w:cs="Arial"/>
          <w:sz w:val="24"/>
          <w:szCs w:val="24"/>
        </w:rPr>
        <w:t xml:space="preserve">The Vale of Glamorgan has </w:t>
      </w:r>
      <w:r w:rsidR="008819F6" w:rsidRPr="00944EB7">
        <w:rPr>
          <w:rFonts w:ascii="Arial" w:hAnsi="Arial" w:cs="Arial"/>
          <w:sz w:val="24"/>
          <w:szCs w:val="24"/>
        </w:rPr>
        <w:t xml:space="preserve">a </w:t>
      </w:r>
      <w:r w:rsidR="00032DCD" w:rsidRPr="00944EB7">
        <w:rPr>
          <w:rFonts w:ascii="Arial" w:hAnsi="Arial" w:cs="Arial"/>
          <w:sz w:val="24"/>
          <w:szCs w:val="24"/>
        </w:rPr>
        <w:t>low</w:t>
      </w:r>
      <w:r w:rsidR="008819F6" w:rsidRPr="00944EB7">
        <w:rPr>
          <w:rFonts w:ascii="Arial" w:hAnsi="Arial" w:cs="Arial"/>
          <w:sz w:val="24"/>
          <w:szCs w:val="24"/>
        </w:rPr>
        <w:t>er</w:t>
      </w:r>
      <w:r w:rsidR="00032DCD" w:rsidRPr="00944EB7">
        <w:rPr>
          <w:rFonts w:ascii="Arial" w:hAnsi="Arial" w:cs="Arial"/>
          <w:sz w:val="24"/>
          <w:szCs w:val="24"/>
        </w:rPr>
        <w:t xml:space="preserve"> </w:t>
      </w:r>
      <w:r w:rsidR="009E0A41" w:rsidRPr="00944EB7">
        <w:rPr>
          <w:rFonts w:ascii="Arial" w:hAnsi="Arial" w:cs="Arial"/>
          <w:sz w:val="24"/>
          <w:szCs w:val="24"/>
        </w:rPr>
        <w:t>p</w:t>
      </w:r>
      <w:r w:rsidR="00C6301E" w:rsidRPr="00944EB7">
        <w:rPr>
          <w:rFonts w:ascii="Arial" w:hAnsi="Arial" w:cs="Arial"/>
          <w:sz w:val="24"/>
          <w:szCs w:val="24"/>
        </w:rPr>
        <w:t xml:space="preserve">roportion </w:t>
      </w:r>
      <w:r w:rsidR="005B40AE" w:rsidRPr="00944EB7">
        <w:rPr>
          <w:rFonts w:ascii="Arial" w:hAnsi="Arial" w:cs="Arial"/>
          <w:sz w:val="24"/>
          <w:szCs w:val="24"/>
        </w:rPr>
        <w:t>at</w:t>
      </w:r>
      <w:r w:rsidR="00C6301E" w:rsidRPr="00944EB7">
        <w:rPr>
          <w:rFonts w:ascii="Arial" w:hAnsi="Arial" w:cs="Arial"/>
          <w:sz w:val="24"/>
          <w:szCs w:val="24"/>
        </w:rPr>
        <w:t xml:space="preserve"> </w:t>
      </w:r>
      <w:r w:rsidR="00032DCD" w:rsidRPr="00944EB7">
        <w:rPr>
          <w:rFonts w:ascii="Arial" w:hAnsi="Arial" w:cs="Arial"/>
          <w:sz w:val="24"/>
          <w:szCs w:val="24"/>
        </w:rPr>
        <w:t xml:space="preserve">19%. </w:t>
      </w:r>
    </w:p>
    <w:p w14:paraId="5FFDEB47" w14:textId="77777777" w:rsidR="00F42B93" w:rsidRDefault="00F42B93" w:rsidP="00DC54F7">
      <w:pPr>
        <w:spacing w:after="0" w:line="240" w:lineRule="auto"/>
        <w:jc w:val="both"/>
        <w:rPr>
          <w:rFonts w:ascii="Arial" w:hAnsi="Arial" w:cs="Arial"/>
        </w:rPr>
      </w:pPr>
    </w:p>
    <w:p w14:paraId="7F24EC5D" w14:textId="66CBC680" w:rsidR="000064B3" w:rsidRPr="00944EB7" w:rsidRDefault="001F3B3D" w:rsidP="00DC54F7">
      <w:pPr>
        <w:pStyle w:val="Caption"/>
        <w:spacing w:before="0" w:after="0"/>
        <w:jc w:val="both"/>
        <w:rPr>
          <w:rFonts w:ascii="Arial" w:hAnsi="Arial" w:cs="Arial"/>
          <w:szCs w:val="24"/>
        </w:rPr>
      </w:pPr>
      <w:bookmarkStart w:id="15" w:name="_Toc60225132"/>
      <w:r w:rsidRPr="00944EB7">
        <w:rPr>
          <w:rFonts w:ascii="Arial" w:hAnsi="Arial" w:cs="Arial"/>
          <w:szCs w:val="24"/>
        </w:rPr>
        <w:t>Table</w:t>
      </w:r>
      <w:r w:rsidR="00F22702" w:rsidRPr="00944EB7">
        <w:rPr>
          <w:rFonts w:ascii="Arial" w:hAnsi="Arial" w:cs="Arial"/>
          <w:szCs w:val="24"/>
        </w:rPr>
        <w:t xml:space="preserve"> 3.13</w:t>
      </w:r>
      <w:r w:rsidRPr="00944EB7">
        <w:rPr>
          <w:rFonts w:ascii="Arial" w:hAnsi="Arial" w:cs="Arial"/>
          <w:szCs w:val="24"/>
        </w:rPr>
        <w:t>: Percentage of persons aged 0 to 18 years living in poverty</w:t>
      </w:r>
      <w:r w:rsidR="00363C8E" w:rsidRPr="00944EB7">
        <w:rPr>
          <w:rFonts w:ascii="Arial" w:hAnsi="Arial" w:cs="Arial"/>
          <w:szCs w:val="24"/>
        </w:rPr>
        <w:t xml:space="preserve"> by </w:t>
      </w:r>
      <w:r w:rsidR="00567F4B" w:rsidRPr="00944EB7">
        <w:rPr>
          <w:rFonts w:ascii="Arial" w:hAnsi="Arial" w:cs="Arial"/>
          <w:szCs w:val="24"/>
        </w:rPr>
        <w:t>local</w:t>
      </w:r>
      <w:r w:rsidR="0056032C" w:rsidRPr="00944EB7">
        <w:rPr>
          <w:rFonts w:ascii="Arial" w:hAnsi="Arial" w:cs="Arial"/>
          <w:szCs w:val="24"/>
        </w:rPr>
        <w:t xml:space="preserve"> authority and </w:t>
      </w:r>
      <w:r w:rsidRPr="00944EB7">
        <w:rPr>
          <w:rFonts w:ascii="Arial" w:hAnsi="Arial" w:cs="Arial"/>
          <w:szCs w:val="24"/>
        </w:rPr>
        <w:t>Wales, 2017</w:t>
      </w:r>
      <w:bookmarkEnd w:id="15"/>
    </w:p>
    <w:tbl>
      <w:tblPr>
        <w:tblW w:w="9284" w:type="dxa"/>
        <w:tblLook w:val="04A0" w:firstRow="1" w:lastRow="0" w:firstColumn="1" w:lastColumn="0" w:noHBand="0" w:noVBand="1"/>
      </w:tblPr>
      <w:tblGrid>
        <w:gridCol w:w="4642"/>
        <w:gridCol w:w="4642"/>
      </w:tblGrid>
      <w:tr w:rsidR="00BD6D65" w:rsidRPr="00BD6D65" w14:paraId="3234328F" w14:textId="77777777" w:rsidTr="00BB4EE0">
        <w:trPr>
          <w:trHeight w:val="255"/>
        </w:trPr>
        <w:tc>
          <w:tcPr>
            <w:tcW w:w="4642" w:type="dxa"/>
            <w:tcBorders>
              <w:top w:val="single" w:sz="4" w:space="0" w:color="auto"/>
              <w:left w:val="single" w:sz="4" w:space="0" w:color="auto"/>
              <w:bottom w:val="single" w:sz="4" w:space="0" w:color="C9C9C9"/>
              <w:right w:val="nil"/>
            </w:tcBorders>
            <w:shd w:val="clear" w:color="000000" w:fill="8497B0"/>
            <w:noWrap/>
            <w:vAlign w:val="bottom"/>
            <w:hideMark/>
          </w:tcPr>
          <w:p w14:paraId="67E3F056" w14:textId="77777777" w:rsidR="00BD6D65" w:rsidRPr="00BD6D65" w:rsidRDefault="00BD6D65" w:rsidP="00DC54F7">
            <w:pPr>
              <w:spacing w:after="0" w:line="240" w:lineRule="auto"/>
              <w:jc w:val="both"/>
              <w:rPr>
                <w:rFonts w:ascii="Calibri" w:eastAsia="Times New Roman" w:hAnsi="Calibri" w:cs="Calibri"/>
                <w:b/>
                <w:bCs/>
                <w:color w:val="FFFFFF"/>
                <w:lang w:eastAsia="en-GB"/>
              </w:rPr>
            </w:pPr>
            <w:r w:rsidRPr="00BD6D65">
              <w:rPr>
                <w:rFonts w:ascii="Calibri" w:eastAsia="Times New Roman" w:hAnsi="Calibri" w:cs="Calibri"/>
                <w:b/>
                <w:bCs/>
                <w:color w:val="FFFFFF"/>
                <w:lang w:eastAsia="en-GB"/>
              </w:rPr>
              <w:t>Area</w:t>
            </w:r>
          </w:p>
        </w:tc>
        <w:tc>
          <w:tcPr>
            <w:tcW w:w="4642" w:type="dxa"/>
            <w:tcBorders>
              <w:top w:val="single" w:sz="4" w:space="0" w:color="auto"/>
              <w:left w:val="nil"/>
              <w:bottom w:val="single" w:sz="4" w:space="0" w:color="C9C9C9"/>
              <w:right w:val="single" w:sz="4" w:space="0" w:color="auto"/>
            </w:tcBorders>
            <w:shd w:val="clear" w:color="000000" w:fill="8497B0"/>
            <w:noWrap/>
            <w:vAlign w:val="bottom"/>
            <w:hideMark/>
          </w:tcPr>
          <w:p w14:paraId="2E87FE51" w14:textId="77777777" w:rsidR="00BD6D65" w:rsidRPr="00BD6D65" w:rsidRDefault="00BD6D65" w:rsidP="00DC54F7">
            <w:pPr>
              <w:spacing w:after="0" w:line="240" w:lineRule="auto"/>
              <w:jc w:val="both"/>
              <w:rPr>
                <w:rFonts w:ascii="Calibri" w:eastAsia="Times New Roman" w:hAnsi="Calibri" w:cs="Calibri"/>
                <w:b/>
                <w:bCs/>
                <w:color w:val="FFFFFF"/>
                <w:lang w:eastAsia="en-GB"/>
              </w:rPr>
            </w:pPr>
            <w:r w:rsidRPr="00BD6D65">
              <w:rPr>
                <w:rFonts w:ascii="Calibri" w:eastAsia="Times New Roman" w:hAnsi="Calibri" w:cs="Calibri"/>
                <w:b/>
                <w:bCs/>
                <w:color w:val="FFFFFF"/>
                <w:lang w:eastAsia="en-GB"/>
              </w:rPr>
              <w:t>Percentage</w:t>
            </w:r>
          </w:p>
        </w:tc>
      </w:tr>
      <w:tr w:rsidR="00BD6D65" w:rsidRPr="00BD6D65" w14:paraId="6751CEB6" w14:textId="77777777" w:rsidTr="00BB4EE0">
        <w:trPr>
          <w:trHeight w:val="255"/>
        </w:trPr>
        <w:tc>
          <w:tcPr>
            <w:tcW w:w="4642" w:type="dxa"/>
            <w:tcBorders>
              <w:top w:val="single" w:sz="4" w:space="0" w:color="C9C9C9"/>
              <w:left w:val="single" w:sz="4" w:space="0" w:color="auto"/>
              <w:bottom w:val="single" w:sz="4" w:space="0" w:color="C9C9C9"/>
              <w:right w:val="nil"/>
            </w:tcBorders>
            <w:shd w:val="clear" w:color="EDEDED" w:fill="EDEDED"/>
            <w:noWrap/>
            <w:vAlign w:val="bottom"/>
            <w:hideMark/>
          </w:tcPr>
          <w:p w14:paraId="17845638" w14:textId="77777777" w:rsidR="00BD6D65" w:rsidRPr="00BD6D65" w:rsidRDefault="00BD6D65" w:rsidP="00DC54F7">
            <w:pPr>
              <w:spacing w:after="0" w:line="240" w:lineRule="auto"/>
              <w:jc w:val="both"/>
              <w:rPr>
                <w:rFonts w:ascii="Calibri" w:eastAsia="Times New Roman" w:hAnsi="Calibri" w:cs="Calibri"/>
                <w:color w:val="000000"/>
                <w:lang w:eastAsia="en-GB"/>
              </w:rPr>
            </w:pPr>
            <w:r w:rsidRPr="00BD6D65">
              <w:rPr>
                <w:rFonts w:ascii="Calibri" w:eastAsia="Times New Roman" w:hAnsi="Calibri" w:cs="Calibri"/>
                <w:color w:val="000000"/>
                <w:lang w:eastAsia="en-GB"/>
              </w:rPr>
              <w:t>Cardiff</w:t>
            </w:r>
          </w:p>
        </w:tc>
        <w:tc>
          <w:tcPr>
            <w:tcW w:w="4642" w:type="dxa"/>
            <w:tcBorders>
              <w:top w:val="single" w:sz="4" w:space="0" w:color="C9C9C9"/>
              <w:left w:val="nil"/>
              <w:bottom w:val="single" w:sz="4" w:space="0" w:color="C9C9C9"/>
              <w:right w:val="single" w:sz="4" w:space="0" w:color="auto"/>
            </w:tcBorders>
            <w:shd w:val="clear" w:color="EDEDED" w:fill="EDEDED"/>
            <w:noWrap/>
            <w:vAlign w:val="bottom"/>
            <w:hideMark/>
          </w:tcPr>
          <w:p w14:paraId="4AEC53A5" w14:textId="77777777" w:rsidR="00BD6D65" w:rsidRPr="00BD6D65" w:rsidRDefault="00BD6D65" w:rsidP="00DC54F7">
            <w:pPr>
              <w:spacing w:after="0" w:line="240" w:lineRule="auto"/>
              <w:jc w:val="both"/>
              <w:rPr>
                <w:rFonts w:ascii="Calibri" w:eastAsia="Times New Roman" w:hAnsi="Calibri" w:cs="Calibri"/>
                <w:color w:val="000000"/>
                <w:lang w:eastAsia="en-GB"/>
              </w:rPr>
            </w:pPr>
            <w:r w:rsidRPr="00BD6D65">
              <w:rPr>
                <w:rFonts w:ascii="Calibri" w:eastAsia="Times New Roman" w:hAnsi="Calibri" w:cs="Calibri"/>
                <w:color w:val="000000"/>
                <w:lang w:eastAsia="en-GB"/>
              </w:rPr>
              <w:t>27</w:t>
            </w:r>
          </w:p>
        </w:tc>
      </w:tr>
      <w:tr w:rsidR="00BD6D65" w:rsidRPr="00BD6D65" w14:paraId="74D57770" w14:textId="77777777" w:rsidTr="00BB4EE0">
        <w:trPr>
          <w:trHeight w:val="255"/>
        </w:trPr>
        <w:tc>
          <w:tcPr>
            <w:tcW w:w="4642" w:type="dxa"/>
            <w:tcBorders>
              <w:top w:val="single" w:sz="4" w:space="0" w:color="C9C9C9"/>
              <w:left w:val="single" w:sz="4" w:space="0" w:color="auto"/>
              <w:bottom w:val="single" w:sz="4" w:space="0" w:color="C9C9C9"/>
              <w:right w:val="nil"/>
            </w:tcBorders>
            <w:shd w:val="clear" w:color="auto" w:fill="auto"/>
            <w:noWrap/>
            <w:vAlign w:val="bottom"/>
            <w:hideMark/>
          </w:tcPr>
          <w:p w14:paraId="4873F9ED" w14:textId="77777777" w:rsidR="00BD6D65" w:rsidRPr="00BD6D65" w:rsidRDefault="00BD6D65" w:rsidP="00DC54F7">
            <w:pPr>
              <w:spacing w:after="0" w:line="240" w:lineRule="auto"/>
              <w:jc w:val="both"/>
              <w:rPr>
                <w:rFonts w:ascii="Calibri" w:eastAsia="Times New Roman" w:hAnsi="Calibri" w:cs="Calibri"/>
                <w:color w:val="000000"/>
                <w:lang w:eastAsia="en-GB"/>
              </w:rPr>
            </w:pPr>
            <w:r w:rsidRPr="00BD6D65">
              <w:rPr>
                <w:rFonts w:ascii="Calibri" w:eastAsia="Times New Roman" w:hAnsi="Calibri" w:cs="Calibri"/>
                <w:color w:val="000000"/>
                <w:lang w:eastAsia="en-GB"/>
              </w:rPr>
              <w:t>Vale of Glamorgan</w:t>
            </w:r>
          </w:p>
        </w:tc>
        <w:tc>
          <w:tcPr>
            <w:tcW w:w="4642" w:type="dxa"/>
            <w:tcBorders>
              <w:top w:val="single" w:sz="4" w:space="0" w:color="C9C9C9"/>
              <w:left w:val="nil"/>
              <w:bottom w:val="single" w:sz="4" w:space="0" w:color="C9C9C9"/>
              <w:right w:val="single" w:sz="4" w:space="0" w:color="auto"/>
            </w:tcBorders>
            <w:shd w:val="clear" w:color="auto" w:fill="auto"/>
            <w:noWrap/>
            <w:vAlign w:val="bottom"/>
            <w:hideMark/>
          </w:tcPr>
          <w:p w14:paraId="2447E2D3" w14:textId="77777777" w:rsidR="00BD6D65" w:rsidRPr="00BD6D65" w:rsidRDefault="00BD6D65" w:rsidP="00DC54F7">
            <w:pPr>
              <w:spacing w:after="0" w:line="240" w:lineRule="auto"/>
              <w:jc w:val="both"/>
              <w:rPr>
                <w:rFonts w:ascii="Calibri" w:eastAsia="Times New Roman" w:hAnsi="Calibri" w:cs="Calibri"/>
                <w:color w:val="000000"/>
                <w:lang w:eastAsia="en-GB"/>
              </w:rPr>
            </w:pPr>
            <w:r w:rsidRPr="00BD6D65">
              <w:rPr>
                <w:rFonts w:ascii="Calibri" w:eastAsia="Times New Roman" w:hAnsi="Calibri" w:cs="Calibri"/>
                <w:color w:val="000000"/>
                <w:lang w:eastAsia="en-GB"/>
              </w:rPr>
              <w:t>19</w:t>
            </w:r>
          </w:p>
        </w:tc>
      </w:tr>
      <w:tr w:rsidR="00BD6D65" w:rsidRPr="00BD6D65" w14:paraId="780B4EBB" w14:textId="77777777" w:rsidTr="00BB4EE0">
        <w:trPr>
          <w:trHeight w:val="255"/>
        </w:trPr>
        <w:tc>
          <w:tcPr>
            <w:tcW w:w="4642" w:type="dxa"/>
            <w:tcBorders>
              <w:top w:val="single" w:sz="4" w:space="0" w:color="C9C9C9"/>
              <w:left w:val="single" w:sz="4" w:space="0" w:color="auto"/>
              <w:bottom w:val="single" w:sz="4" w:space="0" w:color="auto"/>
              <w:right w:val="nil"/>
            </w:tcBorders>
            <w:shd w:val="clear" w:color="EDEDED" w:fill="EDEDED"/>
            <w:noWrap/>
            <w:vAlign w:val="bottom"/>
            <w:hideMark/>
          </w:tcPr>
          <w:p w14:paraId="3C540C22" w14:textId="77777777" w:rsidR="00BD6D65" w:rsidRPr="00BD6D65" w:rsidRDefault="00BD6D65" w:rsidP="00DC54F7">
            <w:pPr>
              <w:spacing w:after="0" w:line="240" w:lineRule="auto"/>
              <w:jc w:val="both"/>
              <w:rPr>
                <w:rFonts w:ascii="Calibri" w:eastAsia="Times New Roman" w:hAnsi="Calibri" w:cs="Calibri"/>
                <w:color w:val="000000"/>
                <w:lang w:eastAsia="en-GB"/>
              </w:rPr>
            </w:pPr>
            <w:r w:rsidRPr="00BD6D65">
              <w:rPr>
                <w:rFonts w:ascii="Calibri" w:eastAsia="Times New Roman" w:hAnsi="Calibri" w:cs="Calibri"/>
                <w:color w:val="000000"/>
                <w:lang w:eastAsia="en-GB"/>
              </w:rPr>
              <w:t>Wales</w:t>
            </w:r>
          </w:p>
        </w:tc>
        <w:tc>
          <w:tcPr>
            <w:tcW w:w="4642" w:type="dxa"/>
            <w:tcBorders>
              <w:top w:val="single" w:sz="4" w:space="0" w:color="C9C9C9"/>
              <w:left w:val="nil"/>
              <w:bottom w:val="single" w:sz="4" w:space="0" w:color="auto"/>
              <w:right w:val="single" w:sz="4" w:space="0" w:color="auto"/>
            </w:tcBorders>
            <w:shd w:val="clear" w:color="EDEDED" w:fill="EDEDED"/>
            <w:noWrap/>
            <w:vAlign w:val="bottom"/>
            <w:hideMark/>
          </w:tcPr>
          <w:p w14:paraId="7F624558" w14:textId="77777777" w:rsidR="00BD6D65" w:rsidRPr="00BD6D65" w:rsidRDefault="00BD6D65" w:rsidP="00DC54F7">
            <w:pPr>
              <w:spacing w:after="0" w:line="240" w:lineRule="auto"/>
              <w:jc w:val="both"/>
              <w:rPr>
                <w:rFonts w:ascii="Calibri" w:eastAsia="Times New Roman" w:hAnsi="Calibri" w:cs="Calibri"/>
                <w:color w:val="000000"/>
                <w:lang w:eastAsia="en-GB"/>
              </w:rPr>
            </w:pPr>
            <w:r w:rsidRPr="00BD6D65">
              <w:rPr>
                <w:rFonts w:ascii="Calibri" w:eastAsia="Times New Roman" w:hAnsi="Calibri" w:cs="Calibri"/>
                <w:color w:val="000000"/>
                <w:lang w:eastAsia="en-GB"/>
              </w:rPr>
              <w:t>24</w:t>
            </w:r>
          </w:p>
        </w:tc>
      </w:tr>
    </w:tbl>
    <w:p w14:paraId="6A56DD5B" w14:textId="38CC964D" w:rsidR="00BD6D65" w:rsidRPr="00944EB7" w:rsidRDefault="008F46AA" w:rsidP="00DC54F7">
      <w:pPr>
        <w:spacing w:after="0" w:line="240" w:lineRule="auto"/>
        <w:jc w:val="both"/>
        <w:rPr>
          <w:rFonts w:ascii="Arial" w:hAnsi="Arial" w:cs="Arial"/>
          <w:sz w:val="20"/>
          <w:szCs w:val="20"/>
        </w:rPr>
      </w:pPr>
      <w:r w:rsidRPr="00944EB7">
        <w:rPr>
          <w:rFonts w:ascii="Arial" w:hAnsi="Arial" w:cs="Arial"/>
          <w:sz w:val="20"/>
          <w:szCs w:val="20"/>
        </w:rPr>
        <w:t xml:space="preserve">Source: Public Health </w:t>
      </w:r>
      <w:r w:rsidR="008F41DE" w:rsidRPr="00944EB7">
        <w:rPr>
          <w:rFonts w:ascii="Arial" w:hAnsi="Arial" w:cs="Arial"/>
          <w:sz w:val="20"/>
          <w:szCs w:val="20"/>
        </w:rPr>
        <w:t>Wales Observatory</w:t>
      </w:r>
    </w:p>
    <w:p w14:paraId="04C62A38" w14:textId="05045156" w:rsidR="00944EB7" w:rsidRDefault="00944EB7" w:rsidP="00DC54F7">
      <w:pPr>
        <w:spacing w:after="0" w:line="240" w:lineRule="auto"/>
        <w:jc w:val="both"/>
        <w:rPr>
          <w:rFonts w:ascii="Arial" w:hAnsi="Arial" w:cs="Arial"/>
          <w:b/>
          <w:bCs/>
          <w:sz w:val="26"/>
          <w:szCs w:val="26"/>
        </w:rPr>
      </w:pPr>
    </w:p>
    <w:p w14:paraId="11B114BB" w14:textId="77777777" w:rsidR="00944EB7" w:rsidRDefault="00944EB7" w:rsidP="00DC54F7">
      <w:pPr>
        <w:spacing w:after="0" w:line="240" w:lineRule="auto"/>
        <w:jc w:val="both"/>
        <w:rPr>
          <w:rFonts w:ascii="Arial" w:hAnsi="Arial" w:cs="Arial"/>
          <w:b/>
          <w:bCs/>
          <w:sz w:val="26"/>
          <w:szCs w:val="26"/>
        </w:rPr>
      </w:pPr>
    </w:p>
    <w:p w14:paraId="6D869686" w14:textId="3BF01799" w:rsidR="0042607F" w:rsidRDefault="00E61D85" w:rsidP="00DC54F7">
      <w:pPr>
        <w:spacing w:after="0" w:line="240" w:lineRule="auto"/>
        <w:jc w:val="both"/>
        <w:rPr>
          <w:rFonts w:ascii="Arial" w:hAnsi="Arial" w:cs="Arial"/>
          <w:b/>
          <w:bCs/>
          <w:sz w:val="26"/>
          <w:szCs w:val="26"/>
        </w:rPr>
      </w:pPr>
      <w:r>
        <w:rPr>
          <w:rFonts w:ascii="Arial" w:hAnsi="Arial" w:cs="Arial"/>
          <w:b/>
          <w:bCs/>
          <w:sz w:val="26"/>
          <w:szCs w:val="26"/>
        </w:rPr>
        <w:t xml:space="preserve">3.3.4 </w:t>
      </w:r>
      <w:r w:rsidR="0042607F">
        <w:rPr>
          <w:rFonts w:ascii="Arial" w:hAnsi="Arial" w:cs="Arial"/>
          <w:b/>
          <w:bCs/>
          <w:sz w:val="26"/>
          <w:szCs w:val="26"/>
        </w:rPr>
        <w:t>Oral health</w:t>
      </w:r>
    </w:p>
    <w:p w14:paraId="10473587" w14:textId="77777777" w:rsidR="00944EB7" w:rsidRDefault="00944EB7" w:rsidP="00DC54F7">
      <w:pPr>
        <w:shd w:val="clear" w:color="auto" w:fill="FFFFFF"/>
        <w:spacing w:after="0" w:line="240" w:lineRule="auto"/>
        <w:jc w:val="both"/>
        <w:rPr>
          <w:rFonts w:ascii="Arial" w:hAnsi="Arial" w:cs="Arial"/>
          <w:color w:val="0B0C0C"/>
          <w:shd w:val="clear" w:color="auto" w:fill="FFFFFF"/>
        </w:rPr>
      </w:pPr>
    </w:p>
    <w:p w14:paraId="548E8FE6" w14:textId="5174FE28" w:rsidR="00CD07DC" w:rsidRPr="00944EB7" w:rsidRDefault="00FC6AA2" w:rsidP="00DC54F7">
      <w:pPr>
        <w:shd w:val="clear" w:color="auto" w:fill="FFFFFF"/>
        <w:spacing w:after="0" w:line="240" w:lineRule="auto"/>
        <w:jc w:val="both"/>
        <w:rPr>
          <w:rFonts w:ascii="Arial" w:eastAsia="Times New Roman" w:hAnsi="Arial" w:cs="Arial"/>
          <w:color w:val="0B0C0C"/>
          <w:sz w:val="24"/>
          <w:szCs w:val="24"/>
          <w:lang w:eastAsia="en-GB"/>
        </w:rPr>
      </w:pPr>
      <w:r w:rsidRPr="00944EB7">
        <w:rPr>
          <w:rFonts w:ascii="Arial" w:hAnsi="Arial" w:cs="Arial"/>
          <w:color w:val="0B0C0C"/>
          <w:sz w:val="24"/>
          <w:szCs w:val="24"/>
          <w:shd w:val="clear" w:color="auto" w:fill="FFFFFF"/>
        </w:rPr>
        <w:t xml:space="preserve">Tooth decay in young children is largely preventable. </w:t>
      </w:r>
      <w:r w:rsidR="00106B97" w:rsidRPr="00944EB7">
        <w:rPr>
          <w:rFonts w:ascii="Arial" w:hAnsi="Arial" w:cs="Arial"/>
          <w:color w:val="0B0C0C"/>
          <w:sz w:val="24"/>
          <w:szCs w:val="24"/>
          <w:shd w:val="clear" w:color="auto" w:fill="FFFFFF"/>
        </w:rPr>
        <w:t>It can lead to pain, infections and difficulties with eating, sleeping and social</w:t>
      </w:r>
      <w:r w:rsidR="00D90491" w:rsidRPr="00944EB7">
        <w:rPr>
          <w:rFonts w:ascii="Arial" w:hAnsi="Arial" w:cs="Arial"/>
          <w:color w:val="0B0C0C"/>
          <w:sz w:val="24"/>
          <w:szCs w:val="24"/>
          <w:shd w:val="clear" w:color="auto" w:fill="FFFFFF"/>
        </w:rPr>
        <w:t xml:space="preserve">ising. </w:t>
      </w:r>
      <w:r w:rsidR="00F011CF" w:rsidRPr="00944EB7">
        <w:rPr>
          <w:rFonts w:ascii="Arial" w:eastAsia="Times New Roman" w:hAnsi="Arial" w:cs="Arial"/>
          <w:color w:val="0B0C0C"/>
          <w:sz w:val="24"/>
          <w:szCs w:val="24"/>
          <w:lang w:eastAsia="en-GB"/>
        </w:rPr>
        <w:t>Oral health is an important aspect of a child’s overall health status and of their school readiness</w:t>
      </w:r>
      <w:r w:rsidR="002D18B5" w:rsidRPr="00944EB7">
        <w:rPr>
          <w:rFonts w:ascii="Arial" w:eastAsia="Times New Roman" w:hAnsi="Arial" w:cs="Arial"/>
          <w:color w:val="0B0C0C"/>
          <w:sz w:val="24"/>
          <w:szCs w:val="24"/>
          <w:lang w:eastAsia="en-GB"/>
        </w:rPr>
        <w:t>.</w:t>
      </w:r>
      <w:r w:rsidR="00822F03" w:rsidRPr="00944EB7">
        <w:rPr>
          <w:rFonts w:ascii="Arial" w:eastAsia="Times New Roman" w:hAnsi="Arial" w:cs="Arial"/>
          <w:color w:val="0B0C0C"/>
          <w:sz w:val="24"/>
          <w:szCs w:val="24"/>
          <w:lang w:eastAsia="en-GB"/>
        </w:rPr>
        <w:t xml:space="preserve"> It is seen </w:t>
      </w:r>
      <w:r w:rsidR="00E53ADF" w:rsidRPr="00944EB7">
        <w:rPr>
          <w:rFonts w:ascii="Arial" w:eastAsia="Times New Roman" w:hAnsi="Arial" w:cs="Arial"/>
          <w:color w:val="0B0C0C"/>
          <w:sz w:val="24"/>
          <w:szCs w:val="24"/>
          <w:lang w:eastAsia="en-GB"/>
        </w:rPr>
        <w:t xml:space="preserve">as a marker </w:t>
      </w:r>
      <w:r w:rsidR="004C285A" w:rsidRPr="00944EB7">
        <w:rPr>
          <w:rFonts w:ascii="Arial" w:eastAsia="Times New Roman" w:hAnsi="Arial" w:cs="Arial"/>
          <w:color w:val="0B0C0C"/>
          <w:sz w:val="24"/>
          <w:szCs w:val="24"/>
          <w:lang w:eastAsia="en-GB"/>
        </w:rPr>
        <w:t>of wider health and social care issues including poor nutrition and obesity.</w:t>
      </w:r>
      <w:r w:rsidR="007E5A40" w:rsidRPr="00944EB7">
        <w:rPr>
          <w:rStyle w:val="FootnoteReference"/>
          <w:rFonts w:ascii="Arial" w:eastAsia="Times New Roman" w:hAnsi="Arial" w:cs="Arial"/>
          <w:color w:val="0B0C0C"/>
          <w:sz w:val="24"/>
          <w:szCs w:val="24"/>
          <w:lang w:eastAsia="en-GB"/>
        </w:rPr>
        <w:footnoteReference w:id="21"/>
      </w:r>
    </w:p>
    <w:p w14:paraId="47B0EAE8" w14:textId="77777777" w:rsidR="00CA3DFE" w:rsidRPr="00944EB7" w:rsidRDefault="00CA3DFE" w:rsidP="00DC54F7">
      <w:pPr>
        <w:shd w:val="clear" w:color="auto" w:fill="FFFFFF"/>
        <w:spacing w:after="0" w:line="240" w:lineRule="auto"/>
        <w:jc w:val="both"/>
        <w:rPr>
          <w:rFonts w:ascii="Arial" w:hAnsi="Arial" w:cs="Arial"/>
          <w:sz w:val="24"/>
          <w:szCs w:val="24"/>
        </w:rPr>
      </w:pPr>
    </w:p>
    <w:p w14:paraId="4D147555" w14:textId="4C9ACCC7" w:rsidR="009F47D1" w:rsidRPr="00944EB7" w:rsidRDefault="008201DA" w:rsidP="00DC54F7">
      <w:pPr>
        <w:shd w:val="clear" w:color="auto" w:fill="FFFFFF"/>
        <w:spacing w:after="0" w:line="240" w:lineRule="auto"/>
        <w:jc w:val="both"/>
        <w:rPr>
          <w:rFonts w:ascii="Arial" w:hAnsi="Arial" w:cs="Arial"/>
          <w:sz w:val="24"/>
          <w:szCs w:val="24"/>
        </w:rPr>
      </w:pPr>
      <w:r w:rsidRPr="00944EB7">
        <w:rPr>
          <w:rFonts w:ascii="Arial" w:hAnsi="Arial" w:cs="Arial"/>
          <w:sz w:val="24"/>
          <w:szCs w:val="24"/>
        </w:rPr>
        <w:t>In Cardiff and Vale University Health Board (1.0), t</w:t>
      </w:r>
      <w:r w:rsidR="009F47D1" w:rsidRPr="00944EB7">
        <w:rPr>
          <w:rFonts w:ascii="Arial" w:hAnsi="Arial" w:cs="Arial"/>
          <w:sz w:val="24"/>
          <w:szCs w:val="24"/>
        </w:rPr>
        <w:t xml:space="preserve">he </w:t>
      </w:r>
      <w:r w:rsidR="00C90B06" w:rsidRPr="00944EB7">
        <w:rPr>
          <w:rFonts w:ascii="Arial" w:hAnsi="Arial" w:cs="Arial"/>
          <w:sz w:val="24"/>
          <w:szCs w:val="24"/>
        </w:rPr>
        <w:t>aver</w:t>
      </w:r>
      <w:r w:rsidRPr="00944EB7">
        <w:rPr>
          <w:rFonts w:ascii="Arial" w:hAnsi="Arial" w:cs="Arial"/>
          <w:sz w:val="24"/>
          <w:szCs w:val="24"/>
        </w:rPr>
        <w:t>age number</w:t>
      </w:r>
      <w:r w:rsidR="009F47D1" w:rsidRPr="00944EB7">
        <w:rPr>
          <w:rFonts w:ascii="Arial" w:hAnsi="Arial" w:cs="Arial"/>
          <w:sz w:val="24"/>
          <w:szCs w:val="24"/>
        </w:rPr>
        <w:t xml:space="preserve"> of </w:t>
      </w:r>
      <w:r w:rsidRPr="00944EB7">
        <w:rPr>
          <w:rFonts w:ascii="Arial" w:hAnsi="Arial" w:cs="Arial"/>
          <w:sz w:val="24"/>
          <w:szCs w:val="24"/>
        </w:rPr>
        <w:t xml:space="preserve">decayed, missing or filled teeth in children aged five years was </w:t>
      </w:r>
      <w:r w:rsidR="00CF026E" w:rsidRPr="00944EB7">
        <w:rPr>
          <w:rFonts w:ascii="Arial" w:hAnsi="Arial" w:cs="Arial"/>
          <w:sz w:val="24"/>
          <w:szCs w:val="24"/>
        </w:rPr>
        <w:t xml:space="preserve">significantly </w:t>
      </w:r>
      <w:r w:rsidR="00340CF3" w:rsidRPr="00944EB7">
        <w:rPr>
          <w:rFonts w:ascii="Arial" w:hAnsi="Arial" w:cs="Arial"/>
          <w:sz w:val="24"/>
          <w:szCs w:val="24"/>
        </w:rPr>
        <w:t xml:space="preserve">lower </w:t>
      </w:r>
      <w:r w:rsidR="00F95718" w:rsidRPr="00944EB7">
        <w:rPr>
          <w:rFonts w:ascii="Arial" w:hAnsi="Arial" w:cs="Arial"/>
          <w:sz w:val="24"/>
          <w:szCs w:val="24"/>
        </w:rPr>
        <w:t>than the average for Wales</w:t>
      </w:r>
      <w:r w:rsidR="0090036D" w:rsidRPr="00944EB7">
        <w:rPr>
          <w:rFonts w:ascii="Arial" w:hAnsi="Arial" w:cs="Arial"/>
          <w:sz w:val="24"/>
          <w:szCs w:val="24"/>
        </w:rPr>
        <w:t xml:space="preserve"> (1.2)</w:t>
      </w:r>
      <w:r w:rsidR="004C30A8" w:rsidRPr="00944EB7">
        <w:rPr>
          <w:rFonts w:ascii="Arial" w:hAnsi="Arial" w:cs="Arial"/>
          <w:sz w:val="24"/>
          <w:szCs w:val="24"/>
        </w:rPr>
        <w:t>. T</w:t>
      </w:r>
      <w:r w:rsidR="00340CF3" w:rsidRPr="00944EB7">
        <w:rPr>
          <w:rFonts w:ascii="Arial" w:hAnsi="Arial" w:cs="Arial"/>
          <w:sz w:val="24"/>
          <w:szCs w:val="24"/>
        </w:rPr>
        <w:t>he Vale of Glamorgan</w:t>
      </w:r>
      <w:r w:rsidR="00DC5098" w:rsidRPr="00944EB7">
        <w:rPr>
          <w:rFonts w:ascii="Arial" w:hAnsi="Arial" w:cs="Arial"/>
          <w:sz w:val="24"/>
          <w:szCs w:val="24"/>
        </w:rPr>
        <w:t xml:space="preserve"> </w:t>
      </w:r>
      <w:r w:rsidR="002515CB" w:rsidRPr="00944EB7">
        <w:rPr>
          <w:rFonts w:ascii="Arial" w:hAnsi="Arial" w:cs="Arial"/>
          <w:sz w:val="24"/>
          <w:szCs w:val="24"/>
        </w:rPr>
        <w:t>(0.5)</w:t>
      </w:r>
      <w:r w:rsidR="00340CF3" w:rsidRPr="00944EB7">
        <w:rPr>
          <w:rFonts w:ascii="Arial" w:hAnsi="Arial" w:cs="Arial"/>
          <w:sz w:val="24"/>
          <w:szCs w:val="24"/>
        </w:rPr>
        <w:t xml:space="preserve"> </w:t>
      </w:r>
      <w:r w:rsidR="00DC5098" w:rsidRPr="00944EB7">
        <w:rPr>
          <w:rFonts w:ascii="Arial" w:hAnsi="Arial" w:cs="Arial"/>
          <w:sz w:val="24"/>
          <w:szCs w:val="24"/>
        </w:rPr>
        <w:t xml:space="preserve">was </w:t>
      </w:r>
      <w:r w:rsidR="003A1F46" w:rsidRPr="00944EB7">
        <w:rPr>
          <w:rFonts w:ascii="Arial" w:hAnsi="Arial" w:cs="Arial"/>
          <w:sz w:val="24"/>
          <w:szCs w:val="24"/>
        </w:rPr>
        <w:t xml:space="preserve">also </w:t>
      </w:r>
      <w:r w:rsidR="00DC5098" w:rsidRPr="00944EB7">
        <w:rPr>
          <w:rFonts w:ascii="Arial" w:hAnsi="Arial" w:cs="Arial"/>
          <w:sz w:val="24"/>
          <w:szCs w:val="24"/>
        </w:rPr>
        <w:t xml:space="preserve">significantly lower and </w:t>
      </w:r>
      <w:r w:rsidR="00B06910" w:rsidRPr="00944EB7">
        <w:rPr>
          <w:rFonts w:ascii="Arial" w:hAnsi="Arial" w:cs="Arial"/>
          <w:sz w:val="24"/>
          <w:szCs w:val="24"/>
        </w:rPr>
        <w:lastRenderedPageBreak/>
        <w:t xml:space="preserve">had </w:t>
      </w:r>
      <w:r w:rsidR="00357579" w:rsidRPr="00944EB7">
        <w:rPr>
          <w:rFonts w:ascii="Arial" w:hAnsi="Arial" w:cs="Arial"/>
          <w:sz w:val="24"/>
          <w:szCs w:val="24"/>
        </w:rPr>
        <w:t xml:space="preserve">the </w:t>
      </w:r>
      <w:r w:rsidR="00CA3DFE" w:rsidRPr="00944EB7">
        <w:rPr>
          <w:rFonts w:ascii="Arial" w:hAnsi="Arial" w:cs="Arial"/>
          <w:sz w:val="24"/>
          <w:szCs w:val="24"/>
        </w:rPr>
        <w:t xml:space="preserve">lowest </w:t>
      </w:r>
      <w:r w:rsidR="00B06910" w:rsidRPr="00944EB7">
        <w:rPr>
          <w:rFonts w:ascii="Arial" w:hAnsi="Arial" w:cs="Arial"/>
          <w:sz w:val="24"/>
          <w:szCs w:val="24"/>
        </w:rPr>
        <w:t xml:space="preserve">average number of decayed, missing or filled teeth in children aged five years </w:t>
      </w:r>
      <w:r w:rsidR="00CA3DFE" w:rsidRPr="00944EB7">
        <w:rPr>
          <w:rFonts w:ascii="Arial" w:hAnsi="Arial" w:cs="Arial"/>
          <w:sz w:val="24"/>
          <w:szCs w:val="24"/>
        </w:rPr>
        <w:t xml:space="preserve">of all </w:t>
      </w:r>
      <w:r w:rsidR="00567F4B" w:rsidRPr="00944EB7">
        <w:rPr>
          <w:rFonts w:ascii="Arial" w:hAnsi="Arial" w:cs="Arial"/>
          <w:sz w:val="24"/>
          <w:szCs w:val="24"/>
        </w:rPr>
        <w:t>local</w:t>
      </w:r>
      <w:r w:rsidR="00CA3DFE" w:rsidRPr="00944EB7">
        <w:rPr>
          <w:rFonts w:ascii="Arial" w:hAnsi="Arial" w:cs="Arial"/>
          <w:sz w:val="24"/>
          <w:szCs w:val="24"/>
        </w:rPr>
        <w:t xml:space="preserve"> authorities.</w:t>
      </w:r>
    </w:p>
    <w:p w14:paraId="2130B853" w14:textId="77777777" w:rsidR="00BB4EE0" w:rsidRDefault="00BB4EE0" w:rsidP="00DC54F7">
      <w:pPr>
        <w:pStyle w:val="Caption"/>
        <w:spacing w:before="0" w:after="0"/>
        <w:jc w:val="both"/>
        <w:rPr>
          <w:rFonts w:ascii="Arial" w:hAnsi="Arial" w:cs="Arial"/>
          <w:sz w:val="22"/>
          <w:szCs w:val="22"/>
        </w:rPr>
      </w:pPr>
      <w:bookmarkStart w:id="16" w:name="_Toc60225145"/>
    </w:p>
    <w:p w14:paraId="6A8E1E21" w14:textId="77BCCDD1" w:rsidR="00B30827" w:rsidRPr="00944EB7" w:rsidRDefault="00B30827" w:rsidP="00DC54F7">
      <w:pPr>
        <w:pStyle w:val="Caption"/>
        <w:spacing w:before="0" w:after="0"/>
        <w:jc w:val="both"/>
        <w:rPr>
          <w:rFonts w:ascii="Arial" w:hAnsi="Arial" w:cs="Arial"/>
          <w:szCs w:val="24"/>
        </w:rPr>
      </w:pPr>
      <w:r w:rsidRPr="00944EB7">
        <w:rPr>
          <w:rFonts w:ascii="Arial" w:hAnsi="Arial" w:cs="Arial"/>
          <w:szCs w:val="24"/>
        </w:rPr>
        <w:t>Table</w:t>
      </w:r>
      <w:r w:rsidR="00F22702" w:rsidRPr="00944EB7">
        <w:rPr>
          <w:rFonts w:ascii="Arial" w:hAnsi="Arial" w:cs="Arial"/>
          <w:szCs w:val="24"/>
        </w:rPr>
        <w:t xml:space="preserve"> 3.14</w:t>
      </w:r>
      <w:r w:rsidRPr="00944EB7">
        <w:rPr>
          <w:rFonts w:ascii="Arial" w:hAnsi="Arial" w:cs="Arial"/>
          <w:szCs w:val="24"/>
        </w:rPr>
        <w:t xml:space="preserve">: </w:t>
      </w:r>
      <w:r w:rsidR="007045D7" w:rsidRPr="00944EB7">
        <w:rPr>
          <w:rFonts w:ascii="Arial" w:hAnsi="Arial" w:cs="Arial"/>
          <w:szCs w:val="24"/>
        </w:rPr>
        <w:t>The average number of decayed, missing or filled te</w:t>
      </w:r>
      <w:r w:rsidR="00BE6FC4" w:rsidRPr="00944EB7">
        <w:rPr>
          <w:rFonts w:ascii="Arial" w:hAnsi="Arial" w:cs="Arial"/>
          <w:szCs w:val="24"/>
        </w:rPr>
        <w:t xml:space="preserve">eth in children aged five years, </w:t>
      </w:r>
      <w:r w:rsidRPr="00944EB7">
        <w:rPr>
          <w:rFonts w:ascii="Arial" w:hAnsi="Arial" w:cs="Arial"/>
          <w:szCs w:val="24"/>
        </w:rPr>
        <w:t xml:space="preserve">by </w:t>
      </w:r>
      <w:r w:rsidR="00567F4B" w:rsidRPr="00944EB7">
        <w:rPr>
          <w:rFonts w:ascii="Arial" w:hAnsi="Arial" w:cs="Arial"/>
          <w:szCs w:val="24"/>
        </w:rPr>
        <w:t>local</w:t>
      </w:r>
      <w:r w:rsidRPr="00944EB7">
        <w:rPr>
          <w:rFonts w:ascii="Arial" w:hAnsi="Arial" w:cs="Arial"/>
          <w:szCs w:val="24"/>
        </w:rPr>
        <w:t xml:space="preserve"> authority</w:t>
      </w:r>
      <w:r w:rsidR="00C3321B" w:rsidRPr="00944EB7">
        <w:rPr>
          <w:rFonts w:ascii="Arial" w:hAnsi="Arial" w:cs="Arial"/>
          <w:szCs w:val="24"/>
        </w:rPr>
        <w:t>, health</w:t>
      </w:r>
      <w:r w:rsidRPr="00944EB7">
        <w:rPr>
          <w:rFonts w:ascii="Arial" w:hAnsi="Arial" w:cs="Arial"/>
          <w:szCs w:val="24"/>
        </w:rPr>
        <w:t xml:space="preserve"> board and Wales, 201</w:t>
      </w:r>
      <w:bookmarkEnd w:id="16"/>
      <w:r w:rsidR="00DB6FDD" w:rsidRPr="00944EB7">
        <w:rPr>
          <w:rFonts w:ascii="Arial" w:hAnsi="Arial" w:cs="Arial"/>
          <w:szCs w:val="24"/>
        </w:rPr>
        <w:t>5 to 2016</w:t>
      </w:r>
    </w:p>
    <w:tbl>
      <w:tblPr>
        <w:tblW w:w="939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819"/>
        <w:gridCol w:w="6577"/>
      </w:tblGrid>
      <w:tr w:rsidR="00131E65" w:rsidRPr="00131E65" w14:paraId="30834B8C" w14:textId="77777777" w:rsidTr="00BB4EE0">
        <w:trPr>
          <w:trHeight w:val="314"/>
        </w:trPr>
        <w:tc>
          <w:tcPr>
            <w:tcW w:w="2819" w:type="dxa"/>
            <w:shd w:val="clear" w:color="000000" w:fill="8497B0"/>
            <w:noWrap/>
            <w:vAlign w:val="bottom"/>
            <w:hideMark/>
          </w:tcPr>
          <w:p w14:paraId="5A1E30DE" w14:textId="77777777" w:rsidR="00131E65" w:rsidRPr="00131E65" w:rsidRDefault="00131E65" w:rsidP="00DC54F7">
            <w:pPr>
              <w:spacing w:after="0" w:line="240" w:lineRule="auto"/>
              <w:jc w:val="both"/>
              <w:rPr>
                <w:rFonts w:ascii="Calibri" w:eastAsia="Times New Roman" w:hAnsi="Calibri" w:cs="Calibri"/>
                <w:b/>
                <w:bCs/>
                <w:color w:val="FFFFFF"/>
                <w:lang w:eastAsia="en-GB"/>
              </w:rPr>
            </w:pPr>
            <w:r w:rsidRPr="00131E65">
              <w:rPr>
                <w:rFonts w:ascii="Calibri" w:eastAsia="Times New Roman" w:hAnsi="Calibri" w:cs="Calibri"/>
                <w:b/>
                <w:bCs/>
                <w:color w:val="FFFFFF"/>
                <w:lang w:eastAsia="en-GB"/>
              </w:rPr>
              <w:t>Area</w:t>
            </w:r>
          </w:p>
        </w:tc>
        <w:tc>
          <w:tcPr>
            <w:tcW w:w="6577" w:type="dxa"/>
            <w:shd w:val="clear" w:color="000000" w:fill="8497B0"/>
            <w:noWrap/>
            <w:vAlign w:val="bottom"/>
            <w:hideMark/>
          </w:tcPr>
          <w:p w14:paraId="53459C20" w14:textId="3F334070" w:rsidR="00131E65" w:rsidRPr="00131E65" w:rsidRDefault="00BE6FC4" w:rsidP="00DC54F7">
            <w:pPr>
              <w:spacing w:after="0" w:line="240" w:lineRule="auto"/>
              <w:jc w:val="both"/>
              <w:rPr>
                <w:rFonts w:ascii="Calibri" w:eastAsia="Times New Roman" w:hAnsi="Calibri" w:cs="Calibri"/>
                <w:b/>
                <w:bCs/>
                <w:color w:val="FFFFFF"/>
                <w:lang w:eastAsia="en-GB"/>
              </w:rPr>
            </w:pPr>
            <w:r>
              <w:rPr>
                <w:rFonts w:ascii="Calibri" w:eastAsia="Times New Roman" w:hAnsi="Calibri" w:cs="Calibri"/>
                <w:b/>
                <w:bCs/>
                <w:color w:val="FFFFFF"/>
                <w:lang w:eastAsia="en-GB"/>
              </w:rPr>
              <w:t xml:space="preserve">Average number of decayed, missing or filled teeth </w:t>
            </w:r>
            <w:r w:rsidR="00752A5D">
              <w:rPr>
                <w:rFonts w:ascii="Calibri" w:eastAsia="Times New Roman" w:hAnsi="Calibri" w:cs="Calibri"/>
                <w:b/>
                <w:bCs/>
                <w:color w:val="FFFFFF"/>
                <w:lang w:eastAsia="en-GB"/>
              </w:rPr>
              <w:t>in 5 year olds</w:t>
            </w:r>
          </w:p>
        </w:tc>
      </w:tr>
      <w:tr w:rsidR="00131E65" w:rsidRPr="00131E65" w14:paraId="14EB0AE9" w14:textId="77777777" w:rsidTr="00BB4EE0">
        <w:trPr>
          <w:trHeight w:val="314"/>
        </w:trPr>
        <w:tc>
          <w:tcPr>
            <w:tcW w:w="2819" w:type="dxa"/>
            <w:shd w:val="clear" w:color="EDEDED" w:fill="EDEDED"/>
            <w:noWrap/>
            <w:vAlign w:val="bottom"/>
            <w:hideMark/>
          </w:tcPr>
          <w:p w14:paraId="37F5FE1F" w14:textId="77777777" w:rsidR="00131E65" w:rsidRPr="00131E65" w:rsidRDefault="00131E65" w:rsidP="00DC54F7">
            <w:pPr>
              <w:spacing w:after="0" w:line="240" w:lineRule="auto"/>
              <w:jc w:val="both"/>
              <w:rPr>
                <w:rFonts w:ascii="Calibri" w:eastAsia="Times New Roman" w:hAnsi="Calibri" w:cs="Calibri"/>
                <w:color w:val="000000"/>
                <w:lang w:eastAsia="en-GB"/>
              </w:rPr>
            </w:pPr>
            <w:r w:rsidRPr="00131E65">
              <w:rPr>
                <w:rFonts w:ascii="Calibri" w:eastAsia="Times New Roman" w:hAnsi="Calibri" w:cs="Calibri"/>
                <w:color w:val="000000"/>
                <w:lang w:eastAsia="en-GB"/>
              </w:rPr>
              <w:t>Cardiff</w:t>
            </w:r>
          </w:p>
        </w:tc>
        <w:tc>
          <w:tcPr>
            <w:tcW w:w="6577" w:type="dxa"/>
            <w:shd w:val="clear" w:color="EDEDED" w:fill="EDEDED"/>
            <w:noWrap/>
            <w:vAlign w:val="bottom"/>
            <w:hideMark/>
          </w:tcPr>
          <w:p w14:paraId="7322B0F1" w14:textId="77777777" w:rsidR="00131E65" w:rsidRPr="00131E65" w:rsidRDefault="00131E65" w:rsidP="00DC54F7">
            <w:pPr>
              <w:spacing w:after="0" w:line="240" w:lineRule="auto"/>
              <w:jc w:val="both"/>
              <w:rPr>
                <w:rFonts w:ascii="Calibri" w:eastAsia="Times New Roman" w:hAnsi="Calibri" w:cs="Calibri"/>
                <w:color w:val="000000"/>
                <w:lang w:eastAsia="en-GB"/>
              </w:rPr>
            </w:pPr>
            <w:r w:rsidRPr="00131E65">
              <w:rPr>
                <w:rFonts w:ascii="Calibri" w:eastAsia="Times New Roman" w:hAnsi="Calibri" w:cs="Calibri"/>
                <w:color w:val="000000"/>
                <w:lang w:eastAsia="en-GB"/>
              </w:rPr>
              <w:t>1.1</w:t>
            </w:r>
          </w:p>
        </w:tc>
      </w:tr>
      <w:tr w:rsidR="00131E65" w:rsidRPr="00131E65" w14:paraId="3488CA8E" w14:textId="77777777" w:rsidTr="00BB4EE0">
        <w:trPr>
          <w:trHeight w:val="314"/>
        </w:trPr>
        <w:tc>
          <w:tcPr>
            <w:tcW w:w="2819" w:type="dxa"/>
            <w:shd w:val="clear" w:color="auto" w:fill="auto"/>
            <w:noWrap/>
            <w:vAlign w:val="bottom"/>
            <w:hideMark/>
          </w:tcPr>
          <w:p w14:paraId="180E3BC7" w14:textId="77777777" w:rsidR="00131E65" w:rsidRPr="00131E65" w:rsidRDefault="00131E65" w:rsidP="00DC54F7">
            <w:pPr>
              <w:spacing w:after="0" w:line="240" w:lineRule="auto"/>
              <w:jc w:val="both"/>
              <w:rPr>
                <w:rFonts w:ascii="Calibri" w:eastAsia="Times New Roman" w:hAnsi="Calibri" w:cs="Calibri"/>
                <w:color w:val="000000"/>
                <w:lang w:eastAsia="en-GB"/>
              </w:rPr>
            </w:pPr>
            <w:r w:rsidRPr="00131E65">
              <w:rPr>
                <w:rFonts w:ascii="Calibri" w:eastAsia="Times New Roman" w:hAnsi="Calibri" w:cs="Calibri"/>
                <w:color w:val="000000"/>
                <w:lang w:eastAsia="en-GB"/>
              </w:rPr>
              <w:t>Vale of Glamorgan</w:t>
            </w:r>
          </w:p>
        </w:tc>
        <w:tc>
          <w:tcPr>
            <w:tcW w:w="6577" w:type="dxa"/>
            <w:shd w:val="clear" w:color="auto" w:fill="auto"/>
            <w:noWrap/>
            <w:vAlign w:val="bottom"/>
            <w:hideMark/>
          </w:tcPr>
          <w:p w14:paraId="7517FE6E" w14:textId="77777777" w:rsidR="00131E65" w:rsidRPr="00131E65" w:rsidRDefault="00131E65" w:rsidP="00DC54F7">
            <w:pPr>
              <w:spacing w:after="0" w:line="240" w:lineRule="auto"/>
              <w:jc w:val="both"/>
              <w:rPr>
                <w:rFonts w:ascii="Calibri" w:eastAsia="Times New Roman" w:hAnsi="Calibri" w:cs="Calibri"/>
                <w:color w:val="000000"/>
                <w:lang w:eastAsia="en-GB"/>
              </w:rPr>
            </w:pPr>
            <w:r w:rsidRPr="00131E65">
              <w:rPr>
                <w:rFonts w:ascii="Calibri" w:eastAsia="Times New Roman" w:hAnsi="Calibri" w:cs="Calibri"/>
                <w:color w:val="000000"/>
                <w:lang w:eastAsia="en-GB"/>
              </w:rPr>
              <w:t>0.5</w:t>
            </w:r>
          </w:p>
        </w:tc>
      </w:tr>
      <w:tr w:rsidR="00131E65" w:rsidRPr="00131E65" w14:paraId="14D1572C" w14:textId="77777777" w:rsidTr="00BB4EE0">
        <w:trPr>
          <w:trHeight w:val="314"/>
        </w:trPr>
        <w:tc>
          <w:tcPr>
            <w:tcW w:w="2819" w:type="dxa"/>
            <w:shd w:val="clear" w:color="EDEDED" w:fill="EDEDED"/>
            <w:noWrap/>
            <w:vAlign w:val="bottom"/>
            <w:hideMark/>
          </w:tcPr>
          <w:p w14:paraId="7ECF8884" w14:textId="77777777" w:rsidR="00131E65" w:rsidRPr="00131E65" w:rsidRDefault="00131E65" w:rsidP="00DC54F7">
            <w:pPr>
              <w:spacing w:after="0" w:line="240" w:lineRule="auto"/>
              <w:jc w:val="both"/>
              <w:rPr>
                <w:rFonts w:ascii="Calibri" w:eastAsia="Times New Roman" w:hAnsi="Calibri" w:cs="Calibri"/>
                <w:color w:val="000000"/>
                <w:lang w:eastAsia="en-GB"/>
              </w:rPr>
            </w:pPr>
            <w:r w:rsidRPr="00131E65">
              <w:rPr>
                <w:rFonts w:ascii="Calibri" w:eastAsia="Times New Roman" w:hAnsi="Calibri" w:cs="Calibri"/>
                <w:color w:val="000000"/>
                <w:lang w:eastAsia="en-GB"/>
              </w:rPr>
              <w:t>Cardiff and Vale UHB</w:t>
            </w:r>
          </w:p>
        </w:tc>
        <w:tc>
          <w:tcPr>
            <w:tcW w:w="6577" w:type="dxa"/>
            <w:shd w:val="clear" w:color="EDEDED" w:fill="EDEDED"/>
            <w:noWrap/>
            <w:vAlign w:val="bottom"/>
            <w:hideMark/>
          </w:tcPr>
          <w:p w14:paraId="7AB53579" w14:textId="5EA03667" w:rsidR="00131E65" w:rsidRPr="00131E65" w:rsidRDefault="00131E65" w:rsidP="00DC54F7">
            <w:pPr>
              <w:spacing w:after="0" w:line="240" w:lineRule="auto"/>
              <w:jc w:val="both"/>
              <w:rPr>
                <w:rFonts w:ascii="Calibri" w:eastAsia="Times New Roman" w:hAnsi="Calibri" w:cs="Calibri"/>
                <w:color w:val="000000"/>
                <w:lang w:eastAsia="en-GB"/>
              </w:rPr>
            </w:pPr>
            <w:r w:rsidRPr="00131E65">
              <w:rPr>
                <w:rFonts w:ascii="Calibri" w:eastAsia="Times New Roman" w:hAnsi="Calibri" w:cs="Calibri"/>
                <w:color w:val="000000"/>
                <w:lang w:eastAsia="en-GB"/>
              </w:rPr>
              <w:t>1</w:t>
            </w:r>
            <w:r w:rsidR="00CD07DC">
              <w:rPr>
                <w:rFonts w:ascii="Calibri" w:eastAsia="Times New Roman" w:hAnsi="Calibri" w:cs="Calibri"/>
                <w:color w:val="000000"/>
                <w:lang w:eastAsia="en-GB"/>
              </w:rPr>
              <w:t>.0</w:t>
            </w:r>
          </w:p>
        </w:tc>
      </w:tr>
      <w:tr w:rsidR="00131E65" w:rsidRPr="00131E65" w14:paraId="591B7CD9" w14:textId="77777777" w:rsidTr="00BB4EE0">
        <w:trPr>
          <w:trHeight w:val="314"/>
        </w:trPr>
        <w:tc>
          <w:tcPr>
            <w:tcW w:w="2819" w:type="dxa"/>
            <w:shd w:val="clear" w:color="auto" w:fill="auto"/>
            <w:noWrap/>
            <w:vAlign w:val="bottom"/>
            <w:hideMark/>
          </w:tcPr>
          <w:p w14:paraId="3E0A0255" w14:textId="77777777" w:rsidR="00131E65" w:rsidRPr="00131E65" w:rsidRDefault="00131E65" w:rsidP="00DC54F7">
            <w:pPr>
              <w:spacing w:after="0" w:line="240" w:lineRule="auto"/>
              <w:jc w:val="both"/>
              <w:rPr>
                <w:rFonts w:ascii="Calibri" w:eastAsia="Times New Roman" w:hAnsi="Calibri" w:cs="Calibri"/>
                <w:color w:val="000000"/>
                <w:lang w:eastAsia="en-GB"/>
              </w:rPr>
            </w:pPr>
            <w:r w:rsidRPr="00131E65">
              <w:rPr>
                <w:rFonts w:ascii="Calibri" w:eastAsia="Times New Roman" w:hAnsi="Calibri" w:cs="Calibri"/>
                <w:color w:val="000000"/>
                <w:lang w:eastAsia="en-GB"/>
              </w:rPr>
              <w:t>Wales</w:t>
            </w:r>
          </w:p>
        </w:tc>
        <w:tc>
          <w:tcPr>
            <w:tcW w:w="6577" w:type="dxa"/>
            <w:shd w:val="clear" w:color="auto" w:fill="auto"/>
            <w:noWrap/>
            <w:vAlign w:val="bottom"/>
            <w:hideMark/>
          </w:tcPr>
          <w:p w14:paraId="21085E6F" w14:textId="77777777" w:rsidR="00131E65" w:rsidRPr="00131E65" w:rsidRDefault="00131E65" w:rsidP="00DC54F7">
            <w:pPr>
              <w:spacing w:after="0" w:line="240" w:lineRule="auto"/>
              <w:jc w:val="both"/>
              <w:rPr>
                <w:rFonts w:ascii="Calibri" w:eastAsia="Times New Roman" w:hAnsi="Calibri" w:cs="Calibri"/>
                <w:color w:val="000000"/>
                <w:lang w:eastAsia="en-GB"/>
              </w:rPr>
            </w:pPr>
            <w:r w:rsidRPr="00131E65">
              <w:rPr>
                <w:rFonts w:ascii="Calibri" w:eastAsia="Times New Roman" w:hAnsi="Calibri" w:cs="Calibri"/>
                <w:color w:val="000000"/>
                <w:lang w:eastAsia="en-GB"/>
              </w:rPr>
              <w:t>1.2</w:t>
            </w:r>
          </w:p>
        </w:tc>
      </w:tr>
    </w:tbl>
    <w:p w14:paraId="741BA601" w14:textId="64BF937B" w:rsidR="00131E65" w:rsidRPr="00944EB7" w:rsidRDefault="00B30827" w:rsidP="00DC54F7">
      <w:pPr>
        <w:spacing w:after="0" w:line="240" w:lineRule="auto"/>
        <w:jc w:val="both"/>
        <w:rPr>
          <w:rFonts w:ascii="Arial" w:hAnsi="Arial" w:cs="Arial"/>
          <w:sz w:val="20"/>
          <w:szCs w:val="20"/>
        </w:rPr>
      </w:pPr>
      <w:r w:rsidRPr="00944EB7">
        <w:rPr>
          <w:rFonts w:ascii="Arial" w:hAnsi="Arial" w:cs="Arial"/>
          <w:sz w:val="20"/>
          <w:szCs w:val="20"/>
        </w:rPr>
        <w:t>Source: Public Health Observatory Wales</w:t>
      </w:r>
    </w:p>
    <w:p w14:paraId="71591AB4" w14:textId="77777777" w:rsidR="00944EB7" w:rsidRDefault="00944EB7" w:rsidP="00DC54F7">
      <w:pPr>
        <w:spacing w:after="0" w:line="240" w:lineRule="auto"/>
        <w:jc w:val="both"/>
        <w:rPr>
          <w:rFonts w:ascii="Arial" w:hAnsi="Arial" w:cs="Arial"/>
          <w:b/>
          <w:sz w:val="26"/>
          <w:szCs w:val="26"/>
        </w:rPr>
      </w:pPr>
    </w:p>
    <w:p w14:paraId="139B856B" w14:textId="77777777" w:rsidR="00944EB7" w:rsidRDefault="00944EB7" w:rsidP="00DC54F7">
      <w:pPr>
        <w:spacing w:after="0" w:line="240" w:lineRule="auto"/>
        <w:jc w:val="both"/>
        <w:rPr>
          <w:rFonts w:ascii="Arial" w:hAnsi="Arial" w:cs="Arial"/>
          <w:b/>
          <w:sz w:val="26"/>
          <w:szCs w:val="26"/>
        </w:rPr>
      </w:pPr>
    </w:p>
    <w:p w14:paraId="7AD6055B" w14:textId="36EF5729" w:rsidR="00991EEF" w:rsidRDefault="00991EEF" w:rsidP="00DC54F7">
      <w:pPr>
        <w:spacing w:after="0" w:line="240" w:lineRule="auto"/>
        <w:jc w:val="both"/>
        <w:rPr>
          <w:rFonts w:ascii="Arial" w:hAnsi="Arial" w:cs="Arial"/>
          <w:b/>
          <w:sz w:val="24"/>
          <w:szCs w:val="24"/>
        </w:rPr>
      </w:pPr>
      <w:r w:rsidRPr="00944EB7">
        <w:rPr>
          <w:rFonts w:ascii="Arial" w:hAnsi="Arial" w:cs="Arial"/>
          <w:b/>
          <w:sz w:val="24"/>
          <w:szCs w:val="24"/>
        </w:rPr>
        <w:t>3.</w:t>
      </w:r>
      <w:r w:rsidR="00E61D85" w:rsidRPr="00944EB7">
        <w:rPr>
          <w:rFonts w:ascii="Arial" w:hAnsi="Arial" w:cs="Arial"/>
          <w:b/>
          <w:sz w:val="24"/>
          <w:szCs w:val="24"/>
        </w:rPr>
        <w:t>3.5</w:t>
      </w:r>
      <w:r w:rsidRPr="00944EB7">
        <w:rPr>
          <w:rFonts w:ascii="Arial" w:hAnsi="Arial" w:cs="Arial"/>
          <w:b/>
          <w:sz w:val="24"/>
          <w:szCs w:val="24"/>
        </w:rPr>
        <w:t xml:space="preserve"> Sexual health</w:t>
      </w:r>
    </w:p>
    <w:p w14:paraId="16EF8DBF" w14:textId="77777777" w:rsidR="00944EB7" w:rsidRPr="00944EB7" w:rsidRDefault="00944EB7" w:rsidP="00DC54F7">
      <w:pPr>
        <w:spacing w:after="0" w:line="240" w:lineRule="auto"/>
        <w:jc w:val="both"/>
        <w:rPr>
          <w:rFonts w:ascii="Arial" w:hAnsi="Arial" w:cs="Arial"/>
          <w:b/>
          <w:sz w:val="24"/>
          <w:szCs w:val="24"/>
        </w:rPr>
      </w:pPr>
    </w:p>
    <w:p w14:paraId="7F988052" w14:textId="02B0044A" w:rsidR="00991EEF" w:rsidRDefault="00991EEF" w:rsidP="00DC54F7">
      <w:pPr>
        <w:pStyle w:val="NoSpacing"/>
        <w:rPr>
          <w:rFonts w:ascii="Arial" w:hAnsi="Arial" w:cs="Arial"/>
          <w:szCs w:val="24"/>
        </w:rPr>
      </w:pPr>
      <w:r w:rsidRPr="00944EB7">
        <w:rPr>
          <w:rFonts w:ascii="Arial" w:hAnsi="Arial" w:cs="Arial"/>
          <w:szCs w:val="24"/>
        </w:rPr>
        <w:t>In 2018, the teenage pregnancy rate in Cardiff was 19.2 conceptions per 1,000 females under 18</w:t>
      </w:r>
      <w:r w:rsidR="00CB7518" w:rsidRPr="00944EB7">
        <w:rPr>
          <w:rFonts w:ascii="Arial" w:hAnsi="Arial" w:cs="Arial"/>
          <w:szCs w:val="24"/>
        </w:rPr>
        <w:t xml:space="preserve"> years</w:t>
      </w:r>
      <w:r w:rsidRPr="00944EB7">
        <w:rPr>
          <w:rFonts w:ascii="Arial" w:hAnsi="Arial" w:cs="Arial"/>
          <w:szCs w:val="24"/>
        </w:rPr>
        <w:t xml:space="preserve">. This is higher than the teenage pregnancy rate for </w:t>
      </w:r>
      <w:r w:rsidR="00345059" w:rsidRPr="00944EB7">
        <w:rPr>
          <w:rFonts w:ascii="Arial" w:hAnsi="Arial" w:cs="Arial"/>
          <w:szCs w:val="24"/>
        </w:rPr>
        <w:t xml:space="preserve">the </w:t>
      </w:r>
      <w:r w:rsidRPr="00944EB7">
        <w:rPr>
          <w:rFonts w:ascii="Arial" w:hAnsi="Arial" w:cs="Arial"/>
          <w:szCs w:val="24"/>
        </w:rPr>
        <w:t>Vale of Glamorgan (13.3 conceptions per 1,000 females under 18</w:t>
      </w:r>
      <w:r w:rsidR="00345059" w:rsidRPr="00944EB7">
        <w:rPr>
          <w:rFonts w:ascii="Arial" w:hAnsi="Arial" w:cs="Arial"/>
          <w:szCs w:val="24"/>
        </w:rPr>
        <w:t xml:space="preserve"> years</w:t>
      </w:r>
      <w:r w:rsidRPr="00944EB7">
        <w:rPr>
          <w:rFonts w:ascii="Arial" w:hAnsi="Arial" w:cs="Arial"/>
          <w:szCs w:val="24"/>
        </w:rPr>
        <w:t>) and Wales (18.9 conceptions per 1,000 females under 18</w:t>
      </w:r>
      <w:r w:rsidR="00D5715E" w:rsidRPr="00944EB7">
        <w:rPr>
          <w:rFonts w:ascii="Arial" w:hAnsi="Arial" w:cs="Arial"/>
          <w:szCs w:val="24"/>
        </w:rPr>
        <w:t xml:space="preserve"> years</w:t>
      </w:r>
      <w:r w:rsidRPr="00944EB7">
        <w:rPr>
          <w:rFonts w:ascii="Arial" w:hAnsi="Arial" w:cs="Arial"/>
          <w:szCs w:val="24"/>
        </w:rPr>
        <w:t xml:space="preserve">). </w:t>
      </w:r>
    </w:p>
    <w:p w14:paraId="35A13691" w14:textId="77777777" w:rsidR="00944EB7" w:rsidRPr="00944EB7" w:rsidRDefault="00944EB7" w:rsidP="00DC54F7">
      <w:pPr>
        <w:pStyle w:val="NoSpacing"/>
        <w:rPr>
          <w:rFonts w:ascii="Arial" w:hAnsi="Arial" w:cs="Arial"/>
          <w:szCs w:val="24"/>
        </w:rPr>
      </w:pPr>
    </w:p>
    <w:p w14:paraId="187FCB31" w14:textId="6CAB5EF1" w:rsidR="00991EEF" w:rsidRPr="00944EB7" w:rsidRDefault="00991EEF" w:rsidP="00DC54F7">
      <w:pPr>
        <w:pStyle w:val="Caption"/>
        <w:spacing w:before="0" w:after="0"/>
        <w:jc w:val="both"/>
        <w:rPr>
          <w:rFonts w:ascii="Arial" w:hAnsi="Arial" w:cs="Arial"/>
          <w:szCs w:val="24"/>
        </w:rPr>
      </w:pPr>
      <w:bookmarkStart w:id="17" w:name="_Toc60225144"/>
      <w:r w:rsidRPr="00944EB7">
        <w:rPr>
          <w:rFonts w:ascii="Arial" w:hAnsi="Arial" w:cs="Arial"/>
          <w:szCs w:val="24"/>
        </w:rPr>
        <w:t>Table</w:t>
      </w:r>
      <w:r w:rsidR="00F22702" w:rsidRPr="00944EB7">
        <w:rPr>
          <w:rFonts w:ascii="Arial" w:hAnsi="Arial" w:cs="Arial"/>
          <w:szCs w:val="24"/>
        </w:rPr>
        <w:t xml:space="preserve"> 3.15</w:t>
      </w:r>
      <w:r w:rsidRPr="00944EB7">
        <w:rPr>
          <w:rFonts w:ascii="Arial" w:hAnsi="Arial" w:cs="Arial"/>
          <w:szCs w:val="24"/>
        </w:rPr>
        <w:t xml:space="preserve">: Teenage pregnancies, crude rate per 1,000 females aged 15 to 17 year by </w:t>
      </w:r>
      <w:r w:rsidR="00567F4B" w:rsidRPr="00944EB7">
        <w:rPr>
          <w:rFonts w:ascii="Arial" w:hAnsi="Arial" w:cs="Arial"/>
          <w:szCs w:val="24"/>
        </w:rPr>
        <w:t>local</w:t>
      </w:r>
      <w:r w:rsidRPr="00944EB7">
        <w:rPr>
          <w:rFonts w:ascii="Arial" w:hAnsi="Arial" w:cs="Arial"/>
          <w:szCs w:val="24"/>
        </w:rPr>
        <w:t xml:space="preserve"> authority, health board and Wales, 201</w:t>
      </w:r>
      <w:bookmarkEnd w:id="17"/>
      <w:r w:rsidRPr="00944EB7">
        <w:rPr>
          <w:rFonts w:ascii="Arial" w:hAnsi="Arial" w:cs="Arial"/>
          <w:szCs w:val="24"/>
        </w:rPr>
        <w:t>8</w:t>
      </w:r>
      <w:r w:rsidR="00520A4B" w:rsidRPr="00944EB7">
        <w:rPr>
          <w:rFonts w:ascii="Arial" w:hAnsi="Arial" w:cs="Arial"/>
          <w:szCs w:val="24"/>
        </w:rPr>
        <w:t>.</w:t>
      </w:r>
    </w:p>
    <w:tbl>
      <w:tblPr>
        <w:tblW w:w="9149" w:type="dxa"/>
        <w:tblBorders>
          <w:top w:val="single" w:sz="4" w:space="0" w:color="auto"/>
          <w:left w:val="single" w:sz="4" w:space="0" w:color="auto"/>
          <w:bottom w:val="single" w:sz="4" w:space="0" w:color="auto"/>
          <w:right w:val="single" w:sz="4" w:space="0" w:color="auto"/>
          <w:insideH w:val="single" w:sz="4" w:space="0" w:color="C9C9C9"/>
        </w:tblBorders>
        <w:tblLook w:val="04A0" w:firstRow="1" w:lastRow="0" w:firstColumn="1" w:lastColumn="0" w:noHBand="0" w:noVBand="1"/>
      </w:tblPr>
      <w:tblGrid>
        <w:gridCol w:w="2890"/>
        <w:gridCol w:w="6259"/>
      </w:tblGrid>
      <w:tr w:rsidR="00991EEF" w:rsidRPr="00AD0E72" w14:paraId="2DE00AD9" w14:textId="77777777" w:rsidTr="00BB4EE0">
        <w:trPr>
          <w:trHeight w:val="257"/>
        </w:trPr>
        <w:tc>
          <w:tcPr>
            <w:tcW w:w="2890" w:type="dxa"/>
            <w:shd w:val="clear" w:color="000000" w:fill="8497B0"/>
            <w:noWrap/>
            <w:vAlign w:val="center"/>
            <w:hideMark/>
          </w:tcPr>
          <w:p w14:paraId="79A2E4F3" w14:textId="77777777" w:rsidR="00991EEF" w:rsidRPr="00AD0E72" w:rsidRDefault="00991EEF" w:rsidP="00DC54F7">
            <w:pPr>
              <w:spacing w:after="0" w:line="240" w:lineRule="auto"/>
              <w:jc w:val="both"/>
              <w:rPr>
                <w:rFonts w:ascii="Arial" w:eastAsia="Times New Roman" w:hAnsi="Arial" w:cs="Arial"/>
                <w:b/>
                <w:bCs/>
                <w:color w:val="FFFFFF"/>
                <w:sz w:val="20"/>
                <w:szCs w:val="20"/>
                <w:lang w:eastAsia="en-GB"/>
              </w:rPr>
            </w:pPr>
            <w:r w:rsidRPr="00AD0E72">
              <w:rPr>
                <w:rFonts w:ascii="Arial" w:eastAsia="Times New Roman" w:hAnsi="Arial" w:cs="Arial"/>
                <w:b/>
                <w:bCs/>
                <w:color w:val="FFFFFF"/>
                <w:sz w:val="20"/>
                <w:szCs w:val="20"/>
                <w:lang w:eastAsia="en-GB"/>
              </w:rPr>
              <w:t>Name</w:t>
            </w:r>
          </w:p>
        </w:tc>
        <w:tc>
          <w:tcPr>
            <w:tcW w:w="6259" w:type="dxa"/>
            <w:shd w:val="clear" w:color="000000" w:fill="8497B0"/>
            <w:vAlign w:val="center"/>
            <w:hideMark/>
          </w:tcPr>
          <w:p w14:paraId="7936296C" w14:textId="77777777" w:rsidR="00991EEF" w:rsidRPr="00AD0E72" w:rsidRDefault="00991EEF" w:rsidP="00DC54F7">
            <w:pPr>
              <w:spacing w:after="0" w:line="240" w:lineRule="auto"/>
              <w:jc w:val="both"/>
              <w:rPr>
                <w:rFonts w:ascii="Arial" w:eastAsia="Times New Roman" w:hAnsi="Arial" w:cs="Arial"/>
                <w:b/>
                <w:bCs/>
                <w:color w:val="FFFFFF"/>
                <w:sz w:val="20"/>
                <w:szCs w:val="20"/>
                <w:lang w:eastAsia="en-GB"/>
              </w:rPr>
            </w:pPr>
            <w:r w:rsidRPr="00AD0E72">
              <w:rPr>
                <w:rFonts w:ascii="Arial" w:eastAsia="Times New Roman" w:hAnsi="Arial" w:cs="Arial"/>
                <w:b/>
                <w:bCs/>
                <w:color w:val="FFFFFF"/>
                <w:sz w:val="20"/>
                <w:szCs w:val="20"/>
                <w:lang w:eastAsia="en-GB"/>
              </w:rPr>
              <w:t xml:space="preserve">Conception rate per 1,000 females under aged 15 to 17 </w:t>
            </w:r>
          </w:p>
        </w:tc>
      </w:tr>
      <w:tr w:rsidR="00991EEF" w:rsidRPr="00AD0E72" w14:paraId="2BF371BA" w14:textId="77777777" w:rsidTr="00BB4EE0">
        <w:trPr>
          <w:trHeight w:val="257"/>
        </w:trPr>
        <w:tc>
          <w:tcPr>
            <w:tcW w:w="2890" w:type="dxa"/>
            <w:shd w:val="clear" w:color="EDEDED" w:fill="EDEDED"/>
            <w:noWrap/>
            <w:vAlign w:val="bottom"/>
            <w:hideMark/>
          </w:tcPr>
          <w:p w14:paraId="070CEEFE" w14:textId="77777777" w:rsidR="00991EEF" w:rsidRPr="00AD0E72" w:rsidRDefault="00991EEF" w:rsidP="00DC54F7">
            <w:pPr>
              <w:spacing w:after="0" w:line="240" w:lineRule="auto"/>
              <w:jc w:val="both"/>
              <w:rPr>
                <w:rFonts w:ascii="Arial" w:eastAsia="Times New Roman" w:hAnsi="Arial" w:cs="Arial"/>
                <w:color w:val="000000"/>
                <w:sz w:val="20"/>
                <w:szCs w:val="20"/>
                <w:lang w:eastAsia="en-GB"/>
              </w:rPr>
            </w:pPr>
            <w:r w:rsidRPr="00AD0E72">
              <w:rPr>
                <w:rFonts w:ascii="Arial" w:eastAsia="Times New Roman" w:hAnsi="Arial" w:cs="Arial"/>
                <w:color w:val="000000"/>
                <w:sz w:val="20"/>
                <w:szCs w:val="20"/>
                <w:lang w:eastAsia="en-GB"/>
              </w:rPr>
              <w:t>Cardiff</w:t>
            </w:r>
          </w:p>
        </w:tc>
        <w:tc>
          <w:tcPr>
            <w:tcW w:w="6259" w:type="dxa"/>
            <w:shd w:val="clear" w:color="EDEDED" w:fill="EDEDED"/>
            <w:noWrap/>
            <w:vAlign w:val="bottom"/>
            <w:hideMark/>
          </w:tcPr>
          <w:p w14:paraId="163936AE" w14:textId="77777777" w:rsidR="00991EEF" w:rsidRPr="00AD0E72" w:rsidRDefault="00991EEF" w:rsidP="00DC54F7">
            <w:pPr>
              <w:spacing w:after="0" w:line="240" w:lineRule="auto"/>
              <w:jc w:val="both"/>
              <w:rPr>
                <w:rFonts w:ascii="Arial" w:eastAsia="Times New Roman" w:hAnsi="Arial" w:cs="Arial"/>
                <w:color w:val="000000"/>
                <w:sz w:val="20"/>
                <w:szCs w:val="20"/>
                <w:lang w:eastAsia="en-GB"/>
              </w:rPr>
            </w:pPr>
            <w:r w:rsidRPr="00AD0E72">
              <w:rPr>
                <w:rFonts w:ascii="Arial" w:eastAsia="Times New Roman" w:hAnsi="Arial" w:cs="Arial"/>
                <w:color w:val="000000"/>
                <w:sz w:val="20"/>
                <w:szCs w:val="20"/>
                <w:lang w:eastAsia="en-GB"/>
              </w:rPr>
              <w:t>19.2</w:t>
            </w:r>
          </w:p>
        </w:tc>
      </w:tr>
      <w:tr w:rsidR="00991EEF" w:rsidRPr="00AD0E72" w14:paraId="53863651" w14:textId="77777777" w:rsidTr="00BB4EE0">
        <w:trPr>
          <w:trHeight w:val="257"/>
        </w:trPr>
        <w:tc>
          <w:tcPr>
            <w:tcW w:w="2890" w:type="dxa"/>
            <w:shd w:val="clear" w:color="auto" w:fill="auto"/>
            <w:noWrap/>
            <w:vAlign w:val="bottom"/>
            <w:hideMark/>
          </w:tcPr>
          <w:p w14:paraId="355EAF1C" w14:textId="77777777" w:rsidR="00991EEF" w:rsidRPr="00AD0E72" w:rsidRDefault="00991EEF" w:rsidP="00DC54F7">
            <w:pPr>
              <w:spacing w:after="0" w:line="240" w:lineRule="auto"/>
              <w:jc w:val="both"/>
              <w:rPr>
                <w:rFonts w:ascii="Arial" w:eastAsia="Times New Roman" w:hAnsi="Arial" w:cs="Arial"/>
                <w:color w:val="000000"/>
                <w:sz w:val="20"/>
                <w:szCs w:val="20"/>
                <w:lang w:eastAsia="en-GB"/>
              </w:rPr>
            </w:pPr>
            <w:r w:rsidRPr="00AD0E72">
              <w:rPr>
                <w:rFonts w:ascii="Arial" w:eastAsia="Times New Roman" w:hAnsi="Arial" w:cs="Arial"/>
                <w:color w:val="000000"/>
                <w:sz w:val="20"/>
                <w:szCs w:val="20"/>
                <w:lang w:eastAsia="en-GB"/>
              </w:rPr>
              <w:t>Vale of Glamorgan</w:t>
            </w:r>
          </w:p>
        </w:tc>
        <w:tc>
          <w:tcPr>
            <w:tcW w:w="6259" w:type="dxa"/>
            <w:shd w:val="clear" w:color="auto" w:fill="auto"/>
            <w:noWrap/>
            <w:vAlign w:val="bottom"/>
            <w:hideMark/>
          </w:tcPr>
          <w:p w14:paraId="0C70840A" w14:textId="77777777" w:rsidR="00991EEF" w:rsidRPr="00AD0E72" w:rsidRDefault="00991EEF" w:rsidP="00DC54F7">
            <w:pPr>
              <w:spacing w:after="0" w:line="240" w:lineRule="auto"/>
              <w:jc w:val="both"/>
              <w:rPr>
                <w:rFonts w:ascii="Arial" w:eastAsia="Times New Roman" w:hAnsi="Arial" w:cs="Arial"/>
                <w:color w:val="000000"/>
                <w:sz w:val="20"/>
                <w:szCs w:val="20"/>
                <w:lang w:eastAsia="en-GB"/>
              </w:rPr>
            </w:pPr>
            <w:r w:rsidRPr="00AD0E72">
              <w:rPr>
                <w:rFonts w:ascii="Arial" w:eastAsia="Times New Roman" w:hAnsi="Arial" w:cs="Arial"/>
                <w:color w:val="000000"/>
                <w:sz w:val="20"/>
                <w:szCs w:val="20"/>
                <w:lang w:eastAsia="en-GB"/>
              </w:rPr>
              <w:t>13.3</w:t>
            </w:r>
          </w:p>
        </w:tc>
      </w:tr>
      <w:tr w:rsidR="00991EEF" w:rsidRPr="00AD0E72" w14:paraId="6FF1784E" w14:textId="77777777" w:rsidTr="00BB4EE0">
        <w:trPr>
          <w:trHeight w:val="257"/>
        </w:trPr>
        <w:tc>
          <w:tcPr>
            <w:tcW w:w="2890" w:type="dxa"/>
            <w:shd w:val="clear" w:color="EDEDED" w:fill="EDEDED"/>
            <w:noWrap/>
            <w:vAlign w:val="bottom"/>
            <w:hideMark/>
          </w:tcPr>
          <w:p w14:paraId="5EDEB497" w14:textId="77777777" w:rsidR="00991EEF" w:rsidRPr="00AD0E72" w:rsidRDefault="00991EEF" w:rsidP="00DC54F7">
            <w:pPr>
              <w:spacing w:after="0" w:line="240" w:lineRule="auto"/>
              <w:jc w:val="both"/>
              <w:rPr>
                <w:rFonts w:ascii="Arial" w:eastAsia="Times New Roman" w:hAnsi="Arial" w:cs="Arial"/>
                <w:color w:val="000000"/>
                <w:sz w:val="20"/>
                <w:szCs w:val="20"/>
                <w:lang w:eastAsia="en-GB"/>
              </w:rPr>
            </w:pPr>
            <w:r w:rsidRPr="00AD0E72">
              <w:rPr>
                <w:rFonts w:ascii="Arial" w:eastAsia="Times New Roman" w:hAnsi="Arial" w:cs="Arial"/>
                <w:color w:val="000000"/>
                <w:sz w:val="20"/>
                <w:szCs w:val="20"/>
                <w:lang w:eastAsia="en-GB"/>
              </w:rPr>
              <w:t>Wales</w:t>
            </w:r>
          </w:p>
        </w:tc>
        <w:tc>
          <w:tcPr>
            <w:tcW w:w="6259" w:type="dxa"/>
            <w:shd w:val="clear" w:color="EDEDED" w:fill="EDEDED"/>
            <w:noWrap/>
            <w:vAlign w:val="bottom"/>
            <w:hideMark/>
          </w:tcPr>
          <w:p w14:paraId="20C2E5AA" w14:textId="77777777" w:rsidR="00991EEF" w:rsidRPr="00AD0E72" w:rsidRDefault="00991EEF" w:rsidP="00DC54F7">
            <w:pPr>
              <w:spacing w:after="0" w:line="240" w:lineRule="auto"/>
              <w:jc w:val="both"/>
              <w:rPr>
                <w:rFonts w:ascii="Arial" w:eastAsia="Times New Roman" w:hAnsi="Arial" w:cs="Arial"/>
                <w:color w:val="000000"/>
                <w:sz w:val="20"/>
                <w:szCs w:val="20"/>
                <w:lang w:eastAsia="en-GB"/>
              </w:rPr>
            </w:pPr>
            <w:r w:rsidRPr="00AD0E72">
              <w:rPr>
                <w:rFonts w:ascii="Arial" w:eastAsia="Times New Roman" w:hAnsi="Arial" w:cs="Arial"/>
                <w:color w:val="000000"/>
                <w:sz w:val="20"/>
                <w:szCs w:val="20"/>
                <w:lang w:eastAsia="en-GB"/>
              </w:rPr>
              <w:t>18.9</w:t>
            </w:r>
          </w:p>
        </w:tc>
      </w:tr>
    </w:tbl>
    <w:p w14:paraId="4F65C815" w14:textId="77777777" w:rsidR="00991EEF" w:rsidRPr="00944EB7" w:rsidRDefault="00991EEF" w:rsidP="00DC54F7">
      <w:pPr>
        <w:jc w:val="both"/>
        <w:rPr>
          <w:rFonts w:ascii="Arial" w:eastAsia="Times New Roman" w:hAnsi="Arial" w:cs="Arial"/>
          <w:sz w:val="20"/>
          <w:szCs w:val="20"/>
          <w:lang w:eastAsia="en-GB"/>
        </w:rPr>
      </w:pPr>
      <w:r w:rsidRPr="00944EB7">
        <w:rPr>
          <w:rFonts w:ascii="Arial" w:hAnsi="Arial" w:cs="Arial"/>
          <w:sz w:val="20"/>
          <w:szCs w:val="20"/>
          <w:lang w:val="en"/>
        </w:rPr>
        <w:t xml:space="preserve">Source: Office of National Statistics - </w:t>
      </w:r>
      <w:r w:rsidRPr="00944EB7">
        <w:rPr>
          <w:rFonts w:ascii="Arial" w:eastAsia="Times New Roman" w:hAnsi="Arial" w:cs="Arial"/>
          <w:sz w:val="20"/>
          <w:szCs w:val="20"/>
          <w:lang w:eastAsia="en-GB"/>
        </w:rPr>
        <w:t>Conception Statistics, England and Wales, 2018</w:t>
      </w:r>
    </w:p>
    <w:p w14:paraId="0EB9B914" w14:textId="77777777" w:rsidR="00991EEF" w:rsidRPr="00944EB7" w:rsidRDefault="00991EEF" w:rsidP="00DC54F7">
      <w:pPr>
        <w:pStyle w:val="NoSpacing"/>
        <w:spacing w:before="240" w:after="120"/>
        <w:rPr>
          <w:rFonts w:ascii="Arial" w:hAnsi="Arial" w:cs="Arial"/>
          <w:szCs w:val="24"/>
        </w:rPr>
      </w:pPr>
      <w:r w:rsidRPr="00944EB7">
        <w:rPr>
          <w:rFonts w:ascii="Arial" w:hAnsi="Arial" w:cs="Arial"/>
          <w:szCs w:val="24"/>
        </w:rPr>
        <w:t>Rates in the Cardiff and Vale University Health Board area have continued to decrease over the last 10 years.</w:t>
      </w:r>
    </w:p>
    <w:p w14:paraId="05FDF9E1" w14:textId="55791579" w:rsidR="00991EEF" w:rsidRPr="00944EB7" w:rsidRDefault="00991EEF" w:rsidP="00DC54F7">
      <w:pPr>
        <w:spacing w:after="0" w:line="240" w:lineRule="auto"/>
        <w:contextualSpacing/>
        <w:jc w:val="both"/>
        <w:rPr>
          <w:rFonts w:ascii="Arial" w:hAnsi="Arial" w:cs="Arial"/>
          <w:b/>
          <w:bCs/>
          <w:sz w:val="24"/>
          <w:szCs w:val="24"/>
        </w:rPr>
      </w:pPr>
      <w:r w:rsidRPr="00944EB7">
        <w:rPr>
          <w:rFonts w:ascii="Arial" w:hAnsi="Arial" w:cs="Arial"/>
          <w:b/>
          <w:bCs/>
          <w:sz w:val="24"/>
          <w:szCs w:val="24"/>
        </w:rPr>
        <w:t xml:space="preserve">Figure </w:t>
      </w:r>
      <w:r w:rsidR="00520A4B" w:rsidRPr="00944EB7">
        <w:rPr>
          <w:rFonts w:ascii="Arial" w:hAnsi="Arial" w:cs="Arial"/>
          <w:b/>
          <w:bCs/>
          <w:sz w:val="24"/>
          <w:szCs w:val="24"/>
        </w:rPr>
        <w:t>3.8</w:t>
      </w:r>
      <w:r w:rsidRPr="00944EB7">
        <w:rPr>
          <w:rFonts w:ascii="Arial" w:hAnsi="Arial" w:cs="Arial"/>
          <w:b/>
          <w:bCs/>
          <w:sz w:val="24"/>
          <w:szCs w:val="24"/>
        </w:rPr>
        <w:t xml:space="preserve">: Conceptions per 1,000 females aged under 18 by </w:t>
      </w:r>
      <w:r w:rsidR="00567F4B" w:rsidRPr="00944EB7">
        <w:rPr>
          <w:rFonts w:ascii="Arial" w:hAnsi="Arial" w:cs="Arial"/>
          <w:b/>
          <w:bCs/>
          <w:sz w:val="24"/>
          <w:szCs w:val="24"/>
        </w:rPr>
        <w:t>local</w:t>
      </w:r>
      <w:r w:rsidRPr="00944EB7">
        <w:rPr>
          <w:rFonts w:ascii="Arial" w:hAnsi="Arial" w:cs="Arial"/>
          <w:b/>
          <w:bCs/>
          <w:sz w:val="24"/>
          <w:szCs w:val="24"/>
        </w:rPr>
        <w:t xml:space="preserve"> authority, 2009 to 2018</w:t>
      </w:r>
    </w:p>
    <w:p w14:paraId="5998E098" w14:textId="4544AC9D" w:rsidR="00991EEF" w:rsidRDefault="00991EEF" w:rsidP="00DC54F7">
      <w:pPr>
        <w:spacing w:after="0" w:line="240" w:lineRule="auto"/>
        <w:contextualSpacing/>
        <w:jc w:val="both"/>
        <w:rPr>
          <w:rFonts w:ascii="Arial" w:hAnsi="Arial" w:cs="Arial"/>
        </w:rPr>
      </w:pPr>
      <w:r>
        <w:rPr>
          <w:noProof/>
          <w:lang w:eastAsia="en-GB"/>
        </w:rPr>
        <w:drawing>
          <wp:inline distT="0" distB="0" distL="0" distR="0" wp14:anchorId="4F3757CD" wp14:editId="6853C41D">
            <wp:extent cx="5560142" cy="2718435"/>
            <wp:effectExtent l="0" t="0" r="2540" b="5715"/>
            <wp:docPr id="4" name="Chart 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92EB2B3-34A4-4C1C-8BDA-6F2D61CC891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58ED0374" w14:textId="77777777" w:rsidR="00991EEF" w:rsidRPr="00944EB7" w:rsidRDefault="00991EEF" w:rsidP="00DC54F7">
      <w:pPr>
        <w:spacing w:after="0" w:line="240" w:lineRule="auto"/>
        <w:contextualSpacing/>
        <w:jc w:val="both"/>
        <w:rPr>
          <w:rFonts w:ascii="Arial" w:hAnsi="Arial" w:cs="Arial"/>
          <w:sz w:val="20"/>
          <w:szCs w:val="20"/>
        </w:rPr>
      </w:pPr>
      <w:r w:rsidRPr="00944EB7">
        <w:rPr>
          <w:rFonts w:ascii="Arial" w:hAnsi="Arial" w:cs="Arial"/>
          <w:sz w:val="20"/>
          <w:szCs w:val="20"/>
        </w:rPr>
        <w:t>Source: Office of National Statistics</w:t>
      </w:r>
    </w:p>
    <w:p w14:paraId="7FB0B126" w14:textId="77777777" w:rsidR="00991EEF" w:rsidRPr="00944EB7" w:rsidRDefault="00991EEF" w:rsidP="00DC54F7">
      <w:pPr>
        <w:spacing w:after="0" w:line="240" w:lineRule="auto"/>
        <w:contextualSpacing/>
        <w:jc w:val="both"/>
        <w:rPr>
          <w:rFonts w:ascii="Arial" w:hAnsi="Arial" w:cs="Arial"/>
          <w:sz w:val="24"/>
          <w:szCs w:val="24"/>
        </w:rPr>
      </w:pPr>
      <w:r w:rsidRPr="00944EB7">
        <w:rPr>
          <w:rFonts w:ascii="Arial" w:hAnsi="Arial" w:cs="Arial"/>
          <w:sz w:val="24"/>
          <w:szCs w:val="24"/>
        </w:rPr>
        <w:lastRenderedPageBreak/>
        <w:t xml:space="preserve">There is continued transmission of sexually transmitted infections in Wales. Between 2011 and 2017, there were increases in syphilis, gonorrhoea, chlamydia, HIV, and herpes, whilst warts decreased. Between 2016 and 2017, the diagnoses of syphilis and gonorrhoea increased markedly, whilst diagnoses of chlamydia and HIV remained stable and first episodes of warts and first episode of genital herpes decreased. </w:t>
      </w:r>
    </w:p>
    <w:p w14:paraId="3888FF62" w14:textId="77777777" w:rsidR="00991EEF" w:rsidRPr="00944EB7" w:rsidRDefault="00991EEF" w:rsidP="00DC54F7">
      <w:pPr>
        <w:spacing w:after="0" w:line="240" w:lineRule="auto"/>
        <w:contextualSpacing/>
        <w:jc w:val="both"/>
        <w:rPr>
          <w:rFonts w:ascii="Arial" w:hAnsi="Arial" w:cs="Arial"/>
          <w:sz w:val="24"/>
          <w:szCs w:val="24"/>
        </w:rPr>
      </w:pPr>
    </w:p>
    <w:p w14:paraId="7ABA20C0" w14:textId="77777777" w:rsidR="00991EEF" w:rsidRPr="00944EB7" w:rsidRDefault="00991EEF" w:rsidP="00DC54F7">
      <w:pPr>
        <w:spacing w:after="0" w:line="240" w:lineRule="auto"/>
        <w:contextualSpacing/>
        <w:jc w:val="both"/>
        <w:rPr>
          <w:rFonts w:ascii="Arial" w:hAnsi="Arial" w:cs="Arial"/>
          <w:sz w:val="24"/>
          <w:szCs w:val="24"/>
          <w:lang w:val="en"/>
        </w:rPr>
      </w:pPr>
      <w:r w:rsidRPr="00944EB7">
        <w:rPr>
          <w:rFonts w:ascii="Arial" w:hAnsi="Arial" w:cs="Arial"/>
          <w:sz w:val="24"/>
          <w:szCs w:val="24"/>
        </w:rPr>
        <w:t>Within Wales, there is geographical variation in the incidence of sexually transmitted infections, as well as in the rates of testing. In 2017, similarly to previous years, the rate of gonorrhoea was highest in Cardiff, and the rates of chlamydia were highest in Newport, followed by Torfaen and Cardiff. The percentage of gonorrhoea tests from sexual health clinics for which a positive diagnosis was reported was highest in those living in Cardiff and Conwy local authorities. For chlamydia, the percentage positivity was highest in those living in the Vale of Glamorgan, Wrexham, and Merthyr Tydfil.</w:t>
      </w:r>
      <w:r w:rsidRPr="00944EB7">
        <w:rPr>
          <w:rStyle w:val="FootnoteReference"/>
          <w:rFonts w:ascii="Arial" w:hAnsi="Arial" w:cs="Arial"/>
          <w:sz w:val="24"/>
          <w:szCs w:val="24"/>
        </w:rPr>
        <w:footnoteReference w:id="22"/>
      </w:r>
    </w:p>
    <w:p w14:paraId="025EECBF" w14:textId="3EBA21E9" w:rsidR="00944EB7" w:rsidRDefault="00944EB7" w:rsidP="00DC54F7">
      <w:pPr>
        <w:spacing w:after="0" w:line="240" w:lineRule="auto"/>
        <w:jc w:val="both"/>
        <w:rPr>
          <w:rFonts w:ascii="Arial" w:hAnsi="Arial" w:cs="Arial"/>
          <w:b/>
          <w:bCs/>
          <w:sz w:val="26"/>
          <w:szCs w:val="26"/>
        </w:rPr>
      </w:pPr>
    </w:p>
    <w:p w14:paraId="05B3B5E0" w14:textId="77777777" w:rsidR="00D11856" w:rsidRDefault="00D11856" w:rsidP="00DC54F7">
      <w:pPr>
        <w:spacing w:after="0" w:line="240" w:lineRule="auto"/>
        <w:jc w:val="both"/>
        <w:rPr>
          <w:rFonts w:ascii="Arial" w:hAnsi="Arial" w:cs="Arial"/>
          <w:b/>
          <w:bCs/>
          <w:sz w:val="26"/>
          <w:szCs w:val="26"/>
        </w:rPr>
      </w:pPr>
    </w:p>
    <w:p w14:paraId="236CC503" w14:textId="35545152" w:rsidR="002856C0" w:rsidRPr="00944EB7" w:rsidRDefault="00B27558" w:rsidP="00DC54F7">
      <w:pPr>
        <w:spacing w:after="0" w:line="240" w:lineRule="auto"/>
        <w:jc w:val="both"/>
        <w:rPr>
          <w:rFonts w:ascii="Arial" w:hAnsi="Arial" w:cs="Arial"/>
          <w:b/>
          <w:bCs/>
          <w:sz w:val="24"/>
          <w:szCs w:val="24"/>
        </w:rPr>
      </w:pPr>
      <w:r w:rsidRPr="00944EB7">
        <w:rPr>
          <w:rFonts w:ascii="Arial" w:hAnsi="Arial" w:cs="Arial"/>
          <w:b/>
          <w:bCs/>
          <w:sz w:val="24"/>
          <w:szCs w:val="24"/>
        </w:rPr>
        <w:t xml:space="preserve">3.3.6 </w:t>
      </w:r>
      <w:r w:rsidR="004E73B8" w:rsidRPr="00944EB7">
        <w:rPr>
          <w:rFonts w:ascii="Arial" w:hAnsi="Arial" w:cs="Arial"/>
          <w:b/>
          <w:bCs/>
          <w:sz w:val="24"/>
          <w:szCs w:val="24"/>
        </w:rPr>
        <w:t>Frailty an</w:t>
      </w:r>
      <w:r w:rsidR="00D90331" w:rsidRPr="00944EB7">
        <w:rPr>
          <w:rFonts w:ascii="Arial" w:hAnsi="Arial" w:cs="Arial"/>
          <w:b/>
          <w:bCs/>
          <w:sz w:val="24"/>
          <w:szCs w:val="24"/>
        </w:rPr>
        <w:t xml:space="preserve">d </w:t>
      </w:r>
      <w:r w:rsidR="002856C0" w:rsidRPr="00944EB7">
        <w:rPr>
          <w:rFonts w:ascii="Arial" w:hAnsi="Arial" w:cs="Arial"/>
          <w:b/>
          <w:bCs/>
          <w:sz w:val="24"/>
          <w:szCs w:val="24"/>
        </w:rPr>
        <w:t>Falls</w:t>
      </w:r>
      <w:r w:rsidR="00583A14" w:rsidRPr="00944EB7">
        <w:rPr>
          <w:rFonts w:ascii="Arial" w:hAnsi="Arial" w:cs="Arial"/>
          <w:b/>
          <w:bCs/>
          <w:sz w:val="24"/>
          <w:szCs w:val="24"/>
        </w:rPr>
        <w:t xml:space="preserve"> in older people</w:t>
      </w:r>
      <w:bookmarkStart w:id="18" w:name="_Hlk64145678"/>
      <w:r w:rsidR="00583A14" w:rsidRPr="00944EB7">
        <w:rPr>
          <w:rStyle w:val="FootnoteReference"/>
          <w:rFonts w:ascii="Arial" w:hAnsi="Arial" w:cs="Arial"/>
          <w:sz w:val="24"/>
          <w:szCs w:val="24"/>
        </w:rPr>
        <w:footnoteReference w:id="23"/>
      </w:r>
      <w:bookmarkEnd w:id="18"/>
    </w:p>
    <w:p w14:paraId="7C557528" w14:textId="77777777" w:rsidR="00B27558" w:rsidRDefault="00B27558" w:rsidP="00DC54F7">
      <w:pPr>
        <w:spacing w:after="0" w:line="240" w:lineRule="auto"/>
        <w:jc w:val="both"/>
        <w:rPr>
          <w:rFonts w:ascii="Arial" w:hAnsi="Arial" w:cs="Arial"/>
          <w:b/>
          <w:bCs/>
        </w:rPr>
      </w:pPr>
    </w:p>
    <w:p w14:paraId="66A029DB" w14:textId="540E23F2" w:rsidR="002E4D42" w:rsidRPr="00944EB7" w:rsidRDefault="00C80B69" w:rsidP="00DC54F7">
      <w:pPr>
        <w:spacing w:after="0" w:line="240" w:lineRule="auto"/>
        <w:jc w:val="both"/>
        <w:rPr>
          <w:rFonts w:ascii="Arial" w:hAnsi="Arial" w:cs="Arial"/>
          <w:sz w:val="24"/>
          <w:szCs w:val="24"/>
        </w:rPr>
      </w:pPr>
      <w:r w:rsidRPr="00944EB7">
        <w:rPr>
          <w:rFonts w:ascii="Arial" w:eastAsia="Times New Roman" w:hAnsi="Arial" w:cs="Arial"/>
          <w:sz w:val="24"/>
          <w:szCs w:val="24"/>
          <w:lang w:eastAsia="en-GB"/>
        </w:rPr>
        <w:t>In Wales,</w:t>
      </w:r>
      <w:r w:rsidRPr="00944EB7">
        <w:rPr>
          <w:rFonts w:ascii="Arial" w:hAnsi="Arial" w:cs="Arial"/>
          <w:sz w:val="24"/>
          <w:szCs w:val="24"/>
        </w:rPr>
        <w:t xml:space="preserve"> falls is the seven</w:t>
      </w:r>
      <w:r w:rsidR="005E1528">
        <w:rPr>
          <w:rFonts w:ascii="Arial" w:hAnsi="Arial" w:cs="Arial"/>
          <w:sz w:val="24"/>
          <w:szCs w:val="24"/>
        </w:rPr>
        <w:t>th</w:t>
      </w:r>
      <w:r w:rsidRPr="00944EB7">
        <w:rPr>
          <w:rFonts w:ascii="Arial" w:hAnsi="Arial" w:cs="Arial"/>
          <w:sz w:val="24"/>
          <w:szCs w:val="24"/>
        </w:rPr>
        <w:t xml:space="preserve"> </w:t>
      </w:r>
      <w:r w:rsidR="008C59F7" w:rsidRPr="00944EB7">
        <w:rPr>
          <w:rFonts w:ascii="Arial" w:hAnsi="Arial" w:cs="Arial"/>
          <w:sz w:val="24"/>
          <w:szCs w:val="24"/>
        </w:rPr>
        <w:t xml:space="preserve">highest cause of </w:t>
      </w:r>
      <w:r w:rsidRPr="00944EB7">
        <w:rPr>
          <w:rFonts w:ascii="Arial" w:hAnsi="Arial" w:cs="Arial"/>
          <w:sz w:val="24"/>
          <w:szCs w:val="24"/>
        </w:rPr>
        <w:t>disability</w:t>
      </w:r>
      <w:r w:rsidR="001C7CA8" w:rsidRPr="00944EB7">
        <w:rPr>
          <w:rFonts w:ascii="Arial" w:hAnsi="Arial" w:cs="Arial"/>
          <w:sz w:val="24"/>
          <w:szCs w:val="24"/>
        </w:rPr>
        <w:t xml:space="preserve"> and death</w:t>
      </w:r>
      <w:r w:rsidRPr="00944EB7">
        <w:rPr>
          <w:rFonts w:ascii="Arial" w:hAnsi="Arial" w:cs="Arial"/>
          <w:sz w:val="24"/>
          <w:szCs w:val="24"/>
        </w:rPr>
        <w:t xml:space="preserve"> in Wales in 2019</w:t>
      </w:r>
      <w:r w:rsidR="004E73B8" w:rsidRPr="00944EB7">
        <w:rPr>
          <w:rFonts w:ascii="Arial" w:hAnsi="Arial" w:cs="Arial"/>
          <w:sz w:val="24"/>
          <w:szCs w:val="24"/>
        </w:rPr>
        <w:t xml:space="preserve">. </w:t>
      </w:r>
      <w:r w:rsidR="002E4D42" w:rsidRPr="00944EB7">
        <w:rPr>
          <w:rFonts w:ascii="Arial" w:hAnsi="Arial" w:cs="Arial"/>
          <w:sz w:val="24"/>
          <w:szCs w:val="24"/>
        </w:rPr>
        <w:t>Older people are more likely to fall. They are also more likely to suffer significant consequences, such as a loss of independence and confidence, leading to physical and mental deterioration and frailty. Frailty itself can cause falls. Frailty can be either physical or psychological, or a combination of the two. It typically means a person is at a higher risk of a sudden deterioration in their physical and mental health. Identifying people who may be living with frailty is a key intervention in the prevention of falls</w:t>
      </w:r>
      <w:r w:rsidR="00DC6718" w:rsidRPr="00944EB7">
        <w:rPr>
          <w:rFonts w:ascii="Arial" w:hAnsi="Arial" w:cs="Arial"/>
          <w:sz w:val="24"/>
          <w:szCs w:val="24"/>
        </w:rPr>
        <w:t xml:space="preserve">. </w:t>
      </w:r>
    </w:p>
    <w:p w14:paraId="67F8A062" w14:textId="77777777" w:rsidR="00DC6718" w:rsidRPr="00944EB7" w:rsidRDefault="00DC6718" w:rsidP="00DC54F7">
      <w:pPr>
        <w:spacing w:after="0" w:line="240" w:lineRule="auto"/>
        <w:jc w:val="both"/>
        <w:rPr>
          <w:rFonts w:ascii="Arial" w:hAnsi="Arial" w:cs="Arial"/>
          <w:sz w:val="24"/>
          <w:szCs w:val="24"/>
        </w:rPr>
      </w:pPr>
    </w:p>
    <w:p w14:paraId="6F24568B" w14:textId="12FA9975" w:rsidR="00AF73A7" w:rsidRPr="00944EB7" w:rsidRDefault="00B02452" w:rsidP="00DC54F7">
      <w:pPr>
        <w:spacing w:after="0" w:line="240" w:lineRule="auto"/>
        <w:jc w:val="both"/>
        <w:rPr>
          <w:rFonts w:ascii="Arial" w:hAnsi="Arial" w:cs="Arial"/>
          <w:sz w:val="24"/>
          <w:szCs w:val="24"/>
        </w:rPr>
      </w:pPr>
      <w:r w:rsidRPr="00944EB7">
        <w:rPr>
          <w:rFonts w:ascii="Arial" w:hAnsi="Arial" w:cs="Arial"/>
          <w:sz w:val="24"/>
          <w:szCs w:val="24"/>
        </w:rPr>
        <w:t xml:space="preserve">In the UK, </w:t>
      </w:r>
      <w:r w:rsidR="0085455F" w:rsidRPr="00944EB7">
        <w:rPr>
          <w:rFonts w:ascii="Arial" w:hAnsi="Arial" w:cs="Arial"/>
          <w:sz w:val="24"/>
          <w:szCs w:val="24"/>
        </w:rPr>
        <w:t xml:space="preserve">almost a third of </w:t>
      </w:r>
      <w:r w:rsidR="005B0863" w:rsidRPr="00944EB7">
        <w:rPr>
          <w:rFonts w:ascii="Arial" w:hAnsi="Arial" w:cs="Arial"/>
          <w:sz w:val="24"/>
          <w:szCs w:val="24"/>
        </w:rPr>
        <w:t xml:space="preserve">people aged </w:t>
      </w:r>
      <w:r w:rsidR="0085455F" w:rsidRPr="00944EB7">
        <w:rPr>
          <w:rFonts w:ascii="Arial" w:hAnsi="Arial" w:cs="Arial"/>
          <w:sz w:val="24"/>
          <w:szCs w:val="24"/>
        </w:rPr>
        <w:t>over 65 fall at least once and there are an estimated 500,000 fragility fractures</w:t>
      </w:r>
      <w:r w:rsidRPr="00944EB7">
        <w:rPr>
          <w:rFonts w:ascii="Arial" w:hAnsi="Arial" w:cs="Arial"/>
          <w:sz w:val="24"/>
          <w:szCs w:val="24"/>
        </w:rPr>
        <w:t xml:space="preserve"> each year</w:t>
      </w:r>
      <w:r w:rsidR="0085455F" w:rsidRPr="00944EB7">
        <w:rPr>
          <w:rFonts w:ascii="Arial" w:hAnsi="Arial" w:cs="Arial"/>
          <w:sz w:val="24"/>
          <w:szCs w:val="24"/>
        </w:rPr>
        <w:t xml:space="preserve">. </w:t>
      </w:r>
      <w:r w:rsidR="00AF73A7" w:rsidRPr="00944EB7">
        <w:rPr>
          <w:rFonts w:ascii="Arial" w:hAnsi="Arial" w:cs="Arial"/>
          <w:sz w:val="24"/>
          <w:szCs w:val="24"/>
        </w:rPr>
        <w:t>Osteoporosis is a condition which causes bones to weaken and become more fragile. People with osteopor</w:t>
      </w:r>
      <w:r w:rsidR="00B35035" w:rsidRPr="00944EB7">
        <w:rPr>
          <w:rFonts w:ascii="Arial" w:hAnsi="Arial" w:cs="Arial"/>
          <w:sz w:val="24"/>
          <w:szCs w:val="24"/>
        </w:rPr>
        <w:t>o</w:t>
      </w:r>
      <w:r w:rsidR="00AF73A7" w:rsidRPr="00944EB7">
        <w:rPr>
          <w:rFonts w:ascii="Arial" w:hAnsi="Arial" w:cs="Arial"/>
          <w:sz w:val="24"/>
          <w:szCs w:val="24"/>
        </w:rPr>
        <w:t>sis are more likely to suffer a fragility fracture.</w:t>
      </w:r>
    </w:p>
    <w:p w14:paraId="022A0849" w14:textId="77777777" w:rsidR="00DC6718" w:rsidRPr="00944EB7" w:rsidRDefault="00DC6718" w:rsidP="00DC54F7">
      <w:pPr>
        <w:spacing w:after="0" w:line="240" w:lineRule="auto"/>
        <w:jc w:val="both"/>
        <w:rPr>
          <w:rFonts w:ascii="Arial" w:hAnsi="Arial" w:cs="Arial"/>
          <w:sz w:val="24"/>
          <w:szCs w:val="24"/>
        </w:rPr>
      </w:pPr>
    </w:p>
    <w:p w14:paraId="72BD0228" w14:textId="50FF99F0" w:rsidR="00EC4996" w:rsidRPr="00944EB7" w:rsidRDefault="000E0EB5" w:rsidP="00DC54F7">
      <w:pPr>
        <w:spacing w:after="0" w:line="240" w:lineRule="auto"/>
        <w:jc w:val="both"/>
        <w:rPr>
          <w:rFonts w:ascii="Arial" w:hAnsi="Arial" w:cs="Arial"/>
          <w:sz w:val="24"/>
          <w:szCs w:val="24"/>
        </w:rPr>
      </w:pPr>
      <w:r w:rsidRPr="00944EB7">
        <w:rPr>
          <w:rFonts w:ascii="Arial" w:hAnsi="Arial" w:cs="Arial"/>
          <w:sz w:val="24"/>
          <w:szCs w:val="24"/>
        </w:rPr>
        <w:t xml:space="preserve">Cardiff and </w:t>
      </w:r>
      <w:r w:rsidR="00E45AE0" w:rsidRPr="00944EB7">
        <w:rPr>
          <w:rFonts w:ascii="Arial" w:hAnsi="Arial" w:cs="Arial"/>
          <w:sz w:val="24"/>
          <w:szCs w:val="24"/>
        </w:rPr>
        <w:t xml:space="preserve">Vale </w:t>
      </w:r>
      <w:r w:rsidRPr="00944EB7">
        <w:rPr>
          <w:rFonts w:ascii="Arial" w:hAnsi="Arial" w:cs="Arial"/>
          <w:sz w:val="24"/>
          <w:szCs w:val="24"/>
        </w:rPr>
        <w:t>University Health Board</w:t>
      </w:r>
      <w:r w:rsidR="00E45AE0" w:rsidRPr="00944EB7">
        <w:rPr>
          <w:rFonts w:ascii="Arial" w:hAnsi="Arial" w:cs="Arial"/>
          <w:sz w:val="24"/>
          <w:szCs w:val="24"/>
        </w:rPr>
        <w:t xml:space="preserve"> and Cardiff have </w:t>
      </w:r>
      <w:r w:rsidRPr="00944EB7">
        <w:rPr>
          <w:rFonts w:ascii="Arial" w:hAnsi="Arial" w:cs="Arial"/>
          <w:sz w:val="24"/>
          <w:szCs w:val="24"/>
        </w:rPr>
        <w:t xml:space="preserve">the same </w:t>
      </w:r>
      <w:r w:rsidR="00353480" w:rsidRPr="00944EB7">
        <w:rPr>
          <w:rFonts w:ascii="Arial" w:hAnsi="Arial" w:cs="Arial"/>
          <w:sz w:val="24"/>
          <w:szCs w:val="24"/>
        </w:rPr>
        <w:t xml:space="preserve">percentage of patients registered as having osteoporosis as Wales (0.3%). The Vale of Glamorgan is slightly </w:t>
      </w:r>
      <w:r w:rsidR="00D61A54" w:rsidRPr="00944EB7">
        <w:rPr>
          <w:rFonts w:ascii="Arial" w:hAnsi="Arial" w:cs="Arial"/>
          <w:sz w:val="24"/>
          <w:szCs w:val="24"/>
        </w:rPr>
        <w:t xml:space="preserve">lower at </w:t>
      </w:r>
      <w:r w:rsidR="00353480" w:rsidRPr="00944EB7">
        <w:rPr>
          <w:rFonts w:ascii="Arial" w:hAnsi="Arial" w:cs="Arial"/>
          <w:sz w:val="24"/>
          <w:szCs w:val="24"/>
        </w:rPr>
        <w:t>0.2%</w:t>
      </w:r>
      <w:r w:rsidR="00D61A54" w:rsidRPr="00944EB7">
        <w:rPr>
          <w:rFonts w:ascii="Arial" w:hAnsi="Arial" w:cs="Arial"/>
          <w:sz w:val="24"/>
          <w:szCs w:val="24"/>
        </w:rPr>
        <w:t xml:space="preserve">. </w:t>
      </w:r>
    </w:p>
    <w:p w14:paraId="78C178FB" w14:textId="5A54F7C3" w:rsidR="00261E8D" w:rsidRDefault="00261E8D" w:rsidP="00DC54F7">
      <w:pPr>
        <w:spacing w:after="0" w:line="240" w:lineRule="auto"/>
        <w:jc w:val="both"/>
        <w:rPr>
          <w:rFonts w:ascii="Arial" w:hAnsi="Arial" w:cs="Arial"/>
        </w:rPr>
      </w:pPr>
    </w:p>
    <w:p w14:paraId="08B1E62F" w14:textId="1C9019BA" w:rsidR="00D11856" w:rsidRDefault="00D11856" w:rsidP="00DC54F7">
      <w:pPr>
        <w:jc w:val="both"/>
        <w:rPr>
          <w:rFonts w:ascii="Arial" w:hAnsi="Arial" w:cs="Arial"/>
        </w:rPr>
      </w:pPr>
      <w:r>
        <w:rPr>
          <w:rFonts w:ascii="Arial" w:hAnsi="Arial" w:cs="Arial"/>
        </w:rPr>
        <w:br w:type="page"/>
      </w:r>
    </w:p>
    <w:p w14:paraId="1850E61F" w14:textId="53E9B056" w:rsidR="00BE440B" w:rsidRPr="00944EB7" w:rsidRDefault="00BE440B" w:rsidP="00DC54F7">
      <w:pPr>
        <w:pStyle w:val="Caption"/>
        <w:spacing w:before="0" w:after="0"/>
        <w:jc w:val="both"/>
        <w:rPr>
          <w:rFonts w:ascii="Arial" w:hAnsi="Arial" w:cs="Arial"/>
          <w:szCs w:val="24"/>
        </w:rPr>
      </w:pPr>
      <w:bookmarkStart w:id="19" w:name="_Toc60225193"/>
      <w:r w:rsidRPr="00944EB7">
        <w:rPr>
          <w:rFonts w:ascii="Arial" w:hAnsi="Arial" w:cs="Arial"/>
          <w:szCs w:val="24"/>
        </w:rPr>
        <w:lastRenderedPageBreak/>
        <w:t>Table</w:t>
      </w:r>
      <w:r w:rsidR="00F22702" w:rsidRPr="00944EB7">
        <w:rPr>
          <w:rFonts w:ascii="Arial" w:hAnsi="Arial" w:cs="Arial"/>
          <w:szCs w:val="24"/>
        </w:rPr>
        <w:t xml:space="preserve"> 3.16</w:t>
      </w:r>
      <w:r w:rsidRPr="00944EB7">
        <w:rPr>
          <w:rFonts w:ascii="Arial" w:hAnsi="Arial" w:cs="Arial"/>
          <w:szCs w:val="24"/>
        </w:rPr>
        <w:t xml:space="preserve">: Percentage of patients registered as having osteoporosis by </w:t>
      </w:r>
      <w:r w:rsidR="00567F4B" w:rsidRPr="00944EB7">
        <w:rPr>
          <w:rFonts w:ascii="Arial" w:hAnsi="Arial" w:cs="Arial"/>
          <w:szCs w:val="24"/>
        </w:rPr>
        <w:t>local</w:t>
      </w:r>
      <w:r w:rsidRPr="00944EB7">
        <w:rPr>
          <w:rFonts w:ascii="Arial" w:hAnsi="Arial" w:cs="Arial"/>
          <w:szCs w:val="24"/>
        </w:rPr>
        <w:t xml:space="preserve"> authority, </w:t>
      </w:r>
      <w:r w:rsidR="009D63E7" w:rsidRPr="00944EB7">
        <w:rPr>
          <w:rFonts w:ascii="Arial" w:hAnsi="Arial" w:cs="Arial"/>
          <w:szCs w:val="24"/>
        </w:rPr>
        <w:t xml:space="preserve">health board and </w:t>
      </w:r>
      <w:r w:rsidRPr="00944EB7">
        <w:rPr>
          <w:rFonts w:ascii="Arial" w:hAnsi="Arial" w:cs="Arial"/>
          <w:szCs w:val="24"/>
        </w:rPr>
        <w:t>Wales, 2019</w:t>
      </w:r>
      <w:bookmarkEnd w:id="19"/>
    </w:p>
    <w:tbl>
      <w:tblPr>
        <w:tblW w:w="9107"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020"/>
        <w:gridCol w:w="6087"/>
      </w:tblGrid>
      <w:tr w:rsidR="00810C99" w:rsidRPr="00810C99" w14:paraId="7F368E18" w14:textId="77777777" w:rsidTr="00BB4EE0">
        <w:trPr>
          <w:trHeight w:val="272"/>
        </w:trPr>
        <w:tc>
          <w:tcPr>
            <w:tcW w:w="3020" w:type="dxa"/>
            <w:shd w:val="clear" w:color="000000" w:fill="8497B0"/>
            <w:noWrap/>
            <w:vAlign w:val="bottom"/>
            <w:hideMark/>
          </w:tcPr>
          <w:p w14:paraId="53ADF3BC" w14:textId="77777777" w:rsidR="00810C99" w:rsidRPr="00810C99" w:rsidRDefault="00810C99" w:rsidP="00DC54F7">
            <w:pPr>
              <w:spacing w:after="0" w:line="240" w:lineRule="auto"/>
              <w:jc w:val="both"/>
              <w:rPr>
                <w:rFonts w:ascii="Calibri" w:eastAsia="Times New Roman" w:hAnsi="Calibri" w:cs="Calibri"/>
                <w:b/>
                <w:bCs/>
                <w:color w:val="FFFFFF"/>
                <w:lang w:eastAsia="en-GB"/>
              </w:rPr>
            </w:pPr>
            <w:r w:rsidRPr="00810C99">
              <w:rPr>
                <w:rFonts w:ascii="Calibri" w:eastAsia="Times New Roman" w:hAnsi="Calibri" w:cs="Calibri"/>
                <w:b/>
                <w:bCs/>
                <w:color w:val="FFFFFF"/>
                <w:lang w:eastAsia="en-GB"/>
              </w:rPr>
              <w:t>Area</w:t>
            </w:r>
          </w:p>
        </w:tc>
        <w:tc>
          <w:tcPr>
            <w:tcW w:w="6087" w:type="dxa"/>
            <w:shd w:val="clear" w:color="000000" w:fill="8497B0"/>
            <w:noWrap/>
            <w:vAlign w:val="bottom"/>
            <w:hideMark/>
          </w:tcPr>
          <w:p w14:paraId="536C5CF2" w14:textId="04DAD33F" w:rsidR="00810C99" w:rsidRPr="00810C99" w:rsidRDefault="00810C99" w:rsidP="00DC54F7">
            <w:pPr>
              <w:spacing w:after="0" w:line="240" w:lineRule="auto"/>
              <w:jc w:val="both"/>
              <w:rPr>
                <w:rFonts w:ascii="Calibri" w:eastAsia="Times New Roman" w:hAnsi="Calibri" w:cs="Calibri"/>
                <w:b/>
                <w:bCs/>
                <w:color w:val="FFFFFF"/>
                <w:lang w:eastAsia="en-GB"/>
              </w:rPr>
            </w:pPr>
            <w:r w:rsidRPr="00810C99">
              <w:rPr>
                <w:rFonts w:ascii="Calibri" w:eastAsia="Times New Roman" w:hAnsi="Calibri" w:cs="Calibri"/>
                <w:b/>
                <w:bCs/>
                <w:color w:val="FFFFFF"/>
                <w:lang w:eastAsia="en-GB"/>
              </w:rPr>
              <w:t>Percentage</w:t>
            </w:r>
            <w:r w:rsidR="00DB228E">
              <w:rPr>
                <w:rFonts w:ascii="Calibri" w:eastAsia="Times New Roman" w:hAnsi="Calibri" w:cs="Calibri"/>
                <w:b/>
                <w:bCs/>
                <w:color w:val="FFFFFF"/>
                <w:lang w:eastAsia="en-GB"/>
              </w:rPr>
              <w:t xml:space="preserve"> of patients registered with osteoporosis</w:t>
            </w:r>
          </w:p>
        </w:tc>
      </w:tr>
      <w:tr w:rsidR="00810C99" w:rsidRPr="00810C99" w14:paraId="4339E035" w14:textId="77777777" w:rsidTr="00BB4EE0">
        <w:trPr>
          <w:trHeight w:val="272"/>
        </w:trPr>
        <w:tc>
          <w:tcPr>
            <w:tcW w:w="3020" w:type="dxa"/>
            <w:shd w:val="clear" w:color="EDEDED" w:fill="EDEDED"/>
            <w:noWrap/>
            <w:vAlign w:val="bottom"/>
            <w:hideMark/>
          </w:tcPr>
          <w:p w14:paraId="6AF63B48" w14:textId="77777777" w:rsidR="00810C99" w:rsidRPr="00583A14" w:rsidRDefault="00810C99" w:rsidP="00DC54F7">
            <w:pPr>
              <w:spacing w:after="0" w:line="240" w:lineRule="auto"/>
              <w:jc w:val="both"/>
              <w:rPr>
                <w:rFonts w:ascii="Arial" w:eastAsia="Times New Roman" w:hAnsi="Arial" w:cs="Arial"/>
                <w:color w:val="000000"/>
                <w:lang w:eastAsia="en-GB"/>
              </w:rPr>
            </w:pPr>
            <w:r w:rsidRPr="00583A14">
              <w:rPr>
                <w:rFonts w:ascii="Arial" w:eastAsia="Times New Roman" w:hAnsi="Arial" w:cs="Arial"/>
                <w:color w:val="000000"/>
                <w:lang w:eastAsia="en-GB"/>
              </w:rPr>
              <w:t>Cardiff</w:t>
            </w:r>
          </w:p>
        </w:tc>
        <w:tc>
          <w:tcPr>
            <w:tcW w:w="6087" w:type="dxa"/>
            <w:shd w:val="clear" w:color="EDEDED" w:fill="EDEDED"/>
            <w:noWrap/>
            <w:vAlign w:val="bottom"/>
            <w:hideMark/>
          </w:tcPr>
          <w:p w14:paraId="034D3012" w14:textId="77777777" w:rsidR="00810C99" w:rsidRPr="00583A14" w:rsidRDefault="00810C99" w:rsidP="00DC54F7">
            <w:pPr>
              <w:spacing w:after="0" w:line="240" w:lineRule="auto"/>
              <w:jc w:val="both"/>
              <w:rPr>
                <w:rFonts w:ascii="Arial" w:eastAsia="Times New Roman" w:hAnsi="Arial" w:cs="Arial"/>
                <w:color w:val="000000"/>
                <w:lang w:eastAsia="en-GB"/>
              </w:rPr>
            </w:pPr>
            <w:r w:rsidRPr="00583A14">
              <w:rPr>
                <w:rFonts w:ascii="Arial" w:eastAsia="Times New Roman" w:hAnsi="Arial" w:cs="Arial"/>
                <w:color w:val="000000"/>
                <w:lang w:eastAsia="en-GB"/>
              </w:rPr>
              <w:t>0.3</w:t>
            </w:r>
          </w:p>
        </w:tc>
      </w:tr>
      <w:tr w:rsidR="00810C99" w:rsidRPr="00810C99" w14:paraId="2ECA9D8E" w14:textId="77777777" w:rsidTr="00BB4EE0">
        <w:trPr>
          <w:trHeight w:val="272"/>
        </w:trPr>
        <w:tc>
          <w:tcPr>
            <w:tcW w:w="3020" w:type="dxa"/>
            <w:shd w:val="clear" w:color="auto" w:fill="auto"/>
            <w:noWrap/>
            <w:vAlign w:val="bottom"/>
            <w:hideMark/>
          </w:tcPr>
          <w:p w14:paraId="1E5B178B" w14:textId="77777777" w:rsidR="00810C99" w:rsidRPr="00583A14" w:rsidRDefault="00810C99" w:rsidP="00DC54F7">
            <w:pPr>
              <w:spacing w:after="0" w:line="240" w:lineRule="auto"/>
              <w:jc w:val="both"/>
              <w:rPr>
                <w:rFonts w:ascii="Arial" w:eastAsia="Times New Roman" w:hAnsi="Arial" w:cs="Arial"/>
                <w:color w:val="000000"/>
                <w:lang w:eastAsia="en-GB"/>
              </w:rPr>
            </w:pPr>
            <w:r w:rsidRPr="00583A14">
              <w:rPr>
                <w:rFonts w:ascii="Arial" w:eastAsia="Times New Roman" w:hAnsi="Arial" w:cs="Arial"/>
                <w:color w:val="000000"/>
                <w:lang w:eastAsia="en-GB"/>
              </w:rPr>
              <w:t>Vale of Glamorgan</w:t>
            </w:r>
          </w:p>
        </w:tc>
        <w:tc>
          <w:tcPr>
            <w:tcW w:w="6087" w:type="dxa"/>
            <w:shd w:val="clear" w:color="auto" w:fill="auto"/>
            <w:noWrap/>
            <w:vAlign w:val="bottom"/>
            <w:hideMark/>
          </w:tcPr>
          <w:p w14:paraId="27A2E226" w14:textId="77777777" w:rsidR="00810C99" w:rsidRPr="00583A14" w:rsidRDefault="00810C99" w:rsidP="00DC54F7">
            <w:pPr>
              <w:spacing w:after="0" w:line="240" w:lineRule="auto"/>
              <w:jc w:val="both"/>
              <w:rPr>
                <w:rFonts w:ascii="Arial" w:eastAsia="Times New Roman" w:hAnsi="Arial" w:cs="Arial"/>
                <w:color w:val="000000"/>
                <w:lang w:eastAsia="en-GB"/>
              </w:rPr>
            </w:pPr>
            <w:r w:rsidRPr="00583A14">
              <w:rPr>
                <w:rFonts w:ascii="Arial" w:eastAsia="Times New Roman" w:hAnsi="Arial" w:cs="Arial"/>
                <w:color w:val="000000"/>
                <w:lang w:eastAsia="en-GB"/>
              </w:rPr>
              <w:t>0.2</w:t>
            </w:r>
          </w:p>
        </w:tc>
      </w:tr>
      <w:tr w:rsidR="00810C99" w:rsidRPr="00810C99" w14:paraId="705889EC" w14:textId="77777777" w:rsidTr="00BB4EE0">
        <w:trPr>
          <w:trHeight w:val="272"/>
        </w:trPr>
        <w:tc>
          <w:tcPr>
            <w:tcW w:w="3020" w:type="dxa"/>
            <w:shd w:val="clear" w:color="EDEDED" w:fill="EDEDED"/>
            <w:noWrap/>
            <w:vAlign w:val="bottom"/>
            <w:hideMark/>
          </w:tcPr>
          <w:p w14:paraId="2E0B0A95" w14:textId="77777777" w:rsidR="00810C99" w:rsidRPr="00583A14" w:rsidRDefault="00810C99" w:rsidP="00DC54F7">
            <w:pPr>
              <w:spacing w:after="0" w:line="240" w:lineRule="auto"/>
              <w:jc w:val="both"/>
              <w:rPr>
                <w:rFonts w:ascii="Arial" w:eastAsia="Times New Roman" w:hAnsi="Arial" w:cs="Arial"/>
                <w:color w:val="000000"/>
                <w:lang w:eastAsia="en-GB"/>
              </w:rPr>
            </w:pPr>
            <w:r w:rsidRPr="00583A14">
              <w:rPr>
                <w:rFonts w:ascii="Arial" w:eastAsia="Times New Roman" w:hAnsi="Arial" w:cs="Arial"/>
                <w:color w:val="000000"/>
                <w:lang w:eastAsia="en-GB"/>
              </w:rPr>
              <w:t>Cardiff and Vale UHB</w:t>
            </w:r>
          </w:p>
        </w:tc>
        <w:tc>
          <w:tcPr>
            <w:tcW w:w="6087" w:type="dxa"/>
            <w:shd w:val="clear" w:color="EDEDED" w:fill="EDEDED"/>
            <w:noWrap/>
            <w:vAlign w:val="bottom"/>
            <w:hideMark/>
          </w:tcPr>
          <w:p w14:paraId="78A1C03B" w14:textId="77777777" w:rsidR="00810C99" w:rsidRPr="00583A14" w:rsidRDefault="00810C99" w:rsidP="00DC54F7">
            <w:pPr>
              <w:spacing w:after="0" w:line="240" w:lineRule="auto"/>
              <w:jc w:val="both"/>
              <w:rPr>
                <w:rFonts w:ascii="Arial" w:eastAsia="Times New Roman" w:hAnsi="Arial" w:cs="Arial"/>
                <w:color w:val="000000"/>
                <w:lang w:eastAsia="en-GB"/>
              </w:rPr>
            </w:pPr>
            <w:r w:rsidRPr="00583A14">
              <w:rPr>
                <w:rFonts w:ascii="Arial" w:eastAsia="Times New Roman" w:hAnsi="Arial" w:cs="Arial"/>
                <w:color w:val="000000"/>
                <w:lang w:eastAsia="en-GB"/>
              </w:rPr>
              <w:t>0.3</w:t>
            </w:r>
          </w:p>
        </w:tc>
      </w:tr>
      <w:tr w:rsidR="00810C99" w:rsidRPr="00810C99" w14:paraId="022E148D" w14:textId="77777777" w:rsidTr="00BB4EE0">
        <w:trPr>
          <w:trHeight w:val="272"/>
        </w:trPr>
        <w:tc>
          <w:tcPr>
            <w:tcW w:w="3020" w:type="dxa"/>
            <w:shd w:val="clear" w:color="auto" w:fill="auto"/>
            <w:noWrap/>
            <w:vAlign w:val="bottom"/>
            <w:hideMark/>
          </w:tcPr>
          <w:p w14:paraId="0FB0118E" w14:textId="77777777" w:rsidR="00810C99" w:rsidRPr="00583A14" w:rsidRDefault="00810C99" w:rsidP="00DC54F7">
            <w:pPr>
              <w:spacing w:after="0" w:line="240" w:lineRule="auto"/>
              <w:jc w:val="both"/>
              <w:rPr>
                <w:rFonts w:ascii="Arial" w:eastAsia="Times New Roman" w:hAnsi="Arial" w:cs="Arial"/>
                <w:color w:val="000000"/>
                <w:lang w:eastAsia="en-GB"/>
              </w:rPr>
            </w:pPr>
            <w:r w:rsidRPr="00583A14">
              <w:rPr>
                <w:rFonts w:ascii="Arial" w:eastAsia="Times New Roman" w:hAnsi="Arial" w:cs="Arial"/>
                <w:color w:val="000000"/>
                <w:lang w:eastAsia="en-GB"/>
              </w:rPr>
              <w:t>Wales</w:t>
            </w:r>
          </w:p>
        </w:tc>
        <w:tc>
          <w:tcPr>
            <w:tcW w:w="6087" w:type="dxa"/>
            <w:shd w:val="clear" w:color="auto" w:fill="auto"/>
            <w:noWrap/>
            <w:vAlign w:val="bottom"/>
            <w:hideMark/>
          </w:tcPr>
          <w:p w14:paraId="709E40EF" w14:textId="77777777" w:rsidR="00810C99" w:rsidRPr="00583A14" w:rsidRDefault="00810C99" w:rsidP="00DC54F7">
            <w:pPr>
              <w:spacing w:after="0" w:line="240" w:lineRule="auto"/>
              <w:jc w:val="both"/>
              <w:rPr>
                <w:rFonts w:ascii="Arial" w:eastAsia="Times New Roman" w:hAnsi="Arial" w:cs="Arial"/>
                <w:color w:val="000000"/>
                <w:lang w:eastAsia="en-GB"/>
              </w:rPr>
            </w:pPr>
            <w:r w:rsidRPr="00583A14">
              <w:rPr>
                <w:rFonts w:ascii="Arial" w:eastAsia="Times New Roman" w:hAnsi="Arial" w:cs="Arial"/>
                <w:color w:val="000000"/>
                <w:lang w:eastAsia="en-GB"/>
              </w:rPr>
              <w:t>0.3</w:t>
            </w:r>
          </w:p>
        </w:tc>
      </w:tr>
    </w:tbl>
    <w:p w14:paraId="60B5E53E" w14:textId="4F006ACA" w:rsidR="00810C99" w:rsidRPr="00EC4996" w:rsidRDefault="00EC4996" w:rsidP="00DC54F7">
      <w:pPr>
        <w:jc w:val="both"/>
        <w:rPr>
          <w:rFonts w:ascii="Arial" w:hAnsi="Arial" w:cs="Arial"/>
        </w:rPr>
      </w:pPr>
      <w:r w:rsidRPr="00EC4996">
        <w:rPr>
          <w:rFonts w:ascii="Arial" w:hAnsi="Arial" w:cs="Arial"/>
        </w:rPr>
        <w:t>Source: QOF</w:t>
      </w:r>
      <w:r w:rsidR="00D47569">
        <w:rPr>
          <w:rFonts w:ascii="Arial" w:hAnsi="Arial" w:cs="Arial"/>
        </w:rPr>
        <w:t xml:space="preserve"> 2019</w:t>
      </w:r>
    </w:p>
    <w:p w14:paraId="24044B6B" w14:textId="708DBD4B" w:rsidR="00BC7423" w:rsidRPr="00D11856" w:rsidRDefault="009437F3" w:rsidP="00DC54F7">
      <w:pPr>
        <w:spacing w:after="0" w:line="240" w:lineRule="auto"/>
        <w:jc w:val="both"/>
        <w:rPr>
          <w:rFonts w:ascii="Arial" w:hAnsi="Arial" w:cs="Arial"/>
          <w:sz w:val="24"/>
          <w:szCs w:val="24"/>
        </w:rPr>
      </w:pPr>
      <w:r w:rsidRPr="00D11856">
        <w:rPr>
          <w:rFonts w:ascii="Arial" w:hAnsi="Arial" w:cs="Arial"/>
          <w:sz w:val="24"/>
          <w:szCs w:val="24"/>
        </w:rPr>
        <w:t>A hip fracture is one of the most common fragility fractures. It is a major public health issue due to an ever-increasing ageing population</w:t>
      </w:r>
      <w:r w:rsidR="00000869" w:rsidRPr="00D11856">
        <w:rPr>
          <w:rFonts w:ascii="Arial" w:hAnsi="Arial" w:cs="Arial"/>
          <w:sz w:val="24"/>
          <w:szCs w:val="24"/>
        </w:rPr>
        <w:t xml:space="preserve">. </w:t>
      </w:r>
      <w:r w:rsidR="00BC7423" w:rsidRPr="00D11856">
        <w:rPr>
          <w:rFonts w:ascii="Arial" w:hAnsi="Arial" w:cs="Arial"/>
          <w:sz w:val="24"/>
          <w:szCs w:val="24"/>
        </w:rPr>
        <w:t>The National Hip Fracture Database (NHFD) reported tha</w:t>
      </w:r>
      <w:r w:rsidR="009860C3" w:rsidRPr="00D11856">
        <w:rPr>
          <w:rFonts w:ascii="Arial" w:hAnsi="Arial" w:cs="Arial"/>
          <w:sz w:val="24"/>
          <w:szCs w:val="24"/>
        </w:rPr>
        <w:t>t in</w:t>
      </w:r>
      <w:r w:rsidR="00BC7423" w:rsidRPr="00D11856">
        <w:rPr>
          <w:rFonts w:ascii="Arial" w:hAnsi="Arial" w:cs="Arial"/>
          <w:sz w:val="24"/>
          <w:szCs w:val="24"/>
        </w:rPr>
        <w:t xml:space="preserve"> 2016, 6.7% of people had died within 30 days of presentation with a hip fracture. </w:t>
      </w:r>
      <w:r w:rsidR="00000869" w:rsidRPr="00D11856">
        <w:rPr>
          <w:rFonts w:ascii="Arial" w:hAnsi="Arial" w:cs="Arial"/>
          <w:sz w:val="24"/>
          <w:szCs w:val="24"/>
        </w:rPr>
        <w:t>U</w:t>
      </w:r>
      <w:r w:rsidR="00BC7423" w:rsidRPr="00D11856">
        <w:rPr>
          <w:rFonts w:ascii="Arial" w:hAnsi="Arial" w:cs="Arial"/>
          <w:sz w:val="24"/>
          <w:szCs w:val="24"/>
        </w:rPr>
        <w:t>p to a third of people die within a year. This is in part because many of these people have other long-term conditions or may be living with frailty, rather than the hip fracture itself.</w:t>
      </w:r>
      <w:r w:rsidR="001057FA" w:rsidRPr="00D11856">
        <w:rPr>
          <w:rFonts w:ascii="Arial" w:hAnsi="Arial" w:cs="Arial"/>
          <w:sz w:val="24"/>
          <w:szCs w:val="24"/>
        </w:rPr>
        <w:t xml:space="preserve"> </w:t>
      </w:r>
    </w:p>
    <w:p w14:paraId="28E2DA0E" w14:textId="77777777" w:rsidR="00CF7220" w:rsidRPr="00D11856" w:rsidRDefault="00CF7220" w:rsidP="00DC54F7">
      <w:pPr>
        <w:spacing w:after="0" w:line="240" w:lineRule="auto"/>
        <w:jc w:val="both"/>
        <w:rPr>
          <w:rFonts w:ascii="Arial" w:hAnsi="Arial" w:cs="Arial"/>
          <w:sz w:val="24"/>
          <w:szCs w:val="24"/>
        </w:rPr>
      </w:pPr>
    </w:p>
    <w:p w14:paraId="4C6F86C1" w14:textId="051BBC5D" w:rsidR="00117DF6" w:rsidRPr="00D11856" w:rsidRDefault="003D01F5" w:rsidP="00DC54F7">
      <w:pPr>
        <w:pStyle w:val="NoSpacing"/>
        <w:rPr>
          <w:rFonts w:ascii="Arial" w:hAnsi="Arial" w:cs="Arial"/>
          <w:szCs w:val="24"/>
        </w:rPr>
      </w:pPr>
      <w:r w:rsidRPr="00D11856">
        <w:rPr>
          <w:rFonts w:ascii="Arial" w:hAnsi="Arial" w:cs="Arial"/>
          <w:szCs w:val="24"/>
        </w:rPr>
        <w:t xml:space="preserve">Cardiff and Vale University Health Board </w:t>
      </w:r>
      <w:r w:rsidR="007C322D" w:rsidRPr="00D11856">
        <w:rPr>
          <w:rFonts w:ascii="Arial" w:hAnsi="Arial" w:cs="Arial"/>
          <w:szCs w:val="24"/>
        </w:rPr>
        <w:t xml:space="preserve">(569.6 </w:t>
      </w:r>
      <w:r w:rsidR="003D74E6" w:rsidRPr="00D11856">
        <w:rPr>
          <w:rFonts w:ascii="Arial" w:hAnsi="Arial" w:cs="Arial"/>
          <w:szCs w:val="24"/>
        </w:rPr>
        <w:t xml:space="preserve">per 100,000 population) </w:t>
      </w:r>
      <w:r w:rsidRPr="00D11856">
        <w:rPr>
          <w:rFonts w:ascii="Arial" w:hAnsi="Arial" w:cs="Arial"/>
          <w:szCs w:val="24"/>
        </w:rPr>
        <w:t xml:space="preserve">has a lower </w:t>
      </w:r>
      <w:r w:rsidR="00117DF6" w:rsidRPr="00D11856">
        <w:rPr>
          <w:rFonts w:ascii="Arial" w:hAnsi="Arial" w:cs="Arial"/>
          <w:szCs w:val="24"/>
        </w:rPr>
        <w:t xml:space="preserve">hip fracture rate </w:t>
      </w:r>
      <w:r w:rsidR="000F0E76" w:rsidRPr="00D11856">
        <w:rPr>
          <w:rFonts w:ascii="Arial" w:hAnsi="Arial" w:cs="Arial"/>
          <w:szCs w:val="24"/>
        </w:rPr>
        <w:t>for person</w:t>
      </w:r>
      <w:r w:rsidR="001068DE" w:rsidRPr="00D11856">
        <w:rPr>
          <w:rFonts w:ascii="Arial" w:hAnsi="Arial" w:cs="Arial"/>
          <w:szCs w:val="24"/>
        </w:rPr>
        <w:t>s</w:t>
      </w:r>
      <w:r w:rsidR="000F0E76" w:rsidRPr="00D11856">
        <w:rPr>
          <w:rFonts w:ascii="Arial" w:hAnsi="Arial" w:cs="Arial"/>
          <w:szCs w:val="24"/>
        </w:rPr>
        <w:t xml:space="preserve"> aged 65 years</w:t>
      </w:r>
      <w:r w:rsidR="001068DE" w:rsidRPr="00D11856">
        <w:rPr>
          <w:rFonts w:ascii="Arial" w:hAnsi="Arial" w:cs="Arial"/>
          <w:szCs w:val="24"/>
        </w:rPr>
        <w:t xml:space="preserve"> and over</w:t>
      </w:r>
      <w:r w:rsidR="000F0E76" w:rsidRPr="00D11856">
        <w:rPr>
          <w:rFonts w:ascii="Arial" w:hAnsi="Arial" w:cs="Arial"/>
          <w:szCs w:val="24"/>
        </w:rPr>
        <w:t xml:space="preserve"> </w:t>
      </w:r>
      <w:r w:rsidR="00F95718" w:rsidRPr="00D11856">
        <w:rPr>
          <w:rFonts w:ascii="Arial" w:hAnsi="Arial" w:cs="Arial"/>
          <w:szCs w:val="24"/>
        </w:rPr>
        <w:t>than the average for Wales</w:t>
      </w:r>
      <w:r w:rsidR="000F0E76" w:rsidRPr="00D11856">
        <w:rPr>
          <w:rFonts w:ascii="Arial" w:hAnsi="Arial" w:cs="Arial"/>
          <w:szCs w:val="24"/>
        </w:rPr>
        <w:t xml:space="preserve"> (579.0 per 100,000 population)</w:t>
      </w:r>
      <w:r w:rsidR="00ED77E8" w:rsidRPr="00D11856">
        <w:rPr>
          <w:rFonts w:ascii="Arial" w:hAnsi="Arial" w:cs="Arial"/>
          <w:szCs w:val="24"/>
        </w:rPr>
        <w:t xml:space="preserve">. </w:t>
      </w:r>
      <w:r w:rsidR="001E26A0" w:rsidRPr="00D11856">
        <w:rPr>
          <w:rFonts w:ascii="Arial" w:hAnsi="Arial" w:cs="Arial"/>
          <w:szCs w:val="24"/>
        </w:rPr>
        <w:t>T</w:t>
      </w:r>
      <w:r w:rsidR="00DD7894" w:rsidRPr="00D11856">
        <w:rPr>
          <w:rFonts w:ascii="Arial" w:hAnsi="Arial" w:cs="Arial"/>
          <w:szCs w:val="24"/>
        </w:rPr>
        <w:t xml:space="preserve">he Vale of Glamorgan has </w:t>
      </w:r>
      <w:r w:rsidR="001E26A0" w:rsidRPr="00D11856">
        <w:rPr>
          <w:rFonts w:ascii="Arial" w:hAnsi="Arial" w:cs="Arial"/>
          <w:szCs w:val="24"/>
        </w:rPr>
        <w:t xml:space="preserve">the lowest rate </w:t>
      </w:r>
      <w:r w:rsidR="0092763F" w:rsidRPr="00D11856">
        <w:rPr>
          <w:rFonts w:ascii="Arial" w:hAnsi="Arial" w:cs="Arial"/>
          <w:szCs w:val="24"/>
        </w:rPr>
        <w:t>(548.9 per 100</w:t>
      </w:r>
      <w:r w:rsidR="00B63D6F" w:rsidRPr="00D11856">
        <w:rPr>
          <w:rFonts w:ascii="Arial" w:hAnsi="Arial" w:cs="Arial"/>
          <w:szCs w:val="24"/>
        </w:rPr>
        <w:t>,000</w:t>
      </w:r>
      <w:r w:rsidR="003D74E6" w:rsidRPr="00D11856">
        <w:rPr>
          <w:rFonts w:ascii="Arial" w:hAnsi="Arial" w:cs="Arial"/>
          <w:szCs w:val="24"/>
        </w:rPr>
        <w:t xml:space="preserve"> population</w:t>
      </w:r>
      <w:r w:rsidR="00B63D6F" w:rsidRPr="00D11856">
        <w:rPr>
          <w:rFonts w:ascii="Arial" w:hAnsi="Arial" w:cs="Arial"/>
          <w:szCs w:val="24"/>
        </w:rPr>
        <w:t xml:space="preserve">) within the health board area and </w:t>
      </w:r>
      <w:r w:rsidR="00BB17E9" w:rsidRPr="00D11856">
        <w:rPr>
          <w:rFonts w:ascii="Arial" w:hAnsi="Arial" w:cs="Arial"/>
          <w:szCs w:val="24"/>
        </w:rPr>
        <w:t>Cardiff has the highest (582.7 per 100,000</w:t>
      </w:r>
      <w:r w:rsidR="003D74E6" w:rsidRPr="00D11856">
        <w:rPr>
          <w:rFonts w:ascii="Arial" w:hAnsi="Arial" w:cs="Arial"/>
          <w:szCs w:val="24"/>
        </w:rPr>
        <w:t xml:space="preserve"> population</w:t>
      </w:r>
      <w:r w:rsidR="00BB17E9" w:rsidRPr="00D11856">
        <w:rPr>
          <w:rFonts w:ascii="Arial" w:hAnsi="Arial" w:cs="Arial"/>
          <w:szCs w:val="24"/>
        </w:rPr>
        <w:t xml:space="preserve">), </w:t>
      </w:r>
      <w:r w:rsidR="001068DE" w:rsidRPr="00D11856">
        <w:rPr>
          <w:rFonts w:ascii="Arial" w:hAnsi="Arial" w:cs="Arial"/>
          <w:szCs w:val="24"/>
        </w:rPr>
        <w:t xml:space="preserve">which is </w:t>
      </w:r>
      <w:r w:rsidR="00BB17E9" w:rsidRPr="00D11856">
        <w:rPr>
          <w:rFonts w:ascii="Arial" w:hAnsi="Arial" w:cs="Arial"/>
          <w:szCs w:val="24"/>
        </w:rPr>
        <w:t xml:space="preserve">higher </w:t>
      </w:r>
      <w:r w:rsidR="00F95718" w:rsidRPr="00D11856">
        <w:rPr>
          <w:rFonts w:ascii="Arial" w:hAnsi="Arial" w:cs="Arial"/>
          <w:szCs w:val="24"/>
        </w:rPr>
        <w:t>than the average for Wales</w:t>
      </w:r>
      <w:r w:rsidR="00B22C6F" w:rsidRPr="00D11856">
        <w:rPr>
          <w:rFonts w:ascii="Arial" w:hAnsi="Arial" w:cs="Arial"/>
          <w:szCs w:val="24"/>
        </w:rPr>
        <w:t>.</w:t>
      </w:r>
    </w:p>
    <w:p w14:paraId="7C5A81A9" w14:textId="77777777" w:rsidR="00281BAE" w:rsidRDefault="00281BAE" w:rsidP="00DC54F7">
      <w:pPr>
        <w:pStyle w:val="NoSpacing"/>
        <w:rPr>
          <w:rFonts w:ascii="Arial" w:hAnsi="Arial" w:cs="Arial"/>
          <w:sz w:val="22"/>
          <w:szCs w:val="22"/>
        </w:rPr>
      </w:pPr>
    </w:p>
    <w:p w14:paraId="4E2059D3" w14:textId="1EE4F623" w:rsidR="001350DA" w:rsidRPr="00D11856" w:rsidRDefault="000639DE" w:rsidP="00DC54F7">
      <w:pPr>
        <w:pStyle w:val="Caption"/>
        <w:spacing w:before="0" w:after="0"/>
        <w:jc w:val="both"/>
        <w:rPr>
          <w:rFonts w:ascii="Arial" w:hAnsi="Arial" w:cs="Arial"/>
          <w:szCs w:val="24"/>
        </w:rPr>
      </w:pPr>
      <w:bookmarkStart w:id="20" w:name="_Toc60225194"/>
      <w:r w:rsidRPr="00D11856">
        <w:rPr>
          <w:rFonts w:ascii="Arial" w:hAnsi="Arial" w:cs="Arial"/>
          <w:szCs w:val="24"/>
        </w:rPr>
        <w:t>Table</w:t>
      </w:r>
      <w:r w:rsidR="00F22702" w:rsidRPr="00D11856">
        <w:rPr>
          <w:rFonts w:ascii="Arial" w:hAnsi="Arial" w:cs="Arial"/>
          <w:szCs w:val="24"/>
        </w:rPr>
        <w:t xml:space="preserve"> 3.17</w:t>
      </w:r>
      <w:r w:rsidRPr="00D11856">
        <w:rPr>
          <w:rFonts w:ascii="Arial" w:hAnsi="Arial" w:cs="Arial"/>
          <w:szCs w:val="24"/>
        </w:rPr>
        <w:t xml:space="preserve">: Hip fractures, European age-standardised rate per 100,000 population, all persons aged 65 years and over by </w:t>
      </w:r>
      <w:r w:rsidR="00567F4B" w:rsidRPr="00D11856">
        <w:rPr>
          <w:rFonts w:ascii="Arial" w:hAnsi="Arial" w:cs="Arial"/>
          <w:szCs w:val="24"/>
        </w:rPr>
        <w:t>local</w:t>
      </w:r>
      <w:r w:rsidRPr="00D11856">
        <w:rPr>
          <w:rFonts w:ascii="Arial" w:hAnsi="Arial" w:cs="Arial"/>
          <w:szCs w:val="24"/>
        </w:rPr>
        <w:t xml:space="preserve"> authority</w:t>
      </w:r>
      <w:r w:rsidR="00B97DC6" w:rsidRPr="00D11856">
        <w:rPr>
          <w:rFonts w:ascii="Arial" w:hAnsi="Arial" w:cs="Arial"/>
          <w:szCs w:val="24"/>
        </w:rPr>
        <w:t xml:space="preserve">, health board and </w:t>
      </w:r>
      <w:r w:rsidRPr="00D11856">
        <w:rPr>
          <w:rFonts w:ascii="Arial" w:hAnsi="Arial" w:cs="Arial"/>
          <w:szCs w:val="24"/>
        </w:rPr>
        <w:t>Wales, 2018</w:t>
      </w:r>
      <w:r w:rsidR="00281BAE" w:rsidRPr="00D11856">
        <w:rPr>
          <w:rFonts w:ascii="Arial" w:hAnsi="Arial" w:cs="Arial"/>
          <w:szCs w:val="24"/>
        </w:rPr>
        <w:t xml:space="preserve"> to 20</w:t>
      </w:r>
      <w:r w:rsidRPr="00D11856">
        <w:rPr>
          <w:rFonts w:ascii="Arial" w:hAnsi="Arial" w:cs="Arial"/>
          <w:szCs w:val="24"/>
        </w:rPr>
        <w:t>19</w:t>
      </w:r>
      <w:bookmarkEnd w:id="20"/>
    </w:p>
    <w:tbl>
      <w:tblPr>
        <w:tblW w:w="9184" w:type="dxa"/>
        <w:tblLook w:val="04A0" w:firstRow="1" w:lastRow="0" w:firstColumn="1" w:lastColumn="0" w:noHBand="0" w:noVBand="1"/>
      </w:tblPr>
      <w:tblGrid>
        <w:gridCol w:w="4592"/>
        <w:gridCol w:w="4592"/>
      </w:tblGrid>
      <w:tr w:rsidR="003E4242" w:rsidRPr="003E4242" w14:paraId="4C3F2B9D" w14:textId="77777777" w:rsidTr="00BB4EE0">
        <w:trPr>
          <w:trHeight w:val="279"/>
        </w:trPr>
        <w:tc>
          <w:tcPr>
            <w:tcW w:w="4592" w:type="dxa"/>
            <w:tcBorders>
              <w:top w:val="single" w:sz="4" w:space="0" w:color="auto"/>
              <w:left w:val="single" w:sz="4" w:space="0" w:color="auto"/>
              <w:bottom w:val="single" w:sz="4" w:space="0" w:color="C9C9C9"/>
              <w:right w:val="nil"/>
            </w:tcBorders>
            <w:shd w:val="clear" w:color="000000" w:fill="8497B0"/>
            <w:noWrap/>
            <w:vAlign w:val="bottom"/>
            <w:hideMark/>
          </w:tcPr>
          <w:p w14:paraId="11DE54B8" w14:textId="77777777" w:rsidR="003E4242" w:rsidRPr="003E4242" w:rsidRDefault="003E4242" w:rsidP="00DC54F7">
            <w:pPr>
              <w:spacing w:after="0" w:line="240" w:lineRule="auto"/>
              <w:jc w:val="both"/>
              <w:rPr>
                <w:rFonts w:ascii="Calibri" w:eastAsia="Times New Roman" w:hAnsi="Calibri" w:cs="Calibri"/>
                <w:b/>
                <w:bCs/>
                <w:color w:val="FFFFFF"/>
                <w:lang w:eastAsia="en-GB"/>
              </w:rPr>
            </w:pPr>
            <w:r w:rsidRPr="003E4242">
              <w:rPr>
                <w:rFonts w:ascii="Calibri" w:eastAsia="Times New Roman" w:hAnsi="Calibri" w:cs="Calibri"/>
                <w:b/>
                <w:bCs/>
                <w:color w:val="FFFFFF"/>
                <w:lang w:eastAsia="en-GB"/>
              </w:rPr>
              <w:t>Area</w:t>
            </w:r>
          </w:p>
        </w:tc>
        <w:tc>
          <w:tcPr>
            <w:tcW w:w="4592" w:type="dxa"/>
            <w:tcBorders>
              <w:top w:val="single" w:sz="4" w:space="0" w:color="auto"/>
              <w:left w:val="nil"/>
              <w:bottom w:val="single" w:sz="4" w:space="0" w:color="C9C9C9"/>
              <w:right w:val="single" w:sz="4" w:space="0" w:color="auto"/>
            </w:tcBorders>
            <w:shd w:val="clear" w:color="000000" w:fill="8497B0"/>
            <w:noWrap/>
            <w:vAlign w:val="bottom"/>
            <w:hideMark/>
          </w:tcPr>
          <w:p w14:paraId="1964D4AA" w14:textId="77777777" w:rsidR="003E4242" w:rsidRPr="003E4242" w:rsidRDefault="003E4242" w:rsidP="00DC54F7">
            <w:pPr>
              <w:spacing w:after="0" w:line="240" w:lineRule="auto"/>
              <w:jc w:val="both"/>
              <w:rPr>
                <w:rFonts w:ascii="Calibri" w:eastAsia="Times New Roman" w:hAnsi="Calibri" w:cs="Calibri"/>
                <w:b/>
                <w:bCs/>
                <w:color w:val="FFFFFF"/>
                <w:lang w:eastAsia="en-GB"/>
              </w:rPr>
            </w:pPr>
            <w:r w:rsidRPr="003E4242">
              <w:rPr>
                <w:rFonts w:ascii="Calibri" w:eastAsia="Times New Roman" w:hAnsi="Calibri" w:cs="Calibri"/>
                <w:b/>
                <w:bCs/>
                <w:color w:val="FFFFFF"/>
                <w:lang w:eastAsia="en-GB"/>
              </w:rPr>
              <w:t>Rate</w:t>
            </w:r>
          </w:p>
        </w:tc>
      </w:tr>
      <w:tr w:rsidR="003E4242" w:rsidRPr="003E4242" w14:paraId="1EF89291" w14:textId="77777777" w:rsidTr="00BB4EE0">
        <w:trPr>
          <w:trHeight w:val="279"/>
        </w:trPr>
        <w:tc>
          <w:tcPr>
            <w:tcW w:w="4592" w:type="dxa"/>
            <w:tcBorders>
              <w:top w:val="nil"/>
              <w:left w:val="single" w:sz="4" w:space="0" w:color="auto"/>
              <w:bottom w:val="single" w:sz="4" w:space="0" w:color="C9C9C9"/>
              <w:right w:val="nil"/>
            </w:tcBorders>
            <w:shd w:val="clear" w:color="EDEDED" w:fill="EDEDED"/>
            <w:noWrap/>
            <w:vAlign w:val="bottom"/>
            <w:hideMark/>
          </w:tcPr>
          <w:p w14:paraId="2E79062B" w14:textId="77777777" w:rsidR="003E4242" w:rsidRPr="003E4242" w:rsidRDefault="003E4242" w:rsidP="00DC54F7">
            <w:pPr>
              <w:spacing w:after="0" w:line="240" w:lineRule="auto"/>
              <w:jc w:val="both"/>
              <w:rPr>
                <w:rFonts w:ascii="Verdana" w:eastAsia="Times New Roman" w:hAnsi="Verdana" w:cs="Calibri"/>
                <w:color w:val="000000"/>
                <w:sz w:val="20"/>
                <w:szCs w:val="20"/>
                <w:lang w:eastAsia="en-GB"/>
              </w:rPr>
            </w:pPr>
            <w:r w:rsidRPr="003E4242">
              <w:rPr>
                <w:rFonts w:ascii="Verdana" w:eastAsia="Times New Roman" w:hAnsi="Verdana" w:cs="Calibri"/>
                <w:color w:val="000000"/>
                <w:sz w:val="20"/>
                <w:szCs w:val="20"/>
                <w:lang w:eastAsia="en-GB"/>
              </w:rPr>
              <w:t>Cardiff</w:t>
            </w:r>
          </w:p>
        </w:tc>
        <w:tc>
          <w:tcPr>
            <w:tcW w:w="4592" w:type="dxa"/>
            <w:tcBorders>
              <w:top w:val="nil"/>
              <w:left w:val="nil"/>
              <w:bottom w:val="single" w:sz="4" w:space="0" w:color="C9C9C9"/>
              <w:right w:val="single" w:sz="4" w:space="0" w:color="auto"/>
            </w:tcBorders>
            <w:shd w:val="clear" w:color="EDEDED" w:fill="EDEDED"/>
            <w:noWrap/>
            <w:vAlign w:val="bottom"/>
            <w:hideMark/>
          </w:tcPr>
          <w:p w14:paraId="73EE7B2E" w14:textId="77777777" w:rsidR="003E4242" w:rsidRPr="003E4242" w:rsidRDefault="003E4242" w:rsidP="00DC54F7">
            <w:pPr>
              <w:spacing w:after="0" w:line="240" w:lineRule="auto"/>
              <w:jc w:val="both"/>
              <w:rPr>
                <w:rFonts w:ascii="Verdana" w:eastAsia="Times New Roman" w:hAnsi="Verdana" w:cs="Calibri"/>
                <w:color w:val="000000"/>
                <w:sz w:val="20"/>
                <w:szCs w:val="20"/>
                <w:lang w:eastAsia="en-GB"/>
              </w:rPr>
            </w:pPr>
            <w:r w:rsidRPr="003E4242">
              <w:rPr>
                <w:rFonts w:ascii="Verdana" w:eastAsia="Times New Roman" w:hAnsi="Verdana" w:cs="Calibri"/>
                <w:color w:val="000000"/>
                <w:sz w:val="20"/>
                <w:szCs w:val="20"/>
                <w:lang w:eastAsia="en-GB"/>
              </w:rPr>
              <w:t>582.7</w:t>
            </w:r>
          </w:p>
        </w:tc>
      </w:tr>
      <w:tr w:rsidR="003E4242" w:rsidRPr="003E4242" w14:paraId="395DB569" w14:textId="77777777" w:rsidTr="00BB4EE0">
        <w:trPr>
          <w:trHeight w:val="279"/>
        </w:trPr>
        <w:tc>
          <w:tcPr>
            <w:tcW w:w="4592" w:type="dxa"/>
            <w:tcBorders>
              <w:top w:val="nil"/>
              <w:left w:val="single" w:sz="4" w:space="0" w:color="auto"/>
              <w:bottom w:val="single" w:sz="4" w:space="0" w:color="C9C9C9"/>
              <w:right w:val="nil"/>
            </w:tcBorders>
            <w:shd w:val="clear" w:color="auto" w:fill="auto"/>
            <w:noWrap/>
            <w:vAlign w:val="bottom"/>
            <w:hideMark/>
          </w:tcPr>
          <w:p w14:paraId="411B8C15" w14:textId="77777777" w:rsidR="003E4242" w:rsidRPr="003E4242" w:rsidRDefault="003E4242" w:rsidP="00DC54F7">
            <w:pPr>
              <w:spacing w:after="0" w:line="240" w:lineRule="auto"/>
              <w:jc w:val="both"/>
              <w:rPr>
                <w:rFonts w:ascii="Verdana" w:eastAsia="Times New Roman" w:hAnsi="Verdana" w:cs="Calibri"/>
                <w:color w:val="000000"/>
                <w:sz w:val="20"/>
                <w:szCs w:val="20"/>
                <w:lang w:eastAsia="en-GB"/>
              </w:rPr>
            </w:pPr>
            <w:r w:rsidRPr="003E4242">
              <w:rPr>
                <w:rFonts w:ascii="Verdana" w:eastAsia="Times New Roman" w:hAnsi="Verdana" w:cs="Calibri"/>
                <w:color w:val="000000"/>
                <w:sz w:val="20"/>
                <w:szCs w:val="20"/>
                <w:lang w:eastAsia="en-GB"/>
              </w:rPr>
              <w:t>Vale of Glamorgan</w:t>
            </w:r>
          </w:p>
        </w:tc>
        <w:tc>
          <w:tcPr>
            <w:tcW w:w="4592" w:type="dxa"/>
            <w:tcBorders>
              <w:top w:val="nil"/>
              <w:left w:val="nil"/>
              <w:bottom w:val="single" w:sz="4" w:space="0" w:color="C9C9C9"/>
              <w:right w:val="single" w:sz="4" w:space="0" w:color="auto"/>
            </w:tcBorders>
            <w:shd w:val="clear" w:color="auto" w:fill="auto"/>
            <w:noWrap/>
            <w:vAlign w:val="bottom"/>
            <w:hideMark/>
          </w:tcPr>
          <w:p w14:paraId="58D9DF70" w14:textId="77777777" w:rsidR="003E4242" w:rsidRPr="003E4242" w:rsidRDefault="003E4242" w:rsidP="00DC54F7">
            <w:pPr>
              <w:spacing w:after="0" w:line="240" w:lineRule="auto"/>
              <w:jc w:val="both"/>
              <w:rPr>
                <w:rFonts w:ascii="Verdana" w:eastAsia="Times New Roman" w:hAnsi="Verdana" w:cs="Calibri"/>
                <w:color w:val="000000"/>
                <w:sz w:val="20"/>
                <w:szCs w:val="20"/>
                <w:lang w:eastAsia="en-GB"/>
              </w:rPr>
            </w:pPr>
            <w:r w:rsidRPr="003E4242">
              <w:rPr>
                <w:rFonts w:ascii="Verdana" w:eastAsia="Times New Roman" w:hAnsi="Verdana" w:cs="Calibri"/>
                <w:color w:val="000000"/>
                <w:sz w:val="20"/>
                <w:szCs w:val="20"/>
                <w:lang w:eastAsia="en-GB"/>
              </w:rPr>
              <w:t>548.9</w:t>
            </w:r>
          </w:p>
        </w:tc>
      </w:tr>
      <w:tr w:rsidR="003E4242" w:rsidRPr="003E4242" w14:paraId="1BCA5A3A" w14:textId="77777777" w:rsidTr="00BB4EE0">
        <w:trPr>
          <w:trHeight w:val="279"/>
        </w:trPr>
        <w:tc>
          <w:tcPr>
            <w:tcW w:w="4592" w:type="dxa"/>
            <w:tcBorders>
              <w:top w:val="nil"/>
              <w:left w:val="single" w:sz="4" w:space="0" w:color="auto"/>
              <w:bottom w:val="single" w:sz="4" w:space="0" w:color="C9C9C9"/>
              <w:right w:val="nil"/>
            </w:tcBorders>
            <w:shd w:val="clear" w:color="EDEDED" w:fill="EDEDED"/>
            <w:noWrap/>
            <w:vAlign w:val="bottom"/>
            <w:hideMark/>
          </w:tcPr>
          <w:p w14:paraId="5B05624C" w14:textId="77777777" w:rsidR="003E4242" w:rsidRPr="003E4242" w:rsidRDefault="003E4242" w:rsidP="00DC54F7">
            <w:pPr>
              <w:spacing w:after="0" w:line="240" w:lineRule="auto"/>
              <w:jc w:val="both"/>
              <w:rPr>
                <w:rFonts w:ascii="Verdana" w:eastAsia="Times New Roman" w:hAnsi="Verdana" w:cs="Calibri"/>
                <w:color w:val="000000"/>
                <w:sz w:val="20"/>
                <w:szCs w:val="20"/>
                <w:lang w:eastAsia="en-GB"/>
              </w:rPr>
            </w:pPr>
            <w:r w:rsidRPr="003E4242">
              <w:rPr>
                <w:rFonts w:ascii="Verdana" w:eastAsia="Times New Roman" w:hAnsi="Verdana" w:cs="Calibri"/>
                <w:color w:val="000000"/>
                <w:sz w:val="20"/>
                <w:szCs w:val="20"/>
                <w:lang w:eastAsia="en-GB"/>
              </w:rPr>
              <w:t>Cardiff and Vale UHB</w:t>
            </w:r>
          </w:p>
        </w:tc>
        <w:tc>
          <w:tcPr>
            <w:tcW w:w="4592" w:type="dxa"/>
            <w:tcBorders>
              <w:top w:val="nil"/>
              <w:left w:val="nil"/>
              <w:bottom w:val="single" w:sz="4" w:space="0" w:color="C9C9C9"/>
              <w:right w:val="single" w:sz="4" w:space="0" w:color="auto"/>
            </w:tcBorders>
            <w:shd w:val="clear" w:color="EDEDED" w:fill="EDEDED"/>
            <w:noWrap/>
            <w:vAlign w:val="bottom"/>
            <w:hideMark/>
          </w:tcPr>
          <w:p w14:paraId="7898DFB0" w14:textId="77777777" w:rsidR="003E4242" w:rsidRPr="003E4242" w:rsidRDefault="003E4242" w:rsidP="00DC54F7">
            <w:pPr>
              <w:spacing w:after="0" w:line="240" w:lineRule="auto"/>
              <w:jc w:val="both"/>
              <w:rPr>
                <w:rFonts w:ascii="Verdana" w:eastAsia="Times New Roman" w:hAnsi="Verdana" w:cs="Calibri"/>
                <w:color w:val="000000"/>
                <w:sz w:val="20"/>
                <w:szCs w:val="20"/>
                <w:lang w:eastAsia="en-GB"/>
              </w:rPr>
            </w:pPr>
            <w:r w:rsidRPr="003E4242">
              <w:rPr>
                <w:rFonts w:ascii="Verdana" w:eastAsia="Times New Roman" w:hAnsi="Verdana" w:cs="Calibri"/>
                <w:color w:val="000000"/>
                <w:sz w:val="20"/>
                <w:szCs w:val="20"/>
                <w:lang w:eastAsia="en-GB"/>
              </w:rPr>
              <w:t>569.6</w:t>
            </w:r>
          </w:p>
        </w:tc>
      </w:tr>
      <w:tr w:rsidR="003E4242" w:rsidRPr="003E4242" w14:paraId="5CC8032C" w14:textId="77777777" w:rsidTr="00BB4EE0">
        <w:trPr>
          <w:trHeight w:val="279"/>
        </w:trPr>
        <w:tc>
          <w:tcPr>
            <w:tcW w:w="4592" w:type="dxa"/>
            <w:tcBorders>
              <w:top w:val="nil"/>
              <w:left w:val="single" w:sz="4" w:space="0" w:color="auto"/>
              <w:bottom w:val="single" w:sz="4" w:space="0" w:color="auto"/>
              <w:right w:val="nil"/>
            </w:tcBorders>
            <w:shd w:val="clear" w:color="auto" w:fill="auto"/>
            <w:noWrap/>
            <w:vAlign w:val="bottom"/>
            <w:hideMark/>
          </w:tcPr>
          <w:p w14:paraId="3CF41D24" w14:textId="77777777" w:rsidR="003E4242" w:rsidRPr="003E4242" w:rsidRDefault="003E4242" w:rsidP="00DC54F7">
            <w:pPr>
              <w:spacing w:after="0" w:line="240" w:lineRule="auto"/>
              <w:jc w:val="both"/>
              <w:rPr>
                <w:rFonts w:ascii="Verdana" w:eastAsia="Times New Roman" w:hAnsi="Verdana" w:cs="Calibri"/>
                <w:color w:val="000000"/>
                <w:sz w:val="20"/>
                <w:szCs w:val="20"/>
                <w:lang w:eastAsia="en-GB"/>
              </w:rPr>
            </w:pPr>
            <w:r w:rsidRPr="003E4242">
              <w:rPr>
                <w:rFonts w:ascii="Verdana" w:eastAsia="Times New Roman" w:hAnsi="Verdana" w:cs="Calibri"/>
                <w:color w:val="000000"/>
                <w:sz w:val="20"/>
                <w:szCs w:val="20"/>
                <w:lang w:eastAsia="en-GB"/>
              </w:rPr>
              <w:t>Wales</w:t>
            </w:r>
          </w:p>
        </w:tc>
        <w:tc>
          <w:tcPr>
            <w:tcW w:w="4592" w:type="dxa"/>
            <w:tcBorders>
              <w:top w:val="nil"/>
              <w:left w:val="nil"/>
              <w:bottom w:val="single" w:sz="4" w:space="0" w:color="auto"/>
              <w:right w:val="single" w:sz="4" w:space="0" w:color="auto"/>
            </w:tcBorders>
            <w:shd w:val="clear" w:color="auto" w:fill="auto"/>
            <w:noWrap/>
            <w:vAlign w:val="bottom"/>
            <w:hideMark/>
          </w:tcPr>
          <w:p w14:paraId="7C0EBF26" w14:textId="77777777" w:rsidR="003E4242" w:rsidRPr="003E4242" w:rsidRDefault="003E4242" w:rsidP="00DC54F7">
            <w:pPr>
              <w:spacing w:after="0" w:line="240" w:lineRule="auto"/>
              <w:jc w:val="both"/>
              <w:rPr>
                <w:rFonts w:ascii="Verdana" w:eastAsia="Times New Roman" w:hAnsi="Verdana" w:cs="Calibri"/>
                <w:color w:val="000000"/>
                <w:sz w:val="20"/>
                <w:szCs w:val="20"/>
                <w:lang w:eastAsia="en-GB"/>
              </w:rPr>
            </w:pPr>
            <w:r w:rsidRPr="003E4242">
              <w:rPr>
                <w:rFonts w:ascii="Verdana" w:eastAsia="Times New Roman" w:hAnsi="Verdana" w:cs="Calibri"/>
                <w:color w:val="000000"/>
                <w:sz w:val="20"/>
                <w:szCs w:val="20"/>
                <w:lang w:eastAsia="en-GB"/>
              </w:rPr>
              <w:t>579.0</w:t>
            </w:r>
          </w:p>
        </w:tc>
      </w:tr>
    </w:tbl>
    <w:p w14:paraId="10FD9A82" w14:textId="52E4A725" w:rsidR="003E4242" w:rsidRPr="00D11856" w:rsidRDefault="00B73033" w:rsidP="00DC54F7">
      <w:pPr>
        <w:spacing w:after="0" w:line="240" w:lineRule="auto"/>
        <w:jc w:val="both"/>
        <w:rPr>
          <w:rFonts w:ascii="Arial" w:hAnsi="Arial" w:cs="Arial"/>
          <w:sz w:val="20"/>
          <w:szCs w:val="20"/>
        </w:rPr>
      </w:pPr>
      <w:r w:rsidRPr="00D11856">
        <w:rPr>
          <w:rFonts w:ascii="Arial" w:hAnsi="Arial" w:cs="Arial"/>
          <w:sz w:val="20"/>
          <w:szCs w:val="20"/>
        </w:rPr>
        <w:t>Source:</w:t>
      </w:r>
      <w:r w:rsidR="00FF7A46" w:rsidRPr="00D11856">
        <w:rPr>
          <w:rFonts w:ascii="Arial" w:hAnsi="Arial" w:cs="Arial"/>
          <w:sz w:val="20"/>
          <w:szCs w:val="20"/>
        </w:rPr>
        <w:t xml:space="preserve"> Public Health Observatory Wales</w:t>
      </w:r>
    </w:p>
    <w:p w14:paraId="217AAF98" w14:textId="2C6DEE6E" w:rsidR="00130646" w:rsidRDefault="00130646" w:rsidP="00DC54F7">
      <w:pPr>
        <w:spacing w:after="0" w:line="240" w:lineRule="auto"/>
        <w:jc w:val="both"/>
        <w:rPr>
          <w:rFonts w:ascii="Arial" w:hAnsi="Arial" w:cs="Arial"/>
          <w:b/>
          <w:bCs/>
          <w:sz w:val="26"/>
          <w:szCs w:val="26"/>
        </w:rPr>
      </w:pPr>
    </w:p>
    <w:p w14:paraId="1060B9AC" w14:textId="77777777" w:rsidR="00D11856" w:rsidRDefault="00D11856" w:rsidP="00DC54F7">
      <w:pPr>
        <w:spacing w:after="0" w:line="240" w:lineRule="auto"/>
        <w:jc w:val="both"/>
        <w:rPr>
          <w:rFonts w:ascii="Arial" w:hAnsi="Arial" w:cs="Arial"/>
          <w:b/>
          <w:bCs/>
          <w:sz w:val="26"/>
          <w:szCs w:val="26"/>
        </w:rPr>
      </w:pPr>
    </w:p>
    <w:p w14:paraId="5E268A7B" w14:textId="7319488E" w:rsidR="005F3AAB" w:rsidRDefault="00E61D85" w:rsidP="00DC54F7">
      <w:pPr>
        <w:spacing w:after="0" w:line="240" w:lineRule="auto"/>
        <w:jc w:val="both"/>
        <w:rPr>
          <w:rFonts w:ascii="Arial" w:hAnsi="Arial" w:cs="Arial"/>
          <w:b/>
          <w:bCs/>
          <w:sz w:val="26"/>
          <w:szCs w:val="26"/>
        </w:rPr>
      </w:pPr>
      <w:r>
        <w:rPr>
          <w:rFonts w:ascii="Arial" w:hAnsi="Arial" w:cs="Arial"/>
          <w:b/>
          <w:bCs/>
          <w:sz w:val="26"/>
          <w:szCs w:val="26"/>
        </w:rPr>
        <w:t>3.3.</w:t>
      </w:r>
      <w:r w:rsidR="005A4EF3">
        <w:rPr>
          <w:rFonts w:ascii="Arial" w:hAnsi="Arial" w:cs="Arial"/>
          <w:b/>
          <w:bCs/>
          <w:sz w:val="26"/>
          <w:szCs w:val="26"/>
        </w:rPr>
        <w:t>7</w:t>
      </w:r>
      <w:r>
        <w:rPr>
          <w:rFonts w:ascii="Arial" w:hAnsi="Arial" w:cs="Arial"/>
          <w:b/>
          <w:bCs/>
          <w:sz w:val="26"/>
          <w:szCs w:val="26"/>
        </w:rPr>
        <w:t xml:space="preserve"> </w:t>
      </w:r>
      <w:r w:rsidR="00AA39D0">
        <w:rPr>
          <w:rFonts w:ascii="Arial" w:hAnsi="Arial" w:cs="Arial"/>
          <w:b/>
          <w:bCs/>
          <w:sz w:val="26"/>
          <w:szCs w:val="26"/>
        </w:rPr>
        <w:t>Dementia</w:t>
      </w:r>
    </w:p>
    <w:p w14:paraId="310B6B2F" w14:textId="77777777" w:rsidR="00130646" w:rsidRDefault="00130646" w:rsidP="00DC54F7">
      <w:pPr>
        <w:spacing w:after="0" w:line="240" w:lineRule="auto"/>
        <w:jc w:val="both"/>
        <w:rPr>
          <w:rFonts w:ascii="Arial" w:hAnsi="Arial" w:cs="Arial"/>
          <w:b/>
          <w:bCs/>
          <w:sz w:val="26"/>
          <w:szCs w:val="26"/>
        </w:rPr>
      </w:pPr>
    </w:p>
    <w:p w14:paraId="662B3AAB" w14:textId="77777777" w:rsidR="00401E59" w:rsidRPr="00D11856" w:rsidRDefault="005E2972" w:rsidP="00DC54F7">
      <w:pPr>
        <w:pStyle w:val="NormalWeb"/>
        <w:shd w:val="clear" w:color="auto" w:fill="FFFFFF"/>
        <w:spacing w:before="0" w:beforeAutospacing="0" w:after="0" w:afterAutospacing="0"/>
        <w:jc w:val="both"/>
        <w:rPr>
          <w:rFonts w:ascii="Arial" w:hAnsi="Arial" w:cs="Arial"/>
        </w:rPr>
      </w:pPr>
      <w:r w:rsidRPr="00D11856">
        <w:rPr>
          <w:rFonts w:ascii="Arial" w:hAnsi="Arial" w:cs="Arial"/>
          <w:color w:val="0B0C0C"/>
        </w:rPr>
        <w:t xml:space="preserve">Dementia is a term used to describe a collection of symptoms including memory loss, problems with reasoning, perception and communication skills. </w:t>
      </w:r>
      <w:r w:rsidR="00740ED7" w:rsidRPr="00D11856">
        <w:rPr>
          <w:rFonts w:ascii="Arial" w:hAnsi="Arial" w:cs="Arial"/>
          <w:color w:val="0B0C0C"/>
        </w:rPr>
        <w:t xml:space="preserve">It </w:t>
      </w:r>
      <w:r w:rsidRPr="00D11856">
        <w:rPr>
          <w:rFonts w:ascii="Arial" w:hAnsi="Arial" w:cs="Arial"/>
          <w:color w:val="0B0C0C"/>
        </w:rPr>
        <w:t>is caused by different brain diseases, most commonly Alzheimer’s disease.</w:t>
      </w:r>
      <w:r w:rsidR="00684EBC" w:rsidRPr="00D11856">
        <w:rPr>
          <w:rFonts w:ascii="Arial" w:hAnsi="Arial" w:cs="Arial"/>
          <w:color w:val="0B0C0C"/>
        </w:rPr>
        <w:t xml:space="preserve"> </w:t>
      </w:r>
      <w:r w:rsidR="003F0596" w:rsidRPr="00D11856">
        <w:rPr>
          <w:rFonts w:ascii="Arial" w:hAnsi="Arial" w:cs="Arial"/>
        </w:rPr>
        <w:t>D</w:t>
      </w:r>
      <w:r w:rsidR="000E5429" w:rsidRPr="00D11856">
        <w:rPr>
          <w:rFonts w:ascii="Arial" w:hAnsi="Arial" w:cs="Arial"/>
        </w:rPr>
        <w:t xml:space="preserve">ementia is a significant health and social care issue which impacts not only on those living with dementia, but on their families, friends and carers too. </w:t>
      </w:r>
      <w:r w:rsidR="003F0596" w:rsidRPr="00D11856">
        <w:rPr>
          <w:rFonts w:ascii="Arial" w:hAnsi="Arial" w:cs="Arial"/>
        </w:rPr>
        <w:t xml:space="preserve">It is more common in older people. </w:t>
      </w:r>
    </w:p>
    <w:p w14:paraId="190BE9B3" w14:textId="77777777" w:rsidR="00401E59" w:rsidRPr="00D11856" w:rsidRDefault="00401E59" w:rsidP="00DC54F7">
      <w:pPr>
        <w:pStyle w:val="NormalWeb"/>
        <w:shd w:val="clear" w:color="auto" w:fill="FFFFFF"/>
        <w:spacing w:before="0" w:beforeAutospacing="0" w:after="0" w:afterAutospacing="0"/>
        <w:jc w:val="both"/>
        <w:rPr>
          <w:rFonts w:ascii="Arial" w:hAnsi="Arial" w:cs="Arial"/>
        </w:rPr>
      </w:pPr>
    </w:p>
    <w:p w14:paraId="380C98F9" w14:textId="2376A104" w:rsidR="00907FB9" w:rsidRPr="00D11856" w:rsidRDefault="0060607D" w:rsidP="00DC54F7">
      <w:pPr>
        <w:pStyle w:val="NormalWeb"/>
        <w:shd w:val="clear" w:color="auto" w:fill="FFFFFF"/>
        <w:spacing w:before="0" w:beforeAutospacing="0" w:after="0" w:afterAutospacing="0"/>
        <w:jc w:val="both"/>
        <w:rPr>
          <w:rFonts w:ascii="Arial" w:hAnsi="Arial" w:cs="Arial"/>
        </w:rPr>
      </w:pPr>
      <w:r w:rsidRPr="00D11856">
        <w:rPr>
          <w:rFonts w:ascii="Arial" w:hAnsi="Arial" w:cs="Arial"/>
        </w:rPr>
        <w:t>Alzheimer</w:t>
      </w:r>
      <w:r w:rsidR="006021A3" w:rsidRPr="00D11856">
        <w:rPr>
          <w:rFonts w:ascii="Arial" w:hAnsi="Arial" w:cs="Arial"/>
        </w:rPr>
        <w:t xml:space="preserve">’s </w:t>
      </w:r>
      <w:r w:rsidR="009D7C64" w:rsidRPr="00D11856">
        <w:rPr>
          <w:rFonts w:ascii="Arial" w:hAnsi="Arial" w:cs="Arial"/>
        </w:rPr>
        <w:t xml:space="preserve">disease </w:t>
      </w:r>
      <w:r w:rsidR="002933CE" w:rsidRPr="00D11856">
        <w:rPr>
          <w:rFonts w:ascii="Arial" w:hAnsi="Arial" w:cs="Arial"/>
        </w:rPr>
        <w:t xml:space="preserve">is </w:t>
      </w:r>
      <w:r w:rsidR="006021A3" w:rsidRPr="00D11856">
        <w:rPr>
          <w:rFonts w:ascii="Arial" w:hAnsi="Arial" w:cs="Arial"/>
        </w:rPr>
        <w:t xml:space="preserve">the tenth top cause of disabilities and death </w:t>
      </w:r>
      <w:r w:rsidR="00533B50" w:rsidRPr="00D11856">
        <w:rPr>
          <w:rFonts w:ascii="Arial" w:hAnsi="Arial" w:cs="Arial"/>
        </w:rPr>
        <w:t>(</w:t>
      </w:r>
      <w:r w:rsidR="006021A3" w:rsidRPr="00D11856">
        <w:rPr>
          <w:rFonts w:ascii="Arial" w:hAnsi="Arial" w:cs="Arial"/>
        </w:rPr>
        <w:t>burden of disease</w:t>
      </w:r>
      <w:r w:rsidR="00533B50" w:rsidRPr="00D11856">
        <w:rPr>
          <w:rFonts w:ascii="Arial" w:hAnsi="Arial" w:cs="Arial"/>
        </w:rPr>
        <w:t>)</w:t>
      </w:r>
      <w:r w:rsidR="006021A3" w:rsidRPr="00D11856">
        <w:rPr>
          <w:rFonts w:ascii="Arial" w:hAnsi="Arial" w:cs="Arial"/>
        </w:rPr>
        <w:t xml:space="preserve"> in Wales in 2019.</w:t>
      </w:r>
    </w:p>
    <w:p w14:paraId="62941F3D" w14:textId="1F826AFF" w:rsidR="0034736A" w:rsidRPr="00D11856" w:rsidRDefault="002737D9" w:rsidP="00DC54F7">
      <w:pPr>
        <w:pStyle w:val="NormalWeb"/>
        <w:shd w:val="clear" w:color="auto" w:fill="FFFFFF"/>
        <w:spacing w:before="300" w:beforeAutospacing="0" w:after="300" w:afterAutospacing="0"/>
        <w:jc w:val="both"/>
        <w:rPr>
          <w:rFonts w:ascii="Arial" w:hAnsi="Arial" w:cs="Arial"/>
          <w:color w:val="0B0C0C"/>
        </w:rPr>
      </w:pPr>
      <w:r w:rsidRPr="00D11856">
        <w:rPr>
          <w:rFonts w:ascii="Arial" w:hAnsi="Arial" w:cs="Arial"/>
        </w:rPr>
        <w:t xml:space="preserve">Cardiff and Vale University Health Board and the Vale of Glamorgan </w:t>
      </w:r>
      <w:r w:rsidR="00E52B4B" w:rsidRPr="00D11856">
        <w:rPr>
          <w:rFonts w:ascii="Arial" w:hAnsi="Arial" w:cs="Arial"/>
        </w:rPr>
        <w:t xml:space="preserve">have the same </w:t>
      </w:r>
      <w:r w:rsidR="00670812" w:rsidRPr="00D11856">
        <w:rPr>
          <w:rFonts w:ascii="Arial" w:hAnsi="Arial" w:cs="Arial"/>
        </w:rPr>
        <w:t xml:space="preserve">prevalence rate for dementia as Wales (0.7%). </w:t>
      </w:r>
      <w:r w:rsidR="00625C1A" w:rsidRPr="00D11856">
        <w:rPr>
          <w:rFonts w:ascii="Arial" w:hAnsi="Arial" w:cs="Arial"/>
        </w:rPr>
        <w:t xml:space="preserve">Cardiff </w:t>
      </w:r>
      <w:r w:rsidR="00415200" w:rsidRPr="00D11856">
        <w:rPr>
          <w:rFonts w:ascii="Arial" w:hAnsi="Arial" w:cs="Arial"/>
        </w:rPr>
        <w:t>is slightly lower at 0.6%.</w:t>
      </w:r>
    </w:p>
    <w:p w14:paraId="63A04812" w14:textId="41B75182" w:rsidR="007F17D6" w:rsidRPr="00D11856" w:rsidRDefault="007F17D6" w:rsidP="00DC54F7">
      <w:pPr>
        <w:pStyle w:val="Caption"/>
        <w:spacing w:before="0" w:after="0"/>
        <w:jc w:val="both"/>
        <w:rPr>
          <w:rFonts w:ascii="Arial" w:hAnsi="Arial" w:cs="Arial"/>
          <w:szCs w:val="24"/>
        </w:rPr>
      </w:pPr>
      <w:bookmarkStart w:id="21" w:name="_Toc60225195"/>
      <w:r w:rsidRPr="00D11856">
        <w:rPr>
          <w:rFonts w:ascii="Arial" w:hAnsi="Arial" w:cs="Arial"/>
          <w:szCs w:val="24"/>
        </w:rPr>
        <w:lastRenderedPageBreak/>
        <w:t>Table</w:t>
      </w:r>
      <w:r w:rsidR="00F22702" w:rsidRPr="00D11856">
        <w:rPr>
          <w:rFonts w:ascii="Arial" w:hAnsi="Arial" w:cs="Arial"/>
          <w:szCs w:val="24"/>
        </w:rPr>
        <w:t xml:space="preserve"> 3.18</w:t>
      </w:r>
      <w:r w:rsidRPr="00D11856">
        <w:rPr>
          <w:rFonts w:ascii="Arial" w:hAnsi="Arial" w:cs="Arial"/>
          <w:szCs w:val="24"/>
        </w:rPr>
        <w:t xml:space="preserve">: Percentage of patients registered as having dementia by </w:t>
      </w:r>
      <w:r w:rsidR="00567F4B" w:rsidRPr="00D11856">
        <w:rPr>
          <w:rFonts w:ascii="Arial" w:hAnsi="Arial" w:cs="Arial"/>
          <w:szCs w:val="24"/>
        </w:rPr>
        <w:t>local</w:t>
      </w:r>
      <w:r w:rsidRPr="00D11856">
        <w:rPr>
          <w:rFonts w:ascii="Arial" w:hAnsi="Arial" w:cs="Arial"/>
          <w:szCs w:val="24"/>
        </w:rPr>
        <w:t xml:space="preserve"> authority, health board and Wales, 2019</w:t>
      </w:r>
      <w:bookmarkEnd w:id="21"/>
    </w:p>
    <w:tbl>
      <w:tblPr>
        <w:tblW w:w="9196" w:type="dxa"/>
        <w:tblBorders>
          <w:top w:val="single" w:sz="4" w:space="0" w:color="auto"/>
          <w:left w:val="single" w:sz="4" w:space="0" w:color="auto"/>
          <w:bottom w:val="single" w:sz="4" w:space="0" w:color="auto"/>
          <w:right w:val="single" w:sz="4" w:space="0" w:color="auto"/>
          <w:insideH w:val="single" w:sz="4" w:space="0" w:color="C9C9C9"/>
        </w:tblBorders>
        <w:tblLook w:val="04A0" w:firstRow="1" w:lastRow="0" w:firstColumn="1" w:lastColumn="0" w:noHBand="0" w:noVBand="1"/>
      </w:tblPr>
      <w:tblGrid>
        <w:gridCol w:w="4598"/>
        <w:gridCol w:w="4598"/>
      </w:tblGrid>
      <w:tr w:rsidR="000F7CE4" w:rsidRPr="000F7CE4" w14:paraId="266FE3A0" w14:textId="77777777" w:rsidTr="00BB4EE0">
        <w:trPr>
          <w:trHeight w:val="291"/>
        </w:trPr>
        <w:tc>
          <w:tcPr>
            <w:tcW w:w="4598" w:type="dxa"/>
            <w:shd w:val="clear" w:color="000000" w:fill="8497B0"/>
            <w:noWrap/>
            <w:vAlign w:val="bottom"/>
            <w:hideMark/>
          </w:tcPr>
          <w:p w14:paraId="034A28CF" w14:textId="77777777" w:rsidR="000F7CE4" w:rsidRPr="000F7CE4" w:rsidRDefault="000F7CE4" w:rsidP="00DC54F7">
            <w:pPr>
              <w:spacing w:after="0" w:line="240" w:lineRule="auto"/>
              <w:jc w:val="both"/>
              <w:rPr>
                <w:rFonts w:ascii="Calibri" w:eastAsia="Times New Roman" w:hAnsi="Calibri" w:cs="Calibri"/>
                <w:b/>
                <w:bCs/>
                <w:color w:val="FFFFFF"/>
                <w:lang w:eastAsia="en-GB"/>
              </w:rPr>
            </w:pPr>
            <w:r w:rsidRPr="000F7CE4">
              <w:rPr>
                <w:rFonts w:ascii="Calibri" w:eastAsia="Times New Roman" w:hAnsi="Calibri" w:cs="Calibri"/>
                <w:b/>
                <w:bCs/>
                <w:color w:val="FFFFFF"/>
                <w:lang w:eastAsia="en-GB"/>
              </w:rPr>
              <w:t>Area</w:t>
            </w:r>
          </w:p>
        </w:tc>
        <w:tc>
          <w:tcPr>
            <w:tcW w:w="4598" w:type="dxa"/>
            <w:shd w:val="clear" w:color="000000" w:fill="8497B0"/>
            <w:noWrap/>
            <w:vAlign w:val="bottom"/>
            <w:hideMark/>
          </w:tcPr>
          <w:p w14:paraId="4F0C5042" w14:textId="77777777" w:rsidR="000F7CE4" w:rsidRPr="000F7CE4" w:rsidRDefault="000F7CE4" w:rsidP="00DC54F7">
            <w:pPr>
              <w:spacing w:after="0" w:line="240" w:lineRule="auto"/>
              <w:jc w:val="both"/>
              <w:rPr>
                <w:rFonts w:ascii="Calibri" w:eastAsia="Times New Roman" w:hAnsi="Calibri" w:cs="Calibri"/>
                <w:b/>
                <w:bCs/>
                <w:color w:val="FFFFFF"/>
                <w:lang w:eastAsia="en-GB"/>
              </w:rPr>
            </w:pPr>
            <w:r w:rsidRPr="000F7CE4">
              <w:rPr>
                <w:rFonts w:ascii="Calibri" w:eastAsia="Times New Roman" w:hAnsi="Calibri" w:cs="Calibri"/>
                <w:b/>
                <w:bCs/>
                <w:color w:val="FFFFFF"/>
                <w:lang w:eastAsia="en-GB"/>
              </w:rPr>
              <w:t>Percentage</w:t>
            </w:r>
          </w:p>
        </w:tc>
      </w:tr>
      <w:tr w:rsidR="000F7CE4" w:rsidRPr="000F7CE4" w14:paraId="5C9AB01F" w14:textId="77777777" w:rsidTr="00BB4EE0">
        <w:trPr>
          <w:trHeight w:val="291"/>
        </w:trPr>
        <w:tc>
          <w:tcPr>
            <w:tcW w:w="4598" w:type="dxa"/>
            <w:shd w:val="clear" w:color="EDEDED" w:fill="EDEDED"/>
            <w:noWrap/>
            <w:vAlign w:val="bottom"/>
            <w:hideMark/>
          </w:tcPr>
          <w:p w14:paraId="2D7C2DF8" w14:textId="77777777" w:rsidR="000F7CE4" w:rsidRPr="00090829" w:rsidRDefault="000F7CE4" w:rsidP="00DC54F7">
            <w:pPr>
              <w:spacing w:after="0" w:line="240" w:lineRule="auto"/>
              <w:jc w:val="both"/>
              <w:rPr>
                <w:rFonts w:ascii="Arial" w:eastAsia="Times New Roman" w:hAnsi="Arial" w:cs="Arial"/>
                <w:color w:val="000000"/>
                <w:lang w:eastAsia="en-GB"/>
              </w:rPr>
            </w:pPr>
            <w:r w:rsidRPr="00090829">
              <w:rPr>
                <w:rFonts w:ascii="Arial" w:eastAsia="Times New Roman" w:hAnsi="Arial" w:cs="Arial"/>
                <w:color w:val="000000"/>
                <w:lang w:eastAsia="en-GB"/>
              </w:rPr>
              <w:t>Cardiff</w:t>
            </w:r>
          </w:p>
        </w:tc>
        <w:tc>
          <w:tcPr>
            <w:tcW w:w="4598" w:type="dxa"/>
            <w:shd w:val="clear" w:color="EDEDED" w:fill="EDEDED"/>
            <w:noWrap/>
            <w:vAlign w:val="bottom"/>
            <w:hideMark/>
          </w:tcPr>
          <w:p w14:paraId="0FFC4974" w14:textId="77777777" w:rsidR="000F7CE4" w:rsidRPr="00090829" w:rsidRDefault="000F7CE4" w:rsidP="00DC54F7">
            <w:pPr>
              <w:spacing w:after="0" w:line="240" w:lineRule="auto"/>
              <w:jc w:val="both"/>
              <w:rPr>
                <w:rFonts w:ascii="Arial" w:eastAsia="Times New Roman" w:hAnsi="Arial" w:cs="Arial"/>
                <w:color w:val="000000"/>
                <w:lang w:eastAsia="en-GB"/>
              </w:rPr>
            </w:pPr>
            <w:r w:rsidRPr="00090829">
              <w:rPr>
                <w:rFonts w:ascii="Arial" w:eastAsia="Times New Roman" w:hAnsi="Arial" w:cs="Arial"/>
                <w:color w:val="000000"/>
                <w:lang w:eastAsia="en-GB"/>
              </w:rPr>
              <w:t>0.6</w:t>
            </w:r>
          </w:p>
        </w:tc>
      </w:tr>
      <w:tr w:rsidR="000F7CE4" w:rsidRPr="000F7CE4" w14:paraId="78C59AE0" w14:textId="77777777" w:rsidTr="00BB4EE0">
        <w:trPr>
          <w:trHeight w:val="291"/>
        </w:trPr>
        <w:tc>
          <w:tcPr>
            <w:tcW w:w="4598" w:type="dxa"/>
            <w:shd w:val="clear" w:color="auto" w:fill="auto"/>
            <w:noWrap/>
            <w:vAlign w:val="bottom"/>
            <w:hideMark/>
          </w:tcPr>
          <w:p w14:paraId="35636BF4" w14:textId="77777777" w:rsidR="000F7CE4" w:rsidRPr="00090829" w:rsidRDefault="000F7CE4" w:rsidP="00DC54F7">
            <w:pPr>
              <w:spacing w:after="0" w:line="240" w:lineRule="auto"/>
              <w:jc w:val="both"/>
              <w:rPr>
                <w:rFonts w:ascii="Arial" w:eastAsia="Times New Roman" w:hAnsi="Arial" w:cs="Arial"/>
                <w:color w:val="000000"/>
                <w:lang w:eastAsia="en-GB"/>
              </w:rPr>
            </w:pPr>
            <w:r w:rsidRPr="00090829">
              <w:rPr>
                <w:rFonts w:ascii="Arial" w:eastAsia="Times New Roman" w:hAnsi="Arial" w:cs="Arial"/>
                <w:color w:val="000000"/>
                <w:lang w:eastAsia="en-GB"/>
              </w:rPr>
              <w:t>Vale of Glamorgan</w:t>
            </w:r>
          </w:p>
        </w:tc>
        <w:tc>
          <w:tcPr>
            <w:tcW w:w="4598" w:type="dxa"/>
            <w:shd w:val="clear" w:color="auto" w:fill="auto"/>
            <w:noWrap/>
            <w:vAlign w:val="bottom"/>
            <w:hideMark/>
          </w:tcPr>
          <w:p w14:paraId="42314F8D" w14:textId="77777777" w:rsidR="000F7CE4" w:rsidRPr="00090829" w:rsidRDefault="000F7CE4" w:rsidP="00DC54F7">
            <w:pPr>
              <w:spacing w:after="0" w:line="240" w:lineRule="auto"/>
              <w:jc w:val="both"/>
              <w:rPr>
                <w:rFonts w:ascii="Arial" w:eastAsia="Times New Roman" w:hAnsi="Arial" w:cs="Arial"/>
                <w:color w:val="000000"/>
                <w:lang w:eastAsia="en-GB"/>
              </w:rPr>
            </w:pPr>
            <w:r w:rsidRPr="00090829">
              <w:rPr>
                <w:rFonts w:ascii="Arial" w:eastAsia="Times New Roman" w:hAnsi="Arial" w:cs="Arial"/>
                <w:color w:val="000000"/>
                <w:lang w:eastAsia="en-GB"/>
              </w:rPr>
              <w:t>0.7</w:t>
            </w:r>
          </w:p>
        </w:tc>
      </w:tr>
      <w:tr w:rsidR="000F7CE4" w:rsidRPr="000F7CE4" w14:paraId="0CEBADC0" w14:textId="77777777" w:rsidTr="00BB4EE0">
        <w:trPr>
          <w:trHeight w:val="291"/>
        </w:trPr>
        <w:tc>
          <w:tcPr>
            <w:tcW w:w="4598" w:type="dxa"/>
            <w:shd w:val="clear" w:color="EDEDED" w:fill="EDEDED"/>
            <w:noWrap/>
            <w:vAlign w:val="bottom"/>
            <w:hideMark/>
          </w:tcPr>
          <w:p w14:paraId="4FD38E97" w14:textId="77777777" w:rsidR="000F7CE4" w:rsidRPr="00090829" w:rsidRDefault="000F7CE4" w:rsidP="00DC54F7">
            <w:pPr>
              <w:spacing w:after="0" w:line="240" w:lineRule="auto"/>
              <w:jc w:val="both"/>
              <w:rPr>
                <w:rFonts w:ascii="Arial" w:eastAsia="Times New Roman" w:hAnsi="Arial" w:cs="Arial"/>
                <w:color w:val="000000"/>
                <w:lang w:eastAsia="en-GB"/>
              </w:rPr>
            </w:pPr>
            <w:r w:rsidRPr="00090829">
              <w:rPr>
                <w:rFonts w:ascii="Arial" w:eastAsia="Times New Roman" w:hAnsi="Arial" w:cs="Arial"/>
                <w:color w:val="000000"/>
                <w:lang w:eastAsia="en-GB"/>
              </w:rPr>
              <w:t>Cardiff and Vale UHB</w:t>
            </w:r>
          </w:p>
        </w:tc>
        <w:tc>
          <w:tcPr>
            <w:tcW w:w="4598" w:type="dxa"/>
            <w:shd w:val="clear" w:color="EDEDED" w:fill="EDEDED"/>
            <w:noWrap/>
            <w:vAlign w:val="bottom"/>
            <w:hideMark/>
          </w:tcPr>
          <w:p w14:paraId="02122395" w14:textId="77777777" w:rsidR="000F7CE4" w:rsidRPr="00090829" w:rsidRDefault="000F7CE4" w:rsidP="00DC54F7">
            <w:pPr>
              <w:spacing w:after="0" w:line="240" w:lineRule="auto"/>
              <w:jc w:val="both"/>
              <w:rPr>
                <w:rFonts w:ascii="Arial" w:eastAsia="Times New Roman" w:hAnsi="Arial" w:cs="Arial"/>
                <w:color w:val="000000"/>
                <w:lang w:eastAsia="en-GB"/>
              </w:rPr>
            </w:pPr>
            <w:r w:rsidRPr="00090829">
              <w:rPr>
                <w:rFonts w:ascii="Arial" w:eastAsia="Times New Roman" w:hAnsi="Arial" w:cs="Arial"/>
                <w:color w:val="000000"/>
                <w:lang w:eastAsia="en-GB"/>
              </w:rPr>
              <w:t>0.7</w:t>
            </w:r>
          </w:p>
        </w:tc>
      </w:tr>
      <w:tr w:rsidR="000F7CE4" w:rsidRPr="000F7CE4" w14:paraId="3ED1AB4A" w14:textId="77777777" w:rsidTr="00BB4EE0">
        <w:trPr>
          <w:trHeight w:val="291"/>
        </w:trPr>
        <w:tc>
          <w:tcPr>
            <w:tcW w:w="4598" w:type="dxa"/>
            <w:shd w:val="clear" w:color="auto" w:fill="auto"/>
            <w:noWrap/>
            <w:vAlign w:val="bottom"/>
            <w:hideMark/>
          </w:tcPr>
          <w:p w14:paraId="48754F15" w14:textId="77777777" w:rsidR="000F7CE4" w:rsidRPr="00090829" w:rsidRDefault="000F7CE4" w:rsidP="00DC54F7">
            <w:pPr>
              <w:spacing w:after="0" w:line="240" w:lineRule="auto"/>
              <w:jc w:val="both"/>
              <w:rPr>
                <w:rFonts w:ascii="Arial" w:eastAsia="Times New Roman" w:hAnsi="Arial" w:cs="Arial"/>
                <w:color w:val="000000"/>
                <w:lang w:eastAsia="en-GB"/>
              </w:rPr>
            </w:pPr>
            <w:r w:rsidRPr="00090829">
              <w:rPr>
                <w:rFonts w:ascii="Arial" w:eastAsia="Times New Roman" w:hAnsi="Arial" w:cs="Arial"/>
                <w:color w:val="000000"/>
                <w:lang w:eastAsia="en-GB"/>
              </w:rPr>
              <w:t>Wales</w:t>
            </w:r>
          </w:p>
        </w:tc>
        <w:tc>
          <w:tcPr>
            <w:tcW w:w="4598" w:type="dxa"/>
            <w:shd w:val="clear" w:color="auto" w:fill="auto"/>
            <w:noWrap/>
            <w:vAlign w:val="bottom"/>
            <w:hideMark/>
          </w:tcPr>
          <w:p w14:paraId="5767A92B" w14:textId="77777777" w:rsidR="000F7CE4" w:rsidRPr="00090829" w:rsidRDefault="000F7CE4" w:rsidP="00DC54F7">
            <w:pPr>
              <w:spacing w:after="0" w:line="240" w:lineRule="auto"/>
              <w:jc w:val="both"/>
              <w:rPr>
                <w:rFonts w:ascii="Arial" w:eastAsia="Times New Roman" w:hAnsi="Arial" w:cs="Arial"/>
                <w:color w:val="000000"/>
                <w:lang w:eastAsia="en-GB"/>
              </w:rPr>
            </w:pPr>
            <w:r w:rsidRPr="00090829">
              <w:rPr>
                <w:rFonts w:ascii="Arial" w:eastAsia="Times New Roman" w:hAnsi="Arial" w:cs="Arial"/>
                <w:color w:val="000000"/>
                <w:lang w:eastAsia="en-GB"/>
              </w:rPr>
              <w:t>0.7</w:t>
            </w:r>
          </w:p>
        </w:tc>
      </w:tr>
    </w:tbl>
    <w:p w14:paraId="6732E79A" w14:textId="18C1FAFC" w:rsidR="000F7CE4" w:rsidRPr="00D11856" w:rsidRDefault="005A4C8A" w:rsidP="00DC54F7">
      <w:pPr>
        <w:spacing w:after="0" w:line="240" w:lineRule="auto"/>
        <w:jc w:val="both"/>
        <w:rPr>
          <w:rFonts w:ascii="Arial" w:hAnsi="Arial" w:cs="Arial"/>
          <w:sz w:val="20"/>
          <w:szCs w:val="20"/>
        </w:rPr>
      </w:pPr>
      <w:r w:rsidRPr="00D11856">
        <w:rPr>
          <w:rFonts w:ascii="Arial" w:hAnsi="Arial" w:cs="Arial"/>
          <w:sz w:val="20"/>
          <w:szCs w:val="20"/>
        </w:rPr>
        <w:t xml:space="preserve">Source: </w:t>
      </w:r>
      <w:r w:rsidR="00335391" w:rsidRPr="00D11856">
        <w:rPr>
          <w:rFonts w:ascii="Arial" w:hAnsi="Arial" w:cs="Arial"/>
          <w:sz w:val="20"/>
          <w:szCs w:val="20"/>
        </w:rPr>
        <w:t xml:space="preserve">QOF </w:t>
      </w:r>
      <w:r w:rsidR="00F22702" w:rsidRPr="00D11856">
        <w:rPr>
          <w:rFonts w:ascii="Arial" w:hAnsi="Arial" w:cs="Arial"/>
          <w:sz w:val="20"/>
          <w:szCs w:val="20"/>
        </w:rPr>
        <w:t>2019</w:t>
      </w:r>
    </w:p>
    <w:p w14:paraId="53B567E6" w14:textId="77777777" w:rsidR="00D11856" w:rsidRDefault="00D11856" w:rsidP="00DC54F7">
      <w:pPr>
        <w:spacing w:after="0" w:line="240" w:lineRule="auto"/>
        <w:jc w:val="both"/>
        <w:rPr>
          <w:rFonts w:ascii="Arial" w:hAnsi="Arial" w:cs="Arial"/>
          <w:b/>
          <w:bCs/>
          <w:sz w:val="26"/>
          <w:szCs w:val="26"/>
        </w:rPr>
      </w:pPr>
    </w:p>
    <w:p w14:paraId="01245C5C" w14:textId="77777777" w:rsidR="00D11856" w:rsidRDefault="00D11856" w:rsidP="00DC54F7">
      <w:pPr>
        <w:spacing w:after="0" w:line="240" w:lineRule="auto"/>
        <w:jc w:val="both"/>
        <w:rPr>
          <w:rFonts w:ascii="Arial" w:hAnsi="Arial" w:cs="Arial"/>
          <w:b/>
          <w:bCs/>
          <w:sz w:val="26"/>
          <w:szCs w:val="26"/>
        </w:rPr>
      </w:pPr>
    </w:p>
    <w:p w14:paraId="09A5DA6D" w14:textId="6AF7DBDC" w:rsidR="00BB7619" w:rsidRDefault="00E61D85" w:rsidP="00DC54F7">
      <w:pPr>
        <w:spacing w:after="0" w:line="240" w:lineRule="auto"/>
        <w:jc w:val="both"/>
        <w:rPr>
          <w:rFonts w:ascii="Arial" w:hAnsi="Arial" w:cs="Arial"/>
          <w:b/>
          <w:bCs/>
          <w:sz w:val="26"/>
          <w:szCs w:val="26"/>
        </w:rPr>
      </w:pPr>
      <w:r>
        <w:rPr>
          <w:rFonts w:ascii="Arial" w:hAnsi="Arial" w:cs="Arial"/>
          <w:b/>
          <w:bCs/>
          <w:sz w:val="26"/>
          <w:szCs w:val="26"/>
        </w:rPr>
        <w:t xml:space="preserve">3. 4 </w:t>
      </w:r>
      <w:r w:rsidR="005F3AAB">
        <w:rPr>
          <w:rFonts w:ascii="Arial" w:hAnsi="Arial" w:cs="Arial"/>
          <w:b/>
          <w:bCs/>
          <w:sz w:val="26"/>
          <w:szCs w:val="26"/>
        </w:rPr>
        <w:t>Health Protection</w:t>
      </w:r>
    </w:p>
    <w:p w14:paraId="41BA67BB" w14:textId="77777777" w:rsidR="00D11856" w:rsidRDefault="00D11856" w:rsidP="00DC54F7">
      <w:pPr>
        <w:spacing w:after="0" w:line="240" w:lineRule="auto"/>
        <w:jc w:val="both"/>
        <w:rPr>
          <w:rFonts w:ascii="Arial" w:hAnsi="Arial" w:cs="Arial"/>
          <w:b/>
          <w:bCs/>
          <w:sz w:val="26"/>
          <w:szCs w:val="26"/>
        </w:rPr>
      </w:pPr>
    </w:p>
    <w:p w14:paraId="2F4A0592" w14:textId="68F2FEF0" w:rsidR="00647182" w:rsidRPr="00D11856" w:rsidRDefault="005F118F" w:rsidP="00DC54F7">
      <w:pPr>
        <w:spacing w:after="0" w:line="240" w:lineRule="auto"/>
        <w:jc w:val="both"/>
        <w:rPr>
          <w:rFonts w:ascii="Arial" w:hAnsi="Arial" w:cs="Arial"/>
          <w:sz w:val="24"/>
          <w:szCs w:val="24"/>
        </w:rPr>
      </w:pPr>
      <w:r w:rsidRPr="00D11856">
        <w:rPr>
          <w:rFonts w:ascii="Arial" w:hAnsi="Arial" w:cs="Arial"/>
          <w:sz w:val="24"/>
          <w:szCs w:val="24"/>
        </w:rPr>
        <w:t xml:space="preserve">In 2019 to 2020, </w:t>
      </w:r>
      <w:r w:rsidR="00647182" w:rsidRPr="00D11856">
        <w:rPr>
          <w:rFonts w:ascii="Arial" w:hAnsi="Arial" w:cs="Arial"/>
          <w:sz w:val="24"/>
          <w:szCs w:val="24"/>
        </w:rPr>
        <w:t>Cardiff and Vale University Health Board ha</w:t>
      </w:r>
      <w:r w:rsidRPr="00D11856">
        <w:rPr>
          <w:rFonts w:ascii="Arial" w:hAnsi="Arial" w:cs="Arial"/>
          <w:sz w:val="24"/>
          <w:szCs w:val="24"/>
        </w:rPr>
        <w:t>d</w:t>
      </w:r>
      <w:r w:rsidR="00647182" w:rsidRPr="00D11856">
        <w:rPr>
          <w:rFonts w:ascii="Arial" w:hAnsi="Arial" w:cs="Arial"/>
          <w:sz w:val="24"/>
          <w:szCs w:val="24"/>
        </w:rPr>
        <w:t xml:space="preserve"> the lowest percentage vaccine uptake of all the health boards for age one schedule vaccines. Cardiff ha</w:t>
      </w:r>
      <w:r w:rsidR="00DE4C2E" w:rsidRPr="00D11856">
        <w:rPr>
          <w:rFonts w:ascii="Arial" w:hAnsi="Arial" w:cs="Arial"/>
          <w:sz w:val="24"/>
          <w:szCs w:val="24"/>
        </w:rPr>
        <w:t>d</w:t>
      </w:r>
      <w:r w:rsidR="00647182" w:rsidRPr="00D11856">
        <w:rPr>
          <w:rFonts w:ascii="Arial" w:hAnsi="Arial" w:cs="Arial"/>
          <w:sz w:val="24"/>
          <w:szCs w:val="24"/>
        </w:rPr>
        <w:t xml:space="preserve"> the lowest </w:t>
      </w:r>
      <w:r w:rsidR="002A2B42" w:rsidRPr="00D11856">
        <w:rPr>
          <w:rFonts w:ascii="Arial" w:hAnsi="Arial" w:cs="Arial"/>
          <w:sz w:val="24"/>
          <w:szCs w:val="24"/>
        </w:rPr>
        <w:t>uptake in Wales</w:t>
      </w:r>
      <w:r w:rsidR="00DE4C2E" w:rsidRPr="00D11856">
        <w:rPr>
          <w:rFonts w:ascii="Arial" w:hAnsi="Arial" w:cs="Arial"/>
          <w:sz w:val="24"/>
          <w:szCs w:val="24"/>
        </w:rPr>
        <w:t>,</w:t>
      </w:r>
      <w:r w:rsidR="002A2B42" w:rsidRPr="00D11856">
        <w:rPr>
          <w:rFonts w:ascii="Arial" w:hAnsi="Arial" w:cs="Arial"/>
          <w:sz w:val="24"/>
          <w:szCs w:val="24"/>
        </w:rPr>
        <w:t xml:space="preserve"> </w:t>
      </w:r>
      <w:r w:rsidR="001D70F5" w:rsidRPr="00D11856">
        <w:rPr>
          <w:rFonts w:ascii="Arial" w:hAnsi="Arial" w:cs="Arial"/>
          <w:sz w:val="24"/>
          <w:szCs w:val="24"/>
        </w:rPr>
        <w:t>with the Vale of Glamorgan being only slightly higher</w:t>
      </w:r>
      <w:r w:rsidR="001859D2" w:rsidRPr="00D11856">
        <w:rPr>
          <w:rFonts w:ascii="Arial" w:hAnsi="Arial" w:cs="Arial"/>
          <w:sz w:val="24"/>
          <w:szCs w:val="24"/>
        </w:rPr>
        <w:t xml:space="preserve">, </w:t>
      </w:r>
      <w:r w:rsidR="00647182" w:rsidRPr="00D11856">
        <w:rPr>
          <w:rFonts w:ascii="Arial" w:hAnsi="Arial" w:cs="Arial"/>
          <w:sz w:val="24"/>
          <w:szCs w:val="24"/>
        </w:rPr>
        <w:t xml:space="preserve">except for the ‘6 in 1’ DTaP/IPV/Hib/HepB1 vaccine.  Uptake </w:t>
      </w:r>
      <w:r w:rsidR="008D6250" w:rsidRPr="00D11856">
        <w:rPr>
          <w:rFonts w:ascii="Arial" w:hAnsi="Arial" w:cs="Arial"/>
          <w:sz w:val="24"/>
          <w:szCs w:val="24"/>
        </w:rPr>
        <w:t xml:space="preserve">of </w:t>
      </w:r>
      <w:r w:rsidR="00647182" w:rsidRPr="00D11856">
        <w:rPr>
          <w:rFonts w:ascii="Arial" w:hAnsi="Arial" w:cs="Arial"/>
          <w:sz w:val="24"/>
          <w:szCs w:val="24"/>
        </w:rPr>
        <w:t xml:space="preserve">all three doses in children reaching their first birthday was 95.3% in the Vale of Glamorgan, higher than the national target of 95%. Cardiff and Vale University Health Board (94.2%) and Cardiff (93.9%) had the lowest uptake of all the health boards and </w:t>
      </w:r>
      <w:r w:rsidR="00567F4B" w:rsidRPr="00D11856">
        <w:rPr>
          <w:rFonts w:ascii="Arial" w:hAnsi="Arial" w:cs="Arial"/>
          <w:sz w:val="24"/>
          <w:szCs w:val="24"/>
        </w:rPr>
        <w:t>local</w:t>
      </w:r>
      <w:r w:rsidR="00647182" w:rsidRPr="00D11856">
        <w:rPr>
          <w:rFonts w:ascii="Arial" w:hAnsi="Arial" w:cs="Arial"/>
          <w:sz w:val="24"/>
          <w:szCs w:val="24"/>
        </w:rPr>
        <w:t xml:space="preserve"> authorities</w:t>
      </w:r>
      <w:r w:rsidR="004E13A9" w:rsidRPr="00D11856">
        <w:rPr>
          <w:rFonts w:ascii="Arial" w:hAnsi="Arial" w:cs="Arial"/>
          <w:sz w:val="24"/>
          <w:szCs w:val="24"/>
        </w:rPr>
        <w:t xml:space="preserve">, not </w:t>
      </w:r>
      <w:r w:rsidR="00647182" w:rsidRPr="00D11856">
        <w:rPr>
          <w:rFonts w:ascii="Arial" w:hAnsi="Arial" w:cs="Arial"/>
          <w:sz w:val="24"/>
          <w:szCs w:val="24"/>
        </w:rPr>
        <w:t>meet</w:t>
      </w:r>
      <w:r w:rsidR="004E13A9" w:rsidRPr="00D11856">
        <w:rPr>
          <w:rFonts w:ascii="Arial" w:hAnsi="Arial" w:cs="Arial"/>
          <w:sz w:val="24"/>
          <w:szCs w:val="24"/>
        </w:rPr>
        <w:t>ing</w:t>
      </w:r>
      <w:r w:rsidR="00647182" w:rsidRPr="00D11856">
        <w:rPr>
          <w:rFonts w:ascii="Arial" w:hAnsi="Arial" w:cs="Arial"/>
          <w:sz w:val="24"/>
          <w:szCs w:val="24"/>
        </w:rPr>
        <w:t xml:space="preserve"> the national target.</w:t>
      </w:r>
      <w:r w:rsidR="008101C3" w:rsidRPr="00D11856">
        <w:rPr>
          <w:rFonts w:ascii="Arial" w:hAnsi="Arial" w:cs="Arial"/>
          <w:sz w:val="24"/>
          <w:szCs w:val="24"/>
        </w:rPr>
        <w:t xml:space="preserve"> However, it is worth noting that </w:t>
      </w:r>
      <w:r w:rsidR="00747291" w:rsidRPr="00D11856">
        <w:rPr>
          <w:rFonts w:ascii="Arial" w:hAnsi="Arial" w:cs="Arial"/>
          <w:sz w:val="24"/>
          <w:szCs w:val="24"/>
        </w:rPr>
        <w:t xml:space="preserve">percentage vaccine uptake rate is </w:t>
      </w:r>
      <w:r w:rsidR="0098014F" w:rsidRPr="00D11856">
        <w:rPr>
          <w:rFonts w:ascii="Arial" w:hAnsi="Arial" w:cs="Arial"/>
          <w:sz w:val="24"/>
          <w:szCs w:val="24"/>
        </w:rPr>
        <w:t xml:space="preserve">relatively </w:t>
      </w:r>
      <w:r w:rsidR="00747291" w:rsidRPr="00D11856">
        <w:rPr>
          <w:rFonts w:ascii="Arial" w:hAnsi="Arial" w:cs="Arial"/>
          <w:sz w:val="24"/>
          <w:szCs w:val="24"/>
        </w:rPr>
        <w:t>narrow</w:t>
      </w:r>
      <w:r w:rsidR="0098014F" w:rsidRPr="00D11856">
        <w:rPr>
          <w:rFonts w:ascii="Arial" w:hAnsi="Arial" w:cs="Arial"/>
          <w:sz w:val="24"/>
          <w:szCs w:val="24"/>
        </w:rPr>
        <w:t xml:space="preserve"> across the</w:t>
      </w:r>
      <w:r w:rsidR="00E608F3" w:rsidRPr="00D11856">
        <w:rPr>
          <w:rFonts w:ascii="Arial" w:hAnsi="Arial" w:cs="Arial"/>
          <w:sz w:val="24"/>
          <w:szCs w:val="24"/>
        </w:rPr>
        <w:t xml:space="preserve"> 22</w:t>
      </w:r>
      <w:r w:rsidR="0098014F" w:rsidRPr="00D11856">
        <w:rPr>
          <w:rFonts w:ascii="Arial" w:hAnsi="Arial" w:cs="Arial"/>
          <w:sz w:val="24"/>
          <w:szCs w:val="24"/>
        </w:rPr>
        <w:t xml:space="preserve"> local authorities</w:t>
      </w:r>
      <w:r w:rsidR="00747291" w:rsidRPr="00D11856">
        <w:rPr>
          <w:rFonts w:ascii="Arial" w:hAnsi="Arial" w:cs="Arial"/>
          <w:sz w:val="24"/>
          <w:szCs w:val="24"/>
        </w:rPr>
        <w:t xml:space="preserve">, ranging from </w:t>
      </w:r>
      <w:r w:rsidR="00433517" w:rsidRPr="00D11856">
        <w:rPr>
          <w:rFonts w:ascii="Arial" w:hAnsi="Arial" w:cs="Arial"/>
          <w:sz w:val="24"/>
          <w:szCs w:val="24"/>
        </w:rPr>
        <w:t xml:space="preserve">93.9% </w:t>
      </w:r>
      <w:r w:rsidR="00DB3661" w:rsidRPr="00D11856">
        <w:rPr>
          <w:rFonts w:ascii="Arial" w:hAnsi="Arial" w:cs="Arial"/>
          <w:sz w:val="24"/>
          <w:szCs w:val="24"/>
        </w:rPr>
        <w:t xml:space="preserve">in Cardiff </w:t>
      </w:r>
      <w:r w:rsidR="00433517" w:rsidRPr="00D11856">
        <w:rPr>
          <w:rFonts w:ascii="Arial" w:hAnsi="Arial" w:cs="Arial"/>
          <w:sz w:val="24"/>
          <w:szCs w:val="24"/>
        </w:rPr>
        <w:t xml:space="preserve">to </w:t>
      </w:r>
      <w:r w:rsidR="00492CE2" w:rsidRPr="00D11856">
        <w:rPr>
          <w:rFonts w:ascii="Arial" w:hAnsi="Arial" w:cs="Arial"/>
          <w:sz w:val="24"/>
          <w:szCs w:val="24"/>
        </w:rPr>
        <w:t>98.3% in Ang</w:t>
      </w:r>
      <w:r w:rsidR="00525083" w:rsidRPr="00D11856">
        <w:rPr>
          <w:rFonts w:ascii="Arial" w:hAnsi="Arial" w:cs="Arial"/>
          <w:sz w:val="24"/>
          <w:szCs w:val="24"/>
        </w:rPr>
        <w:t>le</w:t>
      </w:r>
      <w:r w:rsidR="00492CE2" w:rsidRPr="00D11856">
        <w:rPr>
          <w:rFonts w:ascii="Arial" w:hAnsi="Arial" w:cs="Arial"/>
          <w:sz w:val="24"/>
          <w:szCs w:val="24"/>
        </w:rPr>
        <w:t>sey.</w:t>
      </w:r>
    </w:p>
    <w:p w14:paraId="2015812B" w14:textId="77777777" w:rsidR="00FE66F1" w:rsidRPr="00D11856" w:rsidRDefault="00FE66F1" w:rsidP="00DC54F7">
      <w:pPr>
        <w:spacing w:after="0" w:line="240" w:lineRule="auto"/>
        <w:jc w:val="both"/>
        <w:rPr>
          <w:rFonts w:ascii="Arial" w:hAnsi="Arial" w:cs="Arial"/>
          <w:sz w:val="24"/>
          <w:szCs w:val="24"/>
        </w:rPr>
      </w:pPr>
    </w:p>
    <w:p w14:paraId="45C48DFA" w14:textId="3D85F0A0" w:rsidR="00647182" w:rsidRPr="00D11856" w:rsidRDefault="00647182" w:rsidP="00DC54F7">
      <w:pPr>
        <w:spacing w:after="0" w:line="240" w:lineRule="auto"/>
        <w:jc w:val="both"/>
        <w:rPr>
          <w:rFonts w:ascii="Arial" w:hAnsi="Arial" w:cs="Arial"/>
          <w:sz w:val="24"/>
          <w:szCs w:val="24"/>
        </w:rPr>
      </w:pPr>
      <w:r w:rsidRPr="00D11856">
        <w:rPr>
          <w:rFonts w:ascii="Arial" w:hAnsi="Arial" w:cs="Arial"/>
          <w:sz w:val="24"/>
          <w:szCs w:val="24"/>
        </w:rPr>
        <w:t>Meningococcal serotype B vaccination (MenB)</w:t>
      </w:r>
      <w:r w:rsidR="00E5126F" w:rsidRPr="00D11856">
        <w:rPr>
          <w:rFonts w:ascii="Arial" w:hAnsi="Arial" w:cs="Arial"/>
          <w:sz w:val="24"/>
          <w:szCs w:val="24"/>
        </w:rPr>
        <w:t xml:space="preserve"> </w:t>
      </w:r>
      <w:r w:rsidRPr="00D11856">
        <w:rPr>
          <w:rFonts w:ascii="Arial" w:hAnsi="Arial" w:cs="Arial"/>
          <w:sz w:val="24"/>
          <w:szCs w:val="24"/>
        </w:rPr>
        <w:t>was introduced in September 2015 for those born 1</w:t>
      </w:r>
      <w:r w:rsidRPr="00D11856">
        <w:rPr>
          <w:rFonts w:ascii="Arial" w:hAnsi="Arial" w:cs="Arial"/>
          <w:sz w:val="24"/>
          <w:szCs w:val="24"/>
          <w:vertAlign w:val="superscript"/>
        </w:rPr>
        <w:t>st</w:t>
      </w:r>
      <w:r w:rsidRPr="00D11856">
        <w:rPr>
          <w:rFonts w:ascii="Arial" w:hAnsi="Arial" w:cs="Arial"/>
          <w:sz w:val="24"/>
          <w:szCs w:val="24"/>
        </w:rPr>
        <w:t xml:space="preserve"> May 2015 onwards. Uptake of a complete course in children at two years of age was 93.8% for </w:t>
      </w:r>
      <w:r w:rsidR="00584763" w:rsidRPr="00D11856">
        <w:rPr>
          <w:rFonts w:ascii="Arial" w:hAnsi="Arial" w:cs="Arial"/>
          <w:sz w:val="24"/>
          <w:szCs w:val="24"/>
        </w:rPr>
        <w:t xml:space="preserve">the average for </w:t>
      </w:r>
      <w:r w:rsidRPr="00D11856">
        <w:rPr>
          <w:rFonts w:ascii="Arial" w:hAnsi="Arial" w:cs="Arial"/>
          <w:sz w:val="24"/>
          <w:szCs w:val="24"/>
        </w:rPr>
        <w:t xml:space="preserve">Wales, with Cardiff and Vale University Health Board (90.4%) having the lowest percentage uptake of all the health boards. At the </w:t>
      </w:r>
      <w:r w:rsidR="00567F4B" w:rsidRPr="00D11856">
        <w:rPr>
          <w:rFonts w:ascii="Arial" w:hAnsi="Arial" w:cs="Arial"/>
          <w:sz w:val="24"/>
          <w:szCs w:val="24"/>
        </w:rPr>
        <w:t>local</w:t>
      </w:r>
      <w:r w:rsidRPr="00D11856">
        <w:rPr>
          <w:rFonts w:ascii="Arial" w:hAnsi="Arial" w:cs="Arial"/>
          <w:sz w:val="24"/>
          <w:szCs w:val="24"/>
        </w:rPr>
        <w:t xml:space="preserve"> authority level, Cardiff (89.3%) had the lowest percentage uptake and was the only </w:t>
      </w:r>
      <w:r w:rsidR="00567F4B" w:rsidRPr="00D11856">
        <w:rPr>
          <w:rFonts w:ascii="Arial" w:hAnsi="Arial" w:cs="Arial"/>
          <w:sz w:val="24"/>
          <w:szCs w:val="24"/>
        </w:rPr>
        <w:t>local</w:t>
      </w:r>
      <w:r w:rsidRPr="00D11856">
        <w:rPr>
          <w:rFonts w:ascii="Arial" w:hAnsi="Arial" w:cs="Arial"/>
          <w:sz w:val="24"/>
          <w:szCs w:val="24"/>
        </w:rPr>
        <w:t xml:space="preserve"> authority to be below 90%. </w:t>
      </w:r>
      <w:r w:rsidR="00485EA1" w:rsidRPr="00D11856">
        <w:rPr>
          <w:rFonts w:ascii="Arial" w:hAnsi="Arial" w:cs="Arial"/>
          <w:sz w:val="24"/>
          <w:szCs w:val="24"/>
        </w:rPr>
        <w:t>T</w:t>
      </w:r>
      <w:r w:rsidR="002D427D" w:rsidRPr="00D11856">
        <w:rPr>
          <w:rFonts w:ascii="Arial" w:hAnsi="Arial" w:cs="Arial"/>
          <w:sz w:val="24"/>
          <w:szCs w:val="24"/>
        </w:rPr>
        <w:t xml:space="preserve">he uptake range </w:t>
      </w:r>
      <w:r w:rsidR="00485EA1" w:rsidRPr="00D11856">
        <w:rPr>
          <w:rFonts w:ascii="Arial" w:hAnsi="Arial" w:cs="Arial"/>
          <w:sz w:val="24"/>
          <w:szCs w:val="24"/>
        </w:rPr>
        <w:t xml:space="preserve">was </w:t>
      </w:r>
      <w:r w:rsidR="005E1528">
        <w:rPr>
          <w:rFonts w:ascii="Arial" w:hAnsi="Arial" w:cs="Arial"/>
          <w:sz w:val="24"/>
          <w:szCs w:val="24"/>
        </w:rPr>
        <w:t>a</w:t>
      </w:r>
      <w:r w:rsidR="00485EA1" w:rsidRPr="00D11856">
        <w:rPr>
          <w:rFonts w:ascii="Arial" w:hAnsi="Arial" w:cs="Arial"/>
          <w:sz w:val="24"/>
          <w:szCs w:val="24"/>
        </w:rPr>
        <w:t>gain</w:t>
      </w:r>
      <w:r w:rsidR="002D427D" w:rsidRPr="00D11856">
        <w:rPr>
          <w:rFonts w:ascii="Arial" w:hAnsi="Arial" w:cs="Arial"/>
          <w:sz w:val="24"/>
          <w:szCs w:val="24"/>
        </w:rPr>
        <w:t xml:space="preserve"> relatively</w:t>
      </w:r>
      <w:r w:rsidR="007408F0" w:rsidRPr="00D11856">
        <w:rPr>
          <w:rFonts w:ascii="Arial" w:hAnsi="Arial" w:cs="Arial"/>
          <w:sz w:val="24"/>
          <w:szCs w:val="24"/>
        </w:rPr>
        <w:t xml:space="preserve"> narrow, ranging from 89.3% in Cardiff to 96.7% in Cae</w:t>
      </w:r>
      <w:r w:rsidR="00485EA1" w:rsidRPr="00D11856">
        <w:rPr>
          <w:rFonts w:ascii="Arial" w:hAnsi="Arial" w:cs="Arial"/>
          <w:sz w:val="24"/>
          <w:szCs w:val="24"/>
        </w:rPr>
        <w:t>r</w:t>
      </w:r>
      <w:r w:rsidR="007408F0" w:rsidRPr="00D11856">
        <w:rPr>
          <w:rFonts w:ascii="Arial" w:hAnsi="Arial" w:cs="Arial"/>
          <w:sz w:val="24"/>
          <w:szCs w:val="24"/>
        </w:rPr>
        <w:t>philly.</w:t>
      </w:r>
    </w:p>
    <w:p w14:paraId="1FEBC282" w14:textId="77777777" w:rsidR="004B26BA" w:rsidRPr="00D11856" w:rsidRDefault="004B26BA" w:rsidP="00DC54F7">
      <w:pPr>
        <w:spacing w:after="0" w:line="240" w:lineRule="auto"/>
        <w:jc w:val="both"/>
        <w:rPr>
          <w:rFonts w:ascii="Arial" w:hAnsi="Arial" w:cs="Arial"/>
          <w:sz w:val="24"/>
          <w:szCs w:val="24"/>
        </w:rPr>
      </w:pPr>
    </w:p>
    <w:p w14:paraId="208784CB" w14:textId="6A56ED0D" w:rsidR="00647182" w:rsidRPr="00D11856" w:rsidRDefault="00EC6841" w:rsidP="00DC54F7">
      <w:pPr>
        <w:spacing w:after="0" w:line="240" w:lineRule="auto"/>
        <w:jc w:val="both"/>
        <w:rPr>
          <w:rFonts w:ascii="Arial" w:hAnsi="Arial" w:cs="Arial"/>
          <w:sz w:val="24"/>
          <w:szCs w:val="24"/>
        </w:rPr>
      </w:pPr>
      <w:r w:rsidRPr="00D11856">
        <w:rPr>
          <w:rFonts w:ascii="Arial" w:hAnsi="Arial" w:cs="Arial"/>
          <w:sz w:val="24"/>
          <w:szCs w:val="24"/>
        </w:rPr>
        <w:t>The p</w:t>
      </w:r>
      <w:r w:rsidR="00647182" w:rsidRPr="00D11856">
        <w:rPr>
          <w:rFonts w:ascii="Arial" w:hAnsi="Arial" w:cs="Arial"/>
          <w:sz w:val="24"/>
          <w:szCs w:val="24"/>
        </w:rPr>
        <w:t xml:space="preserve">ercentage of resident children reaching their 4th birthday and </w:t>
      </w:r>
      <w:r w:rsidR="00436333" w:rsidRPr="00D11856">
        <w:rPr>
          <w:rFonts w:ascii="Arial" w:hAnsi="Arial" w:cs="Arial"/>
          <w:sz w:val="24"/>
          <w:szCs w:val="24"/>
        </w:rPr>
        <w:t xml:space="preserve">who </w:t>
      </w:r>
      <w:r w:rsidR="00647182" w:rsidRPr="00D11856">
        <w:rPr>
          <w:rFonts w:ascii="Arial" w:hAnsi="Arial" w:cs="Arial"/>
          <w:sz w:val="24"/>
          <w:szCs w:val="24"/>
        </w:rPr>
        <w:t xml:space="preserve">are up to date with all scheduled vaccines was 86.7% for Cardiff and Vale University Health Board. This was lower </w:t>
      </w:r>
      <w:r w:rsidR="00F95718" w:rsidRPr="00D11856">
        <w:rPr>
          <w:rFonts w:ascii="Arial" w:hAnsi="Arial" w:cs="Arial"/>
          <w:sz w:val="24"/>
          <w:szCs w:val="24"/>
        </w:rPr>
        <w:t>than the average for Wales</w:t>
      </w:r>
      <w:r w:rsidR="00647182" w:rsidRPr="00D11856">
        <w:rPr>
          <w:rFonts w:ascii="Arial" w:hAnsi="Arial" w:cs="Arial"/>
          <w:sz w:val="24"/>
          <w:szCs w:val="24"/>
        </w:rPr>
        <w:t xml:space="preserve"> (88%) as was Cardiff (85.6%). The Vale of Glamorgan was higher (89.8%). Of all the immunisations that are included in this composite measure, uptake of the second dose of MMR remains the lowest. The percentage of children who were up to date with their routine vaccinations by four years of age varied according to the national quintile of deprivation of the LSOA in which they resided. Nationally, the percentage of children up to date with their routine immunisations by four years of age ranged from 84.0% in the most deprived quintile of LSOAs to 91.7% in the least deprived quintile of LSOAs. The difference in uptake between the least deprived quintile and the most deprived quintile was 7.7%.</w:t>
      </w:r>
      <w:r w:rsidR="004943AF" w:rsidRPr="00D11856">
        <w:rPr>
          <w:rStyle w:val="FootnoteReference"/>
          <w:rFonts w:ascii="Arial" w:hAnsi="Arial" w:cs="Arial"/>
          <w:sz w:val="24"/>
          <w:szCs w:val="24"/>
        </w:rPr>
        <w:footnoteReference w:id="24"/>
      </w:r>
    </w:p>
    <w:p w14:paraId="3D749375" w14:textId="77777777" w:rsidR="00801480" w:rsidRPr="00D11856" w:rsidRDefault="00801480" w:rsidP="00DC54F7">
      <w:pPr>
        <w:spacing w:after="0" w:line="240" w:lineRule="auto"/>
        <w:jc w:val="both"/>
        <w:rPr>
          <w:rFonts w:ascii="Arial" w:hAnsi="Arial" w:cs="Arial"/>
          <w:sz w:val="24"/>
          <w:szCs w:val="24"/>
        </w:rPr>
      </w:pPr>
    </w:p>
    <w:p w14:paraId="0F935A9F" w14:textId="566D11AD" w:rsidR="00647182" w:rsidRPr="00D11856" w:rsidRDefault="00647182" w:rsidP="00DC54F7">
      <w:pPr>
        <w:spacing w:after="0" w:line="240" w:lineRule="auto"/>
        <w:jc w:val="both"/>
        <w:rPr>
          <w:rFonts w:ascii="Arial" w:hAnsi="Arial" w:cs="Arial"/>
          <w:sz w:val="24"/>
          <w:szCs w:val="24"/>
        </w:rPr>
      </w:pPr>
      <w:r w:rsidRPr="00D11856">
        <w:rPr>
          <w:rFonts w:ascii="Arial" w:hAnsi="Arial" w:cs="Arial"/>
          <w:sz w:val="24"/>
          <w:szCs w:val="24"/>
        </w:rPr>
        <w:t xml:space="preserve">MMR uptake of two doses in children at five years of age was 92.1% for the health board, the same as </w:t>
      </w:r>
      <w:r w:rsidR="00B37D25" w:rsidRPr="00D11856">
        <w:rPr>
          <w:rFonts w:ascii="Arial" w:hAnsi="Arial" w:cs="Arial"/>
          <w:sz w:val="24"/>
          <w:szCs w:val="24"/>
        </w:rPr>
        <w:t xml:space="preserve">the average for </w:t>
      </w:r>
      <w:r w:rsidRPr="00D11856">
        <w:rPr>
          <w:rFonts w:ascii="Arial" w:hAnsi="Arial" w:cs="Arial"/>
          <w:sz w:val="24"/>
          <w:szCs w:val="24"/>
        </w:rPr>
        <w:t>Wales. MMR coverage of two doses in teenagers turning 1</w:t>
      </w:r>
      <w:r w:rsidR="00134CE2" w:rsidRPr="00D11856">
        <w:rPr>
          <w:rFonts w:ascii="Arial" w:hAnsi="Arial" w:cs="Arial"/>
          <w:sz w:val="24"/>
          <w:szCs w:val="24"/>
        </w:rPr>
        <w:t>6</w:t>
      </w:r>
      <w:r w:rsidRPr="00D11856">
        <w:rPr>
          <w:rFonts w:ascii="Arial" w:hAnsi="Arial" w:cs="Arial"/>
          <w:sz w:val="24"/>
          <w:szCs w:val="24"/>
        </w:rPr>
        <w:t xml:space="preserve"> years of age between 01/09/</w:t>
      </w:r>
      <w:r w:rsidR="00FF3D07" w:rsidRPr="00D11856">
        <w:rPr>
          <w:rFonts w:ascii="Arial" w:hAnsi="Arial" w:cs="Arial"/>
          <w:sz w:val="24"/>
          <w:szCs w:val="24"/>
        </w:rPr>
        <w:t>20</w:t>
      </w:r>
      <w:r w:rsidRPr="00D11856">
        <w:rPr>
          <w:rFonts w:ascii="Arial" w:hAnsi="Arial" w:cs="Arial"/>
          <w:sz w:val="24"/>
          <w:szCs w:val="24"/>
        </w:rPr>
        <w:t>19 and 31/08/</w:t>
      </w:r>
      <w:r w:rsidR="00FF3D07" w:rsidRPr="00D11856">
        <w:rPr>
          <w:rFonts w:ascii="Arial" w:hAnsi="Arial" w:cs="Arial"/>
          <w:sz w:val="24"/>
          <w:szCs w:val="24"/>
        </w:rPr>
        <w:t>20</w:t>
      </w:r>
      <w:r w:rsidRPr="00D11856">
        <w:rPr>
          <w:rFonts w:ascii="Arial" w:hAnsi="Arial" w:cs="Arial"/>
          <w:sz w:val="24"/>
          <w:szCs w:val="24"/>
        </w:rPr>
        <w:t>20 was 91.</w:t>
      </w:r>
      <w:r w:rsidR="001B6E49" w:rsidRPr="00D11856">
        <w:rPr>
          <w:rFonts w:ascii="Arial" w:hAnsi="Arial" w:cs="Arial"/>
          <w:sz w:val="24"/>
          <w:szCs w:val="24"/>
        </w:rPr>
        <w:t>5</w:t>
      </w:r>
      <w:r w:rsidRPr="00D11856">
        <w:rPr>
          <w:rFonts w:ascii="Arial" w:hAnsi="Arial" w:cs="Arial"/>
          <w:sz w:val="24"/>
          <w:szCs w:val="24"/>
        </w:rPr>
        <w:t xml:space="preserve">% for </w:t>
      </w:r>
      <w:r w:rsidR="00155467" w:rsidRPr="00D11856">
        <w:rPr>
          <w:rFonts w:ascii="Arial" w:hAnsi="Arial" w:cs="Arial"/>
          <w:sz w:val="24"/>
          <w:szCs w:val="24"/>
        </w:rPr>
        <w:t xml:space="preserve">the </w:t>
      </w:r>
      <w:r w:rsidR="00155467" w:rsidRPr="00D11856">
        <w:rPr>
          <w:rFonts w:ascii="Arial" w:hAnsi="Arial" w:cs="Arial"/>
          <w:sz w:val="24"/>
          <w:szCs w:val="24"/>
        </w:rPr>
        <w:lastRenderedPageBreak/>
        <w:t xml:space="preserve">average for </w:t>
      </w:r>
      <w:r w:rsidRPr="00D11856">
        <w:rPr>
          <w:rFonts w:ascii="Arial" w:hAnsi="Arial" w:cs="Arial"/>
          <w:sz w:val="24"/>
          <w:szCs w:val="24"/>
        </w:rPr>
        <w:t>Wales and 88.3% for Cardiff and Vale University Health Board. Cardiff (87.</w:t>
      </w:r>
      <w:r w:rsidR="001B6E49" w:rsidRPr="00D11856">
        <w:rPr>
          <w:rFonts w:ascii="Arial" w:hAnsi="Arial" w:cs="Arial"/>
          <w:sz w:val="24"/>
          <w:szCs w:val="24"/>
        </w:rPr>
        <w:t>8</w:t>
      </w:r>
      <w:r w:rsidRPr="00D11856">
        <w:rPr>
          <w:rFonts w:ascii="Arial" w:hAnsi="Arial" w:cs="Arial"/>
          <w:sz w:val="24"/>
          <w:szCs w:val="24"/>
        </w:rPr>
        <w:t xml:space="preserve">%) had the lowest uptake rate of all the </w:t>
      </w:r>
      <w:r w:rsidR="00567F4B" w:rsidRPr="00D11856">
        <w:rPr>
          <w:rFonts w:ascii="Arial" w:hAnsi="Arial" w:cs="Arial"/>
          <w:sz w:val="24"/>
          <w:szCs w:val="24"/>
        </w:rPr>
        <w:t>local</w:t>
      </w:r>
      <w:r w:rsidRPr="00D11856">
        <w:rPr>
          <w:rFonts w:ascii="Arial" w:hAnsi="Arial" w:cs="Arial"/>
          <w:sz w:val="24"/>
          <w:szCs w:val="24"/>
        </w:rPr>
        <w:t xml:space="preserve"> authorities. The Vale of Glamorgan (89.6%) was also lower </w:t>
      </w:r>
      <w:r w:rsidR="00F95718" w:rsidRPr="00D11856">
        <w:rPr>
          <w:rFonts w:ascii="Arial" w:hAnsi="Arial" w:cs="Arial"/>
          <w:sz w:val="24"/>
          <w:szCs w:val="24"/>
        </w:rPr>
        <w:t>than the average for Wales</w:t>
      </w:r>
      <w:r w:rsidRPr="00D11856">
        <w:rPr>
          <w:rFonts w:ascii="Arial" w:hAnsi="Arial" w:cs="Arial"/>
          <w:sz w:val="24"/>
          <w:szCs w:val="24"/>
        </w:rPr>
        <w:t xml:space="preserve"> but had the highest rate within the health board area.</w:t>
      </w:r>
      <w:r w:rsidR="00D9003B" w:rsidRPr="00D11856">
        <w:rPr>
          <w:rFonts w:ascii="Arial" w:hAnsi="Arial" w:cs="Arial"/>
          <w:sz w:val="24"/>
          <w:szCs w:val="24"/>
        </w:rPr>
        <w:t xml:space="preserve"> The uptake range was </w:t>
      </w:r>
      <w:r w:rsidR="005E1528">
        <w:rPr>
          <w:rFonts w:ascii="Arial" w:hAnsi="Arial" w:cs="Arial"/>
          <w:sz w:val="24"/>
          <w:szCs w:val="24"/>
        </w:rPr>
        <w:t>a</w:t>
      </w:r>
      <w:r w:rsidR="00D9003B" w:rsidRPr="00D11856">
        <w:rPr>
          <w:rFonts w:ascii="Arial" w:hAnsi="Arial" w:cs="Arial"/>
          <w:sz w:val="24"/>
          <w:szCs w:val="24"/>
        </w:rPr>
        <w:t xml:space="preserve">gain relatively narrow, ranging from 87.8% in Cardiff to 95.9% in </w:t>
      </w:r>
      <w:r w:rsidR="00FF79CC" w:rsidRPr="00D11856">
        <w:rPr>
          <w:rFonts w:ascii="Arial" w:hAnsi="Arial" w:cs="Arial"/>
          <w:sz w:val="24"/>
          <w:szCs w:val="24"/>
        </w:rPr>
        <w:t>Blaenau Gwent</w:t>
      </w:r>
      <w:r w:rsidR="00D9003B" w:rsidRPr="00D11856">
        <w:rPr>
          <w:rFonts w:ascii="Arial" w:hAnsi="Arial" w:cs="Arial"/>
          <w:sz w:val="24"/>
          <w:szCs w:val="24"/>
        </w:rPr>
        <w:t>.</w:t>
      </w:r>
    </w:p>
    <w:p w14:paraId="1B4DBC34" w14:textId="77777777" w:rsidR="00CE0CD0" w:rsidRDefault="00CE0CD0" w:rsidP="00DC54F7">
      <w:pPr>
        <w:spacing w:after="0" w:line="240" w:lineRule="auto"/>
        <w:jc w:val="both"/>
        <w:rPr>
          <w:rFonts w:ascii="Arial" w:hAnsi="Arial" w:cs="Arial"/>
          <w:b/>
          <w:bCs/>
        </w:rPr>
      </w:pPr>
    </w:p>
    <w:p w14:paraId="6E52E2A0" w14:textId="473C312C" w:rsidR="00BB7619" w:rsidRPr="00D11856" w:rsidRDefault="00A3667C" w:rsidP="00DC54F7">
      <w:pPr>
        <w:spacing w:after="0" w:line="240" w:lineRule="auto"/>
        <w:jc w:val="both"/>
        <w:rPr>
          <w:rFonts w:ascii="Arial" w:hAnsi="Arial" w:cs="Arial"/>
          <w:b/>
          <w:bCs/>
          <w:sz w:val="24"/>
          <w:szCs w:val="24"/>
        </w:rPr>
      </w:pPr>
      <w:r w:rsidRPr="00D11856">
        <w:rPr>
          <w:rFonts w:ascii="Arial" w:hAnsi="Arial" w:cs="Arial"/>
          <w:b/>
          <w:bCs/>
          <w:sz w:val="24"/>
          <w:szCs w:val="24"/>
        </w:rPr>
        <w:t>Table</w:t>
      </w:r>
      <w:r w:rsidR="005166DE" w:rsidRPr="00D11856">
        <w:rPr>
          <w:rFonts w:ascii="Arial" w:hAnsi="Arial" w:cs="Arial"/>
          <w:b/>
          <w:bCs/>
          <w:sz w:val="24"/>
          <w:szCs w:val="24"/>
        </w:rPr>
        <w:t xml:space="preserve"> 3.19</w:t>
      </w:r>
      <w:r w:rsidRPr="00D11856">
        <w:rPr>
          <w:rFonts w:ascii="Arial" w:hAnsi="Arial" w:cs="Arial"/>
          <w:b/>
          <w:bCs/>
          <w:sz w:val="24"/>
          <w:szCs w:val="24"/>
        </w:rPr>
        <w:t xml:space="preserve">: </w:t>
      </w:r>
      <w:r w:rsidR="005E7C39" w:rsidRPr="00D11856">
        <w:rPr>
          <w:rFonts w:ascii="Arial" w:hAnsi="Arial" w:cs="Arial"/>
          <w:b/>
          <w:bCs/>
          <w:sz w:val="24"/>
          <w:szCs w:val="24"/>
        </w:rPr>
        <w:t>Percentage v</w:t>
      </w:r>
      <w:r w:rsidR="00A7019E" w:rsidRPr="00D11856">
        <w:rPr>
          <w:rFonts w:ascii="Arial" w:hAnsi="Arial" w:cs="Arial"/>
          <w:b/>
          <w:bCs/>
          <w:sz w:val="24"/>
          <w:szCs w:val="24"/>
        </w:rPr>
        <w:t xml:space="preserve">accine uptake in children by </w:t>
      </w:r>
      <w:r w:rsidR="00567F4B" w:rsidRPr="00D11856">
        <w:rPr>
          <w:rFonts w:ascii="Arial" w:hAnsi="Arial" w:cs="Arial"/>
          <w:b/>
          <w:bCs/>
          <w:sz w:val="24"/>
          <w:szCs w:val="24"/>
        </w:rPr>
        <w:t>local</w:t>
      </w:r>
      <w:r w:rsidR="00A7019E" w:rsidRPr="00D11856">
        <w:rPr>
          <w:rFonts w:ascii="Arial" w:hAnsi="Arial" w:cs="Arial"/>
          <w:b/>
          <w:bCs/>
          <w:sz w:val="24"/>
          <w:szCs w:val="24"/>
        </w:rPr>
        <w:t xml:space="preserve"> authority, health board and Wales, 2019 to 2020</w:t>
      </w:r>
    </w:p>
    <w:tbl>
      <w:tblPr>
        <w:tblW w:w="9095" w:type="dxa"/>
        <w:tblLook w:val="04A0" w:firstRow="1" w:lastRow="0" w:firstColumn="1" w:lastColumn="0" w:noHBand="0" w:noVBand="1"/>
      </w:tblPr>
      <w:tblGrid>
        <w:gridCol w:w="2781"/>
        <w:gridCol w:w="1100"/>
        <w:gridCol w:w="1100"/>
        <w:gridCol w:w="1700"/>
        <w:gridCol w:w="1130"/>
        <w:gridCol w:w="1284"/>
      </w:tblGrid>
      <w:tr w:rsidR="007D14F1" w:rsidRPr="007D14F1" w14:paraId="6254813B" w14:textId="77777777" w:rsidTr="00BB4EE0">
        <w:trPr>
          <w:trHeight w:val="257"/>
        </w:trPr>
        <w:tc>
          <w:tcPr>
            <w:tcW w:w="2781" w:type="dxa"/>
            <w:tcBorders>
              <w:top w:val="single" w:sz="4" w:space="0" w:color="auto"/>
              <w:left w:val="single" w:sz="4" w:space="0" w:color="auto"/>
              <w:bottom w:val="nil"/>
              <w:right w:val="nil"/>
            </w:tcBorders>
            <w:shd w:val="clear" w:color="000000" w:fill="8497B0"/>
            <w:noWrap/>
            <w:vAlign w:val="bottom"/>
            <w:hideMark/>
          </w:tcPr>
          <w:p w14:paraId="7225FF31"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 </w:t>
            </w:r>
          </w:p>
        </w:tc>
        <w:tc>
          <w:tcPr>
            <w:tcW w:w="6314" w:type="dxa"/>
            <w:gridSpan w:val="5"/>
            <w:tcBorders>
              <w:top w:val="single" w:sz="4" w:space="0" w:color="auto"/>
              <w:left w:val="nil"/>
              <w:bottom w:val="nil"/>
              <w:right w:val="single" w:sz="4" w:space="0" w:color="auto"/>
            </w:tcBorders>
            <w:shd w:val="clear" w:color="000000" w:fill="8497B0"/>
            <w:noWrap/>
            <w:vAlign w:val="bottom"/>
            <w:hideMark/>
          </w:tcPr>
          <w:p w14:paraId="36BBEBDE" w14:textId="77777777" w:rsidR="007D14F1" w:rsidRPr="007D14F1" w:rsidRDefault="007D14F1" w:rsidP="00DC54F7">
            <w:pPr>
              <w:spacing w:after="0" w:line="240" w:lineRule="auto"/>
              <w:jc w:val="both"/>
              <w:rPr>
                <w:rFonts w:ascii="Calibri" w:eastAsia="Times New Roman" w:hAnsi="Calibri" w:cs="Calibri"/>
                <w:b/>
                <w:bCs/>
                <w:color w:val="FFFFFF"/>
                <w:lang w:eastAsia="en-GB"/>
              </w:rPr>
            </w:pPr>
            <w:r w:rsidRPr="007D14F1">
              <w:rPr>
                <w:rFonts w:ascii="Calibri" w:eastAsia="Times New Roman" w:hAnsi="Calibri" w:cs="Calibri"/>
                <w:b/>
                <w:bCs/>
                <w:color w:val="FFFFFF"/>
                <w:lang w:eastAsia="en-GB"/>
              </w:rPr>
              <w:t>Immunisation</w:t>
            </w:r>
          </w:p>
        </w:tc>
      </w:tr>
      <w:tr w:rsidR="007D14F1" w:rsidRPr="007D14F1" w14:paraId="6A27D1D0" w14:textId="77777777" w:rsidTr="00BB4EE0">
        <w:trPr>
          <w:trHeight w:val="257"/>
        </w:trPr>
        <w:tc>
          <w:tcPr>
            <w:tcW w:w="2781" w:type="dxa"/>
            <w:tcBorders>
              <w:left w:val="single" w:sz="4" w:space="0" w:color="auto"/>
              <w:right w:val="nil"/>
            </w:tcBorders>
            <w:shd w:val="clear" w:color="000000" w:fill="8497B0"/>
            <w:noWrap/>
            <w:vAlign w:val="bottom"/>
            <w:hideMark/>
          </w:tcPr>
          <w:p w14:paraId="5EEEAF9D" w14:textId="77777777" w:rsidR="007D14F1" w:rsidRPr="007D14F1" w:rsidRDefault="007D14F1" w:rsidP="00DC54F7">
            <w:pPr>
              <w:spacing w:after="0" w:line="240" w:lineRule="auto"/>
              <w:jc w:val="both"/>
              <w:rPr>
                <w:rFonts w:ascii="Calibri" w:eastAsia="Times New Roman" w:hAnsi="Calibri" w:cs="Calibri"/>
                <w:b/>
                <w:bCs/>
                <w:color w:val="FFFFFF"/>
                <w:lang w:eastAsia="en-GB"/>
              </w:rPr>
            </w:pPr>
            <w:r w:rsidRPr="007D14F1">
              <w:rPr>
                <w:rFonts w:ascii="Calibri" w:eastAsia="Times New Roman" w:hAnsi="Calibri" w:cs="Calibri"/>
                <w:b/>
                <w:bCs/>
                <w:color w:val="FFFFFF"/>
                <w:lang w:eastAsia="en-GB"/>
              </w:rPr>
              <w:t>Area</w:t>
            </w:r>
          </w:p>
        </w:tc>
        <w:tc>
          <w:tcPr>
            <w:tcW w:w="1100" w:type="dxa"/>
            <w:tcBorders>
              <w:left w:val="nil"/>
              <w:right w:val="nil"/>
            </w:tcBorders>
            <w:shd w:val="clear" w:color="000000" w:fill="8497B0"/>
            <w:noWrap/>
            <w:vAlign w:val="bottom"/>
            <w:hideMark/>
          </w:tcPr>
          <w:p w14:paraId="05D40B8E" w14:textId="77777777" w:rsidR="007D14F1" w:rsidRPr="007D14F1" w:rsidRDefault="007D14F1" w:rsidP="00DC54F7">
            <w:pPr>
              <w:spacing w:after="0" w:line="240" w:lineRule="auto"/>
              <w:jc w:val="both"/>
              <w:rPr>
                <w:rFonts w:ascii="Calibri" w:eastAsia="Times New Roman" w:hAnsi="Calibri" w:cs="Calibri"/>
                <w:b/>
                <w:bCs/>
                <w:color w:val="FFFFFF"/>
                <w:lang w:eastAsia="en-GB"/>
              </w:rPr>
            </w:pPr>
            <w:r w:rsidRPr="007D14F1">
              <w:rPr>
                <w:rFonts w:ascii="Calibri" w:eastAsia="Times New Roman" w:hAnsi="Calibri" w:cs="Calibri"/>
                <w:b/>
                <w:bCs/>
                <w:color w:val="FFFFFF"/>
                <w:lang w:eastAsia="en-GB"/>
              </w:rPr>
              <w:t xml:space="preserve"> '6 in 1'</w:t>
            </w:r>
          </w:p>
        </w:tc>
        <w:tc>
          <w:tcPr>
            <w:tcW w:w="1100" w:type="dxa"/>
            <w:tcBorders>
              <w:left w:val="nil"/>
              <w:right w:val="nil"/>
            </w:tcBorders>
            <w:shd w:val="clear" w:color="000000" w:fill="8497B0"/>
            <w:noWrap/>
            <w:vAlign w:val="bottom"/>
            <w:hideMark/>
          </w:tcPr>
          <w:p w14:paraId="32CC012E" w14:textId="77777777" w:rsidR="007D14F1" w:rsidRPr="007D14F1" w:rsidRDefault="007D14F1" w:rsidP="00DC54F7">
            <w:pPr>
              <w:spacing w:after="0" w:line="240" w:lineRule="auto"/>
              <w:jc w:val="both"/>
              <w:rPr>
                <w:rFonts w:ascii="Calibri" w:eastAsia="Times New Roman" w:hAnsi="Calibri" w:cs="Calibri"/>
                <w:b/>
                <w:bCs/>
                <w:color w:val="FFFFFF"/>
                <w:lang w:eastAsia="en-GB"/>
              </w:rPr>
            </w:pPr>
            <w:r w:rsidRPr="007D14F1">
              <w:rPr>
                <w:rFonts w:ascii="Calibri" w:eastAsia="Times New Roman" w:hAnsi="Calibri" w:cs="Calibri"/>
                <w:b/>
                <w:bCs/>
                <w:color w:val="FFFFFF"/>
                <w:lang w:eastAsia="en-GB"/>
              </w:rPr>
              <w:t>Men B</w:t>
            </w:r>
          </w:p>
        </w:tc>
        <w:tc>
          <w:tcPr>
            <w:tcW w:w="1700" w:type="dxa"/>
            <w:tcBorders>
              <w:left w:val="nil"/>
              <w:right w:val="nil"/>
            </w:tcBorders>
            <w:shd w:val="clear" w:color="000000" w:fill="8497B0"/>
            <w:vAlign w:val="bottom"/>
            <w:hideMark/>
          </w:tcPr>
          <w:p w14:paraId="57561D33" w14:textId="77777777" w:rsidR="007D14F1" w:rsidRPr="007D14F1" w:rsidRDefault="007D14F1" w:rsidP="00DC54F7">
            <w:pPr>
              <w:spacing w:after="0" w:line="240" w:lineRule="auto"/>
              <w:jc w:val="both"/>
              <w:rPr>
                <w:rFonts w:ascii="Calibri" w:eastAsia="Times New Roman" w:hAnsi="Calibri" w:cs="Calibri"/>
                <w:b/>
                <w:bCs/>
                <w:color w:val="FFFFFF"/>
                <w:lang w:eastAsia="en-GB"/>
              </w:rPr>
            </w:pPr>
            <w:r w:rsidRPr="007D14F1">
              <w:rPr>
                <w:rFonts w:ascii="Calibri" w:eastAsia="Times New Roman" w:hAnsi="Calibri" w:cs="Calibri"/>
                <w:b/>
                <w:bCs/>
                <w:color w:val="FFFFFF"/>
                <w:lang w:eastAsia="en-GB"/>
              </w:rPr>
              <w:t xml:space="preserve">Update </w:t>
            </w:r>
          </w:p>
        </w:tc>
        <w:tc>
          <w:tcPr>
            <w:tcW w:w="1130" w:type="dxa"/>
            <w:tcBorders>
              <w:left w:val="nil"/>
              <w:right w:val="nil"/>
            </w:tcBorders>
            <w:shd w:val="clear" w:color="000000" w:fill="8497B0"/>
            <w:noWrap/>
            <w:vAlign w:val="bottom"/>
            <w:hideMark/>
          </w:tcPr>
          <w:p w14:paraId="1DAAFF0D" w14:textId="77777777" w:rsidR="007D14F1" w:rsidRPr="007D14F1" w:rsidRDefault="007D14F1" w:rsidP="00DC54F7">
            <w:pPr>
              <w:spacing w:after="0" w:line="240" w:lineRule="auto"/>
              <w:jc w:val="both"/>
              <w:rPr>
                <w:rFonts w:ascii="Calibri" w:eastAsia="Times New Roman" w:hAnsi="Calibri" w:cs="Calibri"/>
                <w:b/>
                <w:bCs/>
                <w:color w:val="FFFFFF"/>
                <w:lang w:eastAsia="en-GB"/>
              </w:rPr>
            </w:pPr>
            <w:r w:rsidRPr="007D14F1">
              <w:rPr>
                <w:rFonts w:ascii="Calibri" w:eastAsia="Times New Roman" w:hAnsi="Calibri" w:cs="Calibri"/>
                <w:b/>
                <w:bCs/>
                <w:color w:val="FFFFFF"/>
                <w:lang w:eastAsia="en-GB"/>
              </w:rPr>
              <w:t>MMR 2</w:t>
            </w:r>
          </w:p>
        </w:tc>
        <w:tc>
          <w:tcPr>
            <w:tcW w:w="1282" w:type="dxa"/>
            <w:tcBorders>
              <w:left w:val="nil"/>
              <w:right w:val="single" w:sz="4" w:space="0" w:color="auto"/>
            </w:tcBorders>
            <w:shd w:val="clear" w:color="000000" w:fill="8497B0"/>
            <w:noWrap/>
            <w:vAlign w:val="bottom"/>
            <w:hideMark/>
          </w:tcPr>
          <w:p w14:paraId="4407612D" w14:textId="77777777" w:rsidR="007D14F1" w:rsidRPr="007D14F1" w:rsidRDefault="007D14F1" w:rsidP="00DC54F7">
            <w:pPr>
              <w:spacing w:after="0" w:line="240" w:lineRule="auto"/>
              <w:jc w:val="both"/>
              <w:rPr>
                <w:rFonts w:ascii="Calibri" w:eastAsia="Times New Roman" w:hAnsi="Calibri" w:cs="Calibri"/>
                <w:b/>
                <w:bCs/>
                <w:color w:val="FFFFFF"/>
                <w:lang w:eastAsia="en-GB"/>
              </w:rPr>
            </w:pPr>
            <w:r w:rsidRPr="007D14F1">
              <w:rPr>
                <w:rFonts w:ascii="Calibri" w:eastAsia="Times New Roman" w:hAnsi="Calibri" w:cs="Calibri"/>
                <w:b/>
                <w:bCs/>
                <w:color w:val="FFFFFF"/>
                <w:lang w:eastAsia="en-GB"/>
              </w:rPr>
              <w:t xml:space="preserve">MMR 2     </w:t>
            </w:r>
          </w:p>
        </w:tc>
      </w:tr>
      <w:tr w:rsidR="007D14F1" w:rsidRPr="007D14F1" w14:paraId="703D14CD" w14:textId="77777777" w:rsidTr="00BB4EE0">
        <w:trPr>
          <w:trHeight w:val="257"/>
        </w:trPr>
        <w:tc>
          <w:tcPr>
            <w:tcW w:w="2781" w:type="dxa"/>
            <w:tcBorders>
              <w:left w:val="single" w:sz="4" w:space="0" w:color="auto"/>
              <w:right w:val="nil"/>
            </w:tcBorders>
            <w:shd w:val="clear" w:color="000000" w:fill="8497B0"/>
            <w:noWrap/>
            <w:vAlign w:val="bottom"/>
            <w:hideMark/>
          </w:tcPr>
          <w:p w14:paraId="14A909EF" w14:textId="77777777" w:rsidR="007D14F1" w:rsidRPr="007D14F1" w:rsidRDefault="007D14F1" w:rsidP="00DC54F7">
            <w:pPr>
              <w:spacing w:after="0" w:line="240" w:lineRule="auto"/>
              <w:jc w:val="both"/>
              <w:rPr>
                <w:rFonts w:ascii="Calibri" w:eastAsia="Times New Roman" w:hAnsi="Calibri" w:cs="Calibri"/>
                <w:b/>
                <w:bCs/>
                <w:color w:val="FFFFFF"/>
                <w:lang w:eastAsia="en-GB"/>
              </w:rPr>
            </w:pPr>
            <w:r w:rsidRPr="007D14F1">
              <w:rPr>
                <w:rFonts w:ascii="Calibri" w:eastAsia="Times New Roman" w:hAnsi="Calibri" w:cs="Calibri"/>
                <w:b/>
                <w:bCs/>
                <w:color w:val="FFFFFF"/>
                <w:lang w:eastAsia="en-GB"/>
              </w:rPr>
              <w:t> </w:t>
            </w:r>
          </w:p>
        </w:tc>
        <w:tc>
          <w:tcPr>
            <w:tcW w:w="1100" w:type="dxa"/>
            <w:tcBorders>
              <w:left w:val="nil"/>
              <w:right w:val="nil"/>
            </w:tcBorders>
            <w:shd w:val="clear" w:color="000000" w:fill="8497B0"/>
            <w:noWrap/>
            <w:vAlign w:val="bottom"/>
            <w:hideMark/>
          </w:tcPr>
          <w:p w14:paraId="33EEC27C" w14:textId="77777777" w:rsidR="007D14F1" w:rsidRPr="007D14F1" w:rsidRDefault="007D14F1" w:rsidP="00DC54F7">
            <w:pPr>
              <w:spacing w:after="0" w:line="240" w:lineRule="auto"/>
              <w:jc w:val="both"/>
              <w:rPr>
                <w:rFonts w:ascii="Calibri" w:eastAsia="Times New Roman" w:hAnsi="Calibri" w:cs="Calibri"/>
                <w:b/>
                <w:bCs/>
                <w:color w:val="FFFFFF"/>
                <w:lang w:eastAsia="en-GB"/>
              </w:rPr>
            </w:pPr>
            <w:r w:rsidRPr="007D14F1">
              <w:rPr>
                <w:rFonts w:ascii="Calibri" w:eastAsia="Times New Roman" w:hAnsi="Calibri" w:cs="Calibri"/>
                <w:b/>
                <w:bCs/>
                <w:color w:val="FFFFFF"/>
                <w:lang w:eastAsia="en-GB"/>
              </w:rPr>
              <w:t>1 years</w:t>
            </w:r>
          </w:p>
        </w:tc>
        <w:tc>
          <w:tcPr>
            <w:tcW w:w="1100" w:type="dxa"/>
            <w:tcBorders>
              <w:left w:val="nil"/>
              <w:right w:val="nil"/>
            </w:tcBorders>
            <w:shd w:val="clear" w:color="000000" w:fill="8497B0"/>
            <w:noWrap/>
            <w:vAlign w:val="bottom"/>
            <w:hideMark/>
          </w:tcPr>
          <w:p w14:paraId="69A7CC69" w14:textId="77777777" w:rsidR="007D14F1" w:rsidRPr="007D14F1" w:rsidRDefault="007D14F1" w:rsidP="00DC54F7">
            <w:pPr>
              <w:spacing w:after="0" w:line="240" w:lineRule="auto"/>
              <w:jc w:val="both"/>
              <w:rPr>
                <w:rFonts w:ascii="Calibri" w:eastAsia="Times New Roman" w:hAnsi="Calibri" w:cs="Calibri"/>
                <w:b/>
                <w:bCs/>
                <w:color w:val="FFFFFF"/>
                <w:lang w:eastAsia="en-GB"/>
              </w:rPr>
            </w:pPr>
            <w:r w:rsidRPr="007D14F1">
              <w:rPr>
                <w:rFonts w:ascii="Calibri" w:eastAsia="Times New Roman" w:hAnsi="Calibri" w:cs="Calibri"/>
                <w:b/>
                <w:bCs/>
                <w:color w:val="FFFFFF"/>
                <w:lang w:eastAsia="en-GB"/>
              </w:rPr>
              <w:t>2 years</w:t>
            </w:r>
          </w:p>
        </w:tc>
        <w:tc>
          <w:tcPr>
            <w:tcW w:w="1700" w:type="dxa"/>
            <w:tcBorders>
              <w:left w:val="nil"/>
              <w:right w:val="nil"/>
            </w:tcBorders>
            <w:shd w:val="clear" w:color="000000" w:fill="8497B0"/>
            <w:noWrap/>
            <w:vAlign w:val="bottom"/>
            <w:hideMark/>
          </w:tcPr>
          <w:p w14:paraId="6559CF47" w14:textId="77777777" w:rsidR="007D14F1" w:rsidRPr="007D14F1" w:rsidRDefault="007D14F1" w:rsidP="00DC54F7">
            <w:pPr>
              <w:spacing w:after="0" w:line="240" w:lineRule="auto"/>
              <w:jc w:val="both"/>
              <w:rPr>
                <w:rFonts w:ascii="Calibri" w:eastAsia="Times New Roman" w:hAnsi="Calibri" w:cs="Calibri"/>
                <w:b/>
                <w:bCs/>
                <w:color w:val="FFFFFF"/>
                <w:lang w:eastAsia="en-GB"/>
              </w:rPr>
            </w:pPr>
            <w:r w:rsidRPr="007D14F1">
              <w:rPr>
                <w:rFonts w:ascii="Calibri" w:eastAsia="Times New Roman" w:hAnsi="Calibri" w:cs="Calibri"/>
                <w:b/>
                <w:bCs/>
                <w:color w:val="FFFFFF"/>
                <w:lang w:eastAsia="en-GB"/>
              </w:rPr>
              <w:t>4 years</w:t>
            </w:r>
          </w:p>
        </w:tc>
        <w:tc>
          <w:tcPr>
            <w:tcW w:w="1130" w:type="dxa"/>
            <w:tcBorders>
              <w:left w:val="nil"/>
              <w:right w:val="nil"/>
            </w:tcBorders>
            <w:shd w:val="clear" w:color="000000" w:fill="8497B0"/>
            <w:noWrap/>
            <w:vAlign w:val="bottom"/>
            <w:hideMark/>
          </w:tcPr>
          <w:p w14:paraId="4171CFA7" w14:textId="77777777" w:rsidR="007D14F1" w:rsidRPr="007D14F1" w:rsidRDefault="007D14F1" w:rsidP="00DC54F7">
            <w:pPr>
              <w:spacing w:after="0" w:line="240" w:lineRule="auto"/>
              <w:jc w:val="both"/>
              <w:rPr>
                <w:rFonts w:ascii="Calibri" w:eastAsia="Times New Roman" w:hAnsi="Calibri" w:cs="Calibri"/>
                <w:b/>
                <w:bCs/>
                <w:color w:val="FFFFFF"/>
                <w:lang w:eastAsia="en-GB"/>
              </w:rPr>
            </w:pPr>
            <w:r w:rsidRPr="007D14F1">
              <w:rPr>
                <w:rFonts w:ascii="Calibri" w:eastAsia="Times New Roman" w:hAnsi="Calibri" w:cs="Calibri"/>
                <w:b/>
                <w:bCs/>
                <w:color w:val="FFFFFF"/>
                <w:lang w:eastAsia="en-GB"/>
              </w:rPr>
              <w:t>5 years</w:t>
            </w:r>
          </w:p>
        </w:tc>
        <w:tc>
          <w:tcPr>
            <w:tcW w:w="1282" w:type="dxa"/>
            <w:tcBorders>
              <w:left w:val="nil"/>
              <w:right w:val="single" w:sz="4" w:space="0" w:color="auto"/>
            </w:tcBorders>
            <w:shd w:val="clear" w:color="000000" w:fill="8497B0"/>
            <w:noWrap/>
            <w:vAlign w:val="bottom"/>
            <w:hideMark/>
          </w:tcPr>
          <w:p w14:paraId="463812FC" w14:textId="77777777" w:rsidR="007D14F1" w:rsidRPr="007D14F1" w:rsidRDefault="007D14F1" w:rsidP="00DC54F7">
            <w:pPr>
              <w:spacing w:after="0" w:line="240" w:lineRule="auto"/>
              <w:jc w:val="both"/>
              <w:rPr>
                <w:rFonts w:ascii="Calibri" w:eastAsia="Times New Roman" w:hAnsi="Calibri" w:cs="Calibri"/>
                <w:b/>
                <w:bCs/>
                <w:color w:val="FFFFFF"/>
                <w:lang w:eastAsia="en-GB"/>
              </w:rPr>
            </w:pPr>
            <w:r w:rsidRPr="007D14F1">
              <w:rPr>
                <w:rFonts w:ascii="Calibri" w:eastAsia="Times New Roman" w:hAnsi="Calibri" w:cs="Calibri"/>
                <w:b/>
                <w:bCs/>
                <w:color w:val="FFFFFF"/>
                <w:lang w:eastAsia="en-GB"/>
              </w:rPr>
              <w:t>16 years</w:t>
            </w:r>
          </w:p>
        </w:tc>
      </w:tr>
      <w:tr w:rsidR="007D14F1" w:rsidRPr="007D14F1" w14:paraId="5AD9CDC7" w14:textId="77777777" w:rsidTr="00BB4EE0">
        <w:trPr>
          <w:trHeight w:val="257"/>
        </w:trPr>
        <w:tc>
          <w:tcPr>
            <w:tcW w:w="2781" w:type="dxa"/>
            <w:tcBorders>
              <w:left w:val="single" w:sz="4" w:space="0" w:color="auto"/>
              <w:bottom w:val="single" w:sz="4" w:space="0" w:color="C9C9C9"/>
              <w:right w:val="nil"/>
            </w:tcBorders>
            <w:shd w:val="clear" w:color="auto" w:fill="auto"/>
            <w:noWrap/>
            <w:vAlign w:val="bottom"/>
            <w:hideMark/>
          </w:tcPr>
          <w:p w14:paraId="7253F2B5"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 xml:space="preserve">Cardiff </w:t>
            </w:r>
          </w:p>
        </w:tc>
        <w:tc>
          <w:tcPr>
            <w:tcW w:w="1100" w:type="dxa"/>
            <w:tcBorders>
              <w:left w:val="nil"/>
              <w:bottom w:val="single" w:sz="4" w:space="0" w:color="C9C9C9"/>
              <w:right w:val="nil"/>
            </w:tcBorders>
            <w:shd w:val="clear" w:color="auto" w:fill="auto"/>
            <w:noWrap/>
            <w:vAlign w:val="bottom"/>
            <w:hideMark/>
          </w:tcPr>
          <w:p w14:paraId="1992FBDF"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93.9</w:t>
            </w:r>
          </w:p>
        </w:tc>
        <w:tc>
          <w:tcPr>
            <w:tcW w:w="1100" w:type="dxa"/>
            <w:tcBorders>
              <w:left w:val="nil"/>
              <w:bottom w:val="single" w:sz="4" w:space="0" w:color="C9C9C9"/>
              <w:right w:val="nil"/>
            </w:tcBorders>
            <w:shd w:val="clear" w:color="auto" w:fill="auto"/>
            <w:noWrap/>
            <w:vAlign w:val="bottom"/>
            <w:hideMark/>
          </w:tcPr>
          <w:p w14:paraId="36D56611"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89.3</w:t>
            </w:r>
          </w:p>
        </w:tc>
        <w:tc>
          <w:tcPr>
            <w:tcW w:w="1700" w:type="dxa"/>
            <w:tcBorders>
              <w:left w:val="nil"/>
              <w:bottom w:val="single" w:sz="4" w:space="0" w:color="C9C9C9"/>
              <w:right w:val="nil"/>
            </w:tcBorders>
            <w:shd w:val="clear" w:color="auto" w:fill="auto"/>
            <w:noWrap/>
            <w:vAlign w:val="bottom"/>
            <w:hideMark/>
          </w:tcPr>
          <w:p w14:paraId="33B95BAA"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85.6</w:t>
            </w:r>
          </w:p>
        </w:tc>
        <w:tc>
          <w:tcPr>
            <w:tcW w:w="1130" w:type="dxa"/>
            <w:tcBorders>
              <w:left w:val="nil"/>
              <w:bottom w:val="single" w:sz="4" w:space="0" w:color="C9C9C9"/>
              <w:right w:val="nil"/>
            </w:tcBorders>
            <w:shd w:val="clear" w:color="auto" w:fill="auto"/>
            <w:noWrap/>
            <w:vAlign w:val="bottom"/>
            <w:hideMark/>
          </w:tcPr>
          <w:p w14:paraId="68FE5927"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91.7</w:t>
            </w:r>
          </w:p>
        </w:tc>
        <w:tc>
          <w:tcPr>
            <w:tcW w:w="1282" w:type="dxa"/>
            <w:tcBorders>
              <w:left w:val="nil"/>
              <w:bottom w:val="single" w:sz="4" w:space="0" w:color="C9C9C9"/>
              <w:right w:val="single" w:sz="4" w:space="0" w:color="auto"/>
            </w:tcBorders>
            <w:shd w:val="clear" w:color="auto" w:fill="auto"/>
            <w:noWrap/>
            <w:vAlign w:val="bottom"/>
            <w:hideMark/>
          </w:tcPr>
          <w:p w14:paraId="00AF298E"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87.8</w:t>
            </w:r>
          </w:p>
        </w:tc>
      </w:tr>
      <w:tr w:rsidR="007D14F1" w:rsidRPr="007D14F1" w14:paraId="696358E7" w14:textId="77777777" w:rsidTr="00BB4EE0">
        <w:trPr>
          <w:trHeight w:val="257"/>
        </w:trPr>
        <w:tc>
          <w:tcPr>
            <w:tcW w:w="2781" w:type="dxa"/>
            <w:tcBorders>
              <w:top w:val="single" w:sz="4" w:space="0" w:color="C9C9C9"/>
              <w:left w:val="single" w:sz="4" w:space="0" w:color="auto"/>
              <w:bottom w:val="single" w:sz="4" w:space="0" w:color="C9C9C9"/>
              <w:right w:val="nil"/>
            </w:tcBorders>
            <w:shd w:val="clear" w:color="EDEDED" w:fill="EDEDED"/>
            <w:noWrap/>
            <w:vAlign w:val="bottom"/>
            <w:hideMark/>
          </w:tcPr>
          <w:p w14:paraId="70B8370A"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Vale of Glamorgan</w:t>
            </w:r>
          </w:p>
        </w:tc>
        <w:tc>
          <w:tcPr>
            <w:tcW w:w="1100" w:type="dxa"/>
            <w:tcBorders>
              <w:top w:val="single" w:sz="4" w:space="0" w:color="C9C9C9"/>
              <w:left w:val="nil"/>
              <w:bottom w:val="single" w:sz="4" w:space="0" w:color="C9C9C9"/>
              <w:right w:val="nil"/>
            </w:tcBorders>
            <w:shd w:val="clear" w:color="EDEDED" w:fill="EDEDED"/>
            <w:noWrap/>
            <w:vAlign w:val="bottom"/>
            <w:hideMark/>
          </w:tcPr>
          <w:p w14:paraId="66246794"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95.3</w:t>
            </w:r>
          </w:p>
        </w:tc>
        <w:tc>
          <w:tcPr>
            <w:tcW w:w="1100" w:type="dxa"/>
            <w:tcBorders>
              <w:top w:val="single" w:sz="4" w:space="0" w:color="C9C9C9"/>
              <w:left w:val="nil"/>
              <w:bottom w:val="single" w:sz="4" w:space="0" w:color="C9C9C9"/>
              <w:right w:val="nil"/>
            </w:tcBorders>
            <w:shd w:val="clear" w:color="EDEDED" w:fill="EDEDED"/>
            <w:noWrap/>
            <w:vAlign w:val="bottom"/>
            <w:hideMark/>
          </w:tcPr>
          <w:p w14:paraId="1DA676CE"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93.6</w:t>
            </w:r>
          </w:p>
        </w:tc>
        <w:tc>
          <w:tcPr>
            <w:tcW w:w="1700" w:type="dxa"/>
            <w:tcBorders>
              <w:top w:val="single" w:sz="4" w:space="0" w:color="C9C9C9"/>
              <w:left w:val="nil"/>
              <w:bottom w:val="single" w:sz="4" w:space="0" w:color="C9C9C9"/>
              <w:right w:val="nil"/>
            </w:tcBorders>
            <w:shd w:val="clear" w:color="EDEDED" w:fill="EDEDED"/>
            <w:noWrap/>
            <w:vAlign w:val="bottom"/>
            <w:hideMark/>
          </w:tcPr>
          <w:p w14:paraId="16286EBE"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89.8</w:t>
            </w:r>
          </w:p>
        </w:tc>
        <w:tc>
          <w:tcPr>
            <w:tcW w:w="1130" w:type="dxa"/>
            <w:tcBorders>
              <w:top w:val="single" w:sz="4" w:space="0" w:color="C9C9C9"/>
              <w:left w:val="nil"/>
              <w:bottom w:val="single" w:sz="4" w:space="0" w:color="C9C9C9"/>
              <w:right w:val="nil"/>
            </w:tcBorders>
            <w:shd w:val="clear" w:color="EDEDED" w:fill="EDEDED"/>
            <w:noWrap/>
            <w:vAlign w:val="bottom"/>
            <w:hideMark/>
          </w:tcPr>
          <w:p w14:paraId="282D2174"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93.3</w:t>
            </w:r>
          </w:p>
        </w:tc>
        <w:tc>
          <w:tcPr>
            <w:tcW w:w="1282" w:type="dxa"/>
            <w:tcBorders>
              <w:top w:val="single" w:sz="4" w:space="0" w:color="C9C9C9"/>
              <w:left w:val="nil"/>
              <w:bottom w:val="single" w:sz="4" w:space="0" w:color="C9C9C9"/>
              <w:right w:val="single" w:sz="4" w:space="0" w:color="auto"/>
            </w:tcBorders>
            <w:shd w:val="clear" w:color="EDEDED" w:fill="EDEDED"/>
            <w:noWrap/>
            <w:vAlign w:val="bottom"/>
            <w:hideMark/>
          </w:tcPr>
          <w:p w14:paraId="66691BFB"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89.6</w:t>
            </w:r>
          </w:p>
        </w:tc>
      </w:tr>
      <w:tr w:rsidR="007D14F1" w:rsidRPr="007D14F1" w14:paraId="7E24BE42" w14:textId="77777777" w:rsidTr="00BB4EE0">
        <w:trPr>
          <w:trHeight w:val="267"/>
        </w:trPr>
        <w:tc>
          <w:tcPr>
            <w:tcW w:w="2781" w:type="dxa"/>
            <w:tcBorders>
              <w:top w:val="single" w:sz="4" w:space="0" w:color="C9C9C9"/>
              <w:left w:val="single" w:sz="4" w:space="0" w:color="auto"/>
              <w:bottom w:val="single" w:sz="4" w:space="0" w:color="C9C9C9"/>
              <w:right w:val="nil"/>
            </w:tcBorders>
            <w:shd w:val="clear" w:color="auto" w:fill="auto"/>
            <w:noWrap/>
            <w:vAlign w:val="bottom"/>
            <w:hideMark/>
          </w:tcPr>
          <w:p w14:paraId="23568543" w14:textId="55A2A86C"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Card</w:t>
            </w:r>
            <w:r>
              <w:rPr>
                <w:rFonts w:ascii="Calibri" w:eastAsia="Times New Roman" w:hAnsi="Calibri" w:cs="Calibri"/>
                <w:color w:val="000000"/>
                <w:lang w:eastAsia="en-GB"/>
              </w:rPr>
              <w:t>i</w:t>
            </w:r>
            <w:r w:rsidRPr="007D14F1">
              <w:rPr>
                <w:rFonts w:ascii="Calibri" w:eastAsia="Times New Roman" w:hAnsi="Calibri" w:cs="Calibri"/>
                <w:color w:val="000000"/>
                <w:lang w:eastAsia="en-GB"/>
              </w:rPr>
              <w:t>ff and Vale USB</w:t>
            </w:r>
          </w:p>
        </w:tc>
        <w:tc>
          <w:tcPr>
            <w:tcW w:w="1100" w:type="dxa"/>
            <w:tcBorders>
              <w:top w:val="single" w:sz="4" w:space="0" w:color="C9C9C9"/>
              <w:left w:val="nil"/>
              <w:bottom w:val="single" w:sz="4" w:space="0" w:color="C9C9C9"/>
              <w:right w:val="nil"/>
            </w:tcBorders>
            <w:shd w:val="clear" w:color="auto" w:fill="auto"/>
            <w:noWrap/>
            <w:vAlign w:val="bottom"/>
            <w:hideMark/>
          </w:tcPr>
          <w:p w14:paraId="49433208"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94.2</w:t>
            </w:r>
          </w:p>
        </w:tc>
        <w:tc>
          <w:tcPr>
            <w:tcW w:w="1100" w:type="dxa"/>
            <w:tcBorders>
              <w:top w:val="single" w:sz="4" w:space="0" w:color="C9C9C9"/>
              <w:left w:val="nil"/>
              <w:bottom w:val="single" w:sz="4" w:space="0" w:color="C9C9C9"/>
              <w:right w:val="nil"/>
            </w:tcBorders>
            <w:shd w:val="clear" w:color="auto" w:fill="auto"/>
            <w:noWrap/>
            <w:vAlign w:val="bottom"/>
            <w:hideMark/>
          </w:tcPr>
          <w:p w14:paraId="31E33CD1"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90.4</w:t>
            </w:r>
          </w:p>
        </w:tc>
        <w:tc>
          <w:tcPr>
            <w:tcW w:w="1700" w:type="dxa"/>
            <w:tcBorders>
              <w:top w:val="single" w:sz="4" w:space="0" w:color="C9C9C9"/>
              <w:left w:val="nil"/>
              <w:bottom w:val="single" w:sz="4" w:space="0" w:color="C9C9C9"/>
              <w:right w:val="nil"/>
            </w:tcBorders>
            <w:shd w:val="clear" w:color="auto" w:fill="auto"/>
            <w:noWrap/>
            <w:vAlign w:val="bottom"/>
            <w:hideMark/>
          </w:tcPr>
          <w:p w14:paraId="75A0E495"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86.7</w:t>
            </w:r>
          </w:p>
        </w:tc>
        <w:tc>
          <w:tcPr>
            <w:tcW w:w="1130" w:type="dxa"/>
            <w:tcBorders>
              <w:top w:val="single" w:sz="4" w:space="0" w:color="C9C9C9"/>
              <w:left w:val="nil"/>
              <w:bottom w:val="single" w:sz="4" w:space="0" w:color="C9C9C9"/>
              <w:right w:val="nil"/>
            </w:tcBorders>
            <w:shd w:val="clear" w:color="auto" w:fill="auto"/>
            <w:noWrap/>
            <w:vAlign w:val="bottom"/>
            <w:hideMark/>
          </w:tcPr>
          <w:p w14:paraId="386E0CFC"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92.1</w:t>
            </w:r>
          </w:p>
        </w:tc>
        <w:tc>
          <w:tcPr>
            <w:tcW w:w="1282" w:type="dxa"/>
            <w:tcBorders>
              <w:top w:val="single" w:sz="4" w:space="0" w:color="C9C9C9"/>
              <w:left w:val="nil"/>
              <w:bottom w:val="single" w:sz="4" w:space="0" w:color="C9C9C9"/>
              <w:right w:val="single" w:sz="4" w:space="0" w:color="auto"/>
            </w:tcBorders>
            <w:shd w:val="clear" w:color="auto" w:fill="auto"/>
            <w:noWrap/>
            <w:vAlign w:val="bottom"/>
            <w:hideMark/>
          </w:tcPr>
          <w:p w14:paraId="70F4E5E7"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88.3</w:t>
            </w:r>
          </w:p>
        </w:tc>
      </w:tr>
      <w:tr w:rsidR="007D14F1" w:rsidRPr="007D14F1" w14:paraId="5B288377" w14:textId="77777777" w:rsidTr="00BB4EE0">
        <w:trPr>
          <w:trHeight w:val="267"/>
        </w:trPr>
        <w:tc>
          <w:tcPr>
            <w:tcW w:w="2781" w:type="dxa"/>
            <w:tcBorders>
              <w:top w:val="single" w:sz="4" w:space="0" w:color="C9C9C9"/>
              <w:left w:val="single" w:sz="4" w:space="0" w:color="auto"/>
              <w:bottom w:val="single" w:sz="4" w:space="0" w:color="auto"/>
              <w:right w:val="nil"/>
            </w:tcBorders>
            <w:shd w:val="clear" w:color="EDEDED" w:fill="EDEDED"/>
            <w:noWrap/>
            <w:vAlign w:val="bottom"/>
            <w:hideMark/>
          </w:tcPr>
          <w:p w14:paraId="62A3E72E"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Wales</w:t>
            </w:r>
          </w:p>
        </w:tc>
        <w:tc>
          <w:tcPr>
            <w:tcW w:w="1100" w:type="dxa"/>
            <w:tcBorders>
              <w:top w:val="single" w:sz="4" w:space="0" w:color="C9C9C9"/>
              <w:left w:val="nil"/>
              <w:bottom w:val="single" w:sz="4" w:space="0" w:color="auto"/>
              <w:right w:val="nil"/>
            </w:tcBorders>
            <w:shd w:val="clear" w:color="EDEDED" w:fill="EDEDED"/>
            <w:noWrap/>
            <w:vAlign w:val="bottom"/>
            <w:hideMark/>
          </w:tcPr>
          <w:p w14:paraId="44E8BDA1"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95.8</w:t>
            </w:r>
          </w:p>
        </w:tc>
        <w:tc>
          <w:tcPr>
            <w:tcW w:w="1100" w:type="dxa"/>
            <w:tcBorders>
              <w:top w:val="single" w:sz="4" w:space="0" w:color="C9C9C9"/>
              <w:left w:val="nil"/>
              <w:bottom w:val="single" w:sz="4" w:space="0" w:color="auto"/>
              <w:right w:val="nil"/>
            </w:tcBorders>
            <w:shd w:val="clear" w:color="EDEDED" w:fill="EDEDED"/>
            <w:noWrap/>
            <w:vAlign w:val="bottom"/>
            <w:hideMark/>
          </w:tcPr>
          <w:p w14:paraId="2FBFB53D"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93.8</w:t>
            </w:r>
          </w:p>
        </w:tc>
        <w:tc>
          <w:tcPr>
            <w:tcW w:w="1700" w:type="dxa"/>
            <w:tcBorders>
              <w:top w:val="single" w:sz="4" w:space="0" w:color="C9C9C9"/>
              <w:left w:val="nil"/>
              <w:bottom w:val="single" w:sz="4" w:space="0" w:color="auto"/>
              <w:right w:val="nil"/>
            </w:tcBorders>
            <w:shd w:val="clear" w:color="EDEDED" w:fill="EDEDED"/>
            <w:noWrap/>
            <w:vAlign w:val="bottom"/>
            <w:hideMark/>
          </w:tcPr>
          <w:p w14:paraId="6898A047" w14:textId="6AA1A0CC"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88</w:t>
            </w:r>
            <w:r>
              <w:rPr>
                <w:rFonts w:ascii="Calibri" w:eastAsia="Times New Roman" w:hAnsi="Calibri" w:cs="Calibri"/>
                <w:color w:val="000000"/>
                <w:lang w:eastAsia="en-GB"/>
              </w:rPr>
              <w:t>.0</w:t>
            </w:r>
          </w:p>
        </w:tc>
        <w:tc>
          <w:tcPr>
            <w:tcW w:w="1130" w:type="dxa"/>
            <w:tcBorders>
              <w:top w:val="single" w:sz="4" w:space="0" w:color="C9C9C9"/>
              <w:left w:val="nil"/>
              <w:bottom w:val="single" w:sz="4" w:space="0" w:color="auto"/>
              <w:right w:val="nil"/>
            </w:tcBorders>
            <w:shd w:val="clear" w:color="EDEDED" w:fill="EDEDED"/>
            <w:noWrap/>
            <w:vAlign w:val="bottom"/>
            <w:hideMark/>
          </w:tcPr>
          <w:p w14:paraId="4249A9B2"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92.1</w:t>
            </w:r>
          </w:p>
        </w:tc>
        <w:tc>
          <w:tcPr>
            <w:tcW w:w="1282" w:type="dxa"/>
            <w:tcBorders>
              <w:top w:val="single" w:sz="4" w:space="0" w:color="C9C9C9"/>
              <w:left w:val="nil"/>
              <w:bottom w:val="single" w:sz="4" w:space="0" w:color="auto"/>
              <w:right w:val="single" w:sz="4" w:space="0" w:color="auto"/>
            </w:tcBorders>
            <w:shd w:val="clear" w:color="EDEDED" w:fill="EDEDED"/>
            <w:noWrap/>
            <w:vAlign w:val="bottom"/>
            <w:hideMark/>
          </w:tcPr>
          <w:p w14:paraId="1EFFECB4" w14:textId="77777777" w:rsidR="007D14F1" w:rsidRPr="007D14F1" w:rsidRDefault="007D14F1" w:rsidP="00DC54F7">
            <w:pPr>
              <w:spacing w:after="0" w:line="240" w:lineRule="auto"/>
              <w:jc w:val="both"/>
              <w:rPr>
                <w:rFonts w:ascii="Calibri" w:eastAsia="Times New Roman" w:hAnsi="Calibri" w:cs="Calibri"/>
                <w:color w:val="000000"/>
                <w:lang w:eastAsia="en-GB"/>
              </w:rPr>
            </w:pPr>
            <w:r w:rsidRPr="007D14F1">
              <w:rPr>
                <w:rFonts w:ascii="Calibri" w:eastAsia="Times New Roman" w:hAnsi="Calibri" w:cs="Calibri"/>
                <w:color w:val="000000"/>
                <w:lang w:eastAsia="en-GB"/>
              </w:rPr>
              <w:t>91.5</w:t>
            </w:r>
          </w:p>
        </w:tc>
      </w:tr>
    </w:tbl>
    <w:p w14:paraId="76BC6010" w14:textId="65995185" w:rsidR="00005C26" w:rsidRPr="00D11856" w:rsidRDefault="00580EBE" w:rsidP="003C136C">
      <w:pPr>
        <w:spacing w:after="0" w:line="240" w:lineRule="auto"/>
        <w:jc w:val="both"/>
        <w:rPr>
          <w:rFonts w:ascii="Arial" w:hAnsi="Arial" w:cs="Arial"/>
          <w:sz w:val="20"/>
          <w:szCs w:val="20"/>
        </w:rPr>
      </w:pPr>
      <w:r w:rsidRPr="00D11856">
        <w:rPr>
          <w:rFonts w:ascii="Arial" w:hAnsi="Arial" w:cs="Arial"/>
          <w:sz w:val="20"/>
          <w:szCs w:val="20"/>
        </w:rPr>
        <w:t>Source: C</w:t>
      </w:r>
      <w:r w:rsidR="00F8669C" w:rsidRPr="00D11856">
        <w:rPr>
          <w:rFonts w:ascii="Arial" w:hAnsi="Arial" w:cs="Arial"/>
          <w:sz w:val="20"/>
          <w:szCs w:val="20"/>
        </w:rPr>
        <w:t>OVER</w:t>
      </w:r>
      <w:r w:rsidRPr="00D11856">
        <w:rPr>
          <w:rFonts w:ascii="Arial" w:hAnsi="Arial" w:cs="Arial"/>
          <w:sz w:val="20"/>
          <w:szCs w:val="20"/>
        </w:rPr>
        <w:t xml:space="preserve"> </w:t>
      </w:r>
      <w:r w:rsidR="00E87197" w:rsidRPr="00D11856">
        <w:rPr>
          <w:rFonts w:ascii="Arial" w:hAnsi="Arial" w:cs="Arial"/>
          <w:sz w:val="20"/>
          <w:szCs w:val="20"/>
        </w:rPr>
        <w:t xml:space="preserve">– </w:t>
      </w:r>
      <w:r w:rsidR="000F6125" w:rsidRPr="00D11856">
        <w:rPr>
          <w:rFonts w:ascii="Arial" w:hAnsi="Arial" w:cs="Arial"/>
          <w:sz w:val="20"/>
          <w:szCs w:val="20"/>
        </w:rPr>
        <w:t xml:space="preserve">Vaccine </w:t>
      </w:r>
      <w:r w:rsidR="00BB4F81" w:rsidRPr="00D11856">
        <w:rPr>
          <w:rFonts w:ascii="Arial" w:hAnsi="Arial" w:cs="Arial"/>
          <w:sz w:val="20"/>
          <w:szCs w:val="20"/>
        </w:rPr>
        <w:t>U</w:t>
      </w:r>
      <w:r w:rsidR="000F6125" w:rsidRPr="00D11856">
        <w:rPr>
          <w:rFonts w:ascii="Arial" w:hAnsi="Arial" w:cs="Arial"/>
          <w:sz w:val="20"/>
          <w:szCs w:val="20"/>
        </w:rPr>
        <w:t>p</w:t>
      </w:r>
      <w:r w:rsidR="00AB51B1" w:rsidRPr="00D11856">
        <w:rPr>
          <w:rFonts w:ascii="Arial" w:hAnsi="Arial" w:cs="Arial"/>
          <w:sz w:val="20"/>
          <w:szCs w:val="20"/>
        </w:rPr>
        <w:t>t</w:t>
      </w:r>
      <w:r w:rsidR="000F6125" w:rsidRPr="00D11856">
        <w:rPr>
          <w:rFonts w:ascii="Arial" w:hAnsi="Arial" w:cs="Arial"/>
          <w:sz w:val="20"/>
          <w:szCs w:val="20"/>
        </w:rPr>
        <w:t>a</w:t>
      </w:r>
      <w:r w:rsidR="00AB51B1" w:rsidRPr="00D11856">
        <w:rPr>
          <w:rFonts w:ascii="Arial" w:hAnsi="Arial" w:cs="Arial"/>
          <w:sz w:val="20"/>
          <w:szCs w:val="20"/>
        </w:rPr>
        <w:t>k</w:t>
      </w:r>
      <w:r w:rsidR="000F6125" w:rsidRPr="00D11856">
        <w:rPr>
          <w:rFonts w:ascii="Arial" w:hAnsi="Arial" w:cs="Arial"/>
          <w:sz w:val="20"/>
          <w:szCs w:val="20"/>
        </w:rPr>
        <w:t xml:space="preserve">e in </w:t>
      </w:r>
      <w:r w:rsidR="00BB4F81" w:rsidRPr="00D11856">
        <w:rPr>
          <w:rFonts w:ascii="Arial" w:hAnsi="Arial" w:cs="Arial"/>
          <w:sz w:val="20"/>
          <w:szCs w:val="20"/>
        </w:rPr>
        <w:t>C</w:t>
      </w:r>
      <w:r w:rsidR="000F6125" w:rsidRPr="00D11856">
        <w:rPr>
          <w:rFonts w:ascii="Arial" w:hAnsi="Arial" w:cs="Arial"/>
          <w:sz w:val="20"/>
          <w:szCs w:val="20"/>
        </w:rPr>
        <w:t xml:space="preserve">hildren in Wales. </w:t>
      </w:r>
      <w:r w:rsidR="00E87197" w:rsidRPr="00D11856">
        <w:rPr>
          <w:rFonts w:ascii="Arial" w:hAnsi="Arial" w:cs="Arial"/>
          <w:sz w:val="20"/>
          <w:szCs w:val="20"/>
        </w:rPr>
        <w:t xml:space="preserve">Annual </w:t>
      </w:r>
      <w:r w:rsidRPr="00D11856">
        <w:rPr>
          <w:rFonts w:ascii="Arial" w:hAnsi="Arial" w:cs="Arial"/>
          <w:sz w:val="20"/>
          <w:szCs w:val="20"/>
        </w:rPr>
        <w:t>report 2020</w:t>
      </w:r>
    </w:p>
    <w:p w14:paraId="36EFE972" w14:textId="77777777" w:rsidR="003C136C" w:rsidRDefault="003C136C" w:rsidP="003C136C">
      <w:pPr>
        <w:pStyle w:val="Caption"/>
        <w:spacing w:before="0" w:after="0"/>
        <w:jc w:val="both"/>
        <w:rPr>
          <w:rFonts w:ascii="Arial" w:hAnsi="Arial" w:cs="Arial"/>
          <w:b w:val="0"/>
          <w:bCs/>
          <w:szCs w:val="24"/>
        </w:rPr>
      </w:pPr>
      <w:bookmarkStart w:id="22" w:name="_Toc60225150"/>
    </w:p>
    <w:p w14:paraId="55EF1224" w14:textId="4087DB2B" w:rsidR="009D320C" w:rsidRDefault="00D64DA0" w:rsidP="003C136C">
      <w:pPr>
        <w:pStyle w:val="Caption"/>
        <w:spacing w:before="0" w:after="0"/>
        <w:jc w:val="both"/>
        <w:rPr>
          <w:rFonts w:ascii="Arial" w:hAnsi="Arial" w:cs="Arial"/>
          <w:b w:val="0"/>
          <w:bCs/>
          <w:szCs w:val="24"/>
        </w:rPr>
      </w:pPr>
      <w:r w:rsidRPr="00D11856">
        <w:rPr>
          <w:rFonts w:ascii="Arial" w:hAnsi="Arial" w:cs="Arial"/>
          <w:b w:val="0"/>
          <w:bCs/>
          <w:szCs w:val="24"/>
        </w:rPr>
        <w:t xml:space="preserve">Uptake of influenza vaccine in those aged 65 years and older </w:t>
      </w:r>
      <w:r w:rsidR="008D117D" w:rsidRPr="00D11856">
        <w:rPr>
          <w:rFonts w:ascii="Arial" w:hAnsi="Arial" w:cs="Arial"/>
          <w:b w:val="0"/>
          <w:bCs/>
          <w:szCs w:val="24"/>
        </w:rPr>
        <w:t xml:space="preserve">in Wales </w:t>
      </w:r>
      <w:r w:rsidRPr="00D11856">
        <w:rPr>
          <w:rFonts w:ascii="Arial" w:hAnsi="Arial" w:cs="Arial"/>
          <w:b w:val="0"/>
          <w:bCs/>
          <w:szCs w:val="24"/>
        </w:rPr>
        <w:t>was 69.4%, an increase compared to 68.3% in the 2018</w:t>
      </w:r>
      <w:r w:rsidR="008D117D" w:rsidRPr="00D11856">
        <w:rPr>
          <w:rFonts w:ascii="Arial" w:hAnsi="Arial" w:cs="Arial"/>
          <w:b w:val="0"/>
          <w:bCs/>
          <w:szCs w:val="24"/>
        </w:rPr>
        <w:t xml:space="preserve"> to</w:t>
      </w:r>
      <w:r w:rsidR="009D320C" w:rsidRPr="00D11856">
        <w:rPr>
          <w:rFonts w:ascii="Arial" w:hAnsi="Arial" w:cs="Arial"/>
          <w:b w:val="0"/>
          <w:bCs/>
          <w:szCs w:val="24"/>
        </w:rPr>
        <w:t xml:space="preserve"> 201</w:t>
      </w:r>
      <w:r w:rsidRPr="00D11856">
        <w:rPr>
          <w:rFonts w:ascii="Arial" w:hAnsi="Arial" w:cs="Arial"/>
          <w:b w:val="0"/>
          <w:bCs/>
          <w:szCs w:val="24"/>
        </w:rPr>
        <w:t>9</w:t>
      </w:r>
      <w:r w:rsidR="002A26FA" w:rsidRPr="00D11856">
        <w:rPr>
          <w:rFonts w:ascii="Arial" w:hAnsi="Arial" w:cs="Arial"/>
          <w:b w:val="0"/>
          <w:bCs/>
          <w:szCs w:val="24"/>
        </w:rPr>
        <w:t xml:space="preserve">. </w:t>
      </w:r>
      <w:r w:rsidR="00D13055" w:rsidRPr="00D11856">
        <w:rPr>
          <w:rFonts w:ascii="Arial" w:hAnsi="Arial" w:cs="Arial"/>
          <w:b w:val="0"/>
          <w:bCs/>
          <w:szCs w:val="24"/>
        </w:rPr>
        <w:t>Of all influenza immunisations given to those aged 65 years and over, 90% were delivered by the week ending 1st December 2019.</w:t>
      </w:r>
      <w:r w:rsidR="00294499" w:rsidRPr="00D11856">
        <w:rPr>
          <w:rStyle w:val="FootnoteReference"/>
          <w:rFonts w:ascii="Arial" w:hAnsi="Arial" w:cs="Arial"/>
          <w:b w:val="0"/>
          <w:bCs/>
          <w:szCs w:val="24"/>
        </w:rPr>
        <w:footnoteReference w:id="25"/>
      </w:r>
      <w:r w:rsidR="00D13055" w:rsidRPr="00D11856">
        <w:rPr>
          <w:rFonts w:ascii="Arial" w:hAnsi="Arial" w:cs="Arial"/>
          <w:b w:val="0"/>
          <w:bCs/>
          <w:szCs w:val="24"/>
        </w:rPr>
        <w:t xml:space="preserve"> </w:t>
      </w:r>
      <w:r w:rsidR="002A26FA" w:rsidRPr="00D11856">
        <w:rPr>
          <w:rFonts w:ascii="Arial" w:hAnsi="Arial" w:cs="Arial"/>
          <w:b w:val="0"/>
          <w:bCs/>
          <w:szCs w:val="24"/>
        </w:rPr>
        <w:t xml:space="preserve">In Cardiff and Vale University Health Board, uptake </w:t>
      </w:r>
      <w:r w:rsidR="00F941AD" w:rsidRPr="00D11856">
        <w:rPr>
          <w:rFonts w:ascii="Arial" w:hAnsi="Arial" w:cs="Arial"/>
          <w:b w:val="0"/>
          <w:bCs/>
          <w:szCs w:val="24"/>
        </w:rPr>
        <w:t>was higher at 71.2%</w:t>
      </w:r>
      <w:r w:rsidR="000D5DC1" w:rsidRPr="00D11856">
        <w:rPr>
          <w:rFonts w:ascii="Arial" w:hAnsi="Arial" w:cs="Arial"/>
          <w:b w:val="0"/>
          <w:bCs/>
          <w:szCs w:val="24"/>
        </w:rPr>
        <w:t xml:space="preserve">, an increase </w:t>
      </w:r>
      <w:r w:rsidR="00172327" w:rsidRPr="00D11856">
        <w:rPr>
          <w:rFonts w:ascii="Arial" w:hAnsi="Arial" w:cs="Arial"/>
          <w:b w:val="0"/>
          <w:bCs/>
          <w:szCs w:val="24"/>
        </w:rPr>
        <w:t>compared to 69.9% the previous year</w:t>
      </w:r>
      <w:r w:rsidR="00D13055" w:rsidRPr="00D11856">
        <w:rPr>
          <w:rFonts w:ascii="Arial" w:hAnsi="Arial" w:cs="Arial"/>
          <w:b w:val="0"/>
          <w:bCs/>
          <w:szCs w:val="24"/>
        </w:rPr>
        <w:t xml:space="preserve">. The Vale of Glamorgan (71.7%) had a higher uptake than Cardiff </w:t>
      </w:r>
      <w:r w:rsidR="009D320C" w:rsidRPr="00D11856">
        <w:rPr>
          <w:rFonts w:ascii="Arial" w:hAnsi="Arial" w:cs="Arial"/>
          <w:b w:val="0"/>
          <w:bCs/>
          <w:szCs w:val="24"/>
        </w:rPr>
        <w:t xml:space="preserve">(71%). The national target of 75% </w:t>
      </w:r>
      <w:r w:rsidR="00C16CC7" w:rsidRPr="00D11856">
        <w:rPr>
          <w:rFonts w:ascii="Arial" w:hAnsi="Arial" w:cs="Arial"/>
          <w:b w:val="0"/>
          <w:bCs/>
          <w:szCs w:val="24"/>
        </w:rPr>
        <w:t>was not</w:t>
      </w:r>
      <w:r w:rsidR="009D320C" w:rsidRPr="00D11856">
        <w:rPr>
          <w:rFonts w:ascii="Arial" w:hAnsi="Arial" w:cs="Arial"/>
          <w:b w:val="0"/>
          <w:bCs/>
          <w:szCs w:val="24"/>
        </w:rPr>
        <w:t xml:space="preserve"> met by any health board or </w:t>
      </w:r>
      <w:r w:rsidR="00567F4B" w:rsidRPr="00D11856">
        <w:rPr>
          <w:rFonts w:ascii="Arial" w:hAnsi="Arial" w:cs="Arial"/>
          <w:b w:val="0"/>
          <w:bCs/>
          <w:szCs w:val="24"/>
        </w:rPr>
        <w:t>local</w:t>
      </w:r>
      <w:r w:rsidR="009D320C" w:rsidRPr="00D11856">
        <w:rPr>
          <w:rFonts w:ascii="Arial" w:hAnsi="Arial" w:cs="Arial"/>
          <w:b w:val="0"/>
          <w:bCs/>
          <w:szCs w:val="24"/>
        </w:rPr>
        <w:t xml:space="preserve"> authority</w:t>
      </w:r>
      <w:r w:rsidR="00C9757D" w:rsidRPr="00D11856">
        <w:rPr>
          <w:rFonts w:ascii="Arial" w:hAnsi="Arial" w:cs="Arial"/>
          <w:b w:val="0"/>
          <w:bCs/>
          <w:szCs w:val="24"/>
        </w:rPr>
        <w:t xml:space="preserve"> in Wales</w:t>
      </w:r>
      <w:r w:rsidR="009D320C" w:rsidRPr="00D11856">
        <w:rPr>
          <w:rFonts w:ascii="Arial" w:hAnsi="Arial" w:cs="Arial"/>
          <w:b w:val="0"/>
          <w:bCs/>
          <w:szCs w:val="24"/>
        </w:rPr>
        <w:t xml:space="preserve">. </w:t>
      </w:r>
    </w:p>
    <w:p w14:paraId="53023953" w14:textId="77777777" w:rsidR="00D11856" w:rsidRPr="00D11856" w:rsidRDefault="00D11856" w:rsidP="00B31D24">
      <w:pPr>
        <w:spacing w:after="0" w:line="240" w:lineRule="auto"/>
        <w:jc w:val="both"/>
      </w:pPr>
    </w:p>
    <w:p w14:paraId="521CF1C8" w14:textId="175E122D" w:rsidR="00D64DA0" w:rsidRDefault="00172327" w:rsidP="00B31D24">
      <w:pPr>
        <w:spacing w:after="0" w:line="240" w:lineRule="auto"/>
        <w:jc w:val="both"/>
        <w:rPr>
          <w:rFonts w:ascii="Arial" w:hAnsi="Arial" w:cs="Arial"/>
          <w:sz w:val="24"/>
          <w:szCs w:val="24"/>
        </w:rPr>
      </w:pPr>
      <w:r w:rsidRPr="00D11856">
        <w:rPr>
          <w:rFonts w:ascii="Arial" w:hAnsi="Arial" w:cs="Arial"/>
          <w:sz w:val="24"/>
          <w:szCs w:val="24"/>
        </w:rPr>
        <w:t>In Wales, the u</w:t>
      </w:r>
      <w:r w:rsidR="00D64DA0" w:rsidRPr="00D11856">
        <w:rPr>
          <w:rFonts w:ascii="Arial" w:hAnsi="Arial" w:cs="Arial"/>
          <w:sz w:val="24"/>
          <w:szCs w:val="24"/>
        </w:rPr>
        <w:t>ptake in those aged six months to 64 years in a clinical risk group was 44.1%, the same as 2018</w:t>
      </w:r>
      <w:r w:rsidR="00615B87" w:rsidRPr="00D11856">
        <w:rPr>
          <w:rFonts w:ascii="Arial" w:hAnsi="Arial" w:cs="Arial"/>
          <w:sz w:val="24"/>
          <w:szCs w:val="24"/>
        </w:rPr>
        <w:t xml:space="preserve"> to 20</w:t>
      </w:r>
      <w:r w:rsidR="00D64DA0" w:rsidRPr="00D11856">
        <w:rPr>
          <w:rFonts w:ascii="Arial" w:hAnsi="Arial" w:cs="Arial"/>
          <w:sz w:val="24"/>
          <w:szCs w:val="24"/>
        </w:rPr>
        <w:t>19. Of all immunisations given to those aged six months to 64 years in clinical risk groups, 90% were delivered by the week ending 5th January 2020</w:t>
      </w:r>
      <w:r w:rsidR="00EF7001" w:rsidRPr="00D11856">
        <w:rPr>
          <w:rFonts w:ascii="Arial" w:hAnsi="Arial" w:cs="Arial"/>
          <w:sz w:val="24"/>
          <w:szCs w:val="24"/>
          <w:vertAlign w:val="superscript"/>
        </w:rPr>
        <w:t>21</w:t>
      </w:r>
      <w:r w:rsidR="00D64DA0" w:rsidRPr="00D11856">
        <w:rPr>
          <w:rFonts w:ascii="Arial" w:hAnsi="Arial" w:cs="Arial"/>
          <w:sz w:val="24"/>
          <w:szCs w:val="24"/>
        </w:rPr>
        <w:t xml:space="preserve">. </w:t>
      </w:r>
      <w:r w:rsidR="008040BD" w:rsidRPr="00D11856">
        <w:rPr>
          <w:rFonts w:ascii="Arial" w:hAnsi="Arial" w:cs="Arial"/>
          <w:sz w:val="24"/>
          <w:szCs w:val="24"/>
        </w:rPr>
        <w:t xml:space="preserve">In Cardiff and Vale University Health Board, uptake was lower at 43.8.%, </w:t>
      </w:r>
      <w:r w:rsidR="003077F7" w:rsidRPr="00D11856">
        <w:rPr>
          <w:rFonts w:ascii="Arial" w:hAnsi="Arial" w:cs="Arial"/>
          <w:sz w:val="24"/>
          <w:szCs w:val="24"/>
        </w:rPr>
        <w:t xml:space="preserve">a </w:t>
      </w:r>
      <w:r w:rsidR="008810A5" w:rsidRPr="00D11856">
        <w:rPr>
          <w:rFonts w:ascii="Arial" w:hAnsi="Arial" w:cs="Arial"/>
          <w:sz w:val="24"/>
          <w:szCs w:val="24"/>
        </w:rPr>
        <w:t>slight decrease</w:t>
      </w:r>
      <w:r w:rsidR="008040BD" w:rsidRPr="00D11856">
        <w:rPr>
          <w:rFonts w:ascii="Arial" w:hAnsi="Arial" w:cs="Arial"/>
          <w:sz w:val="24"/>
          <w:szCs w:val="24"/>
        </w:rPr>
        <w:t xml:space="preserve"> compared to </w:t>
      </w:r>
      <w:r w:rsidR="003F7451" w:rsidRPr="00D11856">
        <w:rPr>
          <w:rFonts w:ascii="Arial" w:hAnsi="Arial" w:cs="Arial"/>
          <w:sz w:val="24"/>
          <w:szCs w:val="24"/>
        </w:rPr>
        <w:t>44.0</w:t>
      </w:r>
      <w:r w:rsidR="008040BD" w:rsidRPr="00D11856">
        <w:rPr>
          <w:rFonts w:ascii="Arial" w:hAnsi="Arial" w:cs="Arial"/>
          <w:sz w:val="24"/>
          <w:szCs w:val="24"/>
        </w:rPr>
        <w:t>% the previous year. The Vale of Glamorgan (</w:t>
      </w:r>
      <w:r w:rsidR="003F7451" w:rsidRPr="00D11856">
        <w:rPr>
          <w:rFonts w:ascii="Arial" w:hAnsi="Arial" w:cs="Arial"/>
          <w:sz w:val="24"/>
          <w:szCs w:val="24"/>
        </w:rPr>
        <w:t>42</w:t>
      </w:r>
      <w:r w:rsidR="008040BD" w:rsidRPr="00D11856">
        <w:rPr>
          <w:rFonts w:ascii="Arial" w:hAnsi="Arial" w:cs="Arial"/>
          <w:sz w:val="24"/>
          <w:szCs w:val="24"/>
        </w:rPr>
        <w:t>.</w:t>
      </w:r>
      <w:r w:rsidR="003F7451" w:rsidRPr="00D11856">
        <w:rPr>
          <w:rFonts w:ascii="Arial" w:hAnsi="Arial" w:cs="Arial"/>
          <w:sz w:val="24"/>
          <w:szCs w:val="24"/>
        </w:rPr>
        <w:t>8</w:t>
      </w:r>
      <w:r w:rsidR="008040BD" w:rsidRPr="00D11856">
        <w:rPr>
          <w:rFonts w:ascii="Arial" w:hAnsi="Arial" w:cs="Arial"/>
          <w:sz w:val="24"/>
          <w:szCs w:val="24"/>
        </w:rPr>
        <w:t xml:space="preserve">%) had a </w:t>
      </w:r>
      <w:r w:rsidR="008D4BC3" w:rsidRPr="00D11856">
        <w:rPr>
          <w:rFonts w:ascii="Arial" w:hAnsi="Arial" w:cs="Arial"/>
          <w:sz w:val="24"/>
          <w:szCs w:val="24"/>
        </w:rPr>
        <w:t>lower</w:t>
      </w:r>
      <w:r w:rsidR="008040BD" w:rsidRPr="00D11856">
        <w:rPr>
          <w:rFonts w:ascii="Arial" w:hAnsi="Arial" w:cs="Arial"/>
          <w:sz w:val="24"/>
          <w:szCs w:val="24"/>
        </w:rPr>
        <w:t xml:space="preserve"> uptake than Cardiff (</w:t>
      </w:r>
      <w:r w:rsidR="003F7451" w:rsidRPr="00D11856">
        <w:rPr>
          <w:rFonts w:ascii="Arial" w:hAnsi="Arial" w:cs="Arial"/>
          <w:sz w:val="24"/>
          <w:szCs w:val="24"/>
        </w:rPr>
        <w:t>44.2</w:t>
      </w:r>
      <w:r w:rsidR="008040BD" w:rsidRPr="00D11856">
        <w:rPr>
          <w:rFonts w:ascii="Arial" w:hAnsi="Arial" w:cs="Arial"/>
          <w:sz w:val="24"/>
          <w:szCs w:val="24"/>
        </w:rPr>
        <w:t xml:space="preserve">%). The national target of </w:t>
      </w:r>
      <w:r w:rsidR="00801480" w:rsidRPr="00D11856">
        <w:rPr>
          <w:rFonts w:ascii="Arial" w:hAnsi="Arial" w:cs="Arial"/>
          <w:sz w:val="24"/>
          <w:szCs w:val="24"/>
        </w:rPr>
        <w:t>5</w:t>
      </w:r>
      <w:r w:rsidR="008040BD" w:rsidRPr="00D11856">
        <w:rPr>
          <w:rFonts w:ascii="Arial" w:hAnsi="Arial" w:cs="Arial"/>
          <w:sz w:val="24"/>
          <w:szCs w:val="24"/>
        </w:rPr>
        <w:t xml:space="preserve">5% </w:t>
      </w:r>
      <w:r w:rsidR="00C16CC7" w:rsidRPr="00D11856">
        <w:rPr>
          <w:rFonts w:ascii="Arial" w:hAnsi="Arial" w:cs="Arial"/>
          <w:sz w:val="24"/>
          <w:szCs w:val="24"/>
        </w:rPr>
        <w:t>was not</w:t>
      </w:r>
      <w:r w:rsidR="008040BD" w:rsidRPr="00D11856">
        <w:rPr>
          <w:rFonts w:ascii="Arial" w:hAnsi="Arial" w:cs="Arial"/>
          <w:sz w:val="24"/>
          <w:szCs w:val="24"/>
        </w:rPr>
        <w:t xml:space="preserve"> met by any health board or </w:t>
      </w:r>
      <w:r w:rsidR="00567F4B" w:rsidRPr="00D11856">
        <w:rPr>
          <w:rFonts w:ascii="Arial" w:hAnsi="Arial" w:cs="Arial"/>
          <w:sz w:val="24"/>
          <w:szCs w:val="24"/>
        </w:rPr>
        <w:t>local</w:t>
      </w:r>
      <w:r w:rsidR="008040BD" w:rsidRPr="00D11856">
        <w:rPr>
          <w:rFonts w:ascii="Arial" w:hAnsi="Arial" w:cs="Arial"/>
          <w:sz w:val="24"/>
          <w:szCs w:val="24"/>
        </w:rPr>
        <w:t xml:space="preserve"> authority</w:t>
      </w:r>
      <w:r w:rsidR="00801480" w:rsidRPr="00D11856">
        <w:rPr>
          <w:rFonts w:ascii="Arial" w:hAnsi="Arial" w:cs="Arial"/>
          <w:sz w:val="24"/>
          <w:szCs w:val="24"/>
        </w:rPr>
        <w:t xml:space="preserve">. </w:t>
      </w:r>
    </w:p>
    <w:p w14:paraId="0EEC06D7" w14:textId="77777777" w:rsidR="00D11856" w:rsidRPr="00D11856" w:rsidRDefault="00D11856" w:rsidP="00DC54F7">
      <w:pPr>
        <w:spacing w:after="0" w:line="240" w:lineRule="auto"/>
        <w:jc w:val="both"/>
        <w:rPr>
          <w:sz w:val="24"/>
          <w:szCs w:val="24"/>
        </w:rPr>
      </w:pPr>
    </w:p>
    <w:p w14:paraId="6E4952E8" w14:textId="0FCF2C51" w:rsidR="00647182" w:rsidRDefault="0025450F" w:rsidP="00DC54F7">
      <w:pPr>
        <w:pStyle w:val="Caption"/>
        <w:spacing w:before="0" w:after="0"/>
        <w:jc w:val="both"/>
        <w:rPr>
          <w:rFonts w:ascii="Arial" w:hAnsi="Arial" w:cs="Arial"/>
          <w:b w:val="0"/>
          <w:bCs/>
          <w:szCs w:val="24"/>
        </w:rPr>
      </w:pPr>
      <w:r w:rsidRPr="00D11856">
        <w:rPr>
          <w:rFonts w:ascii="Arial" w:hAnsi="Arial" w:cs="Arial"/>
          <w:b w:val="0"/>
          <w:bCs/>
          <w:szCs w:val="24"/>
        </w:rPr>
        <w:t xml:space="preserve">In Wales, </w:t>
      </w:r>
      <w:r w:rsidR="00780498" w:rsidRPr="00D11856">
        <w:rPr>
          <w:rFonts w:ascii="Arial" w:hAnsi="Arial" w:cs="Arial"/>
          <w:b w:val="0"/>
          <w:bCs/>
          <w:szCs w:val="24"/>
        </w:rPr>
        <w:t xml:space="preserve">50.7% of </w:t>
      </w:r>
      <w:r w:rsidR="003639C7" w:rsidRPr="00D11856">
        <w:rPr>
          <w:rFonts w:ascii="Arial" w:hAnsi="Arial" w:cs="Arial"/>
          <w:b w:val="0"/>
          <w:bCs/>
          <w:szCs w:val="24"/>
        </w:rPr>
        <w:t xml:space="preserve">children aged two and three years old (as </w:t>
      </w:r>
      <w:r w:rsidR="00F56E8C" w:rsidRPr="00D11856">
        <w:rPr>
          <w:rFonts w:ascii="Arial" w:hAnsi="Arial" w:cs="Arial"/>
          <w:b w:val="0"/>
          <w:bCs/>
          <w:szCs w:val="24"/>
        </w:rPr>
        <w:t>of</w:t>
      </w:r>
      <w:r w:rsidR="003639C7" w:rsidRPr="00D11856">
        <w:rPr>
          <w:rFonts w:ascii="Arial" w:hAnsi="Arial" w:cs="Arial"/>
          <w:b w:val="0"/>
          <w:bCs/>
          <w:szCs w:val="24"/>
        </w:rPr>
        <w:t xml:space="preserve"> 31 August 2019), were immunised against influenza in general practice between 1st Sept 2019 and 31st March 2020. </w:t>
      </w:r>
      <w:r w:rsidR="00D25FBD" w:rsidRPr="00D11856">
        <w:rPr>
          <w:rFonts w:ascii="Arial" w:hAnsi="Arial" w:cs="Arial"/>
          <w:b w:val="0"/>
          <w:bCs/>
          <w:szCs w:val="24"/>
        </w:rPr>
        <w:t>Cardiff</w:t>
      </w:r>
      <w:r w:rsidR="006C2B12" w:rsidRPr="00D11856">
        <w:rPr>
          <w:rFonts w:ascii="Arial" w:hAnsi="Arial" w:cs="Arial"/>
          <w:b w:val="0"/>
          <w:bCs/>
          <w:szCs w:val="24"/>
        </w:rPr>
        <w:t xml:space="preserve"> </w:t>
      </w:r>
      <w:r w:rsidR="00D25FBD" w:rsidRPr="00D11856">
        <w:rPr>
          <w:rFonts w:ascii="Arial" w:hAnsi="Arial" w:cs="Arial"/>
          <w:b w:val="0"/>
          <w:bCs/>
          <w:szCs w:val="24"/>
        </w:rPr>
        <w:t>and Vale University Health Board</w:t>
      </w:r>
      <w:r w:rsidR="000E02C6" w:rsidRPr="00D11856">
        <w:rPr>
          <w:rFonts w:ascii="Arial" w:hAnsi="Arial" w:cs="Arial"/>
          <w:b w:val="0"/>
          <w:bCs/>
          <w:szCs w:val="24"/>
        </w:rPr>
        <w:t xml:space="preserve"> (46.2%)</w:t>
      </w:r>
      <w:r w:rsidR="00D25FBD" w:rsidRPr="00D11856">
        <w:rPr>
          <w:rFonts w:ascii="Arial" w:hAnsi="Arial" w:cs="Arial"/>
          <w:b w:val="0"/>
          <w:bCs/>
          <w:szCs w:val="24"/>
        </w:rPr>
        <w:t xml:space="preserve"> had the lowest </w:t>
      </w:r>
      <w:r w:rsidR="000E02C6" w:rsidRPr="00D11856">
        <w:rPr>
          <w:rFonts w:ascii="Arial" w:hAnsi="Arial" w:cs="Arial"/>
          <w:b w:val="0"/>
          <w:bCs/>
          <w:szCs w:val="24"/>
        </w:rPr>
        <w:t>percentage uptake of all the health boards</w:t>
      </w:r>
      <w:r w:rsidR="006C2B12" w:rsidRPr="00D11856">
        <w:rPr>
          <w:rFonts w:ascii="Arial" w:hAnsi="Arial" w:cs="Arial"/>
          <w:b w:val="0"/>
          <w:bCs/>
          <w:szCs w:val="24"/>
        </w:rPr>
        <w:t>.</w:t>
      </w:r>
    </w:p>
    <w:p w14:paraId="73857859" w14:textId="20B591D2" w:rsidR="00B31D24" w:rsidRDefault="00B31D24" w:rsidP="00DC54F7">
      <w:pPr>
        <w:pStyle w:val="Caption"/>
        <w:spacing w:before="0" w:after="0"/>
        <w:jc w:val="both"/>
        <w:rPr>
          <w:rFonts w:ascii="Arial" w:hAnsi="Arial" w:cs="Arial"/>
          <w:szCs w:val="24"/>
        </w:rPr>
      </w:pPr>
    </w:p>
    <w:p w14:paraId="70A7F742" w14:textId="76C5943C" w:rsidR="003C136C" w:rsidRDefault="003C136C" w:rsidP="003C136C"/>
    <w:p w14:paraId="14D4CC58" w14:textId="42AFF9E6" w:rsidR="003C136C" w:rsidRDefault="003C136C" w:rsidP="003C136C"/>
    <w:p w14:paraId="7412D3A7" w14:textId="114EAB7A" w:rsidR="003C136C" w:rsidRDefault="003C136C" w:rsidP="003C136C"/>
    <w:p w14:paraId="121519E6" w14:textId="77777777" w:rsidR="003C136C" w:rsidRPr="003C136C" w:rsidRDefault="003C136C" w:rsidP="003C136C"/>
    <w:p w14:paraId="1A594851" w14:textId="53066A3B" w:rsidR="004654D5" w:rsidRPr="00D11856" w:rsidRDefault="002F3C54" w:rsidP="00DC54F7">
      <w:pPr>
        <w:pStyle w:val="Caption"/>
        <w:spacing w:before="0" w:after="0"/>
        <w:jc w:val="both"/>
        <w:rPr>
          <w:rFonts w:ascii="Arial" w:hAnsi="Arial" w:cs="Arial"/>
          <w:szCs w:val="24"/>
        </w:rPr>
      </w:pPr>
      <w:r w:rsidRPr="00D11856">
        <w:rPr>
          <w:rFonts w:ascii="Arial" w:hAnsi="Arial" w:cs="Arial"/>
          <w:szCs w:val="24"/>
        </w:rPr>
        <w:lastRenderedPageBreak/>
        <w:t>Table</w:t>
      </w:r>
      <w:r w:rsidR="005166DE" w:rsidRPr="00D11856">
        <w:rPr>
          <w:rFonts w:ascii="Arial" w:hAnsi="Arial" w:cs="Arial"/>
          <w:szCs w:val="24"/>
        </w:rPr>
        <w:t xml:space="preserve"> 3.20</w:t>
      </w:r>
      <w:r w:rsidRPr="00D11856">
        <w:rPr>
          <w:rFonts w:ascii="Arial" w:hAnsi="Arial" w:cs="Arial"/>
          <w:szCs w:val="24"/>
        </w:rPr>
        <w:t xml:space="preserve">: </w:t>
      </w:r>
      <w:r w:rsidR="00F8669C" w:rsidRPr="00D11856">
        <w:rPr>
          <w:rFonts w:ascii="Arial" w:hAnsi="Arial" w:cs="Arial"/>
          <w:szCs w:val="24"/>
        </w:rPr>
        <w:t>Percentage u</w:t>
      </w:r>
      <w:r w:rsidRPr="00D11856">
        <w:rPr>
          <w:rFonts w:ascii="Arial" w:hAnsi="Arial" w:cs="Arial"/>
          <w:szCs w:val="24"/>
        </w:rPr>
        <w:t xml:space="preserve">ptake of influenza immunisation by </w:t>
      </w:r>
      <w:r w:rsidR="00F8669C" w:rsidRPr="00D11856">
        <w:rPr>
          <w:rFonts w:ascii="Arial" w:hAnsi="Arial" w:cs="Arial"/>
          <w:szCs w:val="24"/>
        </w:rPr>
        <w:t>age group</w:t>
      </w:r>
      <w:r w:rsidR="00E62203" w:rsidRPr="00D11856">
        <w:rPr>
          <w:rFonts w:ascii="Arial" w:hAnsi="Arial" w:cs="Arial"/>
          <w:szCs w:val="24"/>
        </w:rPr>
        <w:t xml:space="preserve">, </w:t>
      </w:r>
      <w:r w:rsidRPr="00D11856">
        <w:rPr>
          <w:rFonts w:ascii="Arial" w:hAnsi="Arial" w:cs="Arial"/>
          <w:szCs w:val="24"/>
        </w:rPr>
        <w:t xml:space="preserve">by </w:t>
      </w:r>
      <w:r w:rsidR="00567F4B" w:rsidRPr="00D11856">
        <w:rPr>
          <w:rFonts w:ascii="Arial" w:hAnsi="Arial" w:cs="Arial"/>
          <w:szCs w:val="24"/>
        </w:rPr>
        <w:t>local</w:t>
      </w:r>
      <w:r w:rsidRPr="00D11856">
        <w:rPr>
          <w:rFonts w:ascii="Arial" w:hAnsi="Arial" w:cs="Arial"/>
          <w:szCs w:val="24"/>
        </w:rPr>
        <w:t xml:space="preserve"> authority</w:t>
      </w:r>
      <w:r w:rsidR="00647182" w:rsidRPr="00D11856">
        <w:rPr>
          <w:rFonts w:ascii="Arial" w:hAnsi="Arial" w:cs="Arial"/>
          <w:szCs w:val="24"/>
        </w:rPr>
        <w:t xml:space="preserve">, health board and Wales, </w:t>
      </w:r>
      <w:r w:rsidRPr="00D11856">
        <w:rPr>
          <w:rFonts w:ascii="Arial" w:hAnsi="Arial" w:cs="Arial"/>
          <w:szCs w:val="24"/>
        </w:rPr>
        <w:t>2019</w:t>
      </w:r>
      <w:r w:rsidR="00284C1E" w:rsidRPr="00D11856">
        <w:rPr>
          <w:rFonts w:ascii="Arial" w:hAnsi="Arial" w:cs="Arial"/>
          <w:szCs w:val="24"/>
        </w:rPr>
        <w:t xml:space="preserve"> to </w:t>
      </w:r>
      <w:r w:rsidRPr="00D11856">
        <w:rPr>
          <w:rFonts w:ascii="Arial" w:hAnsi="Arial" w:cs="Arial"/>
          <w:szCs w:val="24"/>
        </w:rPr>
        <w:t>20</w:t>
      </w:r>
      <w:bookmarkEnd w:id="22"/>
      <w:r w:rsidR="00284C1E" w:rsidRPr="00D11856">
        <w:rPr>
          <w:rFonts w:ascii="Arial" w:hAnsi="Arial" w:cs="Arial"/>
          <w:szCs w:val="24"/>
        </w:rPr>
        <w:t>20</w:t>
      </w:r>
    </w:p>
    <w:tbl>
      <w:tblPr>
        <w:tblW w:w="9220" w:type="dxa"/>
        <w:tblLook w:val="04A0" w:firstRow="1" w:lastRow="0" w:firstColumn="1" w:lastColumn="0" w:noHBand="0" w:noVBand="1"/>
      </w:tblPr>
      <w:tblGrid>
        <w:gridCol w:w="2626"/>
        <w:gridCol w:w="965"/>
        <w:gridCol w:w="1266"/>
        <w:gridCol w:w="965"/>
        <w:gridCol w:w="1266"/>
        <w:gridCol w:w="965"/>
        <w:gridCol w:w="1266"/>
      </w:tblGrid>
      <w:tr w:rsidR="00CE0CD0" w:rsidRPr="00070862" w14:paraId="426E6C3E" w14:textId="77777777" w:rsidTr="00BB4EE0">
        <w:trPr>
          <w:trHeight w:val="260"/>
        </w:trPr>
        <w:tc>
          <w:tcPr>
            <w:tcW w:w="2626" w:type="dxa"/>
            <w:tcBorders>
              <w:top w:val="single" w:sz="4" w:space="0" w:color="auto"/>
              <w:left w:val="single" w:sz="4" w:space="0" w:color="auto"/>
              <w:right w:val="nil"/>
            </w:tcBorders>
            <w:shd w:val="clear" w:color="000000" w:fill="8497B0"/>
            <w:noWrap/>
            <w:vAlign w:val="bottom"/>
            <w:hideMark/>
          </w:tcPr>
          <w:p w14:paraId="3D54A987" w14:textId="77777777" w:rsidR="00CE0CD0" w:rsidRPr="00070862" w:rsidRDefault="00CE0CD0" w:rsidP="00DC54F7">
            <w:pPr>
              <w:spacing w:after="0" w:line="240" w:lineRule="auto"/>
              <w:jc w:val="both"/>
              <w:rPr>
                <w:rFonts w:ascii="Calibri" w:eastAsia="Times New Roman" w:hAnsi="Calibri" w:cs="Calibri"/>
                <w:b/>
                <w:bCs/>
                <w:color w:val="FFFFFF"/>
                <w:lang w:eastAsia="en-GB"/>
              </w:rPr>
            </w:pPr>
            <w:r w:rsidRPr="00070862">
              <w:rPr>
                <w:rFonts w:ascii="Calibri" w:eastAsia="Times New Roman" w:hAnsi="Calibri" w:cs="Calibri"/>
                <w:b/>
                <w:bCs/>
                <w:color w:val="FFFFFF"/>
                <w:lang w:eastAsia="en-GB"/>
              </w:rPr>
              <w:t> </w:t>
            </w:r>
          </w:p>
        </w:tc>
        <w:tc>
          <w:tcPr>
            <w:tcW w:w="2198" w:type="dxa"/>
            <w:gridSpan w:val="2"/>
            <w:tcBorders>
              <w:top w:val="single" w:sz="4" w:space="0" w:color="auto"/>
              <w:left w:val="nil"/>
              <w:right w:val="nil"/>
            </w:tcBorders>
            <w:shd w:val="clear" w:color="000000" w:fill="8497B0"/>
            <w:vAlign w:val="bottom"/>
            <w:hideMark/>
          </w:tcPr>
          <w:p w14:paraId="73F8856B" w14:textId="77777777" w:rsidR="00CE0CD0" w:rsidRPr="00070862" w:rsidRDefault="00CE0CD0" w:rsidP="00DC54F7">
            <w:pPr>
              <w:spacing w:after="0" w:line="240" w:lineRule="auto"/>
              <w:jc w:val="both"/>
              <w:rPr>
                <w:rFonts w:ascii="Calibri" w:eastAsia="Times New Roman" w:hAnsi="Calibri" w:cs="Calibri"/>
                <w:b/>
                <w:bCs/>
                <w:color w:val="FFFFFF"/>
                <w:lang w:eastAsia="en-GB"/>
              </w:rPr>
            </w:pPr>
            <w:r w:rsidRPr="00070862">
              <w:rPr>
                <w:rFonts w:ascii="Calibri" w:eastAsia="Times New Roman" w:hAnsi="Calibri" w:cs="Calibri"/>
                <w:b/>
                <w:bCs/>
                <w:color w:val="FFFFFF"/>
                <w:lang w:eastAsia="en-GB"/>
              </w:rPr>
              <w:t xml:space="preserve">Patients 65 years and </w:t>
            </w:r>
            <w:r>
              <w:rPr>
                <w:rFonts w:ascii="Calibri" w:eastAsia="Times New Roman" w:hAnsi="Calibri" w:cs="Calibri"/>
                <w:b/>
                <w:bCs/>
                <w:color w:val="FFFFFF"/>
                <w:lang w:eastAsia="en-GB"/>
              </w:rPr>
              <w:t>older</w:t>
            </w:r>
          </w:p>
        </w:tc>
        <w:tc>
          <w:tcPr>
            <w:tcW w:w="2198" w:type="dxa"/>
            <w:gridSpan w:val="2"/>
            <w:tcBorders>
              <w:top w:val="single" w:sz="4" w:space="0" w:color="auto"/>
              <w:left w:val="nil"/>
              <w:right w:val="nil"/>
            </w:tcBorders>
            <w:shd w:val="clear" w:color="000000" w:fill="8497B0"/>
            <w:vAlign w:val="bottom"/>
            <w:hideMark/>
          </w:tcPr>
          <w:p w14:paraId="202350DC" w14:textId="77777777" w:rsidR="00CE0CD0" w:rsidRPr="00070862" w:rsidRDefault="00CE0CD0" w:rsidP="00DC54F7">
            <w:pPr>
              <w:spacing w:after="0" w:line="240" w:lineRule="auto"/>
              <w:jc w:val="both"/>
              <w:rPr>
                <w:rFonts w:ascii="Calibri" w:eastAsia="Times New Roman" w:hAnsi="Calibri" w:cs="Calibri"/>
                <w:b/>
                <w:bCs/>
                <w:color w:val="FFFFFF"/>
                <w:lang w:eastAsia="en-GB"/>
              </w:rPr>
            </w:pPr>
            <w:r w:rsidRPr="00070862">
              <w:rPr>
                <w:rFonts w:ascii="Calibri" w:eastAsia="Times New Roman" w:hAnsi="Calibri" w:cs="Calibri"/>
                <w:b/>
                <w:bCs/>
                <w:color w:val="FFFFFF"/>
                <w:lang w:eastAsia="en-GB"/>
              </w:rPr>
              <w:t>Patients 6 months to 64 years at risk</w:t>
            </w:r>
          </w:p>
        </w:tc>
        <w:tc>
          <w:tcPr>
            <w:tcW w:w="2198" w:type="dxa"/>
            <w:gridSpan w:val="2"/>
            <w:tcBorders>
              <w:top w:val="single" w:sz="4" w:space="0" w:color="auto"/>
              <w:left w:val="nil"/>
              <w:right w:val="single" w:sz="4" w:space="0" w:color="auto"/>
            </w:tcBorders>
            <w:shd w:val="clear" w:color="000000" w:fill="8497B0"/>
            <w:vAlign w:val="bottom"/>
            <w:hideMark/>
          </w:tcPr>
          <w:p w14:paraId="05E1CC7C" w14:textId="77777777" w:rsidR="00CE0CD0" w:rsidRPr="00070862" w:rsidRDefault="00CE0CD0" w:rsidP="00DC54F7">
            <w:pPr>
              <w:spacing w:after="0" w:line="240" w:lineRule="auto"/>
              <w:jc w:val="both"/>
              <w:rPr>
                <w:rFonts w:ascii="Calibri" w:eastAsia="Times New Roman" w:hAnsi="Calibri" w:cs="Calibri"/>
                <w:b/>
                <w:bCs/>
                <w:color w:val="FFFFFF"/>
                <w:lang w:eastAsia="en-GB"/>
              </w:rPr>
            </w:pPr>
            <w:r w:rsidRPr="00070862">
              <w:rPr>
                <w:rFonts w:ascii="Calibri" w:eastAsia="Times New Roman" w:hAnsi="Calibri" w:cs="Calibri"/>
                <w:b/>
                <w:bCs/>
                <w:color w:val="FFFFFF"/>
                <w:lang w:eastAsia="en-GB"/>
              </w:rPr>
              <w:t>Patients 2 and 3 years</w:t>
            </w:r>
          </w:p>
        </w:tc>
      </w:tr>
      <w:tr w:rsidR="00CE0CD0" w:rsidRPr="00070862" w14:paraId="5AE0593E" w14:textId="77777777" w:rsidTr="00BB4EE0">
        <w:trPr>
          <w:trHeight w:val="260"/>
        </w:trPr>
        <w:tc>
          <w:tcPr>
            <w:tcW w:w="2626" w:type="dxa"/>
            <w:tcBorders>
              <w:left w:val="single" w:sz="4" w:space="0" w:color="auto"/>
              <w:right w:val="nil"/>
            </w:tcBorders>
            <w:shd w:val="clear" w:color="000000" w:fill="8497B0"/>
            <w:noWrap/>
            <w:vAlign w:val="bottom"/>
            <w:hideMark/>
          </w:tcPr>
          <w:p w14:paraId="213B4D08" w14:textId="77777777" w:rsidR="00CE0CD0" w:rsidRPr="00070862" w:rsidRDefault="00CE0CD0" w:rsidP="00DC54F7">
            <w:pPr>
              <w:spacing w:after="0" w:line="240" w:lineRule="auto"/>
              <w:jc w:val="both"/>
              <w:rPr>
                <w:rFonts w:ascii="Calibri" w:eastAsia="Times New Roman" w:hAnsi="Calibri" w:cs="Calibri"/>
                <w:b/>
                <w:bCs/>
                <w:color w:val="FFFFFF"/>
                <w:lang w:eastAsia="en-GB"/>
              </w:rPr>
            </w:pPr>
            <w:r w:rsidRPr="00070862">
              <w:rPr>
                <w:rFonts w:ascii="Calibri" w:eastAsia="Times New Roman" w:hAnsi="Calibri" w:cs="Calibri"/>
                <w:b/>
                <w:bCs/>
                <w:color w:val="FFFFFF"/>
                <w:lang w:eastAsia="en-GB"/>
              </w:rPr>
              <w:t>Area</w:t>
            </w:r>
          </w:p>
        </w:tc>
        <w:tc>
          <w:tcPr>
            <w:tcW w:w="932" w:type="dxa"/>
            <w:tcBorders>
              <w:left w:val="nil"/>
              <w:right w:val="nil"/>
            </w:tcBorders>
            <w:shd w:val="clear" w:color="000000" w:fill="8497B0"/>
            <w:noWrap/>
            <w:vAlign w:val="bottom"/>
            <w:hideMark/>
          </w:tcPr>
          <w:p w14:paraId="7B0702D2" w14:textId="77777777" w:rsidR="00CE0CD0" w:rsidRPr="00070862" w:rsidRDefault="00CE0CD0" w:rsidP="00DC54F7">
            <w:pPr>
              <w:spacing w:after="0" w:line="240" w:lineRule="auto"/>
              <w:jc w:val="both"/>
              <w:rPr>
                <w:rFonts w:ascii="Calibri" w:eastAsia="Times New Roman" w:hAnsi="Calibri" w:cs="Calibri"/>
                <w:b/>
                <w:bCs/>
                <w:color w:val="FFFFFF"/>
                <w:lang w:eastAsia="en-GB"/>
              </w:rPr>
            </w:pPr>
            <w:r w:rsidRPr="00070862">
              <w:rPr>
                <w:rFonts w:ascii="Calibri" w:eastAsia="Times New Roman" w:hAnsi="Calibri" w:cs="Calibri"/>
                <w:b/>
                <w:bCs/>
                <w:color w:val="FFFFFF"/>
                <w:lang w:eastAsia="en-GB"/>
              </w:rPr>
              <w:t xml:space="preserve">Number </w:t>
            </w:r>
          </w:p>
        </w:tc>
        <w:tc>
          <w:tcPr>
            <w:tcW w:w="1266" w:type="dxa"/>
            <w:tcBorders>
              <w:left w:val="nil"/>
              <w:right w:val="nil"/>
            </w:tcBorders>
            <w:shd w:val="clear" w:color="000000" w:fill="8497B0"/>
            <w:noWrap/>
            <w:vAlign w:val="bottom"/>
            <w:hideMark/>
          </w:tcPr>
          <w:p w14:paraId="5704271A" w14:textId="77777777" w:rsidR="00CE0CD0" w:rsidRPr="00070862" w:rsidRDefault="00CE0CD0" w:rsidP="00DC54F7">
            <w:pPr>
              <w:spacing w:after="0" w:line="240" w:lineRule="auto"/>
              <w:jc w:val="both"/>
              <w:rPr>
                <w:rFonts w:ascii="Calibri" w:eastAsia="Times New Roman" w:hAnsi="Calibri" w:cs="Calibri"/>
                <w:b/>
                <w:bCs/>
                <w:color w:val="FFFFFF"/>
                <w:lang w:eastAsia="en-GB"/>
              </w:rPr>
            </w:pPr>
            <w:r w:rsidRPr="00070862">
              <w:rPr>
                <w:rFonts w:ascii="Calibri" w:eastAsia="Times New Roman" w:hAnsi="Calibri" w:cs="Calibri"/>
                <w:b/>
                <w:bCs/>
                <w:color w:val="FFFFFF"/>
                <w:lang w:eastAsia="en-GB"/>
              </w:rPr>
              <w:t>Percentage</w:t>
            </w:r>
          </w:p>
        </w:tc>
        <w:tc>
          <w:tcPr>
            <w:tcW w:w="932" w:type="dxa"/>
            <w:tcBorders>
              <w:left w:val="nil"/>
              <w:right w:val="nil"/>
            </w:tcBorders>
            <w:shd w:val="clear" w:color="000000" w:fill="8497B0"/>
            <w:noWrap/>
            <w:vAlign w:val="bottom"/>
            <w:hideMark/>
          </w:tcPr>
          <w:p w14:paraId="555CF12D" w14:textId="77777777" w:rsidR="00CE0CD0" w:rsidRPr="00070862" w:rsidRDefault="00CE0CD0" w:rsidP="00DC54F7">
            <w:pPr>
              <w:spacing w:after="0" w:line="240" w:lineRule="auto"/>
              <w:jc w:val="both"/>
              <w:rPr>
                <w:rFonts w:ascii="Calibri" w:eastAsia="Times New Roman" w:hAnsi="Calibri" w:cs="Calibri"/>
                <w:b/>
                <w:bCs/>
                <w:color w:val="FFFFFF"/>
                <w:lang w:eastAsia="en-GB"/>
              </w:rPr>
            </w:pPr>
            <w:r w:rsidRPr="00070862">
              <w:rPr>
                <w:rFonts w:ascii="Calibri" w:eastAsia="Times New Roman" w:hAnsi="Calibri" w:cs="Calibri"/>
                <w:b/>
                <w:bCs/>
                <w:color w:val="FFFFFF"/>
                <w:lang w:eastAsia="en-GB"/>
              </w:rPr>
              <w:t>Number</w:t>
            </w:r>
          </w:p>
        </w:tc>
        <w:tc>
          <w:tcPr>
            <w:tcW w:w="1266" w:type="dxa"/>
            <w:tcBorders>
              <w:left w:val="nil"/>
              <w:right w:val="nil"/>
            </w:tcBorders>
            <w:shd w:val="clear" w:color="000000" w:fill="8497B0"/>
            <w:noWrap/>
            <w:vAlign w:val="bottom"/>
            <w:hideMark/>
          </w:tcPr>
          <w:p w14:paraId="699D384B" w14:textId="77777777" w:rsidR="00CE0CD0" w:rsidRPr="00070862" w:rsidRDefault="00CE0CD0" w:rsidP="00DC54F7">
            <w:pPr>
              <w:spacing w:after="0" w:line="240" w:lineRule="auto"/>
              <w:jc w:val="both"/>
              <w:rPr>
                <w:rFonts w:ascii="Calibri" w:eastAsia="Times New Roman" w:hAnsi="Calibri" w:cs="Calibri"/>
                <w:b/>
                <w:bCs/>
                <w:color w:val="FFFFFF"/>
                <w:lang w:eastAsia="en-GB"/>
              </w:rPr>
            </w:pPr>
            <w:r w:rsidRPr="00070862">
              <w:rPr>
                <w:rFonts w:ascii="Calibri" w:eastAsia="Times New Roman" w:hAnsi="Calibri" w:cs="Calibri"/>
                <w:b/>
                <w:bCs/>
                <w:color w:val="FFFFFF"/>
                <w:lang w:eastAsia="en-GB"/>
              </w:rPr>
              <w:t xml:space="preserve">Percentage   </w:t>
            </w:r>
          </w:p>
        </w:tc>
        <w:tc>
          <w:tcPr>
            <w:tcW w:w="932" w:type="dxa"/>
            <w:tcBorders>
              <w:left w:val="nil"/>
              <w:right w:val="nil"/>
            </w:tcBorders>
            <w:shd w:val="clear" w:color="000000" w:fill="8497B0"/>
            <w:noWrap/>
            <w:vAlign w:val="bottom"/>
            <w:hideMark/>
          </w:tcPr>
          <w:p w14:paraId="4F857321" w14:textId="77777777" w:rsidR="00CE0CD0" w:rsidRPr="00070862" w:rsidRDefault="00CE0CD0" w:rsidP="00DC54F7">
            <w:pPr>
              <w:spacing w:after="0" w:line="240" w:lineRule="auto"/>
              <w:jc w:val="both"/>
              <w:rPr>
                <w:rFonts w:ascii="Calibri" w:eastAsia="Times New Roman" w:hAnsi="Calibri" w:cs="Calibri"/>
                <w:b/>
                <w:bCs/>
                <w:color w:val="FFFFFF"/>
                <w:lang w:eastAsia="en-GB"/>
              </w:rPr>
            </w:pPr>
            <w:r w:rsidRPr="00070862">
              <w:rPr>
                <w:rFonts w:ascii="Calibri" w:eastAsia="Times New Roman" w:hAnsi="Calibri" w:cs="Calibri"/>
                <w:b/>
                <w:bCs/>
                <w:color w:val="FFFFFF"/>
                <w:lang w:eastAsia="en-GB"/>
              </w:rPr>
              <w:t xml:space="preserve">Number    </w:t>
            </w:r>
          </w:p>
        </w:tc>
        <w:tc>
          <w:tcPr>
            <w:tcW w:w="1266" w:type="dxa"/>
            <w:tcBorders>
              <w:left w:val="nil"/>
              <w:right w:val="single" w:sz="4" w:space="0" w:color="auto"/>
            </w:tcBorders>
            <w:shd w:val="clear" w:color="000000" w:fill="8497B0"/>
            <w:noWrap/>
            <w:vAlign w:val="bottom"/>
            <w:hideMark/>
          </w:tcPr>
          <w:p w14:paraId="4D9EA9AE" w14:textId="77777777" w:rsidR="00CE0CD0" w:rsidRPr="00070862" w:rsidRDefault="00CE0CD0" w:rsidP="00DC54F7">
            <w:pPr>
              <w:spacing w:after="0" w:line="240" w:lineRule="auto"/>
              <w:jc w:val="both"/>
              <w:rPr>
                <w:rFonts w:ascii="Calibri" w:eastAsia="Times New Roman" w:hAnsi="Calibri" w:cs="Calibri"/>
                <w:b/>
                <w:bCs/>
                <w:color w:val="FFFFFF"/>
                <w:lang w:eastAsia="en-GB"/>
              </w:rPr>
            </w:pPr>
            <w:r w:rsidRPr="00070862">
              <w:rPr>
                <w:rFonts w:ascii="Calibri" w:eastAsia="Times New Roman" w:hAnsi="Calibri" w:cs="Calibri"/>
                <w:b/>
                <w:bCs/>
                <w:color w:val="FFFFFF"/>
                <w:lang w:eastAsia="en-GB"/>
              </w:rPr>
              <w:t xml:space="preserve">Percentage    </w:t>
            </w:r>
          </w:p>
        </w:tc>
      </w:tr>
      <w:tr w:rsidR="00CE0CD0" w:rsidRPr="00070862" w14:paraId="5F1AC62C" w14:textId="77777777" w:rsidTr="00BB4EE0">
        <w:trPr>
          <w:trHeight w:val="260"/>
        </w:trPr>
        <w:tc>
          <w:tcPr>
            <w:tcW w:w="2626" w:type="dxa"/>
            <w:tcBorders>
              <w:left w:val="single" w:sz="4" w:space="0" w:color="auto"/>
              <w:bottom w:val="single" w:sz="4" w:space="0" w:color="C9C9C9"/>
              <w:right w:val="nil"/>
            </w:tcBorders>
            <w:shd w:val="clear" w:color="EDEDED" w:fill="EDEDED"/>
            <w:noWrap/>
            <w:vAlign w:val="bottom"/>
            <w:hideMark/>
          </w:tcPr>
          <w:p w14:paraId="6BCC81FA"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Cardiff</w:t>
            </w:r>
          </w:p>
        </w:tc>
        <w:tc>
          <w:tcPr>
            <w:tcW w:w="932" w:type="dxa"/>
            <w:tcBorders>
              <w:left w:val="nil"/>
              <w:bottom w:val="single" w:sz="4" w:space="0" w:color="C9C9C9"/>
              <w:right w:val="nil"/>
            </w:tcBorders>
            <w:shd w:val="clear" w:color="EDEDED" w:fill="EDEDED"/>
            <w:noWrap/>
            <w:vAlign w:val="bottom"/>
            <w:hideMark/>
          </w:tcPr>
          <w:p w14:paraId="1FA34796"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39,116</w:t>
            </w:r>
          </w:p>
        </w:tc>
        <w:tc>
          <w:tcPr>
            <w:tcW w:w="1266" w:type="dxa"/>
            <w:tcBorders>
              <w:left w:val="nil"/>
              <w:bottom w:val="single" w:sz="4" w:space="0" w:color="C9C9C9"/>
              <w:right w:val="nil"/>
            </w:tcBorders>
            <w:shd w:val="clear" w:color="EDEDED" w:fill="EDEDED"/>
            <w:noWrap/>
            <w:vAlign w:val="bottom"/>
            <w:hideMark/>
          </w:tcPr>
          <w:p w14:paraId="55FE1165"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71</w:t>
            </w:r>
            <w:r>
              <w:rPr>
                <w:rFonts w:ascii="Calibri" w:eastAsia="Times New Roman" w:hAnsi="Calibri" w:cs="Calibri"/>
                <w:color w:val="000000"/>
                <w:lang w:eastAsia="en-GB"/>
              </w:rPr>
              <w:t>.0</w:t>
            </w:r>
          </w:p>
        </w:tc>
        <w:tc>
          <w:tcPr>
            <w:tcW w:w="932" w:type="dxa"/>
            <w:tcBorders>
              <w:left w:val="nil"/>
              <w:bottom w:val="single" w:sz="4" w:space="0" w:color="C9C9C9"/>
              <w:right w:val="nil"/>
            </w:tcBorders>
            <w:shd w:val="clear" w:color="EDEDED" w:fill="EDEDED"/>
            <w:noWrap/>
            <w:vAlign w:val="bottom"/>
            <w:hideMark/>
          </w:tcPr>
          <w:p w14:paraId="0EEE299C"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22,108</w:t>
            </w:r>
          </w:p>
        </w:tc>
        <w:tc>
          <w:tcPr>
            <w:tcW w:w="1266" w:type="dxa"/>
            <w:tcBorders>
              <w:left w:val="nil"/>
              <w:bottom w:val="single" w:sz="4" w:space="0" w:color="C9C9C9"/>
              <w:right w:val="nil"/>
            </w:tcBorders>
            <w:shd w:val="clear" w:color="EDEDED" w:fill="EDEDED"/>
            <w:noWrap/>
            <w:vAlign w:val="bottom"/>
            <w:hideMark/>
          </w:tcPr>
          <w:p w14:paraId="61BEF7F2"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44.2</w:t>
            </w:r>
          </w:p>
        </w:tc>
        <w:tc>
          <w:tcPr>
            <w:tcW w:w="932" w:type="dxa"/>
            <w:tcBorders>
              <w:left w:val="nil"/>
              <w:bottom w:val="single" w:sz="4" w:space="0" w:color="C9C9C9"/>
              <w:right w:val="nil"/>
            </w:tcBorders>
            <w:shd w:val="clear" w:color="EDEDED" w:fill="EDEDED"/>
            <w:noWrap/>
            <w:vAlign w:val="bottom"/>
            <w:hideMark/>
          </w:tcPr>
          <w:p w14:paraId="763AFA8B"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3</w:t>
            </w:r>
            <w:r>
              <w:rPr>
                <w:rFonts w:ascii="Calibri" w:eastAsia="Times New Roman" w:hAnsi="Calibri" w:cs="Calibri"/>
                <w:color w:val="000000"/>
                <w:lang w:eastAsia="en-GB"/>
              </w:rPr>
              <w:t>,</w:t>
            </w:r>
            <w:r w:rsidRPr="00070862">
              <w:rPr>
                <w:rFonts w:ascii="Calibri" w:eastAsia="Times New Roman" w:hAnsi="Calibri" w:cs="Calibri"/>
                <w:color w:val="000000"/>
                <w:lang w:eastAsia="en-GB"/>
              </w:rPr>
              <w:t>981</w:t>
            </w:r>
          </w:p>
        </w:tc>
        <w:tc>
          <w:tcPr>
            <w:tcW w:w="1266" w:type="dxa"/>
            <w:tcBorders>
              <w:left w:val="nil"/>
              <w:bottom w:val="single" w:sz="4" w:space="0" w:color="C9C9C9"/>
              <w:right w:val="single" w:sz="4" w:space="0" w:color="auto"/>
            </w:tcBorders>
            <w:shd w:val="clear" w:color="EDEDED" w:fill="EDEDED"/>
            <w:noWrap/>
            <w:vAlign w:val="bottom"/>
            <w:hideMark/>
          </w:tcPr>
          <w:p w14:paraId="4FAA9B75"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45.8</w:t>
            </w:r>
          </w:p>
        </w:tc>
      </w:tr>
      <w:tr w:rsidR="00CE0CD0" w:rsidRPr="00070862" w14:paraId="187E1795" w14:textId="77777777" w:rsidTr="00BB4EE0">
        <w:trPr>
          <w:trHeight w:val="260"/>
        </w:trPr>
        <w:tc>
          <w:tcPr>
            <w:tcW w:w="2626" w:type="dxa"/>
            <w:tcBorders>
              <w:top w:val="single" w:sz="4" w:space="0" w:color="C9C9C9"/>
              <w:left w:val="single" w:sz="4" w:space="0" w:color="auto"/>
              <w:bottom w:val="single" w:sz="4" w:space="0" w:color="C9C9C9"/>
              <w:right w:val="nil"/>
            </w:tcBorders>
            <w:shd w:val="clear" w:color="000000" w:fill="FFFFFF"/>
            <w:noWrap/>
            <w:vAlign w:val="bottom"/>
            <w:hideMark/>
          </w:tcPr>
          <w:p w14:paraId="21316AB1"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Vale of Glamorgan</w:t>
            </w:r>
          </w:p>
        </w:tc>
        <w:tc>
          <w:tcPr>
            <w:tcW w:w="932" w:type="dxa"/>
            <w:tcBorders>
              <w:top w:val="single" w:sz="4" w:space="0" w:color="C9C9C9"/>
              <w:left w:val="nil"/>
              <w:bottom w:val="single" w:sz="4" w:space="0" w:color="C9C9C9"/>
              <w:right w:val="nil"/>
            </w:tcBorders>
            <w:shd w:val="clear" w:color="000000" w:fill="FFFFFF"/>
            <w:noWrap/>
            <w:vAlign w:val="bottom"/>
            <w:hideMark/>
          </w:tcPr>
          <w:p w14:paraId="7FD6C092"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19,654</w:t>
            </w:r>
          </w:p>
        </w:tc>
        <w:tc>
          <w:tcPr>
            <w:tcW w:w="1266" w:type="dxa"/>
            <w:tcBorders>
              <w:top w:val="single" w:sz="4" w:space="0" w:color="C9C9C9"/>
              <w:left w:val="nil"/>
              <w:bottom w:val="single" w:sz="4" w:space="0" w:color="C9C9C9"/>
              <w:right w:val="nil"/>
            </w:tcBorders>
            <w:shd w:val="clear" w:color="000000" w:fill="FFFFFF"/>
            <w:noWrap/>
            <w:vAlign w:val="bottom"/>
            <w:hideMark/>
          </w:tcPr>
          <w:p w14:paraId="6CA68AB0"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71.7</w:t>
            </w:r>
          </w:p>
        </w:tc>
        <w:tc>
          <w:tcPr>
            <w:tcW w:w="932" w:type="dxa"/>
            <w:tcBorders>
              <w:top w:val="single" w:sz="4" w:space="0" w:color="C9C9C9"/>
              <w:left w:val="nil"/>
              <w:bottom w:val="single" w:sz="4" w:space="0" w:color="C9C9C9"/>
              <w:right w:val="nil"/>
            </w:tcBorders>
            <w:shd w:val="clear" w:color="000000" w:fill="FFFFFF"/>
            <w:noWrap/>
            <w:vAlign w:val="bottom"/>
            <w:hideMark/>
          </w:tcPr>
          <w:p w14:paraId="4C236046"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7,279</w:t>
            </w:r>
          </w:p>
        </w:tc>
        <w:tc>
          <w:tcPr>
            <w:tcW w:w="1266" w:type="dxa"/>
            <w:tcBorders>
              <w:top w:val="single" w:sz="4" w:space="0" w:color="C9C9C9"/>
              <w:left w:val="nil"/>
              <w:bottom w:val="single" w:sz="4" w:space="0" w:color="C9C9C9"/>
              <w:right w:val="nil"/>
            </w:tcBorders>
            <w:shd w:val="clear" w:color="000000" w:fill="FFFFFF"/>
            <w:noWrap/>
            <w:vAlign w:val="bottom"/>
            <w:hideMark/>
          </w:tcPr>
          <w:p w14:paraId="04312B49"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42.8</w:t>
            </w:r>
          </w:p>
        </w:tc>
        <w:tc>
          <w:tcPr>
            <w:tcW w:w="932" w:type="dxa"/>
            <w:tcBorders>
              <w:top w:val="single" w:sz="4" w:space="0" w:color="C9C9C9"/>
              <w:left w:val="nil"/>
              <w:bottom w:val="single" w:sz="4" w:space="0" w:color="C9C9C9"/>
              <w:right w:val="nil"/>
            </w:tcBorders>
            <w:shd w:val="clear" w:color="000000" w:fill="FFFFFF"/>
            <w:noWrap/>
            <w:vAlign w:val="bottom"/>
            <w:hideMark/>
          </w:tcPr>
          <w:p w14:paraId="6D56386E"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1</w:t>
            </w:r>
            <w:r>
              <w:rPr>
                <w:rFonts w:ascii="Calibri" w:eastAsia="Times New Roman" w:hAnsi="Calibri" w:cs="Calibri"/>
                <w:color w:val="000000"/>
                <w:lang w:eastAsia="en-GB"/>
              </w:rPr>
              <w:t>,</w:t>
            </w:r>
            <w:r w:rsidRPr="00070862">
              <w:rPr>
                <w:rFonts w:ascii="Calibri" w:eastAsia="Times New Roman" w:hAnsi="Calibri" w:cs="Calibri"/>
                <w:color w:val="000000"/>
                <w:lang w:eastAsia="en-GB"/>
              </w:rPr>
              <w:t>364</w:t>
            </w:r>
          </w:p>
        </w:tc>
        <w:tc>
          <w:tcPr>
            <w:tcW w:w="1266" w:type="dxa"/>
            <w:tcBorders>
              <w:top w:val="single" w:sz="4" w:space="0" w:color="C9C9C9"/>
              <w:left w:val="nil"/>
              <w:bottom w:val="single" w:sz="4" w:space="0" w:color="C9C9C9"/>
              <w:right w:val="single" w:sz="4" w:space="0" w:color="auto"/>
            </w:tcBorders>
            <w:shd w:val="clear" w:color="000000" w:fill="FFFFFF"/>
            <w:noWrap/>
            <w:vAlign w:val="bottom"/>
            <w:hideMark/>
          </w:tcPr>
          <w:p w14:paraId="1FBFB48C"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47.3</w:t>
            </w:r>
          </w:p>
        </w:tc>
      </w:tr>
      <w:tr w:rsidR="00CE0CD0" w:rsidRPr="00070862" w14:paraId="2819B25C" w14:textId="77777777" w:rsidTr="00BB4EE0">
        <w:trPr>
          <w:trHeight w:val="260"/>
        </w:trPr>
        <w:tc>
          <w:tcPr>
            <w:tcW w:w="2626" w:type="dxa"/>
            <w:tcBorders>
              <w:top w:val="single" w:sz="4" w:space="0" w:color="C9C9C9"/>
              <w:left w:val="single" w:sz="4" w:space="0" w:color="auto"/>
              <w:bottom w:val="single" w:sz="4" w:space="0" w:color="C9C9C9"/>
              <w:right w:val="nil"/>
            </w:tcBorders>
            <w:shd w:val="clear" w:color="EDEDED" w:fill="EDEDED"/>
            <w:noWrap/>
            <w:vAlign w:val="bottom"/>
            <w:hideMark/>
          </w:tcPr>
          <w:p w14:paraId="385B75DD"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Cardiff and Vale UHB</w:t>
            </w:r>
          </w:p>
        </w:tc>
        <w:tc>
          <w:tcPr>
            <w:tcW w:w="932" w:type="dxa"/>
            <w:tcBorders>
              <w:top w:val="single" w:sz="4" w:space="0" w:color="C9C9C9"/>
              <w:left w:val="nil"/>
              <w:bottom w:val="single" w:sz="4" w:space="0" w:color="C9C9C9"/>
              <w:right w:val="nil"/>
            </w:tcBorders>
            <w:shd w:val="clear" w:color="EDEDED" w:fill="EDEDED"/>
            <w:noWrap/>
            <w:vAlign w:val="bottom"/>
            <w:hideMark/>
          </w:tcPr>
          <w:p w14:paraId="27C564BF"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58,770</w:t>
            </w:r>
          </w:p>
        </w:tc>
        <w:tc>
          <w:tcPr>
            <w:tcW w:w="1266" w:type="dxa"/>
            <w:tcBorders>
              <w:top w:val="single" w:sz="4" w:space="0" w:color="C9C9C9"/>
              <w:left w:val="nil"/>
              <w:bottom w:val="single" w:sz="4" w:space="0" w:color="C9C9C9"/>
              <w:right w:val="nil"/>
            </w:tcBorders>
            <w:shd w:val="clear" w:color="EDEDED" w:fill="EDEDED"/>
            <w:noWrap/>
            <w:vAlign w:val="bottom"/>
            <w:hideMark/>
          </w:tcPr>
          <w:p w14:paraId="5AB6B579"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71.2</w:t>
            </w:r>
          </w:p>
        </w:tc>
        <w:tc>
          <w:tcPr>
            <w:tcW w:w="932" w:type="dxa"/>
            <w:tcBorders>
              <w:top w:val="single" w:sz="4" w:space="0" w:color="C9C9C9"/>
              <w:left w:val="nil"/>
              <w:bottom w:val="single" w:sz="4" w:space="0" w:color="C9C9C9"/>
              <w:right w:val="nil"/>
            </w:tcBorders>
            <w:shd w:val="clear" w:color="EDEDED" w:fill="EDEDED"/>
            <w:noWrap/>
            <w:vAlign w:val="bottom"/>
            <w:hideMark/>
          </w:tcPr>
          <w:p w14:paraId="2E5CC4BD"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29,387</w:t>
            </w:r>
          </w:p>
        </w:tc>
        <w:tc>
          <w:tcPr>
            <w:tcW w:w="1266" w:type="dxa"/>
            <w:tcBorders>
              <w:top w:val="single" w:sz="4" w:space="0" w:color="C9C9C9"/>
              <w:left w:val="nil"/>
              <w:bottom w:val="single" w:sz="4" w:space="0" w:color="C9C9C9"/>
              <w:right w:val="nil"/>
            </w:tcBorders>
            <w:shd w:val="clear" w:color="EDEDED" w:fill="EDEDED"/>
            <w:noWrap/>
            <w:vAlign w:val="bottom"/>
            <w:hideMark/>
          </w:tcPr>
          <w:p w14:paraId="37F46213"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43.8</w:t>
            </w:r>
          </w:p>
        </w:tc>
        <w:tc>
          <w:tcPr>
            <w:tcW w:w="932" w:type="dxa"/>
            <w:tcBorders>
              <w:top w:val="single" w:sz="4" w:space="0" w:color="C9C9C9"/>
              <w:left w:val="nil"/>
              <w:bottom w:val="single" w:sz="4" w:space="0" w:color="C9C9C9"/>
              <w:right w:val="nil"/>
            </w:tcBorders>
            <w:shd w:val="clear" w:color="EDEDED" w:fill="EDEDED"/>
            <w:noWrap/>
            <w:vAlign w:val="bottom"/>
            <w:hideMark/>
          </w:tcPr>
          <w:p w14:paraId="35633D75"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5</w:t>
            </w:r>
            <w:r>
              <w:rPr>
                <w:rFonts w:ascii="Calibri" w:eastAsia="Times New Roman" w:hAnsi="Calibri" w:cs="Calibri"/>
                <w:color w:val="000000"/>
                <w:lang w:eastAsia="en-GB"/>
              </w:rPr>
              <w:t>,</w:t>
            </w:r>
            <w:r w:rsidRPr="00070862">
              <w:rPr>
                <w:rFonts w:ascii="Calibri" w:eastAsia="Times New Roman" w:hAnsi="Calibri" w:cs="Calibri"/>
                <w:color w:val="000000"/>
                <w:lang w:eastAsia="en-GB"/>
              </w:rPr>
              <w:t>345</w:t>
            </w:r>
          </w:p>
        </w:tc>
        <w:tc>
          <w:tcPr>
            <w:tcW w:w="1266" w:type="dxa"/>
            <w:tcBorders>
              <w:top w:val="single" w:sz="4" w:space="0" w:color="C9C9C9"/>
              <w:left w:val="nil"/>
              <w:bottom w:val="single" w:sz="4" w:space="0" w:color="C9C9C9"/>
              <w:right w:val="single" w:sz="4" w:space="0" w:color="auto"/>
            </w:tcBorders>
            <w:shd w:val="clear" w:color="EDEDED" w:fill="EDEDED"/>
            <w:noWrap/>
            <w:vAlign w:val="bottom"/>
            <w:hideMark/>
          </w:tcPr>
          <w:p w14:paraId="3B398114"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46.2</w:t>
            </w:r>
          </w:p>
        </w:tc>
      </w:tr>
      <w:tr w:rsidR="00CE0CD0" w:rsidRPr="00070862" w14:paraId="791A14D2" w14:textId="77777777" w:rsidTr="00BB4EE0">
        <w:trPr>
          <w:trHeight w:val="260"/>
        </w:trPr>
        <w:tc>
          <w:tcPr>
            <w:tcW w:w="2626" w:type="dxa"/>
            <w:tcBorders>
              <w:top w:val="single" w:sz="4" w:space="0" w:color="C9C9C9"/>
              <w:left w:val="single" w:sz="4" w:space="0" w:color="auto"/>
              <w:bottom w:val="single" w:sz="4" w:space="0" w:color="auto"/>
              <w:right w:val="nil"/>
            </w:tcBorders>
            <w:shd w:val="clear" w:color="000000" w:fill="FFFFFF"/>
            <w:noWrap/>
            <w:vAlign w:val="bottom"/>
            <w:hideMark/>
          </w:tcPr>
          <w:p w14:paraId="7CDC41F1"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Wales</w:t>
            </w:r>
          </w:p>
        </w:tc>
        <w:tc>
          <w:tcPr>
            <w:tcW w:w="932" w:type="dxa"/>
            <w:tcBorders>
              <w:top w:val="single" w:sz="4" w:space="0" w:color="C9C9C9"/>
              <w:left w:val="nil"/>
              <w:bottom w:val="single" w:sz="4" w:space="0" w:color="auto"/>
              <w:right w:val="nil"/>
            </w:tcBorders>
            <w:shd w:val="clear" w:color="000000" w:fill="FFFFFF"/>
            <w:noWrap/>
            <w:vAlign w:val="bottom"/>
            <w:hideMark/>
          </w:tcPr>
          <w:p w14:paraId="28DAC88B"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469,497</w:t>
            </w:r>
          </w:p>
        </w:tc>
        <w:tc>
          <w:tcPr>
            <w:tcW w:w="1266" w:type="dxa"/>
            <w:tcBorders>
              <w:top w:val="single" w:sz="4" w:space="0" w:color="C9C9C9"/>
              <w:left w:val="nil"/>
              <w:bottom w:val="single" w:sz="4" w:space="0" w:color="auto"/>
              <w:right w:val="nil"/>
            </w:tcBorders>
            <w:shd w:val="clear" w:color="000000" w:fill="FFFFFF"/>
            <w:noWrap/>
            <w:vAlign w:val="bottom"/>
            <w:hideMark/>
          </w:tcPr>
          <w:p w14:paraId="6C4C3810"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69.4</w:t>
            </w:r>
          </w:p>
        </w:tc>
        <w:tc>
          <w:tcPr>
            <w:tcW w:w="932" w:type="dxa"/>
            <w:tcBorders>
              <w:top w:val="single" w:sz="4" w:space="0" w:color="C9C9C9"/>
              <w:left w:val="nil"/>
              <w:bottom w:val="single" w:sz="4" w:space="0" w:color="auto"/>
              <w:right w:val="nil"/>
            </w:tcBorders>
            <w:shd w:val="clear" w:color="000000" w:fill="FFFFFF"/>
            <w:noWrap/>
            <w:vAlign w:val="bottom"/>
            <w:hideMark/>
          </w:tcPr>
          <w:p w14:paraId="430FA729"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197,481</w:t>
            </w:r>
          </w:p>
        </w:tc>
        <w:tc>
          <w:tcPr>
            <w:tcW w:w="1266" w:type="dxa"/>
            <w:tcBorders>
              <w:top w:val="single" w:sz="4" w:space="0" w:color="C9C9C9"/>
              <w:left w:val="nil"/>
              <w:bottom w:val="single" w:sz="4" w:space="0" w:color="auto"/>
              <w:right w:val="nil"/>
            </w:tcBorders>
            <w:shd w:val="clear" w:color="000000" w:fill="FFFFFF"/>
            <w:noWrap/>
            <w:vAlign w:val="bottom"/>
            <w:hideMark/>
          </w:tcPr>
          <w:p w14:paraId="4A8CB8B8"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44.1</w:t>
            </w:r>
          </w:p>
        </w:tc>
        <w:tc>
          <w:tcPr>
            <w:tcW w:w="932" w:type="dxa"/>
            <w:tcBorders>
              <w:top w:val="single" w:sz="4" w:space="0" w:color="C9C9C9"/>
              <w:left w:val="nil"/>
              <w:bottom w:val="single" w:sz="4" w:space="0" w:color="auto"/>
              <w:right w:val="nil"/>
            </w:tcBorders>
            <w:shd w:val="clear" w:color="000000" w:fill="FFFFFF"/>
            <w:noWrap/>
            <w:vAlign w:val="bottom"/>
            <w:hideMark/>
          </w:tcPr>
          <w:p w14:paraId="1397491B"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34</w:t>
            </w:r>
            <w:r>
              <w:rPr>
                <w:rFonts w:ascii="Calibri" w:eastAsia="Times New Roman" w:hAnsi="Calibri" w:cs="Calibri"/>
                <w:color w:val="000000"/>
                <w:lang w:eastAsia="en-GB"/>
              </w:rPr>
              <w:t>,</w:t>
            </w:r>
            <w:r w:rsidRPr="00070862">
              <w:rPr>
                <w:rFonts w:ascii="Calibri" w:eastAsia="Times New Roman" w:hAnsi="Calibri" w:cs="Calibri"/>
                <w:color w:val="000000"/>
                <w:lang w:eastAsia="en-GB"/>
              </w:rPr>
              <w:t>504</w:t>
            </w:r>
          </w:p>
        </w:tc>
        <w:tc>
          <w:tcPr>
            <w:tcW w:w="1266" w:type="dxa"/>
            <w:tcBorders>
              <w:top w:val="single" w:sz="4" w:space="0" w:color="C9C9C9"/>
              <w:left w:val="nil"/>
              <w:bottom w:val="single" w:sz="4" w:space="0" w:color="auto"/>
              <w:right w:val="single" w:sz="4" w:space="0" w:color="auto"/>
            </w:tcBorders>
            <w:shd w:val="clear" w:color="000000" w:fill="FFFFFF"/>
            <w:noWrap/>
            <w:vAlign w:val="bottom"/>
            <w:hideMark/>
          </w:tcPr>
          <w:p w14:paraId="2DDC579E" w14:textId="77777777" w:rsidR="00CE0CD0" w:rsidRPr="00070862" w:rsidRDefault="00CE0CD0" w:rsidP="00DC54F7">
            <w:pPr>
              <w:spacing w:after="0" w:line="240" w:lineRule="auto"/>
              <w:jc w:val="both"/>
              <w:rPr>
                <w:rFonts w:ascii="Calibri" w:eastAsia="Times New Roman" w:hAnsi="Calibri" w:cs="Calibri"/>
                <w:color w:val="000000"/>
                <w:lang w:eastAsia="en-GB"/>
              </w:rPr>
            </w:pPr>
            <w:r w:rsidRPr="00070862">
              <w:rPr>
                <w:rFonts w:ascii="Calibri" w:eastAsia="Times New Roman" w:hAnsi="Calibri" w:cs="Calibri"/>
                <w:color w:val="000000"/>
                <w:lang w:eastAsia="en-GB"/>
              </w:rPr>
              <w:t>50.7</w:t>
            </w:r>
          </w:p>
        </w:tc>
      </w:tr>
    </w:tbl>
    <w:p w14:paraId="15E6D874" w14:textId="77777777" w:rsidR="00CE0CD0" w:rsidRPr="003C136C" w:rsidRDefault="00CE0CD0" w:rsidP="00DC54F7">
      <w:pPr>
        <w:pStyle w:val="Heading1"/>
        <w:spacing w:before="0" w:line="240" w:lineRule="auto"/>
        <w:jc w:val="both"/>
        <w:rPr>
          <w:rFonts w:cs="Arial"/>
          <w:b w:val="0"/>
          <w:bCs w:val="0"/>
          <w:color w:val="auto"/>
          <w:sz w:val="20"/>
          <w:szCs w:val="20"/>
        </w:rPr>
      </w:pPr>
      <w:bookmarkStart w:id="23" w:name="_Toc81582663"/>
      <w:bookmarkStart w:id="24" w:name="_Toc81584904"/>
      <w:bookmarkStart w:id="25" w:name="_Toc81585096"/>
      <w:r w:rsidRPr="003C136C">
        <w:rPr>
          <w:rFonts w:cs="Arial"/>
          <w:b w:val="0"/>
          <w:bCs w:val="0"/>
          <w:color w:val="auto"/>
          <w:sz w:val="20"/>
          <w:szCs w:val="20"/>
        </w:rPr>
        <w:t>Source: Public Health Wales - Seasonal influenza in Wales 2019 to 2020 Annual Report</w:t>
      </w:r>
      <w:bookmarkEnd w:id="23"/>
      <w:bookmarkEnd w:id="24"/>
      <w:bookmarkEnd w:id="25"/>
    </w:p>
    <w:p w14:paraId="08EDD58E" w14:textId="77777777" w:rsidR="00070862" w:rsidRDefault="00070862" w:rsidP="00DC54F7">
      <w:pPr>
        <w:pStyle w:val="Heading1"/>
        <w:spacing w:before="0" w:line="240" w:lineRule="auto"/>
        <w:jc w:val="both"/>
        <w:rPr>
          <w:rFonts w:cs="Arial"/>
          <w:color w:val="auto"/>
        </w:rPr>
      </w:pPr>
    </w:p>
    <w:p w14:paraId="08ABE0B3" w14:textId="77777777" w:rsidR="00070862" w:rsidRDefault="00070862" w:rsidP="00DC54F7">
      <w:pPr>
        <w:pStyle w:val="Heading1"/>
        <w:spacing w:before="0" w:line="240" w:lineRule="auto"/>
        <w:jc w:val="both"/>
        <w:rPr>
          <w:rFonts w:cs="Arial"/>
          <w:color w:val="auto"/>
        </w:rPr>
      </w:pPr>
    </w:p>
    <w:p w14:paraId="2A39CE75" w14:textId="77777777" w:rsidR="00070862" w:rsidRDefault="00070862" w:rsidP="00DC54F7">
      <w:pPr>
        <w:pStyle w:val="Heading1"/>
        <w:spacing w:before="0" w:line="240" w:lineRule="auto"/>
        <w:jc w:val="both"/>
        <w:rPr>
          <w:rFonts w:cs="Arial"/>
          <w:color w:val="auto"/>
        </w:rPr>
      </w:pPr>
    </w:p>
    <w:p w14:paraId="7DCF3DA5" w14:textId="6D898F51" w:rsidR="00070862" w:rsidRDefault="00070862" w:rsidP="00DC54F7">
      <w:pPr>
        <w:pStyle w:val="Heading1"/>
        <w:spacing w:before="0" w:line="240" w:lineRule="auto"/>
        <w:jc w:val="both"/>
        <w:rPr>
          <w:rFonts w:cs="Arial"/>
          <w:color w:val="auto"/>
        </w:rPr>
      </w:pPr>
    </w:p>
    <w:p w14:paraId="514C0578" w14:textId="2373E336" w:rsidR="006C07AE" w:rsidRDefault="006C07AE" w:rsidP="00DC54F7">
      <w:pPr>
        <w:jc w:val="both"/>
      </w:pPr>
    </w:p>
    <w:p w14:paraId="2FE04325" w14:textId="4125A8E8" w:rsidR="00BB4EE0" w:rsidRDefault="00BB4EE0" w:rsidP="00DC54F7">
      <w:pPr>
        <w:jc w:val="both"/>
      </w:pPr>
    </w:p>
    <w:p w14:paraId="5CCDB375" w14:textId="5A6A6DEA" w:rsidR="00BB4EE0" w:rsidRDefault="00BB4EE0" w:rsidP="00DC54F7">
      <w:pPr>
        <w:jc w:val="both"/>
      </w:pPr>
    </w:p>
    <w:p w14:paraId="40077EC1" w14:textId="7A96764B" w:rsidR="00BB4EE0" w:rsidRDefault="00BB4EE0" w:rsidP="00DC54F7">
      <w:pPr>
        <w:jc w:val="both"/>
      </w:pPr>
    </w:p>
    <w:p w14:paraId="794526AF" w14:textId="6CEA091F" w:rsidR="00BB4EE0" w:rsidRDefault="00BB4EE0" w:rsidP="00DC54F7">
      <w:pPr>
        <w:jc w:val="both"/>
      </w:pPr>
    </w:p>
    <w:p w14:paraId="696CECB6" w14:textId="12C1E51A" w:rsidR="00BB4EE0" w:rsidRDefault="00BB4EE0" w:rsidP="00DC54F7">
      <w:pPr>
        <w:jc w:val="both"/>
      </w:pPr>
    </w:p>
    <w:p w14:paraId="337EC7E6" w14:textId="21C797E6" w:rsidR="00BB4EE0" w:rsidRDefault="00BB4EE0" w:rsidP="00DC54F7">
      <w:pPr>
        <w:jc w:val="both"/>
      </w:pPr>
    </w:p>
    <w:p w14:paraId="011B2821" w14:textId="09DF17BD" w:rsidR="00BB4EE0" w:rsidRDefault="00BB4EE0" w:rsidP="00DC54F7">
      <w:pPr>
        <w:jc w:val="both"/>
      </w:pPr>
    </w:p>
    <w:p w14:paraId="4E9E6568" w14:textId="2DA53185" w:rsidR="00BB4EE0" w:rsidRDefault="00BB4EE0" w:rsidP="00DC54F7">
      <w:pPr>
        <w:jc w:val="both"/>
      </w:pPr>
    </w:p>
    <w:p w14:paraId="3569784F" w14:textId="2A3942FF" w:rsidR="00BB4EE0" w:rsidRDefault="00BB4EE0" w:rsidP="00DC54F7">
      <w:pPr>
        <w:jc w:val="both"/>
      </w:pPr>
    </w:p>
    <w:p w14:paraId="71CBF15F" w14:textId="37F7C751" w:rsidR="00BB4EE0" w:rsidRDefault="00BB4EE0" w:rsidP="00DC54F7">
      <w:pPr>
        <w:jc w:val="both"/>
      </w:pPr>
    </w:p>
    <w:p w14:paraId="37A6475E" w14:textId="010CABEE" w:rsidR="00BB4EE0" w:rsidRDefault="00BB4EE0" w:rsidP="00DC54F7">
      <w:pPr>
        <w:jc w:val="both"/>
      </w:pPr>
    </w:p>
    <w:p w14:paraId="5E2C8793" w14:textId="6D5A027E" w:rsidR="00BB4EE0" w:rsidRDefault="00BB4EE0" w:rsidP="00DC54F7">
      <w:pPr>
        <w:jc w:val="both"/>
      </w:pPr>
    </w:p>
    <w:p w14:paraId="311E9D40" w14:textId="7E83754A" w:rsidR="00BB4EE0" w:rsidRDefault="00BB4EE0" w:rsidP="00DC54F7">
      <w:pPr>
        <w:jc w:val="both"/>
      </w:pPr>
      <w:r>
        <w:br w:type="page"/>
      </w:r>
    </w:p>
    <w:p w14:paraId="6E381022" w14:textId="3A184ABB" w:rsidR="00C85438" w:rsidRDefault="00C85438" w:rsidP="00DC54F7">
      <w:pPr>
        <w:pStyle w:val="Heading1"/>
        <w:spacing w:before="0" w:line="240" w:lineRule="auto"/>
        <w:jc w:val="both"/>
        <w:rPr>
          <w:rFonts w:cs="Arial"/>
          <w:color w:val="auto"/>
        </w:rPr>
      </w:pPr>
      <w:bookmarkStart w:id="26" w:name="_Toc81585097"/>
      <w:r w:rsidRPr="00A10850">
        <w:rPr>
          <w:rFonts w:cs="Arial"/>
          <w:color w:val="auto"/>
        </w:rPr>
        <w:lastRenderedPageBreak/>
        <w:t xml:space="preserve">4 </w:t>
      </w:r>
      <w:r w:rsidR="007A4910" w:rsidRPr="00A10850">
        <w:rPr>
          <w:rFonts w:cs="Arial"/>
          <w:color w:val="auto"/>
        </w:rPr>
        <w:t>Identified patient groups</w:t>
      </w:r>
      <w:r w:rsidR="00FA2D1B" w:rsidRPr="00A10850">
        <w:rPr>
          <w:rFonts w:cs="Arial"/>
          <w:color w:val="auto"/>
        </w:rPr>
        <w:t xml:space="preserve"> – particular health </w:t>
      </w:r>
      <w:r w:rsidR="00487C8C" w:rsidRPr="00A10850">
        <w:rPr>
          <w:rFonts w:cs="Arial"/>
          <w:color w:val="auto"/>
        </w:rPr>
        <w:t>issues</w:t>
      </w:r>
      <w:bookmarkEnd w:id="26"/>
    </w:p>
    <w:p w14:paraId="120FFF9B" w14:textId="77777777" w:rsidR="003C136C" w:rsidRDefault="003C136C" w:rsidP="00DC54F7">
      <w:pPr>
        <w:spacing w:after="0" w:line="240" w:lineRule="auto"/>
        <w:contextualSpacing/>
        <w:jc w:val="both"/>
        <w:rPr>
          <w:rFonts w:ascii="Verdana" w:eastAsiaTheme="majorEastAsia" w:hAnsi="Verdana" w:cs="Arial"/>
          <w:b/>
          <w:bCs/>
          <w:sz w:val="28"/>
          <w:szCs w:val="28"/>
        </w:rPr>
      </w:pPr>
    </w:p>
    <w:p w14:paraId="010A3A0B" w14:textId="797F78B8" w:rsidR="007A2A74" w:rsidRPr="00D11856" w:rsidRDefault="007A2A74" w:rsidP="00DC54F7">
      <w:pPr>
        <w:spacing w:after="0" w:line="240" w:lineRule="auto"/>
        <w:contextualSpacing/>
        <w:jc w:val="both"/>
        <w:rPr>
          <w:rFonts w:ascii="Arial" w:hAnsi="Arial" w:cs="Arial"/>
          <w:sz w:val="24"/>
          <w:szCs w:val="24"/>
        </w:rPr>
      </w:pPr>
      <w:r w:rsidRPr="00D11856">
        <w:rPr>
          <w:rFonts w:ascii="Arial" w:hAnsi="Arial" w:cs="Arial"/>
          <w:sz w:val="24"/>
          <w:szCs w:val="24"/>
        </w:rPr>
        <w:t>The following patient groups have been identified as living within, or visiting the Cardiff and Vale University Health Board’s area:</w:t>
      </w:r>
    </w:p>
    <w:p w14:paraId="006174C4" w14:textId="77777777" w:rsidR="007A2A74" w:rsidRPr="00D11856" w:rsidRDefault="007A2A74" w:rsidP="00DC54F7">
      <w:pPr>
        <w:spacing w:after="0" w:line="240" w:lineRule="auto"/>
        <w:contextualSpacing/>
        <w:jc w:val="both"/>
        <w:rPr>
          <w:rFonts w:ascii="Arial" w:hAnsi="Arial" w:cs="Arial"/>
          <w:sz w:val="24"/>
          <w:szCs w:val="24"/>
        </w:rPr>
      </w:pPr>
    </w:p>
    <w:p w14:paraId="35C94298" w14:textId="77777777" w:rsidR="007A2A74" w:rsidRPr="00D11856" w:rsidRDefault="007A2A74" w:rsidP="00DC54F7">
      <w:pPr>
        <w:numPr>
          <w:ilvl w:val="0"/>
          <w:numId w:val="26"/>
        </w:numPr>
        <w:spacing w:after="0" w:line="240" w:lineRule="auto"/>
        <w:ind w:left="360"/>
        <w:contextualSpacing/>
        <w:jc w:val="both"/>
        <w:rPr>
          <w:rFonts w:ascii="Arial" w:hAnsi="Arial" w:cs="Arial"/>
          <w:sz w:val="24"/>
          <w:szCs w:val="24"/>
        </w:rPr>
      </w:pPr>
      <w:r w:rsidRPr="00D11856">
        <w:rPr>
          <w:rFonts w:ascii="Arial" w:hAnsi="Arial" w:cs="Arial"/>
          <w:sz w:val="24"/>
          <w:szCs w:val="24"/>
        </w:rPr>
        <w:t>Those sharing one or more of the following Equality Act 2010 protected characteristics,</w:t>
      </w:r>
    </w:p>
    <w:p w14:paraId="050C99D3" w14:textId="77777777" w:rsidR="007A2A74" w:rsidRPr="00D11856" w:rsidRDefault="007A2A74" w:rsidP="00DC54F7">
      <w:pPr>
        <w:numPr>
          <w:ilvl w:val="0"/>
          <w:numId w:val="27"/>
        </w:numPr>
        <w:spacing w:after="0" w:line="240" w:lineRule="auto"/>
        <w:ind w:left="720"/>
        <w:contextualSpacing/>
        <w:jc w:val="both"/>
        <w:rPr>
          <w:rFonts w:ascii="Arial" w:hAnsi="Arial" w:cs="Arial"/>
          <w:sz w:val="24"/>
          <w:szCs w:val="24"/>
          <w:lang w:val="en"/>
        </w:rPr>
      </w:pPr>
      <w:r w:rsidRPr="00D11856">
        <w:rPr>
          <w:rFonts w:ascii="Arial" w:hAnsi="Arial" w:cs="Arial"/>
          <w:sz w:val="24"/>
          <w:szCs w:val="24"/>
          <w:lang w:val="en"/>
        </w:rPr>
        <w:t>Age</w:t>
      </w:r>
    </w:p>
    <w:p w14:paraId="4F75DE23" w14:textId="77777777" w:rsidR="007A2A74" w:rsidRPr="00D11856" w:rsidRDefault="007A2A74" w:rsidP="00DC54F7">
      <w:pPr>
        <w:numPr>
          <w:ilvl w:val="0"/>
          <w:numId w:val="27"/>
        </w:numPr>
        <w:spacing w:after="0" w:line="240" w:lineRule="auto"/>
        <w:ind w:left="720"/>
        <w:contextualSpacing/>
        <w:jc w:val="both"/>
        <w:rPr>
          <w:rFonts w:ascii="Arial" w:hAnsi="Arial" w:cs="Arial"/>
          <w:sz w:val="24"/>
          <w:szCs w:val="24"/>
          <w:lang w:val="en"/>
        </w:rPr>
      </w:pPr>
      <w:r w:rsidRPr="00D11856">
        <w:rPr>
          <w:rFonts w:ascii="Arial" w:hAnsi="Arial" w:cs="Arial"/>
          <w:sz w:val="24"/>
          <w:szCs w:val="24"/>
          <w:lang w:val="en"/>
        </w:rPr>
        <w:t>Disability, which is defined as a physical or mental impairment that has a substantial and long-term adverse effect on a person’s ability to carry out normal day-to-day activities.</w:t>
      </w:r>
    </w:p>
    <w:p w14:paraId="77D7BE2D" w14:textId="77777777" w:rsidR="007A2A74" w:rsidRPr="00D11856" w:rsidRDefault="007A2A74" w:rsidP="00DC54F7">
      <w:pPr>
        <w:numPr>
          <w:ilvl w:val="0"/>
          <w:numId w:val="27"/>
        </w:numPr>
        <w:spacing w:after="0" w:line="240" w:lineRule="auto"/>
        <w:ind w:left="720"/>
        <w:contextualSpacing/>
        <w:jc w:val="both"/>
        <w:rPr>
          <w:rFonts w:ascii="Arial" w:hAnsi="Arial" w:cs="Arial"/>
          <w:sz w:val="24"/>
          <w:szCs w:val="24"/>
          <w:lang w:val="en"/>
        </w:rPr>
      </w:pPr>
      <w:r w:rsidRPr="00D11856">
        <w:rPr>
          <w:rFonts w:ascii="Arial" w:hAnsi="Arial" w:cs="Arial"/>
          <w:sz w:val="24"/>
          <w:szCs w:val="24"/>
          <w:lang w:val="en"/>
        </w:rPr>
        <w:t xml:space="preserve">Pregnancy and maternity </w:t>
      </w:r>
    </w:p>
    <w:p w14:paraId="2AA7BFE8" w14:textId="77777777" w:rsidR="007A2A74" w:rsidRPr="00D11856" w:rsidRDefault="007A2A74" w:rsidP="00DC54F7">
      <w:pPr>
        <w:numPr>
          <w:ilvl w:val="0"/>
          <w:numId w:val="27"/>
        </w:numPr>
        <w:spacing w:after="0" w:line="240" w:lineRule="auto"/>
        <w:ind w:left="720"/>
        <w:contextualSpacing/>
        <w:jc w:val="both"/>
        <w:rPr>
          <w:rFonts w:ascii="Arial" w:hAnsi="Arial" w:cs="Arial"/>
          <w:sz w:val="24"/>
          <w:szCs w:val="24"/>
          <w:lang w:val="en"/>
        </w:rPr>
      </w:pPr>
      <w:r w:rsidRPr="00D11856">
        <w:rPr>
          <w:rFonts w:ascii="Arial" w:hAnsi="Arial" w:cs="Arial"/>
          <w:sz w:val="24"/>
          <w:szCs w:val="24"/>
          <w:lang w:val="en"/>
        </w:rPr>
        <w:t>Race, which includes colour, nationality, ethnic or national origins</w:t>
      </w:r>
    </w:p>
    <w:p w14:paraId="0079EEFE" w14:textId="77777777" w:rsidR="007A2A74" w:rsidRPr="00D11856" w:rsidRDefault="007A2A74" w:rsidP="00DC54F7">
      <w:pPr>
        <w:numPr>
          <w:ilvl w:val="0"/>
          <w:numId w:val="27"/>
        </w:numPr>
        <w:spacing w:after="0" w:line="240" w:lineRule="auto"/>
        <w:ind w:left="720"/>
        <w:contextualSpacing/>
        <w:jc w:val="both"/>
        <w:rPr>
          <w:rFonts w:ascii="Arial" w:hAnsi="Arial" w:cs="Arial"/>
          <w:sz w:val="24"/>
          <w:szCs w:val="24"/>
          <w:lang w:val="en"/>
        </w:rPr>
      </w:pPr>
      <w:r w:rsidRPr="00D11856">
        <w:rPr>
          <w:rFonts w:ascii="Arial" w:hAnsi="Arial" w:cs="Arial"/>
          <w:sz w:val="24"/>
          <w:szCs w:val="24"/>
          <w:lang w:val="en"/>
        </w:rPr>
        <w:t>Religion (including a lack of religion) or belief (any religious or philosophical belief)</w:t>
      </w:r>
    </w:p>
    <w:p w14:paraId="60D2333B" w14:textId="77777777" w:rsidR="007A2A74" w:rsidRPr="00D11856" w:rsidRDefault="007A2A74" w:rsidP="00DC54F7">
      <w:pPr>
        <w:numPr>
          <w:ilvl w:val="0"/>
          <w:numId w:val="27"/>
        </w:numPr>
        <w:spacing w:after="0" w:line="240" w:lineRule="auto"/>
        <w:ind w:left="720"/>
        <w:contextualSpacing/>
        <w:jc w:val="both"/>
        <w:rPr>
          <w:rFonts w:ascii="Arial" w:hAnsi="Arial" w:cs="Arial"/>
          <w:sz w:val="24"/>
          <w:szCs w:val="24"/>
          <w:lang w:val="en"/>
        </w:rPr>
      </w:pPr>
      <w:r w:rsidRPr="00D11856">
        <w:rPr>
          <w:rFonts w:ascii="Arial" w:hAnsi="Arial" w:cs="Arial"/>
          <w:sz w:val="24"/>
          <w:szCs w:val="24"/>
          <w:lang w:val="en"/>
        </w:rPr>
        <w:t xml:space="preserve">Sex </w:t>
      </w:r>
    </w:p>
    <w:p w14:paraId="7B0437AC" w14:textId="77777777" w:rsidR="007A2A74" w:rsidRPr="00D11856" w:rsidRDefault="007A2A74" w:rsidP="00DC54F7">
      <w:pPr>
        <w:numPr>
          <w:ilvl w:val="0"/>
          <w:numId w:val="27"/>
        </w:numPr>
        <w:spacing w:after="0" w:line="240" w:lineRule="auto"/>
        <w:ind w:left="720"/>
        <w:contextualSpacing/>
        <w:jc w:val="both"/>
        <w:rPr>
          <w:rFonts w:ascii="Arial" w:hAnsi="Arial" w:cs="Arial"/>
          <w:sz w:val="24"/>
          <w:szCs w:val="24"/>
          <w:lang w:val="en"/>
        </w:rPr>
      </w:pPr>
      <w:r w:rsidRPr="00D11856">
        <w:rPr>
          <w:rFonts w:ascii="Arial" w:hAnsi="Arial" w:cs="Arial"/>
          <w:sz w:val="24"/>
          <w:szCs w:val="24"/>
          <w:lang w:val="en"/>
        </w:rPr>
        <w:t>Sexual orientation</w:t>
      </w:r>
    </w:p>
    <w:p w14:paraId="6BD8B399" w14:textId="77777777" w:rsidR="007A2A74" w:rsidRPr="00D11856" w:rsidRDefault="007A2A74" w:rsidP="00DC54F7">
      <w:pPr>
        <w:numPr>
          <w:ilvl w:val="0"/>
          <w:numId w:val="27"/>
        </w:numPr>
        <w:spacing w:after="0" w:line="240" w:lineRule="auto"/>
        <w:ind w:left="720"/>
        <w:contextualSpacing/>
        <w:jc w:val="both"/>
        <w:rPr>
          <w:rFonts w:ascii="Arial" w:hAnsi="Arial" w:cs="Arial"/>
          <w:sz w:val="24"/>
          <w:szCs w:val="24"/>
        </w:rPr>
      </w:pPr>
      <w:r w:rsidRPr="00D11856">
        <w:rPr>
          <w:rFonts w:ascii="Arial" w:hAnsi="Arial" w:cs="Arial"/>
          <w:sz w:val="24"/>
          <w:szCs w:val="24"/>
          <w:lang w:val="en"/>
        </w:rPr>
        <w:t>Gender re-assignment</w:t>
      </w:r>
    </w:p>
    <w:p w14:paraId="736EE6FF" w14:textId="77777777" w:rsidR="007A2A74" w:rsidRPr="00D11856" w:rsidRDefault="007A2A74" w:rsidP="00DC54F7">
      <w:pPr>
        <w:numPr>
          <w:ilvl w:val="0"/>
          <w:numId w:val="27"/>
        </w:numPr>
        <w:spacing w:after="0" w:line="240" w:lineRule="auto"/>
        <w:ind w:left="720"/>
        <w:contextualSpacing/>
        <w:jc w:val="both"/>
        <w:rPr>
          <w:rFonts w:ascii="Arial" w:hAnsi="Arial" w:cs="Arial"/>
          <w:sz w:val="24"/>
          <w:szCs w:val="24"/>
        </w:rPr>
      </w:pPr>
      <w:r w:rsidRPr="00D11856">
        <w:rPr>
          <w:rFonts w:ascii="Arial" w:hAnsi="Arial" w:cs="Arial"/>
          <w:sz w:val="24"/>
          <w:szCs w:val="24"/>
          <w:lang w:val="en"/>
        </w:rPr>
        <w:t>Marriage and civil partnership.</w:t>
      </w:r>
    </w:p>
    <w:p w14:paraId="00A0AC91" w14:textId="77777777" w:rsidR="007A2A74" w:rsidRPr="00D11856" w:rsidRDefault="007A2A74" w:rsidP="00DC54F7">
      <w:pPr>
        <w:numPr>
          <w:ilvl w:val="0"/>
          <w:numId w:val="23"/>
        </w:numPr>
        <w:spacing w:after="0" w:line="240" w:lineRule="auto"/>
        <w:ind w:left="360"/>
        <w:contextualSpacing/>
        <w:jc w:val="both"/>
        <w:rPr>
          <w:rFonts w:ascii="Arial" w:hAnsi="Arial" w:cs="Arial"/>
          <w:sz w:val="24"/>
          <w:szCs w:val="24"/>
        </w:rPr>
      </w:pPr>
      <w:r w:rsidRPr="00D11856">
        <w:rPr>
          <w:rFonts w:ascii="Arial" w:hAnsi="Arial" w:cs="Arial"/>
          <w:sz w:val="24"/>
          <w:szCs w:val="24"/>
        </w:rPr>
        <w:t>University students</w:t>
      </w:r>
    </w:p>
    <w:p w14:paraId="2F08E7C1" w14:textId="77777777" w:rsidR="007A2A74" w:rsidRPr="00D11856" w:rsidRDefault="007A2A74" w:rsidP="00DC54F7">
      <w:pPr>
        <w:numPr>
          <w:ilvl w:val="0"/>
          <w:numId w:val="23"/>
        </w:numPr>
        <w:spacing w:after="0" w:line="240" w:lineRule="auto"/>
        <w:ind w:left="360"/>
        <w:contextualSpacing/>
        <w:jc w:val="both"/>
        <w:rPr>
          <w:rFonts w:ascii="Arial" w:hAnsi="Arial" w:cs="Arial"/>
          <w:sz w:val="24"/>
          <w:szCs w:val="24"/>
        </w:rPr>
      </w:pPr>
      <w:r w:rsidRPr="00D11856">
        <w:rPr>
          <w:rFonts w:ascii="Arial" w:hAnsi="Arial" w:cs="Arial"/>
          <w:sz w:val="24"/>
          <w:szCs w:val="24"/>
        </w:rPr>
        <w:t xml:space="preserve">Offenders and children and young people in contact with the Youth Justice System </w:t>
      </w:r>
    </w:p>
    <w:p w14:paraId="03AFAFFC" w14:textId="77777777" w:rsidR="007A2A74" w:rsidRPr="00D11856" w:rsidRDefault="007A2A74" w:rsidP="00DC54F7">
      <w:pPr>
        <w:numPr>
          <w:ilvl w:val="0"/>
          <w:numId w:val="23"/>
        </w:numPr>
        <w:spacing w:after="0" w:line="240" w:lineRule="auto"/>
        <w:ind w:left="360"/>
        <w:contextualSpacing/>
        <w:jc w:val="both"/>
        <w:rPr>
          <w:rFonts w:ascii="Arial" w:hAnsi="Arial" w:cs="Arial"/>
          <w:sz w:val="24"/>
          <w:szCs w:val="24"/>
        </w:rPr>
      </w:pPr>
      <w:r w:rsidRPr="00D11856">
        <w:rPr>
          <w:rFonts w:ascii="Arial" w:hAnsi="Arial" w:cs="Arial"/>
          <w:sz w:val="24"/>
          <w:szCs w:val="24"/>
        </w:rPr>
        <w:t>Homeless and rough sleepers</w:t>
      </w:r>
    </w:p>
    <w:p w14:paraId="05FEFF80" w14:textId="77777777" w:rsidR="007A2A74" w:rsidRPr="00D11856" w:rsidRDefault="007A2A74" w:rsidP="00DC54F7">
      <w:pPr>
        <w:numPr>
          <w:ilvl w:val="0"/>
          <w:numId w:val="23"/>
        </w:numPr>
        <w:spacing w:after="0" w:line="240" w:lineRule="auto"/>
        <w:ind w:left="360"/>
        <w:contextualSpacing/>
        <w:jc w:val="both"/>
        <w:rPr>
          <w:rFonts w:ascii="Arial" w:hAnsi="Arial" w:cs="Arial"/>
          <w:sz w:val="24"/>
          <w:szCs w:val="24"/>
        </w:rPr>
      </w:pPr>
      <w:r w:rsidRPr="00D11856">
        <w:rPr>
          <w:rFonts w:ascii="Arial" w:hAnsi="Arial" w:cs="Arial"/>
          <w:sz w:val="24"/>
          <w:szCs w:val="24"/>
        </w:rPr>
        <w:t>Traveller and gypsy communities</w:t>
      </w:r>
    </w:p>
    <w:p w14:paraId="229C7C06" w14:textId="77777777" w:rsidR="007A2A74" w:rsidRPr="00D11856" w:rsidRDefault="007A2A74" w:rsidP="00DC54F7">
      <w:pPr>
        <w:numPr>
          <w:ilvl w:val="0"/>
          <w:numId w:val="23"/>
        </w:numPr>
        <w:spacing w:after="0" w:line="240" w:lineRule="auto"/>
        <w:ind w:left="360"/>
        <w:contextualSpacing/>
        <w:jc w:val="both"/>
        <w:rPr>
          <w:rFonts w:ascii="Arial" w:hAnsi="Arial" w:cs="Arial"/>
          <w:sz w:val="24"/>
          <w:szCs w:val="24"/>
        </w:rPr>
      </w:pPr>
      <w:r w:rsidRPr="00D11856">
        <w:rPr>
          <w:rFonts w:ascii="Arial" w:hAnsi="Arial" w:cs="Arial"/>
          <w:bCs/>
          <w:sz w:val="24"/>
          <w:szCs w:val="24"/>
        </w:rPr>
        <w:t>Asylum seekers, refugees and migrants</w:t>
      </w:r>
      <w:r w:rsidRPr="00D11856">
        <w:rPr>
          <w:rFonts w:ascii="Arial" w:hAnsi="Arial" w:cs="Arial"/>
          <w:sz w:val="24"/>
          <w:szCs w:val="24"/>
        </w:rPr>
        <w:t xml:space="preserve"> </w:t>
      </w:r>
    </w:p>
    <w:p w14:paraId="684EBBF2" w14:textId="77777777" w:rsidR="007A2A74" w:rsidRPr="00D11856" w:rsidRDefault="007A2A74" w:rsidP="00DC54F7">
      <w:pPr>
        <w:numPr>
          <w:ilvl w:val="0"/>
          <w:numId w:val="23"/>
        </w:numPr>
        <w:spacing w:after="0" w:line="240" w:lineRule="auto"/>
        <w:ind w:left="360"/>
        <w:contextualSpacing/>
        <w:jc w:val="both"/>
        <w:rPr>
          <w:rFonts w:ascii="Arial" w:hAnsi="Arial" w:cs="Arial"/>
          <w:sz w:val="24"/>
          <w:szCs w:val="24"/>
        </w:rPr>
      </w:pPr>
      <w:r w:rsidRPr="00D11856">
        <w:rPr>
          <w:rFonts w:ascii="Arial" w:hAnsi="Arial" w:cs="Arial"/>
          <w:sz w:val="24"/>
          <w:szCs w:val="24"/>
        </w:rPr>
        <w:t>Military veterans</w:t>
      </w:r>
    </w:p>
    <w:p w14:paraId="2F8D193B" w14:textId="77777777" w:rsidR="007A2A74" w:rsidRPr="00D11856" w:rsidRDefault="007A2A74" w:rsidP="00DC54F7">
      <w:pPr>
        <w:numPr>
          <w:ilvl w:val="0"/>
          <w:numId w:val="23"/>
        </w:numPr>
        <w:spacing w:after="0" w:line="240" w:lineRule="auto"/>
        <w:ind w:left="360"/>
        <w:contextualSpacing/>
        <w:jc w:val="both"/>
        <w:rPr>
          <w:rFonts w:ascii="Arial" w:hAnsi="Arial" w:cs="Arial"/>
          <w:sz w:val="24"/>
          <w:szCs w:val="24"/>
        </w:rPr>
      </w:pPr>
      <w:r w:rsidRPr="00D11856">
        <w:rPr>
          <w:rFonts w:ascii="Arial" w:hAnsi="Arial" w:cs="Arial"/>
          <w:sz w:val="24"/>
          <w:szCs w:val="24"/>
        </w:rPr>
        <w:t>Visitors to tourist attractions:</w:t>
      </w:r>
    </w:p>
    <w:p w14:paraId="530DB437" w14:textId="2E99531A" w:rsidR="007A2A74" w:rsidRPr="00D11856" w:rsidRDefault="007A2A74" w:rsidP="00DC54F7">
      <w:pPr>
        <w:numPr>
          <w:ilvl w:val="0"/>
          <w:numId w:val="137"/>
        </w:numPr>
        <w:spacing w:after="0" w:line="240" w:lineRule="auto"/>
        <w:contextualSpacing/>
        <w:jc w:val="both"/>
        <w:rPr>
          <w:rFonts w:ascii="Arial" w:hAnsi="Arial" w:cs="Arial"/>
          <w:sz w:val="24"/>
          <w:szCs w:val="24"/>
        </w:rPr>
      </w:pPr>
      <w:r w:rsidRPr="00D11856">
        <w:rPr>
          <w:rFonts w:ascii="Arial" w:hAnsi="Arial" w:cs="Arial"/>
          <w:sz w:val="24"/>
          <w:szCs w:val="24"/>
        </w:rPr>
        <w:t>Major attractions e.g.</w:t>
      </w:r>
      <w:r w:rsidR="00540D6F" w:rsidRPr="00D11856">
        <w:rPr>
          <w:rFonts w:ascii="Arial" w:hAnsi="Arial" w:cs="Arial"/>
          <w:sz w:val="24"/>
          <w:szCs w:val="24"/>
        </w:rPr>
        <w:t>, Wales</w:t>
      </w:r>
      <w:r w:rsidRPr="00D11856">
        <w:rPr>
          <w:rFonts w:ascii="Arial" w:hAnsi="Arial" w:cs="Arial"/>
          <w:sz w:val="24"/>
          <w:szCs w:val="24"/>
        </w:rPr>
        <w:t xml:space="preserve"> Millennium Centre.</w:t>
      </w:r>
    </w:p>
    <w:p w14:paraId="4FC77C45" w14:textId="77777777" w:rsidR="007A2A74" w:rsidRPr="00D11856" w:rsidRDefault="007A2A74" w:rsidP="00DC54F7">
      <w:pPr>
        <w:numPr>
          <w:ilvl w:val="0"/>
          <w:numId w:val="137"/>
        </w:numPr>
        <w:spacing w:after="0" w:line="240" w:lineRule="auto"/>
        <w:contextualSpacing/>
        <w:jc w:val="both"/>
        <w:rPr>
          <w:rFonts w:ascii="Arial" w:hAnsi="Arial" w:cs="Arial"/>
          <w:sz w:val="24"/>
          <w:szCs w:val="24"/>
        </w:rPr>
      </w:pPr>
      <w:r w:rsidRPr="00D11856">
        <w:rPr>
          <w:rFonts w:ascii="Arial" w:hAnsi="Arial" w:cs="Arial"/>
          <w:sz w:val="24"/>
          <w:szCs w:val="24"/>
        </w:rPr>
        <w:t xml:space="preserve">Major sporting and cultural events e.g. Principality Stadium. </w:t>
      </w:r>
    </w:p>
    <w:p w14:paraId="32F73830" w14:textId="77777777" w:rsidR="007A2A74" w:rsidRPr="00D11856" w:rsidRDefault="007A2A74" w:rsidP="00DC54F7">
      <w:pPr>
        <w:pStyle w:val="ListParagraph"/>
        <w:numPr>
          <w:ilvl w:val="0"/>
          <w:numId w:val="137"/>
        </w:numPr>
        <w:spacing w:after="0" w:line="240" w:lineRule="auto"/>
        <w:jc w:val="both"/>
        <w:rPr>
          <w:rFonts w:ascii="Arial" w:hAnsi="Arial" w:cs="Arial"/>
          <w:sz w:val="24"/>
          <w:szCs w:val="24"/>
        </w:rPr>
      </w:pPr>
      <w:r w:rsidRPr="00D11856">
        <w:rPr>
          <w:rFonts w:ascii="Arial" w:hAnsi="Arial" w:cs="Arial"/>
          <w:sz w:val="24"/>
          <w:szCs w:val="24"/>
        </w:rPr>
        <w:t xml:space="preserve">Areas of natural beauty e.g., Glamorgan Heritage Coast. </w:t>
      </w:r>
    </w:p>
    <w:p w14:paraId="51334A1A" w14:textId="77777777" w:rsidR="007A2A74" w:rsidRPr="00D11856" w:rsidRDefault="007A2A74" w:rsidP="00DC54F7">
      <w:pPr>
        <w:pStyle w:val="ListParagraph"/>
        <w:numPr>
          <w:ilvl w:val="0"/>
          <w:numId w:val="137"/>
        </w:numPr>
        <w:spacing w:after="0" w:line="240" w:lineRule="auto"/>
        <w:jc w:val="both"/>
        <w:rPr>
          <w:rFonts w:ascii="Arial" w:hAnsi="Arial" w:cs="Arial"/>
          <w:sz w:val="24"/>
          <w:szCs w:val="24"/>
        </w:rPr>
      </w:pPr>
      <w:r w:rsidRPr="00D11856">
        <w:rPr>
          <w:rFonts w:ascii="Arial" w:hAnsi="Arial" w:cs="Arial"/>
          <w:sz w:val="24"/>
          <w:szCs w:val="24"/>
        </w:rPr>
        <w:t>Heritage attractions e.g., Cardiff Castle.</w:t>
      </w:r>
    </w:p>
    <w:p w14:paraId="37AE97EB" w14:textId="77777777" w:rsidR="007A2A74" w:rsidRPr="00D11856" w:rsidRDefault="007A2A74" w:rsidP="00DC54F7">
      <w:pPr>
        <w:pStyle w:val="ListParagraph"/>
        <w:spacing w:after="0" w:line="240" w:lineRule="auto"/>
        <w:ind w:left="1080"/>
        <w:jc w:val="both"/>
        <w:rPr>
          <w:rFonts w:ascii="Arial" w:hAnsi="Arial" w:cs="Arial"/>
          <w:sz w:val="24"/>
          <w:szCs w:val="24"/>
        </w:rPr>
      </w:pPr>
    </w:p>
    <w:p w14:paraId="4006EF5C"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Whilst some of these groups are referred to in other parts of the PNA, this section focusses on their particular health issues.</w:t>
      </w:r>
    </w:p>
    <w:p w14:paraId="65195FDB" w14:textId="77777777" w:rsidR="007A2A74" w:rsidRDefault="007A2A74" w:rsidP="00DC54F7">
      <w:pPr>
        <w:spacing w:after="0" w:line="240" w:lineRule="auto"/>
        <w:jc w:val="both"/>
        <w:rPr>
          <w:rFonts w:ascii="Arial" w:hAnsi="Arial" w:cs="Arial"/>
          <w:b/>
        </w:rPr>
      </w:pPr>
    </w:p>
    <w:p w14:paraId="197F40AF" w14:textId="77777777" w:rsidR="007A2A74" w:rsidRDefault="007A2A74" w:rsidP="00DC54F7">
      <w:pPr>
        <w:spacing w:after="0" w:line="240" w:lineRule="auto"/>
        <w:jc w:val="both"/>
        <w:rPr>
          <w:rFonts w:ascii="Arial" w:hAnsi="Arial" w:cs="Arial"/>
          <w:b/>
        </w:rPr>
      </w:pPr>
    </w:p>
    <w:p w14:paraId="41E1312C" w14:textId="77777777" w:rsidR="007A2A74" w:rsidRPr="00D11856" w:rsidRDefault="007A2A74" w:rsidP="00DC54F7">
      <w:pPr>
        <w:spacing w:after="0" w:line="240" w:lineRule="auto"/>
        <w:jc w:val="both"/>
        <w:rPr>
          <w:rFonts w:ascii="Arial" w:hAnsi="Arial" w:cs="Arial"/>
          <w:bCs/>
          <w:sz w:val="26"/>
          <w:szCs w:val="26"/>
        </w:rPr>
      </w:pPr>
      <w:r w:rsidRPr="00D11856">
        <w:rPr>
          <w:rFonts w:ascii="Arial" w:hAnsi="Arial" w:cs="Arial"/>
          <w:b/>
          <w:sz w:val="26"/>
          <w:szCs w:val="26"/>
        </w:rPr>
        <w:t xml:space="preserve">4.1 Age </w:t>
      </w:r>
      <w:r w:rsidRPr="00D11856">
        <w:rPr>
          <w:rStyle w:val="FootnoteReference"/>
          <w:rFonts w:ascii="Arial" w:hAnsi="Arial" w:cs="Arial"/>
          <w:bCs/>
          <w:sz w:val="26"/>
          <w:szCs w:val="26"/>
        </w:rPr>
        <w:footnoteReference w:id="26"/>
      </w:r>
    </w:p>
    <w:p w14:paraId="77283647" w14:textId="77777777" w:rsidR="007A2A74" w:rsidRDefault="007A2A74" w:rsidP="00DC54F7">
      <w:pPr>
        <w:spacing w:after="0" w:line="240" w:lineRule="auto"/>
        <w:jc w:val="both"/>
        <w:rPr>
          <w:rFonts w:ascii="Arial" w:hAnsi="Arial" w:cs="Arial"/>
        </w:rPr>
      </w:pPr>
    </w:p>
    <w:p w14:paraId="5CB74511"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Health issues tend to be greater amongst the very young and the very old. The demography of Cardiff and the Vale of Glamorgan differ considerably. In general, Cardiff has a younger population while the Vale has a larger older age population more in line with the Wales average. In both areas, however, there is projected to be a continued increase in the number of people aged over 65, and over 85. </w:t>
      </w:r>
    </w:p>
    <w:p w14:paraId="7DE18001" w14:textId="77777777" w:rsidR="007A2A74" w:rsidRPr="00D11856" w:rsidRDefault="007A2A74" w:rsidP="00DC54F7">
      <w:pPr>
        <w:spacing w:after="0" w:line="240" w:lineRule="auto"/>
        <w:jc w:val="both"/>
        <w:rPr>
          <w:rFonts w:ascii="Arial" w:hAnsi="Arial" w:cs="Arial"/>
          <w:sz w:val="24"/>
          <w:szCs w:val="24"/>
        </w:rPr>
      </w:pPr>
    </w:p>
    <w:p w14:paraId="4EF8969B"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For older people:</w:t>
      </w:r>
    </w:p>
    <w:p w14:paraId="31B6960C" w14:textId="77777777" w:rsidR="007A2A74" w:rsidRDefault="007A2A74" w:rsidP="00DC54F7">
      <w:pPr>
        <w:spacing w:after="0" w:line="240" w:lineRule="auto"/>
        <w:jc w:val="both"/>
        <w:rPr>
          <w:rFonts w:ascii="Arial" w:hAnsi="Arial" w:cs="Arial"/>
        </w:rPr>
      </w:pPr>
    </w:p>
    <w:p w14:paraId="44A706C0" w14:textId="77777777" w:rsidR="007A2A74" w:rsidRPr="00D11856" w:rsidRDefault="007A2A74" w:rsidP="00DC54F7">
      <w:pPr>
        <w:numPr>
          <w:ilvl w:val="0"/>
          <w:numId w:val="122"/>
        </w:numPr>
        <w:spacing w:after="0" w:line="240" w:lineRule="auto"/>
        <w:ind w:left="360"/>
        <w:contextualSpacing/>
        <w:jc w:val="both"/>
        <w:rPr>
          <w:rFonts w:ascii="Arial" w:hAnsi="Arial" w:cs="Arial"/>
          <w:sz w:val="24"/>
          <w:szCs w:val="24"/>
        </w:rPr>
      </w:pPr>
      <w:r w:rsidRPr="00D11856">
        <w:rPr>
          <w:rFonts w:ascii="Arial" w:hAnsi="Arial" w:cs="Arial"/>
          <w:sz w:val="24"/>
          <w:szCs w:val="24"/>
        </w:rPr>
        <w:lastRenderedPageBreak/>
        <w:t xml:space="preserve">Age is the single biggest factor associated with having a long-term condition.  The number of people with two or more chronic illnesses is increasing, and as people age, they are more likely to experience multiple conditions at the same time (‘multi-morbidity’). </w:t>
      </w:r>
    </w:p>
    <w:p w14:paraId="56BADD06" w14:textId="77777777" w:rsidR="007A2A74" w:rsidRPr="00D11856" w:rsidRDefault="007A2A74" w:rsidP="00DC54F7">
      <w:pPr>
        <w:numPr>
          <w:ilvl w:val="0"/>
          <w:numId w:val="121"/>
        </w:numPr>
        <w:spacing w:after="0" w:line="240" w:lineRule="auto"/>
        <w:ind w:left="360"/>
        <w:jc w:val="both"/>
        <w:rPr>
          <w:rFonts w:ascii="Arial" w:hAnsi="Arial" w:cs="Arial"/>
          <w:sz w:val="24"/>
          <w:szCs w:val="24"/>
        </w:rPr>
      </w:pPr>
      <w:r w:rsidRPr="00D11856">
        <w:rPr>
          <w:rFonts w:ascii="Arial" w:hAnsi="Arial" w:cs="Arial"/>
          <w:sz w:val="24"/>
          <w:szCs w:val="24"/>
        </w:rPr>
        <w:t xml:space="preserve">Unhealthy behaviours are common in older people too, just as with the rest of the population. Behaviours such as smoking, excessive alcohol consumption, unhealthy diets and physical inactivity are major cause of long-term conditions. In particular, there is concern over significant numbers of older people who drink excessive alcohol. </w:t>
      </w:r>
    </w:p>
    <w:p w14:paraId="59BE10E3" w14:textId="77777777" w:rsidR="007A2A74" w:rsidRPr="00D11856" w:rsidRDefault="007A2A74" w:rsidP="00DC54F7">
      <w:pPr>
        <w:numPr>
          <w:ilvl w:val="0"/>
          <w:numId w:val="122"/>
        </w:numPr>
        <w:spacing w:after="0" w:line="240" w:lineRule="auto"/>
        <w:ind w:left="360"/>
        <w:contextualSpacing/>
        <w:jc w:val="both"/>
        <w:rPr>
          <w:rFonts w:ascii="Arial" w:hAnsi="Arial" w:cs="Arial"/>
          <w:sz w:val="24"/>
          <w:szCs w:val="24"/>
        </w:rPr>
      </w:pPr>
      <w:r w:rsidRPr="00D11856">
        <w:rPr>
          <w:rFonts w:ascii="Arial" w:hAnsi="Arial" w:cs="Arial"/>
          <w:sz w:val="24"/>
          <w:szCs w:val="24"/>
        </w:rPr>
        <w:t xml:space="preserve">Falls prevention is a key issue in the improvement of health and wellbeing amongst older people. Falls are a major cause of disability and death in older people in Wales, and result in significant human costs in terms of pain, loss of confidence and independence. It is estimated that between 230,000 and 460,000 people over the age of 60 fall in Wales each year. Between 11,500 and 45,900 of these suffer serious injury: fracture, head injury, or serious laceration. </w:t>
      </w:r>
      <w:r w:rsidRPr="00D11856">
        <w:rPr>
          <w:rStyle w:val="FootnoteReference"/>
          <w:rFonts w:ascii="Arial" w:hAnsi="Arial" w:cs="Arial"/>
          <w:sz w:val="24"/>
          <w:szCs w:val="24"/>
        </w:rPr>
        <w:footnoteReference w:id="27"/>
      </w:r>
    </w:p>
    <w:p w14:paraId="6B9AA8E8" w14:textId="22F30D32" w:rsidR="007A2A74" w:rsidRPr="00D11856" w:rsidRDefault="007A2A74" w:rsidP="00DC54F7">
      <w:pPr>
        <w:numPr>
          <w:ilvl w:val="0"/>
          <w:numId w:val="122"/>
        </w:numPr>
        <w:spacing w:after="0" w:line="240" w:lineRule="auto"/>
        <w:ind w:left="360"/>
        <w:contextualSpacing/>
        <w:jc w:val="both"/>
        <w:rPr>
          <w:rFonts w:ascii="Arial" w:hAnsi="Arial" w:cs="Arial"/>
          <w:sz w:val="24"/>
          <w:szCs w:val="24"/>
        </w:rPr>
      </w:pPr>
      <w:r w:rsidRPr="00D11856">
        <w:rPr>
          <w:rFonts w:ascii="Arial" w:hAnsi="Arial" w:cs="Arial"/>
          <w:sz w:val="24"/>
          <w:szCs w:val="24"/>
        </w:rPr>
        <w:t xml:space="preserve">Feeling lonely or unconnected to friends can have a very negative effect on well-being and health. </w:t>
      </w:r>
      <w:r w:rsidRPr="00D11856">
        <w:rPr>
          <w:rFonts w:ascii="Arial" w:hAnsi="Arial" w:cs="Arial"/>
          <w:sz w:val="24"/>
          <w:szCs w:val="24"/>
          <w:shd w:val="clear" w:color="auto" w:fill="FFFFFF"/>
        </w:rPr>
        <w:t xml:space="preserve">It is associated with poor mental health and conditions such as cardiovascular disease, hypertension and dementia. Loneliness also has a much wider public health impact too, as it is associated with a number of negative health outcomes including mortality, morbidity, depression and suicide. The lockdown restrictions imposed during the </w:t>
      </w:r>
      <w:r w:rsidR="00F60815" w:rsidRPr="00D11856">
        <w:rPr>
          <w:rFonts w:ascii="Arial" w:hAnsi="Arial" w:cs="Arial"/>
          <w:sz w:val="24"/>
          <w:szCs w:val="24"/>
          <w:shd w:val="clear" w:color="auto" w:fill="FFFFFF"/>
        </w:rPr>
        <w:t>Coronavirus (COVID-19)</w:t>
      </w:r>
      <w:r w:rsidRPr="00D11856">
        <w:rPr>
          <w:rFonts w:ascii="Arial" w:hAnsi="Arial" w:cs="Arial"/>
          <w:sz w:val="24"/>
          <w:szCs w:val="24"/>
          <w:shd w:val="clear" w:color="auto" w:fill="FFFFFF"/>
        </w:rPr>
        <w:t xml:space="preserve"> pandemic are likely to have exacerbated these issues across all age groups. </w:t>
      </w:r>
      <w:r w:rsidRPr="00D11856">
        <w:rPr>
          <w:rFonts w:ascii="Arial" w:hAnsi="Arial" w:cs="Arial"/>
          <w:sz w:val="24"/>
          <w:szCs w:val="24"/>
        </w:rPr>
        <w:t xml:space="preserve">Lonely people tend to make more use of health and social care services and are more likely to have early admission to residential or nursing care. Looking at different ways of making sure that older people stay in touch with the things that matter to them and that there are opportunities for older people to stay active and connected are important. </w:t>
      </w:r>
    </w:p>
    <w:p w14:paraId="274EC152" w14:textId="77777777" w:rsidR="007A2A74" w:rsidRPr="00D11856" w:rsidRDefault="007A2A74" w:rsidP="00DC54F7">
      <w:pPr>
        <w:pStyle w:val="ListParagraph"/>
        <w:numPr>
          <w:ilvl w:val="0"/>
          <w:numId w:val="121"/>
        </w:numPr>
        <w:spacing w:after="0" w:line="240" w:lineRule="auto"/>
        <w:ind w:left="360"/>
        <w:jc w:val="both"/>
        <w:rPr>
          <w:rFonts w:ascii="Arial" w:hAnsi="Arial" w:cs="Arial"/>
          <w:bCs/>
          <w:sz w:val="24"/>
          <w:szCs w:val="24"/>
          <w:lang w:val="en" w:eastAsia="en-GB"/>
        </w:rPr>
      </w:pPr>
      <w:r w:rsidRPr="00D11856">
        <w:rPr>
          <w:rFonts w:ascii="Arial" w:eastAsia="Times New Roman" w:hAnsi="Arial" w:cs="Arial"/>
          <w:color w:val="000000"/>
          <w:sz w:val="24"/>
          <w:szCs w:val="24"/>
          <w:lang w:eastAsia="en-GB"/>
        </w:rPr>
        <w:t>Information from the Census 2011 showed that in Cardiff and Vale University Health Board,</w:t>
      </w:r>
      <w:r w:rsidRPr="00D11856">
        <w:rPr>
          <w:rFonts w:ascii="Arial" w:hAnsi="Arial" w:cs="Arial"/>
          <w:bCs/>
          <w:sz w:val="24"/>
          <w:szCs w:val="24"/>
          <w:lang w:val="en" w:eastAsia="en-GB"/>
        </w:rPr>
        <w:t xml:space="preserve"> around 22,493 people aged 65 years and over live alone, around 11.5% of the population. In the Vale of Glamorgan, the percentage is higher at 13.2%. </w:t>
      </w:r>
      <w:r w:rsidRPr="00D11856">
        <w:rPr>
          <w:rFonts w:ascii="Arial" w:hAnsi="Arial" w:cs="Arial"/>
          <w:sz w:val="24"/>
          <w:szCs w:val="24"/>
          <w:shd w:val="clear" w:color="auto" w:fill="FFFFFF"/>
        </w:rPr>
        <w:t>Without the means to leave their homes, or with fewer visits from community workers and service providers, an increasing number of older people will feel lonely and isolated resulting in damaging effects to their mental health.</w:t>
      </w:r>
    </w:p>
    <w:p w14:paraId="135B3624" w14:textId="77777777" w:rsidR="007A2A74" w:rsidRPr="00D11856" w:rsidRDefault="007A2A74" w:rsidP="00DC54F7">
      <w:pPr>
        <w:numPr>
          <w:ilvl w:val="0"/>
          <w:numId w:val="121"/>
        </w:numPr>
        <w:spacing w:after="0" w:line="240" w:lineRule="auto"/>
        <w:ind w:left="360"/>
        <w:jc w:val="both"/>
        <w:rPr>
          <w:rFonts w:ascii="Arial" w:hAnsi="Arial" w:cs="Arial"/>
          <w:sz w:val="24"/>
          <w:szCs w:val="24"/>
        </w:rPr>
      </w:pPr>
      <w:r w:rsidRPr="00D11856">
        <w:rPr>
          <w:rFonts w:ascii="Arial" w:hAnsi="Arial" w:cs="Arial"/>
          <w:sz w:val="24"/>
          <w:szCs w:val="24"/>
        </w:rPr>
        <w:t>Depression is the most common mental health need for older people and prevalence rises with age. Women are more often diagnosed with depression than men. At any one time, around 10% to 15% of the over 65s population nationally will have depression and 25% will show symptoms of depression. The prevalence of depression among older people in acute hospitals is 29% and among those living in care homes is 40%. More severe depression is less common, affecting 3 to 5% of older people.</w:t>
      </w:r>
    </w:p>
    <w:p w14:paraId="2D38C444" w14:textId="77777777" w:rsidR="007A2A74" w:rsidRPr="00D11856" w:rsidRDefault="007A2A74" w:rsidP="00DC54F7">
      <w:pPr>
        <w:numPr>
          <w:ilvl w:val="0"/>
          <w:numId w:val="121"/>
        </w:numPr>
        <w:spacing w:after="0" w:line="240" w:lineRule="auto"/>
        <w:ind w:left="360"/>
        <w:jc w:val="both"/>
        <w:rPr>
          <w:rFonts w:ascii="Arial" w:hAnsi="Arial" w:cs="Arial"/>
          <w:sz w:val="24"/>
          <w:szCs w:val="24"/>
        </w:rPr>
      </w:pPr>
      <w:r w:rsidRPr="00D11856">
        <w:rPr>
          <w:rFonts w:ascii="Arial" w:hAnsi="Arial" w:cs="Arial"/>
          <w:sz w:val="24"/>
          <w:szCs w:val="24"/>
        </w:rPr>
        <w:t xml:space="preserve">The risk of developing dementia increases as you get older, and the condition usually occurs in people over the age of 65. A health needs assessment of people with dementia in Cardiff and Vale University Health Board highlighted that dementia has overtaken heart disease as the leading cause of death among women in England and Wales. There are estimated to be 5,000 people with dementia in Cardiff and the Vale of Glamorgan, nearly 6 in 10 (58%) of whom have a diagnosis. Due to a growing and ageing population this number is expected to </w:t>
      </w:r>
      <w:r w:rsidRPr="00D11856">
        <w:rPr>
          <w:rFonts w:ascii="Arial" w:hAnsi="Arial" w:cs="Arial"/>
          <w:sz w:val="24"/>
          <w:szCs w:val="24"/>
        </w:rPr>
        <w:lastRenderedPageBreak/>
        <w:t>increase to nearly 7,000 by 2025. One in five cases of dementia may be preventable with exercise, diet, diabetes prevention, and early treatment of depression.</w:t>
      </w:r>
      <w:r w:rsidRPr="00D11856">
        <w:rPr>
          <w:rStyle w:val="FootnoteReference"/>
          <w:rFonts w:ascii="Arial" w:hAnsi="Arial" w:cs="Arial"/>
          <w:sz w:val="24"/>
          <w:szCs w:val="24"/>
        </w:rPr>
        <w:footnoteReference w:id="28"/>
      </w:r>
    </w:p>
    <w:p w14:paraId="75CE3F97" w14:textId="77777777" w:rsidR="007A2A74" w:rsidRPr="00D11856" w:rsidRDefault="007A2A74" w:rsidP="00DC54F7">
      <w:pPr>
        <w:pStyle w:val="ListParagraph"/>
        <w:numPr>
          <w:ilvl w:val="0"/>
          <w:numId w:val="121"/>
        </w:numPr>
        <w:spacing w:after="0" w:line="240" w:lineRule="auto"/>
        <w:ind w:left="360"/>
        <w:jc w:val="both"/>
        <w:rPr>
          <w:rFonts w:ascii="Arial" w:eastAsia="Times New Roman" w:hAnsi="Arial" w:cs="Arial"/>
          <w:color w:val="000000"/>
          <w:sz w:val="24"/>
          <w:szCs w:val="24"/>
          <w:lang w:eastAsia="en-GB"/>
        </w:rPr>
      </w:pPr>
      <w:r w:rsidRPr="00D11856">
        <w:rPr>
          <w:rFonts w:ascii="Arial" w:eastAsia="Times New Roman" w:hAnsi="Arial" w:cs="Arial"/>
          <w:color w:val="000000"/>
          <w:sz w:val="24"/>
          <w:szCs w:val="24"/>
          <w:lang w:eastAsia="en-GB"/>
        </w:rPr>
        <w:t>The older you are, the greater your risk of sight loss. One in five people aged 75 and over are living with sight loss.</w:t>
      </w:r>
    </w:p>
    <w:p w14:paraId="046A6A5D" w14:textId="77777777" w:rsidR="007A2A74" w:rsidRPr="00D11856" w:rsidRDefault="007A2A74" w:rsidP="00DC54F7">
      <w:pPr>
        <w:spacing w:after="0" w:line="240" w:lineRule="auto"/>
        <w:jc w:val="both"/>
        <w:rPr>
          <w:rFonts w:ascii="Arial" w:hAnsi="Arial" w:cs="Arial"/>
          <w:sz w:val="24"/>
          <w:szCs w:val="24"/>
        </w:rPr>
      </w:pPr>
    </w:p>
    <w:p w14:paraId="017F117C"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For young people:</w:t>
      </w:r>
    </w:p>
    <w:p w14:paraId="02CE6F28" w14:textId="77777777" w:rsidR="007A2A74" w:rsidRPr="00D11856" w:rsidRDefault="007A2A74" w:rsidP="00DC54F7">
      <w:pPr>
        <w:spacing w:after="0" w:line="240" w:lineRule="auto"/>
        <w:jc w:val="both"/>
        <w:rPr>
          <w:rFonts w:ascii="Arial" w:hAnsi="Arial" w:cs="Arial"/>
          <w:sz w:val="24"/>
          <w:szCs w:val="24"/>
        </w:rPr>
      </w:pPr>
    </w:p>
    <w:p w14:paraId="448B1258" w14:textId="77777777" w:rsidR="007A2A74" w:rsidRPr="00D11856" w:rsidRDefault="007A2A74" w:rsidP="00DC54F7">
      <w:pPr>
        <w:pStyle w:val="ListParagraph"/>
        <w:numPr>
          <w:ilvl w:val="0"/>
          <w:numId w:val="134"/>
        </w:numPr>
        <w:spacing w:after="0" w:line="240" w:lineRule="auto"/>
        <w:ind w:left="360"/>
        <w:jc w:val="both"/>
        <w:rPr>
          <w:rFonts w:ascii="Arial" w:hAnsi="Arial" w:cs="Arial"/>
          <w:sz w:val="24"/>
          <w:szCs w:val="24"/>
        </w:rPr>
      </w:pPr>
      <w:r w:rsidRPr="00D11856">
        <w:rPr>
          <w:rFonts w:ascii="Arial" w:hAnsi="Arial" w:cs="Arial"/>
          <w:sz w:val="24"/>
          <w:szCs w:val="24"/>
        </w:rPr>
        <w:t>There is evidence that the first one thousand days of life (this includes before the child is born, up until they are two years old) have a significant effect on the rest of the child’s life. As Cymru Well Wales has explained it; “these years have a long-lasting impact on individuals and families. They shape the destiny for children as they grow up: their educational achievements, their ability to secure an income, their influences on their own children, and their health in older age.”</w:t>
      </w:r>
      <w:r w:rsidRPr="00D11856">
        <w:rPr>
          <w:rStyle w:val="FootnoteReference"/>
          <w:rFonts w:ascii="Arial" w:hAnsi="Arial" w:cs="Arial"/>
          <w:sz w:val="24"/>
          <w:szCs w:val="24"/>
        </w:rPr>
        <w:footnoteReference w:id="29"/>
      </w:r>
      <w:r w:rsidRPr="00D11856">
        <w:rPr>
          <w:rFonts w:ascii="Arial" w:hAnsi="Arial" w:cs="Arial"/>
          <w:sz w:val="24"/>
          <w:szCs w:val="24"/>
        </w:rPr>
        <w:t xml:space="preserve"> </w:t>
      </w:r>
    </w:p>
    <w:p w14:paraId="264BA3E1" w14:textId="77777777" w:rsidR="007A2A74" w:rsidRPr="00D11856" w:rsidRDefault="007A2A74" w:rsidP="00DC54F7">
      <w:pPr>
        <w:numPr>
          <w:ilvl w:val="0"/>
          <w:numId w:val="123"/>
        </w:numPr>
        <w:spacing w:after="0" w:line="240" w:lineRule="auto"/>
        <w:ind w:left="360"/>
        <w:jc w:val="both"/>
        <w:rPr>
          <w:rFonts w:ascii="Arial" w:hAnsi="Arial" w:cs="Arial"/>
          <w:sz w:val="24"/>
          <w:szCs w:val="24"/>
        </w:rPr>
      </w:pPr>
      <w:r w:rsidRPr="00D11856">
        <w:rPr>
          <w:rFonts w:ascii="Arial" w:hAnsi="Arial" w:cs="Arial"/>
          <w:sz w:val="24"/>
          <w:szCs w:val="24"/>
        </w:rPr>
        <w:t>Children born into poverty are more likely to be adults with poor health than those born into affluence.</w:t>
      </w:r>
    </w:p>
    <w:p w14:paraId="3EDABB2A" w14:textId="77777777" w:rsidR="007A2A74" w:rsidRPr="00D11856" w:rsidRDefault="007A2A74" w:rsidP="00DC54F7">
      <w:pPr>
        <w:numPr>
          <w:ilvl w:val="0"/>
          <w:numId w:val="123"/>
        </w:numPr>
        <w:spacing w:after="0" w:line="240" w:lineRule="auto"/>
        <w:ind w:left="360"/>
        <w:jc w:val="both"/>
        <w:rPr>
          <w:rFonts w:ascii="Arial" w:hAnsi="Arial" w:cs="Arial"/>
          <w:sz w:val="24"/>
          <w:szCs w:val="24"/>
        </w:rPr>
      </w:pPr>
      <w:r w:rsidRPr="00D11856">
        <w:rPr>
          <w:rFonts w:ascii="Arial" w:hAnsi="Arial" w:cs="Arial"/>
          <w:sz w:val="24"/>
          <w:szCs w:val="24"/>
        </w:rPr>
        <w:t>The importance of breast feeding is well evidenced to provide health benefits for both mother and baby and to promote attachment; however, young mothers are among the groups least likely to breast feed.</w:t>
      </w:r>
    </w:p>
    <w:p w14:paraId="684B1E96" w14:textId="77777777" w:rsidR="007A2A74" w:rsidRPr="00D11856" w:rsidRDefault="007A2A74" w:rsidP="00DC54F7">
      <w:pPr>
        <w:numPr>
          <w:ilvl w:val="0"/>
          <w:numId w:val="123"/>
        </w:numPr>
        <w:spacing w:after="0" w:line="240" w:lineRule="auto"/>
        <w:ind w:left="360"/>
        <w:jc w:val="both"/>
        <w:rPr>
          <w:rFonts w:ascii="Arial" w:hAnsi="Arial" w:cs="Arial"/>
          <w:sz w:val="24"/>
          <w:szCs w:val="24"/>
        </w:rPr>
      </w:pPr>
      <w:r w:rsidRPr="00D11856">
        <w:rPr>
          <w:rFonts w:ascii="Arial" w:hAnsi="Arial" w:cs="Arial"/>
          <w:sz w:val="24"/>
          <w:szCs w:val="24"/>
        </w:rPr>
        <w:t xml:space="preserve">Being born to a mother who is obese and smokes throughout pregnancy, puts a baby at greater risk of developing unhealthy lifestyle behaviours in the future and serious chronic conditions. This will impact on their quality of life and life expectancy. </w:t>
      </w:r>
    </w:p>
    <w:p w14:paraId="24E142A6" w14:textId="77777777" w:rsidR="007A2A74" w:rsidRPr="00D11856" w:rsidRDefault="007A2A74" w:rsidP="00DC54F7">
      <w:pPr>
        <w:numPr>
          <w:ilvl w:val="0"/>
          <w:numId w:val="123"/>
        </w:numPr>
        <w:spacing w:after="0" w:line="240" w:lineRule="auto"/>
        <w:ind w:left="360"/>
        <w:jc w:val="both"/>
        <w:rPr>
          <w:rFonts w:ascii="Arial" w:hAnsi="Arial" w:cs="Arial"/>
          <w:sz w:val="24"/>
          <w:szCs w:val="24"/>
        </w:rPr>
      </w:pPr>
      <w:r w:rsidRPr="00D11856">
        <w:rPr>
          <w:rFonts w:ascii="Arial" w:hAnsi="Arial" w:cs="Arial"/>
          <w:sz w:val="24"/>
          <w:szCs w:val="24"/>
        </w:rPr>
        <w:t>Adverse Childhood Experiences (ACEs) are stressful experiences occurring during childhood that directly harm a child (e.g., sexual or physical abuse) or affect the environment in which they live (e.g., growing up in a house with domestic violence). Nearly half (47%) of adults in Wales experienced at least one ACE during childhood, and 14% suffered 4 or more. Compared to people with no ACEs, people with 4 or more ACEs are 6 times more likely to smoke; 6 times more likely to have had underage sex; 15 times more likely to have committed violence against another person in the previous year; 16 times more likely to have used heroin or crack cocaine; and 20 times more likely to be incarcerated during their lifetime. In Wales, a quarter (23%) of adults were exposed to verbal abuse as a child; a fifth (20%) to parental separation; 17% to physical abuse; 16% to domestic violence; 14% to mental illness; 14% to alcohol abuse; 10% to sexual abuse; and 5% each to drug use or incarceration of a parent. ’Trauma-informed’ services can provide a supportive environment for people who have experienced ACEs, encouraging engagement and improved management of conditions.</w:t>
      </w:r>
    </w:p>
    <w:p w14:paraId="70C6B231" w14:textId="77777777" w:rsidR="007A2A74" w:rsidRPr="00D11856" w:rsidRDefault="007A2A74" w:rsidP="00DC54F7">
      <w:pPr>
        <w:numPr>
          <w:ilvl w:val="0"/>
          <w:numId w:val="123"/>
        </w:numPr>
        <w:spacing w:after="0" w:line="240" w:lineRule="auto"/>
        <w:ind w:left="360"/>
        <w:jc w:val="both"/>
        <w:rPr>
          <w:rFonts w:ascii="Arial" w:hAnsi="Arial" w:cs="Arial"/>
          <w:sz w:val="24"/>
          <w:szCs w:val="24"/>
        </w:rPr>
      </w:pPr>
      <w:r w:rsidRPr="00D11856">
        <w:rPr>
          <w:rFonts w:ascii="Arial" w:hAnsi="Arial" w:cs="Arial"/>
          <w:sz w:val="24"/>
          <w:szCs w:val="24"/>
        </w:rPr>
        <w:t>Teenage years are also important and there is strong evidence that teenage lifestyle behaviours impact on future longer-term health and social care outcomes. Many children are developing unhealthy behaviours in terms of physical activity and diet. Over a quarter of children in Wales are overweight or obese, including 12.4% who are obese. 40% of adult smokers started smoking regularly before the age of 16.</w:t>
      </w:r>
    </w:p>
    <w:p w14:paraId="11AF047B" w14:textId="77777777" w:rsidR="007A2A74" w:rsidRPr="00D11856" w:rsidRDefault="007A2A74" w:rsidP="00DC54F7">
      <w:pPr>
        <w:numPr>
          <w:ilvl w:val="0"/>
          <w:numId w:val="123"/>
        </w:numPr>
        <w:spacing w:after="0" w:line="240" w:lineRule="auto"/>
        <w:ind w:left="360"/>
        <w:jc w:val="both"/>
        <w:rPr>
          <w:rFonts w:ascii="Arial" w:hAnsi="Arial" w:cs="Arial"/>
          <w:sz w:val="24"/>
          <w:szCs w:val="24"/>
        </w:rPr>
      </w:pPr>
      <w:r w:rsidRPr="00D11856">
        <w:rPr>
          <w:rFonts w:ascii="Arial" w:hAnsi="Arial" w:cs="Arial"/>
          <w:sz w:val="24"/>
          <w:szCs w:val="24"/>
        </w:rPr>
        <w:lastRenderedPageBreak/>
        <w:t>Untreated sexually transmitted infections can have a longer-term health impact including infertility. Young people’s sexual behaviour may also lead to unplanned pregnancy which has significant health risks and damages the longer-term health and life chances of both</w:t>
      </w:r>
      <w:r w:rsidRPr="00FB4D55">
        <w:rPr>
          <w:rFonts w:ascii="Arial" w:hAnsi="Arial" w:cs="Arial"/>
        </w:rPr>
        <w:t xml:space="preserve"> </w:t>
      </w:r>
      <w:r w:rsidRPr="00C84145">
        <w:rPr>
          <w:rFonts w:ascii="Arial" w:hAnsi="Arial" w:cs="Arial"/>
          <w:sz w:val="24"/>
          <w:szCs w:val="24"/>
        </w:rPr>
        <w:t>mothers and babies. Teenage pregnancies, while falling in Cardiff, remain above the Wales average. Teenage pregnancies in the Vale of Glamorgan are below the average</w:t>
      </w:r>
      <w:r w:rsidRPr="00D11856">
        <w:rPr>
          <w:rFonts w:ascii="Arial" w:hAnsi="Arial" w:cs="Arial"/>
          <w:sz w:val="24"/>
          <w:szCs w:val="24"/>
        </w:rPr>
        <w:t>.</w:t>
      </w:r>
    </w:p>
    <w:p w14:paraId="024B8DC5" w14:textId="77777777" w:rsidR="007A2A74" w:rsidRPr="00D11856" w:rsidRDefault="007A2A74" w:rsidP="00DC54F7">
      <w:pPr>
        <w:numPr>
          <w:ilvl w:val="0"/>
          <w:numId w:val="123"/>
        </w:numPr>
        <w:spacing w:after="0" w:line="240" w:lineRule="auto"/>
        <w:ind w:left="360"/>
        <w:jc w:val="both"/>
        <w:rPr>
          <w:rFonts w:ascii="Arial" w:hAnsi="Arial" w:cs="Arial"/>
          <w:sz w:val="24"/>
          <w:szCs w:val="24"/>
        </w:rPr>
      </w:pPr>
      <w:r w:rsidRPr="00D11856">
        <w:rPr>
          <w:rFonts w:ascii="Arial" w:hAnsi="Arial" w:cs="Arial"/>
          <w:sz w:val="24"/>
          <w:szCs w:val="24"/>
        </w:rPr>
        <w:t>Furthermore, it is known that low birth weight can be linked to teenage pregnancy and mothers who smoke while pregnant. To reduce the risk of babies being born early, with a low birth weight, and the risk of disabilities that this brings, it is important that help is available to those who may be at risk.</w:t>
      </w:r>
    </w:p>
    <w:p w14:paraId="278A830D" w14:textId="77777777" w:rsidR="007A2A74" w:rsidRPr="00D11856" w:rsidRDefault="007A2A74" w:rsidP="00DC54F7">
      <w:pPr>
        <w:pStyle w:val="ListParagraph"/>
        <w:numPr>
          <w:ilvl w:val="0"/>
          <w:numId w:val="123"/>
        </w:numPr>
        <w:spacing w:after="0" w:line="240" w:lineRule="auto"/>
        <w:ind w:left="354" w:hanging="357"/>
        <w:jc w:val="both"/>
        <w:rPr>
          <w:rFonts w:ascii="Arial" w:hAnsi="Arial" w:cs="Arial"/>
          <w:sz w:val="24"/>
          <w:szCs w:val="24"/>
        </w:rPr>
      </w:pPr>
      <w:r w:rsidRPr="00D11856">
        <w:rPr>
          <w:rFonts w:ascii="Arial" w:hAnsi="Arial" w:cs="Arial"/>
          <w:sz w:val="24"/>
          <w:szCs w:val="24"/>
        </w:rPr>
        <w:t>Around 50% of lifetime mental illness starts by the age of 14. Children and young people who are at greater risk of mental health problems include those going through family breakdown; those in the Looked After System and those showing behavioural problems; and children who have experienced trauma.</w:t>
      </w:r>
    </w:p>
    <w:p w14:paraId="07D26451" w14:textId="77777777" w:rsidR="007A2A74" w:rsidRPr="00D11856" w:rsidRDefault="007A2A74" w:rsidP="00DC54F7">
      <w:pPr>
        <w:pStyle w:val="ListParagraph"/>
        <w:numPr>
          <w:ilvl w:val="0"/>
          <w:numId w:val="123"/>
        </w:numPr>
        <w:spacing w:after="0" w:line="240" w:lineRule="auto"/>
        <w:ind w:left="354" w:hanging="357"/>
        <w:jc w:val="both"/>
        <w:rPr>
          <w:rFonts w:ascii="Arial" w:hAnsi="Arial" w:cs="Arial"/>
          <w:sz w:val="24"/>
          <w:szCs w:val="24"/>
        </w:rPr>
      </w:pPr>
      <w:r w:rsidRPr="00D11856">
        <w:rPr>
          <w:rFonts w:ascii="Arial" w:hAnsi="Arial" w:cs="Arial"/>
          <w:sz w:val="24"/>
          <w:szCs w:val="24"/>
        </w:rPr>
        <w:t>The number of people aged 15 and under with a long-term illness is predicted to increase significantly over the next 20 years, with a period of particularly high growth starting in 2020. A similar increase is projected for rates of severe disability in Cardiff. The rates of both long-term illness and severe disability in the Vale of Glamorgan are projected to be stable.</w:t>
      </w:r>
    </w:p>
    <w:p w14:paraId="2D5F32B2" w14:textId="77777777" w:rsidR="007A2A74" w:rsidRPr="00D11856" w:rsidRDefault="007A2A74" w:rsidP="00DC54F7">
      <w:pPr>
        <w:numPr>
          <w:ilvl w:val="0"/>
          <w:numId w:val="123"/>
        </w:numPr>
        <w:spacing w:after="0" w:line="240" w:lineRule="auto"/>
        <w:ind w:left="354" w:hanging="357"/>
        <w:jc w:val="both"/>
        <w:rPr>
          <w:rFonts w:ascii="Arial" w:hAnsi="Arial" w:cs="Arial"/>
          <w:sz w:val="24"/>
          <w:szCs w:val="24"/>
        </w:rPr>
      </w:pPr>
      <w:r w:rsidRPr="00D11856">
        <w:rPr>
          <w:rFonts w:ascii="Arial" w:hAnsi="Arial" w:cs="Arial"/>
          <w:sz w:val="24"/>
          <w:szCs w:val="24"/>
        </w:rPr>
        <w:t>Influencing positive health behaviours in teenagers will impact on health outcomes for young people and on future demand for a wide range of services by adults.</w:t>
      </w:r>
    </w:p>
    <w:p w14:paraId="3828A424" w14:textId="77777777" w:rsidR="007A2A74" w:rsidRPr="00C84145" w:rsidRDefault="007A2A74" w:rsidP="00DC54F7">
      <w:pPr>
        <w:spacing w:after="0" w:line="240" w:lineRule="auto"/>
        <w:jc w:val="both"/>
        <w:rPr>
          <w:rFonts w:ascii="Arial" w:hAnsi="Arial" w:cs="Arial"/>
          <w:b/>
        </w:rPr>
      </w:pPr>
    </w:p>
    <w:p w14:paraId="0A2DCBE1" w14:textId="77777777" w:rsidR="007A2A74" w:rsidRDefault="007A2A74" w:rsidP="00DC54F7">
      <w:pPr>
        <w:spacing w:after="0" w:line="240" w:lineRule="auto"/>
        <w:jc w:val="both"/>
        <w:rPr>
          <w:rFonts w:ascii="Verdana" w:hAnsi="Verdana" w:cs="Arial"/>
          <w:b/>
          <w:sz w:val="26"/>
          <w:szCs w:val="26"/>
        </w:rPr>
      </w:pPr>
    </w:p>
    <w:p w14:paraId="4B6AF8DE" w14:textId="77777777" w:rsidR="007A2A74" w:rsidRPr="00203525" w:rsidRDefault="007A2A74" w:rsidP="00DC54F7">
      <w:pPr>
        <w:spacing w:after="0" w:line="240" w:lineRule="auto"/>
        <w:jc w:val="both"/>
        <w:rPr>
          <w:rFonts w:ascii="Arial" w:hAnsi="Arial" w:cs="Arial"/>
          <w:b/>
          <w:sz w:val="26"/>
          <w:szCs w:val="26"/>
        </w:rPr>
      </w:pPr>
      <w:r w:rsidRPr="00203525">
        <w:rPr>
          <w:rFonts w:ascii="Arial" w:hAnsi="Arial" w:cs="Arial"/>
          <w:b/>
          <w:sz w:val="26"/>
          <w:szCs w:val="26"/>
        </w:rPr>
        <w:t>4.2 Disability</w:t>
      </w:r>
      <w:r>
        <w:rPr>
          <w:rFonts w:ascii="Arial" w:hAnsi="Arial" w:cs="Arial"/>
          <w:bCs/>
          <w:sz w:val="26"/>
          <w:szCs w:val="26"/>
          <w:vertAlign w:val="superscript"/>
        </w:rPr>
        <w:t xml:space="preserve"> </w:t>
      </w:r>
      <w:r w:rsidRPr="00954D6E">
        <w:rPr>
          <w:rStyle w:val="FootnoteReference"/>
          <w:rFonts w:ascii="Arial" w:hAnsi="Arial" w:cs="Arial"/>
          <w:bCs/>
        </w:rPr>
        <w:footnoteReference w:id="30"/>
      </w:r>
      <w:r w:rsidRPr="00954D6E">
        <w:rPr>
          <w:rFonts w:ascii="Arial" w:hAnsi="Arial" w:cs="Arial"/>
          <w:bCs/>
          <w:vertAlign w:val="superscript"/>
        </w:rPr>
        <w:t>,</w:t>
      </w:r>
      <w:r w:rsidRPr="00954D6E">
        <w:rPr>
          <w:rStyle w:val="FootnoteReference"/>
          <w:rFonts w:ascii="Arial" w:hAnsi="Arial" w:cs="Arial"/>
          <w:bCs/>
        </w:rPr>
        <w:footnoteReference w:id="31"/>
      </w:r>
    </w:p>
    <w:p w14:paraId="61DA3B6E" w14:textId="77777777" w:rsidR="007A2A74" w:rsidRDefault="007A2A74" w:rsidP="00DC54F7">
      <w:pPr>
        <w:spacing w:after="0" w:line="240" w:lineRule="auto"/>
        <w:jc w:val="both"/>
        <w:rPr>
          <w:rFonts w:ascii="Verdana" w:hAnsi="Verdana" w:cs="Arial"/>
          <w:b/>
          <w:sz w:val="26"/>
          <w:szCs w:val="26"/>
        </w:rPr>
      </w:pPr>
    </w:p>
    <w:p w14:paraId="0C26E28D" w14:textId="77777777" w:rsidR="007A2A74" w:rsidRPr="00D11856" w:rsidRDefault="007A2A74" w:rsidP="00DC54F7">
      <w:pPr>
        <w:spacing w:after="0" w:line="240" w:lineRule="auto"/>
        <w:jc w:val="both"/>
        <w:rPr>
          <w:rFonts w:ascii="Arial" w:hAnsi="Arial" w:cs="Arial"/>
          <w:b/>
          <w:sz w:val="24"/>
          <w:szCs w:val="24"/>
          <w:lang w:val="en" w:eastAsia="en-GB"/>
        </w:rPr>
      </w:pPr>
      <w:r w:rsidRPr="00D11856">
        <w:rPr>
          <w:rFonts w:ascii="Arial" w:hAnsi="Arial" w:cs="Arial"/>
          <w:sz w:val="24"/>
          <w:szCs w:val="24"/>
        </w:rPr>
        <w:t xml:space="preserve">Between 2018 and 2020, 7.8% of adults in Cardiff and 7.1% in the Vale of Glamorgan self-reported being in ‘bad or very bad’ health. Around a third of people (33.4%) in the health board’s area reported having an illness which limited their day-to-day activities.  </w:t>
      </w:r>
    </w:p>
    <w:p w14:paraId="4ACDEACD" w14:textId="77777777" w:rsidR="007A2A74" w:rsidRPr="00D11856" w:rsidRDefault="007A2A74" w:rsidP="00DC54F7">
      <w:pPr>
        <w:spacing w:after="0" w:line="240" w:lineRule="auto"/>
        <w:jc w:val="both"/>
        <w:rPr>
          <w:rFonts w:ascii="Arial" w:hAnsi="Arial" w:cs="Arial"/>
          <w:sz w:val="24"/>
          <w:szCs w:val="24"/>
        </w:rPr>
      </w:pPr>
    </w:p>
    <w:p w14:paraId="58B5A16C"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Sensory impairment is reduced or loss of sight, hearing or both. A disability may be present from birth or occur during a person's lifetime. In 2020, there were an estimated 10,700 people (2.8% prevalence) living with some degree of sight loss in Cardiff, and 5,210 people (4% prevalence) in the Vale of Glamorgan. This is expected to increase over the next five years. </w:t>
      </w:r>
    </w:p>
    <w:p w14:paraId="4AFE9C1A" w14:textId="77777777" w:rsidR="007A2A74" w:rsidRPr="00D11856" w:rsidRDefault="007A2A74" w:rsidP="00DC54F7">
      <w:pPr>
        <w:spacing w:after="0" w:line="240" w:lineRule="auto"/>
        <w:jc w:val="both"/>
        <w:rPr>
          <w:rFonts w:ascii="Arial" w:hAnsi="Arial" w:cs="Arial"/>
          <w:sz w:val="24"/>
          <w:szCs w:val="24"/>
        </w:rPr>
      </w:pPr>
    </w:p>
    <w:p w14:paraId="24B7728E"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The most common sight threatening conditions include age-related macular degeneration (AMD), cataract, glaucoma and diabetic retinopathy. In 2020, the estimated number of people with these conditions were 13,500 in Cardiff and 6,850 in the Vale of Glamorgan. Both areas are predicted to see a 16% increase by 2030, higher than the average for Wales. </w:t>
      </w:r>
    </w:p>
    <w:p w14:paraId="2CB274A6" w14:textId="77777777" w:rsidR="007A2A74" w:rsidRPr="00D11856" w:rsidRDefault="007A2A74" w:rsidP="00DC54F7">
      <w:pPr>
        <w:spacing w:after="0" w:line="240" w:lineRule="auto"/>
        <w:jc w:val="both"/>
        <w:rPr>
          <w:rFonts w:ascii="Arial" w:hAnsi="Arial" w:cs="Arial"/>
          <w:sz w:val="24"/>
          <w:szCs w:val="24"/>
        </w:rPr>
      </w:pPr>
    </w:p>
    <w:p w14:paraId="5531CD95"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Sight loss can be linked to poor health and other health conditions. People are also more likely to experience a stroke as they get older which can result in sight loss or visual dysfunction. Certain risk factors can also increase the chance of sight loss.  For example, smoking can double the risk of AMD and obesity increases the risk of </w:t>
      </w:r>
      <w:r w:rsidRPr="00D11856">
        <w:rPr>
          <w:rFonts w:ascii="Arial" w:hAnsi="Arial" w:cs="Arial"/>
          <w:sz w:val="24"/>
          <w:szCs w:val="24"/>
        </w:rPr>
        <w:lastRenderedPageBreak/>
        <w:t>developing diabetes which can cause sight loss. Falls are more common and more likely to have serious outcomes amongst older people and can be directly caused by sight loss.</w:t>
      </w:r>
      <w:r w:rsidRPr="00D11856">
        <w:rPr>
          <w:rFonts w:ascii="Arial" w:hAnsi="Arial" w:cs="Arial"/>
          <w:sz w:val="24"/>
          <w:szCs w:val="24"/>
        </w:rPr>
        <w:tab/>
        <w:t xml:space="preserve">It is estimated 45 severe falls each year are directly attributable to sight loss in Cardiff, and 25 in the Vale of Glamorgan. </w:t>
      </w:r>
    </w:p>
    <w:p w14:paraId="72A8BFB1" w14:textId="7C0DDED1" w:rsidR="007A2A74" w:rsidRPr="00D11856" w:rsidRDefault="007A2A74" w:rsidP="00DC54F7">
      <w:pPr>
        <w:spacing w:after="0" w:line="240" w:lineRule="auto"/>
        <w:jc w:val="both"/>
        <w:rPr>
          <w:rFonts w:ascii="Arial" w:hAnsi="Arial" w:cs="Arial"/>
          <w:sz w:val="24"/>
          <w:szCs w:val="24"/>
        </w:rPr>
      </w:pPr>
    </w:p>
    <w:p w14:paraId="4ECEDF16"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It is estimated (2020) that 33,000 people have a moderate or severe hearing impairment in Cardiff, and 16,500 in the Vale of Glamorgan and 2,080 people are living with dual sensory loss (i.e., sight and hearing) of any severity in Cardiff, and 990 in the Vale of Glamorgan. </w:t>
      </w:r>
    </w:p>
    <w:p w14:paraId="71513D82" w14:textId="3B2A011F" w:rsidR="007A2A74" w:rsidRPr="00D11856" w:rsidRDefault="007A2A74" w:rsidP="00DC54F7">
      <w:pPr>
        <w:spacing w:after="0" w:line="240" w:lineRule="auto"/>
        <w:jc w:val="both"/>
        <w:rPr>
          <w:rFonts w:ascii="Arial" w:hAnsi="Arial" w:cs="Arial"/>
          <w:sz w:val="24"/>
          <w:szCs w:val="24"/>
        </w:rPr>
      </w:pPr>
    </w:p>
    <w:p w14:paraId="54B1A15B"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In 2018 to 2019, there were 1,389 people registered with a learning disability in Cardiff and 496 people in the Vale of Glamorgan</w:t>
      </w:r>
      <w:r w:rsidRPr="00D11856">
        <w:rPr>
          <w:rStyle w:val="FootnoteReference"/>
          <w:rFonts w:ascii="Arial" w:hAnsi="Arial" w:cs="Arial"/>
          <w:sz w:val="24"/>
          <w:szCs w:val="24"/>
        </w:rPr>
        <w:footnoteReference w:id="32"/>
      </w:r>
      <w:r w:rsidRPr="00D11856">
        <w:rPr>
          <w:rFonts w:ascii="Arial" w:hAnsi="Arial" w:cs="Arial"/>
          <w:sz w:val="24"/>
          <w:szCs w:val="24"/>
        </w:rPr>
        <w:t>. People with learning disabilities are more likely to develop both physical and mental health problems when compared with the general population. For example, there is a high prevalence of dementia in people with Down's syndrome.</w:t>
      </w:r>
      <w:r w:rsidRPr="00D11856">
        <w:rPr>
          <w:sz w:val="24"/>
          <w:szCs w:val="24"/>
        </w:rPr>
        <w:t xml:space="preserve"> </w:t>
      </w:r>
      <w:r w:rsidRPr="00D11856">
        <w:rPr>
          <w:rFonts w:ascii="Arial" w:hAnsi="Arial" w:cs="Arial"/>
          <w:sz w:val="24"/>
          <w:szCs w:val="24"/>
        </w:rPr>
        <w:t xml:space="preserve">Research suggests people with learning disabilities are 58 times more likely to die before the age of 50. They are also more likely to have diabetes, sensory impairments, mental health problems or epilepsy and to have an increased mortality from conditions associated with their learning conditions.  People with learning disabilities may also have poorer health resulting from lifestyle issues such as diet and exercise for which they have not received enough advice and support. </w:t>
      </w:r>
      <w:r w:rsidRPr="00D11856">
        <w:rPr>
          <w:rStyle w:val="FootnoteReference"/>
          <w:rFonts w:ascii="Arial" w:hAnsi="Arial" w:cs="Arial"/>
          <w:bCs/>
          <w:sz w:val="24"/>
          <w:szCs w:val="24"/>
        </w:rPr>
        <w:footnoteReference w:id="33"/>
      </w:r>
    </w:p>
    <w:p w14:paraId="3D880716" w14:textId="77777777" w:rsidR="007A2A74" w:rsidRPr="00D11856" w:rsidRDefault="007A2A74" w:rsidP="00DC54F7">
      <w:pPr>
        <w:spacing w:after="0" w:line="240" w:lineRule="auto"/>
        <w:jc w:val="both"/>
        <w:rPr>
          <w:rFonts w:ascii="Arial" w:hAnsi="Arial" w:cs="Arial"/>
          <w:sz w:val="24"/>
          <w:szCs w:val="24"/>
        </w:rPr>
      </w:pPr>
    </w:p>
    <w:p w14:paraId="2684A778"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People with learning disabilities are now living longer and a significant increase is projected in the number of older people with learning disability in both Cardiff and the Vale of Glamorgan. Older people with a learning disability need more support to age well, to remain active and healthy for as long as possible. </w:t>
      </w:r>
    </w:p>
    <w:p w14:paraId="4A195D37" w14:textId="77777777" w:rsidR="007A2A74" w:rsidRPr="00D11856" w:rsidRDefault="007A2A74" w:rsidP="00DC54F7">
      <w:pPr>
        <w:spacing w:after="0" w:line="240" w:lineRule="auto"/>
        <w:jc w:val="both"/>
        <w:rPr>
          <w:rFonts w:ascii="Arial" w:hAnsi="Arial" w:cs="Arial"/>
          <w:sz w:val="24"/>
          <w:szCs w:val="24"/>
        </w:rPr>
      </w:pPr>
    </w:p>
    <w:p w14:paraId="4A19F0C7"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Increases are also projected in the number of children and young people with learning difficulty or autism spectrum disorder. </w:t>
      </w:r>
    </w:p>
    <w:p w14:paraId="6036EE6A" w14:textId="77777777" w:rsidR="007A2A74" w:rsidRPr="00D11856" w:rsidRDefault="007A2A74" w:rsidP="00DC54F7">
      <w:pPr>
        <w:spacing w:after="0" w:line="240" w:lineRule="auto"/>
        <w:jc w:val="both"/>
        <w:rPr>
          <w:rFonts w:ascii="Arial" w:hAnsi="Arial" w:cs="Arial"/>
          <w:sz w:val="24"/>
          <w:szCs w:val="24"/>
        </w:rPr>
      </w:pPr>
    </w:p>
    <w:p w14:paraId="36653678" w14:textId="77777777" w:rsidR="007A2A74" w:rsidRPr="00D11856" w:rsidRDefault="007A2A74" w:rsidP="00DC54F7">
      <w:pPr>
        <w:spacing w:after="0" w:line="240" w:lineRule="auto"/>
        <w:jc w:val="both"/>
        <w:rPr>
          <w:rFonts w:ascii="Arial" w:hAnsi="Arial" w:cs="Arial"/>
          <w:b/>
          <w:sz w:val="24"/>
          <w:szCs w:val="24"/>
        </w:rPr>
      </w:pPr>
      <w:r w:rsidRPr="00D11856">
        <w:rPr>
          <w:rFonts w:ascii="Arial" w:hAnsi="Arial" w:cs="Arial"/>
          <w:sz w:val="24"/>
          <w:szCs w:val="24"/>
        </w:rPr>
        <w:t>Social isolation and feeling lonely is an issue for people with disabilities including physical disabilities, sensory impairment and people with learning disabilities. Access to accessible communication and information, including on services available, is required.</w:t>
      </w:r>
    </w:p>
    <w:p w14:paraId="63E76AE4" w14:textId="77777777" w:rsidR="007A2A74" w:rsidRDefault="007A2A74" w:rsidP="00DC54F7">
      <w:pPr>
        <w:spacing w:after="0" w:line="240" w:lineRule="auto"/>
        <w:contextualSpacing/>
        <w:jc w:val="both"/>
        <w:rPr>
          <w:rFonts w:ascii="Verdana" w:hAnsi="Verdana" w:cs="Arial"/>
          <w:sz w:val="24"/>
          <w:szCs w:val="24"/>
        </w:rPr>
      </w:pPr>
    </w:p>
    <w:p w14:paraId="3FFC89BD" w14:textId="77777777" w:rsidR="007A2A74" w:rsidRPr="00B6322E" w:rsidRDefault="007A2A74" w:rsidP="00DC54F7">
      <w:pPr>
        <w:spacing w:after="0" w:line="240" w:lineRule="auto"/>
        <w:contextualSpacing/>
        <w:jc w:val="both"/>
        <w:rPr>
          <w:rFonts w:ascii="Verdana" w:hAnsi="Verdana" w:cs="Arial"/>
          <w:sz w:val="24"/>
          <w:szCs w:val="24"/>
        </w:rPr>
      </w:pPr>
    </w:p>
    <w:p w14:paraId="563CFA7D" w14:textId="0C799DC1" w:rsidR="007A2A74" w:rsidRPr="00486B77" w:rsidRDefault="007A2A74" w:rsidP="00DC54F7">
      <w:pPr>
        <w:spacing w:after="0" w:line="240" w:lineRule="auto"/>
        <w:jc w:val="both"/>
        <w:rPr>
          <w:rFonts w:ascii="Arial" w:hAnsi="Arial" w:cs="Arial"/>
          <w:b/>
          <w:sz w:val="26"/>
          <w:szCs w:val="26"/>
        </w:rPr>
      </w:pPr>
      <w:r w:rsidRPr="00486B77">
        <w:rPr>
          <w:rFonts w:ascii="Arial" w:hAnsi="Arial" w:cs="Arial"/>
          <w:b/>
          <w:sz w:val="26"/>
          <w:szCs w:val="26"/>
        </w:rPr>
        <w:t>4.3 Pregnancy and maternity</w:t>
      </w:r>
    </w:p>
    <w:p w14:paraId="7C627DA6" w14:textId="77777777" w:rsidR="007A2A74" w:rsidRPr="00486B77" w:rsidRDefault="007A2A74" w:rsidP="00DC54F7">
      <w:pPr>
        <w:spacing w:after="0" w:line="240" w:lineRule="auto"/>
        <w:jc w:val="both"/>
        <w:rPr>
          <w:rFonts w:ascii="Arial" w:hAnsi="Arial" w:cs="Arial"/>
          <w:sz w:val="26"/>
          <w:szCs w:val="26"/>
          <w:highlight w:val="yellow"/>
        </w:rPr>
      </w:pPr>
    </w:p>
    <w:p w14:paraId="697B4D40"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There are many common health problems that are associated with pregnancy. Some of the more common ones are:</w:t>
      </w:r>
    </w:p>
    <w:p w14:paraId="3A4F8B82" w14:textId="77777777" w:rsidR="007A2A74" w:rsidRPr="00D11856" w:rsidRDefault="007A2A74" w:rsidP="00DC54F7">
      <w:pPr>
        <w:spacing w:after="0" w:line="240" w:lineRule="auto"/>
        <w:jc w:val="both"/>
        <w:rPr>
          <w:rFonts w:ascii="Arial" w:hAnsi="Arial" w:cs="Arial"/>
          <w:sz w:val="24"/>
          <w:szCs w:val="24"/>
        </w:rPr>
      </w:pPr>
    </w:p>
    <w:p w14:paraId="18A7CC5A" w14:textId="77777777" w:rsidR="007A2A74" w:rsidRPr="00D11856" w:rsidRDefault="007A2A74" w:rsidP="00DC54F7">
      <w:pPr>
        <w:pStyle w:val="ListParagraph"/>
        <w:numPr>
          <w:ilvl w:val="0"/>
          <w:numId w:val="133"/>
        </w:numPr>
        <w:spacing w:after="0" w:line="240" w:lineRule="auto"/>
        <w:jc w:val="both"/>
        <w:rPr>
          <w:rFonts w:ascii="Arial" w:hAnsi="Arial" w:cs="Arial"/>
          <w:sz w:val="24"/>
          <w:szCs w:val="24"/>
        </w:rPr>
      </w:pPr>
      <w:r w:rsidRPr="00D11856">
        <w:rPr>
          <w:rFonts w:ascii="Arial" w:hAnsi="Arial" w:cs="Arial"/>
          <w:sz w:val="24"/>
          <w:szCs w:val="24"/>
        </w:rPr>
        <w:t>Urinating a lot</w:t>
      </w:r>
    </w:p>
    <w:p w14:paraId="78574F2A" w14:textId="77777777" w:rsidR="007A2A74" w:rsidRPr="00D11856" w:rsidRDefault="007A2A74" w:rsidP="00DC54F7">
      <w:pPr>
        <w:pStyle w:val="ListParagraph"/>
        <w:numPr>
          <w:ilvl w:val="0"/>
          <w:numId w:val="133"/>
        </w:numPr>
        <w:spacing w:after="0" w:line="240" w:lineRule="auto"/>
        <w:jc w:val="both"/>
        <w:rPr>
          <w:rFonts w:ascii="Arial" w:hAnsi="Arial" w:cs="Arial"/>
          <w:sz w:val="24"/>
          <w:szCs w:val="24"/>
        </w:rPr>
      </w:pPr>
      <w:r w:rsidRPr="00D11856">
        <w:rPr>
          <w:rFonts w:ascii="Arial" w:hAnsi="Arial" w:cs="Arial"/>
          <w:sz w:val="24"/>
          <w:szCs w:val="24"/>
        </w:rPr>
        <w:t>Pelvic pain</w:t>
      </w:r>
    </w:p>
    <w:p w14:paraId="4885007C" w14:textId="77777777" w:rsidR="007A2A74" w:rsidRPr="00D11856" w:rsidRDefault="007A2A74" w:rsidP="00DC54F7">
      <w:pPr>
        <w:pStyle w:val="ListParagraph"/>
        <w:numPr>
          <w:ilvl w:val="0"/>
          <w:numId w:val="133"/>
        </w:numPr>
        <w:spacing w:after="0" w:line="240" w:lineRule="auto"/>
        <w:jc w:val="both"/>
        <w:rPr>
          <w:rFonts w:ascii="Arial" w:hAnsi="Arial" w:cs="Arial"/>
          <w:sz w:val="24"/>
          <w:szCs w:val="24"/>
        </w:rPr>
      </w:pPr>
      <w:r w:rsidRPr="00D11856">
        <w:rPr>
          <w:rFonts w:ascii="Arial" w:hAnsi="Arial" w:cs="Arial"/>
          <w:sz w:val="24"/>
          <w:szCs w:val="24"/>
        </w:rPr>
        <w:t>Piles (haemorrhoids)</w:t>
      </w:r>
    </w:p>
    <w:p w14:paraId="31706333" w14:textId="77777777" w:rsidR="007A2A74" w:rsidRPr="00D11856" w:rsidRDefault="007A2A74" w:rsidP="00DC54F7">
      <w:pPr>
        <w:pStyle w:val="ListParagraph"/>
        <w:numPr>
          <w:ilvl w:val="0"/>
          <w:numId w:val="133"/>
        </w:numPr>
        <w:spacing w:after="0" w:line="240" w:lineRule="auto"/>
        <w:jc w:val="both"/>
        <w:rPr>
          <w:rFonts w:ascii="Arial" w:hAnsi="Arial" w:cs="Arial"/>
          <w:sz w:val="24"/>
          <w:szCs w:val="24"/>
        </w:rPr>
      </w:pPr>
      <w:r w:rsidRPr="00D11856">
        <w:rPr>
          <w:rFonts w:ascii="Arial" w:hAnsi="Arial" w:cs="Arial"/>
          <w:sz w:val="24"/>
          <w:szCs w:val="24"/>
        </w:rPr>
        <w:t>Skin and hair changes</w:t>
      </w:r>
    </w:p>
    <w:p w14:paraId="3F9A6050" w14:textId="77777777" w:rsidR="007A2A74" w:rsidRPr="00D11856" w:rsidRDefault="007A2A74" w:rsidP="00DC54F7">
      <w:pPr>
        <w:pStyle w:val="ListParagraph"/>
        <w:numPr>
          <w:ilvl w:val="0"/>
          <w:numId w:val="133"/>
        </w:numPr>
        <w:spacing w:after="0" w:line="240" w:lineRule="auto"/>
        <w:jc w:val="both"/>
        <w:rPr>
          <w:rFonts w:ascii="Arial" w:hAnsi="Arial" w:cs="Arial"/>
          <w:sz w:val="24"/>
          <w:szCs w:val="24"/>
        </w:rPr>
      </w:pPr>
      <w:r w:rsidRPr="00D11856">
        <w:rPr>
          <w:rFonts w:ascii="Arial" w:hAnsi="Arial" w:cs="Arial"/>
          <w:sz w:val="24"/>
          <w:szCs w:val="24"/>
        </w:rPr>
        <w:t>Sleeplessness</w:t>
      </w:r>
    </w:p>
    <w:p w14:paraId="206DAD2A" w14:textId="77777777" w:rsidR="007A2A74" w:rsidRPr="00D11856" w:rsidRDefault="007A2A74" w:rsidP="00DC54F7">
      <w:pPr>
        <w:pStyle w:val="ListParagraph"/>
        <w:numPr>
          <w:ilvl w:val="0"/>
          <w:numId w:val="133"/>
        </w:numPr>
        <w:spacing w:after="0" w:line="240" w:lineRule="auto"/>
        <w:jc w:val="both"/>
        <w:rPr>
          <w:rFonts w:ascii="Arial" w:hAnsi="Arial" w:cs="Arial"/>
          <w:sz w:val="24"/>
          <w:szCs w:val="24"/>
        </w:rPr>
      </w:pPr>
      <w:r w:rsidRPr="00D11856">
        <w:rPr>
          <w:rFonts w:ascii="Arial" w:hAnsi="Arial" w:cs="Arial"/>
          <w:sz w:val="24"/>
          <w:szCs w:val="24"/>
        </w:rPr>
        <w:lastRenderedPageBreak/>
        <w:t>Stretch marks</w:t>
      </w:r>
    </w:p>
    <w:p w14:paraId="2A98DE67" w14:textId="77777777" w:rsidR="007A2A74" w:rsidRPr="00D11856" w:rsidRDefault="007A2A74" w:rsidP="00DC54F7">
      <w:pPr>
        <w:pStyle w:val="ListParagraph"/>
        <w:numPr>
          <w:ilvl w:val="0"/>
          <w:numId w:val="133"/>
        </w:numPr>
        <w:spacing w:after="0" w:line="240" w:lineRule="auto"/>
        <w:jc w:val="both"/>
        <w:rPr>
          <w:rFonts w:ascii="Arial" w:hAnsi="Arial" w:cs="Arial"/>
          <w:sz w:val="24"/>
          <w:szCs w:val="24"/>
        </w:rPr>
      </w:pPr>
      <w:r w:rsidRPr="00D11856">
        <w:rPr>
          <w:rFonts w:ascii="Arial" w:hAnsi="Arial" w:cs="Arial"/>
          <w:sz w:val="24"/>
          <w:szCs w:val="24"/>
        </w:rPr>
        <w:t>Swollen ankles, feet and fingers</w:t>
      </w:r>
    </w:p>
    <w:p w14:paraId="4598ED75" w14:textId="77777777" w:rsidR="007A2A74" w:rsidRPr="00D11856" w:rsidRDefault="007A2A74" w:rsidP="00DC54F7">
      <w:pPr>
        <w:pStyle w:val="ListParagraph"/>
        <w:numPr>
          <w:ilvl w:val="0"/>
          <w:numId w:val="133"/>
        </w:numPr>
        <w:spacing w:after="0" w:line="240" w:lineRule="auto"/>
        <w:jc w:val="both"/>
        <w:rPr>
          <w:rFonts w:ascii="Arial" w:hAnsi="Arial" w:cs="Arial"/>
          <w:sz w:val="24"/>
          <w:szCs w:val="24"/>
        </w:rPr>
      </w:pPr>
      <w:r w:rsidRPr="00D11856">
        <w:rPr>
          <w:rFonts w:ascii="Arial" w:hAnsi="Arial" w:cs="Arial"/>
          <w:sz w:val="24"/>
          <w:szCs w:val="24"/>
        </w:rPr>
        <w:t>Swollen and sore gums, which may bleed</w:t>
      </w:r>
    </w:p>
    <w:p w14:paraId="16DA8BC1" w14:textId="77777777" w:rsidR="007A2A74" w:rsidRPr="00D11856" w:rsidRDefault="007A2A74" w:rsidP="00DC54F7">
      <w:pPr>
        <w:pStyle w:val="ListParagraph"/>
        <w:numPr>
          <w:ilvl w:val="0"/>
          <w:numId w:val="133"/>
        </w:numPr>
        <w:spacing w:after="0" w:line="240" w:lineRule="auto"/>
        <w:jc w:val="both"/>
        <w:rPr>
          <w:rFonts w:ascii="Arial" w:hAnsi="Arial" w:cs="Arial"/>
          <w:sz w:val="24"/>
          <w:szCs w:val="24"/>
        </w:rPr>
      </w:pPr>
      <w:r w:rsidRPr="00D11856">
        <w:rPr>
          <w:rFonts w:ascii="Arial" w:hAnsi="Arial" w:cs="Arial"/>
          <w:sz w:val="24"/>
          <w:szCs w:val="24"/>
        </w:rPr>
        <w:t>Tiredness</w:t>
      </w:r>
    </w:p>
    <w:p w14:paraId="59303451" w14:textId="77777777" w:rsidR="007A2A74" w:rsidRPr="00D11856" w:rsidRDefault="007A2A74" w:rsidP="00DC54F7">
      <w:pPr>
        <w:pStyle w:val="ListParagraph"/>
        <w:numPr>
          <w:ilvl w:val="0"/>
          <w:numId w:val="133"/>
        </w:numPr>
        <w:spacing w:after="0" w:line="240" w:lineRule="auto"/>
        <w:jc w:val="both"/>
        <w:rPr>
          <w:rFonts w:ascii="Arial" w:hAnsi="Arial" w:cs="Arial"/>
          <w:sz w:val="24"/>
          <w:szCs w:val="24"/>
        </w:rPr>
      </w:pPr>
      <w:r w:rsidRPr="00D11856">
        <w:rPr>
          <w:rFonts w:ascii="Arial" w:hAnsi="Arial" w:cs="Arial"/>
          <w:sz w:val="24"/>
          <w:szCs w:val="24"/>
        </w:rPr>
        <w:t>Vaginal discharge</w:t>
      </w:r>
    </w:p>
    <w:p w14:paraId="2953F306" w14:textId="77777777" w:rsidR="007A2A74" w:rsidRPr="00D11856" w:rsidRDefault="007A2A74" w:rsidP="00DC54F7">
      <w:pPr>
        <w:pStyle w:val="ListParagraph"/>
        <w:numPr>
          <w:ilvl w:val="0"/>
          <w:numId w:val="133"/>
        </w:numPr>
        <w:spacing w:after="0" w:line="240" w:lineRule="auto"/>
        <w:jc w:val="both"/>
        <w:rPr>
          <w:rFonts w:ascii="Arial" w:hAnsi="Arial" w:cs="Arial"/>
          <w:sz w:val="24"/>
          <w:szCs w:val="24"/>
        </w:rPr>
      </w:pPr>
      <w:r w:rsidRPr="00D11856">
        <w:rPr>
          <w:rFonts w:ascii="Arial" w:hAnsi="Arial" w:cs="Arial"/>
          <w:sz w:val="24"/>
          <w:szCs w:val="24"/>
        </w:rPr>
        <w:t>Vaginal bleeding</w:t>
      </w:r>
    </w:p>
    <w:p w14:paraId="149F00BA" w14:textId="77777777" w:rsidR="007A2A74" w:rsidRPr="00D11856" w:rsidRDefault="007A2A74" w:rsidP="00DC54F7">
      <w:pPr>
        <w:pStyle w:val="ListParagraph"/>
        <w:numPr>
          <w:ilvl w:val="0"/>
          <w:numId w:val="133"/>
        </w:numPr>
        <w:spacing w:after="0" w:line="240" w:lineRule="auto"/>
        <w:jc w:val="both"/>
        <w:rPr>
          <w:rFonts w:ascii="Arial" w:hAnsi="Arial" w:cs="Arial"/>
          <w:sz w:val="24"/>
          <w:szCs w:val="24"/>
        </w:rPr>
      </w:pPr>
      <w:r w:rsidRPr="00D11856">
        <w:rPr>
          <w:rFonts w:ascii="Arial" w:hAnsi="Arial" w:cs="Arial"/>
          <w:sz w:val="24"/>
          <w:szCs w:val="24"/>
        </w:rPr>
        <w:t>Varicose veins</w:t>
      </w:r>
    </w:p>
    <w:p w14:paraId="32EBA75A" w14:textId="77777777" w:rsidR="007A2A74" w:rsidRDefault="007A2A74" w:rsidP="00DC54F7">
      <w:pPr>
        <w:spacing w:after="0" w:line="240" w:lineRule="auto"/>
        <w:jc w:val="both"/>
        <w:rPr>
          <w:rFonts w:ascii="Arial" w:hAnsi="Arial" w:cs="Arial"/>
          <w:sz w:val="24"/>
          <w:szCs w:val="24"/>
        </w:rPr>
      </w:pPr>
    </w:p>
    <w:p w14:paraId="158001FD" w14:textId="77777777" w:rsidR="007A2A74" w:rsidRDefault="007A2A74" w:rsidP="00DC54F7">
      <w:pPr>
        <w:spacing w:after="0" w:line="240" w:lineRule="auto"/>
        <w:jc w:val="both"/>
        <w:rPr>
          <w:rFonts w:ascii="Arial" w:hAnsi="Arial" w:cs="Arial"/>
          <w:sz w:val="24"/>
          <w:szCs w:val="24"/>
        </w:rPr>
      </w:pPr>
    </w:p>
    <w:p w14:paraId="6AD8F5AA" w14:textId="77777777" w:rsidR="007A2A74" w:rsidRPr="00B20991" w:rsidRDefault="007A2A74" w:rsidP="00DC54F7">
      <w:pPr>
        <w:spacing w:after="0" w:line="240" w:lineRule="auto"/>
        <w:jc w:val="both"/>
        <w:rPr>
          <w:rFonts w:ascii="Arial" w:hAnsi="Arial" w:cs="Arial"/>
          <w:b/>
          <w:sz w:val="26"/>
          <w:szCs w:val="26"/>
        </w:rPr>
      </w:pPr>
      <w:r w:rsidRPr="00B20991">
        <w:rPr>
          <w:rFonts w:ascii="Arial" w:hAnsi="Arial" w:cs="Arial"/>
          <w:b/>
          <w:sz w:val="26"/>
          <w:szCs w:val="26"/>
        </w:rPr>
        <w:t>4.4 Race</w:t>
      </w:r>
    </w:p>
    <w:p w14:paraId="205561C9" w14:textId="77777777" w:rsidR="007A2A74" w:rsidRPr="00B20991" w:rsidRDefault="007A2A74" w:rsidP="00DC54F7">
      <w:pPr>
        <w:spacing w:after="0" w:line="240" w:lineRule="auto"/>
        <w:jc w:val="both"/>
        <w:rPr>
          <w:rFonts w:ascii="Arial" w:hAnsi="Arial" w:cs="Arial"/>
        </w:rPr>
      </w:pPr>
    </w:p>
    <w:p w14:paraId="06952C92"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Public Health Wales has found that ethnicity is an important issue because, as well as having ‍specific needs relating to language and culture, persons from ethnic minority backgrounds are more likely to come from low income families, suffer poorer living conditions and gain lower levels of educational qualifications.</w:t>
      </w:r>
    </w:p>
    <w:p w14:paraId="23DB9AA2" w14:textId="77777777" w:rsidR="007A2A74" w:rsidRPr="00D11856" w:rsidRDefault="007A2A74" w:rsidP="00DC54F7">
      <w:pPr>
        <w:spacing w:after="0" w:line="240" w:lineRule="auto"/>
        <w:jc w:val="both"/>
        <w:rPr>
          <w:rFonts w:ascii="Arial" w:hAnsi="Arial" w:cs="Arial"/>
          <w:sz w:val="24"/>
          <w:szCs w:val="24"/>
        </w:rPr>
      </w:pPr>
    </w:p>
    <w:p w14:paraId="3AC7F82B"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In addition, certain ethnic groups have higher rates of some health conditions. For example, South Asian and Caribbean-descended populations have a substantially higher risk of diabetes; Bangladeshi-descended populations are more likely to avoid alcohol but ‍to smoke, and sickle cell anaemia is an inherited blood disorder, which mainly affects people of African or Caribbean origin.</w:t>
      </w:r>
    </w:p>
    <w:p w14:paraId="24884FC2" w14:textId="77777777" w:rsidR="007A2A74" w:rsidRPr="00D11856" w:rsidRDefault="007A2A74" w:rsidP="00DC54F7">
      <w:pPr>
        <w:spacing w:after="0" w:line="240" w:lineRule="auto"/>
        <w:jc w:val="both"/>
        <w:rPr>
          <w:rFonts w:ascii="Arial" w:hAnsi="Arial" w:cs="Arial"/>
          <w:sz w:val="24"/>
          <w:szCs w:val="24"/>
        </w:rPr>
      </w:pPr>
    </w:p>
    <w:p w14:paraId="1C68798E"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Ethnic differences in health are most marked in the areas of mental wellbeing, cancer, heart disease, Human Immunodeficiency Virus, tuberculosis and diabetes. </w:t>
      </w:r>
    </w:p>
    <w:p w14:paraId="6F0BF946" w14:textId="77777777" w:rsidR="007A2A74" w:rsidRPr="00D11856" w:rsidRDefault="007A2A74" w:rsidP="00DC54F7">
      <w:pPr>
        <w:spacing w:after="0" w:line="240" w:lineRule="auto"/>
        <w:jc w:val="both"/>
        <w:rPr>
          <w:rFonts w:ascii="Arial" w:hAnsi="Arial" w:cs="Arial"/>
          <w:sz w:val="24"/>
          <w:szCs w:val="24"/>
        </w:rPr>
      </w:pPr>
    </w:p>
    <w:p w14:paraId="3966F794"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shd w:val="clear" w:color="auto" w:fill="FFFFFF"/>
        </w:rPr>
        <w:t>The Ethnicity and Health in Wales</w:t>
      </w:r>
      <w:r w:rsidRPr="00D11856">
        <w:rPr>
          <w:rStyle w:val="FootnoteReference"/>
          <w:rFonts w:ascii="Arial" w:hAnsi="Arial" w:cs="Arial"/>
          <w:sz w:val="24"/>
          <w:szCs w:val="24"/>
          <w:shd w:val="clear" w:color="auto" w:fill="FFFFFF"/>
        </w:rPr>
        <w:footnoteReference w:id="34"/>
      </w:r>
      <w:r w:rsidRPr="00D11856">
        <w:rPr>
          <w:rFonts w:ascii="Arial" w:hAnsi="Arial" w:cs="Arial"/>
          <w:sz w:val="24"/>
          <w:szCs w:val="24"/>
          <w:shd w:val="clear" w:color="auto" w:fill="FFFFFF"/>
        </w:rPr>
        <w:t xml:space="preserve"> report provides a description of the ethnic make-up of Wales, together with information on the determinants of health and health outcomes they experience, using 2011 Census as the data source. It identifies that:</w:t>
      </w:r>
    </w:p>
    <w:p w14:paraId="3E34BA10" w14:textId="77777777" w:rsidR="007A2A74" w:rsidRPr="00D11856" w:rsidRDefault="007A2A74" w:rsidP="00DC54F7">
      <w:pPr>
        <w:pStyle w:val="ListParagraph"/>
        <w:numPr>
          <w:ilvl w:val="0"/>
          <w:numId w:val="140"/>
        </w:numPr>
        <w:spacing w:after="0" w:line="240" w:lineRule="auto"/>
        <w:jc w:val="both"/>
        <w:rPr>
          <w:rFonts w:ascii="Arial" w:hAnsi="Arial" w:cs="Arial"/>
          <w:sz w:val="24"/>
          <w:szCs w:val="24"/>
        </w:rPr>
      </w:pPr>
      <w:r w:rsidRPr="00D11856">
        <w:rPr>
          <w:rFonts w:ascii="Arial" w:hAnsi="Arial" w:cs="Arial"/>
          <w:sz w:val="24"/>
          <w:szCs w:val="24"/>
        </w:rPr>
        <w:t xml:space="preserve">The White British or Irish population account for almost 94% of the population. </w:t>
      </w:r>
    </w:p>
    <w:p w14:paraId="07D2D4BA" w14:textId="77777777" w:rsidR="007A2A74" w:rsidRPr="00D11856" w:rsidRDefault="007A2A74" w:rsidP="00DC54F7">
      <w:pPr>
        <w:pStyle w:val="ListParagraph"/>
        <w:numPr>
          <w:ilvl w:val="0"/>
          <w:numId w:val="140"/>
        </w:numPr>
        <w:spacing w:after="0" w:line="240" w:lineRule="auto"/>
        <w:jc w:val="both"/>
        <w:rPr>
          <w:rFonts w:ascii="Arial" w:hAnsi="Arial" w:cs="Arial"/>
          <w:sz w:val="24"/>
          <w:szCs w:val="24"/>
        </w:rPr>
      </w:pPr>
      <w:r w:rsidRPr="00D11856">
        <w:rPr>
          <w:rFonts w:ascii="Arial" w:hAnsi="Arial" w:cs="Arial"/>
          <w:sz w:val="24"/>
          <w:szCs w:val="24"/>
        </w:rPr>
        <w:t>The age structure of the White British or Irish population is much older than the other groups. The younger age structures in other groups reflect patterns of immigration and, in some cases, higher birth rates.</w:t>
      </w:r>
    </w:p>
    <w:p w14:paraId="3E37A00A" w14:textId="77777777" w:rsidR="007A2A74" w:rsidRPr="00D11856" w:rsidRDefault="007A2A74" w:rsidP="00DC54F7">
      <w:pPr>
        <w:pStyle w:val="ListParagraph"/>
        <w:numPr>
          <w:ilvl w:val="0"/>
          <w:numId w:val="139"/>
        </w:numPr>
        <w:spacing w:after="0" w:line="240" w:lineRule="auto"/>
        <w:jc w:val="both"/>
        <w:rPr>
          <w:rFonts w:ascii="Arial" w:hAnsi="Arial" w:cs="Arial"/>
          <w:sz w:val="24"/>
          <w:szCs w:val="24"/>
        </w:rPr>
      </w:pPr>
      <w:r w:rsidRPr="00D11856">
        <w:rPr>
          <w:rFonts w:ascii="Arial" w:hAnsi="Arial" w:cs="Arial"/>
          <w:sz w:val="24"/>
          <w:szCs w:val="24"/>
        </w:rPr>
        <w:t xml:space="preserve">After accounting for age, the White British or Irish group has a higher percentage of its population reporting limiting illness than the other groups with the exception of the Mixed multiple ethnic group. </w:t>
      </w:r>
    </w:p>
    <w:p w14:paraId="77036982" w14:textId="77777777" w:rsidR="007A2A74" w:rsidRPr="00D11856" w:rsidRDefault="007A2A74" w:rsidP="00DC54F7">
      <w:pPr>
        <w:pStyle w:val="ListParagraph"/>
        <w:numPr>
          <w:ilvl w:val="0"/>
          <w:numId w:val="138"/>
        </w:numPr>
        <w:spacing w:after="0" w:line="240" w:lineRule="auto"/>
        <w:ind w:left="360"/>
        <w:jc w:val="both"/>
        <w:rPr>
          <w:rFonts w:ascii="Arial" w:hAnsi="Arial" w:cs="Arial"/>
          <w:sz w:val="24"/>
          <w:szCs w:val="24"/>
        </w:rPr>
      </w:pPr>
      <w:r w:rsidRPr="00D11856">
        <w:rPr>
          <w:rFonts w:ascii="Arial" w:hAnsi="Arial" w:cs="Arial"/>
          <w:sz w:val="24"/>
          <w:szCs w:val="24"/>
        </w:rPr>
        <w:t xml:space="preserve">The Mixed multiple ethnic group reported the highest levels of bad or very bad general health, but the differences between groups were not stark. </w:t>
      </w:r>
    </w:p>
    <w:p w14:paraId="58F3A42D" w14:textId="77777777" w:rsidR="007A2A74" w:rsidRPr="00D11856" w:rsidRDefault="007A2A74" w:rsidP="00DC54F7">
      <w:pPr>
        <w:pStyle w:val="ListParagraph"/>
        <w:numPr>
          <w:ilvl w:val="0"/>
          <w:numId w:val="138"/>
        </w:numPr>
        <w:spacing w:after="0" w:line="240" w:lineRule="auto"/>
        <w:ind w:left="360"/>
        <w:jc w:val="both"/>
        <w:rPr>
          <w:rFonts w:ascii="Arial" w:hAnsi="Arial" w:cs="Arial"/>
          <w:sz w:val="24"/>
          <w:szCs w:val="24"/>
        </w:rPr>
      </w:pPr>
      <w:r w:rsidRPr="00D11856">
        <w:rPr>
          <w:rFonts w:ascii="Arial" w:hAnsi="Arial" w:cs="Arial"/>
          <w:sz w:val="24"/>
          <w:szCs w:val="24"/>
        </w:rPr>
        <w:t>The White British or Irish group were more likely to be providing unpaid care than those in other ethnic groups. This reflects the older age structure of this group.</w:t>
      </w:r>
    </w:p>
    <w:p w14:paraId="15EE273F" w14:textId="77777777" w:rsidR="007A2A74" w:rsidRPr="00D11856" w:rsidRDefault="007A2A74" w:rsidP="00DC54F7">
      <w:pPr>
        <w:spacing w:after="0" w:line="240" w:lineRule="auto"/>
        <w:jc w:val="both"/>
        <w:rPr>
          <w:rFonts w:ascii="Arial" w:hAnsi="Arial" w:cs="Arial"/>
          <w:sz w:val="24"/>
          <w:szCs w:val="24"/>
        </w:rPr>
      </w:pPr>
    </w:p>
    <w:p w14:paraId="6C6447A4"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Uptake of childhood immunisations is lower in some Black, Asian and minority ethnic (BAME) groups in Cardiff and the Vale and work is ongoing through primary care clusters serving BAME communities to increase engagement and uptake. </w:t>
      </w:r>
    </w:p>
    <w:p w14:paraId="5E1D61C7" w14:textId="77777777" w:rsidR="007A2A74" w:rsidRPr="00D11856" w:rsidRDefault="007A2A74" w:rsidP="00DC54F7">
      <w:pPr>
        <w:spacing w:after="0" w:line="240" w:lineRule="auto"/>
        <w:jc w:val="both"/>
        <w:rPr>
          <w:rFonts w:ascii="Arial" w:hAnsi="Arial" w:cs="Arial"/>
          <w:sz w:val="24"/>
          <w:szCs w:val="24"/>
        </w:rPr>
      </w:pPr>
    </w:p>
    <w:p w14:paraId="283CEB3B" w14:textId="06463AB6"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lastRenderedPageBreak/>
        <w:t xml:space="preserve">Most recently, the impacts of </w:t>
      </w:r>
      <w:r w:rsidR="00F60815" w:rsidRPr="00D11856">
        <w:rPr>
          <w:rFonts w:ascii="Arial" w:hAnsi="Arial" w:cs="Arial"/>
          <w:sz w:val="24"/>
          <w:szCs w:val="24"/>
        </w:rPr>
        <w:t>Coronavirus (COVID-19)</w:t>
      </w:r>
      <w:r w:rsidRPr="00D11856">
        <w:rPr>
          <w:rFonts w:ascii="Arial" w:hAnsi="Arial" w:cs="Arial"/>
          <w:sz w:val="24"/>
          <w:szCs w:val="24"/>
        </w:rPr>
        <w:t xml:space="preserve"> have been seen at a greater level in BAME communities.</w:t>
      </w:r>
    </w:p>
    <w:p w14:paraId="44190B67" w14:textId="77777777" w:rsidR="007A2A74" w:rsidRPr="00B316E4" w:rsidRDefault="007A2A74" w:rsidP="00DC54F7">
      <w:pPr>
        <w:spacing w:after="0" w:line="240" w:lineRule="auto"/>
        <w:jc w:val="both"/>
        <w:rPr>
          <w:rFonts w:ascii="Arial" w:hAnsi="Arial" w:cs="Arial"/>
        </w:rPr>
      </w:pPr>
    </w:p>
    <w:p w14:paraId="0FD74783" w14:textId="77777777" w:rsidR="007A2A74" w:rsidRDefault="007A2A74" w:rsidP="00DC54F7">
      <w:pPr>
        <w:spacing w:after="0" w:line="240" w:lineRule="auto"/>
        <w:jc w:val="both"/>
        <w:rPr>
          <w:rFonts w:ascii="Arial" w:hAnsi="Arial" w:cs="Arial"/>
          <w:b/>
          <w:sz w:val="26"/>
          <w:szCs w:val="26"/>
        </w:rPr>
      </w:pPr>
    </w:p>
    <w:p w14:paraId="50DF1EF1" w14:textId="77777777" w:rsidR="007A2A74" w:rsidRPr="00486B77" w:rsidRDefault="007A2A74" w:rsidP="00DC54F7">
      <w:pPr>
        <w:spacing w:after="0" w:line="240" w:lineRule="auto"/>
        <w:jc w:val="both"/>
        <w:rPr>
          <w:rFonts w:ascii="Arial" w:hAnsi="Arial" w:cs="Arial"/>
          <w:b/>
          <w:sz w:val="26"/>
          <w:szCs w:val="26"/>
        </w:rPr>
      </w:pPr>
      <w:r w:rsidRPr="00486B77">
        <w:rPr>
          <w:rFonts w:ascii="Arial" w:hAnsi="Arial" w:cs="Arial"/>
          <w:b/>
          <w:sz w:val="26"/>
          <w:szCs w:val="26"/>
        </w:rPr>
        <w:t>4.5 Religion and belief</w:t>
      </w:r>
      <w:r>
        <w:rPr>
          <w:rFonts w:ascii="Arial" w:hAnsi="Arial" w:cs="Arial"/>
          <w:b/>
          <w:sz w:val="26"/>
          <w:szCs w:val="26"/>
        </w:rPr>
        <w:t xml:space="preserve"> </w:t>
      </w:r>
      <w:r w:rsidRPr="00954D6E">
        <w:rPr>
          <w:rStyle w:val="FootnoteReference"/>
          <w:rFonts w:ascii="Arial" w:hAnsi="Arial" w:cs="Arial"/>
          <w:bCs/>
        </w:rPr>
        <w:footnoteReference w:id="35"/>
      </w:r>
    </w:p>
    <w:p w14:paraId="1AB2DFCA" w14:textId="77777777" w:rsidR="007A2A74" w:rsidRPr="009A720C" w:rsidRDefault="007A2A74" w:rsidP="00DC54F7">
      <w:pPr>
        <w:spacing w:after="0" w:line="240" w:lineRule="auto"/>
        <w:jc w:val="both"/>
        <w:rPr>
          <w:rFonts w:ascii="Verdana" w:hAnsi="Verdana" w:cs="Arial"/>
          <w:sz w:val="24"/>
          <w:szCs w:val="24"/>
          <w:highlight w:val="yellow"/>
        </w:rPr>
      </w:pPr>
    </w:p>
    <w:p w14:paraId="5B4012DC"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Beliefs about health, illness and healthcare can vary between religions and cultures and within any given religious or cultural group. Religious belief may affect the acceptability of aspects of medical care, for example diagnostic procedures and certain types of treatment, and of the potential impact of religious observances on health and treatment plans such as periods of fasting. </w:t>
      </w:r>
    </w:p>
    <w:p w14:paraId="442070E4" w14:textId="77777777" w:rsidR="007A2A74" w:rsidRPr="00D11856" w:rsidRDefault="007A2A74" w:rsidP="00DC54F7">
      <w:pPr>
        <w:spacing w:after="0" w:line="240" w:lineRule="auto"/>
        <w:jc w:val="both"/>
        <w:rPr>
          <w:rFonts w:ascii="Arial" w:hAnsi="Arial" w:cs="Arial"/>
          <w:sz w:val="24"/>
          <w:szCs w:val="24"/>
        </w:rPr>
      </w:pPr>
    </w:p>
    <w:p w14:paraId="2B97B50B"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It should never be assumed that an individual belonging to a specific religious group will necessarily be compliant with or completely observant of all the views and practices of that group. Individual patients’ reactions to a particular clinical situation can be influenced by several factors, including what branch of a particular religion or belief they belong to, and how strong their religious beliefs are (for example, orthodox or reformed, moderate or fundamentalist). For this reason, each person should be treated as an individual.</w:t>
      </w:r>
    </w:p>
    <w:p w14:paraId="76093525" w14:textId="77777777" w:rsidR="007A2A74" w:rsidRPr="00D11856" w:rsidRDefault="007A2A74" w:rsidP="00DC54F7">
      <w:pPr>
        <w:spacing w:after="0" w:line="240" w:lineRule="auto"/>
        <w:jc w:val="both"/>
        <w:rPr>
          <w:rFonts w:ascii="Arial" w:hAnsi="Arial" w:cs="Arial"/>
          <w:sz w:val="24"/>
          <w:szCs w:val="24"/>
        </w:rPr>
      </w:pPr>
    </w:p>
    <w:p w14:paraId="5A48B796"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Beliefs, rites and rituals around pregnancy and birth, ‘coming of age’, menstruation, marriage, and death are highly variable between religions and cultures, and may all impact on health and health seeking behaviours.</w:t>
      </w:r>
    </w:p>
    <w:p w14:paraId="32B7EC1B" w14:textId="77777777" w:rsidR="007A2A74" w:rsidRPr="00D11856" w:rsidRDefault="007A2A74" w:rsidP="00DC54F7">
      <w:pPr>
        <w:spacing w:after="0" w:line="240" w:lineRule="auto"/>
        <w:jc w:val="both"/>
        <w:rPr>
          <w:rFonts w:ascii="Arial" w:hAnsi="Arial" w:cs="Arial"/>
          <w:sz w:val="24"/>
          <w:szCs w:val="24"/>
        </w:rPr>
      </w:pPr>
    </w:p>
    <w:p w14:paraId="54E98FE3"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Female genital mutilation is related to cultural, religious and social factors within families and communities although there is no direct link to any religion or faith. It is an illegal practice that raises serious health related concerns. </w:t>
      </w:r>
    </w:p>
    <w:p w14:paraId="1F41EDA1" w14:textId="77777777" w:rsidR="007A2A74" w:rsidRPr="00D11856" w:rsidRDefault="007A2A74" w:rsidP="00DC54F7">
      <w:pPr>
        <w:spacing w:after="0" w:line="240" w:lineRule="auto"/>
        <w:jc w:val="both"/>
        <w:rPr>
          <w:rFonts w:ascii="Arial" w:hAnsi="Arial" w:cs="Arial"/>
          <w:sz w:val="24"/>
          <w:szCs w:val="24"/>
        </w:rPr>
      </w:pPr>
    </w:p>
    <w:p w14:paraId="3F45FE1F"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‘Honour based violence’ which is a type of domestic violence motivated by the notion of honour, occurs in those communities where the honour concept is linked to the expected behaviours of families and individuals. </w:t>
      </w:r>
    </w:p>
    <w:p w14:paraId="7B32D3C9" w14:textId="77777777" w:rsidR="007A2A74" w:rsidRPr="00D11856" w:rsidRDefault="007A2A74" w:rsidP="00DC54F7">
      <w:pPr>
        <w:spacing w:after="0" w:line="240" w:lineRule="auto"/>
        <w:jc w:val="both"/>
        <w:rPr>
          <w:rFonts w:ascii="Arial" w:hAnsi="Arial" w:cs="Arial"/>
          <w:sz w:val="24"/>
          <w:szCs w:val="24"/>
        </w:rPr>
      </w:pPr>
    </w:p>
    <w:p w14:paraId="67F3AEC4" w14:textId="77777777" w:rsidR="007A2A74" w:rsidRPr="00D11856" w:rsidRDefault="007A2A74" w:rsidP="00DC54F7">
      <w:pPr>
        <w:spacing w:after="0" w:line="240" w:lineRule="auto"/>
        <w:jc w:val="both"/>
        <w:rPr>
          <w:rFonts w:ascii="Arial" w:hAnsi="Arial" w:cs="Arial"/>
          <w:sz w:val="24"/>
          <w:szCs w:val="24"/>
          <w:highlight w:val="yellow"/>
        </w:rPr>
      </w:pPr>
      <w:r w:rsidRPr="00D11856">
        <w:rPr>
          <w:rFonts w:ascii="Arial" w:hAnsi="Arial" w:cs="Arial"/>
          <w:sz w:val="24"/>
          <w:szCs w:val="24"/>
        </w:rPr>
        <w:t>There is a possibility of hate crime related to religion and belief.</w:t>
      </w:r>
    </w:p>
    <w:p w14:paraId="0A849303" w14:textId="77777777" w:rsidR="007A2A74" w:rsidRPr="00D11856" w:rsidRDefault="007A2A74" w:rsidP="00DC54F7">
      <w:pPr>
        <w:spacing w:after="0" w:line="240" w:lineRule="auto"/>
        <w:jc w:val="both"/>
        <w:rPr>
          <w:rFonts w:ascii="Arial" w:hAnsi="Arial" w:cs="Arial"/>
          <w:b/>
          <w:sz w:val="24"/>
          <w:szCs w:val="24"/>
        </w:rPr>
      </w:pPr>
    </w:p>
    <w:p w14:paraId="1B088C98" w14:textId="71F5A73A" w:rsidR="007A2A74" w:rsidRDefault="007A2A74" w:rsidP="00DC54F7">
      <w:pPr>
        <w:spacing w:after="0" w:line="240" w:lineRule="auto"/>
        <w:jc w:val="both"/>
        <w:rPr>
          <w:rFonts w:ascii="Arial" w:hAnsi="Arial" w:cs="Arial"/>
          <w:b/>
          <w:sz w:val="24"/>
          <w:szCs w:val="24"/>
        </w:rPr>
      </w:pPr>
    </w:p>
    <w:p w14:paraId="32066708" w14:textId="77777777" w:rsidR="007A2A74" w:rsidRDefault="007A2A74" w:rsidP="00DC54F7">
      <w:pPr>
        <w:spacing w:after="0" w:line="240" w:lineRule="auto"/>
        <w:jc w:val="both"/>
        <w:rPr>
          <w:rFonts w:ascii="Arial" w:hAnsi="Arial" w:cs="Arial"/>
          <w:b/>
          <w:sz w:val="26"/>
          <w:szCs w:val="26"/>
        </w:rPr>
      </w:pPr>
      <w:r>
        <w:rPr>
          <w:rFonts w:ascii="Arial" w:hAnsi="Arial" w:cs="Arial"/>
          <w:b/>
          <w:sz w:val="26"/>
          <w:szCs w:val="26"/>
        </w:rPr>
        <w:t>4.6 Sex</w:t>
      </w:r>
    </w:p>
    <w:p w14:paraId="3AAB6025" w14:textId="77777777" w:rsidR="007A2A74" w:rsidRPr="00BB36F4" w:rsidRDefault="007A2A74" w:rsidP="00DC54F7">
      <w:pPr>
        <w:spacing w:after="0" w:line="240" w:lineRule="auto"/>
        <w:jc w:val="both"/>
        <w:rPr>
          <w:rFonts w:ascii="Arial" w:hAnsi="Arial" w:cs="Arial"/>
          <w:b/>
          <w:sz w:val="26"/>
          <w:szCs w:val="26"/>
        </w:rPr>
      </w:pPr>
    </w:p>
    <w:p w14:paraId="5B9434CB" w14:textId="77777777" w:rsidR="007A2A74" w:rsidRPr="00D11856" w:rsidRDefault="007A2A74" w:rsidP="00DC54F7">
      <w:pPr>
        <w:pStyle w:val="ListParagraph"/>
        <w:numPr>
          <w:ilvl w:val="0"/>
          <w:numId w:val="124"/>
        </w:numPr>
        <w:spacing w:after="0" w:line="240" w:lineRule="auto"/>
        <w:jc w:val="both"/>
        <w:rPr>
          <w:rFonts w:ascii="Arial" w:eastAsia="Times New Roman" w:hAnsi="Arial" w:cs="Arial"/>
          <w:sz w:val="24"/>
          <w:szCs w:val="24"/>
          <w:lang w:eastAsia="en-GB"/>
        </w:rPr>
      </w:pPr>
      <w:r w:rsidRPr="00D11856">
        <w:rPr>
          <w:rFonts w:ascii="Arial" w:hAnsi="Arial" w:cs="Arial"/>
          <w:sz w:val="24"/>
          <w:szCs w:val="24"/>
          <w:lang w:eastAsia="en-GB"/>
        </w:rPr>
        <w:t xml:space="preserve">The average life expectancy at birth in </w:t>
      </w:r>
      <w:r w:rsidRPr="00D11856">
        <w:rPr>
          <w:rFonts w:ascii="Arial" w:eastAsia="Times New Roman" w:hAnsi="Arial" w:cs="Arial"/>
          <w:sz w:val="24"/>
          <w:szCs w:val="24"/>
          <w:lang w:eastAsia="en-GB"/>
        </w:rPr>
        <w:t xml:space="preserve">Cardiff and Vale University Health Board </w:t>
      </w:r>
      <w:r w:rsidRPr="00D11856">
        <w:rPr>
          <w:rFonts w:ascii="Arial" w:hAnsi="Arial" w:cs="Arial"/>
          <w:sz w:val="24"/>
          <w:szCs w:val="24"/>
          <w:lang w:eastAsia="en-GB"/>
        </w:rPr>
        <w:t>is 83.1 years for females and 78.6 years for males, a difference of 4.5 years between genders.</w:t>
      </w:r>
    </w:p>
    <w:p w14:paraId="5FBA4947" w14:textId="77777777" w:rsidR="007A2A74" w:rsidRPr="00D11856" w:rsidRDefault="007A2A74" w:rsidP="00DC54F7">
      <w:pPr>
        <w:pStyle w:val="ListParagraph"/>
        <w:numPr>
          <w:ilvl w:val="0"/>
          <w:numId w:val="125"/>
        </w:numPr>
        <w:spacing w:after="0" w:line="240" w:lineRule="auto"/>
        <w:ind w:left="360"/>
        <w:jc w:val="both"/>
        <w:rPr>
          <w:rFonts w:ascii="Arial" w:hAnsi="Arial" w:cs="Arial"/>
          <w:sz w:val="24"/>
          <w:szCs w:val="24"/>
        </w:rPr>
      </w:pPr>
      <w:r w:rsidRPr="00D11856">
        <w:rPr>
          <w:rFonts w:ascii="Arial" w:hAnsi="Arial" w:cs="Arial"/>
          <w:sz w:val="24"/>
          <w:szCs w:val="24"/>
        </w:rPr>
        <w:t>Men tend to use health services less than women and present later with diseases than women do. Consumer research by the Department of Health and Social Care</w:t>
      </w:r>
      <w:r w:rsidRPr="00D11856">
        <w:rPr>
          <w:rFonts w:ascii="Arial" w:hAnsi="Arial" w:cs="Arial"/>
          <w:sz w:val="24"/>
          <w:szCs w:val="24"/>
          <w:vertAlign w:val="superscript"/>
        </w:rPr>
        <w:footnoteReference w:id="36"/>
      </w:r>
      <w:r w:rsidRPr="00D11856">
        <w:rPr>
          <w:rFonts w:ascii="Arial" w:hAnsi="Arial" w:cs="Arial"/>
          <w:sz w:val="24"/>
          <w:szCs w:val="24"/>
        </w:rPr>
        <w:t xml:space="preserve"> into the use of pharmacies in 2009 showed men aged 16 to 55 tend to be ‘avoiders’ i.e., they actively avoid going to pharmacies, feel uncomfortable in the </w:t>
      </w:r>
      <w:r w:rsidRPr="00D11856">
        <w:rPr>
          <w:rFonts w:ascii="Arial" w:hAnsi="Arial" w:cs="Arial"/>
          <w:sz w:val="24"/>
          <w:szCs w:val="24"/>
        </w:rPr>
        <w:lastRenderedPageBreak/>
        <w:t xml:space="preserve">pharmacy environment as it currently stands due to perceptions of the environment as feminised/for older people/lacking privacy and of customer service being indiscreet. </w:t>
      </w:r>
    </w:p>
    <w:p w14:paraId="089A1A77" w14:textId="77777777" w:rsidR="007A2A74" w:rsidRPr="00D11856" w:rsidRDefault="007A2A74" w:rsidP="00DC54F7">
      <w:pPr>
        <w:pStyle w:val="ListParagraph"/>
        <w:numPr>
          <w:ilvl w:val="0"/>
          <w:numId w:val="125"/>
        </w:numPr>
        <w:spacing w:after="0" w:line="240" w:lineRule="auto"/>
        <w:ind w:left="360"/>
        <w:jc w:val="both"/>
        <w:rPr>
          <w:rFonts w:ascii="Arial" w:hAnsi="Arial" w:cs="Arial"/>
          <w:sz w:val="24"/>
          <w:szCs w:val="24"/>
        </w:rPr>
      </w:pPr>
      <w:r w:rsidRPr="00D11856">
        <w:rPr>
          <w:rFonts w:ascii="Arial" w:hAnsi="Arial" w:cs="Arial"/>
          <w:sz w:val="24"/>
          <w:szCs w:val="24"/>
        </w:rPr>
        <w:t>Men are more likely to die from coronary heart disease prematurely and are also more likely to die during a sudden cardiac event. Women’s risk of cardiovascular disease in general increases later in life and women are more likely to die from stroke.</w:t>
      </w:r>
    </w:p>
    <w:p w14:paraId="1AF5E966" w14:textId="77777777" w:rsidR="007A2A74" w:rsidRPr="00D11856" w:rsidRDefault="007A2A74" w:rsidP="00DC54F7">
      <w:pPr>
        <w:numPr>
          <w:ilvl w:val="0"/>
          <w:numId w:val="125"/>
        </w:numPr>
        <w:spacing w:after="0" w:line="240" w:lineRule="auto"/>
        <w:ind w:left="360"/>
        <w:jc w:val="both"/>
        <w:rPr>
          <w:rFonts w:ascii="Arial" w:hAnsi="Arial" w:cs="Arial"/>
          <w:sz w:val="24"/>
          <w:szCs w:val="24"/>
        </w:rPr>
      </w:pPr>
      <w:r w:rsidRPr="00D11856">
        <w:rPr>
          <w:rFonts w:ascii="Arial" w:hAnsi="Arial" w:cs="Arial"/>
          <w:sz w:val="24"/>
          <w:szCs w:val="24"/>
        </w:rPr>
        <w:t>The percentage of adults reporting to be overweight or obese is higher in men than women for each age group.</w:t>
      </w:r>
    </w:p>
    <w:p w14:paraId="6707C14C" w14:textId="77777777" w:rsidR="007A2A74" w:rsidRPr="00D11856" w:rsidRDefault="007A2A74" w:rsidP="00DC54F7">
      <w:pPr>
        <w:numPr>
          <w:ilvl w:val="0"/>
          <w:numId w:val="125"/>
        </w:numPr>
        <w:spacing w:after="0" w:line="240" w:lineRule="auto"/>
        <w:ind w:left="360"/>
        <w:jc w:val="both"/>
        <w:rPr>
          <w:rFonts w:ascii="Arial" w:hAnsi="Arial" w:cs="Arial"/>
          <w:sz w:val="24"/>
          <w:szCs w:val="24"/>
        </w:rPr>
      </w:pPr>
      <w:r w:rsidRPr="00D11856">
        <w:rPr>
          <w:rFonts w:ascii="Arial" w:hAnsi="Arial" w:cs="Arial"/>
          <w:sz w:val="24"/>
          <w:szCs w:val="24"/>
        </w:rPr>
        <w:t xml:space="preserve">Women are more likely to report, consult for and be diagnosed with depression and anxiety. It is possible that depression and anxiety are under-diagnosed in men. Suicide is more common in men, as are all forms of substance abuse. </w:t>
      </w:r>
    </w:p>
    <w:p w14:paraId="2F8F793F" w14:textId="77777777" w:rsidR="007A2A74" w:rsidRPr="00D11856" w:rsidRDefault="007A2A74" w:rsidP="00DC54F7">
      <w:pPr>
        <w:numPr>
          <w:ilvl w:val="0"/>
          <w:numId w:val="125"/>
        </w:numPr>
        <w:spacing w:after="0" w:line="240" w:lineRule="auto"/>
        <w:ind w:left="360"/>
        <w:jc w:val="both"/>
        <w:rPr>
          <w:rFonts w:ascii="Arial" w:hAnsi="Arial" w:cs="Arial"/>
          <w:sz w:val="24"/>
          <w:szCs w:val="24"/>
        </w:rPr>
      </w:pPr>
      <w:r w:rsidRPr="00D11856">
        <w:rPr>
          <w:rFonts w:ascii="Arial" w:hAnsi="Arial" w:cs="Arial"/>
          <w:sz w:val="24"/>
          <w:szCs w:val="24"/>
        </w:rPr>
        <w:t>19% of adults in Wales were drinking above the weekly guidelines in 2018 to 2019 and 2019 to 2020. Drinking above guidelines was more prevalent in males than females.</w:t>
      </w:r>
    </w:p>
    <w:p w14:paraId="2E2B2A4C" w14:textId="77777777" w:rsidR="007A2A74" w:rsidRPr="00D11856" w:rsidRDefault="007A2A74" w:rsidP="00DC54F7">
      <w:pPr>
        <w:numPr>
          <w:ilvl w:val="0"/>
          <w:numId w:val="125"/>
        </w:numPr>
        <w:spacing w:after="0" w:line="240" w:lineRule="auto"/>
        <w:ind w:left="360"/>
        <w:jc w:val="both"/>
        <w:rPr>
          <w:rFonts w:ascii="Arial" w:hAnsi="Arial" w:cs="Arial"/>
          <w:sz w:val="24"/>
          <w:szCs w:val="24"/>
        </w:rPr>
      </w:pPr>
      <w:r w:rsidRPr="00D11856">
        <w:rPr>
          <w:rFonts w:ascii="Arial" w:hAnsi="Arial" w:cs="Arial"/>
          <w:sz w:val="24"/>
          <w:szCs w:val="24"/>
        </w:rPr>
        <w:t>Morbidity and mortality are consistently higher in men for virtually all cancers that are not sex specific.</w:t>
      </w:r>
    </w:p>
    <w:p w14:paraId="4902793B" w14:textId="77777777" w:rsidR="007A2A74" w:rsidRDefault="007A2A74" w:rsidP="00DC54F7">
      <w:pPr>
        <w:spacing w:after="0" w:line="240" w:lineRule="auto"/>
        <w:jc w:val="both"/>
        <w:rPr>
          <w:rFonts w:ascii="Verdana" w:hAnsi="Verdana" w:cs="Arial"/>
          <w:b/>
          <w:sz w:val="26"/>
          <w:szCs w:val="26"/>
          <w:highlight w:val="yellow"/>
        </w:rPr>
      </w:pPr>
    </w:p>
    <w:p w14:paraId="7EF19B2E" w14:textId="77777777" w:rsidR="007A2A74" w:rsidRDefault="007A2A74" w:rsidP="00DC54F7">
      <w:pPr>
        <w:spacing w:after="0" w:line="240" w:lineRule="auto"/>
        <w:jc w:val="both"/>
        <w:rPr>
          <w:rFonts w:ascii="Verdana" w:hAnsi="Verdana" w:cs="Arial"/>
          <w:b/>
          <w:sz w:val="26"/>
          <w:szCs w:val="26"/>
          <w:highlight w:val="yellow"/>
        </w:rPr>
      </w:pPr>
    </w:p>
    <w:p w14:paraId="15DB303F" w14:textId="77777777" w:rsidR="007A2A74" w:rsidRPr="00BB36F4" w:rsidRDefault="007A2A74" w:rsidP="00DC54F7">
      <w:pPr>
        <w:spacing w:after="0" w:line="240" w:lineRule="auto"/>
        <w:jc w:val="both"/>
        <w:rPr>
          <w:rFonts w:ascii="Arial" w:hAnsi="Arial" w:cs="Arial"/>
          <w:b/>
          <w:sz w:val="26"/>
          <w:szCs w:val="26"/>
        </w:rPr>
      </w:pPr>
      <w:r w:rsidRPr="00BB36F4">
        <w:rPr>
          <w:rFonts w:ascii="Arial" w:hAnsi="Arial" w:cs="Arial"/>
          <w:b/>
          <w:sz w:val="26"/>
          <w:szCs w:val="26"/>
        </w:rPr>
        <w:t>4.7 Sexual orientation</w:t>
      </w:r>
    </w:p>
    <w:p w14:paraId="14D6902B" w14:textId="77777777" w:rsidR="007A2A74" w:rsidRPr="00BB36F4" w:rsidRDefault="007A2A74" w:rsidP="00DC54F7">
      <w:pPr>
        <w:spacing w:after="0" w:line="240" w:lineRule="auto"/>
        <w:jc w:val="both"/>
        <w:rPr>
          <w:rFonts w:ascii="Arial" w:hAnsi="Arial" w:cs="Arial"/>
        </w:rPr>
      </w:pPr>
    </w:p>
    <w:p w14:paraId="06658CB4"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The public health white paper ‘Healthy Lives, Healthy People’ identified poor mental health, sexually transmitted infections, problematic drug and alcohol use and smoking as the top public health issues facing the UK. </w:t>
      </w:r>
    </w:p>
    <w:p w14:paraId="00D38905" w14:textId="77777777" w:rsidR="007A2A74" w:rsidRPr="00D11856" w:rsidRDefault="007A2A74" w:rsidP="00DC54F7">
      <w:pPr>
        <w:spacing w:after="0" w:line="240" w:lineRule="auto"/>
        <w:jc w:val="both"/>
        <w:rPr>
          <w:rFonts w:ascii="Arial" w:hAnsi="Arial" w:cs="Arial"/>
          <w:sz w:val="24"/>
          <w:szCs w:val="24"/>
        </w:rPr>
      </w:pPr>
    </w:p>
    <w:p w14:paraId="4E3C3E10" w14:textId="77777777" w:rsidR="007A2A74" w:rsidRPr="00D11856" w:rsidRDefault="007A2A74" w:rsidP="00DC54F7">
      <w:pPr>
        <w:spacing w:after="0" w:line="240" w:lineRule="auto"/>
        <w:jc w:val="both"/>
        <w:rPr>
          <w:rFonts w:ascii="Arial" w:hAnsi="Arial" w:cs="Arial"/>
          <w:b/>
          <w:bCs/>
          <w:sz w:val="24"/>
          <w:szCs w:val="24"/>
        </w:rPr>
      </w:pPr>
      <w:r w:rsidRPr="00D11856">
        <w:rPr>
          <w:rFonts w:ascii="Arial" w:hAnsi="Arial" w:cs="Arial"/>
          <w:bCs/>
          <w:sz w:val="24"/>
          <w:szCs w:val="24"/>
        </w:rPr>
        <w:t>All of these disproportionately affect Lesbian Gay Bisexual Transgender (LGBT) populations:</w:t>
      </w:r>
    </w:p>
    <w:p w14:paraId="7825BCF5" w14:textId="77777777" w:rsidR="007A2A74" w:rsidRPr="00D11856" w:rsidRDefault="007A2A74" w:rsidP="00DC54F7">
      <w:pPr>
        <w:spacing w:after="0" w:line="240" w:lineRule="auto"/>
        <w:jc w:val="both"/>
        <w:rPr>
          <w:rFonts w:ascii="Arial" w:hAnsi="Arial" w:cs="Arial"/>
          <w:b/>
          <w:bCs/>
          <w:sz w:val="24"/>
          <w:szCs w:val="24"/>
        </w:rPr>
      </w:pPr>
    </w:p>
    <w:p w14:paraId="5ACF03CE" w14:textId="77777777" w:rsidR="007A2A74" w:rsidRPr="00D11856" w:rsidRDefault="007A2A74" w:rsidP="00DC54F7">
      <w:pPr>
        <w:numPr>
          <w:ilvl w:val="0"/>
          <w:numId w:val="120"/>
        </w:numPr>
        <w:spacing w:after="0" w:line="240" w:lineRule="auto"/>
        <w:ind w:left="360"/>
        <w:contextualSpacing/>
        <w:jc w:val="both"/>
        <w:rPr>
          <w:rFonts w:ascii="Arial" w:hAnsi="Arial" w:cs="Arial"/>
          <w:b/>
          <w:sz w:val="24"/>
          <w:szCs w:val="24"/>
        </w:rPr>
      </w:pPr>
      <w:r w:rsidRPr="00D11856">
        <w:rPr>
          <w:rFonts w:ascii="Arial" w:hAnsi="Arial" w:cs="Arial"/>
          <w:sz w:val="24"/>
          <w:szCs w:val="24"/>
        </w:rPr>
        <w:t xml:space="preserve">Illicit drug use amongst LGB people is at least eight times higher than in the general population. </w:t>
      </w:r>
    </w:p>
    <w:p w14:paraId="52D1D8F7" w14:textId="77777777" w:rsidR="007A2A74" w:rsidRPr="00D11856" w:rsidRDefault="007A2A74" w:rsidP="00DC54F7">
      <w:pPr>
        <w:numPr>
          <w:ilvl w:val="0"/>
          <w:numId w:val="120"/>
        </w:numPr>
        <w:spacing w:after="0" w:line="240" w:lineRule="auto"/>
        <w:ind w:left="360"/>
        <w:contextualSpacing/>
        <w:jc w:val="both"/>
        <w:rPr>
          <w:rFonts w:ascii="Arial" w:hAnsi="Arial" w:cs="Arial"/>
          <w:b/>
          <w:sz w:val="24"/>
          <w:szCs w:val="24"/>
        </w:rPr>
      </w:pPr>
      <w:r w:rsidRPr="00D11856">
        <w:rPr>
          <w:rFonts w:ascii="Arial" w:hAnsi="Arial" w:cs="Arial"/>
          <w:sz w:val="24"/>
          <w:szCs w:val="24"/>
        </w:rPr>
        <w:t xml:space="preserve">Around 25% of LGB people indicate a level of alcohol dependency. </w:t>
      </w:r>
    </w:p>
    <w:p w14:paraId="577D617B" w14:textId="77777777" w:rsidR="007A2A74" w:rsidRPr="00D11856" w:rsidRDefault="007A2A74" w:rsidP="00DC54F7">
      <w:pPr>
        <w:numPr>
          <w:ilvl w:val="0"/>
          <w:numId w:val="120"/>
        </w:numPr>
        <w:spacing w:after="0" w:line="240" w:lineRule="auto"/>
        <w:ind w:left="360"/>
        <w:contextualSpacing/>
        <w:jc w:val="both"/>
        <w:rPr>
          <w:rFonts w:ascii="Arial" w:hAnsi="Arial" w:cs="Arial"/>
          <w:b/>
          <w:sz w:val="24"/>
          <w:szCs w:val="24"/>
        </w:rPr>
      </w:pPr>
      <w:r w:rsidRPr="00D11856">
        <w:rPr>
          <w:rFonts w:ascii="Arial" w:hAnsi="Arial" w:cs="Arial"/>
          <w:sz w:val="24"/>
          <w:szCs w:val="24"/>
        </w:rPr>
        <w:t>Nearly half of LGBT individuals smoke, compared with a quarter of their heterosexual peers.</w:t>
      </w:r>
    </w:p>
    <w:p w14:paraId="00119F27" w14:textId="77777777" w:rsidR="007A2A74" w:rsidRPr="00D11856" w:rsidRDefault="007A2A74" w:rsidP="00DC54F7">
      <w:pPr>
        <w:numPr>
          <w:ilvl w:val="0"/>
          <w:numId w:val="120"/>
        </w:numPr>
        <w:spacing w:after="0" w:line="240" w:lineRule="auto"/>
        <w:ind w:left="360"/>
        <w:contextualSpacing/>
        <w:jc w:val="both"/>
        <w:rPr>
          <w:rFonts w:ascii="Arial" w:hAnsi="Arial" w:cs="Arial"/>
          <w:b/>
          <w:sz w:val="24"/>
          <w:szCs w:val="24"/>
        </w:rPr>
      </w:pPr>
      <w:r w:rsidRPr="00D11856">
        <w:rPr>
          <w:rFonts w:ascii="Arial" w:hAnsi="Arial" w:cs="Arial"/>
          <w:sz w:val="24"/>
          <w:szCs w:val="24"/>
        </w:rPr>
        <w:t>Lesbian, gay and bisexual people are at higher risk of mental disorder, suicidal ideation, substance misuse and deliberate self-harm.</w:t>
      </w:r>
    </w:p>
    <w:p w14:paraId="3F134B1F" w14:textId="77777777" w:rsidR="007A2A74" w:rsidRPr="00D11856" w:rsidRDefault="007A2A74" w:rsidP="00DC54F7">
      <w:pPr>
        <w:numPr>
          <w:ilvl w:val="0"/>
          <w:numId w:val="120"/>
        </w:numPr>
        <w:spacing w:after="0" w:line="240" w:lineRule="auto"/>
        <w:ind w:left="360"/>
        <w:contextualSpacing/>
        <w:jc w:val="both"/>
        <w:rPr>
          <w:rFonts w:ascii="Arial" w:hAnsi="Arial" w:cs="Arial"/>
          <w:b/>
          <w:sz w:val="24"/>
          <w:szCs w:val="24"/>
        </w:rPr>
      </w:pPr>
      <w:r w:rsidRPr="00D11856">
        <w:rPr>
          <w:rFonts w:ascii="Arial" w:hAnsi="Arial" w:cs="Arial"/>
          <w:sz w:val="24"/>
          <w:szCs w:val="24"/>
        </w:rPr>
        <w:t>41% of trans people reported attempting suicide compared to 1.6% of the general population.</w:t>
      </w:r>
    </w:p>
    <w:p w14:paraId="6235C7B1" w14:textId="77777777" w:rsidR="007A2A74" w:rsidRDefault="007A2A74" w:rsidP="00DC54F7">
      <w:pPr>
        <w:spacing w:after="0" w:line="240" w:lineRule="auto"/>
        <w:jc w:val="both"/>
        <w:rPr>
          <w:rFonts w:ascii="Arial" w:hAnsi="Arial" w:cs="Arial"/>
          <w:b/>
          <w:sz w:val="26"/>
          <w:szCs w:val="26"/>
        </w:rPr>
      </w:pPr>
    </w:p>
    <w:p w14:paraId="443ABA33" w14:textId="77777777" w:rsidR="007A2A74" w:rsidRDefault="007A2A74" w:rsidP="00DC54F7">
      <w:pPr>
        <w:spacing w:after="0" w:line="240" w:lineRule="auto"/>
        <w:jc w:val="both"/>
        <w:rPr>
          <w:rFonts w:ascii="Arial" w:hAnsi="Arial" w:cs="Arial"/>
          <w:b/>
          <w:sz w:val="26"/>
          <w:szCs w:val="26"/>
        </w:rPr>
      </w:pPr>
    </w:p>
    <w:p w14:paraId="1C061BC2" w14:textId="56AC894B" w:rsidR="007A2A74" w:rsidRPr="00E15D2E" w:rsidRDefault="007A2A74" w:rsidP="00DC54F7">
      <w:pPr>
        <w:spacing w:after="0" w:line="240" w:lineRule="auto"/>
        <w:jc w:val="both"/>
        <w:rPr>
          <w:rFonts w:ascii="Arial" w:hAnsi="Arial" w:cs="Arial"/>
          <w:bCs/>
          <w:sz w:val="26"/>
          <w:szCs w:val="26"/>
        </w:rPr>
      </w:pPr>
      <w:r w:rsidRPr="00BB36F4">
        <w:rPr>
          <w:rFonts w:ascii="Arial" w:hAnsi="Arial" w:cs="Arial"/>
          <w:b/>
          <w:sz w:val="26"/>
          <w:szCs w:val="26"/>
        </w:rPr>
        <w:t>4.8 Gender re-assignment</w:t>
      </w:r>
      <w:r>
        <w:rPr>
          <w:rFonts w:ascii="Arial" w:hAnsi="Arial" w:cs="Arial"/>
          <w:b/>
          <w:sz w:val="26"/>
          <w:szCs w:val="26"/>
        </w:rPr>
        <w:t xml:space="preserve"> </w:t>
      </w:r>
      <w:r w:rsidRPr="00E15D2E">
        <w:rPr>
          <w:rFonts w:ascii="Arial" w:hAnsi="Arial" w:cs="Arial"/>
          <w:bCs/>
          <w:sz w:val="20"/>
          <w:szCs w:val="20"/>
          <w:vertAlign w:val="superscript"/>
        </w:rPr>
        <w:footnoteReference w:id="37"/>
      </w:r>
    </w:p>
    <w:p w14:paraId="3163A42A" w14:textId="77777777" w:rsidR="007A2A74" w:rsidRPr="00BB36F4" w:rsidRDefault="007A2A74" w:rsidP="00DC54F7">
      <w:pPr>
        <w:spacing w:after="0" w:line="240" w:lineRule="auto"/>
        <w:ind w:left="720"/>
        <w:contextualSpacing/>
        <w:jc w:val="both"/>
        <w:rPr>
          <w:rFonts w:ascii="Arial" w:hAnsi="Arial" w:cs="Arial"/>
          <w:highlight w:val="yellow"/>
        </w:rPr>
      </w:pPr>
    </w:p>
    <w:p w14:paraId="569DAC0F" w14:textId="77777777" w:rsidR="007A2A74" w:rsidRPr="00D11856" w:rsidRDefault="007A2A74" w:rsidP="00DC54F7">
      <w:pPr>
        <w:numPr>
          <w:ilvl w:val="0"/>
          <w:numId w:val="126"/>
        </w:numPr>
        <w:spacing w:after="0" w:line="240" w:lineRule="auto"/>
        <w:jc w:val="both"/>
        <w:rPr>
          <w:rFonts w:ascii="Arial" w:hAnsi="Arial" w:cs="Arial"/>
          <w:sz w:val="24"/>
          <w:szCs w:val="24"/>
        </w:rPr>
      </w:pPr>
      <w:r w:rsidRPr="00D11856">
        <w:rPr>
          <w:rFonts w:ascii="Arial" w:hAnsi="Arial" w:cs="Arial"/>
          <w:sz w:val="24"/>
          <w:szCs w:val="24"/>
        </w:rPr>
        <w:t>Drugs and alcohol are processed by the liver as are cross-sex hormones. Heavy use of alcohol and/or drugs whilst taking hormones may increase the risk of liver toxicity and liver damage.</w:t>
      </w:r>
    </w:p>
    <w:p w14:paraId="79DE9C41" w14:textId="77777777" w:rsidR="007A2A74" w:rsidRPr="00D11856" w:rsidRDefault="007A2A74" w:rsidP="00DC54F7">
      <w:pPr>
        <w:numPr>
          <w:ilvl w:val="0"/>
          <w:numId w:val="126"/>
        </w:numPr>
        <w:spacing w:after="0" w:line="240" w:lineRule="auto"/>
        <w:jc w:val="both"/>
        <w:rPr>
          <w:rFonts w:ascii="Arial" w:hAnsi="Arial" w:cs="Arial"/>
          <w:sz w:val="24"/>
          <w:szCs w:val="24"/>
        </w:rPr>
      </w:pPr>
      <w:r w:rsidRPr="00D11856">
        <w:rPr>
          <w:rFonts w:ascii="Arial" w:hAnsi="Arial" w:cs="Arial"/>
          <w:sz w:val="24"/>
          <w:szCs w:val="24"/>
        </w:rPr>
        <w:lastRenderedPageBreak/>
        <w:t>Alcohol, drugs and tobacco and the use of hormone therapy can all increase cardiovascular risk. Taken together, they can also increase the risk already posed by hormone therapy.</w:t>
      </w:r>
    </w:p>
    <w:p w14:paraId="6C1D5D86" w14:textId="77777777" w:rsidR="007A2A74" w:rsidRPr="00D11856" w:rsidRDefault="007A2A74" w:rsidP="00DC54F7">
      <w:pPr>
        <w:numPr>
          <w:ilvl w:val="0"/>
          <w:numId w:val="126"/>
        </w:numPr>
        <w:spacing w:after="0" w:line="240" w:lineRule="auto"/>
        <w:jc w:val="both"/>
        <w:rPr>
          <w:rFonts w:ascii="Arial" w:hAnsi="Arial" w:cs="Arial"/>
          <w:sz w:val="24"/>
          <w:szCs w:val="24"/>
        </w:rPr>
      </w:pPr>
      <w:r w:rsidRPr="00D11856">
        <w:rPr>
          <w:rFonts w:ascii="Arial" w:hAnsi="Arial" w:cs="Arial"/>
          <w:sz w:val="24"/>
          <w:szCs w:val="24"/>
        </w:rPr>
        <w:t>Smoking can affect oestrogen levels, increasing the risk of osteoporosis and reducing the feminising effects of oestrogen medication.</w:t>
      </w:r>
    </w:p>
    <w:p w14:paraId="3D99DDE2" w14:textId="77777777" w:rsidR="007A2A74" w:rsidRPr="00D11856" w:rsidRDefault="007A2A74" w:rsidP="00DC54F7">
      <w:pPr>
        <w:numPr>
          <w:ilvl w:val="0"/>
          <w:numId w:val="126"/>
        </w:numPr>
        <w:spacing w:after="0" w:line="240" w:lineRule="auto"/>
        <w:jc w:val="both"/>
        <w:rPr>
          <w:rFonts w:ascii="Arial" w:hAnsi="Arial" w:cs="Arial"/>
          <w:sz w:val="24"/>
          <w:szCs w:val="24"/>
        </w:rPr>
      </w:pPr>
      <w:r w:rsidRPr="00D11856">
        <w:rPr>
          <w:rFonts w:ascii="Arial" w:hAnsi="Arial" w:cs="Arial"/>
          <w:sz w:val="24"/>
          <w:szCs w:val="24"/>
        </w:rPr>
        <w:t>Transgender people face a number of barriers that can prevent them from engaging in regular exercise. Many transgender people struggle with body image and as a result can be reluctant to engage in physical activity.</w:t>
      </w:r>
    </w:p>
    <w:p w14:paraId="52E1F8D9" w14:textId="77777777" w:rsidR="007A2A74" w:rsidRPr="00D11856" w:rsidRDefault="007A2A74" w:rsidP="00DC54F7">
      <w:pPr>
        <w:numPr>
          <w:ilvl w:val="0"/>
          <w:numId w:val="126"/>
        </w:numPr>
        <w:spacing w:after="0" w:line="240" w:lineRule="auto"/>
        <w:jc w:val="both"/>
        <w:rPr>
          <w:rFonts w:ascii="Arial" w:hAnsi="Arial" w:cs="Arial"/>
          <w:sz w:val="24"/>
          <w:szCs w:val="24"/>
        </w:rPr>
      </w:pPr>
      <w:r w:rsidRPr="00D11856">
        <w:rPr>
          <w:rFonts w:ascii="Arial" w:hAnsi="Arial" w:cs="Arial"/>
          <w:sz w:val="24"/>
          <w:szCs w:val="24"/>
        </w:rPr>
        <w:t>Gender dysphoria is the medical term used to describe this discomfort. Transgender people are likely to suffer from mental ill health as a reaction to the discomfort they feel. This is primarily driven by a sense of difference and not being accepted by society. If a transgender person wishes to transition and live in the gender role they identify with, they may also worry about damaging their relationships, losing their job, being a victim of hate crime and being discriminated against. The fear of such prejudice and discrimination, which can be real or imagined, can cause significant psychological distress.</w:t>
      </w:r>
    </w:p>
    <w:p w14:paraId="42147D31" w14:textId="77777777" w:rsidR="007A2A74" w:rsidRDefault="007A2A74" w:rsidP="00DC54F7">
      <w:pPr>
        <w:spacing w:after="0" w:line="240" w:lineRule="auto"/>
        <w:jc w:val="both"/>
        <w:rPr>
          <w:rFonts w:ascii="Arial" w:hAnsi="Arial" w:cs="Arial"/>
          <w:b/>
          <w:sz w:val="26"/>
          <w:szCs w:val="26"/>
        </w:rPr>
      </w:pPr>
    </w:p>
    <w:p w14:paraId="27138AE8" w14:textId="77777777" w:rsidR="007A2A74" w:rsidRDefault="007A2A74" w:rsidP="00DC54F7">
      <w:pPr>
        <w:spacing w:after="0" w:line="240" w:lineRule="auto"/>
        <w:jc w:val="both"/>
        <w:rPr>
          <w:rFonts w:ascii="Arial" w:hAnsi="Arial" w:cs="Arial"/>
          <w:b/>
          <w:sz w:val="26"/>
          <w:szCs w:val="26"/>
        </w:rPr>
      </w:pPr>
    </w:p>
    <w:p w14:paraId="33C4B269" w14:textId="77777777" w:rsidR="007A2A74" w:rsidRPr="00954D6E" w:rsidRDefault="007A2A74" w:rsidP="00DC54F7">
      <w:pPr>
        <w:spacing w:after="0" w:line="240" w:lineRule="auto"/>
        <w:jc w:val="both"/>
        <w:rPr>
          <w:rFonts w:ascii="Arial" w:hAnsi="Arial" w:cs="Arial"/>
          <w:b/>
        </w:rPr>
      </w:pPr>
      <w:r>
        <w:rPr>
          <w:rFonts w:ascii="Arial" w:hAnsi="Arial" w:cs="Arial"/>
          <w:b/>
          <w:sz w:val="26"/>
          <w:szCs w:val="26"/>
        </w:rPr>
        <w:t>4</w:t>
      </w:r>
      <w:r w:rsidRPr="00BB36F4">
        <w:rPr>
          <w:rFonts w:ascii="Arial" w:hAnsi="Arial" w:cs="Arial"/>
          <w:b/>
          <w:sz w:val="26"/>
          <w:szCs w:val="26"/>
        </w:rPr>
        <w:t>.9 University student</w:t>
      </w:r>
      <w:r>
        <w:rPr>
          <w:rFonts w:ascii="Arial" w:hAnsi="Arial" w:cs="Arial"/>
          <w:b/>
          <w:sz w:val="26"/>
          <w:szCs w:val="26"/>
        </w:rPr>
        <w:t xml:space="preserve">s </w:t>
      </w:r>
      <w:r w:rsidRPr="00954D6E">
        <w:rPr>
          <w:rStyle w:val="FootnoteReference"/>
          <w:rFonts w:ascii="Arial" w:hAnsi="Arial" w:cs="Arial"/>
          <w:bCs/>
        </w:rPr>
        <w:footnoteReference w:id="38"/>
      </w:r>
    </w:p>
    <w:p w14:paraId="1BFD2E9A" w14:textId="77777777" w:rsidR="007A2A74" w:rsidRDefault="007A2A74" w:rsidP="00DC54F7">
      <w:pPr>
        <w:spacing w:after="0" w:line="240" w:lineRule="auto"/>
        <w:jc w:val="both"/>
        <w:rPr>
          <w:rFonts w:ascii="Arial" w:hAnsi="Arial" w:cs="Arial"/>
        </w:rPr>
      </w:pPr>
    </w:p>
    <w:p w14:paraId="5AF19639"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For many university students, this will be the first time they have moved away from home to live independently. It is a time of transition and the challenges of university life can impact on health care. Health needs identified include:</w:t>
      </w:r>
    </w:p>
    <w:p w14:paraId="011CDF1B" w14:textId="77777777" w:rsidR="007A2A74" w:rsidRPr="00D11856" w:rsidRDefault="007A2A74" w:rsidP="00DC54F7">
      <w:pPr>
        <w:spacing w:after="0" w:line="240" w:lineRule="auto"/>
        <w:jc w:val="both"/>
        <w:rPr>
          <w:rFonts w:ascii="Arial" w:hAnsi="Arial" w:cs="Arial"/>
          <w:sz w:val="24"/>
          <w:szCs w:val="24"/>
        </w:rPr>
      </w:pPr>
    </w:p>
    <w:p w14:paraId="4BA7AC7B" w14:textId="77777777" w:rsidR="007A2A74" w:rsidRPr="00D11856" w:rsidRDefault="007A2A74" w:rsidP="00DC54F7">
      <w:pPr>
        <w:numPr>
          <w:ilvl w:val="0"/>
          <w:numId w:val="127"/>
        </w:numPr>
        <w:spacing w:after="0" w:line="240" w:lineRule="auto"/>
        <w:jc w:val="both"/>
        <w:rPr>
          <w:rFonts w:ascii="Arial" w:hAnsi="Arial" w:cs="Arial"/>
          <w:sz w:val="24"/>
          <w:szCs w:val="24"/>
        </w:rPr>
      </w:pPr>
      <w:r w:rsidRPr="00D11856">
        <w:rPr>
          <w:rFonts w:ascii="Arial" w:hAnsi="Arial" w:cs="Arial"/>
          <w:sz w:val="24"/>
          <w:szCs w:val="24"/>
        </w:rPr>
        <w:t>Screening for, and treatment of, sexually transmitted diseases.</w:t>
      </w:r>
    </w:p>
    <w:p w14:paraId="7A90C1D3" w14:textId="77777777" w:rsidR="007A2A74" w:rsidRPr="00D11856" w:rsidRDefault="007A2A74" w:rsidP="00DC54F7">
      <w:pPr>
        <w:numPr>
          <w:ilvl w:val="0"/>
          <w:numId w:val="127"/>
        </w:numPr>
        <w:spacing w:after="0" w:line="240" w:lineRule="auto"/>
        <w:jc w:val="both"/>
        <w:rPr>
          <w:rFonts w:ascii="Arial" w:hAnsi="Arial" w:cs="Arial"/>
          <w:sz w:val="24"/>
          <w:szCs w:val="24"/>
        </w:rPr>
      </w:pPr>
      <w:r w:rsidRPr="00D11856">
        <w:rPr>
          <w:rFonts w:ascii="Arial" w:hAnsi="Arial" w:cs="Arial"/>
          <w:sz w:val="24"/>
          <w:szCs w:val="24"/>
        </w:rPr>
        <w:t>Smoking cessation.</w:t>
      </w:r>
    </w:p>
    <w:p w14:paraId="1E68AA79" w14:textId="77777777" w:rsidR="007A2A74" w:rsidRPr="00D11856" w:rsidRDefault="007A2A74" w:rsidP="00DC54F7">
      <w:pPr>
        <w:numPr>
          <w:ilvl w:val="0"/>
          <w:numId w:val="127"/>
        </w:numPr>
        <w:spacing w:after="0" w:line="240" w:lineRule="auto"/>
        <w:jc w:val="both"/>
        <w:rPr>
          <w:rFonts w:ascii="Arial" w:hAnsi="Arial" w:cs="Arial"/>
          <w:sz w:val="24"/>
          <w:szCs w:val="24"/>
        </w:rPr>
      </w:pPr>
      <w:r w:rsidRPr="00D11856">
        <w:rPr>
          <w:rFonts w:ascii="Arial" w:hAnsi="Arial" w:cs="Arial"/>
          <w:sz w:val="24"/>
          <w:szCs w:val="24"/>
        </w:rPr>
        <w:t>Meningitis vaccination.</w:t>
      </w:r>
    </w:p>
    <w:p w14:paraId="3060B04F" w14:textId="77777777" w:rsidR="007A2A74" w:rsidRPr="00D11856" w:rsidRDefault="007A2A74" w:rsidP="00DC54F7">
      <w:pPr>
        <w:numPr>
          <w:ilvl w:val="0"/>
          <w:numId w:val="127"/>
        </w:numPr>
        <w:spacing w:after="0" w:line="240" w:lineRule="auto"/>
        <w:jc w:val="both"/>
        <w:rPr>
          <w:rFonts w:ascii="Arial" w:hAnsi="Arial" w:cs="Arial"/>
          <w:sz w:val="24"/>
          <w:szCs w:val="24"/>
        </w:rPr>
      </w:pPr>
      <w:r w:rsidRPr="00D11856">
        <w:rPr>
          <w:rFonts w:ascii="Arial" w:hAnsi="Arial" w:cs="Arial"/>
          <w:sz w:val="24"/>
          <w:szCs w:val="24"/>
        </w:rPr>
        <w:t>Alcohol and substance use support.</w:t>
      </w:r>
    </w:p>
    <w:p w14:paraId="0858A410" w14:textId="77777777" w:rsidR="007A2A74" w:rsidRPr="00D11856" w:rsidRDefault="007A2A74" w:rsidP="00DC54F7">
      <w:pPr>
        <w:numPr>
          <w:ilvl w:val="0"/>
          <w:numId w:val="127"/>
        </w:numPr>
        <w:spacing w:after="0" w:line="240" w:lineRule="auto"/>
        <w:jc w:val="both"/>
        <w:rPr>
          <w:rFonts w:ascii="Arial" w:hAnsi="Arial" w:cs="Arial"/>
          <w:sz w:val="24"/>
          <w:szCs w:val="24"/>
        </w:rPr>
      </w:pPr>
      <w:r w:rsidRPr="00D11856">
        <w:rPr>
          <w:rFonts w:ascii="Arial" w:hAnsi="Arial" w:cs="Arial"/>
          <w:sz w:val="24"/>
          <w:szCs w:val="24"/>
        </w:rPr>
        <w:t>Contraception, including emergency hormonal contraception, provision.</w:t>
      </w:r>
    </w:p>
    <w:p w14:paraId="4B9AB9BA" w14:textId="71195478" w:rsidR="007A2A74" w:rsidRPr="00D11856" w:rsidRDefault="007A2A74" w:rsidP="00DC54F7">
      <w:pPr>
        <w:numPr>
          <w:ilvl w:val="0"/>
          <w:numId w:val="127"/>
        </w:numPr>
        <w:spacing w:after="0" w:line="240" w:lineRule="auto"/>
        <w:contextualSpacing/>
        <w:jc w:val="both"/>
        <w:rPr>
          <w:rFonts w:ascii="Arial" w:hAnsi="Arial" w:cs="Arial"/>
          <w:sz w:val="24"/>
          <w:szCs w:val="24"/>
        </w:rPr>
      </w:pPr>
      <w:r w:rsidRPr="00D11856">
        <w:rPr>
          <w:rFonts w:ascii="Arial" w:hAnsi="Arial" w:cs="Arial"/>
          <w:sz w:val="24"/>
          <w:szCs w:val="24"/>
        </w:rPr>
        <w:t xml:space="preserve">Mental health problems are increasing within the student population. 94% of universities in the UK have experienced a sharp increase in the number of people trying to access support services, with some institutions noticing a threefold increase. This is likely to have been exacerbated by the </w:t>
      </w:r>
      <w:r w:rsidR="00F60815" w:rsidRPr="00D11856">
        <w:rPr>
          <w:rFonts w:ascii="Arial" w:hAnsi="Arial" w:cs="Arial"/>
          <w:sz w:val="24"/>
          <w:szCs w:val="24"/>
        </w:rPr>
        <w:t>Coronavirus (COVID-19)</w:t>
      </w:r>
      <w:r w:rsidRPr="00D11856">
        <w:rPr>
          <w:rFonts w:ascii="Arial" w:hAnsi="Arial" w:cs="Arial"/>
          <w:sz w:val="24"/>
          <w:szCs w:val="24"/>
        </w:rPr>
        <w:t xml:space="preserve"> pandemic</w:t>
      </w:r>
    </w:p>
    <w:p w14:paraId="09D3EC17" w14:textId="77777777" w:rsidR="007A2A74" w:rsidRPr="00D11856" w:rsidRDefault="007A2A74" w:rsidP="00DC54F7">
      <w:pPr>
        <w:numPr>
          <w:ilvl w:val="0"/>
          <w:numId w:val="127"/>
        </w:numPr>
        <w:spacing w:after="0" w:line="240" w:lineRule="auto"/>
        <w:contextualSpacing/>
        <w:jc w:val="both"/>
        <w:rPr>
          <w:rFonts w:ascii="Arial" w:hAnsi="Arial" w:cs="Arial"/>
          <w:sz w:val="24"/>
          <w:szCs w:val="24"/>
        </w:rPr>
      </w:pPr>
      <w:r w:rsidRPr="00D11856">
        <w:rPr>
          <w:rFonts w:ascii="Arial" w:hAnsi="Arial" w:cs="Arial"/>
          <w:sz w:val="24"/>
          <w:szCs w:val="24"/>
        </w:rPr>
        <w:t>According to Unite Students Insight report 2019</w:t>
      </w:r>
      <w:r w:rsidRPr="00D11856">
        <w:rPr>
          <w:rStyle w:val="FootnoteReference"/>
          <w:rFonts w:ascii="Arial" w:hAnsi="Arial" w:cs="Arial"/>
          <w:sz w:val="24"/>
          <w:szCs w:val="24"/>
        </w:rPr>
        <w:footnoteReference w:id="39"/>
      </w:r>
      <w:r w:rsidRPr="00D11856">
        <w:rPr>
          <w:rFonts w:ascii="Arial" w:hAnsi="Arial" w:cs="Arial"/>
          <w:sz w:val="24"/>
          <w:szCs w:val="24"/>
        </w:rPr>
        <w:t>, the percentage of students who consider that they have a mental health condition has risen, and now stands at 17%. This has risen from 12% in 2016 when the question was first asked. As in previous years, anxiety and depression – often both – were the most commonly reported conditions.</w:t>
      </w:r>
    </w:p>
    <w:p w14:paraId="2214E7D4" w14:textId="77777777" w:rsidR="007A2A74" w:rsidRPr="00D11856" w:rsidRDefault="007A2A74" w:rsidP="00DC54F7">
      <w:pPr>
        <w:numPr>
          <w:ilvl w:val="0"/>
          <w:numId w:val="127"/>
        </w:numPr>
        <w:spacing w:after="0" w:line="240" w:lineRule="auto"/>
        <w:contextualSpacing/>
        <w:jc w:val="both"/>
        <w:rPr>
          <w:rFonts w:ascii="Arial" w:hAnsi="Arial" w:cs="Arial"/>
          <w:sz w:val="24"/>
          <w:szCs w:val="24"/>
        </w:rPr>
      </w:pPr>
      <w:r w:rsidRPr="00D11856">
        <w:rPr>
          <w:rFonts w:ascii="Arial" w:hAnsi="Arial" w:cs="Arial"/>
          <w:sz w:val="24"/>
          <w:szCs w:val="24"/>
        </w:rPr>
        <w:t>The number of students dropping out of university with mental health problems has more than trebled in recent years.</w:t>
      </w:r>
    </w:p>
    <w:p w14:paraId="170E6FB5" w14:textId="77777777" w:rsidR="007A2A74" w:rsidRDefault="007A2A74" w:rsidP="00DC54F7">
      <w:pPr>
        <w:spacing w:after="0" w:line="240" w:lineRule="auto"/>
        <w:jc w:val="both"/>
        <w:rPr>
          <w:rFonts w:ascii="Arial" w:hAnsi="Arial" w:cs="Arial"/>
        </w:rPr>
      </w:pPr>
    </w:p>
    <w:p w14:paraId="1FE0355E" w14:textId="77777777" w:rsidR="007A2A74" w:rsidRPr="00BB36F4" w:rsidRDefault="007A2A74" w:rsidP="00DC54F7">
      <w:pPr>
        <w:spacing w:after="0" w:line="240" w:lineRule="auto"/>
        <w:jc w:val="both"/>
        <w:rPr>
          <w:rFonts w:ascii="Arial" w:hAnsi="Arial" w:cs="Arial"/>
        </w:rPr>
      </w:pPr>
    </w:p>
    <w:p w14:paraId="776C1CFB" w14:textId="77777777" w:rsidR="007A2A74" w:rsidRPr="00954D6E" w:rsidRDefault="007A2A74" w:rsidP="00DC54F7">
      <w:pPr>
        <w:spacing w:after="0" w:line="240" w:lineRule="auto"/>
        <w:jc w:val="both"/>
        <w:rPr>
          <w:rFonts w:ascii="Arial" w:hAnsi="Arial" w:cs="Arial"/>
          <w:bCs/>
          <w:sz w:val="26"/>
          <w:szCs w:val="26"/>
        </w:rPr>
      </w:pPr>
      <w:r w:rsidRPr="00203525">
        <w:rPr>
          <w:rFonts w:ascii="Arial" w:hAnsi="Arial" w:cs="Arial"/>
          <w:b/>
          <w:sz w:val="26"/>
          <w:szCs w:val="26"/>
        </w:rPr>
        <w:lastRenderedPageBreak/>
        <w:t>4.10 Offenders and children and young people in contact with the Youth Justice System</w:t>
      </w:r>
      <w:r>
        <w:rPr>
          <w:rFonts w:ascii="Arial" w:hAnsi="Arial" w:cs="Arial"/>
          <w:b/>
          <w:sz w:val="26"/>
          <w:szCs w:val="26"/>
        </w:rPr>
        <w:t xml:space="preserve"> </w:t>
      </w:r>
      <w:r w:rsidRPr="00954D6E">
        <w:rPr>
          <w:rStyle w:val="FootnoteReference"/>
          <w:rFonts w:ascii="Arial" w:hAnsi="Arial" w:cs="Arial"/>
          <w:bCs/>
        </w:rPr>
        <w:footnoteReference w:id="40"/>
      </w:r>
    </w:p>
    <w:p w14:paraId="09A0AE1E" w14:textId="77777777" w:rsidR="007A2A74" w:rsidRPr="00CD0A43" w:rsidRDefault="007A2A74" w:rsidP="00DC54F7">
      <w:pPr>
        <w:spacing w:after="0" w:line="240" w:lineRule="auto"/>
        <w:jc w:val="both"/>
        <w:rPr>
          <w:rFonts w:ascii="Verdana" w:hAnsi="Verdana" w:cs="Arial"/>
          <w:sz w:val="24"/>
          <w:szCs w:val="24"/>
          <w:highlight w:val="yellow"/>
        </w:rPr>
      </w:pPr>
    </w:p>
    <w:p w14:paraId="74445BC9"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The HMP Cardiff health needs assessment identified a number of key issues among prisoners. Those which relate specifically to need which impacts on or is affected by the community, include: </w:t>
      </w:r>
    </w:p>
    <w:p w14:paraId="7D821245" w14:textId="77777777" w:rsidR="007A2A74" w:rsidRPr="00D11856" w:rsidRDefault="007A2A74" w:rsidP="00DC54F7">
      <w:pPr>
        <w:spacing w:after="0" w:line="240" w:lineRule="auto"/>
        <w:jc w:val="both"/>
        <w:rPr>
          <w:rFonts w:ascii="Arial" w:hAnsi="Arial" w:cs="Arial"/>
          <w:sz w:val="24"/>
          <w:szCs w:val="24"/>
        </w:rPr>
      </w:pPr>
    </w:p>
    <w:p w14:paraId="0203E2C5" w14:textId="77777777" w:rsidR="007A2A74" w:rsidRPr="00D11856" w:rsidRDefault="007A2A74" w:rsidP="00DC54F7">
      <w:pPr>
        <w:pStyle w:val="ListParagraph"/>
        <w:numPr>
          <w:ilvl w:val="0"/>
          <w:numId w:val="136"/>
        </w:numPr>
        <w:spacing w:after="0" w:line="240" w:lineRule="auto"/>
        <w:jc w:val="both"/>
        <w:rPr>
          <w:rFonts w:ascii="Arial" w:hAnsi="Arial" w:cs="Arial"/>
          <w:sz w:val="24"/>
          <w:szCs w:val="24"/>
        </w:rPr>
      </w:pPr>
      <w:r w:rsidRPr="00D11856">
        <w:rPr>
          <w:rFonts w:ascii="Arial" w:hAnsi="Arial" w:cs="Arial"/>
          <w:sz w:val="24"/>
          <w:szCs w:val="24"/>
        </w:rPr>
        <w:t>Substance misuse</w:t>
      </w:r>
    </w:p>
    <w:p w14:paraId="6A1F6339" w14:textId="77777777" w:rsidR="007A2A74" w:rsidRPr="00D11856" w:rsidRDefault="007A2A74" w:rsidP="00DC54F7">
      <w:pPr>
        <w:pStyle w:val="ListParagraph"/>
        <w:numPr>
          <w:ilvl w:val="0"/>
          <w:numId w:val="136"/>
        </w:numPr>
        <w:spacing w:after="0" w:line="240" w:lineRule="auto"/>
        <w:jc w:val="both"/>
        <w:rPr>
          <w:rFonts w:ascii="Arial" w:hAnsi="Arial" w:cs="Arial"/>
          <w:sz w:val="24"/>
          <w:szCs w:val="24"/>
        </w:rPr>
      </w:pPr>
      <w:r w:rsidRPr="00D11856">
        <w:rPr>
          <w:rFonts w:ascii="Arial" w:hAnsi="Arial" w:cs="Arial"/>
          <w:sz w:val="24"/>
          <w:szCs w:val="24"/>
        </w:rPr>
        <w:t xml:space="preserve">Mental health </w:t>
      </w:r>
    </w:p>
    <w:p w14:paraId="512E82BC" w14:textId="77777777" w:rsidR="007A2A74" w:rsidRPr="00D11856" w:rsidRDefault="007A2A74" w:rsidP="00DC54F7">
      <w:pPr>
        <w:pStyle w:val="ListParagraph"/>
        <w:numPr>
          <w:ilvl w:val="0"/>
          <w:numId w:val="136"/>
        </w:numPr>
        <w:spacing w:after="0" w:line="240" w:lineRule="auto"/>
        <w:jc w:val="both"/>
        <w:rPr>
          <w:rFonts w:ascii="Arial" w:hAnsi="Arial" w:cs="Arial"/>
          <w:sz w:val="24"/>
          <w:szCs w:val="24"/>
        </w:rPr>
      </w:pPr>
      <w:r w:rsidRPr="00D11856">
        <w:rPr>
          <w:rFonts w:ascii="Arial" w:hAnsi="Arial" w:cs="Arial"/>
          <w:sz w:val="24"/>
          <w:szCs w:val="24"/>
        </w:rPr>
        <w:t xml:space="preserve">Sexual health </w:t>
      </w:r>
    </w:p>
    <w:p w14:paraId="005A4EE7" w14:textId="77777777" w:rsidR="007A2A74" w:rsidRPr="00D11856" w:rsidRDefault="007A2A74" w:rsidP="00DC54F7">
      <w:pPr>
        <w:spacing w:after="0" w:line="240" w:lineRule="auto"/>
        <w:jc w:val="both"/>
        <w:rPr>
          <w:rFonts w:ascii="Verdana" w:hAnsi="Verdana" w:cs="Arial"/>
          <w:sz w:val="24"/>
          <w:szCs w:val="24"/>
          <w:highlight w:val="yellow"/>
        </w:rPr>
      </w:pPr>
    </w:p>
    <w:p w14:paraId="239196E9"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Children and young people in contact with the youth justice system can have more health and well-being needs than other children of their age. A recent report based on experimental statistics of the assessed needs of sentenced children in the Youth Justice System in England and Wales (March 2020), showed that the number of concerns each child had increased with the severity of the type of sentence received. For five of the 19 concerns, 71% of children were accessed to have a concern present. These were:</w:t>
      </w:r>
    </w:p>
    <w:p w14:paraId="23573BD2" w14:textId="77777777" w:rsidR="007A2A74" w:rsidRPr="00D11856" w:rsidRDefault="007A2A74" w:rsidP="00DC54F7">
      <w:pPr>
        <w:spacing w:after="0" w:line="240" w:lineRule="auto"/>
        <w:jc w:val="both"/>
        <w:rPr>
          <w:rFonts w:ascii="Arial" w:hAnsi="Arial" w:cs="Arial"/>
          <w:sz w:val="24"/>
          <w:szCs w:val="24"/>
        </w:rPr>
      </w:pPr>
    </w:p>
    <w:p w14:paraId="649E9A9D" w14:textId="77777777" w:rsidR="007A2A74" w:rsidRPr="00D11856" w:rsidRDefault="007A2A74" w:rsidP="00DC54F7">
      <w:pPr>
        <w:pStyle w:val="ListParagraph"/>
        <w:numPr>
          <w:ilvl w:val="0"/>
          <w:numId w:val="135"/>
        </w:numPr>
        <w:spacing w:after="0" w:line="240" w:lineRule="auto"/>
        <w:jc w:val="both"/>
        <w:rPr>
          <w:rFonts w:ascii="Arial" w:hAnsi="Arial" w:cs="Arial"/>
          <w:sz w:val="24"/>
          <w:szCs w:val="24"/>
        </w:rPr>
      </w:pPr>
      <w:r w:rsidRPr="00D11856">
        <w:rPr>
          <w:rFonts w:ascii="Arial" w:hAnsi="Arial" w:cs="Arial"/>
          <w:sz w:val="24"/>
          <w:szCs w:val="24"/>
        </w:rPr>
        <w:t xml:space="preserve">Safety and Wellbeing (90%), </w:t>
      </w:r>
    </w:p>
    <w:p w14:paraId="339E6322" w14:textId="77777777" w:rsidR="007A2A74" w:rsidRPr="00D11856" w:rsidRDefault="007A2A74" w:rsidP="00DC54F7">
      <w:pPr>
        <w:pStyle w:val="ListParagraph"/>
        <w:numPr>
          <w:ilvl w:val="0"/>
          <w:numId w:val="135"/>
        </w:numPr>
        <w:spacing w:after="0" w:line="240" w:lineRule="auto"/>
        <w:jc w:val="both"/>
        <w:rPr>
          <w:rFonts w:ascii="Arial" w:hAnsi="Arial" w:cs="Arial"/>
          <w:sz w:val="24"/>
          <w:szCs w:val="24"/>
        </w:rPr>
      </w:pPr>
      <w:r w:rsidRPr="00D11856">
        <w:rPr>
          <w:rFonts w:ascii="Arial" w:hAnsi="Arial" w:cs="Arial"/>
          <w:sz w:val="24"/>
          <w:szCs w:val="24"/>
        </w:rPr>
        <w:t xml:space="preserve">Risk to Others (87%), </w:t>
      </w:r>
    </w:p>
    <w:p w14:paraId="5E4DF0FB" w14:textId="77777777" w:rsidR="007A2A74" w:rsidRPr="00D11856" w:rsidRDefault="007A2A74" w:rsidP="00DC54F7">
      <w:pPr>
        <w:pStyle w:val="ListParagraph"/>
        <w:numPr>
          <w:ilvl w:val="0"/>
          <w:numId w:val="135"/>
        </w:numPr>
        <w:spacing w:after="0" w:line="240" w:lineRule="auto"/>
        <w:jc w:val="both"/>
        <w:rPr>
          <w:rFonts w:ascii="Arial" w:hAnsi="Arial" w:cs="Arial"/>
          <w:sz w:val="24"/>
          <w:szCs w:val="24"/>
        </w:rPr>
      </w:pPr>
      <w:r w:rsidRPr="00D11856">
        <w:rPr>
          <w:rFonts w:ascii="Arial" w:hAnsi="Arial" w:cs="Arial"/>
          <w:sz w:val="24"/>
          <w:szCs w:val="24"/>
        </w:rPr>
        <w:t xml:space="preserve">Substance Misuse (76%), </w:t>
      </w:r>
    </w:p>
    <w:p w14:paraId="6F22C105" w14:textId="77777777" w:rsidR="007A2A74" w:rsidRPr="00D11856" w:rsidRDefault="007A2A74" w:rsidP="00DC54F7">
      <w:pPr>
        <w:pStyle w:val="ListParagraph"/>
        <w:numPr>
          <w:ilvl w:val="0"/>
          <w:numId w:val="135"/>
        </w:numPr>
        <w:spacing w:after="0" w:line="240" w:lineRule="auto"/>
        <w:jc w:val="both"/>
        <w:rPr>
          <w:rFonts w:ascii="Arial" w:hAnsi="Arial" w:cs="Arial"/>
          <w:sz w:val="24"/>
          <w:szCs w:val="24"/>
        </w:rPr>
      </w:pPr>
      <w:r w:rsidRPr="00D11856">
        <w:rPr>
          <w:rFonts w:ascii="Arial" w:hAnsi="Arial" w:cs="Arial"/>
          <w:sz w:val="24"/>
          <w:szCs w:val="24"/>
        </w:rPr>
        <w:t xml:space="preserve">Mental Health (72%) </w:t>
      </w:r>
    </w:p>
    <w:p w14:paraId="2353D5FA" w14:textId="77777777" w:rsidR="007A2A74" w:rsidRPr="00D11856" w:rsidRDefault="007A2A74" w:rsidP="00DC54F7">
      <w:pPr>
        <w:pStyle w:val="ListParagraph"/>
        <w:numPr>
          <w:ilvl w:val="0"/>
          <w:numId w:val="135"/>
        </w:numPr>
        <w:spacing w:after="0" w:line="240" w:lineRule="auto"/>
        <w:jc w:val="both"/>
        <w:rPr>
          <w:rFonts w:ascii="Arial" w:hAnsi="Arial" w:cs="Arial"/>
          <w:sz w:val="24"/>
          <w:szCs w:val="24"/>
        </w:rPr>
      </w:pPr>
      <w:r w:rsidRPr="00D11856">
        <w:rPr>
          <w:rFonts w:ascii="Arial" w:hAnsi="Arial" w:cs="Arial"/>
          <w:sz w:val="24"/>
          <w:szCs w:val="24"/>
        </w:rPr>
        <w:t>Speech, Language and Communication (71%).</w:t>
      </w:r>
    </w:p>
    <w:p w14:paraId="6244A6B8" w14:textId="77777777" w:rsidR="007A2A74" w:rsidRPr="00D11856" w:rsidRDefault="007A2A74" w:rsidP="00DC54F7">
      <w:pPr>
        <w:spacing w:after="0" w:line="240" w:lineRule="auto"/>
        <w:jc w:val="both"/>
        <w:rPr>
          <w:rFonts w:ascii="Arial" w:hAnsi="Arial" w:cs="Arial"/>
          <w:sz w:val="24"/>
          <w:szCs w:val="24"/>
        </w:rPr>
      </w:pPr>
    </w:p>
    <w:p w14:paraId="7EBCC4F2"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Furthermore, over half of children were assessed to be a current or previous ‘Child in Need’; almost a third as having a high or very high risk of serious harm; and almost half as having a high or very high Safety and Wellbeing rating.</w:t>
      </w:r>
    </w:p>
    <w:p w14:paraId="2ADC6B88" w14:textId="77777777" w:rsidR="007A2A74" w:rsidRPr="00D11856" w:rsidRDefault="007A2A74" w:rsidP="00DC54F7">
      <w:pPr>
        <w:spacing w:after="0" w:line="240" w:lineRule="auto"/>
        <w:jc w:val="both"/>
        <w:rPr>
          <w:rFonts w:ascii="Verdana" w:hAnsi="Verdana" w:cs="Arial"/>
          <w:b/>
          <w:sz w:val="24"/>
          <w:szCs w:val="24"/>
        </w:rPr>
      </w:pPr>
    </w:p>
    <w:p w14:paraId="6515FE5F" w14:textId="77777777" w:rsidR="007A2A74" w:rsidRDefault="007A2A74" w:rsidP="00DC54F7">
      <w:pPr>
        <w:spacing w:after="0" w:line="240" w:lineRule="auto"/>
        <w:jc w:val="both"/>
        <w:rPr>
          <w:rFonts w:ascii="Verdana" w:hAnsi="Verdana" w:cs="Arial"/>
          <w:b/>
          <w:sz w:val="26"/>
          <w:szCs w:val="26"/>
        </w:rPr>
      </w:pPr>
    </w:p>
    <w:p w14:paraId="17CC64AC" w14:textId="77777777" w:rsidR="007A2A74" w:rsidRPr="00203525" w:rsidRDefault="007A2A74" w:rsidP="00DC54F7">
      <w:pPr>
        <w:spacing w:after="0" w:line="240" w:lineRule="auto"/>
        <w:jc w:val="both"/>
        <w:rPr>
          <w:rFonts w:ascii="Arial" w:hAnsi="Arial" w:cs="Arial"/>
          <w:b/>
          <w:sz w:val="26"/>
          <w:szCs w:val="26"/>
        </w:rPr>
      </w:pPr>
      <w:r w:rsidRPr="00203525">
        <w:rPr>
          <w:rFonts w:ascii="Arial" w:hAnsi="Arial" w:cs="Arial"/>
          <w:b/>
          <w:sz w:val="26"/>
          <w:szCs w:val="26"/>
        </w:rPr>
        <w:t>4.11 Homeless and rough sleepers</w:t>
      </w:r>
    </w:p>
    <w:p w14:paraId="173ECC04" w14:textId="77777777" w:rsidR="007A2A74" w:rsidRPr="00B6322E" w:rsidRDefault="007A2A74" w:rsidP="00DC54F7">
      <w:pPr>
        <w:spacing w:after="0" w:line="240" w:lineRule="auto"/>
        <w:jc w:val="both"/>
        <w:rPr>
          <w:rFonts w:ascii="Verdana" w:hAnsi="Verdana" w:cs="Arial"/>
          <w:sz w:val="24"/>
          <w:szCs w:val="24"/>
        </w:rPr>
      </w:pPr>
    </w:p>
    <w:p w14:paraId="5F256B66"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Sleeping rough is dangerous and is seriously detrimental to a person’s physical and mental health. Research by the homeless charity Crisis</w:t>
      </w:r>
      <w:r w:rsidRPr="00D11856">
        <w:rPr>
          <w:rStyle w:val="FootnoteReference"/>
          <w:rFonts w:ascii="Arial" w:hAnsi="Arial" w:cs="Arial"/>
          <w:sz w:val="24"/>
          <w:szCs w:val="24"/>
        </w:rPr>
        <w:footnoteReference w:id="41"/>
      </w:r>
      <w:r w:rsidRPr="00D11856">
        <w:rPr>
          <w:rFonts w:ascii="Arial" w:hAnsi="Arial" w:cs="Arial"/>
          <w:sz w:val="24"/>
          <w:szCs w:val="24"/>
        </w:rPr>
        <w:t>, found that people who sleep rough are 17 times more likely to be victims of violence than the general public. More than one in three people sleeping rough have been deliberately hit or kicked or experienced some other form of violence whilst homeless. Homeless people are over nine times more likely to take their own life than the general population.</w:t>
      </w:r>
    </w:p>
    <w:p w14:paraId="39961FDE" w14:textId="77777777" w:rsidR="007A2A74" w:rsidRPr="00D11856" w:rsidRDefault="007A2A74" w:rsidP="00DC54F7">
      <w:pPr>
        <w:spacing w:after="0" w:line="240" w:lineRule="auto"/>
        <w:jc w:val="both"/>
        <w:rPr>
          <w:rFonts w:ascii="Arial" w:hAnsi="Arial" w:cs="Arial"/>
          <w:sz w:val="24"/>
          <w:szCs w:val="24"/>
        </w:rPr>
      </w:pPr>
    </w:p>
    <w:p w14:paraId="4F514C22" w14:textId="0E006114"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The mean age at death for someone who is homeless in England and Wales is 45 years for men and 43 for women compared to the mean age at death for the general population of England and Wales which is 76 years and 81 years respectively (2018). </w:t>
      </w:r>
      <w:r w:rsidRPr="00D11856">
        <w:rPr>
          <w:rFonts w:ascii="Arial" w:hAnsi="Arial" w:cs="Arial"/>
          <w:sz w:val="24"/>
          <w:szCs w:val="24"/>
        </w:rPr>
        <w:lastRenderedPageBreak/>
        <w:t>Two in five deaths of homeless people were related to drug poisoning (294 estimated deaths), and the number of deaths from this cause has increased by 55% since 2017. The majority of identified</w:t>
      </w:r>
      <w:r w:rsidR="0072249B" w:rsidRPr="00D11856">
        <w:rPr>
          <w:rFonts w:ascii="Arial" w:hAnsi="Arial" w:cs="Arial"/>
          <w:sz w:val="24"/>
          <w:szCs w:val="24"/>
        </w:rPr>
        <w:t xml:space="preserve"> </w:t>
      </w:r>
      <w:r w:rsidRPr="00D11856">
        <w:rPr>
          <w:rFonts w:ascii="Arial" w:hAnsi="Arial" w:cs="Arial"/>
          <w:sz w:val="24"/>
          <w:szCs w:val="24"/>
        </w:rPr>
        <w:t>deaths were in urban areas (95%), consistent with data showing higher concentrations of rough sleeping in urban areas of England and Wales.</w:t>
      </w:r>
      <w:r w:rsidRPr="00D11856">
        <w:rPr>
          <w:rStyle w:val="FootnoteReference"/>
          <w:rFonts w:ascii="Arial" w:hAnsi="Arial" w:cs="Arial"/>
          <w:sz w:val="24"/>
          <w:szCs w:val="24"/>
        </w:rPr>
        <w:footnoteReference w:id="42"/>
      </w:r>
      <w:r w:rsidRPr="00D11856">
        <w:rPr>
          <w:rFonts w:ascii="Arial" w:hAnsi="Arial" w:cs="Arial"/>
          <w:sz w:val="24"/>
          <w:szCs w:val="24"/>
        </w:rPr>
        <w:t xml:space="preserve"> </w:t>
      </w:r>
    </w:p>
    <w:p w14:paraId="7CE28EF0" w14:textId="77777777" w:rsidR="007A2A74" w:rsidRPr="00D11856" w:rsidRDefault="007A2A74" w:rsidP="00DC54F7">
      <w:pPr>
        <w:spacing w:after="0" w:line="240" w:lineRule="auto"/>
        <w:jc w:val="both"/>
        <w:rPr>
          <w:rFonts w:ascii="Arial" w:hAnsi="Arial" w:cs="Arial"/>
          <w:sz w:val="24"/>
          <w:szCs w:val="24"/>
        </w:rPr>
      </w:pPr>
    </w:p>
    <w:p w14:paraId="1A927E2F"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In Wales, the national rough sleeper monitoring exercise is undertaken to provide a better understanding of rough sleeping. In 2019, it showed that Cardiff had the highest estimated number of rough sleepers (92) in Wales and the Vale of Glamorgan (1) had one of the lowest estimated numbers of rough sleepers.</w:t>
      </w:r>
    </w:p>
    <w:p w14:paraId="00FF8142" w14:textId="77777777" w:rsidR="007A2A74" w:rsidRPr="00D11856" w:rsidRDefault="007A2A74" w:rsidP="00DC54F7">
      <w:pPr>
        <w:spacing w:after="0" w:line="240" w:lineRule="auto"/>
        <w:jc w:val="both"/>
        <w:rPr>
          <w:rFonts w:ascii="Arial" w:hAnsi="Arial" w:cs="Arial"/>
          <w:sz w:val="24"/>
          <w:szCs w:val="24"/>
        </w:rPr>
      </w:pPr>
    </w:p>
    <w:p w14:paraId="650E6C95"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According to report by Centrepoint,</w:t>
      </w:r>
      <w:r w:rsidRPr="00D11856">
        <w:rPr>
          <w:rStyle w:val="FootnoteReference"/>
          <w:rFonts w:ascii="Arial" w:hAnsi="Arial" w:cs="Arial"/>
          <w:sz w:val="24"/>
          <w:szCs w:val="24"/>
        </w:rPr>
        <w:footnoteReference w:id="43"/>
      </w:r>
      <w:r w:rsidRPr="00D11856">
        <w:rPr>
          <w:rFonts w:ascii="Arial" w:hAnsi="Arial" w:cs="Arial"/>
          <w:sz w:val="24"/>
          <w:szCs w:val="24"/>
        </w:rPr>
        <w:t xml:space="preserve"> homeless young people are amongst the most socially disadvantaged in society. Previous research has shown that many have complex problems including substance misuse, mental and physical health problems, and have suffered abuse or experienced traumatic events. 42% of homeless young people have a diagnosed mental health problem or report symptoms of poor mental health, 18% have attempted suicide, 31% have a physical health problem (such as problems with their breathing, joints and muscles, or frequent headaches), 21% have a history of self-harm, 52% report problems with their sleep, 55% smoke, and 50% use illegal substances.</w:t>
      </w:r>
    </w:p>
    <w:p w14:paraId="75688564" w14:textId="77777777" w:rsidR="007A2A74" w:rsidRPr="00D11856" w:rsidRDefault="007A2A74" w:rsidP="00DC54F7">
      <w:pPr>
        <w:spacing w:after="0" w:line="240" w:lineRule="auto"/>
        <w:jc w:val="both"/>
        <w:rPr>
          <w:rFonts w:ascii="Arial" w:hAnsi="Arial" w:cs="Arial"/>
          <w:sz w:val="24"/>
          <w:szCs w:val="24"/>
        </w:rPr>
      </w:pPr>
    </w:p>
    <w:p w14:paraId="45D23CE5" w14:textId="77777777" w:rsidR="007A2A74" w:rsidRPr="003769BB" w:rsidRDefault="007A2A74" w:rsidP="00DC54F7">
      <w:pPr>
        <w:spacing w:after="0" w:line="240" w:lineRule="auto"/>
        <w:jc w:val="both"/>
        <w:rPr>
          <w:rFonts w:ascii="Arial" w:hAnsi="Arial" w:cs="Arial"/>
        </w:rPr>
      </w:pPr>
    </w:p>
    <w:p w14:paraId="2D7708DD" w14:textId="77777777" w:rsidR="007A2A74" w:rsidRPr="00954D6E" w:rsidRDefault="007A2A74" w:rsidP="00DC54F7">
      <w:pPr>
        <w:spacing w:after="0" w:line="240" w:lineRule="auto"/>
        <w:jc w:val="both"/>
        <w:rPr>
          <w:rFonts w:ascii="Arial" w:hAnsi="Arial" w:cs="Arial"/>
          <w:b/>
          <w:sz w:val="20"/>
          <w:szCs w:val="20"/>
        </w:rPr>
      </w:pPr>
      <w:r w:rsidRPr="00954D6E">
        <w:rPr>
          <w:rFonts w:ascii="Arial" w:hAnsi="Arial" w:cs="Arial"/>
          <w:b/>
          <w:sz w:val="26"/>
          <w:szCs w:val="26"/>
        </w:rPr>
        <w:t xml:space="preserve">4.12 Traveller and gypsy communities </w:t>
      </w:r>
      <w:r w:rsidRPr="00954D6E">
        <w:rPr>
          <w:rStyle w:val="FootnoteReference"/>
          <w:rFonts w:ascii="Arial" w:hAnsi="Arial" w:cs="Arial"/>
          <w:bCs/>
          <w:sz w:val="20"/>
          <w:szCs w:val="20"/>
        </w:rPr>
        <w:footnoteReference w:id="44"/>
      </w:r>
    </w:p>
    <w:p w14:paraId="4A9BE0CC" w14:textId="77777777" w:rsidR="007A2A74" w:rsidRDefault="007A2A74" w:rsidP="00DC54F7">
      <w:pPr>
        <w:spacing w:after="0" w:line="240" w:lineRule="auto"/>
        <w:jc w:val="both"/>
        <w:rPr>
          <w:rFonts w:ascii="Arial" w:hAnsi="Arial" w:cs="Arial"/>
        </w:rPr>
      </w:pPr>
    </w:p>
    <w:p w14:paraId="590BDC22"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Gypsies and Travellers are among the UK’s longest established minority ethnic populations. Romani Gypsies and Irish Travellers are recognised racial groups under Equality Act 2010. An estimated 2,785 Gypsies and Travellers live in Wales. This is 0.1% of the total population and they live within just over 1,000 households (Census 2011). </w:t>
      </w:r>
    </w:p>
    <w:p w14:paraId="3708DF04" w14:textId="77777777" w:rsidR="007A2A74" w:rsidRPr="00D11856" w:rsidRDefault="007A2A74" w:rsidP="00DC54F7">
      <w:pPr>
        <w:spacing w:after="0" w:line="240" w:lineRule="auto"/>
        <w:jc w:val="both"/>
        <w:rPr>
          <w:rFonts w:ascii="Verdana" w:hAnsi="Verdana" w:cs="Arial"/>
          <w:sz w:val="24"/>
          <w:szCs w:val="24"/>
        </w:rPr>
      </w:pPr>
    </w:p>
    <w:p w14:paraId="6A606E0C"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In Wales, Gypsies and Travellers are entitled to access GP treatment as a permanent or temporary resident. Studies have shown that Gypsies and Travellers face challenges in accessing services, which may be due to: </w:t>
      </w:r>
    </w:p>
    <w:p w14:paraId="106ABB26" w14:textId="77777777" w:rsidR="007A2A74" w:rsidRPr="00D11856" w:rsidRDefault="007A2A74" w:rsidP="00DC54F7">
      <w:pPr>
        <w:spacing w:after="0" w:line="240" w:lineRule="auto"/>
        <w:jc w:val="both"/>
        <w:rPr>
          <w:rFonts w:ascii="Arial" w:hAnsi="Arial" w:cs="Arial"/>
          <w:sz w:val="24"/>
          <w:szCs w:val="24"/>
        </w:rPr>
      </w:pPr>
    </w:p>
    <w:p w14:paraId="699A4CC9" w14:textId="77777777" w:rsidR="007A2A74" w:rsidRPr="00D11856" w:rsidRDefault="007A2A74" w:rsidP="00DC54F7">
      <w:pPr>
        <w:pStyle w:val="ListParagraph"/>
        <w:numPr>
          <w:ilvl w:val="0"/>
          <w:numId w:val="130"/>
        </w:numPr>
        <w:spacing w:after="0" w:line="240" w:lineRule="auto"/>
        <w:jc w:val="both"/>
        <w:rPr>
          <w:rFonts w:ascii="Arial" w:hAnsi="Arial" w:cs="Arial"/>
          <w:sz w:val="24"/>
          <w:szCs w:val="24"/>
        </w:rPr>
      </w:pPr>
      <w:r w:rsidRPr="00D11856">
        <w:rPr>
          <w:rFonts w:ascii="Arial" w:hAnsi="Arial" w:cs="Arial"/>
          <w:sz w:val="24"/>
          <w:szCs w:val="24"/>
        </w:rPr>
        <w:t>Transient nature of being in the area.</w:t>
      </w:r>
    </w:p>
    <w:p w14:paraId="5F80ACC2" w14:textId="77777777" w:rsidR="007A2A74" w:rsidRPr="00D11856" w:rsidRDefault="007A2A74" w:rsidP="00DC54F7">
      <w:pPr>
        <w:pStyle w:val="ListParagraph"/>
        <w:numPr>
          <w:ilvl w:val="0"/>
          <w:numId w:val="130"/>
        </w:numPr>
        <w:spacing w:after="0" w:line="240" w:lineRule="auto"/>
        <w:jc w:val="both"/>
        <w:rPr>
          <w:rFonts w:ascii="Arial" w:hAnsi="Arial" w:cs="Arial"/>
          <w:sz w:val="24"/>
          <w:szCs w:val="24"/>
        </w:rPr>
      </w:pPr>
      <w:r w:rsidRPr="00D11856">
        <w:rPr>
          <w:rFonts w:ascii="Arial" w:hAnsi="Arial" w:cs="Arial"/>
          <w:sz w:val="24"/>
          <w:szCs w:val="24"/>
        </w:rPr>
        <w:t>Location of sites</w:t>
      </w:r>
    </w:p>
    <w:p w14:paraId="66708456" w14:textId="77777777" w:rsidR="007A2A74" w:rsidRPr="00D11856" w:rsidRDefault="007A2A74" w:rsidP="00DC54F7">
      <w:pPr>
        <w:pStyle w:val="ListParagraph"/>
        <w:numPr>
          <w:ilvl w:val="0"/>
          <w:numId w:val="130"/>
        </w:numPr>
        <w:spacing w:after="0" w:line="240" w:lineRule="auto"/>
        <w:jc w:val="both"/>
        <w:rPr>
          <w:rFonts w:ascii="Arial" w:hAnsi="Arial" w:cs="Arial"/>
          <w:sz w:val="24"/>
          <w:szCs w:val="24"/>
        </w:rPr>
      </w:pPr>
      <w:r w:rsidRPr="00D11856">
        <w:rPr>
          <w:rFonts w:ascii="Arial" w:hAnsi="Arial" w:cs="Arial"/>
          <w:sz w:val="24"/>
          <w:szCs w:val="24"/>
        </w:rPr>
        <w:t>Transport – particularly related to women who often cannot drive.</w:t>
      </w:r>
    </w:p>
    <w:p w14:paraId="0591CCBC" w14:textId="77777777" w:rsidR="007A2A74" w:rsidRPr="00D11856" w:rsidRDefault="007A2A74" w:rsidP="00DC54F7">
      <w:pPr>
        <w:pStyle w:val="ListParagraph"/>
        <w:numPr>
          <w:ilvl w:val="0"/>
          <w:numId w:val="130"/>
        </w:numPr>
        <w:spacing w:after="0" w:line="240" w:lineRule="auto"/>
        <w:jc w:val="both"/>
        <w:rPr>
          <w:rFonts w:ascii="Arial" w:hAnsi="Arial" w:cs="Arial"/>
          <w:sz w:val="24"/>
          <w:szCs w:val="24"/>
        </w:rPr>
      </w:pPr>
      <w:r w:rsidRPr="00D11856">
        <w:rPr>
          <w:rFonts w:ascii="Arial" w:hAnsi="Arial" w:cs="Arial"/>
          <w:sz w:val="24"/>
          <w:szCs w:val="24"/>
        </w:rPr>
        <w:t xml:space="preserve">Low levels of health literacy of what services they are entitled to use or how to access them. </w:t>
      </w:r>
    </w:p>
    <w:p w14:paraId="4567F494" w14:textId="77777777" w:rsidR="007A2A74" w:rsidRPr="00D11856" w:rsidRDefault="007A2A74" w:rsidP="00DC54F7">
      <w:pPr>
        <w:spacing w:after="0" w:line="240" w:lineRule="auto"/>
        <w:jc w:val="both"/>
        <w:rPr>
          <w:rFonts w:ascii="Arial" w:hAnsi="Arial" w:cs="Arial"/>
          <w:sz w:val="24"/>
          <w:szCs w:val="24"/>
        </w:rPr>
      </w:pPr>
    </w:p>
    <w:p w14:paraId="401EB904"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The Gypsy and Traveller population faces poorer health outcomes when compared to the general population: </w:t>
      </w:r>
    </w:p>
    <w:p w14:paraId="75ACB3D4" w14:textId="77777777" w:rsidR="007A2A74" w:rsidRPr="00D11856" w:rsidRDefault="007A2A74" w:rsidP="00DC54F7">
      <w:pPr>
        <w:spacing w:after="0" w:line="240" w:lineRule="auto"/>
        <w:jc w:val="both"/>
        <w:rPr>
          <w:rFonts w:ascii="Arial" w:hAnsi="Arial" w:cs="Arial"/>
          <w:sz w:val="24"/>
          <w:szCs w:val="24"/>
        </w:rPr>
      </w:pPr>
    </w:p>
    <w:p w14:paraId="7D7BC300" w14:textId="77777777" w:rsidR="007A2A74" w:rsidRPr="00D11856" w:rsidRDefault="007A2A74" w:rsidP="00DC54F7">
      <w:pPr>
        <w:pStyle w:val="ListParagraph"/>
        <w:numPr>
          <w:ilvl w:val="0"/>
          <w:numId w:val="132"/>
        </w:numPr>
        <w:spacing w:after="0" w:line="240" w:lineRule="auto"/>
        <w:jc w:val="both"/>
        <w:rPr>
          <w:rFonts w:ascii="Arial" w:hAnsi="Arial" w:cs="Arial"/>
          <w:sz w:val="24"/>
          <w:szCs w:val="24"/>
        </w:rPr>
      </w:pPr>
      <w:r w:rsidRPr="00D11856">
        <w:rPr>
          <w:rFonts w:ascii="Arial" w:hAnsi="Arial" w:cs="Arial"/>
          <w:sz w:val="24"/>
          <w:szCs w:val="24"/>
        </w:rPr>
        <w:lastRenderedPageBreak/>
        <w:t>Live shorter lives.</w:t>
      </w:r>
    </w:p>
    <w:p w14:paraId="0FF4C1ED" w14:textId="77777777" w:rsidR="007A2A74" w:rsidRPr="00D11856" w:rsidRDefault="007A2A74" w:rsidP="00DC54F7">
      <w:pPr>
        <w:pStyle w:val="ListParagraph"/>
        <w:numPr>
          <w:ilvl w:val="0"/>
          <w:numId w:val="131"/>
        </w:numPr>
        <w:spacing w:after="0" w:line="240" w:lineRule="auto"/>
        <w:jc w:val="both"/>
        <w:rPr>
          <w:rFonts w:ascii="Arial" w:hAnsi="Arial" w:cs="Arial"/>
          <w:sz w:val="24"/>
          <w:szCs w:val="24"/>
        </w:rPr>
      </w:pPr>
      <w:r w:rsidRPr="00D11856">
        <w:rPr>
          <w:rFonts w:ascii="Arial" w:hAnsi="Arial" w:cs="Arial"/>
          <w:sz w:val="24"/>
          <w:szCs w:val="24"/>
        </w:rPr>
        <w:t>Suffer from chronic ill health such as cardiovascular disease, cancers, diabetes asthma and other respiratory conditions. There are also higher rates of stroke.</w:t>
      </w:r>
    </w:p>
    <w:p w14:paraId="3BC05C5E" w14:textId="77777777" w:rsidR="007A2A74" w:rsidRPr="00D11856" w:rsidRDefault="007A2A74" w:rsidP="00DC54F7">
      <w:pPr>
        <w:pStyle w:val="ListParagraph"/>
        <w:numPr>
          <w:ilvl w:val="0"/>
          <w:numId w:val="131"/>
        </w:numPr>
        <w:spacing w:after="0" w:line="240" w:lineRule="auto"/>
        <w:jc w:val="both"/>
        <w:rPr>
          <w:rFonts w:ascii="Arial" w:hAnsi="Arial" w:cs="Arial"/>
          <w:sz w:val="24"/>
          <w:szCs w:val="24"/>
        </w:rPr>
      </w:pPr>
      <w:r w:rsidRPr="00D11856">
        <w:rPr>
          <w:rFonts w:ascii="Arial" w:hAnsi="Arial" w:cs="Arial"/>
          <w:sz w:val="24"/>
          <w:szCs w:val="24"/>
        </w:rPr>
        <w:t>Have poorer mental health, from mild to moderate to severe and enduring conditions.</w:t>
      </w:r>
    </w:p>
    <w:p w14:paraId="5DA44F9F" w14:textId="77777777" w:rsidR="007A2A74" w:rsidRPr="00D11856" w:rsidRDefault="007A2A74" w:rsidP="00DC54F7">
      <w:pPr>
        <w:pStyle w:val="ListParagraph"/>
        <w:numPr>
          <w:ilvl w:val="0"/>
          <w:numId w:val="131"/>
        </w:numPr>
        <w:spacing w:after="0" w:line="240" w:lineRule="auto"/>
        <w:jc w:val="both"/>
        <w:rPr>
          <w:rFonts w:ascii="Arial" w:hAnsi="Arial" w:cs="Arial"/>
          <w:sz w:val="24"/>
          <w:szCs w:val="24"/>
        </w:rPr>
      </w:pPr>
      <w:r w:rsidRPr="00D11856">
        <w:rPr>
          <w:rFonts w:ascii="Arial" w:hAnsi="Arial" w:cs="Arial"/>
          <w:sz w:val="24"/>
          <w:szCs w:val="24"/>
        </w:rPr>
        <w:t xml:space="preserve">Have poorer dental health. </w:t>
      </w:r>
    </w:p>
    <w:p w14:paraId="038F7FED" w14:textId="77777777" w:rsidR="007A2A74" w:rsidRPr="00D11856" w:rsidRDefault="007A2A74" w:rsidP="00DC54F7">
      <w:pPr>
        <w:pStyle w:val="ListParagraph"/>
        <w:numPr>
          <w:ilvl w:val="0"/>
          <w:numId w:val="131"/>
        </w:numPr>
        <w:spacing w:after="0" w:line="240" w:lineRule="auto"/>
        <w:jc w:val="both"/>
        <w:rPr>
          <w:rFonts w:ascii="Arial" w:hAnsi="Arial" w:cs="Arial"/>
          <w:sz w:val="24"/>
          <w:szCs w:val="24"/>
        </w:rPr>
      </w:pPr>
      <w:r w:rsidRPr="00D11856">
        <w:rPr>
          <w:rFonts w:ascii="Arial" w:hAnsi="Arial" w:cs="Arial"/>
          <w:sz w:val="24"/>
          <w:szCs w:val="24"/>
        </w:rPr>
        <w:t xml:space="preserve">Have higher rates of stillbirths, perinatal mortality and post-natal depression. </w:t>
      </w:r>
    </w:p>
    <w:p w14:paraId="332B4F8F" w14:textId="77777777" w:rsidR="007A2A74" w:rsidRPr="00D11856" w:rsidRDefault="007A2A74" w:rsidP="00DC54F7">
      <w:pPr>
        <w:pStyle w:val="ListParagraph"/>
        <w:numPr>
          <w:ilvl w:val="0"/>
          <w:numId w:val="131"/>
        </w:numPr>
        <w:spacing w:after="0" w:line="240" w:lineRule="auto"/>
        <w:jc w:val="both"/>
        <w:rPr>
          <w:rFonts w:ascii="Arial" w:hAnsi="Arial" w:cs="Arial"/>
          <w:sz w:val="24"/>
          <w:szCs w:val="24"/>
        </w:rPr>
      </w:pPr>
      <w:r w:rsidRPr="00D11856">
        <w:rPr>
          <w:rFonts w:ascii="Arial" w:hAnsi="Arial" w:cs="Arial"/>
          <w:sz w:val="24"/>
          <w:szCs w:val="24"/>
        </w:rPr>
        <w:t xml:space="preserve">Have higher rates of hereditary conditions as a result of consanguineous marriages. </w:t>
      </w:r>
    </w:p>
    <w:p w14:paraId="1F97FE16" w14:textId="77777777" w:rsidR="007A2A74" w:rsidRPr="00D11856" w:rsidRDefault="007A2A74" w:rsidP="00DC54F7">
      <w:pPr>
        <w:pStyle w:val="ListParagraph"/>
        <w:numPr>
          <w:ilvl w:val="0"/>
          <w:numId w:val="131"/>
        </w:numPr>
        <w:spacing w:after="0" w:line="240" w:lineRule="auto"/>
        <w:jc w:val="both"/>
        <w:rPr>
          <w:rFonts w:ascii="Arial" w:hAnsi="Arial" w:cs="Arial"/>
          <w:sz w:val="24"/>
          <w:szCs w:val="24"/>
        </w:rPr>
      </w:pPr>
      <w:r w:rsidRPr="00D11856">
        <w:rPr>
          <w:rFonts w:ascii="Arial" w:hAnsi="Arial" w:cs="Arial"/>
          <w:sz w:val="24"/>
          <w:szCs w:val="24"/>
        </w:rPr>
        <w:t>Have lower levels of childhood vaccinations/immunisations.</w:t>
      </w:r>
    </w:p>
    <w:p w14:paraId="24FB635E" w14:textId="77777777" w:rsidR="007A2A74" w:rsidRPr="00D11856" w:rsidRDefault="007A2A74" w:rsidP="00DC54F7">
      <w:pPr>
        <w:pStyle w:val="ListParagraph"/>
        <w:numPr>
          <w:ilvl w:val="0"/>
          <w:numId w:val="131"/>
        </w:numPr>
        <w:spacing w:after="0" w:line="240" w:lineRule="auto"/>
        <w:jc w:val="both"/>
        <w:rPr>
          <w:rFonts w:ascii="Arial" w:hAnsi="Arial" w:cs="Arial"/>
          <w:sz w:val="24"/>
          <w:szCs w:val="24"/>
        </w:rPr>
      </w:pPr>
      <w:r w:rsidRPr="00D11856">
        <w:rPr>
          <w:rFonts w:ascii="Arial" w:hAnsi="Arial" w:cs="Arial"/>
          <w:sz w:val="24"/>
          <w:szCs w:val="24"/>
        </w:rPr>
        <w:t xml:space="preserve">Smoke and drink more. </w:t>
      </w:r>
    </w:p>
    <w:p w14:paraId="5B1FCAAA" w14:textId="77777777" w:rsidR="007A2A74" w:rsidRPr="00D11856" w:rsidRDefault="007A2A74" w:rsidP="00DC54F7">
      <w:pPr>
        <w:pStyle w:val="ListParagraph"/>
        <w:numPr>
          <w:ilvl w:val="0"/>
          <w:numId w:val="131"/>
        </w:numPr>
        <w:spacing w:after="0" w:line="240" w:lineRule="auto"/>
        <w:jc w:val="both"/>
        <w:rPr>
          <w:rFonts w:ascii="Arial" w:hAnsi="Arial" w:cs="Arial"/>
          <w:sz w:val="24"/>
          <w:szCs w:val="24"/>
        </w:rPr>
      </w:pPr>
      <w:r w:rsidRPr="00D11856">
        <w:rPr>
          <w:rFonts w:ascii="Arial" w:hAnsi="Arial" w:cs="Arial"/>
          <w:sz w:val="24"/>
          <w:szCs w:val="24"/>
        </w:rPr>
        <w:t>Have poorer diets.</w:t>
      </w:r>
    </w:p>
    <w:p w14:paraId="6DAEBA77" w14:textId="77777777" w:rsidR="007A2A74" w:rsidRPr="00D11856" w:rsidRDefault="007A2A74" w:rsidP="00DC54F7">
      <w:pPr>
        <w:pStyle w:val="ListParagraph"/>
        <w:numPr>
          <w:ilvl w:val="0"/>
          <w:numId w:val="131"/>
        </w:numPr>
        <w:spacing w:after="0" w:line="240" w:lineRule="auto"/>
        <w:jc w:val="both"/>
        <w:rPr>
          <w:rFonts w:ascii="Arial" w:hAnsi="Arial" w:cs="Arial"/>
          <w:sz w:val="24"/>
          <w:szCs w:val="24"/>
        </w:rPr>
      </w:pPr>
      <w:r w:rsidRPr="00D11856">
        <w:rPr>
          <w:rFonts w:ascii="Arial" w:hAnsi="Arial" w:cs="Arial"/>
          <w:sz w:val="24"/>
          <w:szCs w:val="24"/>
        </w:rPr>
        <w:t xml:space="preserve">Have higher rates of accidents; and </w:t>
      </w:r>
    </w:p>
    <w:p w14:paraId="633457D9" w14:textId="77777777" w:rsidR="007A2A74" w:rsidRPr="00D11856" w:rsidRDefault="007A2A74" w:rsidP="00DC54F7">
      <w:pPr>
        <w:pStyle w:val="ListParagraph"/>
        <w:numPr>
          <w:ilvl w:val="0"/>
          <w:numId w:val="131"/>
        </w:numPr>
        <w:spacing w:after="0" w:line="240" w:lineRule="auto"/>
        <w:jc w:val="both"/>
        <w:rPr>
          <w:rFonts w:ascii="Arial" w:hAnsi="Arial" w:cs="Arial"/>
          <w:sz w:val="24"/>
          <w:szCs w:val="24"/>
        </w:rPr>
      </w:pPr>
      <w:r w:rsidRPr="00D11856">
        <w:rPr>
          <w:rFonts w:ascii="Arial" w:hAnsi="Arial" w:cs="Arial"/>
          <w:sz w:val="24"/>
          <w:szCs w:val="24"/>
        </w:rPr>
        <w:t xml:space="preserve">Have higher rates of domestic violence. </w:t>
      </w:r>
    </w:p>
    <w:p w14:paraId="6A1AF9F8" w14:textId="77777777" w:rsidR="007A2A74" w:rsidRPr="00D11856" w:rsidRDefault="007A2A74" w:rsidP="00DC54F7">
      <w:pPr>
        <w:spacing w:after="0" w:line="240" w:lineRule="auto"/>
        <w:jc w:val="both"/>
        <w:rPr>
          <w:rFonts w:ascii="Arial" w:hAnsi="Arial" w:cs="Arial"/>
          <w:sz w:val="24"/>
          <w:szCs w:val="24"/>
        </w:rPr>
      </w:pPr>
    </w:p>
    <w:p w14:paraId="27F48CA4"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These issues are representative of various lifestyle factors alongside issues of poor education, lack of integration with mainstream support services and a lack of trust in such institutions.</w:t>
      </w:r>
    </w:p>
    <w:p w14:paraId="6BC4387B" w14:textId="77777777" w:rsidR="007A2A74" w:rsidRPr="00D11856" w:rsidRDefault="007A2A74" w:rsidP="00DC54F7">
      <w:pPr>
        <w:spacing w:after="0" w:line="240" w:lineRule="auto"/>
        <w:jc w:val="both"/>
        <w:rPr>
          <w:rFonts w:ascii="Arial" w:hAnsi="Arial" w:cs="Arial"/>
          <w:sz w:val="24"/>
          <w:szCs w:val="24"/>
        </w:rPr>
      </w:pPr>
    </w:p>
    <w:p w14:paraId="61B7BCC5"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Being Gypsy, Roma or Traveller is usually an important part of someone’s identity. Cultural beliefs include considering that health problems should be dealt with by household members or kept within the extended family unit. There is also a strong gender divide in Gypsy and Traveller culture and a value of privacy.</w:t>
      </w:r>
    </w:p>
    <w:p w14:paraId="60D1B598" w14:textId="77777777" w:rsidR="007A2A74" w:rsidRPr="00D11856" w:rsidRDefault="007A2A74" w:rsidP="00DC54F7">
      <w:pPr>
        <w:spacing w:after="0" w:line="240" w:lineRule="auto"/>
        <w:jc w:val="both"/>
        <w:rPr>
          <w:rFonts w:ascii="Arial" w:hAnsi="Arial" w:cs="Arial"/>
          <w:sz w:val="24"/>
          <w:szCs w:val="24"/>
        </w:rPr>
      </w:pPr>
    </w:p>
    <w:p w14:paraId="683074DD" w14:textId="77777777" w:rsidR="007A2A74" w:rsidRPr="008644A5" w:rsidRDefault="007A2A74" w:rsidP="00DC54F7">
      <w:pPr>
        <w:spacing w:after="0" w:line="240" w:lineRule="auto"/>
        <w:jc w:val="both"/>
        <w:rPr>
          <w:rFonts w:ascii="Arial" w:hAnsi="Arial" w:cs="Arial"/>
        </w:rPr>
      </w:pPr>
    </w:p>
    <w:p w14:paraId="26002AAA" w14:textId="77777777" w:rsidR="007A2A74" w:rsidRPr="00954D6E" w:rsidRDefault="007A2A74" w:rsidP="00DC54F7">
      <w:pPr>
        <w:spacing w:after="0" w:line="240" w:lineRule="auto"/>
        <w:jc w:val="both"/>
        <w:rPr>
          <w:rFonts w:ascii="Arial" w:hAnsi="Arial" w:cs="Arial"/>
        </w:rPr>
      </w:pPr>
      <w:r w:rsidRPr="00203525">
        <w:rPr>
          <w:rFonts w:ascii="Arial" w:hAnsi="Arial" w:cs="Arial"/>
          <w:b/>
          <w:sz w:val="26"/>
          <w:szCs w:val="26"/>
        </w:rPr>
        <w:t xml:space="preserve">4.13 </w:t>
      </w:r>
      <w:r w:rsidRPr="00203525">
        <w:rPr>
          <w:rFonts w:ascii="Arial" w:hAnsi="Arial" w:cs="Arial"/>
          <w:b/>
          <w:bCs/>
          <w:sz w:val="26"/>
          <w:szCs w:val="26"/>
        </w:rPr>
        <w:t>Asylum seekers, refugees and migrants</w:t>
      </w:r>
      <w:r>
        <w:rPr>
          <w:rFonts w:ascii="Arial" w:hAnsi="Arial" w:cs="Arial"/>
          <w:b/>
          <w:bCs/>
          <w:sz w:val="26"/>
          <w:szCs w:val="26"/>
        </w:rPr>
        <w:t xml:space="preserve"> </w:t>
      </w:r>
      <w:r w:rsidRPr="00954D6E">
        <w:rPr>
          <w:rStyle w:val="FootnoteReference"/>
          <w:rFonts w:ascii="Arial" w:hAnsi="Arial" w:cs="Arial"/>
        </w:rPr>
        <w:footnoteReference w:id="45"/>
      </w:r>
    </w:p>
    <w:p w14:paraId="6F717034" w14:textId="77777777" w:rsidR="007A2A74" w:rsidRPr="00597B06" w:rsidRDefault="007A2A74" w:rsidP="00DC54F7">
      <w:pPr>
        <w:spacing w:after="0" w:line="240" w:lineRule="auto"/>
        <w:jc w:val="both"/>
        <w:rPr>
          <w:rFonts w:ascii="Verdana" w:hAnsi="Verdana" w:cs="Arial"/>
        </w:rPr>
      </w:pPr>
    </w:p>
    <w:p w14:paraId="6DEA80C9"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An asylum seeker is a person who has come to the UK to exercise his or her right to claim asylum under the 1951 Convention relating to the Status of Refugees and is waiting for a decision about whether they will be granted refugee status. Examples of people claiming asylum are those who have left a country at war or where they are persecuted because of their place in society. A refugee is a person who has been recognised by the UK government as needing protection under the 1951 Convention and has been granted leave to remain in the UK, initially for a period of five years although this may be extended indefinitely. </w:t>
      </w:r>
      <w:r w:rsidRPr="00D11856">
        <w:rPr>
          <w:rStyle w:val="FootnoteReference"/>
          <w:rFonts w:ascii="Arial" w:hAnsi="Arial" w:cs="Arial"/>
          <w:sz w:val="24"/>
          <w:szCs w:val="24"/>
        </w:rPr>
        <w:footnoteReference w:id="46"/>
      </w:r>
      <w:r w:rsidRPr="00D11856">
        <w:rPr>
          <w:rFonts w:ascii="Arial" w:hAnsi="Arial" w:cs="Arial"/>
          <w:sz w:val="24"/>
          <w:szCs w:val="24"/>
        </w:rPr>
        <w:t xml:space="preserve"> There are many ways to interpret the term ‘migrant’ and there is no definition of a ‘migrant’ in law. </w:t>
      </w:r>
    </w:p>
    <w:p w14:paraId="585B8FA3" w14:textId="77777777" w:rsidR="007A2A74" w:rsidRPr="00D11856" w:rsidRDefault="007A2A74" w:rsidP="00DC54F7">
      <w:pPr>
        <w:spacing w:after="0" w:line="240" w:lineRule="auto"/>
        <w:jc w:val="both"/>
        <w:rPr>
          <w:rFonts w:ascii="Arial" w:hAnsi="Arial" w:cs="Arial"/>
          <w:sz w:val="24"/>
          <w:szCs w:val="24"/>
        </w:rPr>
      </w:pPr>
    </w:p>
    <w:p w14:paraId="4BA23A5A"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Cardiff is a both an initial accommodation centre and dispersal centre for UK asylum seekers. The number of entrants is linked to population size, with a ceiling level in place. The current number of new asylum seekers is below that level. </w:t>
      </w:r>
    </w:p>
    <w:p w14:paraId="29A57C3E" w14:textId="77777777" w:rsidR="007A2A74" w:rsidRPr="00D11856" w:rsidRDefault="007A2A74" w:rsidP="00DC54F7">
      <w:pPr>
        <w:spacing w:after="0" w:line="240" w:lineRule="auto"/>
        <w:jc w:val="both"/>
        <w:rPr>
          <w:rFonts w:ascii="Arial" w:hAnsi="Arial" w:cs="Arial"/>
          <w:sz w:val="24"/>
          <w:szCs w:val="24"/>
        </w:rPr>
      </w:pPr>
    </w:p>
    <w:p w14:paraId="4C9C1F6E"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Many asylum seekers have complex health and social care needs. Pregnant women, unaccompanied children, those with significant mental health problems, and those who have experienced traumatic events such as rape or torture, are likely to be particularly vulnerable. Asylum seekers are located across Cardiff, but with the highest </w:t>
      </w:r>
      <w:r w:rsidRPr="00D11856">
        <w:rPr>
          <w:rFonts w:ascii="Arial" w:hAnsi="Arial" w:cs="Arial"/>
          <w:sz w:val="24"/>
          <w:szCs w:val="24"/>
        </w:rPr>
        <w:lastRenderedPageBreak/>
        <w:t>concentration in South Cardiff. The Syrian Resettlement Programme operates in Cardiff and the Vale of Glamorgan. In Cardiff, the Cardiff Health Access Practice (CHAP) provides healthcare advice and support to refugees and asylum seekers.</w:t>
      </w:r>
    </w:p>
    <w:p w14:paraId="1C6E8EB0" w14:textId="77777777" w:rsidR="007A2A74" w:rsidRPr="00D11856" w:rsidRDefault="007A2A74" w:rsidP="00DC54F7">
      <w:pPr>
        <w:spacing w:after="0" w:line="240" w:lineRule="auto"/>
        <w:jc w:val="both"/>
        <w:rPr>
          <w:rFonts w:ascii="Arial" w:hAnsi="Arial" w:cs="Arial"/>
          <w:sz w:val="24"/>
          <w:szCs w:val="24"/>
        </w:rPr>
      </w:pPr>
    </w:p>
    <w:p w14:paraId="5864B39A"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There is evidence that non-UK born individuals residing in the UK have poorer outcomes for physical and mental health than other residents, although this varies by migration history. Socioeconomic circumstances and immigration regulations affecting some migrant groups impact negatively on their access and use of health care. Rates of infectious diseases, including tuberculosis and HIV, are higher than for non-migrants. A lack of awareness of eligibility for healthcare, language issues, and a fear of being reported to the UK Border Agency, can be barriers to accessing care.</w:t>
      </w:r>
    </w:p>
    <w:p w14:paraId="2A4B0798" w14:textId="77777777" w:rsidR="007A2A74" w:rsidRPr="00D11856" w:rsidRDefault="007A2A74" w:rsidP="00DC54F7">
      <w:pPr>
        <w:spacing w:after="0" w:line="240" w:lineRule="auto"/>
        <w:jc w:val="both"/>
        <w:rPr>
          <w:rFonts w:ascii="Arial" w:hAnsi="Arial" w:cs="Arial"/>
          <w:sz w:val="24"/>
          <w:szCs w:val="24"/>
        </w:rPr>
      </w:pPr>
    </w:p>
    <w:p w14:paraId="1B6F143C"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There is evidence of higher levels of depression and anxiety among asylum seekers and refugees compared with the national population, and much research has focused on the physical and mental impact of conflict and war in countries of origin. Particularly vulnerable groups are children, and women who have suffered sexual and physical abuse.  </w:t>
      </w:r>
    </w:p>
    <w:p w14:paraId="0F67F640" w14:textId="77777777" w:rsidR="007A2A74" w:rsidRPr="00D11856" w:rsidRDefault="007A2A74" w:rsidP="00DC54F7">
      <w:pPr>
        <w:spacing w:after="0" w:line="240" w:lineRule="auto"/>
        <w:jc w:val="both"/>
        <w:rPr>
          <w:rFonts w:ascii="Arial" w:hAnsi="Arial" w:cs="Arial"/>
          <w:sz w:val="24"/>
          <w:szCs w:val="24"/>
        </w:rPr>
      </w:pPr>
    </w:p>
    <w:p w14:paraId="225EAE6C"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Reported hate crimes have increased by in Cardiff. While it is likely that actual cases of hate crime have risen in Cardiff, it is thought that people are now more likely to report it too. </w:t>
      </w:r>
    </w:p>
    <w:p w14:paraId="25562F6A" w14:textId="77777777" w:rsidR="007A2A74" w:rsidRPr="00D11856" w:rsidRDefault="007A2A74" w:rsidP="00DC54F7">
      <w:pPr>
        <w:spacing w:after="0" w:line="240" w:lineRule="auto"/>
        <w:jc w:val="both"/>
        <w:rPr>
          <w:rFonts w:ascii="Arial" w:hAnsi="Arial" w:cs="Arial"/>
          <w:sz w:val="24"/>
          <w:szCs w:val="24"/>
        </w:rPr>
      </w:pPr>
    </w:p>
    <w:p w14:paraId="7665C89A"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Main needs</w:t>
      </w:r>
    </w:p>
    <w:p w14:paraId="39CDA6A5" w14:textId="77777777" w:rsidR="007A2A74" w:rsidRPr="00D11856" w:rsidRDefault="007A2A74" w:rsidP="00DC54F7">
      <w:pPr>
        <w:pStyle w:val="ListParagraph"/>
        <w:numPr>
          <w:ilvl w:val="0"/>
          <w:numId w:val="128"/>
        </w:numPr>
        <w:spacing w:after="0" w:line="240" w:lineRule="auto"/>
        <w:jc w:val="both"/>
        <w:rPr>
          <w:rFonts w:ascii="Arial" w:hAnsi="Arial" w:cs="Arial"/>
          <w:sz w:val="24"/>
          <w:szCs w:val="24"/>
        </w:rPr>
      </w:pPr>
      <w:r w:rsidRPr="00D11856">
        <w:rPr>
          <w:rFonts w:ascii="Arial" w:hAnsi="Arial" w:cs="Arial"/>
          <w:sz w:val="24"/>
          <w:szCs w:val="24"/>
        </w:rPr>
        <w:t>Lack of fluency in English or Welsh</w:t>
      </w:r>
    </w:p>
    <w:p w14:paraId="217ED498" w14:textId="77777777" w:rsidR="007A2A74" w:rsidRPr="00D11856" w:rsidRDefault="007A2A74" w:rsidP="00DC54F7">
      <w:pPr>
        <w:pStyle w:val="ListParagraph"/>
        <w:numPr>
          <w:ilvl w:val="0"/>
          <w:numId w:val="128"/>
        </w:numPr>
        <w:spacing w:after="0" w:line="240" w:lineRule="auto"/>
        <w:jc w:val="both"/>
        <w:rPr>
          <w:rFonts w:ascii="Arial" w:hAnsi="Arial" w:cs="Arial"/>
          <w:sz w:val="24"/>
          <w:szCs w:val="24"/>
        </w:rPr>
      </w:pPr>
      <w:r w:rsidRPr="00D11856">
        <w:rPr>
          <w:rFonts w:ascii="Arial" w:hAnsi="Arial" w:cs="Arial"/>
          <w:sz w:val="24"/>
          <w:szCs w:val="24"/>
        </w:rPr>
        <w:t>Access to ESOL (English for speakers of other languages)</w:t>
      </w:r>
    </w:p>
    <w:p w14:paraId="19AE9E18" w14:textId="77777777" w:rsidR="007A2A74" w:rsidRPr="00D11856" w:rsidRDefault="007A2A74" w:rsidP="00DC54F7">
      <w:pPr>
        <w:pStyle w:val="ListParagraph"/>
        <w:numPr>
          <w:ilvl w:val="0"/>
          <w:numId w:val="128"/>
        </w:numPr>
        <w:spacing w:after="0" w:line="240" w:lineRule="auto"/>
        <w:jc w:val="both"/>
        <w:rPr>
          <w:rFonts w:ascii="Arial" w:hAnsi="Arial" w:cs="Arial"/>
          <w:sz w:val="24"/>
          <w:szCs w:val="24"/>
        </w:rPr>
      </w:pPr>
      <w:r w:rsidRPr="00D11856">
        <w:rPr>
          <w:rFonts w:ascii="Arial" w:hAnsi="Arial" w:cs="Arial"/>
          <w:sz w:val="24"/>
          <w:szCs w:val="24"/>
        </w:rPr>
        <w:t>Routine access to interpretation for public services</w:t>
      </w:r>
    </w:p>
    <w:p w14:paraId="5AF3AE26" w14:textId="77777777" w:rsidR="007A2A74" w:rsidRPr="00D11856" w:rsidRDefault="007A2A74" w:rsidP="00DC54F7">
      <w:pPr>
        <w:pStyle w:val="ListParagraph"/>
        <w:numPr>
          <w:ilvl w:val="0"/>
          <w:numId w:val="128"/>
        </w:numPr>
        <w:spacing w:after="0" w:line="240" w:lineRule="auto"/>
        <w:jc w:val="both"/>
        <w:rPr>
          <w:rFonts w:ascii="Arial" w:hAnsi="Arial" w:cs="Arial"/>
          <w:sz w:val="24"/>
          <w:szCs w:val="24"/>
        </w:rPr>
      </w:pPr>
      <w:r w:rsidRPr="00D11856">
        <w:rPr>
          <w:rFonts w:ascii="Arial" w:hAnsi="Arial" w:cs="Arial"/>
          <w:sz w:val="24"/>
          <w:szCs w:val="24"/>
        </w:rPr>
        <w:t>Access to information and accessibility of services</w:t>
      </w:r>
    </w:p>
    <w:p w14:paraId="516CC0D2" w14:textId="77777777" w:rsidR="007A2A74" w:rsidRPr="00D11856" w:rsidRDefault="007A2A74" w:rsidP="00DC54F7">
      <w:pPr>
        <w:pStyle w:val="ListParagraph"/>
        <w:numPr>
          <w:ilvl w:val="0"/>
          <w:numId w:val="128"/>
        </w:numPr>
        <w:spacing w:after="0" w:line="240" w:lineRule="auto"/>
        <w:jc w:val="both"/>
        <w:rPr>
          <w:rFonts w:ascii="Arial" w:hAnsi="Arial" w:cs="Arial"/>
          <w:sz w:val="24"/>
          <w:szCs w:val="24"/>
        </w:rPr>
      </w:pPr>
      <w:r w:rsidRPr="00D11856">
        <w:rPr>
          <w:rFonts w:ascii="Arial" w:hAnsi="Arial" w:cs="Arial"/>
          <w:sz w:val="24"/>
          <w:szCs w:val="24"/>
        </w:rPr>
        <w:t>Access to labour market</w:t>
      </w:r>
    </w:p>
    <w:p w14:paraId="542E0A09" w14:textId="77777777" w:rsidR="007A2A74" w:rsidRPr="00D11856" w:rsidRDefault="007A2A74" w:rsidP="00DC54F7">
      <w:pPr>
        <w:pStyle w:val="ListParagraph"/>
        <w:numPr>
          <w:ilvl w:val="0"/>
          <w:numId w:val="128"/>
        </w:numPr>
        <w:spacing w:after="0" w:line="240" w:lineRule="auto"/>
        <w:jc w:val="both"/>
        <w:rPr>
          <w:rFonts w:ascii="Arial" w:hAnsi="Arial" w:cs="Arial"/>
          <w:sz w:val="24"/>
          <w:szCs w:val="24"/>
        </w:rPr>
      </w:pPr>
      <w:r w:rsidRPr="00D11856">
        <w:rPr>
          <w:rFonts w:ascii="Arial" w:hAnsi="Arial" w:cs="Arial"/>
          <w:sz w:val="24"/>
          <w:szCs w:val="24"/>
        </w:rPr>
        <w:t>Establishing links in the community - integration and community cohesion, tackling hate crime</w:t>
      </w:r>
    </w:p>
    <w:p w14:paraId="0543DBA2" w14:textId="77777777" w:rsidR="007A2A74" w:rsidRPr="00D11856" w:rsidRDefault="007A2A74" w:rsidP="00DC54F7">
      <w:pPr>
        <w:pStyle w:val="ListParagraph"/>
        <w:numPr>
          <w:ilvl w:val="0"/>
          <w:numId w:val="128"/>
        </w:numPr>
        <w:spacing w:after="0" w:line="240" w:lineRule="auto"/>
        <w:jc w:val="both"/>
        <w:rPr>
          <w:rFonts w:ascii="Arial" w:hAnsi="Arial" w:cs="Arial"/>
          <w:sz w:val="24"/>
          <w:szCs w:val="24"/>
        </w:rPr>
      </w:pPr>
      <w:r w:rsidRPr="00D11856">
        <w:rPr>
          <w:rFonts w:ascii="Arial" w:hAnsi="Arial" w:cs="Arial"/>
          <w:sz w:val="24"/>
          <w:szCs w:val="24"/>
        </w:rPr>
        <w:t>Childcare</w:t>
      </w:r>
    </w:p>
    <w:p w14:paraId="174D7998" w14:textId="77777777" w:rsidR="007A2A74" w:rsidRPr="00D11856" w:rsidRDefault="007A2A74" w:rsidP="00DC54F7">
      <w:pPr>
        <w:pStyle w:val="ListParagraph"/>
        <w:numPr>
          <w:ilvl w:val="0"/>
          <w:numId w:val="128"/>
        </w:numPr>
        <w:spacing w:after="0" w:line="240" w:lineRule="auto"/>
        <w:jc w:val="both"/>
        <w:rPr>
          <w:rFonts w:ascii="Arial" w:hAnsi="Arial" w:cs="Arial"/>
          <w:sz w:val="24"/>
          <w:szCs w:val="24"/>
        </w:rPr>
      </w:pPr>
      <w:r w:rsidRPr="00D11856">
        <w:rPr>
          <w:rFonts w:ascii="Arial" w:hAnsi="Arial" w:cs="Arial"/>
          <w:sz w:val="24"/>
          <w:szCs w:val="24"/>
        </w:rPr>
        <w:t>Transport</w:t>
      </w:r>
    </w:p>
    <w:p w14:paraId="123E8859" w14:textId="77777777" w:rsidR="007A2A74" w:rsidRPr="00D11856" w:rsidRDefault="007A2A74" w:rsidP="00DC54F7">
      <w:pPr>
        <w:pStyle w:val="ListParagraph"/>
        <w:numPr>
          <w:ilvl w:val="0"/>
          <w:numId w:val="128"/>
        </w:numPr>
        <w:spacing w:after="0" w:line="240" w:lineRule="auto"/>
        <w:jc w:val="both"/>
        <w:rPr>
          <w:rFonts w:ascii="Arial" w:hAnsi="Arial" w:cs="Arial"/>
          <w:sz w:val="24"/>
          <w:szCs w:val="24"/>
        </w:rPr>
      </w:pPr>
      <w:r w:rsidRPr="00D11856">
        <w:rPr>
          <w:rFonts w:ascii="Arial" w:hAnsi="Arial" w:cs="Arial"/>
          <w:sz w:val="24"/>
          <w:szCs w:val="24"/>
        </w:rPr>
        <w:t>Engaging with schools</w:t>
      </w:r>
    </w:p>
    <w:p w14:paraId="040186CB" w14:textId="77777777" w:rsidR="007A2A74" w:rsidRPr="00D11856" w:rsidRDefault="007A2A74" w:rsidP="00DC54F7">
      <w:pPr>
        <w:pStyle w:val="ListParagraph"/>
        <w:numPr>
          <w:ilvl w:val="0"/>
          <w:numId w:val="128"/>
        </w:numPr>
        <w:spacing w:after="0" w:line="240" w:lineRule="auto"/>
        <w:jc w:val="both"/>
        <w:rPr>
          <w:rFonts w:ascii="Arial" w:hAnsi="Arial" w:cs="Arial"/>
          <w:sz w:val="24"/>
          <w:szCs w:val="24"/>
        </w:rPr>
      </w:pPr>
      <w:r w:rsidRPr="00D11856">
        <w:rPr>
          <w:rFonts w:ascii="Arial" w:hAnsi="Arial" w:cs="Arial"/>
          <w:sz w:val="24"/>
          <w:szCs w:val="24"/>
        </w:rPr>
        <w:t>Improved access to community mental health services</w:t>
      </w:r>
    </w:p>
    <w:p w14:paraId="499CBFA9" w14:textId="77777777" w:rsidR="007A2A74" w:rsidRPr="00D11856" w:rsidRDefault="007A2A74" w:rsidP="00DC54F7">
      <w:pPr>
        <w:spacing w:after="0" w:line="240" w:lineRule="auto"/>
        <w:jc w:val="both"/>
        <w:rPr>
          <w:rFonts w:ascii="Verdana" w:hAnsi="Verdana"/>
          <w:sz w:val="24"/>
          <w:szCs w:val="24"/>
        </w:rPr>
      </w:pPr>
    </w:p>
    <w:p w14:paraId="6AF56964" w14:textId="4D2B0266" w:rsidR="004E7C6A" w:rsidRDefault="004E7C6A" w:rsidP="00DC54F7">
      <w:pPr>
        <w:jc w:val="both"/>
        <w:rPr>
          <w:rFonts w:ascii="Arial" w:hAnsi="Arial" w:cs="Arial"/>
          <w:b/>
          <w:sz w:val="26"/>
          <w:szCs w:val="26"/>
        </w:rPr>
      </w:pPr>
      <w:r>
        <w:rPr>
          <w:rFonts w:ascii="Arial" w:hAnsi="Arial" w:cs="Arial"/>
          <w:b/>
          <w:sz w:val="26"/>
          <w:szCs w:val="26"/>
        </w:rPr>
        <w:br w:type="page"/>
      </w:r>
    </w:p>
    <w:p w14:paraId="1D718CCA" w14:textId="66ED64A8" w:rsidR="007A2A74" w:rsidRPr="00954D6E" w:rsidRDefault="007A2A74" w:rsidP="00DC54F7">
      <w:pPr>
        <w:spacing w:after="0" w:line="240" w:lineRule="auto"/>
        <w:jc w:val="both"/>
        <w:rPr>
          <w:rFonts w:ascii="Arial" w:hAnsi="Arial" w:cs="Arial"/>
          <w:bCs/>
        </w:rPr>
      </w:pPr>
      <w:r w:rsidRPr="00597B06">
        <w:rPr>
          <w:rFonts w:ascii="Arial" w:hAnsi="Arial" w:cs="Arial"/>
          <w:b/>
          <w:sz w:val="26"/>
          <w:szCs w:val="26"/>
        </w:rPr>
        <w:lastRenderedPageBreak/>
        <w:t>4.14 Military veterans</w:t>
      </w:r>
      <w:r>
        <w:rPr>
          <w:rFonts w:ascii="Arial" w:hAnsi="Arial" w:cs="Arial"/>
          <w:b/>
          <w:sz w:val="26"/>
          <w:szCs w:val="26"/>
        </w:rPr>
        <w:t xml:space="preserve"> </w:t>
      </w:r>
      <w:r w:rsidRPr="00954D6E">
        <w:rPr>
          <w:rStyle w:val="FootnoteReference"/>
          <w:rFonts w:ascii="Arial" w:hAnsi="Arial" w:cs="Arial"/>
          <w:bCs/>
        </w:rPr>
        <w:footnoteReference w:id="47"/>
      </w:r>
    </w:p>
    <w:p w14:paraId="2832E56B" w14:textId="77777777" w:rsidR="007A2A74" w:rsidRPr="009A720C" w:rsidRDefault="007A2A74" w:rsidP="00DC54F7">
      <w:pPr>
        <w:spacing w:after="0" w:line="240" w:lineRule="auto"/>
        <w:jc w:val="both"/>
        <w:rPr>
          <w:rFonts w:ascii="Arial" w:hAnsi="Arial" w:cs="Arial"/>
          <w:highlight w:val="yellow"/>
        </w:rPr>
      </w:pPr>
    </w:p>
    <w:p w14:paraId="43981103" w14:textId="77777777" w:rsidR="007A2A74" w:rsidRPr="00D11856" w:rsidRDefault="007A2A74" w:rsidP="00DC54F7">
      <w:pPr>
        <w:spacing w:after="0" w:line="240" w:lineRule="auto"/>
        <w:jc w:val="both"/>
        <w:rPr>
          <w:rFonts w:ascii="Arial" w:hAnsi="Arial" w:cs="Arial"/>
          <w:sz w:val="24"/>
          <w:szCs w:val="24"/>
        </w:rPr>
      </w:pPr>
      <w:bookmarkStart w:id="27" w:name="_Hlk65226187"/>
      <w:r w:rsidRPr="00D11856">
        <w:rPr>
          <w:rFonts w:ascii="Arial" w:hAnsi="Arial" w:cs="Arial"/>
          <w:sz w:val="24"/>
          <w:szCs w:val="24"/>
        </w:rPr>
        <w:t>Veterans are defined as anyone who has served for at least one day in Her Majesty’s Armed Forces (Regular or Reserved) or Merchant Mariners or who have seen duty on legally defined military operations. There are around 5.61 veterans per 1000 residents in Cardiff and Vale, below the Wales average of 6.24 and the second lowest rate in Wales. However, this masks a very low rate in Cardiff (3.29) compared with the highest rate in Wales in the Vale of Glamorgan, at 11.96 per 1000 residents.</w:t>
      </w:r>
    </w:p>
    <w:p w14:paraId="3BD18372" w14:textId="77777777" w:rsidR="007A2A74" w:rsidRPr="00D11856" w:rsidRDefault="007A2A74" w:rsidP="00DC54F7">
      <w:pPr>
        <w:spacing w:after="0" w:line="240" w:lineRule="auto"/>
        <w:jc w:val="both"/>
        <w:rPr>
          <w:rFonts w:ascii="Arial" w:hAnsi="Arial" w:cs="Arial"/>
          <w:sz w:val="24"/>
          <w:szCs w:val="24"/>
        </w:rPr>
      </w:pPr>
    </w:p>
    <w:p w14:paraId="6FAC80B5"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The Royal British Legion (RBL) carried out an extensive household survey in 2014 of the ex-service community.</w:t>
      </w:r>
      <w:r w:rsidRPr="00D11856">
        <w:rPr>
          <w:rStyle w:val="FootnoteReference"/>
          <w:rFonts w:ascii="Arial" w:hAnsi="Arial" w:cs="Arial"/>
          <w:sz w:val="24"/>
          <w:szCs w:val="24"/>
        </w:rPr>
        <w:footnoteReference w:id="48"/>
      </w:r>
      <w:r w:rsidRPr="00D11856">
        <w:rPr>
          <w:rFonts w:ascii="Arial" w:hAnsi="Arial" w:cs="Arial"/>
          <w:sz w:val="24"/>
          <w:szCs w:val="24"/>
        </w:rPr>
        <w:t xml:space="preserve"> The ‘ex-Service community’ includes both veterans (of whom 89% are men) and their dependants (of whom 96% are women). Overall, the survey estimates that around 1 in 10 (9.5-9.6%) of the total UK population are veterans.  This notes that veterans especially from Iraq and Afghanistan have a higher prevalence of heavy drinking compared with the rest of the population. PTSD (post-traumatic stress disorder) rates are around 1 in 25 (4%) of veterans. The survey identifies that the majority of the ex-Service community are older people: nearly half are over 75 and two thirds (64%) are over 64. This corresponds to the finding that the average time since a veteran left service was 41 years. The total number of veterans is also declining in size and together with the changes currently occurring in the UK Armed Forces, this means a greater proportion of the veteran population will be made up of younger people in the near future. As such their health needs are likely to be different than those of the older veteran population.</w:t>
      </w:r>
    </w:p>
    <w:p w14:paraId="47D286DB" w14:textId="77777777" w:rsidR="007A2A74" w:rsidRPr="00D11856" w:rsidRDefault="007A2A74" w:rsidP="00DC54F7">
      <w:pPr>
        <w:spacing w:after="0" w:line="240" w:lineRule="auto"/>
        <w:jc w:val="both"/>
        <w:rPr>
          <w:rFonts w:ascii="Arial" w:hAnsi="Arial" w:cs="Arial"/>
          <w:sz w:val="24"/>
          <w:szCs w:val="24"/>
        </w:rPr>
      </w:pPr>
    </w:p>
    <w:p w14:paraId="728C56FF"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Among the working age ex-Service community, the survey found that unemployment rates were higher than the rest of the population (8% compared with 5%) and more likely to be economically inactive (32% compared with 22%). Working-age ex-Service community are also more likely to report long-term limiting illness compared with the rest of the population (24% compared with 13%), including higher rates of depression, back problems, limb problems, heart problems, diabetes, hearing and sight problems. Working-age veterans are also twice as likely to report having unpaid caring responsibilities than the rest of the population (23% compared with 12%). Issues highlighted among over 75s include loneliness and isolation, mobility problems and self-care difficulties. Interestingly health problem among veterans in this age group are less common than in the rest of the population of a similar age - in contrast to the higher rates seen among working age veterans. </w:t>
      </w:r>
    </w:p>
    <w:p w14:paraId="0CF273DE" w14:textId="77777777" w:rsidR="007A2A74" w:rsidRPr="00D11856" w:rsidRDefault="007A2A74" w:rsidP="00DC54F7">
      <w:pPr>
        <w:spacing w:after="0" w:line="240" w:lineRule="auto"/>
        <w:jc w:val="both"/>
        <w:rPr>
          <w:rFonts w:ascii="Arial" w:hAnsi="Arial" w:cs="Arial"/>
          <w:sz w:val="24"/>
          <w:szCs w:val="24"/>
        </w:rPr>
      </w:pPr>
    </w:p>
    <w:p w14:paraId="4C53CF9C"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Main needs </w:t>
      </w:r>
    </w:p>
    <w:p w14:paraId="465063D8" w14:textId="77777777" w:rsidR="007A2A74" w:rsidRPr="00D11856" w:rsidRDefault="007A2A74" w:rsidP="00DC54F7">
      <w:pPr>
        <w:pStyle w:val="ListParagraph"/>
        <w:numPr>
          <w:ilvl w:val="0"/>
          <w:numId w:val="129"/>
        </w:numPr>
        <w:spacing w:after="0" w:line="240" w:lineRule="auto"/>
        <w:jc w:val="both"/>
        <w:rPr>
          <w:rFonts w:ascii="Arial" w:hAnsi="Arial" w:cs="Arial"/>
          <w:sz w:val="24"/>
          <w:szCs w:val="24"/>
        </w:rPr>
      </w:pPr>
      <w:r w:rsidRPr="00D11856">
        <w:rPr>
          <w:rFonts w:ascii="Arial" w:hAnsi="Arial" w:cs="Arial"/>
          <w:sz w:val="24"/>
          <w:szCs w:val="24"/>
        </w:rPr>
        <w:t xml:space="preserve">Mental health - diagnosis and care </w:t>
      </w:r>
    </w:p>
    <w:p w14:paraId="15133CF3" w14:textId="77777777" w:rsidR="007A2A74" w:rsidRPr="00D11856" w:rsidRDefault="007A2A74" w:rsidP="00DC54F7">
      <w:pPr>
        <w:pStyle w:val="ListParagraph"/>
        <w:numPr>
          <w:ilvl w:val="0"/>
          <w:numId w:val="129"/>
        </w:numPr>
        <w:spacing w:after="0" w:line="240" w:lineRule="auto"/>
        <w:jc w:val="both"/>
        <w:rPr>
          <w:rFonts w:ascii="Arial" w:hAnsi="Arial" w:cs="Arial"/>
          <w:sz w:val="24"/>
          <w:szCs w:val="24"/>
        </w:rPr>
      </w:pPr>
      <w:r w:rsidRPr="00D11856">
        <w:rPr>
          <w:rFonts w:ascii="Arial" w:hAnsi="Arial" w:cs="Arial"/>
          <w:sz w:val="24"/>
          <w:szCs w:val="24"/>
        </w:rPr>
        <w:t xml:space="preserve">Social isolation </w:t>
      </w:r>
    </w:p>
    <w:p w14:paraId="1E15E3D6" w14:textId="77777777" w:rsidR="007A2A74" w:rsidRPr="00D11856" w:rsidRDefault="007A2A74" w:rsidP="00DC54F7">
      <w:pPr>
        <w:pStyle w:val="ListParagraph"/>
        <w:numPr>
          <w:ilvl w:val="0"/>
          <w:numId w:val="129"/>
        </w:numPr>
        <w:spacing w:after="0" w:line="240" w:lineRule="auto"/>
        <w:jc w:val="both"/>
        <w:rPr>
          <w:rFonts w:ascii="Arial" w:hAnsi="Arial" w:cs="Arial"/>
          <w:sz w:val="24"/>
          <w:szCs w:val="24"/>
        </w:rPr>
      </w:pPr>
      <w:r w:rsidRPr="00D11856">
        <w:rPr>
          <w:rFonts w:ascii="Arial" w:hAnsi="Arial" w:cs="Arial"/>
          <w:sz w:val="24"/>
          <w:szCs w:val="24"/>
        </w:rPr>
        <w:t xml:space="preserve">Housing </w:t>
      </w:r>
    </w:p>
    <w:p w14:paraId="48D24D00" w14:textId="77777777" w:rsidR="007A2A74" w:rsidRPr="00D11856" w:rsidRDefault="007A2A74" w:rsidP="00DC54F7">
      <w:pPr>
        <w:pStyle w:val="ListParagraph"/>
        <w:numPr>
          <w:ilvl w:val="0"/>
          <w:numId w:val="129"/>
        </w:numPr>
        <w:spacing w:after="0" w:line="240" w:lineRule="auto"/>
        <w:jc w:val="both"/>
        <w:rPr>
          <w:rFonts w:ascii="Arial" w:hAnsi="Arial" w:cs="Arial"/>
          <w:sz w:val="24"/>
          <w:szCs w:val="24"/>
        </w:rPr>
      </w:pPr>
      <w:r w:rsidRPr="00D11856">
        <w:rPr>
          <w:rFonts w:ascii="Arial" w:hAnsi="Arial" w:cs="Arial"/>
          <w:sz w:val="24"/>
          <w:szCs w:val="24"/>
        </w:rPr>
        <w:t xml:space="preserve">Financial advice </w:t>
      </w:r>
    </w:p>
    <w:p w14:paraId="46E0E50C" w14:textId="77777777" w:rsidR="007A2A74" w:rsidRPr="00D11856" w:rsidRDefault="007A2A74" w:rsidP="00DC54F7">
      <w:pPr>
        <w:pStyle w:val="ListParagraph"/>
        <w:numPr>
          <w:ilvl w:val="0"/>
          <w:numId w:val="129"/>
        </w:numPr>
        <w:spacing w:after="0" w:line="240" w:lineRule="auto"/>
        <w:jc w:val="both"/>
        <w:rPr>
          <w:rFonts w:ascii="Arial" w:hAnsi="Arial" w:cs="Arial"/>
          <w:sz w:val="24"/>
          <w:szCs w:val="24"/>
        </w:rPr>
      </w:pPr>
      <w:r w:rsidRPr="00D11856">
        <w:rPr>
          <w:rFonts w:ascii="Arial" w:hAnsi="Arial" w:cs="Arial"/>
          <w:sz w:val="24"/>
          <w:szCs w:val="24"/>
        </w:rPr>
        <w:t xml:space="preserve">Ensure adequate provision for conditions other than PTSD </w:t>
      </w:r>
    </w:p>
    <w:p w14:paraId="3CBFD45A" w14:textId="77777777" w:rsidR="007A2A74" w:rsidRPr="00D11856" w:rsidRDefault="007A2A74" w:rsidP="00DC54F7">
      <w:pPr>
        <w:pStyle w:val="ListParagraph"/>
        <w:numPr>
          <w:ilvl w:val="0"/>
          <w:numId w:val="129"/>
        </w:numPr>
        <w:spacing w:after="0" w:line="240" w:lineRule="auto"/>
        <w:jc w:val="both"/>
        <w:rPr>
          <w:rFonts w:ascii="Arial" w:hAnsi="Arial" w:cs="Arial"/>
          <w:sz w:val="24"/>
          <w:szCs w:val="24"/>
        </w:rPr>
      </w:pPr>
      <w:r w:rsidRPr="00D11856">
        <w:rPr>
          <w:rFonts w:ascii="Arial" w:hAnsi="Arial" w:cs="Arial"/>
          <w:sz w:val="24"/>
          <w:szCs w:val="24"/>
        </w:rPr>
        <w:lastRenderedPageBreak/>
        <w:t xml:space="preserve">Substance misuse and self-medication </w:t>
      </w:r>
    </w:p>
    <w:p w14:paraId="2642561E" w14:textId="77777777" w:rsidR="007A2A74" w:rsidRPr="00D11856" w:rsidRDefault="007A2A74" w:rsidP="00DC54F7">
      <w:pPr>
        <w:pStyle w:val="ListParagraph"/>
        <w:numPr>
          <w:ilvl w:val="0"/>
          <w:numId w:val="129"/>
        </w:numPr>
        <w:spacing w:after="0" w:line="240" w:lineRule="auto"/>
        <w:jc w:val="both"/>
        <w:rPr>
          <w:rFonts w:ascii="Arial" w:hAnsi="Arial" w:cs="Arial"/>
          <w:sz w:val="24"/>
          <w:szCs w:val="24"/>
        </w:rPr>
      </w:pPr>
      <w:r w:rsidRPr="00D11856">
        <w:rPr>
          <w:rFonts w:ascii="Arial" w:hAnsi="Arial" w:cs="Arial"/>
          <w:sz w:val="24"/>
          <w:szCs w:val="24"/>
        </w:rPr>
        <w:t xml:space="preserve">Early diagnosis &amp; preventative treatment </w:t>
      </w:r>
    </w:p>
    <w:p w14:paraId="59EE7312" w14:textId="77777777" w:rsidR="007A2A74" w:rsidRPr="00D11856" w:rsidRDefault="007A2A74" w:rsidP="00DC54F7">
      <w:pPr>
        <w:pStyle w:val="ListParagraph"/>
        <w:numPr>
          <w:ilvl w:val="0"/>
          <w:numId w:val="129"/>
        </w:numPr>
        <w:spacing w:after="0" w:line="240" w:lineRule="auto"/>
        <w:jc w:val="both"/>
        <w:rPr>
          <w:rFonts w:ascii="Arial" w:hAnsi="Arial" w:cs="Arial"/>
          <w:sz w:val="24"/>
          <w:szCs w:val="24"/>
        </w:rPr>
      </w:pPr>
      <w:r w:rsidRPr="00D11856">
        <w:rPr>
          <w:rFonts w:ascii="Arial" w:hAnsi="Arial" w:cs="Arial"/>
          <w:sz w:val="24"/>
          <w:szCs w:val="24"/>
        </w:rPr>
        <w:t xml:space="preserve">Transition support </w:t>
      </w:r>
    </w:p>
    <w:p w14:paraId="2BC15FE5" w14:textId="77777777" w:rsidR="007A2A74" w:rsidRPr="00D11856" w:rsidRDefault="007A2A74" w:rsidP="00DC54F7">
      <w:pPr>
        <w:pStyle w:val="ListParagraph"/>
        <w:numPr>
          <w:ilvl w:val="0"/>
          <w:numId w:val="129"/>
        </w:numPr>
        <w:spacing w:after="0" w:line="240" w:lineRule="auto"/>
        <w:jc w:val="both"/>
        <w:rPr>
          <w:rFonts w:ascii="Arial" w:hAnsi="Arial" w:cs="Arial"/>
          <w:sz w:val="24"/>
          <w:szCs w:val="24"/>
        </w:rPr>
      </w:pPr>
      <w:r w:rsidRPr="00D11856">
        <w:rPr>
          <w:rFonts w:ascii="Arial" w:hAnsi="Arial" w:cs="Arial"/>
          <w:sz w:val="24"/>
          <w:szCs w:val="24"/>
        </w:rPr>
        <w:t xml:space="preserve">Improved access to services </w:t>
      </w:r>
    </w:p>
    <w:p w14:paraId="34888C50" w14:textId="77777777" w:rsidR="007A2A74" w:rsidRPr="00D11856" w:rsidRDefault="007A2A74" w:rsidP="00DC54F7">
      <w:pPr>
        <w:pStyle w:val="ListParagraph"/>
        <w:numPr>
          <w:ilvl w:val="0"/>
          <w:numId w:val="129"/>
        </w:numPr>
        <w:spacing w:after="0" w:line="240" w:lineRule="auto"/>
        <w:jc w:val="both"/>
        <w:rPr>
          <w:rFonts w:ascii="Arial" w:hAnsi="Arial" w:cs="Arial"/>
          <w:sz w:val="24"/>
          <w:szCs w:val="24"/>
        </w:rPr>
      </w:pPr>
      <w:r w:rsidRPr="00D11856">
        <w:rPr>
          <w:rFonts w:ascii="Arial" w:hAnsi="Arial" w:cs="Arial"/>
          <w:sz w:val="24"/>
          <w:szCs w:val="24"/>
        </w:rPr>
        <w:t>Safeguarding issues relating to domestic violence</w:t>
      </w:r>
    </w:p>
    <w:p w14:paraId="757BB4C6" w14:textId="77777777" w:rsidR="007A2A74" w:rsidRDefault="007A2A74" w:rsidP="00DC54F7">
      <w:pPr>
        <w:spacing w:after="0" w:line="240" w:lineRule="auto"/>
        <w:jc w:val="both"/>
        <w:rPr>
          <w:rFonts w:ascii="Arial" w:hAnsi="Arial" w:cs="Arial"/>
        </w:rPr>
      </w:pPr>
    </w:p>
    <w:bookmarkEnd w:id="27"/>
    <w:p w14:paraId="6FEC4D95" w14:textId="77777777" w:rsidR="009A44A5" w:rsidRDefault="009A44A5" w:rsidP="00DC54F7">
      <w:pPr>
        <w:spacing w:after="0" w:line="240" w:lineRule="auto"/>
        <w:jc w:val="both"/>
        <w:rPr>
          <w:rFonts w:ascii="Arial" w:hAnsi="Arial" w:cs="Arial"/>
          <w:b/>
          <w:sz w:val="26"/>
          <w:szCs w:val="26"/>
        </w:rPr>
      </w:pPr>
    </w:p>
    <w:p w14:paraId="25D2F65C" w14:textId="395E40E4" w:rsidR="007A2A74" w:rsidRDefault="007A2A74" w:rsidP="00DC54F7">
      <w:pPr>
        <w:spacing w:after="0" w:line="240" w:lineRule="auto"/>
        <w:jc w:val="both"/>
        <w:rPr>
          <w:rFonts w:ascii="Arial" w:hAnsi="Arial" w:cs="Arial"/>
          <w:b/>
          <w:sz w:val="26"/>
          <w:szCs w:val="26"/>
        </w:rPr>
      </w:pPr>
      <w:r w:rsidRPr="00650DC2">
        <w:rPr>
          <w:rFonts w:ascii="Arial" w:hAnsi="Arial" w:cs="Arial"/>
          <w:b/>
          <w:sz w:val="26"/>
          <w:szCs w:val="26"/>
        </w:rPr>
        <w:t xml:space="preserve">4.15 Visitors to tourist attractions </w:t>
      </w:r>
    </w:p>
    <w:p w14:paraId="2941E697" w14:textId="77777777" w:rsidR="007A2A74" w:rsidRDefault="007A2A74" w:rsidP="00DC54F7">
      <w:pPr>
        <w:spacing w:after="0" w:line="240" w:lineRule="auto"/>
        <w:jc w:val="both"/>
        <w:rPr>
          <w:rFonts w:ascii="Arial" w:hAnsi="Arial" w:cs="Arial"/>
          <w:b/>
          <w:sz w:val="26"/>
          <w:szCs w:val="26"/>
        </w:rPr>
      </w:pPr>
    </w:p>
    <w:p w14:paraId="6037E70D" w14:textId="77777777" w:rsidR="007A2A74" w:rsidRPr="00D11856" w:rsidRDefault="007A2A74" w:rsidP="00DC54F7">
      <w:pPr>
        <w:spacing w:after="0" w:line="240" w:lineRule="auto"/>
        <w:jc w:val="both"/>
        <w:rPr>
          <w:rFonts w:ascii="Arial" w:hAnsi="Arial" w:cs="Arial"/>
          <w:sz w:val="24"/>
          <w:szCs w:val="24"/>
        </w:rPr>
      </w:pPr>
      <w:r w:rsidRPr="00D11856">
        <w:rPr>
          <w:rFonts w:ascii="Arial" w:hAnsi="Arial" w:cs="Arial"/>
          <w:sz w:val="24"/>
          <w:szCs w:val="24"/>
        </w:rPr>
        <w:t xml:space="preserve">Visitors and holiday makers to the area are likely to have the same health needs as the general population of the health board’s area. As they may only be in the area for a short stay, their health needs are likely to be: </w:t>
      </w:r>
    </w:p>
    <w:p w14:paraId="5BA7C067" w14:textId="77777777" w:rsidR="007A2A74" w:rsidRPr="00D11856" w:rsidRDefault="007A2A74" w:rsidP="00DC54F7">
      <w:pPr>
        <w:numPr>
          <w:ilvl w:val="0"/>
          <w:numId w:val="40"/>
        </w:numPr>
        <w:spacing w:after="0" w:line="240" w:lineRule="auto"/>
        <w:jc w:val="both"/>
        <w:rPr>
          <w:rFonts w:ascii="Arial" w:hAnsi="Arial" w:cs="Arial"/>
          <w:sz w:val="24"/>
          <w:szCs w:val="24"/>
        </w:rPr>
      </w:pPr>
      <w:r w:rsidRPr="00D11856">
        <w:rPr>
          <w:rFonts w:ascii="Arial" w:hAnsi="Arial" w:cs="Arial"/>
          <w:sz w:val="24"/>
          <w:szCs w:val="24"/>
        </w:rPr>
        <w:t>Treatment of an acute condition which requires the dispensing of a prescription.</w:t>
      </w:r>
    </w:p>
    <w:p w14:paraId="4D8D11B9" w14:textId="77777777" w:rsidR="007A2A74" w:rsidRPr="00D11856" w:rsidRDefault="007A2A74" w:rsidP="00DC54F7">
      <w:pPr>
        <w:numPr>
          <w:ilvl w:val="0"/>
          <w:numId w:val="40"/>
        </w:numPr>
        <w:spacing w:after="0" w:line="240" w:lineRule="auto"/>
        <w:jc w:val="both"/>
        <w:rPr>
          <w:rFonts w:ascii="Arial" w:hAnsi="Arial" w:cs="Arial"/>
          <w:sz w:val="24"/>
          <w:szCs w:val="24"/>
        </w:rPr>
      </w:pPr>
      <w:r w:rsidRPr="00D11856">
        <w:rPr>
          <w:rFonts w:ascii="Arial" w:hAnsi="Arial" w:cs="Arial"/>
          <w:sz w:val="24"/>
          <w:szCs w:val="24"/>
        </w:rPr>
        <w:t>Services for alcohol intoxication e.g. at major sporting events (Alcohol Treatment Centre in Cardiff)</w:t>
      </w:r>
    </w:p>
    <w:p w14:paraId="37EDCC09" w14:textId="77777777" w:rsidR="007A2A74" w:rsidRPr="00D11856" w:rsidRDefault="007A2A74" w:rsidP="00DC54F7">
      <w:pPr>
        <w:numPr>
          <w:ilvl w:val="0"/>
          <w:numId w:val="40"/>
        </w:numPr>
        <w:spacing w:after="0" w:line="240" w:lineRule="auto"/>
        <w:jc w:val="both"/>
        <w:rPr>
          <w:rFonts w:ascii="Arial" w:hAnsi="Arial" w:cs="Arial"/>
          <w:sz w:val="24"/>
          <w:szCs w:val="24"/>
        </w:rPr>
      </w:pPr>
      <w:r w:rsidRPr="00D11856">
        <w:rPr>
          <w:rFonts w:ascii="Arial" w:hAnsi="Arial" w:cs="Arial"/>
          <w:sz w:val="24"/>
          <w:szCs w:val="24"/>
        </w:rPr>
        <w:t xml:space="preserve">The need for repeat medication </w:t>
      </w:r>
    </w:p>
    <w:p w14:paraId="38B94957" w14:textId="77777777" w:rsidR="007A2A74" w:rsidRPr="00D11856" w:rsidRDefault="007A2A74" w:rsidP="00DC54F7">
      <w:pPr>
        <w:numPr>
          <w:ilvl w:val="0"/>
          <w:numId w:val="40"/>
        </w:numPr>
        <w:spacing w:after="0" w:line="240" w:lineRule="auto"/>
        <w:jc w:val="both"/>
        <w:rPr>
          <w:rFonts w:ascii="Arial" w:hAnsi="Arial" w:cs="Arial"/>
          <w:sz w:val="24"/>
          <w:szCs w:val="24"/>
        </w:rPr>
      </w:pPr>
      <w:r w:rsidRPr="00D11856">
        <w:rPr>
          <w:rFonts w:ascii="Arial" w:hAnsi="Arial" w:cs="Arial"/>
          <w:sz w:val="24"/>
          <w:szCs w:val="24"/>
        </w:rPr>
        <w:t>Support for self-care, or</w:t>
      </w:r>
    </w:p>
    <w:p w14:paraId="373F60CD" w14:textId="77777777" w:rsidR="007A2A74" w:rsidRPr="00B6322E" w:rsidRDefault="007A2A74" w:rsidP="00DC54F7">
      <w:pPr>
        <w:numPr>
          <w:ilvl w:val="0"/>
          <w:numId w:val="40"/>
        </w:numPr>
        <w:spacing w:after="0" w:line="240" w:lineRule="auto"/>
        <w:jc w:val="both"/>
        <w:rPr>
          <w:rFonts w:ascii="Verdana" w:hAnsi="Verdana" w:cs="Arial"/>
          <w:sz w:val="24"/>
          <w:szCs w:val="24"/>
        </w:rPr>
      </w:pPr>
      <w:r w:rsidRPr="00D11856">
        <w:rPr>
          <w:rFonts w:ascii="Arial" w:hAnsi="Arial" w:cs="Arial"/>
          <w:sz w:val="24"/>
          <w:szCs w:val="24"/>
        </w:rPr>
        <w:t>Signposting to other health services such as a GP or dentist</w:t>
      </w:r>
      <w:r w:rsidRPr="00B6322E">
        <w:rPr>
          <w:rFonts w:ascii="Verdana" w:hAnsi="Verdana" w:cs="Arial"/>
          <w:sz w:val="24"/>
          <w:szCs w:val="24"/>
        </w:rPr>
        <w:t>.</w:t>
      </w:r>
    </w:p>
    <w:p w14:paraId="31216289" w14:textId="77777777" w:rsidR="007A2A74" w:rsidRPr="007A2A74" w:rsidRDefault="007A2A74" w:rsidP="00DC54F7">
      <w:pPr>
        <w:jc w:val="both"/>
      </w:pPr>
    </w:p>
    <w:p w14:paraId="77CFD7D7" w14:textId="2BB4596C" w:rsidR="00C85438" w:rsidRDefault="00C85438" w:rsidP="00DC54F7">
      <w:pPr>
        <w:spacing w:after="0" w:line="240" w:lineRule="auto"/>
        <w:contextualSpacing/>
        <w:jc w:val="both"/>
        <w:rPr>
          <w:rFonts w:ascii="Arial" w:hAnsi="Arial" w:cs="Arial"/>
        </w:rPr>
      </w:pPr>
    </w:p>
    <w:p w14:paraId="40D75263" w14:textId="1F8064C0" w:rsidR="00D11856" w:rsidRDefault="00D11856" w:rsidP="00DC54F7">
      <w:pPr>
        <w:spacing w:after="0" w:line="240" w:lineRule="auto"/>
        <w:contextualSpacing/>
        <w:jc w:val="both"/>
        <w:rPr>
          <w:rFonts w:ascii="Arial" w:hAnsi="Arial" w:cs="Arial"/>
        </w:rPr>
      </w:pPr>
    </w:p>
    <w:p w14:paraId="1BA5E9DA" w14:textId="336D3B31" w:rsidR="00D11856" w:rsidRDefault="00D11856" w:rsidP="00DC54F7">
      <w:pPr>
        <w:spacing w:after="0" w:line="240" w:lineRule="auto"/>
        <w:contextualSpacing/>
        <w:jc w:val="both"/>
        <w:rPr>
          <w:rFonts w:ascii="Arial" w:hAnsi="Arial" w:cs="Arial"/>
        </w:rPr>
      </w:pPr>
    </w:p>
    <w:p w14:paraId="00849003" w14:textId="3142FD67" w:rsidR="00D11856" w:rsidRDefault="00D11856" w:rsidP="00DC54F7">
      <w:pPr>
        <w:spacing w:after="0" w:line="240" w:lineRule="auto"/>
        <w:contextualSpacing/>
        <w:jc w:val="both"/>
        <w:rPr>
          <w:rFonts w:ascii="Arial" w:hAnsi="Arial" w:cs="Arial"/>
        </w:rPr>
      </w:pPr>
    </w:p>
    <w:p w14:paraId="720038A0" w14:textId="543147FE" w:rsidR="00D11856" w:rsidRDefault="00D11856" w:rsidP="00DC54F7">
      <w:pPr>
        <w:spacing w:after="0" w:line="240" w:lineRule="auto"/>
        <w:contextualSpacing/>
        <w:jc w:val="both"/>
        <w:rPr>
          <w:rFonts w:ascii="Arial" w:hAnsi="Arial" w:cs="Arial"/>
        </w:rPr>
      </w:pPr>
    </w:p>
    <w:p w14:paraId="01A3D0D7" w14:textId="2B1163B0" w:rsidR="00D11856" w:rsidRDefault="00D11856" w:rsidP="00DC54F7">
      <w:pPr>
        <w:spacing w:after="0" w:line="240" w:lineRule="auto"/>
        <w:contextualSpacing/>
        <w:jc w:val="both"/>
        <w:rPr>
          <w:rFonts w:ascii="Arial" w:hAnsi="Arial" w:cs="Arial"/>
        </w:rPr>
      </w:pPr>
    </w:p>
    <w:p w14:paraId="552A2B10" w14:textId="7E375E7F" w:rsidR="00D11856" w:rsidRDefault="00D11856" w:rsidP="00DC54F7">
      <w:pPr>
        <w:spacing w:after="0" w:line="240" w:lineRule="auto"/>
        <w:contextualSpacing/>
        <w:jc w:val="both"/>
        <w:rPr>
          <w:rFonts w:ascii="Arial" w:hAnsi="Arial" w:cs="Arial"/>
        </w:rPr>
      </w:pPr>
    </w:p>
    <w:p w14:paraId="2D312054" w14:textId="014D8563" w:rsidR="00D11856" w:rsidRDefault="00D11856" w:rsidP="00DC54F7">
      <w:pPr>
        <w:spacing w:after="0" w:line="240" w:lineRule="auto"/>
        <w:contextualSpacing/>
        <w:jc w:val="both"/>
        <w:rPr>
          <w:rFonts w:ascii="Arial" w:hAnsi="Arial" w:cs="Arial"/>
        </w:rPr>
      </w:pPr>
    </w:p>
    <w:p w14:paraId="1602D2BA" w14:textId="040BBF13" w:rsidR="00D11856" w:rsidRDefault="00D11856" w:rsidP="00DC54F7">
      <w:pPr>
        <w:spacing w:after="0" w:line="240" w:lineRule="auto"/>
        <w:contextualSpacing/>
        <w:jc w:val="both"/>
        <w:rPr>
          <w:rFonts w:ascii="Arial" w:hAnsi="Arial" w:cs="Arial"/>
        </w:rPr>
      </w:pPr>
    </w:p>
    <w:p w14:paraId="51ADF329" w14:textId="672494DA" w:rsidR="00D11856" w:rsidRDefault="00D11856" w:rsidP="00DC54F7">
      <w:pPr>
        <w:jc w:val="both"/>
        <w:rPr>
          <w:rFonts w:ascii="Arial" w:hAnsi="Arial" w:cs="Arial"/>
        </w:rPr>
      </w:pPr>
      <w:r>
        <w:rPr>
          <w:rFonts w:ascii="Arial" w:hAnsi="Arial" w:cs="Arial"/>
        </w:rPr>
        <w:br w:type="page"/>
      </w:r>
    </w:p>
    <w:p w14:paraId="1A954BD1" w14:textId="22C4BD23" w:rsidR="00657279" w:rsidRDefault="00657279" w:rsidP="00DC54F7">
      <w:pPr>
        <w:pStyle w:val="Heading1"/>
        <w:spacing w:before="0" w:line="240" w:lineRule="auto"/>
        <w:jc w:val="both"/>
        <w:rPr>
          <w:rFonts w:cs="Arial"/>
          <w:color w:val="auto"/>
        </w:rPr>
      </w:pPr>
      <w:bookmarkStart w:id="28" w:name="_Toc81585098"/>
      <w:r w:rsidRPr="00A10850">
        <w:rPr>
          <w:rFonts w:cs="Arial"/>
          <w:color w:val="auto"/>
        </w:rPr>
        <w:lastRenderedPageBreak/>
        <w:t>5 Provision of pharmaceutical services</w:t>
      </w:r>
      <w:bookmarkEnd w:id="28"/>
    </w:p>
    <w:p w14:paraId="0440C863" w14:textId="77777777" w:rsidR="00AB67E1" w:rsidRDefault="00AB67E1" w:rsidP="00DC54F7">
      <w:pPr>
        <w:spacing w:after="0" w:line="240" w:lineRule="auto"/>
        <w:jc w:val="both"/>
      </w:pPr>
    </w:p>
    <w:p w14:paraId="3D65B339" w14:textId="606173D6" w:rsidR="0049574F" w:rsidRPr="00D11856" w:rsidRDefault="0049574F" w:rsidP="00DC54F7">
      <w:pPr>
        <w:spacing w:after="0" w:line="240" w:lineRule="auto"/>
        <w:jc w:val="both"/>
        <w:rPr>
          <w:sz w:val="24"/>
          <w:szCs w:val="24"/>
        </w:rPr>
      </w:pPr>
      <w:r w:rsidRPr="00D11856">
        <w:rPr>
          <w:rFonts w:ascii="Arial" w:hAnsi="Arial" w:cs="Arial"/>
          <w:color w:val="000000"/>
          <w:sz w:val="24"/>
          <w:szCs w:val="24"/>
          <w:shd w:val="clear" w:color="auto" w:fill="FFFFFF"/>
        </w:rPr>
        <w:t>The maps used in this chapter combined with the full list of pharmacy contractors by cluster found in Appendix L and the GP dispensing site at 5.1.</w:t>
      </w:r>
      <w:r w:rsidR="00D04A1C" w:rsidRPr="00D11856">
        <w:rPr>
          <w:rFonts w:ascii="Arial" w:hAnsi="Arial" w:cs="Arial"/>
          <w:color w:val="000000"/>
          <w:sz w:val="24"/>
          <w:szCs w:val="24"/>
          <w:shd w:val="clear" w:color="auto" w:fill="FFFFFF"/>
        </w:rPr>
        <w:t>2</w:t>
      </w:r>
      <w:r w:rsidR="005D67C5" w:rsidRPr="00D11856">
        <w:rPr>
          <w:rFonts w:ascii="Arial" w:hAnsi="Arial" w:cs="Arial"/>
          <w:color w:val="000000"/>
          <w:sz w:val="24"/>
          <w:szCs w:val="24"/>
          <w:shd w:val="clear" w:color="auto" w:fill="FFFFFF"/>
        </w:rPr>
        <w:t>1</w:t>
      </w:r>
      <w:r w:rsidRPr="00D11856">
        <w:rPr>
          <w:rFonts w:ascii="Arial" w:hAnsi="Arial" w:cs="Arial"/>
          <w:color w:val="000000"/>
          <w:sz w:val="24"/>
          <w:szCs w:val="24"/>
          <w:shd w:val="clear" w:color="auto" w:fill="FFFFFF"/>
        </w:rPr>
        <w:t xml:space="preserve"> identify the premises at which pharmaceutical services and GP dispensing services are provided in the area of </w:t>
      </w:r>
      <w:r w:rsidR="00025977" w:rsidRPr="00D11856">
        <w:rPr>
          <w:rFonts w:ascii="Arial" w:hAnsi="Arial" w:cs="Arial"/>
          <w:color w:val="000000"/>
          <w:sz w:val="24"/>
          <w:szCs w:val="24"/>
          <w:shd w:val="clear" w:color="auto" w:fill="FFFFFF"/>
        </w:rPr>
        <w:t xml:space="preserve">Cardiff and Vale University </w:t>
      </w:r>
      <w:r w:rsidRPr="00D11856">
        <w:rPr>
          <w:rFonts w:ascii="Arial" w:hAnsi="Arial" w:cs="Arial"/>
          <w:color w:val="000000"/>
          <w:sz w:val="24"/>
          <w:szCs w:val="24"/>
          <w:shd w:val="clear" w:color="auto" w:fill="FFFFFF"/>
        </w:rPr>
        <w:t>Health Board. In subsequent chapters and in particular those providing cluster level information, any maps should be considered indicative of premises locations and read in conjunction with relevant data. It should be noted that due to the size of the area covered by the health board, and the small scale of these maps, many of the premises are not separately identifiable.</w:t>
      </w:r>
    </w:p>
    <w:p w14:paraId="6C8A46A6" w14:textId="707B76AA" w:rsidR="00A42318" w:rsidRDefault="00A42318" w:rsidP="00DC54F7">
      <w:pPr>
        <w:spacing w:after="0" w:line="240" w:lineRule="auto"/>
        <w:contextualSpacing/>
        <w:jc w:val="both"/>
      </w:pPr>
    </w:p>
    <w:p w14:paraId="4B843F15" w14:textId="2B74F50D" w:rsidR="0049574F" w:rsidRDefault="0049574F" w:rsidP="00DC54F7">
      <w:pPr>
        <w:spacing w:after="0" w:line="240" w:lineRule="auto"/>
        <w:contextualSpacing/>
        <w:jc w:val="both"/>
      </w:pPr>
    </w:p>
    <w:p w14:paraId="0FC53137" w14:textId="42B74B19" w:rsidR="0036601B" w:rsidRPr="00A10850" w:rsidRDefault="0036601B" w:rsidP="00DC54F7">
      <w:pPr>
        <w:spacing w:after="0" w:line="240" w:lineRule="auto"/>
        <w:jc w:val="both"/>
        <w:rPr>
          <w:rFonts w:ascii="Arial" w:hAnsi="Arial" w:cs="Arial"/>
          <w:b/>
          <w:sz w:val="26"/>
          <w:szCs w:val="26"/>
        </w:rPr>
      </w:pPr>
      <w:r w:rsidRPr="00A10850">
        <w:rPr>
          <w:rFonts w:ascii="Arial" w:hAnsi="Arial" w:cs="Arial"/>
          <w:b/>
          <w:sz w:val="26"/>
          <w:szCs w:val="26"/>
        </w:rPr>
        <w:t xml:space="preserve">5.1 </w:t>
      </w:r>
      <w:r w:rsidR="00EB44B4" w:rsidRPr="00A10850">
        <w:rPr>
          <w:rFonts w:ascii="Arial" w:hAnsi="Arial" w:cs="Arial"/>
          <w:b/>
          <w:sz w:val="26"/>
          <w:szCs w:val="26"/>
        </w:rPr>
        <w:t>C</w:t>
      </w:r>
      <w:r w:rsidRPr="00A10850">
        <w:rPr>
          <w:rFonts w:ascii="Arial" w:hAnsi="Arial" w:cs="Arial"/>
          <w:b/>
          <w:sz w:val="26"/>
          <w:szCs w:val="26"/>
        </w:rPr>
        <w:t xml:space="preserve">urrent provision within </w:t>
      </w:r>
      <w:r w:rsidR="00C04661">
        <w:rPr>
          <w:rFonts w:ascii="Arial" w:hAnsi="Arial" w:cs="Arial"/>
          <w:b/>
          <w:sz w:val="26"/>
          <w:szCs w:val="26"/>
        </w:rPr>
        <w:t>Cardiff and Vale University Health Board</w:t>
      </w:r>
      <w:r w:rsidRPr="00A10850">
        <w:rPr>
          <w:rFonts w:ascii="Arial" w:hAnsi="Arial" w:cs="Arial"/>
          <w:b/>
          <w:sz w:val="26"/>
          <w:szCs w:val="26"/>
        </w:rPr>
        <w:t xml:space="preserve"> area</w:t>
      </w:r>
    </w:p>
    <w:p w14:paraId="1AFDB578" w14:textId="77777777" w:rsidR="00DD294D" w:rsidRPr="00A10850" w:rsidRDefault="00DD294D" w:rsidP="00DC54F7">
      <w:pPr>
        <w:spacing w:after="0" w:line="240" w:lineRule="auto"/>
        <w:contextualSpacing/>
        <w:jc w:val="both"/>
        <w:rPr>
          <w:rFonts w:ascii="Arial" w:hAnsi="Arial" w:cs="Arial"/>
        </w:rPr>
      </w:pPr>
    </w:p>
    <w:p w14:paraId="12276FB3" w14:textId="1809FC95" w:rsidR="00902678" w:rsidRPr="00D11856" w:rsidRDefault="00066387" w:rsidP="00DC54F7">
      <w:pPr>
        <w:spacing w:after="0" w:line="240" w:lineRule="auto"/>
        <w:contextualSpacing/>
        <w:jc w:val="both"/>
        <w:rPr>
          <w:rFonts w:ascii="Arial" w:hAnsi="Arial" w:cs="Arial"/>
          <w:sz w:val="24"/>
          <w:szCs w:val="24"/>
        </w:rPr>
      </w:pPr>
      <w:r w:rsidRPr="00D11856">
        <w:rPr>
          <w:rFonts w:ascii="Arial" w:hAnsi="Arial" w:cs="Arial"/>
          <w:sz w:val="24"/>
          <w:szCs w:val="24"/>
        </w:rPr>
        <w:t xml:space="preserve">There are </w:t>
      </w:r>
      <w:r w:rsidR="007E5CE6" w:rsidRPr="00D11856">
        <w:rPr>
          <w:rFonts w:ascii="Arial" w:hAnsi="Arial" w:cs="Arial"/>
          <w:sz w:val="24"/>
          <w:szCs w:val="24"/>
        </w:rPr>
        <w:t>106</w:t>
      </w:r>
      <w:r w:rsidR="00EB44B4" w:rsidRPr="00D11856">
        <w:rPr>
          <w:rFonts w:ascii="Arial" w:hAnsi="Arial" w:cs="Arial"/>
          <w:sz w:val="24"/>
          <w:szCs w:val="24"/>
        </w:rPr>
        <w:t xml:space="preserve"> </w:t>
      </w:r>
      <w:r w:rsidR="00795A98" w:rsidRPr="00D11856">
        <w:rPr>
          <w:rFonts w:ascii="Arial" w:hAnsi="Arial" w:cs="Arial"/>
          <w:sz w:val="24"/>
          <w:szCs w:val="24"/>
        </w:rPr>
        <w:t xml:space="preserve">pharmacies </w:t>
      </w:r>
      <w:r w:rsidRPr="00D11856">
        <w:rPr>
          <w:rFonts w:ascii="Arial" w:hAnsi="Arial" w:cs="Arial"/>
          <w:sz w:val="24"/>
          <w:szCs w:val="24"/>
        </w:rPr>
        <w:t xml:space="preserve">included in the pharmaceutical list for the area of the </w:t>
      </w:r>
      <w:r w:rsidR="00EB44B4" w:rsidRPr="00D11856">
        <w:rPr>
          <w:rFonts w:ascii="Arial" w:hAnsi="Arial" w:cs="Arial"/>
          <w:sz w:val="24"/>
          <w:szCs w:val="24"/>
        </w:rPr>
        <w:t>health board</w:t>
      </w:r>
      <w:r w:rsidR="00735FB3" w:rsidRPr="00D11856">
        <w:rPr>
          <w:rFonts w:ascii="Arial" w:hAnsi="Arial" w:cs="Arial"/>
          <w:sz w:val="24"/>
          <w:szCs w:val="24"/>
        </w:rPr>
        <w:t xml:space="preserve"> </w:t>
      </w:r>
      <w:r w:rsidR="00366A6C" w:rsidRPr="00D11856">
        <w:rPr>
          <w:rFonts w:ascii="Arial" w:hAnsi="Arial" w:cs="Arial"/>
          <w:sz w:val="24"/>
          <w:szCs w:val="24"/>
        </w:rPr>
        <w:t xml:space="preserve">as of </w:t>
      </w:r>
      <w:r w:rsidR="00051FAB" w:rsidRPr="00D11856">
        <w:rPr>
          <w:rFonts w:ascii="Arial" w:hAnsi="Arial" w:cs="Arial"/>
          <w:sz w:val="24"/>
          <w:szCs w:val="24"/>
        </w:rPr>
        <w:t>March</w:t>
      </w:r>
      <w:r w:rsidR="00344BFA" w:rsidRPr="00D11856">
        <w:rPr>
          <w:rFonts w:ascii="Arial" w:hAnsi="Arial" w:cs="Arial"/>
          <w:sz w:val="24"/>
          <w:szCs w:val="24"/>
        </w:rPr>
        <w:t xml:space="preserve"> 202</w:t>
      </w:r>
      <w:r w:rsidR="00051FAB" w:rsidRPr="00D11856">
        <w:rPr>
          <w:rFonts w:ascii="Arial" w:hAnsi="Arial" w:cs="Arial"/>
          <w:sz w:val="24"/>
          <w:szCs w:val="24"/>
        </w:rPr>
        <w:t>1</w:t>
      </w:r>
      <w:r w:rsidR="00795A98" w:rsidRPr="00D11856">
        <w:rPr>
          <w:rFonts w:ascii="Arial" w:hAnsi="Arial" w:cs="Arial"/>
          <w:sz w:val="24"/>
          <w:szCs w:val="24"/>
        </w:rPr>
        <w:t xml:space="preserve">, operated by </w:t>
      </w:r>
      <w:r w:rsidR="001B0C56" w:rsidRPr="00D11856">
        <w:rPr>
          <w:rFonts w:ascii="Arial" w:hAnsi="Arial" w:cs="Arial"/>
          <w:sz w:val="24"/>
          <w:szCs w:val="24"/>
        </w:rPr>
        <w:t>42</w:t>
      </w:r>
      <w:r w:rsidR="00795A98" w:rsidRPr="00D11856">
        <w:rPr>
          <w:rFonts w:ascii="Arial" w:hAnsi="Arial" w:cs="Arial"/>
          <w:sz w:val="24"/>
          <w:szCs w:val="24"/>
        </w:rPr>
        <w:t xml:space="preserve"> different contractors</w:t>
      </w:r>
      <w:r w:rsidR="00484A98" w:rsidRPr="00D11856">
        <w:rPr>
          <w:rFonts w:ascii="Arial" w:hAnsi="Arial" w:cs="Arial"/>
          <w:sz w:val="24"/>
          <w:szCs w:val="24"/>
        </w:rPr>
        <w:t>.</w:t>
      </w:r>
      <w:r w:rsidR="00EB44B4" w:rsidRPr="00D11856">
        <w:rPr>
          <w:rFonts w:ascii="Arial" w:hAnsi="Arial" w:cs="Arial"/>
          <w:sz w:val="24"/>
          <w:szCs w:val="24"/>
        </w:rPr>
        <w:t xml:space="preserve">  </w:t>
      </w:r>
      <w:r w:rsidR="00902678" w:rsidRPr="00D11856">
        <w:rPr>
          <w:rFonts w:ascii="Arial" w:hAnsi="Arial" w:cs="Arial"/>
          <w:sz w:val="24"/>
          <w:szCs w:val="24"/>
        </w:rPr>
        <w:t xml:space="preserve">There are </w:t>
      </w:r>
      <w:r w:rsidR="0013300B" w:rsidRPr="00D11856">
        <w:rPr>
          <w:rFonts w:ascii="Arial" w:hAnsi="Arial" w:cs="Arial"/>
          <w:sz w:val="24"/>
          <w:szCs w:val="24"/>
        </w:rPr>
        <w:t>four</w:t>
      </w:r>
      <w:r w:rsidR="00902678" w:rsidRPr="00D11856">
        <w:rPr>
          <w:rFonts w:ascii="Arial" w:hAnsi="Arial" w:cs="Arial"/>
          <w:sz w:val="24"/>
          <w:szCs w:val="24"/>
        </w:rPr>
        <w:t xml:space="preserve"> </w:t>
      </w:r>
      <w:r w:rsidR="006A2403" w:rsidRPr="00D11856">
        <w:rPr>
          <w:rFonts w:ascii="Arial" w:hAnsi="Arial" w:cs="Arial"/>
          <w:sz w:val="24"/>
          <w:szCs w:val="24"/>
        </w:rPr>
        <w:t xml:space="preserve">dispensing appliance contractors </w:t>
      </w:r>
      <w:r w:rsidR="00C20DF8" w:rsidRPr="00D11856">
        <w:rPr>
          <w:rFonts w:ascii="Arial" w:hAnsi="Arial" w:cs="Arial"/>
          <w:sz w:val="24"/>
          <w:szCs w:val="24"/>
        </w:rPr>
        <w:t xml:space="preserve">located within the health board </w:t>
      </w:r>
      <w:r w:rsidR="002D1235" w:rsidRPr="00D11856">
        <w:rPr>
          <w:rFonts w:ascii="Arial" w:hAnsi="Arial" w:cs="Arial"/>
          <w:sz w:val="24"/>
          <w:szCs w:val="24"/>
        </w:rPr>
        <w:t xml:space="preserve">which provide </w:t>
      </w:r>
      <w:r w:rsidR="00902678" w:rsidRPr="00D11856">
        <w:rPr>
          <w:rFonts w:ascii="Arial" w:hAnsi="Arial" w:cs="Arial"/>
          <w:sz w:val="24"/>
          <w:szCs w:val="24"/>
        </w:rPr>
        <w:t xml:space="preserve">services </w:t>
      </w:r>
      <w:r w:rsidR="00671911" w:rsidRPr="00D11856">
        <w:rPr>
          <w:rFonts w:ascii="Arial" w:hAnsi="Arial" w:cs="Arial"/>
          <w:sz w:val="24"/>
          <w:szCs w:val="24"/>
        </w:rPr>
        <w:t xml:space="preserve">for </w:t>
      </w:r>
      <w:r w:rsidR="00C7370A" w:rsidRPr="00D11856">
        <w:rPr>
          <w:rFonts w:ascii="Arial" w:hAnsi="Arial" w:cs="Arial"/>
          <w:sz w:val="24"/>
          <w:szCs w:val="24"/>
        </w:rPr>
        <w:t xml:space="preserve">Wales and </w:t>
      </w:r>
      <w:r w:rsidR="00623DAE" w:rsidRPr="00D11856">
        <w:rPr>
          <w:rFonts w:ascii="Arial" w:hAnsi="Arial" w:cs="Arial"/>
          <w:sz w:val="24"/>
          <w:szCs w:val="24"/>
        </w:rPr>
        <w:t xml:space="preserve">England and are </w:t>
      </w:r>
      <w:r w:rsidR="00902678" w:rsidRPr="00D11856">
        <w:rPr>
          <w:rFonts w:ascii="Arial" w:hAnsi="Arial" w:cs="Arial"/>
          <w:sz w:val="24"/>
          <w:szCs w:val="24"/>
        </w:rPr>
        <w:t>operated by</w:t>
      </w:r>
      <w:r w:rsidR="0013300B" w:rsidRPr="00D11856">
        <w:rPr>
          <w:rFonts w:ascii="Arial" w:hAnsi="Arial" w:cs="Arial"/>
          <w:sz w:val="24"/>
          <w:szCs w:val="24"/>
        </w:rPr>
        <w:t xml:space="preserve"> four </w:t>
      </w:r>
      <w:r w:rsidR="00902678" w:rsidRPr="00D11856">
        <w:rPr>
          <w:rFonts w:ascii="Arial" w:hAnsi="Arial" w:cs="Arial"/>
          <w:sz w:val="24"/>
          <w:szCs w:val="24"/>
        </w:rPr>
        <w:t>contractors.</w:t>
      </w:r>
    </w:p>
    <w:p w14:paraId="0DF4D4DC" w14:textId="77777777" w:rsidR="00902678" w:rsidRPr="00D11856" w:rsidRDefault="00902678" w:rsidP="00DC54F7">
      <w:pPr>
        <w:spacing w:after="0" w:line="240" w:lineRule="auto"/>
        <w:contextualSpacing/>
        <w:jc w:val="both"/>
        <w:rPr>
          <w:rFonts w:ascii="Arial" w:hAnsi="Arial" w:cs="Arial"/>
          <w:sz w:val="24"/>
          <w:szCs w:val="24"/>
        </w:rPr>
      </w:pPr>
    </w:p>
    <w:p w14:paraId="0496C38F" w14:textId="154FFF43" w:rsidR="00902678" w:rsidRPr="00D11856" w:rsidRDefault="00902678" w:rsidP="00DC54F7">
      <w:pPr>
        <w:spacing w:after="0" w:line="240" w:lineRule="auto"/>
        <w:contextualSpacing/>
        <w:jc w:val="both"/>
        <w:rPr>
          <w:rFonts w:ascii="Arial" w:hAnsi="Arial" w:cs="Arial"/>
          <w:sz w:val="24"/>
          <w:szCs w:val="24"/>
        </w:rPr>
      </w:pPr>
      <w:r w:rsidRPr="00D11856">
        <w:rPr>
          <w:rFonts w:ascii="Arial" w:hAnsi="Arial" w:cs="Arial"/>
          <w:sz w:val="24"/>
          <w:szCs w:val="24"/>
        </w:rPr>
        <w:t xml:space="preserve">Of the </w:t>
      </w:r>
      <w:r w:rsidR="00014DAF" w:rsidRPr="00D11856">
        <w:rPr>
          <w:rFonts w:ascii="Arial" w:hAnsi="Arial" w:cs="Arial"/>
          <w:sz w:val="24"/>
          <w:szCs w:val="24"/>
        </w:rPr>
        <w:t>60</w:t>
      </w:r>
      <w:r w:rsidR="00EB44B4" w:rsidRPr="00D11856">
        <w:rPr>
          <w:rFonts w:ascii="Arial" w:hAnsi="Arial" w:cs="Arial"/>
          <w:sz w:val="24"/>
          <w:szCs w:val="24"/>
        </w:rPr>
        <w:t xml:space="preserve"> </w:t>
      </w:r>
      <w:r w:rsidRPr="00D11856">
        <w:rPr>
          <w:rFonts w:ascii="Arial" w:hAnsi="Arial" w:cs="Arial"/>
          <w:sz w:val="24"/>
          <w:szCs w:val="24"/>
        </w:rPr>
        <w:t xml:space="preserve">GP practices in the </w:t>
      </w:r>
      <w:r w:rsidR="00EB44B4" w:rsidRPr="00D11856">
        <w:rPr>
          <w:rFonts w:ascii="Arial" w:hAnsi="Arial" w:cs="Arial"/>
          <w:sz w:val="24"/>
          <w:szCs w:val="24"/>
        </w:rPr>
        <w:t>health board</w:t>
      </w:r>
      <w:r w:rsidR="00735FB3" w:rsidRPr="00D11856">
        <w:rPr>
          <w:rFonts w:ascii="Arial" w:hAnsi="Arial" w:cs="Arial"/>
          <w:sz w:val="24"/>
          <w:szCs w:val="24"/>
        </w:rPr>
        <w:t xml:space="preserve"> </w:t>
      </w:r>
      <w:r w:rsidRPr="00D11856">
        <w:rPr>
          <w:rFonts w:ascii="Arial" w:hAnsi="Arial" w:cs="Arial"/>
          <w:sz w:val="24"/>
          <w:szCs w:val="24"/>
        </w:rPr>
        <w:t xml:space="preserve">area, </w:t>
      </w:r>
      <w:r w:rsidR="004908DE" w:rsidRPr="00D11856">
        <w:rPr>
          <w:rFonts w:ascii="Arial" w:hAnsi="Arial" w:cs="Arial"/>
          <w:sz w:val="24"/>
          <w:szCs w:val="24"/>
        </w:rPr>
        <w:t>one</w:t>
      </w:r>
      <w:r w:rsidR="00EB44B4" w:rsidRPr="00D11856">
        <w:rPr>
          <w:rFonts w:ascii="Arial" w:hAnsi="Arial" w:cs="Arial"/>
          <w:sz w:val="24"/>
          <w:szCs w:val="24"/>
        </w:rPr>
        <w:t xml:space="preserve"> </w:t>
      </w:r>
      <w:r w:rsidRPr="00D11856">
        <w:rPr>
          <w:rFonts w:ascii="Arial" w:hAnsi="Arial" w:cs="Arial"/>
          <w:sz w:val="24"/>
          <w:szCs w:val="24"/>
        </w:rPr>
        <w:t>dispense</w:t>
      </w:r>
      <w:r w:rsidR="00F871D3" w:rsidRPr="00D11856">
        <w:rPr>
          <w:rFonts w:ascii="Arial" w:hAnsi="Arial" w:cs="Arial"/>
          <w:sz w:val="24"/>
          <w:szCs w:val="24"/>
        </w:rPr>
        <w:t>s</w:t>
      </w:r>
      <w:r w:rsidRPr="00D11856">
        <w:rPr>
          <w:rFonts w:ascii="Arial" w:hAnsi="Arial" w:cs="Arial"/>
          <w:sz w:val="24"/>
          <w:szCs w:val="24"/>
        </w:rPr>
        <w:t xml:space="preserve"> to eligible patients from </w:t>
      </w:r>
      <w:r w:rsidR="00F871D3" w:rsidRPr="00D11856">
        <w:rPr>
          <w:rFonts w:ascii="Arial" w:hAnsi="Arial" w:cs="Arial"/>
          <w:sz w:val="24"/>
          <w:szCs w:val="24"/>
        </w:rPr>
        <w:t>one</w:t>
      </w:r>
      <w:r w:rsidR="00EB44B4" w:rsidRPr="00D11856">
        <w:rPr>
          <w:rFonts w:ascii="Arial" w:hAnsi="Arial" w:cs="Arial"/>
          <w:sz w:val="24"/>
          <w:szCs w:val="24"/>
        </w:rPr>
        <w:t xml:space="preserve"> </w:t>
      </w:r>
      <w:r w:rsidRPr="00D11856">
        <w:rPr>
          <w:rFonts w:ascii="Arial" w:hAnsi="Arial" w:cs="Arial"/>
          <w:sz w:val="24"/>
          <w:szCs w:val="24"/>
        </w:rPr>
        <w:t>site</w:t>
      </w:r>
      <w:r w:rsidR="002057C6" w:rsidRPr="00D11856">
        <w:rPr>
          <w:rFonts w:ascii="Arial" w:hAnsi="Arial" w:cs="Arial"/>
          <w:sz w:val="24"/>
          <w:szCs w:val="24"/>
        </w:rPr>
        <w:t xml:space="preserve"> within the </w:t>
      </w:r>
      <w:r w:rsidR="00EB44B4" w:rsidRPr="00D11856">
        <w:rPr>
          <w:rFonts w:ascii="Arial" w:hAnsi="Arial" w:cs="Arial"/>
          <w:sz w:val="24"/>
          <w:szCs w:val="24"/>
        </w:rPr>
        <w:t>health b</w:t>
      </w:r>
      <w:r w:rsidR="007F6811" w:rsidRPr="00D11856">
        <w:rPr>
          <w:rFonts w:ascii="Arial" w:hAnsi="Arial" w:cs="Arial"/>
          <w:sz w:val="24"/>
          <w:szCs w:val="24"/>
        </w:rPr>
        <w:t>oard</w:t>
      </w:r>
      <w:r w:rsidR="002057C6" w:rsidRPr="00D11856">
        <w:rPr>
          <w:rFonts w:ascii="Arial" w:hAnsi="Arial" w:cs="Arial"/>
          <w:sz w:val="24"/>
          <w:szCs w:val="24"/>
        </w:rPr>
        <w:t>’s area</w:t>
      </w:r>
      <w:r w:rsidR="00EB44B4" w:rsidRPr="00D11856">
        <w:rPr>
          <w:rFonts w:ascii="Arial" w:hAnsi="Arial" w:cs="Arial"/>
          <w:sz w:val="24"/>
          <w:szCs w:val="24"/>
        </w:rPr>
        <w:t xml:space="preserve">.  </w:t>
      </w:r>
      <w:r w:rsidR="00066844" w:rsidRPr="00D11856">
        <w:rPr>
          <w:rFonts w:ascii="Arial" w:hAnsi="Arial" w:cs="Arial"/>
          <w:sz w:val="24"/>
          <w:szCs w:val="24"/>
        </w:rPr>
        <w:t xml:space="preserve">As of </w:t>
      </w:r>
      <w:r w:rsidR="00F13677" w:rsidRPr="00D11856">
        <w:rPr>
          <w:rFonts w:ascii="Arial" w:hAnsi="Arial" w:cs="Arial"/>
          <w:sz w:val="24"/>
          <w:szCs w:val="24"/>
        </w:rPr>
        <w:t>August 2020</w:t>
      </w:r>
      <w:r w:rsidR="00E80363" w:rsidRPr="00D11856">
        <w:rPr>
          <w:rFonts w:ascii="Arial" w:hAnsi="Arial" w:cs="Arial"/>
          <w:sz w:val="24"/>
          <w:szCs w:val="24"/>
        </w:rPr>
        <w:t>,</w:t>
      </w:r>
      <w:r w:rsidR="00066844" w:rsidRPr="00D11856">
        <w:rPr>
          <w:rFonts w:ascii="Arial" w:hAnsi="Arial" w:cs="Arial"/>
          <w:sz w:val="24"/>
          <w:szCs w:val="24"/>
        </w:rPr>
        <w:t xml:space="preserve"> the </w:t>
      </w:r>
      <w:r w:rsidR="00EB44B4" w:rsidRPr="00D11856">
        <w:rPr>
          <w:rFonts w:ascii="Arial" w:hAnsi="Arial" w:cs="Arial"/>
          <w:sz w:val="24"/>
          <w:szCs w:val="24"/>
        </w:rPr>
        <w:t xml:space="preserve">GP </w:t>
      </w:r>
      <w:r w:rsidR="00066844" w:rsidRPr="00D11856">
        <w:rPr>
          <w:rFonts w:ascii="Arial" w:hAnsi="Arial" w:cs="Arial"/>
          <w:sz w:val="24"/>
          <w:szCs w:val="24"/>
        </w:rPr>
        <w:t xml:space="preserve">practice dispensed to </w:t>
      </w:r>
      <w:r w:rsidR="003A4438" w:rsidRPr="00D11856">
        <w:rPr>
          <w:rFonts w:ascii="Arial" w:hAnsi="Arial" w:cs="Arial"/>
          <w:sz w:val="24"/>
          <w:szCs w:val="24"/>
        </w:rPr>
        <w:t>372</w:t>
      </w:r>
      <w:r w:rsidR="00066844" w:rsidRPr="00D11856">
        <w:rPr>
          <w:rFonts w:ascii="Arial" w:hAnsi="Arial" w:cs="Arial"/>
          <w:sz w:val="24"/>
          <w:szCs w:val="24"/>
        </w:rPr>
        <w:t xml:space="preserve"> of their registered patients </w:t>
      </w:r>
      <w:r w:rsidR="002E3967" w:rsidRPr="00D11856">
        <w:rPr>
          <w:rFonts w:ascii="Arial" w:hAnsi="Arial" w:cs="Arial"/>
          <w:sz w:val="24"/>
          <w:szCs w:val="24"/>
        </w:rPr>
        <w:t>(</w:t>
      </w:r>
      <w:r w:rsidR="003A4438" w:rsidRPr="00D11856">
        <w:rPr>
          <w:rFonts w:ascii="Arial" w:hAnsi="Arial" w:cs="Arial"/>
          <w:sz w:val="24"/>
          <w:szCs w:val="24"/>
        </w:rPr>
        <w:t>5</w:t>
      </w:r>
      <w:r w:rsidR="00066844" w:rsidRPr="00D11856">
        <w:rPr>
          <w:rFonts w:ascii="Arial" w:hAnsi="Arial" w:cs="Arial"/>
          <w:sz w:val="24"/>
          <w:szCs w:val="24"/>
        </w:rPr>
        <w:t xml:space="preserve">% of the total list size </w:t>
      </w:r>
      <w:r w:rsidR="002E3967" w:rsidRPr="00D11856">
        <w:rPr>
          <w:rFonts w:ascii="Arial" w:hAnsi="Arial" w:cs="Arial"/>
          <w:sz w:val="24"/>
          <w:szCs w:val="24"/>
        </w:rPr>
        <w:t xml:space="preserve">of the </w:t>
      </w:r>
      <w:r w:rsidR="00066844" w:rsidRPr="00D11856">
        <w:rPr>
          <w:rFonts w:ascii="Arial" w:hAnsi="Arial" w:cs="Arial"/>
          <w:sz w:val="24"/>
          <w:szCs w:val="24"/>
        </w:rPr>
        <w:t>practice</w:t>
      </w:r>
      <w:r w:rsidR="009333BF" w:rsidRPr="00D11856">
        <w:rPr>
          <w:rFonts w:ascii="Arial" w:hAnsi="Arial" w:cs="Arial"/>
          <w:sz w:val="24"/>
          <w:szCs w:val="24"/>
        </w:rPr>
        <w:t>)</w:t>
      </w:r>
      <w:r w:rsidR="00066844" w:rsidRPr="00D11856">
        <w:rPr>
          <w:rFonts w:ascii="Arial" w:hAnsi="Arial" w:cs="Arial"/>
          <w:sz w:val="24"/>
          <w:szCs w:val="24"/>
        </w:rPr>
        <w:t xml:space="preserve">.  </w:t>
      </w:r>
    </w:p>
    <w:p w14:paraId="26D8EAF1" w14:textId="77777777" w:rsidR="00484A98" w:rsidRPr="00D11856" w:rsidRDefault="00484A98" w:rsidP="00DC54F7">
      <w:pPr>
        <w:spacing w:after="0" w:line="240" w:lineRule="auto"/>
        <w:contextualSpacing/>
        <w:jc w:val="both"/>
        <w:rPr>
          <w:rFonts w:ascii="Arial" w:hAnsi="Arial" w:cs="Arial"/>
          <w:sz w:val="24"/>
          <w:szCs w:val="24"/>
        </w:rPr>
      </w:pPr>
    </w:p>
    <w:p w14:paraId="06D8C597" w14:textId="400ACD45" w:rsidR="00833D8A" w:rsidRDefault="00B0268A" w:rsidP="00DC54F7">
      <w:pPr>
        <w:spacing w:after="0" w:line="240" w:lineRule="auto"/>
        <w:contextualSpacing/>
        <w:jc w:val="both"/>
        <w:rPr>
          <w:rFonts w:ascii="Arial" w:hAnsi="Arial" w:cs="Arial"/>
        </w:rPr>
      </w:pPr>
      <w:r w:rsidRPr="00D11856">
        <w:rPr>
          <w:rFonts w:ascii="Arial" w:hAnsi="Arial" w:cs="Arial"/>
          <w:sz w:val="24"/>
          <w:szCs w:val="24"/>
        </w:rPr>
        <w:t>The map below</w:t>
      </w:r>
      <w:r w:rsidR="00066387" w:rsidRPr="00D11856">
        <w:rPr>
          <w:rFonts w:ascii="Arial" w:hAnsi="Arial" w:cs="Arial"/>
          <w:sz w:val="24"/>
          <w:szCs w:val="24"/>
        </w:rPr>
        <w:t xml:space="preserve"> shows </w:t>
      </w:r>
      <w:r w:rsidR="00EE0D84" w:rsidRPr="00D11856">
        <w:rPr>
          <w:rFonts w:ascii="Arial" w:hAnsi="Arial" w:cs="Arial"/>
          <w:sz w:val="24"/>
          <w:szCs w:val="24"/>
        </w:rPr>
        <w:t>the location of the pharmacy,</w:t>
      </w:r>
      <w:r w:rsidR="00066387" w:rsidRPr="00D11856">
        <w:rPr>
          <w:rFonts w:ascii="Arial" w:hAnsi="Arial" w:cs="Arial"/>
          <w:sz w:val="24"/>
          <w:szCs w:val="24"/>
        </w:rPr>
        <w:t xml:space="preserve"> </w:t>
      </w:r>
      <w:r w:rsidR="006A2403" w:rsidRPr="00D11856">
        <w:rPr>
          <w:rFonts w:ascii="Arial" w:hAnsi="Arial" w:cs="Arial"/>
          <w:sz w:val="24"/>
          <w:szCs w:val="24"/>
        </w:rPr>
        <w:t>dispensing appliance contractor</w:t>
      </w:r>
      <w:r w:rsidR="00066387" w:rsidRPr="00D11856">
        <w:rPr>
          <w:rFonts w:ascii="Arial" w:hAnsi="Arial" w:cs="Arial"/>
          <w:sz w:val="24"/>
          <w:szCs w:val="24"/>
        </w:rPr>
        <w:t xml:space="preserve"> </w:t>
      </w:r>
      <w:r w:rsidR="00EE0D84" w:rsidRPr="00D11856">
        <w:rPr>
          <w:rFonts w:ascii="Arial" w:hAnsi="Arial" w:cs="Arial"/>
          <w:sz w:val="24"/>
          <w:szCs w:val="24"/>
        </w:rPr>
        <w:t xml:space="preserve">and dispensing practice </w:t>
      </w:r>
      <w:r w:rsidR="00066387" w:rsidRPr="00D11856">
        <w:rPr>
          <w:rFonts w:ascii="Arial" w:hAnsi="Arial" w:cs="Arial"/>
          <w:sz w:val="24"/>
          <w:szCs w:val="24"/>
        </w:rPr>
        <w:t xml:space="preserve">premises within the </w:t>
      </w:r>
      <w:r w:rsidR="00EB44B4" w:rsidRPr="00D11856">
        <w:rPr>
          <w:rFonts w:ascii="Arial" w:hAnsi="Arial" w:cs="Arial"/>
          <w:sz w:val="24"/>
          <w:szCs w:val="24"/>
        </w:rPr>
        <w:t>health b</w:t>
      </w:r>
      <w:r w:rsidR="007F6811" w:rsidRPr="00D11856">
        <w:rPr>
          <w:rFonts w:ascii="Arial" w:hAnsi="Arial" w:cs="Arial"/>
          <w:sz w:val="24"/>
          <w:szCs w:val="24"/>
        </w:rPr>
        <w:t>oard</w:t>
      </w:r>
      <w:r w:rsidR="00066387" w:rsidRPr="00D11856">
        <w:rPr>
          <w:rFonts w:ascii="Arial" w:hAnsi="Arial" w:cs="Arial"/>
          <w:sz w:val="24"/>
          <w:szCs w:val="24"/>
        </w:rPr>
        <w:t>’s area</w:t>
      </w:r>
      <w:r w:rsidR="00B4456A" w:rsidRPr="00D11856">
        <w:rPr>
          <w:rFonts w:ascii="Arial" w:hAnsi="Arial" w:cs="Arial"/>
          <w:sz w:val="24"/>
          <w:szCs w:val="24"/>
        </w:rPr>
        <w:t xml:space="preserve"> compared to population density</w:t>
      </w:r>
      <w:r w:rsidR="00E55CA5" w:rsidRPr="00D11856">
        <w:rPr>
          <w:rFonts w:ascii="Arial" w:hAnsi="Arial" w:cs="Arial"/>
          <w:sz w:val="24"/>
          <w:szCs w:val="24"/>
        </w:rPr>
        <w:t>.</w:t>
      </w:r>
      <w:r w:rsidR="00B70D50" w:rsidRPr="00D11856">
        <w:rPr>
          <w:rFonts w:ascii="Arial" w:hAnsi="Arial" w:cs="Arial"/>
          <w:sz w:val="24"/>
          <w:szCs w:val="24"/>
        </w:rPr>
        <w:t xml:space="preserve"> </w:t>
      </w:r>
      <w:r w:rsidR="00FF2983" w:rsidRPr="00D11856">
        <w:rPr>
          <w:rFonts w:ascii="Arial" w:hAnsi="Arial" w:cs="Arial"/>
          <w:sz w:val="24"/>
          <w:szCs w:val="24"/>
        </w:rPr>
        <w:t xml:space="preserve">As can be seen from the map, </w:t>
      </w:r>
      <w:r w:rsidR="00324C8D" w:rsidRPr="00D11856">
        <w:rPr>
          <w:rFonts w:ascii="Arial" w:hAnsi="Arial" w:cs="Arial"/>
          <w:sz w:val="24"/>
          <w:szCs w:val="24"/>
        </w:rPr>
        <w:t xml:space="preserve">the majority of </w:t>
      </w:r>
      <w:r w:rsidR="00FF2983" w:rsidRPr="00D11856">
        <w:rPr>
          <w:rFonts w:ascii="Arial" w:hAnsi="Arial" w:cs="Arial"/>
          <w:sz w:val="24"/>
          <w:szCs w:val="24"/>
        </w:rPr>
        <w:t xml:space="preserve">pharmacies are located in or near areas of higher population density. The dispensing doctor practice, as can be expected, can be found in a more rural area with lower population density. </w:t>
      </w:r>
      <w:r w:rsidR="008C126D" w:rsidRPr="00D11856">
        <w:rPr>
          <w:rFonts w:ascii="Arial" w:hAnsi="Arial" w:cs="Arial"/>
          <w:sz w:val="24"/>
          <w:szCs w:val="24"/>
        </w:rPr>
        <w:t xml:space="preserve">Due to the size of the </w:t>
      </w:r>
      <w:r w:rsidR="00EB44B4" w:rsidRPr="00D11856">
        <w:rPr>
          <w:rFonts w:ascii="Arial" w:hAnsi="Arial" w:cs="Arial"/>
          <w:sz w:val="24"/>
          <w:szCs w:val="24"/>
        </w:rPr>
        <w:t>area covered by the health board</w:t>
      </w:r>
      <w:r w:rsidR="005C63B8" w:rsidRPr="00D11856">
        <w:rPr>
          <w:rFonts w:ascii="Arial" w:hAnsi="Arial" w:cs="Arial"/>
          <w:sz w:val="24"/>
          <w:szCs w:val="24"/>
        </w:rPr>
        <w:t xml:space="preserve"> many of the premises are not shown individually</w:t>
      </w:r>
      <w:r w:rsidR="00A30F6A">
        <w:rPr>
          <w:rFonts w:ascii="Arial" w:hAnsi="Arial" w:cs="Arial"/>
        </w:rPr>
        <w:t>.</w:t>
      </w:r>
      <w:r w:rsidR="00833D8A">
        <w:rPr>
          <w:rFonts w:ascii="Arial" w:hAnsi="Arial" w:cs="Arial"/>
        </w:rPr>
        <w:t xml:space="preserve"> </w:t>
      </w:r>
    </w:p>
    <w:p w14:paraId="5D4F8B34" w14:textId="77777777" w:rsidR="000C3DC5" w:rsidRPr="00A10850" w:rsidRDefault="000C3DC5" w:rsidP="00DC54F7">
      <w:pPr>
        <w:spacing w:after="0" w:line="240" w:lineRule="auto"/>
        <w:contextualSpacing/>
        <w:jc w:val="both"/>
        <w:rPr>
          <w:rFonts w:ascii="Arial" w:hAnsi="Arial" w:cs="Arial"/>
        </w:rPr>
      </w:pPr>
    </w:p>
    <w:p w14:paraId="689BF1ED" w14:textId="77777777" w:rsidR="00D11856" w:rsidRDefault="00D11856" w:rsidP="00DC54F7">
      <w:pPr>
        <w:spacing w:after="0" w:line="240" w:lineRule="auto"/>
        <w:contextualSpacing/>
        <w:jc w:val="both"/>
        <w:rPr>
          <w:rFonts w:ascii="Arial" w:hAnsi="Arial" w:cs="Arial"/>
          <w:b/>
        </w:rPr>
      </w:pPr>
    </w:p>
    <w:p w14:paraId="40DE91F5" w14:textId="77777777" w:rsidR="00D11856" w:rsidRDefault="00D11856" w:rsidP="00DC54F7">
      <w:pPr>
        <w:spacing w:after="0" w:line="240" w:lineRule="auto"/>
        <w:contextualSpacing/>
        <w:jc w:val="both"/>
        <w:rPr>
          <w:rFonts w:ascii="Arial" w:hAnsi="Arial" w:cs="Arial"/>
          <w:b/>
        </w:rPr>
      </w:pPr>
    </w:p>
    <w:p w14:paraId="44C32B81" w14:textId="77777777" w:rsidR="00D11856" w:rsidRDefault="00D11856" w:rsidP="00DC54F7">
      <w:pPr>
        <w:spacing w:after="0" w:line="240" w:lineRule="auto"/>
        <w:contextualSpacing/>
        <w:jc w:val="both"/>
        <w:rPr>
          <w:rFonts w:ascii="Arial" w:hAnsi="Arial" w:cs="Arial"/>
          <w:b/>
        </w:rPr>
      </w:pPr>
    </w:p>
    <w:p w14:paraId="670CB406" w14:textId="77777777" w:rsidR="00D11856" w:rsidRDefault="00D11856" w:rsidP="00DC54F7">
      <w:pPr>
        <w:spacing w:after="0" w:line="240" w:lineRule="auto"/>
        <w:contextualSpacing/>
        <w:jc w:val="both"/>
        <w:rPr>
          <w:rFonts w:ascii="Arial" w:hAnsi="Arial" w:cs="Arial"/>
          <w:b/>
        </w:rPr>
      </w:pPr>
    </w:p>
    <w:p w14:paraId="1340B943" w14:textId="77777777" w:rsidR="00D11856" w:rsidRDefault="00D11856" w:rsidP="00DC54F7">
      <w:pPr>
        <w:spacing w:after="0" w:line="240" w:lineRule="auto"/>
        <w:contextualSpacing/>
        <w:jc w:val="both"/>
        <w:rPr>
          <w:rFonts w:ascii="Arial" w:hAnsi="Arial" w:cs="Arial"/>
          <w:b/>
        </w:rPr>
      </w:pPr>
    </w:p>
    <w:p w14:paraId="4152FD0B" w14:textId="77777777" w:rsidR="00D11856" w:rsidRDefault="00D11856" w:rsidP="00DC54F7">
      <w:pPr>
        <w:spacing w:after="0" w:line="240" w:lineRule="auto"/>
        <w:contextualSpacing/>
        <w:jc w:val="both"/>
        <w:rPr>
          <w:rFonts w:ascii="Arial" w:hAnsi="Arial" w:cs="Arial"/>
          <w:b/>
        </w:rPr>
      </w:pPr>
    </w:p>
    <w:p w14:paraId="699B5BA2" w14:textId="77777777" w:rsidR="00D11856" w:rsidRDefault="00D11856" w:rsidP="00DC54F7">
      <w:pPr>
        <w:spacing w:after="0" w:line="240" w:lineRule="auto"/>
        <w:contextualSpacing/>
        <w:jc w:val="both"/>
        <w:rPr>
          <w:rFonts w:ascii="Arial" w:hAnsi="Arial" w:cs="Arial"/>
          <w:b/>
        </w:rPr>
      </w:pPr>
    </w:p>
    <w:p w14:paraId="01A0B085" w14:textId="77777777" w:rsidR="00D11856" w:rsidRDefault="00D11856" w:rsidP="00DC54F7">
      <w:pPr>
        <w:spacing w:after="0" w:line="240" w:lineRule="auto"/>
        <w:contextualSpacing/>
        <w:jc w:val="both"/>
        <w:rPr>
          <w:rFonts w:ascii="Arial" w:hAnsi="Arial" w:cs="Arial"/>
          <w:b/>
        </w:rPr>
      </w:pPr>
    </w:p>
    <w:p w14:paraId="09840DB6" w14:textId="77777777" w:rsidR="00D11856" w:rsidRDefault="00D11856" w:rsidP="00DC54F7">
      <w:pPr>
        <w:spacing w:after="0" w:line="240" w:lineRule="auto"/>
        <w:contextualSpacing/>
        <w:jc w:val="both"/>
        <w:rPr>
          <w:rFonts w:ascii="Arial" w:hAnsi="Arial" w:cs="Arial"/>
          <w:b/>
        </w:rPr>
      </w:pPr>
    </w:p>
    <w:p w14:paraId="136E75BB" w14:textId="77777777" w:rsidR="00D11856" w:rsidRDefault="00D11856" w:rsidP="00DC54F7">
      <w:pPr>
        <w:spacing w:after="0" w:line="240" w:lineRule="auto"/>
        <w:contextualSpacing/>
        <w:jc w:val="both"/>
        <w:rPr>
          <w:rFonts w:ascii="Arial" w:hAnsi="Arial" w:cs="Arial"/>
          <w:b/>
        </w:rPr>
      </w:pPr>
    </w:p>
    <w:p w14:paraId="1EFE1E4C" w14:textId="77777777" w:rsidR="00D11856" w:rsidRDefault="00D11856" w:rsidP="00DC54F7">
      <w:pPr>
        <w:spacing w:after="0" w:line="240" w:lineRule="auto"/>
        <w:contextualSpacing/>
        <w:jc w:val="both"/>
        <w:rPr>
          <w:rFonts w:ascii="Arial" w:hAnsi="Arial" w:cs="Arial"/>
          <w:b/>
        </w:rPr>
      </w:pPr>
    </w:p>
    <w:p w14:paraId="5982DB20" w14:textId="77777777" w:rsidR="00D11856" w:rsidRDefault="00D11856" w:rsidP="00DC54F7">
      <w:pPr>
        <w:spacing w:after="0" w:line="240" w:lineRule="auto"/>
        <w:contextualSpacing/>
        <w:jc w:val="both"/>
        <w:rPr>
          <w:rFonts w:ascii="Arial" w:hAnsi="Arial" w:cs="Arial"/>
          <w:b/>
        </w:rPr>
      </w:pPr>
    </w:p>
    <w:p w14:paraId="58908E12" w14:textId="77777777" w:rsidR="00D11856" w:rsidRDefault="00D11856" w:rsidP="00DC54F7">
      <w:pPr>
        <w:spacing w:after="0" w:line="240" w:lineRule="auto"/>
        <w:contextualSpacing/>
        <w:jc w:val="both"/>
        <w:rPr>
          <w:rFonts w:ascii="Arial" w:hAnsi="Arial" w:cs="Arial"/>
          <w:b/>
        </w:rPr>
      </w:pPr>
    </w:p>
    <w:p w14:paraId="751D9B0B" w14:textId="7D860723" w:rsidR="00D11856" w:rsidRDefault="00D11856" w:rsidP="00DC54F7">
      <w:pPr>
        <w:jc w:val="both"/>
        <w:rPr>
          <w:rFonts w:ascii="Arial" w:hAnsi="Arial" w:cs="Arial"/>
          <w:b/>
        </w:rPr>
      </w:pPr>
      <w:r>
        <w:rPr>
          <w:rFonts w:ascii="Arial" w:hAnsi="Arial" w:cs="Arial"/>
          <w:b/>
        </w:rPr>
        <w:br w:type="page"/>
      </w:r>
    </w:p>
    <w:p w14:paraId="39B2E3EF" w14:textId="4BB1C2AB" w:rsidR="008A68C2" w:rsidRPr="00D11856" w:rsidRDefault="00F72065" w:rsidP="00DC54F7">
      <w:pPr>
        <w:spacing w:after="0" w:line="240" w:lineRule="auto"/>
        <w:contextualSpacing/>
        <w:jc w:val="both"/>
        <w:rPr>
          <w:rFonts w:ascii="Arial" w:hAnsi="Arial" w:cs="Arial"/>
          <w:b/>
          <w:sz w:val="24"/>
          <w:szCs w:val="24"/>
        </w:rPr>
      </w:pPr>
      <w:r w:rsidRPr="00D11856">
        <w:rPr>
          <w:rFonts w:ascii="Arial" w:hAnsi="Arial" w:cs="Arial"/>
          <w:b/>
          <w:sz w:val="24"/>
          <w:szCs w:val="24"/>
        </w:rPr>
        <w:lastRenderedPageBreak/>
        <w:t>Map</w:t>
      </w:r>
      <w:r w:rsidR="00F97F5C" w:rsidRPr="00D11856">
        <w:rPr>
          <w:rFonts w:ascii="Arial" w:hAnsi="Arial" w:cs="Arial"/>
          <w:b/>
          <w:sz w:val="24"/>
          <w:szCs w:val="24"/>
        </w:rPr>
        <w:t xml:space="preserve"> 5.1:</w:t>
      </w:r>
      <w:r w:rsidR="00A84C0A" w:rsidRPr="00D11856">
        <w:rPr>
          <w:rFonts w:ascii="Arial" w:hAnsi="Arial" w:cs="Arial"/>
          <w:b/>
          <w:sz w:val="24"/>
          <w:szCs w:val="24"/>
        </w:rPr>
        <w:t xml:space="preserve"> </w:t>
      </w:r>
      <w:r w:rsidR="00F97F5C" w:rsidRPr="00D11856">
        <w:rPr>
          <w:rFonts w:ascii="Arial" w:hAnsi="Arial" w:cs="Arial"/>
          <w:b/>
          <w:sz w:val="24"/>
          <w:szCs w:val="24"/>
        </w:rPr>
        <w:t>L</w:t>
      </w:r>
      <w:r w:rsidR="00A84C0A" w:rsidRPr="00D11856">
        <w:rPr>
          <w:rFonts w:ascii="Arial" w:hAnsi="Arial" w:cs="Arial"/>
          <w:b/>
          <w:sz w:val="24"/>
          <w:szCs w:val="24"/>
        </w:rPr>
        <w:t>ocation of pharmacies,</w:t>
      </w:r>
      <w:r w:rsidR="00D01949" w:rsidRPr="00D11856">
        <w:rPr>
          <w:rFonts w:ascii="Arial" w:hAnsi="Arial" w:cs="Arial"/>
          <w:b/>
          <w:sz w:val="24"/>
          <w:szCs w:val="24"/>
        </w:rPr>
        <w:t xml:space="preserve"> dispensing appliance contractors </w:t>
      </w:r>
      <w:r w:rsidR="00A84C0A" w:rsidRPr="00D11856">
        <w:rPr>
          <w:rFonts w:ascii="Arial" w:hAnsi="Arial" w:cs="Arial"/>
          <w:b/>
          <w:sz w:val="24"/>
          <w:szCs w:val="24"/>
        </w:rPr>
        <w:t xml:space="preserve">and dispensing practice premises </w:t>
      </w:r>
      <w:r w:rsidR="00D01949" w:rsidRPr="00D11856">
        <w:rPr>
          <w:rFonts w:ascii="Arial" w:hAnsi="Arial" w:cs="Arial"/>
          <w:b/>
          <w:sz w:val="24"/>
          <w:szCs w:val="24"/>
        </w:rPr>
        <w:t>compared to population density</w:t>
      </w:r>
    </w:p>
    <w:p w14:paraId="6DDC8DCD" w14:textId="5A94F25B" w:rsidR="008A68C2" w:rsidRPr="00A10850" w:rsidRDefault="008A68C2" w:rsidP="00DC54F7">
      <w:pPr>
        <w:spacing w:after="0" w:line="240" w:lineRule="auto"/>
        <w:contextualSpacing/>
        <w:jc w:val="both"/>
        <w:rPr>
          <w:rFonts w:ascii="Arial" w:hAnsi="Arial" w:cs="Arial"/>
          <w:b/>
        </w:rPr>
      </w:pPr>
      <w:r>
        <w:rPr>
          <w:noProof/>
          <w:lang w:eastAsia="en-GB"/>
        </w:rPr>
        <w:drawing>
          <wp:inline distT="0" distB="0" distL="0" distR="0" wp14:anchorId="6931E45F" wp14:editId="0BA4373D">
            <wp:extent cx="5728508" cy="2913321"/>
            <wp:effectExtent l="0" t="0" r="5715" b="190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50348" cy="2924428"/>
                    </a:xfrm>
                    <a:prstGeom prst="rect">
                      <a:avLst/>
                    </a:prstGeom>
                    <a:noFill/>
                    <a:ln>
                      <a:noFill/>
                    </a:ln>
                  </pic:spPr>
                </pic:pic>
              </a:graphicData>
            </a:graphic>
          </wp:inline>
        </w:drawing>
      </w:r>
    </w:p>
    <w:p w14:paraId="76738C44" w14:textId="01D50B4D" w:rsidR="005C63B8" w:rsidRPr="00A10850" w:rsidRDefault="005C63B8" w:rsidP="00DC54F7">
      <w:pPr>
        <w:spacing w:after="0" w:line="240" w:lineRule="auto"/>
        <w:contextualSpacing/>
        <w:jc w:val="both"/>
        <w:rPr>
          <w:rFonts w:ascii="Arial" w:hAnsi="Arial" w:cs="Arial"/>
        </w:rPr>
      </w:pPr>
    </w:p>
    <w:p w14:paraId="3A3B3926" w14:textId="32C0822B" w:rsidR="00D31389" w:rsidRPr="00D11856" w:rsidRDefault="00B4456A" w:rsidP="00DC54F7">
      <w:pPr>
        <w:spacing w:after="0" w:line="240" w:lineRule="auto"/>
        <w:contextualSpacing/>
        <w:jc w:val="both"/>
        <w:rPr>
          <w:rFonts w:ascii="Arial" w:hAnsi="Arial" w:cs="Arial"/>
          <w:sz w:val="24"/>
          <w:szCs w:val="24"/>
        </w:rPr>
      </w:pPr>
      <w:r w:rsidRPr="00D11856">
        <w:rPr>
          <w:rFonts w:ascii="Arial" w:hAnsi="Arial" w:cs="Arial"/>
          <w:sz w:val="24"/>
          <w:szCs w:val="24"/>
        </w:rPr>
        <w:t xml:space="preserve">The map below shows the location of the pharmacy, dispensing appliance contractor and dispensing practice premises within the health board’s area compared to levels of deprivation. </w:t>
      </w:r>
      <w:r w:rsidR="00255F9A" w:rsidRPr="00D11856">
        <w:rPr>
          <w:rFonts w:ascii="Arial" w:hAnsi="Arial" w:cs="Arial"/>
          <w:sz w:val="24"/>
          <w:szCs w:val="24"/>
        </w:rPr>
        <w:t xml:space="preserve">As can be seen, </w:t>
      </w:r>
      <w:r w:rsidR="007A395D" w:rsidRPr="00D11856">
        <w:rPr>
          <w:rFonts w:ascii="Arial" w:hAnsi="Arial" w:cs="Arial"/>
          <w:sz w:val="24"/>
          <w:szCs w:val="24"/>
        </w:rPr>
        <w:t xml:space="preserve">the </w:t>
      </w:r>
      <w:r w:rsidR="00324C8D" w:rsidRPr="00D11856">
        <w:rPr>
          <w:rFonts w:ascii="Arial" w:hAnsi="Arial" w:cs="Arial"/>
          <w:sz w:val="24"/>
          <w:szCs w:val="24"/>
        </w:rPr>
        <w:t xml:space="preserve">majority of </w:t>
      </w:r>
      <w:r w:rsidR="00660AA6" w:rsidRPr="00D11856">
        <w:rPr>
          <w:rFonts w:ascii="Arial" w:hAnsi="Arial" w:cs="Arial"/>
          <w:sz w:val="24"/>
          <w:szCs w:val="24"/>
        </w:rPr>
        <w:t xml:space="preserve">pharmacy </w:t>
      </w:r>
      <w:r w:rsidR="00243418" w:rsidRPr="00D11856">
        <w:rPr>
          <w:rFonts w:ascii="Arial" w:hAnsi="Arial" w:cs="Arial"/>
          <w:sz w:val="24"/>
          <w:szCs w:val="24"/>
        </w:rPr>
        <w:t>and appliance contractor</w:t>
      </w:r>
      <w:r w:rsidR="00324C8D" w:rsidRPr="00D11856">
        <w:rPr>
          <w:rFonts w:ascii="Arial" w:hAnsi="Arial" w:cs="Arial"/>
          <w:sz w:val="24"/>
          <w:szCs w:val="24"/>
        </w:rPr>
        <w:t xml:space="preserve"> premises</w:t>
      </w:r>
      <w:r w:rsidR="00243418" w:rsidRPr="00D11856">
        <w:rPr>
          <w:rFonts w:ascii="Arial" w:hAnsi="Arial" w:cs="Arial"/>
          <w:sz w:val="24"/>
          <w:szCs w:val="24"/>
        </w:rPr>
        <w:t xml:space="preserve"> </w:t>
      </w:r>
      <w:r w:rsidR="000F23B5" w:rsidRPr="00D11856">
        <w:rPr>
          <w:rFonts w:ascii="Arial" w:hAnsi="Arial" w:cs="Arial"/>
          <w:sz w:val="24"/>
          <w:szCs w:val="24"/>
        </w:rPr>
        <w:t xml:space="preserve">can be found in </w:t>
      </w:r>
      <w:r w:rsidR="00FB7C4C" w:rsidRPr="00D11856">
        <w:rPr>
          <w:rFonts w:ascii="Arial" w:hAnsi="Arial" w:cs="Arial"/>
          <w:sz w:val="24"/>
          <w:szCs w:val="24"/>
        </w:rPr>
        <w:t>or close to areas of highe</w:t>
      </w:r>
      <w:r w:rsidR="00324C8D" w:rsidRPr="00D11856">
        <w:rPr>
          <w:rFonts w:ascii="Arial" w:hAnsi="Arial" w:cs="Arial"/>
          <w:sz w:val="24"/>
          <w:szCs w:val="24"/>
        </w:rPr>
        <w:t>r</w:t>
      </w:r>
      <w:r w:rsidR="00FB7C4C" w:rsidRPr="00D11856">
        <w:rPr>
          <w:rFonts w:ascii="Arial" w:hAnsi="Arial" w:cs="Arial"/>
          <w:sz w:val="24"/>
          <w:szCs w:val="24"/>
        </w:rPr>
        <w:t xml:space="preserve"> deprivation. </w:t>
      </w:r>
      <w:r w:rsidR="007A395D" w:rsidRPr="00D11856">
        <w:rPr>
          <w:rFonts w:ascii="Arial" w:hAnsi="Arial" w:cs="Arial"/>
          <w:sz w:val="24"/>
          <w:szCs w:val="24"/>
        </w:rPr>
        <w:t xml:space="preserve">The dispensing doctor practice </w:t>
      </w:r>
      <w:r w:rsidR="007D6289" w:rsidRPr="00D11856">
        <w:rPr>
          <w:rFonts w:ascii="Arial" w:hAnsi="Arial" w:cs="Arial"/>
          <w:sz w:val="24"/>
          <w:szCs w:val="24"/>
        </w:rPr>
        <w:t>is found in one of the least deprived</w:t>
      </w:r>
      <w:r w:rsidR="000842A6" w:rsidRPr="00D11856">
        <w:rPr>
          <w:rFonts w:ascii="Arial" w:hAnsi="Arial" w:cs="Arial"/>
          <w:sz w:val="24"/>
          <w:szCs w:val="24"/>
        </w:rPr>
        <w:t xml:space="preserve"> areas</w:t>
      </w:r>
      <w:r w:rsidR="007D6289" w:rsidRPr="00D11856">
        <w:rPr>
          <w:rFonts w:ascii="Arial" w:hAnsi="Arial" w:cs="Arial"/>
          <w:sz w:val="24"/>
          <w:szCs w:val="24"/>
        </w:rPr>
        <w:t xml:space="preserve">, however </w:t>
      </w:r>
      <w:r w:rsidR="000842A6" w:rsidRPr="00D11856">
        <w:rPr>
          <w:rFonts w:ascii="Arial" w:hAnsi="Arial" w:cs="Arial"/>
          <w:sz w:val="24"/>
          <w:szCs w:val="24"/>
        </w:rPr>
        <w:t>this area is rural in nature.</w:t>
      </w:r>
    </w:p>
    <w:p w14:paraId="284FC02E" w14:textId="77777777" w:rsidR="00CF6AF5" w:rsidRPr="00A10850" w:rsidRDefault="00CF6AF5" w:rsidP="00DC54F7">
      <w:pPr>
        <w:spacing w:after="0" w:line="240" w:lineRule="auto"/>
        <w:contextualSpacing/>
        <w:jc w:val="both"/>
        <w:rPr>
          <w:rFonts w:ascii="Arial" w:hAnsi="Arial" w:cs="Arial"/>
        </w:rPr>
      </w:pPr>
    </w:p>
    <w:p w14:paraId="21849696" w14:textId="458E487D" w:rsidR="00CF6AF5" w:rsidRPr="000E2FA9" w:rsidRDefault="002A7F46" w:rsidP="00DC54F7">
      <w:pPr>
        <w:spacing w:after="0" w:line="240" w:lineRule="auto"/>
        <w:contextualSpacing/>
        <w:jc w:val="both"/>
        <w:rPr>
          <w:rFonts w:ascii="Arial" w:hAnsi="Arial" w:cs="Arial"/>
          <w:b/>
          <w:sz w:val="24"/>
          <w:szCs w:val="24"/>
        </w:rPr>
      </w:pPr>
      <w:r w:rsidRPr="00D11856">
        <w:rPr>
          <w:rFonts w:ascii="Arial" w:hAnsi="Arial" w:cs="Arial"/>
          <w:b/>
          <w:sz w:val="24"/>
          <w:szCs w:val="24"/>
        </w:rPr>
        <w:t>Map</w:t>
      </w:r>
      <w:r w:rsidR="00250B38" w:rsidRPr="00D11856">
        <w:rPr>
          <w:rFonts w:ascii="Arial" w:hAnsi="Arial" w:cs="Arial"/>
          <w:b/>
          <w:sz w:val="24"/>
          <w:szCs w:val="24"/>
        </w:rPr>
        <w:t xml:space="preserve"> 5.2</w:t>
      </w:r>
      <w:r w:rsidR="001F7AC8" w:rsidRPr="00D11856">
        <w:rPr>
          <w:rFonts w:ascii="Arial" w:hAnsi="Arial" w:cs="Arial"/>
          <w:b/>
          <w:sz w:val="24"/>
          <w:szCs w:val="24"/>
        </w:rPr>
        <w:t>:</w:t>
      </w:r>
      <w:r w:rsidR="005E7C6D" w:rsidRPr="00D11856">
        <w:rPr>
          <w:rFonts w:ascii="Arial" w:hAnsi="Arial" w:cs="Arial"/>
          <w:b/>
          <w:sz w:val="24"/>
          <w:szCs w:val="24"/>
        </w:rPr>
        <w:t xml:space="preserve"> </w:t>
      </w:r>
      <w:r w:rsidR="001F7AC8" w:rsidRPr="00D11856">
        <w:rPr>
          <w:rFonts w:ascii="Arial" w:hAnsi="Arial" w:cs="Arial"/>
          <w:b/>
          <w:sz w:val="24"/>
          <w:szCs w:val="24"/>
        </w:rPr>
        <w:t>L</w:t>
      </w:r>
      <w:r w:rsidR="006F6BA5" w:rsidRPr="00D11856">
        <w:rPr>
          <w:rFonts w:ascii="Arial" w:hAnsi="Arial" w:cs="Arial"/>
          <w:b/>
          <w:sz w:val="24"/>
          <w:szCs w:val="24"/>
        </w:rPr>
        <w:t>ocation of pharmacies,</w:t>
      </w:r>
      <w:r w:rsidR="004E57D8" w:rsidRPr="00D11856">
        <w:rPr>
          <w:rFonts w:ascii="Arial" w:hAnsi="Arial" w:cs="Arial"/>
          <w:b/>
          <w:sz w:val="24"/>
          <w:szCs w:val="24"/>
        </w:rPr>
        <w:t xml:space="preserve"> </w:t>
      </w:r>
      <w:r w:rsidR="006A2403" w:rsidRPr="00D11856">
        <w:rPr>
          <w:rFonts w:ascii="Arial" w:hAnsi="Arial" w:cs="Arial"/>
          <w:b/>
          <w:sz w:val="24"/>
          <w:szCs w:val="24"/>
        </w:rPr>
        <w:t>dispensing appliance contractor</w:t>
      </w:r>
      <w:r w:rsidR="004E57D8" w:rsidRPr="00D11856">
        <w:rPr>
          <w:rFonts w:ascii="Arial" w:hAnsi="Arial" w:cs="Arial"/>
          <w:b/>
          <w:sz w:val="24"/>
          <w:szCs w:val="24"/>
        </w:rPr>
        <w:t xml:space="preserve">s </w:t>
      </w:r>
      <w:r w:rsidR="006F6BA5" w:rsidRPr="00D11856">
        <w:rPr>
          <w:rFonts w:ascii="Arial" w:hAnsi="Arial" w:cs="Arial"/>
          <w:b/>
          <w:sz w:val="24"/>
          <w:szCs w:val="24"/>
        </w:rPr>
        <w:t xml:space="preserve">and dispensing practice premises </w:t>
      </w:r>
      <w:r w:rsidR="00D31389" w:rsidRPr="00D11856">
        <w:rPr>
          <w:rFonts w:ascii="Arial" w:hAnsi="Arial" w:cs="Arial"/>
          <w:b/>
          <w:sz w:val="24"/>
          <w:szCs w:val="24"/>
        </w:rPr>
        <w:t>compared to levels of deprivation</w:t>
      </w:r>
    </w:p>
    <w:p w14:paraId="2B770757" w14:textId="622F696D" w:rsidR="006C321D" w:rsidRDefault="006C321D" w:rsidP="00DC54F7">
      <w:pPr>
        <w:spacing w:after="0" w:line="240" w:lineRule="auto"/>
        <w:contextualSpacing/>
        <w:jc w:val="both"/>
        <w:rPr>
          <w:rFonts w:ascii="Arial" w:hAnsi="Arial" w:cs="Arial"/>
        </w:rPr>
      </w:pPr>
      <w:r>
        <w:rPr>
          <w:noProof/>
          <w:lang w:eastAsia="en-GB"/>
        </w:rPr>
        <w:drawing>
          <wp:inline distT="0" distB="0" distL="0" distR="0" wp14:anchorId="110D7B0C" wp14:editId="0BA98739">
            <wp:extent cx="5730240" cy="3636334"/>
            <wp:effectExtent l="0" t="0" r="3810" b="254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64913" cy="3658337"/>
                    </a:xfrm>
                    <a:prstGeom prst="rect">
                      <a:avLst/>
                    </a:prstGeom>
                    <a:noFill/>
                    <a:ln>
                      <a:noFill/>
                    </a:ln>
                  </pic:spPr>
                </pic:pic>
              </a:graphicData>
            </a:graphic>
          </wp:inline>
        </w:drawing>
      </w:r>
    </w:p>
    <w:p w14:paraId="01CBFAB3" w14:textId="476A7A2A" w:rsidR="00707AFC" w:rsidRPr="000E2FA9" w:rsidRDefault="00125C22" w:rsidP="00DC54F7">
      <w:pPr>
        <w:spacing w:after="0" w:line="240" w:lineRule="auto"/>
        <w:contextualSpacing/>
        <w:jc w:val="both"/>
        <w:rPr>
          <w:rFonts w:ascii="Arial" w:hAnsi="Arial" w:cs="Arial"/>
          <w:sz w:val="24"/>
          <w:szCs w:val="24"/>
        </w:rPr>
      </w:pPr>
      <w:r w:rsidRPr="000E2FA9">
        <w:rPr>
          <w:rFonts w:ascii="Arial" w:hAnsi="Arial" w:cs="Arial"/>
          <w:sz w:val="24"/>
          <w:szCs w:val="24"/>
        </w:rPr>
        <w:lastRenderedPageBreak/>
        <w:t xml:space="preserve">When considering all the </w:t>
      </w:r>
      <w:r w:rsidR="00855100" w:rsidRPr="000E2FA9">
        <w:rPr>
          <w:rFonts w:ascii="Arial" w:hAnsi="Arial" w:cs="Arial"/>
          <w:sz w:val="24"/>
          <w:szCs w:val="24"/>
        </w:rPr>
        <w:t>prescription items that were prescribed by GPs in Cardiff and Vale University Health Board</w:t>
      </w:r>
      <w:r w:rsidR="00D56C95" w:rsidRPr="000E2FA9">
        <w:rPr>
          <w:rFonts w:ascii="Arial" w:hAnsi="Arial" w:cs="Arial"/>
          <w:sz w:val="24"/>
          <w:szCs w:val="24"/>
        </w:rPr>
        <w:t xml:space="preserve"> and dispensed in 2019 to 2020, 96.3% were </w:t>
      </w:r>
      <w:r w:rsidR="00707AFC" w:rsidRPr="000E2FA9">
        <w:rPr>
          <w:rFonts w:ascii="Arial" w:eastAsia="Times New Roman" w:hAnsi="Arial" w:cs="Arial"/>
          <w:sz w:val="24"/>
          <w:szCs w:val="24"/>
          <w:lang w:eastAsia="en-GB"/>
        </w:rPr>
        <w:t xml:space="preserve">dispensed by pharmacies within the health board's area. The one dispensing GP practice dispensed or personally administered less than 0.1% and the non-dispensing </w:t>
      </w:r>
      <w:r w:rsidR="000E1460" w:rsidRPr="000E2FA9">
        <w:rPr>
          <w:rFonts w:ascii="Arial" w:eastAsia="Times New Roman" w:hAnsi="Arial" w:cs="Arial"/>
          <w:sz w:val="24"/>
          <w:szCs w:val="24"/>
          <w:lang w:eastAsia="en-GB"/>
        </w:rPr>
        <w:t xml:space="preserve">GP </w:t>
      </w:r>
      <w:r w:rsidR="00707AFC" w:rsidRPr="000E2FA9">
        <w:rPr>
          <w:rFonts w:ascii="Arial" w:eastAsia="Times New Roman" w:hAnsi="Arial" w:cs="Arial"/>
          <w:sz w:val="24"/>
          <w:szCs w:val="24"/>
          <w:lang w:eastAsia="en-GB"/>
        </w:rPr>
        <w:t xml:space="preserve">practices personally administered 1.9%. </w:t>
      </w:r>
    </w:p>
    <w:p w14:paraId="5539C6B0" w14:textId="77777777" w:rsidR="00707AFC" w:rsidRDefault="00707AFC" w:rsidP="00DC54F7">
      <w:pPr>
        <w:spacing w:after="0" w:line="240" w:lineRule="auto"/>
        <w:contextualSpacing/>
        <w:jc w:val="both"/>
        <w:rPr>
          <w:rFonts w:ascii="Arial" w:hAnsi="Arial" w:cs="Arial"/>
        </w:rPr>
      </w:pPr>
    </w:p>
    <w:p w14:paraId="7C71CF87" w14:textId="77777777" w:rsidR="00405D96" w:rsidRPr="00A10850" w:rsidRDefault="00405D96" w:rsidP="00DC54F7">
      <w:pPr>
        <w:spacing w:after="0" w:line="240" w:lineRule="auto"/>
        <w:contextualSpacing/>
        <w:jc w:val="both"/>
        <w:rPr>
          <w:rFonts w:ascii="Arial" w:hAnsi="Arial" w:cs="Arial"/>
        </w:rPr>
      </w:pPr>
    </w:p>
    <w:p w14:paraId="06610FE1" w14:textId="62CF9837" w:rsidR="00FD7A9F" w:rsidRDefault="00FD7A9F" w:rsidP="00DC54F7">
      <w:pPr>
        <w:spacing w:after="0" w:line="240" w:lineRule="auto"/>
        <w:jc w:val="both"/>
        <w:rPr>
          <w:rFonts w:ascii="Arial" w:hAnsi="Arial" w:cs="Arial"/>
          <w:b/>
          <w:sz w:val="24"/>
          <w:szCs w:val="24"/>
        </w:rPr>
      </w:pPr>
      <w:r w:rsidRPr="00B77D6F">
        <w:rPr>
          <w:rFonts w:ascii="Arial" w:hAnsi="Arial" w:cs="Arial"/>
          <w:b/>
          <w:sz w:val="24"/>
          <w:szCs w:val="24"/>
        </w:rPr>
        <w:t xml:space="preserve">5.1.1 Access to </w:t>
      </w:r>
      <w:r w:rsidR="00EF2DF6" w:rsidRPr="00B77D6F">
        <w:rPr>
          <w:rFonts w:ascii="Arial" w:hAnsi="Arial" w:cs="Arial"/>
          <w:b/>
          <w:sz w:val="24"/>
          <w:szCs w:val="24"/>
        </w:rPr>
        <w:t>premises</w:t>
      </w:r>
      <w:r w:rsidRPr="00A10850">
        <w:rPr>
          <w:rFonts w:ascii="Arial" w:hAnsi="Arial" w:cs="Arial"/>
          <w:b/>
          <w:sz w:val="24"/>
          <w:szCs w:val="24"/>
        </w:rPr>
        <w:t xml:space="preserve"> </w:t>
      </w:r>
    </w:p>
    <w:p w14:paraId="510F5284" w14:textId="53DD784E" w:rsidR="00BC4757" w:rsidRDefault="00BC4757" w:rsidP="00DC54F7">
      <w:pPr>
        <w:spacing w:after="0" w:line="240" w:lineRule="auto"/>
        <w:jc w:val="both"/>
        <w:rPr>
          <w:rFonts w:ascii="Arial" w:hAnsi="Arial" w:cs="Arial"/>
          <w:b/>
          <w:sz w:val="24"/>
          <w:szCs w:val="24"/>
        </w:rPr>
      </w:pPr>
    </w:p>
    <w:p w14:paraId="620F80C7" w14:textId="5CA49620" w:rsidR="00BC4757" w:rsidRPr="00A27EE0" w:rsidRDefault="00BC4757" w:rsidP="00DC54F7">
      <w:pPr>
        <w:shd w:val="clear" w:color="auto" w:fill="FFFFFF"/>
        <w:spacing w:after="0" w:line="240" w:lineRule="auto"/>
        <w:jc w:val="both"/>
        <w:rPr>
          <w:rFonts w:ascii="Arial" w:hAnsi="Arial" w:cs="Arial"/>
          <w:sz w:val="24"/>
          <w:szCs w:val="24"/>
        </w:rPr>
      </w:pPr>
      <w:r w:rsidRPr="00A27EE0">
        <w:rPr>
          <w:rFonts w:ascii="Arial" w:hAnsi="Arial" w:cs="Arial"/>
          <w:noProof/>
          <w:sz w:val="24"/>
          <w:szCs w:val="24"/>
        </w:rPr>
        <w:t xml:space="preserve">The ‘access to services’ domain in the </w:t>
      </w:r>
      <w:r w:rsidRPr="00A27EE0">
        <w:rPr>
          <w:rFonts w:ascii="Arial" w:hAnsi="Arial" w:cs="Arial"/>
          <w:sz w:val="24"/>
          <w:szCs w:val="24"/>
        </w:rPr>
        <w:t xml:space="preserve">Welsh Index of Multiple Deprivation captures deprivation as a result of a household’s inability to access a range of services considered necessary for day-to-day living, including pharmacies. </w:t>
      </w:r>
      <w:r w:rsidRPr="00A27EE0">
        <w:rPr>
          <w:rStyle w:val="x-452126789font"/>
          <w:rFonts w:ascii="Arial" w:hAnsi="Arial" w:cs="Arial"/>
          <w:color w:val="000000"/>
          <w:sz w:val="24"/>
          <w:szCs w:val="24"/>
          <w:shd w:val="clear" w:color="auto" w:fill="FFFFFF"/>
        </w:rPr>
        <w:t xml:space="preserve">It uses an average return travel time to a pharmacy rather than a one way journey. The average return travel (in minutes) is from the residential dwelling to the nearest pharmacy by public transport or active travel (bus, train, foot or coach) or private transport i.e., by car. In Cardiff and Vale University Health Board the average return travel time to a pharmacy by public transport or active travel is 26 minutes and four minutes by car. </w:t>
      </w:r>
      <w:r w:rsidRPr="00A27EE0">
        <w:rPr>
          <w:rFonts w:ascii="Arial" w:hAnsi="Arial" w:cs="Arial"/>
          <w:sz w:val="24"/>
          <w:szCs w:val="24"/>
        </w:rPr>
        <w:t xml:space="preserve">Both local authorities in </w:t>
      </w:r>
      <w:r w:rsidRPr="00A27EE0">
        <w:rPr>
          <w:rFonts w:ascii="Arial" w:hAnsi="Arial" w:cs="Arial"/>
          <w:color w:val="000000"/>
          <w:sz w:val="24"/>
          <w:szCs w:val="24"/>
        </w:rPr>
        <w:t>Cardiff and Vale University Health Board</w:t>
      </w:r>
      <w:r w:rsidRPr="00A27EE0">
        <w:rPr>
          <w:rFonts w:ascii="Arial" w:hAnsi="Arial" w:cs="Arial"/>
          <w:sz w:val="24"/>
          <w:szCs w:val="24"/>
        </w:rPr>
        <w:t xml:space="preserve"> have a shorter average return travel time to a pharmacy than the average for Wales.</w:t>
      </w:r>
    </w:p>
    <w:p w14:paraId="312041D0" w14:textId="3D898987" w:rsidR="00A932F4" w:rsidRDefault="00A932F4" w:rsidP="00DC54F7">
      <w:pPr>
        <w:shd w:val="clear" w:color="auto" w:fill="FFFFFF"/>
        <w:spacing w:after="0" w:line="240" w:lineRule="auto"/>
        <w:jc w:val="both"/>
        <w:rPr>
          <w:rFonts w:ascii="Arial" w:hAnsi="Arial" w:cs="Arial"/>
          <w:sz w:val="24"/>
          <w:szCs w:val="24"/>
        </w:rPr>
      </w:pPr>
    </w:p>
    <w:p w14:paraId="6E52C70B" w14:textId="77777777" w:rsidR="00A932F4" w:rsidRPr="000E2FA9" w:rsidRDefault="00A932F4" w:rsidP="00DC54F7">
      <w:pPr>
        <w:pStyle w:val="Caption"/>
        <w:spacing w:before="0" w:after="0"/>
        <w:jc w:val="both"/>
        <w:rPr>
          <w:rFonts w:ascii="Arial" w:hAnsi="Arial" w:cs="Arial"/>
          <w:szCs w:val="24"/>
        </w:rPr>
      </w:pPr>
      <w:r w:rsidRPr="00B77D6F">
        <w:rPr>
          <w:rFonts w:ascii="Arial" w:hAnsi="Arial" w:cs="Arial"/>
          <w:szCs w:val="24"/>
        </w:rPr>
        <w:t>Table 5.1: Travel time to a pharmacy by public and private transport by local authority, health board and Wales, 2019</w:t>
      </w:r>
    </w:p>
    <w:tbl>
      <w:tblPr>
        <w:tblW w:w="981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442"/>
        <w:gridCol w:w="1843"/>
        <w:gridCol w:w="1843"/>
        <w:gridCol w:w="1843"/>
        <w:gridCol w:w="1843"/>
      </w:tblGrid>
      <w:tr w:rsidR="00A932F4" w:rsidRPr="00AF4B4F" w14:paraId="1C421A87" w14:textId="77777777" w:rsidTr="004E7C6A">
        <w:trPr>
          <w:trHeight w:val="937"/>
        </w:trPr>
        <w:tc>
          <w:tcPr>
            <w:tcW w:w="2442" w:type="dxa"/>
            <w:shd w:val="clear" w:color="000000" w:fill="8497B0"/>
            <w:vAlign w:val="bottom"/>
            <w:hideMark/>
          </w:tcPr>
          <w:p w14:paraId="78AADC4A" w14:textId="77777777" w:rsidR="00A932F4" w:rsidRPr="00AF4B4F" w:rsidRDefault="00A932F4" w:rsidP="00DC54F7">
            <w:pPr>
              <w:spacing w:after="0" w:line="240" w:lineRule="auto"/>
              <w:jc w:val="both"/>
              <w:rPr>
                <w:rFonts w:ascii="Calibri" w:eastAsia="Times New Roman" w:hAnsi="Calibri" w:cs="Calibri"/>
                <w:b/>
                <w:bCs/>
                <w:color w:val="FFFFFF"/>
                <w:lang w:eastAsia="en-GB"/>
              </w:rPr>
            </w:pPr>
            <w:r w:rsidRPr="00AF4B4F">
              <w:rPr>
                <w:rFonts w:ascii="Calibri" w:eastAsia="Times New Roman" w:hAnsi="Calibri" w:cs="Calibri"/>
                <w:b/>
                <w:bCs/>
                <w:color w:val="FFFFFF"/>
                <w:lang w:eastAsia="en-GB"/>
              </w:rPr>
              <w:t>Area</w:t>
            </w:r>
          </w:p>
        </w:tc>
        <w:tc>
          <w:tcPr>
            <w:tcW w:w="1843" w:type="dxa"/>
            <w:shd w:val="clear" w:color="000000" w:fill="8497B0"/>
            <w:vAlign w:val="bottom"/>
            <w:hideMark/>
          </w:tcPr>
          <w:p w14:paraId="4DD20748" w14:textId="77777777" w:rsidR="00A932F4" w:rsidRPr="00AF4B4F" w:rsidRDefault="00A932F4" w:rsidP="00DC54F7">
            <w:pPr>
              <w:spacing w:after="0" w:line="240" w:lineRule="auto"/>
              <w:jc w:val="both"/>
              <w:rPr>
                <w:rFonts w:ascii="Calibri" w:eastAsia="Times New Roman" w:hAnsi="Calibri" w:cs="Calibri"/>
                <w:b/>
                <w:bCs/>
                <w:color w:val="FFFFFF"/>
                <w:lang w:eastAsia="en-GB"/>
              </w:rPr>
            </w:pPr>
            <w:r w:rsidRPr="00AF4B4F">
              <w:rPr>
                <w:rFonts w:ascii="Calibri" w:eastAsia="Times New Roman" w:hAnsi="Calibri" w:cs="Calibri"/>
                <w:b/>
                <w:bCs/>
                <w:color w:val="FFFFFF"/>
                <w:lang w:eastAsia="en-GB"/>
              </w:rPr>
              <w:t>Average return travel time by public transport</w:t>
            </w:r>
          </w:p>
        </w:tc>
        <w:tc>
          <w:tcPr>
            <w:tcW w:w="1843" w:type="dxa"/>
            <w:shd w:val="clear" w:color="000000" w:fill="8497B0"/>
            <w:vAlign w:val="bottom"/>
            <w:hideMark/>
          </w:tcPr>
          <w:p w14:paraId="0D6E2D80" w14:textId="77777777" w:rsidR="00A932F4" w:rsidRPr="00AF4B4F" w:rsidRDefault="00A932F4" w:rsidP="00DC54F7">
            <w:pPr>
              <w:spacing w:after="0" w:line="240" w:lineRule="auto"/>
              <w:jc w:val="both"/>
              <w:rPr>
                <w:rFonts w:ascii="Calibri" w:eastAsia="Times New Roman" w:hAnsi="Calibri" w:cs="Calibri"/>
                <w:b/>
                <w:bCs/>
                <w:color w:val="FFFFFF"/>
                <w:lang w:eastAsia="en-GB"/>
              </w:rPr>
            </w:pPr>
            <w:r w:rsidRPr="00AF4B4F">
              <w:rPr>
                <w:rFonts w:ascii="Calibri" w:eastAsia="Times New Roman" w:hAnsi="Calibri" w:cs="Calibri"/>
                <w:b/>
                <w:bCs/>
                <w:color w:val="FFFFFF"/>
                <w:lang w:eastAsia="en-GB"/>
              </w:rPr>
              <w:t>Range of return travel time by public transport</w:t>
            </w:r>
          </w:p>
        </w:tc>
        <w:tc>
          <w:tcPr>
            <w:tcW w:w="1843" w:type="dxa"/>
            <w:shd w:val="clear" w:color="000000" w:fill="8497B0"/>
            <w:vAlign w:val="bottom"/>
            <w:hideMark/>
          </w:tcPr>
          <w:p w14:paraId="56D440E5" w14:textId="77777777" w:rsidR="00A932F4" w:rsidRPr="00AF4B4F" w:rsidRDefault="00A932F4" w:rsidP="00DC54F7">
            <w:pPr>
              <w:spacing w:after="0" w:line="240" w:lineRule="auto"/>
              <w:jc w:val="both"/>
              <w:rPr>
                <w:rFonts w:ascii="Calibri" w:eastAsia="Times New Roman" w:hAnsi="Calibri" w:cs="Calibri"/>
                <w:b/>
                <w:bCs/>
                <w:color w:val="FFFFFF"/>
                <w:lang w:eastAsia="en-GB"/>
              </w:rPr>
            </w:pPr>
            <w:r w:rsidRPr="00AF4B4F">
              <w:rPr>
                <w:rFonts w:ascii="Calibri" w:eastAsia="Times New Roman" w:hAnsi="Calibri" w:cs="Calibri"/>
                <w:b/>
                <w:bCs/>
                <w:color w:val="FFFFFF"/>
                <w:lang w:eastAsia="en-GB"/>
              </w:rPr>
              <w:t>Average return time by private transport</w:t>
            </w:r>
          </w:p>
        </w:tc>
        <w:tc>
          <w:tcPr>
            <w:tcW w:w="1843" w:type="dxa"/>
            <w:shd w:val="clear" w:color="000000" w:fill="8497B0"/>
            <w:vAlign w:val="bottom"/>
            <w:hideMark/>
          </w:tcPr>
          <w:p w14:paraId="27CA7047" w14:textId="77777777" w:rsidR="00A932F4" w:rsidRPr="00AF4B4F" w:rsidRDefault="00A932F4" w:rsidP="00DC54F7">
            <w:pPr>
              <w:spacing w:after="0" w:line="240" w:lineRule="auto"/>
              <w:jc w:val="both"/>
              <w:rPr>
                <w:rFonts w:ascii="Calibri" w:eastAsia="Times New Roman" w:hAnsi="Calibri" w:cs="Calibri"/>
                <w:b/>
                <w:bCs/>
                <w:color w:val="FFFFFF"/>
                <w:lang w:eastAsia="en-GB"/>
              </w:rPr>
            </w:pPr>
            <w:r w:rsidRPr="00AF4B4F">
              <w:rPr>
                <w:rFonts w:ascii="Calibri" w:eastAsia="Times New Roman" w:hAnsi="Calibri" w:cs="Calibri"/>
                <w:b/>
                <w:bCs/>
                <w:color w:val="FFFFFF"/>
                <w:lang w:eastAsia="en-GB"/>
              </w:rPr>
              <w:t>Range of return travel time by private transport</w:t>
            </w:r>
          </w:p>
        </w:tc>
      </w:tr>
      <w:tr w:rsidR="00A932F4" w:rsidRPr="00AF4B4F" w14:paraId="66DBCCAE" w14:textId="77777777" w:rsidTr="004E7C6A">
        <w:trPr>
          <w:trHeight w:val="312"/>
        </w:trPr>
        <w:tc>
          <w:tcPr>
            <w:tcW w:w="2442" w:type="dxa"/>
            <w:shd w:val="clear" w:color="auto" w:fill="F2F2F2" w:themeFill="background1" w:themeFillShade="F2"/>
            <w:noWrap/>
            <w:vAlign w:val="bottom"/>
            <w:hideMark/>
          </w:tcPr>
          <w:p w14:paraId="2F007281" w14:textId="77777777" w:rsidR="00A932F4" w:rsidRPr="00AF4B4F" w:rsidRDefault="00A932F4" w:rsidP="00DC54F7">
            <w:pPr>
              <w:spacing w:after="0" w:line="240" w:lineRule="auto"/>
              <w:jc w:val="both"/>
              <w:rPr>
                <w:rFonts w:ascii="Calibri" w:eastAsia="Times New Roman" w:hAnsi="Calibri" w:cs="Calibri"/>
                <w:color w:val="000000"/>
                <w:lang w:eastAsia="en-GB"/>
              </w:rPr>
            </w:pPr>
            <w:r w:rsidRPr="00AF4B4F">
              <w:rPr>
                <w:rFonts w:ascii="Calibri" w:eastAsia="Times New Roman" w:hAnsi="Calibri" w:cs="Calibri"/>
                <w:color w:val="000000"/>
                <w:lang w:eastAsia="en-GB"/>
              </w:rPr>
              <w:t>Cardiff</w:t>
            </w:r>
          </w:p>
        </w:tc>
        <w:tc>
          <w:tcPr>
            <w:tcW w:w="1843" w:type="dxa"/>
            <w:shd w:val="clear" w:color="auto" w:fill="F2F2F2" w:themeFill="background1" w:themeFillShade="F2"/>
            <w:noWrap/>
            <w:vAlign w:val="bottom"/>
            <w:hideMark/>
          </w:tcPr>
          <w:p w14:paraId="3F3580F3" w14:textId="77777777" w:rsidR="00A932F4" w:rsidRPr="00AF4B4F" w:rsidRDefault="00A932F4" w:rsidP="00DC54F7">
            <w:pPr>
              <w:spacing w:after="0" w:line="240" w:lineRule="auto"/>
              <w:jc w:val="both"/>
              <w:rPr>
                <w:rFonts w:ascii="Calibri" w:eastAsia="Times New Roman" w:hAnsi="Calibri" w:cs="Calibri"/>
                <w:color w:val="000000"/>
                <w:lang w:eastAsia="en-GB"/>
              </w:rPr>
            </w:pPr>
            <w:r w:rsidRPr="00AF4B4F">
              <w:rPr>
                <w:rFonts w:ascii="Calibri" w:eastAsia="Times New Roman" w:hAnsi="Calibri" w:cs="Calibri"/>
                <w:color w:val="000000"/>
                <w:lang w:eastAsia="en-GB"/>
              </w:rPr>
              <w:t>24 minutes</w:t>
            </w:r>
          </w:p>
        </w:tc>
        <w:tc>
          <w:tcPr>
            <w:tcW w:w="1843" w:type="dxa"/>
            <w:shd w:val="clear" w:color="auto" w:fill="F2F2F2" w:themeFill="background1" w:themeFillShade="F2"/>
            <w:noWrap/>
            <w:vAlign w:val="bottom"/>
            <w:hideMark/>
          </w:tcPr>
          <w:p w14:paraId="02A0CC10" w14:textId="77777777" w:rsidR="00A932F4" w:rsidRPr="00AF4B4F" w:rsidRDefault="00A932F4" w:rsidP="00DC54F7">
            <w:pPr>
              <w:spacing w:after="0" w:line="240" w:lineRule="auto"/>
              <w:jc w:val="both"/>
              <w:rPr>
                <w:rFonts w:ascii="Calibri" w:eastAsia="Times New Roman" w:hAnsi="Calibri" w:cs="Calibri"/>
                <w:color w:val="000000"/>
                <w:lang w:eastAsia="en-GB"/>
              </w:rPr>
            </w:pPr>
            <w:r w:rsidRPr="00AF4B4F">
              <w:rPr>
                <w:rFonts w:ascii="Calibri" w:eastAsia="Times New Roman" w:hAnsi="Calibri" w:cs="Calibri"/>
                <w:color w:val="000000"/>
                <w:lang w:eastAsia="en-GB"/>
              </w:rPr>
              <w:t>17 to 41 minutes</w:t>
            </w:r>
          </w:p>
        </w:tc>
        <w:tc>
          <w:tcPr>
            <w:tcW w:w="1843" w:type="dxa"/>
            <w:shd w:val="clear" w:color="auto" w:fill="F2F2F2" w:themeFill="background1" w:themeFillShade="F2"/>
            <w:noWrap/>
            <w:vAlign w:val="bottom"/>
            <w:hideMark/>
          </w:tcPr>
          <w:p w14:paraId="6DC136DC" w14:textId="77777777" w:rsidR="00A932F4" w:rsidRPr="00AF4B4F" w:rsidRDefault="00A932F4" w:rsidP="00DC54F7">
            <w:pPr>
              <w:spacing w:after="0" w:line="240" w:lineRule="auto"/>
              <w:jc w:val="both"/>
              <w:rPr>
                <w:rFonts w:ascii="Calibri" w:eastAsia="Times New Roman" w:hAnsi="Calibri" w:cs="Calibri"/>
                <w:color w:val="000000"/>
                <w:lang w:eastAsia="en-GB"/>
              </w:rPr>
            </w:pPr>
            <w:r w:rsidRPr="00AF4B4F">
              <w:rPr>
                <w:rFonts w:ascii="Calibri" w:eastAsia="Times New Roman" w:hAnsi="Calibri" w:cs="Calibri"/>
                <w:color w:val="000000"/>
                <w:lang w:eastAsia="en-GB"/>
              </w:rPr>
              <w:t>4 minutes</w:t>
            </w:r>
          </w:p>
        </w:tc>
        <w:tc>
          <w:tcPr>
            <w:tcW w:w="1843" w:type="dxa"/>
            <w:shd w:val="clear" w:color="auto" w:fill="F2F2F2" w:themeFill="background1" w:themeFillShade="F2"/>
            <w:noWrap/>
            <w:vAlign w:val="bottom"/>
            <w:hideMark/>
          </w:tcPr>
          <w:p w14:paraId="286286D8" w14:textId="77777777" w:rsidR="00A932F4" w:rsidRPr="00AF4B4F" w:rsidRDefault="00A932F4" w:rsidP="00DC54F7">
            <w:pPr>
              <w:spacing w:after="0" w:line="240" w:lineRule="auto"/>
              <w:jc w:val="both"/>
              <w:rPr>
                <w:rFonts w:ascii="Calibri" w:eastAsia="Times New Roman" w:hAnsi="Calibri" w:cs="Calibri"/>
                <w:color w:val="000000"/>
                <w:lang w:eastAsia="en-GB"/>
              </w:rPr>
            </w:pPr>
            <w:r w:rsidRPr="00AF4B4F">
              <w:rPr>
                <w:rFonts w:ascii="Calibri" w:eastAsia="Times New Roman" w:hAnsi="Calibri" w:cs="Calibri"/>
                <w:color w:val="000000"/>
                <w:lang w:eastAsia="en-GB"/>
              </w:rPr>
              <w:t>2 to 8 minutes</w:t>
            </w:r>
          </w:p>
        </w:tc>
      </w:tr>
      <w:tr w:rsidR="00A932F4" w:rsidRPr="00AF4B4F" w14:paraId="6C4BD4EA" w14:textId="77777777" w:rsidTr="004E7C6A">
        <w:trPr>
          <w:trHeight w:val="312"/>
        </w:trPr>
        <w:tc>
          <w:tcPr>
            <w:tcW w:w="2442" w:type="dxa"/>
            <w:shd w:val="clear" w:color="auto" w:fill="auto"/>
            <w:noWrap/>
            <w:vAlign w:val="bottom"/>
            <w:hideMark/>
          </w:tcPr>
          <w:p w14:paraId="1948229A" w14:textId="77777777" w:rsidR="00A932F4" w:rsidRPr="00AF4B4F" w:rsidRDefault="00A932F4" w:rsidP="00DC54F7">
            <w:pPr>
              <w:spacing w:after="0" w:line="240" w:lineRule="auto"/>
              <w:jc w:val="both"/>
              <w:rPr>
                <w:rFonts w:ascii="Calibri" w:eastAsia="Times New Roman" w:hAnsi="Calibri" w:cs="Calibri"/>
                <w:color w:val="000000"/>
                <w:lang w:eastAsia="en-GB"/>
              </w:rPr>
            </w:pPr>
            <w:r w:rsidRPr="00AF4B4F">
              <w:rPr>
                <w:rFonts w:ascii="Calibri" w:eastAsia="Times New Roman" w:hAnsi="Calibri" w:cs="Calibri"/>
                <w:color w:val="000000"/>
                <w:lang w:eastAsia="en-GB"/>
              </w:rPr>
              <w:t>Vale of G</w:t>
            </w:r>
            <w:r>
              <w:rPr>
                <w:rFonts w:ascii="Calibri" w:eastAsia="Times New Roman" w:hAnsi="Calibri" w:cs="Calibri"/>
                <w:color w:val="000000"/>
                <w:lang w:eastAsia="en-GB"/>
              </w:rPr>
              <w:t>la</w:t>
            </w:r>
            <w:r w:rsidRPr="00AF4B4F">
              <w:rPr>
                <w:rFonts w:ascii="Calibri" w:eastAsia="Times New Roman" w:hAnsi="Calibri" w:cs="Calibri"/>
                <w:color w:val="000000"/>
                <w:lang w:eastAsia="en-GB"/>
              </w:rPr>
              <w:t>morgan</w:t>
            </w:r>
          </w:p>
        </w:tc>
        <w:tc>
          <w:tcPr>
            <w:tcW w:w="1843" w:type="dxa"/>
            <w:shd w:val="clear" w:color="auto" w:fill="auto"/>
            <w:noWrap/>
            <w:vAlign w:val="bottom"/>
            <w:hideMark/>
          </w:tcPr>
          <w:p w14:paraId="7F643D4A" w14:textId="77777777" w:rsidR="00A932F4" w:rsidRPr="00AF4B4F" w:rsidRDefault="00A932F4" w:rsidP="00DC54F7">
            <w:pPr>
              <w:spacing w:after="0" w:line="240" w:lineRule="auto"/>
              <w:jc w:val="both"/>
              <w:rPr>
                <w:rFonts w:ascii="Calibri" w:eastAsia="Times New Roman" w:hAnsi="Calibri" w:cs="Calibri"/>
                <w:color w:val="000000"/>
                <w:lang w:eastAsia="en-GB"/>
              </w:rPr>
            </w:pPr>
            <w:r w:rsidRPr="00AF4B4F">
              <w:rPr>
                <w:rFonts w:ascii="Calibri" w:eastAsia="Times New Roman" w:hAnsi="Calibri" w:cs="Calibri"/>
                <w:color w:val="000000"/>
                <w:lang w:eastAsia="en-GB"/>
              </w:rPr>
              <w:t>33 minutes</w:t>
            </w:r>
          </w:p>
        </w:tc>
        <w:tc>
          <w:tcPr>
            <w:tcW w:w="1843" w:type="dxa"/>
            <w:shd w:val="clear" w:color="auto" w:fill="auto"/>
            <w:noWrap/>
            <w:vAlign w:val="bottom"/>
            <w:hideMark/>
          </w:tcPr>
          <w:p w14:paraId="43904DCC" w14:textId="77777777" w:rsidR="00A932F4" w:rsidRPr="00AF4B4F" w:rsidRDefault="00A932F4" w:rsidP="00DC54F7">
            <w:pPr>
              <w:spacing w:after="0" w:line="240" w:lineRule="auto"/>
              <w:jc w:val="both"/>
              <w:rPr>
                <w:rFonts w:ascii="Calibri" w:eastAsia="Times New Roman" w:hAnsi="Calibri" w:cs="Calibri"/>
                <w:color w:val="000000"/>
                <w:lang w:eastAsia="en-GB"/>
              </w:rPr>
            </w:pPr>
            <w:r w:rsidRPr="00AF4B4F">
              <w:rPr>
                <w:rFonts w:ascii="Calibri" w:eastAsia="Times New Roman" w:hAnsi="Calibri" w:cs="Calibri"/>
                <w:color w:val="000000"/>
                <w:lang w:eastAsia="en-GB"/>
              </w:rPr>
              <w:t>16 to 136 minutes</w:t>
            </w:r>
          </w:p>
        </w:tc>
        <w:tc>
          <w:tcPr>
            <w:tcW w:w="1843" w:type="dxa"/>
            <w:shd w:val="clear" w:color="auto" w:fill="auto"/>
            <w:noWrap/>
            <w:vAlign w:val="bottom"/>
            <w:hideMark/>
          </w:tcPr>
          <w:p w14:paraId="12056626" w14:textId="77777777" w:rsidR="00A932F4" w:rsidRPr="00AF4B4F" w:rsidRDefault="00A932F4" w:rsidP="00DC54F7">
            <w:pPr>
              <w:spacing w:after="0" w:line="240" w:lineRule="auto"/>
              <w:jc w:val="both"/>
              <w:rPr>
                <w:rFonts w:ascii="Calibri" w:eastAsia="Times New Roman" w:hAnsi="Calibri" w:cs="Calibri"/>
                <w:color w:val="000000"/>
                <w:lang w:eastAsia="en-GB"/>
              </w:rPr>
            </w:pPr>
            <w:r w:rsidRPr="00AF4B4F">
              <w:rPr>
                <w:rFonts w:ascii="Calibri" w:eastAsia="Times New Roman" w:hAnsi="Calibri" w:cs="Calibri"/>
                <w:color w:val="000000"/>
                <w:lang w:eastAsia="en-GB"/>
              </w:rPr>
              <w:t>6 minutes</w:t>
            </w:r>
          </w:p>
        </w:tc>
        <w:tc>
          <w:tcPr>
            <w:tcW w:w="1843" w:type="dxa"/>
            <w:shd w:val="clear" w:color="auto" w:fill="auto"/>
            <w:noWrap/>
            <w:vAlign w:val="bottom"/>
            <w:hideMark/>
          </w:tcPr>
          <w:p w14:paraId="742C8DE1" w14:textId="77777777" w:rsidR="00A932F4" w:rsidRPr="00AF4B4F" w:rsidRDefault="00A932F4" w:rsidP="00DC54F7">
            <w:pPr>
              <w:spacing w:after="0" w:line="240" w:lineRule="auto"/>
              <w:jc w:val="both"/>
              <w:rPr>
                <w:rFonts w:ascii="Calibri" w:eastAsia="Times New Roman" w:hAnsi="Calibri" w:cs="Calibri"/>
                <w:color w:val="000000"/>
                <w:lang w:eastAsia="en-GB"/>
              </w:rPr>
            </w:pPr>
            <w:r w:rsidRPr="00AF4B4F">
              <w:rPr>
                <w:rFonts w:ascii="Calibri" w:eastAsia="Times New Roman" w:hAnsi="Calibri" w:cs="Calibri"/>
                <w:color w:val="000000"/>
                <w:lang w:eastAsia="en-GB"/>
              </w:rPr>
              <w:t>1 to 25 minutes</w:t>
            </w:r>
          </w:p>
        </w:tc>
      </w:tr>
      <w:tr w:rsidR="00A932F4" w:rsidRPr="00AF4B4F" w14:paraId="2AECC04A" w14:textId="77777777" w:rsidTr="004E7C6A">
        <w:trPr>
          <w:trHeight w:val="312"/>
        </w:trPr>
        <w:tc>
          <w:tcPr>
            <w:tcW w:w="2442" w:type="dxa"/>
            <w:shd w:val="clear" w:color="auto" w:fill="F2F2F2" w:themeFill="background1" w:themeFillShade="F2"/>
            <w:noWrap/>
            <w:vAlign w:val="bottom"/>
            <w:hideMark/>
          </w:tcPr>
          <w:p w14:paraId="34340FAB" w14:textId="77777777" w:rsidR="00A932F4" w:rsidRPr="00AF4B4F" w:rsidRDefault="00A932F4" w:rsidP="00DC54F7">
            <w:pPr>
              <w:spacing w:after="0" w:line="240" w:lineRule="auto"/>
              <w:jc w:val="both"/>
              <w:rPr>
                <w:rFonts w:ascii="Calibri" w:eastAsia="Times New Roman" w:hAnsi="Calibri" w:cs="Calibri"/>
                <w:color w:val="000000"/>
                <w:lang w:eastAsia="en-GB"/>
              </w:rPr>
            </w:pPr>
            <w:r w:rsidRPr="00AF4B4F">
              <w:rPr>
                <w:rFonts w:ascii="Calibri" w:eastAsia="Times New Roman" w:hAnsi="Calibri" w:cs="Calibri"/>
                <w:color w:val="000000"/>
                <w:lang w:eastAsia="en-GB"/>
              </w:rPr>
              <w:t>Cardiff and Vale UHB</w:t>
            </w:r>
          </w:p>
        </w:tc>
        <w:tc>
          <w:tcPr>
            <w:tcW w:w="1843" w:type="dxa"/>
            <w:shd w:val="clear" w:color="auto" w:fill="F2F2F2" w:themeFill="background1" w:themeFillShade="F2"/>
            <w:noWrap/>
            <w:vAlign w:val="bottom"/>
            <w:hideMark/>
          </w:tcPr>
          <w:p w14:paraId="4C49D3EF" w14:textId="77777777" w:rsidR="00A932F4" w:rsidRPr="00AF4B4F" w:rsidRDefault="00A932F4" w:rsidP="00DC54F7">
            <w:pPr>
              <w:spacing w:after="0" w:line="240" w:lineRule="auto"/>
              <w:jc w:val="both"/>
              <w:rPr>
                <w:rFonts w:ascii="Calibri" w:eastAsia="Times New Roman" w:hAnsi="Calibri" w:cs="Calibri"/>
                <w:color w:val="000000"/>
                <w:lang w:eastAsia="en-GB"/>
              </w:rPr>
            </w:pPr>
            <w:r w:rsidRPr="00AF4B4F">
              <w:rPr>
                <w:rFonts w:ascii="Calibri" w:eastAsia="Times New Roman" w:hAnsi="Calibri" w:cs="Calibri"/>
                <w:color w:val="000000"/>
                <w:lang w:eastAsia="en-GB"/>
              </w:rPr>
              <w:t>26 minutes</w:t>
            </w:r>
          </w:p>
        </w:tc>
        <w:tc>
          <w:tcPr>
            <w:tcW w:w="1843" w:type="dxa"/>
            <w:shd w:val="clear" w:color="auto" w:fill="F2F2F2" w:themeFill="background1" w:themeFillShade="F2"/>
            <w:noWrap/>
            <w:vAlign w:val="bottom"/>
            <w:hideMark/>
          </w:tcPr>
          <w:p w14:paraId="4754563C" w14:textId="77777777" w:rsidR="00A932F4" w:rsidRPr="00AF4B4F" w:rsidRDefault="00A932F4" w:rsidP="00DC54F7">
            <w:pPr>
              <w:spacing w:after="0" w:line="240" w:lineRule="auto"/>
              <w:jc w:val="both"/>
              <w:rPr>
                <w:rFonts w:ascii="Calibri" w:eastAsia="Times New Roman" w:hAnsi="Calibri" w:cs="Calibri"/>
                <w:color w:val="000000"/>
                <w:lang w:eastAsia="en-GB"/>
              </w:rPr>
            </w:pPr>
          </w:p>
        </w:tc>
        <w:tc>
          <w:tcPr>
            <w:tcW w:w="1843" w:type="dxa"/>
            <w:shd w:val="clear" w:color="auto" w:fill="F2F2F2" w:themeFill="background1" w:themeFillShade="F2"/>
            <w:noWrap/>
            <w:vAlign w:val="bottom"/>
            <w:hideMark/>
          </w:tcPr>
          <w:p w14:paraId="097D108B" w14:textId="77777777" w:rsidR="00A932F4" w:rsidRPr="00AF4B4F" w:rsidRDefault="00A932F4" w:rsidP="00DC54F7">
            <w:pPr>
              <w:spacing w:after="0" w:line="240" w:lineRule="auto"/>
              <w:jc w:val="both"/>
              <w:rPr>
                <w:rFonts w:ascii="Calibri" w:eastAsia="Times New Roman" w:hAnsi="Calibri" w:cs="Calibri"/>
                <w:color w:val="000000"/>
                <w:lang w:eastAsia="en-GB"/>
              </w:rPr>
            </w:pPr>
            <w:r w:rsidRPr="00AF4B4F">
              <w:rPr>
                <w:rFonts w:ascii="Calibri" w:eastAsia="Times New Roman" w:hAnsi="Calibri" w:cs="Calibri"/>
                <w:color w:val="000000"/>
                <w:lang w:eastAsia="en-GB"/>
              </w:rPr>
              <w:t>4 minutes</w:t>
            </w:r>
          </w:p>
        </w:tc>
        <w:tc>
          <w:tcPr>
            <w:tcW w:w="1843" w:type="dxa"/>
            <w:shd w:val="clear" w:color="auto" w:fill="F2F2F2" w:themeFill="background1" w:themeFillShade="F2"/>
            <w:noWrap/>
            <w:vAlign w:val="bottom"/>
            <w:hideMark/>
          </w:tcPr>
          <w:p w14:paraId="1DF068AF" w14:textId="77777777" w:rsidR="00A932F4" w:rsidRPr="00AF4B4F" w:rsidRDefault="00A932F4" w:rsidP="00DC54F7">
            <w:pPr>
              <w:spacing w:after="0" w:line="240" w:lineRule="auto"/>
              <w:jc w:val="both"/>
              <w:rPr>
                <w:rFonts w:ascii="Calibri" w:eastAsia="Times New Roman" w:hAnsi="Calibri" w:cs="Calibri"/>
                <w:color w:val="000000"/>
                <w:lang w:eastAsia="en-GB"/>
              </w:rPr>
            </w:pPr>
          </w:p>
        </w:tc>
      </w:tr>
      <w:tr w:rsidR="00A932F4" w:rsidRPr="00AF4B4F" w14:paraId="39F4DDAF" w14:textId="77777777" w:rsidTr="004E7C6A">
        <w:trPr>
          <w:trHeight w:val="312"/>
        </w:trPr>
        <w:tc>
          <w:tcPr>
            <w:tcW w:w="2442" w:type="dxa"/>
            <w:shd w:val="clear" w:color="auto" w:fill="auto"/>
            <w:noWrap/>
            <w:vAlign w:val="bottom"/>
            <w:hideMark/>
          </w:tcPr>
          <w:p w14:paraId="5799B1FF" w14:textId="77777777" w:rsidR="00A932F4" w:rsidRPr="00AF4B4F" w:rsidRDefault="00A932F4" w:rsidP="00DC54F7">
            <w:pPr>
              <w:spacing w:after="0" w:line="240" w:lineRule="auto"/>
              <w:jc w:val="both"/>
              <w:rPr>
                <w:rFonts w:ascii="Calibri" w:eastAsia="Times New Roman" w:hAnsi="Calibri" w:cs="Calibri"/>
                <w:color w:val="000000"/>
                <w:lang w:eastAsia="en-GB"/>
              </w:rPr>
            </w:pPr>
            <w:r w:rsidRPr="00AF4B4F">
              <w:rPr>
                <w:rFonts w:ascii="Calibri" w:eastAsia="Times New Roman" w:hAnsi="Calibri" w:cs="Calibri"/>
                <w:color w:val="000000"/>
                <w:lang w:eastAsia="en-GB"/>
              </w:rPr>
              <w:t>Wales</w:t>
            </w:r>
          </w:p>
        </w:tc>
        <w:tc>
          <w:tcPr>
            <w:tcW w:w="1843" w:type="dxa"/>
            <w:shd w:val="clear" w:color="auto" w:fill="auto"/>
            <w:noWrap/>
            <w:vAlign w:val="bottom"/>
            <w:hideMark/>
          </w:tcPr>
          <w:p w14:paraId="3E4E58AE" w14:textId="77777777" w:rsidR="00A932F4" w:rsidRPr="00AF4B4F" w:rsidRDefault="00A932F4" w:rsidP="00DC54F7">
            <w:pPr>
              <w:spacing w:after="0" w:line="240" w:lineRule="auto"/>
              <w:jc w:val="both"/>
              <w:rPr>
                <w:rFonts w:ascii="Calibri" w:eastAsia="Times New Roman" w:hAnsi="Calibri" w:cs="Calibri"/>
                <w:color w:val="000000"/>
                <w:lang w:eastAsia="en-GB"/>
              </w:rPr>
            </w:pPr>
            <w:r w:rsidRPr="00AF4B4F">
              <w:rPr>
                <w:rFonts w:ascii="Calibri" w:eastAsia="Times New Roman" w:hAnsi="Calibri" w:cs="Calibri"/>
                <w:color w:val="000000"/>
                <w:lang w:eastAsia="en-GB"/>
              </w:rPr>
              <w:t>38 minutes</w:t>
            </w:r>
          </w:p>
        </w:tc>
        <w:tc>
          <w:tcPr>
            <w:tcW w:w="1843" w:type="dxa"/>
            <w:shd w:val="clear" w:color="auto" w:fill="auto"/>
            <w:noWrap/>
            <w:vAlign w:val="bottom"/>
            <w:hideMark/>
          </w:tcPr>
          <w:p w14:paraId="5EACEB44" w14:textId="77777777" w:rsidR="00A932F4" w:rsidRPr="00AF4B4F" w:rsidRDefault="00A932F4" w:rsidP="00DC54F7">
            <w:pPr>
              <w:spacing w:after="0" w:line="240" w:lineRule="auto"/>
              <w:jc w:val="both"/>
              <w:rPr>
                <w:rFonts w:ascii="Calibri" w:eastAsia="Times New Roman" w:hAnsi="Calibri" w:cs="Calibri"/>
                <w:color w:val="000000"/>
                <w:lang w:eastAsia="en-GB"/>
              </w:rPr>
            </w:pPr>
          </w:p>
        </w:tc>
        <w:tc>
          <w:tcPr>
            <w:tcW w:w="1843" w:type="dxa"/>
            <w:shd w:val="clear" w:color="auto" w:fill="auto"/>
            <w:noWrap/>
            <w:vAlign w:val="bottom"/>
            <w:hideMark/>
          </w:tcPr>
          <w:p w14:paraId="2ACA8AA9" w14:textId="77777777" w:rsidR="00A932F4" w:rsidRPr="00AF4B4F" w:rsidRDefault="00A932F4" w:rsidP="00DC54F7">
            <w:pPr>
              <w:spacing w:after="0" w:line="240" w:lineRule="auto"/>
              <w:jc w:val="both"/>
              <w:rPr>
                <w:rFonts w:ascii="Calibri" w:eastAsia="Times New Roman" w:hAnsi="Calibri" w:cs="Calibri"/>
                <w:color w:val="000000"/>
                <w:lang w:eastAsia="en-GB"/>
              </w:rPr>
            </w:pPr>
            <w:r w:rsidRPr="00AF4B4F">
              <w:rPr>
                <w:rFonts w:ascii="Calibri" w:eastAsia="Times New Roman" w:hAnsi="Calibri" w:cs="Calibri"/>
                <w:color w:val="000000"/>
                <w:lang w:eastAsia="en-GB"/>
              </w:rPr>
              <w:t>7 minutes</w:t>
            </w:r>
          </w:p>
        </w:tc>
        <w:tc>
          <w:tcPr>
            <w:tcW w:w="1843" w:type="dxa"/>
            <w:shd w:val="clear" w:color="auto" w:fill="auto"/>
            <w:noWrap/>
            <w:vAlign w:val="bottom"/>
            <w:hideMark/>
          </w:tcPr>
          <w:p w14:paraId="37365202" w14:textId="77777777" w:rsidR="00A932F4" w:rsidRPr="00AF4B4F" w:rsidRDefault="00A932F4" w:rsidP="00DC54F7">
            <w:pPr>
              <w:spacing w:after="0" w:line="240" w:lineRule="auto"/>
              <w:jc w:val="both"/>
              <w:rPr>
                <w:rFonts w:ascii="Calibri" w:eastAsia="Times New Roman" w:hAnsi="Calibri" w:cs="Calibri"/>
                <w:color w:val="000000"/>
                <w:lang w:eastAsia="en-GB"/>
              </w:rPr>
            </w:pPr>
          </w:p>
        </w:tc>
      </w:tr>
    </w:tbl>
    <w:p w14:paraId="01E95CF1" w14:textId="77777777" w:rsidR="00A932F4" w:rsidRPr="000E2FA9" w:rsidRDefault="00A932F4" w:rsidP="00DC54F7">
      <w:pPr>
        <w:jc w:val="both"/>
        <w:rPr>
          <w:rFonts w:ascii="Arial" w:hAnsi="Arial" w:cs="Arial"/>
          <w:color w:val="000000"/>
          <w:sz w:val="20"/>
          <w:szCs w:val="20"/>
        </w:rPr>
      </w:pPr>
      <w:r w:rsidRPr="000E2FA9">
        <w:rPr>
          <w:rFonts w:ascii="Arial" w:hAnsi="Arial" w:cs="Arial"/>
          <w:sz w:val="20"/>
          <w:szCs w:val="20"/>
          <w:lang w:val="en-US"/>
        </w:rPr>
        <w:t xml:space="preserve">Source: StatsWales - </w:t>
      </w:r>
      <w:r w:rsidRPr="000E2FA9">
        <w:rPr>
          <w:rFonts w:ascii="Arial" w:hAnsi="Arial" w:cs="Arial"/>
          <w:color w:val="000000"/>
          <w:sz w:val="20"/>
          <w:szCs w:val="20"/>
        </w:rPr>
        <w:t>WIMD 2019 Indicator Data Local Authority</w:t>
      </w:r>
    </w:p>
    <w:p w14:paraId="41A5C4EB" w14:textId="5C4C5642" w:rsidR="00BC4757" w:rsidRPr="00A27EE0" w:rsidRDefault="00BC4757" w:rsidP="00DC54F7">
      <w:pPr>
        <w:shd w:val="clear" w:color="auto" w:fill="FFFFFF"/>
        <w:spacing w:after="0" w:line="240" w:lineRule="auto"/>
        <w:jc w:val="both"/>
        <w:rPr>
          <w:rFonts w:ascii="Arial" w:eastAsia="Times New Roman" w:hAnsi="Arial" w:cs="Arial"/>
          <w:color w:val="000000"/>
          <w:sz w:val="24"/>
          <w:szCs w:val="24"/>
          <w:shd w:val="clear" w:color="auto" w:fill="FFFFFF"/>
          <w:lang w:eastAsia="en-GB"/>
        </w:rPr>
      </w:pPr>
      <w:r w:rsidRPr="00A27EE0">
        <w:rPr>
          <w:rFonts w:ascii="Arial" w:eastAsia="Times New Roman" w:hAnsi="Arial" w:cs="Arial"/>
          <w:color w:val="000000"/>
          <w:sz w:val="24"/>
          <w:szCs w:val="24"/>
          <w:shd w:val="clear" w:color="auto" w:fill="FFFFFF"/>
          <w:lang w:eastAsia="en-GB"/>
        </w:rPr>
        <w:t>For access by car, a travel time of 20 minutes by car was used as a reasonable or standard time for residents to take to access a pharmacy.</w:t>
      </w:r>
      <w:r w:rsidR="00161A12">
        <w:rPr>
          <w:rStyle w:val="FootnoteReference"/>
          <w:rFonts w:ascii="Arial" w:eastAsia="Times New Roman" w:hAnsi="Arial" w:cs="Arial"/>
          <w:color w:val="000000"/>
          <w:sz w:val="24"/>
          <w:szCs w:val="24"/>
          <w:shd w:val="clear" w:color="auto" w:fill="FFFFFF"/>
          <w:lang w:eastAsia="en-GB"/>
        </w:rPr>
        <w:footnoteReference w:id="49"/>
      </w:r>
      <w:r w:rsidRPr="00A27EE0">
        <w:rPr>
          <w:rFonts w:ascii="Arial" w:eastAsia="Times New Roman" w:hAnsi="Arial" w:cs="Arial"/>
          <w:color w:val="000000"/>
          <w:sz w:val="24"/>
          <w:szCs w:val="24"/>
          <w:shd w:val="clear" w:color="auto" w:fill="FFFFFF"/>
          <w:lang w:eastAsia="en-GB"/>
        </w:rPr>
        <w:t> In order to assess whether residents are able to access a pharmacy within the standard 20 minutes’ drive time, maps were drawn up at the health board and cluster level. These were based on an analyses of drive time and distance using the RouteFinder plugin for MapInfo Professional and the Ordnance Survey Highways transport network, with a custom average road speed file estimated using a study by Ordnance Survey and South Central Ambulance Service. As can be seen from the map below, all residents in Cardiff and Vale University Health Board can access a pharmacy within 20 minutes by car</w:t>
      </w:r>
      <w:r w:rsidRPr="00A27EE0">
        <w:rPr>
          <w:rFonts w:ascii="Arial" w:eastAsia="Times New Roman" w:hAnsi="Arial" w:cs="Arial"/>
          <w:color w:val="000000"/>
          <w:sz w:val="21"/>
          <w:szCs w:val="21"/>
          <w:shd w:val="clear" w:color="auto" w:fill="FFFFFF"/>
          <w:lang w:eastAsia="en-GB"/>
        </w:rPr>
        <w:t>.</w:t>
      </w:r>
    </w:p>
    <w:p w14:paraId="725D26D1" w14:textId="77777777" w:rsidR="00BC4757" w:rsidRDefault="00BC4757" w:rsidP="00DC54F7">
      <w:pPr>
        <w:spacing w:after="0" w:line="240" w:lineRule="auto"/>
        <w:jc w:val="both"/>
        <w:rPr>
          <w:rFonts w:ascii="Arial" w:hAnsi="Arial" w:cs="Arial"/>
          <w:b/>
          <w:sz w:val="24"/>
          <w:szCs w:val="24"/>
        </w:rPr>
      </w:pPr>
    </w:p>
    <w:p w14:paraId="651755A2" w14:textId="4B3D2103" w:rsidR="0013443C" w:rsidRDefault="0013443C" w:rsidP="00DC54F7">
      <w:pPr>
        <w:spacing w:after="0" w:line="240" w:lineRule="auto"/>
        <w:jc w:val="both"/>
        <w:rPr>
          <w:rFonts w:ascii="Arial" w:hAnsi="Arial" w:cs="Arial"/>
          <w:b/>
          <w:sz w:val="24"/>
          <w:szCs w:val="24"/>
        </w:rPr>
      </w:pPr>
    </w:p>
    <w:p w14:paraId="1D258296" w14:textId="77777777" w:rsidR="000E2FA9" w:rsidRDefault="000E2FA9" w:rsidP="00DC54F7">
      <w:pPr>
        <w:spacing w:after="0" w:line="240" w:lineRule="auto"/>
        <w:contextualSpacing/>
        <w:jc w:val="both"/>
        <w:rPr>
          <w:rFonts w:ascii="Arial" w:hAnsi="Arial" w:cs="Arial"/>
        </w:rPr>
      </w:pPr>
    </w:p>
    <w:p w14:paraId="4726EE35" w14:textId="77777777" w:rsidR="00A932F4" w:rsidRDefault="00A932F4" w:rsidP="00DC54F7">
      <w:pPr>
        <w:spacing w:after="0" w:line="240" w:lineRule="auto"/>
        <w:contextualSpacing/>
        <w:jc w:val="both"/>
        <w:rPr>
          <w:rFonts w:ascii="Arial" w:hAnsi="Arial" w:cs="Arial"/>
          <w:b/>
        </w:rPr>
      </w:pPr>
    </w:p>
    <w:p w14:paraId="28B696D5" w14:textId="77777777" w:rsidR="00A932F4" w:rsidRDefault="00A932F4" w:rsidP="00DC54F7">
      <w:pPr>
        <w:spacing w:after="0" w:line="240" w:lineRule="auto"/>
        <w:contextualSpacing/>
        <w:jc w:val="both"/>
        <w:rPr>
          <w:rFonts w:ascii="Arial" w:hAnsi="Arial" w:cs="Arial"/>
          <w:b/>
        </w:rPr>
      </w:pPr>
    </w:p>
    <w:p w14:paraId="373A2D74" w14:textId="0F938088" w:rsidR="00C963D0" w:rsidRPr="00A932F4" w:rsidRDefault="005E7C6D" w:rsidP="00DC54F7">
      <w:pPr>
        <w:spacing w:after="0" w:line="240" w:lineRule="auto"/>
        <w:contextualSpacing/>
        <w:jc w:val="both"/>
        <w:rPr>
          <w:noProof/>
          <w:sz w:val="24"/>
          <w:szCs w:val="24"/>
        </w:rPr>
      </w:pPr>
      <w:r w:rsidRPr="00A932F4">
        <w:rPr>
          <w:rFonts w:ascii="Arial" w:hAnsi="Arial" w:cs="Arial"/>
          <w:b/>
          <w:sz w:val="24"/>
          <w:szCs w:val="24"/>
        </w:rPr>
        <w:lastRenderedPageBreak/>
        <w:t>Map</w:t>
      </w:r>
      <w:r w:rsidR="001F7AC8" w:rsidRPr="00A932F4">
        <w:rPr>
          <w:rFonts w:ascii="Arial" w:hAnsi="Arial" w:cs="Arial"/>
          <w:b/>
          <w:sz w:val="24"/>
          <w:szCs w:val="24"/>
        </w:rPr>
        <w:t xml:space="preserve"> 5</w:t>
      </w:r>
      <w:r w:rsidR="00FA3541" w:rsidRPr="00A932F4">
        <w:rPr>
          <w:rFonts w:ascii="Arial" w:hAnsi="Arial" w:cs="Arial"/>
          <w:b/>
          <w:sz w:val="24"/>
          <w:szCs w:val="24"/>
        </w:rPr>
        <w:t>.3:</w:t>
      </w:r>
      <w:r w:rsidR="00C21E5B" w:rsidRPr="00A932F4">
        <w:rPr>
          <w:rFonts w:ascii="Arial" w:hAnsi="Arial" w:cs="Arial"/>
          <w:b/>
          <w:sz w:val="24"/>
          <w:szCs w:val="24"/>
        </w:rPr>
        <w:t xml:space="preserve"> </w:t>
      </w:r>
      <w:r w:rsidR="006B4EFD" w:rsidRPr="00A932F4">
        <w:rPr>
          <w:rFonts w:ascii="Arial" w:hAnsi="Arial" w:cs="Arial"/>
          <w:b/>
          <w:sz w:val="24"/>
          <w:szCs w:val="24"/>
        </w:rPr>
        <w:t xml:space="preserve">Time taken to access a pharmacy by car </w:t>
      </w:r>
      <w:r w:rsidR="0021757A" w:rsidRPr="00A932F4">
        <w:rPr>
          <w:noProof/>
          <w:sz w:val="24"/>
          <w:szCs w:val="24"/>
        </w:rPr>
        <w:t xml:space="preserve"> </w:t>
      </w:r>
    </w:p>
    <w:p w14:paraId="226F1AC2" w14:textId="77777777" w:rsidR="00A932F4" w:rsidRDefault="00FB201D" w:rsidP="00DC54F7">
      <w:pPr>
        <w:spacing w:after="0" w:line="240" w:lineRule="auto"/>
        <w:contextualSpacing/>
        <w:jc w:val="both"/>
        <w:rPr>
          <w:noProof/>
        </w:rPr>
      </w:pPr>
      <w:r>
        <w:rPr>
          <w:noProof/>
          <w:lang w:eastAsia="en-GB"/>
        </w:rPr>
        <w:drawing>
          <wp:inline distT="0" distB="0" distL="0" distR="0" wp14:anchorId="388DE2DF" wp14:editId="6E44D13F">
            <wp:extent cx="5730701" cy="4667693"/>
            <wp:effectExtent l="0" t="0" r="3810" b="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767346" cy="4697541"/>
                    </a:xfrm>
                    <a:prstGeom prst="rect">
                      <a:avLst/>
                    </a:prstGeom>
                    <a:noFill/>
                    <a:ln>
                      <a:noFill/>
                    </a:ln>
                  </pic:spPr>
                </pic:pic>
              </a:graphicData>
            </a:graphic>
          </wp:inline>
        </w:drawing>
      </w:r>
    </w:p>
    <w:p w14:paraId="26EEA4EE" w14:textId="77777777" w:rsidR="00A932F4" w:rsidRDefault="00A932F4" w:rsidP="00DC54F7">
      <w:pPr>
        <w:spacing w:after="0" w:line="240" w:lineRule="auto"/>
        <w:contextualSpacing/>
        <w:jc w:val="both"/>
        <w:rPr>
          <w:noProof/>
        </w:rPr>
      </w:pPr>
    </w:p>
    <w:p w14:paraId="5CD5B766" w14:textId="1B6258A0" w:rsidR="00C25796" w:rsidRPr="00A932F4" w:rsidRDefault="00C25796" w:rsidP="00DC54F7">
      <w:pPr>
        <w:spacing w:after="0" w:line="240" w:lineRule="auto"/>
        <w:contextualSpacing/>
        <w:jc w:val="both"/>
        <w:rPr>
          <w:noProof/>
        </w:rPr>
      </w:pPr>
      <w:r w:rsidRPr="000E2FA9">
        <w:rPr>
          <w:rFonts w:ascii="Arial" w:hAnsi="Arial" w:cs="Arial"/>
          <w:sz w:val="24"/>
          <w:szCs w:val="24"/>
        </w:rPr>
        <w:t xml:space="preserve">Based on information from the 2011 Census, just over a quarter of households in </w:t>
      </w:r>
      <w:r w:rsidRPr="000E2FA9">
        <w:rPr>
          <w:rFonts w:ascii="Arial" w:eastAsia="Times New Roman" w:hAnsi="Arial" w:cs="Arial"/>
          <w:color w:val="000000"/>
          <w:sz w:val="24"/>
          <w:szCs w:val="24"/>
          <w:lang w:eastAsia="en-GB"/>
        </w:rPr>
        <w:t>Cardiff and Vale University Health Board (26.4%) do not have a car or van. The percentage is slightly higher in Cardiff (29%) than the Vale of Glamorgan (19.4</w:t>
      </w:r>
      <w:r w:rsidR="00AB67E1" w:rsidRPr="000E2FA9">
        <w:rPr>
          <w:rFonts w:ascii="Arial" w:eastAsia="Times New Roman" w:hAnsi="Arial" w:cs="Arial"/>
          <w:color w:val="000000"/>
          <w:sz w:val="24"/>
          <w:szCs w:val="24"/>
          <w:lang w:eastAsia="en-GB"/>
        </w:rPr>
        <w:t>%</w:t>
      </w:r>
      <w:r w:rsidRPr="000E2FA9">
        <w:rPr>
          <w:rFonts w:ascii="Arial" w:eastAsia="Times New Roman" w:hAnsi="Arial" w:cs="Arial"/>
          <w:color w:val="000000"/>
          <w:sz w:val="24"/>
          <w:szCs w:val="24"/>
          <w:lang w:eastAsia="en-GB"/>
        </w:rPr>
        <w:t>).</w:t>
      </w:r>
    </w:p>
    <w:p w14:paraId="39EC89A9" w14:textId="77777777" w:rsidR="00C25796" w:rsidRPr="000E2FA9" w:rsidRDefault="00C25796" w:rsidP="00DC54F7">
      <w:pPr>
        <w:spacing w:after="0" w:line="240" w:lineRule="auto"/>
        <w:contextualSpacing/>
        <w:jc w:val="both"/>
        <w:rPr>
          <w:rFonts w:ascii="Arial" w:hAnsi="Arial" w:cs="Arial"/>
          <w:sz w:val="24"/>
          <w:szCs w:val="24"/>
        </w:rPr>
      </w:pPr>
    </w:p>
    <w:p w14:paraId="35E75823" w14:textId="4269E7AB" w:rsidR="00EF2DF6" w:rsidRPr="000E2FA9" w:rsidRDefault="00BF2EC7" w:rsidP="00DC54F7">
      <w:pPr>
        <w:spacing w:after="0" w:line="240" w:lineRule="auto"/>
        <w:contextualSpacing/>
        <w:jc w:val="both"/>
        <w:rPr>
          <w:rFonts w:ascii="Arial" w:hAnsi="Arial" w:cs="Arial"/>
          <w:sz w:val="24"/>
          <w:szCs w:val="24"/>
        </w:rPr>
      </w:pPr>
      <w:r w:rsidRPr="000E2FA9">
        <w:rPr>
          <w:rFonts w:ascii="Arial" w:hAnsi="Arial" w:cs="Arial"/>
          <w:sz w:val="24"/>
          <w:szCs w:val="24"/>
        </w:rPr>
        <w:t>Responses to the public an</w:t>
      </w:r>
      <w:r w:rsidR="0034741D" w:rsidRPr="000E2FA9">
        <w:rPr>
          <w:rFonts w:ascii="Arial" w:hAnsi="Arial" w:cs="Arial"/>
          <w:sz w:val="24"/>
          <w:szCs w:val="24"/>
        </w:rPr>
        <w:t>d patient questionnaire provide</w:t>
      </w:r>
      <w:r w:rsidR="0046281B" w:rsidRPr="000E2FA9">
        <w:rPr>
          <w:rFonts w:ascii="Arial" w:hAnsi="Arial" w:cs="Arial"/>
          <w:sz w:val="24"/>
          <w:szCs w:val="24"/>
        </w:rPr>
        <w:t xml:space="preserve"> the following insights into accessing </w:t>
      </w:r>
      <w:r w:rsidRPr="000E2FA9">
        <w:rPr>
          <w:rFonts w:ascii="Arial" w:hAnsi="Arial" w:cs="Arial"/>
          <w:sz w:val="24"/>
          <w:szCs w:val="24"/>
        </w:rPr>
        <w:t>pharmacies</w:t>
      </w:r>
      <w:r w:rsidR="0046281B" w:rsidRPr="000E2FA9">
        <w:rPr>
          <w:rFonts w:ascii="Arial" w:hAnsi="Arial" w:cs="Arial"/>
          <w:sz w:val="24"/>
          <w:szCs w:val="24"/>
        </w:rPr>
        <w:t>:</w:t>
      </w:r>
    </w:p>
    <w:p w14:paraId="11D6B791" w14:textId="754CF97C" w:rsidR="00AD1991" w:rsidRPr="000E2FA9" w:rsidRDefault="00AD1991" w:rsidP="00DC54F7">
      <w:pPr>
        <w:spacing w:after="0" w:line="240" w:lineRule="auto"/>
        <w:contextualSpacing/>
        <w:jc w:val="both"/>
        <w:rPr>
          <w:rFonts w:ascii="Arial" w:hAnsi="Arial" w:cs="Arial"/>
          <w:sz w:val="24"/>
          <w:szCs w:val="24"/>
        </w:rPr>
      </w:pPr>
    </w:p>
    <w:p w14:paraId="566893A9" w14:textId="72336613" w:rsidR="00AD1991" w:rsidRPr="000E2FA9" w:rsidRDefault="00AD1991" w:rsidP="00DC54F7">
      <w:pPr>
        <w:spacing w:after="0" w:line="240" w:lineRule="auto"/>
        <w:jc w:val="both"/>
        <w:rPr>
          <w:rFonts w:ascii="Arial" w:hAnsi="Arial" w:cs="Arial"/>
          <w:sz w:val="24"/>
          <w:szCs w:val="24"/>
        </w:rPr>
      </w:pPr>
      <w:r w:rsidRPr="000E2FA9">
        <w:rPr>
          <w:rFonts w:ascii="Arial" w:hAnsi="Arial" w:cs="Arial"/>
          <w:sz w:val="24"/>
          <w:szCs w:val="24"/>
        </w:rPr>
        <w:t xml:space="preserve">The most popular way of travelling to a pharmacy was by car (51%, 158 out of 308 people) and then on foot (44%). 1% (2 people) travelled by bus and the same by taxi. </w:t>
      </w:r>
      <w:r w:rsidR="000105D2" w:rsidRPr="000E2FA9">
        <w:rPr>
          <w:rFonts w:ascii="Arial" w:hAnsi="Arial" w:cs="Arial"/>
          <w:sz w:val="24"/>
          <w:szCs w:val="24"/>
        </w:rPr>
        <w:t>It is worth noting that t</w:t>
      </w:r>
      <w:r w:rsidR="00F300FA" w:rsidRPr="000E2FA9">
        <w:rPr>
          <w:rFonts w:ascii="Arial" w:hAnsi="Arial" w:cs="Arial"/>
          <w:sz w:val="24"/>
          <w:szCs w:val="24"/>
        </w:rPr>
        <w:t xml:space="preserve">hese travel modes are likely to have been skewed by the </w:t>
      </w:r>
      <w:r w:rsidR="00C50239" w:rsidRPr="000E2FA9">
        <w:rPr>
          <w:rFonts w:ascii="Arial" w:hAnsi="Arial" w:cs="Arial"/>
          <w:sz w:val="24"/>
          <w:szCs w:val="24"/>
        </w:rPr>
        <w:t>Coronavirus (</w:t>
      </w:r>
      <w:r w:rsidR="00F300FA" w:rsidRPr="000E2FA9">
        <w:rPr>
          <w:rFonts w:ascii="Arial" w:hAnsi="Arial" w:cs="Arial"/>
          <w:sz w:val="24"/>
          <w:szCs w:val="24"/>
        </w:rPr>
        <w:t>C</w:t>
      </w:r>
      <w:r w:rsidR="00C50239" w:rsidRPr="000E2FA9">
        <w:rPr>
          <w:rFonts w:ascii="Arial" w:hAnsi="Arial" w:cs="Arial"/>
          <w:sz w:val="24"/>
          <w:szCs w:val="24"/>
        </w:rPr>
        <w:t>OVID</w:t>
      </w:r>
      <w:r w:rsidR="00F300FA" w:rsidRPr="000E2FA9">
        <w:rPr>
          <w:rFonts w:ascii="Arial" w:hAnsi="Arial" w:cs="Arial"/>
          <w:sz w:val="24"/>
          <w:szCs w:val="24"/>
        </w:rPr>
        <w:t>-19</w:t>
      </w:r>
      <w:r w:rsidR="00C50239" w:rsidRPr="000E2FA9">
        <w:rPr>
          <w:rFonts w:ascii="Arial" w:hAnsi="Arial" w:cs="Arial"/>
          <w:sz w:val="24"/>
          <w:szCs w:val="24"/>
        </w:rPr>
        <w:t>) pandemic</w:t>
      </w:r>
      <w:r w:rsidR="00F300FA" w:rsidRPr="000E2FA9">
        <w:rPr>
          <w:rFonts w:ascii="Arial" w:hAnsi="Arial" w:cs="Arial"/>
          <w:sz w:val="24"/>
          <w:szCs w:val="24"/>
        </w:rPr>
        <w:t xml:space="preserve"> travel restrictions in place at the time of the survey. </w:t>
      </w:r>
      <w:r w:rsidRPr="000E2FA9">
        <w:rPr>
          <w:rFonts w:ascii="Arial" w:hAnsi="Arial" w:cs="Arial"/>
          <w:sz w:val="24"/>
          <w:szCs w:val="24"/>
        </w:rPr>
        <w:t xml:space="preserve">Of the five people who responded other, two comments were about also walking as well as using another method of traveling to the pharmacy. </w:t>
      </w:r>
    </w:p>
    <w:p w14:paraId="39D0DCB3" w14:textId="77777777" w:rsidR="00590601" w:rsidRPr="000E2FA9" w:rsidRDefault="00590601" w:rsidP="00DC54F7">
      <w:pPr>
        <w:spacing w:after="0" w:line="240" w:lineRule="auto"/>
        <w:jc w:val="both"/>
        <w:rPr>
          <w:rFonts w:ascii="Arial" w:hAnsi="Arial" w:cs="Arial"/>
          <w:sz w:val="24"/>
          <w:szCs w:val="24"/>
        </w:rPr>
      </w:pPr>
    </w:p>
    <w:p w14:paraId="5B44BEFA" w14:textId="77777777" w:rsidR="00AD1991" w:rsidRPr="000E2FA9" w:rsidRDefault="00AD1991" w:rsidP="00DC54F7">
      <w:pPr>
        <w:spacing w:after="0" w:line="240" w:lineRule="auto"/>
        <w:jc w:val="both"/>
        <w:rPr>
          <w:rFonts w:ascii="Arial" w:hAnsi="Arial" w:cs="Arial"/>
          <w:sz w:val="24"/>
          <w:szCs w:val="24"/>
        </w:rPr>
      </w:pPr>
      <w:r w:rsidRPr="000E2FA9">
        <w:rPr>
          <w:rFonts w:ascii="Arial" w:hAnsi="Arial" w:cs="Arial"/>
          <w:sz w:val="24"/>
          <w:szCs w:val="24"/>
        </w:rPr>
        <w:t>Nearly all respondents (96%, 293 people out of a total of 304) could get to a pharmacy in less than 20 minutes. Only for 4% of respondents (11 people) did it take more than 20 minutes. 38% of respondents (114 people) could get to a pharmacy in less than 5 minutes. The most popular response was between 5 minutes and 15 minutes (52%, 159 people).</w:t>
      </w:r>
    </w:p>
    <w:p w14:paraId="22B41EBA" w14:textId="3BDD87D4" w:rsidR="00AD1991" w:rsidRDefault="00AD1991" w:rsidP="00DC54F7">
      <w:pPr>
        <w:spacing w:after="0" w:line="240" w:lineRule="auto"/>
        <w:jc w:val="both"/>
        <w:rPr>
          <w:rFonts w:ascii="Arial" w:hAnsi="Arial" w:cs="Arial"/>
        </w:rPr>
      </w:pPr>
    </w:p>
    <w:p w14:paraId="26562474" w14:textId="51C12CFD" w:rsidR="007E7CAE" w:rsidRDefault="007E7CAE" w:rsidP="007E7CAE">
      <w:pPr>
        <w:rPr>
          <w:rFonts w:ascii="Arial" w:hAnsi="Arial" w:cs="Arial"/>
        </w:rPr>
      </w:pPr>
      <w:r>
        <w:rPr>
          <w:rFonts w:ascii="Arial" w:hAnsi="Arial" w:cs="Arial"/>
        </w:rPr>
        <w:br w:type="page"/>
      </w:r>
    </w:p>
    <w:p w14:paraId="1ECFDDC0" w14:textId="3DBF27B0" w:rsidR="00AD1991" w:rsidRPr="000E2FA9" w:rsidRDefault="00AD1991" w:rsidP="00DC54F7">
      <w:pPr>
        <w:spacing w:after="0" w:line="240" w:lineRule="auto"/>
        <w:jc w:val="both"/>
        <w:rPr>
          <w:rFonts w:ascii="Arial" w:hAnsi="Arial" w:cs="Arial"/>
          <w:b/>
          <w:sz w:val="24"/>
          <w:szCs w:val="24"/>
        </w:rPr>
      </w:pPr>
      <w:r w:rsidRPr="000E2FA9">
        <w:rPr>
          <w:rFonts w:ascii="Arial" w:hAnsi="Arial" w:cs="Arial"/>
          <w:b/>
          <w:sz w:val="24"/>
          <w:szCs w:val="24"/>
        </w:rPr>
        <w:lastRenderedPageBreak/>
        <w:t xml:space="preserve">Figure </w:t>
      </w:r>
      <w:r w:rsidR="00EF3956" w:rsidRPr="000E2FA9">
        <w:rPr>
          <w:rFonts w:ascii="Arial" w:hAnsi="Arial" w:cs="Arial"/>
          <w:b/>
          <w:sz w:val="24"/>
          <w:szCs w:val="24"/>
        </w:rPr>
        <w:t>5</w:t>
      </w:r>
      <w:r w:rsidRPr="000E2FA9">
        <w:rPr>
          <w:rFonts w:ascii="Arial" w:hAnsi="Arial" w:cs="Arial"/>
          <w:b/>
          <w:sz w:val="24"/>
          <w:szCs w:val="24"/>
        </w:rPr>
        <w:t>.</w:t>
      </w:r>
      <w:r w:rsidR="00911F62" w:rsidRPr="000E2FA9">
        <w:rPr>
          <w:rFonts w:ascii="Arial" w:hAnsi="Arial" w:cs="Arial"/>
          <w:b/>
          <w:sz w:val="24"/>
          <w:szCs w:val="24"/>
        </w:rPr>
        <w:t>1</w:t>
      </w:r>
      <w:r w:rsidRPr="000E2FA9">
        <w:rPr>
          <w:rFonts w:ascii="Arial" w:hAnsi="Arial" w:cs="Arial"/>
          <w:b/>
          <w:sz w:val="24"/>
          <w:szCs w:val="24"/>
        </w:rPr>
        <w:t>: Length of time taken to travel to a pharmacy</w:t>
      </w:r>
    </w:p>
    <w:p w14:paraId="277ADE67" w14:textId="77777777" w:rsidR="00AD1991" w:rsidRPr="001209E5" w:rsidRDefault="00AD1991" w:rsidP="00DC54F7">
      <w:pPr>
        <w:spacing w:after="0" w:line="240" w:lineRule="auto"/>
        <w:jc w:val="both"/>
        <w:rPr>
          <w:rFonts w:ascii="Arial" w:hAnsi="Arial" w:cs="Arial"/>
          <w:b/>
        </w:rPr>
      </w:pPr>
      <w:r>
        <w:rPr>
          <w:noProof/>
          <w:lang w:eastAsia="en-GB"/>
        </w:rPr>
        <w:drawing>
          <wp:inline distT="0" distB="0" distL="0" distR="0" wp14:anchorId="2442A186" wp14:editId="70A300D7">
            <wp:extent cx="5156200" cy="3306726"/>
            <wp:effectExtent l="0" t="0" r="6350" b="8255"/>
            <wp:docPr id="192" name="Chart 19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9A00643-48B1-46E7-BDE5-DCF189C603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794D654D" w14:textId="77777777" w:rsidR="00AD1991" w:rsidRDefault="00AD1991" w:rsidP="00DC54F7">
      <w:pPr>
        <w:spacing w:after="0" w:line="240" w:lineRule="auto"/>
        <w:jc w:val="both"/>
        <w:rPr>
          <w:rFonts w:ascii="Arial" w:hAnsi="Arial" w:cs="Arial"/>
        </w:rPr>
      </w:pPr>
    </w:p>
    <w:p w14:paraId="63AFBC41" w14:textId="0FD932FB" w:rsidR="007F2475" w:rsidRPr="000E2FA9" w:rsidRDefault="00AD1991" w:rsidP="00DC54F7">
      <w:pPr>
        <w:spacing w:after="0" w:line="240" w:lineRule="auto"/>
        <w:jc w:val="both"/>
        <w:rPr>
          <w:rFonts w:ascii="Arial" w:hAnsi="Arial" w:cs="Arial"/>
          <w:sz w:val="24"/>
          <w:szCs w:val="24"/>
        </w:rPr>
      </w:pPr>
      <w:r w:rsidRPr="000E2FA9">
        <w:rPr>
          <w:rFonts w:ascii="Arial" w:hAnsi="Arial" w:cs="Arial"/>
          <w:sz w:val="24"/>
          <w:szCs w:val="24"/>
        </w:rPr>
        <w:t xml:space="preserve">The majority of respondents (90%, 276 out of 308 people) said they didn’t have difficulty getting to a pharmacy. Only 7% (23 people) replied that they did and 3% (9 people) said the question was not applicable. </w:t>
      </w:r>
      <w:r w:rsidR="00B0342D" w:rsidRPr="000E2FA9">
        <w:rPr>
          <w:rFonts w:ascii="Arial" w:hAnsi="Arial" w:cs="Arial"/>
          <w:sz w:val="24"/>
          <w:szCs w:val="24"/>
        </w:rPr>
        <w:t>Comments received included</w:t>
      </w:r>
      <w:r w:rsidR="007F2475" w:rsidRPr="000E2FA9">
        <w:rPr>
          <w:rFonts w:ascii="Arial" w:hAnsi="Arial" w:cs="Arial"/>
          <w:sz w:val="24"/>
          <w:szCs w:val="24"/>
        </w:rPr>
        <w:t>:</w:t>
      </w:r>
    </w:p>
    <w:p w14:paraId="67D5EF10" w14:textId="77777777" w:rsidR="007F2475" w:rsidRPr="000E2FA9" w:rsidRDefault="007F2475" w:rsidP="00DC54F7">
      <w:pPr>
        <w:spacing w:after="0" w:line="240" w:lineRule="auto"/>
        <w:contextualSpacing/>
        <w:jc w:val="both"/>
        <w:rPr>
          <w:rFonts w:ascii="Arial" w:hAnsi="Arial" w:cs="Arial"/>
          <w:sz w:val="24"/>
          <w:szCs w:val="24"/>
        </w:rPr>
      </w:pPr>
    </w:p>
    <w:p w14:paraId="154136C5" w14:textId="77777777" w:rsidR="007F2475" w:rsidRPr="000E2FA9" w:rsidRDefault="007F2475" w:rsidP="00DC54F7">
      <w:pPr>
        <w:spacing w:after="0" w:line="240" w:lineRule="auto"/>
        <w:jc w:val="both"/>
        <w:rPr>
          <w:rFonts w:ascii="Arial" w:hAnsi="Arial" w:cs="Arial"/>
          <w:sz w:val="24"/>
          <w:szCs w:val="24"/>
        </w:rPr>
      </w:pPr>
      <w:r w:rsidRPr="000E2FA9">
        <w:rPr>
          <w:rFonts w:ascii="Arial" w:hAnsi="Arial" w:cs="Arial"/>
          <w:sz w:val="24"/>
          <w:szCs w:val="24"/>
        </w:rPr>
        <w:t>Seven comments were related to poor health or mobility issues due to a disability, injury or a health condition, as the main reason which made getting to a pharmacy difficult:</w:t>
      </w:r>
    </w:p>
    <w:p w14:paraId="01DEE402" w14:textId="77777777" w:rsidR="007F2475" w:rsidRPr="000E2FA9" w:rsidRDefault="007F2475" w:rsidP="00DC54F7">
      <w:pPr>
        <w:pStyle w:val="ListParagraph"/>
        <w:numPr>
          <w:ilvl w:val="0"/>
          <w:numId w:val="77"/>
        </w:numPr>
        <w:spacing w:after="0" w:line="240" w:lineRule="auto"/>
        <w:jc w:val="both"/>
        <w:rPr>
          <w:rFonts w:ascii="Arial" w:hAnsi="Arial" w:cs="Arial"/>
          <w:sz w:val="24"/>
          <w:szCs w:val="24"/>
        </w:rPr>
      </w:pPr>
      <w:r w:rsidRPr="000E2FA9">
        <w:rPr>
          <w:rFonts w:ascii="Arial" w:hAnsi="Arial" w:cs="Arial"/>
          <w:sz w:val="24"/>
          <w:szCs w:val="24"/>
        </w:rPr>
        <w:t>“I am disabled and it is now too far for me to walk. This is recent (in the last 5 years).”</w:t>
      </w:r>
    </w:p>
    <w:p w14:paraId="5EDDDC4B" w14:textId="1CC0DECE" w:rsidR="007F2475" w:rsidRPr="000E2FA9" w:rsidRDefault="007F2475" w:rsidP="00DC54F7">
      <w:pPr>
        <w:pStyle w:val="ListParagraph"/>
        <w:numPr>
          <w:ilvl w:val="0"/>
          <w:numId w:val="77"/>
        </w:numPr>
        <w:spacing w:after="0" w:line="240" w:lineRule="auto"/>
        <w:jc w:val="both"/>
        <w:rPr>
          <w:rFonts w:ascii="Arial" w:hAnsi="Arial" w:cs="Arial"/>
          <w:sz w:val="24"/>
          <w:szCs w:val="24"/>
        </w:rPr>
      </w:pPr>
      <w:r w:rsidRPr="000E2FA9">
        <w:rPr>
          <w:rFonts w:ascii="Arial" w:hAnsi="Arial" w:cs="Arial"/>
          <w:sz w:val="24"/>
          <w:szCs w:val="24"/>
        </w:rPr>
        <w:t>“Sometimes I am too I'll to collect my prescription so.my dad goes for me.”</w:t>
      </w:r>
    </w:p>
    <w:p w14:paraId="2E303325" w14:textId="3141BD67" w:rsidR="00BC2654" w:rsidRPr="000E2FA9" w:rsidRDefault="00BC2654" w:rsidP="00DC54F7">
      <w:pPr>
        <w:spacing w:after="0" w:line="240" w:lineRule="auto"/>
        <w:jc w:val="both"/>
        <w:rPr>
          <w:rFonts w:ascii="Arial" w:hAnsi="Arial" w:cs="Arial"/>
          <w:sz w:val="24"/>
          <w:szCs w:val="24"/>
        </w:rPr>
      </w:pPr>
    </w:p>
    <w:p w14:paraId="2287563A" w14:textId="77777777" w:rsidR="00BC2654" w:rsidRPr="000E2FA9" w:rsidRDefault="00BC2654" w:rsidP="00DC54F7">
      <w:pPr>
        <w:spacing w:after="0" w:line="240" w:lineRule="auto"/>
        <w:jc w:val="both"/>
        <w:rPr>
          <w:rFonts w:ascii="Arial" w:hAnsi="Arial" w:cs="Arial"/>
          <w:sz w:val="24"/>
          <w:szCs w:val="24"/>
        </w:rPr>
      </w:pPr>
      <w:r w:rsidRPr="000E2FA9">
        <w:rPr>
          <w:rFonts w:ascii="Arial" w:hAnsi="Arial" w:cs="Arial"/>
          <w:sz w:val="24"/>
          <w:szCs w:val="24"/>
        </w:rPr>
        <w:t>Six comments were about ease of getting to a pharmacy, including travel distance or pharmacy closure or both:</w:t>
      </w:r>
    </w:p>
    <w:p w14:paraId="3D03BC06" w14:textId="5487971D" w:rsidR="00BC2654" w:rsidRPr="002A3EA9" w:rsidRDefault="00BC2654" w:rsidP="00DC54F7">
      <w:pPr>
        <w:pStyle w:val="ListParagraph"/>
        <w:numPr>
          <w:ilvl w:val="0"/>
          <w:numId w:val="80"/>
        </w:numPr>
        <w:spacing w:after="0" w:line="240" w:lineRule="auto"/>
        <w:jc w:val="both"/>
        <w:rPr>
          <w:rFonts w:ascii="Arial" w:eastAsia="Times New Roman" w:hAnsi="Arial" w:cs="Arial"/>
          <w:sz w:val="24"/>
          <w:szCs w:val="24"/>
          <w:lang w:eastAsia="en-GB"/>
        </w:rPr>
      </w:pPr>
      <w:r w:rsidRPr="002A3EA9">
        <w:rPr>
          <w:rFonts w:ascii="Arial" w:eastAsia="Times New Roman" w:hAnsi="Arial" w:cs="Arial"/>
          <w:sz w:val="24"/>
          <w:szCs w:val="24"/>
          <w:lang w:eastAsia="en-GB"/>
        </w:rPr>
        <w:t xml:space="preserve">“I often have late afternoon appointments with my gp in [name of location]. my usual pharmacy in [name of pharmacy] has now closed. other pharmacies in the area are not open by the time i go there, so i cant get my </w:t>
      </w:r>
      <w:r w:rsidR="00540D6F" w:rsidRPr="002A3EA9">
        <w:rPr>
          <w:rFonts w:ascii="Arial" w:eastAsia="Times New Roman" w:hAnsi="Arial" w:cs="Arial"/>
          <w:sz w:val="24"/>
          <w:szCs w:val="24"/>
          <w:lang w:eastAsia="en-GB"/>
        </w:rPr>
        <w:t>medication</w:t>
      </w:r>
      <w:r w:rsidRPr="002A3EA9">
        <w:rPr>
          <w:rFonts w:ascii="Arial" w:eastAsia="Times New Roman" w:hAnsi="Arial" w:cs="Arial"/>
          <w:sz w:val="24"/>
          <w:szCs w:val="24"/>
          <w:lang w:eastAsia="en-GB"/>
        </w:rPr>
        <w:t xml:space="preserve"> on the same day. if i am working the next day i often dont start my medication for a few days.”</w:t>
      </w:r>
    </w:p>
    <w:p w14:paraId="5350FA8F" w14:textId="77777777" w:rsidR="00BC2654" w:rsidRPr="002A3EA9" w:rsidRDefault="00BC2654" w:rsidP="00DC54F7">
      <w:pPr>
        <w:pStyle w:val="ListParagraph"/>
        <w:numPr>
          <w:ilvl w:val="0"/>
          <w:numId w:val="80"/>
        </w:numPr>
        <w:spacing w:after="0" w:line="240" w:lineRule="auto"/>
        <w:jc w:val="both"/>
        <w:rPr>
          <w:rFonts w:ascii="Arial" w:eastAsia="Times New Roman" w:hAnsi="Arial" w:cs="Arial"/>
          <w:sz w:val="24"/>
          <w:szCs w:val="24"/>
          <w:lang w:eastAsia="en-GB"/>
        </w:rPr>
      </w:pPr>
      <w:r w:rsidRPr="002A3EA9">
        <w:rPr>
          <w:rFonts w:ascii="Arial" w:eastAsia="Times New Roman" w:hAnsi="Arial" w:cs="Arial"/>
          <w:sz w:val="24"/>
          <w:szCs w:val="24"/>
          <w:lang w:eastAsia="en-GB"/>
        </w:rPr>
        <w:t>“Too far away and not easy to get to.”</w:t>
      </w:r>
    </w:p>
    <w:p w14:paraId="64A92B9F" w14:textId="77777777" w:rsidR="00BC2654" w:rsidRPr="002A3EA9" w:rsidRDefault="00BC2654" w:rsidP="00DC54F7">
      <w:pPr>
        <w:pStyle w:val="ListParagraph"/>
        <w:numPr>
          <w:ilvl w:val="0"/>
          <w:numId w:val="80"/>
        </w:numPr>
        <w:spacing w:after="0" w:line="240" w:lineRule="auto"/>
        <w:jc w:val="both"/>
        <w:rPr>
          <w:rFonts w:ascii="Arial" w:eastAsia="Times New Roman" w:hAnsi="Arial" w:cs="Arial"/>
          <w:sz w:val="24"/>
          <w:szCs w:val="24"/>
          <w:lang w:eastAsia="en-GB"/>
        </w:rPr>
      </w:pPr>
      <w:r w:rsidRPr="002A3EA9">
        <w:rPr>
          <w:rFonts w:ascii="Arial" w:eastAsia="Times New Roman" w:hAnsi="Arial" w:cs="Arial"/>
          <w:sz w:val="24"/>
          <w:szCs w:val="24"/>
          <w:lang w:eastAsia="en-GB"/>
        </w:rPr>
        <w:t>“I do not drive and have to walk to my surgery and to a pharmacy to collect my medication. I used to use the pharmacy on [name of location]  but as that has now closed I struggle to get to a pharmacy near my gp. Because of this I have on occasions had to wait a day or two before I can get my medication which has resulted in my condition worsening. I suffer with chest infections and starting antibiotics and steroids is very important for me.”</w:t>
      </w:r>
    </w:p>
    <w:p w14:paraId="48FB4D46" w14:textId="77777777" w:rsidR="00BC2654" w:rsidRPr="002A3EA9" w:rsidRDefault="00BC2654" w:rsidP="00DC54F7">
      <w:pPr>
        <w:spacing w:after="0" w:line="240" w:lineRule="auto"/>
        <w:jc w:val="both"/>
        <w:rPr>
          <w:rFonts w:ascii="Arial" w:eastAsia="Times New Roman" w:hAnsi="Arial" w:cs="Arial"/>
          <w:sz w:val="24"/>
          <w:szCs w:val="24"/>
          <w:lang w:eastAsia="en-GB"/>
        </w:rPr>
      </w:pPr>
    </w:p>
    <w:p w14:paraId="6BD06073" w14:textId="77777777" w:rsidR="00BC2654" w:rsidRPr="002A3EA9" w:rsidRDefault="00BC2654" w:rsidP="00DC54F7">
      <w:pPr>
        <w:spacing w:after="0" w:line="240" w:lineRule="auto"/>
        <w:jc w:val="both"/>
        <w:rPr>
          <w:rFonts w:ascii="Arial" w:eastAsia="Times New Roman" w:hAnsi="Arial" w:cs="Arial"/>
          <w:sz w:val="24"/>
          <w:szCs w:val="24"/>
          <w:lang w:eastAsia="en-GB"/>
        </w:rPr>
      </w:pPr>
      <w:r w:rsidRPr="002A3EA9">
        <w:rPr>
          <w:rFonts w:ascii="Arial" w:eastAsia="Times New Roman" w:hAnsi="Arial" w:cs="Arial"/>
          <w:sz w:val="24"/>
          <w:szCs w:val="24"/>
          <w:lang w:eastAsia="en-GB"/>
        </w:rPr>
        <w:t>One comment mentioned the ongoing road works.</w:t>
      </w:r>
    </w:p>
    <w:p w14:paraId="420BE046" w14:textId="77777777" w:rsidR="00BC2654" w:rsidRPr="00BC2654" w:rsidRDefault="00BC2654" w:rsidP="00DC54F7">
      <w:pPr>
        <w:spacing w:after="0" w:line="240" w:lineRule="auto"/>
        <w:jc w:val="both"/>
        <w:rPr>
          <w:rFonts w:ascii="Arial" w:hAnsi="Arial" w:cs="Arial"/>
        </w:rPr>
      </w:pPr>
    </w:p>
    <w:p w14:paraId="0FA684E5" w14:textId="38643370" w:rsidR="000E2FA9" w:rsidRDefault="000E2FA9" w:rsidP="00DC54F7">
      <w:pPr>
        <w:jc w:val="both"/>
        <w:rPr>
          <w:rFonts w:ascii="Arial" w:hAnsi="Arial" w:cs="Arial"/>
        </w:rPr>
      </w:pPr>
      <w:r>
        <w:rPr>
          <w:rFonts w:ascii="Arial" w:hAnsi="Arial" w:cs="Arial"/>
        </w:rPr>
        <w:br w:type="page"/>
      </w:r>
    </w:p>
    <w:p w14:paraId="6385A479" w14:textId="69B810A2" w:rsidR="001809F0" w:rsidRPr="00A10850" w:rsidRDefault="001809F0" w:rsidP="00DC54F7">
      <w:pPr>
        <w:spacing w:after="0" w:line="240" w:lineRule="auto"/>
        <w:jc w:val="both"/>
        <w:rPr>
          <w:rFonts w:ascii="Arial" w:hAnsi="Arial" w:cs="Arial"/>
          <w:b/>
          <w:sz w:val="24"/>
          <w:szCs w:val="24"/>
        </w:rPr>
      </w:pPr>
      <w:r w:rsidRPr="00621718">
        <w:rPr>
          <w:rFonts w:ascii="Arial" w:hAnsi="Arial" w:cs="Arial"/>
          <w:b/>
          <w:sz w:val="24"/>
          <w:szCs w:val="24"/>
        </w:rPr>
        <w:lastRenderedPageBreak/>
        <w:t xml:space="preserve">5.1.2 Access to </w:t>
      </w:r>
      <w:r w:rsidR="005034AD" w:rsidRPr="00621718">
        <w:rPr>
          <w:rFonts w:ascii="Arial" w:hAnsi="Arial" w:cs="Arial"/>
          <w:b/>
          <w:sz w:val="24"/>
          <w:szCs w:val="24"/>
        </w:rPr>
        <w:t xml:space="preserve">essential </w:t>
      </w:r>
      <w:r w:rsidR="00EF2DF6" w:rsidRPr="00621718">
        <w:rPr>
          <w:rFonts w:ascii="Arial" w:hAnsi="Arial" w:cs="Arial"/>
          <w:b/>
          <w:sz w:val="24"/>
          <w:szCs w:val="24"/>
        </w:rPr>
        <w:t>services</w:t>
      </w:r>
      <w:r w:rsidRPr="00621718">
        <w:rPr>
          <w:rFonts w:ascii="Arial" w:hAnsi="Arial" w:cs="Arial"/>
          <w:b/>
          <w:sz w:val="24"/>
          <w:szCs w:val="24"/>
        </w:rPr>
        <w:t xml:space="preserve"> </w:t>
      </w:r>
      <w:r w:rsidR="005034AD" w:rsidRPr="00621718">
        <w:rPr>
          <w:rFonts w:ascii="Arial" w:hAnsi="Arial" w:cs="Arial"/>
          <w:b/>
          <w:sz w:val="24"/>
          <w:szCs w:val="24"/>
        </w:rPr>
        <w:t xml:space="preserve">and </w:t>
      </w:r>
      <w:r w:rsidR="006A2403" w:rsidRPr="00621718">
        <w:rPr>
          <w:rFonts w:ascii="Arial" w:hAnsi="Arial" w:cs="Arial"/>
          <w:b/>
          <w:sz w:val="24"/>
          <w:szCs w:val="24"/>
        </w:rPr>
        <w:t>dispensing appliance contractor</w:t>
      </w:r>
      <w:r w:rsidR="005034AD" w:rsidRPr="00621718">
        <w:rPr>
          <w:rFonts w:ascii="Arial" w:hAnsi="Arial" w:cs="Arial"/>
          <w:b/>
          <w:sz w:val="24"/>
          <w:szCs w:val="24"/>
        </w:rPr>
        <w:t xml:space="preserve"> equivalent services</w:t>
      </w:r>
    </w:p>
    <w:p w14:paraId="1903A7DA" w14:textId="77777777" w:rsidR="001809F0" w:rsidRPr="00A10850" w:rsidRDefault="001809F0" w:rsidP="00DC54F7">
      <w:pPr>
        <w:spacing w:after="0" w:line="240" w:lineRule="auto"/>
        <w:contextualSpacing/>
        <w:jc w:val="both"/>
        <w:rPr>
          <w:rFonts w:ascii="Arial" w:hAnsi="Arial" w:cs="Arial"/>
        </w:rPr>
      </w:pPr>
    </w:p>
    <w:p w14:paraId="3C4B0D45" w14:textId="22E12EC1" w:rsidR="00E44B0B" w:rsidRPr="000E2FA9" w:rsidRDefault="00E44B0B" w:rsidP="00DC54F7">
      <w:pPr>
        <w:spacing w:after="0" w:line="240" w:lineRule="auto"/>
        <w:contextualSpacing/>
        <w:jc w:val="both"/>
        <w:rPr>
          <w:rFonts w:ascii="Arial" w:hAnsi="Arial" w:cs="Arial"/>
          <w:sz w:val="24"/>
          <w:szCs w:val="24"/>
        </w:rPr>
      </w:pPr>
      <w:r w:rsidRPr="000E2FA9">
        <w:rPr>
          <w:rFonts w:ascii="Arial" w:hAnsi="Arial" w:cs="Arial"/>
          <w:sz w:val="24"/>
          <w:szCs w:val="24"/>
        </w:rPr>
        <w:t xml:space="preserve">Whilst the majority of people will visit a pharmacy </w:t>
      </w:r>
      <w:r w:rsidR="00090EA4" w:rsidRPr="000E2FA9">
        <w:rPr>
          <w:rFonts w:ascii="Arial" w:hAnsi="Arial" w:cs="Arial"/>
          <w:sz w:val="24"/>
          <w:szCs w:val="24"/>
        </w:rPr>
        <w:t>during</w:t>
      </w:r>
      <w:r w:rsidRPr="000E2FA9">
        <w:rPr>
          <w:rFonts w:ascii="Arial" w:hAnsi="Arial" w:cs="Arial"/>
          <w:sz w:val="24"/>
          <w:szCs w:val="24"/>
        </w:rPr>
        <w:t xml:space="preserve"> the 8.30am to 6</w:t>
      </w:r>
      <w:r w:rsidR="00090EA4" w:rsidRPr="000E2FA9">
        <w:rPr>
          <w:rFonts w:ascii="Arial" w:hAnsi="Arial" w:cs="Arial"/>
          <w:sz w:val="24"/>
          <w:szCs w:val="24"/>
        </w:rPr>
        <w:t>.30</w:t>
      </w:r>
      <w:r w:rsidRPr="000E2FA9">
        <w:rPr>
          <w:rFonts w:ascii="Arial" w:hAnsi="Arial" w:cs="Arial"/>
          <w:sz w:val="24"/>
          <w:szCs w:val="24"/>
        </w:rPr>
        <w:t>pm period, Monday to Friday, following a visit to their GP or another healthcare professional, there will be times when people will need</w:t>
      </w:r>
      <w:r w:rsidR="00B4456A" w:rsidRPr="000E2FA9">
        <w:rPr>
          <w:rFonts w:ascii="Arial" w:hAnsi="Arial" w:cs="Arial"/>
          <w:sz w:val="24"/>
          <w:szCs w:val="24"/>
        </w:rPr>
        <w:t>,</w:t>
      </w:r>
      <w:r w:rsidRPr="000E2FA9">
        <w:rPr>
          <w:rFonts w:ascii="Arial" w:hAnsi="Arial" w:cs="Arial"/>
          <w:sz w:val="24"/>
          <w:szCs w:val="24"/>
        </w:rPr>
        <w:t xml:space="preserve"> </w:t>
      </w:r>
      <w:r w:rsidR="00090EA4" w:rsidRPr="000E2FA9">
        <w:rPr>
          <w:rFonts w:ascii="Arial" w:hAnsi="Arial" w:cs="Arial"/>
          <w:sz w:val="24"/>
          <w:szCs w:val="24"/>
        </w:rPr>
        <w:t>or choose</w:t>
      </w:r>
      <w:r w:rsidR="00B4456A" w:rsidRPr="000E2FA9">
        <w:rPr>
          <w:rFonts w:ascii="Arial" w:hAnsi="Arial" w:cs="Arial"/>
          <w:sz w:val="24"/>
          <w:szCs w:val="24"/>
        </w:rPr>
        <w:t>,</w:t>
      </w:r>
      <w:r w:rsidR="00090EA4" w:rsidRPr="000E2FA9">
        <w:rPr>
          <w:rFonts w:ascii="Arial" w:hAnsi="Arial" w:cs="Arial"/>
          <w:sz w:val="24"/>
          <w:szCs w:val="24"/>
        </w:rPr>
        <w:t xml:space="preserve"> </w:t>
      </w:r>
      <w:r w:rsidRPr="000E2FA9">
        <w:rPr>
          <w:rFonts w:ascii="Arial" w:hAnsi="Arial" w:cs="Arial"/>
          <w:sz w:val="24"/>
          <w:szCs w:val="24"/>
        </w:rPr>
        <w:t xml:space="preserve">to access a pharmacy outside of those times.  This may be to have a prescription dispensed after being seen by the </w:t>
      </w:r>
      <w:r w:rsidR="00C36F36" w:rsidRPr="000E2FA9">
        <w:rPr>
          <w:rFonts w:ascii="Arial" w:hAnsi="Arial" w:cs="Arial"/>
          <w:sz w:val="24"/>
          <w:szCs w:val="24"/>
        </w:rPr>
        <w:t>O</w:t>
      </w:r>
      <w:r w:rsidRPr="000E2FA9">
        <w:rPr>
          <w:rFonts w:ascii="Arial" w:hAnsi="Arial" w:cs="Arial"/>
          <w:sz w:val="24"/>
          <w:szCs w:val="24"/>
        </w:rPr>
        <w:t xml:space="preserve">ut of </w:t>
      </w:r>
      <w:r w:rsidR="00C36F36" w:rsidRPr="000E2FA9">
        <w:rPr>
          <w:rFonts w:ascii="Arial" w:hAnsi="Arial" w:cs="Arial"/>
          <w:sz w:val="24"/>
          <w:szCs w:val="24"/>
        </w:rPr>
        <w:t>H</w:t>
      </w:r>
      <w:r w:rsidRPr="000E2FA9">
        <w:rPr>
          <w:rFonts w:ascii="Arial" w:hAnsi="Arial" w:cs="Arial"/>
          <w:sz w:val="24"/>
          <w:szCs w:val="24"/>
        </w:rPr>
        <w:t xml:space="preserve">ours </w:t>
      </w:r>
      <w:r w:rsidR="00C36F36" w:rsidRPr="000E2FA9">
        <w:rPr>
          <w:rFonts w:ascii="Arial" w:hAnsi="Arial" w:cs="Arial"/>
          <w:sz w:val="24"/>
          <w:szCs w:val="24"/>
        </w:rPr>
        <w:t xml:space="preserve">and CAV 24/7 </w:t>
      </w:r>
      <w:r w:rsidRPr="000E2FA9">
        <w:rPr>
          <w:rFonts w:ascii="Arial" w:hAnsi="Arial" w:cs="Arial"/>
          <w:sz w:val="24"/>
          <w:szCs w:val="24"/>
        </w:rPr>
        <w:t xml:space="preserve">service, or </w:t>
      </w:r>
      <w:r w:rsidR="00090EA4" w:rsidRPr="000E2FA9">
        <w:rPr>
          <w:rFonts w:ascii="Arial" w:hAnsi="Arial" w:cs="Arial"/>
          <w:sz w:val="24"/>
          <w:szCs w:val="24"/>
        </w:rPr>
        <w:t>to collect dispensed items on their way to or from work</w:t>
      </w:r>
      <w:r w:rsidR="00B4456A" w:rsidRPr="000E2FA9">
        <w:rPr>
          <w:rFonts w:ascii="Arial" w:hAnsi="Arial" w:cs="Arial"/>
          <w:sz w:val="24"/>
          <w:szCs w:val="24"/>
        </w:rPr>
        <w:t>,</w:t>
      </w:r>
      <w:r w:rsidR="00090EA4" w:rsidRPr="000E2FA9">
        <w:rPr>
          <w:rFonts w:ascii="Arial" w:hAnsi="Arial" w:cs="Arial"/>
          <w:sz w:val="24"/>
          <w:szCs w:val="24"/>
        </w:rPr>
        <w:t xml:space="preserve"> or </w:t>
      </w:r>
      <w:r w:rsidRPr="000E2FA9">
        <w:rPr>
          <w:rFonts w:ascii="Arial" w:hAnsi="Arial" w:cs="Arial"/>
          <w:sz w:val="24"/>
          <w:szCs w:val="24"/>
        </w:rPr>
        <w:t>it may be to access one of the other services provided by a pharmacy outside of a person’s normal working day.</w:t>
      </w:r>
      <w:r w:rsidR="00090EA4" w:rsidRPr="000E2FA9">
        <w:rPr>
          <w:rFonts w:ascii="Arial" w:hAnsi="Arial" w:cs="Arial"/>
          <w:sz w:val="24"/>
          <w:szCs w:val="24"/>
        </w:rPr>
        <w:t xml:space="preserve"> </w:t>
      </w:r>
    </w:p>
    <w:p w14:paraId="23FF5366" w14:textId="152F29C1" w:rsidR="00E760AF" w:rsidRPr="000E2FA9" w:rsidRDefault="00E760AF" w:rsidP="00DC54F7">
      <w:pPr>
        <w:spacing w:after="0" w:line="240" w:lineRule="auto"/>
        <w:contextualSpacing/>
        <w:jc w:val="both"/>
        <w:rPr>
          <w:rFonts w:ascii="Arial" w:hAnsi="Arial" w:cs="Arial"/>
          <w:bCs/>
          <w:sz w:val="24"/>
          <w:szCs w:val="24"/>
        </w:rPr>
      </w:pPr>
    </w:p>
    <w:p w14:paraId="1D8DF90B" w14:textId="384791F6" w:rsidR="00E760AF" w:rsidRPr="002A3EA9" w:rsidRDefault="00E760AF" w:rsidP="00DC54F7">
      <w:pPr>
        <w:spacing w:after="0" w:line="240" w:lineRule="auto"/>
        <w:jc w:val="both"/>
        <w:rPr>
          <w:rFonts w:ascii="Arial" w:hAnsi="Arial" w:cs="Arial"/>
          <w:bCs/>
          <w:sz w:val="24"/>
          <w:szCs w:val="24"/>
        </w:rPr>
      </w:pPr>
      <w:r w:rsidRPr="000E2FA9">
        <w:rPr>
          <w:rFonts w:ascii="Arial" w:hAnsi="Arial" w:cs="Arial"/>
          <w:sz w:val="24"/>
          <w:szCs w:val="24"/>
        </w:rPr>
        <w:t xml:space="preserve">The patient and public engagement questionnaire showed that most respondents do not have a preference about when is the best time or day to use a pharmacy. </w:t>
      </w:r>
      <w:r w:rsidRPr="000E2FA9">
        <w:rPr>
          <w:rFonts w:ascii="Arial" w:hAnsi="Arial" w:cs="Arial"/>
          <w:bCs/>
          <w:sz w:val="24"/>
          <w:szCs w:val="24"/>
        </w:rPr>
        <w:t>Of the remaining responses, 42% preferred to use a pharmacy between 9am and 6pm, with 2pm to 6pm being the most popular choice (21%)</w:t>
      </w:r>
      <w:r w:rsidR="00511582" w:rsidRPr="000E2FA9">
        <w:rPr>
          <w:rFonts w:ascii="Arial" w:hAnsi="Arial" w:cs="Arial"/>
          <w:bCs/>
          <w:sz w:val="24"/>
          <w:szCs w:val="24"/>
        </w:rPr>
        <w:t xml:space="preserve">, followed by </w:t>
      </w:r>
      <w:r w:rsidR="005E1D4E" w:rsidRPr="000E2FA9">
        <w:rPr>
          <w:rFonts w:ascii="Arial" w:hAnsi="Arial" w:cs="Arial"/>
          <w:bCs/>
          <w:sz w:val="24"/>
          <w:szCs w:val="24"/>
        </w:rPr>
        <w:t>6pm to 9pm</w:t>
      </w:r>
      <w:r w:rsidR="00633AA3" w:rsidRPr="000E2FA9">
        <w:rPr>
          <w:rFonts w:ascii="Arial" w:hAnsi="Arial" w:cs="Arial"/>
          <w:bCs/>
          <w:sz w:val="24"/>
          <w:szCs w:val="24"/>
        </w:rPr>
        <w:t xml:space="preserve"> (17%)</w:t>
      </w:r>
      <w:r w:rsidRPr="000E2FA9">
        <w:rPr>
          <w:rFonts w:ascii="Arial" w:hAnsi="Arial" w:cs="Arial"/>
          <w:bCs/>
          <w:sz w:val="24"/>
          <w:szCs w:val="24"/>
        </w:rPr>
        <w:t xml:space="preserve">. </w:t>
      </w:r>
      <w:r w:rsidRPr="000E2FA9">
        <w:rPr>
          <w:rFonts w:ascii="Arial" w:hAnsi="Arial" w:cs="Arial"/>
          <w:sz w:val="24"/>
          <w:szCs w:val="24"/>
        </w:rPr>
        <w:t>Where a day was indicated, the weekdays was the most convenient time for respondents to visit a pharmacy</w:t>
      </w:r>
      <w:r w:rsidR="006519C1" w:rsidRPr="000E2FA9">
        <w:rPr>
          <w:rFonts w:ascii="Arial" w:hAnsi="Arial" w:cs="Arial"/>
          <w:sz w:val="24"/>
          <w:szCs w:val="24"/>
        </w:rPr>
        <w:t xml:space="preserve"> </w:t>
      </w:r>
      <w:r w:rsidR="00E528B3" w:rsidRPr="000E2FA9">
        <w:rPr>
          <w:rFonts w:ascii="Arial" w:hAnsi="Arial" w:cs="Arial"/>
          <w:sz w:val="24"/>
          <w:szCs w:val="24"/>
        </w:rPr>
        <w:t>(19%)</w:t>
      </w:r>
      <w:r w:rsidRPr="000E2FA9">
        <w:rPr>
          <w:rFonts w:ascii="Arial" w:hAnsi="Arial" w:cs="Arial"/>
          <w:sz w:val="24"/>
          <w:szCs w:val="24"/>
        </w:rPr>
        <w:t xml:space="preserve">, followed by the weekends in general </w:t>
      </w:r>
      <w:r w:rsidR="00E528B3" w:rsidRPr="000E2FA9">
        <w:rPr>
          <w:rFonts w:ascii="Arial" w:hAnsi="Arial" w:cs="Arial"/>
          <w:sz w:val="24"/>
          <w:szCs w:val="24"/>
        </w:rPr>
        <w:t xml:space="preserve">(11%) </w:t>
      </w:r>
      <w:r w:rsidRPr="000E2FA9">
        <w:rPr>
          <w:rFonts w:ascii="Arial" w:hAnsi="Arial" w:cs="Arial"/>
          <w:sz w:val="24"/>
          <w:szCs w:val="24"/>
        </w:rPr>
        <w:t>rather than a specific day.</w:t>
      </w:r>
    </w:p>
    <w:p w14:paraId="4D617F58" w14:textId="15A57185" w:rsidR="00E760AF" w:rsidRPr="000E2FA9" w:rsidRDefault="00E760AF" w:rsidP="00DC54F7">
      <w:pPr>
        <w:spacing w:after="0" w:line="240" w:lineRule="auto"/>
        <w:contextualSpacing/>
        <w:jc w:val="both"/>
        <w:rPr>
          <w:rFonts w:ascii="Arial" w:hAnsi="Arial" w:cs="Arial"/>
          <w:sz w:val="24"/>
          <w:szCs w:val="24"/>
        </w:rPr>
      </w:pPr>
    </w:p>
    <w:p w14:paraId="536AFBAC" w14:textId="3AF6E8BA" w:rsidR="00EF2DF6" w:rsidRPr="000E2FA9" w:rsidRDefault="00B526C1" w:rsidP="00DC54F7">
      <w:pPr>
        <w:spacing w:after="0" w:line="240" w:lineRule="auto"/>
        <w:contextualSpacing/>
        <w:jc w:val="both"/>
        <w:rPr>
          <w:rFonts w:ascii="Arial" w:hAnsi="Arial" w:cs="Arial"/>
          <w:sz w:val="24"/>
          <w:szCs w:val="24"/>
        </w:rPr>
      </w:pPr>
      <w:r w:rsidRPr="000E2FA9">
        <w:rPr>
          <w:rFonts w:ascii="Arial" w:hAnsi="Arial" w:cs="Arial"/>
          <w:sz w:val="24"/>
          <w:szCs w:val="24"/>
        </w:rPr>
        <w:t>Pharmacies are required to open for not less than 40 hours per week</w:t>
      </w:r>
      <w:r w:rsidR="00C25849" w:rsidRPr="000E2FA9">
        <w:rPr>
          <w:rFonts w:ascii="Arial" w:hAnsi="Arial" w:cs="Arial"/>
          <w:sz w:val="24"/>
          <w:szCs w:val="24"/>
        </w:rPr>
        <w:t xml:space="preserve"> (excluding bank and public holidays)</w:t>
      </w:r>
      <w:r w:rsidRPr="000E2FA9">
        <w:rPr>
          <w:rFonts w:ascii="Arial" w:hAnsi="Arial" w:cs="Arial"/>
          <w:sz w:val="24"/>
          <w:szCs w:val="24"/>
        </w:rPr>
        <w:t>, and these are referred to as core opening hours</w:t>
      </w:r>
      <w:r w:rsidR="00C25849" w:rsidRPr="000E2FA9">
        <w:rPr>
          <w:rFonts w:ascii="Arial" w:hAnsi="Arial" w:cs="Arial"/>
          <w:sz w:val="24"/>
          <w:szCs w:val="24"/>
        </w:rPr>
        <w:t>. M</w:t>
      </w:r>
      <w:r w:rsidRPr="000E2FA9">
        <w:rPr>
          <w:rFonts w:ascii="Arial" w:hAnsi="Arial" w:cs="Arial"/>
          <w:sz w:val="24"/>
          <w:szCs w:val="24"/>
        </w:rPr>
        <w:t xml:space="preserve">any </w:t>
      </w:r>
      <w:r w:rsidR="00C25849" w:rsidRPr="000E2FA9">
        <w:rPr>
          <w:rFonts w:ascii="Arial" w:hAnsi="Arial" w:cs="Arial"/>
          <w:sz w:val="24"/>
          <w:szCs w:val="24"/>
        </w:rPr>
        <w:t xml:space="preserve">pharmacies </w:t>
      </w:r>
      <w:r w:rsidRPr="000E2FA9">
        <w:rPr>
          <w:rFonts w:ascii="Arial" w:hAnsi="Arial" w:cs="Arial"/>
          <w:sz w:val="24"/>
          <w:szCs w:val="24"/>
        </w:rPr>
        <w:t xml:space="preserve">choose to open for longer and these additional hours are referred to as supplementary opening hours. </w:t>
      </w:r>
      <w:r w:rsidR="00167B81" w:rsidRPr="000E2FA9">
        <w:rPr>
          <w:rFonts w:ascii="Arial" w:hAnsi="Arial" w:cs="Arial"/>
          <w:sz w:val="24"/>
          <w:szCs w:val="24"/>
        </w:rPr>
        <w:t>Appendix</w:t>
      </w:r>
      <w:r w:rsidR="009870B9" w:rsidRPr="000E2FA9">
        <w:rPr>
          <w:rFonts w:ascii="Arial" w:hAnsi="Arial" w:cs="Arial"/>
          <w:sz w:val="24"/>
          <w:szCs w:val="24"/>
        </w:rPr>
        <w:t xml:space="preserve"> L</w:t>
      </w:r>
      <w:r w:rsidR="00A13261" w:rsidRPr="000E2FA9">
        <w:rPr>
          <w:rFonts w:ascii="Arial" w:hAnsi="Arial" w:cs="Arial"/>
          <w:sz w:val="24"/>
          <w:szCs w:val="24"/>
        </w:rPr>
        <w:t xml:space="preserve"> </w:t>
      </w:r>
      <w:r w:rsidR="00167B81" w:rsidRPr="000E2FA9">
        <w:rPr>
          <w:rFonts w:ascii="Arial" w:hAnsi="Arial" w:cs="Arial"/>
          <w:sz w:val="24"/>
          <w:szCs w:val="24"/>
        </w:rPr>
        <w:t xml:space="preserve">provides </w:t>
      </w:r>
      <w:r w:rsidR="00440237" w:rsidRPr="000E2FA9">
        <w:rPr>
          <w:rFonts w:ascii="Arial" w:hAnsi="Arial" w:cs="Arial"/>
          <w:sz w:val="24"/>
          <w:szCs w:val="24"/>
        </w:rPr>
        <w:t xml:space="preserve">information on the pharmacies and </w:t>
      </w:r>
      <w:r w:rsidR="006A2403" w:rsidRPr="000E2FA9">
        <w:rPr>
          <w:rFonts w:ascii="Arial" w:hAnsi="Arial" w:cs="Arial"/>
          <w:sz w:val="24"/>
          <w:szCs w:val="24"/>
        </w:rPr>
        <w:t xml:space="preserve">dispensing appliance contractor </w:t>
      </w:r>
      <w:r w:rsidR="00440237" w:rsidRPr="000E2FA9">
        <w:rPr>
          <w:rFonts w:ascii="Arial" w:hAnsi="Arial" w:cs="Arial"/>
          <w:sz w:val="24"/>
          <w:szCs w:val="24"/>
        </w:rPr>
        <w:t xml:space="preserve">opening hours as </w:t>
      </w:r>
      <w:r w:rsidR="00AE4135" w:rsidRPr="000E2FA9">
        <w:rPr>
          <w:rFonts w:ascii="Arial" w:hAnsi="Arial" w:cs="Arial"/>
          <w:sz w:val="24"/>
          <w:szCs w:val="24"/>
        </w:rPr>
        <w:t xml:space="preserve">of </w:t>
      </w:r>
      <w:r w:rsidR="005C59D8" w:rsidRPr="00B77D6F">
        <w:rPr>
          <w:rFonts w:ascii="Arial" w:hAnsi="Arial" w:cs="Arial"/>
          <w:sz w:val="24"/>
          <w:szCs w:val="24"/>
        </w:rPr>
        <w:t>30</w:t>
      </w:r>
      <w:r w:rsidR="005C59D8" w:rsidRPr="00B77D6F">
        <w:rPr>
          <w:rFonts w:ascii="Arial" w:hAnsi="Arial" w:cs="Arial"/>
          <w:sz w:val="24"/>
          <w:szCs w:val="24"/>
          <w:vertAlign w:val="superscript"/>
        </w:rPr>
        <w:t>th</w:t>
      </w:r>
      <w:r w:rsidR="005C59D8" w:rsidRPr="00B77D6F">
        <w:rPr>
          <w:rFonts w:ascii="Arial" w:hAnsi="Arial" w:cs="Arial"/>
          <w:sz w:val="24"/>
          <w:szCs w:val="24"/>
        </w:rPr>
        <w:t xml:space="preserve"> September</w:t>
      </w:r>
      <w:r w:rsidR="005C59D8">
        <w:rPr>
          <w:rFonts w:ascii="Arial" w:hAnsi="Arial" w:cs="Arial"/>
          <w:sz w:val="24"/>
          <w:szCs w:val="24"/>
        </w:rPr>
        <w:t xml:space="preserve"> </w:t>
      </w:r>
      <w:r w:rsidR="000C1952" w:rsidRPr="000E2FA9">
        <w:rPr>
          <w:rFonts w:ascii="Arial" w:hAnsi="Arial" w:cs="Arial"/>
          <w:sz w:val="24"/>
          <w:szCs w:val="24"/>
        </w:rPr>
        <w:t>202</w:t>
      </w:r>
      <w:r w:rsidR="000F4CAE" w:rsidRPr="000E2FA9">
        <w:rPr>
          <w:rFonts w:ascii="Arial" w:hAnsi="Arial" w:cs="Arial"/>
          <w:sz w:val="24"/>
          <w:szCs w:val="24"/>
        </w:rPr>
        <w:t>1</w:t>
      </w:r>
      <w:r w:rsidR="00BC1DAE" w:rsidRPr="000E2FA9">
        <w:rPr>
          <w:rFonts w:ascii="Arial" w:hAnsi="Arial" w:cs="Arial"/>
          <w:sz w:val="24"/>
          <w:szCs w:val="24"/>
        </w:rPr>
        <w:t xml:space="preserve"> and at that point in time there were:</w:t>
      </w:r>
    </w:p>
    <w:p w14:paraId="4A45D5B1" w14:textId="77777777" w:rsidR="00E44B0B" w:rsidRPr="000E2FA9" w:rsidRDefault="00E44B0B" w:rsidP="00DC54F7">
      <w:pPr>
        <w:spacing w:after="0" w:line="240" w:lineRule="auto"/>
        <w:jc w:val="both"/>
        <w:rPr>
          <w:rFonts w:ascii="Arial" w:hAnsi="Arial" w:cs="Arial"/>
          <w:sz w:val="24"/>
          <w:szCs w:val="24"/>
        </w:rPr>
      </w:pPr>
    </w:p>
    <w:p w14:paraId="5D9E53BC" w14:textId="77777777" w:rsidR="004D221D" w:rsidRPr="000E2FA9" w:rsidRDefault="004D221D" w:rsidP="00DC54F7">
      <w:pPr>
        <w:numPr>
          <w:ilvl w:val="0"/>
          <w:numId w:val="25"/>
        </w:numPr>
        <w:spacing w:after="0" w:line="240" w:lineRule="auto"/>
        <w:jc w:val="both"/>
        <w:rPr>
          <w:rFonts w:ascii="Arial" w:hAnsi="Arial" w:cs="Arial"/>
          <w:sz w:val="24"/>
          <w:szCs w:val="24"/>
        </w:rPr>
      </w:pPr>
      <w:r w:rsidRPr="000E2FA9">
        <w:rPr>
          <w:rFonts w:ascii="Arial" w:hAnsi="Arial" w:cs="Arial"/>
          <w:sz w:val="24"/>
          <w:szCs w:val="24"/>
        </w:rPr>
        <w:t xml:space="preserve">15 pharmacies open seven days a week </w:t>
      </w:r>
    </w:p>
    <w:p w14:paraId="1DFF4EA2" w14:textId="0C81A793" w:rsidR="004D221D" w:rsidRPr="00B77D6F" w:rsidRDefault="004D221D" w:rsidP="00DC54F7">
      <w:pPr>
        <w:numPr>
          <w:ilvl w:val="0"/>
          <w:numId w:val="25"/>
        </w:numPr>
        <w:spacing w:after="0" w:line="240" w:lineRule="auto"/>
        <w:jc w:val="both"/>
        <w:rPr>
          <w:rFonts w:ascii="Arial" w:hAnsi="Arial" w:cs="Arial"/>
          <w:sz w:val="24"/>
          <w:szCs w:val="24"/>
        </w:rPr>
      </w:pPr>
      <w:r w:rsidRPr="00B77D6F">
        <w:rPr>
          <w:rFonts w:ascii="Arial" w:hAnsi="Arial" w:cs="Arial"/>
          <w:sz w:val="24"/>
          <w:szCs w:val="24"/>
        </w:rPr>
        <w:t>19 pharmacies open Monday to Saturday</w:t>
      </w:r>
    </w:p>
    <w:p w14:paraId="66784F93" w14:textId="5C720499" w:rsidR="004D221D" w:rsidRPr="00B77D6F" w:rsidRDefault="004D221D" w:rsidP="00DC54F7">
      <w:pPr>
        <w:numPr>
          <w:ilvl w:val="0"/>
          <w:numId w:val="25"/>
        </w:numPr>
        <w:spacing w:after="0" w:line="240" w:lineRule="auto"/>
        <w:jc w:val="both"/>
        <w:rPr>
          <w:rFonts w:ascii="Arial" w:hAnsi="Arial" w:cs="Arial"/>
          <w:sz w:val="24"/>
          <w:szCs w:val="24"/>
        </w:rPr>
      </w:pPr>
      <w:r w:rsidRPr="00B77D6F">
        <w:rPr>
          <w:rFonts w:ascii="Arial" w:hAnsi="Arial" w:cs="Arial"/>
          <w:sz w:val="24"/>
          <w:szCs w:val="24"/>
        </w:rPr>
        <w:t>33 pharmacies open Monday to Friday, and part of Saturday</w:t>
      </w:r>
    </w:p>
    <w:p w14:paraId="61857FEB" w14:textId="2B8C644A" w:rsidR="004D221D" w:rsidRPr="00B77D6F" w:rsidRDefault="004D221D" w:rsidP="00DC54F7">
      <w:pPr>
        <w:numPr>
          <w:ilvl w:val="0"/>
          <w:numId w:val="25"/>
        </w:numPr>
        <w:spacing w:after="0" w:line="240" w:lineRule="auto"/>
        <w:jc w:val="both"/>
        <w:rPr>
          <w:rFonts w:ascii="Arial" w:hAnsi="Arial" w:cs="Arial"/>
          <w:sz w:val="24"/>
          <w:szCs w:val="24"/>
        </w:rPr>
      </w:pPr>
      <w:r w:rsidRPr="00B77D6F">
        <w:rPr>
          <w:rFonts w:ascii="Arial" w:hAnsi="Arial" w:cs="Arial"/>
          <w:sz w:val="24"/>
          <w:szCs w:val="24"/>
        </w:rPr>
        <w:t>39 pharmacies that open Monday to Friday.</w:t>
      </w:r>
    </w:p>
    <w:p w14:paraId="43F03D61" w14:textId="77777777" w:rsidR="004D221D" w:rsidRPr="00B77D6F" w:rsidRDefault="004D221D" w:rsidP="00DC54F7">
      <w:pPr>
        <w:spacing w:after="0" w:line="240" w:lineRule="auto"/>
        <w:ind w:left="360"/>
        <w:jc w:val="both"/>
        <w:rPr>
          <w:rFonts w:ascii="Arial" w:hAnsi="Arial" w:cs="Arial"/>
          <w:sz w:val="24"/>
          <w:szCs w:val="24"/>
        </w:rPr>
      </w:pPr>
    </w:p>
    <w:p w14:paraId="59894B36" w14:textId="77777777" w:rsidR="004D221D" w:rsidRPr="00E955E5" w:rsidRDefault="004D221D" w:rsidP="00DC54F7">
      <w:pPr>
        <w:spacing w:after="0" w:line="240" w:lineRule="auto"/>
        <w:jc w:val="both"/>
        <w:rPr>
          <w:rFonts w:ascii="Arial" w:hAnsi="Arial" w:cs="Arial"/>
          <w:i/>
          <w:iCs/>
          <w:sz w:val="24"/>
          <w:szCs w:val="24"/>
        </w:rPr>
      </w:pPr>
      <w:r w:rsidRPr="00B77D6F">
        <w:rPr>
          <w:rFonts w:ascii="Arial" w:hAnsi="Arial" w:cs="Arial"/>
          <w:sz w:val="24"/>
          <w:szCs w:val="24"/>
        </w:rPr>
        <w:t>The latest opening hours can be found on the NHS111 website</w:t>
      </w:r>
      <w:r w:rsidRPr="00B77D6F">
        <w:rPr>
          <w:rFonts w:ascii="Arial" w:hAnsi="Arial" w:cs="Arial"/>
          <w:i/>
          <w:iCs/>
          <w:sz w:val="24"/>
          <w:szCs w:val="24"/>
        </w:rPr>
        <w:t>.</w:t>
      </w:r>
    </w:p>
    <w:p w14:paraId="31AAE432" w14:textId="04011ED2" w:rsidR="000C1952" w:rsidRPr="000E2FA9" w:rsidRDefault="000C1952" w:rsidP="00DC54F7">
      <w:pPr>
        <w:spacing w:after="0" w:line="240" w:lineRule="auto"/>
        <w:jc w:val="both"/>
        <w:rPr>
          <w:rFonts w:ascii="Arial" w:hAnsi="Arial" w:cs="Arial"/>
          <w:sz w:val="24"/>
          <w:szCs w:val="24"/>
        </w:rPr>
      </w:pPr>
    </w:p>
    <w:p w14:paraId="3A080ACC" w14:textId="5BECCE51" w:rsidR="000C1952" w:rsidRPr="000E2FA9" w:rsidRDefault="002F2CE9" w:rsidP="00DC54F7">
      <w:pPr>
        <w:spacing w:after="0" w:line="240" w:lineRule="auto"/>
        <w:jc w:val="both"/>
        <w:rPr>
          <w:rFonts w:ascii="Arial" w:hAnsi="Arial" w:cs="Arial"/>
          <w:sz w:val="24"/>
          <w:szCs w:val="24"/>
        </w:rPr>
      </w:pPr>
      <w:r w:rsidRPr="000E2FA9">
        <w:rPr>
          <w:rFonts w:ascii="Arial" w:hAnsi="Arial" w:cs="Arial"/>
          <w:sz w:val="24"/>
          <w:szCs w:val="24"/>
        </w:rPr>
        <w:t xml:space="preserve">Dispensing appliance contractors are required to open not less than 30 hours per week and these are referred to as core opening hours. </w:t>
      </w:r>
      <w:r w:rsidR="00B30819" w:rsidRPr="000E2FA9">
        <w:rPr>
          <w:rFonts w:ascii="Arial" w:hAnsi="Arial" w:cs="Arial"/>
          <w:sz w:val="24"/>
          <w:szCs w:val="24"/>
        </w:rPr>
        <w:t xml:space="preserve">The </w:t>
      </w:r>
      <w:r w:rsidR="00C402AB" w:rsidRPr="000E2FA9">
        <w:rPr>
          <w:rFonts w:ascii="Arial" w:hAnsi="Arial" w:cs="Arial"/>
          <w:sz w:val="24"/>
          <w:szCs w:val="24"/>
        </w:rPr>
        <w:t xml:space="preserve">opening times of the </w:t>
      </w:r>
      <w:r w:rsidR="00B30819" w:rsidRPr="000E2FA9">
        <w:rPr>
          <w:rFonts w:ascii="Arial" w:hAnsi="Arial" w:cs="Arial"/>
          <w:sz w:val="24"/>
          <w:szCs w:val="24"/>
        </w:rPr>
        <w:t>four appliance contractors</w:t>
      </w:r>
      <w:r w:rsidR="001D6C21" w:rsidRPr="000E2FA9">
        <w:rPr>
          <w:rFonts w:ascii="Arial" w:hAnsi="Arial" w:cs="Arial"/>
          <w:sz w:val="24"/>
          <w:szCs w:val="24"/>
        </w:rPr>
        <w:t>, as of March 2021</w:t>
      </w:r>
      <w:r w:rsidR="00C36F36" w:rsidRPr="000E2FA9">
        <w:rPr>
          <w:rFonts w:ascii="Arial" w:hAnsi="Arial" w:cs="Arial"/>
          <w:sz w:val="24"/>
          <w:szCs w:val="24"/>
        </w:rPr>
        <w:t xml:space="preserve"> </w:t>
      </w:r>
      <w:r w:rsidR="00B30819" w:rsidRPr="000E2FA9">
        <w:rPr>
          <w:rFonts w:ascii="Arial" w:hAnsi="Arial" w:cs="Arial"/>
          <w:sz w:val="24"/>
          <w:szCs w:val="24"/>
        </w:rPr>
        <w:t>are:</w:t>
      </w:r>
    </w:p>
    <w:p w14:paraId="245043AF" w14:textId="77777777" w:rsidR="00C402AB" w:rsidRPr="000E2FA9" w:rsidRDefault="00C402AB" w:rsidP="00DC54F7">
      <w:pPr>
        <w:pStyle w:val="Heading3"/>
        <w:shd w:val="clear" w:color="auto" w:fill="FFFFFF"/>
        <w:spacing w:before="0" w:line="240" w:lineRule="auto"/>
        <w:jc w:val="both"/>
        <w:textAlignment w:val="baseline"/>
        <w:rPr>
          <w:rFonts w:cs="Arial"/>
          <w:b w:val="0"/>
          <w:bCs w:val="0"/>
          <w:color w:val="auto"/>
          <w:szCs w:val="24"/>
          <w:bdr w:val="none" w:sz="0" w:space="0" w:color="auto" w:frame="1"/>
        </w:rPr>
      </w:pPr>
    </w:p>
    <w:p w14:paraId="073D59D3" w14:textId="26B3CDDF" w:rsidR="00E266C7" w:rsidRPr="000E2FA9" w:rsidRDefault="0066688D" w:rsidP="00DC54F7">
      <w:pPr>
        <w:pStyle w:val="Heading3"/>
        <w:shd w:val="clear" w:color="auto" w:fill="FFFFFF"/>
        <w:spacing w:before="0" w:line="240" w:lineRule="auto"/>
        <w:jc w:val="both"/>
        <w:textAlignment w:val="baseline"/>
        <w:rPr>
          <w:rFonts w:cs="Arial"/>
          <w:b w:val="0"/>
          <w:bCs w:val="0"/>
          <w:color w:val="auto"/>
          <w:szCs w:val="24"/>
        </w:rPr>
      </w:pPr>
      <w:bookmarkStart w:id="29" w:name="_Toc81582666"/>
      <w:bookmarkStart w:id="30" w:name="_Toc81584907"/>
      <w:bookmarkStart w:id="31" w:name="_Toc81585099"/>
      <w:r w:rsidRPr="000E2FA9">
        <w:rPr>
          <w:rFonts w:cs="Arial"/>
          <w:b w:val="0"/>
          <w:bCs w:val="0"/>
          <w:color w:val="auto"/>
          <w:szCs w:val="24"/>
          <w:bdr w:val="none" w:sz="0" w:space="0" w:color="auto" w:frame="1"/>
        </w:rPr>
        <w:t xml:space="preserve">Respond – </w:t>
      </w:r>
      <w:r w:rsidR="00E266C7" w:rsidRPr="000E2FA9">
        <w:rPr>
          <w:rFonts w:cs="Arial"/>
          <w:b w:val="0"/>
          <w:bCs w:val="0"/>
          <w:color w:val="auto"/>
          <w:szCs w:val="24"/>
          <w:bdr w:val="none" w:sz="0" w:space="0" w:color="auto" w:frame="1"/>
        </w:rPr>
        <w:t>Greypoint</w:t>
      </w:r>
      <w:r w:rsidRPr="000E2FA9">
        <w:rPr>
          <w:rFonts w:cs="Arial"/>
          <w:b w:val="0"/>
          <w:bCs w:val="0"/>
          <w:color w:val="auto"/>
          <w:szCs w:val="24"/>
          <w:bdr w:val="none" w:sz="0" w:space="0" w:color="auto" w:frame="1"/>
        </w:rPr>
        <w:t>,</w:t>
      </w:r>
      <w:r w:rsidR="00C36F36" w:rsidRPr="000E2FA9">
        <w:rPr>
          <w:rFonts w:cs="Arial"/>
          <w:b w:val="0"/>
          <w:bCs w:val="0"/>
          <w:color w:val="auto"/>
          <w:szCs w:val="24"/>
          <w:bdr w:val="none" w:sz="0" w:space="0" w:color="auto" w:frame="1"/>
        </w:rPr>
        <w:t xml:space="preserve"> </w:t>
      </w:r>
      <w:r w:rsidR="00E266C7" w:rsidRPr="000E2FA9">
        <w:rPr>
          <w:rFonts w:cs="Arial"/>
          <w:b w:val="0"/>
          <w:bCs w:val="0"/>
          <w:color w:val="auto"/>
          <w:szCs w:val="24"/>
          <w:bdr w:val="none" w:sz="0" w:space="0" w:color="auto" w:frame="1"/>
        </w:rPr>
        <w:t>Cardiff Business Park</w:t>
      </w:r>
      <w:r w:rsidRPr="000E2FA9">
        <w:rPr>
          <w:rFonts w:cs="Arial"/>
          <w:b w:val="0"/>
          <w:bCs w:val="0"/>
          <w:color w:val="auto"/>
          <w:szCs w:val="24"/>
          <w:bdr w:val="none" w:sz="0" w:space="0" w:color="auto" w:frame="1"/>
        </w:rPr>
        <w:t>,</w:t>
      </w:r>
      <w:r w:rsidRPr="000E2FA9">
        <w:rPr>
          <w:rFonts w:cs="Arial"/>
          <w:b w:val="0"/>
          <w:bCs w:val="0"/>
          <w:color w:val="auto"/>
          <w:szCs w:val="24"/>
        </w:rPr>
        <w:t xml:space="preserve"> </w:t>
      </w:r>
      <w:r w:rsidR="00E266C7" w:rsidRPr="000E2FA9">
        <w:rPr>
          <w:rFonts w:cs="Arial"/>
          <w:b w:val="0"/>
          <w:bCs w:val="0"/>
          <w:color w:val="auto"/>
          <w:szCs w:val="24"/>
          <w:bdr w:val="none" w:sz="0" w:space="0" w:color="auto" w:frame="1"/>
        </w:rPr>
        <w:t>Cardiff</w:t>
      </w:r>
      <w:r w:rsidRPr="000E2FA9">
        <w:rPr>
          <w:rFonts w:cs="Arial"/>
          <w:b w:val="0"/>
          <w:bCs w:val="0"/>
          <w:color w:val="auto"/>
          <w:szCs w:val="24"/>
          <w:bdr w:val="none" w:sz="0" w:space="0" w:color="auto" w:frame="1"/>
        </w:rPr>
        <w:t>,</w:t>
      </w:r>
      <w:r w:rsidRPr="000E2FA9">
        <w:rPr>
          <w:rFonts w:cs="Arial"/>
          <w:b w:val="0"/>
          <w:bCs w:val="0"/>
          <w:color w:val="auto"/>
          <w:szCs w:val="24"/>
        </w:rPr>
        <w:t xml:space="preserve"> </w:t>
      </w:r>
      <w:r w:rsidR="00E266C7" w:rsidRPr="000E2FA9">
        <w:rPr>
          <w:rFonts w:cs="Arial"/>
          <w:b w:val="0"/>
          <w:bCs w:val="0"/>
          <w:color w:val="auto"/>
          <w:szCs w:val="24"/>
          <w:bdr w:val="none" w:sz="0" w:space="0" w:color="auto" w:frame="1"/>
        </w:rPr>
        <w:t>CF14 5WF</w:t>
      </w:r>
      <w:bookmarkEnd w:id="29"/>
      <w:bookmarkEnd w:id="30"/>
      <w:bookmarkEnd w:id="31"/>
    </w:p>
    <w:p w14:paraId="6DB63FFD" w14:textId="5AACCAE5" w:rsidR="00E266C7" w:rsidRPr="000E2FA9" w:rsidRDefault="00500189" w:rsidP="00DC54F7">
      <w:pPr>
        <w:pStyle w:val="Heading4"/>
        <w:numPr>
          <w:ilvl w:val="0"/>
          <w:numId w:val="25"/>
        </w:numPr>
        <w:shd w:val="clear" w:color="auto" w:fill="FFFFFF"/>
        <w:spacing w:before="0" w:line="240" w:lineRule="auto"/>
        <w:jc w:val="both"/>
        <w:textAlignment w:val="baseline"/>
        <w:rPr>
          <w:rFonts w:cs="Arial"/>
          <w:b w:val="0"/>
          <w:bCs w:val="0"/>
          <w:color w:val="auto"/>
          <w:szCs w:val="24"/>
          <w:bdr w:val="none" w:sz="0" w:space="0" w:color="auto" w:frame="1"/>
        </w:rPr>
      </w:pPr>
      <w:r w:rsidRPr="000E2FA9">
        <w:rPr>
          <w:rFonts w:cs="Arial"/>
          <w:b w:val="0"/>
          <w:bCs w:val="0"/>
          <w:color w:val="auto"/>
          <w:szCs w:val="24"/>
          <w:bdr w:val="none" w:sz="0" w:space="0" w:color="auto" w:frame="1"/>
        </w:rPr>
        <w:t xml:space="preserve">Opening times: </w:t>
      </w:r>
      <w:r w:rsidR="00E266C7" w:rsidRPr="000E2FA9">
        <w:rPr>
          <w:rFonts w:cs="Arial"/>
          <w:b w:val="0"/>
          <w:bCs w:val="0"/>
          <w:color w:val="auto"/>
          <w:szCs w:val="24"/>
          <w:bdr w:val="none" w:sz="0" w:space="0" w:color="auto" w:frame="1"/>
        </w:rPr>
        <w:t>8:00am to 5:00pm Monday to Friday</w:t>
      </w:r>
      <w:r w:rsidRPr="000E2FA9">
        <w:rPr>
          <w:rFonts w:cs="Arial"/>
          <w:b w:val="0"/>
          <w:bCs w:val="0"/>
          <w:color w:val="auto"/>
          <w:szCs w:val="24"/>
        </w:rPr>
        <w:t xml:space="preserve">. </w:t>
      </w:r>
    </w:p>
    <w:p w14:paraId="4E7890CC" w14:textId="190D05C0" w:rsidR="00832454" w:rsidRPr="000E2FA9" w:rsidRDefault="00832454" w:rsidP="00DC54F7">
      <w:pPr>
        <w:spacing w:after="0" w:line="240" w:lineRule="auto"/>
        <w:jc w:val="both"/>
        <w:rPr>
          <w:rFonts w:ascii="Arial" w:hAnsi="Arial" w:cs="Arial"/>
          <w:sz w:val="24"/>
          <w:szCs w:val="24"/>
        </w:rPr>
      </w:pPr>
      <w:r w:rsidRPr="000E2FA9">
        <w:rPr>
          <w:rFonts w:ascii="Arial" w:hAnsi="Arial" w:cs="Arial"/>
          <w:sz w:val="24"/>
          <w:szCs w:val="24"/>
        </w:rPr>
        <w:t xml:space="preserve">Salts Healthcare Ltd </w:t>
      </w:r>
      <w:r w:rsidR="005F3EE7" w:rsidRPr="000E2FA9">
        <w:rPr>
          <w:rFonts w:ascii="Arial" w:hAnsi="Arial" w:cs="Arial"/>
          <w:sz w:val="24"/>
          <w:szCs w:val="24"/>
        </w:rPr>
        <w:t>–</w:t>
      </w:r>
      <w:r w:rsidRPr="000E2FA9">
        <w:rPr>
          <w:rFonts w:ascii="Arial" w:hAnsi="Arial" w:cs="Arial"/>
          <w:sz w:val="24"/>
          <w:szCs w:val="24"/>
        </w:rPr>
        <w:t xml:space="preserve"> </w:t>
      </w:r>
      <w:r w:rsidR="005F3EE7" w:rsidRPr="000E2FA9">
        <w:rPr>
          <w:rFonts w:ascii="Arial" w:hAnsi="Arial" w:cs="Arial"/>
          <w:sz w:val="24"/>
          <w:szCs w:val="24"/>
        </w:rPr>
        <w:t>3 Hickman Road, Penarth. CF64 2AJ</w:t>
      </w:r>
      <w:r w:rsidR="00500189" w:rsidRPr="000E2FA9">
        <w:rPr>
          <w:rFonts w:ascii="Arial" w:hAnsi="Arial" w:cs="Arial"/>
          <w:sz w:val="24"/>
          <w:szCs w:val="24"/>
        </w:rPr>
        <w:t xml:space="preserve">. </w:t>
      </w:r>
    </w:p>
    <w:p w14:paraId="220E3862" w14:textId="7331AA96" w:rsidR="00C143AE" w:rsidRPr="000E2FA9" w:rsidRDefault="00FE77A1" w:rsidP="00DC54F7">
      <w:pPr>
        <w:pStyle w:val="ListParagraph"/>
        <w:numPr>
          <w:ilvl w:val="0"/>
          <w:numId w:val="25"/>
        </w:numPr>
        <w:spacing w:after="0" w:line="240" w:lineRule="auto"/>
        <w:jc w:val="both"/>
        <w:rPr>
          <w:rFonts w:ascii="Arial" w:hAnsi="Arial" w:cs="Arial"/>
          <w:sz w:val="24"/>
          <w:szCs w:val="24"/>
        </w:rPr>
      </w:pPr>
      <w:r w:rsidRPr="000E2FA9">
        <w:rPr>
          <w:rFonts w:ascii="Helvetica" w:hAnsi="Helvetica" w:cs="Helvetica"/>
          <w:sz w:val="24"/>
          <w:szCs w:val="24"/>
          <w:shd w:val="clear" w:color="auto" w:fill="FFFFFF"/>
        </w:rPr>
        <w:t xml:space="preserve">Opening times: </w:t>
      </w:r>
      <w:r w:rsidR="00500189" w:rsidRPr="000E2FA9">
        <w:rPr>
          <w:rFonts w:ascii="Helvetica" w:hAnsi="Helvetica" w:cs="Helvetica"/>
          <w:sz w:val="24"/>
          <w:szCs w:val="24"/>
          <w:shd w:val="clear" w:color="auto" w:fill="FFFFFF"/>
        </w:rPr>
        <w:t>9</w:t>
      </w:r>
      <w:r w:rsidR="006820C1" w:rsidRPr="000E2FA9">
        <w:rPr>
          <w:rFonts w:ascii="Helvetica" w:hAnsi="Helvetica" w:cs="Helvetica"/>
          <w:sz w:val="24"/>
          <w:szCs w:val="24"/>
          <w:shd w:val="clear" w:color="auto" w:fill="FFFFFF"/>
        </w:rPr>
        <w:t xml:space="preserve">.00am to </w:t>
      </w:r>
      <w:r w:rsidR="00500189" w:rsidRPr="000E2FA9">
        <w:rPr>
          <w:rFonts w:ascii="Helvetica" w:hAnsi="Helvetica" w:cs="Helvetica"/>
          <w:sz w:val="24"/>
          <w:szCs w:val="24"/>
          <w:shd w:val="clear" w:color="auto" w:fill="FFFFFF"/>
        </w:rPr>
        <w:t>5</w:t>
      </w:r>
      <w:r w:rsidR="00507C58" w:rsidRPr="000E2FA9">
        <w:rPr>
          <w:rFonts w:ascii="Helvetica" w:hAnsi="Helvetica" w:cs="Helvetica"/>
          <w:sz w:val="24"/>
          <w:szCs w:val="24"/>
          <w:shd w:val="clear" w:color="auto" w:fill="FFFFFF"/>
        </w:rPr>
        <w:t>.00pm</w:t>
      </w:r>
      <w:r w:rsidR="00500189" w:rsidRPr="000E2FA9">
        <w:rPr>
          <w:rFonts w:ascii="Helvetica" w:hAnsi="Helvetica" w:cs="Helvetica"/>
          <w:sz w:val="24"/>
          <w:szCs w:val="24"/>
          <w:shd w:val="clear" w:color="auto" w:fill="FFFFFF"/>
        </w:rPr>
        <w:t xml:space="preserve"> M</w:t>
      </w:r>
      <w:r w:rsidRPr="000E2FA9">
        <w:rPr>
          <w:rFonts w:ascii="Helvetica" w:hAnsi="Helvetica" w:cs="Helvetica"/>
          <w:sz w:val="24"/>
          <w:szCs w:val="24"/>
          <w:shd w:val="clear" w:color="auto" w:fill="FFFFFF"/>
        </w:rPr>
        <w:t>onday to Saturday</w:t>
      </w:r>
    </w:p>
    <w:p w14:paraId="0AFD87A2" w14:textId="466D30C5" w:rsidR="00C143AE" w:rsidRPr="000E2FA9" w:rsidRDefault="00C143AE" w:rsidP="00DC54F7">
      <w:pPr>
        <w:spacing w:after="0" w:line="240" w:lineRule="auto"/>
        <w:jc w:val="both"/>
        <w:textAlignment w:val="baseline"/>
        <w:rPr>
          <w:rFonts w:ascii="Arial" w:eastAsia="Times New Roman" w:hAnsi="Arial" w:cs="Arial"/>
          <w:sz w:val="24"/>
          <w:szCs w:val="24"/>
          <w:lang w:eastAsia="en-GB"/>
        </w:rPr>
      </w:pPr>
      <w:r w:rsidRPr="000E2FA9">
        <w:rPr>
          <w:rFonts w:ascii="Arial" w:eastAsia="Times New Roman" w:hAnsi="Arial" w:cs="Arial"/>
          <w:sz w:val="24"/>
          <w:szCs w:val="24"/>
          <w:bdr w:val="none" w:sz="0" w:space="0" w:color="auto" w:frame="1"/>
          <w:lang w:eastAsia="en-GB"/>
        </w:rPr>
        <w:t xml:space="preserve">Great Bear </w:t>
      </w:r>
      <w:r w:rsidR="009F1E17" w:rsidRPr="000E2FA9">
        <w:rPr>
          <w:rFonts w:ascii="Arial" w:eastAsia="Times New Roman" w:hAnsi="Arial" w:cs="Arial"/>
          <w:sz w:val="24"/>
          <w:szCs w:val="24"/>
          <w:bdr w:val="none" w:sz="0" w:space="0" w:color="auto" w:frame="1"/>
          <w:lang w:eastAsia="en-GB"/>
        </w:rPr>
        <w:t xml:space="preserve">Healthcare - </w:t>
      </w:r>
      <w:r w:rsidRPr="000E2FA9">
        <w:rPr>
          <w:rFonts w:ascii="Arial" w:eastAsia="Times New Roman" w:hAnsi="Arial" w:cs="Arial"/>
          <w:sz w:val="24"/>
          <w:szCs w:val="24"/>
          <w:lang w:eastAsia="en-GB"/>
        </w:rPr>
        <w:t>1 Lambourne Crescent</w:t>
      </w:r>
      <w:r w:rsidR="009F1E17" w:rsidRPr="000E2FA9">
        <w:rPr>
          <w:rFonts w:ascii="Arial" w:eastAsia="Times New Roman" w:hAnsi="Arial" w:cs="Arial"/>
          <w:sz w:val="24"/>
          <w:szCs w:val="24"/>
          <w:lang w:eastAsia="en-GB"/>
        </w:rPr>
        <w:t xml:space="preserve">, </w:t>
      </w:r>
      <w:r w:rsidRPr="000E2FA9">
        <w:rPr>
          <w:rFonts w:ascii="Arial" w:eastAsia="Times New Roman" w:hAnsi="Arial" w:cs="Arial"/>
          <w:sz w:val="24"/>
          <w:szCs w:val="24"/>
          <w:lang w:eastAsia="en-GB"/>
        </w:rPr>
        <w:t>Cardiff Business Park</w:t>
      </w:r>
      <w:r w:rsidR="009F1E17" w:rsidRPr="000E2FA9">
        <w:rPr>
          <w:rFonts w:ascii="Arial" w:eastAsia="Times New Roman" w:hAnsi="Arial" w:cs="Arial"/>
          <w:sz w:val="24"/>
          <w:szCs w:val="24"/>
          <w:lang w:eastAsia="en-GB"/>
        </w:rPr>
        <w:t xml:space="preserve">, </w:t>
      </w:r>
      <w:r w:rsidRPr="000E2FA9">
        <w:rPr>
          <w:rFonts w:ascii="Arial" w:eastAsia="Times New Roman" w:hAnsi="Arial" w:cs="Arial"/>
          <w:sz w:val="24"/>
          <w:szCs w:val="24"/>
          <w:lang w:eastAsia="en-GB"/>
        </w:rPr>
        <w:t>Cardiff, CF14 5GF</w:t>
      </w:r>
    </w:p>
    <w:p w14:paraId="65F4C6A3" w14:textId="638ABEA2" w:rsidR="00F0261C" w:rsidRPr="000E2FA9" w:rsidRDefault="00F0261C" w:rsidP="00DC54F7">
      <w:pPr>
        <w:pStyle w:val="ListParagraph"/>
        <w:numPr>
          <w:ilvl w:val="0"/>
          <w:numId w:val="25"/>
        </w:numPr>
        <w:spacing w:after="0" w:line="240" w:lineRule="auto"/>
        <w:jc w:val="both"/>
        <w:textAlignment w:val="baseline"/>
        <w:rPr>
          <w:rFonts w:ascii="Arial" w:eastAsia="Times New Roman" w:hAnsi="Arial" w:cs="Arial"/>
          <w:sz w:val="24"/>
          <w:szCs w:val="24"/>
          <w:lang w:eastAsia="en-GB"/>
        </w:rPr>
      </w:pPr>
      <w:r w:rsidRPr="000E2FA9">
        <w:rPr>
          <w:rFonts w:ascii="Arial" w:hAnsi="Arial" w:cs="Arial"/>
          <w:color w:val="222222"/>
          <w:sz w:val="24"/>
          <w:szCs w:val="24"/>
        </w:rPr>
        <w:t>Opening times: 8.30am</w:t>
      </w:r>
      <w:r w:rsidR="00507C58" w:rsidRPr="000E2FA9">
        <w:rPr>
          <w:rFonts w:ascii="Arial" w:hAnsi="Arial" w:cs="Arial"/>
          <w:color w:val="222222"/>
          <w:sz w:val="24"/>
          <w:szCs w:val="24"/>
        </w:rPr>
        <w:t xml:space="preserve"> to </w:t>
      </w:r>
      <w:r w:rsidRPr="000E2FA9">
        <w:rPr>
          <w:rFonts w:ascii="Arial" w:hAnsi="Arial" w:cs="Arial"/>
          <w:color w:val="222222"/>
          <w:sz w:val="24"/>
          <w:szCs w:val="24"/>
        </w:rPr>
        <w:t>5</w:t>
      </w:r>
      <w:r w:rsidR="00507C58" w:rsidRPr="000E2FA9">
        <w:rPr>
          <w:rFonts w:ascii="Arial" w:hAnsi="Arial" w:cs="Arial"/>
          <w:color w:val="222222"/>
          <w:sz w:val="24"/>
          <w:szCs w:val="24"/>
        </w:rPr>
        <w:t>.00</w:t>
      </w:r>
      <w:r w:rsidRPr="000E2FA9">
        <w:rPr>
          <w:rFonts w:ascii="Arial" w:hAnsi="Arial" w:cs="Arial"/>
          <w:color w:val="222222"/>
          <w:sz w:val="24"/>
          <w:szCs w:val="24"/>
        </w:rPr>
        <w:t>pm</w:t>
      </w:r>
      <w:r w:rsidR="00C36F36" w:rsidRPr="000E2FA9">
        <w:rPr>
          <w:rFonts w:ascii="Arial" w:hAnsi="Arial" w:cs="Arial"/>
          <w:color w:val="222222"/>
          <w:sz w:val="24"/>
          <w:szCs w:val="24"/>
        </w:rPr>
        <w:t xml:space="preserve"> Monday to Friday</w:t>
      </w:r>
    </w:p>
    <w:p w14:paraId="7661141A" w14:textId="2E818B8F" w:rsidR="00B8574F" w:rsidRPr="000E2FA9" w:rsidRDefault="00D415DD" w:rsidP="00DC54F7">
      <w:pPr>
        <w:spacing w:after="0" w:line="240" w:lineRule="auto"/>
        <w:jc w:val="both"/>
        <w:rPr>
          <w:rFonts w:ascii="Arial" w:hAnsi="Arial" w:cs="Arial"/>
          <w:sz w:val="24"/>
          <w:szCs w:val="24"/>
        </w:rPr>
      </w:pPr>
      <w:r w:rsidRPr="000E2FA9">
        <w:rPr>
          <w:rFonts w:ascii="Arial" w:hAnsi="Arial" w:cs="Arial"/>
          <w:sz w:val="24"/>
          <w:szCs w:val="24"/>
        </w:rPr>
        <w:t>Fittleworth Medical L</w:t>
      </w:r>
      <w:r w:rsidR="00176EF3" w:rsidRPr="000E2FA9">
        <w:rPr>
          <w:rFonts w:ascii="Arial" w:hAnsi="Arial" w:cs="Arial"/>
          <w:sz w:val="24"/>
          <w:szCs w:val="24"/>
        </w:rPr>
        <w:t>td</w:t>
      </w:r>
      <w:r w:rsidR="00B8574F" w:rsidRPr="000E2FA9">
        <w:rPr>
          <w:rFonts w:ascii="Arial" w:hAnsi="Arial" w:cs="Arial"/>
          <w:sz w:val="24"/>
          <w:szCs w:val="24"/>
        </w:rPr>
        <w:t xml:space="preserve"> – 9-11 Castle Street, Cardiff, CF10 1BS</w:t>
      </w:r>
    </w:p>
    <w:p w14:paraId="5733B0F3" w14:textId="77777777" w:rsidR="00C36F36" w:rsidRPr="000E2FA9" w:rsidRDefault="00FE77A1" w:rsidP="00DC54F7">
      <w:pPr>
        <w:pStyle w:val="ListParagraph"/>
        <w:numPr>
          <w:ilvl w:val="0"/>
          <w:numId w:val="25"/>
        </w:numPr>
        <w:spacing w:after="0" w:line="240" w:lineRule="auto"/>
        <w:jc w:val="both"/>
        <w:rPr>
          <w:rFonts w:ascii="Arial" w:hAnsi="Arial" w:cs="Arial"/>
          <w:sz w:val="24"/>
          <w:szCs w:val="24"/>
        </w:rPr>
      </w:pPr>
      <w:r w:rsidRPr="000E2FA9">
        <w:rPr>
          <w:rFonts w:ascii="Arial" w:hAnsi="Arial" w:cs="Arial"/>
          <w:sz w:val="24"/>
          <w:szCs w:val="24"/>
        </w:rPr>
        <w:t xml:space="preserve">Opening times: </w:t>
      </w:r>
      <w:r w:rsidR="00B8574F" w:rsidRPr="000E2FA9">
        <w:rPr>
          <w:rFonts w:ascii="Arial" w:hAnsi="Arial" w:cs="Arial"/>
          <w:sz w:val="24"/>
          <w:szCs w:val="24"/>
        </w:rPr>
        <w:t>O</w:t>
      </w:r>
      <w:r w:rsidR="00A05F36" w:rsidRPr="000E2FA9">
        <w:rPr>
          <w:rFonts w:ascii="Arial" w:hAnsi="Arial" w:cs="Arial"/>
          <w:sz w:val="24"/>
          <w:szCs w:val="24"/>
        </w:rPr>
        <w:t>pen 6 days a week (Except Bank Holidays)</w:t>
      </w:r>
      <w:r w:rsidRPr="000E2FA9">
        <w:rPr>
          <w:rFonts w:ascii="Arial" w:hAnsi="Arial" w:cs="Arial"/>
          <w:sz w:val="24"/>
          <w:szCs w:val="24"/>
        </w:rPr>
        <w:t xml:space="preserve">. </w:t>
      </w:r>
    </w:p>
    <w:p w14:paraId="716FECFB" w14:textId="33A32368" w:rsidR="00A05F36" w:rsidRPr="000E2FA9" w:rsidRDefault="00A05F36" w:rsidP="00DC54F7">
      <w:pPr>
        <w:pStyle w:val="ListParagraph"/>
        <w:numPr>
          <w:ilvl w:val="0"/>
          <w:numId w:val="25"/>
        </w:numPr>
        <w:spacing w:after="0" w:line="240" w:lineRule="auto"/>
        <w:jc w:val="both"/>
        <w:rPr>
          <w:rFonts w:ascii="Arial" w:hAnsi="Arial" w:cs="Arial"/>
          <w:sz w:val="24"/>
          <w:szCs w:val="24"/>
        </w:rPr>
      </w:pPr>
      <w:r w:rsidRPr="000E2FA9">
        <w:rPr>
          <w:rFonts w:ascii="Arial" w:hAnsi="Arial" w:cs="Arial"/>
          <w:sz w:val="24"/>
          <w:szCs w:val="24"/>
        </w:rPr>
        <w:t>Monday</w:t>
      </w:r>
      <w:r w:rsidR="00176EF3" w:rsidRPr="000E2FA9">
        <w:rPr>
          <w:rFonts w:ascii="Arial" w:hAnsi="Arial" w:cs="Arial"/>
          <w:sz w:val="24"/>
          <w:szCs w:val="24"/>
        </w:rPr>
        <w:t xml:space="preserve"> to </w:t>
      </w:r>
      <w:r w:rsidRPr="000E2FA9">
        <w:rPr>
          <w:rFonts w:ascii="Arial" w:hAnsi="Arial" w:cs="Arial"/>
          <w:sz w:val="24"/>
          <w:szCs w:val="24"/>
        </w:rPr>
        <w:t>Friday 8</w:t>
      </w:r>
      <w:r w:rsidR="00176EF3" w:rsidRPr="000E2FA9">
        <w:rPr>
          <w:rFonts w:ascii="Arial" w:hAnsi="Arial" w:cs="Arial"/>
          <w:sz w:val="24"/>
          <w:szCs w:val="24"/>
        </w:rPr>
        <w:t>.00</w:t>
      </w:r>
      <w:r w:rsidRPr="000E2FA9">
        <w:rPr>
          <w:rFonts w:ascii="Arial" w:hAnsi="Arial" w:cs="Arial"/>
          <w:sz w:val="24"/>
          <w:szCs w:val="24"/>
        </w:rPr>
        <w:t>am</w:t>
      </w:r>
      <w:r w:rsidR="00176EF3" w:rsidRPr="000E2FA9">
        <w:rPr>
          <w:rFonts w:ascii="Arial" w:hAnsi="Arial" w:cs="Arial"/>
          <w:sz w:val="24"/>
          <w:szCs w:val="24"/>
        </w:rPr>
        <w:t xml:space="preserve"> to </w:t>
      </w:r>
      <w:r w:rsidRPr="000E2FA9">
        <w:rPr>
          <w:rFonts w:ascii="Arial" w:hAnsi="Arial" w:cs="Arial"/>
          <w:sz w:val="24"/>
          <w:szCs w:val="24"/>
        </w:rPr>
        <w:t>8</w:t>
      </w:r>
      <w:r w:rsidR="00176EF3" w:rsidRPr="000E2FA9">
        <w:rPr>
          <w:rFonts w:ascii="Arial" w:hAnsi="Arial" w:cs="Arial"/>
          <w:sz w:val="24"/>
          <w:szCs w:val="24"/>
        </w:rPr>
        <w:t>.00</w:t>
      </w:r>
      <w:r w:rsidRPr="000E2FA9">
        <w:rPr>
          <w:rFonts w:ascii="Arial" w:hAnsi="Arial" w:cs="Arial"/>
          <w:sz w:val="24"/>
          <w:szCs w:val="24"/>
        </w:rPr>
        <w:t>pm</w:t>
      </w:r>
      <w:r w:rsidR="00FE77A1" w:rsidRPr="000E2FA9">
        <w:rPr>
          <w:rFonts w:ascii="Arial" w:hAnsi="Arial" w:cs="Arial"/>
          <w:sz w:val="24"/>
          <w:szCs w:val="24"/>
        </w:rPr>
        <w:t xml:space="preserve">. </w:t>
      </w:r>
      <w:r w:rsidRPr="000E2FA9">
        <w:rPr>
          <w:rFonts w:ascii="Arial" w:hAnsi="Arial" w:cs="Arial"/>
          <w:sz w:val="24"/>
          <w:szCs w:val="24"/>
        </w:rPr>
        <w:t>Saturday 9</w:t>
      </w:r>
      <w:r w:rsidR="00176EF3" w:rsidRPr="000E2FA9">
        <w:rPr>
          <w:rFonts w:ascii="Arial" w:hAnsi="Arial" w:cs="Arial"/>
          <w:sz w:val="24"/>
          <w:szCs w:val="24"/>
        </w:rPr>
        <w:t>.00</w:t>
      </w:r>
      <w:r w:rsidRPr="000E2FA9">
        <w:rPr>
          <w:rFonts w:ascii="Arial" w:hAnsi="Arial" w:cs="Arial"/>
          <w:sz w:val="24"/>
          <w:szCs w:val="24"/>
        </w:rPr>
        <w:t>am</w:t>
      </w:r>
      <w:r w:rsidR="00176EF3" w:rsidRPr="000E2FA9">
        <w:rPr>
          <w:rFonts w:ascii="Arial" w:hAnsi="Arial" w:cs="Arial"/>
          <w:sz w:val="24"/>
          <w:szCs w:val="24"/>
        </w:rPr>
        <w:t xml:space="preserve"> to </w:t>
      </w:r>
      <w:r w:rsidRPr="000E2FA9">
        <w:rPr>
          <w:rFonts w:ascii="Arial" w:hAnsi="Arial" w:cs="Arial"/>
          <w:sz w:val="24"/>
          <w:szCs w:val="24"/>
        </w:rPr>
        <w:t>1</w:t>
      </w:r>
      <w:r w:rsidR="00176EF3" w:rsidRPr="000E2FA9">
        <w:rPr>
          <w:rFonts w:ascii="Arial" w:hAnsi="Arial" w:cs="Arial"/>
          <w:sz w:val="24"/>
          <w:szCs w:val="24"/>
        </w:rPr>
        <w:t>.00</w:t>
      </w:r>
      <w:r w:rsidRPr="000E2FA9">
        <w:rPr>
          <w:rFonts w:ascii="Arial" w:hAnsi="Arial" w:cs="Arial"/>
          <w:sz w:val="24"/>
          <w:szCs w:val="24"/>
        </w:rPr>
        <w:t>pm</w:t>
      </w:r>
    </w:p>
    <w:p w14:paraId="14922D84" w14:textId="6D8A0BFB" w:rsidR="00A77235" w:rsidRPr="000E2FA9" w:rsidRDefault="00A77235" w:rsidP="00DC54F7">
      <w:pPr>
        <w:spacing w:after="0" w:line="240" w:lineRule="auto"/>
        <w:jc w:val="both"/>
        <w:rPr>
          <w:rFonts w:ascii="Arial" w:hAnsi="Arial" w:cs="Arial"/>
          <w:sz w:val="24"/>
          <w:szCs w:val="24"/>
        </w:rPr>
      </w:pPr>
    </w:p>
    <w:p w14:paraId="1E34CBD3" w14:textId="7A1CCC9D" w:rsidR="00A77235" w:rsidRPr="000E2FA9" w:rsidRDefault="00A77235" w:rsidP="00DC54F7">
      <w:pPr>
        <w:spacing w:after="0" w:line="240" w:lineRule="auto"/>
        <w:jc w:val="both"/>
        <w:rPr>
          <w:rFonts w:ascii="Arial" w:hAnsi="Arial" w:cs="Arial"/>
          <w:sz w:val="24"/>
          <w:szCs w:val="24"/>
          <w:lang w:val="en"/>
        </w:rPr>
      </w:pPr>
      <w:r w:rsidRPr="000E2FA9">
        <w:rPr>
          <w:rFonts w:ascii="Arial" w:hAnsi="Arial" w:cs="Arial"/>
          <w:sz w:val="24"/>
          <w:szCs w:val="24"/>
        </w:rPr>
        <w:lastRenderedPageBreak/>
        <w:t>GP practices provide primary medical services during core hours, which are between 8.00am and 6.30pm, Monday to Friday, excluding bank and public holidays</w:t>
      </w:r>
      <w:r w:rsidR="00BD10DF" w:rsidRPr="000E2FA9">
        <w:rPr>
          <w:rFonts w:ascii="Arial" w:hAnsi="Arial" w:cs="Arial"/>
          <w:sz w:val="24"/>
          <w:szCs w:val="24"/>
        </w:rPr>
        <w:t>.</w:t>
      </w:r>
      <w:r w:rsidRPr="000E2FA9">
        <w:rPr>
          <w:rFonts w:ascii="Arial" w:hAnsi="Arial" w:cs="Arial"/>
          <w:sz w:val="24"/>
          <w:szCs w:val="24"/>
        </w:rPr>
        <w:t xml:space="preserve"> </w:t>
      </w:r>
    </w:p>
    <w:p w14:paraId="25433CED" w14:textId="77777777" w:rsidR="00E44B0B" w:rsidRPr="000E2FA9" w:rsidRDefault="00E44B0B" w:rsidP="00DC54F7">
      <w:pPr>
        <w:spacing w:after="0" w:line="240" w:lineRule="auto"/>
        <w:jc w:val="both"/>
        <w:rPr>
          <w:rFonts w:ascii="Arial" w:hAnsi="Arial" w:cs="Arial"/>
          <w:sz w:val="24"/>
          <w:szCs w:val="24"/>
          <w:lang w:val="en"/>
        </w:rPr>
      </w:pPr>
    </w:p>
    <w:p w14:paraId="1C70CC46" w14:textId="61416076" w:rsidR="00CA27CA" w:rsidRPr="002A3EA9" w:rsidRDefault="0027635C" w:rsidP="00DC54F7">
      <w:pPr>
        <w:shd w:val="clear" w:color="auto" w:fill="FFFFFF"/>
        <w:spacing w:after="0" w:line="240" w:lineRule="auto"/>
        <w:jc w:val="both"/>
        <w:rPr>
          <w:rFonts w:ascii="Arial" w:eastAsia="Times New Roman" w:hAnsi="Arial" w:cs="Arial"/>
          <w:sz w:val="24"/>
          <w:szCs w:val="24"/>
          <w:lang w:eastAsia="en-GB"/>
        </w:rPr>
      </w:pPr>
      <w:r w:rsidRPr="002A3EA9">
        <w:rPr>
          <w:rFonts w:ascii="Arial" w:hAnsi="Arial" w:cs="Arial"/>
          <w:bCs/>
          <w:sz w:val="24"/>
          <w:szCs w:val="24"/>
        </w:rPr>
        <w:t>In addition, t</w:t>
      </w:r>
      <w:r w:rsidR="00CA27CA" w:rsidRPr="002A3EA9">
        <w:rPr>
          <w:rFonts w:ascii="Arial" w:hAnsi="Arial" w:cs="Arial"/>
          <w:bCs/>
          <w:sz w:val="24"/>
          <w:szCs w:val="24"/>
        </w:rPr>
        <w:t xml:space="preserve">he </w:t>
      </w:r>
      <w:r w:rsidR="00CA27CA" w:rsidRPr="002A3EA9">
        <w:rPr>
          <w:rFonts w:ascii="Arial" w:eastAsia="Times New Roman" w:hAnsi="Arial" w:cs="Arial"/>
          <w:bCs/>
          <w:sz w:val="24"/>
          <w:szCs w:val="24"/>
          <w:shd w:val="clear" w:color="auto" w:fill="FFFFFF"/>
          <w:lang w:eastAsia="en-GB"/>
        </w:rPr>
        <w:t xml:space="preserve">Minor Injuries Unit (MIU) based at Barry Hospital, </w:t>
      </w:r>
      <w:r w:rsidR="00CA27CA" w:rsidRPr="002A3EA9">
        <w:rPr>
          <w:rFonts w:ascii="Arial" w:eastAsia="Times New Roman" w:hAnsi="Arial" w:cs="Arial"/>
          <w:bCs/>
          <w:sz w:val="24"/>
          <w:szCs w:val="24"/>
          <w:lang w:eastAsia="en-GB"/>
        </w:rPr>
        <w:t>Colcot Road, Barry, South Glamorgan, CF62 8YH,</w:t>
      </w:r>
      <w:r w:rsidR="00250B2F" w:rsidRPr="002A3EA9">
        <w:rPr>
          <w:rFonts w:ascii="Arial" w:eastAsia="Times New Roman" w:hAnsi="Arial" w:cs="Arial"/>
          <w:bCs/>
          <w:sz w:val="24"/>
          <w:szCs w:val="24"/>
          <w:lang w:eastAsia="en-GB"/>
        </w:rPr>
        <w:t xml:space="preserve"> </w:t>
      </w:r>
      <w:r w:rsidR="00F85442" w:rsidRPr="002A3EA9">
        <w:rPr>
          <w:rFonts w:ascii="Arial" w:eastAsia="Times New Roman" w:hAnsi="Arial" w:cs="Arial"/>
          <w:bCs/>
          <w:sz w:val="24"/>
          <w:szCs w:val="24"/>
          <w:lang w:eastAsia="en-GB"/>
        </w:rPr>
        <w:t xml:space="preserve">is open </w:t>
      </w:r>
      <w:r w:rsidR="00CA27CA" w:rsidRPr="002A3EA9">
        <w:rPr>
          <w:rFonts w:ascii="Arial" w:eastAsia="Times New Roman" w:hAnsi="Arial" w:cs="Arial"/>
          <w:sz w:val="24"/>
          <w:szCs w:val="24"/>
          <w:lang w:eastAsia="en-GB"/>
        </w:rPr>
        <w:t>8.30am</w:t>
      </w:r>
      <w:r w:rsidR="00BC172F" w:rsidRPr="002A3EA9">
        <w:rPr>
          <w:rFonts w:ascii="Arial" w:eastAsia="Times New Roman" w:hAnsi="Arial" w:cs="Arial"/>
          <w:sz w:val="24"/>
          <w:szCs w:val="24"/>
          <w:lang w:eastAsia="en-GB"/>
        </w:rPr>
        <w:t xml:space="preserve"> to </w:t>
      </w:r>
      <w:r w:rsidR="00CA27CA" w:rsidRPr="002A3EA9">
        <w:rPr>
          <w:rFonts w:ascii="Arial" w:eastAsia="Times New Roman" w:hAnsi="Arial" w:cs="Arial"/>
          <w:sz w:val="24"/>
          <w:szCs w:val="24"/>
          <w:lang w:eastAsia="en-GB"/>
        </w:rPr>
        <w:t>3.30pm</w:t>
      </w:r>
      <w:r w:rsidR="00F85442" w:rsidRPr="002A3EA9">
        <w:rPr>
          <w:rFonts w:ascii="Arial" w:eastAsia="Times New Roman" w:hAnsi="Arial" w:cs="Arial"/>
          <w:sz w:val="24"/>
          <w:szCs w:val="24"/>
          <w:lang w:eastAsia="en-GB"/>
        </w:rPr>
        <w:t xml:space="preserve"> Monday to Friday. </w:t>
      </w:r>
    </w:p>
    <w:p w14:paraId="241E6C3B" w14:textId="3E2AD359" w:rsidR="00954CB3" w:rsidRPr="000E2FA9" w:rsidRDefault="00954CB3" w:rsidP="00DC54F7">
      <w:pPr>
        <w:shd w:val="clear" w:color="auto" w:fill="FFFFFF"/>
        <w:spacing w:after="0" w:line="240" w:lineRule="auto"/>
        <w:jc w:val="both"/>
        <w:rPr>
          <w:rFonts w:ascii="Arial" w:eastAsia="Times New Roman" w:hAnsi="Arial" w:cs="Arial"/>
          <w:color w:val="212529"/>
          <w:sz w:val="24"/>
          <w:szCs w:val="24"/>
          <w:lang w:eastAsia="en-GB"/>
        </w:rPr>
      </w:pPr>
    </w:p>
    <w:p w14:paraId="449722D6" w14:textId="54080554" w:rsidR="00B8738A" w:rsidRPr="000E2FA9" w:rsidRDefault="00B8738A" w:rsidP="00DC54F7">
      <w:pPr>
        <w:shd w:val="clear" w:color="auto" w:fill="FFFFFF"/>
        <w:spacing w:after="0" w:line="240" w:lineRule="auto"/>
        <w:jc w:val="both"/>
        <w:rPr>
          <w:rFonts w:ascii="Arial" w:hAnsi="Arial" w:cs="Arial"/>
          <w:color w:val="000000" w:themeColor="text1"/>
          <w:sz w:val="24"/>
          <w:szCs w:val="24"/>
          <w:shd w:val="clear" w:color="auto" w:fill="FFFFFF"/>
        </w:rPr>
      </w:pPr>
      <w:r w:rsidRPr="000E2FA9">
        <w:rPr>
          <w:rFonts w:ascii="Arial" w:hAnsi="Arial" w:cs="Arial"/>
          <w:color w:val="000000" w:themeColor="text1"/>
          <w:sz w:val="24"/>
          <w:szCs w:val="24"/>
          <w:shd w:val="clear" w:color="auto" w:fill="FFFFFF"/>
        </w:rPr>
        <w:t xml:space="preserve">Cardiff &amp; Vale University Health Board has developed a Strategic Clinical Services Plan setting out the vision for how healthcare services will be provided, including providing more treatment and care in the community in Wellbeing Hubs in each locality within </w:t>
      </w:r>
      <w:r w:rsidR="00813A9B" w:rsidRPr="000E2FA9">
        <w:rPr>
          <w:rFonts w:ascii="Arial" w:hAnsi="Arial" w:cs="Arial"/>
          <w:color w:val="000000" w:themeColor="text1"/>
          <w:sz w:val="24"/>
          <w:szCs w:val="24"/>
          <w:shd w:val="clear" w:color="auto" w:fill="FFFFFF"/>
        </w:rPr>
        <w:t>Cardiff &amp; Vale University Health Board</w:t>
      </w:r>
      <w:r w:rsidRPr="000E2FA9">
        <w:rPr>
          <w:rFonts w:ascii="Arial" w:hAnsi="Arial" w:cs="Arial"/>
          <w:color w:val="000000" w:themeColor="text1"/>
          <w:sz w:val="24"/>
          <w:szCs w:val="24"/>
          <w:shd w:val="clear" w:color="auto" w:fill="FFFFFF"/>
        </w:rPr>
        <w:t>. This may affect need for pharmaceutical services in those areas.</w:t>
      </w:r>
    </w:p>
    <w:p w14:paraId="52C148D9" w14:textId="5C1484CC" w:rsidR="00954CB3" w:rsidRPr="000E2FA9" w:rsidRDefault="00954CB3" w:rsidP="00DC54F7">
      <w:pPr>
        <w:shd w:val="clear" w:color="auto" w:fill="FFFFFF"/>
        <w:spacing w:after="0" w:line="240" w:lineRule="auto"/>
        <w:jc w:val="both"/>
        <w:rPr>
          <w:rFonts w:ascii="Arial" w:hAnsi="Arial" w:cs="Arial"/>
          <w:color w:val="000000" w:themeColor="text1"/>
          <w:sz w:val="24"/>
          <w:szCs w:val="24"/>
          <w:shd w:val="clear" w:color="auto" w:fill="FFFFFF"/>
        </w:rPr>
      </w:pPr>
    </w:p>
    <w:p w14:paraId="5AD2EEA7" w14:textId="77777777" w:rsidR="00954CB3" w:rsidRPr="000E2FA9" w:rsidRDefault="00954CB3" w:rsidP="00DC54F7">
      <w:pPr>
        <w:spacing w:after="0" w:line="240" w:lineRule="auto"/>
        <w:jc w:val="both"/>
        <w:rPr>
          <w:rFonts w:ascii="Arial" w:hAnsi="Arial" w:cs="Arial"/>
          <w:sz w:val="24"/>
          <w:szCs w:val="24"/>
        </w:rPr>
      </w:pPr>
      <w:r w:rsidRPr="000E2FA9">
        <w:rPr>
          <w:rFonts w:ascii="Arial" w:hAnsi="Arial" w:cs="Arial"/>
          <w:sz w:val="24"/>
          <w:szCs w:val="24"/>
        </w:rPr>
        <w:t>The health board has the ability to invite and/or direct existing pharmaceutical contractors to adjust their opening hours to meet any future needs as necessary.</w:t>
      </w:r>
    </w:p>
    <w:p w14:paraId="1A376964" w14:textId="77777777" w:rsidR="00954CB3" w:rsidRPr="000E2FA9" w:rsidRDefault="00954CB3" w:rsidP="00DC54F7">
      <w:pPr>
        <w:shd w:val="clear" w:color="auto" w:fill="FFFFFF"/>
        <w:spacing w:after="0" w:line="240" w:lineRule="auto"/>
        <w:jc w:val="both"/>
        <w:rPr>
          <w:rFonts w:ascii="Arial" w:hAnsi="Arial" w:cs="Arial"/>
          <w:color w:val="000000" w:themeColor="text1"/>
          <w:sz w:val="24"/>
          <w:szCs w:val="24"/>
          <w:shd w:val="clear" w:color="auto" w:fill="FFFFFF"/>
        </w:rPr>
      </w:pPr>
    </w:p>
    <w:p w14:paraId="02DEDE7A" w14:textId="3AC69252" w:rsidR="00893C83" w:rsidRPr="000E2FA9" w:rsidRDefault="00F7613E" w:rsidP="00DC54F7">
      <w:pPr>
        <w:spacing w:after="0" w:line="240" w:lineRule="auto"/>
        <w:jc w:val="both"/>
        <w:rPr>
          <w:rFonts w:ascii="Arial" w:hAnsi="Arial" w:cs="Arial"/>
          <w:sz w:val="24"/>
          <w:szCs w:val="24"/>
        </w:rPr>
      </w:pPr>
      <w:r w:rsidRPr="00B77D6F">
        <w:rPr>
          <w:rFonts w:ascii="Arial" w:hAnsi="Arial" w:cs="Arial"/>
          <w:sz w:val="24"/>
          <w:szCs w:val="24"/>
        </w:rPr>
        <w:t xml:space="preserve">At the </w:t>
      </w:r>
      <w:r w:rsidR="009F1377" w:rsidRPr="00B77D6F">
        <w:rPr>
          <w:rFonts w:ascii="Arial" w:hAnsi="Arial" w:cs="Arial"/>
          <w:sz w:val="24"/>
          <w:szCs w:val="24"/>
        </w:rPr>
        <w:t xml:space="preserve">time of writing the </w:t>
      </w:r>
      <w:r w:rsidR="00EC6713" w:rsidRPr="00B77D6F">
        <w:rPr>
          <w:rFonts w:ascii="Arial" w:hAnsi="Arial" w:cs="Arial"/>
          <w:sz w:val="24"/>
          <w:szCs w:val="24"/>
        </w:rPr>
        <w:t xml:space="preserve">following sections </w:t>
      </w:r>
      <w:r w:rsidR="0078331E" w:rsidRPr="00B77D6F">
        <w:rPr>
          <w:rFonts w:ascii="Arial" w:hAnsi="Arial" w:cs="Arial"/>
          <w:sz w:val="24"/>
          <w:szCs w:val="24"/>
        </w:rPr>
        <w:t>5.1.3 to 5.1.</w:t>
      </w:r>
      <w:r w:rsidR="00531439" w:rsidRPr="00B77D6F">
        <w:rPr>
          <w:rFonts w:ascii="Arial" w:hAnsi="Arial" w:cs="Arial"/>
          <w:sz w:val="24"/>
          <w:szCs w:val="24"/>
        </w:rPr>
        <w:t>19</w:t>
      </w:r>
      <w:r w:rsidR="009F1377" w:rsidRPr="00B77D6F">
        <w:rPr>
          <w:rFonts w:ascii="Arial" w:hAnsi="Arial" w:cs="Arial"/>
          <w:sz w:val="24"/>
          <w:szCs w:val="24"/>
        </w:rPr>
        <w:t>, the</w:t>
      </w:r>
      <w:r w:rsidR="00893C83" w:rsidRPr="00B77D6F">
        <w:rPr>
          <w:rFonts w:ascii="Arial" w:hAnsi="Arial" w:cs="Arial"/>
          <w:sz w:val="24"/>
          <w:szCs w:val="24"/>
        </w:rPr>
        <w:t xml:space="preserve"> data available related to </w:t>
      </w:r>
      <w:r w:rsidR="00B0679F" w:rsidRPr="00B77D6F">
        <w:rPr>
          <w:rFonts w:ascii="Arial" w:hAnsi="Arial" w:cs="Arial"/>
          <w:sz w:val="24"/>
          <w:szCs w:val="24"/>
        </w:rPr>
        <w:t xml:space="preserve">107 pharmacies in </w:t>
      </w:r>
      <w:r w:rsidR="008A3007" w:rsidRPr="00B77D6F">
        <w:rPr>
          <w:rFonts w:ascii="Arial" w:hAnsi="Arial" w:cs="Arial"/>
          <w:sz w:val="24"/>
          <w:szCs w:val="24"/>
        </w:rPr>
        <w:t>Cardiff and Vale University Health Board</w:t>
      </w:r>
      <w:r w:rsidR="005F4121" w:rsidRPr="00B77D6F">
        <w:rPr>
          <w:rFonts w:ascii="Arial" w:hAnsi="Arial" w:cs="Arial"/>
          <w:sz w:val="24"/>
          <w:szCs w:val="24"/>
        </w:rPr>
        <w:t xml:space="preserve"> </w:t>
      </w:r>
      <w:r w:rsidR="00893C83" w:rsidRPr="00B77D6F">
        <w:rPr>
          <w:rFonts w:ascii="Arial" w:hAnsi="Arial" w:cs="Arial"/>
          <w:sz w:val="24"/>
          <w:szCs w:val="24"/>
        </w:rPr>
        <w:t xml:space="preserve">instead of 106 (due to closure of a pharmacy in September 2020) </w:t>
      </w:r>
      <w:r w:rsidR="005F4121" w:rsidRPr="00B77D6F">
        <w:rPr>
          <w:rFonts w:ascii="Arial" w:hAnsi="Arial" w:cs="Arial"/>
          <w:sz w:val="24"/>
          <w:szCs w:val="24"/>
        </w:rPr>
        <w:t xml:space="preserve">and the </w:t>
      </w:r>
      <w:r w:rsidR="00B722D5" w:rsidRPr="00B77D6F">
        <w:rPr>
          <w:rFonts w:ascii="Arial" w:hAnsi="Arial" w:cs="Arial"/>
          <w:sz w:val="24"/>
          <w:szCs w:val="24"/>
        </w:rPr>
        <w:t xml:space="preserve">information contained </w:t>
      </w:r>
      <w:r w:rsidR="009D75F7" w:rsidRPr="00B77D6F">
        <w:rPr>
          <w:rFonts w:ascii="Arial" w:hAnsi="Arial" w:cs="Arial"/>
          <w:sz w:val="24"/>
          <w:szCs w:val="24"/>
        </w:rPr>
        <w:t xml:space="preserve">in these </w:t>
      </w:r>
      <w:r w:rsidR="005F4121" w:rsidRPr="00B77D6F">
        <w:rPr>
          <w:rFonts w:ascii="Arial" w:hAnsi="Arial" w:cs="Arial"/>
          <w:sz w:val="24"/>
          <w:szCs w:val="24"/>
        </w:rPr>
        <w:t xml:space="preserve">sections </w:t>
      </w:r>
      <w:r w:rsidR="00C9136D" w:rsidRPr="00B77D6F">
        <w:rPr>
          <w:rFonts w:ascii="Arial" w:hAnsi="Arial" w:cs="Arial"/>
          <w:sz w:val="24"/>
          <w:szCs w:val="24"/>
        </w:rPr>
        <w:t>reflect</w:t>
      </w:r>
      <w:r w:rsidR="00EF3606" w:rsidRPr="00B77D6F">
        <w:rPr>
          <w:rFonts w:ascii="Arial" w:hAnsi="Arial" w:cs="Arial"/>
          <w:sz w:val="24"/>
          <w:szCs w:val="24"/>
        </w:rPr>
        <w:t>s</w:t>
      </w:r>
      <w:r w:rsidR="00C9136D" w:rsidRPr="00B77D6F">
        <w:rPr>
          <w:rFonts w:ascii="Arial" w:hAnsi="Arial" w:cs="Arial"/>
          <w:sz w:val="24"/>
          <w:szCs w:val="24"/>
        </w:rPr>
        <w:t xml:space="preserve"> </w:t>
      </w:r>
      <w:r w:rsidR="009D75F7" w:rsidRPr="00B77D6F">
        <w:rPr>
          <w:rFonts w:ascii="Arial" w:hAnsi="Arial" w:cs="Arial"/>
          <w:sz w:val="24"/>
          <w:szCs w:val="24"/>
        </w:rPr>
        <w:t>this.</w:t>
      </w:r>
      <w:r w:rsidR="009D75F7" w:rsidRPr="000E2FA9">
        <w:rPr>
          <w:rFonts w:ascii="Arial" w:hAnsi="Arial" w:cs="Arial"/>
          <w:sz w:val="24"/>
          <w:szCs w:val="24"/>
        </w:rPr>
        <w:t xml:space="preserve"> </w:t>
      </w:r>
      <w:r w:rsidR="0078331E" w:rsidRPr="000E2FA9">
        <w:rPr>
          <w:rFonts w:ascii="Arial" w:hAnsi="Arial" w:cs="Arial"/>
          <w:sz w:val="24"/>
          <w:szCs w:val="24"/>
        </w:rPr>
        <w:t xml:space="preserve"> </w:t>
      </w:r>
      <w:r w:rsidR="00C06338" w:rsidRPr="000E2FA9">
        <w:rPr>
          <w:rFonts w:ascii="Arial" w:hAnsi="Arial" w:cs="Arial"/>
          <w:sz w:val="24"/>
          <w:szCs w:val="24"/>
        </w:rPr>
        <w:t>The map</w:t>
      </w:r>
      <w:r w:rsidR="00F83343" w:rsidRPr="000E2FA9">
        <w:rPr>
          <w:rFonts w:ascii="Arial" w:hAnsi="Arial" w:cs="Arial"/>
          <w:sz w:val="24"/>
          <w:szCs w:val="24"/>
        </w:rPr>
        <w:t>s</w:t>
      </w:r>
      <w:r w:rsidR="00C06338" w:rsidRPr="000E2FA9">
        <w:rPr>
          <w:rFonts w:ascii="Arial" w:hAnsi="Arial" w:cs="Arial"/>
          <w:sz w:val="24"/>
          <w:szCs w:val="24"/>
        </w:rPr>
        <w:t xml:space="preserve"> </w:t>
      </w:r>
      <w:r w:rsidR="00FA4BB6" w:rsidRPr="000E2FA9">
        <w:rPr>
          <w:rFonts w:ascii="Arial" w:hAnsi="Arial" w:cs="Arial"/>
          <w:sz w:val="24"/>
          <w:szCs w:val="24"/>
        </w:rPr>
        <w:t xml:space="preserve">used throughout these sections </w:t>
      </w:r>
      <w:r w:rsidR="001448A3" w:rsidRPr="000E2FA9">
        <w:rPr>
          <w:rFonts w:ascii="Arial" w:hAnsi="Arial" w:cs="Arial"/>
          <w:sz w:val="24"/>
          <w:szCs w:val="24"/>
        </w:rPr>
        <w:t>provide an indication of the</w:t>
      </w:r>
      <w:r w:rsidR="00C06338" w:rsidRPr="000E2FA9">
        <w:rPr>
          <w:rFonts w:ascii="Arial" w:hAnsi="Arial" w:cs="Arial"/>
          <w:sz w:val="24"/>
          <w:szCs w:val="24"/>
        </w:rPr>
        <w:t xml:space="preserve"> location of </w:t>
      </w:r>
      <w:r w:rsidR="0076415C" w:rsidRPr="000E2FA9">
        <w:rPr>
          <w:rFonts w:ascii="Arial" w:hAnsi="Arial" w:cs="Arial"/>
          <w:sz w:val="24"/>
          <w:szCs w:val="24"/>
        </w:rPr>
        <w:t>relevant pharmaceutical cont</w:t>
      </w:r>
      <w:r w:rsidR="00157BD2" w:rsidRPr="000E2FA9">
        <w:rPr>
          <w:rFonts w:ascii="Arial" w:hAnsi="Arial" w:cs="Arial"/>
          <w:sz w:val="24"/>
          <w:szCs w:val="24"/>
        </w:rPr>
        <w:t xml:space="preserve">ractors </w:t>
      </w:r>
      <w:r w:rsidR="00C06338" w:rsidRPr="000E2FA9">
        <w:rPr>
          <w:rFonts w:ascii="Arial" w:hAnsi="Arial" w:cs="Arial"/>
          <w:sz w:val="24"/>
          <w:szCs w:val="24"/>
        </w:rPr>
        <w:t xml:space="preserve">within the health board’s area </w:t>
      </w:r>
      <w:r w:rsidR="00C165F2" w:rsidRPr="000E2FA9">
        <w:rPr>
          <w:rFonts w:ascii="Arial" w:hAnsi="Arial" w:cs="Arial"/>
          <w:sz w:val="24"/>
          <w:szCs w:val="24"/>
        </w:rPr>
        <w:t>providing advanced and enhanced services</w:t>
      </w:r>
      <w:r w:rsidR="00C06338" w:rsidRPr="000E2FA9">
        <w:rPr>
          <w:rFonts w:ascii="Arial" w:hAnsi="Arial" w:cs="Arial"/>
          <w:sz w:val="24"/>
          <w:szCs w:val="24"/>
        </w:rPr>
        <w:t>. Due to the size of the area covered by the health board many of the premises are not shown individually</w:t>
      </w:r>
      <w:r w:rsidR="00FF1DA9" w:rsidRPr="000E2FA9">
        <w:rPr>
          <w:rFonts w:ascii="Arial" w:hAnsi="Arial" w:cs="Arial"/>
          <w:sz w:val="24"/>
          <w:szCs w:val="24"/>
        </w:rPr>
        <w:t>.</w:t>
      </w:r>
    </w:p>
    <w:p w14:paraId="22FC2716" w14:textId="1B447F78" w:rsidR="00D7343D" w:rsidRDefault="00D7343D" w:rsidP="00DC54F7">
      <w:pPr>
        <w:spacing w:after="0" w:line="240" w:lineRule="auto"/>
        <w:jc w:val="both"/>
        <w:rPr>
          <w:rFonts w:ascii="Arial" w:hAnsi="Arial" w:cs="Arial"/>
        </w:rPr>
      </w:pPr>
    </w:p>
    <w:p w14:paraId="2DDAEA46" w14:textId="77777777" w:rsidR="000E2FA9" w:rsidRPr="00A10850" w:rsidRDefault="000E2FA9" w:rsidP="00DC54F7">
      <w:pPr>
        <w:spacing w:after="0" w:line="240" w:lineRule="auto"/>
        <w:jc w:val="both"/>
        <w:rPr>
          <w:rFonts w:ascii="Arial" w:hAnsi="Arial" w:cs="Arial"/>
        </w:rPr>
      </w:pPr>
    </w:p>
    <w:p w14:paraId="3E742A8B" w14:textId="65258104" w:rsidR="0003404B" w:rsidRDefault="0003404B" w:rsidP="00DC54F7">
      <w:pPr>
        <w:spacing w:after="0" w:line="240" w:lineRule="auto"/>
        <w:jc w:val="both"/>
        <w:rPr>
          <w:rFonts w:ascii="Arial" w:hAnsi="Arial" w:cs="Arial"/>
          <w:b/>
          <w:sz w:val="24"/>
          <w:szCs w:val="24"/>
        </w:rPr>
      </w:pPr>
      <w:r w:rsidRPr="00A10850">
        <w:rPr>
          <w:rFonts w:ascii="Arial" w:hAnsi="Arial" w:cs="Arial"/>
          <w:b/>
          <w:sz w:val="24"/>
          <w:szCs w:val="24"/>
        </w:rPr>
        <w:t xml:space="preserve">5.1.3 </w:t>
      </w:r>
      <w:r w:rsidR="007B5671" w:rsidRPr="00A10850">
        <w:rPr>
          <w:rFonts w:ascii="Arial" w:hAnsi="Arial" w:cs="Arial"/>
          <w:b/>
          <w:sz w:val="24"/>
          <w:szCs w:val="24"/>
        </w:rPr>
        <w:t>Access to</w:t>
      </w:r>
      <w:r w:rsidRPr="00A10850">
        <w:rPr>
          <w:rFonts w:ascii="Arial" w:hAnsi="Arial" w:cs="Arial"/>
          <w:b/>
          <w:sz w:val="24"/>
          <w:szCs w:val="24"/>
        </w:rPr>
        <w:t xml:space="preserve"> </w:t>
      </w:r>
      <w:r w:rsidR="009E53CC" w:rsidRPr="00A10850">
        <w:rPr>
          <w:rFonts w:ascii="Arial" w:hAnsi="Arial" w:cs="Arial"/>
          <w:b/>
          <w:sz w:val="24"/>
          <w:szCs w:val="24"/>
        </w:rPr>
        <w:t xml:space="preserve">Medicines Use </w:t>
      </w:r>
      <w:r w:rsidR="009E53CC" w:rsidRPr="006E2958">
        <w:rPr>
          <w:rFonts w:ascii="Arial" w:hAnsi="Arial" w:cs="Arial"/>
          <w:b/>
          <w:sz w:val="24"/>
          <w:szCs w:val="24"/>
        </w:rPr>
        <w:t>Review</w:t>
      </w:r>
      <w:r w:rsidR="00592DCD" w:rsidRPr="006E2958">
        <w:rPr>
          <w:rFonts w:ascii="Arial" w:hAnsi="Arial" w:cs="Arial"/>
          <w:b/>
          <w:sz w:val="24"/>
          <w:szCs w:val="24"/>
        </w:rPr>
        <w:t xml:space="preserve"> </w:t>
      </w:r>
      <w:r w:rsidR="00783FC5" w:rsidRPr="006E2958">
        <w:rPr>
          <w:rFonts w:ascii="Arial" w:hAnsi="Arial" w:cs="Arial"/>
          <w:b/>
          <w:sz w:val="24"/>
          <w:szCs w:val="24"/>
        </w:rPr>
        <w:t xml:space="preserve">(MUR) </w:t>
      </w:r>
      <w:r w:rsidR="00C95944">
        <w:rPr>
          <w:rFonts w:ascii="Arial" w:hAnsi="Arial" w:cs="Arial"/>
          <w:b/>
          <w:sz w:val="24"/>
          <w:szCs w:val="24"/>
        </w:rPr>
        <w:t>Advanced S</w:t>
      </w:r>
      <w:r w:rsidR="00592DCD" w:rsidRPr="006E2958">
        <w:rPr>
          <w:rFonts w:ascii="Arial" w:hAnsi="Arial" w:cs="Arial"/>
          <w:b/>
          <w:sz w:val="24"/>
          <w:szCs w:val="24"/>
        </w:rPr>
        <w:t>ervice</w:t>
      </w:r>
      <w:r w:rsidR="00783FC5">
        <w:rPr>
          <w:rFonts w:ascii="Arial" w:hAnsi="Arial" w:cs="Arial"/>
          <w:b/>
          <w:sz w:val="24"/>
          <w:szCs w:val="24"/>
        </w:rPr>
        <w:t xml:space="preserve"> </w:t>
      </w:r>
    </w:p>
    <w:p w14:paraId="0152F427" w14:textId="666D1D36" w:rsidR="00433F08" w:rsidRDefault="00433F08" w:rsidP="00DC54F7">
      <w:pPr>
        <w:spacing w:after="0" w:line="240" w:lineRule="auto"/>
        <w:jc w:val="both"/>
        <w:rPr>
          <w:rFonts w:ascii="Arial" w:hAnsi="Arial" w:cs="Arial"/>
          <w:b/>
          <w:sz w:val="24"/>
          <w:szCs w:val="24"/>
        </w:rPr>
      </w:pPr>
    </w:p>
    <w:p w14:paraId="2B2D10C9" w14:textId="48777C38" w:rsidR="00433F08" w:rsidRPr="000E2FA9" w:rsidRDefault="00433F08" w:rsidP="00DC54F7">
      <w:pPr>
        <w:spacing w:after="0" w:line="240" w:lineRule="auto"/>
        <w:jc w:val="both"/>
        <w:rPr>
          <w:rFonts w:ascii="Calibri" w:eastAsia="Times New Roman" w:hAnsi="Calibri" w:cs="Calibri"/>
          <w:color w:val="000000"/>
          <w:sz w:val="24"/>
          <w:szCs w:val="24"/>
          <w:lang w:eastAsia="en-GB"/>
        </w:rPr>
      </w:pPr>
      <w:r w:rsidRPr="000E2FA9">
        <w:rPr>
          <w:rFonts w:ascii="Arial" w:hAnsi="Arial" w:cs="Arial"/>
          <w:sz w:val="24"/>
          <w:szCs w:val="24"/>
        </w:rPr>
        <w:t xml:space="preserve">The underlying purpose of the MUR service is to improve the patient’s knowledge and use of </w:t>
      </w:r>
      <w:r w:rsidR="00F31D5B" w:rsidRPr="000E2FA9">
        <w:rPr>
          <w:rFonts w:ascii="Arial" w:hAnsi="Arial" w:cs="Arial"/>
          <w:sz w:val="24"/>
          <w:szCs w:val="24"/>
        </w:rPr>
        <w:t>medicines</w:t>
      </w:r>
      <w:r w:rsidRPr="000E2FA9">
        <w:rPr>
          <w:rFonts w:ascii="Arial" w:hAnsi="Arial" w:cs="Arial"/>
          <w:sz w:val="24"/>
          <w:szCs w:val="24"/>
        </w:rPr>
        <w:t xml:space="preserve">. </w:t>
      </w:r>
      <w:r w:rsidRPr="000E2FA9">
        <w:rPr>
          <w:rFonts w:ascii="Arial" w:eastAsia="Calibri" w:hAnsi="Arial" w:cs="Arial"/>
          <w:sz w:val="24"/>
          <w:szCs w:val="24"/>
        </w:rPr>
        <w:t xml:space="preserve">In 2018 to 2019, a total of </w:t>
      </w:r>
      <w:r w:rsidR="00726C4E" w:rsidRPr="000E2FA9">
        <w:rPr>
          <w:rFonts w:ascii="Arial" w:eastAsia="Calibri" w:hAnsi="Arial" w:cs="Arial"/>
          <w:sz w:val="24"/>
          <w:szCs w:val="24"/>
        </w:rPr>
        <w:t>30</w:t>
      </w:r>
      <w:r w:rsidRPr="000E2FA9">
        <w:rPr>
          <w:rFonts w:ascii="Arial" w:eastAsia="Calibri" w:hAnsi="Arial" w:cs="Arial"/>
          <w:sz w:val="24"/>
          <w:szCs w:val="24"/>
        </w:rPr>
        <w:t>,0</w:t>
      </w:r>
      <w:r w:rsidR="00196333" w:rsidRPr="000E2FA9">
        <w:rPr>
          <w:rFonts w:ascii="Arial" w:eastAsia="Calibri" w:hAnsi="Arial" w:cs="Arial"/>
          <w:sz w:val="24"/>
          <w:szCs w:val="24"/>
        </w:rPr>
        <w:t>49</w:t>
      </w:r>
      <w:r w:rsidRPr="000E2FA9">
        <w:rPr>
          <w:rFonts w:ascii="Arial" w:eastAsia="Calibri" w:hAnsi="Arial" w:cs="Arial"/>
          <w:sz w:val="24"/>
          <w:szCs w:val="24"/>
        </w:rPr>
        <w:t xml:space="preserve"> MURs were provided by </w:t>
      </w:r>
      <w:r w:rsidR="00196333" w:rsidRPr="000E2FA9">
        <w:rPr>
          <w:rFonts w:ascii="Arial" w:eastAsia="Calibri" w:hAnsi="Arial" w:cs="Arial"/>
          <w:sz w:val="24"/>
          <w:szCs w:val="24"/>
        </w:rPr>
        <w:t>101</w:t>
      </w:r>
      <w:r w:rsidRPr="000E2FA9">
        <w:rPr>
          <w:rFonts w:ascii="Arial" w:eastAsia="Calibri" w:hAnsi="Arial" w:cs="Arial"/>
          <w:sz w:val="24"/>
          <w:szCs w:val="24"/>
        </w:rPr>
        <w:t xml:space="preserve"> of the 1</w:t>
      </w:r>
      <w:r w:rsidR="009F398A" w:rsidRPr="000E2FA9">
        <w:rPr>
          <w:rFonts w:ascii="Arial" w:eastAsia="Calibri" w:hAnsi="Arial" w:cs="Arial"/>
          <w:sz w:val="24"/>
          <w:szCs w:val="24"/>
        </w:rPr>
        <w:t>07</w:t>
      </w:r>
      <w:r w:rsidRPr="000E2FA9">
        <w:rPr>
          <w:rFonts w:ascii="Arial" w:eastAsia="Calibri" w:hAnsi="Arial" w:cs="Arial"/>
          <w:sz w:val="24"/>
          <w:szCs w:val="24"/>
        </w:rPr>
        <w:t xml:space="preserve"> pharmacies.  </w:t>
      </w:r>
      <w:r w:rsidRPr="000E2FA9">
        <w:rPr>
          <w:rFonts w:ascii="Arial" w:hAnsi="Arial" w:cs="Arial"/>
          <w:sz w:val="24"/>
          <w:szCs w:val="24"/>
        </w:rPr>
        <w:t xml:space="preserve">Up to 400 MURs can be provided at each pharmacy per year, giving a potential maximum number of </w:t>
      </w:r>
      <w:r w:rsidR="00AA20B0" w:rsidRPr="000E2FA9">
        <w:rPr>
          <w:rFonts w:ascii="Arial" w:hAnsi="Arial" w:cs="Arial"/>
          <w:sz w:val="24"/>
          <w:szCs w:val="24"/>
        </w:rPr>
        <w:t xml:space="preserve">42,800 </w:t>
      </w:r>
      <w:r w:rsidR="00FC3209" w:rsidRPr="000E2FA9">
        <w:rPr>
          <w:rFonts w:ascii="Arial" w:hAnsi="Arial" w:cs="Arial"/>
          <w:sz w:val="24"/>
          <w:szCs w:val="24"/>
        </w:rPr>
        <w:t xml:space="preserve">reviews </w:t>
      </w:r>
      <w:r w:rsidRPr="000E2FA9">
        <w:rPr>
          <w:rFonts w:ascii="Arial" w:hAnsi="Arial" w:cs="Arial"/>
          <w:sz w:val="24"/>
          <w:szCs w:val="24"/>
        </w:rPr>
        <w:t xml:space="preserve">per annum.  However, with </w:t>
      </w:r>
      <w:r w:rsidR="0043688C" w:rsidRPr="000E2FA9">
        <w:rPr>
          <w:rFonts w:ascii="Arial" w:hAnsi="Arial" w:cs="Arial"/>
          <w:sz w:val="24"/>
          <w:szCs w:val="24"/>
        </w:rPr>
        <w:t>six</w:t>
      </w:r>
      <w:r w:rsidRPr="000E2FA9">
        <w:rPr>
          <w:rFonts w:ascii="Arial" w:hAnsi="Arial" w:cs="Arial"/>
          <w:sz w:val="24"/>
          <w:szCs w:val="24"/>
        </w:rPr>
        <w:t xml:space="preserve"> pharmacies not providing the service, the actual number of MURs that could have been undertaken is </w:t>
      </w:r>
      <w:r w:rsidR="009453BE" w:rsidRPr="000E2FA9">
        <w:rPr>
          <w:rFonts w:ascii="Arial" w:hAnsi="Arial" w:cs="Arial"/>
          <w:sz w:val="24"/>
          <w:szCs w:val="24"/>
        </w:rPr>
        <w:t>4</w:t>
      </w:r>
      <w:r w:rsidR="00AA20B0" w:rsidRPr="000E2FA9">
        <w:rPr>
          <w:rFonts w:ascii="Arial" w:hAnsi="Arial" w:cs="Arial"/>
          <w:sz w:val="24"/>
          <w:szCs w:val="24"/>
        </w:rPr>
        <w:t>0,400 reviews</w:t>
      </w:r>
      <w:r w:rsidR="00FC3209" w:rsidRPr="000E2FA9">
        <w:rPr>
          <w:rFonts w:ascii="Arial" w:hAnsi="Arial" w:cs="Arial"/>
          <w:sz w:val="24"/>
          <w:szCs w:val="24"/>
        </w:rPr>
        <w:t xml:space="preserve"> per annum</w:t>
      </w:r>
      <w:r w:rsidRPr="000E2FA9">
        <w:rPr>
          <w:rFonts w:ascii="Arial" w:hAnsi="Arial" w:cs="Arial"/>
          <w:sz w:val="24"/>
          <w:szCs w:val="24"/>
        </w:rPr>
        <w:t xml:space="preserve">. </w:t>
      </w:r>
      <w:r w:rsidRPr="000E2FA9">
        <w:rPr>
          <w:rFonts w:ascii="Arial" w:eastAsia="Calibri" w:hAnsi="Arial" w:cs="Arial"/>
          <w:sz w:val="24"/>
          <w:szCs w:val="24"/>
        </w:rPr>
        <w:t>Only 4</w:t>
      </w:r>
      <w:r w:rsidR="0072706D" w:rsidRPr="000E2FA9">
        <w:rPr>
          <w:rFonts w:ascii="Arial" w:eastAsia="Calibri" w:hAnsi="Arial" w:cs="Arial"/>
          <w:sz w:val="24"/>
          <w:szCs w:val="24"/>
        </w:rPr>
        <w:t>2</w:t>
      </w:r>
      <w:r w:rsidRPr="000E2FA9">
        <w:rPr>
          <w:rFonts w:ascii="Arial" w:eastAsia="Calibri" w:hAnsi="Arial" w:cs="Arial"/>
          <w:sz w:val="24"/>
          <w:szCs w:val="24"/>
        </w:rPr>
        <w:t xml:space="preserve"> pharmacies claimed the maximum number of 400 MURs in 2018 to 2019.</w:t>
      </w:r>
    </w:p>
    <w:p w14:paraId="7AE9CC28" w14:textId="77777777" w:rsidR="00433F08" w:rsidRPr="000E2FA9" w:rsidRDefault="00433F08" w:rsidP="00DC54F7">
      <w:pPr>
        <w:spacing w:line="240" w:lineRule="auto"/>
        <w:contextualSpacing/>
        <w:jc w:val="both"/>
        <w:rPr>
          <w:rFonts w:ascii="Arial" w:eastAsia="Calibri" w:hAnsi="Arial" w:cs="Arial"/>
          <w:sz w:val="24"/>
          <w:szCs w:val="24"/>
          <w:highlight w:val="yellow"/>
        </w:rPr>
      </w:pPr>
    </w:p>
    <w:p w14:paraId="764A02E7" w14:textId="0361D673" w:rsidR="00433F08" w:rsidRPr="000E2FA9" w:rsidRDefault="00433F08" w:rsidP="00DC54F7">
      <w:pPr>
        <w:spacing w:after="0" w:line="240" w:lineRule="auto"/>
        <w:jc w:val="both"/>
        <w:rPr>
          <w:rFonts w:ascii="Arial" w:hAnsi="Arial" w:cs="Arial"/>
          <w:b/>
          <w:sz w:val="24"/>
          <w:szCs w:val="24"/>
        </w:rPr>
      </w:pPr>
      <w:r w:rsidRPr="000E2FA9">
        <w:rPr>
          <w:rFonts w:ascii="Arial" w:hAnsi="Arial" w:cs="Arial"/>
          <w:sz w:val="24"/>
          <w:szCs w:val="24"/>
        </w:rPr>
        <w:t xml:space="preserve">In 2019 to 2020, a total of </w:t>
      </w:r>
      <w:r w:rsidR="004B4FB0" w:rsidRPr="000E2FA9">
        <w:rPr>
          <w:rFonts w:ascii="Arial" w:eastAsia="Times New Roman" w:hAnsi="Arial" w:cs="Arial"/>
          <w:color w:val="000000"/>
          <w:sz w:val="24"/>
          <w:szCs w:val="24"/>
          <w:lang w:eastAsia="en-GB"/>
        </w:rPr>
        <w:t>27</w:t>
      </w:r>
      <w:r w:rsidR="002B0403" w:rsidRPr="000E2FA9">
        <w:rPr>
          <w:rFonts w:ascii="Arial" w:eastAsia="Times New Roman" w:hAnsi="Arial" w:cs="Arial"/>
          <w:color w:val="000000"/>
          <w:sz w:val="24"/>
          <w:szCs w:val="24"/>
          <w:lang w:eastAsia="en-GB"/>
        </w:rPr>
        <w:t>,060</w:t>
      </w:r>
      <w:r w:rsidRPr="000E2FA9">
        <w:rPr>
          <w:rFonts w:ascii="Calibri" w:eastAsia="Times New Roman" w:hAnsi="Calibri" w:cs="Calibri"/>
          <w:color w:val="000000"/>
          <w:sz w:val="24"/>
          <w:szCs w:val="24"/>
          <w:lang w:eastAsia="en-GB"/>
        </w:rPr>
        <w:t xml:space="preserve"> </w:t>
      </w:r>
      <w:r w:rsidRPr="000E2FA9">
        <w:rPr>
          <w:rFonts w:ascii="Arial" w:hAnsi="Arial" w:cs="Arial"/>
          <w:sz w:val="24"/>
          <w:szCs w:val="24"/>
        </w:rPr>
        <w:t>eligible MURs were provided by 10</w:t>
      </w:r>
      <w:r w:rsidR="002B0403" w:rsidRPr="000E2FA9">
        <w:rPr>
          <w:rFonts w:ascii="Arial" w:hAnsi="Arial" w:cs="Arial"/>
          <w:sz w:val="24"/>
          <w:szCs w:val="24"/>
        </w:rPr>
        <w:t>3</w:t>
      </w:r>
      <w:r w:rsidRPr="000E2FA9">
        <w:rPr>
          <w:rFonts w:ascii="Arial" w:hAnsi="Arial" w:cs="Arial"/>
          <w:sz w:val="24"/>
          <w:szCs w:val="24"/>
        </w:rPr>
        <w:t xml:space="preserve"> of the pharmacies.  Up to 400 MURs can be provided at each pharmacy per year, giving a potential maximum number of 4</w:t>
      </w:r>
      <w:r w:rsidR="008C6BC9" w:rsidRPr="000E2FA9">
        <w:rPr>
          <w:rFonts w:ascii="Arial" w:hAnsi="Arial" w:cs="Arial"/>
          <w:sz w:val="24"/>
          <w:szCs w:val="24"/>
        </w:rPr>
        <w:t>2,800</w:t>
      </w:r>
      <w:r w:rsidRPr="000E2FA9">
        <w:rPr>
          <w:rFonts w:ascii="Arial" w:hAnsi="Arial" w:cs="Arial"/>
          <w:sz w:val="24"/>
          <w:szCs w:val="24"/>
        </w:rPr>
        <w:t xml:space="preserve"> per annum.  However, with </w:t>
      </w:r>
      <w:r w:rsidR="00897C39" w:rsidRPr="000E2FA9">
        <w:rPr>
          <w:rFonts w:ascii="Arial" w:hAnsi="Arial" w:cs="Arial"/>
          <w:sz w:val="24"/>
          <w:szCs w:val="24"/>
        </w:rPr>
        <w:t>four</w:t>
      </w:r>
      <w:r w:rsidRPr="000E2FA9">
        <w:rPr>
          <w:rFonts w:ascii="Arial" w:hAnsi="Arial" w:cs="Arial"/>
          <w:sz w:val="24"/>
          <w:szCs w:val="24"/>
        </w:rPr>
        <w:t xml:space="preserve"> pharmacies not providing the service the actual number of MURs that could have been undertaken is 4</w:t>
      </w:r>
      <w:r w:rsidR="00712AED" w:rsidRPr="000E2FA9">
        <w:rPr>
          <w:rFonts w:ascii="Arial" w:hAnsi="Arial" w:cs="Arial"/>
          <w:sz w:val="24"/>
          <w:szCs w:val="24"/>
        </w:rPr>
        <w:t>1</w:t>
      </w:r>
      <w:r w:rsidRPr="000E2FA9">
        <w:rPr>
          <w:rFonts w:ascii="Arial" w:hAnsi="Arial" w:cs="Arial"/>
          <w:sz w:val="24"/>
          <w:szCs w:val="24"/>
        </w:rPr>
        <w:t>,</w:t>
      </w:r>
      <w:r w:rsidR="00712AED" w:rsidRPr="000E2FA9">
        <w:rPr>
          <w:rFonts w:ascii="Arial" w:hAnsi="Arial" w:cs="Arial"/>
          <w:sz w:val="24"/>
          <w:szCs w:val="24"/>
        </w:rPr>
        <w:t>2</w:t>
      </w:r>
      <w:r w:rsidRPr="000E2FA9">
        <w:rPr>
          <w:rFonts w:ascii="Arial" w:hAnsi="Arial" w:cs="Arial"/>
          <w:sz w:val="24"/>
          <w:szCs w:val="24"/>
        </w:rPr>
        <w:t>00.  Only 2</w:t>
      </w:r>
      <w:r w:rsidR="0002477A" w:rsidRPr="000E2FA9">
        <w:rPr>
          <w:rFonts w:ascii="Arial" w:hAnsi="Arial" w:cs="Arial"/>
          <w:sz w:val="24"/>
          <w:szCs w:val="24"/>
        </w:rPr>
        <w:t>1</w:t>
      </w:r>
      <w:r w:rsidRPr="000E2FA9">
        <w:rPr>
          <w:rFonts w:ascii="Arial" w:hAnsi="Arial" w:cs="Arial"/>
          <w:sz w:val="24"/>
          <w:szCs w:val="24"/>
        </w:rPr>
        <w:t xml:space="preserve"> pharmacies claimed for the maximum number of 400 MURs in 2019 to 2020.</w:t>
      </w:r>
    </w:p>
    <w:p w14:paraId="105E592C" w14:textId="77777777" w:rsidR="00433F08" w:rsidRPr="000E2FA9" w:rsidRDefault="00433F08" w:rsidP="00DC54F7">
      <w:pPr>
        <w:spacing w:after="0" w:line="240" w:lineRule="auto"/>
        <w:jc w:val="both"/>
        <w:rPr>
          <w:rFonts w:ascii="Arial" w:hAnsi="Arial" w:cs="Arial"/>
          <w:sz w:val="24"/>
          <w:szCs w:val="24"/>
          <w:highlight w:val="yellow"/>
        </w:rPr>
      </w:pPr>
    </w:p>
    <w:p w14:paraId="0E8FAD34" w14:textId="0704DFF2" w:rsidR="00433F08" w:rsidRPr="000E2FA9" w:rsidRDefault="00433F08" w:rsidP="00DC54F7">
      <w:pPr>
        <w:spacing w:after="0" w:line="240" w:lineRule="auto"/>
        <w:jc w:val="both"/>
        <w:rPr>
          <w:rFonts w:ascii="Arial" w:hAnsi="Arial" w:cs="Arial"/>
          <w:sz w:val="24"/>
          <w:szCs w:val="24"/>
        </w:rPr>
      </w:pPr>
      <w:r w:rsidRPr="000E2FA9">
        <w:rPr>
          <w:rFonts w:ascii="Arial" w:hAnsi="Arial" w:cs="Arial"/>
          <w:sz w:val="24"/>
          <w:szCs w:val="24"/>
        </w:rPr>
        <w:t xml:space="preserve">The Welsh Government </w:t>
      </w:r>
      <w:r w:rsidR="0065290A" w:rsidRPr="000E2FA9">
        <w:rPr>
          <w:rFonts w:ascii="Arial" w:hAnsi="Arial" w:cs="Arial"/>
          <w:sz w:val="24"/>
          <w:szCs w:val="24"/>
        </w:rPr>
        <w:t>formally</w:t>
      </w:r>
      <w:r w:rsidR="00EF3606" w:rsidRPr="000E2FA9">
        <w:rPr>
          <w:rFonts w:ascii="Arial" w:hAnsi="Arial" w:cs="Arial"/>
          <w:sz w:val="24"/>
          <w:szCs w:val="24"/>
        </w:rPr>
        <w:t xml:space="preserve"> </w:t>
      </w:r>
      <w:r w:rsidRPr="000E2FA9">
        <w:rPr>
          <w:rFonts w:ascii="Arial" w:hAnsi="Arial" w:cs="Arial"/>
          <w:sz w:val="24"/>
          <w:szCs w:val="24"/>
        </w:rPr>
        <w:t>suspended the M</w:t>
      </w:r>
      <w:r w:rsidR="0064228C" w:rsidRPr="000E2FA9">
        <w:rPr>
          <w:rFonts w:ascii="Arial" w:hAnsi="Arial" w:cs="Arial"/>
          <w:sz w:val="24"/>
          <w:szCs w:val="24"/>
        </w:rPr>
        <w:t>UR</w:t>
      </w:r>
      <w:r w:rsidRPr="000E2FA9">
        <w:rPr>
          <w:rFonts w:ascii="Arial" w:hAnsi="Arial" w:cs="Arial"/>
          <w:sz w:val="24"/>
          <w:szCs w:val="24"/>
        </w:rPr>
        <w:t xml:space="preserve"> service on 13 March 2020.  At the time of writing, </w:t>
      </w:r>
      <w:r w:rsidR="0070331C" w:rsidRPr="000E2FA9">
        <w:rPr>
          <w:rFonts w:ascii="Arial" w:hAnsi="Arial" w:cs="Arial"/>
          <w:sz w:val="24"/>
          <w:szCs w:val="24"/>
        </w:rPr>
        <w:t>it is not known if the service will re-commence</w:t>
      </w:r>
      <w:r w:rsidRPr="000E2FA9">
        <w:rPr>
          <w:rFonts w:ascii="Arial" w:hAnsi="Arial" w:cs="Arial"/>
          <w:sz w:val="24"/>
          <w:szCs w:val="24"/>
        </w:rPr>
        <w:t>.</w:t>
      </w:r>
    </w:p>
    <w:p w14:paraId="38F44A8E" w14:textId="77777777" w:rsidR="00433F08" w:rsidRPr="000E2FA9" w:rsidRDefault="00433F08" w:rsidP="00DC54F7">
      <w:pPr>
        <w:spacing w:line="240" w:lineRule="auto"/>
        <w:contextualSpacing/>
        <w:jc w:val="both"/>
        <w:rPr>
          <w:rFonts w:ascii="Arial" w:hAnsi="Arial" w:cs="Arial"/>
          <w:sz w:val="24"/>
          <w:szCs w:val="24"/>
        </w:rPr>
      </w:pPr>
    </w:p>
    <w:p w14:paraId="0EDCF8F0" w14:textId="77777777" w:rsidR="00433F08" w:rsidRPr="000E2FA9" w:rsidRDefault="00433F08" w:rsidP="00DC54F7">
      <w:pPr>
        <w:spacing w:line="240" w:lineRule="auto"/>
        <w:contextualSpacing/>
        <w:jc w:val="both"/>
        <w:rPr>
          <w:rFonts w:ascii="Arial" w:hAnsi="Arial" w:cs="Arial"/>
          <w:sz w:val="24"/>
          <w:szCs w:val="24"/>
        </w:rPr>
      </w:pPr>
      <w:r w:rsidRPr="000E2FA9">
        <w:rPr>
          <w:rFonts w:ascii="Arial" w:hAnsi="Arial" w:cs="Arial"/>
          <w:sz w:val="24"/>
          <w:szCs w:val="24"/>
        </w:rPr>
        <w:t>The map below shows the location of those pharmacies that provided the service in 2019 to 2020.</w:t>
      </w:r>
    </w:p>
    <w:p w14:paraId="4E46D060" w14:textId="55B09772" w:rsidR="00433F08" w:rsidRDefault="00433F08" w:rsidP="00DC54F7">
      <w:pPr>
        <w:spacing w:line="240" w:lineRule="auto"/>
        <w:contextualSpacing/>
        <w:jc w:val="both"/>
        <w:rPr>
          <w:rFonts w:ascii="Arial" w:hAnsi="Arial" w:cs="Arial"/>
          <w:sz w:val="24"/>
          <w:szCs w:val="24"/>
        </w:rPr>
      </w:pPr>
    </w:p>
    <w:p w14:paraId="72AEC993" w14:textId="36781273" w:rsidR="000E2FA9" w:rsidRDefault="000E2FA9" w:rsidP="00DC54F7">
      <w:pPr>
        <w:spacing w:line="240" w:lineRule="auto"/>
        <w:contextualSpacing/>
        <w:jc w:val="both"/>
        <w:rPr>
          <w:rFonts w:ascii="Arial" w:hAnsi="Arial" w:cs="Arial"/>
          <w:sz w:val="24"/>
          <w:szCs w:val="24"/>
        </w:rPr>
      </w:pPr>
    </w:p>
    <w:p w14:paraId="37689DF8" w14:textId="586E2B0F" w:rsidR="000E2FA9" w:rsidRDefault="000E2FA9" w:rsidP="00DC54F7">
      <w:pPr>
        <w:jc w:val="both"/>
        <w:rPr>
          <w:rFonts w:ascii="Arial" w:hAnsi="Arial" w:cs="Arial"/>
          <w:sz w:val="24"/>
          <w:szCs w:val="24"/>
        </w:rPr>
      </w:pPr>
      <w:r>
        <w:rPr>
          <w:rFonts w:ascii="Arial" w:hAnsi="Arial" w:cs="Arial"/>
          <w:sz w:val="24"/>
          <w:szCs w:val="24"/>
        </w:rPr>
        <w:br w:type="page"/>
      </w:r>
    </w:p>
    <w:p w14:paraId="2238FAA8" w14:textId="40BE2A22" w:rsidR="00DB68EA" w:rsidRPr="000E2FA9" w:rsidRDefault="00433F08" w:rsidP="00DC54F7">
      <w:pPr>
        <w:spacing w:line="240" w:lineRule="auto"/>
        <w:contextualSpacing/>
        <w:jc w:val="both"/>
        <w:rPr>
          <w:rFonts w:ascii="Arial" w:hAnsi="Arial" w:cs="Arial"/>
          <w:b/>
          <w:sz w:val="24"/>
          <w:szCs w:val="24"/>
        </w:rPr>
      </w:pPr>
      <w:r w:rsidRPr="000E2FA9">
        <w:rPr>
          <w:rFonts w:ascii="Arial" w:hAnsi="Arial" w:cs="Arial"/>
          <w:b/>
          <w:sz w:val="24"/>
          <w:szCs w:val="24"/>
        </w:rPr>
        <w:lastRenderedPageBreak/>
        <w:t>Map</w:t>
      </w:r>
      <w:r w:rsidR="006E2958" w:rsidRPr="000E2FA9">
        <w:rPr>
          <w:rFonts w:ascii="Arial" w:hAnsi="Arial" w:cs="Arial"/>
          <w:b/>
          <w:sz w:val="24"/>
          <w:szCs w:val="24"/>
        </w:rPr>
        <w:t xml:space="preserve"> 5.4</w:t>
      </w:r>
      <w:r w:rsidR="00CD2D91" w:rsidRPr="000E2FA9">
        <w:rPr>
          <w:rFonts w:ascii="Arial" w:hAnsi="Arial" w:cs="Arial"/>
          <w:b/>
          <w:sz w:val="24"/>
          <w:szCs w:val="24"/>
        </w:rPr>
        <w:t>: L</w:t>
      </w:r>
      <w:r w:rsidRPr="000E2FA9">
        <w:rPr>
          <w:rFonts w:ascii="Arial" w:hAnsi="Arial" w:cs="Arial"/>
          <w:b/>
          <w:sz w:val="24"/>
          <w:szCs w:val="24"/>
        </w:rPr>
        <w:t>ocation of the pharmacies providing MURs in 2019 to 2020 by local authority</w:t>
      </w:r>
    </w:p>
    <w:p w14:paraId="07DCDCA3" w14:textId="56FBBD9E" w:rsidR="00295411" w:rsidRPr="000E2FA9" w:rsidRDefault="0069520A" w:rsidP="00DC54F7">
      <w:pPr>
        <w:spacing w:after="0" w:line="240" w:lineRule="auto"/>
        <w:jc w:val="both"/>
        <w:rPr>
          <w:rFonts w:ascii="Arial" w:hAnsi="Arial" w:cs="Arial"/>
          <w:b/>
          <w:sz w:val="24"/>
          <w:szCs w:val="24"/>
        </w:rPr>
      </w:pPr>
      <w:r>
        <w:rPr>
          <w:noProof/>
          <w:lang w:eastAsia="en-GB"/>
        </w:rPr>
        <w:drawing>
          <wp:inline distT="0" distB="0" distL="0" distR="0" wp14:anchorId="02A752C0" wp14:editId="31DD6ED9">
            <wp:extent cx="5731510" cy="4058285"/>
            <wp:effectExtent l="0" t="0" r="254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31510" cy="4058285"/>
                    </a:xfrm>
                    <a:prstGeom prst="rect">
                      <a:avLst/>
                    </a:prstGeom>
                    <a:noFill/>
                    <a:ln>
                      <a:noFill/>
                    </a:ln>
                  </pic:spPr>
                </pic:pic>
              </a:graphicData>
            </a:graphic>
          </wp:inline>
        </w:drawing>
      </w:r>
    </w:p>
    <w:p w14:paraId="26AD52D9" w14:textId="7DDCAF32" w:rsidR="00C46079" w:rsidRDefault="00C46079" w:rsidP="00DC54F7">
      <w:pPr>
        <w:spacing w:after="240" w:line="240" w:lineRule="auto"/>
        <w:contextualSpacing/>
        <w:jc w:val="both"/>
        <w:rPr>
          <w:rFonts w:ascii="Verdana" w:hAnsi="Verdana" w:cs="Arial"/>
        </w:rPr>
      </w:pPr>
      <w:r>
        <w:rPr>
          <w:noProof/>
          <w:lang w:eastAsia="en-GB"/>
        </w:rPr>
        <w:drawing>
          <wp:inline distT="0" distB="0" distL="0" distR="0" wp14:anchorId="1FD2D2A1" wp14:editId="07E7758B">
            <wp:extent cx="5731510" cy="3965944"/>
            <wp:effectExtent l="0" t="0" r="254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735745" cy="3968874"/>
                    </a:xfrm>
                    <a:prstGeom prst="rect">
                      <a:avLst/>
                    </a:prstGeom>
                    <a:noFill/>
                    <a:ln>
                      <a:noFill/>
                    </a:ln>
                  </pic:spPr>
                </pic:pic>
              </a:graphicData>
            </a:graphic>
          </wp:inline>
        </w:drawing>
      </w:r>
    </w:p>
    <w:p w14:paraId="62702154" w14:textId="12A648D1" w:rsidR="000E2FA9" w:rsidRDefault="000E2FA9" w:rsidP="00DC54F7">
      <w:pPr>
        <w:jc w:val="both"/>
        <w:rPr>
          <w:rFonts w:ascii="Arial" w:hAnsi="Arial" w:cs="Arial"/>
        </w:rPr>
      </w:pPr>
      <w:r>
        <w:rPr>
          <w:rFonts w:ascii="Arial" w:hAnsi="Arial" w:cs="Arial"/>
        </w:rPr>
        <w:br w:type="page"/>
      </w:r>
    </w:p>
    <w:p w14:paraId="26317CB5" w14:textId="3FE655CD" w:rsidR="003E6720" w:rsidRPr="000E2FA9" w:rsidRDefault="003E6720" w:rsidP="00DC54F7">
      <w:pPr>
        <w:spacing w:after="0" w:line="240" w:lineRule="auto"/>
        <w:contextualSpacing/>
        <w:jc w:val="both"/>
        <w:rPr>
          <w:rFonts w:ascii="Arial" w:hAnsi="Arial" w:cs="Arial"/>
          <w:sz w:val="24"/>
          <w:szCs w:val="24"/>
        </w:rPr>
      </w:pPr>
      <w:r w:rsidRPr="000E2FA9">
        <w:rPr>
          <w:rFonts w:ascii="Arial" w:hAnsi="Arial" w:cs="Arial"/>
          <w:sz w:val="24"/>
          <w:szCs w:val="24"/>
        </w:rPr>
        <w:lastRenderedPageBreak/>
        <w:t xml:space="preserve">Based upon the level of provision in </w:t>
      </w:r>
      <w:r w:rsidR="00420A21" w:rsidRPr="000E2FA9">
        <w:rPr>
          <w:rFonts w:ascii="Arial" w:hAnsi="Arial" w:cs="Arial"/>
          <w:sz w:val="24"/>
          <w:szCs w:val="24"/>
        </w:rPr>
        <w:t>201</w:t>
      </w:r>
      <w:r w:rsidR="00BC14A5" w:rsidRPr="000E2FA9">
        <w:rPr>
          <w:rFonts w:ascii="Arial" w:hAnsi="Arial" w:cs="Arial"/>
          <w:sz w:val="24"/>
          <w:szCs w:val="24"/>
        </w:rPr>
        <w:t>8</w:t>
      </w:r>
      <w:r w:rsidR="00E02F55" w:rsidRPr="000E2FA9">
        <w:rPr>
          <w:rFonts w:ascii="Arial" w:hAnsi="Arial" w:cs="Arial"/>
          <w:sz w:val="24"/>
          <w:szCs w:val="24"/>
        </w:rPr>
        <w:t xml:space="preserve"> to 2019</w:t>
      </w:r>
      <w:r w:rsidR="00F71CC4" w:rsidRPr="000E2FA9">
        <w:rPr>
          <w:rFonts w:ascii="Arial" w:hAnsi="Arial" w:cs="Arial"/>
          <w:sz w:val="24"/>
          <w:szCs w:val="24"/>
        </w:rPr>
        <w:t xml:space="preserve"> and 2019 to 2020</w:t>
      </w:r>
      <w:r w:rsidR="00E02F55" w:rsidRPr="000E2FA9">
        <w:rPr>
          <w:rFonts w:ascii="Arial" w:hAnsi="Arial" w:cs="Arial"/>
          <w:sz w:val="24"/>
          <w:szCs w:val="24"/>
        </w:rPr>
        <w:t xml:space="preserve"> </w:t>
      </w:r>
      <w:r w:rsidR="00F71CC4" w:rsidRPr="000E2FA9">
        <w:rPr>
          <w:rFonts w:ascii="Arial" w:hAnsi="Arial" w:cs="Arial"/>
          <w:sz w:val="24"/>
          <w:szCs w:val="24"/>
        </w:rPr>
        <w:t xml:space="preserve">Cardiff and Vale University Health Board </w:t>
      </w:r>
      <w:r w:rsidR="002F6594" w:rsidRPr="000E2FA9">
        <w:rPr>
          <w:rFonts w:ascii="Arial" w:hAnsi="Arial" w:cs="Arial"/>
          <w:sz w:val="24"/>
          <w:szCs w:val="24"/>
        </w:rPr>
        <w:t>is satisfied that</w:t>
      </w:r>
      <w:r w:rsidRPr="000E2FA9">
        <w:rPr>
          <w:rFonts w:ascii="Arial" w:hAnsi="Arial" w:cs="Arial"/>
          <w:sz w:val="24"/>
          <w:szCs w:val="24"/>
        </w:rPr>
        <w:t xml:space="preserve"> there is sufficient capacity within existing contractors to provide more </w:t>
      </w:r>
      <w:r w:rsidR="009E53CC" w:rsidRPr="000E2FA9">
        <w:rPr>
          <w:rFonts w:ascii="Arial" w:hAnsi="Arial" w:cs="Arial"/>
          <w:sz w:val="24"/>
          <w:szCs w:val="24"/>
        </w:rPr>
        <w:t>M</w:t>
      </w:r>
      <w:r w:rsidR="00E02F55" w:rsidRPr="000E2FA9">
        <w:rPr>
          <w:rFonts w:ascii="Arial" w:hAnsi="Arial" w:cs="Arial"/>
          <w:sz w:val="24"/>
          <w:szCs w:val="24"/>
        </w:rPr>
        <w:t>URs</w:t>
      </w:r>
      <w:r w:rsidRPr="000E2FA9">
        <w:rPr>
          <w:rFonts w:ascii="Arial" w:hAnsi="Arial" w:cs="Arial"/>
          <w:sz w:val="24"/>
          <w:szCs w:val="24"/>
        </w:rPr>
        <w:t>:</w:t>
      </w:r>
    </w:p>
    <w:p w14:paraId="5389E885" w14:textId="77777777" w:rsidR="003E6720" w:rsidRPr="000E2FA9" w:rsidRDefault="003E6720" w:rsidP="00DC54F7">
      <w:pPr>
        <w:spacing w:after="0" w:line="240" w:lineRule="auto"/>
        <w:contextualSpacing/>
        <w:jc w:val="both"/>
        <w:rPr>
          <w:rFonts w:ascii="Arial" w:hAnsi="Arial" w:cs="Arial"/>
          <w:sz w:val="24"/>
          <w:szCs w:val="24"/>
        </w:rPr>
      </w:pPr>
    </w:p>
    <w:p w14:paraId="12895463" w14:textId="0D448978" w:rsidR="00F71CC4" w:rsidRPr="000E2FA9" w:rsidRDefault="00E02F55" w:rsidP="00DC54F7">
      <w:pPr>
        <w:pStyle w:val="ListParagraph"/>
        <w:numPr>
          <w:ilvl w:val="0"/>
          <w:numId w:val="41"/>
        </w:numPr>
        <w:spacing w:after="0" w:line="240" w:lineRule="auto"/>
        <w:jc w:val="both"/>
        <w:rPr>
          <w:rFonts w:ascii="Arial" w:hAnsi="Arial" w:cs="Arial"/>
          <w:sz w:val="24"/>
          <w:szCs w:val="24"/>
        </w:rPr>
      </w:pPr>
      <w:r w:rsidRPr="000E2FA9">
        <w:rPr>
          <w:rFonts w:ascii="Arial" w:hAnsi="Arial" w:cs="Arial"/>
          <w:sz w:val="24"/>
          <w:szCs w:val="24"/>
        </w:rPr>
        <w:t>In 20</w:t>
      </w:r>
      <w:r w:rsidR="005F4C4C" w:rsidRPr="000E2FA9">
        <w:rPr>
          <w:rFonts w:ascii="Arial" w:hAnsi="Arial" w:cs="Arial"/>
          <w:sz w:val="24"/>
          <w:szCs w:val="24"/>
        </w:rPr>
        <w:t xml:space="preserve">19 to 2020, </w:t>
      </w:r>
      <w:r w:rsidR="009D06D2" w:rsidRPr="000E2FA9">
        <w:rPr>
          <w:rFonts w:ascii="Arial" w:hAnsi="Arial" w:cs="Arial"/>
          <w:sz w:val="24"/>
          <w:szCs w:val="24"/>
        </w:rPr>
        <w:t>four</w:t>
      </w:r>
      <w:r w:rsidR="00F71CC4" w:rsidRPr="000E2FA9">
        <w:rPr>
          <w:rFonts w:ascii="Arial" w:hAnsi="Arial" w:cs="Arial"/>
          <w:sz w:val="24"/>
          <w:szCs w:val="24"/>
        </w:rPr>
        <w:t xml:space="preserve"> pharmacies did not provide the service.</w:t>
      </w:r>
    </w:p>
    <w:p w14:paraId="6CAA1C11" w14:textId="55E5C2B3" w:rsidR="003E6720" w:rsidRPr="000E2FA9" w:rsidRDefault="005B5FE5" w:rsidP="00DC54F7">
      <w:pPr>
        <w:pStyle w:val="ListParagraph"/>
        <w:numPr>
          <w:ilvl w:val="0"/>
          <w:numId w:val="41"/>
        </w:numPr>
        <w:spacing w:after="0" w:line="240" w:lineRule="auto"/>
        <w:jc w:val="both"/>
        <w:rPr>
          <w:rFonts w:ascii="Arial" w:hAnsi="Arial" w:cs="Arial"/>
          <w:sz w:val="24"/>
          <w:szCs w:val="24"/>
        </w:rPr>
      </w:pPr>
      <w:r w:rsidRPr="000E2FA9">
        <w:rPr>
          <w:rFonts w:ascii="Arial" w:hAnsi="Arial" w:cs="Arial"/>
          <w:sz w:val="24"/>
          <w:szCs w:val="24"/>
        </w:rPr>
        <w:t>Of the 103 pharmacies that did provide the service</w:t>
      </w:r>
      <w:r w:rsidR="005D0445" w:rsidRPr="000E2FA9">
        <w:rPr>
          <w:rFonts w:ascii="Arial" w:hAnsi="Arial" w:cs="Arial"/>
          <w:sz w:val="24"/>
          <w:szCs w:val="24"/>
        </w:rPr>
        <w:t xml:space="preserve">, </w:t>
      </w:r>
      <w:r w:rsidR="005F4C4C" w:rsidRPr="000E2FA9">
        <w:rPr>
          <w:rFonts w:ascii="Arial" w:hAnsi="Arial" w:cs="Arial"/>
          <w:sz w:val="24"/>
          <w:szCs w:val="24"/>
        </w:rPr>
        <w:t>82</w:t>
      </w:r>
      <w:r w:rsidR="003E6720" w:rsidRPr="000E2FA9">
        <w:rPr>
          <w:rFonts w:ascii="Arial" w:hAnsi="Arial" w:cs="Arial"/>
          <w:sz w:val="24"/>
          <w:szCs w:val="24"/>
        </w:rPr>
        <w:t xml:space="preserve"> pharmacies (</w:t>
      </w:r>
      <w:r w:rsidR="00882152" w:rsidRPr="000E2FA9">
        <w:rPr>
          <w:rFonts w:ascii="Arial" w:hAnsi="Arial" w:cs="Arial"/>
          <w:sz w:val="24"/>
          <w:szCs w:val="24"/>
        </w:rPr>
        <w:t>80</w:t>
      </w:r>
      <w:r w:rsidR="003E6720" w:rsidRPr="000E2FA9">
        <w:rPr>
          <w:rFonts w:ascii="Arial" w:hAnsi="Arial" w:cs="Arial"/>
          <w:sz w:val="24"/>
          <w:szCs w:val="24"/>
        </w:rPr>
        <w:t xml:space="preserve">%) provided less than </w:t>
      </w:r>
      <w:r w:rsidR="00592DCD" w:rsidRPr="000E2FA9">
        <w:rPr>
          <w:rFonts w:ascii="Arial" w:hAnsi="Arial" w:cs="Arial"/>
          <w:sz w:val="24"/>
          <w:szCs w:val="24"/>
        </w:rPr>
        <w:t xml:space="preserve">the maximum annual number of </w:t>
      </w:r>
      <w:r w:rsidR="009E53CC" w:rsidRPr="000E2FA9">
        <w:rPr>
          <w:rFonts w:ascii="Arial" w:hAnsi="Arial" w:cs="Arial"/>
          <w:sz w:val="24"/>
          <w:szCs w:val="24"/>
        </w:rPr>
        <w:t>M</w:t>
      </w:r>
      <w:r w:rsidR="00015E56" w:rsidRPr="000E2FA9">
        <w:rPr>
          <w:rFonts w:ascii="Arial" w:hAnsi="Arial" w:cs="Arial"/>
          <w:sz w:val="24"/>
          <w:szCs w:val="24"/>
        </w:rPr>
        <w:t>U</w:t>
      </w:r>
      <w:r w:rsidR="000D3532" w:rsidRPr="000E2FA9">
        <w:rPr>
          <w:rFonts w:ascii="Arial" w:hAnsi="Arial" w:cs="Arial"/>
          <w:sz w:val="24"/>
          <w:szCs w:val="24"/>
        </w:rPr>
        <w:t>Rs</w:t>
      </w:r>
      <w:r w:rsidR="003E6720" w:rsidRPr="000E2FA9">
        <w:rPr>
          <w:rFonts w:ascii="Arial" w:hAnsi="Arial" w:cs="Arial"/>
          <w:sz w:val="24"/>
          <w:szCs w:val="24"/>
        </w:rPr>
        <w:t xml:space="preserve"> of which </w:t>
      </w:r>
      <w:r w:rsidR="00F41918" w:rsidRPr="000E2FA9">
        <w:rPr>
          <w:rFonts w:ascii="Arial" w:hAnsi="Arial" w:cs="Arial"/>
          <w:sz w:val="24"/>
          <w:szCs w:val="24"/>
        </w:rPr>
        <w:t>32</w:t>
      </w:r>
      <w:r w:rsidR="00420A21" w:rsidRPr="000E2FA9">
        <w:rPr>
          <w:rFonts w:ascii="Arial" w:hAnsi="Arial" w:cs="Arial"/>
          <w:sz w:val="24"/>
          <w:szCs w:val="24"/>
        </w:rPr>
        <w:t xml:space="preserve"> </w:t>
      </w:r>
      <w:r w:rsidR="003E6720" w:rsidRPr="000E2FA9">
        <w:rPr>
          <w:rFonts w:ascii="Arial" w:hAnsi="Arial" w:cs="Arial"/>
          <w:sz w:val="24"/>
          <w:szCs w:val="24"/>
        </w:rPr>
        <w:t>pharmacies</w:t>
      </w:r>
      <w:r w:rsidR="00592DCD" w:rsidRPr="000E2FA9">
        <w:rPr>
          <w:rFonts w:ascii="Arial" w:hAnsi="Arial" w:cs="Arial"/>
          <w:sz w:val="24"/>
          <w:szCs w:val="24"/>
        </w:rPr>
        <w:t xml:space="preserve"> </w:t>
      </w:r>
      <w:r w:rsidR="00420A21" w:rsidRPr="000E2FA9">
        <w:rPr>
          <w:rFonts w:ascii="Arial" w:hAnsi="Arial" w:cs="Arial"/>
          <w:sz w:val="24"/>
          <w:szCs w:val="24"/>
        </w:rPr>
        <w:t>(</w:t>
      </w:r>
      <w:r w:rsidR="00646FCA" w:rsidRPr="000E2FA9">
        <w:rPr>
          <w:rFonts w:ascii="Arial" w:hAnsi="Arial" w:cs="Arial"/>
          <w:sz w:val="24"/>
          <w:szCs w:val="24"/>
        </w:rPr>
        <w:t>31</w:t>
      </w:r>
      <w:r w:rsidR="00420A21" w:rsidRPr="000E2FA9">
        <w:rPr>
          <w:rFonts w:ascii="Arial" w:hAnsi="Arial" w:cs="Arial"/>
          <w:sz w:val="24"/>
          <w:szCs w:val="24"/>
        </w:rPr>
        <w:t xml:space="preserve">%) </w:t>
      </w:r>
      <w:r w:rsidR="00592DCD" w:rsidRPr="000E2FA9">
        <w:rPr>
          <w:rFonts w:ascii="Arial" w:hAnsi="Arial" w:cs="Arial"/>
          <w:sz w:val="24"/>
          <w:szCs w:val="24"/>
        </w:rPr>
        <w:t xml:space="preserve">provided less than 200 </w:t>
      </w:r>
      <w:r w:rsidR="009E53CC" w:rsidRPr="000E2FA9">
        <w:rPr>
          <w:rFonts w:ascii="Arial" w:hAnsi="Arial" w:cs="Arial"/>
          <w:sz w:val="24"/>
          <w:szCs w:val="24"/>
        </w:rPr>
        <w:t>M</w:t>
      </w:r>
      <w:r w:rsidR="000D3532" w:rsidRPr="000E2FA9">
        <w:rPr>
          <w:rFonts w:ascii="Arial" w:hAnsi="Arial" w:cs="Arial"/>
          <w:sz w:val="24"/>
          <w:szCs w:val="24"/>
        </w:rPr>
        <w:t>URs</w:t>
      </w:r>
      <w:r w:rsidR="00646FCA" w:rsidRPr="000E2FA9">
        <w:rPr>
          <w:rFonts w:ascii="Arial" w:hAnsi="Arial" w:cs="Arial"/>
          <w:sz w:val="24"/>
          <w:szCs w:val="24"/>
        </w:rPr>
        <w:t>.</w:t>
      </w:r>
    </w:p>
    <w:p w14:paraId="08DC88F9" w14:textId="77777777" w:rsidR="003E6720" w:rsidRPr="000E2FA9" w:rsidRDefault="003E6720" w:rsidP="00DC54F7">
      <w:pPr>
        <w:spacing w:after="0" w:line="240" w:lineRule="auto"/>
        <w:jc w:val="both"/>
        <w:rPr>
          <w:rFonts w:ascii="Arial" w:hAnsi="Arial" w:cs="Arial"/>
          <w:sz w:val="24"/>
          <w:szCs w:val="24"/>
        </w:rPr>
      </w:pPr>
    </w:p>
    <w:p w14:paraId="49785403" w14:textId="23A793DD" w:rsidR="00F71CC4" w:rsidRPr="000E2FA9" w:rsidRDefault="00DD45D1" w:rsidP="00DC54F7">
      <w:pPr>
        <w:jc w:val="both"/>
        <w:rPr>
          <w:rFonts w:ascii="Arial" w:hAnsi="Arial" w:cs="Arial"/>
          <w:sz w:val="24"/>
          <w:szCs w:val="24"/>
        </w:rPr>
      </w:pPr>
      <w:r w:rsidRPr="000E2FA9">
        <w:rPr>
          <w:rFonts w:ascii="Arial" w:hAnsi="Arial" w:cs="Arial"/>
          <w:sz w:val="24"/>
          <w:szCs w:val="24"/>
        </w:rPr>
        <w:t>However, this may not be the case at the cluster level and further analysis is undertaken within the cluster chapters.</w:t>
      </w:r>
    </w:p>
    <w:p w14:paraId="28D7C4EB" w14:textId="77777777" w:rsidR="003E6720" w:rsidRPr="000E2FA9" w:rsidRDefault="003E6720" w:rsidP="00DC54F7">
      <w:pPr>
        <w:spacing w:after="0" w:line="240" w:lineRule="auto"/>
        <w:jc w:val="both"/>
        <w:rPr>
          <w:rFonts w:ascii="Arial" w:hAnsi="Arial" w:cs="Arial"/>
          <w:sz w:val="24"/>
          <w:szCs w:val="24"/>
        </w:rPr>
      </w:pPr>
    </w:p>
    <w:p w14:paraId="78AA285C" w14:textId="48924321" w:rsidR="007B5671" w:rsidRPr="000E2FA9" w:rsidRDefault="00DE2D52" w:rsidP="00DC54F7">
      <w:pPr>
        <w:spacing w:after="0" w:line="240" w:lineRule="auto"/>
        <w:jc w:val="both"/>
        <w:rPr>
          <w:rFonts w:ascii="Arial" w:hAnsi="Arial" w:cs="Arial"/>
          <w:b/>
          <w:sz w:val="24"/>
          <w:szCs w:val="24"/>
        </w:rPr>
      </w:pPr>
      <w:r w:rsidRPr="000E2FA9">
        <w:rPr>
          <w:rFonts w:ascii="Arial" w:hAnsi="Arial" w:cs="Arial"/>
          <w:b/>
          <w:sz w:val="24"/>
          <w:szCs w:val="24"/>
        </w:rPr>
        <w:t xml:space="preserve">5.1.4 Access to the </w:t>
      </w:r>
      <w:r w:rsidR="00420A21" w:rsidRPr="000E2FA9">
        <w:rPr>
          <w:rFonts w:ascii="Arial" w:hAnsi="Arial" w:cs="Arial"/>
          <w:b/>
          <w:sz w:val="24"/>
          <w:szCs w:val="24"/>
        </w:rPr>
        <w:t xml:space="preserve">Discharge Medicines Review </w:t>
      </w:r>
      <w:r w:rsidR="00794753" w:rsidRPr="000E2FA9">
        <w:rPr>
          <w:rFonts w:ascii="Arial" w:hAnsi="Arial" w:cs="Arial"/>
          <w:b/>
          <w:sz w:val="24"/>
          <w:szCs w:val="24"/>
        </w:rPr>
        <w:t>(DMR)</w:t>
      </w:r>
      <w:r w:rsidR="00782BD3" w:rsidRPr="000E2FA9">
        <w:rPr>
          <w:rFonts w:ascii="Arial" w:hAnsi="Arial" w:cs="Arial"/>
          <w:b/>
          <w:sz w:val="24"/>
          <w:szCs w:val="24"/>
        </w:rPr>
        <w:t xml:space="preserve"> </w:t>
      </w:r>
      <w:r w:rsidR="00C95944" w:rsidRPr="000E2FA9">
        <w:rPr>
          <w:rFonts w:ascii="Arial" w:hAnsi="Arial" w:cs="Arial"/>
          <w:b/>
          <w:sz w:val="24"/>
          <w:szCs w:val="24"/>
        </w:rPr>
        <w:t>Advanced S</w:t>
      </w:r>
      <w:r w:rsidR="00420A21" w:rsidRPr="000E2FA9">
        <w:rPr>
          <w:rFonts w:ascii="Arial" w:hAnsi="Arial" w:cs="Arial"/>
          <w:b/>
          <w:sz w:val="24"/>
          <w:szCs w:val="24"/>
        </w:rPr>
        <w:t>ervice</w:t>
      </w:r>
    </w:p>
    <w:p w14:paraId="32DB4C15" w14:textId="42D531A4" w:rsidR="007B5671" w:rsidRPr="000E2FA9" w:rsidRDefault="007B5671" w:rsidP="00DC54F7">
      <w:pPr>
        <w:spacing w:after="0" w:line="240" w:lineRule="auto"/>
        <w:contextualSpacing/>
        <w:jc w:val="both"/>
        <w:rPr>
          <w:rFonts w:ascii="Arial" w:hAnsi="Arial" w:cs="Arial"/>
          <w:sz w:val="24"/>
          <w:szCs w:val="24"/>
        </w:rPr>
      </w:pPr>
    </w:p>
    <w:p w14:paraId="595DC115" w14:textId="77777777" w:rsidR="003A5451" w:rsidRPr="000E2FA9" w:rsidRDefault="003A5451" w:rsidP="00DC54F7">
      <w:pPr>
        <w:spacing w:line="240" w:lineRule="auto"/>
        <w:contextualSpacing/>
        <w:jc w:val="both"/>
        <w:rPr>
          <w:rFonts w:ascii="Arial" w:hAnsi="Arial" w:cs="Arial"/>
          <w:sz w:val="24"/>
          <w:szCs w:val="24"/>
        </w:rPr>
      </w:pPr>
      <w:r w:rsidRPr="000E2FA9">
        <w:rPr>
          <w:rFonts w:ascii="Arial" w:hAnsi="Arial" w:cs="Arial"/>
          <w:color w:val="111111"/>
          <w:sz w:val="24"/>
          <w:szCs w:val="24"/>
          <w:shd w:val="clear" w:color="auto" w:fill="FFFFFF"/>
        </w:rPr>
        <w:t>The DMR service aims to provide support to patients recently discharged from hospital by ensuring that changes made to their medicines are enacted as intended in the community.</w:t>
      </w:r>
      <w:r w:rsidRPr="000E2FA9">
        <w:rPr>
          <w:rFonts w:ascii="Arial" w:hAnsi="Arial" w:cs="Arial"/>
          <w:sz w:val="24"/>
          <w:szCs w:val="24"/>
        </w:rPr>
        <w:t xml:space="preserve"> </w:t>
      </w:r>
    </w:p>
    <w:p w14:paraId="7CC51F50" w14:textId="77777777" w:rsidR="003A5451" w:rsidRPr="000E2FA9" w:rsidRDefault="003A5451" w:rsidP="00DC54F7">
      <w:pPr>
        <w:spacing w:line="240" w:lineRule="auto"/>
        <w:contextualSpacing/>
        <w:jc w:val="both"/>
        <w:rPr>
          <w:rFonts w:ascii="Arial" w:hAnsi="Arial" w:cs="Arial"/>
          <w:sz w:val="24"/>
          <w:szCs w:val="24"/>
        </w:rPr>
      </w:pPr>
    </w:p>
    <w:p w14:paraId="314F345A" w14:textId="1EEB7688" w:rsidR="003A5451" w:rsidRPr="000E2FA9" w:rsidRDefault="003A5451" w:rsidP="00DC54F7">
      <w:pPr>
        <w:spacing w:line="240" w:lineRule="auto"/>
        <w:contextualSpacing/>
        <w:jc w:val="both"/>
        <w:rPr>
          <w:rFonts w:ascii="Arial" w:hAnsi="Arial" w:cs="Arial"/>
          <w:sz w:val="24"/>
          <w:szCs w:val="24"/>
        </w:rPr>
      </w:pPr>
      <w:r w:rsidRPr="000E2FA9">
        <w:rPr>
          <w:rFonts w:ascii="Arial" w:hAnsi="Arial" w:cs="Arial"/>
          <w:sz w:val="24"/>
          <w:szCs w:val="24"/>
        </w:rPr>
        <w:t>In 2018 to 2019, 85 of the 1</w:t>
      </w:r>
      <w:r w:rsidR="00F62FA2" w:rsidRPr="000E2FA9">
        <w:rPr>
          <w:rFonts w:ascii="Arial" w:hAnsi="Arial" w:cs="Arial"/>
          <w:sz w:val="24"/>
          <w:szCs w:val="24"/>
        </w:rPr>
        <w:t>07</w:t>
      </w:r>
      <w:r w:rsidRPr="000E2FA9">
        <w:rPr>
          <w:rFonts w:ascii="Arial" w:hAnsi="Arial" w:cs="Arial"/>
          <w:sz w:val="24"/>
          <w:szCs w:val="24"/>
        </w:rPr>
        <w:t xml:space="preserve"> pharmacies provided this service, and a total of </w:t>
      </w:r>
      <w:r w:rsidR="00C242B0" w:rsidRPr="000E2FA9">
        <w:rPr>
          <w:rFonts w:ascii="Arial" w:hAnsi="Arial" w:cs="Arial"/>
          <w:sz w:val="24"/>
          <w:szCs w:val="24"/>
        </w:rPr>
        <w:t>2,</w:t>
      </w:r>
      <w:r w:rsidR="00F62FA2" w:rsidRPr="000E2FA9">
        <w:rPr>
          <w:rFonts w:ascii="Arial" w:hAnsi="Arial" w:cs="Arial"/>
          <w:sz w:val="24"/>
          <w:szCs w:val="24"/>
        </w:rPr>
        <w:t>195</w:t>
      </w:r>
      <w:r w:rsidRPr="000E2FA9">
        <w:rPr>
          <w:rFonts w:ascii="Arial" w:hAnsi="Arial" w:cs="Arial"/>
          <w:sz w:val="24"/>
          <w:szCs w:val="24"/>
        </w:rPr>
        <w:t xml:space="preserve"> full service interventions were claimed over the year. Up to 140 DMRs can be provided at each pharmacy per year, giving a potential maximum number of </w:t>
      </w:r>
      <w:r w:rsidR="004E04AF" w:rsidRPr="000E2FA9">
        <w:rPr>
          <w:rFonts w:ascii="Arial" w:hAnsi="Arial" w:cs="Arial"/>
          <w:sz w:val="24"/>
          <w:szCs w:val="24"/>
        </w:rPr>
        <w:t>14,980</w:t>
      </w:r>
      <w:r w:rsidRPr="000E2FA9">
        <w:rPr>
          <w:rFonts w:ascii="Arial" w:hAnsi="Arial" w:cs="Arial"/>
          <w:sz w:val="24"/>
          <w:szCs w:val="24"/>
        </w:rPr>
        <w:t xml:space="preserve"> per annum.  However, with 2</w:t>
      </w:r>
      <w:r w:rsidR="006101AF" w:rsidRPr="000E2FA9">
        <w:rPr>
          <w:rFonts w:ascii="Arial" w:hAnsi="Arial" w:cs="Arial"/>
          <w:sz w:val="24"/>
          <w:szCs w:val="24"/>
        </w:rPr>
        <w:t>2</w:t>
      </w:r>
      <w:r w:rsidRPr="000E2FA9">
        <w:rPr>
          <w:rFonts w:ascii="Arial" w:hAnsi="Arial" w:cs="Arial"/>
          <w:sz w:val="24"/>
          <w:szCs w:val="24"/>
        </w:rPr>
        <w:t xml:space="preserve"> pharmacies not providing the service the actual number of DMR interventions that could have been undertaken is 11,900. Only two pharmacies provided the maximum number of 140 DMR service interventions.</w:t>
      </w:r>
    </w:p>
    <w:p w14:paraId="469836F0" w14:textId="77777777" w:rsidR="003A5451" w:rsidRPr="000E2FA9" w:rsidRDefault="003A5451" w:rsidP="00DC54F7">
      <w:pPr>
        <w:spacing w:line="240" w:lineRule="auto"/>
        <w:contextualSpacing/>
        <w:jc w:val="both"/>
        <w:rPr>
          <w:rFonts w:ascii="Arial" w:hAnsi="Arial" w:cs="Arial"/>
          <w:sz w:val="24"/>
          <w:szCs w:val="24"/>
        </w:rPr>
      </w:pPr>
    </w:p>
    <w:p w14:paraId="588071A6" w14:textId="205A35C3" w:rsidR="003A5451" w:rsidRPr="000E2FA9" w:rsidRDefault="003A5451" w:rsidP="00DC54F7">
      <w:pPr>
        <w:spacing w:line="240" w:lineRule="auto"/>
        <w:contextualSpacing/>
        <w:jc w:val="both"/>
        <w:rPr>
          <w:rFonts w:ascii="Arial" w:hAnsi="Arial" w:cs="Arial"/>
          <w:sz w:val="24"/>
          <w:szCs w:val="24"/>
        </w:rPr>
      </w:pPr>
      <w:r w:rsidRPr="000E2FA9">
        <w:rPr>
          <w:rFonts w:ascii="Arial" w:hAnsi="Arial" w:cs="Arial"/>
          <w:sz w:val="24"/>
          <w:szCs w:val="24"/>
        </w:rPr>
        <w:t xml:space="preserve">In 2019 to 2020, </w:t>
      </w:r>
      <w:r w:rsidR="00A373B8" w:rsidRPr="000E2FA9">
        <w:rPr>
          <w:rFonts w:ascii="Arial" w:hAnsi="Arial" w:cs="Arial"/>
          <w:sz w:val="24"/>
          <w:szCs w:val="24"/>
        </w:rPr>
        <w:t>91</w:t>
      </w:r>
      <w:r w:rsidRPr="000E2FA9">
        <w:rPr>
          <w:rFonts w:ascii="Arial" w:hAnsi="Arial" w:cs="Arial"/>
          <w:sz w:val="24"/>
          <w:szCs w:val="24"/>
        </w:rPr>
        <w:t xml:space="preserve"> pharmacies provided this service, and a total of 2,</w:t>
      </w:r>
      <w:r w:rsidR="00A373B8" w:rsidRPr="000E2FA9">
        <w:rPr>
          <w:rFonts w:ascii="Arial" w:hAnsi="Arial" w:cs="Arial"/>
          <w:sz w:val="24"/>
          <w:szCs w:val="24"/>
        </w:rPr>
        <w:t>752</w:t>
      </w:r>
      <w:r w:rsidRPr="000E2FA9">
        <w:rPr>
          <w:rFonts w:ascii="Arial" w:hAnsi="Arial" w:cs="Arial"/>
          <w:sz w:val="24"/>
          <w:szCs w:val="24"/>
        </w:rPr>
        <w:t xml:space="preserve"> full service interventions were claimed over the year. Up to 140 DMRs can be provided at each pharmacy per year, giving a potential maximum number of </w:t>
      </w:r>
      <w:r w:rsidR="00812137" w:rsidRPr="000E2FA9">
        <w:rPr>
          <w:rFonts w:ascii="Arial" w:hAnsi="Arial" w:cs="Arial"/>
          <w:sz w:val="24"/>
          <w:szCs w:val="24"/>
        </w:rPr>
        <w:t>14,980</w:t>
      </w:r>
      <w:r w:rsidRPr="000E2FA9">
        <w:rPr>
          <w:rFonts w:ascii="Arial" w:hAnsi="Arial" w:cs="Arial"/>
          <w:sz w:val="24"/>
          <w:szCs w:val="24"/>
        </w:rPr>
        <w:t xml:space="preserve"> per annum.  However, with </w:t>
      </w:r>
      <w:r w:rsidR="009B4D6A" w:rsidRPr="000E2FA9">
        <w:rPr>
          <w:rFonts w:ascii="Arial" w:hAnsi="Arial" w:cs="Arial"/>
          <w:sz w:val="24"/>
          <w:szCs w:val="24"/>
        </w:rPr>
        <w:t>1</w:t>
      </w:r>
      <w:r w:rsidRPr="000E2FA9">
        <w:rPr>
          <w:rFonts w:ascii="Arial" w:hAnsi="Arial" w:cs="Arial"/>
          <w:sz w:val="24"/>
          <w:szCs w:val="24"/>
        </w:rPr>
        <w:t>6 pharmacies not providing the service the actual number of DMRs interventions that could have been undertaken is 1</w:t>
      </w:r>
      <w:r w:rsidR="009B4D6A" w:rsidRPr="000E2FA9">
        <w:rPr>
          <w:rFonts w:ascii="Arial" w:hAnsi="Arial" w:cs="Arial"/>
          <w:sz w:val="24"/>
          <w:szCs w:val="24"/>
        </w:rPr>
        <w:t>2,740</w:t>
      </w:r>
      <w:r w:rsidRPr="000E2FA9">
        <w:rPr>
          <w:rFonts w:ascii="Arial" w:hAnsi="Arial" w:cs="Arial"/>
          <w:sz w:val="24"/>
          <w:szCs w:val="24"/>
        </w:rPr>
        <w:t xml:space="preserve">. Only </w:t>
      </w:r>
      <w:r w:rsidR="00803A96" w:rsidRPr="000E2FA9">
        <w:rPr>
          <w:rFonts w:ascii="Arial" w:hAnsi="Arial" w:cs="Arial"/>
          <w:sz w:val="24"/>
          <w:szCs w:val="24"/>
        </w:rPr>
        <w:t xml:space="preserve">four </w:t>
      </w:r>
      <w:r w:rsidRPr="000E2FA9">
        <w:rPr>
          <w:rFonts w:ascii="Arial" w:hAnsi="Arial" w:cs="Arial"/>
          <w:sz w:val="24"/>
          <w:szCs w:val="24"/>
        </w:rPr>
        <w:t>pharmac</w:t>
      </w:r>
      <w:r w:rsidR="00963453" w:rsidRPr="000E2FA9">
        <w:rPr>
          <w:rFonts w:ascii="Arial" w:hAnsi="Arial" w:cs="Arial"/>
          <w:sz w:val="24"/>
          <w:szCs w:val="24"/>
        </w:rPr>
        <w:t>ies</w:t>
      </w:r>
      <w:r w:rsidRPr="000E2FA9">
        <w:rPr>
          <w:rFonts w:ascii="Arial" w:hAnsi="Arial" w:cs="Arial"/>
          <w:sz w:val="24"/>
          <w:szCs w:val="24"/>
        </w:rPr>
        <w:t xml:space="preserve"> provided the maximum number of 140 DMR service interventions.</w:t>
      </w:r>
    </w:p>
    <w:p w14:paraId="55530776" w14:textId="77777777" w:rsidR="00420A21" w:rsidRPr="00A10850" w:rsidRDefault="00420A21" w:rsidP="00DC54F7">
      <w:pPr>
        <w:spacing w:after="0" w:line="240" w:lineRule="auto"/>
        <w:contextualSpacing/>
        <w:jc w:val="both"/>
        <w:rPr>
          <w:rFonts w:ascii="Arial" w:hAnsi="Arial" w:cs="Arial"/>
        </w:rPr>
      </w:pPr>
    </w:p>
    <w:p w14:paraId="3A0A8430" w14:textId="77777777" w:rsidR="000E2FA9" w:rsidRDefault="000E2FA9" w:rsidP="00DC54F7">
      <w:pPr>
        <w:spacing w:after="0" w:line="240" w:lineRule="auto"/>
        <w:contextualSpacing/>
        <w:jc w:val="both"/>
        <w:rPr>
          <w:rFonts w:ascii="Arial" w:hAnsi="Arial" w:cs="Arial"/>
          <w:b/>
          <w:sz w:val="24"/>
          <w:szCs w:val="24"/>
        </w:rPr>
      </w:pPr>
    </w:p>
    <w:p w14:paraId="3CE51665" w14:textId="77777777" w:rsidR="000E2FA9" w:rsidRDefault="000E2FA9" w:rsidP="00DC54F7">
      <w:pPr>
        <w:spacing w:after="0" w:line="240" w:lineRule="auto"/>
        <w:contextualSpacing/>
        <w:jc w:val="both"/>
        <w:rPr>
          <w:rFonts w:ascii="Arial" w:hAnsi="Arial" w:cs="Arial"/>
          <w:b/>
          <w:sz w:val="24"/>
          <w:szCs w:val="24"/>
        </w:rPr>
      </w:pPr>
    </w:p>
    <w:p w14:paraId="785CB33A" w14:textId="77777777" w:rsidR="000E2FA9" w:rsidRDefault="000E2FA9" w:rsidP="00DC54F7">
      <w:pPr>
        <w:spacing w:after="0" w:line="240" w:lineRule="auto"/>
        <w:contextualSpacing/>
        <w:jc w:val="both"/>
        <w:rPr>
          <w:rFonts w:ascii="Arial" w:hAnsi="Arial" w:cs="Arial"/>
          <w:b/>
          <w:sz w:val="24"/>
          <w:szCs w:val="24"/>
        </w:rPr>
      </w:pPr>
    </w:p>
    <w:p w14:paraId="0D650A6E" w14:textId="46035118" w:rsidR="000E2FA9" w:rsidRDefault="000E2FA9" w:rsidP="00DC54F7">
      <w:pPr>
        <w:jc w:val="both"/>
        <w:rPr>
          <w:rFonts w:ascii="Arial" w:hAnsi="Arial" w:cs="Arial"/>
          <w:b/>
          <w:sz w:val="24"/>
          <w:szCs w:val="24"/>
        </w:rPr>
      </w:pPr>
    </w:p>
    <w:p w14:paraId="084AD0A7" w14:textId="77777777" w:rsidR="000E2FA9" w:rsidRDefault="000E2FA9" w:rsidP="00DC54F7">
      <w:pPr>
        <w:jc w:val="both"/>
        <w:rPr>
          <w:rFonts w:ascii="Arial" w:hAnsi="Arial" w:cs="Arial"/>
          <w:b/>
          <w:sz w:val="24"/>
          <w:szCs w:val="24"/>
        </w:rPr>
      </w:pPr>
    </w:p>
    <w:p w14:paraId="5DFA62FE" w14:textId="77777777" w:rsidR="000E2FA9" w:rsidRDefault="000E2FA9" w:rsidP="00DC54F7">
      <w:pPr>
        <w:spacing w:after="0" w:line="240" w:lineRule="auto"/>
        <w:contextualSpacing/>
        <w:jc w:val="both"/>
        <w:rPr>
          <w:rFonts w:ascii="Arial" w:hAnsi="Arial" w:cs="Arial"/>
          <w:b/>
          <w:sz w:val="24"/>
          <w:szCs w:val="24"/>
        </w:rPr>
      </w:pPr>
    </w:p>
    <w:p w14:paraId="4E73903D" w14:textId="77777777" w:rsidR="000E2FA9" w:rsidRDefault="000E2FA9" w:rsidP="00DC54F7">
      <w:pPr>
        <w:spacing w:after="0" w:line="240" w:lineRule="auto"/>
        <w:contextualSpacing/>
        <w:jc w:val="both"/>
        <w:rPr>
          <w:rFonts w:ascii="Arial" w:hAnsi="Arial" w:cs="Arial"/>
          <w:b/>
          <w:sz w:val="24"/>
          <w:szCs w:val="24"/>
        </w:rPr>
      </w:pPr>
    </w:p>
    <w:p w14:paraId="12034E12" w14:textId="77777777" w:rsidR="000E2FA9" w:rsidRDefault="000E2FA9" w:rsidP="00DC54F7">
      <w:pPr>
        <w:spacing w:after="0" w:line="240" w:lineRule="auto"/>
        <w:contextualSpacing/>
        <w:jc w:val="both"/>
        <w:rPr>
          <w:rFonts w:ascii="Arial" w:hAnsi="Arial" w:cs="Arial"/>
          <w:b/>
          <w:sz w:val="24"/>
          <w:szCs w:val="24"/>
        </w:rPr>
      </w:pPr>
    </w:p>
    <w:p w14:paraId="7E59C9BF" w14:textId="77777777" w:rsidR="000E2FA9" w:rsidRDefault="000E2FA9" w:rsidP="00DC54F7">
      <w:pPr>
        <w:spacing w:after="0" w:line="240" w:lineRule="auto"/>
        <w:contextualSpacing/>
        <w:jc w:val="both"/>
        <w:rPr>
          <w:rFonts w:ascii="Arial" w:hAnsi="Arial" w:cs="Arial"/>
          <w:b/>
          <w:sz w:val="24"/>
          <w:szCs w:val="24"/>
        </w:rPr>
      </w:pPr>
    </w:p>
    <w:p w14:paraId="18A0EA8F" w14:textId="77777777" w:rsidR="000E2FA9" w:rsidRDefault="000E2FA9" w:rsidP="00DC54F7">
      <w:pPr>
        <w:spacing w:after="0" w:line="240" w:lineRule="auto"/>
        <w:contextualSpacing/>
        <w:jc w:val="both"/>
        <w:rPr>
          <w:rFonts w:ascii="Arial" w:hAnsi="Arial" w:cs="Arial"/>
          <w:b/>
          <w:sz w:val="24"/>
          <w:szCs w:val="24"/>
        </w:rPr>
      </w:pPr>
    </w:p>
    <w:p w14:paraId="40B3BC12" w14:textId="77777777" w:rsidR="000E2FA9" w:rsidRDefault="000E2FA9" w:rsidP="00DC54F7">
      <w:pPr>
        <w:spacing w:after="0" w:line="240" w:lineRule="auto"/>
        <w:contextualSpacing/>
        <w:jc w:val="both"/>
        <w:rPr>
          <w:rFonts w:ascii="Arial" w:hAnsi="Arial" w:cs="Arial"/>
          <w:b/>
          <w:sz w:val="24"/>
          <w:szCs w:val="24"/>
        </w:rPr>
      </w:pPr>
    </w:p>
    <w:p w14:paraId="0265480D" w14:textId="77777777" w:rsidR="000E2FA9" w:rsidRDefault="000E2FA9" w:rsidP="00DC54F7">
      <w:pPr>
        <w:spacing w:after="0" w:line="240" w:lineRule="auto"/>
        <w:contextualSpacing/>
        <w:jc w:val="both"/>
        <w:rPr>
          <w:rFonts w:ascii="Arial" w:hAnsi="Arial" w:cs="Arial"/>
          <w:b/>
          <w:sz w:val="24"/>
          <w:szCs w:val="24"/>
        </w:rPr>
      </w:pPr>
    </w:p>
    <w:p w14:paraId="7B848E87" w14:textId="77777777" w:rsidR="000E2FA9" w:rsidRDefault="000E2FA9" w:rsidP="00DC54F7">
      <w:pPr>
        <w:spacing w:after="0" w:line="240" w:lineRule="auto"/>
        <w:contextualSpacing/>
        <w:jc w:val="both"/>
        <w:rPr>
          <w:rFonts w:ascii="Arial" w:hAnsi="Arial" w:cs="Arial"/>
          <w:b/>
          <w:sz w:val="24"/>
          <w:szCs w:val="24"/>
        </w:rPr>
      </w:pPr>
    </w:p>
    <w:p w14:paraId="2C13C164" w14:textId="77777777" w:rsidR="000E2FA9" w:rsidRDefault="000E2FA9" w:rsidP="00DC54F7">
      <w:pPr>
        <w:spacing w:after="0" w:line="240" w:lineRule="auto"/>
        <w:contextualSpacing/>
        <w:jc w:val="both"/>
        <w:rPr>
          <w:rFonts w:ascii="Arial" w:hAnsi="Arial" w:cs="Arial"/>
          <w:b/>
          <w:sz w:val="24"/>
          <w:szCs w:val="24"/>
        </w:rPr>
      </w:pPr>
    </w:p>
    <w:p w14:paraId="4105A311" w14:textId="77777777" w:rsidR="000E2FA9" w:rsidRDefault="000E2FA9" w:rsidP="00DC54F7">
      <w:pPr>
        <w:spacing w:after="0" w:line="240" w:lineRule="auto"/>
        <w:contextualSpacing/>
        <w:jc w:val="both"/>
        <w:rPr>
          <w:rFonts w:ascii="Arial" w:hAnsi="Arial" w:cs="Arial"/>
          <w:b/>
          <w:sz w:val="24"/>
          <w:szCs w:val="24"/>
        </w:rPr>
      </w:pPr>
    </w:p>
    <w:p w14:paraId="7028C402" w14:textId="0CEED247" w:rsidR="00803A96" w:rsidRPr="000E2FA9" w:rsidRDefault="00F72065" w:rsidP="00DC54F7">
      <w:pPr>
        <w:spacing w:after="0" w:line="240" w:lineRule="auto"/>
        <w:contextualSpacing/>
        <w:jc w:val="both"/>
        <w:rPr>
          <w:rFonts w:ascii="Arial" w:hAnsi="Arial" w:cs="Arial"/>
          <w:b/>
          <w:sz w:val="24"/>
          <w:szCs w:val="24"/>
        </w:rPr>
      </w:pPr>
      <w:r w:rsidRPr="000E2FA9">
        <w:rPr>
          <w:rFonts w:ascii="Arial" w:hAnsi="Arial" w:cs="Arial"/>
          <w:b/>
          <w:sz w:val="24"/>
          <w:szCs w:val="24"/>
        </w:rPr>
        <w:t xml:space="preserve">Map </w:t>
      </w:r>
      <w:r w:rsidR="00963453" w:rsidRPr="000E2FA9">
        <w:rPr>
          <w:rFonts w:ascii="Arial" w:hAnsi="Arial" w:cs="Arial"/>
          <w:b/>
          <w:sz w:val="24"/>
          <w:szCs w:val="24"/>
        </w:rPr>
        <w:t>5.5:</w:t>
      </w:r>
      <w:r w:rsidR="00B02D8C" w:rsidRPr="000E2FA9">
        <w:rPr>
          <w:rFonts w:ascii="Arial" w:hAnsi="Arial" w:cs="Arial"/>
          <w:b/>
          <w:sz w:val="24"/>
          <w:szCs w:val="24"/>
        </w:rPr>
        <w:t xml:space="preserve"> </w:t>
      </w:r>
      <w:r w:rsidR="00963453" w:rsidRPr="000E2FA9">
        <w:rPr>
          <w:rFonts w:ascii="Arial" w:hAnsi="Arial" w:cs="Arial"/>
          <w:b/>
          <w:sz w:val="24"/>
          <w:szCs w:val="24"/>
        </w:rPr>
        <w:t>L</w:t>
      </w:r>
      <w:r w:rsidR="00B02D8C" w:rsidRPr="000E2FA9">
        <w:rPr>
          <w:rFonts w:ascii="Arial" w:hAnsi="Arial" w:cs="Arial"/>
          <w:b/>
          <w:sz w:val="24"/>
          <w:szCs w:val="24"/>
        </w:rPr>
        <w:t xml:space="preserve">ocation of the pharmacies providing </w:t>
      </w:r>
      <w:r w:rsidR="0048476A" w:rsidRPr="000E2FA9">
        <w:rPr>
          <w:rFonts w:ascii="Arial" w:hAnsi="Arial" w:cs="Arial"/>
          <w:b/>
          <w:sz w:val="24"/>
          <w:szCs w:val="24"/>
        </w:rPr>
        <w:t>DMRs</w:t>
      </w:r>
      <w:r w:rsidR="00B02D8C" w:rsidRPr="000E2FA9">
        <w:rPr>
          <w:rFonts w:ascii="Arial" w:hAnsi="Arial" w:cs="Arial"/>
          <w:b/>
          <w:sz w:val="24"/>
          <w:szCs w:val="24"/>
        </w:rPr>
        <w:t xml:space="preserve"> in 201</w:t>
      </w:r>
      <w:r w:rsidR="00E82C65" w:rsidRPr="000E2FA9">
        <w:rPr>
          <w:rFonts w:ascii="Arial" w:hAnsi="Arial" w:cs="Arial"/>
          <w:b/>
          <w:sz w:val="24"/>
          <w:szCs w:val="24"/>
        </w:rPr>
        <w:t>9</w:t>
      </w:r>
      <w:r w:rsidR="00803A96" w:rsidRPr="000E2FA9">
        <w:rPr>
          <w:rFonts w:ascii="Arial" w:hAnsi="Arial" w:cs="Arial"/>
          <w:b/>
          <w:sz w:val="24"/>
          <w:szCs w:val="24"/>
        </w:rPr>
        <w:t xml:space="preserve"> to </w:t>
      </w:r>
      <w:r w:rsidR="00E82C65" w:rsidRPr="000E2FA9">
        <w:rPr>
          <w:rFonts w:ascii="Arial" w:hAnsi="Arial" w:cs="Arial"/>
          <w:b/>
          <w:sz w:val="24"/>
          <w:szCs w:val="24"/>
        </w:rPr>
        <w:t>20</w:t>
      </w:r>
      <w:r w:rsidR="00803A96" w:rsidRPr="000E2FA9">
        <w:rPr>
          <w:rFonts w:ascii="Arial" w:hAnsi="Arial" w:cs="Arial"/>
          <w:b/>
          <w:sz w:val="24"/>
          <w:szCs w:val="24"/>
        </w:rPr>
        <w:t>20</w:t>
      </w:r>
    </w:p>
    <w:p w14:paraId="67CA11B6" w14:textId="243675AB" w:rsidR="00803A96" w:rsidRDefault="008B395B" w:rsidP="00DC54F7">
      <w:pPr>
        <w:spacing w:after="0" w:line="240" w:lineRule="auto"/>
        <w:contextualSpacing/>
        <w:jc w:val="both"/>
        <w:rPr>
          <w:rFonts w:ascii="Arial" w:hAnsi="Arial" w:cs="Arial"/>
          <w:b/>
        </w:rPr>
      </w:pPr>
      <w:r>
        <w:rPr>
          <w:noProof/>
          <w:lang w:eastAsia="en-GB"/>
        </w:rPr>
        <w:drawing>
          <wp:inline distT="0" distB="0" distL="0" distR="0" wp14:anchorId="3300E865" wp14:editId="68D195F3">
            <wp:extent cx="5731281" cy="3870252"/>
            <wp:effectExtent l="0" t="0" r="317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743045" cy="3878196"/>
                    </a:xfrm>
                    <a:prstGeom prst="rect">
                      <a:avLst/>
                    </a:prstGeom>
                    <a:noFill/>
                    <a:ln>
                      <a:noFill/>
                    </a:ln>
                  </pic:spPr>
                </pic:pic>
              </a:graphicData>
            </a:graphic>
          </wp:inline>
        </w:drawing>
      </w:r>
    </w:p>
    <w:p w14:paraId="2B37185E" w14:textId="7AE7BE3F" w:rsidR="000E2FA9" w:rsidRPr="007E7CAE" w:rsidRDefault="005C4C0C" w:rsidP="00DC54F7">
      <w:pPr>
        <w:spacing w:after="0" w:line="240" w:lineRule="auto"/>
        <w:contextualSpacing/>
        <w:jc w:val="both"/>
        <w:rPr>
          <w:rFonts w:ascii="Arial" w:hAnsi="Arial" w:cs="Arial"/>
          <w:b/>
        </w:rPr>
      </w:pPr>
      <w:r>
        <w:rPr>
          <w:noProof/>
          <w:lang w:eastAsia="en-GB"/>
        </w:rPr>
        <w:drawing>
          <wp:inline distT="0" distB="0" distL="0" distR="0" wp14:anchorId="1D4D05AB" wp14:editId="42112423">
            <wp:extent cx="5731510" cy="4327451"/>
            <wp:effectExtent l="0" t="0" r="254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741155" cy="4334733"/>
                    </a:xfrm>
                    <a:prstGeom prst="rect">
                      <a:avLst/>
                    </a:prstGeom>
                    <a:noFill/>
                    <a:ln>
                      <a:noFill/>
                    </a:ln>
                  </pic:spPr>
                </pic:pic>
              </a:graphicData>
            </a:graphic>
          </wp:inline>
        </w:drawing>
      </w:r>
      <w:r w:rsidR="000E2FA9">
        <w:rPr>
          <w:rFonts w:ascii="Arial" w:hAnsi="Arial" w:cs="Arial"/>
        </w:rPr>
        <w:br w:type="page"/>
      </w:r>
    </w:p>
    <w:p w14:paraId="3E0FCDC1" w14:textId="64D5F90A" w:rsidR="00420A21" w:rsidRPr="000E2FA9" w:rsidRDefault="00420A21" w:rsidP="00DC54F7">
      <w:pPr>
        <w:spacing w:after="0" w:line="240" w:lineRule="auto"/>
        <w:contextualSpacing/>
        <w:jc w:val="both"/>
        <w:rPr>
          <w:rFonts w:ascii="Arial" w:hAnsi="Arial" w:cs="Arial"/>
          <w:b/>
          <w:sz w:val="24"/>
          <w:szCs w:val="24"/>
        </w:rPr>
      </w:pPr>
      <w:r w:rsidRPr="000E2FA9">
        <w:rPr>
          <w:rFonts w:ascii="Arial" w:hAnsi="Arial" w:cs="Arial"/>
          <w:sz w:val="24"/>
          <w:szCs w:val="24"/>
        </w:rPr>
        <w:lastRenderedPageBreak/>
        <w:t>Based upon the level of provision in 201</w:t>
      </w:r>
      <w:r w:rsidR="004322CC" w:rsidRPr="000E2FA9">
        <w:rPr>
          <w:rFonts w:ascii="Arial" w:hAnsi="Arial" w:cs="Arial"/>
          <w:sz w:val="24"/>
          <w:szCs w:val="24"/>
        </w:rPr>
        <w:t>8</w:t>
      </w:r>
      <w:r w:rsidR="00963453" w:rsidRPr="000E2FA9">
        <w:rPr>
          <w:rFonts w:ascii="Arial" w:hAnsi="Arial" w:cs="Arial"/>
          <w:sz w:val="24"/>
          <w:szCs w:val="24"/>
        </w:rPr>
        <w:t xml:space="preserve"> to 20</w:t>
      </w:r>
      <w:r w:rsidR="004322CC" w:rsidRPr="000E2FA9">
        <w:rPr>
          <w:rFonts w:ascii="Arial" w:hAnsi="Arial" w:cs="Arial"/>
          <w:sz w:val="24"/>
          <w:szCs w:val="24"/>
        </w:rPr>
        <w:t>19</w:t>
      </w:r>
      <w:r w:rsidRPr="000E2FA9">
        <w:rPr>
          <w:rFonts w:ascii="Arial" w:hAnsi="Arial" w:cs="Arial"/>
          <w:sz w:val="24"/>
          <w:szCs w:val="24"/>
        </w:rPr>
        <w:t xml:space="preserve"> </w:t>
      </w:r>
      <w:r w:rsidR="00963453" w:rsidRPr="000E2FA9">
        <w:rPr>
          <w:rFonts w:ascii="Arial" w:hAnsi="Arial" w:cs="Arial"/>
          <w:sz w:val="24"/>
          <w:szCs w:val="24"/>
        </w:rPr>
        <w:t xml:space="preserve">and 2019 to 2020, </w:t>
      </w:r>
      <w:r w:rsidRPr="000E2FA9">
        <w:rPr>
          <w:rFonts w:ascii="Arial" w:hAnsi="Arial" w:cs="Arial"/>
          <w:sz w:val="24"/>
          <w:szCs w:val="24"/>
        </w:rPr>
        <w:t xml:space="preserve">the health board is satisfied that there is sufficient capacity within existing contractors to provide more </w:t>
      </w:r>
      <w:r w:rsidR="0048476A" w:rsidRPr="000E2FA9">
        <w:rPr>
          <w:rFonts w:ascii="Arial" w:hAnsi="Arial" w:cs="Arial"/>
          <w:sz w:val="24"/>
          <w:szCs w:val="24"/>
        </w:rPr>
        <w:t>D</w:t>
      </w:r>
      <w:r w:rsidR="00590656" w:rsidRPr="000E2FA9">
        <w:rPr>
          <w:rFonts w:ascii="Arial" w:hAnsi="Arial" w:cs="Arial"/>
          <w:sz w:val="24"/>
          <w:szCs w:val="24"/>
        </w:rPr>
        <w:t>MRs</w:t>
      </w:r>
      <w:r w:rsidRPr="000E2FA9">
        <w:rPr>
          <w:rFonts w:ascii="Arial" w:hAnsi="Arial" w:cs="Arial"/>
          <w:sz w:val="24"/>
          <w:szCs w:val="24"/>
        </w:rPr>
        <w:t>:</w:t>
      </w:r>
    </w:p>
    <w:p w14:paraId="7F5534D5" w14:textId="77777777" w:rsidR="00420A21" w:rsidRPr="000E2FA9" w:rsidRDefault="00420A21" w:rsidP="00DC54F7">
      <w:pPr>
        <w:spacing w:after="0" w:line="240" w:lineRule="auto"/>
        <w:contextualSpacing/>
        <w:jc w:val="both"/>
        <w:rPr>
          <w:rFonts w:ascii="Arial" w:hAnsi="Arial" w:cs="Arial"/>
          <w:sz w:val="24"/>
          <w:szCs w:val="24"/>
        </w:rPr>
      </w:pPr>
    </w:p>
    <w:p w14:paraId="5B732233" w14:textId="4B066E7B" w:rsidR="000B31B3" w:rsidRPr="000E2FA9" w:rsidRDefault="00963453" w:rsidP="00DC54F7">
      <w:pPr>
        <w:pStyle w:val="ListParagraph"/>
        <w:numPr>
          <w:ilvl w:val="0"/>
          <w:numId w:val="41"/>
        </w:numPr>
        <w:spacing w:after="0" w:line="240" w:lineRule="auto"/>
        <w:jc w:val="both"/>
        <w:rPr>
          <w:rFonts w:ascii="Arial" w:hAnsi="Arial" w:cs="Arial"/>
          <w:sz w:val="24"/>
          <w:szCs w:val="24"/>
        </w:rPr>
      </w:pPr>
      <w:r w:rsidRPr="000E2FA9">
        <w:rPr>
          <w:rFonts w:ascii="Arial" w:hAnsi="Arial" w:cs="Arial"/>
          <w:sz w:val="24"/>
          <w:szCs w:val="24"/>
        </w:rPr>
        <w:t>In 2019 to 2020,</w:t>
      </w:r>
      <w:r w:rsidR="00AA0B41" w:rsidRPr="000E2FA9">
        <w:rPr>
          <w:rFonts w:ascii="Arial" w:hAnsi="Arial" w:cs="Arial"/>
          <w:sz w:val="24"/>
          <w:szCs w:val="24"/>
        </w:rPr>
        <w:t>16 pharmacies did not provide the service</w:t>
      </w:r>
      <w:r w:rsidR="00D54916" w:rsidRPr="000E2FA9">
        <w:rPr>
          <w:rFonts w:ascii="Arial" w:hAnsi="Arial" w:cs="Arial"/>
          <w:sz w:val="24"/>
          <w:szCs w:val="24"/>
        </w:rPr>
        <w:t xml:space="preserve">. </w:t>
      </w:r>
    </w:p>
    <w:p w14:paraId="01E6AADF" w14:textId="21072922" w:rsidR="00420A21" w:rsidRPr="000E2FA9" w:rsidRDefault="000B31B3" w:rsidP="00DC54F7">
      <w:pPr>
        <w:pStyle w:val="ListParagraph"/>
        <w:numPr>
          <w:ilvl w:val="0"/>
          <w:numId w:val="41"/>
        </w:numPr>
        <w:spacing w:after="0" w:line="240" w:lineRule="auto"/>
        <w:jc w:val="both"/>
        <w:rPr>
          <w:rFonts w:ascii="Arial" w:hAnsi="Arial" w:cs="Arial"/>
          <w:sz w:val="24"/>
          <w:szCs w:val="24"/>
        </w:rPr>
      </w:pPr>
      <w:r w:rsidRPr="000E2FA9">
        <w:rPr>
          <w:rFonts w:ascii="Arial" w:hAnsi="Arial" w:cs="Arial"/>
          <w:sz w:val="24"/>
          <w:szCs w:val="24"/>
        </w:rPr>
        <w:t xml:space="preserve">Of the 91 pharmacies that did, </w:t>
      </w:r>
      <w:r w:rsidR="00660B20" w:rsidRPr="000E2FA9">
        <w:rPr>
          <w:rFonts w:ascii="Arial" w:hAnsi="Arial" w:cs="Arial"/>
          <w:sz w:val="24"/>
          <w:szCs w:val="24"/>
        </w:rPr>
        <w:t xml:space="preserve">87 </w:t>
      </w:r>
      <w:r w:rsidR="00420A21" w:rsidRPr="000E2FA9">
        <w:rPr>
          <w:rFonts w:ascii="Arial" w:hAnsi="Arial" w:cs="Arial"/>
          <w:sz w:val="24"/>
          <w:szCs w:val="24"/>
        </w:rPr>
        <w:t>pharmacies (</w:t>
      </w:r>
      <w:r w:rsidR="00612D59" w:rsidRPr="000E2FA9">
        <w:rPr>
          <w:rFonts w:ascii="Arial" w:hAnsi="Arial" w:cs="Arial"/>
          <w:sz w:val="24"/>
          <w:szCs w:val="24"/>
        </w:rPr>
        <w:t>96</w:t>
      </w:r>
      <w:r w:rsidR="00420A21" w:rsidRPr="000E2FA9">
        <w:rPr>
          <w:rFonts w:ascii="Arial" w:hAnsi="Arial" w:cs="Arial"/>
          <w:sz w:val="24"/>
          <w:szCs w:val="24"/>
        </w:rPr>
        <w:t xml:space="preserve">%) provided less than the maximum annual number of </w:t>
      </w:r>
      <w:r w:rsidR="00C4430F" w:rsidRPr="000E2FA9">
        <w:rPr>
          <w:rFonts w:ascii="Arial" w:hAnsi="Arial" w:cs="Arial"/>
          <w:sz w:val="24"/>
          <w:szCs w:val="24"/>
        </w:rPr>
        <w:t xml:space="preserve">140 </w:t>
      </w:r>
      <w:r w:rsidR="0048476A" w:rsidRPr="000E2FA9">
        <w:rPr>
          <w:rFonts w:ascii="Arial" w:hAnsi="Arial" w:cs="Arial"/>
          <w:sz w:val="24"/>
          <w:szCs w:val="24"/>
        </w:rPr>
        <w:t>DMRs</w:t>
      </w:r>
      <w:r w:rsidR="00420A21" w:rsidRPr="000E2FA9">
        <w:rPr>
          <w:rFonts w:ascii="Arial" w:hAnsi="Arial" w:cs="Arial"/>
          <w:sz w:val="24"/>
          <w:szCs w:val="24"/>
        </w:rPr>
        <w:t xml:space="preserve"> of which </w:t>
      </w:r>
      <w:r w:rsidR="00AD3D11" w:rsidRPr="000E2FA9">
        <w:rPr>
          <w:rFonts w:ascii="Arial" w:hAnsi="Arial" w:cs="Arial"/>
          <w:sz w:val="24"/>
          <w:szCs w:val="24"/>
        </w:rPr>
        <w:t>78</w:t>
      </w:r>
      <w:r w:rsidR="00420A21" w:rsidRPr="000E2FA9">
        <w:rPr>
          <w:rFonts w:ascii="Arial" w:hAnsi="Arial" w:cs="Arial"/>
          <w:sz w:val="24"/>
          <w:szCs w:val="24"/>
        </w:rPr>
        <w:t xml:space="preserve"> pharmacies </w:t>
      </w:r>
      <w:r w:rsidR="00973EEE" w:rsidRPr="000E2FA9">
        <w:rPr>
          <w:rFonts w:ascii="Arial" w:hAnsi="Arial" w:cs="Arial"/>
          <w:sz w:val="24"/>
          <w:szCs w:val="24"/>
        </w:rPr>
        <w:t>(86</w:t>
      </w:r>
      <w:r w:rsidR="00420A21" w:rsidRPr="000E2FA9">
        <w:rPr>
          <w:rFonts w:ascii="Arial" w:hAnsi="Arial" w:cs="Arial"/>
          <w:sz w:val="24"/>
          <w:szCs w:val="24"/>
        </w:rPr>
        <w:t xml:space="preserve">%) provided less than </w:t>
      </w:r>
      <w:r w:rsidR="00826B2B" w:rsidRPr="000E2FA9">
        <w:rPr>
          <w:rFonts w:ascii="Arial" w:hAnsi="Arial" w:cs="Arial"/>
          <w:sz w:val="24"/>
          <w:szCs w:val="24"/>
        </w:rPr>
        <w:t>70</w:t>
      </w:r>
      <w:r w:rsidR="00420A21" w:rsidRPr="000E2FA9">
        <w:rPr>
          <w:rFonts w:ascii="Arial" w:hAnsi="Arial" w:cs="Arial"/>
          <w:sz w:val="24"/>
          <w:szCs w:val="24"/>
        </w:rPr>
        <w:t xml:space="preserve"> </w:t>
      </w:r>
      <w:r w:rsidR="0048476A" w:rsidRPr="000E2FA9">
        <w:rPr>
          <w:rFonts w:ascii="Arial" w:hAnsi="Arial" w:cs="Arial"/>
          <w:sz w:val="24"/>
          <w:szCs w:val="24"/>
        </w:rPr>
        <w:t>DMRs</w:t>
      </w:r>
      <w:r w:rsidR="00973EEE" w:rsidRPr="000E2FA9">
        <w:rPr>
          <w:rFonts w:ascii="Arial" w:hAnsi="Arial" w:cs="Arial"/>
          <w:sz w:val="24"/>
          <w:szCs w:val="24"/>
        </w:rPr>
        <w:t>.</w:t>
      </w:r>
    </w:p>
    <w:p w14:paraId="4400FF09" w14:textId="1925CB7C" w:rsidR="001E2E11" w:rsidRPr="000E2FA9" w:rsidRDefault="001E2E11" w:rsidP="00DC54F7">
      <w:pPr>
        <w:spacing w:after="0" w:line="240" w:lineRule="auto"/>
        <w:jc w:val="both"/>
        <w:rPr>
          <w:rFonts w:ascii="Arial" w:hAnsi="Arial" w:cs="Arial"/>
          <w:sz w:val="24"/>
          <w:szCs w:val="24"/>
        </w:rPr>
      </w:pPr>
    </w:p>
    <w:p w14:paraId="67B1B1FC" w14:textId="34272022" w:rsidR="00D15F82" w:rsidRPr="000E2FA9" w:rsidRDefault="00D15F82" w:rsidP="00DC54F7">
      <w:pPr>
        <w:spacing w:after="0" w:line="240" w:lineRule="auto"/>
        <w:jc w:val="both"/>
        <w:rPr>
          <w:rFonts w:ascii="Arial" w:hAnsi="Arial" w:cs="Arial"/>
          <w:sz w:val="24"/>
          <w:szCs w:val="24"/>
        </w:rPr>
      </w:pPr>
      <w:r w:rsidRPr="000E2FA9">
        <w:rPr>
          <w:rFonts w:ascii="Arial" w:hAnsi="Arial" w:cs="Arial"/>
          <w:sz w:val="24"/>
          <w:szCs w:val="24"/>
        </w:rPr>
        <w:t xml:space="preserve">Furthermore, as part of the changes to the Community Pharmacy Contractual Framework for 2021, the cap for the number of paid DMRs has now been removed enabling pharmacies to provide more than 140 DMRs each year. </w:t>
      </w:r>
      <w:r w:rsidR="00D517C5" w:rsidRPr="000E2FA9">
        <w:rPr>
          <w:rFonts w:ascii="Arial" w:hAnsi="Arial" w:cs="Arial"/>
          <w:sz w:val="24"/>
          <w:szCs w:val="24"/>
        </w:rPr>
        <w:t xml:space="preserve">There is no reason to suggest that service capacity has changed during 2020 to 2021. </w:t>
      </w:r>
      <w:r w:rsidRPr="000E2FA9">
        <w:rPr>
          <w:rFonts w:ascii="Arial" w:hAnsi="Arial" w:cs="Arial"/>
          <w:sz w:val="24"/>
          <w:szCs w:val="24"/>
        </w:rPr>
        <w:t>However, it is acknowledged that the Coronavirus (COVID-19) pandemic will have affected the provision and need for this service during 2020 to 2021. Further analysis is undertaken within the cluster chapters.</w:t>
      </w:r>
    </w:p>
    <w:p w14:paraId="27060F7A" w14:textId="77777777" w:rsidR="00D15F82" w:rsidRPr="000E2FA9" w:rsidRDefault="00D15F82" w:rsidP="00DC54F7">
      <w:pPr>
        <w:contextualSpacing/>
        <w:jc w:val="both"/>
        <w:rPr>
          <w:rFonts w:ascii="Arial" w:hAnsi="Arial" w:cs="Arial"/>
          <w:sz w:val="24"/>
          <w:szCs w:val="24"/>
        </w:rPr>
      </w:pPr>
      <w:r w:rsidRPr="000E2FA9">
        <w:rPr>
          <w:rFonts w:ascii="Arial" w:hAnsi="Arial" w:cs="Arial"/>
          <w:sz w:val="24"/>
          <w:szCs w:val="24"/>
        </w:rPr>
        <w:t>.</w:t>
      </w:r>
    </w:p>
    <w:p w14:paraId="702BED06" w14:textId="77777777" w:rsidR="0023063B" w:rsidRPr="000E2FA9" w:rsidRDefault="0023063B" w:rsidP="00DC54F7">
      <w:pPr>
        <w:spacing w:after="0" w:line="240" w:lineRule="auto"/>
        <w:jc w:val="both"/>
        <w:rPr>
          <w:rFonts w:ascii="Arial" w:hAnsi="Arial" w:cs="Arial"/>
          <w:sz w:val="24"/>
          <w:szCs w:val="24"/>
        </w:rPr>
      </w:pPr>
    </w:p>
    <w:p w14:paraId="60310404" w14:textId="53FC98ED" w:rsidR="00420A21" w:rsidRPr="000E2FA9" w:rsidRDefault="00420A21" w:rsidP="00DC54F7">
      <w:pPr>
        <w:spacing w:after="0" w:line="240" w:lineRule="auto"/>
        <w:jc w:val="both"/>
        <w:rPr>
          <w:rFonts w:ascii="Arial" w:hAnsi="Arial" w:cs="Arial"/>
          <w:b/>
          <w:sz w:val="24"/>
          <w:szCs w:val="24"/>
        </w:rPr>
      </w:pPr>
      <w:r w:rsidRPr="000E2FA9">
        <w:rPr>
          <w:rFonts w:ascii="Arial" w:hAnsi="Arial" w:cs="Arial"/>
          <w:b/>
          <w:sz w:val="24"/>
          <w:szCs w:val="24"/>
        </w:rPr>
        <w:t>5.1.5 Access to Appliance Use Review</w:t>
      </w:r>
      <w:r w:rsidR="002D1C47" w:rsidRPr="000E2FA9">
        <w:rPr>
          <w:rFonts w:ascii="Arial" w:hAnsi="Arial" w:cs="Arial"/>
          <w:b/>
          <w:sz w:val="24"/>
          <w:szCs w:val="24"/>
        </w:rPr>
        <w:t xml:space="preserve"> </w:t>
      </w:r>
      <w:r w:rsidR="00C95944" w:rsidRPr="000E2FA9">
        <w:rPr>
          <w:rFonts w:ascii="Arial" w:hAnsi="Arial" w:cs="Arial"/>
          <w:b/>
          <w:sz w:val="24"/>
          <w:szCs w:val="24"/>
        </w:rPr>
        <w:t>Advanced S</w:t>
      </w:r>
      <w:r w:rsidR="002D1C47" w:rsidRPr="000E2FA9">
        <w:rPr>
          <w:rFonts w:ascii="Arial" w:hAnsi="Arial" w:cs="Arial"/>
          <w:b/>
          <w:sz w:val="24"/>
          <w:szCs w:val="24"/>
        </w:rPr>
        <w:t>ervice</w:t>
      </w:r>
    </w:p>
    <w:p w14:paraId="53740051" w14:textId="77777777" w:rsidR="00420A21" w:rsidRPr="000E2FA9" w:rsidRDefault="00420A21" w:rsidP="00DC54F7">
      <w:pPr>
        <w:spacing w:after="0" w:line="240" w:lineRule="auto"/>
        <w:contextualSpacing/>
        <w:jc w:val="both"/>
        <w:rPr>
          <w:rFonts w:ascii="Arial" w:hAnsi="Arial" w:cs="Arial"/>
          <w:sz w:val="24"/>
          <w:szCs w:val="24"/>
        </w:rPr>
      </w:pPr>
    </w:p>
    <w:p w14:paraId="03719CD7" w14:textId="77777777" w:rsidR="00FE20B6" w:rsidRPr="000E2FA9" w:rsidRDefault="000D0BD8" w:rsidP="00DC54F7">
      <w:pPr>
        <w:spacing w:after="0" w:line="240" w:lineRule="auto"/>
        <w:contextualSpacing/>
        <w:jc w:val="both"/>
        <w:rPr>
          <w:rFonts w:ascii="Arial" w:hAnsi="Arial" w:cs="Arial"/>
          <w:sz w:val="24"/>
          <w:szCs w:val="24"/>
        </w:rPr>
      </w:pPr>
      <w:r w:rsidRPr="000E2FA9">
        <w:rPr>
          <w:rFonts w:ascii="Arial" w:hAnsi="Arial" w:cs="Arial"/>
          <w:sz w:val="24"/>
          <w:szCs w:val="24"/>
        </w:rPr>
        <w:t>No pharmacies provided this service</w:t>
      </w:r>
      <w:r w:rsidR="00C54572" w:rsidRPr="000E2FA9">
        <w:rPr>
          <w:rFonts w:ascii="Arial" w:hAnsi="Arial" w:cs="Arial"/>
          <w:sz w:val="24"/>
          <w:szCs w:val="24"/>
        </w:rPr>
        <w:t xml:space="preserve"> between 2018 to 2019 and </w:t>
      </w:r>
      <w:r w:rsidR="007927A0" w:rsidRPr="000E2FA9">
        <w:rPr>
          <w:rFonts w:ascii="Arial" w:hAnsi="Arial" w:cs="Arial"/>
          <w:sz w:val="24"/>
          <w:szCs w:val="24"/>
        </w:rPr>
        <w:t>the first five months of 2020</w:t>
      </w:r>
      <w:r w:rsidR="00FE20B6" w:rsidRPr="000E2FA9">
        <w:rPr>
          <w:rFonts w:ascii="Arial" w:hAnsi="Arial" w:cs="Arial"/>
          <w:sz w:val="24"/>
          <w:szCs w:val="24"/>
        </w:rPr>
        <w:t xml:space="preserve"> to 20</w:t>
      </w:r>
      <w:r w:rsidR="007927A0" w:rsidRPr="000E2FA9">
        <w:rPr>
          <w:rFonts w:ascii="Arial" w:hAnsi="Arial" w:cs="Arial"/>
          <w:sz w:val="24"/>
          <w:szCs w:val="24"/>
        </w:rPr>
        <w:t xml:space="preserve">21. </w:t>
      </w:r>
    </w:p>
    <w:p w14:paraId="1FAFEA0B" w14:textId="77777777" w:rsidR="00FE20B6" w:rsidRPr="000E2FA9" w:rsidRDefault="00FE20B6" w:rsidP="00DC54F7">
      <w:pPr>
        <w:spacing w:after="0" w:line="240" w:lineRule="auto"/>
        <w:contextualSpacing/>
        <w:jc w:val="both"/>
        <w:rPr>
          <w:rFonts w:ascii="Arial" w:hAnsi="Arial" w:cs="Arial"/>
          <w:sz w:val="24"/>
          <w:szCs w:val="24"/>
        </w:rPr>
      </w:pPr>
    </w:p>
    <w:p w14:paraId="243D0EBA" w14:textId="40797B9A" w:rsidR="00420A21" w:rsidRPr="000E2FA9" w:rsidRDefault="002B7D3E" w:rsidP="00DC54F7">
      <w:pPr>
        <w:spacing w:after="0" w:line="240" w:lineRule="auto"/>
        <w:contextualSpacing/>
        <w:jc w:val="both"/>
        <w:rPr>
          <w:rFonts w:ascii="Arial" w:hAnsi="Arial" w:cs="Arial"/>
          <w:sz w:val="24"/>
          <w:szCs w:val="24"/>
        </w:rPr>
      </w:pPr>
      <w:r w:rsidRPr="000E2FA9">
        <w:rPr>
          <w:rFonts w:ascii="Arial" w:hAnsi="Arial" w:cs="Arial"/>
          <w:sz w:val="24"/>
          <w:szCs w:val="24"/>
        </w:rPr>
        <w:t>Of the four appliance contractors based in Cardiff</w:t>
      </w:r>
      <w:r w:rsidR="003771F9" w:rsidRPr="000E2FA9">
        <w:rPr>
          <w:rFonts w:ascii="Arial" w:hAnsi="Arial" w:cs="Arial"/>
          <w:sz w:val="24"/>
          <w:szCs w:val="24"/>
        </w:rPr>
        <w:t xml:space="preserve"> and Vale University Health Board</w:t>
      </w:r>
      <w:r w:rsidRPr="000E2FA9">
        <w:rPr>
          <w:rFonts w:ascii="Arial" w:hAnsi="Arial" w:cs="Arial"/>
          <w:sz w:val="24"/>
          <w:szCs w:val="24"/>
        </w:rPr>
        <w:t>,</w:t>
      </w:r>
      <w:r w:rsidR="0068344A" w:rsidRPr="000E2FA9">
        <w:rPr>
          <w:rFonts w:ascii="Arial" w:hAnsi="Arial" w:cs="Arial"/>
          <w:sz w:val="24"/>
          <w:szCs w:val="24"/>
        </w:rPr>
        <w:t xml:space="preserve"> only </w:t>
      </w:r>
      <w:r w:rsidRPr="000E2FA9">
        <w:rPr>
          <w:rFonts w:ascii="Arial" w:hAnsi="Arial" w:cs="Arial"/>
          <w:sz w:val="24"/>
          <w:szCs w:val="24"/>
        </w:rPr>
        <w:t xml:space="preserve">one offers the </w:t>
      </w:r>
      <w:r w:rsidR="001918A7" w:rsidRPr="000E2FA9">
        <w:rPr>
          <w:rFonts w:ascii="Arial" w:hAnsi="Arial" w:cs="Arial"/>
          <w:sz w:val="24"/>
          <w:szCs w:val="24"/>
        </w:rPr>
        <w:t>AUR service</w:t>
      </w:r>
      <w:r w:rsidR="00E77C6B" w:rsidRPr="000E2FA9">
        <w:rPr>
          <w:rFonts w:ascii="Arial" w:hAnsi="Arial" w:cs="Arial"/>
          <w:sz w:val="24"/>
          <w:szCs w:val="24"/>
        </w:rPr>
        <w:t xml:space="preserve"> and provided a total of 2,526 AURs in 2018 to 2019</w:t>
      </w:r>
      <w:r w:rsidR="000A5AD3" w:rsidRPr="000E2FA9">
        <w:rPr>
          <w:rFonts w:ascii="Arial" w:hAnsi="Arial" w:cs="Arial"/>
          <w:sz w:val="24"/>
          <w:szCs w:val="24"/>
        </w:rPr>
        <w:t xml:space="preserve">, </w:t>
      </w:r>
      <w:r w:rsidR="00E77C6B" w:rsidRPr="000E2FA9">
        <w:rPr>
          <w:rFonts w:ascii="Arial" w:hAnsi="Arial" w:cs="Arial"/>
          <w:sz w:val="24"/>
          <w:szCs w:val="24"/>
        </w:rPr>
        <w:t>1,578 AURs</w:t>
      </w:r>
      <w:r w:rsidR="00CC7D0A" w:rsidRPr="000E2FA9">
        <w:rPr>
          <w:rFonts w:ascii="Arial" w:hAnsi="Arial" w:cs="Arial"/>
          <w:sz w:val="24"/>
          <w:szCs w:val="24"/>
        </w:rPr>
        <w:t xml:space="preserve"> were provided</w:t>
      </w:r>
      <w:r w:rsidR="00E77C6B" w:rsidRPr="000E2FA9">
        <w:rPr>
          <w:rFonts w:ascii="Arial" w:hAnsi="Arial" w:cs="Arial"/>
          <w:sz w:val="24"/>
          <w:szCs w:val="24"/>
        </w:rPr>
        <w:t xml:space="preserve"> in 2019 to 2020</w:t>
      </w:r>
      <w:r w:rsidR="000A5AD3" w:rsidRPr="000E2FA9">
        <w:rPr>
          <w:rFonts w:ascii="Arial" w:hAnsi="Arial" w:cs="Arial"/>
          <w:sz w:val="24"/>
          <w:szCs w:val="24"/>
        </w:rPr>
        <w:t xml:space="preserve"> and 326 AURs </w:t>
      </w:r>
      <w:r w:rsidR="00244F7F" w:rsidRPr="000E2FA9">
        <w:rPr>
          <w:rFonts w:ascii="Arial" w:hAnsi="Arial" w:cs="Arial"/>
          <w:sz w:val="24"/>
          <w:szCs w:val="24"/>
        </w:rPr>
        <w:t xml:space="preserve">as of </w:t>
      </w:r>
      <w:r w:rsidR="000A5AD3" w:rsidRPr="000E2FA9">
        <w:rPr>
          <w:rFonts w:ascii="Arial" w:hAnsi="Arial" w:cs="Arial"/>
          <w:sz w:val="24"/>
          <w:szCs w:val="24"/>
        </w:rPr>
        <w:t xml:space="preserve">October 2020. </w:t>
      </w:r>
      <w:r w:rsidR="00420A21" w:rsidRPr="000E2FA9">
        <w:rPr>
          <w:rFonts w:ascii="Arial" w:hAnsi="Arial" w:cs="Arial"/>
          <w:sz w:val="24"/>
          <w:szCs w:val="24"/>
        </w:rPr>
        <w:t>However</w:t>
      </w:r>
      <w:r w:rsidR="007927A0" w:rsidRPr="000E2FA9">
        <w:rPr>
          <w:rFonts w:ascii="Arial" w:hAnsi="Arial" w:cs="Arial"/>
          <w:sz w:val="24"/>
          <w:szCs w:val="24"/>
        </w:rPr>
        <w:t>,</w:t>
      </w:r>
      <w:r w:rsidR="00420A21" w:rsidRPr="000E2FA9">
        <w:rPr>
          <w:rFonts w:ascii="Arial" w:hAnsi="Arial" w:cs="Arial"/>
          <w:sz w:val="24"/>
          <w:szCs w:val="24"/>
        </w:rPr>
        <w:t xml:space="preserve"> due to the fact that </w:t>
      </w:r>
      <w:r w:rsidR="00FE17E9" w:rsidRPr="000E2FA9">
        <w:rPr>
          <w:rFonts w:ascii="Arial" w:hAnsi="Arial" w:cs="Arial"/>
          <w:sz w:val="24"/>
          <w:szCs w:val="24"/>
        </w:rPr>
        <w:t xml:space="preserve">the </w:t>
      </w:r>
      <w:r w:rsidR="00420A21" w:rsidRPr="000E2FA9">
        <w:rPr>
          <w:rFonts w:ascii="Arial" w:hAnsi="Arial" w:cs="Arial"/>
          <w:sz w:val="24"/>
          <w:szCs w:val="24"/>
        </w:rPr>
        <w:t>dispensing appliance contractor provide</w:t>
      </w:r>
      <w:r w:rsidR="0096633F" w:rsidRPr="000E2FA9">
        <w:rPr>
          <w:rFonts w:ascii="Arial" w:hAnsi="Arial" w:cs="Arial"/>
          <w:sz w:val="24"/>
          <w:szCs w:val="24"/>
        </w:rPr>
        <w:t>s</w:t>
      </w:r>
      <w:r w:rsidR="00420A21" w:rsidRPr="000E2FA9">
        <w:rPr>
          <w:rFonts w:ascii="Arial" w:hAnsi="Arial" w:cs="Arial"/>
          <w:sz w:val="24"/>
          <w:szCs w:val="24"/>
        </w:rPr>
        <w:t xml:space="preserve"> services across Wales</w:t>
      </w:r>
      <w:r w:rsidR="00FC5A41" w:rsidRPr="000E2FA9">
        <w:rPr>
          <w:rFonts w:ascii="Arial" w:hAnsi="Arial" w:cs="Arial"/>
          <w:sz w:val="24"/>
          <w:szCs w:val="24"/>
        </w:rPr>
        <w:t xml:space="preserve"> and into England</w:t>
      </w:r>
      <w:r w:rsidR="001E2E11" w:rsidRPr="000E2FA9">
        <w:rPr>
          <w:rFonts w:ascii="Arial" w:hAnsi="Arial" w:cs="Arial"/>
          <w:sz w:val="24"/>
          <w:szCs w:val="24"/>
        </w:rPr>
        <w:t>,</w:t>
      </w:r>
      <w:r w:rsidR="00420A21" w:rsidRPr="000E2FA9">
        <w:rPr>
          <w:rFonts w:ascii="Arial" w:hAnsi="Arial" w:cs="Arial"/>
          <w:sz w:val="24"/>
          <w:szCs w:val="24"/>
        </w:rPr>
        <w:t xml:space="preserve"> not all of these will have been provided for residents of the health board’s area.  Due to the way the data is collated and published it is not known how many of these were provided for the health board’s residents. </w:t>
      </w:r>
    </w:p>
    <w:p w14:paraId="556AAD3E" w14:textId="77777777" w:rsidR="00420A21" w:rsidRPr="000E2FA9" w:rsidRDefault="00420A21" w:rsidP="00DC54F7">
      <w:pPr>
        <w:spacing w:after="0" w:line="240" w:lineRule="auto"/>
        <w:contextualSpacing/>
        <w:jc w:val="both"/>
        <w:rPr>
          <w:rFonts w:ascii="Arial" w:hAnsi="Arial" w:cs="Arial"/>
          <w:sz w:val="24"/>
          <w:szCs w:val="24"/>
        </w:rPr>
      </w:pPr>
    </w:p>
    <w:p w14:paraId="7C6068B6" w14:textId="77777777" w:rsidR="00420A21" w:rsidRPr="000E2FA9" w:rsidRDefault="00420A21" w:rsidP="00DC54F7">
      <w:pPr>
        <w:spacing w:after="0" w:line="240" w:lineRule="auto"/>
        <w:contextualSpacing/>
        <w:jc w:val="both"/>
        <w:rPr>
          <w:rFonts w:ascii="Arial" w:hAnsi="Arial" w:cs="Arial"/>
          <w:sz w:val="24"/>
          <w:szCs w:val="24"/>
        </w:rPr>
      </w:pPr>
    </w:p>
    <w:p w14:paraId="199E0D59" w14:textId="66674259" w:rsidR="00420A21" w:rsidRPr="000E2FA9" w:rsidRDefault="00420A21" w:rsidP="00DC54F7">
      <w:pPr>
        <w:spacing w:after="0" w:line="240" w:lineRule="auto"/>
        <w:jc w:val="both"/>
        <w:rPr>
          <w:rFonts w:ascii="Arial" w:hAnsi="Arial" w:cs="Arial"/>
          <w:b/>
          <w:sz w:val="24"/>
          <w:szCs w:val="24"/>
        </w:rPr>
      </w:pPr>
      <w:r w:rsidRPr="000E2FA9">
        <w:rPr>
          <w:rFonts w:ascii="Arial" w:hAnsi="Arial" w:cs="Arial"/>
          <w:b/>
          <w:sz w:val="24"/>
          <w:szCs w:val="24"/>
        </w:rPr>
        <w:t xml:space="preserve">5.1.6 Access to </w:t>
      </w:r>
      <w:r w:rsidR="002D1C47" w:rsidRPr="000E2FA9">
        <w:rPr>
          <w:rFonts w:ascii="Arial" w:hAnsi="Arial" w:cs="Arial"/>
          <w:b/>
          <w:sz w:val="24"/>
          <w:szCs w:val="24"/>
        </w:rPr>
        <w:t>S</w:t>
      </w:r>
      <w:r w:rsidRPr="000E2FA9">
        <w:rPr>
          <w:rFonts w:ascii="Arial" w:hAnsi="Arial" w:cs="Arial"/>
          <w:b/>
          <w:sz w:val="24"/>
          <w:szCs w:val="24"/>
        </w:rPr>
        <w:t xml:space="preserve">toma </w:t>
      </w:r>
      <w:r w:rsidR="002D1C47" w:rsidRPr="000E2FA9">
        <w:rPr>
          <w:rFonts w:ascii="Arial" w:hAnsi="Arial" w:cs="Arial"/>
          <w:b/>
          <w:sz w:val="24"/>
          <w:szCs w:val="24"/>
        </w:rPr>
        <w:t>A</w:t>
      </w:r>
      <w:r w:rsidRPr="000E2FA9">
        <w:rPr>
          <w:rFonts w:ascii="Arial" w:hAnsi="Arial" w:cs="Arial"/>
          <w:b/>
          <w:sz w:val="24"/>
          <w:szCs w:val="24"/>
        </w:rPr>
        <w:t xml:space="preserve">ppliance </w:t>
      </w:r>
      <w:r w:rsidR="002D1C47" w:rsidRPr="000E2FA9">
        <w:rPr>
          <w:rFonts w:ascii="Arial" w:hAnsi="Arial" w:cs="Arial"/>
          <w:b/>
          <w:sz w:val="24"/>
          <w:szCs w:val="24"/>
        </w:rPr>
        <w:t>C</w:t>
      </w:r>
      <w:r w:rsidRPr="000E2FA9">
        <w:rPr>
          <w:rFonts w:ascii="Arial" w:hAnsi="Arial" w:cs="Arial"/>
          <w:b/>
          <w:sz w:val="24"/>
          <w:szCs w:val="24"/>
        </w:rPr>
        <w:t>ustomisation</w:t>
      </w:r>
      <w:r w:rsidR="00311A0A" w:rsidRPr="000E2FA9">
        <w:rPr>
          <w:rFonts w:ascii="Arial" w:hAnsi="Arial" w:cs="Arial"/>
          <w:b/>
          <w:sz w:val="24"/>
          <w:szCs w:val="24"/>
        </w:rPr>
        <w:t xml:space="preserve"> </w:t>
      </w:r>
      <w:r w:rsidR="000E488D" w:rsidRPr="000E2FA9">
        <w:rPr>
          <w:rFonts w:ascii="Arial" w:hAnsi="Arial" w:cs="Arial"/>
          <w:b/>
          <w:sz w:val="24"/>
          <w:szCs w:val="24"/>
        </w:rPr>
        <w:t xml:space="preserve">(SAC) </w:t>
      </w:r>
      <w:r w:rsidR="00C95944" w:rsidRPr="000E2FA9">
        <w:rPr>
          <w:rFonts w:ascii="Arial" w:hAnsi="Arial" w:cs="Arial"/>
          <w:b/>
          <w:sz w:val="24"/>
          <w:szCs w:val="24"/>
        </w:rPr>
        <w:t>Advanced S</w:t>
      </w:r>
      <w:r w:rsidR="00311A0A" w:rsidRPr="000E2FA9">
        <w:rPr>
          <w:rFonts w:ascii="Arial" w:hAnsi="Arial" w:cs="Arial"/>
          <w:b/>
          <w:sz w:val="24"/>
          <w:szCs w:val="24"/>
        </w:rPr>
        <w:t>ervice</w:t>
      </w:r>
    </w:p>
    <w:p w14:paraId="1C726296" w14:textId="77777777" w:rsidR="0096633F" w:rsidRPr="000E2FA9" w:rsidRDefault="0096633F" w:rsidP="00DC54F7">
      <w:pPr>
        <w:spacing w:after="0" w:line="240" w:lineRule="auto"/>
        <w:contextualSpacing/>
        <w:jc w:val="both"/>
        <w:rPr>
          <w:rFonts w:ascii="Arial" w:hAnsi="Arial" w:cs="Arial"/>
          <w:sz w:val="24"/>
          <w:szCs w:val="24"/>
        </w:rPr>
      </w:pPr>
    </w:p>
    <w:p w14:paraId="22D6EB4C" w14:textId="11414E02" w:rsidR="0096633F" w:rsidRPr="000E2FA9" w:rsidRDefault="003C7996" w:rsidP="00DC54F7">
      <w:pPr>
        <w:spacing w:after="0" w:line="240" w:lineRule="auto"/>
        <w:contextualSpacing/>
        <w:jc w:val="both"/>
        <w:rPr>
          <w:rFonts w:ascii="Arial" w:hAnsi="Arial" w:cs="Arial"/>
          <w:sz w:val="24"/>
          <w:szCs w:val="24"/>
        </w:rPr>
      </w:pPr>
      <w:r w:rsidRPr="000E2FA9">
        <w:rPr>
          <w:rFonts w:ascii="Arial" w:hAnsi="Arial" w:cs="Arial"/>
          <w:sz w:val="24"/>
          <w:szCs w:val="24"/>
        </w:rPr>
        <w:t>No pharmacies provided this service in 2018</w:t>
      </w:r>
      <w:r w:rsidR="0096633F" w:rsidRPr="000E2FA9">
        <w:rPr>
          <w:rFonts w:ascii="Arial" w:hAnsi="Arial" w:cs="Arial"/>
          <w:sz w:val="24"/>
          <w:szCs w:val="24"/>
        </w:rPr>
        <w:t xml:space="preserve"> to 20</w:t>
      </w:r>
      <w:r w:rsidRPr="000E2FA9">
        <w:rPr>
          <w:rFonts w:ascii="Arial" w:hAnsi="Arial" w:cs="Arial"/>
          <w:sz w:val="24"/>
          <w:szCs w:val="24"/>
        </w:rPr>
        <w:t>19</w:t>
      </w:r>
      <w:r w:rsidR="0096633F" w:rsidRPr="000E2FA9">
        <w:rPr>
          <w:rFonts w:ascii="Arial" w:hAnsi="Arial" w:cs="Arial"/>
          <w:sz w:val="24"/>
          <w:szCs w:val="24"/>
        </w:rPr>
        <w:t xml:space="preserve"> </w:t>
      </w:r>
      <w:r w:rsidR="00311A0A" w:rsidRPr="000E2FA9">
        <w:rPr>
          <w:rFonts w:ascii="Arial" w:hAnsi="Arial" w:cs="Arial"/>
          <w:sz w:val="24"/>
          <w:szCs w:val="24"/>
        </w:rPr>
        <w:t xml:space="preserve">to </w:t>
      </w:r>
      <w:r w:rsidR="0096633F" w:rsidRPr="000E2FA9">
        <w:rPr>
          <w:rFonts w:ascii="Arial" w:hAnsi="Arial" w:cs="Arial"/>
          <w:sz w:val="24"/>
          <w:szCs w:val="24"/>
        </w:rPr>
        <w:t xml:space="preserve">the first </w:t>
      </w:r>
      <w:r w:rsidR="00685EB6" w:rsidRPr="000E2FA9">
        <w:rPr>
          <w:rFonts w:ascii="Arial" w:hAnsi="Arial" w:cs="Arial"/>
          <w:sz w:val="24"/>
          <w:szCs w:val="24"/>
        </w:rPr>
        <w:t xml:space="preserve">months of </w:t>
      </w:r>
      <w:r w:rsidRPr="000E2FA9">
        <w:rPr>
          <w:rFonts w:ascii="Arial" w:hAnsi="Arial" w:cs="Arial"/>
          <w:sz w:val="24"/>
          <w:szCs w:val="24"/>
        </w:rPr>
        <w:t>2020</w:t>
      </w:r>
      <w:r w:rsidR="00685EB6" w:rsidRPr="000E2FA9">
        <w:rPr>
          <w:rFonts w:ascii="Arial" w:hAnsi="Arial" w:cs="Arial"/>
          <w:sz w:val="24"/>
          <w:szCs w:val="24"/>
        </w:rPr>
        <w:t xml:space="preserve"> to 20</w:t>
      </w:r>
      <w:r w:rsidRPr="000E2FA9">
        <w:rPr>
          <w:rFonts w:ascii="Arial" w:hAnsi="Arial" w:cs="Arial"/>
          <w:sz w:val="24"/>
          <w:szCs w:val="24"/>
        </w:rPr>
        <w:t xml:space="preserve">21.  </w:t>
      </w:r>
    </w:p>
    <w:p w14:paraId="63B6E1CC" w14:textId="77777777" w:rsidR="0096633F" w:rsidRPr="000E2FA9" w:rsidRDefault="0096633F" w:rsidP="00DC54F7">
      <w:pPr>
        <w:spacing w:after="0" w:line="240" w:lineRule="auto"/>
        <w:contextualSpacing/>
        <w:jc w:val="both"/>
        <w:rPr>
          <w:rFonts w:ascii="Arial" w:hAnsi="Arial" w:cs="Arial"/>
          <w:sz w:val="24"/>
          <w:szCs w:val="24"/>
        </w:rPr>
      </w:pPr>
    </w:p>
    <w:p w14:paraId="202BE244" w14:textId="023A7893" w:rsidR="003C7996" w:rsidRPr="000E2FA9" w:rsidRDefault="00685EB6" w:rsidP="00DC54F7">
      <w:pPr>
        <w:spacing w:after="0" w:line="240" w:lineRule="auto"/>
        <w:jc w:val="both"/>
        <w:rPr>
          <w:rFonts w:ascii="Arial" w:hAnsi="Arial" w:cs="Arial"/>
          <w:sz w:val="24"/>
          <w:szCs w:val="24"/>
        </w:rPr>
      </w:pPr>
      <w:r w:rsidRPr="000E2FA9">
        <w:rPr>
          <w:rFonts w:ascii="Arial" w:hAnsi="Arial" w:cs="Arial"/>
          <w:sz w:val="24"/>
          <w:szCs w:val="24"/>
        </w:rPr>
        <w:t xml:space="preserve">All four appliance contractors based in </w:t>
      </w:r>
      <w:r w:rsidR="003771F9" w:rsidRPr="000E2FA9">
        <w:rPr>
          <w:rFonts w:ascii="Arial" w:hAnsi="Arial" w:cs="Arial"/>
          <w:sz w:val="24"/>
          <w:szCs w:val="24"/>
        </w:rPr>
        <w:t>Cardiff and Vale University Health Board offer</w:t>
      </w:r>
      <w:r w:rsidR="000E488D" w:rsidRPr="000E2FA9">
        <w:rPr>
          <w:rFonts w:ascii="Arial" w:hAnsi="Arial" w:cs="Arial"/>
          <w:sz w:val="24"/>
          <w:szCs w:val="24"/>
        </w:rPr>
        <w:t xml:space="preserve"> the</w:t>
      </w:r>
      <w:r w:rsidR="0077218C" w:rsidRPr="000E2FA9">
        <w:rPr>
          <w:rFonts w:ascii="Arial" w:hAnsi="Arial" w:cs="Arial"/>
          <w:sz w:val="24"/>
          <w:szCs w:val="24"/>
        </w:rPr>
        <w:t xml:space="preserve"> SAC service. </w:t>
      </w:r>
      <w:r w:rsidR="00847956" w:rsidRPr="000E2FA9">
        <w:rPr>
          <w:rFonts w:ascii="Arial" w:hAnsi="Arial" w:cs="Arial"/>
          <w:sz w:val="24"/>
          <w:szCs w:val="24"/>
        </w:rPr>
        <w:t xml:space="preserve">A total of </w:t>
      </w:r>
      <w:r w:rsidR="00847956" w:rsidRPr="000E2FA9">
        <w:rPr>
          <w:rFonts w:ascii="Arial" w:eastAsia="Times New Roman" w:hAnsi="Arial" w:cs="Arial"/>
          <w:color w:val="000000"/>
          <w:sz w:val="24"/>
          <w:szCs w:val="24"/>
          <w:lang w:eastAsia="en-GB"/>
        </w:rPr>
        <w:t xml:space="preserve">39,264 </w:t>
      </w:r>
      <w:r w:rsidR="0068344A" w:rsidRPr="000E2FA9">
        <w:rPr>
          <w:rFonts w:ascii="Arial" w:eastAsia="Times New Roman" w:hAnsi="Arial" w:cs="Arial"/>
          <w:color w:val="000000"/>
          <w:sz w:val="24"/>
          <w:szCs w:val="24"/>
          <w:lang w:eastAsia="en-GB"/>
        </w:rPr>
        <w:t>SAC</w:t>
      </w:r>
      <w:r w:rsidR="00847956" w:rsidRPr="000E2FA9">
        <w:rPr>
          <w:rFonts w:ascii="Arial" w:eastAsia="Times New Roman" w:hAnsi="Arial" w:cs="Arial"/>
          <w:color w:val="000000"/>
          <w:sz w:val="24"/>
          <w:szCs w:val="24"/>
          <w:lang w:eastAsia="en-GB"/>
        </w:rPr>
        <w:t xml:space="preserve">s </w:t>
      </w:r>
      <w:r w:rsidR="00E03F41" w:rsidRPr="000E2FA9">
        <w:rPr>
          <w:rFonts w:ascii="Arial" w:eastAsia="Times New Roman" w:hAnsi="Arial" w:cs="Arial"/>
          <w:color w:val="000000"/>
          <w:sz w:val="24"/>
          <w:szCs w:val="24"/>
          <w:lang w:eastAsia="en-GB"/>
        </w:rPr>
        <w:t xml:space="preserve">were provided </w:t>
      </w:r>
      <w:r w:rsidR="00CC7D0A" w:rsidRPr="000E2FA9">
        <w:rPr>
          <w:rFonts w:ascii="Arial" w:eastAsia="Times New Roman" w:hAnsi="Arial" w:cs="Arial"/>
          <w:color w:val="000000"/>
          <w:sz w:val="24"/>
          <w:szCs w:val="24"/>
          <w:lang w:eastAsia="en-GB"/>
        </w:rPr>
        <w:t xml:space="preserve">in </w:t>
      </w:r>
      <w:r w:rsidR="00E03F41" w:rsidRPr="000E2FA9">
        <w:rPr>
          <w:rFonts w:ascii="Arial" w:eastAsia="Times New Roman" w:hAnsi="Arial" w:cs="Arial"/>
          <w:color w:val="000000"/>
          <w:sz w:val="24"/>
          <w:szCs w:val="24"/>
          <w:lang w:eastAsia="en-GB"/>
        </w:rPr>
        <w:t>2018 to 2019</w:t>
      </w:r>
      <w:r w:rsidR="00CC7D0A" w:rsidRPr="000E2FA9">
        <w:rPr>
          <w:rFonts w:ascii="Arial" w:eastAsia="Times New Roman" w:hAnsi="Arial" w:cs="Arial"/>
          <w:color w:val="000000"/>
          <w:sz w:val="24"/>
          <w:szCs w:val="24"/>
          <w:lang w:eastAsia="en-GB"/>
        </w:rPr>
        <w:t xml:space="preserve">, </w:t>
      </w:r>
      <w:r w:rsidR="00212E5D" w:rsidRPr="000E2FA9">
        <w:rPr>
          <w:rFonts w:ascii="Arial" w:eastAsia="Times New Roman" w:hAnsi="Arial" w:cs="Arial"/>
          <w:color w:val="000000"/>
          <w:sz w:val="24"/>
          <w:szCs w:val="24"/>
          <w:lang w:eastAsia="en-GB"/>
        </w:rPr>
        <w:t>39,111</w:t>
      </w:r>
      <w:r w:rsidR="0068344A" w:rsidRPr="000E2FA9">
        <w:rPr>
          <w:rFonts w:ascii="Arial" w:eastAsia="Times New Roman" w:hAnsi="Arial" w:cs="Arial"/>
          <w:color w:val="000000"/>
          <w:sz w:val="24"/>
          <w:szCs w:val="24"/>
          <w:lang w:eastAsia="en-GB"/>
        </w:rPr>
        <w:t xml:space="preserve"> SACs</w:t>
      </w:r>
      <w:r w:rsidR="00CC7D0A" w:rsidRPr="000E2FA9">
        <w:rPr>
          <w:rFonts w:ascii="Arial" w:eastAsia="Times New Roman" w:hAnsi="Arial" w:cs="Arial"/>
          <w:color w:val="000000"/>
          <w:sz w:val="24"/>
          <w:szCs w:val="24"/>
          <w:lang w:eastAsia="en-GB"/>
        </w:rPr>
        <w:t xml:space="preserve"> were provided</w:t>
      </w:r>
      <w:r w:rsidR="0068344A" w:rsidRPr="000E2FA9">
        <w:rPr>
          <w:rFonts w:ascii="Arial" w:eastAsia="Times New Roman" w:hAnsi="Arial" w:cs="Arial"/>
          <w:color w:val="000000"/>
          <w:sz w:val="24"/>
          <w:szCs w:val="24"/>
          <w:lang w:eastAsia="en-GB"/>
        </w:rPr>
        <w:t xml:space="preserve"> </w:t>
      </w:r>
      <w:r w:rsidR="00CC7D0A" w:rsidRPr="000E2FA9">
        <w:rPr>
          <w:rFonts w:ascii="Arial" w:eastAsia="Times New Roman" w:hAnsi="Arial" w:cs="Arial"/>
          <w:color w:val="000000"/>
          <w:sz w:val="24"/>
          <w:szCs w:val="24"/>
          <w:lang w:eastAsia="en-GB"/>
        </w:rPr>
        <w:t xml:space="preserve">in </w:t>
      </w:r>
      <w:r w:rsidR="0068344A" w:rsidRPr="000E2FA9">
        <w:rPr>
          <w:rFonts w:ascii="Arial" w:eastAsia="Times New Roman" w:hAnsi="Arial" w:cs="Arial"/>
          <w:color w:val="000000"/>
          <w:sz w:val="24"/>
          <w:szCs w:val="24"/>
          <w:lang w:eastAsia="en-GB"/>
        </w:rPr>
        <w:t>2019 to 2020</w:t>
      </w:r>
      <w:r w:rsidR="00833C32" w:rsidRPr="000E2FA9">
        <w:rPr>
          <w:rFonts w:ascii="Arial" w:eastAsia="Times New Roman" w:hAnsi="Arial" w:cs="Arial"/>
          <w:color w:val="000000"/>
          <w:sz w:val="24"/>
          <w:szCs w:val="24"/>
          <w:lang w:eastAsia="en-GB"/>
        </w:rPr>
        <w:t xml:space="preserve"> and 21</w:t>
      </w:r>
      <w:r w:rsidR="00CC7D0A" w:rsidRPr="000E2FA9">
        <w:rPr>
          <w:rFonts w:ascii="Arial" w:eastAsia="Times New Roman" w:hAnsi="Arial" w:cs="Arial"/>
          <w:color w:val="000000"/>
          <w:sz w:val="24"/>
          <w:szCs w:val="24"/>
          <w:lang w:eastAsia="en-GB"/>
        </w:rPr>
        <w:t>,078 SACs were provided as of October 2020</w:t>
      </w:r>
      <w:r w:rsidR="0068344A" w:rsidRPr="000E2FA9">
        <w:rPr>
          <w:rFonts w:ascii="Arial" w:eastAsia="Times New Roman" w:hAnsi="Arial" w:cs="Arial"/>
          <w:color w:val="000000"/>
          <w:sz w:val="24"/>
          <w:szCs w:val="24"/>
          <w:lang w:eastAsia="en-GB"/>
        </w:rPr>
        <w:t>.</w:t>
      </w:r>
      <w:r w:rsidR="0068344A" w:rsidRPr="000E2FA9">
        <w:rPr>
          <w:rFonts w:ascii="Calibri" w:eastAsia="Times New Roman" w:hAnsi="Calibri" w:cs="Calibri"/>
          <w:color w:val="000000"/>
          <w:sz w:val="24"/>
          <w:szCs w:val="24"/>
          <w:lang w:eastAsia="en-GB"/>
        </w:rPr>
        <w:t xml:space="preserve"> </w:t>
      </w:r>
      <w:r w:rsidR="003C7996" w:rsidRPr="000E2FA9">
        <w:rPr>
          <w:rFonts w:ascii="Arial" w:hAnsi="Arial" w:cs="Arial"/>
          <w:sz w:val="24"/>
          <w:szCs w:val="24"/>
        </w:rPr>
        <w:t>However due to the fact that dispensing appliance contractors provide services across Wales</w:t>
      </w:r>
      <w:r w:rsidR="00FC5A41" w:rsidRPr="000E2FA9">
        <w:rPr>
          <w:rFonts w:ascii="Arial" w:hAnsi="Arial" w:cs="Arial"/>
          <w:sz w:val="24"/>
          <w:szCs w:val="24"/>
        </w:rPr>
        <w:t xml:space="preserve"> and into England</w:t>
      </w:r>
      <w:r w:rsidR="001E2E11" w:rsidRPr="000E2FA9">
        <w:rPr>
          <w:rFonts w:ascii="Arial" w:hAnsi="Arial" w:cs="Arial"/>
          <w:sz w:val="24"/>
          <w:szCs w:val="24"/>
        </w:rPr>
        <w:t>,</w:t>
      </w:r>
      <w:r w:rsidR="003C7996" w:rsidRPr="000E2FA9">
        <w:rPr>
          <w:rFonts w:ascii="Arial" w:hAnsi="Arial" w:cs="Arial"/>
          <w:sz w:val="24"/>
          <w:szCs w:val="24"/>
        </w:rPr>
        <w:t xml:space="preserve"> not all of these will have been provided for residents of the health board’s area.  Due to the way the data is collated and published it is not known how many of these were provided for the health board’s residents. </w:t>
      </w:r>
    </w:p>
    <w:p w14:paraId="050114D0" w14:textId="77777777" w:rsidR="00CC7D0A" w:rsidRPr="000E2FA9" w:rsidRDefault="00CC7D0A" w:rsidP="00DC54F7">
      <w:pPr>
        <w:spacing w:after="0" w:line="240" w:lineRule="auto"/>
        <w:jc w:val="both"/>
        <w:rPr>
          <w:rFonts w:ascii="Calibri" w:eastAsia="Times New Roman" w:hAnsi="Calibri" w:cs="Calibri"/>
          <w:color w:val="000000"/>
          <w:sz w:val="24"/>
          <w:szCs w:val="24"/>
          <w:lang w:eastAsia="en-GB"/>
        </w:rPr>
      </w:pPr>
    </w:p>
    <w:p w14:paraId="49D6DE04" w14:textId="77777777" w:rsidR="00A7704C" w:rsidRPr="000E2FA9" w:rsidRDefault="00A7704C" w:rsidP="00DC54F7">
      <w:pPr>
        <w:spacing w:after="0" w:line="240" w:lineRule="auto"/>
        <w:jc w:val="both"/>
        <w:rPr>
          <w:rFonts w:ascii="Arial" w:hAnsi="Arial" w:cs="Arial"/>
          <w:sz w:val="24"/>
          <w:szCs w:val="24"/>
        </w:rPr>
      </w:pPr>
    </w:p>
    <w:p w14:paraId="211A94F6" w14:textId="49D4E008" w:rsidR="007E7CAE" w:rsidRDefault="007E7CAE">
      <w:pPr>
        <w:rPr>
          <w:rFonts w:ascii="Arial" w:hAnsi="Arial" w:cs="Arial"/>
          <w:b/>
          <w:sz w:val="24"/>
          <w:szCs w:val="24"/>
        </w:rPr>
      </w:pPr>
      <w:r>
        <w:rPr>
          <w:rFonts w:ascii="Arial" w:hAnsi="Arial" w:cs="Arial"/>
          <w:b/>
          <w:sz w:val="24"/>
          <w:szCs w:val="24"/>
        </w:rPr>
        <w:br w:type="page"/>
      </w:r>
    </w:p>
    <w:p w14:paraId="4DF58D66" w14:textId="13D1760A" w:rsidR="00037988" w:rsidRPr="000E2FA9" w:rsidRDefault="00037988" w:rsidP="00DC54F7">
      <w:pPr>
        <w:spacing w:after="240" w:line="240" w:lineRule="auto"/>
        <w:jc w:val="both"/>
        <w:rPr>
          <w:rFonts w:ascii="Arial" w:hAnsi="Arial" w:cs="Arial"/>
          <w:b/>
          <w:sz w:val="24"/>
          <w:szCs w:val="24"/>
        </w:rPr>
      </w:pPr>
      <w:r w:rsidRPr="000E2FA9">
        <w:rPr>
          <w:rFonts w:ascii="Arial" w:hAnsi="Arial" w:cs="Arial"/>
          <w:b/>
          <w:sz w:val="24"/>
          <w:szCs w:val="24"/>
        </w:rPr>
        <w:lastRenderedPageBreak/>
        <w:t xml:space="preserve">5.1.7 Access to the </w:t>
      </w:r>
      <w:r w:rsidR="000C00CC" w:rsidRPr="000E2FA9">
        <w:rPr>
          <w:rFonts w:ascii="Arial" w:hAnsi="Arial" w:cs="Arial"/>
          <w:b/>
          <w:sz w:val="24"/>
          <w:szCs w:val="24"/>
        </w:rPr>
        <w:t>E</w:t>
      </w:r>
      <w:r w:rsidRPr="000E2FA9">
        <w:rPr>
          <w:rFonts w:ascii="Arial" w:hAnsi="Arial" w:cs="Arial"/>
          <w:b/>
          <w:sz w:val="24"/>
          <w:szCs w:val="24"/>
        </w:rPr>
        <w:t xml:space="preserve">mergency </w:t>
      </w:r>
      <w:r w:rsidR="000C00CC" w:rsidRPr="000E2FA9">
        <w:rPr>
          <w:rFonts w:ascii="Arial" w:hAnsi="Arial" w:cs="Arial"/>
          <w:b/>
          <w:sz w:val="24"/>
          <w:szCs w:val="24"/>
        </w:rPr>
        <w:t>C</w:t>
      </w:r>
      <w:r w:rsidRPr="000E2FA9">
        <w:rPr>
          <w:rFonts w:ascii="Arial" w:hAnsi="Arial" w:cs="Arial"/>
          <w:b/>
          <w:sz w:val="24"/>
          <w:szCs w:val="24"/>
        </w:rPr>
        <w:t xml:space="preserve">ontraception </w:t>
      </w:r>
      <w:r w:rsidR="00C95944" w:rsidRPr="000E2FA9">
        <w:rPr>
          <w:rFonts w:ascii="Arial" w:hAnsi="Arial" w:cs="Arial"/>
          <w:b/>
          <w:sz w:val="24"/>
          <w:szCs w:val="24"/>
        </w:rPr>
        <w:t>E</w:t>
      </w:r>
      <w:r w:rsidRPr="000E2FA9">
        <w:rPr>
          <w:rFonts w:ascii="Arial" w:hAnsi="Arial" w:cs="Arial"/>
          <w:b/>
          <w:sz w:val="24"/>
          <w:szCs w:val="24"/>
        </w:rPr>
        <w:t xml:space="preserve">nhanced </w:t>
      </w:r>
      <w:r w:rsidR="00C95944" w:rsidRPr="000E2FA9">
        <w:rPr>
          <w:rFonts w:ascii="Arial" w:hAnsi="Arial" w:cs="Arial"/>
          <w:b/>
          <w:sz w:val="24"/>
          <w:szCs w:val="24"/>
        </w:rPr>
        <w:t>S</w:t>
      </w:r>
      <w:r w:rsidRPr="000E2FA9">
        <w:rPr>
          <w:rFonts w:ascii="Arial" w:hAnsi="Arial" w:cs="Arial"/>
          <w:b/>
          <w:sz w:val="24"/>
          <w:szCs w:val="24"/>
        </w:rPr>
        <w:t>ervice</w:t>
      </w:r>
    </w:p>
    <w:p w14:paraId="753DA5EB" w14:textId="5CC2C4D1" w:rsidR="00713629" w:rsidRPr="002A3EA9" w:rsidRDefault="00E82406" w:rsidP="00DC54F7">
      <w:pPr>
        <w:spacing w:after="0" w:line="240" w:lineRule="auto"/>
        <w:jc w:val="both"/>
        <w:rPr>
          <w:rFonts w:ascii="Arial" w:hAnsi="Arial" w:cs="Arial"/>
          <w:sz w:val="24"/>
          <w:szCs w:val="24"/>
          <w:shd w:val="clear" w:color="auto" w:fill="FFFFFF"/>
        </w:rPr>
      </w:pPr>
      <w:r w:rsidRPr="002A3EA9">
        <w:rPr>
          <w:rFonts w:ascii="Arial" w:hAnsi="Arial" w:cs="Arial"/>
          <w:sz w:val="24"/>
          <w:szCs w:val="24"/>
          <w:shd w:val="clear" w:color="auto" w:fill="FFFFFF"/>
        </w:rPr>
        <w:t xml:space="preserve">In 2011, a national Emergency Contraception service was commissioned from community pharmacies. This allows levonorgestrel to be obtained by women and girls from the age of 13 years free of charge under a patient group direction (PGD). In April 2015, the service was extended to allow ulipristal acetate to be supplied between 72 and 120 hours after unprotected sexual intercourse (UPSI). </w:t>
      </w:r>
      <w:r w:rsidR="00891FCE" w:rsidRPr="002A3EA9">
        <w:rPr>
          <w:rFonts w:ascii="Arial" w:hAnsi="Arial" w:cs="Arial"/>
          <w:sz w:val="24"/>
          <w:szCs w:val="24"/>
          <w:shd w:val="clear" w:color="auto" w:fill="FFFFFF"/>
        </w:rPr>
        <w:t xml:space="preserve">As of April 2021, </w:t>
      </w:r>
      <w:r w:rsidR="00713629" w:rsidRPr="002A3EA9">
        <w:rPr>
          <w:rFonts w:ascii="Arial" w:hAnsi="Arial" w:cs="Arial"/>
          <w:sz w:val="24"/>
          <w:szCs w:val="24"/>
        </w:rPr>
        <w:t xml:space="preserve">75 pharmacies </w:t>
      </w:r>
      <w:r w:rsidR="00B26D96" w:rsidRPr="002A3EA9">
        <w:rPr>
          <w:rFonts w:ascii="Arial" w:hAnsi="Arial" w:cs="Arial"/>
          <w:sz w:val="24"/>
          <w:szCs w:val="24"/>
        </w:rPr>
        <w:t>are</w:t>
      </w:r>
      <w:r w:rsidR="00E35AB0" w:rsidRPr="002A3EA9">
        <w:rPr>
          <w:rFonts w:ascii="Arial" w:hAnsi="Arial" w:cs="Arial"/>
          <w:sz w:val="24"/>
          <w:szCs w:val="24"/>
        </w:rPr>
        <w:t xml:space="preserve"> </w:t>
      </w:r>
      <w:r w:rsidR="00713629" w:rsidRPr="002A3EA9">
        <w:rPr>
          <w:rFonts w:ascii="Arial" w:hAnsi="Arial" w:cs="Arial"/>
          <w:sz w:val="24"/>
          <w:szCs w:val="24"/>
        </w:rPr>
        <w:t>commissioned</w:t>
      </w:r>
      <w:r w:rsidR="005407A0" w:rsidRPr="002A3EA9">
        <w:rPr>
          <w:rFonts w:ascii="Arial" w:hAnsi="Arial" w:cs="Arial"/>
          <w:sz w:val="24"/>
          <w:szCs w:val="24"/>
        </w:rPr>
        <w:t xml:space="preserve"> </w:t>
      </w:r>
      <w:r w:rsidR="00CA5695" w:rsidRPr="002A3EA9">
        <w:rPr>
          <w:rFonts w:ascii="Arial" w:hAnsi="Arial" w:cs="Arial"/>
          <w:sz w:val="24"/>
          <w:szCs w:val="24"/>
        </w:rPr>
        <w:t>by Cardiff and Vale University Health Board</w:t>
      </w:r>
      <w:r w:rsidR="00626763" w:rsidRPr="002A3EA9">
        <w:rPr>
          <w:rFonts w:ascii="Arial" w:hAnsi="Arial" w:cs="Arial"/>
          <w:sz w:val="24"/>
          <w:szCs w:val="24"/>
        </w:rPr>
        <w:t xml:space="preserve"> </w:t>
      </w:r>
      <w:r w:rsidR="00713629" w:rsidRPr="002A3EA9">
        <w:rPr>
          <w:rFonts w:ascii="Arial" w:hAnsi="Arial" w:cs="Arial"/>
          <w:sz w:val="24"/>
          <w:szCs w:val="24"/>
        </w:rPr>
        <w:t xml:space="preserve">to provide the </w:t>
      </w:r>
      <w:r w:rsidR="000C00CC" w:rsidRPr="002A3EA9">
        <w:rPr>
          <w:rFonts w:ascii="Arial" w:hAnsi="Arial" w:cs="Arial"/>
          <w:sz w:val="24"/>
          <w:szCs w:val="24"/>
        </w:rPr>
        <w:t>E</w:t>
      </w:r>
      <w:r w:rsidR="00CA5695" w:rsidRPr="002A3EA9">
        <w:rPr>
          <w:rFonts w:ascii="Arial" w:hAnsi="Arial" w:cs="Arial"/>
          <w:sz w:val="24"/>
          <w:szCs w:val="24"/>
        </w:rPr>
        <w:t xml:space="preserve">mergency </w:t>
      </w:r>
      <w:r w:rsidR="000C00CC" w:rsidRPr="002A3EA9">
        <w:rPr>
          <w:rFonts w:ascii="Arial" w:hAnsi="Arial" w:cs="Arial"/>
          <w:sz w:val="24"/>
          <w:szCs w:val="24"/>
        </w:rPr>
        <w:t>C</w:t>
      </w:r>
      <w:r w:rsidR="00CA5695" w:rsidRPr="002A3EA9">
        <w:rPr>
          <w:rFonts w:ascii="Arial" w:hAnsi="Arial" w:cs="Arial"/>
          <w:sz w:val="24"/>
          <w:szCs w:val="24"/>
        </w:rPr>
        <w:t xml:space="preserve">ontraception </w:t>
      </w:r>
      <w:r w:rsidR="000C00CC" w:rsidRPr="002A3EA9">
        <w:rPr>
          <w:rFonts w:ascii="Arial" w:hAnsi="Arial" w:cs="Arial"/>
          <w:sz w:val="24"/>
          <w:szCs w:val="24"/>
        </w:rPr>
        <w:t>enhanced service.</w:t>
      </w:r>
    </w:p>
    <w:p w14:paraId="74DD81A9" w14:textId="5913128B" w:rsidR="00E82406" w:rsidRPr="00F46FCB" w:rsidRDefault="00E82406" w:rsidP="00DC54F7">
      <w:pPr>
        <w:spacing w:after="0" w:line="240" w:lineRule="auto"/>
        <w:jc w:val="both"/>
        <w:rPr>
          <w:rFonts w:ascii="Arial" w:hAnsi="Arial" w:cs="Arial"/>
          <w:sz w:val="24"/>
          <w:szCs w:val="24"/>
        </w:rPr>
      </w:pPr>
    </w:p>
    <w:p w14:paraId="5180C712" w14:textId="7D32C8C7" w:rsidR="00037988" w:rsidRPr="00F46FCB" w:rsidRDefault="00037988" w:rsidP="00DC54F7">
      <w:pPr>
        <w:spacing w:after="240" w:line="240" w:lineRule="auto"/>
        <w:contextualSpacing/>
        <w:jc w:val="both"/>
        <w:rPr>
          <w:rFonts w:ascii="Arial" w:hAnsi="Arial" w:cs="Arial"/>
          <w:sz w:val="24"/>
          <w:szCs w:val="24"/>
        </w:rPr>
      </w:pPr>
      <w:r w:rsidRPr="00F46FCB">
        <w:rPr>
          <w:rFonts w:ascii="Arial" w:hAnsi="Arial" w:cs="Arial"/>
          <w:sz w:val="24"/>
          <w:szCs w:val="24"/>
        </w:rPr>
        <w:t>In 2018</w:t>
      </w:r>
      <w:r w:rsidR="00E82406" w:rsidRPr="00F46FCB">
        <w:rPr>
          <w:rFonts w:ascii="Arial" w:hAnsi="Arial" w:cs="Arial"/>
          <w:sz w:val="24"/>
          <w:szCs w:val="24"/>
        </w:rPr>
        <w:t xml:space="preserve"> to 20</w:t>
      </w:r>
      <w:r w:rsidRPr="00F46FCB">
        <w:rPr>
          <w:rFonts w:ascii="Arial" w:hAnsi="Arial" w:cs="Arial"/>
          <w:sz w:val="24"/>
          <w:szCs w:val="24"/>
        </w:rPr>
        <w:t>19</w:t>
      </w:r>
      <w:r w:rsidR="00E82406" w:rsidRPr="00F46FCB">
        <w:rPr>
          <w:rFonts w:ascii="Arial" w:hAnsi="Arial" w:cs="Arial"/>
          <w:sz w:val="24"/>
          <w:szCs w:val="24"/>
        </w:rPr>
        <w:t>,</w:t>
      </w:r>
      <w:r w:rsidRPr="00F46FCB">
        <w:rPr>
          <w:rFonts w:ascii="Arial" w:hAnsi="Arial" w:cs="Arial"/>
          <w:sz w:val="24"/>
          <w:szCs w:val="24"/>
        </w:rPr>
        <w:t xml:space="preserve"> </w:t>
      </w:r>
      <w:r w:rsidR="00F43325" w:rsidRPr="00F46FCB">
        <w:rPr>
          <w:rFonts w:ascii="Arial" w:hAnsi="Arial" w:cs="Arial"/>
          <w:sz w:val="24"/>
          <w:szCs w:val="24"/>
        </w:rPr>
        <w:t>66</w:t>
      </w:r>
      <w:r w:rsidRPr="00F46FCB">
        <w:rPr>
          <w:rFonts w:ascii="Arial" w:hAnsi="Arial" w:cs="Arial"/>
          <w:sz w:val="24"/>
          <w:szCs w:val="24"/>
        </w:rPr>
        <w:t xml:space="preserve"> pharmacies provided a total of </w:t>
      </w:r>
      <w:r w:rsidR="00F43325" w:rsidRPr="00F46FCB">
        <w:rPr>
          <w:rFonts w:ascii="Arial" w:hAnsi="Arial" w:cs="Arial"/>
          <w:sz w:val="24"/>
          <w:szCs w:val="24"/>
        </w:rPr>
        <w:t>8,869</w:t>
      </w:r>
      <w:r w:rsidRPr="00F46FCB">
        <w:rPr>
          <w:rFonts w:ascii="Arial" w:hAnsi="Arial" w:cs="Arial"/>
          <w:sz w:val="24"/>
          <w:szCs w:val="24"/>
        </w:rPr>
        <w:t xml:space="preserve"> consultations under this service over the year. The figure below shows the total number of consultations provided under the service by pharmacies in the health board’s area </w:t>
      </w:r>
      <w:r w:rsidR="00866F43" w:rsidRPr="00F46FCB">
        <w:rPr>
          <w:rFonts w:ascii="Arial" w:hAnsi="Arial" w:cs="Arial"/>
          <w:sz w:val="24"/>
          <w:szCs w:val="24"/>
        </w:rPr>
        <w:t>over this period</w:t>
      </w:r>
      <w:r w:rsidRPr="00F46FCB">
        <w:rPr>
          <w:rFonts w:ascii="Arial" w:hAnsi="Arial" w:cs="Arial"/>
          <w:sz w:val="24"/>
          <w:szCs w:val="24"/>
        </w:rPr>
        <w:t>.</w:t>
      </w:r>
    </w:p>
    <w:p w14:paraId="5461EE9B" w14:textId="77777777" w:rsidR="00037988" w:rsidRPr="00F75E2D" w:rsidRDefault="00037988" w:rsidP="00DC54F7">
      <w:pPr>
        <w:spacing w:after="240" w:line="240" w:lineRule="auto"/>
        <w:contextualSpacing/>
        <w:jc w:val="both"/>
        <w:rPr>
          <w:rFonts w:ascii="Arial" w:hAnsi="Arial" w:cs="Arial"/>
        </w:rPr>
      </w:pPr>
    </w:p>
    <w:p w14:paraId="4C0B8DD2" w14:textId="1AB567E4" w:rsidR="00037988" w:rsidRPr="00F46FCB" w:rsidRDefault="00037988" w:rsidP="00DC54F7">
      <w:pPr>
        <w:spacing w:after="240" w:line="240" w:lineRule="auto"/>
        <w:contextualSpacing/>
        <w:jc w:val="both"/>
        <w:rPr>
          <w:rFonts w:ascii="Arial" w:hAnsi="Arial" w:cs="Arial"/>
          <w:b/>
          <w:sz w:val="24"/>
          <w:szCs w:val="24"/>
        </w:rPr>
      </w:pPr>
      <w:r w:rsidRPr="00F46FCB">
        <w:rPr>
          <w:rFonts w:ascii="Arial" w:hAnsi="Arial" w:cs="Arial"/>
          <w:b/>
          <w:sz w:val="24"/>
          <w:szCs w:val="24"/>
        </w:rPr>
        <w:t xml:space="preserve">Figure </w:t>
      </w:r>
      <w:r w:rsidR="00B31F33" w:rsidRPr="00F46FCB">
        <w:rPr>
          <w:rFonts w:ascii="Arial" w:hAnsi="Arial" w:cs="Arial"/>
          <w:b/>
          <w:sz w:val="24"/>
          <w:szCs w:val="24"/>
        </w:rPr>
        <w:t>5</w:t>
      </w:r>
      <w:r w:rsidR="00911F62" w:rsidRPr="00F46FCB">
        <w:rPr>
          <w:rFonts w:ascii="Arial" w:hAnsi="Arial" w:cs="Arial"/>
          <w:b/>
          <w:sz w:val="24"/>
          <w:szCs w:val="24"/>
        </w:rPr>
        <w:t>.2:</w:t>
      </w:r>
      <w:r w:rsidRPr="00F46FCB">
        <w:rPr>
          <w:rFonts w:ascii="Arial" w:hAnsi="Arial" w:cs="Arial"/>
          <w:b/>
          <w:sz w:val="24"/>
          <w:szCs w:val="24"/>
        </w:rPr>
        <w:t xml:space="preserve"> </w:t>
      </w:r>
      <w:r w:rsidR="00911F62" w:rsidRPr="00F46FCB">
        <w:rPr>
          <w:rFonts w:ascii="Arial" w:hAnsi="Arial" w:cs="Arial"/>
          <w:b/>
          <w:sz w:val="24"/>
          <w:szCs w:val="24"/>
        </w:rPr>
        <w:t>N</w:t>
      </w:r>
      <w:r w:rsidRPr="00F46FCB">
        <w:rPr>
          <w:rFonts w:ascii="Arial" w:hAnsi="Arial" w:cs="Arial"/>
          <w:b/>
          <w:sz w:val="24"/>
          <w:szCs w:val="24"/>
        </w:rPr>
        <w:t>umber of emergency contraception consultations claimed in 2018</w:t>
      </w:r>
      <w:r w:rsidR="007F217B" w:rsidRPr="00F46FCB">
        <w:rPr>
          <w:rFonts w:ascii="Arial" w:hAnsi="Arial" w:cs="Arial"/>
          <w:b/>
          <w:sz w:val="24"/>
          <w:szCs w:val="24"/>
        </w:rPr>
        <w:t xml:space="preserve"> to 20</w:t>
      </w:r>
      <w:r w:rsidRPr="00F46FCB">
        <w:rPr>
          <w:rFonts w:ascii="Arial" w:hAnsi="Arial" w:cs="Arial"/>
          <w:b/>
          <w:sz w:val="24"/>
          <w:szCs w:val="24"/>
        </w:rPr>
        <w:t>19</w:t>
      </w:r>
    </w:p>
    <w:p w14:paraId="3FF9F902" w14:textId="4A90D48A" w:rsidR="007F217B" w:rsidRPr="00F75E2D" w:rsidRDefault="007F217B" w:rsidP="00DC54F7">
      <w:pPr>
        <w:spacing w:after="240" w:line="240" w:lineRule="auto"/>
        <w:contextualSpacing/>
        <w:jc w:val="both"/>
        <w:rPr>
          <w:rFonts w:ascii="Arial" w:hAnsi="Arial" w:cs="Arial"/>
          <w:b/>
        </w:rPr>
      </w:pPr>
      <w:r>
        <w:rPr>
          <w:noProof/>
          <w:lang w:eastAsia="en-GB"/>
        </w:rPr>
        <w:drawing>
          <wp:inline distT="0" distB="0" distL="0" distR="0" wp14:anchorId="31369484" wp14:editId="295BDF0C">
            <wp:extent cx="5628640" cy="3572540"/>
            <wp:effectExtent l="0" t="0" r="10160" b="8890"/>
            <wp:docPr id="33" name="Chart 3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175330B-AB29-4B89-B82D-6309E113F0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5310232F" w14:textId="314C83D1" w:rsidR="00A7704C" w:rsidRPr="00A10850" w:rsidRDefault="00A7704C" w:rsidP="00DC54F7">
      <w:pPr>
        <w:spacing w:after="0" w:line="240" w:lineRule="auto"/>
        <w:jc w:val="both"/>
        <w:rPr>
          <w:rFonts w:ascii="Arial" w:hAnsi="Arial" w:cs="Arial"/>
        </w:rPr>
      </w:pPr>
    </w:p>
    <w:p w14:paraId="4153DCE3" w14:textId="564E49DD" w:rsidR="009E3F9C" w:rsidRPr="00F46FCB" w:rsidRDefault="009E3F9C" w:rsidP="00DC54F7">
      <w:pPr>
        <w:spacing w:after="240" w:line="240" w:lineRule="auto"/>
        <w:contextualSpacing/>
        <w:jc w:val="both"/>
        <w:rPr>
          <w:rFonts w:ascii="Arial" w:hAnsi="Arial" w:cs="Arial"/>
          <w:sz w:val="24"/>
          <w:szCs w:val="24"/>
        </w:rPr>
      </w:pPr>
      <w:r w:rsidRPr="00F46FCB">
        <w:rPr>
          <w:rFonts w:ascii="Arial" w:hAnsi="Arial" w:cs="Arial"/>
          <w:sz w:val="24"/>
          <w:szCs w:val="24"/>
        </w:rPr>
        <w:t>In 2019</w:t>
      </w:r>
      <w:r w:rsidR="004A7E68" w:rsidRPr="00F46FCB">
        <w:rPr>
          <w:rFonts w:ascii="Arial" w:hAnsi="Arial" w:cs="Arial"/>
          <w:sz w:val="24"/>
          <w:szCs w:val="24"/>
        </w:rPr>
        <w:t xml:space="preserve"> to </w:t>
      </w:r>
      <w:r w:rsidRPr="00F46FCB">
        <w:rPr>
          <w:rFonts w:ascii="Arial" w:hAnsi="Arial" w:cs="Arial"/>
          <w:sz w:val="24"/>
          <w:szCs w:val="24"/>
        </w:rPr>
        <w:t>20</w:t>
      </w:r>
      <w:r w:rsidR="004A7E68" w:rsidRPr="00F46FCB">
        <w:rPr>
          <w:rFonts w:ascii="Arial" w:hAnsi="Arial" w:cs="Arial"/>
          <w:sz w:val="24"/>
          <w:szCs w:val="24"/>
        </w:rPr>
        <w:t>20,</w:t>
      </w:r>
      <w:r w:rsidRPr="00F46FCB">
        <w:rPr>
          <w:rFonts w:ascii="Arial" w:hAnsi="Arial" w:cs="Arial"/>
          <w:sz w:val="24"/>
          <w:szCs w:val="24"/>
        </w:rPr>
        <w:t xml:space="preserve"> </w:t>
      </w:r>
      <w:r w:rsidR="00857AAE" w:rsidRPr="00F46FCB">
        <w:rPr>
          <w:rFonts w:ascii="Arial" w:hAnsi="Arial" w:cs="Arial"/>
          <w:sz w:val="24"/>
          <w:szCs w:val="24"/>
        </w:rPr>
        <w:t xml:space="preserve">68 </w:t>
      </w:r>
      <w:r w:rsidRPr="00F46FCB">
        <w:rPr>
          <w:rFonts w:ascii="Arial" w:hAnsi="Arial" w:cs="Arial"/>
          <w:sz w:val="24"/>
          <w:szCs w:val="24"/>
        </w:rPr>
        <w:t xml:space="preserve">pharmacies provided a total of </w:t>
      </w:r>
      <w:r w:rsidR="004D17C9" w:rsidRPr="00F46FCB">
        <w:rPr>
          <w:rFonts w:ascii="Arial" w:hAnsi="Arial" w:cs="Arial"/>
          <w:sz w:val="24"/>
          <w:szCs w:val="24"/>
        </w:rPr>
        <w:t>8,105</w:t>
      </w:r>
      <w:r w:rsidRPr="00F46FCB">
        <w:rPr>
          <w:rFonts w:ascii="Arial" w:hAnsi="Arial" w:cs="Arial"/>
          <w:sz w:val="24"/>
          <w:szCs w:val="24"/>
        </w:rPr>
        <w:t xml:space="preserve"> consultations under this service over the year. The figure below shows the total number of consultations claimed under the service by pharmacies in the health board’s area in 2019</w:t>
      </w:r>
      <w:r w:rsidR="00473613" w:rsidRPr="00F46FCB">
        <w:rPr>
          <w:rFonts w:ascii="Arial" w:hAnsi="Arial" w:cs="Arial"/>
          <w:sz w:val="24"/>
          <w:szCs w:val="24"/>
        </w:rPr>
        <w:t xml:space="preserve"> to 2020</w:t>
      </w:r>
      <w:r w:rsidRPr="00F46FCB">
        <w:rPr>
          <w:rFonts w:ascii="Arial" w:hAnsi="Arial" w:cs="Arial"/>
          <w:sz w:val="24"/>
          <w:szCs w:val="24"/>
        </w:rPr>
        <w:t>.</w:t>
      </w:r>
    </w:p>
    <w:p w14:paraId="494DB878" w14:textId="77777777" w:rsidR="009E3F9C" w:rsidRPr="00F46FCB" w:rsidRDefault="009E3F9C" w:rsidP="00DC54F7">
      <w:pPr>
        <w:spacing w:after="240" w:line="240" w:lineRule="auto"/>
        <w:contextualSpacing/>
        <w:jc w:val="both"/>
        <w:rPr>
          <w:rFonts w:ascii="Arial" w:hAnsi="Arial" w:cs="Arial"/>
          <w:sz w:val="24"/>
          <w:szCs w:val="24"/>
        </w:rPr>
      </w:pPr>
    </w:p>
    <w:p w14:paraId="44ED7375" w14:textId="77777777" w:rsidR="00F46FCB" w:rsidRDefault="00F46FCB" w:rsidP="00DC54F7">
      <w:pPr>
        <w:spacing w:after="0" w:line="240" w:lineRule="auto"/>
        <w:contextualSpacing/>
        <w:jc w:val="both"/>
        <w:rPr>
          <w:rFonts w:ascii="Arial" w:hAnsi="Arial" w:cs="Arial"/>
          <w:b/>
          <w:sz w:val="24"/>
          <w:szCs w:val="24"/>
        </w:rPr>
      </w:pPr>
    </w:p>
    <w:p w14:paraId="2F651965" w14:textId="77777777" w:rsidR="00F46FCB" w:rsidRDefault="00F46FCB" w:rsidP="00DC54F7">
      <w:pPr>
        <w:spacing w:after="0" w:line="240" w:lineRule="auto"/>
        <w:contextualSpacing/>
        <w:jc w:val="both"/>
        <w:rPr>
          <w:rFonts w:ascii="Arial" w:hAnsi="Arial" w:cs="Arial"/>
          <w:b/>
          <w:sz w:val="24"/>
          <w:szCs w:val="24"/>
        </w:rPr>
      </w:pPr>
    </w:p>
    <w:p w14:paraId="1A085CEC" w14:textId="77777777" w:rsidR="00F46FCB" w:rsidRDefault="00F46FCB" w:rsidP="00DC54F7">
      <w:pPr>
        <w:spacing w:after="0" w:line="240" w:lineRule="auto"/>
        <w:contextualSpacing/>
        <w:jc w:val="both"/>
        <w:rPr>
          <w:rFonts w:ascii="Arial" w:hAnsi="Arial" w:cs="Arial"/>
          <w:b/>
          <w:sz w:val="24"/>
          <w:szCs w:val="24"/>
        </w:rPr>
      </w:pPr>
    </w:p>
    <w:p w14:paraId="5E39F60A" w14:textId="77777777" w:rsidR="00F46FCB" w:rsidRDefault="00F46FCB" w:rsidP="00DC54F7">
      <w:pPr>
        <w:spacing w:after="0" w:line="240" w:lineRule="auto"/>
        <w:contextualSpacing/>
        <w:jc w:val="both"/>
        <w:rPr>
          <w:rFonts w:ascii="Arial" w:hAnsi="Arial" w:cs="Arial"/>
          <w:b/>
          <w:sz w:val="24"/>
          <w:szCs w:val="24"/>
        </w:rPr>
      </w:pPr>
    </w:p>
    <w:p w14:paraId="6143C7C6" w14:textId="77777777" w:rsidR="00F46FCB" w:rsidRDefault="00F46FCB" w:rsidP="00DC54F7">
      <w:pPr>
        <w:spacing w:after="0" w:line="240" w:lineRule="auto"/>
        <w:contextualSpacing/>
        <w:jc w:val="both"/>
        <w:rPr>
          <w:rFonts w:ascii="Arial" w:hAnsi="Arial" w:cs="Arial"/>
          <w:b/>
          <w:sz w:val="24"/>
          <w:szCs w:val="24"/>
        </w:rPr>
      </w:pPr>
    </w:p>
    <w:p w14:paraId="2C31D395" w14:textId="77777777" w:rsidR="00F46FCB" w:rsidRDefault="00F46FCB" w:rsidP="00DC54F7">
      <w:pPr>
        <w:spacing w:after="0" w:line="240" w:lineRule="auto"/>
        <w:contextualSpacing/>
        <w:jc w:val="both"/>
        <w:rPr>
          <w:rFonts w:ascii="Arial" w:hAnsi="Arial" w:cs="Arial"/>
          <w:b/>
          <w:sz w:val="24"/>
          <w:szCs w:val="24"/>
        </w:rPr>
      </w:pPr>
    </w:p>
    <w:p w14:paraId="1698E4A8" w14:textId="77777777" w:rsidR="00F46FCB" w:rsidRDefault="00F46FCB" w:rsidP="00DC54F7">
      <w:pPr>
        <w:spacing w:after="0" w:line="240" w:lineRule="auto"/>
        <w:contextualSpacing/>
        <w:jc w:val="both"/>
        <w:rPr>
          <w:rFonts w:ascii="Arial" w:hAnsi="Arial" w:cs="Arial"/>
          <w:b/>
          <w:sz w:val="24"/>
          <w:szCs w:val="24"/>
        </w:rPr>
      </w:pPr>
    </w:p>
    <w:p w14:paraId="5B226E92" w14:textId="4D89B9E5" w:rsidR="00C46347" w:rsidRPr="00F46FCB" w:rsidRDefault="009E3F9C" w:rsidP="00DC54F7">
      <w:pPr>
        <w:spacing w:after="0" w:line="240" w:lineRule="auto"/>
        <w:contextualSpacing/>
        <w:jc w:val="both"/>
        <w:rPr>
          <w:rFonts w:ascii="Arial" w:hAnsi="Arial" w:cs="Arial"/>
          <w:b/>
          <w:sz w:val="24"/>
          <w:szCs w:val="24"/>
        </w:rPr>
      </w:pPr>
      <w:r w:rsidRPr="00F46FCB">
        <w:rPr>
          <w:rFonts w:ascii="Arial" w:hAnsi="Arial" w:cs="Arial"/>
          <w:b/>
          <w:sz w:val="24"/>
          <w:szCs w:val="24"/>
        </w:rPr>
        <w:lastRenderedPageBreak/>
        <w:t>Figure</w:t>
      </w:r>
      <w:r w:rsidR="00911F62" w:rsidRPr="00F46FCB">
        <w:rPr>
          <w:rFonts w:ascii="Arial" w:hAnsi="Arial" w:cs="Arial"/>
          <w:b/>
          <w:sz w:val="24"/>
          <w:szCs w:val="24"/>
        </w:rPr>
        <w:t xml:space="preserve"> </w:t>
      </w:r>
      <w:r w:rsidR="00B31F33" w:rsidRPr="00F46FCB">
        <w:rPr>
          <w:rFonts w:ascii="Arial" w:hAnsi="Arial" w:cs="Arial"/>
          <w:b/>
          <w:sz w:val="24"/>
          <w:szCs w:val="24"/>
        </w:rPr>
        <w:t>5.3:</w:t>
      </w:r>
      <w:r w:rsidRPr="00F46FCB">
        <w:rPr>
          <w:rFonts w:ascii="Arial" w:hAnsi="Arial" w:cs="Arial"/>
          <w:b/>
          <w:sz w:val="24"/>
          <w:szCs w:val="24"/>
        </w:rPr>
        <w:t xml:space="preserve"> </w:t>
      </w:r>
      <w:r w:rsidR="00B31F33" w:rsidRPr="00F46FCB">
        <w:rPr>
          <w:rFonts w:ascii="Arial" w:hAnsi="Arial" w:cs="Arial"/>
          <w:b/>
          <w:sz w:val="24"/>
          <w:szCs w:val="24"/>
        </w:rPr>
        <w:t>N</w:t>
      </w:r>
      <w:r w:rsidRPr="00F46FCB">
        <w:rPr>
          <w:rFonts w:ascii="Arial" w:hAnsi="Arial" w:cs="Arial"/>
          <w:b/>
          <w:sz w:val="24"/>
          <w:szCs w:val="24"/>
        </w:rPr>
        <w:t>umber of emergency contraception consultations claimed in 2019</w:t>
      </w:r>
      <w:r w:rsidR="004A7E68" w:rsidRPr="00F46FCB">
        <w:rPr>
          <w:rFonts w:ascii="Arial" w:hAnsi="Arial" w:cs="Arial"/>
          <w:b/>
          <w:sz w:val="24"/>
          <w:szCs w:val="24"/>
        </w:rPr>
        <w:t xml:space="preserve"> to </w:t>
      </w:r>
      <w:r w:rsidRPr="00F46FCB">
        <w:rPr>
          <w:rFonts w:ascii="Arial" w:hAnsi="Arial" w:cs="Arial"/>
          <w:b/>
          <w:sz w:val="24"/>
          <w:szCs w:val="24"/>
        </w:rPr>
        <w:t>20</w:t>
      </w:r>
      <w:r w:rsidR="007E6663" w:rsidRPr="00F46FCB">
        <w:rPr>
          <w:rFonts w:ascii="Arial" w:hAnsi="Arial" w:cs="Arial"/>
          <w:b/>
          <w:sz w:val="24"/>
          <w:szCs w:val="24"/>
        </w:rPr>
        <w:t>20</w:t>
      </w:r>
    </w:p>
    <w:p w14:paraId="2B0249C3" w14:textId="6EAAB642" w:rsidR="00C46347" w:rsidRPr="009E3F9C" w:rsidRDefault="00C46347" w:rsidP="00DC54F7">
      <w:pPr>
        <w:spacing w:after="240" w:line="240" w:lineRule="auto"/>
        <w:contextualSpacing/>
        <w:jc w:val="both"/>
        <w:rPr>
          <w:rFonts w:ascii="Arial" w:hAnsi="Arial" w:cs="Arial"/>
          <w:b/>
        </w:rPr>
      </w:pPr>
      <w:r>
        <w:rPr>
          <w:noProof/>
          <w:lang w:eastAsia="en-GB"/>
        </w:rPr>
        <w:drawing>
          <wp:inline distT="0" distB="0" distL="0" distR="0" wp14:anchorId="261EEE2D" wp14:editId="4EC1131A">
            <wp:extent cx="5628640" cy="3402419"/>
            <wp:effectExtent l="0" t="0" r="10160" b="7620"/>
            <wp:docPr id="35" name="Chart 3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5B46851-3CF6-4272-942D-5ACD89BFD7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2D2292D9" w14:textId="77777777" w:rsidR="00A7704C" w:rsidRPr="009F049D" w:rsidRDefault="00A7704C" w:rsidP="00DC54F7">
      <w:pPr>
        <w:spacing w:after="0" w:line="240" w:lineRule="auto"/>
        <w:jc w:val="both"/>
        <w:rPr>
          <w:rFonts w:ascii="Arial" w:hAnsi="Arial" w:cs="Arial"/>
        </w:rPr>
      </w:pPr>
    </w:p>
    <w:p w14:paraId="4FEC0FFF" w14:textId="77777777" w:rsidR="00F46FCB" w:rsidRDefault="00F46FCB" w:rsidP="00DC54F7">
      <w:pPr>
        <w:contextualSpacing/>
        <w:jc w:val="both"/>
        <w:rPr>
          <w:rFonts w:ascii="Arial" w:hAnsi="Arial" w:cs="Arial"/>
        </w:rPr>
      </w:pPr>
    </w:p>
    <w:p w14:paraId="0E8A0A13" w14:textId="7C9DE1CA" w:rsidR="00D31DAF" w:rsidRPr="00F46FCB" w:rsidRDefault="00D31DAF" w:rsidP="00DC54F7">
      <w:pPr>
        <w:contextualSpacing/>
        <w:jc w:val="both"/>
        <w:rPr>
          <w:rFonts w:ascii="Arial" w:hAnsi="Arial" w:cs="Arial"/>
          <w:sz w:val="24"/>
          <w:szCs w:val="24"/>
        </w:rPr>
      </w:pPr>
      <w:r w:rsidRPr="00F46FCB">
        <w:rPr>
          <w:rFonts w:ascii="Arial" w:hAnsi="Arial" w:cs="Arial"/>
          <w:sz w:val="24"/>
          <w:szCs w:val="24"/>
        </w:rPr>
        <w:t>The map below shows the location of those pharmacies that provided the service in 2019 to 2020.</w:t>
      </w:r>
    </w:p>
    <w:p w14:paraId="616F4D8E" w14:textId="7AC95AEE" w:rsidR="002C7CF1" w:rsidRPr="00F46FCB" w:rsidRDefault="002C7CF1" w:rsidP="00DC54F7">
      <w:pPr>
        <w:spacing w:after="0" w:line="240" w:lineRule="auto"/>
        <w:jc w:val="both"/>
        <w:rPr>
          <w:rFonts w:ascii="Arial" w:hAnsi="Arial" w:cs="Arial"/>
          <w:b/>
          <w:sz w:val="24"/>
          <w:szCs w:val="24"/>
        </w:rPr>
      </w:pPr>
    </w:p>
    <w:p w14:paraId="1A025961" w14:textId="77777777" w:rsidR="00F46FCB" w:rsidRDefault="00F46FCB" w:rsidP="00DC54F7">
      <w:pPr>
        <w:spacing w:after="0" w:line="240" w:lineRule="auto"/>
        <w:jc w:val="both"/>
        <w:rPr>
          <w:rFonts w:ascii="Arial" w:hAnsi="Arial" w:cs="Arial"/>
          <w:b/>
          <w:sz w:val="24"/>
          <w:szCs w:val="24"/>
        </w:rPr>
      </w:pPr>
    </w:p>
    <w:p w14:paraId="1047EB36" w14:textId="77777777" w:rsidR="00F46FCB" w:rsidRDefault="00F46FCB" w:rsidP="00DC54F7">
      <w:pPr>
        <w:spacing w:after="0" w:line="240" w:lineRule="auto"/>
        <w:jc w:val="both"/>
        <w:rPr>
          <w:rFonts w:ascii="Arial" w:hAnsi="Arial" w:cs="Arial"/>
          <w:b/>
          <w:sz w:val="24"/>
          <w:szCs w:val="24"/>
        </w:rPr>
      </w:pPr>
    </w:p>
    <w:p w14:paraId="40546E42" w14:textId="77777777" w:rsidR="00F46FCB" w:rsidRDefault="00F46FCB" w:rsidP="00DC54F7">
      <w:pPr>
        <w:spacing w:after="0" w:line="240" w:lineRule="auto"/>
        <w:jc w:val="both"/>
        <w:rPr>
          <w:rFonts w:ascii="Arial" w:hAnsi="Arial" w:cs="Arial"/>
          <w:b/>
          <w:sz w:val="24"/>
          <w:szCs w:val="24"/>
        </w:rPr>
      </w:pPr>
    </w:p>
    <w:p w14:paraId="3BC0CD50" w14:textId="77777777" w:rsidR="00F46FCB" w:rsidRDefault="00F46FCB" w:rsidP="00DC54F7">
      <w:pPr>
        <w:spacing w:after="0" w:line="240" w:lineRule="auto"/>
        <w:jc w:val="both"/>
        <w:rPr>
          <w:rFonts w:ascii="Arial" w:hAnsi="Arial" w:cs="Arial"/>
          <w:b/>
          <w:sz w:val="24"/>
          <w:szCs w:val="24"/>
        </w:rPr>
      </w:pPr>
    </w:p>
    <w:p w14:paraId="591A896D" w14:textId="77777777" w:rsidR="00F46FCB" w:rsidRDefault="00F46FCB" w:rsidP="00DC54F7">
      <w:pPr>
        <w:spacing w:after="0" w:line="240" w:lineRule="auto"/>
        <w:jc w:val="both"/>
        <w:rPr>
          <w:rFonts w:ascii="Arial" w:hAnsi="Arial" w:cs="Arial"/>
          <w:b/>
          <w:sz w:val="24"/>
          <w:szCs w:val="24"/>
        </w:rPr>
      </w:pPr>
    </w:p>
    <w:p w14:paraId="0F8F28A3" w14:textId="77777777" w:rsidR="00F46FCB" w:rsidRDefault="00F46FCB" w:rsidP="00DC54F7">
      <w:pPr>
        <w:spacing w:after="0" w:line="240" w:lineRule="auto"/>
        <w:jc w:val="both"/>
        <w:rPr>
          <w:rFonts w:ascii="Arial" w:hAnsi="Arial" w:cs="Arial"/>
          <w:b/>
          <w:sz w:val="24"/>
          <w:szCs w:val="24"/>
        </w:rPr>
      </w:pPr>
    </w:p>
    <w:p w14:paraId="39FC23DA" w14:textId="77777777" w:rsidR="00F46FCB" w:rsidRDefault="00F46FCB" w:rsidP="00DC54F7">
      <w:pPr>
        <w:spacing w:after="0" w:line="240" w:lineRule="auto"/>
        <w:jc w:val="both"/>
        <w:rPr>
          <w:rFonts w:ascii="Arial" w:hAnsi="Arial" w:cs="Arial"/>
          <w:b/>
          <w:sz w:val="24"/>
          <w:szCs w:val="24"/>
        </w:rPr>
      </w:pPr>
    </w:p>
    <w:p w14:paraId="075A7FFB" w14:textId="77777777" w:rsidR="00F46FCB" w:rsidRDefault="00F46FCB" w:rsidP="00DC54F7">
      <w:pPr>
        <w:spacing w:after="0" w:line="240" w:lineRule="auto"/>
        <w:jc w:val="both"/>
        <w:rPr>
          <w:rFonts w:ascii="Arial" w:hAnsi="Arial" w:cs="Arial"/>
          <w:b/>
          <w:sz w:val="24"/>
          <w:szCs w:val="24"/>
        </w:rPr>
      </w:pPr>
    </w:p>
    <w:p w14:paraId="4BFB421C" w14:textId="77777777" w:rsidR="00F46FCB" w:rsidRDefault="00F46FCB" w:rsidP="00DC54F7">
      <w:pPr>
        <w:spacing w:after="0" w:line="240" w:lineRule="auto"/>
        <w:jc w:val="both"/>
        <w:rPr>
          <w:rFonts w:ascii="Arial" w:hAnsi="Arial" w:cs="Arial"/>
          <w:b/>
          <w:sz w:val="24"/>
          <w:szCs w:val="24"/>
        </w:rPr>
      </w:pPr>
    </w:p>
    <w:p w14:paraId="5C66A583" w14:textId="77777777" w:rsidR="00F46FCB" w:rsidRDefault="00F46FCB" w:rsidP="00DC54F7">
      <w:pPr>
        <w:spacing w:after="0" w:line="240" w:lineRule="auto"/>
        <w:jc w:val="both"/>
        <w:rPr>
          <w:rFonts w:ascii="Arial" w:hAnsi="Arial" w:cs="Arial"/>
          <w:b/>
          <w:sz w:val="24"/>
          <w:szCs w:val="24"/>
        </w:rPr>
      </w:pPr>
    </w:p>
    <w:p w14:paraId="3AD34FB9" w14:textId="77777777" w:rsidR="00F46FCB" w:rsidRDefault="00F46FCB" w:rsidP="00DC54F7">
      <w:pPr>
        <w:spacing w:after="0" w:line="240" w:lineRule="auto"/>
        <w:jc w:val="both"/>
        <w:rPr>
          <w:rFonts w:ascii="Arial" w:hAnsi="Arial" w:cs="Arial"/>
          <w:b/>
          <w:sz w:val="24"/>
          <w:szCs w:val="24"/>
        </w:rPr>
      </w:pPr>
    </w:p>
    <w:p w14:paraId="1F531D9F" w14:textId="77777777" w:rsidR="00F46FCB" w:rsidRDefault="00F46FCB" w:rsidP="00DC54F7">
      <w:pPr>
        <w:spacing w:after="0" w:line="240" w:lineRule="auto"/>
        <w:jc w:val="both"/>
        <w:rPr>
          <w:rFonts w:ascii="Arial" w:hAnsi="Arial" w:cs="Arial"/>
          <w:b/>
          <w:sz w:val="24"/>
          <w:szCs w:val="24"/>
        </w:rPr>
      </w:pPr>
    </w:p>
    <w:p w14:paraId="7E7F5E41" w14:textId="77777777" w:rsidR="00F46FCB" w:rsidRDefault="00F46FCB" w:rsidP="00DC54F7">
      <w:pPr>
        <w:spacing w:after="0" w:line="240" w:lineRule="auto"/>
        <w:jc w:val="both"/>
        <w:rPr>
          <w:rFonts w:ascii="Arial" w:hAnsi="Arial" w:cs="Arial"/>
          <w:b/>
          <w:sz w:val="24"/>
          <w:szCs w:val="24"/>
        </w:rPr>
      </w:pPr>
    </w:p>
    <w:p w14:paraId="4F9012EA" w14:textId="77777777" w:rsidR="00F46FCB" w:rsidRDefault="00F46FCB" w:rsidP="00DC54F7">
      <w:pPr>
        <w:spacing w:after="0" w:line="240" w:lineRule="auto"/>
        <w:jc w:val="both"/>
        <w:rPr>
          <w:rFonts w:ascii="Arial" w:hAnsi="Arial" w:cs="Arial"/>
          <w:b/>
          <w:sz w:val="24"/>
          <w:szCs w:val="24"/>
        </w:rPr>
      </w:pPr>
    </w:p>
    <w:p w14:paraId="5A270C9C" w14:textId="77777777" w:rsidR="00F46FCB" w:rsidRDefault="00F46FCB" w:rsidP="00DC54F7">
      <w:pPr>
        <w:spacing w:after="0" w:line="240" w:lineRule="auto"/>
        <w:jc w:val="both"/>
        <w:rPr>
          <w:rFonts w:ascii="Arial" w:hAnsi="Arial" w:cs="Arial"/>
          <w:b/>
          <w:sz w:val="24"/>
          <w:szCs w:val="24"/>
        </w:rPr>
      </w:pPr>
    </w:p>
    <w:p w14:paraId="68922F73" w14:textId="77777777" w:rsidR="00F46FCB" w:rsidRDefault="00F46FCB" w:rsidP="00DC54F7">
      <w:pPr>
        <w:spacing w:after="0" w:line="240" w:lineRule="auto"/>
        <w:jc w:val="both"/>
        <w:rPr>
          <w:rFonts w:ascii="Arial" w:hAnsi="Arial" w:cs="Arial"/>
          <w:b/>
          <w:sz w:val="24"/>
          <w:szCs w:val="24"/>
        </w:rPr>
      </w:pPr>
    </w:p>
    <w:p w14:paraId="0772E700" w14:textId="77777777" w:rsidR="00F46FCB" w:rsidRDefault="00F46FCB" w:rsidP="00DC54F7">
      <w:pPr>
        <w:spacing w:after="0" w:line="240" w:lineRule="auto"/>
        <w:jc w:val="both"/>
        <w:rPr>
          <w:rFonts w:ascii="Arial" w:hAnsi="Arial" w:cs="Arial"/>
          <w:b/>
          <w:sz w:val="24"/>
          <w:szCs w:val="24"/>
        </w:rPr>
      </w:pPr>
    </w:p>
    <w:p w14:paraId="5A1028F9" w14:textId="77777777" w:rsidR="00F46FCB" w:rsidRDefault="00F46FCB" w:rsidP="00DC54F7">
      <w:pPr>
        <w:spacing w:after="0" w:line="240" w:lineRule="auto"/>
        <w:jc w:val="both"/>
        <w:rPr>
          <w:rFonts w:ascii="Arial" w:hAnsi="Arial" w:cs="Arial"/>
          <w:b/>
          <w:sz w:val="24"/>
          <w:szCs w:val="24"/>
        </w:rPr>
      </w:pPr>
    </w:p>
    <w:p w14:paraId="6A016813" w14:textId="77777777" w:rsidR="00F46FCB" w:rsidRDefault="00F46FCB" w:rsidP="00DC54F7">
      <w:pPr>
        <w:spacing w:after="0" w:line="240" w:lineRule="auto"/>
        <w:jc w:val="both"/>
        <w:rPr>
          <w:rFonts w:ascii="Arial" w:hAnsi="Arial" w:cs="Arial"/>
          <w:b/>
          <w:sz w:val="24"/>
          <w:szCs w:val="24"/>
        </w:rPr>
      </w:pPr>
    </w:p>
    <w:p w14:paraId="22DAC94C" w14:textId="77777777" w:rsidR="00F46FCB" w:rsidRDefault="00F46FCB" w:rsidP="00DC54F7">
      <w:pPr>
        <w:spacing w:after="0" w:line="240" w:lineRule="auto"/>
        <w:jc w:val="both"/>
        <w:rPr>
          <w:rFonts w:ascii="Arial" w:hAnsi="Arial" w:cs="Arial"/>
          <w:b/>
          <w:sz w:val="24"/>
          <w:szCs w:val="24"/>
        </w:rPr>
      </w:pPr>
    </w:p>
    <w:p w14:paraId="666F0FB9" w14:textId="77777777" w:rsidR="00F46FCB" w:rsidRDefault="00F46FCB" w:rsidP="00DC54F7">
      <w:pPr>
        <w:spacing w:after="0" w:line="240" w:lineRule="auto"/>
        <w:jc w:val="both"/>
        <w:rPr>
          <w:rFonts w:ascii="Arial" w:hAnsi="Arial" w:cs="Arial"/>
          <w:b/>
          <w:sz w:val="24"/>
          <w:szCs w:val="24"/>
        </w:rPr>
      </w:pPr>
    </w:p>
    <w:p w14:paraId="1FDA52DF" w14:textId="77777777" w:rsidR="00F46FCB" w:rsidRDefault="00F46FCB" w:rsidP="00DC54F7">
      <w:pPr>
        <w:spacing w:after="0" w:line="240" w:lineRule="auto"/>
        <w:jc w:val="both"/>
        <w:rPr>
          <w:rFonts w:ascii="Arial" w:hAnsi="Arial" w:cs="Arial"/>
          <w:b/>
          <w:sz w:val="24"/>
          <w:szCs w:val="24"/>
        </w:rPr>
      </w:pPr>
    </w:p>
    <w:p w14:paraId="10F7F1CE" w14:textId="4DBB272A" w:rsidR="00233AD3" w:rsidRPr="00F46FCB" w:rsidRDefault="00233AD3" w:rsidP="00DC54F7">
      <w:pPr>
        <w:spacing w:after="0" w:line="240" w:lineRule="auto"/>
        <w:jc w:val="both"/>
        <w:rPr>
          <w:rFonts w:ascii="Arial" w:hAnsi="Arial" w:cs="Arial"/>
          <w:b/>
          <w:sz w:val="24"/>
          <w:szCs w:val="24"/>
        </w:rPr>
      </w:pPr>
      <w:r w:rsidRPr="00F46FCB">
        <w:rPr>
          <w:rFonts w:ascii="Arial" w:hAnsi="Arial" w:cs="Arial"/>
          <w:b/>
          <w:sz w:val="24"/>
          <w:szCs w:val="24"/>
        </w:rPr>
        <w:lastRenderedPageBreak/>
        <w:t>Map</w:t>
      </w:r>
      <w:r w:rsidR="00604CB8" w:rsidRPr="00F46FCB">
        <w:rPr>
          <w:rFonts w:ascii="Arial" w:hAnsi="Arial" w:cs="Arial"/>
          <w:b/>
          <w:sz w:val="24"/>
          <w:szCs w:val="24"/>
        </w:rPr>
        <w:t xml:space="preserve"> 5.6</w:t>
      </w:r>
      <w:r w:rsidR="002C7CF1" w:rsidRPr="00F46FCB">
        <w:rPr>
          <w:rFonts w:ascii="Arial" w:hAnsi="Arial" w:cs="Arial"/>
          <w:b/>
          <w:sz w:val="24"/>
          <w:szCs w:val="24"/>
        </w:rPr>
        <w:t xml:space="preserve">: </w:t>
      </w:r>
      <w:r w:rsidR="00C46347" w:rsidRPr="00F46FCB">
        <w:rPr>
          <w:rFonts w:ascii="Arial" w:hAnsi="Arial" w:cs="Arial"/>
          <w:b/>
          <w:sz w:val="24"/>
          <w:szCs w:val="24"/>
        </w:rPr>
        <w:t>L</w:t>
      </w:r>
      <w:r w:rsidRPr="00F46FCB">
        <w:rPr>
          <w:rFonts w:ascii="Arial" w:hAnsi="Arial" w:cs="Arial"/>
          <w:b/>
          <w:sz w:val="24"/>
          <w:szCs w:val="24"/>
        </w:rPr>
        <w:t xml:space="preserve">ocation of pharmacies providing </w:t>
      </w:r>
      <w:r w:rsidR="00971A70" w:rsidRPr="00F46FCB">
        <w:rPr>
          <w:rFonts w:ascii="Arial" w:hAnsi="Arial" w:cs="Arial"/>
          <w:b/>
          <w:sz w:val="24"/>
          <w:szCs w:val="24"/>
        </w:rPr>
        <w:t>E</w:t>
      </w:r>
      <w:r w:rsidRPr="00F46FCB">
        <w:rPr>
          <w:rFonts w:ascii="Arial" w:hAnsi="Arial" w:cs="Arial"/>
          <w:b/>
          <w:sz w:val="24"/>
          <w:szCs w:val="24"/>
        </w:rPr>
        <w:t>mergency</w:t>
      </w:r>
      <w:r w:rsidR="00C46347" w:rsidRPr="00F46FCB">
        <w:rPr>
          <w:rFonts w:ascii="Arial" w:hAnsi="Arial" w:cs="Arial"/>
          <w:b/>
          <w:sz w:val="24"/>
          <w:szCs w:val="24"/>
        </w:rPr>
        <w:t xml:space="preserve"> </w:t>
      </w:r>
      <w:r w:rsidR="00971A70" w:rsidRPr="00F46FCB">
        <w:rPr>
          <w:rFonts w:ascii="Arial" w:hAnsi="Arial" w:cs="Arial"/>
          <w:b/>
          <w:sz w:val="24"/>
          <w:szCs w:val="24"/>
        </w:rPr>
        <w:t>C</w:t>
      </w:r>
      <w:r w:rsidRPr="00F46FCB">
        <w:rPr>
          <w:rFonts w:ascii="Arial" w:hAnsi="Arial" w:cs="Arial"/>
          <w:b/>
          <w:sz w:val="24"/>
          <w:szCs w:val="24"/>
        </w:rPr>
        <w:t xml:space="preserve">ontraception </w:t>
      </w:r>
      <w:r w:rsidR="00C95944" w:rsidRPr="00F46FCB">
        <w:rPr>
          <w:rFonts w:ascii="Arial" w:hAnsi="Arial" w:cs="Arial"/>
          <w:b/>
          <w:sz w:val="24"/>
          <w:szCs w:val="24"/>
        </w:rPr>
        <w:t>E</w:t>
      </w:r>
      <w:r w:rsidR="00B9091F" w:rsidRPr="00F46FCB">
        <w:rPr>
          <w:rFonts w:ascii="Arial" w:hAnsi="Arial" w:cs="Arial"/>
          <w:b/>
          <w:sz w:val="24"/>
          <w:szCs w:val="24"/>
        </w:rPr>
        <w:t xml:space="preserve">nhanced </w:t>
      </w:r>
      <w:r w:rsidR="00C95944" w:rsidRPr="00F46FCB">
        <w:rPr>
          <w:rFonts w:ascii="Arial" w:hAnsi="Arial" w:cs="Arial"/>
          <w:b/>
          <w:sz w:val="24"/>
          <w:szCs w:val="24"/>
        </w:rPr>
        <w:t>S</w:t>
      </w:r>
      <w:r w:rsidR="00D16169" w:rsidRPr="00F46FCB">
        <w:rPr>
          <w:rFonts w:ascii="Arial" w:hAnsi="Arial" w:cs="Arial"/>
          <w:b/>
          <w:sz w:val="24"/>
          <w:szCs w:val="24"/>
        </w:rPr>
        <w:t xml:space="preserve">ervice </w:t>
      </w:r>
      <w:r w:rsidRPr="00F46FCB">
        <w:rPr>
          <w:rFonts w:ascii="Arial" w:hAnsi="Arial" w:cs="Arial"/>
          <w:b/>
          <w:sz w:val="24"/>
          <w:szCs w:val="24"/>
        </w:rPr>
        <w:t>in 2019</w:t>
      </w:r>
      <w:r w:rsidR="00C46347" w:rsidRPr="00F46FCB">
        <w:rPr>
          <w:rFonts w:ascii="Arial" w:hAnsi="Arial" w:cs="Arial"/>
          <w:b/>
          <w:sz w:val="24"/>
          <w:szCs w:val="24"/>
        </w:rPr>
        <w:t xml:space="preserve"> to 2020</w:t>
      </w:r>
    </w:p>
    <w:p w14:paraId="361C4048" w14:textId="74960B91" w:rsidR="002C7CF1" w:rsidRPr="00F46FCB" w:rsidRDefault="00CD4E0B" w:rsidP="00DC54F7">
      <w:pPr>
        <w:spacing w:after="0" w:line="240" w:lineRule="auto"/>
        <w:jc w:val="both"/>
        <w:rPr>
          <w:rFonts w:ascii="Arial" w:hAnsi="Arial" w:cs="Arial"/>
          <w:b/>
        </w:rPr>
      </w:pPr>
      <w:r>
        <w:rPr>
          <w:noProof/>
          <w:lang w:eastAsia="en-GB"/>
        </w:rPr>
        <w:drawing>
          <wp:inline distT="0" distB="0" distL="0" distR="0" wp14:anchorId="4633E2F1" wp14:editId="00B9AE6D">
            <wp:extent cx="5731510" cy="4055110"/>
            <wp:effectExtent l="0" t="0" r="2540" b="254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731510" cy="4055110"/>
                    </a:xfrm>
                    <a:prstGeom prst="rect">
                      <a:avLst/>
                    </a:prstGeom>
                    <a:noFill/>
                    <a:ln>
                      <a:noFill/>
                    </a:ln>
                  </pic:spPr>
                </pic:pic>
              </a:graphicData>
            </a:graphic>
          </wp:inline>
        </w:drawing>
      </w:r>
    </w:p>
    <w:p w14:paraId="26A907A5" w14:textId="77777777" w:rsidR="00AA6EDF" w:rsidRDefault="00AA6EDF" w:rsidP="00DC54F7">
      <w:pPr>
        <w:spacing w:after="0" w:line="240" w:lineRule="auto"/>
        <w:jc w:val="both"/>
        <w:rPr>
          <w:rFonts w:ascii="Arial" w:hAnsi="Arial" w:cs="Arial"/>
          <w:bCs/>
        </w:rPr>
      </w:pPr>
      <w:r>
        <w:rPr>
          <w:noProof/>
          <w:lang w:eastAsia="en-GB"/>
        </w:rPr>
        <w:drawing>
          <wp:inline distT="0" distB="0" distL="0" distR="0" wp14:anchorId="6B443886" wp14:editId="458C983B">
            <wp:extent cx="5731510" cy="4102100"/>
            <wp:effectExtent l="0" t="0" r="254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731510" cy="4102100"/>
                    </a:xfrm>
                    <a:prstGeom prst="rect">
                      <a:avLst/>
                    </a:prstGeom>
                    <a:noFill/>
                    <a:ln>
                      <a:noFill/>
                    </a:ln>
                  </pic:spPr>
                </pic:pic>
              </a:graphicData>
            </a:graphic>
          </wp:inline>
        </w:drawing>
      </w:r>
    </w:p>
    <w:p w14:paraId="0A164980" w14:textId="13E21385" w:rsidR="00221EAC" w:rsidRPr="00F46FCB" w:rsidRDefault="00221EAC" w:rsidP="00DC54F7">
      <w:pPr>
        <w:spacing w:after="0" w:line="240" w:lineRule="auto"/>
        <w:contextualSpacing/>
        <w:jc w:val="both"/>
        <w:rPr>
          <w:rFonts w:ascii="Arial" w:hAnsi="Arial" w:cs="Arial"/>
          <w:sz w:val="24"/>
          <w:szCs w:val="24"/>
        </w:rPr>
      </w:pPr>
      <w:r w:rsidRPr="00F46FCB">
        <w:rPr>
          <w:rFonts w:ascii="Arial" w:hAnsi="Arial" w:cs="Arial"/>
          <w:sz w:val="24"/>
          <w:szCs w:val="24"/>
        </w:rPr>
        <w:lastRenderedPageBreak/>
        <w:t xml:space="preserve">In the first five months of 2020 to 2021, </w:t>
      </w:r>
      <w:r w:rsidR="00CB0D4F" w:rsidRPr="00F46FCB">
        <w:rPr>
          <w:rFonts w:ascii="Arial" w:hAnsi="Arial" w:cs="Arial"/>
          <w:sz w:val="24"/>
          <w:szCs w:val="24"/>
        </w:rPr>
        <w:t>6</w:t>
      </w:r>
      <w:r w:rsidRPr="00F46FCB">
        <w:rPr>
          <w:rFonts w:ascii="Arial" w:hAnsi="Arial" w:cs="Arial"/>
          <w:sz w:val="24"/>
          <w:szCs w:val="24"/>
        </w:rPr>
        <w:t xml:space="preserve">3 pharmacies provided a total of </w:t>
      </w:r>
      <w:r w:rsidR="00CB0D4F" w:rsidRPr="00F46FCB">
        <w:rPr>
          <w:rFonts w:ascii="Arial" w:hAnsi="Arial" w:cs="Arial"/>
          <w:sz w:val="24"/>
          <w:szCs w:val="24"/>
        </w:rPr>
        <w:t>2,246</w:t>
      </w:r>
      <w:r w:rsidRPr="00F46FCB">
        <w:rPr>
          <w:rFonts w:ascii="Arial" w:hAnsi="Arial" w:cs="Arial"/>
          <w:sz w:val="24"/>
          <w:szCs w:val="24"/>
        </w:rPr>
        <w:t xml:space="preserve"> consultations under this service. </w:t>
      </w:r>
    </w:p>
    <w:p w14:paraId="140E7A03" w14:textId="77777777" w:rsidR="00221EAC" w:rsidRPr="00F46FCB" w:rsidRDefault="00221EAC" w:rsidP="00DC54F7">
      <w:pPr>
        <w:spacing w:after="0" w:line="240" w:lineRule="auto"/>
        <w:contextualSpacing/>
        <w:jc w:val="both"/>
        <w:rPr>
          <w:rFonts w:ascii="Arial" w:hAnsi="Arial" w:cs="Arial"/>
          <w:sz w:val="24"/>
          <w:szCs w:val="24"/>
        </w:rPr>
      </w:pPr>
    </w:p>
    <w:p w14:paraId="4EF0F491" w14:textId="691717AC" w:rsidR="00233AD3" w:rsidRPr="00F46FCB" w:rsidRDefault="00221EAC" w:rsidP="00DC54F7">
      <w:pPr>
        <w:spacing w:after="0" w:line="240" w:lineRule="auto"/>
        <w:contextualSpacing/>
        <w:jc w:val="both"/>
        <w:rPr>
          <w:rFonts w:ascii="Arial" w:hAnsi="Arial" w:cs="Arial"/>
          <w:sz w:val="24"/>
          <w:szCs w:val="24"/>
        </w:rPr>
      </w:pPr>
      <w:r w:rsidRPr="00F46FCB">
        <w:rPr>
          <w:rFonts w:ascii="Arial" w:hAnsi="Arial" w:cs="Arial"/>
          <w:sz w:val="24"/>
          <w:szCs w:val="24"/>
        </w:rPr>
        <w:t>The figure below shows the total number of emergency contraception consultations claimed under the service by pharmacies in the health board’s area in the first five months of 2020 to 2021.</w:t>
      </w:r>
    </w:p>
    <w:p w14:paraId="35F3FF25" w14:textId="77777777" w:rsidR="00221EAC" w:rsidRPr="00221EAC" w:rsidRDefault="00221EAC" w:rsidP="00DC54F7">
      <w:pPr>
        <w:spacing w:after="0" w:line="240" w:lineRule="auto"/>
        <w:contextualSpacing/>
        <w:jc w:val="both"/>
        <w:rPr>
          <w:rFonts w:ascii="Arial" w:hAnsi="Arial" w:cs="Arial"/>
        </w:rPr>
      </w:pPr>
    </w:p>
    <w:p w14:paraId="59BF4082" w14:textId="13EDE389" w:rsidR="00AA6EDF" w:rsidRPr="00F46FCB" w:rsidRDefault="00233AD3" w:rsidP="00DC54F7">
      <w:pPr>
        <w:spacing w:after="0" w:line="240" w:lineRule="auto"/>
        <w:jc w:val="both"/>
        <w:rPr>
          <w:rFonts w:ascii="Arial" w:hAnsi="Arial" w:cs="Arial"/>
          <w:b/>
          <w:sz w:val="24"/>
          <w:szCs w:val="24"/>
        </w:rPr>
      </w:pPr>
      <w:r w:rsidRPr="00F46FCB">
        <w:rPr>
          <w:rFonts w:ascii="Arial" w:hAnsi="Arial" w:cs="Arial"/>
          <w:b/>
          <w:sz w:val="24"/>
          <w:szCs w:val="24"/>
        </w:rPr>
        <w:t>Figure</w:t>
      </w:r>
      <w:r w:rsidR="00B31F33" w:rsidRPr="00F46FCB">
        <w:rPr>
          <w:rFonts w:ascii="Arial" w:hAnsi="Arial" w:cs="Arial"/>
          <w:b/>
          <w:sz w:val="24"/>
          <w:szCs w:val="24"/>
        </w:rPr>
        <w:t xml:space="preserve"> 5.4</w:t>
      </w:r>
      <w:r w:rsidR="004000B6" w:rsidRPr="00F46FCB">
        <w:rPr>
          <w:rFonts w:ascii="Arial" w:hAnsi="Arial" w:cs="Arial"/>
          <w:b/>
          <w:sz w:val="24"/>
          <w:szCs w:val="24"/>
        </w:rPr>
        <w:t>:</w:t>
      </w:r>
      <w:r w:rsidRPr="00F46FCB">
        <w:rPr>
          <w:rFonts w:ascii="Arial" w:hAnsi="Arial" w:cs="Arial"/>
          <w:b/>
          <w:sz w:val="24"/>
          <w:szCs w:val="24"/>
        </w:rPr>
        <w:t xml:space="preserve"> </w:t>
      </w:r>
      <w:r w:rsidR="004000B6" w:rsidRPr="00F46FCB">
        <w:rPr>
          <w:rFonts w:ascii="Arial" w:hAnsi="Arial" w:cs="Arial"/>
          <w:b/>
          <w:sz w:val="24"/>
          <w:szCs w:val="24"/>
        </w:rPr>
        <w:t>N</w:t>
      </w:r>
      <w:r w:rsidRPr="00F46FCB">
        <w:rPr>
          <w:rFonts w:ascii="Arial" w:hAnsi="Arial" w:cs="Arial"/>
          <w:b/>
          <w:sz w:val="24"/>
          <w:szCs w:val="24"/>
        </w:rPr>
        <w:t>umber of emergency contraception consultations claimed in 2020</w:t>
      </w:r>
      <w:r w:rsidR="004000B6" w:rsidRPr="00F46FCB">
        <w:rPr>
          <w:rFonts w:ascii="Arial" w:hAnsi="Arial" w:cs="Arial"/>
          <w:b/>
          <w:sz w:val="24"/>
          <w:szCs w:val="24"/>
        </w:rPr>
        <w:t xml:space="preserve"> to 20</w:t>
      </w:r>
      <w:r w:rsidRPr="00F46FCB">
        <w:rPr>
          <w:rFonts w:ascii="Arial" w:hAnsi="Arial" w:cs="Arial"/>
          <w:b/>
          <w:sz w:val="24"/>
          <w:szCs w:val="24"/>
        </w:rPr>
        <w:t>21</w:t>
      </w:r>
    </w:p>
    <w:p w14:paraId="30254D30" w14:textId="38669ACF" w:rsidR="00AA6EDF" w:rsidRDefault="004000B6" w:rsidP="00DC54F7">
      <w:pPr>
        <w:spacing w:after="0" w:line="240" w:lineRule="auto"/>
        <w:jc w:val="both"/>
        <w:rPr>
          <w:rFonts w:ascii="Arial" w:hAnsi="Arial" w:cs="Arial"/>
          <w:b/>
        </w:rPr>
      </w:pPr>
      <w:r>
        <w:rPr>
          <w:noProof/>
          <w:lang w:eastAsia="en-GB"/>
        </w:rPr>
        <w:drawing>
          <wp:inline distT="0" distB="0" distL="0" distR="0" wp14:anchorId="534DC367" wp14:editId="274575EE">
            <wp:extent cx="5557962" cy="2768600"/>
            <wp:effectExtent l="0" t="0" r="5080" b="12700"/>
            <wp:docPr id="38" name="Chart 38">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03D120B-1FA6-40E3-ADAD-155D163B47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33A2BACC" w14:textId="04E4E646" w:rsidR="00AA6EDF" w:rsidRDefault="00AA6EDF" w:rsidP="00DC54F7">
      <w:pPr>
        <w:spacing w:after="0" w:line="240" w:lineRule="auto"/>
        <w:jc w:val="both"/>
        <w:rPr>
          <w:rFonts w:ascii="Arial" w:hAnsi="Arial" w:cs="Arial"/>
          <w:b/>
        </w:rPr>
      </w:pPr>
    </w:p>
    <w:p w14:paraId="5C62CDD1" w14:textId="77777777" w:rsidR="00AA6EDF" w:rsidRDefault="00AA6EDF" w:rsidP="00DC54F7">
      <w:pPr>
        <w:spacing w:after="0" w:line="240" w:lineRule="auto"/>
        <w:jc w:val="both"/>
        <w:rPr>
          <w:rFonts w:ascii="Arial" w:hAnsi="Arial" w:cs="Arial"/>
          <w:b/>
        </w:rPr>
      </w:pPr>
    </w:p>
    <w:p w14:paraId="2766C9A1" w14:textId="604C3A17" w:rsidR="004E3CBE" w:rsidRPr="00F46FCB" w:rsidRDefault="004E3CBE" w:rsidP="00DC54F7">
      <w:pPr>
        <w:spacing w:after="0" w:line="240" w:lineRule="auto"/>
        <w:jc w:val="both"/>
        <w:rPr>
          <w:rFonts w:ascii="Arial" w:hAnsi="Arial" w:cs="Arial"/>
          <w:bCs/>
          <w:sz w:val="24"/>
          <w:szCs w:val="24"/>
        </w:rPr>
      </w:pPr>
      <w:r w:rsidRPr="00F46FCB">
        <w:rPr>
          <w:rFonts w:ascii="Arial" w:hAnsi="Arial" w:cs="Arial"/>
          <w:bCs/>
          <w:sz w:val="24"/>
          <w:szCs w:val="24"/>
        </w:rPr>
        <w:t>The figure below compares provision of the service over the last three financial years.</w:t>
      </w:r>
    </w:p>
    <w:p w14:paraId="675D5E1E" w14:textId="77777777" w:rsidR="00B31F33" w:rsidRPr="00F46FCB" w:rsidRDefault="00B31F33" w:rsidP="00DC54F7">
      <w:pPr>
        <w:spacing w:after="0" w:line="240" w:lineRule="auto"/>
        <w:jc w:val="both"/>
        <w:rPr>
          <w:rFonts w:ascii="Arial" w:hAnsi="Arial" w:cs="Arial"/>
          <w:bCs/>
          <w:sz w:val="24"/>
          <w:szCs w:val="24"/>
        </w:rPr>
      </w:pPr>
    </w:p>
    <w:p w14:paraId="1F70E15F" w14:textId="6CEAC1D8" w:rsidR="004E3CBE" w:rsidRPr="00F46FCB" w:rsidRDefault="004E3CBE" w:rsidP="00DC54F7">
      <w:pPr>
        <w:spacing w:after="0" w:line="240" w:lineRule="auto"/>
        <w:jc w:val="both"/>
        <w:rPr>
          <w:rFonts w:ascii="Arial" w:hAnsi="Arial" w:cs="Arial"/>
          <w:b/>
          <w:sz w:val="24"/>
          <w:szCs w:val="24"/>
        </w:rPr>
      </w:pPr>
      <w:r w:rsidRPr="00F46FCB">
        <w:rPr>
          <w:rFonts w:ascii="Arial" w:hAnsi="Arial" w:cs="Arial"/>
          <w:b/>
          <w:sz w:val="24"/>
          <w:szCs w:val="24"/>
        </w:rPr>
        <w:t>Figure</w:t>
      </w:r>
      <w:r w:rsidR="00B31F33" w:rsidRPr="00F46FCB">
        <w:rPr>
          <w:rFonts w:ascii="Arial" w:hAnsi="Arial" w:cs="Arial"/>
          <w:b/>
          <w:sz w:val="24"/>
          <w:szCs w:val="24"/>
        </w:rPr>
        <w:t xml:space="preserve"> 5.5:</w:t>
      </w:r>
      <w:r w:rsidRPr="00F46FCB">
        <w:rPr>
          <w:rFonts w:ascii="Arial" w:hAnsi="Arial" w:cs="Arial"/>
          <w:b/>
          <w:sz w:val="24"/>
          <w:szCs w:val="24"/>
        </w:rPr>
        <w:t xml:space="preserve"> </w:t>
      </w:r>
      <w:r w:rsidR="004000B6" w:rsidRPr="00F46FCB">
        <w:rPr>
          <w:rFonts w:ascii="Arial" w:hAnsi="Arial" w:cs="Arial"/>
          <w:b/>
          <w:sz w:val="24"/>
          <w:szCs w:val="24"/>
        </w:rPr>
        <w:t>N</w:t>
      </w:r>
      <w:r w:rsidRPr="00F46FCB">
        <w:rPr>
          <w:rFonts w:ascii="Arial" w:hAnsi="Arial" w:cs="Arial"/>
          <w:b/>
          <w:sz w:val="24"/>
          <w:szCs w:val="24"/>
        </w:rPr>
        <w:t xml:space="preserve">umber of emergency contraception consultations </w:t>
      </w:r>
      <w:r w:rsidR="004000B6" w:rsidRPr="00F46FCB">
        <w:rPr>
          <w:rFonts w:ascii="Arial" w:hAnsi="Arial" w:cs="Arial"/>
          <w:b/>
          <w:sz w:val="24"/>
          <w:szCs w:val="24"/>
        </w:rPr>
        <w:t xml:space="preserve">by year </w:t>
      </w:r>
      <w:r w:rsidRPr="00F46FCB">
        <w:rPr>
          <w:rFonts w:ascii="Arial" w:hAnsi="Arial" w:cs="Arial"/>
          <w:b/>
          <w:sz w:val="24"/>
          <w:szCs w:val="24"/>
        </w:rPr>
        <w:t xml:space="preserve">from </w:t>
      </w:r>
      <w:r w:rsidR="004000B6" w:rsidRPr="00F46FCB">
        <w:rPr>
          <w:rFonts w:ascii="Arial" w:hAnsi="Arial" w:cs="Arial"/>
          <w:b/>
          <w:sz w:val="24"/>
          <w:szCs w:val="24"/>
        </w:rPr>
        <w:t xml:space="preserve">April </w:t>
      </w:r>
      <w:r w:rsidR="00D93B47" w:rsidRPr="00F46FCB">
        <w:rPr>
          <w:rFonts w:ascii="Arial" w:hAnsi="Arial" w:cs="Arial"/>
          <w:b/>
          <w:sz w:val="24"/>
          <w:szCs w:val="24"/>
        </w:rPr>
        <w:t xml:space="preserve">2018 </w:t>
      </w:r>
      <w:r w:rsidRPr="00F46FCB">
        <w:rPr>
          <w:rFonts w:ascii="Arial" w:hAnsi="Arial" w:cs="Arial"/>
          <w:b/>
          <w:sz w:val="24"/>
          <w:szCs w:val="24"/>
        </w:rPr>
        <w:t>to August 202</w:t>
      </w:r>
      <w:r w:rsidR="00CA4845" w:rsidRPr="00F46FCB">
        <w:rPr>
          <w:rFonts w:ascii="Arial" w:hAnsi="Arial" w:cs="Arial"/>
          <w:b/>
          <w:sz w:val="24"/>
          <w:szCs w:val="24"/>
        </w:rPr>
        <w:t>1</w:t>
      </w:r>
    </w:p>
    <w:p w14:paraId="4882A98A" w14:textId="71A58E71" w:rsidR="004E3CBE" w:rsidRPr="004E3CBE" w:rsidRDefault="004E3CBE" w:rsidP="00DC54F7">
      <w:pPr>
        <w:spacing w:after="0" w:line="240" w:lineRule="auto"/>
        <w:jc w:val="both"/>
        <w:rPr>
          <w:rFonts w:ascii="Arial" w:hAnsi="Arial" w:cs="Arial"/>
          <w:b/>
        </w:rPr>
      </w:pPr>
      <w:r w:rsidRPr="004E3CBE">
        <w:rPr>
          <w:rFonts w:ascii="Arial" w:hAnsi="Arial" w:cs="Arial"/>
          <w:b/>
        </w:rPr>
        <w:t xml:space="preserve"> </w:t>
      </w:r>
      <w:r w:rsidR="009948E2">
        <w:rPr>
          <w:noProof/>
          <w:lang w:eastAsia="en-GB"/>
        </w:rPr>
        <w:drawing>
          <wp:inline distT="0" distB="0" distL="0" distR="0" wp14:anchorId="7756730B" wp14:editId="54E72412">
            <wp:extent cx="5517515" cy="2951429"/>
            <wp:effectExtent l="0" t="0" r="6985" b="1905"/>
            <wp:docPr id="39" name="Chart 3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B86848B-89CF-4BAF-B8FA-96CBB84C63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57AEFD88" w14:textId="77777777" w:rsidR="004E3CBE" w:rsidRPr="004E3CBE" w:rsidRDefault="004E3CBE" w:rsidP="00DC54F7">
      <w:pPr>
        <w:spacing w:after="0" w:line="240" w:lineRule="auto"/>
        <w:jc w:val="both"/>
        <w:rPr>
          <w:rFonts w:ascii="Arial" w:hAnsi="Arial" w:cs="Arial"/>
          <w:b/>
        </w:rPr>
      </w:pPr>
    </w:p>
    <w:p w14:paraId="75EC9BC1" w14:textId="52C72A38" w:rsidR="005718F9" w:rsidRPr="00F46FCB" w:rsidRDefault="005718F9" w:rsidP="00DC54F7">
      <w:pPr>
        <w:spacing w:after="0" w:line="240" w:lineRule="auto"/>
        <w:contextualSpacing/>
        <w:jc w:val="both"/>
        <w:rPr>
          <w:rFonts w:ascii="Arial" w:hAnsi="Arial" w:cs="Arial"/>
          <w:sz w:val="24"/>
          <w:szCs w:val="24"/>
        </w:rPr>
      </w:pPr>
      <w:r w:rsidRPr="00F46FCB">
        <w:rPr>
          <w:rFonts w:ascii="Arial" w:hAnsi="Arial" w:cs="Arial"/>
          <w:sz w:val="24"/>
          <w:szCs w:val="24"/>
        </w:rPr>
        <w:lastRenderedPageBreak/>
        <w:t>Based upon the level of provision in 2018 to 2019 and 2019 to 2020</w:t>
      </w:r>
      <w:r w:rsidR="00AD530C" w:rsidRPr="00F46FCB">
        <w:rPr>
          <w:rFonts w:ascii="Arial" w:hAnsi="Arial" w:cs="Arial"/>
          <w:sz w:val="24"/>
          <w:szCs w:val="24"/>
        </w:rPr>
        <w:t>,</w:t>
      </w:r>
      <w:r w:rsidR="00936C1D" w:rsidRPr="00F46FCB">
        <w:rPr>
          <w:rFonts w:ascii="Arial" w:hAnsi="Arial" w:cs="Arial"/>
          <w:sz w:val="24"/>
          <w:szCs w:val="24"/>
        </w:rPr>
        <w:t xml:space="preserve"> Cardiff and Vale</w:t>
      </w:r>
      <w:r w:rsidRPr="00F46FCB">
        <w:rPr>
          <w:rFonts w:ascii="Arial" w:hAnsi="Arial" w:cs="Arial"/>
          <w:bCs/>
          <w:sz w:val="24"/>
          <w:szCs w:val="24"/>
        </w:rPr>
        <w:t xml:space="preserve"> University Health Board</w:t>
      </w:r>
      <w:r w:rsidRPr="00F46FCB">
        <w:rPr>
          <w:rFonts w:ascii="Arial" w:hAnsi="Arial" w:cs="Arial"/>
          <w:sz w:val="24"/>
          <w:szCs w:val="24"/>
        </w:rPr>
        <w:t xml:space="preserve"> is satisfied that there is sufficient capacity within existing contractors to provide more emergency contraception consultations.</w:t>
      </w:r>
    </w:p>
    <w:p w14:paraId="3C41BBD5" w14:textId="77777777" w:rsidR="00D15F82" w:rsidRPr="00F46FCB" w:rsidRDefault="00D15F82" w:rsidP="00DC54F7">
      <w:pPr>
        <w:spacing w:after="0" w:line="240" w:lineRule="auto"/>
        <w:jc w:val="both"/>
        <w:rPr>
          <w:rFonts w:ascii="Arial" w:hAnsi="Arial" w:cs="Arial"/>
          <w:sz w:val="24"/>
          <w:szCs w:val="24"/>
        </w:rPr>
      </w:pPr>
    </w:p>
    <w:p w14:paraId="78421C8B" w14:textId="5A0C3AB5" w:rsidR="00D15F82" w:rsidRPr="00F46FCB" w:rsidRDefault="005718F9" w:rsidP="00DC54F7">
      <w:pPr>
        <w:spacing w:after="0" w:line="240" w:lineRule="auto"/>
        <w:jc w:val="both"/>
        <w:rPr>
          <w:rFonts w:ascii="Arial" w:hAnsi="Arial" w:cs="Arial"/>
          <w:sz w:val="24"/>
          <w:szCs w:val="24"/>
        </w:rPr>
      </w:pPr>
      <w:r w:rsidRPr="00F46FCB">
        <w:rPr>
          <w:rFonts w:ascii="Arial" w:hAnsi="Arial" w:cs="Arial"/>
          <w:sz w:val="24"/>
          <w:szCs w:val="24"/>
        </w:rPr>
        <w:t xml:space="preserve">From the data available for 2020 to 2021, there is no evidence to support a different conclusion.  </w:t>
      </w:r>
      <w:r w:rsidR="00D15F82" w:rsidRPr="00F46FCB">
        <w:rPr>
          <w:rFonts w:ascii="Arial" w:hAnsi="Arial" w:cs="Arial"/>
          <w:sz w:val="24"/>
          <w:szCs w:val="24"/>
        </w:rPr>
        <w:t xml:space="preserve">However, it is acknowledged that the Coronavirus (COVID-19) pandemic will have affected the provision and need for this service during 2020 to 2021. </w:t>
      </w:r>
      <w:r w:rsidR="00723C43" w:rsidRPr="00F46FCB">
        <w:rPr>
          <w:rFonts w:ascii="Arial" w:hAnsi="Arial" w:cs="Arial"/>
          <w:sz w:val="24"/>
          <w:szCs w:val="24"/>
        </w:rPr>
        <w:t>Further analysis is undertaken within the cluster chapters.</w:t>
      </w:r>
    </w:p>
    <w:p w14:paraId="48D2DC8B" w14:textId="697E30B3" w:rsidR="00573EB1" w:rsidRDefault="00573EB1" w:rsidP="00DC54F7">
      <w:pPr>
        <w:spacing w:after="0" w:line="240" w:lineRule="auto"/>
        <w:jc w:val="both"/>
        <w:rPr>
          <w:rFonts w:ascii="Arial" w:hAnsi="Arial" w:cs="Arial"/>
          <w:b/>
          <w:sz w:val="24"/>
          <w:szCs w:val="24"/>
        </w:rPr>
      </w:pPr>
    </w:p>
    <w:p w14:paraId="291F366B" w14:textId="77777777" w:rsidR="00F46FCB" w:rsidRPr="00F46FCB" w:rsidRDefault="00F46FCB" w:rsidP="00DC54F7">
      <w:pPr>
        <w:spacing w:after="0" w:line="240" w:lineRule="auto"/>
        <w:jc w:val="both"/>
        <w:rPr>
          <w:rFonts w:ascii="Arial" w:hAnsi="Arial" w:cs="Arial"/>
          <w:b/>
          <w:sz w:val="24"/>
          <w:szCs w:val="24"/>
        </w:rPr>
      </w:pPr>
    </w:p>
    <w:p w14:paraId="0292A393" w14:textId="34F2F833" w:rsidR="00CC52B3" w:rsidRPr="00F46FCB" w:rsidRDefault="00CC52B3" w:rsidP="00DC54F7">
      <w:pPr>
        <w:spacing w:after="240" w:line="240" w:lineRule="auto"/>
        <w:jc w:val="both"/>
        <w:rPr>
          <w:rFonts w:ascii="Arial" w:hAnsi="Arial" w:cs="Arial"/>
          <w:b/>
          <w:sz w:val="24"/>
          <w:szCs w:val="24"/>
        </w:rPr>
      </w:pPr>
      <w:r w:rsidRPr="00F46FCB">
        <w:rPr>
          <w:rFonts w:ascii="Arial" w:hAnsi="Arial" w:cs="Arial"/>
          <w:b/>
          <w:sz w:val="24"/>
          <w:szCs w:val="24"/>
        </w:rPr>
        <w:t xml:space="preserve">5.1.8 Access to the </w:t>
      </w:r>
      <w:r w:rsidR="00971A70" w:rsidRPr="00F46FCB">
        <w:rPr>
          <w:rFonts w:ascii="Arial" w:hAnsi="Arial" w:cs="Arial"/>
          <w:b/>
          <w:sz w:val="24"/>
          <w:szCs w:val="24"/>
        </w:rPr>
        <w:t>S</w:t>
      </w:r>
      <w:r w:rsidRPr="00F46FCB">
        <w:rPr>
          <w:rFonts w:ascii="Arial" w:hAnsi="Arial" w:cs="Arial"/>
          <w:b/>
          <w:sz w:val="24"/>
          <w:szCs w:val="24"/>
        </w:rPr>
        <w:t xml:space="preserve">moking </w:t>
      </w:r>
      <w:r w:rsidR="00971A70" w:rsidRPr="00F46FCB">
        <w:rPr>
          <w:rFonts w:ascii="Arial" w:hAnsi="Arial" w:cs="Arial"/>
          <w:b/>
          <w:sz w:val="24"/>
          <w:szCs w:val="24"/>
        </w:rPr>
        <w:t>C</w:t>
      </w:r>
      <w:r w:rsidRPr="00F46FCB">
        <w:rPr>
          <w:rFonts w:ascii="Arial" w:hAnsi="Arial" w:cs="Arial"/>
          <w:b/>
          <w:sz w:val="24"/>
          <w:szCs w:val="24"/>
        </w:rPr>
        <w:t xml:space="preserve">essation </w:t>
      </w:r>
      <w:r w:rsidR="00481809" w:rsidRPr="00F46FCB">
        <w:rPr>
          <w:rFonts w:ascii="Arial" w:hAnsi="Arial" w:cs="Arial"/>
          <w:b/>
          <w:sz w:val="24"/>
          <w:szCs w:val="24"/>
        </w:rPr>
        <w:t>L</w:t>
      </w:r>
      <w:r w:rsidRPr="00F46FCB">
        <w:rPr>
          <w:rFonts w:ascii="Arial" w:hAnsi="Arial" w:cs="Arial"/>
          <w:b/>
          <w:sz w:val="24"/>
          <w:szCs w:val="24"/>
        </w:rPr>
        <w:t xml:space="preserve">evel 2 </w:t>
      </w:r>
      <w:r w:rsidR="00C95944" w:rsidRPr="00F46FCB">
        <w:rPr>
          <w:rFonts w:ascii="Arial" w:hAnsi="Arial" w:cs="Arial"/>
          <w:b/>
          <w:sz w:val="24"/>
          <w:szCs w:val="24"/>
        </w:rPr>
        <w:t>E</w:t>
      </w:r>
      <w:r w:rsidRPr="00F46FCB">
        <w:rPr>
          <w:rFonts w:ascii="Arial" w:hAnsi="Arial" w:cs="Arial"/>
          <w:b/>
          <w:sz w:val="24"/>
          <w:szCs w:val="24"/>
        </w:rPr>
        <w:t xml:space="preserve">nhanced </w:t>
      </w:r>
      <w:r w:rsidR="00C95944" w:rsidRPr="00F46FCB">
        <w:rPr>
          <w:rFonts w:ascii="Arial" w:hAnsi="Arial" w:cs="Arial"/>
          <w:b/>
          <w:sz w:val="24"/>
          <w:szCs w:val="24"/>
        </w:rPr>
        <w:t>S</w:t>
      </w:r>
      <w:r w:rsidRPr="00F46FCB">
        <w:rPr>
          <w:rFonts w:ascii="Arial" w:hAnsi="Arial" w:cs="Arial"/>
          <w:b/>
          <w:sz w:val="24"/>
          <w:szCs w:val="24"/>
        </w:rPr>
        <w:t>ervice</w:t>
      </w:r>
    </w:p>
    <w:p w14:paraId="77F1B157" w14:textId="67378C0C" w:rsidR="00766F6F" w:rsidRPr="00F46FCB" w:rsidRDefault="00766F6F" w:rsidP="00DC54F7">
      <w:pPr>
        <w:spacing w:after="0" w:line="240" w:lineRule="auto"/>
        <w:jc w:val="both"/>
        <w:rPr>
          <w:rFonts w:ascii="Arial" w:hAnsi="Arial" w:cs="Arial"/>
          <w:sz w:val="24"/>
          <w:szCs w:val="24"/>
        </w:rPr>
      </w:pPr>
      <w:r w:rsidRPr="00F46FCB">
        <w:rPr>
          <w:rFonts w:ascii="Arial" w:hAnsi="Arial" w:cs="Arial"/>
          <w:sz w:val="24"/>
          <w:szCs w:val="24"/>
        </w:rPr>
        <w:t xml:space="preserve">The </w:t>
      </w:r>
      <w:r w:rsidR="00971A70" w:rsidRPr="00F46FCB">
        <w:rPr>
          <w:rFonts w:ascii="Arial" w:hAnsi="Arial" w:cs="Arial"/>
          <w:sz w:val="24"/>
          <w:szCs w:val="24"/>
        </w:rPr>
        <w:t>S</w:t>
      </w:r>
      <w:r w:rsidRPr="00F46FCB">
        <w:rPr>
          <w:rFonts w:ascii="Arial" w:hAnsi="Arial" w:cs="Arial"/>
          <w:sz w:val="24"/>
          <w:szCs w:val="24"/>
        </w:rPr>
        <w:t xml:space="preserve">moking </w:t>
      </w:r>
      <w:r w:rsidR="00971A70" w:rsidRPr="00F46FCB">
        <w:rPr>
          <w:rFonts w:ascii="Arial" w:hAnsi="Arial" w:cs="Arial"/>
          <w:sz w:val="24"/>
          <w:szCs w:val="24"/>
        </w:rPr>
        <w:t>C</w:t>
      </w:r>
      <w:r w:rsidRPr="00F46FCB">
        <w:rPr>
          <w:rFonts w:ascii="Arial" w:hAnsi="Arial" w:cs="Arial"/>
          <w:sz w:val="24"/>
          <w:szCs w:val="24"/>
        </w:rPr>
        <w:t xml:space="preserve">essation </w:t>
      </w:r>
      <w:r w:rsidR="00C95944" w:rsidRPr="00F46FCB">
        <w:rPr>
          <w:rFonts w:ascii="Arial" w:hAnsi="Arial" w:cs="Arial"/>
          <w:sz w:val="24"/>
          <w:szCs w:val="24"/>
        </w:rPr>
        <w:t>L</w:t>
      </w:r>
      <w:r w:rsidRPr="00F46FCB">
        <w:rPr>
          <w:rFonts w:ascii="Arial" w:hAnsi="Arial" w:cs="Arial"/>
          <w:sz w:val="24"/>
          <w:szCs w:val="24"/>
        </w:rPr>
        <w:t xml:space="preserve">evel 2 </w:t>
      </w:r>
      <w:r w:rsidR="00C95944" w:rsidRPr="00F46FCB">
        <w:rPr>
          <w:rFonts w:ascii="Arial" w:hAnsi="Arial" w:cs="Arial"/>
          <w:sz w:val="24"/>
          <w:szCs w:val="24"/>
        </w:rPr>
        <w:t>Enhanced S</w:t>
      </w:r>
      <w:r w:rsidRPr="00F46FCB">
        <w:rPr>
          <w:rFonts w:ascii="Arial" w:hAnsi="Arial" w:cs="Arial"/>
          <w:sz w:val="24"/>
          <w:szCs w:val="24"/>
        </w:rPr>
        <w:t>ervice links pharmacies with the intensive behavioural support service provided by Help Me Quit (HMQ). Under this arrangement, pharmacy contractors supply nicotine replacement therapy to smokers who are receiving smoking cessation behavioural support from Help Me Quit, in response to a referral letter or appointment card that indicates the client’s dependence on nicotine. Following successful completion of the six weeks programme, Help Me Quit will issue a discharge referral letter to a pharmacy for a further six week supply of nicotine replacement therapy to be supplied at fortnightly intervals.</w:t>
      </w:r>
    </w:p>
    <w:p w14:paraId="2DE8F597" w14:textId="77777777" w:rsidR="007E543D" w:rsidRPr="00F46FCB" w:rsidRDefault="007E543D" w:rsidP="00DC54F7">
      <w:pPr>
        <w:spacing w:after="0" w:line="240" w:lineRule="auto"/>
        <w:jc w:val="both"/>
        <w:rPr>
          <w:rFonts w:ascii="Arial" w:hAnsi="Arial" w:cs="Arial"/>
          <w:sz w:val="24"/>
          <w:szCs w:val="24"/>
        </w:rPr>
      </w:pPr>
    </w:p>
    <w:p w14:paraId="7E12C4BA" w14:textId="4758670C" w:rsidR="0087427B" w:rsidRPr="00F46FCB" w:rsidRDefault="005B0AB7" w:rsidP="00DC54F7">
      <w:pPr>
        <w:spacing w:after="0" w:line="240" w:lineRule="auto"/>
        <w:jc w:val="both"/>
        <w:rPr>
          <w:rFonts w:ascii="Arial" w:hAnsi="Arial" w:cs="Arial"/>
          <w:sz w:val="24"/>
          <w:szCs w:val="24"/>
        </w:rPr>
      </w:pPr>
      <w:r w:rsidRPr="00F46FCB">
        <w:rPr>
          <w:rFonts w:ascii="Arial" w:hAnsi="Arial" w:cs="Arial"/>
          <w:sz w:val="24"/>
          <w:szCs w:val="24"/>
        </w:rPr>
        <w:t xml:space="preserve">The service commenced in </w:t>
      </w:r>
      <w:r w:rsidR="00AC1D4B" w:rsidRPr="00F46FCB">
        <w:rPr>
          <w:rFonts w:ascii="Arial" w:hAnsi="Arial" w:cs="Arial"/>
          <w:sz w:val="24"/>
          <w:szCs w:val="24"/>
        </w:rPr>
        <w:t>May</w:t>
      </w:r>
      <w:r w:rsidRPr="00F46FCB">
        <w:rPr>
          <w:rFonts w:ascii="Arial" w:hAnsi="Arial" w:cs="Arial"/>
          <w:sz w:val="24"/>
          <w:szCs w:val="24"/>
        </w:rPr>
        <w:t xml:space="preserve"> 20</w:t>
      </w:r>
      <w:r w:rsidR="001E4E7A" w:rsidRPr="00F46FCB">
        <w:rPr>
          <w:rFonts w:ascii="Arial" w:hAnsi="Arial" w:cs="Arial"/>
          <w:sz w:val="24"/>
          <w:szCs w:val="24"/>
        </w:rPr>
        <w:t>20</w:t>
      </w:r>
      <w:r w:rsidR="00B13006" w:rsidRPr="00F46FCB">
        <w:rPr>
          <w:rFonts w:ascii="Arial" w:hAnsi="Arial" w:cs="Arial"/>
          <w:sz w:val="24"/>
          <w:szCs w:val="24"/>
        </w:rPr>
        <w:t>, and</w:t>
      </w:r>
      <w:r w:rsidR="0087427B" w:rsidRPr="00F46FCB">
        <w:rPr>
          <w:rFonts w:ascii="Arial" w:hAnsi="Arial" w:cs="Arial"/>
          <w:sz w:val="24"/>
          <w:szCs w:val="24"/>
        </w:rPr>
        <w:t xml:space="preserve"> there are 34 </w:t>
      </w:r>
      <w:r w:rsidR="002F06C6" w:rsidRPr="00F46FCB">
        <w:rPr>
          <w:rFonts w:ascii="Arial" w:hAnsi="Arial" w:cs="Arial"/>
          <w:sz w:val="24"/>
          <w:szCs w:val="24"/>
        </w:rPr>
        <w:t xml:space="preserve">pharmacies commissioned to provide the </w:t>
      </w:r>
      <w:r w:rsidR="00000C9E" w:rsidRPr="00F46FCB">
        <w:rPr>
          <w:rFonts w:ascii="Arial" w:hAnsi="Arial" w:cs="Arial"/>
          <w:sz w:val="24"/>
          <w:szCs w:val="24"/>
        </w:rPr>
        <w:t>S</w:t>
      </w:r>
      <w:r w:rsidR="002F06C6" w:rsidRPr="00F46FCB">
        <w:rPr>
          <w:rFonts w:ascii="Arial" w:hAnsi="Arial" w:cs="Arial"/>
          <w:sz w:val="24"/>
          <w:szCs w:val="24"/>
        </w:rPr>
        <w:t xml:space="preserve">moking </w:t>
      </w:r>
      <w:r w:rsidR="00000C9E" w:rsidRPr="00F46FCB">
        <w:rPr>
          <w:rFonts w:ascii="Arial" w:hAnsi="Arial" w:cs="Arial"/>
          <w:sz w:val="24"/>
          <w:szCs w:val="24"/>
        </w:rPr>
        <w:t>C</w:t>
      </w:r>
      <w:r w:rsidR="002F06C6" w:rsidRPr="00F46FCB">
        <w:rPr>
          <w:rFonts w:ascii="Arial" w:hAnsi="Arial" w:cs="Arial"/>
          <w:sz w:val="24"/>
          <w:szCs w:val="24"/>
        </w:rPr>
        <w:t xml:space="preserve">essation </w:t>
      </w:r>
      <w:r w:rsidR="00000C9E" w:rsidRPr="00F46FCB">
        <w:rPr>
          <w:rFonts w:ascii="Arial" w:hAnsi="Arial" w:cs="Arial"/>
          <w:sz w:val="24"/>
          <w:szCs w:val="24"/>
        </w:rPr>
        <w:t>L</w:t>
      </w:r>
      <w:r w:rsidR="002F06C6" w:rsidRPr="00F46FCB">
        <w:rPr>
          <w:rFonts w:ascii="Arial" w:hAnsi="Arial" w:cs="Arial"/>
          <w:sz w:val="24"/>
          <w:szCs w:val="24"/>
        </w:rPr>
        <w:t xml:space="preserve">evel 2 </w:t>
      </w:r>
      <w:r w:rsidR="00000C9E" w:rsidRPr="00F46FCB">
        <w:rPr>
          <w:rFonts w:ascii="Arial" w:hAnsi="Arial" w:cs="Arial"/>
          <w:sz w:val="24"/>
          <w:szCs w:val="24"/>
        </w:rPr>
        <w:t>E</w:t>
      </w:r>
      <w:r w:rsidR="002F06C6" w:rsidRPr="00F46FCB">
        <w:rPr>
          <w:rFonts w:ascii="Arial" w:hAnsi="Arial" w:cs="Arial"/>
          <w:sz w:val="24"/>
          <w:szCs w:val="24"/>
        </w:rPr>
        <w:t xml:space="preserve">nhanced </w:t>
      </w:r>
      <w:r w:rsidR="00000C9E" w:rsidRPr="00F46FCB">
        <w:rPr>
          <w:rFonts w:ascii="Arial" w:hAnsi="Arial" w:cs="Arial"/>
          <w:sz w:val="24"/>
          <w:szCs w:val="24"/>
        </w:rPr>
        <w:t>S</w:t>
      </w:r>
      <w:r w:rsidR="002F06C6" w:rsidRPr="00F46FCB">
        <w:rPr>
          <w:rFonts w:ascii="Arial" w:hAnsi="Arial" w:cs="Arial"/>
          <w:sz w:val="24"/>
          <w:szCs w:val="24"/>
        </w:rPr>
        <w:t>ervice.</w:t>
      </w:r>
    </w:p>
    <w:p w14:paraId="1EF1D4A4" w14:textId="77777777" w:rsidR="0087427B" w:rsidRPr="00F46FCB" w:rsidRDefault="0087427B" w:rsidP="00DC54F7">
      <w:pPr>
        <w:spacing w:after="0" w:line="240" w:lineRule="auto"/>
        <w:jc w:val="both"/>
        <w:rPr>
          <w:rFonts w:ascii="Arial" w:hAnsi="Arial" w:cs="Arial"/>
          <w:sz w:val="24"/>
          <w:szCs w:val="24"/>
        </w:rPr>
      </w:pPr>
    </w:p>
    <w:p w14:paraId="58EF70D3" w14:textId="585798CE" w:rsidR="007E543D" w:rsidRPr="00F46FCB" w:rsidRDefault="002F06C6" w:rsidP="00DC54F7">
      <w:pPr>
        <w:spacing w:after="0" w:line="240" w:lineRule="auto"/>
        <w:jc w:val="both"/>
        <w:rPr>
          <w:rFonts w:ascii="Arial" w:hAnsi="Arial" w:cs="Arial"/>
          <w:sz w:val="24"/>
          <w:szCs w:val="24"/>
        </w:rPr>
      </w:pPr>
      <w:r w:rsidRPr="00F46FCB">
        <w:rPr>
          <w:rFonts w:ascii="Arial" w:hAnsi="Arial" w:cs="Arial"/>
          <w:sz w:val="24"/>
          <w:szCs w:val="24"/>
        </w:rPr>
        <w:t xml:space="preserve">As of August 2020, </w:t>
      </w:r>
      <w:r w:rsidR="00C4511B" w:rsidRPr="00F46FCB">
        <w:rPr>
          <w:rFonts w:ascii="Arial" w:hAnsi="Arial" w:cs="Arial"/>
          <w:sz w:val="24"/>
          <w:szCs w:val="24"/>
        </w:rPr>
        <w:t xml:space="preserve">four </w:t>
      </w:r>
      <w:r w:rsidR="00B13006" w:rsidRPr="00F46FCB">
        <w:rPr>
          <w:rFonts w:ascii="Arial" w:hAnsi="Arial" w:cs="Arial"/>
          <w:sz w:val="24"/>
          <w:szCs w:val="24"/>
        </w:rPr>
        <w:t xml:space="preserve">pharmacies provided a total of </w:t>
      </w:r>
      <w:r w:rsidR="00C4511B" w:rsidRPr="00F46FCB">
        <w:rPr>
          <w:rFonts w:ascii="Arial" w:hAnsi="Arial" w:cs="Arial"/>
          <w:sz w:val="24"/>
          <w:szCs w:val="24"/>
        </w:rPr>
        <w:t>13</w:t>
      </w:r>
      <w:r w:rsidR="002A5043" w:rsidRPr="00F46FCB">
        <w:rPr>
          <w:rFonts w:ascii="Arial" w:hAnsi="Arial" w:cs="Arial"/>
          <w:sz w:val="24"/>
          <w:szCs w:val="24"/>
        </w:rPr>
        <w:t xml:space="preserve"> consultations</w:t>
      </w:r>
      <w:r w:rsidR="001E2FDC" w:rsidRPr="00F46FCB">
        <w:rPr>
          <w:rFonts w:ascii="Arial" w:hAnsi="Arial" w:cs="Arial"/>
          <w:sz w:val="24"/>
          <w:szCs w:val="24"/>
        </w:rPr>
        <w:t>.</w:t>
      </w:r>
      <w:r w:rsidR="000D1709" w:rsidRPr="00F46FCB">
        <w:rPr>
          <w:rFonts w:ascii="Arial" w:hAnsi="Arial" w:cs="Arial"/>
          <w:sz w:val="24"/>
          <w:szCs w:val="24"/>
        </w:rPr>
        <w:t xml:space="preserve"> </w:t>
      </w:r>
      <w:r w:rsidR="006516A7" w:rsidRPr="00F46FCB">
        <w:rPr>
          <w:rFonts w:ascii="Arial" w:hAnsi="Arial" w:cs="Arial"/>
          <w:sz w:val="24"/>
          <w:szCs w:val="24"/>
        </w:rPr>
        <w:t>The figure below shows the total number of consultations claimed under the service by pharmacies in the health board’s area in 20</w:t>
      </w:r>
      <w:r w:rsidR="007E543D" w:rsidRPr="00F46FCB">
        <w:rPr>
          <w:rFonts w:ascii="Arial" w:hAnsi="Arial" w:cs="Arial"/>
          <w:sz w:val="24"/>
          <w:szCs w:val="24"/>
        </w:rPr>
        <w:t>20</w:t>
      </w:r>
      <w:r w:rsidR="006140B2" w:rsidRPr="00F46FCB">
        <w:rPr>
          <w:rFonts w:ascii="Arial" w:hAnsi="Arial" w:cs="Arial"/>
          <w:sz w:val="24"/>
          <w:szCs w:val="24"/>
        </w:rPr>
        <w:t xml:space="preserve"> </w:t>
      </w:r>
      <w:r w:rsidR="001E2FDC" w:rsidRPr="00F46FCB">
        <w:rPr>
          <w:rFonts w:ascii="Arial" w:hAnsi="Arial" w:cs="Arial"/>
          <w:sz w:val="24"/>
          <w:szCs w:val="24"/>
        </w:rPr>
        <w:t xml:space="preserve">to </w:t>
      </w:r>
      <w:r w:rsidR="006140B2" w:rsidRPr="00F46FCB">
        <w:rPr>
          <w:rFonts w:ascii="Arial" w:hAnsi="Arial" w:cs="Arial"/>
          <w:sz w:val="24"/>
          <w:szCs w:val="24"/>
        </w:rPr>
        <w:t>20</w:t>
      </w:r>
      <w:r w:rsidR="006516A7" w:rsidRPr="00F46FCB">
        <w:rPr>
          <w:rFonts w:ascii="Arial" w:hAnsi="Arial" w:cs="Arial"/>
          <w:sz w:val="24"/>
          <w:szCs w:val="24"/>
        </w:rPr>
        <w:t>2</w:t>
      </w:r>
      <w:r w:rsidR="007E543D" w:rsidRPr="00F46FCB">
        <w:rPr>
          <w:rFonts w:ascii="Arial" w:hAnsi="Arial" w:cs="Arial"/>
          <w:sz w:val="24"/>
          <w:szCs w:val="24"/>
        </w:rPr>
        <w:t>1</w:t>
      </w:r>
      <w:r w:rsidR="006516A7" w:rsidRPr="00F46FCB">
        <w:rPr>
          <w:rFonts w:ascii="Arial" w:hAnsi="Arial" w:cs="Arial"/>
          <w:sz w:val="24"/>
          <w:szCs w:val="24"/>
        </w:rPr>
        <w:t>.</w:t>
      </w:r>
    </w:p>
    <w:p w14:paraId="1F04F098" w14:textId="77777777" w:rsidR="007E543D" w:rsidRPr="00F46FCB" w:rsidRDefault="007E543D" w:rsidP="00DC54F7">
      <w:pPr>
        <w:spacing w:after="0" w:line="240" w:lineRule="auto"/>
        <w:jc w:val="both"/>
        <w:rPr>
          <w:rFonts w:ascii="Arial" w:hAnsi="Arial" w:cs="Arial"/>
          <w:sz w:val="24"/>
          <w:szCs w:val="24"/>
        </w:rPr>
      </w:pPr>
    </w:p>
    <w:p w14:paraId="6B7C24B4" w14:textId="64977633" w:rsidR="007C4786" w:rsidRPr="00F46FCB" w:rsidRDefault="007C4786" w:rsidP="00DC54F7">
      <w:pPr>
        <w:spacing w:after="0" w:line="240" w:lineRule="auto"/>
        <w:jc w:val="both"/>
        <w:rPr>
          <w:rFonts w:ascii="Arial" w:hAnsi="Arial" w:cs="Arial"/>
          <w:b/>
          <w:bCs/>
          <w:sz w:val="24"/>
          <w:szCs w:val="24"/>
        </w:rPr>
      </w:pPr>
      <w:r w:rsidRPr="00F46FCB">
        <w:rPr>
          <w:rFonts w:ascii="Arial" w:hAnsi="Arial" w:cs="Arial"/>
          <w:b/>
          <w:bCs/>
          <w:sz w:val="24"/>
          <w:szCs w:val="24"/>
        </w:rPr>
        <w:t>Figure</w:t>
      </w:r>
      <w:r w:rsidR="00B31F33" w:rsidRPr="00F46FCB">
        <w:rPr>
          <w:rFonts w:ascii="Arial" w:hAnsi="Arial" w:cs="Arial"/>
          <w:b/>
          <w:bCs/>
          <w:sz w:val="24"/>
          <w:szCs w:val="24"/>
        </w:rPr>
        <w:t xml:space="preserve"> 5.6:</w:t>
      </w:r>
      <w:r w:rsidRPr="00F46FCB">
        <w:rPr>
          <w:rFonts w:ascii="Arial" w:hAnsi="Arial" w:cs="Arial"/>
          <w:b/>
          <w:bCs/>
          <w:sz w:val="24"/>
          <w:szCs w:val="24"/>
        </w:rPr>
        <w:t xml:space="preserve"> </w:t>
      </w:r>
      <w:r w:rsidR="00B31F33" w:rsidRPr="00F46FCB">
        <w:rPr>
          <w:rFonts w:ascii="Arial" w:hAnsi="Arial" w:cs="Arial"/>
          <w:b/>
          <w:bCs/>
          <w:sz w:val="24"/>
          <w:szCs w:val="24"/>
        </w:rPr>
        <w:t>N</w:t>
      </w:r>
      <w:r w:rsidRPr="00F46FCB">
        <w:rPr>
          <w:rFonts w:ascii="Arial" w:hAnsi="Arial" w:cs="Arial"/>
          <w:b/>
          <w:bCs/>
          <w:sz w:val="24"/>
          <w:szCs w:val="24"/>
        </w:rPr>
        <w:t>umber of consultations claimed in 20</w:t>
      </w:r>
      <w:r w:rsidR="007E543D" w:rsidRPr="00F46FCB">
        <w:rPr>
          <w:rFonts w:ascii="Arial" w:hAnsi="Arial" w:cs="Arial"/>
          <w:b/>
          <w:bCs/>
          <w:sz w:val="24"/>
          <w:szCs w:val="24"/>
        </w:rPr>
        <w:t>20</w:t>
      </w:r>
      <w:r w:rsidR="009948E2" w:rsidRPr="00F46FCB">
        <w:rPr>
          <w:rFonts w:ascii="Arial" w:hAnsi="Arial" w:cs="Arial"/>
          <w:b/>
          <w:bCs/>
          <w:sz w:val="24"/>
          <w:szCs w:val="24"/>
        </w:rPr>
        <w:t xml:space="preserve"> </w:t>
      </w:r>
      <w:r w:rsidR="00D43E88" w:rsidRPr="00F46FCB">
        <w:rPr>
          <w:rFonts w:ascii="Arial" w:hAnsi="Arial" w:cs="Arial"/>
          <w:b/>
          <w:bCs/>
          <w:sz w:val="24"/>
          <w:szCs w:val="24"/>
        </w:rPr>
        <w:t xml:space="preserve">to </w:t>
      </w:r>
      <w:r w:rsidR="006516A7" w:rsidRPr="00F46FCB">
        <w:rPr>
          <w:rFonts w:ascii="Arial" w:hAnsi="Arial" w:cs="Arial"/>
          <w:b/>
          <w:bCs/>
          <w:sz w:val="24"/>
          <w:szCs w:val="24"/>
        </w:rPr>
        <w:t>20</w:t>
      </w:r>
      <w:r w:rsidR="00D43E88" w:rsidRPr="00F46FCB">
        <w:rPr>
          <w:rFonts w:ascii="Arial" w:hAnsi="Arial" w:cs="Arial"/>
          <w:b/>
          <w:bCs/>
          <w:sz w:val="24"/>
          <w:szCs w:val="24"/>
        </w:rPr>
        <w:t>2</w:t>
      </w:r>
      <w:r w:rsidR="007E543D" w:rsidRPr="00F46FCB">
        <w:rPr>
          <w:rFonts w:ascii="Arial" w:hAnsi="Arial" w:cs="Arial"/>
          <w:b/>
          <w:bCs/>
          <w:sz w:val="24"/>
          <w:szCs w:val="24"/>
        </w:rPr>
        <w:t>1</w:t>
      </w:r>
    </w:p>
    <w:p w14:paraId="5271F0C8" w14:textId="08A27F78" w:rsidR="00E37FBF" w:rsidRDefault="00A433B0" w:rsidP="00DC54F7">
      <w:pPr>
        <w:jc w:val="both"/>
        <w:rPr>
          <w:rFonts w:ascii="Arial" w:hAnsi="Arial" w:cs="Arial"/>
          <w:b/>
          <w:bCs/>
        </w:rPr>
      </w:pPr>
      <w:r>
        <w:rPr>
          <w:noProof/>
          <w:lang w:eastAsia="en-GB"/>
        </w:rPr>
        <w:drawing>
          <wp:inline distT="0" distB="0" distL="0" distR="0" wp14:anchorId="5C8B69C4" wp14:editId="5AC0E84D">
            <wp:extent cx="5694045" cy="3365500"/>
            <wp:effectExtent l="0" t="0" r="1905" b="6350"/>
            <wp:docPr id="194" name="Chart 19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F42F79E-B43F-4E16-BC0F-584252EC79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64043681" w14:textId="630C34A5" w:rsidR="00E752EB" w:rsidRDefault="00434092" w:rsidP="00DC54F7">
      <w:pPr>
        <w:spacing w:after="0" w:line="240" w:lineRule="auto"/>
        <w:contextualSpacing/>
        <w:jc w:val="both"/>
        <w:rPr>
          <w:rFonts w:ascii="Arial" w:hAnsi="Arial" w:cs="Arial"/>
        </w:rPr>
      </w:pPr>
      <w:r w:rsidRPr="00F46FCB">
        <w:rPr>
          <w:rFonts w:ascii="Arial" w:hAnsi="Arial" w:cs="Arial"/>
          <w:bCs/>
          <w:sz w:val="24"/>
          <w:szCs w:val="24"/>
        </w:rPr>
        <w:lastRenderedPageBreak/>
        <w:t xml:space="preserve">Based on the fact that the service </w:t>
      </w:r>
      <w:r w:rsidR="00783E3B" w:rsidRPr="00F46FCB">
        <w:rPr>
          <w:rFonts w:ascii="Arial" w:hAnsi="Arial" w:cs="Arial"/>
          <w:bCs/>
          <w:sz w:val="24"/>
          <w:szCs w:val="24"/>
        </w:rPr>
        <w:t xml:space="preserve">only commenced in </w:t>
      </w:r>
      <w:r w:rsidR="00AC1D4B" w:rsidRPr="00F46FCB">
        <w:rPr>
          <w:rFonts w:ascii="Arial" w:hAnsi="Arial" w:cs="Arial"/>
          <w:bCs/>
          <w:sz w:val="24"/>
          <w:szCs w:val="24"/>
        </w:rPr>
        <w:t>May</w:t>
      </w:r>
      <w:r w:rsidR="00783E3B" w:rsidRPr="00F46FCB">
        <w:rPr>
          <w:rFonts w:ascii="Arial" w:hAnsi="Arial" w:cs="Arial"/>
          <w:bCs/>
          <w:sz w:val="24"/>
          <w:szCs w:val="24"/>
        </w:rPr>
        <w:t xml:space="preserve"> 2020 </w:t>
      </w:r>
      <w:r w:rsidR="00D112EF" w:rsidRPr="00F46FCB">
        <w:rPr>
          <w:rFonts w:ascii="Arial" w:hAnsi="Arial" w:cs="Arial"/>
          <w:bCs/>
          <w:sz w:val="24"/>
          <w:szCs w:val="24"/>
        </w:rPr>
        <w:t xml:space="preserve">and only four pharmacies were providing the service at that stage, </w:t>
      </w:r>
      <w:r w:rsidR="00E752EB" w:rsidRPr="00F46FCB">
        <w:rPr>
          <w:rFonts w:ascii="Arial" w:hAnsi="Arial" w:cs="Arial"/>
          <w:bCs/>
          <w:sz w:val="24"/>
          <w:szCs w:val="24"/>
        </w:rPr>
        <w:t>Cardiff and Vale University Health Board</w:t>
      </w:r>
      <w:r w:rsidR="00E752EB" w:rsidRPr="00F46FCB">
        <w:rPr>
          <w:rFonts w:ascii="Arial" w:hAnsi="Arial" w:cs="Arial"/>
          <w:sz w:val="24"/>
          <w:szCs w:val="24"/>
        </w:rPr>
        <w:t xml:space="preserve"> is satisfied</w:t>
      </w:r>
      <w:r w:rsidR="00E752EB" w:rsidRPr="00DB7FCC">
        <w:rPr>
          <w:rFonts w:ascii="Arial" w:hAnsi="Arial" w:cs="Arial"/>
        </w:rPr>
        <w:t xml:space="preserve"> that there is sufficient capacity within existing contractors to provide more </w:t>
      </w:r>
      <w:r w:rsidR="00000C9E">
        <w:rPr>
          <w:rFonts w:ascii="Arial" w:hAnsi="Arial" w:cs="Arial"/>
        </w:rPr>
        <w:t>S</w:t>
      </w:r>
      <w:r w:rsidR="00E752EB" w:rsidRPr="00DB7FCC">
        <w:rPr>
          <w:rFonts w:ascii="Arial" w:hAnsi="Arial" w:cs="Arial"/>
        </w:rPr>
        <w:t xml:space="preserve">moking </w:t>
      </w:r>
      <w:r w:rsidR="00000C9E">
        <w:rPr>
          <w:rFonts w:ascii="Arial" w:hAnsi="Arial" w:cs="Arial"/>
        </w:rPr>
        <w:t>C</w:t>
      </w:r>
      <w:r w:rsidR="00E752EB" w:rsidRPr="00DB7FCC">
        <w:rPr>
          <w:rFonts w:ascii="Arial" w:hAnsi="Arial" w:cs="Arial"/>
        </w:rPr>
        <w:t xml:space="preserve">essation </w:t>
      </w:r>
      <w:r w:rsidR="00000C9E">
        <w:rPr>
          <w:rFonts w:ascii="Arial" w:hAnsi="Arial" w:cs="Arial"/>
        </w:rPr>
        <w:t>L</w:t>
      </w:r>
      <w:r w:rsidR="00E752EB" w:rsidRPr="00DB7FCC">
        <w:rPr>
          <w:rFonts w:ascii="Arial" w:hAnsi="Arial" w:cs="Arial"/>
        </w:rPr>
        <w:t xml:space="preserve">evel 2 </w:t>
      </w:r>
      <w:r w:rsidR="00000C9E">
        <w:rPr>
          <w:rFonts w:ascii="Arial" w:hAnsi="Arial" w:cs="Arial"/>
        </w:rPr>
        <w:t>s</w:t>
      </w:r>
      <w:r w:rsidR="00E752EB" w:rsidRPr="00DB7FCC">
        <w:rPr>
          <w:rFonts w:ascii="Arial" w:hAnsi="Arial" w:cs="Arial"/>
        </w:rPr>
        <w:t>ervice</w:t>
      </w:r>
      <w:r w:rsidR="003D6E38">
        <w:rPr>
          <w:rFonts w:ascii="Arial" w:hAnsi="Arial" w:cs="Arial"/>
        </w:rPr>
        <w:t>s</w:t>
      </w:r>
      <w:r w:rsidR="00E752EB" w:rsidRPr="00DB7FCC">
        <w:rPr>
          <w:rFonts w:ascii="Arial" w:hAnsi="Arial" w:cs="Arial"/>
        </w:rPr>
        <w:t>.</w:t>
      </w:r>
    </w:p>
    <w:p w14:paraId="3D2B086C" w14:textId="36EEE84F" w:rsidR="00E752EB" w:rsidRDefault="00E752EB" w:rsidP="00DC54F7">
      <w:pPr>
        <w:spacing w:after="0" w:line="240" w:lineRule="auto"/>
        <w:contextualSpacing/>
        <w:jc w:val="both"/>
        <w:rPr>
          <w:rFonts w:ascii="Arial" w:hAnsi="Arial" w:cs="Arial"/>
        </w:rPr>
      </w:pPr>
    </w:p>
    <w:p w14:paraId="0652E6B6" w14:textId="77777777" w:rsidR="00E752EB" w:rsidRPr="00E752EB" w:rsidRDefault="00E752EB" w:rsidP="00DC54F7">
      <w:pPr>
        <w:spacing w:after="0" w:line="240" w:lineRule="auto"/>
        <w:contextualSpacing/>
        <w:jc w:val="both"/>
        <w:rPr>
          <w:rFonts w:ascii="Arial" w:hAnsi="Arial" w:cs="Arial"/>
        </w:rPr>
      </w:pPr>
    </w:p>
    <w:p w14:paraId="08A96369" w14:textId="3F1C8EA6" w:rsidR="0027793E" w:rsidRPr="00F46FCB" w:rsidRDefault="0027793E" w:rsidP="00DC54F7">
      <w:pPr>
        <w:spacing w:after="240" w:line="240" w:lineRule="auto"/>
        <w:jc w:val="both"/>
        <w:rPr>
          <w:rFonts w:ascii="Arial" w:hAnsi="Arial" w:cs="Arial"/>
          <w:b/>
          <w:sz w:val="24"/>
          <w:szCs w:val="24"/>
        </w:rPr>
      </w:pPr>
      <w:r w:rsidRPr="00F46FCB">
        <w:rPr>
          <w:rFonts w:ascii="Arial" w:hAnsi="Arial" w:cs="Arial"/>
          <w:b/>
          <w:sz w:val="24"/>
          <w:szCs w:val="24"/>
        </w:rPr>
        <w:t xml:space="preserve">5.1.9 Access to the </w:t>
      </w:r>
      <w:r w:rsidR="00C95944" w:rsidRPr="00F46FCB">
        <w:rPr>
          <w:rFonts w:ascii="Arial" w:hAnsi="Arial" w:cs="Arial"/>
          <w:b/>
          <w:sz w:val="24"/>
          <w:szCs w:val="24"/>
        </w:rPr>
        <w:t>S</w:t>
      </w:r>
      <w:r w:rsidRPr="00F46FCB">
        <w:rPr>
          <w:rFonts w:ascii="Arial" w:hAnsi="Arial" w:cs="Arial"/>
          <w:b/>
          <w:sz w:val="24"/>
          <w:szCs w:val="24"/>
        </w:rPr>
        <w:t xml:space="preserve">moking </w:t>
      </w:r>
      <w:r w:rsidR="00C95944" w:rsidRPr="00F46FCB">
        <w:rPr>
          <w:rFonts w:ascii="Arial" w:hAnsi="Arial" w:cs="Arial"/>
          <w:b/>
          <w:sz w:val="24"/>
          <w:szCs w:val="24"/>
        </w:rPr>
        <w:t>C</w:t>
      </w:r>
      <w:r w:rsidRPr="00F46FCB">
        <w:rPr>
          <w:rFonts w:ascii="Arial" w:hAnsi="Arial" w:cs="Arial"/>
          <w:b/>
          <w:sz w:val="24"/>
          <w:szCs w:val="24"/>
        </w:rPr>
        <w:t xml:space="preserve">essation </w:t>
      </w:r>
      <w:r w:rsidR="00C95944" w:rsidRPr="00F46FCB">
        <w:rPr>
          <w:rFonts w:ascii="Arial" w:hAnsi="Arial" w:cs="Arial"/>
          <w:b/>
          <w:sz w:val="24"/>
          <w:szCs w:val="24"/>
        </w:rPr>
        <w:t>L</w:t>
      </w:r>
      <w:r w:rsidRPr="00F46FCB">
        <w:rPr>
          <w:rFonts w:ascii="Arial" w:hAnsi="Arial" w:cs="Arial"/>
          <w:b/>
          <w:sz w:val="24"/>
          <w:szCs w:val="24"/>
        </w:rPr>
        <w:t xml:space="preserve">evel 3 </w:t>
      </w:r>
      <w:r w:rsidR="00C95944" w:rsidRPr="00F46FCB">
        <w:rPr>
          <w:rFonts w:ascii="Arial" w:hAnsi="Arial" w:cs="Arial"/>
          <w:b/>
          <w:sz w:val="24"/>
          <w:szCs w:val="24"/>
        </w:rPr>
        <w:t>E</w:t>
      </w:r>
      <w:r w:rsidRPr="00F46FCB">
        <w:rPr>
          <w:rFonts w:ascii="Arial" w:hAnsi="Arial" w:cs="Arial"/>
          <w:b/>
          <w:sz w:val="24"/>
          <w:szCs w:val="24"/>
        </w:rPr>
        <w:t xml:space="preserve">nhanced </w:t>
      </w:r>
      <w:r w:rsidR="00C95944" w:rsidRPr="00F46FCB">
        <w:rPr>
          <w:rFonts w:ascii="Arial" w:hAnsi="Arial" w:cs="Arial"/>
          <w:b/>
          <w:sz w:val="24"/>
          <w:szCs w:val="24"/>
        </w:rPr>
        <w:t>S</w:t>
      </w:r>
      <w:r w:rsidRPr="00F46FCB">
        <w:rPr>
          <w:rFonts w:ascii="Arial" w:hAnsi="Arial" w:cs="Arial"/>
          <w:b/>
          <w:sz w:val="24"/>
          <w:szCs w:val="24"/>
        </w:rPr>
        <w:t>ervice</w:t>
      </w:r>
    </w:p>
    <w:p w14:paraId="75807B7D" w14:textId="02340E6A" w:rsidR="00087F31" w:rsidRPr="00F46FCB" w:rsidRDefault="00087F31" w:rsidP="00DC54F7">
      <w:pPr>
        <w:spacing w:after="0" w:line="240" w:lineRule="auto"/>
        <w:jc w:val="both"/>
        <w:rPr>
          <w:rFonts w:ascii="Arial" w:eastAsia="Times New Roman" w:hAnsi="Arial" w:cs="Arial"/>
          <w:sz w:val="24"/>
          <w:szCs w:val="24"/>
          <w:lang w:eastAsia="en-GB"/>
        </w:rPr>
      </w:pPr>
      <w:r w:rsidRPr="00F46FCB">
        <w:rPr>
          <w:rFonts w:ascii="Arial" w:eastAsia="Times New Roman" w:hAnsi="Arial" w:cs="Arial"/>
          <w:sz w:val="24"/>
          <w:szCs w:val="24"/>
          <w:lang w:eastAsia="en-GB"/>
        </w:rPr>
        <w:t xml:space="preserve">The </w:t>
      </w:r>
      <w:r w:rsidR="00C95944" w:rsidRPr="00F46FCB">
        <w:rPr>
          <w:rFonts w:ascii="Arial" w:eastAsia="Times New Roman" w:hAnsi="Arial" w:cs="Arial"/>
          <w:sz w:val="24"/>
          <w:szCs w:val="24"/>
          <w:lang w:eastAsia="en-GB"/>
        </w:rPr>
        <w:t>S</w:t>
      </w:r>
      <w:r w:rsidRPr="00F46FCB">
        <w:rPr>
          <w:rFonts w:ascii="Arial" w:eastAsia="Times New Roman" w:hAnsi="Arial" w:cs="Arial"/>
          <w:sz w:val="24"/>
          <w:szCs w:val="24"/>
          <w:lang w:eastAsia="en-GB"/>
        </w:rPr>
        <w:t xml:space="preserve">moking </w:t>
      </w:r>
      <w:r w:rsidR="00C95944" w:rsidRPr="00F46FCB">
        <w:rPr>
          <w:rFonts w:ascii="Arial" w:eastAsia="Times New Roman" w:hAnsi="Arial" w:cs="Arial"/>
          <w:sz w:val="24"/>
          <w:szCs w:val="24"/>
          <w:lang w:eastAsia="en-GB"/>
        </w:rPr>
        <w:t>C</w:t>
      </w:r>
      <w:r w:rsidRPr="00F46FCB">
        <w:rPr>
          <w:rFonts w:ascii="Arial" w:eastAsia="Times New Roman" w:hAnsi="Arial" w:cs="Arial"/>
          <w:sz w:val="24"/>
          <w:szCs w:val="24"/>
          <w:lang w:eastAsia="en-GB"/>
        </w:rPr>
        <w:t xml:space="preserve">essation </w:t>
      </w:r>
      <w:r w:rsidR="00C95944" w:rsidRPr="00F46FCB">
        <w:rPr>
          <w:rFonts w:ascii="Arial" w:eastAsia="Times New Roman" w:hAnsi="Arial" w:cs="Arial"/>
          <w:sz w:val="24"/>
          <w:szCs w:val="24"/>
          <w:lang w:eastAsia="en-GB"/>
        </w:rPr>
        <w:t>Level 3 Enhanced S</w:t>
      </w:r>
      <w:r w:rsidRPr="00F46FCB">
        <w:rPr>
          <w:rFonts w:ascii="Arial" w:eastAsia="Times New Roman" w:hAnsi="Arial" w:cs="Arial"/>
          <w:sz w:val="24"/>
          <w:szCs w:val="24"/>
          <w:lang w:eastAsia="en-GB"/>
        </w:rPr>
        <w:t>ervice</w:t>
      </w:r>
      <w:r w:rsidR="000F5C6D" w:rsidRPr="00F46FCB">
        <w:rPr>
          <w:rFonts w:ascii="Arial" w:eastAsia="Times New Roman" w:hAnsi="Arial" w:cs="Arial"/>
          <w:sz w:val="24"/>
          <w:szCs w:val="24"/>
          <w:lang w:eastAsia="en-GB"/>
        </w:rPr>
        <w:t xml:space="preserve"> was commissioned in 2015 and</w:t>
      </w:r>
      <w:r w:rsidRPr="00F46FCB">
        <w:rPr>
          <w:rFonts w:ascii="Arial" w:eastAsia="Times New Roman" w:hAnsi="Arial" w:cs="Arial"/>
          <w:sz w:val="24"/>
          <w:szCs w:val="24"/>
          <w:lang w:eastAsia="en-GB"/>
        </w:rPr>
        <w:t xml:space="preserve"> is designed to provide patients with a comprehensive support and treatment service to help them stop smoking over a 12 week programme, involving eight consultations with an accredited pharmacist.  The service involves an initial assessment to determine the client’s readiness to stop smoking; motivational interviewing techniques to assist clients in their attempt to stop smoking; supply and support in use of nicotine replacement therapy (NRT)</w:t>
      </w:r>
      <w:r w:rsidR="00CA4845" w:rsidRPr="00F46FCB">
        <w:rPr>
          <w:rFonts w:ascii="Arial" w:eastAsia="Times New Roman" w:hAnsi="Arial" w:cs="Arial"/>
          <w:sz w:val="24"/>
          <w:szCs w:val="24"/>
          <w:lang w:eastAsia="en-GB"/>
        </w:rPr>
        <w:t xml:space="preserve"> </w:t>
      </w:r>
      <w:r w:rsidRPr="00F46FCB">
        <w:rPr>
          <w:rFonts w:ascii="Arial" w:eastAsia="Times New Roman" w:hAnsi="Arial" w:cs="Arial"/>
          <w:sz w:val="24"/>
          <w:szCs w:val="24"/>
          <w:lang w:eastAsia="en-GB"/>
        </w:rPr>
        <w:t xml:space="preserve">products to maximise therapeutic benefits and Carbon monoxide monitoring to support a stop smoking attempt. </w:t>
      </w:r>
      <w:r w:rsidR="00D80FA7" w:rsidRPr="00F46FCB">
        <w:rPr>
          <w:rFonts w:ascii="Arial" w:eastAsia="Times New Roman" w:hAnsi="Arial" w:cs="Arial"/>
          <w:sz w:val="24"/>
          <w:szCs w:val="24"/>
          <w:lang w:eastAsia="en-GB"/>
        </w:rPr>
        <w:t xml:space="preserve">As of April 2021, </w:t>
      </w:r>
      <w:r w:rsidR="00D80FA7" w:rsidRPr="00F46FCB">
        <w:rPr>
          <w:rFonts w:ascii="Arial" w:hAnsi="Arial" w:cs="Arial"/>
          <w:sz w:val="24"/>
          <w:szCs w:val="24"/>
        </w:rPr>
        <w:t>there are 39 pharmacies commissioned by Cardiff and Vale University Health Board to provide the smoking cessation level 3 enhanced service.</w:t>
      </w:r>
    </w:p>
    <w:p w14:paraId="02E7EDCD" w14:textId="77777777" w:rsidR="003D1479" w:rsidRPr="00F46FCB" w:rsidRDefault="003D1479" w:rsidP="00DC54F7">
      <w:pPr>
        <w:spacing w:after="0" w:line="240" w:lineRule="auto"/>
        <w:jc w:val="both"/>
        <w:rPr>
          <w:rFonts w:ascii="Arial" w:hAnsi="Arial" w:cs="Arial"/>
          <w:sz w:val="24"/>
          <w:szCs w:val="24"/>
        </w:rPr>
      </w:pPr>
    </w:p>
    <w:p w14:paraId="67DD12D7" w14:textId="1B5848E1" w:rsidR="0027793E" w:rsidRPr="00F46FCB" w:rsidRDefault="0027793E" w:rsidP="00DC54F7">
      <w:pPr>
        <w:spacing w:after="0" w:line="240" w:lineRule="auto"/>
        <w:jc w:val="both"/>
        <w:rPr>
          <w:rFonts w:ascii="Arial" w:hAnsi="Arial" w:cs="Arial"/>
          <w:sz w:val="24"/>
          <w:szCs w:val="24"/>
        </w:rPr>
      </w:pPr>
      <w:r w:rsidRPr="00F46FCB">
        <w:rPr>
          <w:rFonts w:ascii="Arial" w:hAnsi="Arial" w:cs="Arial"/>
          <w:sz w:val="24"/>
          <w:szCs w:val="24"/>
        </w:rPr>
        <w:t>In 2018</w:t>
      </w:r>
      <w:r w:rsidR="00087F31" w:rsidRPr="00F46FCB">
        <w:rPr>
          <w:rFonts w:ascii="Arial" w:hAnsi="Arial" w:cs="Arial"/>
          <w:sz w:val="24"/>
          <w:szCs w:val="24"/>
        </w:rPr>
        <w:t xml:space="preserve"> to </w:t>
      </w:r>
      <w:r w:rsidR="004338FF" w:rsidRPr="00F46FCB">
        <w:rPr>
          <w:rFonts w:ascii="Arial" w:hAnsi="Arial" w:cs="Arial"/>
          <w:sz w:val="24"/>
          <w:szCs w:val="24"/>
        </w:rPr>
        <w:t>20</w:t>
      </w:r>
      <w:r w:rsidRPr="00F46FCB">
        <w:rPr>
          <w:rFonts w:ascii="Arial" w:hAnsi="Arial" w:cs="Arial"/>
          <w:sz w:val="24"/>
          <w:szCs w:val="24"/>
        </w:rPr>
        <w:t>19</w:t>
      </w:r>
      <w:r w:rsidR="004338FF" w:rsidRPr="00F46FCB">
        <w:rPr>
          <w:rFonts w:ascii="Arial" w:hAnsi="Arial" w:cs="Arial"/>
          <w:sz w:val="24"/>
          <w:szCs w:val="24"/>
        </w:rPr>
        <w:t>,</w:t>
      </w:r>
      <w:r w:rsidRPr="00F46FCB">
        <w:rPr>
          <w:rFonts w:ascii="Arial" w:hAnsi="Arial" w:cs="Arial"/>
          <w:sz w:val="24"/>
          <w:szCs w:val="24"/>
        </w:rPr>
        <w:t xml:space="preserve"> 20 pharmacies provided a total of </w:t>
      </w:r>
      <w:r w:rsidR="00071305" w:rsidRPr="00F46FCB">
        <w:rPr>
          <w:rFonts w:ascii="Arial" w:hAnsi="Arial" w:cs="Arial"/>
          <w:sz w:val="24"/>
          <w:szCs w:val="24"/>
        </w:rPr>
        <w:t>279</w:t>
      </w:r>
      <w:r w:rsidRPr="00F46FCB">
        <w:rPr>
          <w:rFonts w:ascii="Arial" w:hAnsi="Arial" w:cs="Arial"/>
          <w:sz w:val="24"/>
          <w:szCs w:val="24"/>
        </w:rPr>
        <w:t xml:space="preserve"> consultations over the year. The figure below shows the total number of consultations claimed under the service by pharmacies in the health board’s area in 2018</w:t>
      </w:r>
      <w:r w:rsidR="006144DB" w:rsidRPr="00F46FCB">
        <w:rPr>
          <w:rFonts w:ascii="Arial" w:hAnsi="Arial" w:cs="Arial"/>
          <w:sz w:val="24"/>
          <w:szCs w:val="24"/>
        </w:rPr>
        <w:t xml:space="preserve"> to 20</w:t>
      </w:r>
      <w:r w:rsidRPr="00F46FCB">
        <w:rPr>
          <w:rFonts w:ascii="Arial" w:hAnsi="Arial" w:cs="Arial"/>
          <w:sz w:val="24"/>
          <w:szCs w:val="24"/>
        </w:rPr>
        <w:t>19.</w:t>
      </w:r>
    </w:p>
    <w:p w14:paraId="19AEA0D6" w14:textId="77777777" w:rsidR="00944638" w:rsidRPr="00F46FCB" w:rsidRDefault="00944638" w:rsidP="00DC54F7">
      <w:pPr>
        <w:spacing w:after="0" w:line="240" w:lineRule="auto"/>
        <w:jc w:val="both"/>
        <w:rPr>
          <w:rFonts w:ascii="Arial" w:hAnsi="Arial" w:cs="Arial"/>
          <w:b/>
          <w:sz w:val="24"/>
          <w:szCs w:val="24"/>
        </w:rPr>
      </w:pPr>
    </w:p>
    <w:p w14:paraId="2728BF2A" w14:textId="30892DCB" w:rsidR="0027793E" w:rsidRPr="00F46FCB" w:rsidRDefault="0027793E" w:rsidP="00DC54F7">
      <w:pPr>
        <w:spacing w:after="0" w:line="240" w:lineRule="auto"/>
        <w:jc w:val="both"/>
        <w:rPr>
          <w:rFonts w:ascii="Arial" w:hAnsi="Arial" w:cs="Arial"/>
          <w:b/>
          <w:sz w:val="24"/>
          <w:szCs w:val="24"/>
        </w:rPr>
      </w:pPr>
      <w:r w:rsidRPr="00F46FCB">
        <w:rPr>
          <w:rFonts w:ascii="Arial" w:hAnsi="Arial" w:cs="Arial"/>
          <w:b/>
          <w:sz w:val="24"/>
          <w:szCs w:val="24"/>
        </w:rPr>
        <w:t>Figure</w:t>
      </w:r>
      <w:r w:rsidR="00B31F33" w:rsidRPr="00F46FCB">
        <w:rPr>
          <w:rFonts w:ascii="Arial" w:hAnsi="Arial" w:cs="Arial"/>
          <w:b/>
          <w:sz w:val="24"/>
          <w:szCs w:val="24"/>
        </w:rPr>
        <w:t xml:space="preserve"> 5.7</w:t>
      </w:r>
      <w:r w:rsidR="00196220" w:rsidRPr="00F46FCB">
        <w:rPr>
          <w:rFonts w:ascii="Arial" w:hAnsi="Arial" w:cs="Arial"/>
          <w:b/>
          <w:sz w:val="24"/>
          <w:szCs w:val="24"/>
        </w:rPr>
        <w:t>: N</w:t>
      </w:r>
      <w:r w:rsidRPr="00F46FCB">
        <w:rPr>
          <w:rFonts w:ascii="Arial" w:hAnsi="Arial" w:cs="Arial"/>
          <w:b/>
          <w:sz w:val="24"/>
          <w:szCs w:val="24"/>
        </w:rPr>
        <w:t>umber of consultations claimed in 2018</w:t>
      </w:r>
      <w:r w:rsidR="00196220" w:rsidRPr="00F46FCB">
        <w:rPr>
          <w:rFonts w:ascii="Arial" w:hAnsi="Arial" w:cs="Arial"/>
          <w:b/>
          <w:sz w:val="24"/>
          <w:szCs w:val="24"/>
        </w:rPr>
        <w:t xml:space="preserve"> to 20</w:t>
      </w:r>
      <w:r w:rsidRPr="00F46FCB">
        <w:rPr>
          <w:rFonts w:ascii="Arial" w:hAnsi="Arial" w:cs="Arial"/>
          <w:b/>
          <w:sz w:val="24"/>
          <w:szCs w:val="24"/>
        </w:rPr>
        <w:t>19</w:t>
      </w:r>
    </w:p>
    <w:p w14:paraId="59B05973" w14:textId="68F09602" w:rsidR="00196220" w:rsidRDefault="00196220" w:rsidP="00DC54F7">
      <w:pPr>
        <w:spacing w:after="240" w:line="240" w:lineRule="auto"/>
        <w:jc w:val="both"/>
        <w:rPr>
          <w:rFonts w:ascii="Arial" w:hAnsi="Arial" w:cs="Arial"/>
          <w:b/>
        </w:rPr>
      </w:pPr>
      <w:r>
        <w:rPr>
          <w:noProof/>
          <w:lang w:eastAsia="en-GB"/>
        </w:rPr>
        <w:drawing>
          <wp:inline distT="0" distB="0" distL="0" distR="0" wp14:anchorId="70B7A8C2" wp14:editId="416B8166">
            <wp:extent cx="5669280" cy="3581400"/>
            <wp:effectExtent l="0" t="0" r="7620" b="0"/>
            <wp:docPr id="40" name="Chart 4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9E94BAF-DBDA-4A72-BDFF-A22B00FB39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6553DE4B" w14:textId="3FE83A67" w:rsidR="00264626" w:rsidRPr="00F46FCB" w:rsidRDefault="00264626" w:rsidP="00DC54F7">
      <w:pPr>
        <w:spacing w:after="240" w:line="240" w:lineRule="auto"/>
        <w:contextualSpacing/>
        <w:jc w:val="both"/>
        <w:rPr>
          <w:rFonts w:ascii="Arial" w:hAnsi="Arial" w:cs="Arial"/>
          <w:sz w:val="24"/>
          <w:szCs w:val="24"/>
        </w:rPr>
      </w:pPr>
      <w:r w:rsidRPr="00F46FCB">
        <w:rPr>
          <w:rFonts w:ascii="Arial" w:hAnsi="Arial" w:cs="Arial"/>
          <w:sz w:val="24"/>
          <w:szCs w:val="24"/>
        </w:rPr>
        <w:t>In 2019</w:t>
      </w:r>
      <w:r w:rsidR="00691839" w:rsidRPr="00F46FCB">
        <w:rPr>
          <w:rFonts w:ascii="Arial" w:hAnsi="Arial" w:cs="Arial"/>
          <w:sz w:val="24"/>
          <w:szCs w:val="24"/>
        </w:rPr>
        <w:t xml:space="preserve"> to 20</w:t>
      </w:r>
      <w:r w:rsidRPr="00F46FCB">
        <w:rPr>
          <w:rFonts w:ascii="Arial" w:hAnsi="Arial" w:cs="Arial"/>
          <w:sz w:val="24"/>
          <w:szCs w:val="24"/>
        </w:rPr>
        <w:t>20</w:t>
      </w:r>
      <w:r w:rsidR="00691839" w:rsidRPr="00F46FCB">
        <w:rPr>
          <w:rFonts w:ascii="Arial" w:hAnsi="Arial" w:cs="Arial"/>
          <w:sz w:val="24"/>
          <w:szCs w:val="24"/>
        </w:rPr>
        <w:t>,</w:t>
      </w:r>
      <w:r w:rsidRPr="00F46FCB">
        <w:rPr>
          <w:rFonts w:ascii="Arial" w:hAnsi="Arial" w:cs="Arial"/>
          <w:sz w:val="24"/>
          <w:szCs w:val="24"/>
        </w:rPr>
        <w:t xml:space="preserve"> 22 pharmacies provided a total of 407 consultations under this service over the year. The figure below shows the total number of consultations claimed under the service by pharmacies in the health board’s area in 2019</w:t>
      </w:r>
      <w:r w:rsidR="006200B5" w:rsidRPr="00F46FCB">
        <w:rPr>
          <w:rFonts w:ascii="Arial" w:hAnsi="Arial" w:cs="Arial"/>
          <w:sz w:val="24"/>
          <w:szCs w:val="24"/>
        </w:rPr>
        <w:t xml:space="preserve"> to 20</w:t>
      </w:r>
      <w:r w:rsidRPr="00F46FCB">
        <w:rPr>
          <w:rFonts w:ascii="Arial" w:hAnsi="Arial" w:cs="Arial"/>
          <w:sz w:val="24"/>
          <w:szCs w:val="24"/>
        </w:rPr>
        <w:t>20.</w:t>
      </w:r>
    </w:p>
    <w:p w14:paraId="5D83CEEB" w14:textId="77777777" w:rsidR="00264626" w:rsidRPr="00F46FCB" w:rsidRDefault="00264626" w:rsidP="00DC54F7">
      <w:pPr>
        <w:spacing w:after="240" w:line="240" w:lineRule="auto"/>
        <w:contextualSpacing/>
        <w:jc w:val="both"/>
        <w:rPr>
          <w:rFonts w:ascii="Arial" w:hAnsi="Arial" w:cs="Arial"/>
          <w:sz w:val="24"/>
          <w:szCs w:val="24"/>
        </w:rPr>
      </w:pPr>
    </w:p>
    <w:p w14:paraId="24A5E7E3" w14:textId="1659F2E2" w:rsidR="00264626" w:rsidRPr="00F46FCB" w:rsidRDefault="00264626" w:rsidP="00DC54F7">
      <w:pPr>
        <w:spacing w:after="240" w:line="240" w:lineRule="auto"/>
        <w:contextualSpacing/>
        <w:jc w:val="both"/>
        <w:rPr>
          <w:rFonts w:ascii="Arial" w:hAnsi="Arial" w:cs="Arial"/>
          <w:b/>
          <w:sz w:val="24"/>
          <w:szCs w:val="24"/>
        </w:rPr>
      </w:pPr>
      <w:r w:rsidRPr="00F46FCB">
        <w:rPr>
          <w:rFonts w:ascii="Arial" w:hAnsi="Arial" w:cs="Arial"/>
          <w:b/>
          <w:sz w:val="24"/>
          <w:szCs w:val="24"/>
        </w:rPr>
        <w:lastRenderedPageBreak/>
        <w:t>Figure</w:t>
      </w:r>
      <w:r w:rsidR="00B31F33" w:rsidRPr="00F46FCB">
        <w:rPr>
          <w:rFonts w:ascii="Arial" w:hAnsi="Arial" w:cs="Arial"/>
          <w:b/>
          <w:sz w:val="24"/>
          <w:szCs w:val="24"/>
        </w:rPr>
        <w:t xml:space="preserve"> 5.8</w:t>
      </w:r>
      <w:r w:rsidR="00AB5A7C" w:rsidRPr="00F46FCB">
        <w:rPr>
          <w:rFonts w:ascii="Arial" w:hAnsi="Arial" w:cs="Arial"/>
          <w:b/>
          <w:sz w:val="24"/>
          <w:szCs w:val="24"/>
        </w:rPr>
        <w:t>: N</w:t>
      </w:r>
      <w:r w:rsidRPr="00F46FCB">
        <w:rPr>
          <w:rFonts w:ascii="Arial" w:hAnsi="Arial" w:cs="Arial"/>
          <w:b/>
          <w:sz w:val="24"/>
          <w:szCs w:val="24"/>
        </w:rPr>
        <w:t>umber of consultations claimed in 2019</w:t>
      </w:r>
      <w:r w:rsidR="00196220" w:rsidRPr="00F46FCB">
        <w:rPr>
          <w:rFonts w:ascii="Arial" w:hAnsi="Arial" w:cs="Arial"/>
          <w:b/>
          <w:sz w:val="24"/>
          <w:szCs w:val="24"/>
        </w:rPr>
        <w:t xml:space="preserve"> to </w:t>
      </w:r>
      <w:r w:rsidRPr="00F46FCB">
        <w:rPr>
          <w:rFonts w:ascii="Arial" w:hAnsi="Arial" w:cs="Arial"/>
          <w:b/>
          <w:sz w:val="24"/>
          <w:szCs w:val="24"/>
        </w:rPr>
        <w:t>20</w:t>
      </w:r>
      <w:r w:rsidR="00AB5A7C" w:rsidRPr="00F46FCB">
        <w:rPr>
          <w:rFonts w:ascii="Arial" w:hAnsi="Arial" w:cs="Arial"/>
          <w:b/>
          <w:sz w:val="24"/>
          <w:szCs w:val="24"/>
        </w:rPr>
        <w:t>20</w:t>
      </w:r>
    </w:p>
    <w:p w14:paraId="2FB3847C" w14:textId="2487EAA7" w:rsidR="00264626" w:rsidRDefault="009F72E3" w:rsidP="00DC54F7">
      <w:pPr>
        <w:spacing w:after="240" w:line="240" w:lineRule="auto"/>
        <w:jc w:val="both"/>
        <w:rPr>
          <w:rFonts w:ascii="Arial" w:hAnsi="Arial" w:cs="Arial"/>
          <w:b/>
        </w:rPr>
      </w:pPr>
      <w:r>
        <w:rPr>
          <w:noProof/>
          <w:lang w:eastAsia="en-GB"/>
        </w:rPr>
        <w:drawing>
          <wp:inline distT="0" distB="0" distL="0" distR="0" wp14:anchorId="0D41D95F" wp14:editId="4FA4D514">
            <wp:extent cx="5685155" cy="3225800"/>
            <wp:effectExtent l="0" t="0" r="10795" b="12700"/>
            <wp:docPr id="41" name="Chart 4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2998283-2AB4-46F7-9140-E8422BEA93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46828345" w14:textId="7B48F2EC" w:rsidR="00CD59A5" w:rsidRPr="00F46FCB" w:rsidRDefault="005E797A" w:rsidP="00DC54F7">
      <w:pPr>
        <w:spacing w:after="240" w:line="240" w:lineRule="auto"/>
        <w:jc w:val="both"/>
        <w:rPr>
          <w:rFonts w:ascii="Arial" w:hAnsi="Arial" w:cs="Arial"/>
          <w:sz w:val="24"/>
          <w:szCs w:val="24"/>
        </w:rPr>
      </w:pPr>
      <w:r w:rsidRPr="00F46FCB">
        <w:rPr>
          <w:rFonts w:ascii="Arial" w:hAnsi="Arial" w:cs="Arial"/>
          <w:sz w:val="24"/>
          <w:szCs w:val="24"/>
        </w:rPr>
        <w:t>The map below shows the location of those pharmacies that provided the service in 2019 to 2020</w:t>
      </w:r>
      <w:r w:rsidR="005F28A0" w:rsidRPr="00F46FCB">
        <w:rPr>
          <w:rFonts w:ascii="Arial" w:hAnsi="Arial" w:cs="Arial"/>
          <w:sz w:val="24"/>
          <w:szCs w:val="24"/>
        </w:rPr>
        <w:t>.</w:t>
      </w:r>
    </w:p>
    <w:p w14:paraId="389C36A1" w14:textId="7E81BBA7" w:rsidR="005F28A0" w:rsidRPr="00F46FCB" w:rsidRDefault="005F28A0" w:rsidP="00DC54F7">
      <w:pPr>
        <w:contextualSpacing/>
        <w:jc w:val="both"/>
        <w:rPr>
          <w:rFonts w:ascii="Arial" w:hAnsi="Arial" w:cs="Arial"/>
          <w:b/>
          <w:sz w:val="24"/>
          <w:szCs w:val="24"/>
        </w:rPr>
      </w:pPr>
      <w:r w:rsidRPr="00F46FCB">
        <w:rPr>
          <w:rFonts w:ascii="Arial" w:hAnsi="Arial" w:cs="Arial"/>
          <w:b/>
          <w:sz w:val="24"/>
          <w:szCs w:val="24"/>
        </w:rPr>
        <w:t>Map 5.</w:t>
      </w:r>
      <w:r w:rsidR="00E030C8" w:rsidRPr="00F46FCB">
        <w:rPr>
          <w:rFonts w:ascii="Arial" w:hAnsi="Arial" w:cs="Arial"/>
          <w:b/>
          <w:sz w:val="24"/>
          <w:szCs w:val="24"/>
        </w:rPr>
        <w:t>7</w:t>
      </w:r>
      <w:r w:rsidRPr="00F46FCB">
        <w:rPr>
          <w:rFonts w:ascii="Arial" w:hAnsi="Arial" w:cs="Arial"/>
          <w:b/>
          <w:sz w:val="24"/>
          <w:szCs w:val="24"/>
        </w:rPr>
        <w:t xml:space="preserve">: Location of pharmacies providing the </w:t>
      </w:r>
      <w:r w:rsidR="00C95944" w:rsidRPr="00F46FCB">
        <w:rPr>
          <w:rFonts w:ascii="Arial" w:hAnsi="Arial" w:cs="Arial"/>
          <w:b/>
          <w:sz w:val="24"/>
          <w:szCs w:val="24"/>
        </w:rPr>
        <w:t>S</w:t>
      </w:r>
      <w:r w:rsidRPr="00F46FCB">
        <w:rPr>
          <w:rFonts w:ascii="Arial" w:hAnsi="Arial" w:cs="Arial"/>
          <w:b/>
          <w:sz w:val="24"/>
          <w:szCs w:val="24"/>
        </w:rPr>
        <w:t xml:space="preserve">moking </w:t>
      </w:r>
      <w:r w:rsidR="00C95944" w:rsidRPr="00F46FCB">
        <w:rPr>
          <w:rFonts w:ascii="Arial" w:hAnsi="Arial" w:cs="Arial"/>
          <w:b/>
          <w:sz w:val="24"/>
          <w:szCs w:val="24"/>
        </w:rPr>
        <w:t>C</w:t>
      </w:r>
      <w:r w:rsidRPr="00F46FCB">
        <w:rPr>
          <w:rFonts w:ascii="Arial" w:hAnsi="Arial" w:cs="Arial"/>
          <w:b/>
          <w:sz w:val="24"/>
          <w:szCs w:val="24"/>
        </w:rPr>
        <w:t xml:space="preserve">essation </w:t>
      </w:r>
      <w:r w:rsidR="00C95944" w:rsidRPr="00F46FCB">
        <w:rPr>
          <w:rFonts w:ascii="Arial" w:hAnsi="Arial" w:cs="Arial"/>
          <w:b/>
          <w:sz w:val="24"/>
          <w:szCs w:val="24"/>
        </w:rPr>
        <w:t>L</w:t>
      </w:r>
      <w:r w:rsidRPr="00F46FCB">
        <w:rPr>
          <w:rFonts w:ascii="Arial" w:hAnsi="Arial" w:cs="Arial"/>
          <w:b/>
          <w:sz w:val="24"/>
          <w:szCs w:val="24"/>
        </w:rPr>
        <w:t xml:space="preserve">evel 3 </w:t>
      </w:r>
      <w:r w:rsidR="00C95944" w:rsidRPr="00F46FCB">
        <w:rPr>
          <w:rFonts w:ascii="Arial" w:hAnsi="Arial" w:cs="Arial"/>
          <w:b/>
          <w:sz w:val="24"/>
          <w:szCs w:val="24"/>
        </w:rPr>
        <w:t>E</w:t>
      </w:r>
      <w:r w:rsidRPr="00F46FCB">
        <w:rPr>
          <w:rFonts w:ascii="Arial" w:hAnsi="Arial" w:cs="Arial"/>
          <w:b/>
          <w:sz w:val="24"/>
          <w:szCs w:val="24"/>
        </w:rPr>
        <w:t xml:space="preserve">nhanced </w:t>
      </w:r>
      <w:r w:rsidR="00C95944" w:rsidRPr="00F46FCB">
        <w:rPr>
          <w:rFonts w:ascii="Arial" w:hAnsi="Arial" w:cs="Arial"/>
          <w:b/>
          <w:sz w:val="24"/>
          <w:szCs w:val="24"/>
        </w:rPr>
        <w:t>S</w:t>
      </w:r>
      <w:r w:rsidRPr="00F46FCB">
        <w:rPr>
          <w:rFonts w:ascii="Arial" w:hAnsi="Arial" w:cs="Arial"/>
          <w:b/>
          <w:sz w:val="24"/>
          <w:szCs w:val="24"/>
        </w:rPr>
        <w:t>ervice in 2020 to 2021</w:t>
      </w:r>
    </w:p>
    <w:p w14:paraId="59812EB8" w14:textId="50FECADB" w:rsidR="00CD59A5" w:rsidRDefault="00CD538A" w:rsidP="00DC54F7">
      <w:pPr>
        <w:spacing w:after="240" w:line="240" w:lineRule="auto"/>
        <w:jc w:val="both"/>
        <w:rPr>
          <w:rFonts w:ascii="Arial" w:hAnsi="Arial" w:cs="Arial"/>
          <w:bCs/>
          <w:highlight w:val="yellow"/>
        </w:rPr>
      </w:pPr>
      <w:r>
        <w:rPr>
          <w:noProof/>
          <w:lang w:eastAsia="en-GB"/>
        </w:rPr>
        <w:drawing>
          <wp:inline distT="0" distB="0" distL="0" distR="0" wp14:anchorId="03F85C2C" wp14:editId="6BAAB464">
            <wp:extent cx="5731510" cy="4178300"/>
            <wp:effectExtent l="0" t="0" r="254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731510" cy="4178300"/>
                    </a:xfrm>
                    <a:prstGeom prst="rect">
                      <a:avLst/>
                    </a:prstGeom>
                    <a:noFill/>
                    <a:ln>
                      <a:noFill/>
                    </a:ln>
                  </pic:spPr>
                </pic:pic>
              </a:graphicData>
            </a:graphic>
          </wp:inline>
        </w:drawing>
      </w:r>
    </w:p>
    <w:p w14:paraId="6F588FB8" w14:textId="2B84D9A1" w:rsidR="00CD59A5" w:rsidRDefault="008B07BE" w:rsidP="00DC54F7">
      <w:pPr>
        <w:spacing w:after="240" w:line="240" w:lineRule="auto"/>
        <w:jc w:val="both"/>
        <w:rPr>
          <w:rFonts w:ascii="Arial" w:hAnsi="Arial" w:cs="Arial"/>
          <w:bCs/>
          <w:highlight w:val="yellow"/>
        </w:rPr>
      </w:pPr>
      <w:r>
        <w:rPr>
          <w:noProof/>
          <w:lang w:eastAsia="en-GB"/>
        </w:rPr>
        <w:lastRenderedPageBreak/>
        <w:drawing>
          <wp:inline distT="0" distB="0" distL="0" distR="0" wp14:anchorId="73D5BCA8" wp14:editId="4E7EC7FE">
            <wp:extent cx="5731510" cy="4279900"/>
            <wp:effectExtent l="0" t="0" r="2540" b="635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731510" cy="4279900"/>
                    </a:xfrm>
                    <a:prstGeom prst="rect">
                      <a:avLst/>
                    </a:prstGeom>
                    <a:noFill/>
                    <a:ln>
                      <a:noFill/>
                    </a:ln>
                  </pic:spPr>
                </pic:pic>
              </a:graphicData>
            </a:graphic>
          </wp:inline>
        </w:drawing>
      </w:r>
    </w:p>
    <w:p w14:paraId="64BF842F" w14:textId="7D30CBC0" w:rsidR="00E633DF" w:rsidRPr="00F46FCB" w:rsidRDefault="00E63EF4" w:rsidP="00DC54F7">
      <w:pPr>
        <w:spacing w:after="240" w:line="240" w:lineRule="auto"/>
        <w:jc w:val="both"/>
        <w:rPr>
          <w:rFonts w:ascii="Arial" w:hAnsi="Arial" w:cs="Arial"/>
          <w:b/>
          <w:sz w:val="24"/>
          <w:szCs w:val="24"/>
        </w:rPr>
      </w:pPr>
      <w:r w:rsidRPr="00F46FCB">
        <w:rPr>
          <w:rFonts w:ascii="Arial" w:hAnsi="Arial" w:cs="Arial"/>
          <w:bCs/>
          <w:sz w:val="24"/>
          <w:szCs w:val="24"/>
        </w:rPr>
        <w:t xml:space="preserve">14 </w:t>
      </w:r>
      <w:r w:rsidR="00E633DF" w:rsidRPr="00F46FCB">
        <w:rPr>
          <w:rFonts w:ascii="Arial" w:hAnsi="Arial" w:cs="Arial"/>
          <w:bCs/>
          <w:sz w:val="24"/>
          <w:szCs w:val="24"/>
        </w:rPr>
        <w:t xml:space="preserve">pharmacies provided a total of </w:t>
      </w:r>
      <w:r w:rsidRPr="00F46FCB">
        <w:rPr>
          <w:rFonts w:ascii="Arial" w:hAnsi="Arial" w:cs="Arial"/>
          <w:bCs/>
          <w:sz w:val="24"/>
          <w:szCs w:val="24"/>
        </w:rPr>
        <w:t>87</w:t>
      </w:r>
      <w:r w:rsidR="00E633DF" w:rsidRPr="00F46FCB">
        <w:rPr>
          <w:rFonts w:ascii="Arial" w:hAnsi="Arial" w:cs="Arial"/>
          <w:bCs/>
          <w:sz w:val="24"/>
          <w:szCs w:val="24"/>
        </w:rPr>
        <w:t xml:space="preserve"> consultations in the first five months of 2020</w:t>
      </w:r>
      <w:r w:rsidRPr="00F46FCB">
        <w:rPr>
          <w:rFonts w:ascii="Arial" w:hAnsi="Arial" w:cs="Arial"/>
          <w:bCs/>
          <w:sz w:val="24"/>
          <w:szCs w:val="24"/>
        </w:rPr>
        <w:t xml:space="preserve"> to 20</w:t>
      </w:r>
      <w:r w:rsidR="00E633DF" w:rsidRPr="00F46FCB">
        <w:rPr>
          <w:rFonts w:ascii="Arial" w:hAnsi="Arial" w:cs="Arial"/>
          <w:bCs/>
          <w:sz w:val="24"/>
          <w:szCs w:val="24"/>
        </w:rPr>
        <w:t>21. The figure below shows the total number of consultations claimed under the service by</w:t>
      </w:r>
      <w:r w:rsidR="00A15B4C" w:rsidRPr="00F46FCB">
        <w:rPr>
          <w:rFonts w:ascii="Arial" w:hAnsi="Arial" w:cs="Arial"/>
          <w:bCs/>
          <w:sz w:val="24"/>
          <w:szCs w:val="24"/>
        </w:rPr>
        <w:t xml:space="preserve"> </w:t>
      </w:r>
      <w:r w:rsidR="00E633DF" w:rsidRPr="00F46FCB">
        <w:rPr>
          <w:rFonts w:ascii="Arial" w:hAnsi="Arial" w:cs="Arial"/>
          <w:bCs/>
          <w:sz w:val="24"/>
          <w:szCs w:val="24"/>
        </w:rPr>
        <w:t>pharmacies in the health board’s area in the first five months of 2020</w:t>
      </w:r>
      <w:r w:rsidR="00AD530C" w:rsidRPr="00F46FCB">
        <w:rPr>
          <w:rFonts w:ascii="Arial" w:hAnsi="Arial" w:cs="Arial"/>
          <w:bCs/>
          <w:sz w:val="24"/>
          <w:szCs w:val="24"/>
        </w:rPr>
        <w:t xml:space="preserve"> to 20</w:t>
      </w:r>
      <w:r w:rsidR="00E633DF" w:rsidRPr="00F46FCB">
        <w:rPr>
          <w:rFonts w:ascii="Arial" w:hAnsi="Arial" w:cs="Arial"/>
          <w:bCs/>
          <w:sz w:val="24"/>
          <w:szCs w:val="24"/>
        </w:rPr>
        <w:t>21</w:t>
      </w:r>
      <w:r w:rsidR="00E633DF" w:rsidRPr="00F46FCB">
        <w:rPr>
          <w:rFonts w:ascii="Arial" w:hAnsi="Arial" w:cs="Arial"/>
          <w:b/>
          <w:sz w:val="24"/>
          <w:szCs w:val="24"/>
        </w:rPr>
        <w:t>.</w:t>
      </w:r>
    </w:p>
    <w:p w14:paraId="23C358D4" w14:textId="03C6F278" w:rsidR="00A15B4C" w:rsidRPr="00F46FCB" w:rsidRDefault="00A15B4C" w:rsidP="00DC54F7">
      <w:pPr>
        <w:spacing w:after="0" w:line="240" w:lineRule="auto"/>
        <w:jc w:val="both"/>
        <w:rPr>
          <w:rFonts w:ascii="Arial" w:hAnsi="Arial" w:cs="Arial"/>
          <w:b/>
          <w:sz w:val="24"/>
          <w:szCs w:val="24"/>
        </w:rPr>
      </w:pPr>
      <w:r w:rsidRPr="00F46FCB">
        <w:rPr>
          <w:rFonts w:ascii="Arial" w:hAnsi="Arial" w:cs="Arial"/>
          <w:b/>
          <w:sz w:val="24"/>
          <w:szCs w:val="24"/>
        </w:rPr>
        <w:t>Figure</w:t>
      </w:r>
      <w:r w:rsidR="00B31F33" w:rsidRPr="00F46FCB">
        <w:rPr>
          <w:rFonts w:ascii="Arial" w:hAnsi="Arial" w:cs="Arial"/>
          <w:b/>
          <w:sz w:val="24"/>
          <w:szCs w:val="24"/>
        </w:rPr>
        <w:t xml:space="preserve"> 5.9:</w:t>
      </w:r>
      <w:r w:rsidRPr="00F46FCB">
        <w:rPr>
          <w:rFonts w:ascii="Arial" w:hAnsi="Arial" w:cs="Arial"/>
          <w:b/>
          <w:sz w:val="24"/>
          <w:szCs w:val="24"/>
        </w:rPr>
        <w:t xml:space="preserve"> </w:t>
      </w:r>
      <w:r w:rsidR="00B31F33" w:rsidRPr="00F46FCB">
        <w:rPr>
          <w:rFonts w:ascii="Arial" w:hAnsi="Arial" w:cs="Arial"/>
          <w:b/>
          <w:sz w:val="24"/>
          <w:szCs w:val="24"/>
        </w:rPr>
        <w:t>N</w:t>
      </w:r>
      <w:r w:rsidRPr="00F46FCB">
        <w:rPr>
          <w:rFonts w:ascii="Arial" w:hAnsi="Arial" w:cs="Arial"/>
          <w:b/>
          <w:sz w:val="24"/>
          <w:szCs w:val="24"/>
        </w:rPr>
        <w:t>umber of consultations claimed in 2020</w:t>
      </w:r>
      <w:r w:rsidR="005E797A" w:rsidRPr="00F46FCB">
        <w:rPr>
          <w:rFonts w:ascii="Arial" w:hAnsi="Arial" w:cs="Arial"/>
          <w:b/>
          <w:sz w:val="24"/>
          <w:szCs w:val="24"/>
        </w:rPr>
        <w:t xml:space="preserve"> to 20</w:t>
      </w:r>
      <w:r w:rsidRPr="00F46FCB">
        <w:rPr>
          <w:rFonts w:ascii="Arial" w:hAnsi="Arial" w:cs="Arial"/>
          <w:b/>
          <w:sz w:val="24"/>
          <w:szCs w:val="24"/>
        </w:rPr>
        <w:t>21</w:t>
      </w:r>
    </w:p>
    <w:p w14:paraId="53037E22" w14:textId="7DF4E35C" w:rsidR="002C664B" w:rsidRDefault="002C664B" w:rsidP="00DC54F7">
      <w:pPr>
        <w:spacing w:after="240" w:line="240" w:lineRule="auto"/>
        <w:jc w:val="both"/>
        <w:rPr>
          <w:rFonts w:ascii="Arial" w:hAnsi="Arial" w:cs="Arial"/>
          <w:b/>
        </w:rPr>
      </w:pPr>
      <w:r>
        <w:rPr>
          <w:noProof/>
          <w:lang w:eastAsia="en-GB"/>
        </w:rPr>
        <w:drawing>
          <wp:inline distT="0" distB="0" distL="0" distR="0" wp14:anchorId="36C33875" wp14:editId="76012FC1">
            <wp:extent cx="5645426" cy="2701925"/>
            <wp:effectExtent l="0" t="0" r="12700" b="3175"/>
            <wp:docPr id="42" name="Chart 4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847320E-F159-4FD4-8886-9837C0A9F5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0C40F93F" w14:textId="77777777" w:rsidR="00727B0C" w:rsidRPr="00F46FCB" w:rsidRDefault="00727B0C" w:rsidP="00DC54F7">
      <w:pPr>
        <w:spacing w:after="240" w:line="240" w:lineRule="auto"/>
        <w:jc w:val="both"/>
        <w:rPr>
          <w:rFonts w:ascii="Arial" w:hAnsi="Arial" w:cs="Arial"/>
          <w:sz w:val="24"/>
          <w:szCs w:val="24"/>
        </w:rPr>
      </w:pPr>
      <w:r w:rsidRPr="00F46FCB">
        <w:rPr>
          <w:rFonts w:ascii="Arial" w:hAnsi="Arial" w:cs="Arial"/>
          <w:sz w:val="24"/>
          <w:szCs w:val="24"/>
        </w:rPr>
        <w:t>The figure below compares provision of the service over the last three financial years.</w:t>
      </w:r>
    </w:p>
    <w:p w14:paraId="3EFE7514" w14:textId="4EF27713" w:rsidR="009733A6" w:rsidRPr="00F46FCB" w:rsidRDefault="00727B0C" w:rsidP="00DC54F7">
      <w:pPr>
        <w:spacing w:after="0" w:line="240" w:lineRule="auto"/>
        <w:jc w:val="both"/>
        <w:rPr>
          <w:rFonts w:ascii="Arial" w:hAnsi="Arial" w:cs="Arial"/>
          <w:b/>
          <w:sz w:val="24"/>
          <w:szCs w:val="24"/>
        </w:rPr>
      </w:pPr>
      <w:r w:rsidRPr="00F46FCB">
        <w:rPr>
          <w:rFonts w:ascii="Arial" w:hAnsi="Arial" w:cs="Arial"/>
          <w:b/>
          <w:sz w:val="24"/>
          <w:szCs w:val="24"/>
        </w:rPr>
        <w:lastRenderedPageBreak/>
        <w:t>Figure</w:t>
      </w:r>
      <w:r w:rsidR="00B31F33" w:rsidRPr="00F46FCB">
        <w:rPr>
          <w:rFonts w:ascii="Arial" w:hAnsi="Arial" w:cs="Arial"/>
          <w:b/>
          <w:sz w:val="24"/>
          <w:szCs w:val="24"/>
        </w:rPr>
        <w:t xml:space="preserve"> 5.10</w:t>
      </w:r>
      <w:r w:rsidR="002C664B" w:rsidRPr="00F46FCB">
        <w:rPr>
          <w:rFonts w:ascii="Arial" w:hAnsi="Arial" w:cs="Arial"/>
          <w:b/>
          <w:sz w:val="24"/>
          <w:szCs w:val="24"/>
        </w:rPr>
        <w:t>: N</w:t>
      </w:r>
      <w:r w:rsidRPr="00F46FCB">
        <w:rPr>
          <w:rFonts w:ascii="Arial" w:hAnsi="Arial" w:cs="Arial"/>
          <w:b/>
          <w:sz w:val="24"/>
          <w:szCs w:val="24"/>
        </w:rPr>
        <w:t xml:space="preserve">umber of consultations from </w:t>
      </w:r>
      <w:r w:rsidR="00EF01E0" w:rsidRPr="00F46FCB">
        <w:rPr>
          <w:rFonts w:ascii="Arial" w:hAnsi="Arial" w:cs="Arial"/>
          <w:b/>
          <w:sz w:val="24"/>
          <w:szCs w:val="24"/>
        </w:rPr>
        <w:t xml:space="preserve">April </w:t>
      </w:r>
      <w:r w:rsidRPr="00F46FCB">
        <w:rPr>
          <w:rFonts w:ascii="Arial" w:hAnsi="Arial" w:cs="Arial"/>
          <w:b/>
          <w:sz w:val="24"/>
          <w:szCs w:val="24"/>
        </w:rPr>
        <w:t>2018</w:t>
      </w:r>
      <w:r w:rsidR="00EF01E0" w:rsidRPr="00F46FCB">
        <w:rPr>
          <w:rFonts w:ascii="Arial" w:hAnsi="Arial" w:cs="Arial"/>
          <w:b/>
          <w:sz w:val="24"/>
          <w:szCs w:val="24"/>
        </w:rPr>
        <w:t xml:space="preserve"> </w:t>
      </w:r>
      <w:r w:rsidRPr="00F46FCB">
        <w:rPr>
          <w:rFonts w:ascii="Arial" w:hAnsi="Arial" w:cs="Arial"/>
          <w:b/>
          <w:sz w:val="24"/>
          <w:szCs w:val="24"/>
        </w:rPr>
        <w:t>to August 202</w:t>
      </w:r>
      <w:r w:rsidR="00CA4845" w:rsidRPr="00F46FCB">
        <w:rPr>
          <w:rFonts w:ascii="Arial" w:hAnsi="Arial" w:cs="Arial"/>
          <w:b/>
          <w:sz w:val="24"/>
          <w:szCs w:val="24"/>
        </w:rPr>
        <w:t>1</w:t>
      </w:r>
    </w:p>
    <w:p w14:paraId="658FE25C" w14:textId="3FA46998" w:rsidR="009733A6" w:rsidRDefault="009733A6" w:rsidP="00DC54F7">
      <w:pPr>
        <w:spacing w:after="0" w:line="240" w:lineRule="auto"/>
        <w:jc w:val="both"/>
        <w:rPr>
          <w:rFonts w:ascii="Arial" w:hAnsi="Arial" w:cs="Arial"/>
          <w:b/>
        </w:rPr>
      </w:pPr>
      <w:r>
        <w:rPr>
          <w:noProof/>
          <w:lang w:eastAsia="en-GB"/>
        </w:rPr>
        <w:drawing>
          <wp:inline distT="0" distB="0" distL="0" distR="0" wp14:anchorId="2173C4DC" wp14:editId="53E6187A">
            <wp:extent cx="5619750" cy="2743200"/>
            <wp:effectExtent l="0" t="0" r="0" b="0"/>
            <wp:docPr id="46" name="Chart 4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A87F85C-201E-452C-AA30-2D945C9E74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1286D416" w14:textId="6D02A89A" w:rsidR="00313D10" w:rsidRPr="00727B0C" w:rsidRDefault="00313D10" w:rsidP="00DC54F7">
      <w:pPr>
        <w:spacing w:after="240" w:line="240" w:lineRule="auto"/>
        <w:jc w:val="both"/>
        <w:rPr>
          <w:rFonts w:ascii="Arial" w:hAnsi="Arial" w:cs="Arial"/>
          <w:b/>
        </w:rPr>
      </w:pPr>
    </w:p>
    <w:p w14:paraId="34EA0DCB" w14:textId="39B609B1" w:rsidR="000F444F" w:rsidRPr="00F46FCB" w:rsidRDefault="000F444F" w:rsidP="00DC54F7">
      <w:pPr>
        <w:spacing w:after="0" w:line="240" w:lineRule="auto"/>
        <w:contextualSpacing/>
        <w:jc w:val="both"/>
        <w:rPr>
          <w:rFonts w:ascii="Arial" w:hAnsi="Arial" w:cs="Arial"/>
          <w:sz w:val="24"/>
          <w:szCs w:val="24"/>
        </w:rPr>
      </w:pPr>
      <w:r w:rsidRPr="00F46FCB">
        <w:rPr>
          <w:rFonts w:ascii="Arial" w:hAnsi="Arial" w:cs="Arial"/>
          <w:sz w:val="24"/>
          <w:szCs w:val="24"/>
        </w:rPr>
        <w:t xml:space="preserve">Based upon the level of provision in 2018 to 2019 and 2019 to 2020, </w:t>
      </w:r>
      <w:r w:rsidRPr="00F46FCB">
        <w:rPr>
          <w:rFonts w:ascii="Arial" w:hAnsi="Arial" w:cs="Arial"/>
          <w:bCs/>
          <w:sz w:val="24"/>
          <w:szCs w:val="24"/>
        </w:rPr>
        <w:t>Cardiff and Vale University Health Board</w:t>
      </w:r>
      <w:r w:rsidRPr="00F46FCB">
        <w:rPr>
          <w:rFonts w:ascii="Arial" w:hAnsi="Arial" w:cs="Arial"/>
          <w:sz w:val="24"/>
          <w:szCs w:val="24"/>
        </w:rPr>
        <w:t xml:space="preserve"> is satisfied that there is sufficient capacity within existing contractors to provide more </w:t>
      </w:r>
      <w:r w:rsidR="00E9056A" w:rsidRPr="00F46FCB">
        <w:rPr>
          <w:rFonts w:ascii="Arial" w:hAnsi="Arial" w:cs="Arial"/>
          <w:sz w:val="24"/>
          <w:szCs w:val="24"/>
        </w:rPr>
        <w:t>s</w:t>
      </w:r>
      <w:r w:rsidRPr="00F46FCB">
        <w:rPr>
          <w:rFonts w:ascii="Arial" w:hAnsi="Arial" w:cs="Arial"/>
          <w:sz w:val="24"/>
          <w:szCs w:val="24"/>
        </w:rPr>
        <w:t xml:space="preserve">moking </w:t>
      </w:r>
      <w:r w:rsidR="00E9056A" w:rsidRPr="00F46FCB">
        <w:rPr>
          <w:rFonts w:ascii="Arial" w:hAnsi="Arial" w:cs="Arial"/>
          <w:sz w:val="24"/>
          <w:szCs w:val="24"/>
        </w:rPr>
        <w:t>c</w:t>
      </w:r>
      <w:r w:rsidRPr="00F46FCB">
        <w:rPr>
          <w:rFonts w:ascii="Arial" w:hAnsi="Arial" w:cs="Arial"/>
          <w:sz w:val="24"/>
          <w:szCs w:val="24"/>
        </w:rPr>
        <w:t xml:space="preserve">essation </w:t>
      </w:r>
      <w:r w:rsidR="00E9056A" w:rsidRPr="00F46FCB">
        <w:rPr>
          <w:rFonts w:ascii="Arial" w:hAnsi="Arial" w:cs="Arial"/>
          <w:sz w:val="24"/>
          <w:szCs w:val="24"/>
        </w:rPr>
        <w:t>l</w:t>
      </w:r>
      <w:r w:rsidRPr="00F46FCB">
        <w:rPr>
          <w:rFonts w:ascii="Arial" w:hAnsi="Arial" w:cs="Arial"/>
          <w:sz w:val="24"/>
          <w:szCs w:val="24"/>
        </w:rPr>
        <w:t>evel 3 consultations.</w:t>
      </w:r>
    </w:p>
    <w:p w14:paraId="121FEBB5" w14:textId="77777777" w:rsidR="000F444F" w:rsidRPr="00F46FCB" w:rsidRDefault="000F444F" w:rsidP="00DC54F7">
      <w:pPr>
        <w:spacing w:after="0" w:line="240" w:lineRule="auto"/>
        <w:contextualSpacing/>
        <w:jc w:val="both"/>
        <w:rPr>
          <w:rFonts w:ascii="Arial" w:hAnsi="Arial" w:cs="Arial"/>
          <w:sz w:val="24"/>
          <w:szCs w:val="24"/>
        </w:rPr>
      </w:pPr>
    </w:p>
    <w:p w14:paraId="6DA232C0" w14:textId="38833F33" w:rsidR="000F444F" w:rsidRPr="00F46FCB" w:rsidRDefault="000F444F" w:rsidP="00DC54F7">
      <w:pPr>
        <w:spacing w:after="0" w:line="240" w:lineRule="auto"/>
        <w:jc w:val="both"/>
        <w:rPr>
          <w:rFonts w:ascii="Arial" w:hAnsi="Arial" w:cs="Arial"/>
          <w:sz w:val="24"/>
          <w:szCs w:val="24"/>
        </w:rPr>
      </w:pPr>
      <w:r w:rsidRPr="00F46FCB">
        <w:rPr>
          <w:rFonts w:ascii="Arial" w:hAnsi="Arial" w:cs="Arial"/>
          <w:sz w:val="24"/>
          <w:szCs w:val="24"/>
        </w:rPr>
        <w:t xml:space="preserve">From the data available for 2020 to 2021 there is no evidence to support a different conclusion.  </w:t>
      </w:r>
      <w:r w:rsidR="00D15F82" w:rsidRPr="00F46FCB">
        <w:rPr>
          <w:rFonts w:ascii="Arial" w:hAnsi="Arial" w:cs="Arial"/>
          <w:sz w:val="24"/>
          <w:szCs w:val="24"/>
        </w:rPr>
        <w:t>However, it is acknowledged that the Coronavirus (COVID-19) pandemic will have affected the provision and need for this service during 2020 to 2021. Further analysis is undertaken within the cluster chapters.</w:t>
      </w:r>
    </w:p>
    <w:p w14:paraId="329260AB" w14:textId="77777777" w:rsidR="009733A6" w:rsidRPr="00F46FCB" w:rsidRDefault="009733A6" w:rsidP="00DC54F7">
      <w:pPr>
        <w:spacing w:after="240" w:line="240" w:lineRule="auto"/>
        <w:jc w:val="both"/>
        <w:rPr>
          <w:rFonts w:ascii="Arial" w:hAnsi="Arial" w:cs="Arial"/>
          <w:b/>
          <w:sz w:val="24"/>
          <w:szCs w:val="24"/>
        </w:rPr>
      </w:pPr>
    </w:p>
    <w:p w14:paraId="5B267727" w14:textId="5B20CC01" w:rsidR="00FA79EB" w:rsidRPr="00F46FCB" w:rsidRDefault="00FA79EB" w:rsidP="00DC54F7">
      <w:pPr>
        <w:spacing w:after="240" w:line="240" w:lineRule="auto"/>
        <w:jc w:val="both"/>
        <w:rPr>
          <w:rFonts w:ascii="Arial" w:hAnsi="Arial" w:cs="Arial"/>
          <w:b/>
          <w:sz w:val="24"/>
          <w:szCs w:val="24"/>
        </w:rPr>
      </w:pPr>
      <w:r w:rsidRPr="00F46FCB">
        <w:rPr>
          <w:rFonts w:ascii="Arial" w:hAnsi="Arial" w:cs="Arial"/>
          <w:b/>
          <w:sz w:val="24"/>
          <w:szCs w:val="24"/>
        </w:rPr>
        <w:t xml:space="preserve">5.1.10 Access to the </w:t>
      </w:r>
      <w:r w:rsidR="00C95944" w:rsidRPr="00F46FCB">
        <w:rPr>
          <w:rFonts w:ascii="Arial" w:hAnsi="Arial" w:cs="Arial"/>
          <w:b/>
          <w:sz w:val="24"/>
          <w:szCs w:val="24"/>
        </w:rPr>
        <w:t>F</w:t>
      </w:r>
      <w:r w:rsidRPr="00F46FCB">
        <w:rPr>
          <w:rFonts w:ascii="Arial" w:hAnsi="Arial" w:cs="Arial"/>
          <w:b/>
          <w:sz w:val="24"/>
          <w:szCs w:val="24"/>
        </w:rPr>
        <w:t xml:space="preserve">lu </w:t>
      </w:r>
      <w:r w:rsidR="00C95944" w:rsidRPr="00F46FCB">
        <w:rPr>
          <w:rFonts w:ascii="Arial" w:hAnsi="Arial" w:cs="Arial"/>
          <w:b/>
          <w:sz w:val="24"/>
          <w:szCs w:val="24"/>
        </w:rPr>
        <w:t>V</w:t>
      </w:r>
      <w:r w:rsidRPr="00F46FCB">
        <w:rPr>
          <w:rFonts w:ascii="Arial" w:hAnsi="Arial" w:cs="Arial"/>
          <w:b/>
          <w:sz w:val="24"/>
          <w:szCs w:val="24"/>
        </w:rPr>
        <w:t xml:space="preserve">accination </w:t>
      </w:r>
      <w:r w:rsidR="00C95944" w:rsidRPr="00F46FCB">
        <w:rPr>
          <w:rFonts w:ascii="Arial" w:hAnsi="Arial" w:cs="Arial"/>
          <w:b/>
          <w:sz w:val="24"/>
          <w:szCs w:val="24"/>
        </w:rPr>
        <w:t>E</w:t>
      </w:r>
      <w:r w:rsidRPr="00F46FCB">
        <w:rPr>
          <w:rFonts w:ascii="Arial" w:hAnsi="Arial" w:cs="Arial"/>
          <w:b/>
          <w:sz w:val="24"/>
          <w:szCs w:val="24"/>
        </w:rPr>
        <w:t xml:space="preserve">nhanced </w:t>
      </w:r>
      <w:r w:rsidR="00C95944" w:rsidRPr="00F46FCB">
        <w:rPr>
          <w:rFonts w:ascii="Arial" w:hAnsi="Arial" w:cs="Arial"/>
          <w:b/>
          <w:sz w:val="24"/>
          <w:szCs w:val="24"/>
        </w:rPr>
        <w:t>S</w:t>
      </w:r>
      <w:r w:rsidRPr="00F46FCB">
        <w:rPr>
          <w:rFonts w:ascii="Arial" w:hAnsi="Arial" w:cs="Arial"/>
          <w:b/>
          <w:sz w:val="24"/>
          <w:szCs w:val="24"/>
        </w:rPr>
        <w:t>ervice</w:t>
      </w:r>
    </w:p>
    <w:p w14:paraId="6DB5F4F2" w14:textId="5578C698" w:rsidR="00FA79EB" w:rsidRPr="00F46FCB" w:rsidRDefault="00AF6E8C" w:rsidP="00DC54F7">
      <w:pPr>
        <w:spacing w:after="240" w:line="240" w:lineRule="auto"/>
        <w:jc w:val="both"/>
        <w:rPr>
          <w:rFonts w:ascii="Arial" w:hAnsi="Arial" w:cs="Arial"/>
          <w:sz w:val="24"/>
          <w:szCs w:val="24"/>
        </w:rPr>
      </w:pPr>
      <w:r w:rsidRPr="00F46FCB">
        <w:rPr>
          <w:rFonts w:ascii="Arial" w:hAnsi="Arial" w:cs="Arial"/>
          <w:sz w:val="24"/>
          <w:szCs w:val="24"/>
        </w:rPr>
        <w:t xml:space="preserve">The </w:t>
      </w:r>
      <w:r w:rsidR="00C95944" w:rsidRPr="00F46FCB">
        <w:rPr>
          <w:rFonts w:ascii="Arial" w:hAnsi="Arial" w:cs="Arial"/>
          <w:sz w:val="24"/>
          <w:szCs w:val="24"/>
        </w:rPr>
        <w:t>F</w:t>
      </w:r>
      <w:r w:rsidRPr="00F46FCB">
        <w:rPr>
          <w:rFonts w:ascii="Arial" w:hAnsi="Arial" w:cs="Arial"/>
          <w:sz w:val="24"/>
          <w:szCs w:val="24"/>
        </w:rPr>
        <w:t xml:space="preserve">lu </w:t>
      </w:r>
      <w:r w:rsidR="00C95944" w:rsidRPr="00F46FCB">
        <w:rPr>
          <w:rFonts w:ascii="Arial" w:hAnsi="Arial" w:cs="Arial"/>
          <w:sz w:val="24"/>
          <w:szCs w:val="24"/>
        </w:rPr>
        <w:t>V</w:t>
      </w:r>
      <w:r w:rsidRPr="00F46FCB">
        <w:rPr>
          <w:rFonts w:ascii="Arial" w:hAnsi="Arial" w:cs="Arial"/>
          <w:sz w:val="24"/>
          <w:szCs w:val="24"/>
        </w:rPr>
        <w:t xml:space="preserve">accination </w:t>
      </w:r>
      <w:r w:rsidR="00C95944" w:rsidRPr="00F46FCB">
        <w:rPr>
          <w:rFonts w:ascii="Arial" w:hAnsi="Arial" w:cs="Arial"/>
          <w:sz w:val="24"/>
          <w:szCs w:val="24"/>
        </w:rPr>
        <w:t>E</w:t>
      </w:r>
      <w:r w:rsidRPr="00F46FCB">
        <w:rPr>
          <w:rFonts w:ascii="Arial" w:hAnsi="Arial" w:cs="Arial"/>
          <w:sz w:val="24"/>
          <w:szCs w:val="24"/>
        </w:rPr>
        <w:t xml:space="preserve">nhanced </w:t>
      </w:r>
      <w:r w:rsidR="00C95944" w:rsidRPr="00F46FCB">
        <w:rPr>
          <w:rFonts w:ascii="Arial" w:hAnsi="Arial" w:cs="Arial"/>
          <w:sz w:val="24"/>
          <w:szCs w:val="24"/>
        </w:rPr>
        <w:t>S</w:t>
      </w:r>
      <w:r w:rsidRPr="00F46FCB">
        <w:rPr>
          <w:rFonts w:ascii="Arial" w:hAnsi="Arial" w:cs="Arial"/>
          <w:sz w:val="24"/>
          <w:szCs w:val="24"/>
        </w:rPr>
        <w:t xml:space="preserve">ervice </w:t>
      </w:r>
      <w:r w:rsidR="007229B1" w:rsidRPr="00F46FCB">
        <w:rPr>
          <w:rFonts w:ascii="Arial" w:hAnsi="Arial" w:cs="Arial"/>
          <w:sz w:val="24"/>
          <w:szCs w:val="24"/>
        </w:rPr>
        <w:t>was commissioned</w:t>
      </w:r>
      <w:r w:rsidRPr="00F46FCB">
        <w:rPr>
          <w:rFonts w:ascii="Arial" w:hAnsi="Arial" w:cs="Arial"/>
          <w:sz w:val="24"/>
          <w:szCs w:val="24"/>
        </w:rPr>
        <w:t xml:space="preserve"> in 2012. </w:t>
      </w:r>
      <w:r w:rsidR="00FA79EB" w:rsidRPr="00F46FCB">
        <w:rPr>
          <w:rFonts w:ascii="Arial" w:hAnsi="Arial" w:cs="Arial"/>
          <w:sz w:val="24"/>
          <w:szCs w:val="24"/>
        </w:rPr>
        <w:t>This service allows pharmacies to provide influenza immunisation for those patients in nationally and locally agreed at risk groups.  It supports the wider provision of influenza immunisation and aims to increase the proportion of at risk individuals who receive immunisation th</w:t>
      </w:r>
      <w:r w:rsidR="00A878E9" w:rsidRPr="00F46FCB">
        <w:rPr>
          <w:rFonts w:ascii="Arial" w:hAnsi="Arial" w:cs="Arial"/>
          <w:sz w:val="24"/>
          <w:szCs w:val="24"/>
        </w:rPr>
        <w:t>u</w:t>
      </w:r>
      <w:r w:rsidR="00FA79EB" w:rsidRPr="00F46FCB">
        <w:rPr>
          <w:rFonts w:ascii="Arial" w:hAnsi="Arial" w:cs="Arial"/>
          <w:sz w:val="24"/>
          <w:szCs w:val="24"/>
        </w:rPr>
        <w:t>s helping to reduce morbidity and mortality.</w:t>
      </w:r>
    </w:p>
    <w:p w14:paraId="4BF2AF2C" w14:textId="72852624" w:rsidR="00B072AE" w:rsidRPr="00F46FCB" w:rsidRDefault="00B072AE" w:rsidP="00DC54F7">
      <w:pPr>
        <w:spacing w:after="240" w:line="240" w:lineRule="auto"/>
        <w:jc w:val="both"/>
        <w:rPr>
          <w:rFonts w:ascii="Arial" w:hAnsi="Arial" w:cs="Arial"/>
          <w:sz w:val="24"/>
          <w:szCs w:val="24"/>
        </w:rPr>
      </w:pPr>
      <w:r w:rsidRPr="00F46FCB">
        <w:rPr>
          <w:rFonts w:ascii="Arial" w:hAnsi="Arial" w:cs="Arial"/>
          <w:sz w:val="24"/>
          <w:szCs w:val="24"/>
        </w:rPr>
        <w:t>In 2020 to 2021, 88 pharmacies were commissioned by Cardiff and Vale University Health Board to provide the flu vaccination enhanced service.</w:t>
      </w:r>
    </w:p>
    <w:p w14:paraId="7882E9B0" w14:textId="2576C0FC" w:rsidR="00FA79EB" w:rsidRPr="00F46FCB" w:rsidRDefault="00FA79EB" w:rsidP="00DC54F7">
      <w:pPr>
        <w:spacing w:after="240" w:line="240" w:lineRule="auto"/>
        <w:contextualSpacing/>
        <w:jc w:val="both"/>
        <w:rPr>
          <w:rFonts w:ascii="Arial" w:hAnsi="Arial" w:cs="Arial"/>
          <w:sz w:val="24"/>
          <w:szCs w:val="24"/>
        </w:rPr>
      </w:pPr>
      <w:r w:rsidRPr="00F46FCB">
        <w:rPr>
          <w:rFonts w:ascii="Arial" w:hAnsi="Arial" w:cs="Arial"/>
          <w:sz w:val="24"/>
          <w:szCs w:val="24"/>
        </w:rPr>
        <w:t>In 2018</w:t>
      </w:r>
      <w:r w:rsidR="00D31B9C" w:rsidRPr="00F46FCB">
        <w:rPr>
          <w:rFonts w:ascii="Arial" w:hAnsi="Arial" w:cs="Arial"/>
          <w:sz w:val="24"/>
          <w:szCs w:val="24"/>
        </w:rPr>
        <w:t xml:space="preserve"> to 201</w:t>
      </w:r>
      <w:r w:rsidRPr="00F46FCB">
        <w:rPr>
          <w:rFonts w:ascii="Arial" w:hAnsi="Arial" w:cs="Arial"/>
          <w:sz w:val="24"/>
          <w:szCs w:val="24"/>
        </w:rPr>
        <w:t>9</w:t>
      </w:r>
      <w:r w:rsidR="00D31B9C" w:rsidRPr="00F46FCB">
        <w:rPr>
          <w:rFonts w:ascii="Arial" w:hAnsi="Arial" w:cs="Arial"/>
          <w:sz w:val="24"/>
          <w:szCs w:val="24"/>
        </w:rPr>
        <w:t>,</w:t>
      </w:r>
      <w:r w:rsidRPr="00F46FCB">
        <w:rPr>
          <w:rFonts w:ascii="Arial" w:hAnsi="Arial" w:cs="Arial"/>
          <w:sz w:val="24"/>
          <w:szCs w:val="24"/>
        </w:rPr>
        <w:t xml:space="preserve"> </w:t>
      </w:r>
      <w:r w:rsidR="00673677" w:rsidRPr="00F46FCB">
        <w:rPr>
          <w:rFonts w:ascii="Arial" w:hAnsi="Arial" w:cs="Arial"/>
          <w:sz w:val="24"/>
          <w:szCs w:val="24"/>
        </w:rPr>
        <w:t>8</w:t>
      </w:r>
      <w:r w:rsidR="00CE33AB" w:rsidRPr="00F46FCB">
        <w:rPr>
          <w:rFonts w:ascii="Arial" w:hAnsi="Arial" w:cs="Arial"/>
          <w:sz w:val="24"/>
          <w:szCs w:val="24"/>
        </w:rPr>
        <w:t>8</w:t>
      </w:r>
      <w:r w:rsidRPr="00F46FCB">
        <w:rPr>
          <w:rFonts w:ascii="Arial" w:hAnsi="Arial" w:cs="Arial"/>
          <w:sz w:val="24"/>
          <w:szCs w:val="24"/>
        </w:rPr>
        <w:t xml:space="preserve"> pharmacies provided a total of </w:t>
      </w:r>
      <w:r w:rsidR="00CE33AB" w:rsidRPr="00F46FCB">
        <w:rPr>
          <w:rFonts w:ascii="Arial" w:hAnsi="Arial" w:cs="Arial"/>
          <w:sz w:val="24"/>
          <w:szCs w:val="24"/>
        </w:rPr>
        <w:t>8</w:t>
      </w:r>
      <w:r w:rsidR="00D31B9C" w:rsidRPr="00F46FCB">
        <w:rPr>
          <w:rFonts w:ascii="Arial" w:hAnsi="Arial" w:cs="Arial"/>
          <w:sz w:val="24"/>
          <w:szCs w:val="24"/>
        </w:rPr>
        <w:t>,</w:t>
      </w:r>
      <w:r w:rsidR="00DF58B4" w:rsidRPr="00F46FCB">
        <w:rPr>
          <w:rFonts w:ascii="Arial" w:hAnsi="Arial" w:cs="Arial"/>
          <w:sz w:val="24"/>
          <w:szCs w:val="24"/>
        </w:rPr>
        <w:t>274</w:t>
      </w:r>
      <w:r w:rsidR="00DA63FC" w:rsidRPr="00F46FCB">
        <w:rPr>
          <w:rFonts w:ascii="Arial" w:hAnsi="Arial" w:cs="Arial"/>
          <w:sz w:val="24"/>
          <w:szCs w:val="24"/>
        </w:rPr>
        <w:t xml:space="preserve"> </w:t>
      </w:r>
      <w:r w:rsidRPr="00F46FCB">
        <w:rPr>
          <w:rFonts w:ascii="Arial" w:hAnsi="Arial" w:cs="Arial"/>
          <w:sz w:val="24"/>
          <w:szCs w:val="24"/>
        </w:rPr>
        <w:t>vaccinations over the flu season</w:t>
      </w:r>
      <w:r w:rsidR="00A878E9" w:rsidRPr="00F46FCB">
        <w:rPr>
          <w:rFonts w:ascii="Arial" w:hAnsi="Arial" w:cs="Arial"/>
          <w:sz w:val="24"/>
          <w:szCs w:val="24"/>
        </w:rPr>
        <w:t xml:space="preserve"> (September to March)</w:t>
      </w:r>
      <w:r w:rsidRPr="00F46FCB">
        <w:rPr>
          <w:rFonts w:ascii="Arial" w:hAnsi="Arial" w:cs="Arial"/>
          <w:sz w:val="24"/>
          <w:szCs w:val="24"/>
        </w:rPr>
        <w:t>. The figure below shows the total number of vaccinations claimed under the service by pharmacies in the health board’s area in 2018</w:t>
      </w:r>
      <w:r w:rsidR="00D31B9C" w:rsidRPr="00F46FCB">
        <w:rPr>
          <w:rFonts w:ascii="Arial" w:hAnsi="Arial" w:cs="Arial"/>
          <w:sz w:val="24"/>
          <w:szCs w:val="24"/>
        </w:rPr>
        <w:t xml:space="preserve"> to 20</w:t>
      </w:r>
      <w:r w:rsidRPr="00F46FCB">
        <w:rPr>
          <w:rFonts w:ascii="Arial" w:hAnsi="Arial" w:cs="Arial"/>
          <w:sz w:val="24"/>
          <w:szCs w:val="24"/>
        </w:rPr>
        <w:t>19.</w:t>
      </w:r>
    </w:p>
    <w:p w14:paraId="514BF5DB" w14:textId="63E9A36B" w:rsidR="00FA79EB" w:rsidRDefault="00FA79EB" w:rsidP="00DC54F7">
      <w:pPr>
        <w:spacing w:after="240" w:line="240" w:lineRule="auto"/>
        <w:contextualSpacing/>
        <w:jc w:val="both"/>
        <w:rPr>
          <w:rFonts w:ascii="Arial" w:hAnsi="Arial" w:cs="Arial"/>
          <w:sz w:val="24"/>
          <w:szCs w:val="24"/>
        </w:rPr>
      </w:pPr>
    </w:p>
    <w:p w14:paraId="152F1D4F" w14:textId="4B842695" w:rsidR="00F46FCB" w:rsidRDefault="00F46FCB" w:rsidP="00DC54F7">
      <w:pPr>
        <w:spacing w:after="240" w:line="240" w:lineRule="auto"/>
        <w:contextualSpacing/>
        <w:jc w:val="both"/>
        <w:rPr>
          <w:rFonts w:ascii="Arial" w:hAnsi="Arial" w:cs="Arial"/>
          <w:sz w:val="24"/>
          <w:szCs w:val="24"/>
        </w:rPr>
      </w:pPr>
    </w:p>
    <w:p w14:paraId="27C8F587" w14:textId="637FF5E3" w:rsidR="00F46FCB" w:rsidRDefault="00F46FCB" w:rsidP="00DC54F7">
      <w:pPr>
        <w:spacing w:after="240" w:line="240" w:lineRule="auto"/>
        <w:contextualSpacing/>
        <w:jc w:val="both"/>
        <w:rPr>
          <w:rFonts w:ascii="Arial" w:hAnsi="Arial" w:cs="Arial"/>
          <w:sz w:val="24"/>
          <w:szCs w:val="24"/>
        </w:rPr>
      </w:pPr>
    </w:p>
    <w:p w14:paraId="3F08E7FF" w14:textId="53B8F601" w:rsidR="00F46FCB" w:rsidRDefault="00F46FCB" w:rsidP="00DC54F7">
      <w:pPr>
        <w:spacing w:after="240" w:line="240" w:lineRule="auto"/>
        <w:contextualSpacing/>
        <w:jc w:val="both"/>
        <w:rPr>
          <w:rFonts w:ascii="Arial" w:hAnsi="Arial" w:cs="Arial"/>
          <w:sz w:val="24"/>
          <w:szCs w:val="24"/>
        </w:rPr>
      </w:pPr>
    </w:p>
    <w:p w14:paraId="79C2726E" w14:textId="33ACDFA5" w:rsidR="00F46FCB" w:rsidRDefault="00F46FCB" w:rsidP="00DC54F7">
      <w:pPr>
        <w:spacing w:after="240" w:line="240" w:lineRule="auto"/>
        <w:contextualSpacing/>
        <w:jc w:val="both"/>
        <w:rPr>
          <w:rFonts w:ascii="Arial" w:hAnsi="Arial" w:cs="Arial"/>
          <w:sz w:val="24"/>
          <w:szCs w:val="24"/>
        </w:rPr>
      </w:pPr>
    </w:p>
    <w:p w14:paraId="0A0C962F" w14:textId="77777777" w:rsidR="00F46FCB" w:rsidRPr="00F46FCB" w:rsidRDefault="00F46FCB" w:rsidP="00DC54F7">
      <w:pPr>
        <w:spacing w:after="240" w:line="240" w:lineRule="auto"/>
        <w:contextualSpacing/>
        <w:jc w:val="both"/>
        <w:rPr>
          <w:rFonts w:ascii="Arial" w:hAnsi="Arial" w:cs="Arial"/>
          <w:sz w:val="24"/>
          <w:szCs w:val="24"/>
        </w:rPr>
      </w:pPr>
    </w:p>
    <w:p w14:paraId="5D54D07A" w14:textId="342CCAB0" w:rsidR="00AC6677" w:rsidRPr="00F46FCB" w:rsidRDefault="00FA79EB" w:rsidP="00DC54F7">
      <w:pPr>
        <w:spacing w:after="240" w:line="240" w:lineRule="auto"/>
        <w:contextualSpacing/>
        <w:jc w:val="both"/>
        <w:rPr>
          <w:rFonts w:ascii="Arial" w:hAnsi="Arial" w:cs="Arial"/>
          <w:b/>
          <w:sz w:val="24"/>
          <w:szCs w:val="24"/>
        </w:rPr>
      </w:pPr>
      <w:r w:rsidRPr="00F46FCB">
        <w:rPr>
          <w:rFonts w:ascii="Arial" w:hAnsi="Arial" w:cs="Arial"/>
          <w:b/>
          <w:sz w:val="24"/>
          <w:szCs w:val="24"/>
        </w:rPr>
        <w:lastRenderedPageBreak/>
        <w:t>Figure</w:t>
      </w:r>
      <w:r w:rsidR="00B31F33" w:rsidRPr="00F46FCB">
        <w:rPr>
          <w:rFonts w:ascii="Arial" w:hAnsi="Arial" w:cs="Arial"/>
          <w:b/>
          <w:sz w:val="24"/>
          <w:szCs w:val="24"/>
        </w:rPr>
        <w:t xml:space="preserve"> 5.11:</w:t>
      </w:r>
      <w:r w:rsidRPr="00F46FCB">
        <w:rPr>
          <w:rFonts w:ascii="Arial" w:hAnsi="Arial" w:cs="Arial"/>
          <w:b/>
          <w:sz w:val="24"/>
          <w:szCs w:val="24"/>
        </w:rPr>
        <w:t xml:space="preserve"> </w:t>
      </w:r>
      <w:r w:rsidR="00B31F33" w:rsidRPr="00F46FCB">
        <w:rPr>
          <w:rFonts w:ascii="Arial" w:hAnsi="Arial" w:cs="Arial"/>
          <w:b/>
          <w:sz w:val="24"/>
          <w:szCs w:val="24"/>
        </w:rPr>
        <w:t>N</w:t>
      </w:r>
      <w:r w:rsidRPr="00F46FCB">
        <w:rPr>
          <w:rFonts w:ascii="Arial" w:hAnsi="Arial" w:cs="Arial"/>
          <w:b/>
          <w:sz w:val="24"/>
          <w:szCs w:val="24"/>
        </w:rPr>
        <w:t>umber of flu vaccinations claimed in 2018</w:t>
      </w:r>
      <w:r w:rsidR="009B1F0F" w:rsidRPr="00F46FCB">
        <w:rPr>
          <w:rFonts w:ascii="Arial" w:hAnsi="Arial" w:cs="Arial"/>
          <w:b/>
          <w:sz w:val="24"/>
          <w:szCs w:val="24"/>
        </w:rPr>
        <w:t xml:space="preserve"> to 20</w:t>
      </w:r>
      <w:r w:rsidRPr="00F46FCB">
        <w:rPr>
          <w:rFonts w:ascii="Arial" w:hAnsi="Arial" w:cs="Arial"/>
          <w:b/>
          <w:sz w:val="24"/>
          <w:szCs w:val="24"/>
        </w:rPr>
        <w:t>19</w:t>
      </w:r>
    </w:p>
    <w:p w14:paraId="2BCBE717" w14:textId="27C941B4" w:rsidR="00AC6677" w:rsidRDefault="004816C1" w:rsidP="00DC54F7">
      <w:pPr>
        <w:spacing w:after="240" w:line="240" w:lineRule="auto"/>
        <w:contextualSpacing/>
        <w:jc w:val="both"/>
        <w:rPr>
          <w:rFonts w:ascii="Arial" w:hAnsi="Arial" w:cs="Arial"/>
          <w:b/>
        </w:rPr>
      </w:pPr>
      <w:r>
        <w:rPr>
          <w:noProof/>
          <w:lang w:eastAsia="en-GB"/>
        </w:rPr>
        <w:drawing>
          <wp:inline distT="0" distB="0" distL="0" distR="0" wp14:anchorId="6EEA4C69" wp14:editId="75721F9C">
            <wp:extent cx="5788550" cy="2743200"/>
            <wp:effectExtent l="0" t="0" r="3175" b="0"/>
            <wp:docPr id="230" name="Chart 23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A1136CB-B1DF-43BC-9FA7-B20E7FDD34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74CB2339" w14:textId="77777777" w:rsidR="00573EB1" w:rsidRDefault="00573EB1" w:rsidP="00DC54F7">
      <w:pPr>
        <w:spacing w:after="0" w:line="240" w:lineRule="auto"/>
        <w:jc w:val="both"/>
        <w:rPr>
          <w:rFonts w:ascii="Arial" w:hAnsi="Arial" w:cs="Arial"/>
          <w:b/>
          <w:sz w:val="24"/>
          <w:szCs w:val="24"/>
        </w:rPr>
      </w:pPr>
    </w:p>
    <w:p w14:paraId="5DA2E3CE" w14:textId="53E31E58" w:rsidR="00DF26CF" w:rsidRPr="00F46FCB" w:rsidRDefault="00DF26CF" w:rsidP="00DC54F7">
      <w:pPr>
        <w:spacing w:after="240" w:line="240" w:lineRule="auto"/>
        <w:contextualSpacing/>
        <w:jc w:val="both"/>
        <w:rPr>
          <w:rFonts w:ascii="Arial" w:hAnsi="Arial" w:cs="Arial"/>
          <w:sz w:val="24"/>
          <w:szCs w:val="24"/>
        </w:rPr>
      </w:pPr>
      <w:r w:rsidRPr="00F46FCB">
        <w:rPr>
          <w:rFonts w:ascii="Arial" w:hAnsi="Arial" w:cs="Arial"/>
          <w:sz w:val="24"/>
          <w:szCs w:val="24"/>
        </w:rPr>
        <w:t>In 2019</w:t>
      </w:r>
      <w:r w:rsidR="00A85D5F" w:rsidRPr="00F46FCB">
        <w:rPr>
          <w:rFonts w:ascii="Arial" w:hAnsi="Arial" w:cs="Arial"/>
          <w:sz w:val="24"/>
          <w:szCs w:val="24"/>
        </w:rPr>
        <w:t xml:space="preserve"> to 20</w:t>
      </w:r>
      <w:r w:rsidRPr="00F46FCB">
        <w:rPr>
          <w:rFonts w:ascii="Arial" w:hAnsi="Arial" w:cs="Arial"/>
          <w:sz w:val="24"/>
          <w:szCs w:val="24"/>
        </w:rPr>
        <w:t>20</w:t>
      </w:r>
      <w:r w:rsidR="009B1F0F" w:rsidRPr="00F46FCB">
        <w:rPr>
          <w:rFonts w:ascii="Arial" w:hAnsi="Arial" w:cs="Arial"/>
          <w:sz w:val="24"/>
          <w:szCs w:val="24"/>
        </w:rPr>
        <w:t>,</w:t>
      </w:r>
      <w:r w:rsidRPr="00F46FCB">
        <w:rPr>
          <w:rFonts w:ascii="Arial" w:hAnsi="Arial" w:cs="Arial"/>
          <w:sz w:val="24"/>
          <w:szCs w:val="24"/>
        </w:rPr>
        <w:t xml:space="preserve"> </w:t>
      </w:r>
      <w:r w:rsidR="00ED18C7" w:rsidRPr="00F46FCB">
        <w:rPr>
          <w:rFonts w:ascii="Arial" w:hAnsi="Arial" w:cs="Arial"/>
          <w:sz w:val="24"/>
          <w:szCs w:val="24"/>
        </w:rPr>
        <w:t>8</w:t>
      </w:r>
      <w:r w:rsidR="003959AB" w:rsidRPr="00F46FCB">
        <w:rPr>
          <w:rFonts w:ascii="Arial" w:hAnsi="Arial" w:cs="Arial"/>
          <w:sz w:val="24"/>
          <w:szCs w:val="24"/>
        </w:rPr>
        <w:t>6</w:t>
      </w:r>
      <w:r w:rsidRPr="00F46FCB">
        <w:rPr>
          <w:rFonts w:ascii="Arial" w:hAnsi="Arial" w:cs="Arial"/>
          <w:sz w:val="24"/>
          <w:szCs w:val="24"/>
        </w:rPr>
        <w:t xml:space="preserve"> of the pharmacies provided a total of</w:t>
      </w:r>
      <w:r w:rsidR="003959AB" w:rsidRPr="00F46FCB">
        <w:rPr>
          <w:rFonts w:ascii="Arial" w:hAnsi="Arial" w:cs="Arial"/>
          <w:sz w:val="24"/>
          <w:szCs w:val="24"/>
        </w:rPr>
        <w:t xml:space="preserve"> 9,164</w:t>
      </w:r>
      <w:r w:rsidRPr="00F46FCB">
        <w:rPr>
          <w:rFonts w:ascii="Arial" w:hAnsi="Arial" w:cs="Arial"/>
          <w:sz w:val="24"/>
          <w:szCs w:val="24"/>
        </w:rPr>
        <w:t xml:space="preserve"> vaccinations during the flu season. The figure below shows the total number of vaccinations claimed under the service by pharmacies in the health board’s area in 201</w:t>
      </w:r>
      <w:r w:rsidR="008B57AD" w:rsidRPr="00F46FCB">
        <w:rPr>
          <w:rFonts w:ascii="Arial" w:hAnsi="Arial" w:cs="Arial"/>
          <w:sz w:val="24"/>
          <w:szCs w:val="24"/>
        </w:rPr>
        <w:t>9</w:t>
      </w:r>
      <w:r w:rsidR="00AD60C4" w:rsidRPr="00F46FCB">
        <w:rPr>
          <w:rFonts w:ascii="Arial" w:hAnsi="Arial" w:cs="Arial"/>
          <w:sz w:val="24"/>
          <w:szCs w:val="24"/>
        </w:rPr>
        <w:t xml:space="preserve"> to 20</w:t>
      </w:r>
      <w:r w:rsidR="008B57AD" w:rsidRPr="00F46FCB">
        <w:rPr>
          <w:rFonts w:ascii="Arial" w:hAnsi="Arial" w:cs="Arial"/>
          <w:sz w:val="24"/>
          <w:szCs w:val="24"/>
        </w:rPr>
        <w:t>20</w:t>
      </w:r>
      <w:r w:rsidRPr="00F46FCB">
        <w:rPr>
          <w:rFonts w:ascii="Arial" w:hAnsi="Arial" w:cs="Arial"/>
          <w:sz w:val="24"/>
          <w:szCs w:val="24"/>
        </w:rPr>
        <w:t>.</w:t>
      </w:r>
    </w:p>
    <w:p w14:paraId="4D0A32AC" w14:textId="77777777" w:rsidR="00DF26CF" w:rsidRPr="00F46FCB" w:rsidRDefault="00DF26CF" w:rsidP="00DC54F7">
      <w:pPr>
        <w:spacing w:after="240" w:line="240" w:lineRule="auto"/>
        <w:contextualSpacing/>
        <w:jc w:val="both"/>
        <w:rPr>
          <w:rFonts w:ascii="Arial" w:hAnsi="Arial" w:cs="Arial"/>
          <w:sz w:val="24"/>
          <w:szCs w:val="24"/>
        </w:rPr>
      </w:pPr>
    </w:p>
    <w:p w14:paraId="1B46CC59" w14:textId="36F4BD4D" w:rsidR="00DF26CF" w:rsidRPr="00F46FCB" w:rsidRDefault="00DF26CF" w:rsidP="00DC54F7">
      <w:pPr>
        <w:spacing w:after="240" w:line="240" w:lineRule="auto"/>
        <w:contextualSpacing/>
        <w:jc w:val="both"/>
        <w:rPr>
          <w:rFonts w:ascii="Arial" w:hAnsi="Arial" w:cs="Arial"/>
          <w:b/>
          <w:sz w:val="24"/>
          <w:szCs w:val="24"/>
        </w:rPr>
      </w:pPr>
      <w:r w:rsidRPr="00F46FCB">
        <w:rPr>
          <w:rFonts w:ascii="Arial" w:hAnsi="Arial" w:cs="Arial"/>
          <w:b/>
          <w:sz w:val="24"/>
          <w:szCs w:val="24"/>
        </w:rPr>
        <w:t>Figure</w:t>
      </w:r>
      <w:r w:rsidR="00B31F33" w:rsidRPr="00F46FCB">
        <w:rPr>
          <w:rFonts w:ascii="Arial" w:hAnsi="Arial" w:cs="Arial"/>
          <w:b/>
          <w:sz w:val="24"/>
          <w:szCs w:val="24"/>
        </w:rPr>
        <w:t xml:space="preserve"> 5:12</w:t>
      </w:r>
      <w:r w:rsidR="00A5071D" w:rsidRPr="00F46FCB">
        <w:rPr>
          <w:rFonts w:ascii="Arial" w:hAnsi="Arial" w:cs="Arial"/>
          <w:b/>
          <w:sz w:val="24"/>
          <w:szCs w:val="24"/>
        </w:rPr>
        <w:t xml:space="preserve"> N</w:t>
      </w:r>
      <w:r w:rsidRPr="00F46FCB">
        <w:rPr>
          <w:rFonts w:ascii="Arial" w:hAnsi="Arial" w:cs="Arial"/>
          <w:b/>
          <w:sz w:val="24"/>
          <w:szCs w:val="24"/>
        </w:rPr>
        <w:t>umber of flu vaccinations claimed in 2019</w:t>
      </w:r>
      <w:r w:rsidR="0087009F" w:rsidRPr="00F46FCB">
        <w:rPr>
          <w:rFonts w:ascii="Arial" w:hAnsi="Arial" w:cs="Arial"/>
          <w:b/>
          <w:sz w:val="24"/>
          <w:szCs w:val="24"/>
        </w:rPr>
        <w:t xml:space="preserve"> to 2020</w:t>
      </w:r>
    </w:p>
    <w:p w14:paraId="44461AEE" w14:textId="27D0BA6C" w:rsidR="004F45E1" w:rsidRDefault="00540CF1" w:rsidP="00DC54F7">
      <w:pPr>
        <w:spacing w:after="240" w:line="240" w:lineRule="auto"/>
        <w:contextualSpacing/>
        <w:jc w:val="both"/>
        <w:rPr>
          <w:rFonts w:ascii="Arial" w:hAnsi="Arial" w:cs="Arial"/>
          <w:b/>
        </w:rPr>
      </w:pPr>
      <w:r>
        <w:rPr>
          <w:noProof/>
          <w:lang w:eastAsia="en-GB"/>
        </w:rPr>
        <w:drawing>
          <wp:inline distT="0" distB="0" distL="0" distR="0" wp14:anchorId="0D8C977B" wp14:editId="253850A4">
            <wp:extent cx="5766435" cy="2743200"/>
            <wp:effectExtent l="0" t="0" r="5715" b="0"/>
            <wp:docPr id="5" name="Chart 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D6AB73-EE89-4B4A-B726-45628194466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3C3BE887" w14:textId="77777777" w:rsidR="007E7CAE" w:rsidRDefault="007E7CAE" w:rsidP="00DC54F7">
      <w:pPr>
        <w:contextualSpacing/>
        <w:jc w:val="both"/>
        <w:rPr>
          <w:rFonts w:ascii="Arial" w:hAnsi="Arial" w:cs="Arial"/>
          <w:sz w:val="24"/>
          <w:szCs w:val="24"/>
        </w:rPr>
      </w:pPr>
    </w:p>
    <w:p w14:paraId="202F571D" w14:textId="46B22B82" w:rsidR="0073038B" w:rsidRPr="00F46FCB" w:rsidRDefault="0073038B" w:rsidP="00DC54F7">
      <w:pPr>
        <w:contextualSpacing/>
        <w:jc w:val="both"/>
        <w:rPr>
          <w:rFonts w:ascii="Arial" w:hAnsi="Arial" w:cs="Arial"/>
          <w:sz w:val="24"/>
          <w:szCs w:val="24"/>
        </w:rPr>
      </w:pPr>
      <w:r w:rsidRPr="00F46FCB">
        <w:rPr>
          <w:rFonts w:ascii="Arial" w:hAnsi="Arial" w:cs="Arial"/>
          <w:sz w:val="24"/>
          <w:szCs w:val="24"/>
        </w:rPr>
        <w:t>The map below shows the location of those pharmacies that provided the service in 2019 to 2020.</w:t>
      </w:r>
    </w:p>
    <w:p w14:paraId="5BDE8C33" w14:textId="39346BB8" w:rsidR="000A2E42" w:rsidRDefault="000A2E42" w:rsidP="00DC54F7">
      <w:pPr>
        <w:spacing w:after="240" w:line="240" w:lineRule="auto"/>
        <w:contextualSpacing/>
        <w:jc w:val="both"/>
        <w:rPr>
          <w:rFonts w:ascii="Arial" w:hAnsi="Arial" w:cs="Arial"/>
          <w:sz w:val="24"/>
          <w:szCs w:val="24"/>
        </w:rPr>
      </w:pPr>
    </w:p>
    <w:p w14:paraId="2B154BFC" w14:textId="6B10C9BA" w:rsidR="00F46FCB" w:rsidRDefault="00F46FCB" w:rsidP="00DC54F7">
      <w:pPr>
        <w:spacing w:after="240" w:line="240" w:lineRule="auto"/>
        <w:contextualSpacing/>
        <w:jc w:val="both"/>
        <w:rPr>
          <w:rFonts w:ascii="Arial" w:hAnsi="Arial" w:cs="Arial"/>
          <w:sz w:val="24"/>
          <w:szCs w:val="24"/>
        </w:rPr>
      </w:pPr>
    </w:p>
    <w:p w14:paraId="7E17D3D6" w14:textId="7326AEE7" w:rsidR="00F46FCB" w:rsidRDefault="00F46FCB" w:rsidP="00DC54F7">
      <w:pPr>
        <w:spacing w:after="240" w:line="240" w:lineRule="auto"/>
        <w:contextualSpacing/>
        <w:jc w:val="both"/>
        <w:rPr>
          <w:rFonts w:ascii="Arial" w:hAnsi="Arial" w:cs="Arial"/>
          <w:sz w:val="24"/>
          <w:szCs w:val="24"/>
        </w:rPr>
      </w:pPr>
    </w:p>
    <w:p w14:paraId="2E10BEFE" w14:textId="537BDF7A" w:rsidR="00F46FCB" w:rsidRDefault="00F46FCB" w:rsidP="00DC54F7">
      <w:pPr>
        <w:spacing w:after="240" w:line="240" w:lineRule="auto"/>
        <w:contextualSpacing/>
        <w:jc w:val="both"/>
        <w:rPr>
          <w:rFonts w:ascii="Arial" w:hAnsi="Arial" w:cs="Arial"/>
          <w:sz w:val="24"/>
          <w:szCs w:val="24"/>
        </w:rPr>
      </w:pPr>
    </w:p>
    <w:p w14:paraId="523936EB" w14:textId="77FCA8EA" w:rsidR="00F46FCB" w:rsidRDefault="00F46FCB" w:rsidP="00DC54F7">
      <w:pPr>
        <w:spacing w:after="240" w:line="240" w:lineRule="auto"/>
        <w:contextualSpacing/>
        <w:jc w:val="both"/>
        <w:rPr>
          <w:rFonts w:ascii="Arial" w:hAnsi="Arial" w:cs="Arial"/>
          <w:sz w:val="24"/>
          <w:szCs w:val="24"/>
        </w:rPr>
      </w:pPr>
    </w:p>
    <w:p w14:paraId="32E90727" w14:textId="615455C3" w:rsidR="007E7CAE" w:rsidRDefault="007E7CAE">
      <w:pPr>
        <w:rPr>
          <w:rFonts w:ascii="Arial" w:hAnsi="Arial" w:cs="Arial"/>
          <w:sz w:val="24"/>
          <w:szCs w:val="24"/>
        </w:rPr>
      </w:pPr>
      <w:r>
        <w:rPr>
          <w:rFonts w:ascii="Arial" w:hAnsi="Arial" w:cs="Arial"/>
          <w:sz w:val="24"/>
          <w:szCs w:val="24"/>
        </w:rPr>
        <w:br w:type="page"/>
      </w:r>
    </w:p>
    <w:p w14:paraId="32F2D121" w14:textId="7714EF90" w:rsidR="000A2E42" w:rsidRPr="00F46FCB" w:rsidRDefault="009C601A" w:rsidP="00DC54F7">
      <w:pPr>
        <w:contextualSpacing/>
        <w:jc w:val="both"/>
        <w:rPr>
          <w:rFonts w:ascii="Arial" w:hAnsi="Arial" w:cs="Arial"/>
          <w:b/>
          <w:sz w:val="24"/>
          <w:szCs w:val="24"/>
        </w:rPr>
      </w:pPr>
      <w:r w:rsidRPr="00F46FCB">
        <w:rPr>
          <w:rFonts w:ascii="Arial" w:hAnsi="Arial" w:cs="Arial"/>
          <w:b/>
          <w:sz w:val="24"/>
          <w:szCs w:val="24"/>
        </w:rPr>
        <w:lastRenderedPageBreak/>
        <w:t>Map 5.</w:t>
      </w:r>
      <w:r w:rsidR="0068344A" w:rsidRPr="00F46FCB">
        <w:rPr>
          <w:rFonts w:ascii="Arial" w:hAnsi="Arial" w:cs="Arial"/>
          <w:b/>
          <w:sz w:val="24"/>
          <w:szCs w:val="24"/>
        </w:rPr>
        <w:t>8</w:t>
      </w:r>
      <w:r w:rsidRPr="00F46FCB">
        <w:rPr>
          <w:rFonts w:ascii="Arial" w:hAnsi="Arial" w:cs="Arial"/>
          <w:b/>
          <w:sz w:val="24"/>
          <w:szCs w:val="24"/>
        </w:rPr>
        <w:t xml:space="preserve">: Location of pharmacies providing the </w:t>
      </w:r>
      <w:r w:rsidR="00C95944" w:rsidRPr="00F46FCB">
        <w:rPr>
          <w:rFonts w:ascii="Arial" w:hAnsi="Arial" w:cs="Arial"/>
          <w:b/>
          <w:sz w:val="24"/>
          <w:szCs w:val="24"/>
        </w:rPr>
        <w:t>F</w:t>
      </w:r>
      <w:r w:rsidRPr="00F46FCB">
        <w:rPr>
          <w:rFonts w:ascii="Arial" w:hAnsi="Arial" w:cs="Arial"/>
          <w:b/>
          <w:sz w:val="24"/>
          <w:szCs w:val="24"/>
        </w:rPr>
        <w:t xml:space="preserve">lu </w:t>
      </w:r>
      <w:r w:rsidR="00C95944" w:rsidRPr="00F46FCB">
        <w:rPr>
          <w:rFonts w:ascii="Arial" w:hAnsi="Arial" w:cs="Arial"/>
          <w:b/>
          <w:sz w:val="24"/>
          <w:szCs w:val="24"/>
        </w:rPr>
        <w:t>V</w:t>
      </w:r>
      <w:r w:rsidRPr="00F46FCB">
        <w:rPr>
          <w:rFonts w:ascii="Arial" w:hAnsi="Arial" w:cs="Arial"/>
          <w:b/>
          <w:sz w:val="24"/>
          <w:szCs w:val="24"/>
        </w:rPr>
        <w:t xml:space="preserve">accination </w:t>
      </w:r>
      <w:r w:rsidR="00C95944" w:rsidRPr="00F46FCB">
        <w:rPr>
          <w:rFonts w:ascii="Arial" w:hAnsi="Arial" w:cs="Arial"/>
          <w:b/>
          <w:sz w:val="24"/>
          <w:szCs w:val="24"/>
        </w:rPr>
        <w:t>E</w:t>
      </w:r>
      <w:r w:rsidRPr="00F46FCB">
        <w:rPr>
          <w:rFonts w:ascii="Arial" w:hAnsi="Arial" w:cs="Arial"/>
          <w:b/>
          <w:sz w:val="24"/>
          <w:szCs w:val="24"/>
        </w:rPr>
        <w:t xml:space="preserve">nhanced </w:t>
      </w:r>
      <w:r w:rsidR="00C95944" w:rsidRPr="00F46FCB">
        <w:rPr>
          <w:rFonts w:ascii="Arial" w:hAnsi="Arial" w:cs="Arial"/>
          <w:b/>
          <w:sz w:val="24"/>
          <w:szCs w:val="24"/>
        </w:rPr>
        <w:t>S</w:t>
      </w:r>
      <w:r w:rsidRPr="00F46FCB">
        <w:rPr>
          <w:rFonts w:ascii="Arial" w:hAnsi="Arial" w:cs="Arial"/>
          <w:b/>
          <w:sz w:val="24"/>
          <w:szCs w:val="24"/>
        </w:rPr>
        <w:t>ervice in 2019 to 2020</w:t>
      </w:r>
    </w:p>
    <w:p w14:paraId="1809209D" w14:textId="5EC6E784" w:rsidR="00F46FCB" w:rsidRDefault="000A2E42" w:rsidP="00DC54F7">
      <w:pPr>
        <w:spacing w:after="240" w:line="240" w:lineRule="auto"/>
        <w:contextualSpacing/>
        <w:jc w:val="both"/>
        <w:rPr>
          <w:rFonts w:ascii="Arial" w:hAnsi="Arial" w:cs="Arial"/>
        </w:rPr>
      </w:pPr>
      <w:r>
        <w:rPr>
          <w:noProof/>
          <w:lang w:eastAsia="en-GB"/>
        </w:rPr>
        <w:drawing>
          <wp:inline distT="0" distB="0" distL="0" distR="0" wp14:anchorId="20642542" wp14:editId="15DAE2AE">
            <wp:extent cx="5730615" cy="4051300"/>
            <wp:effectExtent l="0" t="0" r="3810" b="635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742084" cy="4059408"/>
                    </a:xfrm>
                    <a:prstGeom prst="rect">
                      <a:avLst/>
                    </a:prstGeom>
                    <a:noFill/>
                    <a:ln>
                      <a:noFill/>
                    </a:ln>
                  </pic:spPr>
                </pic:pic>
              </a:graphicData>
            </a:graphic>
          </wp:inline>
        </w:drawing>
      </w:r>
    </w:p>
    <w:p w14:paraId="14FEC829" w14:textId="7FE204FD" w:rsidR="00F42350" w:rsidRDefault="00F42350" w:rsidP="00DC54F7">
      <w:pPr>
        <w:spacing w:after="240" w:line="240" w:lineRule="auto"/>
        <w:contextualSpacing/>
        <w:jc w:val="both"/>
        <w:rPr>
          <w:rFonts w:ascii="Arial" w:hAnsi="Arial" w:cs="Arial"/>
        </w:rPr>
      </w:pPr>
      <w:r>
        <w:rPr>
          <w:noProof/>
          <w:lang w:eastAsia="en-GB"/>
        </w:rPr>
        <w:drawing>
          <wp:inline distT="0" distB="0" distL="0" distR="0" wp14:anchorId="12E8E880" wp14:editId="3DDE1D26">
            <wp:extent cx="5730775" cy="4216400"/>
            <wp:effectExtent l="0" t="0" r="381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757967" cy="4236406"/>
                    </a:xfrm>
                    <a:prstGeom prst="rect">
                      <a:avLst/>
                    </a:prstGeom>
                    <a:noFill/>
                    <a:ln>
                      <a:noFill/>
                    </a:ln>
                  </pic:spPr>
                </pic:pic>
              </a:graphicData>
            </a:graphic>
          </wp:inline>
        </w:drawing>
      </w:r>
    </w:p>
    <w:p w14:paraId="61B11FBA" w14:textId="6B5F8627" w:rsidR="005C7F24" w:rsidRPr="00F46FCB" w:rsidRDefault="005C7F24" w:rsidP="00DC54F7">
      <w:pPr>
        <w:spacing w:after="240"/>
        <w:jc w:val="both"/>
        <w:rPr>
          <w:rFonts w:ascii="Arial" w:hAnsi="Arial" w:cs="Arial"/>
          <w:sz w:val="24"/>
          <w:szCs w:val="24"/>
        </w:rPr>
      </w:pPr>
      <w:r w:rsidRPr="00F46FCB">
        <w:rPr>
          <w:rFonts w:ascii="Arial" w:hAnsi="Arial" w:cs="Arial"/>
          <w:sz w:val="24"/>
          <w:szCs w:val="24"/>
        </w:rPr>
        <w:lastRenderedPageBreak/>
        <w:t xml:space="preserve">The figure below compares provision of the service </w:t>
      </w:r>
      <w:r w:rsidR="00357B0B" w:rsidRPr="00F46FCB">
        <w:rPr>
          <w:rFonts w:ascii="Arial" w:hAnsi="Arial" w:cs="Arial"/>
          <w:sz w:val="24"/>
          <w:szCs w:val="24"/>
        </w:rPr>
        <w:t>over two f</w:t>
      </w:r>
      <w:r w:rsidR="001619BE" w:rsidRPr="00F46FCB">
        <w:rPr>
          <w:rFonts w:ascii="Arial" w:hAnsi="Arial" w:cs="Arial"/>
          <w:sz w:val="24"/>
          <w:szCs w:val="24"/>
        </w:rPr>
        <w:t>lu seasons</w:t>
      </w:r>
      <w:r w:rsidR="00684ABF" w:rsidRPr="00F46FCB">
        <w:rPr>
          <w:rFonts w:ascii="Arial" w:hAnsi="Arial" w:cs="Arial"/>
          <w:sz w:val="24"/>
          <w:szCs w:val="24"/>
        </w:rPr>
        <w:t>.</w:t>
      </w:r>
    </w:p>
    <w:p w14:paraId="41FC8246" w14:textId="62112FC7" w:rsidR="00684ABF" w:rsidRPr="00F46FCB" w:rsidRDefault="00D4302A" w:rsidP="00DC54F7">
      <w:pPr>
        <w:contextualSpacing/>
        <w:jc w:val="both"/>
        <w:rPr>
          <w:rFonts w:ascii="Arial" w:hAnsi="Arial" w:cs="Arial"/>
          <w:b/>
          <w:sz w:val="24"/>
          <w:szCs w:val="24"/>
        </w:rPr>
      </w:pPr>
      <w:r w:rsidRPr="00F46FCB">
        <w:rPr>
          <w:rFonts w:ascii="Arial" w:hAnsi="Arial" w:cs="Arial"/>
          <w:b/>
          <w:sz w:val="24"/>
          <w:szCs w:val="24"/>
        </w:rPr>
        <w:t>Figure 5.1</w:t>
      </w:r>
      <w:r w:rsidR="00A5071D" w:rsidRPr="00F46FCB">
        <w:rPr>
          <w:rFonts w:ascii="Arial" w:hAnsi="Arial" w:cs="Arial"/>
          <w:b/>
          <w:sz w:val="24"/>
          <w:szCs w:val="24"/>
        </w:rPr>
        <w:t>3</w:t>
      </w:r>
      <w:r w:rsidRPr="00F46FCB">
        <w:rPr>
          <w:rFonts w:ascii="Arial" w:hAnsi="Arial" w:cs="Arial"/>
          <w:b/>
          <w:sz w:val="24"/>
          <w:szCs w:val="24"/>
        </w:rPr>
        <w:t>: Number of vaccinations claimed each year f</w:t>
      </w:r>
      <w:r w:rsidR="00013B4B" w:rsidRPr="00F46FCB">
        <w:rPr>
          <w:rFonts w:ascii="Arial" w:hAnsi="Arial" w:cs="Arial"/>
          <w:b/>
          <w:sz w:val="24"/>
          <w:szCs w:val="24"/>
        </w:rPr>
        <w:t xml:space="preserve">or flu seasons </w:t>
      </w:r>
      <w:r w:rsidR="00C45408" w:rsidRPr="00F46FCB">
        <w:rPr>
          <w:rFonts w:ascii="Arial" w:hAnsi="Arial" w:cs="Arial"/>
          <w:b/>
          <w:sz w:val="24"/>
          <w:szCs w:val="24"/>
        </w:rPr>
        <w:t>2018 to 2019 and 2019 to 2020</w:t>
      </w:r>
    </w:p>
    <w:p w14:paraId="221C9CB9" w14:textId="7A755A56" w:rsidR="00684ABF" w:rsidRPr="00D4302A" w:rsidRDefault="00684ABF" w:rsidP="00DC54F7">
      <w:pPr>
        <w:contextualSpacing/>
        <w:jc w:val="both"/>
        <w:rPr>
          <w:rFonts w:ascii="Arial" w:hAnsi="Arial" w:cs="Arial"/>
          <w:b/>
        </w:rPr>
      </w:pPr>
      <w:r>
        <w:rPr>
          <w:noProof/>
          <w:lang w:eastAsia="en-GB"/>
        </w:rPr>
        <w:drawing>
          <wp:inline distT="0" distB="0" distL="0" distR="0" wp14:anchorId="0317809E" wp14:editId="0D4FAB1F">
            <wp:extent cx="5542059" cy="2743200"/>
            <wp:effectExtent l="0" t="0" r="1905" b="0"/>
            <wp:docPr id="237" name="Chart 23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6992D8B-2DAF-450D-8E3D-9A204AC4C4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7A434017" w14:textId="1B684F45" w:rsidR="005C7F24" w:rsidRDefault="005C7F24" w:rsidP="00DC54F7">
      <w:pPr>
        <w:spacing w:after="240" w:line="240" w:lineRule="auto"/>
        <w:contextualSpacing/>
        <w:jc w:val="both"/>
        <w:rPr>
          <w:rFonts w:ascii="Arial" w:hAnsi="Arial" w:cs="Arial"/>
        </w:rPr>
      </w:pPr>
    </w:p>
    <w:p w14:paraId="3C6FD090" w14:textId="04DDAEBD" w:rsidR="00FD5E14" w:rsidRPr="00F46FCB" w:rsidRDefault="00FD5E14" w:rsidP="00DC54F7">
      <w:pPr>
        <w:spacing w:after="0" w:line="240" w:lineRule="auto"/>
        <w:contextualSpacing/>
        <w:jc w:val="both"/>
        <w:rPr>
          <w:rFonts w:ascii="Arial" w:hAnsi="Arial" w:cs="Arial"/>
          <w:sz w:val="24"/>
          <w:szCs w:val="24"/>
        </w:rPr>
      </w:pPr>
      <w:r w:rsidRPr="00F46FCB">
        <w:rPr>
          <w:rFonts w:ascii="Arial" w:hAnsi="Arial" w:cs="Arial"/>
          <w:sz w:val="24"/>
          <w:szCs w:val="24"/>
        </w:rPr>
        <w:t xml:space="preserve">Based upon the level of provision in 2018 to 2019 and 2019 to 2020, </w:t>
      </w:r>
      <w:r w:rsidRPr="00F46FCB">
        <w:rPr>
          <w:rFonts w:ascii="Arial" w:hAnsi="Arial" w:cs="Arial"/>
          <w:bCs/>
          <w:sz w:val="24"/>
          <w:szCs w:val="24"/>
        </w:rPr>
        <w:t>Cardiff and Vale University Health Board</w:t>
      </w:r>
      <w:r w:rsidRPr="00F46FCB">
        <w:rPr>
          <w:rFonts w:ascii="Arial" w:hAnsi="Arial" w:cs="Arial"/>
          <w:sz w:val="24"/>
          <w:szCs w:val="24"/>
        </w:rPr>
        <w:t xml:space="preserve"> is satisfied that there is sufficient capacity within existing contractors to provide more flu vaccination consultations.</w:t>
      </w:r>
    </w:p>
    <w:p w14:paraId="28A1087E" w14:textId="77777777" w:rsidR="00FD5E14" w:rsidRPr="00F46FCB" w:rsidRDefault="00FD5E14" w:rsidP="00DC54F7">
      <w:pPr>
        <w:spacing w:after="0" w:line="240" w:lineRule="auto"/>
        <w:contextualSpacing/>
        <w:jc w:val="both"/>
        <w:rPr>
          <w:rFonts w:ascii="Arial" w:hAnsi="Arial" w:cs="Arial"/>
          <w:sz w:val="24"/>
          <w:szCs w:val="24"/>
        </w:rPr>
      </w:pPr>
    </w:p>
    <w:p w14:paraId="44CF9DFE" w14:textId="47854248" w:rsidR="00FD5E14" w:rsidRPr="00F46FCB" w:rsidRDefault="00D15F82" w:rsidP="00DC54F7">
      <w:pPr>
        <w:spacing w:after="0" w:line="240" w:lineRule="auto"/>
        <w:jc w:val="both"/>
        <w:rPr>
          <w:rFonts w:ascii="Arial" w:hAnsi="Arial" w:cs="Arial"/>
          <w:sz w:val="24"/>
          <w:szCs w:val="24"/>
        </w:rPr>
      </w:pPr>
      <w:r w:rsidRPr="00F46FCB">
        <w:rPr>
          <w:rFonts w:ascii="Arial" w:hAnsi="Arial" w:cs="Arial"/>
          <w:sz w:val="24"/>
          <w:szCs w:val="24"/>
        </w:rPr>
        <w:t>However, it is acknowledged that the Coronavirus (COVID-19) pandemic will have affected the provision and need for this service during 2020 to 2021. Further analysis is undertaken within the cluster chapters.</w:t>
      </w:r>
    </w:p>
    <w:p w14:paraId="67B18119" w14:textId="77777777" w:rsidR="00D85584" w:rsidRPr="00F46FCB" w:rsidRDefault="00D85584" w:rsidP="00DC54F7">
      <w:pPr>
        <w:spacing w:after="240" w:line="240" w:lineRule="auto"/>
        <w:jc w:val="both"/>
        <w:rPr>
          <w:rFonts w:ascii="Arial" w:hAnsi="Arial" w:cs="Arial"/>
          <w:b/>
          <w:sz w:val="24"/>
          <w:szCs w:val="24"/>
        </w:rPr>
      </w:pPr>
    </w:p>
    <w:p w14:paraId="67641017" w14:textId="49478624" w:rsidR="00F84D97" w:rsidRPr="00F46FCB" w:rsidRDefault="00F84D97" w:rsidP="00DC54F7">
      <w:pPr>
        <w:spacing w:after="240" w:line="240" w:lineRule="auto"/>
        <w:jc w:val="both"/>
        <w:rPr>
          <w:rFonts w:ascii="Arial" w:hAnsi="Arial" w:cs="Arial"/>
          <w:b/>
          <w:sz w:val="24"/>
          <w:szCs w:val="24"/>
        </w:rPr>
      </w:pPr>
      <w:r w:rsidRPr="00F46FCB">
        <w:rPr>
          <w:rFonts w:ascii="Arial" w:hAnsi="Arial" w:cs="Arial"/>
          <w:b/>
          <w:sz w:val="24"/>
          <w:szCs w:val="24"/>
        </w:rPr>
        <w:t xml:space="preserve">5.1.11 Access to the </w:t>
      </w:r>
      <w:r w:rsidR="00C95944" w:rsidRPr="00F46FCB">
        <w:rPr>
          <w:rFonts w:ascii="Arial" w:hAnsi="Arial" w:cs="Arial"/>
          <w:b/>
          <w:sz w:val="24"/>
          <w:szCs w:val="24"/>
        </w:rPr>
        <w:t>C</w:t>
      </w:r>
      <w:r w:rsidRPr="00F46FCB">
        <w:rPr>
          <w:rFonts w:ascii="Arial" w:hAnsi="Arial" w:cs="Arial"/>
          <w:b/>
          <w:sz w:val="24"/>
          <w:szCs w:val="24"/>
        </w:rPr>
        <w:t xml:space="preserve">ommon </w:t>
      </w:r>
      <w:r w:rsidR="00C95944" w:rsidRPr="00F46FCB">
        <w:rPr>
          <w:rFonts w:ascii="Arial" w:hAnsi="Arial" w:cs="Arial"/>
          <w:b/>
          <w:sz w:val="24"/>
          <w:szCs w:val="24"/>
        </w:rPr>
        <w:t>A</w:t>
      </w:r>
      <w:r w:rsidRPr="00F46FCB">
        <w:rPr>
          <w:rFonts w:ascii="Arial" w:hAnsi="Arial" w:cs="Arial"/>
          <w:b/>
          <w:sz w:val="24"/>
          <w:szCs w:val="24"/>
        </w:rPr>
        <w:t xml:space="preserve">ilment </w:t>
      </w:r>
      <w:r w:rsidR="00DB5050" w:rsidRPr="00F46FCB">
        <w:rPr>
          <w:rFonts w:ascii="Arial" w:hAnsi="Arial" w:cs="Arial"/>
          <w:b/>
          <w:sz w:val="24"/>
          <w:szCs w:val="24"/>
        </w:rPr>
        <w:t>S</w:t>
      </w:r>
      <w:r w:rsidRPr="00F46FCB">
        <w:rPr>
          <w:rFonts w:ascii="Arial" w:hAnsi="Arial" w:cs="Arial"/>
          <w:b/>
          <w:sz w:val="24"/>
          <w:szCs w:val="24"/>
        </w:rPr>
        <w:t>ervice</w:t>
      </w:r>
      <w:r w:rsidR="001F1E2F" w:rsidRPr="00F46FCB">
        <w:rPr>
          <w:rFonts w:ascii="Arial" w:hAnsi="Arial" w:cs="Arial"/>
          <w:b/>
          <w:sz w:val="24"/>
          <w:szCs w:val="24"/>
        </w:rPr>
        <w:t xml:space="preserve"> </w:t>
      </w:r>
      <w:r w:rsidR="00B57A56" w:rsidRPr="00F46FCB">
        <w:rPr>
          <w:rFonts w:ascii="Arial" w:hAnsi="Arial" w:cs="Arial"/>
          <w:b/>
          <w:sz w:val="24"/>
          <w:szCs w:val="24"/>
        </w:rPr>
        <w:t>(CAS) Enhanced Service</w:t>
      </w:r>
    </w:p>
    <w:p w14:paraId="3874A805" w14:textId="52C163F5" w:rsidR="00F84D97" w:rsidRPr="00F46FCB" w:rsidRDefault="00075807" w:rsidP="00DC54F7">
      <w:pPr>
        <w:spacing w:after="240" w:line="240" w:lineRule="auto"/>
        <w:jc w:val="both"/>
        <w:rPr>
          <w:rFonts w:ascii="Arial" w:hAnsi="Arial" w:cs="Arial"/>
          <w:sz w:val="24"/>
          <w:szCs w:val="24"/>
        </w:rPr>
      </w:pPr>
      <w:r w:rsidRPr="00F46FCB">
        <w:rPr>
          <w:rFonts w:ascii="Arial" w:hAnsi="Arial" w:cs="Arial"/>
          <w:sz w:val="24"/>
          <w:szCs w:val="24"/>
        </w:rPr>
        <w:t xml:space="preserve">The CAS service </w:t>
      </w:r>
      <w:r w:rsidR="00F84D97" w:rsidRPr="00F46FCB">
        <w:rPr>
          <w:rFonts w:ascii="Arial" w:hAnsi="Arial" w:cs="Arial"/>
          <w:sz w:val="24"/>
          <w:szCs w:val="24"/>
        </w:rPr>
        <w:t>provides advice and treatment on a range of specified conditions such as acne, chickenpox, conjunctivitis, head lice, sore throat/tonsillitis and verrucae. Patients register with a pharmacy and receive a consultation with a pharmacist and advice on management and treatment where required, or referral if necessary, and is provided as an alternative to making a GP appointment.</w:t>
      </w:r>
    </w:p>
    <w:p w14:paraId="7698A2D3" w14:textId="5CFF2ACF" w:rsidR="00653ABD" w:rsidRPr="00F46FCB" w:rsidRDefault="00653ABD" w:rsidP="00DC54F7">
      <w:pPr>
        <w:spacing w:after="240" w:line="240" w:lineRule="auto"/>
        <w:jc w:val="both"/>
        <w:rPr>
          <w:rFonts w:ascii="Arial" w:hAnsi="Arial" w:cs="Arial"/>
          <w:sz w:val="24"/>
          <w:szCs w:val="24"/>
        </w:rPr>
      </w:pPr>
      <w:bookmarkStart w:id="32" w:name="_Hlk69745212"/>
      <w:r w:rsidRPr="00F46FCB">
        <w:rPr>
          <w:rFonts w:ascii="Arial" w:hAnsi="Arial" w:cs="Arial"/>
          <w:sz w:val="24"/>
          <w:szCs w:val="24"/>
        </w:rPr>
        <w:t xml:space="preserve">There are 102 pharmacies commissioned by Cardiff and Vale University Health Board to provide the common ailment service of which 24 were able to provide the </w:t>
      </w:r>
      <w:r w:rsidR="006F0F96" w:rsidRPr="00F46FCB">
        <w:rPr>
          <w:rFonts w:ascii="Arial" w:hAnsi="Arial" w:cs="Arial"/>
          <w:sz w:val="24"/>
          <w:szCs w:val="24"/>
        </w:rPr>
        <w:t xml:space="preserve">additional </w:t>
      </w:r>
      <w:r w:rsidRPr="00F46FCB">
        <w:rPr>
          <w:rFonts w:ascii="Arial" w:hAnsi="Arial" w:cs="Arial"/>
          <w:sz w:val="24"/>
          <w:szCs w:val="24"/>
        </w:rPr>
        <w:t>Sore Throat Test and Treat (STTT) element of the service prior to the Coronavirus (COVID-19) pandemic.</w:t>
      </w:r>
    </w:p>
    <w:bookmarkEnd w:id="32"/>
    <w:p w14:paraId="74183834" w14:textId="1C37A200" w:rsidR="000C3457" w:rsidRPr="00F46FCB" w:rsidRDefault="00F84D97" w:rsidP="00DC54F7">
      <w:pPr>
        <w:spacing w:after="240" w:line="240" w:lineRule="auto"/>
        <w:jc w:val="both"/>
        <w:rPr>
          <w:rFonts w:ascii="Arial" w:hAnsi="Arial" w:cs="Arial"/>
          <w:sz w:val="24"/>
          <w:szCs w:val="24"/>
        </w:rPr>
      </w:pPr>
      <w:r w:rsidRPr="00F46FCB">
        <w:rPr>
          <w:rFonts w:ascii="Arial" w:hAnsi="Arial" w:cs="Arial"/>
          <w:sz w:val="24"/>
          <w:szCs w:val="24"/>
        </w:rPr>
        <w:t>In 2019</w:t>
      </w:r>
      <w:r w:rsidR="005826A9" w:rsidRPr="00F46FCB">
        <w:rPr>
          <w:rFonts w:ascii="Arial" w:hAnsi="Arial" w:cs="Arial"/>
          <w:sz w:val="24"/>
          <w:szCs w:val="24"/>
        </w:rPr>
        <w:t xml:space="preserve"> to </w:t>
      </w:r>
      <w:r w:rsidRPr="00F46FCB">
        <w:rPr>
          <w:rFonts w:ascii="Arial" w:hAnsi="Arial" w:cs="Arial"/>
          <w:sz w:val="24"/>
          <w:szCs w:val="24"/>
        </w:rPr>
        <w:t>20</w:t>
      </w:r>
      <w:r w:rsidR="005826A9" w:rsidRPr="00F46FCB">
        <w:rPr>
          <w:rFonts w:ascii="Arial" w:hAnsi="Arial" w:cs="Arial"/>
          <w:sz w:val="24"/>
          <w:szCs w:val="24"/>
        </w:rPr>
        <w:t xml:space="preserve">20, </w:t>
      </w:r>
      <w:r w:rsidR="00A71C67" w:rsidRPr="00F46FCB">
        <w:rPr>
          <w:rFonts w:ascii="Arial" w:hAnsi="Arial" w:cs="Arial"/>
          <w:sz w:val="24"/>
          <w:szCs w:val="24"/>
        </w:rPr>
        <w:t>10</w:t>
      </w:r>
      <w:r w:rsidR="00334AE3" w:rsidRPr="00F46FCB">
        <w:rPr>
          <w:rFonts w:ascii="Arial" w:hAnsi="Arial" w:cs="Arial"/>
          <w:sz w:val="24"/>
          <w:szCs w:val="24"/>
        </w:rPr>
        <w:t>2</w:t>
      </w:r>
      <w:r w:rsidRPr="00F46FCB">
        <w:rPr>
          <w:rFonts w:ascii="Arial" w:hAnsi="Arial" w:cs="Arial"/>
          <w:sz w:val="24"/>
          <w:szCs w:val="24"/>
        </w:rPr>
        <w:t xml:space="preserve"> of the pharmacies provided a total of </w:t>
      </w:r>
      <w:r w:rsidR="00215490" w:rsidRPr="00F46FCB">
        <w:rPr>
          <w:rFonts w:ascii="Arial" w:hAnsi="Arial" w:cs="Arial"/>
          <w:sz w:val="24"/>
          <w:szCs w:val="24"/>
        </w:rPr>
        <w:t>6,597</w:t>
      </w:r>
      <w:r w:rsidRPr="00F46FCB">
        <w:rPr>
          <w:rFonts w:ascii="Arial" w:hAnsi="Arial" w:cs="Arial"/>
          <w:sz w:val="24"/>
          <w:szCs w:val="24"/>
        </w:rPr>
        <w:t xml:space="preserve"> consultations over the year. The figure below shows the total number of consultations claimed under the service by pharmacies in the health board’s area in 2019</w:t>
      </w:r>
      <w:r w:rsidR="00B83C7B" w:rsidRPr="00F46FCB">
        <w:rPr>
          <w:rFonts w:ascii="Arial" w:hAnsi="Arial" w:cs="Arial"/>
          <w:sz w:val="24"/>
          <w:szCs w:val="24"/>
        </w:rPr>
        <w:t xml:space="preserve"> to 20</w:t>
      </w:r>
      <w:r w:rsidRPr="00F46FCB">
        <w:rPr>
          <w:rFonts w:ascii="Arial" w:hAnsi="Arial" w:cs="Arial"/>
          <w:sz w:val="24"/>
          <w:szCs w:val="24"/>
        </w:rPr>
        <w:t>20.</w:t>
      </w:r>
    </w:p>
    <w:p w14:paraId="0A0D5418" w14:textId="77777777" w:rsidR="00F46FCB" w:rsidRDefault="00F46FCB" w:rsidP="00DC54F7">
      <w:pPr>
        <w:spacing w:after="0" w:line="240" w:lineRule="auto"/>
        <w:jc w:val="both"/>
        <w:rPr>
          <w:rFonts w:ascii="Arial" w:hAnsi="Arial" w:cs="Arial"/>
          <w:b/>
          <w:sz w:val="24"/>
          <w:szCs w:val="24"/>
        </w:rPr>
      </w:pPr>
    </w:p>
    <w:p w14:paraId="4294E1E8" w14:textId="77777777" w:rsidR="00F46FCB" w:rsidRDefault="00F46FCB" w:rsidP="00DC54F7">
      <w:pPr>
        <w:spacing w:after="0" w:line="240" w:lineRule="auto"/>
        <w:jc w:val="both"/>
        <w:rPr>
          <w:rFonts w:ascii="Arial" w:hAnsi="Arial" w:cs="Arial"/>
          <w:b/>
          <w:sz w:val="24"/>
          <w:szCs w:val="24"/>
        </w:rPr>
      </w:pPr>
    </w:p>
    <w:p w14:paraId="1B245956" w14:textId="77777777" w:rsidR="00F46FCB" w:rsidRDefault="00F46FCB" w:rsidP="00DC54F7">
      <w:pPr>
        <w:spacing w:after="0" w:line="240" w:lineRule="auto"/>
        <w:jc w:val="both"/>
        <w:rPr>
          <w:rFonts w:ascii="Arial" w:hAnsi="Arial" w:cs="Arial"/>
          <w:b/>
          <w:sz w:val="24"/>
          <w:szCs w:val="24"/>
        </w:rPr>
      </w:pPr>
    </w:p>
    <w:p w14:paraId="3DF3ECA5" w14:textId="5C83EF9D" w:rsidR="00F84D97" w:rsidRPr="00F46FCB" w:rsidRDefault="00F84D97" w:rsidP="00DC54F7">
      <w:pPr>
        <w:spacing w:after="0" w:line="240" w:lineRule="auto"/>
        <w:jc w:val="both"/>
        <w:rPr>
          <w:rFonts w:ascii="Arial" w:hAnsi="Arial" w:cs="Arial"/>
          <w:b/>
          <w:sz w:val="24"/>
          <w:szCs w:val="24"/>
        </w:rPr>
      </w:pPr>
      <w:r w:rsidRPr="00F46FCB">
        <w:rPr>
          <w:rFonts w:ascii="Arial" w:hAnsi="Arial" w:cs="Arial"/>
          <w:b/>
          <w:sz w:val="24"/>
          <w:szCs w:val="24"/>
        </w:rPr>
        <w:lastRenderedPageBreak/>
        <w:t>Figure</w:t>
      </w:r>
      <w:r w:rsidR="00A5071D" w:rsidRPr="00F46FCB">
        <w:rPr>
          <w:rFonts w:ascii="Arial" w:hAnsi="Arial" w:cs="Arial"/>
          <w:b/>
          <w:sz w:val="24"/>
          <w:szCs w:val="24"/>
        </w:rPr>
        <w:t xml:space="preserve"> 5.14: N</w:t>
      </w:r>
      <w:r w:rsidRPr="00F46FCB">
        <w:rPr>
          <w:rFonts w:ascii="Arial" w:hAnsi="Arial" w:cs="Arial"/>
          <w:b/>
          <w:sz w:val="24"/>
          <w:szCs w:val="24"/>
        </w:rPr>
        <w:t>umber of consultations claimed in 2019</w:t>
      </w:r>
      <w:r w:rsidR="004C5667" w:rsidRPr="00F46FCB">
        <w:rPr>
          <w:rFonts w:ascii="Arial" w:hAnsi="Arial" w:cs="Arial"/>
          <w:b/>
          <w:sz w:val="24"/>
          <w:szCs w:val="24"/>
        </w:rPr>
        <w:t xml:space="preserve"> to 2020</w:t>
      </w:r>
    </w:p>
    <w:p w14:paraId="1D9DB5A4" w14:textId="086ECFD5" w:rsidR="005F39E6" w:rsidRPr="00F84D97" w:rsidRDefault="005F39E6" w:rsidP="00DC54F7">
      <w:pPr>
        <w:spacing w:after="240" w:line="240" w:lineRule="auto"/>
        <w:jc w:val="both"/>
        <w:rPr>
          <w:rFonts w:ascii="Arial" w:hAnsi="Arial" w:cs="Arial"/>
          <w:b/>
        </w:rPr>
      </w:pPr>
      <w:r>
        <w:rPr>
          <w:noProof/>
          <w:lang w:eastAsia="en-GB"/>
        </w:rPr>
        <w:drawing>
          <wp:inline distT="0" distB="0" distL="0" distR="0" wp14:anchorId="1E27DE4C" wp14:editId="46D87CCE">
            <wp:extent cx="5504180" cy="3022600"/>
            <wp:effectExtent l="0" t="0" r="1270" b="6350"/>
            <wp:docPr id="50" name="Chart 5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66529D9-1AE9-47E7-9B3B-733D4E73E2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5799061D" w14:textId="12587796" w:rsidR="003E215E" w:rsidRPr="008B2B47" w:rsidRDefault="00E36AD5" w:rsidP="00DC54F7">
      <w:pPr>
        <w:contextualSpacing/>
        <w:jc w:val="both"/>
        <w:rPr>
          <w:rFonts w:ascii="Arial" w:hAnsi="Arial" w:cs="Arial"/>
          <w:sz w:val="24"/>
          <w:szCs w:val="24"/>
        </w:rPr>
      </w:pPr>
      <w:r w:rsidRPr="008B2B47">
        <w:rPr>
          <w:rFonts w:ascii="Arial" w:hAnsi="Arial" w:cs="Arial"/>
          <w:sz w:val="24"/>
          <w:szCs w:val="24"/>
        </w:rPr>
        <w:t>The map below shows the location of those pharmacies that provided the service in 2019 to 2020.</w:t>
      </w:r>
    </w:p>
    <w:p w14:paraId="22903C61" w14:textId="77777777" w:rsidR="00911F62" w:rsidRPr="008B2B47" w:rsidRDefault="00911F62" w:rsidP="00DC54F7">
      <w:pPr>
        <w:contextualSpacing/>
        <w:jc w:val="both"/>
        <w:rPr>
          <w:rFonts w:ascii="Arial" w:hAnsi="Arial" w:cs="Arial"/>
          <w:sz w:val="24"/>
          <w:szCs w:val="24"/>
        </w:rPr>
      </w:pPr>
    </w:p>
    <w:p w14:paraId="2E01E012" w14:textId="245F7058" w:rsidR="00E36AD5" w:rsidRPr="008B2B47" w:rsidRDefault="00911F62" w:rsidP="00DC54F7">
      <w:pPr>
        <w:contextualSpacing/>
        <w:jc w:val="both"/>
        <w:rPr>
          <w:rFonts w:ascii="Arial" w:hAnsi="Arial" w:cs="Arial"/>
          <w:b/>
          <w:sz w:val="24"/>
          <w:szCs w:val="24"/>
        </w:rPr>
      </w:pPr>
      <w:r w:rsidRPr="008B2B47">
        <w:rPr>
          <w:rFonts w:ascii="Arial" w:hAnsi="Arial" w:cs="Arial"/>
          <w:b/>
          <w:sz w:val="24"/>
          <w:szCs w:val="24"/>
        </w:rPr>
        <w:t xml:space="preserve">Map 5.9: Location of pharmacies providing the CAS </w:t>
      </w:r>
      <w:r w:rsidR="00B57A56" w:rsidRPr="008B2B47">
        <w:rPr>
          <w:rFonts w:ascii="Arial" w:hAnsi="Arial" w:cs="Arial"/>
          <w:b/>
          <w:sz w:val="24"/>
          <w:szCs w:val="24"/>
        </w:rPr>
        <w:t>E</w:t>
      </w:r>
      <w:r w:rsidRPr="008B2B47">
        <w:rPr>
          <w:rFonts w:ascii="Arial" w:hAnsi="Arial" w:cs="Arial"/>
          <w:b/>
          <w:sz w:val="24"/>
          <w:szCs w:val="24"/>
        </w:rPr>
        <w:t xml:space="preserve">nhanced </w:t>
      </w:r>
      <w:r w:rsidR="00B57A56" w:rsidRPr="008B2B47">
        <w:rPr>
          <w:rFonts w:ascii="Arial" w:hAnsi="Arial" w:cs="Arial"/>
          <w:b/>
          <w:sz w:val="24"/>
          <w:szCs w:val="24"/>
        </w:rPr>
        <w:t>S</w:t>
      </w:r>
      <w:r w:rsidRPr="008B2B47">
        <w:rPr>
          <w:rFonts w:ascii="Arial" w:hAnsi="Arial" w:cs="Arial"/>
          <w:b/>
          <w:sz w:val="24"/>
          <w:szCs w:val="24"/>
        </w:rPr>
        <w:t>ervice in 2019 to 2020</w:t>
      </w:r>
    </w:p>
    <w:p w14:paraId="3B9E9A61" w14:textId="1E901911" w:rsidR="003E215E" w:rsidRDefault="003E215E" w:rsidP="00DC54F7">
      <w:pPr>
        <w:spacing w:after="240" w:line="240" w:lineRule="auto"/>
        <w:jc w:val="both"/>
        <w:rPr>
          <w:rFonts w:ascii="Arial" w:hAnsi="Arial" w:cs="Arial"/>
          <w:highlight w:val="yellow"/>
        </w:rPr>
      </w:pPr>
      <w:r>
        <w:rPr>
          <w:noProof/>
          <w:lang w:eastAsia="en-GB"/>
        </w:rPr>
        <w:drawing>
          <wp:inline distT="0" distB="0" distL="0" distR="0" wp14:anchorId="55B22B00" wp14:editId="558FFFE1">
            <wp:extent cx="5731510" cy="4055952"/>
            <wp:effectExtent l="0" t="0" r="2540" b="190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731510" cy="4055952"/>
                    </a:xfrm>
                    <a:prstGeom prst="rect">
                      <a:avLst/>
                    </a:prstGeom>
                    <a:noFill/>
                    <a:ln>
                      <a:noFill/>
                    </a:ln>
                  </pic:spPr>
                </pic:pic>
              </a:graphicData>
            </a:graphic>
          </wp:inline>
        </w:drawing>
      </w:r>
    </w:p>
    <w:p w14:paraId="4F2A91C0" w14:textId="24B9ACA3" w:rsidR="003E215E" w:rsidRDefault="00A95D1A" w:rsidP="00DC54F7">
      <w:pPr>
        <w:spacing w:after="240" w:line="240" w:lineRule="auto"/>
        <w:jc w:val="both"/>
        <w:rPr>
          <w:rFonts w:ascii="Arial" w:hAnsi="Arial" w:cs="Arial"/>
          <w:highlight w:val="yellow"/>
        </w:rPr>
      </w:pPr>
      <w:r>
        <w:rPr>
          <w:noProof/>
          <w:lang w:eastAsia="en-GB"/>
        </w:rPr>
        <w:lastRenderedPageBreak/>
        <w:drawing>
          <wp:inline distT="0" distB="0" distL="0" distR="0" wp14:anchorId="28CB9348" wp14:editId="7D777C1F">
            <wp:extent cx="5731510" cy="4055110"/>
            <wp:effectExtent l="0" t="0" r="2540" b="254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731510" cy="4055110"/>
                    </a:xfrm>
                    <a:prstGeom prst="rect">
                      <a:avLst/>
                    </a:prstGeom>
                    <a:noFill/>
                    <a:ln>
                      <a:noFill/>
                    </a:ln>
                  </pic:spPr>
                </pic:pic>
              </a:graphicData>
            </a:graphic>
          </wp:inline>
        </w:drawing>
      </w:r>
    </w:p>
    <w:p w14:paraId="01FA9DDF" w14:textId="5D57D4F1" w:rsidR="000240E0" w:rsidRPr="008B2B47" w:rsidRDefault="0005619B" w:rsidP="00DC54F7">
      <w:pPr>
        <w:spacing w:after="240" w:line="240" w:lineRule="auto"/>
        <w:jc w:val="both"/>
        <w:rPr>
          <w:rFonts w:ascii="Arial" w:hAnsi="Arial" w:cs="Arial"/>
          <w:sz w:val="24"/>
          <w:szCs w:val="24"/>
        </w:rPr>
      </w:pPr>
      <w:r w:rsidRPr="008B2B47">
        <w:rPr>
          <w:rFonts w:ascii="Arial" w:hAnsi="Arial" w:cs="Arial"/>
          <w:sz w:val="24"/>
          <w:szCs w:val="24"/>
        </w:rPr>
        <w:t>97</w:t>
      </w:r>
      <w:r w:rsidR="000240E0" w:rsidRPr="008B2B47">
        <w:rPr>
          <w:rFonts w:ascii="Arial" w:hAnsi="Arial" w:cs="Arial"/>
          <w:sz w:val="24"/>
          <w:szCs w:val="24"/>
        </w:rPr>
        <w:t xml:space="preserve"> pharmacies provided a total of </w:t>
      </w:r>
      <w:r w:rsidRPr="008B2B47">
        <w:rPr>
          <w:rFonts w:ascii="Arial" w:hAnsi="Arial" w:cs="Arial"/>
          <w:sz w:val="24"/>
          <w:szCs w:val="24"/>
        </w:rPr>
        <w:t>3</w:t>
      </w:r>
      <w:r w:rsidR="00D707B3" w:rsidRPr="008B2B47">
        <w:rPr>
          <w:rFonts w:ascii="Arial" w:hAnsi="Arial" w:cs="Arial"/>
          <w:sz w:val="24"/>
          <w:szCs w:val="24"/>
        </w:rPr>
        <w:t>,409</w:t>
      </w:r>
      <w:r w:rsidR="000240E0" w:rsidRPr="008B2B47">
        <w:rPr>
          <w:rFonts w:ascii="Arial" w:hAnsi="Arial" w:cs="Arial"/>
          <w:sz w:val="24"/>
          <w:szCs w:val="24"/>
        </w:rPr>
        <w:t xml:space="preserve"> consultations in the first five months of 2020</w:t>
      </w:r>
      <w:r w:rsidR="00D707B3" w:rsidRPr="008B2B47">
        <w:rPr>
          <w:rFonts w:ascii="Arial" w:hAnsi="Arial" w:cs="Arial"/>
          <w:sz w:val="24"/>
          <w:szCs w:val="24"/>
        </w:rPr>
        <w:t xml:space="preserve"> to 20</w:t>
      </w:r>
      <w:r w:rsidR="000240E0" w:rsidRPr="008B2B47">
        <w:rPr>
          <w:rFonts w:ascii="Arial" w:hAnsi="Arial" w:cs="Arial"/>
          <w:sz w:val="24"/>
          <w:szCs w:val="24"/>
        </w:rPr>
        <w:t>21. The figure below shows the total number of consultations claimed under the service by pharmacies in the health board’s area in the first five months of 2020</w:t>
      </w:r>
      <w:r w:rsidR="00D707B3" w:rsidRPr="008B2B47">
        <w:rPr>
          <w:rFonts w:ascii="Arial" w:hAnsi="Arial" w:cs="Arial"/>
          <w:sz w:val="24"/>
          <w:szCs w:val="24"/>
        </w:rPr>
        <w:t xml:space="preserve"> to 20</w:t>
      </w:r>
      <w:r w:rsidR="000240E0" w:rsidRPr="008B2B47">
        <w:rPr>
          <w:rFonts w:ascii="Arial" w:hAnsi="Arial" w:cs="Arial"/>
          <w:sz w:val="24"/>
          <w:szCs w:val="24"/>
        </w:rPr>
        <w:t>21.</w:t>
      </w:r>
    </w:p>
    <w:p w14:paraId="06872C96" w14:textId="09991A59" w:rsidR="000240E0" w:rsidRPr="008B2B47" w:rsidRDefault="000240E0" w:rsidP="00DC54F7">
      <w:pPr>
        <w:spacing w:after="0" w:line="240" w:lineRule="auto"/>
        <w:jc w:val="both"/>
        <w:rPr>
          <w:rFonts w:ascii="Arial" w:hAnsi="Arial" w:cs="Arial"/>
          <w:b/>
          <w:sz w:val="24"/>
          <w:szCs w:val="24"/>
        </w:rPr>
      </w:pPr>
      <w:r w:rsidRPr="008B2B47">
        <w:rPr>
          <w:rFonts w:ascii="Arial" w:hAnsi="Arial" w:cs="Arial"/>
          <w:b/>
          <w:sz w:val="24"/>
          <w:szCs w:val="24"/>
        </w:rPr>
        <w:t>Figure</w:t>
      </w:r>
      <w:r w:rsidR="00A5071D" w:rsidRPr="008B2B47">
        <w:rPr>
          <w:rFonts w:ascii="Arial" w:hAnsi="Arial" w:cs="Arial"/>
          <w:b/>
          <w:sz w:val="24"/>
          <w:szCs w:val="24"/>
        </w:rPr>
        <w:t xml:space="preserve"> 5.</w:t>
      </w:r>
      <w:r w:rsidR="00766A74" w:rsidRPr="008B2B47">
        <w:rPr>
          <w:rFonts w:ascii="Arial" w:hAnsi="Arial" w:cs="Arial"/>
          <w:b/>
          <w:sz w:val="24"/>
          <w:szCs w:val="24"/>
        </w:rPr>
        <w:t>15</w:t>
      </w:r>
      <w:r w:rsidR="00A5071D" w:rsidRPr="008B2B47">
        <w:rPr>
          <w:rFonts w:ascii="Arial" w:hAnsi="Arial" w:cs="Arial"/>
          <w:b/>
          <w:sz w:val="24"/>
          <w:szCs w:val="24"/>
        </w:rPr>
        <w:t xml:space="preserve">: </w:t>
      </w:r>
      <w:r w:rsidR="004C5667" w:rsidRPr="008B2B47">
        <w:rPr>
          <w:rFonts w:ascii="Arial" w:hAnsi="Arial" w:cs="Arial"/>
          <w:b/>
          <w:sz w:val="24"/>
          <w:szCs w:val="24"/>
        </w:rPr>
        <w:t>N</w:t>
      </w:r>
      <w:r w:rsidRPr="008B2B47">
        <w:rPr>
          <w:rFonts w:ascii="Arial" w:hAnsi="Arial" w:cs="Arial"/>
          <w:b/>
          <w:sz w:val="24"/>
          <w:szCs w:val="24"/>
        </w:rPr>
        <w:t>umber of consultations claimed in 2020</w:t>
      </w:r>
      <w:r w:rsidR="004C5667" w:rsidRPr="008B2B47">
        <w:rPr>
          <w:rFonts w:ascii="Arial" w:hAnsi="Arial" w:cs="Arial"/>
          <w:b/>
          <w:sz w:val="24"/>
          <w:szCs w:val="24"/>
        </w:rPr>
        <w:t xml:space="preserve"> to 2021</w:t>
      </w:r>
    </w:p>
    <w:p w14:paraId="4A5A9E6F" w14:textId="382F1175" w:rsidR="00203776" w:rsidRPr="000240E0" w:rsidRDefault="00203776" w:rsidP="00DC54F7">
      <w:pPr>
        <w:spacing w:after="240" w:line="240" w:lineRule="auto"/>
        <w:jc w:val="both"/>
        <w:rPr>
          <w:rFonts w:ascii="Arial" w:hAnsi="Arial" w:cs="Arial"/>
          <w:b/>
        </w:rPr>
      </w:pPr>
      <w:r>
        <w:rPr>
          <w:noProof/>
          <w:lang w:eastAsia="en-GB"/>
        </w:rPr>
        <w:drawing>
          <wp:inline distT="0" distB="0" distL="0" distR="0" wp14:anchorId="00BD909F" wp14:editId="4EEED07A">
            <wp:extent cx="5558790" cy="3416300"/>
            <wp:effectExtent l="0" t="0" r="3810" b="12700"/>
            <wp:docPr id="51" name="Chart 5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1A98A69-B066-4531-B3F5-CF0F79F9EEC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067D5E6C" w14:textId="7A8262B6" w:rsidR="00E67775" w:rsidRPr="008B2B47" w:rsidRDefault="00E67775" w:rsidP="00DC54F7">
      <w:pPr>
        <w:spacing w:after="240" w:line="240" w:lineRule="auto"/>
        <w:jc w:val="both"/>
        <w:rPr>
          <w:rFonts w:ascii="Arial" w:hAnsi="Arial" w:cs="Arial"/>
          <w:sz w:val="24"/>
          <w:szCs w:val="24"/>
        </w:rPr>
      </w:pPr>
      <w:r w:rsidRPr="008B2B47">
        <w:rPr>
          <w:rFonts w:ascii="Arial" w:hAnsi="Arial" w:cs="Arial"/>
          <w:sz w:val="24"/>
          <w:szCs w:val="24"/>
        </w:rPr>
        <w:lastRenderedPageBreak/>
        <w:t xml:space="preserve">The figure below compares provision of the service </w:t>
      </w:r>
      <w:r w:rsidR="00357B0B" w:rsidRPr="008B2B47">
        <w:rPr>
          <w:rFonts w:ascii="Arial" w:hAnsi="Arial" w:cs="Arial"/>
          <w:sz w:val="24"/>
          <w:szCs w:val="24"/>
        </w:rPr>
        <w:t>between April 2019 and August 2021</w:t>
      </w:r>
      <w:r w:rsidRPr="008B2B47">
        <w:rPr>
          <w:rFonts w:ascii="Arial" w:hAnsi="Arial" w:cs="Arial"/>
          <w:sz w:val="24"/>
          <w:szCs w:val="24"/>
        </w:rPr>
        <w:t>.</w:t>
      </w:r>
    </w:p>
    <w:p w14:paraId="129BF96B" w14:textId="5860362C" w:rsidR="00E67775" w:rsidRPr="008B2B47" w:rsidRDefault="00E67775" w:rsidP="00DC54F7">
      <w:pPr>
        <w:spacing w:after="0" w:line="240" w:lineRule="auto"/>
        <w:jc w:val="both"/>
        <w:rPr>
          <w:rFonts w:ascii="Arial" w:hAnsi="Arial" w:cs="Arial"/>
          <w:b/>
          <w:sz w:val="24"/>
          <w:szCs w:val="24"/>
        </w:rPr>
      </w:pPr>
      <w:r w:rsidRPr="008B2B47">
        <w:rPr>
          <w:rFonts w:ascii="Arial" w:hAnsi="Arial" w:cs="Arial"/>
          <w:b/>
          <w:sz w:val="24"/>
          <w:szCs w:val="24"/>
        </w:rPr>
        <w:t>Figure</w:t>
      </w:r>
      <w:r w:rsidR="00A5071D" w:rsidRPr="008B2B47">
        <w:rPr>
          <w:rFonts w:ascii="Arial" w:hAnsi="Arial" w:cs="Arial"/>
          <w:b/>
          <w:sz w:val="24"/>
          <w:szCs w:val="24"/>
        </w:rPr>
        <w:t xml:space="preserve"> 5</w:t>
      </w:r>
      <w:r w:rsidR="00EF3956" w:rsidRPr="008B2B47">
        <w:rPr>
          <w:rFonts w:ascii="Arial" w:hAnsi="Arial" w:cs="Arial"/>
          <w:b/>
          <w:sz w:val="24"/>
          <w:szCs w:val="24"/>
        </w:rPr>
        <w:t>.</w:t>
      </w:r>
      <w:r w:rsidR="00523D21" w:rsidRPr="008B2B47">
        <w:rPr>
          <w:rFonts w:ascii="Arial" w:hAnsi="Arial" w:cs="Arial"/>
          <w:b/>
          <w:sz w:val="24"/>
          <w:szCs w:val="24"/>
        </w:rPr>
        <w:t>16</w:t>
      </w:r>
      <w:r w:rsidR="00EF3956" w:rsidRPr="008B2B47">
        <w:rPr>
          <w:rFonts w:ascii="Arial" w:hAnsi="Arial" w:cs="Arial"/>
          <w:b/>
          <w:sz w:val="24"/>
          <w:szCs w:val="24"/>
        </w:rPr>
        <w:t>: N</w:t>
      </w:r>
      <w:r w:rsidRPr="008B2B47">
        <w:rPr>
          <w:rFonts w:ascii="Arial" w:hAnsi="Arial" w:cs="Arial"/>
          <w:b/>
          <w:sz w:val="24"/>
          <w:szCs w:val="24"/>
        </w:rPr>
        <w:t xml:space="preserve">umber of consultations </w:t>
      </w:r>
      <w:r w:rsidR="00D33F58" w:rsidRPr="008B2B47">
        <w:rPr>
          <w:rFonts w:ascii="Arial" w:hAnsi="Arial" w:cs="Arial"/>
          <w:b/>
          <w:sz w:val="24"/>
          <w:szCs w:val="24"/>
        </w:rPr>
        <w:t xml:space="preserve">each year </w:t>
      </w:r>
      <w:r w:rsidRPr="008B2B47">
        <w:rPr>
          <w:rFonts w:ascii="Arial" w:hAnsi="Arial" w:cs="Arial"/>
          <w:b/>
          <w:sz w:val="24"/>
          <w:szCs w:val="24"/>
        </w:rPr>
        <w:t xml:space="preserve">from </w:t>
      </w:r>
      <w:r w:rsidR="00D33F58" w:rsidRPr="008B2B47">
        <w:rPr>
          <w:rFonts w:ascii="Arial" w:hAnsi="Arial" w:cs="Arial"/>
          <w:b/>
          <w:sz w:val="24"/>
          <w:szCs w:val="24"/>
        </w:rPr>
        <w:t xml:space="preserve">April 2019 </w:t>
      </w:r>
      <w:r w:rsidRPr="008B2B47">
        <w:rPr>
          <w:rFonts w:ascii="Arial" w:hAnsi="Arial" w:cs="Arial"/>
          <w:b/>
          <w:sz w:val="24"/>
          <w:szCs w:val="24"/>
        </w:rPr>
        <w:t>to August 202</w:t>
      </w:r>
      <w:r w:rsidR="00CA4845" w:rsidRPr="008B2B47">
        <w:rPr>
          <w:rFonts w:ascii="Arial" w:hAnsi="Arial" w:cs="Arial"/>
          <w:b/>
          <w:sz w:val="24"/>
          <w:szCs w:val="24"/>
        </w:rPr>
        <w:t>1</w:t>
      </w:r>
    </w:p>
    <w:p w14:paraId="7E0B2A32" w14:textId="68276336" w:rsidR="00F62FB8" w:rsidRDefault="00F62FB8" w:rsidP="00DC54F7">
      <w:pPr>
        <w:spacing w:after="0" w:line="240" w:lineRule="auto"/>
        <w:jc w:val="both"/>
        <w:rPr>
          <w:rFonts w:ascii="Arial" w:hAnsi="Arial" w:cs="Arial"/>
          <w:b/>
        </w:rPr>
      </w:pPr>
      <w:r>
        <w:rPr>
          <w:noProof/>
          <w:lang w:eastAsia="en-GB"/>
        </w:rPr>
        <w:drawing>
          <wp:inline distT="0" distB="0" distL="0" distR="0" wp14:anchorId="4A16071A" wp14:editId="782C8893">
            <wp:extent cx="5558790" cy="3390900"/>
            <wp:effectExtent l="0" t="0" r="3810" b="0"/>
            <wp:docPr id="240" name="Chart 24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79F4048-2F9F-469E-9B72-3F3A30BE167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1257D8E8" w14:textId="77777777" w:rsidR="007E7CAE" w:rsidRDefault="007E7CAE" w:rsidP="00DC54F7">
      <w:pPr>
        <w:spacing w:after="0" w:line="240" w:lineRule="auto"/>
        <w:contextualSpacing/>
        <w:jc w:val="both"/>
        <w:rPr>
          <w:rFonts w:ascii="Arial" w:hAnsi="Arial" w:cs="Arial"/>
          <w:b/>
        </w:rPr>
      </w:pPr>
    </w:p>
    <w:p w14:paraId="4A0E8F64" w14:textId="542108B5" w:rsidR="007C4D35" w:rsidRPr="008B2B47" w:rsidRDefault="007C4D35" w:rsidP="00DC54F7">
      <w:pPr>
        <w:spacing w:after="0" w:line="240" w:lineRule="auto"/>
        <w:contextualSpacing/>
        <w:jc w:val="both"/>
        <w:rPr>
          <w:rFonts w:ascii="Arial" w:hAnsi="Arial" w:cs="Arial"/>
          <w:sz w:val="24"/>
          <w:szCs w:val="24"/>
        </w:rPr>
      </w:pPr>
      <w:r w:rsidRPr="00691D7D">
        <w:rPr>
          <w:rFonts w:ascii="Arial" w:hAnsi="Arial" w:cs="Arial"/>
        </w:rPr>
        <w:t xml:space="preserve">Based upon the level of provision in 2019 to 2020, </w:t>
      </w:r>
      <w:r>
        <w:rPr>
          <w:rFonts w:ascii="Arial" w:hAnsi="Arial" w:cs="Arial"/>
        </w:rPr>
        <w:t>C</w:t>
      </w:r>
      <w:r w:rsidR="00DB223C">
        <w:rPr>
          <w:rFonts w:ascii="Arial" w:hAnsi="Arial" w:cs="Arial"/>
        </w:rPr>
        <w:t>ardiff and Vale University</w:t>
      </w:r>
      <w:r w:rsidRPr="00691D7D">
        <w:rPr>
          <w:rFonts w:ascii="Arial" w:hAnsi="Arial" w:cs="Arial"/>
        </w:rPr>
        <w:t xml:space="preserve"> Health Board </w:t>
      </w:r>
      <w:r w:rsidRPr="008B2B47">
        <w:rPr>
          <w:rFonts w:ascii="Arial" w:hAnsi="Arial" w:cs="Arial"/>
          <w:sz w:val="24"/>
          <w:szCs w:val="24"/>
        </w:rPr>
        <w:t>is satisfied that there is sufficient capacity within existing contractors to provide the CAS service.</w:t>
      </w:r>
    </w:p>
    <w:p w14:paraId="2B9FC99E" w14:textId="77777777" w:rsidR="007C4D35" w:rsidRPr="008B2B47" w:rsidRDefault="007C4D35" w:rsidP="00DC54F7">
      <w:pPr>
        <w:spacing w:after="0" w:line="240" w:lineRule="auto"/>
        <w:contextualSpacing/>
        <w:jc w:val="both"/>
        <w:rPr>
          <w:rFonts w:ascii="Arial" w:hAnsi="Arial" w:cs="Arial"/>
          <w:sz w:val="24"/>
          <w:szCs w:val="24"/>
        </w:rPr>
      </w:pPr>
    </w:p>
    <w:p w14:paraId="2C068785" w14:textId="68361CBB" w:rsidR="007C4D35" w:rsidRPr="008B2B47" w:rsidRDefault="007C4D35" w:rsidP="00DC54F7">
      <w:pPr>
        <w:spacing w:after="0" w:line="240" w:lineRule="auto"/>
        <w:jc w:val="both"/>
        <w:rPr>
          <w:rFonts w:ascii="Arial" w:hAnsi="Arial" w:cs="Arial"/>
          <w:sz w:val="24"/>
          <w:szCs w:val="24"/>
        </w:rPr>
      </w:pPr>
      <w:r w:rsidRPr="008B2B47">
        <w:rPr>
          <w:rFonts w:ascii="Arial" w:hAnsi="Arial" w:cs="Arial"/>
          <w:sz w:val="24"/>
          <w:szCs w:val="24"/>
        </w:rPr>
        <w:t xml:space="preserve">From the data available for 2020 to 2021 there is no evidence to support a different conclusion. </w:t>
      </w:r>
      <w:r w:rsidR="00D15F82" w:rsidRPr="008B2B47">
        <w:rPr>
          <w:rFonts w:ascii="Arial" w:hAnsi="Arial" w:cs="Arial"/>
          <w:sz w:val="24"/>
          <w:szCs w:val="24"/>
        </w:rPr>
        <w:t>However, it is acknowledged that the Coronavirus (COVID-19) pandemic will have affected the provision and need for this service during 2020 to 2021. Further analysis is undertaken within the cluster chapters.</w:t>
      </w:r>
    </w:p>
    <w:p w14:paraId="77004569" w14:textId="77777777" w:rsidR="00DB223C" w:rsidRPr="008B2B47" w:rsidRDefault="00DB223C" w:rsidP="00DC54F7">
      <w:pPr>
        <w:spacing w:after="240" w:line="240" w:lineRule="auto"/>
        <w:jc w:val="both"/>
        <w:rPr>
          <w:rFonts w:ascii="Arial" w:hAnsi="Arial" w:cs="Arial"/>
          <w:b/>
          <w:sz w:val="24"/>
          <w:szCs w:val="24"/>
        </w:rPr>
      </w:pPr>
    </w:p>
    <w:p w14:paraId="3E9A6951" w14:textId="7FBAA6F6" w:rsidR="00517717" w:rsidRPr="008B2B47" w:rsidRDefault="00517717" w:rsidP="00DC54F7">
      <w:pPr>
        <w:spacing w:after="240" w:line="240" w:lineRule="auto"/>
        <w:jc w:val="both"/>
        <w:rPr>
          <w:rFonts w:ascii="Arial" w:hAnsi="Arial" w:cs="Arial"/>
          <w:b/>
          <w:sz w:val="24"/>
          <w:szCs w:val="24"/>
        </w:rPr>
      </w:pPr>
      <w:r w:rsidRPr="008B2B47">
        <w:rPr>
          <w:rFonts w:ascii="Arial" w:hAnsi="Arial" w:cs="Arial"/>
          <w:b/>
          <w:sz w:val="24"/>
          <w:szCs w:val="24"/>
        </w:rPr>
        <w:t xml:space="preserve">5.1.12 Access to the </w:t>
      </w:r>
      <w:r w:rsidR="00B57A56" w:rsidRPr="008B2B47">
        <w:rPr>
          <w:rFonts w:ascii="Arial" w:hAnsi="Arial" w:cs="Arial"/>
          <w:b/>
          <w:sz w:val="24"/>
          <w:szCs w:val="24"/>
        </w:rPr>
        <w:t>E</w:t>
      </w:r>
      <w:r w:rsidRPr="008B2B47">
        <w:rPr>
          <w:rFonts w:ascii="Arial" w:hAnsi="Arial" w:cs="Arial"/>
          <w:b/>
          <w:sz w:val="24"/>
          <w:szCs w:val="24"/>
        </w:rPr>
        <w:t xml:space="preserve">mergency </w:t>
      </w:r>
      <w:r w:rsidR="00B57A56" w:rsidRPr="008B2B47">
        <w:rPr>
          <w:rFonts w:ascii="Arial" w:hAnsi="Arial" w:cs="Arial"/>
          <w:b/>
          <w:sz w:val="24"/>
          <w:szCs w:val="24"/>
        </w:rPr>
        <w:t>M</w:t>
      </w:r>
      <w:r w:rsidRPr="008B2B47">
        <w:rPr>
          <w:rFonts w:ascii="Arial" w:hAnsi="Arial" w:cs="Arial"/>
          <w:b/>
          <w:sz w:val="24"/>
          <w:szCs w:val="24"/>
        </w:rPr>
        <w:t xml:space="preserve">edicines </w:t>
      </w:r>
      <w:r w:rsidR="00B57A56" w:rsidRPr="008B2B47">
        <w:rPr>
          <w:rFonts w:ascii="Arial" w:hAnsi="Arial" w:cs="Arial"/>
          <w:b/>
          <w:sz w:val="24"/>
          <w:szCs w:val="24"/>
        </w:rPr>
        <w:t>S</w:t>
      </w:r>
      <w:r w:rsidRPr="008B2B47">
        <w:rPr>
          <w:rFonts w:ascii="Arial" w:hAnsi="Arial" w:cs="Arial"/>
          <w:b/>
          <w:sz w:val="24"/>
          <w:szCs w:val="24"/>
        </w:rPr>
        <w:t xml:space="preserve">upply </w:t>
      </w:r>
      <w:r w:rsidR="00B57A56" w:rsidRPr="008B2B47">
        <w:rPr>
          <w:rFonts w:ascii="Arial" w:hAnsi="Arial" w:cs="Arial"/>
          <w:b/>
          <w:sz w:val="24"/>
          <w:szCs w:val="24"/>
        </w:rPr>
        <w:t>(EMS) E</w:t>
      </w:r>
      <w:r w:rsidRPr="008B2B47">
        <w:rPr>
          <w:rFonts w:ascii="Arial" w:hAnsi="Arial" w:cs="Arial"/>
          <w:b/>
          <w:sz w:val="24"/>
          <w:szCs w:val="24"/>
        </w:rPr>
        <w:t xml:space="preserve">nhanced </w:t>
      </w:r>
      <w:r w:rsidR="00B57A56" w:rsidRPr="008B2B47">
        <w:rPr>
          <w:rFonts w:ascii="Arial" w:hAnsi="Arial" w:cs="Arial"/>
          <w:b/>
          <w:sz w:val="24"/>
          <w:szCs w:val="24"/>
        </w:rPr>
        <w:t>S</w:t>
      </w:r>
      <w:r w:rsidRPr="008B2B47">
        <w:rPr>
          <w:rFonts w:ascii="Arial" w:hAnsi="Arial" w:cs="Arial"/>
          <w:b/>
          <w:sz w:val="24"/>
          <w:szCs w:val="24"/>
        </w:rPr>
        <w:t>ervice</w:t>
      </w:r>
    </w:p>
    <w:p w14:paraId="44C7112E" w14:textId="7E60CCD4" w:rsidR="00517717" w:rsidRPr="008B2B47" w:rsidRDefault="00517717" w:rsidP="00DC54F7">
      <w:pPr>
        <w:spacing w:after="240" w:line="240" w:lineRule="auto"/>
        <w:jc w:val="both"/>
        <w:rPr>
          <w:rFonts w:ascii="Arial" w:hAnsi="Arial" w:cs="Arial"/>
          <w:sz w:val="24"/>
          <w:szCs w:val="24"/>
        </w:rPr>
      </w:pPr>
      <w:r w:rsidRPr="008B2B47">
        <w:rPr>
          <w:rFonts w:ascii="Arial" w:hAnsi="Arial" w:cs="Arial"/>
          <w:sz w:val="24"/>
          <w:szCs w:val="24"/>
        </w:rPr>
        <w:t xml:space="preserve">The </w:t>
      </w:r>
      <w:r w:rsidR="00B57A56" w:rsidRPr="008B2B47">
        <w:rPr>
          <w:rFonts w:ascii="Arial" w:hAnsi="Arial" w:cs="Arial"/>
          <w:sz w:val="24"/>
          <w:szCs w:val="24"/>
        </w:rPr>
        <w:t xml:space="preserve">EMS </w:t>
      </w:r>
      <w:r w:rsidR="00AA6365" w:rsidRPr="008B2B47">
        <w:rPr>
          <w:rFonts w:ascii="Arial" w:hAnsi="Arial" w:cs="Arial"/>
          <w:sz w:val="24"/>
          <w:szCs w:val="24"/>
        </w:rPr>
        <w:t xml:space="preserve">enhanced </w:t>
      </w:r>
      <w:r w:rsidRPr="008B2B47">
        <w:rPr>
          <w:rFonts w:ascii="Arial" w:hAnsi="Arial" w:cs="Arial"/>
          <w:sz w:val="24"/>
          <w:szCs w:val="24"/>
        </w:rPr>
        <w:t xml:space="preserve">service </w:t>
      </w:r>
      <w:r w:rsidR="00AA6365" w:rsidRPr="008B2B47">
        <w:rPr>
          <w:rFonts w:ascii="Arial" w:hAnsi="Arial" w:cs="Arial"/>
          <w:sz w:val="24"/>
          <w:szCs w:val="24"/>
        </w:rPr>
        <w:t xml:space="preserve">was </w:t>
      </w:r>
      <w:r w:rsidR="00F66E0A" w:rsidRPr="008B2B47">
        <w:rPr>
          <w:rFonts w:ascii="Arial" w:hAnsi="Arial" w:cs="Arial"/>
          <w:sz w:val="24"/>
          <w:szCs w:val="24"/>
        </w:rPr>
        <w:t xml:space="preserve">initially </w:t>
      </w:r>
      <w:r w:rsidRPr="008B2B47">
        <w:rPr>
          <w:rFonts w:ascii="Arial" w:hAnsi="Arial" w:cs="Arial"/>
          <w:sz w:val="24"/>
          <w:szCs w:val="24"/>
        </w:rPr>
        <w:t xml:space="preserve">commissioned </w:t>
      </w:r>
      <w:r w:rsidR="00F66E0A" w:rsidRPr="008B2B47">
        <w:rPr>
          <w:rFonts w:ascii="Arial" w:hAnsi="Arial" w:cs="Arial"/>
          <w:sz w:val="24"/>
          <w:szCs w:val="24"/>
        </w:rPr>
        <w:t xml:space="preserve">in 2015 </w:t>
      </w:r>
      <w:r w:rsidRPr="008B2B47">
        <w:rPr>
          <w:rFonts w:ascii="Arial" w:hAnsi="Arial" w:cs="Arial"/>
          <w:sz w:val="24"/>
          <w:szCs w:val="24"/>
        </w:rPr>
        <w:t>to enable patients to access emergency supplies of medication via community pharmacies with the cost of the supply being met by the NHS. The purpose of this service is to reduce the burden on Out of Hours and Emergency Care services in relation to managing patient requests for emergency supplies of medication outside of normal GP working hours.</w:t>
      </w:r>
    </w:p>
    <w:p w14:paraId="23EAF9DD" w14:textId="3F52C88F" w:rsidR="00517717" w:rsidRPr="008B2B47" w:rsidRDefault="00517717" w:rsidP="00DC54F7">
      <w:pPr>
        <w:spacing w:after="240" w:line="240" w:lineRule="auto"/>
        <w:jc w:val="both"/>
        <w:rPr>
          <w:rFonts w:ascii="Arial" w:hAnsi="Arial" w:cs="Arial"/>
          <w:sz w:val="24"/>
          <w:szCs w:val="24"/>
        </w:rPr>
      </w:pPr>
      <w:r w:rsidRPr="008B2B47">
        <w:rPr>
          <w:rFonts w:ascii="Arial" w:hAnsi="Arial" w:cs="Arial"/>
          <w:sz w:val="24"/>
          <w:szCs w:val="24"/>
        </w:rPr>
        <w:t>The Human Medicines Act 2012 remains the primary legislation governing the emergency supply of medication at the request of a patient and all supplies of medication made must be made in accordance with these regulations.</w:t>
      </w:r>
    </w:p>
    <w:p w14:paraId="1CF7D13A" w14:textId="14E6C39D" w:rsidR="00AA6365" w:rsidRPr="008B2B47" w:rsidRDefault="00AA6365" w:rsidP="00DC54F7">
      <w:pPr>
        <w:spacing w:after="240" w:line="240" w:lineRule="auto"/>
        <w:jc w:val="both"/>
        <w:rPr>
          <w:rFonts w:ascii="Arial" w:hAnsi="Arial" w:cs="Arial"/>
          <w:sz w:val="24"/>
          <w:szCs w:val="24"/>
        </w:rPr>
      </w:pPr>
      <w:r w:rsidRPr="008B2B47">
        <w:rPr>
          <w:rFonts w:ascii="Arial" w:hAnsi="Arial" w:cs="Arial"/>
          <w:sz w:val="24"/>
          <w:szCs w:val="24"/>
        </w:rPr>
        <w:t xml:space="preserve">As of April 2021, there are 93 pharmacies commissioned by Cardiff and Vale University Health Board to provide the EMS service as part of the Coronavirus (COVID-19) response. </w:t>
      </w:r>
    </w:p>
    <w:p w14:paraId="3EEA98B3" w14:textId="740AAFD3" w:rsidR="00517717" w:rsidRPr="008B2B47" w:rsidRDefault="00517717" w:rsidP="00DC54F7">
      <w:pPr>
        <w:spacing w:after="240" w:line="240" w:lineRule="auto"/>
        <w:jc w:val="both"/>
        <w:rPr>
          <w:rFonts w:ascii="Arial" w:hAnsi="Arial" w:cs="Arial"/>
          <w:sz w:val="24"/>
          <w:szCs w:val="24"/>
        </w:rPr>
      </w:pPr>
      <w:r w:rsidRPr="008B2B47">
        <w:rPr>
          <w:rFonts w:ascii="Arial" w:hAnsi="Arial" w:cs="Arial"/>
          <w:sz w:val="24"/>
          <w:szCs w:val="24"/>
        </w:rPr>
        <w:lastRenderedPageBreak/>
        <w:t>In 2019</w:t>
      </w:r>
      <w:r w:rsidR="0089389F" w:rsidRPr="008B2B47">
        <w:rPr>
          <w:rFonts w:ascii="Arial" w:hAnsi="Arial" w:cs="Arial"/>
          <w:sz w:val="24"/>
          <w:szCs w:val="24"/>
        </w:rPr>
        <w:t xml:space="preserve"> to 2020,</w:t>
      </w:r>
      <w:r w:rsidRPr="008B2B47">
        <w:rPr>
          <w:rFonts w:ascii="Arial" w:hAnsi="Arial" w:cs="Arial"/>
          <w:sz w:val="24"/>
          <w:szCs w:val="24"/>
        </w:rPr>
        <w:t xml:space="preserve"> </w:t>
      </w:r>
      <w:r w:rsidR="00CF0524" w:rsidRPr="008B2B47">
        <w:rPr>
          <w:rFonts w:ascii="Arial" w:hAnsi="Arial" w:cs="Arial"/>
          <w:sz w:val="24"/>
          <w:szCs w:val="24"/>
        </w:rPr>
        <w:t>33</w:t>
      </w:r>
      <w:r w:rsidRPr="008B2B47">
        <w:rPr>
          <w:rFonts w:ascii="Arial" w:hAnsi="Arial" w:cs="Arial"/>
          <w:sz w:val="24"/>
          <w:szCs w:val="24"/>
        </w:rPr>
        <w:t xml:space="preserve"> pharmacies provided a total of </w:t>
      </w:r>
      <w:r w:rsidR="00CF0524" w:rsidRPr="008B2B47">
        <w:rPr>
          <w:rFonts w:ascii="Arial" w:hAnsi="Arial" w:cs="Arial"/>
          <w:sz w:val="24"/>
          <w:szCs w:val="24"/>
        </w:rPr>
        <w:t>681</w:t>
      </w:r>
      <w:r w:rsidRPr="008B2B47">
        <w:rPr>
          <w:rFonts w:ascii="Arial" w:hAnsi="Arial" w:cs="Arial"/>
          <w:sz w:val="24"/>
          <w:szCs w:val="24"/>
        </w:rPr>
        <w:t xml:space="preserve"> consultations over the year. </w:t>
      </w:r>
    </w:p>
    <w:p w14:paraId="7AC856FD" w14:textId="71D6EC5B" w:rsidR="00567D6B" w:rsidRPr="008B2B47" w:rsidRDefault="00567D6B" w:rsidP="00DC54F7">
      <w:pPr>
        <w:spacing w:after="240" w:line="240" w:lineRule="auto"/>
        <w:jc w:val="both"/>
        <w:rPr>
          <w:rFonts w:ascii="Arial" w:hAnsi="Arial" w:cs="Arial"/>
          <w:sz w:val="24"/>
          <w:szCs w:val="24"/>
        </w:rPr>
      </w:pPr>
      <w:r w:rsidRPr="008B2B47">
        <w:rPr>
          <w:rFonts w:ascii="Arial" w:hAnsi="Arial" w:cs="Arial"/>
          <w:sz w:val="24"/>
          <w:szCs w:val="24"/>
        </w:rPr>
        <w:t xml:space="preserve">The figure below shows the total number of consultations claimed under the service by pharmacies in the health board’s area in 2019 to 2020. </w:t>
      </w:r>
    </w:p>
    <w:p w14:paraId="72BE232A" w14:textId="48CE3EC5" w:rsidR="00567D6B" w:rsidRPr="008B2B47" w:rsidRDefault="00567D6B" w:rsidP="00DC54F7">
      <w:pPr>
        <w:spacing w:after="0" w:line="240" w:lineRule="auto"/>
        <w:jc w:val="both"/>
        <w:rPr>
          <w:rFonts w:ascii="Arial" w:hAnsi="Arial" w:cs="Arial"/>
          <w:b/>
          <w:sz w:val="24"/>
          <w:szCs w:val="24"/>
        </w:rPr>
      </w:pPr>
      <w:r w:rsidRPr="008B2B47">
        <w:rPr>
          <w:rFonts w:ascii="Arial" w:hAnsi="Arial" w:cs="Arial"/>
          <w:b/>
          <w:sz w:val="24"/>
          <w:szCs w:val="24"/>
        </w:rPr>
        <w:t xml:space="preserve">Figure </w:t>
      </w:r>
      <w:r w:rsidR="00EF3956" w:rsidRPr="008B2B47">
        <w:rPr>
          <w:rFonts w:ascii="Arial" w:hAnsi="Arial" w:cs="Arial"/>
          <w:b/>
          <w:sz w:val="24"/>
          <w:szCs w:val="24"/>
        </w:rPr>
        <w:t>5.</w:t>
      </w:r>
      <w:r w:rsidR="00523D21" w:rsidRPr="008B2B47">
        <w:rPr>
          <w:rFonts w:ascii="Arial" w:hAnsi="Arial" w:cs="Arial"/>
          <w:b/>
          <w:sz w:val="24"/>
          <w:szCs w:val="24"/>
        </w:rPr>
        <w:t>17</w:t>
      </w:r>
      <w:r w:rsidR="00EF3956" w:rsidRPr="008B2B47">
        <w:rPr>
          <w:rFonts w:ascii="Arial" w:hAnsi="Arial" w:cs="Arial"/>
          <w:b/>
          <w:sz w:val="24"/>
          <w:szCs w:val="24"/>
        </w:rPr>
        <w:t>:</w:t>
      </w:r>
      <w:r w:rsidRPr="008B2B47">
        <w:rPr>
          <w:rFonts w:ascii="Arial" w:hAnsi="Arial" w:cs="Arial"/>
          <w:b/>
          <w:sz w:val="24"/>
          <w:szCs w:val="24"/>
        </w:rPr>
        <w:t xml:space="preserve"> </w:t>
      </w:r>
      <w:r w:rsidR="00EF3956" w:rsidRPr="008B2B47">
        <w:rPr>
          <w:rFonts w:ascii="Arial" w:hAnsi="Arial" w:cs="Arial"/>
          <w:b/>
          <w:sz w:val="24"/>
          <w:szCs w:val="24"/>
        </w:rPr>
        <w:t>N</w:t>
      </w:r>
      <w:r w:rsidRPr="008B2B47">
        <w:rPr>
          <w:rFonts w:ascii="Arial" w:hAnsi="Arial" w:cs="Arial"/>
          <w:b/>
          <w:sz w:val="24"/>
          <w:szCs w:val="24"/>
        </w:rPr>
        <w:t>umber of consultations claimed in 2019 to 2020</w:t>
      </w:r>
    </w:p>
    <w:p w14:paraId="0357FAD2" w14:textId="77777777" w:rsidR="00567D6B" w:rsidRPr="009B2D1E" w:rsidRDefault="00567D6B" w:rsidP="00DC54F7">
      <w:pPr>
        <w:spacing w:after="240" w:line="240" w:lineRule="auto"/>
        <w:jc w:val="both"/>
        <w:rPr>
          <w:rFonts w:ascii="Arial" w:hAnsi="Arial" w:cs="Arial"/>
          <w:b/>
          <w:sz w:val="20"/>
          <w:szCs w:val="20"/>
        </w:rPr>
      </w:pPr>
      <w:r>
        <w:rPr>
          <w:noProof/>
          <w:lang w:eastAsia="en-GB"/>
        </w:rPr>
        <w:drawing>
          <wp:inline distT="0" distB="0" distL="0" distR="0" wp14:anchorId="55F1ED1D" wp14:editId="18E6B661">
            <wp:extent cx="5731510" cy="3670300"/>
            <wp:effectExtent l="0" t="0" r="2540" b="6350"/>
            <wp:docPr id="55" name="Chart 5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3E60CB4-41D7-4F23-9407-8D0BBCB6E1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41AB5CE8" w14:textId="16DF92DC" w:rsidR="00567D6B" w:rsidRPr="008B2B47" w:rsidRDefault="00567D6B" w:rsidP="00DC54F7">
      <w:pPr>
        <w:contextualSpacing/>
        <w:jc w:val="both"/>
        <w:rPr>
          <w:rFonts w:ascii="Arial" w:hAnsi="Arial" w:cs="Arial"/>
          <w:sz w:val="24"/>
          <w:szCs w:val="24"/>
        </w:rPr>
      </w:pPr>
      <w:r w:rsidRPr="008B2B47">
        <w:rPr>
          <w:rFonts w:ascii="Arial" w:hAnsi="Arial" w:cs="Arial"/>
          <w:sz w:val="24"/>
          <w:szCs w:val="24"/>
        </w:rPr>
        <w:t>The map below shows the location of those pharmacies that provided the service in 2019 to 2020.</w:t>
      </w:r>
    </w:p>
    <w:p w14:paraId="1A11C463" w14:textId="77777777" w:rsidR="00671E77" w:rsidRPr="008B2B47" w:rsidRDefault="00671E77" w:rsidP="00DC54F7">
      <w:pPr>
        <w:contextualSpacing/>
        <w:jc w:val="both"/>
        <w:rPr>
          <w:rFonts w:ascii="Arial" w:hAnsi="Arial" w:cs="Arial"/>
          <w:sz w:val="24"/>
          <w:szCs w:val="24"/>
        </w:rPr>
      </w:pPr>
    </w:p>
    <w:p w14:paraId="6EE1E9E6" w14:textId="77777777" w:rsidR="007E7CAE" w:rsidRDefault="007E7CAE" w:rsidP="00DC54F7">
      <w:pPr>
        <w:spacing w:after="0" w:line="240" w:lineRule="auto"/>
        <w:jc w:val="both"/>
        <w:rPr>
          <w:rFonts w:ascii="Arial" w:hAnsi="Arial" w:cs="Arial"/>
          <w:b/>
          <w:sz w:val="24"/>
          <w:szCs w:val="24"/>
        </w:rPr>
      </w:pPr>
    </w:p>
    <w:p w14:paraId="33F60CFD" w14:textId="77777777" w:rsidR="007E7CAE" w:rsidRDefault="007E7CAE" w:rsidP="00DC54F7">
      <w:pPr>
        <w:spacing w:after="0" w:line="240" w:lineRule="auto"/>
        <w:jc w:val="both"/>
        <w:rPr>
          <w:rFonts w:ascii="Arial" w:hAnsi="Arial" w:cs="Arial"/>
          <w:b/>
          <w:sz w:val="24"/>
          <w:szCs w:val="24"/>
        </w:rPr>
      </w:pPr>
    </w:p>
    <w:p w14:paraId="6C475E0A" w14:textId="77777777" w:rsidR="007E7CAE" w:rsidRDefault="007E7CAE" w:rsidP="00DC54F7">
      <w:pPr>
        <w:spacing w:after="0" w:line="240" w:lineRule="auto"/>
        <w:jc w:val="both"/>
        <w:rPr>
          <w:rFonts w:ascii="Arial" w:hAnsi="Arial" w:cs="Arial"/>
          <w:b/>
          <w:sz w:val="24"/>
          <w:szCs w:val="24"/>
        </w:rPr>
      </w:pPr>
    </w:p>
    <w:p w14:paraId="6CB42049" w14:textId="77777777" w:rsidR="007E7CAE" w:rsidRDefault="007E7CAE" w:rsidP="00DC54F7">
      <w:pPr>
        <w:spacing w:after="0" w:line="240" w:lineRule="auto"/>
        <w:jc w:val="both"/>
        <w:rPr>
          <w:rFonts w:ascii="Arial" w:hAnsi="Arial" w:cs="Arial"/>
          <w:b/>
          <w:sz w:val="24"/>
          <w:szCs w:val="24"/>
        </w:rPr>
      </w:pPr>
    </w:p>
    <w:p w14:paraId="31D62594" w14:textId="77777777" w:rsidR="007E7CAE" w:rsidRDefault="007E7CAE" w:rsidP="00DC54F7">
      <w:pPr>
        <w:spacing w:after="0" w:line="240" w:lineRule="auto"/>
        <w:jc w:val="both"/>
        <w:rPr>
          <w:rFonts w:ascii="Arial" w:hAnsi="Arial" w:cs="Arial"/>
          <w:b/>
          <w:sz w:val="24"/>
          <w:szCs w:val="24"/>
        </w:rPr>
      </w:pPr>
    </w:p>
    <w:p w14:paraId="7D985848" w14:textId="77777777" w:rsidR="007E7CAE" w:rsidRDefault="007E7CAE" w:rsidP="00DC54F7">
      <w:pPr>
        <w:spacing w:after="0" w:line="240" w:lineRule="auto"/>
        <w:jc w:val="both"/>
        <w:rPr>
          <w:rFonts w:ascii="Arial" w:hAnsi="Arial" w:cs="Arial"/>
          <w:b/>
          <w:sz w:val="24"/>
          <w:szCs w:val="24"/>
        </w:rPr>
      </w:pPr>
    </w:p>
    <w:p w14:paraId="377B5EBD" w14:textId="77777777" w:rsidR="007E7CAE" w:rsidRDefault="007E7CAE" w:rsidP="00DC54F7">
      <w:pPr>
        <w:spacing w:after="0" w:line="240" w:lineRule="auto"/>
        <w:jc w:val="both"/>
        <w:rPr>
          <w:rFonts w:ascii="Arial" w:hAnsi="Arial" w:cs="Arial"/>
          <w:b/>
          <w:sz w:val="24"/>
          <w:szCs w:val="24"/>
        </w:rPr>
      </w:pPr>
    </w:p>
    <w:p w14:paraId="5C8F2248" w14:textId="77777777" w:rsidR="007E7CAE" w:rsidRDefault="007E7CAE" w:rsidP="00DC54F7">
      <w:pPr>
        <w:spacing w:after="0" w:line="240" w:lineRule="auto"/>
        <w:jc w:val="both"/>
        <w:rPr>
          <w:rFonts w:ascii="Arial" w:hAnsi="Arial" w:cs="Arial"/>
          <w:b/>
          <w:sz w:val="24"/>
          <w:szCs w:val="24"/>
        </w:rPr>
      </w:pPr>
    </w:p>
    <w:p w14:paraId="2DF7F478" w14:textId="77777777" w:rsidR="007E7CAE" w:rsidRDefault="007E7CAE" w:rsidP="00DC54F7">
      <w:pPr>
        <w:spacing w:after="0" w:line="240" w:lineRule="auto"/>
        <w:jc w:val="both"/>
        <w:rPr>
          <w:rFonts w:ascii="Arial" w:hAnsi="Arial" w:cs="Arial"/>
          <w:b/>
          <w:sz w:val="24"/>
          <w:szCs w:val="24"/>
        </w:rPr>
      </w:pPr>
    </w:p>
    <w:p w14:paraId="3BF526AB" w14:textId="77777777" w:rsidR="007E7CAE" w:rsidRDefault="007E7CAE" w:rsidP="00DC54F7">
      <w:pPr>
        <w:spacing w:after="0" w:line="240" w:lineRule="auto"/>
        <w:jc w:val="both"/>
        <w:rPr>
          <w:rFonts w:ascii="Arial" w:hAnsi="Arial" w:cs="Arial"/>
          <w:b/>
          <w:sz w:val="24"/>
          <w:szCs w:val="24"/>
        </w:rPr>
      </w:pPr>
    </w:p>
    <w:p w14:paraId="18FAF66C" w14:textId="77777777" w:rsidR="007E7CAE" w:rsidRDefault="007E7CAE" w:rsidP="00DC54F7">
      <w:pPr>
        <w:spacing w:after="0" w:line="240" w:lineRule="auto"/>
        <w:jc w:val="both"/>
        <w:rPr>
          <w:rFonts w:ascii="Arial" w:hAnsi="Arial" w:cs="Arial"/>
          <w:b/>
          <w:sz w:val="24"/>
          <w:szCs w:val="24"/>
        </w:rPr>
      </w:pPr>
    </w:p>
    <w:p w14:paraId="2CBE9915" w14:textId="77777777" w:rsidR="007E7CAE" w:rsidRDefault="007E7CAE" w:rsidP="00DC54F7">
      <w:pPr>
        <w:spacing w:after="0" w:line="240" w:lineRule="auto"/>
        <w:jc w:val="both"/>
        <w:rPr>
          <w:rFonts w:ascii="Arial" w:hAnsi="Arial" w:cs="Arial"/>
          <w:b/>
          <w:sz w:val="24"/>
          <w:szCs w:val="24"/>
        </w:rPr>
      </w:pPr>
    </w:p>
    <w:p w14:paraId="4FBF8D20" w14:textId="6B567487" w:rsidR="007E7CAE" w:rsidRDefault="007E7CAE">
      <w:pPr>
        <w:rPr>
          <w:rFonts w:ascii="Arial" w:hAnsi="Arial" w:cs="Arial"/>
          <w:b/>
          <w:sz w:val="24"/>
          <w:szCs w:val="24"/>
        </w:rPr>
      </w:pPr>
      <w:r>
        <w:rPr>
          <w:rFonts w:ascii="Arial" w:hAnsi="Arial" w:cs="Arial"/>
          <w:b/>
          <w:sz w:val="24"/>
          <w:szCs w:val="24"/>
        </w:rPr>
        <w:br w:type="page"/>
      </w:r>
    </w:p>
    <w:p w14:paraId="68AF942A" w14:textId="22694BAD" w:rsidR="00517717" w:rsidRPr="008B2B47" w:rsidRDefault="00517717" w:rsidP="00DC54F7">
      <w:pPr>
        <w:spacing w:after="0" w:line="240" w:lineRule="auto"/>
        <w:jc w:val="both"/>
        <w:rPr>
          <w:rFonts w:ascii="Arial" w:hAnsi="Arial" w:cs="Arial"/>
          <w:b/>
          <w:sz w:val="24"/>
          <w:szCs w:val="24"/>
        </w:rPr>
      </w:pPr>
      <w:r w:rsidRPr="008B2B47">
        <w:rPr>
          <w:rFonts w:ascii="Arial" w:hAnsi="Arial" w:cs="Arial"/>
          <w:b/>
          <w:sz w:val="24"/>
          <w:szCs w:val="24"/>
        </w:rPr>
        <w:lastRenderedPageBreak/>
        <w:t>Map</w:t>
      </w:r>
      <w:r w:rsidR="00911F62" w:rsidRPr="008B2B47">
        <w:rPr>
          <w:rFonts w:ascii="Arial" w:hAnsi="Arial" w:cs="Arial"/>
          <w:b/>
          <w:sz w:val="24"/>
          <w:szCs w:val="24"/>
        </w:rPr>
        <w:t xml:space="preserve"> 5.10:</w:t>
      </w:r>
      <w:r w:rsidRPr="008B2B47">
        <w:rPr>
          <w:rFonts w:ascii="Arial" w:hAnsi="Arial" w:cs="Arial"/>
          <w:b/>
          <w:sz w:val="24"/>
          <w:szCs w:val="24"/>
        </w:rPr>
        <w:t xml:space="preserve"> </w:t>
      </w:r>
      <w:r w:rsidR="00911F62" w:rsidRPr="008B2B47">
        <w:rPr>
          <w:rFonts w:ascii="Arial" w:hAnsi="Arial" w:cs="Arial"/>
          <w:b/>
          <w:sz w:val="24"/>
          <w:szCs w:val="24"/>
        </w:rPr>
        <w:t>L</w:t>
      </w:r>
      <w:r w:rsidRPr="008B2B47">
        <w:rPr>
          <w:rFonts w:ascii="Arial" w:hAnsi="Arial" w:cs="Arial"/>
          <w:b/>
          <w:sz w:val="24"/>
          <w:szCs w:val="24"/>
        </w:rPr>
        <w:t xml:space="preserve">ocation of the pharmacies providing </w:t>
      </w:r>
      <w:r w:rsidR="00671E77" w:rsidRPr="008B2B47">
        <w:rPr>
          <w:rFonts w:ascii="Arial" w:hAnsi="Arial" w:cs="Arial"/>
          <w:b/>
          <w:sz w:val="24"/>
          <w:szCs w:val="24"/>
        </w:rPr>
        <w:t xml:space="preserve">EMS </w:t>
      </w:r>
      <w:r w:rsidR="00B57A56" w:rsidRPr="008B2B47">
        <w:rPr>
          <w:rFonts w:ascii="Arial" w:hAnsi="Arial" w:cs="Arial"/>
          <w:b/>
          <w:sz w:val="24"/>
          <w:szCs w:val="24"/>
        </w:rPr>
        <w:t>E</w:t>
      </w:r>
      <w:r w:rsidRPr="008B2B47">
        <w:rPr>
          <w:rFonts w:ascii="Arial" w:hAnsi="Arial" w:cs="Arial"/>
          <w:b/>
          <w:sz w:val="24"/>
          <w:szCs w:val="24"/>
        </w:rPr>
        <w:t xml:space="preserve">nhanced </w:t>
      </w:r>
      <w:r w:rsidR="00B57A56" w:rsidRPr="008B2B47">
        <w:rPr>
          <w:rFonts w:ascii="Arial" w:hAnsi="Arial" w:cs="Arial"/>
          <w:b/>
          <w:sz w:val="24"/>
          <w:szCs w:val="24"/>
        </w:rPr>
        <w:t>S</w:t>
      </w:r>
      <w:r w:rsidRPr="008B2B47">
        <w:rPr>
          <w:rFonts w:ascii="Arial" w:hAnsi="Arial" w:cs="Arial"/>
          <w:b/>
          <w:sz w:val="24"/>
          <w:szCs w:val="24"/>
        </w:rPr>
        <w:t>ervice in 2019</w:t>
      </w:r>
      <w:r w:rsidR="007A20E1" w:rsidRPr="008B2B47">
        <w:rPr>
          <w:rFonts w:ascii="Arial" w:hAnsi="Arial" w:cs="Arial"/>
          <w:b/>
          <w:sz w:val="24"/>
          <w:szCs w:val="24"/>
        </w:rPr>
        <w:t xml:space="preserve"> to 20</w:t>
      </w:r>
      <w:r w:rsidRPr="008B2B47">
        <w:rPr>
          <w:rFonts w:ascii="Arial" w:hAnsi="Arial" w:cs="Arial"/>
          <w:b/>
          <w:sz w:val="24"/>
          <w:szCs w:val="24"/>
        </w:rPr>
        <w:t>20</w:t>
      </w:r>
    </w:p>
    <w:p w14:paraId="135B5833" w14:textId="042EA5D8" w:rsidR="00D27F5C" w:rsidRDefault="006A23CB" w:rsidP="00DC54F7">
      <w:pPr>
        <w:spacing w:after="0" w:line="240" w:lineRule="auto"/>
        <w:jc w:val="both"/>
        <w:rPr>
          <w:rFonts w:ascii="Arial" w:hAnsi="Arial" w:cs="Arial"/>
          <w:b/>
        </w:rPr>
      </w:pPr>
      <w:r>
        <w:rPr>
          <w:noProof/>
          <w:lang w:eastAsia="en-GB"/>
        </w:rPr>
        <w:drawing>
          <wp:inline distT="0" distB="0" distL="0" distR="0" wp14:anchorId="30462F49" wp14:editId="4C478498">
            <wp:extent cx="5731510" cy="4055110"/>
            <wp:effectExtent l="0" t="0" r="2540" b="254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731510" cy="4055110"/>
                    </a:xfrm>
                    <a:prstGeom prst="rect">
                      <a:avLst/>
                    </a:prstGeom>
                    <a:noFill/>
                    <a:ln>
                      <a:noFill/>
                    </a:ln>
                  </pic:spPr>
                </pic:pic>
              </a:graphicData>
            </a:graphic>
          </wp:inline>
        </w:drawing>
      </w:r>
    </w:p>
    <w:p w14:paraId="43E00920" w14:textId="2212008D" w:rsidR="00D27F5C" w:rsidRPr="00517717" w:rsidRDefault="00D025FB" w:rsidP="00DC54F7">
      <w:pPr>
        <w:spacing w:after="0" w:line="240" w:lineRule="auto"/>
        <w:jc w:val="both"/>
        <w:rPr>
          <w:rFonts w:ascii="Arial" w:hAnsi="Arial" w:cs="Arial"/>
          <w:b/>
        </w:rPr>
      </w:pPr>
      <w:r>
        <w:rPr>
          <w:noProof/>
          <w:lang w:eastAsia="en-GB"/>
        </w:rPr>
        <w:drawing>
          <wp:inline distT="0" distB="0" distL="0" distR="0" wp14:anchorId="7F85DBD4" wp14:editId="137ED297">
            <wp:extent cx="5731510" cy="4055110"/>
            <wp:effectExtent l="0" t="0" r="2540" b="254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731510" cy="4055110"/>
                    </a:xfrm>
                    <a:prstGeom prst="rect">
                      <a:avLst/>
                    </a:prstGeom>
                    <a:noFill/>
                    <a:ln>
                      <a:noFill/>
                    </a:ln>
                  </pic:spPr>
                </pic:pic>
              </a:graphicData>
            </a:graphic>
          </wp:inline>
        </w:drawing>
      </w:r>
    </w:p>
    <w:p w14:paraId="4FEBF2EF" w14:textId="77777777" w:rsidR="00F84D97" w:rsidRDefault="00F84D97" w:rsidP="00DC54F7">
      <w:pPr>
        <w:spacing w:after="0" w:line="240" w:lineRule="auto"/>
        <w:jc w:val="both"/>
        <w:rPr>
          <w:rFonts w:ascii="Arial" w:hAnsi="Arial" w:cs="Arial"/>
          <w:b/>
          <w:sz w:val="24"/>
          <w:szCs w:val="24"/>
        </w:rPr>
      </w:pPr>
    </w:p>
    <w:p w14:paraId="50FD8E08" w14:textId="01DB0EA8" w:rsidR="0030055B" w:rsidRPr="008B2B47" w:rsidRDefault="006F2456" w:rsidP="00DC54F7">
      <w:pPr>
        <w:spacing w:after="240" w:line="240" w:lineRule="auto"/>
        <w:jc w:val="both"/>
        <w:rPr>
          <w:rFonts w:ascii="Arial" w:hAnsi="Arial" w:cs="Arial"/>
          <w:sz w:val="24"/>
          <w:szCs w:val="24"/>
        </w:rPr>
      </w:pPr>
      <w:r w:rsidRPr="008B2B47">
        <w:rPr>
          <w:rFonts w:ascii="Arial" w:hAnsi="Arial" w:cs="Arial"/>
          <w:sz w:val="24"/>
          <w:szCs w:val="24"/>
        </w:rPr>
        <w:lastRenderedPageBreak/>
        <w:t>53</w:t>
      </w:r>
      <w:r w:rsidR="0030055B" w:rsidRPr="008B2B47">
        <w:rPr>
          <w:rFonts w:ascii="Arial" w:hAnsi="Arial" w:cs="Arial"/>
          <w:sz w:val="24"/>
          <w:szCs w:val="24"/>
        </w:rPr>
        <w:t xml:space="preserve"> pharmacies provided a total of </w:t>
      </w:r>
      <w:r w:rsidRPr="008B2B47">
        <w:rPr>
          <w:rFonts w:ascii="Arial" w:hAnsi="Arial" w:cs="Arial"/>
          <w:sz w:val="24"/>
          <w:szCs w:val="24"/>
        </w:rPr>
        <w:t>819</w:t>
      </w:r>
      <w:r w:rsidR="0030055B" w:rsidRPr="008B2B47">
        <w:rPr>
          <w:rFonts w:ascii="Arial" w:hAnsi="Arial" w:cs="Arial"/>
          <w:sz w:val="24"/>
          <w:szCs w:val="24"/>
        </w:rPr>
        <w:t xml:space="preserve"> consultations in the first five months of 2020</w:t>
      </w:r>
      <w:r w:rsidRPr="008B2B47">
        <w:rPr>
          <w:rFonts w:ascii="Arial" w:hAnsi="Arial" w:cs="Arial"/>
          <w:sz w:val="24"/>
          <w:szCs w:val="24"/>
        </w:rPr>
        <w:t xml:space="preserve"> to 20</w:t>
      </w:r>
      <w:r w:rsidR="0030055B" w:rsidRPr="008B2B47">
        <w:rPr>
          <w:rFonts w:ascii="Arial" w:hAnsi="Arial" w:cs="Arial"/>
          <w:sz w:val="24"/>
          <w:szCs w:val="24"/>
        </w:rPr>
        <w:t>21. The figure below shows the total number of consultations claimed under the service by pharmacies in the health board’s area in the first five months of 2020</w:t>
      </w:r>
      <w:r w:rsidRPr="008B2B47">
        <w:rPr>
          <w:rFonts w:ascii="Arial" w:hAnsi="Arial" w:cs="Arial"/>
          <w:sz w:val="24"/>
          <w:szCs w:val="24"/>
        </w:rPr>
        <w:t xml:space="preserve"> to 20</w:t>
      </w:r>
      <w:r w:rsidR="0030055B" w:rsidRPr="008B2B47">
        <w:rPr>
          <w:rFonts w:ascii="Arial" w:hAnsi="Arial" w:cs="Arial"/>
          <w:sz w:val="24"/>
          <w:szCs w:val="24"/>
        </w:rPr>
        <w:t>21.</w:t>
      </w:r>
    </w:p>
    <w:p w14:paraId="2A3EB421" w14:textId="68189B9A" w:rsidR="0030055B" w:rsidRPr="008B2B47" w:rsidRDefault="0030055B" w:rsidP="00DC54F7">
      <w:pPr>
        <w:spacing w:after="0" w:line="240" w:lineRule="auto"/>
        <w:jc w:val="both"/>
        <w:rPr>
          <w:rFonts w:ascii="Arial" w:hAnsi="Arial" w:cs="Arial"/>
          <w:b/>
          <w:sz w:val="24"/>
          <w:szCs w:val="24"/>
        </w:rPr>
      </w:pPr>
      <w:r w:rsidRPr="008B2B47">
        <w:rPr>
          <w:rFonts w:ascii="Arial" w:hAnsi="Arial" w:cs="Arial"/>
          <w:b/>
          <w:sz w:val="24"/>
          <w:szCs w:val="24"/>
        </w:rPr>
        <w:t xml:space="preserve">Figure </w:t>
      </w:r>
      <w:r w:rsidR="00EF3956" w:rsidRPr="008B2B47">
        <w:rPr>
          <w:rFonts w:ascii="Arial" w:hAnsi="Arial" w:cs="Arial"/>
          <w:b/>
          <w:sz w:val="24"/>
          <w:szCs w:val="24"/>
        </w:rPr>
        <w:t>5.</w:t>
      </w:r>
      <w:r w:rsidR="00523D21" w:rsidRPr="008B2B47">
        <w:rPr>
          <w:rFonts w:ascii="Arial" w:hAnsi="Arial" w:cs="Arial"/>
          <w:b/>
          <w:sz w:val="24"/>
          <w:szCs w:val="24"/>
        </w:rPr>
        <w:t>18</w:t>
      </w:r>
      <w:r w:rsidR="00EF3956" w:rsidRPr="008B2B47">
        <w:rPr>
          <w:rFonts w:ascii="Arial" w:hAnsi="Arial" w:cs="Arial"/>
          <w:b/>
          <w:sz w:val="24"/>
          <w:szCs w:val="24"/>
        </w:rPr>
        <w:t>:</w:t>
      </w:r>
      <w:r w:rsidRPr="008B2B47">
        <w:rPr>
          <w:rFonts w:ascii="Arial" w:hAnsi="Arial" w:cs="Arial"/>
          <w:b/>
          <w:sz w:val="24"/>
          <w:szCs w:val="24"/>
        </w:rPr>
        <w:t xml:space="preserve"> </w:t>
      </w:r>
      <w:r w:rsidR="00EF3956" w:rsidRPr="008B2B47">
        <w:rPr>
          <w:rFonts w:ascii="Arial" w:hAnsi="Arial" w:cs="Arial"/>
          <w:b/>
          <w:sz w:val="24"/>
          <w:szCs w:val="24"/>
        </w:rPr>
        <w:t>N</w:t>
      </w:r>
      <w:r w:rsidRPr="008B2B47">
        <w:rPr>
          <w:rFonts w:ascii="Arial" w:hAnsi="Arial" w:cs="Arial"/>
          <w:b/>
          <w:sz w:val="24"/>
          <w:szCs w:val="24"/>
        </w:rPr>
        <w:t>umber of consultations claimed in 2020</w:t>
      </w:r>
      <w:r w:rsidR="006F2456" w:rsidRPr="008B2B47">
        <w:rPr>
          <w:rFonts w:ascii="Arial" w:hAnsi="Arial" w:cs="Arial"/>
          <w:b/>
          <w:sz w:val="24"/>
          <w:szCs w:val="24"/>
        </w:rPr>
        <w:t xml:space="preserve"> to 20</w:t>
      </w:r>
      <w:r w:rsidRPr="008B2B47">
        <w:rPr>
          <w:rFonts w:ascii="Arial" w:hAnsi="Arial" w:cs="Arial"/>
          <w:b/>
          <w:sz w:val="24"/>
          <w:szCs w:val="24"/>
        </w:rPr>
        <w:t>21</w:t>
      </w:r>
    </w:p>
    <w:p w14:paraId="34C751C2" w14:textId="32A3E34B" w:rsidR="00F84D97" w:rsidRPr="008B2B47" w:rsidRDefault="00733456" w:rsidP="00DC54F7">
      <w:pPr>
        <w:spacing w:after="240" w:line="240" w:lineRule="auto"/>
        <w:jc w:val="both"/>
        <w:rPr>
          <w:rFonts w:ascii="Arial" w:hAnsi="Arial" w:cs="Arial"/>
          <w:b/>
        </w:rPr>
      </w:pPr>
      <w:r>
        <w:rPr>
          <w:noProof/>
          <w:lang w:eastAsia="en-GB"/>
        </w:rPr>
        <w:drawing>
          <wp:inline distT="0" distB="0" distL="0" distR="0" wp14:anchorId="311AA9C7" wp14:editId="027B7000">
            <wp:extent cx="5629275" cy="3136900"/>
            <wp:effectExtent l="0" t="0" r="9525" b="6350"/>
            <wp:docPr id="56" name="Chart 5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29E0CCB-B1C6-4CAE-8088-221D6DF632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039D94C8" w14:textId="16D38D73" w:rsidR="0011645E" w:rsidRPr="008B2B47" w:rsidRDefault="00DB5DB2" w:rsidP="00DC54F7">
      <w:pPr>
        <w:spacing w:after="240" w:line="240" w:lineRule="auto"/>
        <w:jc w:val="both"/>
        <w:rPr>
          <w:rFonts w:ascii="Arial" w:hAnsi="Arial" w:cs="Arial"/>
          <w:b/>
          <w:sz w:val="24"/>
          <w:szCs w:val="24"/>
        </w:rPr>
      </w:pPr>
      <w:r w:rsidRPr="008B2B47">
        <w:rPr>
          <w:rFonts w:ascii="Arial" w:hAnsi="Arial" w:cs="Arial"/>
          <w:sz w:val="24"/>
          <w:szCs w:val="24"/>
        </w:rPr>
        <w:t xml:space="preserve">The figure below compares provision of the service </w:t>
      </w:r>
      <w:r w:rsidR="007961D9" w:rsidRPr="008B2B47">
        <w:rPr>
          <w:rFonts w:ascii="Arial" w:hAnsi="Arial" w:cs="Arial"/>
          <w:sz w:val="24"/>
          <w:szCs w:val="24"/>
        </w:rPr>
        <w:t>between April 2019 and August 2021.</w:t>
      </w:r>
    </w:p>
    <w:p w14:paraId="23F0705B" w14:textId="2E9DFF08" w:rsidR="002039EF" w:rsidRPr="008B2B47" w:rsidRDefault="00DB5DB2" w:rsidP="00DC54F7">
      <w:pPr>
        <w:spacing w:after="0" w:line="240" w:lineRule="auto"/>
        <w:jc w:val="both"/>
        <w:rPr>
          <w:rFonts w:ascii="Arial" w:hAnsi="Arial" w:cs="Arial"/>
          <w:b/>
          <w:sz w:val="24"/>
          <w:szCs w:val="24"/>
        </w:rPr>
      </w:pPr>
      <w:r w:rsidRPr="008B2B47">
        <w:rPr>
          <w:rFonts w:ascii="Arial" w:hAnsi="Arial" w:cs="Arial"/>
          <w:b/>
          <w:sz w:val="24"/>
          <w:szCs w:val="24"/>
        </w:rPr>
        <w:t xml:space="preserve">Figure </w:t>
      </w:r>
      <w:r w:rsidR="00EF3956" w:rsidRPr="008B2B47">
        <w:rPr>
          <w:rFonts w:ascii="Arial" w:hAnsi="Arial" w:cs="Arial"/>
          <w:b/>
          <w:sz w:val="24"/>
          <w:szCs w:val="24"/>
        </w:rPr>
        <w:t>5.</w:t>
      </w:r>
      <w:r w:rsidR="00523D21" w:rsidRPr="008B2B47">
        <w:rPr>
          <w:rFonts w:ascii="Arial" w:hAnsi="Arial" w:cs="Arial"/>
          <w:b/>
          <w:sz w:val="24"/>
          <w:szCs w:val="24"/>
        </w:rPr>
        <w:t>19</w:t>
      </w:r>
      <w:r w:rsidR="00EF3956" w:rsidRPr="008B2B47">
        <w:rPr>
          <w:rFonts w:ascii="Arial" w:hAnsi="Arial" w:cs="Arial"/>
          <w:b/>
          <w:sz w:val="24"/>
          <w:szCs w:val="24"/>
        </w:rPr>
        <w:t>:</w:t>
      </w:r>
      <w:r w:rsidRPr="008B2B47">
        <w:rPr>
          <w:rFonts w:ascii="Arial" w:hAnsi="Arial" w:cs="Arial"/>
          <w:b/>
          <w:sz w:val="24"/>
          <w:szCs w:val="24"/>
        </w:rPr>
        <w:t xml:space="preserve"> </w:t>
      </w:r>
      <w:r w:rsidR="00EF3956" w:rsidRPr="008B2B47">
        <w:rPr>
          <w:rFonts w:ascii="Arial" w:hAnsi="Arial" w:cs="Arial"/>
          <w:b/>
          <w:sz w:val="24"/>
          <w:szCs w:val="24"/>
        </w:rPr>
        <w:t>N</w:t>
      </w:r>
      <w:r w:rsidRPr="008B2B47">
        <w:rPr>
          <w:rFonts w:ascii="Arial" w:hAnsi="Arial" w:cs="Arial"/>
          <w:b/>
          <w:sz w:val="24"/>
          <w:szCs w:val="24"/>
        </w:rPr>
        <w:t xml:space="preserve">umber of consultations from </w:t>
      </w:r>
      <w:r w:rsidR="00CA4845" w:rsidRPr="008B2B47">
        <w:rPr>
          <w:rFonts w:ascii="Arial" w:hAnsi="Arial" w:cs="Arial"/>
          <w:b/>
          <w:sz w:val="24"/>
          <w:szCs w:val="24"/>
        </w:rPr>
        <w:t xml:space="preserve">April </w:t>
      </w:r>
      <w:r w:rsidR="00B76B15" w:rsidRPr="008B2B47">
        <w:rPr>
          <w:rFonts w:ascii="Arial" w:hAnsi="Arial" w:cs="Arial"/>
          <w:b/>
          <w:sz w:val="24"/>
          <w:szCs w:val="24"/>
        </w:rPr>
        <w:t>20</w:t>
      </w:r>
      <w:r w:rsidRPr="008B2B47">
        <w:rPr>
          <w:rFonts w:ascii="Arial" w:hAnsi="Arial" w:cs="Arial"/>
          <w:b/>
          <w:sz w:val="24"/>
          <w:szCs w:val="24"/>
        </w:rPr>
        <w:t>19 to August 202</w:t>
      </w:r>
      <w:r w:rsidR="002F1159" w:rsidRPr="008B2B47">
        <w:rPr>
          <w:rFonts w:ascii="Arial" w:hAnsi="Arial" w:cs="Arial"/>
          <w:b/>
          <w:sz w:val="24"/>
          <w:szCs w:val="24"/>
        </w:rPr>
        <w:t>0</w:t>
      </w:r>
    </w:p>
    <w:p w14:paraId="2AFC38C2" w14:textId="53024BAF" w:rsidR="002039EF" w:rsidRPr="00B76B15" w:rsidRDefault="002039EF" w:rsidP="00DC54F7">
      <w:pPr>
        <w:spacing w:after="0" w:line="240" w:lineRule="auto"/>
        <w:jc w:val="both"/>
        <w:rPr>
          <w:rFonts w:ascii="Arial" w:hAnsi="Arial" w:cs="Arial"/>
          <w:b/>
        </w:rPr>
      </w:pPr>
      <w:r>
        <w:rPr>
          <w:noProof/>
          <w:lang w:eastAsia="en-GB"/>
        </w:rPr>
        <w:drawing>
          <wp:inline distT="0" distB="0" distL="0" distR="0" wp14:anchorId="1A1E63A6" wp14:editId="3E592B01">
            <wp:extent cx="5645150" cy="3441700"/>
            <wp:effectExtent l="0" t="0" r="12700" b="6350"/>
            <wp:docPr id="207" name="Chart 20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94DF5FE-B1BA-4A79-9807-B3A6DED56D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7848E977" w14:textId="77777777" w:rsidR="004F5600" w:rsidRDefault="004F5600" w:rsidP="00DC54F7">
      <w:pPr>
        <w:spacing w:after="0" w:line="240" w:lineRule="auto"/>
        <w:jc w:val="both"/>
        <w:rPr>
          <w:rFonts w:ascii="Verdana" w:hAnsi="Verdana" w:cs="Arial"/>
          <w:b/>
        </w:rPr>
      </w:pPr>
    </w:p>
    <w:p w14:paraId="1718E64B" w14:textId="38EBF9A5" w:rsidR="00F170D2" w:rsidRPr="008B2B47" w:rsidRDefault="00F170D2" w:rsidP="00DC54F7">
      <w:pPr>
        <w:spacing w:after="0" w:line="240" w:lineRule="auto"/>
        <w:contextualSpacing/>
        <w:jc w:val="both"/>
        <w:rPr>
          <w:rFonts w:ascii="Arial" w:hAnsi="Arial" w:cs="Arial"/>
          <w:sz w:val="24"/>
          <w:szCs w:val="24"/>
        </w:rPr>
      </w:pPr>
      <w:r w:rsidRPr="008B2B47">
        <w:rPr>
          <w:rFonts w:ascii="Arial" w:hAnsi="Arial" w:cs="Arial"/>
          <w:sz w:val="24"/>
          <w:szCs w:val="24"/>
        </w:rPr>
        <w:lastRenderedPageBreak/>
        <w:t xml:space="preserve">Based upon the level of provision in 2019 to 2020, the </w:t>
      </w:r>
      <w:r w:rsidR="00BB6B73" w:rsidRPr="008B2B47">
        <w:rPr>
          <w:rFonts w:ascii="Arial" w:hAnsi="Arial" w:cs="Arial"/>
          <w:sz w:val="24"/>
          <w:szCs w:val="24"/>
        </w:rPr>
        <w:t>Cardiff and Vale Univer</w:t>
      </w:r>
      <w:r w:rsidR="00160334" w:rsidRPr="008B2B47">
        <w:rPr>
          <w:rFonts w:ascii="Arial" w:hAnsi="Arial" w:cs="Arial"/>
          <w:sz w:val="24"/>
          <w:szCs w:val="24"/>
        </w:rPr>
        <w:t>si</w:t>
      </w:r>
      <w:r w:rsidR="00BB6B73" w:rsidRPr="008B2B47">
        <w:rPr>
          <w:rFonts w:ascii="Arial" w:hAnsi="Arial" w:cs="Arial"/>
          <w:sz w:val="24"/>
          <w:szCs w:val="24"/>
        </w:rPr>
        <w:t>ty Health Board</w:t>
      </w:r>
      <w:r w:rsidRPr="008B2B47">
        <w:rPr>
          <w:rFonts w:ascii="Arial" w:hAnsi="Arial" w:cs="Arial"/>
          <w:sz w:val="24"/>
          <w:szCs w:val="24"/>
        </w:rPr>
        <w:t xml:space="preserve"> is satisfied that there is sufficient capacity within existing contractors to provide more EMS consultations.</w:t>
      </w:r>
    </w:p>
    <w:p w14:paraId="3147817F" w14:textId="77777777" w:rsidR="00F170D2" w:rsidRPr="008B2B47" w:rsidRDefault="00F170D2" w:rsidP="00DC54F7">
      <w:pPr>
        <w:spacing w:after="0" w:line="240" w:lineRule="auto"/>
        <w:contextualSpacing/>
        <w:jc w:val="both"/>
        <w:rPr>
          <w:rFonts w:ascii="Arial" w:hAnsi="Arial" w:cs="Arial"/>
          <w:sz w:val="24"/>
          <w:szCs w:val="24"/>
        </w:rPr>
      </w:pPr>
    </w:p>
    <w:p w14:paraId="1F3FAC19" w14:textId="209C020A" w:rsidR="00F170D2" w:rsidRPr="008B2B47" w:rsidRDefault="00F170D2" w:rsidP="00DC54F7">
      <w:pPr>
        <w:spacing w:after="0" w:line="240" w:lineRule="auto"/>
        <w:jc w:val="both"/>
        <w:rPr>
          <w:rFonts w:ascii="Arial" w:hAnsi="Arial" w:cs="Arial"/>
          <w:sz w:val="24"/>
          <w:szCs w:val="24"/>
        </w:rPr>
      </w:pPr>
      <w:r w:rsidRPr="008B2B47">
        <w:rPr>
          <w:rFonts w:ascii="Arial" w:hAnsi="Arial" w:cs="Arial"/>
          <w:sz w:val="24"/>
          <w:szCs w:val="24"/>
        </w:rPr>
        <w:t>From the data available for 2020 to 2021</w:t>
      </w:r>
      <w:r w:rsidR="0084605C" w:rsidRPr="008B2B47">
        <w:rPr>
          <w:rFonts w:ascii="Arial" w:hAnsi="Arial" w:cs="Arial"/>
          <w:sz w:val="24"/>
          <w:szCs w:val="24"/>
        </w:rPr>
        <w:t>,</w:t>
      </w:r>
      <w:r w:rsidRPr="008B2B47">
        <w:rPr>
          <w:rFonts w:ascii="Arial" w:hAnsi="Arial" w:cs="Arial"/>
          <w:sz w:val="24"/>
          <w:szCs w:val="24"/>
        </w:rPr>
        <w:t xml:space="preserve"> there is no evidence to support a different conclusion. </w:t>
      </w:r>
      <w:r w:rsidR="00D15F82" w:rsidRPr="008B2B47">
        <w:rPr>
          <w:rFonts w:ascii="Arial" w:hAnsi="Arial" w:cs="Arial"/>
          <w:sz w:val="24"/>
          <w:szCs w:val="24"/>
        </w:rPr>
        <w:t xml:space="preserve">However, it is acknowledged that the Coronavirus (COVID-19) pandemic </w:t>
      </w:r>
      <w:r w:rsidR="00A202DD" w:rsidRPr="008B2B47">
        <w:rPr>
          <w:rFonts w:ascii="Arial" w:hAnsi="Arial" w:cs="Arial"/>
          <w:sz w:val="24"/>
          <w:szCs w:val="24"/>
        </w:rPr>
        <w:t>and resultant changes in access to GPs</w:t>
      </w:r>
      <w:r w:rsidR="0084605C" w:rsidRPr="008B2B47">
        <w:rPr>
          <w:rFonts w:ascii="Arial" w:hAnsi="Arial" w:cs="Arial"/>
          <w:sz w:val="24"/>
          <w:szCs w:val="24"/>
        </w:rPr>
        <w:t xml:space="preserve"> </w:t>
      </w:r>
      <w:r w:rsidR="00D15F82" w:rsidRPr="008B2B47">
        <w:rPr>
          <w:rFonts w:ascii="Arial" w:hAnsi="Arial" w:cs="Arial"/>
          <w:sz w:val="24"/>
          <w:szCs w:val="24"/>
        </w:rPr>
        <w:t xml:space="preserve">will have </w:t>
      </w:r>
      <w:r w:rsidR="0084605C" w:rsidRPr="008B2B47">
        <w:rPr>
          <w:rFonts w:ascii="Arial" w:hAnsi="Arial" w:cs="Arial"/>
          <w:sz w:val="24"/>
          <w:szCs w:val="24"/>
        </w:rPr>
        <w:t xml:space="preserve">driven the delivery of this service </w:t>
      </w:r>
      <w:r w:rsidR="00D15F82" w:rsidRPr="008B2B47">
        <w:rPr>
          <w:rFonts w:ascii="Arial" w:hAnsi="Arial" w:cs="Arial"/>
          <w:sz w:val="24"/>
          <w:szCs w:val="24"/>
        </w:rPr>
        <w:t>during 2020 to 2021. Further analysis is undertaken within the cluster chapters.</w:t>
      </w:r>
    </w:p>
    <w:p w14:paraId="054170CF" w14:textId="27423C0E" w:rsidR="00E57627" w:rsidRPr="008B2B47" w:rsidRDefault="00E57627" w:rsidP="00DC54F7">
      <w:pPr>
        <w:spacing w:after="0" w:line="240" w:lineRule="auto"/>
        <w:jc w:val="both"/>
        <w:rPr>
          <w:rFonts w:ascii="Arial" w:hAnsi="Arial" w:cs="Arial"/>
          <w:sz w:val="24"/>
          <w:szCs w:val="24"/>
        </w:rPr>
      </w:pPr>
    </w:p>
    <w:p w14:paraId="4178A9D8" w14:textId="77777777" w:rsidR="00735539" w:rsidRPr="008B2B47" w:rsidRDefault="00735539" w:rsidP="00DC54F7">
      <w:pPr>
        <w:spacing w:after="0" w:line="240" w:lineRule="auto"/>
        <w:jc w:val="both"/>
        <w:rPr>
          <w:rFonts w:ascii="Arial" w:hAnsi="Arial" w:cs="Arial"/>
          <w:b/>
          <w:bCs/>
          <w:sz w:val="24"/>
          <w:szCs w:val="24"/>
        </w:rPr>
      </w:pPr>
    </w:p>
    <w:p w14:paraId="23BDE5B9" w14:textId="689C1B70" w:rsidR="00160334" w:rsidRPr="008B2B47" w:rsidRDefault="00CA4845" w:rsidP="00DC54F7">
      <w:pPr>
        <w:jc w:val="both"/>
        <w:rPr>
          <w:rFonts w:ascii="Arial" w:hAnsi="Arial" w:cs="Arial"/>
          <w:b/>
          <w:bCs/>
          <w:color w:val="000000"/>
          <w:sz w:val="24"/>
          <w:szCs w:val="24"/>
        </w:rPr>
      </w:pPr>
      <w:r w:rsidRPr="008B2B47">
        <w:rPr>
          <w:rFonts w:ascii="Arial" w:hAnsi="Arial" w:cs="Arial"/>
          <w:b/>
          <w:bCs/>
          <w:color w:val="000000"/>
          <w:sz w:val="24"/>
          <w:szCs w:val="24"/>
        </w:rPr>
        <w:t xml:space="preserve">5.1.13 Access to </w:t>
      </w:r>
      <w:r w:rsidR="00160334" w:rsidRPr="008B2B47">
        <w:rPr>
          <w:rFonts w:ascii="Arial" w:hAnsi="Arial" w:cs="Arial"/>
          <w:b/>
          <w:bCs/>
          <w:color w:val="000000"/>
          <w:sz w:val="24"/>
          <w:szCs w:val="24"/>
        </w:rPr>
        <w:t xml:space="preserve">Supervised </w:t>
      </w:r>
      <w:r w:rsidRPr="008B2B47">
        <w:rPr>
          <w:rFonts w:ascii="Arial" w:hAnsi="Arial" w:cs="Arial"/>
          <w:b/>
          <w:bCs/>
          <w:color w:val="000000"/>
          <w:sz w:val="24"/>
          <w:szCs w:val="24"/>
        </w:rPr>
        <w:t>A</w:t>
      </w:r>
      <w:r w:rsidR="00160334" w:rsidRPr="008B2B47">
        <w:rPr>
          <w:rFonts w:ascii="Arial" w:hAnsi="Arial" w:cs="Arial"/>
          <w:b/>
          <w:bCs/>
          <w:color w:val="000000"/>
          <w:sz w:val="24"/>
          <w:szCs w:val="24"/>
        </w:rPr>
        <w:t xml:space="preserve">dministration </w:t>
      </w:r>
      <w:r w:rsidR="00A04E70" w:rsidRPr="008B2B47">
        <w:rPr>
          <w:rFonts w:ascii="Arial" w:hAnsi="Arial" w:cs="Arial"/>
          <w:b/>
          <w:bCs/>
          <w:color w:val="000000"/>
          <w:sz w:val="24"/>
          <w:szCs w:val="24"/>
        </w:rPr>
        <w:t xml:space="preserve">of </w:t>
      </w:r>
      <w:r w:rsidRPr="008B2B47">
        <w:rPr>
          <w:rFonts w:ascii="Arial" w:hAnsi="Arial" w:cs="Arial"/>
          <w:b/>
          <w:bCs/>
          <w:color w:val="000000"/>
          <w:sz w:val="24"/>
          <w:szCs w:val="24"/>
        </w:rPr>
        <w:t>M</w:t>
      </w:r>
      <w:r w:rsidR="00A04E70" w:rsidRPr="008B2B47">
        <w:rPr>
          <w:rFonts w:ascii="Arial" w:hAnsi="Arial" w:cs="Arial"/>
          <w:b/>
          <w:bCs/>
          <w:color w:val="000000"/>
          <w:sz w:val="24"/>
          <w:szCs w:val="24"/>
        </w:rPr>
        <w:t xml:space="preserve">edicines </w:t>
      </w:r>
      <w:r w:rsidR="00B57A56" w:rsidRPr="008B2B47">
        <w:rPr>
          <w:rFonts w:ascii="Arial" w:hAnsi="Arial" w:cs="Arial"/>
          <w:b/>
          <w:bCs/>
          <w:color w:val="000000"/>
          <w:sz w:val="24"/>
          <w:szCs w:val="24"/>
        </w:rPr>
        <w:t xml:space="preserve">Enhanced </w:t>
      </w:r>
      <w:r w:rsidR="00BA27EB" w:rsidRPr="008B2B47">
        <w:rPr>
          <w:rFonts w:ascii="Arial" w:hAnsi="Arial" w:cs="Arial"/>
          <w:b/>
          <w:bCs/>
          <w:color w:val="000000"/>
          <w:sz w:val="24"/>
          <w:szCs w:val="24"/>
        </w:rPr>
        <w:t>S</w:t>
      </w:r>
      <w:r w:rsidR="00160334" w:rsidRPr="008B2B47">
        <w:rPr>
          <w:rFonts w:ascii="Arial" w:hAnsi="Arial" w:cs="Arial"/>
          <w:b/>
          <w:bCs/>
          <w:color w:val="000000"/>
          <w:sz w:val="24"/>
          <w:szCs w:val="24"/>
        </w:rPr>
        <w:t>ervice</w:t>
      </w:r>
    </w:p>
    <w:p w14:paraId="1495ABD1" w14:textId="520A61DE" w:rsidR="008B33AD" w:rsidRPr="008B2B47" w:rsidRDefault="008B33AD" w:rsidP="00DC54F7">
      <w:pPr>
        <w:spacing w:after="0" w:line="240" w:lineRule="auto"/>
        <w:jc w:val="both"/>
        <w:rPr>
          <w:rFonts w:ascii="Arial" w:hAnsi="Arial" w:cs="Arial"/>
          <w:color w:val="000000"/>
          <w:sz w:val="24"/>
          <w:szCs w:val="24"/>
        </w:rPr>
      </w:pPr>
      <w:r w:rsidRPr="008B2B47">
        <w:rPr>
          <w:rFonts w:ascii="Arial" w:hAnsi="Arial" w:cs="Arial"/>
          <w:color w:val="000000"/>
          <w:sz w:val="24"/>
          <w:szCs w:val="24"/>
        </w:rPr>
        <w:t>The aim of th</w:t>
      </w:r>
      <w:r w:rsidR="000C0432" w:rsidRPr="008B2B47">
        <w:rPr>
          <w:rFonts w:ascii="Arial" w:hAnsi="Arial" w:cs="Arial"/>
          <w:color w:val="000000"/>
          <w:sz w:val="24"/>
          <w:szCs w:val="24"/>
        </w:rPr>
        <w:t xml:space="preserve">is enhanced </w:t>
      </w:r>
      <w:r w:rsidRPr="008B2B47">
        <w:rPr>
          <w:rFonts w:ascii="Arial" w:hAnsi="Arial" w:cs="Arial"/>
          <w:color w:val="000000"/>
          <w:sz w:val="24"/>
          <w:szCs w:val="24"/>
        </w:rPr>
        <w:t>service is to provide, in accordance with an appropriate prescription, supervised administration of medication</w:t>
      </w:r>
      <w:r w:rsidR="00B67260" w:rsidRPr="008B2B47">
        <w:rPr>
          <w:rFonts w:ascii="Arial" w:hAnsi="Arial" w:cs="Arial"/>
          <w:color w:val="000000"/>
          <w:sz w:val="24"/>
          <w:szCs w:val="24"/>
        </w:rPr>
        <w:t xml:space="preserve"> such as m</w:t>
      </w:r>
      <w:r w:rsidR="00723C43" w:rsidRPr="008B2B47">
        <w:rPr>
          <w:rFonts w:ascii="Arial" w:hAnsi="Arial" w:cs="Arial"/>
          <w:color w:val="000000"/>
          <w:sz w:val="24"/>
          <w:szCs w:val="24"/>
        </w:rPr>
        <w:t>ethadone</w:t>
      </w:r>
      <w:r w:rsidR="00B67260" w:rsidRPr="008B2B47">
        <w:rPr>
          <w:rFonts w:ascii="Arial" w:hAnsi="Arial" w:cs="Arial"/>
          <w:color w:val="000000"/>
          <w:sz w:val="24"/>
          <w:szCs w:val="24"/>
        </w:rPr>
        <w:t xml:space="preserve"> and </w:t>
      </w:r>
      <w:r w:rsidR="000C0432" w:rsidRPr="008B2B47">
        <w:rPr>
          <w:rFonts w:ascii="Arial" w:hAnsi="Arial" w:cs="Arial"/>
          <w:color w:val="000000"/>
          <w:sz w:val="24"/>
          <w:szCs w:val="24"/>
        </w:rPr>
        <w:t>Buprenorphine</w:t>
      </w:r>
      <w:r w:rsidRPr="008B2B47">
        <w:rPr>
          <w:rFonts w:ascii="Arial" w:hAnsi="Arial" w:cs="Arial"/>
          <w:color w:val="000000"/>
          <w:sz w:val="24"/>
          <w:szCs w:val="24"/>
        </w:rPr>
        <w:t>, contributing to a reduction in risks associated with inappropriate use or diversion of prescribed medicines</w:t>
      </w:r>
    </w:p>
    <w:p w14:paraId="735960F4" w14:textId="46E972A4" w:rsidR="00571233" w:rsidRPr="008B2B47" w:rsidRDefault="00571233" w:rsidP="00DC54F7">
      <w:pPr>
        <w:spacing w:after="0" w:line="240" w:lineRule="auto"/>
        <w:jc w:val="both"/>
        <w:rPr>
          <w:rFonts w:ascii="Arial" w:hAnsi="Arial" w:cs="Arial"/>
          <w:color w:val="000000"/>
          <w:sz w:val="24"/>
          <w:szCs w:val="24"/>
        </w:rPr>
      </w:pPr>
    </w:p>
    <w:p w14:paraId="1B326BB7" w14:textId="279BCD22" w:rsidR="00571233" w:rsidRPr="008B2B47" w:rsidRDefault="00571233" w:rsidP="00DC54F7">
      <w:pPr>
        <w:spacing w:after="0" w:line="240" w:lineRule="auto"/>
        <w:jc w:val="both"/>
        <w:rPr>
          <w:sz w:val="24"/>
          <w:szCs w:val="24"/>
        </w:rPr>
      </w:pPr>
      <w:r w:rsidRPr="008B2B47">
        <w:rPr>
          <w:rFonts w:ascii="Arial" w:hAnsi="Arial" w:cs="Arial"/>
          <w:sz w:val="24"/>
          <w:szCs w:val="24"/>
        </w:rPr>
        <w:t xml:space="preserve">As of April 2021, there are 52 pharmacies </w:t>
      </w:r>
      <w:r w:rsidR="00E47027" w:rsidRPr="008B2B47">
        <w:rPr>
          <w:rFonts w:ascii="Arial" w:hAnsi="Arial" w:cs="Arial"/>
          <w:sz w:val="24"/>
          <w:szCs w:val="24"/>
        </w:rPr>
        <w:t>commissioned</w:t>
      </w:r>
      <w:r w:rsidRPr="008B2B47">
        <w:rPr>
          <w:rFonts w:ascii="Arial" w:hAnsi="Arial" w:cs="Arial"/>
          <w:sz w:val="24"/>
          <w:szCs w:val="24"/>
        </w:rPr>
        <w:t xml:space="preserve"> to provide the Supervised Administration of Medicines service in Cardiff and Vale University Health Board. </w:t>
      </w:r>
    </w:p>
    <w:p w14:paraId="785B1E93" w14:textId="77777777" w:rsidR="00571233" w:rsidRPr="008B2B47" w:rsidRDefault="00571233" w:rsidP="00DC54F7">
      <w:pPr>
        <w:spacing w:after="0" w:line="240" w:lineRule="auto"/>
        <w:jc w:val="both"/>
        <w:rPr>
          <w:sz w:val="24"/>
          <w:szCs w:val="24"/>
        </w:rPr>
      </w:pPr>
    </w:p>
    <w:p w14:paraId="2DD8E112" w14:textId="56B1649C" w:rsidR="00D15F82" w:rsidRPr="008B2B47" w:rsidRDefault="00160334" w:rsidP="00DC54F7">
      <w:pPr>
        <w:spacing w:after="0" w:line="240" w:lineRule="auto"/>
        <w:jc w:val="both"/>
        <w:rPr>
          <w:rFonts w:ascii="Verdana" w:hAnsi="Verdana" w:cs="Arial"/>
          <w:b/>
          <w:sz w:val="24"/>
          <w:szCs w:val="24"/>
        </w:rPr>
      </w:pPr>
      <w:r w:rsidRPr="008B2B47">
        <w:rPr>
          <w:rFonts w:ascii="Arial" w:hAnsi="Arial" w:cs="Arial"/>
          <w:sz w:val="24"/>
          <w:szCs w:val="24"/>
        </w:rPr>
        <w:t xml:space="preserve">In 2019 to 2020, </w:t>
      </w:r>
      <w:r w:rsidR="005247A2" w:rsidRPr="008B2B47">
        <w:rPr>
          <w:rFonts w:ascii="Arial" w:hAnsi="Arial" w:cs="Arial"/>
          <w:sz w:val="24"/>
          <w:szCs w:val="24"/>
        </w:rPr>
        <w:t xml:space="preserve">49 pharmacies provided this service and a total of 4,531 </w:t>
      </w:r>
      <w:r w:rsidR="00A95D69" w:rsidRPr="008B2B47">
        <w:rPr>
          <w:rFonts w:ascii="Arial" w:hAnsi="Arial" w:cs="Arial"/>
          <w:sz w:val="24"/>
          <w:szCs w:val="24"/>
        </w:rPr>
        <w:t>pati</w:t>
      </w:r>
      <w:r w:rsidR="00FB65E2" w:rsidRPr="008B2B47">
        <w:rPr>
          <w:rFonts w:ascii="Arial" w:hAnsi="Arial" w:cs="Arial"/>
          <w:sz w:val="24"/>
          <w:szCs w:val="24"/>
        </w:rPr>
        <w:t xml:space="preserve">ents accessed this service. </w:t>
      </w:r>
      <w:r w:rsidR="00D15F82" w:rsidRPr="008B2B47">
        <w:rPr>
          <w:rFonts w:ascii="Arial" w:hAnsi="Arial" w:cs="Arial"/>
          <w:sz w:val="24"/>
          <w:szCs w:val="24"/>
        </w:rPr>
        <w:t xml:space="preserve">Based upon the level of provision Cardiff and Vale University Health Board is satisfied that there is sufficient capacity within existing contractors to provide more </w:t>
      </w:r>
      <w:r w:rsidR="004B1B72" w:rsidRPr="008B2B47">
        <w:rPr>
          <w:rFonts w:ascii="Arial" w:hAnsi="Arial" w:cs="Arial"/>
          <w:sz w:val="24"/>
          <w:szCs w:val="24"/>
        </w:rPr>
        <w:t>supervised administrations of medication.</w:t>
      </w:r>
      <w:r w:rsidR="00D15F82" w:rsidRPr="008B2B47">
        <w:rPr>
          <w:rFonts w:ascii="Arial" w:hAnsi="Arial" w:cs="Arial"/>
          <w:sz w:val="24"/>
          <w:szCs w:val="24"/>
        </w:rPr>
        <w:t xml:space="preserve"> </w:t>
      </w:r>
    </w:p>
    <w:p w14:paraId="743F3FDC" w14:textId="77777777" w:rsidR="00D15F82" w:rsidRPr="008B2B47" w:rsidRDefault="00D15F82" w:rsidP="00DC54F7">
      <w:pPr>
        <w:spacing w:after="0" w:line="240" w:lineRule="auto"/>
        <w:contextualSpacing/>
        <w:jc w:val="both"/>
        <w:rPr>
          <w:rFonts w:ascii="Arial" w:hAnsi="Arial" w:cs="Arial"/>
          <w:sz w:val="24"/>
          <w:szCs w:val="24"/>
        </w:rPr>
      </w:pPr>
    </w:p>
    <w:p w14:paraId="3E03E468" w14:textId="2BA7CBC3" w:rsidR="00160334" w:rsidRPr="008B2B47" w:rsidRDefault="00D15F82" w:rsidP="00DC54F7">
      <w:pPr>
        <w:spacing w:after="0" w:line="240" w:lineRule="auto"/>
        <w:jc w:val="both"/>
        <w:rPr>
          <w:rFonts w:ascii="Arial" w:hAnsi="Arial" w:cs="Arial"/>
          <w:sz w:val="24"/>
          <w:szCs w:val="24"/>
        </w:rPr>
      </w:pPr>
      <w:r w:rsidRPr="008B2B47">
        <w:rPr>
          <w:rFonts w:ascii="Arial" w:hAnsi="Arial" w:cs="Arial"/>
          <w:sz w:val="24"/>
          <w:szCs w:val="24"/>
        </w:rPr>
        <w:t>However, it is acknowledged that the Coronavirus (COVID-19) pandemic will have affected the provision and need for this service during 2020 to 2021. Further analysis is undertaken within the cluster chapters</w:t>
      </w:r>
      <w:r w:rsidR="00723C43" w:rsidRPr="008B2B47">
        <w:rPr>
          <w:rFonts w:ascii="Arial" w:hAnsi="Arial" w:cs="Arial"/>
          <w:sz w:val="24"/>
          <w:szCs w:val="24"/>
        </w:rPr>
        <w:t>.</w:t>
      </w:r>
    </w:p>
    <w:p w14:paraId="3B46E713" w14:textId="77777777" w:rsidR="00160334" w:rsidRPr="008B2B47" w:rsidRDefault="00160334" w:rsidP="00DC54F7">
      <w:pPr>
        <w:spacing w:after="0" w:line="240" w:lineRule="auto"/>
        <w:jc w:val="both"/>
        <w:rPr>
          <w:rFonts w:ascii="Arial" w:hAnsi="Arial" w:cs="Arial"/>
          <w:b/>
          <w:bCs/>
          <w:sz w:val="24"/>
          <w:szCs w:val="24"/>
        </w:rPr>
      </w:pPr>
    </w:p>
    <w:p w14:paraId="3F1BBE21" w14:textId="77777777" w:rsidR="007961D9" w:rsidRPr="008B2B47" w:rsidRDefault="007961D9" w:rsidP="00DC54F7">
      <w:pPr>
        <w:spacing w:after="0" w:line="240" w:lineRule="auto"/>
        <w:jc w:val="both"/>
        <w:rPr>
          <w:rFonts w:ascii="Arial" w:hAnsi="Arial" w:cs="Arial"/>
          <w:b/>
          <w:sz w:val="24"/>
          <w:szCs w:val="24"/>
        </w:rPr>
      </w:pPr>
    </w:p>
    <w:p w14:paraId="129F39F3" w14:textId="53E1928C" w:rsidR="00915EB6" w:rsidRPr="008B2B47" w:rsidRDefault="00CA4845" w:rsidP="00DC54F7">
      <w:pPr>
        <w:spacing w:after="0" w:line="240" w:lineRule="auto"/>
        <w:jc w:val="both"/>
        <w:rPr>
          <w:rFonts w:ascii="Arial" w:hAnsi="Arial" w:cs="Arial"/>
          <w:color w:val="000000"/>
          <w:sz w:val="24"/>
          <w:szCs w:val="24"/>
        </w:rPr>
      </w:pPr>
      <w:r w:rsidRPr="008B2B47">
        <w:rPr>
          <w:rFonts w:ascii="Arial" w:hAnsi="Arial" w:cs="Arial"/>
          <w:b/>
          <w:bCs/>
          <w:color w:val="000000"/>
          <w:sz w:val="24"/>
          <w:szCs w:val="24"/>
        </w:rPr>
        <w:t xml:space="preserve">5.1.14 Access to </w:t>
      </w:r>
      <w:r w:rsidR="00915EB6" w:rsidRPr="008B2B47">
        <w:rPr>
          <w:rFonts w:ascii="Arial" w:hAnsi="Arial" w:cs="Arial"/>
          <w:b/>
          <w:bCs/>
          <w:color w:val="000000"/>
          <w:sz w:val="24"/>
          <w:szCs w:val="24"/>
        </w:rPr>
        <w:t xml:space="preserve">Needle </w:t>
      </w:r>
      <w:r w:rsidR="00CD4018" w:rsidRPr="008B2B47">
        <w:rPr>
          <w:rFonts w:ascii="Arial" w:hAnsi="Arial" w:cs="Arial"/>
          <w:b/>
          <w:bCs/>
          <w:color w:val="000000"/>
          <w:sz w:val="24"/>
          <w:szCs w:val="24"/>
        </w:rPr>
        <w:t xml:space="preserve">Syringe Provision </w:t>
      </w:r>
      <w:r w:rsidR="00BA27EB" w:rsidRPr="008B2B47">
        <w:rPr>
          <w:rFonts w:ascii="Arial" w:hAnsi="Arial" w:cs="Arial"/>
          <w:b/>
          <w:bCs/>
          <w:color w:val="000000"/>
          <w:sz w:val="24"/>
          <w:szCs w:val="24"/>
        </w:rPr>
        <w:t>Enhanced S</w:t>
      </w:r>
      <w:r w:rsidR="00915EB6" w:rsidRPr="008B2B47">
        <w:rPr>
          <w:rFonts w:ascii="Arial" w:hAnsi="Arial" w:cs="Arial"/>
          <w:b/>
          <w:bCs/>
          <w:color w:val="000000"/>
          <w:sz w:val="24"/>
          <w:szCs w:val="24"/>
        </w:rPr>
        <w:t>ervice</w:t>
      </w:r>
    </w:p>
    <w:p w14:paraId="1324BA03" w14:textId="77777777" w:rsidR="00C039D6" w:rsidRPr="008B2B47" w:rsidRDefault="00C039D6" w:rsidP="00DC54F7">
      <w:pPr>
        <w:spacing w:after="0" w:line="240" w:lineRule="auto"/>
        <w:contextualSpacing/>
        <w:jc w:val="both"/>
        <w:rPr>
          <w:rFonts w:ascii="Arial" w:hAnsi="Arial" w:cs="Arial"/>
          <w:sz w:val="24"/>
          <w:szCs w:val="24"/>
        </w:rPr>
      </w:pPr>
    </w:p>
    <w:p w14:paraId="2279F92B" w14:textId="7D1F48F3" w:rsidR="00CC2F28" w:rsidRPr="008B2B47" w:rsidRDefault="00915EB6" w:rsidP="00DC54F7">
      <w:pPr>
        <w:spacing w:after="0" w:line="240" w:lineRule="auto"/>
        <w:contextualSpacing/>
        <w:jc w:val="both"/>
        <w:rPr>
          <w:rFonts w:ascii="Arial" w:hAnsi="Arial" w:cs="Arial"/>
          <w:sz w:val="24"/>
          <w:szCs w:val="24"/>
        </w:rPr>
      </w:pPr>
      <w:r w:rsidRPr="008B2B47">
        <w:rPr>
          <w:rFonts w:ascii="Arial" w:hAnsi="Arial" w:cs="Arial"/>
          <w:sz w:val="24"/>
          <w:szCs w:val="24"/>
        </w:rPr>
        <w:t xml:space="preserve">The </w:t>
      </w:r>
      <w:r w:rsidR="00BA27EB" w:rsidRPr="008B2B47">
        <w:rPr>
          <w:rFonts w:ascii="Arial" w:hAnsi="Arial" w:cs="Arial"/>
          <w:sz w:val="24"/>
          <w:szCs w:val="24"/>
        </w:rPr>
        <w:t>N</w:t>
      </w:r>
      <w:r w:rsidRPr="008B2B47">
        <w:rPr>
          <w:rFonts w:ascii="Arial" w:hAnsi="Arial" w:cs="Arial"/>
          <w:sz w:val="24"/>
          <w:szCs w:val="24"/>
        </w:rPr>
        <w:t xml:space="preserve">eedle </w:t>
      </w:r>
      <w:r w:rsidR="00BA27EB" w:rsidRPr="008B2B47">
        <w:rPr>
          <w:rFonts w:ascii="Arial" w:hAnsi="Arial" w:cs="Arial"/>
          <w:sz w:val="24"/>
          <w:szCs w:val="24"/>
        </w:rPr>
        <w:t>S</w:t>
      </w:r>
      <w:r w:rsidR="00CC2F28" w:rsidRPr="008B2B47">
        <w:rPr>
          <w:rFonts w:ascii="Arial" w:hAnsi="Arial" w:cs="Arial"/>
          <w:sz w:val="24"/>
          <w:szCs w:val="24"/>
        </w:rPr>
        <w:t xml:space="preserve">yringe </w:t>
      </w:r>
      <w:r w:rsidR="00BA27EB" w:rsidRPr="008B2B47">
        <w:rPr>
          <w:rFonts w:ascii="Arial" w:hAnsi="Arial" w:cs="Arial"/>
          <w:sz w:val="24"/>
          <w:szCs w:val="24"/>
        </w:rPr>
        <w:t>P</w:t>
      </w:r>
      <w:r w:rsidR="00CC2F28" w:rsidRPr="008B2B47">
        <w:rPr>
          <w:rFonts w:ascii="Arial" w:hAnsi="Arial" w:cs="Arial"/>
          <w:sz w:val="24"/>
          <w:szCs w:val="24"/>
        </w:rPr>
        <w:t xml:space="preserve">rovision </w:t>
      </w:r>
      <w:r w:rsidR="00BA27EB" w:rsidRPr="008B2B47">
        <w:rPr>
          <w:rFonts w:ascii="Arial" w:hAnsi="Arial" w:cs="Arial"/>
          <w:sz w:val="24"/>
          <w:szCs w:val="24"/>
        </w:rPr>
        <w:t>E</w:t>
      </w:r>
      <w:r w:rsidRPr="008B2B47">
        <w:rPr>
          <w:rFonts w:ascii="Arial" w:hAnsi="Arial" w:cs="Arial"/>
          <w:sz w:val="24"/>
          <w:szCs w:val="24"/>
        </w:rPr>
        <w:t xml:space="preserve">nhanced </w:t>
      </w:r>
      <w:r w:rsidR="00BA27EB" w:rsidRPr="008B2B47">
        <w:rPr>
          <w:rFonts w:ascii="Arial" w:hAnsi="Arial" w:cs="Arial"/>
          <w:sz w:val="24"/>
          <w:szCs w:val="24"/>
        </w:rPr>
        <w:t>S</w:t>
      </w:r>
      <w:r w:rsidRPr="008B2B47">
        <w:rPr>
          <w:rFonts w:ascii="Arial" w:hAnsi="Arial" w:cs="Arial"/>
          <w:sz w:val="24"/>
          <w:szCs w:val="24"/>
        </w:rPr>
        <w:t xml:space="preserve">ervice aims </w:t>
      </w:r>
      <w:r w:rsidRPr="008B2B47">
        <w:rPr>
          <w:rFonts w:ascii="Arial" w:hAnsi="Arial" w:cs="Arial"/>
          <w:color w:val="000000"/>
          <w:sz w:val="24"/>
          <w:szCs w:val="24"/>
          <w:shd w:val="clear" w:color="auto" w:fill="FFFFFF"/>
        </w:rPr>
        <w:t>to reduce the spread of HIV, Hepatitis C and other blood borne diseases amongst injecting drug misusers by providing service users with convenient access to sterile injecting equipment and a facility for the safe disposal of used equipment. To be effective the scheme must operate on an exchange basis and participating pharmacies must make all efforts to encourage service users to return used equipment in exchange for new kits.</w:t>
      </w:r>
      <w:r w:rsidR="00D03DFA" w:rsidRPr="008B2B47">
        <w:rPr>
          <w:rFonts w:ascii="Arial" w:hAnsi="Arial" w:cs="Arial"/>
          <w:color w:val="000000"/>
          <w:sz w:val="24"/>
          <w:szCs w:val="24"/>
          <w:shd w:val="clear" w:color="auto" w:fill="FFFFFF"/>
        </w:rPr>
        <w:t xml:space="preserve"> </w:t>
      </w:r>
      <w:r w:rsidR="009F2E42" w:rsidRPr="008B2B47">
        <w:rPr>
          <w:rFonts w:ascii="Arial" w:hAnsi="Arial" w:cs="Arial"/>
          <w:color w:val="000000"/>
          <w:sz w:val="24"/>
          <w:szCs w:val="24"/>
          <w:shd w:val="clear" w:color="auto" w:fill="FFFFFF"/>
        </w:rPr>
        <w:t>In 2019 to 2020</w:t>
      </w:r>
      <w:r w:rsidR="00CA3B98" w:rsidRPr="008B2B47">
        <w:rPr>
          <w:rFonts w:ascii="Arial" w:hAnsi="Arial" w:cs="Arial"/>
          <w:color w:val="000000"/>
          <w:sz w:val="24"/>
          <w:szCs w:val="24"/>
          <w:shd w:val="clear" w:color="auto" w:fill="FFFFFF"/>
        </w:rPr>
        <w:t xml:space="preserve">, </w:t>
      </w:r>
      <w:r w:rsidR="00CC2F28" w:rsidRPr="008B2B47">
        <w:rPr>
          <w:rFonts w:ascii="Arial" w:hAnsi="Arial" w:cs="Arial"/>
          <w:sz w:val="24"/>
          <w:szCs w:val="24"/>
        </w:rPr>
        <w:t xml:space="preserve">14 pharmacies </w:t>
      </w:r>
      <w:r w:rsidR="00C34D04" w:rsidRPr="008B2B47">
        <w:rPr>
          <w:rFonts w:ascii="Arial" w:hAnsi="Arial" w:cs="Arial"/>
          <w:sz w:val="24"/>
          <w:szCs w:val="24"/>
        </w:rPr>
        <w:t xml:space="preserve">were </w:t>
      </w:r>
      <w:r w:rsidR="00CC2F28" w:rsidRPr="008B2B47">
        <w:rPr>
          <w:rFonts w:ascii="Arial" w:hAnsi="Arial" w:cs="Arial"/>
          <w:sz w:val="24"/>
          <w:szCs w:val="24"/>
        </w:rPr>
        <w:t>commissioned by the Area Planning Board in conjunction with C</w:t>
      </w:r>
      <w:r w:rsidR="001D4D7D" w:rsidRPr="008B2B47">
        <w:rPr>
          <w:rFonts w:ascii="Arial" w:hAnsi="Arial" w:cs="Arial"/>
          <w:sz w:val="24"/>
          <w:szCs w:val="24"/>
        </w:rPr>
        <w:t>ardiff and Vale University Health Board</w:t>
      </w:r>
      <w:r w:rsidR="00CC2F28" w:rsidRPr="008B2B47">
        <w:rPr>
          <w:rFonts w:ascii="Arial" w:hAnsi="Arial" w:cs="Arial"/>
          <w:sz w:val="24"/>
          <w:szCs w:val="24"/>
        </w:rPr>
        <w:t xml:space="preserve"> to provide </w:t>
      </w:r>
      <w:r w:rsidR="00CA3B98" w:rsidRPr="008B2B47">
        <w:rPr>
          <w:rFonts w:ascii="Arial" w:hAnsi="Arial" w:cs="Arial"/>
          <w:sz w:val="24"/>
          <w:szCs w:val="24"/>
        </w:rPr>
        <w:t xml:space="preserve">this </w:t>
      </w:r>
      <w:r w:rsidR="00CC2F28" w:rsidRPr="008B2B47">
        <w:rPr>
          <w:rFonts w:ascii="Arial" w:hAnsi="Arial" w:cs="Arial"/>
          <w:sz w:val="24"/>
          <w:szCs w:val="24"/>
        </w:rPr>
        <w:t>service.</w:t>
      </w:r>
    </w:p>
    <w:p w14:paraId="63508137" w14:textId="77777777" w:rsidR="00CC2F28" w:rsidRPr="008B2B47" w:rsidRDefault="00CC2F28" w:rsidP="00DC54F7">
      <w:pPr>
        <w:spacing w:after="0" w:line="240" w:lineRule="auto"/>
        <w:contextualSpacing/>
        <w:jc w:val="both"/>
        <w:rPr>
          <w:rFonts w:ascii="Arial" w:hAnsi="Arial" w:cs="Arial"/>
          <w:color w:val="000000"/>
          <w:sz w:val="24"/>
          <w:szCs w:val="24"/>
          <w:shd w:val="clear" w:color="auto" w:fill="FFFFFF"/>
        </w:rPr>
      </w:pPr>
    </w:p>
    <w:p w14:paraId="7EA50908" w14:textId="325FF516" w:rsidR="00160334" w:rsidRPr="008B2B47" w:rsidRDefault="00B57BBE" w:rsidP="00DC54F7">
      <w:pPr>
        <w:spacing w:after="0" w:line="240" w:lineRule="auto"/>
        <w:jc w:val="both"/>
        <w:rPr>
          <w:rFonts w:ascii="Arial" w:hAnsi="Arial" w:cs="Arial"/>
          <w:b/>
          <w:bCs/>
          <w:sz w:val="24"/>
          <w:szCs w:val="24"/>
        </w:rPr>
      </w:pPr>
      <w:r w:rsidRPr="008B2B47">
        <w:rPr>
          <w:rFonts w:ascii="Arial" w:hAnsi="Arial" w:cs="Arial"/>
          <w:sz w:val="24"/>
          <w:szCs w:val="24"/>
          <w:shd w:val="clear" w:color="auto" w:fill="FFFFFF"/>
        </w:rPr>
        <w:t>Whilst Needle and Syringe Provision is provided by pharmacies, it is also provided by specialist services, hostel and outreach services.  Pharmacies provided Needle and Syringe provision to 39% of clients in Cardiff and Vale University Health Board</w:t>
      </w:r>
      <w:r w:rsidR="00C34D04" w:rsidRPr="008B2B47">
        <w:rPr>
          <w:rFonts w:ascii="Arial" w:hAnsi="Arial" w:cs="Arial"/>
          <w:sz w:val="24"/>
          <w:szCs w:val="24"/>
          <w:shd w:val="clear" w:color="auto" w:fill="FFFFFF"/>
        </w:rPr>
        <w:t xml:space="preserve"> over this period</w:t>
      </w:r>
      <w:r w:rsidRPr="008B2B47">
        <w:rPr>
          <w:rFonts w:ascii="Arial" w:hAnsi="Arial" w:cs="Arial"/>
          <w:sz w:val="24"/>
          <w:szCs w:val="24"/>
          <w:shd w:val="clear" w:color="auto" w:fill="FFFFFF"/>
        </w:rPr>
        <w:t>.</w:t>
      </w:r>
    </w:p>
    <w:p w14:paraId="075E0EDC" w14:textId="32E0FA53" w:rsidR="00160334" w:rsidRDefault="00160334" w:rsidP="00DC54F7">
      <w:pPr>
        <w:spacing w:after="0" w:line="240" w:lineRule="auto"/>
        <w:jc w:val="both"/>
        <w:rPr>
          <w:rFonts w:ascii="Arial" w:hAnsi="Arial" w:cs="Arial"/>
          <w:b/>
          <w:bCs/>
          <w:sz w:val="24"/>
          <w:szCs w:val="24"/>
        </w:rPr>
      </w:pPr>
    </w:p>
    <w:p w14:paraId="7BF00E47" w14:textId="4360A89D" w:rsidR="008B2B47" w:rsidRDefault="008B2B47" w:rsidP="00DC54F7">
      <w:pPr>
        <w:spacing w:after="0" w:line="240" w:lineRule="auto"/>
        <w:jc w:val="both"/>
        <w:rPr>
          <w:rFonts w:ascii="Arial" w:hAnsi="Arial" w:cs="Arial"/>
          <w:b/>
          <w:bCs/>
          <w:sz w:val="24"/>
          <w:szCs w:val="24"/>
        </w:rPr>
      </w:pPr>
    </w:p>
    <w:p w14:paraId="6E315B62" w14:textId="768BC253" w:rsidR="008B2B47" w:rsidRDefault="008B2B47" w:rsidP="00DC54F7">
      <w:pPr>
        <w:spacing w:after="0" w:line="240" w:lineRule="auto"/>
        <w:jc w:val="both"/>
        <w:rPr>
          <w:rFonts w:ascii="Arial" w:hAnsi="Arial" w:cs="Arial"/>
          <w:b/>
          <w:bCs/>
          <w:sz w:val="24"/>
          <w:szCs w:val="24"/>
        </w:rPr>
      </w:pPr>
    </w:p>
    <w:p w14:paraId="6AAAD094" w14:textId="3610A34B" w:rsidR="008B2B47" w:rsidRDefault="008B2B47" w:rsidP="00DC54F7">
      <w:pPr>
        <w:spacing w:after="0" w:line="240" w:lineRule="auto"/>
        <w:jc w:val="both"/>
        <w:rPr>
          <w:rFonts w:ascii="Arial" w:hAnsi="Arial" w:cs="Arial"/>
          <w:b/>
          <w:bCs/>
          <w:sz w:val="24"/>
          <w:szCs w:val="24"/>
        </w:rPr>
      </w:pPr>
    </w:p>
    <w:p w14:paraId="3306BE54" w14:textId="69B170AB" w:rsidR="00FD6F40" w:rsidRPr="008B2B47" w:rsidRDefault="004B0D50" w:rsidP="00DC54F7">
      <w:pPr>
        <w:spacing w:after="0" w:line="240" w:lineRule="auto"/>
        <w:jc w:val="both"/>
        <w:rPr>
          <w:rFonts w:ascii="Arial" w:hAnsi="Arial" w:cs="Arial"/>
          <w:b/>
          <w:bCs/>
          <w:sz w:val="24"/>
          <w:szCs w:val="24"/>
        </w:rPr>
      </w:pPr>
      <w:r w:rsidRPr="008B2B47">
        <w:rPr>
          <w:rFonts w:ascii="Arial" w:hAnsi="Arial" w:cs="Arial"/>
          <w:b/>
          <w:bCs/>
          <w:sz w:val="24"/>
          <w:szCs w:val="24"/>
        </w:rPr>
        <w:lastRenderedPageBreak/>
        <w:t>5.1.1</w:t>
      </w:r>
      <w:r w:rsidR="00CA4845" w:rsidRPr="008B2B47">
        <w:rPr>
          <w:rFonts w:ascii="Arial" w:hAnsi="Arial" w:cs="Arial"/>
          <w:b/>
          <w:bCs/>
          <w:sz w:val="24"/>
          <w:szCs w:val="24"/>
        </w:rPr>
        <w:t>5</w:t>
      </w:r>
      <w:r w:rsidRPr="008B2B47">
        <w:rPr>
          <w:rFonts w:ascii="Arial" w:hAnsi="Arial" w:cs="Arial"/>
          <w:b/>
          <w:bCs/>
          <w:sz w:val="24"/>
          <w:szCs w:val="24"/>
        </w:rPr>
        <w:t xml:space="preserve"> Access to </w:t>
      </w:r>
      <w:r w:rsidR="00735539" w:rsidRPr="008B2B47">
        <w:rPr>
          <w:rFonts w:ascii="Arial" w:hAnsi="Arial" w:cs="Arial"/>
          <w:b/>
          <w:bCs/>
          <w:sz w:val="24"/>
          <w:szCs w:val="24"/>
        </w:rPr>
        <w:t xml:space="preserve">Blood Borne Virus </w:t>
      </w:r>
      <w:r w:rsidR="003032B7" w:rsidRPr="008B2B47">
        <w:rPr>
          <w:rFonts w:ascii="Arial" w:hAnsi="Arial" w:cs="Arial"/>
          <w:b/>
          <w:bCs/>
          <w:sz w:val="24"/>
          <w:szCs w:val="24"/>
        </w:rPr>
        <w:t>E</w:t>
      </w:r>
      <w:r w:rsidR="00735539" w:rsidRPr="008B2B47">
        <w:rPr>
          <w:rFonts w:ascii="Arial" w:hAnsi="Arial" w:cs="Arial"/>
          <w:b/>
          <w:bCs/>
          <w:sz w:val="24"/>
          <w:szCs w:val="24"/>
        </w:rPr>
        <w:t xml:space="preserve">nhanced </w:t>
      </w:r>
      <w:r w:rsidR="003032B7" w:rsidRPr="008B2B47">
        <w:rPr>
          <w:rFonts w:ascii="Arial" w:hAnsi="Arial" w:cs="Arial"/>
          <w:b/>
          <w:bCs/>
          <w:sz w:val="24"/>
          <w:szCs w:val="24"/>
        </w:rPr>
        <w:t>S</w:t>
      </w:r>
      <w:r w:rsidR="00735539" w:rsidRPr="008B2B47">
        <w:rPr>
          <w:rFonts w:ascii="Arial" w:hAnsi="Arial" w:cs="Arial"/>
          <w:b/>
          <w:bCs/>
          <w:sz w:val="24"/>
          <w:szCs w:val="24"/>
        </w:rPr>
        <w:t>ervice</w:t>
      </w:r>
    </w:p>
    <w:p w14:paraId="4A084D2B" w14:textId="3B855552" w:rsidR="004B0D50" w:rsidRPr="008B2B47" w:rsidRDefault="004B0D50" w:rsidP="00DC54F7">
      <w:pPr>
        <w:spacing w:after="0" w:line="240" w:lineRule="auto"/>
        <w:jc w:val="both"/>
        <w:rPr>
          <w:rFonts w:ascii="Arial" w:hAnsi="Arial" w:cs="Arial"/>
          <w:sz w:val="24"/>
          <w:szCs w:val="24"/>
        </w:rPr>
      </w:pPr>
    </w:p>
    <w:p w14:paraId="784E254E" w14:textId="66D6ABFB" w:rsidR="004B0D50" w:rsidRPr="008B2B47" w:rsidRDefault="004B0D50" w:rsidP="00DC54F7">
      <w:pPr>
        <w:shd w:val="clear" w:color="auto" w:fill="FFFFFF"/>
        <w:spacing w:after="0" w:line="240" w:lineRule="auto"/>
        <w:jc w:val="both"/>
        <w:rPr>
          <w:rFonts w:ascii="Arial" w:hAnsi="Arial" w:cs="Arial"/>
          <w:sz w:val="24"/>
          <w:szCs w:val="24"/>
        </w:rPr>
      </w:pPr>
      <w:r w:rsidRPr="008B2B47">
        <w:rPr>
          <w:rFonts w:ascii="Arial" w:hAnsi="Arial" w:cs="Arial"/>
          <w:sz w:val="24"/>
          <w:szCs w:val="24"/>
        </w:rPr>
        <w:t xml:space="preserve">The service supports the detection and early diagnosis of those at risk from blood borne viruses such as HIV, hepatitis B and C and ensures treatment is commenced at an early stage, preventing further virus transmission. The group of clients considered to be at risk of infection are regularly accessing services provided by pharmacies such as needle and syringe provision and supervised consumption. </w:t>
      </w:r>
    </w:p>
    <w:p w14:paraId="68FA127A" w14:textId="40E3ED5E" w:rsidR="004B0D50" w:rsidRDefault="004B0D50" w:rsidP="00DC54F7">
      <w:pPr>
        <w:shd w:val="clear" w:color="auto" w:fill="FFFFFF"/>
        <w:spacing w:after="0" w:line="240" w:lineRule="auto"/>
        <w:jc w:val="both"/>
        <w:rPr>
          <w:rFonts w:ascii="Arial" w:eastAsia="Times New Roman" w:hAnsi="Arial" w:cs="Arial"/>
          <w:sz w:val="24"/>
          <w:szCs w:val="24"/>
          <w:lang w:eastAsia="en-GB"/>
        </w:rPr>
      </w:pPr>
      <w:r w:rsidRPr="008B2B47">
        <w:rPr>
          <w:rFonts w:ascii="Arial" w:eastAsia="Times New Roman" w:hAnsi="Arial" w:cs="Arial"/>
          <w:sz w:val="24"/>
          <w:szCs w:val="24"/>
          <w:lang w:eastAsia="en-GB"/>
        </w:rPr>
        <w:t xml:space="preserve">Cardiff and Vale University Health Board have a small scale local enhanced service pilot of Blood Borne Virus testing service in four pharmacies across the area. At the time of writing, this service is currently suspended due to Coronavirus (COVID-19) pandemic. </w:t>
      </w:r>
    </w:p>
    <w:p w14:paraId="0315FD87" w14:textId="7DABD75E" w:rsidR="008B2B47" w:rsidRDefault="008B2B47" w:rsidP="00DC54F7">
      <w:pPr>
        <w:shd w:val="clear" w:color="auto" w:fill="FFFFFF"/>
        <w:spacing w:after="0" w:line="240" w:lineRule="auto"/>
        <w:jc w:val="both"/>
        <w:rPr>
          <w:rFonts w:ascii="Arial" w:eastAsia="Times New Roman" w:hAnsi="Arial" w:cs="Arial"/>
          <w:sz w:val="24"/>
          <w:szCs w:val="24"/>
          <w:lang w:eastAsia="en-GB"/>
        </w:rPr>
      </w:pPr>
    </w:p>
    <w:p w14:paraId="44721B40" w14:textId="77777777" w:rsidR="008B2B47" w:rsidRPr="008B2B47" w:rsidRDefault="008B2B47" w:rsidP="00DC54F7">
      <w:pPr>
        <w:shd w:val="clear" w:color="auto" w:fill="FFFFFF"/>
        <w:spacing w:after="0" w:line="240" w:lineRule="auto"/>
        <w:jc w:val="both"/>
        <w:rPr>
          <w:rFonts w:ascii="Arial" w:eastAsia="Times New Roman" w:hAnsi="Arial" w:cs="Arial"/>
          <w:sz w:val="24"/>
          <w:szCs w:val="24"/>
          <w:lang w:eastAsia="en-GB"/>
        </w:rPr>
      </w:pPr>
    </w:p>
    <w:p w14:paraId="26C62906" w14:textId="46CDCE98" w:rsidR="00735539" w:rsidRPr="008B2B47" w:rsidRDefault="0087049C" w:rsidP="00DC54F7">
      <w:pPr>
        <w:shd w:val="clear" w:color="auto" w:fill="FFFFFF"/>
        <w:spacing w:after="0" w:line="240" w:lineRule="auto"/>
        <w:jc w:val="both"/>
        <w:rPr>
          <w:rFonts w:ascii="Arial" w:eastAsia="Times New Roman" w:hAnsi="Arial" w:cs="Arial"/>
          <w:b/>
          <w:bCs/>
          <w:color w:val="000000"/>
          <w:sz w:val="24"/>
          <w:szCs w:val="24"/>
          <w:lang w:eastAsia="en-GB"/>
        </w:rPr>
      </w:pPr>
      <w:r w:rsidRPr="008B2B47">
        <w:rPr>
          <w:rFonts w:ascii="Arial" w:eastAsia="Times New Roman" w:hAnsi="Arial" w:cs="Arial"/>
          <w:b/>
          <w:bCs/>
          <w:color w:val="000000"/>
          <w:sz w:val="24"/>
          <w:szCs w:val="24"/>
          <w:lang w:eastAsia="en-GB"/>
        </w:rPr>
        <w:t>5.1.1</w:t>
      </w:r>
      <w:r w:rsidR="00CA4845" w:rsidRPr="008B2B47">
        <w:rPr>
          <w:rFonts w:ascii="Arial" w:eastAsia="Times New Roman" w:hAnsi="Arial" w:cs="Arial"/>
          <w:b/>
          <w:bCs/>
          <w:color w:val="000000"/>
          <w:sz w:val="24"/>
          <w:szCs w:val="24"/>
          <w:lang w:eastAsia="en-GB"/>
        </w:rPr>
        <w:t>6</w:t>
      </w:r>
      <w:r w:rsidR="00735539" w:rsidRPr="008B2B47">
        <w:rPr>
          <w:rFonts w:ascii="Arial" w:eastAsia="Times New Roman" w:hAnsi="Arial" w:cs="Arial"/>
          <w:b/>
          <w:bCs/>
          <w:color w:val="000000"/>
          <w:sz w:val="24"/>
          <w:szCs w:val="24"/>
          <w:lang w:eastAsia="en-GB"/>
        </w:rPr>
        <w:t xml:space="preserve"> </w:t>
      </w:r>
      <w:r w:rsidR="00E006F0" w:rsidRPr="008B2B47">
        <w:rPr>
          <w:rFonts w:ascii="Arial" w:eastAsia="Times New Roman" w:hAnsi="Arial" w:cs="Arial"/>
          <w:b/>
          <w:bCs/>
          <w:color w:val="000000"/>
          <w:sz w:val="24"/>
          <w:szCs w:val="24"/>
          <w:lang w:eastAsia="en-GB"/>
        </w:rPr>
        <w:t xml:space="preserve">Access to </w:t>
      </w:r>
      <w:r w:rsidR="00735539" w:rsidRPr="008B2B47">
        <w:rPr>
          <w:rFonts w:ascii="Arial" w:eastAsia="Times New Roman" w:hAnsi="Arial" w:cs="Arial"/>
          <w:b/>
          <w:bCs/>
          <w:color w:val="000000"/>
          <w:sz w:val="24"/>
          <w:szCs w:val="24"/>
          <w:lang w:eastAsia="en-GB"/>
        </w:rPr>
        <w:t xml:space="preserve">Care </w:t>
      </w:r>
      <w:r w:rsidR="00E006F0" w:rsidRPr="008B2B47">
        <w:rPr>
          <w:rFonts w:ascii="Arial" w:eastAsia="Times New Roman" w:hAnsi="Arial" w:cs="Arial"/>
          <w:b/>
          <w:bCs/>
          <w:color w:val="000000"/>
          <w:sz w:val="24"/>
          <w:szCs w:val="24"/>
          <w:lang w:eastAsia="en-GB"/>
        </w:rPr>
        <w:t>H</w:t>
      </w:r>
      <w:r w:rsidR="00735539" w:rsidRPr="008B2B47">
        <w:rPr>
          <w:rFonts w:ascii="Arial" w:eastAsia="Times New Roman" w:hAnsi="Arial" w:cs="Arial"/>
          <w:b/>
          <w:bCs/>
          <w:color w:val="000000"/>
          <w:sz w:val="24"/>
          <w:szCs w:val="24"/>
          <w:lang w:eastAsia="en-GB"/>
        </w:rPr>
        <w:t xml:space="preserve">ome </w:t>
      </w:r>
      <w:r w:rsidR="001B4717" w:rsidRPr="008B2B47">
        <w:rPr>
          <w:rFonts w:ascii="Arial" w:eastAsia="Times New Roman" w:hAnsi="Arial" w:cs="Arial"/>
          <w:b/>
          <w:bCs/>
          <w:color w:val="000000"/>
          <w:sz w:val="24"/>
          <w:szCs w:val="24"/>
          <w:lang w:eastAsia="en-GB"/>
        </w:rPr>
        <w:t>S</w:t>
      </w:r>
      <w:r w:rsidR="00735539" w:rsidRPr="008B2B47">
        <w:rPr>
          <w:rFonts w:ascii="Arial" w:eastAsia="Times New Roman" w:hAnsi="Arial" w:cs="Arial"/>
          <w:b/>
          <w:bCs/>
          <w:color w:val="000000"/>
          <w:sz w:val="24"/>
          <w:szCs w:val="24"/>
          <w:lang w:eastAsia="en-GB"/>
        </w:rPr>
        <w:t>upport</w:t>
      </w:r>
      <w:r w:rsidR="009F7CED" w:rsidRPr="008B2B47">
        <w:rPr>
          <w:rFonts w:ascii="Arial" w:eastAsia="Times New Roman" w:hAnsi="Arial" w:cs="Arial"/>
          <w:b/>
          <w:bCs/>
          <w:color w:val="000000"/>
          <w:sz w:val="24"/>
          <w:szCs w:val="24"/>
          <w:lang w:eastAsia="en-GB"/>
        </w:rPr>
        <w:t xml:space="preserve"> </w:t>
      </w:r>
      <w:r w:rsidR="001B4717" w:rsidRPr="008B2B47">
        <w:rPr>
          <w:rFonts w:ascii="Arial" w:eastAsia="Times New Roman" w:hAnsi="Arial" w:cs="Arial"/>
          <w:b/>
          <w:bCs/>
          <w:color w:val="000000"/>
          <w:sz w:val="24"/>
          <w:szCs w:val="24"/>
          <w:lang w:eastAsia="en-GB"/>
        </w:rPr>
        <w:t>E</w:t>
      </w:r>
      <w:r w:rsidR="009F7CED" w:rsidRPr="008B2B47">
        <w:rPr>
          <w:rFonts w:ascii="Arial" w:eastAsia="Times New Roman" w:hAnsi="Arial" w:cs="Arial"/>
          <w:b/>
          <w:bCs/>
          <w:color w:val="000000"/>
          <w:sz w:val="24"/>
          <w:szCs w:val="24"/>
          <w:lang w:eastAsia="en-GB"/>
        </w:rPr>
        <w:t xml:space="preserve">nhanced </w:t>
      </w:r>
      <w:r w:rsidR="001B4717" w:rsidRPr="008B2B47">
        <w:rPr>
          <w:rFonts w:ascii="Arial" w:eastAsia="Times New Roman" w:hAnsi="Arial" w:cs="Arial"/>
          <w:b/>
          <w:bCs/>
          <w:color w:val="000000"/>
          <w:sz w:val="24"/>
          <w:szCs w:val="24"/>
          <w:lang w:eastAsia="en-GB"/>
        </w:rPr>
        <w:t>S</w:t>
      </w:r>
      <w:r w:rsidR="009F7CED" w:rsidRPr="008B2B47">
        <w:rPr>
          <w:rFonts w:ascii="Arial" w:eastAsia="Times New Roman" w:hAnsi="Arial" w:cs="Arial"/>
          <w:b/>
          <w:bCs/>
          <w:color w:val="000000"/>
          <w:sz w:val="24"/>
          <w:szCs w:val="24"/>
          <w:lang w:eastAsia="en-GB"/>
        </w:rPr>
        <w:t>ervice (</w:t>
      </w:r>
      <w:r w:rsidR="001B4717" w:rsidRPr="008B2B47">
        <w:rPr>
          <w:rFonts w:ascii="Arial" w:eastAsia="Times New Roman" w:hAnsi="Arial" w:cs="Arial"/>
          <w:b/>
          <w:bCs/>
          <w:color w:val="000000"/>
          <w:sz w:val="24"/>
          <w:szCs w:val="24"/>
          <w:lang w:eastAsia="en-GB"/>
        </w:rPr>
        <w:t>L</w:t>
      </w:r>
      <w:r w:rsidR="009F7CED" w:rsidRPr="008B2B47">
        <w:rPr>
          <w:rFonts w:ascii="Arial" w:eastAsia="Times New Roman" w:hAnsi="Arial" w:cs="Arial"/>
          <w:b/>
          <w:bCs/>
          <w:color w:val="000000"/>
          <w:sz w:val="24"/>
          <w:szCs w:val="24"/>
          <w:lang w:eastAsia="en-GB"/>
        </w:rPr>
        <w:t xml:space="preserve">evel </w:t>
      </w:r>
      <w:r w:rsidR="001B4717" w:rsidRPr="008B2B47">
        <w:rPr>
          <w:rFonts w:ascii="Arial" w:eastAsia="Times New Roman" w:hAnsi="Arial" w:cs="Arial"/>
          <w:b/>
          <w:bCs/>
          <w:color w:val="000000"/>
          <w:sz w:val="24"/>
          <w:szCs w:val="24"/>
          <w:lang w:eastAsia="en-GB"/>
        </w:rPr>
        <w:t>O</w:t>
      </w:r>
      <w:r w:rsidR="009F7CED" w:rsidRPr="008B2B47">
        <w:rPr>
          <w:rFonts w:ascii="Arial" w:eastAsia="Times New Roman" w:hAnsi="Arial" w:cs="Arial"/>
          <w:b/>
          <w:bCs/>
          <w:color w:val="000000"/>
          <w:sz w:val="24"/>
          <w:szCs w:val="24"/>
          <w:lang w:eastAsia="en-GB"/>
        </w:rPr>
        <w:t>ne)</w:t>
      </w:r>
      <w:r w:rsidR="00735539" w:rsidRPr="008B2B47">
        <w:rPr>
          <w:rFonts w:ascii="Arial" w:eastAsia="Times New Roman" w:hAnsi="Arial" w:cs="Arial"/>
          <w:b/>
          <w:bCs/>
          <w:color w:val="000000"/>
          <w:sz w:val="24"/>
          <w:szCs w:val="24"/>
          <w:lang w:eastAsia="en-GB"/>
        </w:rPr>
        <w:t xml:space="preserve"> </w:t>
      </w:r>
    </w:p>
    <w:p w14:paraId="1B20A4F2" w14:textId="77777777" w:rsidR="00735539" w:rsidRPr="008B2B47" w:rsidRDefault="00735539" w:rsidP="00DC54F7">
      <w:pPr>
        <w:shd w:val="clear" w:color="auto" w:fill="FFFFFF"/>
        <w:spacing w:after="0" w:line="240" w:lineRule="auto"/>
        <w:jc w:val="both"/>
        <w:rPr>
          <w:rFonts w:ascii="Arial" w:eastAsia="Times New Roman" w:hAnsi="Arial" w:cs="Arial"/>
          <w:b/>
          <w:bCs/>
          <w:color w:val="000000"/>
          <w:sz w:val="24"/>
          <w:szCs w:val="24"/>
          <w:lang w:eastAsia="en-GB"/>
        </w:rPr>
      </w:pPr>
    </w:p>
    <w:p w14:paraId="4E64A29E" w14:textId="77777777" w:rsidR="00735539" w:rsidRPr="008B2B47" w:rsidRDefault="00735539" w:rsidP="00DC54F7">
      <w:pPr>
        <w:shd w:val="clear" w:color="auto" w:fill="FFFFFF"/>
        <w:spacing w:after="0" w:line="240" w:lineRule="auto"/>
        <w:jc w:val="both"/>
        <w:rPr>
          <w:rFonts w:ascii="Arial" w:hAnsi="Arial" w:cs="Arial"/>
          <w:sz w:val="24"/>
          <w:szCs w:val="24"/>
        </w:rPr>
      </w:pPr>
      <w:r w:rsidRPr="008B2B47">
        <w:rPr>
          <w:rFonts w:ascii="Arial" w:hAnsi="Arial" w:cs="Arial"/>
          <w:sz w:val="24"/>
          <w:szCs w:val="24"/>
        </w:rPr>
        <w:t xml:space="preserve">The enhanced service supports the safe ordering, supply, storage and administration of medicines and appliances within care homes.  It involves a systematic review of all medicine management processes in the care home and the development of medicines protocols and procedures to support effective use of medicines, reduction of risk and reductions of avoidable waste. </w:t>
      </w:r>
    </w:p>
    <w:p w14:paraId="05BF64EA" w14:textId="77777777" w:rsidR="00735539" w:rsidRPr="008B2B47" w:rsidRDefault="00735539" w:rsidP="00DC54F7">
      <w:pPr>
        <w:shd w:val="clear" w:color="auto" w:fill="FFFFFF"/>
        <w:spacing w:after="0" w:line="240" w:lineRule="auto"/>
        <w:jc w:val="both"/>
        <w:rPr>
          <w:rFonts w:ascii="Calibri" w:eastAsia="Times New Roman" w:hAnsi="Calibri" w:cs="Calibri"/>
          <w:color w:val="000000"/>
          <w:sz w:val="24"/>
          <w:szCs w:val="24"/>
          <w:lang w:eastAsia="en-GB"/>
        </w:rPr>
      </w:pPr>
    </w:p>
    <w:p w14:paraId="1A8F0C7F" w14:textId="7B04FC3E" w:rsidR="00735539" w:rsidRPr="008B2B47" w:rsidRDefault="00735539" w:rsidP="00DC54F7">
      <w:pPr>
        <w:shd w:val="clear" w:color="auto" w:fill="FFFFFF"/>
        <w:spacing w:after="0" w:line="240" w:lineRule="auto"/>
        <w:jc w:val="both"/>
        <w:rPr>
          <w:rFonts w:ascii="Arial" w:eastAsia="Times New Roman" w:hAnsi="Arial" w:cs="Arial"/>
          <w:color w:val="000000"/>
          <w:sz w:val="24"/>
          <w:szCs w:val="24"/>
          <w:lang w:eastAsia="en-GB"/>
        </w:rPr>
      </w:pPr>
      <w:r w:rsidRPr="008B2B47">
        <w:rPr>
          <w:rFonts w:ascii="Arial" w:eastAsia="Times New Roman" w:hAnsi="Arial" w:cs="Arial"/>
          <w:color w:val="000000"/>
          <w:sz w:val="24"/>
          <w:szCs w:val="24"/>
          <w:lang w:eastAsia="en-GB"/>
        </w:rPr>
        <w:t xml:space="preserve">The level one care home support service was introduced in the health board area in 2018 to support 20 of the 129 care homes in Cardiff. </w:t>
      </w:r>
    </w:p>
    <w:p w14:paraId="094DC20D" w14:textId="688C3898" w:rsidR="00271338" w:rsidRDefault="00271338" w:rsidP="00DC54F7">
      <w:pPr>
        <w:shd w:val="clear" w:color="auto" w:fill="FFFFFF"/>
        <w:spacing w:after="0" w:line="240" w:lineRule="auto"/>
        <w:jc w:val="both"/>
        <w:rPr>
          <w:rFonts w:ascii="Arial" w:eastAsia="Times New Roman" w:hAnsi="Arial" w:cs="Arial"/>
          <w:color w:val="000000"/>
          <w:sz w:val="24"/>
          <w:szCs w:val="24"/>
          <w:lang w:eastAsia="en-GB"/>
        </w:rPr>
      </w:pPr>
    </w:p>
    <w:p w14:paraId="666410F5" w14:textId="77777777" w:rsidR="008B2B47" w:rsidRPr="008B2B47" w:rsidRDefault="008B2B47" w:rsidP="00DC54F7">
      <w:pPr>
        <w:shd w:val="clear" w:color="auto" w:fill="FFFFFF"/>
        <w:spacing w:after="0" w:line="240" w:lineRule="auto"/>
        <w:jc w:val="both"/>
        <w:rPr>
          <w:rFonts w:ascii="Arial" w:eastAsia="Times New Roman" w:hAnsi="Arial" w:cs="Arial"/>
          <w:color w:val="000000"/>
          <w:sz w:val="24"/>
          <w:szCs w:val="24"/>
          <w:lang w:eastAsia="en-GB"/>
        </w:rPr>
      </w:pPr>
    </w:p>
    <w:p w14:paraId="01AE0146" w14:textId="24828B8F" w:rsidR="00E006F0" w:rsidRPr="008B2B47" w:rsidRDefault="00735539" w:rsidP="00DC54F7">
      <w:pPr>
        <w:shd w:val="clear" w:color="auto" w:fill="FFFFFF"/>
        <w:jc w:val="both"/>
        <w:rPr>
          <w:rFonts w:ascii="Arial" w:hAnsi="Arial" w:cs="Arial"/>
          <w:b/>
          <w:bCs/>
          <w:color w:val="000000"/>
          <w:sz w:val="24"/>
          <w:szCs w:val="24"/>
        </w:rPr>
      </w:pPr>
      <w:r w:rsidRPr="008B2B47">
        <w:rPr>
          <w:rFonts w:ascii="Calibri" w:eastAsia="Times New Roman" w:hAnsi="Calibri" w:cs="Calibri"/>
          <w:color w:val="000000"/>
          <w:sz w:val="24"/>
          <w:szCs w:val="24"/>
          <w:lang w:eastAsia="en-GB"/>
        </w:rPr>
        <w:t> </w:t>
      </w:r>
      <w:r w:rsidR="00E006F0" w:rsidRPr="008B2B47">
        <w:rPr>
          <w:rFonts w:ascii="Arial" w:eastAsia="Times New Roman" w:hAnsi="Arial" w:cs="Arial"/>
          <w:b/>
          <w:bCs/>
          <w:color w:val="000000"/>
          <w:sz w:val="24"/>
          <w:szCs w:val="24"/>
          <w:lang w:eastAsia="en-GB"/>
        </w:rPr>
        <w:t>5.1.1</w:t>
      </w:r>
      <w:r w:rsidR="00CA4845" w:rsidRPr="008B2B47">
        <w:rPr>
          <w:rFonts w:ascii="Arial" w:eastAsia="Times New Roman" w:hAnsi="Arial" w:cs="Arial"/>
          <w:b/>
          <w:bCs/>
          <w:color w:val="000000"/>
          <w:sz w:val="24"/>
          <w:szCs w:val="24"/>
          <w:lang w:eastAsia="en-GB"/>
        </w:rPr>
        <w:t>7</w:t>
      </w:r>
      <w:r w:rsidR="00E006F0" w:rsidRPr="008B2B47">
        <w:rPr>
          <w:rFonts w:ascii="Calibri" w:eastAsia="Times New Roman" w:hAnsi="Calibri" w:cs="Calibri"/>
          <w:b/>
          <w:bCs/>
          <w:color w:val="000000"/>
          <w:sz w:val="24"/>
          <w:szCs w:val="24"/>
          <w:lang w:eastAsia="en-GB"/>
        </w:rPr>
        <w:t xml:space="preserve"> </w:t>
      </w:r>
      <w:r w:rsidR="00E006F0" w:rsidRPr="008B2B47">
        <w:rPr>
          <w:rFonts w:ascii="Arial" w:hAnsi="Arial" w:cs="Arial"/>
          <w:b/>
          <w:bCs/>
          <w:color w:val="000000"/>
          <w:sz w:val="24"/>
          <w:szCs w:val="24"/>
        </w:rPr>
        <w:t xml:space="preserve">Palliative </w:t>
      </w:r>
      <w:r w:rsidR="001B4717" w:rsidRPr="008B2B47">
        <w:rPr>
          <w:rFonts w:ascii="Arial" w:hAnsi="Arial" w:cs="Arial"/>
          <w:b/>
          <w:bCs/>
          <w:color w:val="000000"/>
          <w:sz w:val="24"/>
          <w:szCs w:val="24"/>
        </w:rPr>
        <w:t>C</w:t>
      </w:r>
      <w:r w:rsidR="00E006F0" w:rsidRPr="008B2B47">
        <w:rPr>
          <w:rFonts w:ascii="Arial" w:hAnsi="Arial" w:cs="Arial"/>
          <w:b/>
          <w:bCs/>
          <w:color w:val="000000"/>
          <w:sz w:val="24"/>
          <w:szCs w:val="24"/>
        </w:rPr>
        <w:t xml:space="preserve">are </w:t>
      </w:r>
      <w:r w:rsidR="001B4717" w:rsidRPr="008B2B47">
        <w:rPr>
          <w:rFonts w:ascii="Arial" w:hAnsi="Arial" w:cs="Arial"/>
          <w:b/>
          <w:bCs/>
          <w:color w:val="000000"/>
          <w:sz w:val="24"/>
          <w:szCs w:val="24"/>
        </w:rPr>
        <w:t xml:space="preserve">Enhanced </w:t>
      </w:r>
      <w:r w:rsidR="00E006F0" w:rsidRPr="008B2B47">
        <w:rPr>
          <w:rFonts w:ascii="Arial" w:hAnsi="Arial" w:cs="Arial"/>
          <w:b/>
          <w:bCs/>
          <w:color w:val="000000"/>
          <w:sz w:val="24"/>
          <w:szCs w:val="24"/>
        </w:rPr>
        <w:t>Service</w:t>
      </w:r>
    </w:p>
    <w:p w14:paraId="22FE31D5" w14:textId="77777777" w:rsidR="004724E5" w:rsidRPr="008B2B47" w:rsidRDefault="004724E5" w:rsidP="00DC54F7">
      <w:pPr>
        <w:shd w:val="clear" w:color="auto" w:fill="FFFFFF"/>
        <w:spacing w:after="0" w:line="240" w:lineRule="auto"/>
        <w:jc w:val="both"/>
        <w:rPr>
          <w:rFonts w:ascii="Arial" w:eastAsia="Times New Roman" w:hAnsi="Arial" w:cs="Arial"/>
          <w:color w:val="000000"/>
          <w:sz w:val="24"/>
          <w:szCs w:val="24"/>
          <w:lang w:eastAsia="en-GB"/>
        </w:rPr>
      </w:pPr>
      <w:r w:rsidRPr="008B2B47">
        <w:rPr>
          <w:rFonts w:ascii="Arial" w:eastAsia="Times New Roman" w:hAnsi="Arial" w:cs="Arial"/>
          <w:color w:val="000000"/>
          <w:sz w:val="24"/>
          <w:szCs w:val="24"/>
          <w:lang w:eastAsia="en-GB"/>
        </w:rPr>
        <w:t xml:space="preserve">Access to palliative care medications in hours is required to support the care of patients whose condition is deteriorating unexpectedly. Palliative care medicines are not necessarily stocked routinely by all pharmacies, meaning that sometimes patients must visit more than one pharmacy to access all the medicines needed.  This service ensures prompt and effective access to a range of palliative care medicines within normal working hours with minimal inconvenience to patients and professionals, by identifying key pharmacies that have agreed to hold a specific stock list of palliative care medicines. </w:t>
      </w:r>
    </w:p>
    <w:p w14:paraId="4D3F3ABB" w14:textId="77777777" w:rsidR="004724E5" w:rsidRPr="008B2B47" w:rsidRDefault="004724E5" w:rsidP="00DC54F7">
      <w:pPr>
        <w:shd w:val="clear" w:color="auto" w:fill="FFFFFF"/>
        <w:spacing w:after="0" w:line="240" w:lineRule="auto"/>
        <w:jc w:val="both"/>
        <w:rPr>
          <w:rFonts w:ascii="Arial" w:eastAsia="Times New Roman" w:hAnsi="Arial" w:cs="Arial"/>
          <w:color w:val="000000"/>
          <w:sz w:val="24"/>
          <w:szCs w:val="24"/>
          <w:lang w:eastAsia="en-GB"/>
        </w:rPr>
      </w:pPr>
    </w:p>
    <w:p w14:paraId="161D0238" w14:textId="0CCA7034" w:rsidR="00193477" w:rsidRPr="008B2B47" w:rsidRDefault="00193477" w:rsidP="00DC54F7">
      <w:pPr>
        <w:shd w:val="clear" w:color="auto" w:fill="FFFFFF"/>
        <w:spacing w:after="0" w:line="240" w:lineRule="auto"/>
        <w:jc w:val="both"/>
        <w:rPr>
          <w:rFonts w:ascii="Arial" w:eastAsia="Times New Roman" w:hAnsi="Arial" w:cs="Arial"/>
          <w:color w:val="000000"/>
          <w:sz w:val="24"/>
          <w:szCs w:val="24"/>
          <w:lang w:eastAsia="en-GB"/>
        </w:rPr>
      </w:pPr>
      <w:r w:rsidRPr="008B2B47">
        <w:rPr>
          <w:rFonts w:ascii="Arial" w:hAnsi="Arial" w:cs="Arial"/>
          <w:sz w:val="24"/>
          <w:szCs w:val="24"/>
        </w:rPr>
        <w:t xml:space="preserve">There are 31 pharmacies </w:t>
      </w:r>
      <w:r w:rsidR="0096782D" w:rsidRPr="008B2B47">
        <w:rPr>
          <w:rFonts w:ascii="Arial" w:hAnsi="Arial" w:cs="Arial"/>
          <w:sz w:val="24"/>
          <w:szCs w:val="24"/>
        </w:rPr>
        <w:t xml:space="preserve">commissioned to </w:t>
      </w:r>
      <w:r w:rsidRPr="008B2B47">
        <w:rPr>
          <w:rFonts w:ascii="Arial" w:hAnsi="Arial" w:cs="Arial"/>
          <w:sz w:val="24"/>
          <w:szCs w:val="24"/>
        </w:rPr>
        <w:t>provide the palliative care service in C</w:t>
      </w:r>
      <w:r w:rsidR="0096782D" w:rsidRPr="008B2B47">
        <w:rPr>
          <w:rFonts w:ascii="Arial" w:hAnsi="Arial" w:cs="Arial"/>
          <w:sz w:val="24"/>
          <w:szCs w:val="24"/>
        </w:rPr>
        <w:t xml:space="preserve">ardiff and Vale University Health Board </w:t>
      </w:r>
      <w:r w:rsidRPr="008B2B47">
        <w:rPr>
          <w:rFonts w:ascii="Arial" w:hAnsi="Arial" w:cs="Arial"/>
          <w:sz w:val="24"/>
          <w:szCs w:val="24"/>
        </w:rPr>
        <w:t xml:space="preserve">and </w:t>
      </w:r>
      <w:r w:rsidR="0096782D" w:rsidRPr="008B2B47">
        <w:rPr>
          <w:rFonts w:ascii="Arial" w:hAnsi="Arial" w:cs="Arial"/>
          <w:color w:val="000000"/>
          <w:sz w:val="24"/>
          <w:szCs w:val="24"/>
        </w:rPr>
        <w:t>i</w:t>
      </w:r>
      <w:r w:rsidRPr="008B2B47">
        <w:rPr>
          <w:rFonts w:ascii="Arial" w:hAnsi="Arial" w:cs="Arial"/>
          <w:color w:val="000000"/>
          <w:sz w:val="24"/>
          <w:szCs w:val="24"/>
        </w:rPr>
        <w:t>n 2019 to 2020, 29 pharmacies actively provided this service.</w:t>
      </w:r>
    </w:p>
    <w:p w14:paraId="7CDF3368" w14:textId="49855CA1" w:rsidR="00735539" w:rsidRPr="008B2B47" w:rsidRDefault="00735539" w:rsidP="00DC54F7">
      <w:pPr>
        <w:shd w:val="clear" w:color="auto" w:fill="FFFFFF"/>
        <w:spacing w:after="0" w:line="240" w:lineRule="auto"/>
        <w:jc w:val="both"/>
        <w:rPr>
          <w:rFonts w:ascii="Calibri" w:eastAsia="Times New Roman" w:hAnsi="Calibri" w:cs="Calibri"/>
          <w:color w:val="000000"/>
          <w:sz w:val="24"/>
          <w:szCs w:val="24"/>
          <w:lang w:eastAsia="en-GB"/>
        </w:rPr>
      </w:pPr>
    </w:p>
    <w:p w14:paraId="1C3F711F" w14:textId="77777777" w:rsidR="00316DE5" w:rsidRPr="008B2B47" w:rsidRDefault="00316DE5" w:rsidP="00DC54F7">
      <w:pPr>
        <w:shd w:val="clear" w:color="auto" w:fill="FFFFFF"/>
        <w:spacing w:after="0" w:line="240" w:lineRule="auto"/>
        <w:jc w:val="both"/>
        <w:rPr>
          <w:rFonts w:ascii="Calibri" w:eastAsia="Times New Roman" w:hAnsi="Calibri" w:cs="Calibri"/>
          <w:color w:val="000000"/>
          <w:sz w:val="24"/>
          <w:szCs w:val="24"/>
          <w:lang w:eastAsia="en-GB"/>
        </w:rPr>
      </w:pPr>
    </w:p>
    <w:p w14:paraId="149B75A8" w14:textId="377C89AB" w:rsidR="00735539" w:rsidRPr="008B2B47" w:rsidRDefault="00A90EE1" w:rsidP="00DC54F7">
      <w:pPr>
        <w:spacing w:after="0" w:line="240" w:lineRule="auto"/>
        <w:jc w:val="both"/>
        <w:rPr>
          <w:rFonts w:ascii="Arial" w:hAnsi="Arial" w:cs="Arial"/>
          <w:b/>
          <w:sz w:val="24"/>
          <w:szCs w:val="24"/>
        </w:rPr>
      </w:pPr>
      <w:r w:rsidRPr="008B2B47">
        <w:rPr>
          <w:rFonts w:ascii="Arial" w:hAnsi="Arial" w:cs="Arial"/>
          <w:b/>
          <w:sz w:val="24"/>
          <w:szCs w:val="24"/>
        </w:rPr>
        <w:t>5</w:t>
      </w:r>
      <w:r w:rsidR="00735539" w:rsidRPr="008B2B47">
        <w:rPr>
          <w:rFonts w:ascii="Arial" w:hAnsi="Arial" w:cs="Arial"/>
          <w:b/>
          <w:sz w:val="24"/>
          <w:szCs w:val="24"/>
        </w:rPr>
        <w:t>.</w:t>
      </w:r>
      <w:r w:rsidR="002E09A7" w:rsidRPr="008B2B47">
        <w:rPr>
          <w:rFonts w:ascii="Arial" w:hAnsi="Arial" w:cs="Arial"/>
          <w:b/>
          <w:sz w:val="24"/>
          <w:szCs w:val="24"/>
        </w:rPr>
        <w:t>1.1</w:t>
      </w:r>
      <w:r w:rsidR="00CA4845" w:rsidRPr="008B2B47">
        <w:rPr>
          <w:rFonts w:ascii="Arial" w:hAnsi="Arial" w:cs="Arial"/>
          <w:b/>
          <w:sz w:val="24"/>
          <w:szCs w:val="24"/>
        </w:rPr>
        <w:t>8</w:t>
      </w:r>
      <w:r w:rsidR="00735539" w:rsidRPr="008B2B47">
        <w:rPr>
          <w:rFonts w:ascii="Arial" w:hAnsi="Arial" w:cs="Arial"/>
          <w:b/>
          <w:sz w:val="24"/>
          <w:szCs w:val="24"/>
        </w:rPr>
        <w:t xml:space="preserve"> Independent Prescribing </w:t>
      </w:r>
    </w:p>
    <w:p w14:paraId="2AFD74C4" w14:textId="77777777" w:rsidR="00735539" w:rsidRPr="008B2B47" w:rsidRDefault="00735539" w:rsidP="00DC54F7">
      <w:pPr>
        <w:spacing w:after="0" w:line="240" w:lineRule="auto"/>
        <w:jc w:val="both"/>
        <w:rPr>
          <w:rFonts w:ascii="Arial" w:hAnsi="Arial" w:cs="Arial"/>
          <w:b/>
          <w:sz w:val="24"/>
          <w:szCs w:val="24"/>
        </w:rPr>
      </w:pPr>
    </w:p>
    <w:p w14:paraId="587548A9" w14:textId="77777777" w:rsidR="00735539" w:rsidRPr="008B2B47" w:rsidRDefault="00735539" w:rsidP="00DC54F7">
      <w:pPr>
        <w:spacing w:after="0" w:line="240" w:lineRule="auto"/>
        <w:jc w:val="both"/>
        <w:rPr>
          <w:rFonts w:ascii="Arial" w:hAnsi="Arial" w:cs="Arial"/>
          <w:b/>
          <w:sz w:val="24"/>
          <w:szCs w:val="24"/>
        </w:rPr>
      </w:pPr>
      <w:r w:rsidRPr="008B2B47">
        <w:rPr>
          <w:rFonts w:ascii="Arial" w:hAnsi="Arial" w:cs="Arial"/>
          <w:sz w:val="24"/>
          <w:szCs w:val="24"/>
        </w:rPr>
        <w:t>Pharmacist independent prescribers may prescribe any licensed medicine for any medical condition, within their therapeutic area of competence.</w:t>
      </w:r>
    </w:p>
    <w:p w14:paraId="61193677" w14:textId="77777777" w:rsidR="008B2B47" w:rsidRDefault="00735539" w:rsidP="00DC54F7">
      <w:pPr>
        <w:shd w:val="clear" w:color="auto" w:fill="FFFFFF"/>
        <w:spacing w:before="100" w:beforeAutospacing="1" w:after="100" w:afterAutospacing="1" w:line="240" w:lineRule="auto"/>
        <w:jc w:val="both"/>
        <w:rPr>
          <w:rFonts w:ascii="Arial" w:eastAsia="Times New Roman" w:hAnsi="Arial" w:cs="Arial"/>
          <w:color w:val="000000"/>
          <w:sz w:val="24"/>
          <w:szCs w:val="24"/>
          <w:lang w:eastAsia="en-GB"/>
        </w:rPr>
      </w:pPr>
      <w:r w:rsidRPr="008B2B47">
        <w:rPr>
          <w:rFonts w:ascii="Arial" w:eastAsia="Times New Roman" w:hAnsi="Arial" w:cs="Arial"/>
          <w:color w:val="000000"/>
          <w:sz w:val="24"/>
          <w:szCs w:val="24"/>
          <w:lang w:eastAsia="en-GB"/>
        </w:rPr>
        <w:t xml:space="preserve">Community pharmacy and health boards across Wales were given the opportunity </w:t>
      </w:r>
    </w:p>
    <w:p w14:paraId="732E0E0C" w14:textId="7DDEA2D1" w:rsidR="00D278A3" w:rsidRPr="008B2B47" w:rsidRDefault="00735539" w:rsidP="00DC54F7">
      <w:pPr>
        <w:shd w:val="clear" w:color="auto" w:fill="FFFFFF"/>
        <w:spacing w:before="100" w:beforeAutospacing="1" w:after="100" w:afterAutospacing="1" w:line="240" w:lineRule="auto"/>
        <w:jc w:val="both"/>
        <w:rPr>
          <w:rFonts w:ascii="Arial" w:eastAsia="Times New Roman" w:hAnsi="Arial" w:cs="Arial"/>
          <w:color w:val="000000"/>
          <w:sz w:val="24"/>
          <w:szCs w:val="24"/>
          <w:lang w:eastAsia="en-GB"/>
        </w:rPr>
      </w:pPr>
      <w:r w:rsidRPr="008B2B47">
        <w:rPr>
          <w:rFonts w:ascii="Arial" w:eastAsia="Times New Roman" w:hAnsi="Arial" w:cs="Arial"/>
          <w:color w:val="000000"/>
          <w:sz w:val="24"/>
          <w:szCs w:val="24"/>
          <w:lang w:eastAsia="en-GB"/>
        </w:rPr>
        <w:lastRenderedPageBreak/>
        <w:t xml:space="preserve">by the Welsh Government to develop pathfinder sites and pilot new services that could utilise community pharmacists and independent pharmacist prescribers in community pharmacy. </w:t>
      </w:r>
    </w:p>
    <w:p w14:paraId="267163D9" w14:textId="7865C471" w:rsidR="00735539" w:rsidRPr="008B2B47" w:rsidRDefault="00735539" w:rsidP="00DC54F7">
      <w:pPr>
        <w:shd w:val="clear" w:color="auto" w:fill="FFFFFF"/>
        <w:spacing w:before="100" w:beforeAutospacing="1" w:after="100" w:afterAutospacing="1" w:line="240" w:lineRule="auto"/>
        <w:jc w:val="both"/>
        <w:rPr>
          <w:rFonts w:ascii="Arial" w:eastAsia="Times New Roman" w:hAnsi="Arial" w:cs="Arial"/>
          <w:color w:val="000000"/>
          <w:sz w:val="24"/>
          <w:szCs w:val="24"/>
          <w:lang w:eastAsia="en-GB"/>
        </w:rPr>
      </w:pPr>
      <w:r w:rsidRPr="008B2B47">
        <w:rPr>
          <w:rFonts w:ascii="Arial" w:eastAsia="Times New Roman" w:hAnsi="Arial" w:cs="Arial"/>
          <w:color w:val="000000"/>
          <w:sz w:val="24"/>
          <w:szCs w:val="24"/>
          <w:lang w:eastAsia="en-GB"/>
        </w:rPr>
        <w:t xml:space="preserve">In conjunction with the Department of Sexual Health (DOSH), Cardiff and Vale University Health Board developed a community pharmacy oral contraceptive service. In 2020, the health board launched an independent prescriber oral contraception service within four community pharmacies, with plans to extend to six sites by 2022. </w:t>
      </w:r>
    </w:p>
    <w:p w14:paraId="67103740" w14:textId="6D40B255" w:rsidR="00735539" w:rsidRPr="008B2B47" w:rsidRDefault="00735539" w:rsidP="00DC54F7">
      <w:pPr>
        <w:shd w:val="clear" w:color="auto" w:fill="FFFFFF"/>
        <w:spacing w:after="0" w:line="240" w:lineRule="auto"/>
        <w:jc w:val="both"/>
        <w:rPr>
          <w:rFonts w:ascii="Arial" w:hAnsi="Arial" w:cs="Arial"/>
          <w:sz w:val="24"/>
          <w:szCs w:val="24"/>
        </w:rPr>
      </w:pPr>
      <w:r w:rsidRPr="008B2B47">
        <w:rPr>
          <w:rFonts w:ascii="Arial" w:eastAsia="Times New Roman" w:hAnsi="Arial" w:cs="Arial"/>
          <w:color w:val="000000"/>
          <w:sz w:val="24"/>
          <w:szCs w:val="24"/>
          <w:lang w:eastAsia="en-GB"/>
        </w:rPr>
        <w:t>Cardiff and Vale University Health Board also plan to launch an independent prescriber acute conditions service within an additional four community pharmacies in 2021.</w:t>
      </w:r>
      <w:r w:rsidRPr="008B2B47">
        <w:rPr>
          <w:sz w:val="24"/>
          <w:szCs w:val="24"/>
        </w:rPr>
        <w:t xml:space="preserve"> </w:t>
      </w:r>
      <w:r w:rsidRPr="008B2B47">
        <w:rPr>
          <w:rFonts w:ascii="Arial" w:hAnsi="Arial" w:cs="Arial"/>
          <w:sz w:val="24"/>
          <w:szCs w:val="24"/>
        </w:rPr>
        <w:t>The acute conditions service will provide patients presenting in the community pharmacy with a relevant acute condition access to effective advice and treatment, provided by a community pharmacist independent prescriber. The service will support a ‘community pharmacy first’ model of care, to reduce the number of patients consulting their GP for acute conditions that can be appropriately managed in the community pharmacy setting.</w:t>
      </w:r>
    </w:p>
    <w:p w14:paraId="66065C4A" w14:textId="27EB7CDE" w:rsidR="00631DD6" w:rsidRDefault="00631DD6" w:rsidP="00DC54F7">
      <w:pPr>
        <w:shd w:val="clear" w:color="auto" w:fill="FFFFFF"/>
        <w:spacing w:after="0" w:line="240" w:lineRule="auto"/>
        <w:jc w:val="both"/>
        <w:rPr>
          <w:rFonts w:ascii="Arial" w:hAnsi="Arial" w:cs="Arial"/>
          <w:sz w:val="24"/>
          <w:szCs w:val="24"/>
        </w:rPr>
      </w:pPr>
    </w:p>
    <w:p w14:paraId="10221FC7" w14:textId="77777777" w:rsidR="008B2B47" w:rsidRPr="008B2B47" w:rsidRDefault="008B2B47" w:rsidP="00DC54F7">
      <w:pPr>
        <w:shd w:val="clear" w:color="auto" w:fill="FFFFFF"/>
        <w:spacing w:after="0" w:line="240" w:lineRule="auto"/>
        <w:jc w:val="both"/>
        <w:rPr>
          <w:rFonts w:ascii="Arial" w:hAnsi="Arial" w:cs="Arial"/>
          <w:sz w:val="24"/>
          <w:szCs w:val="24"/>
        </w:rPr>
      </w:pPr>
    </w:p>
    <w:p w14:paraId="5A7DF3B4" w14:textId="1B1DBFDB" w:rsidR="00631DD6" w:rsidRPr="008B2B47" w:rsidRDefault="00631DD6" w:rsidP="00DC54F7">
      <w:pPr>
        <w:spacing w:after="0" w:line="240" w:lineRule="auto"/>
        <w:jc w:val="both"/>
        <w:rPr>
          <w:rFonts w:ascii="Arial" w:hAnsi="Arial" w:cs="Arial"/>
          <w:b/>
          <w:sz w:val="24"/>
          <w:szCs w:val="24"/>
        </w:rPr>
      </w:pPr>
      <w:r w:rsidRPr="008B2B47">
        <w:rPr>
          <w:rFonts w:ascii="Arial" w:hAnsi="Arial" w:cs="Arial"/>
          <w:b/>
          <w:sz w:val="24"/>
          <w:szCs w:val="24"/>
        </w:rPr>
        <w:t>5.1.19 Access to pharmaceutical services on public and bank holidays</w:t>
      </w:r>
    </w:p>
    <w:p w14:paraId="2CFB14FC" w14:textId="77777777" w:rsidR="00631DD6" w:rsidRPr="008B2B47" w:rsidRDefault="00631DD6" w:rsidP="00DC54F7">
      <w:pPr>
        <w:spacing w:after="0" w:line="240" w:lineRule="auto"/>
        <w:contextualSpacing/>
        <w:jc w:val="both"/>
        <w:rPr>
          <w:rFonts w:ascii="Arial" w:hAnsi="Arial" w:cs="Arial"/>
          <w:sz w:val="24"/>
          <w:szCs w:val="24"/>
        </w:rPr>
      </w:pPr>
    </w:p>
    <w:p w14:paraId="3760E429" w14:textId="155AD7F8" w:rsidR="00631DD6" w:rsidRPr="008B2B47" w:rsidRDefault="00631DD6" w:rsidP="00DC54F7">
      <w:pPr>
        <w:spacing w:after="0" w:line="240" w:lineRule="auto"/>
        <w:contextualSpacing/>
        <w:jc w:val="both"/>
        <w:rPr>
          <w:rFonts w:ascii="Arial" w:hAnsi="Arial" w:cs="Arial"/>
          <w:sz w:val="24"/>
          <w:szCs w:val="24"/>
        </w:rPr>
      </w:pPr>
      <w:r w:rsidRPr="008B2B47">
        <w:rPr>
          <w:rFonts w:ascii="Arial" w:hAnsi="Arial" w:cs="Arial"/>
          <w:sz w:val="24"/>
          <w:szCs w:val="24"/>
        </w:rPr>
        <w:t xml:space="preserve">The health board has a duty to ensure that residents of its area are able to access pharmaceutical services every day.  Pharmacies and dispensing appliance contractors are not required to open on public and bank holidays, or Easter Sunday, although some choose to do so. Cardiff and Vale University Health Board has a bank holiday rota system in place to ensure that a certain number of pharmacies are open for a restricted time throughout the health board’s area on public and bank holidays. </w:t>
      </w:r>
    </w:p>
    <w:p w14:paraId="591C150B" w14:textId="1107B71C" w:rsidR="00AD211F" w:rsidRDefault="00AD211F" w:rsidP="00DC54F7">
      <w:pPr>
        <w:spacing w:after="0" w:line="240" w:lineRule="auto"/>
        <w:contextualSpacing/>
        <w:jc w:val="both"/>
        <w:rPr>
          <w:rFonts w:ascii="Arial" w:hAnsi="Arial" w:cs="Arial"/>
          <w:sz w:val="24"/>
          <w:szCs w:val="24"/>
        </w:rPr>
      </w:pPr>
    </w:p>
    <w:p w14:paraId="7008685D" w14:textId="77777777" w:rsidR="008B2B47" w:rsidRPr="008B2B47" w:rsidRDefault="008B2B47" w:rsidP="00DC54F7">
      <w:pPr>
        <w:spacing w:after="0" w:line="240" w:lineRule="auto"/>
        <w:contextualSpacing/>
        <w:jc w:val="both"/>
        <w:rPr>
          <w:rFonts w:ascii="Arial" w:hAnsi="Arial" w:cs="Arial"/>
          <w:sz w:val="24"/>
          <w:szCs w:val="24"/>
        </w:rPr>
      </w:pPr>
    </w:p>
    <w:p w14:paraId="0B883382" w14:textId="77777777" w:rsidR="00AD211F" w:rsidRPr="008B2B47" w:rsidRDefault="00AD211F" w:rsidP="00DC54F7">
      <w:pPr>
        <w:spacing w:after="0" w:line="240" w:lineRule="auto"/>
        <w:jc w:val="both"/>
        <w:rPr>
          <w:rFonts w:ascii="Arial" w:hAnsi="Arial" w:cs="Arial"/>
          <w:b/>
          <w:sz w:val="24"/>
          <w:szCs w:val="24"/>
        </w:rPr>
      </w:pPr>
      <w:r w:rsidRPr="008B2B47">
        <w:rPr>
          <w:rFonts w:ascii="Arial" w:hAnsi="Arial" w:cs="Arial"/>
          <w:b/>
          <w:sz w:val="24"/>
          <w:szCs w:val="24"/>
        </w:rPr>
        <w:t>5.1.20 Mass immunisation program Primary Care Contractor Immunisation Service (PCCIS) via community pharmacy</w:t>
      </w:r>
    </w:p>
    <w:p w14:paraId="032CAC1E" w14:textId="77777777" w:rsidR="00AD211F" w:rsidRPr="008B2B47" w:rsidRDefault="00AD211F" w:rsidP="00DC54F7">
      <w:pPr>
        <w:spacing w:after="0" w:line="240" w:lineRule="auto"/>
        <w:jc w:val="both"/>
        <w:rPr>
          <w:rFonts w:ascii="Arial" w:hAnsi="Arial" w:cs="Arial"/>
          <w:sz w:val="24"/>
          <w:szCs w:val="24"/>
        </w:rPr>
      </w:pPr>
    </w:p>
    <w:p w14:paraId="482C2933" w14:textId="512BCBE7" w:rsidR="00AD211F" w:rsidRPr="008B2B47" w:rsidRDefault="00AD211F" w:rsidP="00DC54F7">
      <w:pPr>
        <w:spacing w:after="0" w:line="240" w:lineRule="auto"/>
        <w:jc w:val="both"/>
        <w:rPr>
          <w:rFonts w:ascii="Arial" w:hAnsi="Arial" w:cs="Arial"/>
          <w:sz w:val="24"/>
          <w:szCs w:val="24"/>
        </w:rPr>
      </w:pPr>
      <w:r w:rsidRPr="008B2B47">
        <w:rPr>
          <w:rFonts w:ascii="Arial" w:hAnsi="Arial" w:cs="Arial"/>
          <w:sz w:val="24"/>
          <w:szCs w:val="24"/>
        </w:rPr>
        <w:t>Throughout 2020 and into 2021</w:t>
      </w:r>
      <w:r w:rsidR="00297C40" w:rsidRPr="008B2B47">
        <w:rPr>
          <w:rFonts w:ascii="Arial" w:hAnsi="Arial" w:cs="Arial"/>
          <w:sz w:val="24"/>
          <w:szCs w:val="24"/>
        </w:rPr>
        <w:t>,</w:t>
      </w:r>
      <w:r w:rsidRPr="008B2B47">
        <w:rPr>
          <w:rFonts w:ascii="Arial" w:hAnsi="Arial" w:cs="Arial"/>
          <w:sz w:val="24"/>
          <w:szCs w:val="24"/>
        </w:rPr>
        <w:t xml:space="preserve"> pharmac</w:t>
      </w:r>
      <w:r w:rsidR="00074E75" w:rsidRPr="008B2B47">
        <w:rPr>
          <w:rFonts w:ascii="Arial" w:hAnsi="Arial" w:cs="Arial"/>
          <w:sz w:val="24"/>
          <w:szCs w:val="24"/>
        </w:rPr>
        <w:t>ies</w:t>
      </w:r>
      <w:r w:rsidRPr="008B2B47">
        <w:rPr>
          <w:rFonts w:ascii="Arial" w:hAnsi="Arial" w:cs="Arial"/>
          <w:sz w:val="24"/>
          <w:szCs w:val="24"/>
        </w:rPr>
        <w:t xml:space="preserve"> have played an integral part in supporting the </w:t>
      </w:r>
      <w:r w:rsidR="00074E75" w:rsidRPr="008B2B47">
        <w:rPr>
          <w:rFonts w:ascii="Arial" w:hAnsi="Arial" w:cs="Arial"/>
          <w:sz w:val="24"/>
          <w:szCs w:val="24"/>
        </w:rPr>
        <w:t>h</w:t>
      </w:r>
      <w:r w:rsidRPr="008B2B47">
        <w:rPr>
          <w:rFonts w:ascii="Arial" w:hAnsi="Arial" w:cs="Arial"/>
          <w:sz w:val="24"/>
          <w:szCs w:val="24"/>
        </w:rPr>
        <w:t xml:space="preserve">ealth </w:t>
      </w:r>
      <w:r w:rsidR="00074E75" w:rsidRPr="008B2B47">
        <w:rPr>
          <w:rFonts w:ascii="Arial" w:hAnsi="Arial" w:cs="Arial"/>
          <w:sz w:val="24"/>
          <w:szCs w:val="24"/>
        </w:rPr>
        <w:t>b</w:t>
      </w:r>
      <w:r w:rsidRPr="008B2B47">
        <w:rPr>
          <w:rFonts w:ascii="Arial" w:hAnsi="Arial" w:cs="Arial"/>
          <w:sz w:val="24"/>
          <w:szCs w:val="24"/>
        </w:rPr>
        <w:t xml:space="preserve">oard’s primary care response to </w:t>
      </w:r>
      <w:r w:rsidR="00074E75" w:rsidRPr="008B2B47">
        <w:rPr>
          <w:rFonts w:ascii="Arial" w:hAnsi="Arial" w:cs="Arial"/>
          <w:sz w:val="24"/>
          <w:szCs w:val="24"/>
        </w:rPr>
        <w:t>the Corona</w:t>
      </w:r>
      <w:r w:rsidR="00297C40" w:rsidRPr="008B2B47">
        <w:rPr>
          <w:rFonts w:ascii="Arial" w:hAnsi="Arial" w:cs="Arial"/>
          <w:sz w:val="24"/>
          <w:szCs w:val="24"/>
        </w:rPr>
        <w:t>virus</w:t>
      </w:r>
      <w:r w:rsidR="00074E75" w:rsidRPr="008B2B47">
        <w:rPr>
          <w:rFonts w:ascii="Arial" w:hAnsi="Arial" w:cs="Arial"/>
          <w:sz w:val="24"/>
          <w:szCs w:val="24"/>
        </w:rPr>
        <w:t xml:space="preserve"> </w:t>
      </w:r>
      <w:r w:rsidR="00297C40" w:rsidRPr="008B2B47">
        <w:rPr>
          <w:rFonts w:ascii="Arial" w:hAnsi="Arial" w:cs="Arial"/>
          <w:sz w:val="24"/>
          <w:szCs w:val="24"/>
        </w:rPr>
        <w:t>(</w:t>
      </w:r>
      <w:r w:rsidRPr="008B2B47">
        <w:rPr>
          <w:rFonts w:ascii="Arial" w:hAnsi="Arial" w:cs="Arial"/>
          <w:sz w:val="24"/>
          <w:szCs w:val="24"/>
        </w:rPr>
        <w:t>COVID</w:t>
      </w:r>
      <w:r w:rsidR="00297C40" w:rsidRPr="008B2B47">
        <w:rPr>
          <w:rFonts w:ascii="Arial" w:hAnsi="Arial" w:cs="Arial"/>
          <w:sz w:val="24"/>
          <w:szCs w:val="24"/>
        </w:rPr>
        <w:t>-</w:t>
      </w:r>
      <w:r w:rsidRPr="008B2B47">
        <w:rPr>
          <w:rFonts w:ascii="Arial" w:hAnsi="Arial" w:cs="Arial"/>
          <w:sz w:val="24"/>
          <w:szCs w:val="24"/>
        </w:rPr>
        <w:t>19</w:t>
      </w:r>
      <w:r w:rsidR="00297C40" w:rsidRPr="008B2B47">
        <w:rPr>
          <w:rFonts w:ascii="Arial" w:hAnsi="Arial" w:cs="Arial"/>
          <w:sz w:val="24"/>
          <w:szCs w:val="24"/>
        </w:rPr>
        <w:t>) pandemic</w:t>
      </w:r>
      <w:r w:rsidRPr="008B2B47">
        <w:rPr>
          <w:rFonts w:ascii="Arial" w:hAnsi="Arial" w:cs="Arial"/>
          <w:sz w:val="24"/>
          <w:szCs w:val="24"/>
        </w:rPr>
        <w:t xml:space="preserve"> through their ongoing Essential, Advanced and Enhanced pharmaceutical service provision. The </w:t>
      </w:r>
      <w:r w:rsidR="00297C40" w:rsidRPr="008B2B47">
        <w:rPr>
          <w:rFonts w:ascii="Arial" w:hAnsi="Arial" w:cs="Arial"/>
          <w:sz w:val="24"/>
          <w:szCs w:val="24"/>
        </w:rPr>
        <w:t>d</w:t>
      </w:r>
      <w:r w:rsidRPr="008B2B47">
        <w:rPr>
          <w:rFonts w:ascii="Arial" w:hAnsi="Arial" w:cs="Arial"/>
          <w:sz w:val="24"/>
          <w:szCs w:val="24"/>
        </w:rPr>
        <w:t xml:space="preserve">evelopment </w:t>
      </w:r>
      <w:r w:rsidR="00297C40" w:rsidRPr="008B2B47">
        <w:rPr>
          <w:rFonts w:ascii="Arial" w:hAnsi="Arial" w:cs="Arial"/>
          <w:sz w:val="24"/>
          <w:szCs w:val="24"/>
        </w:rPr>
        <w:t xml:space="preserve">of </w:t>
      </w:r>
      <w:r w:rsidRPr="008B2B47">
        <w:rPr>
          <w:rFonts w:ascii="Arial" w:hAnsi="Arial" w:cs="Arial"/>
          <w:sz w:val="24"/>
          <w:szCs w:val="24"/>
        </w:rPr>
        <w:t xml:space="preserve">the Primary Care Contractor Immunisation Service (PCCIS) by </w:t>
      </w:r>
      <w:r w:rsidR="00297C40" w:rsidRPr="008B2B47">
        <w:rPr>
          <w:rFonts w:ascii="Arial" w:hAnsi="Arial" w:cs="Arial"/>
          <w:sz w:val="24"/>
          <w:szCs w:val="24"/>
        </w:rPr>
        <w:t xml:space="preserve">the </w:t>
      </w:r>
      <w:r w:rsidRPr="008B2B47">
        <w:rPr>
          <w:rFonts w:ascii="Arial" w:hAnsi="Arial" w:cs="Arial"/>
          <w:sz w:val="24"/>
          <w:szCs w:val="24"/>
        </w:rPr>
        <w:t>Welsh Government has meant that pharmacies can be included as vaccination sites. C</w:t>
      </w:r>
      <w:r w:rsidR="00297C40" w:rsidRPr="008B2B47">
        <w:rPr>
          <w:rFonts w:ascii="Arial" w:hAnsi="Arial" w:cs="Arial"/>
          <w:sz w:val="24"/>
          <w:szCs w:val="24"/>
        </w:rPr>
        <w:t>ardiff and Vale University Health Board</w:t>
      </w:r>
      <w:r w:rsidRPr="008B2B47">
        <w:rPr>
          <w:rFonts w:ascii="Arial" w:hAnsi="Arial" w:cs="Arial"/>
          <w:sz w:val="24"/>
          <w:szCs w:val="24"/>
        </w:rPr>
        <w:t xml:space="preserve"> </w:t>
      </w:r>
      <w:r w:rsidR="00297C40" w:rsidRPr="008B2B47">
        <w:rPr>
          <w:rFonts w:ascii="Arial" w:hAnsi="Arial" w:cs="Arial"/>
          <w:sz w:val="24"/>
          <w:szCs w:val="24"/>
        </w:rPr>
        <w:t xml:space="preserve">has </w:t>
      </w:r>
      <w:r w:rsidRPr="008B2B47">
        <w:rPr>
          <w:rFonts w:ascii="Arial" w:hAnsi="Arial" w:cs="Arial"/>
          <w:sz w:val="24"/>
          <w:szCs w:val="24"/>
        </w:rPr>
        <w:t xml:space="preserve">currently commissioned three pharmacies to provide this service with a further </w:t>
      </w:r>
      <w:r w:rsidR="00297C40" w:rsidRPr="008B2B47">
        <w:rPr>
          <w:rFonts w:ascii="Arial" w:hAnsi="Arial" w:cs="Arial"/>
          <w:sz w:val="24"/>
          <w:szCs w:val="24"/>
        </w:rPr>
        <w:t xml:space="preserve">seven </w:t>
      </w:r>
      <w:r w:rsidRPr="008B2B47">
        <w:rPr>
          <w:rFonts w:ascii="Arial" w:hAnsi="Arial" w:cs="Arial"/>
          <w:sz w:val="24"/>
          <w:szCs w:val="24"/>
        </w:rPr>
        <w:t xml:space="preserve">sites identified </w:t>
      </w:r>
      <w:r w:rsidR="00297C40" w:rsidRPr="008B2B47">
        <w:rPr>
          <w:rFonts w:ascii="Arial" w:hAnsi="Arial" w:cs="Arial"/>
          <w:sz w:val="24"/>
          <w:szCs w:val="24"/>
        </w:rPr>
        <w:t xml:space="preserve">and </w:t>
      </w:r>
      <w:r w:rsidRPr="008B2B47">
        <w:rPr>
          <w:rFonts w:ascii="Arial" w:hAnsi="Arial" w:cs="Arial"/>
          <w:sz w:val="24"/>
          <w:szCs w:val="24"/>
        </w:rPr>
        <w:t>with around 40 pharmacies being interested in providing this service.</w:t>
      </w:r>
      <w:r w:rsidR="00297C40" w:rsidRPr="008B2B47">
        <w:rPr>
          <w:rFonts w:ascii="Arial" w:hAnsi="Arial" w:cs="Arial"/>
          <w:sz w:val="24"/>
          <w:szCs w:val="24"/>
        </w:rPr>
        <w:t xml:space="preserve"> P</w:t>
      </w:r>
      <w:r w:rsidRPr="008B2B47">
        <w:rPr>
          <w:rFonts w:ascii="Arial" w:hAnsi="Arial" w:cs="Arial"/>
          <w:sz w:val="24"/>
          <w:szCs w:val="24"/>
        </w:rPr>
        <w:t>harmac</w:t>
      </w:r>
      <w:r w:rsidR="00297C40" w:rsidRPr="008B2B47">
        <w:rPr>
          <w:rFonts w:ascii="Arial" w:hAnsi="Arial" w:cs="Arial"/>
          <w:sz w:val="24"/>
          <w:szCs w:val="24"/>
        </w:rPr>
        <w:t>ies</w:t>
      </w:r>
      <w:r w:rsidRPr="008B2B47">
        <w:rPr>
          <w:rFonts w:ascii="Arial" w:hAnsi="Arial" w:cs="Arial"/>
          <w:sz w:val="24"/>
          <w:szCs w:val="24"/>
        </w:rPr>
        <w:t xml:space="preserve"> will continue to be a part of the mass immunisation program in primary care as we move through 2021 and beyond. </w:t>
      </w:r>
    </w:p>
    <w:p w14:paraId="72C1AFF5" w14:textId="0D98A4A9" w:rsidR="00AD211F" w:rsidRDefault="00AD211F" w:rsidP="00DC54F7">
      <w:pPr>
        <w:spacing w:after="0" w:line="240" w:lineRule="auto"/>
        <w:contextualSpacing/>
        <w:jc w:val="both"/>
        <w:rPr>
          <w:rFonts w:ascii="Arial" w:hAnsi="Arial" w:cs="Arial"/>
          <w:sz w:val="24"/>
          <w:szCs w:val="24"/>
        </w:rPr>
      </w:pPr>
    </w:p>
    <w:p w14:paraId="33F19806" w14:textId="77777777" w:rsidR="008B2B47" w:rsidRPr="008B2B47" w:rsidRDefault="008B2B47" w:rsidP="00DC54F7">
      <w:pPr>
        <w:spacing w:after="0" w:line="240" w:lineRule="auto"/>
        <w:contextualSpacing/>
        <w:jc w:val="both"/>
        <w:rPr>
          <w:rFonts w:ascii="Arial" w:hAnsi="Arial" w:cs="Arial"/>
          <w:sz w:val="24"/>
          <w:szCs w:val="24"/>
        </w:rPr>
      </w:pPr>
    </w:p>
    <w:p w14:paraId="22686155" w14:textId="564B95FC" w:rsidR="00F83EF5" w:rsidRPr="008B2B47" w:rsidRDefault="00A7704C" w:rsidP="00DC54F7">
      <w:pPr>
        <w:shd w:val="clear" w:color="auto" w:fill="FFFFFF"/>
        <w:spacing w:after="0" w:line="240" w:lineRule="auto"/>
        <w:jc w:val="both"/>
        <w:rPr>
          <w:rFonts w:ascii="Arial" w:eastAsia="Times New Roman" w:hAnsi="Arial" w:cs="Arial"/>
          <w:color w:val="000000"/>
          <w:sz w:val="24"/>
          <w:szCs w:val="24"/>
          <w:lang w:eastAsia="en-GB"/>
        </w:rPr>
      </w:pPr>
      <w:r w:rsidRPr="008B2B47">
        <w:rPr>
          <w:rFonts w:ascii="Arial" w:hAnsi="Arial" w:cs="Arial"/>
          <w:b/>
          <w:sz w:val="24"/>
          <w:szCs w:val="24"/>
        </w:rPr>
        <w:t>5.1.</w:t>
      </w:r>
      <w:r w:rsidR="00D04A1C" w:rsidRPr="008B2B47">
        <w:rPr>
          <w:rFonts w:ascii="Arial" w:hAnsi="Arial" w:cs="Arial"/>
          <w:b/>
          <w:sz w:val="24"/>
          <w:szCs w:val="24"/>
        </w:rPr>
        <w:t>2</w:t>
      </w:r>
      <w:r w:rsidR="00AD211F" w:rsidRPr="008B2B47">
        <w:rPr>
          <w:rFonts w:ascii="Arial" w:hAnsi="Arial" w:cs="Arial"/>
          <w:b/>
          <w:sz w:val="24"/>
          <w:szCs w:val="24"/>
        </w:rPr>
        <w:t>1</w:t>
      </w:r>
      <w:r w:rsidRPr="008B2B47">
        <w:rPr>
          <w:rFonts w:ascii="Arial" w:hAnsi="Arial" w:cs="Arial"/>
          <w:b/>
          <w:sz w:val="24"/>
          <w:szCs w:val="24"/>
        </w:rPr>
        <w:t xml:space="preserve"> </w:t>
      </w:r>
      <w:r w:rsidR="006D56EC" w:rsidRPr="008B2B47">
        <w:rPr>
          <w:rFonts w:ascii="Arial" w:hAnsi="Arial" w:cs="Arial"/>
          <w:b/>
          <w:sz w:val="24"/>
          <w:szCs w:val="24"/>
        </w:rPr>
        <w:t>Dispensing service provided by some GP practices</w:t>
      </w:r>
    </w:p>
    <w:p w14:paraId="196AACD5" w14:textId="77777777" w:rsidR="00F83EF5" w:rsidRPr="008B2B47" w:rsidRDefault="00F83EF5" w:rsidP="00DC54F7">
      <w:pPr>
        <w:spacing w:after="0" w:line="240" w:lineRule="auto"/>
        <w:contextualSpacing/>
        <w:jc w:val="both"/>
        <w:rPr>
          <w:rFonts w:ascii="Arial" w:hAnsi="Arial" w:cs="Arial"/>
          <w:sz w:val="24"/>
          <w:szCs w:val="24"/>
        </w:rPr>
      </w:pPr>
    </w:p>
    <w:p w14:paraId="2C752EA3" w14:textId="20CA085B" w:rsidR="006D56EC" w:rsidRPr="008B2B47" w:rsidRDefault="00145307" w:rsidP="00DC54F7">
      <w:pPr>
        <w:spacing w:after="0" w:line="240" w:lineRule="auto"/>
        <w:contextualSpacing/>
        <w:jc w:val="both"/>
        <w:rPr>
          <w:rFonts w:ascii="Arial" w:hAnsi="Arial" w:cs="Arial"/>
          <w:sz w:val="24"/>
          <w:szCs w:val="24"/>
        </w:rPr>
      </w:pPr>
      <w:r w:rsidRPr="008B2B47">
        <w:rPr>
          <w:rFonts w:ascii="Arial" w:hAnsi="Arial" w:cs="Arial"/>
          <w:sz w:val="24"/>
          <w:szCs w:val="24"/>
        </w:rPr>
        <w:t>Dispensing GP practices</w:t>
      </w:r>
      <w:r w:rsidR="00B41623" w:rsidRPr="008B2B47">
        <w:rPr>
          <w:rFonts w:ascii="Arial" w:hAnsi="Arial" w:cs="Arial"/>
          <w:sz w:val="24"/>
          <w:szCs w:val="24"/>
        </w:rPr>
        <w:t xml:space="preserve"> </w:t>
      </w:r>
      <w:r w:rsidRPr="008B2B47">
        <w:rPr>
          <w:rFonts w:ascii="Arial" w:hAnsi="Arial" w:cs="Arial"/>
          <w:sz w:val="24"/>
          <w:szCs w:val="24"/>
        </w:rPr>
        <w:t xml:space="preserve">provide the dispensing service during their core hours which are </w:t>
      </w:r>
      <w:r w:rsidR="00AA3A24" w:rsidRPr="008B2B47">
        <w:rPr>
          <w:rFonts w:ascii="Arial" w:hAnsi="Arial" w:cs="Arial"/>
          <w:sz w:val="24"/>
          <w:szCs w:val="24"/>
        </w:rPr>
        <w:t>8.00am</w:t>
      </w:r>
      <w:r w:rsidRPr="008B2B47">
        <w:rPr>
          <w:rFonts w:ascii="Arial" w:hAnsi="Arial" w:cs="Arial"/>
          <w:sz w:val="24"/>
          <w:szCs w:val="24"/>
        </w:rPr>
        <w:t xml:space="preserve"> to 6.</w:t>
      </w:r>
      <w:r w:rsidR="00FC0AA2" w:rsidRPr="008B2B47">
        <w:rPr>
          <w:rFonts w:ascii="Arial" w:hAnsi="Arial" w:cs="Arial"/>
          <w:sz w:val="24"/>
          <w:szCs w:val="24"/>
        </w:rPr>
        <w:t>30pm from Monday to Friday excluding</w:t>
      </w:r>
      <w:r w:rsidRPr="008B2B47">
        <w:rPr>
          <w:rFonts w:ascii="Arial" w:hAnsi="Arial" w:cs="Arial"/>
          <w:sz w:val="24"/>
          <w:szCs w:val="24"/>
        </w:rPr>
        <w:t xml:space="preserve"> public and bank holidays.  The </w:t>
      </w:r>
      <w:r w:rsidRPr="008B2B47">
        <w:rPr>
          <w:rFonts w:ascii="Arial" w:hAnsi="Arial" w:cs="Arial"/>
          <w:sz w:val="24"/>
          <w:szCs w:val="24"/>
        </w:rPr>
        <w:lastRenderedPageBreak/>
        <w:t xml:space="preserve">service may also be provided during any extended opening hours provided </w:t>
      </w:r>
      <w:r w:rsidR="00AE0687" w:rsidRPr="008B2B47">
        <w:rPr>
          <w:rFonts w:ascii="Arial" w:hAnsi="Arial" w:cs="Arial"/>
          <w:sz w:val="24"/>
          <w:szCs w:val="24"/>
        </w:rPr>
        <w:t xml:space="preserve">by </w:t>
      </w:r>
      <w:r w:rsidRPr="008B2B47">
        <w:rPr>
          <w:rFonts w:ascii="Arial" w:hAnsi="Arial" w:cs="Arial"/>
          <w:sz w:val="24"/>
          <w:szCs w:val="24"/>
        </w:rPr>
        <w:t xml:space="preserve">the practices.  </w:t>
      </w:r>
    </w:p>
    <w:p w14:paraId="76AEA5EF" w14:textId="2520A867" w:rsidR="00CF388C" w:rsidRPr="008B2B47" w:rsidRDefault="00CF388C" w:rsidP="00DC54F7">
      <w:pPr>
        <w:spacing w:after="0" w:line="240" w:lineRule="auto"/>
        <w:jc w:val="both"/>
        <w:rPr>
          <w:rFonts w:ascii="Arial" w:hAnsi="Arial" w:cs="Arial"/>
          <w:sz w:val="24"/>
          <w:szCs w:val="24"/>
        </w:rPr>
      </w:pPr>
    </w:p>
    <w:p w14:paraId="0560E9A5" w14:textId="629A875B" w:rsidR="00094922" w:rsidRPr="008B2B47" w:rsidRDefault="00094922" w:rsidP="00DC54F7">
      <w:pPr>
        <w:spacing w:after="0" w:line="240" w:lineRule="auto"/>
        <w:jc w:val="both"/>
        <w:rPr>
          <w:rFonts w:ascii="Arial" w:hAnsi="Arial" w:cs="Arial"/>
          <w:sz w:val="24"/>
          <w:szCs w:val="24"/>
        </w:rPr>
      </w:pPr>
      <w:r w:rsidRPr="008B2B47">
        <w:rPr>
          <w:rFonts w:ascii="Arial" w:hAnsi="Arial" w:cs="Arial"/>
          <w:sz w:val="24"/>
          <w:szCs w:val="24"/>
        </w:rPr>
        <w:t xml:space="preserve">The dispensing GP practice at </w:t>
      </w:r>
      <w:r w:rsidR="00CF388C" w:rsidRPr="008B2B47">
        <w:rPr>
          <w:rFonts w:ascii="Arial" w:hAnsi="Arial" w:cs="Arial"/>
          <w:sz w:val="24"/>
          <w:szCs w:val="24"/>
        </w:rPr>
        <w:t>Cowbridge &amp; Vale Medical Practice, Cowbridge Health Centre, Vale of Glamorga</w:t>
      </w:r>
      <w:r w:rsidR="00195DB5" w:rsidRPr="008B2B47">
        <w:rPr>
          <w:rFonts w:ascii="Arial" w:hAnsi="Arial" w:cs="Arial"/>
          <w:sz w:val="24"/>
          <w:szCs w:val="24"/>
        </w:rPr>
        <w:t>n, CF71 7DA</w:t>
      </w:r>
      <w:r w:rsidRPr="008B2B47">
        <w:rPr>
          <w:rFonts w:ascii="Arial" w:hAnsi="Arial" w:cs="Arial"/>
          <w:sz w:val="24"/>
          <w:szCs w:val="24"/>
        </w:rPr>
        <w:t xml:space="preserve">, had </w:t>
      </w:r>
      <w:r w:rsidR="00601117" w:rsidRPr="008B2B47">
        <w:rPr>
          <w:rFonts w:ascii="Arial" w:hAnsi="Arial" w:cs="Arial"/>
          <w:sz w:val="24"/>
          <w:szCs w:val="24"/>
        </w:rPr>
        <w:t>372</w:t>
      </w:r>
      <w:r w:rsidR="00C33D77" w:rsidRPr="008B2B47">
        <w:rPr>
          <w:rFonts w:ascii="Arial" w:hAnsi="Arial" w:cs="Arial"/>
          <w:sz w:val="24"/>
          <w:szCs w:val="24"/>
        </w:rPr>
        <w:t xml:space="preserve"> people registered as a dispensing patient with their practice</w:t>
      </w:r>
      <w:r w:rsidRPr="008B2B47">
        <w:rPr>
          <w:rFonts w:ascii="Arial" w:hAnsi="Arial" w:cs="Arial"/>
          <w:sz w:val="24"/>
          <w:szCs w:val="24"/>
        </w:rPr>
        <w:t xml:space="preserve"> in August 2020</w:t>
      </w:r>
      <w:r w:rsidR="00C33D77" w:rsidRPr="008B2B47">
        <w:rPr>
          <w:rFonts w:ascii="Arial" w:hAnsi="Arial" w:cs="Arial"/>
          <w:sz w:val="24"/>
          <w:szCs w:val="24"/>
        </w:rPr>
        <w:t>.</w:t>
      </w:r>
      <w:r w:rsidRPr="008B2B47">
        <w:rPr>
          <w:rFonts w:ascii="Arial" w:hAnsi="Arial" w:cs="Arial"/>
          <w:sz w:val="24"/>
          <w:szCs w:val="24"/>
        </w:rPr>
        <w:t xml:space="preserve"> This was 5% of the total list size of the practice.</w:t>
      </w:r>
    </w:p>
    <w:p w14:paraId="6ADBB506" w14:textId="09BC8478" w:rsidR="00B55133" w:rsidRPr="008B2B47" w:rsidRDefault="00B55133" w:rsidP="00DC54F7">
      <w:pPr>
        <w:spacing w:after="0" w:line="240" w:lineRule="auto"/>
        <w:jc w:val="both"/>
        <w:rPr>
          <w:rFonts w:ascii="Arial" w:hAnsi="Arial" w:cs="Arial"/>
          <w:sz w:val="24"/>
          <w:szCs w:val="24"/>
        </w:rPr>
      </w:pPr>
    </w:p>
    <w:p w14:paraId="527B71A4" w14:textId="1EBE3C1B" w:rsidR="00B55133" w:rsidRPr="008B2B47" w:rsidRDefault="00B55133" w:rsidP="00DC54F7">
      <w:pPr>
        <w:spacing w:after="0" w:line="240" w:lineRule="auto"/>
        <w:jc w:val="both"/>
        <w:rPr>
          <w:rFonts w:ascii="Arial" w:hAnsi="Arial" w:cs="Arial"/>
          <w:sz w:val="24"/>
          <w:szCs w:val="24"/>
        </w:rPr>
      </w:pPr>
      <w:r w:rsidRPr="008B2B47">
        <w:rPr>
          <w:rFonts w:ascii="Arial" w:hAnsi="Arial" w:cs="Arial"/>
          <w:sz w:val="24"/>
          <w:szCs w:val="24"/>
        </w:rPr>
        <w:t xml:space="preserve">The dispensing GP practice has premises approval to provide a dispensing service from Atlantic College, St Donats Castle, Llantwit Major, Vale of Glamorgan CF71 1WF to the students living in </w:t>
      </w:r>
      <w:r w:rsidRPr="008B2B47">
        <w:rPr>
          <w:rFonts w:ascii="Arial" w:eastAsia="Times New Roman" w:hAnsi="Arial" w:cs="Arial"/>
          <w:sz w:val="24"/>
          <w:szCs w:val="24"/>
        </w:rPr>
        <w:t xml:space="preserve">Atlantic College. </w:t>
      </w:r>
      <w:r w:rsidRPr="008B2B47">
        <w:rPr>
          <w:rFonts w:ascii="Arial" w:hAnsi="Arial" w:cs="Arial"/>
          <w:sz w:val="24"/>
          <w:szCs w:val="24"/>
        </w:rPr>
        <w:t xml:space="preserve">No appliances are dispensed from the premises. This is a residential college. </w:t>
      </w:r>
    </w:p>
    <w:p w14:paraId="0314915C" w14:textId="77777777" w:rsidR="00B0342D" w:rsidRPr="008B2B47" w:rsidRDefault="00B0342D" w:rsidP="00DC54F7">
      <w:pPr>
        <w:spacing w:after="0" w:line="240" w:lineRule="auto"/>
        <w:jc w:val="both"/>
        <w:rPr>
          <w:rFonts w:ascii="Arial" w:hAnsi="Arial" w:cs="Arial"/>
          <w:sz w:val="24"/>
          <w:szCs w:val="24"/>
        </w:rPr>
      </w:pPr>
    </w:p>
    <w:p w14:paraId="4020BF1F" w14:textId="53152BB1" w:rsidR="00DF49CF" w:rsidRPr="008B2B47" w:rsidRDefault="00DF49CF" w:rsidP="00DC54F7">
      <w:pPr>
        <w:spacing w:after="0" w:line="240" w:lineRule="auto"/>
        <w:jc w:val="both"/>
        <w:rPr>
          <w:rFonts w:ascii="Arial" w:hAnsi="Arial" w:cs="Arial"/>
          <w:sz w:val="24"/>
          <w:szCs w:val="24"/>
        </w:rPr>
      </w:pPr>
      <w:r w:rsidRPr="008B2B47">
        <w:rPr>
          <w:rFonts w:ascii="Arial" w:eastAsia="Times New Roman" w:hAnsi="Arial" w:cs="Arial"/>
          <w:sz w:val="24"/>
          <w:szCs w:val="24"/>
        </w:rPr>
        <w:t xml:space="preserve">The practice has </w:t>
      </w:r>
      <w:r w:rsidR="00094922" w:rsidRPr="008B2B47">
        <w:rPr>
          <w:rFonts w:ascii="Arial" w:eastAsia="Times New Roman" w:hAnsi="Arial" w:cs="Arial"/>
          <w:sz w:val="24"/>
          <w:szCs w:val="24"/>
        </w:rPr>
        <w:t xml:space="preserve">informed Cardiff and Vale University Health Board that it has </w:t>
      </w:r>
      <w:r w:rsidRPr="008B2B47">
        <w:rPr>
          <w:rFonts w:ascii="Arial" w:eastAsia="Times New Roman" w:hAnsi="Arial" w:cs="Arial"/>
          <w:sz w:val="24"/>
          <w:szCs w:val="24"/>
        </w:rPr>
        <w:t xml:space="preserve">sufficient capacity within its existing premises and staffing levels to manage an increase in demand in its area if required. However, this would dependent upon the terms set out in the </w:t>
      </w:r>
      <w:r w:rsidRPr="008B2B47">
        <w:rPr>
          <w:rFonts w:ascii="Arial" w:hAnsi="Arial" w:cs="Arial"/>
          <w:sz w:val="24"/>
          <w:szCs w:val="24"/>
        </w:rPr>
        <w:t>NHS (Pharmaceutical Services) (Wales) Regulations 2020.</w:t>
      </w:r>
    </w:p>
    <w:p w14:paraId="4E918824" w14:textId="77777777" w:rsidR="00DF49CF" w:rsidRPr="008B2B47" w:rsidRDefault="00DF49CF" w:rsidP="00DC54F7">
      <w:pPr>
        <w:spacing w:after="0" w:line="240" w:lineRule="auto"/>
        <w:contextualSpacing/>
        <w:jc w:val="both"/>
        <w:rPr>
          <w:rFonts w:ascii="Arial" w:hAnsi="Arial" w:cs="Arial"/>
          <w:sz w:val="24"/>
          <w:szCs w:val="24"/>
        </w:rPr>
      </w:pPr>
    </w:p>
    <w:p w14:paraId="0ACDA521" w14:textId="77777777" w:rsidR="001E383B" w:rsidRPr="008B2B47" w:rsidRDefault="001E383B" w:rsidP="00DC54F7">
      <w:pPr>
        <w:spacing w:after="0" w:line="240" w:lineRule="auto"/>
        <w:contextualSpacing/>
        <w:jc w:val="both"/>
        <w:rPr>
          <w:rFonts w:ascii="Arial" w:hAnsi="Arial" w:cs="Arial"/>
          <w:sz w:val="24"/>
          <w:szCs w:val="24"/>
        </w:rPr>
      </w:pPr>
    </w:p>
    <w:p w14:paraId="758B3C30" w14:textId="197C70A3" w:rsidR="0036601B" w:rsidRPr="008B2B47" w:rsidRDefault="0036601B" w:rsidP="00DC54F7">
      <w:pPr>
        <w:spacing w:after="0" w:line="240" w:lineRule="auto"/>
        <w:jc w:val="both"/>
        <w:rPr>
          <w:rFonts w:ascii="Arial" w:hAnsi="Arial" w:cs="Arial"/>
          <w:b/>
          <w:sz w:val="24"/>
          <w:szCs w:val="24"/>
        </w:rPr>
      </w:pPr>
      <w:r w:rsidRPr="008B2B47">
        <w:rPr>
          <w:rFonts w:ascii="Arial" w:hAnsi="Arial" w:cs="Arial"/>
          <w:b/>
          <w:sz w:val="24"/>
          <w:szCs w:val="24"/>
        </w:rPr>
        <w:t xml:space="preserve">5.2 </w:t>
      </w:r>
      <w:r w:rsidR="00420A21" w:rsidRPr="008B2B47">
        <w:rPr>
          <w:rFonts w:ascii="Arial" w:hAnsi="Arial" w:cs="Arial"/>
          <w:b/>
          <w:sz w:val="24"/>
          <w:szCs w:val="24"/>
        </w:rPr>
        <w:t>Current provision outside</w:t>
      </w:r>
      <w:r w:rsidRPr="008B2B47">
        <w:rPr>
          <w:rFonts w:ascii="Arial" w:hAnsi="Arial" w:cs="Arial"/>
          <w:b/>
          <w:sz w:val="24"/>
          <w:szCs w:val="24"/>
        </w:rPr>
        <w:t xml:space="preserve"> </w:t>
      </w:r>
      <w:r w:rsidR="00F71188" w:rsidRPr="008B2B47">
        <w:rPr>
          <w:rFonts w:ascii="Arial" w:hAnsi="Arial" w:cs="Arial"/>
          <w:b/>
          <w:sz w:val="24"/>
          <w:szCs w:val="24"/>
        </w:rPr>
        <w:t>Cardiff and Vale University Health Board</w:t>
      </w:r>
      <w:r w:rsidR="00420A21" w:rsidRPr="008B2B47">
        <w:rPr>
          <w:rFonts w:ascii="Arial" w:hAnsi="Arial" w:cs="Arial"/>
          <w:b/>
          <w:sz w:val="24"/>
          <w:szCs w:val="24"/>
        </w:rPr>
        <w:t xml:space="preserve"> </w:t>
      </w:r>
      <w:r w:rsidRPr="008B2B47">
        <w:rPr>
          <w:rFonts w:ascii="Arial" w:hAnsi="Arial" w:cs="Arial"/>
          <w:b/>
          <w:sz w:val="24"/>
          <w:szCs w:val="24"/>
        </w:rPr>
        <w:t>area</w:t>
      </w:r>
    </w:p>
    <w:p w14:paraId="7990E210" w14:textId="084AE9D9" w:rsidR="0036601B" w:rsidRDefault="0036601B" w:rsidP="00DC54F7">
      <w:pPr>
        <w:spacing w:after="0" w:line="240" w:lineRule="auto"/>
        <w:contextualSpacing/>
        <w:jc w:val="both"/>
        <w:rPr>
          <w:rFonts w:ascii="Arial" w:hAnsi="Arial" w:cs="Arial"/>
          <w:sz w:val="24"/>
          <w:szCs w:val="24"/>
        </w:rPr>
      </w:pPr>
    </w:p>
    <w:p w14:paraId="3CF9E6E6" w14:textId="77777777" w:rsidR="007E7CAE" w:rsidRPr="008B2B47" w:rsidRDefault="007E7CAE" w:rsidP="00DC54F7">
      <w:pPr>
        <w:spacing w:after="0" w:line="240" w:lineRule="auto"/>
        <w:contextualSpacing/>
        <w:jc w:val="both"/>
        <w:rPr>
          <w:rFonts w:ascii="Arial" w:hAnsi="Arial" w:cs="Arial"/>
          <w:sz w:val="24"/>
          <w:szCs w:val="24"/>
        </w:rPr>
      </w:pPr>
    </w:p>
    <w:p w14:paraId="463D7DEB" w14:textId="77777777" w:rsidR="006C4390" w:rsidRPr="008B2B47" w:rsidRDefault="006C4390" w:rsidP="00DC54F7">
      <w:pPr>
        <w:spacing w:after="0" w:line="240" w:lineRule="auto"/>
        <w:jc w:val="both"/>
        <w:rPr>
          <w:rFonts w:ascii="Arial" w:hAnsi="Arial" w:cs="Arial"/>
          <w:b/>
          <w:sz w:val="24"/>
          <w:szCs w:val="24"/>
        </w:rPr>
      </w:pPr>
      <w:r w:rsidRPr="008B2B47">
        <w:rPr>
          <w:rFonts w:ascii="Arial" w:hAnsi="Arial" w:cs="Arial"/>
          <w:b/>
          <w:sz w:val="24"/>
          <w:szCs w:val="24"/>
        </w:rPr>
        <w:t xml:space="preserve">5.2.1 Access to essential services </w:t>
      </w:r>
      <w:r w:rsidR="005034AD" w:rsidRPr="008B2B47">
        <w:rPr>
          <w:rFonts w:ascii="Arial" w:hAnsi="Arial" w:cs="Arial"/>
          <w:b/>
          <w:sz w:val="24"/>
          <w:szCs w:val="24"/>
        </w:rPr>
        <w:t xml:space="preserve">and </w:t>
      </w:r>
      <w:r w:rsidR="006A2403" w:rsidRPr="008B2B47">
        <w:rPr>
          <w:rFonts w:ascii="Arial" w:hAnsi="Arial" w:cs="Arial"/>
          <w:b/>
          <w:sz w:val="24"/>
          <w:szCs w:val="24"/>
        </w:rPr>
        <w:t>dispensing appliance contractor</w:t>
      </w:r>
      <w:r w:rsidR="005034AD" w:rsidRPr="008B2B47">
        <w:rPr>
          <w:rFonts w:ascii="Arial" w:hAnsi="Arial" w:cs="Arial"/>
          <w:b/>
          <w:sz w:val="24"/>
          <w:szCs w:val="24"/>
        </w:rPr>
        <w:t xml:space="preserve"> equivalent services</w:t>
      </w:r>
    </w:p>
    <w:p w14:paraId="03B40BD3" w14:textId="17B5F575" w:rsidR="00A20AFD" w:rsidRPr="008B2B47" w:rsidRDefault="00A20AFD" w:rsidP="00DC54F7">
      <w:pPr>
        <w:spacing w:after="0" w:line="240" w:lineRule="auto"/>
        <w:jc w:val="both"/>
        <w:rPr>
          <w:rFonts w:ascii="Arial" w:hAnsi="Arial" w:cs="Arial"/>
          <w:sz w:val="24"/>
          <w:szCs w:val="24"/>
        </w:rPr>
      </w:pPr>
    </w:p>
    <w:p w14:paraId="314F339D" w14:textId="44196816" w:rsidR="00A20AFD" w:rsidRPr="008B2B47" w:rsidRDefault="00A20AFD" w:rsidP="00DC54F7">
      <w:pPr>
        <w:spacing w:after="0" w:line="240" w:lineRule="auto"/>
        <w:contextualSpacing/>
        <w:jc w:val="both"/>
        <w:rPr>
          <w:rFonts w:ascii="Arial" w:hAnsi="Arial" w:cs="Arial"/>
          <w:sz w:val="24"/>
          <w:szCs w:val="24"/>
        </w:rPr>
      </w:pPr>
      <w:r w:rsidRPr="008B2B47">
        <w:rPr>
          <w:rFonts w:ascii="Arial" w:hAnsi="Arial" w:cs="Arial"/>
          <w:sz w:val="24"/>
          <w:szCs w:val="24"/>
        </w:rPr>
        <w:t>Patients have a choice of where they access pharmaceutical services; this may be close to their home, their GP practice,</w:t>
      </w:r>
      <w:r w:rsidR="00CF4EC6" w:rsidRPr="008B2B47">
        <w:rPr>
          <w:rFonts w:ascii="Arial" w:hAnsi="Arial" w:cs="Arial"/>
          <w:sz w:val="24"/>
          <w:szCs w:val="24"/>
        </w:rPr>
        <w:t xml:space="preserve"> </w:t>
      </w:r>
      <w:r w:rsidRPr="008B2B47">
        <w:rPr>
          <w:rFonts w:ascii="Arial" w:hAnsi="Arial" w:cs="Arial"/>
          <w:sz w:val="24"/>
          <w:szCs w:val="24"/>
        </w:rPr>
        <w:t>their place of work or where they go for shopping, recreational or other reasons.  Consequently, not all the prescriptions written for residents of the health board’s area are dispensed within the same area although as noted in the previous section, the vast majority of items are.  In 2019 to 2020, 1.</w:t>
      </w:r>
      <w:r w:rsidR="005A154E" w:rsidRPr="008B2B47">
        <w:rPr>
          <w:rFonts w:ascii="Arial" w:hAnsi="Arial" w:cs="Arial"/>
          <w:sz w:val="24"/>
          <w:szCs w:val="24"/>
        </w:rPr>
        <w:t>8</w:t>
      </w:r>
      <w:r w:rsidRPr="008B2B47">
        <w:rPr>
          <w:rFonts w:ascii="Arial" w:hAnsi="Arial" w:cs="Arial"/>
          <w:sz w:val="24"/>
          <w:szCs w:val="24"/>
        </w:rPr>
        <w:t>% of items were dispensed outside of the health board’s area, of which 1.</w:t>
      </w:r>
      <w:r w:rsidR="00595994" w:rsidRPr="008B2B47">
        <w:rPr>
          <w:rFonts w:ascii="Arial" w:hAnsi="Arial" w:cs="Arial"/>
          <w:sz w:val="24"/>
          <w:szCs w:val="24"/>
        </w:rPr>
        <w:t>2</w:t>
      </w:r>
      <w:r w:rsidRPr="008B2B47">
        <w:rPr>
          <w:rFonts w:ascii="Arial" w:hAnsi="Arial" w:cs="Arial"/>
          <w:sz w:val="24"/>
          <w:szCs w:val="24"/>
        </w:rPr>
        <w:t xml:space="preserve">% were dispensed elsewhere in Wales by </w:t>
      </w:r>
      <w:r w:rsidR="0089165D" w:rsidRPr="008B2B47">
        <w:rPr>
          <w:rFonts w:ascii="Arial" w:hAnsi="Arial" w:cs="Arial"/>
          <w:sz w:val="24"/>
          <w:szCs w:val="24"/>
        </w:rPr>
        <w:t>505</w:t>
      </w:r>
      <w:r w:rsidRPr="008B2B47">
        <w:rPr>
          <w:rFonts w:ascii="Arial" w:hAnsi="Arial" w:cs="Arial"/>
          <w:sz w:val="24"/>
          <w:szCs w:val="24"/>
        </w:rPr>
        <w:t xml:space="preserve"> different </w:t>
      </w:r>
      <w:r w:rsidR="002B6C5F" w:rsidRPr="008B2B47">
        <w:rPr>
          <w:rFonts w:ascii="Arial" w:hAnsi="Arial" w:cs="Arial"/>
          <w:sz w:val="24"/>
          <w:szCs w:val="24"/>
        </w:rPr>
        <w:t xml:space="preserve">pharmacy </w:t>
      </w:r>
      <w:r w:rsidRPr="008B2B47">
        <w:rPr>
          <w:rFonts w:ascii="Arial" w:hAnsi="Arial" w:cs="Arial"/>
          <w:sz w:val="24"/>
          <w:szCs w:val="24"/>
        </w:rPr>
        <w:t>contractors (</w:t>
      </w:r>
      <w:r w:rsidR="002B6C5F" w:rsidRPr="008B2B47">
        <w:rPr>
          <w:rFonts w:ascii="Arial" w:hAnsi="Arial" w:cs="Arial"/>
          <w:sz w:val="24"/>
          <w:szCs w:val="24"/>
        </w:rPr>
        <w:t xml:space="preserve">trading </w:t>
      </w:r>
      <w:r w:rsidRPr="008B2B47">
        <w:rPr>
          <w:rFonts w:ascii="Arial" w:hAnsi="Arial" w:cs="Arial"/>
          <w:sz w:val="24"/>
          <w:szCs w:val="24"/>
        </w:rPr>
        <w:t>during th</w:t>
      </w:r>
      <w:r w:rsidR="002B6C5F" w:rsidRPr="008B2B47">
        <w:rPr>
          <w:rFonts w:ascii="Arial" w:hAnsi="Arial" w:cs="Arial"/>
          <w:sz w:val="24"/>
          <w:szCs w:val="24"/>
        </w:rPr>
        <w:t xml:space="preserve">is </w:t>
      </w:r>
      <w:r w:rsidRPr="008B2B47">
        <w:rPr>
          <w:rFonts w:ascii="Arial" w:hAnsi="Arial" w:cs="Arial"/>
          <w:sz w:val="24"/>
          <w:szCs w:val="24"/>
        </w:rPr>
        <w:t>period). 0.</w:t>
      </w:r>
      <w:r w:rsidR="00EE450B" w:rsidRPr="008B2B47">
        <w:rPr>
          <w:rFonts w:ascii="Arial" w:hAnsi="Arial" w:cs="Arial"/>
          <w:sz w:val="24"/>
          <w:szCs w:val="24"/>
        </w:rPr>
        <w:t>6</w:t>
      </w:r>
      <w:r w:rsidRPr="008B2B47">
        <w:rPr>
          <w:rFonts w:ascii="Arial" w:hAnsi="Arial" w:cs="Arial"/>
          <w:sz w:val="24"/>
          <w:szCs w:val="24"/>
        </w:rPr>
        <w:t xml:space="preserve">% were dispensed in England. </w:t>
      </w:r>
    </w:p>
    <w:p w14:paraId="467BE6D3" w14:textId="77777777" w:rsidR="00A20AFD" w:rsidRPr="008B2B47" w:rsidRDefault="00A20AFD" w:rsidP="00DC54F7">
      <w:pPr>
        <w:spacing w:after="0" w:line="240" w:lineRule="auto"/>
        <w:contextualSpacing/>
        <w:jc w:val="both"/>
        <w:rPr>
          <w:rFonts w:ascii="Arial" w:hAnsi="Arial" w:cs="Arial"/>
          <w:sz w:val="24"/>
          <w:szCs w:val="24"/>
        </w:rPr>
      </w:pPr>
    </w:p>
    <w:p w14:paraId="1A530FDC" w14:textId="2BFC148F" w:rsidR="00A20AFD" w:rsidRPr="008B2B47" w:rsidRDefault="00A20AFD" w:rsidP="00DC54F7">
      <w:pPr>
        <w:spacing w:after="0" w:line="240" w:lineRule="auto"/>
        <w:jc w:val="both"/>
        <w:rPr>
          <w:rFonts w:ascii="Arial" w:hAnsi="Arial" w:cs="Arial"/>
          <w:sz w:val="24"/>
          <w:szCs w:val="24"/>
        </w:rPr>
      </w:pPr>
      <w:r w:rsidRPr="008B2B47">
        <w:rPr>
          <w:rFonts w:ascii="Arial" w:hAnsi="Arial" w:cs="Arial"/>
          <w:sz w:val="24"/>
          <w:szCs w:val="24"/>
        </w:rPr>
        <w:t xml:space="preserve">Of the </w:t>
      </w:r>
      <w:r w:rsidR="00484468" w:rsidRPr="008B2B47">
        <w:rPr>
          <w:rFonts w:ascii="Arial" w:hAnsi="Arial" w:cs="Arial"/>
          <w:sz w:val="24"/>
          <w:szCs w:val="24"/>
        </w:rPr>
        <w:t>1</w:t>
      </w:r>
      <w:r w:rsidR="00423164" w:rsidRPr="008B2B47">
        <w:rPr>
          <w:rFonts w:ascii="Arial" w:hAnsi="Arial" w:cs="Arial"/>
          <w:sz w:val="24"/>
          <w:szCs w:val="24"/>
        </w:rPr>
        <w:t>21</w:t>
      </w:r>
      <w:r w:rsidRPr="008B2B47">
        <w:rPr>
          <w:rFonts w:ascii="Arial" w:hAnsi="Arial" w:cs="Arial"/>
          <w:sz w:val="24"/>
          <w:szCs w:val="24"/>
        </w:rPr>
        <w:t>,</w:t>
      </w:r>
      <w:r w:rsidR="00423164" w:rsidRPr="008B2B47">
        <w:rPr>
          <w:rFonts w:ascii="Arial" w:hAnsi="Arial" w:cs="Arial"/>
          <w:sz w:val="24"/>
          <w:szCs w:val="24"/>
        </w:rPr>
        <w:t>774</w:t>
      </w:r>
      <w:r w:rsidRPr="008B2B47">
        <w:rPr>
          <w:rFonts w:ascii="Arial" w:hAnsi="Arial" w:cs="Arial"/>
          <w:sz w:val="24"/>
          <w:szCs w:val="24"/>
        </w:rPr>
        <w:t xml:space="preserve"> items dispensed elsewhere in Wales:</w:t>
      </w:r>
    </w:p>
    <w:p w14:paraId="7F943147" w14:textId="77777777" w:rsidR="00A20AFD" w:rsidRPr="008B2B47" w:rsidRDefault="00A20AFD" w:rsidP="00DC54F7">
      <w:pPr>
        <w:spacing w:after="0" w:line="240" w:lineRule="auto"/>
        <w:jc w:val="both"/>
        <w:rPr>
          <w:rFonts w:ascii="Arial" w:hAnsi="Arial" w:cs="Arial"/>
          <w:sz w:val="24"/>
          <w:szCs w:val="24"/>
        </w:rPr>
      </w:pPr>
      <w:r w:rsidRPr="008B2B47">
        <w:rPr>
          <w:rFonts w:ascii="Arial" w:hAnsi="Arial" w:cs="Arial"/>
          <w:sz w:val="24"/>
          <w:szCs w:val="24"/>
        </w:rPr>
        <w:t> </w:t>
      </w:r>
    </w:p>
    <w:p w14:paraId="73336022" w14:textId="2490C2E3" w:rsidR="00A20AFD" w:rsidRPr="008B2B47" w:rsidRDefault="00495683" w:rsidP="00DC54F7">
      <w:pPr>
        <w:numPr>
          <w:ilvl w:val="0"/>
          <w:numId w:val="87"/>
        </w:numPr>
        <w:spacing w:after="0" w:line="240" w:lineRule="auto"/>
        <w:jc w:val="both"/>
        <w:rPr>
          <w:rFonts w:ascii="Arial" w:hAnsi="Arial" w:cs="Arial"/>
          <w:sz w:val="24"/>
          <w:szCs w:val="24"/>
        </w:rPr>
      </w:pPr>
      <w:r w:rsidRPr="008B2B47">
        <w:rPr>
          <w:rFonts w:ascii="Arial" w:hAnsi="Arial" w:cs="Arial"/>
          <w:sz w:val="24"/>
          <w:szCs w:val="24"/>
        </w:rPr>
        <w:t>78,128</w:t>
      </w:r>
      <w:r w:rsidR="00A20AFD" w:rsidRPr="008B2B47">
        <w:rPr>
          <w:rFonts w:ascii="Arial" w:hAnsi="Arial" w:cs="Arial"/>
          <w:sz w:val="24"/>
          <w:szCs w:val="24"/>
        </w:rPr>
        <w:t xml:space="preserve"> were dispensed by 1</w:t>
      </w:r>
      <w:r w:rsidRPr="008B2B47">
        <w:rPr>
          <w:rFonts w:ascii="Arial" w:hAnsi="Arial" w:cs="Arial"/>
          <w:sz w:val="24"/>
          <w:szCs w:val="24"/>
        </w:rPr>
        <w:t>2</w:t>
      </w:r>
      <w:r w:rsidR="003768ED" w:rsidRPr="008B2B47">
        <w:rPr>
          <w:rFonts w:ascii="Arial" w:hAnsi="Arial" w:cs="Arial"/>
          <w:sz w:val="24"/>
          <w:szCs w:val="24"/>
        </w:rPr>
        <w:t>9</w:t>
      </w:r>
      <w:r w:rsidR="00A20AFD" w:rsidRPr="008B2B47">
        <w:rPr>
          <w:rFonts w:ascii="Arial" w:hAnsi="Arial" w:cs="Arial"/>
          <w:sz w:val="24"/>
          <w:szCs w:val="24"/>
        </w:rPr>
        <w:t xml:space="preserve"> contractors in Aneurin Bevan University Health Board’s area,</w:t>
      </w:r>
    </w:p>
    <w:p w14:paraId="14FBF58F" w14:textId="0406F7C4" w:rsidR="00A20AFD" w:rsidRPr="008B2B47" w:rsidRDefault="00495683" w:rsidP="00DC54F7">
      <w:pPr>
        <w:numPr>
          <w:ilvl w:val="0"/>
          <w:numId w:val="87"/>
        </w:numPr>
        <w:spacing w:after="0" w:line="240" w:lineRule="auto"/>
        <w:jc w:val="both"/>
        <w:rPr>
          <w:rFonts w:ascii="Arial" w:hAnsi="Arial" w:cs="Arial"/>
          <w:sz w:val="24"/>
          <w:szCs w:val="24"/>
        </w:rPr>
      </w:pPr>
      <w:r w:rsidRPr="008B2B47">
        <w:rPr>
          <w:rFonts w:ascii="Arial" w:hAnsi="Arial" w:cs="Arial"/>
          <w:sz w:val="24"/>
          <w:szCs w:val="24"/>
        </w:rPr>
        <w:t>605</w:t>
      </w:r>
      <w:r w:rsidR="00A20AFD" w:rsidRPr="008B2B47">
        <w:rPr>
          <w:rFonts w:ascii="Arial" w:hAnsi="Arial" w:cs="Arial"/>
          <w:sz w:val="24"/>
          <w:szCs w:val="24"/>
        </w:rPr>
        <w:t xml:space="preserve"> were dispensed by </w:t>
      </w:r>
      <w:r w:rsidRPr="008B2B47">
        <w:rPr>
          <w:rFonts w:ascii="Arial" w:hAnsi="Arial" w:cs="Arial"/>
          <w:sz w:val="24"/>
          <w:szCs w:val="24"/>
        </w:rPr>
        <w:t>78</w:t>
      </w:r>
      <w:r w:rsidR="00A20AFD" w:rsidRPr="008B2B47">
        <w:rPr>
          <w:rFonts w:ascii="Arial" w:hAnsi="Arial" w:cs="Arial"/>
          <w:sz w:val="24"/>
          <w:szCs w:val="24"/>
        </w:rPr>
        <w:t xml:space="preserve"> contractors in Betsi Cadwaladr University Health Board’s area,</w:t>
      </w:r>
    </w:p>
    <w:p w14:paraId="21083682" w14:textId="2AF16473" w:rsidR="00A20AFD" w:rsidRPr="008B2B47" w:rsidRDefault="000A29E5" w:rsidP="00DC54F7">
      <w:pPr>
        <w:numPr>
          <w:ilvl w:val="0"/>
          <w:numId w:val="87"/>
        </w:numPr>
        <w:spacing w:after="0" w:line="240" w:lineRule="auto"/>
        <w:jc w:val="both"/>
        <w:rPr>
          <w:rFonts w:ascii="Arial" w:hAnsi="Arial" w:cs="Arial"/>
          <w:sz w:val="24"/>
          <w:szCs w:val="24"/>
        </w:rPr>
      </w:pPr>
      <w:r w:rsidRPr="008B2B47">
        <w:rPr>
          <w:rFonts w:ascii="Arial" w:hAnsi="Arial" w:cs="Arial"/>
          <w:sz w:val="24"/>
          <w:szCs w:val="24"/>
        </w:rPr>
        <w:t>34,185</w:t>
      </w:r>
      <w:r w:rsidR="00A20AFD" w:rsidRPr="008B2B47">
        <w:rPr>
          <w:rFonts w:ascii="Arial" w:hAnsi="Arial" w:cs="Arial"/>
          <w:sz w:val="24"/>
          <w:szCs w:val="24"/>
        </w:rPr>
        <w:t xml:space="preserve"> were dispensed by 108 contractors in </w:t>
      </w:r>
      <w:r w:rsidR="00140607" w:rsidRPr="008B2B47">
        <w:rPr>
          <w:rFonts w:ascii="Arial" w:hAnsi="Arial" w:cs="Arial"/>
          <w:sz w:val="24"/>
          <w:szCs w:val="24"/>
        </w:rPr>
        <w:t xml:space="preserve">Cwm Taf Morgannwg </w:t>
      </w:r>
      <w:r w:rsidR="00A20AFD" w:rsidRPr="008B2B47">
        <w:rPr>
          <w:rFonts w:ascii="Arial" w:hAnsi="Arial" w:cs="Arial"/>
          <w:sz w:val="24"/>
          <w:szCs w:val="24"/>
        </w:rPr>
        <w:t>University Health Board’s area,</w:t>
      </w:r>
    </w:p>
    <w:p w14:paraId="531FDE9C" w14:textId="241A0C3F" w:rsidR="00A20AFD" w:rsidRPr="008B2B47" w:rsidRDefault="000B0466" w:rsidP="00DC54F7">
      <w:pPr>
        <w:numPr>
          <w:ilvl w:val="0"/>
          <w:numId w:val="87"/>
        </w:numPr>
        <w:spacing w:after="0" w:line="240" w:lineRule="auto"/>
        <w:jc w:val="both"/>
        <w:rPr>
          <w:rFonts w:ascii="Arial" w:hAnsi="Arial" w:cs="Arial"/>
          <w:sz w:val="24"/>
          <w:szCs w:val="24"/>
        </w:rPr>
      </w:pPr>
      <w:r w:rsidRPr="008B2B47">
        <w:rPr>
          <w:rFonts w:ascii="Arial" w:hAnsi="Arial" w:cs="Arial"/>
          <w:sz w:val="24"/>
          <w:szCs w:val="24"/>
        </w:rPr>
        <w:t>2,</w:t>
      </w:r>
      <w:r w:rsidR="00495683" w:rsidRPr="008B2B47">
        <w:rPr>
          <w:rFonts w:ascii="Arial" w:hAnsi="Arial" w:cs="Arial"/>
          <w:sz w:val="24"/>
          <w:szCs w:val="24"/>
        </w:rPr>
        <w:t>488</w:t>
      </w:r>
      <w:r w:rsidR="00A20AFD" w:rsidRPr="008B2B47">
        <w:rPr>
          <w:rFonts w:ascii="Arial" w:hAnsi="Arial" w:cs="Arial"/>
          <w:sz w:val="24"/>
          <w:szCs w:val="24"/>
        </w:rPr>
        <w:t xml:space="preserve"> were dispensed by </w:t>
      </w:r>
      <w:r w:rsidR="00495683" w:rsidRPr="008B2B47">
        <w:rPr>
          <w:rFonts w:ascii="Arial" w:hAnsi="Arial" w:cs="Arial"/>
          <w:sz w:val="24"/>
          <w:szCs w:val="24"/>
        </w:rPr>
        <w:t>90</w:t>
      </w:r>
      <w:r w:rsidR="00A20AFD" w:rsidRPr="008B2B47">
        <w:rPr>
          <w:rFonts w:ascii="Arial" w:hAnsi="Arial" w:cs="Arial"/>
          <w:sz w:val="24"/>
          <w:szCs w:val="24"/>
        </w:rPr>
        <w:t xml:space="preserve"> contractors in Hywel Dda University Health Board’s area,</w:t>
      </w:r>
    </w:p>
    <w:p w14:paraId="08ABE828" w14:textId="318980FD" w:rsidR="00A20AFD" w:rsidRPr="008B2B47" w:rsidRDefault="00BB3093" w:rsidP="00DC54F7">
      <w:pPr>
        <w:numPr>
          <w:ilvl w:val="0"/>
          <w:numId w:val="87"/>
        </w:numPr>
        <w:spacing w:after="0" w:line="240" w:lineRule="auto"/>
        <w:jc w:val="both"/>
        <w:rPr>
          <w:rFonts w:ascii="Arial" w:hAnsi="Arial" w:cs="Arial"/>
          <w:sz w:val="24"/>
          <w:szCs w:val="24"/>
        </w:rPr>
      </w:pPr>
      <w:r w:rsidRPr="008B2B47">
        <w:rPr>
          <w:rFonts w:ascii="Arial" w:hAnsi="Arial" w:cs="Arial"/>
          <w:sz w:val="24"/>
          <w:szCs w:val="24"/>
        </w:rPr>
        <w:t>224</w:t>
      </w:r>
      <w:r w:rsidR="00A20AFD" w:rsidRPr="008B2B47">
        <w:rPr>
          <w:rFonts w:ascii="Arial" w:hAnsi="Arial" w:cs="Arial"/>
          <w:sz w:val="24"/>
          <w:szCs w:val="24"/>
        </w:rPr>
        <w:t xml:space="preserve"> were dispensed </w:t>
      </w:r>
      <w:r w:rsidRPr="008B2B47">
        <w:rPr>
          <w:rFonts w:ascii="Arial" w:hAnsi="Arial" w:cs="Arial"/>
          <w:sz w:val="24"/>
          <w:szCs w:val="24"/>
        </w:rPr>
        <w:t>20</w:t>
      </w:r>
      <w:r w:rsidR="00A20AFD" w:rsidRPr="008B2B47">
        <w:rPr>
          <w:rFonts w:ascii="Arial" w:hAnsi="Arial" w:cs="Arial"/>
          <w:sz w:val="24"/>
          <w:szCs w:val="24"/>
        </w:rPr>
        <w:t xml:space="preserve"> contractors in Powys Teaching Health Board’s area, and</w:t>
      </w:r>
    </w:p>
    <w:p w14:paraId="45F60612" w14:textId="436414B5" w:rsidR="00A20AFD" w:rsidRPr="008B2B47" w:rsidRDefault="00A20AFD" w:rsidP="00DC54F7">
      <w:pPr>
        <w:numPr>
          <w:ilvl w:val="0"/>
          <w:numId w:val="87"/>
        </w:numPr>
        <w:spacing w:after="0" w:line="240" w:lineRule="auto"/>
        <w:jc w:val="both"/>
        <w:rPr>
          <w:rFonts w:ascii="Arial" w:hAnsi="Arial" w:cs="Arial"/>
          <w:sz w:val="24"/>
          <w:szCs w:val="24"/>
        </w:rPr>
      </w:pPr>
      <w:r w:rsidRPr="008B2B47">
        <w:rPr>
          <w:rFonts w:ascii="Arial" w:hAnsi="Arial" w:cs="Arial"/>
          <w:sz w:val="24"/>
          <w:szCs w:val="24"/>
        </w:rPr>
        <w:t>6,</w:t>
      </w:r>
      <w:r w:rsidR="00BB3093" w:rsidRPr="008B2B47">
        <w:rPr>
          <w:rFonts w:ascii="Arial" w:hAnsi="Arial" w:cs="Arial"/>
          <w:sz w:val="24"/>
          <w:szCs w:val="24"/>
        </w:rPr>
        <w:t>144</w:t>
      </w:r>
      <w:r w:rsidRPr="008B2B47">
        <w:rPr>
          <w:rFonts w:ascii="Arial" w:hAnsi="Arial" w:cs="Arial"/>
          <w:sz w:val="24"/>
          <w:szCs w:val="24"/>
        </w:rPr>
        <w:t xml:space="preserve"> were dispensed by </w:t>
      </w:r>
      <w:r w:rsidR="00BB3093" w:rsidRPr="008B2B47">
        <w:rPr>
          <w:rFonts w:ascii="Arial" w:hAnsi="Arial" w:cs="Arial"/>
          <w:sz w:val="24"/>
          <w:szCs w:val="24"/>
        </w:rPr>
        <w:t>80</w:t>
      </w:r>
      <w:r w:rsidRPr="008B2B47">
        <w:rPr>
          <w:rFonts w:ascii="Arial" w:hAnsi="Arial" w:cs="Arial"/>
          <w:sz w:val="24"/>
          <w:szCs w:val="24"/>
        </w:rPr>
        <w:t xml:space="preserve"> contractors in Swansea Bay University Health Board’s area.</w:t>
      </w:r>
    </w:p>
    <w:p w14:paraId="2BC38491" w14:textId="06C1861F" w:rsidR="008B2B47" w:rsidRDefault="008B2B47" w:rsidP="00DC54F7">
      <w:pPr>
        <w:jc w:val="both"/>
        <w:rPr>
          <w:rFonts w:ascii="Arial" w:hAnsi="Arial" w:cs="Arial"/>
          <w:sz w:val="24"/>
          <w:szCs w:val="24"/>
        </w:rPr>
      </w:pPr>
      <w:r>
        <w:rPr>
          <w:rFonts w:ascii="Arial" w:hAnsi="Arial" w:cs="Arial"/>
          <w:sz w:val="24"/>
          <w:szCs w:val="24"/>
        </w:rPr>
        <w:br w:type="page"/>
      </w:r>
    </w:p>
    <w:p w14:paraId="6D90A4CE" w14:textId="1F4B6DE4" w:rsidR="00B072C1" w:rsidRPr="008B2B47" w:rsidRDefault="00B072C1" w:rsidP="00DC54F7">
      <w:pPr>
        <w:jc w:val="both"/>
        <w:rPr>
          <w:rFonts w:ascii="Arial" w:eastAsia="Times New Roman" w:hAnsi="Arial" w:cs="Arial"/>
          <w:color w:val="000000"/>
          <w:sz w:val="24"/>
          <w:szCs w:val="24"/>
          <w:lang w:eastAsia="en-GB"/>
        </w:rPr>
      </w:pPr>
      <w:r w:rsidRPr="008B2B47">
        <w:rPr>
          <w:rFonts w:ascii="Arial" w:hAnsi="Arial" w:cs="Arial"/>
          <w:sz w:val="24"/>
          <w:szCs w:val="24"/>
        </w:rPr>
        <w:lastRenderedPageBreak/>
        <w:t xml:space="preserve">The following types of pharmaceutical contractors dispensed the </w:t>
      </w:r>
      <w:r w:rsidR="000E37E1" w:rsidRPr="008B2B47">
        <w:rPr>
          <w:rFonts w:ascii="Arial" w:eastAsia="Times New Roman" w:hAnsi="Arial" w:cs="Arial"/>
          <w:color w:val="000000"/>
          <w:sz w:val="24"/>
          <w:szCs w:val="24"/>
          <w:lang w:eastAsia="en-GB"/>
        </w:rPr>
        <w:t>64,576</w:t>
      </w:r>
      <w:r w:rsidRPr="008B2B47">
        <w:rPr>
          <w:rFonts w:ascii="Arial" w:hAnsi="Arial" w:cs="Arial"/>
          <w:sz w:val="24"/>
          <w:szCs w:val="24"/>
        </w:rPr>
        <w:t xml:space="preserve"> items in England:</w:t>
      </w:r>
    </w:p>
    <w:p w14:paraId="610F60FB" w14:textId="77777777" w:rsidR="00B072C1" w:rsidRPr="008B2B47" w:rsidRDefault="00B072C1" w:rsidP="00DC54F7">
      <w:pPr>
        <w:numPr>
          <w:ilvl w:val="0"/>
          <w:numId w:val="88"/>
        </w:numPr>
        <w:spacing w:after="0" w:line="240" w:lineRule="auto"/>
        <w:jc w:val="both"/>
        <w:rPr>
          <w:rFonts w:ascii="Arial" w:hAnsi="Arial" w:cs="Arial"/>
          <w:sz w:val="24"/>
          <w:szCs w:val="24"/>
        </w:rPr>
      </w:pPr>
      <w:r w:rsidRPr="008B2B47">
        <w:rPr>
          <w:rFonts w:ascii="Arial" w:hAnsi="Arial" w:cs="Arial"/>
          <w:sz w:val="24"/>
          <w:szCs w:val="24"/>
        </w:rPr>
        <w:t>Pharmacies</w:t>
      </w:r>
    </w:p>
    <w:p w14:paraId="260857A0" w14:textId="77777777" w:rsidR="00B072C1" w:rsidRPr="008B2B47" w:rsidRDefault="00B072C1" w:rsidP="00DC54F7">
      <w:pPr>
        <w:numPr>
          <w:ilvl w:val="0"/>
          <w:numId w:val="88"/>
        </w:numPr>
        <w:spacing w:after="0" w:line="240" w:lineRule="auto"/>
        <w:jc w:val="both"/>
        <w:rPr>
          <w:rFonts w:ascii="Arial" w:hAnsi="Arial" w:cs="Arial"/>
          <w:sz w:val="24"/>
          <w:szCs w:val="24"/>
        </w:rPr>
      </w:pPr>
      <w:r w:rsidRPr="008B2B47">
        <w:rPr>
          <w:rFonts w:ascii="Arial" w:hAnsi="Arial" w:cs="Arial"/>
          <w:sz w:val="24"/>
          <w:szCs w:val="24"/>
        </w:rPr>
        <w:t>Dispensing appliance contractors</w:t>
      </w:r>
    </w:p>
    <w:p w14:paraId="291651D2" w14:textId="77777777" w:rsidR="00B072C1" w:rsidRPr="008B2B47" w:rsidRDefault="00B072C1" w:rsidP="00DC54F7">
      <w:pPr>
        <w:numPr>
          <w:ilvl w:val="0"/>
          <w:numId w:val="88"/>
        </w:numPr>
        <w:spacing w:after="0" w:line="240" w:lineRule="auto"/>
        <w:jc w:val="both"/>
        <w:rPr>
          <w:rFonts w:ascii="Arial" w:hAnsi="Arial" w:cs="Arial"/>
          <w:sz w:val="24"/>
          <w:szCs w:val="24"/>
        </w:rPr>
      </w:pPr>
      <w:r w:rsidRPr="008B2B47">
        <w:rPr>
          <w:rFonts w:ascii="Arial" w:hAnsi="Arial" w:cs="Arial"/>
          <w:sz w:val="24"/>
          <w:szCs w:val="24"/>
        </w:rPr>
        <w:t>Distance selling premises (also known as an internet pharmacy)</w:t>
      </w:r>
    </w:p>
    <w:p w14:paraId="584D9DB5" w14:textId="77777777" w:rsidR="00B072C1" w:rsidRPr="008B2B47" w:rsidRDefault="00B072C1" w:rsidP="00DC54F7">
      <w:pPr>
        <w:jc w:val="both"/>
        <w:rPr>
          <w:rFonts w:ascii="Arial" w:hAnsi="Arial" w:cs="Arial"/>
          <w:sz w:val="24"/>
          <w:szCs w:val="24"/>
        </w:rPr>
      </w:pPr>
      <w:r w:rsidRPr="008B2B47">
        <w:rPr>
          <w:rFonts w:ascii="Arial" w:hAnsi="Arial" w:cs="Arial"/>
          <w:sz w:val="24"/>
          <w:szCs w:val="24"/>
        </w:rPr>
        <w:t> </w:t>
      </w:r>
    </w:p>
    <w:p w14:paraId="30ED7F8D" w14:textId="4423368C" w:rsidR="00B072C1" w:rsidRPr="008B2B47" w:rsidRDefault="00485036" w:rsidP="00DC54F7">
      <w:pPr>
        <w:jc w:val="both"/>
        <w:rPr>
          <w:rFonts w:ascii="Arial" w:hAnsi="Arial" w:cs="Arial"/>
          <w:sz w:val="24"/>
          <w:szCs w:val="24"/>
        </w:rPr>
      </w:pPr>
      <w:r w:rsidRPr="008B2B47">
        <w:rPr>
          <w:rFonts w:ascii="Arial" w:hAnsi="Arial" w:cs="Arial"/>
          <w:sz w:val="24"/>
          <w:szCs w:val="24"/>
        </w:rPr>
        <w:t xml:space="preserve">In general, </w:t>
      </w:r>
      <w:r w:rsidR="00B072C1" w:rsidRPr="008B2B47">
        <w:rPr>
          <w:rFonts w:ascii="Arial" w:hAnsi="Arial" w:cs="Arial"/>
          <w:sz w:val="24"/>
          <w:szCs w:val="24"/>
        </w:rPr>
        <w:t xml:space="preserve">there were three </w:t>
      </w:r>
      <w:r w:rsidR="00B85D8A" w:rsidRPr="008B2B47">
        <w:rPr>
          <w:rFonts w:ascii="Arial" w:hAnsi="Arial" w:cs="Arial"/>
          <w:sz w:val="24"/>
          <w:szCs w:val="24"/>
        </w:rPr>
        <w:t xml:space="preserve">main </w:t>
      </w:r>
      <w:r w:rsidR="00B072C1" w:rsidRPr="008B2B47">
        <w:rPr>
          <w:rFonts w:ascii="Arial" w:hAnsi="Arial" w:cs="Arial"/>
          <w:sz w:val="24"/>
          <w:szCs w:val="24"/>
        </w:rPr>
        <w:t>reasons for a prescription to be dispensed outside of the health board’s area:</w:t>
      </w:r>
    </w:p>
    <w:p w14:paraId="224304D0" w14:textId="77777777" w:rsidR="00B072C1" w:rsidRPr="008B2B47" w:rsidRDefault="00B072C1" w:rsidP="00DC54F7">
      <w:pPr>
        <w:numPr>
          <w:ilvl w:val="0"/>
          <w:numId w:val="89"/>
        </w:numPr>
        <w:spacing w:after="0" w:line="240" w:lineRule="auto"/>
        <w:jc w:val="both"/>
        <w:rPr>
          <w:rFonts w:ascii="Arial" w:hAnsi="Arial" w:cs="Arial"/>
          <w:sz w:val="24"/>
          <w:szCs w:val="24"/>
        </w:rPr>
      </w:pPr>
      <w:r w:rsidRPr="008B2B47">
        <w:rPr>
          <w:rFonts w:ascii="Arial" w:hAnsi="Arial" w:cs="Arial"/>
          <w:sz w:val="24"/>
          <w:szCs w:val="24"/>
        </w:rPr>
        <w:t>the prescription was dispensed by a dispensing appliance contractor (either in Wales or England), or</w:t>
      </w:r>
    </w:p>
    <w:p w14:paraId="001C6912" w14:textId="47C49D31" w:rsidR="00B072C1" w:rsidRPr="008B2B47" w:rsidRDefault="00B072C1" w:rsidP="00DC54F7">
      <w:pPr>
        <w:numPr>
          <w:ilvl w:val="0"/>
          <w:numId w:val="89"/>
        </w:numPr>
        <w:spacing w:after="0" w:line="240" w:lineRule="auto"/>
        <w:jc w:val="both"/>
        <w:rPr>
          <w:rFonts w:ascii="Arial" w:hAnsi="Arial" w:cs="Arial"/>
          <w:sz w:val="24"/>
          <w:szCs w:val="24"/>
        </w:rPr>
      </w:pPr>
      <w:r w:rsidRPr="008B2B47">
        <w:rPr>
          <w:rFonts w:ascii="Arial" w:hAnsi="Arial" w:cs="Arial"/>
          <w:sz w:val="24"/>
          <w:szCs w:val="24"/>
        </w:rPr>
        <w:t>by a pharmacy based just over the border with</w:t>
      </w:r>
      <w:r w:rsidR="002E09A7" w:rsidRPr="008B2B47">
        <w:rPr>
          <w:rFonts w:ascii="Arial" w:hAnsi="Arial" w:cs="Arial"/>
          <w:sz w:val="24"/>
          <w:szCs w:val="24"/>
        </w:rPr>
        <w:t>in</w:t>
      </w:r>
      <w:r w:rsidRPr="008B2B47">
        <w:rPr>
          <w:rFonts w:ascii="Arial" w:hAnsi="Arial" w:cs="Arial"/>
          <w:sz w:val="24"/>
          <w:szCs w:val="24"/>
        </w:rPr>
        <w:t xml:space="preserve"> another health board’s area or in England, or</w:t>
      </w:r>
    </w:p>
    <w:p w14:paraId="5CF79248" w14:textId="77777777" w:rsidR="00B072C1" w:rsidRPr="008B2B47" w:rsidRDefault="00B072C1" w:rsidP="00DC54F7">
      <w:pPr>
        <w:numPr>
          <w:ilvl w:val="0"/>
          <w:numId w:val="89"/>
        </w:numPr>
        <w:spacing w:after="0" w:line="240" w:lineRule="auto"/>
        <w:jc w:val="both"/>
        <w:rPr>
          <w:rFonts w:ascii="Arial" w:hAnsi="Arial" w:cs="Arial"/>
          <w:sz w:val="24"/>
          <w:szCs w:val="24"/>
        </w:rPr>
      </w:pPr>
      <w:r w:rsidRPr="008B2B47">
        <w:rPr>
          <w:rFonts w:ascii="Arial" w:hAnsi="Arial" w:cs="Arial"/>
          <w:sz w:val="24"/>
          <w:szCs w:val="24"/>
        </w:rPr>
        <w:t>they were dispensed whilst the person was on holiday, at work or shopping.</w:t>
      </w:r>
    </w:p>
    <w:p w14:paraId="20B3BD96" w14:textId="77777777" w:rsidR="00B072C1" w:rsidRPr="008B2B47" w:rsidRDefault="00B072C1" w:rsidP="00DC54F7">
      <w:pPr>
        <w:jc w:val="both"/>
        <w:rPr>
          <w:rFonts w:ascii="Arial" w:hAnsi="Arial" w:cs="Arial"/>
          <w:sz w:val="24"/>
          <w:szCs w:val="24"/>
        </w:rPr>
      </w:pPr>
    </w:p>
    <w:p w14:paraId="1CA03CB8" w14:textId="77777777" w:rsidR="006C4390" w:rsidRPr="008B2B47" w:rsidRDefault="006C4390" w:rsidP="00DC54F7">
      <w:pPr>
        <w:spacing w:after="0" w:line="240" w:lineRule="auto"/>
        <w:jc w:val="both"/>
        <w:rPr>
          <w:rFonts w:ascii="Arial" w:hAnsi="Arial" w:cs="Arial"/>
          <w:b/>
          <w:sz w:val="24"/>
          <w:szCs w:val="24"/>
        </w:rPr>
      </w:pPr>
      <w:r w:rsidRPr="008B2B47">
        <w:rPr>
          <w:rFonts w:ascii="Arial" w:hAnsi="Arial" w:cs="Arial"/>
          <w:b/>
          <w:sz w:val="24"/>
          <w:szCs w:val="24"/>
        </w:rPr>
        <w:t>5.2.</w:t>
      </w:r>
      <w:r w:rsidR="00EA64F4" w:rsidRPr="008B2B47">
        <w:rPr>
          <w:rFonts w:ascii="Arial" w:hAnsi="Arial" w:cs="Arial"/>
          <w:b/>
          <w:sz w:val="24"/>
          <w:szCs w:val="24"/>
        </w:rPr>
        <w:t>2</w:t>
      </w:r>
      <w:r w:rsidRPr="008B2B47">
        <w:rPr>
          <w:rFonts w:ascii="Arial" w:hAnsi="Arial" w:cs="Arial"/>
          <w:b/>
          <w:sz w:val="24"/>
          <w:szCs w:val="24"/>
        </w:rPr>
        <w:t xml:space="preserve"> Access to </w:t>
      </w:r>
      <w:r w:rsidR="00A7704C" w:rsidRPr="008B2B47">
        <w:rPr>
          <w:rFonts w:ascii="Arial" w:hAnsi="Arial" w:cs="Arial"/>
          <w:b/>
          <w:sz w:val="24"/>
          <w:szCs w:val="24"/>
        </w:rPr>
        <w:t>advanced services</w:t>
      </w:r>
    </w:p>
    <w:p w14:paraId="4A462161" w14:textId="77777777" w:rsidR="00E55CA5" w:rsidRPr="008B2B47" w:rsidRDefault="00E55CA5" w:rsidP="00DC54F7">
      <w:pPr>
        <w:spacing w:after="0" w:line="240" w:lineRule="auto"/>
        <w:contextualSpacing/>
        <w:jc w:val="both"/>
        <w:rPr>
          <w:rFonts w:ascii="Arial" w:hAnsi="Arial" w:cs="Arial"/>
          <w:sz w:val="24"/>
          <w:szCs w:val="24"/>
        </w:rPr>
      </w:pPr>
    </w:p>
    <w:p w14:paraId="7F7B6B76" w14:textId="77777777" w:rsidR="0033555B" w:rsidRPr="008B2B47" w:rsidRDefault="006C4390" w:rsidP="00DC54F7">
      <w:pPr>
        <w:spacing w:after="0" w:line="240" w:lineRule="auto"/>
        <w:contextualSpacing/>
        <w:jc w:val="both"/>
        <w:rPr>
          <w:rFonts w:ascii="Arial" w:hAnsi="Arial" w:cs="Arial"/>
          <w:sz w:val="24"/>
          <w:szCs w:val="24"/>
        </w:rPr>
      </w:pPr>
      <w:r w:rsidRPr="008B2B47">
        <w:rPr>
          <w:rFonts w:ascii="Arial" w:hAnsi="Arial" w:cs="Arial"/>
          <w:sz w:val="24"/>
          <w:szCs w:val="24"/>
        </w:rPr>
        <w:t xml:space="preserve">Information on the type of advanced services provided by pharmacies outside the </w:t>
      </w:r>
      <w:r w:rsidR="00A7704C" w:rsidRPr="008B2B47">
        <w:rPr>
          <w:rFonts w:ascii="Arial" w:hAnsi="Arial" w:cs="Arial"/>
          <w:sz w:val="24"/>
          <w:szCs w:val="24"/>
        </w:rPr>
        <w:t>health board’s</w:t>
      </w:r>
      <w:r w:rsidRPr="008B2B47">
        <w:rPr>
          <w:rFonts w:ascii="Arial" w:hAnsi="Arial" w:cs="Arial"/>
          <w:sz w:val="24"/>
          <w:szCs w:val="24"/>
        </w:rPr>
        <w:t xml:space="preserve"> area to </w:t>
      </w:r>
      <w:r w:rsidR="00A7704C" w:rsidRPr="008B2B47">
        <w:rPr>
          <w:rFonts w:ascii="Arial" w:hAnsi="Arial" w:cs="Arial"/>
          <w:sz w:val="24"/>
          <w:szCs w:val="24"/>
        </w:rPr>
        <w:t>its residents</w:t>
      </w:r>
      <w:r w:rsidR="005201C7" w:rsidRPr="008B2B47">
        <w:rPr>
          <w:rFonts w:ascii="Arial" w:hAnsi="Arial" w:cs="Arial"/>
          <w:sz w:val="24"/>
          <w:szCs w:val="24"/>
        </w:rPr>
        <w:t xml:space="preserve"> </w:t>
      </w:r>
      <w:r w:rsidRPr="008B2B47">
        <w:rPr>
          <w:rFonts w:ascii="Arial" w:hAnsi="Arial" w:cs="Arial"/>
          <w:sz w:val="24"/>
          <w:szCs w:val="24"/>
        </w:rPr>
        <w:t xml:space="preserve">is not available.  When claiming for advanced services contractors merely claim for the total number provided for each service.  The exception to this is the stoma appliance customisation service </w:t>
      </w:r>
      <w:r w:rsidR="0033555B" w:rsidRPr="008B2B47">
        <w:rPr>
          <w:rFonts w:ascii="Arial" w:hAnsi="Arial" w:cs="Arial"/>
          <w:sz w:val="24"/>
          <w:szCs w:val="24"/>
        </w:rPr>
        <w:t>where payment is made based on the information contained on the prescription. However even with this service just the total number of relevant appliance items is noted for payment purposes.</w:t>
      </w:r>
      <w:r w:rsidR="00405817" w:rsidRPr="008B2B47">
        <w:rPr>
          <w:rFonts w:ascii="Arial" w:hAnsi="Arial" w:cs="Arial"/>
          <w:sz w:val="24"/>
          <w:szCs w:val="24"/>
        </w:rPr>
        <w:t xml:space="preserve">  </w:t>
      </w:r>
      <w:r w:rsidR="0033555B" w:rsidRPr="008B2B47">
        <w:rPr>
          <w:rFonts w:ascii="Arial" w:hAnsi="Arial" w:cs="Arial"/>
          <w:sz w:val="24"/>
          <w:szCs w:val="24"/>
        </w:rPr>
        <w:t xml:space="preserve">It can be assumed however that residents of the </w:t>
      </w:r>
      <w:r w:rsidR="00A7704C" w:rsidRPr="008B2B47">
        <w:rPr>
          <w:rFonts w:ascii="Arial" w:hAnsi="Arial" w:cs="Arial"/>
          <w:sz w:val="24"/>
          <w:szCs w:val="24"/>
        </w:rPr>
        <w:t>health board’s</w:t>
      </w:r>
      <w:r w:rsidR="0033555B" w:rsidRPr="008B2B47">
        <w:rPr>
          <w:rFonts w:ascii="Arial" w:hAnsi="Arial" w:cs="Arial"/>
          <w:sz w:val="24"/>
          <w:szCs w:val="24"/>
        </w:rPr>
        <w:t xml:space="preserve"> area will </w:t>
      </w:r>
      <w:r w:rsidR="00A926DD" w:rsidRPr="008B2B47">
        <w:rPr>
          <w:rFonts w:ascii="Arial" w:hAnsi="Arial" w:cs="Arial"/>
          <w:sz w:val="24"/>
          <w:szCs w:val="24"/>
        </w:rPr>
        <w:t>access these</w:t>
      </w:r>
      <w:r w:rsidR="0033555B" w:rsidRPr="008B2B47">
        <w:rPr>
          <w:rFonts w:ascii="Arial" w:hAnsi="Arial" w:cs="Arial"/>
          <w:sz w:val="24"/>
          <w:szCs w:val="24"/>
        </w:rPr>
        <w:t xml:space="preserve"> servi</w:t>
      </w:r>
      <w:r w:rsidR="00A7704C" w:rsidRPr="008B2B47">
        <w:rPr>
          <w:rFonts w:ascii="Arial" w:hAnsi="Arial" w:cs="Arial"/>
          <w:sz w:val="24"/>
          <w:szCs w:val="24"/>
        </w:rPr>
        <w:t>ces from contractors outside of the area</w:t>
      </w:r>
      <w:r w:rsidR="0033555B" w:rsidRPr="008B2B47">
        <w:rPr>
          <w:rFonts w:ascii="Arial" w:hAnsi="Arial" w:cs="Arial"/>
          <w:sz w:val="24"/>
          <w:szCs w:val="24"/>
        </w:rPr>
        <w:t>.</w:t>
      </w:r>
    </w:p>
    <w:p w14:paraId="3CD69D48" w14:textId="60A6F2A7" w:rsidR="00420A21" w:rsidRPr="00C962E4" w:rsidRDefault="00420A21" w:rsidP="00DC54F7">
      <w:pPr>
        <w:spacing w:after="0" w:line="240" w:lineRule="auto"/>
        <w:jc w:val="both"/>
        <w:rPr>
          <w:rFonts w:ascii="Arial" w:hAnsi="Arial" w:cs="Arial"/>
          <w:b/>
          <w:sz w:val="24"/>
          <w:szCs w:val="24"/>
        </w:rPr>
      </w:pPr>
    </w:p>
    <w:p w14:paraId="7FB7EA46" w14:textId="77777777" w:rsidR="008B2B47" w:rsidRPr="00C962E4" w:rsidRDefault="008B2B47" w:rsidP="00DC54F7">
      <w:pPr>
        <w:spacing w:after="0" w:line="240" w:lineRule="auto"/>
        <w:jc w:val="both"/>
        <w:rPr>
          <w:rFonts w:ascii="Arial" w:hAnsi="Arial" w:cs="Arial"/>
          <w:b/>
          <w:sz w:val="24"/>
          <w:szCs w:val="24"/>
        </w:rPr>
      </w:pPr>
    </w:p>
    <w:p w14:paraId="105CA01C" w14:textId="77777777" w:rsidR="00A7704C" w:rsidRPr="008B2B47" w:rsidRDefault="00405817" w:rsidP="00DC54F7">
      <w:pPr>
        <w:spacing w:after="0" w:line="240" w:lineRule="auto"/>
        <w:jc w:val="both"/>
        <w:rPr>
          <w:rFonts w:ascii="Arial" w:hAnsi="Arial" w:cs="Arial"/>
          <w:b/>
          <w:sz w:val="24"/>
          <w:szCs w:val="24"/>
        </w:rPr>
      </w:pPr>
      <w:r w:rsidRPr="008B2B47">
        <w:rPr>
          <w:rFonts w:ascii="Arial" w:hAnsi="Arial" w:cs="Arial"/>
          <w:b/>
          <w:sz w:val="24"/>
          <w:szCs w:val="24"/>
        </w:rPr>
        <w:t xml:space="preserve">5.2.3 </w:t>
      </w:r>
      <w:r w:rsidR="00A7704C" w:rsidRPr="008B2B47">
        <w:rPr>
          <w:rFonts w:ascii="Arial" w:hAnsi="Arial" w:cs="Arial"/>
          <w:b/>
          <w:sz w:val="24"/>
          <w:szCs w:val="24"/>
        </w:rPr>
        <w:t>Access to enhanced services</w:t>
      </w:r>
    </w:p>
    <w:p w14:paraId="4C771A8D" w14:textId="77777777" w:rsidR="00A7704C" w:rsidRPr="008B2B47" w:rsidRDefault="00A7704C" w:rsidP="00DC54F7">
      <w:pPr>
        <w:spacing w:after="0" w:line="240" w:lineRule="auto"/>
        <w:jc w:val="both"/>
        <w:rPr>
          <w:rFonts w:ascii="Arial" w:hAnsi="Arial" w:cs="Arial"/>
          <w:sz w:val="24"/>
          <w:szCs w:val="24"/>
        </w:rPr>
      </w:pPr>
    </w:p>
    <w:p w14:paraId="10427EE6" w14:textId="77777777" w:rsidR="00A7704C" w:rsidRPr="008B2B47" w:rsidRDefault="00A7704C" w:rsidP="00DC54F7">
      <w:pPr>
        <w:spacing w:after="0" w:line="240" w:lineRule="auto"/>
        <w:contextualSpacing/>
        <w:jc w:val="both"/>
        <w:rPr>
          <w:rFonts w:ascii="Arial" w:hAnsi="Arial" w:cs="Arial"/>
          <w:sz w:val="24"/>
          <w:szCs w:val="24"/>
        </w:rPr>
      </w:pPr>
      <w:r w:rsidRPr="008B2B47">
        <w:rPr>
          <w:rFonts w:ascii="Arial" w:hAnsi="Arial" w:cs="Arial"/>
          <w:sz w:val="24"/>
          <w:szCs w:val="24"/>
        </w:rPr>
        <w:t>As with advanced services information on the provision of enhanced services by pharmacies outside the health board’s area to its residents is not available.  It can be assumed however that residents of the health board’s area will access these services from contractors outside of the area.</w:t>
      </w:r>
    </w:p>
    <w:p w14:paraId="620AF1B4" w14:textId="4DA37810" w:rsidR="00A7704C" w:rsidRDefault="00A7704C" w:rsidP="00DC54F7">
      <w:pPr>
        <w:spacing w:after="0" w:line="240" w:lineRule="auto"/>
        <w:jc w:val="both"/>
        <w:rPr>
          <w:rFonts w:ascii="Arial" w:hAnsi="Arial" w:cs="Arial"/>
          <w:sz w:val="24"/>
          <w:szCs w:val="24"/>
        </w:rPr>
      </w:pPr>
    </w:p>
    <w:p w14:paraId="1341E8BD" w14:textId="77777777" w:rsidR="008B2B47" w:rsidRPr="008B2B47" w:rsidRDefault="008B2B47" w:rsidP="00DC54F7">
      <w:pPr>
        <w:spacing w:after="0" w:line="240" w:lineRule="auto"/>
        <w:jc w:val="both"/>
        <w:rPr>
          <w:rFonts w:ascii="Arial" w:hAnsi="Arial" w:cs="Arial"/>
          <w:sz w:val="24"/>
          <w:szCs w:val="24"/>
        </w:rPr>
      </w:pPr>
    </w:p>
    <w:p w14:paraId="58E7706A" w14:textId="77777777" w:rsidR="00405817" w:rsidRPr="008B2B47" w:rsidRDefault="00A7704C" w:rsidP="00DC54F7">
      <w:pPr>
        <w:spacing w:after="0" w:line="240" w:lineRule="auto"/>
        <w:jc w:val="both"/>
        <w:rPr>
          <w:rFonts w:ascii="Arial" w:hAnsi="Arial" w:cs="Arial"/>
          <w:b/>
          <w:sz w:val="24"/>
          <w:szCs w:val="24"/>
        </w:rPr>
      </w:pPr>
      <w:r w:rsidRPr="008B2B47">
        <w:rPr>
          <w:rFonts w:ascii="Arial" w:hAnsi="Arial" w:cs="Arial"/>
          <w:b/>
          <w:sz w:val="24"/>
          <w:szCs w:val="24"/>
        </w:rPr>
        <w:t xml:space="preserve">5.2.4 </w:t>
      </w:r>
      <w:r w:rsidR="00405817" w:rsidRPr="008B2B47">
        <w:rPr>
          <w:rFonts w:ascii="Arial" w:hAnsi="Arial" w:cs="Arial"/>
          <w:b/>
          <w:sz w:val="24"/>
          <w:szCs w:val="24"/>
        </w:rPr>
        <w:t>Dispensing service provided by some GP practices</w:t>
      </w:r>
    </w:p>
    <w:p w14:paraId="41D06D2C" w14:textId="77777777" w:rsidR="00A940E7" w:rsidRPr="008B2B47" w:rsidRDefault="00A940E7" w:rsidP="00DC54F7">
      <w:pPr>
        <w:spacing w:after="0" w:line="240" w:lineRule="auto"/>
        <w:contextualSpacing/>
        <w:jc w:val="both"/>
        <w:rPr>
          <w:rFonts w:ascii="Arial" w:hAnsi="Arial" w:cs="Arial"/>
          <w:sz w:val="24"/>
          <w:szCs w:val="24"/>
        </w:rPr>
      </w:pPr>
    </w:p>
    <w:p w14:paraId="73F90294" w14:textId="36E32123" w:rsidR="00A940E7" w:rsidRPr="008B2B47" w:rsidRDefault="00405817" w:rsidP="00DC54F7">
      <w:pPr>
        <w:spacing w:after="0" w:line="240" w:lineRule="auto"/>
        <w:contextualSpacing/>
        <w:jc w:val="both"/>
        <w:rPr>
          <w:rFonts w:ascii="Arial" w:hAnsi="Arial" w:cs="Arial"/>
          <w:sz w:val="24"/>
          <w:szCs w:val="24"/>
        </w:rPr>
      </w:pPr>
      <w:r w:rsidRPr="008B2B47">
        <w:rPr>
          <w:rFonts w:ascii="Arial" w:hAnsi="Arial" w:cs="Arial"/>
          <w:sz w:val="24"/>
          <w:szCs w:val="24"/>
        </w:rPr>
        <w:t>S</w:t>
      </w:r>
      <w:r w:rsidR="00A940E7" w:rsidRPr="008B2B47">
        <w:rPr>
          <w:rFonts w:ascii="Arial" w:hAnsi="Arial" w:cs="Arial"/>
          <w:sz w:val="24"/>
          <w:szCs w:val="24"/>
        </w:rPr>
        <w:t xml:space="preserve">ome residents of the </w:t>
      </w:r>
      <w:r w:rsidR="00A7704C" w:rsidRPr="008B2B47">
        <w:rPr>
          <w:rFonts w:ascii="Arial" w:hAnsi="Arial" w:cs="Arial"/>
          <w:sz w:val="24"/>
          <w:szCs w:val="24"/>
        </w:rPr>
        <w:t>health board’s</w:t>
      </w:r>
      <w:r w:rsidR="00A940E7" w:rsidRPr="008B2B47">
        <w:rPr>
          <w:rFonts w:ascii="Arial" w:hAnsi="Arial" w:cs="Arial"/>
          <w:sz w:val="24"/>
          <w:szCs w:val="24"/>
        </w:rPr>
        <w:t xml:space="preserve"> area will choose to register wit</w:t>
      </w:r>
      <w:r w:rsidR="00A7704C" w:rsidRPr="008B2B47">
        <w:rPr>
          <w:rFonts w:ascii="Arial" w:hAnsi="Arial" w:cs="Arial"/>
          <w:sz w:val="24"/>
          <w:szCs w:val="24"/>
        </w:rPr>
        <w:t>h a GP practice outside of the area</w:t>
      </w:r>
      <w:r w:rsidR="00A940E7" w:rsidRPr="008B2B47">
        <w:rPr>
          <w:rFonts w:ascii="Arial" w:hAnsi="Arial" w:cs="Arial"/>
          <w:sz w:val="24"/>
          <w:szCs w:val="24"/>
        </w:rPr>
        <w:t xml:space="preserve"> and will access the dispensing service </w:t>
      </w:r>
      <w:r w:rsidR="00115CB1" w:rsidRPr="008B2B47">
        <w:rPr>
          <w:rFonts w:ascii="Arial" w:hAnsi="Arial" w:cs="Arial"/>
          <w:sz w:val="24"/>
          <w:szCs w:val="24"/>
        </w:rPr>
        <w:t xml:space="preserve">if </w:t>
      </w:r>
      <w:r w:rsidR="00A940E7" w:rsidRPr="008B2B47">
        <w:rPr>
          <w:rFonts w:ascii="Arial" w:hAnsi="Arial" w:cs="Arial"/>
          <w:sz w:val="24"/>
          <w:szCs w:val="24"/>
        </w:rPr>
        <w:t>offered by their practice</w:t>
      </w:r>
      <w:r w:rsidRPr="008B2B47">
        <w:rPr>
          <w:rFonts w:ascii="Arial" w:hAnsi="Arial" w:cs="Arial"/>
          <w:sz w:val="24"/>
          <w:szCs w:val="24"/>
        </w:rPr>
        <w:t xml:space="preserve">. </w:t>
      </w:r>
    </w:p>
    <w:p w14:paraId="32E4E08D" w14:textId="628A55DA" w:rsidR="00B20028" w:rsidRDefault="00B20028" w:rsidP="00DC54F7">
      <w:pPr>
        <w:spacing w:after="0" w:line="240" w:lineRule="auto"/>
        <w:contextualSpacing/>
        <w:jc w:val="both"/>
        <w:rPr>
          <w:rFonts w:ascii="Arial" w:hAnsi="Arial" w:cs="Arial"/>
          <w:sz w:val="24"/>
          <w:szCs w:val="24"/>
        </w:rPr>
      </w:pPr>
    </w:p>
    <w:p w14:paraId="700C7910" w14:textId="77777777" w:rsidR="008B2B47" w:rsidRPr="008B2B47" w:rsidRDefault="008B2B47" w:rsidP="00DC54F7">
      <w:pPr>
        <w:spacing w:after="0" w:line="240" w:lineRule="auto"/>
        <w:contextualSpacing/>
        <w:jc w:val="both"/>
        <w:rPr>
          <w:rFonts w:ascii="Arial" w:hAnsi="Arial" w:cs="Arial"/>
          <w:sz w:val="24"/>
          <w:szCs w:val="24"/>
        </w:rPr>
      </w:pPr>
    </w:p>
    <w:p w14:paraId="11875392" w14:textId="77777777" w:rsidR="004467DD" w:rsidRPr="008B2B47" w:rsidRDefault="00A7704C" w:rsidP="00DC54F7">
      <w:pPr>
        <w:spacing w:after="0" w:line="240" w:lineRule="auto"/>
        <w:jc w:val="both"/>
        <w:rPr>
          <w:rFonts w:ascii="Arial" w:hAnsi="Arial" w:cs="Arial"/>
          <w:b/>
          <w:sz w:val="24"/>
          <w:szCs w:val="24"/>
        </w:rPr>
      </w:pPr>
      <w:r w:rsidRPr="008B2B47">
        <w:rPr>
          <w:rFonts w:ascii="Arial" w:hAnsi="Arial" w:cs="Arial"/>
          <w:b/>
          <w:sz w:val="24"/>
          <w:szCs w:val="24"/>
        </w:rPr>
        <w:t>5.3</w:t>
      </w:r>
      <w:r w:rsidR="004467DD" w:rsidRPr="008B2B47">
        <w:rPr>
          <w:rFonts w:ascii="Arial" w:hAnsi="Arial" w:cs="Arial"/>
          <w:b/>
          <w:sz w:val="24"/>
          <w:szCs w:val="24"/>
        </w:rPr>
        <w:t xml:space="preserve"> Choice with regard to obtaining pharmaceutical services</w:t>
      </w:r>
    </w:p>
    <w:p w14:paraId="0F9DD36C" w14:textId="77777777" w:rsidR="004467DD" w:rsidRPr="008B2B47" w:rsidRDefault="004467DD" w:rsidP="00DC54F7">
      <w:pPr>
        <w:spacing w:after="0" w:line="240" w:lineRule="auto"/>
        <w:jc w:val="both"/>
        <w:rPr>
          <w:rFonts w:ascii="Arial" w:hAnsi="Arial" w:cs="Arial"/>
          <w:sz w:val="24"/>
          <w:szCs w:val="24"/>
        </w:rPr>
      </w:pPr>
    </w:p>
    <w:p w14:paraId="2B78E040" w14:textId="3A803A15" w:rsidR="00A7704C" w:rsidRPr="008B2B47" w:rsidRDefault="004467DD" w:rsidP="00DC54F7">
      <w:pPr>
        <w:spacing w:after="0" w:line="240" w:lineRule="auto"/>
        <w:jc w:val="both"/>
        <w:rPr>
          <w:rFonts w:ascii="Arial" w:hAnsi="Arial" w:cs="Arial"/>
          <w:sz w:val="24"/>
          <w:szCs w:val="24"/>
        </w:rPr>
      </w:pPr>
      <w:r w:rsidRPr="008B2B47">
        <w:rPr>
          <w:rFonts w:ascii="Arial" w:hAnsi="Arial" w:cs="Arial"/>
          <w:sz w:val="24"/>
          <w:szCs w:val="24"/>
        </w:rPr>
        <w:t>As can be seen from sections 5.1</w:t>
      </w:r>
      <w:r w:rsidR="00263F53" w:rsidRPr="008B2B47">
        <w:rPr>
          <w:rFonts w:ascii="Arial" w:hAnsi="Arial" w:cs="Arial"/>
          <w:sz w:val="24"/>
          <w:szCs w:val="24"/>
        </w:rPr>
        <w:t xml:space="preserve"> and 5.</w:t>
      </w:r>
      <w:r w:rsidR="00405817" w:rsidRPr="008B2B47">
        <w:rPr>
          <w:rFonts w:ascii="Arial" w:hAnsi="Arial" w:cs="Arial"/>
          <w:sz w:val="24"/>
          <w:szCs w:val="24"/>
        </w:rPr>
        <w:t>2</w:t>
      </w:r>
      <w:r w:rsidRPr="008B2B47">
        <w:rPr>
          <w:rFonts w:ascii="Arial" w:hAnsi="Arial" w:cs="Arial"/>
          <w:sz w:val="24"/>
          <w:szCs w:val="24"/>
        </w:rPr>
        <w:t xml:space="preserve">, the residents of the </w:t>
      </w:r>
      <w:r w:rsidR="00A7704C" w:rsidRPr="008B2B47">
        <w:rPr>
          <w:rFonts w:ascii="Arial" w:hAnsi="Arial" w:cs="Arial"/>
          <w:sz w:val="24"/>
          <w:szCs w:val="24"/>
        </w:rPr>
        <w:t>health b</w:t>
      </w:r>
      <w:r w:rsidR="007F6811" w:rsidRPr="008B2B47">
        <w:rPr>
          <w:rFonts w:ascii="Arial" w:hAnsi="Arial" w:cs="Arial"/>
          <w:sz w:val="24"/>
          <w:szCs w:val="24"/>
        </w:rPr>
        <w:t>oard</w:t>
      </w:r>
      <w:r w:rsidRPr="008B2B47">
        <w:rPr>
          <w:rFonts w:ascii="Arial" w:hAnsi="Arial" w:cs="Arial"/>
          <w:sz w:val="24"/>
          <w:szCs w:val="24"/>
        </w:rPr>
        <w:t xml:space="preserve">’s area currently exercise their choice of where to access pharmaceutical services to a considerable degree.  Within the </w:t>
      </w:r>
      <w:r w:rsidR="00A7704C" w:rsidRPr="008B2B47">
        <w:rPr>
          <w:rFonts w:ascii="Arial" w:hAnsi="Arial" w:cs="Arial"/>
          <w:sz w:val="24"/>
          <w:szCs w:val="24"/>
        </w:rPr>
        <w:t>health board’s</w:t>
      </w:r>
      <w:r w:rsidRPr="008B2B47">
        <w:rPr>
          <w:rFonts w:ascii="Arial" w:hAnsi="Arial" w:cs="Arial"/>
          <w:sz w:val="24"/>
          <w:szCs w:val="24"/>
        </w:rPr>
        <w:t xml:space="preserve"> </w:t>
      </w:r>
      <w:r w:rsidR="00F56E8C" w:rsidRPr="008B2B47">
        <w:rPr>
          <w:rFonts w:ascii="Arial" w:hAnsi="Arial" w:cs="Arial"/>
          <w:sz w:val="24"/>
          <w:szCs w:val="24"/>
        </w:rPr>
        <w:t>area,</w:t>
      </w:r>
      <w:r w:rsidRPr="008B2B47">
        <w:rPr>
          <w:rFonts w:ascii="Arial" w:hAnsi="Arial" w:cs="Arial"/>
          <w:sz w:val="24"/>
          <w:szCs w:val="24"/>
        </w:rPr>
        <w:t xml:space="preserve"> they have a choice of </w:t>
      </w:r>
      <w:r w:rsidR="00523D21" w:rsidRPr="008B2B47">
        <w:rPr>
          <w:rFonts w:ascii="Arial" w:hAnsi="Arial" w:cs="Arial"/>
          <w:sz w:val="24"/>
          <w:szCs w:val="24"/>
        </w:rPr>
        <w:t>106</w:t>
      </w:r>
      <w:r w:rsidRPr="008B2B47">
        <w:rPr>
          <w:rFonts w:ascii="Arial" w:hAnsi="Arial" w:cs="Arial"/>
          <w:sz w:val="24"/>
          <w:szCs w:val="24"/>
        </w:rPr>
        <w:t xml:space="preserve"> </w:t>
      </w:r>
      <w:r w:rsidRPr="008B2B47">
        <w:rPr>
          <w:rFonts w:ascii="Arial" w:hAnsi="Arial" w:cs="Arial"/>
          <w:sz w:val="24"/>
          <w:szCs w:val="24"/>
        </w:rPr>
        <w:lastRenderedPageBreak/>
        <w:t>pharmacies, operated by</w:t>
      </w:r>
      <w:r w:rsidR="009D146D" w:rsidRPr="008B2B47">
        <w:rPr>
          <w:rFonts w:ascii="Arial" w:hAnsi="Arial" w:cs="Arial"/>
          <w:sz w:val="24"/>
          <w:szCs w:val="24"/>
        </w:rPr>
        <w:t xml:space="preserve"> 39</w:t>
      </w:r>
      <w:r w:rsidRPr="008B2B47">
        <w:rPr>
          <w:rFonts w:ascii="Arial" w:hAnsi="Arial" w:cs="Arial"/>
          <w:sz w:val="24"/>
          <w:szCs w:val="24"/>
        </w:rPr>
        <w:t xml:space="preserve"> different contractors</w:t>
      </w:r>
      <w:r w:rsidR="009D146D" w:rsidRPr="008B2B47">
        <w:rPr>
          <w:rFonts w:ascii="Arial" w:hAnsi="Arial" w:cs="Arial"/>
          <w:sz w:val="24"/>
          <w:szCs w:val="24"/>
        </w:rPr>
        <w:t xml:space="preserve"> </w:t>
      </w:r>
      <w:r w:rsidRPr="008B2B47">
        <w:rPr>
          <w:rFonts w:ascii="Arial" w:hAnsi="Arial" w:cs="Arial"/>
          <w:sz w:val="24"/>
          <w:szCs w:val="24"/>
        </w:rPr>
        <w:t xml:space="preserve">and </w:t>
      </w:r>
      <w:r w:rsidR="009D146D" w:rsidRPr="008B2B47">
        <w:rPr>
          <w:rFonts w:ascii="Arial" w:hAnsi="Arial" w:cs="Arial"/>
          <w:sz w:val="24"/>
          <w:szCs w:val="24"/>
        </w:rPr>
        <w:t xml:space="preserve">four </w:t>
      </w:r>
      <w:r w:rsidR="006A2403" w:rsidRPr="008B2B47">
        <w:rPr>
          <w:rFonts w:ascii="Arial" w:hAnsi="Arial" w:cs="Arial"/>
          <w:sz w:val="24"/>
          <w:szCs w:val="24"/>
        </w:rPr>
        <w:t>dispensing appliance contractors</w:t>
      </w:r>
      <w:r w:rsidR="00405817" w:rsidRPr="008B2B47">
        <w:rPr>
          <w:rFonts w:ascii="Arial" w:hAnsi="Arial" w:cs="Arial"/>
          <w:sz w:val="24"/>
          <w:szCs w:val="24"/>
        </w:rPr>
        <w:t xml:space="preserve"> operated by </w:t>
      </w:r>
      <w:r w:rsidR="009D146D" w:rsidRPr="008B2B47">
        <w:rPr>
          <w:rFonts w:ascii="Arial" w:hAnsi="Arial" w:cs="Arial"/>
          <w:sz w:val="24"/>
          <w:szCs w:val="24"/>
        </w:rPr>
        <w:t xml:space="preserve">four </w:t>
      </w:r>
      <w:r w:rsidR="00405817" w:rsidRPr="008B2B47">
        <w:rPr>
          <w:rFonts w:ascii="Arial" w:hAnsi="Arial" w:cs="Arial"/>
          <w:sz w:val="24"/>
          <w:szCs w:val="24"/>
        </w:rPr>
        <w:t>different contractors</w:t>
      </w:r>
      <w:r w:rsidRPr="008B2B47">
        <w:rPr>
          <w:rFonts w:ascii="Arial" w:hAnsi="Arial" w:cs="Arial"/>
          <w:sz w:val="24"/>
          <w:szCs w:val="24"/>
        </w:rPr>
        <w:t xml:space="preserve">.  Outside of the </w:t>
      </w:r>
      <w:r w:rsidR="00A7704C" w:rsidRPr="008B2B47">
        <w:rPr>
          <w:rFonts w:ascii="Arial" w:hAnsi="Arial" w:cs="Arial"/>
          <w:sz w:val="24"/>
          <w:szCs w:val="24"/>
        </w:rPr>
        <w:t>health b</w:t>
      </w:r>
      <w:r w:rsidR="007F6811" w:rsidRPr="008B2B47">
        <w:rPr>
          <w:rFonts w:ascii="Arial" w:hAnsi="Arial" w:cs="Arial"/>
          <w:sz w:val="24"/>
          <w:szCs w:val="24"/>
        </w:rPr>
        <w:t>oard</w:t>
      </w:r>
      <w:r w:rsidRPr="008B2B47">
        <w:rPr>
          <w:rFonts w:ascii="Arial" w:hAnsi="Arial" w:cs="Arial"/>
          <w:sz w:val="24"/>
          <w:szCs w:val="24"/>
        </w:rPr>
        <w:t xml:space="preserve">’s area residents chose to access a further </w:t>
      </w:r>
      <w:r w:rsidR="00867AEF" w:rsidRPr="008B2B47">
        <w:rPr>
          <w:rFonts w:ascii="Arial" w:hAnsi="Arial" w:cs="Arial"/>
          <w:sz w:val="24"/>
          <w:szCs w:val="24"/>
        </w:rPr>
        <w:t>402</w:t>
      </w:r>
      <w:r w:rsidR="00CE4B06" w:rsidRPr="008B2B47">
        <w:rPr>
          <w:rFonts w:ascii="Arial" w:hAnsi="Arial" w:cs="Arial"/>
          <w:sz w:val="24"/>
          <w:szCs w:val="24"/>
        </w:rPr>
        <w:t xml:space="preserve"> contractors</w:t>
      </w:r>
      <w:r w:rsidRPr="008B2B47">
        <w:rPr>
          <w:rFonts w:ascii="Arial" w:hAnsi="Arial" w:cs="Arial"/>
          <w:sz w:val="24"/>
          <w:szCs w:val="24"/>
        </w:rPr>
        <w:t xml:space="preserve">, although </w:t>
      </w:r>
      <w:r w:rsidR="00CE4B06" w:rsidRPr="008B2B47">
        <w:rPr>
          <w:rFonts w:ascii="Arial" w:hAnsi="Arial" w:cs="Arial"/>
          <w:sz w:val="24"/>
          <w:szCs w:val="24"/>
        </w:rPr>
        <w:t>many are not used</w:t>
      </w:r>
      <w:r w:rsidRPr="008B2B47">
        <w:rPr>
          <w:rFonts w:ascii="Arial" w:hAnsi="Arial" w:cs="Arial"/>
          <w:sz w:val="24"/>
          <w:szCs w:val="24"/>
        </w:rPr>
        <w:t xml:space="preserve"> on a regular basis.  </w:t>
      </w:r>
    </w:p>
    <w:p w14:paraId="434B734C" w14:textId="765DBB4B" w:rsidR="00AE0687" w:rsidRPr="008B2B47" w:rsidRDefault="00AE0687" w:rsidP="00DC54F7">
      <w:pPr>
        <w:spacing w:after="0" w:line="240" w:lineRule="auto"/>
        <w:jc w:val="both"/>
        <w:rPr>
          <w:rFonts w:ascii="Arial" w:hAnsi="Arial" w:cs="Arial"/>
          <w:sz w:val="24"/>
          <w:szCs w:val="24"/>
        </w:rPr>
      </w:pPr>
    </w:p>
    <w:p w14:paraId="4C8CA973" w14:textId="1EA7FBAC" w:rsidR="005548FC" w:rsidRPr="008B2B47" w:rsidRDefault="005548FC" w:rsidP="00DC54F7">
      <w:pPr>
        <w:spacing w:after="0" w:line="240" w:lineRule="auto"/>
        <w:jc w:val="both"/>
        <w:rPr>
          <w:rFonts w:ascii="Arial" w:hAnsi="Arial" w:cs="Arial"/>
          <w:sz w:val="24"/>
          <w:szCs w:val="24"/>
        </w:rPr>
      </w:pPr>
      <w:r w:rsidRPr="008B2B47">
        <w:rPr>
          <w:rFonts w:ascii="Arial" w:hAnsi="Arial" w:cs="Arial"/>
          <w:sz w:val="24"/>
          <w:szCs w:val="24"/>
        </w:rPr>
        <w:t xml:space="preserve">When asked what influences their choice of pharmacy the most common responses in the patient and public questionnaire </w:t>
      </w:r>
      <w:r w:rsidRPr="00537C16">
        <w:rPr>
          <w:rFonts w:ascii="Arial" w:hAnsi="Arial" w:cs="Arial"/>
          <w:sz w:val="24"/>
          <w:szCs w:val="24"/>
        </w:rPr>
        <w:t xml:space="preserve">were </w:t>
      </w:r>
      <w:r w:rsidRPr="00537C16">
        <w:rPr>
          <w:rFonts w:ascii="Arial" w:hAnsi="Arial" w:cs="Arial"/>
          <w:bCs/>
          <w:sz w:val="24"/>
          <w:szCs w:val="24"/>
        </w:rPr>
        <w:t>close to home followed by close to my doctor and the location of the pharmacy is easy to get to.</w:t>
      </w:r>
      <w:r w:rsidRPr="008B2B47">
        <w:rPr>
          <w:rFonts w:ascii="Arial" w:hAnsi="Arial" w:cs="Arial"/>
          <w:bCs/>
          <w:sz w:val="24"/>
          <w:szCs w:val="24"/>
        </w:rPr>
        <w:t xml:space="preserve"> Please note that more than one option could be provided to this question. </w:t>
      </w:r>
    </w:p>
    <w:p w14:paraId="04E719DF" w14:textId="30D82999" w:rsidR="005548FC" w:rsidRPr="008B2B47" w:rsidRDefault="005548FC" w:rsidP="00DC54F7">
      <w:pPr>
        <w:spacing w:after="0" w:line="240" w:lineRule="auto"/>
        <w:jc w:val="both"/>
        <w:rPr>
          <w:rFonts w:ascii="Arial" w:hAnsi="Arial" w:cs="Arial"/>
          <w:sz w:val="24"/>
          <w:szCs w:val="24"/>
        </w:rPr>
      </w:pPr>
    </w:p>
    <w:p w14:paraId="5898173B" w14:textId="1A56CB72" w:rsidR="002451AB" w:rsidRPr="008B2B47" w:rsidRDefault="002451AB" w:rsidP="00DC54F7">
      <w:pPr>
        <w:spacing w:after="0" w:line="240" w:lineRule="auto"/>
        <w:jc w:val="both"/>
        <w:rPr>
          <w:rFonts w:ascii="Arial" w:hAnsi="Arial" w:cs="Arial"/>
          <w:bCs/>
          <w:sz w:val="24"/>
          <w:szCs w:val="24"/>
        </w:rPr>
      </w:pPr>
      <w:r w:rsidRPr="008B2B47">
        <w:rPr>
          <w:rFonts w:ascii="Arial" w:hAnsi="Arial" w:cs="Arial"/>
          <w:bCs/>
          <w:sz w:val="24"/>
          <w:szCs w:val="24"/>
        </w:rPr>
        <w:t xml:space="preserve">Of the 22 respondents who answered other, 10 comments were received about the repeat dispensing system, including ordering and collecting prescriptions: </w:t>
      </w:r>
    </w:p>
    <w:p w14:paraId="5DC00813" w14:textId="77777777" w:rsidR="002451AB" w:rsidRPr="008B2B47" w:rsidRDefault="002451AB" w:rsidP="00DC54F7">
      <w:pPr>
        <w:pStyle w:val="ListParagraph"/>
        <w:numPr>
          <w:ilvl w:val="0"/>
          <w:numId w:val="69"/>
        </w:numPr>
        <w:spacing w:after="0" w:line="240" w:lineRule="auto"/>
        <w:jc w:val="both"/>
        <w:rPr>
          <w:rFonts w:ascii="Arial" w:eastAsia="Times New Roman" w:hAnsi="Arial" w:cs="Arial"/>
          <w:color w:val="000000"/>
          <w:sz w:val="24"/>
          <w:szCs w:val="24"/>
          <w:lang w:eastAsia="en-GB"/>
        </w:rPr>
      </w:pPr>
      <w:r w:rsidRPr="008B2B47">
        <w:rPr>
          <w:rFonts w:ascii="Arial" w:eastAsia="Times New Roman" w:hAnsi="Arial" w:cs="Arial"/>
          <w:color w:val="000000"/>
          <w:sz w:val="24"/>
          <w:szCs w:val="24"/>
          <w:lang w:eastAsia="en-GB"/>
        </w:rPr>
        <w:t>“They provide telephone updates when my prescription is ready to be collected.”</w:t>
      </w:r>
    </w:p>
    <w:p w14:paraId="2B02B258" w14:textId="77777777" w:rsidR="002451AB" w:rsidRPr="008B2B47" w:rsidRDefault="002451AB" w:rsidP="00DC54F7">
      <w:pPr>
        <w:pStyle w:val="ListParagraph"/>
        <w:numPr>
          <w:ilvl w:val="0"/>
          <w:numId w:val="69"/>
        </w:numPr>
        <w:spacing w:after="0" w:line="240" w:lineRule="auto"/>
        <w:jc w:val="both"/>
        <w:rPr>
          <w:rFonts w:ascii="Arial" w:eastAsia="Times New Roman" w:hAnsi="Arial" w:cs="Arial"/>
          <w:color w:val="000000"/>
          <w:sz w:val="24"/>
          <w:szCs w:val="24"/>
          <w:lang w:eastAsia="en-GB"/>
        </w:rPr>
      </w:pPr>
      <w:r w:rsidRPr="008B2B47">
        <w:rPr>
          <w:rFonts w:ascii="Arial" w:eastAsia="Times New Roman" w:hAnsi="Arial" w:cs="Arial"/>
          <w:color w:val="000000"/>
          <w:sz w:val="24"/>
          <w:szCs w:val="24"/>
          <w:lang w:eastAsia="en-GB"/>
        </w:rPr>
        <w:t>“Collect my prescription from GP and I pick up from the pharmacy once completed.”</w:t>
      </w:r>
    </w:p>
    <w:p w14:paraId="2180B3F6" w14:textId="77777777" w:rsidR="002451AB" w:rsidRPr="008B2B47" w:rsidRDefault="002451AB" w:rsidP="00DC54F7">
      <w:pPr>
        <w:spacing w:after="0" w:line="240" w:lineRule="auto"/>
        <w:jc w:val="both"/>
        <w:rPr>
          <w:rFonts w:ascii="Arial" w:hAnsi="Arial" w:cs="Arial"/>
          <w:bCs/>
          <w:sz w:val="24"/>
          <w:szCs w:val="24"/>
        </w:rPr>
      </w:pPr>
    </w:p>
    <w:p w14:paraId="61849D9C" w14:textId="77777777" w:rsidR="002451AB" w:rsidRPr="008B2B47" w:rsidRDefault="002451AB" w:rsidP="00DC54F7">
      <w:pPr>
        <w:spacing w:after="0" w:line="240" w:lineRule="auto"/>
        <w:jc w:val="both"/>
        <w:rPr>
          <w:rFonts w:ascii="Arial" w:hAnsi="Arial" w:cs="Arial"/>
          <w:bCs/>
          <w:sz w:val="24"/>
          <w:szCs w:val="24"/>
        </w:rPr>
      </w:pPr>
      <w:r w:rsidRPr="008B2B47">
        <w:rPr>
          <w:rFonts w:ascii="Arial" w:hAnsi="Arial" w:cs="Arial"/>
          <w:bCs/>
          <w:sz w:val="24"/>
          <w:szCs w:val="24"/>
        </w:rPr>
        <w:t xml:space="preserve">One comment received was about ease of parking and another comment was about previous negative experiences with pharmacies and finding the best one in their location. </w:t>
      </w:r>
    </w:p>
    <w:p w14:paraId="379F612F" w14:textId="77777777" w:rsidR="002451AB" w:rsidRPr="008B2B47" w:rsidRDefault="002451AB" w:rsidP="00DC54F7">
      <w:pPr>
        <w:spacing w:after="0" w:line="240" w:lineRule="auto"/>
        <w:jc w:val="both"/>
        <w:rPr>
          <w:rFonts w:ascii="Arial" w:hAnsi="Arial" w:cs="Arial"/>
          <w:bCs/>
          <w:sz w:val="24"/>
          <w:szCs w:val="24"/>
        </w:rPr>
      </w:pPr>
    </w:p>
    <w:p w14:paraId="7860170C" w14:textId="77777777" w:rsidR="002451AB" w:rsidRPr="008B2B47" w:rsidRDefault="002451AB" w:rsidP="00DC54F7">
      <w:pPr>
        <w:spacing w:after="0" w:line="240" w:lineRule="auto"/>
        <w:jc w:val="both"/>
        <w:rPr>
          <w:rFonts w:ascii="Arial" w:hAnsi="Arial" w:cs="Arial"/>
          <w:bCs/>
          <w:sz w:val="24"/>
          <w:szCs w:val="24"/>
        </w:rPr>
      </w:pPr>
      <w:r w:rsidRPr="008B2B47">
        <w:rPr>
          <w:rFonts w:ascii="Arial" w:hAnsi="Arial" w:cs="Arial"/>
          <w:bCs/>
          <w:sz w:val="24"/>
          <w:szCs w:val="24"/>
        </w:rPr>
        <w:t xml:space="preserve">Two comments were about the delivery service offered during the </w:t>
      </w:r>
      <w:r w:rsidRPr="008B2B47">
        <w:rPr>
          <w:rFonts w:ascii="Arial" w:hAnsi="Arial" w:cs="Arial"/>
          <w:sz w:val="24"/>
          <w:szCs w:val="24"/>
        </w:rPr>
        <w:t>Coronavirus (COVID-19):</w:t>
      </w:r>
    </w:p>
    <w:p w14:paraId="1961126F" w14:textId="77777777" w:rsidR="002451AB" w:rsidRPr="008B2B47" w:rsidRDefault="002451AB" w:rsidP="00DC54F7">
      <w:pPr>
        <w:pStyle w:val="ListParagraph"/>
        <w:numPr>
          <w:ilvl w:val="0"/>
          <w:numId w:val="75"/>
        </w:numPr>
        <w:spacing w:after="0" w:line="240" w:lineRule="auto"/>
        <w:jc w:val="both"/>
        <w:rPr>
          <w:rFonts w:ascii="Arial" w:hAnsi="Arial" w:cs="Arial"/>
          <w:bCs/>
          <w:sz w:val="24"/>
          <w:szCs w:val="24"/>
        </w:rPr>
      </w:pPr>
      <w:r w:rsidRPr="008B2B47">
        <w:rPr>
          <w:rFonts w:ascii="Arial" w:hAnsi="Arial" w:cs="Arial"/>
          <w:bCs/>
          <w:sz w:val="24"/>
          <w:szCs w:val="24"/>
        </w:rPr>
        <w:t>“They've been great during lockdown and have delivered our prescriptions when my husband was shielding.”</w:t>
      </w:r>
    </w:p>
    <w:p w14:paraId="3C0CF588" w14:textId="77777777" w:rsidR="002451AB" w:rsidRPr="008B2B47" w:rsidRDefault="002451AB" w:rsidP="00DC54F7">
      <w:pPr>
        <w:pStyle w:val="ListParagraph"/>
        <w:numPr>
          <w:ilvl w:val="0"/>
          <w:numId w:val="75"/>
        </w:numPr>
        <w:spacing w:after="0" w:line="240" w:lineRule="auto"/>
        <w:jc w:val="both"/>
        <w:rPr>
          <w:rFonts w:ascii="Arial" w:hAnsi="Arial" w:cs="Arial"/>
          <w:bCs/>
          <w:sz w:val="24"/>
          <w:szCs w:val="24"/>
        </w:rPr>
      </w:pPr>
      <w:r w:rsidRPr="008B2B47">
        <w:rPr>
          <w:rFonts w:ascii="Arial" w:hAnsi="Arial" w:cs="Arial"/>
          <w:bCs/>
          <w:sz w:val="24"/>
          <w:szCs w:val="24"/>
        </w:rPr>
        <w:t>“[Name of pharmacy] collects my prescription BUT WILL NOT DELIVER - even though I am shielding.”</w:t>
      </w:r>
    </w:p>
    <w:p w14:paraId="583427A4" w14:textId="77777777" w:rsidR="002451AB" w:rsidRPr="008B2B47" w:rsidRDefault="002451AB" w:rsidP="00DC54F7">
      <w:pPr>
        <w:spacing w:after="0" w:line="240" w:lineRule="auto"/>
        <w:jc w:val="both"/>
        <w:rPr>
          <w:rFonts w:ascii="Arial" w:hAnsi="Arial" w:cs="Arial"/>
          <w:bCs/>
          <w:sz w:val="24"/>
          <w:szCs w:val="24"/>
        </w:rPr>
      </w:pPr>
    </w:p>
    <w:p w14:paraId="63E1921F" w14:textId="77777777" w:rsidR="002451AB" w:rsidRPr="008B2B47" w:rsidRDefault="002451AB" w:rsidP="00DC54F7">
      <w:pPr>
        <w:spacing w:after="0" w:line="240" w:lineRule="auto"/>
        <w:jc w:val="both"/>
        <w:rPr>
          <w:rFonts w:ascii="Arial" w:hAnsi="Arial" w:cs="Arial"/>
          <w:bCs/>
          <w:sz w:val="24"/>
          <w:szCs w:val="24"/>
        </w:rPr>
      </w:pPr>
      <w:r w:rsidRPr="008B2B47">
        <w:rPr>
          <w:rFonts w:ascii="Arial" w:hAnsi="Arial" w:cs="Arial"/>
          <w:bCs/>
          <w:sz w:val="24"/>
          <w:szCs w:val="24"/>
        </w:rPr>
        <w:t xml:space="preserve">Two comments were about opening times. </w:t>
      </w:r>
    </w:p>
    <w:p w14:paraId="5FAF9D68" w14:textId="77777777" w:rsidR="002451AB" w:rsidRPr="008B2B47" w:rsidRDefault="002451AB" w:rsidP="00DC54F7">
      <w:pPr>
        <w:pStyle w:val="ListParagraph"/>
        <w:numPr>
          <w:ilvl w:val="0"/>
          <w:numId w:val="74"/>
        </w:numPr>
        <w:spacing w:after="0" w:line="240" w:lineRule="auto"/>
        <w:jc w:val="both"/>
        <w:rPr>
          <w:rFonts w:ascii="Arial" w:eastAsia="Times New Roman" w:hAnsi="Arial" w:cs="Arial"/>
          <w:vanish/>
          <w:color w:val="000000"/>
          <w:sz w:val="24"/>
          <w:szCs w:val="24"/>
          <w:lang w:eastAsia="en-GB"/>
        </w:rPr>
      </w:pPr>
      <w:r w:rsidRPr="008B2B47">
        <w:rPr>
          <w:rFonts w:ascii="Arial" w:eastAsia="Times New Roman" w:hAnsi="Arial" w:cs="Arial"/>
          <w:color w:val="000000"/>
          <w:sz w:val="24"/>
          <w:szCs w:val="24"/>
          <w:lang w:eastAsia="en-GB"/>
        </w:rPr>
        <w:t>“If only they would open at hours that people who work (in the NHS) could access them, I would go to the one that’s 30 seconds walk from my house, instead of having to track to [name of pharmacy].”</w:t>
      </w:r>
      <w:r w:rsidRPr="008B2B47">
        <w:rPr>
          <w:rFonts w:ascii="Arial" w:eastAsia="Times New Roman" w:hAnsi="Arial" w:cs="Arial"/>
          <w:vanish/>
          <w:color w:val="000000"/>
          <w:sz w:val="24"/>
          <w:szCs w:val="24"/>
          <w:lang w:eastAsia="en-GB"/>
        </w:rPr>
        <w:t> </w:t>
      </w:r>
    </w:p>
    <w:p w14:paraId="6F367911" w14:textId="77777777" w:rsidR="002451AB" w:rsidRPr="008B2B47" w:rsidRDefault="002451AB" w:rsidP="00DC54F7">
      <w:pPr>
        <w:spacing w:after="0" w:line="240" w:lineRule="auto"/>
        <w:jc w:val="both"/>
        <w:rPr>
          <w:rFonts w:ascii="Arial" w:hAnsi="Arial" w:cs="Arial"/>
          <w:bCs/>
          <w:sz w:val="24"/>
          <w:szCs w:val="24"/>
        </w:rPr>
      </w:pPr>
    </w:p>
    <w:p w14:paraId="17CF7CA9" w14:textId="77777777" w:rsidR="002451AB" w:rsidRPr="008B2B47" w:rsidRDefault="002451AB" w:rsidP="00DC54F7">
      <w:pPr>
        <w:pStyle w:val="ListParagraph"/>
        <w:numPr>
          <w:ilvl w:val="0"/>
          <w:numId w:val="74"/>
        </w:numPr>
        <w:spacing w:after="0" w:line="240" w:lineRule="auto"/>
        <w:jc w:val="both"/>
        <w:rPr>
          <w:rFonts w:ascii="Arial" w:hAnsi="Arial" w:cs="Arial"/>
          <w:bCs/>
          <w:sz w:val="24"/>
          <w:szCs w:val="24"/>
        </w:rPr>
      </w:pPr>
      <w:r w:rsidRPr="008B2B47">
        <w:rPr>
          <w:rFonts w:ascii="Arial" w:hAnsi="Arial" w:cs="Arial"/>
          <w:bCs/>
          <w:sz w:val="24"/>
          <w:szCs w:val="24"/>
        </w:rPr>
        <w:t>“Open on a Saturday.”</w:t>
      </w:r>
    </w:p>
    <w:p w14:paraId="0DEE2010" w14:textId="77777777" w:rsidR="002451AB" w:rsidRPr="008B2B47" w:rsidRDefault="002451AB" w:rsidP="00DC54F7">
      <w:pPr>
        <w:spacing w:after="0" w:line="240" w:lineRule="auto"/>
        <w:jc w:val="both"/>
        <w:rPr>
          <w:rFonts w:ascii="Arial" w:hAnsi="Arial" w:cs="Arial"/>
          <w:bCs/>
          <w:sz w:val="24"/>
          <w:szCs w:val="24"/>
        </w:rPr>
      </w:pPr>
    </w:p>
    <w:p w14:paraId="0350AFED" w14:textId="77777777" w:rsidR="002451AB" w:rsidRPr="008B2B47" w:rsidRDefault="002451AB" w:rsidP="00DC54F7">
      <w:pPr>
        <w:spacing w:after="0" w:line="240" w:lineRule="auto"/>
        <w:jc w:val="both"/>
        <w:rPr>
          <w:rFonts w:ascii="Arial" w:hAnsi="Arial" w:cs="Arial"/>
          <w:bCs/>
          <w:sz w:val="24"/>
          <w:szCs w:val="24"/>
        </w:rPr>
      </w:pPr>
      <w:r w:rsidRPr="008B2B47">
        <w:rPr>
          <w:rFonts w:ascii="Arial" w:hAnsi="Arial" w:cs="Arial"/>
          <w:bCs/>
          <w:sz w:val="24"/>
          <w:szCs w:val="24"/>
        </w:rPr>
        <w:t>Other comments include:</w:t>
      </w:r>
    </w:p>
    <w:p w14:paraId="4979CDB8" w14:textId="77777777" w:rsidR="002451AB" w:rsidRPr="008B2B47" w:rsidRDefault="002451AB" w:rsidP="00DC54F7">
      <w:pPr>
        <w:pStyle w:val="ListParagraph"/>
        <w:numPr>
          <w:ilvl w:val="0"/>
          <w:numId w:val="69"/>
        </w:numPr>
        <w:spacing w:after="0" w:line="240" w:lineRule="auto"/>
        <w:jc w:val="both"/>
        <w:rPr>
          <w:rFonts w:ascii="Arial" w:hAnsi="Arial" w:cs="Arial"/>
          <w:bCs/>
          <w:sz w:val="24"/>
          <w:szCs w:val="24"/>
        </w:rPr>
      </w:pPr>
      <w:r w:rsidRPr="008B2B47">
        <w:rPr>
          <w:rFonts w:ascii="Arial" w:hAnsi="Arial" w:cs="Arial"/>
          <w:bCs/>
          <w:sz w:val="24"/>
          <w:szCs w:val="24"/>
        </w:rPr>
        <w:t>“This is pharmacy that the drs told me I had to use this one.”</w:t>
      </w:r>
    </w:p>
    <w:p w14:paraId="60D5F5A5" w14:textId="77777777" w:rsidR="002451AB" w:rsidRPr="008B2B47" w:rsidRDefault="002451AB" w:rsidP="00DC54F7">
      <w:pPr>
        <w:spacing w:after="0" w:line="240" w:lineRule="auto"/>
        <w:jc w:val="both"/>
        <w:rPr>
          <w:rFonts w:ascii="Arial" w:eastAsia="Times New Roman" w:hAnsi="Arial" w:cs="Arial"/>
          <w:color w:val="000000"/>
          <w:sz w:val="24"/>
          <w:szCs w:val="24"/>
          <w:lang w:eastAsia="en-GB"/>
        </w:rPr>
      </w:pPr>
      <w:r w:rsidRPr="008B2B47">
        <w:rPr>
          <w:rFonts w:ascii="Arial" w:eastAsia="Symbol" w:hAnsi="Arial" w:cs="Arial"/>
          <w:color w:val="000000"/>
          <w:sz w:val="24"/>
          <w:szCs w:val="24"/>
          <w:lang w:eastAsia="en-GB"/>
        </w:rPr>
        <w:t>·       “I go to the pharmacy that is open but this has been harder lately since my local pharmacy has moved further away and I have to delay my treatment till the next day.”</w:t>
      </w:r>
    </w:p>
    <w:p w14:paraId="0B3D97B5" w14:textId="77777777" w:rsidR="002451AB" w:rsidRPr="008B2B47" w:rsidRDefault="002451AB" w:rsidP="00DC54F7">
      <w:pPr>
        <w:spacing w:after="0" w:line="240" w:lineRule="auto"/>
        <w:jc w:val="both"/>
        <w:rPr>
          <w:rFonts w:ascii="Arial" w:hAnsi="Arial" w:cs="Arial"/>
          <w:bCs/>
          <w:sz w:val="24"/>
          <w:szCs w:val="24"/>
        </w:rPr>
      </w:pPr>
    </w:p>
    <w:p w14:paraId="2E795F2C" w14:textId="77777777" w:rsidR="008B2B47" w:rsidRDefault="008B2B47" w:rsidP="00DC54F7">
      <w:pPr>
        <w:spacing w:after="0" w:line="240" w:lineRule="auto"/>
        <w:jc w:val="both"/>
        <w:rPr>
          <w:rFonts w:ascii="Arial" w:hAnsi="Arial" w:cs="Arial"/>
          <w:b/>
          <w:bCs/>
          <w:sz w:val="24"/>
          <w:szCs w:val="24"/>
        </w:rPr>
      </w:pPr>
    </w:p>
    <w:p w14:paraId="48B6EAC5" w14:textId="77777777" w:rsidR="008B2B47" w:rsidRDefault="008B2B47" w:rsidP="00DC54F7">
      <w:pPr>
        <w:spacing w:after="0" w:line="240" w:lineRule="auto"/>
        <w:jc w:val="both"/>
        <w:rPr>
          <w:rFonts w:ascii="Arial" w:hAnsi="Arial" w:cs="Arial"/>
          <w:b/>
          <w:bCs/>
          <w:sz w:val="24"/>
          <w:szCs w:val="24"/>
        </w:rPr>
      </w:pPr>
    </w:p>
    <w:p w14:paraId="7D3401D1" w14:textId="45DACE85" w:rsidR="008B2B47" w:rsidRDefault="008B2B47" w:rsidP="00DC54F7">
      <w:pPr>
        <w:jc w:val="both"/>
        <w:rPr>
          <w:rFonts w:ascii="Arial" w:hAnsi="Arial" w:cs="Arial"/>
          <w:b/>
          <w:bCs/>
          <w:sz w:val="24"/>
          <w:szCs w:val="24"/>
        </w:rPr>
      </w:pPr>
      <w:r>
        <w:rPr>
          <w:rFonts w:ascii="Arial" w:hAnsi="Arial" w:cs="Arial"/>
          <w:b/>
          <w:bCs/>
          <w:sz w:val="24"/>
          <w:szCs w:val="24"/>
        </w:rPr>
        <w:br w:type="page"/>
      </w:r>
    </w:p>
    <w:p w14:paraId="743466B9" w14:textId="6CDE8E9E" w:rsidR="00A6751B" w:rsidRPr="008B2B47" w:rsidRDefault="002451AB" w:rsidP="00DC54F7">
      <w:pPr>
        <w:spacing w:after="0" w:line="240" w:lineRule="auto"/>
        <w:jc w:val="both"/>
        <w:rPr>
          <w:rFonts w:ascii="Arial" w:hAnsi="Arial" w:cs="Arial"/>
          <w:b/>
          <w:bCs/>
          <w:sz w:val="24"/>
          <w:szCs w:val="24"/>
        </w:rPr>
      </w:pPr>
      <w:r w:rsidRPr="00537C16">
        <w:rPr>
          <w:rFonts w:ascii="Arial" w:hAnsi="Arial" w:cs="Arial"/>
          <w:b/>
          <w:bCs/>
          <w:sz w:val="24"/>
          <w:szCs w:val="24"/>
        </w:rPr>
        <w:lastRenderedPageBreak/>
        <w:t>Figure 5.</w:t>
      </w:r>
      <w:r w:rsidR="00F45A03" w:rsidRPr="00537C16">
        <w:rPr>
          <w:rFonts w:ascii="Arial" w:hAnsi="Arial" w:cs="Arial"/>
          <w:b/>
          <w:bCs/>
          <w:sz w:val="24"/>
          <w:szCs w:val="24"/>
        </w:rPr>
        <w:t>20</w:t>
      </w:r>
      <w:r w:rsidRPr="00537C16">
        <w:rPr>
          <w:rFonts w:ascii="Arial" w:hAnsi="Arial" w:cs="Arial"/>
          <w:b/>
          <w:bCs/>
          <w:sz w:val="24"/>
          <w:szCs w:val="24"/>
        </w:rPr>
        <w:t>: Reasons that Influence the choice of pharmacy</w:t>
      </w:r>
    </w:p>
    <w:p w14:paraId="0A48BEE6" w14:textId="5A108B6F" w:rsidR="00A6751B" w:rsidRDefault="00441664" w:rsidP="00DC54F7">
      <w:pPr>
        <w:spacing w:after="0" w:line="240" w:lineRule="auto"/>
        <w:jc w:val="both"/>
        <w:rPr>
          <w:rFonts w:ascii="Arial" w:hAnsi="Arial" w:cs="Arial"/>
          <w:b/>
          <w:bCs/>
        </w:rPr>
      </w:pPr>
      <w:r>
        <w:rPr>
          <w:noProof/>
          <w:lang w:eastAsia="en-GB"/>
        </w:rPr>
        <w:drawing>
          <wp:inline distT="0" distB="0" distL="0" distR="0" wp14:anchorId="47C1FE76" wp14:editId="55AE4DD6">
            <wp:extent cx="5731510" cy="3666211"/>
            <wp:effectExtent l="0" t="0" r="2540" b="10795"/>
            <wp:docPr id="223" name="Chart 22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246B76E-FD4E-48FD-A68B-2E34DD84842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53F80D5E" w14:textId="77777777" w:rsidR="002451AB" w:rsidRDefault="002451AB" w:rsidP="00DC54F7">
      <w:pPr>
        <w:spacing w:after="0" w:line="240" w:lineRule="auto"/>
        <w:jc w:val="both"/>
        <w:rPr>
          <w:rFonts w:ascii="Arial" w:hAnsi="Arial" w:cs="Arial"/>
          <w:b/>
          <w:bCs/>
        </w:rPr>
      </w:pPr>
    </w:p>
    <w:p w14:paraId="6E25C382" w14:textId="6ECE36CD" w:rsidR="002451AB" w:rsidRPr="008B2B47" w:rsidRDefault="002451AB" w:rsidP="00DC54F7">
      <w:pPr>
        <w:spacing w:after="0" w:line="240" w:lineRule="auto"/>
        <w:jc w:val="both"/>
        <w:rPr>
          <w:rFonts w:ascii="Symbol" w:eastAsia="Times New Roman" w:hAnsi="Symbol" w:cs="Calibri"/>
          <w:color w:val="000000"/>
          <w:sz w:val="24"/>
          <w:szCs w:val="24"/>
          <w:lang w:eastAsia="en-GB"/>
        </w:rPr>
      </w:pPr>
      <w:r w:rsidRPr="008B2B47">
        <w:rPr>
          <w:rFonts w:ascii="Arial" w:hAnsi="Arial" w:cs="Arial"/>
          <w:bCs/>
          <w:sz w:val="24"/>
          <w:szCs w:val="24"/>
        </w:rPr>
        <w:t xml:space="preserve">The majority of respondents (67%, 207 out of 307 people), use the pharmacy that is most convenient and / or closest for them to use.  11 respondents said they </w:t>
      </w:r>
      <w:r w:rsidR="00C16CC7" w:rsidRPr="008B2B47">
        <w:rPr>
          <w:rFonts w:ascii="Arial" w:hAnsi="Arial" w:cs="Arial"/>
          <w:bCs/>
          <w:sz w:val="24"/>
          <w:szCs w:val="24"/>
        </w:rPr>
        <w:t>did not</w:t>
      </w:r>
      <w:r w:rsidRPr="008B2B47">
        <w:rPr>
          <w:rFonts w:ascii="Arial" w:hAnsi="Arial" w:cs="Arial"/>
          <w:bCs/>
          <w:sz w:val="24"/>
          <w:szCs w:val="24"/>
        </w:rPr>
        <w:t xml:space="preserve"> know. However, for 29% of respondents (89 people) there was a more convenient and / or closer pharmacy that they were choosing not to use. When asked why they did not use that pharmacy, 90 people answered the question (one more than previously responded) and a total of 164 responses were received. Multiple answers could be given to this question and the number of responses received indicates that some people chose more than one reason. </w:t>
      </w:r>
      <w:r w:rsidRPr="00537C16">
        <w:rPr>
          <w:rFonts w:ascii="Arial" w:hAnsi="Arial" w:cs="Arial"/>
          <w:bCs/>
          <w:sz w:val="24"/>
          <w:szCs w:val="24"/>
        </w:rPr>
        <w:t>The top three reasons provided were around ease of parking, speed of service and having a bad experience in the past.</w:t>
      </w:r>
      <w:r w:rsidRPr="008B2B47">
        <w:rPr>
          <w:rFonts w:ascii="Arial" w:hAnsi="Arial" w:cs="Arial"/>
          <w:bCs/>
          <w:sz w:val="24"/>
          <w:szCs w:val="24"/>
        </w:rPr>
        <w:t xml:space="preserve"> </w:t>
      </w:r>
    </w:p>
    <w:p w14:paraId="39CA55CD" w14:textId="77777777" w:rsidR="002451AB" w:rsidRDefault="002451AB" w:rsidP="00DC54F7">
      <w:pPr>
        <w:spacing w:after="0" w:line="240" w:lineRule="auto"/>
        <w:jc w:val="both"/>
        <w:rPr>
          <w:rFonts w:ascii="Arial" w:hAnsi="Arial" w:cs="Arial"/>
          <w:bCs/>
        </w:rPr>
      </w:pPr>
    </w:p>
    <w:p w14:paraId="42B45BF1" w14:textId="2B0555CF" w:rsidR="005E5908" w:rsidRDefault="005E5908" w:rsidP="00DC54F7">
      <w:pPr>
        <w:spacing w:after="0" w:line="240" w:lineRule="auto"/>
        <w:jc w:val="both"/>
        <w:rPr>
          <w:rFonts w:ascii="Arial" w:hAnsi="Arial" w:cs="Arial"/>
          <w:bCs/>
        </w:rPr>
      </w:pPr>
    </w:p>
    <w:p w14:paraId="06B9A67E" w14:textId="1B34DD68" w:rsidR="008B2B47" w:rsidRDefault="008B2B47" w:rsidP="00DC54F7">
      <w:pPr>
        <w:spacing w:after="0" w:line="240" w:lineRule="auto"/>
        <w:jc w:val="both"/>
        <w:rPr>
          <w:rFonts w:ascii="Arial" w:hAnsi="Arial" w:cs="Arial"/>
          <w:bCs/>
        </w:rPr>
      </w:pPr>
    </w:p>
    <w:p w14:paraId="561EAA02" w14:textId="716CF6A6" w:rsidR="008B2B47" w:rsidRDefault="008B2B47" w:rsidP="00DC54F7">
      <w:pPr>
        <w:spacing w:after="0" w:line="240" w:lineRule="auto"/>
        <w:jc w:val="both"/>
        <w:rPr>
          <w:rFonts w:ascii="Arial" w:hAnsi="Arial" w:cs="Arial"/>
          <w:bCs/>
        </w:rPr>
      </w:pPr>
    </w:p>
    <w:p w14:paraId="7C3F3C08" w14:textId="20EEF751" w:rsidR="008B2B47" w:rsidRDefault="008B2B47" w:rsidP="00DC54F7">
      <w:pPr>
        <w:spacing w:after="0" w:line="240" w:lineRule="auto"/>
        <w:jc w:val="both"/>
        <w:rPr>
          <w:rFonts w:ascii="Arial" w:hAnsi="Arial" w:cs="Arial"/>
          <w:bCs/>
        </w:rPr>
      </w:pPr>
    </w:p>
    <w:p w14:paraId="0A92B45F" w14:textId="391E611A" w:rsidR="008B2B47" w:rsidRDefault="008B2B47" w:rsidP="00DC54F7">
      <w:pPr>
        <w:spacing w:after="0" w:line="240" w:lineRule="auto"/>
        <w:jc w:val="both"/>
        <w:rPr>
          <w:rFonts w:ascii="Arial" w:hAnsi="Arial" w:cs="Arial"/>
          <w:bCs/>
        </w:rPr>
      </w:pPr>
    </w:p>
    <w:p w14:paraId="5D7FEBF3" w14:textId="0F8BAA63" w:rsidR="008B2B47" w:rsidRDefault="008B2B47" w:rsidP="00DC54F7">
      <w:pPr>
        <w:spacing w:after="0" w:line="240" w:lineRule="auto"/>
        <w:jc w:val="both"/>
        <w:rPr>
          <w:rFonts w:ascii="Arial" w:hAnsi="Arial" w:cs="Arial"/>
          <w:bCs/>
        </w:rPr>
      </w:pPr>
    </w:p>
    <w:p w14:paraId="7C145B06" w14:textId="33F4E4D3" w:rsidR="008B2B47" w:rsidRDefault="008B2B47" w:rsidP="00DC54F7">
      <w:pPr>
        <w:spacing w:after="0" w:line="240" w:lineRule="auto"/>
        <w:jc w:val="both"/>
        <w:rPr>
          <w:rFonts w:ascii="Arial" w:hAnsi="Arial" w:cs="Arial"/>
          <w:bCs/>
        </w:rPr>
      </w:pPr>
    </w:p>
    <w:p w14:paraId="54FB3F01" w14:textId="45ACE6B9" w:rsidR="008B2B47" w:rsidRDefault="008B2B47" w:rsidP="00DC54F7">
      <w:pPr>
        <w:spacing w:after="0" w:line="240" w:lineRule="auto"/>
        <w:jc w:val="both"/>
        <w:rPr>
          <w:rFonts w:ascii="Arial" w:hAnsi="Arial" w:cs="Arial"/>
          <w:bCs/>
        </w:rPr>
      </w:pPr>
    </w:p>
    <w:p w14:paraId="151C2D7D" w14:textId="7509C58F" w:rsidR="008B2B47" w:rsidRDefault="008B2B47" w:rsidP="00DC54F7">
      <w:pPr>
        <w:spacing w:after="0" w:line="240" w:lineRule="auto"/>
        <w:jc w:val="both"/>
        <w:rPr>
          <w:rFonts w:ascii="Arial" w:hAnsi="Arial" w:cs="Arial"/>
          <w:bCs/>
        </w:rPr>
      </w:pPr>
    </w:p>
    <w:p w14:paraId="12ED0526" w14:textId="29EB4292" w:rsidR="008B2B47" w:rsidRDefault="008B2B47" w:rsidP="00DC54F7">
      <w:pPr>
        <w:spacing w:after="0" w:line="240" w:lineRule="auto"/>
        <w:jc w:val="both"/>
        <w:rPr>
          <w:rFonts w:ascii="Arial" w:hAnsi="Arial" w:cs="Arial"/>
          <w:bCs/>
        </w:rPr>
      </w:pPr>
    </w:p>
    <w:p w14:paraId="4165A49E" w14:textId="73692979" w:rsidR="008B2B47" w:rsidRDefault="008B2B47" w:rsidP="00DC54F7">
      <w:pPr>
        <w:spacing w:after="0" w:line="240" w:lineRule="auto"/>
        <w:jc w:val="both"/>
        <w:rPr>
          <w:rFonts w:ascii="Arial" w:hAnsi="Arial" w:cs="Arial"/>
          <w:bCs/>
        </w:rPr>
      </w:pPr>
    </w:p>
    <w:p w14:paraId="2468EC43" w14:textId="683C8FFE" w:rsidR="008B2B47" w:rsidRDefault="008B2B47" w:rsidP="00DC54F7">
      <w:pPr>
        <w:spacing w:after="0" w:line="240" w:lineRule="auto"/>
        <w:jc w:val="both"/>
        <w:rPr>
          <w:rFonts w:ascii="Arial" w:hAnsi="Arial" w:cs="Arial"/>
          <w:bCs/>
        </w:rPr>
      </w:pPr>
    </w:p>
    <w:p w14:paraId="766CF250" w14:textId="4C98EE9B" w:rsidR="008B2B47" w:rsidRDefault="008B2B47" w:rsidP="00DC54F7">
      <w:pPr>
        <w:spacing w:after="0" w:line="240" w:lineRule="auto"/>
        <w:jc w:val="both"/>
        <w:rPr>
          <w:rFonts w:ascii="Arial" w:hAnsi="Arial" w:cs="Arial"/>
          <w:bCs/>
        </w:rPr>
      </w:pPr>
    </w:p>
    <w:p w14:paraId="2206A0C7" w14:textId="7352BE6B" w:rsidR="008B2B47" w:rsidRDefault="008B2B47" w:rsidP="00DC54F7">
      <w:pPr>
        <w:spacing w:after="0" w:line="240" w:lineRule="auto"/>
        <w:jc w:val="both"/>
        <w:rPr>
          <w:rFonts w:ascii="Arial" w:hAnsi="Arial" w:cs="Arial"/>
          <w:bCs/>
        </w:rPr>
      </w:pPr>
    </w:p>
    <w:p w14:paraId="485FFDB1" w14:textId="25943BA8" w:rsidR="008B2B47" w:rsidRDefault="008B2B47" w:rsidP="00DC54F7">
      <w:pPr>
        <w:spacing w:after="0" w:line="240" w:lineRule="auto"/>
        <w:jc w:val="both"/>
        <w:rPr>
          <w:rFonts w:ascii="Arial" w:hAnsi="Arial" w:cs="Arial"/>
          <w:bCs/>
        </w:rPr>
      </w:pPr>
    </w:p>
    <w:p w14:paraId="40A6B347" w14:textId="5A1BE0D1" w:rsidR="008B2B47" w:rsidRDefault="008B2B47" w:rsidP="007E7CAE">
      <w:pPr>
        <w:jc w:val="both"/>
        <w:rPr>
          <w:rFonts w:ascii="Arial" w:hAnsi="Arial" w:cs="Arial"/>
          <w:bCs/>
        </w:rPr>
      </w:pPr>
      <w:r>
        <w:rPr>
          <w:rFonts w:ascii="Arial" w:hAnsi="Arial" w:cs="Arial"/>
          <w:bCs/>
        </w:rPr>
        <w:br w:type="page"/>
      </w:r>
    </w:p>
    <w:p w14:paraId="0DBA47F9" w14:textId="4F324169" w:rsidR="002451AB" w:rsidRPr="008B2B47" w:rsidRDefault="002451AB" w:rsidP="00DC54F7">
      <w:pPr>
        <w:spacing w:after="0" w:line="240" w:lineRule="auto"/>
        <w:jc w:val="both"/>
        <w:rPr>
          <w:rFonts w:ascii="Arial" w:hAnsi="Arial" w:cs="Arial"/>
          <w:b/>
          <w:sz w:val="24"/>
          <w:szCs w:val="24"/>
        </w:rPr>
      </w:pPr>
      <w:r w:rsidRPr="00537C16">
        <w:rPr>
          <w:rFonts w:ascii="Arial" w:hAnsi="Arial" w:cs="Arial"/>
          <w:b/>
          <w:sz w:val="24"/>
          <w:szCs w:val="24"/>
        </w:rPr>
        <w:lastRenderedPageBreak/>
        <w:t xml:space="preserve">Figure </w:t>
      </w:r>
      <w:r w:rsidR="00F45A03" w:rsidRPr="00537C16">
        <w:rPr>
          <w:rFonts w:ascii="Arial" w:hAnsi="Arial" w:cs="Arial"/>
          <w:b/>
          <w:sz w:val="24"/>
          <w:szCs w:val="24"/>
        </w:rPr>
        <w:t>5</w:t>
      </w:r>
      <w:r w:rsidRPr="00537C16">
        <w:rPr>
          <w:rFonts w:ascii="Arial" w:hAnsi="Arial" w:cs="Arial"/>
          <w:b/>
          <w:sz w:val="24"/>
          <w:szCs w:val="24"/>
        </w:rPr>
        <w:t>.</w:t>
      </w:r>
      <w:r w:rsidR="00F45A03" w:rsidRPr="00537C16">
        <w:rPr>
          <w:rFonts w:ascii="Arial" w:hAnsi="Arial" w:cs="Arial"/>
          <w:b/>
          <w:sz w:val="24"/>
          <w:szCs w:val="24"/>
        </w:rPr>
        <w:t>21</w:t>
      </w:r>
      <w:r w:rsidRPr="00537C16">
        <w:rPr>
          <w:rFonts w:ascii="Arial" w:hAnsi="Arial" w:cs="Arial"/>
          <w:b/>
          <w:sz w:val="24"/>
          <w:szCs w:val="24"/>
        </w:rPr>
        <w:t>: Reasons for not using a nearer pharmacy</w:t>
      </w:r>
    </w:p>
    <w:p w14:paraId="3E67D082" w14:textId="75488DD6" w:rsidR="002451AB" w:rsidRDefault="00E113BF" w:rsidP="00DC54F7">
      <w:pPr>
        <w:spacing w:after="0" w:line="240" w:lineRule="auto"/>
        <w:jc w:val="both"/>
        <w:rPr>
          <w:rFonts w:ascii="Arial" w:hAnsi="Arial" w:cs="Arial"/>
          <w:b/>
        </w:rPr>
      </w:pPr>
      <w:r>
        <w:rPr>
          <w:noProof/>
          <w:lang w:eastAsia="en-GB"/>
        </w:rPr>
        <w:drawing>
          <wp:inline distT="0" distB="0" distL="0" distR="0" wp14:anchorId="7B763284" wp14:editId="007CE1D3">
            <wp:extent cx="5522614" cy="2679826"/>
            <wp:effectExtent l="0" t="0" r="1905" b="6350"/>
            <wp:docPr id="226" name="Chart 22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D42A7A7-D5A8-4DB1-A312-7FAF7EDC9A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1434293C" w14:textId="77777777" w:rsidR="002451AB" w:rsidRDefault="002451AB" w:rsidP="00DC54F7">
      <w:pPr>
        <w:spacing w:after="0" w:line="240" w:lineRule="auto"/>
        <w:jc w:val="both"/>
        <w:rPr>
          <w:rFonts w:ascii="Arial" w:hAnsi="Arial" w:cs="Arial"/>
          <w:bCs/>
        </w:rPr>
      </w:pPr>
    </w:p>
    <w:p w14:paraId="301E9287" w14:textId="77777777" w:rsidR="002451AB" w:rsidRPr="008B2B47" w:rsidRDefault="002451AB" w:rsidP="00DC54F7">
      <w:pPr>
        <w:spacing w:after="0" w:line="240" w:lineRule="auto"/>
        <w:jc w:val="both"/>
        <w:rPr>
          <w:rFonts w:ascii="Arial" w:hAnsi="Arial" w:cs="Arial"/>
          <w:bCs/>
          <w:sz w:val="24"/>
          <w:szCs w:val="24"/>
        </w:rPr>
      </w:pPr>
      <w:r w:rsidRPr="008B2B47">
        <w:rPr>
          <w:rFonts w:ascii="Arial" w:hAnsi="Arial" w:cs="Arial"/>
          <w:bCs/>
          <w:sz w:val="24"/>
          <w:szCs w:val="24"/>
        </w:rPr>
        <w:t xml:space="preserve">Of the 29 people who selected other, the following comments were received: </w:t>
      </w:r>
    </w:p>
    <w:p w14:paraId="1FE81392" w14:textId="77777777" w:rsidR="002451AB" w:rsidRPr="008B2B47" w:rsidRDefault="002451AB" w:rsidP="00DC54F7">
      <w:pPr>
        <w:spacing w:after="0" w:line="240" w:lineRule="auto"/>
        <w:jc w:val="both"/>
        <w:rPr>
          <w:rFonts w:ascii="Arial" w:hAnsi="Arial" w:cs="Arial"/>
          <w:bCs/>
          <w:sz w:val="24"/>
          <w:szCs w:val="24"/>
        </w:rPr>
      </w:pPr>
    </w:p>
    <w:p w14:paraId="2543894E" w14:textId="77777777" w:rsidR="002451AB" w:rsidRPr="008B2B47" w:rsidRDefault="002451AB" w:rsidP="00DC54F7">
      <w:pPr>
        <w:spacing w:after="0" w:line="240" w:lineRule="auto"/>
        <w:jc w:val="both"/>
        <w:rPr>
          <w:rFonts w:ascii="Arial" w:hAnsi="Arial" w:cs="Arial"/>
          <w:bCs/>
          <w:sz w:val="24"/>
          <w:szCs w:val="24"/>
        </w:rPr>
      </w:pPr>
      <w:r w:rsidRPr="008B2B47">
        <w:rPr>
          <w:rFonts w:ascii="Arial" w:hAnsi="Arial" w:cs="Arial"/>
          <w:bCs/>
          <w:sz w:val="24"/>
          <w:szCs w:val="24"/>
        </w:rPr>
        <w:t>Five comments were about loyalty and / or being satisfied with the service received from the pharmacy they were using.</w:t>
      </w:r>
    </w:p>
    <w:p w14:paraId="2AF730D5" w14:textId="77777777" w:rsidR="002451AB" w:rsidRPr="008B2B47" w:rsidRDefault="002451AB" w:rsidP="00DC54F7">
      <w:pPr>
        <w:pStyle w:val="ListParagraph"/>
        <w:numPr>
          <w:ilvl w:val="0"/>
          <w:numId w:val="69"/>
        </w:numPr>
        <w:spacing w:after="0" w:line="240" w:lineRule="auto"/>
        <w:jc w:val="both"/>
        <w:rPr>
          <w:rFonts w:ascii="Arial" w:hAnsi="Arial" w:cs="Arial"/>
          <w:bCs/>
          <w:sz w:val="24"/>
          <w:szCs w:val="24"/>
        </w:rPr>
      </w:pPr>
      <w:r w:rsidRPr="008B2B47">
        <w:rPr>
          <w:rFonts w:ascii="Arial" w:eastAsia="Times New Roman" w:hAnsi="Arial" w:cs="Arial"/>
          <w:color w:val="000000"/>
          <w:sz w:val="24"/>
          <w:szCs w:val="24"/>
          <w:lang w:eastAsia="en-GB"/>
        </w:rPr>
        <w:t>“When I moved to the area the one I used was recommended so I have remained with them however the other was also very good on the occasions I have used it.”</w:t>
      </w:r>
    </w:p>
    <w:p w14:paraId="68191765" w14:textId="77777777" w:rsidR="002451AB" w:rsidRPr="008B2B47" w:rsidRDefault="002451AB" w:rsidP="00DC54F7">
      <w:pPr>
        <w:pStyle w:val="ListParagraph"/>
        <w:numPr>
          <w:ilvl w:val="0"/>
          <w:numId w:val="69"/>
        </w:numPr>
        <w:spacing w:after="0" w:line="240" w:lineRule="auto"/>
        <w:jc w:val="both"/>
        <w:rPr>
          <w:rFonts w:ascii="Arial" w:hAnsi="Arial" w:cs="Arial"/>
          <w:bCs/>
          <w:sz w:val="24"/>
          <w:szCs w:val="24"/>
        </w:rPr>
      </w:pPr>
      <w:r w:rsidRPr="008B2B47">
        <w:rPr>
          <w:rFonts w:ascii="Arial" w:eastAsia="Times New Roman" w:hAnsi="Arial" w:cs="Arial"/>
          <w:color w:val="000000"/>
          <w:sz w:val="24"/>
          <w:szCs w:val="24"/>
          <w:lang w:eastAsia="en-GB"/>
        </w:rPr>
        <w:t>“I moved house and am still within the catchment area for my GP and current pharmacy, so preferred not to change it as I like the staff and service, they know my medications (I take some unsual ones).”</w:t>
      </w:r>
    </w:p>
    <w:p w14:paraId="25A36A7D" w14:textId="77777777" w:rsidR="002451AB" w:rsidRPr="008B2B47" w:rsidRDefault="002451AB" w:rsidP="00DC54F7">
      <w:pPr>
        <w:pStyle w:val="ListParagraph"/>
        <w:numPr>
          <w:ilvl w:val="0"/>
          <w:numId w:val="69"/>
        </w:numPr>
        <w:spacing w:after="0" w:line="240" w:lineRule="auto"/>
        <w:jc w:val="both"/>
        <w:rPr>
          <w:rFonts w:ascii="Arial" w:hAnsi="Arial" w:cs="Arial"/>
          <w:bCs/>
          <w:sz w:val="24"/>
          <w:szCs w:val="24"/>
        </w:rPr>
      </w:pPr>
      <w:r w:rsidRPr="008B2B47">
        <w:rPr>
          <w:rFonts w:ascii="Arial" w:eastAsia="Times New Roman" w:hAnsi="Arial" w:cs="Arial"/>
          <w:color w:val="000000"/>
          <w:sz w:val="24"/>
          <w:szCs w:val="24"/>
          <w:lang w:eastAsia="en-GB"/>
        </w:rPr>
        <w:t>“I’ve always been happy with the one I use.”</w:t>
      </w:r>
    </w:p>
    <w:p w14:paraId="09390D5D" w14:textId="77777777" w:rsidR="002451AB" w:rsidRPr="008B2B47" w:rsidRDefault="002451AB" w:rsidP="00DC54F7">
      <w:pPr>
        <w:spacing w:after="0" w:line="240" w:lineRule="auto"/>
        <w:ind w:firstLineChars="200" w:firstLine="480"/>
        <w:jc w:val="both"/>
        <w:rPr>
          <w:rFonts w:ascii="Arial" w:eastAsia="Times New Roman" w:hAnsi="Arial" w:cs="Arial"/>
          <w:color w:val="000000"/>
          <w:sz w:val="24"/>
          <w:szCs w:val="24"/>
          <w:lang w:eastAsia="en-GB"/>
        </w:rPr>
      </w:pPr>
    </w:p>
    <w:p w14:paraId="6CC254FE" w14:textId="77777777" w:rsidR="002451AB" w:rsidRPr="008B2B47" w:rsidRDefault="002451AB" w:rsidP="00DC54F7">
      <w:pPr>
        <w:spacing w:after="0" w:line="240" w:lineRule="auto"/>
        <w:jc w:val="both"/>
        <w:rPr>
          <w:rFonts w:ascii="Arial" w:hAnsi="Arial" w:cs="Arial"/>
          <w:bCs/>
          <w:sz w:val="24"/>
          <w:szCs w:val="24"/>
        </w:rPr>
      </w:pPr>
      <w:r w:rsidRPr="008B2B47">
        <w:rPr>
          <w:rFonts w:ascii="Arial" w:hAnsi="Arial" w:cs="Arial"/>
          <w:bCs/>
          <w:sz w:val="24"/>
          <w:szCs w:val="24"/>
        </w:rPr>
        <w:t>Five comments were related to proximity of pharmacy to GP practice:</w:t>
      </w:r>
    </w:p>
    <w:p w14:paraId="7643748E" w14:textId="77777777" w:rsidR="002451AB" w:rsidRPr="008B2B47" w:rsidRDefault="002451AB" w:rsidP="00DC54F7">
      <w:pPr>
        <w:pStyle w:val="ListParagraph"/>
        <w:numPr>
          <w:ilvl w:val="0"/>
          <w:numId w:val="69"/>
        </w:numPr>
        <w:spacing w:after="0" w:line="240" w:lineRule="auto"/>
        <w:jc w:val="both"/>
        <w:rPr>
          <w:rFonts w:ascii="Arial" w:hAnsi="Arial" w:cs="Arial"/>
          <w:bCs/>
          <w:sz w:val="24"/>
          <w:szCs w:val="24"/>
        </w:rPr>
      </w:pPr>
      <w:r w:rsidRPr="008B2B47">
        <w:rPr>
          <w:rFonts w:ascii="Arial" w:hAnsi="Arial" w:cs="Arial"/>
          <w:bCs/>
          <w:sz w:val="24"/>
          <w:szCs w:val="24"/>
        </w:rPr>
        <w:t>“The pharmacy I do use is attached to my GP surgery so my script is passed to the pharmacy for me so it’s just easier to go there than the pharmacy nearest my home which is not attached to my GP.”</w:t>
      </w:r>
    </w:p>
    <w:p w14:paraId="14DB552A" w14:textId="77777777" w:rsidR="002451AB" w:rsidRPr="008B2B47" w:rsidRDefault="002451AB" w:rsidP="00DC54F7">
      <w:pPr>
        <w:pStyle w:val="ListParagraph"/>
        <w:numPr>
          <w:ilvl w:val="0"/>
          <w:numId w:val="69"/>
        </w:numPr>
        <w:spacing w:after="0" w:line="240" w:lineRule="auto"/>
        <w:jc w:val="both"/>
        <w:rPr>
          <w:rFonts w:ascii="Arial" w:hAnsi="Arial" w:cs="Arial"/>
          <w:bCs/>
          <w:sz w:val="24"/>
          <w:szCs w:val="24"/>
        </w:rPr>
      </w:pPr>
      <w:r w:rsidRPr="008B2B47">
        <w:rPr>
          <w:rFonts w:ascii="Arial" w:hAnsi="Arial" w:cs="Arial"/>
          <w:bCs/>
          <w:sz w:val="24"/>
          <w:szCs w:val="24"/>
        </w:rPr>
        <w:t>“It's further away from the doctor's.”</w:t>
      </w:r>
    </w:p>
    <w:p w14:paraId="3D5EDD30" w14:textId="77777777" w:rsidR="002451AB" w:rsidRPr="008B2B47" w:rsidRDefault="002451AB" w:rsidP="00DC54F7">
      <w:pPr>
        <w:spacing w:after="0" w:line="240" w:lineRule="auto"/>
        <w:jc w:val="both"/>
        <w:rPr>
          <w:rFonts w:ascii="Arial" w:hAnsi="Arial" w:cs="Arial"/>
          <w:bCs/>
          <w:sz w:val="24"/>
          <w:szCs w:val="24"/>
        </w:rPr>
      </w:pPr>
    </w:p>
    <w:p w14:paraId="7B58455D" w14:textId="77777777" w:rsidR="002451AB" w:rsidRPr="008B2B47" w:rsidRDefault="002451AB" w:rsidP="00DC54F7">
      <w:pPr>
        <w:spacing w:after="0" w:line="240" w:lineRule="auto"/>
        <w:jc w:val="both"/>
        <w:rPr>
          <w:rFonts w:ascii="Arial" w:hAnsi="Arial" w:cs="Arial"/>
          <w:bCs/>
          <w:sz w:val="24"/>
          <w:szCs w:val="24"/>
        </w:rPr>
      </w:pPr>
      <w:r w:rsidRPr="008B2B47">
        <w:rPr>
          <w:rFonts w:ascii="Arial" w:hAnsi="Arial" w:cs="Arial"/>
          <w:bCs/>
          <w:sz w:val="24"/>
          <w:szCs w:val="24"/>
        </w:rPr>
        <w:t>Three comments were about where the GP sends the prescription:</w:t>
      </w:r>
    </w:p>
    <w:p w14:paraId="0469F334" w14:textId="77777777" w:rsidR="002451AB" w:rsidRPr="008B2B47" w:rsidRDefault="002451AB" w:rsidP="00DC54F7">
      <w:pPr>
        <w:pStyle w:val="ListParagraph"/>
        <w:numPr>
          <w:ilvl w:val="0"/>
          <w:numId w:val="76"/>
        </w:numPr>
        <w:spacing w:after="0" w:line="240" w:lineRule="auto"/>
        <w:ind w:left="360"/>
        <w:jc w:val="both"/>
        <w:rPr>
          <w:rFonts w:ascii="Arial" w:hAnsi="Arial" w:cs="Arial"/>
          <w:bCs/>
          <w:sz w:val="24"/>
          <w:szCs w:val="24"/>
        </w:rPr>
      </w:pPr>
      <w:r w:rsidRPr="008B2B47">
        <w:rPr>
          <w:rFonts w:ascii="Arial" w:hAnsi="Arial" w:cs="Arial"/>
          <w:bCs/>
          <w:sz w:val="24"/>
          <w:szCs w:val="24"/>
        </w:rPr>
        <w:t>“My go [GP] sends my prescription there.”</w:t>
      </w:r>
      <w:r w:rsidRPr="008B2B47">
        <w:rPr>
          <w:rFonts w:ascii="Arial" w:hAnsi="Arial" w:cs="Arial"/>
          <w:bCs/>
          <w:sz w:val="24"/>
          <w:szCs w:val="24"/>
        </w:rPr>
        <w:tab/>
      </w:r>
      <w:r w:rsidRPr="008B2B47">
        <w:rPr>
          <w:rFonts w:ascii="Arial" w:hAnsi="Arial" w:cs="Arial"/>
          <w:bCs/>
          <w:sz w:val="24"/>
          <w:szCs w:val="24"/>
        </w:rPr>
        <w:tab/>
      </w:r>
      <w:r w:rsidRPr="008B2B47">
        <w:rPr>
          <w:rFonts w:ascii="Arial" w:hAnsi="Arial" w:cs="Arial"/>
          <w:bCs/>
          <w:sz w:val="24"/>
          <w:szCs w:val="24"/>
        </w:rPr>
        <w:tab/>
      </w:r>
      <w:r w:rsidRPr="008B2B47">
        <w:rPr>
          <w:rFonts w:ascii="Arial" w:hAnsi="Arial" w:cs="Arial"/>
          <w:bCs/>
          <w:sz w:val="24"/>
          <w:szCs w:val="24"/>
        </w:rPr>
        <w:tab/>
      </w:r>
      <w:r w:rsidRPr="008B2B47">
        <w:rPr>
          <w:rFonts w:ascii="Arial" w:hAnsi="Arial" w:cs="Arial"/>
          <w:bCs/>
          <w:sz w:val="24"/>
          <w:szCs w:val="24"/>
        </w:rPr>
        <w:tab/>
      </w:r>
    </w:p>
    <w:p w14:paraId="6FA3D373" w14:textId="77777777" w:rsidR="002451AB" w:rsidRPr="008B2B47" w:rsidRDefault="002451AB" w:rsidP="00DC54F7">
      <w:pPr>
        <w:pStyle w:val="ListParagraph"/>
        <w:numPr>
          <w:ilvl w:val="0"/>
          <w:numId w:val="76"/>
        </w:numPr>
        <w:spacing w:after="0" w:line="240" w:lineRule="auto"/>
        <w:ind w:left="360"/>
        <w:jc w:val="both"/>
        <w:rPr>
          <w:rFonts w:ascii="Arial" w:hAnsi="Arial" w:cs="Arial"/>
          <w:bCs/>
          <w:sz w:val="24"/>
          <w:szCs w:val="24"/>
        </w:rPr>
      </w:pPr>
      <w:r w:rsidRPr="008B2B47">
        <w:rPr>
          <w:rFonts w:ascii="Arial" w:hAnsi="Arial" w:cs="Arial"/>
          <w:bCs/>
          <w:sz w:val="24"/>
          <w:szCs w:val="24"/>
        </w:rPr>
        <w:t>“My doctors won't use it.”</w:t>
      </w:r>
      <w:r w:rsidRPr="008B2B47">
        <w:rPr>
          <w:rFonts w:ascii="Arial" w:hAnsi="Arial" w:cs="Arial"/>
          <w:bCs/>
          <w:sz w:val="24"/>
          <w:szCs w:val="24"/>
        </w:rPr>
        <w:tab/>
      </w:r>
      <w:r w:rsidRPr="008B2B47">
        <w:rPr>
          <w:rFonts w:ascii="Arial" w:hAnsi="Arial" w:cs="Arial"/>
          <w:bCs/>
          <w:sz w:val="24"/>
          <w:szCs w:val="24"/>
        </w:rPr>
        <w:tab/>
      </w:r>
      <w:r w:rsidRPr="008B2B47">
        <w:rPr>
          <w:rFonts w:ascii="Arial" w:hAnsi="Arial" w:cs="Arial"/>
          <w:bCs/>
          <w:sz w:val="24"/>
          <w:szCs w:val="24"/>
        </w:rPr>
        <w:tab/>
      </w:r>
    </w:p>
    <w:p w14:paraId="7AF3E081" w14:textId="77777777" w:rsidR="002451AB" w:rsidRPr="008B2B47" w:rsidRDefault="002451AB" w:rsidP="00DC54F7">
      <w:pPr>
        <w:spacing w:after="0" w:line="240" w:lineRule="auto"/>
        <w:jc w:val="both"/>
        <w:rPr>
          <w:rFonts w:ascii="Arial" w:hAnsi="Arial" w:cs="Arial"/>
          <w:bCs/>
          <w:sz w:val="24"/>
          <w:szCs w:val="24"/>
        </w:rPr>
      </w:pPr>
    </w:p>
    <w:p w14:paraId="78F8AD45" w14:textId="77777777" w:rsidR="002451AB" w:rsidRPr="008B2B47" w:rsidRDefault="002451AB" w:rsidP="00DC54F7">
      <w:pPr>
        <w:spacing w:after="0" w:line="240" w:lineRule="auto"/>
        <w:jc w:val="both"/>
        <w:rPr>
          <w:rFonts w:ascii="Arial" w:hAnsi="Arial" w:cs="Arial"/>
          <w:bCs/>
          <w:sz w:val="24"/>
          <w:szCs w:val="24"/>
        </w:rPr>
      </w:pPr>
      <w:r w:rsidRPr="008B2B47">
        <w:rPr>
          <w:rFonts w:ascii="Arial" w:hAnsi="Arial" w:cs="Arial"/>
          <w:bCs/>
          <w:sz w:val="24"/>
          <w:szCs w:val="24"/>
        </w:rPr>
        <w:t>Two comments related to opening times.</w:t>
      </w:r>
    </w:p>
    <w:p w14:paraId="771C2C5F" w14:textId="77777777" w:rsidR="002451AB" w:rsidRPr="008B2B47" w:rsidRDefault="002451AB" w:rsidP="00DC54F7">
      <w:pPr>
        <w:spacing w:after="0" w:line="240" w:lineRule="auto"/>
        <w:jc w:val="both"/>
        <w:rPr>
          <w:rFonts w:ascii="Arial" w:hAnsi="Arial" w:cs="Arial"/>
          <w:bCs/>
          <w:sz w:val="24"/>
          <w:szCs w:val="24"/>
        </w:rPr>
      </w:pPr>
      <w:r w:rsidRPr="008B2B47">
        <w:rPr>
          <w:rFonts w:ascii="Arial" w:hAnsi="Arial" w:cs="Arial"/>
          <w:bCs/>
          <w:sz w:val="24"/>
          <w:szCs w:val="24"/>
        </w:rPr>
        <w:t xml:space="preserve">“I only go elsewhere when its closed for lunch.” </w:t>
      </w:r>
    </w:p>
    <w:p w14:paraId="0EDF1F8B" w14:textId="77777777" w:rsidR="002451AB" w:rsidRPr="008B2B47" w:rsidRDefault="002451AB" w:rsidP="00DC54F7">
      <w:pPr>
        <w:spacing w:after="0" w:line="240" w:lineRule="auto"/>
        <w:jc w:val="both"/>
        <w:rPr>
          <w:rFonts w:ascii="Arial" w:hAnsi="Arial" w:cs="Arial"/>
          <w:bCs/>
          <w:sz w:val="24"/>
          <w:szCs w:val="24"/>
        </w:rPr>
      </w:pPr>
    </w:p>
    <w:p w14:paraId="20C9C1AF" w14:textId="77777777" w:rsidR="002451AB" w:rsidRPr="008B2B47" w:rsidRDefault="002451AB" w:rsidP="00DC54F7">
      <w:pPr>
        <w:spacing w:after="0" w:line="240" w:lineRule="auto"/>
        <w:jc w:val="both"/>
        <w:rPr>
          <w:rFonts w:ascii="Arial" w:hAnsi="Arial" w:cs="Arial"/>
          <w:sz w:val="24"/>
          <w:szCs w:val="24"/>
        </w:rPr>
      </w:pPr>
      <w:r w:rsidRPr="008B2B47">
        <w:rPr>
          <w:rFonts w:ascii="Arial" w:hAnsi="Arial" w:cs="Arial"/>
          <w:sz w:val="24"/>
          <w:szCs w:val="24"/>
        </w:rPr>
        <w:t xml:space="preserve">Eight comments mentioned the quality of service received such as the inefficiency of staff, mistakes made (one comment), prescriptions being ready on time, and the </w:t>
      </w:r>
      <w:r w:rsidRPr="008B2B47">
        <w:rPr>
          <w:rFonts w:ascii="Arial" w:hAnsi="Arial" w:cs="Arial"/>
          <w:bCs/>
          <w:sz w:val="24"/>
          <w:szCs w:val="24"/>
        </w:rPr>
        <w:t>pharmacy staff not being as approachable or as personable as the one they were choosing to use</w:t>
      </w:r>
      <w:r w:rsidRPr="008B2B47">
        <w:rPr>
          <w:rFonts w:ascii="Arial" w:hAnsi="Arial" w:cs="Arial"/>
          <w:sz w:val="24"/>
          <w:szCs w:val="24"/>
        </w:rPr>
        <w:t>:</w:t>
      </w:r>
      <w:r w:rsidRPr="008B2B47">
        <w:rPr>
          <w:rFonts w:ascii="Arial" w:hAnsi="Arial" w:cs="Arial"/>
          <w:bCs/>
          <w:sz w:val="24"/>
          <w:szCs w:val="24"/>
        </w:rPr>
        <w:tab/>
        <w:t xml:space="preserve"> </w:t>
      </w:r>
    </w:p>
    <w:p w14:paraId="7718142A" w14:textId="77777777" w:rsidR="002451AB" w:rsidRPr="008B2B47" w:rsidRDefault="002451AB" w:rsidP="00DC54F7">
      <w:pPr>
        <w:pStyle w:val="ListParagraph"/>
        <w:numPr>
          <w:ilvl w:val="0"/>
          <w:numId w:val="78"/>
        </w:numPr>
        <w:spacing w:after="0" w:line="240" w:lineRule="auto"/>
        <w:jc w:val="both"/>
        <w:rPr>
          <w:rFonts w:ascii="Arial" w:hAnsi="Arial" w:cs="Arial"/>
          <w:sz w:val="24"/>
          <w:szCs w:val="24"/>
        </w:rPr>
      </w:pPr>
      <w:r w:rsidRPr="008B2B47">
        <w:rPr>
          <w:rFonts w:ascii="Arial" w:hAnsi="Arial" w:cs="Arial"/>
          <w:bCs/>
          <w:sz w:val="24"/>
          <w:szCs w:val="24"/>
        </w:rPr>
        <w:t>“[Name of pharmacy] inefficient &amp; need customer service training.”</w:t>
      </w:r>
    </w:p>
    <w:p w14:paraId="71CA74EF" w14:textId="77777777" w:rsidR="002451AB" w:rsidRPr="008B2B47" w:rsidRDefault="002451AB" w:rsidP="00DC54F7">
      <w:pPr>
        <w:pStyle w:val="ListParagraph"/>
        <w:numPr>
          <w:ilvl w:val="0"/>
          <w:numId w:val="78"/>
        </w:numPr>
        <w:spacing w:after="0" w:line="240" w:lineRule="auto"/>
        <w:jc w:val="both"/>
        <w:rPr>
          <w:rFonts w:ascii="Arial" w:hAnsi="Arial" w:cs="Arial"/>
          <w:bCs/>
          <w:sz w:val="24"/>
          <w:szCs w:val="24"/>
        </w:rPr>
      </w:pPr>
      <w:r w:rsidRPr="008B2B47">
        <w:rPr>
          <w:rFonts w:ascii="Arial" w:hAnsi="Arial" w:cs="Arial"/>
          <w:bCs/>
          <w:sz w:val="24"/>
          <w:szCs w:val="24"/>
        </w:rPr>
        <w:t>“Have made mistakes on more than one occasion. Dangerous as life threatening medicines.”</w:t>
      </w:r>
    </w:p>
    <w:p w14:paraId="7EF4E164" w14:textId="77777777" w:rsidR="002451AB" w:rsidRPr="008B2B47" w:rsidRDefault="002451AB" w:rsidP="00DC54F7">
      <w:pPr>
        <w:pStyle w:val="ListParagraph"/>
        <w:numPr>
          <w:ilvl w:val="0"/>
          <w:numId w:val="78"/>
        </w:numPr>
        <w:spacing w:after="0" w:line="240" w:lineRule="auto"/>
        <w:jc w:val="both"/>
        <w:rPr>
          <w:rFonts w:ascii="Arial" w:hAnsi="Arial" w:cs="Arial"/>
          <w:bCs/>
          <w:sz w:val="24"/>
          <w:szCs w:val="24"/>
        </w:rPr>
      </w:pPr>
      <w:r w:rsidRPr="008B2B47">
        <w:rPr>
          <w:rFonts w:ascii="Arial" w:hAnsi="Arial" w:cs="Arial"/>
          <w:bCs/>
          <w:sz w:val="24"/>
          <w:szCs w:val="24"/>
        </w:rPr>
        <w:lastRenderedPageBreak/>
        <w:t>“I need to request the repeat prescription from my doctor every time I need it - the pharmacy don’t do it for me.”</w:t>
      </w:r>
    </w:p>
    <w:p w14:paraId="1377C12D" w14:textId="77777777" w:rsidR="002451AB" w:rsidRPr="008B2B47" w:rsidRDefault="002451AB" w:rsidP="00DC54F7">
      <w:pPr>
        <w:pStyle w:val="ListParagraph"/>
        <w:numPr>
          <w:ilvl w:val="0"/>
          <w:numId w:val="78"/>
        </w:numPr>
        <w:spacing w:after="0" w:line="240" w:lineRule="auto"/>
        <w:jc w:val="both"/>
        <w:rPr>
          <w:rFonts w:ascii="Arial" w:eastAsia="Times New Roman" w:hAnsi="Arial" w:cs="Arial"/>
          <w:color w:val="000000"/>
          <w:sz w:val="24"/>
          <w:szCs w:val="24"/>
          <w:lang w:eastAsia="en-GB"/>
        </w:rPr>
      </w:pPr>
      <w:r w:rsidRPr="008B2B47">
        <w:rPr>
          <w:rFonts w:ascii="Arial" w:eastAsia="Times New Roman" w:hAnsi="Arial" w:cs="Arial"/>
          <w:color w:val="000000"/>
          <w:sz w:val="24"/>
          <w:szCs w:val="24"/>
          <w:lang w:eastAsia="en-GB"/>
        </w:rPr>
        <w:t>Confined spaces in many pharmacies and the staff don’t always treat you with respect and dignity.”</w:t>
      </w:r>
    </w:p>
    <w:p w14:paraId="743A9AF5" w14:textId="77777777" w:rsidR="002451AB" w:rsidRPr="008B2B47" w:rsidRDefault="002451AB" w:rsidP="00DC54F7">
      <w:pPr>
        <w:spacing w:after="0" w:line="240" w:lineRule="auto"/>
        <w:jc w:val="both"/>
        <w:rPr>
          <w:rFonts w:ascii="Arial" w:hAnsi="Arial" w:cs="Arial"/>
          <w:bCs/>
          <w:sz w:val="24"/>
          <w:szCs w:val="24"/>
        </w:rPr>
      </w:pPr>
      <w:r w:rsidRPr="008B2B47">
        <w:rPr>
          <w:rFonts w:ascii="Arial" w:hAnsi="Arial" w:cs="Arial"/>
          <w:bCs/>
          <w:sz w:val="24"/>
          <w:szCs w:val="24"/>
        </w:rPr>
        <w:t>One comment received was particularly related to lack of a stock item held at the pharmacy:</w:t>
      </w:r>
    </w:p>
    <w:p w14:paraId="0757B161" w14:textId="77777777" w:rsidR="002451AB" w:rsidRPr="008B2B47" w:rsidRDefault="002451AB" w:rsidP="00DC54F7">
      <w:pPr>
        <w:pStyle w:val="ListParagraph"/>
        <w:numPr>
          <w:ilvl w:val="0"/>
          <w:numId w:val="78"/>
        </w:numPr>
        <w:spacing w:after="0" w:line="240" w:lineRule="auto"/>
        <w:jc w:val="both"/>
        <w:rPr>
          <w:rFonts w:ascii="Arial" w:hAnsi="Arial" w:cs="Arial"/>
          <w:bCs/>
          <w:sz w:val="24"/>
          <w:szCs w:val="24"/>
        </w:rPr>
      </w:pPr>
      <w:r w:rsidRPr="008B2B47">
        <w:rPr>
          <w:rFonts w:ascii="Arial" w:hAnsi="Arial" w:cs="Arial"/>
          <w:bCs/>
          <w:sz w:val="24"/>
          <w:szCs w:val="24"/>
        </w:rPr>
        <w:t>“Altho within walking distance it means 2 visits as one of my monthly items is not held in stock. Other pharmacies carry this drug.”</w:t>
      </w:r>
    </w:p>
    <w:p w14:paraId="4A3C79D4" w14:textId="77777777" w:rsidR="002451AB" w:rsidRPr="008B2B47" w:rsidRDefault="002451AB" w:rsidP="00DC54F7">
      <w:pPr>
        <w:spacing w:after="0" w:line="240" w:lineRule="auto"/>
        <w:jc w:val="both"/>
        <w:rPr>
          <w:rFonts w:ascii="Arial" w:hAnsi="Arial" w:cs="Arial"/>
          <w:bCs/>
          <w:sz w:val="24"/>
          <w:szCs w:val="24"/>
          <w:highlight w:val="yellow"/>
        </w:rPr>
      </w:pPr>
    </w:p>
    <w:p w14:paraId="0D1A9E93" w14:textId="77777777" w:rsidR="002451AB" w:rsidRPr="008B2B47" w:rsidRDefault="002451AB" w:rsidP="00DC54F7">
      <w:pPr>
        <w:spacing w:after="0" w:line="240" w:lineRule="auto"/>
        <w:jc w:val="both"/>
        <w:rPr>
          <w:rFonts w:ascii="Arial" w:hAnsi="Arial" w:cs="Arial"/>
          <w:sz w:val="24"/>
          <w:szCs w:val="24"/>
        </w:rPr>
      </w:pPr>
      <w:r w:rsidRPr="008B2B47">
        <w:rPr>
          <w:rFonts w:ascii="Arial" w:hAnsi="Arial" w:cs="Arial"/>
          <w:sz w:val="24"/>
          <w:szCs w:val="24"/>
        </w:rPr>
        <w:t xml:space="preserve">Two comments were about pharmacies being busy: </w:t>
      </w:r>
    </w:p>
    <w:p w14:paraId="514217BC" w14:textId="77777777" w:rsidR="002451AB" w:rsidRPr="008B2B47" w:rsidRDefault="002451AB" w:rsidP="00DC54F7">
      <w:pPr>
        <w:pStyle w:val="ListParagraph"/>
        <w:numPr>
          <w:ilvl w:val="0"/>
          <w:numId w:val="69"/>
        </w:numPr>
        <w:spacing w:after="0" w:line="240" w:lineRule="auto"/>
        <w:jc w:val="both"/>
        <w:rPr>
          <w:rFonts w:ascii="Arial" w:hAnsi="Arial" w:cs="Arial"/>
          <w:sz w:val="24"/>
          <w:szCs w:val="24"/>
        </w:rPr>
      </w:pPr>
      <w:r w:rsidRPr="008B2B47">
        <w:rPr>
          <w:rFonts w:ascii="Arial" w:eastAsia="Times New Roman" w:hAnsi="Arial" w:cs="Arial"/>
          <w:color w:val="000000"/>
          <w:sz w:val="24"/>
          <w:szCs w:val="24"/>
          <w:lang w:eastAsia="en-GB"/>
        </w:rPr>
        <w:t xml:space="preserve">“Very busy, have to wait a long time.” </w:t>
      </w:r>
    </w:p>
    <w:p w14:paraId="6F95792F" w14:textId="77777777" w:rsidR="002451AB" w:rsidRPr="008B2B47" w:rsidRDefault="002451AB" w:rsidP="00DC54F7">
      <w:pPr>
        <w:spacing w:after="0" w:line="240" w:lineRule="auto"/>
        <w:jc w:val="both"/>
        <w:rPr>
          <w:rFonts w:ascii="Arial" w:hAnsi="Arial" w:cs="Arial"/>
          <w:sz w:val="24"/>
          <w:szCs w:val="24"/>
        </w:rPr>
      </w:pPr>
    </w:p>
    <w:p w14:paraId="545703DF" w14:textId="77777777" w:rsidR="002451AB" w:rsidRPr="008B2B47" w:rsidRDefault="002451AB" w:rsidP="00DC54F7">
      <w:pPr>
        <w:spacing w:after="0" w:line="240" w:lineRule="auto"/>
        <w:jc w:val="both"/>
        <w:rPr>
          <w:rFonts w:ascii="Arial" w:hAnsi="Arial" w:cs="Arial"/>
          <w:sz w:val="24"/>
          <w:szCs w:val="24"/>
        </w:rPr>
      </w:pPr>
      <w:r w:rsidRPr="008B2B47">
        <w:rPr>
          <w:rFonts w:ascii="Arial" w:hAnsi="Arial" w:cs="Arial"/>
          <w:sz w:val="24"/>
          <w:szCs w:val="24"/>
        </w:rPr>
        <w:t>Two comments were about personal service:</w:t>
      </w:r>
    </w:p>
    <w:p w14:paraId="293C6F55" w14:textId="77777777" w:rsidR="002451AB" w:rsidRPr="008B2B47" w:rsidRDefault="002451AB" w:rsidP="00DC54F7">
      <w:pPr>
        <w:pStyle w:val="ListParagraph"/>
        <w:numPr>
          <w:ilvl w:val="0"/>
          <w:numId w:val="69"/>
        </w:numPr>
        <w:spacing w:after="0" w:line="240" w:lineRule="auto"/>
        <w:jc w:val="both"/>
        <w:rPr>
          <w:rFonts w:ascii="Arial" w:hAnsi="Arial" w:cs="Arial"/>
          <w:sz w:val="24"/>
          <w:szCs w:val="24"/>
        </w:rPr>
      </w:pPr>
      <w:r w:rsidRPr="008B2B47">
        <w:rPr>
          <w:rFonts w:ascii="Arial" w:hAnsi="Arial" w:cs="Arial"/>
          <w:sz w:val="24"/>
          <w:szCs w:val="24"/>
        </w:rPr>
        <w:t>“Part if a chain with no sense of community.”</w:t>
      </w:r>
    </w:p>
    <w:p w14:paraId="0E87EA3F" w14:textId="77777777" w:rsidR="002451AB" w:rsidRPr="008B2B47" w:rsidRDefault="002451AB" w:rsidP="00DC54F7">
      <w:pPr>
        <w:pStyle w:val="ListParagraph"/>
        <w:numPr>
          <w:ilvl w:val="0"/>
          <w:numId w:val="69"/>
        </w:numPr>
        <w:spacing w:after="0" w:line="240" w:lineRule="auto"/>
        <w:jc w:val="both"/>
        <w:rPr>
          <w:rFonts w:ascii="Arial" w:hAnsi="Arial" w:cs="Arial"/>
          <w:sz w:val="24"/>
          <w:szCs w:val="24"/>
        </w:rPr>
      </w:pPr>
      <w:r w:rsidRPr="008B2B47">
        <w:rPr>
          <w:rFonts w:ascii="Arial" w:hAnsi="Arial" w:cs="Arial"/>
          <w:sz w:val="24"/>
          <w:szCs w:val="24"/>
        </w:rPr>
        <w:t>“No personal service.”</w:t>
      </w:r>
    </w:p>
    <w:p w14:paraId="0F32289D" w14:textId="77777777" w:rsidR="002451AB" w:rsidRPr="008B2B47" w:rsidRDefault="002451AB" w:rsidP="00DC54F7">
      <w:pPr>
        <w:spacing w:after="0" w:line="240" w:lineRule="auto"/>
        <w:jc w:val="both"/>
        <w:rPr>
          <w:rFonts w:ascii="Arial" w:hAnsi="Arial" w:cs="Arial"/>
          <w:sz w:val="24"/>
          <w:szCs w:val="24"/>
        </w:rPr>
      </w:pPr>
    </w:p>
    <w:p w14:paraId="124CCB95" w14:textId="77777777" w:rsidR="002451AB" w:rsidRPr="008B2B47" w:rsidRDefault="002451AB" w:rsidP="00DC54F7">
      <w:pPr>
        <w:spacing w:after="0" w:line="240" w:lineRule="auto"/>
        <w:jc w:val="both"/>
        <w:rPr>
          <w:rFonts w:ascii="Arial" w:hAnsi="Arial" w:cs="Arial"/>
          <w:sz w:val="24"/>
          <w:szCs w:val="24"/>
        </w:rPr>
      </w:pPr>
      <w:r w:rsidRPr="008B2B47">
        <w:rPr>
          <w:rFonts w:ascii="Arial" w:hAnsi="Arial" w:cs="Arial"/>
          <w:sz w:val="24"/>
          <w:szCs w:val="24"/>
        </w:rPr>
        <w:t>Two comments related directly to the Coronavirus (COVID-19) pandemic situation and staff not wearing face masks:</w:t>
      </w:r>
    </w:p>
    <w:p w14:paraId="272ABD9D" w14:textId="0E6C0B7A" w:rsidR="002451AB" w:rsidRPr="008B2B47" w:rsidRDefault="002451AB" w:rsidP="00DC54F7">
      <w:pPr>
        <w:pStyle w:val="ListParagraph"/>
        <w:numPr>
          <w:ilvl w:val="0"/>
          <w:numId w:val="77"/>
        </w:numPr>
        <w:spacing w:after="0" w:line="240" w:lineRule="auto"/>
        <w:jc w:val="both"/>
        <w:rPr>
          <w:rFonts w:ascii="Arial" w:hAnsi="Arial" w:cs="Arial"/>
          <w:bCs/>
          <w:sz w:val="24"/>
          <w:szCs w:val="24"/>
        </w:rPr>
      </w:pPr>
      <w:r w:rsidRPr="008B2B47">
        <w:rPr>
          <w:rFonts w:ascii="Arial" w:hAnsi="Arial" w:cs="Arial"/>
          <w:bCs/>
          <w:sz w:val="24"/>
          <w:szCs w:val="24"/>
        </w:rPr>
        <w:t xml:space="preserve">“Staff not wearing face masks behind the counter. Visors have been proven to offer </w:t>
      </w:r>
      <w:r w:rsidR="00540D6F" w:rsidRPr="008B2B47">
        <w:rPr>
          <w:rFonts w:ascii="Arial" w:hAnsi="Arial" w:cs="Arial"/>
          <w:bCs/>
          <w:sz w:val="24"/>
          <w:szCs w:val="24"/>
        </w:rPr>
        <w:t>little</w:t>
      </w:r>
      <w:r w:rsidRPr="008B2B47">
        <w:rPr>
          <w:rFonts w:ascii="Arial" w:hAnsi="Arial" w:cs="Arial"/>
          <w:bCs/>
          <w:sz w:val="24"/>
          <w:szCs w:val="24"/>
        </w:rPr>
        <w:t xml:space="preserve"> or no protection and users of a pharmacy should be safe in Knowledge that all PPE is being worn. Last time there were two people in no masks!” </w:t>
      </w:r>
    </w:p>
    <w:p w14:paraId="409315E8" w14:textId="77777777" w:rsidR="001E383B" w:rsidRDefault="001E383B" w:rsidP="00DC54F7">
      <w:pPr>
        <w:jc w:val="both"/>
        <w:rPr>
          <w:rFonts w:ascii="Arial" w:eastAsiaTheme="majorEastAsia" w:hAnsi="Arial" w:cs="Arial"/>
          <w:b/>
          <w:bCs/>
          <w:sz w:val="28"/>
          <w:szCs w:val="28"/>
        </w:rPr>
      </w:pPr>
      <w:r>
        <w:rPr>
          <w:rFonts w:cs="Arial"/>
        </w:rPr>
        <w:br w:type="page"/>
      </w:r>
    </w:p>
    <w:p w14:paraId="65BC4350" w14:textId="1636642D" w:rsidR="0036601B" w:rsidRPr="00A10850" w:rsidRDefault="0036601B" w:rsidP="00DC54F7">
      <w:pPr>
        <w:pStyle w:val="Heading1"/>
        <w:spacing w:before="0" w:line="240" w:lineRule="auto"/>
        <w:jc w:val="both"/>
        <w:rPr>
          <w:rFonts w:cs="Arial"/>
          <w:color w:val="auto"/>
        </w:rPr>
      </w:pPr>
      <w:bookmarkStart w:id="33" w:name="_Toc81585100"/>
      <w:r w:rsidRPr="00A10850">
        <w:rPr>
          <w:rFonts w:cs="Arial"/>
          <w:color w:val="auto"/>
        </w:rPr>
        <w:lastRenderedPageBreak/>
        <w:t>6 Other NHS services</w:t>
      </w:r>
      <w:bookmarkEnd w:id="33"/>
    </w:p>
    <w:p w14:paraId="026F52B2" w14:textId="77777777" w:rsidR="0036601B" w:rsidRPr="00A10850" w:rsidRDefault="0036601B" w:rsidP="00DC54F7">
      <w:pPr>
        <w:spacing w:after="0" w:line="240" w:lineRule="auto"/>
        <w:contextualSpacing/>
        <w:jc w:val="both"/>
        <w:rPr>
          <w:rFonts w:ascii="Arial" w:hAnsi="Arial" w:cs="Arial"/>
        </w:rPr>
      </w:pPr>
    </w:p>
    <w:p w14:paraId="43004AF7" w14:textId="77777777" w:rsidR="00A31C5B" w:rsidRPr="008B2B47" w:rsidRDefault="00A31C5B" w:rsidP="00DC54F7">
      <w:pPr>
        <w:spacing w:after="0" w:line="240" w:lineRule="auto"/>
        <w:contextualSpacing/>
        <w:jc w:val="both"/>
        <w:rPr>
          <w:rFonts w:ascii="Arial" w:hAnsi="Arial" w:cs="Arial"/>
          <w:sz w:val="24"/>
          <w:szCs w:val="24"/>
        </w:rPr>
      </w:pPr>
      <w:r w:rsidRPr="008B2B47">
        <w:rPr>
          <w:rFonts w:ascii="Arial" w:hAnsi="Arial" w:cs="Arial"/>
          <w:sz w:val="24"/>
          <w:szCs w:val="24"/>
        </w:rPr>
        <w:t>The following NHS services are deemed, by Cardiff and Vale University Health Board, to affect the need for pharmaceutical services within its area:</w:t>
      </w:r>
    </w:p>
    <w:p w14:paraId="7D48C1F7" w14:textId="77777777" w:rsidR="00A31C5B" w:rsidRPr="008B2B47" w:rsidRDefault="00A31C5B" w:rsidP="00DC54F7">
      <w:pPr>
        <w:spacing w:after="0" w:line="240" w:lineRule="auto"/>
        <w:contextualSpacing/>
        <w:jc w:val="both"/>
        <w:rPr>
          <w:rFonts w:ascii="Arial" w:hAnsi="Arial" w:cs="Arial"/>
          <w:sz w:val="24"/>
          <w:szCs w:val="24"/>
        </w:rPr>
      </w:pPr>
    </w:p>
    <w:p w14:paraId="6B461192" w14:textId="77777777" w:rsidR="00A31C5B" w:rsidRPr="008B2B47" w:rsidRDefault="00A31C5B" w:rsidP="00DC54F7">
      <w:pPr>
        <w:numPr>
          <w:ilvl w:val="0"/>
          <w:numId w:val="42"/>
        </w:numPr>
        <w:spacing w:after="0" w:line="240" w:lineRule="auto"/>
        <w:contextualSpacing/>
        <w:jc w:val="both"/>
        <w:rPr>
          <w:rFonts w:ascii="Arial" w:hAnsi="Arial" w:cs="Arial"/>
          <w:sz w:val="24"/>
          <w:szCs w:val="24"/>
        </w:rPr>
      </w:pPr>
      <w:r w:rsidRPr="008B2B47">
        <w:rPr>
          <w:rFonts w:ascii="Arial" w:hAnsi="Arial" w:cs="Arial"/>
          <w:sz w:val="24"/>
          <w:szCs w:val="24"/>
        </w:rPr>
        <w:t>Hospital pharmacies – reduce the demand for the dispensing essential service as prescriptions written in hospitals are dispensed by the hospital pharmacy service.</w:t>
      </w:r>
    </w:p>
    <w:p w14:paraId="7A1CFD28" w14:textId="77777777" w:rsidR="00A31C5B" w:rsidRPr="008B2B47" w:rsidRDefault="00A31C5B" w:rsidP="00DC54F7">
      <w:pPr>
        <w:numPr>
          <w:ilvl w:val="0"/>
          <w:numId w:val="42"/>
        </w:numPr>
        <w:spacing w:after="0" w:line="240" w:lineRule="auto"/>
        <w:contextualSpacing/>
        <w:jc w:val="both"/>
        <w:rPr>
          <w:rFonts w:ascii="Arial" w:hAnsi="Arial" w:cs="Arial"/>
          <w:sz w:val="24"/>
          <w:szCs w:val="24"/>
        </w:rPr>
      </w:pPr>
      <w:r w:rsidRPr="008B2B47">
        <w:rPr>
          <w:rFonts w:ascii="Arial" w:hAnsi="Arial" w:cs="Arial"/>
          <w:sz w:val="24"/>
          <w:szCs w:val="24"/>
        </w:rPr>
        <w:t>Personal administration of items by GPs – similar to hospital pharmacies, this also reduces the demand for the dispensing essential service.  Items are sourced and personally administered by GPs and other clinicians at the practice thus saving patients having to take a prescription to a pharmacy, for example for a vaccination, in order to then return with the vaccine to the practice so that it may be administered.</w:t>
      </w:r>
    </w:p>
    <w:p w14:paraId="4528CFC2" w14:textId="232C0F49" w:rsidR="00A31C5B" w:rsidRPr="008B2B47" w:rsidRDefault="00A31C5B" w:rsidP="00DC54F7">
      <w:pPr>
        <w:numPr>
          <w:ilvl w:val="0"/>
          <w:numId w:val="42"/>
        </w:numPr>
        <w:spacing w:after="0" w:line="240" w:lineRule="auto"/>
        <w:contextualSpacing/>
        <w:jc w:val="both"/>
        <w:rPr>
          <w:rFonts w:ascii="Arial" w:hAnsi="Arial" w:cs="Arial"/>
          <w:sz w:val="24"/>
          <w:szCs w:val="24"/>
        </w:rPr>
      </w:pPr>
      <w:r w:rsidRPr="008B2B47">
        <w:rPr>
          <w:rFonts w:ascii="Arial" w:hAnsi="Arial" w:cs="Arial"/>
          <w:sz w:val="24"/>
          <w:szCs w:val="24"/>
        </w:rPr>
        <w:t>Urgent Primary Care - Out of Hours Service (CAV24/7) – whether a patient is given a full or part course of treatment after being seen by the Out of Hours Service or the Minor Injuries Unit at Barry Hospital, will depend on the nature of their condition.  This service will therefore affect the need for pharmaceutical services, in particular the essential service of dispensing. Furthermore, a</w:t>
      </w:r>
      <w:r w:rsidRPr="008B2B47">
        <w:rPr>
          <w:rFonts w:ascii="Arial" w:hAnsi="Arial" w:cs="Arial"/>
          <w:sz w:val="24"/>
          <w:szCs w:val="24"/>
          <w:lang w:val="en"/>
        </w:rPr>
        <w:t>s patients are directed to the right services through the one call system, this also has the potential to increase the need for all pharmaceutical services.</w:t>
      </w:r>
    </w:p>
    <w:p w14:paraId="49B7126D" w14:textId="77777777" w:rsidR="00A31C5B" w:rsidRPr="008B2B47" w:rsidRDefault="00A31C5B" w:rsidP="00DC54F7">
      <w:pPr>
        <w:numPr>
          <w:ilvl w:val="0"/>
          <w:numId w:val="42"/>
        </w:numPr>
        <w:spacing w:after="0" w:line="240" w:lineRule="auto"/>
        <w:contextualSpacing/>
        <w:jc w:val="both"/>
        <w:rPr>
          <w:rFonts w:ascii="Arial" w:hAnsi="Arial" w:cs="Arial"/>
          <w:sz w:val="24"/>
          <w:szCs w:val="24"/>
        </w:rPr>
      </w:pPr>
      <w:r w:rsidRPr="008B2B47">
        <w:rPr>
          <w:rFonts w:ascii="Arial" w:hAnsi="Arial" w:cs="Arial"/>
          <w:sz w:val="24"/>
          <w:szCs w:val="24"/>
        </w:rPr>
        <w:t xml:space="preserve">Prison pharmacies - reduce the demand for the dispensing of essential service as prescriptions written in </w:t>
      </w:r>
      <w:r w:rsidRPr="008B2B47">
        <w:rPr>
          <w:rFonts w:ascii="Arial" w:hAnsi="Arial" w:cs="Arial"/>
          <w:sz w:val="24"/>
          <w:szCs w:val="24"/>
          <w:shd w:val="clear" w:color="auto" w:fill="FFFFFF"/>
        </w:rPr>
        <w:t xml:space="preserve">HMP Cardiff </w:t>
      </w:r>
      <w:r w:rsidRPr="008B2B47">
        <w:rPr>
          <w:rFonts w:ascii="Arial" w:hAnsi="Arial" w:cs="Arial"/>
          <w:sz w:val="24"/>
          <w:szCs w:val="24"/>
        </w:rPr>
        <w:t>prison are not dispensed by community pharmacies or dispensing appliance contractors.</w:t>
      </w:r>
    </w:p>
    <w:p w14:paraId="0F4ACE58" w14:textId="77777777" w:rsidR="00A31C5B" w:rsidRPr="008B2B47" w:rsidRDefault="00A31C5B" w:rsidP="00DC54F7">
      <w:pPr>
        <w:pStyle w:val="ListParagraph"/>
        <w:numPr>
          <w:ilvl w:val="0"/>
          <w:numId w:val="42"/>
        </w:numPr>
        <w:spacing w:after="0" w:line="240" w:lineRule="auto"/>
        <w:jc w:val="both"/>
        <w:rPr>
          <w:rFonts w:ascii="Arial" w:hAnsi="Arial" w:cs="Arial"/>
          <w:sz w:val="24"/>
          <w:szCs w:val="24"/>
        </w:rPr>
      </w:pPr>
      <w:r w:rsidRPr="008B2B47">
        <w:rPr>
          <w:rFonts w:ascii="Arial" w:hAnsi="Arial" w:cs="Arial"/>
          <w:sz w:val="24"/>
          <w:szCs w:val="24"/>
        </w:rPr>
        <w:t xml:space="preserve">Independent prescribers – are likely to increase in number over the next five years, which may have a subsequent effect on the need for pharmaceutical services, in particular the essential service of dispensing, as more patients are treated. </w:t>
      </w:r>
    </w:p>
    <w:p w14:paraId="43DACB47" w14:textId="77777777" w:rsidR="00A31C5B" w:rsidRPr="008B2B47" w:rsidRDefault="00A31C5B" w:rsidP="00DC54F7">
      <w:pPr>
        <w:pStyle w:val="ListParagraph"/>
        <w:numPr>
          <w:ilvl w:val="0"/>
          <w:numId w:val="42"/>
        </w:numPr>
        <w:spacing w:after="0" w:line="240" w:lineRule="auto"/>
        <w:jc w:val="both"/>
        <w:rPr>
          <w:rFonts w:ascii="Arial" w:hAnsi="Arial" w:cs="Arial"/>
          <w:sz w:val="24"/>
          <w:szCs w:val="24"/>
        </w:rPr>
      </w:pPr>
      <w:r w:rsidRPr="008B2B47">
        <w:rPr>
          <w:rFonts w:ascii="Arial" w:hAnsi="Arial" w:cs="Arial"/>
          <w:sz w:val="24"/>
          <w:szCs w:val="24"/>
        </w:rPr>
        <w:t xml:space="preserve">The </w:t>
      </w:r>
      <w:r w:rsidRPr="008B2B47">
        <w:rPr>
          <w:rStyle w:val="Strong"/>
          <w:rFonts w:ascii="Arial" w:hAnsi="Arial" w:cs="Arial"/>
          <w:b w:val="0"/>
          <w:bCs w:val="0"/>
          <w:sz w:val="24"/>
          <w:szCs w:val="24"/>
          <w:shd w:val="clear" w:color="auto" w:fill="FFFFFF"/>
        </w:rPr>
        <w:t>Online Non Prescription Ordering Service</w:t>
      </w:r>
      <w:r w:rsidRPr="008B2B47">
        <w:rPr>
          <w:rStyle w:val="Strong"/>
          <w:rFonts w:ascii="Arial" w:hAnsi="Arial" w:cs="Arial"/>
          <w:sz w:val="24"/>
          <w:szCs w:val="24"/>
          <w:shd w:val="clear" w:color="auto" w:fill="FFFFFF"/>
        </w:rPr>
        <w:t xml:space="preserve"> </w:t>
      </w:r>
      <w:r w:rsidRPr="008B2B47">
        <w:rPr>
          <w:rStyle w:val="Strong"/>
          <w:rFonts w:ascii="Arial" w:hAnsi="Arial" w:cs="Arial"/>
          <w:color w:val="111111"/>
          <w:sz w:val="24"/>
          <w:szCs w:val="24"/>
          <w:shd w:val="clear" w:color="auto" w:fill="FFFFFF"/>
        </w:rPr>
        <w:t>(</w:t>
      </w:r>
      <w:r w:rsidRPr="008B2B47">
        <w:rPr>
          <w:rFonts w:ascii="Arial" w:hAnsi="Arial" w:cs="Arial"/>
          <w:sz w:val="24"/>
          <w:szCs w:val="24"/>
          <w:lang w:val="en"/>
        </w:rPr>
        <w:t xml:space="preserve">ONPOS) dressings system – this will reduce the need for dressings on prescriptions for many patients and therefore the demand for the dispensing essential service. However, non-formulary dressings will still need to be prescribed. </w:t>
      </w:r>
    </w:p>
    <w:p w14:paraId="3BB53D4F" w14:textId="77777777" w:rsidR="00A31C5B" w:rsidRPr="008B2B47" w:rsidRDefault="00A31C5B" w:rsidP="00DC54F7">
      <w:pPr>
        <w:pStyle w:val="ListParagraph"/>
        <w:spacing w:after="0" w:line="240" w:lineRule="auto"/>
        <w:jc w:val="both"/>
        <w:rPr>
          <w:rFonts w:ascii="Arial" w:hAnsi="Arial" w:cs="Arial"/>
          <w:sz w:val="24"/>
          <w:szCs w:val="24"/>
        </w:rPr>
      </w:pPr>
    </w:p>
    <w:p w14:paraId="32FDC35C" w14:textId="77777777" w:rsidR="00A31C5B" w:rsidRPr="00A10850" w:rsidRDefault="00A31C5B" w:rsidP="00DC54F7">
      <w:pPr>
        <w:pStyle w:val="ListParagraph"/>
        <w:spacing w:after="0" w:line="240" w:lineRule="auto"/>
        <w:jc w:val="both"/>
        <w:rPr>
          <w:rFonts w:ascii="Arial" w:hAnsi="Arial" w:cs="Arial"/>
        </w:rPr>
      </w:pPr>
    </w:p>
    <w:p w14:paraId="4C3C7B16" w14:textId="77777777" w:rsidR="00A31C5B" w:rsidRDefault="00A31C5B" w:rsidP="00DC54F7">
      <w:pPr>
        <w:spacing w:after="0" w:line="240" w:lineRule="auto"/>
        <w:jc w:val="both"/>
        <w:rPr>
          <w:rFonts w:ascii="Arial" w:hAnsi="Arial" w:cs="Arial"/>
          <w:b/>
          <w:sz w:val="26"/>
          <w:szCs w:val="26"/>
        </w:rPr>
      </w:pPr>
      <w:r w:rsidRPr="00A10850">
        <w:rPr>
          <w:rFonts w:ascii="Arial" w:hAnsi="Arial" w:cs="Arial"/>
          <w:b/>
          <w:sz w:val="26"/>
          <w:szCs w:val="26"/>
        </w:rPr>
        <w:t>6.1 Hospital pharmacies</w:t>
      </w:r>
    </w:p>
    <w:p w14:paraId="474ACC97" w14:textId="77777777" w:rsidR="00A31C5B" w:rsidRDefault="00A31C5B" w:rsidP="00DC54F7">
      <w:pPr>
        <w:spacing w:after="0" w:line="240" w:lineRule="auto"/>
        <w:jc w:val="both"/>
        <w:rPr>
          <w:rFonts w:ascii="Arial" w:hAnsi="Arial" w:cs="Arial"/>
          <w:b/>
          <w:sz w:val="26"/>
          <w:szCs w:val="26"/>
        </w:rPr>
      </w:pPr>
    </w:p>
    <w:p w14:paraId="1B978F47" w14:textId="77777777" w:rsidR="00A31C5B" w:rsidRPr="00B15214" w:rsidRDefault="00A31C5B" w:rsidP="00DC54F7">
      <w:pPr>
        <w:spacing w:after="0" w:line="240" w:lineRule="auto"/>
        <w:jc w:val="both"/>
        <w:rPr>
          <w:rFonts w:ascii="Arial" w:hAnsi="Arial" w:cs="Arial"/>
          <w:bCs/>
        </w:rPr>
      </w:pPr>
      <w:r w:rsidRPr="008B2B47">
        <w:rPr>
          <w:rFonts w:ascii="Arial" w:hAnsi="Arial" w:cs="Arial"/>
          <w:bCs/>
          <w:sz w:val="24"/>
          <w:szCs w:val="24"/>
        </w:rPr>
        <w:t>There are 8 hospitals in the health board area</w:t>
      </w:r>
      <w:r w:rsidRPr="00B15214">
        <w:rPr>
          <w:rFonts w:ascii="Arial" w:hAnsi="Arial" w:cs="Arial"/>
          <w:bCs/>
        </w:rPr>
        <w:t>:</w:t>
      </w:r>
    </w:p>
    <w:p w14:paraId="20606924" w14:textId="77777777" w:rsidR="00A31C5B" w:rsidRPr="00B15214" w:rsidRDefault="00A31C5B" w:rsidP="00DC54F7">
      <w:pPr>
        <w:spacing w:after="0" w:line="240" w:lineRule="auto"/>
        <w:jc w:val="both"/>
        <w:rPr>
          <w:rFonts w:ascii="Arial" w:hAnsi="Arial" w:cs="Arial"/>
          <w:bCs/>
        </w:rPr>
      </w:pPr>
    </w:p>
    <w:p w14:paraId="2DAE5575" w14:textId="77777777" w:rsidR="00A31C5B" w:rsidRPr="00C962E4" w:rsidRDefault="00A31C5B" w:rsidP="00DC54F7">
      <w:pPr>
        <w:pStyle w:val="ListParagraph"/>
        <w:numPr>
          <w:ilvl w:val="2"/>
          <w:numId w:val="71"/>
        </w:numPr>
        <w:shd w:val="clear" w:color="auto" w:fill="FFFFFF"/>
        <w:spacing w:after="0" w:line="240" w:lineRule="auto"/>
        <w:jc w:val="both"/>
        <w:rPr>
          <w:rFonts w:ascii="Lato" w:eastAsia="Times New Roman" w:hAnsi="Lato" w:cs="Times New Roman"/>
          <w:b/>
          <w:bCs/>
          <w:color w:val="000000"/>
          <w:sz w:val="24"/>
          <w:szCs w:val="24"/>
          <w:lang w:eastAsia="en-GB"/>
        </w:rPr>
      </w:pPr>
      <w:r w:rsidRPr="00C962E4">
        <w:rPr>
          <w:rFonts w:ascii="Arial" w:hAnsi="Arial" w:cs="Arial"/>
          <w:b/>
          <w:bCs/>
          <w:sz w:val="24"/>
          <w:szCs w:val="24"/>
        </w:rPr>
        <w:t>University Hospital of Wales (UHW), Heath Park, Cardiff, CF14 4XW</w:t>
      </w:r>
    </w:p>
    <w:p w14:paraId="14113901" w14:textId="77777777" w:rsidR="00A31C5B" w:rsidRPr="008B2B47" w:rsidRDefault="00A31C5B" w:rsidP="00DC54F7">
      <w:pPr>
        <w:spacing w:after="0" w:line="240" w:lineRule="auto"/>
        <w:contextualSpacing/>
        <w:jc w:val="both"/>
        <w:rPr>
          <w:rFonts w:ascii="Arial" w:hAnsi="Arial" w:cs="Arial"/>
          <w:color w:val="111111"/>
          <w:sz w:val="24"/>
          <w:szCs w:val="24"/>
          <w:shd w:val="clear" w:color="auto" w:fill="FFFFFF"/>
        </w:rPr>
      </w:pPr>
    </w:p>
    <w:p w14:paraId="73C4AA7C" w14:textId="4DDD0382" w:rsidR="00A31C5B" w:rsidRDefault="00A31C5B" w:rsidP="00DC54F7">
      <w:pPr>
        <w:spacing w:after="0" w:line="240" w:lineRule="auto"/>
        <w:contextualSpacing/>
        <w:jc w:val="both"/>
        <w:rPr>
          <w:rFonts w:ascii="Arial" w:hAnsi="Arial" w:cs="Arial"/>
          <w:color w:val="111111"/>
          <w:sz w:val="24"/>
          <w:szCs w:val="24"/>
          <w:shd w:val="clear" w:color="auto" w:fill="FFFFFF"/>
        </w:rPr>
      </w:pPr>
      <w:r w:rsidRPr="008B2B47">
        <w:rPr>
          <w:rFonts w:ascii="Arial" w:hAnsi="Arial" w:cs="Arial"/>
          <w:color w:val="111111"/>
          <w:sz w:val="24"/>
          <w:szCs w:val="24"/>
          <w:shd w:val="clear" w:color="auto" w:fill="FFFFFF"/>
        </w:rPr>
        <w:t xml:space="preserve">University Hospital of Wales is a major 1,000-bed hospital in the Heath district of Cardiff, Wales. </w:t>
      </w:r>
      <w:r w:rsidRPr="008B2B47">
        <w:rPr>
          <w:rFonts w:ascii="Arial" w:hAnsi="Arial" w:cs="Arial"/>
          <w:sz w:val="24"/>
          <w:szCs w:val="24"/>
        </w:rPr>
        <w:t>The hospital provides secondary care to the population of North and East Cardiff and tertiary level care in nephrology, neurosciences, haematology, paediatrics and neonatology, and critical care. The hospital provides the only emergency service (A&amp;E) to the area.</w:t>
      </w:r>
      <w:r w:rsidRPr="008B2B47">
        <w:rPr>
          <w:rFonts w:ascii="Arial" w:eastAsia="Times New Roman" w:hAnsi="Arial" w:cs="Arial"/>
          <w:color w:val="212529"/>
          <w:sz w:val="24"/>
          <w:szCs w:val="24"/>
          <w:lang w:eastAsia="en-GB"/>
        </w:rPr>
        <w:t xml:space="preserve"> </w:t>
      </w:r>
      <w:r w:rsidRPr="008B2B47">
        <w:rPr>
          <w:rFonts w:ascii="Arial" w:hAnsi="Arial" w:cs="Arial"/>
          <w:color w:val="111111"/>
          <w:sz w:val="24"/>
          <w:szCs w:val="24"/>
          <w:shd w:val="clear" w:color="auto" w:fill="FFFFFF"/>
        </w:rPr>
        <w:t>It has a pharmacy dispensary based on site.</w:t>
      </w:r>
    </w:p>
    <w:p w14:paraId="5ACD500E" w14:textId="77777777" w:rsidR="00A31C5B" w:rsidRPr="008B2B47" w:rsidRDefault="00A31C5B" w:rsidP="00DC54F7">
      <w:pPr>
        <w:spacing w:after="0" w:line="240" w:lineRule="auto"/>
        <w:contextualSpacing/>
        <w:jc w:val="both"/>
        <w:rPr>
          <w:rFonts w:ascii="Arial" w:hAnsi="Arial" w:cs="Arial"/>
          <w:color w:val="111111"/>
          <w:sz w:val="24"/>
          <w:szCs w:val="24"/>
          <w:shd w:val="clear" w:color="auto" w:fill="FFFFFF"/>
        </w:rPr>
      </w:pPr>
    </w:p>
    <w:p w14:paraId="1185106A" w14:textId="77777777" w:rsidR="00A31C5B" w:rsidRPr="00C962E4" w:rsidRDefault="00A31C5B" w:rsidP="00DC54F7">
      <w:pPr>
        <w:pStyle w:val="ListParagraph"/>
        <w:numPr>
          <w:ilvl w:val="2"/>
          <w:numId w:val="71"/>
        </w:numPr>
        <w:spacing w:after="0" w:line="240" w:lineRule="auto"/>
        <w:jc w:val="both"/>
        <w:rPr>
          <w:rFonts w:ascii="Arial" w:hAnsi="Arial" w:cs="Arial"/>
          <w:b/>
          <w:bCs/>
          <w:sz w:val="24"/>
          <w:szCs w:val="24"/>
        </w:rPr>
      </w:pPr>
      <w:r w:rsidRPr="00C962E4">
        <w:rPr>
          <w:rFonts w:ascii="Arial" w:hAnsi="Arial" w:cs="Arial"/>
          <w:b/>
          <w:bCs/>
          <w:sz w:val="24"/>
          <w:szCs w:val="24"/>
        </w:rPr>
        <w:t>University Hospital Llandough (UHL), Penlan Road, Llandough, CF64 2XX</w:t>
      </w:r>
    </w:p>
    <w:p w14:paraId="38D3787E" w14:textId="77777777" w:rsidR="00A31C5B" w:rsidRPr="008B2B47" w:rsidRDefault="00A31C5B" w:rsidP="00DC54F7">
      <w:pPr>
        <w:spacing w:after="0" w:line="240" w:lineRule="auto"/>
        <w:contextualSpacing/>
        <w:jc w:val="both"/>
        <w:rPr>
          <w:rFonts w:cstheme="minorHAnsi"/>
          <w:sz w:val="24"/>
          <w:szCs w:val="24"/>
        </w:rPr>
      </w:pPr>
    </w:p>
    <w:p w14:paraId="23C24647" w14:textId="3832FF41" w:rsidR="00A31C5B" w:rsidRPr="008B2B47" w:rsidRDefault="00A31C5B" w:rsidP="00DC54F7">
      <w:pPr>
        <w:spacing w:after="0" w:line="240" w:lineRule="auto"/>
        <w:contextualSpacing/>
        <w:jc w:val="both"/>
        <w:rPr>
          <w:rFonts w:ascii="Arial" w:hAnsi="Arial" w:cs="Arial"/>
          <w:sz w:val="24"/>
          <w:szCs w:val="24"/>
        </w:rPr>
      </w:pPr>
      <w:r w:rsidRPr="008B2B47">
        <w:rPr>
          <w:rFonts w:ascii="Arial" w:hAnsi="Arial" w:cs="Arial"/>
          <w:sz w:val="24"/>
          <w:szCs w:val="24"/>
        </w:rPr>
        <w:t xml:space="preserve">Located near Penarth in the Vale of Glamorgan, the University Hospital Llandough provides medical secondary care services to West Cardiff and the Vale of Glamorgan. It is home to the Cardiff and Vale Orthopaedic Centre (CAVOC), which provides </w:t>
      </w:r>
      <w:r w:rsidRPr="008B2B47">
        <w:rPr>
          <w:rFonts w:ascii="Arial" w:hAnsi="Arial" w:cs="Arial"/>
          <w:sz w:val="24"/>
          <w:szCs w:val="24"/>
        </w:rPr>
        <w:lastRenderedPageBreak/>
        <w:t>elective orthopaedic services</w:t>
      </w:r>
      <w:r w:rsidR="00C429E9" w:rsidRPr="008B2B47">
        <w:rPr>
          <w:rFonts w:ascii="Arial" w:hAnsi="Arial" w:cs="Arial"/>
          <w:sz w:val="24"/>
          <w:szCs w:val="24"/>
        </w:rPr>
        <w:t>;</w:t>
      </w:r>
      <w:r w:rsidRPr="008B2B47">
        <w:rPr>
          <w:rFonts w:ascii="Arial" w:hAnsi="Arial" w:cs="Arial"/>
          <w:sz w:val="24"/>
          <w:szCs w:val="24"/>
        </w:rPr>
        <w:t xml:space="preserve"> tertiary respiratory services</w:t>
      </w:r>
      <w:r w:rsidR="00E46318" w:rsidRPr="008B2B47">
        <w:rPr>
          <w:rFonts w:ascii="Arial" w:hAnsi="Arial" w:cs="Arial"/>
          <w:sz w:val="24"/>
          <w:szCs w:val="24"/>
        </w:rPr>
        <w:t>,</w:t>
      </w:r>
      <w:r w:rsidRPr="008B2B47">
        <w:rPr>
          <w:rFonts w:ascii="Arial" w:hAnsi="Arial" w:cs="Arial"/>
          <w:sz w:val="24"/>
          <w:szCs w:val="24"/>
        </w:rPr>
        <w:t xml:space="preserve"> including </w:t>
      </w:r>
      <w:r w:rsidR="00E46318" w:rsidRPr="008B2B47">
        <w:rPr>
          <w:rFonts w:ascii="Arial" w:hAnsi="Arial" w:cs="Arial"/>
          <w:sz w:val="24"/>
          <w:szCs w:val="24"/>
        </w:rPr>
        <w:t xml:space="preserve">the </w:t>
      </w:r>
      <w:r w:rsidRPr="008B2B47">
        <w:rPr>
          <w:rFonts w:ascii="Arial" w:hAnsi="Arial" w:cs="Arial"/>
          <w:sz w:val="24"/>
          <w:szCs w:val="24"/>
        </w:rPr>
        <w:t>cystic fibrosis service</w:t>
      </w:r>
      <w:r w:rsidR="00C429E9" w:rsidRPr="008B2B47">
        <w:rPr>
          <w:rFonts w:ascii="Arial" w:hAnsi="Arial" w:cs="Arial"/>
          <w:sz w:val="24"/>
          <w:szCs w:val="24"/>
        </w:rPr>
        <w:t>;</w:t>
      </w:r>
      <w:r w:rsidR="008B65EE" w:rsidRPr="008B2B47">
        <w:rPr>
          <w:rFonts w:ascii="Arial" w:hAnsi="Arial" w:cs="Arial"/>
          <w:sz w:val="24"/>
          <w:szCs w:val="24"/>
        </w:rPr>
        <w:t xml:space="preserve"> and </w:t>
      </w:r>
      <w:r w:rsidRPr="008B2B47">
        <w:rPr>
          <w:rFonts w:ascii="Arial" w:hAnsi="Arial" w:cs="Arial"/>
          <w:sz w:val="24"/>
          <w:szCs w:val="24"/>
        </w:rPr>
        <w:t xml:space="preserve">the </w:t>
      </w:r>
      <w:r w:rsidRPr="008B2B47">
        <w:rPr>
          <w:rFonts w:ascii="Arial" w:hAnsi="Arial" w:cs="Arial"/>
          <w:color w:val="212529"/>
          <w:sz w:val="24"/>
          <w:szCs w:val="24"/>
          <w:shd w:val="clear" w:color="auto" w:fill="FFFFFF"/>
        </w:rPr>
        <w:t xml:space="preserve">Hafan y Coed, Adult Mental Health Unit. </w:t>
      </w:r>
      <w:r w:rsidR="00C23702" w:rsidRPr="008B2B47">
        <w:rPr>
          <w:rFonts w:ascii="Arial" w:hAnsi="Arial" w:cs="Arial"/>
          <w:color w:val="212529"/>
          <w:sz w:val="24"/>
          <w:szCs w:val="24"/>
          <w:shd w:val="clear" w:color="auto" w:fill="FFFFFF"/>
        </w:rPr>
        <w:t xml:space="preserve">It also </w:t>
      </w:r>
      <w:r w:rsidR="00FA4A6E" w:rsidRPr="008B2B47">
        <w:rPr>
          <w:rFonts w:ascii="Arial" w:hAnsi="Arial" w:cs="Arial"/>
          <w:color w:val="212529"/>
          <w:sz w:val="24"/>
          <w:szCs w:val="24"/>
          <w:shd w:val="clear" w:color="auto" w:fill="FFFFFF"/>
        </w:rPr>
        <w:t xml:space="preserve">provides </w:t>
      </w:r>
      <w:r w:rsidR="00C23702" w:rsidRPr="008B2B47">
        <w:rPr>
          <w:rFonts w:ascii="Arial" w:eastAsia="Times New Roman" w:hAnsi="Arial" w:cs="Arial"/>
          <w:color w:val="000000"/>
          <w:sz w:val="24"/>
          <w:szCs w:val="24"/>
          <w:lang w:eastAsia="en-GB"/>
        </w:rPr>
        <w:t>cardiothoracic services</w:t>
      </w:r>
      <w:r w:rsidR="00FA4A6E" w:rsidRPr="008B2B47">
        <w:rPr>
          <w:rFonts w:ascii="Arial" w:eastAsia="Times New Roman" w:hAnsi="Arial" w:cs="Arial"/>
          <w:color w:val="000000"/>
          <w:sz w:val="24"/>
          <w:szCs w:val="24"/>
          <w:lang w:eastAsia="en-GB"/>
        </w:rPr>
        <w:t>.</w:t>
      </w:r>
      <w:r w:rsidR="00C23702" w:rsidRPr="008B2B47">
        <w:rPr>
          <w:rFonts w:ascii="Arial" w:eastAsia="Times New Roman" w:hAnsi="Arial" w:cs="Arial"/>
          <w:color w:val="000000"/>
          <w:sz w:val="24"/>
          <w:szCs w:val="24"/>
          <w:lang w:eastAsia="en-GB"/>
        </w:rPr>
        <w:t xml:space="preserve"> </w:t>
      </w:r>
      <w:r w:rsidRPr="008B2B47">
        <w:rPr>
          <w:rFonts w:ascii="Arial" w:hAnsi="Arial" w:cs="Arial"/>
          <w:color w:val="212529"/>
          <w:sz w:val="24"/>
          <w:szCs w:val="24"/>
          <w:shd w:val="clear" w:color="auto" w:fill="FFFFFF"/>
        </w:rPr>
        <w:t xml:space="preserve">The hospital has a pharmacy dispensary based on site. </w:t>
      </w:r>
    </w:p>
    <w:p w14:paraId="27507B9B" w14:textId="77777777" w:rsidR="00A31C5B" w:rsidRPr="008B2B47" w:rsidRDefault="00A31C5B" w:rsidP="00DC54F7">
      <w:pPr>
        <w:spacing w:after="0" w:line="240" w:lineRule="auto"/>
        <w:contextualSpacing/>
        <w:jc w:val="both"/>
        <w:rPr>
          <w:rFonts w:ascii="Arial" w:hAnsi="Arial" w:cs="Arial"/>
          <w:sz w:val="24"/>
          <w:szCs w:val="24"/>
        </w:rPr>
      </w:pPr>
    </w:p>
    <w:p w14:paraId="55A2C1A6" w14:textId="77777777" w:rsidR="00A31C5B" w:rsidRPr="008B2B47" w:rsidRDefault="00A31C5B" w:rsidP="00DC54F7">
      <w:pPr>
        <w:pStyle w:val="ListParagraph"/>
        <w:numPr>
          <w:ilvl w:val="2"/>
          <w:numId w:val="71"/>
        </w:numPr>
        <w:spacing w:after="0" w:line="240" w:lineRule="auto"/>
        <w:jc w:val="both"/>
        <w:rPr>
          <w:rFonts w:ascii="Arial" w:hAnsi="Arial" w:cs="Arial"/>
          <w:b/>
          <w:bCs/>
          <w:sz w:val="24"/>
          <w:szCs w:val="24"/>
        </w:rPr>
      </w:pPr>
      <w:r w:rsidRPr="008B2B47">
        <w:rPr>
          <w:rFonts w:ascii="Arial" w:hAnsi="Arial" w:cs="Arial"/>
          <w:b/>
          <w:bCs/>
          <w:sz w:val="24"/>
          <w:szCs w:val="24"/>
        </w:rPr>
        <w:t>Noah’s Ark Children’s Hospital for Wales (CHfW), Heath Park, Cardiff, CF14 4XW</w:t>
      </w:r>
    </w:p>
    <w:p w14:paraId="5FEBDD10" w14:textId="77777777" w:rsidR="00A31C5B" w:rsidRPr="008B2B47" w:rsidRDefault="00A31C5B" w:rsidP="00DC54F7">
      <w:pPr>
        <w:spacing w:after="0" w:line="240" w:lineRule="auto"/>
        <w:contextualSpacing/>
        <w:jc w:val="both"/>
        <w:rPr>
          <w:rFonts w:ascii="Arial" w:hAnsi="Arial" w:cs="Arial"/>
          <w:sz w:val="24"/>
          <w:szCs w:val="24"/>
        </w:rPr>
      </w:pPr>
    </w:p>
    <w:p w14:paraId="768C8DE5" w14:textId="77777777" w:rsidR="00A31C5B" w:rsidRPr="008B2B47" w:rsidRDefault="00A31C5B" w:rsidP="00DC54F7">
      <w:pPr>
        <w:spacing w:after="0" w:line="240" w:lineRule="auto"/>
        <w:contextualSpacing/>
        <w:jc w:val="both"/>
        <w:rPr>
          <w:rFonts w:ascii="Arial" w:hAnsi="Arial" w:cs="Arial"/>
          <w:sz w:val="24"/>
          <w:szCs w:val="24"/>
        </w:rPr>
      </w:pPr>
      <w:r w:rsidRPr="008B2B47">
        <w:rPr>
          <w:rFonts w:ascii="Arial" w:hAnsi="Arial" w:cs="Arial"/>
          <w:sz w:val="24"/>
          <w:szCs w:val="24"/>
        </w:rPr>
        <w:t>The Noah's Ark Children's Hospital for Wales is based at the University Hospital of Wales at the Heath Park site and provides secondary care for the children of Cardiff and the Vale of Glamorgan and tertiary care for children across Mid, West and South Wales. There is a satellite pharmacy dispensary at the children’s hospital serviced by University Hospital of Wales main pharmacy dispensary.</w:t>
      </w:r>
    </w:p>
    <w:p w14:paraId="092C774A" w14:textId="77777777" w:rsidR="00A31C5B" w:rsidRPr="008B2B47" w:rsidRDefault="00A31C5B" w:rsidP="00DC54F7">
      <w:pPr>
        <w:spacing w:after="0" w:line="240" w:lineRule="auto"/>
        <w:contextualSpacing/>
        <w:jc w:val="both"/>
        <w:rPr>
          <w:rFonts w:ascii="Arial" w:hAnsi="Arial" w:cs="Arial"/>
          <w:sz w:val="24"/>
          <w:szCs w:val="24"/>
        </w:rPr>
      </w:pPr>
    </w:p>
    <w:p w14:paraId="09E91758" w14:textId="77777777" w:rsidR="00A31C5B" w:rsidRPr="008B2B47" w:rsidRDefault="00A31C5B" w:rsidP="00DC54F7">
      <w:pPr>
        <w:pStyle w:val="ListParagraph"/>
        <w:numPr>
          <w:ilvl w:val="2"/>
          <w:numId w:val="71"/>
        </w:numPr>
        <w:spacing w:after="0" w:line="240" w:lineRule="auto"/>
        <w:jc w:val="both"/>
        <w:rPr>
          <w:rFonts w:ascii="Arial" w:hAnsi="Arial" w:cs="Arial"/>
          <w:b/>
          <w:bCs/>
          <w:sz w:val="24"/>
          <w:szCs w:val="24"/>
        </w:rPr>
      </w:pPr>
      <w:r w:rsidRPr="008B2B47">
        <w:rPr>
          <w:rFonts w:ascii="Arial" w:hAnsi="Arial" w:cs="Arial"/>
          <w:b/>
          <w:bCs/>
          <w:sz w:val="24"/>
          <w:szCs w:val="24"/>
        </w:rPr>
        <w:t xml:space="preserve">Cardiff Royal Infirmary, </w:t>
      </w:r>
      <w:bookmarkStart w:id="34" w:name="_Hlk58853599"/>
      <w:r w:rsidRPr="008B2B47">
        <w:rPr>
          <w:rFonts w:ascii="Arial" w:hAnsi="Arial" w:cs="Arial"/>
          <w:b/>
          <w:bCs/>
          <w:sz w:val="24"/>
          <w:szCs w:val="24"/>
        </w:rPr>
        <w:t>Glossop Terrace, Cardiff, CF24 0SZ</w:t>
      </w:r>
      <w:bookmarkEnd w:id="34"/>
    </w:p>
    <w:p w14:paraId="4E314D0E" w14:textId="77777777" w:rsidR="00A31C5B" w:rsidRPr="008B2B47" w:rsidRDefault="00A31C5B" w:rsidP="00DC54F7">
      <w:pPr>
        <w:pStyle w:val="ListParagraph"/>
        <w:spacing w:after="0" w:line="240" w:lineRule="auto"/>
        <w:jc w:val="both"/>
        <w:rPr>
          <w:rFonts w:ascii="Arial" w:hAnsi="Arial" w:cs="Arial"/>
          <w:b/>
          <w:bCs/>
          <w:sz w:val="24"/>
          <w:szCs w:val="24"/>
        </w:rPr>
      </w:pPr>
    </w:p>
    <w:p w14:paraId="5465F3DE" w14:textId="77777777" w:rsidR="00A31C5B" w:rsidRPr="00C962E4" w:rsidRDefault="00A31C5B" w:rsidP="00DC54F7">
      <w:pPr>
        <w:shd w:val="clear" w:color="auto" w:fill="FFFFFF"/>
        <w:spacing w:after="0" w:line="240" w:lineRule="auto"/>
        <w:jc w:val="both"/>
        <w:rPr>
          <w:rFonts w:ascii="Arial" w:eastAsia="Times New Roman" w:hAnsi="Arial" w:cs="Arial"/>
          <w:sz w:val="24"/>
          <w:szCs w:val="24"/>
          <w:lang w:eastAsia="en-GB"/>
        </w:rPr>
      </w:pPr>
      <w:r w:rsidRPr="00C962E4">
        <w:rPr>
          <w:rFonts w:ascii="Arial" w:hAnsi="Arial" w:cs="Arial"/>
          <w:sz w:val="24"/>
          <w:szCs w:val="24"/>
          <w:shd w:val="clear" w:color="auto" w:fill="FFFFFF"/>
        </w:rPr>
        <w:t xml:space="preserve">The hospital is currently under development. Clinics are still being held at the hospital such as Mental Health, Department of Sexual Health clinics, Podiatry and Radiology Department, Physiotherapy Department and the Drug and Alcohol Team. </w:t>
      </w:r>
      <w:r w:rsidRPr="00C962E4">
        <w:rPr>
          <w:rFonts w:ascii="Arial" w:hAnsi="Arial" w:cs="Arial"/>
          <w:sz w:val="24"/>
          <w:szCs w:val="24"/>
        </w:rPr>
        <w:t xml:space="preserve">There is a satellite pharmacy dispensary at the hospital serviced by University Hospital of Wales main pharmacy dispensary for the Department of Sexual Health clinics only. Clifton City pharmacy is also based </w:t>
      </w:r>
      <w:r w:rsidRPr="00C962E4">
        <w:rPr>
          <w:rFonts w:ascii="Arial" w:eastAsia="Times New Roman" w:hAnsi="Arial" w:cs="Arial"/>
          <w:sz w:val="24"/>
          <w:szCs w:val="24"/>
          <w:lang w:eastAsia="en-GB"/>
        </w:rPr>
        <w:t>within the hospital.</w:t>
      </w:r>
    </w:p>
    <w:p w14:paraId="6649670F" w14:textId="77777777" w:rsidR="00A31C5B" w:rsidRPr="00C962E4" w:rsidRDefault="00A31C5B" w:rsidP="00DC54F7">
      <w:pPr>
        <w:spacing w:after="0" w:line="240" w:lineRule="auto"/>
        <w:contextualSpacing/>
        <w:jc w:val="both"/>
        <w:rPr>
          <w:rFonts w:ascii="Arial" w:hAnsi="Arial" w:cs="Arial"/>
          <w:sz w:val="24"/>
          <w:szCs w:val="24"/>
        </w:rPr>
      </w:pPr>
    </w:p>
    <w:p w14:paraId="29039B5E" w14:textId="77777777" w:rsidR="00A31C5B" w:rsidRPr="00C962E4" w:rsidRDefault="00A31C5B" w:rsidP="00DC54F7">
      <w:pPr>
        <w:pStyle w:val="ListParagraph"/>
        <w:numPr>
          <w:ilvl w:val="2"/>
          <w:numId w:val="71"/>
        </w:numPr>
        <w:spacing w:after="0" w:line="240" w:lineRule="auto"/>
        <w:jc w:val="both"/>
        <w:rPr>
          <w:rFonts w:ascii="Arial" w:hAnsi="Arial" w:cs="Arial"/>
          <w:b/>
          <w:bCs/>
          <w:sz w:val="24"/>
          <w:szCs w:val="24"/>
        </w:rPr>
      </w:pPr>
      <w:r w:rsidRPr="00C962E4">
        <w:rPr>
          <w:rFonts w:ascii="Arial" w:hAnsi="Arial" w:cs="Arial"/>
          <w:b/>
          <w:bCs/>
          <w:sz w:val="24"/>
          <w:szCs w:val="24"/>
        </w:rPr>
        <w:t>University Dental Hospital (UDH), Heath Park, Cardiff, CF14 4XW</w:t>
      </w:r>
    </w:p>
    <w:p w14:paraId="0A6C34BA" w14:textId="77777777" w:rsidR="00A31C5B" w:rsidRPr="00C962E4" w:rsidRDefault="00A31C5B" w:rsidP="00DC54F7">
      <w:pPr>
        <w:spacing w:after="0" w:line="240" w:lineRule="auto"/>
        <w:contextualSpacing/>
        <w:jc w:val="both"/>
        <w:rPr>
          <w:rFonts w:ascii="Arial" w:hAnsi="Arial" w:cs="Arial"/>
          <w:sz w:val="24"/>
          <w:szCs w:val="24"/>
          <w:shd w:val="clear" w:color="auto" w:fill="FFFFFF"/>
        </w:rPr>
      </w:pPr>
    </w:p>
    <w:p w14:paraId="742F734C" w14:textId="77777777" w:rsidR="00A31C5B" w:rsidRPr="00C962E4" w:rsidRDefault="00A31C5B" w:rsidP="00DC54F7">
      <w:pPr>
        <w:spacing w:after="0" w:line="240" w:lineRule="auto"/>
        <w:contextualSpacing/>
        <w:jc w:val="both"/>
        <w:rPr>
          <w:rFonts w:ascii="Arial" w:hAnsi="Arial" w:cs="Arial"/>
          <w:b/>
          <w:bCs/>
          <w:sz w:val="24"/>
          <w:szCs w:val="24"/>
        </w:rPr>
      </w:pPr>
      <w:r w:rsidRPr="00C962E4">
        <w:rPr>
          <w:rFonts w:ascii="Arial" w:hAnsi="Arial" w:cs="Arial"/>
          <w:sz w:val="24"/>
          <w:szCs w:val="24"/>
          <w:shd w:val="clear" w:color="auto" w:fill="FFFFFF"/>
        </w:rPr>
        <w:t>The Dental Hospital has several specialist departments, including Oral Maxillofacial Surgery, Oral Medicine, Restorative, Paediatrics and Orthodontics.  Each specialty sees new patients for assessments which may lead on to treatment within the hospital.  The Dental Hospital also runs an Examination and Emergency Department which offers pain relief and temporary treatment after referral from the Dental Helpline (029 20 444 500).</w:t>
      </w:r>
    </w:p>
    <w:p w14:paraId="5B671F7F" w14:textId="77777777" w:rsidR="00A31C5B" w:rsidRPr="00C962E4" w:rsidRDefault="00A31C5B" w:rsidP="00DC54F7">
      <w:pPr>
        <w:spacing w:after="0" w:line="240" w:lineRule="auto"/>
        <w:contextualSpacing/>
        <w:jc w:val="both"/>
        <w:rPr>
          <w:rFonts w:ascii="Arial" w:hAnsi="Arial" w:cs="Arial"/>
          <w:sz w:val="24"/>
          <w:szCs w:val="24"/>
        </w:rPr>
      </w:pPr>
    </w:p>
    <w:p w14:paraId="1E3032C4" w14:textId="77777777" w:rsidR="00A31C5B" w:rsidRPr="008B2B47" w:rsidRDefault="00A31C5B" w:rsidP="00DC54F7">
      <w:pPr>
        <w:pStyle w:val="ListParagraph"/>
        <w:numPr>
          <w:ilvl w:val="2"/>
          <w:numId w:val="71"/>
        </w:numPr>
        <w:spacing w:after="0" w:line="240" w:lineRule="auto"/>
        <w:jc w:val="both"/>
        <w:rPr>
          <w:rFonts w:ascii="Arial" w:hAnsi="Arial" w:cs="Arial"/>
          <w:b/>
          <w:bCs/>
          <w:sz w:val="24"/>
          <w:szCs w:val="24"/>
        </w:rPr>
      </w:pPr>
      <w:r w:rsidRPr="008B2B47">
        <w:rPr>
          <w:rFonts w:ascii="Arial" w:hAnsi="Arial" w:cs="Arial"/>
          <w:b/>
          <w:bCs/>
          <w:sz w:val="24"/>
          <w:szCs w:val="24"/>
        </w:rPr>
        <w:t>Barry Hospital, Colcot Road, Barry, CF62 8YH</w:t>
      </w:r>
    </w:p>
    <w:p w14:paraId="3A1844B2" w14:textId="77777777" w:rsidR="00A31C5B" w:rsidRPr="008B2B47" w:rsidRDefault="00A31C5B" w:rsidP="00DC54F7">
      <w:pPr>
        <w:spacing w:after="0" w:line="240" w:lineRule="auto"/>
        <w:contextualSpacing/>
        <w:jc w:val="both"/>
        <w:rPr>
          <w:rFonts w:ascii="Arial" w:hAnsi="Arial" w:cs="Arial"/>
          <w:b/>
          <w:bCs/>
          <w:sz w:val="24"/>
          <w:szCs w:val="24"/>
        </w:rPr>
      </w:pPr>
    </w:p>
    <w:p w14:paraId="5010430B" w14:textId="05BAA4A2" w:rsidR="00A31C5B" w:rsidRPr="008B2B47" w:rsidRDefault="00A31C5B" w:rsidP="00DC54F7">
      <w:pPr>
        <w:spacing w:after="0" w:line="240" w:lineRule="auto"/>
        <w:contextualSpacing/>
        <w:jc w:val="both"/>
        <w:rPr>
          <w:rFonts w:ascii="Arial" w:hAnsi="Arial" w:cs="Arial"/>
          <w:sz w:val="24"/>
          <w:szCs w:val="24"/>
        </w:rPr>
      </w:pPr>
      <w:r w:rsidRPr="008B2B47">
        <w:rPr>
          <w:rFonts w:ascii="Arial" w:hAnsi="Arial" w:cs="Arial"/>
          <w:sz w:val="24"/>
          <w:szCs w:val="24"/>
        </w:rPr>
        <w:t xml:space="preserve">Barry Community Hospital provides a Minor Injuries Unit, day hospitals, inpatient </w:t>
      </w:r>
      <w:r w:rsidR="00C16CC7" w:rsidRPr="008B2B47">
        <w:rPr>
          <w:rFonts w:ascii="Arial" w:hAnsi="Arial" w:cs="Arial"/>
          <w:sz w:val="24"/>
          <w:szCs w:val="24"/>
        </w:rPr>
        <w:t>care,</w:t>
      </w:r>
      <w:r w:rsidRPr="008B2B47">
        <w:rPr>
          <w:rFonts w:ascii="Arial" w:hAnsi="Arial" w:cs="Arial"/>
          <w:sz w:val="24"/>
          <w:szCs w:val="24"/>
        </w:rPr>
        <w:t xml:space="preserve"> and outpatient clinics. Other services provided include radiology, phlebotomy, physiotherapy, occupational therapy, podiatry, speech and language therapy and a dietitian service. </w:t>
      </w:r>
    </w:p>
    <w:p w14:paraId="1AE8E9CB" w14:textId="77777777" w:rsidR="00A31C5B" w:rsidRPr="008B2B47" w:rsidRDefault="00A31C5B" w:rsidP="00DC54F7">
      <w:pPr>
        <w:spacing w:after="0" w:line="240" w:lineRule="auto"/>
        <w:contextualSpacing/>
        <w:jc w:val="both"/>
        <w:rPr>
          <w:rFonts w:ascii="Arial" w:hAnsi="Arial" w:cs="Arial"/>
          <w:sz w:val="24"/>
          <w:szCs w:val="24"/>
        </w:rPr>
      </w:pPr>
    </w:p>
    <w:p w14:paraId="745DE0B1" w14:textId="77777777" w:rsidR="00A31C5B" w:rsidRPr="008B2B47" w:rsidRDefault="00A31C5B" w:rsidP="00DC54F7">
      <w:pPr>
        <w:pStyle w:val="ListParagraph"/>
        <w:numPr>
          <w:ilvl w:val="2"/>
          <w:numId w:val="71"/>
        </w:numPr>
        <w:spacing w:after="0" w:line="240" w:lineRule="auto"/>
        <w:jc w:val="both"/>
        <w:rPr>
          <w:rFonts w:ascii="Arial" w:hAnsi="Arial" w:cs="Arial"/>
          <w:b/>
          <w:bCs/>
          <w:sz w:val="24"/>
          <w:szCs w:val="24"/>
        </w:rPr>
      </w:pPr>
      <w:r w:rsidRPr="008B2B47">
        <w:rPr>
          <w:rFonts w:ascii="Arial" w:hAnsi="Arial" w:cs="Arial"/>
          <w:b/>
          <w:bCs/>
          <w:sz w:val="24"/>
          <w:szCs w:val="24"/>
        </w:rPr>
        <w:t>St David’s Hospital, Cowbridge Road East, Cardiff, CF11 9XB</w:t>
      </w:r>
    </w:p>
    <w:p w14:paraId="5081DF3C" w14:textId="77777777" w:rsidR="00A31C5B" w:rsidRPr="008B2B47" w:rsidRDefault="00A31C5B" w:rsidP="00DC54F7">
      <w:pPr>
        <w:spacing w:after="0" w:line="240" w:lineRule="auto"/>
        <w:contextualSpacing/>
        <w:jc w:val="both"/>
        <w:rPr>
          <w:rFonts w:ascii="Arial" w:hAnsi="Arial" w:cs="Arial"/>
          <w:color w:val="333333"/>
          <w:sz w:val="24"/>
          <w:szCs w:val="24"/>
          <w:shd w:val="clear" w:color="auto" w:fill="FFFFFF"/>
        </w:rPr>
      </w:pPr>
    </w:p>
    <w:p w14:paraId="215DE13B" w14:textId="77777777" w:rsidR="00A31C5B" w:rsidRPr="00C962E4" w:rsidRDefault="00A31C5B" w:rsidP="00DC54F7">
      <w:pPr>
        <w:spacing w:after="0" w:line="240" w:lineRule="auto"/>
        <w:contextualSpacing/>
        <w:jc w:val="both"/>
        <w:rPr>
          <w:rFonts w:ascii="Arial" w:hAnsi="Arial" w:cs="Arial"/>
          <w:sz w:val="24"/>
          <w:szCs w:val="24"/>
          <w:shd w:val="clear" w:color="auto" w:fill="FFFFFF"/>
        </w:rPr>
      </w:pPr>
      <w:r w:rsidRPr="00C962E4">
        <w:rPr>
          <w:rFonts w:ascii="Arial" w:hAnsi="Arial" w:cs="Arial"/>
          <w:sz w:val="24"/>
          <w:szCs w:val="24"/>
          <w:shd w:val="clear" w:color="auto" w:fill="FFFFFF"/>
        </w:rPr>
        <w:t xml:space="preserve">The hospital is based in the Canton area of Cardiff. </w:t>
      </w:r>
      <w:r w:rsidRPr="00C962E4">
        <w:rPr>
          <w:rFonts w:ascii="Arial" w:hAnsi="Arial" w:cs="Arial"/>
          <w:sz w:val="24"/>
          <w:szCs w:val="24"/>
        </w:rPr>
        <w:t xml:space="preserve">It provides general and specialist outpatient services, inpatient facilities for older people, community children’s services and a variety of other specialist clinics. The </w:t>
      </w:r>
      <w:r w:rsidRPr="00C962E4">
        <w:rPr>
          <w:rFonts w:ascii="Arial" w:hAnsi="Arial" w:cs="Arial"/>
          <w:sz w:val="24"/>
          <w:szCs w:val="24"/>
          <w:shd w:val="clear" w:color="auto" w:fill="FFFFFF"/>
        </w:rPr>
        <w:t>West Cardiff Community Mental Health Team (CMHT) is based here.</w:t>
      </w:r>
    </w:p>
    <w:p w14:paraId="29966582" w14:textId="77777777" w:rsidR="00A31C5B" w:rsidRPr="008B2B47" w:rsidRDefault="00A31C5B" w:rsidP="00DC54F7">
      <w:pPr>
        <w:spacing w:after="0" w:line="240" w:lineRule="auto"/>
        <w:contextualSpacing/>
        <w:jc w:val="both"/>
        <w:rPr>
          <w:rFonts w:ascii="Arial" w:hAnsi="Arial" w:cs="Arial"/>
          <w:sz w:val="24"/>
          <w:szCs w:val="24"/>
        </w:rPr>
      </w:pPr>
    </w:p>
    <w:p w14:paraId="09C0F43C" w14:textId="77777777" w:rsidR="00A31C5B" w:rsidRPr="008B2B47" w:rsidRDefault="00A31C5B" w:rsidP="00DC54F7">
      <w:pPr>
        <w:pStyle w:val="ListParagraph"/>
        <w:numPr>
          <w:ilvl w:val="2"/>
          <w:numId w:val="71"/>
        </w:numPr>
        <w:spacing w:after="0" w:line="240" w:lineRule="auto"/>
        <w:jc w:val="both"/>
        <w:rPr>
          <w:rFonts w:ascii="Arial" w:hAnsi="Arial" w:cs="Arial"/>
          <w:b/>
          <w:bCs/>
          <w:sz w:val="24"/>
          <w:szCs w:val="24"/>
        </w:rPr>
      </w:pPr>
      <w:r w:rsidRPr="008B2B47">
        <w:rPr>
          <w:rFonts w:ascii="Arial" w:hAnsi="Arial" w:cs="Arial"/>
          <w:b/>
          <w:bCs/>
          <w:sz w:val="24"/>
          <w:szCs w:val="24"/>
        </w:rPr>
        <w:t>Rookwood Hospital, 18-20 Fairwater Road, Llandaff, Cardiff, CF5 2YN</w:t>
      </w:r>
    </w:p>
    <w:p w14:paraId="4A666AA0" w14:textId="77777777" w:rsidR="00A31C5B" w:rsidRPr="008B2B47" w:rsidRDefault="00A31C5B" w:rsidP="00DC54F7">
      <w:pPr>
        <w:pStyle w:val="ListParagraph"/>
        <w:spacing w:after="0" w:line="240" w:lineRule="auto"/>
        <w:jc w:val="both"/>
        <w:rPr>
          <w:rFonts w:ascii="Arial" w:hAnsi="Arial" w:cs="Arial"/>
          <w:b/>
          <w:bCs/>
          <w:sz w:val="24"/>
          <w:szCs w:val="24"/>
        </w:rPr>
      </w:pPr>
    </w:p>
    <w:p w14:paraId="56156B3E" w14:textId="4AC7570B" w:rsidR="00A31C5B" w:rsidRPr="008B2B47" w:rsidRDefault="00A31C5B" w:rsidP="00DC54F7">
      <w:pPr>
        <w:spacing w:after="0" w:line="240" w:lineRule="auto"/>
        <w:contextualSpacing/>
        <w:jc w:val="both"/>
        <w:rPr>
          <w:rFonts w:ascii="Arial" w:hAnsi="Arial" w:cs="Arial"/>
          <w:sz w:val="24"/>
          <w:szCs w:val="24"/>
        </w:rPr>
      </w:pPr>
      <w:r w:rsidRPr="008B2B47">
        <w:rPr>
          <w:rFonts w:ascii="Arial" w:hAnsi="Arial" w:cs="Arial"/>
          <w:color w:val="111111"/>
          <w:sz w:val="24"/>
          <w:szCs w:val="24"/>
          <w:shd w:val="clear" w:color="auto" w:fill="FFFFFF"/>
        </w:rPr>
        <w:t xml:space="preserve">This is a specialist hospital based in </w:t>
      </w:r>
      <w:r w:rsidR="007B4C4F" w:rsidRPr="008B2B47">
        <w:rPr>
          <w:rFonts w:ascii="Arial" w:hAnsi="Arial" w:cs="Arial"/>
          <w:color w:val="111111"/>
          <w:sz w:val="24"/>
          <w:szCs w:val="24"/>
          <w:shd w:val="clear" w:color="auto" w:fill="FFFFFF"/>
        </w:rPr>
        <w:t>West</w:t>
      </w:r>
      <w:r w:rsidRPr="008B2B47">
        <w:rPr>
          <w:rFonts w:ascii="Arial" w:hAnsi="Arial" w:cs="Arial"/>
          <w:color w:val="111111"/>
          <w:sz w:val="24"/>
          <w:szCs w:val="24"/>
          <w:shd w:val="clear" w:color="auto" w:fill="FFFFFF"/>
        </w:rPr>
        <w:t xml:space="preserve"> Cardiff. It houses Cardiff’s Parkinson’s Disease service, t</w:t>
      </w:r>
      <w:r w:rsidRPr="008B2B47">
        <w:rPr>
          <w:rFonts w:ascii="Arial" w:hAnsi="Arial" w:cs="Arial"/>
          <w:sz w:val="24"/>
          <w:szCs w:val="24"/>
        </w:rPr>
        <w:t xml:space="preserve">he Welsh spinal injuries rehabilitation centre, regional neuro </w:t>
      </w:r>
      <w:r w:rsidRPr="008B2B47">
        <w:rPr>
          <w:rFonts w:ascii="Arial" w:hAnsi="Arial" w:cs="Arial"/>
          <w:sz w:val="24"/>
          <w:szCs w:val="24"/>
        </w:rPr>
        <w:lastRenderedPageBreak/>
        <w:t>rehabilitation unit, Artificial Limb and Appliance Service, The Electronic Assistive Technology Service, Headway (brain injury charity), South Wales Mobility and Driving Assessment Service and several specialist neurology outpatient clinics (e.g., Multiple sclerosis, Motor neurone disease, Dementia, Parkinson’s) as well as some outpatient gerontology services.</w:t>
      </w:r>
    </w:p>
    <w:p w14:paraId="0EC011AD" w14:textId="77777777" w:rsidR="00A31C5B" w:rsidRPr="008B2B47" w:rsidRDefault="00A31C5B" w:rsidP="00DC54F7">
      <w:pPr>
        <w:spacing w:after="0" w:line="240" w:lineRule="auto"/>
        <w:contextualSpacing/>
        <w:jc w:val="both"/>
        <w:rPr>
          <w:rFonts w:ascii="Arial" w:hAnsi="Arial" w:cs="Arial"/>
          <w:sz w:val="24"/>
          <w:szCs w:val="24"/>
        </w:rPr>
      </w:pPr>
    </w:p>
    <w:p w14:paraId="7972DFC1" w14:textId="77777777" w:rsidR="00A31C5B" w:rsidRPr="008B2B47" w:rsidRDefault="00A31C5B" w:rsidP="00DC54F7">
      <w:pPr>
        <w:spacing w:after="0" w:line="240" w:lineRule="auto"/>
        <w:jc w:val="both"/>
        <w:rPr>
          <w:rFonts w:ascii="Arial" w:hAnsi="Arial" w:cs="Arial"/>
          <w:sz w:val="24"/>
          <w:szCs w:val="24"/>
        </w:rPr>
      </w:pPr>
      <w:r w:rsidRPr="008B2B47">
        <w:rPr>
          <w:rFonts w:ascii="Arial" w:hAnsi="Arial" w:cs="Arial"/>
          <w:sz w:val="24"/>
          <w:szCs w:val="24"/>
        </w:rPr>
        <w:t xml:space="preserve">Patients attending these hospitals, on either an inpatient or outpatient basis, may require prescriptions to be dispensed in the community. In general, inpatients at University Hospital of Wales, University Hospital Llandough and Noah’s Ark Children’s Hospital for Wales, will have their medicines dispensed by their hospital pharmacy dispensary. On discharge, patients receive up to four weeks supply of their medicines.  Patients attending the hospitals for outpatient appointments, will also receive a four week supply of medicines in general. </w:t>
      </w:r>
    </w:p>
    <w:p w14:paraId="46FEDB03" w14:textId="77777777" w:rsidR="00A31C5B" w:rsidRPr="008B2B47" w:rsidRDefault="00A31C5B" w:rsidP="00DC54F7">
      <w:pPr>
        <w:spacing w:after="0" w:line="240" w:lineRule="auto"/>
        <w:jc w:val="both"/>
        <w:rPr>
          <w:rFonts w:ascii="Arial" w:hAnsi="Arial" w:cs="Arial"/>
          <w:sz w:val="24"/>
          <w:szCs w:val="24"/>
        </w:rPr>
      </w:pPr>
    </w:p>
    <w:p w14:paraId="3A24CB25" w14:textId="77777777" w:rsidR="00A31C5B" w:rsidRPr="008B2B47" w:rsidRDefault="00A31C5B" w:rsidP="00DC54F7">
      <w:pPr>
        <w:spacing w:after="0" w:line="240" w:lineRule="auto"/>
        <w:jc w:val="both"/>
        <w:rPr>
          <w:rFonts w:ascii="Arial" w:hAnsi="Arial" w:cs="Arial"/>
          <w:sz w:val="24"/>
          <w:szCs w:val="24"/>
        </w:rPr>
      </w:pPr>
      <w:r w:rsidRPr="008B2B47">
        <w:rPr>
          <w:rFonts w:ascii="Arial" w:hAnsi="Arial" w:cs="Arial"/>
          <w:sz w:val="24"/>
          <w:szCs w:val="24"/>
        </w:rPr>
        <w:t xml:space="preserve">Outpatient clinics and the A&amp;E department may provide patients with a hospital issue prescription (WP10HP) to be dispensed in the community, especially when there is no pharmacy dispensary on site or when seeing patients outside of the hospital pharmacy department operating hours. </w:t>
      </w:r>
    </w:p>
    <w:p w14:paraId="3092281A" w14:textId="77777777" w:rsidR="00A31C5B" w:rsidRPr="008B2B47" w:rsidRDefault="00A31C5B" w:rsidP="00DC54F7">
      <w:pPr>
        <w:spacing w:after="0" w:line="240" w:lineRule="auto"/>
        <w:jc w:val="both"/>
        <w:rPr>
          <w:rFonts w:ascii="Arial" w:hAnsi="Arial" w:cs="Arial"/>
          <w:sz w:val="24"/>
          <w:szCs w:val="24"/>
        </w:rPr>
      </w:pPr>
    </w:p>
    <w:p w14:paraId="7219493B" w14:textId="77777777" w:rsidR="00A31C5B" w:rsidRPr="008B2B47" w:rsidRDefault="00A31C5B" w:rsidP="00DC54F7">
      <w:pPr>
        <w:spacing w:after="0" w:line="240" w:lineRule="auto"/>
        <w:jc w:val="both"/>
        <w:rPr>
          <w:rFonts w:ascii="Arial" w:hAnsi="Arial" w:cs="Arial"/>
          <w:sz w:val="24"/>
          <w:szCs w:val="24"/>
        </w:rPr>
      </w:pPr>
      <w:r w:rsidRPr="008B2B47">
        <w:rPr>
          <w:rFonts w:ascii="Arial" w:hAnsi="Arial" w:cs="Arial"/>
          <w:sz w:val="24"/>
          <w:szCs w:val="24"/>
        </w:rPr>
        <w:t xml:space="preserve">The number of hospital issue prescription (WP10HP) items dispensed by community pharmacies has increased each year from 616,598 in 2016 to 2017 to 715,242 in 2019 to 2020. </w:t>
      </w:r>
    </w:p>
    <w:p w14:paraId="4F1B49D4" w14:textId="77777777" w:rsidR="00A31C5B" w:rsidRPr="008B2B47" w:rsidRDefault="00A31C5B" w:rsidP="00DC54F7">
      <w:pPr>
        <w:spacing w:after="0" w:line="240" w:lineRule="auto"/>
        <w:jc w:val="both"/>
        <w:rPr>
          <w:rFonts w:ascii="Arial" w:hAnsi="Arial" w:cs="Arial"/>
          <w:sz w:val="24"/>
          <w:szCs w:val="24"/>
        </w:rPr>
      </w:pPr>
    </w:p>
    <w:p w14:paraId="64EC2B58" w14:textId="77777777" w:rsidR="00A31C5B" w:rsidRPr="00A10850" w:rsidRDefault="00A31C5B" w:rsidP="00DC54F7">
      <w:pPr>
        <w:spacing w:after="0" w:line="240" w:lineRule="auto"/>
        <w:contextualSpacing/>
        <w:jc w:val="both"/>
        <w:rPr>
          <w:rFonts w:ascii="Arial" w:hAnsi="Arial" w:cs="Arial"/>
        </w:rPr>
      </w:pPr>
    </w:p>
    <w:p w14:paraId="5347CD4C" w14:textId="77777777" w:rsidR="00A31C5B" w:rsidRPr="00C962E4" w:rsidRDefault="00A31C5B" w:rsidP="00DC54F7">
      <w:pPr>
        <w:spacing w:after="0" w:line="240" w:lineRule="auto"/>
        <w:jc w:val="both"/>
        <w:rPr>
          <w:rFonts w:ascii="Arial" w:hAnsi="Arial" w:cs="Arial"/>
          <w:b/>
          <w:sz w:val="24"/>
          <w:szCs w:val="24"/>
        </w:rPr>
      </w:pPr>
      <w:r w:rsidRPr="00A10850">
        <w:rPr>
          <w:rFonts w:ascii="Arial" w:hAnsi="Arial" w:cs="Arial"/>
          <w:b/>
          <w:sz w:val="26"/>
          <w:szCs w:val="26"/>
        </w:rPr>
        <w:t xml:space="preserve">6.2 </w:t>
      </w:r>
      <w:r w:rsidRPr="00C962E4">
        <w:rPr>
          <w:rFonts w:ascii="Arial" w:hAnsi="Arial" w:cs="Arial"/>
          <w:b/>
          <w:sz w:val="24"/>
          <w:szCs w:val="24"/>
        </w:rPr>
        <w:t>Personal administration of items by GPs</w:t>
      </w:r>
    </w:p>
    <w:p w14:paraId="049BBFE5" w14:textId="77777777" w:rsidR="00A31C5B" w:rsidRPr="00C962E4" w:rsidRDefault="00A31C5B" w:rsidP="00DC54F7">
      <w:pPr>
        <w:spacing w:after="0" w:line="240" w:lineRule="auto"/>
        <w:contextualSpacing/>
        <w:jc w:val="both"/>
        <w:rPr>
          <w:rFonts w:ascii="Arial" w:hAnsi="Arial" w:cs="Arial"/>
          <w:sz w:val="24"/>
          <w:szCs w:val="24"/>
        </w:rPr>
      </w:pPr>
    </w:p>
    <w:p w14:paraId="661D5B27" w14:textId="77777777" w:rsidR="00A31C5B" w:rsidRPr="008B2B47" w:rsidRDefault="00A31C5B" w:rsidP="00DC54F7">
      <w:pPr>
        <w:spacing w:after="0" w:line="240" w:lineRule="auto"/>
        <w:contextualSpacing/>
        <w:jc w:val="both"/>
        <w:rPr>
          <w:rFonts w:ascii="Arial" w:hAnsi="Arial" w:cs="Arial"/>
          <w:sz w:val="24"/>
          <w:szCs w:val="24"/>
        </w:rPr>
      </w:pPr>
      <w:r w:rsidRPr="008B2B47">
        <w:rPr>
          <w:rFonts w:ascii="Arial" w:hAnsi="Arial" w:cs="Arial"/>
          <w:sz w:val="24"/>
          <w:szCs w:val="24"/>
        </w:rPr>
        <w:t xml:space="preserve">Under their primary medical services contract with the health board there will be occasion where a GP or other healthcare profession at the practice personally administers an item to a patient.  </w:t>
      </w:r>
    </w:p>
    <w:p w14:paraId="0F3ED265" w14:textId="77777777" w:rsidR="00A31C5B" w:rsidRPr="008B2B47" w:rsidRDefault="00A31C5B" w:rsidP="00DC54F7">
      <w:pPr>
        <w:spacing w:after="0" w:line="240" w:lineRule="auto"/>
        <w:contextualSpacing/>
        <w:jc w:val="both"/>
        <w:rPr>
          <w:rFonts w:ascii="Arial" w:hAnsi="Arial" w:cs="Arial"/>
          <w:sz w:val="24"/>
          <w:szCs w:val="24"/>
        </w:rPr>
      </w:pPr>
    </w:p>
    <w:p w14:paraId="781A1D64" w14:textId="3105C085" w:rsidR="00A31C5B" w:rsidRPr="008B2B47" w:rsidRDefault="00A31C5B" w:rsidP="00DC54F7">
      <w:pPr>
        <w:spacing w:after="0" w:line="240" w:lineRule="auto"/>
        <w:contextualSpacing/>
        <w:jc w:val="both"/>
        <w:rPr>
          <w:rFonts w:ascii="Arial" w:hAnsi="Arial" w:cs="Arial"/>
          <w:sz w:val="24"/>
          <w:szCs w:val="24"/>
        </w:rPr>
      </w:pPr>
      <w:r w:rsidRPr="008B2B47">
        <w:rPr>
          <w:rFonts w:ascii="Arial" w:hAnsi="Arial" w:cs="Arial"/>
          <w:sz w:val="24"/>
          <w:szCs w:val="24"/>
        </w:rPr>
        <w:t xml:space="preserve">Generally, when a patient requires a medicine or appliance their GP will give them a prescription which is dispensed by their preferred pharmacy or dispensing appliance contractor.  In some instances, the GP or practice nurse will supply the item against a prescription, and this is referred to as personal administration as the item that is supplied will then be administered to the patient by the GP or the nurse.  This is different to the dispensing of prescriptions and only applies to certain specified items for example vaccines, anaesthetics, injections, intra-uterine contraceptive </w:t>
      </w:r>
      <w:r w:rsidR="00C16CC7" w:rsidRPr="008B2B47">
        <w:rPr>
          <w:rFonts w:ascii="Arial" w:hAnsi="Arial" w:cs="Arial"/>
          <w:sz w:val="24"/>
          <w:szCs w:val="24"/>
        </w:rPr>
        <w:t>devices,</w:t>
      </w:r>
      <w:r w:rsidRPr="008B2B47">
        <w:rPr>
          <w:rFonts w:ascii="Arial" w:hAnsi="Arial" w:cs="Arial"/>
          <w:sz w:val="24"/>
          <w:szCs w:val="24"/>
        </w:rPr>
        <w:t xml:space="preserve"> and sutures.</w:t>
      </w:r>
    </w:p>
    <w:p w14:paraId="1CE68815" w14:textId="77777777" w:rsidR="00A31C5B" w:rsidRPr="008B2B47" w:rsidRDefault="00A31C5B" w:rsidP="00DC54F7">
      <w:pPr>
        <w:spacing w:after="0" w:line="240" w:lineRule="auto"/>
        <w:contextualSpacing/>
        <w:jc w:val="both"/>
        <w:rPr>
          <w:rFonts w:ascii="Arial" w:hAnsi="Arial" w:cs="Arial"/>
          <w:sz w:val="24"/>
          <w:szCs w:val="24"/>
        </w:rPr>
      </w:pPr>
    </w:p>
    <w:p w14:paraId="52FF3FC1" w14:textId="77777777" w:rsidR="00A31C5B" w:rsidRPr="008B2B47" w:rsidRDefault="00A31C5B" w:rsidP="00DC54F7">
      <w:pPr>
        <w:spacing w:after="0" w:line="240" w:lineRule="auto"/>
        <w:contextualSpacing/>
        <w:jc w:val="both"/>
        <w:rPr>
          <w:rFonts w:ascii="Arial" w:hAnsi="Arial" w:cs="Arial"/>
          <w:sz w:val="24"/>
          <w:szCs w:val="24"/>
        </w:rPr>
      </w:pPr>
      <w:r w:rsidRPr="008B2B47">
        <w:rPr>
          <w:rFonts w:ascii="Arial" w:hAnsi="Arial" w:cs="Arial"/>
          <w:sz w:val="24"/>
          <w:szCs w:val="24"/>
        </w:rPr>
        <w:t>For these items, the practice will produce a prescription; however, the patient is not required to take it to a pharmacy, have it dispensed and then return to the practice for it to be administered.  Instead, the practice will retain the prescription and submit it for reimbursement to the NHS Wales Shared Services Partnership at the end of the month.</w:t>
      </w:r>
    </w:p>
    <w:p w14:paraId="577B2E19" w14:textId="5E56C4F5" w:rsidR="00A31C5B" w:rsidRPr="00185101" w:rsidRDefault="00A31C5B" w:rsidP="00DC54F7">
      <w:pPr>
        <w:spacing w:after="0" w:line="240" w:lineRule="auto"/>
        <w:contextualSpacing/>
        <w:jc w:val="both"/>
        <w:rPr>
          <w:rFonts w:ascii="Arial" w:hAnsi="Arial" w:cs="Arial"/>
          <w:sz w:val="24"/>
          <w:szCs w:val="24"/>
        </w:rPr>
      </w:pPr>
      <w:r w:rsidRPr="008B2B47">
        <w:rPr>
          <w:rFonts w:ascii="Arial" w:hAnsi="Arial" w:cs="Arial"/>
          <w:sz w:val="24"/>
          <w:szCs w:val="24"/>
        </w:rPr>
        <w:t xml:space="preserve">It is not possible to quantify the total number of items that were personally administered by GP practices in Wales as the published figures include items which have been either personally administered or dispensed by dispensing practices.  However, as a minimum in 2019 to 2020, 187,850 of items were personally administered by practices that do not also dispense. </w:t>
      </w:r>
    </w:p>
    <w:p w14:paraId="2BA45AB0" w14:textId="77777777" w:rsidR="00A31C5B" w:rsidRPr="00C962E4" w:rsidRDefault="00A31C5B" w:rsidP="00DC54F7">
      <w:pPr>
        <w:spacing w:after="0" w:line="240" w:lineRule="auto"/>
        <w:jc w:val="both"/>
        <w:rPr>
          <w:rFonts w:ascii="Arial" w:hAnsi="Arial" w:cs="Arial"/>
          <w:b/>
          <w:sz w:val="24"/>
          <w:szCs w:val="24"/>
        </w:rPr>
      </w:pPr>
      <w:r w:rsidRPr="00A10850">
        <w:rPr>
          <w:rFonts w:ascii="Arial" w:hAnsi="Arial" w:cs="Arial"/>
          <w:b/>
          <w:sz w:val="26"/>
          <w:szCs w:val="26"/>
        </w:rPr>
        <w:lastRenderedPageBreak/>
        <w:t xml:space="preserve">6.3 </w:t>
      </w:r>
      <w:r w:rsidRPr="00C962E4">
        <w:rPr>
          <w:rFonts w:ascii="Arial" w:eastAsia="Calibri" w:hAnsi="Arial" w:cs="Arial"/>
          <w:b/>
          <w:bCs/>
          <w:color w:val="212529"/>
          <w:sz w:val="24"/>
          <w:szCs w:val="24"/>
          <w:shd w:val="clear" w:color="auto" w:fill="FFFFFF"/>
        </w:rPr>
        <w:t>Urgent Primary Care - Out of Hours Service</w:t>
      </w:r>
      <w:r w:rsidRPr="00C962E4">
        <w:rPr>
          <w:rFonts w:ascii="Arial" w:hAnsi="Arial" w:cs="Arial"/>
          <w:b/>
          <w:sz w:val="24"/>
          <w:szCs w:val="24"/>
        </w:rPr>
        <w:t xml:space="preserve"> (CAV24/7)</w:t>
      </w:r>
    </w:p>
    <w:p w14:paraId="5B37D11A" w14:textId="77777777" w:rsidR="00A31C5B" w:rsidRPr="003E0D80" w:rsidRDefault="00A31C5B" w:rsidP="00DC54F7">
      <w:pPr>
        <w:spacing w:after="0" w:line="240" w:lineRule="auto"/>
        <w:jc w:val="both"/>
        <w:rPr>
          <w:rFonts w:ascii="Arial" w:hAnsi="Arial" w:cs="Arial"/>
          <w:b/>
        </w:rPr>
      </w:pPr>
    </w:p>
    <w:p w14:paraId="075DB102" w14:textId="77777777" w:rsidR="00A31C5B" w:rsidRPr="00C962E4" w:rsidRDefault="00A31C5B" w:rsidP="00DC54F7">
      <w:pPr>
        <w:shd w:val="clear" w:color="auto" w:fill="FFFFFF"/>
        <w:spacing w:after="0" w:line="240" w:lineRule="auto"/>
        <w:jc w:val="both"/>
        <w:rPr>
          <w:rFonts w:ascii="Arial" w:eastAsia="Times New Roman" w:hAnsi="Arial" w:cs="Arial"/>
          <w:sz w:val="24"/>
          <w:szCs w:val="24"/>
          <w:lang w:eastAsia="en-GB"/>
        </w:rPr>
      </w:pPr>
      <w:r w:rsidRPr="00C962E4">
        <w:rPr>
          <w:rFonts w:ascii="Arial" w:eastAsia="Times New Roman" w:hAnsi="Arial" w:cs="Arial"/>
          <w:sz w:val="24"/>
          <w:szCs w:val="24"/>
          <w:lang w:eastAsia="en-GB"/>
        </w:rPr>
        <w:t xml:space="preserve">CAV24/7 is a phone first model that was set up for people living in the Cardiff and Vale University Health Board region in August 2020, in response to the </w:t>
      </w:r>
      <w:r w:rsidRPr="00C962E4">
        <w:rPr>
          <w:rFonts w:ascii="Arial" w:hAnsi="Arial" w:cs="Arial"/>
          <w:sz w:val="24"/>
          <w:szCs w:val="24"/>
        </w:rPr>
        <w:t>Coronavirus (COVID-19) pandemic</w:t>
      </w:r>
      <w:r w:rsidRPr="00C962E4">
        <w:rPr>
          <w:rFonts w:ascii="Arial" w:eastAsia="Times New Roman" w:hAnsi="Arial" w:cs="Arial"/>
          <w:sz w:val="24"/>
          <w:szCs w:val="24"/>
          <w:lang w:eastAsia="en-GB"/>
        </w:rPr>
        <w:t>. It enables people to receive a consultation remotely and be guided to the most appropriate care. This may include visiting a community pharmacy.</w:t>
      </w:r>
    </w:p>
    <w:p w14:paraId="305C560C" w14:textId="77777777" w:rsidR="00A31C5B" w:rsidRPr="00C962E4" w:rsidRDefault="00A31C5B" w:rsidP="00DC54F7">
      <w:pPr>
        <w:shd w:val="clear" w:color="auto" w:fill="FFFFFF"/>
        <w:spacing w:after="0" w:line="240" w:lineRule="auto"/>
        <w:jc w:val="both"/>
        <w:rPr>
          <w:rFonts w:ascii="Arial" w:eastAsia="Times New Roman" w:hAnsi="Arial" w:cs="Arial"/>
          <w:sz w:val="24"/>
          <w:szCs w:val="24"/>
          <w:lang w:eastAsia="en-GB"/>
        </w:rPr>
      </w:pPr>
    </w:p>
    <w:p w14:paraId="615DC64D" w14:textId="065B45AA" w:rsidR="00A31C5B" w:rsidRPr="00C962E4" w:rsidRDefault="00A31C5B" w:rsidP="00DC54F7">
      <w:pPr>
        <w:shd w:val="clear" w:color="auto" w:fill="FFFFFF"/>
        <w:spacing w:after="0" w:line="240" w:lineRule="auto"/>
        <w:jc w:val="both"/>
        <w:rPr>
          <w:rFonts w:ascii="Arial" w:eastAsia="Times New Roman" w:hAnsi="Arial" w:cs="Arial"/>
          <w:sz w:val="24"/>
          <w:szCs w:val="24"/>
          <w:lang w:eastAsia="en-GB"/>
        </w:rPr>
      </w:pPr>
      <w:r w:rsidRPr="00C962E4">
        <w:rPr>
          <w:rFonts w:ascii="Arial" w:eastAsia="Times New Roman" w:hAnsi="Arial" w:cs="Arial"/>
          <w:sz w:val="24"/>
          <w:szCs w:val="24"/>
          <w:lang w:eastAsia="en-GB"/>
        </w:rPr>
        <w:t xml:space="preserve">The CAV 24/7 dedicated phone number is 0300 10 20 247 and is available 24 hours a day, 7 days a week. It provides a single point of access for unscheduled care services including the Out of Hours Service, the Emergency Unit at University Hospital of </w:t>
      </w:r>
      <w:r w:rsidR="00C16CC7" w:rsidRPr="00C962E4">
        <w:rPr>
          <w:rFonts w:ascii="Arial" w:eastAsia="Times New Roman" w:hAnsi="Arial" w:cs="Arial"/>
          <w:sz w:val="24"/>
          <w:szCs w:val="24"/>
          <w:lang w:eastAsia="en-GB"/>
        </w:rPr>
        <w:t>Wales,</w:t>
      </w:r>
      <w:r w:rsidRPr="00C962E4">
        <w:rPr>
          <w:rFonts w:ascii="Arial" w:eastAsia="Times New Roman" w:hAnsi="Arial" w:cs="Arial"/>
          <w:sz w:val="24"/>
          <w:szCs w:val="24"/>
          <w:lang w:eastAsia="en-GB"/>
        </w:rPr>
        <w:t xml:space="preserve"> and the Minor Injuries Unit at Barry Hospital. </w:t>
      </w:r>
    </w:p>
    <w:p w14:paraId="658D5DCC" w14:textId="77777777" w:rsidR="00A31C5B" w:rsidRPr="00C962E4" w:rsidRDefault="00A31C5B" w:rsidP="00DC54F7">
      <w:pPr>
        <w:shd w:val="clear" w:color="auto" w:fill="FFFFFF"/>
        <w:spacing w:after="0" w:line="240" w:lineRule="auto"/>
        <w:jc w:val="both"/>
        <w:rPr>
          <w:rFonts w:ascii="Arial" w:eastAsia="Times New Roman" w:hAnsi="Arial" w:cs="Arial"/>
          <w:sz w:val="24"/>
          <w:szCs w:val="24"/>
          <w:lang w:eastAsia="en-GB"/>
        </w:rPr>
      </w:pPr>
    </w:p>
    <w:p w14:paraId="7B54558A" w14:textId="4BCD5FE3" w:rsidR="00A31C5B" w:rsidRPr="00C962E4" w:rsidRDefault="00A31C5B" w:rsidP="00DC54F7">
      <w:pPr>
        <w:spacing w:after="0" w:line="240" w:lineRule="auto"/>
        <w:jc w:val="both"/>
        <w:rPr>
          <w:rFonts w:ascii="Arial" w:hAnsi="Arial" w:cs="Arial"/>
          <w:sz w:val="24"/>
          <w:szCs w:val="24"/>
        </w:rPr>
      </w:pPr>
      <w:r w:rsidRPr="00C962E4">
        <w:rPr>
          <w:rFonts w:ascii="Arial" w:eastAsia="Times New Roman" w:hAnsi="Arial" w:cs="Arial"/>
          <w:sz w:val="24"/>
          <w:szCs w:val="24"/>
          <w:lang w:eastAsia="en-GB"/>
        </w:rPr>
        <w:t xml:space="preserve">Calls are taken by trained call handlers based at the </w:t>
      </w:r>
      <w:r w:rsidRPr="00C962E4">
        <w:rPr>
          <w:rFonts w:ascii="Arial" w:eastAsia="Calibri" w:hAnsi="Arial" w:cs="Arial"/>
          <w:sz w:val="24"/>
          <w:szCs w:val="24"/>
        </w:rPr>
        <w:t>CAV 24/7 triage centre at Cardiff Royal Infirmary</w:t>
      </w:r>
      <w:r w:rsidRPr="00C962E4">
        <w:rPr>
          <w:rFonts w:ascii="Arial" w:eastAsia="Times New Roman" w:hAnsi="Arial" w:cs="Arial"/>
          <w:sz w:val="24"/>
          <w:szCs w:val="24"/>
          <w:lang w:eastAsia="en-GB"/>
        </w:rPr>
        <w:t xml:space="preserve">. </w:t>
      </w:r>
      <w:r w:rsidRPr="00C962E4">
        <w:rPr>
          <w:rFonts w:ascii="Arial" w:eastAsia="Calibri" w:hAnsi="Arial" w:cs="Arial"/>
          <w:sz w:val="24"/>
          <w:szCs w:val="24"/>
          <w:shd w:val="clear" w:color="auto" w:fill="FFFFFF"/>
        </w:rPr>
        <w:t xml:space="preserve">Callers are asked </w:t>
      </w:r>
      <w:r w:rsidRPr="00C962E4">
        <w:rPr>
          <w:rFonts w:ascii="Arial" w:eastAsia="Calibri" w:hAnsi="Arial" w:cs="Arial"/>
          <w:sz w:val="24"/>
          <w:szCs w:val="24"/>
        </w:rPr>
        <w:t xml:space="preserve">a set of questions to determine the nature of the problem and to make an initial assessment. </w:t>
      </w:r>
      <w:r w:rsidRPr="00C962E4">
        <w:rPr>
          <w:rFonts w:ascii="Arial" w:eastAsia="Calibri" w:hAnsi="Arial" w:cs="Arial"/>
          <w:sz w:val="24"/>
          <w:szCs w:val="24"/>
          <w:shd w:val="clear" w:color="auto" w:fill="FFFFFF"/>
        </w:rPr>
        <w:t xml:space="preserve">If it is a life-threatening emergency, the call is escalated to 999. If not, </w:t>
      </w:r>
      <w:r w:rsidRPr="00C962E4">
        <w:rPr>
          <w:rFonts w:ascii="Arial" w:eastAsia="Calibri" w:hAnsi="Arial" w:cs="Arial"/>
          <w:sz w:val="24"/>
          <w:szCs w:val="24"/>
        </w:rPr>
        <w:t xml:space="preserve">a clinician (a doctor, </w:t>
      </w:r>
      <w:r w:rsidR="00C16CC7" w:rsidRPr="00C962E4">
        <w:rPr>
          <w:rFonts w:ascii="Arial" w:eastAsia="Calibri" w:hAnsi="Arial" w:cs="Arial"/>
          <w:sz w:val="24"/>
          <w:szCs w:val="24"/>
        </w:rPr>
        <w:t>nurse,</w:t>
      </w:r>
      <w:r w:rsidRPr="00C962E4">
        <w:rPr>
          <w:rFonts w:ascii="Arial" w:eastAsia="Calibri" w:hAnsi="Arial" w:cs="Arial"/>
          <w:sz w:val="24"/>
          <w:szCs w:val="24"/>
        </w:rPr>
        <w:t xml:space="preserve"> or paramedic) will then call-back within 20 minutes if the needs are urgent or 60 minutes if they are less urgent. The clinician may provide health advice, advice to visit an alternative service such as a community pharmacy or advice to contact their GP during normal working hours. An appointment may be required with an appropriate clinician </w:t>
      </w:r>
      <w:r w:rsidRPr="00C962E4">
        <w:rPr>
          <w:rFonts w:ascii="Arial" w:hAnsi="Arial" w:cs="Arial"/>
          <w:sz w:val="24"/>
          <w:szCs w:val="24"/>
          <w:shd w:val="clear" w:color="auto" w:fill="FFFFFF"/>
        </w:rPr>
        <w:t>within the Emergency Unit, Minor Injuries Unit, an Urgent Primary Care Centre, or another appropriate healthcare facility.</w:t>
      </w:r>
      <w:r w:rsidRPr="00C962E4">
        <w:rPr>
          <w:rFonts w:ascii="Arial" w:hAnsi="Arial" w:cs="Arial"/>
          <w:sz w:val="24"/>
          <w:szCs w:val="24"/>
        </w:rPr>
        <w:t xml:space="preserve"> </w:t>
      </w:r>
      <w:r w:rsidRPr="00C962E4">
        <w:rPr>
          <w:rFonts w:ascii="Arial" w:eastAsia="Calibri" w:hAnsi="Arial" w:cs="Arial"/>
          <w:sz w:val="24"/>
          <w:szCs w:val="24"/>
          <w:shd w:val="clear" w:color="auto" w:fill="FFFFFF"/>
        </w:rPr>
        <w:t xml:space="preserve">If, after an assessment it is decided that any medication is required, a prescription will be issued for dispensing at a community pharmacy. </w:t>
      </w:r>
    </w:p>
    <w:p w14:paraId="6D6287B1" w14:textId="77777777" w:rsidR="00A31C5B" w:rsidRPr="00C962E4" w:rsidRDefault="00A31C5B" w:rsidP="00DC54F7">
      <w:pPr>
        <w:spacing w:after="0" w:line="240" w:lineRule="auto"/>
        <w:jc w:val="both"/>
        <w:rPr>
          <w:rFonts w:ascii="Arial" w:eastAsia="Calibri" w:hAnsi="Arial" w:cs="Arial"/>
          <w:b/>
          <w:bCs/>
          <w:sz w:val="24"/>
          <w:szCs w:val="24"/>
          <w:shd w:val="clear" w:color="auto" w:fill="FFFFFF"/>
        </w:rPr>
      </w:pPr>
    </w:p>
    <w:p w14:paraId="77FC752D" w14:textId="48863530" w:rsidR="00A31C5B" w:rsidRPr="00C962E4" w:rsidRDefault="00A31C5B" w:rsidP="00DC54F7">
      <w:pPr>
        <w:shd w:val="clear" w:color="auto" w:fill="FFFFFF"/>
        <w:spacing w:after="0" w:line="240" w:lineRule="auto"/>
        <w:jc w:val="both"/>
        <w:rPr>
          <w:rFonts w:ascii="Arial" w:eastAsia="Times New Roman" w:hAnsi="Arial" w:cs="Arial"/>
          <w:bCs/>
          <w:sz w:val="24"/>
          <w:szCs w:val="24"/>
          <w:lang w:eastAsia="en-GB"/>
        </w:rPr>
      </w:pPr>
      <w:r w:rsidRPr="00C962E4">
        <w:rPr>
          <w:rFonts w:ascii="Arial" w:hAnsi="Arial" w:cs="Arial"/>
          <w:sz w:val="24"/>
          <w:szCs w:val="24"/>
        </w:rPr>
        <w:t>The Urgent Primary Care - Out of Hours Service operates during the times when GP practices are closed. It provides</w:t>
      </w:r>
      <w:r w:rsidRPr="00C962E4">
        <w:rPr>
          <w:rFonts w:ascii="Arial" w:eastAsia="Calibri" w:hAnsi="Arial" w:cs="Arial"/>
          <w:sz w:val="24"/>
          <w:szCs w:val="24"/>
          <w:shd w:val="clear" w:color="auto" w:fill="FFFFFF"/>
        </w:rPr>
        <w:t xml:space="preserve"> healthcare for those with urgent (but not emergency) medical problems that cannot wait until their GP practices next opens. </w:t>
      </w:r>
      <w:r w:rsidRPr="00C962E4">
        <w:rPr>
          <w:rFonts w:ascii="Arial" w:eastAsia="Calibri" w:hAnsi="Arial" w:cs="Arial"/>
          <w:sz w:val="24"/>
          <w:szCs w:val="24"/>
        </w:rPr>
        <w:t xml:space="preserve">The service covers the whole of Cardiff and the Vale of Glamorgan and can be accessed </w:t>
      </w:r>
      <w:r w:rsidRPr="00C962E4">
        <w:rPr>
          <w:rFonts w:ascii="Arial" w:eastAsia="Times New Roman" w:hAnsi="Arial" w:cs="Arial"/>
          <w:bCs/>
          <w:sz w:val="24"/>
          <w:szCs w:val="24"/>
          <w:lang w:eastAsia="en-GB"/>
        </w:rPr>
        <w:t xml:space="preserve">through CAV 24/7 by calling on 0300 10 20 247. </w:t>
      </w:r>
      <w:r w:rsidRPr="00C962E4">
        <w:rPr>
          <w:rFonts w:ascii="Arial" w:hAnsi="Arial" w:cs="Arial"/>
          <w:sz w:val="24"/>
          <w:szCs w:val="24"/>
        </w:rPr>
        <w:t>The Urgent Primary Care - Out of Hours</w:t>
      </w:r>
      <w:r w:rsidRPr="00C962E4">
        <w:rPr>
          <w:rFonts w:ascii="Arial" w:eastAsia="Times New Roman" w:hAnsi="Arial" w:cs="Arial"/>
          <w:bCs/>
          <w:sz w:val="24"/>
          <w:szCs w:val="24"/>
          <w:lang w:eastAsia="en-GB"/>
        </w:rPr>
        <w:t xml:space="preserve"> Service </w:t>
      </w:r>
      <w:r w:rsidRPr="00C962E4">
        <w:rPr>
          <w:rFonts w:ascii="Arial" w:eastAsia="Calibri" w:hAnsi="Arial" w:cs="Arial"/>
          <w:sz w:val="24"/>
          <w:szCs w:val="24"/>
        </w:rPr>
        <w:t xml:space="preserve">operates from three Primary Care Centres: </w:t>
      </w:r>
    </w:p>
    <w:p w14:paraId="2B28447F" w14:textId="77777777" w:rsidR="00A31C5B" w:rsidRPr="008B2B47" w:rsidRDefault="00A31C5B" w:rsidP="00DC54F7">
      <w:pPr>
        <w:spacing w:after="0" w:line="240" w:lineRule="auto"/>
        <w:jc w:val="both"/>
        <w:rPr>
          <w:rFonts w:ascii="Arial" w:eastAsia="Calibri" w:hAnsi="Arial" w:cs="Arial"/>
          <w:sz w:val="24"/>
          <w:szCs w:val="24"/>
        </w:rPr>
      </w:pPr>
    </w:p>
    <w:p w14:paraId="42D88D6F" w14:textId="77777777" w:rsidR="00A31C5B" w:rsidRPr="008B2B47" w:rsidRDefault="00A31C5B" w:rsidP="00DC54F7">
      <w:pPr>
        <w:numPr>
          <w:ilvl w:val="0"/>
          <w:numId w:val="59"/>
        </w:numPr>
        <w:spacing w:after="0" w:line="240" w:lineRule="auto"/>
        <w:contextualSpacing/>
        <w:jc w:val="both"/>
        <w:rPr>
          <w:rFonts w:ascii="Arial" w:eastAsia="Calibri" w:hAnsi="Arial" w:cs="Arial"/>
          <w:sz w:val="24"/>
          <w:szCs w:val="24"/>
        </w:rPr>
      </w:pPr>
      <w:r w:rsidRPr="008B2B47">
        <w:rPr>
          <w:rFonts w:ascii="Arial" w:eastAsia="Calibri" w:hAnsi="Arial" w:cs="Arial"/>
          <w:sz w:val="24"/>
          <w:szCs w:val="24"/>
        </w:rPr>
        <w:t>University Hospital Wales - Heath Park, Cardiff, CF14 4XW</w:t>
      </w:r>
    </w:p>
    <w:p w14:paraId="08B6B83D" w14:textId="77777777" w:rsidR="00A31C5B" w:rsidRPr="008B2B47" w:rsidRDefault="00A31C5B" w:rsidP="00DC54F7">
      <w:pPr>
        <w:numPr>
          <w:ilvl w:val="0"/>
          <w:numId w:val="59"/>
        </w:numPr>
        <w:spacing w:after="0" w:line="240" w:lineRule="auto"/>
        <w:contextualSpacing/>
        <w:jc w:val="both"/>
        <w:rPr>
          <w:rFonts w:ascii="Arial" w:eastAsia="Calibri" w:hAnsi="Arial" w:cs="Arial"/>
          <w:sz w:val="24"/>
          <w:szCs w:val="24"/>
        </w:rPr>
      </w:pPr>
      <w:r w:rsidRPr="008B2B47">
        <w:rPr>
          <w:rFonts w:ascii="Arial" w:eastAsia="Calibri" w:hAnsi="Arial" w:cs="Arial"/>
          <w:sz w:val="24"/>
          <w:szCs w:val="24"/>
        </w:rPr>
        <w:t xml:space="preserve">Cardiff Royal Infirmary - Glossop Terrace, Cardiff, CF24 0SZ </w:t>
      </w:r>
    </w:p>
    <w:p w14:paraId="64C6B8A0" w14:textId="77777777" w:rsidR="00A31C5B" w:rsidRPr="008B2B47" w:rsidRDefault="00A31C5B" w:rsidP="00DC54F7">
      <w:pPr>
        <w:numPr>
          <w:ilvl w:val="0"/>
          <w:numId w:val="59"/>
        </w:numPr>
        <w:spacing w:after="0" w:line="240" w:lineRule="auto"/>
        <w:contextualSpacing/>
        <w:jc w:val="both"/>
        <w:rPr>
          <w:rFonts w:ascii="Arial" w:eastAsia="Calibri" w:hAnsi="Arial" w:cs="Arial"/>
          <w:sz w:val="24"/>
          <w:szCs w:val="24"/>
        </w:rPr>
      </w:pPr>
      <w:r w:rsidRPr="008B2B47">
        <w:rPr>
          <w:rFonts w:ascii="Arial" w:eastAsia="Calibri" w:hAnsi="Arial" w:cs="Arial"/>
          <w:sz w:val="24"/>
          <w:szCs w:val="24"/>
        </w:rPr>
        <w:t>Barry Hospital - Colcot Road, Barry, CF62 8YH</w:t>
      </w:r>
    </w:p>
    <w:p w14:paraId="36A5C25E" w14:textId="77777777" w:rsidR="00A31C5B" w:rsidRPr="008B2B47" w:rsidRDefault="00A31C5B" w:rsidP="00DC54F7">
      <w:pPr>
        <w:spacing w:after="0" w:line="240" w:lineRule="auto"/>
        <w:ind w:left="720"/>
        <w:contextualSpacing/>
        <w:jc w:val="both"/>
        <w:rPr>
          <w:rFonts w:ascii="Arial" w:eastAsia="Calibri" w:hAnsi="Arial" w:cs="Arial"/>
          <w:sz w:val="24"/>
          <w:szCs w:val="24"/>
        </w:rPr>
      </w:pPr>
    </w:p>
    <w:p w14:paraId="101E6DBD" w14:textId="77777777" w:rsidR="00A31C5B" w:rsidRPr="00C962E4" w:rsidRDefault="00A31C5B" w:rsidP="00DC54F7">
      <w:pPr>
        <w:pStyle w:val="NormalWeb"/>
        <w:shd w:val="clear" w:color="auto" w:fill="FFFFFF"/>
        <w:spacing w:before="0" w:beforeAutospacing="0" w:after="0" w:afterAutospacing="0"/>
        <w:jc w:val="both"/>
        <w:rPr>
          <w:rFonts w:ascii="Arial" w:hAnsi="Arial" w:cs="Arial"/>
        </w:rPr>
      </w:pPr>
      <w:r w:rsidRPr="00C962E4">
        <w:rPr>
          <w:rFonts w:ascii="Arial" w:eastAsia="Calibri" w:hAnsi="Arial" w:cs="Arial"/>
          <w:shd w:val="clear" w:color="auto" w:fill="FFFFFF"/>
        </w:rPr>
        <w:t>The service is available:</w:t>
      </w:r>
    </w:p>
    <w:p w14:paraId="7A649A1D" w14:textId="77777777" w:rsidR="00A31C5B" w:rsidRPr="00C962E4" w:rsidRDefault="00A31C5B" w:rsidP="00DC54F7">
      <w:pPr>
        <w:pStyle w:val="ListParagraph"/>
        <w:numPr>
          <w:ilvl w:val="0"/>
          <w:numId w:val="62"/>
        </w:numPr>
        <w:spacing w:after="0" w:line="240" w:lineRule="auto"/>
        <w:jc w:val="both"/>
        <w:rPr>
          <w:rFonts w:ascii="Arial" w:eastAsia="Calibri" w:hAnsi="Arial" w:cs="Arial"/>
          <w:sz w:val="24"/>
          <w:szCs w:val="24"/>
          <w:shd w:val="clear" w:color="auto" w:fill="FFFFFF"/>
        </w:rPr>
      </w:pPr>
      <w:r w:rsidRPr="00C962E4">
        <w:rPr>
          <w:rFonts w:ascii="Arial" w:eastAsia="Calibri" w:hAnsi="Arial" w:cs="Arial"/>
          <w:sz w:val="24"/>
          <w:szCs w:val="24"/>
          <w:shd w:val="clear" w:color="auto" w:fill="FFFFFF"/>
        </w:rPr>
        <w:t>Weekdays: 6:30pm to 8am</w:t>
      </w:r>
    </w:p>
    <w:p w14:paraId="00793C0E" w14:textId="77777777" w:rsidR="00A31C5B" w:rsidRPr="00C962E4" w:rsidRDefault="00A31C5B" w:rsidP="00DC54F7">
      <w:pPr>
        <w:pStyle w:val="ListParagraph"/>
        <w:numPr>
          <w:ilvl w:val="0"/>
          <w:numId w:val="62"/>
        </w:numPr>
        <w:spacing w:after="0" w:line="240" w:lineRule="auto"/>
        <w:jc w:val="both"/>
        <w:rPr>
          <w:rFonts w:ascii="Arial" w:eastAsia="Calibri" w:hAnsi="Arial" w:cs="Arial"/>
          <w:sz w:val="24"/>
          <w:szCs w:val="24"/>
          <w:shd w:val="clear" w:color="auto" w:fill="FFFFFF"/>
        </w:rPr>
      </w:pPr>
      <w:r w:rsidRPr="00C962E4">
        <w:rPr>
          <w:rFonts w:ascii="Arial" w:eastAsia="Calibri" w:hAnsi="Arial" w:cs="Arial"/>
          <w:sz w:val="24"/>
          <w:szCs w:val="24"/>
          <w:shd w:val="clear" w:color="auto" w:fill="FFFFFF"/>
        </w:rPr>
        <w:t>Weekends: 6:30pm Friday to 8am Monday</w:t>
      </w:r>
    </w:p>
    <w:p w14:paraId="46019FC1" w14:textId="77777777" w:rsidR="00A31C5B" w:rsidRPr="00C962E4" w:rsidRDefault="00A31C5B" w:rsidP="00DC54F7">
      <w:pPr>
        <w:pStyle w:val="ListParagraph"/>
        <w:numPr>
          <w:ilvl w:val="0"/>
          <w:numId w:val="62"/>
        </w:numPr>
        <w:spacing w:after="0" w:line="240" w:lineRule="auto"/>
        <w:jc w:val="both"/>
        <w:rPr>
          <w:rFonts w:ascii="Arial" w:eastAsia="Calibri" w:hAnsi="Arial" w:cs="Arial"/>
          <w:sz w:val="24"/>
          <w:szCs w:val="24"/>
          <w:shd w:val="clear" w:color="auto" w:fill="FFFFFF"/>
        </w:rPr>
      </w:pPr>
      <w:r w:rsidRPr="00C962E4">
        <w:rPr>
          <w:rFonts w:ascii="Arial" w:eastAsia="Calibri" w:hAnsi="Arial" w:cs="Arial"/>
          <w:sz w:val="24"/>
          <w:szCs w:val="24"/>
          <w:shd w:val="clear" w:color="auto" w:fill="FFFFFF"/>
        </w:rPr>
        <w:t>Bank Holidays: 24 hour cover</w:t>
      </w:r>
    </w:p>
    <w:p w14:paraId="475A9192" w14:textId="77777777" w:rsidR="00A31C5B" w:rsidRPr="00C962E4" w:rsidRDefault="00A31C5B" w:rsidP="00DC54F7">
      <w:pPr>
        <w:shd w:val="clear" w:color="auto" w:fill="FFFFFF"/>
        <w:spacing w:after="0" w:line="240" w:lineRule="auto"/>
        <w:jc w:val="both"/>
        <w:rPr>
          <w:rFonts w:ascii="Arial" w:hAnsi="Arial" w:cs="Arial"/>
          <w:b/>
          <w:sz w:val="24"/>
          <w:szCs w:val="24"/>
        </w:rPr>
      </w:pPr>
    </w:p>
    <w:p w14:paraId="788F66E7" w14:textId="77777777" w:rsidR="00A31C5B" w:rsidRPr="00C962E4" w:rsidRDefault="00A31C5B" w:rsidP="00DC54F7">
      <w:pPr>
        <w:shd w:val="clear" w:color="auto" w:fill="FFFFFF"/>
        <w:spacing w:after="0" w:line="240" w:lineRule="auto"/>
        <w:jc w:val="both"/>
        <w:rPr>
          <w:rFonts w:ascii="Arial" w:eastAsia="Times New Roman" w:hAnsi="Arial" w:cs="Arial"/>
          <w:bCs/>
          <w:sz w:val="24"/>
          <w:szCs w:val="24"/>
          <w:lang w:eastAsia="en-GB"/>
        </w:rPr>
      </w:pPr>
      <w:r w:rsidRPr="00C962E4">
        <w:rPr>
          <w:rFonts w:ascii="Arial" w:hAnsi="Arial" w:cs="Arial"/>
          <w:bCs/>
          <w:sz w:val="24"/>
          <w:szCs w:val="24"/>
        </w:rPr>
        <w:t xml:space="preserve">The </w:t>
      </w:r>
      <w:r w:rsidRPr="00C962E4">
        <w:rPr>
          <w:rFonts w:ascii="Arial" w:eastAsia="Times New Roman" w:hAnsi="Arial" w:cs="Arial"/>
          <w:bCs/>
          <w:sz w:val="24"/>
          <w:szCs w:val="24"/>
          <w:shd w:val="clear" w:color="auto" w:fill="FFFFFF"/>
          <w:lang w:eastAsia="en-GB"/>
        </w:rPr>
        <w:t xml:space="preserve">Minor Injuries Unit (MIU) based at Barry Hospital, </w:t>
      </w:r>
      <w:r w:rsidRPr="00C962E4">
        <w:rPr>
          <w:rFonts w:ascii="Arial" w:eastAsia="Times New Roman" w:hAnsi="Arial" w:cs="Arial"/>
          <w:bCs/>
          <w:sz w:val="24"/>
          <w:szCs w:val="24"/>
          <w:lang w:eastAsia="en-GB"/>
        </w:rPr>
        <w:t>Colcot Road, Barry, South Glamorgan, CF62 8YH, can be accessed through CAV 24/7 by calling on 0300 10 20 247.</w:t>
      </w:r>
    </w:p>
    <w:p w14:paraId="306B9618" w14:textId="77777777" w:rsidR="00A31C5B" w:rsidRPr="00C962E4" w:rsidRDefault="00A31C5B" w:rsidP="00DC54F7">
      <w:pPr>
        <w:shd w:val="clear" w:color="auto" w:fill="FFFFFF"/>
        <w:spacing w:after="0" w:line="240" w:lineRule="auto"/>
        <w:jc w:val="both"/>
        <w:rPr>
          <w:rFonts w:ascii="Arial" w:eastAsia="Times New Roman" w:hAnsi="Arial" w:cs="Arial"/>
          <w:b/>
          <w:bCs/>
          <w:sz w:val="24"/>
          <w:szCs w:val="24"/>
          <w:lang w:eastAsia="en-GB"/>
        </w:rPr>
      </w:pPr>
    </w:p>
    <w:p w14:paraId="2A69D908" w14:textId="77777777" w:rsidR="00A31C5B" w:rsidRPr="00C962E4" w:rsidRDefault="00A31C5B" w:rsidP="00DC54F7">
      <w:pPr>
        <w:shd w:val="clear" w:color="auto" w:fill="FFFFFF"/>
        <w:spacing w:after="0" w:line="240" w:lineRule="auto"/>
        <w:jc w:val="both"/>
        <w:rPr>
          <w:rFonts w:ascii="Arial" w:eastAsia="Times New Roman" w:hAnsi="Arial" w:cs="Arial"/>
          <w:sz w:val="24"/>
          <w:szCs w:val="24"/>
          <w:lang w:eastAsia="en-GB"/>
        </w:rPr>
      </w:pPr>
      <w:r w:rsidRPr="00C962E4">
        <w:rPr>
          <w:rFonts w:ascii="Arial" w:eastAsia="Times New Roman" w:hAnsi="Arial" w:cs="Arial"/>
          <w:sz w:val="24"/>
          <w:szCs w:val="24"/>
          <w:lang w:eastAsia="en-GB"/>
        </w:rPr>
        <w:t>The following injuries can be treated at the unit:</w:t>
      </w:r>
    </w:p>
    <w:p w14:paraId="39B7D83B" w14:textId="77777777" w:rsidR="00A31C5B" w:rsidRPr="00C962E4" w:rsidRDefault="00A31C5B" w:rsidP="00DC54F7">
      <w:pPr>
        <w:numPr>
          <w:ilvl w:val="0"/>
          <w:numId w:val="58"/>
        </w:numPr>
        <w:shd w:val="clear" w:color="auto" w:fill="FFFFFF"/>
        <w:spacing w:after="0" w:line="240" w:lineRule="auto"/>
        <w:jc w:val="both"/>
        <w:rPr>
          <w:rFonts w:ascii="Arial" w:eastAsia="Times New Roman" w:hAnsi="Arial" w:cs="Arial"/>
          <w:sz w:val="24"/>
          <w:szCs w:val="24"/>
          <w:lang w:eastAsia="en-GB"/>
        </w:rPr>
      </w:pPr>
      <w:r w:rsidRPr="00C962E4">
        <w:rPr>
          <w:rFonts w:ascii="Arial" w:eastAsia="Times New Roman" w:hAnsi="Arial" w:cs="Arial"/>
          <w:sz w:val="24"/>
          <w:szCs w:val="24"/>
          <w:lang w:eastAsia="en-GB"/>
        </w:rPr>
        <w:t>cuts and grazes</w:t>
      </w:r>
    </w:p>
    <w:p w14:paraId="5CEF1E7B" w14:textId="77777777" w:rsidR="00A31C5B" w:rsidRPr="00C962E4" w:rsidRDefault="00A31C5B" w:rsidP="00DC54F7">
      <w:pPr>
        <w:numPr>
          <w:ilvl w:val="0"/>
          <w:numId w:val="58"/>
        </w:numPr>
        <w:shd w:val="clear" w:color="auto" w:fill="FFFFFF"/>
        <w:spacing w:after="0" w:line="240" w:lineRule="auto"/>
        <w:jc w:val="both"/>
        <w:rPr>
          <w:rFonts w:ascii="Arial" w:eastAsia="Times New Roman" w:hAnsi="Arial" w:cs="Arial"/>
          <w:sz w:val="24"/>
          <w:szCs w:val="24"/>
          <w:lang w:eastAsia="en-GB"/>
        </w:rPr>
      </w:pPr>
      <w:r w:rsidRPr="00C962E4">
        <w:rPr>
          <w:rFonts w:ascii="Arial" w:eastAsia="Times New Roman" w:hAnsi="Arial" w:cs="Arial"/>
          <w:sz w:val="24"/>
          <w:szCs w:val="24"/>
          <w:lang w:eastAsia="en-GB"/>
        </w:rPr>
        <w:t>sprains and strains</w:t>
      </w:r>
    </w:p>
    <w:p w14:paraId="5C7146B9" w14:textId="77777777" w:rsidR="00A31C5B" w:rsidRPr="00C962E4" w:rsidRDefault="00A31C5B" w:rsidP="00DC54F7">
      <w:pPr>
        <w:numPr>
          <w:ilvl w:val="0"/>
          <w:numId w:val="58"/>
        </w:numPr>
        <w:shd w:val="clear" w:color="auto" w:fill="FFFFFF"/>
        <w:spacing w:after="0" w:line="240" w:lineRule="auto"/>
        <w:jc w:val="both"/>
        <w:rPr>
          <w:rFonts w:ascii="Arial" w:eastAsia="Times New Roman" w:hAnsi="Arial" w:cs="Arial"/>
          <w:sz w:val="24"/>
          <w:szCs w:val="24"/>
          <w:lang w:eastAsia="en-GB"/>
        </w:rPr>
      </w:pPr>
      <w:r w:rsidRPr="00C962E4">
        <w:rPr>
          <w:rFonts w:ascii="Arial" w:eastAsia="Times New Roman" w:hAnsi="Arial" w:cs="Arial"/>
          <w:sz w:val="24"/>
          <w:szCs w:val="24"/>
          <w:lang w:eastAsia="en-GB"/>
        </w:rPr>
        <w:t>broken bones of limbs (fractures)</w:t>
      </w:r>
    </w:p>
    <w:p w14:paraId="00B31295" w14:textId="77777777" w:rsidR="00A31C5B" w:rsidRPr="00C962E4" w:rsidRDefault="00A31C5B" w:rsidP="00DC54F7">
      <w:pPr>
        <w:numPr>
          <w:ilvl w:val="0"/>
          <w:numId w:val="58"/>
        </w:numPr>
        <w:shd w:val="clear" w:color="auto" w:fill="FFFFFF"/>
        <w:spacing w:after="0" w:line="240" w:lineRule="auto"/>
        <w:jc w:val="both"/>
        <w:rPr>
          <w:rFonts w:ascii="Arial" w:eastAsia="Times New Roman" w:hAnsi="Arial" w:cs="Arial"/>
          <w:sz w:val="24"/>
          <w:szCs w:val="24"/>
          <w:lang w:eastAsia="en-GB"/>
        </w:rPr>
      </w:pPr>
      <w:r w:rsidRPr="00C962E4">
        <w:rPr>
          <w:rFonts w:ascii="Arial" w:eastAsia="Times New Roman" w:hAnsi="Arial" w:cs="Arial"/>
          <w:sz w:val="24"/>
          <w:szCs w:val="24"/>
          <w:lang w:eastAsia="en-GB"/>
        </w:rPr>
        <w:t>bites and stings (including human bites)</w:t>
      </w:r>
    </w:p>
    <w:p w14:paraId="70DC9CC4" w14:textId="77777777" w:rsidR="00A31C5B" w:rsidRPr="002B04BB" w:rsidRDefault="00A31C5B" w:rsidP="00DC54F7">
      <w:pPr>
        <w:numPr>
          <w:ilvl w:val="0"/>
          <w:numId w:val="58"/>
        </w:numPr>
        <w:shd w:val="clear" w:color="auto" w:fill="FFFFFF"/>
        <w:spacing w:after="0" w:line="240" w:lineRule="auto"/>
        <w:jc w:val="both"/>
        <w:rPr>
          <w:rFonts w:ascii="Arial" w:eastAsia="Times New Roman" w:hAnsi="Arial" w:cs="Arial"/>
          <w:sz w:val="24"/>
          <w:szCs w:val="24"/>
          <w:lang w:eastAsia="en-GB"/>
        </w:rPr>
      </w:pPr>
      <w:r w:rsidRPr="002B04BB">
        <w:rPr>
          <w:rFonts w:ascii="Arial" w:eastAsia="Times New Roman" w:hAnsi="Arial" w:cs="Arial"/>
          <w:sz w:val="24"/>
          <w:szCs w:val="24"/>
          <w:lang w:eastAsia="en-GB"/>
        </w:rPr>
        <w:lastRenderedPageBreak/>
        <w:t>infected wound</w:t>
      </w:r>
    </w:p>
    <w:p w14:paraId="5A7705B6" w14:textId="77777777" w:rsidR="00A31C5B" w:rsidRPr="002B04BB" w:rsidRDefault="00A31C5B" w:rsidP="00DC54F7">
      <w:pPr>
        <w:numPr>
          <w:ilvl w:val="0"/>
          <w:numId w:val="58"/>
        </w:numPr>
        <w:shd w:val="clear" w:color="auto" w:fill="FFFFFF"/>
        <w:spacing w:after="0" w:line="240" w:lineRule="auto"/>
        <w:jc w:val="both"/>
        <w:rPr>
          <w:rFonts w:ascii="Arial" w:eastAsia="Times New Roman" w:hAnsi="Arial" w:cs="Arial"/>
          <w:sz w:val="24"/>
          <w:szCs w:val="24"/>
          <w:lang w:eastAsia="en-GB"/>
        </w:rPr>
      </w:pPr>
      <w:r w:rsidRPr="002B04BB">
        <w:rPr>
          <w:rFonts w:ascii="Arial" w:eastAsia="Times New Roman" w:hAnsi="Arial" w:cs="Arial"/>
          <w:sz w:val="24"/>
          <w:szCs w:val="24"/>
          <w:lang w:eastAsia="en-GB"/>
        </w:rPr>
        <w:t>minor head injuries</w:t>
      </w:r>
    </w:p>
    <w:p w14:paraId="2322FBE6" w14:textId="77777777" w:rsidR="00A31C5B" w:rsidRPr="002B04BB" w:rsidRDefault="00A31C5B" w:rsidP="00DC54F7">
      <w:pPr>
        <w:numPr>
          <w:ilvl w:val="0"/>
          <w:numId w:val="58"/>
        </w:numPr>
        <w:shd w:val="clear" w:color="auto" w:fill="FFFFFF"/>
        <w:spacing w:after="0" w:line="240" w:lineRule="auto"/>
        <w:jc w:val="both"/>
        <w:rPr>
          <w:rFonts w:ascii="Arial" w:eastAsia="Times New Roman" w:hAnsi="Arial" w:cs="Arial"/>
          <w:sz w:val="24"/>
          <w:szCs w:val="24"/>
          <w:lang w:eastAsia="en-GB"/>
        </w:rPr>
      </w:pPr>
      <w:r w:rsidRPr="002B04BB">
        <w:rPr>
          <w:rFonts w:ascii="Arial" w:eastAsia="Times New Roman" w:hAnsi="Arial" w:cs="Arial"/>
          <w:sz w:val="24"/>
          <w:szCs w:val="24"/>
          <w:lang w:eastAsia="en-GB"/>
        </w:rPr>
        <w:t>eye problems such as scratches or something that is stuck in the eye.</w:t>
      </w:r>
    </w:p>
    <w:p w14:paraId="102665CC" w14:textId="77777777" w:rsidR="00A31C5B" w:rsidRPr="002B04BB" w:rsidRDefault="00A31C5B" w:rsidP="00DC54F7">
      <w:pPr>
        <w:spacing w:after="0" w:line="240" w:lineRule="auto"/>
        <w:jc w:val="both"/>
        <w:rPr>
          <w:rFonts w:ascii="Arial" w:hAnsi="Arial" w:cs="Arial"/>
          <w:b/>
          <w:sz w:val="24"/>
          <w:szCs w:val="24"/>
        </w:rPr>
      </w:pPr>
    </w:p>
    <w:p w14:paraId="2C1C0247" w14:textId="77777777" w:rsidR="00A31C5B" w:rsidRPr="002B04BB" w:rsidRDefault="00A31C5B" w:rsidP="00DC54F7">
      <w:pPr>
        <w:shd w:val="clear" w:color="auto" w:fill="FFFFFF"/>
        <w:spacing w:after="0" w:line="240" w:lineRule="auto"/>
        <w:jc w:val="both"/>
        <w:rPr>
          <w:rFonts w:ascii="Arial" w:eastAsia="Times New Roman" w:hAnsi="Arial" w:cs="Arial"/>
          <w:sz w:val="24"/>
          <w:szCs w:val="24"/>
          <w:shd w:val="clear" w:color="auto" w:fill="FFFFFF"/>
          <w:lang w:eastAsia="en-GB"/>
        </w:rPr>
      </w:pPr>
      <w:r w:rsidRPr="002B04BB">
        <w:rPr>
          <w:rFonts w:ascii="Arial" w:hAnsi="Arial" w:cs="Arial"/>
          <w:sz w:val="24"/>
          <w:szCs w:val="24"/>
        </w:rPr>
        <w:t xml:space="preserve">The service is available: </w:t>
      </w:r>
    </w:p>
    <w:p w14:paraId="499015FD" w14:textId="77777777" w:rsidR="00A31C5B" w:rsidRPr="002B04BB" w:rsidRDefault="00A31C5B" w:rsidP="00DC54F7">
      <w:pPr>
        <w:pStyle w:val="ListParagraph"/>
        <w:numPr>
          <w:ilvl w:val="0"/>
          <w:numId w:val="63"/>
        </w:numPr>
        <w:shd w:val="clear" w:color="auto" w:fill="FFFFFF"/>
        <w:spacing w:after="0" w:line="240" w:lineRule="auto"/>
        <w:jc w:val="both"/>
        <w:rPr>
          <w:rFonts w:ascii="Arial" w:eastAsia="Times New Roman" w:hAnsi="Arial" w:cs="Arial"/>
          <w:sz w:val="24"/>
          <w:szCs w:val="24"/>
          <w:lang w:eastAsia="en-GB"/>
        </w:rPr>
      </w:pPr>
      <w:r w:rsidRPr="002B04BB">
        <w:rPr>
          <w:rFonts w:ascii="Arial" w:eastAsia="Times New Roman" w:hAnsi="Arial" w:cs="Arial"/>
          <w:sz w:val="24"/>
          <w:szCs w:val="24"/>
          <w:lang w:eastAsia="en-GB"/>
        </w:rPr>
        <w:t>Monday to Friday 8.30am - 3.30pm. </w:t>
      </w:r>
    </w:p>
    <w:p w14:paraId="37A86D97" w14:textId="77777777" w:rsidR="00A31C5B" w:rsidRPr="002B04BB" w:rsidRDefault="00A31C5B" w:rsidP="00DC54F7">
      <w:pPr>
        <w:shd w:val="clear" w:color="auto" w:fill="FFFFFF"/>
        <w:spacing w:after="0" w:line="240" w:lineRule="auto"/>
        <w:jc w:val="both"/>
        <w:rPr>
          <w:rFonts w:ascii="Arial" w:eastAsia="Times New Roman" w:hAnsi="Arial" w:cs="Arial"/>
          <w:sz w:val="24"/>
          <w:szCs w:val="24"/>
          <w:lang w:eastAsia="en-GB"/>
        </w:rPr>
      </w:pPr>
    </w:p>
    <w:p w14:paraId="53811C29" w14:textId="77777777" w:rsidR="00A31C5B" w:rsidRPr="002B04BB" w:rsidRDefault="00A31C5B" w:rsidP="00DC54F7">
      <w:pPr>
        <w:shd w:val="clear" w:color="auto" w:fill="FFFFFF"/>
        <w:spacing w:after="0" w:line="240" w:lineRule="auto"/>
        <w:jc w:val="both"/>
        <w:rPr>
          <w:rFonts w:ascii="Arial" w:eastAsia="Times New Roman" w:hAnsi="Arial" w:cs="Arial"/>
          <w:lang w:eastAsia="en-GB"/>
        </w:rPr>
      </w:pPr>
      <w:r w:rsidRPr="002B04BB">
        <w:rPr>
          <w:rFonts w:ascii="Arial" w:eastAsia="Times New Roman" w:hAnsi="Arial" w:cs="Arial"/>
          <w:sz w:val="24"/>
          <w:szCs w:val="24"/>
          <w:lang w:eastAsia="en-GB"/>
        </w:rPr>
        <w:t>T</w:t>
      </w:r>
      <w:r w:rsidRPr="002B04BB">
        <w:rPr>
          <w:rFonts w:ascii="Arial" w:eastAsia="Times New Roman" w:hAnsi="Arial" w:cs="Arial"/>
          <w:sz w:val="24"/>
          <w:szCs w:val="24"/>
          <w:shd w:val="clear" w:color="auto" w:fill="FFFFFF"/>
          <w:lang w:eastAsia="en-GB"/>
        </w:rPr>
        <w:t>he Unit is closed on Saturdays and Sundays</w:t>
      </w:r>
      <w:r w:rsidRPr="002B04BB">
        <w:rPr>
          <w:rFonts w:ascii="Arial" w:eastAsia="Times New Roman" w:hAnsi="Arial" w:cs="Arial"/>
          <w:shd w:val="clear" w:color="auto" w:fill="FFFFFF"/>
          <w:lang w:eastAsia="en-GB"/>
        </w:rPr>
        <w:t>.</w:t>
      </w:r>
      <w:r w:rsidRPr="002B04BB">
        <w:rPr>
          <w:rFonts w:ascii="Segoe UI" w:hAnsi="Segoe UI" w:cs="Segoe UI"/>
          <w:shd w:val="clear" w:color="auto" w:fill="FFFFFF"/>
        </w:rPr>
        <w:t xml:space="preserve"> </w:t>
      </w:r>
    </w:p>
    <w:p w14:paraId="1B2236BA" w14:textId="77777777" w:rsidR="00A31C5B" w:rsidRPr="002B04BB" w:rsidRDefault="00A31C5B" w:rsidP="00DC54F7">
      <w:pPr>
        <w:spacing w:after="0" w:line="240" w:lineRule="auto"/>
        <w:jc w:val="both"/>
        <w:rPr>
          <w:rFonts w:ascii="Arial" w:hAnsi="Arial" w:cs="Arial"/>
          <w:b/>
          <w:sz w:val="26"/>
          <w:szCs w:val="26"/>
          <w:lang w:val="en"/>
        </w:rPr>
      </w:pPr>
    </w:p>
    <w:p w14:paraId="0A9A2B48" w14:textId="77777777" w:rsidR="00A31C5B" w:rsidRDefault="00A31C5B" w:rsidP="00DC54F7">
      <w:pPr>
        <w:spacing w:after="0" w:line="240" w:lineRule="auto"/>
        <w:jc w:val="both"/>
        <w:rPr>
          <w:rFonts w:ascii="Arial" w:hAnsi="Arial" w:cs="Arial"/>
          <w:b/>
          <w:sz w:val="26"/>
          <w:szCs w:val="26"/>
          <w:lang w:val="en"/>
        </w:rPr>
      </w:pPr>
    </w:p>
    <w:p w14:paraId="577B14FD" w14:textId="77777777" w:rsidR="00A31C5B" w:rsidRDefault="00A31C5B" w:rsidP="00DC54F7">
      <w:pPr>
        <w:spacing w:after="0" w:line="240" w:lineRule="auto"/>
        <w:jc w:val="both"/>
        <w:rPr>
          <w:rFonts w:ascii="Arial" w:hAnsi="Arial" w:cs="Arial"/>
          <w:b/>
          <w:sz w:val="26"/>
          <w:szCs w:val="26"/>
          <w:lang w:val="en"/>
        </w:rPr>
      </w:pPr>
      <w:r w:rsidRPr="00A10850">
        <w:rPr>
          <w:rFonts w:ascii="Arial" w:hAnsi="Arial" w:cs="Arial"/>
          <w:b/>
          <w:sz w:val="26"/>
          <w:szCs w:val="26"/>
          <w:lang w:val="en"/>
        </w:rPr>
        <w:t>6.</w:t>
      </w:r>
      <w:r>
        <w:rPr>
          <w:rFonts w:ascii="Arial" w:hAnsi="Arial" w:cs="Arial"/>
          <w:b/>
          <w:sz w:val="26"/>
          <w:szCs w:val="26"/>
          <w:lang w:val="en"/>
        </w:rPr>
        <w:t>4</w:t>
      </w:r>
      <w:r w:rsidRPr="00A10850">
        <w:rPr>
          <w:rFonts w:ascii="Arial" w:hAnsi="Arial" w:cs="Arial"/>
          <w:b/>
          <w:sz w:val="26"/>
          <w:szCs w:val="26"/>
          <w:lang w:val="en"/>
        </w:rPr>
        <w:t xml:space="preserve"> Prisons</w:t>
      </w:r>
    </w:p>
    <w:p w14:paraId="27E111B7" w14:textId="77777777" w:rsidR="00A31C5B" w:rsidRDefault="00A31C5B" w:rsidP="00DC54F7">
      <w:pPr>
        <w:spacing w:after="0" w:line="240" w:lineRule="auto"/>
        <w:jc w:val="both"/>
        <w:rPr>
          <w:rFonts w:ascii="Arial" w:hAnsi="Arial" w:cs="Arial"/>
          <w:shd w:val="clear" w:color="auto" w:fill="FFFFFF"/>
        </w:rPr>
      </w:pPr>
    </w:p>
    <w:p w14:paraId="0071713A" w14:textId="77777777" w:rsidR="00A31C5B" w:rsidRPr="008B2B47" w:rsidRDefault="00A31C5B" w:rsidP="00DC54F7">
      <w:pPr>
        <w:spacing w:after="0" w:line="240" w:lineRule="auto"/>
        <w:jc w:val="both"/>
        <w:rPr>
          <w:rFonts w:ascii="Arial" w:hAnsi="Arial" w:cs="Arial"/>
          <w:sz w:val="24"/>
          <w:szCs w:val="24"/>
          <w:shd w:val="clear" w:color="auto" w:fill="FFFFFF"/>
        </w:rPr>
      </w:pPr>
      <w:r w:rsidRPr="008B2B47">
        <w:rPr>
          <w:rFonts w:ascii="Arial" w:hAnsi="Arial" w:cs="Arial"/>
          <w:sz w:val="24"/>
          <w:szCs w:val="24"/>
          <w:shd w:val="clear" w:color="auto" w:fill="FFFFFF"/>
        </w:rPr>
        <w:t xml:space="preserve">HMP Cardiff is a category B prison holding male adult prisoners on remand or those sentenced to usually less than two years. It is situated in the heart of the city and serves the courts of the South East Wales region. </w:t>
      </w:r>
    </w:p>
    <w:p w14:paraId="1B116616" w14:textId="77777777" w:rsidR="00A31C5B" w:rsidRPr="008B2B47" w:rsidRDefault="00A31C5B" w:rsidP="00DC54F7">
      <w:pPr>
        <w:spacing w:after="0" w:line="240" w:lineRule="auto"/>
        <w:jc w:val="both"/>
        <w:rPr>
          <w:rFonts w:ascii="Arial" w:hAnsi="Arial" w:cs="Arial"/>
          <w:sz w:val="24"/>
          <w:szCs w:val="24"/>
          <w:shd w:val="clear" w:color="auto" w:fill="FFFFFF"/>
        </w:rPr>
      </w:pPr>
    </w:p>
    <w:p w14:paraId="05860D53" w14:textId="77777777" w:rsidR="00A31C5B" w:rsidRPr="008B2B47" w:rsidRDefault="00A31C5B" w:rsidP="00DC54F7">
      <w:pPr>
        <w:spacing w:after="0" w:line="240" w:lineRule="auto"/>
        <w:jc w:val="both"/>
        <w:rPr>
          <w:rFonts w:ascii="Arial" w:hAnsi="Arial" w:cs="Arial"/>
          <w:b/>
          <w:sz w:val="24"/>
          <w:szCs w:val="24"/>
        </w:rPr>
      </w:pPr>
      <w:r w:rsidRPr="008B2B47">
        <w:rPr>
          <w:rFonts w:ascii="Arial" w:hAnsi="Arial" w:cs="Arial"/>
          <w:sz w:val="24"/>
          <w:szCs w:val="24"/>
        </w:rPr>
        <w:t>Cardiff and Vale University Health Board provides health services in the prison, including mental health and substance misuse services.</w:t>
      </w:r>
      <w:r w:rsidRPr="008B2B47">
        <w:rPr>
          <w:rFonts w:ascii="Arial" w:hAnsi="Arial" w:cs="Arial"/>
          <w:b/>
          <w:sz w:val="24"/>
          <w:szCs w:val="24"/>
        </w:rPr>
        <w:t xml:space="preserve"> </w:t>
      </w:r>
      <w:r w:rsidRPr="008B2B47">
        <w:rPr>
          <w:rFonts w:ascii="Arial" w:hAnsi="Arial" w:cs="Arial"/>
          <w:sz w:val="24"/>
          <w:szCs w:val="24"/>
        </w:rPr>
        <w:t xml:space="preserve">HMP Cardiff has an inhouse pharmacy service commissioned and employed directly by Cardiff and Vale University Health Board. The pharmacy uses a wide range of patient group directions (PGD’s) covering vaccinations and minor ailment remedies, including treatment for drug and alcohol withdrawal symptoms. On discharge, prisoners are provided with a supply of their medication or have provisions made for them to obtain medication from a community pharmacy.  </w:t>
      </w:r>
    </w:p>
    <w:p w14:paraId="02B9D208" w14:textId="77777777" w:rsidR="00A31C5B" w:rsidRPr="008B2B47" w:rsidRDefault="00A31C5B" w:rsidP="00DC54F7">
      <w:pPr>
        <w:spacing w:after="0" w:line="240" w:lineRule="auto"/>
        <w:jc w:val="both"/>
        <w:rPr>
          <w:rFonts w:ascii="Arial" w:hAnsi="Arial" w:cs="Arial"/>
          <w:sz w:val="24"/>
          <w:szCs w:val="24"/>
        </w:rPr>
      </w:pPr>
    </w:p>
    <w:p w14:paraId="2DBB2076" w14:textId="77777777" w:rsidR="00A31C5B" w:rsidRDefault="00A31C5B" w:rsidP="00DC54F7">
      <w:pPr>
        <w:spacing w:after="0" w:line="240" w:lineRule="auto"/>
        <w:jc w:val="both"/>
        <w:rPr>
          <w:rFonts w:ascii="Arial" w:hAnsi="Arial" w:cs="Arial"/>
          <w:b/>
          <w:sz w:val="26"/>
          <w:szCs w:val="26"/>
          <w:lang w:val="en"/>
        </w:rPr>
      </w:pPr>
    </w:p>
    <w:p w14:paraId="7ED91CC1" w14:textId="77777777" w:rsidR="00A31C5B" w:rsidRPr="005C46CC" w:rsidRDefault="00A31C5B" w:rsidP="00DC54F7">
      <w:pPr>
        <w:spacing w:after="0" w:line="240" w:lineRule="auto"/>
        <w:jc w:val="both"/>
        <w:rPr>
          <w:rFonts w:ascii="Arial" w:hAnsi="Arial" w:cs="Arial"/>
          <w:b/>
          <w:sz w:val="26"/>
          <w:szCs w:val="26"/>
          <w:lang w:val="en"/>
        </w:rPr>
      </w:pPr>
      <w:r w:rsidRPr="005C46CC">
        <w:rPr>
          <w:rFonts w:ascii="Arial" w:hAnsi="Arial" w:cs="Arial"/>
          <w:b/>
          <w:sz w:val="26"/>
          <w:szCs w:val="26"/>
          <w:lang w:val="en"/>
        </w:rPr>
        <w:t>6.</w:t>
      </w:r>
      <w:r>
        <w:rPr>
          <w:rFonts w:ascii="Arial" w:hAnsi="Arial" w:cs="Arial"/>
          <w:b/>
          <w:sz w:val="26"/>
          <w:szCs w:val="26"/>
          <w:lang w:val="en"/>
        </w:rPr>
        <w:t>5</w:t>
      </w:r>
      <w:r w:rsidRPr="005C46CC">
        <w:rPr>
          <w:rFonts w:ascii="Arial" w:hAnsi="Arial" w:cs="Arial"/>
          <w:b/>
          <w:sz w:val="26"/>
          <w:szCs w:val="26"/>
          <w:lang w:val="en"/>
        </w:rPr>
        <w:t xml:space="preserve"> </w:t>
      </w:r>
      <w:r w:rsidRPr="005C46CC">
        <w:rPr>
          <w:rStyle w:val="Strong"/>
          <w:rFonts w:ascii="Arial" w:hAnsi="Arial" w:cs="Arial"/>
          <w:sz w:val="26"/>
          <w:szCs w:val="26"/>
          <w:shd w:val="clear" w:color="auto" w:fill="FFFFFF"/>
        </w:rPr>
        <w:t xml:space="preserve">Online </w:t>
      </w:r>
      <w:r>
        <w:rPr>
          <w:rStyle w:val="Strong"/>
          <w:rFonts w:ascii="Arial" w:hAnsi="Arial" w:cs="Arial"/>
          <w:sz w:val="26"/>
          <w:szCs w:val="26"/>
          <w:shd w:val="clear" w:color="auto" w:fill="FFFFFF"/>
        </w:rPr>
        <w:t>N</w:t>
      </w:r>
      <w:r w:rsidRPr="005C46CC">
        <w:rPr>
          <w:rStyle w:val="Strong"/>
          <w:rFonts w:ascii="Arial" w:hAnsi="Arial" w:cs="Arial"/>
          <w:sz w:val="26"/>
          <w:szCs w:val="26"/>
          <w:shd w:val="clear" w:color="auto" w:fill="FFFFFF"/>
        </w:rPr>
        <w:t>on</w:t>
      </w:r>
      <w:r>
        <w:rPr>
          <w:rStyle w:val="Strong"/>
          <w:rFonts w:ascii="Arial" w:hAnsi="Arial" w:cs="Arial"/>
          <w:sz w:val="26"/>
          <w:szCs w:val="26"/>
          <w:shd w:val="clear" w:color="auto" w:fill="FFFFFF"/>
        </w:rPr>
        <w:t xml:space="preserve"> P</w:t>
      </w:r>
      <w:r w:rsidRPr="005C46CC">
        <w:rPr>
          <w:rStyle w:val="Strong"/>
          <w:rFonts w:ascii="Arial" w:hAnsi="Arial" w:cs="Arial"/>
          <w:sz w:val="26"/>
          <w:szCs w:val="26"/>
          <w:shd w:val="clear" w:color="auto" w:fill="FFFFFF"/>
        </w:rPr>
        <w:t xml:space="preserve">rescription </w:t>
      </w:r>
      <w:r>
        <w:rPr>
          <w:rStyle w:val="Strong"/>
          <w:rFonts w:ascii="Arial" w:hAnsi="Arial" w:cs="Arial"/>
          <w:sz w:val="26"/>
          <w:szCs w:val="26"/>
          <w:shd w:val="clear" w:color="auto" w:fill="FFFFFF"/>
        </w:rPr>
        <w:t>O</w:t>
      </w:r>
      <w:r w:rsidRPr="005C46CC">
        <w:rPr>
          <w:rStyle w:val="Strong"/>
          <w:rFonts w:ascii="Arial" w:hAnsi="Arial" w:cs="Arial"/>
          <w:sz w:val="26"/>
          <w:szCs w:val="26"/>
          <w:shd w:val="clear" w:color="auto" w:fill="FFFFFF"/>
        </w:rPr>
        <w:t xml:space="preserve">rdering </w:t>
      </w:r>
      <w:r>
        <w:rPr>
          <w:rStyle w:val="Strong"/>
          <w:rFonts w:ascii="Arial" w:hAnsi="Arial" w:cs="Arial"/>
          <w:sz w:val="26"/>
          <w:szCs w:val="26"/>
          <w:shd w:val="clear" w:color="auto" w:fill="FFFFFF"/>
        </w:rPr>
        <w:t>S</w:t>
      </w:r>
      <w:r w:rsidRPr="005C46CC">
        <w:rPr>
          <w:rStyle w:val="Strong"/>
          <w:rFonts w:ascii="Arial" w:hAnsi="Arial" w:cs="Arial"/>
          <w:sz w:val="26"/>
          <w:szCs w:val="26"/>
          <w:shd w:val="clear" w:color="auto" w:fill="FFFFFF"/>
        </w:rPr>
        <w:t xml:space="preserve">ervice </w:t>
      </w:r>
      <w:r w:rsidRPr="005C46CC">
        <w:rPr>
          <w:rStyle w:val="Strong"/>
          <w:rFonts w:ascii="Arial" w:hAnsi="Arial" w:cs="Arial"/>
          <w:color w:val="111111"/>
          <w:sz w:val="26"/>
          <w:szCs w:val="26"/>
          <w:shd w:val="clear" w:color="auto" w:fill="FFFFFF"/>
        </w:rPr>
        <w:t>(</w:t>
      </w:r>
      <w:r w:rsidRPr="005C46CC">
        <w:rPr>
          <w:rFonts w:ascii="Arial" w:hAnsi="Arial" w:cs="Arial"/>
          <w:b/>
          <w:sz w:val="26"/>
          <w:szCs w:val="26"/>
          <w:lang w:val="en"/>
        </w:rPr>
        <w:t xml:space="preserve">ONPOS) </w:t>
      </w:r>
      <w:r>
        <w:rPr>
          <w:rFonts w:ascii="Arial" w:hAnsi="Arial" w:cs="Arial"/>
          <w:b/>
          <w:sz w:val="26"/>
          <w:szCs w:val="26"/>
          <w:lang w:val="en"/>
        </w:rPr>
        <w:t>d</w:t>
      </w:r>
      <w:r w:rsidRPr="005C46CC">
        <w:rPr>
          <w:rFonts w:ascii="Arial" w:hAnsi="Arial" w:cs="Arial"/>
          <w:b/>
          <w:sz w:val="26"/>
          <w:szCs w:val="26"/>
          <w:lang w:val="en"/>
        </w:rPr>
        <w:t xml:space="preserve">ressings </w:t>
      </w:r>
      <w:r>
        <w:rPr>
          <w:rFonts w:ascii="Arial" w:hAnsi="Arial" w:cs="Arial"/>
          <w:b/>
          <w:sz w:val="26"/>
          <w:szCs w:val="26"/>
          <w:lang w:val="en"/>
        </w:rPr>
        <w:t>s</w:t>
      </w:r>
      <w:r w:rsidRPr="005C46CC">
        <w:rPr>
          <w:rFonts w:ascii="Arial" w:hAnsi="Arial" w:cs="Arial"/>
          <w:b/>
          <w:sz w:val="26"/>
          <w:szCs w:val="26"/>
          <w:lang w:val="en"/>
        </w:rPr>
        <w:t>ystem</w:t>
      </w:r>
    </w:p>
    <w:p w14:paraId="6A31150E" w14:textId="77777777" w:rsidR="00A31C5B" w:rsidRDefault="00A31C5B" w:rsidP="00DC54F7">
      <w:pPr>
        <w:spacing w:after="0" w:line="240" w:lineRule="auto"/>
        <w:jc w:val="both"/>
        <w:rPr>
          <w:rFonts w:ascii="Arial" w:hAnsi="Arial" w:cs="Arial"/>
        </w:rPr>
      </w:pPr>
    </w:p>
    <w:p w14:paraId="7801A2C2" w14:textId="37E6918E" w:rsidR="00A31C5B" w:rsidRPr="008B2B47" w:rsidRDefault="00A31C5B" w:rsidP="00DC54F7">
      <w:pPr>
        <w:spacing w:after="0" w:line="240" w:lineRule="auto"/>
        <w:jc w:val="both"/>
        <w:rPr>
          <w:rFonts w:ascii="Arial" w:hAnsi="Arial" w:cs="Arial"/>
          <w:sz w:val="24"/>
          <w:szCs w:val="24"/>
        </w:rPr>
      </w:pPr>
      <w:r w:rsidRPr="009E243B">
        <w:rPr>
          <w:rStyle w:val="Strong"/>
          <w:rFonts w:ascii="Arial" w:hAnsi="Arial" w:cs="Arial"/>
          <w:b w:val="0"/>
          <w:bCs w:val="0"/>
          <w:color w:val="111111"/>
          <w:shd w:val="clear" w:color="auto" w:fill="FFFFFF"/>
        </w:rPr>
        <w:t xml:space="preserve">ONPOS is a wound dressing procurement system and has been introduced in Cardiff and </w:t>
      </w:r>
      <w:r w:rsidRPr="008B2B47">
        <w:rPr>
          <w:rStyle w:val="Strong"/>
          <w:rFonts w:ascii="Arial" w:hAnsi="Arial" w:cs="Arial"/>
          <w:b w:val="0"/>
          <w:bCs w:val="0"/>
          <w:color w:val="111111"/>
          <w:sz w:val="24"/>
          <w:szCs w:val="24"/>
          <w:shd w:val="clear" w:color="auto" w:fill="FFFFFF"/>
        </w:rPr>
        <w:t xml:space="preserve">Vale University Health Board </w:t>
      </w:r>
      <w:r w:rsidRPr="008B2B47">
        <w:rPr>
          <w:rFonts w:ascii="Arial" w:eastAsia="Times New Roman" w:hAnsi="Arial" w:cs="Arial"/>
          <w:sz w:val="24"/>
          <w:szCs w:val="24"/>
          <w:lang w:eastAsia="en-GB"/>
        </w:rPr>
        <w:t>to</w:t>
      </w:r>
      <w:r w:rsidRPr="008B2B47">
        <w:rPr>
          <w:rStyle w:val="Strong"/>
          <w:rFonts w:ascii="Arial" w:hAnsi="Arial" w:cs="Arial"/>
          <w:b w:val="0"/>
          <w:bCs w:val="0"/>
          <w:color w:val="111111"/>
          <w:sz w:val="24"/>
          <w:szCs w:val="24"/>
          <w:shd w:val="clear" w:color="auto" w:fill="FFFFFF"/>
        </w:rPr>
        <w:t xml:space="preserve"> improve the management of wound care and to reduce waste. It allows community services to order formulary agreed dressings through an online portal for supply through participating community pharmacies, without the need for a prescription. It allows for stocks of dressings to be kept at permitted bases, enabling patients to be treated more efficiently. It also prevents wastage as, u</w:t>
      </w:r>
      <w:r w:rsidRPr="008B2B47">
        <w:rPr>
          <w:rFonts w:ascii="Arial" w:hAnsi="Arial" w:cs="Arial"/>
          <w:sz w:val="24"/>
          <w:szCs w:val="24"/>
        </w:rPr>
        <w:t>nlike prescribed dressings, wound care products sourced through ONPOS can be used on any patient within a team’s caseload. This prevents the need for part used boxes of dressings to be thrown away if they are not suitable for the patient, as is the current practice with prescribed dressings</w:t>
      </w:r>
      <w:r w:rsidR="008E05C0" w:rsidRPr="008B2B47">
        <w:rPr>
          <w:rFonts w:ascii="Arial" w:hAnsi="Arial" w:cs="Arial"/>
          <w:sz w:val="24"/>
          <w:szCs w:val="24"/>
        </w:rPr>
        <w:t xml:space="preserve"> </w:t>
      </w:r>
      <w:r w:rsidR="00BB2E1B" w:rsidRPr="008B2B47">
        <w:rPr>
          <w:rFonts w:ascii="Arial" w:hAnsi="Arial" w:cs="Arial"/>
          <w:sz w:val="24"/>
          <w:szCs w:val="24"/>
        </w:rPr>
        <w:t xml:space="preserve">to comply with </w:t>
      </w:r>
      <w:r w:rsidR="008E05C0" w:rsidRPr="008B2B47">
        <w:rPr>
          <w:rFonts w:ascii="Arial" w:hAnsi="Arial" w:cs="Arial"/>
          <w:sz w:val="24"/>
          <w:szCs w:val="24"/>
        </w:rPr>
        <w:t>legal requirements</w:t>
      </w:r>
      <w:r w:rsidRPr="008B2B47">
        <w:rPr>
          <w:rFonts w:ascii="Arial" w:hAnsi="Arial" w:cs="Arial"/>
          <w:sz w:val="24"/>
          <w:szCs w:val="24"/>
        </w:rPr>
        <w:t xml:space="preserve">. </w:t>
      </w:r>
    </w:p>
    <w:p w14:paraId="71CDE329" w14:textId="77777777" w:rsidR="00A31C5B" w:rsidRPr="008B2B47" w:rsidRDefault="00A31C5B" w:rsidP="00DC54F7">
      <w:pPr>
        <w:spacing w:after="0" w:line="240" w:lineRule="auto"/>
        <w:jc w:val="both"/>
        <w:rPr>
          <w:rFonts w:ascii="Arial" w:hAnsi="Arial" w:cs="Arial"/>
          <w:sz w:val="24"/>
          <w:szCs w:val="24"/>
        </w:rPr>
      </w:pPr>
    </w:p>
    <w:p w14:paraId="02909150" w14:textId="77777777" w:rsidR="00A31C5B" w:rsidRPr="008B2B47" w:rsidRDefault="00A31C5B" w:rsidP="00DC54F7">
      <w:pPr>
        <w:spacing w:after="0" w:line="240" w:lineRule="auto"/>
        <w:jc w:val="both"/>
        <w:rPr>
          <w:rFonts w:ascii="Arial" w:hAnsi="Arial" w:cs="Arial"/>
          <w:sz w:val="24"/>
          <w:szCs w:val="24"/>
        </w:rPr>
      </w:pPr>
      <w:r w:rsidRPr="008B2B47">
        <w:rPr>
          <w:rFonts w:ascii="Arial" w:hAnsi="Arial" w:cs="Arial"/>
          <w:sz w:val="24"/>
          <w:szCs w:val="24"/>
        </w:rPr>
        <w:t>It likely that the use of the ONPOS system with expand over the next five years.</w:t>
      </w:r>
    </w:p>
    <w:p w14:paraId="7F234F73" w14:textId="77777777" w:rsidR="00A31C5B" w:rsidRPr="009E243B" w:rsidRDefault="00A31C5B" w:rsidP="00DC54F7">
      <w:pPr>
        <w:spacing w:after="0" w:line="240" w:lineRule="auto"/>
        <w:jc w:val="both"/>
        <w:rPr>
          <w:rFonts w:ascii="Arial" w:hAnsi="Arial" w:cs="Arial"/>
        </w:rPr>
      </w:pPr>
    </w:p>
    <w:p w14:paraId="08ABE120" w14:textId="77777777" w:rsidR="00A31C5B" w:rsidRDefault="00A31C5B" w:rsidP="00DC54F7">
      <w:pPr>
        <w:spacing w:after="0" w:line="240" w:lineRule="auto"/>
        <w:jc w:val="both"/>
        <w:rPr>
          <w:rFonts w:ascii="Arial" w:hAnsi="Arial" w:cs="Arial"/>
        </w:rPr>
      </w:pPr>
    </w:p>
    <w:p w14:paraId="44E833DC" w14:textId="77777777" w:rsidR="00A31C5B" w:rsidRPr="00BD745D" w:rsidRDefault="00A31C5B" w:rsidP="00DC54F7">
      <w:pPr>
        <w:spacing w:after="0" w:line="240" w:lineRule="auto"/>
        <w:jc w:val="both"/>
        <w:rPr>
          <w:rFonts w:ascii="Arial" w:hAnsi="Arial" w:cs="Arial"/>
          <w:b/>
          <w:bCs/>
          <w:sz w:val="26"/>
          <w:szCs w:val="26"/>
        </w:rPr>
      </w:pPr>
      <w:r w:rsidRPr="00BD745D">
        <w:rPr>
          <w:rFonts w:ascii="Arial" w:hAnsi="Arial" w:cs="Arial"/>
          <w:b/>
          <w:bCs/>
          <w:sz w:val="26"/>
          <w:szCs w:val="26"/>
        </w:rPr>
        <w:t>6.</w:t>
      </w:r>
      <w:r>
        <w:rPr>
          <w:rFonts w:ascii="Arial" w:hAnsi="Arial" w:cs="Arial"/>
          <w:b/>
          <w:bCs/>
          <w:sz w:val="26"/>
          <w:szCs w:val="26"/>
        </w:rPr>
        <w:t>6</w:t>
      </w:r>
      <w:r w:rsidRPr="00BD745D">
        <w:rPr>
          <w:rFonts w:ascii="Arial" w:hAnsi="Arial" w:cs="Arial"/>
          <w:b/>
          <w:bCs/>
          <w:sz w:val="26"/>
          <w:szCs w:val="26"/>
        </w:rPr>
        <w:t xml:space="preserve"> Non-medical prescribers</w:t>
      </w:r>
    </w:p>
    <w:p w14:paraId="1B1A5158" w14:textId="77777777" w:rsidR="00A31C5B" w:rsidRDefault="00A31C5B" w:rsidP="00DC54F7">
      <w:pPr>
        <w:spacing w:after="0" w:line="240" w:lineRule="auto"/>
        <w:jc w:val="both"/>
        <w:rPr>
          <w:rFonts w:ascii="Arial" w:hAnsi="Arial" w:cs="Arial"/>
        </w:rPr>
      </w:pPr>
    </w:p>
    <w:p w14:paraId="5BAF6F50" w14:textId="77777777" w:rsidR="00A31C5B" w:rsidRPr="008B2B47" w:rsidRDefault="00A31C5B" w:rsidP="00DC54F7">
      <w:pPr>
        <w:spacing w:after="0" w:line="240" w:lineRule="auto"/>
        <w:jc w:val="both"/>
        <w:rPr>
          <w:rFonts w:ascii="Arial" w:hAnsi="Arial" w:cs="Arial"/>
          <w:sz w:val="24"/>
          <w:szCs w:val="24"/>
        </w:rPr>
      </w:pPr>
      <w:r w:rsidRPr="002B04BB">
        <w:rPr>
          <w:rFonts w:ascii="Arial" w:hAnsi="Arial" w:cs="Arial"/>
          <w:sz w:val="24"/>
          <w:szCs w:val="24"/>
        </w:rPr>
        <w:t xml:space="preserve">The Welsh Government’s ‘Our plan for a primary care service for Wales up to March 2018 (2014)’, </w:t>
      </w:r>
      <w:r w:rsidRPr="002B04BB">
        <w:rPr>
          <w:rFonts w:ascii="Arial" w:hAnsi="Arial" w:cs="Arial"/>
          <w:sz w:val="24"/>
          <w:szCs w:val="24"/>
          <w:shd w:val="clear" w:color="auto" w:fill="FFFFFF"/>
        </w:rPr>
        <w:t>encouraged non-medical healthcare professionals working in primary care to train as independent prescribers. Further to this, the more recent Welsh Pharmaceutical Committee plan ‘</w:t>
      </w:r>
      <w:r w:rsidRPr="002B04BB">
        <w:rPr>
          <w:rFonts w:ascii="Arial" w:hAnsi="Arial" w:cs="Arial"/>
          <w:sz w:val="24"/>
          <w:szCs w:val="24"/>
        </w:rPr>
        <w:t xml:space="preserve">Pharmacy: Delivering a Healthier Wales (2019)’, sets the goal that by 2030, there will be an independent prescriber in every community </w:t>
      </w:r>
      <w:r w:rsidRPr="008B2B47">
        <w:rPr>
          <w:rFonts w:ascii="Arial" w:hAnsi="Arial" w:cs="Arial"/>
          <w:sz w:val="24"/>
          <w:szCs w:val="24"/>
        </w:rPr>
        <w:lastRenderedPageBreak/>
        <w:t>pharmacy and an increased focus on prevention and early detection of illness. The plan is aligned with and supports the long-term vision for health and social care set out in the Welsh Government’s ‘A Healthier Wales (2018)’.</w:t>
      </w:r>
    </w:p>
    <w:p w14:paraId="744E41CD" w14:textId="77777777" w:rsidR="00A31C5B" w:rsidRPr="008B2B47" w:rsidRDefault="00A31C5B" w:rsidP="00DC54F7">
      <w:pPr>
        <w:spacing w:after="0" w:line="240" w:lineRule="auto"/>
        <w:jc w:val="both"/>
        <w:rPr>
          <w:rFonts w:ascii="Arial" w:hAnsi="Arial" w:cs="Arial"/>
          <w:sz w:val="24"/>
          <w:szCs w:val="24"/>
        </w:rPr>
      </w:pPr>
    </w:p>
    <w:p w14:paraId="793F4B55" w14:textId="77777777" w:rsidR="00A31C5B" w:rsidRPr="002B04BB" w:rsidRDefault="00A31C5B" w:rsidP="00DC54F7">
      <w:pPr>
        <w:spacing w:after="0" w:line="240" w:lineRule="auto"/>
        <w:jc w:val="both"/>
        <w:rPr>
          <w:rStyle w:val="Strong"/>
          <w:rFonts w:ascii="Arial" w:hAnsi="Arial" w:cs="Arial"/>
          <w:b w:val="0"/>
          <w:bCs w:val="0"/>
          <w:sz w:val="24"/>
          <w:szCs w:val="24"/>
          <w:shd w:val="clear" w:color="auto" w:fill="FFFFFF"/>
        </w:rPr>
      </w:pPr>
      <w:r w:rsidRPr="002B04BB">
        <w:rPr>
          <w:rFonts w:ascii="Arial" w:hAnsi="Arial" w:cs="Arial"/>
          <w:sz w:val="24"/>
          <w:szCs w:val="24"/>
        </w:rPr>
        <w:t xml:space="preserve">In line with these national plans, </w:t>
      </w:r>
      <w:r w:rsidRPr="002B04BB">
        <w:rPr>
          <w:rFonts w:ascii="Arial" w:hAnsi="Arial" w:cs="Arial"/>
          <w:sz w:val="24"/>
          <w:szCs w:val="24"/>
          <w:shd w:val="clear" w:color="auto" w:fill="FFFFFF"/>
        </w:rPr>
        <w:t xml:space="preserve">the number of independent prescribers within Cardiff and Vale University Health Board is expected to increase over the next five years. </w:t>
      </w:r>
    </w:p>
    <w:p w14:paraId="0C39F172" w14:textId="77777777" w:rsidR="00A31C5B" w:rsidRPr="008B2B47" w:rsidRDefault="00A31C5B" w:rsidP="00DC54F7">
      <w:pPr>
        <w:spacing w:after="0" w:line="240" w:lineRule="auto"/>
        <w:jc w:val="both"/>
        <w:rPr>
          <w:rFonts w:ascii="Arial" w:hAnsi="Arial" w:cs="Arial"/>
          <w:sz w:val="24"/>
          <w:szCs w:val="24"/>
        </w:rPr>
      </w:pPr>
    </w:p>
    <w:p w14:paraId="25F055BE" w14:textId="77777777" w:rsidR="00A31C5B" w:rsidRDefault="00A31C5B" w:rsidP="00DC54F7">
      <w:pPr>
        <w:jc w:val="both"/>
      </w:pPr>
    </w:p>
    <w:p w14:paraId="60F06F4E" w14:textId="18727D9E" w:rsidR="00807DC9" w:rsidRPr="00A10850" w:rsidRDefault="00807DC9" w:rsidP="00DC54F7">
      <w:pPr>
        <w:spacing w:after="0" w:line="240" w:lineRule="auto"/>
        <w:jc w:val="both"/>
        <w:rPr>
          <w:rFonts w:ascii="Arial" w:hAnsi="Arial" w:cs="Arial"/>
          <w:sz w:val="20"/>
          <w:szCs w:val="20"/>
        </w:rPr>
      </w:pPr>
      <w:r w:rsidRPr="00A10850">
        <w:rPr>
          <w:rFonts w:ascii="Arial" w:hAnsi="Arial" w:cs="Arial"/>
          <w:sz w:val="20"/>
          <w:szCs w:val="20"/>
        </w:rPr>
        <w:br w:type="page"/>
      </w:r>
    </w:p>
    <w:p w14:paraId="02EAED37" w14:textId="436271A3" w:rsidR="00583F73" w:rsidRPr="00A10850" w:rsidRDefault="00583F73" w:rsidP="00DC54F7">
      <w:pPr>
        <w:pStyle w:val="Heading1"/>
        <w:spacing w:before="0" w:line="240" w:lineRule="auto"/>
        <w:jc w:val="both"/>
        <w:rPr>
          <w:rFonts w:cs="Arial"/>
          <w:color w:val="auto"/>
        </w:rPr>
      </w:pPr>
      <w:bookmarkStart w:id="35" w:name="_Toc81585101"/>
      <w:r w:rsidRPr="00A10850">
        <w:rPr>
          <w:rFonts w:cs="Arial"/>
          <w:color w:val="auto"/>
        </w:rPr>
        <w:lastRenderedPageBreak/>
        <w:t>7 Health needs that can be met by pharmaceutical services</w:t>
      </w:r>
      <w:bookmarkEnd w:id="35"/>
    </w:p>
    <w:p w14:paraId="099AFD59" w14:textId="77777777" w:rsidR="00583F73" w:rsidRPr="00A10850" w:rsidRDefault="00583F73" w:rsidP="00DC54F7">
      <w:pPr>
        <w:spacing w:after="0" w:line="240" w:lineRule="auto"/>
        <w:jc w:val="both"/>
        <w:rPr>
          <w:rFonts w:ascii="Arial" w:hAnsi="Arial" w:cs="Arial"/>
        </w:rPr>
      </w:pPr>
    </w:p>
    <w:p w14:paraId="19F5F2D0" w14:textId="4C61EF7E" w:rsidR="00F6078C" w:rsidRPr="008B2B47" w:rsidRDefault="003A57E3" w:rsidP="00DC54F7">
      <w:pPr>
        <w:spacing w:after="0" w:line="240" w:lineRule="auto"/>
        <w:jc w:val="both"/>
        <w:rPr>
          <w:rFonts w:ascii="Arial" w:hAnsi="Arial" w:cs="Arial"/>
          <w:sz w:val="24"/>
          <w:szCs w:val="24"/>
        </w:rPr>
      </w:pPr>
      <w:r w:rsidRPr="008B2B47">
        <w:rPr>
          <w:rFonts w:ascii="Arial" w:hAnsi="Arial" w:cs="Arial"/>
          <w:sz w:val="24"/>
          <w:szCs w:val="24"/>
        </w:rPr>
        <w:t xml:space="preserve">In Wales, </w:t>
      </w:r>
      <w:r w:rsidR="005D07D3" w:rsidRPr="008B2B47">
        <w:rPr>
          <w:rFonts w:ascii="Arial" w:hAnsi="Arial" w:cs="Arial"/>
          <w:sz w:val="24"/>
          <w:szCs w:val="24"/>
        </w:rPr>
        <w:t xml:space="preserve">over 11,000 advice consultations </w:t>
      </w:r>
      <w:r w:rsidR="00DC428D" w:rsidRPr="008B2B47">
        <w:rPr>
          <w:rFonts w:ascii="Arial" w:hAnsi="Arial" w:cs="Arial"/>
          <w:sz w:val="24"/>
          <w:szCs w:val="24"/>
        </w:rPr>
        <w:t>occur every day across the community pharmacy</w:t>
      </w:r>
      <w:r w:rsidR="00B41BDF" w:rsidRPr="008B2B47">
        <w:rPr>
          <w:rFonts w:ascii="Arial" w:hAnsi="Arial" w:cs="Arial"/>
          <w:sz w:val="24"/>
          <w:szCs w:val="24"/>
        </w:rPr>
        <w:t xml:space="preserve"> network</w:t>
      </w:r>
      <w:r w:rsidR="00FC00ED" w:rsidRPr="008B2B47">
        <w:rPr>
          <w:rFonts w:ascii="Arial" w:hAnsi="Arial" w:cs="Arial"/>
          <w:sz w:val="24"/>
          <w:szCs w:val="24"/>
        </w:rPr>
        <w:t>.</w:t>
      </w:r>
      <w:r w:rsidR="00407A3E" w:rsidRPr="008B2B47">
        <w:rPr>
          <w:rStyle w:val="FootnoteReference"/>
          <w:rFonts w:ascii="Arial" w:hAnsi="Arial" w:cs="Arial"/>
          <w:sz w:val="24"/>
          <w:szCs w:val="24"/>
        </w:rPr>
        <w:footnoteReference w:id="50"/>
      </w:r>
      <w:r w:rsidR="00FC00ED" w:rsidRPr="008B2B47">
        <w:rPr>
          <w:rFonts w:ascii="Arial" w:hAnsi="Arial" w:cs="Arial"/>
          <w:sz w:val="24"/>
          <w:szCs w:val="24"/>
        </w:rPr>
        <w:t xml:space="preserve"> </w:t>
      </w:r>
      <w:r w:rsidR="00FA3818" w:rsidRPr="008B2B47">
        <w:rPr>
          <w:rFonts w:ascii="Arial" w:hAnsi="Arial" w:cs="Arial"/>
          <w:sz w:val="24"/>
          <w:szCs w:val="24"/>
        </w:rPr>
        <w:t>T</w:t>
      </w:r>
      <w:r w:rsidR="002609AF" w:rsidRPr="008B2B47">
        <w:rPr>
          <w:rFonts w:ascii="Arial" w:hAnsi="Arial" w:cs="Arial"/>
          <w:sz w:val="24"/>
          <w:szCs w:val="24"/>
        </w:rPr>
        <w:t>hese</w:t>
      </w:r>
      <w:r w:rsidR="00E302CC" w:rsidRPr="008B2B47">
        <w:rPr>
          <w:rFonts w:ascii="Arial" w:hAnsi="Arial" w:cs="Arial"/>
          <w:sz w:val="24"/>
          <w:szCs w:val="24"/>
        </w:rPr>
        <w:t xml:space="preserve"> provide</w:t>
      </w:r>
      <w:r w:rsidR="00F6078C" w:rsidRPr="008B2B47">
        <w:rPr>
          <w:rFonts w:ascii="Arial" w:hAnsi="Arial" w:cs="Arial"/>
          <w:sz w:val="24"/>
          <w:szCs w:val="24"/>
        </w:rPr>
        <w:t xml:space="preserve"> a </w:t>
      </w:r>
      <w:r w:rsidR="00E302CC" w:rsidRPr="008B2B47">
        <w:rPr>
          <w:rFonts w:ascii="Arial" w:hAnsi="Arial" w:cs="Arial"/>
          <w:sz w:val="24"/>
          <w:szCs w:val="24"/>
        </w:rPr>
        <w:t>valuable</w:t>
      </w:r>
      <w:r w:rsidR="00F6078C" w:rsidRPr="008B2B47">
        <w:rPr>
          <w:rFonts w:ascii="Arial" w:hAnsi="Arial" w:cs="Arial"/>
          <w:sz w:val="24"/>
          <w:szCs w:val="24"/>
        </w:rPr>
        <w:t xml:space="preserve"> opportunity to support behaviour change through making every one of these contacts count</w:t>
      </w:r>
      <w:r w:rsidR="00E302CC" w:rsidRPr="008B2B47">
        <w:rPr>
          <w:rFonts w:ascii="Arial" w:hAnsi="Arial" w:cs="Arial"/>
          <w:sz w:val="24"/>
          <w:szCs w:val="24"/>
        </w:rPr>
        <w:t xml:space="preserve">.  Making healthy choices such as stopping smoking, improving diet and nutrition, increasing physical activity, losing </w:t>
      </w:r>
      <w:r w:rsidR="00C16CC7" w:rsidRPr="008B2B47">
        <w:rPr>
          <w:rFonts w:ascii="Arial" w:hAnsi="Arial" w:cs="Arial"/>
          <w:sz w:val="24"/>
          <w:szCs w:val="24"/>
        </w:rPr>
        <w:t>weight,</w:t>
      </w:r>
      <w:r w:rsidR="00E302CC" w:rsidRPr="008B2B47">
        <w:rPr>
          <w:rFonts w:ascii="Arial" w:hAnsi="Arial" w:cs="Arial"/>
          <w:sz w:val="24"/>
          <w:szCs w:val="24"/>
        </w:rPr>
        <w:t xml:space="preserve"> and reducing alcohol consumption could make a significant contribution to reducing the risk of disease, improving health outcomes for those with </w:t>
      </w:r>
      <w:r w:rsidR="00F136D9" w:rsidRPr="008B2B47">
        <w:rPr>
          <w:rFonts w:ascii="Arial" w:hAnsi="Arial" w:cs="Arial"/>
          <w:sz w:val="24"/>
          <w:szCs w:val="24"/>
        </w:rPr>
        <w:t>long-term</w:t>
      </w:r>
      <w:r w:rsidR="00E302CC" w:rsidRPr="008B2B47">
        <w:rPr>
          <w:rFonts w:ascii="Arial" w:hAnsi="Arial" w:cs="Arial"/>
          <w:sz w:val="24"/>
          <w:szCs w:val="24"/>
        </w:rPr>
        <w:t xml:space="preserve"> conditions, reducing premature death and improving mental wellbeing. Pharmacies are ideally placed to encourage and support people to make these healthy choices as part of the provision of pharmaceutical </w:t>
      </w:r>
      <w:r w:rsidR="002609AF" w:rsidRPr="008B2B47">
        <w:rPr>
          <w:rFonts w:ascii="Arial" w:hAnsi="Arial" w:cs="Arial"/>
          <w:sz w:val="24"/>
          <w:szCs w:val="24"/>
        </w:rPr>
        <w:t>services.</w:t>
      </w:r>
    </w:p>
    <w:p w14:paraId="0B70D7DE" w14:textId="0ECDA8EB" w:rsidR="00E302CC" w:rsidRDefault="00E302CC" w:rsidP="00DC54F7">
      <w:pPr>
        <w:spacing w:after="0" w:line="240" w:lineRule="auto"/>
        <w:jc w:val="both"/>
        <w:rPr>
          <w:rFonts w:ascii="Arial" w:hAnsi="Arial" w:cs="Arial"/>
        </w:rPr>
      </w:pPr>
    </w:p>
    <w:p w14:paraId="02D5E97C" w14:textId="77777777" w:rsidR="008B2B47" w:rsidRPr="00A10850" w:rsidRDefault="008B2B47" w:rsidP="00DC54F7">
      <w:pPr>
        <w:spacing w:after="0" w:line="240" w:lineRule="auto"/>
        <w:jc w:val="both"/>
        <w:rPr>
          <w:rFonts w:ascii="Arial" w:hAnsi="Arial" w:cs="Arial"/>
        </w:rPr>
      </w:pPr>
    </w:p>
    <w:p w14:paraId="031620BA" w14:textId="77777777" w:rsidR="00583F73" w:rsidRPr="00A10850" w:rsidRDefault="00583F73" w:rsidP="00DC54F7">
      <w:pPr>
        <w:spacing w:after="0" w:line="240" w:lineRule="auto"/>
        <w:jc w:val="both"/>
        <w:rPr>
          <w:rFonts w:ascii="Arial" w:hAnsi="Arial" w:cs="Arial"/>
          <w:b/>
          <w:sz w:val="26"/>
          <w:szCs w:val="26"/>
        </w:rPr>
      </w:pPr>
      <w:r w:rsidRPr="00A10850">
        <w:rPr>
          <w:rFonts w:ascii="Arial" w:hAnsi="Arial" w:cs="Arial"/>
          <w:b/>
          <w:sz w:val="26"/>
          <w:szCs w:val="26"/>
        </w:rPr>
        <w:t xml:space="preserve">7.1 </w:t>
      </w:r>
      <w:r w:rsidRPr="002B04BB">
        <w:rPr>
          <w:rFonts w:ascii="Arial" w:hAnsi="Arial" w:cs="Arial"/>
          <w:b/>
          <w:sz w:val="24"/>
          <w:szCs w:val="24"/>
        </w:rPr>
        <w:t>Need for drugs and appliances</w:t>
      </w:r>
    </w:p>
    <w:p w14:paraId="02F23CD4" w14:textId="77777777" w:rsidR="00583F73" w:rsidRPr="00A10850" w:rsidRDefault="00583F73" w:rsidP="00DC54F7">
      <w:pPr>
        <w:spacing w:after="0" w:line="240" w:lineRule="auto"/>
        <w:jc w:val="both"/>
        <w:rPr>
          <w:rFonts w:ascii="Arial" w:hAnsi="Arial" w:cs="Arial"/>
        </w:rPr>
      </w:pPr>
    </w:p>
    <w:p w14:paraId="22144429" w14:textId="77777777" w:rsidR="00583F73" w:rsidRPr="008B2B47" w:rsidRDefault="00583F73" w:rsidP="00DC54F7">
      <w:pPr>
        <w:spacing w:after="0" w:line="240" w:lineRule="auto"/>
        <w:jc w:val="both"/>
        <w:rPr>
          <w:rFonts w:ascii="Arial" w:hAnsi="Arial" w:cs="Arial"/>
          <w:sz w:val="24"/>
          <w:szCs w:val="24"/>
        </w:rPr>
      </w:pPr>
      <w:r w:rsidRPr="008B2B47">
        <w:rPr>
          <w:rFonts w:ascii="Arial" w:hAnsi="Arial" w:cs="Arial"/>
          <w:sz w:val="24"/>
          <w:szCs w:val="24"/>
        </w:rPr>
        <w:t xml:space="preserve">Everyone will at some stage require prescriptions to be dispensed irrespective of whether or not they are in one of the groups identified in section </w:t>
      </w:r>
      <w:r w:rsidR="00420655" w:rsidRPr="008B2B47">
        <w:rPr>
          <w:rFonts w:ascii="Arial" w:hAnsi="Arial" w:cs="Arial"/>
          <w:sz w:val="24"/>
          <w:szCs w:val="24"/>
        </w:rPr>
        <w:t>four</w:t>
      </w:r>
      <w:r w:rsidR="004D7565" w:rsidRPr="008B2B47">
        <w:rPr>
          <w:rFonts w:ascii="Arial" w:hAnsi="Arial" w:cs="Arial"/>
          <w:sz w:val="24"/>
          <w:szCs w:val="24"/>
        </w:rPr>
        <w:t>.  This may be for a one-</w:t>
      </w:r>
      <w:r w:rsidRPr="008B2B47">
        <w:rPr>
          <w:rFonts w:ascii="Arial" w:hAnsi="Arial" w:cs="Arial"/>
          <w:sz w:val="24"/>
          <w:szCs w:val="24"/>
        </w:rPr>
        <w:t>off course of antibiotics or for medication that they will need to take, or an appliance that they will need to use, for the rest of their</w:t>
      </w:r>
      <w:r w:rsidR="00292A97" w:rsidRPr="008B2B47">
        <w:rPr>
          <w:rFonts w:ascii="Arial" w:hAnsi="Arial" w:cs="Arial"/>
          <w:sz w:val="24"/>
          <w:szCs w:val="24"/>
        </w:rPr>
        <w:t xml:space="preserve"> life in order to manage a long-</w:t>
      </w:r>
      <w:r w:rsidRPr="008B2B47">
        <w:rPr>
          <w:rFonts w:ascii="Arial" w:hAnsi="Arial" w:cs="Arial"/>
          <w:sz w:val="24"/>
          <w:szCs w:val="24"/>
        </w:rPr>
        <w:t xml:space="preserve">term condition.  This health need can only be met within primary care by the provision of pharmaceutical services be that by pharmacies, </w:t>
      </w:r>
      <w:r w:rsidR="006A2403" w:rsidRPr="008B2B47">
        <w:rPr>
          <w:rFonts w:ascii="Arial" w:hAnsi="Arial" w:cs="Arial"/>
          <w:sz w:val="24"/>
          <w:szCs w:val="24"/>
        </w:rPr>
        <w:t>dispensing appliance contractor</w:t>
      </w:r>
      <w:r w:rsidRPr="008B2B47">
        <w:rPr>
          <w:rFonts w:ascii="Arial" w:hAnsi="Arial" w:cs="Arial"/>
          <w:sz w:val="24"/>
          <w:szCs w:val="24"/>
        </w:rPr>
        <w:t>s or dispensing doctors.</w:t>
      </w:r>
    </w:p>
    <w:p w14:paraId="7E878F06" w14:textId="77777777" w:rsidR="00583F73" w:rsidRPr="008B2B47" w:rsidRDefault="00583F73" w:rsidP="00DC54F7">
      <w:pPr>
        <w:spacing w:after="0" w:line="240" w:lineRule="auto"/>
        <w:jc w:val="both"/>
        <w:rPr>
          <w:rFonts w:ascii="Arial" w:hAnsi="Arial" w:cs="Arial"/>
          <w:sz w:val="24"/>
          <w:szCs w:val="24"/>
        </w:rPr>
      </w:pPr>
    </w:p>
    <w:p w14:paraId="3186C796" w14:textId="1503ABF8" w:rsidR="00583F73" w:rsidRPr="008B2B47" w:rsidRDefault="00583F73" w:rsidP="00DC54F7">
      <w:pPr>
        <w:spacing w:after="0" w:line="240" w:lineRule="auto"/>
        <w:jc w:val="both"/>
        <w:rPr>
          <w:rFonts w:ascii="Arial" w:hAnsi="Arial" w:cs="Arial"/>
          <w:sz w:val="24"/>
          <w:szCs w:val="24"/>
        </w:rPr>
      </w:pPr>
      <w:r w:rsidRPr="008B2B47">
        <w:rPr>
          <w:rFonts w:ascii="Arial" w:hAnsi="Arial" w:cs="Arial"/>
          <w:sz w:val="24"/>
          <w:szCs w:val="24"/>
        </w:rPr>
        <w:t xml:space="preserve">Coupled with this is the safe collection and disposal of unwanted or out of date dispensed drugs.  Both </w:t>
      </w:r>
      <w:r w:rsidR="00602CF1" w:rsidRPr="008B2B47">
        <w:rPr>
          <w:rFonts w:ascii="Arial" w:hAnsi="Arial" w:cs="Arial"/>
          <w:sz w:val="24"/>
          <w:szCs w:val="24"/>
        </w:rPr>
        <w:t>the health board</w:t>
      </w:r>
      <w:r w:rsidRPr="008B2B47">
        <w:rPr>
          <w:rFonts w:ascii="Arial" w:hAnsi="Arial" w:cs="Arial"/>
          <w:sz w:val="24"/>
          <w:szCs w:val="24"/>
        </w:rPr>
        <w:t xml:space="preserve"> and pharmacies have a duty to ens</w:t>
      </w:r>
      <w:r w:rsidR="00602CF1" w:rsidRPr="008B2B47">
        <w:rPr>
          <w:rFonts w:ascii="Arial" w:hAnsi="Arial" w:cs="Arial"/>
          <w:sz w:val="24"/>
          <w:szCs w:val="24"/>
        </w:rPr>
        <w:t xml:space="preserve">ure that people living at home </w:t>
      </w:r>
      <w:r w:rsidRPr="008B2B47">
        <w:rPr>
          <w:rFonts w:ascii="Arial" w:hAnsi="Arial" w:cs="Arial"/>
          <w:sz w:val="24"/>
          <w:szCs w:val="24"/>
        </w:rPr>
        <w:t>or in a residential care home can return unwanted or out of date dispensed drugs for their safe disposal.</w:t>
      </w:r>
    </w:p>
    <w:p w14:paraId="48E908B5" w14:textId="2EFFE9C3" w:rsidR="00AB7BC2" w:rsidRPr="008B2B47" w:rsidRDefault="00AB7BC2" w:rsidP="00DC54F7">
      <w:pPr>
        <w:spacing w:after="0" w:line="240" w:lineRule="auto"/>
        <w:jc w:val="both"/>
        <w:rPr>
          <w:rFonts w:ascii="Arial" w:hAnsi="Arial" w:cs="Arial"/>
          <w:sz w:val="24"/>
          <w:szCs w:val="24"/>
        </w:rPr>
      </w:pPr>
    </w:p>
    <w:p w14:paraId="62ACFB4C" w14:textId="77777777" w:rsidR="00AB7BC2" w:rsidRPr="008B2B47" w:rsidRDefault="00AB7BC2" w:rsidP="00DC54F7">
      <w:pPr>
        <w:spacing w:after="0" w:line="240" w:lineRule="auto"/>
        <w:contextualSpacing/>
        <w:jc w:val="both"/>
        <w:rPr>
          <w:rFonts w:ascii="Arial" w:hAnsi="Arial" w:cs="Arial"/>
          <w:b/>
          <w:bCs/>
          <w:sz w:val="24"/>
          <w:szCs w:val="24"/>
        </w:rPr>
      </w:pPr>
      <w:r w:rsidRPr="008B2B47">
        <w:rPr>
          <w:rFonts w:ascii="Arial" w:hAnsi="Arial" w:cs="Arial"/>
          <w:sz w:val="24"/>
          <w:szCs w:val="24"/>
        </w:rPr>
        <w:t>It should be noted that collection and delivery services are not contractual services and are therefore provided privately by pharmacies at their discretion.</w:t>
      </w:r>
    </w:p>
    <w:p w14:paraId="5340D74D" w14:textId="42AC6F7F" w:rsidR="0069149A" w:rsidRDefault="0069149A" w:rsidP="00DC54F7">
      <w:pPr>
        <w:spacing w:after="0" w:line="240" w:lineRule="auto"/>
        <w:jc w:val="both"/>
        <w:rPr>
          <w:rFonts w:ascii="Arial" w:hAnsi="Arial" w:cs="Arial"/>
        </w:rPr>
      </w:pPr>
    </w:p>
    <w:p w14:paraId="6C3E3007" w14:textId="77777777" w:rsidR="008B2B47" w:rsidRPr="00A10850" w:rsidRDefault="008B2B47" w:rsidP="00DC54F7">
      <w:pPr>
        <w:spacing w:after="0" w:line="240" w:lineRule="auto"/>
        <w:jc w:val="both"/>
        <w:rPr>
          <w:rFonts w:ascii="Arial" w:hAnsi="Arial" w:cs="Arial"/>
        </w:rPr>
      </w:pPr>
    </w:p>
    <w:p w14:paraId="79908FAB" w14:textId="442808C7" w:rsidR="00010404" w:rsidRPr="00A10850" w:rsidRDefault="00583F73" w:rsidP="00DC54F7">
      <w:pPr>
        <w:spacing w:after="0" w:line="240" w:lineRule="auto"/>
        <w:jc w:val="both"/>
        <w:rPr>
          <w:rFonts w:ascii="Arial" w:hAnsi="Arial" w:cs="Arial"/>
          <w:b/>
          <w:sz w:val="26"/>
          <w:szCs w:val="26"/>
        </w:rPr>
      </w:pPr>
      <w:r w:rsidRPr="00A10850">
        <w:rPr>
          <w:rFonts w:ascii="Arial" w:hAnsi="Arial" w:cs="Arial"/>
          <w:b/>
          <w:sz w:val="26"/>
          <w:szCs w:val="26"/>
        </w:rPr>
        <w:t xml:space="preserve">7.2 </w:t>
      </w:r>
      <w:r w:rsidR="00F937AF" w:rsidRPr="002B04BB">
        <w:rPr>
          <w:rFonts w:ascii="Arial" w:hAnsi="Arial" w:cs="Arial"/>
          <w:b/>
          <w:sz w:val="24"/>
          <w:szCs w:val="24"/>
        </w:rPr>
        <w:t>Substance</w:t>
      </w:r>
      <w:r w:rsidR="004D7565" w:rsidRPr="002B04BB">
        <w:rPr>
          <w:rFonts w:ascii="Arial" w:hAnsi="Arial" w:cs="Arial"/>
          <w:b/>
          <w:sz w:val="24"/>
          <w:szCs w:val="24"/>
        </w:rPr>
        <w:t xml:space="preserve"> </w:t>
      </w:r>
      <w:r w:rsidR="007C7D89" w:rsidRPr="002B04BB">
        <w:rPr>
          <w:rFonts w:ascii="Arial" w:hAnsi="Arial" w:cs="Arial"/>
          <w:b/>
          <w:sz w:val="24"/>
          <w:szCs w:val="24"/>
        </w:rPr>
        <w:t>mis</w:t>
      </w:r>
      <w:r w:rsidR="00010404" w:rsidRPr="002B04BB">
        <w:rPr>
          <w:rFonts w:ascii="Arial" w:hAnsi="Arial" w:cs="Arial"/>
          <w:b/>
          <w:sz w:val="24"/>
          <w:szCs w:val="24"/>
        </w:rPr>
        <w:t>use</w:t>
      </w:r>
    </w:p>
    <w:p w14:paraId="39E48623" w14:textId="77777777" w:rsidR="00010404" w:rsidRPr="00A10850" w:rsidRDefault="00010404" w:rsidP="00DC54F7">
      <w:pPr>
        <w:spacing w:after="0" w:line="240" w:lineRule="auto"/>
        <w:jc w:val="both"/>
        <w:rPr>
          <w:rFonts w:ascii="Arial" w:hAnsi="Arial" w:cs="Arial"/>
        </w:rPr>
      </w:pPr>
    </w:p>
    <w:p w14:paraId="0EFABFAA" w14:textId="77777777" w:rsidR="00F937AF" w:rsidRPr="008B2B47" w:rsidRDefault="00F937AF" w:rsidP="00DC54F7">
      <w:pPr>
        <w:spacing w:after="0" w:line="240" w:lineRule="auto"/>
        <w:jc w:val="both"/>
        <w:rPr>
          <w:rFonts w:ascii="Arial" w:hAnsi="Arial" w:cs="Arial"/>
          <w:sz w:val="24"/>
          <w:szCs w:val="24"/>
        </w:rPr>
      </w:pPr>
      <w:r w:rsidRPr="008B2B47">
        <w:rPr>
          <w:rFonts w:ascii="Arial" w:hAnsi="Arial" w:cs="Arial"/>
          <w:sz w:val="24"/>
          <w:szCs w:val="24"/>
        </w:rPr>
        <w:t>The provision of a supervised consumption enhanced service by pharmacists can:</w:t>
      </w:r>
    </w:p>
    <w:p w14:paraId="44979328" w14:textId="77777777" w:rsidR="00F937AF" w:rsidRPr="008B2B47" w:rsidRDefault="00F937AF" w:rsidP="00DC54F7">
      <w:pPr>
        <w:spacing w:after="0" w:line="240" w:lineRule="auto"/>
        <w:jc w:val="both"/>
        <w:rPr>
          <w:rFonts w:ascii="Arial" w:hAnsi="Arial" w:cs="Arial"/>
          <w:sz w:val="24"/>
          <w:szCs w:val="24"/>
        </w:rPr>
      </w:pPr>
    </w:p>
    <w:p w14:paraId="05F53A6E" w14:textId="77777777" w:rsidR="00F937AF" w:rsidRPr="008B2B47" w:rsidRDefault="00F937AF" w:rsidP="00DC54F7">
      <w:pPr>
        <w:pStyle w:val="ListParagraph"/>
        <w:numPr>
          <w:ilvl w:val="0"/>
          <w:numId w:val="53"/>
        </w:numPr>
        <w:spacing w:after="0" w:line="240" w:lineRule="auto"/>
        <w:jc w:val="both"/>
        <w:rPr>
          <w:rFonts w:ascii="Arial" w:hAnsi="Arial" w:cs="Arial"/>
          <w:sz w:val="24"/>
          <w:szCs w:val="24"/>
        </w:rPr>
      </w:pPr>
      <w:r w:rsidRPr="008B2B47">
        <w:rPr>
          <w:rFonts w:ascii="Arial" w:hAnsi="Arial" w:cs="Arial"/>
          <w:sz w:val="24"/>
          <w:szCs w:val="24"/>
        </w:rPr>
        <w:t xml:space="preserve">Assist prescribing clinicians in the provision of community based prescribing; </w:t>
      </w:r>
    </w:p>
    <w:p w14:paraId="2BCF39B8" w14:textId="77777777" w:rsidR="00F937AF" w:rsidRPr="008B2B47" w:rsidRDefault="00F937AF" w:rsidP="00DC54F7">
      <w:pPr>
        <w:pStyle w:val="ListParagraph"/>
        <w:numPr>
          <w:ilvl w:val="0"/>
          <w:numId w:val="53"/>
        </w:numPr>
        <w:spacing w:after="0" w:line="240" w:lineRule="auto"/>
        <w:jc w:val="both"/>
        <w:rPr>
          <w:rFonts w:ascii="Arial" w:hAnsi="Arial" w:cs="Arial"/>
          <w:sz w:val="24"/>
          <w:szCs w:val="24"/>
        </w:rPr>
      </w:pPr>
      <w:r w:rsidRPr="008B2B47">
        <w:rPr>
          <w:rFonts w:ascii="Arial" w:hAnsi="Arial" w:cs="Arial"/>
          <w:sz w:val="24"/>
          <w:szCs w:val="24"/>
        </w:rPr>
        <w:t xml:space="preserve">Ensure that the patient takes the correct doses of medication as prescribed; </w:t>
      </w:r>
    </w:p>
    <w:p w14:paraId="47E624AE" w14:textId="77777777" w:rsidR="00F937AF" w:rsidRPr="008B2B47" w:rsidRDefault="00F937AF" w:rsidP="00DC54F7">
      <w:pPr>
        <w:pStyle w:val="ListParagraph"/>
        <w:numPr>
          <w:ilvl w:val="0"/>
          <w:numId w:val="53"/>
        </w:numPr>
        <w:spacing w:after="0" w:line="240" w:lineRule="auto"/>
        <w:jc w:val="both"/>
        <w:rPr>
          <w:rFonts w:ascii="Arial" w:hAnsi="Arial" w:cs="Arial"/>
          <w:sz w:val="24"/>
          <w:szCs w:val="24"/>
        </w:rPr>
      </w:pPr>
      <w:r w:rsidRPr="008B2B47">
        <w:rPr>
          <w:rFonts w:ascii="Arial" w:hAnsi="Arial" w:cs="Arial"/>
          <w:sz w:val="24"/>
          <w:szCs w:val="24"/>
        </w:rPr>
        <w:t xml:space="preserve">Prevent prescribed medication being diverted to the illegal market; </w:t>
      </w:r>
    </w:p>
    <w:p w14:paraId="631A0312" w14:textId="77777777" w:rsidR="00F937AF" w:rsidRPr="008B2B47" w:rsidRDefault="00F937AF" w:rsidP="00DC54F7">
      <w:pPr>
        <w:pStyle w:val="ListParagraph"/>
        <w:numPr>
          <w:ilvl w:val="0"/>
          <w:numId w:val="53"/>
        </w:numPr>
        <w:spacing w:after="0" w:line="240" w:lineRule="auto"/>
        <w:jc w:val="both"/>
        <w:rPr>
          <w:rFonts w:ascii="Arial" w:hAnsi="Arial" w:cs="Arial"/>
          <w:sz w:val="24"/>
          <w:szCs w:val="24"/>
        </w:rPr>
      </w:pPr>
      <w:r w:rsidRPr="008B2B47">
        <w:rPr>
          <w:rFonts w:ascii="Arial" w:hAnsi="Arial" w:cs="Arial"/>
          <w:sz w:val="24"/>
          <w:szCs w:val="24"/>
        </w:rPr>
        <w:t xml:space="preserve">Reduce the possibility of accidental poisoning, particularly of children; and </w:t>
      </w:r>
    </w:p>
    <w:p w14:paraId="77F4BDE6" w14:textId="77777777" w:rsidR="00F937AF" w:rsidRPr="008B2B47" w:rsidRDefault="00F937AF" w:rsidP="00DC54F7">
      <w:pPr>
        <w:pStyle w:val="ListParagraph"/>
        <w:numPr>
          <w:ilvl w:val="0"/>
          <w:numId w:val="53"/>
        </w:numPr>
        <w:spacing w:after="0" w:line="240" w:lineRule="auto"/>
        <w:jc w:val="both"/>
        <w:rPr>
          <w:rFonts w:ascii="Arial" w:hAnsi="Arial" w:cs="Arial"/>
          <w:sz w:val="24"/>
          <w:szCs w:val="24"/>
        </w:rPr>
      </w:pPr>
      <w:r w:rsidRPr="008B2B47">
        <w:rPr>
          <w:rFonts w:ascii="Arial" w:hAnsi="Arial" w:cs="Arial"/>
          <w:sz w:val="24"/>
          <w:szCs w:val="24"/>
        </w:rPr>
        <w:t xml:space="preserve">Reduce incidents of accidental death through overdose. </w:t>
      </w:r>
    </w:p>
    <w:p w14:paraId="03262422" w14:textId="77777777" w:rsidR="00F937AF" w:rsidRPr="008B2B47" w:rsidRDefault="00F937AF" w:rsidP="00DC54F7">
      <w:pPr>
        <w:spacing w:after="0" w:line="240" w:lineRule="auto"/>
        <w:jc w:val="both"/>
        <w:rPr>
          <w:rFonts w:ascii="Arial" w:hAnsi="Arial" w:cs="Arial"/>
          <w:sz w:val="24"/>
          <w:szCs w:val="24"/>
        </w:rPr>
      </w:pPr>
    </w:p>
    <w:p w14:paraId="6944DE54" w14:textId="6ABB7350" w:rsidR="00F937AF" w:rsidRPr="008B2B47" w:rsidRDefault="00F937AF" w:rsidP="00DC54F7">
      <w:pPr>
        <w:spacing w:after="0" w:line="240" w:lineRule="auto"/>
        <w:jc w:val="both"/>
        <w:rPr>
          <w:rFonts w:ascii="Arial" w:hAnsi="Arial" w:cs="Arial"/>
          <w:sz w:val="24"/>
          <w:szCs w:val="24"/>
        </w:rPr>
      </w:pPr>
      <w:r w:rsidRPr="008B2B47">
        <w:rPr>
          <w:rFonts w:ascii="Arial" w:hAnsi="Arial" w:cs="Arial"/>
          <w:sz w:val="24"/>
          <w:szCs w:val="24"/>
        </w:rPr>
        <w:t xml:space="preserve">A needle and syringe </w:t>
      </w:r>
      <w:r w:rsidR="00F13765" w:rsidRPr="008B2B47">
        <w:rPr>
          <w:rFonts w:ascii="Arial" w:hAnsi="Arial" w:cs="Arial"/>
          <w:sz w:val="24"/>
          <w:szCs w:val="24"/>
        </w:rPr>
        <w:t>provision</w:t>
      </w:r>
      <w:r w:rsidRPr="008B2B47">
        <w:rPr>
          <w:rFonts w:ascii="Arial" w:hAnsi="Arial" w:cs="Arial"/>
          <w:sz w:val="24"/>
          <w:szCs w:val="24"/>
        </w:rPr>
        <w:t xml:space="preserve"> enhanced service will assist in the reduction of the sharing of needles (and equipment) which can consequently result in blood-borne viruses and other infections (such as </w:t>
      </w:r>
      <w:r w:rsidR="004D7565" w:rsidRPr="008B2B47">
        <w:rPr>
          <w:rFonts w:ascii="Arial" w:hAnsi="Arial" w:cs="Arial"/>
          <w:sz w:val="24"/>
          <w:szCs w:val="24"/>
        </w:rPr>
        <w:t>Human Immunodeficiency Virus (</w:t>
      </w:r>
      <w:r w:rsidRPr="008B2B47">
        <w:rPr>
          <w:rFonts w:ascii="Arial" w:hAnsi="Arial" w:cs="Arial"/>
          <w:sz w:val="24"/>
          <w:szCs w:val="24"/>
        </w:rPr>
        <w:t>HIV</w:t>
      </w:r>
      <w:r w:rsidR="004D7565" w:rsidRPr="008B2B47">
        <w:rPr>
          <w:rFonts w:ascii="Arial" w:hAnsi="Arial" w:cs="Arial"/>
          <w:sz w:val="24"/>
          <w:szCs w:val="24"/>
        </w:rPr>
        <w:t>)</w:t>
      </w:r>
      <w:r w:rsidRPr="008B2B47">
        <w:rPr>
          <w:rFonts w:ascii="Arial" w:hAnsi="Arial" w:cs="Arial"/>
          <w:sz w:val="24"/>
          <w:szCs w:val="24"/>
        </w:rPr>
        <w:t>, hepatitis B and C) being transmitted. In turn this could lead to a reduction in the prevalence of blood-borne viruses, therefore also benefiting wider society.</w:t>
      </w:r>
    </w:p>
    <w:p w14:paraId="12121C48" w14:textId="77777777" w:rsidR="00F937AF" w:rsidRPr="00A10850" w:rsidRDefault="00F937AF" w:rsidP="00DC54F7">
      <w:pPr>
        <w:spacing w:after="0" w:line="240" w:lineRule="auto"/>
        <w:jc w:val="both"/>
        <w:rPr>
          <w:rFonts w:ascii="Arial" w:hAnsi="Arial" w:cs="Arial"/>
        </w:rPr>
      </w:pPr>
    </w:p>
    <w:p w14:paraId="5BD39F84" w14:textId="77777777" w:rsidR="00010404" w:rsidRPr="008B2B47" w:rsidRDefault="00F937AF" w:rsidP="00DC54F7">
      <w:pPr>
        <w:spacing w:after="0" w:line="240" w:lineRule="auto"/>
        <w:jc w:val="both"/>
        <w:rPr>
          <w:rFonts w:ascii="Arial" w:hAnsi="Arial" w:cs="Arial"/>
          <w:sz w:val="24"/>
          <w:szCs w:val="24"/>
        </w:rPr>
      </w:pPr>
      <w:r w:rsidRPr="008B2B47">
        <w:rPr>
          <w:rFonts w:ascii="Arial" w:hAnsi="Arial" w:cs="Arial"/>
          <w:sz w:val="24"/>
          <w:szCs w:val="24"/>
        </w:rPr>
        <w:t xml:space="preserve">There are also </w:t>
      </w:r>
      <w:r w:rsidR="00010404" w:rsidRPr="008B2B47">
        <w:rPr>
          <w:rFonts w:ascii="Arial" w:hAnsi="Arial" w:cs="Arial"/>
          <w:sz w:val="24"/>
          <w:szCs w:val="24"/>
        </w:rPr>
        <w:t>elements of essential service provision which will help address this health need:</w:t>
      </w:r>
    </w:p>
    <w:p w14:paraId="609B6EFB" w14:textId="77777777" w:rsidR="00010404" w:rsidRPr="008B2B47" w:rsidRDefault="00010404" w:rsidP="00DC54F7">
      <w:pPr>
        <w:spacing w:after="0" w:line="240" w:lineRule="auto"/>
        <w:jc w:val="both"/>
        <w:rPr>
          <w:rFonts w:ascii="Arial" w:hAnsi="Arial" w:cs="Arial"/>
          <w:sz w:val="24"/>
          <w:szCs w:val="24"/>
        </w:rPr>
      </w:pPr>
    </w:p>
    <w:p w14:paraId="45FD7FD4" w14:textId="4AB0BBDF" w:rsidR="00010404" w:rsidRPr="008B2B47" w:rsidRDefault="00010404" w:rsidP="00DC54F7">
      <w:pPr>
        <w:pStyle w:val="CommentText"/>
        <w:numPr>
          <w:ilvl w:val="0"/>
          <w:numId w:val="72"/>
        </w:numPr>
        <w:spacing w:after="0"/>
        <w:ind w:left="714" w:hanging="357"/>
        <w:jc w:val="both"/>
        <w:rPr>
          <w:rFonts w:ascii="Arial" w:hAnsi="Arial" w:cs="Arial"/>
          <w:sz w:val="24"/>
          <w:szCs w:val="24"/>
        </w:rPr>
      </w:pPr>
      <w:r w:rsidRPr="008B2B47">
        <w:rPr>
          <w:rFonts w:ascii="Arial" w:hAnsi="Arial" w:cs="Arial"/>
          <w:sz w:val="24"/>
          <w:szCs w:val="24"/>
        </w:rPr>
        <w:t xml:space="preserve">Pharmacies are required to participate in up to six public health campaigns each calendar year by promoting public health messages to users.  </w:t>
      </w:r>
      <w:r w:rsidR="00812869" w:rsidRPr="008B2B47">
        <w:rPr>
          <w:rFonts w:ascii="Arial" w:hAnsi="Arial" w:cs="Arial"/>
          <w:sz w:val="24"/>
          <w:szCs w:val="24"/>
        </w:rPr>
        <w:t xml:space="preserve">They </w:t>
      </w:r>
      <w:r w:rsidR="00893310" w:rsidRPr="008B2B47">
        <w:rPr>
          <w:rFonts w:ascii="Arial" w:hAnsi="Arial" w:cs="Arial"/>
          <w:sz w:val="24"/>
          <w:szCs w:val="24"/>
        </w:rPr>
        <w:t xml:space="preserve">are </w:t>
      </w:r>
      <w:r w:rsidR="00812869" w:rsidRPr="008B2B47">
        <w:rPr>
          <w:rFonts w:ascii="Arial" w:hAnsi="Arial" w:cs="Arial"/>
          <w:sz w:val="24"/>
          <w:szCs w:val="24"/>
        </w:rPr>
        <w:t>usually undertaken over a</w:t>
      </w:r>
      <w:r w:rsidR="00893310" w:rsidRPr="008B2B47">
        <w:rPr>
          <w:rFonts w:ascii="Arial" w:hAnsi="Arial" w:cs="Arial"/>
          <w:sz w:val="24"/>
          <w:szCs w:val="24"/>
        </w:rPr>
        <w:t xml:space="preserve"> four</w:t>
      </w:r>
      <w:r w:rsidR="00AC2559" w:rsidRPr="008B2B47">
        <w:rPr>
          <w:rFonts w:ascii="Arial" w:hAnsi="Arial" w:cs="Arial"/>
          <w:sz w:val="24"/>
          <w:szCs w:val="24"/>
        </w:rPr>
        <w:t>-</w:t>
      </w:r>
      <w:r w:rsidR="00812869" w:rsidRPr="008B2B47">
        <w:rPr>
          <w:rFonts w:ascii="Arial" w:hAnsi="Arial" w:cs="Arial"/>
          <w:sz w:val="24"/>
          <w:szCs w:val="24"/>
        </w:rPr>
        <w:t xml:space="preserve">week period but some can be extended. </w:t>
      </w:r>
      <w:r w:rsidRPr="008B2B47">
        <w:rPr>
          <w:rFonts w:ascii="Arial" w:hAnsi="Arial" w:cs="Arial"/>
          <w:sz w:val="24"/>
          <w:szCs w:val="24"/>
        </w:rPr>
        <w:t xml:space="preserve">The topics for these campaigns are selected by </w:t>
      </w:r>
      <w:r w:rsidR="00F937AF" w:rsidRPr="008B2B47">
        <w:rPr>
          <w:rFonts w:ascii="Arial" w:hAnsi="Arial" w:cs="Arial"/>
          <w:sz w:val="24"/>
          <w:szCs w:val="24"/>
        </w:rPr>
        <w:t>the health board</w:t>
      </w:r>
      <w:r w:rsidRPr="008B2B47">
        <w:rPr>
          <w:rFonts w:ascii="Arial" w:hAnsi="Arial" w:cs="Arial"/>
          <w:sz w:val="24"/>
          <w:szCs w:val="24"/>
        </w:rPr>
        <w:t xml:space="preserve"> and could include drug and alcohol abuse.</w:t>
      </w:r>
      <w:r w:rsidR="008278EC" w:rsidRPr="008B2B47">
        <w:rPr>
          <w:rFonts w:ascii="Arial" w:hAnsi="Arial" w:cs="Arial"/>
          <w:sz w:val="24"/>
          <w:szCs w:val="24"/>
        </w:rPr>
        <w:t xml:space="preserve"> Public health campaigns could include raising awareness about the risks of alcohol consumption through discussing the risks of alcohol consumption over the recommended amounts, displaying </w:t>
      </w:r>
      <w:r w:rsidR="00C16CC7" w:rsidRPr="008B2B47">
        <w:rPr>
          <w:rFonts w:ascii="Arial" w:hAnsi="Arial" w:cs="Arial"/>
          <w:sz w:val="24"/>
          <w:szCs w:val="24"/>
        </w:rPr>
        <w:t>posters,</w:t>
      </w:r>
      <w:r w:rsidR="008278EC" w:rsidRPr="008B2B47">
        <w:rPr>
          <w:rFonts w:ascii="Arial" w:hAnsi="Arial" w:cs="Arial"/>
          <w:sz w:val="24"/>
          <w:szCs w:val="24"/>
        </w:rPr>
        <w:t xml:space="preserve"> and distributing leaflets, scratch car</w:t>
      </w:r>
      <w:r w:rsidR="005A60B5" w:rsidRPr="008B2B47">
        <w:rPr>
          <w:rFonts w:ascii="Arial" w:hAnsi="Arial" w:cs="Arial"/>
          <w:sz w:val="24"/>
          <w:szCs w:val="24"/>
        </w:rPr>
        <w:t>ds and other relevant materials</w:t>
      </w:r>
      <w:r w:rsidR="006E7968" w:rsidRPr="008B2B47">
        <w:rPr>
          <w:rFonts w:ascii="Arial" w:hAnsi="Arial" w:cs="Arial"/>
          <w:sz w:val="24"/>
          <w:szCs w:val="24"/>
        </w:rPr>
        <w:t>.</w:t>
      </w:r>
      <w:r w:rsidR="00F30116" w:rsidRPr="008B2B47">
        <w:rPr>
          <w:rFonts w:ascii="Arial" w:hAnsi="Arial" w:cs="Arial"/>
          <w:sz w:val="24"/>
          <w:szCs w:val="24"/>
        </w:rPr>
        <w:t xml:space="preserve"> It is worth noting that at the time of writing, the public health campaigns were suspended due to Coronavirus (COVID-19) pandemic.</w:t>
      </w:r>
    </w:p>
    <w:p w14:paraId="291DD064" w14:textId="77777777" w:rsidR="00010404" w:rsidRPr="008B2B47" w:rsidRDefault="00010404" w:rsidP="00DC54F7">
      <w:pPr>
        <w:numPr>
          <w:ilvl w:val="0"/>
          <w:numId w:val="43"/>
        </w:numPr>
        <w:spacing w:after="0" w:line="240" w:lineRule="auto"/>
        <w:ind w:left="714" w:hanging="357"/>
        <w:jc w:val="both"/>
        <w:rPr>
          <w:rFonts w:ascii="Arial" w:hAnsi="Arial" w:cs="Arial"/>
          <w:sz w:val="24"/>
          <w:szCs w:val="24"/>
        </w:rPr>
      </w:pPr>
      <w:r w:rsidRPr="008B2B47">
        <w:rPr>
          <w:rFonts w:ascii="Arial" w:hAnsi="Arial" w:cs="Arial"/>
          <w:sz w:val="24"/>
          <w:szCs w:val="24"/>
        </w:rPr>
        <w:t xml:space="preserve">Where the pharmacy does not provide the </w:t>
      </w:r>
      <w:r w:rsidR="00F937AF" w:rsidRPr="008B2B47">
        <w:rPr>
          <w:rFonts w:ascii="Arial" w:hAnsi="Arial" w:cs="Arial"/>
          <w:sz w:val="24"/>
          <w:szCs w:val="24"/>
        </w:rPr>
        <w:t>enhanced</w:t>
      </w:r>
      <w:r w:rsidRPr="008B2B47">
        <w:rPr>
          <w:rFonts w:ascii="Arial" w:hAnsi="Arial" w:cs="Arial"/>
          <w:sz w:val="24"/>
          <w:szCs w:val="24"/>
        </w:rPr>
        <w:t xml:space="preserve"> services of needle </w:t>
      </w:r>
      <w:r w:rsidR="00F937AF" w:rsidRPr="008B2B47">
        <w:rPr>
          <w:rFonts w:ascii="Arial" w:hAnsi="Arial" w:cs="Arial"/>
          <w:sz w:val="24"/>
          <w:szCs w:val="24"/>
        </w:rPr>
        <w:t xml:space="preserve">and syringe </w:t>
      </w:r>
      <w:r w:rsidRPr="008B2B47">
        <w:rPr>
          <w:rFonts w:ascii="Arial" w:hAnsi="Arial" w:cs="Arial"/>
          <w:sz w:val="24"/>
          <w:szCs w:val="24"/>
        </w:rPr>
        <w:t>exchange and the supervised consumption of substance misuse medicines, signposting people using the pharmacy to other providers of the services.</w:t>
      </w:r>
    </w:p>
    <w:p w14:paraId="77D06723" w14:textId="61845A4C" w:rsidR="008278EC" w:rsidRPr="008B2B47" w:rsidRDefault="008278EC" w:rsidP="00DC54F7">
      <w:pPr>
        <w:numPr>
          <w:ilvl w:val="0"/>
          <w:numId w:val="43"/>
        </w:numPr>
        <w:spacing w:after="0" w:line="240" w:lineRule="auto"/>
        <w:jc w:val="both"/>
        <w:rPr>
          <w:rFonts w:ascii="Arial" w:hAnsi="Arial" w:cs="Arial"/>
          <w:sz w:val="24"/>
          <w:szCs w:val="24"/>
        </w:rPr>
      </w:pPr>
      <w:r w:rsidRPr="008B2B47">
        <w:rPr>
          <w:rFonts w:ascii="Arial" w:hAnsi="Arial" w:cs="Arial"/>
          <w:sz w:val="24"/>
          <w:szCs w:val="24"/>
        </w:rPr>
        <w:t>Signposting people who are potentially dependent on alcohol to local special</w:t>
      </w:r>
      <w:r w:rsidR="005A60B5" w:rsidRPr="008B2B47">
        <w:rPr>
          <w:rFonts w:ascii="Arial" w:hAnsi="Arial" w:cs="Arial"/>
          <w:sz w:val="24"/>
          <w:szCs w:val="24"/>
        </w:rPr>
        <w:t>ist alcohol treatment providers</w:t>
      </w:r>
      <w:r w:rsidR="006E7968" w:rsidRPr="008B2B47">
        <w:rPr>
          <w:rFonts w:ascii="Arial" w:hAnsi="Arial" w:cs="Arial"/>
          <w:sz w:val="24"/>
          <w:szCs w:val="24"/>
        </w:rPr>
        <w:t>.</w:t>
      </w:r>
    </w:p>
    <w:p w14:paraId="1111AF9D" w14:textId="7B83F654" w:rsidR="00010404" w:rsidRPr="008B2B47" w:rsidRDefault="008278EC" w:rsidP="00DC54F7">
      <w:pPr>
        <w:numPr>
          <w:ilvl w:val="0"/>
          <w:numId w:val="43"/>
        </w:numPr>
        <w:spacing w:after="0" w:line="240" w:lineRule="auto"/>
        <w:jc w:val="both"/>
        <w:rPr>
          <w:rFonts w:ascii="Arial" w:hAnsi="Arial" w:cs="Arial"/>
          <w:sz w:val="24"/>
          <w:szCs w:val="24"/>
        </w:rPr>
      </w:pPr>
      <w:r w:rsidRPr="008B2B47">
        <w:rPr>
          <w:rFonts w:ascii="Arial" w:hAnsi="Arial" w:cs="Arial"/>
          <w:sz w:val="24"/>
          <w:szCs w:val="24"/>
        </w:rPr>
        <w:t xml:space="preserve">Using the opportunity presented by </w:t>
      </w:r>
      <w:r w:rsidR="006E7968" w:rsidRPr="008B2B47">
        <w:rPr>
          <w:rFonts w:ascii="Arial" w:hAnsi="Arial" w:cs="Arial"/>
          <w:sz w:val="24"/>
          <w:szCs w:val="24"/>
        </w:rPr>
        <w:t>Medicines Use Reviews</w:t>
      </w:r>
      <w:r w:rsidRPr="008B2B47">
        <w:rPr>
          <w:rFonts w:ascii="Arial" w:hAnsi="Arial" w:cs="Arial"/>
          <w:sz w:val="24"/>
          <w:szCs w:val="24"/>
        </w:rPr>
        <w:t xml:space="preserve">, </w:t>
      </w:r>
      <w:r w:rsidR="00776740" w:rsidRPr="008B2B47">
        <w:rPr>
          <w:rFonts w:ascii="Arial" w:hAnsi="Arial" w:cs="Arial"/>
          <w:sz w:val="24"/>
          <w:szCs w:val="24"/>
        </w:rPr>
        <w:t>e.g.</w:t>
      </w:r>
      <w:r w:rsidRPr="008B2B47">
        <w:rPr>
          <w:rFonts w:ascii="Arial" w:hAnsi="Arial" w:cs="Arial"/>
          <w:sz w:val="24"/>
          <w:szCs w:val="24"/>
        </w:rPr>
        <w:t xml:space="preserve"> for anti-hypertensive medicines</w:t>
      </w:r>
      <w:r w:rsidR="00292A97" w:rsidRPr="008B2B47">
        <w:rPr>
          <w:rFonts w:ascii="Arial" w:hAnsi="Arial" w:cs="Arial"/>
          <w:sz w:val="24"/>
          <w:szCs w:val="24"/>
        </w:rPr>
        <w:t xml:space="preserve"> and </w:t>
      </w:r>
      <w:r w:rsidRPr="008B2B47">
        <w:rPr>
          <w:rFonts w:ascii="Arial" w:hAnsi="Arial" w:cs="Arial"/>
          <w:sz w:val="24"/>
          <w:szCs w:val="24"/>
        </w:rPr>
        <w:t>medicines for the treatment of diabetes</w:t>
      </w:r>
      <w:r w:rsidR="00292A97" w:rsidRPr="008B2B47">
        <w:rPr>
          <w:rFonts w:ascii="Arial" w:hAnsi="Arial" w:cs="Arial"/>
          <w:sz w:val="24"/>
          <w:szCs w:val="24"/>
        </w:rPr>
        <w:t>,</w:t>
      </w:r>
      <w:r w:rsidRPr="008B2B47">
        <w:rPr>
          <w:rFonts w:ascii="Arial" w:hAnsi="Arial" w:cs="Arial"/>
          <w:sz w:val="24"/>
          <w:szCs w:val="24"/>
        </w:rPr>
        <w:t xml:space="preserve"> to discuss the risks of alcohol consumption and in particular, during public health campaigns or in discussion with customers requesting particular over the counter medicines, to raise awareness</w:t>
      </w:r>
      <w:r w:rsidR="005A60B5" w:rsidRPr="008B2B47">
        <w:rPr>
          <w:rFonts w:ascii="Arial" w:hAnsi="Arial" w:cs="Arial"/>
          <w:sz w:val="24"/>
          <w:szCs w:val="24"/>
        </w:rPr>
        <w:t xml:space="preserve"> of the risks of alcohol misuse</w:t>
      </w:r>
      <w:r w:rsidR="006E7968" w:rsidRPr="008B2B47">
        <w:rPr>
          <w:rFonts w:ascii="Arial" w:hAnsi="Arial" w:cs="Arial"/>
          <w:sz w:val="24"/>
          <w:szCs w:val="24"/>
        </w:rPr>
        <w:t>.</w:t>
      </w:r>
    </w:p>
    <w:p w14:paraId="6E8AE449" w14:textId="0C0054F0" w:rsidR="00D543D1" w:rsidRPr="00A10850" w:rsidRDefault="00D543D1" w:rsidP="00DC54F7">
      <w:pPr>
        <w:pStyle w:val="ListParagraph"/>
        <w:numPr>
          <w:ilvl w:val="0"/>
          <w:numId w:val="43"/>
        </w:numPr>
        <w:spacing w:after="0" w:line="240" w:lineRule="auto"/>
        <w:jc w:val="both"/>
        <w:rPr>
          <w:rFonts w:ascii="Arial" w:hAnsi="Arial" w:cs="Arial"/>
        </w:rPr>
      </w:pPr>
      <w:r w:rsidRPr="008B2B47">
        <w:rPr>
          <w:rFonts w:ascii="Arial" w:hAnsi="Arial" w:cs="Arial"/>
          <w:sz w:val="24"/>
          <w:szCs w:val="24"/>
        </w:rPr>
        <w:t xml:space="preserve">Providing </w:t>
      </w:r>
      <w:r w:rsidR="00592DCD" w:rsidRPr="008B2B47">
        <w:rPr>
          <w:rFonts w:ascii="Arial" w:hAnsi="Arial" w:cs="Arial"/>
          <w:sz w:val="24"/>
          <w:szCs w:val="24"/>
        </w:rPr>
        <w:t xml:space="preserve">healthy living advice during </w:t>
      </w:r>
      <w:r w:rsidR="006E7968" w:rsidRPr="008B2B47">
        <w:rPr>
          <w:rFonts w:ascii="Arial" w:hAnsi="Arial" w:cs="Arial"/>
          <w:sz w:val="24"/>
          <w:szCs w:val="24"/>
        </w:rPr>
        <w:t>Medicines Use Reviews</w:t>
      </w:r>
      <w:r w:rsidRPr="008B2B47">
        <w:rPr>
          <w:rFonts w:ascii="Arial" w:hAnsi="Arial" w:cs="Arial"/>
          <w:sz w:val="24"/>
          <w:szCs w:val="24"/>
        </w:rPr>
        <w:t xml:space="preserve"> consultations</w:t>
      </w:r>
      <w:r w:rsidRPr="00A10850">
        <w:rPr>
          <w:rFonts w:ascii="Arial" w:hAnsi="Arial" w:cs="Arial"/>
        </w:rPr>
        <w:t>.</w:t>
      </w:r>
    </w:p>
    <w:p w14:paraId="6164C4F2" w14:textId="136958A1" w:rsidR="0069149A" w:rsidRDefault="0069149A" w:rsidP="00DC54F7">
      <w:pPr>
        <w:spacing w:after="0" w:line="240" w:lineRule="auto"/>
        <w:jc w:val="both"/>
        <w:rPr>
          <w:rFonts w:ascii="Arial" w:hAnsi="Arial" w:cs="Arial"/>
          <w:highlight w:val="cyan"/>
        </w:rPr>
      </w:pPr>
    </w:p>
    <w:p w14:paraId="4B79CA77" w14:textId="77777777" w:rsidR="008B2B47" w:rsidRPr="00A10850" w:rsidRDefault="008B2B47" w:rsidP="00DC54F7">
      <w:pPr>
        <w:spacing w:after="0" w:line="240" w:lineRule="auto"/>
        <w:jc w:val="both"/>
        <w:rPr>
          <w:rFonts w:ascii="Arial" w:hAnsi="Arial" w:cs="Arial"/>
          <w:highlight w:val="cyan"/>
        </w:rPr>
      </w:pPr>
    </w:p>
    <w:p w14:paraId="71E45EA3" w14:textId="77777777" w:rsidR="00010404" w:rsidRPr="00A10850" w:rsidRDefault="00010404" w:rsidP="00DC54F7">
      <w:pPr>
        <w:spacing w:after="0" w:line="240" w:lineRule="auto"/>
        <w:jc w:val="both"/>
        <w:rPr>
          <w:rFonts w:ascii="Arial" w:hAnsi="Arial" w:cs="Arial"/>
          <w:b/>
          <w:sz w:val="26"/>
          <w:szCs w:val="26"/>
        </w:rPr>
      </w:pPr>
      <w:r w:rsidRPr="00A10850">
        <w:rPr>
          <w:rFonts w:ascii="Arial" w:hAnsi="Arial" w:cs="Arial"/>
          <w:b/>
          <w:sz w:val="26"/>
          <w:szCs w:val="26"/>
        </w:rPr>
        <w:t xml:space="preserve">7.3 </w:t>
      </w:r>
      <w:r w:rsidRPr="002B04BB">
        <w:rPr>
          <w:rFonts w:ascii="Arial" w:hAnsi="Arial" w:cs="Arial"/>
          <w:b/>
          <w:sz w:val="24"/>
          <w:szCs w:val="24"/>
        </w:rPr>
        <w:t>Cancer</w:t>
      </w:r>
    </w:p>
    <w:p w14:paraId="610F948A" w14:textId="77777777" w:rsidR="008278EC" w:rsidRPr="00A10850" w:rsidRDefault="008278EC" w:rsidP="00DC54F7">
      <w:pPr>
        <w:pStyle w:val="NewbodyofPNA"/>
        <w:spacing w:line="240" w:lineRule="auto"/>
        <w:jc w:val="both"/>
        <w:rPr>
          <w:rFonts w:cs="Arial"/>
          <w:sz w:val="22"/>
        </w:rPr>
      </w:pPr>
    </w:p>
    <w:p w14:paraId="2DC25FC1" w14:textId="77777777" w:rsidR="008278EC" w:rsidRPr="008B2B47" w:rsidRDefault="008278EC" w:rsidP="00DC54F7">
      <w:pPr>
        <w:pStyle w:val="NewbodyofPNA"/>
        <w:spacing w:line="240" w:lineRule="auto"/>
        <w:jc w:val="both"/>
        <w:rPr>
          <w:rFonts w:cs="Arial"/>
          <w:szCs w:val="24"/>
        </w:rPr>
      </w:pPr>
      <w:r w:rsidRPr="008B2B47">
        <w:rPr>
          <w:rFonts w:cs="Arial"/>
          <w:szCs w:val="24"/>
        </w:rPr>
        <w:t>In addition to dispensing prescriptions, pharmacies can contribute to many of the public health issues relating to cancer care as part of the essential services they provide:</w:t>
      </w:r>
    </w:p>
    <w:p w14:paraId="14E03EFD" w14:textId="77777777" w:rsidR="008278EC" w:rsidRPr="008B2B47" w:rsidRDefault="008278EC" w:rsidP="00DC54F7">
      <w:pPr>
        <w:pStyle w:val="NewbodyofPNA"/>
        <w:spacing w:line="240" w:lineRule="auto"/>
        <w:jc w:val="both"/>
        <w:rPr>
          <w:rFonts w:cs="Arial"/>
          <w:szCs w:val="24"/>
        </w:rPr>
      </w:pPr>
    </w:p>
    <w:p w14:paraId="79DD3B82" w14:textId="03C73795" w:rsidR="008278EC" w:rsidRPr="008B2B47" w:rsidRDefault="008278EC" w:rsidP="00DC54F7">
      <w:pPr>
        <w:pStyle w:val="NewbodyofPNA"/>
        <w:numPr>
          <w:ilvl w:val="0"/>
          <w:numId w:val="44"/>
        </w:numPr>
        <w:spacing w:line="240" w:lineRule="auto"/>
        <w:jc w:val="both"/>
        <w:rPr>
          <w:rFonts w:cs="Arial"/>
          <w:szCs w:val="24"/>
        </w:rPr>
      </w:pPr>
      <w:r w:rsidRPr="008B2B47">
        <w:rPr>
          <w:rFonts w:cs="Arial"/>
          <w:szCs w:val="24"/>
        </w:rPr>
        <w:t>Disposal of unwanted drugs, including controlled drugs</w:t>
      </w:r>
      <w:r w:rsidR="006E7968" w:rsidRPr="008B2B47">
        <w:rPr>
          <w:rFonts w:cs="Arial"/>
          <w:szCs w:val="24"/>
        </w:rPr>
        <w:t>.</w:t>
      </w:r>
    </w:p>
    <w:p w14:paraId="3740F4FF" w14:textId="0CAC120B" w:rsidR="008278EC" w:rsidRPr="008B2B47" w:rsidRDefault="008278EC" w:rsidP="00DC54F7">
      <w:pPr>
        <w:pStyle w:val="NewbodyofPNA"/>
        <w:numPr>
          <w:ilvl w:val="0"/>
          <w:numId w:val="44"/>
        </w:numPr>
        <w:spacing w:line="240" w:lineRule="auto"/>
        <w:jc w:val="both"/>
        <w:rPr>
          <w:rFonts w:cs="Arial"/>
          <w:szCs w:val="24"/>
        </w:rPr>
      </w:pPr>
      <w:r w:rsidRPr="008B2B47">
        <w:rPr>
          <w:rFonts w:cs="Arial"/>
          <w:szCs w:val="24"/>
        </w:rPr>
        <w:t xml:space="preserve">Pharmacies are required to participate in up to six public health campaigns each calendar year by promoting public health messages to users.  The topics for these campaigns are selected by </w:t>
      </w:r>
      <w:r w:rsidR="003857D6" w:rsidRPr="008B2B47">
        <w:rPr>
          <w:rFonts w:cs="Arial"/>
          <w:szCs w:val="24"/>
        </w:rPr>
        <w:t>the health board</w:t>
      </w:r>
      <w:r w:rsidRPr="008B2B47">
        <w:rPr>
          <w:rFonts w:cs="Arial"/>
          <w:szCs w:val="24"/>
        </w:rPr>
        <w:t xml:space="preserve"> and could include ca</w:t>
      </w:r>
      <w:r w:rsidR="005A60B5" w:rsidRPr="008B2B47">
        <w:rPr>
          <w:rFonts w:cs="Arial"/>
          <w:szCs w:val="24"/>
        </w:rPr>
        <w:t>ncer awareness and/or screening</w:t>
      </w:r>
      <w:r w:rsidR="006E7968" w:rsidRPr="008B2B47">
        <w:rPr>
          <w:rFonts w:cs="Arial"/>
          <w:szCs w:val="24"/>
        </w:rPr>
        <w:t>.</w:t>
      </w:r>
    </w:p>
    <w:p w14:paraId="52039D66" w14:textId="77777777" w:rsidR="00602CF1" w:rsidRPr="008B2B47" w:rsidRDefault="00602CF1" w:rsidP="00DC54F7">
      <w:pPr>
        <w:pStyle w:val="NewbodyofPNA"/>
        <w:numPr>
          <w:ilvl w:val="0"/>
          <w:numId w:val="44"/>
        </w:numPr>
        <w:spacing w:line="240" w:lineRule="auto"/>
        <w:jc w:val="both"/>
        <w:rPr>
          <w:rFonts w:cs="Arial"/>
          <w:szCs w:val="24"/>
        </w:rPr>
      </w:pPr>
      <w:r w:rsidRPr="008B2B47">
        <w:rPr>
          <w:rFonts w:cs="Arial"/>
          <w:szCs w:val="24"/>
        </w:rPr>
        <w:t>Providing appropriate advice to people who use the pharmacy and appear to smoke or are overweight with the aim of increasing that person’s knowledge and understanding of the health issues which are relevant to their personal circumstances.</w:t>
      </w:r>
    </w:p>
    <w:p w14:paraId="6FBA25D2" w14:textId="6B8A1579" w:rsidR="008278EC" w:rsidRPr="008B2B47" w:rsidRDefault="008278EC" w:rsidP="00DC54F7">
      <w:pPr>
        <w:pStyle w:val="NewbodyofPNA"/>
        <w:numPr>
          <w:ilvl w:val="0"/>
          <w:numId w:val="44"/>
        </w:numPr>
        <w:spacing w:line="240" w:lineRule="auto"/>
        <w:jc w:val="both"/>
        <w:rPr>
          <w:rFonts w:cs="Arial"/>
          <w:szCs w:val="24"/>
        </w:rPr>
      </w:pPr>
      <w:r w:rsidRPr="008B2B47">
        <w:rPr>
          <w:rFonts w:cs="Arial"/>
          <w:szCs w:val="24"/>
        </w:rPr>
        <w:t>Signposting people using the pharmacy to other providers of services or support.</w:t>
      </w:r>
    </w:p>
    <w:p w14:paraId="5349EC56" w14:textId="0D0C1887" w:rsidR="00292A97" w:rsidRPr="008B2B47" w:rsidRDefault="00615DC2" w:rsidP="00DC54F7">
      <w:pPr>
        <w:pStyle w:val="CommentText"/>
        <w:numPr>
          <w:ilvl w:val="0"/>
          <w:numId w:val="44"/>
        </w:numPr>
        <w:jc w:val="both"/>
        <w:rPr>
          <w:rFonts w:ascii="Arial" w:hAnsi="Arial" w:cs="Arial"/>
          <w:sz w:val="24"/>
          <w:szCs w:val="24"/>
        </w:rPr>
      </w:pPr>
      <w:r w:rsidRPr="008B2B47">
        <w:rPr>
          <w:rFonts w:ascii="Arial" w:hAnsi="Arial" w:cs="Arial"/>
          <w:sz w:val="24"/>
          <w:szCs w:val="24"/>
        </w:rPr>
        <w:t>Smoking cessation services</w:t>
      </w:r>
      <w:r w:rsidR="007B3F67" w:rsidRPr="008B2B47">
        <w:rPr>
          <w:rFonts w:ascii="Arial" w:hAnsi="Arial" w:cs="Arial"/>
          <w:sz w:val="24"/>
          <w:szCs w:val="24"/>
        </w:rPr>
        <w:t xml:space="preserve">, including those provided by pharmacies, </w:t>
      </w:r>
      <w:r w:rsidR="00516EB0" w:rsidRPr="008B2B47">
        <w:rPr>
          <w:rFonts w:ascii="Arial" w:hAnsi="Arial" w:cs="Arial"/>
          <w:sz w:val="24"/>
          <w:szCs w:val="24"/>
        </w:rPr>
        <w:t xml:space="preserve">are </w:t>
      </w:r>
      <w:r w:rsidRPr="008B2B47">
        <w:rPr>
          <w:rFonts w:ascii="Arial" w:hAnsi="Arial" w:cs="Arial"/>
          <w:sz w:val="24"/>
          <w:szCs w:val="24"/>
        </w:rPr>
        <w:t>part of preh</w:t>
      </w:r>
      <w:r w:rsidR="00E943E2" w:rsidRPr="008B2B47">
        <w:rPr>
          <w:rFonts w:ascii="Arial" w:hAnsi="Arial" w:cs="Arial"/>
          <w:sz w:val="24"/>
          <w:szCs w:val="24"/>
        </w:rPr>
        <w:t>a</w:t>
      </w:r>
      <w:r w:rsidRPr="008B2B47">
        <w:rPr>
          <w:rFonts w:ascii="Arial" w:hAnsi="Arial" w:cs="Arial"/>
          <w:sz w:val="24"/>
          <w:szCs w:val="24"/>
        </w:rPr>
        <w:t>bil</w:t>
      </w:r>
      <w:r w:rsidR="005F5772" w:rsidRPr="008B2B47">
        <w:rPr>
          <w:rFonts w:ascii="Arial" w:hAnsi="Arial" w:cs="Arial"/>
          <w:sz w:val="24"/>
          <w:szCs w:val="24"/>
        </w:rPr>
        <w:t>it</w:t>
      </w:r>
      <w:r w:rsidRPr="008B2B47">
        <w:rPr>
          <w:rFonts w:ascii="Arial" w:hAnsi="Arial" w:cs="Arial"/>
          <w:sz w:val="24"/>
          <w:szCs w:val="24"/>
        </w:rPr>
        <w:t>ation prior to admission for cancer treatments</w:t>
      </w:r>
      <w:r w:rsidR="00C31E51" w:rsidRPr="008B2B47">
        <w:rPr>
          <w:rFonts w:ascii="Arial" w:hAnsi="Arial" w:cs="Arial"/>
          <w:sz w:val="24"/>
          <w:szCs w:val="24"/>
        </w:rPr>
        <w:t>.</w:t>
      </w:r>
    </w:p>
    <w:p w14:paraId="2415BC53" w14:textId="6585EB5E" w:rsidR="004A38BB" w:rsidRDefault="004A38BB" w:rsidP="00185101">
      <w:pPr>
        <w:pStyle w:val="CommentText"/>
        <w:spacing w:after="0"/>
        <w:jc w:val="both"/>
        <w:rPr>
          <w:rFonts w:ascii="Arial" w:hAnsi="Arial" w:cs="Arial"/>
          <w:sz w:val="24"/>
          <w:szCs w:val="24"/>
        </w:rPr>
      </w:pPr>
      <w:r w:rsidRPr="008B2B47">
        <w:rPr>
          <w:rFonts w:ascii="Arial" w:hAnsi="Arial" w:cs="Arial"/>
          <w:sz w:val="24"/>
          <w:szCs w:val="24"/>
        </w:rPr>
        <w:lastRenderedPageBreak/>
        <w:t xml:space="preserve">The smoking cessation enhanced services also </w:t>
      </w:r>
      <w:r w:rsidR="0040356D" w:rsidRPr="008B2B47">
        <w:rPr>
          <w:rFonts w:ascii="Arial" w:hAnsi="Arial" w:cs="Arial"/>
          <w:sz w:val="24"/>
          <w:szCs w:val="24"/>
        </w:rPr>
        <w:t>supports public health issues relating to cancer.</w:t>
      </w:r>
    </w:p>
    <w:p w14:paraId="5DA360F8" w14:textId="5E8D219D" w:rsidR="008B2B47" w:rsidRDefault="008B2B47" w:rsidP="00185101">
      <w:pPr>
        <w:pStyle w:val="CommentText"/>
        <w:spacing w:after="0"/>
        <w:jc w:val="both"/>
        <w:rPr>
          <w:rFonts w:ascii="Arial" w:hAnsi="Arial" w:cs="Arial"/>
          <w:sz w:val="24"/>
          <w:szCs w:val="24"/>
        </w:rPr>
      </w:pPr>
    </w:p>
    <w:p w14:paraId="674F613E" w14:textId="77777777" w:rsidR="00185101" w:rsidRPr="008B2B47" w:rsidRDefault="00185101" w:rsidP="00185101">
      <w:pPr>
        <w:pStyle w:val="CommentText"/>
        <w:spacing w:after="0"/>
        <w:jc w:val="both"/>
        <w:rPr>
          <w:rFonts w:ascii="Arial" w:hAnsi="Arial" w:cs="Arial"/>
          <w:sz w:val="24"/>
          <w:szCs w:val="24"/>
        </w:rPr>
      </w:pPr>
    </w:p>
    <w:p w14:paraId="55FC939B" w14:textId="77777777" w:rsidR="008278EC" w:rsidRPr="002B04BB" w:rsidRDefault="008278EC" w:rsidP="00185101">
      <w:pPr>
        <w:spacing w:after="0" w:line="240" w:lineRule="auto"/>
        <w:jc w:val="both"/>
        <w:rPr>
          <w:rFonts w:ascii="Arial" w:hAnsi="Arial" w:cs="Arial"/>
          <w:b/>
          <w:sz w:val="24"/>
          <w:szCs w:val="24"/>
        </w:rPr>
      </w:pPr>
      <w:r w:rsidRPr="00A10850">
        <w:rPr>
          <w:rFonts w:ascii="Arial" w:hAnsi="Arial" w:cs="Arial"/>
          <w:b/>
          <w:sz w:val="26"/>
          <w:szCs w:val="26"/>
        </w:rPr>
        <w:t xml:space="preserve">7.4 </w:t>
      </w:r>
      <w:r w:rsidRPr="002B04BB">
        <w:rPr>
          <w:rFonts w:ascii="Arial" w:hAnsi="Arial" w:cs="Arial"/>
          <w:b/>
          <w:sz w:val="24"/>
          <w:szCs w:val="24"/>
        </w:rPr>
        <w:t>Long-term conditions</w:t>
      </w:r>
    </w:p>
    <w:p w14:paraId="55B77E85" w14:textId="77777777" w:rsidR="008278EC" w:rsidRPr="00A10850" w:rsidRDefault="008278EC" w:rsidP="00DC54F7">
      <w:pPr>
        <w:spacing w:after="0" w:line="240" w:lineRule="auto"/>
        <w:jc w:val="both"/>
        <w:rPr>
          <w:rFonts w:ascii="Arial" w:hAnsi="Arial" w:cs="Arial"/>
        </w:rPr>
      </w:pPr>
    </w:p>
    <w:p w14:paraId="7B7D8CA7" w14:textId="77777777" w:rsidR="008278EC" w:rsidRPr="008B2B47" w:rsidRDefault="008278EC" w:rsidP="00DC54F7">
      <w:pPr>
        <w:spacing w:after="0" w:line="240" w:lineRule="auto"/>
        <w:jc w:val="both"/>
        <w:rPr>
          <w:rFonts w:ascii="Arial" w:hAnsi="Arial" w:cs="Arial"/>
          <w:sz w:val="24"/>
          <w:szCs w:val="24"/>
        </w:rPr>
      </w:pPr>
      <w:r w:rsidRPr="002B04BB">
        <w:rPr>
          <w:rFonts w:ascii="Arial" w:hAnsi="Arial" w:cs="Arial"/>
          <w:sz w:val="24"/>
          <w:szCs w:val="24"/>
        </w:rPr>
        <w:t>In addition to dispensing prescriptions, pharmacies can contribute to many of the public health issues relating to long-term conditions as part of the essential services they provide</w:t>
      </w:r>
      <w:r w:rsidRPr="008B2B47">
        <w:rPr>
          <w:rFonts w:ascii="Arial" w:hAnsi="Arial" w:cs="Arial"/>
          <w:sz w:val="24"/>
          <w:szCs w:val="24"/>
        </w:rPr>
        <w:t>:</w:t>
      </w:r>
    </w:p>
    <w:p w14:paraId="1A89E8CB" w14:textId="77777777" w:rsidR="008278EC" w:rsidRPr="008B2B47" w:rsidRDefault="008278EC" w:rsidP="00DC54F7">
      <w:pPr>
        <w:spacing w:after="0" w:line="240" w:lineRule="auto"/>
        <w:jc w:val="both"/>
        <w:rPr>
          <w:rFonts w:ascii="Arial" w:hAnsi="Arial" w:cs="Arial"/>
          <w:sz w:val="24"/>
          <w:szCs w:val="24"/>
        </w:rPr>
      </w:pPr>
    </w:p>
    <w:p w14:paraId="37B46C9E" w14:textId="6A2D6230" w:rsidR="008278EC" w:rsidRPr="008B2B47" w:rsidRDefault="008278EC" w:rsidP="00DC54F7">
      <w:pPr>
        <w:numPr>
          <w:ilvl w:val="0"/>
          <w:numId w:val="44"/>
        </w:numPr>
        <w:spacing w:after="0" w:line="240" w:lineRule="auto"/>
        <w:jc w:val="both"/>
        <w:rPr>
          <w:rFonts w:ascii="Arial" w:hAnsi="Arial" w:cs="Arial"/>
          <w:sz w:val="24"/>
          <w:szCs w:val="24"/>
        </w:rPr>
      </w:pPr>
      <w:r w:rsidRPr="008B2B47">
        <w:rPr>
          <w:rFonts w:ascii="Arial" w:hAnsi="Arial" w:cs="Arial"/>
          <w:sz w:val="24"/>
          <w:szCs w:val="24"/>
        </w:rPr>
        <w:t xml:space="preserve">Where a person presents a prescription, and they appear to have diabetes, be at risk of coronary heart disease (especially those with high blood pressure), smoke or are overweight, the pharmacy is required to give appropriate advice with the aim of increasing that person’s knowledge and understanding of the health issues which are </w:t>
      </w:r>
      <w:r w:rsidR="005A60B5" w:rsidRPr="008B2B47">
        <w:rPr>
          <w:rFonts w:ascii="Arial" w:hAnsi="Arial" w:cs="Arial"/>
          <w:sz w:val="24"/>
          <w:szCs w:val="24"/>
        </w:rPr>
        <w:t>relevant to their circumstances</w:t>
      </w:r>
      <w:r w:rsidR="008E380C" w:rsidRPr="008B2B47">
        <w:rPr>
          <w:rFonts w:ascii="Arial" w:hAnsi="Arial" w:cs="Arial"/>
          <w:sz w:val="24"/>
          <w:szCs w:val="24"/>
        </w:rPr>
        <w:t>.</w:t>
      </w:r>
    </w:p>
    <w:p w14:paraId="1FB7BE12" w14:textId="77777777" w:rsidR="008278EC" w:rsidRPr="008B2B47" w:rsidRDefault="008278EC" w:rsidP="00DC54F7">
      <w:pPr>
        <w:pStyle w:val="ListParagraph"/>
        <w:numPr>
          <w:ilvl w:val="0"/>
          <w:numId w:val="44"/>
        </w:numPr>
        <w:spacing w:after="0" w:line="240" w:lineRule="auto"/>
        <w:jc w:val="both"/>
        <w:rPr>
          <w:rFonts w:ascii="Arial" w:hAnsi="Arial" w:cs="Arial"/>
          <w:sz w:val="24"/>
          <w:szCs w:val="24"/>
        </w:rPr>
      </w:pPr>
      <w:r w:rsidRPr="008B2B47">
        <w:rPr>
          <w:rFonts w:ascii="Arial" w:hAnsi="Arial" w:cs="Arial"/>
          <w:sz w:val="24"/>
          <w:szCs w:val="24"/>
        </w:rPr>
        <w:t xml:space="preserve">Pharmacies are required to participate in up to six public health campaigns each calendar year by promoting public health messages to users.  The topics for these campaigns are selected by </w:t>
      </w:r>
      <w:r w:rsidR="003857D6" w:rsidRPr="008B2B47">
        <w:rPr>
          <w:rFonts w:ascii="Arial" w:hAnsi="Arial" w:cs="Arial"/>
          <w:sz w:val="24"/>
          <w:szCs w:val="24"/>
        </w:rPr>
        <w:t>the health board</w:t>
      </w:r>
      <w:r w:rsidR="00292A97" w:rsidRPr="008B2B47">
        <w:rPr>
          <w:rFonts w:ascii="Arial" w:hAnsi="Arial" w:cs="Arial"/>
          <w:sz w:val="24"/>
          <w:szCs w:val="24"/>
        </w:rPr>
        <w:t xml:space="preserve"> and could include long-</w:t>
      </w:r>
      <w:r w:rsidRPr="008B2B47">
        <w:rPr>
          <w:rFonts w:ascii="Arial" w:hAnsi="Arial" w:cs="Arial"/>
          <w:sz w:val="24"/>
          <w:szCs w:val="24"/>
        </w:rPr>
        <w:t>term conditions.</w:t>
      </w:r>
    </w:p>
    <w:p w14:paraId="670375C1" w14:textId="77777777" w:rsidR="008278EC" w:rsidRPr="008B2B47" w:rsidRDefault="008278EC" w:rsidP="00DC54F7">
      <w:pPr>
        <w:numPr>
          <w:ilvl w:val="0"/>
          <w:numId w:val="44"/>
        </w:numPr>
        <w:spacing w:after="0" w:line="240" w:lineRule="auto"/>
        <w:jc w:val="both"/>
        <w:rPr>
          <w:rFonts w:ascii="Arial" w:hAnsi="Arial" w:cs="Arial"/>
          <w:sz w:val="24"/>
          <w:szCs w:val="24"/>
        </w:rPr>
      </w:pPr>
      <w:r w:rsidRPr="008B2B47">
        <w:rPr>
          <w:rFonts w:ascii="Arial" w:hAnsi="Arial" w:cs="Arial"/>
          <w:sz w:val="24"/>
          <w:szCs w:val="24"/>
        </w:rPr>
        <w:t>Signposting people using the pharmacy to other providers of services or support.</w:t>
      </w:r>
    </w:p>
    <w:p w14:paraId="0AC95651" w14:textId="1CDB21F1" w:rsidR="008278EC" w:rsidRPr="008B2B47" w:rsidRDefault="001E6C30" w:rsidP="00DC54F7">
      <w:pPr>
        <w:pStyle w:val="ListParagraph"/>
        <w:numPr>
          <w:ilvl w:val="0"/>
          <w:numId w:val="44"/>
        </w:numPr>
        <w:spacing w:after="0" w:line="240" w:lineRule="auto"/>
        <w:jc w:val="both"/>
        <w:rPr>
          <w:rFonts w:ascii="Arial" w:hAnsi="Arial" w:cs="Arial"/>
          <w:sz w:val="24"/>
          <w:szCs w:val="24"/>
        </w:rPr>
      </w:pPr>
      <w:r w:rsidRPr="008B2B47">
        <w:rPr>
          <w:rFonts w:ascii="Arial" w:hAnsi="Arial" w:cs="Arial"/>
          <w:sz w:val="24"/>
          <w:szCs w:val="24"/>
        </w:rPr>
        <w:t xml:space="preserve">Providing </w:t>
      </w:r>
      <w:r w:rsidR="00592DCD" w:rsidRPr="008B2B47">
        <w:rPr>
          <w:rFonts w:ascii="Arial" w:hAnsi="Arial" w:cs="Arial"/>
          <w:sz w:val="24"/>
          <w:szCs w:val="24"/>
        </w:rPr>
        <w:t xml:space="preserve">healthy living advice during </w:t>
      </w:r>
      <w:r w:rsidR="004D7565" w:rsidRPr="008B2B47">
        <w:rPr>
          <w:rFonts w:ascii="Arial" w:hAnsi="Arial" w:cs="Arial"/>
          <w:sz w:val="24"/>
          <w:szCs w:val="24"/>
        </w:rPr>
        <w:t>M</w:t>
      </w:r>
      <w:r w:rsidR="006E7968" w:rsidRPr="008B2B47">
        <w:rPr>
          <w:rFonts w:ascii="Arial" w:hAnsi="Arial" w:cs="Arial"/>
          <w:sz w:val="24"/>
          <w:szCs w:val="24"/>
        </w:rPr>
        <w:t xml:space="preserve">edicine </w:t>
      </w:r>
      <w:r w:rsidR="004D7565" w:rsidRPr="008B2B47">
        <w:rPr>
          <w:rFonts w:ascii="Arial" w:hAnsi="Arial" w:cs="Arial"/>
          <w:sz w:val="24"/>
          <w:szCs w:val="24"/>
        </w:rPr>
        <w:t>U</w:t>
      </w:r>
      <w:r w:rsidR="006E7968" w:rsidRPr="008B2B47">
        <w:rPr>
          <w:rFonts w:ascii="Arial" w:hAnsi="Arial" w:cs="Arial"/>
          <w:sz w:val="24"/>
          <w:szCs w:val="24"/>
        </w:rPr>
        <w:t xml:space="preserve">se </w:t>
      </w:r>
      <w:r w:rsidR="004D7565" w:rsidRPr="008B2B47">
        <w:rPr>
          <w:rFonts w:ascii="Arial" w:hAnsi="Arial" w:cs="Arial"/>
          <w:sz w:val="24"/>
          <w:szCs w:val="24"/>
        </w:rPr>
        <w:t>R</w:t>
      </w:r>
      <w:r w:rsidR="006E7968" w:rsidRPr="008B2B47">
        <w:rPr>
          <w:rFonts w:ascii="Arial" w:hAnsi="Arial" w:cs="Arial"/>
          <w:sz w:val="24"/>
          <w:szCs w:val="24"/>
        </w:rPr>
        <w:t xml:space="preserve">eview </w:t>
      </w:r>
      <w:r w:rsidR="005A60B5" w:rsidRPr="008B2B47">
        <w:rPr>
          <w:rFonts w:ascii="Arial" w:hAnsi="Arial" w:cs="Arial"/>
          <w:sz w:val="24"/>
          <w:szCs w:val="24"/>
        </w:rPr>
        <w:t>consultations</w:t>
      </w:r>
      <w:r w:rsidR="006B7D30" w:rsidRPr="008B2B47">
        <w:rPr>
          <w:rFonts w:ascii="Arial" w:hAnsi="Arial" w:cs="Arial"/>
          <w:sz w:val="24"/>
          <w:szCs w:val="24"/>
        </w:rPr>
        <w:t>.</w:t>
      </w:r>
    </w:p>
    <w:p w14:paraId="690115CC" w14:textId="77777777" w:rsidR="001E6C30" w:rsidRPr="008B2B47" w:rsidRDefault="001E6C30" w:rsidP="00DC54F7">
      <w:pPr>
        <w:pStyle w:val="ListParagraph"/>
        <w:spacing w:after="0" w:line="240" w:lineRule="auto"/>
        <w:jc w:val="both"/>
        <w:rPr>
          <w:rFonts w:ascii="Arial" w:hAnsi="Arial" w:cs="Arial"/>
          <w:sz w:val="24"/>
          <w:szCs w:val="24"/>
        </w:rPr>
      </w:pPr>
    </w:p>
    <w:p w14:paraId="69AE3209" w14:textId="57BB3B75" w:rsidR="008278EC" w:rsidRPr="00A10850" w:rsidRDefault="008278EC" w:rsidP="00DC54F7">
      <w:pPr>
        <w:spacing w:after="0" w:line="240" w:lineRule="auto"/>
        <w:jc w:val="both"/>
        <w:rPr>
          <w:rFonts w:ascii="Arial" w:hAnsi="Arial" w:cs="Arial"/>
        </w:rPr>
      </w:pPr>
      <w:r w:rsidRPr="008B2B47">
        <w:rPr>
          <w:rFonts w:ascii="Arial" w:hAnsi="Arial" w:cs="Arial"/>
          <w:sz w:val="24"/>
          <w:szCs w:val="24"/>
        </w:rPr>
        <w:t xml:space="preserve">Provision of the </w:t>
      </w:r>
      <w:r w:rsidR="008005C2" w:rsidRPr="008B2B47">
        <w:rPr>
          <w:rFonts w:ascii="Arial" w:hAnsi="Arial" w:cs="Arial"/>
          <w:sz w:val="24"/>
          <w:szCs w:val="24"/>
        </w:rPr>
        <w:t>M</w:t>
      </w:r>
      <w:r w:rsidR="006E7968" w:rsidRPr="008B2B47">
        <w:rPr>
          <w:rFonts w:ascii="Arial" w:hAnsi="Arial" w:cs="Arial"/>
          <w:sz w:val="24"/>
          <w:szCs w:val="24"/>
        </w:rPr>
        <w:t xml:space="preserve">edicines </w:t>
      </w:r>
      <w:r w:rsidR="008005C2" w:rsidRPr="008B2B47">
        <w:rPr>
          <w:rFonts w:ascii="Arial" w:hAnsi="Arial" w:cs="Arial"/>
          <w:sz w:val="24"/>
          <w:szCs w:val="24"/>
        </w:rPr>
        <w:t>U</w:t>
      </w:r>
      <w:r w:rsidR="006E7968" w:rsidRPr="008B2B47">
        <w:rPr>
          <w:rFonts w:ascii="Arial" w:hAnsi="Arial" w:cs="Arial"/>
          <w:sz w:val="24"/>
          <w:szCs w:val="24"/>
        </w:rPr>
        <w:t xml:space="preserve">se </w:t>
      </w:r>
      <w:r w:rsidR="008005C2" w:rsidRPr="008B2B47">
        <w:rPr>
          <w:rFonts w:ascii="Arial" w:hAnsi="Arial" w:cs="Arial"/>
          <w:sz w:val="24"/>
          <w:szCs w:val="24"/>
        </w:rPr>
        <w:t>R</w:t>
      </w:r>
      <w:r w:rsidR="006E7968" w:rsidRPr="008B2B47">
        <w:rPr>
          <w:rFonts w:ascii="Arial" w:hAnsi="Arial" w:cs="Arial"/>
          <w:sz w:val="24"/>
          <w:szCs w:val="24"/>
        </w:rPr>
        <w:t>eview</w:t>
      </w:r>
      <w:r w:rsidR="008005C2" w:rsidRPr="008B2B47">
        <w:rPr>
          <w:rFonts w:ascii="Arial" w:hAnsi="Arial" w:cs="Arial"/>
          <w:sz w:val="24"/>
          <w:szCs w:val="24"/>
        </w:rPr>
        <w:t>s</w:t>
      </w:r>
      <w:r w:rsidRPr="008B2B47">
        <w:rPr>
          <w:rFonts w:ascii="Arial" w:hAnsi="Arial" w:cs="Arial"/>
          <w:sz w:val="24"/>
          <w:szCs w:val="24"/>
        </w:rPr>
        <w:t xml:space="preserve">, </w:t>
      </w:r>
      <w:r w:rsidR="009E53CC" w:rsidRPr="008B2B47">
        <w:rPr>
          <w:rFonts w:ascii="Arial" w:hAnsi="Arial" w:cs="Arial"/>
          <w:sz w:val="24"/>
          <w:szCs w:val="24"/>
        </w:rPr>
        <w:t>A</w:t>
      </w:r>
      <w:r w:rsidR="006E7968" w:rsidRPr="008B2B47">
        <w:rPr>
          <w:rFonts w:ascii="Arial" w:hAnsi="Arial" w:cs="Arial"/>
          <w:sz w:val="24"/>
          <w:szCs w:val="24"/>
        </w:rPr>
        <w:t xml:space="preserve">ppliance </w:t>
      </w:r>
      <w:r w:rsidR="009E53CC" w:rsidRPr="008B2B47">
        <w:rPr>
          <w:rFonts w:ascii="Arial" w:hAnsi="Arial" w:cs="Arial"/>
          <w:sz w:val="24"/>
          <w:szCs w:val="24"/>
        </w:rPr>
        <w:t>U</w:t>
      </w:r>
      <w:r w:rsidR="006E7968" w:rsidRPr="008B2B47">
        <w:rPr>
          <w:rFonts w:ascii="Arial" w:hAnsi="Arial" w:cs="Arial"/>
          <w:sz w:val="24"/>
          <w:szCs w:val="24"/>
        </w:rPr>
        <w:t xml:space="preserve">se </w:t>
      </w:r>
      <w:r w:rsidR="009E53CC" w:rsidRPr="008B2B47">
        <w:rPr>
          <w:rFonts w:ascii="Arial" w:hAnsi="Arial" w:cs="Arial"/>
          <w:sz w:val="24"/>
          <w:szCs w:val="24"/>
        </w:rPr>
        <w:t>R</w:t>
      </w:r>
      <w:r w:rsidR="006E7968" w:rsidRPr="008B2B47">
        <w:rPr>
          <w:rFonts w:ascii="Arial" w:hAnsi="Arial" w:cs="Arial"/>
          <w:sz w:val="24"/>
          <w:szCs w:val="24"/>
        </w:rPr>
        <w:t>eviews</w:t>
      </w:r>
      <w:r w:rsidRPr="008B2B47">
        <w:rPr>
          <w:rFonts w:ascii="Arial" w:hAnsi="Arial" w:cs="Arial"/>
          <w:sz w:val="24"/>
          <w:szCs w:val="24"/>
        </w:rPr>
        <w:t>, st</w:t>
      </w:r>
      <w:r w:rsidR="00365B45" w:rsidRPr="008B2B47">
        <w:rPr>
          <w:rFonts w:ascii="Arial" w:hAnsi="Arial" w:cs="Arial"/>
          <w:sz w:val="24"/>
          <w:szCs w:val="24"/>
        </w:rPr>
        <w:t xml:space="preserve">oma appliance customisation and </w:t>
      </w:r>
      <w:r w:rsidR="0048476A" w:rsidRPr="008B2B47">
        <w:rPr>
          <w:rFonts w:ascii="Arial" w:hAnsi="Arial" w:cs="Arial"/>
          <w:sz w:val="24"/>
          <w:szCs w:val="24"/>
        </w:rPr>
        <w:t>D</w:t>
      </w:r>
      <w:r w:rsidR="006E7968" w:rsidRPr="008B2B47">
        <w:rPr>
          <w:rFonts w:ascii="Arial" w:hAnsi="Arial" w:cs="Arial"/>
          <w:sz w:val="24"/>
          <w:szCs w:val="24"/>
        </w:rPr>
        <w:t xml:space="preserve">ischarge </w:t>
      </w:r>
      <w:r w:rsidR="0048476A" w:rsidRPr="008B2B47">
        <w:rPr>
          <w:rFonts w:ascii="Arial" w:hAnsi="Arial" w:cs="Arial"/>
          <w:sz w:val="24"/>
          <w:szCs w:val="24"/>
        </w:rPr>
        <w:t>M</w:t>
      </w:r>
      <w:r w:rsidR="006E7968" w:rsidRPr="008B2B47">
        <w:rPr>
          <w:rFonts w:ascii="Arial" w:hAnsi="Arial" w:cs="Arial"/>
          <w:sz w:val="24"/>
          <w:szCs w:val="24"/>
        </w:rPr>
        <w:t xml:space="preserve">edicines </w:t>
      </w:r>
      <w:r w:rsidR="0048476A" w:rsidRPr="008B2B47">
        <w:rPr>
          <w:rFonts w:ascii="Arial" w:hAnsi="Arial" w:cs="Arial"/>
          <w:sz w:val="24"/>
          <w:szCs w:val="24"/>
        </w:rPr>
        <w:t>R</w:t>
      </w:r>
      <w:r w:rsidR="006E7968" w:rsidRPr="008B2B47">
        <w:rPr>
          <w:rFonts w:ascii="Arial" w:hAnsi="Arial" w:cs="Arial"/>
          <w:sz w:val="24"/>
          <w:szCs w:val="24"/>
        </w:rPr>
        <w:t>eview</w:t>
      </w:r>
      <w:r w:rsidRPr="008B2B47">
        <w:rPr>
          <w:rFonts w:ascii="Arial" w:hAnsi="Arial" w:cs="Arial"/>
          <w:sz w:val="24"/>
          <w:szCs w:val="24"/>
        </w:rPr>
        <w:t xml:space="preserve"> advanced services</w:t>
      </w:r>
      <w:r w:rsidR="00F937AF" w:rsidRPr="008B2B47">
        <w:rPr>
          <w:rFonts w:ascii="Arial" w:hAnsi="Arial" w:cs="Arial"/>
          <w:sz w:val="24"/>
          <w:szCs w:val="24"/>
        </w:rPr>
        <w:t>, and the flu vaccination enhanced service</w:t>
      </w:r>
      <w:r w:rsidRPr="008B2B47">
        <w:rPr>
          <w:rFonts w:ascii="Arial" w:hAnsi="Arial" w:cs="Arial"/>
          <w:sz w:val="24"/>
          <w:szCs w:val="24"/>
        </w:rPr>
        <w:t xml:space="preserve"> will also assist people to manage their long-term conditions in order to maximise their quality of life</w:t>
      </w:r>
      <w:r w:rsidRPr="00A10850">
        <w:rPr>
          <w:rFonts w:ascii="Arial" w:hAnsi="Arial" w:cs="Arial"/>
        </w:rPr>
        <w:t xml:space="preserve">. </w:t>
      </w:r>
    </w:p>
    <w:p w14:paraId="5E1A0E22" w14:textId="4E259F34" w:rsidR="00501918" w:rsidRDefault="00501918" w:rsidP="00DC54F7">
      <w:pPr>
        <w:spacing w:after="0" w:line="240" w:lineRule="auto"/>
        <w:jc w:val="both"/>
        <w:rPr>
          <w:rFonts w:ascii="Arial" w:hAnsi="Arial" w:cs="Arial"/>
          <w:b/>
          <w:sz w:val="26"/>
          <w:szCs w:val="26"/>
        </w:rPr>
      </w:pPr>
    </w:p>
    <w:p w14:paraId="14597ED0" w14:textId="77777777" w:rsidR="008B2B47" w:rsidRDefault="008B2B47" w:rsidP="00DC54F7">
      <w:pPr>
        <w:spacing w:after="0" w:line="240" w:lineRule="auto"/>
        <w:jc w:val="both"/>
        <w:rPr>
          <w:rFonts w:ascii="Arial" w:hAnsi="Arial" w:cs="Arial"/>
          <w:b/>
          <w:sz w:val="26"/>
          <w:szCs w:val="26"/>
        </w:rPr>
      </w:pPr>
    </w:p>
    <w:p w14:paraId="717FDE8B" w14:textId="2E856392" w:rsidR="008278EC" w:rsidRPr="00A10850" w:rsidRDefault="00583F73" w:rsidP="00DC54F7">
      <w:pPr>
        <w:spacing w:after="0" w:line="240" w:lineRule="auto"/>
        <w:jc w:val="both"/>
        <w:rPr>
          <w:rFonts w:ascii="Arial" w:hAnsi="Arial" w:cs="Arial"/>
          <w:b/>
          <w:sz w:val="26"/>
          <w:szCs w:val="26"/>
        </w:rPr>
      </w:pPr>
      <w:r w:rsidRPr="00A10850">
        <w:rPr>
          <w:rFonts w:ascii="Arial" w:hAnsi="Arial" w:cs="Arial"/>
          <w:b/>
          <w:sz w:val="26"/>
          <w:szCs w:val="26"/>
        </w:rPr>
        <w:t>7.</w:t>
      </w:r>
      <w:r w:rsidR="008278EC" w:rsidRPr="00A10850">
        <w:rPr>
          <w:rFonts w:ascii="Arial" w:hAnsi="Arial" w:cs="Arial"/>
          <w:b/>
          <w:sz w:val="26"/>
          <w:szCs w:val="26"/>
        </w:rPr>
        <w:t xml:space="preserve">5 </w:t>
      </w:r>
      <w:r w:rsidR="001D38DA" w:rsidRPr="002B04BB">
        <w:rPr>
          <w:rFonts w:ascii="Arial" w:hAnsi="Arial" w:cs="Arial"/>
          <w:b/>
          <w:sz w:val="24"/>
          <w:szCs w:val="24"/>
        </w:rPr>
        <w:t xml:space="preserve">Overweight and </w:t>
      </w:r>
      <w:r w:rsidR="00D66EA3" w:rsidRPr="002B04BB">
        <w:rPr>
          <w:rFonts w:ascii="Arial" w:hAnsi="Arial" w:cs="Arial"/>
          <w:b/>
          <w:sz w:val="24"/>
          <w:szCs w:val="24"/>
        </w:rPr>
        <w:t>o</w:t>
      </w:r>
      <w:r w:rsidR="008278EC" w:rsidRPr="002B04BB">
        <w:rPr>
          <w:rFonts w:ascii="Arial" w:hAnsi="Arial" w:cs="Arial"/>
          <w:b/>
          <w:sz w:val="24"/>
          <w:szCs w:val="24"/>
        </w:rPr>
        <w:t>besity</w:t>
      </w:r>
    </w:p>
    <w:p w14:paraId="518968B7" w14:textId="77777777" w:rsidR="008278EC" w:rsidRPr="00A10850" w:rsidRDefault="008278EC" w:rsidP="00DC54F7">
      <w:pPr>
        <w:spacing w:after="0" w:line="240" w:lineRule="auto"/>
        <w:jc w:val="both"/>
        <w:rPr>
          <w:rFonts w:ascii="Arial" w:hAnsi="Arial" w:cs="Arial"/>
        </w:rPr>
      </w:pPr>
    </w:p>
    <w:p w14:paraId="1F8315D1" w14:textId="77777777" w:rsidR="008278EC" w:rsidRPr="008B2B47" w:rsidRDefault="00365B45" w:rsidP="00DC54F7">
      <w:pPr>
        <w:spacing w:after="0" w:line="240" w:lineRule="auto"/>
        <w:jc w:val="both"/>
        <w:rPr>
          <w:rFonts w:ascii="Arial" w:hAnsi="Arial" w:cs="Arial"/>
          <w:sz w:val="24"/>
          <w:szCs w:val="24"/>
        </w:rPr>
      </w:pPr>
      <w:r w:rsidRPr="008B2B47">
        <w:rPr>
          <w:rFonts w:ascii="Arial" w:hAnsi="Arial" w:cs="Arial"/>
          <w:sz w:val="24"/>
          <w:szCs w:val="24"/>
        </w:rPr>
        <w:t>Four</w:t>
      </w:r>
      <w:r w:rsidR="008278EC" w:rsidRPr="008B2B47">
        <w:rPr>
          <w:rFonts w:ascii="Arial" w:hAnsi="Arial" w:cs="Arial"/>
          <w:sz w:val="24"/>
          <w:szCs w:val="24"/>
        </w:rPr>
        <w:t xml:space="preserve"> elements of the essential services will address this health need:</w:t>
      </w:r>
    </w:p>
    <w:p w14:paraId="02E8A488" w14:textId="77777777" w:rsidR="008278EC" w:rsidRPr="008B2B47" w:rsidRDefault="008278EC" w:rsidP="00DC54F7">
      <w:pPr>
        <w:spacing w:after="0" w:line="240" w:lineRule="auto"/>
        <w:jc w:val="both"/>
        <w:rPr>
          <w:rFonts w:ascii="Arial" w:hAnsi="Arial" w:cs="Arial"/>
          <w:sz w:val="24"/>
          <w:szCs w:val="24"/>
        </w:rPr>
      </w:pPr>
    </w:p>
    <w:p w14:paraId="31FCB253" w14:textId="44E4DBAF" w:rsidR="008278EC" w:rsidRPr="008B2B47" w:rsidRDefault="008278EC" w:rsidP="00DC54F7">
      <w:pPr>
        <w:numPr>
          <w:ilvl w:val="0"/>
          <w:numId w:val="45"/>
        </w:numPr>
        <w:spacing w:after="0" w:line="240" w:lineRule="auto"/>
        <w:jc w:val="both"/>
        <w:rPr>
          <w:rFonts w:ascii="Arial" w:hAnsi="Arial" w:cs="Arial"/>
          <w:sz w:val="24"/>
          <w:szCs w:val="24"/>
        </w:rPr>
      </w:pPr>
      <w:r w:rsidRPr="008B2B47">
        <w:rPr>
          <w:rFonts w:ascii="Arial" w:hAnsi="Arial" w:cs="Arial"/>
          <w:sz w:val="24"/>
          <w:szCs w:val="24"/>
        </w:rPr>
        <w:t xml:space="preserve">Where a person presents a prescription, and they are overweight, the pharmacy is required to give appropriate advice with the aim of increasing the person’s knowledge and understanding of the health issues which are </w:t>
      </w:r>
      <w:r w:rsidR="005A60B5" w:rsidRPr="008B2B47">
        <w:rPr>
          <w:rFonts w:ascii="Arial" w:hAnsi="Arial" w:cs="Arial"/>
          <w:sz w:val="24"/>
          <w:szCs w:val="24"/>
        </w:rPr>
        <w:t>relevant to their circumstances</w:t>
      </w:r>
      <w:r w:rsidR="00466D53" w:rsidRPr="008B2B47">
        <w:rPr>
          <w:rFonts w:ascii="Arial" w:hAnsi="Arial" w:cs="Arial"/>
          <w:sz w:val="24"/>
          <w:szCs w:val="24"/>
        </w:rPr>
        <w:t>.</w:t>
      </w:r>
    </w:p>
    <w:p w14:paraId="4651E77B" w14:textId="1ACC9CCC" w:rsidR="008278EC" w:rsidRPr="008B2B47" w:rsidRDefault="008278EC" w:rsidP="00DC54F7">
      <w:pPr>
        <w:numPr>
          <w:ilvl w:val="0"/>
          <w:numId w:val="45"/>
        </w:numPr>
        <w:spacing w:after="0" w:line="240" w:lineRule="auto"/>
        <w:jc w:val="both"/>
        <w:rPr>
          <w:rFonts w:ascii="Arial" w:hAnsi="Arial" w:cs="Arial"/>
          <w:sz w:val="24"/>
          <w:szCs w:val="24"/>
        </w:rPr>
      </w:pPr>
      <w:r w:rsidRPr="008B2B47">
        <w:rPr>
          <w:rFonts w:ascii="Arial" w:hAnsi="Arial" w:cs="Arial"/>
          <w:sz w:val="24"/>
          <w:szCs w:val="24"/>
        </w:rPr>
        <w:t xml:space="preserve">Pharmacies are required to participate in up to six public health campaigns each calendar year by promoting public health messages to users.  The topics for these campaigns are selected by </w:t>
      </w:r>
      <w:r w:rsidR="003857D6" w:rsidRPr="008B2B47">
        <w:rPr>
          <w:rFonts w:ascii="Arial" w:hAnsi="Arial" w:cs="Arial"/>
          <w:sz w:val="24"/>
          <w:szCs w:val="24"/>
        </w:rPr>
        <w:t>the health board</w:t>
      </w:r>
      <w:r w:rsidR="005A60B5" w:rsidRPr="008B2B47">
        <w:rPr>
          <w:rFonts w:ascii="Arial" w:hAnsi="Arial" w:cs="Arial"/>
          <w:sz w:val="24"/>
          <w:szCs w:val="24"/>
        </w:rPr>
        <w:t xml:space="preserve"> and could include obesity</w:t>
      </w:r>
      <w:r w:rsidR="00466D53" w:rsidRPr="008B2B47">
        <w:rPr>
          <w:rFonts w:ascii="Arial" w:hAnsi="Arial" w:cs="Arial"/>
          <w:sz w:val="24"/>
          <w:szCs w:val="24"/>
        </w:rPr>
        <w:t>.</w:t>
      </w:r>
    </w:p>
    <w:p w14:paraId="4F2A358C" w14:textId="36A7F7E1" w:rsidR="008278EC" w:rsidRPr="008B2B47" w:rsidRDefault="008278EC" w:rsidP="00DC54F7">
      <w:pPr>
        <w:numPr>
          <w:ilvl w:val="0"/>
          <w:numId w:val="45"/>
        </w:numPr>
        <w:spacing w:after="0" w:line="240" w:lineRule="auto"/>
        <w:jc w:val="both"/>
        <w:rPr>
          <w:rFonts w:ascii="Arial" w:hAnsi="Arial" w:cs="Arial"/>
          <w:sz w:val="24"/>
          <w:szCs w:val="24"/>
        </w:rPr>
      </w:pPr>
      <w:r w:rsidRPr="008B2B47">
        <w:rPr>
          <w:rFonts w:ascii="Arial" w:hAnsi="Arial" w:cs="Arial"/>
          <w:sz w:val="24"/>
          <w:szCs w:val="24"/>
        </w:rPr>
        <w:t>Signposting people using the pharmacy to other p</w:t>
      </w:r>
      <w:r w:rsidR="005A60B5" w:rsidRPr="008B2B47">
        <w:rPr>
          <w:rFonts w:ascii="Arial" w:hAnsi="Arial" w:cs="Arial"/>
          <w:sz w:val="24"/>
          <w:szCs w:val="24"/>
        </w:rPr>
        <w:t>roviders of services or support</w:t>
      </w:r>
      <w:r w:rsidR="00466D53" w:rsidRPr="008B2B47">
        <w:rPr>
          <w:rFonts w:ascii="Arial" w:hAnsi="Arial" w:cs="Arial"/>
          <w:sz w:val="24"/>
          <w:szCs w:val="24"/>
        </w:rPr>
        <w:t>.</w:t>
      </w:r>
    </w:p>
    <w:p w14:paraId="215509DD" w14:textId="2A89F767" w:rsidR="001E6C30" w:rsidRPr="00A10850" w:rsidRDefault="001E6C30" w:rsidP="00DC54F7">
      <w:pPr>
        <w:numPr>
          <w:ilvl w:val="0"/>
          <w:numId w:val="45"/>
        </w:numPr>
        <w:spacing w:after="0" w:line="240" w:lineRule="auto"/>
        <w:jc w:val="both"/>
        <w:rPr>
          <w:rFonts w:ascii="Arial" w:hAnsi="Arial" w:cs="Arial"/>
        </w:rPr>
      </w:pPr>
      <w:r w:rsidRPr="008B2B47">
        <w:rPr>
          <w:rFonts w:ascii="Arial" w:hAnsi="Arial" w:cs="Arial"/>
          <w:sz w:val="24"/>
          <w:szCs w:val="24"/>
        </w:rPr>
        <w:t>Providing healthy living advice during</w:t>
      </w:r>
      <w:r w:rsidR="00592DCD" w:rsidRPr="008B2B47">
        <w:rPr>
          <w:rFonts w:ascii="Arial" w:hAnsi="Arial" w:cs="Arial"/>
          <w:sz w:val="24"/>
          <w:szCs w:val="24"/>
        </w:rPr>
        <w:t xml:space="preserve"> </w:t>
      </w:r>
      <w:r w:rsidR="004D7565" w:rsidRPr="008B2B47">
        <w:rPr>
          <w:rFonts w:ascii="Arial" w:hAnsi="Arial" w:cs="Arial"/>
          <w:sz w:val="24"/>
          <w:szCs w:val="24"/>
        </w:rPr>
        <w:t>M</w:t>
      </w:r>
      <w:r w:rsidR="00466D53" w:rsidRPr="008B2B47">
        <w:rPr>
          <w:rFonts w:ascii="Arial" w:hAnsi="Arial" w:cs="Arial"/>
          <w:sz w:val="24"/>
          <w:szCs w:val="24"/>
        </w:rPr>
        <w:t>edicine</w:t>
      </w:r>
      <w:r w:rsidR="002A0346" w:rsidRPr="008B2B47">
        <w:rPr>
          <w:rFonts w:ascii="Arial" w:hAnsi="Arial" w:cs="Arial"/>
          <w:sz w:val="24"/>
          <w:szCs w:val="24"/>
        </w:rPr>
        <w:t>s</w:t>
      </w:r>
      <w:r w:rsidR="00466D53" w:rsidRPr="008B2B47">
        <w:rPr>
          <w:rFonts w:ascii="Arial" w:hAnsi="Arial" w:cs="Arial"/>
          <w:sz w:val="24"/>
          <w:szCs w:val="24"/>
        </w:rPr>
        <w:t xml:space="preserve"> </w:t>
      </w:r>
      <w:r w:rsidR="004D7565" w:rsidRPr="008B2B47">
        <w:rPr>
          <w:rFonts w:ascii="Arial" w:hAnsi="Arial" w:cs="Arial"/>
          <w:sz w:val="24"/>
          <w:szCs w:val="24"/>
        </w:rPr>
        <w:t>U</w:t>
      </w:r>
      <w:r w:rsidR="00466D53" w:rsidRPr="008B2B47">
        <w:rPr>
          <w:rFonts w:ascii="Arial" w:hAnsi="Arial" w:cs="Arial"/>
          <w:sz w:val="24"/>
          <w:szCs w:val="24"/>
        </w:rPr>
        <w:t xml:space="preserve">se </w:t>
      </w:r>
      <w:r w:rsidR="004D7565" w:rsidRPr="008B2B47">
        <w:rPr>
          <w:rFonts w:ascii="Arial" w:hAnsi="Arial" w:cs="Arial"/>
          <w:sz w:val="24"/>
          <w:szCs w:val="24"/>
        </w:rPr>
        <w:t>R</w:t>
      </w:r>
      <w:r w:rsidR="00466D53" w:rsidRPr="008B2B47">
        <w:rPr>
          <w:rFonts w:ascii="Arial" w:hAnsi="Arial" w:cs="Arial"/>
          <w:sz w:val="24"/>
          <w:szCs w:val="24"/>
        </w:rPr>
        <w:t>eview</w:t>
      </w:r>
      <w:r w:rsidR="00592DCD" w:rsidRPr="008B2B47">
        <w:rPr>
          <w:rFonts w:ascii="Arial" w:hAnsi="Arial" w:cs="Arial"/>
          <w:sz w:val="24"/>
          <w:szCs w:val="24"/>
        </w:rPr>
        <w:t xml:space="preserve"> </w:t>
      </w:r>
      <w:r w:rsidRPr="008B2B47">
        <w:rPr>
          <w:rFonts w:ascii="Arial" w:hAnsi="Arial" w:cs="Arial"/>
          <w:sz w:val="24"/>
          <w:szCs w:val="24"/>
        </w:rPr>
        <w:t>consultations</w:t>
      </w:r>
      <w:r w:rsidRPr="00A10850">
        <w:rPr>
          <w:rFonts w:ascii="Arial" w:hAnsi="Arial" w:cs="Arial"/>
        </w:rPr>
        <w:t>.</w:t>
      </w:r>
    </w:p>
    <w:p w14:paraId="2EDC689B" w14:textId="48629AC6" w:rsidR="00501918" w:rsidRDefault="00501918" w:rsidP="00DC54F7">
      <w:pPr>
        <w:spacing w:after="0" w:line="240" w:lineRule="auto"/>
        <w:jc w:val="both"/>
        <w:rPr>
          <w:rFonts w:ascii="Arial" w:hAnsi="Arial" w:cs="Arial"/>
          <w:b/>
          <w:sz w:val="26"/>
          <w:szCs w:val="26"/>
        </w:rPr>
      </w:pPr>
    </w:p>
    <w:p w14:paraId="4401D055" w14:textId="77777777" w:rsidR="002B04BB" w:rsidRDefault="002B04BB" w:rsidP="00DC54F7">
      <w:pPr>
        <w:spacing w:after="0" w:line="240" w:lineRule="auto"/>
        <w:jc w:val="both"/>
        <w:rPr>
          <w:rFonts w:ascii="Arial" w:hAnsi="Arial" w:cs="Arial"/>
          <w:b/>
          <w:sz w:val="26"/>
          <w:szCs w:val="26"/>
        </w:rPr>
      </w:pPr>
    </w:p>
    <w:p w14:paraId="14A21E67" w14:textId="77777777" w:rsidR="002B04BB" w:rsidRDefault="002B04BB" w:rsidP="00DC54F7">
      <w:pPr>
        <w:spacing w:after="0" w:line="240" w:lineRule="auto"/>
        <w:jc w:val="both"/>
        <w:rPr>
          <w:rFonts w:ascii="Arial" w:hAnsi="Arial" w:cs="Arial"/>
          <w:b/>
          <w:sz w:val="26"/>
          <w:szCs w:val="26"/>
        </w:rPr>
      </w:pPr>
    </w:p>
    <w:p w14:paraId="2A7520DF" w14:textId="77777777" w:rsidR="002B04BB" w:rsidRDefault="002B04BB" w:rsidP="00DC54F7">
      <w:pPr>
        <w:spacing w:after="0" w:line="240" w:lineRule="auto"/>
        <w:jc w:val="both"/>
        <w:rPr>
          <w:rFonts w:ascii="Arial" w:hAnsi="Arial" w:cs="Arial"/>
          <w:b/>
          <w:sz w:val="26"/>
          <w:szCs w:val="26"/>
        </w:rPr>
      </w:pPr>
    </w:p>
    <w:p w14:paraId="09D87407" w14:textId="4FE7D8B4" w:rsidR="008B2B47" w:rsidRDefault="008B2B47" w:rsidP="00DC54F7">
      <w:pPr>
        <w:spacing w:after="0" w:line="240" w:lineRule="auto"/>
        <w:jc w:val="both"/>
        <w:rPr>
          <w:rFonts w:ascii="Arial" w:hAnsi="Arial" w:cs="Arial"/>
          <w:b/>
          <w:sz w:val="26"/>
          <w:szCs w:val="26"/>
        </w:rPr>
      </w:pPr>
    </w:p>
    <w:p w14:paraId="72BF62B0" w14:textId="289D1FDF" w:rsidR="008278EC" w:rsidRPr="00A10850" w:rsidRDefault="008278EC" w:rsidP="00DC54F7">
      <w:pPr>
        <w:spacing w:after="0" w:line="240" w:lineRule="auto"/>
        <w:jc w:val="both"/>
        <w:rPr>
          <w:rFonts w:ascii="Arial" w:hAnsi="Arial" w:cs="Arial"/>
          <w:b/>
          <w:sz w:val="26"/>
          <w:szCs w:val="26"/>
        </w:rPr>
      </w:pPr>
      <w:r w:rsidRPr="00A10850">
        <w:rPr>
          <w:rFonts w:ascii="Arial" w:hAnsi="Arial" w:cs="Arial"/>
          <w:b/>
          <w:sz w:val="26"/>
          <w:szCs w:val="26"/>
        </w:rPr>
        <w:t>7.</w:t>
      </w:r>
      <w:r w:rsidR="004E211C" w:rsidRPr="00A10850">
        <w:rPr>
          <w:rFonts w:ascii="Arial" w:hAnsi="Arial" w:cs="Arial"/>
          <w:b/>
          <w:sz w:val="26"/>
          <w:szCs w:val="26"/>
        </w:rPr>
        <w:t>6</w:t>
      </w:r>
      <w:r w:rsidRPr="00A10850">
        <w:rPr>
          <w:rFonts w:ascii="Arial" w:hAnsi="Arial" w:cs="Arial"/>
          <w:b/>
          <w:sz w:val="26"/>
          <w:szCs w:val="26"/>
        </w:rPr>
        <w:t xml:space="preserve"> </w:t>
      </w:r>
      <w:r w:rsidRPr="002B04BB">
        <w:rPr>
          <w:rFonts w:ascii="Arial" w:hAnsi="Arial" w:cs="Arial"/>
          <w:b/>
          <w:sz w:val="24"/>
          <w:szCs w:val="24"/>
        </w:rPr>
        <w:t>Sexual health</w:t>
      </w:r>
    </w:p>
    <w:p w14:paraId="333A000F" w14:textId="77777777" w:rsidR="008278EC" w:rsidRPr="00A10850" w:rsidRDefault="008278EC" w:rsidP="00DC54F7">
      <w:pPr>
        <w:spacing w:after="0" w:line="240" w:lineRule="auto"/>
        <w:jc w:val="both"/>
        <w:rPr>
          <w:rFonts w:ascii="Arial" w:hAnsi="Arial" w:cs="Arial"/>
          <w:highlight w:val="cyan"/>
        </w:rPr>
      </w:pPr>
    </w:p>
    <w:p w14:paraId="53211EAF" w14:textId="5A0FC279" w:rsidR="008278EC" w:rsidRPr="008B2B47" w:rsidRDefault="00F937AF" w:rsidP="00DC54F7">
      <w:pPr>
        <w:spacing w:after="0" w:line="240" w:lineRule="auto"/>
        <w:jc w:val="both"/>
        <w:rPr>
          <w:rFonts w:ascii="Arial" w:hAnsi="Arial" w:cs="Arial"/>
          <w:sz w:val="24"/>
          <w:szCs w:val="24"/>
        </w:rPr>
      </w:pPr>
      <w:r w:rsidRPr="008B2B47">
        <w:rPr>
          <w:rFonts w:ascii="Arial" w:hAnsi="Arial" w:cs="Arial"/>
          <w:sz w:val="24"/>
          <w:szCs w:val="24"/>
        </w:rPr>
        <w:t>Alongside emergency contraception enhanced services</w:t>
      </w:r>
      <w:r w:rsidR="00466D53" w:rsidRPr="008B2B47">
        <w:rPr>
          <w:rFonts w:ascii="Arial" w:hAnsi="Arial" w:cs="Arial"/>
          <w:sz w:val="24"/>
          <w:szCs w:val="24"/>
        </w:rPr>
        <w:t>,</w:t>
      </w:r>
      <w:r w:rsidRPr="008B2B47">
        <w:rPr>
          <w:rFonts w:ascii="Arial" w:hAnsi="Arial" w:cs="Arial"/>
          <w:sz w:val="24"/>
          <w:szCs w:val="24"/>
        </w:rPr>
        <w:t xml:space="preserve"> t</w:t>
      </w:r>
      <w:r w:rsidR="008278EC" w:rsidRPr="008B2B47">
        <w:rPr>
          <w:rFonts w:ascii="Arial" w:hAnsi="Arial" w:cs="Arial"/>
          <w:sz w:val="24"/>
          <w:szCs w:val="24"/>
        </w:rPr>
        <w:t>here are elements of essential service provision which will help address this health need:</w:t>
      </w:r>
    </w:p>
    <w:p w14:paraId="38A2F43E" w14:textId="77777777" w:rsidR="008278EC" w:rsidRPr="008B2B47" w:rsidRDefault="008278EC" w:rsidP="00DC54F7">
      <w:pPr>
        <w:spacing w:after="0" w:line="240" w:lineRule="auto"/>
        <w:jc w:val="both"/>
        <w:rPr>
          <w:rFonts w:ascii="Arial" w:hAnsi="Arial" w:cs="Arial"/>
          <w:sz w:val="24"/>
          <w:szCs w:val="24"/>
        </w:rPr>
      </w:pPr>
    </w:p>
    <w:p w14:paraId="5E80D21A" w14:textId="29A47FEA" w:rsidR="008278EC" w:rsidRPr="008B2B47" w:rsidRDefault="008278EC" w:rsidP="00DC54F7">
      <w:pPr>
        <w:pStyle w:val="ListParagraph"/>
        <w:numPr>
          <w:ilvl w:val="0"/>
          <w:numId w:val="46"/>
        </w:numPr>
        <w:spacing w:after="0" w:line="240" w:lineRule="auto"/>
        <w:ind w:left="709" w:hanging="349"/>
        <w:jc w:val="both"/>
        <w:rPr>
          <w:rFonts w:ascii="Arial" w:hAnsi="Arial" w:cs="Arial"/>
          <w:sz w:val="24"/>
          <w:szCs w:val="24"/>
        </w:rPr>
      </w:pPr>
      <w:r w:rsidRPr="008B2B47">
        <w:rPr>
          <w:rFonts w:ascii="Arial" w:hAnsi="Arial" w:cs="Arial"/>
          <w:sz w:val="24"/>
          <w:szCs w:val="24"/>
        </w:rPr>
        <w:t xml:space="preserve">Pharmacies are required to participate in up to six public health campaigns each calendar year by promoting public health messages to users.  The topics for these campaigns are selected by </w:t>
      </w:r>
      <w:r w:rsidR="00F937AF" w:rsidRPr="008B2B47">
        <w:rPr>
          <w:rFonts w:ascii="Arial" w:hAnsi="Arial" w:cs="Arial"/>
          <w:sz w:val="24"/>
          <w:szCs w:val="24"/>
        </w:rPr>
        <w:t>the health board</w:t>
      </w:r>
      <w:r w:rsidRPr="008B2B47">
        <w:rPr>
          <w:rFonts w:ascii="Arial" w:hAnsi="Arial" w:cs="Arial"/>
          <w:sz w:val="24"/>
          <w:szCs w:val="24"/>
        </w:rPr>
        <w:t xml:space="preserve"> and could include </w:t>
      </w:r>
      <w:r w:rsidR="004D7565" w:rsidRPr="008B2B47">
        <w:rPr>
          <w:rFonts w:ascii="Arial" w:hAnsi="Arial" w:cs="Arial"/>
          <w:sz w:val="24"/>
          <w:szCs w:val="24"/>
        </w:rPr>
        <w:t>sexually transmitted infections</w:t>
      </w:r>
      <w:r w:rsidRPr="008B2B47">
        <w:rPr>
          <w:rFonts w:ascii="Arial" w:hAnsi="Arial" w:cs="Arial"/>
          <w:sz w:val="24"/>
          <w:szCs w:val="24"/>
        </w:rPr>
        <w:t xml:space="preserve"> and </w:t>
      </w:r>
      <w:r w:rsidR="004D7565" w:rsidRPr="008B2B47">
        <w:rPr>
          <w:rFonts w:ascii="Arial" w:hAnsi="Arial" w:cs="Arial"/>
          <w:sz w:val="24"/>
          <w:szCs w:val="24"/>
        </w:rPr>
        <w:t>HIV</w:t>
      </w:r>
      <w:r w:rsidR="00466D53" w:rsidRPr="008B2B47">
        <w:rPr>
          <w:rFonts w:ascii="Arial" w:hAnsi="Arial" w:cs="Arial"/>
          <w:sz w:val="24"/>
          <w:szCs w:val="24"/>
        </w:rPr>
        <w:t>.</w:t>
      </w:r>
    </w:p>
    <w:p w14:paraId="0F0918A6" w14:textId="567E409E" w:rsidR="001E6C30" w:rsidRPr="008B2B47" w:rsidRDefault="00466D53" w:rsidP="00DC54F7">
      <w:pPr>
        <w:pStyle w:val="ListParagraph"/>
        <w:numPr>
          <w:ilvl w:val="0"/>
          <w:numId w:val="46"/>
        </w:numPr>
        <w:spacing w:after="0" w:line="240" w:lineRule="auto"/>
        <w:ind w:left="709" w:hanging="349"/>
        <w:jc w:val="both"/>
        <w:rPr>
          <w:rFonts w:ascii="Arial" w:hAnsi="Arial" w:cs="Arial"/>
          <w:sz w:val="24"/>
          <w:szCs w:val="24"/>
        </w:rPr>
      </w:pPr>
      <w:r w:rsidRPr="008B2B47">
        <w:rPr>
          <w:rFonts w:ascii="Arial" w:hAnsi="Arial" w:cs="Arial"/>
          <w:sz w:val="24"/>
          <w:szCs w:val="24"/>
        </w:rPr>
        <w:t>S</w:t>
      </w:r>
      <w:r w:rsidR="008278EC" w:rsidRPr="008B2B47">
        <w:rPr>
          <w:rFonts w:ascii="Arial" w:hAnsi="Arial" w:cs="Arial"/>
          <w:sz w:val="24"/>
          <w:szCs w:val="24"/>
        </w:rPr>
        <w:t xml:space="preserve">ignposting people using the pharmacy to </w:t>
      </w:r>
      <w:r w:rsidR="005A60B5" w:rsidRPr="008B2B47">
        <w:rPr>
          <w:rFonts w:ascii="Arial" w:hAnsi="Arial" w:cs="Arial"/>
          <w:sz w:val="24"/>
          <w:szCs w:val="24"/>
        </w:rPr>
        <w:t xml:space="preserve">other providers of </w:t>
      </w:r>
      <w:r w:rsidR="00E0652A" w:rsidRPr="008B2B47">
        <w:rPr>
          <w:rFonts w:ascii="Arial" w:hAnsi="Arial" w:cs="Arial"/>
          <w:sz w:val="24"/>
          <w:szCs w:val="24"/>
        </w:rPr>
        <w:t xml:space="preserve">sexual health services, including </w:t>
      </w:r>
      <w:r w:rsidRPr="008B2B47">
        <w:rPr>
          <w:rFonts w:ascii="Arial" w:hAnsi="Arial" w:cs="Arial"/>
          <w:sz w:val="24"/>
          <w:szCs w:val="24"/>
        </w:rPr>
        <w:t>chlamydia tes</w:t>
      </w:r>
      <w:r w:rsidR="00103D7F" w:rsidRPr="008B2B47">
        <w:rPr>
          <w:rFonts w:ascii="Arial" w:hAnsi="Arial" w:cs="Arial"/>
          <w:sz w:val="24"/>
          <w:szCs w:val="24"/>
        </w:rPr>
        <w:t xml:space="preserve">ting and treatment </w:t>
      </w:r>
      <w:r w:rsidR="005A60B5" w:rsidRPr="008B2B47">
        <w:rPr>
          <w:rFonts w:ascii="Arial" w:hAnsi="Arial" w:cs="Arial"/>
          <w:sz w:val="24"/>
          <w:szCs w:val="24"/>
        </w:rPr>
        <w:t>service</w:t>
      </w:r>
      <w:r w:rsidR="00103D7F" w:rsidRPr="008B2B47">
        <w:rPr>
          <w:rFonts w:ascii="Arial" w:hAnsi="Arial" w:cs="Arial"/>
          <w:sz w:val="24"/>
          <w:szCs w:val="24"/>
        </w:rPr>
        <w:t>s.</w:t>
      </w:r>
    </w:p>
    <w:p w14:paraId="6B034CAD" w14:textId="4B94E7B5" w:rsidR="001E6C30" w:rsidRPr="008B2B47" w:rsidRDefault="001E6C30" w:rsidP="00DC54F7">
      <w:pPr>
        <w:pStyle w:val="ListParagraph"/>
        <w:numPr>
          <w:ilvl w:val="0"/>
          <w:numId w:val="46"/>
        </w:numPr>
        <w:spacing w:after="0" w:line="240" w:lineRule="auto"/>
        <w:ind w:left="709" w:hanging="349"/>
        <w:jc w:val="both"/>
        <w:rPr>
          <w:rFonts w:ascii="Arial" w:hAnsi="Arial" w:cs="Arial"/>
          <w:sz w:val="24"/>
          <w:szCs w:val="24"/>
        </w:rPr>
      </w:pPr>
      <w:r w:rsidRPr="008B2B47">
        <w:rPr>
          <w:rFonts w:ascii="Arial" w:hAnsi="Arial" w:cs="Arial"/>
          <w:sz w:val="24"/>
          <w:szCs w:val="24"/>
        </w:rPr>
        <w:t xml:space="preserve">Providing </w:t>
      </w:r>
      <w:r w:rsidR="00592DCD" w:rsidRPr="008B2B47">
        <w:rPr>
          <w:rFonts w:ascii="Arial" w:hAnsi="Arial" w:cs="Arial"/>
          <w:sz w:val="24"/>
          <w:szCs w:val="24"/>
        </w:rPr>
        <w:t xml:space="preserve">healthy living advice during </w:t>
      </w:r>
      <w:r w:rsidR="004D7565" w:rsidRPr="008B2B47">
        <w:rPr>
          <w:rFonts w:ascii="Arial" w:hAnsi="Arial" w:cs="Arial"/>
          <w:sz w:val="24"/>
          <w:szCs w:val="24"/>
        </w:rPr>
        <w:t>M</w:t>
      </w:r>
      <w:r w:rsidR="00E0652A" w:rsidRPr="008B2B47">
        <w:rPr>
          <w:rFonts w:ascii="Arial" w:hAnsi="Arial" w:cs="Arial"/>
          <w:sz w:val="24"/>
          <w:szCs w:val="24"/>
        </w:rPr>
        <w:t>edicine</w:t>
      </w:r>
      <w:r w:rsidR="002A0346" w:rsidRPr="008B2B47">
        <w:rPr>
          <w:rFonts w:ascii="Arial" w:hAnsi="Arial" w:cs="Arial"/>
          <w:sz w:val="24"/>
          <w:szCs w:val="24"/>
        </w:rPr>
        <w:t>s</w:t>
      </w:r>
      <w:r w:rsidR="00E0652A" w:rsidRPr="008B2B47">
        <w:rPr>
          <w:rFonts w:ascii="Arial" w:hAnsi="Arial" w:cs="Arial"/>
          <w:sz w:val="24"/>
          <w:szCs w:val="24"/>
        </w:rPr>
        <w:t xml:space="preserve"> Use Review</w:t>
      </w:r>
      <w:r w:rsidRPr="008B2B47">
        <w:rPr>
          <w:rFonts w:ascii="Arial" w:hAnsi="Arial" w:cs="Arial"/>
          <w:sz w:val="24"/>
          <w:szCs w:val="24"/>
        </w:rPr>
        <w:t xml:space="preserve"> consultations.</w:t>
      </w:r>
    </w:p>
    <w:p w14:paraId="6E3AACA1" w14:textId="2A5E6F4E" w:rsidR="00501918" w:rsidRDefault="00501918" w:rsidP="00DC54F7">
      <w:pPr>
        <w:spacing w:after="0" w:line="240" w:lineRule="auto"/>
        <w:jc w:val="both"/>
        <w:rPr>
          <w:rFonts w:ascii="Arial" w:hAnsi="Arial" w:cs="Arial"/>
          <w:b/>
          <w:sz w:val="26"/>
          <w:szCs w:val="26"/>
        </w:rPr>
      </w:pPr>
    </w:p>
    <w:p w14:paraId="03E0BDA2" w14:textId="77777777" w:rsidR="008B2B47" w:rsidRDefault="008B2B47" w:rsidP="00DC54F7">
      <w:pPr>
        <w:spacing w:after="0" w:line="240" w:lineRule="auto"/>
        <w:jc w:val="both"/>
        <w:rPr>
          <w:rFonts w:ascii="Arial" w:hAnsi="Arial" w:cs="Arial"/>
          <w:b/>
          <w:sz w:val="26"/>
          <w:szCs w:val="26"/>
        </w:rPr>
      </w:pPr>
    </w:p>
    <w:p w14:paraId="67E2ABBE" w14:textId="58A5DDCB" w:rsidR="004E211C" w:rsidRPr="002B04BB" w:rsidRDefault="008278EC" w:rsidP="00DC54F7">
      <w:pPr>
        <w:spacing w:after="0" w:line="240" w:lineRule="auto"/>
        <w:jc w:val="both"/>
        <w:rPr>
          <w:rFonts w:ascii="Arial" w:hAnsi="Arial" w:cs="Arial"/>
          <w:b/>
          <w:sz w:val="24"/>
          <w:szCs w:val="24"/>
        </w:rPr>
      </w:pPr>
      <w:r w:rsidRPr="00A10850">
        <w:rPr>
          <w:rFonts w:ascii="Arial" w:hAnsi="Arial" w:cs="Arial"/>
          <w:b/>
          <w:sz w:val="26"/>
          <w:szCs w:val="26"/>
        </w:rPr>
        <w:t>7.</w:t>
      </w:r>
      <w:r w:rsidR="004E211C" w:rsidRPr="00A10850">
        <w:rPr>
          <w:rFonts w:ascii="Arial" w:hAnsi="Arial" w:cs="Arial"/>
          <w:b/>
          <w:sz w:val="26"/>
          <w:szCs w:val="26"/>
        </w:rPr>
        <w:t>7</w:t>
      </w:r>
      <w:r w:rsidRPr="00A10850">
        <w:rPr>
          <w:rFonts w:ascii="Arial" w:hAnsi="Arial" w:cs="Arial"/>
          <w:b/>
          <w:sz w:val="26"/>
          <w:szCs w:val="26"/>
        </w:rPr>
        <w:t xml:space="preserve"> </w:t>
      </w:r>
      <w:r w:rsidR="004E211C" w:rsidRPr="002B04BB">
        <w:rPr>
          <w:rFonts w:ascii="Arial" w:hAnsi="Arial" w:cs="Arial"/>
          <w:b/>
          <w:sz w:val="24"/>
          <w:szCs w:val="24"/>
        </w:rPr>
        <w:t>Teenage pregnancy</w:t>
      </w:r>
    </w:p>
    <w:p w14:paraId="7DE378C1" w14:textId="77777777" w:rsidR="004E211C" w:rsidRPr="002B04BB" w:rsidRDefault="004E211C" w:rsidP="00DC54F7">
      <w:pPr>
        <w:spacing w:after="0" w:line="240" w:lineRule="auto"/>
        <w:jc w:val="both"/>
        <w:rPr>
          <w:rFonts w:ascii="Arial" w:hAnsi="Arial" w:cs="Arial"/>
          <w:sz w:val="24"/>
          <w:szCs w:val="24"/>
        </w:rPr>
      </w:pPr>
    </w:p>
    <w:p w14:paraId="1A9C7110" w14:textId="1BB6A58A" w:rsidR="004E211C" w:rsidRPr="008B2B47" w:rsidRDefault="00F937AF" w:rsidP="00DC54F7">
      <w:pPr>
        <w:spacing w:after="0" w:line="240" w:lineRule="auto"/>
        <w:jc w:val="both"/>
        <w:rPr>
          <w:rFonts w:ascii="Arial" w:hAnsi="Arial" w:cs="Arial"/>
          <w:sz w:val="24"/>
          <w:szCs w:val="24"/>
        </w:rPr>
      </w:pPr>
      <w:r w:rsidRPr="008B2B47">
        <w:rPr>
          <w:rFonts w:ascii="Arial" w:hAnsi="Arial" w:cs="Arial"/>
          <w:sz w:val="24"/>
          <w:szCs w:val="24"/>
        </w:rPr>
        <w:t>An</w:t>
      </w:r>
      <w:r w:rsidR="00D11CBD" w:rsidRPr="008B2B47">
        <w:rPr>
          <w:rFonts w:ascii="Arial" w:hAnsi="Arial" w:cs="Arial"/>
          <w:sz w:val="24"/>
          <w:szCs w:val="24"/>
        </w:rPr>
        <w:t xml:space="preserve"> emergency contraception</w:t>
      </w:r>
      <w:r w:rsidR="004E211C" w:rsidRPr="008B2B47">
        <w:rPr>
          <w:rFonts w:ascii="Arial" w:hAnsi="Arial" w:cs="Arial"/>
          <w:sz w:val="24"/>
          <w:szCs w:val="24"/>
        </w:rPr>
        <w:t xml:space="preserve"> </w:t>
      </w:r>
      <w:r w:rsidRPr="008B2B47">
        <w:rPr>
          <w:rFonts w:ascii="Arial" w:hAnsi="Arial" w:cs="Arial"/>
          <w:sz w:val="24"/>
          <w:szCs w:val="24"/>
        </w:rPr>
        <w:t xml:space="preserve">enhanced service coupled with </w:t>
      </w:r>
      <w:r w:rsidR="004E211C" w:rsidRPr="008B2B47">
        <w:rPr>
          <w:rFonts w:ascii="Arial" w:hAnsi="Arial" w:cs="Arial"/>
          <w:sz w:val="24"/>
          <w:szCs w:val="24"/>
        </w:rPr>
        <w:t>elements of essential service provision will help address this health need:</w:t>
      </w:r>
    </w:p>
    <w:p w14:paraId="7EAA2A7B" w14:textId="77777777" w:rsidR="004E211C" w:rsidRPr="008B2B47" w:rsidRDefault="004E211C" w:rsidP="00DC54F7">
      <w:pPr>
        <w:spacing w:after="0" w:line="240" w:lineRule="auto"/>
        <w:jc w:val="both"/>
        <w:rPr>
          <w:rFonts w:ascii="Arial" w:hAnsi="Arial" w:cs="Arial"/>
          <w:sz w:val="24"/>
          <w:szCs w:val="24"/>
        </w:rPr>
      </w:pPr>
    </w:p>
    <w:p w14:paraId="612CAF50" w14:textId="77777777" w:rsidR="004E211C" w:rsidRPr="008B2B47" w:rsidRDefault="004E211C" w:rsidP="00DC54F7">
      <w:pPr>
        <w:pStyle w:val="ListParagraph"/>
        <w:numPr>
          <w:ilvl w:val="0"/>
          <w:numId w:val="47"/>
        </w:numPr>
        <w:spacing w:after="0" w:line="240" w:lineRule="auto"/>
        <w:ind w:left="709" w:hanging="349"/>
        <w:jc w:val="both"/>
        <w:rPr>
          <w:rFonts w:ascii="Arial" w:hAnsi="Arial" w:cs="Arial"/>
          <w:sz w:val="24"/>
          <w:szCs w:val="24"/>
        </w:rPr>
      </w:pPr>
      <w:r w:rsidRPr="008B2B47">
        <w:rPr>
          <w:rFonts w:ascii="Arial" w:hAnsi="Arial" w:cs="Arial"/>
          <w:sz w:val="24"/>
          <w:szCs w:val="24"/>
        </w:rPr>
        <w:t xml:space="preserve">Pharmacies are required to participate in up to six public health campaigns each calendar year by promoting public health messages to users.  The topics for these campaigns are selected by </w:t>
      </w:r>
      <w:r w:rsidR="003857D6" w:rsidRPr="008B2B47">
        <w:rPr>
          <w:rFonts w:ascii="Arial" w:hAnsi="Arial" w:cs="Arial"/>
          <w:sz w:val="24"/>
          <w:szCs w:val="24"/>
        </w:rPr>
        <w:t>the health board</w:t>
      </w:r>
      <w:r w:rsidRPr="008B2B47">
        <w:rPr>
          <w:rFonts w:ascii="Arial" w:hAnsi="Arial" w:cs="Arial"/>
          <w:sz w:val="24"/>
          <w:szCs w:val="24"/>
        </w:rPr>
        <w:t xml:space="preserve"> and </w:t>
      </w:r>
      <w:r w:rsidR="005A60B5" w:rsidRPr="008B2B47">
        <w:rPr>
          <w:rFonts w:ascii="Arial" w:hAnsi="Arial" w:cs="Arial"/>
          <w:sz w:val="24"/>
          <w:szCs w:val="24"/>
        </w:rPr>
        <w:t>could include teenage pregnancy</w:t>
      </w:r>
    </w:p>
    <w:p w14:paraId="2D7B4455" w14:textId="65F5F47F" w:rsidR="003F7681" w:rsidRPr="008B2B47" w:rsidRDefault="004E211C" w:rsidP="00DC54F7">
      <w:pPr>
        <w:pStyle w:val="ListParagraph"/>
        <w:numPr>
          <w:ilvl w:val="0"/>
          <w:numId w:val="47"/>
        </w:numPr>
        <w:spacing w:after="0" w:line="240" w:lineRule="auto"/>
        <w:ind w:left="709" w:hanging="349"/>
        <w:jc w:val="both"/>
        <w:rPr>
          <w:rFonts w:ascii="Arial" w:hAnsi="Arial" w:cs="Arial"/>
          <w:sz w:val="24"/>
          <w:szCs w:val="24"/>
        </w:rPr>
      </w:pPr>
      <w:r w:rsidRPr="008B2B47">
        <w:rPr>
          <w:rFonts w:ascii="Arial" w:hAnsi="Arial" w:cs="Arial"/>
          <w:sz w:val="24"/>
          <w:szCs w:val="24"/>
        </w:rPr>
        <w:t xml:space="preserve">Where the pharmacy does not provide </w:t>
      </w:r>
      <w:r w:rsidR="00F937AF" w:rsidRPr="008B2B47">
        <w:rPr>
          <w:rFonts w:ascii="Arial" w:hAnsi="Arial" w:cs="Arial"/>
          <w:sz w:val="24"/>
          <w:szCs w:val="24"/>
        </w:rPr>
        <w:t>an</w:t>
      </w:r>
      <w:r w:rsidRPr="008B2B47">
        <w:rPr>
          <w:rFonts w:ascii="Arial" w:hAnsi="Arial" w:cs="Arial"/>
          <w:sz w:val="24"/>
          <w:szCs w:val="24"/>
        </w:rPr>
        <w:t xml:space="preserve"> </w:t>
      </w:r>
      <w:r w:rsidR="00F937AF" w:rsidRPr="008B2B47">
        <w:rPr>
          <w:rFonts w:ascii="Arial" w:hAnsi="Arial" w:cs="Arial"/>
          <w:sz w:val="24"/>
          <w:szCs w:val="24"/>
        </w:rPr>
        <w:t>emergency contraception enhanced service</w:t>
      </w:r>
      <w:r w:rsidRPr="008B2B47">
        <w:rPr>
          <w:rFonts w:ascii="Arial" w:hAnsi="Arial" w:cs="Arial"/>
          <w:sz w:val="24"/>
          <w:szCs w:val="24"/>
        </w:rPr>
        <w:t>, signposting people using the pharmacy to other providers of the service.</w:t>
      </w:r>
    </w:p>
    <w:p w14:paraId="27B18C1F" w14:textId="77777777" w:rsidR="00053424" w:rsidRPr="008B2B47" w:rsidRDefault="00053424" w:rsidP="00DC54F7">
      <w:pPr>
        <w:pStyle w:val="ListParagraph"/>
        <w:spacing w:after="0" w:line="240" w:lineRule="auto"/>
        <w:ind w:left="709"/>
        <w:jc w:val="both"/>
        <w:rPr>
          <w:rFonts w:ascii="Arial" w:hAnsi="Arial" w:cs="Arial"/>
          <w:sz w:val="24"/>
          <w:szCs w:val="24"/>
        </w:rPr>
      </w:pPr>
    </w:p>
    <w:p w14:paraId="538BC492" w14:textId="5214292F" w:rsidR="00E52548" w:rsidRPr="008B2B47" w:rsidRDefault="003F7681" w:rsidP="00DC54F7">
      <w:pPr>
        <w:spacing w:after="0" w:line="240" w:lineRule="auto"/>
        <w:jc w:val="both"/>
        <w:rPr>
          <w:rFonts w:ascii="Arial" w:eastAsia="Times New Roman" w:hAnsi="Arial" w:cs="Arial"/>
          <w:color w:val="000000"/>
          <w:sz w:val="24"/>
          <w:szCs w:val="24"/>
          <w:lang w:eastAsia="en-GB"/>
        </w:rPr>
      </w:pPr>
      <w:r w:rsidRPr="008B2B47">
        <w:rPr>
          <w:rFonts w:ascii="Arial" w:eastAsia="Times New Roman" w:hAnsi="Arial" w:cs="Arial"/>
          <w:color w:val="000000"/>
          <w:sz w:val="24"/>
          <w:szCs w:val="24"/>
          <w:lang w:eastAsia="en-GB"/>
        </w:rPr>
        <w:t xml:space="preserve">The independent </w:t>
      </w:r>
      <w:r w:rsidR="00E52548" w:rsidRPr="008B2B47">
        <w:rPr>
          <w:rFonts w:ascii="Arial" w:eastAsia="Times New Roman" w:hAnsi="Arial" w:cs="Arial"/>
          <w:color w:val="000000"/>
          <w:sz w:val="24"/>
          <w:szCs w:val="24"/>
          <w:lang w:eastAsia="en-GB"/>
        </w:rPr>
        <w:t xml:space="preserve">pharmacy </w:t>
      </w:r>
      <w:r w:rsidRPr="008B2B47">
        <w:rPr>
          <w:rFonts w:ascii="Arial" w:eastAsia="Times New Roman" w:hAnsi="Arial" w:cs="Arial"/>
          <w:color w:val="000000"/>
          <w:sz w:val="24"/>
          <w:szCs w:val="24"/>
          <w:lang w:eastAsia="en-GB"/>
        </w:rPr>
        <w:t xml:space="preserve">prescriber </w:t>
      </w:r>
      <w:r w:rsidR="008749D8" w:rsidRPr="008B2B47">
        <w:rPr>
          <w:rFonts w:ascii="Arial" w:eastAsia="Times New Roman" w:hAnsi="Arial" w:cs="Arial"/>
          <w:color w:val="000000"/>
          <w:sz w:val="24"/>
          <w:szCs w:val="24"/>
          <w:lang w:eastAsia="en-GB"/>
        </w:rPr>
        <w:t xml:space="preserve">oral contraception </w:t>
      </w:r>
      <w:r w:rsidRPr="008B2B47">
        <w:rPr>
          <w:rFonts w:ascii="Arial" w:eastAsia="Times New Roman" w:hAnsi="Arial" w:cs="Arial"/>
          <w:color w:val="000000"/>
          <w:sz w:val="24"/>
          <w:szCs w:val="24"/>
          <w:lang w:eastAsia="en-GB"/>
        </w:rPr>
        <w:t>service</w:t>
      </w:r>
      <w:r w:rsidR="00331ECB" w:rsidRPr="008B2B47">
        <w:rPr>
          <w:rFonts w:ascii="Arial" w:eastAsia="Times New Roman" w:hAnsi="Arial" w:cs="Arial"/>
          <w:color w:val="000000"/>
          <w:sz w:val="24"/>
          <w:szCs w:val="24"/>
          <w:lang w:eastAsia="en-GB"/>
        </w:rPr>
        <w:t xml:space="preserve"> launched </w:t>
      </w:r>
      <w:r w:rsidRPr="008B2B47">
        <w:rPr>
          <w:rFonts w:ascii="Arial" w:eastAsia="Times New Roman" w:hAnsi="Arial" w:cs="Arial"/>
          <w:color w:val="000000"/>
          <w:sz w:val="24"/>
          <w:szCs w:val="24"/>
          <w:lang w:eastAsia="en-GB"/>
        </w:rPr>
        <w:t>in 202</w:t>
      </w:r>
      <w:r w:rsidR="008749D8" w:rsidRPr="008B2B47">
        <w:rPr>
          <w:rFonts w:ascii="Arial" w:eastAsia="Times New Roman" w:hAnsi="Arial" w:cs="Arial"/>
          <w:color w:val="000000"/>
          <w:sz w:val="24"/>
          <w:szCs w:val="24"/>
          <w:lang w:eastAsia="en-GB"/>
        </w:rPr>
        <w:t>0</w:t>
      </w:r>
      <w:r w:rsidR="009C6EC5" w:rsidRPr="008B2B47">
        <w:rPr>
          <w:rFonts w:ascii="Arial" w:eastAsia="Times New Roman" w:hAnsi="Arial" w:cs="Arial"/>
          <w:color w:val="000000"/>
          <w:sz w:val="24"/>
          <w:szCs w:val="24"/>
          <w:lang w:eastAsia="en-GB"/>
        </w:rPr>
        <w:t xml:space="preserve"> in the health board area</w:t>
      </w:r>
      <w:r w:rsidRPr="008B2B47">
        <w:rPr>
          <w:rFonts w:ascii="Arial" w:eastAsia="Times New Roman" w:hAnsi="Arial" w:cs="Arial"/>
          <w:color w:val="000000"/>
          <w:sz w:val="24"/>
          <w:szCs w:val="24"/>
          <w:lang w:eastAsia="en-GB"/>
        </w:rPr>
        <w:t xml:space="preserve">, </w:t>
      </w:r>
      <w:r w:rsidR="00053424" w:rsidRPr="008B2B47">
        <w:rPr>
          <w:rFonts w:ascii="Arial" w:eastAsia="Times New Roman" w:hAnsi="Arial" w:cs="Arial"/>
          <w:color w:val="000000"/>
          <w:sz w:val="24"/>
          <w:szCs w:val="24"/>
          <w:lang w:eastAsia="en-GB"/>
        </w:rPr>
        <w:t>further addresses this need.</w:t>
      </w:r>
    </w:p>
    <w:p w14:paraId="29491CE1" w14:textId="11F3D01E" w:rsidR="00501918" w:rsidRDefault="00501918" w:rsidP="00DC54F7">
      <w:pPr>
        <w:spacing w:after="0" w:line="240" w:lineRule="auto"/>
        <w:jc w:val="both"/>
        <w:rPr>
          <w:rFonts w:ascii="Arial" w:hAnsi="Arial" w:cs="Arial"/>
          <w:b/>
          <w:sz w:val="26"/>
          <w:szCs w:val="26"/>
        </w:rPr>
      </w:pPr>
    </w:p>
    <w:p w14:paraId="5183CD2A" w14:textId="77777777" w:rsidR="008B2B47" w:rsidRDefault="008B2B47" w:rsidP="00DC54F7">
      <w:pPr>
        <w:spacing w:after="0" w:line="240" w:lineRule="auto"/>
        <w:jc w:val="both"/>
        <w:rPr>
          <w:rFonts w:ascii="Arial" w:hAnsi="Arial" w:cs="Arial"/>
          <w:b/>
          <w:sz w:val="26"/>
          <w:szCs w:val="26"/>
        </w:rPr>
      </w:pPr>
    </w:p>
    <w:p w14:paraId="2CA1478F" w14:textId="5BFD8E4E" w:rsidR="008278EC" w:rsidRPr="00A10850" w:rsidRDefault="001E6C30" w:rsidP="00DC54F7">
      <w:pPr>
        <w:spacing w:after="0" w:line="240" w:lineRule="auto"/>
        <w:jc w:val="both"/>
        <w:rPr>
          <w:rFonts w:ascii="Arial" w:hAnsi="Arial" w:cs="Arial"/>
          <w:b/>
          <w:sz w:val="26"/>
          <w:szCs w:val="26"/>
        </w:rPr>
      </w:pPr>
      <w:r w:rsidRPr="00A10850">
        <w:rPr>
          <w:rFonts w:ascii="Arial" w:hAnsi="Arial" w:cs="Arial"/>
          <w:b/>
          <w:sz w:val="26"/>
          <w:szCs w:val="26"/>
        </w:rPr>
        <w:t xml:space="preserve">7.8 </w:t>
      </w:r>
      <w:r w:rsidR="008278EC" w:rsidRPr="002B04BB">
        <w:rPr>
          <w:rFonts w:ascii="Arial" w:hAnsi="Arial" w:cs="Arial"/>
          <w:b/>
          <w:sz w:val="24"/>
          <w:szCs w:val="24"/>
        </w:rPr>
        <w:t>Smoking</w:t>
      </w:r>
      <w:r w:rsidR="00583F73" w:rsidRPr="00A10850">
        <w:rPr>
          <w:rFonts w:ascii="Arial" w:hAnsi="Arial" w:cs="Arial"/>
          <w:b/>
          <w:sz w:val="26"/>
          <w:szCs w:val="26"/>
        </w:rPr>
        <w:t xml:space="preserve"> </w:t>
      </w:r>
    </w:p>
    <w:p w14:paraId="424302C1" w14:textId="77777777" w:rsidR="001E6C30" w:rsidRPr="00A10850" w:rsidRDefault="001E6C30" w:rsidP="00DC54F7">
      <w:pPr>
        <w:spacing w:after="0" w:line="240" w:lineRule="auto"/>
        <w:jc w:val="both"/>
        <w:rPr>
          <w:rFonts w:ascii="Arial" w:hAnsi="Arial" w:cs="Arial"/>
        </w:rPr>
      </w:pPr>
    </w:p>
    <w:p w14:paraId="1FCD7CBC" w14:textId="77777777" w:rsidR="001E6C30" w:rsidRPr="008B2B47" w:rsidRDefault="00F937AF" w:rsidP="00DC54F7">
      <w:pPr>
        <w:spacing w:after="0" w:line="240" w:lineRule="auto"/>
        <w:jc w:val="both"/>
        <w:rPr>
          <w:rFonts w:ascii="Arial" w:hAnsi="Arial" w:cs="Arial"/>
          <w:sz w:val="24"/>
          <w:szCs w:val="24"/>
        </w:rPr>
      </w:pPr>
      <w:r w:rsidRPr="008B2B47">
        <w:rPr>
          <w:rFonts w:ascii="Arial" w:hAnsi="Arial" w:cs="Arial"/>
          <w:sz w:val="24"/>
          <w:szCs w:val="24"/>
        </w:rPr>
        <w:t xml:space="preserve">In addition to a smoking cessation enhanced service </w:t>
      </w:r>
      <w:r w:rsidR="001E6C30" w:rsidRPr="008B2B47">
        <w:rPr>
          <w:rFonts w:ascii="Arial" w:hAnsi="Arial" w:cs="Arial"/>
          <w:sz w:val="24"/>
          <w:szCs w:val="24"/>
        </w:rPr>
        <w:t>there are elements of essential service provision which will help address this health need:</w:t>
      </w:r>
    </w:p>
    <w:p w14:paraId="2936EAE0" w14:textId="77777777" w:rsidR="001E6C30" w:rsidRPr="008B2B47" w:rsidRDefault="001E6C30" w:rsidP="00DC54F7">
      <w:pPr>
        <w:spacing w:after="0" w:line="240" w:lineRule="auto"/>
        <w:jc w:val="both"/>
        <w:rPr>
          <w:rFonts w:ascii="Arial" w:hAnsi="Arial" w:cs="Arial"/>
          <w:sz w:val="24"/>
          <w:szCs w:val="24"/>
        </w:rPr>
      </w:pPr>
    </w:p>
    <w:p w14:paraId="3ADD5E27" w14:textId="7D0D21B4" w:rsidR="001E6C30" w:rsidRPr="008B2B47" w:rsidRDefault="001E6C30" w:rsidP="00DC54F7">
      <w:pPr>
        <w:pStyle w:val="ListParagraph"/>
        <w:numPr>
          <w:ilvl w:val="0"/>
          <w:numId w:val="48"/>
        </w:numPr>
        <w:spacing w:after="0" w:line="240" w:lineRule="auto"/>
        <w:jc w:val="both"/>
        <w:rPr>
          <w:rFonts w:ascii="Arial" w:hAnsi="Arial" w:cs="Arial"/>
          <w:sz w:val="24"/>
          <w:szCs w:val="24"/>
        </w:rPr>
      </w:pPr>
      <w:r w:rsidRPr="008B2B47">
        <w:rPr>
          <w:rFonts w:ascii="Arial" w:hAnsi="Arial" w:cs="Arial"/>
          <w:sz w:val="24"/>
          <w:szCs w:val="24"/>
        </w:rPr>
        <w:t xml:space="preserve">Where a person presents a prescription, and they appear to have diabetes, be at risk of coronary heart disease (especially those with high blood pressure), smoke or are overweight, the pharmacy is required to give appropriate advice with the aim of increasing that person’s knowledge and understanding of the health issues which are </w:t>
      </w:r>
      <w:r w:rsidR="005A60B5" w:rsidRPr="008B2B47">
        <w:rPr>
          <w:rFonts w:ascii="Arial" w:hAnsi="Arial" w:cs="Arial"/>
          <w:sz w:val="24"/>
          <w:szCs w:val="24"/>
        </w:rPr>
        <w:t>relevant to their circumstances</w:t>
      </w:r>
      <w:r w:rsidR="00DC634B" w:rsidRPr="008B2B47">
        <w:rPr>
          <w:rFonts w:ascii="Arial" w:hAnsi="Arial" w:cs="Arial"/>
          <w:sz w:val="24"/>
          <w:szCs w:val="24"/>
        </w:rPr>
        <w:t>.</w:t>
      </w:r>
    </w:p>
    <w:p w14:paraId="5971E2A5" w14:textId="63737F7F" w:rsidR="001E6C30" w:rsidRPr="008B2B47" w:rsidRDefault="001E6C30" w:rsidP="00DC54F7">
      <w:pPr>
        <w:pStyle w:val="ListParagraph"/>
        <w:numPr>
          <w:ilvl w:val="0"/>
          <w:numId w:val="48"/>
        </w:numPr>
        <w:spacing w:after="0" w:line="240" w:lineRule="auto"/>
        <w:jc w:val="both"/>
        <w:rPr>
          <w:rFonts w:ascii="Arial" w:hAnsi="Arial" w:cs="Arial"/>
          <w:sz w:val="24"/>
          <w:szCs w:val="24"/>
        </w:rPr>
      </w:pPr>
      <w:r w:rsidRPr="008B2B47">
        <w:rPr>
          <w:rFonts w:ascii="Arial" w:hAnsi="Arial" w:cs="Arial"/>
          <w:sz w:val="24"/>
          <w:szCs w:val="24"/>
        </w:rPr>
        <w:t xml:space="preserve">Pharmacies are required to participate in up to six public health campaigns each calendar year by promoting public health messages to users.  The topics for these campaigns are selected by </w:t>
      </w:r>
      <w:r w:rsidR="00F937AF" w:rsidRPr="008B2B47">
        <w:rPr>
          <w:rFonts w:ascii="Arial" w:hAnsi="Arial" w:cs="Arial"/>
          <w:sz w:val="24"/>
          <w:szCs w:val="24"/>
        </w:rPr>
        <w:t>the health board</w:t>
      </w:r>
      <w:r w:rsidR="005A60B5" w:rsidRPr="008B2B47">
        <w:rPr>
          <w:rFonts w:ascii="Arial" w:hAnsi="Arial" w:cs="Arial"/>
          <w:sz w:val="24"/>
          <w:szCs w:val="24"/>
        </w:rPr>
        <w:t xml:space="preserve"> and could include smoking</w:t>
      </w:r>
      <w:r w:rsidR="000B6517" w:rsidRPr="008B2B47">
        <w:rPr>
          <w:rFonts w:ascii="Arial" w:hAnsi="Arial" w:cs="Arial"/>
          <w:sz w:val="24"/>
          <w:szCs w:val="24"/>
        </w:rPr>
        <w:t>.</w:t>
      </w:r>
    </w:p>
    <w:p w14:paraId="0110C40A" w14:textId="60EF23C5" w:rsidR="001E6C30" w:rsidRPr="008B2B47" w:rsidRDefault="001E6C30" w:rsidP="00DC54F7">
      <w:pPr>
        <w:pStyle w:val="ListParagraph"/>
        <w:numPr>
          <w:ilvl w:val="0"/>
          <w:numId w:val="48"/>
        </w:numPr>
        <w:spacing w:after="0" w:line="240" w:lineRule="auto"/>
        <w:ind w:left="714" w:hanging="357"/>
        <w:jc w:val="both"/>
        <w:rPr>
          <w:rFonts w:ascii="Arial" w:hAnsi="Arial" w:cs="Arial"/>
          <w:sz w:val="24"/>
          <w:szCs w:val="24"/>
        </w:rPr>
      </w:pPr>
      <w:r w:rsidRPr="008B2B47">
        <w:rPr>
          <w:rFonts w:ascii="Arial" w:hAnsi="Arial" w:cs="Arial"/>
          <w:sz w:val="24"/>
          <w:szCs w:val="24"/>
        </w:rPr>
        <w:t>Where the pharmacy does not provide the smoking cessation</w:t>
      </w:r>
      <w:r w:rsidR="00F937AF" w:rsidRPr="008B2B47">
        <w:rPr>
          <w:rFonts w:ascii="Arial" w:hAnsi="Arial" w:cs="Arial"/>
          <w:sz w:val="24"/>
          <w:szCs w:val="24"/>
        </w:rPr>
        <w:t xml:space="preserve"> enhanced service</w:t>
      </w:r>
      <w:r w:rsidRPr="008B2B47">
        <w:rPr>
          <w:rFonts w:ascii="Arial" w:hAnsi="Arial" w:cs="Arial"/>
          <w:sz w:val="24"/>
          <w:szCs w:val="24"/>
        </w:rPr>
        <w:t>, signposting people using the pharmacy to other providers of the</w:t>
      </w:r>
      <w:r w:rsidR="005A60B5" w:rsidRPr="008B2B47">
        <w:rPr>
          <w:rFonts w:ascii="Arial" w:hAnsi="Arial" w:cs="Arial"/>
          <w:sz w:val="24"/>
          <w:szCs w:val="24"/>
        </w:rPr>
        <w:t xml:space="preserve"> service</w:t>
      </w:r>
      <w:r w:rsidR="000B6517" w:rsidRPr="008B2B47">
        <w:rPr>
          <w:rFonts w:ascii="Arial" w:hAnsi="Arial" w:cs="Arial"/>
          <w:sz w:val="24"/>
          <w:szCs w:val="24"/>
        </w:rPr>
        <w:t>.</w:t>
      </w:r>
    </w:p>
    <w:p w14:paraId="7B3D5CEA" w14:textId="513C2757" w:rsidR="001E6C30" w:rsidRPr="008B2B47" w:rsidRDefault="001E6C30" w:rsidP="00DC54F7">
      <w:pPr>
        <w:pStyle w:val="ListParagraph"/>
        <w:numPr>
          <w:ilvl w:val="0"/>
          <w:numId w:val="48"/>
        </w:numPr>
        <w:spacing w:after="0" w:line="240" w:lineRule="auto"/>
        <w:ind w:left="714" w:hanging="357"/>
        <w:jc w:val="both"/>
        <w:rPr>
          <w:rFonts w:ascii="Arial" w:hAnsi="Arial" w:cs="Arial"/>
          <w:sz w:val="24"/>
          <w:szCs w:val="24"/>
        </w:rPr>
      </w:pPr>
      <w:r w:rsidRPr="008B2B47">
        <w:rPr>
          <w:rFonts w:ascii="Arial" w:hAnsi="Arial" w:cs="Arial"/>
          <w:sz w:val="24"/>
          <w:szCs w:val="24"/>
        </w:rPr>
        <w:t>Routinely discussing stopping smoking when selling rele</w:t>
      </w:r>
      <w:r w:rsidR="005A60B5" w:rsidRPr="008B2B47">
        <w:rPr>
          <w:rFonts w:ascii="Arial" w:hAnsi="Arial" w:cs="Arial"/>
          <w:sz w:val="24"/>
          <w:szCs w:val="24"/>
        </w:rPr>
        <w:t>vant over the counter medicines</w:t>
      </w:r>
      <w:r w:rsidR="000B6517" w:rsidRPr="008B2B47">
        <w:rPr>
          <w:rFonts w:ascii="Arial" w:hAnsi="Arial" w:cs="Arial"/>
          <w:sz w:val="24"/>
          <w:szCs w:val="24"/>
        </w:rPr>
        <w:t>.</w:t>
      </w:r>
    </w:p>
    <w:p w14:paraId="7C22806E" w14:textId="4B920B1A" w:rsidR="001E6C30" w:rsidRPr="008B2B47" w:rsidRDefault="001E6C30" w:rsidP="00DC54F7">
      <w:pPr>
        <w:pStyle w:val="ListParagraph"/>
        <w:numPr>
          <w:ilvl w:val="0"/>
          <w:numId w:val="48"/>
        </w:numPr>
        <w:spacing w:after="0" w:line="240" w:lineRule="auto"/>
        <w:jc w:val="both"/>
        <w:rPr>
          <w:rFonts w:ascii="Arial" w:hAnsi="Arial" w:cs="Arial"/>
          <w:sz w:val="24"/>
          <w:szCs w:val="24"/>
        </w:rPr>
      </w:pPr>
      <w:r w:rsidRPr="008B2B47">
        <w:rPr>
          <w:rFonts w:ascii="Arial" w:hAnsi="Arial" w:cs="Arial"/>
          <w:sz w:val="24"/>
          <w:szCs w:val="24"/>
        </w:rPr>
        <w:t>Providing h</w:t>
      </w:r>
      <w:r w:rsidR="00332915" w:rsidRPr="008B2B47">
        <w:rPr>
          <w:rFonts w:ascii="Arial" w:hAnsi="Arial" w:cs="Arial"/>
          <w:sz w:val="24"/>
          <w:szCs w:val="24"/>
        </w:rPr>
        <w:t xml:space="preserve">ealthy living advice during </w:t>
      </w:r>
      <w:r w:rsidR="004D7565" w:rsidRPr="008B2B47">
        <w:rPr>
          <w:rFonts w:ascii="Arial" w:hAnsi="Arial" w:cs="Arial"/>
          <w:sz w:val="24"/>
          <w:szCs w:val="24"/>
        </w:rPr>
        <w:t>M</w:t>
      </w:r>
      <w:r w:rsidR="00723955" w:rsidRPr="008B2B47">
        <w:rPr>
          <w:rFonts w:ascii="Arial" w:hAnsi="Arial" w:cs="Arial"/>
          <w:sz w:val="24"/>
          <w:szCs w:val="24"/>
        </w:rPr>
        <w:t xml:space="preserve">edicines </w:t>
      </w:r>
      <w:r w:rsidR="004D7565" w:rsidRPr="008B2B47">
        <w:rPr>
          <w:rFonts w:ascii="Arial" w:hAnsi="Arial" w:cs="Arial"/>
          <w:sz w:val="24"/>
          <w:szCs w:val="24"/>
        </w:rPr>
        <w:t>U</w:t>
      </w:r>
      <w:r w:rsidR="00723955" w:rsidRPr="008B2B47">
        <w:rPr>
          <w:rFonts w:ascii="Arial" w:hAnsi="Arial" w:cs="Arial"/>
          <w:sz w:val="24"/>
          <w:szCs w:val="24"/>
        </w:rPr>
        <w:t xml:space="preserve">se </w:t>
      </w:r>
      <w:r w:rsidR="004D7565" w:rsidRPr="008B2B47">
        <w:rPr>
          <w:rFonts w:ascii="Arial" w:hAnsi="Arial" w:cs="Arial"/>
          <w:sz w:val="24"/>
          <w:szCs w:val="24"/>
        </w:rPr>
        <w:t>R</w:t>
      </w:r>
      <w:r w:rsidR="00723955" w:rsidRPr="008B2B47">
        <w:rPr>
          <w:rFonts w:ascii="Arial" w:hAnsi="Arial" w:cs="Arial"/>
          <w:sz w:val="24"/>
          <w:szCs w:val="24"/>
        </w:rPr>
        <w:t>ev</w:t>
      </w:r>
      <w:r w:rsidR="004A38BB" w:rsidRPr="008B2B47">
        <w:rPr>
          <w:rFonts w:ascii="Arial" w:hAnsi="Arial" w:cs="Arial"/>
          <w:sz w:val="24"/>
          <w:szCs w:val="24"/>
        </w:rPr>
        <w:t>ie</w:t>
      </w:r>
      <w:r w:rsidR="00723955" w:rsidRPr="008B2B47">
        <w:rPr>
          <w:rFonts w:ascii="Arial" w:hAnsi="Arial" w:cs="Arial"/>
          <w:sz w:val="24"/>
          <w:szCs w:val="24"/>
        </w:rPr>
        <w:t>w</w:t>
      </w:r>
      <w:r w:rsidR="00332915" w:rsidRPr="008B2B47">
        <w:rPr>
          <w:rFonts w:ascii="Arial" w:hAnsi="Arial" w:cs="Arial"/>
          <w:sz w:val="24"/>
          <w:szCs w:val="24"/>
        </w:rPr>
        <w:t xml:space="preserve"> </w:t>
      </w:r>
      <w:r w:rsidRPr="008B2B47">
        <w:rPr>
          <w:rFonts w:ascii="Arial" w:hAnsi="Arial" w:cs="Arial"/>
          <w:sz w:val="24"/>
          <w:szCs w:val="24"/>
        </w:rPr>
        <w:t>consultations.</w:t>
      </w:r>
    </w:p>
    <w:p w14:paraId="556635E0" w14:textId="77777777" w:rsidR="00773615" w:rsidRDefault="00773615" w:rsidP="00DC54F7">
      <w:pPr>
        <w:spacing w:after="0" w:line="240" w:lineRule="auto"/>
        <w:jc w:val="both"/>
        <w:rPr>
          <w:rFonts w:ascii="Arial" w:hAnsi="Arial" w:cs="Arial"/>
          <w:b/>
          <w:sz w:val="26"/>
          <w:szCs w:val="26"/>
        </w:rPr>
      </w:pPr>
    </w:p>
    <w:p w14:paraId="52A5F844" w14:textId="74E5B5B5" w:rsidR="00F937AF" w:rsidRPr="00A10850" w:rsidRDefault="00F937AF" w:rsidP="00DC54F7">
      <w:pPr>
        <w:spacing w:after="0" w:line="240" w:lineRule="auto"/>
        <w:jc w:val="both"/>
        <w:rPr>
          <w:rFonts w:ascii="Arial" w:hAnsi="Arial" w:cs="Arial"/>
          <w:b/>
          <w:sz w:val="26"/>
          <w:szCs w:val="26"/>
        </w:rPr>
      </w:pPr>
      <w:r w:rsidRPr="00A10850">
        <w:rPr>
          <w:rFonts w:ascii="Arial" w:hAnsi="Arial" w:cs="Arial"/>
          <w:b/>
          <w:sz w:val="26"/>
          <w:szCs w:val="26"/>
        </w:rPr>
        <w:lastRenderedPageBreak/>
        <w:t xml:space="preserve">7.9 </w:t>
      </w:r>
      <w:r w:rsidRPr="002B04BB">
        <w:rPr>
          <w:rFonts w:ascii="Arial" w:hAnsi="Arial" w:cs="Arial"/>
          <w:b/>
          <w:sz w:val="24"/>
          <w:szCs w:val="24"/>
        </w:rPr>
        <w:t>Support for self-care</w:t>
      </w:r>
    </w:p>
    <w:p w14:paraId="44322FBB" w14:textId="77777777" w:rsidR="00F937AF" w:rsidRPr="00A10850" w:rsidRDefault="00F937AF" w:rsidP="00DC54F7">
      <w:pPr>
        <w:spacing w:after="0" w:line="240" w:lineRule="auto"/>
        <w:jc w:val="both"/>
        <w:rPr>
          <w:rFonts w:ascii="Arial" w:hAnsi="Arial" w:cs="Arial"/>
        </w:rPr>
      </w:pPr>
    </w:p>
    <w:p w14:paraId="545DE968" w14:textId="77777777" w:rsidR="00F937AF" w:rsidRPr="008B2B47" w:rsidRDefault="00F937AF" w:rsidP="00DC54F7">
      <w:pPr>
        <w:spacing w:after="0" w:line="240" w:lineRule="auto"/>
        <w:jc w:val="both"/>
        <w:rPr>
          <w:rFonts w:ascii="Arial" w:hAnsi="Arial" w:cs="Arial"/>
          <w:sz w:val="24"/>
          <w:szCs w:val="24"/>
        </w:rPr>
      </w:pPr>
      <w:r w:rsidRPr="008B2B47">
        <w:rPr>
          <w:rFonts w:ascii="Arial" w:hAnsi="Arial" w:cs="Arial"/>
          <w:sz w:val="24"/>
          <w:szCs w:val="24"/>
        </w:rPr>
        <w:t>Support for self-care is both an essential and enhanced service, with the latter referred to as the common ailment service.  The common ailment service is a scheme whereby patients are encouraged to consult a participating pharmacy, rather than their GP, for a defined list of common ailments. The pharmacist will supply medication from an agreed formulary, give advice or refer the patient to the GP if necessary. Medicines are supplied free of charge thereby removing the payment barrier, which can prevent patients choosing to see a pharmacist instead of their GP.</w:t>
      </w:r>
    </w:p>
    <w:p w14:paraId="31D017C5" w14:textId="77777777" w:rsidR="00F937AF" w:rsidRPr="008B2B47" w:rsidRDefault="00F937AF" w:rsidP="00DC54F7">
      <w:pPr>
        <w:spacing w:after="0" w:line="240" w:lineRule="auto"/>
        <w:jc w:val="both"/>
        <w:rPr>
          <w:rFonts w:ascii="Arial" w:hAnsi="Arial" w:cs="Arial"/>
          <w:sz w:val="24"/>
          <w:szCs w:val="24"/>
        </w:rPr>
      </w:pPr>
    </w:p>
    <w:p w14:paraId="172CA401" w14:textId="77777777" w:rsidR="00F937AF" w:rsidRPr="008B2B47" w:rsidRDefault="00F937AF" w:rsidP="00DC54F7">
      <w:pPr>
        <w:spacing w:after="0" w:line="240" w:lineRule="auto"/>
        <w:jc w:val="both"/>
        <w:rPr>
          <w:rFonts w:ascii="Arial" w:hAnsi="Arial" w:cs="Arial"/>
          <w:sz w:val="24"/>
          <w:szCs w:val="24"/>
        </w:rPr>
      </w:pPr>
      <w:r w:rsidRPr="008B2B47">
        <w:rPr>
          <w:rFonts w:ascii="Arial" w:hAnsi="Arial" w:cs="Arial"/>
          <w:sz w:val="24"/>
          <w:szCs w:val="24"/>
        </w:rPr>
        <w:t>Ailments covered by the enhanced service include:</w:t>
      </w:r>
    </w:p>
    <w:p w14:paraId="269C8020" w14:textId="77777777" w:rsidR="00F937AF" w:rsidRPr="008B2B47" w:rsidRDefault="00F937AF" w:rsidP="00DC54F7">
      <w:pPr>
        <w:spacing w:after="0" w:line="240" w:lineRule="auto"/>
        <w:jc w:val="both"/>
        <w:rPr>
          <w:rFonts w:ascii="Arial" w:hAnsi="Arial" w:cs="Arial"/>
          <w:sz w:val="24"/>
          <w:szCs w:val="24"/>
        </w:rPr>
      </w:pPr>
    </w:p>
    <w:p w14:paraId="5CEC0338" w14:textId="77777777" w:rsidR="001E383B" w:rsidRPr="008B2B47" w:rsidRDefault="001E383B" w:rsidP="00DC54F7">
      <w:pPr>
        <w:pStyle w:val="ListParagraph"/>
        <w:numPr>
          <w:ilvl w:val="0"/>
          <w:numId w:val="54"/>
        </w:numPr>
        <w:spacing w:after="0" w:line="240" w:lineRule="auto"/>
        <w:jc w:val="both"/>
        <w:rPr>
          <w:rFonts w:ascii="Arial" w:hAnsi="Arial" w:cs="Arial"/>
          <w:sz w:val="24"/>
          <w:szCs w:val="24"/>
        </w:rPr>
        <w:sectPr w:rsidR="001E383B" w:rsidRPr="008B2B47" w:rsidSect="00FA61D2">
          <w:footerReference w:type="default" r:id="rId78"/>
          <w:pgSz w:w="11906" w:h="16838"/>
          <w:pgMar w:top="1440" w:right="1440" w:bottom="1276" w:left="1440" w:header="708" w:footer="708" w:gutter="0"/>
          <w:cols w:space="708"/>
          <w:docGrid w:linePitch="360"/>
        </w:sectPr>
      </w:pPr>
    </w:p>
    <w:p w14:paraId="65447301"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Acne </w:t>
      </w:r>
    </w:p>
    <w:p w14:paraId="0DFCCA47"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Athletes foot </w:t>
      </w:r>
    </w:p>
    <w:p w14:paraId="35E8C243"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Back pain </w:t>
      </w:r>
    </w:p>
    <w:p w14:paraId="3D714E38"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Colic </w:t>
      </w:r>
    </w:p>
    <w:p w14:paraId="3ED297EE"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Conjunctivitis </w:t>
      </w:r>
    </w:p>
    <w:p w14:paraId="301B5A48"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Constipation </w:t>
      </w:r>
    </w:p>
    <w:p w14:paraId="24634750"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Diarrhoea </w:t>
      </w:r>
    </w:p>
    <w:p w14:paraId="0FB382A9"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Dry eyes </w:t>
      </w:r>
    </w:p>
    <w:p w14:paraId="74A84284"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Dry skin </w:t>
      </w:r>
    </w:p>
    <w:p w14:paraId="760CB9D6"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Haemorrhoids </w:t>
      </w:r>
    </w:p>
    <w:p w14:paraId="6142388E"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Hay fever </w:t>
      </w:r>
    </w:p>
    <w:p w14:paraId="44809C7E"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Head lice </w:t>
      </w:r>
    </w:p>
    <w:p w14:paraId="15005FBF"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Indigestion and reflux </w:t>
      </w:r>
    </w:p>
    <w:p w14:paraId="4A65F149"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Intertrigo/ringworm </w:t>
      </w:r>
    </w:p>
    <w:p w14:paraId="43E661A0"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Mouth ulcers </w:t>
      </w:r>
    </w:p>
    <w:p w14:paraId="783C045F"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Nappy rash</w:t>
      </w:r>
    </w:p>
    <w:p w14:paraId="3180BB21"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Oral thrush </w:t>
      </w:r>
    </w:p>
    <w:p w14:paraId="3297BC54"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Scabies </w:t>
      </w:r>
    </w:p>
    <w:p w14:paraId="0220A61B"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Sore throat </w:t>
      </w:r>
    </w:p>
    <w:p w14:paraId="39910724"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Teething </w:t>
      </w:r>
    </w:p>
    <w:p w14:paraId="0BCBC5CD"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Threadworms </w:t>
      </w:r>
    </w:p>
    <w:p w14:paraId="23700C29"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 xml:space="preserve">Vaginal thrush </w:t>
      </w:r>
    </w:p>
    <w:p w14:paraId="1C8F4DB3" w14:textId="77777777" w:rsidR="00F937AF" w:rsidRPr="008B2B47" w:rsidRDefault="00F937AF" w:rsidP="00DC54F7">
      <w:pPr>
        <w:pStyle w:val="ListParagraph"/>
        <w:numPr>
          <w:ilvl w:val="0"/>
          <w:numId w:val="54"/>
        </w:numPr>
        <w:spacing w:after="0" w:line="240" w:lineRule="auto"/>
        <w:jc w:val="both"/>
        <w:rPr>
          <w:rFonts w:ascii="Arial" w:hAnsi="Arial" w:cs="Arial"/>
          <w:sz w:val="24"/>
          <w:szCs w:val="24"/>
        </w:rPr>
      </w:pPr>
      <w:r w:rsidRPr="008B2B47">
        <w:rPr>
          <w:rFonts w:ascii="Arial" w:hAnsi="Arial" w:cs="Arial"/>
          <w:sz w:val="24"/>
          <w:szCs w:val="24"/>
        </w:rPr>
        <w:t>Verrucae</w:t>
      </w:r>
    </w:p>
    <w:p w14:paraId="40A48679" w14:textId="77777777" w:rsidR="001E383B" w:rsidRPr="008B2B47" w:rsidRDefault="001E383B" w:rsidP="00DC54F7">
      <w:pPr>
        <w:jc w:val="both"/>
        <w:rPr>
          <w:rFonts w:ascii="Arial" w:hAnsi="Arial" w:cs="Arial"/>
          <w:color w:val="942D83"/>
          <w:sz w:val="24"/>
          <w:szCs w:val="24"/>
        </w:rPr>
        <w:sectPr w:rsidR="001E383B" w:rsidRPr="008B2B47" w:rsidSect="001E383B">
          <w:type w:val="continuous"/>
          <w:pgSz w:w="11906" w:h="16838"/>
          <w:pgMar w:top="1440" w:right="1440" w:bottom="1276" w:left="1440" w:header="708" w:footer="708" w:gutter="0"/>
          <w:cols w:num="2" w:space="708"/>
          <w:docGrid w:linePitch="360"/>
        </w:sectPr>
      </w:pPr>
    </w:p>
    <w:p w14:paraId="02C79D83" w14:textId="58F8F4C5" w:rsidR="006B7D30" w:rsidRPr="002B04BB" w:rsidRDefault="006B7D30" w:rsidP="00DC54F7">
      <w:pPr>
        <w:jc w:val="both"/>
        <w:rPr>
          <w:rFonts w:ascii="Arial" w:hAnsi="Arial" w:cs="Arial"/>
          <w:sz w:val="24"/>
          <w:szCs w:val="24"/>
        </w:rPr>
      </w:pPr>
    </w:p>
    <w:p w14:paraId="5C33E586" w14:textId="66022969" w:rsidR="00D05A4B" w:rsidRPr="008B2B47" w:rsidRDefault="001E7C0C" w:rsidP="00DC54F7">
      <w:pPr>
        <w:shd w:val="clear" w:color="auto" w:fill="FFFFFF"/>
        <w:spacing w:after="0" w:line="240" w:lineRule="auto"/>
        <w:jc w:val="both"/>
        <w:rPr>
          <w:rFonts w:ascii="Arial" w:eastAsia="Times New Roman" w:hAnsi="Arial" w:cs="Arial"/>
          <w:color w:val="000000"/>
          <w:sz w:val="24"/>
          <w:szCs w:val="24"/>
          <w:lang w:eastAsia="en-GB"/>
        </w:rPr>
      </w:pPr>
      <w:r w:rsidRPr="008B2B47">
        <w:rPr>
          <w:rFonts w:ascii="Arial" w:eastAsia="Times New Roman" w:hAnsi="Arial" w:cs="Arial"/>
          <w:color w:val="000000"/>
          <w:sz w:val="24"/>
          <w:szCs w:val="24"/>
          <w:lang w:eastAsia="en-GB"/>
        </w:rPr>
        <w:t xml:space="preserve">The </w:t>
      </w:r>
      <w:r w:rsidR="00291FE8" w:rsidRPr="008B2B47">
        <w:rPr>
          <w:rFonts w:ascii="Arial" w:eastAsia="Times New Roman" w:hAnsi="Arial" w:cs="Arial"/>
          <w:color w:val="000000"/>
          <w:sz w:val="24"/>
          <w:szCs w:val="24"/>
          <w:lang w:eastAsia="en-GB"/>
        </w:rPr>
        <w:t xml:space="preserve">planned </w:t>
      </w:r>
      <w:r w:rsidRPr="008B2B47">
        <w:rPr>
          <w:rFonts w:ascii="Arial" w:eastAsia="Times New Roman" w:hAnsi="Arial" w:cs="Arial"/>
          <w:color w:val="000000"/>
          <w:sz w:val="24"/>
          <w:szCs w:val="24"/>
          <w:lang w:eastAsia="en-GB"/>
        </w:rPr>
        <w:t xml:space="preserve">introduction of </w:t>
      </w:r>
      <w:r w:rsidR="00291FE8" w:rsidRPr="008B2B47">
        <w:rPr>
          <w:rFonts w:ascii="Arial" w:eastAsia="Times New Roman" w:hAnsi="Arial" w:cs="Arial"/>
          <w:color w:val="000000"/>
          <w:sz w:val="24"/>
          <w:szCs w:val="24"/>
          <w:lang w:eastAsia="en-GB"/>
        </w:rPr>
        <w:t xml:space="preserve">an </w:t>
      </w:r>
      <w:r w:rsidR="00D05A4B" w:rsidRPr="008B2B47">
        <w:rPr>
          <w:rFonts w:ascii="Arial" w:eastAsia="Times New Roman" w:hAnsi="Arial" w:cs="Arial"/>
          <w:color w:val="000000"/>
          <w:sz w:val="24"/>
          <w:szCs w:val="24"/>
          <w:lang w:eastAsia="en-GB"/>
        </w:rPr>
        <w:t xml:space="preserve">independent prescriber acute conditions service </w:t>
      </w:r>
      <w:r w:rsidR="00291FE8" w:rsidRPr="008B2B47">
        <w:rPr>
          <w:rFonts w:ascii="Arial" w:eastAsia="Times New Roman" w:hAnsi="Arial" w:cs="Arial"/>
          <w:color w:val="000000"/>
          <w:sz w:val="24"/>
          <w:szCs w:val="24"/>
          <w:lang w:eastAsia="en-GB"/>
        </w:rPr>
        <w:t>in 2021, will further support this service</w:t>
      </w:r>
      <w:r w:rsidR="00D05A4B" w:rsidRPr="008B2B47">
        <w:rPr>
          <w:rFonts w:ascii="Arial" w:eastAsia="Times New Roman" w:hAnsi="Arial" w:cs="Arial"/>
          <w:color w:val="000000"/>
          <w:sz w:val="24"/>
          <w:szCs w:val="24"/>
          <w:lang w:eastAsia="en-GB"/>
        </w:rPr>
        <w:t>.</w:t>
      </w:r>
    </w:p>
    <w:p w14:paraId="7BFB7E94" w14:textId="7A33E102" w:rsidR="00D25C22" w:rsidRPr="008B2B47" w:rsidRDefault="00D25C22" w:rsidP="00DC54F7">
      <w:pPr>
        <w:shd w:val="clear" w:color="auto" w:fill="FFFFFF"/>
        <w:spacing w:after="0" w:line="240" w:lineRule="auto"/>
        <w:jc w:val="both"/>
        <w:rPr>
          <w:rFonts w:ascii="Arial" w:eastAsia="Times New Roman" w:hAnsi="Arial" w:cs="Arial"/>
          <w:color w:val="000000"/>
          <w:sz w:val="24"/>
          <w:szCs w:val="24"/>
          <w:lang w:eastAsia="en-GB"/>
        </w:rPr>
      </w:pPr>
    </w:p>
    <w:p w14:paraId="334C03A3" w14:textId="3CFD6532" w:rsidR="00D25C22" w:rsidRPr="008B2B47" w:rsidRDefault="00D25C22" w:rsidP="00DC54F7">
      <w:pPr>
        <w:shd w:val="clear" w:color="auto" w:fill="FFFFFF"/>
        <w:spacing w:after="0" w:line="240" w:lineRule="auto"/>
        <w:jc w:val="both"/>
        <w:rPr>
          <w:rFonts w:ascii="Arial" w:eastAsia="Times New Roman" w:hAnsi="Arial" w:cs="Arial"/>
          <w:color w:val="000000"/>
          <w:sz w:val="24"/>
          <w:szCs w:val="24"/>
          <w:lang w:eastAsia="en-GB"/>
        </w:rPr>
      </w:pPr>
      <w:r w:rsidRPr="008B2B47">
        <w:rPr>
          <w:rFonts w:ascii="Arial" w:hAnsi="Arial" w:cs="Arial"/>
          <w:color w:val="000000"/>
          <w:sz w:val="24"/>
          <w:szCs w:val="24"/>
        </w:rPr>
        <w:t>The Community Pharmacy Sore Throat Test and Treat Service (STTT) is a service building on the existing Sore Throat service available within the NHS Wales Common Ailments Service. The service will enable eligible patients to have access to clinical assessment and the provision of advice and appropriate medication, at the expense of the NHS, when presenting with symptoms of acute sore throat. This provides an alternative location from which patients can seek advice and treatment, rather than seeking treatment via a prescription from their GP or out of hours (OOH) provider</w:t>
      </w:r>
      <w:r w:rsidR="0068018B" w:rsidRPr="008B2B47">
        <w:rPr>
          <w:rFonts w:ascii="Arial" w:hAnsi="Arial" w:cs="Arial"/>
          <w:color w:val="000000"/>
          <w:sz w:val="24"/>
          <w:szCs w:val="24"/>
        </w:rPr>
        <w:t xml:space="preserve"> </w:t>
      </w:r>
      <w:r w:rsidRPr="008B2B47">
        <w:rPr>
          <w:rFonts w:ascii="Arial" w:hAnsi="Arial" w:cs="Arial"/>
          <w:color w:val="000000"/>
          <w:sz w:val="24"/>
          <w:szCs w:val="24"/>
        </w:rPr>
        <w:t xml:space="preserve">or accident and emergency. It is worth noting that the service is currently suspended due to the </w:t>
      </w:r>
      <w:r w:rsidRPr="008B2B47">
        <w:rPr>
          <w:rFonts w:ascii="Arial" w:hAnsi="Arial" w:cs="Arial"/>
          <w:sz w:val="24"/>
          <w:szCs w:val="24"/>
        </w:rPr>
        <w:t>Coronavirus (COVID-19) pandemic</w:t>
      </w:r>
      <w:r w:rsidR="00260CF6" w:rsidRPr="008B2B47">
        <w:rPr>
          <w:rFonts w:ascii="Arial" w:hAnsi="Arial" w:cs="Arial"/>
          <w:sz w:val="24"/>
          <w:szCs w:val="24"/>
        </w:rPr>
        <w:t>.</w:t>
      </w:r>
    </w:p>
    <w:p w14:paraId="36D402B2" w14:textId="77777777" w:rsidR="00032875" w:rsidRPr="002B04BB" w:rsidRDefault="00032875" w:rsidP="00DC54F7">
      <w:pPr>
        <w:spacing w:after="0" w:line="240" w:lineRule="auto"/>
        <w:jc w:val="both"/>
        <w:rPr>
          <w:rFonts w:ascii="Arial" w:hAnsi="Arial" w:cs="Arial"/>
        </w:rPr>
      </w:pPr>
    </w:p>
    <w:p w14:paraId="5E320723" w14:textId="77777777" w:rsidR="008B2B47" w:rsidRDefault="003941CC" w:rsidP="00DC54F7">
      <w:pPr>
        <w:shd w:val="clear" w:color="auto" w:fill="FFFFFF"/>
        <w:spacing w:after="0" w:line="240" w:lineRule="auto"/>
        <w:jc w:val="both"/>
        <w:rPr>
          <w:rFonts w:ascii="Calibri" w:eastAsia="Times New Roman" w:hAnsi="Calibri" w:cs="Calibri"/>
          <w:color w:val="000000"/>
          <w:lang w:eastAsia="en-GB"/>
        </w:rPr>
      </w:pPr>
      <w:r w:rsidRPr="003941CC">
        <w:rPr>
          <w:rFonts w:ascii="Calibri" w:eastAsia="Times New Roman" w:hAnsi="Calibri" w:cs="Calibri"/>
          <w:color w:val="000000"/>
          <w:lang w:eastAsia="en-GB"/>
        </w:rPr>
        <w:t> </w:t>
      </w:r>
    </w:p>
    <w:p w14:paraId="3D009CFC" w14:textId="4B52FD58" w:rsidR="003941CC" w:rsidRPr="008B2B47" w:rsidRDefault="0048366E" w:rsidP="00DC54F7">
      <w:pPr>
        <w:shd w:val="clear" w:color="auto" w:fill="FFFFFF"/>
        <w:spacing w:after="0" w:line="240" w:lineRule="auto"/>
        <w:jc w:val="both"/>
        <w:rPr>
          <w:rFonts w:ascii="Calibri" w:eastAsia="Times New Roman" w:hAnsi="Calibri" w:cs="Calibri"/>
          <w:color w:val="000000"/>
          <w:lang w:eastAsia="en-GB"/>
        </w:rPr>
      </w:pPr>
      <w:r w:rsidRPr="0048366E">
        <w:rPr>
          <w:rFonts w:ascii="Arial" w:eastAsia="Times New Roman" w:hAnsi="Arial" w:cs="Arial"/>
          <w:b/>
          <w:bCs/>
          <w:color w:val="000000"/>
          <w:sz w:val="26"/>
          <w:szCs w:val="26"/>
          <w:lang w:eastAsia="en-GB"/>
        </w:rPr>
        <w:t>7.1</w:t>
      </w:r>
      <w:r w:rsidR="00B35AD3">
        <w:rPr>
          <w:rFonts w:ascii="Arial" w:eastAsia="Times New Roman" w:hAnsi="Arial" w:cs="Arial"/>
          <w:b/>
          <w:bCs/>
          <w:color w:val="000000"/>
          <w:sz w:val="26"/>
          <w:szCs w:val="26"/>
          <w:lang w:eastAsia="en-GB"/>
        </w:rPr>
        <w:t>0</w:t>
      </w:r>
      <w:r w:rsidRPr="0048366E">
        <w:rPr>
          <w:rFonts w:ascii="Arial" w:eastAsia="Times New Roman" w:hAnsi="Arial" w:cs="Arial"/>
          <w:b/>
          <w:bCs/>
          <w:color w:val="000000"/>
          <w:sz w:val="26"/>
          <w:szCs w:val="26"/>
          <w:lang w:eastAsia="en-GB"/>
        </w:rPr>
        <w:t xml:space="preserve"> </w:t>
      </w:r>
      <w:r w:rsidR="003941CC" w:rsidRPr="002B04BB">
        <w:rPr>
          <w:rFonts w:ascii="Arial" w:eastAsia="Times New Roman" w:hAnsi="Arial" w:cs="Arial"/>
          <w:b/>
          <w:bCs/>
          <w:color w:val="000000"/>
          <w:sz w:val="24"/>
          <w:szCs w:val="24"/>
          <w:lang w:eastAsia="en-GB"/>
        </w:rPr>
        <w:t>B</w:t>
      </w:r>
      <w:r w:rsidR="001B5A95" w:rsidRPr="002B04BB">
        <w:rPr>
          <w:rFonts w:ascii="Arial" w:eastAsia="Times New Roman" w:hAnsi="Arial" w:cs="Arial"/>
          <w:b/>
          <w:bCs/>
          <w:color w:val="000000"/>
          <w:sz w:val="24"/>
          <w:szCs w:val="24"/>
          <w:lang w:eastAsia="en-GB"/>
        </w:rPr>
        <w:t>lood</w:t>
      </w:r>
      <w:r w:rsidR="00023FE6" w:rsidRPr="002B04BB">
        <w:rPr>
          <w:rFonts w:ascii="Arial" w:eastAsia="Times New Roman" w:hAnsi="Arial" w:cs="Arial"/>
          <w:b/>
          <w:bCs/>
          <w:color w:val="000000"/>
          <w:sz w:val="24"/>
          <w:szCs w:val="24"/>
          <w:lang w:eastAsia="en-GB"/>
        </w:rPr>
        <w:t xml:space="preserve"> </w:t>
      </w:r>
      <w:r w:rsidR="003941CC" w:rsidRPr="002B04BB">
        <w:rPr>
          <w:rFonts w:ascii="Arial" w:eastAsia="Times New Roman" w:hAnsi="Arial" w:cs="Arial"/>
          <w:b/>
          <w:bCs/>
          <w:color w:val="000000"/>
          <w:sz w:val="24"/>
          <w:szCs w:val="24"/>
          <w:lang w:eastAsia="en-GB"/>
        </w:rPr>
        <w:t>B</w:t>
      </w:r>
      <w:r w:rsidR="001B5A95" w:rsidRPr="002B04BB">
        <w:rPr>
          <w:rFonts w:ascii="Arial" w:eastAsia="Times New Roman" w:hAnsi="Arial" w:cs="Arial"/>
          <w:b/>
          <w:bCs/>
          <w:color w:val="000000"/>
          <w:sz w:val="24"/>
          <w:szCs w:val="24"/>
          <w:lang w:eastAsia="en-GB"/>
        </w:rPr>
        <w:t>orn</w:t>
      </w:r>
      <w:r w:rsidR="00023FE6" w:rsidRPr="002B04BB">
        <w:rPr>
          <w:rFonts w:ascii="Arial" w:eastAsia="Times New Roman" w:hAnsi="Arial" w:cs="Arial"/>
          <w:b/>
          <w:bCs/>
          <w:color w:val="000000"/>
          <w:sz w:val="24"/>
          <w:szCs w:val="24"/>
          <w:lang w:eastAsia="en-GB"/>
        </w:rPr>
        <w:t>e</w:t>
      </w:r>
      <w:r w:rsidR="001B5A95" w:rsidRPr="002B04BB">
        <w:rPr>
          <w:rFonts w:ascii="Arial" w:eastAsia="Times New Roman" w:hAnsi="Arial" w:cs="Arial"/>
          <w:b/>
          <w:bCs/>
          <w:color w:val="000000"/>
          <w:sz w:val="24"/>
          <w:szCs w:val="24"/>
          <w:lang w:eastAsia="en-GB"/>
        </w:rPr>
        <w:t xml:space="preserve"> </w:t>
      </w:r>
      <w:r w:rsidR="003941CC" w:rsidRPr="002B04BB">
        <w:rPr>
          <w:rFonts w:ascii="Arial" w:eastAsia="Times New Roman" w:hAnsi="Arial" w:cs="Arial"/>
          <w:b/>
          <w:bCs/>
          <w:color w:val="000000"/>
          <w:sz w:val="24"/>
          <w:szCs w:val="24"/>
          <w:lang w:eastAsia="en-GB"/>
        </w:rPr>
        <w:t>V</w:t>
      </w:r>
      <w:r w:rsidR="001B5A95" w:rsidRPr="002B04BB">
        <w:rPr>
          <w:rFonts w:ascii="Arial" w:eastAsia="Times New Roman" w:hAnsi="Arial" w:cs="Arial"/>
          <w:b/>
          <w:bCs/>
          <w:color w:val="000000"/>
          <w:sz w:val="24"/>
          <w:szCs w:val="24"/>
          <w:lang w:eastAsia="en-GB"/>
        </w:rPr>
        <w:t>irus</w:t>
      </w:r>
      <w:r w:rsidR="003941CC" w:rsidRPr="003941CC">
        <w:rPr>
          <w:rFonts w:ascii="Arial" w:eastAsia="Times New Roman" w:hAnsi="Arial" w:cs="Arial"/>
          <w:b/>
          <w:bCs/>
          <w:color w:val="000000"/>
          <w:sz w:val="26"/>
          <w:szCs w:val="26"/>
          <w:lang w:eastAsia="en-GB"/>
        </w:rPr>
        <w:t xml:space="preserve"> </w:t>
      </w:r>
    </w:p>
    <w:p w14:paraId="5E9B8B34" w14:textId="77777777" w:rsidR="007C7D89" w:rsidRDefault="007C7D89" w:rsidP="00DC54F7">
      <w:pPr>
        <w:shd w:val="clear" w:color="auto" w:fill="FFFFFF"/>
        <w:spacing w:after="0" w:line="240" w:lineRule="auto"/>
        <w:jc w:val="both"/>
      </w:pPr>
    </w:p>
    <w:p w14:paraId="7717E67F" w14:textId="028E6E80" w:rsidR="0072223C" w:rsidRPr="008B2B47" w:rsidRDefault="007575B7" w:rsidP="00DC54F7">
      <w:pPr>
        <w:shd w:val="clear" w:color="auto" w:fill="FFFFFF"/>
        <w:spacing w:after="0" w:line="240" w:lineRule="auto"/>
        <w:jc w:val="both"/>
        <w:rPr>
          <w:rFonts w:ascii="Arial" w:hAnsi="Arial" w:cs="Arial"/>
          <w:sz w:val="24"/>
          <w:szCs w:val="24"/>
        </w:rPr>
      </w:pPr>
      <w:r w:rsidRPr="008B2B47">
        <w:rPr>
          <w:rFonts w:ascii="Arial" w:hAnsi="Arial" w:cs="Arial"/>
          <w:sz w:val="24"/>
          <w:szCs w:val="24"/>
        </w:rPr>
        <w:t xml:space="preserve">The </w:t>
      </w:r>
      <w:r w:rsidR="00285908" w:rsidRPr="008B2B47">
        <w:rPr>
          <w:rFonts w:ascii="Arial" w:hAnsi="Arial" w:cs="Arial"/>
          <w:sz w:val="24"/>
          <w:szCs w:val="24"/>
        </w:rPr>
        <w:t xml:space="preserve">enhanced </w:t>
      </w:r>
      <w:r w:rsidRPr="008B2B47">
        <w:rPr>
          <w:rFonts w:ascii="Arial" w:hAnsi="Arial" w:cs="Arial"/>
          <w:sz w:val="24"/>
          <w:szCs w:val="24"/>
        </w:rPr>
        <w:t xml:space="preserve">service supports the detection and early diagnosis of those at risk </w:t>
      </w:r>
      <w:r w:rsidR="001751FB" w:rsidRPr="008B2B47">
        <w:rPr>
          <w:rFonts w:ascii="Arial" w:hAnsi="Arial" w:cs="Arial"/>
          <w:sz w:val="24"/>
          <w:szCs w:val="24"/>
        </w:rPr>
        <w:t>from blood</w:t>
      </w:r>
      <w:r w:rsidR="00023FE6" w:rsidRPr="008B2B47">
        <w:rPr>
          <w:rFonts w:ascii="Arial" w:hAnsi="Arial" w:cs="Arial"/>
          <w:sz w:val="24"/>
          <w:szCs w:val="24"/>
        </w:rPr>
        <w:t xml:space="preserve"> </w:t>
      </w:r>
      <w:r w:rsidR="001751FB" w:rsidRPr="008B2B47">
        <w:rPr>
          <w:rFonts w:ascii="Arial" w:hAnsi="Arial" w:cs="Arial"/>
          <w:sz w:val="24"/>
          <w:szCs w:val="24"/>
        </w:rPr>
        <w:t>born</w:t>
      </w:r>
      <w:r w:rsidR="00023FE6" w:rsidRPr="008B2B47">
        <w:rPr>
          <w:rFonts w:ascii="Arial" w:hAnsi="Arial" w:cs="Arial"/>
          <w:sz w:val="24"/>
          <w:szCs w:val="24"/>
        </w:rPr>
        <w:t>e</w:t>
      </w:r>
      <w:r w:rsidR="001751FB" w:rsidRPr="008B2B47">
        <w:rPr>
          <w:rFonts w:ascii="Arial" w:hAnsi="Arial" w:cs="Arial"/>
          <w:sz w:val="24"/>
          <w:szCs w:val="24"/>
        </w:rPr>
        <w:t xml:space="preserve"> viruses such as HIV, hepatitis B and C </w:t>
      </w:r>
      <w:r w:rsidRPr="008B2B47">
        <w:rPr>
          <w:rFonts w:ascii="Arial" w:hAnsi="Arial" w:cs="Arial"/>
          <w:sz w:val="24"/>
          <w:szCs w:val="24"/>
        </w:rPr>
        <w:t>and ensures treatment is commenced at an early stage, preventing further virus transmission.</w:t>
      </w:r>
      <w:r w:rsidR="008D1FE0" w:rsidRPr="008B2B47">
        <w:rPr>
          <w:rFonts w:ascii="Arial" w:hAnsi="Arial" w:cs="Arial"/>
          <w:sz w:val="24"/>
          <w:szCs w:val="24"/>
        </w:rPr>
        <w:t xml:space="preserve"> </w:t>
      </w:r>
      <w:r w:rsidR="00127956" w:rsidRPr="008B2B47">
        <w:rPr>
          <w:rFonts w:ascii="Arial" w:hAnsi="Arial" w:cs="Arial"/>
          <w:sz w:val="24"/>
          <w:szCs w:val="24"/>
        </w:rPr>
        <w:t xml:space="preserve">The group of clients </w:t>
      </w:r>
      <w:r w:rsidR="008A2A39" w:rsidRPr="008B2B47">
        <w:rPr>
          <w:rFonts w:ascii="Arial" w:hAnsi="Arial" w:cs="Arial"/>
          <w:sz w:val="24"/>
          <w:szCs w:val="24"/>
        </w:rPr>
        <w:t xml:space="preserve">considered to be at risk of infection </w:t>
      </w:r>
      <w:r w:rsidR="00062D36" w:rsidRPr="008B2B47">
        <w:rPr>
          <w:rFonts w:ascii="Arial" w:hAnsi="Arial" w:cs="Arial"/>
          <w:sz w:val="24"/>
          <w:szCs w:val="24"/>
        </w:rPr>
        <w:t xml:space="preserve">are </w:t>
      </w:r>
      <w:r w:rsidR="00E53214" w:rsidRPr="008B2B47">
        <w:rPr>
          <w:rFonts w:ascii="Arial" w:hAnsi="Arial" w:cs="Arial"/>
          <w:sz w:val="24"/>
          <w:szCs w:val="24"/>
        </w:rPr>
        <w:t xml:space="preserve">regularly accessing services provided by pharmacies such as </w:t>
      </w:r>
      <w:r w:rsidR="005C6396" w:rsidRPr="008B2B47">
        <w:rPr>
          <w:rFonts w:ascii="Arial" w:hAnsi="Arial" w:cs="Arial"/>
          <w:sz w:val="24"/>
          <w:szCs w:val="24"/>
        </w:rPr>
        <w:t>needle and syringe provision</w:t>
      </w:r>
      <w:r w:rsidR="005F1DBF" w:rsidRPr="008B2B47">
        <w:rPr>
          <w:rFonts w:ascii="Arial" w:hAnsi="Arial" w:cs="Arial"/>
          <w:sz w:val="24"/>
          <w:szCs w:val="24"/>
        </w:rPr>
        <w:t xml:space="preserve"> and supervised consumption.</w:t>
      </w:r>
      <w:r w:rsidR="00117BF2" w:rsidRPr="008B2B47">
        <w:rPr>
          <w:rFonts w:ascii="Arial" w:hAnsi="Arial" w:cs="Arial"/>
          <w:sz w:val="24"/>
          <w:szCs w:val="24"/>
        </w:rPr>
        <w:t xml:space="preserve"> </w:t>
      </w:r>
    </w:p>
    <w:p w14:paraId="07E72C54" w14:textId="1FF69531" w:rsidR="00F864FE" w:rsidRPr="008B2B47" w:rsidRDefault="00F864FE" w:rsidP="00DC54F7">
      <w:pPr>
        <w:shd w:val="clear" w:color="auto" w:fill="FFFFFF"/>
        <w:spacing w:after="0" w:line="240" w:lineRule="auto"/>
        <w:jc w:val="both"/>
        <w:rPr>
          <w:rFonts w:ascii="Arial" w:eastAsia="Times New Roman" w:hAnsi="Arial" w:cs="Arial"/>
          <w:sz w:val="24"/>
          <w:szCs w:val="24"/>
          <w:lang w:eastAsia="en-GB"/>
        </w:rPr>
      </w:pPr>
    </w:p>
    <w:p w14:paraId="51C6368A" w14:textId="77777777" w:rsidR="00CF3B83" w:rsidRDefault="00CF3B83" w:rsidP="00DC54F7">
      <w:pPr>
        <w:shd w:val="clear" w:color="auto" w:fill="FFFFFF"/>
        <w:spacing w:after="0" w:line="240" w:lineRule="auto"/>
        <w:jc w:val="both"/>
        <w:rPr>
          <w:rFonts w:ascii="Arial" w:hAnsi="Arial" w:cs="Arial"/>
        </w:rPr>
      </w:pPr>
    </w:p>
    <w:p w14:paraId="139F8D0D" w14:textId="7C2CF30D" w:rsidR="003941CC" w:rsidRDefault="00967BFD" w:rsidP="00DC54F7">
      <w:pPr>
        <w:shd w:val="clear" w:color="auto" w:fill="FFFFFF"/>
        <w:spacing w:after="0" w:line="240" w:lineRule="auto"/>
        <w:jc w:val="both"/>
        <w:rPr>
          <w:rFonts w:ascii="Arial" w:eastAsia="Times New Roman" w:hAnsi="Arial" w:cs="Arial"/>
          <w:b/>
          <w:bCs/>
          <w:color w:val="000000"/>
          <w:sz w:val="26"/>
          <w:szCs w:val="26"/>
          <w:lang w:eastAsia="en-GB"/>
        </w:rPr>
      </w:pPr>
      <w:r w:rsidRPr="00967BFD">
        <w:rPr>
          <w:rFonts w:ascii="Arial" w:eastAsia="Times New Roman" w:hAnsi="Arial" w:cs="Arial"/>
          <w:b/>
          <w:bCs/>
          <w:color w:val="000000"/>
          <w:sz w:val="26"/>
          <w:szCs w:val="26"/>
          <w:lang w:eastAsia="en-GB"/>
        </w:rPr>
        <w:lastRenderedPageBreak/>
        <w:t>7.1</w:t>
      </w:r>
      <w:r w:rsidR="00B35AD3">
        <w:rPr>
          <w:rFonts w:ascii="Arial" w:eastAsia="Times New Roman" w:hAnsi="Arial" w:cs="Arial"/>
          <w:b/>
          <w:bCs/>
          <w:color w:val="000000"/>
          <w:sz w:val="26"/>
          <w:szCs w:val="26"/>
          <w:lang w:eastAsia="en-GB"/>
        </w:rPr>
        <w:t>1</w:t>
      </w:r>
      <w:r w:rsidRPr="00967BFD">
        <w:rPr>
          <w:rFonts w:ascii="Arial" w:eastAsia="Times New Roman" w:hAnsi="Arial" w:cs="Arial"/>
          <w:b/>
          <w:bCs/>
          <w:color w:val="000000"/>
          <w:sz w:val="26"/>
          <w:szCs w:val="26"/>
          <w:lang w:eastAsia="en-GB"/>
        </w:rPr>
        <w:t xml:space="preserve"> </w:t>
      </w:r>
      <w:r w:rsidR="003941CC" w:rsidRPr="002B04BB">
        <w:rPr>
          <w:rFonts w:ascii="Arial" w:eastAsia="Times New Roman" w:hAnsi="Arial" w:cs="Arial"/>
          <w:b/>
          <w:bCs/>
          <w:color w:val="000000"/>
          <w:sz w:val="24"/>
          <w:szCs w:val="24"/>
          <w:lang w:eastAsia="en-GB"/>
        </w:rPr>
        <w:t>Care home support</w:t>
      </w:r>
      <w:r w:rsidR="003941CC" w:rsidRPr="003941CC">
        <w:rPr>
          <w:rFonts w:ascii="Arial" w:eastAsia="Times New Roman" w:hAnsi="Arial" w:cs="Arial"/>
          <w:b/>
          <w:bCs/>
          <w:color w:val="000000"/>
          <w:sz w:val="26"/>
          <w:szCs w:val="26"/>
          <w:lang w:eastAsia="en-GB"/>
        </w:rPr>
        <w:t xml:space="preserve"> </w:t>
      </w:r>
    </w:p>
    <w:p w14:paraId="20B15098" w14:textId="4D6D8ED1" w:rsidR="001C0A05" w:rsidRDefault="001C0A05" w:rsidP="00DC54F7">
      <w:pPr>
        <w:shd w:val="clear" w:color="auto" w:fill="FFFFFF"/>
        <w:spacing w:after="0" w:line="240" w:lineRule="auto"/>
        <w:jc w:val="both"/>
        <w:rPr>
          <w:rFonts w:ascii="Arial" w:eastAsia="Times New Roman" w:hAnsi="Arial" w:cs="Arial"/>
          <w:b/>
          <w:bCs/>
          <w:color w:val="000000"/>
          <w:sz w:val="26"/>
          <w:szCs w:val="26"/>
          <w:lang w:eastAsia="en-GB"/>
        </w:rPr>
      </w:pPr>
    </w:p>
    <w:p w14:paraId="7F0CB938" w14:textId="72A7BB26" w:rsidR="001C0A05" w:rsidRPr="008B2B47" w:rsidRDefault="001C0A05" w:rsidP="00DC54F7">
      <w:pPr>
        <w:shd w:val="clear" w:color="auto" w:fill="FFFFFF"/>
        <w:spacing w:after="0" w:line="240" w:lineRule="auto"/>
        <w:jc w:val="both"/>
        <w:rPr>
          <w:rFonts w:ascii="Arial" w:hAnsi="Arial" w:cs="Arial"/>
          <w:sz w:val="24"/>
          <w:szCs w:val="24"/>
        </w:rPr>
      </w:pPr>
      <w:r w:rsidRPr="008B2B47">
        <w:rPr>
          <w:rFonts w:ascii="Arial" w:hAnsi="Arial" w:cs="Arial"/>
          <w:sz w:val="24"/>
          <w:szCs w:val="24"/>
        </w:rPr>
        <w:t xml:space="preserve">The </w:t>
      </w:r>
      <w:r w:rsidR="00252F95" w:rsidRPr="008B2B47">
        <w:rPr>
          <w:rFonts w:ascii="Arial" w:hAnsi="Arial" w:cs="Arial"/>
          <w:sz w:val="24"/>
          <w:szCs w:val="24"/>
        </w:rPr>
        <w:t xml:space="preserve">enhanced service </w:t>
      </w:r>
      <w:r w:rsidR="00470EBE" w:rsidRPr="008B2B47">
        <w:rPr>
          <w:rFonts w:ascii="Arial" w:hAnsi="Arial" w:cs="Arial"/>
          <w:sz w:val="24"/>
          <w:szCs w:val="24"/>
        </w:rPr>
        <w:t>supports the safe ordering, supply, storage</w:t>
      </w:r>
      <w:r w:rsidR="00F9318A" w:rsidRPr="008B2B47">
        <w:rPr>
          <w:rFonts w:ascii="Arial" w:hAnsi="Arial" w:cs="Arial"/>
          <w:sz w:val="24"/>
          <w:szCs w:val="24"/>
        </w:rPr>
        <w:t xml:space="preserve"> and </w:t>
      </w:r>
      <w:r w:rsidR="00470EBE" w:rsidRPr="008B2B47">
        <w:rPr>
          <w:rFonts w:ascii="Arial" w:hAnsi="Arial" w:cs="Arial"/>
          <w:sz w:val="24"/>
          <w:szCs w:val="24"/>
        </w:rPr>
        <w:t xml:space="preserve">administration of medicines and appliances </w:t>
      </w:r>
      <w:r w:rsidR="008A30BE" w:rsidRPr="008B2B47">
        <w:rPr>
          <w:rFonts w:ascii="Arial" w:hAnsi="Arial" w:cs="Arial"/>
          <w:sz w:val="24"/>
          <w:szCs w:val="24"/>
        </w:rPr>
        <w:t>within care home</w:t>
      </w:r>
      <w:r w:rsidR="00D73804" w:rsidRPr="008B2B47">
        <w:rPr>
          <w:rFonts w:ascii="Arial" w:hAnsi="Arial" w:cs="Arial"/>
          <w:sz w:val="24"/>
          <w:szCs w:val="24"/>
        </w:rPr>
        <w:t>s</w:t>
      </w:r>
      <w:r w:rsidR="008A30BE" w:rsidRPr="008B2B47">
        <w:rPr>
          <w:rFonts w:ascii="Arial" w:hAnsi="Arial" w:cs="Arial"/>
          <w:sz w:val="24"/>
          <w:szCs w:val="24"/>
        </w:rPr>
        <w:t xml:space="preserve">.  </w:t>
      </w:r>
      <w:r w:rsidR="00D73804" w:rsidRPr="008B2B47">
        <w:rPr>
          <w:rFonts w:ascii="Arial" w:hAnsi="Arial" w:cs="Arial"/>
          <w:sz w:val="24"/>
          <w:szCs w:val="24"/>
        </w:rPr>
        <w:t xml:space="preserve">It involves </w:t>
      </w:r>
      <w:r w:rsidR="00757CDA" w:rsidRPr="008B2B47">
        <w:rPr>
          <w:rFonts w:ascii="Arial" w:hAnsi="Arial" w:cs="Arial"/>
          <w:sz w:val="24"/>
          <w:szCs w:val="24"/>
        </w:rPr>
        <w:t xml:space="preserve">a systematic </w:t>
      </w:r>
      <w:r w:rsidRPr="008B2B47">
        <w:rPr>
          <w:rFonts w:ascii="Arial" w:hAnsi="Arial" w:cs="Arial"/>
          <w:sz w:val="24"/>
          <w:szCs w:val="24"/>
        </w:rPr>
        <w:t xml:space="preserve">review of all medicine management processes in the care home and </w:t>
      </w:r>
      <w:r w:rsidR="00754FBA" w:rsidRPr="008B2B47">
        <w:rPr>
          <w:rFonts w:ascii="Arial" w:hAnsi="Arial" w:cs="Arial"/>
          <w:sz w:val="24"/>
          <w:szCs w:val="24"/>
        </w:rPr>
        <w:t xml:space="preserve">the </w:t>
      </w:r>
      <w:r w:rsidR="00F23FB2" w:rsidRPr="008B2B47">
        <w:rPr>
          <w:rFonts w:ascii="Arial" w:hAnsi="Arial" w:cs="Arial"/>
          <w:sz w:val="24"/>
          <w:szCs w:val="24"/>
        </w:rPr>
        <w:t xml:space="preserve">development </w:t>
      </w:r>
      <w:r w:rsidRPr="008B2B47">
        <w:rPr>
          <w:rFonts w:ascii="Arial" w:hAnsi="Arial" w:cs="Arial"/>
          <w:sz w:val="24"/>
          <w:szCs w:val="24"/>
        </w:rPr>
        <w:t xml:space="preserve">of </w:t>
      </w:r>
      <w:r w:rsidR="00F23FB2" w:rsidRPr="008B2B47">
        <w:rPr>
          <w:rFonts w:ascii="Arial" w:hAnsi="Arial" w:cs="Arial"/>
          <w:sz w:val="24"/>
          <w:szCs w:val="24"/>
        </w:rPr>
        <w:t xml:space="preserve">medicines </w:t>
      </w:r>
      <w:r w:rsidRPr="008B2B47">
        <w:rPr>
          <w:rFonts w:ascii="Arial" w:hAnsi="Arial" w:cs="Arial"/>
          <w:sz w:val="24"/>
          <w:szCs w:val="24"/>
        </w:rPr>
        <w:t xml:space="preserve">protocols </w:t>
      </w:r>
      <w:r w:rsidR="00723955" w:rsidRPr="008B2B47">
        <w:rPr>
          <w:rFonts w:ascii="Arial" w:hAnsi="Arial" w:cs="Arial"/>
          <w:sz w:val="24"/>
          <w:szCs w:val="24"/>
        </w:rPr>
        <w:t>and</w:t>
      </w:r>
      <w:r w:rsidRPr="008B2B47">
        <w:rPr>
          <w:rFonts w:ascii="Arial" w:hAnsi="Arial" w:cs="Arial"/>
          <w:sz w:val="24"/>
          <w:szCs w:val="24"/>
        </w:rPr>
        <w:t xml:space="preserve"> procedures</w:t>
      </w:r>
      <w:r w:rsidR="00231F66" w:rsidRPr="008B2B47">
        <w:rPr>
          <w:rFonts w:ascii="Arial" w:hAnsi="Arial" w:cs="Arial"/>
          <w:sz w:val="24"/>
          <w:szCs w:val="24"/>
        </w:rPr>
        <w:t xml:space="preserve"> </w:t>
      </w:r>
      <w:r w:rsidR="00A065B1" w:rsidRPr="008B2B47">
        <w:rPr>
          <w:rFonts w:ascii="Arial" w:hAnsi="Arial" w:cs="Arial"/>
          <w:sz w:val="24"/>
          <w:szCs w:val="24"/>
        </w:rPr>
        <w:t xml:space="preserve">to support </w:t>
      </w:r>
      <w:r w:rsidR="005449F5" w:rsidRPr="008B2B47">
        <w:rPr>
          <w:rFonts w:ascii="Arial" w:hAnsi="Arial" w:cs="Arial"/>
          <w:sz w:val="24"/>
          <w:szCs w:val="24"/>
        </w:rPr>
        <w:t>effective use of medicines</w:t>
      </w:r>
      <w:r w:rsidR="00AA135D" w:rsidRPr="008B2B47">
        <w:rPr>
          <w:rFonts w:ascii="Arial" w:hAnsi="Arial" w:cs="Arial"/>
          <w:sz w:val="24"/>
          <w:szCs w:val="24"/>
        </w:rPr>
        <w:t xml:space="preserve">, </w:t>
      </w:r>
      <w:r w:rsidR="00831469" w:rsidRPr="008B2B47">
        <w:rPr>
          <w:rFonts w:ascii="Arial" w:hAnsi="Arial" w:cs="Arial"/>
          <w:sz w:val="24"/>
          <w:szCs w:val="24"/>
        </w:rPr>
        <w:t xml:space="preserve">reduction of risk and </w:t>
      </w:r>
      <w:r w:rsidR="00AA135D" w:rsidRPr="008B2B47">
        <w:rPr>
          <w:rFonts w:ascii="Arial" w:hAnsi="Arial" w:cs="Arial"/>
          <w:sz w:val="24"/>
          <w:szCs w:val="24"/>
        </w:rPr>
        <w:t xml:space="preserve">reductions of </w:t>
      </w:r>
      <w:r w:rsidR="003D5577" w:rsidRPr="008B2B47">
        <w:rPr>
          <w:rFonts w:ascii="Arial" w:hAnsi="Arial" w:cs="Arial"/>
          <w:sz w:val="24"/>
          <w:szCs w:val="24"/>
        </w:rPr>
        <w:t>avoidable waste.</w:t>
      </w:r>
      <w:r w:rsidRPr="008B2B47">
        <w:rPr>
          <w:rFonts w:ascii="Arial" w:hAnsi="Arial" w:cs="Arial"/>
          <w:sz w:val="24"/>
          <w:szCs w:val="24"/>
        </w:rPr>
        <w:t xml:space="preserve"> </w:t>
      </w:r>
    </w:p>
    <w:p w14:paraId="7EF36694" w14:textId="77777777" w:rsidR="00E52549" w:rsidRDefault="00E52549" w:rsidP="00DC54F7">
      <w:pPr>
        <w:shd w:val="clear" w:color="auto" w:fill="FFFFFF"/>
        <w:spacing w:after="0" w:line="240" w:lineRule="auto"/>
        <w:jc w:val="both"/>
        <w:rPr>
          <w:rFonts w:ascii="Calibri" w:eastAsia="Times New Roman" w:hAnsi="Calibri" w:cs="Calibri"/>
          <w:color w:val="000000"/>
          <w:lang w:eastAsia="en-GB"/>
        </w:rPr>
      </w:pPr>
    </w:p>
    <w:p w14:paraId="1621930F" w14:textId="1EE224F1" w:rsidR="00BA54F9" w:rsidRPr="00CF3B83" w:rsidRDefault="00BA54F9" w:rsidP="00DC54F7">
      <w:pPr>
        <w:shd w:val="clear" w:color="auto" w:fill="FFFFFF"/>
        <w:spacing w:after="0" w:line="240" w:lineRule="auto"/>
        <w:jc w:val="both"/>
        <w:rPr>
          <w:rFonts w:ascii="Calibri" w:eastAsia="Times New Roman" w:hAnsi="Calibri" w:cs="Calibri"/>
          <w:color w:val="000000"/>
          <w:lang w:eastAsia="en-GB"/>
        </w:rPr>
      </w:pPr>
    </w:p>
    <w:p w14:paraId="1B7B0C84" w14:textId="1BCCAD50" w:rsidR="00B35AD3" w:rsidRDefault="00B35AD3" w:rsidP="00DC54F7">
      <w:pPr>
        <w:spacing w:after="0" w:line="240" w:lineRule="auto"/>
        <w:jc w:val="both"/>
        <w:rPr>
          <w:rFonts w:ascii="Arial" w:hAnsi="Arial" w:cs="Arial"/>
          <w:b/>
          <w:sz w:val="26"/>
          <w:szCs w:val="26"/>
        </w:rPr>
      </w:pPr>
      <w:r w:rsidRPr="00D17B57">
        <w:rPr>
          <w:rFonts w:ascii="Arial" w:hAnsi="Arial" w:cs="Arial"/>
          <w:b/>
          <w:sz w:val="26"/>
          <w:szCs w:val="26"/>
        </w:rPr>
        <w:t>7.1</w:t>
      </w:r>
      <w:r>
        <w:rPr>
          <w:rFonts w:ascii="Arial" w:hAnsi="Arial" w:cs="Arial"/>
          <w:b/>
          <w:sz w:val="26"/>
          <w:szCs w:val="26"/>
        </w:rPr>
        <w:t xml:space="preserve">2 </w:t>
      </w:r>
      <w:r w:rsidRPr="002B04BB">
        <w:rPr>
          <w:rFonts w:ascii="Arial" w:hAnsi="Arial" w:cs="Arial"/>
          <w:b/>
          <w:sz w:val="24"/>
          <w:szCs w:val="24"/>
        </w:rPr>
        <w:t>Independent Prescribing</w:t>
      </w:r>
      <w:r>
        <w:rPr>
          <w:rFonts w:ascii="Arial" w:hAnsi="Arial" w:cs="Arial"/>
          <w:b/>
          <w:sz w:val="26"/>
          <w:szCs w:val="26"/>
        </w:rPr>
        <w:t xml:space="preserve"> </w:t>
      </w:r>
    </w:p>
    <w:p w14:paraId="4589324D" w14:textId="3B5B9D3F" w:rsidR="0066473C" w:rsidRDefault="0066473C" w:rsidP="00DC54F7">
      <w:pPr>
        <w:spacing w:after="0" w:line="240" w:lineRule="auto"/>
        <w:jc w:val="both"/>
        <w:rPr>
          <w:rFonts w:ascii="Arial" w:hAnsi="Arial" w:cs="Arial"/>
          <w:b/>
          <w:sz w:val="26"/>
          <w:szCs w:val="26"/>
        </w:rPr>
      </w:pPr>
    </w:p>
    <w:p w14:paraId="44AC5B98" w14:textId="4D7CDBD0" w:rsidR="0066473C" w:rsidRPr="008B2B47" w:rsidRDefault="0066473C" w:rsidP="00DC54F7">
      <w:pPr>
        <w:spacing w:after="0" w:line="240" w:lineRule="auto"/>
        <w:jc w:val="both"/>
        <w:rPr>
          <w:rFonts w:ascii="Arial" w:hAnsi="Arial" w:cs="Arial"/>
          <w:b/>
          <w:sz w:val="24"/>
          <w:szCs w:val="24"/>
        </w:rPr>
      </w:pPr>
      <w:r w:rsidRPr="008B2B47">
        <w:rPr>
          <w:rFonts w:ascii="Arial" w:hAnsi="Arial" w:cs="Arial"/>
          <w:sz w:val="24"/>
          <w:szCs w:val="24"/>
        </w:rPr>
        <w:t>Pharmacist independent prescribers may prescribe any licensed medicine for any medical condition, within their therapeutic area of competence.</w:t>
      </w:r>
    </w:p>
    <w:p w14:paraId="5A9BD46E" w14:textId="77777777" w:rsidR="00B35AD3" w:rsidRPr="008B2B47" w:rsidRDefault="00B35AD3" w:rsidP="00DC54F7">
      <w:pPr>
        <w:shd w:val="clear" w:color="auto" w:fill="FFFFFF"/>
        <w:spacing w:before="100" w:beforeAutospacing="1" w:after="100" w:afterAutospacing="1" w:line="240" w:lineRule="auto"/>
        <w:jc w:val="both"/>
        <w:rPr>
          <w:rFonts w:ascii="Arial" w:eastAsia="Times New Roman" w:hAnsi="Arial" w:cs="Arial"/>
          <w:color w:val="000000"/>
          <w:sz w:val="24"/>
          <w:szCs w:val="24"/>
          <w:lang w:eastAsia="en-GB"/>
        </w:rPr>
      </w:pPr>
      <w:r w:rsidRPr="008B2B47">
        <w:rPr>
          <w:rFonts w:ascii="Arial" w:eastAsia="Times New Roman" w:hAnsi="Arial" w:cs="Arial"/>
          <w:color w:val="000000"/>
          <w:sz w:val="24"/>
          <w:szCs w:val="24"/>
          <w:lang w:eastAsia="en-GB"/>
        </w:rPr>
        <w:t xml:space="preserve">Community pharmacy and health boards across Wales were given the opportunity by the Welsh Government to develop pathfinder sites and pilot new services that could utilise community pharmacists and independent pharmacist prescribers in community pharmacy. In conjunction with the Department of Sexual Health (DOSH), Cardiff and Vale University Health Board developed a community pharmacy oral contraceptive service. In 2020, the health board launched an independent prescriber oral contraception service within four community pharmacies, with plans to extend to six sites by 2022. </w:t>
      </w:r>
    </w:p>
    <w:p w14:paraId="27316DCF" w14:textId="069E5C32" w:rsidR="00B35AD3" w:rsidRPr="008B2B47" w:rsidRDefault="00B35AD3" w:rsidP="00DC54F7">
      <w:pPr>
        <w:shd w:val="clear" w:color="auto" w:fill="FFFFFF"/>
        <w:spacing w:after="0" w:line="240" w:lineRule="auto"/>
        <w:jc w:val="both"/>
        <w:rPr>
          <w:rFonts w:ascii="Arial" w:eastAsia="Times New Roman" w:hAnsi="Arial" w:cs="Arial"/>
          <w:color w:val="000000"/>
          <w:sz w:val="24"/>
          <w:szCs w:val="24"/>
          <w:lang w:eastAsia="en-GB"/>
        </w:rPr>
      </w:pPr>
      <w:bookmarkStart w:id="36" w:name="_Hlk65757179"/>
      <w:r w:rsidRPr="008B2B47">
        <w:rPr>
          <w:rFonts w:ascii="Arial" w:eastAsia="Times New Roman" w:hAnsi="Arial" w:cs="Arial"/>
          <w:color w:val="000000"/>
          <w:sz w:val="24"/>
          <w:szCs w:val="24"/>
          <w:lang w:eastAsia="en-GB"/>
        </w:rPr>
        <w:t>Cardiff and Vale University Health Board also plan to launch an independent prescriber acute conditions service within an additional four community pharmacies in 2021.</w:t>
      </w:r>
      <w:r w:rsidR="00CD61B2" w:rsidRPr="008B2B47">
        <w:rPr>
          <w:sz w:val="24"/>
          <w:szCs w:val="24"/>
        </w:rPr>
        <w:t xml:space="preserve"> </w:t>
      </w:r>
      <w:r w:rsidR="00CD61B2" w:rsidRPr="008B2B47">
        <w:rPr>
          <w:rFonts w:ascii="Arial" w:hAnsi="Arial" w:cs="Arial"/>
          <w:sz w:val="24"/>
          <w:szCs w:val="24"/>
        </w:rPr>
        <w:t>T</w:t>
      </w:r>
      <w:r w:rsidR="008739C4" w:rsidRPr="008B2B47">
        <w:rPr>
          <w:rFonts w:ascii="Arial" w:hAnsi="Arial" w:cs="Arial"/>
          <w:sz w:val="24"/>
          <w:szCs w:val="24"/>
        </w:rPr>
        <w:t xml:space="preserve">he acute conditions service </w:t>
      </w:r>
      <w:r w:rsidR="00E752B5" w:rsidRPr="008B2B47">
        <w:rPr>
          <w:rFonts w:ascii="Arial" w:hAnsi="Arial" w:cs="Arial"/>
          <w:sz w:val="24"/>
          <w:szCs w:val="24"/>
        </w:rPr>
        <w:t xml:space="preserve">will </w:t>
      </w:r>
      <w:r w:rsidR="00CD61B2" w:rsidRPr="008B2B47">
        <w:rPr>
          <w:rFonts w:ascii="Arial" w:hAnsi="Arial" w:cs="Arial"/>
          <w:sz w:val="24"/>
          <w:szCs w:val="24"/>
        </w:rPr>
        <w:t>provide patients presenting in the community pharmacy with a relevant acute condition access to effective advice and treatment, provided by a community pharmacist independent prescriber</w:t>
      </w:r>
      <w:r w:rsidR="00E752B5" w:rsidRPr="008B2B47">
        <w:rPr>
          <w:rFonts w:ascii="Arial" w:hAnsi="Arial" w:cs="Arial"/>
          <w:sz w:val="24"/>
          <w:szCs w:val="24"/>
        </w:rPr>
        <w:t xml:space="preserve">. The service will </w:t>
      </w:r>
      <w:r w:rsidR="00CD61B2" w:rsidRPr="008B2B47">
        <w:rPr>
          <w:rFonts w:ascii="Arial" w:hAnsi="Arial" w:cs="Arial"/>
          <w:sz w:val="24"/>
          <w:szCs w:val="24"/>
        </w:rPr>
        <w:t>support a ‘community pharmacy first’ model of care, to reduce the number of patients consulting their GP for acute conditions that can be appropriately managed in the community pharmacy setting.</w:t>
      </w:r>
    </w:p>
    <w:bookmarkEnd w:id="36"/>
    <w:p w14:paraId="52AEEB05" w14:textId="77777777" w:rsidR="00B35AD3" w:rsidRPr="008B2B47" w:rsidRDefault="00B35AD3" w:rsidP="00DC54F7">
      <w:pPr>
        <w:shd w:val="clear" w:color="auto" w:fill="FFFFFF"/>
        <w:spacing w:after="0" w:line="240" w:lineRule="auto"/>
        <w:jc w:val="both"/>
        <w:rPr>
          <w:rFonts w:ascii="Arial" w:eastAsia="Times New Roman" w:hAnsi="Arial" w:cs="Arial"/>
          <w:color w:val="000000"/>
          <w:sz w:val="24"/>
          <w:szCs w:val="24"/>
          <w:lang w:eastAsia="en-GB"/>
        </w:rPr>
      </w:pPr>
    </w:p>
    <w:p w14:paraId="6BA32CD3" w14:textId="77777777" w:rsidR="003941CC" w:rsidRPr="003941CC" w:rsidRDefault="003941CC" w:rsidP="00DC54F7">
      <w:pPr>
        <w:shd w:val="clear" w:color="auto" w:fill="FFFFFF"/>
        <w:spacing w:after="0" w:line="240" w:lineRule="auto"/>
        <w:jc w:val="both"/>
        <w:rPr>
          <w:rFonts w:ascii="Arial" w:eastAsia="Times New Roman" w:hAnsi="Arial" w:cs="Arial"/>
          <w:color w:val="000000"/>
          <w:sz w:val="21"/>
          <w:szCs w:val="21"/>
          <w:lang w:eastAsia="en-GB"/>
        </w:rPr>
      </w:pPr>
      <w:r w:rsidRPr="003941CC">
        <w:rPr>
          <w:rFonts w:ascii="Calibri" w:eastAsia="Times New Roman" w:hAnsi="Calibri" w:cs="Calibri"/>
          <w:color w:val="1F497D"/>
          <w:lang w:eastAsia="en-GB"/>
        </w:rPr>
        <w:t> </w:t>
      </w:r>
    </w:p>
    <w:p w14:paraId="3191C284" w14:textId="4554CC27" w:rsidR="00906368" w:rsidRPr="008B2B47" w:rsidRDefault="003941CC" w:rsidP="00DC54F7">
      <w:pPr>
        <w:shd w:val="clear" w:color="auto" w:fill="FFFFFF"/>
        <w:jc w:val="both"/>
        <w:rPr>
          <w:rFonts w:ascii="Arial" w:hAnsi="Arial" w:cs="Arial"/>
          <w:color w:val="000000"/>
          <w:sz w:val="26"/>
          <w:szCs w:val="26"/>
        </w:rPr>
      </w:pPr>
      <w:r w:rsidRPr="003941CC">
        <w:rPr>
          <w:rFonts w:ascii="Calibri" w:eastAsia="Times New Roman" w:hAnsi="Calibri" w:cs="Calibri"/>
          <w:color w:val="1F497D"/>
          <w:lang w:eastAsia="en-GB"/>
        </w:rPr>
        <w:t> </w:t>
      </w:r>
      <w:r w:rsidR="00986417" w:rsidRPr="008B2B47">
        <w:rPr>
          <w:rFonts w:ascii="Arial" w:hAnsi="Arial" w:cs="Arial"/>
          <w:b/>
          <w:bCs/>
          <w:color w:val="000000"/>
          <w:sz w:val="26"/>
          <w:szCs w:val="26"/>
        </w:rPr>
        <w:t xml:space="preserve">7.13 </w:t>
      </w:r>
      <w:r w:rsidR="00986417" w:rsidRPr="002B04BB">
        <w:rPr>
          <w:rFonts w:ascii="Arial" w:hAnsi="Arial" w:cs="Arial"/>
          <w:b/>
          <w:bCs/>
          <w:color w:val="000000"/>
          <w:sz w:val="24"/>
          <w:szCs w:val="24"/>
        </w:rPr>
        <w:t xml:space="preserve">Palliative </w:t>
      </w:r>
      <w:r w:rsidR="00E813AF" w:rsidRPr="002B04BB">
        <w:rPr>
          <w:rFonts w:ascii="Arial" w:hAnsi="Arial" w:cs="Arial"/>
          <w:b/>
          <w:bCs/>
          <w:color w:val="000000"/>
          <w:sz w:val="24"/>
          <w:szCs w:val="24"/>
        </w:rPr>
        <w:t>C</w:t>
      </w:r>
      <w:r w:rsidR="00986417" w:rsidRPr="002B04BB">
        <w:rPr>
          <w:rFonts w:ascii="Arial" w:hAnsi="Arial" w:cs="Arial"/>
          <w:b/>
          <w:bCs/>
          <w:color w:val="000000"/>
          <w:sz w:val="24"/>
          <w:szCs w:val="24"/>
        </w:rPr>
        <w:t>are Service</w:t>
      </w:r>
    </w:p>
    <w:p w14:paraId="0F157625" w14:textId="289738DD" w:rsidR="00906368" w:rsidRPr="008B2B47" w:rsidRDefault="00906368" w:rsidP="00DC54F7">
      <w:pPr>
        <w:shd w:val="clear" w:color="auto" w:fill="FFFFFF"/>
        <w:spacing w:after="0" w:line="240" w:lineRule="auto"/>
        <w:jc w:val="both"/>
        <w:rPr>
          <w:rFonts w:ascii="Arial" w:eastAsia="Times New Roman" w:hAnsi="Arial" w:cs="Arial"/>
          <w:color w:val="000000"/>
          <w:sz w:val="24"/>
          <w:szCs w:val="24"/>
          <w:lang w:eastAsia="en-GB"/>
        </w:rPr>
      </w:pPr>
      <w:r w:rsidRPr="008B2B47">
        <w:rPr>
          <w:rFonts w:ascii="Arial" w:eastAsia="Times New Roman" w:hAnsi="Arial" w:cs="Arial"/>
          <w:color w:val="000000"/>
          <w:sz w:val="24"/>
          <w:szCs w:val="24"/>
          <w:lang w:eastAsia="en-GB"/>
        </w:rPr>
        <w:t xml:space="preserve">Access to palliative care medications in hours is required </w:t>
      </w:r>
      <w:r w:rsidR="00C06506" w:rsidRPr="008B2B47">
        <w:rPr>
          <w:rFonts w:ascii="Arial" w:eastAsia="Times New Roman" w:hAnsi="Arial" w:cs="Arial"/>
          <w:color w:val="000000"/>
          <w:sz w:val="24"/>
          <w:szCs w:val="24"/>
          <w:lang w:eastAsia="en-GB"/>
        </w:rPr>
        <w:t xml:space="preserve">to support </w:t>
      </w:r>
      <w:r w:rsidRPr="008B2B47">
        <w:rPr>
          <w:rFonts w:ascii="Arial" w:eastAsia="Times New Roman" w:hAnsi="Arial" w:cs="Arial"/>
          <w:color w:val="000000"/>
          <w:sz w:val="24"/>
          <w:szCs w:val="24"/>
          <w:lang w:eastAsia="en-GB"/>
        </w:rPr>
        <w:t xml:space="preserve">the care of patients whose condition is deteriorating </w:t>
      </w:r>
      <w:r w:rsidR="002A66B8" w:rsidRPr="008B2B47">
        <w:rPr>
          <w:rFonts w:ascii="Arial" w:eastAsia="Times New Roman" w:hAnsi="Arial" w:cs="Arial"/>
          <w:color w:val="000000"/>
          <w:sz w:val="24"/>
          <w:szCs w:val="24"/>
          <w:lang w:eastAsia="en-GB"/>
        </w:rPr>
        <w:t>unexpect</w:t>
      </w:r>
      <w:r w:rsidR="001E4A0A" w:rsidRPr="008B2B47">
        <w:rPr>
          <w:rFonts w:ascii="Arial" w:eastAsia="Times New Roman" w:hAnsi="Arial" w:cs="Arial"/>
          <w:color w:val="000000"/>
          <w:sz w:val="24"/>
          <w:szCs w:val="24"/>
          <w:lang w:eastAsia="en-GB"/>
        </w:rPr>
        <w:t xml:space="preserve">edly. </w:t>
      </w:r>
      <w:r w:rsidR="008E0466" w:rsidRPr="008B2B47">
        <w:rPr>
          <w:rFonts w:ascii="Arial" w:eastAsia="Times New Roman" w:hAnsi="Arial" w:cs="Arial"/>
          <w:color w:val="000000"/>
          <w:sz w:val="24"/>
          <w:szCs w:val="24"/>
          <w:lang w:eastAsia="en-GB"/>
        </w:rPr>
        <w:t>Palliative care m</w:t>
      </w:r>
      <w:r w:rsidRPr="008B2B47">
        <w:rPr>
          <w:rFonts w:ascii="Arial" w:eastAsia="Times New Roman" w:hAnsi="Arial" w:cs="Arial"/>
          <w:color w:val="000000"/>
          <w:sz w:val="24"/>
          <w:szCs w:val="24"/>
          <w:lang w:eastAsia="en-GB"/>
        </w:rPr>
        <w:t>edicines are not necessarily stocked routinely by all pharmacies, meaning that sometimes patients must visit more than one pharmacy to access all the medicines needed.  This service ensures prompt and effective access to a range of palliative care medicines within normal working hours with minimal inconvenience to patients and professionals, by identifying key pharmacies that have agreed to hold a specific stock list of palliative care medicines.</w:t>
      </w:r>
    </w:p>
    <w:p w14:paraId="3EF25DFE" w14:textId="0E0A05EB" w:rsidR="00F937AF" w:rsidRPr="008B2B47" w:rsidRDefault="00F937AF" w:rsidP="00DC54F7">
      <w:pPr>
        <w:spacing w:after="0" w:line="240" w:lineRule="auto"/>
        <w:jc w:val="both"/>
        <w:rPr>
          <w:rFonts w:ascii="Arial" w:eastAsiaTheme="majorEastAsia" w:hAnsi="Arial" w:cs="Arial"/>
          <w:b/>
          <w:bCs/>
          <w:color w:val="942D83"/>
          <w:sz w:val="24"/>
          <w:szCs w:val="24"/>
        </w:rPr>
      </w:pPr>
      <w:r w:rsidRPr="008B2B47">
        <w:rPr>
          <w:rFonts w:ascii="Arial" w:hAnsi="Arial" w:cs="Arial"/>
          <w:color w:val="942D83"/>
          <w:sz w:val="24"/>
          <w:szCs w:val="24"/>
        </w:rPr>
        <w:br w:type="page"/>
      </w:r>
    </w:p>
    <w:p w14:paraId="730CA3FA" w14:textId="0C4AB503" w:rsidR="00D543D1" w:rsidRPr="00A10850" w:rsidRDefault="006B7D30" w:rsidP="00DC54F7">
      <w:pPr>
        <w:pStyle w:val="Heading1"/>
        <w:spacing w:before="0" w:line="240" w:lineRule="auto"/>
        <w:jc w:val="both"/>
        <w:rPr>
          <w:rFonts w:cs="Arial"/>
          <w:color w:val="auto"/>
        </w:rPr>
      </w:pPr>
      <w:bookmarkStart w:id="37" w:name="_Toc81585102"/>
      <w:r w:rsidRPr="00A10850">
        <w:rPr>
          <w:rFonts w:cs="Arial"/>
          <w:color w:val="auto"/>
        </w:rPr>
        <w:lastRenderedPageBreak/>
        <w:t>8</w:t>
      </w:r>
      <w:r w:rsidR="00D543D1" w:rsidRPr="00A10850">
        <w:rPr>
          <w:rFonts w:cs="Arial"/>
          <w:color w:val="auto"/>
        </w:rPr>
        <w:t xml:space="preserve"> </w:t>
      </w:r>
      <w:r w:rsidR="00B54A5C">
        <w:rPr>
          <w:rFonts w:cs="Arial"/>
          <w:color w:val="auto"/>
        </w:rPr>
        <w:t>Cardiff East</w:t>
      </w:r>
      <w:r w:rsidR="00D543D1" w:rsidRPr="00A10850">
        <w:rPr>
          <w:rFonts w:cs="Arial"/>
          <w:color w:val="auto"/>
        </w:rPr>
        <w:t xml:space="preserve"> </w:t>
      </w:r>
      <w:r w:rsidR="00F56E8C">
        <w:rPr>
          <w:rFonts w:cs="Arial"/>
          <w:color w:val="auto"/>
        </w:rPr>
        <w:t>cluster</w:t>
      </w:r>
      <w:bookmarkEnd w:id="37"/>
    </w:p>
    <w:p w14:paraId="1B2AEC1C" w14:textId="6B52863A" w:rsidR="00A27D75" w:rsidRDefault="00A27D75" w:rsidP="00DC54F7">
      <w:pPr>
        <w:spacing w:after="0" w:line="240" w:lineRule="auto"/>
        <w:jc w:val="both"/>
        <w:rPr>
          <w:highlight w:val="cyan"/>
        </w:rPr>
      </w:pPr>
    </w:p>
    <w:p w14:paraId="57F43ED4" w14:textId="77777777" w:rsidR="00185101" w:rsidRPr="00A27D75" w:rsidRDefault="00185101" w:rsidP="00DC54F7">
      <w:pPr>
        <w:spacing w:after="0" w:line="240" w:lineRule="auto"/>
        <w:jc w:val="both"/>
        <w:rPr>
          <w:highlight w:val="cyan"/>
        </w:rPr>
      </w:pPr>
    </w:p>
    <w:p w14:paraId="3E8F821A" w14:textId="247AD0A3" w:rsidR="00387CF2" w:rsidRDefault="006B7D30" w:rsidP="00DC54F7">
      <w:pPr>
        <w:spacing w:after="0" w:line="240" w:lineRule="auto"/>
        <w:jc w:val="both"/>
        <w:rPr>
          <w:rFonts w:ascii="Arial" w:hAnsi="Arial" w:cs="Arial"/>
          <w:b/>
          <w:sz w:val="26"/>
          <w:szCs w:val="26"/>
        </w:rPr>
      </w:pPr>
      <w:r w:rsidRPr="00A10850">
        <w:rPr>
          <w:rFonts w:ascii="Arial" w:hAnsi="Arial" w:cs="Arial"/>
          <w:b/>
          <w:sz w:val="26"/>
          <w:szCs w:val="26"/>
        </w:rPr>
        <w:t>8</w:t>
      </w:r>
      <w:r w:rsidR="002409F1" w:rsidRPr="00A10850">
        <w:rPr>
          <w:rFonts w:ascii="Arial" w:hAnsi="Arial" w:cs="Arial"/>
          <w:b/>
          <w:sz w:val="26"/>
          <w:szCs w:val="26"/>
        </w:rPr>
        <w:t>.1 Key facts</w:t>
      </w:r>
    </w:p>
    <w:p w14:paraId="67A31778" w14:textId="77777777" w:rsidR="00353926" w:rsidRDefault="00353926" w:rsidP="00DC54F7">
      <w:pPr>
        <w:spacing w:after="0" w:line="240" w:lineRule="auto"/>
        <w:jc w:val="both"/>
        <w:rPr>
          <w:rFonts w:ascii="Arial" w:hAnsi="Arial" w:cs="Arial"/>
          <w:b/>
        </w:rPr>
      </w:pPr>
    </w:p>
    <w:p w14:paraId="06E0E9AD" w14:textId="4ACD5C7F" w:rsidR="0008459A" w:rsidRPr="008C62FC" w:rsidRDefault="00380869" w:rsidP="00DC54F7">
      <w:pPr>
        <w:spacing w:after="0" w:line="240" w:lineRule="auto"/>
        <w:jc w:val="both"/>
        <w:rPr>
          <w:rFonts w:ascii="Arial" w:hAnsi="Arial" w:cs="Arial"/>
          <w:b/>
          <w:bCs/>
          <w:sz w:val="24"/>
          <w:szCs w:val="24"/>
        </w:rPr>
      </w:pPr>
      <w:r w:rsidRPr="008C62FC">
        <w:rPr>
          <w:rFonts w:ascii="Arial" w:hAnsi="Arial" w:cs="Arial"/>
          <w:b/>
          <w:bCs/>
          <w:sz w:val="24"/>
          <w:szCs w:val="24"/>
        </w:rPr>
        <w:t xml:space="preserve">8.1.1 </w:t>
      </w:r>
      <w:r w:rsidR="0008459A" w:rsidRPr="008C62FC">
        <w:rPr>
          <w:rFonts w:ascii="Arial" w:hAnsi="Arial" w:cs="Arial"/>
          <w:b/>
          <w:bCs/>
          <w:sz w:val="24"/>
          <w:szCs w:val="24"/>
        </w:rPr>
        <w:t xml:space="preserve">Population </w:t>
      </w:r>
      <w:r w:rsidR="00F23701" w:rsidRPr="008C62FC">
        <w:rPr>
          <w:rFonts w:ascii="Arial" w:hAnsi="Arial" w:cs="Arial"/>
          <w:b/>
          <w:bCs/>
          <w:sz w:val="24"/>
          <w:szCs w:val="24"/>
        </w:rPr>
        <w:t>and popu</w:t>
      </w:r>
      <w:r w:rsidR="002861BC" w:rsidRPr="008C62FC">
        <w:rPr>
          <w:rFonts w:ascii="Arial" w:hAnsi="Arial" w:cs="Arial"/>
          <w:b/>
          <w:bCs/>
          <w:sz w:val="24"/>
          <w:szCs w:val="24"/>
        </w:rPr>
        <w:t xml:space="preserve">lation </w:t>
      </w:r>
      <w:r w:rsidR="0008459A" w:rsidRPr="008C62FC">
        <w:rPr>
          <w:rFonts w:ascii="Arial" w:hAnsi="Arial" w:cs="Arial"/>
          <w:b/>
          <w:bCs/>
          <w:sz w:val="24"/>
          <w:szCs w:val="24"/>
        </w:rPr>
        <w:t>projections 2018 to 2028 (2018 based)</w:t>
      </w:r>
    </w:p>
    <w:p w14:paraId="5E4543D3" w14:textId="77777777" w:rsidR="00F23701" w:rsidRPr="008C62FC" w:rsidRDefault="00F23701" w:rsidP="00DC54F7">
      <w:pPr>
        <w:spacing w:after="0" w:line="240" w:lineRule="auto"/>
        <w:jc w:val="both"/>
        <w:rPr>
          <w:rFonts w:ascii="Arial" w:hAnsi="Arial" w:cs="Arial"/>
          <w:b/>
          <w:bCs/>
          <w:sz w:val="24"/>
          <w:szCs w:val="24"/>
        </w:rPr>
      </w:pPr>
    </w:p>
    <w:p w14:paraId="2247DC15" w14:textId="77777777" w:rsidR="00F23701" w:rsidRPr="008C62FC" w:rsidRDefault="00F23701" w:rsidP="00DC54F7">
      <w:pPr>
        <w:spacing w:after="0" w:line="240" w:lineRule="auto"/>
        <w:jc w:val="both"/>
        <w:rPr>
          <w:rFonts w:ascii="Arial" w:hAnsi="Arial" w:cs="Arial"/>
          <w:sz w:val="24"/>
          <w:szCs w:val="24"/>
        </w:rPr>
      </w:pPr>
      <w:r w:rsidRPr="008C62FC">
        <w:rPr>
          <w:rFonts w:ascii="Arial" w:hAnsi="Arial" w:cs="Arial"/>
          <w:sz w:val="24"/>
          <w:szCs w:val="24"/>
        </w:rPr>
        <w:t xml:space="preserve">As cluster level population data is not routinely collected on an annual basis, </w:t>
      </w:r>
    </w:p>
    <w:p w14:paraId="39D2D0B8" w14:textId="24359EA4" w:rsidR="00F23701" w:rsidRPr="008C62FC" w:rsidRDefault="00F23701" w:rsidP="00DC54F7">
      <w:pPr>
        <w:spacing w:after="0" w:line="240" w:lineRule="auto"/>
        <w:jc w:val="both"/>
        <w:rPr>
          <w:rFonts w:ascii="Arial" w:hAnsi="Arial" w:cs="Arial"/>
          <w:sz w:val="24"/>
          <w:szCs w:val="24"/>
        </w:rPr>
      </w:pPr>
      <w:r w:rsidRPr="008C62FC">
        <w:rPr>
          <w:rFonts w:ascii="Arial" w:hAnsi="Arial" w:cs="Arial"/>
          <w:sz w:val="24"/>
          <w:szCs w:val="24"/>
        </w:rPr>
        <w:t>GP registered</w:t>
      </w:r>
      <w:r w:rsidR="00EE5715" w:rsidRPr="008C62FC">
        <w:rPr>
          <w:rFonts w:ascii="Arial" w:hAnsi="Arial" w:cs="Arial"/>
          <w:sz w:val="24"/>
          <w:szCs w:val="24"/>
        </w:rPr>
        <w:t xml:space="preserve"> </w:t>
      </w:r>
      <w:r w:rsidR="004B147C" w:rsidRPr="008C62FC">
        <w:rPr>
          <w:rFonts w:ascii="Arial" w:hAnsi="Arial" w:cs="Arial"/>
          <w:sz w:val="24"/>
          <w:szCs w:val="24"/>
        </w:rPr>
        <w:t xml:space="preserve">patient </w:t>
      </w:r>
      <w:r w:rsidRPr="008C62FC">
        <w:rPr>
          <w:rFonts w:ascii="Arial" w:hAnsi="Arial" w:cs="Arial"/>
          <w:sz w:val="24"/>
          <w:szCs w:val="24"/>
        </w:rPr>
        <w:t>data has been used to provide an indication of cluster population, and local authority based data has been used to provide an indication of population projections.</w:t>
      </w:r>
    </w:p>
    <w:p w14:paraId="679DFA6F" w14:textId="77777777" w:rsidR="00F23701" w:rsidRPr="008C62FC" w:rsidRDefault="00F23701" w:rsidP="00DC54F7">
      <w:pPr>
        <w:spacing w:after="0" w:line="240" w:lineRule="auto"/>
        <w:jc w:val="both"/>
        <w:rPr>
          <w:rFonts w:ascii="Arial" w:hAnsi="Arial" w:cs="Arial"/>
          <w:sz w:val="24"/>
          <w:szCs w:val="24"/>
        </w:rPr>
      </w:pPr>
    </w:p>
    <w:p w14:paraId="329D5B21" w14:textId="77777777" w:rsidR="00F23701" w:rsidRPr="002861BC" w:rsidRDefault="00F23701" w:rsidP="00DC54F7">
      <w:pPr>
        <w:spacing w:after="0" w:line="240" w:lineRule="auto"/>
        <w:jc w:val="both"/>
        <w:rPr>
          <w:rFonts w:ascii="Arial" w:hAnsi="Arial" w:cs="Arial"/>
          <w:sz w:val="24"/>
          <w:szCs w:val="24"/>
        </w:rPr>
      </w:pPr>
      <w:r w:rsidRPr="008C62FC">
        <w:rPr>
          <w:rFonts w:ascii="Arial" w:hAnsi="Arial" w:cs="Arial"/>
          <w:sz w:val="24"/>
          <w:szCs w:val="24"/>
        </w:rPr>
        <w:t>Note that GP registered population data is higher than the corresponding census based mid-year population estimates provided by the Office of National Statistics (ONS) at the local authority and health board level, as outlined in section 2.2. This is most likely due to over registered or ‘ghost patients’ caused by many different factors.</w:t>
      </w:r>
    </w:p>
    <w:p w14:paraId="59BDBC8E" w14:textId="77777777" w:rsidR="00F23701" w:rsidRDefault="00F23701" w:rsidP="00DC54F7">
      <w:pPr>
        <w:spacing w:after="0" w:line="240" w:lineRule="auto"/>
        <w:jc w:val="both"/>
        <w:rPr>
          <w:rFonts w:ascii="Arial" w:hAnsi="Arial" w:cs="Arial"/>
          <w:b/>
          <w:i/>
          <w:iCs/>
          <w:sz w:val="24"/>
          <w:szCs w:val="24"/>
        </w:rPr>
      </w:pPr>
    </w:p>
    <w:p w14:paraId="292229C3" w14:textId="3B8B5A31" w:rsidR="003C262D" w:rsidRDefault="00F23701" w:rsidP="00DC54F7">
      <w:pPr>
        <w:spacing w:after="0" w:line="240" w:lineRule="auto"/>
        <w:jc w:val="both"/>
        <w:rPr>
          <w:rFonts w:ascii="Arial" w:hAnsi="Arial" w:cs="Arial"/>
          <w:b/>
          <w:sz w:val="24"/>
          <w:szCs w:val="24"/>
        </w:rPr>
      </w:pPr>
      <w:r w:rsidRPr="008C62FC">
        <w:rPr>
          <w:rFonts w:ascii="Arial" w:hAnsi="Arial" w:cs="Arial"/>
          <w:b/>
          <w:sz w:val="24"/>
          <w:szCs w:val="24"/>
        </w:rPr>
        <w:t xml:space="preserve">Table </w:t>
      </w:r>
      <w:r w:rsidR="001C71AB" w:rsidRPr="008C62FC">
        <w:rPr>
          <w:rFonts w:ascii="Arial" w:hAnsi="Arial" w:cs="Arial"/>
          <w:b/>
          <w:sz w:val="24"/>
          <w:szCs w:val="24"/>
        </w:rPr>
        <w:t>8</w:t>
      </w:r>
      <w:r w:rsidRPr="008C62FC">
        <w:rPr>
          <w:rFonts w:ascii="Arial" w:hAnsi="Arial" w:cs="Arial"/>
          <w:b/>
          <w:sz w:val="24"/>
          <w:szCs w:val="24"/>
        </w:rPr>
        <w:t>: Number of GP registered patients by gender and broad age groups and by cluster, local authority and health board (2019)</w:t>
      </w:r>
    </w:p>
    <w:tbl>
      <w:tblPr>
        <w:tblW w:w="9360" w:type="dxa"/>
        <w:tblLook w:val="04A0" w:firstRow="1" w:lastRow="0" w:firstColumn="1" w:lastColumn="0" w:noHBand="0" w:noVBand="1"/>
      </w:tblPr>
      <w:tblGrid>
        <w:gridCol w:w="2280"/>
        <w:gridCol w:w="1180"/>
        <w:gridCol w:w="1180"/>
        <w:gridCol w:w="1180"/>
        <w:gridCol w:w="1123"/>
        <w:gridCol w:w="997"/>
        <w:gridCol w:w="1420"/>
      </w:tblGrid>
      <w:tr w:rsidR="00627E74" w:rsidRPr="00627E74" w14:paraId="132EFA65" w14:textId="77777777" w:rsidTr="00627E74">
        <w:trPr>
          <w:trHeight w:val="290"/>
        </w:trPr>
        <w:tc>
          <w:tcPr>
            <w:tcW w:w="2280" w:type="dxa"/>
            <w:tcBorders>
              <w:top w:val="single" w:sz="4" w:space="0" w:color="auto"/>
              <w:left w:val="single" w:sz="4" w:space="0" w:color="auto"/>
              <w:bottom w:val="nil"/>
              <w:right w:val="nil"/>
            </w:tcBorders>
            <w:shd w:val="clear" w:color="000000" w:fill="8497B0"/>
            <w:noWrap/>
            <w:vAlign w:val="bottom"/>
            <w:hideMark/>
          </w:tcPr>
          <w:p w14:paraId="0310DEF3"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 </w:t>
            </w:r>
          </w:p>
        </w:tc>
        <w:tc>
          <w:tcPr>
            <w:tcW w:w="1180" w:type="dxa"/>
            <w:tcBorders>
              <w:top w:val="single" w:sz="4" w:space="0" w:color="auto"/>
              <w:left w:val="nil"/>
              <w:bottom w:val="nil"/>
              <w:right w:val="nil"/>
            </w:tcBorders>
            <w:shd w:val="clear" w:color="000000" w:fill="8497B0"/>
            <w:noWrap/>
            <w:vAlign w:val="bottom"/>
            <w:hideMark/>
          </w:tcPr>
          <w:p w14:paraId="3945BC43"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Year</w:t>
            </w:r>
          </w:p>
        </w:tc>
        <w:tc>
          <w:tcPr>
            <w:tcW w:w="2360" w:type="dxa"/>
            <w:gridSpan w:val="2"/>
            <w:tcBorders>
              <w:top w:val="single" w:sz="4" w:space="0" w:color="auto"/>
              <w:left w:val="nil"/>
              <w:bottom w:val="nil"/>
              <w:right w:val="nil"/>
            </w:tcBorders>
            <w:shd w:val="clear" w:color="000000" w:fill="8497B0"/>
            <w:noWrap/>
            <w:vAlign w:val="bottom"/>
            <w:hideMark/>
          </w:tcPr>
          <w:p w14:paraId="435421B8"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Gender</w:t>
            </w:r>
          </w:p>
        </w:tc>
        <w:tc>
          <w:tcPr>
            <w:tcW w:w="3540" w:type="dxa"/>
            <w:gridSpan w:val="3"/>
            <w:tcBorders>
              <w:top w:val="single" w:sz="4" w:space="0" w:color="auto"/>
              <w:left w:val="nil"/>
              <w:bottom w:val="nil"/>
              <w:right w:val="single" w:sz="4" w:space="0" w:color="000000"/>
            </w:tcBorders>
            <w:shd w:val="clear" w:color="000000" w:fill="8497B0"/>
            <w:noWrap/>
            <w:vAlign w:val="bottom"/>
            <w:hideMark/>
          </w:tcPr>
          <w:p w14:paraId="0D9E7659"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Age range</w:t>
            </w:r>
          </w:p>
        </w:tc>
      </w:tr>
      <w:tr w:rsidR="00627E74" w:rsidRPr="00627E74" w14:paraId="5416D378" w14:textId="77777777" w:rsidTr="00627E74">
        <w:trPr>
          <w:trHeight w:val="300"/>
        </w:trPr>
        <w:tc>
          <w:tcPr>
            <w:tcW w:w="2280" w:type="dxa"/>
            <w:tcBorders>
              <w:top w:val="nil"/>
              <w:left w:val="single" w:sz="4" w:space="0" w:color="auto"/>
              <w:bottom w:val="nil"/>
              <w:right w:val="nil"/>
            </w:tcBorders>
            <w:shd w:val="clear" w:color="000000" w:fill="8497B0"/>
            <w:noWrap/>
            <w:vAlign w:val="bottom"/>
            <w:hideMark/>
          </w:tcPr>
          <w:p w14:paraId="0C48A1CD"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 </w:t>
            </w:r>
          </w:p>
        </w:tc>
        <w:tc>
          <w:tcPr>
            <w:tcW w:w="1180" w:type="dxa"/>
            <w:tcBorders>
              <w:top w:val="nil"/>
              <w:left w:val="nil"/>
              <w:bottom w:val="nil"/>
              <w:right w:val="nil"/>
            </w:tcBorders>
            <w:shd w:val="clear" w:color="000000" w:fill="8497B0"/>
            <w:noWrap/>
            <w:vAlign w:val="bottom"/>
            <w:hideMark/>
          </w:tcPr>
          <w:p w14:paraId="5973F649"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2019</w:t>
            </w:r>
          </w:p>
        </w:tc>
        <w:tc>
          <w:tcPr>
            <w:tcW w:w="1180" w:type="dxa"/>
            <w:tcBorders>
              <w:top w:val="nil"/>
              <w:left w:val="nil"/>
              <w:bottom w:val="nil"/>
              <w:right w:val="nil"/>
            </w:tcBorders>
            <w:shd w:val="clear" w:color="000000" w:fill="8497B0"/>
            <w:noWrap/>
            <w:vAlign w:val="bottom"/>
            <w:hideMark/>
          </w:tcPr>
          <w:p w14:paraId="50BC2CEE"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Female</w:t>
            </w:r>
          </w:p>
        </w:tc>
        <w:tc>
          <w:tcPr>
            <w:tcW w:w="1180" w:type="dxa"/>
            <w:tcBorders>
              <w:top w:val="nil"/>
              <w:left w:val="nil"/>
              <w:bottom w:val="nil"/>
              <w:right w:val="nil"/>
            </w:tcBorders>
            <w:shd w:val="clear" w:color="000000" w:fill="8497B0"/>
            <w:noWrap/>
            <w:vAlign w:val="bottom"/>
            <w:hideMark/>
          </w:tcPr>
          <w:p w14:paraId="5E147B34"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Male</w:t>
            </w:r>
          </w:p>
        </w:tc>
        <w:tc>
          <w:tcPr>
            <w:tcW w:w="1123" w:type="dxa"/>
            <w:tcBorders>
              <w:top w:val="nil"/>
              <w:left w:val="nil"/>
              <w:bottom w:val="nil"/>
              <w:right w:val="nil"/>
            </w:tcBorders>
            <w:shd w:val="clear" w:color="000000" w:fill="8497B0"/>
            <w:noWrap/>
            <w:vAlign w:val="bottom"/>
            <w:hideMark/>
          </w:tcPr>
          <w:p w14:paraId="52C76470"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Under 65</w:t>
            </w:r>
          </w:p>
        </w:tc>
        <w:tc>
          <w:tcPr>
            <w:tcW w:w="997" w:type="dxa"/>
            <w:tcBorders>
              <w:top w:val="nil"/>
              <w:left w:val="nil"/>
              <w:bottom w:val="nil"/>
              <w:right w:val="nil"/>
            </w:tcBorders>
            <w:shd w:val="clear" w:color="000000" w:fill="8497B0"/>
            <w:noWrap/>
            <w:vAlign w:val="bottom"/>
            <w:hideMark/>
          </w:tcPr>
          <w:p w14:paraId="466501C4"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65 to 84</w:t>
            </w:r>
          </w:p>
        </w:tc>
        <w:tc>
          <w:tcPr>
            <w:tcW w:w="1420" w:type="dxa"/>
            <w:tcBorders>
              <w:top w:val="nil"/>
              <w:left w:val="nil"/>
              <w:bottom w:val="nil"/>
              <w:right w:val="single" w:sz="4" w:space="0" w:color="auto"/>
            </w:tcBorders>
            <w:shd w:val="clear" w:color="000000" w:fill="8497B0"/>
            <w:noWrap/>
            <w:vAlign w:val="bottom"/>
            <w:hideMark/>
          </w:tcPr>
          <w:p w14:paraId="2C019751"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85 and over</w:t>
            </w:r>
          </w:p>
        </w:tc>
      </w:tr>
      <w:tr w:rsidR="00627E74" w:rsidRPr="00627E74" w14:paraId="6E990454" w14:textId="77777777" w:rsidTr="00627E74">
        <w:trPr>
          <w:trHeight w:val="300"/>
        </w:trPr>
        <w:tc>
          <w:tcPr>
            <w:tcW w:w="2280" w:type="dxa"/>
            <w:tcBorders>
              <w:top w:val="nil"/>
              <w:left w:val="single" w:sz="4" w:space="0" w:color="auto"/>
              <w:bottom w:val="nil"/>
              <w:right w:val="nil"/>
            </w:tcBorders>
            <w:shd w:val="clear" w:color="000000" w:fill="F2F2F2"/>
            <w:noWrap/>
            <w:vAlign w:val="bottom"/>
            <w:hideMark/>
          </w:tcPr>
          <w:p w14:paraId="0ABB82A8"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Cardiff East</w:t>
            </w:r>
          </w:p>
        </w:tc>
        <w:tc>
          <w:tcPr>
            <w:tcW w:w="1180" w:type="dxa"/>
            <w:tcBorders>
              <w:top w:val="nil"/>
              <w:left w:val="nil"/>
              <w:bottom w:val="nil"/>
              <w:right w:val="nil"/>
            </w:tcBorders>
            <w:shd w:val="clear" w:color="000000" w:fill="F2F2F2"/>
            <w:noWrap/>
            <w:vAlign w:val="bottom"/>
            <w:hideMark/>
          </w:tcPr>
          <w:p w14:paraId="56901543"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57775</w:t>
            </w:r>
          </w:p>
        </w:tc>
        <w:tc>
          <w:tcPr>
            <w:tcW w:w="1180" w:type="dxa"/>
            <w:tcBorders>
              <w:top w:val="nil"/>
              <w:left w:val="nil"/>
              <w:bottom w:val="nil"/>
              <w:right w:val="nil"/>
            </w:tcBorders>
            <w:shd w:val="clear" w:color="000000" w:fill="F2F2F2"/>
            <w:noWrap/>
            <w:vAlign w:val="bottom"/>
            <w:hideMark/>
          </w:tcPr>
          <w:p w14:paraId="708C87F3"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29116</w:t>
            </w:r>
          </w:p>
        </w:tc>
        <w:tc>
          <w:tcPr>
            <w:tcW w:w="1180" w:type="dxa"/>
            <w:tcBorders>
              <w:top w:val="nil"/>
              <w:left w:val="nil"/>
              <w:bottom w:val="nil"/>
              <w:right w:val="nil"/>
            </w:tcBorders>
            <w:shd w:val="clear" w:color="000000" w:fill="F2F2F2"/>
            <w:noWrap/>
            <w:vAlign w:val="bottom"/>
            <w:hideMark/>
          </w:tcPr>
          <w:p w14:paraId="5A486299"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28659</w:t>
            </w:r>
          </w:p>
        </w:tc>
        <w:tc>
          <w:tcPr>
            <w:tcW w:w="1123" w:type="dxa"/>
            <w:tcBorders>
              <w:top w:val="nil"/>
              <w:left w:val="nil"/>
              <w:bottom w:val="nil"/>
              <w:right w:val="nil"/>
            </w:tcBorders>
            <w:shd w:val="clear" w:color="000000" w:fill="F2F2F2"/>
            <w:noWrap/>
            <w:vAlign w:val="bottom"/>
            <w:hideMark/>
          </w:tcPr>
          <w:p w14:paraId="25FB6206"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49479</w:t>
            </w:r>
          </w:p>
        </w:tc>
        <w:tc>
          <w:tcPr>
            <w:tcW w:w="997" w:type="dxa"/>
            <w:tcBorders>
              <w:top w:val="nil"/>
              <w:left w:val="nil"/>
              <w:bottom w:val="nil"/>
              <w:right w:val="nil"/>
            </w:tcBorders>
            <w:shd w:val="clear" w:color="000000" w:fill="F2F2F2"/>
            <w:noWrap/>
            <w:vAlign w:val="bottom"/>
            <w:hideMark/>
          </w:tcPr>
          <w:p w14:paraId="37EC3CDF"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7226</w:t>
            </w:r>
          </w:p>
        </w:tc>
        <w:tc>
          <w:tcPr>
            <w:tcW w:w="1420" w:type="dxa"/>
            <w:tcBorders>
              <w:top w:val="nil"/>
              <w:left w:val="nil"/>
              <w:bottom w:val="nil"/>
              <w:right w:val="single" w:sz="4" w:space="0" w:color="auto"/>
            </w:tcBorders>
            <w:shd w:val="clear" w:color="000000" w:fill="F2F2F2"/>
            <w:noWrap/>
            <w:vAlign w:val="bottom"/>
            <w:hideMark/>
          </w:tcPr>
          <w:p w14:paraId="7CE815CB"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1070</w:t>
            </w:r>
          </w:p>
        </w:tc>
      </w:tr>
      <w:tr w:rsidR="00627E74" w:rsidRPr="00627E74" w14:paraId="5E73B9A2" w14:textId="77777777" w:rsidTr="00627E74">
        <w:trPr>
          <w:trHeight w:val="300"/>
        </w:trPr>
        <w:tc>
          <w:tcPr>
            <w:tcW w:w="2280" w:type="dxa"/>
            <w:tcBorders>
              <w:top w:val="nil"/>
              <w:left w:val="single" w:sz="4" w:space="0" w:color="auto"/>
              <w:bottom w:val="nil"/>
              <w:right w:val="nil"/>
            </w:tcBorders>
            <w:shd w:val="clear" w:color="auto" w:fill="auto"/>
            <w:noWrap/>
            <w:vAlign w:val="bottom"/>
            <w:hideMark/>
          </w:tcPr>
          <w:p w14:paraId="7F4806D1"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Cardiff</w:t>
            </w:r>
          </w:p>
        </w:tc>
        <w:tc>
          <w:tcPr>
            <w:tcW w:w="1180" w:type="dxa"/>
            <w:tcBorders>
              <w:top w:val="nil"/>
              <w:left w:val="nil"/>
              <w:bottom w:val="nil"/>
              <w:right w:val="nil"/>
            </w:tcBorders>
            <w:shd w:val="clear" w:color="auto" w:fill="auto"/>
            <w:noWrap/>
            <w:vAlign w:val="bottom"/>
            <w:hideMark/>
          </w:tcPr>
          <w:p w14:paraId="093A8D52"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389619</w:t>
            </w:r>
          </w:p>
        </w:tc>
        <w:tc>
          <w:tcPr>
            <w:tcW w:w="1180" w:type="dxa"/>
            <w:tcBorders>
              <w:top w:val="nil"/>
              <w:left w:val="nil"/>
              <w:bottom w:val="nil"/>
              <w:right w:val="nil"/>
            </w:tcBorders>
            <w:shd w:val="clear" w:color="auto" w:fill="auto"/>
            <w:noWrap/>
            <w:vAlign w:val="bottom"/>
            <w:hideMark/>
          </w:tcPr>
          <w:p w14:paraId="264C2CFA"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193044</w:t>
            </w:r>
          </w:p>
        </w:tc>
        <w:tc>
          <w:tcPr>
            <w:tcW w:w="1180" w:type="dxa"/>
            <w:tcBorders>
              <w:top w:val="nil"/>
              <w:left w:val="nil"/>
              <w:bottom w:val="nil"/>
              <w:right w:val="nil"/>
            </w:tcBorders>
            <w:shd w:val="clear" w:color="auto" w:fill="auto"/>
            <w:noWrap/>
            <w:vAlign w:val="bottom"/>
            <w:hideMark/>
          </w:tcPr>
          <w:p w14:paraId="53663069"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196575</w:t>
            </w:r>
          </w:p>
        </w:tc>
        <w:tc>
          <w:tcPr>
            <w:tcW w:w="1123" w:type="dxa"/>
            <w:tcBorders>
              <w:top w:val="nil"/>
              <w:left w:val="nil"/>
              <w:bottom w:val="nil"/>
              <w:right w:val="nil"/>
            </w:tcBorders>
            <w:shd w:val="clear" w:color="auto" w:fill="auto"/>
            <w:noWrap/>
            <w:vAlign w:val="bottom"/>
            <w:hideMark/>
          </w:tcPr>
          <w:p w14:paraId="125C11D3"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335252</w:t>
            </w:r>
          </w:p>
        </w:tc>
        <w:tc>
          <w:tcPr>
            <w:tcW w:w="997" w:type="dxa"/>
            <w:tcBorders>
              <w:top w:val="nil"/>
              <w:left w:val="nil"/>
              <w:bottom w:val="nil"/>
              <w:right w:val="nil"/>
            </w:tcBorders>
            <w:shd w:val="clear" w:color="auto" w:fill="auto"/>
            <w:noWrap/>
            <w:vAlign w:val="bottom"/>
            <w:hideMark/>
          </w:tcPr>
          <w:p w14:paraId="712491C8"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46599</w:t>
            </w:r>
          </w:p>
        </w:tc>
        <w:tc>
          <w:tcPr>
            <w:tcW w:w="1420" w:type="dxa"/>
            <w:tcBorders>
              <w:top w:val="nil"/>
              <w:left w:val="nil"/>
              <w:bottom w:val="nil"/>
              <w:right w:val="single" w:sz="4" w:space="0" w:color="auto"/>
            </w:tcBorders>
            <w:shd w:val="clear" w:color="auto" w:fill="auto"/>
            <w:noWrap/>
            <w:vAlign w:val="bottom"/>
            <w:hideMark/>
          </w:tcPr>
          <w:p w14:paraId="22F9A676"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7768</w:t>
            </w:r>
          </w:p>
        </w:tc>
      </w:tr>
      <w:tr w:rsidR="00627E74" w:rsidRPr="00627E74" w14:paraId="11BB0E7C" w14:textId="77777777" w:rsidTr="00627E74">
        <w:trPr>
          <w:trHeight w:val="300"/>
        </w:trPr>
        <w:tc>
          <w:tcPr>
            <w:tcW w:w="2280" w:type="dxa"/>
            <w:tcBorders>
              <w:top w:val="nil"/>
              <w:left w:val="single" w:sz="4" w:space="0" w:color="auto"/>
              <w:bottom w:val="single" w:sz="4" w:space="0" w:color="auto"/>
              <w:right w:val="nil"/>
            </w:tcBorders>
            <w:shd w:val="clear" w:color="000000" w:fill="F2F2F2"/>
            <w:noWrap/>
            <w:vAlign w:val="bottom"/>
            <w:hideMark/>
          </w:tcPr>
          <w:p w14:paraId="18A5619B"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Cardiff and Vale UHB</w:t>
            </w:r>
          </w:p>
        </w:tc>
        <w:tc>
          <w:tcPr>
            <w:tcW w:w="1180" w:type="dxa"/>
            <w:tcBorders>
              <w:top w:val="nil"/>
              <w:left w:val="nil"/>
              <w:bottom w:val="single" w:sz="4" w:space="0" w:color="auto"/>
              <w:right w:val="nil"/>
            </w:tcBorders>
            <w:shd w:val="clear" w:color="000000" w:fill="F2F2F2"/>
            <w:noWrap/>
            <w:vAlign w:val="bottom"/>
            <w:hideMark/>
          </w:tcPr>
          <w:p w14:paraId="1B9E446A"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521177</w:t>
            </w:r>
          </w:p>
        </w:tc>
        <w:tc>
          <w:tcPr>
            <w:tcW w:w="1180" w:type="dxa"/>
            <w:tcBorders>
              <w:top w:val="nil"/>
              <w:left w:val="nil"/>
              <w:bottom w:val="single" w:sz="4" w:space="0" w:color="auto"/>
              <w:right w:val="nil"/>
            </w:tcBorders>
            <w:shd w:val="clear" w:color="000000" w:fill="F2F2F2"/>
            <w:noWrap/>
            <w:vAlign w:val="bottom"/>
            <w:hideMark/>
          </w:tcPr>
          <w:p w14:paraId="21B34677"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260027</w:t>
            </w:r>
          </w:p>
        </w:tc>
        <w:tc>
          <w:tcPr>
            <w:tcW w:w="1180" w:type="dxa"/>
            <w:tcBorders>
              <w:top w:val="nil"/>
              <w:left w:val="nil"/>
              <w:bottom w:val="single" w:sz="4" w:space="0" w:color="auto"/>
              <w:right w:val="nil"/>
            </w:tcBorders>
            <w:shd w:val="clear" w:color="000000" w:fill="F2F2F2"/>
            <w:noWrap/>
            <w:vAlign w:val="bottom"/>
            <w:hideMark/>
          </w:tcPr>
          <w:p w14:paraId="75A3004B"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261150</w:t>
            </w:r>
          </w:p>
        </w:tc>
        <w:tc>
          <w:tcPr>
            <w:tcW w:w="1123" w:type="dxa"/>
            <w:tcBorders>
              <w:top w:val="nil"/>
              <w:left w:val="nil"/>
              <w:bottom w:val="single" w:sz="4" w:space="0" w:color="auto"/>
              <w:right w:val="nil"/>
            </w:tcBorders>
            <w:shd w:val="clear" w:color="000000" w:fill="F2F2F2"/>
            <w:noWrap/>
            <w:vAlign w:val="bottom"/>
            <w:hideMark/>
          </w:tcPr>
          <w:p w14:paraId="094F3EE0"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439365</w:t>
            </w:r>
          </w:p>
        </w:tc>
        <w:tc>
          <w:tcPr>
            <w:tcW w:w="997" w:type="dxa"/>
            <w:tcBorders>
              <w:top w:val="nil"/>
              <w:left w:val="nil"/>
              <w:bottom w:val="single" w:sz="4" w:space="0" w:color="auto"/>
              <w:right w:val="nil"/>
            </w:tcBorders>
            <w:shd w:val="clear" w:color="000000" w:fill="F2F2F2"/>
            <w:noWrap/>
            <w:vAlign w:val="bottom"/>
            <w:hideMark/>
          </w:tcPr>
          <w:p w14:paraId="402BD424"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70412</w:t>
            </w:r>
          </w:p>
        </w:tc>
        <w:tc>
          <w:tcPr>
            <w:tcW w:w="1420" w:type="dxa"/>
            <w:tcBorders>
              <w:top w:val="nil"/>
              <w:left w:val="nil"/>
              <w:bottom w:val="single" w:sz="4" w:space="0" w:color="auto"/>
              <w:right w:val="single" w:sz="4" w:space="0" w:color="auto"/>
            </w:tcBorders>
            <w:shd w:val="clear" w:color="000000" w:fill="F2F2F2"/>
            <w:noWrap/>
            <w:vAlign w:val="bottom"/>
            <w:hideMark/>
          </w:tcPr>
          <w:p w14:paraId="6C764ED4" w14:textId="77777777" w:rsidR="00627E74" w:rsidRPr="00627E74" w:rsidRDefault="00627E74" w:rsidP="00DC54F7">
            <w:pPr>
              <w:spacing w:after="0" w:line="240" w:lineRule="auto"/>
              <w:jc w:val="both"/>
              <w:rPr>
                <w:rFonts w:ascii="Calibri" w:eastAsia="Times New Roman" w:hAnsi="Calibri" w:cs="Calibri"/>
                <w:color w:val="000000"/>
                <w:lang w:eastAsia="en-GB"/>
              </w:rPr>
            </w:pPr>
            <w:r w:rsidRPr="00627E74">
              <w:rPr>
                <w:rFonts w:ascii="Calibri" w:eastAsia="Times New Roman" w:hAnsi="Calibri" w:cs="Calibri"/>
                <w:color w:val="000000"/>
                <w:lang w:eastAsia="en-GB"/>
              </w:rPr>
              <w:t>11400</w:t>
            </w:r>
          </w:p>
        </w:tc>
      </w:tr>
    </w:tbl>
    <w:p w14:paraId="5D3B92D9" w14:textId="77777777" w:rsidR="00617D6D" w:rsidRPr="006A4761" w:rsidRDefault="00617D6D" w:rsidP="00DC54F7">
      <w:pPr>
        <w:spacing w:after="0" w:line="240" w:lineRule="auto"/>
        <w:jc w:val="both"/>
        <w:rPr>
          <w:rFonts w:ascii="Arial" w:hAnsi="Arial" w:cs="Arial"/>
          <w:bCs/>
          <w:sz w:val="20"/>
          <w:szCs w:val="20"/>
        </w:rPr>
      </w:pPr>
      <w:r w:rsidRPr="006A4761">
        <w:rPr>
          <w:rFonts w:ascii="Arial" w:hAnsi="Arial" w:cs="Arial"/>
          <w:bCs/>
          <w:sz w:val="20"/>
          <w:szCs w:val="20"/>
        </w:rPr>
        <w:t>Source</w:t>
      </w:r>
      <w:r>
        <w:rPr>
          <w:rFonts w:ascii="Arial" w:hAnsi="Arial" w:cs="Arial"/>
          <w:bCs/>
          <w:sz w:val="20"/>
          <w:szCs w:val="20"/>
        </w:rPr>
        <w:t xml:space="preserve">: StatsWales - </w:t>
      </w:r>
      <w:r w:rsidRPr="006A4761">
        <w:rPr>
          <w:rFonts w:ascii="Arial" w:hAnsi="Arial" w:cs="Arial"/>
          <w:bCs/>
          <w:sz w:val="20"/>
          <w:szCs w:val="20"/>
        </w:rPr>
        <w:t>NHS Wales Shared Services Partnership.</w:t>
      </w:r>
    </w:p>
    <w:p w14:paraId="4E057B80" w14:textId="77777777" w:rsidR="003C262D" w:rsidRPr="001C71AB" w:rsidRDefault="003C262D" w:rsidP="00DC54F7">
      <w:pPr>
        <w:spacing w:after="0" w:line="240" w:lineRule="auto"/>
        <w:jc w:val="both"/>
        <w:rPr>
          <w:rFonts w:ascii="Arial" w:hAnsi="Arial" w:cs="Arial"/>
          <w:b/>
          <w:sz w:val="24"/>
          <w:szCs w:val="24"/>
        </w:rPr>
      </w:pPr>
    </w:p>
    <w:p w14:paraId="7D714013" w14:textId="11C8F9EA" w:rsidR="0008459A" w:rsidRPr="008B2B47" w:rsidRDefault="0008459A" w:rsidP="00DC54F7">
      <w:pPr>
        <w:spacing w:after="0" w:line="240" w:lineRule="auto"/>
        <w:jc w:val="both"/>
        <w:rPr>
          <w:rFonts w:ascii="Arial" w:hAnsi="Arial" w:cs="Arial"/>
          <w:sz w:val="24"/>
          <w:szCs w:val="24"/>
        </w:rPr>
      </w:pPr>
      <w:r w:rsidRPr="008B2B47">
        <w:rPr>
          <w:rFonts w:ascii="Arial" w:hAnsi="Arial" w:cs="Arial"/>
          <w:sz w:val="24"/>
          <w:szCs w:val="24"/>
        </w:rPr>
        <w:t>Between 2018 to 2028, the population of Cardiff is projected to increase by up to 3.2%, the sixth largest percentage increase of all the local authorities within Wales. It is expected to have a population of around 375,700 by 2028, making it the largest local authority in Wales. Unlike all other local authorities, the increase in population will mainly be driven by natural change i.e. more births than deaths and a smaller proportion of the increase will be due to net migration i.e. more people moving into the area than out. Cardiff has the highest level of projected international migration of all the local authorities. The population is expected to increase across all broad age groups, except the 0 to 15 years old where a decrease is predicted.  The largest population increases will be in the over 65 age group followed by the working-age population aged 16 to 64 years. The population is projected to continue to age in the local authority.</w:t>
      </w:r>
    </w:p>
    <w:p w14:paraId="7CB41BE0" w14:textId="446BF057" w:rsidR="0008459A" w:rsidRDefault="0008459A" w:rsidP="00DC54F7">
      <w:pPr>
        <w:spacing w:after="0" w:line="240" w:lineRule="auto"/>
        <w:jc w:val="both"/>
        <w:rPr>
          <w:rFonts w:ascii="Arial" w:hAnsi="Arial" w:cs="Arial"/>
        </w:rPr>
      </w:pPr>
    </w:p>
    <w:p w14:paraId="7BF00E59" w14:textId="77777777" w:rsidR="00D12445" w:rsidRDefault="00D12445" w:rsidP="00DC54F7">
      <w:pPr>
        <w:spacing w:after="0" w:line="240" w:lineRule="auto"/>
        <w:jc w:val="both"/>
        <w:rPr>
          <w:rFonts w:ascii="Arial" w:hAnsi="Arial" w:cs="Arial"/>
        </w:rPr>
      </w:pPr>
    </w:p>
    <w:p w14:paraId="373ACC10" w14:textId="6A98842F" w:rsidR="007357B9" w:rsidRPr="00704497" w:rsidRDefault="00380869" w:rsidP="00DC54F7">
      <w:pPr>
        <w:spacing w:after="0" w:line="240" w:lineRule="auto"/>
        <w:jc w:val="both"/>
        <w:rPr>
          <w:rFonts w:ascii="Arial" w:hAnsi="Arial" w:cs="Arial"/>
          <w:b/>
          <w:bCs/>
          <w:sz w:val="24"/>
          <w:szCs w:val="24"/>
        </w:rPr>
      </w:pPr>
      <w:r>
        <w:rPr>
          <w:rFonts w:ascii="Arial" w:hAnsi="Arial" w:cs="Arial"/>
          <w:b/>
          <w:bCs/>
          <w:sz w:val="24"/>
          <w:szCs w:val="24"/>
        </w:rPr>
        <w:t xml:space="preserve">8.1.2 </w:t>
      </w:r>
      <w:r w:rsidR="00DB7FBC" w:rsidRPr="00704497">
        <w:rPr>
          <w:rFonts w:ascii="Arial" w:hAnsi="Arial" w:cs="Arial"/>
          <w:b/>
          <w:bCs/>
          <w:sz w:val="24"/>
          <w:szCs w:val="24"/>
        </w:rPr>
        <w:t>Life expectancy, healthy life expectancy and the ‘inequality gap’</w:t>
      </w:r>
    </w:p>
    <w:p w14:paraId="7046DDB1" w14:textId="77777777" w:rsidR="003D78DD" w:rsidRPr="00DB7FBC" w:rsidRDefault="003D78DD" w:rsidP="00DC54F7">
      <w:pPr>
        <w:spacing w:after="0" w:line="240" w:lineRule="auto"/>
        <w:jc w:val="both"/>
        <w:rPr>
          <w:rFonts w:ascii="Arial" w:hAnsi="Arial" w:cs="Arial"/>
          <w:b/>
          <w:bCs/>
        </w:rPr>
      </w:pPr>
    </w:p>
    <w:p w14:paraId="30F879A3" w14:textId="501B2A40" w:rsidR="004377ED" w:rsidRPr="00185101" w:rsidRDefault="00A003E5" w:rsidP="00DC54F7">
      <w:pPr>
        <w:spacing w:after="0" w:line="240" w:lineRule="auto"/>
        <w:jc w:val="both"/>
        <w:rPr>
          <w:rFonts w:ascii="Arial" w:hAnsi="Arial" w:cs="Arial"/>
          <w:sz w:val="24"/>
          <w:szCs w:val="24"/>
        </w:rPr>
      </w:pPr>
      <w:r w:rsidRPr="00982153">
        <w:rPr>
          <w:rFonts w:ascii="Arial" w:hAnsi="Arial" w:cs="Arial"/>
          <w:sz w:val="24"/>
          <w:szCs w:val="24"/>
        </w:rPr>
        <w:t>Life expectancy</w:t>
      </w:r>
      <w:r w:rsidR="002865FD" w:rsidRPr="00982153">
        <w:rPr>
          <w:rFonts w:ascii="Arial" w:hAnsi="Arial" w:cs="Arial"/>
          <w:sz w:val="24"/>
          <w:szCs w:val="24"/>
        </w:rPr>
        <w:t xml:space="preserve"> at birth</w:t>
      </w:r>
      <w:r w:rsidRPr="00982153">
        <w:rPr>
          <w:rFonts w:ascii="Arial" w:hAnsi="Arial" w:cs="Arial"/>
          <w:sz w:val="24"/>
          <w:szCs w:val="24"/>
        </w:rPr>
        <w:t xml:space="preserve"> in Cardiff is better </w:t>
      </w:r>
      <w:r w:rsidR="001A7271" w:rsidRPr="00982153">
        <w:rPr>
          <w:rFonts w:ascii="Arial" w:hAnsi="Arial" w:cs="Arial"/>
          <w:sz w:val="24"/>
          <w:szCs w:val="24"/>
        </w:rPr>
        <w:t xml:space="preserve">than the average for Wales for both females and </w:t>
      </w:r>
      <w:r w:rsidR="0021395E" w:rsidRPr="00982153">
        <w:rPr>
          <w:rFonts w:ascii="Arial" w:hAnsi="Arial" w:cs="Arial"/>
          <w:sz w:val="24"/>
          <w:szCs w:val="24"/>
        </w:rPr>
        <w:t>males</w:t>
      </w:r>
      <w:r w:rsidR="001A7271" w:rsidRPr="00982153">
        <w:rPr>
          <w:rFonts w:ascii="Arial" w:hAnsi="Arial" w:cs="Arial"/>
          <w:sz w:val="24"/>
          <w:szCs w:val="24"/>
        </w:rPr>
        <w:t>.</w:t>
      </w:r>
      <w:r w:rsidR="003A44AB" w:rsidRPr="00982153">
        <w:rPr>
          <w:rFonts w:ascii="Arial" w:hAnsi="Arial" w:cs="Arial"/>
          <w:sz w:val="24"/>
          <w:szCs w:val="24"/>
        </w:rPr>
        <w:t xml:space="preserve"> </w:t>
      </w:r>
      <w:r w:rsidR="006776DF" w:rsidRPr="00982153">
        <w:rPr>
          <w:rFonts w:ascii="Arial" w:hAnsi="Arial" w:cs="Arial"/>
          <w:sz w:val="24"/>
          <w:szCs w:val="24"/>
        </w:rPr>
        <w:t>The difference in life expectancy that exist</w:t>
      </w:r>
      <w:r w:rsidR="003D78DD" w:rsidRPr="00982153">
        <w:rPr>
          <w:rFonts w:ascii="Arial" w:hAnsi="Arial" w:cs="Arial"/>
          <w:sz w:val="24"/>
          <w:szCs w:val="24"/>
        </w:rPr>
        <w:t>s</w:t>
      </w:r>
      <w:r w:rsidR="006776DF" w:rsidRPr="00982153">
        <w:rPr>
          <w:rFonts w:ascii="Arial" w:hAnsi="Arial" w:cs="Arial"/>
          <w:sz w:val="24"/>
          <w:szCs w:val="24"/>
        </w:rPr>
        <w:t xml:space="preserve"> across an area between the most and least deprived areas i</w:t>
      </w:r>
      <w:r w:rsidR="00FC6BE8" w:rsidRPr="00982153">
        <w:rPr>
          <w:rFonts w:ascii="Arial" w:hAnsi="Arial" w:cs="Arial"/>
          <w:sz w:val="24"/>
          <w:szCs w:val="24"/>
        </w:rPr>
        <w:t xml:space="preserve">s referred to as the ‘inequality gap’. The inequality gap </w:t>
      </w:r>
      <w:r w:rsidR="005A0D55" w:rsidRPr="00982153">
        <w:rPr>
          <w:rFonts w:ascii="Arial" w:hAnsi="Arial" w:cs="Arial"/>
          <w:sz w:val="24"/>
          <w:szCs w:val="24"/>
        </w:rPr>
        <w:t xml:space="preserve">in life expectancy </w:t>
      </w:r>
      <w:r w:rsidR="000B6D98" w:rsidRPr="00982153">
        <w:rPr>
          <w:rFonts w:ascii="Arial" w:hAnsi="Arial" w:cs="Arial"/>
          <w:sz w:val="24"/>
          <w:szCs w:val="24"/>
        </w:rPr>
        <w:t xml:space="preserve">at birth between the most and least deprived fifth, </w:t>
      </w:r>
      <w:r w:rsidR="00FC6BE8" w:rsidRPr="00982153">
        <w:rPr>
          <w:rFonts w:ascii="Arial" w:hAnsi="Arial" w:cs="Arial"/>
          <w:sz w:val="24"/>
          <w:szCs w:val="24"/>
        </w:rPr>
        <w:t xml:space="preserve">for Cardiff </w:t>
      </w:r>
      <w:r w:rsidR="00E54A3E" w:rsidRPr="00982153">
        <w:rPr>
          <w:rFonts w:ascii="Arial" w:hAnsi="Arial" w:cs="Arial"/>
          <w:sz w:val="24"/>
          <w:szCs w:val="24"/>
        </w:rPr>
        <w:t xml:space="preserve">is wider than the average for Wales for both males and females. </w:t>
      </w:r>
      <w:r w:rsidR="002F2F93" w:rsidRPr="00982153">
        <w:rPr>
          <w:rFonts w:ascii="Arial" w:hAnsi="Arial" w:cs="Arial"/>
          <w:sz w:val="24"/>
          <w:szCs w:val="24"/>
        </w:rPr>
        <w:t>The healthy life expectancy (the number of years a person can expect to live in good health) in Cardiff is lower than the average for Wales for both females and males</w:t>
      </w:r>
      <w:r w:rsidR="00353A2E" w:rsidRPr="00982153">
        <w:rPr>
          <w:rFonts w:ascii="Arial" w:hAnsi="Arial" w:cs="Arial"/>
          <w:sz w:val="24"/>
          <w:szCs w:val="24"/>
        </w:rPr>
        <w:t>.</w:t>
      </w:r>
    </w:p>
    <w:p w14:paraId="049234F2" w14:textId="29A9F439" w:rsidR="004377ED" w:rsidRPr="00597330" w:rsidRDefault="000B6D98" w:rsidP="00DC54F7">
      <w:pPr>
        <w:spacing w:after="0" w:line="240" w:lineRule="auto"/>
        <w:jc w:val="both"/>
        <w:rPr>
          <w:rFonts w:ascii="Arial" w:hAnsi="Arial" w:cs="Arial"/>
          <w:b/>
          <w:bCs/>
          <w:sz w:val="24"/>
          <w:szCs w:val="24"/>
        </w:rPr>
      </w:pPr>
      <w:r w:rsidRPr="00597330">
        <w:rPr>
          <w:rFonts w:ascii="Arial" w:hAnsi="Arial" w:cs="Arial"/>
          <w:b/>
          <w:bCs/>
          <w:sz w:val="24"/>
          <w:szCs w:val="24"/>
        </w:rPr>
        <w:lastRenderedPageBreak/>
        <w:t>Table</w:t>
      </w:r>
      <w:r w:rsidR="007357B9" w:rsidRPr="00597330">
        <w:rPr>
          <w:rFonts w:ascii="Arial" w:hAnsi="Arial" w:cs="Arial"/>
          <w:b/>
          <w:bCs/>
          <w:sz w:val="24"/>
          <w:szCs w:val="24"/>
        </w:rPr>
        <w:t xml:space="preserve"> 8.1: </w:t>
      </w:r>
      <w:r w:rsidR="002F2F93" w:rsidRPr="00597330">
        <w:rPr>
          <w:rFonts w:ascii="Arial" w:hAnsi="Arial" w:cs="Arial"/>
          <w:b/>
          <w:bCs/>
          <w:sz w:val="24"/>
          <w:szCs w:val="24"/>
        </w:rPr>
        <w:t>Life expectancy, healthy life expectancy and the ‘inequality gap’ (2015 to</w:t>
      </w:r>
      <w:r w:rsidR="00847226" w:rsidRPr="00597330">
        <w:rPr>
          <w:rFonts w:ascii="Arial" w:hAnsi="Arial" w:cs="Arial"/>
          <w:b/>
          <w:bCs/>
          <w:sz w:val="24"/>
          <w:szCs w:val="24"/>
        </w:rPr>
        <w:t xml:space="preserve"> </w:t>
      </w:r>
      <w:r w:rsidR="002F2F93" w:rsidRPr="00597330">
        <w:rPr>
          <w:rFonts w:ascii="Arial" w:hAnsi="Arial" w:cs="Arial"/>
          <w:b/>
          <w:bCs/>
          <w:sz w:val="24"/>
          <w:szCs w:val="24"/>
        </w:rPr>
        <w:t xml:space="preserve">2017) </w:t>
      </w:r>
    </w:p>
    <w:tbl>
      <w:tblPr>
        <w:tblW w:w="9387"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115"/>
        <w:gridCol w:w="1211"/>
        <w:gridCol w:w="1213"/>
        <w:gridCol w:w="1211"/>
        <w:gridCol w:w="1213"/>
        <w:gridCol w:w="1211"/>
        <w:gridCol w:w="1213"/>
      </w:tblGrid>
      <w:tr w:rsidR="00847226" w:rsidRPr="00847226" w14:paraId="2B9FA9A3" w14:textId="77777777" w:rsidTr="00A27D75">
        <w:trPr>
          <w:trHeight w:val="251"/>
        </w:trPr>
        <w:tc>
          <w:tcPr>
            <w:tcW w:w="2115" w:type="dxa"/>
            <w:shd w:val="clear" w:color="000000" w:fill="8497B0"/>
            <w:noWrap/>
            <w:vAlign w:val="bottom"/>
            <w:hideMark/>
          </w:tcPr>
          <w:p w14:paraId="1EB378D2" w14:textId="77777777" w:rsidR="00847226" w:rsidRPr="00A27D75" w:rsidRDefault="00847226" w:rsidP="00DC54F7">
            <w:pPr>
              <w:spacing w:after="0" w:line="240" w:lineRule="auto"/>
              <w:jc w:val="both"/>
              <w:rPr>
                <w:rFonts w:ascii="Calibri" w:eastAsia="Times New Roman" w:hAnsi="Calibri" w:cs="Calibri"/>
                <w:lang w:eastAsia="en-GB"/>
              </w:rPr>
            </w:pPr>
            <w:r w:rsidRPr="00A27D75">
              <w:rPr>
                <w:rFonts w:ascii="Calibri" w:eastAsia="Times New Roman" w:hAnsi="Calibri" w:cs="Calibri"/>
                <w:lang w:eastAsia="en-GB"/>
              </w:rPr>
              <w:t> </w:t>
            </w:r>
          </w:p>
        </w:tc>
        <w:tc>
          <w:tcPr>
            <w:tcW w:w="2424" w:type="dxa"/>
            <w:gridSpan w:val="2"/>
            <w:shd w:val="clear" w:color="000000" w:fill="8497B0"/>
            <w:noWrap/>
            <w:vAlign w:val="bottom"/>
            <w:hideMark/>
          </w:tcPr>
          <w:p w14:paraId="662ED9A4" w14:textId="77777777" w:rsidR="00847226" w:rsidRPr="00A27D75" w:rsidRDefault="00847226"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Life expectancy at birth (years)</w:t>
            </w:r>
          </w:p>
        </w:tc>
        <w:tc>
          <w:tcPr>
            <w:tcW w:w="2424" w:type="dxa"/>
            <w:gridSpan w:val="2"/>
            <w:shd w:val="clear" w:color="000000" w:fill="8497B0"/>
            <w:noWrap/>
            <w:vAlign w:val="bottom"/>
            <w:hideMark/>
          </w:tcPr>
          <w:p w14:paraId="2E60621D" w14:textId="77777777" w:rsidR="00847226" w:rsidRPr="00A27D75" w:rsidRDefault="00847226"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Healthy life expectancy (years)</w:t>
            </w:r>
          </w:p>
        </w:tc>
        <w:tc>
          <w:tcPr>
            <w:tcW w:w="2424" w:type="dxa"/>
            <w:gridSpan w:val="2"/>
            <w:shd w:val="clear" w:color="000000" w:fill="8497B0"/>
            <w:noWrap/>
            <w:vAlign w:val="bottom"/>
            <w:hideMark/>
          </w:tcPr>
          <w:p w14:paraId="1378B452" w14:textId="77777777" w:rsidR="0008204C" w:rsidRPr="00A27D75" w:rsidRDefault="00847226"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Inequality gap</w:t>
            </w:r>
          </w:p>
          <w:p w14:paraId="42A0BDD7" w14:textId="21D8C134" w:rsidR="00847226" w:rsidRPr="00A27D75" w:rsidRDefault="00847226"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 xml:space="preserve"> (years)</w:t>
            </w:r>
          </w:p>
        </w:tc>
      </w:tr>
      <w:tr w:rsidR="00847226" w:rsidRPr="00847226" w14:paraId="738A2B51" w14:textId="77777777" w:rsidTr="00A27D75">
        <w:trPr>
          <w:trHeight w:val="251"/>
        </w:trPr>
        <w:tc>
          <w:tcPr>
            <w:tcW w:w="2115" w:type="dxa"/>
            <w:shd w:val="clear" w:color="000000" w:fill="8497B0"/>
            <w:noWrap/>
            <w:vAlign w:val="bottom"/>
            <w:hideMark/>
          </w:tcPr>
          <w:p w14:paraId="273BA576" w14:textId="77777777" w:rsidR="00847226" w:rsidRPr="00A27D75" w:rsidRDefault="00847226"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 </w:t>
            </w:r>
          </w:p>
        </w:tc>
        <w:tc>
          <w:tcPr>
            <w:tcW w:w="1211" w:type="dxa"/>
            <w:shd w:val="clear" w:color="000000" w:fill="8497B0"/>
            <w:vAlign w:val="center"/>
            <w:hideMark/>
          </w:tcPr>
          <w:p w14:paraId="36477224" w14:textId="77777777" w:rsidR="00847226" w:rsidRPr="00A27D75" w:rsidRDefault="00847226"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Females</w:t>
            </w:r>
          </w:p>
        </w:tc>
        <w:tc>
          <w:tcPr>
            <w:tcW w:w="1212" w:type="dxa"/>
            <w:shd w:val="clear" w:color="000000" w:fill="8497B0"/>
            <w:vAlign w:val="center"/>
            <w:hideMark/>
          </w:tcPr>
          <w:p w14:paraId="6DF2937C" w14:textId="77777777" w:rsidR="00847226" w:rsidRPr="00A27D75" w:rsidRDefault="00847226"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Males</w:t>
            </w:r>
          </w:p>
        </w:tc>
        <w:tc>
          <w:tcPr>
            <w:tcW w:w="1211" w:type="dxa"/>
            <w:shd w:val="clear" w:color="000000" w:fill="8497B0"/>
            <w:vAlign w:val="center"/>
            <w:hideMark/>
          </w:tcPr>
          <w:p w14:paraId="0E10F609" w14:textId="77777777" w:rsidR="00847226" w:rsidRPr="00A27D75" w:rsidRDefault="00847226"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Females</w:t>
            </w:r>
          </w:p>
        </w:tc>
        <w:tc>
          <w:tcPr>
            <w:tcW w:w="1212" w:type="dxa"/>
            <w:shd w:val="clear" w:color="000000" w:fill="8497B0"/>
            <w:vAlign w:val="center"/>
            <w:hideMark/>
          </w:tcPr>
          <w:p w14:paraId="3BBB5FA8" w14:textId="77777777" w:rsidR="00847226" w:rsidRPr="00A27D75" w:rsidRDefault="00847226"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Males</w:t>
            </w:r>
          </w:p>
        </w:tc>
        <w:tc>
          <w:tcPr>
            <w:tcW w:w="1211" w:type="dxa"/>
            <w:shd w:val="clear" w:color="000000" w:fill="8497B0"/>
            <w:vAlign w:val="center"/>
            <w:hideMark/>
          </w:tcPr>
          <w:p w14:paraId="1E518633" w14:textId="77777777" w:rsidR="00847226" w:rsidRPr="00A27D75" w:rsidRDefault="00847226"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Females</w:t>
            </w:r>
          </w:p>
        </w:tc>
        <w:tc>
          <w:tcPr>
            <w:tcW w:w="1212" w:type="dxa"/>
            <w:shd w:val="clear" w:color="000000" w:fill="8497B0"/>
            <w:vAlign w:val="center"/>
            <w:hideMark/>
          </w:tcPr>
          <w:p w14:paraId="38962805" w14:textId="77777777" w:rsidR="00847226" w:rsidRPr="00A27D75" w:rsidRDefault="00847226"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Males</w:t>
            </w:r>
          </w:p>
        </w:tc>
      </w:tr>
      <w:tr w:rsidR="00847226" w:rsidRPr="00847226" w14:paraId="7EDDE9E4" w14:textId="77777777" w:rsidTr="00A27D75">
        <w:trPr>
          <w:trHeight w:val="251"/>
        </w:trPr>
        <w:tc>
          <w:tcPr>
            <w:tcW w:w="2115" w:type="dxa"/>
            <w:shd w:val="clear" w:color="000000" w:fill="F2F2F2"/>
            <w:noWrap/>
            <w:vAlign w:val="bottom"/>
            <w:hideMark/>
          </w:tcPr>
          <w:p w14:paraId="16ACCB06"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 xml:space="preserve">Cardiff </w:t>
            </w:r>
          </w:p>
        </w:tc>
        <w:tc>
          <w:tcPr>
            <w:tcW w:w="1211" w:type="dxa"/>
            <w:shd w:val="clear" w:color="000000" w:fill="F2F2F2"/>
            <w:noWrap/>
            <w:vAlign w:val="bottom"/>
            <w:hideMark/>
          </w:tcPr>
          <w:p w14:paraId="7DF55DBF"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82.7</w:t>
            </w:r>
          </w:p>
        </w:tc>
        <w:tc>
          <w:tcPr>
            <w:tcW w:w="1212" w:type="dxa"/>
            <w:shd w:val="clear" w:color="000000" w:fill="F2F2F2"/>
            <w:noWrap/>
            <w:vAlign w:val="bottom"/>
            <w:hideMark/>
          </w:tcPr>
          <w:p w14:paraId="491A6DE9"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78.5</w:t>
            </w:r>
          </w:p>
        </w:tc>
        <w:tc>
          <w:tcPr>
            <w:tcW w:w="1211" w:type="dxa"/>
            <w:shd w:val="clear" w:color="000000" w:fill="F2F2F2"/>
            <w:noWrap/>
            <w:vAlign w:val="bottom"/>
            <w:hideMark/>
          </w:tcPr>
          <w:p w14:paraId="15F7517F"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61.1</w:t>
            </w:r>
          </w:p>
        </w:tc>
        <w:tc>
          <w:tcPr>
            <w:tcW w:w="1212" w:type="dxa"/>
            <w:shd w:val="clear" w:color="000000" w:fill="F2F2F2"/>
            <w:noWrap/>
            <w:vAlign w:val="bottom"/>
            <w:hideMark/>
          </w:tcPr>
          <w:p w14:paraId="4BFE4469"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61.2</w:t>
            </w:r>
          </w:p>
        </w:tc>
        <w:tc>
          <w:tcPr>
            <w:tcW w:w="1211" w:type="dxa"/>
            <w:shd w:val="clear" w:color="000000" w:fill="F2F2F2"/>
            <w:noWrap/>
            <w:vAlign w:val="bottom"/>
            <w:hideMark/>
          </w:tcPr>
          <w:p w14:paraId="749350B9"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6.9</w:t>
            </w:r>
          </w:p>
        </w:tc>
        <w:tc>
          <w:tcPr>
            <w:tcW w:w="1212" w:type="dxa"/>
            <w:shd w:val="clear" w:color="000000" w:fill="F2F2F2"/>
            <w:noWrap/>
            <w:vAlign w:val="bottom"/>
            <w:hideMark/>
          </w:tcPr>
          <w:p w14:paraId="528CCE94"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9.2</w:t>
            </w:r>
          </w:p>
        </w:tc>
      </w:tr>
      <w:tr w:rsidR="00847226" w:rsidRPr="00847226" w14:paraId="4C1DA20F" w14:textId="77777777" w:rsidTr="00A27D75">
        <w:trPr>
          <w:trHeight w:val="251"/>
        </w:trPr>
        <w:tc>
          <w:tcPr>
            <w:tcW w:w="2115" w:type="dxa"/>
            <w:shd w:val="clear" w:color="auto" w:fill="auto"/>
            <w:noWrap/>
            <w:vAlign w:val="bottom"/>
            <w:hideMark/>
          </w:tcPr>
          <w:p w14:paraId="2262BFC6"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Cardiff and Vale UHB</w:t>
            </w:r>
          </w:p>
        </w:tc>
        <w:tc>
          <w:tcPr>
            <w:tcW w:w="1211" w:type="dxa"/>
            <w:shd w:val="clear" w:color="auto" w:fill="auto"/>
            <w:noWrap/>
            <w:vAlign w:val="bottom"/>
            <w:hideMark/>
          </w:tcPr>
          <w:p w14:paraId="4163D0CB" w14:textId="05D2B0B6"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83</w:t>
            </w:r>
            <w:r w:rsidR="008F1101" w:rsidRPr="00A27D75">
              <w:rPr>
                <w:rFonts w:ascii="Calibri" w:eastAsia="Times New Roman" w:hAnsi="Calibri" w:cs="Calibri"/>
                <w:color w:val="000000"/>
                <w:lang w:eastAsia="en-GB"/>
              </w:rPr>
              <w:t>.0</w:t>
            </w:r>
          </w:p>
        </w:tc>
        <w:tc>
          <w:tcPr>
            <w:tcW w:w="1212" w:type="dxa"/>
            <w:shd w:val="clear" w:color="auto" w:fill="auto"/>
            <w:noWrap/>
            <w:vAlign w:val="bottom"/>
            <w:hideMark/>
          </w:tcPr>
          <w:p w14:paraId="2D4DC8A0"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78.7</w:t>
            </w:r>
          </w:p>
        </w:tc>
        <w:tc>
          <w:tcPr>
            <w:tcW w:w="1211" w:type="dxa"/>
            <w:shd w:val="clear" w:color="auto" w:fill="auto"/>
            <w:noWrap/>
            <w:vAlign w:val="bottom"/>
            <w:hideMark/>
          </w:tcPr>
          <w:p w14:paraId="1C16638A" w14:textId="553AA68E"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62</w:t>
            </w:r>
            <w:r w:rsidR="008F1101" w:rsidRPr="00A27D75">
              <w:rPr>
                <w:rFonts w:ascii="Calibri" w:eastAsia="Times New Roman" w:hAnsi="Calibri" w:cs="Calibri"/>
                <w:color w:val="000000"/>
                <w:lang w:eastAsia="en-GB"/>
              </w:rPr>
              <w:t>.0</w:t>
            </w:r>
          </w:p>
        </w:tc>
        <w:tc>
          <w:tcPr>
            <w:tcW w:w="1212" w:type="dxa"/>
            <w:shd w:val="clear" w:color="auto" w:fill="auto"/>
            <w:noWrap/>
            <w:vAlign w:val="bottom"/>
            <w:hideMark/>
          </w:tcPr>
          <w:p w14:paraId="21F56E91"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61.9</w:t>
            </w:r>
          </w:p>
        </w:tc>
        <w:tc>
          <w:tcPr>
            <w:tcW w:w="1211" w:type="dxa"/>
            <w:shd w:val="clear" w:color="auto" w:fill="auto"/>
            <w:noWrap/>
            <w:vAlign w:val="bottom"/>
            <w:hideMark/>
          </w:tcPr>
          <w:p w14:paraId="5F9F6473"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6.6</w:t>
            </w:r>
          </w:p>
        </w:tc>
        <w:tc>
          <w:tcPr>
            <w:tcW w:w="1212" w:type="dxa"/>
            <w:shd w:val="clear" w:color="auto" w:fill="auto"/>
            <w:noWrap/>
            <w:vAlign w:val="bottom"/>
            <w:hideMark/>
          </w:tcPr>
          <w:p w14:paraId="00DD7D54"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8.6</w:t>
            </w:r>
          </w:p>
        </w:tc>
      </w:tr>
      <w:tr w:rsidR="00847226" w:rsidRPr="00847226" w14:paraId="53B70961" w14:textId="77777777" w:rsidTr="00A27D75">
        <w:trPr>
          <w:trHeight w:val="251"/>
        </w:trPr>
        <w:tc>
          <w:tcPr>
            <w:tcW w:w="2115" w:type="dxa"/>
            <w:shd w:val="clear" w:color="000000" w:fill="F2F2F2"/>
            <w:noWrap/>
            <w:vAlign w:val="bottom"/>
            <w:hideMark/>
          </w:tcPr>
          <w:p w14:paraId="27DEE92D"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Wales</w:t>
            </w:r>
          </w:p>
        </w:tc>
        <w:tc>
          <w:tcPr>
            <w:tcW w:w="1211" w:type="dxa"/>
            <w:shd w:val="clear" w:color="000000" w:fill="F2F2F2"/>
            <w:noWrap/>
            <w:vAlign w:val="bottom"/>
            <w:hideMark/>
          </w:tcPr>
          <w:p w14:paraId="2DA42C7B"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82.3</w:t>
            </w:r>
          </w:p>
        </w:tc>
        <w:tc>
          <w:tcPr>
            <w:tcW w:w="1212" w:type="dxa"/>
            <w:shd w:val="clear" w:color="000000" w:fill="F2F2F2"/>
            <w:noWrap/>
            <w:vAlign w:val="bottom"/>
            <w:hideMark/>
          </w:tcPr>
          <w:p w14:paraId="0E4B28F4"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78.3</w:t>
            </w:r>
          </w:p>
        </w:tc>
        <w:tc>
          <w:tcPr>
            <w:tcW w:w="1211" w:type="dxa"/>
            <w:shd w:val="clear" w:color="000000" w:fill="F2F2F2"/>
            <w:noWrap/>
            <w:vAlign w:val="bottom"/>
            <w:hideMark/>
          </w:tcPr>
          <w:p w14:paraId="746EC9F1" w14:textId="1A176DDB"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62</w:t>
            </w:r>
            <w:r w:rsidR="008F1101" w:rsidRPr="00A27D75">
              <w:rPr>
                <w:rFonts w:ascii="Calibri" w:eastAsia="Times New Roman" w:hAnsi="Calibri" w:cs="Calibri"/>
                <w:color w:val="000000"/>
                <w:lang w:eastAsia="en-GB"/>
              </w:rPr>
              <w:t>.0</w:t>
            </w:r>
          </w:p>
        </w:tc>
        <w:tc>
          <w:tcPr>
            <w:tcW w:w="1212" w:type="dxa"/>
            <w:shd w:val="clear" w:color="000000" w:fill="F2F2F2"/>
            <w:noWrap/>
            <w:vAlign w:val="bottom"/>
            <w:hideMark/>
          </w:tcPr>
          <w:p w14:paraId="59461052"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61.4</w:t>
            </w:r>
          </w:p>
        </w:tc>
        <w:tc>
          <w:tcPr>
            <w:tcW w:w="1211" w:type="dxa"/>
            <w:shd w:val="clear" w:color="000000" w:fill="F2F2F2"/>
            <w:noWrap/>
            <w:vAlign w:val="bottom"/>
            <w:hideMark/>
          </w:tcPr>
          <w:p w14:paraId="6FECF7AC"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6.1</w:t>
            </w:r>
          </w:p>
        </w:tc>
        <w:tc>
          <w:tcPr>
            <w:tcW w:w="1212" w:type="dxa"/>
            <w:shd w:val="clear" w:color="000000" w:fill="F2F2F2"/>
            <w:noWrap/>
            <w:vAlign w:val="bottom"/>
            <w:hideMark/>
          </w:tcPr>
          <w:p w14:paraId="70E6722D" w14:textId="77777777" w:rsidR="00847226" w:rsidRPr="00A27D75" w:rsidRDefault="00847226"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7.4</w:t>
            </w:r>
          </w:p>
        </w:tc>
      </w:tr>
    </w:tbl>
    <w:p w14:paraId="14C3F13C" w14:textId="4E3C8AC6" w:rsidR="004377ED" w:rsidRPr="00982153" w:rsidRDefault="002F2F93" w:rsidP="00DC54F7">
      <w:pPr>
        <w:spacing w:after="0" w:line="240" w:lineRule="auto"/>
        <w:jc w:val="both"/>
        <w:rPr>
          <w:rFonts w:ascii="Arial" w:hAnsi="Arial" w:cs="Arial"/>
          <w:sz w:val="20"/>
          <w:szCs w:val="20"/>
        </w:rPr>
      </w:pPr>
      <w:r w:rsidRPr="00982153">
        <w:rPr>
          <w:rFonts w:ascii="Arial" w:hAnsi="Arial" w:cs="Arial"/>
          <w:sz w:val="20"/>
          <w:szCs w:val="20"/>
        </w:rPr>
        <w:t>Source: Public Health Wales Observatory PHOF Tool (2017) using ONS and WG data</w:t>
      </w:r>
    </w:p>
    <w:p w14:paraId="0FCCC07D" w14:textId="3D0145E4" w:rsidR="00AA12D9" w:rsidRPr="00982153" w:rsidRDefault="00AA12D9" w:rsidP="00DC54F7">
      <w:pPr>
        <w:spacing w:after="0" w:line="240" w:lineRule="auto"/>
        <w:jc w:val="both"/>
        <w:rPr>
          <w:rFonts w:ascii="Arial" w:hAnsi="Arial" w:cs="Arial"/>
          <w:sz w:val="20"/>
          <w:szCs w:val="20"/>
        </w:rPr>
      </w:pPr>
    </w:p>
    <w:p w14:paraId="1949852F" w14:textId="77777777" w:rsidR="00C5502E" w:rsidRDefault="00C5502E" w:rsidP="00DC54F7">
      <w:pPr>
        <w:spacing w:after="0" w:line="240" w:lineRule="auto"/>
        <w:jc w:val="both"/>
        <w:rPr>
          <w:rFonts w:ascii="Arial" w:hAnsi="Arial" w:cs="Arial"/>
        </w:rPr>
      </w:pPr>
    </w:p>
    <w:p w14:paraId="40323A71" w14:textId="3FC93965" w:rsidR="00C5502E" w:rsidRPr="00704497" w:rsidRDefault="00380869" w:rsidP="00DC54F7">
      <w:pPr>
        <w:spacing w:after="0" w:line="240" w:lineRule="auto"/>
        <w:jc w:val="both"/>
        <w:rPr>
          <w:rFonts w:ascii="Arial" w:hAnsi="Arial" w:cs="Arial"/>
          <w:b/>
          <w:bCs/>
          <w:sz w:val="24"/>
          <w:szCs w:val="24"/>
        </w:rPr>
      </w:pPr>
      <w:r>
        <w:rPr>
          <w:rFonts w:ascii="Arial" w:hAnsi="Arial" w:cs="Arial"/>
          <w:b/>
          <w:bCs/>
          <w:sz w:val="24"/>
          <w:szCs w:val="24"/>
        </w:rPr>
        <w:t xml:space="preserve">8.1.3 </w:t>
      </w:r>
      <w:r w:rsidR="00C5502E" w:rsidRPr="00704497">
        <w:rPr>
          <w:rFonts w:ascii="Arial" w:hAnsi="Arial" w:cs="Arial"/>
          <w:b/>
          <w:bCs/>
          <w:sz w:val="24"/>
          <w:szCs w:val="24"/>
        </w:rPr>
        <w:t>Deprivation</w:t>
      </w:r>
    </w:p>
    <w:p w14:paraId="6B11E6DF" w14:textId="77777777" w:rsidR="00C5502E" w:rsidRPr="00C5502E" w:rsidRDefault="00C5502E" w:rsidP="00DC54F7">
      <w:pPr>
        <w:spacing w:after="0" w:line="240" w:lineRule="auto"/>
        <w:jc w:val="both"/>
        <w:rPr>
          <w:rFonts w:ascii="Arial" w:hAnsi="Arial" w:cs="Arial"/>
          <w:b/>
          <w:bCs/>
        </w:rPr>
      </w:pPr>
    </w:p>
    <w:p w14:paraId="442DF08A" w14:textId="348728BA" w:rsidR="00AA12D9" w:rsidRPr="00380869" w:rsidRDefault="00AA12D9" w:rsidP="00DC54F7">
      <w:pPr>
        <w:spacing w:after="0" w:line="240" w:lineRule="auto"/>
        <w:jc w:val="both"/>
        <w:rPr>
          <w:rFonts w:ascii="Arial" w:hAnsi="Arial" w:cs="Arial"/>
          <w:sz w:val="24"/>
          <w:szCs w:val="24"/>
        </w:rPr>
      </w:pPr>
      <w:r w:rsidRPr="00380869">
        <w:rPr>
          <w:rFonts w:ascii="Arial" w:hAnsi="Arial" w:cs="Arial"/>
          <w:sz w:val="24"/>
          <w:szCs w:val="24"/>
        </w:rPr>
        <w:t>Deprivation is the lack of access to opportunities and resources which might be expected in society. The Welsh Index of Multiple Deprivation (WIMD) allows for the ranking of small area</w:t>
      </w:r>
      <w:r w:rsidR="00AA0D6C" w:rsidRPr="00380869">
        <w:rPr>
          <w:rFonts w:ascii="Arial" w:hAnsi="Arial" w:cs="Arial"/>
          <w:sz w:val="24"/>
          <w:szCs w:val="24"/>
        </w:rPr>
        <w:t>s</w:t>
      </w:r>
      <w:r w:rsidRPr="00380869">
        <w:rPr>
          <w:rFonts w:ascii="Arial" w:hAnsi="Arial" w:cs="Arial"/>
          <w:sz w:val="24"/>
          <w:szCs w:val="24"/>
        </w:rPr>
        <w:t xml:space="preserve">, called Lower layer Super Output Areas (LSOAs) in Wales to determine whether an area is more or less deprived compared to all other small areas in Wales.  </w:t>
      </w:r>
    </w:p>
    <w:p w14:paraId="3171AC49" w14:textId="77777777" w:rsidR="00AA12D9" w:rsidRPr="00380869" w:rsidRDefault="00AA12D9" w:rsidP="00DC54F7">
      <w:pPr>
        <w:spacing w:after="0" w:line="240" w:lineRule="auto"/>
        <w:jc w:val="both"/>
        <w:rPr>
          <w:rFonts w:ascii="Arial" w:hAnsi="Arial" w:cs="Arial"/>
          <w:sz w:val="24"/>
          <w:szCs w:val="24"/>
        </w:rPr>
      </w:pPr>
    </w:p>
    <w:p w14:paraId="74E3046E" w14:textId="7EFC3122" w:rsidR="00AA12D9" w:rsidRPr="00380869" w:rsidRDefault="00AA12D9" w:rsidP="00DC54F7">
      <w:pPr>
        <w:spacing w:after="0" w:line="240" w:lineRule="auto"/>
        <w:jc w:val="both"/>
        <w:rPr>
          <w:rFonts w:ascii="Arial" w:hAnsi="Arial" w:cs="Arial"/>
          <w:b/>
          <w:bCs/>
          <w:sz w:val="24"/>
          <w:szCs w:val="24"/>
        </w:rPr>
      </w:pPr>
      <w:r w:rsidRPr="00380869">
        <w:rPr>
          <w:rFonts w:ascii="Arial" w:hAnsi="Arial" w:cs="Arial"/>
          <w:sz w:val="24"/>
          <w:szCs w:val="24"/>
        </w:rPr>
        <w:t xml:space="preserve">Overall, Cardiff East </w:t>
      </w:r>
      <w:r w:rsidR="007272DF" w:rsidRPr="00380869">
        <w:rPr>
          <w:rFonts w:ascii="Arial" w:hAnsi="Arial" w:cs="Arial"/>
          <w:sz w:val="24"/>
          <w:szCs w:val="24"/>
        </w:rPr>
        <w:t xml:space="preserve">cluster </w:t>
      </w:r>
      <w:r w:rsidR="00EA306D" w:rsidRPr="00380869">
        <w:rPr>
          <w:rFonts w:ascii="Arial" w:hAnsi="Arial" w:cs="Arial"/>
          <w:sz w:val="24"/>
          <w:szCs w:val="24"/>
        </w:rPr>
        <w:t xml:space="preserve">has a </w:t>
      </w:r>
      <w:r w:rsidR="00AA0D6C" w:rsidRPr="00380869">
        <w:rPr>
          <w:rFonts w:ascii="Arial" w:hAnsi="Arial" w:cs="Arial"/>
          <w:sz w:val="24"/>
          <w:szCs w:val="24"/>
        </w:rPr>
        <w:t xml:space="preserve">higher percentage of </w:t>
      </w:r>
      <w:r w:rsidRPr="00380869">
        <w:rPr>
          <w:rFonts w:ascii="Arial" w:hAnsi="Arial" w:cs="Arial"/>
          <w:sz w:val="24"/>
          <w:szCs w:val="24"/>
        </w:rPr>
        <w:t xml:space="preserve">LSOAs in the most deprived 10% </w:t>
      </w:r>
      <w:r w:rsidR="00AA0D6C" w:rsidRPr="00380869">
        <w:rPr>
          <w:rFonts w:ascii="Arial" w:hAnsi="Arial" w:cs="Arial"/>
          <w:sz w:val="24"/>
          <w:szCs w:val="24"/>
        </w:rPr>
        <w:t xml:space="preserve">and 20% </w:t>
      </w:r>
      <w:r w:rsidRPr="00380869">
        <w:rPr>
          <w:rFonts w:ascii="Arial" w:hAnsi="Arial" w:cs="Arial"/>
          <w:sz w:val="24"/>
          <w:szCs w:val="24"/>
        </w:rPr>
        <w:t xml:space="preserve">of </w:t>
      </w:r>
      <w:r w:rsidR="00E91F9B">
        <w:rPr>
          <w:rFonts w:ascii="Arial" w:hAnsi="Arial" w:cs="Arial"/>
          <w:sz w:val="24"/>
          <w:szCs w:val="24"/>
        </w:rPr>
        <w:t>LSOAs in Wales relative to Cardiff</w:t>
      </w:r>
      <w:r w:rsidR="0031662C" w:rsidRPr="00380869">
        <w:rPr>
          <w:rFonts w:ascii="Arial" w:hAnsi="Arial" w:cs="Arial"/>
          <w:sz w:val="24"/>
          <w:szCs w:val="24"/>
        </w:rPr>
        <w:t xml:space="preserve">, except for </w:t>
      </w:r>
      <w:r w:rsidR="00925B49" w:rsidRPr="00380869">
        <w:rPr>
          <w:rFonts w:ascii="Arial" w:hAnsi="Arial" w:cs="Arial"/>
          <w:sz w:val="24"/>
          <w:szCs w:val="24"/>
        </w:rPr>
        <w:t xml:space="preserve">the </w:t>
      </w:r>
      <w:r w:rsidR="0031662C" w:rsidRPr="00380869">
        <w:rPr>
          <w:rFonts w:ascii="Arial" w:hAnsi="Arial" w:cs="Arial"/>
          <w:sz w:val="24"/>
          <w:szCs w:val="24"/>
        </w:rPr>
        <w:t>access to services</w:t>
      </w:r>
      <w:r w:rsidR="00925B49" w:rsidRPr="00380869">
        <w:rPr>
          <w:rFonts w:ascii="Arial" w:hAnsi="Arial" w:cs="Arial"/>
          <w:sz w:val="24"/>
          <w:szCs w:val="24"/>
        </w:rPr>
        <w:t xml:space="preserve"> domain</w:t>
      </w:r>
      <w:r w:rsidR="0031662C" w:rsidRPr="00380869">
        <w:rPr>
          <w:rFonts w:ascii="Arial" w:hAnsi="Arial" w:cs="Arial"/>
          <w:sz w:val="24"/>
          <w:szCs w:val="24"/>
        </w:rPr>
        <w:t xml:space="preserve"> </w:t>
      </w:r>
      <w:r w:rsidR="00EC4388" w:rsidRPr="00380869">
        <w:rPr>
          <w:rFonts w:ascii="Arial" w:hAnsi="Arial" w:cs="Arial"/>
          <w:sz w:val="24"/>
          <w:szCs w:val="24"/>
        </w:rPr>
        <w:t xml:space="preserve">in the </w:t>
      </w:r>
      <w:r w:rsidR="00013524" w:rsidRPr="00380869">
        <w:rPr>
          <w:rFonts w:ascii="Arial" w:hAnsi="Arial" w:cs="Arial"/>
          <w:sz w:val="24"/>
          <w:szCs w:val="24"/>
        </w:rPr>
        <w:t>most deprived 10% LSOAs.</w:t>
      </w:r>
    </w:p>
    <w:p w14:paraId="105C0810" w14:textId="77777777" w:rsidR="004377ED" w:rsidRDefault="004377ED" w:rsidP="00DC54F7">
      <w:pPr>
        <w:spacing w:after="0" w:line="240" w:lineRule="auto"/>
        <w:jc w:val="both"/>
        <w:rPr>
          <w:rFonts w:ascii="Arial" w:hAnsi="Arial" w:cs="Arial"/>
          <w:b/>
          <w:bCs/>
        </w:rPr>
      </w:pPr>
    </w:p>
    <w:p w14:paraId="3CCA51B2" w14:textId="0A55B4D3" w:rsidR="002929D6" w:rsidRPr="00F84329" w:rsidRDefault="00353A2E" w:rsidP="00DC54F7">
      <w:pPr>
        <w:spacing w:after="0" w:line="240" w:lineRule="auto"/>
        <w:contextualSpacing/>
        <w:jc w:val="both"/>
        <w:rPr>
          <w:rFonts w:ascii="Arial" w:hAnsi="Arial" w:cs="Arial"/>
          <w:b/>
          <w:bCs/>
          <w:sz w:val="24"/>
          <w:szCs w:val="24"/>
        </w:rPr>
      </w:pPr>
      <w:r w:rsidRPr="00F84329">
        <w:rPr>
          <w:rFonts w:ascii="Arial" w:hAnsi="Arial" w:cs="Arial"/>
          <w:b/>
          <w:bCs/>
          <w:sz w:val="24"/>
          <w:szCs w:val="24"/>
        </w:rPr>
        <w:t xml:space="preserve">Table 8.2: </w:t>
      </w:r>
      <w:r w:rsidR="00244D11" w:rsidRPr="00F84329">
        <w:rPr>
          <w:rFonts w:ascii="Arial" w:hAnsi="Arial" w:cs="Arial"/>
          <w:b/>
          <w:bCs/>
          <w:sz w:val="24"/>
          <w:szCs w:val="24"/>
        </w:rPr>
        <w:t xml:space="preserve">Percentage of LSOAs </w:t>
      </w:r>
      <w:r w:rsidR="00AA4645" w:rsidRPr="00F84329">
        <w:rPr>
          <w:rFonts w:ascii="Arial" w:hAnsi="Arial" w:cs="Arial"/>
          <w:b/>
          <w:bCs/>
          <w:sz w:val="24"/>
          <w:szCs w:val="24"/>
        </w:rPr>
        <w:t xml:space="preserve">within the 10% and 20% most </w:t>
      </w:r>
      <w:r w:rsidR="006A4E3A" w:rsidRPr="00F84329">
        <w:rPr>
          <w:rFonts w:ascii="Arial" w:hAnsi="Arial" w:cs="Arial"/>
          <w:b/>
          <w:bCs/>
          <w:sz w:val="24"/>
          <w:szCs w:val="24"/>
        </w:rPr>
        <w:t xml:space="preserve">deprived LSOAs in Wales </w:t>
      </w:r>
      <w:r w:rsidR="00244D11" w:rsidRPr="00F84329">
        <w:rPr>
          <w:rFonts w:ascii="Arial" w:hAnsi="Arial" w:cs="Arial"/>
          <w:b/>
          <w:bCs/>
          <w:sz w:val="24"/>
          <w:szCs w:val="24"/>
        </w:rPr>
        <w:t xml:space="preserve">by </w:t>
      </w:r>
      <w:r w:rsidR="009F63EE" w:rsidRPr="00F84329">
        <w:rPr>
          <w:rFonts w:ascii="Arial" w:hAnsi="Arial" w:cs="Arial"/>
          <w:b/>
          <w:bCs/>
          <w:sz w:val="24"/>
          <w:szCs w:val="24"/>
        </w:rPr>
        <w:t xml:space="preserve">cluster and </w:t>
      </w:r>
      <w:r w:rsidR="00244D11" w:rsidRPr="00F84329">
        <w:rPr>
          <w:rFonts w:ascii="Arial" w:hAnsi="Arial" w:cs="Arial"/>
          <w:b/>
          <w:bCs/>
          <w:sz w:val="24"/>
          <w:szCs w:val="24"/>
        </w:rPr>
        <w:t xml:space="preserve">local authority </w:t>
      </w:r>
      <w:r w:rsidR="009F63EE" w:rsidRPr="00F84329">
        <w:rPr>
          <w:rFonts w:ascii="Arial" w:hAnsi="Arial" w:cs="Arial"/>
          <w:b/>
          <w:bCs/>
          <w:sz w:val="24"/>
          <w:szCs w:val="24"/>
        </w:rPr>
        <w:t xml:space="preserve">for the domains </w:t>
      </w:r>
      <w:r w:rsidR="005008F3" w:rsidRPr="00F84329">
        <w:rPr>
          <w:rFonts w:ascii="Arial" w:hAnsi="Arial" w:cs="Arial"/>
          <w:b/>
          <w:bCs/>
          <w:sz w:val="24"/>
          <w:szCs w:val="24"/>
        </w:rPr>
        <w:t xml:space="preserve">of </w:t>
      </w:r>
      <w:r w:rsidR="00300C9E" w:rsidRPr="00F84329">
        <w:rPr>
          <w:rFonts w:ascii="Arial" w:hAnsi="Arial" w:cs="Arial"/>
          <w:b/>
          <w:bCs/>
          <w:sz w:val="24"/>
          <w:szCs w:val="24"/>
        </w:rPr>
        <w:t>income, health, employment and access to services</w:t>
      </w:r>
      <w:r w:rsidR="005861A3" w:rsidRPr="00F84329">
        <w:rPr>
          <w:rFonts w:ascii="Arial" w:hAnsi="Arial" w:cs="Arial"/>
          <w:b/>
          <w:bCs/>
          <w:sz w:val="24"/>
          <w:szCs w:val="24"/>
        </w:rPr>
        <w:t>, Welsh Inde</w:t>
      </w:r>
      <w:r w:rsidR="002A4468" w:rsidRPr="00F84329">
        <w:rPr>
          <w:rFonts w:ascii="Arial" w:hAnsi="Arial" w:cs="Arial"/>
          <w:b/>
          <w:bCs/>
          <w:sz w:val="24"/>
          <w:szCs w:val="24"/>
        </w:rPr>
        <w:t>x of Multiple Deprivation 2014.</w:t>
      </w:r>
    </w:p>
    <w:tbl>
      <w:tblPr>
        <w:tblW w:w="8995"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399"/>
        <w:gridCol w:w="949"/>
        <w:gridCol w:w="950"/>
        <w:gridCol w:w="949"/>
        <w:gridCol w:w="950"/>
        <w:gridCol w:w="949"/>
        <w:gridCol w:w="950"/>
        <w:gridCol w:w="949"/>
        <w:gridCol w:w="950"/>
      </w:tblGrid>
      <w:tr w:rsidR="005062EE" w:rsidRPr="005062EE" w14:paraId="33041C8C" w14:textId="77777777" w:rsidTr="005062EE">
        <w:trPr>
          <w:trHeight w:val="308"/>
        </w:trPr>
        <w:tc>
          <w:tcPr>
            <w:tcW w:w="8995" w:type="dxa"/>
            <w:gridSpan w:val="9"/>
            <w:shd w:val="clear" w:color="000000" w:fill="8497B0"/>
            <w:noWrap/>
            <w:vAlign w:val="center"/>
            <w:hideMark/>
          </w:tcPr>
          <w:p w14:paraId="0749BDD4" w14:textId="2BCF2BD2" w:rsidR="005062EE" w:rsidRPr="005062EE" w:rsidRDefault="005062EE" w:rsidP="00DC54F7">
            <w:pPr>
              <w:spacing w:after="0" w:line="240" w:lineRule="auto"/>
              <w:jc w:val="both"/>
              <w:rPr>
                <w:rFonts w:ascii="Calibri" w:eastAsia="Times New Roman" w:hAnsi="Calibri" w:cs="Calibri"/>
                <w:b/>
                <w:bCs/>
                <w:color w:val="FFFFFF"/>
                <w:lang w:eastAsia="en-GB"/>
              </w:rPr>
            </w:pPr>
            <w:r w:rsidRPr="005062EE">
              <w:rPr>
                <w:rFonts w:ascii="Calibri" w:eastAsia="Times New Roman" w:hAnsi="Calibri" w:cs="Calibri"/>
                <w:b/>
                <w:bCs/>
                <w:color w:val="FFFFFF"/>
                <w:lang w:eastAsia="en-GB"/>
              </w:rPr>
              <w:t>Percentage of LSOAs within the 10% and 20% most deprived LSOAs</w:t>
            </w:r>
            <w:r>
              <w:rPr>
                <w:rFonts w:ascii="Calibri" w:eastAsia="Times New Roman" w:hAnsi="Calibri" w:cs="Calibri"/>
                <w:b/>
                <w:bCs/>
                <w:color w:val="FFFFFF"/>
                <w:lang w:eastAsia="en-GB"/>
              </w:rPr>
              <w:t xml:space="preserve"> </w:t>
            </w:r>
            <w:r w:rsidRPr="005062EE">
              <w:rPr>
                <w:rFonts w:ascii="Calibri" w:eastAsia="Times New Roman" w:hAnsi="Calibri" w:cs="Calibri"/>
                <w:b/>
                <w:bCs/>
                <w:color w:val="FFFFFF"/>
                <w:lang w:eastAsia="en-GB"/>
              </w:rPr>
              <w:t>in Wales</w:t>
            </w:r>
          </w:p>
        </w:tc>
      </w:tr>
      <w:tr w:rsidR="005062EE" w:rsidRPr="005062EE" w14:paraId="7219F749" w14:textId="77777777" w:rsidTr="005062EE">
        <w:trPr>
          <w:trHeight w:val="308"/>
        </w:trPr>
        <w:tc>
          <w:tcPr>
            <w:tcW w:w="1399" w:type="dxa"/>
            <w:shd w:val="clear" w:color="000000" w:fill="8497B0"/>
            <w:noWrap/>
            <w:vAlign w:val="center"/>
            <w:hideMark/>
          </w:tcPr>
          <w:p w14:paraId="3FC7F8FB" w14:textId="77777777" w:rsidR="005062EE" w:rsidRPr="005062EE" w:rsidRDefault="005062EE" w:rsidP="00DC54F7">
            <w:pPr>
              <w:spacing w:after="0" w:line="240" w:lineRule="auto"/>
              <w:jc w:val="both"/>
              <w:rPr>
                <w:rFonts w:ascii="Calibri" w:eastAsia="Times New Roman" w:hAnsi="Calibri" w:cs="Calibri"/>
                <w:b/>
                <w:bCs/>
                <w:color w:val="FFFFFF"/>
                <w:lang w:eastAsia="en-GB"/>
              </w:rPr>
            </w:pPr>
            <w:r w:rsidRPr="005062EE">
              <w:rPr>
                <w:rFonts w:ascii="Calibri" w:eastAsia="Times New Roman" w:hAnsi="Calibri" w:cs="Calibri"/>
                <w:b/>
                <w:bCs/>
                <w:color w:val="FFFFFF"/>
                <w:lang w:eastAsia="en-GB"/>
              </w:rPr>
              <w:t> </w:t>
            </w:r>
          </w:p>
        </w:tc>
        <w:tc>
          <w:tcPr>
            <w:tcW w:w="1899" w:type="dxa"/>
            <w:gridSpan w:val="2"/>
            <w:shd w:val="clear" w:color="000000" w:fill="8497B0"/>
            <w:noWrap/>
            <w:vAlign w:val="center"/>
            <w:hideMark/>
          </w:tcPr>
          <w:p w14:paraId="75A79204" w14:textId="77777777" w:rsidR="005062EE" w:rsidRPr="005062EE" w:rsidRDefault="005062EE" w:rsidP="00DC54F7">
            <w:pPr>
              <w:spacing w:after="0" w:line="240" w:lineRule="auto"/>
              <w:jc w:val="both"/>
              <w:rPr>
                <w:rFonts w:ascii="Calibri" w:eastAsia="Times New Roman" w:hAnsi="Calibri" w:cs="Calibri"/>
                <w:b/>
                <w:bCs/>
                <w:color w:val="FFFFFF"/>
                <w:lang w:eastAsia="en-GB"/>
              </w:rPr>
            </w:pPr>
            <w:r w:rsidRPr="005062EE">
              <w:rPr>
                <w:rFonts w:ascii="Calibri" w:eastAsia="Times New Roman" w:hAnsi="Calibri" w:cs="Calibri"/>
                <w:b/>
                <w:bCs/>
                <w:color w:val="FFFFFF"/>
                <w:lang w:eastAsia="en-GB"/>
              </w:rPr>
              <w:t>Income</w:t>
            </w:r>
          </w:p>
        </w:tc>
        <w:tc>
          <w:tcPr>
            <w:tcW w:w="1899" w:type="dxa"/>
            <w:gridSpan w:val="2"/>
            <w:shd w:val="clear" w:color="000000" w:fill="8497B0"/>
            <w:noWrap/>
            <w:vAlign w:val="center"/>
            <w:hideMark/>
          </w:tcPr>
          <w:p w14:paraId="3899A5AE" w14:textId="77777777" w:rsidR="005062EE" w:rsidRPr="005062EE" w:rsidRDefault="005062EE" w:rsidP="00DC54F7">
            <w:pPr>
              <w:spacing w:after="0" w:line="240" w:lineRule="auto"/>
              <w:jc w:val="both"/>
              <w:rPr>
                <w:rFonts w:ascii="Calibri" w:eastAsia="Times New Roman" w:hAnsi="Calibri" w:cs="Calibri"/>
                <w:b/>
                <w:bCs/>
                <w:color w:val="FFFFFF"/>
                <w:lang w:eastAsia="en-GB"/>
              </w:rPr>
            </w:pPr>
            <w:r w:rsidRPr="005062EE">
              <w:rPr>
                <w:rFonts w:ascii="Calibri" w:eastAsia="Times New Roman" w:hAnsi="Calibri" w:cs="Calibri"/>
                <w:b/>
                <w:bCs/>
                <w:color w:val="FFFFFF"/>
                <w:lang w:eastAsia="en-GB"/>
              </w:rPr>
              <w:t>Health</w:t>
            </w:r>
          </w:p>
        </w:tc>
        <w:tc>
          <w:tcPr>
            <w:tcW w:w="1899" w:type="dxa"/>
            <w:gridSpan w:val="2"/>
            <w:shd w:val="clear" w:color="000000" w:fill="8497B0"/>
            <w:noWrap/>
            <w:vAlign w:val="center"/>
            <w:hideMark/>
          </w:tcPr>
          <w:p w14:paraId="7975D25C" w14:textId="77777777" w:rsidR="005062EE" w:rsidRPr="005062EE" w:rsidRDefault="005062EE" w:rsidP="00DC54F7">
            <w:pPr>
              <w:spacing w:after="0" w:line="240" w:lineRule="auto"/>
              <w:jc w:val="both"/>
              <w:rPr>
                <w:rFonts w:ascii="Calibri" w:eastAsia="Times New Roman" w:hAnsi="Calibri" w:cs="Calibri"/>
                <w:b/>
                <w:bCs/>
                <w:color w:val="FFFFFF"/>
                <w:lang w:eastAsia="en-GB"/>
              </w:rPr>
            </w:pPr>
            <w:r w:rsidRPr="005062EE">
              <w:rPr>
                <w:rFonts w:ascii="Calibri" w:eastAsia="Times New Roman" w:hAnsi="Calibri" w:cs="Calibri"/>
                <w:b/>
                <w:bCs/>
                <w:color w:val="FFFFFF"/>
                <w:lang w:eastAsia="en-GB"/>
              </w:rPr>
              <w:t>Employment</w:t>
            </w:r>
          </w:p>
        </w:tc>
        <w:tc>
          <w:tcPr>
            <w:tcW w:w="1899" w:type="dxa"/>
            <w:gridSpan w:val="2"/>
            <w:shd w:val="clear" w:color="000000" w:fill="8497B0"/>
            <w:noWrap/>
            <w:vAlign w:val="center"/>
            <w:hideMark/>
          </w:tcPr>
          <w:p w14:paraId="3813FE92" w14:textId="77777777" w:rsidR="005062EE" w:rsidRPr="005062EE" w:rsidRDefault="005062EE" w:rsidP="00DC54F7">
            <w:pPr>
              <w:spacing w:after="0" w:line="240" w:lineRule="auto"/>
              <w:jc w:val="both"/>
              <w:rPr>
                <w:rFonts w:ascii="Calibri" w:eastAsia="Times New Roman" w:hAnsi="Calibri" w:cs="Calibri"/>
                <w:b/>
                <w:bCs/>
                <w:color w:val="FFFFFF"/>
                <w:lang w:eastAsia="en-GB"/>
              </w:rPr>
            </w:pPr>
            <w:r w:rsidRPr="005062EE">
              <w:rPr>
                <w:rFonts w:ascii="Calibri" w:eastAsia="Times New Roman" w:hAnsi="Calibri" w:cs="Calibri"/>
                <w:b/>
                <w:bCs/>
                <w:color w:val="FFFFFF"/>
                <w:lang w:eastAsia="en-GB"/>
              </w:rPr>
              <w:t>Access to services</w:t>
            </w:r>
          </w:p>
        </w:tc>
      </w:tr>
      <w:tr w:rsidR="005062EE" w:rsidRPr="005062EE" w14:paraId="488A13C2" w14:textId="77777777" w:rsidTr="005062EE">
        <w:trPr>
          <w:trHeight w:val="308"/>
        </w:trPr>
        <w:tc>
          <w:tcPr>
            <w:tcW w:w="1399" w:type="dxa"/>
            <w:shd w:val="clear" w:color="000000" w:fill="8497B0"/>
            <w:noWrap/>
            <w:vAlign w:val="center"/>
            <w:hideMark/>
          </w:tcPr>
          <w:p w14:paraId="693099F6" w14:textId="77777777" w:rsidR="005062EE" w:rsidRPr="005062EE" w:rsidRDefault="005062EE" w:rsidP="00DC54F7">
            <w:pPr>
              <w:spacing w:after="0" w:line="240" w:lineRule="auto"/>
              <w:jc w:val="both"/>
              <w:rPr>
                <w:rFonts w:ascii="Calibri" w:eastAsia="Times New Roman" w:hAnsi="Calibri" w:cs="Calibri"/>
                <w:b/>
                <w:bCs/>
                <w:color w:val="FFFFFF"/>
                <w:lang w:eastAsia="en-GB"/>
              </w:rPr>
            </w:pPr>
            <w:r w:rsidRPr="005062EE">
              <w:rPr>
                <w:rFonts w:ascii="Calibri" w:eastAsia="Times New Roman" w:hAnsi="Calibri" w:cs="Calibri"/>
                <w:b/>
                <w:bCs/>
                <w:color w:val="FFFFFF"/>
                <w:lang w:eastAsia="en-GB"/>
              </w:rPr>
              <w:t> </w:t>
            </w:r>
          </w:p>
        </w:tc>
        <w:tc>
          <w:tcPr>
            <w:tcW w:w="949" w:type="dxa"/>
            <w:shd w:val="clear" w:color="000000" w:fill="8497B0"/>
            <w:vAlign w:val="center"/>
            <w:hideMark/>
          </w:tcPr>
          <w:p w14:paraId="088F68AF" w14:textId="77777777" w:rsidR="005062EE" w:rsidRPr="005062EE" w:rsidRDefault="005062EE" w:rsidP="00DC54F7">
            <w:pPr>
              <w:spacing w:after="0" w:line="240" w:lineRule="auto"/>
              <w:jc w:val="both"/>
              <w:rPr>
                <w:rFonts w:ascii="Calibri" w:eastAsia="Times New Roman" w:hAnsi="Calibri" w:cs="Calibri"/>
                <w:b/>
                <w:bCs/>
                <w:color w:val="FFFFFF"/>
                <w:lang w:eastAsia="en-GB"/>
              </w:rPr>
            </w:pPr>
            <w:r w:rsidRPr="005062EE">
              <w:rPr>
                <w:rFonts w:ascii="Calibri" w:eastAsia="Times New Roman" w:hAnsi="Calibri" w:cs="Calibri"/>
                <w:b/>
                <w:bCs/>
                <w:color w:val="FFFFFF"/>
                <w:lang w:eastAsia="en-GB"/>
              </w:rPr>
              <w:t>10%</w:t>
            </w:r>
          </w:p>
        </w:tc>
        <w:tc>
          <w:tcPr>
            <w:tcW w:w="950" w:type="dxa"/>
            <w:shd w:val="clear" w:color="000000" w:fill="8497B0"/>
            <w:vAlign w:val="center"/>
            <w:hideMark/>
          </w:tcPr>
          <w:p w14:paraId="00AFADC9" w14:textId="77777777" w:rsidR="005062EE" w:rsidRPr="005062EE" w:rsidRDefault="005062EE" w:rsidP="00DC54F7">
            <w:pPr>
              <w:spacing w:after="0" w:line="240" w:lineRule="auto"/>
              <w:jc w:val="both"/>
              <w:rPr>
                <w:rFonts w:ascii="Calibri" w:eastAsia="Times New Roman" w:hAnsi="Calibri" w:cs="Calibri"/>
                <w:b/>
                <w:bCs/>
                <w:color w:val="FFFFFF"/>
                <w:lang w:eastAsia="en-GB"/>
              </w:rPr>
            </w:pPr>
            <w:r w:rsidRPr="005062EE">
              <w:rPr>
                <w:rFonts w:ascii="Calibri" w:eastAsia="Times New Roman" w:hAnsi="Calibri" w:cs="Calibri"/>
                <w:b/>
                <w:bCs/>
                <w:color w:val="FFFFFF"/>
                <w:lang w:eastAsia="en-GB"/>
              </w:rPr>
              <w:t>20%</w:t>
            </w:r>
          </w:p>
        </w:tc>
        <w:tc>
          <w:tcPr>
            <w:tcW w:w="949" w:type="dxa"/>
            <w:shd w:val="clear" w:color="000000" w:fill="8497B0"/>
            <w:vAlign w:val="center"/>
            <w:hideMark/>
          </w:tcPr>
          <w:p w14:paraId="6EAAB1F0" w14:textId="77777777" w:rsidR="005062EE" w:rsidRPr="005062EE" w:rsidRDefault="005062EE" w:rsidP="00DC54F7">
            <w:pPr>
              <w:spacing w:after="0" w:line="240" w:lineRule="auto"/>
              <w:jc w:val="both"/>
              <w:rPr>
                <w:rFonts w:ascii="Calibri" w:eastAsia="Times New Roman" w:hAnsi="Calibri" w:cs="Calibri"/>
                <w:b/>
                <w:bCs/>
                <w:color w:val="FFFFFF"/>
                <w:lang w:eastAsia="en-GB"/>
              </w:rPr>
            </w:pPr>
            <w:r w:rsidRPr="005062EE">
              <w:rPr>
                <w:rFonts w:ascii="Calibri" w:eastAsia="Times New Roman" w:hAnsi="Calibri" w:cs="Calibri"/>
                <w:b/>
                <w:bCs/>
                <w:color w:val="FFFFFF"/>
                <w:lang w:eastAsia="en-GB"/>
              </w:rPr>
              <w:t>10%</w:t>
            </w:r>
          </w:p>
        </w:tc>
        <w:tc>
          <w:tcPr>
            <w:tcW w:w="950" w:type="dxa"/>
            <w:shd w:val="clear" w:color="000000" w:fill="8497B0"/>
            <w:vAlign w:val="center"/>
            <w:hideMark/>
          </w:tcPr>
          <w:p w14:paraId="25792DB1" w14:textId="77777777" w:rsidR="005062EE" w:rsidRPr="005062EE" w:rsidRDefault="005062EE" w:rsidP="00DC54F7">
            <w:pPr>
              <w:spacing w:after="0" w:line="240" w:lineRule="auto"/>
              <w:jc w:val="both"/>
              <w:rPr>
                <w:rFonts w:ascii="Calibri" w:eastAsia="Times New Roman" w:hAnsi="Calibri" w:cs="Calibri"/>
                <w:b/>
                <w:bCs/>
                <w:color w:val="FFFFFF"/>
                <w:lang w:eastAsia="en-GB"/>
              </w:rPr>
            </w:pPr>
            <w:r w:rsidRPr="005062EE">
              <w:rPr>
                <w:rFonts w:ascii="Calibri" w:eastAsia="Times New Roman" w:hAnsi="Calibri" w:cs="Calibri"/>
                <w:b/>
                <w:bCs/>
                <w:color w:val="FFFFFF"/>
                <w:lang w:eastAsia="en-GB"/>
              </w:rPr>
              <w:t>20%</w:t>
            </w:r>
          </w:p>
        </w:tc>
        <w:tc>
          <w:tcPr>
            <w:tcW w:w="949" w:type="dxa"/>
            <w:shd w:val="clear" w:color="000000" w:fill="8497B0"/>
            <w:vAlign w:val="center"/>
            <w:hideMark/>
          </w:tcPr>
          <w:p w14:paraId="34DA94BA" w14:textId="77777777" w:rsidR="005062EE" w:rsidRPr="005062EE" w:rsidRDefault="005062EE" w:rsidP="00DC54F7">
            <w:pPr>
              <w:spacing w:after="0" w:line="240" w:lineRule="auto"/>
              <w:jc w:val="both"/>
              <w:rPr>
                <w:rFonts w:ascii="Calibri" w:eastAsia="Times New Roman" w:hAnsi="Calibri" w:cs="Calibri"/>
                <w:b/>
                <w:bCs/>
                <w:color w:val="FFFFFF"/>
                <w:lang w:eastAsia="en-GB"/>
              </w:rPr>
            </w:pPr>
            <w:r w:rsidRPr="005062EE">
              <w:rPr>
                <w:rFonts w:ascii="Calibri" w:eastAsia="Times New Roman" w:hAnsi="Calibri" w:cs="Calibri"/>
                <w:b/>
                <w:bCs/>
                <w:color w:val="FFFFFF"/>
                <w:lang w:eastAsia="en-GB"/>
              </w:rPr>
              <w:t>10%</w:t>
            </w:r>
          </w:p>
        </w:tc>
        <w:tc>
          <w:tcPr>
            <w:tcW w:w="950" w:type="dxa"/>
            <w:shd w:val="clear" w:color="000000" w:fill="8497B0"/>
            <w:vAlign w:val="center"/>
            <w:hideMark/>
          </w:tcPr>
          <w:p w14:paraId="40886A9A" w14:textId="77777777" w:rsidR="005062EE" w:rsidRPr="005062EE" w:rsidRDefault="005062EE" w:rsidP="00DC54F7">
            <w:pPr>
              <w:spacing w:after="0" w:line="240" w:lineRule="auto"/>
              <w:jc w:val="both"/>
              <w:rPr>
                <w:rFonts w:ascii="Calibri" w:eastAsia="Times New Roman" w:hAnsi="Calibri" w:cs="Calibri"/>
                <w:b/>
                <w:bCs/>
                <w:color w:val="FFFFFF"/>
                <w:lang w:eastAsia="en-GB"/>
              </w:rPr>
            </w:pPr>
            <w:r w:rsidRPr="005062EE">
              <w:rPr>
                <w:rFonts w:ascii="Calibri" w:eastAsia="Times New Roman" w:hAnsi="Calibri" w:cs="Calibri"/>
                <w:b/>
                <w:bCs/>
                <w:color w:val="FFFFFF"/>
                <w:lang w:eastAsia="en-GB"/>
              </w:rPr>
              <w:t>20%</w:t>
            </w:r>
          </w:p>
        </w:tc>
        <w:tc>
          <w:tcPr>
            <w:tcW w:w="949" w:type="dxa"/>
            <w:shd w:val="clear" w:color="000000" w:fill="8497B0"/>
            <w:vAlign w:val="center"/>
            <w:hideMark/>
          </w:tcPr>
          <w:p w14:paraId="4C6E7747" w14:textId="77777777" w:rsidR="005062EE" w:rsidRPr="005062EE" w:rsidRDefault="005062EE" w:rsidP="00DC54F7">
            <w:pPr>
              <w:spacing w:after="0" w:line="240" w:lineRule="auto"/>
              <w:jc w:val="both"/>
              <w:rPr>
                <w:rFonts w:ascii="Calibri" w:eastAsia="Times New Roman" w:hAnsi="Calibri" w:cs="Calibri"/>
                <w:b/>
                <w:bCs/>
                <w:color w:val="FFFFFF"/>
                <w:lang w:eastAsia="en-GB"/>
              </w:rPr>
            </w:pPr>
            <w:r w:rsidRPr="005062EE">
              <w:rPr>
                <w:rFonts w:ascii="Calibri" w:eastAsia="Times New Roman" w:hAnsi="Calibri" w:cs="Calibri"/>
                <w:b/>
                <w:bCs/>
                <w:color w:val="FFFFFF"/>
                <w:lang w:eastAsia="en-GB"/>
              </w:rPr>
              <w:t>10%</w:t>
            </w:r>
          </w:p>
        </w:tc>
        <w:tc>
          <w:tcPr>
            <w:tcW w:w="950" w:type="dxa"/>
            <w:shd w:val="clear" w:color="000000" w:fill="8497B0"/>
            <w:vAlign w:val="center"/>
            <w:hideMark/>
          </w:tcPr>
          <w:p w14:paraId="44E2B6C2" w14:textId="77777777" w:rsidR="005062EE" w:rsidRPr="005062EE" w:rsidRDefault="005062EE" w:rsidP="00DC54F7">
            <w:pPr>
              <w:spacing w:after="0" w:line="240" w:lineRule="auto"/>
              <w:jc w:val="both"/>
              <w:rPr>
                <w:rFonts w:ascii="Calibri" w:eastAsia="Times New Roman" w:hAnsi="Calibri" w:cs="Calibri"/>
                <w:b/>
                <w:bCs/>
                <w:color w:val="FFFFFF"/>
                <w:lang w:eastAsia="en-GB"/>
              </w:rPr>
            </w:pPr>
            <w:r w:rsidRPr="005062EE">
              <w:rPr>
                <w:rFonts w:ascii="Calibri" w:eastAsia="Times New Roman" w:hAnsi="Calibri" w:cs="Calibri"/>
                <w:b/>
                <w:bCs/>
                <w:color w:val="FFFFFF"/>
                <w:lang w:eastAsia="en-GB"/>
              </w:rPr>
              <w:t>20%</w:t>
            </w:r>
          </w:p>
        </w:tc>
      </w:tr>
      <w:tr w:rsidR="005062EE" w:rsidRPr="005062EE" w14:paraId="4279F324" w14:textId="77777777" w:rsidTr="005062EE">
        <w:trPr>
          <w:trHeight w:val="308"/>
        </w:trPr>
        <w:tc>
          <w:tcPr>
            <w:tcW w:w="1399" w:type="dxa"/>
            <w:shd w:val="clear" w:color="000000" w:fill="F2F2F2"/>
            <w:noWrap/>
            <w:vAlign w:val="center"/>
            <w:hideMark/>
          </w:tcPr>
          <w:p w14:paraId="7424C6CD" w14:textId="77777777"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Cardiff East</w:t>
            </w:r>
          </w:p>
        </w:tc>
        <w:tc>
          <w:tcPr>
            <w:tcW w:w="949" w:type="dxa"/>
            <w:shd w:val="clear" w:color="000000" w:fill="F2F2F2"/>
            <w:noWrap/>
            <w:vAlign w:val="center"/>
            <w:hideMark/>
          </w:tcPr>
          <w:p w14:paraId="41EB91B2" w14:textId="77777777"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43.5</w:t>
            </w:r>
          </w:p>
        </w:tc>
        <w:tc>
          <w:tcPr>
            <w:tcW w:w="950" w:type="dxa"/>
            <w:shd w:val="clear" w:color="000000" w:fill="F2F2F2"/>
            <w:noWrap/>
            <w:vAlign w:val="center"/>
            <w:hideMark/>
          </w:tcPr>
          <w:p w14:paraId="054130CF" w14:textId="77777777"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69.6</w:t>
            </w:r>
          </w:p>
        </w:tc>
        <w:tc>
          <w:tcPr>
            <w:tcW w:w="949" w:type="dxa"/>
            <w:shd w:val="clear" w:color="000000" w:fill="F2F2F2"/>
            <w:noWrap/>
            <w:vAlign w:val="center"/>
            <w:hideMark/>
          </w:tcPr>
          <w:p w14:paraId="30FA3231" w14:textId="77777777"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30.4</w:t>
            </w:r>
          </w:p>
        </w:tc>
        <w:tc>
          <w:tcPr>
            <w:tcW w:w="950" w:type="dxa"/>
            <w:shd w:val="clear" w:color="000000" w:fill="F2F2F2"/>
            <w:noWrap/>
            <w:vAlign w:val="center"/>
            <w:hideMark/>
          </w:tcPr>
          <w:p w14:paraId="09645619" w14:textId="77777777"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52.5</w:t>
            </w:r>
          </w:p>
        </w:tc>
        <w:tc>
          <w:tcPr>
            <w:tcW w:w="949" w:type="dxa"/>
            <w:shd w:val="clear" w:color="000000" w:fill="F2F2F2"/>
            <w:noWrap/>
            <w:vAlign w:val="center"/>
            <w:hideMark/>
          </w:tcPr>
          <w:p w14:paraId="6947BDD1" w14:textId="77777777"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21.7</w:t>
            </w:r>
          </w:p>
        </w:tc>
        <w:tc>
          <w:tcPr>
            <w:tcW w:w="950" w:type="dxa"/>
            <w:shd w:val="clear" w:color="000000" w:fill="F2F2F2"/>
            <w:noWrap/>
            <w:vAlign w:val="center"/>
            <w:hideMark/>
          </w:tcPr>
          <w:p w14:paraId="0049F8BC" w14:textId="77777777"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47.8</w:t>
            </w:r>
          </w:p>
        </w:tc>
        <w:tc>
          <w:tcPr>
            <w:tcW w:w="949" w:type="dxa"/>
            <w:shd w:val="clear" w:color="000000" w:fill="F2F2F2"/>
            <w:noWrap/>
            <w:vAlign w:val="center"/>
            <w:hideMark/>
          </w:tcPr>
          <w:p w14:paraId="30D7F6CD" w14:textId="1D19C1C4"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0</w:t>
            </w:r>
            <w:r w:rsidR="00500761">
              <w:rPr>
                <w:rFonts w:ascii="Calibri" w:eastAsia="Times New Roman" w:hAnsi="Calibri" w:cs="Calibri"/>
                <w:color w:val="000000"/>
                <w:lang w:eastAsia="en-GB"/>
              </w:rPr>
              <w:t>.0</w:t>
            </w:r>
          </w:p>
        </w:tc>
        <w:tc>
          <w:tcPr>
            <w:tcW w:w="950" w:type="dxa"/>
            <w:shd w:val="clear" w:color="000000" w:fill="F2F2F2"/>
            <w:noWrap/>
            <w:vAlign w:val="center"/>
            <w:hideMark/>
          </w:tcPr>
          <w:p w14:paraId="6823DA48" w14:textId="77777777"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8.7</w:t>
            </w:r>
          </w:p>
        </w:tc>
      </w:tr>
      <w:tr w:rsidR="005062EE" w:rsidRPr="005062EE" w14:paraId="302B5CD1" w14:textId="77777777" w:rsidTr="005062EE">
        <w:trPr>
          <w:trHeight w:val="319"/>
        </w:trPr>
        <w:tc>
          <w:tcPr>
            <w:tcW w:w="1399" w:type="dxa"/>
            <w:shd w:val="clear" w:color="auto" w:fill="auto"/>
            <w:noWrap/>
            <w:vAlign w:val="center"/>
            <w:hideMark/>
          </w:tcPr>
          <w:p w14:paraId="5B719700" w14:textId="77777777"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 xml:space="preserve">Cardiff </w:t>
            </w:r>
          </w:p>
        </w:tc>
        <w:tc>
          <w:tcPr>
            <w:tcW w:w="949" w:type="dxa"/>
            <w:shd w:val="clear" w:color="auto" w:fill="auto"/>
            <w:noWrap/>
            <w:vAlign w:val="center"/>
            <w:hideMark/>
          </w:tcPr>
          <w:p w14:paraId="2FBABC8F" w14:textId="77777777"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19.2</w:t>
            </w:r>
          </w:p>
        </w:tc>
        <w:tc>
          <w:tcPr>
            <w:tcW w:w="950" w:type="dxa"/>
            <w:shd w:val="clear" w:color="auto" w:fill="auto"/>
            <w:noWrap/>
            <w:vAlign w:val="center"/>
            <w:hideMark/>
          </w:tcPr>
          <w:p w14:paraId="29E08075" w14:textId="77777777"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30.8</w:t>
            </w:r>
          </w:p>
        </w:tc>
        <w:tc>
          <w:tcPr>
            <w:tcW w:w="949" w:type="dxa"/>
            <w:shd w:val="clear" w:color="auto" w:fill="auto"/>
            <w:noWrap/>
            <w:vAlign w:val="center"/>
            <w:hideMark/>
          </w:tcPr>
          <w:p w14:paraId="24ACDF6C" w14:textId="77777777"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14.5</w:t>
            </w:r>
          </w:p>
        </w:tc>
        <w:tc>
          <w:tcPr>
            <w:tcW w:w="950" w:type="dxa"/>
            <w:shd w:val="clear" w:color="auto" w:fill="auto"/>
            <w:noWrap/>
            <w:vAlign w:val="center"/>
            <w:hideMark/>
          </w:tcPr>
          <w:p w14:paraId="170400B0" w14:textId="105C2277"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22</w:t>
            </w:r>
            <w:r w:rsidR="00500761">
              <w:rPr>
                <w:rFonts w:ascii="Calibri" w:eastAsia="Times New Roman" w:hAnsi="Calibri" w:cs="Calibri"/>
                <w:color w:val="000000"/>
                <w:lang w:eastAsia="en-GB"/>
              </w:rPr>
              <w:t>.0</w:t>
            </w:r>
          </w:p>
        </w:tc>
        <w:tc>
          <w:tcPr>
            <w:tcW w:w="949" w:type="dxa"/>
            <w:shd w:val="clear" w:color="auto" w:fill="auto"/>
            <w:noWrap/>
            <w:vAlign w:val="center"/>
            <w:hideMark/>
          </w:tcPr>
          <w:p w14:paraId="0F9B1A3C" w14:textId="77777777"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12.1</w:t>
            </w:r>
          </w:p>
        </w:tc>
        <w:tc>
          <w:tcPr>
            <w:tcW w:w="950" w:type="dxa"/>
            <w:shd w:val="clear" w:color="auto" w:fill="auto"/>
            <w:noWrap/>
            <w:vAlign w:val="center"/>
            <w:hideMark/>
          </w:tcPr>
          <w:p w14:paraId="4C4A2F69" w14:textId="77777777"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20.1</w:t>
            </w:r>
          </w:p>
        </w:tc>
        <w:tc>
          <w:tcPr>
            <w:tcW w:w="949" w:type="dxa"/>
            <w:shd w:val="clear" w:color="auto" w:fill="auto"/>
            <w:noWrap/>
            <w:vAlign w:val="center"/>
            <w:hideMark/>
          </w:tcPr>
          <w:p w14:paraId="5509B126" w14:textId="39CBC0D2"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0</w:t>
            </w:r>
            <w:r w:rsidR="00500761">
              <w:rPr>
                <w:rFonts w:ascii="Calibri" w:eastAsia="Times New Roman" w:hAnsi="Calibri" w:cs="Calibri"/>
                <w:color w:val="000000"/>
                <w:lang w:eastAsia="en-GB"/>
              </w:rPr>
              <w:t>.0</w:t>
            </w:r>
          </w:p>
        </w:tc>
        <w:tc>
          <w:tcPr>
            <w:tcW w:w="950" w:type="dxa"/>
            <w:shd w:val="clear" w:color="auto" w:fill="auto"/>
            <w:noWrap/>
            <w:vAlign w:val="center"/>
            <w:hideMark/>
          </w:tcPr>
          <w:p w14:paraId="6FDDEF1F" w14:textId="77777777" w:rsidR="005062EE" w:rsidRPr="005062EE" w:rsidRDefault="005062EE" w:rsidP="00DC54F7">
            <w:pPr>
              <w:spacing w:after="0" w:line="240" w:lineRule="auto"/>
              <w:jc w:val="both"/>
              <w:rPr>
                <w:rFonts w:ascii="Calibri" w:eastAsia="Times New Roman" w:hAnsi="Calibri" w:cs="Calibri"/>
                <w:color w:val="000000"/>
                <w:lang w:eastAsia="en-GB"/>
              </w:rPr>
            </w:pPr>
            <w:r w:rsidRPr="005062EE">
              <w:rPr>
                <w:rFonts w:ascii="Calibri" w:eastAsia="Times New Roman" w:hAnsi="Calibri" w:cs="Calibri"/>
                <w:color w:val="000000"/>
                <w:lang w:eastAsia="en-GB"/>
              </w:rPr>
              <w:t>0.9</w:t>
            </w:r>
          </w:p>
        </w:tc>
      </w:tr>
    </w:tbl>
    <w:p w14:paraId="6F838C71" w14:textId="3CBED16B" w:rsidR="004377ED" w:rsidRDefault="003E2AEA" w:rsidP="00DC54F7">
      <w:pPr>
        <w:spacing w:after="0" w:line="240" w:lineRule="auto"/>
        <w:jc w:val="both"/>
        <w:rPr>
          <w:rFonts w:ascii="Arial" w:hAnsi="Arial" w:cs="Arial"/>
          <w:b/>
          <w:bCs/>
        </w:rPr>
      </w:pPr>
      <w:r>
        <w:t>Source: Welsh Index of Multiple Deprivation 2014, Welsh Government</w:t>
      </w:r>
    </w:p>
    <w:p w14:paraId="02457BE5" w14:textId="3EAEB28B" w:rsidR="0070545E" w:rsidRDefault="0070545E" w:rsidP="00DC54F7">
      <w:pPr>
        <w:spacing w:after="0" w:line="240" w:lineRule="auto"/>
        <w:jc w:val="both"/>
        <w:rPr>
          <w:rFonts w:ascii="Arial" w:hAnsi="Arial" w:cs="Arial"/>
          <w:b/>
          <w:bCs/>
        </w:rPr>
      </w:pPr>
    </w:p>
    <w:p w14:paraId="7519BFC7" w14:textId="7F76E679" w:rsidR="0070545E" w:rsidRPr="00202DB4" w:rsidRDefault="0070545E" w:rsidP="00DC54F7">
      <w:pPr>
        <w:spacing w:after="0" w:line="240" w:lineRule="auto"/>
        <w:jc w:val="both"/>
        <w:rPr>
          <w:rFonts w:ascii="Arial" w:hAnsi="Arial" w:cs="Arial"/>
          <w:color w:val="000000" w:themeColor="text1"/>
          <w:sz w:val="24"/>
          <w:szCs w:val="24"/>
        </w:rPr>
      </w:pPr>
      <w:r w:rsidRPr="00202DB4">
        <w:rPr>
          <w:rFonts w:ascii="Arial" w:hAnsi="Arial" w:cs="Arial"/>
          <w:sz w:val="24"/>
          <w:szCs w:val="24"/>
        </w:rPr>
        <w:t xml:space="preserve">The map below provides an indication of the </w:t>
      </w:r>
      <w:r w:rsidR="004F462D" w:rsidRPr="00202DB4">
        <w:rPr>
          <w:rFonts w:ascii="Arial" w:hAnsi="Arial" w:cs="Arial"/>
          <w:sz w:val="24"/>
          <w:szCs w:val="24"/>
        </w:rPr>
        <w:t xml:space="preserve">overall </w:t>
      </w:r>
      <w:r w:rsidRPr="00202DB4">
        <w:rPr>
          <w:rFonts w:ascii="Arial" w:hAnsi="Arial" w:cs="Arial"/>
          <w:sz w:val="24"/>
          <w:szCs w:val="24"/>
        </w:rPr>
        <w:t xml:space="preserve">levels of deprivation within the cluster. As can be seen from the map, all pharmacies are located within or near areas of higher deprivation. </w:t>
      </w:r>
    </w:p>
    <w:p w14:paraId="4F045ABC" w14:textId="77777777" w:rsidR="0070545E" w:rsidRDefault="0070545E" w:rsidP="00DC54F7">
      <w:pPr>
        <w:spacing w:after="0" w:line="240" w:lineRule="auto"/>
        <w:jc w:val="both"/>
        <w:rPr>
          <w:rFonts w:ascii="Arial" w:hAnsi="Arial" w:cs="Arial"/>
          <w:b/>
        </w:rPr>
      </w:pPr>
    </w:p>
    <w:p w14:paraId="779B67B1" w14:textId="77777777" w:rsidR="00676A15" w:rsidRDefault="00676A15" w:rsidP="00DC54F7">
      <w:pPr>
        <w:spacing w:after="0" w:line="240" w:lineRule="auto"/>
        <w:jc w:val="both"/>
        <w:rPr>
          <w:rFonts w:ascii="Arial" w:hAnsi="Arial" w:cs="Arial"/>
          <w:b/>
          <w:sz w:val="24"/>
          <w:szCs w:val="24"/>
        </w:rPr>
      </w:pPr>
    </w:p>
    <w:p w14:paraId="550CA0FC" w14:textId="77777777" w:rsidR="00676A15" w:rsidRDefault="00676A15" w:rsidP="00DC54F7">
      <w:pPr>
        <w:spacing w:after="0" w:line="240" w:lineRule="auto"/>
        <w:jc w:val="both"/>
        <w:rPr>
          <w:rFonts w:ascii="Arial" w:hAnsi="Arial" w:cs="Arial"/>
          <w:b/>
          <w:sz w:val="24"/>
          <w:szCs w:val="24"/>
        </w:rPr>
      </w:pPr>
    </w:p>
    <w:p w14:paraId="7CDE4235" w14:textId="77777777" w:rsidR="00676A15" w:rsidRDefault="00676A15" w:rsidP="00DC54F7">
      <w:pPr>
        <w:spacing w:after="0" w:line="240" w:lineRule="auto"/>
        <w:jc w:val="both"/>
        <w:rPr>
          <w:rFonts w:ascii="Arial" w:hAnsi="Arial" w:cs="Arial"/>
          <w:b/>
          <w:sz w:val="24"/>
          <w:szCs w:val="24"/>
        </w:rPr>
      </w:pPr>
    </w:p>
    <w:p w14:paraId="696BBF53" w14:textId="77777777" w:rsidR="00676A15" w:rsidRDefault="00676A15" w:rsidP="00DC54F7">
      <w:pPr>
        <w:spacing w:after="0" w:line="240" w:lineRule="auto"/>
        <w:jc w:val="both"/>
        <w:rPr>
          <w:rFonts w:ascii="Arial" w:hAnsi="Arial" w:cs="Arial"/>
          <w:b/>
          <w:sz w:val="24"/>
          <w:szCs w:val="24"/>
        </w:rPr>
      </w:pPr>
    </w:p>
    <w:p w14:paraId="0ABCB0F2" w14:textId="77777777" w:rsidR="00676A15" w:rsidRDefault="00676A15" w:rsidP="00DC54F7">
      <w:pPr>
        <w:spacing w:after="0" w:line="240" w:lineRule="auto"/>
        <w:jc w:val="both"/>
        <w:rPr>
          <w:rFonts w:ascii="Arial" w:hAnsi="Arial" w:cs="Arial"/>
          <w:b/>
          <w:sz w:val="24"/>
          <w:szCs w:val="24"/>
        </w:rPr>
      </w:pPr>
    </w:p>
    <w:p w14:paraId="4A611320" w14:textId="77777777" w:rsidR="00676A15" w:rsidRDefault="00676A15" w:rsidP="00DC54F7">
      <w:pPr>
        <w:spacing w:after="0" w:line="240" w:lineRule="auto"/>
        <w:jc w:val="both"/>
        <w:rPr>
          <w:rFonts w:ascii="Arial" w:hAnsi="Arial" w:cs="Arial"/>
          <w:b/>
          <w:sz w:val="24"/>
          <w:szCs w:val="24"/>
        </w:rPr>
      </w:pPr>
    </w:p>
    <w:p w14:paraId="4B789798" w14:textId="77777777" w:rsidR="00676A15" w:rsidRDefault="00676A15" w:rsidP="00DC54F7">
      <w:pPr>
        <w:spacing w:after="0" w:line="240" w:lineRule="auto"/>
        <w:jc w:val="both"/>
        <w:rPr>
          <w:rFonts w:ascii="Arial" w:hAnsi="Arial" w:cs="Arial"/>
          <w:b/>
          <w:sz w:val="24"/>
          <w:szCs w:val="24"/>
        </w:rPr>
      </w:pPr>
    </w:p>
    <w:p w14:paraId="3412D17C" w14:textId="50FB41CF" w:rsidR="00676A15" w:rsidRDefault="00676A15" w:rsidP="00DC54F7">
      <w:pPr>
        <w:jc w:val="both"/>
        <w:rPr>
          <w:rFonts w:ascii="Arial" w:hAnsi="Arial" w:cs="Arial"/>
          <w:b/>
          <w:sz w:val="24"/>
          <w:szCs w:val="24"/>
        </w:rPr>
      </w:pPr>
      <w:r>
        <w:rPr>
          <w:rFonts w:ascii="Arial" w:hAnsi="Arial" w:cs="Arial"/>
          <w:b/>
          <w:sz w:val="24"/>
          <w:szCs w:val="24"/>
        </w:rPr>
        <w:br w:type="page"/>
      </w:r>
    </w:p>
    <w:p w14:paraId="6F65E9A3" w14:textId="6C5C82CD" w:rsidR="00353926" w:rsidRPr="00597330" w:rsidRDefault="00DC04C8" w:rsidP="00DC54F7">
      <w:pPr>
        <w:spacing w:after="0" w:line="240" w:lineRule="auto"/>
        <w:jc w:val="both"/>
        <w:rPr>
          <w:rFonts w:ascii="Arial" w:hAnsi="Arial" w:cs="Arial"/>
          <w:b/>
          <w:sz w:val="24"/>
          <w:szCs w:val="24"/>
        </w:rPr>
      </w:pPr>
      <w:r w:rsidRPr="00597330">
        <w:rPr>
          <w:rFonts w:ascii="Arial" w:hAnsi="Arial" w:cs="Arial"/>
          <w:b/>
          <w:sz w:val="24"/>
          <w:szCs w:val="24"/>
        </w:rPr>
        <w:lastRenderedPageBreak/>
        <w:t>Map 8.1:</w:t>
      </w:r>
      <w:r w:rsidR="005008F3" w:rsidRPr="00597330">
        <w:rPr>
          <w:rFonts w:ascii="Arial" w:hAnsi="Arial" w:cs="Arial"/>
          <w:b/>
          <w:sz w:val="24"/>
          <w:szCs w:val="24"/>
        </w:rPr>
        <w:t xml:space="preserve"> Lower Super Output Areas (LSOAs) in Cardiff East cluster, grouped into quintiles by Welsh index of Multiple Deprivation 2019</w:t>
      </w:r>
    </w:p>
    <w:p w14:paraId="0F909458" w14:textId="5CE4C02E" w:rsidR="00353926" w:rsidRDefault="00D17EB5" w:rsidP="00DC54F7">
      <w:pPr>
        <w:spacing w:after="0" w:line="240" w:lineRule="auto"/>
        <w:jc w:val="both"/>
        <w:rPr>
          <w:rFonts w:ascii="Arial" w:hAnsi="Arial" w:cs="Arial"/>
          <w:b/>
        </w:rPr>
      </w:pPr>
      <w:r>
        <w:rPr>
          <w:noProof/>
          <w:lang w:eastAsia="en-GB"/>
        </w:rPr>
        <w:drawing>
          <wp:inline distT="0" distB="0" distL="0" distR="0" wp14:anchorId="30B36C90" wp14:editId="645FF4B4">
            <wp:extent cx="5725478" cy="3503691"/>
            <wp:effectExtent l="0" t="0" r="889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758892" cy="3524138"/>
                    </a:xfrm>
                    <a:prstGeom prst="rect">
                      <a:avLst/>
                    </a:prstGeom>
                    <a:noFill/>
                    <a:ln>
                      <a:noFill/>
                    </a:ln>
                  </pic:spPr>
                </pic:pic>
              </a:graphicData>
            </a:graphic>
          </wp:inline>
        </w:drawing>
      </w:r>
    </w:p>
    <w:p w14:paraId="2F021AF0" w14:textId="5FF3589B" w:rsidR="00353926" w:rsidRDefault="00353926" w:rsidP="00DC54F7">
      <w:pPr>
        <w:spacing w:after="0" w:line="240" w:lineRule="auto"/>
        <w:jc w:val="both"/>
        <w:rPr>
          <w:rFonts w:ascii="Arial" w:hAnsi="Arial" w:cs="Arial"/>
          <w:b/>
        </w:rPr>
      </w:pPr>
    </w:p>
    <w:p w14:paraId="159B2986" w14:textId="77777777" w:rsidR="007C6EA8" w:rsidRDefault="007C6EA8" w:rsidP="00DC54F7">
      <w:pPr>
        <w:spacing w:after="0" w:line="240" w:lineRule="auto"/>
        <w:jc w:val="both"/>
        <w:rPr>
          <w:rFonts w:ascii="Arial" w:hAnsi="Arial" w:cs="Arial"/>
          <w:b/>
        </w:rPr>
      </w:pPr>
    </w:p>
    <w:p w14:paraId="05341102" w14:textId="48B44232" w:rsidR="002E5216" w:rsidRPr="007E7AF0" w:rsidRDefault="007E7AF0" w:rsidP="00DC54F7">
      <w:pPr>
        <w:spacing w:after="0" w:line="240" w:lineRule="auto"/>
        <w:jc w:val="both"/>
        <w:rPr>
          <w:rFonts w:ascii="Arial" w:hAnsi="Arial" w:cs="Arial"/>
          <w:b/>
          <w:sz w:val="24"/>
          <w:szCs w:val="24"/>
        </w:rPr>
      </w:pPr>
      <w:r w:rsidRPr="007E7AF0">
        <w:rPr>
          <w:rFonts w:ascii="Arial" w:hAnsi="Arial" w:cs="Arial"/>
          <w:b/>
          <w:sz w:val="24"/>
          <w:szCs w:val="24"/>
        </w:rPr>
        <w:t xml:space="preserve">8.1.4 </w:t>
      </w:r>
      <w:r w:rsidR="008A71BC" w:rsidRPr="007E7AF0">
        <w:rPr>
          <w:rFonts w:ascii="Arial" w:hAnsi="Arial" w:cs="Arial"/>
          <w:b/>
          <w:sz w:val="24"/>
          <w:szCs w:val="24"/>
        </w:rPr>
        <w:t>Health profile</w:t>
      </w:r>
    </w:p>
    <w:p w14:paraId="64324266" w14:textId="2B8B8FD0" w:rsidR="008A71BC" w:rsidRDefault="008A71BC" w:rsidP="00DC54F7">
      <w:pPr>
        <w:spacing w:after="0" w:line="240" w:lineRule="auto"/>
        <w:jc w:val="both"/>
        <w:rPr>
          <w:rFonts w:ascii="Arial" w:hAnsi="Arial" w:cs="Arial"/>
          <w:bCs/>
        </w:rPr>
      </w:pPr>
    </w:p>
    <w:p w14:paraId="56DE62BB" w14:textId="5EFFAF33" w:rsidR="00353926" w:rsidRPr="007E7AF0" w:rsidRDefault="00310BE1" w:rsidP="00DC54F7">
      <w:pPr>
        <w:spacing w:after="0" w:line="240" w:lineRule="auto"/>
        <w:jc w:val="both"/>
        <w:rPr>
          <w:rFonts w:ascii="Arial" w:hAnsi="Arial" w:cs="Arial"/>
          <w:bCs/>
          <w:sz w:val="24"/>
          <w:szCs w:val="24"/>
        </w:rPr>
      </w:pPr>
      <w:r w:rsidRPr="007E7AF0">
        <w:rPr>
          <w:rFonts w:ascii="Arial" w:hAnsi="Arial" w:cs="Arial"/>
          <w:bCs/>
          <w:sz w:val="24"/>
          <w:szCs w:val="24"/>
        </w:rPr>
        <w:t>Overall, t</w:t>
      </w:r>
      <w:r w:rsidR="00790798" w:rsidRPr="007E7AF0">
        <w:rPr>
          <w:rFonts w:ascii="Arial" w:hAnsi="Arial" w:cs="Arial"/>
          <w:bCs/>
          <w:sz w:val="24"/>
          <w:szCs w:val="24"/>
        </w:rPr>
        <w:t xml:space="preserve">he prevalence of chronic </w:t>
      </w:r>
      <w:r w:rsidR="002A35CF" w:rsidRPr="007E7AF0">
        <w:rPr>
          <w:rFonts w:ascii="Arial" w:hAnsi="Arial" w:cs="Arial"/>
          <w:bCs/>
          <w:sz w:val="24"/>
          <w:szCs w:val="24"/>
        </w:rPr>
        <w:t>disease in Cardiff East cluster is lower than the average for Wales</w:t>
      </w:r>
      <w:r w:rsidR="00EA4280" w:rsidRPr="007E7AF0">
        <w:rPr>
          <w:rFonts w:ascii="Arial" w:hAnsi="Arial" w:cs="Arial"/>
          <w:bCs/>
          <w:sz w:val="24"/>
          <w:szCs w:val="24"/>
        </w:rPr>
        <w:t>.</w:t>
      </w:r>
      <w:r w:rsidR="00CC1315" w:rsidRPr="007E7AF0">
        <w:rPr>
          <w:rFonts w:ascii="Arial" w:hAnsi="Arial" w:cs="Arial"/>
          <w:bCs/>
          <w:sz w:val="24"/>
          <w:szCs w:val="24"/>
        </w:rPr>
        <w:t xml:space="preserve"> When compare</w:t>
      </w:r>
      <w:r w:rsidR="00100BEE" w:rsidRPr="007E7AF0">
        <w:rPr>
          <w:rFonts w:ascii="Arial" w:hAnsi="Arial" w:cs="Arial"/>
          <w:bCs/>
          <w:sz w:val="24"/>
          <w:szCs w:val="24"/>
        </w:rPr>
        <w:t>d</w:t>
      </w:r>
      <w:r w:rsidR="00CC1315" w:rsidRPr="007E7AF0">
        <w:rPr>
          <w:rFonts w:ascii="Arial" w:hAnsi="Arial" w:cs="Arial"/>
          <w:bCs/>
          <w:sz w:val="24"/>
          <w:szCs w:val="24"/>
        </w:rPr>
        <w:t xml:space="preserve"> to </w:t>
      </w:r>
      <w:r w:rsidR="00CC1315" w:rsidRPr="007E7AF0">
        <w:rPr>
          <w:rFonts w:ascii="Arial" w:eastAsia="Times New Roman" w:hAnsi="Arial" w:cs="Arial"/>
          <w:color w:val="000000"/>
          <w:sz w:val="24"/>
          <w:szCs w:val="24"/>
          <w:lang w:eastAsia="en-GB"/>
        </w:rPr>
        <w:t xml:space="preserve">Cardiff and Vale University Health Board, </w:t>
      </w:r>
      <w:r w:rsidR="006475EB" w:rsidRPr="007E7AF0">
        <w:rPr>
          <w:rFonts w:ascii="Arial" w:hAnsi="Arial" w:cs="Arial"/>
          <w:bCs/>
          <w:sz w:val="24"/>
          <w:szCs w:val="24"/>
        </w:rPr>
        <w:t>the estimated prevalence of</w:t>
      </w:r>
      <w:r w:rsidR="00D27A51" w:rsidRPr="007E7AF0">
        <w:rPr>
          <w:rFonts w:ascii="Arial" w:hAnsi="Arial" w:cs="Arial"/>
          <w:bCs/>
          <w:sz w:val="24"/>
          <w:szCs w:val="24"/>
        </w:rPr>
        <w:t xml:space="preserve"> </w:t>
      </w:r>
      <w:r w:rsidR="00D8384F" w:rsidRPr="007E7AF0">
        <w:rPr>
          <w:rFonts w:ascii="Arial" w:hAnsi="Arial" w:cs="Arial"/>
          <w:bCs/>
          <w:sz w:val="24"/>
          <w:szCs w:val="24"/>
        </w:rPr>
        <w:t>chronic disease is in general higher</w:t>
      </w:r>
      <w:r w:rsidR="00697888" w:rsidRPr="007E7AF0">
        <w:rPr>
          <w:rFonts w:ascii="Arial" w:hAnsi="Arial" w:cs="Arial"/>
          <w:bCs/>
          <w:sz w:val="24"/>
          <w:szCs w:val="24"/>
        </w:rPr>
        <w:t xml:space="preserve">, except for heart failure and stroke and transient ischaemic attacks. </w:t>
      </w:r>
      <w:r w:rsidR="00332109" w:rsidRPr="007E7AF0">
        <w:rPr>
          <w:rFonts w:ascii="Arial" w:hAnsi="Arial" w:cs="Arial"/>
          <w:bCs/>
          <w:sz w:val="24"/>
          <w:szCs w:val="24"/>
        </w:rPr>
        <w:t xml:space="preserve">The estimated prevalence of </w:t>
      </w:r>
      <w:r w:rsidR="00D27A51" w:rsidRPr="007E7AF0">
        <w:rPr>
          <w:rFonts w:ascii="Arial" w:hAnsi="Arial" w:cs="Arial"/>
          <w:bCs/>
          <w:sz w:val="24"/>
          <w:szCs w:val="24"/>
        </w:rPr>
        <w:t xml:space="preserve">chronic obstructive pulmonary disease (COPD) is the </w:t>
      </w:r>
      <w:r w:rsidR="00487A87" w:rsidRPr="007E7AF0">
        <w:rPr>
          <w:rFonts w:ascii="Arial" w:hAnsi="Arial" w:cs="Arial"/>
          <w:bCs/>
          <w:sz w:val="24"/>
          <w:szCs w:val="24"/>
        </w:rPr>
        <w:t xml:space="preserve">joint </w:t>
      </w:r>
      <w:r w:rsidR="00D27A51" w:rsidRPr="007E7AF0">
        <w:rPr>
          <w:rFonts w:ascii="Arial" w:hAnsi="Arial" w:cs="Arial"/>
          <w:bCs/>
          <w:sz w:val="24"/>
          <w:szCs w:val="24"/>
        </w:rPr>
        <w:t>highest of all the clusters in the health board</w:t>
      </w:r>
      <w:r w:rsidR="009E2772" w:rsidRPr="007E7AF0">
        <w:rPr>
          <w:rFonts w:ascii="Arial" w:hAnsi="Arial" w:cs="Arial"/>
          <w:bCs/>
          <w:sz w:val="24"/>
          <w:szCs w:val="24"/>
        </w:rPr>
        <w:t>’s area</w:t>
      </w:r>
      <w:r w:rsidR="00100BEE" w:rsidRPr="007E7AF0">
        <w:rPr>
          <w:rFonts w:ascii="Arial" w:hAnsi="Arial" w:cs="Arial"/>
          <w:bCs/>
          <w:sz w:val="24"/>
          <w:szCs w:val="24"/>
        </w:rPr>
        <w:t xml:space="preserve">, </w:t>
      </w:r>
      <w:r w:rsidR="00D41F1D" w:rsidRPr="007E7AF0">
        <w:rPr>
          <w:rFonts w:ascii="Arial" w:hAnsi="Arial" w:cs="Arial"/>
          <w:bCs/>
          <w:sz w:val="24"/>
          <w:szCs w:val="24"/>
        </w:rPr>
        <w:t>diabetes is the second highest</w:t>
      </w:r>
      <w:r w:rsidR="000C2046" w:rsidRPr="007E7AF0">
        <w:rPr>
          <w:rFonts w:ascii="Arial" w:hAnsi="Arial" w:cs="Arial"/>
          <w:bCs/>
          <w:sz w:val="24"/>
          <w:szCs w:val="24"/>
        </w:rPr>
        <w:t xml:space="preserve"> and coronary heart disease is the third.</w:t>
      </w:r>
    </w:p>
    <w:p w14:paraId="40AB6BFE" w14:textId="68A3374E" w:rsidR="0068018B" w:rsidRDefault="0068018B" w:rsidP="00DC54F7">
      <w:pPr>
        <w:pStyle w:val="Caption"/>
        <w:spacing w:before="0" w:after="0"/>
        <w:jc w:val="both"/>
        <w:rPr>
          <w:rFonts w:ascii="Arial" w:hAnsi="Arial" w:cs="Arial"/>
          <w:sz w:val="22"/>
          <w:szCs w:val="22"/>
        </w:rPr>
      </w:pPr>
    </w:p>
    <w:p w14:paraId="2A4C3932" w14:textId="369D03E6" w:rsidR="008A71BC" w:rsidRPr="00597330" w:rsidRDefault="00081DDA" w:rsidP="00DC54F7">
      <w:pPr>
        <w:pStyle w:val="Caption"/>
        <w:spacing w:before="0" w:after="0"/>
        <w:jc w:val="both"/>
        <w:rPr>
          <w:rFonts w:ascii="Arial" w:hAnsi="Arial" w:cs="Arial"/>
          <w:szCs w:val="24"/>
        </w:rPr>
      </w:pPr>
      <w:r w:rsidRPr="00597330">
        <w:rPr>
          <w:rFonts w:ascii="Arial" w:hAnsi="Arial" w:cs="Arial"/>
          <w:szCs w:val="24"/>
        </w:rPr>
        <w:t>Table 8.</w:t>
      </w:r>
      <w:r w:rsidR="00DC04C8" w:rsidRPr="00597330">
        <w:rPr>
          <w:rFonts w:ascii="Arial" w:hAnsi="Arial" w:cs="Arial"/>
          <w:szCs w:val="24"/>
        </w:rPr>
        <w:t>3</w:t>
      </w:r>
      <w:r w:rsidRPr="00597330">
        <w:rPr>
          <w:rFonts w:ascii="Arial" w:hAnsi="Arial" w:cs="Arial"/>
          <w:szCs w:val="24"/>
        </w:rPr>
        <w:t xml:space="preserve">: Estimated percentage </w:t>
      </w:r>
      <w:r w:rsidR="00027872" w:rsidRPr="00597330">
        <w:rPr>
          <w:rFonts w:ascii="Arial" w:hAnsi="Arial" w:cs="Arial"/>
          <w:szCs w:val="24"/>
        </w:rPr>
        <w:t>prevalence of chronic conditions</w:t>
      </w:r>
      <w:r w:rsidRPr="00597330">
        <w:rPr>
          <w:rFonts w:ascii="Arial" w:hAnsi="Arial" w:cs="Arial"/>
          <w:szCs w:val="24"/>
        </w:rPr>
        <w:t xml:space="preserve"> based on patients on GP practice registers by cluster, local authority, health board and Wales, 2019.</w:t>
      </w:r>
    </w:p>
    <w:tbl>
      <w:tblPr>
        <w:tblW w:w="9549" w:type="dxa"/>
        <w:tblLook w:val="04A0" w:firstRow="1" w:lastRow="0" w:firstColumn="1" w:lastColumn="0" w:noHBand="0" w:noVBand="1"/>
      </w:tblPr>
      <w:tblGrid>
        <w:gridCol w:w="2325"/>
        <w:gridCol w:w="1202"/>
        <w:gridCol w:w="1202"/>
        <w:gridCol w:w="1202"/>
        <w:gridCol w:w="1202"/>
        <w:gridCol w:w="1202"/>
        <w:gridCol w:w="1214"/>
      </w:tblGrid>
      <w:tr w:rsidR="00B24400" w:rsidRPr="00B24400" w14:paraId="04F18A87" w14:textId="77777777" w:rsidTr="00A27D75">
        <w:trPr>
          <w:trHeight w:val="309"/>
        </w:trPr>
        <w:tc>
          <w:tcPr>
            <w:tcW w:w="2325" w:type="dxa"/>
            <w:tcBorders>
              <w:top w:val="single" w:sz="4" w:space="0" w:color="auto"/>
              <w:left w:val="single" w:sz="4" w:space="0" w:color="auto"/>
              <w:bottom w:val="nil"/>
              <w:right w:val="nil"/>
            </w:tcBorders>
            <w:shd w:val="clear" w:color="auto" w:fill="8497B0"/>
            <w:noWrap/>
            <w:vAlign w:val="bottom"/>
            <w:hideMark/>
          </w:tcPr>
          <w:p w14:paraId="799EFB01" w14:textId="77777777" w:rsidR="00B24400" w:rsidRPr="00A27D75" w:rsidRDefault="00B24400" w:rsidP="00DC54F7">
            <w:pPr>
              <w:spacing w:after="0" w:line="240" w:lineRule="auto"/>
              <w:jc w:val="both"/>
              <w:rPr>
                <w:rFonts w:ascii="Calibri" w:eastAsia="Times New Roman" w:hAnsi="Calibri" w:cs="Calibri"/>
                <w:color w:val="000000"/>
                <w:lang w:eastAsia="en-GB"/>
              </w:rPr>
            </w:pPr>
            <w:r w:rsidRPr="00A27D75">
              <w:rPr>
                <w:rFonts w:ascii="Calibri" w:eastAsia="Times New Roman" w:hAnsi="Calibri" w:cs="Calibri"/>
                <w:color w:val="000000"/>
                <w:lang w:eastAsia="en-GB"/>
              </w:rPr>
              <w:t> </w:t>
            </w:r>
          </w:p>
        </w:tc>
        <w:tc>
          <w:tcPr>
            <w:tcW w:w="7224" w:type="dxa"/>
            <w:gridSpan w:val="6"/>
            <w:tcBorders>
              <w:top w:val="single" w:sz="4" w:space="0" w:color="auto"/>
              <w:left w:val="nil"/>
              <w:bottom w:val="single" w:sz="4" w:space="0" w:color="FFFFFF"/>
              <w:right w:val="single" w:sz="4" w:space="0" w:color="auto"/>
            </w:tcBorders>
            <w:shd w:val="clear" w:color="auto" w:fill="8497B0"/>
            <w:noWrap/>
            <w:vAlign w:val="bottom"/>
            <w:hideMark/>
          </w:tcPr>
          <w:p w14:paraId="6310574A" w14:textId="77777777" w:rsidR="00B24400" w:rsidRPr="00A27D75" w:rsidRDefault="00B24400"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Percentage</w:t>
            </w:r>
          </w:p>
        </w:tc>
      </w:tr>
      <w:tr w:rsidR="00AF21D9" w:rsidRPr="00B24400" w14:paraId="40DE8D42" w14:textId="77777777" w:rsidTr="00A27D75">
        <w:trPr>
          <w:trHeight w:val="1123"/>
        </w:trPr>
        <w:tc>
          <w:tcPr>
            <w:tcW w:w="2325" w:type="dxa"/>
            <w:tcBorders>
              <w:top w:val="nil"/>
              <w:left w:val="single" w:sz="4" w:space="0" w:color="auto"/>
              <w:bottom w:val="nil"/>
              <w:right w:val="nil"/>
            </w:tcBorders>
            <w:shd w:val="clear" w:color="auto" w:fill="8497B0"/>
            <w:noWrap/>
            <w:vAlign w:val="bottom"/>
            <w:hideMark/>
          </w:tcPr>
          <w:p w14:paraId="415C0BF3" w14:textId="77777777" w:rsidR="00B24400" w:rsidRPr="00A27D75" w:rsidRDefault="00B24400"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Area</w:t>
            </w:r>
          </w:p>
        </w:tc>
        <w:tc>
          <w:tcPr>
            <w:tcW w:w="1202" w:type="dxa"/>
            <w:tcBorders>
              <w:top w:val="nil"/>
              <w:left w:val="nil"/>
              <w:bottom w:val="nil"/>
              <w:right w:val="nil"/>
            </w:tcBorders>
            <w:shd w:val="clear" w:color="auto" w:fill="8497B0"/>
            <w:vAlign w:val="bottom"/>
            <w:hideMark/>
          </w:tcPr>
          <w:p w14:paraId="034337E2" w14:textId="77777777" w:rsidR="00B24400" w:rsidRPr="00A27D75" w:rsidRDefault="00B24400"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Asthma</w:t>
            </w:r>
          </w:p>
        </w:tc>
        <w:tc>
          <w:tcPr>
            <w:tcW w:w="1202" w:type="dxa"/>
            <w:tcBorders>
              <w:top w:val="nil"/>
              <w:left w:val="nil"/>
              <w:bottom w:val="nil"/>
              <w:right w:val="nil"/>
            </w:tcBorders>
            <w:shd w:val="clear" w:color="auto" w:fill="8497B0"/>
            <w:vAlign w:val="bottom"/>
            <w:hideMark/>
          </w:tcPr>
          <w:p w14:paraId="44C37AF8" w14:textId="77777777" w:rsidR="00B24400" w:rsidRPr="00A27D75" w:rsidRDefault="00B24400"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Coronary heart disease</w:t>
            </w:r>
          </w:p>
        </w:tc>
        <w:tc>
          <w:tcPr>
            <w:tcW w:w="1202" w:type="dxa"/>
            <w:tcBorders>
              <w:top w:val="nil"/>
              <w:left w:val="nil"/>
              <w:bottom w:val="nil"/>
              <w:right w:val="nil"/>
            </w:tcBorders>
            <w:shd w:val="clear" w:color="auto" w:fill="8497B0"/>
            <w:vAlign w:val="bottom"/>
            <w:hideMark/>
          </w:tcPr>
          <w:p w14:paraId="1A5159D6" w14:textId="77777777" w:rsidR="00B24400" w:rsidRPr="00A27D75" w:rsidRDefault="00B24400"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COPD</w:t>
            </w:r>
          </w:p>
        </w:tc>
        <w:tc>
          <w:tcPr>
            <w:tcW w:w="1202" w:type="dxa"/>
            <w:tcBorders>
              <w:top w:val="nil"/>
              <w:left w:val="nil"/>
              <w:bottom w:val="nil"/>
              <w:right w:val="nil"/>
            </w:tcBorders>
            <w:shd w:val="clear" w:color="auto" w:fill="8497B0"/>
            <w:vAlign w:val="bottom"/>
            <w:hideMark/>
          </w:tcPr>
          <w:p w14:paraId="3DF013C6" w14:textId="77777777" w:rsidR="00B24400" w:rsidRPr="00A27D75" w:rsidRDefault="00B24400"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Diabetes</w:t>
            </w:r>
          </w:p>
        </w:tc>
        <w:tc>
          <w:tcPr>
            <w:tcW w:w="1202" w:type="dxa"/>
            <w:tcBorders>
              <w:top w:val="nil"/>
              <w:left w:val="nil"/>
              <w:bottom w:val="nil"/>
              <w:right w:val="nil"/>
            </w:tcBorders>
            <w:shd w:val="clear" w:color="auto" w:fill="8497B0"/>
            <w:vAlign w:val="bottom"/>
            <w:hideMark/>
          </w:tcPr>
          <w:p w14:paraId="3E337323" w14:textId="77777777" w:rsidR="00B24400" w:rsidRPr="00A27D75" w:rsidRDefault="00B24400"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Heart failure</w:t>
            </w:r>
          </w:p>
        </w:tc>
        <w:tc>
          <w:tcPr>
            <w:tcW w:w="1210" w:type="dxa"/>
            <w:tcBorders>
              <w:top w:val="nil"/>
              <w:left w:val="nil"/>
              <w:bottom w:val="single" w:sz="4" w:space="0" w:color="A9D08E"/>
              <w:right w:val="single" w:sz="4" w:space="0" w:color="auto"/>
            </w:tcBorders>
            <w:shd w:val="clear" w:color="auto" w:fill="8497B0"/>
            <w:vAlign w:val="bottom"/>
            <w:hideMark/>
          </w:tcPr>
          <w:p w14:paraId="56D4E83F" w14:textId="77777777" w:rsidR="00B24400" w:rsidRPr="00A27D75" w:rsidRDefault="00B24400" w:rsidP="00DC54F7">
            <w:pPr>
              <w:spacing w:after="0" w:line="240" w:lineRule="auto"/>
              <w:jc w:val="both"/>
              <w:rPr>
                <w:rFonts w:ascii="Calibri" w:eastAsia="Times New Roman" w:hAnsi="Calibri" w:cs="Calibri"/>
                <w:b/>
                <w:bCs/>
                <w:color w:val="FFFFFF"/>
                <w:lang w:eastAsia="en-GB"/>
              </w:rPr>
            </w:pPr>
            <w:r w:rsidRPr="00A27D75">
              <w:rPr>
                <w:rFonts w:ascii="Calibri" w:eastAsia="Times New Roman" w:hAnsi="Calibri" w:cs="Calibri"/>
                <w:b/>
                <w:bCs/>
                <w:color w:val="FFFFFF"/>
                <w:lang w:eastAsia="en-GB"/>
              </w:rPr>
              <w:t>Stroke and transient ischaemic attacks</w:t>
            </w:r>
          </w:p>
        </w:tc>
      </w:tr>
      <w:tr w:rsidR="00B24400" w:rsidRPr="00B24400" w14:paraId="1BFE7429" w14:textId="77777777" w:rsidTr="00A27D75">
        <w:trPr>
          <w:trHeight w:val="309"/>
        </w:trPr>
        <w:tc>
          <w:tcPr>
            <w:tcW w:w="2325" w:type="dxa"/>
            <w:tcBorders>
              <w:top w:val="nil"/>
              <w:left w:val="single" w:sz="4" w:space="0" w:color="auto"/>
              <w:bottom w:val="nil"/>
              <w:right w:val="nil"/>
            </w:tcBorders>
            <w:shd w:val="clear" w:color="000000" w:fill="F2F2F2"/>
            <w:noWrap/>
            <w:vAlign w:val="bottom"/>
            <w:hideMark/>
          </w:tcPr>
          <w:p w14:paraId="34DDE4AF" w14:textId="77777777"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Cardiff East</w:t>
            </w:r>
          </w:p>
        </w:tc>
        <w:tc>
          <w:tcPr>
            <w:tcW w:w="1202" w:type="dxa"/>
            <w:tcBorders>
              <w:top w:val="nil"/>
              <w:left w:val="nil"/>
              <w:bottom w:val="nil"/>
              <w:right w:val="nil"/>
            </w:tcBorders>
            <w:shd w:val="clear" w:color="000000" w:fill="F2F2F2"/>
            <w:noWrap/>
            <w:vAlign w:val="bottom"/>
            <w:hideMark/>
          </w:tcPr>
          <w:p w14:paraId="3F9AE0E5" w14:textId="4471C882"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6.8</w:t>
            </w:r>
          </w:p>
        </w:tc>
        <w:tc>
          <w:tcPr>
            <w:tcW w:w="1202" w:type="dxa"/>
            <w:tcBorders>
              <w:top w:val="nil"/>
              <w:left w:val="nil"/>
              <w:bottom w:val="nil"/>
              <w:right w:val="nil"/>
            </w:tcBorders>
            <w:shd w:val="clear" w:color="000000" w:fill="F2F2F2"/>
            <w:noWrap/>
            <w:vAlign w:val="bottom"/>
            <w:hideMark/>
          </w:tcPr>
          <w:p w14:paraId="33B28A6F" w14:textId="627BF010"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2.9</w:t>
            </w:r>
          </w:p>
        </w:tc>
        <w:tc>
          <w:tcPr>
            <w:tcW w:w="1202" w:type="dxa"/>
            <w:tcBorders>
              <w:top w:val="nil"/>
              <w:left w:val="nil"/>
              <w:bottom w:val="nil"/>
              <w:right w:val="nil"/>
            </w:tcBorders>
            <w:shd w:val="clear" w:color="000000" w:fill="F2F2F2"/>
            <w:noWrap/>
            <w:vAlign w:val="bottom"/>
            <w:hideMark/>
          </w:tcPr>
          <w:p w14:paraId="6375849C" w14:textId="49FBFA31"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2.3</w:t>
            </w:r>
          </w:p>
        </w:tc>
        <w:tc>
          <w:tcPr>
            <w:tcW w:w="1202" w:type="dxa"/>
            <w:tcBorders>
              <w:top w:val="nil"/>
              <w:left w:val="nil"/>
              <w:bottom w:val="nil"/>
              <w:right w:val="nil"/>
            </w:tcBorders>
            <w:shd w:val="clear" w:color="000000" w:fill="F2F2F2"/>
            <w:noWrap/>
            <w:vAlign w:val="bottom"/>
            <w:hideMark/>
          </w:tcPr>
          <w:p w14:paraId="2E6D4F08" w14:textId="6B8FDF47"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5.6</w:t>
            </w:r>
          </w:p>
        </w:tc>
        <w:tc>
          <w:tcPr>
            <w:tcW w:w="1202" w:type="dxa"/>
            <w:tcBorders>
              <w:top w:val="nil"/>
              <w:left w:val="nil"/>
              <w:bottom w:val="nil"/>
              <w:right w:val="nil"/>
            </w:tcBorders>
            <w:shd w:val="clear" w:color="000000" w:fill="F2F2F2"/>
            <w:noWrap/>
            <w:vAlign w:val="bottom"/>
            <w:hideMark/>
          </w:tcPr>
          <w:p w14:paraId="327DB123" w14:textId="69895122"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0.9</w:t>
            </w:r>
          </w:p>
        </w:tc>
        <w:tc>
          <w:tcPr>
            <w:tcW w:w="1210" w:type="dxa"/>
            <w:tcBorders>
              <w:top w:val="nil"/>
              <w:left w:val="nil"/>
              <w:bottom w:val="nil"/>
              <w:right w:val="single" w:sz="4" w:space="0" w:color="auto"/>
            </w:tcBorders>
            <w:shd w:val="clear" w:color="000000" w:fill="F2F2F2"/>
            <w:noWrap/>
            <w:vAlign w:val="bottom"/>
            <w:hideMark/>
          </w:tcPr>
          <w:p w14:paraId="1B014D48" w14:textId="5DF5365C"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1.6</w:t>
            </w:r>
          </w:p>
        </w:tc>
      </w:tr>
      <w:tr w:rsidR="00B24400" w:rsidRPr="00B24400" w14:paraId="758470FA" w14:textId="77777777" w:rsidTr="00A27D75">
        <w:trPr>
          <w:trHeight w:val="309"/>
        </w:trPr>
        <w:tc>
          <w:tcPr>
            <w:tcW w:w="2325" w:type="dxa"/>
            <w:tcBorders>
              <w:top w:val="nil"/>
              <w:left w:val="single" w:sz="4" w:space="0" w:color="auto"/>
              <w:bottom w:val="nil"/>
              <w:right w:val="nil"/>
            </w:tcBorders>
            <w:shd w:val="clear" w:color="000000" w:fill="FFFFFF"/>
            <w:noWrap/>
            <w:vAlign w:val="bottom"/>
            <w:hideMark/>
          </w:tcPr>
          <w:p w14:paraId="0BBB1ACB" w14:textId="77777777"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Cardiff</w:t>
            </w:r>
          </w:p>
        </w:tc>
        <w:tc>
          <w:tcPr>
            <w:tcW w:w="1202" w:type="dxa"/>
            <w:tcBorders>
              <w:top w:val="nil"/>
              <w:left w:val="nil"/>
              <w:bottom w:val="nil"/>
              <w:right w:val="nil"/>
            </w:tcBorders>
            <w:shd w:val="clear" w:color="000000" w:fill="FFFFFF"/>
            <w:noWrap/>
            <w:vAlign w:val="bottom"/>
            <w:hideMark/>
          </w:tcPr>
          <w:p w14:paraId="23FFA5AE" w14:textId="5C25FB44"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6.6</w:t>
            </w:r>
          </w:p>
        </w:tc>
        <w:tc>
          <w:tcPr>
            <w:tcW w:w="1202" w:type="dxa"/>
            <w:tcBorders>
              <w:top w:val="nil"/>
              <w:left w:val="nil"/>
              <w:bottom w:val="nil"/>
              <w:right w:val="nil"/>
            </w:tcBorders>
            <w:shd w:val="clear" w:color="000000" w:fill="FFFFFF"/>
            <w:noWrap/>
            <w:vAlign w:val="bottom"/>
            <w:hideMark/>
          </w:tcPr>
          <w:p w14:paraId="2183C613" w14:textId="30A8B8F8"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2.5</w:t>
            </w:r>
          </w:p>
        </w:tc>
        <w:tc>
          <w:tcPr>
            <w:tcW w:w="1202" w:type="dxa"/>
            <w:tcBorders>
              <w:top w:val="nil"/>
              <w:left w:val="nil"/>
              <w:bottom w:val="nil"/>
              <w:right w:val="nil"/>
            </w:tcBorders>
            <w:shd w:val="clear" w:color="000000" w:fill="FFFFFF"/>
            <w:noWrap/>
            <w:vAlign w:val="bottom"/>
            <w:hideMark/>
          </w:tcPr>
          <w:p w14:paraId="575293C7" w14:textId="62BA15EC"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1.6</w:t>
            </w:r>
          </w:p>
        </w:tc>
        <w:tc>
          <w:tcPr>
            <w:tcW w:w="1202" w:type="dxa"/>
            <w:tcBorders>
              <w:top w:val="nil"/>
              <w:left w:val="nil"/>
              <w:bottom w:val="nil"/>
              <w:right w:val="nil"/>
            </w:tcBorders>
            <w:shd w:val="clear" w:color="000000" w:fill="FFFFFF"/>
            <w:noWrap/>
            <w:vAlign w:val="bottom"/>
            <w:hideMark/>
          </w:tcPr>
          <w:p w14:paraId="15FC2112" w14:textId="097589A1"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4.9</w:t>
            </w:r>
          </w:p>
        </w:tc>
        <w:tc>
          <w:tcPr>
            <w:tcW w:w="1202" w:type="dxa"/>
            <w:tcBorders>
              <w:top w:val="nil"/>
              <w:left w:val="nil"/>
              <w:bottom w:val="nil"/>
              <w:right w:val="nil"/>
            </w:tcBorders>
            <w:shd w:val="clear" w:color="000000" w:fill="FFFFFF"/>
            <w:noWrap/>
            <w:vAlign w:val="bottom"/>
            <w:hideMark/>
          </w:tcPr>
          <w:p w14:paraId="048D78F9" w14:textId="53FA852E"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0.8</w:t>
            </w:r>
          </w:p>
        </w:tc>
        <w:tc>
          <w:tcPr>
            <w:tcW w:w="1210" w:type="dxa"/>
            <w:tcBorders>
              <w:top w:val="nil"/>
              <w:left w:val="nil"/>
              <w:bottom w:val="nil"/>
              <w:right w:val="single" w:sz="4" w:space="0" w:color="auto"/>
            </w:tcBorders>
            <w:shd w:val="clear" w:color="000000" w:fill="FFFFFF"/>
            <w:noWrap/>
            <w:vAlign w:val="bottom"/>
            <w:hideMark/>
          </w:tcPr>
          <w:p w14:paraId="42669C3C" w14:textId="233344DC"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1.6</w:t>
            </w:r>
          </w:p>
        </w:tc>
      </w:tr>
      <w:tr w:rsidR="00B24400" w:rsidRPr="00B24400" w14:paraId="2583FF61" w14:textId="77777777" w:rsidTr="00A27D75">
        <w:trPr>
          <w:trHeight w:val="309"/>
        </w:trPr>
        <w:tc>
          <w:tcPr>
            <w:tcW w:w="2325" w:type="dxa"/>
            <w:tcBorders>
              <w:top w:val="nil"/>
              <w:left w:val="single" w:sz="4" w:space="0" w:color="auto"/>
              <w:bottom w:val="nil"/>
              <w:right w:val="nil"/>
            </w:tcBorders>
            <w:shd w:val="clear" w:color="000000" w:fill="F2F2F2"/>
            <w:noWrap/>
            <w:vAlign w:val="bottom"/>
            <w:hideMark/>
          </w:tcPr>
          <w:p w14:paraId="74EF1616" w14:textId="77777777"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Cardiff and Vale UHB</w:t>
            </w:r>
          </w:p>
        </w:tc>
        <w:tc>
          <w:tcPr>
            <w:tcW w:w="1202" w:type="dxa"/>
            <w:tcBorders>
              <w:top w:val="nil"/>
              <w:left w:val="nil"/>
              <w:bottom w:val="nil"/>
              <w:right w:val="nil"/>
            </w:tcBorders>
            <w:shd w:val="clear" w:color="000000" w:fill="F2F2F2"/>
            <w:noWrap/>
            <w:vAlign w:val="bottom"/>
            <w:hideMark/>
          </w:tcPr>
          <w:p w14:paraId="132F4028" w14:textId="382549F4"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6.7</w:t>
            </w:r>
          </w:p>
        </w:tc>
        <w:tc>
          <w:tcPr>
            <w:tcW w:w="1202" w:type="dxa"/>
            <w:tcBorders>
              <w:top w:val="nil"/>
              <w:left w:val="nil"/>
              <w:bottom w:val="nil"/>
              <w:right w:val="nil"/>
            </w:tcBorders>
            <w:shd w:val="clear" w:color="000000" w:fill="F2F2F2"/>
            <w:noWrap/>
            <w:vAlign w:val="bottom"/>
            <w:hideMark/>
          </w:tcPr>
          <w:p w14:paraId="16BD033E" w14:textId="53CCD291"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2.7</w:t>
            </w:r>
          </w:p>
        </w:tc>
        <w:tc>
          <w:tcPr>
            <w:tcW w:w="1202" w:type="dxa"/>
            <w:tcBorders>
              <w:top w:val="nil"/>
              <w:left w:val="nil"/>
              <w:bottom w:val="nil"/>
              <w:right w:val="nil"/>
            </w:tcBorders>
            <w:shd w:val="clear" w:color="000000" w:fill="F2F2F2"/>
            <w:noWrap/>
            <w:vAlign w:val="bottom"/>
            <w:hideMark/>
          </w:tcPr>
          <w:p w14:paraId="6C322AA7" w14:textId="17E7DCB2"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1.7</w:t>
            </w:r>
          </w:p>
        </w:tc>
        <w:tc>
          <w:tcPr>
            <w:tcW w:w="1202" w:type="dxa"/>
            <w:tcBorders>
              <w:top w:val="nil"/>
              <w:left w:val="nil"/>
              <w:bottom w:val="nil"/>
              <w:right w:val="nil"/>
            </w:tcBorders>
            <w:shd w:val="clear" w:color="000000" w:fill="F2F2F2"/>
            <w:noWrap/>
            <w:vAlign w:val="bottom"/>
            <w:hideMark/>
          </w:tcPr>
          <w:p w14:paraId="5B9B2D4C" w14:textId="7D2D8913"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5.0</w:t>
            </w:r>
          </w:p>
        </w:tc>
        <w:tc>
          <w:tcPr>
            <w:tcW w:w="1202" w:type="dxa"/>
            <w:tcBorders>
              <w:top w:val="nil"/>
              <w:left w:val="nil"/>
              <w:bottom w:val="nil"/>
              <w:right w:val="nil"/>
            </w:tcBorders>
            <w:shd w:val="clear" w:color="000000" w:fill="F2F2F2"/>
            <w:noWrap/>
            <w:vAlign w:val="bottom"/>
            <w:hideMark/>
          </w:tcPr>
          <w:p w14:paraId="6B259459" w14:textId="4CD40AE7"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0.9</w:t>
            </w:r>
          </w:p>
        </w:tc>
        <w:tc>
          <w:tcPr>
            <w:tcW w:w="1210" w:type="dxa"/>
            <w:tcBorders>
              <w:top w:val="nil"/>
              <w:left w:val="nil"/>
              <w:bottom w:val="nil"/>
              <w:right w:val="single" w:sz="4" w:space="0" w:color="auto"/>
            </w:tcBorders>
            <w:shd w:val="clear" w:color="000000" w:fill="F2F2F2"/>
            <w:noWrap/>
            <w:vAlign w:val="bottom"/>
            <w:hideMark/>
          </w:tcPr>
          <w:p w14:paraId="1BB90F13" w14:textId="00E572CF"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1.7</w:t>
            </w:r>
          </w:p>
        </w:tc>
      </w:tr>
      <w:tr w:rsidR="00B24400" w:rsidRPr="00B24400" w14:paraId="6D41386D" w14:textId="77777777" w:rsidTr="00A27D75">
        <w:trPr>
          <w:trHeight w:val="309"/>
        </w:trPr>
        <w:tc>
          <w:tcPr>
            <w:tcW w:w="2325" w:type="dxa"/>
            <w:tcBorders>
              <w:top w:val="nil"/>
              <w:left w:val="single" w:sz="4" w:space="0" w:color="auto"/>
              <w:bottom w:val="single" w:sz="4" w:space="0" w:color="auto"/>
              <w:right w:val="nil"/>
            </w:tcBorders>
            <w:shd w:val="clear" w:color="000000" w:fill="FFFFFF"/>
            <w:noWrap/>
            <w:vAlign w:val="bottom"/>
            <w:hideMark/>
          </w:tcPr>
          <w:p w14:paraId="53E8FDE9" w14:textId="77777777"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Wales</w:t>
            </w:r>
          </w:p>
        </w:tc>
        <w:tc>
          <w:tcPr>
            <w:tcW w:w="1202" w:type="dxa"/>
            <w:tcBorders>
              <w:top w:val="nil"/>
              <w:left w:val="nil"/>
              <w:bottom w:val="single" w:sz="4" w:space="0" w:color="auto"/>
              <w:right w:val="nil"/>
            </w:tcBorders>
            <w:shd w:val="clear" w:color="000000" w:fill="FFFFFF"/>
            <w:noWrap/>
            <w:vAlign w:val="bottom"/>
            <w:hideMark/>
          </w:tcPr>
          <w:p w14:paraId="2C61AD09" w14:textId="0992DED9"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7.1</w:t>
            </w:r>
          </w:p>
        </w:tc>
        <w:tc>
          <w:tcPr>
            <w:tcW w:w="1202" w:type="dxa"/>
            <w:tcBorders>
              <w:top w:val="nil"/>
              <w:left w:val="nil"/>
              <w:bottom w:val="single" w:sz="4" w:space="0" w:color="auto"/>
              <w:right w:val="nil"/>
            </w:tcBorders>
            <w:shd w:val="clear" w:color="000000" w:fill="FFFFFF"/>
            <w:noWrap/>
            <w:vAlign w:val="bottom"/>
            <w:hideMark/>
          </w:tcPr>
          <w:p w14:paraId="3A38007F" w14:textId="73B6E1A9"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3.6</w:t>
            </w:r>
          </w:p>
        </w:tc>
        <w:tc>
          <w:tcPr>
            <w:tcW w:w="1202" w:type="dxa"/>
            <w:tcBorders>
              <w:top w:val="nil"/>
              <w:left w:val="nil"/>
              <w:bottom w:val="single" w:sz="4" w:space="0" w:color="auto"/>
              <w:right w:val="nil"/>
            </w:tcBorders>
            <w:shd w:val="clear" w:color="000000" w:fill="FFFFFF"/>
            <w:noWrap/>
            <w:vAlign w:val="bottom"/>
            <w:hideMark/>
          </w:tcPr>
          <w:p w14:paraId="1177D3E4" w14:textId="350A69F6"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2.4</w:t>
            </w:r>
          </w:p>
        </w:tc>
        <w:tc>
          <w:tcPr>
            <w:tcW w:w="1202" w:type="dxa"/>
            <w:tcBorders>
              <w:top w:val="nil"/>
              <w:left w:val="nil"/>
              <w:bottom w:val="single" w:sz="4" w:space="0" w:color="auto"/>
              <w:right w:val="nil"/>
            </w:tcBorders>
            <w:shd w:val="clear" w:color="000000" w:fill="FFFFFF"/>
            <w:noWrap/>
            <w:vAlign w:val="bottom"/>
            <w:hideMark/>
          </w:tcPr>
          <w:p w14:paraId="3D089DCE" w14:textId="56F0A8D1"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6.1</w:t>
            </w:r>
          </w:p>
        </w:tc>
        <w:tc>
          <w:tcPr>
            <w:tcW w:w="1202" w:type="dxa"/>
            <w:tcBorders>
              <w:top w:val="nil"/>
              <w:left w:val="nil"/>
              <w:bottom w:val="single" w:sz="4" w:space="0" w:color="auto"/>
              <w:right w:val="nil"/>
            </w:tcBorders>
            <w:shd w:val="clear" w:color="000000" w:fill="FFFFFF"/>
            <w:noWrap/>
            <w:vAlign w:val="bottom"/>
            <w:hideMark/>
          </w:tcPr>
          <w:p w14:paraId="0E9AC8B9" w14:textId="7DB32DE9"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1.1</w:t>
            </w:r>
          </w:p>
        </w:tc>
        <w:tc>
          <w:tcPr>
            <w:tcW w:w="1210" w:type="dxa"/>
            <w:tcBorders>
              <w:top w:val="nil"/>
              <w:left w:val="nil"/>
              <w:bottom w:val="single" w:sz="4" w:space="0" w:color="auto"/>
              <w:right w:val="single" w:sz="4" w:space="0" w:color="auto"/>
            </w:tcBorders>
            <w:shd w:val="clear" w:color="000000" w:fill="FFFFFF"/>
            <w:noWrap/>
            <w:vAlign w:val="bottom"/>
            <w:hideMark/>
          </w:tcPr>
          <w:p w14:paraId="63130F5C" w14:textId="7F0CA19D" w:rsidR="00B24400" w:rsidRPr="00F55B53" w:rsidRDefault="00B24400" w:rsidP="00DC54F7">
            <w:pPr>
              <w:spacing w:after="0" w:line="240" w:lineRule="auto"/>
              <w:jc w:val="both"/>
              <w:rPr>
                <w:rFonts w:ascii="Calibri" w:eastAsia="Times New Roman" w:hAnsi="Calibri" w:cs="Calibri"/>
                <w:color w:val="000000"/>
                <w:lang w:eastAsia="en-GB"/>
              </w:rPr>
            </w:pPr>
            <w:r w:rsidRPr="00F55B53">
              <w:rPr>
                <w:rFonts w:ascii="Calibri" w:eastAsia="Times New Roman" w:hAnsi="Calibri" w:cs="Calibri"/>
                <w:color w:val="000000"/>
                <w:lang w:eastAsia="en-GB"/>
              </w:rPr>
              <w:t>2.1</w:t>
            </w:r>
          </w:p>
        </w:tc>
      </w:tr>
    </w:tbl>
    <w:p w14:paraId="102B0D5D" w14:textId="6979EB9A" w:rsidR="002E5216" w:rsidRPr="0073296E" w:rsidRDefault="003C7DC1" w:rsidP="00DC54F7">
      <w:pPr>
        <w:jc w:val="both"/>
        <w:rPr>
          <w:rFonts w:ascii="Arial" w:hAnsi="Arial" w:cs="Arial"/>
          <w:sz w:val="20"/>
          <w:szCs w:val="20"/>
        </w:rPr>
      </w:pPr>
      <w:r w:rsidRPr="00855AE1">
        <w:rPr>
          <w:rFonts w:ascii="Arial" w:hAnsi="Arial" w:cs="Arial"/>
          <w:sz w:val="20"/>
          <w:szCs w:val="20"/>
        </w:rPr>
        <w:t>Source: QOF 2019</w:t>
      </w:r>
    </w:p>
    <w:p w14:paraId="13F2184F" w14:textId="55BAB94C" w:rsidR="002E5216" w:rsidRPr="00A27D75" w:rsidRDefault="00255D67" w:rsidP="00DC54F7">
      <w:pPr>
        <w:spacing w:after="0" w:line="240" w:lineRule="auto"/>
        <w:jc w:val="both"/>
        <w:rPr>
          <w:rFonts w:ascii="Arial" w:hAnsi="Arial" w:cs="Arial"/>
          <w:bCs/>
          <w:sz w:val="24"/>
          <w:szCs w:val="24"/>
        </w:rPr>
      </w:pPr>
      <w:r w:rsidRPr="00A27D75">
        <w:rPr>
          <w:rFonts w:ascii="Arial" w:hAnsi="Arial" w:cs="Arial"/>
          <w:bCs/>
          <w:sz w:val="24"/>
          <w:szCs w:val="24"/>
        </w:rPr>
        <w:lastRenderedPageBreak/>
        <w:t xml:space="preserve">Cardiff East cluster has a higher estimated prevalence of dementia </w:t>
      </w:r>
      <w:r w:rsidR="00C8345E" w:rsidRPr="00A27D75">
        <w:rPr>
          <w:rFonts w:ascii="Arial" w:hAnsi="Arial" w:cs="Arial"/>
          <w:bCs/>
          <w:sz w:val="24"/>
          <w:szCs w:val="24"/>
        </w:rPr>
        <w:t xml:space="preserve">than the average for Wales. </w:t>
      </w:r>
      <w:r w:rsidR="007D10E2" w:rsidRPr="00A27D75">
        <w:rPr>
          <w:rFonts w:ascii="Arial" w:hAnsi="Arial" w:cs="Arial"/>
          <w:bCs/>
          <w:sz w:val="24"/>
          <w:szCs w:val="24"/>
        </w:rPr>
        <w:t xml:space="preserve">It has the joint second highest prevalence of all the clusters in the health board. </w:t>
      </w:r>
      <w:r w:rsidR="00B9162C" w:rsidRPr="00A27D75">
        <w:rPr>
          <w:rFonts w:ascii="Arial" w:hAnsi="Arial" w:cs="Arial"/>
          <w:bCs/>
          <w:sz w:val="24"/>
          <w:szCs w:val="24"/>
        </w:rPr>
        <w:t xml:space="preserve">The estimated prevalence of mental health conditions </w:t>
      </w:r>
      <w:r w:rsidR="006532CC" w:rsidRPr="00A27D75">
        <w:rPr>
          <w:rFonts w:ascii="Arial" w:hAnsi="Arial" w:cs="Arial"/>
          <w:bCs/>
          <w:sz w:val="24"/>
          <w:szCs w:val="24"/>
        </w:rPr>
        <w:t>is lower than the average for Wales and the health board.</w:t>
      </w:r>
    </w:p>
    <w:p w14:paraId="56EC26B4" w14:textId="77777777" w:rsidR="00213C32" w:rsidRPr="002E5216" w:rsidRDefault="00213C32" w:rsidP="00DC54F7">
      <w:pPr>
        <w:spacing w:after="0" w:line="240" w:lineRule="auto"/>
        <w:jc w:val="both"/>
        <w:rPr>
          <w:rFonts w:ascii="Arial" w:hAnsi="Arial" w:cs="Arial"/>
          <w:bCs/>
        </w:rPr>
      </w:pPr>
    </w:p>
    <w:p w14:paraId="476FC4CB" w14:textId="517FE11C" w:rsidR="002778FE" w:rsidRPr="00635165" w:rsidRDefault="00081DDA" w:rsidP="00DC54F7">
      <w:pPr>
        <w:spacing w:after="0" w:line="240" w:lineRule="auto"/>
        <w:jc w:val="both"/>
        <w:rPr>
          <w:sz w:val="24"/>
          <w:szCs w:val="24"/>
        </w:rPr>
      </w:pPr>
      <w:bookmarkStart w:id="38" w:name="_Hlk67670573"/>
      <w:r w:rsidRPr="00635165">
        <w:rPr>
          <w:rFonts w:ascii="Arial" w:hAnsi="Arial" w:cs="Arial"/>
          <w:b/>
          <w:bCs/>
          <w:sz w:val="24"/>
          <w:szCs w:val="24"/>
        </w:rPr>
        <w:t>Table 8.</w:t>
      </w:r>
      <w:r w:rsidR="00DC04C8" w:rsidRPr="00635165">
        <w:rPr>
          <w:rFonts w:ascii="Arial" w:hAnsi="Arial" w:cs="Arial"/>
          <w:b/>
          <w:bCs/>
          <w:sz w:val="24"/>
          <w:szCs w:val="24"/>
        </w:rPr>
        <w:t>4</w:t>
      </w:r>
      <w:r w:rsidRPr="00635165">
        <w:rPr>
          <w:rFonts w:ascii="Arial" w:hAnsi="Arial" w:cs="Arial"/>
          <w:b/>
          <w:bCs/>
          <w:sz w:val="24"/>
          <w:szCs w:val="24"/>
        </w:rPr>
        <w:t>: Percentage of patients registered as having a mental health condition, and dementia by cluster, local authority, health board and Wales, 2019</w:t>
      </w:r>
      <w:bookmarkEnd w:id="38"/>
    </w:p>
    <w:tbl>
      <w:tblPr>
        <w:tblW w:w="9411"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137"/>
        <w:gridCol w:w="3137"/>
        <w:gridCol w:w="3137"/>
      </w:tblGrid>
      <w:tr w:rsidR="00B8334D" w:rsidRPr="00B8334D" w14:paraId="48B56CB0" w14:textId="77777777" w:rsidTr="003D1F74">
        <w:trPr>
          <w:trHeight w:val="277"/>
        </w:trPr>
        <w:tc>
          <w:tcPr>
            <w:tcW w:w="3137" w:type="dxa"/>
            <w:shd w:val="clear" w:color="auto" w:fill="8497B0"/>
            <w:noWrap/>
            <w:vAlign w:val="bottom"/>
            <w:hideMark/>
          </w:tcPr>
          <w:p w14:paraId="100EB41F" w14:textId="77777777" w:rsidR="00B8334D" w:rsidRPr="00B8334D" w:rsidRDefault="00B8334D" w:rsidP="00DC54F7">
            <w:pPr>
              <w:spacing w:after="0" w:line="240" w:lineRule="auto"/>
              <w:jc w:val="both"/>
              <w:rPr>
                <w:rFonts w:ascii="Calibri" w:eastAsia="Times New Roman" w:hAnsi="Calibri" w:cs="Calibri"/>
                <w:color w:val="000000"/>
                <w:lang w:eastAsia="en-GB"/>
              </w:rPr>
            </w:pPr>
            <w:r w:rsidRPr="00B8334D">
              <w:rPr>
                <w:rFonts w:ascii="Calibri" w:eastAsia="Times New Roman" w:hAnsi="Calibri" w:cs="Calibri"/>
                <w:color w:val="000000"/>
                <w:lang w:eastAsia="en-GB"/>
              </w:rPr>
              <w:t> </w:t>
            </w:r>
          </w:p>
        </w:tc>
        <w:tc>
          <w:tcPr>
            <w:tcW w:w="3137" w:type="dxa"/>
            <w:shd w:val="clear" w:color="auto" w:fill="8497B0"/>
            <w:noWrap/>
            <w:vAlign w:val="bottom"/>
            <w:hideMark/>
          </w:tcPr>
          <w:p w14:paraId="1F20B6F8" w14:textId="77777777" w:rsidR="00B8334D" w:rsidRPr="00B8334D" w:rsidRDefault="00B8334D" w:rsidP="00DC54F7">
            <w:pPr>
              <w:spacing w:after="0" w:line="240" w:lineRule="auto"/>
              <w:jc w:val="both"/>
              <w:rPr>
                <w:rFonts w:ascii="Calibri" w:eastAsia="Times New Roman" w:hAnsi="Calibri" w:cs="Calibri"/>
                <w:b/>
                <w:bCs/>
                <w:color w:val="FFFFFF"/>
                <w:lang w:eastAsia="en-GB"/>
              </w:rPr>
            </w:pPr>
            <w:r w:rsidRPr="00B8334D">
              <w:rPr>
                <w:rFonts w:ascii="Calibri" w:eastAsia="Times New Roman" w:hAnsi="Calibri" w:cs="Calibri"/>
                <w:b/>
                <w:bCs/>
                <w:color w:val="FFFFFF"/>
                <w:lang w:eastAsia="en-GB"/>
              </w:rPr>
              <w:t>Dementia (percentage)</w:t>
            </w:r>
          </w:p>
        </w:tc>
        <w:tc>
          <w:tcPr>
            <w:tcW w:w="3137" w:type="dxa"/>
            <w:shd w:val="clear" w:color="auto" w:fill="8497B0"/>
            <w:noWrap/>
            <w:vAlign w:val="bottom"/>
            <w:hideMark/>
          </w:tcPr>
          <w:p w14:paraId="45181A4A" w14:textId="77777777" w:rsidR="00B8334D" w:rsidRPr="00B8334D" w:rsidRDefault="00B8334D" w:rsidP="00DC54F7">
            <w:pPr>
              <w:spacing w:after="0" w:line="240" w:lineRule="auto"/>
              <w:jc w:val="both"/>
              <w:rPr>
                <w:rFonts w:ascii="Calibri" w:eastAsia="Times New Roman" w:hAnsi="Calibri" w:cs="Calibri"/>
                <w:b/>
                <w:bCs/>
                <w:color w:val="FFFFFF"/>
                <w:lang w:eastAsia="en-GB"/>
              </w:rPr>
            </w:pPr>
            <w:r w:rsidRPr="00B8334D">
              <w:rPr>
                <w:rFonts w:ascii="Calibri" w:eastAsia="Times New Roman" w:hAnsi="Calibri" w:cs="Calibri"/>
                <w:b/>
                <w:bCs/>
                <w:color w:val="FFFFFF"/>
                <w:lang w:eastAsia="en-GB"/>
              </w:rPr>
              <w:t>Mental Health (percentage)</w:t>
            </w:r>
          </w:p>
        </w:tc>
      </w:tr>
      <w:tr w:rsidR="00B8334D" w:rsidRPr="00B8334D" w14:paraId="7457FA8C" w14:textId="77777777" w:rsidTr="003D1F74">
        <w:trPr>
          <w:trHeight w:val="277"/>
        </w:trPr>
        <w:tc>
          <w:tcPr>
            <w:tcW w:w="3137" w:type="dxa"/>
            <w:shd w:val="clear" w:color="auto" w:fill="F2F2F2" w:themeFill="background1" w:themeFillShade="F2"/>
            <w:noWrap/>
            <w:vAlign w:val="bottom"/>
            <w:hideMark/>
          </w:tcPr>
          <w:p w14:paraId="731773AD" w14:textId="77777777" w:rsidR="00B8334D" w:rsidRPr="00B8334D" w:rsidRDefault="00B8334D" w:rsidP="00DC54F7">
            <w:pPr>
              <w:spacing w:after="0" w:line="240" w:lineRule="auto"/>
              <w:jc w:val="both"/>
              <w:rPr>
                <w:rFonts w:ascii="Calibri" w:eastAsia="Times New Roman" w:hAnsi="Calibri" w:cs="Calibri"/>
                <w:color w:val="000000"/>
                <w:lang w:eastAsia="en-GB"/>
              </w:rPr>
            </w:pPr>
            <w:r w:rsidRPr="00B8334D">
              <w:rPr>
                <w:rFonts w:ascii="Calibri" w:eastAsia="Times New Roman" w:hAnsi="Calibri" w:cs="Calibri"/>
                <w:color w:val="000000"/>
                <w:lang w:eastAsia="en-GB"/>
              </w:rPr>
              <w:t>Cardiff South East</w:t>
            </w:r>
          </w:p>
        </w:tc>
        <w:tc>
          <w:tcPr>
            <w:tcW w:w="3137" w:type="dxa"/>
            <w:shd w:val="clear" w:color="auto" w:fill="F2F2F2" w:themeFill="background1" w:themeFillShade="F2"/>
            <w:noWrap/>
            <w:vAlign w:val="bottom"/>
            <w:hideMark/>
          </w:tcPr>
          <w:p w14:paraId="65BDA895" w14:textId="5ACA1968" w:rsidR="00B8334D" w:rsidRPr="00B8334D" w:rsidRDefault="00B8334D" w:rsidP="00DC54F7">
            <w:pPr>
              <w:spacing w:after="0" w:line="240" w:lineRule="auto"/>
              <w:jc w:val="both"/>
              <w:rPr>
                <w:rFonts w:ascii="Calibri" w:eastAsia="Times New Roman" w:hAnsi="Calibri" w:cs="Calibri"/>
                <w:color w:val="000000"/>
                <w:lang w:eastAsia="en-GB"/>
              </w:rPr>
            </w:pPr>
            <w:r w:rsidRPr="00B8334D">
              <w:rPr>
                <w:rFonts w:ascii="Calibri" w:eastAsia="Times New Roman" w:hAnsi="Calibri" w:cs="Calibri"/>
                <w:color w:val="000000"/>
                <w:lang w:eastAsia="en-GB"/>
              </w:rPr>
              <w:t>0.8</w:t>
            </w:r>
          </w:p>
        </w:tc>
        <w:tc>
          <w:tcPr>
            <w:tcW w:w="3137" w:type="dxa"/>
            <w:shd w:val="clear" w:color="auto" w:fill="F2F2F2" w:themeFill="background1" w:themeFillShade="F2"/>
            <w:noWrap/>
            <w:vAlign w:val="bottom"/>
            <w:hideMark/>
          </w:tcPr>
          <w:p w14:paraId="37F95C55" w14:textId="77AF2095" w:rsidR="00B8334D" w:rsidRPr="00B8334D" w:rsidRDefault="00B8334D" w:rsidP="00DC54F7">
            <w:pPr>
              <w:spacing w:after="0" w:line="240" w:lineRule="auto"/>
              <w:jc w:val="both"/>
              <w:rPr>
                <w:rFonts w:ascii="Calibri" w:eastAsia="Times New Roman" w:hAnsi="Calibri" w:cs="Calibri"/>
                <w:color w:val="000000"/>
                <w:lang w:eastAsia="en-GB"/>
              </w:rPr>
            </w:pPr>
            <w:r w:rsidRPr="00B8334D">
              <w:rPr>
                <w:rFonts w:ascii="Calibri" w:eastAsia="Times New Roman" w:hAnsi="Calibri" w:cs="Calibri"/>
                <w:color w:val="000000"/>
                <w:lang w:eastAsia="en-GB"/>
              </w:rPr>
              <w:t>0.8</w:t>
            </w:r>
          </w:p>
        </w:tc>
      </w:tr>
      <w:tr w:rsidR="00B8334D" w:rsidRPr="00B8334D" w14:paraId="14142576" w14:textId="77777777" w:rsidTr="003D1F74">
        <w:trPr>
          <w:trHeight w:val="277"/>
        </w:trPr>
        <w:tc>
          <w:tcPr>
            <w:tcW w:w="3137" w:type="dxa"/>
            <w:shd w:val="clear" w:color="auto" w:fill="FFFFFF" w:themeFill="background1"/>
            <w:vAlign w:val="bottom"/>
            <w:hideMark/>
          </w:tcPr>
          <w:p w14:paraId="6E33CC9C" w14:textId="77777777" w:rsidR="00B8334D" w:rsidRPr="00B8334D" w:rsidRDefault="00B8334D" w:rsidP="00DC54F7">
            <w:pPr>
              <w:spacing w:after="0" w:line="240" w:lineRule="auto"/>
              <w:jc w:val="both"/>
              <w:rPr>
                <w:rFonts w:ascii="Calibri" w:eastAsia="Times New Roman" w:hAnsi="Calibri" w:cs="Calibri"/>
                <w:lang w:eastAsia="en-GB"/>
              </w:rPr>
            </w:pPr>
            <w:r w:rsidRPr="00B8334D">
              <w:rPr>
                <w:rFonts w:ascii="Calibri" w:eastAsia="Times New Roman" w:hAnsi="Calibri" w:cs="Calibri"/>
                <w:lang w:eastAsia="en-GB"/>
              </w:rPr>
              <w:t>Cardiff</w:t>
            </w:r>
          </w:p>
        </w:tc>
        <w:tc>
          <w:tcPr>
            <w:tcW w:w="3137" w:type="dxa"/>
            <w:shd w:val="clear" w:color="auto" w:fill="FFFFFF" w:themeFill="background1"/>
            <w:noWrap/>
            <w:vAlign w:val="bottom"/>
            <w:hideMark/>
          </w:tcPr>
          <w:p w14:paraId="543D7156" w14:textId="163D86CC" w:rsidR="00B8334D" w:rsidRPr="00B8334D" w:rsidRDefault="00B8334D" w:rsidP="00DC54F7">
            <w:pPr>
              <w:spacing w:after="0" w:line="240" w:lineRule="auto"/>
              <w:jc w:val="both"/>
              <w:rPr>
                <w:rFonts w:ascii="Calibri" w:eastAsia="Times New Roman" w:hAnsi="Calibri" w:cs="Calibri"/>
                <w:color w:val="000000"/>
                <w:lang w:eastAsia="en-GB"/>
              </w:rPr>
            </w:pPr>
            <w:r w:rsidRPr="00B8334D">
              <w:rPr>
                <w:rFonts w:ascii="Calibri" w:eastAsia="Times New Roman" w:hAnsi="Calibri" w:cs="Calibri"/>
                <w:color w:val="000000"/>
                <w:lang w:eastAsia="en-GB"/>
              </w:rPr>
              <w:t>0.6</w:t>
            </w:r>
          </w:p>
        </w:tc>
        <w:tc>
          <w:tcPr>
            <w:tcW w:w="3137" w:type="dxa"/>
            <w:shd w:val="clear" w:color="auto" w:fill="FFFFFF" w:themeFill="background1"/>
            <w:noWrap/>
            <w:vAlign w:val="bottom"/>
            <w:hideMark/>
          </w:tcPr>
          <w:p w14:paraId="5431C309" w14:textId="1481F336" w:rsidR="00B8334D" w:rsidRPr="00B8334D" w:rsidRDefault="00B8334D" w:rsidP="00DC54F7">
            <w:pPr>
              <w:spacing w:after="0" w:line="240" w:lineRule="auto"/>
              <w:jc w:val="both"/>
              <w:rPr>
                <w:rFonts w:ascii="Calibri" w:eastAsia="Times New Roman" w:hAnsi="Calibri" w:cs="Calibri"/>
                <w:color w:val="000000"/>
                <w:lang w:eastAsia="en-GB"/>
              </w:rPr>
            </w:pPr>
            <w:r w:rsidRPr="00B8334D">
              <w:rPr>
                <w:rFonts w:ascii="Calibri" w:eastAsia="Times New Roman" w:hAnsi="Calibri" w:cs="Calibri"/>
                <w:color w:val="000000"/>
                <w:lang w:eastAsia="en-GB"/>
              </w:rPr>
              <w:t>0.9</w:t>
            </w:r>
          </w:p>
        </w:tc>
      </w:tr>
      <w:tr w:rsidR="00B8334D" w:rsidRPr="00B8334D" w14:paraId="7994E53D" w14:textId="77777777" w:rsidTr="003D1F74">
        <w:trPr>
          <w:trHeight w:val="277"/>
        </w:trPr>
        <w:tc>
          <w:tcPr>
            <w:tcW w:w="3137" w:type="dxa"/>
            <w:shd w:val="clear" w:color="auto" w:fill="F2F2F2" w:themeFill="background1" w:themeFillShade="F2"/>
            <w:vAlign w:val="bottom"/>
            <w:hideMark/>
          </w:tcPr>
          <w:p w14:paraId="63EDD6A3" w14:textId="77777777" w:rsidR="00B8334D" w:rsidRPr="00B8334D" w:rsidRDefault="00B8334D" w:rsidP="00DC54F7">
            <w:pPr>
              <w:spacing w:after="0" w:line="240" w:lineRule="auto"/>
              <w:jc w:val="both"/>
              <w:rPr>
                <w:rFonts w:ascii="Calibri" w:eastAsia="Times New Roman" w:hAnsi="Calibri" w:cs="Calibri"/>
                <w:lang w:eastAsia="en-GB"/>
              </w:rPr>
            </w:pPr>
            <w:r w:rsidRPr="00B8334D">
              <w:rPr>
                <w:rFonts w:ascii="Calibri" w:eastAsia="Times New Roman" w:hAnsi="Calibri" w:cs="Calibri"/>
                <w:lang w:eastAsia="en-GB"/>
              </w:rPr>
              <w:t>Cardiff &amp; Vale UHB</w:t>
            </w:r>
          </w:p>
        </w:tc>
        <w:tc>
          <w:tcPr>
            <w:tcW w:w="3137" w:type="dxa"/>
            <w:shd w:val="clear" w:color="auto" w:fill="F2F2F2" w:themeFill="background1" w:themeFillShade="F2"/>
            <w:noWrap/>
            <w:vAlign w:val="bottom"/>
            <w:hideMark/>
          </w:tcPr>
          <w:p w14:paraId="365022F3" w14:textId="5168F5AF" w:rsidR="00B8334D" w:rsidRPr="00B8334D" w:rsidRDefault="00B8334D" w:rsidP="00DC54F7">
            <w:pPr>
              <w:spacing w:after="0" w:line="240" w:lineRule="auto"/>
              <w:jc w:val="both"/>
              <w:rPr>
                <w:rFonts w:ascii="Calibri" w:eastAsia="Times New Roman" w:hAnsi="Calibri" w:cs="Calibri"/>
                <w:color w:val="000000"/>
                <w:lang w:eastAsia="en-GB"/>
              </w:rPr>
            </w:pPr>
            <w:r w:rsidRPr="00B8334D">
              <w:rPr>
                <w:rFonts w:ascii="Calibri" w:eastAsia="Times New Roman" w:hAnsi="Calibri" w:cs="Calibri"/>
                <w:color w:val="000000"/>
                <w:lang w:eastAsia="en-GB"/>
              </w:rPr>
              <w:t>0.7</w:t>
            </w:r>
          </w:p>
        </w:tc>
        <w:tc>
          <w:tcPr>
            <w:tcW w:w="3137" w:type="dxa"/>
            <w:shd w:val="clear" w:color="auto" w:fill="F2F2F2" w:themeFill="background1" w:themeFillShade="F2"/>
            <w:noWrap/>
            <w:vAlign w:val="bottom"/>
            <w:hideMark/>
          </w:tcPr>
          <w:p w14:paraId="3B59A828" w14:textId="585C147D" w:rsidR="00B8334D" w:rsidRPr="00B8334D" w:rsidRDefault="00B8334D" w:rsidP="00DC54F7">
            <w:pPr>
              <w:spacing w:after="0" w:line="240" w:lineRule="auto"/>
              <w:jc w:val="both"/>
              <w:rPr>
                <w:rFonts w:ascii="Calibri" w:eastAsia="Times New Roman" w:hAnsi="Calibri" w:cs="Calibri"/>
                <w:color w:val="000000"/>
                <w:lang w:eastAsia="en-GB"/>
              </w:rPr>
            </w:pPr>
            <w:r w:rsidRPr="00B8334D">
              <w:rPr>
                <w:rFonts w:ascii="Calibri" w:eastAsia="Times New Roman" w:hAnsi="Calibri" w:cs="Calibri"/>
                <w:color w:val="000000"/>
                <w:lang w:eastAsia="en-GB"/>
              </w:rPr>
              <w:t>0.9</w:t>
            </w:r>
          </w:p>
        </w:tc>
      </w:tr>
      <w:tr w:rsidR="00B8334D" w:rsidRPr="00B8334D" w14:paraId="09A2CE49" w14:textId="77777777" w:rsidTr="003D1F74">
        <w:trPr>
          <w:trHeight w:val="277"/>
        </w:trPr>
        <w:tc>
          <w:tcPr>
            <w:tcW w:w="3137" w:type="dxa"/>
            <w:shd w:val="clear" w:color="auto" w:fill="FFFFFF" w:themeFill="background1"/>
            <w:vAlign w:val="bottom"/>
            <w:hideMark/>
          </w:tcPr>
          <w:p w14:paraId="602B45C7" w14:textId="77777777" w:rsidR="00B8334D" w:rsidRPr="00B8334D" w:rsidRDefault="00B8334D" w:rsidP="00DC54F7">
            <w:pPr>
              <w:spacing w:after="0" w:line="240" w:lineRule="auto"/>
              <w:jc w:val="both"/>
              <w:rPr>
                <w:rFonts w:ascii="Calibri" w:eastAsia="Times New Roman" w:hAnsi="Calibri" w:cs="Calibri"/>
                <w:lang w:eastAsia="en-GB"/>
              </w:rPr>
            </w:pPr>
            <w:r w:rsidRPr="00B8334D">
              <w:rPr>
                <w:rFonts w:ascii="Calibri" w:eastAsia="Times New Roman" w:hAnsi="Calibri" w:cs="Calibri"/>
                <w:lang w:eastAsia="en-GB"/>
              </w:rPr>
              <w:t>Wales</w:t>
            </w:r>
          </w:p>
        </w:tc>
        <w:tc>
          <w:tcPr>
            <w:tcW w:w="3137" w:type="dxa"/>
            <w:shd w:val="clear" w:color="auto" w:fill="FFFFFF" w:themeFill="background1"/>
            <w:noWrap/>
            <w:vAlign w:val="bottom"/>
            <w:hideMark/>
          </w:tcPr>
          <w:p w14:paraId="7720BD6E" w14:textId="42A60F8B" w:rsidR="00B8334D" w:rsidRPr="00B8334D" w:rsidRDefault="00B8334D" w:rsidP="00DC54F7">
            <w:pPr>
              <w:spacing w:after="0" w:line="240" w:lineRule="auto"/>
              <w:jc w:val="both"/>
              <w:rPr>
                <w:rFonts w:ascii="Calibri" w:eastAsia="Times New Roman" w:hAnsi="Calibri" w:cs="Calibri"/>
                <w:color w:val="000000"/>
                <w:lang w:eastAsia="en-GB"/>
              </w:rPr>
            </w:pPr>
            <w:r w:rsidRPr="00B8334D">
              <w:rPr>
                <w:rFonts w:ascii="Calibri" w:eastAsia="Times New Roman" w:hAnsi="Calibri" w:cs="Calibri"/>
                <w:color w:val="000000"/>
                <w:lang w:eastAsia="en-GB"/>
              </w:rPr>
              <w:t>0.7</w:t>
            </w:r>
          </w:p>
        </w:tc>
        <w:tc>
          <w:tcPr>
            <w:tcW w:w="3137" w:type="dxa"/>
            <w:shd w:val="clear" w:color="auto" w:fill="FFFFFF" w:themeFill="background1"/>
            <w:noWrap/>
            <w:vAlign w:val="bottom"/>
            <w:hideMark/>
          </w:tcPr>
          <w:p w14:paraId="3E101282" w14:textId="5F8AF040" w:rsidR="00B8334D" w:rsidRPr="00B8334D" w:rsidRDefault="00B8334D" w:rsidP="00DC54F7">
            <w:pPr>
              <w:spacing w:after="0" w:line="240" w:lineRule="auto"/>
              <w:jc w:val="both"/>
              <w:rPr>
                <w:rFonts w:ascii="Calibri" w:eastAsia="Times New Roman" w:hAnsi="Calibri" w:cs="Calibri"/>
                <w:color w:val="000000"/>
                <w:lang w:eastAsia="en-GB"/>
              </w:rPr>
            </w:pPr>
            <w:r w:rsidRPr="00B8334D">
              <w:rPr>
                <w:rFonts w:ascii="Calibri" w:eastAsia="Times New Roman" w:hAnsi="Calibri" w:cs="Calibri"/>
                <w:color w:val="000000"/>
                <w:lang w:eastAsia="en-GB"/>
              </w:rPr>
              <w:t>1.0</w:t>
            </w:r>
          </w:p>
        </w:tc>
      </w:tr>
    </w:tbl>
    <w:p w14:paraId="5C460C5D" w14:textId="77777777" w:rsidR="003C7DC1" w:rsidRPr="00635165" w:rsidRDefault="003C7DC1" w:rsidP="00DC54F7">
      <w:pPr>
        <w:jc w:val="both"/>
        <w:rPr>
          <w:rFonts w:ascii="Arial" w:hAnsi="Arial" w:cs="Arial"/>
          <w:sz w:val="20"/>
          <w:szCs w:val="20"/>
        </w:rPr>
      </w:pPr>
      <w:r w:rsidRPr="00635165">
        <w:rPr>
          <w:rFonts w:ascii="Arial" w:hAnsi="Arial" w:cs="Arial"/>
          <w:sz w:val="20"/>
          <w:szCs w:val="20"/>
        </w:rPr>
        <w:t>Source: QOF 2019</w:t>
      </w:r>
    </w:p>
    <w:p w14:paraId="12DA1508" w14:textId="156C6F4B" w:rsidR="00BB518F" w:rsidRPr="00635165" w:rsidRDefault="00516D04" w:rsidP="00DC54F7">
      <w:pPr>
        <w:spacing w:after="0" w:line="240" w:lineRule="auto"/>
        <w:jc w:val="both"/>
        <w:rPr>
          <w:rFonts w:ascii="Arial" w:hAnsi="Arial" w:cs="Arial"/>
          <w:bCs/>
          <w:sz w:val="24"/>
          <w:szCs w:val="24"/>
        </w:rPr>
      </w:pPr>
      <w:r w:rsidRPr="00635165">
        <w:rPr>
          <w:rFonts w:ascii="Arial" w:hAnsi="Arial" w:cs="Arial"/>
          <w:bCs/>
          <w:sz w:val="24"/>
          <w:szCs w:val="24"/>
        </w:rPr>
        <w:t xml:space="preserve">Cardiff East cluster has a </w:t>
      </w:r>
      <w:r w:rsidR="00F53FEA" w:rsidRPr="00635165">
        <w:rPr>
          <w:rFonts w:ascii="Arial" w:hAnsi="Arial" w:cs="Arial"/>
          <w:bCs/>
          <w:sz w:val="24"/>
          <w:szCs w:val="24"/>
        </w:rPr>
        <w:t>lower estimated prevalence of atrial fibrillation than the average for Wales</w:t>
      </w:r>
      <w:r w:rsidR="00CE1FA6" w:rsidRPr="00635165">
        <w:rPr>
          <w:rFonts w:ascii="Arial" w:hAnsi="Arial" w:cs="Arial"/>
          <w:bCs/>
          <w:sz w:val="24"/>
          <w:szCs w:val="24"/>
        </w:rPr>
        <w:t xml:space="preserve">. Although the estimated prevalence of hypertension </w:t>
      </w:r>
      <w:r w:rsidR="00C6326B" w:rsidRPr="00635165">
        <w:rPr>
          <w:rFonts w:ascii="Arial" w:hAnsi="Arial" w:cs="Arial"/>
          <w:bCs/>
          <w:sz w:val="24"/>
          <w:szCs w:val="24"/>
        </w:rPr>
        <w:t>is lower than the average for Wales, it is higher than the average for the health board.</w:t>
      </w:r>
    </w:p>
    <w:p w14:paraId="4AEDF4D7" w14:textId="25D6C7DB" w:rsidR="00081DDA" w:rsidRDefault="00081DDA" w:rsidP="00DC54F7">
      <w:pPr>
        <w:spacing w:after="0" w:line="240" w:lineRule="auto"/>
        <w:jc w:val="both"/>
        <w:rPr>
          <w:rFonts w:ascii="Arial" w:hAnsi="Arial" w:cs="Arial"/>
          <w:bCs/>
        </w:rPr>
      </w:pPr>
    </w:p>
    <w:p w14:paraId="3BBDD7AD" w14:textId="6CCD2C8E" w:rsidR="00081DDA" w:rsidRPr="00635165" w:rsidRDefault="00563446" w:rsidP="00DC54F7">
      <w:pPr>
        <w:pStyle w:val="Caption"/>
        <w:spacing w:before="0" w:after="0"/>
        <w:jc w:val="both"/>
        <w:rPr>
          <w:rFonts w:ascii="Arial" w:hAnsi="Arial" w:cs="Arial"/>
          <w:szCs w:val="24"/>
        </w:rPr>
      </w:pPr>
      <w:r>
        <w:rPr>
          <w:rFonts w:ascii="Arial" w:hAnsi="Arial" w:cs="Arial"/>
          <w:szCs w:val="24"/>
        </w:rPr>
        <w:t>Table 8.5</w:t>
      </w:r>
      <w:r w:rsidR="00081DDA" w:rsidRPr="00635165">
        <w:rPr>
          <w:rFonts w:ascii="Arial" w:hAnsi="Arial" w:cs="Arial"/>
          <w:szCs w:val="24"/>
        </w:rPr>
        <w:t>: Estimated percentage prevalence of hypertension and atrial fibrillation based on patients on GP practice registers by cluster, local authority, health board and Wales, 2019</w:t>
      </w:r>
    </w:p>
    <w:tbl>
      <w:tblPr>
        <w:tblW w:w="9405" w:type="dxa"/>
        <w:tblLook w:val="04A0" w:firstRow="1" w:lastRow="0" w:firstColumn="1" w:lastColumn="0" w:noHBand="0" w:noVBand="1"/>
      </w:tblPr>
      <w:tblGrid>
        <w:gridCol w:w="3135"/>
        <w:gridCol w:w="3135"/>
        <w:gridCol w:w="3135"/>
      </w:tblGrid>
      <w:tr w:rsidR="00041212" w:rsidRPr="00041212" w14:paraId="45295F45" w14:textId="77777777" w:rsidTr="003D1F74">
        <w:trPr>
          <w:trHeight w:val="295"/>
        </w:trPr>
        <w:tc>
          <w:tcPr>
            <w:tcW w:w="3135" w:type="dxa"/>
            <w:shd w:val="clear" w:color="auto" w:fill="8497B0"/>
            <w:noWrap/>
            <w:vAlign w:val="bottom"/>
            <w:hideMark/>
          </w:tcPr>
          <w:p w14:paraId="6349205A" w14:textId="77777777" w:rsidR="00041212" w:rsidRPr="00041212" w:rsidRDefault="00041212" w:rsidP="00DC54F7">
            <w:pPr>
              <w:spacing w:after="0" w:line="240" w:lineRule="auto"/>
              <w:jc w:val="both"/>
              <w:rPr>
                <w:rFonts w:ascii="Calibri" w:eastAsia="Times New Roman" w:hAnsi="Calibri" w:cs="Calibri"/>
                <w:color w:val="000000"/>
                <w:lang w:eastAsia="en-GB"/>
              </w:rPr>
            </w:pPr>
            <w:r w:rsidRPr="00041212">
              <w:rPr>
                <w:rFonts w:ascii="Calibri" w:eastAsia="Times New Roman" w:hAnsi="Calibri" w:cs="Calibri"/>
                <w:color w:val="000000"/>
                <w:lang w:eastAsia="en-GB"/>
              </w:rPr>
              <w:t> </w:t>
            </w:r>
          </w:p>
        </w:tc>
        <w:tc>
          <w:tcPr>
            <w:tcW w:w="3135" w:type="dxa"/>
            <w:tcBorders>
              <w:right w:val="nil"/>
            </w:tcBorders>
            <w:shd w:val="clear" w:color="auto" w:fill="8497B0"/>
            <w:noWrap/>
            <w:vAlign w:val="bottom"/>
            <w:hideMark/>
          </w:tcPr>
          <w:p w14:paraId="076B14CF" w14:textId="77777777" w:rsidR="00041212" w:rsidRPr="00041212" w:rsidRDefault="00041212" w:rsidP="00DC54F7">
            <w:pPr>
              <w:spacing w:after="0" w:line="240" w:lineRule="auto"/>
              <w:jc w:val="both"/>
              <w:rPr>
                <w:rFonts w:ascii="Calibri" w:eastAsia="Times New Roman" w:hAnsi="Calibri" w:cs="Calibri"/>
                <w:b/>
                <w:bCs/>
                <w:color w:val="FFFFFF"/>
                <w:lang w:eastAsia="en-GB"/>
              </w:rPr>
            </w:pPr>
            <w:r w:rsidRPr="00041212">
              <w:rPr>
                <w:rFonts w:ascii="Calibri" w:eastAsia="Times New Roman" w:hAnsi="Calibri" w:cs="Calibri"/>
                <w:b/>
                <w:bCs/>
                <w:color w:val="FFFFFF"/>
                <w:lang w:eastAsia="en-GB"/>
              </w:rPr>
              <w:t>Atrial Fibrillation (percentage)</w:t>
            </w:r>
          </w:p>
        </w:tc>
        <w:tc>
          <w:tcPr>
            <w:tcW w:w="3135" w:type="dxa"/>
            <w:tcBorders>
              <w:top w:val="single" w:sz="4" w:space="0" w:color="auto"/>
              <w:left w:val="nil"/>
              <w:right w:val="single" w:sz="4" w:space="0" w:color="auto"/>
            </w:tcBorders>
            <w:shd w:val="clear" w:color="auto" w:fill="8497B0"/>
            <w:noWrap/>
            <w:vAlign w:val="bottom"/>
            <w:hideMark/>
          </w:tcPr>
          <w:p w14:paraId="320A0332" w14:textId="77777777" w:rsidR="00041212" w:rsidRPr="00041212" w:rsidRDefault="00041212" w:rsidP="00DC54F7">
            <w:pPr>
              <w:spacing w:after="0" w:line="240" w:lineRule="auto"/>
              <w:jc w:val="both"/>
              <w:rPr>
                <w:rFonts w:ascii="Calibri" w:eastAsia="Times New Roman" w:hAnsi="Calibri" w:cs="Calibri"/>
                <w:b/>
                <w:bCs/>
                <w:color w:val="FFFFFF"/>
                <w:lang w:eastAsia="en-GB"/>
              </w:rPr>
            </w:pPr>
            <w:r w:rsidRPr="00041212">
              <w:rPr>
                <w:rFonts w:ascii="Calibri" w:eastAsia="Times New Roman" w:hAnsi="Calibri" w:cs="Calibri"/>
                <w:b/>
                <w:bCs/>
                <w:color w:val="FFFFFF"/>
                <w:lang w:eastAsia="en-GB"/>
              </w:rPr>
              <w:t>Hypertension (percentage)</w:t>
            </w:r>
          </w:p>
        </w:tc>
      </w:tr>
      <w:tr w:rsidR="00041212" w:rsidRPr="00041212" w14:paraId="4B80AA06" w14:textId="77777777" w:rsidTr="003D1F74">
        <w:trPr>
          <w:trHeight w:val="295"/>
        </w:trPr>
        <w:tc>
          <w:tcPr>
            <w:tcW w:w="3135" w:type="dxa"/>
            <w:tcBorders>
              <w:top w:val="nil"/>
              <w:left w:val="single" w:sz="4" w:space="0" w:color="auto"/>
              <w:right w:val="nil"/>
            </w:tcBorders>
            <w:shd w:val="clear" w:color="000000" w:fill="F2F2F2"/>
            <w:noWrap/>
            <w:vAlign w:val="bottom"/>
            <w:hideMark/>
          </w:tcPr>
          <w:p w14:paraId="5F38A631" w14:textId="77777777" w:rsidR="00041212" w:rsidRPr="00041212" w:rsidRDefault="00041212" w:rsidP="00DC54F7">
            <w:pPr>
              <w:spacing w:after="0" w:line="240" w:lineRule="auto"/>
              <w:jc w:val="both"/>
              <w:rPr>
                <w:rFonts w:ascii="Calibri" w:eastAsia="Times New Roman" w:hAnsi="Calibri" w:cs="Calibri"/>
                <w:color w:val="000000"/>
                <w:lang w:eastAsia="en-GB"/>
              </w:rPr>
            </w:pPr>
            <w:r w:rsidRPr="00041212">
              <w:rPr>
                <w:rFonts w:ascii="Calibri" w:eastAsia="Times New Roman" w:hAnsi="Calibri" w:cs="Calibri"/>
                <w:color w:val="000000"/>
                <w:lang w:eastAsia="en-GB"/>
              </w:rPr>
              <w:t>Cardiff East</w:t>
            </w:r>
          </w:p>
        </w:tc>
        <w:tc>
          <w:tcPr>
            <w:tcW w:w="3135" w:type="dxa"/>
            <w:tcBorders>
              <w:top w:val="nil"/>
              <w:left w:val="nil"/>
              <w:right w:val="nil"/>
            </w:tcBorders>
            <w:shd w:val="clear" w:color="000000" w:fill="F2F2F2"/>
            <w:noWrap/>
            <w:vAlign w:val="bottom"/>
            <w:hideMark/>
          </w:tcPr>
          <w:p w14:paraId="1B4C949F" w14:textId="678DECAC" w:rsidR="00041212" w:rsidRPr="00041212" w:rsidRDefault="00041212" w:rsidP="00DC54F7">
            <w:pPr>
              <w:spacing w:after="0" w:line="240" w:lineRule="auto"/>
              <w:jc w:val="both"/>
              <w:rPr>
                <w:rFonts w:ascii="Calibri" w:eastAsia="Times New Roman" w:hAnsi="Calibri" w:cs="Calibri"/>
                <w:color w:val="000000"/>
                <w:lang w:eastAsia="en-GB"/>
              </w:rPr>
            </w:pPr>
            <w:r w:rsidRPr="00041212">
              <w:rPr>
                <w:rFonts w:ascii="Calibri" w:eastAsia="Times New Roman" w:hAnsi="Calibri" w:cs="Calibri"/>
                <w:color w:val="000000"/>
                <w:lang w:eastAsia="en-GB"/>
              </w:rPr>
              <w:t>1.6</w:t>
            </w:r>
          </w:p>
        </w:tc>
        <w:tc>
          <w:tcPr>
            <w:tcW w:w="3135" w:type="dxa"/>
            <w:tcBorders>
              <w:top w:val="nil"/>
              <w:left w:val="nil"/>
              <w:right w:val="single" w:sz="4" w:space="0" w:color="auto"/>
            </w:tcBorders>
            <w:shd w:val="clear" w:color="000000" w:fill="F2F2F2"/>
            <w:noWrap/>
            <w:vAlign w:val="bottom"/>
            <w:hideMark/>
          </w:tcPr>
          <w:p w14:paraId="63EE6409" w14:textId="64FF62EA" w:rsidR="00041212" w:rsidRPr="00041212" w:rsidRDefault="00041212" w:rsidP="00DC54F7">
            <w:pPr>
              <w:spacing w:after="0" w:line="240" w:lineRule="auto"/>
              <w:jc w:val="both"/>
              <w:rPr>
                <w:rFonts w:ascii="Calibri" w:eastAsia="Times New Roman" w:hAnsi="Calibri" w:cs="Calibri"/>
                <w:color w:val="000000"/>
                <w:lang w:eastAsia="en-GB"/>
              </w:rPr>
            </w:pPr>
            <w:r w:rsidRPr="00041212">
              <w:rPr>
                <w:rFonts w:ascii="Calibri" w:eastAsia="Times New Roman" w:hAnsi="Calibri" w:cs="Calibri"/>
                <w:color w:val="000000"/>
                <w:lang w:eastAsia="en-GB"/>
              </w:rPr>
              <w:t>13.7</w:t>
            </w:r>
          </w:p>
        </w:tc>
      </w:tr>
      <w:tr w:rsidR="00041212" w:rsidRPr="00041212" w14:paraId="1CE6EA83" w14:textId="77777777" w:rsidTr="003D1F74">
        <w:trPr>
          <w:trHeight w:val="295"/>
        </w:trPr>
        <w:tc>
          <w:tcPr>
            <w:tcW w:w="3135" w:type="dxa"/>
            <w:tcBorders>
              <w:left w:val="single" w:sz="4" w:space="0" w:color="auto"/>
            </w:tcBorders>
            <w:shd w:val="clear" w:color="D9E1F2" w:fill="FFFFFF"/>
            <w:vAlign w:val="bottom"/>
            <w:hideMark/>
          </w:tcPr>
          <w:p w14:paraId="22079294" w14:textId="77777777" w:rsidR="00041212" w:rsidRPr="00041212" w:rsidRDefault="00041212" w:rsidP="00DC54F7">
            <w:pPr>
              <w:spacing w:after="0" w:line="240" w:lineRule="auto"/>
              <w:jc w:val="both"/>
              <w:rPr>
                <w:rFonts w:ascii="Calibri" w:eastAsia="Times New Roman" w:hAnsi="Calibri" w:cs="Calibri"/>
                <w:lang w:eastAsia="en-GB"/>
              </w:rPr>
            </w:pPr>
            <w:r w:rsidRPr="00041212">
              <w:rPr>
                <w:rFonts w:ascii="Calibri" w:eastAsia="Times New Roman" w:hAnsi="Calibri" w:cs="Calibri"/>
                <w:lang w:eastAsia="en-GB"/>
              </w:rPr>
              <w:t>Cardiff</w:t>
            </w:r>
          </w:p>
        </w:tc>
        <w:tc>
          <w:tcPr>
            <w:tcW w:w="3135" w:type="dxa"/>
            <w:shd w:val="clear" w:color="000000" w:fill="FFFFFF"/>
            <w:noWrap/>
            <w:vAlign w:val="bottom"/>
            <w:hideMark/>
          </w:tcPr>
          <w:p w14:paraId="178F0EE9" w14:textId="4ABD749A" w:rsidR="00041212" w:rsidRPr="00041212" w:rsidRDefault="00041212" w:rsidP="00DC54F7">
            <w:pPr>
              <w:spacing w:after="0" w:line="240" w:lineRule="auto"/>
              <w:jc w:val="both"/>
              <w:rPr>
                <w:rFonts w:ascii="Calibri" w:eastAsia="Times New Roman" w:hAnsi="Calibri" w:cs="Calibri"/>
                <w:color w:val="000000"/>
                <w:lang w:eastAsia="en-GB"/>
              </w:rPr>
            </w:pPr>
            <w:r w:rsidRPr="00041212">
              <w:rPr>
                <w:rFonts w:ascii="Calibri" w:eastAsia="Times New Roman" w:hAnsi="Calibri" w:cs="Calibri"/>
                <w:color w:val="000000"/>
                <w:lang w:eastAsia="en-GB"/>
              </w:rPr>
              <w:t>1.6</w:t>
            </w:r>
          </w:p>
        </w:tc>
        <w:tc>
          <w:tcPr>
            <w:tcW w:w="3135" w:type="dxa"/>
            <w:tcBorders>
              <w:right w:val="single" w:sz="4" w:space="0" w:color="auto"/>
            </w:tcBorders>
            <w:shd w:val="clear" w:color="000000" w:fill="FFFFFF"/>
            <w:noWrap/>
            <w:vAlign w:val="bottom"/>
            <w:hideMark/>
          </w:tcPr>
          <w:p w14:paraId="663BBDA2" w14:textId="3482A704" w:rsidR="00041212" w:rsidRPr="00041212" w:rsidRDefault="00041212" w:rsidP="00DC54F7">
            <w:pPr>
              <w:spacing w:after="0" w:line="240" w:lineRule="auto"/>
              <w:jc w:val="both"/>
              <w:rPr>
                <w:rFonts w:ascii="Calibri" w:eastAsia="Times New Roman" w:hAnsi="Calibri" w:cs="Calibri"/>
                <w:color w:val="000000"/>
                <w:lang w:eastAsia="en-GB"/>
              </w:rPr>
            </w:pPr>
            <w:r w:rsidRPr="00041212">
              <w:rPr>
                <w:rFonts w:ascii="Calibri" w:eastAsia="Times New Roman" w:hAnsi="Calibri" w:cs="Calibri"/>
                <w:color w:val="000000"/>
                <w:lang w:eastAsia="en-GB"/>
              </w:rPr>
              <w:t>11.8</w:t>
            </w:r>
          </w:p>
        </w:tc>
      </w:tr>
      <w:tr w:rsidR="00041212" w:rsidRPr="00041212" w14:paraId="11B5AAD3" w14:textId="77777777" w:rsidTr="003D1F74">
        <w:trPr>
          <w:trHeight w:val="295"/>
        </w:trPr>
        <w:tc>
          <w:tcPr>
            <w:tcW w:w="3135" w:type="dxa"/>
            <w:tcBorders>
              <w:top w:val="nil"/>
              <w:left w:val="single" w:sz="4" w:space="0" w:color="auto"/>
            </w:tcBorders>
            <w:shd w:val="clear" w:color="D9E1F2" w:fill="F2F2F2"/>
            <w:vAlign w:val="bottom"/>
            <w:hideMark/>
          </w:tcPr>
          <w:p w14:paraId="61BF6453" w14:textId="77777777" w:rsidR="00041212" w:rsidRPr="00041212" w:rsidRDefault="00041212" w:rsidP="00DC54F7">
            <w:pPr>
              <w:spacing w:after="0" w:line="240" w:lineRule="auto"/>
              <w:jc w:val="both"/>
              <w:rPr>
                <w:rFonts w:ascii="Calibri" w:eastAsia="Times New Roman" w:hAnsi="Calibri" w:cs="Calibri"/>
                <w:lang w:eastAsia="en-GB"/>
              </w:rPr>
            </w:pPr>
            <w:r w:rsidRPr="00041212">
              <w:rPr>
                <w:rFonts w:ascii="Calibri" w:eastAsia="Times New Roman" w:hAnsi="Calibri" w:cs="Calibri"/>
                <w:lang w:eastAsia="en-GB"/>
              </w:rPr>
              <w:t>Cardiff &amp; Vale UHB</w:t>
            </w:r>
          </w:p>
        </w:tc>
        <w:tc>
          <w:tcPr>
            <w:tcW w:w="3135" w:type="dxa"/>
            <w:tcBorders>
              <w:top w:val="nil"/>
            </w:tcBorders>
            <w:shd w:val="clear" w:color="000000" w:fill="F2F2F2"/>
            <w:noWrap/>
            <w:vAlign w:val="bottom"/>
            <w:hideMark/>
          </w:tcPr>
          <w:p w14:paraId="0678C1F6" w14:textId="612F03EC" w:rsidR="00041212" w:rsidRPr="00041212" w:rsidRDefault="00041212" w:rsidP="00DC54F7">
            <w:pPr>
              <w:spacing w:after="0" w:line="240" w:lineRule="auto"/>
              <w:jc w:val="both"/>
              <w:rPr>
                <w:rFonts w:ascii="Calibri" w:eastAsia="Times New Roman" w:hAnsi="Calibri" w:cs="Calibri"/>
                <w:color w:val="000000"/>
                <w:lang w:eastAsia="en-GB"/>
              </w:rPr>
            </w:pPr>
            <w:r w:rsidRPr="00041212">
              <w:rPr>
                <w:rFonts w:ascii="Calibri" w:eastAsia="Times New Roman" w:hAnsi="Calibri" w:cs="Calibri"/>
                <w:color w:val="000000"/>
                <w:lang w:eastAsia="en-GB"/>
              </w:rPr>
              <w:t>1.8</w:t>
            </w:r>
          </w:p>
        </w:tc>
        <w:tc>
          <w:tcPr>
            <w:tcW w:w="3135" w:type="dxa"/>
            <w:tcBorders>
              <w:top w:val="nil"/>
              <w:right w:val="single" w:sz="4" w:space="0" w:color="auto"/>
            </w:tcBorders>
            <w:shd w:val="clear" w:color="000000" w:fill="F2F2F2"/>
            <w:noWrap/>
            <w:vAlign w:val="bottom"/>
            <w:hideMark/>
          </w:tcPr>
          <w:p w14:paraId="61B5ACDE" w14:textId="134E0F89" w:rsidR="00041212" w:rsidRPr="00041212" w:rsidRDefault="00041212" w:rsidP="00DC54F7">
            <w:pPr>
              <w:spacing w:after="0" w:line="240" w:lineRule="auto"/>
              <w:jc w:val="both"/>
              <w:rPr>
                <w:rFonts w:ascii="Calibri" w:eastAsia="Times New Roman" w:hAnsi="Calibri" w:cs="Calibri"/>
                <w:color w:val="000000"/>
                <w:lang w:eastAsia="en-GB"/>
              </w:rPr>
            </w:pPr>
            <w:r w:rsidRPr="00041212">
              <w:rPr>
                <w:rFonts w:ascii="Calibri" w:eastAsia="Times New Roman" w:hAnsi="Calibri" w:cs="Calibri"/>
                <w:color w:val="000000"/>
                <w:lang w:eastAsia="en-GB"/>
              </w:rPr>
              <w:t>12.6</w:t>
            </w:r>
          </w:p>
        </w:tc>
      </w:tr>
      <w:tr w:rsidR="00041212" w:rsidRPr="00041212" w14:paraId="11D72BBB" w14:textId="77777777" w:rsidTr="003D1F74">
        <w:trPr>
          <w:trHeight w:val="295"/>
        </w:trPr>
        <w:tc>
          <w:tcPr>
            <w:tcW w:w="3135" w:type="dxa"/>
            <w:tcBorders>
              <w:top w:val="nil"/>
              <w:left w:val="single" w:sz="4" w:space="0" w:color="auto"/>
              <w:bottom w:val="single" w:sz="4" w:space="0" w:color="auto"/>
            </w:tcBorders>
            <w:shd w:val="clear" w:color="D9E1F2" w:fill="FFFFFF"/>
            <w:vAlign w:val="bottom"/>
            <w:hideMark/>
          </w:tcPr>
          <w:p w14:paraId="016722E5" w14:textId="77777777" w:rsidR="00041212" w:rsidRPr="00041212" w:rsidRDefault="00041212" w:rsidP="00DC54F7">
            <w:pPr>
              <w:spacing w:after="0" w:line="240" w:lineRule="auto"/>
              <w:jc w:val="both"/>
              <w:rPr>
                <w:rFonts w:ascii="Calibri" w:eastAsia="Times New Roman" w:hAnsi="Calibri" w:cs="Calibri"/>
                <w:lang w:eastAsia="en-GB"/>
              </w:rPr>
            </w:pPr>
            <w:r w:rsidRPr="00041212">
              <w:rPr>
                <w:rFonts w:ascii="Calibri" w:eastAsia="Times New Roman" w:hAnsi="Calibri" w:cs="Calibri"/>
                <w:lang w:eastAsia="en-GB"/>
              </w:rPr>
              <w:t>Wales</w:t>
            </w:r>
          </w:p>
        </w:tc>
        <w:tc>
          <w:tcPr>
            <w:tcW w:w="3135" w:type="dxa"/>
            <w:tcBorders>
              <w:top w:val="nil"/>
              <w:bottom w:val="single" w:sz="4" w:space="0" w:color="auto"/>
            </w:tcBorders>
            <w:shd w:val="clear" w:color="E2EFDA" w:fill="FFFFFF"/>
            <w:noWrap/>
            <w:vAlign w:val="bottom"/>
            <w:hideMark/>
          </w:tcPr>
          <w:p w14:paraId="6CB24E2E" w14:textId="63B6559D" w:rsidR="00041212" w:rsidRPr="00041212" w:rsidRDefault="00041212" w:rsidP="00DC54F7">
            <w:pPr>
              <w:spacing w:after="0" w:line="240" w:lineRule="auto"/>
              <w:jc w:val="both"/>
              <w:rPr>
                <w:rFonts w:ascii="Calibri" w:eastAsia="Times New Roman" w:hAnsi="Calibri" w:cs="Calibri"/>
                <w:color w:val="000000"/>
                <w:lang w:eastAsia="en-GB"/>
              </w:rPr>
            </w:pPr>
            <w:r w:rsidRPr="00041212">
              <w:rPr>
                <w:rFonts w:ascii="Calibri" w:eastAsia="Times New Roman" w:hAnsi="Calibri" w:cs="Calibri"/>
                <w:color w:val="000000"/>
                <w:lang w:eastAsia="en-GB"/>
              </w:rPr>
              <w:t>2.3</w:t>
            </w:r>
          </w:p>
        </w:tc>
        <w:tc>
          <w:tcPr>
            <w:tcW w:w="3135" w:type="dxa"/>
            <w:tcBorders>
              <w:top w:val="nil"/>
              <w:bottom w:val="single" w:sz="4" w:space="0" w:color="auto"/>
              <w:right w:val="single" w:sz="4" w:space="0" w:color="auto"/>
            </w:tcBorders>
            <w:shd w:val="clear" w:color="E2EFDA" w:fill="FFFFFF"/>
            <w:noWrap/>
            <w:vAlign w:val="bottom"/>
            <w:hideMark/>
          </w:tcPr>
          <w:p w14:paraId="0F6E3440" w14:textId="34B6AE65" w:rsidR="00041212" w:rsidRPr="00041212" w:rsidRDefault="00041212" w:rsidP="00DC54F7">
            <w:pPr>
              <w:spacing w:after="0" w:line="240" w:lineRule="auto"/>
              <w:jc w:val="both"/>
              <w:rPr>
                <w:rFonts w:ascii="Calibri" w:eastAsia="Times New Roman" w:hAnsi="Calibri" w:cs="Calibri"/>
                <w:color w:val="000000"/>
                <w:lang w:eastAsia="en-GB"/>
              </w:rPr>
            </w:pPr>
            <w:r w:rsidRPr="00041212">
              <w:rPr>
                <w:rFonts w:ascii="Calibri" w:eastAsia="Times New Roman" w:hAnsi="Calibri" w:cs="Calibri"/>
                <w:color w:val="000000"/>
                <w:lang w:eastAsia="en-GB"/>
              </w:rPr>
              <w:t>15.8</w:t>
            </w:r>
          </w:p>
        </w:tc>
      </w:tr>
    </w:tbl>
    <w:p w14:paraId="7DB6D3EF" w14:textId="61159C50" w:rsidR="001D356D" w:rsidRPr="00635165" w:rsidRDefault="003C7DC1" w:rsidP="00DC54F7">
      <w:pPr>
        <w:jc w:val="both"/>
        <w:rPr>
          <w:rFonts w:ascii="Arial" w:hAnsi="Arial" w:cs="Arial"/>
          <w:sz w:val="20"/>
          <w:szCs w:val="20"/>
        </w:rPr>
      </w:pPr>
      <w:r w:rsidRPr="00635165">
        <w:rPr>
          <w:rFonts w:ascii="Arial" w:hAnsi="Arial" w:cs="Arial"/>
          <w:sz w:val="20"/>
          <w:szCs w:val="20"/>
        </w:rPr>
        <w:t>Source: QOF 2019</w:t>
      </w:r>
    </w:p>
    <w:p w14:paraId="111157B2" w14:textId="45CB6BF0" w:rsidR="00FD754D" w:rsidRPr="00D33F05" w:rsidRDefault="00021F3E" w:rsidP="00DC54F7">
      <w:pPr>
        <w:spacing w:after="0" w:line="240" w:lineRule="auto"/>
        <w:jc w:val="both"/>
        <w:rPr>
          <w:rFonts w:ascii="Arial" w:hAnsi="Arial" w:cs="Arial"/>
          <w:sz w:val="24"/>
          <w:szCs w:val="24"/>
        </w:rPr>
      </w:pPr>
      <w:r w:rsidRPr="00635165">
        <w:rPr>
          <w:rFonts w:ascii="Arial" w:hAnsi="Arial" w:cs="Arial"/>
          <w:sz w:val="24"/>
          <w:szCs w:val="24"/>
        </w:rPr>
        <w:t xml:space="preserve">Many of the factors </w:t>
      </w:r>
      <w:r w:rsidR="00901CB5" w:rsidRPr="00635165">
        <w:rPr>
          <w:rFonts w:ascii="Arial" w:hAnsi="Arial" w:cs="Arial"/>
          <w:sz w:val="24"/>
          <w:szCs w:val="24"/>
        </w:rPr>
        <w:t>that contribute to the inequalities in health and well-being are preventable</w:t>
      </w:r>
      <w:r w:rsidR="00881416" w:rsidRPr="00635165">
        <w:rPr>
          <w:rFonts w:ascii="Arial" w:hAnsi="Arial" w:cs="Arial"/>
          <w:sz w:val="24"/>
          <w:szCs w:val="24"/>
        </w:rPr>
        <w:t xml:space="preserve">. </w:t>
      </w:r>
      <w:r w:rsidR="00FD754D" w:rsidRPr="00635165">
        <w:rPr>
          <w:rFonts w:ascii="Arial" w:hAnsi="Arial" w:cs="Arial"/>
          <w:sz w:val="24"/>
          <w:szCs w:val="24"/>
        </w:rPr>
        <w:t>Table 8.</w:t>
      </w:r>
      <w:r w:rsidR="0073296E" w:rsidRPr="00635165">
        <w:rPr>
          <w:rFonts w:ascii="Arial" w:hAnsi="Arial" w:cs="Arial"/>
          <w:sz w:val="24"/>
          <w:szCs w:val="24"/>
        </w:rPr>
        <w:t>6</w:t>
      </w:r>
      <w:r w:rsidR="00FD754D" w:rsidRPr="00635165">
        <w:rPr>
          <w:rFonts w:ascii="Arial" w:hAnsi="Arial" w:cs="Arial"/>
          <w:sz w:val="24"/>
          <w:szCs w:val="24"/>
        </w:rPr>
        <w:t xml:space="preserve"> shows the percentage of adults self-reporting </w:t>
      </w:r>
      <w:r w:rsidR="00881416" w:rsidRPr="00635165">
        <w:rPr>
          <w:rFonts w:ascii="Arial" w:hAnsi="Arial" w:cs="Arial"/>
          <w:sz w:val="24"/>
          <w:szCs w:val="24"/>
        </w:rPr>
        <w:t xml:space="preserve">five </w:t>
      </w:r>
      <w:r w:rsidR="00FD754D" w:rsidRPr="00635165">
        <w:rPr>
          <w:rFonts w:ascii="Arial" w:hAnsi="Arial" w:cs="Arial"/>
          <w:sz w:val="24"/>
          <w:szCs w:val="24"/>
        </w:rPr>
        <w:t xml:space="preserve">behaviours, where a lower percentage for smoking and drinking above the guidelines is seen as </w:t>
      </w:r>
      <w:r w:rsidR="00FD754D" w:rsidRPr="00D33F05">
        <w:rPr>
          <w:rFonts w:ascii="Arial" w:hAnsi="Arial" w:cs="Arial"/>
          <w:sz w:val="24"/>
          <w:szCs w:val="24"/>
        </w:rPr>
        <w:t xml:space="preserve">more beneficial </w:t>
      </w:r>
      <w:r w:rsidR="0073296E" w:rsidRPr="00D33F05">
        <w:rPr>
          <w:rFonts w:ascii="Arial" w:hAnsi="Arial" w:cs="Arial"/>
          <w:sz w:val="24"/>
          <w:szCs w:val="24"/>
        </w:rPr>
        <w:t xml:space="preserve">to health and well-being </w:t>
      </w:r>
      <w:r w:rsidR="00FD754D" w:rsidRPr="00D33F05">
        <w:rPr>
          <w:rFonts w:ascii="Arial" w:hAnsi="Arial" w:cs="Arial"/>
          <w:sz w:val="24"/>
          <w:szCs w:val="24"/>
        </w:rPr>
        <w:t xml:space="preserve">as is a higher percentage for working age adults of healthy weight, meeting the physical activity guidelines and consuming </w:t>
      </w:r>
      <w:r w:rsidR="003538B3" w:rsidRPr="00D33F05">
        <w:rPr>
          <w:rFonts w:ascii="Arial" w:hAnsi="Arial" w:cs="Arial"/>
          <w:sz w:val="24"/>
          <w:szCs w:val="24"/>
        </w:rPr>
        <w:t>five</w:t>
      </w:r>
      <w:r w:rsidR="00FD754D" w:rsidRPr="00D33F05">
        <w:rPr>
          <w:rFonts w:ascii="Arial" w:hAnsi="Arial" w:cs="Arial"/>
          <w:sz w:val="24"/>
          <w:szCs w:val="24"/>
        </w:rPr>
        <w:t xml:space="preserve"> a day. </w:t>
      </w:r>
    </w:p>
    <w:p w14:paraId="7364C905" w14:textId="77777777" w:rsidR="00855AE1" w:rsidRPr="00D33F05" w:rsidRDefault="00855AE1" w:rsidP="00DC54F7">
      <w:pPr>
        <w:spacing w:after="0" w:line="240" w:lineRule="auto"/>
        <w:jc w:val="both"/>
        <w:rPr>
          <w:rFonts w:ascii="Arial" w:hAnsi="Arial" w:cs="Arial"/>
          <w:sz w:val="24"/>
          <w:szCs w:val="24"/>
        </w:rPr>
      </w:pPr>
    </w:p>
    <w:p w14:paraId="2D7ECEBC" w14:textId="7C80CD08" w:rsidR="001D356D" w:rsidRPr="00D33F05" w:rsidRDefault="00FD754D" w:rsidP="00DC54F7">
      <w:pPr>
        <w:spacing w:after="0" w:line="240" w:lineRule="auto"/>
        <w:jc w:val="both"/>
        <w:rPr>
          <w:rFonts w:ascii="Arial" w:hAnsi="Arial" w:cs="Arial"/>
          <w:sz w:val="24"/>
          <w:szCs w:val="24"/>
        </w:rPr>
      </w:pPr>
      <w:r w:rsidRPr="00D33F05">
        <w:rPr>
          <w:rFonts w:ascii="Arial" w:hAnsi="Arial" w:cs="Arial"/>
          <w:sz w:val="24"/>
          <w:szCs w:val="24"/>
        </w:rPr>
        <w:t xml:space="preserve">Overall, the percentage of adults reporting behaviours which support healthy outcomes in </w:t>
      </w:r>
      <w:r w:rsidR="00881416" w:rsidRPr="00D33F05">
        <w:rPr>
          <w:rFonts w:ascii="Arial" w:hAnsi="Arial" w:cs="Arial"/>
          <w:sz w:val="24"/>
          <w:szCs w:val="24"/>
        </w:rPr>
        <w:t>Car</w:t>
      </w:r>
      <w:r w:rsidR="00CD5CFB" w:rsidRPr="00D33F05">
        <w:rPr>
          <w:rFonts w:ascii="Arial" w:hAnsi="Arial" w:cs="Arial"/>
          <w:sz w:val="24"/>
          <w:szCs w:val="24"/>
        </w:rPr>
        <w:t>diff East cluster is</w:t>
      </w:r>
      <w:r w:rsidRPr="00D33F05">
        <w:rPr>
          <w:rFonts w:ascii="Arial" w:hAnsi="Arial" w:cs="Arial"/>
          <w:sz w:val="24"/>
          <w:szCs w:val="24"/>
        </w:rPr>
        <w:t xml:space="preserve"> lower than</w:t>
      </w:r>
      <w:r w:rsidRPr="00D33F05">
        <w:rPr>
          <w:rFonts w:ascii="Arial" w:hAnsi="Arial" w:cs="Arial"/>
          <w:color w:val="000000"/>
          <w:sz w:val="24"/>
          <w:szCs w:val="24"/>
        </w:rPr>
        <w:t xml:space="preserve"> C</w:t>
      </w:r>
      <w:r w:rsidR="00CD5CFB" w:rsidRPr="00D33F05">
        <w:rPr>
          <w:rFonts w:ascii="Arial" w:hAnsi="Arial" w:cs="Arial"/>
          <w:color w:val="000000"/>
          <w:sz w:val="24"/>
          <w:szCs w:val="24"/>
        </w:rPr>
        <w:t>ardiff and Vale</w:t>
      </w:r>
      <w:r w:rsidRPr="00D33F05">
        <w:rPr>
          <w:rFonts w:ascii="Arial" w:hAnsi="Arial" w:cs="Arial"/>
          <w:color w:val="000000"/>
          <w:sz w:val="24"/>
          <w:szCs w:val="24"/>
        </w:rPr>
        <w:t xml:space="preserve"> University </w:t>
      </w:r>
      <w:r w:rsidRPr="00D33F05">
        <w:rPr>
          <w:rFonts w:ascii="Arial" w:hAnsi="Arial" w:cs="Arial"/>
          <w:sz w:val="24"/>
          <w:szCs w:val="24"/>
        </w:rPr>
        <w:t xml:space="preserve">Health Board and the average for Wales, except for drinking above the guidelines. </w:t>
      </w:r>
    </w:p>
    <w:p w14:paraId="7446B4CC" w14:textId="12BDE39D" w:rsidR="00855AE1" w:rsidRDefault="00855AE1" w:rsidP="00DC54F7">
      <w:pPr>
        <w:spacing w:after="0" w:line="240" w:lineRule="auto"/>
        <w:jc w:val="both"/>
        <w:rPr>
          <w:rFonts w:ascii="Arial" w:hAnsi="Arial" w:cs="Arial"/>
          <w:color w:val="000000" w:themeColor="text1"/>
        </w:rPr>
      </w:pPr>
    </w:p>
    <w:p w14:paraId="19D1C6B8" w14:textId="1FC13BAA" w:rsidR="00676A15" w:rsidRDefault="00676A15" w:rsidP="00DC54F7">
      <w:pPr>
        <w:spacing w:after="0" w:line="240" w:lineRule="auto"/>
        <w:jc w:val="both"/>
        <w:rPr>
          <w:rFonts w:ascii="Arial" w:hAnsi="Arial" w:cs="Arial"/>
          <w:color w:val="000000" w:themeColor="text1"/>
        </w:rPr>
      </w:pPr>
    </w:p>
    <w:p w14:paraId="531AB2C9" w14:textId="4249B48B" w:rsidR="00676A15" w:rsidRDefault="00676A15" w:rsidP="00DC54F7">
      <w:pPr>
        <w:spacing w:after="0" w:line="240" w:lineRule="auto"/>
        <w:jc w:val="both"/>
        <w:rPr>
          <w:rFonts w:ascii="Arial" w:hAnsi="Arial" w:cs="Arial"/>
          <w:color w:val="000000" w:themeColor="text1"/>
        </w:rPr>
      </w:pPr>
    </w:p>
    <w:p w14:paraId="20A00513" w14:textId="35EF75CE" w:rsidR="00676A15" w:rsidRDefault="00676A15" w:rsidP="00DC54F7">
      <w:pPr>
        <w:spacing w:after="0" w:line="240" w:lineRule="auto"/>
        <w:jc w:val="both"/>
        <w:rPr>
          <w:rFonts w:ascii="Arial" w:hAnsi="Arial" w:cs="Arial"/>
          <w:color w:val="000000" w:themeColor="text1"/>
        </w:rPr>
      </w:pPr>
    </w:p>
    <w:p w14:paraId="3E8739C0" w14:textId="64BF5363" w:rsidR="00676A15" w:rsidRDefault="00676A15" w:rsidP="00DC54F7">
      <w:pPr>
        <w:spacing w:after="0" w:line="240" w:lineRule="auto"/>
        <w:jc w:val="both"/>
        <w:rPr>
          <w:rFonts w:ascii="Arial" w:hAnsi="Arial" w:cs="Arial"/>
          <w:color w:val="000000" w:themeColor="text1"/>
        </w:rPr>
      </w:pPr>
    </w:p>
    <w:p w14:paraId="1AEEF899" w14:textId="5CC3D42E" w:rsidR="00676A15" w:rsidRDefault="00676A15" w:rsidP="00DC54F7">
      <w:pPr>
        <w:spacing w:after="0" w:line="240" w:lineRule="auto"/>
        <w:jc w:val="both"/>
        <w:rPr>
          <w:rFonts w:ascii="Arial" w:hAnsi="Arial" w:cs="Arial"/>
          <w:color w:val="000000" w:themeColor="text1"/>
        </w:rPr>
      </w:pPr>
    </w:p>
    <w:p w14:paraId="5FAFD74E" w14:textId="77E3A911" w:rsidR="00676A15" w:rsidRDefault="00676A15" w:rsidP="00DC54F7">
      <w:pPr>
        <w:spacing w:after="0" w:line="240" w:lineRule="auto"/>
        <w:jc w:val="both"/>
        <w:rPr>
          <w:rFonts w:ascii="Arial" w:hAnsi="Arial" w:cs="Arial"/>
          <w:color w:val="000000" w:themeColor="text1"/>
        </w:rPr>
      </w:pPr>
    </w:p>
    <w:p w14:paraId="73D9FA4B" w14:textId="0C63F8AC" w:rsidR="00676A15" w:rsidRDefault="00676A15" w:rsidP="00DC54F7">
      <w:pPr>
        <w:spacing w:after="0" w:line="240" w:lineRule="auto"/>
        <w:jc w:val="both"/>
        <w:rPr>
          <w:rFonts w:ascii="Arial" w:hAnsi="Arial" w:cs="Arial"/>
          <w:color w:val="000000" w:themeColor="text1"/>
        </w:rPr>
      </w:pPr>
    </w:p>
    <w:p w14:paraId="7247A7D6" w14:textId="41FEB647" w:rsidR="00676A15" w:rsidRDefault="00676A15" w:rsidP="00DC54F7">
      <w:pPr>
        <w:jc w:val="both"/>
        <w:rPr>
          <w:rFonts w:ascii="Arial" w:hAnsi="Arial" w:cs="Arial"/>
          <w:color w:val="000000" w:themeColor="text1"/>
        </w:rPr>
      </w:pPr>
      <w:r>
        <w:rPr>
          <w:rFonts w:ascii="Arial" w:hAnsi="Arial" w:cs="Arial"/>
          <w:color w:val="000000" w:themeColor="text1"/>
        </w:rPr>
        <w:br w:type="page"/>
      </w:r>
    </w:p>
    <w:p w14:paraId="183D2375" w14:textId="263E7619" w:rsidR="00ED669F" w:rsidRPr="00D33F05" w:rsidRDefault="00081DDA" w:rsidP="00DC54F7">
      <w:pPr>
        <w:pStyle w:val="Caption"/>
        <w:spacing w:before="0" w:after="0"/>
        <w:jc w:val="both"/>
        <w:rPr>
          <w:rFonts w:ascii="Arial" w:hAnsi="Arial" w:cs="Arial"/>
          <w:szCs w:val="24"/>
        </w:rPr>
      </w:pPr>
      <w:r w:rsidRPr="00D33F05">
        <w:rPr>
          <w:rFonts w:ascii="Arial" w:hAnsi="Arial" w:cs="Arial"/>
          <w:szCs w:val="24"/>
        </w:rPr>
        <w:lastRenderedPageBreak/>
        <w:t>Table 8.</w:t>
      </w:r>
      <w:r w:rsidR="00DC04C8" w:rsidRPr="00D33F05">
        <w:rPr>
          <w:rFonts w:ascii="Arial" w:hAnsi="Arial" w:cs="Arial"/>
          <w:szCs w:val="24"/>
        </w:rPr>
        <w:t>6</w:t>
      </w:r>
      <w:r w:rsidRPr="00D33F05">
        <w:rPr>
          <w:rFonts w:ascii="Arial" w:hAnsi="Arial" w:cs="Arial"/>
          <w:szCs w:val="24"/>
        </w:rPr>
        <w:t>: Percentage of adults (aged 16 years and over) reporting behaviours by cluster, health board and Wales, 2016 to 2018</w:t>
      </w:r>
    </w:p>
    <w:tbl>
      <w:tblPr>
        <w:tblW w:w="9864"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122"/>
        <w:gridCol w:w="1290"/>
        <w:gridCol w:w="1290"/>
        <w:gridCol w:w="1291"/>
        <w:gridCol w:w="1290"/>
        <w:gridCol w:w="1290"/>
        <w:gridCol w:w="1291"/>
      </w:tblGrid>
      <w:tr w:rsidR="00337188" w:rsidRPr="00136819" w14:paraId="025BF70E" w14:textId="77777777" w:rsidTr="003F5B17">
        <w:trPr>
          <w:trHeight w:val="315"/>
        </w:trPr>
        <w:tc>
          <w:tcPr>
            <w:tcW w:w="2122" w:type="dxa"/>
            <w:shd w:val="clear" w:color="auto" w:fill="8497B0"/>
            <w:noWrap/>
            <w:vAlign w:val="bottom"/>
            <w:hideMark/>
          </w:tcPr>
          <w:p w14:paraId="3D3870BA" w14:textId="77777777" w:rsidR="00136819" w:rsidRPr="003F5B17" w:rsidRDefault="00136819"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 </w:t>
            </w:r>
          </w:p>
        </w:tc>
        <w:tc>
          <w:tcPr>
            <w:tcW w:w="3871" w:type="dxa"/>
            <w:gridSpan w:val="3"/>
            <w:shd w:val="clear" w:color="auto" w:fill="8497B0"/>
            <w:noWrap/>
            <w:vAlign w:val="center"/>
            <w:hideMark/>
          </w:tcPr>
          <w:p w14:paraId="39496C55" w14:textId="77777777" w:rsidR="00136819" w:rsidRPr="003F5B17" w:rsidRDefault="00136819"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Count</w:t>
            </w:r>
          </w:p>
        </w:tc>
        <w:tc>
          <w:tcPr>
            <w:tcW w:w="3871" w:type="dxa"/>
            <w:gridSpan w:val="3"/>
            <w:shd w:val="clear" w:color="auto" w:fill="8497B0"/>
            <w:noWrap/>
            <w:vAlign w:val="bottom"/>
            <w:hideMark/>
          </w:tcPr>
          <w:p w14:paraId="50CDCDC6" w14:textId="77777777" w:rsidR="00136819" w:rsidRPr="003F5B17" w:rsidRDefault="00136819"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Prevalence</w:t>
            </w:r>
          </w:p>
        </w:tc>
      </w:tr>
      <w:tr w:rsidR="0068018B" w:rsidRPr="00136819" w14:paraId="7B9AFD6B" w14:textId="77777777" w:rsidTr="003F5B17">
        <w:trPr>
          <w:trHeight w:val="1424"/>
        </w:trPr>
        <w:tc>
          <w:tcPr>
            <w:tcW w:w="2122" w:type="dxa"/>
            <w:shd w:val="clear" w:color="auto" w:fill="8497B0"/>
            <w:vAlign w:val="center"/>
            <w:hideMark/>
          </w:tcPr>
          <w:p w14:paraId="1D218A90" w14:textId="77777777" w:rsidR="00136819" w:rsidRPr="003F5B17" w:rsidRDefault="00136819"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GP Cluster Name</w:t>
            </w:r>
          </w:p>
        </w:tc>
        <w:tc>
          <w:tcPr>
            <w:tcW w:w="1290" w:type="dxa"/>
            <w:shd w:val="clear" w:color="auto" w:fill="8497B0"/>
            <w:vAlign w:val="center"/>
            <w:hideMark/>
          </w:tcPr>
          <w:p w14:paraId="2ACD6BD1" w14:textId="77777777" w:rsidR="00136819" w:rsidRPr="003F5B17" w:rsidRDefault="00136819"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GP cluster population aged 16+</w:t>
            </w:r>
          </w:p>
        </w:tc>
        <w:tc>
          <w:tcPr>
            <w:tcW w:w="1290" w:type="dxa"/>
            <w:shd w:val="clear" w:color="auto" w:fill="8497B0"/>
            <w:vAlign w:val="center"/>
            <w:hideMark/>
          </w:tcPr>
          <w:p w14:paraId="25ADEF91" w14:textId="77777777" w:rsidR="00136819" w:rsidRPr="003F5B17" w:rsidRDefault="00136819"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Smoking</w:t>
            </w:r>
          </w:p>
        </w:tc>
        <w:tc>
          <w:tcPr>
            <w:tcW w:w="1291" w:type="dxa"/>
            <w:shd w:val="clear" w:color="auto" w:fill="8497B0"/>
            <w:vAlign w:val="center"/>
            <w:hideMark/>
          </w:tcPr>
          <w:p w14:paraId="1CCC61D3" w14:textId="6633A439" w:rsidR="00136819" w:rsidRPr="003F5B17" w:rsidRDefault="00136819"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 xml:space="preserve">Drinking </w:t>
            </w:r>
            <w:r w:rsidR="00337188" w:rsidRPr="003F5B17">
              <w:rPr>
                <w:rFonts w:eastAsia="Times New Roman" w:cstheme="minorHAnsi"/>
                <w:b/>
                <w:bCs/>
                <w:color w:val="FFFFFF"/>
                <w:lang w:eastAsia="en-GB"/>
              </w:rPr>
              <w:t xml:space="preserve">the </w:t>
            </w:r>
            <w:r w:rsidRPr="003F5B17">
              <w:rPr>
                <w:rFonts w:eastAsia="Times New Roman" w:cstheme="minorHAnsi"/>
                <w:b/>
                <w:bCs/>
                <w:color w:val="FFFFFF"/>
                <w:lang w:eastAsia="en-GB"/>
              </w:rPr>
              <w:t>above guidelines</w:t>
            </w:r>
          </w:p>
        </w:tc>
        <w:tc>
          <w:tcPr>
            <w:tcW w:w="1290" w:type="dxa"/>
            <w:shd w:val="clear" w:color="auto" w:fill="8497B0"/>
            <w:vAlign w:val="center"/>
            <w:hideMark/>
          </w:tcPr>
          <w:p w14:paraId="67D18E74" w14:textId="77777777" w:rsidR="00136819" w:rsidRPr="003F5B17" w:rsidRDefault="00136819"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Working age adults of healthy weight</w:t>
            </w:r>
          </w:p>
        </w:tc>
        <w:tc>
          <w:tcPr>
            <w:tcW w:w="1290" w:type="dxa"/>
            <w:shd w:val="clear" w:color="auto" w:fill="8497B0"/>
            <w:vAlign w:val="center"/>
            <w:hideMark/>
          </w:tcPr>
          <w:p w14:paraId="6D52D7D2" w14:textId="77777777" w:rsidR="00136819" w:rsidRPr="003F5B17" w:rsidRDefault="00136819"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Meeting physical activity guidelines</w:t>
            </w:r>
          </w:p>
        </w:tc>
        <w:tc>
          <w:tcPr>
            <w:tcW w:w="1291" w:type="dxa"/>
            <w:shd w:val="clear" w:color="auto" w:fill="8497B0"/>
            <w:vAlign w:val="center"/>
            <w:hideMark/>
          </w:tcPr>
          <w:p w14:paraId="1E2E91C5" w14:textId="77777777" w:rsidR="00136819" w:rsidRPr="003F5B17" w:rsidRDefault="00136819"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Consuming 5 a day</w:t>
            </w:r>
          </w:p>
        </w:tc>
      </w:tr>
      <w:tr w:rsidR="0068018B" w:rsidRPr="00136819" w14:paraId="6007D92E" w14:textId="77777777" w:rsidTr="003F5B17">
        <w:trPr>
          <w:trHeight w:val="315"/>
        </w:trPr>
        <w:tc>
          <w:tcPr>
            <w:tcW w:w="2122" w:type="dxa"/>
            <w:shd w:val="clear" w:color="000000" w:fill="F2F2F2"/>
            <w:noWrap/>
            <w:vAlign w:val="center"/>
            <w:hideMark/>
          </w:tcPr>
          <w:p w14:paraId="03F8DD53"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Cardiff East</w:t>
            </w:r>
          </w:p>
        </w:tc>
        <w:tc>
          <w:tcPr>
            <w:tcW w:w="1290" w:type="dxa"/>
            <w:shd w:val="clear" w:color="000000" w:fill="F2F2F2"/>
            <w:noWrap/>
            <w:vAlign w:val="center"/>
            <w:hideMark/>
          </w:tcPr>
          <w:p w14:paraId="7D4F588B"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45,353</w:t>
            </w:r>
          </w:p>
        </w:tc>
        <w:tc>
          <w:tcPr>
            <w:tcW w:w="1290" w:type="dxa"/>
            <w:shd w:val="clear" w:color="000000" w:fill="F2F2F2"/>
            <w:noWrap/>
            <w:vAlign w:val="center"/>
            <w:hideMark/>
          </w:tcPr>
          <w:p w14:paraId="6804D0D1"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23.4</w:t>
            </w:r>
          </w:p>
        </w:tc>
        <w:tc>
          <w:tcPr>
            <w:tcW w:w="1291" w:type="dxa"/>
            <w:shd w:val="clear" w:color="000000" w:fill="F2F2F2"/>
            <w:noWrap/>
            <w:vAlign w:val="center"/>
            <w:hideMark/>
          </w:tcPr>
          <w:p w14:paraId="1BCBD9BD"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16.9</w:t>
            </w:r>
          </w:p>
        </w:tc>
        <w:tc>
          <w:tcPr>
            <w:tcW w:w="1290" w:type="dxa"/>
            <w:shd w:val="clear" w:color="000000" w:fill="F2F2F2"/>
            <w:noWrap/>
            <w:vAlign w:val="center"/>
            <w:hideMark/>
          </w:tcPr>
          <w:p w14:paraId="766CEC24"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37.9</w:t>
            </w:r>
          </w:p>
        </w:tc>
        <w:tc>
          <w:tcPr>
            <w:tcW w:w="1290" w:type="dxa"/>
            <w:shd w:val="clear" w:color="000000" w:fill="F2F2F2"/>
            <w:noWrap/>
            <w:vAlign w:val="center"/>
            <w:hideMark/>
          </w:tcPr>
          <w:p w14:paraId="4BAC2208"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51.5</w:t>
            </w:r>
          </w:p>
        </w:tc>
        <w:tc>
          <w:tcPr>
            <w:tcW w:w="1291" w:type="dxa"/>
            <w:shd w:val="clear" w:color="000000" w:fill="F2F2F2"/>
            <w:noWrap/>
            <w:vAlign w:val="center"/>
            <w:hideMark/>
          </w:tcPr>
          <w:p w14:paraId="25A2579D"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21.8</w:t>
            </w:r>
          </w:p>
        </w:tc>
      </w:tr>
      <w:tr w:rsidR="0068018B" w:rsidRPr="00136819" w14:paraId="37126746" w14:textId="77777777" w:rsidTr="003F5B17">
        <w:trPr>
          <w:trHeight w:val="315"/>
        </w:trPr>
        <w:tc>
          <w:tcPr>
            <w:tcW w:w="2122" w:type="dxa"/>
            <w:shd w:val="clear" w:color="000000" w:fill="FFFFFF"/>
            <w:noWrap/>
            <w:vAlign w:val="center"/>
            <w:hideMark/>
          </w:tcPr>
          <w:p w14:paraId="2823ADED"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Cardiff and Vale UHB</w:t>
            </w:r>
          </w:p>
        </w:tc>
        <w:tc>
          <w:tcPr>
            <w:tcW w:w="1290" w:type="dxa"/>
            <w:shd w:val="clear" w:color="000000" w:fill="FFFFFF"/>
            <w:noWrap/>
            <w:vAlign w:val="center"/>
            <w:hideMark/>
          </w:tcPr>
          <w:p w14:paraId="7BD42C5E"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420,119</w:t>
            </w:r>
          </w:p>
        </w:tc>
        <w:tc>
          <w:tcPr>
            <w:tcW w:w="1290" w:type="dxa"/>
            <w:shd w:val="clear" w:color="000000" w:fill="FFFFFF"/>
            <w:noWrap/>
            <w:vAlign w:val="center"/>
            <w:hideMark/>
          </w:tcPr>
          <w:p w14:paraId="15B71919"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19.3</w:t>
            </w:r>
          </w:p>
        </w:tc>
        <w:tc>
          <w:tcPr>
            <w:tcW w:w="1291" w:type="dxa"/>
            <w:shd w:val="clear" w:color="000000" w:fill="FFFFFF"/>
            <w:noWrap/>
            <w:vAlign w:val="center"/>
            <w:hideMark/>
          </w:tcPr>
          <w:p w14:paraId="2C4A8CCE"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18.9</w:t>
            </w:r>
          </w:p>
        </w:tc>
        <w:tc>
          <w:tcPr>
            <w:tcW w:w="1290" w:type="dxa"/>
            <w:shd w:val="clear" w:color="000000" w:fill="FFFFFF"/>
            <w:noWrap/>
            <w:vAlign w:val="center"/>
            <w:hideMark/>
          </w:tcPr>
          <w:p w14:paraId="43088192"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40.8</w:t>
            </w:r>
          </w:p>
        </w:tc>
        <w:tc>
          <w:tcPr>
            <w:tcW w:w="1290" w:type="dxa"/>
            <w:shd w:val="clear" w:color="000000" w:fill="FFFFFF"/>
            <w:noWrap/>
            <w:vAlign w:val="center"/>
            <w:hideMark/>
          </w:tcPr>
          <w:p w14:paraId="385F8380"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55.1</w:t>
            </w:r>
          </w:p>
        </w:tc>
        <w:tc>
          <w:tcPr>
            <w:tcW w:w="1291" w:type="dxa"/>
            <w:shd w:val="clear" w:color="000000" w:fill="FFFFFF"/>
            <w:noWrap/>
            <w:vAlign w:val="center"/>
            <w:hideMark/>
          </w:tcPr>
          <w:p w14:paraId="43448796"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24.2</w:t>
            </w:r>
          </w:p>
        </w:tc>
      </w:tr>
      <w:tr w:rsidR="0068018B" w:rsidRPr="00136819" w14:paraId="170C9774" w14:textId="77777777" w:rsidTr="003F5B17">
        <w:trPr>
          <w:trHeight w:val="315"/>
        </w:trPr>
        <w:tc>
          <w:tcPr>
            <w:tcW w:w="2122" w:type="dxa"/>
            <w:shd w:val="clear" w:color="000000" w:fill="F2F2F2"/>
            <w:noWrap/>
            <w:vAlign w:val="center"/>
            <w:hideMark/>
          </w:tcPr>
          <w:p w14:paraId="5810C3D7"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Wales</w:t>
            </w:r>
          </w:p>
        </w:tc>
        <w:tc>
          <w:tcPr>
            <w:tcW w:w="1290" w:type="dxa"/>
            <w:shd w:val="clear" w:color="000000" w:fill="F2F2F2"/>
            <w:noWrap/>
            <w:vAlign w:val="center"/>
            <w:hideMark/>
          </w:tcPr>
          <w:p w14:paraId="16360006"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2,642,152</w:t>
            </w:r>
          </w:p>
        </w:tc>
        <w:tc>
          <w:tcPr>
            <w:tcW w:w="1290" w:type="dxa"/>
            <w:shd w:val="clear" w:color="000000" w:fill="F2F2F2"/>
            <w:noWrap/>
            <w:vAlign w:val="center"/>
            <w:hideMark/>
          </w:tcPr>
          <w:p w14:paraId="30ABB5C1"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19.2</w:t>
            </w:r>
          </w:p>
        </w:tc>
        <w:tc>
          <w:tcPr>
            <w:tcW w:w="1291" w:type="dxa"/>
            <w:shd w:val="clear" w:color="000000" w:fill="F2F2F2"/>
            <w:noWrap/>
            <w:vAlign w:val="center"/>
            <w:hideMark/>
          </w:tcPr>
          <w:p w14:paraId="46688335"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18.9</w:t>
            </w:r>
          </w:p>
        </w:tc>
        <w:tc>
          <w:tcPr>
            <w:tcW w:w="1290" w:type="dxa"/>
            <w:shd w:val="clear" w:color="000000" w:fill="F2F2F2"/>
            <w:noWrap/>
            <w:vAlign w:val="center"/>
            <w:hideMark/>
          </w:tcPr>
          <w:p w14:paraId="327E56C8"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39.1</w:t>
            </w:r>
          </w:p>
        </w:tc>
        <w:tc>
          <w:tcPr>
            <w:tcW w:w="1290" w:type="dxa"/>
            <w:shd w:val="clear" w:color="000000" w:fill="F2F2F2"/>
            <w:noWrap/>
            <w:vAlign w:val="center"/>
            <w:hideMark/>
          </w:tcPr>
          <w:p w14:paraId="33D3F7EB"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52.8</w:t>
            </w:r>
          </w:p>
        </w:tc>
        <w:tc>
          <w:tcPr>
            <w:tcW w:w="1291" w:type="dxa"/>
            <w:shd w:val="clear" w:color="000000" w:fill="F2F2F2"/>
            <w:noWrap/>
            <w:vAlign w:val="center"/>
            <w:hideMark/>
          </w:tcPr>
          <w:p w14:paraId="65DAD43A" w14:textId="77777777" w:rsidR="00136819" w:rsidRPr="003F5B17" w:rsidRDefault="00136819" w:rsidP="00DC54F7">
            <w:pPr>
              <w:spacing w:after="0" w:line="240" w:lineRule="auto"/>
              <w:jc w:val="both"/>
              <w:rPr>
                <w:rFonts w:eastAsia="Times New Roman" w:cstheme="minorHAnsi"/>
                <w:lang w:eastAsia="en-GB"/>
              </w:rPr>
            </w:pPr>
            <w:r w:rsidRPr="003F5B17">
              <w:rPr>
                <w:rFonts w:eastAsia="Times New Roman" w:cstheme="minorHAnsi"/>
                <w:lang w:eastAsia="en-GB"/>
              </w:rPr>
              <w:t>23.4</w:t>
            </w:r>
          </w:p>
        </w:tc>
      </w:tr>
    </w:tbl>
    <w:p w14:paraId="68E48414" w14:textId="77777777" w:rsidR="00855AE1" w:rsidRDefault="00FD6000" w:rsidP="00DC54F7">
      <w:pPr>
        <w:spacing w:after="0" w:line="240" w:lineRule="auto"/>
        <w:jc w:val="both"/>
        <w:rPr>
          <w:rFonts w:ascii="Arial" w:hAnsi="Arial" w:cs="Arial"/>
          <w:sz w:val="20"/>
          <w:szCs w:val="20"/>
        </w:rPr>
      </w:pPr>
      <w:r w:rsidRPr="00DD3817">
        <w:rPr>
          <w:rFonts w:ascii="Arial" w:hAnsi="Arial" w:cs="Arial"/>
          <w:sz w:val="20"/>
          <w:szCs w:val="20"/>
        </w:rPr>
        <w:t>Source: Public Health Wales Observatory, using NSW (WG), WDS (NWIS) and WIMD 2014 (WG). Please note, the calculation of the healthy weight indicator only accounts for working age adults (aged 16-64)</w:t>
      </w:r>
    </w:p>
    <w:p w14:paraId="7AE5BE4D" w14:textId="4528DBDA" w:rsidR="009379B2" w:rsidRDefault="009379B2" w:rsidP="00DC54F7">
      <w:pPr>
        <w:spacing w:after="0" w:line="240" w:lineRule="auto"/>
        <w:jc w:val="both"/>
        <w:rPr>
          <w:rFonts w:ascii="Arial" w:hAnsi="Arial" w:cs="Arial"/>
          <w:b/>
          <w:sz w:val="26"/>
          <w:szCs w:val="26"/>
        </w:rPr>
      </w:pPr>
    </w:p>
    <w:p w14:paraId="4B870F17" w14:textId="77777777" w:rsidR="009379B2" w:rsidRDefault="009379B2" w:rsidP="00DC54F7">
      <w:pPr>
        <w:spacing w:after="0" w:line="240" w:lineRule="auto"/>
        <w:jc w:val="both"/>
        <w:rPr>
          <w:rFonts w:ascii="Arial" w:hAnsi="Arial" w:cs="Arial"/>
          <w:b/>
          <w:sz w:val="26"/>
          <w:szCs w:val="26"/>
        </w:rPr>
      </w:pPr>
    </w:p>
    <w:p w14:paraId="5AE8DAC7" w14:textId="6578F61F" w:rsidR="006308CC" w:rsidRPr="006875B4" w:rsidRDefault="009379B2" w:rsidP="00DC54F7">
      <w:pPr>
        <w:spacing w:after="0" w:line="240" w:lineRule="auto"/>
        <w:jc w:val="both"/>
        <w:rPr>
          <w:rFonts w:ascii="Arial" w:hAnsi="Arial" w:cs="Arial"/>
          <w:b/>
          <w:sz w:val="24"/>
          <w:szCs w:val="24"/>
        </w:rPr>
      </w:pPr>
      <w:r w:rsidRPr="006875B4">
        <w:rPr>
          <w:rFonts w:ascii="Arial" w:hAnsi="Arial" w:cs="Arial"/>
          <w:b/>
          <w:sz w:val="24"/>
          <w:szCs w:val="24"/>
        </w:rPr>
        <w:t xml:space="preserve">8.1.5 </w:t>
      </w:r>
      <w:r w:rsidR="006308CC" w:rsidRPr="006875B4">
        <w:rPr>
          <w:rFonts w:ascii="Arial" w:hAnsi="Arial" w:cs="Arial"/>
          <w:b/>
          <w:sz w:val="24"/>
          <w:szCs w:val="24"/>
        </w:rPr>
        <w:t>Cluster development</w:t>
      </w:r>
      <w:r w:rsidR="00853F40" w:rsidRPr="006875B4">
        <w:rPr>
          <w:rFonts w:ascii="Arial" w:hAnsi="Arial" w:cs="Arial"/>
          <w:b/>
          <w:sz w:val="24"/>
          <w:szCs w:val="24"/>
        </w:rPr>
        <w:t>s</w:t>
      </w:r>
    </w:p>
    <w:p w14:paraId="0F60E327" w14:textId="77777777" w:rsidR="009379B2" w:rsidRPr="006875B4" w:rsidRDefault="009379B2" w:rsidP="00DC54F7">
      <w:pPr>
        <w:spacing w:after="0" w:line="240" w:lineRule="auto"/>
        <w:jc w:val="both"/>
        <w:rPr>
          <w:rFonts w:ascii="Arial" w:hAnsi="Arial" w:cs="Arial"/>
          <w:sz w:val="24"/>
          <w:szCs w:val="24"/>
        </w:rPr>
      </w:pPr>
    </w:p>
    <w:p w14:paraId="0145E5A5" w14:textId="7011D2CC" w:rsidR="00853F40" w:rsidRPr="006875B4" w:rsidRDefault="005909B2" w:rsidP="00DC54F7">
      <w:pPr>
        <w:spacing w:after="0" w:line="240" w:lineRule="auto"/>
        <w:jc w:val="both"/>
        <w:rPr>
          <w:rFonts w:ascii="Arial" w:hAnsi="Arial" w:cs="Arial"/>
          <w:sz w:val="24"/>
          <w:szCs w:val="24"/>
        </w:rPr>
      </w:pPr>
      <w:r w:rsidRPr="006875B4">
        <w:rPr>
          <w:rFonts w:ascii="Arial" w:hAnsi="Arial" w:cs="Arial"/>
          <w:sz w:val="24"/>
          <w:szCs w:val="24"/>
        </w:rPr>
        <w:t xml:space="preserve">There is </w:t>
      </w:r>
      <w:r w:rsidR="00697677" w:rsidRPr="006875B4">
        <w:rPr>
          <w:rFonts w:ascii="Arial" w:hAnsi="Arial" w:cs="Arial"/>
          <w:sz w:val="24"/>
          <w:szCs w:val="24"/>
        </w:rPr>
        <w:t xml:space="preserve">a </w:t>
      </w:r>
      <w:r w:rsidRPr="006875B4">
        <w:rPr>
          <w:rFonts w:ascii="Arial" w:hAnsi="Arial" w:cs="Arial"/>
          <w:sz w:val="24"/>
          <w:szCs w:val="24"/>
        </w:rPr>
        <w:t xml:space="preserve">large </w:t>
      </w:r>
      <w:r w:rsidR="009044FE" w:rsidRPr="006875B4">
        <w:rPr>
          <w:rFonts w:ascii="Arial" w:hAnsi="Arial" w:cs="Arial"/>
          <w:sz w:val="24"/>
          <w:szCs w:val="24"/>
        </w:rPr>
        <w:t xml:space="preserve">strategic </w:t>
      </w:r>
      <w:r w:rsidR="00E81A17" w:rsidRPr="006875B4">
        <w:rPr>
          <w:rFonts w:ascii="Arial" w:hAnsi="Arial" w:cs="Arial"/>
          <w:sz w:val="24"/>
          <w:szCs w:val="24"/>
        </w:rPr>
        <w:t xml:space="preserve">employment </w:t>
      </w:r>
      <w:r w:rsidRPr="006875B4">
        <w:rPr>
          <w:rFonts w:ascii="Arial" w:hAnsi="Arial" w:cs="Arial"/>
          <w:sz w:val="24"/>
          <w:szCs w:val="24"/>
        </w:rPr>
        <w:t xml:space="preserve">development planned within Cardiff </w:t>
      </w:r>
      <w:r w:rsidR="00E81A17" w:rsidRPr="006875B4">
        <w:rPr>
          <w:rFonts w:ascii="Arial" w:hAnsi="Arial" w:cs="Arial"/>
          <w:sz w:val="24"/>
          <w:szCs w:val="24"/>
        </w:rPr>
        <w:t>East</w:t>
      </w:r>
      <w:r w:rsidRPr="006875B4">
        <w:rPr>
          <w:rFonts w:ascii="Arial" w:hAnsi="Arial" w:cs="Arial"/>
          <w:sz w:val="24"/>
          <w:szCs w:val="24"/>
        </w:rPr>
        <w:t xml:space="preserve"> cluster to be completed by 2026 in line with the Cardiff Local Development Plan 2006 to 2026. </w:t>
      </w:r>
      <w:r w:rsidR="000A1129" w:rsidRPr="006875B4">
        <w:rPr>
          <w:rFonts w:ascii="Arial" w:hAnsi="Arial" w:cs="Arial"/>
          <w:bCs/>
          <w:sz w:val="24"/>
          <w:szCs w:val="24"/>
        </w:rPr>
        <w:t xml:space="preserve">The area </w:t>
      </w:r>
      <w:r w:rsidR="00DB11F6" w:rsidRPr="006875B4">
        <w:rPr>
          <w:rFonts w:ascii="Arial" w:hAnsi="Arial" w:cs="Arial"/>
          <w:bCs/>
          <w:sz w:val="24"/>
          <w:szCs w:val="24"/>
        </w:rPr>
        <w:t>S</w:t>
      </w:r>
      <w:r w:rsidR="000A1129" w:rsidRPr="006875B4">
        <w:rPr>
          <w:rFonts w:ascii="Arial" w:hAnsi="Arial" w:cs="Arial"/>
          <w:bCs/>
          <w:sz w:val="24"/>
          <w:szCs w:val="24"/>
        </w:rPr>
        <w:t xml:space="preserve">outh of St Mellons Business Park has been identified as an </w:t>
      </w:r>
      <w:r w:rsidR="00D47E07" w:rsidRPr="006875B4">
        <w:rPr>
          <w:rFonts w:ascii="Arial" w:hAnsi="Arial" w:cs="Arial"/>
          <w:sz w:val="24"/>
          <w:szCs w:val="24"/>
        </w:rPr>
        <w:t>important employment site which contributes to the necessary range and choice of types of employment opportunities in the city. Its location is particularly well placed to provide accessible job opportunities to areas of known deprivation</w:t>
      </w:r>
      <w:r w:rsidR="00853F40" w:rsidRPr="006875B4">
        <w:rPr>
          <w:rFonts w:ascii="Arial" w:hAnsi="Arial" w:cs="Arial"/>
          <w:sz w:val="24"/>
          <w:szCs w:val="24"/>
        </w:rPr>
        <w:t xml:space="preserve">. Key proposed developments include: </w:t>
      </w:r>
      <w:r w:rsidR="00D47E07" w:rsidRPr="006875B4">
        <w:rPr>
          <w:rFonts w:ascii="Arial" w:hAnsi="Arial" w:cs="Arial"/>
          <w:sz w:val="24"/>
          <w:szCs w:val="24"/>
        </w:rPr>
        <w:t xml:space="preserve"> </w:t>
      </w:r>
    </w:p>
    <w:p w14:paraId="51F65C65" w14:textId="0A81EE4F" w:rsidR="006308CC" w:rsidRPr="006875B4" w:rsidRDefault="006308CC" w:rsidP="00DC54F7">
      <w:pPr>
        <w:spacing w:after="0" w:line="240" w:lineRule="auto"/>
        <w:jc w:val="both"/>
        <w:rPr>
          <w:rFonts w:ascii="Arial" w:hAnsi="Arial" w:cs="Arial"/>
          <w:bCs/>
          <w:sz w:val="24"/>
          <w:szCs w:val="24"/>
        </w:rPr>
      </w:pPr>
    </w:p>
    <w:p w14:paraId="347298FE" w14:textId="1ABBABCF" w:rsidR="00115108" w:rsidRPr="006875B4" w:rsidRDefault="00115108" w:rsidP="00DC54F7">
      <w:pPr>
        <w:pStyle w:val="ListParagraph"/>
        <w:numPr>
          <w:ilvl w:val="0"/>
          <w:numId w:val="144"/>
        </w:numPr>
        <w:spacing w:after="0" w:line="240" w:lineRule="auto"/>
        <w:jc w:val="both"/>
        <w:rPr>
          <w:rFonts w:ascii="Arial" w:hAnsi="Arial" w:cs="Arial"/>
          <w:bCs/>
          <w:sz w:val="24"/>
          <w:szCs w:val="24"/>
        </w:rPr>
      </w:pPr>
      <w:r w:rsidRPr="006875B4">
        <w:rPr>
          <w:rFonts w:ascii="Arial" w:hAnsi="Arial" w:cs="Arial"/>
          <w:bCs/>
          <w:sz w:val="24"/>
          <w:szCs w:val="24"/>
        </w:rPr>
        <w:t>Provision of transport hub including new rail station served by relief</w:t>
      </w:r>
      <w:r w:rsidR="000A1129" w:rsidRPr="006875B4">
        <w:rPr>
          <w:rFonts w:ascii="Arial" w:hAnsi="Arial" w:cs="Arial"/>
          <w:bCs/>
          <w:sz w:val="24"/>
          <w:szCs w:val="24"/>
        </w:rPr>
        <w:t xml:space="preserve"> </w:t>
      </w:r>
      <w:r w:rsidRPr="006875B4">
        <w:rPr>
          <w:rFonts w:ascii="Arial" w:hAnsi="Arial" w:cs="Arial"/>
          <w:bCs/>
          <w:sz w:val="24"/>
          <w:szCs w:val="24"/>
        </w:rPr>
        <w:t>line rail services connecting to the city centre and services to Cardiff</w:t>
      </w:r>
      <w:r w:rsidR="00DE7934" w:rsidRPr="006875B4">
        <w:rPr>
          <w:rFonts w:ascii="Arial" w:hAnsi="Arial" w:cs="Arial"/>
          <w:bCs/>
          <w:sz w:val="24"/>
          <w:szCs w:val="24"/>
        </w:rPr>
        <w:t xml:space="preserve"> </w:t>
      </w:r>
      <w:r w:rsidRPr="006875B4">
        <w:rPr>
          <w:rFonts w:ascii="Arial" w:hAnsi="Arial" w:cs="Arial"/>
          <w:bCs/>
          <w:sz w:val="24"/>
          <w:szCs w:val="24"/>
        </w:rPr>
        <w:t>Airport and London via Cardiff Central</w:t>
      </w:r>
    </w:p>
    <w:p w14:paraId="2B642530" w14:textId="1AC50D6C" w:rsidR="00115108" w:rsidRPr="006875B4" w:rsidRDefault="00115108" w:rsidP="00DC54F7">
      <w:pPr>
        <w:pStyle w:val="ListParagraph"/>
        <w:numPr>
          <w:ilvl w:val="0"/>
          <w:numId w:val="144"/>
        </w:numPr>
        <w:spacing w:after="0" w:line="240" w:lineRule="auto"/>
        <w:jc w:val="both"/>
        <w:rPr>
          <w:rFonts w:ascii="Arial" w:hAnsi="Arial" w:cs="Arial"/>
          <w:bCs/>
          <w:sz w:val="24"/>
          <w:szCs w:val="24"/>
        </w:rPr>
      </w:pPr>
      <w:r w:rsidRPr="006875B4">
        <w:rPr>
          <w:rFonts w:ascii="Arial" w:hAnsi="Arial" w:cs="Arial"/>
          <w:bCs/>
          <w:sz w:val="24"/>
          <w:szCs w:val="24"/>
        </w:rPr>
        <w:t>Provision of park and ride facility</w:t>
      </w:r>
    </w:p>
    <w:p w14:paraId="3733A418" w14:textId="6E391F14" w:rsidR="00115108" w:rsidRPr="006875B4" w:rsidRDefault="007E3F2E" w:rsidP="00DC54F7">
      <w:pPr>
        <w:pStyle w:val="ListParagraph"/>
        <w:numPr>
          <w:ilvl w:val="0"/>
          <w:numId w:val="144"/>
        </w:numPr>
        <w:spacing w:after="0" w:line="240" w:lineRule="auto"/>
        <w:jc w:val="both"/>
        <w:rPr>
          <w:rFonts w:ascii="Arial" w:hAnsi="Arial" w:cs="Arial"/>
          <w:bCs/>
          <w:sz w:val="24"/>
          <w:szCs w:val="24"/>
        </w:rPr>
      </w:pPr>
      <w:r w:rsidRPr="006875B4">
        <w:rPr>
          <w:rFonts w:ascii="Arial" w:hAnsi="Arial" w:cs="Arial"/>
          <w:bCs/>
          <w:sz w:val="24"/>
          <w:szCs w:val="24"/>
        </w:rPr>
        <w:t>Integrati</w:t>
      </w:r>
      <w:r w:rsidR="00DE7934" w:rsidRPr="006875B4">
        <w:rPr>
          <w:rFonts w:ascii="Arial" w:hAnsi="Arial" w:cs="Arial"/>
          <w:bCs/>
          <w:sz w:val="24"/>
          <w:szCs w:val="24"/>
        </w:rPr>
        <w:t>on of</w:t>
      </w:r>
      <w:r w:rsidRPr="006875B4">
        <w:rPr>
          <w:rFonts w:ascii="Arial" w:hAnsi="Arial" w:cs="Arial"/>
          <w:bCs/>
          <w:sz w:val="24"/>
          <w:szCs w:val="24"/>
        </w:rPr>
        <w:t xml:space="preserve"> the site with key bus links</w:t>
      </w:r>
      <w:r w:rsidR="00185859" w:rsidRPr="006875B4">
        <w:rPr>
          <w:rFonts w:ascii="Arial" w:hAnsi="Arial" w:cs="Arial"/>
          <w:bCs/>
          <w:sz w:val="24"/>
          <w:szCs w:val="24"/>
        </w:rPr>
        <w:t xml:space="preserve"> and corridors</w:t>
      </w:r>
      <w:r w:rsidRPr="006875B4">
        <w:rPr>
          <w:rFonts w:ascii="Arial" w:hAnsi="Arial" w:cs="Arial"/>
          <w:bCs/>
          <w:sz w:val="24"/>
          <w:szCs w:val="24"/>
        </w:rPr>
        <w:t xml:space="preserve"> </w:t>
      </w:r>
    </w:p>
    <w:p w14:paraId="0F46622F" w14:textId="74A056CE" w:rsidR="00115108" w:rsidRPr="006875B4" w:rsidRDefault="007E3F2E" w:rsidP="00DC54F7">
      <w:pPr>
        <w:pStyle w:val="ListParagraph"/>
        <w:numPr>
          <w:ilvl w:val="0"/>
          <w:numId w:val="144"/>
        </w:numPr>
        <w:spacing w:after="0" w:line="240" w:lineRule="auto"/>
        <w:jc w:val="both"/>
        <w:rPr>
          <w:rFonts w:ascii="Arial" w:hAnsi="Arial" w:cs="Arial"/>
          <w:bCs/>
          <w:sz w:val="24"/>
          <w:szCs w:val="24"/>
        </w:rPr>
      </w:pPr>
      <w:r w:rsidRPr="006875B4">
        <w:rPr>
          <w:rFonts w:ascii="Arial" w:hAnsi="Arial" w:cs="Arial"/>
          <w:bCs/>
          <w:sz w:val="24"/>
          <w:szCs w:val="24"/>
        </w:rPr>
        <w:t xml:space="preserve">Provision of </w:t>
      </w:r>
      <w:r w:rsidR="00115108" w:rsidRPr="006875B4">
        <w:rPr>
          <w:rFonts w:ascii="Arial" w:hAnsi="Arial" w:cs="Arial"/>
          <w:bCs/>
          <w:sz w:val="24"/>
          <w:szCs w:val="24"/>
        </w:rPr>
        <w:t>walking and cycling links</w:t>
      </w:r>
      <w:r w:rsidRPr="006875B4">
        <w:rPr>
          <w:rFonts w:ascii="Arial" w:hAnsi="Arial" w:cs="Arial"/>
          <w:bCs/>
          <w:sz w:val="24"/>
          <w:szCs w:val="24"/>
        </w:rPr>
        <w:t xml:space="preserve"> </w:t>
      </w:r>
      <w:r w:rsidR="00115108" w:rsidRPr="006875B4">
        <w:rPr>
          <w:rFonts w:ascii="Arial" w:hAnsi="Arial" w:cs="Arial"/>
          <w:bCs/>
          <w:sz w:val="24"/>
          <w:szCs w:val="24"/>
        </w:rPr>
        <w:t>and facilities to maximise walking and cycling access to the site from</w:t>
      </w:r>
      <w:r w:rsidRPr="006875B4">
        <w:rPr>
          <w:rFonts w:ascii="Arial" w:hAnsi="Arial" w:cs="Arial"/>
          <w:bCs/>
          <w:sz w:val="24"/>
          <w:szCs w:val="24"/>
        </w:rPr>
        <w:t xml:space="preserve"> </w:t>
      </w:r>
      <w:r w:rsidR="00115108" w:rsidRPr="006875B4">
        <w:rPr>
          <w:rFonts w:ascii="Arial" w:hAnsi="Arial" w:cs="Arial"/>
          <w:bCs/>
          <w:sz w:val="24"/>
          <w:szCs w:val="24"/>
        </w:rPr>
        <w:t>neighbouring communities including Trowbridge and St Mellon</w:t>
      </w:r>
      <w:r w:rsidR="00E1032D" w:rsidRPr="006875B4">
        <w:rPr>
          <w:rFonts w:ascii="Arial" w:hAnsi="Arial" w:cs="Arial"/>
          <w:bCs/>
          <w:sz w:val="24"/>
          <w:szCs w:val="24"/>
        </w:rPr>
        <w:t>s</w:t>
      </w:r>
    </w:p>
    <w:p w14:paraId="5B5AAD1C" w14:textId="750EE158" w:rsidR="00115108" w:rsidRPr="006875B4" w:rsidRDefault="00115108" w:rsidP="00DC54F7">
      <w:pPr>
        <w:pStyle w:val="ListParagraph"/>
        <w:numPr>
          <w:ilvl w:val="0"/>
          <w:numId w:val="144"/>
        </w:numPr>
        <w:spacing w:after="0" w:line="240" w:lineRule="auto"/>
        <w:jc w:val="both"/>
        <w:rPr>
          <w:rFonts w:ascii="Arial" w:hAnsi="Arial" w:cs="Arial"/>
          <w:bCs/>
          <w:sz w:val="24"/>
          <w:szCs w:val="24"/>
        </w:rPr>
      </w:pPr>
      <w:r w:rsidRPr="006875B4">
        <w:rPr>
          <w:rFonts w:ascii="Arial" w:hAnsi="Arial" w:cs="Arial"/>
          <w:bCs/>
          <w:sz w:val="24"/>
          <w:szCs w:val="24"/>
        </w:rPr>
        <w:t>Retain</w:t>
      </w:r>
      <w:r w:rsidR="00E1032D" w:rsidRPr="006875B4">
        <w:rPr>
          <w:rFonts w:ascii="Arial" w:hAnsi="Arial" w:cs="Arial"/>
          <w:bCs/>
          <w:sz w:val="24"/>
          <w:szCs w:val="24"/>
        </w:rPr>
        <w:t>ing</w:t>
      </w:r>
      <w:r w:rsidRPr="006875B4">
        <w:rPr>
          <w:rFonts w:ascii="Arial" w:hAnsi="Arial" w:cs="Arial"/>
          <w:bCs/>
          <w:sz w:val="24"/>
          <w:szCs w:val="24"/>
        </w:rPr>
        <w:t xml:space="preserve"> the area of land </w:t>
      </w:r>
      <w:r w:rsidR="007E3F2E" w:rsidRPr="006875B4">
        <w:rPr>
          <w:rFonts w:ascii="Arial" w:hAnsi="Arial" w:cs="Arial"/>
          <w:bCs/>
          <w:sz w:val="24"/>
          <w:szCs w:val="24"/>
        </w:rPr>
        <w:t>for green space</w:t>
      </w:r>
    </w:p>
    <w:p w14:paraId="074392C8" w14:textId="195FAB15" w:rsidR="00FB1F19" w:rsidRPr="006875B4" w:rsidRDefault="00FB1F19" w:rsidP="00DC54F7">
      <w:pPr>
        <w:pStyle w:val="ListParagraph"/>
        <w:numPr>
          <w:ilvl w:val="0"/>
          <w:numId w:val="144"/>
        </w:numPr>
        <w:spacing w:after="0" w:line="240" w:lineRule="auto"/>
        <w:jc w:val="both"/>
        <w:rPr>
          <w:rFonts w:ascii="Arial" w:hAnsi="Arial" w:cs="Arial"/>
          <w:bCs/>
          <w:sz w:val="24"/>
          <w:szCs w:val="24"/>
        </w:rPr>
      </w:pPr>
      <w:r w:rsidRPr="006875B4">
        <w:rPr>
          <w:rFonts w:ascii="Arial" w:hAnsi="Arial" w:cs="Arial"/>
          <w:bCs/>
          <w:sz w:val="24"/>
          <w:szCs w:val="24"/>
        </w:rPr>
        <w:t>Strength</w:t>
      </w:r>
      <w:r w:rsidR="00D47E07" w:rsidRPr="006875B4">
        <w:rPr>
          <w:rFonts w:ascii="Arial" w:hAnsi="Arial" w:cs="Arial"/>
          <w:bCs/>
          <w:sz w:val="24"/>
          <w:szCs w:val="24"/>
        </w:rPr>
        <w:t>en flooding</w:t>
      </w:r>
      <w:r w:rsidR="000A1129" w:rsidRPr="006875B4">
        <w:rPr>
          <w:rFonts w:ascii="Arial" w:hAnsi="Arial" w:cs="Arial"/>
          <w:bCs/>
          <w:sz w:val="24"/>
          <w:szCs w:val="24"/>
        </w:rPr>
        <w:t xml:space="preserve"> mitigation and enhancement measures</w:t>
      </w:r>
    </w:p>
    <w:p w14:paraId="0632F616" w14:textId="25D28F1F" w:rsidR="00A754EF" w:rsidRPr="006875B4" w:rsidRDefault="00A754EF" w:rsidP="00DC54F7">
      <w:pPr>
        <w:spacing w:after="0" w:line="240" w:lineRule="auto"/>
        <w:jc w:val="both"/>
        <w:rPr>
          <w:rFonts w:ascii="Arial" w:hAnsi="Arial" w:cs="Arial"/>
          <w:bCs/>
          <w:sz w:val="24"/>
          <w:szCs w:val="24"/>
        </w:rPr>
      </w:pPr>
    </w:p>
    <w:p w14:paraId="19C94E70" w14:textId="0180DB5B" w:rsidR="00A754EF" w:rsidRDefault="00A754EF" w:rsidP="00DC54F7">
      <w:pPr>
        <w:spacing w:after="0" w:line="240" w:lineRule="auto"/>
        <w:jc w:val="both"/>
        <w:rPr>
          <w:rFonts w:ascii="Arial" w:hAnsi="Arial" w:cs="Arial"/>
          <w:sz w:val="24"/>
          <w:szCs w:val="24"/>
        </w:rPr>
      </w:pPr>
      <w:r w:rsidRPr="008B4694">
        <w:rPr>
          <w:rFonts w:ascii="Arial" w:hAnsi="Arial" w:cs="Arial"/>
          <w:bCs/>
          <w:sz w:val="24"/>
          <w:szCs w:val="24"/>
        </w:rPr>
        <w:t xml:space="preserve">As </w:t>
      </w:r>
      <w:r w:rsidR="004311FA" w:rsidRPr="008B4694">
        <w:rPr>
          <w:rFonts w:ascii="Arial" w:hAnsi="Arial" w:cs="Arial"/>
          <w:bCs/>
          <w:sz w:val="24"/>
          <w:szCs w:val="24"/>
        </w:rPr>
        <w:t xml:space="preserve">at </w:t>
      </w:r>
      <w:r w:rsidRPr="008B4694">
        <w:rPr>
          <w:rFonts w:ascii="Arial" w:hAnsi="Arial" w:cs="Arial"/>
          <w:bCs/>
          <w:sz w:val="24"/>
          <w:szCs w:val="24"/>
        </w:rPr>
        <w:t>Autumn 2020</w:t>
      </w:r>
      <w:r w:rsidR="00A418D3" w:rsidRPr="008B4694">
        <w:rPr>
          <w:rFonts w:ascii="Arial" w:hAnsi="Arial" w:cs="Arial"/>
          <w:bCs/>
          <w:sz w:val="24"/>
          <w:szCs w:val="24"/>
        </w:rPr>
        <w:t xml:space="preserve"> monitoring information</w:t>
      </w:r>
      <w:r w:rsidRPr="008B4694">
        <w:rPr>
          <w:rFonts w:ascii="Arial" w:hAnsi="Arial" w:cs="Arial"/>
          <w:bCs/>
          <w:sz w:val="24"/>
          <w:szCs w:val="24"/>
        </w:rPr>
        <w:t>, n</w:t>
      </w:r>
      <w:r w:rsidRPr="008B4694">
        <w:rPr>
          <w:rFonts w:ascii="Arial" w:hAnsi="Arial" w:cs="Arial"/>
          <w:sz w:val="24"/>
          <w:szCs w:val="24"/>
        </w:rPr>
        <w:t xml:space="preserve">o formal planning applications have been submitted to </w:t>
      </w:r>
      <w:r w:rsidR="00A534E6" w:rsidRPr="008B4694">
        <w:rPr>
          <w:rFonts w:ascii="Arial" w:hAnsi="Arial" w:cs="Arial"/>
          <w:sz w:val="24"/>
          <w:szCs w:val="24"/>
        </w:rPr>
        <w:t>Cardiff Council.</w:t>
      </w:r>
      <w:r w:rsidR="00A534E6" w:rsidRPr="00A534E6">
        <w:rPr>
          <w:rFonts w:ascii="Arial" w:hAnsi="Arial" w:cs="Arial"/>
          <w:sz w:val="24"/>
          <w:szCs w:val="24"/>
        </w:rPr>
        <w:t xml:space="preserve"> </w:t>
      </w:r>
    </w:p>
    <w:p w14:paraId="476BE1CA" w14:textId="10C1D0E9" w:rsidR="00872B6F" w:rsidRDefault="00872B6F" w:rsidP="00DC54F7">
      <w:pPr>
        <w:spacing w:after="0" w:line="240" w:lineRule="auto"/>
        <w:jc w:val="both"/>
        <w:rPr>
          <w:rFonts w:ascii="Arial" w:hAnsi="Arial" w:cs="Arial"/>
          <w:sz w:val="24"/>
          <w:szCs w:val="24"/>
        </w:rPr>
      </w:pPr>
    </w:p>
    <w:p w14:paraId="5993CE7B" w14:textId="10FD1D67" w:rsidR="00872B6F" w:rsidRPr="00872B6F" w:rsidRDefault="00872B6F" w:rsidP="00DC54F7">
      <w:pPr>
        <w:spacing w:after="0" w:line="240" w:lineRule="auto"/>
        <w:jc w:val="both"/>
        <w:rPr>
          <w:rFonts w:ascii="Arial" w:hAnsi="Arial" w:cs="Arial"/>
          <w:sz w:val="24"/>
          <w:szCs w:val="24"/>
        </w:rPr>
      </w:pPr>
      <w:r w:rsidRPr="008C62FC">
        <w:rPr>
          <w:rFonts w:ascii="Arial" w:hAnsi="Arial" w:cs="Arial"/>
          <w:sz w:val="24"/>
          <w:szCs w:val="24"/>
        </w:rPr>
        <w:t xml:space="preserve">The </w:t>
      </w:r>
      <w:r w:rsidR="006035AD" w:rsidRPr="008C62FC">
        <w:rPr>
          <w:rFonts w:ascii="Arial" w:hAnsi="Arial" w:cs="Arial"/>
          <w:sz w:val="24"/>
          <w:szCs w:val="24"/>
        </w:rPr>
        <w:t>s</w:t>
      </w:r>
      <w:r w:rsidRPr="008C62FC">
        <w:rPr>
          <w:rFonts w:ascii="Arial" w:hAnsi="Arial" w:cs="Arial"/>
          <w:sz w:val="24"/>
          <w:szCs w:val="24"/>
        </w:rPr>
        <w:t>pring 2021 LDP monitoring document highlights that there is a live outline planning application in progress with Cardiff Council.</w:t>
      </w:r>
      <w:r w:rsidRPr="00872B6F">
        <w:rPr>
          <w:rFonts w:ascii="Arial" w:hAnsi="Arial" w:cs="Arial"/>
          <w:sz w:val="24"/>
          <w:szCs w:val="24"/>
        </w:rPr>
        <w:t xml:space="preserve"> </w:t>
      </w:r>
    </w:p>
    <w:p w14:paraId="7678475E" w14:textId="77777777" w:rsidR="00872B6F" w:rsidRPr="006875B4" w:rsidRDefault="00872B6F" w:rsidP="00DC54F7">
      <w:pPr>
        <w:spacing w:after="0" w:line="240" w:lineRule="auto"/>
        <w:jc w:val="both"/>
        <w:rPr>
          <w:rFonts w:ascii="Arial" w:hAnsi="Arial" w:cs="Arial"/>
          <w:bCs/>
          <w:sz w:val="24"/>
          <w:szCs w:val="24"/>
        </w:rPr>
      </w:pPr>
    </w:p>
    <w:p w14:paraId="2D899089" w14:textId="77777777" w:rsidR="00A534E6" w:rsidRDefault="00A534E6" w:rsidP="00DC54F7">
      <w:pPr>
        <w:spacing w:after="0" w:line="240" w:lineRule="auto"/>
        <w:jc w:val="both"/>
        <w:rPr>
          <w:rFonts w:ascii="Arial" w:hAnsi="Arial" w:cs="Arial"/>
          <w:b/>
          <w:sz w:val="26"/>
          <w:szCs w:val="26"/>
        </w:rPr>
      </w:pPr>
    </w:p>
    <w:p w14:paraId="1E8C8A87" w14:textId="0B789F72" w:rsidR="002409F1" w:rsidRPr="00855AE1" w:rsidRDefault="006B7D30" w:rsidP="00DC54F7">
      <w:pPr>
        <w:spacing w:after="0" w:line="240" w:lineRule="auto"/>
        <w:jc w:val="both"/>
        <w:rPr>
          <w:rFonts w:ascii="Arial" w:hAnsi="Arial" w:cs="Arial"/>
          <w:sz w:val="20"/>
          <w:szCs w:val="20"/>
        </w:rPr>
      </w:pPr>
      <w:r w:rsidRPr="00A10850">
        <w:rPr>
          <w:rFonts w:ascii="Arial" w:hAnsi="Arial" w:cs="Arial"/>
          <w:b/>
          <w:sz w:val="26"/>
          <w:szCs w:val="26"/>
        </w:rPr>
        <w:t>8</w:t>
      </w:r>
      <w:r w:rsidR="002409F1" w:rsidRPr="00A10850">
        <w:rPr>
          <w:rFonts w:ascii="Arial" w:hAnsi="Arial" w:cs="Arial"/>
          <w:b/>
          <w:sz w:val="26"/>
          <w:szCs w:val="26"/>
        </w:rPr>
        <w:t xml:space="preserve">.2 </w:t>
      </w:r>
      <w:r w:rsidR="00F937AF" w:rsidRPr="00A10850">
        <w:rPr>
          <w:rFonts w:ascii="Arial" w:hAnsi="Arial" w:cs="Arial"/>
          <w:b/>
          <w:sz w:val="26"/>
          <w:szCs w:val="26"/>
        </w:rPr>
        <w:t>Current</w:t>
      </w:r>
      <w:r w:rsidR="002409F1" w:rsidRPr="00A10850">
        <w:rPr>
          <w:rFonts w:ascii="Arial" w:hAnsi="Arial" w:cs="Arial"/>
          <w:b/>
          <w:sz w:val="26"/>
          <w:szCs w:val="26"/>
          <w:lang w:val="en-US"/>
        </w:rPr>
        <w:t xml:space="preserve"> provision </w:t>
      </w:r>
      <w:r w:rsidR="00F937AF" w:rsidRPr="00A10850">
        <w:rPr>
          <w:rFonts w:ascii="Arial" w:hAnsi="Arial" w:cs="Arial"/>
          <w:b/>
          <w:sz w:val="26"/>
          <w:szCs w:val="26"/>
          <w:lang w:val="en-US"/>
        </w:rPr>
        <w:t xml:space="preserve">of pharmaceutical services </w:t>
      </w:r>
      <w:r w:rsidR="002409F1" w:rsidRPr="00A10850">
        <w:rPr>
          <w:rFonts w:ascii="Arial" w:hAnsi="Arial" w:cs="Arial"/>
          <w:b/>
          <w:sz w:val="26"/>
          <w:szCs w:val="26"/>
          <w:lang w:val="en-US"/>
        </w:rPr>
        <w:t xml:space="preserve">within the </w:t>
      </w:r>
      <w:r w:rsidR="009B598E">
        <w:rPr>
          <w:rFonts w:ascii="Arial" w:hAnsi="Arial" w:cs="Arial"/>
          <w:b/>
          <w:sz w:val="26"/>
          <w:szCs w:val="26"/>
          <w:lang w:val="en-US"/>
        </w:rPr>
        <w:t>cluster</w:t>
      </w:r>
    </w:p>
    <w:p w14:paraId="211CD62E" w14:textId="77777777" w:rsidR="00911953" w:rsidRDefault="00911953" w:rsidP="00DC54F7">
      <w:pPr>
        <w:spacing w:after="0" w:line="240" w:lineRule="auto"/>
        <w:jc w:val="both"/>
        <w:rPr>
          <w:rFonts w:ascii="Arial" w:hAnsi="Arial" w:cs="Arial"/>
          <w:bCs/>
          <w:lang w:val="en-US"/>
        </w:rPr>
      </w:pPr>
    </w:p>
    <w:p w14:paraId="45F8229F" w14:textId="62744235" w:rsidR="0068176F" w:rsidRPr="00F07267" w:rsidRDefault="009B6215" w:rsidP="00DC54F7">
      <w:pPr>
        <w:spacing w:after="0" w:line="240" w:lineRule="auto"/>
        <w:jc w:val="both"/>
        <w:rPr>
          <w:rFonts w:ascii="Arial" w:hAnsi="Arial" w:cs="Arial"/>
          <w:bCs/>
          <w:sz w:val="24"/>
          <w:szCs w:val="24"/>
          <w:lang w:val="en-US"/>
        </w:rPr>
      </w:pPr>
      <w:r w:rsidRPr="00F07267">
        <w:rPr>
          <w:rFonts w:ascii="Arial" w:hAnsi="Arial" w:cs="Arial"/>
          <w:bCs/>
          <w:sz w:val="24"/>
          <w:szCs w:val="24"/>
          <w:lang w:val="en-US"/>
        </w:rPr>
        <w:t>There are 10 pharmacies in</w:t>
      </w:r>
      <w:r w:rsidR="00BD0668" w:rsidRPr="00F07267">
        <w:rPr>
          <w:rFonts w:ascii="Arial" w:hAnsi="Arial" w:cs="Arial"/>
          <w:bCs/>
          <w:sz w:val="24"/>
          <w:szCs w:val="24"/>
          <w:lang w:val="en-US"/>
        </w:rPr>
        <w:t xml:space="preserve"> Cardiff East </w:t>
      </w:r>
      <w:r w:rsidR="00E1032D" w:rsidRPr="00F07267">
        <w:rPr>
          <w:rFonts w:ascii="Arial" w:hAnsi="Arial" w:cs="Arial"/>
          <w:bCs/>
          <w:sz w:val="24"/>
          <w:szCs w:val="24"/>
          <w:lang w:val="en-US"/>
        </w:rPr>
        <w:t xml:space="preserve">cluster </w:t>
      </w:r>
      <w:r w:rsidR="007060C1" w:rsidRPr="00F07267">
        <w:rPr>
          <w:rFonts w:ascii="Arial" w:hAnsi="Arial" w:cs="Arial"/>
          <w:bCs/>
          <w:sz w:val="24"/>
          <w:szCs w:val="24"/>
          <w:lang w:val="en-US"/>
        </w:rPr>
        <w:t>(see table 8.7)</w:t>
      </w:r>
      <w:r w:rsidR="00BD0668" w:rsidRPr="00F07267">
        <w:rPr>
          <w:rFonts w:ascii="Arial" w:hAnsi="Arial" w:cs="Arial"/>
          <w:bCs/>
          <w:sz w:val="24"/>
          <w:szCs w:val="24"/>
          <w:lang w:val="en-US"/>
        </w:rPr>
        <w:t xml:space="preserve">. </w:t>
      </w:r>
      <w:r w:rsidR="0068176F" w:rsidRPr="00F07267">
        <w:rPr>
          <w:rFonts w:ascii="Arial" w:hAnsi="Arial" w:cs="Arial"/>
          <w:bCs/>
          <w:sz w:val="24"/>
          <w:szCs w:val="24"/>
          <w:lang w:val="en-US"/>
        </w:rPr>
        <w:t xml:space="preserve">It should be noted that one pharmacy, Hopwoods pharmacy, sits just outside of the Cardiff East cluster </w:t>
      </w:r>
      <w:r w:rsidR="0068176F" w:rsidRPr="00F07267">
        <w:rPr>
          <w:rFonts w:ascii="Arial" w:hAnsi="Arial" w:cs="Arial"/>
          <w:bCs/>
          <w:sz w:val="24"/>
          <w:szCs w:val="24"/>
          <w:lang w:val="en-US"/>
        </w:rPr>
        <w:lastRenderedPageBreak/>
        <w:t xml:space="preserve">boundary in Cardiff North.  Due to its </w:t>
      </w:r>
      <w:r w:rsidR="00697677" w:rsidRPr="00F07267">
        <w:rPr>
          <w:rFonts w:ascii="Arial" w:hAnsi="Arial" w:cs="Arial"/>
          <w:bCs/>
          <w:sz w:val="24"/>
          <w:szCs w:val="24"/>
          <w:lang w:val="en-US"/>
        </w:rPr>
        <w:t>close proximity</w:t>
      </w:r>
      <w:r w:rsidR="0068176F" w:rsidRPr="00F07267">
        <w:rPr>
          <w:rFonts w:ascii="Arial" w:hAnsi="Arial" w:cs="Arial"/>
          <w:bCs/>
          <w:sz w:val="24"/>
          <w:szCs w:val="24"/>
          <w:lang w:val="en-US"/>
        </w:rPr>
        <w:t xml:space="preserve"> to a branch surgery of a Cardiff East GP practice it has historically been considered as part of Cardiff East cluster. </w:t>
      </w:r>
    </w:p>
    <w:p w14:paraId="4377D3ED" w14:textId="5B550A13" w:rsidR="00546BF6" w:rsidRPr="00F07267" w:rsidRDefault="00546BF6" w:rsidP="00DC54F7">
      <w:pPr>
        <w:spacing w:after="0" w:line="240" w:lineRule="auto"/>
        <w:jc w:val="both"/>
        <w:rPr>
          <w:rFonts w:ascii="Arial" w:hAnsi="Arial" w:cs="Arial"/>
          <w:bCs/>
          <w:sz w:val="24"/>
          <w:szCs w:val="24"/>
          <w:lang w:val="en-US"/>
        </w:rPr>
      </w:pPr>
    </w:p>
    <w:p w14:paraId="4E219921" w14:textId="434F8AAE" w:rsidR="007060C1" w:rsidRPr="00F07267" w:rsidRDefault="007060C1" w:rsidP="00DC54F7">
      <w:pPr>
        <w:spacing w:after="0" w:line="240" w:lineRule="auto"/>
        <w:jc w:val="both"/>
        <w:rPr>
          <w:rFonts w:ascii="Arial" w:hAnsi="Arial" w:cs="Arial"/>
          <w:sz w:val="24"/>
          <w:szCs w:val="24"/>
        </w:rPr>
      </w:pPr>
      <w:r w:rsidRPr="00F07267">
        <w:rPr>
          <w:rFonts w:ascii="Arial" w:hAnsi="Arial" w:cs="Arial"/>
          <w:sz w:val="24"/>
          <w:szCs w:val="24"/>
        </w:rPr>
        <w:t xml:space="preserve">In 2019 to 2020, 79.7% of </w:t>
      </w:r>
      <w:r w:rsidR="006224B6" w:rsidRPr="00F07267">
        <w:rPr>
          <w:rFonts w:ascii="Arial" w:hAnsi="Arial" w:cs="Arial"/>
          <w:sz w:val="24"/>
          <w:szCs w:val="24"/>
        </w:rPr>
        <w:t xml:space="preserve">prescription </w:t>
      </w:r>
      <w:r w:rsidRPr="00F07267">
        <w:rPr>
          <w:rFonts w:ascii="Arial" w:hAnsi="Arial" w:cs="Arial"/>
          <w:sz w:val="24"/>
          <w:szCs w:val="24"/>
        </w:rPr>
        <w:t xml:space="preserve">items written by the four GP practices in Cardiff East cluster were dispensed by one of the pharmacies within the cluster and 1.8% were personally administered items. </w:t>
      </w:r>
    </w:p>
    <w:p w14:paraId="56DDDAD7" w14:textId="77777777" w:rsidR="007060C1" w:rsidRDefault="007060C1" w:rsidP="00DC54F7">
      <w:pPr>
        <w:spacing w:after="0" w:line="240" w:lineRule="auto"/>
        <w:jc w:val="both"/>
        <w:rPr>
          <w:rFonts w:ascii="Arial" w:hAnsi="Arial" w:cs="Arial"/>
          <w:bCs/>
          <w:lang w:val="en-US"/>
        </w:rPr>
      </w:pPr>
    </w:p>
    <w:p w14:paraId="270BED49" w14:textId="391AF0A8" w:rsidR="003B5AE0" w:rsidRPr="007970C3" w:rsidRDefault="00E94C1F" w:rsidP="00DC54F7">
      <w:pPr>
        <w:spacing w:after="0" w:line="240" w:lineRule="auto"/>
        <w:jc w:val="both"/>
        <w:rPr>
          <w:rFonts w:ascii="Arial" w:hAnsi="Arial" w:cs="Arial"/>
          <w:b/>
          <w:sz w:val="24"/>
          <w:szCs w:val="24"/>
          <w:lang w:val="en-US"/>
        </w:rPr>
      </w:pPr>
      <w:r w:rsidRPr="007970C3">
        <w:rPr>
          <w:rFonts w:ascii="Arial" w:hAnsi="Arial" w:cs="Arial"/>
          <w:b/>
          <w:sz w:val="24"/>
          <w:szCs w:val="24"/>
          <w:lang w:val="en-US"/>
        </w:rPr>
        <w:t xml:space="preserve">Table 8.7: </w:t>
      </w:r>
      <w:r w:rsidR="00FE4F31" w:rsidRPr="007970C3">
        <w:rPr>
          <w:rFonts w:ascii="Arial" w:hAnsi="Arial" w:cs="Arial"/>
          <w:b/>
          <w:sz w:val="24"/>
          <w:szCs w:val="24"/>
          <w:lang w:val="en-US"/>
        </w:rPr>
        <w:t>Pharmacies in Cardiff East</w:t>
      </w:r>
      <w:r w:rsidR="00C57CB8" w:rsidRPr="007970C3">
        <w:rPr>
          <w:rFonts w:ascii="Arial" w:hAnsi="Arial" w:cs="Arial"/>
          <w:b/>
          <w:sz w:val="24"/>
          <w:szCs w:val="24"/>
          <w:lang w:val="en-US"/>
        </w:rPr>
        <w:t xml:space="preserve"> cluster</w:t>
      </w:r>
    </w:p>
    <w:tbl>
      <w:tblPr>
        <w:tblW w:w="942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497"/>
        <w:gridCol w:w="3193"/>
        <w:gridCol w:w="1561"/>
        <w:gridCol w:w="1173"/>
      </w:tblGrid>
      <w:tr w:rsidR="007060C1" w:rsidRPr="007060C1" w14:paraId="53086A57" w14:textId="77777777" w:rsidTr="00D90935">
        <w:trPr>
          <w:trHeight w:val="276"/>
        </w:trPr>
        <w:tc>
          <w:tcPr>
            <w:tcW w:w="3497" w:type="dxa"/>
            <w:shd w:val="clear" w:color="auto" w:fill="8497B0"/>
            <w:noWrap/>
            <w:vAlign w:val="bottom"/>
            <w:hideMark/>
          </w:tcPr>
          <w:p w14:paraId="11428D1C" w14:textId="77777777" w:rsidR="007060C1" w:rsidRPr="00C92877" w:rsidRDefault="007060C1" w:rsidP="00DC54F7">
            <w:pPr>
              <w:spacing w:after="0" w:line="240" w:lineRule="auto"/>
              <w:jc w:val="both"/>
              <w:rPr>
                <w:rFonts w:eastAsia="Times New Roman" w:cstheme="minorHAnsi"/>
                <w:b/>
                <w:bCs/>
                <w:color w:val="FFFFFF"/>
                <w:lang w:eastAsia="en-GB"/>
              </w:rPr>
            </w:pPr>
            <w:r w:rsidRPr="00C92877">
              <w:rPr>
                <w:rFonts w:eastAsia="Times New Roman" w:cstheme="minorHAnsi"/>
                <w:b/>
                <w:bCs/>
                <w:color w:val="FFFFFF"/>
                <w:lang w:eastAsia="en-GB"/>
              </w:rPr>
              <w:t>Pharmacy</w:t>
            </w:r>
          </w:p>
        </w:tc>
        <w:tc>
          <w:tcPr>
            <w:tcW w:w="5927" w:type="dxa"/>
            <w:gridSpan w:val="3"/>
            <w:shd w:val="clear" w:color="auto" w:fill="8497B0"/>
            <w:noWrap/>
            <w:vAlign w:val="bottom"/>
            <w:hideMark/>
          </w:tcPr>
          <w:p w14:paraId="412C1402" w14:textId="77777777" w:rsidR="007060C1" w:rsidRPr="00C92877" w:rsidRDefault="007060C1" w:rsidP="00DC54F7">
            <w:pPr>
              <w:spacing w:after="0" w:line="240" w:lineRule="auto"/>
              <w:jc w:val="both"/>
              <w:rPr>
                <w:rFonts w:eastAsia="Times New Roman" w:cstheme="minorHAnsi"/>
                <w:b/>
                <w:bCs/>
                <w:color w:val="FFFFFF"/>
                <w:lang w:eastAsia="en-GB"/>
              </w:rPr>
            </w:pPr>
            <w:r w:rsidRPr="00C92877">
              <w:rPr>
                <w:rFonts w:eastAsia="Times New Roman" w:cstheme="minorHAnsi"/>
                <w:b/>
                <w:bCs/>
                <w:color w:val="FFFFFF"/>
                <w:lang w:eastAsia="en-GB"/>
              </w:rPr>
              <w:t>Address</w:t>
            </w:r>
          </w:p>
        </w:tc>
      </w:tr>
      <w:tr w:rsidR="007060C1" w:rsidRPr="007060C1" w14:paraId="50C45086" w14:textId="77777777" w:rsidTr="00D90935">
        <w:trPr>
          <w:trHeight w:val="308"/>
        </w:trPr>
        <w:tc>
          <w:tcPr>
            <w:tcW w:w="3497" w:type="dxa"/>
            <w:shd w:val="clear" w:color="000000" w:fill="F2F2F2"/>
            <w:hideMark/>
          </w:tcPr>
          <w:p w14:paraId="04E46EBD"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G S Bhogal T/A GS Bhogal Pharmacy</w:t>
            </w:r>
          </w:p>
        </w:tc>
        <w:tc>
          <w:tcPr>
            <w:tcW w:w="3193" w:type="dxa"/>
            <w:shd w:val="clear" w:color="000000" w:fill="F2F2F2"/>
            <w:hideMark/>
          </w:tcPr>
          <w:p w14:paraId="4A79080D"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Rumney Primary Care Centre Barmouth Road</w:t>
            </w:r>
          </w:p>
        </w:tc>
        <w:tc>
          <w:tcPr>
            <w:tcW w:w="1561" w:type="dxa"/>
            <w:shd w:val="clear" w:color="000000" w:fill="F2F2F2"/>
            <w:hideMark/>
          </w:tcPr>
          <w:p w14:paraId="2036A7D3"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Rumney</w:t>
            </w:r>
          </w:p>
        </w:tc>
        <w:tc>
          <w:tcPr>
            <w:tcW w:w="1172" w:type="dxa"/>
            <w:shd w:val="clear" w:color="000000" w:fill="F2F2F2"/>
            <w:hideMark/>
          </w:tcPr>
          <w:p w14:paraId="6BD11FF8"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CF3 3LA</w:t>
            </w:r>
          </w:p>
        </w:tc>
      </w:tr>
      <w:tr w:rsidR="007060C1" w:rsidRPr="007060C1" w14:paraId="665D6FA9" w14:textId="77777777" w:rsidTr="00D90935">
        <w:trPr>
          <w:trHeight w:val="308"/>
        </w:trPr>
        <w:tc>
          <w:tcPr>
            <w:tcW w:w="3497" w:type="dxa"/>
            <w:shd w:val="clear" w:color="000000" w:fill="FFFFFF"/>
            <w:hideMark/>
          </w:tcPr>
          <w:p w14:paraId="16520005"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Boots UK Limited</w:t>
            </w:r>
          </w:p>
        </w:tc>
        <w:tc>
          <w:tcPr>
            <w:tcW w:w="3193" w:type="dxa"/>
            <w:shd w:val="clear" w:color="000000" w:fill="FFFFFF"/>
            <w:hideMark/>
          </w:tcPr>
          <w:p w14:paraId="62D78366"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48 Countisbury Avenue</w:t>
            </w:r>
          </w:p>
        </w:tc>
        <w:tc>
          <w:tcPr>
            <w:tcW w:w="1561" w:type="dxa"/>
            <w:shd w:val="clear" w:color="000000" w:fill="FFFFFF"/>
            <w:hideMark/>
          </w:tcPr>
          <w:p w14:paraId="00D8DA1E"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Llanrumney</w:t>
            </w:r>
          </w:p>
        </w:tc>
        <w:tc>
          <w:tcPr>
            <w:tcW w:w="1172" w:type="dxa"/>
            <w:shd w:val="clear" w:color="000000" w:fill="FFFFFF"/>
            <w:hideMark/>
          </w:tcPr>
          <w:p w14:paraId="1A346041"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CF3 5SL</w:t>
            </w:r>
          </w:p>
        </w:tc>
      </w:tr>
      <w:tr w:rsidR="007060C1" w:rsidRPr="007060C1" w14:paraId="38B4882A" w14:textId="77777777" w:rsidTr="00D90935">
        <w:trPr>
          <w:trHeight w:val="308"/>
        </w:trPr>
        <w:tc>
          <w:tcPr>
            <w:tcW w:w="3497" w:type="dxa"/>
            <w:shd w:val="clear" w:color="000000" w:fill="F2F2F2"/>
            <w:hideMark/>
          </w:tcPr>
          <w:p w14:paraId="299187C4"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Hopwoods Ltd</w:t>
            </w:r>
          </w:p>
        </w:tc>
        <w:tc>
          <w:tcPr>
            <w:tcW w:w="3193" w:type="dxa"/>
            <w:shd w:val="clear" w:color="000000" w:fill="F2F2F2"/>
            <w:hideMark/>
          </w:tcPr>
          <w:p w14:paraId="4F12326F"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19 Maelfa Shopping Centre</w:t>
            </w:r>
          </w:p>
        </w:tc>
        <w:tc>
          <w:tcPr>
            <w:tcW w:w="1561" w:type="dxa"/>
            <w:shd w:val="clear" w:color="000000" w:fill="F2F2F2"/>
            <w:hideMark/>
          </w:tcPr>
          <w:p w14:paraId="0825AA10"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Llanedeyrn</w:t>
            </w:r>
          </w:p>
        </w:tc>
        <w:tc>
          <w:tcPr>
            <w:tcW w:w="1172" w:type="dxa"/>
            <w:shd w:val="clear" w:color="000000" w:fill="F2F2F2"/>
            <w:hideMark/>
          </w:tcPr>
          <w:p w14:paraId="27F9E435"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CF23 9PL</w:t>
            </w:r>
          </w:p>
        </w:tc>
      </w:tr>
      <w:tr w:rsidR="007060C1" w:rsidRPr="007060C1" w14:paraId="3336210A" w14:textId="77777777" w:rsidTr="00D90935">
        <w:trPr>
          <w:trHeight w:val="308"/>
        </w:trPr>
        <w:tc>
          <w:tcPr>
            <w:tcW w:w="3497" w:type="dxa"/>
            <w:shd w:val="clear" w:color="000000" w:fill="FFFFFF"/>
            <w:hideMark/>
          </w:tcPr>
          <w:p w14:paraId="00D894F8"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Lloyds Pharmacy Ltd T/A Lloydspharmacy</w:t>
            </w:r>
          </w:p>
        </w:tc>
        <w:tc>
          <w:tcPr>
            <w:tcW w:w="3193" w:type="dxa"/>
            <w:shd w:val="clear" w:color="000000" w:fill="FFFFFF"/>
            <w:hideMark/>
          </w:tcPr>
          <w:p w14:paraId="0FD79C2E"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347-349 St Mellons District Shopping Centre</w:t>
            </w:r>
          </w:p>
        </w:tc>
        <w:tc>
          <w:tcPr>
            <w:tcW w:w="1561" w:type="dxa"/>
            <w:shd w:val="clear" w:color="000000" w:fill="FFFFFF"/>
            <w:hideMark/>
          </w:tcPr>
          <w:p w14:paraId="5D8F3906"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St Mellons</w:t>
            </w:r>
          </w:p>
        </w:tc>
        <w:tc>
          <w:tcPr>
            <w:tcW w:w="1172" w:type="dxa"/>
            <w:shd w:val="clear" w:color="000000" w:fill="FFFFFF"/>
            <w:hideMark/>
          </w:tcPr>
          <w:p w14:paraId="5A8B75E1"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CF3 0EF</w:t>
            </w:r>
          </w:p>
        </w:tc>
      </w:tr>
      <w:tr w:rsidR="007060C1" w:rsidRPr="007060C1" w14:paraId="45C048F7" w14:textId="77777777" w:rsidTr="00D90935">
        <w:trPr>
          <w:trHeight w:val="308"/>
        </w:trPr>
        <w:tc>
          <w:tcPr>
            <w:tcW w:w="3497" w:type="dxa"/>
            <w:shd w:val="clear" w:color="000000" w:fill="F2F2F2"/>
            <w:hideMark/>
          </w:tcPr>
          <w:p w14:paraId="3E9E507A"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Lloyds Pharmacy Ltd T/A Lloydspharmacy</w:t>
            </w:r>
          </w:p>
        </w:tc>
        <w:tc>
          <w:tcPr>
            <w:tcW w:w="3193" w:type="dxa"/>
            <w:shd w:val="clear" w:color="000000" w:fill="F2F2F2"/>
            <w:hideMark/>
          </w:tcPr>
          <w:p w14:paraId="5A823BF9"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Llanrumney Medical Centre Ball Road</w:t>
            </w:r>
          </w:p>
        </w:tc>
        <w:tc>
          <w:tcPr>
            <w:tcW w:w="1561" w:type="dxa"/>
            <w:shd w:val="clear" w:color="000000" w:fill="F2F2F2"/>
            <w:hideMark/>
          </w:tcPr>
          <w:p w14:paraId="5143AFA0"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Llanrumney</w:t>
            </w:r>
          </w:p>
        </w:tc>
        <w:tc>
          <w:tcPr>
            <w:tcW w:w="1172" w:type="dxa"/>
            <w:shd w:val="clear" w:color="000000" w:fill="F2F2F2"/>
            <w:hideMark/>
          </w:tcPr>
          <w:p w14:paraId="2CB563BE"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CF3 5NP</w:t>
            </w:r>
          </w:p>
        </w:tc>
      </w:tr>
      <w:tr w:rsidR="007060C1" w:rsidRPr="007060C1" w14:paraId="014FE99F" w14:textId="77777777" w:rsidTr="00D90935">
        <w:trPr>
          <w:trHeight w:val="308"/>
        </w:trPr>
        <w:tc>
          <w:tcPr>
            <w:tcW w:w="3497" w:type="dxa"/>
            <w:shd w:val="clear" w:color="000000" w:fill="FFFFFF"/>
            <w:hideMark/>
          </w:tcPr>
          <w:p w14:paraId="7CBBF681"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Well</w:t>
            </w:r>
          </w:p>
        </w:tc>
        <w:tc>
          <w:tcPr>
            <w:tcW w:w="3193" w:type="dxa"/>
            <w:shd w:val="clear" w:color="000000" w:fill="FFFFFF"/>
            <w:hideMark/>
          </w:tcPr>
          <w:p w14:paraId="51ECBDB4"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106 Wentloog Road</w:t>
            </w:r>
          </w:p>
        </w:tc>
        <w:tc>
          <w:tcPr>
            <w:tcW w:w="1561" w:type="dxa"/>
            <w:shd w:val="clear" w:color="000000" w:fill="FFFFFF"/>
            <w:hideMark/>
          </w:tcPr>
          <w:p w14:paraId="02369290"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Rumney</w:t>
            </w:r>
          </w:p>
        </w:tc>
        <w:tc>
          <w:tcPr>
            <w:tcW w:w="1172" w:type="dxa"/>
            <w:shd w:val="clear" w:color="000000" w:fill="FFFFFF"/>
            <w:hideMark/>
          </w:tcPr>
          <w:p w14:paraId="02A14E92"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CF3 3EA</w:t>
            </w:r>
          </w:p>
        </w:tc>
      </w:tr>
      <w:tr w:rsidR="007060C1" w:rsidRPr="007060C1" w14:paraId="205965E1" w14:textId="77777777" w:rsidTr="00D90935">
        <w:trPr>
          <w:trHeight w:val="308"/>
        </w:trPr>
        <w:tc>
          <w:tcPr>
            <w:tcW w:w="3497" w:type="dxa"/>
            <w:shd w:val="clear" w:color="000000" w:fill="F2F2F2"/>
            <w:hideMark/>
          </w:tcPr>
          <w:p w14:paraId="71C2342C"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Well</w:t>
            </w:r>
          </w:p>
        </w:tc>
        <w:tc>
          <w:tcPr>
            <w:tcW w:w="3193" w:type="dxa"/>
            <w:shd w:val="clear" w:color="000000" w:fill="F2F2F2"/>
            <w:hideMark/>
          </w:tcPr>
          <w:p w14:paraId="42587622"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Unit 3,Trowbridge Local Centre Abergele Road</w:t>
            </w:r>
          </w:p>
        </w:tc>
        <w:tc>
          <w:tcPr>
            <w:tcW w:w="1561" w:type="dxa"/>
            <w:shd w:val="clear" w:color="000000" w:fill="F2F2F2"/>
            <w:hideMark/>
          </w:tcPr>
          <w:p w14:paraId="56B8CF24"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Trowbridge</w:t>
            </w:r>
          </w:p>
        </w:tc>
        <w:tc>
          <w:tcPr>
            <w:tcW w:w="1172" w:type="dxa"/>
            <w:shd w:val="clear" w:color="000000" w:fill="F2F2F2"/>
            <w:hideMark/>
          </w:tcPr>
          <w:p w14:paraId="0AEF7B49"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CF3 1RR</w:t>
            </w:r>
          </w:p>
        </w:tc>
      </w:tr>
      <w:tr w:rsidR="007060C1" w:rsidRPr="007060C1" w14:paraId="55FCEB80" w14:textId="77777777" w:rsidTr="00D90935">
        <w:trPr>
          <w:trHeight w:val="308"/>
        </w:trPr>
        <w:tc>
          <w:tcPr>
            <w:tcW w:w="3497" w:type="dxa"/>
            <w:shd w:val="clear" w:color="000000" w:fill="FFFFFF"/>
            <w:hideMark/>
          </w:tcPr>
          <w:p w14:paraId="20A631B8"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Boots UK Limited T/A Your Local Boots Pharmacy</w:t>
            </w:r>
          </w:p>
        </w:tc>
        <w:tc>
          <w:tcPr>
            <w:tcW w:w="3193" w:type="dxa"/>
            <w:shd w:val="clear" w:color="000000" w:fill="FFFFFF"/>
            <w:hideMark/>
          </w:tcPr>
          <w:p w14:paraId="22CE368A"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4 Strathy Road Willowbrook Drive</w:t>
            </w:r>
          </w:p>
        </w:tc>
        <w:tc>
          <w:tcPr>
            <w:tcW w:w="1561" w:type="dxa"/>
            <w:shd w:val="clear" w:color="000000" w:fill="FFFFFF"/>
            <w:hideMark/>
          </w:tcPr>
          <w:p w14:paraId="5C0F05AD"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St Mellons</w:t>
            </w:r>
          </w:p>
        </w:tc>
        <w:tc>
          <w:tcPr>
            <w:tcW w:w="1172" w:type="dxa"/>
            <w:shd w:val="clear" w:color="000000" w:fill="FFFFFF"/>
            <w:hideMark/>
          </w:tcPr>
          <w:p w14:paraId="4759AADE"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CF3 0SH</w:t>
            </w:r>
          </w:p>
        </w:tc>
      </w:tr>
      <w:tr w:rsidR="007060C1" w:rsidRPr="007060C1" w14:paraId="1201FFFA" w14:textId="77777777" w:rsidTr="00D90935">
        <w:trPr>
          <w:trHeight w:val="308"/>
        </w:trPr>
        <w:tc>
          <w:tcPr>
            <w:tcW w:w="3497" w:type="dxa"/>
            <w:shd w:val="clear" w:color="000000" w:fill="F2F2F2"/>
            <w:hideMark/>
          </w:tcPr>
          <w:p w14:paraId="62E37A12"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Well</w:t>
            </w:r>
          </w:p>
        </w:tc>
        <w:tc>
          <w:tcPr>
            <w:tcW w:w="3193" w:type="dxa"/>
            <w:shd w:val="clear" w:color="000000" w:fill="F2F2F2"/>
            <w:hideMark/>
          </w:tcPr>
          <w:p w14:paraId="4BCEE5F2"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60 Countisbury Avenue</w:t>
            </w:r>
          </w:p>
        </w:tc>
        <w:tc>
          <w:tcPr>
            <w:tcW w:w="1561" w:type="dxa"/>
            <w:shd w:val="clear" w:color="000000" w:fill="F2F2F2"/>
            <w:hideMark/>
          </w:tcPr>
          <w:p w14:paraId="5B5853D9"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Llanrumney</w:t>
            </w:r>
          </w:p>
        </w:tc>
        <w:tc>
          <w:tcPr>
            <w:tcW w:w="1172" w:type="dxa"/>
            <w:shd w:val="clear" w:color="000000" w:fill="F2F2F2"/>
            <w:hideMark/>
          </w:tcPr>
          <w:p w14:paraId="66958AFD"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CF3 5SP</w:t>
            </w:r>
          </w:p>
        </w:tc>
      </w:tr>
      <w:tr w:rsidR="007060C1" w:rsidRPr="007060C1" w14:paraId="406C8AE6" w14:textId="77777777" w:rsidTr="00D90935">
        <w:trPr>
          <w:trHeight w:val="308"/>
        </w:trPr>
        <w:tc>
          <w:tcPr>
            <w:tcW w:w="3497" w:type="dxa"/>
            <w:shd w:val="clear" w:color="000000" w:fill="FFFFFF"/>
            <w:hideMark/>
          </w:tcPr>
          <w:p w14:paraId="71C5DB28"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P C Bullen</w:t>
            </w:r>
          </w:p>
        </w:tc>
        <w:tc>
          <w:tcPr>
            <w:tcW w:w="3193" w:type="dxa"/>
            <w:shd w:val="clear" w:color="000000" w:fill="FFFFFF"/>
            <w:hideMark/>
          </w:tcPr>
          <w:p w14:paraId="4E75765B"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St Mellons Pharmacy Seaview Stores Newport Road</w:t>
            </w:r>
          </w:p>
        </w:tc>
        <w:tc>
          <w:tcPr>
            <w:tcW w:w="1561" w:type="dxa"/>
            <w:shd w:val="clear" w:color="000000" w:fill="FFFFFF"/>
            <w:hideMark/>
          </w:tcPr>
          <w:p w14:paraId="0B4A5F66"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St Mellons</w:t>
            </w:r>
          </w:p>
        </w:tc>
        <w:tc>
          <w:tcPr>
            <w:tcW w:w="1172" w:type="dxa"/>
            <w:shd w:val="clear" w:color="000000" w:fill="FFFFFF"/>
            <w:hideMark/>
          </w:tcPr>
          <w:p w14:paraId="3F3A7378" w14:textId="77777777" w:rsidR="007060C1" w:rsidRPr="00264698" w:rsidRDefault="007060C1" w:rsidP="00DC54F7">
            <w:pPr>
              <w:spacing w:after="0" w:line="240" w:lineRule="auto"/>
              <w:jc w:val="both"/>
              <w:rPr>
                <w:rFonts w:ascii="Arial" w:eastAsia="Times New Roman" w:hAnsi="Arial" w:cs="Arial"/>
                <w:lang w:eastAsia="en-GB"/>
              </w:rPr>
            </w:pPr>
            <w:r w:rsidRPr="00264698">
              <w:rPr>
                <w:rFonts w:ascii="Arial" w:eastAsia="Times New Roman" w:hAnsi="Arial" w:cs="Arial"/>
                <w:lang w:eastAsia="en-GB"/>
              </w:rPr>
              <w:t>CF3 5UA</w:t>
            </w:r>
          </w:p>
        </w:tc>
      </w:tr>
    </w:tbl>
    <w:p w14:paraId="43FA1321" w14:textId="77777777" w:rsidR="003B5AE0" w:rsidRDefault="003B5AE0" w:rsidP="00DC54F7">
      <w:pPr>
        <w:spacing w:after="0" w:line="240" w:lineRule="auto"/>
        <w:jc w:val="both"/>
        <w:rPr>
          <w:rFonts w:ascii="Arial" w:hAnsi="Arial" w:cs="Arial"/>
          <w:bCs/>
          <w:lang w:val="en-US"/>
        </w:rPr>
      </w:pPr>
    </w:p>
    <w:p w14:paraId="59CDEEA2" w14:textId="3EB95AAD" w:rsidR="0005514A" w:rsidRPr="00264698" w:rsidRDefault="007054B9" w:rsidP="00DC54F7">
      <w:pPr>
        <w:spacing w:after="0" w:line="240" w:lineRule="auto"/>
        <w:jc w:val="both"/>
        <w:rPr>
          <w:rFonts w:ascii="Arial" w:hAnsi="Arial" w:cs="Arial"/>
          <w:bCs/>
          <w:sz w:val="24"/>
          <w:szCs w:val="24"/>
          <w:lang w:val="en-US"/>
        </w:rPr>
      </w:pPr>
      <w:r w:rsidRPr="00264698">
        <w:rPr>
          <w:rFonts w:ascii="Arial" w:hAnsi="Arial" w:cs="Arial"/>
          <w:bCs/>
          <w:sz w:val="24"/>
          <w:szCs w:val="24"/>
          <w:lang w:val="en-US"/>
        </w:rPr>
        <w:t xml:space="preserve">The pharmacies are located in areas of greater population density as shown by the darker shaded areas in the map below. </w:t>
      </w:r>
    </w:p>
    <w:p w14:paraId="0DC23514" w14:textId="6E7B025A" w:rsidR="0005514A" w:rsidRPr="00264698" w:rsidRDefault="0005514A" w:rsidP="00DC54F7">
      <w:pPr>
        <w:spacing w:after="0" w:line="240" w:lineRule="auto"/>
        <w:jc w:val="both"/>
        <w:rPr>
          <w:rFonts w:ascii="Arial" w:hAnsi="Arial" w:cs="Arial"/>
          <w:b/>
          <w:sz w:val="24"/>
          <w:szCs w:val="24"/>
          <w:lang w:val="en-US"/>
        </w:rPr>
      </w:pPr>
    </w:p>
    <w:p w14:paraId="733A1106" w14:textId="07A85870" w:rsidR="00FF3592" w:rsidRPr="00264698" w:rsidRDefault="0005514A" w:rsidP="00DC54F7">
      <w:pPr>
        <w:spacing w:after="0" w:line="240" w:lineRule="auto"/>
        <w:jc w:val="both"/>
        <w:rPr>
          <w:rFonts w:ascii="Arial" w:hAnsi="Arial" w:cs="Arial"/>
          <w:b/>
          <w:sz w:val="24"/>
          <w:szCs w:val="24"/>
          <w:lang w:val="en-US"/>
        </w:rPr>
      </w:pPr>
      <w:r w:rsidRPr="00264698">
        <w:rPr>
          <w:rFonts w:ascii="Arial" w:hAnsi="Arial" w:cs="Arial"/>
          <w:b/>
          <w:sz w:val="24"/>
          <w:szCs w:val="24"/>
          <w:lang w:val="en-US"/>
        </w:rPr>
        <w:t>Map 8.</w:t>
      </w:r>
      <w:r w:rsidR="00563446">
        <w:rPr>
          <w:rFonts w:ascii="Arial" w:hAnsi="Arial" w:cs="Arial"/>
          <w:b/>
          <w:sz w:val="24"/>
          <w:szCs w:val="24"/>
          <w:lang w:val="en-US"/>
        </w:rPr>
        <w:t>2</w:t>
      </w:r>
      <w:r w:rsidRPr="00264698">
        <w:rPr>
          <w:rFonts w:ascii="Arial" w:hAnsi="Arial" w:cs="Arial"/>
          <w:b/>
          <w:sz w:val="24"/>
          <w:szCs w:val="24"/>
          <w:lang w:val="en-US"/>
        </w:rPr>
        <w:t>: Location of pharmac</w:t>
      </w:r>
      <w:r w:rsidR="00C26ACA" w:rsidRPr="00264698">
        <w:rPr>
          <w:rFonts w:ascii="Arial" w:hAnsi="Arial" w:cs="Arial"/>
          <w:b/>
          <w:sz w:val="24"/>
          <w:szCs w:val="24"/>
          <w:lang w:val="en-US"/>
        </w:rPr>
        <w:t>y</w:t>
      </w:r>
      <w:r w:rsidR="00FF3592" w:rsidRPr="00264698">
        <w:rPr>
          <w:rFonts w:ascii="Arial" w:hAnsi="Arial" w:cs="Arial"/>
          <w:b/>
          <w:sz w:val="24"/>
          <w:szCs w:val="24"/>
          <w:lang w:val="en-US"/>
        </w:rPr>
        <w:t xml:space="preserve"> premise</w:t>
      </w:r>
      <w:r w:rsidR="003C64F2">
        <w:rPr>
          <w:rFonts w:ascii="Arial" w:hAnsi="Arial" w:cs="Arial"/>
          <w:b/>
          <w:sz w:val="24"/>
          <w:szCs w:val="24"/>
          <w:lang w:val="en-US"/>
        </w:rPr>
        <w:t xml:space="preserve">s </w:t>
      </w:r>
      <w:r w:rsidR="00FF3592" w:rsidRPr="00264698">
        <w:rPr>
          <w:rFonts w:ascii="Arial" w:hAnsi="Arial" w:cs="Arial"/>
          <w:b/>
          <w:sz w:val="24"/>
          <w:szCs w:val="24"/>
          <w:lang w:val="en-US"/>
        </w:rPr>
        <w:t>compared to population density</w:t>
      </w:r>
    </w:p>
    <w:p w14:paraId="40EF81FD" w14:textId="77777777" w:rsidR="00FB7812" w:rsidRDefault="00487BB7" w:rsidP="00DC54F7">
      <w:pPr>
        <w:spacing w:after="0" w:line="240" w:lineRule="auto"/>
        <w:jc w:val="both"/>
        <w:rPr>
          <w:rFonts w:ascii="Arial" w:hAnsi="Arial" w:cs="Arial"/>
          <w:b/>
          <w:sz w:val="26"/>
          <w:szCs w:val="26"/>
          <w:lang w:val="en-US"/>
        </w:rPr>
      </w:pPr>
      <w:r>
        <w:rPr>
          <w:noProof/>
          <w:lang w:eastAsia="en-GB"/>
        </w:rPr>
        <w:drawing>
          <wp:inline distT="0" distB="0" distL="0" distR="0" wp14:anchorId="5D293CB3" wp14:editId="000CEF04">
            <wp:extent cx="5728432" cy="2697933"/>
            <wp:effectExtent l="0" t="0" r="5715" b="7620"/>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852991" cy="2756597"/>
                    </a:xfrm>
                    <a:prstGeom prst="rect">
                      <a:avLst/>
                    </a:prstGeom>
                    <a:noFill/>
                    <a:ln>
                      <a:noFill/>
                    </a:ln>
                  </pic:spPr>
                </pic:pic>
              </a:graphicData>
            </a:graphic>
          </wp:inline>
        </w:drawing>
      </w:r>
    </w:p>
    <w:p w14:paraId="74F2347D" w14:textId="5F87D405" w:rsidR="00774A0C" w:rsidRPr="00676A15" w:rsidRDefault="00774A0C" w:rsidP="00DC54F7">
      <w:pPr>
        <w:spacing w:after="0" w:line="240" w:lineRule="auto"/>
        <w:jc w:val="both"/>
        <w:rPr>
          <w:rFonts w:ascii="Arial" w:hAnsi="Arial" w:cs="Arial"/>
          <w:b/>
          <w:sz w:val="24"/>
          <w:szCs w:val="24"/>
          <w:lang w:val="en-US"/>
        </w:rPr>
      </w:pPr>
      <w:r w:rsidRPr="00FB7812">
        <w:rPr>
          <w:rFonts w:ascii="Arial" w:hAnsi="Arial" w:cs="Arial"/>
          <w:sz w:val="24"/>
          <w:szCs w:val="24"/>
        </w:rPr>
        <w:t xml:space="preserve">All residents </w:t>
      </w:r>
      <w:r w:rsidR="00290518" w:rsidRPr="00FB7812">
        <w:rPr>
          <w:rFonts w:ascii="Arial" w:hAnsi="Arial" w:cs="Arial"/>
          <w:sz w:val="24"/>
          <w:szCs w:val="24"/>
        </w:rPr>
        <w:t xml:space="preserve">of the cluster can access one of the pharmacies by car within </w:t>
      </w:r>
      <w:r w:rsidR="00A94250" w:rsidRPr="00FB7812">
        <w:rPr>
          <w:rFonts w:ascii="Arial" w:hAnsi="Arial" w:cs="Arial"/>
          <w:sz w:val="24"/>
          <w:szCs w:val="24"/>
        </w:rPr>
        <w:t>1</w:t>
      </w:r>
      <w:r w:rsidR="00290518" w:rsidRPr="00FB7812">
        <w:rPr>
          <w:rFonts w:ascii="Arial" w:hAnsi="Arial" w:cs="Arial"/>
          <w:sz w:val="24"/>
          <w:szCs w:val="24"/>
        </w:rPr>
        <w:t xml:space="preserve">0 minutes. </w:t>
      </w:r>
      <w:r w:rsidR="003406D8" w:rsidRPr="00FB7812">
        <w:rPr>
          <w:rFonts w:ascii="Arial" w:hAnsi="Arial" w:cs="Arial"/>
          <w:sz w:val="24"/>
          <w:szCs w:val="24"/>
        </w:rPr>
        <w:t xml:space="preserve">The majority can access a pharmacy </w:t>
      </w:r>
      <w:r w:rsidR="00EF4C5C" w:rsidRPr="00FB7812">
        <w:rPr>
          <w:rFonts w:ascii="Arial" w:hAnsi="Arial" w:cs="Arial"/>
          <w:sz w:val="24"/>
          <w:szCs w:val="24"/>
        </w:rPr>
        <w:t xml:space="preserve">within </w:t>
      </w:r>
      <w:r w:rsidR="00A94250" w:rsidRPr="00FB7812">
        <w:rPr>
          <w:rFonts w:ascii="Arial" w:hAnsi="Arial" w:cs="Arial"/>
          <w:sz w:val="24"/>
          <w:szCs w:val="24"/>
        </w:rPr>
        <w:t>5</w:t>
      </w:r>
      <w:r w:rsidR="00EF4C5C" w:rsidRPr="00FB7812">
        <w:rPr>
          <w:rFonts w:ascii="Arial" w:hAnsi="Arial" w:cs="Arial"/>
          <w:sz w:val="24"/>
          <w:szCs w:val="24"/>
        </w:rPr>
        <w:t xml:space="preserve"> minutes</w:t>
      </w:r>
      <w:r w:rsidR="009121A3" w:rsidRPr="00FB7812">
        <w:rPr>
          <w:rFonts w:ascii="Arial" w:hAnsi="Arial" w:cs="Arial"/>
          <w:sz w:val="24"/>
          <w:szCs w:val="24"/>
        </w:rPr>
        <w:t xml:space="preserve">, as shown in </w:t>
      </w:r>
      <w:r w:rsidR="000017D7" w:rsidRPr="00FB7812">
        <w:rPr>
          <w:rFonts w:ascii="Arial" w:hAnsi="Arial" w:cs="Arial"/>
          <w:sz w:val="24"/>
          <w:szCs w:val="24"/>
        </w:rPr>
        <w:t>the map below.</w:t>
      </w:r>
      <w:r w:rsidR="001746D4" w:rsidRPr="00FB7812">
        <w:rPr>
          <w:rFonts w:ascii="Arial" w:hAnsi="Arial" w:cs="Arial"/>
          <w:sz w:val="24"/>
          <w:szCs w:val="24"/>
        </w:rPr>
        <w:t xml:space="preserve"> However, some households do not have access to a car and may have a longer journey.</w:t>
      </w:r>
    </w:p>
    <w:p w14:paraId="3528A387" w14:textId="48A6E8D1" w:rsidR="00774A0C" w:rsidRPr="00FB7812" w:rsidRDefault="00E52E6B" w:rsidP="00DC54F7">
      <w:pPr>
        <w:spacing w:after="0" w:line="240" w:lineRule="auto"/>
        <w:contextualSpacing/>
        <w:jc w:val="both"/>
        <w:rPr>
          <w:rFonts w:ascii="Arial" w:hAnsi="Arial" w:cs="Arial"/>
          <w:b/>
          <w:bCs/>
          <w:sz w:val="24"/>
          <w:szCs w:val="24"/>
        </w:rPr>
      </w:pPr>
      <w:r w:rsidRPr="00FB7812">
        <w:rPr>
          <w:rFonts w:ascii="Arial" w:hAnsi="Arial" w:cs="Arial"/>
          <w:b/>
          <w:bCs/>
          <w:sz w:val="24"/>
          <w:szCs w:val="24"/>
        </w:rPr>
        <w:lastRenderedPageBreak/>
        <w:t>M</w:t>
      </w:r>
      <w:r w:rsidR="009D6BFB" w:rsidRPr="00FB7812">
        <w:rPr>
          <w:rFonts w:ascii="Arial" w:hAnsi="Arial" w:cs="Arial"/>
          <w:b/>
          <w:bCs/>
          <w:sz w:val="24"/>
          <w:szCs w:val="24"/>
        </w:rPr>
        <w:t>ap 8.</w:t>
      </w:r>
      <w:r w:rsidR="00563446">
        <w:rPr>
          <w:rFonts w:ascii="Arial" w:hAnsi="Arial" w:cs="Arial"/>
          <w:b/>
          <w:bCs/>
          <w:sz w:val="24"/>
          <w:szCs w:val="24"/>
        </w:rPr>
        <w:t>3</w:t>
      </w:r>
      <w:r w:rsidR="009D6BFB" w:rsidRPr="00FB7812">
        <w:rPr>
          <w:rFonts w:ascii="Arial" w:hAnsi="Arial" w:cs="Arial"/>
          <w:b/>
          <w:bCs/>
          <w:sz w:val="24"/>
          <w:szCs w:val="24"/>
        </w:rPr>
        <w:t xml:space="preserve">: Access to pharmacies </w:t>
      </w:r>
      <w:r w:rsidR="00FB7CC5" w:rsidRPr="00FB7812">
        <w:rPr>
          <w:rFonts w:ascii="Arial" w:hAnsi="Arial" w:cs="Arial"/>
          <w:b/>
          <w:bCs/>
          <w:sz w:val="24"/>
          <w:szCs w:val="24"/>
        </w:rPr>
        <w:t xml:space="preserve">in </w:t>
      </w:r>
      <w:r w:rsidR="002C6C2B" w:rsidRPr="00FB7812">
        <w:rPr>
          <w:rFonts w:ascii="Arial" w:hAnsi="Arial" w:cs="Arial"/>
          <w:b/>
          <w:bCs/>
          <w:sz w:val="24"/>
          <w:szCs w:val="24"/>
        </w:rPr>
        <w:t xml:space="preserve">the </w:t>
      </w:r>
      <w:r w:rsidR="00FB7CC5" w:rsidRPr="00FB7812">
        <w:rPr>
          <w:rFonts w:ascii="Arial" w:hAnsi="Arial" w:cs="Arial"/>
          <w:b/>
          <w:bCs/>
          <w:sz w:val="24"/>
          <w:szCs w:val="24"/>
        </w:rPr>
        <w:t>cluster</w:t>
      </w:r>
    </w:p>
    <w:p w14:paraId="3670310C" w14:textId="302B78B7" w:rsidR="00774A0C" w:rsidRDefault="00E52E6B" w:rsidP="00DC54F7">
      <w:pPr>
        <w:spacing w:after="0" w:line="240" w:lineRule="auto"/>
        <w:contextualSpacing/>
        <w:jc w:val="both"/>
        <w:rPr>
          <w:rFonts w:ascii="Arial" w:hAnsi="Arial" w:cs="Arial"/>
          <w:highlight w:val="yellow"/>
        </w:rPr>
      </w:pPr>
      <w:r>
        <w:rPr>
          <w:noProof/>
          <w:lang w:eastAsia="en-GB"/>
        </w:rPr>
        <w:drawing>
          <wp:inline distT="0" distB="0" distL="0" distR="0" wp14:anchorId="0EC2E166" wp14:editId="0199786B">
            <wp:extent cx="5730305" cy="4309607"/>
            <wp:effectExtent l="0" t="0" r="3810" b="0"/>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790766" cy="4355078"/>
                    </a:xfrm>
                    <a:prstGeom prst="rect">
                      <a:avLst/>
                    </a:prstGeom>
                    <a:noFill/>
                    <a:ln>
                      <a:noFill/>
                    </a:ln>
                  </pic:spPr>
                </pic:pic>
              </a:graphicData>
            </a:graphic>
          </wp:inline>
        </w:drawing>
      </w:r>
    </w:p>
    <w:p w14:paraId="3A2F2127" w14:textId="77777777" w:rsidR="00774A0C" w:rsidRDefault="00774A0C" w:rsidP="00DC54F7">
      <w:pPr>
        <w:spacing w:after="0" w:line="240" w:lineRule="auto"/>
        <w:contextualSpacing/>
        <w:jc w:val="both"/>
        <w:rPr>
          <w:rFonts w:ascii="Arial" w:hAnsi="Arial" w:cs="Arial"/>
          <w:highlight w:val="yellow"/>
        </w:rPr>
      </w:pPr>
    </w:p>
    <w:p w14:paraId="1E153AF0" w14:textId="474A354E" w:rsidR="007F70C4" w:rsidRPr="005423F7" w:rsidRDefault="007F70C4" w:rsidP="00DC54F7">
      <w:pPr>
        <w:spacing w:after="0" w:line="240" w:lineRule="auto"/>
        <w:contextualSpacing/>
        <w:jc w:val="both"/>
        <w:rPr>
          <w:rFonts w:ascii="Arial" w:hAnsi="Arial" w:cs="Arial"/>
          <w:sz w:val="24"/>
          <w:szCs w:val="24"/>
        </w:rPr>
      </w:pPr>
      <w:r w:rsidRPr="005423F7">
        <w:rPr>
          <w:rFonts w:ascii="Arial" w:hAnsi="Arial" w:cs="Arial"/>
          <w:sz w:val="24"/>
          <w:szCs w:val="24"/>
        </w:rPr>
        <w:t xml:space="preserve">Looking at the opening hours for the </w:t>
      </w:r>
      <w:r w:rsidR="0017545C" w:rsidRPr="005423F7">
        <w:rPr>
          <w:rFonts w:ascii="Arial" w:hAnsi="Arial" w:cs="Arial"/>
          <w:sz w:val="24"/>
          <w:szCs w:val="24"/>
        </w:rPr>
        <w:t>pharmacies:</w:t>
      </w:r>
    </w:p>
    <w:p w14:paraId="04EBCD5A" w14:textId="6531AB44" w:rsidR="0038655A" w:rsidRPr="005423F7" w:rsidRDefault="0038655A" w:rsidP="00DC54F7">
      <w:pPr>
        <w:spacing w:after="0" w:line="240" w:lineRule="auto"/>
        <w:contextualSpacing/>
        <w:jc w:val="both"/>
        <w:rPr>
          <w:rFonts w:ascii="Arial" w:hAnsi="Arial" w:cs="Arial"/>
          <w:sz w:val="24"/>
          <w:szCs w:val="24"/>
        </w:rPr>
      </w:pPr>
    </w:p>
    <w:p w14:paraId="1E8065D2" w14:textId="77777777" w:rsidR="000460D5" w:rsidRPr="005423F7" w:rsidRDefault="000460D5" w:rsidP="00DC54F7">
      <w:pPr>
        <w:pStyle w:val="ListParagraph"/>
        <w:numPr>
          <w:ilvl w:val="0"/>
          <w:numId w:val="141"/>
        </w:numPr>
        <w:spacing w:after="0" w:line="240" w:lineRule="auto"/>
        <w:jc w:val="both"/>
        <w:rPr>
          <w:rFonts w:ascii="Arial" w:hAnsi="Arial" w:cs="Arial"/>
          <w:sz w:val="24"/>
          <w:szCs w:val="24"/>
        </w:rPr>
      </w:pPr>
      <w:r w:rsidRPr="005423F7">
        <w:rPr>
          <w:rFonts w:ascii="Arial" w:hAnsi="Arial" w:cs="Arial"/>
          <w:sz w:val="24"/>
          <w:szCs w:val="24"/>
        </w:rPr>
        <w:t>One pharmacy is open seven days a week</w:t>
      </w:r>
    </w:p>
    <w:p w14:paraId="3ECEF617" w14:textId="77777777" w:rsidR="000460D5" w:rsidRPr="005423F7" w:rsidRDefault="000460D5" w:rsidP="00DC54F7">
      <w:pPr>
        <w:pStyle w:val="ListParagraph"/>
        <w:numPr>
          <w:ilvl w:val="0"/>
          <w:numId w:val="141"/>
        </w:numPr>
        <w:spacing w:after="0" w:line="240" w:lineRule="auto"/>
        <w:jc w:val="both"/>
        <w:rPr>
          <w:rFonts w:ascii="Arial" w:hAnsi="Arial" w:cs="Arial"/>
          <w:sz w:val="24"/>
          <w:szCs w:val="24"/>
        </w:rPr>
      </w:pPr>
      <w:r w:rsidRPr="005423F7">
        <w:rPr>
          <w:rFonts w:ascii="Arial" w:hAnsi="Arial" w:cs="Arial"/>
          <w:sz w:val="24"/>
          <w:szCs w:val="24"/>
        </w:rPr>
        <w:t>One pharmacy is open Monday to Saturday</w:t>
      </w:r>
    </w:p>
    <w:p w14:paraId="24C3B12A" w14:textId="3FD7A395" w:rsidR="000460D5" w:rsidRPr="008C62FC" w:rsidRDefault="000460D5" w:rsidP="00DC54F7">
      <w:pPr>
        <w:pStyle w:val="ListParagraph"/>
        <w:numPr>
          <w:ilvl w:val="0"/>
          <w:numId w:val="141"/>
        </w:numPr>
        <w:spacing w:after="0" w:line="240" w:lineRule="auto"/>
        <w:jc w:val="both"/>
        <w:rPr>
          <w:rFonts w:ascii="Arial" w:hAnsi="Arial" w:cs="Arial"/>
          <w:sz w:val="24"/>
          <w:szCs w:val="24"/>
        </w:rPr>
      </w:pPr>
      <w:r w:rsidRPr="008C62FC">
        <w:rPr>
          <w:rFonts w:ascii="Arial" w:hAnsi="Arial" w:cs="Arial"/>
          <w:sz w:val="24"/>
          <w:szCs w:val="24"/>
        </w:rPr>
        <w:t>Five pharmacies are open Monday to Friday and Saturday morning</w:t>
      </w:r>
    </w:p>
    <w:p w14:paraId="027065D0" w14:textId="1DCF2C7A" w:rsidR="000460D5" w:rsidRPr="008C62FC" w:rsidRDefault="000460D5" w:rsidP="00DC54F7">
      <w:pPr>
        <w:pStyle w:val="ListParagraph"/>
        <w:numPr>
          <w:ilvl w:val="0"/>
          <w:numId w:val="141"/>
        </w:numPr>
        <w:spacing w:after="0" w:line="240" w:lineRule="auto"/>
        <w:jc w:val="both"/>
        <w:rPr>
          <w:rFonts w:ascii="Arial" w:hAnsi="Arial" w:cs="Arial"/>
          <w:sz w:val="24"/>
          <w:szCs w:val="24"/>
        </w:rPr>
      </w:pPr>
      <w:r w:rsidRPr="008C62FC">
        <w:rPr>
          <w:rFonts w:ascii="Arial" w:hAnsi="Arial" w:cs="Arial"/>
          <w:sz w:val="24"/>
          <w:szCs w:val="24"/>
        </w:rPr>
        <w:t>Three pharmacies</w:t>
      </w:r>
      <w:r w:rsidRPr="008C62FC">
        <w:rPr>
          <w:rFonts w:ascii="Arial" w:hAnsi="Arial" w:cs="Arial"/>
          <w:i/>
          <w:iCs/>
          <w:sz w:val="24"/>
          <w:szCs w:val="24"/>
        </w:rPr>
        <w:t xml:space="preserve"> </w:t>
      </w:r>
      <w:r w:rsidRPr="008C62FC">
        <w:rPr>
          <w:rFonts w:ascii="Arial" w:hAnsi="Arial" w:cs="Arial"/>
          <w:sz w:val="24"/>
          <w:szCs w:val="24"/>
        </w:rPr>
        <w:t>are open Monday to Friday</w:t>
      </w:r>
    </w:p>
    <w:p w14:paraId="1C21E722" w14:textId="5BACC177" w:rsidR="00614D50" w:rsidRPr="005423F7" w:rsidRDefault="00614D50" w:rsidP="00DC54F7">
      <w:pPr>
        <w:spacing w:after="0" w:line="240" w:lineRule="auto"/>
        <w:contextualSpacing/>
        <w:jc w:val="both"/>
        <w:rPr>
          <w:rFonts w:ascii="Arial" w:hAnsi="Arial" w:cs="Arial"/>
          <w:sz w:val="24"/>
          <w:szCs w:val="24"/>
        </w:rPr>
      </w:pPr>
    </w:p>
    <w:p w14:paraId="75A26AA6" w14:textId="77777777" w:rsidR="00BF7EEC" w:rsidRPr="005423F7" w:rsidRDefault="00BF7EEC" w:rsidP="00DC54F7">
      <w:pPr>
        <w:spacing w:after="0" w:line="240" w:lineRule="auto"/>
        <w:contextualSpacing/>
        <w:jc w:val="both"/>
        <w:rPr>
          <w:rFonts w:ascii="Arial" w:hAnsi="Arial" w:cs="Arial"/>
          <w:sz w:val="24"/>
          <w:szCs w:val="24"/>
        </w:rPr>
      </w:pPr>
      <w:r w:rsidRPr="005423F7">
        <w:rPr>
          <w:rFonts w:ascii="Arial" w:hAnsi="Arial" w:cs="Arial"/>
          <w:sz w:val="24"/>
          <w:szCs w:val="24"/>
        </w:rPr>
        <w:t xml:space="preserve">All pharmacies must open for their core contractual hours, which are 40 hours a week. These can only be amended with approval by the health board. All additional hours or supplementary hours can be amended by the pharmacy following the provision of 90 days’ notice to the health board. Within the cluster, opening hours and closing hours range from: </w:t>
      </w:r>
    </w:p>
    <w:p w14:paraId="681978C5" w14:textId="77777777" w:rsidR="00AB2FB3" w:rsidRDefault="00AB2FB3" w:rsidP="00DC54F7">
      <w:pPr>
        <w:spacing w:after="0" w:line="240" w:lineRule="auto"/>
        <w:contextualSpacing/>
        <w:jc w:val="both"/>
        <w:rPr>
          <w:rFonts w:ascii="Arial" w:hAnsi="Arial" w:cs="Arial"/>
        </w:rPr>
      </w:pPr>
    </w:p>
    <w:tbl>
      <w:tblPr>
        <w:tblStyle w:val="TableGrid"/>
        <w:tblW w:w="0" w:type="auto"/>
        <w:tblLook w:val="04A0" w:firstRow="1" w:lastRow="0" w:firstColumn="1" w:lastColumn="0" w:noHBand="0" w:noVBand="1"/>
      </w:tblPr>
      <w:tblGrid>
        <w:gridCol w:w="3005"/>
        <w:gridCol w:w="3005"/>
        <w:gridCol w:w="3006"/>
      </w:tblGrid>
      <w:tr w:rsidR="00DA383E" w14:paraId="01F66D9E" w14:textId="77777777" w:rsidTr="00000759">
        <w:tc>
          <w:tcPr>
            <w:tcW w:w="3005" w:type="dxa"/>
          </w:tcPr>
          <w:p w14:paraId="47FFD9D8" w14:textId="01B2D6CB" w:rsidR="00DA383E" w:rsidRPr="00D477FB" w:rsidRDefault="00DA383E" w:rsidP="00DC54F7">
            <w:pPr>
              <w:contextualSpacing/>
              <w:jc w:val="both"/>
              <w:rPr>
                <w:rFonts w:ascii="Arial" w:hAnsi="Arial" w:cs="Arial"/>
                <w:b/>
                <w:bCs/>
                <w:sz w:val="24"/>
                <w:szCs w:val="24"/>
              </w:rPr>
            </w:pPr>
            <w:r w:rsidRPr="00D477FB">
              <w:rPr>
                <w:rFonts w:ascii="Arial" w:hAnsi="Arial" w:cs="Arial"/>
                <w:b/>
                <w:bCs/>
                <w:sz w:val="24"/>
                <w:szCs w:val="24"/>
              </w:rPr>
              <w:t>Days</w:t>
            </w:r>
          </w:p>
        </w:tc>
        <w:tc>
          <w:tcPr>
            <w:tcW w:w="3005" w:type="dxa"/>
          </w:tcPr>
          <w:p w14:paraId="3D551D45" w14:textId="70919B6F" w:rsidR="00DA383E" w:rsidRPr="00D477FB" w:rsidRDefault="00DA383E" w:rsidP="00DC54F7">
            <w:pPr>
              <w:contextualSpacing/>
              <w:jc w:val="both"/>
              <w:rPr>
                <w:rFonts w:ascii="Arial" w:hAnsi="Arial" w:cs="Arial"/>
                <w:b/>
                <w:bCs/>
                <w:sz w:val="24"/>
                <w:szCs w:val="24"/>
              </w:rPr>
            </w:pPr>
            <w:r w:rsidRPr="00D477FB">
              <w:rPr>
                <w:rFonts w:ascii="Arial" w:hAnsi="Arial" w:cs="Arial"/>
                <w:b/>
                <w:bCs/>
                <w:sz w:val="24"/>
                <w:szCs w:val="24"/>
              </w:rPr>
              <w:t>Opening hours range</w:t>
            </w:r>
          </w:p>
        </w:tc>
        <w:tc>
          <w:tcPr>
            <w:tcW w:w="3006" w:type="dxa"/>
          </w:tcPr>
          <w:p w14:paraId="0550A5D4" w14:textId="1A0448A7" w:rsidR="00DA383E" w:rsidRPr="00D477FB" w:rsidRDefault="00DA383E" w:rsidP="00DC54F7">
            <w:pPr>
              <w:contextualSpacing/>
              <w:jc w:val="both"/>
              <w:rPr>
                <w:rFonts w:ascii="Arial" w:hAnsi="Arial" w:cs="Arial"/>
                <w:b/>
                <w:bCs/>
                <w:sz w:val="24"/>
                <w:szCs w:val="24"/>
              </w:rPr>
            </w:pPr>
            <w:r w:rsidRPr="00D477FB">
              <w:rPr>
                <w:rFonts w:ascii="Arial" w:hAnsi="Arial" w:cs="Arial"/>
                <w:b/>
                <w:bCs/>
                <w:sz w:val="24"/>
                <w:szCs w:val="24"/>
              </w:rPr>
              <w:t>Closing hours range</w:t>
            </w:r>
          </w:p>
        </w:tc>
      </w:tr>
      <w:tr w:rsidR="00DA383E" w14:paraId="0DB2DE29" w14:textId="77777777" w:rsidTr="00000759">
        <w:tc>
          <w:tcPr>
            <w:tcW w:w="3005" w:type="dxa"/>
          </w:tcPr>
          <w:p w14:paraId="65D7F155" w14:textId="4B7D07F1" w:rsidR="00DA383E" w:rsidRPr="00D477FB" w:rsidRDefault="00DA383E" w:rsidP="00DC54F7">
            <w:pPr>
              <w:contextualSpacing/>
              <w:jc w:val="both"/>
              <w:rPr>
                <w:rFonts w:ascii="Arial" w:hAnsi="Arial" w:cs="Arial"/>
                <w:sz w:val="24"/>
                <w:szCs w:val="24"/>
              </w:rPr>
            </w:pPr>
            <w:r w:rsidRPr="00D477FB">
              <w:rPr>
                <w:rFonts w:ascii="Arial" w:hAnsi="Arial" w:cs="Arial"/>
                <w:sz w:val="24"/>
                <w:szCs w:val="24"/>
              </w:rPr>
              <w:t>Monday to Friday</w:t>
            </w:r>
          </w:p>
        </w:tc>
        <w:tc>
          <w:tcPr>
            <w:tcW w:w="3005" w:type="dxa"/>
          </w:tcPr>
          <w:p w14:paraId="285226CB" w14:textId="5D58AA0E" w:rsidR="00DA383E" w:rsidRPr="00D477FB" w:rsidRDefault="008B672C" w:rsidP="00DC54F7">
            <w:pPr>
              <w:contextualSpacing/>
              <w:jc w:val="both"/>
              <w:rPr>
                <w:rFonts w:ascii="Arial" w:hAnsi="Arial" w:cs="Arial"/>
                <w:sz w:val="24"/>
                <w:szCs w:val="24"/>
              </w:rPr>
            </w:pPr>
            <w:r w:rsidRPr="00D477FB">
              <w:rPr>
                <w:rFonts w:ascii="Arial" w:hAnsi="Arial" w:cs="Arial"/>
                <w:sz w:val="24"/>
                <w:szCs w:val="24"/>
              </w:rPr>
              <w:t xml:space="preserve">08.00am to </w:t>
            </w:r>
            <w:r w:rsidR="00EE0E0B" w:rsidRPr="00D477FB">
              <w:rPr>
                <w:rFonts w:ascii="Arial" w:hAnsi="Arial" w:cs="Arial"/>
                <w:sz w:val="24"/>
                <w:szCs w:val="24"/>
              </w:rPr>
              <w:t>09.00am</w:t>
            </w:r>
          </w:p>
        </w:tc>
        <w:tc>
          <w:tcPr>
            <w:tcW w:w="3006" w:type="dxa"/>
          </w:tcPr>
          <w:p w14:paraId="72A70D37" w14:textId="3000FCD2" w:rsidR="00DA383E" w:rsidRPr="008C62FC" w:rsidRDefault="00EE0E0B" w:rsidP="00DC54F7">
            <w:pPr>
              <w:contextualSpacing/>
              <w:jc w:val="both"/>
              <w:rPr>
                <w:rFonts w:ascii="Arial" w:hAnsi="Arial" w:cs="Arial"/>
                <w:sz w:val="24"/>
                <w:szCs w:val="24"/>
              </w:rPr>
            </w:pPr>
            <w:r w:rsidRPr="008C62FC">
              <w:rPr>
                <w:rFonts w:ascii="Arial" w:hAnsi="Arial" w:cs="Arial"/>
                <w:sz w:val="24"/>
                <w:szCs w:val="24"/>
              </w:rPr>
              <w:t>17.30pm to 1</w:t>
            </w:r>
            <w:r w:rsidR="00DC4943" w:rsidRPr="008C62FC">
              <w:rPr>
                <w:rFonts w:ascii="Arial" w:hAnsi="Arial" w:cs="Arial"/>
                <w:sz w:val="24"/>
                <w:szCs w:val="24"/>
              </w:rPr>
              <w:t>9</w:t>
            </w:r>
            <w:r w:rsidRPr="008C62FC">
              <w:rPr>
                <w:rFonts w:ascii="Arial" w:hAnsi="Arial" w:cs="Arial"/>
                <w:sz w:val="24"/>
                <w:szCs w:val="24"/>
              </w:rPr>
              <w:t>.</w:t>
            </w:r>
            <w:r w:rsidR="00504221" w:rsidRPr="008C62FC">
              <w:rPr>
                <w:rFonts w:ascii="Arial" w:hAnsi="Arial" w:cs="Arial"/>
                <w:sz w:val="24"/>
                <w:szCs w:val="24"/>
              </w:rPr>
              <w:t>0</w:t>
            </w:r>
            <w:r w:rsidRPr="008C62FC">
              <w:rPr>
                <w:rFonts w:ascii="Arial" w:hAnsi="Arial" w:cs="Arial"/>
                <w:sz w:val="24"/>
                <w:szCs w:val="24"/>
              </w:rPr>
              <w:t>0pm</w:t>
            </w:r>
          </w:p>
        </w:tc>
      </w:tr>
      <w:tr w:rsidR="00DA383E" w14:paraId="13B75808" w14:textId="77777777" w:rsidTr="00000759">
        <w:tc>
          <w:tcPr>
            <w:tcW w:w="3005" w:type="dxa"/>
          </w:tcPr>
          <w:p w14:paraId="22018305" w14:textId="55AC31C4" w:rsidR="00DA383E" w:rsidRPr="00D477FB" w:rsidRDefault="00DA383E" w:rsidP="00DC54F7">
            <w:pPr>
              <w:contextualSpacing/>
              <w:jc w:val="both"/>
              <w:rPr>
                <w:rFonts w:ascii="Arial" w:hAnsi="Arial" w:cs="Arial"/>
                <w:sz w:val="24"/>
                <w:szCs w:val="24"/>
              </w:rPr>
            </w:pPr>
            <w:r w:rsidRPr="00D477FB">
              <w:rPr>
                <w:rFonts w:ascii="Arial" w:hAnsi="Arial" w:cs="Arial"/>
                <w:sz w:val="24"/>
                <w:szCs w:val="24"/>
              </w:rPr>
              <w:t>Saturday</w:t>
            </w:r>
          </w:p>
        </w:tc>
        <w:tc>
          <w:tcPr>
            <w:tcW w:w="3005" w:type="dxa"/>
          </w:tcPr>
          <w:p w14:paraId="2F0C0C2B" w14:textId="0479A9CD" w:rsidR="00DA383E" w:rsidRPr="00D477FB" w:rsidRDefault="00EE0E0B" w:rsidP="00DC54F7">
            <w:pPr>
              <w:contextualSpacing/>
              <w:jc w:val="both"/>
              <w:rPr>
                <w:rFonts w:ascii="Arial" w:hAnsi="Arial" w:cs="Arial"/>
                <w:sz w:val="24"/>
                <w:szCs w:val="24"/>
              </w:rPr>
            </w:pPr>
            <w:r w:rsidRPr="00D477FB">
              <w:rPr>
                <w:rFonts w:ascii="Arial" w:hAnsi="Arial" w:cs="Arial"/>
                <w:sz w:val="24"/>
                <w:szCs w:val="24"/>
              </w:rPr>
              <w:t xml:space="preserve">09.00am </w:t>
            </w:r>
          </w:p>
        </w:tc>
        <w:tc>
          <w:tcPr>
            <w:tcW w:w="3006" w:type="dxa"/>
          </w:tcPr>
          <w:p w14:paraId="7C3B8DAE" w14:textId="7A83082E" w:rsidR="00DA383E" w:rsidRPr="008C62FC" w:rsidRDefault="006D65FE" w:rsidP="00DC54F7">
            <w:pPr>
              <w:contextualSpacing/>
              <w:jc w:val="both"/>
              <w:rPr>
                <w:rFonts w:ascii="Arial" w:hAnsi="Arial" w:cs="Arial"/>
                <w:sz w:val="24"/>
                <w:szCs w:val="24"/>
              </w:rPr>
            </w:pPr>
            <w:r w:rsidRPr="008C62FC">
              <w:rPr>
                <w:rFonts w:ascii="Arial" w:hAnsi="Arial" w:cs="Arial"/>
                <w:sz w:val="24"/>
                <w:szCs w:val="24"/>
              </w:rPr>
              <w:t>1</w:t>
            </w:r>
            <w:r w:rsidR="00504221" w:rsidRPr="008C62FC">
              <w:rPr>
                <w:rFonts w:ascii="Arial" w:hAnsi="Arial" w:cs="Arial"/>
                <w:sz w:val="24"/>
                <w:szCs w:val="24"/>
              </w:rPr>
              <w:t>3</w:t>
            </w:r>
            <w:r w:rsidRPr="008C62FC">
              <w:rPr>
                <w:rFonts w:ascii="Arial" w:hAnsi="Arial" w:cs="Arial"/>
                <w:sz w:val="24"/>
                <w:szCs w:val="24"/>
              </w:rPr>
              <w:t>.</w:t>
            </w:r>
            <w:r w:rsidR="00DC4943" w:rsidRPr="008C62FC">
              <w:rPr>
                <w:rFonts w:ascii="Arial" w:hAnsi="Arial" w:cs="Arial"/>
                <w:sz w:val="24"/>
                <w:szCs w:val="24"/>
              </w:rPr>
              <w:t>0</w:t>
            </w:r>
            <w:r w:rsidRPr="008C62FC">
              <w:rPr>
                <w:rFonts w:ascii="Arial" w:hAnsi="Arial" w:cs="Arial"/>
                <w:sz w:val="24"/>
                <w:szCs w:val="24"/>
              </w:rPr>
              <w:t>0pm to 1</w:t>
            </w:r>
            <w:r w:rsidR="0081741D" w:rsidRPr="008C62FC">
              <w:rPr>
                <w:rFonts w:ascii="Arial" w:hAnsi="Arial" w:cs="Arial"/>
                <w:sz w:val="24"/>
                <w:szCs w:val="24"/>
              </w:rPr>
              <w:t>7</w:t>
            </w:r>
            <w:r w:rsidRPr="008C62FC">
              <w:rPr>
                <w:rFonts w:ascii="Arial" w:hAnsi="Arial" w:cs="Arial"/>
                <w:sz w:val="24"/>
                <w:szCs w:val="24"/>
              </w:rPr>
              <w:t>.30pm</w:t>
            </w:r>
          </w:p>
        </w:tc>
      </w:tr>
      <w:tr w:rsidR="00DA383E" w14:paraId="34F91DA7" w14:textId="77777777" w:rsidTr="00000759">
        <w:tc>
          <w:tcPr>
            <w:tcW w:w="3005" w:type="dxa"/>
          </w:tcPr>
          <w:p w14:paraId="7BB8DC48" w14:textId="2D347274" w:rsidR="00DA383E" w:rsidRPr="00D477FB" w:rsidRDefault="00DA383E" w:rsidP="00DC54F7">
            <w:pPr>
              <w:contextualSpacing/>
              <w:jc w:val="both"/>
              <w:rPr>
                <w:rFonts w:ascii="Arial" w:hAnsi="Arial" w:cs="Arial"/>
                <w:sz w:val="24"/>
                <w:szCs w:val="24"/>
              </w:rPr>
            </w:pPr>
            <w:r w:rsidRPr="00D477FB">
              <w:rPr>
                <w:rFonts w:ascii="Arial" w:hAnsi="Arial" w:cs="Arial"/>
                <w:sz w:val="24"/>
                <w:szCs w:val="24"/>
              </w:rPr>
              <w:t>Sunday</w:t>
            </w:r>
          </w:p>
        </w:tc>
        <w:tc>
          <w:tcPr>
            <w:tcW w:w="3005" w:type="dxa"/>
          </w:tcPr>
          <w:p w14:paraId="7DE7AAE4" w14:textId="75E7AA6D" w:rsidR="00DA383E" w:rsidRPr="00D477FB" w:rsidRDefault="0081741D" w:rsidP="00DC54F7">
            <w:pPr>
              <w:contextualSpacing/>
              <w:jc w:val="both"/>
              <w:rPr>
                <w:rFonts w:ascii="Arial" w:hAnsi="Arial" w:cs="Arial"/>
                <w:sz w:val="24"/>
                <w:szCs w:val="24"/>
              </w:rPr>
            </w:pPr>
            <w:r w:rsidRPr="00D477FB">
              <w:rPr>
                <w:rFonts w:ascii="Arial" w:hAnsi="Arial" w:cs="Arial"/>
                <w:sz w:val="24"/>
                <w:szCs w:val="24"/>
              </w:rPr>
              <w:t xml:space="preserve">10.00am </w:t>
            </w:r>
          </w:p>
        </w:tc>
        <w:tc>
          <w:tcPr>
            <w:tcW w:w="3006" w:type="dxa"/>
          </w:tcPr>
          <w:p w14:paraId="3B93ED08" w14:textId="29AD072B" w:rsidR="00DA383E" w:rsidRPr="00D477FB" w:rsidRDefault="0081741D" w:rsidP="00DC54F7">
            <w:pPr>
              <w:contextualSpacing/>
              <w:jc w:val="both"/>
              <w:rPr>
                <w:rFonts w:ascii="Arial" w:hAnsi="Arial" w:cs="Arial"/>
                <w:sz w:val="24"/>
                <w:szCs w:val="24"/>
              </w:rPr>
            </w:pPr>
            <w:r w:rsidRPr="00D477FB">
              <w:rPr>
                <w:rFonts w:ascii="Arial" w:hAnsi="Arial" w:cs="Arial"/>
                <w:sz w:val="24"/>
                <w:szCs w:val="24"/>
              </w:rPr>
              <w:t>16.</w:t>
            </w:r>
            <w:r w:rsidR="002E3D74" w:rsidRPr="00D477FB">
              <w:rPr>
                <w:rFonts w:ascii="Arial" w:hAnsi="Arial" w:cs="Arial"/>
                <w:sz w:val="24"/>
                <w:szCs w:val="24"/>
              </w:rPr>
              <w:t>0</w:t>
            </w:r>
            <w:r w:rsidRPr="00D477FB">
              <w:rPr>
                <w:rFonts w:ascii="Arial" w:hAnsi="Arial" w:cs="Arial"/>
                <w:sz w:val="24"/>
                <w:szCs w:val="24"/>
              </w:rPr>
              <w:t>0pm</w:t>
            </w:r>
          </w:p>
        </w:tc>
      </w:tr>
    </w:tbl>
    <w:p w14:paraId="6C6B27F8" w14:textId="5D7AFC2D" w:rsidR="00A21426" w:rsidRPr="00353DC7" w:rsidRDefault="005640CC" w:rsidP="00DC54F7">
      <w:pPr>
        <w:spacing w:after="0" w:line="240" w:lineRule="auto"/>
        <w:contextualSpacing/>
        <w:jc w:val="both"/>
        <w:rPr>
          <w:rFonts w:ascii="Arial" w:hAnsi="Arial" w:cs="Arial"/>
          <w:sz w:val="24"/>
          <w:szCs w:val="24"/>
        </w:rPr>
      </w:pPr>
      <w:r w:rsidRPr="00353DC7">
        <w:rPr>
          <w:rFonts w:ascii="Arial" w:hAnsi="Arial" w:cs="Arial"/>
          <w:sz w:val="24"/>
          <w:szCs w:val="24"/>
        </w:rPr>
        <w:t xml:space="preserve">Full details of when the pharmacies are open </w:t>
      </w:r>
      <w:r w:rsidR="002C6C2B" w:rsidRPr="00353DC7">
        <w:rPr>
          <w:rFonts w:ascii="Arial" w:hAnsi="Arial" w:cs="Arial"/>
          <w:sz w:val="24"/>
          <w:szCs w:val="24"/>
        </w:rPr>
        <w:t>c</w:t>
      </w:r>
      <w:r w:rsidRPr="00353DC7">
        <w:rPr>
          <w:rFonts w:ascii="Arial" w:hAnsi="Arial" w:cs="Arial"/>
          <w:sz w:val="24"/>
          <w:szCs w:val="24"/>
        </w:rPr>
        <w:t>an be found in Appendix L.</w:t>
      </w:r>
    </w:p>
    <w:p w14:paraId="402FDC53" w14:textId="77777777" w:rsidR="00A21426" w:rsidRPr="00353DC7" w:rsidRDefault="00A21426" w:rsidP="00DC54F7">
      <w:pPr>
        <w:spacing w:after="0" w:line="240" w:lineRule="auto"/>
        <w:contextualSpacing/>
        <w:jc w:val="both"/>
        <w:rPr>
          <w:rFonts w:ascii="Arial" w:hAnsi="Arial" w:cs="Arial"/>
          <w:sz w:val="24"/>
          <w:szCs w:val="24"/>
        </w:rPr>
      </w:pPr>
    </w:p>
    <w:p w14:paraId="256B801B" w14:textId="3F09604A" w:rsidR="00517A8D" w:rsidRPr="00353DC7" w:rsidRDefault="00517A8D" w:rsidP="00DC54F7">
      <w:pPr>
        <w:spacing w:after="0" w:line="240" w:lineRule="auto"/>
        <w:contextualSpacing/>
        <w:jc w:val="both"/>
        <w:rPr>
          <w:rFonts w:ascii="Arial" w:hAnsi="Arial" w:cs="Arial"/>
          <w:sz w:val="24"/>
          <w:szCs w:val="24"/>
        </w:rPr>
      </w:pPr>
      <w:r w:rsidRPr="00353DC7">
        <w:rPr>
          <w:rFonts w:ascii="Arial" w:hAnsi="Arial" w:cs="Arial"/>
          <w:sz w:val="24"/>
          <w:szCs w:val="24"/>
        </w:rPr>
        <w:t xml:space="preserve">All </w:t>
      </w:r>
      <w:r w:rsidR="002C6C2B" w:rsidRPr="00353DC7">
        <w:rPr>
          <w:rFonts w:ascii="Arial" w:hAnsi="Arial" w:cs="Arial"/>
          <w:sz w:val="24"/>
          <w:szCs w:val="24"/>
        </w:rPr>
        <w:t>10</w:t>
      </w:r>
      <w:r w:rsidRPr="00353DC7">
        <w:rPr>
          <w:rFonts w:ascii="Arial" w:hAnsi="Arial" w:cs="Arial"/>
          <w:sz w:val="24"/>
          <w:szCs w:val="24"/>
        </w:rPr>
        <w:t xml:space="preserve"> pharmacies responded to the contractor questionnaire, of which </w:t>
      </w:r>
      <w:r w:rsidR="00933D67" w:rsidRPr="00353DC7">
        <w:rPr>
          <w:rFonts w:ascii="Arial" w:hAnsi="Arial" w:cs="Arial"/>
          <w:sz w:val="24"/>
          <w:szCs w:val="24"/>
        </w:rPr>
        <w:t xml:space="preserve">all </w:t>
      </w:r>
      <w:r w:rsidR="00DE7EEA" w:rsidRPr="00353DC7">
        <w:rPr>
          <w:rFonts w:ascii="Arial" w:hAnsi="Arial" w:cs="Arial"/>
          <w:sz w:val="24"/>
          <w:szCs w:val="24"/>
        </w:rPr>
        <w:t>1</w:t>
      </w:r>
      <w:r w:rsidRPr="00353DC7">
        <w:rPr>
          <w:rFonts w:ascii="Arial" w:hAnsi="Arial" w:cs="Arial"/>
          <w:sz w:val="24"/>
          <w:szCs w:val="24"/>
        </w:rPr>
        <w:t xml:space="preserve">0 dispense all appliances listed in Part IX of the Drug Tariff. </w:t>
      </w:r>
    </w:p>
    <w:p w14:paraId="281E57A3" w14:textId="77777777" w:rsidR="00517A8D" w:rsidRPr="00353DC7" w:rsidRDefault="00517A8D" w:rsidP="00DC54F7">
      <w:pPr>
        <w:spacing w:after="0" w:line="240" w:lineRule="auto"/>
        <w:jc w:val="both"/>
        <w:rPr>
          <w:rFonts w:ascii="Arial" w:hAnsi="Arial" w:cs="Arial"/>
          <w:b/>
          <w:sz w:val="24"/>
          <w:szCs w:val="24"/>
          <w:lang w:val="en-US"/>
        </w:rPr>
      </w:pPr>
    </w:p>
    <w:p w14:paraId="1D51E953" w14:textId="3E479184" w:rsidR="00DD043B" w:rsidRPr="00353DC7" w:rsidRDefault="00517A8D" w:rsidP="00DC54F7">
      <w:pPr>
        <w:spacing w:after="0" w:line="240" w:lineRule="auto"/>
        <w:jc w:val="both"/>
        <w:rPr>
          <w:rFonts w:ascii="Arial" w:hAnsi="Arial" w:cs="Arial"/>
          <w:sz w:val="24"/>
          <w:szCs w:val="24"/>
        </w:rPr>
      </w:pPr>
      <w:r w:rsidRPr="00353DC7">
        <w:rPr>
          <w:rFonts w:ascii="Arial" w:hAnsi="Arial" w:cs="Arial"/>
          <w:sz w:val="24"/>
          <w:szCs w:val="24"/>
        </w:rPr>
        <w:lastRenderedPageBreak/>
        <w:t xml:space="preserve">In 2019 to 2020, all </w:t>
      </w:r>
      <w:r w:rsidR="00241920" w:rsidRPr="00353DC7">
        <w:rPr>
          <w:rFonts w:ascii="Arial" w:hAnsi="Arial" w:cs="Arial"/>
          <w:sz w:val="24"/>
          <w:szCs w:val="24"/>
        </w:rPr>
        <w:t>10</w:t>
      </w:r>
      <w:r w:rsidRPr="00353DC7">
        <w:rPr>
          <w:rFonts w:ascii="Arial" w:hAnsi="Arial" w:cs="Arial"/>
          <w:sz w:val="24"/>
          <w:szCs w:val="24"/>
        </w:rPr>
        <w:t xml:space="preserve"> pharmacies offered the MUR service and a total of </w:t>
      </w:r>
      <w:r w:rsidR="003C2D69" w:rsidRPr="00353DC7">
        <w:rPr>
          <w:rFonts w:ascii="Arial" w:hAnsi="Arial" w:cs="Arial"/>
          <w:sz w:val="24"/>
          <w:szCs w:val="24"/>
        </w:rPr>
        <w:t>3,573</w:t>
      </w:r>
      <w:r w:rsidRPr="00353DC7">
        <w:rPr>
          <w:rFonts w:ascii="Arial" w:hAnsi="Arial" w:cs="Arial"/>
          <w:sz w:val="24"/>
          <w:szCs w:val="24"/>
        </w:rPr>
        <w:t xml:space="preserve"> reviews were provided out of a possible 4</w:t>
      </w:r>
      <w:r w:rsidR="003C2D69" w:rsidRPr="00353DC7">
        <w:rPr>
          <w:rFonts w:ascii="Arial" w:hAnsi="Arial" w:cs="Arial"/>
          <w:sz w:val="24"/>
          <w:szCs w:val="24"/>
        </w:rPr>
        <w:t>,</w:t>
      </w:r>
      <w:r w:rsidRPr="00353DC7">
        <w:rPr>
          <w:rFonts w:ascii="Arial" w:hAnsi="Arial" w:cs="Arial"/>
          <w:sz w:val="24"/>
          <w:szCs w:val="24"/>
        </w:rPr>
        <w:t>00</w:t>
      </w:r>
      <w:r w:rsidR="003C2D69" w:rsidRPr="00353DC7">
        <w:rPr>
          <w:rFonts w:ascii="Arial" w:hAnsi="Arial" w:cs="Arial"/>
          <w:sz w:val="24"/>
          <w:szCs w:val="24"/>
        </w:rPr>
        <w:t>0</w:t>
      </w:r>
      <w:r w:rsidRPr="00353DC7">
        <w:rPr>
          <w:rFonts w:ascii="Arial" w:hAnsi="Arial" w:cs="Arial"/>
          <w:sz w:val="24"/>
          <w:szCs w:val="24"/>
        </w:rPr>
        <w:t xml:space="preserve"> reviews. </w:t>
      </w:r>
      <w:r w:rsidR="00C14C0D" w:rsidRPr="00353DC7">
        <w:rPr>
          <w:rFonts w:ascii="Arial" w:hAnsi="Arial" w:cs="Arial"/>
          <w:sz w:val="24"/>
          <w:szCs w:val="24"/>
        </w:rPr>
        <w:t>Two</w:t>
      </w:r>
      <w:r w:rsidRPr="00353DC7">
        <w:rPr>
          <w:rFonts w:ascii="Arial" w:hAnsi="Arial" w:cs="Arial"/>
          <w:sz w:val="24"/>
          <w:szCs w:val="24"/>
        </w:rPr>
        <w:t xml:space="preserve"> pharmacies provided the maximum number of reviews.</w:t>
      </w:r>
      <w:r w:rsidR="00DD043B" w:rsidRPr="00353DC7">
        <w:rPr>
          <w:rFonts w:ascii="Arial" w:hAnsi="Arial" w:cs="Arial"/>
          <w:sz w:val="24"/>
          <w:szCs w:val="24"/>
        </w:rPr>
        <w:t xml:space="preserve"> The Welsh Government </w:t>
      </w:r>
      <w:r w:rsidR="0065290A" w:rsidRPr="00353DC7">
        <w:rPr>
          <w:rFonts w:ascii="Arial" w:hAnsi="Arial" w:cs="Arial"/>
          <w:sz w:val="24"/>
          <w:szCs w:val="24"/>
        </w:rPr>
        <w:t>formally</w:t>
      </w:r>
      <w:r w:rsidR="00C92BF2" w:rsidRPr="00353DC7">
        <w:rPr>
          <w:rFonts w:ascii="Arial" w:hAnsi="Arial" w:cs="Arial"/>
          <w:sz w:val="24"/>
          <w:szCs w:val="24"/>
        </w:rPr>
        <w:t xml:space="preserve"> </w:t>
      </w:r>
      <w:r w:rsidR="00DD043B" w:rsidRPr="00353DC7">
        <w:rPr>
          <w:rFonts w:ascii="Arial" w:hAnsi="Arial" w:cs="Arial"/>
          <w:sz w:val="24"/>
          <w:szCs w:val="24"/>
        </w:rPr>
        <w:t xml:space="preserve">suspended the MUR service on 13 March 2020.  At the time of writing, </w:t>
      </w:r>
      <w:r w:rsidR="0070331C" w:rsidRPr="00353DC7">
        <w:rPr>
          <w:rFonts w:ascii="Arial" w:hAnsi="Arial" w:cs="Arial"/>
          <w:sz w:val="24"/>
          <w:szCs w:val="24"/>
        </w:rPr>
        <w:t>it is not known if the service will re-commence</w:t>
      </w:r>
      <w:r w:rsidR="00DD043B" w:rsidRPr="00353DC7">
        <w:rPr>
          <w:rFonts w:ascii="Arial" w:hAnsi="Arial" w:cs="Arial"/>
          <w:sz w:val="24"/>
          <w:szCs w:val="24"/>
        </w:rPr>
        <w:t>.</w:t>
      </w:r>
    </w:p>
    <w:p w14:paraId="2F14DB29" w14:textId="6A70E21A" w:rsidR="00517A8D" w:rsidRPr="00353DC7" w:rsidRDefault="00517A8D" w:rsidP="00DC54F7">
      <w:pPr>
        <w:spacing w:after="0" w:line="240" w:lineRule="auto"/>
        <w:jc w:val="both"/>
        <w:rPr>
          <w:rFonts w:ascii="Arial" w:hAnsi="Arial" w:cs="Arial"/>
          <w:sz w:val="24"/>
          <w:szCs w:val="24"/>
        </w:rPr>
      </w:pPr>
    </w:p>
    <w:p w14:paraId="054251EE" w14:textId="44EAF64D" w:rsidR="00517A8D" w:rsidRPr="00353DC7" w:rsidRDefault="00517A8D" w:rsidP="00DC54F7">
      <w:pPr>
        <w:spacing w:after="0" w:line="240" w:lineRule="auto"/>
        <w:jc w:val="both"/>
        <w:rPr>
          <w:rFonts w:ascii="Arial" w:hAnsi="Arial" w:cs="Arial"/>
          <w:sz w:val="24"/>
          <w:szCs w:val="24"/>
        </w:rPr>
      </w:pPr>
      <w:r w:rsidRPr="00353DC7">
        <w:rPr>
          <w:rFonts w:ascii="Arial" w:hAnsi="Arial" w:cs="Arial"/>
          <w:sz w:val="24"/>
          <w:szCs w:val="24"/>
        </w:rPr>
        <w:t xml:space="preserve">In 2019 to 2020, </w:t>
      </w:r>
      <w:r w:rsidR="0015162C">
        <w:rPr>
          <w:rFonts w:ascii="Arial" w:hAnsi="Arial" w:cs="Arial"/>
          <w:sz w:val="24"/>
          <w:szCs w:val="24"/>
        </w:rPr>
        <w:t xml:space="preserve">eight </w:t>
      </w:r>
      <w:r w:rsidRPr="00353DC7">
        <w:rPr>
          <w:rFonts w:ascii="Arial" w:hAnsi="Arial" w:cs="Arial"/>
          <w:sz w:val="24"/>
          <w:szCs w:val="24"/>
        </w:rPr>
        <w:t xml:space="preserve">pharmacies offered the DMR </w:t>
      </w:r>
      <w:r w:rsidR="0004648D" w:rsidRPr="00353DC7">
        <w:rPr>
          <w:rFonts w:ascii="Arial" w:hAnsi="Arial" w:cs="Arial"/>
          <w:sz w:val="24"/>
          <w:szCs w:val="24"/>
        </w:rPr>
        <w:t xml:space="preserve">service </w:t>
      </w:r>
      <w:r w:rsidRPr="00353DC7">
        <w:rPr>
          <w:rFonts w:ascii="Arial" w:hAnsi="Arial" w:cs="Arial"/>
          <w:sz w:val="24"/>
          <w:szCs w:val="24"/>
        </w:rPr>
        <w:t xml:space="preserve">and a total of </w:t>
      </w:r>
      <w:r w:rsidR="0023486A" w:rsidRPr="00353DC7">
        <w:rPr>
          <w:rFonts w:ascii="Arial" w:hAnsi="Arial" w:cs="Arial"/>
          <w:sz w:val="24"/>
          <w:szCs w:val="24"/>
        </w:rPr>
        <w:t>254</w:t>
      </w:r>
      <w:r w:rsidRPr="00353DC7">
        <w:rPr>
          <w:rFonts w:ascii="Arial" w:hAnsi="Arial" w:cs="Arial"/>
          <w:sz w:val="24"/>
          <w:szCs w:val="24"/>
        </w:rPr>
        <w:t xml:space="preserve"> reviews were provided out of a possible </w:t>
      </w:r>
      <w:r w:rsidR="0023125B" w:rsidRPr="00353DC7">
        <w:rPr>
          <w:rFonts w:ascii="Arial" w:hAnsi="Arial" w:cs="Arial"/>
          <w:sz w:val="24"/>
          <w:szCs w:val="24"/>
        </w:rPr>
        <w:t>1,120</w:t>
      </w:r>
      <w:r w:rsidRPr="00353DC7">
        <w:rPr>
          <w:rFonts w:ascii="Arial" w:hAnsi="Arial" w:cs="Arial"/>
          <w:sz w:val="24"/>
          <w:szCs w:val="24"/>
        </w:rPr>
        <w:t xml:space="preserve"> reviews. </w:t>
      </w:r>
      <w:r w:rsidR="0023125B" w:rsidRPr="00353DC7">
        <w:rPr>
          <w:rFonts w:ascii="Arial" w:hAnsi="Arial" w:cs="Arial"/>
          <w:sz w:val="24"/>
          <w:szCs w:val="24"/>
        </w:rPr>
        <w:t>One</w:t>
      </w:r>
      <w:r w:rsidRPr="00353DC7">
        <w:rPr>
          <w:rFonts w:ascii="Arial" w:hAnsi="Arial" w:cs="Arial"/>
          <w:sz w:val="24"/>
          <w:szCs w:val="24"/>
        </w:rPr>
        <w:t xml:space="preserve"> pharmac</w:t>
      </w:r>
      <w:r w:rsidR="0023125B" w:rsidRPr="00353DC7">
        <w:rPr>
          <w:rFonts w:ascii="Arial" w:hAnsi="Arial" w:cs="Arial"/>
          <w:sz w:val="24"/>
          <w:szCs w:val="24"/>
        </w:rPr>
        <w:t>y</w:t>
      </w:r>
      <w:r w:rsidRPr="00353DC7">
        <w:rPr>
          <w:rFonts w:ascii="Arial" w:hAnsi="Arial" w:cs="Arial"/>
          <w:sz w:val="24"/>
          <w:szCs w:val="24"/>
        </w:rPr>
        <w:t xml:space="preserve"> provided the maximum number of </w:t>
      </w:r>
      <w:r w:rsidR="0004648D" w:rsidRPr="00353DC7">
        <w:rPr>
          <w:rFonts w:ascii="Arial" w:hAnsi="Arial" w:cs="Arial"/>
          <w:sz w:val="24"/>
          <w:szCs w:val="24"/>
        </w:rPr>
        <w:t xml:space="preserve">140 </w:t>
      </w:r>
      <w:r w:rsidRPr="00353DC7">
        <w:rPr>
          <w:rFonts w:ascii="Arial" w:hAnsi="Arial" w:cs="Arial"/>
          <w:sz w:val="24"/>
          <w:szCs w:val="24"/>
        </w:rPr>
        <w:t>reviews.</w:t>
      </w:r>
      <w:r w:rsidR="008B54BB" w:rsidRPr="00353DC7">
        <w:rPr>
          <w:rFonts w:ascii="Arial" w:hAnsi="Arial" w:cs="Arial"/>
          <w:sz w:val="24"/>
          <w:szCs w:val="24"/>
        </w:rPr>
        <w:t xml:space="preserve"> </w:t>
      </w:r>
      <w:r w:rsidR="009A3DE4" w:rsidRPr="00353DC7">
        <w:rPr>
          <w:rFonts w:ascii="Arial" w:hAnsi="Arial" w:cs="Arial"/>
          <w:sz w:val="24"/>
          <w:szCs w:val="24"/>
        </w:rPr>
        <w:t xml:space="preserve">As part of the changes to the community pharmacy contractual framework </w:t>
      </w:r>
      <w:r w:rsidR="00551128" w:rsidRPr="00353DC7">
        <w:rPr>
          <w:rFonts w:ascii="Arial" w:hAnsi="Arial" w:cs="Arial"/>
          <w:sz w:val="24"/>
          <w:szCs w:val="24"/>
        </w:rPr>
        <w:t xml:space="preserve">for 2021, </w:t>
      </w:r>
      <w:r w:rsidR="005610C8" w:rsidRPr="00353DC7">
        <w:rPr>
          <w:rFonts w:ascii="Arial" w:hAnsi="Arial" w:cs="Arial"/>
          <w:sz w:val="24"/>
          <w:szCs w:val="24"/>
        </w:rPr>
        <w:t>th</w:t>
      </w:r>
      <w:r w:rsidR="004B771D" w:rsidRPr="00353DC7">
        <w:rPr>
          <w:rFonts w:ascii="Arial" w:hAnsi="Arial" w:cs="Arial"/>
          <w:sz w:val="24"/>
          <w:szCs w:val="24"/>
        </w:rPr>
        <w:t xml:space="preserve">e </w:t>
      </w:r>
      <w:r w:rsidR="00C85501" w:rsidRPr="00353DC7">
        <w:rPr>
          <w:rFonts w:ascii="Arial" w:hAnsi="Arial" w:cs="Arial"/>
          <w:sz w:val="24"/>
          <w:szCs w:val="24"/>
        </w:rPr>
        <w:t xml:space="preserve">cap </w:t>
      </w:r>
      <w:r w:rsidR="004B771D" w:rsidRPr="00353DC7">
        <w:rPr>
          <w:rFonts w:ascii="Arial" w:hAnsi="Arial" w:cs="Arial"/>
          <w:sz w:val="24"/>
          <w:szCs w:val="24"/>
        </w:rPr>
        <w:t xml:space="preserve">of the number of paid DMRs </w:t>
      </w:r>
      <w:r w:rsidR="00BF2D29" w:rsidRPr="00353DC7">
        <w:rPr>
          <w:rFonts w:ascii="Arial" w:hAnsi="Arial" w:cs="Arial"/>
          <w:sz w:val="24"/>
          <w:szCs w:val="24"/>
        </w:rPr>
        <w:t xml:space="preserve">has </w:t>
      </w:r>
      <w:r w:rsidR="00C92F84" w:rsidRPr="00353DC7">
        <w:rPr>
          <w:rFonts w:ascii="Arial" w:hAnsi="Arial" w:cs="Arial"/>
          <w:sz w:val="24"/>
          <w:szCs w:val="24"/>
        </w:rPr>
        <w:t>since</w:t>
      </w:r>
      <w:r w:rsidR="0004648D" w:rsidRPr="00353DC7">
        <w:rPr>
          <w:rFonts w:ascii="Arial" w:hAnsi="Arial" w:cs="Arial"/>
          <w:sz w:val="24"/>
          <w:szCs w:val="24"/>
        </w:rPr>
        <w:t xml:space="preserve"> </w:t>
      </w:r>
      <w:r w:rsidR="00BF2D29" w:rsidRPr="00353DC7">
        <w:rPr>
          <w:rFonts w:ascii="Arial" w:hAnsi="Arial" w:cs="Arial"/>
          <w:sz w:val="24"/>
          <w:szCs w:val="24"/>
        </w:rPr>
        <w:t>been removed.</w:t>
      </w:r>
    </w:p>
    <w:p w14:paraId="5C4DC338" w14:textId="77777777" w:rsidR="00517A8D" w:rsidRPr="00353DC7" w:rsidRDefault="00517A8D" w:rsidP="00DC54F7">
      <w:pPr>
        <w:spacing w:after="0" w:line="240" w:lineRule="auto"/>
        <w:jc w:val="both"/>
        <w:rPr>
          <w:rFonts w:ascii="Arial" w:hAnsi="Arial" w:cs="Arial"/>
          <w:sz w:val="24"/>
          <w:szCs w:val="24"/>
        </w:rPr>
      </w:pPr>
    </w:p>
    <w:p w14:paraId="2E47182E" w14:textId="77777777" w:rsidR="00517A8D" w:rsidRPr="00353DC7" w:rsidRDefault="00517A8D" w:rsidP="00DC54F7">
      <w:pPr>
        <w:spacing w:after="0" w:line="240" w:lineRule="auto"/>
        <w:contextualSpacing/>
        <w:jc w:val="both"/>
        <w:rPr>
          <w:rFonts w:ascii="Arial" w:hAnsi="Arial" w:cs="Arial"/>
          <w:sz w:val="24"/>
          <w:szCs w:val="24"/>
        </w:rPr>
      </w:pPr>
      <w:r w:rsidRPr="00353DC7">
        <w:rPr>
          <w:rFonts w:ascii="Arial" w:hAnsi="Arial" w:cs="Arial"/>
          <w:sz w:val="24"/>
          <w:szCs w:val="24"/>
        </w:rPr>
        <w:t>In 2019 to 2020, the following enhanced services were provided by pharmacies in the cluster area:</w:t>
      </w:r>
    </w:p>
    <w:p w14:paraId="78777892" w14:textId="77777777" w:rsidR="00517A8D" w:rsidRPr="00353DC7" w:rsidRDefault="00517A8D" w:rsidP="00DC54F7">
      <w:pPr>
        <w:spacing w:after="0" w:line="240" w:lineRule="auto"/>
        <w:contextualSpacing/>
        <w:jc w:val="both"/>
        <w:rPr>
          <w:rFonts w:ascii="Arial" w:hAnsi="Arial" w:cs="Arial"/>
          <w:sz w:val="24"/>
          <w:szCs w:val="24"/>
        </w:rPr>
      </w:pPr>
    </w:p>
    <w:p w14:paraId="1A596D68" w14:textId="0D5200B4" w:rsidR="00517A8D" w:rsidRPr="00353DC7" w:rsidRDefault="00BD452F" w:rsidP="00DC54F7">
      <w:pPr>
        <w:pStyle w:val="ListParagraph"/>
        <w:numPr>
          <w:ilvl w:val="0"/>
          <w:numId w:val="142"/>
        </w:numPr>
        <w:spacing w:after="0" w:line="240" w:lineRule="auto"/>
        <w:jc w:val="both"/>
        <w:rPr>
          <w:rFonts w:ascii="Arial" w:hAnsi="Arial" w:cs="Arial"/>
          <w:sz w:val="24"/>
          <w:szCs w:val="24"/>
        </w:rPr>
      </w:pPr>
      <w:r w:rsidRPr="00353DC7">
        <w:rPr>
          <w:rFonts w:ascii="Arial" w:hAnsi="Arial" w:cs="Arial"/>
          <w:sz w:val="24"/>
          <w:szCs w:val="24"/>
        </w:rPr>
        <w:t>Nine</w:t>
      </w:r>
      <w:r w:rsidR="00517A8D" w:rsidRPr="00353DC7">
        <w:rPr>
          <w:rFonts w:ascii="Arial" w:hAnsi="Arial" w:cs="Arial"/>
          <w:sz w:val="24"/>
          <w:szCs w:val="24"/>
        </w:rPr>
        <w:t xml:space="preserve"> pharmacies provided a total of </w:t>
      </w:r>
      <w:r w:rsidR="00BC5A4E" w:rsidRPr="00353DC7">
        <w:rPr>
          <w:rFonts w:ascii="Arial" w:hAnsi="Arial" w:cs="Arial"/>
          <w:sz w:val="24"/>
          <w:szCs w:val="24"/>
        </w:rPr>
        <w:t>2</w:t>
      </w:r>
      <w:r w:rsidR="00982A7F" w:rsidRPr="00353DC7">
        <w:rPr>
          <w:rFonts w:ascii="Arial" w:hAnsi="Arial" w:cs="Arial"/>
          <w:sz w:val="24"/>
          <w:szCs w:val="24"/>
        </w:rPr>
        <w:t>8</w:t>
      </w:r>
      <w:r w:rsidR="00BC5A4E" w:rsidRPr="00353DC7">
        <w:rPr>
          <w:rFonts w:ascii="Arial" w:hAnsi="Arial" w:cs="Arial"/>
          <w:sz w:val="24"/>
          <w:szCs w:val="24"/>
        </w:rPr>
        <w:t>8</w:t>
      </w:r>
      <w:r w:rsidR="00517A8D" w:rsidRPr="00353DC7">
        <w:rPr>
          <w:rFonts w:ascii="Arial" w:hAnsi="Arial" w:cs="Arial"/>
          <w:sz w:val="24"/>
          <w:szCs w:val="24"/>
        </w:rPr>
        <w:t xml:space="preserve"> emergency contraception consultations, with a range of </w:t>
      </w:r>
      <w:r w:rsidR="00E20E3B" w:rsidRPr="00353DC7">
        <w:rPr>
          <w:rFonts w:ascii="Arial" w:hAnsi="Arial" w:cs="Arial"/>
          <w:sz w:val="24"/>
          <w:szCs w:val="24"/>
        </w:rPr>
        <w:t>three</w:t>
      </w:r>
      <w:r w:rsidR="00517A8D" w:rsidRPr="00353DC7">
        <w:rPr>
          <w:rFonts w:ascii="Arial" w:hAnsi="Arial" w:cs="Arial"/>
          <w:sz w:val="24"/>
          <w:szCs w:val="24"/>
        </w:rPr>
        <w:t xml:space="preserve"> to 1</w:t>
      </w:r>
      <w:r w:rsidR="00E20E3B" w:rsidRPr="00353DC7">
        <w:rPr>
          <w:rFonts w:ascii="Arial" w:hAnsi="Arial" w:cs="Arial"/>
          <w:sz w:val="24"/>
          <w:szCs w:val="24"/>
        </w:rPr>
        <w:t>08</w:t>
      </w:r>
      <w:r w:rsidR="00517A8D" w:rsidRPr="00353DC7">
        <w:rPr>
          <w:rFonts w:ascii="Arial" w:hAnsi="Arial" w:cs="Arial"/>
          <w:sz w:val="24"/>
          <w:szCs w:val="24"/>
        </w:rPr>
        <w:t xml:space="preserve"> consultations.</w:t>
      </w:r>
    </w:p>
    <w:p w14:paraId="306709B3" w14:textId="36AB09B7" w:rsidR="00517A8D" w:rsidRPr="00353DC7" w:rsidRDefault="00E20E3B" w:rsidP="00DC54F7">
      <w:pPr>
        <w:pStyle w:val="ListParagraph"/>
        <w:numPr>
          <w:ilvl w:val="0"/>
          <w:numId w:val="86"/>
        </w:numPr>
        <w:spacing w:after="0" w:line="240" w:lineRule="auto"/>
        <w:jc w:val="both"/>
        <w:rPr>
          <w:rFonts w:ascii="Arial" w:hAnsi="Arial" w:cs="Arial"/>
          <w:sz w:val="24"/>
          <w:szCs w:val="24"/>
        </w:rPr>
      </w:pPr>
      <w:r w:rsidRPr="00353DC7">
        <w:rPr>
          <w:rFonts w:ascii="Arial" w:hAnsi="Arial" w:cs="Arial"/>
          <w:sz w:val="24"/>
          <w:szCs w:val="24"/>
        </w:rPr>
        <w:t>Two</w:t>
      </w:r>
      <w:r w:rsidR="00517A8D" w:rsidRPr="00353DC7">
        <w:rPr>
          <w:rFonts w:ascii="Arial" w:hAnsi="Arial" w:cs="Arial"/>
          <w:sz w:val="24"/>
          <w:szCs w:val="24"/>
        </w:rPr>
        <w:t xml:space="preserve"> pharmacies provided a total of 2</w:t>
      </w:r>
      <w:r w:rsidRPr="00353DC7">
        <w:rPr>
          <w:rFonts w:ascii="Arial" w:hAnsi="Arial" w:cs="Arial"/>
          <w:sz w:val="24"/>
          <w:szCs w:val="24"/>
        </w:rPr>
        <w:t>7</w:t>
      </w:r>
      <w:r w:rsidR="00517A8D" w:rsidRPr="00353DC7">
        <w:rPr>
          <w:rFonts w:ascii="Arial" w:hAnsi="Arial" w:cs="Arial"/>
          <w:sz w:val="24"/>
          <w:szCs w:val="24"/>
        </w:rPr>
        <w:t xml:space="preserve"> smoking cessation level 3 consultations, with a range of </w:t>
      </w:r>
      <w:r w:rsidRPr="00353DC7">
        <w:rPr>
          <w:rFonts w:ascii="Arial" w:hAnsi="Arial" w:cs="Arial"/>
          <w:sz w:val="24"/>
          <w:szCs w:val="24"/>
        </w:rPr>
        <w:t>three</w:t>
      </w:r>
      <w:r w:rsidR="00517A8D" w:rsidRPr="00353DC7">
        <w:rPr>
          <w:rFonts w:ascii="Arial" w:hAnsi="Arial" w:cs="Arial"/>
          <w:sz w:val="24"/>
          <w:szCs w:val="24"/>
        </w:rPr>
        <w:t xml:space="preserve"> to </w:t>
      </w:r>
      <w:r w:rsidRPr="00353DC7">
        <w:rPr>
          <w:rFonts w:ascii="Arial" w:hAnsi="Arial" w:cs="Arial"/>
          <w:sz w:val="24"/>
          <w:szCs w:val="24"/>
        </w:rPr>
        <w:t>24</w:t>
      </w:r>
      <w:r w:rsidR="00517A8D" w:rsidRPr="00353DC7">
        <w:rPr>
          <w:rFonts w:ascii="Arial" w:hAnsi="Arial" w:cs="Arial"/>
          <w:sz w:val="24"/>
          <w:szCs w:val="24"/>
        </w:rPr>
        <w:t xml:space="preserve"> consultations.</w:t>
      </w:r>
    </w:p>
    <w:p w14:paraId="7BEBF3A9" w14:textId="3A5A723E" w:rsidR="00517A8D" w:rsidRPr="00353DC7" w:rsidRDefault="00D70AFE" w:rsidP="00DC54F7">
      <w:pPr>
        <w:pStyle w:val="ListParagraph"/>
        <w:numPr>
          <w:ilvl w:val="0"/>
          <w:numId w:val="86"/>
        </w:numPr>
        <w:spacing w:after="0" w:line="240" w:lineRule="auto"/>
        <w:jc w:val="both"/>
        <w:rPr>
          <w:rFonts w:ascii="Arial" w:hAnsi="Arial" w:cs="Arial"/>
          <w:sz w:val="24"/>
          <w:szCs w:val="24"/>
        </w:rPr>
      </w:pPr>
      <w:r w:rsidRPr="00353DC7">
        <w:rPr>
          <w:rFonts w:ascii="Arial" w:hAnsi="Arial" w:cs="Arial"/>
          <w:sz w:val="24"/>
          <w:szCs w:val="24"/>
        </w:rPr>
        <w:t>Nine</w:t>
      </w:r>
      <w:r w:rsidR="00517A8D" w:rsidRPr="00353DC7">
        <w:rPr>
          <w:rFonts w:ascii="Arial" w:hAnsi="Arial" w:cs="Arial"/>
          <w:sz w:val="24"/>
          <w:szCs w:val="24"/>
        </w:rPr>
        <w:t xml:space="preserve"> pharmacies provided a total of </w:t>
      </w:r>
      <w:r w:rsidR="00982A7F" w:rsidRPr="00353DC7">
        <w:rPr>
          <w:rFonts w:ascii="Arial" w:hAnsi="Arial" w:cs="Arial"/>
          <w:sz w:val="24"/>
          <w:szCs w:val="24"/>
        </w:rPr>
        <w:t>591</w:t>
      </w:r>
      <w:r w:rsidR="00517A8D" w:rsidRPr="00353DC7">
        <w:rPr>
          <w:rFonts w:ascii="Arial" w:hAnsi="Arial" w:cs="Arial"/>
          <w:sz w:val="24"/>
          <w:szCs w:val="24"/>
        </w:rPr>
        <w:t xml:space="preserve"> flu vaccinations, with a range of </w:t>
      </w:r>
      <w:r w:rsidRPr="00353DC7">
        <w:rPr>
          <w:rFonts w:ascii="Arial" w:hAnsi="Arial" w:cs="Arial"/>
          <w:sz w:val="24"/>
          <w:szCs w:val="24"/>
        </w:rPr>
        <w:t>17</w:t>
      </w:r>
      <w:r w:rsidR="00517A8D" w:rsidRPr="00353DC7">
        <w:rPr>
          <w:rFonts w:ascii="Arial" w:hAnsi="Arial" w:cs="Arial"/>
          <w:sz w:val="24"/>
          <w:szCs w:val="24"/>
        </w:rPr>
        <w:t xml:space="preserve"> to </w:t>
      </w:r>
      <w:r w:rsidRPr="00353DC7">
        <w:rPr>
          <w:rFonts w:ascii="Arial" w:hAnsi="Arial" w:cs="Arial"/>
          <w:sz w:val="24"/>
          <w:szCs w:val="24"/>
        </w:rPr>
        <w:t>13</w:t>
      </w:r>
      <w:r w:rsidR="00122F52" w:rsidRPr="00353DC7">
        <w:rPr>
          <w:rFonts w:ascii="Arial" w:hAnsi="Arial" w:cs="Arial"/>
          <w:sz w:val="24"/>
          <w:szCs w:val="24"/>
        </w:rPr>
        <w:t xml:space="preserve">8 </w:t>
      </w:r>
      <w:r w:rsidR="00517A8D" w:rsidRPr="00353DC7">
        <w:rPr>
          <w:rFonts w:ascii="Arial" w:hAnsi="Arial" w:cs="Arial"/>
          <w:sz w:val="24"/>
          <w:szCs w:val="24"/>
        </w:rPr>
        <w:t>vaccinations.</w:t>
      </w:r>
    </w:p>
    <w:p w14:paraId="3EF11A71" w14:textId="377084B3" w:rsidR="00122F52" w:rsidRPr="00353DC7" w:rsidRDefault="00AA20DA" w:rsidP="00DC54F7">
      <w:pPr>
        <w:pStyle w:val="ListParagraph"/>
        <w:numPr>
          <w:ilvl w:val="0"/>
          <w:numId w:val="86"/>
        </w:numPr>
        <w:spacing w:after="0" w:line="240" w:lineRule="auto"/>
        <w:jc w:val="both"/>
        <w:rPr>
          <w:rFonts w:ascii="Arial" w:hAnsi="Arial" w:cs="Arial"/>
          <w:sz w:val="24"/>
          <w:szCs w:val="24"/>
        </w:rPr>
      </w:pPr>
      <w:r>
        <w:rPr>
          <w:rFonts w:ascii="Arial" w:hAnsi="Arial" w:cs="Arial"/>
          <w:sz w:val="24"/>
          <w:szCs w:val="24"/>
        </w:rPr>
        <w:t>10</w:t>
      </w:r>
      <w:r w:rsidR="00613D35" w:rsidRPr="00353DC7">
        <w:rPr>
          <w:rFonts w:ascii="Arial" w:hAnsi="Arial" w:cs="Arial"/>
          <w:sz w:val="24"/>
          <w:szCs w:val="24"/>
        </w:rPr>
        <w:t xml:space="preserve"> pharmacies provided a total of</w:t>
      </w:r>
      <w:r w:rsidR="00A344D2" w:rsidRPr="00353DC7">
        <w:rPr>
          <w:rFonts w:ascii="Arial" w:hAnsi="Arial" w:cs="Arial"/>
          <w:sz w:val="24"/>
          <w:szCs w:val="24"/>
        </w:rPr>
        <w:t xml:space="preserve"> 637 CAS consultations, with a range of </w:t>
      </w:r>
      <w:r w:rsidR="00D322CE" w:rsidRPr="00353DC7">
        <w:rPr>
          <w:rFonts w:ascii="Arial" w:hAnsi="Arial" w:cs="Arial"/>
          <w:sz w:val="24"/>
          <w:szCs w:val="24"/>
        </w:rPr>
        <w:t>12 to 162 consultations.</w:t>
      </w:r>
    </w:p>
    <w:p w14:paraId="25EFA038" w14:textId="52C5B535" w:rsidR="00517A8D" w:rsidRPr="00353DC7" w:rsidRDefault="00122F52" w:rsidP="00DC54F7">
      <w:pPr>
        <w:pStyle w:val="ListParagraph"/>
        <w:numPr>
          <w:ilvl w:val="0"/>
          <w:numId w:val="86"/>
        </w:numPr>
        <w:spacing w:after="0" w:line="240" w:lineRule="auto"/>
        <w:jc w:val="both"/>
        <w:rPr>
          <w:rFonts w:ascii="Arial" w:hAnsi="Arial" w:cs="Arial"/>
          <w:sz w:val="24"/>
          <w:szCs w:val="24"/>
        </w:rPr>
      </w:pPr>
      <w:r w:rsidRPr="00353DC7">
        <w:rPr>
          <w:rFonts w:ascii="Arial" w:hAnsi="Arial" w:cs="Arial"/>
          <w:sz w:val="24"/>
          <w:szCs w:val="24"/>
        </w:rPr>
        <w:t>Four</w:t>
      </w:r>
      <w:r w:rsidR="00517A8D" w:rsidRPr="00353DC7">
        <w:rPr>
          <w:rFonts w:ascii="Arial" w:hAnsi="Arial" w:cs="Arial"/>
          <w:sz w:val="24"/>
          <w:szCs w:val="24"/>
        </w:rPr>
        <w:t xml:space="preserve"> pharmacies provided a total of</w:t>
      </w:r>
      <w:r w:rsidRPr="00353DC7">
        <w:rPr>
          <w:rFonts w:ascii="Arial" w:hAnsi="Arial" w:cs="Arial"/>
          <w:sz w:val="24"/>
          <w:szCs w:val="24"/>
        </w:rPr>
        <w:t xml:space="preserve"> 11</w:t>
      </w:r>
      <w:r w:rsidR="00517A8D" w:rsidRPr="00353DC7">
        <w:rPr>
          <w:rFonts w:ascii="Arial" w:hAnsi="Arial" w:cs="Arial"/>
          <w:sz w:val="24"/>
          <w:szCs w:val="24"/>
        </w:rPr>
        <w:t xml:space="preserve"> EMS consultations, with a range of </w:t>
      </w:r>
      <w:r w:rsidRPr="00353DC7">
        <w:rPr>
          <w:rFonts w:ascii="Arial" w:hAnsi="Arial" w:cs="Arial"/>
          <w:sz w:val="24"/>
          <w:szCs w:val="24"/>
        </w:rPr>
        <w:t>one</w:t>
      </w:r>
      <w:r w:rsidR="00517A8D" w:rsidRPr="00353DC7">
        <w:rPr>
          <w:rFonts w:ascii="Arial" w:hAnsi="Arial" w:cs="Arial"/>
          <w:sz w:val="24"/>
          <w:szCs w:val="24"/>
        </w:rPr>
        <w:t xml:space="preserve"> to </w:t>
      </w:r>
      <w:r w:rsidRPr="00353DC7">
        <w:rPr>
          <w:rFonts w:ascii="Arial" w:hAnsi="Arial" w:cs="Arial"/>
          <w:sz w:val="24"/>
          <w:szCs w:val="24"/>
        </w:rPr>
        <w:t>seven</w:t>
      </w:r>
      <w:r w:rsidR="00517A8D" w:rsidRPr="00353DC7">
        <w:rPr>
          <w:rFonts w:ascii="Arial" w:hAnsi="Arial" w:cs="Arial"/>
          <w:sz w:val="24"/>
          <w:szCs w:val="24"/>
        </w:rPr>
        <w:t xml:space="preserve"> consultations.</w:t>
      </w:r>
    </w:p>
    <w:p w14:paraId="05C58607" w14:textId="77777777" w:rsidR="00C2620B" w:rsidRPr="00353DC7" w:rsidRDefault="00C2620B" w:rsidP="00DC54F7">
      <w:pPr>
        <w:pStyle w:val="ListParagraph"/>
        <w:spacing w:after="0" w:line="240" w:lineRule="auto"/>
        <w:ind w:left="360"/>
        <w:jc w:val="both"/>
        <w:rPr>
          <w:rFonts w:ascii="Arial" w:hAnsi="Arial" w:cs="Arial"/>
          <w:sz w:val="24"/>
          <w:szCs w:val="24"/>
        </w:rPr>
      </w:pPr>
    </w:p>
    <w:p w14:paraId="641BBCAB" w14:textId="18AC56A8" w:rsidR="001441CC" w:rsidRDefault="001441CC" w:rsidP="00DC54F7">
      <w:pPr>
        <w:spacing w:after="0" w:line="240" w:lineRule="auto"/>
        <w:jc w:val="both"/>
        <w:rPr>
          <w:rFonts w:ascii="Arial" w:hAnsi="Arial" w:cs="Arial"/>
          <w:sz w:val="24"/>
          <w:szCs w:val="24"/>
        </w:rPr>
      </w:pPr>
      <w:r w:rsidRPr="00353DC7">
        <w:rPr>
          <w:rFonts w:ascii="Arial" w:hAnsi="Arial" w:cs="Arial"/>
          <w:sz w:val="24"/>
          <w:szCs w:val="24"/>
        </w:rPr>
        <w:t xml:space="preserve">Other enhanced services </w:t>
      </w:r>
      <w:r w:rsidR="0029637E" w:rsidRPr="00353DC7">
        <w:rPr>
          <w:rFonts w:ascii="Arial" w:hAnsi="Arial" w:cs="Arial"/>
          <w:sz w:val="24"/>
          <w:szCs w:val="24"/>
        </w:rPr>
        <w:t>included:</w:t>
      </w:r>
    </w:p>
    <w:p w14:paraId="41CDBE98" w14:textId="77777777" w:rsidR="00752236" w:rsidRPr="00752236" w:rsidRDefault="0021056E" w:rsidP="00DC54F7">
      <w:pPr>
        <w:pStyle w:val="ListParagraph"/>
        <w:numPr>
          <w:ilvl w:val="0"/>
          <w:numId w:val="195"/>
        </w:numPr>
        <w:spacing w:after="0" w:line="240" w:lineRule="auto"/>
        <w:jc w:val="both"/>
        <w:rPr>
          <w:rFonts w:ascii="Arial" w:hAnsi="Arial" w:cs="Arial"/>
          <w:color w:val="000000"/>
          <w:sz w:val="24"/>
          <w:szCs w:val="24"/>
        </w:rPr>
      </w:pPr>
      <w:r w:rsidRPr="00752236">
        <w:rPr>
          <w:rFonts w:ascii="Arial" w:hAnsi="Arial" w:cs="Arial"/>
          <w:sz w:val="24"/>
          <w:szCs w:val="24"/>
        </w:rPr>
        <w:t xml:space="preserve">Six pharmacies provided the </w:t>
      </w:r>
      <w:r w:rsidR="00752236" w:rsidRPr="00752236">
        <w:rPr>
          <w:rFonts w:ascii="Arial" w:hAnsi="Arial" w:cs="Arial"/>
          <w:color w:val="000000"/>
          <w:sz w:val="24"/>
          <w:szCs w:val="24"/>
        </w:rPr>
        <w:t>Supervised Administration of Medicines Enhanced Service.</w:t>
      </w:r>
    </w:p>
    <w:p w14:paraId="40FD75CF" w14:textId="3169C595" w:rsidR="00C2620B" w:rsidRPr="00752236" w:rsidRDefault="00C2620B" w:rsidP="00DC54F7">
      <w:pPr>
        <w:pStyle w:val="ListParagraph"/>
        <w:numPr>
          <w:ilvl w:val="0"/>
          <w:numId w:val="195"/>
        </w:numPr>
        <w:spacing w:after="0" w:line="240" w:lineRule="auto"/>
        <w:jc w:val="both"/>
        <w:rPr>
          <w:rFonts w:ascii="Arial" w:hAnsi="Arial" w:cs="Arial"/>
          <w:color w:val="000000"/>
          <w:sz w:val="24"/>
          <w:szCs w:val="24"/>
        </w:rPr>
      </w:pPr>
      <w:r w:rsidRPr="00752236">
        <w:rPr>
          <w:rFonts w:ascii="Arial" w:hAnsi="Arial" w:cs="Arial"/>
          <w:sz w:val="24"/>
          <w:szCs w:val="24"/>
        </w:rPr>
        <w:t xml:space="preserve">One pharmacy provided the </w:t>
      </w:r>
      <w:r w:rsidR="00D65C93" w:rsidRPr="00752236">
        <w:rPr>
          <w:rFonts w:ascii="Arial" w:hAnsi="Arial" w:cs="Arial"/>
          <w:sz w:val="24"/>
          <w:szCs w:val="24"/>
        </w:rPr>
        <w:t>Needle Syringe Provision Enhanced S</w:t>
      </w:r>
      <w:r w:rsidRPr="00752236">
        <w:rPr>
          <w:rFonts w:ascii="Arial" w:hAnsi="Arial" w:cs="Arial"/>
          <w:sz w:val="24"/>
          <w:szCs w:val="24"/>
        </w:rPr>
        <w:t>ervice</w:t>
      </w:r>
      <w:r w:rsidR="0021056E" w:rsidRPr="00752236">
        <w:rPr>
          <w:rFonts w:ascii="Arial" w:hAnsi="Arial" w:cs="Arial"/>
          <w:sz w:val="24"/>
          <w:szCs w:val="24"/>
        </w:rPr>
        <w:t>.</w:t>
      </w:r>
    </w:p>
    <w:p w14:paraId="0DD411F5" w14:textId="05F685A8" w:rsidR="00802542" w:rsidRPr="00353DC7" w:rsidRDefault="00496E5B" w:rsidP="00DC54F7">
      <w:pPr>
        <w:pStyle w:val="ListParagraph"/>
        <w:numPr>
          <w:ilvl w:val="0"/>
          <w:numId w:val="154"/>
        </w:numPr>
        <w:spacing w:after="0" w:line="240" w:lineRule="auto"/>
        <w:jc w:val="both"/>
        <w:rPr>
          <w:rFonts w:ascii="Arial" w:hAnsi="Arial" w:cs="Arial"/>
          <w:sz w:val="24"/>
          <w:szCs w:val="24"/>
        </w:rPr>
      </w:pPr>
      <w:r w:rsidRPr="00353DC7">
        <w:rPr>
          <w:rFonts w:ascii="Arial" w:hAnsi="Arial" w:cs="Arial"/>
          <w:sz w:val="24"/>
          <w:szCs w:val="24"/>
        </w:rPr>
        <w:t xml:space="preserve">Two pharmacies </w:t>
      </w:r>
      <w:r w:rsidR="00C2620B" w:rsidRPr="00353DC7">
        <w:rPr>
          <w:rFonts w:ascii="Arial" w:hAnsi="Arial" w:cs="Arial"/>
          <w:sz w:val="24"/>
          <w:szCs w:val="24"/>
        </w:rPr>
        <w:t>provided t</w:t>
      </w:r>
      <w:r w:rsidRPr="00353DC7">
        <w:rPr>
          <w:rFonts w:ascii="Arial" w:hAnsi="Arial" w:cs="Arial"/>
          <w:sz w:val="24"/>
          <w:szCs w:val="24"/>
        </w:rPr>
        <w:t xml:space="preserve">he </w:t>
      </w:r>
      <w:r w:rsidR="00D65C93">
        <w:rPr>
          <w:rFonts w:ascii="Arial" w:hAnsi="Arial" w:cs="Arial"/>
          <w:sz w:val="24"/>
          <w:szCs w:val="24"/>
        </w:rPr>
        <w:t>P</w:t>
      </w:r>
      <w:r w:rsidRPr="00353DC7">
        <w:rPr>
          <w:rFonts w:ascii="Arial" w:hAnsi="Arial" w:cs="Arial"/>
          <w:sz w:val="24"/>
          <w:szCs w:val="24"/>
        </w:rPr>
        <w:t xml:space="preserve">alliative </w:t>
      </w:r>
      <w:r w:rsidR="00D65C93">
        <w:rPr>
          <w:rFonts w:ascii="Arial" w:hAnsi="Arial" w:cs="Arial"/>
          <w:sz w:val="24"/>
          <w:szCs w:val="24"/>
        </w:rPr>
        <w:t>C</w:t>
      </w:r>
      <w:r w:rsidR="00C2620B" w:rsidRPr="00353DC7">
        <w:rPr>
          <w:rFonts w:ascii="Arial" w:hAnsi="Arial" w:cs="Arial"/>
          <w:sz w:val="24"/>
          <w:szCs w:val="24"/>
        </w:rPr>
        <w:t xml:space="preserve">are </w:t>
      </w:r>
      <w:r w:rsidR="00D65C93">
        <w:rPr>
          <w:rFonts w:ascii="Arial" w:hAnsi="Arial" w:cs="Arial"/>
          <w:sz w:val="24"/>
          <w:szCs w:val="24"/>
        </w:rPr>
        <w:t>Enhanced S</w:t>
      </w:r>
      <w:r w:rsidR="00C2620B" w:rsidRPr="00353DC7">
        <w:rPr>
          <w:rFonts w:ascii="Arial" w:hAnsi="Arial" w:cs="Arial"/>
          <w:sz w:val="24"/>
          <w:szCs w:val="24"/>
        </w:rPr>
        <w:t>ervice</w:t>
      </w:r>
      <w:r w:rsidR="0021056E">
        <w:rPr>
          <w:rFonts w:ascii="Arial" w:hAnsi="Arial" w:cs="Arial"/>
          <w:sz w:val="24"/>
          <w:szCs w:val="24"/>
        </w:rPr>
        <w:t>.</w:t>
      </w:r>
    </w:p>
    <w:p w14:paraId="7D0FC854" w14:textId="77777777" w:rsidR="00802542" w:rsidRPr="00353DC7" w:rsidRDefault="00802542" w:rsidP="00DC54F7">
      <w:pPr>
        <w:spacing w:after="0" w:line="240" w:lineRule="auto"/>
        <w:jc w:val="both"/>
        <w:rPr>
          <w:rFonts w:ascii="Arial" w:hAnsi="Arial" w:cs="Arial"/>
          <w:sz w:val="24"/>
          <w:szCs w:val="24"/>
        </w:rPr>
      </w:pPr>
    </w:p>
    <w:p w14:paraId="191A6A44" w14:textId="77777777" w:rsidR="00517A8D" w:rsidRPr="00A10850" w:rsidRDefault="00517A8D" w:rsidP="00DC54F7">
      <w:pPr>
        <w:spacing w:after="0" w:line="240" w:lineRule="auto"/>
        <w:jc w:val="both"/>
        <w:rPr>
          <w:rFonts w:ascii="Arial" w:hAnsi="Arial" w:cs="Arial"/>
        </w:rPr>
      </w:pPr>
    </w:p>
    <w:p w14:paraId="5A759639" w14:textId="3A5DBC63" w:rsidR="002409F1" w:rsidRPr="00A10850" w:rsidRDefault="006B7D30" w:rsidP="00DC54F7">
      <w:pPr>
        <w:spacing w:after="0" w:line="240" w:lineRule="auto"/>
        <w:jc w:val="both"/>
        <w:rPr>
          <w:rFonts w:ascii="Arial" w:hAnsi="Arial" w:cs="Arial"/>
          <w:b/>
          <w:sz w:val="26"/>
          <w:szCs w:val="26"/>
          <w:lang w:val="en-US"/>
        </w:rPr>
      </w:pPr>
      <w:r w:rsidRPr="00A10850">
        <w:rPr>
          <w:rFonts w:ascii="Arial" w:hAnsi="Arial" w:cs="Arial"/>
          <w:b/>
          <w:sz w:val="26"/>
          <w:szCs w:val="26"/>
          <w:lang w:val="en-US"/>
        </w:rPr>
        <w:t>8</w:t>
      </w:r>
      <w:r w:rsidR="002409F1" w:rsidRPr="00A10850">
        <w:rPr>
          <w:rFonts w:ascii="Arial" w:hAnsi="Arial" w:cs="Arial"/>
          <w:b/>
          <w:sz w:val="26"/>
          <w:szCs w:val="26"/>
          <w:lang w:val="en-US"/>
        </w:rPr>
        <w:t xml:space="preserve">.3 </w:t>
      </w:r>
      <w:r w:rsidR="00F937AF" w:rsidRPr="00A10850">
        <w:rPr>
          <w:rFonts w:ascii="Arial" w:hAnsi="Arial" w:cs="Arial"/>
          <w:b/>
          <w:sz w:val="26"/>
          <w:szCs w:val="26"/>
          <w:lang w:val="en-US"/>
        </w:rPr>
        <w:t>Current</w:t>
      </w:r>
      <w:r w:rsidR="002409F1" w:rsidRPr="00A10850">
        <w:rPr>
          <w:rFonts w:ascii="Arial" w:hAnsi="Arial" w:cs="Arial"/>
          <w:b/>
          <w:sz w:val="26"/>
          <w:szCs w:val="26"/>
          <w:lang w:val="en-US"/>
        </w:rPr>
        <w:t xml:space="preserve"> provision </w:t>
      </w:r>
      <w:r w:rsidR="00F937AF" w:rsidRPr="00A10850">
        <w:rPr>
          <w:rFonts w:ascii="Arial" w:hAnsi="Arial" w:cs="Arial"/>
          <w:b/>
          <w:sz w:val="26"/>
          <w:szCs w:val="26"/>
          <w:lang w:val="en-US"/>
        </w:rPr>
        <w:t xml:space="preserve">of pharmaceutical services </w:t>
      </w:r>
      <w:r w:rsidR="002409F1" w:rsidRPr="00A10850">
        <w:rPr>
          <w:rFonts w:ascii="Arial" w:hAnsi="Arial" w:cs="Arial"/>
          <w:b/>
          <w:sz w:val="26"/>
          <w:szCs w:val="26"/>
          <w:lang w:val="en-US"/>
        </w:rPr>
        <w:t xml:space="preserve">outside the </w:t>
      </w:r>
      <w:r w:rsidR="008D74CF">
        <w:rPr>
          <w:rFonts w:ascii="Arial" w:hAnsi="Arial" w:cs="Arial"/>
          <w:b/>
          <w:sz w:val="26"/>
          <w:szCs w:val="26"/>
          <w:lang w:val="en-US"/>
        </w:rPr>
        <w:t>cluster</w:t>
      </w:r>
    </w:p>
    <w:p w14:paraId="6C10F6ED" w14:textId="77777777" w:rsidR="00B302FE" w:rsidRPr="00A10850" w:rsidRDefault="00B302FE" w:rsidP="00DC54F7">
      <w:pPr>
        <w:spacing w:after="0" w:line="240" w:lineRule="auto"/>
        <w:jc w:val="both"/>
        <w:rPr>
          <w:rFonts w:ascii="Arial" w:hAnsi="Arial" w:cs="Arial"/>
          <w:lang w:val="en-US"/>
        </w:rPr>
      </w:pPr>
    </w:p>
    <w:p w14:paraId="61DDC35A" w14:textId="427CBBFC" w:rsidR="00B302FE" w:rsidRPr="003C27C1" w:rsidRDefault="00B302FE" w:rsidP="00DC54F7">
      <w:pPr>
        <w:spacing w:after="0" w:line="240" w:lineRule="auto"/>
        <w:jc w:val="both"/>
        <w:rPr>
          <w:rFonts w:ascii="Arial" w:hAnsi="Arial" w:cs="Arial"/>
          <w:sz w:val="24"/>
          <w:szCs w:val="24"/>
          <w:lang w:val="en-US"/>
        </w:rPr>
      </w:pPr>
      <w:r w:rsidRPr="003C27C1">
        <w:rPr>
          <w:rFonts w:ascii="Arial" w:hAnsi="Arial" w:cs="Arial"/>
          <w:sz w:val="24"/>
          <w:szCs w:val="24"/>
          <w:lang w:val="en-US"/>
        </w:rPr>
        <w:t xml:space="preserve">Some residents choose to access contractors outside both the </w:t>
      </w:r>
      <w:r w:rsidR="00B71C93" w:rsidRPr="003C27C1">
        <w:rPr>
          <w:rFonts w:ascii="Arial" w:hAnsi="Arial" w:cs="Arial"/>
          <w:sz w:val="24"/>
          <w:szCs w:val="24"/>
          <w:lang w:val="en-US"/>
        </w:rPr>
        <w:t>cluster</w:t>
      </w:r>
      <w:r w:rsidRPr="003C27C1">
        <w:rPr>
          <w:rFonts w:ascii="Arial" w:hAnsi="Arial" w:cs="Arial"/>
          <w:sz w:val="24"/>
          <w:szCs w:val="24"/>
          <w:lang w:val="en-US"/>
        </w:rPr>
        <w:t xml:space="preserve"> and the </w:t>
      </w:r>
      <w:r w:rsidR="00F937AF" w:rsidRPr="003C27C1">
        <w:rPr>
          <w:rFonts w:ascii="Arial" w:hAnsi="Arial" w:cs="Arial"/>
          <w:sz w:val="24"/>
          <w:szCs w:val="24"/>
          <w:lang w:val="en-US"/>
        </w:rPr>
        <w:t>health b</w:t>
      </w:r>
      <w:r w:rsidR="007F6811" w:rsidRPr="003C27C1">
        <w:rPr>
          <w:rFonts w:ascii="Arial" w:hAnsi="Arial" w:cs="Arial"/>
          <w:sz w:val="24"/>
          <w:szCs w:val="24"/>
          <w:lang w:val="en-US"/>
        </w:rPr>
        <w:t>oard</w:t>
      </w:r>
      <w:r w:rsidRPr="003C27C1">
        <w:rPr>
          <w:rFonts w:ascii="Arial" w:hAnsi="Arial" w:cs="Arial"/>
          <w:sz w:val="24"/>
          <w:szCs w:val="24"/>
          <w:lang w:val="en-US"/>
        </w:rPr>
        <w:t>’s area in order to access services:</w:t>
      </w:r>
    </w:p>
    <w:p w14:paraId="139C4B35" w14:textId="77777777" w:rsidR="00B302FE" w:rsidRPr="003C27C1" w:rsidRDefault="00B302FE" w:rsidP="00DC54F7">
      <w:pPr>
        <w:spacing w:after="0" w:line="240" w:lineRule="auto"/>
        <w:jc w:val="both"/>
        <w:rPr>
          <w:rFonts w:ascii="Arial" w:hAnsi="Arial" w:cs="Arial"/>
          <w:sz w:val="24"/>
          <w:szCs w:val="24"/>
          <w:lang w:val="en-US"/>
        </w:rPr>
      </w:pPr>
    </w:p>
    <w:p w14:paraId="6DFDFF3A" w14:textId="1C05D04E" w:rsidR="00B302FE" w:rsidRPr="003C27C1" w:rsidRDefault="00573DCE" w:rsidP="00DC54F7">
      <w:pPr>
        <w:numPr>
          <w:ilvl w:val="0"/>
          <w:numId w:val="49"/>
        </w:numPr>
        <w:spacing w:after="0" w:line="240" w:lineRule="auto"/>
        <w:jc w:val="both"/>
        <w:rPr>
          <w:rFonts w:ascii="Arial" w:hAnsi="Arial" w:cs="Arial"/>
          <w:sz w:val="24"/>
          <w:szCs w:val="24"/>
          <w:lang w:val="en-US"/>
        </w:rPr>
      </w:pPr>
      <w:r>
        <w:rPr>
          <w:rFonts w:ascii="Arial" w:hAnsi="Arial" w:cs="Arial"/>
          <w:sz w:val="24"/>
          <w:szCs w:val="24"/>
          <w:lang w:val="en-US"/>
        </w:rPr>
        <w:t>Offered by dispensing appliance contractors.</w:t>
      </w:r>
    </w:p>
    <w:p w14:paraId="44353F25" w14:textId="77777777" w:rsidR="00B302FE" w:rsidRPr="003C27C1" w:rsidRDefault="00B302FE" w:rsidP="00DC54F7">
      <w:pPr>
        <w:numPr>
          <w:ilvl w:val="0"/>
          <w:numId w:val="49"/>
        </w:numPr>
        <w:spacing w:after="0" w:line="240" w:lineRule="auto"/>
        <w:jc w:val="both"/>
        <w:rPr>
          <w:rFonts w:ascii="Arial" w:hAnsi="Arial" w:cs="Arial"/>
          <w:sz w:val="24"/>
          <w:szCs w:val="24"/>
          <w:lang w:val="en-US"/>
        </w:rPr>
      </w:pPr>
      <w:r w:rsidRPr="003C27C1">
        <w:rPr>
          <w:rFonts w:ascii="Arial" w:hAnsi="Arial" w:cs="Arial"/>
          <w:sz w:val="24"/>
          <w:szCs w:val="24"/>
          <w:lang w:val="en-US"/>
        </w:rPr>
        <w:t>Which are located near to where they work, shop or visit for leisure or other purposes</w:t>
      </w:r>
      <w:r w:rsidR="00DB7E7C" w:rsidRPr="003C27C1">
        <w:rPr>
          <w:rFonts w:ascii="Arial" w:hAnsi="Arial" w:cs="Arial"/>
          <w:sz w:val="24"/>
          <w:szCs w:val="24"/>
          <w:lang w:val="en-US"/>
        </w:rPr>
        <w:t>.</w:t>
      </w:r>
    </w:p>
    <w:p w14:paraId="5EF6A1AD" w14:textId="2CE18443" w:rsidR="00F937AF" w:rsidRPr="003C27C1" w:rsidRDefault="00F937AF" w:rsidP="00DC54F7">
      <w:pPr>
        <w:spacing w:after="0" w:line="240" w:lineRule="auto"/>
        <w:jc w:val="both"/>
        <w:rPr>
          <w:rFonts w:ascii="Arial" w:hAnsi="Arial" w:cs="Arial"/>
          <w:sz w:val="24"/>
          <w:szCs w:val="24"/>
          <w:lang w:val="en-US"/>
        </w:rPr>
      </w:pPr>
    </w:p>
    <w:p w14:paraId="1E0888F1" w14:textId="7F1A60CB" w:rsidR="00B71C93" w:rsidRPr="003C27C1" w:rsidRDefault="00B71C93" w:rsidP="00DC54F7">
      <w:pPr>
        <w:shd w:val="clear" w:color="auto" w:fill="FFFFFF"/>
        <w:spacing w:after="0"/>
        <w:jc w:val="both"/>
        <w:rPr>
          <w:rFonts w:ascii="Arial" w:hAnsi="Arial" w:cs="Arial"/>
          <w:color w:val="000000" w:themeColor="text1"/>
          <w:sz w:val="24"/>
          <w:szCs w:val="24"/>
        </w:rPr>
      </w:pPr>
      <w:r w:rsidRPr="003C27C1">
        <w:rPr>
          <w:rFonts w:ascii="Arial" w:hAnsi="Arial" w:cs="Arial"/>
          <w:color w:val="000000" w:themeColor="text1"/>
          <w:sz w:val="24"/>
          <w:szCs w:val="24"/>
        </w:rPr>
        <w:t xml:space="preserve">Whilst the majority of prescriptions written by the </w:t>
      </w:r>
      <w:r w:rsidR="00E94038">
        <w:rPr>
          <w:rFonts w:ascii="Arial" w:hAnsi="Arial" w:cs="Arial"/>
          <w:color w:val="000000" w:themeColor="text1"/>
          <w:sz w:val="24"/>
          <w:szCs w:val="24"/>
        </w:rPr>
        <w:t xml:space="preserve">cluster </w:t>
      </w:r>
      <w:r w:rsidRPr="003C27C1">
        <w:rPr>
          <w:rFonts w:ascii="Arial" w:hAnsi="Arial" w:cs="Arial"/>
          <w:color w:val="000000" w:themeColor="text1"/>
          <w:sz w:val="24"/>
          <w:szCs w:val="24"/>
        </w:rPr>
        <w:t xml:space="preserve">GP practices in 2019 to 2020 were dispensed by the pharmacies in the cluster, around </w:t>
      </w:r>
      <w:r w:rsidR="00C7555F" w:rsidRPr="003C27C1">
        <w:rPr>
          <w:rFonts w:ascii="Arial" w:hAnsi="Arial" w:cs="Arial"/>
          <w:color w:val="000000" w:themeColor="text1"/>
          <w:sz w:val="24"/>
          <w:szCs w:val="24"/>
        </w:rPr>
        <w:t>18.5</w:t>
      </w:r>
      <w:r w:rsidRPr="003C27C1">
        <w:rPr>
          <w:rFonts w:ascii="Arial" w:hAnsi="Arial" w:cs="Arial"/>
          <w:color w:val="000000" w:themeColor="text1"/>
          <w:sz w:val="24"/>
          <w:szCs w:val="24"/>
        </w:rPr>
        <w:t>% were dispensed outside the cluster, most notably:</w:t>
      </w:r>
    </w:p>
    <w:p w14:paraId="487A5A4B" w14:textId="63E3929E" w:rsidR="00B71C93" w:rsidRPr="003C27C1" w:rsidRDefault="00B71C93" w:rsidP="00DC54F7">
      <w:pPr>
        <w:shd w:val="clear" w:color="auto" w:fill="FFFFFF"/>
        <w:spacing w:after="0"/>
        <w:jc w:val="both"/>
        <w:rPr>
          <w:rFonts w:ascii="Arial" w:hAnsi="Arial" w:cs="Arial"/>
          <w:color w:val="000000"/>
          <w:sz w:val="24"/>
          <w:szCs w:val="24"/>
        </w:rPr>
      </w:pPr>
    </w:p>
    <w:p w14:paraId="18E6D9CC" w14:textId="51B341BB" w:rsidR="00B71C93" w:rsidRPr="003C27C1" w:rsidRDefault="00EA6113"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3C27C1">
        <w:rPr>
          <w:rFonts w:ascii="Arial" w:hAnsi="Arial" w:cs="Arial"/>
          <w:color w:val="000000" w:themeColor="text1"/>
          <w:sz w:val="24"/>
          <w:szCs w:val="24"/>
        </w:rPr>
        <w:t>5</w:t>
      </w:r>
      <w:r w:rsidR="00B71C93" w:rsidRPr="003C27C1">
        <w:rPr>
          <w:rFonts w:ascii="Arial" w:hAnsi="Arial" w:cs="Arial"/>
          <w:color w:val="000000" w:themeColor="text1"/>
          <w:sz w:val="24"/>
          <w:szCs w:val="24"/>
        </w:rPr>
        <w:t>.</w:t>
      </w:r>
      <w:r w:rsidRPr="003C27C1">
        <w:rPr>
          <w:rFonts w:ascii="Arial" w:hAnsi="Arial" w:cs="Arial"/>
          <w:color w:val="000000" w:themeColor="text1"/>
          <w:sz w:val="24"/>
          <w:szCs w:val="24"/>
        </w:rPr>
        <w:t>9</w:t>
      </w:r>
      <w:r w:rsidR="00B71C93" w:rsidRPr="003C27C1">
        <w:rPr>
          <w:rFonts w:ascii="Arial" w:hAnsi="Arial" w:cs="Arial"/>
          <w:color w:val="000000" w:themeColor="text1"/>
          <w:sz w:val="24"/>
          <w:szCs w:val="24"/>
        </w:rPr>
        <w:t xml:space="preserve">% by pharmacies in </w:t>
      </w:r>
      <w:r w:rsidRPr="003C27C1">
        <w:rPr>
          <w:rFonts w:ascii="Arial" w:hAnsi="Arial" w:cs="Arial"/>
          <w:color w:val="000000" w:themeColor="text1"/>
          <w:sz w:val="24"/>
          <w:szCs w:val="24"/>
        </w:rPr>
        <w:t>Cardiff North</w:t>
      </w:r>
      <w:r w:rsidR="00B71C93" w:rsidRPr="003C27C1">
        <w:rPr>
          <w:rFonts w:ascii="Arial" w:hAnsi="Arial" w:cs="Arial"/>
          <w:color w:val="000000" w:themeColor="text1"/>
          <w:sz w:val="24"/>
          <w:szCs w:val="24"/>
        </w:rPr>
        <w:t xml:space="preserve"> cluster</w:t>
      </w:r>
    </w:p>
    <w:p w14:paraId="6B3E25D2" w14:textId="2F50AE83" w:rsidR="00B71C93" w:rsidRPr="003C27C1" w:rsidRDefault="00EA6113"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3C27C1">
        <w:rPr>
          <w:rFonts w:ascii="Arial" w:hAnsi="Arial" w:cs="Arial"/>
          <w:color w:val="000000" w:themeColor="text1"/>
          <w:sz w:val="24"/>
          <w:szCs w:val="24"/>
        </w:rPr>
        <w:t>4</w:t>
      </w:r>
      <w:r w:rsidR="00B71C93" w:rsidRPr="003C27C1">
        <w:rPr>
          <w:rFonts w:ascii="Arial" w:hAnsi="Arial" w:cs="Arial"/>
          <w:color w:val="000000" w:themeColor="text1"/>
          <w:sz w:val="24"/>
          <w:szCs w:val="24"/>
        </w:rPr>
        <w:t xml:space="preserve">.4% by pharmacies in </w:t>
      </w:r>
      <w:r w:rsidRPr="003C27C1">
        <w:rPr>
          <w:rFonts w:ascii="Arial" w:hAnsi="Arial" w:cs="Arial"/>
          <w:color w:val="000000" w:themeColor="text1"/>
          <w:sz w:val="24"/>
          <w:szCs w:val="24"/>
        </w:rPr>
        <w:t>Cardiff South East</w:t>
      </w:r>
      <w:r w:rsidR="00B71C93" w:rsidRPr="003C27C1">
        <w:rPr>
          <w:rFonts w:ascii="Arial" w:hAnsi="Arial" w:cs="Arial"/>
          <w:color w:val="000000" w:themeColor="text1"/>
          <w:sz w:val="24"/>
          <w:szCs w:val="24"/>
        </w:rPr>
        <w:t xml:space="preserve"> cluster</w:t>
      </w:r>
    </w:p>
    <w:p w14:paraId="4A3DEAC4" w14:textId="5FC57D8C" w:rsidR="00B71C93" w:rsidRPr="003C27C1" w:rsidRDefault="00851F72"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3C27C1">
        <w:rPr>
          <w:rFonts w:ascii="Arial" w:hAnsi="Arial" w:cs="Arial"/>
          <w:color w:val="000000" w:themeColor="text1"/>
          <w:sz w:val="24"/>
          <w:szCs w:val="24"/>
        </w:rPr>
        <w:t>3.9</w:t>
      </w:r>
      <w:r w:rsidR="00B71C93" w:rsidRPr="003C27C1">
        <w:rPr>
          <w:rFonts w:ascii="Arial" w:hAnsi="Arial" w:cs="Arial"/>
          <w:color w:val="000000" w:themeColor="text1"/>
          <w:sz w:val="24"/>
          <w:szCs w:val="24"/>
        </w:rPr>
        <w:t xml:space="preserve">% by pharmacies in </w:t>
      </w:r>
      <w:r w:rsidR="00EA6113" w:rsidRPr="003C27C1">
        <w:rPr>
          <w:rFonts w:ascii="Arial" w:hAnsi="Arial" w:cs="Arial"/>
          <w:color w:val="000000" w:themeColor="text1"/>
          <w:sz w:val="24"/>
          <w:szCs w:val="24"/>
        </w:rPr>
        <w:t>Cardiff City &amp; South</w:t>
      </w:r>
      <w:r w:rsidR="00B71C93" w:rsidRPr="003C27C1">
        <w:rPr>
          <w:rFonts w:ascii="Arial" w:hAnsi="Arial" w:cs="Arial"/>
          <w:color w:val="000000" w:themeColor="text1"/>
          <w:sz w:val="24"/>
          <w:szCs w:val="24"/>
        </w:rPr>
        <w:t xml:space="preserve"> cluster</w:t>
      </w:r>
    </w:p>
    <w:p w14:paraId="366E53BA" w14:textId="1012CAEF" w:rsidR="00D21623" w:rsidRPr="003C27C1" w:rsidRDefault="00D21623"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3C27C1">
        <w:rPr>
          <w:rFonts w:ascii="Arial" w:hAnsi="Arial" w:cs="Arial"/>
          <w:color w:val="000000" w:themeColor="text1"/>
          <w:sz w:val="24"/>
          <w:szCs w:val="24"/>
        </w:rPr>
        <w:lastRenderedPageBreak/>
        <w:t>0.9% by pharmacies in Cardiff West cluster</w:t>
      </w:r>
    </w:p>
    <w:p w14:paraId="1B69960F" w14:textId="17EB9255" w:rsidR="00851F72" w:rsidRPr="003C27C1" w:rsidRDefault="00851F72"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3C27C1">
        <w:rPr>
          <w:rFonts w:ascii="Arial" w:hAnsi="Arial" w:cs="Arial"/>
          <w:color w:val="000000" w:themeColor="text1"/>
          <w:sz w:val="24"/>
          <w:szCs w:val="24"/>
        </w:rPr>
        <w:t xml:space="preserve">0.1% by pharmacies </w:t>
      </w:r>
      <w:r w:rsidR="001B5B54" w:rsidRPr="003C27C1">
        <w:rPr>
          <w:rFonts w:ascii="Arial" w:hAnsi="Arial" w:cs="Arial"/>
          <w:color w:val="000000" w:themeColor="text1"/>
          <w:sz w:val="24"/>
          <w:szCs w:val="24"/>
        </w:rPr>
        <w:t>i</w:t>
      </w:r>
      <w:r w:rsidRPr="003C27C1">
        <w:rPr>
          <w:rFonts w:ascii="Arial" w:hAnsi="Arial" w:cs="Arial"/>
          <w:color w:val="000000" w:themeColor="text1"/>
          <w:sz w:val="24"/>
          <w:szCs w:val="24"/>
        </w:rPr>
        <w:t>n Cardiff South West cluster</w:t>
      </w:r>
    </w:p>
    <w:p w14:paraId="4464363F" w14:textId="2A670F4C" w:rsidR="00B71C93" w:rsidRPr="003C27C1" w:rsidRDefault="00774BAC"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3C27C1">
        <w:rPr>
          <w:rFonts w:ascii="Arial" w:hAnsi="Arial" w:cs="Arial"/>
          <w:color w:val="000000" w:themeColor="text1"/>
          <w:sz w:val="24"/>
          <w:szCs w:val="24"/>
        </w:rPr>
        <w:t>2.4</w:t>
      </w:r>
      <w:r w:rsidR="00B71C93" w:rsidRPr="003C27C1">
        <w:rPr>
          <w:rFonts w:ascii="Arial" w:hAnsi="Arial" w:cs="Arial"/>
          <w:color w:val="000000" w:themeColor="text1"/>
          <w:sz w:val="24"/>
          <w:szCs w:val="24"/>
        </w:rPr>
        <w:t xml:space="preserve">% in </w:t>
      </w:r>
      <w:r w:rsidRPr="003C27C1">
        <w:rPr>
          <w:rFonts w:ascii="Arial" w:hAnsi="Arial" w:cs="Arial"/>
          <w:color w:val="000000" w:themeColor="text1"/>
          <w:sz w:val="24"/>
          <w:szCs w:val="24"/>
        </w:rPr>
        <w:t xml:space="preserve">Aneurin Bevan </w:t>
      </w:r>
      <w:r w:rsidR="00B71C93" w:rsidRPr="003C27C1">
        <w:rPr>
          <w:rFonts w:ascii="Arial" w:hAnsi="Arial" w:cs="Arial"/>
          <w:color w:val="000000" w:themeColor="text1"/>
          <w:sz w:val="24"/>
          <w:szCs w:val="24"/>
        </w:rPr>
        <w:t>University Health Board</w:t>
      </w:r>
    </w:p>
    <w:p w14:paraId="4EC299BF" w14:textId="70F08206" w:rsidR="00774BAC" w:rsidRPr="003C27C1" w:rsidRDefault="00774BAC" w:rsidP="00DC54F7">
      <w:pPr>
        <w:pStyle w:val="ListParagraph"/>
        <w:numPr>
          <w:ilvl w:val="0"/>
          <w:numId w:val="143"/>
        </w:numPr>
        <w:spacing w:after="0" w:line="240" w:lineRule="auto"/>
        <w:jc w:val="both"/>
        <w:rPr>
          <w:rFonts w:ascii="Arial" w:eastAsia="Times New Roman" w:hAnsi="Arial" w:cs="Arial"/>
          <w:color w:val="000000"/>
          <w:sz w:val="24"/>
          <w:szCs w:val="24"/>
          <w:lang w:eastAsia="en-GB"/>
        </w:rPr>
      </w:pPr>
      <w:r w:rsidRPr="003C27C1">
        <w:rPr>
          <w:rFonts w:ascii="Arial" w:hAnsi="Arial" w:cs="Arial"/>
          <w:color w:val="000000" w:themeColor="text1"/>
          <w:sz w:val="24"/>
          <w:szCs w:val="24"/>
        </w:rPr>
        <w:t xml:space="preserve">0.2% in </w:t>
      </w:r>
      <w:r w:rsidRPr="003C27C1">
        <w:rPr>
          <w:rFonts w:ascii="Arial" w:eastAsia="Times New Roman" w:hAnsi="Arial" w:cs="Arial"/>
          <w:color w:val="000000"/>
          <w:sz w:val="24"/>
          <w:szCs w:val="24"/>
          <w:lang w:eastAsia="en-GB"/>
        </w:rPr>
        <w:t>Cwm Taf Morgannwg University Health Board</w:t>
      </w:r>
    </w:p>
    <w:p w14:paraId="5381EEF2" w14:textId="77777777" w:rsidR="00B71C93" w:rsidRPr="003C27C1" w:rsidRDefault="00B71C93"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3C27C1">
        <w:rPr>
          <w:rFonts w:ascii="Arial" w:hAnsi="Arial" w:cs="Arial"/>
          <w:color w:val="000000" w:themeColor="text1"/>
          <w:sz w:val="24"/>
          <w:szCs w:val="24"/>
        </w:rPr>
        <w:t>0.1% in Swansea Bay University Health Board</w:t>
      </w:r>
    </w:p>
    <w:p w14:paraId="3AB88E82" w14:textId="402A4E53" w:rsidR="00B71C93" w:rsidRPr="003C27C1" w:rsidRDefault="00B71C93"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3C27C1">
        <w:rPr>
          <w:rFonts w:ascii="Arial" w:hAnsi="Arial" w:cs="Arial"/>
          <w:color w:val="000000" w:themeColor="text1"/>
          <w:sz w:val="24"/>
          <w:szCs w:val="24"/>
        </w:rPr>
        <w:t>0.</w:t>
      </w:r>
      <w:r w:rsidR="004F6CA8" w:rsidRPr="003C27C1">
        <w:rPr>
          <w:rFonts w:ascii="Arial" w:hAnsi="Arial" w:cs="Arial"/>
          <w:color w:val="000000" w:themeColor="text1"/>
          <w:sz w:val="24"/>
          <w:szCs w:val="24"/>
        </w:rPr>
        <w:t>6</w:t>
      </w:r>
      <w:r w:rsidRPr="003C27C1">
        <w:rPr>
          <w:rFonts w:ascii="Arial" w:hAnsi="Arial" w:cs="Arial"/>
          <w:color w:val="000000" w:themeColor="text1"/>
          <w:sz w:val="24"/>
          <w:szCs w:val="24"/>
        </w:rPr>
        <w:t>% by contractors in England</w:t>
      </w:r>
    </w:p>
    <w:p w14:paraId="5B628B82" w14:textId="6E8EEA51" w:rsidR="00EA6113" w:rsidRPr="003C27C1" w:rsidRDefault="00EA6113" w:rsidP="00DC54F7">
      <w:pPr>
        <w:shd w:val="clear" w:color="auto" w:fill="FFFFFF"/>
        <w:spacing w:after="0" w:line="240" w:lineRule="auto"/>
        <w:jc w:val="both"/>
        <w:rPr>
          <w:rFonts w:ascii="Arial" w:hAnsi="Arial" w:cs="Arial"/>
          <w:color w:val="000000" w:themeColor="text1"/>
          <w:sz w:val="24"/>
          <w:szCs w:val="24"/>
        </w:rPr>
      </w:pPr>
    </w:p>
    <w:p w14:paraId="10941811" w14:textId="77777777" w:rsidR="00B71C93" w:rsidRPr="003C27C1" w:rsidRDefault="00B71C93" w:rsidP="00DC54F7">
      <w:pPr>
        <w:shd w:val="clear" w:color="auto" w:fill="FFFFFF"/>
        <w:spacing w:after="0" w:line="240" w:lineRule="auto"/>
        <w:jc w:val="both"/>
        <w:rPr>
          <w:rFonts w:ascii="Arial" w:hAnsi="Arial" w:cs="Arial"/>
          <w:sz w:val="24"/>
          <w:szCs w:val="24"/>
        </w:rPr>
      </w:pPr>
      <w:r w:rsidRPr="003C27C1">
        <w:rPr>
          <w:rFonts w:ascii="Arial" w:hAnsi="Arial" w:cs="Arial"/>
          <w:sz w:val="24"/>
          <w:szCs w:val="24"/>
        </w:rPr>
        <w:t>In addition, residents may have accessed one or more pharmaceutical services provided by another pharmacy outside of both the cluster and the health board’s area; however, it is not possible to quantify this activity from the recorded data.</w:t>
      </w:r>
    </w:p>
    <w:p w14:paraId="1C6BF82E" w14:textId="77777777" w:rsidR="00B71C93" w:rsidRPr="003C27C1" w:rsidRDefault="00B71C93" w:rsidP="00DC54F7">
      <w:pPr>
        <w:shd w:val="clear" w:color="auto" w:fill="FFFFFF"/>
        <w:spacing w:after="0" w:line="240" w:lineRule="auto"/>
        <w:jc w:val="both"/>
        <w:rPr>
          <w:rFonts w:ascii="Arial" w:hAnsi="Arial" w:cs="Arial"/>
          <w:sz w:val="24"/>
          <w:szCs w:val="24"/>
        </w:rPr>
      </w:pPr>
      <w:r w:rsidRPr="003C27C1">
        <w:rPr>
          <w:rFonts w:ascii="Arial" w:hAnsi="Arial" w:cs="Arial"/>
          <w:sz w:val="24"/>
          <w:szCs w:val="24"/>
        </w:rPr>
        <w:t> </w:t>
      </w:r>
    </w:p>
    <w:p w14:paraId="751CB26E" w14:textId="26D87DC3" w:rsidR="00B71C93" w:rsidRPr="003C27C1" w:rsidRDefault="00B71C93" w:rsidP="00DC54F7">
      <w:pPr>
        <w:spacing w:after="0" w:line="240" w:lineRule="auto"/>
        <w:jc w:val="both"/>
        <w:rPr>
          <w:rFonts w:ascii="Arial" w:hAnsi="Arial" w:cs="Arial"/>
          <w:sz w:val="24"/>
          <w:szCs w:val="24"/>
          <w:lang w:val="en-US"/>
        </w:rPr>
      </w:pPr>
      <w:r w:rsidRPr="003C27C1">
        <w:rPr>
          <w:rFonts w:ascii="Arial" w:hAnsi="Arial" w:cs="Arial"/>
          <w:sz w:val="24"/>
          <w:szCs w:val="24"/>
          <w:lang w:val="en-US"/>
        </w:rPr>
        <w:t xml:space="preserve">Taking into account pharmacies in the neighbouring clusters and pharmacies over the border in other health board areas in Wales, all residents in the cluster of </w:t>
      </w:r>
      <w:r w:rsidR="008B2229" w:rsidRPr="003C27C1">
        <w:rPr>
          <w:rFonts w:ascii="Arial" w:hAnsi="Arial" w:cs="Arial"/>
          <w:sz w:val="24"/>
          <w:szCs w:val="24"/>
          <w:lang w:val="en-US"/>
        </w:rPr>
        <w:t xml:space="preserve">Cardiff </w:t>
      </w:r>
      <w:r w:rsidRPr="003C27C1">
        <w:rPr>
          <w:rFonts w:ascii="Arial" w:hAnsi="Arial" w:cs="Arial"/>
          <w:sz w:val="24"/>
          <w:szCs w:val="24"/>
          <w:lang w:val="en-US"/>
        </w:rPr>
        <w:t>East can access a pharmacy by car within 1</w:t>
      </w:r>
      <w:r w:rsidR="006E6CDD" w:rsidRPr="003C27C1">
        <w:rPr>
          <w:rFonts w:ascii="Arial" w:hAnsi="Arial" w:cs="Arial"/>
          <w:sz w:val="24"/>
          <w:szCs w:val="24"/>
          <w:lang w:val="en-US"/>
        </w:rPr>
        <w:t>0</w:t>
      </w:r>
      <w:r w:rsidRPr="003C27C1">
        <w:rPr>
          <w:rFonts w:ascii="Arial" w:hAnsi="Arial" w:cs="Arial"/>
          <w:sz w:val="24"/>
          <w:szCs w:val="24"/>
          <w:lang w:val="en-US"/>
        </w:rPr>
        <w:t xml:space="preserve"> minutes and the majority can access a pharmacy by car within </w:t>
      </w:r>
      <w:r w:rsidR="00997F15" w:rsidRPr="003C27C1">
        <w:rPr>
          <w:rFonts w:ascii="Arial" w:hAnsi="Arial" w:cs="Arial"/>
          <w:sz w:val="24"/>
          <w:szCs w:val="24"/>
          <w:lang w:val="en-US"/>
        </w:rPr>
        <w:t>five minutes</w:t>
      </w:r>
      <w:r w:rsidRPr="003C27C1">
        <w:rPr>
          <w:rFonts w:ascii="Arial" w:hAnsi="Arial" w:cs="Arial"/>
          <w:sz w:val="24"/>
          <w:szCs w:val="24"/>
          <w:lang w:val="en-US"/>
        </w:rPr>
        <w:t xml:space="preserve">. </w:t>
      </w:r>
    </w:p>
    <w:p w14:paraId="629BD3E8" w14:textId="7C3614C0" w:rsidR="00B71C93" w:rsidRDefault="00B71C93" w:rsidP="00DC54F7">
      <w:pPr>
        <w:spacing w:after="0" w:line="240" w:lineRule="auto"/>
        <w:jc w:val="both"/>
        <w:rPr>
          <w:rFonts w:ascii="Arial" w:hAnsi="Arial" w:cs="Arial"/>
          <w:lang w:val="en-US"/>
        </w:rPr>
      </w:pPr>
    </w:p>
    <w:p w14:paraId="41C6F439" w14:textId="77777777" w:rsidR="0055355D" w:rsidRDefault="0055355D" w:rsidP="00DC54F7">
      <w:pPr>
        <w:spacing w:after="0" w:line="240" w:lineRule="auto"/>
        <w:jc w:val="both"/>
        <w:rPr>
          <w:rFonts w:ascii="Arial" w:hAnsi="Arial" w:cs="Arial"/>
          <w:lang w:val="en-US"/>
        </w:rPr>
      </w:pPr>
    </w:p>
    <w:p w14:paraId="6D69BA6E" w14:textId="77777777" w:rsidR="002409F1" w:rsidRPr="00A10850" w:rsidRDefault="006B7D30" w:rsidP="00DC54F7">
      <w:pPr>
        <w:spacing w:after="0" w:line="240" w:lineRule="auto"/>
        <w:jc w:val="both"/>
        <w:rPr>
          <w:rFonts w:ascii="Arial" w:hAnsi="Arial" w:cs="Arial"/>
          <w:b/>
          <w:sz w:val="26"/>
          <w:szCs w:val="26"/>
          <w:lang w:val="en-US"/>
        </w:rPr>
      </w:pPr>
      <w:r w:rsidRPr="00A10850">
        <w:rPr>
          <w:rFonts w:ascii="Arial" w:hAnsi="Arial" w:cs="Arial"/>
          <w:b/>
          <w:sz w:val="26"/>
          <w:szCs w:val="26"/>
          <w:lang w:val="en-US"/>
        </w:rPr>
        <w:t>8</w:t>
      </w:r>
      <w:r w:rsidR="00F937AF" w:rsidRPr="00A10850">
        <w:rPr>
          <w:rFonts w:ascii="Arial" w:hAnsi="Arial" w:cs="Arial"/>
          <w:b/>
          <w:sz w:val="26"/>
          <w:szCs w:val="26"/>
          <w:lang w:val="en-US"/>
        </w:rPr>
        <w:t>.4</w:t>
      </w:r>
      <w:r w:rsidR="002409F1" w:rsidRPr="00A10850">
        <w:rPr>
          <w:rFonts w:ascii="Arial" w:hAnsi="Arial" w:cs="Arial"/>
          <w:b/>
          <w:sz w:val="26"/>
          <w:szCs w:val="26"/>
          <w:lang w:val="en-US"/>
        </w:rPr>
        <w:t xml:space="preserve"> Other NHS services</w:t>
      </w:r>
    </w:p>
    <w:p w14:paraId="762FE5B8" w14:textId="77777777" w:rsidR="00882445" w:rsidRDefault="00882445" w:rsidP="00DC54F7">
      <w:pPr>
        <w:spacing w:after="0" w:line="240" w:lineRule="auto"/>
        <w:jc w:val="both"/>
        <w:rPr>
          <w:rFonts w:ascii="Arial" w:hAnsi="Arial" w:cs="Arial"/>
        </w:rPr>
      </w:pPr>
    </w:p>
    <w:p w14:paraId="127E1750" w14:textId="7D45B4A4" w:rsidR="00882445" w:rsidRPr="0055355D" w:rsidRDefault="00882445" w:rsidP="00DC54F7">
      <w:pPr>
        <w:spacing w:after="0" w:line="240" w:lineRule="auto"/>
        <w:jc w:val="both"/>
        <w:rPr>
          <w:rFonts w:ascii="Arial" w:hAnsi="Arial" w:cs="Arial"/>
          <w:sz w:val="24"/>
          <w:szCs w:val="24"/>
        </w:rPr>
      </w:pPr>
      <w:r w:rsidRPr="0055355D">
        <w:rPr>
          <w:rFonts w:ascii="Arial" w:hAnsi="Arial" w:cs="Arial"/>
          <w:sz w:val="24"/>
          <w:szCs w:val="24"/>
        </w:rPr>
        <w:t>No other key NHS services were identified within this cluster.</w:t>
      </w:r>
    </w:p>
    <w:p w14:paraId="0C21F4FE" w14:textId="77777777" w:rsidR="00C740E0" w:rsidRPr="00A10850" w:rsidRDefault="00C740E0" w:rsidP="00DC54F7">
      <w:pPr>
        <w:spacing w:after="0" w:line="240" w:lineRule="auto"/>
        <w:jc w:val="both"/>
        <w:rPr>
          <w:rFonts w:ascii="Arial" w:hAnsi="Arial" w:cs="Arial"/>
          <w:lang w:val="en-US"/>
        </w:rPr>
      </w:pPr>
    </w:p>
    <w:p w14:paraId="2A1C79A1" w14:textId="77777777" w:rsidR="00F937AF" w:rsidRPr="00A10850" w:rsidRDefault="00F937AF" w:rsidP="00DC54F7">
      <w:pPr>
        <w:spacing w:after="0" w:line="240" w:lineRule="auto"/>
        <w:jc w:val="both"/>
        <w:rPr>
          <w:rFonts w:ascii="Arial" w:hAnsi="Arial" w:cs="Arial"/>
        </w:rPr>
      </w:pPr>
    </w:p>
    <w:p w14:paraId="2172E331" w14:textId="77777777" w:rsidR="002409F1" w:rsidRPr="00A10850" w:rsidRDefault="006B7D30" w:rsidP="00DC54F7">
      <w:pPr>
        <w:spacing w:after="0" w:line="240" w:lineRule="auto"/>
        <w:jc w:val="both"/>
        <w:rPr>
          <w:rFonts w:ascii="Arial" w:hAnsi="Arial" w:cs="Arial"/>
          <w:b/>
          <w:sz w:val="26"/>
          <w:szCs w:val="26"/>
          <w:lang w:val="en-US"/>
        </w:rPr>
      </w:pPr>
      <w:r w:rsidRPr="00A10850">
        <w:rPr>
          <w:rFonts w:ascii="Arial" w:hAnsi="Arial" w:cs="Arial"/>
          <w:b/>
          <w:sz w:val="26"/>
          <w:szCs w:val="26"/>
          <w:lang w:val="en-US"/>
        </w:rPr>
        <w:t>8</w:t>
      </w:r>
      <w:r w:rsidR="00F937AF" w:rsidRPr="00A10850">
        <w:rPr>
          <w:rFonts w:ascii="Arial" w:hAnsi="Arial" w:cs="Arial"/>
          <w:b/>
          <w:sz w:val="26"/>
          <w:szCs w:val="26"/>
          <w:lang w:val="en-US"/>
        </w:rPr>
        <w:t>.5</w:t>
      </w:r>
      <w:r w:rsidR="002409F1" w:rsidRPr="00A10850">
        <w:rPr>
          <w:rFonts w:ascii="Arial" w:hAnsi="Arial" w:cs="Arial"/>
          <w:b/>
          <w:sz w:val="26"/>
          <w:szCs w:val="26"/>
          <w:lang w:val="en-US"/>
        </w:rPr>
        <w:t xml:space="preserve"> Choice with regard to obtaining pharmaceutical services</w:t>
      </w:r>
    </w:p>
    <w:p w14:paraId="4F829023" w14:textId="77777777" w:rsidR="00046CAE" w:rsidRPr="00A10850" w:rsidRDefault="00046CAE" w:rsidP="00DC54F7">
      <w:pPr>
        <w:spacing w:after="0" w:line="240" w:lineRule="auto"/>
        <w:jc w:val="both"/>
        <w:rPr>
          <w:rFonts w:ascii="Arial" w:hAnsi="Arial" w:cs="Arial"/>
          <w:lang w:val="en-US"/>
        </w:rPr>
      </w:pPr>
    </w:p>
    <w:p w14:paraId="693987C0" w14:textId="77777777" w:rsidR="0092413D" w:rsidRPr="0055355D" w:rsidRDefault="0092413D" w:rsidP="00DC54F7">
      <w:pPr>
        <w:spacing w:after="0" w:line="240" w:lineRule="auto"/>
        <w:jc w:val="both"/>
        <w:rPr>
          <w:rFonts w:ascii="Arial" w:hAnsi="Arial" w:cs="Arial"/>
          <w:sz w:val="24"/>
          <w:szCs w:val="24"/>
          <w:lang w:val="en-US"/>
        </w:rPr>
      </w:pPr>
      <w:r w:rsidRPr="0055355D">
        <w:rPr>
          <w:rFonts w:ascii="Arial" w:hAnsi="Arial" w:cs="Arial"/>
          <w:sz w:val="24"/>
          <w:szCs w:val="24"/>
          <w:lang w:val="en-US"/>
        </w:rPr>
        <w:t xml:space="preserve">As can be seen from sections 8.2 and 8.3, those living within the cluster area and registered with one of the GP practices generally choose to access one of the pharmacies in the cluster in order to have their prescriptions dispensed. Those that look outside the cluster usually do so to access a neighbouring pharmacy within the health board’s area. A minority choose to have their prescription dispensed by a pharmacy or an appliance contractor outside of the health board’s area.  </w:t>
      </w:r>
    </w:p>
    <w:p w14:paraId="5F19AE55" w14:textId="77777777" w:rsidR="0092413D" w:rsidRPr="0055355D" w:rsidRDefault="0092413D" w:rsidP="00DC54F7">
      <w:pPr>
        <w:spacing w:after="0" w:line="240" w:lineRule="auto"/>
        <w:jc w:val="both"/>
        <w:rPr>
          <w:rFonts w:ascii="Arial" w:hAnsi="Arial" w:cs="Arial"/>
          <w:sz w:val="24"/>
          <w:szCs w:val="24"/>
          <w:lang w:val="en-US"/>
        </w:rPr>
      </w:pPr>
    </w:p>
    <w:p w14:paraId="7741EE0F" w14:textId="5325B40B" w:rsidR="0092413D" w:rsidRPr="00546E20" w:rsidRDefault="0092413D" w:rsidP="00DC54F7">
      <w:pPr>
        <w:spacing w:after="0" w:line="240" w:lineRule="auto"/>
        <w:jc w:val="both"/>
        <w:rPr>
          <w:rFonts w:ascii="Calibri" w:eastAsia="Times New Roman" w:hAnsi="Calibri" w:cs="Calibri"/>
          <w:color w:val="000000"/>
          <w:lang w:eastAsia="en-GB"/>
        </w:rPr>
      </w:pPr>
      <w:r w:rsidRPr="0055355D">
        <w:rPr>
          <w:rFonts w:ascii="Arial" w:hAnsi="Arial" w:cs="Arial"/>
          <w:sz w:val="24"/>
          <w:szCs w:val="24"/>
          <w:lang w:val="en-US"/>
        </w:rPr>
        <w:t>A total of 3</w:t>
      </w:r>
      <w:r w:rsidR="00927AB7" w:rsidRPr="0055355D">
        <w:rPr>
          <w:rFonts w:ascii="Arial" w:hAnsi="Arial" w:cs="Arial"/>
          <w:sz w:val="24"/>
          <w:szCs w:val="24"/>
          <w:lang w:val="en-US"/>
        </w:rPr>
        <w:t>88</w:t>
      </w:r>
      <w:r w:rsidRPr="0055355D">
        <w:rPr>
          <w:rFonts w:ascii="Arial" w:hAnsi="Arial" w:cs="Arial"/>
          <w:sz w:val="24"/>
          <w:szCs w:val="24"/>
          <w:lang w:val="en-US"/>
        </w:rPr>
        <w:t xml:space="preserve"> </w:t>
      </w:r>
      <w:r w:rsidR="009468C6" w:rsidRPr="0055355D">
        <w:rPr>
          <w:rFonts w:ascii="Arial" w:hAnsi="Arial" w:cs="Arial"/>
          <w:sz w:val="24"/>
          <w:szCs w:val="24"/>
          <w:lang w:val="en-US"/>
        </w:rPr>
        <w:t xml:space="preserve">pharmacy </w:t>
      </w:r>
      <w:r w:rsidRPr="0055355D">
        <w:rPr>
          <w:rFonts w:ascii="Arial" w:hAnsi="Arial" w:cs="Arial"/>
          <w:sz w:val="24"/>
          <w:szCs w:val="24"/>
          <w:lang w:val="en-US"/>
        </w:rPr>
        <w:t xml:space="preserve">contractors that were trading in Wales during 2019 to 2020, dispensed items written by one of the GP practices in the </w:t>
      </w:r>
      <w:r w:rsidR="00220A1E" w:rsidRPr="0055355D">
        <w:rPr>
          <w:rFonts w:ascii="Arial" w:hAnsi="Arial" w:cs="Arial"/>
          <w:sz w:val="24"/>
          <w:szCs w:val="24"/>
          <w:lang w:val="en-US"/>
        </w:rPr>
        <w:t xml:space="preserve">Cardiff </w:t>
      </w:r>
      <w:r w:rsidRPr="0055355D">
        <w:rPr>
          <w:rFonts w:ascii="Arial" w:hAnsi="Arial" w:cs="Arial"/>
          <w:sz w:val="24"/>
          <w:szCs w:val="24"/>
          <w:lang w:val="en-US"/>
        </w:rPr>
        <w:t xml:space="preserve">East cluster, of which </w:t>
      </w:r>
      <w:r w:rsidR="00A0380A" w:rsidRPr="0055355D">
        <w:rPr>
          <w:rFonts w:ascii="Arial" w:hAnsi="Arial" w:cs="Arial"/>
          <w:sz w:val="24"/>
          <w:szCs w:val="24"/>
          <w:lang w:val="en-US"/>
        </w:rPr>
        <w:t>281</w:t>
      </w:r>
      <w:r w:rsidRPr="0055355D">
        <w:rPr>
          <w:rFonts w:ascii="Arial" w:hAnsi="Arial" w:cs="Arial"/>
          <w:sz w:val="24"/>
          <w:szCs w:val="24"/>
          <w:lang w:val="en-US"/>
        </w:rPr>
        <w:t xml:space="preserve"> were outside of the health board’s area</w:t>
      </w:r>
      <w:r w:rsidRPr="0055355D">
        <w:rPr>
          <w:rFonts w:ascii="Arial" w:hAnsi="Arial" w:cs="Arial"/>
          <w:b/>
          <w:bCs/>
          <w:sz w:val="24"/>
          <w:szCs w:val="24"/>
          <w:lang w:val="en-US"/>
        </w:rPr>
        <w:t xml:space="preserve">. </w:t>
      </w:r>
      <w:r w:rsidR="00546E20" w:rsidRPr="0055355D">
        <w:rPr>
          <w:rFonts w:ascii="Arial" w:hAnsi="Arial" w:cs="Arial"/>
          <w:sz w:val="24"/>
          <w:szCs w:val="24"/>
          <w:lang w:val="en-US"/>
        </w:rPr>
        <w:t xml:space="preserve">8,033 </w:t>
      </w:r>
      <w:r w:rsidRPr="0055355D">
        <w:rPr>
          <w:rFonts w:ascii="Arial" w:hAnsi="Arial" w:cs="Arial"/>
          <w:sz w:val="24"/>
          <w:szCs w:val="24"/>
          <w:lang w:val="en-US"/>
        </w:rPr>
        <w:t>prescription items were dispensed in England</w:t>
      </w:r>
      <w:r>
        <w:rPr>
          <w:rFonts w:ascii="Arial" w:hAnsi="Arial" w:cs="Arial"/>
          <w:lang w:val="en-US"/>
        </w:rPr>
        <w:t xml:space="preserve">. </w:t>
      </w:r>
    </w:p>
    <w:p w14:paraId="6456C764" w14:textId="77777777" w:rsidR="008B5C45" w:rsidRPr="00A10850" w:rsidRDefault="008B5C45" w:rsidP="00DC54F7">
      <w:pPr>
        <w:spacing w:after="0" w:line="240" w:lineRule="auto"/>
        <w:jc w:val="both"/>
        <w:rPr>
          <w:rFonts w:ascii="Arial" w:hAnsi="Arial" w:cs="Arial"/>
          <w:lang w:val="en-US"/>
        </w:rPr>
      </w:pPr>
    </w:p>
    <w:p w14:paraId="5865ECCC" w14:textId="77777777" w:rsidR="004526EF" w:rsidRDefault="004526EF" w:rsidP="00DC54F7">
      <w:pPr>
        <w:spacing w:after="0" w:line="240" w:lineRule="auto"/>
        <w:jc w:val="both"/>
        <w:rPr>
          <w:rFonts w:ascii="Arial" w:hAnsi="Arial" w:cs="Arial"/>
          <w:b/>
          <w:sz w:val="26"/>
          <w:szCs w:val="26"/>
          <w:lang w:val="en-US"/>
        </w:rPr>
      </w:pPr>
    </w:p>
    <w:p w14:paraId="36030E6D" w14:textId="25CC519D" w:rsidR="002409F1" w:rsidRPr="00A10850" w:rsidRDefault="006B7D30" w:rsidP="00DC54F7">
      <w:pPr>
        <w:spacing w:after="0" w:line="240" w:lineRule="auto"/>
        <w:jc w:val="both"/>
        <w:rPr>
          <w:rFonts w:ascii="Arial" w:hAnsi="Arial" w:cs="Arial"/>
          <w:b/>
          <w:sz w:val="26"/>
          <w:szCs w:val="26"/>
          <w:lang w:val="en-US"/>
        </w:rPr>
      </w:pPr>
      <w:r w:rsidRPr="00A10850">
        <w:rPr>
          <w:rFonts w:ascii="Arial" w:hAnsi="Arial" w:cs="Arial"/>
          <w:b/>
          <w:sz w:val="26"/>
          <w:szCs w:val="26"/>
          <w:lang w:val="en-US"/>
        </w:rPr>
        <w:t>8</w:t>
      </w:r>
      <w:r w:rsidR="002409F1" w:rsidRPr="00A10850">
        <w:rPr>
          <w:rFonts w:ascii="Arial" w:hAnsi="Arial" w:cs="Arial"/>
          <w:b/>
          <w:sz w:val="26"/>
          <w:szCs w:val="26"/>
          <w:lang w:val="en-US"/>
        </w:rPr>
        <w:t>.</w:t>
      </w:r>
      <w:r w:rsidR="00F937AF" w:rsidRPr="00A10850">
        <w:rPr>
          <w:rFonts w:ascii="Arial" w:hAnsi="Arial" w:cs="Arial"/>
          <w:b/>
          <w:sz w:val="26"/>
          <w:szCs w:val="26"/>
          <w:lang w:val="en-US"/>
        </w:rPr>
        <w:t>6</w:t>
      </w:r>
      <w:r w:rsidR="002409F1" w:rsidRPr="00A10850">
        <w:rPr>
          <w:rFonts w:ascii="Arial" w:hAnsi="Arial" w:cs="Arial"/>
          <w:b/>
          <w:sz w:val="26"/>
          <w:szCs w:val="26"/>
          <w:lang w:val="en-US"/>
        </w:rPr>
        <w:t xml:space="preserve"> </w:t>
      </w:r>
      <w:r w:rsidR="00F937AF" w:rsidRPr="00A10850">
        <w:rPr>
          <w:rFonts w:ascii="Arial" w:hAnsi="Arial" w:cs="Arial"/>
          <w:b/>
          <w:sz w:val="26"/>
          <w:szCs w:val="26"/>
          <w:lang w:val="en-US"/>
        </w:rPr>
        <w:t>G</w:t>
      </w:r>
      <w:r w:rsidR="002409F1" w:rsidRPr="00A10850">
        <w:rPr>
          <w:rFonts w:ascii="Arial" w:hAnsi="Arial" w:cs="Arial"/>
          <w:b/>
          <w:sz w:val="26"/>
          <w:szCs w:val="26"/>
          <w:lang w:val="en-US"/>
        </w:rPr>
        <w:t>aps in provision</w:t>
      </w:r>
    </w:p>
    <w:p w14:paraId="2E4D4DD4" w14:textId="77777777" w:rsidR="008B5C45" w:rsidRPr="00A10850" w:rsidRDefault="008B5C45" w:rsidP="00DC54F7">
      <w:pPr>
        <w:spacing w:after="0" w:line="240" w:lineRule="auto"/>
        <w:jc w:val="both"/>
        <w:rPr>
          <w:rFonts w:ascii="Arial" w:hAnsi="Arial" w:cs="Arial"/>
          <w:lang w:val="en-US"/>
        </w:rPr>
      </w:pPr>
    </w:p>
    <w:p w14:paraId="2B75AABA" w14:textId="2FD054BB" w:rsidR="00BB6B73" w:rsidRPr="00AA20DA" w:rsidRDefault="00BB6B73" w:rsidP="00DC54F7">
      <w:pPr>
        <w:spacing w:after="0" w:line="240" w:lineRule="auto"/>
        <w:jc w:val="both"/>
        <w:rPr>
          <w:rFonts w:ascii="Arial" w:hAnsi="Arial" w:cs="Arial"/>
          <w:sz w:val="24"/>
          <w:szCs w:val="24"/>
        </w:rPr>
      </w:pPr>
      <w:r w:rsidRPr="00AA20DA">
        <w:rPr>
          <w:rFonts w:ascii="Arial" w:hAnsi="Arial" w:cs="Arial"/>
          <w:sz w:val="24"/>
          <w:szCs w:val="24"/>
        </w:rPr>
        <w:t xml:space="preserve">The </w:t>
      </w:r>
      <w:r w:rsidRPr="00AA20DA">
        <w:rPr>
          <w:rFonts w:ascii="Arial" w:hAnsi="Arial" w:cs="Arial"/>
          <w:color w:val="000000"/>
          <w:sz w:val="24"/>
          <w:szCs w:val="24"/>
        </w:rPr>
        <w:t>Cardiff and Vale Univ</w:t>
      </w:r>
      <w:r w:rsidR="00CC5FB2" w:rsidRPr="00AA20DA">
        <w:rPr>
          <w:rFonts w:ascii="Arial" w:hAnsi="Arial" w:cs="Arial"/>
          <w:color w:val="000000"/>
          <w:sz w:val="24"/>
          <w:szCs w:val="24"/>
        </w:rPr>
        <w:t>ersity</w:t>
      </w:r>
      <w:r w:rsidRPr="00AA20DA">
        <w:rPr>
          <w:rFonts w:ascii="Arial" w:hAnsi="Arial" w:cs="Arial"/>
          <w:color w:val="000000"/>
          <w:sz w:val="24"/>
          <w:szCs w:val="24"/>
        </w:rPr>
        <w:t xml:space="preserve"> Health Board </w:t>
      </w:r>
      <w:r w:rsidRPr="00AA20DA">
        <w:rPr>
          <w:rFonts w:ascii="Arial" w:hAnsi="Arial" w:cs="Arial"/>
          <w:sz w:val="24"/>
          <w:szCs w:val="24"/>
        </w:rPr>
        <w:t>has noted the location</w:t>
      </w:r>
      <w:r w:rsidR="00CC5FB2" w:rsidRPr="00AA20DA">
        <w:rPr>
          <w:rFonts w:ascii="Arial" w:hAnsi="Arial" w:cs="Arial"/>
          <w:sz w:val="24"/>
          <w:szCs w:val="24"/>
        </w:rPr>
        <w:t>s</w:t>
      </w:r>
      <w:r w:rsidRPr="00AA20DA">
        <w:rPr>
          <w:rFonts w:ascii="Arial" w:hAnsi="Arial" w:cs="Arial"/>
          <w:sz w:val="24"/>
          <w:szCs w:val="24"/>
        </w:rPr>
        <w:t xml:space="preserve"> of pharmacies across the cluster, and the fact that the population can access a pharmacy by car within 1</w:t>
      </w:r>
      <w:r w:rsidR="00CC5FB2" w:rsidRPr="00AA20DA">
        <w:rPr>
          <w:rFonts w:ascii="Arial" w:hAnsi="Arial" w:cs="Arial"/>
          <w:sz w:val="24"/>
          <w:szCs w:val="24"/>
        </w:rPr>
        <w:t>0</w:t>
      </w:r>
      <w:r w:rsidRPr="00AA20DA">
        <w:rPr>
          <w:rFonts w:ascii="Arial" w:hAnsi="Arial" w:cs="Arial"/>
          <w:sz w:val="24"/>
          <w:szCs w:val="24"/>
        </w:rPr>
        <w:t xml:space="preserve"> minutes, with the majority within five minutes. </w:t>
      </w:r>
      <w:r w:rsidR="00906C56" w:rsidRPr="00AA20DA">
        <w:rPr>
          <w:rFonts w:ascii="Arial" w:hAnsi="Arial" w:cs="Arial"/>
          <w:sz w:val="24"/>
          <w:szCs w:val="24"/>
        </w:rPr>
        <w:t xml:space="preserve">However, </w:t>
      </w:r>
      <w:r w:rsidR="00DA7F95" w:rsidRPr="00AA20DA">
        <w:rPr>
          <w:rFonts w:ascii="Arial" w:hAnsi="Arial" w:cs="Arial"/>
          <w:sz w:val="24"/>
          <w:szCs w:val="24"/>
        </w:rPr>
        <w:t xml:space="preserve">some households do not have access to a car </w:t>
      </w:r>
      <w:r w:rsidR="00615E86" w:rsidRPr="00AA20DA">
        <w:rPr>
          <w:rFonts w:ascii="Arial" w:hAnsi="Arial" w:cs="Arial"/>
          <w:sz w:val="24"/>
          <w:szCs w:val="24"/>
        </w:rPr>
        <w:t xml:space="preserve">and may have a longer journey. </w:t>
      </w:r>
      <w:r w:rsidRPr="00AA20DA">
        <w:rPr>
          <w:rFonts w:ascii="Arial" w:hAnsi="Arial" w:cs="Arial"/>
          <w:sz w:val="24"/>
          <w:szCs w:val="24"/>
        </w:rPr>
        <w:t xml:space="preserve">Walking to a pharmacy will be a realistic option for many residents and regular public transport services are available for those who are unable to undertake the whole journey on foot. </w:t>
      </w:r>
    </w:p>
    <w:p w14:paraId="1C135C01" w14:textId="77777777" w:rsidR="00E60FAC" w:rsidRPr="00AA20DA" w:rsidRDefault="00E60FAC" w:rsidP="00DC54F7">
      <w:pPr>
        <w:spacing w:after="0" w:line="240" w:lineRule="auto"/>
        <w:jc w:val="both"/>
        <w:rPr>
          <w:rFonts w:ascii="Arial" w:hAnsi="Arial" w:cs="Arial"/>
          <w:sz w:val="24"/>
          <w:szCs w:val="24"/>
          <w:highlight w:val="yellow"/>
        </w:rPr>
      </w:pPr>
    </w:p>
    <w:p w14:paraId="532C1766" w14:textId="7080E663" w:rsidR="00BB6B73" w:rsidRPr="00AA20DA" w:rsidRDefault="00BB6B73" w:rsidP="00DC54F7">
      <w:pPr>
        <w:spacing w:after="0" w:line="240" w:lineRule="auto"/>
        <w:jc w:val="both"/>
        <w:rPr>
          <w:rFonts w:ascii="Arial" w:hAnsi="Arial" w:cs="Arial"/>
          <w:sz w:val="24"/>
          <w:szCs w:val="24"/>
        </w:rPr>
      </w:pPr>
      <w:r w:rsidRPr="00AA20DA">
        <w:rPr>
          <w:rFonts w:ascii="Arial" w:hAnsi="Arial" w:cs="Arial"/>
          <w:sz w:val="24"/>
          <w:szCs w:val="24"/>
        </w:rPr>
        <w:t xml:space="preserve">The </w:t>
      </w:r>
      <w:r w:rsidRPr="00AA20DA">
        <w:rPr>
          <w:rFonts w:ascii="Arial" w:hAnsi="Arial" w:cs="Arial"/>
          <w:color w:val="000000"/>
          <w:sz w:val="24"/>
          <w:szCs w:val="24"/>
        </w:rPr>
        <w:t>Cardiff and Vale Univer</w:t>
      </w:r>
      <w:r w:rsidR="00CC5FB2" w:rsidRPr="00AA20DA">
        <w:rPr>
          <w:rFonts w:ascii="Arial" w:hAnsi="Arial" w:cs="Arial"/>
          <w:color w:val="000000"/>
          <w:sz w:val="24"/>
          <w:szCs w:val="24"/>
        </w:rPr>
        <w:t>sity</w:t>
      </w:r>
      <w:r w:rsidRPr="00AA20DA">
        <w:rPr>
          <w:rFonts w:ascii="Arial" w:hAnsi="Arial" w:cs="Arial"/>
          <w:color w:val="000000"/>
          <w:sz w:val="24"/>
          <w:szCs w:val="24"/>
        </w:rPr>
        <w:t xml:space="preserve"> Health Board </w:t>
      </w:r>
      <w:r w:rsidRPr="00AA20DA">
        <w:rPr>
          <w:rFonts w:ascii="Arial" w:hAnsi="Arial" w:cs="Arial"/>
          <w:sz w:val="24"/>
          <w:szCs w:val="24"/>
        </w:rPr>
        <w:t xml:space="preserve">has noted the opening hours of the existing pharmacies and is of the opinion that they are sufficient to meet the likely needs of residents in the cluster. The </w:t>
      </w:r>
      <w:r w:rsidRPr="00AA20DA">
        <w:rPr>
          <w:rFonts w:ascii="Arial" w:hAnsi="Arial" w:cs="Arial"/>
          <w:color w:val="000000"/>
          <w:sz w:val="24"/>
          <w:szCs w:val="24"/>
        </w:rPr>
        <w:t>Cardiff and Vale Univer</w:t>
      </w:r>
      <w:r w:rsidR="00CC5FB2" w:rsidRPr="00AA20DA">
        <w:rPr>
          <w:rFonts w:ascii="Arial" w:hAnsi="Arial" w:cs="Arial"/>
          <w:color w:val="000000"/>
          <w:sz w:val="24"/>
          <w:szCs w:val="24"/>
        </w:rPr>
        <w:t>sity</w:t>
      </w:r>
      <w:r w:rsidRPr="00AA20DA">
        <w:rPr>
          <w:rFonts w:ascii="Arial" w:hAnsi="Arial" w:cs="Arial"/>
          <w:color w:val="000000"/>
          <w:sz w:val="24"/>
          <w:szCs w:val="24"/>
        </w:rPr>
        <w:t xml:space="preserve"> Health Board </w:t>
      </w:r>
      <w:r w:rsidRPr="00AA20DA">
        <w:rPr>
          <w:rFonts w:ascii="Arial" w:hAnsi="Arial" w:cs="Arial"/>
          <w:sz w:val="24"/>
          <w:szCs w:val="24"/>
        </w:rPr>
        <w:t xml:space="preserve">has </w:t>
      </w:r>
      <w:r w:rsidRPr="00AA20DA">
        <w:rPr>
          <w:rFonts w:ascii="Arial" w:hAnsi="Arial" w:cs="Arial"/>
          <w:sz w:val="24"/>
          <w:szCs w:val="24"/>
        </w:rPr>
        <w:lastRenderedPageBreak/>
        <w:t>therefore concluded that there are no current needs in relation to the provision of essential services by pharmacies in the cluster.</w:t>
      </w:r>
    </w:p>
    <w:p w14:paraId="14059705" w14:textId="77777777" w:rsidR="00076C83" w:rsidRPr="00AA20DA" w:rsidRDefault="00076C83" w:rsidP="00DC54F7">
      <w:pPr>
        <w:spacing w:after="0" w:line="240" w:lineRule="auto"/>
        <w:jc w:val="both"/>
        <w:rPr>
          <w:rFonts w:ascii="Arial" w:hAnsi="Arial" w:cs="Arial"/>
          <w:sz w:val="24"/>
          <w:szCs w:val="24"/>
        </w:rPr>
      </w:pPr>
    </w:p>
    <w:p w14:paraId="263FEC99" w14:textId="4A917170" w:rsidR="00BB6B73" w:rsidRPr="00AA20DA" w:rsidRDefault="00507769" w:rsidP="00DC54F7">
      <w:pPr>
        <w:spacing w:after="0" w:line="240" w:lineRule="auto"/>
        <w:jc w:val="both"/>
        <w:rPr>
          <w:rFonts w:ascii="Arial" w:hAnsi="Arial" w:cs="Arial"/>
          <w:sz w:val="24"/>
          <w:szCs w:val="24"/>
        </w:rPr>
      </w:pPr>
      <w:r w:rsidRPr="00AA20DA">
        <w:rPr>
          <w:rFonts w:ascii="Arial" w:hAnsi="Arial" w:cs="Arial"/>
          <w:sz w:val="24"/>
          <w:szCs w:val="24"/>
        </w:rPr>
        <w:t xml:space="preserve">The </w:t>
      </w:r>
      <w:r w:rsidRPr="00AA20DA">
        <w:rPr>
          <w:rFonts w:ascii="Arial" w:hAnsi="Arial" w:cs="Arial"/>
          <w:color w:val="000000"/>
          <w:sz w:val="24"/>
          <w:szCs w:val="24"/>
        </w:rPr>
        <w:t xml:space="preserve">Cardiff and Vale University Health Board </w:t>
      </w:r>
      <w:r w:rsidR="003926E1" w:rsidRPr="00AA20DA">
        <w:rPr>
          <w:rFonts w:ascii="Arial" w:hAnsi="Arial" w:cs="Arial"/>
          <w:sz w:val="24"/>
          <w:szCs w:val="24"/>
        </w:rPr>
        <w:t>is also satisfied that</w:t>
      </w:r>
      <w:r w:rsidR="00FB18C7" w:rsidRPr="00AA20DA">
        <w:rPr>
          <w:rFonts w:ascii="Arial" w:hAnsi="Arial" w:cs="Arial"/>
          <w:sz w:val="24"/>
          <w:szCs w:val="24"/>
        </w:rPr>
        <w:t xml:space="preserve"> </w:t>
      </w:r>
      <w:r w:rsidR="003926E1" w:rsidRPr="00AA20DA">
        <w:rPr>
          <w:rFonts w:ascii="Arial" w:hAnsi="Arial" w:cs="Arial"/>
          <w:sz w:val="24"/>
          <w:szCs w:val="24"/>
        </w:rPr>
        <w:t xml:space="preserve">there are no current </w:t>
      </w:r>
      <w:r w:rsidR="00FB18C7" w:rsidRPr="00AA20DA">
        <w:rPr>
          <w:rFonts w:ascii="Arial" w:hAnsi="Arial" w:cs="Arial"/>
          <w:sz w:val="24"/>
          <w:szCs w:val="24"/>
        </w:rPr>
        <w:t xml:space="preserve">needs </w:t>
      </w:r>
      <w:r w:rsidR="003926E1" w:rsidRPr="00AA20DA">
        <w:rPr>
          <w:rFonts w:ascii="Arial" w:hAnsi="Arial" w:cs="Arial"/>
          <w:sz w:val="24"/>
          <w:szCs w:val="24"/>
        </w:rPr>
        <w:t xml:space="preserve">in </w:t>
      </w:r>
      <w:r w:rsidR="00B65AD8" w:rsidRPr="00AA20DA">
        <w:rPr>
          <w:rFonts w:ascii="Arial" w:hAnsi="Arial" w:cs="Arial"/>
          <w:sz w:val="24"/>
          <w:szCs w:val="24"/>
        </w:rPr>
        <w:t xml:space="preserve">relation to </w:t>
      </w:r>
      <w:r w:rsidR="003926E1" w:rsidRPr="00AA20DA">
        <w:rPr>
          <w:rFonts w:ascii="Arial" w:hAnsi="Arial" w:cs="Arial"/>
          <w:sz w:val="24"/>
          <w:szCs w:val="24"/>
        </w:rPr>
        <w:t>the provision of advanced services</w:t>
      </w:r>
      <w:r w:rsidR="00FB18C7" w:rsidRPr="00AA20DA">
        <w:rPr>
          <w:rFonts w:ascii="Arial" w:hAnsi="Arial" w:cs="Arial"/>
          <w:sz w:val="24"/>
          <w:szCs w:val="24"/>
        </w:rPr>
        <w:t xml:space="preserve">. </w:t>
      </w:r>
      <w:r w:rsidR="003926E1" w:rsidRPr="00AA20DA">
        <w:rPr>
          <w:rFonts w:ascii="Arial" w:hAnsi="Arial" w:cs="Arial"/>
          <w:sz w:val="24"/>
          <w:szCs w:val="24"/>
        </w:rPr>
        <w:t xml:space="preserve"> </w:t>
      </w:r>
      <w:r w:rsidR="00BB6B73" w:rsidRPr="00AA20DA">
        <w:rPr>
          <w:rFonts w:ascii="Arial" w:hAnsi="Arial" w:cs="Arial"/>
          <w:sz w:val="24"/>
          <w:szCs w:val="24"/>
        </w:rPr>
        <w:t xml:space="preserve">Whilst none of the pharmacies provide the Appliance Use Review service or the Stoma Appliance Customisation service, it is noted that </w:t>
      </w:r>
      <w:r w:rsidR="00BA7240" w:rsidRPr="00AA20DA">
        <w:rPr>
          <w:rFonts w:ascii="Arial" w:hAnsi="Arial" w:cs="Arial"/>
          <w:sz w:val="24"/>
          <w:szCs w:val="24"/>
        </w:rPr>
        <w:t xml:space="preserve">there are four appliance contractors </w:t>
      </w:r>
      <w:r w:rsidR="006C2936" w:rsidRPr="00AA20DA">
        <w:rPr>
          <w:rFonts w:ascii="Arial" w:hAnsi="Arial" w:cs="Arial"/>
          <w:sz w:val="24"/>
          <w:szCs w:val="24"/>
        </w:rPr>
        <w:t xml:space="preserve">based in Cardiff </w:t>
      </w:r>
      <w:r w:rsidR="004526EF" w:rsidRPr="00AA20DA">
        <w:rPr>
          <w:rFonts w:ascii="Arial" w:hAnsi="Arial" w:cs="Arial"/>
          <w:sz w:val="24"/>
          <w:szCs w:val="24"/>
        </w:rPr>
        <w:t xml:space="preserve">and Vale University Health Board </w:t>
      </w:r>
      <w:r w:rsidR="006C2936" w:rsidRPr="00AA20DA">
        <w:rPr>
          <w:rFonts w:ascii="Arial" w:hAnsi="Arial" w:cs="Arial"/>
          <w:sz w:val="24"/>
          <w:szCs w:val="24"/>
        </w:rPr>
        <w:t xml:space="preserve">who offer these services. </w:t>
      </w:r>
      <w:r w:rsidR="00EF5082" w:rsidRPr="00AA20DA">
        <w:rPr>
          <w:rFonts w:ascii="Arial" w:hAnsi="Arial" w:cs="Arial"/>
          <w:sz w:val="24"/>
          <w:szCs w:val="24"/>
        </w:rPr>
        <w:t>O</w:t>
      </w:r>
      <w:r w:rsidR="00BB6B73" w:rsidRPr="00AA20DA">
        <w:rPr>
          <w:rFonts w:ascii="Arial" w:hAnsi="Arial" w:cs="Arial"/>
          <w:sz w:val="24"/>
          <w:szCs w:val="24"/>
        </w:rPr>
        <w:t>ne of the reasons why prescriptions are dispensed outside of the cluster is because they have been sent to a dispensing appliance contractor</w:t>
      </w:r>
      <w:r w:rsidR="00482037" w:rsidRPr="00AA20DA">
        <w:rPr>
          <w:rFonts w:ascii="Arial" w:hAnsi="Arial" w:cs="Arial"/>
          <w:sz w:val="24"/>
          <w:szCs w:val="24"/>
        </w:rPr>
        <w:t xml:space="preserve"> </w:t>
      </w:r>
      <w:r w:rsidR="00CC5FB2" w:rsidRPr="00AA20DA">
        <w:rPr>
          <w:rFonts w:ascii="Arial" w:hAnsi="Arial" w:cs="Arial"/>
          <w:sz w:val="24"/>
          <w:szCs w:val="24"/>
        </w:rPr>
        <w:t xml:space="preserve">elsewhere in </w:t>
      </w:r>
      <w:r w:rsidR="00915B5C" w:rsidRPr="00AA20DA">
        <w:rPr>
          <w:rFonts w:ascii="Arial" w:hAnsi="Arial" w:cs="Arial"/>
          <w:sz w:val="24"/>
          <w:szCs w:val="24"/>
        </w:rPr>
        <w:t xml:space="preserve">the health board </w:t>
      </w:r>
      <w:r w:rsidR="00CC5FB2" w:rsidRPr="00AA20DA">
        <w:rPr>
          <w:rFonts w:ascii="Arial" w:hAnsi="Arial" w:cs="Arial"/>
          <w:sz w:val="24"/>
          <w:szCs w:val="24"/>
        </w:rPr>
        <w:t xml:space="preserve">or </w:t>
      </w:r>
      <w:r w:rsidR="0013038E" w:rsidRPr="00AA20DA">
        <w:rPr>
          <w:rFonts w:ascii="Arial" w:hAnsi="Arial" w:cs="Arial"/>
          <w:sz w:val="24"/>
          <w:szCs w:val="24"/>
        </w:rPr>
        <w:t>to England</w:t>
      </w:r>
      <w:r w:rsidR="00482037" w:rsidRPr="00AA20DA">
        <w:rPr>
          <w:rFonts w:ascii="Arial" w:hAnsi="Arial" w:cs="Arial"/>
          <w:sz w:val="24"/>
          <w:szCs w:val="24"/>
        </w:rPr>
        <w:t>, which provide these services</w:t>
      </w:r>
      <w:r w:rsidR="00BB6B73" w:rsidRPr="00AA20DA">
        <w:rPr>
          <w:rFonts w:ascii="Arial" w:hAnsi="Arial" w:cs="Arial"/>
          <w:sz w:val="24"/>
          <w:szCs w:val="24"/>
        </w:rPr>
        <w:t xml:space="preserve">. Patients will therefore be able to access these two services via those contractors. The </w:t>
      </w:r>
      <w:r w:rsidR="00BB6B73" w:rsidRPr="00AA20DA">
        <w:rPr>
          <w:rFonts w:ascii="Arial" w:hAnsi="Arial" w:cs="Arial"/>
          <w:color w:val="000000"/>
          <w:sz w:val="24"/>
          <w:szCs w:val="24"/>
        </w:rPr>
        <w:t>Cardiff and Vale Univer</w:t>
      </w:r>
      <w:r w:rsidR="00CC5FB2" w:rsidRPr="00AA20DA">
        <w:rPr>
          <w:rFonts w:ascii="Arial" w:hAnsi="Arial" w:cs="Arial"/>
          <w:color w:val="000000"/>
          <w:sz w:val="24"/>
          <w:szCs w:val="24"/>
        </w:rPr>
        <w:t>sity</w:t>
      </w:r>
      <w:r w:rsidR="00BB6B73" w:rsidRPr="00AA20DA">
        <w:rPr>
          <w:rFonts w:ascii="Arial" w:hAnsi="Arial" w:cs="Arial"/>
          <w:color w:val="000000"/>
          <w:sz w:val="24"/>
          <w:szCs w:val="24"/>
        </w:rPr>
        <w:t xml:space="preserve"> Health Board </w:t>
      </w:r>
      <w:r w:rsidR="00BB6B73" w:rsidRPr="00AA20DA">
        <w:rPr>
          <w:rFonts w:ascii="Arial" w:hAnsi="Arial" w:cs="Arial"/>
          <w:sz w:val="24"/>
          <w:szCs w:val="24"/>
        </w:rPr>
        <w:t>has therefore not identified any current or future gap or better access in relation to the provision of these two advanced services in the cluster.</w:t>
      </w:r>
    </w:p>
    <w:p w14:paraId="678BB6FE" w14:textId="77777777" w:rsidR="00961454" w:rsidRPr="00AA20DA" w:rsidRDefault="00961454" w:rsidP="00DC54F7">
      <w:pPr>
        <w:spacing w:after="0" w:line="240" w:lineRule="auto"/>
        <w:jc w:val="both"/>
        <w:rPr>
          <w:rFonts w:ascii="Arial" w:hAnsi="Arial" w:cs="Arial"/>
          <w:sz w:val="24"/>
          <w:szCs w:val="24"/>
        </w:rPr>
      </w:pPr>
    </w:p>
    <w:p w14:paraId="6D0B1A96" w14:textId="77777777" w:rsidR="00C45CD9" w:rsidRPr="00AA20DA" w:rsidRDefault="00C45CD9" w:rsidP="00DC54F7">
      <w:pPr>
        <w:spacing w:after="0" w:line="240" w:lineRule="auto"/>
        <w:contextualSpacing/>
        <w:jc w:val="both"/>
        <w:rPr>
          <w:rFonts w:ascii="Arial" w:hAnsi="Arial" w:cs="Arial"/>
          <w:sz w:val="24"/>
          <w:szCs w:val="24"/>
        </w:rPr>
      </w:pPr>
      <w:r w:rsidRPr="00AA20DA">
        <w:rPr>
          <w:rFonts w:ascii="Arial" w:hAnsi="Arial" w:cs="Arial"/>
          <w:sz w:val="24"/>
          <w:szCs w:val="24"/>
        </w:rPr>
        <w:t>All 10 pharmacies responded to the question in the contractor questionnaire regarding capacity to meet demand from any future housing developments in the cluster. All 10 pharmacies responded that they have sufficient capacity within their existing premises and staffing levels to manage the increase in demand in the area.</w:t>
      </w:r>
    </w:p>
    <w:p w14:paraId="5E07D072" w14:textId="77777777" w:rsidR="00C45CD9" w:rsidRPr="00AA20DA" w:rsidRDefault="00C45CD9" w:rsidP="00DC54F7">
      <w:pPr>
        <w:spacing w:after="0" w:line="240" w:lineRule="auto"/>
        <w:jc w:val="both"/>
        <w:rPr>
          <w:rFonts w:ascii="Arial" w:hAnsi="Arial" w:cs="Arial"/>
          <w:sz w:val="24"/>
          <w:szCs w:val="24"/>
        </w:rPr>
      </w:pPr>
    </w:p>
    <w:p w14:paraId="6CD48B3D" w14:textId="672C9878" w:rsidR="00C45CD9" w:rsidRPr="00AA20DA" w:rsidRDefault="004B788D" w:rsidP="00DC54F7">
      <w:pPr>
        <w:spacing w:after="0" w:line="240" w:lineRule="auto"/>
        <w:jc w:val="both"/>
        <w:rPr>
          <w:rFonts w:ascii="Arial" w:hAnsi="Arial" w:cs="Arial"/>
          <w:sz w:val="24"/>
          <w:szCs w:val="24"/>
        </w:rPr>
      </w:pPr>
      <w:r w:rsidRPr="00AA20DA">
        <w:rPr>
          <w:rFonts w:ascii="Arial" w:hAnsi="Arial" w:cs="Arial"/>
          <w:sz w:val="24"/>
          <w:szCs w:val="24"/>
        </w:rPr>
        <w:t xml:space="preserve">The </w:t>
      </w:r>
      <w:r w:rsidRPr="00AA20DA">
        <w:rPr>
          <w:rFonts w:ascii="Arial" w:hAnsi="Arial" w:cs="Arial"/>
          <w:color w:val="000000"/>
          <w:sz w:val="24"/>
          <w:szCs w:val="24"/>
        </w:rPr>
        <w:t xml:space="preserve">Cardiff and Vale University Health Board noted the </w:t>
      </w:r>
      <w:r w:rsidR="00752CD3" w:rsidRPr="00AA20DA">
        <w:rPr>
          <w:rFonts w:ascii="Arial" w:hAnsi="Arial" w:cs="Arial"/>
          <w:color w:val="000000"/>
          <w:sz w:val="24"/>
          <w:szCs w:val="24"/>
        </w:rPr>
        <w:t>developments planned for the cluster</w:t>
      </w:r>
      <w:r w:rsidR="00187D75" w:rsidRPr="00AA20DA">
        <w:rPr>
          <w:rFonts w:ascii="Arial" w:hAnsi="Arial" w:cs="Arial"/>
          <w:color w:val="000000"/>
          <w:sz w:val="24"/>
          <w:szCs w:val="24"/>
        </w:rPr>
        <w:t>,</w:t>
      </w:r>
      <w:r w:rsidR="00752CD3" w:rsidRPr="00AA20DA">
        <w:rPr>
          <w:rFonts w:ascii="Arial" w:hAnsi="Arial" w:cs="Arial"/>
          <w:color w:val="000000"/>
          <w:sz w:val="24"/>
          <w:szCs w:val="24"/>
        </w:rPr>
        <w:t xml:space="preserve"> with regard to the </w:t>
      </w:r>
      <w:r w:rsidR="00AA20DA">
        <w:rPr>
          <w:rFonts w:ascii="Arial" w:hAnsi="Arial" w:cs="Arial"/>
          <w:color w:val="000000"/>
          <w:sz w:val="24"/>
          <w:szCs w:val="24"/>
        </w:rPr>
        <w:t xml:space="preserve">strategic </w:t>
      </w:r>
      <w:r w:rsidR="00752CD3" w:rsidRPr="00AA20DA">
        <w:rPr>
          <w:rFonts w:ascii="Arial" w:hAnsi="Arial" w:cs="Arial"/>
          <w:color w:val="000000"/>
          <w:sz w:val="24"/>
          <w:szCs w:val="24"/>
        </w:rPr>
        <w:t xml:space="preserve">employment site </w:t>
      </w:r>
      <w:r w:rsidR="006852AE">
        <w:rPr>
          <w:rFonts w:ascii="Arial" w:hAnsi="Arial" w:cs="Arial"/>
          <w:color w:val="000000"/>
          <w:sz w:val="24"/>
          <w:szCs w:val="24"/>
        </w:rPr>
        <w:t>S</w:t>
      </w:r>
      <w:r w:rsidR="00187D75" w:rsidRPr="00AA20DA">
        <w:rPr>
          <w:rFonts w:ascii="Arial" w:hAnsi="Arial" w:cs="Arial"/>
          <w:color w:val="000000"/>
          <w:sz w:val="24"/>
          <w:szCs w:val="24"/>
        </w:rPr>
        <w:t xml:space="preserve">outh of St Mellons Business Park. </w:t>
      </w:r>
      <w:r w:rsidR="00F61B3F" w:rsidRPr="00AA20DA">
        <w:rPr>
          <w:rFonts w:ascii="Arial" w:hAnsi="Arial" w:cs="Arial"/>
          <w:color w:val="000000"/>
          <w:sz w:val="24"/>
          <w:szCs w:val="24"/>
        </w:rPr>
        <w:t xml:space="preserve">Furthermore, </w:t>
      </w:r>
      <w:r w:rsidR="00F61B3F" w:rsidRPr="00AA20DA">
        <w:rPr>
          <w:rFonts w:ascii="Arial" w:hAnsi="Arial" w:cs="Arial"/>
          <w:sz w:val="24"/>
          <w:szCs w:val="24"/>
        </w:rPr>
        <w:t>w</w:t>
      </w:r>
      <w:r w:rsidR="00C45CD9" w:rsidRPr="00AA20DA">
        <w:rPr>
          <w:rFonts w:ascii="Arial" w:hAnsi="Arial" w:cs="Arial"/>
          <w:sz w:val="24"/>
          <w:szCs w:val="24"/>
        </w:rPr>
        <w:t xml:space="preserve">ith regard to any housing that is due to be built during the lifetime of this document, </w:t>
      </w:r>
      <w:r w:rsidR="00C45CD9" w:rsidRPr="00AA20DA">
        <w:rPr>
          <w:rFonts w:ascii="Arial" w:hAnsi="Arial" w:cs="Arial"/>
          <w:color w:val="000000"/>
          <w:sz w:val="24"/>
          <w:szCs w:val="24"/>
        </w:rPr>
        <w:t>Cardiff and Vale University Health Board</w:t>
      </w:r>
      <w:r w:rsidR="00C45CD9" w:rsidRPr="00AA20DA">
        <w:rPr>
          <w:rFonts w:ascii="Arial" w:hAnsi="Arial" w:cs="Arial"/>
          <w:sz w:val="24"/>
          <w:szCs w:val="24"/>
        </w:rPr>
        <w:t xml:space="preserve"> is satisfied, based upon the responses to the contractor questionnaire, that the demand that this will create can be met by the existing pharmacies. The </w:t>
      </w:r>
      <w:r w:rsidR="00C45CD9" w:rsidRPr="00AA20DA">
        <w:rPr>
          <w:rFonts w:ascii="Arial" w:hAnsi="Arial" w:cs="Arial"/>
          <w:color w:val="000000"/>
          <w:sz w:val="24"/>
          <w:szCs w:val="24"/>
        </w:rPr>
        <w:t xml:space="preserve">Cardiff and Vale University Health Board </w:t>
      </w:r>
      <w:r w:rsidR="00C45CD9" w:rsidRPr="00AA20DA">
        <w:rPr>
          <w:rFonts w:ascii="Arial" w:hAnsi="Arial" w:cs="Arial"/>
          <w:sz w:val="24"/>
          <w:szCs w:val="24"/>
        </w:rPr>
        <w:t>has therefore concluded that there are no future needs in relation to the provision of essential services by pharmacies in the cluster</w:t>
      </w:r>
      <w:r w:rsidR="00E33F7A" w:rsidRPr="00AA20DA">
        <w:rPr>
          <w:rFonts w:ascii="Arial" w:hAnsi="Arial" w:cs="Arial"/>
          <w:sz w:val="24"/>
          <w:szCs w:val="24"/>
        </w:rPr>
        <w:t>.</w:t>
      </w:r>
    </w:p>
    <w:p w14:paraId="16A4BADE" w14:textId="77777777" w:rsidR="00BC4F54" w:rsidRPr="00AA20DA" w:rsidRDefault="00BC4F54" w:rsidP="00DC54F7">
      <w:pPr>
        <w:spacing w:after="0" w:line="240" w:lineRule="auto"/>
        <w:jc w:val="both"/>
        <w:rPr>
          <w:rFonts w:ascii="Arial" w:hAnsi="Arial" w:cs="Arial"/>
          <w:sz w:val="24"/>
          <w:szCs w:val="24"/>
        </w:rPr>
      </w:pPr>
    </w:p>
    <w:p w14:paraId="0EB1B5DB" w14:textId="43D9D3F2" w:rsidR="00BB6B73" w:rsidRPr="00AA20DA" w:rsidRDefault="00BB6B73" w:rsidP="00DC54F7">
      <w:pPr>
        <w:spacing w:after="0" w:line="240" w:lineRule="auto"/>
        <w:jc w:val="both"/>
        <w:rPr>
          <w:rFonts w:ascii="Arial" w:hAnsi="Arial" w:cs="Arial"/>
          <w:sz w:val="24"/>
          <w:szCs w:val="24"/>
        </w:rPr>
      </w:pPr>
      <w:r w:rsidRPr="00AA20DA">
        <w:rPr>
          <w:rFonts w:ascii="Arial" w:hAnsi="Arial" w:cs="Arial"/>
          <w:sz w:val="24"/>
          <w:szCs w:val="24"/>
        </w:rPr>
        <w:t xml:space="preserve">The </w:t>
      </w:r>
      <w:r w:rsidRPr="00AA20DA">
        <w:rPr>
          <w:rFonts w:ascii="Arial" w:hAnsi="Arial" w:cs="Arial"/>
          <w:color w:val="000000"/>
          <w:sz w:val="24"/>
          <w:szCs w:val="24"/>
        </w:rPr>
        <w:t>Cardiff and Vale Univer</w:t>
      </w:r>
      <w:r w:rsidR="00CC5FB2" w:rsidRPr="00AA20DA">
        <w:rPr>
          <w:rFonts w:ascii="Arial" w:hAnsi="Arial" w:cs="Arial"/>
          <w:color w:val="000000"/>
          <w:sz w:val="24"/>
          <w:szCs w:val="24"/>
        </w:rPr>
        <w:t>sity</w:t>
      </w:r>
      <w:r w:rsidRPr="00AA20DA">
        <w:rPr>
          <w:rFonts w:ascii="Arial" w:hAnsi="Arial" w:cs="Arial"/>
          <w:color w:val="000000"/>
          <w:sz w:val="24"/>
          <w:szCs w:val="24"/>
        </w:rPr>
        <w:t xml:space="preserve"> Health Board </w:t>
      </w:r>
      <w:r w:rsidRPr="00AA20DA">
        <w:rPr>
          <w:rFonts w:ascii="Arial" w:hAnsi="Arial" w:cs="Arial"/>
          <w:sz w:val="24"/>
          <w:szCs w:val="24"/>
        </w:rPr>
        <w:t>is also satisfied that, based upon the information contained in the preceding sections, there are no current or future gaps in the provision of advanced services and enhanced services.</w:t>
      </w:r>
    </w:p>
    <w:p w14:paraId="52488FFE" w14:textId="77777777" w:rsidR="00BC4F54" w:rsidRPr="00AA20DA" w:rsidRDefault="00BC4F54" w:rsidP="00DC54F7">
      <w:pPr>
        <w:spacing w:after="0" w:line="240" w:lineRule="auto"/>
        <w:jc w:val="both"/>
        <w:rPr>
          <w:rFonts w:ascii="Arial" w:hAnsi="Arial" w:cs="Arial"/>
          <w:sz w:val="24"/>
          <w:szCs w:val="24"/>
        </w:rPr>
      </w:pPr>
    </w:p>
    <w:p w14:paraId="060CFB75" w14:textId="510F47F6" w:rsidR="00BB6B73" w:rsidRPr="00AA20DA" w:rsidRDefault="00BB6B73" w:rsidP="00DC54F7">
      <w:pPr>
        <w:spacing w:after="0" w:line="240" w:lineRule="auto"/>
        <w:jc w:val="both"/>
        <w:rPr>
          <w:rFonts w:ascii="Arial" w:hAnsi="Arial" w:cs="Arial"/>
          <w:sz w:val="24"/>
          <w:szCs w:val="24"/>
        </w:rPr>
      </w:pPr>
      <w:r w:rsidRPr="00AA20DA">
        <w:rPr>
          <w:rFonts w:ascii="Arial" w:hAnsi="Arial" w:cs="Arial"/>
          <w:sz w:val="24"/>
          <w:szCs w:val="24"/>
        </w:rPr>
        <w:t xml:space="preserve">The </w:t>
      </w:r>
      <w:r w:rsidRPr="00AA20DA">
        <w:rPr>
          <w:rFonts w:ascii="Arial" w:hAnsi="Arial" w:cs="Arial"/>
          <w:color w:val="000000"/>
          <w:sz w:val="24"/>
          <w:szCs w:val="24"/>
        </w:rPr>
        <w:t>Cardiff and Vale Univer</w:t>
      </w:r>
      <w:r w:rsidR="00CC5FB2" w:rsidRPr="00AA20DA">
        <w:rPr>
          <w:rFonts w:ascii="Arial" w:hAnsi="Arial" w:cs="Arial"/>
          <w:color w:val="000000"/>
          <w:sz w:val="24"/>
          <w:szCs w:val="24"/>
        </w:rPr>
        <w:t>sity</w:t>
      </w:r>
      <w:r w:rsidRPr="00AA20DA">
        <w:rPr>
          <w:rFonts w:ascii="Arial" w:hAnsi="Arial" w:cs="Arial"/>
          <w:color w:val="000000"/>
          <w:sz w:val="24"/>
          <w:szCs w:val="24"/>
        </w:rPr>
        <w:t xml:space="preserve"> Health Board </w:t>
      </w:r>
      <w:r w:rsidRPr="00AA20DA">
        <w:rPr>
          <w:rFonts w:ascii="Arial" w:hAnsi="Arial" w:cs="Arial"/>
          <w:sz w:val="24"/>
          <w:szCs w:val="24"/>
        </w:rPr>
        <w:t>will keep service provision under review but has concluded that there is no current or future need identified which requires an application for new or additional premises.</w:t>
      </w:r>
    </w:p>
    <w:p w14:paraId="0F4A1003" w14:textId="77777777" w:rsidR="00BB6B73" w:rsidRDefault="00BB6B73" w:rsidP="00DC54F7">
      <w:pPr>
        <w:jc w:val="both"/>
        <w:rPr>
          <w:rFonts w:ascii="Arial" w:hAnsi="Arial" w:cs="Arial"/>
        </w:rPr>
      </w:pPr>
      <w:r>
        <w:rPr>
          <w:rFonts w:ascii="Arial" w:hAnsi="Arial" w:cs="Arial"/>
        </w:rPr>
        <w:br w:type="page"/>
      </w:r>
    </w:p>
    <w:p w14:paraId="1EA0CC3F" w14:textId="5B48AB10" w:rsidR="00A63B08" w:rsidRPr="00A10850" w:rsidRDefault="004E0E6D" w:rsidP="00A63B08">
      <w:pPr>
        <w:pStyle w:val="Heading1"/>
        <w:spacing w:before="0" w:line="240" w:lineRule="auto"/>
        <w:jc w:val="both"/>
        <w:rPr>
          <w:rFonts w:cs="Arial"/>
          <w:color w:val="auto"/>
        </w:rPr>
      </w:pPr>
      <w:bookmarkStart w:id="39" w:name="_Toc81585103"/>
      <w:r w:rsidRPr="00A63B08">
        <w:rPr>
          <w:rFonts w:cs="Arial"/>
          <w:color w:val="auto"/>
        </w:rPr>
        <w:lastRenderedPageBreak/>
        <w:t>9</w:t>
      </w:r>
      <w:r w:rsidR="0063382E" w:rsidRPr="00DE311C">
        <w:rPr>
          <w:rFonts w:cs="Arial"/>
        </w:rPr>
        <w:t xml:space="preserve"> </w:t>
      </w:r>
      <w:r w:rsidR="0063382E" w:rsidRPr="00A63B08">
        <w:rPr>
          <w:rFonts w:cs="Arial"/>
          <w:color w:val="auto"/>
        </w:rPr>
        <w:t xml:space="preserve">Cardiff </w:t>
      </w:r>
      <w:r w:rsidR="0003758C" w:rsidRPr="00A63B08">
        <w:rPr>
          <w:rFonts w:cs="Arial"/>
          <w:color w:val="auto"/>
        </w:rPr>
        <w:t xml:space="preserve">South </w:t>
      </w:r>
      <w:r w:rsidR="0063382E" w:rsidRPr="00A63B08">
        <w:rPr>
          <w:rFonts w:cs="Arial"/>
          <w:color w:val="auto"/>
        </w:rPr>
        <w:t xml:space="preserve">East </w:t>
      </w:r>
      <w:r w:rsidR="006F7CAA" w:rsidRPr="00A63B08">
        <w:rPr>
          <w:rFonts w:cs="Arial"/>
          <w:color w:val="auto"/>
        </w:rPr>
        <w:t>cluster</w:t>
      </w:r>
      <w:bookmarkEnd w:id="39"/>
    </w:p>
    <w:p w14:paraId="7D36EE20" w14:textId="19C841A4" w:rsidR="0063382E" w:rsidRPr="00DE311C" w:rsidRDefault="0063382E" w:rsidP="00DC54F7">
      <w:pPr>
        <w:spacing w:after="0" w:line="240" w:lineRule="auto"/>
        <w:jc w:val="both"/>
        <w:rPr>
          <w:rFonts w:ascii="Arial" w:hAnsi="Arial" w:cs="Arial"/>
          <w:b/>
          <w:bCs/>
          <w:sz w:val="28"/>
          <w:szCs w:val="28"/>
          <w:highlight w:val="cyan"/>
        </w:rPr>
      </w:pPr>
    </w:p>
    <w:p w14:paraId="1381F906" w14:textId="77777777" w:rsidR="00A525FB" w:rsidRPr="00A525FB" w:rsidRDefault="00A525FB" w:rsidP="00DC54F7">
      <w:pPr>
        <w:spacing w:after="0" w:line="240" w:lineRule="auto"/>
        <w:jc w:val="both"/>
        <w:rPr>
          <w:highlight w:val="cyan"/>
        </w:rPr>
      </w:pPr>
    </w:p>
    <w:p w14:paraId="03CA5D48" w14:textId="00D4380A" w:rsidR="0063382E" w:rsidRDefault="004E0E6D" w:rsidP="00DC54F7">
      <w:pPr>
        <w:spacing w:after="0" w:line="240" w:lineRule="auto"/>
        <w:jc w:val="both"/>
        <w:rPr>
          <w:rFonts w:ascii="Arial" w:hAnsi="Arial" w:cs="Arial"/>
          <w:b/>
          <w:sz w:val="26"/>
          <w:szCs w:val="26"/>
        </w:rPr>
      </w:pPr>
      <w:r>
        <w:rPr>
          <w:rFonts w:ascii="Arial" w:hAnsi="Arial" w:cs="Arial"/>
          <w:b/>
          <w:sz w:val="26"/>
          <w:szCs w:val="26"/>
        </w:rPr>
        <w:t>9</w:t>
      </w:r>
      <w:r w:rsidR="0063382E" w:rsidRPr="00A10850">
        <w:rPr>
          <w:rFonts w:ascii="Arial" w:hAnsi="Arial" w:cs="Arial"/>
          <w:b/>
          <w:sz w:val="26"/>
          <w:szCs w:val="26"/>
        </w:rPr>
        <w:t>.1 Key facts</w:t>
      </w:r>
    </w:p>
    <w:p w14:paraId="300AD620" w14:textId="2AC5438C" w:rsidR="005055DE" w:rsidRDefault="005055DE" w:rsidP="00DC54F7">
      <w:pPr>
        <w:spacing w:after="0" w:line="240" w:lineRule="auto"/>
        <w:jc w:val="both"/>
        <w:rPr>
          <w:rFonts w:ascii="Arial" w:hAnsi="Arial" w:cs="Arial"/>
          <w:b/>
          <w:sz w:val="26"/>
          <w:szCs w:val="26"/>
        </w:rPr>
      </w:pPr>
    </w:p>
    <w:p w14:paraId="57666611" w14:textId="2AC53C6D" w:rsidR="000D7309" w:rsidRPr="008C62FC" w:rsidRDefault="00DE311C" w:rsidP="00DC54F7">
      <w:pPr>
        <w:spacing w:after="0" w:line="240" w:lineRule="auto"/>
        <w:jc w:val="both"/>
        <w:rPr>
          <w:rFonts w:ascii="Arial" w:hAnsi="Arial" w:cs="Arial"/>
          <w:b/>
          <w:bCs/>
          <w:sz w:val="24"/>
          <w:szCs w:val="24"/>
        </w:rPr>
      </w:pPr>
      <w:r w:rsidRPr="008C62FC">
        <w:rPr>
          <w:rFonts w:ascii="Arial" w:hAnsi="Arial" w:cs="Arial"/>
          <w:b/>
          <w:bCs/>
          <w:sz w:val="24"/>
          <w:szCs w:val="24"/>
        </w:rPr>
        <w:t xml:space="preserve">9.1.1 </w:t>
      </w:r>
      <w:r w:rsidR="000D7309" w:rsidRPr="008C62FC">
        <w:rPr>
          <w:rFonts w:ascii="Arial" w:hAnsi="Arial" w:cs="Arial"/>
          <w:b/>
          <w:bCs/>
          <w:sz w:val="24"/>
          <w:szCs w:val="24"/>
        </w:rPr>
        <w:t>Population and population projections 2018 to 2028 (2018 based)</w:t>
      </w:r>
    </w:p>
    <w:p w14:paraId="0E668CBF" w14:textId="77777777" w:rsidR="000D7309" w:rsidRPr="008C62FC" w:rsidRDefault="000D7309" w:rsidP="00DC54F7">
      <w:pPr>
        <w:spacing w:after="0" w:line="240" w:lineRule="auto"/>
        <w:jc w:val="both"/>
        <w:rPr>
          <w:rFonts w:ascii="Arial" w:hAnsi="Arial" w:cs="Arial"/>
          <w:b/>
          <w:bCs/>
          <w:sz w:val="24"/>
          <w:szCs w:val="24"/>
        </w:rPr>
      </w:pPr>
    </w:p>
    <w:p w14:paraId="0F322473" w14:textId="77777777" w:rsidR="000D7309" w:rsidRPr="008C62FC" w:rsidRDefault="000D7309" w:rsidP="00DC54F7">
      <w:pPr>
        <w:spacing w:after="0" w:line="240" w:lineRule="auto"/>
        <w:jc w:val="both"/>
        <w:rPr>
          <w:rFonts w:ascii="Arial" w:hAnsi="Arial" w:cs="Arial"/>
          <w:sz w:val="24"/>
          <w:szCs w:val="24"/>
        </w:rPr>
      </w:pPr>
      <w:r w:rsidRPr="008C62FC">
        <w:rPr>
          <w:rFonts w:ascii="Arial" w:hAnsi="Arial" w:cs="Arial"/>
          <w:sz w:val="24"/>
          <w:szCs w:val="24"/>
        </w:rPr>
        <w:t xml:space="preserve">As cluster level population data is not routinely collected on an annual basis, </w:t>
      </w:r>
    </w:p>
    <w:p w14:paraId="11AD17F0" w14:textId="77777777" w:rsidR="000D7309" w:rsidRPr="008C62FC" w:rsidRDefault="000D7309" w:rsidP="00DC54F7">
      <w:pPr>
        <w:spacing w:after="0" w:line="240" w:lineRule="auto"/>
        <w:jc w:val="both"/>
        <w:rPr>
          <w:rFonts w:ascii="Arial" w:hAnsi="Arial" w:cs="Arial"/>
          <w:sz w:val="24"/>
          <w:szCs w:val="24"/>
        </w:rPr>
      </w:pPr>
      <w:r w:rsidRPr="008C62FC">
        <w:rPr>
          <w:rFonts w:ascii="Arial" w:hAnsi="Arial" w:cs="Arial"/>
          <w:sz w:val="24"/>
          <w:szCs w:val="24"/>
        </w:rPr>
        <w:t>GP registered patient data has been used to provide an indication of cluster population, and local authority based data has been used to provide an indication of population projections.</w:t>
      </w:r>
    </w:p>
    <w:p w14:paraId="387C0298" w14:textId="77777777" w:rsidR="000D7309" w:rsidRPr="008C62FC" w:rsidRDefault="000D7309" w:rsidP="00DC54F7">
      <w:pPr>
        <w:spacing w:after="0" w:line="240" w:lineRule="auto"/>
        <w:jc w:val="both"/>
        <w:rPr>
          <w:rFonts w:ascii="Arial" w:hAnsi="Arial" w:cs="Arial"/>
          <w:sz w:val="24"/>
          <w:szCs w:val="24"/>
        </w:rPr>
      </w:pPr>
    </w:p>
    <w:p w14:paraId="087C41BC" w14:textId="77777777" w:rsidR="000D7309" w:rsidRPr="002861BC" w:rsidRDefault="000D7309" w:rsidP="00DC54F7">
      <w:pPr>
        <w:spacing w:after="0" w:line="240" w:lineRule="auto"/>
        <w:jc w:val="both"/>
        <w:rPr>
          <w:rFonts w:ascii="Arial" w:hAnsi="Arial" w:cs="Arial"/>
          <w:sz w:val="24"/>
          <w:szCs w:val="24"/>
        </w:rPr>
      </w:pPr>
      <w:r w:rsidRPr="008C62FC">
        <w:rPr>
          <w:rFonts w:ascii="Arial" w:hAnsi="Arial" w:cs="Arial"/>
          <w:sz w:val="24"/>
          <w:szCs w:val="24"/>
        </w:rPr>
        <w:t>Note that GP registered population data is higher than the corresponding census based mid-year population estimates provided by the Office of National Statistics (ONS) at the local authority and health board level, as outlined in section 2.2. This is most likely due to over registered or ‘ghost patients’ caused by many different factors.</w:t>
      </w:r>
    </w:p>
    <w:p w14:paraId="21F28BD6" w14:textId="77777777" w:rsidR="000D7309" w:rsidRDefault="000D7309" w:rsidP="00DC54F7">
      <w:pPr>
        <w:spacing w:after="0" w:line="240" w:lineRule="auto"/>
        <w:jc w:val="both"/>
        <w:rPr>
          <w:rFonts w:ascii="Arial" w:hAnsi="Arial" w:cs="Arial"/>
          <w:b/>
          <w:i/>
          <w:iCs/>
          <w:sz w:val="24"/>
          <w:szCs w:val="24"/>
        </w:rPr>
      </w:pPr>
    </w:p>
    <w:p w14:paraId="7B3FEF60" w14:textId="7CE63852" w:rsidR="007C6ECA" w:rsidRDefault="000D7309" w:rsidP="00DC54F7">
      <w:pPr>
        <w:spacing w:after="0" w:line="240" w:lineRule="auto"/>
        <w:jc w:val="both"/>
        <w:rPr>
          <w:rFonts w:ascii="Arial" w:hAnsi="Arial" w:cs="Arial"/>
          <w:b/>
          <w:sz w:val="24"/>
          <w:szCs w:val="24"/>
        </w:rPr>
      </w:pPr>
      <w:r w:rsidRPr="008C62FC">
        <w:rPr>
          <w:rFonts w:ascii="Arial" w:hAnsi="Arial" w:cs="Arial"/>
          <w:b/>
          <w:sz w:val="24"/>
          <w:szCs w:val="24"/>
        </w:rPr>
        <w:t>Table 9: Number of GP registered patients by gender and broad age groups and by cluster, local authority and health board (2019)</w:t>
      </w:r>
    </w:p>
    <w:tbl>
      <w:tblPr>
        <w:tblW w:w="9360" w:type="dxa"/>
        <w:tblLook w:val="04A0" w:firstRow="1" w:lastRow="0" w:firstColumn="1" w:lastColumn="0" w:noHBand="0" w:noVBand="1"/>
      </w:tblPr>
      <w:tblGrid>
        <w:gridCol w:w="2280"/>
        <w:gridCol w:w="1180"/>
        <w:gridCol w:w="1180"/>
        <w:gridCol w:w="1180"/>
        <w:gridCol w:w="1123"/>
        <w:gridCol w:w="997"/>
        <w:gridCol w:w="1420"/>
      </w:tblGrid>
      <w:tr w:rsidR="007C6ECA" w:rsidRPr="007C6ECA" w14:paraId="246197CD" w14:textId="77777777" w:rsidTr="007C6ECA">
        <w:trPr>
          <w:trHeight w:val="290"/>
        </w:trPr>
        <w:tc>
          <w:tcPr>
            <w:tcW w:w="2280" w:type="dxa"/>
            <w:tcBorders>
              <w:top w:val="single" w:sz="4" w:space="0" w:color="auto"/>
              <w:left w:val="single" w:sz="4" w:space="0" w:color="auto"/>
              <w:bottom w:val="nil"/>
              <w:right w:val="nil"/>
            </w:tcBorders>
            <w:shd w:val="clear" w:color="000000" w:fill="8497B0"/>
            <w:noWrap/>
            <w:vAlign w:val="bottom"/>
            <w:hideMark/>
          </w:tcPr>
          <w:p w14:paraId="7E013969"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 </w:t>
            </w:r>
          </w:p>
        </w:tc>
        <w:tc>
          <w:tcPr>
            <w:tcW w:w="1180" w:type="dxa"/>
            <w:tcBorders>
              <w:top w:val="single" w:sz="4" w:space="0" w:color="auto"/>
              <w:left w:val="nil"/>
              <w:bottom w:val="nil"/>
              <w:right w:val="nil"/>
            </w:tcBorders>
            <w:shd w:val="clear" w:color="000000" w:fill="8497B0"/>
            <w:noWrap/>
            <w:vAlign w:val="bottom"/>
            <w:hideMark/>
          </w:tcPr>
          <w:p w14:paraId="10046330"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Year</w:t>
            </w:r>
          </w:p>
        </w:tc>
        <w:tc>
          <w:tcPr>
            <w:tcW w:w="2360" w:type="dxa"/>
            <w:gridSpan w:val="2"/>
            <w:tcBorders>
              <w:top w:val="single" w:sz="4" w:space="0" w:color="auto"/>
              <w:left w:val="nil"/>
              <w:bottom w:val="nil"/>
              <w:right w:val="nil"/>
            </w:tcBorders>
            <w:shd w:val="clear" w:color="000000" w:fill="8497B0"/>
            <w:noWrap/>
            <w:vAlign w:val="bottom"/>
            <w:hideMark/>
          </w:tcPr>
          <w:p w14:paraId="135DED99"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Gender</w:t>
            </w:r>
          </w:p>
        </w:tc>
        <w:tc>
          <w:tcPr>
            <w:tcW w:w="3540" w:type="dxa"/>
            <w:gridSpan w:val="3"/>
            <w:tcBorders>
              <w:top w:val="single" w:sz="4" w:space="0" w:color="auto"/>
              <w:left w:val="nil"/>
              <w:bottom w:val="nil"/>
              <w:right w:val="single" w:sz="4" w:space="0" w:color="000000"/>
            </w:tcBorders>
            <w:shd w:val="clear" w:color="000000" w:fill="8497B0"/>
            <w:noWrap/>
            <w:vAlign w:val="bottom"/>
            <w:hideMark/>
          </w:tcPr>
          <w:p w14:paraId="1570D329"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Age range</w:t>
            </w:r>
          </w:p>
        </w:tc>
      </w:tr>
      <w:tr w:rsidR="007C6ECA" w:rsidRPr="007C6ECA" w14:paraId="6599C595" w14:textId="77777777" w:rsidTr="007C6ECA">
        <w:trPr>
          <w:trHeight w:val="290"/>
        </w:trPr>
        <w:tc>
          <w:tcPr>
            <w:tcW w:w="2280" w:type="dxa"/>
            <w:tcBorders>
              <w:top w:val="nil"/>
              <w:left w:val="single" w:sz="4" w:space="0" w:color="auto"/>
              <w:bottom w:val="nil"/>
              <w:right w:val="nil"/>
            </w:tcBorders>
            <w:shd w:val="clear" w:color="000000" w:fill="8497B0"/>
            <w:noWrap/>
            <w:vAlign w:val="bottom"/>
            <w:hideMark/>
          </w:tcPr>
          <w:p w14:paraId="4F094706"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 </w:t>
            </w:r>
          </w:p>
        </w:tc>
        <w:tc>
          <w:tcPr>
            <w:tcW w:w="1180" w:type="dxa"/>
            <w:tcBorders>
              <w:top w:val="nil"/>
              <w:left w:val="nil"/>
              <w:bottom w:val="nil"/>
              <w:right w:val="nil"/>
            </w:tcBorders>
            <w:shd w:val="clear" w:color="000000" w:fill="8497B0"/>
            <w:noWrap/>
            <w:vAlign w:val="bottom"/>
            <w:hideMark/>
          </w:tcPr>
          <w:p w14:paraId="31F689D2"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2019</w:t>
            </w:r>
          </w:p>
        </w:tc>
        <w:tc>
          <w:tcPr>
            <w:tcW w:w="1180" w:type="dxa"/>
            <w:tcBorders>
              <w:top w:val="nil"/>
              <w:left w:val="nil"/>
              <w:bottom w:val="nil"/>
              <w:right w:val="nil"/>
            </w:tcBorders>
            <w:shd w:val="clear" w:color="000000" w:fill="8497B0"/>
            <w:noWrap/>
            <w:vAlign w:val="bottom"/>
            <w:hideMark/>
          </w:tcPr>
          <w:p w14:paraId="5A12128E"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Female</w:t>
            </w:r>
          </w:p>
        </w:tc>
        <w:tc>
          <w:tcPr>
            <w:tcW w:w="1180" w:type="dxa"/>
            <w:tcBorders>
              <w:top w:val="nil"/>
              <w:left w:val="nil"/>
              <w:bottom w:val="nil"/>
              <w:right w:val="nil"/>
            </w:tcBorders>
            <w:shd w:val="clear" w:color="000000" w:fill="8497B0"/>
            <w:noWrap/>
            <w:vAlign w:val="bottom"/>
            <w:hideMark/>
          </w:tcPr>
          <w:p w14:paraId="025EC68E"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Male</w:t>
            </w:r>
          </w:p>
        </w:tc>
        <w:tc>
          <w:tcPr>
            <w:tcW w:w="1123" w:type="dxa"/>
            <w:tcBorders>
              <w:top w:val="nil"/>
              <w:left w:val="nil"/>
              <w:bottom w:val="nil"/>
              <w:right w:val="nil"/>
            </w:tcBorders>
            <w:shd w:val="clear" w:color="000000" w:fill="8497B0"/>
            <w:noWrap/>
            <w:vAlign w:val="bottom"/>
            <w:hideMark/>
          </w:tcPr>
          <w:p w14:paraId="08F3D775"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Under 65</w:t>
            </w:r>
          </w:p>
        </w:tc>
        <w:tc>
          <w:tcPr>
            <w:tcW w:w="997" w:type="dxa"/>
            <w:tcBorders>
              <w:top w:val="nil"/>
              <w:left w:val="nil"/>
              <w:bottom w:val="nil"/>
              <w:right w:val="nil"/>
            </w:tcBorders>
            <w:shd w:val="clear" w:color="000000" w:fill="8497B0"/>
            <w:noWrap/>
            <w:vAlign w:val="bottom"/>
            <w:hideMark/>
          </w:tcPr>
          <w:p w14:paraId="0D9D5AE2"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65 to 84</w:t>
            </w:r>
          </w:p>
        </w:tc>
        <w:tc>
          <w:tcPr>
            <w:tcW w:w="1420" w:type="dxa"/>
            <w:tcBorders>
              <w:top w:val="nil"/>
              <w:left w:val="nil"/>
              <w:bottom w:val="nil"/>
              <w:right w:val="single" w:sz="4" w:space="0" w:color="auto"/>
            </w:tcBorders>
            <w:shd w:val="clear" w:color="000000" w:fill="8497B0"/>
            <w:noWrap/>
            <w:vAlign w:val="bottom"/>
            <w:hideMark/>
          </w:tcPr>
          <w:p w14:paraId="68B43D1F"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85 and over</w:t>
            </w:r>
          </w:p>
        </w:tc>
      </w:tr>
      <w:tr w:rsidR="007C6ECA" w:rsidRPr="007C6ECA" w14:paraId="68E35C8D" w14:textId="77777777" w:rsidTr="007C6ECA">
        <w:trPr>
          <w:trHeight w:val="290"/>
        </w:trPr>
        <w:tc>
          <w:tcPr>
            <w:tcW w:w="2280" w:type="dxa"/>
            <w:tcBorders>
              <w:top w:val="nil"/>
              <w:left w:val="single" w:sz="4" w:space="0" w:color="auto"/>
              <w:bottom w:val="nil"/>
              <w:right w:val="nil"/>
            </w:tcBorders>
            <w:shd w:val="clear" w:color="000000" w:fill="F2F2F2"/>
            <w:noWrap/>
            <w:vAlign w:val="bottom"/>
            <w:hideMark/>
          </w:tcPr>
          <w:p w14:paraId="573DDC44"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Cardiff South East</w:t>
            </w:r>
          </w:p>
        </w:tc>
        <w:tc>
          <w:tcPr>
            <w:tcW w:w="1180" w:type="dxa"/>
            <w:tcBorders>
              <w:top w:val="nil"/>
              <w:left w:val="nil"/>
              <w:bottom w:val="nil"/>
              <w:right w:val="nil"/>
            </w:tcBorders>
            <w:shd w:val="clear" w:color="000000" w:fill="F2F2F2"/>
            <w:noWrap/>
            <w:vAlign w:val="bottom"/>
            <w:hideMark/>
          </w:tcPr>
          <w:p w14:paraId="7B37EF32"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63416</w:t>
            </w:r>
          </w:p>
        </w:tc>
        <w:tc>
          <w:tcPr>
            <w:tcW w:w="1180" w:type="dxa"/>
            <w:tcBorders>
              <w:top w:val="nil"/>
              <w:left w:val="nil"/>
              <w:bottom w:val="nil"/>
              <w:right w:val="nil"/>
            </w:tcBorders>
            <w:shd w:val="clear" w:color="000000" w:fill="F2F2F2"/>
            <w:noWrap/>
            <w:vAlign w:val="bottom"/>
            <w:hideMark/>
          </w:tcPr>
          <w:p w14:paraId="2BE050D8"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30468</w:t>
            </w:r>
          </w:p>
        </w:tc>
        <w:tc>
          <w:tcPr>
            <w:tcW w:w="1180" w:type="dxa"/>
            <w:tcBorders>
              <w:top w:val="nil"/>
              <w:left w:val="nil"/>
              <w:bottom w:val="nil"/>
              <w:right w:val="nil"/>
            </w:tcBorders>
            <w:shd w:val="clear" w:color="000000" w:fill="F2F2F2"/>
            <w:noWrap/>
            <w:vAlign w:val="bottom"/>
            <w:hideMark/>
          </w:tcPr>
          <w:p w14:paraId="578A35B9"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32948</w:t>
            </w:r>
          </w:p>
        </w:tc>
        <w:tc>
          <w:tcPr>
            <w:tcW w:w="1123" w:type="dxa"/>
            <w:tcBorders>
              <w:top w:val="nil"/>
              <w:left w:val="nil"/>
              <w:bottom w:val="nil"/>
              <w:right w:val="nil"/>
            </w:tcBorders>
            <w:shd w:val="clear" w:color="000000" w:fill="F2F2F2"/>
            <w:noWrap/>
            <w:vAlign w:val="bottom"/>
            <w:hideMark/>
          </w:tcPr>
          <w:p w14:paraId="6C3BF071"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57624</w:t>
            </w:r>
          </w:p>
        </w:tc>
        <w:tc>
          <w:tcPr>
            <w:tcW w:w="997" w:type="dxa"/>
            <w:tcBorders>
              <w:top w:val="nil"/>
              <w:left w:val="nil"/>
              <w:bottom w:val="nil"/>
              <w:right w:val="nil"/>
            </w:tcBorders>
            <w:shd w:val="clear" w:color="000000" w:fill="F2F2F2"/>
            <w:noWrap/>
            <w:vAlign w:val="bottom"/>
            <w:hideMark/>
          </w:tcPr>
          <w:p w14:paraId="52841104"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5029</w:t>
            </w:r>
          </w:p>
        </w:tc>
        <w:tc>
          <w:tcPr>
            <w:tcW w:w="1420" w:type="dxa"/>
            <w:tcBorders>
              <w:top w:val="nil"/>
              <w:left w:val="nil"/>
              <w:bottom w:val="nil"/>
              <w:right w:val="single" w:sz="4" w:space="0" w:color="auto"/>
            </w:tcBorders>
            <w:shd w:val="clear" w:color="000000" w:fill="F2F2F2"/>
            <w:noWrap/>
            <w:vAlign w:val="bottom"/>
            <w:hideMark/>
          </w:tcPr>
          <w:p w14:paraId="2F8DAAEF"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763</w:t>
            </w:r>
          </w:p>
        </w:tc>
      </w:tr>
      <w:tr w:rsidR="007C6ECA" w:rsidRPr="007C6ECA" w14:paraId="40A3129E" w14:textId="77777777" w:rsidTr="007C6ECA">
        <w:trPr>
          <w:trHeight w:val="290"/>
        </w:trPr>
        <w:tc>
          <w:tcPr>
            <w:tcW w:w="2280" w:type="dxa"/>
            <w:tcBorders>
              <w:top w:val="nil"/>
              <w:left w:val="single" w:sz="4" w:space="0" w:color="auto"/>
              <w:bottom w:val="nil"/>
              <w:right w:val="nil"/>
            </w:tcBorders>
            <w:shd w:val="clear" w:color="auto" w:fill="auto"/>
            <w:noWrap/>
            <w:vAlign w:val="bottom"/>
            <w:hideMark/>
          </w:tcPr>
          <w:p w14:paraId="7562833B"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Cardiff</w:t>
            </w:r>
          </w:p>
        </w:tc>
        <w:tc>
          <w:tcPr>
            <w:tcW w:w="1180" w:type="dxa"/>
            <w:tcBorders>
              <w:top w:val="nil"/>
              <w:left w:val="nil"/>
              <w:bottom w:val="nil"/>
              <w:right w:val="nil"/>
            </w:tcBorders>
            <w:shd w:val="clear" w:color="auto" w:fill="auto"/>
            <w:noWrap/>
            <w:vAlign w:val="bottom"/>
            <w:hideMark/>
          </w:tcPr>
          <w:p w14:paraId="5F5171DB"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389619</w:t>
            </w:r>
          </w:p>
        </w:tc>
        <w:tc>
          <w:tcPr>
            <w:tcW w:w="1180" w:type="dxa"/>
            <w:tcBorders>
              <w:top w:val="nil"/>
              <w:left w:val="nil"/>
              <w:bottom w:val="nil"/>
              <w:right w:val="nil"/>
            </w:tcBorders>
            <w:shd w:val="clear" w:color="auto" w:fill="auto"/>
            <w:noWrap/>
            <w:vAlign w:val="bottom"/>
            <w:hideMark/>
          </w:tcPr>
          <w:p w14:paraId="5289CF7A"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193044</w:t>
            </w:r>
          </w:p>
        </w:tc>
        <w:tc>
          <w:tcPr>
            <w:tcW w:w="1180" w:type="dxa"/>
            <w:tcBorders>
              <w:top w:val="nil"/>
              <w:left w:val="nil"/>
              <w:bottom w:val="nil"/>
              <w:right w:val="nil"/>
            </w:tcBorders>
            <w:shd w:val="clear" w:color="auto" w:fill="auto"/>
            <w:noWrap/>
            <w:vAlign w:val="bottom"/>
            <w:hideMark/>
          </w:tcPr>
          <w:p w14:paraId="0BE94AE6"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196575</w:t>
            </w:r>
          </w:p>
        </w:tc>
        <w:tc>
          <w:tcPr>
            <w:tcW w:w="1123" w:type="dxa"/>
            <w:tcBorders>
              <w:top w:val="nil"/>
              <w:left w:val="nil"/>
              <w:bottom w:val="nil"/>
              <w:right w:val="nil"/>
            </w:tcBorders>
            <w:shd w:val="clear" w:color="auto" w:fill="auto"/>
            <w:noWrap/>
            <w:vAlign w:val="bottom"/>
            <w:hideMark/>
          </w:tcPr>
          <w:p w14:paraId="0FEB094A"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335252</w:t>
            </w:r>
          </w:p>
        </w:tc>
        <w:tc>
          <w:tcPr>
            <w:tcW w:w="997" w:type="dxa"/>
            <w:tcBorders>
              <w:top w:val="nil"/>
              <w:left w:val="nil"/>
              <w:bottom w:val="nil"/>
              <w:right w:val="nil"/>
            </w:tcBorders>
            <w:shd w:val="clear" w:color="auto" w:fill="auto"/>
            <w:noWrap/>
            <w:vAlign w:val="bottom"/>
            <w:hideMark/>
          </w:tcPr>
          <w:p w14:paraId="46D0040B"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46599</w:t>
            </w:r>
          </w:p>
        </w:tc>
        <w:tc>
          <w:tcPr>
            <w:tcW w:w="1420" w:type="dxa"/>
            <w:tcBorders>
              <w:top w:val="nil"/>
              <w:left w:val="nil"/>
              <w:bottom w:val="nil"/>
              <w:right w:val="single" w:sz="4" w:space="0" w:color="auto"/>
            </w:tcBorders>
            <w:shd w:val="clear" w:color="auto" w:fill="auto"/>
            <w:noWrap/>
            <w:vAlign w:val="bottom"/>
            <w:hideMark/>
          </w:tcPr>
          <w:p w14:paraId="3538019F"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7768</w:t>
            </w:r>
          </w:p>
        </w:tc>
      </w:tr>
      <w:tr w:rsidR="007C6ECA" w:rsidRPr="007C6ECA" w14:paraId="30854E84" w14:textId="77777777" w:rsidTr="007C6ECA">
        <w:trPr>
          <w:trHeight w:val="290"/>
        </w:trPr>
        <w:tc>
          <w:tcPr>
            <w:tcW w:w="2280" w:type="dxa"/>
            <w:tcBorders>
              <w:top w:val="nil"/>
              <w:left w:val="single" w:sz="4" w:space="0" w:color="auto"/>
              <w:bottom w:val="single" w:sz="4" w:space="0" w:color="auto"/>
              <w:right w:val="nil"/>
            </w:tcBorders>
            <w:shd w:val="clear" w:color="000000" w:fill="F2F2F2"/>
            <w:noWrap/>
            <w:vAlign w:val="bottom"/>
            <w:hideMark/>
          </w:tcPr>
          <w:p w14:paraId="4B0E19C7"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Cardiff and Vale UHB</w:t>
            </w:r>
          </w:p>
        </w:tc>
        <w:tc>
          <w:tcPr>
            <w:tcW w:w="1180" w:type="dxa"/>
            <w:tcBorders>
              <w:top w:val="nil"/>
              <w:left w:val="nil"/>
              <w:bottom w:val="single" w:sz="4" w:space="0" w:color="auto"/>
              <w:right w:val="nil"/>
            </w:tcBorders>
            <w:shd w:val="clear" w:color="000000" w:fill="F2F2F2"/>
            <w:noWrap/>
            <w:vAlign w:val="bottom"/>
            <w:hideMark/>
          </w:tcPr>
          <w:p w14:paraId="76FFD416"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521177</w:t>
            </w:r>
          </w:p>
        </w:tc>
        <w:tc>
          <w:tcPr>
            <w:tcW w:w="1180" w:type="dxa"/>
            <w:tcBorders>
              <w:top w:val="nil"/>
              <w:left w:val="nil"/>
              <w:bottom w:val="single" w:sz="4" w:space="0" w:color="auto"/>
              <w:right w:val="nil"/>
            </w:tcBorders>
            <w:shd w:val="clear" w:color="000000" w:fill="F2F2F2"/>
            <w:noWrap/>
            <w:vAlign w:val="bottom"/>
            <w:hideMark/>
          </w:tcPr>
          <w:p w14:paraId="4F78464E"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260027</w:t>
            </w:r>
          </w:p>
        </w:tc>
        <w:tc>
          <w:tcPr>
            <w:tcW w:w="1180" w:type="dxa"/>
            <w:tcBorders>
              <w:top w:val="nil"/>
              <w:left w:val="nil"/>
              <w:bottom w:val="single" w:sz="4" w:space="0" w:color="auto"/>
              <w:right w:val="nil"/>
            </w:tcBorders>
            <w:shd w:val="clear" w:color="000000" w:fill="F2F2F2"/>
            <w:noWrap/>
            <w:vAlign w:val="bottom"/>
            <w:hideMark/>
          </w:tcPr>
          <w:p w14:paraId="542DF0FB"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261150</w:t>
            </w:r>
          </w:p>
        </w:tc>
        <w:tc>
          <w:tcPr>
            <w:tcW w:w="1123" w:type="dxa"/>
            <w:tcBorders>
              <w:top w:val="nil"/>
              <w:left w:val="nil"/>
              <w:bottom w:val="single" w:sz="4" w:space="0" w:color="auto"/>
              <w:right w:val="nil"/>
            </w:tcBorders>
            <w:shd w:val="clear" w:color="000000" w:fill="F2F2F2"/>
            <w:noWrap/>
            <w:vAlign w:val="bottom"/>
            <w:hideMark/>
          </w:tcPr>
          <w:p w14:paraId="0182B470"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439365</w:t>
            </w:r>
          </w:p>
        </w:tc>
        <w:tc>
          <w:tcPr>
            <w:tcW w:w="997" w:type="dxa"/>
            <w:tcBorders>
              <w:top w:val="nil"/>
              <w:left w:val="nil"/>
              <w:bottom w:val="single" w:sz="4" w:space="0" w:color="auto"/>
              <w:right w:val="nil"/>
            </w:tcBorders>
            <w:shd w:val="clear" w:color="000000" w:fill="F2F2F2"/>
            <w:noWrap/>
            <w:vAlign w:val="bottom"/>
            <w:hideMark/>
          </w:tcPr>
          <w:p w14:paraId="0E50EBB5"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70412</w:t>
            </w:r>
          </w:p>
        </w:tc>
        <w:tc>
          <w:tcPr>
            <w:tcW w:w="1420" w:type="dxa"/>
            <w:tcBorders>
              <w:top w:val="nil"/>
              <w:left w:val="nil"/>
              <w:bottom w:val="single" w:sz="4" w:space="0" w:color="auto"/>
              <w:right w:val="single" w:sz="4" w:space="0" w:color="auto"/>
            </w:tcBorders>
            <w:shd w:val="clear" w:color="000000" w:fill="F2F2F2"/>
            <w:noWrap/>
            <w:vAlign w:val="bottom"/>
            <w:hideMark/>
          </w:tcPr>
          <w:p w14:paraId="516F2904" w14:textId="77777777" w:rsidR="007C6ECA" w:rsidRPr="007C6ECA" w:rsidRDefault="007C6ECA" w:rsidP="00DC54F7">
            <w:pPr>
              <w:spacing w:after="0" w:line="240" w:lineRule="auto"/>
              <w:jc w:val="both"/>
              <w:rPr>
                <w:rFonts w:ascii="Calibri" w:eastAsia="Times New Roman" w:hAnsi="Calibri" w:cs="Calibri"/>
                <w:color w:val="000000"/>
                <w:lang w:eastAsia="en-GB"/>
              </w:rPr>
            </w:pPr>
            <w:r w:rsidRPr="007C6ECA">
              <w:rPr>
                <w:rFonts w:ascii="Calibri" w:eastAsia="Times New Roman" w:hAnsi="Calibri" w:cs="Calibri"/>
                <w:color w:val="000000"/>
                <w:lang w:eastAsia="en-GB"/>
              </w:rPr>
              <w:t>11400</w:t>
            </w:r>
          </w:p>
        </w:tc>
      </w:tr>
    </w:tbl>
    <w:p w14:paraId="69A76F51" w14:textId="6815B7FF" w:rsidR="000D7309" w:rsidRPr="000859C8" w:rsidRDefault="000859C8" w:rsidP="00DC54F7">
      <w:pPr>
        <w:spacing w:after="0" w:line="240" w:lineRule="auto"/>
        <w:jc w:val="both"/>
        <w:rPr>
          <w:rFonts w:ascii="Arial" w:hAnsi="Arial" w:cs="Arial"/>
          <w:bCs/>
          <w:sz w:val="24"/>
          <w:szCs w:val="24"/>
        </w:rPr>
      </w:pPr>
      <w:r w:rsidRPr="007164F7">
        <w:rPr>
          <w:rFonts w:ascii="Arial" w:hAnsi="Arial" w:cs="Arial"/>
          <w:bCs/>
          <w:sz w:val="20"/>
          <w:szCs w:val="20"/>
        </w:rPr>
        <w:t>Source: StatsWales - NHS Wales Shared Services Partnership</w:t>
      </w:r>
      <w:r w:rsidRPr="000859C8">
        <w:rPr>
          <w:rFonts w:ascii="Arial" w:hAnsi="Arial" w:cs="Arial"/>
          <w:bCs/>
          <w:sz w:val="24"/>
          <w:szCs w:val="24"/>
        </w:rPr>
        <w:t>.</w:t>
      </w:r>
    </w:p>
    <w:p w14:paraId="403F70F6" w14:textId="77777777" w:rsidR="003F5B17" w:rsidRDefault="003F5B17" w:rsidP="00DC54F7">
      <w:pPr>
        <w:spacing w:after="0" w:line="240" w:lineRule="auto"/>
        <w:jc w:val="both"/>
        <w:rPr>
          <w:rFonts w:ascii="Arial" w:hAnsi="Arial" w:cs="Arial"/>
          <w:sz w:val="24"/>
          <w:szCs w:val="24"/>
        </w:rPr>
      </w:pPr>
    </w:p>
    <w:p w14:paraId="3CB8B60E" w14:textId="48034373" w:rsidR="0008459A" w:rsidRPr="00DE311C" w:rsidRDefault="0008459A" w:rsidP="00DC54F7">
      <w:pPr>
        <w:spacing w:after="0" w:line="240" w:lineRule="auto"/>
        <w:jc w:val="both"/>
        <w:rPr>
          <w:rFonts w:ascii="Arial" w:hAnsi="Arial" w:cs="Arial"/>
          <w:sz w:val="24"/>
          <w:szCs w:val="24"/>
        </w:rPr>
      </w:pPr>
      <w:r w:rsidRPr="00DE311C">
        <w:rPr>
          <w:rFonts w:ascii="Arial" w:hAnsi="Arial" w:cs="Arial"/>
          <w:sz w:val="24"/>
          <w:szCs w:val="24"/>
        </w:rPr>
        <w:t>Between 2018 to 2028, the population of Cardiff is projected to increase by up to 3.2%, the sixth largest percentage increase of all the local authorities within Wales. It is expected to have a population of around 375,700 by 2028, making it the largest local authority in Wales. Unlike all other local authorities, the increase in population will mainly be driven by natural change i.e. more births than deaths and a smaller proportion of the increase will be due to net migration i.e. more people moving into the area than out. Cardiff has the highest level of projected international migration of all the local authorities. The population is expected to increase across all broad age groups, except the 0 to 15 years old where a decrease is predicted.  The largest population increases will be in the over 65 age group followed by the working-age population aged 16 to 64 years. The population is projected to continue to age in the local authority.</w:t>
      </w:r>
    </w:p>
    <w:p w14:paraId="070F3FAD" w14:textId="0E80CF4A" w:rsidR="00C5502E" w:rsidRDefault="00C5502E" w:rsidP="00DC54F7">
      <w:pPr>
        <w:spacing w:after="0" w:line="240" w:lineRule="auto"/>
        <w:jc w:val="both"/>
        <w:rPr>
          <w:rFonts w:ascii="Arial" w:hAnsi="Arial" w:cs="Arial"/>
        </w:rPr>
      </w:pPr>
    </w:p>
    <w:p w14:paraId="7E9D061F" w14:textId="77777777" w:rsidR="00A525FB" w:rsidRDefault="00A525FB" w:rsidP="00DC54F7">
      <w:pPr>
        <w:spacing w:after="0" w:line="240" w:lineRule="auto"/>
        <w:jc w:val="both"/>
        <w:rPr>
          <w:rFonts w:ascii="Arial" w:hAnsi="Arial" w:cs="Arial"/>
        </w:rPr>
      </w:pPr>
    </w:p>
    <w:p w14:paraId="3AB5FBB2" w14:textId="034329D1" w:rsidR="00C5502E" w:rsidRPr="00DE311C" w:rsidRDefault="00DE311C" w:rsidP="00DC54F7">
      <w:pPr>
        <w:spacing w:after="0" w:line="240" w:lineRule="auto"/>
        <w:jc w:val="both"/>
        <w:rPr>
          <w:rFonts w:ascii="Arial" w:hAnsi="Arial" w:cs="Arial"/>
          <w:b/>
          <w:bCs/>
          <w:sz w:val="24"/>
          <w:szCs w:val="24"/>
        </w:rPr>
      </w:pPr>
      <w:r>
        <w:rPr>
          <w:rFonts w:ascii="Arial" w:hAnsi="Arial" w:cs="Arial"/>
          <w:b/>
          <w:bCs/>
          <w:sz w:val="24"/>
          <w:szCs w:val="24"/>
        </w:rPr>
        <w:t>9</w:t>
      </w:r>
      <w:r w:rsidR="00414242">
        <w:rPr>
          <w:rFonts w:ascii="Arial" w:hAnsi="Arial" w:cs="Arial"/>
          <w:b/>
          <w:bCs/>
          <w:sz w:val="24"/>
          <w:szCs w:val="24"/>
        </w:rPr>
        <w:t xml:space="preserve">.1.2 </w:t>
      </w:r>
      <w:r w:rsidR="00C5502E" w:rsidRPr="00DE311C">
        <w:rPr>
          <w:rFonts w:ascii="Arial" w:hAnsi="Arial" w:cs="Arial"/>
          <w:b/>
          <w:bCs/>
          <w:sz w:val="24"/>
          <w:szCs w:val="24"/>
        </w:rPr>
        <w:t>Life expectancy, healthy life expectancy and the ‘inequality gap’</w:t>
      </w:r>
    </w:p>
    <w:p w14:paraId="7285B607" w14:textId="77777777" w:rsidR="00C5502E" w:rsidRPr="00DE311C" w:rsidRDefault="00C5502E" w:rsidP="00DC54F7">
      <w:pPr>
        <w:spacing w:after="0" w:line="240" w:lineRule="auto"/>
        <w:jc w:val="both"/>
        <w:rPr>
          <w:rFonts w:ascii="Arial" w:hAnsi="Arial" w:cs="Arial"/>
          <w:b/>
          <w:bCs/>
          <w:sz w:val="24"/>
          <w:szCs w:val="24"/>
        </w:rPr>
      </w:pPr>
    </w:p>
    <w:p w14:paraId="6DB3FDC1" w14:textId="3D30ADEB" w:rsidR="00C5502E" w:rsidRPr="00185101" w:rsidRDefault="00C5502E" w:rsidP="00DC54F7">
      <w:pPr>
        <w:spacing w:after="0" w:line="240" w:lineRule="auto"/>
        <w:jc w:val="both"/>
        <w:rPr>
          <w:rFonts w:ascii="Arial" w:hAnsi="Arial" w:cs="Arial"/>
          <w:sz w:val="24"/>
          <w:szCs w:val="24"/>
        </w:rPr>
      </w:pPr>
      <w:r w:rsidRPr="00414242">
        <w:rPr>
          <w:rFonts w:ascii="Arial" w:hAnsi="Arial" w:cs="Arial"/>
          <w:sz w:val="24"/>
          <w:szCs w:val="24"/>
        </w:rPr>
        <w:t xml:space="preserve">Life expectancy at birth in Cardiff is better than the average for Wales for both females and males. The difference in life expectancy that exists across an area between the most and least deprived areas is referred to as the ‘inequality gap’. The inequality gap in life expectancy at birth between the most and least deprived fifth, for Cardiff is wider than the average for Wales for both males and females. The healthy life expectancy </w:t>
      </w:r>
      <w:r w:rsidRPr="00414242">
        <w:rPr>
          <w:rFonts w:ascii="Arial" w:hAnsi="Arial" w:cs="Arial"/>
          <w:sz w:val="24"/>
          <w:szCs w:val="24"/>
        </w:rPr>
        <w:lastRenderedPageBreak/>
        <w:t>(the number of years a person can expect to live in good health) in Cardiff is lower than the average for Wales for both females and males.</w:t>
      </w:r>
    </w:p>
    <w:p w14:paraId="2D1AC98E" w14:textId="7F8ADE6E" w:rsidR="00C5502E" w:rsidRPr="00414242" w:rsidRDefault="00C5502E" w:rsidP="00DC54F7">
      <w:pPr>
        <w:spacing w:after="0" w:line="240" w:lineRule="auto"/>
        <w:jc w:val="both"/>
        <w:rPr>
          <w:rFonts w:ascii="Arial" w:hAnsi="Arial" w:cs="Arial"/>
          <w:b/>
          <w:bCs/>
          <w:sz w:val="24"/>
          <w:szCs w:val="24"/>
        </w:rPr>
      </w:pPr>
      <w:r w:rsidRPr="00414242">
        <w:rPr>
          <w:rFonts w:ascii="Arial" w:hAnsi="Arial" w:cs="Arial"/>
          <w:b/>
          <w:bCs/>
          <w:sz w:val="24"/>
          <w:szCs w:val="24"/>
        </w:rPr>
        <w:t xml:space="preserve">Table 9.1: Life expectancy, healthy life expectancy and the ‘inequality gap’ (2015 to 2017) </w:t>
      </w:r>
    </w:p>
    <w:tbl>
      <w:tblPr>
        <w:tblW w:w="9200"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122"/>
        <w:gridCol w:w="1179"/>
        <w:gridCol w:w="1180"/>
        <w:gridCol w:w="1180"/>
        <w:gridCol w:w="1179"/>
        <w:gridCol w:w="1180"/>
        <w:gridCol w:w="1180"/>
      </w:tblGrid>
      <w:tr w:rsidR="00C5502E" w:rsidRPr="00847226" w14:paraId="65006733" w14:textId="77777777" w:rsidTr="00BF4167">
        <w:trPr>
          <w:trHeight w:val="298"/>
        </w:trPr>
        <w:tc>
          <w:tcPr>
            <w:tcW w:w="2122" w:type="dxa"/>
            <w:shd w:val="clear" w:color="000000" w:fill="8497B0"/>
            <w:noWrap/>
            <w:vAlign w:val="bottom"/>
            <w:hideMark/>
          </w:tcPr>
          <w:p w14:paraId="77B30A8C" w14:textId="77777777" w:rsidR="00C5502E" w:rsidRPr="00414242" w:rsidRDefault="00C5502E" w:rsidP="00DC54F7">
            <w:pPr>
              <w:spacing w:after="0" w:line="240" w:lineRule="auto"/>
              <w:jc w:val="both"/>
              <w:rPr>
                <w:rFonts w:ascii="Calibri" w:eastAsia="Times New Roman" w:hAnsi="Calibri" w:cs="Calibri"/>
                <w:lang w:eastAsia="en-GB"/>
              </w:rPr>
            </w:pPr>
            <w:r w:rsidRPr="00414242">
              <w:rPr>
                <w:rFonts w:ascii="Calibri" w:eastAsia="Times New Roman" w:hAnsi="Calibri" w:cs="Calibri"/>
                <w:lang w:eastAsia="en-GB"/>
              </w:rPr>
              <w:t> </w:t>
            </w:r>
          </w:p>
        </w:tc>
        <w:tc>
          <w:tcPr>
            <w:tcW w:w="2359" w:type="dxa"/>
            <w:gridSpan w:val="2"/>
            <w:shd w:val="clear" w:color="000000" w:fill="8497B0"/>
            <w:noWrap/>
            <w:vAlign w:val="bottom"/>
            <w:hideMark/>
          </w:tcPr>
          <w:p w14:paraId="2AA8A561" w14:textId="77777777" w:rsidR="00C5502E" w:rsidRPr="00414242" w:rsidRDefault="00C5502E" w:rsidP="00DC54F7">
            <w:pPr>
              <w:spacing w:after="0" w:line="240" w:lineRule="auto"/>
              <w:jc w:val="both"/>
              <w:rPr>
                <w:rFonts w:ascii="Calibri" w:eastAsia="Times New Roman" w:hAnsi="Calibri" w:cs="Calibri"/>
                <w:b/>
                <w:bCs/>
                <w:color w:val="FFFFFF"/>
                <w:lang w:eastAsia="en-GB"/>
              </w:rPr>
            </w:pPr>
            <w:r w:rsidRPr="00414242">
              <w:rPr>
                <w:rFonts w:ascii="Calibri" w:eastAsia="Times New Roman" w:hAnsi="Calibri" w:cs="Calibri"/>
                <w:b/>
                <w:bCs/>
                <w:color w:val="FFFFFF"/>
                <w:lang w:eastAsia="en-GB"/>
              </w:rPr>
              <w:t>Life expectancy at birth (years)</w:t>
            </w:r>
          </w:p>
        </w:tc>
        <w:tc>
          <w:tcPr>
            <w:tcW w:w="2359" w:type="dxa"/>
            <w:gridSpan w:val="2"/>
            <w:shd w:val="clear" w:color="000000" w:fill="8497B0"/>
            <w:noWrap/>
            <w:vAlign w:val="bottom"/>
            <w:hideMark/>
          </w:tcPr>
          <w:p w14:paraId="22DD5248" w14:textId="77777777" w:rsidR="00C5502E" w:rsidRPr="00414242" w:rsidRDefault="00C5502E" w:rsidP="00DC54F7">
            <w:pPr>
              <w:spacing w:after="0" w:line="240" w:lineRule="auto"/>
              <w:jc w:val="both"/>
              <w:rPr>
                <w:rFonts w:ascii="Calibri" w:eastAsia="Times New Roman" w:hAnsi="Calibri" w:cs="Calibri"/>
                <w:b/>
                <w:bCs/>
                <w:color w:val="FFFFFF"/>
                <w:lang w:eastAsia="en-GB"/>
              </w:rPr>
            </w:pPr>
            <w:r w:rsidRPr="00414242">
              <w:rPr>
                <w:rFonts w:ascii="Calibri" w:eastAsia="Times New Roman" w:hAnsi="Calibri" w:cs="Calibri"/>
                <w:b/>
                <w:bCs/>
                <w:color w:val="FFFFFF"/>
                <w:lang w:eastAsia="en-GB"/>
              </w:rPr>
              <w:t>Healthy life expectancy (years)</w:t>
            </w:r>
          </w:p>
        </w:tc>
        <w:tc>
          <w:tcPr>
            <w:tcW w:w="2360" w:type="dxa"/>
            <w:gridSpan w:val="2"/>
            <w:shd w:val="clear" w:color="000000" w:fill="8497B0"/>
            <w:noWrap/>
            <w:vAlign w:val="bottom"/>
            <w:hideMark/>
          </w:tcPr>
          <w:p w14:paraId="54593129" w14:textId="77777777" w:rsidR="00414242" w:rsidRDefault="00C5502E" w:rsidP="00DC54F7">
            <w:pPr>
              <w:spacing w:after="0" w:line="240" w:lineRule="auto"/>
              <w:jc w:val="both"/>
              <w:rPr>
                <w:rFonts w:ascii="Calibri" w:eastAsia="Times New Roman" w:hAnsi="Calibri" w:cs="Calibri"/>
                <w:b/>
                <w:bCs/>
                <w:color w:val="FFFFFF"/>
                <w:lang w:eastAsia="en-GB"/>
              </w:rPr>
            </w:pPr>
            <w:r w:rsidRPr="00414242">
              <w:rPr>
                <w:rFonts w:ascii="Calibri" w:eastAsia="Times New Roman" w:hAnsi="Calibri" w:cs="Calibri"/>
                <w:b/>
                <w:bCs/>
                <w:color w:val="FFFFFF"/>
                <w:lang w:eastAsia="en-GB"/>
              </w:rPr>
              <w:t>Inequality gap</w:t>
            </w:r>
          </w:p>
          <w:p w14:paraId="1FAA580B" w14:textId="571ED188" w:rsidR="00C5502E" w:rsidRPr="00414242" w:rsidRDefault="00C5502E" w:rsidP="00DC54F7">
            <w:pPr>
              <w:spacing w:after="0" w:line="240" w:lineRule="auto"/>
              <w:jc w:val="both"/>
              <w:rPr>
                <w:rFonts w:ascii="Calibri" w:eastAsia="Times New Roman" w:hAnsi="Calibri" w:cs="Calibri"/>
                <w:b/>
                <w:bCs/>
                <w:color w:val="FFFFFF"/>
                <w:lang w:eastAsia="en-GB"/>
              </w:rPr>
            </w:pPr>
            <w:r w:rsidRPr="00414242">
              <w:rPr>
                <w:rFonts w:ascii="Calibri" w:eastAsia="Times New Roman" w:hAnsi="Calibri" w:cs="Calibri"/>
                <w:b/>
                <w:bCs/>
                <w:color w:val="FFFFFF"/>
                <w:lang w:eastAsia="en-GB"/>
              </w:rPr>
              <w:t xml:space="preserve"> (years)</w:t>
            </w:r>
          </w:p>
        </w:tc>
      </w:tr>
      <w:tr w:rsidR="00C5502E" w:rsidRPr="00847226" w14:paraId="3517ED6A" w14:textId="77777777" w:rsidTr="00BF4167">
        <w:trPr>
          <w:trHeight w:val="298"/>
        </w:trPr>
        <w:tc>
          <w:tcPr>
            <w:tcW w:w="2122" w:type="dxa"/>
            <w:shd w:val="clear" w:color="000000" w:fill="8497B0"/>
            <w:noWrap/>
            <w:vAlign w:val="bottom"/>
            <w:hideMark/>
          </w:tcPr>
          <w:p w14:paraId="5B83FB1F" w14:textId="77777777" w:rsidR="00C5502E" w:rsidRPr="00414242" w:rsidRDefault="00C5502E" w:rsidP="00DC54F7">
            <w:pPr>
              <w:spacing w:after="0" w:line="240" w:lineRule="auto"/>
              <w:jc w:val="both"/>
              <w:rPr>
                <w:rFonts w:ascii="Calibri" w:eastAsia="Times New Roman" w:hAnsi="Calibri" w:cs="Calibri"/>
                <w:b/>
                <w:bCs/>
                <w:color w:val="FFFFFF"/>
                <w:lang w:eastAsia="en-GB"/>
              </w:rPr>
            </w:pPr>
            <w:r w:rsidRPr="00414242">
              <w:rPr>
                <w:rFonts w:ascii="Calibri" w:eastAsia="Times New Roman" w:hAnsi="Calibri" w:cs="Calibri"/>
                <w:b/>
                <w:bCs/>
                <w:color w:val="FFFFFF"/>
                <w:lang w:eastAsia="en-GB"/>
              </w:rPr>
              <w:t> </w:t>
            </w:r>
          </w:p>
        </w:tc>
        <w:tc>
          <w:tcPr>
            <w:tcW w:w="1179" w:type="dxa"/>
            <w:shd w:val="clear" w:color="000000" w:fill="8497B0"/>
            <w:vAlign w:val="center"/>
            <w:hideMark/>
          </w:tcPr>
          <w:p w14:paraId="7145CE2B" w14:textId="77777777" w:rsidR="00C5502E" w:rsidRPr="00414242" w:rsidRDefault="00C5502E" w:rsidP="00DC54F7">
            <w:pPr>
              <w:spacing w:after="0" w:line="240" w:lineRule="auto"/>
              <w:jc w:val="both"/>
              <w:rPr>
                <w:rFonts w:ascii="Calibri" w:eastAsia="Times New Roman" w:hAnsi="Calibri" w:cs="Calibri"/>
                <w:b/>
                <w:bCs/>
                <w:color w:val="FFFFFF"/>
                <w:lang w:eastAsia="en-GB"/>
              </w:rPr>
            </w:pPr>
            <w:r w:rsidRPr="00414242">
              <w:rPr>
                <w:rFonts w:ascii="Calibri" w:eastAsia="Times New Roman" w:hAnsi="Calibri" w:cs="Calibri"/>
                <w:b/>
                <w:bCs/>
                <w:color w:val="FFFFFF"/>
                <w:lang w:eastAsia="en-GB"/>
              </w:rPr>
              <w:t>Females</w:t>
            </w:r>
          </w:p>
        </w:tc>
        <w:tc>
          <w:tcPr>
            <w:tcW w:w="1180" w:type="dxa"/>
            <w:shd w:val="clear" w:color="000000" w:fill="8497B0"/>
            <w:vAlign w:val="center"/>
            <w:hideMark/>
          </w:tcPr>
          <w:p w14:paraId="1E0335C5" w14:textId="77777777" w:rsidR="00C5502E" w:rsidRPr="00414242" w:rsidRDefault="00C5502E" w:rsidP="00DC54F7">
            <w:pPr>
              <w:spacing w:after="0" w:line="240" w:lineRule="auto"/>
              <w:jc w:val="both"/>
              <w:rPr>
                <w:rFonts w:ascii="Calibri" w:eastAsia="Times New Roman" w:hAnsi="Calibri" w:cs="Calibri"/>
                <w:b/>
                <w:bCs/>
                <w:color w:val="FFFFFF"/>
                <w:lang w:eastAsia="en-GB"/>
              </w:rPr>
            </w:pPr>
            <w:r w:rsidRPr="00414242">
              <w:rPr>
                <w:rFonts w:ascii="Calibri" w:eastAsia="Times New Roman" w:hAnsi="Calibri" w:cs="Calibri"/>
                <w:b/>
                <w:bCs/>
                <w:color w:val="FFFFFF"/>
                <w:lang w:eastAsia="en-GB"/>
              </w:rPr>
              <w:t>Males</w:t>
            </w:r>
          </w:p>
        </w:tc>
        <w:tc>
          <w:tcPr>
            <w:tcW w:w="1180" w:type="dxa"/>
            <w:shd w:val="clear" w:color="000000" w:fill="8497B0"/>
            <w:vAlign w:val="center"/>
            <w:hideMark/>
          </w:tcPr>
          <w:p w14:paraId="7C327AA3" w14:textId="77777777" w:rsidR="00C5502E" w:rsidRPr="00414242" w:rsidRDefault="00C5502E" w:rsidP="00DC54F7">
            <w:pPr>
              <w:spacing w:after="0" w:line="240" w:lineRule="auto"/>
              <w:jc w:val="both"/>
              <w:rPr>
                <w:rFonts w:ascii="Calibri" w:eastAsia="Times New Roman" w:hAnsi="Calibri" w:cs="Calibri"/>
                <w:b/>
                <w:bCs/>
                <w:color w:val="FFFFFF"/>
                <w:lang w:eastAsia="en-GB"/>
              </w:rPr>
            </w:pPr>
            <w:r w:rsidRPr="00414242">
              <w:rPr>
                <w:rFonts w:ascii="Calibri" w:eastAsia="Times New Roman" w:hAnsi="Calibri" w:cs="Calibri"/>
                <w:b/>
                <w:bCs/>
                <w:color w:val="FFFFFF"/>
                <w:lang w:eastAsia="en-GB"/>
              </w:rPr>
              <w:t>Females</w:t>
            </w:r>
          </w:p>
        </w:tc>
        <w:tc>
          <w:tcPr>
            <w:tcW w:w="1179" w:type="dxa"/>
            <w:shd w:val="clear" w:color="000000" w:fill="8497B0"/>
            <w:vAlign w:val="center"/>
            <w:hideMark/>
          </w:tcPr>
          <w:p w14:paraId="3797C8A2" w14:textId="77777777" w:rsidR="00C5502E" w:rsidRPr="00414242" w:rsidRDefault="00C5502E" w:rsidP="00DC54F7">
            <w:pPr>
              <w:spacing w:after="0" w:line="240" w:lineRule="auto"/>
              <w:jc w:val="both"/>
              <w:rPr>
                <w:rFonts w:ascii="Calibri" w:eastAsia="Times New Roman" w:hAnsi="Calibri" w:cs="Calibri"/>
                <w:b/>
                <w:bCs/>
                <w:color w:val="FFFFFF"/>
                <w:lang w:eastAsia="en-GB"/>
              </w:rPr>
            </w:pPr>
            <w:r w:rsidRPr="00414242">
              <w:rPr>
                <w:rFonts w:ascii="Calibri" w:eastAsia="Times New Roman" w:hAnsi="Calibri" w:cs="Calibri"/>
                <w:b/>
                <w:bCs/>
                <w:color w:val="FFFFFF"/>
                <w:lang w:eastAsia="en-GB"/>
              </w:rPr>
              <w:t>Males</w:t>
            </w:r>
          </w:p>
        </w:tc>
        <w:tc>
          <w:tcPr>
            <w:tcW w:w="1180" w:type="dxa"/>
            <w:shd w:val="clear" w:color="000000" w:fill="8497B0"/>
            <w:vAlign w:val="center"/>
            <w:hideMark/>
          </w:tcPr>
          <w:p w14:paraId="54F8CDC9" w14:textId="77777777" w:rsidR="00C5502E" w:rsidRPr="00414242" w:rsidRDefault="00C5502E" w:rsidP="00DC54F7">
            <w:pPr>
              <w:spacing w:after="0" w:line="240" w:lineRule="auto"/>
              <w:jc w:val="both"/>
              <w:rPr>
                <w:rFonts w:ascii="Calibri" w:eastAsia="Times New Roman" w:hAnsi="Calibri" w:cs="Calibri"/>
                <w:b/>
                <w:bCs/>
                <w:color w:val="FFFFFF"/>
                <w:lang w:eastAsia="en-GB"/>
              </w:rPr>
            </w:pPr>
            <w:r w:rsidRPr="00414242">
              <w:rPr>
                <w:rFonts w:ascii="Calibri" w:eastAsia="Times New Roman" w:hAnsi="Calibri" w:cs="Calibri"/>
                <w:b/>
                <w:bCs/>
                <w:color w:val="FFFFFF"/>
                <w:lang w:eastAsia="en-GB"/>
              </w:rPr>
              <w:t>Females</w:t>
            </w:r>
          </w:p>
        </w:tc>
        <w:tc>
          <w:tcPr>
            <w:tcW w:w="1180" w:type="dxa"/>
            <w:shd w:val="clear" w:color="000000" w:fill="8497B0"/>
            <w:vAlign w:val="center"/>
            <w:hideMark/>
          </w:tcPr>
          <w:p w14:paraId="67FB772D" w14:textId="77777777" w:rsidR="00C5502E" w:rsidRPr="00414242" w:rsidRDefault="00C5502E" w:rsidP="00DC54F7">
            <w:pPr>
              <w:spacing w:after="0" w:line="240" w:lineRule="auto"/>
              <w:jc w:val="both"/>
              <w:rPr>
                <w:rFonts w:ascii="Calibri" w:eastAsia="Times New Roman" w:hAnsi="Calibri" w:cs="Calibri"/>
                <w:b/>
                <w:bCs/>
                <w:color w:val="FFFFFF"/>
                <w:lang w:eastAsia="en-GB"/>
              </w:rPr>
            </w:pPr>
            <w:r w:rsidRPr="00414242">
              <w:rPr>
                <w:rFonts w:ascii="Calibri" w:eastAsia="Times New Roman" w:hAnsi="Calibri" w:cs="Calibri"/>
                <w:b/>
                <w:bCs/>
                <w:color w:val="FFFFFF"/>
                <w:lang w:eastAsia="en-GB"/>
              </w:rPr>
              <w:t>Males</w:t>
            </w:r>
          </w:p>
        </w:tc>
      </w:tr>
      <w:tr w:rsidR="00C5502E" w:rsidRPr="00847226" w14:paraId="3F4F85D5" w14:textId="77777777" w:rsidTr="00BF4167">
        <w:trPr>
          <w:trHeight w:val="298"/>
        </w:trPr>
        <w:tc>
          <w:tcPr>
            <w:tcW w:w="2122" w:type="dxa"/>
            <w:shd w:val="clear" w:color="000000" w:fill="F2F2F2"/>
            <w:noWrap/>
            <w:vAlign w:val="bottom"/>
            <w:hideMark/>
          </w:tcPr>
          <w:p w14:paraId="71FBBCD8"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 xml:space="preserve">Cardiff </w:t>
            </w:r>
          </w:p>
        </w:tc>
        <w:tc>
          <w:tcPr>
            <w:tcW w:w="1179" w:type="dxa"/>
            <w:shd w:val="clear" w:color="000000" w:fill="F2F2F2"/>
            <w:noWrap/>
            <w:vAlign w:val="bottom"/>
            <w:hideMark/>
          </w:tcPr>
          <w:p w14:paraId="6188934B"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82.7</w:t>
            </w:r>
          </w:p>
        </w:tc>
        <w:tc>
          <w:tcPr>
            <w:tcW w:w="1180" w:type="dxa"/>
            <w:shd w:val="clear" w:color="000000" w:fill="F2F2F2"/>
            <w:noWrap/>
            <w:vAlign w:val="bottom"/>
            <w:hideMark/>
          </w:tcPr>
          <w:p w14:paraId="4F878295"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78.5</w:t>
            </w:r>
          </w:p>
        </w:tc>
        <w:tc>
          <w:tcPr>
            <w:tcW w:w="1180" w:type="dxa"/>
            <w:shd w:val="clear" w:color="000000" w:fill="F2F2F2"/>
            <w:noWrap/>
            <w:vAlign w:val="bottom"/>
            <w:hideMark/>
          </w:tcPr>
          <w:p w14:paraId="1CA95BE8"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61.1</w:t>
            </w:r>
          </w:p>
        </w:tc>
        <w:tc>
          <w:tcPr>
            <w:tcW w:w="1179" w:type="dxa"/>
            <w:shd w:val="clear" w:color="000000" w:fill="F2F2F2"/>
            <w:noWrap/>
            <w:vAlign w:val="bottom"/>
            <w:hideMark/>
          </w:tcPr>
          <w:p w14:paraId="28379B97"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61.2</w:t>
            </w:r>
          </w:p>
        </w:tc>
        <w:tc>
          <w:tcPr>
            <w:tcW w:w="1180" w:type="dxa"/>
            <w:shd w:val="clear" w:color="000000" w:fill="F2F2F2"/>
            <w:noWrap/>
            <w:vAlign w:val="bottom"/>
            <w:hideMark/>
          </w:tcPr>
          <w:p w14:paraId="7858AE31"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6.9</w:t>
            </w:r>
          </w:p>
        </w:tc>
        <w:tc>
          <w:tcPr>
            <w:tcW w:w="1180" w:type="dxa"/>
            <w:shd w:val="clear" w:color="000000" w:fill="F2F2F2"/>
            <w:noWrap/>
            <w:vAlign w:val="bottom"/>
            <w:hideMark/>
          </w:tcPr>
          <w:p w14:paraId="7D1F92CC"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9.2</w:t>
            </w:r>
          </w:p>
        </w:tc>
      </w:tr>
      <w:tr w:rsidR="00C5502E" w:rsidRPr="00847226" w14:paraId="3101F450" w14:textId="77777777" w:rsidTr="00BF4167">
        <w:trPr>
          <w:trHeight w:val="298"/>
        </w:trPr>
        <w:tc>
          <w:tcPr>
            <w:tcW w:w="2122" w:type="dxa"/>
            <w:shd w:val="clear" w:color="auto" w:fill="auto"/>
            <w:noWrap/>
            <w:vAlign w:val="bottom"/>
            <w:hideMark/>
          </w:tcPr>
          <w:p w14:paraId="68CE219B"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Cardiff and Vale UHB</w:t>
            </w:r>
          </w:p>
        </w:tc>
        <w:tc>
          <w:tcPr>
            <w:tcW w:w="1179" w:type="dxa"/>
            <w:shd w:val="clear" w:color="auto" w:fill="auto"/>
            <w:noWrap/>
            <w:vAlign w:val="bottom"/>
            <w:hideMark/>
          </w:tcPr>
          <w:p w14:paraId="46EC205C" w14:textId="6747E253"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83</w:t>
            </w:r>
            <w:r w:rsidR="00414242">
              <w:rPr>
                <w:rFonts w:ascii="Calibri" w:eastAsia="Times New Roman" w:hAnsi="Calibri" w:cs="Calibri"/>
                <w:color w:val="000000"/>
                <w:lang w:eastAsia="en-GB"/>
              </w:rPr>
              <w:t>.0</w:t>
            </w:r>
          </w:p>
        </w:tc>
        <w:tc>
          <w:tcPr>
            <w:tcW w:w="1180" w:type="dxa"/>
            <w:shd w:val="clear" w:color="auto" w:fill="auto"/>
            <w:noWrap/>
            <w:vAlign w:val="bottom"/>
            <w:hideMark/>
          </w:tcPr>
          <w:p w14:paraId="6BA23639"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78.7</w:t>
            </w:r>
          </w:p>
        </w:tc>
        <w:tc>
          <w:tcPr>
            <w:tcW w:w="1180" w:type="dxa"/>
            <w:shd w:val="clear" w:color="auto" w:fill="auto"/>
            <w:noWrap/>
            <w:vAlign w:val="bottom"/>
            <w:hideMark/>
          </w:tcPr>
          <w:p w14:paraId="49070984" w14:textId="0073A00C"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62</w:t>
            </w:r>
            <w:r w:rsidR="00414242">
              <w:rPr>
                <w:rFonts w:ascii="Calibri" w:eastAsia="Times New Roman" w:hAnsi="Calibri" w:cs="Calibri"/>
                <w:color w:val="000000"/>
                <w:lang w:eastAsia="en-GB"/>
              </w:rPr>
              <w:t>.0</w:t>
            </w:r>
          </w:p>
        </w:tc>
        <w:tc>
          <w:tcPr>
            <w:tcW w:w="1179" w:type="dxa"/>
            <w:shd w:val="clear" w:color="auto" w:fill="auto"/>
            <w:noWrap/>
            <w:vAlign w:val="bottom"/>
            <w:hideMark/>
          </w:tcPr>
          <w:p w14:paraId="2E04DA81"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61.9</w:t>
            </w:r>
          </w:p>
        </w:tc>
        <w:tc>
          <w:tcPr>
            <w:tcW w:w="1180" w:type="dxa"/>
            <w:shd w:val="clear" w:color="auto" w:fill="auto"/>
            <w:noWrap/>
            <w:vAlign w:val="bottom"/>
            <w:hideMark/>
          </w:tcPr>
          <w:p w14:paraId="0B3F60A2"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6.6</w:t>
            </w:r>
          </w:p>
        </w:tc>
        <w:tc>
          <w:tcPr>
            <w:tcW w:w="1180" w:type="dxa"/>
            <w:shd w:val="clear" w:color="auto" w:fill="auto"/>
            <w:noWrap/>
            <w:vAlign w:val="bottom"/>
            <w:hideMark/>
          </w:tcPr>
          <w:p w14:paraId="196ACB32"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8.6</w:t>
            </w:r>
          </w:p>
        </w:tc>
      </w:tr>
      <w:tr w:rsidR="00C5502E" w:rsidRPr="00847226" w14:paraId="005FE18E" w14:textId="77777777" w:rsidTr="00BF4167">
        <w:trPr>
          <w:trHeight w:val="298"/>
        </w:trPr>
        <w:tc>
          <w:tcPr>
            <w:tcW w:w="2122" w:type="dxa"/>
            <w:shd w:val="clear" w:color="000000" w:fill="F2F2F2"/>
            <w:noWrap/>
            <w:vAlign w:val="bottom"/>
            <w:hideMark/>
          </w:tcPr>
          <w:p w14:paraId="33066EEA"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Wales</w:t>
            </w:r>
          </w:p>
        </w:tc>
        <w:tc>
          <w:tcPr>
            <w:tcW w:w="1179" w:type="dxa"/>
            <w:shd w:val="clear" w:color="000000" w:fill="F2F2F2"/>
            <w:noWrap/>
            <w:vAlign w:val="bottom"/>
            <w:hideMark/>
          </w:tcPr>
          <w:p w14:paraId="18D9D649"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82.3</w:t>
            </w:r>
          </w:p>
        </w:tc>
        <w:tc>
          <w:tcPr>
            <w:tcW w:w="1180" w:type="dxa"/>
            <w:shd w:val="clear" w:color="000000" w:fill="F2F2F2"/>
            <w:noWrap/>
            <w:vAlign w:val="bottom"/>
            <w:hideMark/>
          </w:tcPr>
          <w:p w14:paraId="77FE68BC"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78.3</w:t>
            </w:r>
          </w:p>
        </w:tc>
        <w:tc>
          <w:tcPr>
            <w:tcW w:w="1180" w:type="dxa"/>
            <w:shd w:val="clear" w:color="000000" w:fill="F2F2F2"/>
            <w:noWrap/>
            <w:vAlign w:val="bottom"/>
            <w:hideMark/>
          </w:tcPr>
          <w:p w14:paraId="7604F9AB" w14:textId="2C9B78C8"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62</w:t>
            </w:r>
            <w:r w:rsidR="00414242">
              <w:rPr>
                <w:rFonts w:ascii="Calibri" w:eastAsia="Times New Roman" w:hAnsi="Calibri" w:cs="Calibri"/>
                <w:color w:val="000000"/>
                <w:lang w:eastAsia="en-GB"/>
              </w:rPr>
              <w:t>.0</w:t>
            </w:r>
          </w:p>
        </w:tc>
        <w:tc>
          <w:tcPr>
            <w:tcW w:w="1179" w:type="dxa"/>
            <w:shd w:val="clear" w:color="000000" w:fill="F2F2F2"/>
            <w:noWrap/>
            <w:vAlign w:val="bottom"/>
            <w:hideMark/>
          </w:tcPr>
          <w:p w14:paraId="37EAFB40"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61.4</w:t>
            </w:r>
          </w:p>
        </w:tc>
        <w:tc>
          <w:tcPr>
            <w:tcW w:w="1180" w:type="dxa"/>
            <w:shd w:val="clear" w:color="000000" w:fill="F2F2F2"/>
            <w:noWrap/>
            <w:vAlign w:val="bottom"/>
            <w:hideMark/>
          </w:tcPr>
          <w:p w14:paraId="4CB58FE7"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6.1</w:t>
            </w:r>
          </w:p>
        </w:tc>
        <w:tc>
          <w:tcPr>
            <w:tcW w:w="1180" w:type="dxa"/>
            <w:shd w:val="clear" w:color="000000" w:fill="F2F2F2"/>
            <w:noWrap/>
            <w:vAlign w:val="bottom"/>
            <w:hideMark/>
          </w:tcPr>
          <w:p w14:paraId="6C5E7FF6" w14:textId="77777777" w:rsidR="00C5502E" w:rsidRPr="00414242" w:rsidRDefault="00C5502E" w:rsidP="00DC54F7">
            <w:pPr>
              <w:spacing w:after="0" w:line="240" w:lineRule="auto"/>
              <w:jc w:val="both"/>
              <w:rPr>
                <w:rFonts w:ascii="Calibri" w:eastAsia="Times New Roman" w:hAnsi="Calibri" w:cs="Calibri"/>
                <w:color w:val="000000"/>
                <w:lang w:eastAsia="en-GB"/>
              </w:rPr>
            </w:pPr>
            <w:r w:rsidRPr="00414242">
              <w:rPr>
                <w:rFonts w:ascii="Calibri" w:eastAsia="Times New Roman" w:hAnsi="Calibri" w:cs="Calibri"/>
                <w:color w:val="000000"/>
                <w:lang w:eastAsia="en-GB"/>
              </w:rPr>
              <w:t>7.4</w:t>
            </w:r>
          </w:p>
        </w:tc>
      </w:tr>
    </w:tbl>
    <w:p w14:paraId="795CA853" w14:textId="77777777" w:rsidR="00C5502E" w:rsidRPr="00414242" w:rsidRDefault="00C5502E" w:rsidP="00DC54F7">
      <w:pPr>
        <w:spacing w:after="0" w:line="240" w:lineRule="auto"/>
        <w:jc w:val="both"/>
        <w:rPr>
          <w:rFonts w:ascii="Arial" w:hAnsi="Arial" w:cs="Arial"/>
          <w:sz w:val="20"/>
          <w:szCs w:val="20"/>
        </w:rPr>
      </w:pPr>
      <w:r w:rsidRPr="00414242">
        <w:rPr>
          <w:rFonts w:ascii="Arial" w:hAnsi="Arial" w:cs="Arial"/>
          <w:sz w:val="20"/>
          <w:szCs w:val="20"/>
        </w:rPr>
        <w:t>Source: Public Health Wales Observatory PHOF Tool (2017) using ONS and WG data</w:t>
      </w:r>
    </w:p>
    <w:p w14:paraId="72B26AA4" w14:textId="6900D4F6" w:rsidR="00C5502E" w:rsidRDefault="00C5502E" w:rsidP="00DC54F7">
      <w:pPr>
        <w:spacing w:after="0" w:line="240" w:lineRule="auto"/>
        <w:jc w:val="both"/>
        <w:rPr>
          <w:rFonts w:ascii="Arial" w:hAnsi="Arial" w:cs="Arial"/>
          <w:sz w:val="20"/>
          <w:szCs w:val="20"/>
        </w:rPr>
      </w:pPr>
    </w:p>
    <w:p w14:paraId="5FF6CB64" w14:textId="77777777" w:rsidR="00A525FB" w:rsidRPr="00414242" w:rsidRDefault="00A525FB" w:rsidP="00DC54F7">
      <w:pPr>
        <w:spacing w:after="0" w:line="240" w:lineRule="auto"/>
        <w:jc w:val="both"/>
        <w:rPr>
          <w:rFonts w:ascii="Arial" w:hAnsi="Arial" w:cs="Arial"/>
          <w:sz w:val="20"/>
          <w:szCs w:val="20"/>
        </w:rPr>
      </w:pPr>
    </w:p>
    <w:p w14:paraId="0B256B19" w14:textId="687AD570" w:rsidR="00C5502E" w:rsidRPr="00414242" w:rsidRDefault="00414242" w:rsidP="00DC54F7">
      <w:pPr>
        <w:spacing w:after="0" w:line="240" w:lineRule="auto"/>
        <w:jc w:val="both"/>
        <w:rPr>
          <w:rFonts w:ascii="Arial" w:hAnsi="Arial" w:cs="Arial"/>
          <w:b/>
          <w:bCs/>
          <w:sz w:val="24"/>
          <w:szCs w:val="24"/>
        </w:rPr>
      </w:pPr>
      <w:r>
        <w:rPr>
          <w:rFonts w:ascii="Arial" w:hAnsi="Arial" w:cs="Arial"/>
          <w:b/>
          <w:bCs/>
          <w:sz w:val="24"/>
          <w:szCs w:val="24"/>
        </w:rPr>
        <w:t xml:space="preserve">9.1.3 </w:t>
      </w:r>
      <w:r w:rsidR="00C5502E" w:rsidRPr="00414242">
        <w:rPr>
          <w:rFonts w:ascii="Arial" w:hAnsi="Arial" w:cs="Arial"/>
          <w:b/>
          <w:bCs/>
          <w:sz w:val="24"/>
          <w:szCs w:val="24"/>
        </w:rPr>
        <w:t>Deprivation</w:t>
      </w:r>
    </w:p>
    <w:p w14:paraId="146803A5" w14:textId="77777777" w:rsidR="00C5502E" w:rsidRPr="00414242" w:rsidRDefault="00C5502E" w:rsidP="00DC54F7">
      <w:pPr>
        <w:spacing w:after="0" w:line="240" w:lineRule="auto"/>
        <w:jc w:val="both"/>
        <w:rPr>
          <w:rFonts w:ascii="Arial" w:hAnsi="Arial" w:cs="Arial"/>
          <w:sz w:val="24"/>
          <w:szCs w:val="24"/>
        </w:rPr>
      </w:pPr>
    </w:p>
    <w:p w14:paraId="41B212C9" w14:textId="358A4439" w:rsidR="00C5502E" w:rsidRPr="00414242" w:rsidRDefault="00C5502E" w:rsidP="00DC54F7">
      <w:pPr>
        <w:spacing w:after="0" w:line="240" w:lineRule="auto"/>
        <w:jc w:val="both"/>
        <w:rPr>
          <w:rFonts w:ascii="Arial" w:hAnsi="Arial" w:cs="Arial"/>
          <w:sz w:val="24"/>
          <w:szCs w:val="24"/>
        </w:rPr>
      </w:pPr>
      <w:r w:rsidRPr="00414242">
        <w:rPr>
          <w:rFonts w:ascii="Arial" w:hAnsi="Arial" w:cs="Arial"/>
          <w:sz w:val="24"/>
          <w:szCs w:val="24"/>
        </w:rPr>
        <w:t xml:space="preserve">Deprivation is the lack of access to opportunities and resources which might be expected in society. The Welsh Index of Multiple Deprivation (WIMD) allows for the ranking of small areas, called Lower layer Super Output Areas (LSOAs) in Wales to determine whether an area is more or less deprived compared to all other small areas in Wales.  </w:t>
      </w:r>
    </w:p>
    <w:p w14:paraId="67877093" w14:textId="77777777" w:rsidR="00C5502E" w:rsidRPr="00414242" w:rsidRDefault="00C5502E" w:rsidP="00DC54F7">
      <w:pPr>
        <w:spacing w:after="0" w:line="240" w:lineRule="auto"/>
        <w:jc w:val="both"/>
        <w:rPr>
          <w:rFonts w:ascii="Arial" w:hAnsi="Arial" w:cs="Arial"/>
          <w:sz w:val="24"/>
          <w:szCs w:val="24"/>
        </w:rPr>
      </w:pPr>
    </w:p>
    <w:p w14:paraId="51F6A326" w14:textId="1FF66170" w:rsidR="00C5502E" w:rsidRPr="00830409" w:rsidRDefault="00C5502E" w:rsidP="00DC54F7">
      <w:pPr>
        <w:spacing w:after="0" w:line="240" w:lineRule="auto"/>
        <w:jc w:val="both"/>
        <w:rPr>
          <w:rFonts w:ascii="Arial" w:hAnsi="Arial" w:cs="Arial"/>
          <w:b/>
          <w:bCs/>
          <w:sz w:val="24"/>
          <w:szCs w:val="24"/>
        </w:rPr>
      </w:pPr>
      <w:r w:rsidRPr="00830409">
        <w:rPr>
          <w:rFonts w:ascii="Arial" w:hAnsi="Arial" w:cs="Arial"/>
          <w:sz w:val="24"/>
          <w:szCs w:val="24"/>
        </w:rPr>
        <w:t xml:space="preserve">Overall, Cardiff </w:t>
      </w:r>
      <w:r w:rsidR="00D51F72" w:rsidRPr="00830409">
        <w:rPr>
          <w:rFonts w:ascii="Arial" w:hAnsi="Arial" w:cs="Arial"/>
          <w:sz w:val="24"/>
          <w:szCs w:val="24"/>
        </w:rPr>
        <w:t xml:space="preserve">South </w:t>
      </w:r>
      <w:r w:rsidRPr="00830409">
        <w:rPr>
          <w:rFonts w:ascii="Arial" w:hAnsi="Arial" w:cs="Arial"/>
          <w:sz w:val="24"/>
          <w:szCs w:val="24"/>
        </w:rPr>
        <w:t xml:space="preserve">East </w:t>
      </w:r>
      <w:r w:rsidR="00D51F72" w:rsidRPr="00830409">
        <w:rPr>
          <w:rFonts w:ascii="Arial" w:hAnsi="Arial" w:cs="Arial"/>
          <w:sz w:val="24"/>
          <w:szCs w:val="24"/>
        </w:rPr>
        <w:t xml:space="preserve">cluster </w:t>
      </w:r>
      <w:r w:rsidRPr="00830409">
        <w:rPr>
          <w:rFonts w:ascii="Arial" w:hAnsi="Arial" w:cs="Arial"/>
          <w:sz w:val="24"/>
          <w:szCs w:val="24"/>
        </w:rPr>
        <w:t xml:space="preserve">has a </w:t>
      </w:r>
      <w:r w:rsidR="006929F1" w:rsidRPr="00830409">
        <w:rPr>
          <w:rFonts w:ascii="Arial" w:hAnsi="Arial" w:cs="Arial"/>
          <w:sz w:val="24"/>
          <w:szCs w:val="24"/>
        </w:rPr>
        <w:t xml:space="preserve">higher </w:t>
      </w:r>
      <w:r w:rsidRPr="00830409">
        <w:rPr>
          <w:rFonts w:ascii="Arial" w:hAnsi="Arial" w:cs="Arial"/>
          <w:sz w:val="24"/>
          <w:szCs w:val="24"/>
        </w:rPr>
        <w:t>percentage of LSOAs in the most deprived 10% of LSOAs in Wales</w:t>
      </w:r>
      <w:r w:rsidR="006929F1" w:rsidRPr="00830409">
        <w:rPr>
          <w:rFonts w:ascii="Arial" w:hAnsi="Arial" w:cs="Arial"/>
          <w:sz w:val="24"/>
          <w:szCs w:val="24"/>
        </w:rPr>
        <w:t xml:space="preserve"> for </w:t>
      </w:r>
      <w:r w:rsidR="0050275B" w:rsidRPr="00830409">
        <w:rPr>
          <w:rFonts w:ascii="Arial" w:hAnsi="Arial" w:cs="Arial"/>
          <w:sz w:val="24"/>
          <w:szCs w:val="24"/>
        </w:rPr>
        <w:t>the domains of income</w:t>
      </w:r>
      <w:r w:rsidRPr="00830409">
        <w:rPr>
          <w:rFonts w:ascii="Arial" w:hAnsi="Arial" w:cs="Arial"/>
          <w:sz w:val="24"/>
          <w:szCs w:val="24"/>
        </w:rPr>
        <w:t xml:space="preserve">, </w:t>
      </w:r>
      <w:r w:rsidR="00C16CC7" w:rsidRPr="00830409">
        <w:rPr>
          <w:rFonts w:ascii="Arial" w:hAnsi="Arial" w:cs="Arial"/>
          <w:sz w:val="24"/>
          <w:szCs w:val="24"/>
        </w:rPr>
        <w:t>health,</w:t>
      </w:r>
      <w:r w:rsidR="0050275B" w:rsidRPr="00830409">
        <w:rPr>
          <w:rFonts w:ascii="Arial" w:hAnsi="Arial" w:cs="Arial"/>
          <w:sz w:val="24"/>
          <w:szCs w:val="24"/>
        </w:rPr>
        <w:t xml:space="preserve"> and employment </w:t>
      </w:r>
      <w:r w:rsidRPr="00830409">
        <w:rPr>
          <w:rFonts w:ascii="Arial" w:hAnsi="Arial" w:cs="Arial"/>
          <w:sz w:val="24"/>
          <w:szCs w:val="24"/>
        </w:rPr>
        <w:t>relative to Cardiff</w:t>
      </w:r>
      <w:r w:rsidR="00C230E7" w:rsidRPr="00830409">
        <w:rPr>
          <w:rFonts w:ascii="Arial" w:hAnsi="Arial" w:cs="Arial"/>
          <w:sz w:val="24"/>
          <w:szCs w:val="24"/>
        </w:rPr>
        <w:t xml:space="preserve">. It </w:t>
      </w:r>
      <w:r w:rsidR="00201C5D" w:rsidRPr="00830409">
        <w:rPr>
          <w:rFonts w:ascii="Arial" w:hAnsi="Arial" w:cs="Arial"/>
          <w:sz w:val="24"/>
          <w:szCs w:val="24"/>
        </w:rPr>
        <w:t xml:space="preserve">also </w:t>
      </w:r>
      <w:r w:rsidR="00C230E7" w:rsidRPr="00830409">
        <w:rPr>
          <w:rFonts w:ascii="Arial" w:hAnsi="Arial" w:cs="Arial"/>
          <w:sz w:val="24"/>
          <w:szCs w:val="24"/>
        </w:rPr>
        <w:t xml:space="preserve">has </w:t>
      </w:r>
      <w:r w:rsidR="0050275B" w:rsidRPr="00830409">
        <w:rPr>
          <w:rFonts w:ascii="Arial" w:hAnsi="Arial" w:cs="Arial"/>
          <w:sz w:val="24"/>
          <w:szCs w:val="24"/>
        </w:rPr>
        <w:t>a higher percentage of LSOAs in the most deprived 20% of LSOAs in Wales for the domain of health.</w:t>
      </w:r>
    </w:p>
    <w:p w14:paraId="7DDDCA48" w14:textId="77777777" w:rsidR="00C5502E" w:rsidRDefault="00C5502E" w:rsidP="00DC54F7">
      <w:pPr>
        <w:spacing w:after="0" w:line="240" w:lineRule="auto"/>
        <w:jc w:val="both"/>
        <w:rPr>
          <w:rFonts w:ascii="Arial" w:hAnsi="Arial" w:cs="Arial"/>
          <w:b/>
          <w:bCs/>
        </w:rPr>
      </w:pPr>
    </w:p>
    <w:p w14:paraId="3C36742F" w14:textId="67B4A280" w:rsidR="001C79CE" w:rsidRDefault="00C5502E" w:rsidP="00DC54F7">
      <w:pPr>
        <w:spacing w:after="0" w:line="240" w:lineRule="auto"/>
        <w:contextualSpacing/>
        <w:jc w:val="both"/>
        <w:rPr>
          <w:rFonts w:ascii="Arial" w:hAnsi="Arial" w:cs="Arial"/>
          <w:b/>
          <w:bCs/>
        </w:rPr>
      </w:pPr>
      <w:r>
        <w:rPr>
          <w:rFonts w:ascii="Arial" w:hAnsi="Arial" w:cs="Arial"/>
          <w:b/>
          <w:bCs/>
        </w:rPr>
        <w:t>Table 9.2: P</w:t>
      </w:r>
      <w:r w:rsidRPr="001A1A2C">
        <w:rPr>
          <w:rFonts w:ascii="Arial" w:hAnsi="Arial" w:cs="Arial"/>
          <w:b/>
          <w:bCs/>
        </w:rPr>
        <w:t xml:space="preserve">ercentage of LSOAs </w:t>
      </w:r>
      <w:r>
        <w:rPr>
          <w:rFonts w:ascii="Arial" w:hAnsi="Arial" w:cs="Arial"/>
          <w:b/>
          <w:bCs/>
        </w:rPr>
        <w:t xml:space="preserve">within the 10% and 20% most deprived LSOAs in Wales </w:t>
      </w:r>
      <w:r w:rsidRPr="001A1A2C">
        <w:rPr>
          <w:rFonts w:ascii="Arial" w:hAnsi="Arial" w:cs="Arial"/>
          <w:b/>
          <w:bCs/>
        </w:rPr>
        <w:t xml:space="preserve">by </w:t>
      </w:r>
      <w:r>
        <w:rPr>
          <w:rFonts w:ascii="Arial" w:hAnsi="Arial" w:cs="Arial"/>
          <w:b/>
          <w:bCs/>
        </w:rPr>
        <w:t>cluster and local</w:t>
      </w:r>
      <w:r w:rsidRPr="001A1A2C">
        <w:rPr>
          <w:rFonts w:ascii="Arial" w:hAnsi="Arial" w:cs="Arial"/>
          <w:b/>
          <w:bCs/>
        </w:rPr>
        <w:t xml:space="preserve"> authority </w:t>
      </w:r>
      <w:r>
        <w:rPr>
          <w:rFonts w:ascii="Arial" w:hAnsi="Arial" w:cs="Arial"/>
          <w:b/>
          <w:bCs/>
        </w:rPr>
        <w:t>for the domains</w:t>
      </w:r>
      <w:r w:rsidR="00091CDC">
        <w:rPr>
          <w:rFonts w:ascii="Arial" w:hAnsi="Arial" w:cs="Arial"/>
          <w:b/>
          <w:bCs/>
        </w:rPr>
        <w:t xml:space="preserve"> for</w:t>
      </w:r>
      <w:r>
        <w:rPr>
          <w:rFonts w:ascii="Arial" w:hAnsi="Arial" w:cs="Arial"/>
          <w:b/>
          <w:bCs/>
        </w:rPr>
        <w:t xml:space="preserve"> income, health, employment and access to services, Welsh Index of Multiple Deprivation 2014.</w:t>
      </w:r>
    </w:p>
    <w:tbl>
      <w:tblPr>
        <w:tblW w:w="919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03"/>
        <w:gridCol w:w="1006"/>
        <w:gridCol w:w="1007"/>
        <w:gridCol w:w="1006"/>
        <w:gridCol w:w="918"/>
        <w:gridCol w:w="928"/>
        <w:gridCol w:w="894"/>
        <w:gridCol w:w="896"/>
        <w:gridCol w:w="840"/>
      </w:tblGrid>
      <w:tr w:rsidR="007C1F96" w:rsidRPr="007C1F96" w14:paraId="5DE2C17E" w14:textId="77777777" w:rsidTr="007C1F96">
        <w:trPr>
          <w:trHeight w:val="330"/>
        </w:trPr>
        <w:tc>
          <w:tcPr>
            <w:tcW w:w="9198" w:type="dxa"/>
            <w:gridSpan w:val="9"/>
            <w:shd w:val="clear" w:color="000000" w:fill="8497B0"/>
            <w:noWrap/>
            <w:vAlign w:val="center"/>
            <w:hideMark/>
          </w:tcPr>
          <w:p w14:paraId="7A4FAE68" w14:textId="7D524C0E" w:rsidR="007C1F96" w:rsidRPr="00034489" w:rsidRDefault="007C1F96" w:rsidP="00DC54F7">
            <w:pPr>
              <w:spacing w:after="0" w:line="240" w:lineRule="auto"/>
              <w:jc w:val="both"/>
              <w:rPr>
                <w:rFonts w:ascii="Arial" w:eastAsia="Times New Roman" w:hAnsi="Arial" w:cs="Arial"/>
                <w:b/>
                <w:bCs/>
                <w:color w:val="FFFFFF"/>
                <w:lang w:eastAsia="en-GB"/>
              </w:rPr>
            </w:pPr>
            <w:r w:rsidRPr="00034489">
              <w:rPr>
                <w:rFonts w:ascii="Arial" w:eastAsia="Times New Roman" w:hAnsi="Arial" w:cs="Arial"/>
                <w:b/>
                <w:bCs/>
                <w:color w:val="FFFFFF"/>
                <w:lang w:eastAsia="en-GB"/>
              </w:rPr>
              <w:t>Percentage of LSOAs within the 10% and 20% most deprived LSOAs in Wales</w:t>
            </w:r>
          </w:p>
        </w:tc>
      </w:tr>
      <w:tr w:rsidR="007C1F96" w:rsidRPr="007C1F96" w14:paraId="5FAEE123" w14:textId="77777777" w:rsidTr="007C1F96">
        <w:trPr>
          <w:trHeight w:val="330"/>
        </w:trPr>
        <w:tc>
          <w:tcPr>
            <w:tcW w:w="1703" w:type="dxa"/>
            <w:shd w:val="clear" w:color="000000" w:fill="8497B0"/>
            <w:noWrap/>
            <w:vAlign w:val="center"/>
            <w:hideMark/>
          </w:tcPr>
          <w:p w14:paraId="5F25E666" w14:textId="77777777" w:rsidR="007C1F96" w:rsidRPr="00034489" w:rsidRDefault="007C1F96" w:rsidP="00DC54F7">
            <w:pPr>
              <w:spacing w:after="0" w:line="240" w:lineRule="auto"/>
              <w:jc w:val="both"/>
              <w:rPr>
                <w:rFonts w:ascii="Arial" w:eastAsia="Times New Roman" w:hAnsi="Arial" w:cs="Arial"/>
                <w:b/>
                <w:bCs/>
                <w:color w:val="FFFFFF"/>
                <w:lang w:eastAsia="en-GB"/>
              </w:rPr>
            </w:pPr>
            <w:r w:rsidRPr="00034489">
              <w:rPr>
                <w:rFonts w:ascii="Arial" w:eastAsia="Times New Roman" w:hAnsi="Arial" w:cs="Arial"/>
                <w:b/>
                <w:bCs/>
                <w:color w:val="FFFFFF"/>
                <w:lang w:eastAsia="en-GB"/>
              </w:rPr>
              <w:t> </w:t>
            </w:r>
          </w:p>
        </w:tc>
        <w:tc>
          <w:tcPr>
            <w:tcW w:w="2013" w:type="dxa"/>
            <w:gridSpan w:val="2"/>
            <w:shd w:val="clear" w:color="000000" w:fill="8497B0"/>
            <w:noWrap/>
            <w:vAlign w:val="center"/>
            <w:hideMark/>
          </w:tcPr>
          <w:p w14:paraId="4C04B8E9" w14:textId="77777777" w:rsidR="007C1F96" w:rsidRPr="00034489" w:rsidRDefault="007C1F96" w:rsidP="00DC54F7">
            <w:pPr>
              <w:spacing w:after="0" w:line="240" w:lineRule="auto"/>
              <w:jc w:val="both"/>
              <w:rPr>
                <w:rFonts w:ascii="Arial" w:eastAsia="Times New Roman" w:hAnsi="Arial" w:cs="Arial"/>
                <w:b/>
                <w:bCs/>
                <w:color w:val="FFFFFF"/>
                <w:lang w:eastAsia="en-GB"/>
              </w:rPr>
            </w:pPr>
            <w:r w:rsidRPr="00034489">
              <w:rPr>
                <w:rFonts w:ascii="Arial" w:eastAsia="Times New Roman" w:hAnsi="Arial" w:cs="Arial"/>
                <w:b/>
                <w:bCs/>
                <w:color w:val="FFFFFF"/>
                <w:lang w:eastAsia="en-GB"/>
              </w:rPr>
              <w:t>Income</w:t>
            </w:r>
          </w:p>
        </w:tc>
        <w:tc>
          <w:tcPr>
            <w:tcW w:w="1924" w:type="dxa"/>
            <w:gridSpan w:val="2"/>
            <w:shd w:val="clear" w:color="000000" w:fill="8497B0"/>
            <w:noWrap/>
            <w:vAlign w:val="center"/>
            <w:hideMark/>
          </w:tcPr>
          <w:p w14:paraId="6C36A506" w14:textId="77777777" w:rsidR="007C1F96" w:rsidRPr="00034489" w:rsidRDefault="007C1F96" w:rsidP="00DC54F7">
            <w:pPr>
              <w:spacing w:after="0" w:line="240" w:lineRule="auto"/>
              <w:jc w:val="both"/>
              <w:rPr>
                <w:rFonts w:ascii="Arial" w:eastAsia="Times New Roman" w:hAnsi="Arial" w:cs="Arial"/>
                <w:b/>
                <w:bCs/>
                <w:color w:val="FFFFFF"/>
                <w:lang w:eastAsia="en-GB"/>
              </w:rPr>
            </w:pPr>
            <w:r w:rsidRPr="00034489">
              <w:rPr>
                <w:rFonts w:ascii="Arial" w:eastAsia="Times New Roman" w:hAnsi="Arial" w:cs="Arial"/>
                <w:b/>
                <w:bCs/>
                <w:color w:val="FFFFFF"/>
                <w:lang w:eastAsia="en-GB"/>
              </w:rPr>
              <w:t>Health</w:t>
            </w:r>
          </w:p>
        </w:tc>
        <w:tc>
          <w:tcPr>
            <w:tcW w:w="1822" w:type="dxa"/>
            <w:gridSpan w:val="2"/>
            <w:shd w:val="clear" w:color="000000" w:fill="8497B0"/>
            <w:noWrap/>
            <w:vAlign w:val="center"/>
            <w:hideMark/>
          </w:tcPr>
          <w:p w14:paraId="0765C3FB" w14:textId="77777777" w:rsidR="007C1F96" w:rsidRPr="00034489" w:rsidRDefault="007C1F96" w:rsidP="00DC54F7">
            <w:pPr>
              <w:spacing w:after="0" w:line="240" w:lineRule="auto"/>
              <w:jc w:val="both"/>
              <w:rPr>
                <w:rFonts w:ascii="Arial" w:eastAsia="Times New Roman" w:hAnsi="Arial" w:cs="Arial"/>
                <w:b/>
                <w:bCs/>
                <w:color w:val="FFFFFF"/>
                <w:lang w:eastAsia="en-GB"/>
              </w:rPr>
            </w:pPr>
            <w:r w:rsidRPr="00034489">
              <w:rPr>
                <w:rFonts w:ascii="Arial" w:eastAsia="Times New Roman" w:hAnsi="Arial" w:cs="Arial"/>
                <w:b/>
                <w:bCs/>
                <w:color w:val="FFFFFF"/>
                <w:lang w:eastAsia="en-GB"/>
              </w:rPr>
              <w:t>Employment</w:t>
            </w:r>
          </w:p>
        </w:tc>
        <w:tc>
          <w:tcPr>
            <w:tcW w:w="1734" w:type="dxa"/>
            <w:gridSpan w:val="2"/>
            <w:shd w:val="clear" w:color="000000" w:fill="8497B0"/>
            <w:noWrap/>
            <w:vAlign w:val="center"/>
            <w:hideMark/>
          </w:tcPr>
          <w:p w14:paraId="661C1DC4" w14:textId="77777777" w:rsidR="007C1F96" w:rsidRPr="00034489" w:rsidRDefault="007C1F96" w:rsidP="00DC54F7">
            <w:pPr>
              <w:spacing w:after="0" w:line="240" w:lineRule="auto"/>
              <w:jc w:val="both"/>
              <w:rPr>
                <w:rFonts w:ascii="Arial" w:eastAsia="Times New Roman" w:hAnsi="Arial" w:cs="Arial"/>
                <w:b/>
                <w:bCs/>
                <w:color w:val="FFFFFF"/>
                <w:lang w:eastAsia="en-GB"/>
              </w:rPr>
            </w:pPr>
            <w:r w:rsidRPr="00034489">
              <w:rPr>
                <w:rFonts w:ascii="Arial" w:eastAsia="Times New Roman" w:hAnsi="Arial" w:cs="Arial"/>
                <w:b/>
                <w:bCs/>
                <w:color w:val="FFFFFF"/>
                <w:lang w:eastAsia="en-GB"/>
              </w:rPr>
              <w:t>Access to services</w:t>
            </w:r>
          </w:p>
        </w:tc>
      </w:tr>
      <w:tr w:rsidR="007C1F96" w:rsidRPr="007C1F96" w14:paraId="1D469BE6" w14:textId="77777777" w:rsidTr="007C1F96">
        <w:trPr>
          <w:trHeight w:val="330"/>
        </w:trPr>
        <w:tc>
          <w:tcPr>
            <w:tcW w:w="1703" w:type="dxa"/>
            <w:shd w:val="clear" w:color="000000" w:fill="8497B0"/>
            <w:noWrap/>
            <w:vAlign w:val="center"/>
            <w:hideMark/>
          </w:tcPr>
          <w:p w14:paraId="52FFDBFF" w14:textId="77777777" w:rsidR="007C1F96" w:rsidRPr="00034489" w:rsidRDefault="007C1F96" w:rsidP="00DC54F7">
            <w:pPr>
              <w:spacing w:after="0" w:line="240" w:lineRule="auto"/>
              <w:jc w:val="both"/>
              <w:rPr>
                <w:rFonts w:ascii="Arial" w:eastAsia="Times New Roman" w:hAnsi="Arial" w:cs="Arial"/>
                <w:b/>
                <w:bCs/>
                <w:color w:val="FFFFFF"/>
                <w:lang w:eastAsia="en-GB"/>
              </w:rPr>
            </w:pPr>
            <w:r w:rsidRPr="00034489">
              <w:rPr>
                <w:rFonts w:ascii="Arial" w:eastAsia="Times New Roman" w:hAnsi="Arial" w:cs="Arial"/>
                <w:b/>
                <w:bCs/>
                <w:color w:val="FFFFFF"/>
                <w:lang w:eastAsia="en-GB"/>
              </w:rPr>
              <w:t> </w:t>
            </w:r>
          </w:p>
        </w:tc>
        <w:tc>
          <w:tcPr>
            <w:tcW w:w="1006" w:type="dxa"/>
            <w:shd w:val="clear" w:color="000000" w:fill="8497B0"/>
            <w:vAlign w:val="center"/>
            <w:hideMark/>
          </w:tcPr>
          <w:p w14:paraId="3CA7AF23" w14:textId="77777777" w:rsidR="007C1F96" w:rsidRPr="00034489" w:rsidRDefault="007C1F96" w:rsidP="00DC54F7">
            <w:pPr>
              <w:spacing w:after="0" w:line="240" w:lineRule="auto"/>
              <w:jc w:val="both"/>
              <w:rPr>
                <w:rFonts w:ascii="Arial" w:eastAsia="Times New Roman" w:hAnsi="Arial" w:cs="Arial"/>
                <w:b/>
                <w:bCs/>
                <w:color w:val="FFFFFF"/>
                <w:lang w:eastAsia="en-GB"/>
              </w:rPr>
            </w:pPr>
            <w:r w:rsidRPr="00034489">
              <w:rPr>
                <w:rFonts w:ascii="Arial" w:eastAsia="Times New Roman" w:hAnsi="Arial" w:cs="Arial"/>
                <w:b/>
                <w:bCs/>
                <w:color w:val="FFFFFF"/>
                <w:lang w:eastAsia="en-GB"/>
              </w:rPr>
              <w:t>10%</w:t>
            </w:r>
          </w:p>
        </w:tc>
        <w:tc>
          <w:tcPr>
            <w:tcW w:w="1006" w:type="dxa"/>
            <w:shd w:val="clear" w:color="000000" w:fill="8497B0"/>
            <w:vAlign w:val="center"/>
            <w:hideMark/>
          </w:tcPr>
          <w:p w14:paraId="07F6A1F7" w14:textId="77777777" w:rsidR="007C1F96" w:rsidRPr="00034489" w:rsidRDefault="007C1F96" w:rsidP="00DC54F7">
            <w:pPr>
              <w:spacing w:after="0" w:line="240" w:lineRule="auto"/>
              <w:jc w:val="both"/>
              <w:rPr>
                <w:rFonts w:ascii="Arial" w:eastAsia="Times New Roman" w:hAnsi="Arial" w:cs="Arial"/>
                <w:b/>
                <w:bCs/>
                <w:color w:val="FFFFFF"/>
                <w:lang w:eastAsia="en-GB"/>
              </w:rPr>
            </w:pPr>
            <w:r w:rsidRPr="00034489">
              <w:rPr>
                <w:rFonts w:ascii="Arial" w:eastAsia="Times New Roman" w:hAnsi="Arial" w:cs="Arial"/>
                <w:b/>
                <w:bCs/>
                <w:color w:val="FFFFFF"/>
                <w:lang w:eastAsia="en-GB"/>
              </w:rPr>
              <w:t>20%</w:t>
            </w:r>
          </w:p>
        </w:tc>
        <w:tc>
          <w:tcPr>
            <w:tcW w:w="1006" w:type="dxa"/>
            <w:shd w:val="clear" w:color="000000" w:fill="8497B0"/>
            <w:vAlign w:val="center"/>
            <w:hideMark/>
          </w:tcPr>
          <w:p w14:paraId="1BB048D0" w14:textId="77777777" w:rsidR="007C1F96" w:rsidRPr="00034489" w:rsidRDefault="007C1F96" w:rsidP="00DC54F7">
            <w:pPr>
              <w:spacing w:after="0" w:line="240" w:lineRule="auto"/>
              <w:jc w:val="both"/>
              <w:rPr>
                <w:rFonts w:ascii="Arial" w:eastAsia="Times New Roman" w:hAnsi="Arial" w:cs="Arial"/>
                <w:b/>
                <w:bCs/>
                <w:color w:val="FFFFFF"/>
                <w:lang w:eastAsia="en-GB"/>
              </w:rPr>
            </w:pPr>
            <w:r w:rsidRPr="00034489">
              <w:rPr>
                <w:rFonts w:ascii="Arial" w:eastAsia="Times New Roman" w:hAnsi="Arial" w:cs="Arial"/>
                <w:b/>
                <w:bCs/>
                <w:color w:val="FFFFFF"/>
                <w:lang w:eastAsia="en-GB"/>
              </w:rPr>
              <w:t>10%</w:t>
            </w:r>
          </w:p>
        </w:tc>
        <w:tc>
          <w:tcPr>
            <w:tcW w:w="917" w:type="dxa"/>
            <w:shd w:val="clear" w:color="000000" w:fill="8497B0"/>
            <w:vAlign w:val="center"/>
            <w:hideMark/>
          </w:tcPr>
          <w:p w14:paraId="54E6235C" w14:textId="77777777" w:rsidR="007C1F96" w:rsidRPr="00034489" w:rsidRDefault="007C1F96" w:rsidP="00DC54F7">
            <w:pPr>
              <w:spacing w:after="0" w:line="240" w:lineRule="auto"/>
              <w:jc w:val="both"/>
              <w:rPr>
                <w:rFonts w:ascii="Arial" w:eastAsia="Times New Roman" w:hAnsi="Arial" w:cs="Arial"/>
                <w:b/>
                <w:bCs/>
                <w:color w:val="FFFFFF"/>
                <w:lang w:eastAsia="en-GB"/>
              </w:rPr>
            </w:pPr>
            <w:r w:rsidRPr="00034489">
              <w:rPr>
                <w:rFonts w:ascii="Arial" w:eastAsia="Times New Roman" w:hAnsi="Arial" w:cs="Arial"/>
                <w:b/>
                <w:bCs/>
                <w:color w:val="FFFFFF"/>
                <w:lang w:eastAsia="en-GB"/>
              </w:rPr>
              <w:t>20%</w:t>
            </w:r>
          </w:p>
        </w:tc>
        <w:tc>
          <w:tcPr>
            <w:tcW w:w="928" w:type="dxa"/>
            <w:shd w:val="clear" w:color="000000" w:fill="8497B0"/>
            <w:vAlign w:val="center"/>
            <w:hideMark/>
          </w:tcPr>
          <w:p w14:paraId="1BE76B6C" w14:textId="77777777" w:rsidR="007C1F96" w:rsidRPr="00034489" w:rsidRDefault="007C1F96" w:rsidP="00DC54F7">
            <w:pPr>
              <w:spacing w:after="0" w:line="240" w:lineRule="auto"/>
              <w:jc w:val="both"/>
              <w:rPr>
                <w:rFonts w:ascii="Arial" w:eastAsia="Times New Roman" w:hAnsi="Arial" w:cs="Arial"/>
                <w:b/>
                <w:bCs/>
                <w:color w:val="FFFFFF"/>
                <w:lang w:eastAsia="en-GB"/>
              </w:rPr>
            </w:pPr>
            <w:r w:rsidRPr="00034489">
              <w:rPr>
                <w:rFonts w:ascii="Arial" w:eastAsia="Times New Roman" w:hAnsi="Arial" w:cs="Arial"/>
                <w:b/>
                <w:bCs/>
                <w:color w:val="FFFFFF"/>
                <w:lang w:eastAsia="en-GB"/>
              </w:rPr>
              <w:t>10%</w:t>
            </w:r>
          </w:p>
        </w:tc>
        <w:tc>
          <w:tcPr>
            <w:tcW w:w="894" w:type="dxa"/>
            <w:shd w:val="clear" w:color="000000" w:fill="8497B0"/>
            <w:vAlign w:val="center"/>
            <w:hideMark/>
          </w:tcPr>
          <w:p w14:paraId="1810D066" w14:textId="77777777" w:rsidR="007C1F96" w:rsidRPr="00034489" w:rsidRDefault="007C1F96" w:rsidP="00DC54F7">
            <w:pPr>
              <w:spacing w:after="0" w:line="240" w:lineRule="auto"/>
              <w:jc w:val="both"/>
              <w:rPr>
                <w:rFonts w:ascii="Arial" w:eastAsia="Times New Roman" w:hAnsi="Arial" w:cs="Arial"/>
                <w:b/>
                <w:bCs/>
                <w:color w:val="FFFFFF"/>
                <w:lang w:eastAsia="en-GB"/>
              </w:rPr>
            </w:pPr>
            <w:r w:rsidRPr="00034489">
              <w:rPr>
                <w:rFonts w:ascii="Arial" w:eastAsia="Times New Roman" w:hAnsi="Arial" w:cs="Arial"/>
                <w:b/>
                <w:bCs/>
                <w:color w:val="FFFFFF"/>
                <w:lang w:eastAsia="en-GB"/>
              </w:rPr>
              <w:t>20%</w:t>
            </w:r>
          </w:p>
        </w:tc>
        <w:tc>
          <w:tcPr>
            <w:tcW w:w="896" w:type="dxa"/>
            <w:shd w:val="clear" w:color="000000" w:fill="8497B0"/>
            <w:vAlign w:val="center"/>
            <w:hideMark/>
          </w:tcPr>
          <w:p w14:paraId="58179B71" w14:textId="77777777" w:rsidR="007C1F96" w:rsidRPr="00034489" w:rsidRDefault="007C1F96" w:rsidP="00DC54F7">
            <w:pPr>
              <w:spacing w:after="0" w:line="240" w:lineRule="auto"/>
              <w:jc w:val="both"/>
              <w:rPr>
                <w:rFonts w:ascii="Arial" w:eastAsia="Times New Roman" w:hAnsi="Arial" w:cs="Arial"/>
                <w:b/>
                <w:bCs/>
                <w:color w:val="FFFFFF"/>
                <w:lang w:eastAsia="en-GB"/>
              </w:rPr>
            </w:pPr>
            <w:r w:rsidRPr="00034489">
              <w:rPr>
                <w:rFonts w:ascii="Arial" w:eastAsia="Times New Roman" w:hAnsi="Arial" w:cs="Arial"/>
                <w:b/>
                <w:bCs/>
                <w:color w:val="FFFFFF"/>
                <w:lang w:eastAsia="en-GB"/>
              </w:rPr>
              <w:t>10%</w:t>
            </w:r>
          </w:p>
        </w:tc>
        <w:tc>
          <w:tcPr>
            <w:tcW w:w="837" w:type="dxa"/>
            <w:shd w:val="clear" w:color="000000" w:fill="8497B0"/>
            <w:vAlign w:val="center"/>
            <w:hideMark/>
          </w:tcPr>
          <w:p w14:paraId="1CB31558" w14:textId="77777777" w:rsidR="007C1F96" w:rsidRPr="00034489" w:rsidRDefault="007C1F96" w:rsidP="00DC54F7">
            <w:pPr>
              <w:spacing w:after="0" w:line="240" w:lineRule="auto"/>
              <w:jc w:val="both"/>
              <w:rPr>
                <w:rFonts w:ascii="Arial" w:eastAsia="Times New Roman" w:hAnsi="Arial" w:cs="Arial"/>
                <w:b/>
                <w:bCs/>
                <w:color w:val="FFFFFF"/>
                <w:lang w:eastAsia="en-GB"/>
              </w:rPr>
            </w:pPr>
            <w:r w:rsidRPr="00034489">
              <w:rPr>
                <w:rFonts w:ascii="Arial" w:eastAsia="Times New Roman" w:hAnsi="Arial" w:cs="Arial"/>
                <w:b/>
                <w:bCs/>
                <w:color w:val="FFFFFF"/>
                <w:lang w:eastAsia="en-GB"/>
              </w:rPr>
              <w:t>20%</w:t>
            </w:r>
          </w:p>
        </w:tc>
      </w:tr>
      <w:tr w:rsidR="007C1F96" w:rsidRPr="007C1F96" w14:paraId="40ED51AB" w14:textId="77777777" w:rsidTr="007C1F96">
        <w:trPr>
          <w:trHeight w:val="330"/>
        </w:trPr>
        <w:tc>
          <w:tcPr>
            <w:tcW w:w="1703" w:type="dxa"/>
            <w:shd w:val="clear" w:color="000000" w:fill="F2F2F2"/>
            <w:noWrap/>
            <w:vAlign w:val="center"/>
            <w:hideMark/>
          </w:tcPr>
          <w:p w14:paraId="38D7929C" w14:textId="77777777"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Cardiff South East</w:t>
            </w:r>
          </w:p>
        </w:tc>
        <w:tc>
          <w:tcPr>
            <w:tcW w:w="1006" w:type="dxa"/>
            <w:shd w:val="clear" w:color="000000" w:fill="F2F2F2"/>
            <w:noWrap/>
            <w:vAlign w:val="center"/>
            <w:hideMark/>
          </w:tcPr>
          <w:p w14:paraId="41202C29" w14:textId="77777777"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19.4</w:t>
            </w:r>
          </w:p>
        </w:tc>
        <w:tc>
          <w:tcPr>
            <w:tcW w:w="1006" w:type="dxa"/>
            <w:shd w:val="clear" w:color="000000" w:fill="F2F2F2"/>
            <w:noWrap/>
            <w:vAlign w:val="center"/>
            <w:hideMark/>
          </w:tcPr>
          <w:p w14:paraId="0A4AF14C" w14:textId="77777777"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30.6</w:t>
            </w:r>
          </w:p>
        </w:tc>
        <w:tc>
          <w:tcPr>
            <w:tcW w:w="1006" w:type="dxa"/>
            <w:shd w:val="clear" w:color="000000" w:fill="F2F2F2"/>
            <w:noWrap/>
            <w:vAlign w:val="center"/>
            <w:hideMark/>
          </w:tcPr>
          <w:p w14:paraId="7817A043" w14:textId="77777777"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19.4</w:t>
            </w:r>
          </w:p>
        </w:tc>
        <w:tc>
          <w:tcPr>
            <w:tcW w:w="917" w:type="dxa"/>
            <w:shd w:val="clear" w:color="000000" w:fill="F2F2F2"/>
            <w:noWrap/>
            <w:vAlign w:val="center"/>
            <w:hideMark/>
          </w:tcPr>
          <w:p w14:paraId="3D6C1843" w14:textId="77777777"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30.6</w:t>
            </w:r>
          </w:p>
        </w:tc>
        <w:tc>
          <w:tcPr>
            <w:tcW w:w="928" w:type="dxa"/>
            <w:shd w:val="clear" w:color="000000" w:fill="F2F2F2"/>
            <w:noWrap/>
            <w:vAlign w:val="center"/>
            <w:hideMark/>
          </w:tcPr>
          <w:p w14:paraId="76EB87CC" w14:textId="77777777"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13.9</w:t>
            </w:r>
          </w:p>
        </w:tc>
        <w:tc>
          <w:tcPr>
            <w:tcW w:w="894" w:type="dxa"/>
            <w:shd w:val="clear" w:color="000000" w:fill="F2F2F2"/>
            <w:noWrap/>
            <w:vAlign w:val="center"/>
            <w:hideMark/>
          </w:tcPr>
          <w:p w14:paraId="44C5858F" w14:textId="77777777"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19.4</w:t>
            </w:r>
          </w:p>
        </w:tc>
        <w:tc>
          <w:tcPr>
            <w:tcW w:w="896" w:type="dxa"/>
            <w:shd w:val="clear" w:color="000000" w:fill="F2F2F2"/>
            <w:noWrap/>
            <w:vAlign w:val="center"/>
            <w:hideMark/>
          </w:tcPr>
          <w:p w14:paraId="68A1A0E1" w14:textId="6E966026"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0</w:t>
            </w:r>
            <w:r w:rsidR="00034489">
              <w:rPr>
                <w:rFonts w:ascii="Arial" w:eastAsia="Times New Roman" w:hAnsi="Arial" w:cs="Arial"/>
                <w:color w:val="000000"/>
                <w:lang w:eastAsia="en-GB"/>
              </w:rPr>
              <w:t>.0</w:t>
            </w:r>
          </w:p>
        </w:tc>
        <w:tc>
          <w:tcPr>
            <w:tcW w:w="837" w:type="dxa"/>
            <w:shd w:val="clear" w:color="000000" w:fill="F2F2F2"/>
            <w:noWrap/>
            <w:vAlign w:val="center"/>
            <w:hideMark/>
          </w:tcPr>
          <w:p w14:paraId="1BA5C117" w14:textId="40D28727"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0</w:t>
            </w:r>
            <w:r w:rsidR="00034489">
              <w:rPr>
                <w:rFonts w:ascii="Arial" w:eastAsia="Times New Roman" w:hAnsi="Arial" w:cs="Arial"/>
                <w:color w:val="000000"/>
                <w:lang w:eastAsia="en-GB"/>
              </w:rPr>
              <w:t>.0</w:t>
            </w:r>
          </w:p>
        </w:tc>
      </w:tr>
      <w:tr w:rsidR="007C1F96" w:rsidRPr="007C1F96" w14:paraId="49434A36" w14:textId="77777777" w:rsidTr="007C1F96">
        <w:trPr>
          <w:trHeight w:val="330"/>
        </w:trPr>
        <w:tc>
          <w:tcPr>
            <w:tcW w:w="1703" w:type="dxa"/>
            <w:shd w:val="clear" w:color="auto" w:fill="auto"/>
            <w:noWrap/>
            <w:vAlign w:val="center"/>
            <w:hideMark/>
          </w:tcPr>
          <w:p w14:paraId="6B62DD71" w14:textId="77777777"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 xml:space="preserve">Cardiff </w:t>
            </w:r>
          </w:p>
        </w:tc>
        <w:tc>
          <w:tcPr>
            <w:tcW w:w="1006" w:type="dxa"/>
            <w:shd w:val="clear" w:color="auto" w:fill="auto"/>
            <w:noWrap/>
            <w:vAlign w:val="center"/>
            <w:hideMark/>
          </w:tcPr>
          <w:p w14:paraId="4AD62D77" w14:textId="77777777"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19.2</w:t>
            </w:r>
          </w:p>
        </w:tc>
        <w:tc>
          <w:tcPr>
            <w:tcW w:w="1006" w:type="dxa"/>
            <w:shd w:val="clear" w:color="auto" w:fill="auto"/>
            <w:noWrap/>
            <w:vAlign w:val="center"/>
            <w:hideMark/>
          </w:tcPr>
          <w:p w14:paraId="159AF9FC" w14:textId="77777777"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30.8</w:t>
            </w:r>
          </w:p>
        </w:tc>
        <w:tc>
          <w:tcPr>
            <w:tcW w:w="1006" w:type="dxa"/>
            <w:shd w:val="clear" w:color="auto" w:fill="auto"/>
            <w:noWrap/>
            <w:vAlign w:val="center"/>
            <w:hideMark/>
          </w:tcPr>
          <w:p w14:paraId="75750485" w14:textId="77777777"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14.5</w:t>
            </w:r>
          </w:p>
        </w:tc>
        <w:tc>
          <w:tcPr>
            <w:tcW w:w="917" w:type="dxa"/>
            <w:shd w:val="clear" w:color="auto" w:fill="auto"/>
            <w:noWrap/>
            <w:vAlign w:val="center"/>
            <w:hideMark/>
          </w:tcPr>
          <w:p w14:paraId="253B6990" w14:textId="33269418"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22</w:t>
            </w:r>
            <w:r w:rsidR="00034489">
              <w:rPr>
                <w:rFonts w:ascii="Arial" w:eastAsia="Times New Roman" w:hAnsi="Arial" w:cs="Arial"/>
                <w:color w:val="000000"/>
                <w:lang w:eastAsia="en-GB"/>
              </w:rPr>
              <w:t>.0</w:t>
            </w:r>
          </w:p>
        </w:tc>
        <w:tc>
          <w:tcPr>
            <w:tcW w:w="928" w:type="dxa"/>
            <w:shd w:val="clear" w:color="auto" w:fill="auto"/>
            <w:noWrap/>
            <w:vAlign w:val="center"/>
            <w:hideMark/>
          </w:tcPr>
          <w:p w14:paraId="734D8DE7" w14:textId="77777777"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12.1</w:t>
            </w:r>
          </w:p>
        </w:tc>
        <w:tc>
          <w:tcPr>
            <w:tcW w:w="894" w:type="dxa"/>
            <w:shd w:val="clear" w:color="auto" w:fill="auto"/>
            <w:noWrap/>
            <w:vAlign w:val="center"/>
            <w:hideMark/>
          </w:tcPr>
          <w:p w14:paraId="0149D9E6" w14:textId="77777777"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20.1</w:t>
            </w:r>
          </w:p>
        </w:tc>
        <w:tc>
          <w:tcPr>
            <w:tcW w:w="896" w:type="dxa"/>
            <w:shd w:val="clear" w:color="auto" w:fill="auto"/>
            <w:noWrap/>
            <w:vAlign w:val="center"/>
            <w:hideMark/>
          </w:tcPr>
          <w:p w14:paraId="0938ED27" w14:textId="2E4F5E68"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0</w:t>
            </w:r>
            <w:r w:rsidR="00034489">
              <w:rPr>
                <w:rFonts w:ascii="Arial" w:eastAsia="Times New Roman" w:hAnsi="Arial" w:cs="Arial"/>
                <w:color w:val="000000"/>
                <w:lang w:eastAsia="en-GB"/>
              </w:rPr>
              <w:t>.0</w:t>
            </w:r>
          </w:p>
        </w:tc>
        <w:tc>
          <w:tcPr>
            <w:tcW w:w="837" w:type="dxa"/>
            <w:shd w:val="clear" w:color="auto" w:fill="auto"/>
            <w:noWrap/>
            <w:vAlign w:val="center"/>
            <w:hideMark/>
          </w:tcPr>
          <w:p w14:paraId="67EEA52B" w14:textId="77777777" w:rsidR="007C1F96" w:rsidRPr="00034489" w:rsidRDefault="007C1F96" w:rsidP="00DC54F7">
            <w:pPr>
              <w:spacing w:after="0" w:line="240" w:lineRule="auto"/>
              <w:jc w:val="both"/>
              <w:rPr>
                <w:rFonts w:ascii="Arial" w:eastAsia="Times New Roman" w:hAnsi="Arial" w:cs="Arial"/>
                <w:color w:val="000000"/>
                <w:lang w:eastAsia="en-GB"/>
              </w:rPr>
            </w:pPr>
            <w:r w:rsidRPr="00034489">
              <w:rPr>
                <w:rFonts w:ascii="Arial" w:eastAsia="Times New Roman" w:hAnsi="Arial" w:cs="Arial"/>
                <w:color w:val="000000"/>
                <w:lang w:eastAsia="en-GB"/>
              </w:rPr>
              <w:t>0.9</w:t>
            </w:r>
          </w:p>
        </w:tc>
      </w:tr>
    </w:tbl>
    <w:p w14:paraId="1D45FBBD" w14:textId="1E3CA292" w:rsidR="00C5502E" w:rsidRPr="00714975" w:rsidRDefault="00C5502E" w:rsidP="00DC54F7">
      <w:pPr>
        <w:spacing w:after="0" w:line="240" w:lineRule="auto"/>
        <w:jc w:val="both"/>
        <w:rPr>
          <w:rFonts w:ascii="Arial" w:hAnsi="Arial" w:cs="Arial"/>
          <w:b/>
          <w:bCs/>
        </w:rPr>
      </w:pPr>
      <w:r w:rsidRPr="00714975">
        <w:rPr>
          <w:rFonts w:ascii="Arial" w:hAnsi="Arial" w:cs="Arial"/>
        </w:rPr>
        <w:t>Source: Welsh Index of Multiple Deprivation 2014, Welsh Government</w:t>
      </w:r>
    </w:p>
    <w:p w14:paraId="0093A1E2" w14:textId="77777777" w:rsidR="00C5502E" w:rsidRDefault="00C5502E" w:rsidP="00DC54F7">
      <w:pPr>
        <w:spacing w:after="0" w:line="240" w:lineRule="auto"/>
        <w:jc w:val="both"/>
        <w:rPr>
          <w:rFonts w:ascii="Arial" w:hAnsi="Arial" w:cs="Arial"/>
        </w:rPr>
      </w:pPr>
    </w:p>
    <w:p w14:paraId="6B3451D8" w14:textId="4FF8866E" w:rsidR="00C5502E" w:rsidRPr="00AE4D26" w:rsidRDefault="00C5502E" w:rsidP="00DC54F7">
      <w:pPr>
        <w:spacing w:after="0" w:line="240" w:lineRule="auto"/>
        <w:jc w:val="both"/>
        <w:rPr>
          <w:rFonts w:ascii="Arial" w:hAnsi="Arial" w:cs="Arial"/>
          <w:color w:val="000000" w:themeColor="text1"/>
          <w:sz w:val="24"/>
          <w:szCs w:val="24"/>
        </w:rPr>
      </w:pPr>
      <w:r w:rsidRPr="00AE4D26">
        <w:rPr>
          <w:rFonts w:ascii="Arial" w:hAnsi="Arial" w:cs="Arial"/>
          <w:sz w:val="24"/>
          <w:szCs w:val="24"/>
        </w:rPr>
        <w:t>The map below provides an indication of the overall levels of deprivatio</w:t>
      </w:r>
      <w:r w:rsidR="00AE4D26">
        <w:rPr>
          <w:rFonts w:ascii="Arial" w:hAnsi="Arial" w:cs="Arial"/>
          <w:sz w:val="24"/>
          <w:szCs w:val="24"/>
        </w:rPr>
        <w:t>n</w:t>
      </w:r>
      <w:r w:rsidRPr="00AE4D26">
        <w:rPr>
          <w:rFonts w:ascii="Arial" w:hAnsi="Arial" w:cs="Arial"/>
          <w:sz w:val="24"/>
          <w:szCs w:val="24"/>
        </w:rPr>
        <w:t xml:space="preserve"> within the cluster. As can be seen from the map, all pharmacies are located within or near areas of higher deprivation. </w:t>
      </w:r>
    </w:p>
    <w:p w14:paraId="41C10E8E" w14:textId="78DD9D47" w:rsidR="00D17EB5" w:rsidRDefault="00D17EB5" w:rsidP="00DC54F7">
      <w:pPr>
        <w:spacing w:after="0" w:line="240" w:lineRule="auto"/>
        <w:jc w:val="both"/>
        <w:rPr>
          <w:rFonts w:ascii="Arial" w:hAnsi="Arial" w:cs="Arial"/>
          <w:sz w:val="24"/>
          <w:szCs w:val="24"/>
        </w:rPr>
      </w:pPr>
    </w:p>
    <w:p w14:paraId="68E7A859" w14:textId="1A324C68" w:rsidR="00676A15" w:rsidRDefault="00676A15" w:rsidP="00DC54F7">
      <w:pPr>
        <w:spacing w:after="0" w:line="240" w:lineRule="auto"/>
        <w:jc w:val="both"/>
        <w:rPr>
          <w:rFonts w:ascii="Arial" w:hAnsi="Arial" w:cs="Arial"/>
          <w:sz w:val="24"/>
          <w:szCs w:val="24"/>
        </w:rPr>
      </w:pPr>
    </w:p>
    <w:p w14:paraId="16A9DEBE" w14:textId="0DD2D1E7" w:rsidR="00676A15" w:rsidRDefault="00676A15" w:rsidP="00DC54F7">
      <w:pPr>
        <w:spacing w:after="0" w:line="240" w:lineRule="auto"/>
        <w:jc w:val="both"/>
        <w:rPr>
          <w:rFonts w:ascii="Arial" w:hAnsi="Arial" w:cs="Arial"/>
          <w:sz w:val="24"/>
          <w:szCs w:val="24"/>
        </w:rPr>
      </w:pPr>
    </w:p>
    <w:p w14:paraId="6BCB4B34" w14:textId="7111043F" w:rsidR="00676A15" w:rsidRDefault="00676A15" w:rsidP="00DC54F7">
      <w:pPr>
        <w:spacing w:after="0" w:line="240" w:lineRule="auto"/>
        <w:jc w:val="both"/>
        <w:rPr>
          <w:rFonts w:ascii="Arial" w:hAnsi="Arial" w:cs="Arial"/>
          <w:sz w:val="24"/>
          <w:szCs w:val="24"/>
        </w:rPr>
      </w:pPr>
    </w:p>
    <w:p w14:paraId="34DCD68E" w14:textId="171FCE32" w:rsidR="00676A15" w:rsidRDefault="00676A15" w:rsidP="00DC54F7">
      <w:pPr>
        <w:spacing w:after="0" w:line="240" w:lineRule="auto"/>
        <w:jc w:val="both"/>
        <w:rPr>
          <w:rFonts w:ascii="Arial" w:hAnsi="Arial" w:cs="Arial"/>
          <w:sz w:val="24"/>
          <w:szCs w:val="24"/>
        </w:rPr>
      </w:pPr>
    </w:p>
    <w:p w14:paraId="3A360804" w14:textId="45DE4F9A" w:rsidR="00676A15" w:rsidRDefault="00676A15" w:rsidP="00DC54F7">
      <w:pPr>
        <w:jc w:val="both"/>
        <w:rPr>
          <w:rFonts w:ascii="Arial" w:hAnsi="Arial" w:cs="Arial"/>
          <w:sz w:val="24"/>
          <w:szCs w:val="24"/>
        </w:rPr>
      </w:pPr>
      <w:r>
        <w:rPr>
          <w:rFonts w:ascii="Arial" w:hAnsi="Arial" w:cs="Arial"/>
          <w:sz w:val="24"/>
          <w:szCs w:val="24"/>
        </w:rPr>
        <w:br w:type="page"/>
      </w:r>
    </w:p>
    <w:p w14:paraId="1E94A22F" w14:textId="426FF8CB" w:rsidR="00BF4167" w:rsidRPr="00AE4D26" w:rsidRDefault="00BF4167" w:rsidP="00DC54F7">
      <w:pPr>
        <w:spacing w:after="0" w:line="240" w:lineRule="auto"/>
        <w:jc w:val="both"/>
        <w:rPr>
          <w:rFonts w:ascii="Arial" w:hAnsi="Arial" w:cs="Arial"/>
          <w:b/>
          <w:sz w:val="24"/>
          <w:szCs w:val="24"/>
        </w:rPr>
      </w:pPr>
      <w:r w:rsidRPr="00AE4D26">
        <w:rPr>
          <w:rFonts w:ascii="Arial" w:hAnsi="Arial" w:cs="Arial"/>
          <w:b/>
          <w:sz w:val="24"/>
          <w:szCs w:val="24"/>
        </w:rPr>
        <w:lastRenderedPageBreak/>
        <w:t xml:space="preserve">Map 9.1: Lower Super Output Areas (LSOAs) in Cardiff </w:t>
      </w:r>
      <w:r w:rsidR="007C1F96" w:rsidRPr="00AE4D26">
        <w:rPr>
          <w:rFonts w:ascii="Arial" w:hAnsi="Arial" w:cs="Arial"/>
          <w:b/>
          <w:sz w:val="24"/>
          <w:szCs w:val="24"/>
        </w:rPr>
        <w:t xml:space="preserve">South </w:t>
      </w:r>
      <w:r w:rsidRPr="00AE4D26">
        <w:rPr>
          <w:rFonts w:ascii="Arial" w:hAnsi="Arial" w:cs="Arial"/>
          <w:b/>
          <w:sz w:val="24"/>
          <w:szCs w:val="24"/>
        </w:rPr>
        <w:t>East cluster, grouped into quintiles by Welsh index of Multiple Deprivation 2019</w:t>
      </w:r>
    </w:p>
    <w:p w14:paraId="54A40789" w14:textId="2B9A2C28" w:rsidR="001C79CE" w:rsidRDefault="001C79CE" w:rsidP="00DC54F7">
      <w:pPr>
        <w:spacing w:after="0" w:line="240" w:lineRule="auto"/>
        <w:jc w:val="both"/>
        <w:rPr>
          <w:rFonts w:ascii="Arial" w:hAnsi="Arial" w:cs="Arial"/>
        </w:rPr>
      </w:pPr>
      <w:r>
        <w:rPr>
          <w:noProof/>
          <w:lang w:eastAsia="en-GB"/>
        </w:rPr>
        <w:drawing>
          <wp:inline distT="0" distB="0" distL="0" distR="0" wp14:anchorId="68645B47" wp14:editId="08D78957">
            <wp:extent cx="6056768" cy="4066513"/>
            <wp:effectExtent l="0" t="0" r="1270" b="0"/>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6079035" cy="4081463"/>
                    </a:xfrm>
                    <a:prstGeom prst="rect">
                      <a:avLst/>
                    </a:prstGeom>
                    <a:noFill/>
                    <a:ln>
                      <a:noFill/>
                    </a:ln>
                  </pic:spPr>
                </pic:pic>
              </a:graphicData>
            </a:graphic>
          </wp:inline>
        </w:drawing>
      </w:r>
    </w:p>
    <w:p w14:paraId="66B0AB0F" w14:textId="77777777" w:rsidR="00676A15" w:rsidRDefault="00676A15" w:rsidP="00DC54F7">
      <w:pPr>
        <w:spacing w:after="0" w:line="240" w:lineRule="auto"/>
        <w:jc w:val="both"/>
        <w:rPr>
          <w:rFonts w:ascii="Arial" w:hAnsi="Arial" w:cs="Arial"/>
          <w:b/>
          <w:sz w:val="24"/>
          <w:szCs w:val="24"/>
        </w:rPr>
      </w:pPr>
    </w:p>
    <w:p w14:paraId="4B477DA0" w14:textId="4828F7A1" w:rsidR="00FD6000" w:rsidRPr="0004298C" w:rsidRDefault="00F01835" w:rsidP="00DC54F7">
      <w:pPr>
        <w:spacing w:after="0" w:line="240" w:lineRule="auto"/>
        <w:jc w:val="both"/>
        <w:rPr>
          <w:rFonts w:ascii="Arial" w:hAnsi="Arial" w:cs="Arial"/>
          <w:b/>
          <w:sz w:val="24"/>
          <w:szCs w:val="24"/>
        </w:rPr>
      </w:pPr>
      <w:r w:rsidRPr="0004298C">
        <w:rPr>
          <w:rFonts w:ascii="Arial" w:hAnsi="Arial" w:cs="Arial"/>
          <w:b/>
          <w:sz w:val="24"/>
          <w:szCs w:val="24"/>
        </w:rPr>
        <w:t xml:space="preserve">9.1.4 </w:t>
      </w:r>
      <w:r w:rsidR="00E75071" w:rsidRPr="0004298C">
        <w:rPr>
          <w:rFonts w:ascii="Arial" w:hAnsi="Arial" w:cs="Arial"/>
          <w:b/>
          <w:sz w:val="24"/>
          <w:szCs w:val="24"/>
        </w:rPr>
        <w:t>Health profile</w:t>
      </w:r>
    </w:p>
    <w:p w14:paraId="05694E0E" w14:textId="1B48A002" w:rsidR="0063382E" w:rsidRPr="0004298C" w:rsidRDefault="0063382E" w:rsidP="00DC54F7">
      <w:pPr>
        <w:spacing w:after="0" w:line="240" w:lineRule="auto"/>
        <w:jc w:val="both"/>
        <w:rPr>
          <w:rFonts w:ascii="Arial" w:hAnsi="Arial" w:cs="Arial"/>
          <w:sz w:val="24"/>
          <w:szCs w:val="24"/>
        </w:rPr>
      </w:pPr>
    </w:p>
    <w:p w14:paraId="4A6CB09A" w14:textId="374DD898" w:rsidR="00176369" w:rsidRPr="0004298C" w:rsidRDefault="000C2E84" w:rsidP="00DC54F7">
      <w:pPr>
        <w:spacing w:after="0" w:line="240" w:lineRule="auto"/>
        <w:jc w:val="both"/>
        <w:rPr>
          <w:rFonts w:ascii="Arial" w:eastAsia="Times New Roman" w:hAnsi="Arial" w:cs="Arial"/>
          <w:color w:val="000000"/>
          <w:sz w:val="24"/>
          <w:szCs w:val="24"/>
          <w:lang w:eastAsia="en-GB"/>
        </w:rPr>
      </w:pPr>
      <w:r w:rsidRPr="0004298C">
        <w:rPr>
          <w:rFonts w:ascii="Arial" w:hAnsi="Arial" w:cs="Arial"/>
          <w:sz w:val="24"/>
          <w:szCs w:val="24"/>
        </w:rPr>
        <w:t xml:space="preserve">Cardiff South East cluster has the </w:t>
      </w:r>
      <w:r w:rsidR="007A2C89" w:rsidRPr="0004298C">
        <w:rPr>
          <w:rFonts w:ascii="Arial" w:hAnsi="Arial" w:cs="Arial"/>
          <w:sz w:val="24"/>
          <w:szCs w:val="24"/>
        </w:rPr>
        <w:t xml:space="preserve">lowest </w:t>
      </w:r>
      <w:r w:rsidR="006544CB" w:rsidRPr="0004298C">
        <w:rPr>
          <w:rFonts w:ascii="Arial" w:hAnsi="Arial" w:cs="Arial"/>
          <w:sz w:val="24"/>
          <w:szCs w:val="24"/>
        </w:rPr>
        <w:t xml:space="preserve">estimated prevalence of </w:t>
      </w:r>
      <w:r w:rsidR="007070AB" w:rsidRPr="0004298C">
        <w:rPr>
          <w:rFonts w:ascii="Arial" w:hAnsi="Arial" w:cs="Arial"/>
          <w:sz w:val="24"/>
          <w:szCs w:val="24"/>
        </w:rPr>
        <w:t xml:space="preserve">chronic disease </w:t>
      </w:r>
      <w:r w:rsidR="00C05F3E" w:rsidRPr="0004298C">
        <w:rPr>
          <w:rFonts w:ascii="Arial" w:hAnsi="Arial" w:cs="Arial"/>
          <w:sz w:val="24"/>
          <w:szCs w:val="24"/>
        </w:rPr>
        <w:t xml:space="preserve">of all the clusters in </w:t>
      </w:r>
      <w:r w:rsidR="00176369" w:rsidRPr="0004298C">
        <w:rPr>
          <w:rFonts w:ascii="Arial" w:eastAsia="Times New Roman" w:hAnsi="Arial" w:cs="Arial"/>
          <w:color w:val="000000"/>
          <w:sz w:val="24"/>
          <w:szCs w:val="24"/>
          <w:lang w:eastAsia="en-GB"/>
        </w:rPr>
        <w:t>Cardiff and Vale University Health Board</w:t>
      </w:r>
      <w:r w:rsidR="00C05F3E" w:rsidRPr="0004298C">
        <w:rPr>
          <w:rFonts w:ascii="Arial" w:eastAsia="Times New Roman" w:hAnsi="Arial" w:cs="Arial"/>
          <w:color w:val="000000"/>
          <w:sz w:val="24"/>
          <w:szCs w:val="24"/>
          <w:lang w:eastAsia="en-GB"/>
        </w:rPr>
        <w:t xml:space="preserve">, with the exception of </w:t>
      </w:r>
      <w:r w:rsidR="003B431A" w:rsidRPr="0004298C">
        <w:rPr>
          <w:rFonts w:ascii="Arial" w:eastAsia="Times New Roman" w:hAnsi="Arial" w:cs="Arial"/>
          <w:color w:val="000000"/>
          <w:sz w:val="24"/>
          <w:szCs w:val="24"/>
          <w:lang w:eastAsia="en-GB"/>
        </w:rPr>
        <w:t xml:space="preserve">heart failure </w:t>
      </w:r>
      <w:r w:rsidR="007070AB" w:rsidRPr="0004298C">
        <w:rPr>
          <w:rFonts w:ascii="Arial" w:eastAsia="Times New Roman" w:hAnsi="Arial" w:cs="Arial"/>
          <w:color w:val="000000"/>
          <w:sz w:val="24"/>
          <w:szCs w:val="24"/>
          <w:lang w:eastAsia="en-GB"/>
        </w:rPr>
        <w:t xml:space="preserve">(second lowest) </w:t>
      </w:r>
      <w:r w:rsidR="003B431A" w:rsidRPr="0004298C">
        <w:rPr>
          <w:rFonts w:ascii="Arial" w:eastAsia="Times New Roman" w:hAnsi="Arial" w:cs="Arial"/>
          <w:color w:val="000000"/>
          <w:sz w:val="24"/>
          <w:szCs w:val="24"/>
          <w:lang w:eastAsia="en-GB"/>
        </w:rPr>
        <w:t xml:space="preserve">and </w:t>
      </w:r>
      <w:r w:rsidR="007070AB" w:rsidRPr="0004298C">
        <w:rPr>
          <w:rFonts w:ascii="Arial" w:eastAsia="Times New Roman" w:hAnsi="Arial" w:cs="Arial"/>
          <w:color w:val="000000"/>
          <w:sz w:val="24"/>
          <w:szCs w:val="24"/>
          <w:lang w:eastAsia="en-GB"/>
        </w:rPr>
        <w:t>chronic obstructive pulmonary disease (</w:t>
      </w:r>
      <w:r w:rsidR="003B431A" w:rsidRPr="0004298C">
        <w:rPr>
          <w:rFonts w:ascii="Arial" w:eastAsia="Times New Roman" w:hAnsi="Arial" w:cs="Arial"/>
          <w:color w:val="000000"/>
          <w:sz w:val="24"/>
          <w:szCs w:val="24"/>
          <w:lang w:eastAsia="en-GB"/>
        </w:rPr>
        <w:t>COPD</w:t>
      </w:r>
      <w:r w:rsidR="007070AB" w:rsidRPr="0004298C">
        <w:rPr>
          <w:rFonts w:ascii="Arial" w:eastAsia="Times New Roman" w:hAnsi="Arial" w:cs="Arial"/>
          <w:color w:val="000000"/>
          <w:sz w:val="24"/>
          <w:szCs w:val="24"/>
          <w:lang w:eastAsia="en-GB"/>
        </w:rPr>
        <w:t>)</w:t>
      </w:r>
      <w:r w:rsidR="003B431A" w:rsidRPr="0004298C">
        <w:rPr>
          <w:rFonts w:ascii="Arial" w:eastAsia="Times New Roman" w:hAnsi="Arial" w:cs="Arial"/>
          <w:color w:val="000000"/>
          <w:sz w:val="24"/>
          <w:szCs w:val="24"/>
          <w:lang w:eastAsia="en-GB"/>
        </w:rPr>
        <w:t>.</w:t>
      </w:r>
      <w:r w:rsidR="00254695" w:rsidRPr="0004298C">
        <w:rPr>
          <w:rFonts w:ascii="Arial" w:eastAsia="Times New Roman" w:hAnsi="Arial" w:cs="Arial"/>
          <w:color w:val="000000"/>
          <w:sz w:val="24"/>
          <w:szCs w:val="24"/>
          <w:lang w:eastAsia="en-GB"/>
        </w:rPr>
        <w:t xml:space="preserve"> </w:t>
      </w:r>
      <w:r w:rsidR="0037013F" w:rsidRPr="0004298C">
        <w:rPr>
          <w:rFonts w:ascii="Arial" w:eastAsia="Times New Roman" w:hAnsi="Arial" w:cs="Arial"/>
          <w:color w:val="000000"/>
          <w:sz w:val="24"/>
          <w:szCs w:val="24"/>
          <w:lang w:eastAsia="en-GB"/>
        </w:rPr>
        <w:t>The estimated prevalence of chronic disease in the cluster is lower than the average for Wales.</w:t>
      </w:r>
    </w:p>
    <w:p w14:paraId="3D93EAB6" w14:textId="77777777" w:rsidR="00E75071" w:rsidRPr="0004298C" w:rsidRDefault="00E75071" w:rsidP="00DC54F7">
      <w:pPr>
        <w:spacing w:after="0" w:line="240" w:lineRule="auto"/>
        <w:jc w:val="both"/>
        <w:rPr>
          <w:rFonts w:ascii="Arial" w:hAnsi="Arial" w:cs="Arial"/>
          <w:sz w:val="24"/>
          <w:szCs w:val="24"/>
        </w:rPr>
      </w:pPr>
    </w:p>
    <w:p w14:paraId="50BB8F3E" w14:textId="2C92D2BE" w:rsidR="0063382E" w:rsidRPr="0004298C" w:rsidRDefault="004802DF" w:rsidP="00DC54F7">
      <w:pPr>
        <w:pStyle w:val="Caption"/>
        <w:spacing w:before="0" w:after="0"/>
        <w:jc w:val="both"/>
        <w:rPr>
          <w:rFonts w:ascii="Arial" w:hAnsi="Arial" w:cs="Arial"/>
          <w:szCs w:val="24"/>
        </w:rPr>
      </w:pPr>
      <w:r w:rsidRPr="0004298C">
        <w:rPr>
          <w:rFonts w:ascii="Arial" w:hAnsi="Arial" w:cs="Arial"/>
          <w:szCs w:val="24"/>
        </w:rPr>
        <w:t xml:space="preserve">Table </w:t>
      </w:r>
      <w:r w:rsidR="00C5502E" w:rsidRPr="0004298C">
        <w:rPr>
          <w:rFonts w:ascii="Arial" w:hAnsi="Arial" w:cs="Arial"/>
          <w:szCs w:val="24"/>
        </w:rPr>
        <w:t>9</w:t>
      </w:r>
      <w:r w:rsidRPr="0004298C">
        <w:rPr>
          <w:rFonts w:ascii="Arial" w:hAnsi="Arial" w:cs="Arial"/>
          <w:szCs w:val="24"/>
        </w:rPr>
        <w:t>.</w:t>
      </w:r>
      <w:r w:rsidR="00C5502E" w:rsidRPr="0004298C">
        <w:rPr>
          <w:rFonts w:ascii="Arial" w:hAnsi="Arial" w:cs="Arial"/>
          <w:szCs w:val="24"/>
        </w:rPr>
        <w:t>3</w:t>
      </w:r>
      <w:r w:rsidRPr="0004298C">
        <w:rPr>
          <w:rFonts w:ascii="Arial" w:hAnsi="Arial" w:cs="Arial"/>
          <w:szCs w:val="24"/>
        </w:rPr>
        <w:t xml:space="preserve">: Estimated percentage </w:t>
      </w:r>
      <w:r w:rsidR="00027872" w:rsidRPr="0004298C">
        <w:rPr>
          <w:rFonts w:ascii="Arial" w:hAnsi="Arial" w:cs="Arial"/>
          <w:szCs w:val="24"/>
        </w:rPr>
        <w:t>prevalence of chronic conditions</w:t>
      </w:r>
      <w:r w:rsidRPr="0004298C">
        <w:rPr>
          <w:rFonts w:ascii="Arial" w:hAnsi="Arial" w:cs="Arial"/>
          <w:szCs w:val="24"/>
        </w:rPr>
        <w:t xml:space="preserve"> based on patients on GP practice registers by cluster, local authority, health board and Wales, 2019.</w:t>
      </w:r>
    </w:p>
    <w:tbl>
      <w:tblPr>
        <w:tblW w:w="9536" w:type="dxa"/>
        <w:tblLook w:val="04A0" w:firstRow="1" w:lastRow="0" w:firstColumn="1" w:lastColumn="0" w:noHBand="0" w:noVBand="1"/>
      </w:tblPr>
      <w:tblGrid>
        <w:gridCol w:w="2322"/>
        <w:gridCol w:w="1201"/>
        <w:gridCol w:w="1201"/>
        <w:gridCol w:w="1201"/>
        <w:gridCol w:w="1201"/>
        <w:gridCol w:w="1201"/>
        <w:gridCol w:w="1209"/>
      </w:tblGrid>
      <w:tr w:rsidR="00230F22" w:rsidRPr="00230F22" w14:paraId="615DBC79" w14:textId="77777777" w:rsidTr="0004298C">
        <w:trPr>
          <w:trHeight w:val="329"/>
        </w:trPr>
        <w:tc>
          <w:tcPr>
            <w:tcW w:w="2322" w:type="dxa"/>
            <w:tcBorders>
              <w:top w:val="single" w:sz="4" w:space="0" w:color="auto"/>
              <w:left w:val="single" w:sz="4" w:space="0" w:color="auto"/>
              <w:bottom w:val="nil"/>
              <w:right w:val="nil"/>
            </w:tcBorders>
            <w:shd w:val="clear" w:color="auto" w:fill="8497B0"/>
            <w:noWrap/>
            <w:vAlign w:val="bottom"/>
            <w:hideMark/>
          </w:tcPr>
          <w:p w14:paraId="5BFB09BE" w14:textId="77777777"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 </w:t>
            </w:r>
          </w:p>
        </w:tc>
        <w:tc>
          <w:tcPr>
            <w:tcW w:w="7214" w:type="dxa"/>
            <w:gridSpan w:val="6"/>
            <w:tcBorders>
              <w:top w:val="single" w:sz="4" w:space="0" w:color="auto"/>
              <w:left w:val="nil"/>
              <w:bottom w:val="single" w:sz="4" w:space="0" w:color="FFFFFF"/>
              <w:right w:val="single" w:sz="4" w:space="0" w:color="auto"/>
            </w:tcBorders>
            <w:shd w:val="clear" w:color="auto" w:fill="8497B0"/>
            <w:noWrap/>
            <w:vAlign w:val="bottom"/>
            <w:hideMark/>
          </w:tcPr>
          <w:p w14:paraId="48B1A041" w14:textId="77777777" w:rsidR="00230F22" w:rsidRPr="00C230E7" w:rsidRDefault="00230F22" w:rsidP="00DC54F7">
            <w:pPr>
              <w:spacing w:after="0" w:line="240" w:lineRule="auto"/>
              <w:jc w:val="both"/>
              <w:rPr>
                <w:rFonts w:ascii="Calibri" w:eastAsia="Times New Roman" w:hAnsi="Calibri" w:cs="Calibri"/>
                <w:b/>
                <w:bCs/>
                <w:color w:val="FFFFFF"/>
                <w:lang w:eastAsia="en-GB"/>
              </w:rPr>
            </w:pPr>
            <w:r w:rsidRPr="00C230E7">
              <w:rPr>
                <w:rFonts w:ascii="Calibri" w:eastAsia="Times New Roman" w:hAnsi="Calibri" w:cs="Calibri"/>
                <w:b/>
                <w:bCs/>
                <w:color w:val="FFFFFF"/>
                <w:lang w:eastAsia="en-GB"/>
              </w:rPr>
              <w:t>Percentage</w:t>
            </w:r>
          </w:p>
        </w:tc>
      </w:tr>
      <w:tr w:rsidR="00230F22" w:rsidRPr="00230F22" w14:paraId="7A5C1024" w14:textId="77777777" w:rsidTr="0004298C">
        <w:trPr>
          <w:trHeight w:val="1193"/>
        </w:trPr>
        <w:tc>
          <w:tcPr>
            <w:tcW w:w="2322" w:type="dxa"/>
            <w:tcBorders>
              <w:top w:val="nil"/>
              <w:left w:val="single" w:sz="4" w:space="0" w:color="auto"/>
              <w:bottom w:val="nil"/>
              <w:right w:val="nil"/>
            </w:tcBorders>
            <w:shd w:val="clear" w:color="auto" w:fill="8497B0"/>
            <w:noWrap/>
            <w:vAlign w:val="bottom"/>
            <w:hideMark/>
          </w:tcPr>
          <w:p w14:paraId="64144625" w14:textId="77777777" w:rsidR="00230F22" w:rsidRPr="00C230E7" w:rsidRDefault="00230F22" w:rsidP="00DC54F7">
            <w:pPr>
              <w:spacing w:after="0" w:line="240" w:lineRule="auto"/>
              <w:jc w:val="both"/>
              <w:rPr>
                <w:rFonts w:ascii="Calibri" w:eastAsia="Times New Roman" w:hAnsi="Calibri" w:cs="Calibri"/>
                <w:b/>
                <w:bCs/>
                <w:color w:val="FFFFFF"/>
                <w:lang w:eastAsia="en-GB"/>
              </w:rPr>
            </w:pPr>
            <w:r w:rsidRPr="00C230E7">
              <w:rPr>
                <w:rFonts w:ascii="Calibri" w:eastAsia="Times New Roman" w:hAnsi="Calibri" w:cs="Calibri"/>
                <w:b/>
                <w:bCs/>
                <w:color w:val="FFFFFF"/>
                <w:lang w:eastAsia="en-GB"/>
              </w:rPr>
              <w:t>Area</w:t>
            </w:r>
          </w:p>
        </w:tc>
        <w:tc>
          <w:tcPr>
            <w:tcW w:w="1201" w:type="dxa"/>
            <w:tcBorders>
              <w:top w:val="nil"/>
              <w:left w:val="nil"/>
              <w:bottom w:val="nil"/>
              <w:right w:val="nil"/>
            </w:tcBorders>
            <w:shd w:val="clear" w:color="auto" w:fill="8497B0"/>
            <w:vAlign w:val="bottom"/>
            <w:hideMark/>
          </w:tcPr>
          <w:p w14:paraId="78D3F1A0" w14:textId="77777777" w:rsidR="00230F22" w:rsidRPr="00C230E7" w:rsidRDefault="00230F22" w:rsidP="00DC54F7">
            <w:pPr>
              <w:spacing w:after="0" w:line="240" w:lineRule="auto"/>
              <w:jc w:val="both"/>
              <w:rPr>
                <w:rFonts w:ascii="Calibri" w:eastAsia="Times New Roman" w:hAnsi="Calibri" w:cs="Calibri"/>
                <w:b/>
                <w:bCs/>
                <w:color w:val="FFFFFF"/>
                <w:lang w:eastAsia="en-GB"/>
              </w:rPr>
            </w:pPr>
            <w:r w:rsidRPr="00C230E7">
              <w:rPr>
                <w:rFonts w:ascii="Calibri" w:eastAsia="Times New Roman" w:hAnsi="Calibri" w:cs="Calibri"/>
                <w:b/>
                <w:bCs/>
                <w:color w:val="FFFFFF"/>
                <w:lang w:eastAsia="en-GB"/>
              </w:rPr>
              <w:t>Asthma</w:t>
            </w:r>
          </w:p>
        </w:tc>
        <w:tc>
          <w:tcPr>
            <w:tcW w:w="1201" w:type="dxa"/>
            <w:tcBorders>
              <w:top w:val="nil"/>
              <w:left w:val="nil"/>
              <w:bottom w:val="nil"/>
              <w:right w:val="nil"/>
            </w:tcBorders>
            <w:shd w:val="clear" w:color="auto" w:fill="8497B0"/>
            <w:vAlign w:val="bottom"/>
            <w:hideMark/>
          </w:tcPr>
          <w:p w14:paraId="75E96E73" w14:textId="77777777" w:rsidR="00230F22" w:rsidRPr="00C230E7" w:rsidRDefault="00230F22" w:rsidP="00DC54F7">
            <w:pPr>
              <w:spacing w:after="0" w:line="240" w:lineRule="auto"/>
              <w:jc w:val="both"/>
              <w:rPr>
                <w:rFonts w:ascii="Calibri" w:eastAsia="Times New Roman" w:hAnsi="Calibri" w:cs="Calibri"/>
                <w:b/>
                <w:bCs/>
                <w:color w:val="FFFFFF"/>
                <w:lang w:eastAsia="en-GB"/>
              </w:rPr>
            </w:pPr>
            <w:r w:rsidRPr="00C230E7">
              <w:rPr>
                <w:rFonts w:ascii="Calibri" w:eastAsia="Times New Roman" w:hAnsi="Calibri" w:cs="Calibri"/>
                <w:b/>
                <w:bCs/>
                <w:color w:val="FFFFFF"/>
                <w:lang w:eastAsia="en-GB"/>
              </w:rPr>
              <w:t>Coronary heart disease</w:t>
            </w:r>
          </w:p>
        </w:tc>
        <w:tc>
          <w:tcPr>
            <w:tcW w:w="1201" w:type="dxa"/>
            <w:tcBorders>
              <w:top w:val="nil"/>
              <w:left w:val="nil"/>
              <w:bottom w:val="nil"/>
              <w:right w:val="nil"/>
            </w:tcBorders>
            <w:shd w:val="clear" w:color="auto" w:fill="8497B0"/>
            <w:vAlign w:val="bottom"/>
            <w:hideMark/>
          </w:tcPr>
          <w:p w14:paraId="173F1E34" w14:textId="77777777" w:rsidR="00230F22" w:rsidRPr="00C230E7" w:rsidRDefault="00230F22" w:rsidP="00DC54F7">
            <w:pPr>
              <w:spacing w:after="0" w:line="240" w:lineRule="auto"/>
              <w:jc w:val="both"/>
              <w:rPr>
                <w:rFonts w:ascii="Calibri" w:eastAsia="Times New Roman" w:hAnsi="Calibri" w:cs="Calibri"/>
                <w:b/>
                <w:bCs/>
                <w:color w:val="FFFFFF"/>
                <w:lang w:eastAsia="en-GB"/>
              </w:rPr>
            </w:pPr>
            <w:r w:rsidRPr="00C230E7">
              <w:rPr>
                <w:rFonts w:ascii="Calibri" w:eastAsia="Times New Roman" w:hAnsi="Calibri" w:cs="Calibri"/>
                <w:b/>
                <w:bCs/>
                <w:color w:val="FFFFFF"/>
                <w:lang w:eastAsia="en-GB"/>
              </w:rPr>
              <w:t>COPD</w:t>
            </w:r>
          </w:p>
        </w:tc>
        <w:tc>
          <w:tcPr>
            <w:tcW w:w="1201" w:type="dxa"/>
            <w:tcBorders>
              <w:top w:val="nil"/>
              <w:left w:val="nil"/>
              <w:bottom w:val="nil"/>
              <w:right w:val="nil"/>
            </w:tcBorders>
            <w:shd w:val="clear" w:color="auto" w:fill="8497B0"/>
            <w:vAlign w:val="bottom"/>
            <w:hideMark/>
          </w:tcPr>
          <w:p w14:paraId="6B765E12" w14:textId="77777777" w:rsidR="00230F22" w:rsidRPr="00C230E7" w:rsidRDefault="00230F22" w:rsidP="00DC54F7">
            <w:pPr>
              <w:spacing w:after="0" w:line="240" w:lineRule="auto"/>
              <w:jc w:val="both"/>
              <w:rPr>
                <w:rFonts w:ascii="Calibri" w:eastAsia="Times New Roman" w:hAnsi="Calibri" w:cs="Calibri"/>
                <w:b/>
                <w:bCs/>
                <w:color w:val="FFFFFF"/>
                <w:lang w:eastAsia="en-GB"/>
              </w:rPr>
            </w:pPr>
            <w:r w:rsidRPr="00C230E7">
              <w:rPr>
                <w:rFonts w:ascii="Calibri" w:eastAsia="Times New Roman" w:hAnsi="Calibri" w:cs="Calibri"/>
                <w:b/>
                <w:bCs/>
                <w:color w:val="FFFFFF"/>
                <w:lang w:eastAsia="en-GB"/>
              </w:rPr>
              <w:t>Diabetes</w:t>
            </w:r>
          </w:p>
        </w:tc>
        <w:tc>
          <w:tcPr>
            <w:tcW w:w="1201" w:type="dxa"/>
            <w:tcBorders>
              <w:top w:val="nil"/>
              <w:left w:val="nil"/>
              <w:bottom w:val="nil"/>
              <w:right w:val="nil"/>
            </w:tcBorders>
            <w:shd w:val="clear" w:color="auto" w:fill="8497B0"/>
            <w:vAlign w:val="bottom"/>
            <w:hideMark/>
          </w:tcPr>
          <w:p w14:paraId="3703C6AF" w14:textId="77777777" w:rsidR="00230F22" w:rsidRPr="00C230E7" w:rsidRDefault="00230F22" w:rsidP="00DC54F7">
            <w:pPr>
              <w:spacing w:after="0" w:line="240" w:lineRule="auto"/>
              <w:jc w:val="both"/>
              <w:rPr>
                <w:rFonts w:ascii="Calibri" w:eastAsia="Times New Roman" w:hAnsi="Calibri" w:cs="Calibri"/>
                <w:b/>
                <w:bCs/>
                <w:color w:val="FFFFFF"/>
                <w:lang w:eastAsia="en-GB"/>
              </w:rPr>
            </w:pPr>
            <w:r w:rsidRPr="00C230E7">
              <w:rPr>
                <w:rFonts w:ascii="Calibri" w:eastAsia="Times New Roman" w:hAnsi="Calibri" w:cs="Calibri"/>
                <w:b/>
                <w:bCs/>
                <w:color w:val="FFFFFF"/>
                <w:lang w:eastAsia="en-GB"/>
              </w:rPr>
              <w:t>Heart failure</w:t>
            </w:r>
          </w:p>
        </w:tc>
        <w:tc>
          <w:tcPr>
            <w:tcW w:w="1208" w:type="dxa"/>
            <w:tcBorders>
              <w:top w:val="nil"/>
              <w:left w:val="nil"/>
              <w:bottom w:val="single" w:sz="4" w:space="0" w:color="A9D08E"/>
              <w:right w:val="single" w:sz="4" w:space="0" w:color="auto"/>
            </w:tcBorders>
            <w:shd w:val="clear" w:color="auto" w:fill="8497B0"/>
            <w:vAlign w:val="bottom"/>
            <w:hideMark/>
          </w:tcPr>
          <w:p w14:paraId="26EA0204" w14:textId="77777777" w:rsidR="00230F22" w:rsidRPr="00C230E7" w:rsidRDefault="00230F22" w:rsidP="00DC54F7">
            <w:pPr>
              <w:spacing w:after="0" w:line="240" w:lineRule="auto"/>
              <w:jc w:val="both"/>
              <w:rPr>
                <w:rFonts w:ascii="Calibri" w:eastAsia="Times New Roman" w:hAnsi="Calibri" w:cs="Calibri"/>
                <w:b/>
                <w:bCs/>
                <w:color w:val="FFFFFF"/>
                <w:lang w:eastAsia="en-GB"/>
              </w:rPr>
            </w:pPr>
            <w:r w:rsidRPr="00C230E7">
              <w:rPr>
                <w:rFonts w:ascii="Calibri" w:eastAsia="Times New Roman" w:hAnsi="Calibri" w:cs="Calibri"/>
                <w:b/>
                <w:bCs/>
                <w:color w:val="FFFFFF"/>
                <w:lang w:eastAsia="en-GB"/>
              </w:rPr>
              <w:t>Stroke and transient ischaemic attacks</w:t>
            </w:r>
          </w:p>
        </w:tc>
      </w:tr>
      <w:tr w:rsidR="00A706A4" w:rsidRPr="00230F22" w14:paraId="72391963" w14:textId="77777777" w:rsidTr="0004298C">
        <w:trPr>
          <w:trHeight w:val="329"/>
        </w:trPr>
        <w:tc>
          <w:tcPr>
            <w:tcW w:w="2322" w:type="dxa"/>
            <w:tcBorders>
              <w:top w:val="nil"/>
              <w:left w:val="single" w:sz="4" w:space="0" w:color="auto"/>
              <w:bottom w:val="nil"/>
              <w:right w:val="nil"/>
            </w:tcBorders>
            <w:shd w:val="clear" w:color="000000" w:fill="F2F2F2"/>
            <w:noWrap/>
            <w:vAlign w:val="bottom"/>
            <w:hideMark/>
          </w:tcPr>
          <w:p w14:paraId="38E43A3A" w14:textId="77777777"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Cardiff South East</w:t>
            </w:r>
          </w:p>
        </w:tc>
        <w:tc>
          <w:tcPr>
            <w:tcW w:w="1201" w:type="dxa"/>
            <w:tcBorders>
              <w:top w:val="nil"/>
              <w:left w:val="nil"/>
              <w:bottom w:val="nil"/>
              <w:right w:val="nil"/>
            </w:tcBorders>
            <w:shd w:val="clear" w:color="000000" w:fill="F2F2F2"/>
            <w:noWrap/>
            <w:vAlign w:val="bottom"/>
            <w:hideMark/>
          </w:tcPr>
          <w:p w14:paraId="269A945F" w14:textId="5E035565"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5.2</w:t>
            </w:r>
          </w:p>
        </w:tc>
        <w:tc>
          <w:tcPr>
            <w:tcW w:w="1201" w:type="dxa"/>
            <w:tcBorders>
              <w:top w:val="nil"/>
              <w:left w:val="nil"/>
              <w:bottom w:val="nil"/>
              <w:right w:val="nil"/>
            </w:tcBorders>
            <w:shd w:val="clear" w:color="000000" w:fill="F2F2F2"/>
            <w:noWrap/>
            <w:vAlign w:val="bottom"/>
            <w:hideMark/>
          </w:tcPr>
          <w:p w14:paraId="133AB710" w14:textId="257CF8AE"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1.8</w:t>
            </w:r>
          </w:p>
        </w:tc>
        <w:tc>
          <w:tcPr>
            <w:tcW w:w="1201" w:type="dxa"/>
            <w:tcBorders>
              <w:top w:val="nil"/>
              <w:left w:val="nil"/>
              <w:bottom w:val="nil"/>
              <w:right w:val="nil"/>
            </w:tcBorders>
            <w:shd w:val="clear" w:color="000000" w:fill="F2F2F2"/>
            <w:noWrap/>
            <w:vAlign w:val="bottom"/>
            <w:hideMark/>
          </w:tcPr>
          <w:p w14:paraId="4E8D9D47" w14:textId="0CFB34CE"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1.5</w:t>
            </w:r>
          </w:p>
        </w:tc>
        <w:tc>
          <w:tcPr>
            <w:tcW w:w="1201" w:type="dxa"/>
            <w:tcBorders>
              <w:top w:val="nil"/>
              <w:left w:val="nil"/>
              <w:bottom w:val="nil"/>
              <w:right w:val="nil"/>
            </w:tcBorders>
            <w:shd w:val="clear" w:color="000000" w:fill="F2F2F2"/>
            <w:noWrap/>
            <w:vAlign w:val="bottom"/>
            <w:hideMark/>
          </w:tcPr>
          <w:p w14:paraId="29D79D0A" w14:textId="713F73A8"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4.2</w:t>
            </w:r>
          </w:p>
        </w:tc>
        <w:tc>
          <w:tcPr>
            <w:tcW w:w="1201" w:type="dxa"/>
            <w:tcBorders>
              <w:top w:val="nil"/>
              <w:left w:val="nil"/>
              <w:bottom w:val="nil"/>
              <w:right w:val="nil"/>
            </w:tcBorders>
            <w:shd w:val="clear" w:color="000000" w:fill="F2F2F2"/>
            <w:noWrap/>
            <w:vAlign w:val="bottom"/>
            <w:hideMark/>
          </w:tcPr>
          <w:p w14:paraId="4FB03FDB" w14:textId="48D44DE8"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0.6</w:t>
            </w:r>
          </w:p>
        </w:tc>
        <w:tc>
          <w:tcPr>
            <w:tcW w:w="1208" w:type="dxa"/>
            <w:tcBorders>
              <w:top w:val="nil"/>
              <w:left w:val="nil"/>
              <w:bottom w:val="nil"/>
              <w:right w:val="single" w:sz="4" w:space="0" w:color="auto"/>
            </w:tcBorders>
            <w:shd w:val="clear" w:color="000000" w:fill="F2F2F2"/>
            <w:noWrap/>
            <w:vAlign w:val="bottom"/>
            <w:hideMark/>
          </w:tcPr>
          <w:p w14:paraId="378E8961" w14:textId="7F064966"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1.1</w:t>
            </w:r>
          </w:p>
        </w:tc>
      </w:tr>
      <w:tr w:rsidR="00A706A4" w:rsidRPr="00230F22" w14:paraId="27CE48CF" w14:textId="77777777" w:rsidTr="0004298C">
        <w:trPr>
          <w:trHeight w:val="329"/>
        </w:trPr>
        <w:tc>
          <w:tcPr>
            <w:tcW w:w="2322" w:type="dxa"/>
            <w:tcBorders>
              <w:top w:val="nil"/>
              <w:left w:val="single" w:sz="4" w:space="0" w:color="auto"/>
              <w:bottom w:val="nil"/>
              <w:right w:val="nil"/>
            </w:tcBorders>
            <w:shd w:val="clear" w:color="000000" w:fill="FFFFFF"/>
            <w:noWrap/>
            <w:vAlign w:val="bottom"/>
            <w:hideMark/>
          </w:tcPr>
          <w:p w14:paraId="138FF24A" w14:textId="77777777"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Cardiff</w:t>
            </w:r>
          </w:p>
        </w:tc>
        <w:tc>
          <w:tcPr>
            <w:tcW w:w="1201" w:type="dxa"/>
            <w:tcBorders>
              <w:top w:val="nil"/>
              <w:left w:val="nil"/>
              <w:bottom w:val="nil"/>
              <w:right w:val="nil"/>
            </w:tcBorders>
            <w:shd w:val="clear" w:color="000000" w:fill="FFFFFF"/>
            <w:noWrap/>
            <w:vAlign w:val="bottom"/>
            <w:hideMark/>
          </w:tcPr>
          <w:p w14:paraId="144EB629" w14:textId="40EFFE93"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6.6</w:t>
            </w:r>
          </w:p>
        </w:tc>
        <w:tc>
          <w:tcPr>
            <w:tcW w:w="1201" w:type="dxa"/>
            <w:tcBorders>
              <w:top w:val="nil"/>
              <w:left w:val="nil"/>
              <w:bottom w:val="nil"/>
              <w:right w:val="nil"/>
            </w:tcBorders>
            <w:shd w:val="clear" w:color="000000" w:fill="FFFFFF"/>
            <w:noWrap/>
            <w:vAlign w:val="bottom"/>
            <w:hideMark/>
          </w:tcPr>
          <w:p w14:paraId="2AAEFBFE" w14:textId="465CE475"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2.5</w:t>
            </w:r>
          </w:p>
        </w:tc>
        <w:tc>
          <w:tcPr>
            <w:tcW w:w="1201" w:type="dxa"/>
            <w:tcBorders>
              <w:top w:val="nil"/>
              <w:left w:val="nil"/>
              <w:bottom w:val="nil"/>
              <w:right w:val="nil"/>
            </w:tcBorders>
            <w:shd w:val="clear" w:color="000000" w:fill="FFFFFF"/>
            <w:noWrap/>
            <w:vAlign w:val="bottom"/>
            <w:hideMark/>
          </w:tcPr>
          <w:p w14:paraId="1606027D" w14:textId="1C25738B"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1.6</w:t>
            </w:r>
          </w:p>
        </w:tc>
        <w:tc>
          <w:tcPr>
            <w:tcW w:w="1201" w:type="dxa"/>
            <w:tcBorders>
              <w:top w:val="nil"/>
              <w:left w:val="nil"/>
              <w:bottom w:val="nil"/>
              <w:right w:val="nil"/>
            </w:tcBorders>
            <w:shd w:val="clear" w:color="000000" w:fill="FFFFFF"/>
            <w:noWrap/>
            <w:vAlign w:val="bottom"/>
            <w:hideMark/>
          </w:tcPr>
          <w:p w14:paraId="7F9A2643" w14:textId="2A44F56F"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4.9</w:t>
            </w:r>
          </w:p>
        </w:tc>
        <w:tc>
          <w:tcPr>
            <w:tcW w:w="1201" w:type="dxa"/>
            <w:tcBorders>
              <w:top w:val="nil"/>
              <w:left w:val="nil"/>
              <w:bottom w:val="nil"/>
              <w:right w:val="nil"/>
            </w:tcBorders>
            <w:shd w:val="clear" w:color="000000" w:fill="FFFFFF"/>
            <w:noWrap/>
            <w:vAlign w:val="bottom"/>
            <w:hideMark/>
          </w:tcPr>
          <w:p w14:paraId="57BAC2A9" w14:textId="13BD9DCB"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0.8</w:t>
            </w:r>
          </w:p>
        </w:tc>
        <w:tc>
          <w:tcPr>
            <w:tcW w:w="1208" w:type="dxa"/>
            <w:tcBorders>
              <w:top w:val="nil"/>
              <w:left w:val="nil"/>
              <w:bottom w:val="nil"/>
              <w:right w:val="single" w:sz="4" w:space="0" w:color="auto"/>
            </w:tcBorders>
            <w:shd w:val="clear" w:color="000000" w:fill="FFFFFF"/>
            <w:noWrap/>
            <w:vAlign w:val="bottom"/>
            <w:hideMark/>
          </w:tcPr>
          <w:p w14:paraId="32CAC402" w14:textId="2F3AC7AA"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1.6</w:t>
            </w:r>
          </w:p>
        </w:tc>
      </w:tr>
      <w:tr w:rsidR="00A706A4" w:rsidRPr="00230F22" w14:paraId="10A45389" w14:textId="77777777" w:rsidTr="0004298C">
        <w:trPr>
          <w:trHeight w:val="329"/>
        </w:trPr>
        <w:tc>
          <w:tcPr>
            <w:tcW w:w="2322" w:type="dxa"/>
            <w:tcBorders>
              <w:top w:val="nil"/>
              <w:left w:val="single" w:sz="4" w:space="0" w:color="auto"/>
              <w:bottom w:val="nil"/>
              <w:right w:val="nil"/>
            </w:tcBorders>
            <w:shd w:val="clear" w:color="000000" w:fill="F2F2F2"/>
            <w:noWrap/>
            <w:vAlign w:val="bottom"/>
            <w:hideMark/>
          </w:tcPr>
          <w:p w14:paraId="2FCBFD00" w14:textId="77777777"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Cardiff and Vale UHB</w:t>
            </w:r>
          </w:p>
        </w:tc>
        <w:tc>
          <w:tcPr>
            <w:tcW w:w="1201" w:type="dxa"/>
            <w:tcBorders>
              <w:top w:val="nil"/>
              <w:left w:val="nil"/>
              <w:bottom w:val="nil"/>
              <w:right w:val="nil"/>
            </w:tcBorders>
            <w:shd w:val="clear" w:color="000000" w:fill="F2F2F2"/>
            <w:noWrap/>
            <w:vAlign w:val="bottom"/>
            <w:hideMark/>
          </w:tcPr>
          <w:p w14:paraId="3FB5ADA2" w14:textId="5206230B"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6.7</w:t>
            </w:r>
          </w:p>
        </w:tc>
        <w:tc>
          <w:tcPr>
            <w:tcW w:w="1201" w:type="dxa"/>
            <w:tcBorders>
              <w:top w:val="nil"/>
              <w:left w:val="nil"/>
              <w:bottom w:val="nil"/>
              <w:right w:val="nil"/>
            </w:tcBorders>
            <w:shd w:val="clear" w:color="000000" w:fill="F2F2F2"/>
            <w:noWrap/>
            <w:vAlign w:val="bottom"/>
            <w:hideMark/>
          </w:tcPr>
          <w:p w14:paraId="37D30861" w14:textId="74B52DA6"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2.7</w:t>
            </w:r>
          </w:p>
        </w:tc>
        <w:tc>
          <w:tcPr>
            <w:tcW w:w="1201" w:type="dxa"/>
            <w:tcBorders>
              <w:top w:val="nil"/>
              <w:left w:val="nil"/>
              <w:bottom w:val="nil"/>
              <w:right w:val="nil"/>
            </w:tcBorders>
            <w:shd w:val="clear" w:color="000000" w:fill="F2F2F2"/>
            <w:noWrap/>
            <w:vAlign w:val="bottom"/>
            <w:hideMark/>
          </w:tcPr>
          <w:p w14:paraId="35F533A0" w14:textId="63CE5184"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1.7</w:t>
            </w:r>
          </w:p>
        </w:tc>
        <w:tc>
          <w:tcPr>
            <w:tcW w:w="1201" w:type="dxa"/>
            <w:tcBorders>
              <w:top w:val="nil"/>
              <w:left w:val="nil"/>
              <w:bottom w:val="nil"/>
              <w:right w:val="nil"/>
            </w:tcBorders>
            <w:shd w:val="clear" w:color="000000" w:fill="F2F2F2"/>
            <w:noWrap/>
            <w:vAlign w:val="bottom"/>
            <w:hideMark/>
          </w:tcPr>
          <w:p w14:paraId="1ACA586B" w14:textId="3288717A"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5.0</w:t>
            </w:r>
          </w:p>
        </w:tc>
        <w:tc>
          <w:tcPr>
            <w:tcW w:w="1201" w:type="dxa"/>
            <w:tcBorders>
              <w:top w:val="nil"/>
              <w:left w:val="nil"/>
              <w:bottom w:val="nil"/>
              <w:right w:val="nil"/>
            </w:tcBorders>
            <w:shd w:val="clear" w:color="000000" w:fill="F2F2F2"/>
            <w:noWrap/>
            <w:vAlign w:val="bottom"/>
            <w:hideMark/>
          </w:tcPr>
          <w:p w14:paraId="5FAECBCC" w14:textId="6C5B266C"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0.9</w:t>
            </w:r>
          </w:p>
        </w:tc>
        <w:tc>
          <w:tcPr>
            <w:tcW w:w="1208" w:type="dxa"/>
            <w:tcBorders>
              <w:top w:val="nil"/>
              <w:left w:val="nil"/>
              <w:bottom w:val="nil"/>
              <w:right w:val="single" w:sz="4" w:space="0" w:color="auto"/>
            </w:tcBorders>
            <w:shd w:val="clear" w:color="000000" w:fill="F2F2F2"/>
            <w:noWrap/>
            <w:vAlign w:val="bottom"/>
            <w:hideMark/>
          </w:tcPr>
          <w:p w14:paraId="4FCD4386" w14:textId="7D0A971A"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1.7</w:t>
            </w:r>
          </w:p>
        </w:tc>
      </w:tr>
      <w:tr w:rsidR="00A706A4" w:rsidRPr="00230F22" w14:paraId="18B431AC" w14:textId="77777777" w:rsidTr="0004298C">
        <w:trPr>
          <w:trHeight w:val="329"/>
        </w:trPr>
        <w:tc>
          <w:tcPr>
            <w:tcW w:w="2322" w:type="dxa"/>
            <w:tcBorders>
              <w:top w:val="nil"/>
              <w:left w:val="single" w:sz="4" w:space="0" w:color="auto"/>
              <w:bottom w:val="single" w:sz="4" w:space="0" w:color="auto"/>
              <w:right w:val="nil"/>
            </w:tcBorders>
            <w:shd w:val="clear" w:color="000000" w:fill="FFFFFF"/>
            <w:noWrap/>
            <w:vAlign w:val="bottom"/>
            <w:hideMark/>
          </w:tcPr>
          <w:p w14:paraId="0B2558CF" w14:textId="77777777"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Wales</w:t>
            </w:r>
          </w:p>
        </w:tc>
        <w:tc>
          <w:tcPr>
            <w:tcW w:w="1201" w:type="dxa"/>
            <w:tcBorders>
              <w:top w:val="nil"/>
              <w:left w:val="nil"/>
              <w:bottom w:val="single" w:sz="4" w:space="0" w:color="auto"/>
              <w:right w:val="nil"/>
            </w:tcBorders>
            <w:shd w:val="clear" w:color="000000" w:fill="FFFFFF"/>
            <w:noWrap/>
            <w:vAlign w:val="bottom"/>
            <w:hideMark/>
          </w:tcPr>
          <w:p w14:paraId="32CCACDB" w14:textId="507B4E70"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7.1</w:t>
            </w:r>
          </w:p>
        </w:tc>
        <w:tc>
          <w:tcPr>
            <w:tcW w:w="1201" w:type="dxa"/>
            <w:tcBorders>
              <w:top w:val="nil"/>
              <w:left w:val="nil"/>
              <w:bottom w:val="single" w:sz="4" w:space="0" w:color="auto"/>
              <w:right w:val="nil"/>
            </w:tcBorders>
            <w:shd w:val="clear" w:color="000000" w:fill="FFFFFF"/>
            <w:noWrap/>
            <w:vAlign w:val="bottom"/>
            <w:hideMark/>
          </w:tcPr>
          <w:p w14:paraId="7110151D" w14:textId="65A52EA4"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3.6</w:t>
            </w:r>
          </w:p>
        </w:tc>
        <w:tc>
          <w:tcPr>
            <w:tcW w:w="1201" w:type="dxa"/>
            <w:tcBorders>
              <w:top w:val="nil"/>
              <w:left w:val="nil"/>
              <w:bottom w:val="single" w:sz="4" w:space="0" w:color="auto"/>
              <w:right w:val="nil"/>
            </w:tcBorders>
            <w:shd w:val="clear" w:color="000000" w:fill="FFFFFF"/>
            <w:noWrap/>
            <w:vAlign w:val="bottom"/>
            <w:hideMark/>
          </w:tcPr>
          <w:p w14:paraId="1106E549" w14:textId="7D1A33BA"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2.4</w:t>
            </w:r>
          </w:p>
        </w:tc>
        <w:tc>
          <w:tcPr>
            <w:tcW w:w="1201" w:type="dxa"/>
            <w:tcBorders>
              <w:top w:val="nil"/>
              <w:left w:val="nil"/>
              <w:bottom w:val="single" w:sz="4" w:space="0" w:color="auto"/>
              <w:right w:val="nil"/>
            </w:tcBorders>
            <w:shd w:val="clear" w:color="000000" w:fill="FFFFFF"/>
            <w:noWrap/>
            <w:vAlign w:val="bottom"/>
            <w:hideMark/>
          </w:tcPr>
          <w:p w14:paraId="5096DCCA" w14:textId="37761A1B"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6.1</w:t>
            </w:r>
          </w:p>
        </w:tc>
        <w:tc>
          <w:tcPr>
            <w:tcW w:w="1201" w:type="dxa"/>
            <w:tcBorders>
              <w:top w:val="nil"/>
              <w:left w:val="nil"/>
              <w:bottom w:val="single" w:sz="4" w:space="0" w:color="auto"/>
              <w:right w:val="nil"/>
            </w:tcBorders>
            <w:shd w:val="clear" w:color="000000" w:fill="FFFFFF"/>
            <w:noWrap/>
            <w:vAlign w:val="bottom"/>
            <w:hideMark/>
          </w:tcPr>
          <w:p w14:paraId="46A0FEDC" w14:textId="7FDDE77B"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1.1</w:t>
            </w:r>
          </w:p>
        </w:tc>
        <w:tc>
          <w:tcPr>
            <w:tcW w:w="1208" w:type="dxa"/>
            <w:tcBorders>
              <w:top w:val="nil"/>
              <w:left w:val="nil"/>
              <w:bottom w:val="single" w:sz="4" w:space="0" w:color="auto"/>
              <w:right w:val="single" w:sz="4" w:space="0" w:color="auto"/>
            </w:tcBorders>
            <w:shd w:val="clear" w:color="000000" w:fill="FFFFFF"/>
            <w:noWrap/>
            <w:vAlign w:val="bottom"/>
            <w:hideMark/>
          </w:tcPr>
          <w:p w14:paraId="295E10B8" w14:textId="1A53B230" w:rsidR="00230F22" w:rsidRPr="00C230E7" w:rsidRDefault="00230F22" w:rsidP="00DC54F7">
            <w:pPr>
              <w:spacing w:after="0" w:line="240" w:lineRule="auto"/>
              <w:jc w:val="both"/>
              <w:rPr>
                <w:rFonts w:ascii="Calibri" w:eastAsia="Times New Roman" w:hAnsi="Calibri" w:cs="Calibri"/>
                <w:color w:val="000000"/>
                <w:lang w:eastAsia="en-GB"/>
              </w:rPr>
            </w:pPr>
            <w:r w:rsidRPr="00C230E7">
              <w:rPr>
                <w:rFonts w:ascii="Calibri" w:eastAsia="Times New Roman" w:hAnsi="Calibri" w:cs="Calibri"/>
                <w:color w:val="000000"/>
                <w:lang w:eastAsia="en-GB"/>
              </w:rPr>
              <w:t>2.1</w:t>
            </w:r>
          </w:p>
        </w:tc>
      </w:tr>
    </w:tbl>
    <w:p w14:paraId="11DE1292" w14:textId="46B580F2" w:rsidR="00D23A7F" w:rsidRPr="00B96BEE" w:rsidRDefault="003C7DC1" w:rsidP="00DC54F7">
      <w:pPr>
        <w:jc w:val="both"/>
        <w:rPr>
          <w:rFonts w:ascii="Arial" w:hAnsi="Arial" w:cs="Arial"/>
          <w:sz w:val="20"/>
          <w:szCs w:val="20"/>
        </w:rPr>
      </w:pPr>
      <w:r w:rsidRPr="00B96BEE">
        <w:rPr>
          <w:rFonts w:ascii="Arial" w:hAnsi="Arial" w:cs="Arial"/>
          <w:sz w:val="20"/>
          <w:szCs w:val="20"/>
        </w:rPr>
        <w:t>Source: QOF 2019</w:t>
      </w:r>
    </w:p>
    <w:p w14:paraId="619630DA" w14:textId="12E220D1" w:rsidR="001475D0" w:rsidRPr="00B96BEE" w:rsidRDefault="00D3573F" w:rsidP="00DC54F7">
      <w:pPr>
        <w:spacing w:after="0" w:line="240" w:lineRule="auto"/>
        <w:jc w:val="both"/>
        <w:rPr>
          <w:rFonts w:ascii="Arial" w:hAnsi="Arial" w:cs="Arial"/>
          <w:sz w:val="24"/>
          <w:szCs w:val="24"/>
        </w:rPr>
      </w:pPr>
      <w:r w:rsidRPr="00B96BEE">
        <w:rPr>
          <w:rFonts w:ascii="Arial" w:hAnsi="Arial" w:cs="Arial"/>
          <w:sz w:val="24"/>
          <w:szCs w:val="24"/>
        </w:rPr>
        <w:lastRenderedPageBreak/>
        <w:t xml:space="preserve">The estimated prevalence of dementia in Cardiff South East </w:t>
      </w:r>
      <w:r w:rsidR="008C58F4" w:rsidRPr="00B96BEE">
        <w:rPr>
          <w:rFonts w:ascii="Arial" w:hAnsi="Arial" w:cs="Arial"/>
          <w:sz w:val="24"/>
          <w:szCs w:val="24"/>
        </w:rPr>
        <w:t>c</w:t>
      </w:r>
      <w:r w:rsidRPr="00B96BEE">
        <w:rPr>
          <w:rFonts w:ascii="Arial" w:hAnsi="Arial" w:cs="Arial"/>
          <w:sz w:val="24"/>
          <w:szCs w:val="24"/>
        </w:rPr>
        <w:t xml:space="preserve">luster is lower than the average for Wales </w:t>
      </w:r>
      <w:r w:rsidR="006C2913" w:rsidRPr="00B96BEE">
        <w:rPr>
          <w:rFonts w:ascii="Arial" w:hAnsi="Arial" w:cs="Arial"/>
          <w:sz w:val="24"/>
          <w:szCs w:val="24"/>
        </w:rPr>
        <w:t>and the lowest of all the clusters in the health board</w:t>
      </w:r>
      <w:r w:rsidRPr="00B96BEE">
        <w:rPr>
          <w:rFonts w:ascii="Arial" w:hAnsi="Arial" w:cs="Arial"/>
          <w:sz w:val="24"/>
          <w:szCs w:val="24"/>
        </w:rPr>
        <w:t xml:space="preserve">. The estimated prevalence of mental health conditions is </w:t>
      </w:r>
      <w:r w:rsidR="009A74C9" w:rsidRPr="00B96BEE">
        <w:rPr>
          <w:rFonts w:ascii="Arial" w:hAnsi="Arial" w:cs="Arial"/>
          <w:sz w:val="24"/>
          <w:szCs w:val="24"/>
        </w:rPr>
        <w:t xml:space="preserve">higher </w:t>
      </w:r>
      <w:r w:rsidR="00F70175" w:rsidRPr="00B96BEE">
        <w:rPr>
          <w:rFonts w:ascii="Arial" w:hAnsi="Arial" w:cs="Arial"/>
          <w:sz w:val="24"/>
          <w:szCs w:val="24"/>
        </w:rPr>
        <w:t xml:space="preserve">than the average for Wales </w:t>
      </w:r>
      <w:r w:rsidR="009A74C9" w:rsidRPr="00B96BEE">
        <w:rPr>
          <w:rFonts w:ascii="Arial" w:hAnsi="Arial" w:cs="Arial"/>
          <w:sz w:val="24"/>
          <w:szCs w:val="24"/>
        </w:rPr>
        <w:t xml:space="preserve">and is the </w:t>
      </w:r>
      <w:r w:rsidR="00AD6E84" w:rsidRPr="00B96BEE">
        <w:rPr>
          <w:rFonts w:ascii="Arial" w:hAnsi="Arial" w:cs="Arial"/>
          <w:sz w:val="24"/>
          <w:szCs w:val="24"/>
        </w:rPr>
        <w:t xml:space="preserve">joint </w:t>
      </w:r>
      <w:r w:rsidR="009A74C9" w:rsidRPr="00B96BEE">
        <w:rPr>
          <w:rFonts w:ascii="Arial" w:hAnsi="Arial" w:cs="Arial"/>
          <w:sz w:val="24"/>
          <w:szCs w:val="24"/>
        </w:rPr>
        <w:t>second highest of all the clusters in the health board.</w:t>
      </w:r>
    </w:p>
    <w:p w14:paraId="3599F80D" w14:textId="77777777" w:rsidR="003C7DC1" w:rsidRPr="00B96BEE" w:rsidRDefault="003C7DC1" w:rsidP="00DC54F7">
      <w:pPr>
        <w:spacing w:after="0" w:line="240" w:lineRule="auto"/>
        <w:jc w:val="both"/>
        <w:rPr>
          <w:rFonts w:ascii="Arial" w:hAnsi="Arial" w:cs="Arial"/>
          <w:sz w:val="24"/>
          <w:szCs w:val="24"/>
          <w:highlight w:val="cyan"/>
        </w:rPr>
      </w:pPr>
    </w:p>
    <w:p w14:paraId="5D6DF79B" w14:textId="17DE823C" w:rsidR="004802DF" w:rsidRPr="00B96BEE" w:rsidRDefault="004802DF" w:rsidP="00DC54F7">
      <w:pPr>
        <w:spacing w:after="0" w:line="240" w:lineRule="auto"/>
        <w:jc w:val="both"/>
        <w:rPr>
          <w:sz w:val="24"/>
          <w:szCs w:val="24"/>
        </w:rPr>
      </w:pPr>
      <w:r w:rsidRPr="00B96BEE">
        <w:rPr>
          <w:rFonts w:ascii="Arial" w:hAnsi="Arial" w:cs="Arial"/>
          <w:b/>
          <w:bCs/>
          <w:sz w:val="24"/>
          <w:szCs w:val="24"/>
        </w:rPr>
        <w:t>Table 9.</w:t>
      </w:r>
      <w:r w:rsidR="00C5502E" w:rsidRPr="00B96BEE">
        <w:rPr>
          <w:rFonts w:ascii="Arial" w:hAnsi="Arial" w:cs="Arial"/>
          <w:b/>
          <w:bCs/>
          <w:sz w:val="24"/>
          <w:szCs w:val="24"/>
        </w:rPr>
        <w:t>4</w:t>
      </w:r>
      <w:r w:rsidRPr="00B96BEE">
        <w:rPr>
          <w:rFonts w:ascii="Arial" w:hAnsi="Arial" w:cs="Arial"/>
          <w:b/>
          <w:bCs/>
          <w:sz w:val="24"/>
          <w:szCs w:val="24"/>
        </w:rPr>
        <w:t>: Percentage of patients registered as having a mental health condition, and dementia by cluster, local authority, health board and Wales, 2019</w:t>
      </w:r>
    </w:p>
    <w:tbl>
      <w:tblPr>
        <w:tblW w:w="9096" w:type="dxa"/>
        <w:tblLook w:val="04A0" w:firstRow="1" w:lastRow="0" w:firstColumn="1" w:lastColumn="0" w:noHBand="0" w:noVBand="1"/>
      </w:tblPr>
      <w:tblGrid>
        <w:gridCol w:w="3032"/>
        <w:gridCol w:w="3032"/>
        <w:gridCol w:w="3032"/>
      </w:tblGrid>
      <w:tr w:rsidR="00A706A4" w:rsidRPr="00A706A4" w14:paraId="5621BA43" w14:textId="77777777" w:rsidTr="007C1F96">
        <w:trPr>
          <w:trHeight w:val="267"/>
        </w:trPr>
        <w:tc>
          <w:tcPr>
            <w:tcW w:w="3032" w:type="dxa"/>
            <w:tcBorders>
              <w:top w:val="single" w:sz="4" w:space="0" w:color="auto"/>
              <w:left w:val="single" w:sz="4" w:space="0" w:color="auto"/>
              <w:bottom w:val="single" w:sz="4" w:space="0" w:color="auto"/>
              <w:right w:val="nil"/>
            </w:tcBorders>
            <w:shd w:val="clear" w:color="auto" w:fill="8497B0"/>
            <w:noWrap/>
            <w:vAlign w:val="bottom"/>
            <w:hideMark/>
          </w:tcPr>
          <w:p w14:paraId="10412555" w14:textId="77777777" w:rsidR="00A706A4" w:rsidRPr="00A706A4" w:rsidRDefault="00A706A4" w:rsidP="00DC54F7">
            <w:pPr>
              <w:spacing w:after="0" w:line="240" w:lineRule="auto"/>
              <w:jc w:val="both"/>
              <w:rPr>
                <w:rFonts w:ascii="Calibri" w:eastAsia="Times New Roman" w:hAnsi="Calibri" w:cs="Times New Roman"/>
                <w:color w:val="000000"/>
                <w:lang w:eastAsia="en-GB"/>
              </w:rPr>
            </w:pPr>
            <w:r w:rsidRPr="00A706A4">
              <w:rPr>
                <w:rFonts w:ascii="Calibri" w:eastAsia="Times New Roman" w:hAnsi="Calibri" w:cs="Times New Roman"/>
                <w:color w:val="000000"/>
                <w:lang w:eastAsia="en-GB"/>
              </w:rPr>
              <w:t> </w:t>
            </w:r>
          </w:p>
        </w:tc>
        <w:tc>
          <w:tcPr>
            <w:tcW w:w="3032" w:type="dxa"/>
            <w:tcBorders>
              <w:top w:val="single" w:sz="4" w:space="0" w:color="auto"/>
              <w:left w:val="nil"/>
              <w:bottom w:val="single" w:sz="4" w:space="0" w:color="auto"/>
              <w:right w:val="nil"/>
            </w:tcBorders>
            <w:shd w:val="clear" w:color="auto" w:fill="8497B0"/>
            <w:noWrap/>
            <w:vAlign w:val="bottom"/>
            <w:hideMark/>
          </w:tcPr>
          <w:p w14:paraId="2E41E840" w14:textId="77777777" w:rsidR="00A706A4" w:rsidRPr="00A706A4" w:rsidRDefault="00A706A4" w:rsidP="00DC54F7">
            <w:pPr>
              <w:spacing w:after="0" w:line="240" w:lineRule="auto"/>
              <w:jc w:val="both"/>
              <w:rPr>
                <w:rFonts w:ascii="Calibri" w:eastAsia="Times New Roman" w:hAnsi="Calibri" w:cs="Times New Roman"/>
                <w:b/>
                <w:bCs/>
                <w:color w:val="FFFFFF"/>
                <w:lang w:eastAsia="en-GB"/>
              </w:rPr>
            </w:pPr>
            <w:r w:rsidRPr="00A706A4">
              <w:rPr>
                <w:rFonts w:ascii="Calibri" w:eastAsia="Times New Roman" w:hAnsi="Calibri" w:cs="Times New Roman"/>
                <w:b/>
                <w:bCs/>
                <w:color w:val="FFFFFF"/>
                <w:lang w:eastAsia="en-GB"/>
              </w:rPr>
              <w:t>Dementia (percentage)</w:t>
            </w:r>
          </w:p>
        </w:tc>
        <w:tc>
          <w:tcPr>
            <w:tcW w:w="3032" w:type="dxa"/>
            <w:tcBorders>
              <w:top w:val="single" w:sz="4" w:space="0" w:color="auto"/>
              <w:left w:val="nil"/>
              <w:bottom w:val="single" w:sz="4" w:space="0" w:color="auto"/>
              <w:right w:val="single" w:sz="4" w:space="0" w:color="auto"/>
            </w:tcBorders>
            <w:shd w:val="clear" w:color="auto" w:fill="8497B0"/>
            <w:noWrap/>
            <w:vAlign w:val="bottom"/>
            <w:hideMark/>
          </w:tcPr>
          <w:p w14:paraId="3177A5D5" w14:textId="77777777" w:rsidR="00A706A4" w:rsidRPr="00A706A4" w:rsidRDefault="00A706A4" w:rsidP="00DC54F7">
            <w:pPr>
              <w:spacing w:after="0" w:line="240" w:lineRule="auto"/>
              <w:jc w:val="both"/>
              <w:rPr>
                <w:rFonts w:ascii="Calibri" w:eastAsia="Times New Roman" w:hAnsi="Calibri" w:cs="Times New Roman"/>
                <w:b/>
                <w:bCs/>
                <w:color w:val="FFFFFF"/>
                <w:lang w:eastAsia="en-GB"/>
              </w:rPr>
            </w:pPr>
            <w:r w:rsidRPr="00A706A4">
              <w:rPr>
                <w:rFonts w:ascii="Calibri" w:eastAsia="Times New Roman" w:hAnsi="Calibri" w:cs="Times New Roman"/>
                <w:b/>
                <w:bCs/>
                <w:color w:val="FFFFFF"/>
                <w:lang w:eastAsia="en-GB"/>
              </w:rPr>
              <w:t>Mental Health (percentage)</w:t>
            </w:r>
          </w:p>
        </w:tc>
      </w:tr>
      <w:tr w:rsidR="00A706A4" w:rsidRPr="00A706A4" w14:paraId="0B180859" w14:textId="77777777" w:rsidTr="007C1F96">
        <w:trPr>
          <w:trHeight w:val="267"/>
        </w:trPr>
        <w:tc>
          <w:tcPr>
            <w:tcW w:w="3032" w:type="dxa"/>
            <w:tcBorders>
              <w:top w:val="single" w:sz="4" w:space="0" w:color="auto"/>
              <w:left w:val="single" w:sz="4" w:space="0" w:color="auto"/>
              <w:right w:val="nil"/>
            </w:tcBorders>
            <w:shd w:val="clear" w:color="auto" w:fill="auto"/>
            <w:noWrap/>
            <w:vAlign w:val="bottom"/>
            <w:hideMark/>
          </w:tcPr>
          <w:p w14:paraId="66F38D08" w14:textId="77777777" w:rsidR="00A706A4" w:rsidRPr="00A706A4" w:rsidRDefault="00A706A4" w:rsidP="00DC54F7">
            <w:pPr>
              <w:spacing w:after="0" w:line="240" w:lineRule="auto"/>
              <w:jc w:val="both"/>
              <w:rPr>
                <w:rFonts w:ascii="Calibri" w:eastAsia="Times New Roman" w:hAnsi="Calibri" w:cs="Times New Roman"/>
                <w:color w:val="000000"/>
                <w:lang w:eastAsia="en-GB"/>
              </w:rPr>
            </w:pPr>
            <w:r w:rsidRPr="00A706A4">
              <w:rPr>
                <w:rFonts w:ascii="Calibri" w:eastAsia="Times New Roman" w:hAnsi="Calibri" w:cs="Times New Roman"/>
                <w:color w:val="000000"/>
                <w:lang w:eastAsia="en-GB"/>
              </w:rPr>
              <w:t>Cardiff South East</w:t>
            </w:r>
          </w:p>
        </w:tc>
        <w:tc>
          <w:tcPr>
            <w:tcW w:w="3032" w:type="dxa"/>
            <w:tcBorders>
              <w:top w:val="single" w:sz="4" w:space="0" w:color="auto"/>
              <w:left w:val="nil"/>
              <w:right w:val="nil"/>
            </w:tcBorders>
            <w:shd w:val="clear" w:color="auto" w:fill="auto"/>
            <w:noWrap/>
            <w:vAlign w:val="bottom"/>
            <w:hideMark/>
          </w:tcPr>
          <w:p w14:paraId="28764CF1" w14:textId="602CE854" w:rsidR="00A706A4" w:rsidRPr="00A706A4" w:rsidRDefault="00A706A4" w:rsidP="00DC54F7">
            <w:pPr>
              <w:spacing w:after="0" w:line="240" w:lineRule="auto"/>
              <w:jc w:val="both"/>
              <w:rPr>
                <w:rFonts w:ascii="Calibri" w:eastAsia="Times New Roman" w:hAnsi="Calibri" w:cs="Times New Roman"/>
                <w:color w:val="000000"/>
                <w:lang w:eastAsia="en-GB"/>
              </w:rPr>
            </w:pPr>
            <w:r w:rsidRPr="00A706A4">
              <w:rPr>
                <w:rFonts w:ascii="Calibri" w:eastAsia="Times New Roman" w:hAnsi="Calibri" w:cs="Times New Roman"/>
                <w:color w:val="000000"/>
                <w:lang w:eastAsia="en-GB"/>
              </w:rPr>
              <w:t>0.4</w:t>
            </w:r>
          </w:p>
        </w:tc>
        <w:tc>
          <w:tcPr>
            <w:tcW w:w="3032" w:type="dxa"/>
            <w:tcBorders>
              <w:top w:val="single" w:sz="4" w:space="0" w:color="auto"/>
              <w:left w:val="nil"/>
              <w:right w:val="single" w:sz="4" w:space="0" w:color="auto"/>
            </w:tcBorders>
            <w:shd w:val="clear" w:color="auto" w:fill="auto"/>
            <w:noWrap/>
            <w:vAlign w:val="bottom"/>
            <w:hideMark/>
          </w:tcPr>
          <w:p w14:paraId="5D7275A4" w14:textId="71C01936" w:rsidR="00A706A4" w:rsidRPr="00A706A4" w:rsidRDefault="00A706A4" w:rsidP="00DC54F7">
            <w:pPr>
              <w:spacing w:after="0" w:line="240" w:lineRule="auto"/>
              <w:jc w:val="both"/>
              <w:rPr>
                <w:rFonts w:ascii="Calibri" w:eastAsia="Times New Roman" w:hAnsi="Calibri" w:cs="Times New Roman"/>
                <w:color w:val="000000"/>
                <w:lang w:eastAsia="en-GB"/>
              </w:rPr>
            </w:pPr>
            <w:r w:rsidRPr="00A706A4">
              <w:rPr>
                <w:rFonts w:ascii="Calibri" w:eastAsia="Times New Roman" w:hAnsi="Calibri" w:cs="Times New Roman"/>
                <w:color w:val="000000"/>
                <w:lang w:eastAsia="en-GB"/>
              </w:rPr>
              <w:t>1.1</w:t>
            </w:r>
          </w:p>
        </w:tc>
      </w:tr>
      <w:tr w:rsidR="00A706A4" w:rsidRPr="00A706A4" w14:paraId="500E16BA" w14:textId="77777777" w:rsidTr="007C1F96">
        <w:trPr>
          <w:trHeight w:val="267"/>
        </w:trPr>
        <w:tc>
          <w:tcPr>
            <w:tcW w:w="3032" w:type="dxa"/>
            <w:tcBorders>
              <w:left w:val="single" w:sz="4" w:space="0" w:color="auto"/>
              <w:right w:val="nil"/>
            </w:tcBorders>
            <w:shd w:val="clear" w:color="D9E1F2" w:fill="F2F2F2"/>
            <w:vAlign w:val="bottom"/>
            <w:hideMark/>
          </w:tcPr>
          <w:p w14:paraId="3404E3CC" w14:textId="77777777" w:rsidR="00A706A4" w:rsidRPr="00A706A4" w:rsidRDefault="00A706A4" w:rsidP="00DC54F7">
            <w:pPr>
              <w:spacing w:after="0" w:line="240" w:lineRule="auto"/>
              <w:jc w:val="both"/>
              <w:rPr>
                <w:rFonts w:ascii="Calibri" w:eastAsia="Times New Roman" w:hAnsi="Calibri" w:cs="Times New Roman"/>
                <w:lang w:eastAsia="en-GB"/>
              </w:rPr>
            </w:pPr>
            <w:r w:rsidRPr="00A706A4">
              <w:rPr>
                <w:rFonts w:ascii="Calibri" w:eastAsia="Times New Roman" w:hAnsi="Calibri" w:cs="Times New Roman"/>
                <w:lang w:eastAsia="en-GB"/>
              </w:rPr>
              <w:t>Cardiff</w:t>
            </w:r>
          </w:p>
        </w:tc>
        <w:tc>
          <w:tcPr>
            <w:tcW w:w="3032" w:type="dxa"/>
            <w:tcBorders>
              <w:left w:val="nil"/>
              <w:right w:val="nil"/>
            </w:tcBorders>
            <w:shd w:val="clear" w:color="000000" w:fill="F2F2F2"/>
            <w:noWrap/>
            <w:vAlign w:val="bottom"/>
            <w:hideMark/>
          </w:tcPr>
          <w:p w14:paraId="3AA3DC0E" w14:textId="35D9BCB4" w:rsidR="00A706A4" w:rsidRPr="00A706A4" w:rsidRDefault="00A706A4" w:rsidP="00DC54F7">
            <w:pPr>
              <w:spacing w:after="0" w:line="240" w:lineRule="auto"/>
              <w:jc w:val="both"/>
              <w:rPr>
                <w:rFonts w:ascii="Calibri" w:eastAsia="Times New Roman" w:hAnsi="Calibri" w:cs="Times New Roman"/>
                <w:color w:val="000000"/>
                <w:lang w:eastAsia="en-GB"/>
              </w:rPr>
            </w:pPr>
            <w:r w:rsidRPr="00A706A4">
              <w:rPr>
                <w:rFonts w:ascii="Calibri" w:eastAsia="Times New Roman" w:hAnsi="Calibri" w:cs="Times New Roman"/>
                <w:color w:val="000000"/>
                <w:lang w:eastAsia="en-GB"/>
              </w:rPr>
              <w:t>0.6</w:t>
            </w:r>
          </w:p>
        </w:tc>
        <w:tc>
          <w:tcPr>
            <w:tcW w:w="3032" w:type="dxa"/>
            <w:tcBorders>
              <w:left w:val="nil"/>
              <w:right w:val="single" w:sz="4" w:space="0" w:color="auto"/>
            </w:tcBorders>
            <w:shd w:val="clear" w:color="000000" w:fill="F2F2F2"/>
            <w:noWrap/>
            <w:vAlign w:val="bottom"/>
            <w:hideMark/>
          </w:tcPr>
          <w:p w14:paraId="3B3DE1D9" w14:textId="71941943" w:rsidR="00A706A4" w:rsidRPr="00A706A4" w:rsidRDefault="00A706A4" w:rsidP="00DC54F7">
            <w:pPr>
              <w:spacing w:after="0" w:line="240" w:lineRule="auto"/>
              <w:jc w:val="both"/>
              <w:rPr>
                <w:rFonts w:ascii="Calibri" w:eastAsia="Times New Roman" w:hAnsi="Calibri" w:cs="Times New Roman"/>
                <w:color w:val="000000"/>
                <w:lang w:eastAsia="en-GB"/>
              </w:rPr>
            </w:pPr>
            <w:r w:rsidRPr="00A706A4">
              <w:rPr>
                <w:rFonts w:ascii="Calibri" w:eastAsia="Times New Roman" w:hAnsi="Calibri" w:cs="Times New Roman"/>
                <w:color w:val="000000"/>
                <w:lang w:eastAsia="en-GB"/>
              </w:rPr>
              <w:t>0.9</w:t>
            </w:r>
          </w:p>
        </w:tc>
      </w:tr>
      <w:tr w:rsidR="00A706A4" w:rsidRPr="00A706A4" w14:paraId="5F0393C4" w14:textId="77777777" w:rsidTr="007C1F96">
        <w:trPr>
          <w:trHeight w:val="267"/>
        </w:trPr>
        <w:tc>
          <w:tcPr>
            <w:tcW w:w="3032" w:type="dxa"/>
            <w:tcBorders>
              <w:top w:val="nil"/>
              <w:left w:val="single" w:sz="4" w:space="0" w:color="auto"/>
              <w:right w:val="nil"/>
            </w:tcBorders>
            <w:shd w:val="clear" w:color="D9E1F2" w:fill="FFFFFF"/>
            <w:vAlign w:val="bottom"/>
            <w:hideMark/>
          </w:tcPr>
          <w:p w14:paraId="478AAFB1" w14:textId="77777777" w:rsidR="00A706A4" w:rsidRPr="00A706A4" w:rsidRDefault="00A706A4" w:rsidP="00DC54F7">
            <w:pPr>
              <w:spacing w:after="0" w:line="240" w:lineRule="auto"/>
              <w:jc w:val="both"/>
              <w:rPr>
                <w:rFonts w:ascii="Calibri" w:eastAsia="Times New Roman" w:hAnsi="Calibri" w:cs="Times New Roman"/>
                <w:lang w:eastAsia="en-GB"/>
              </w:rPr>
            </w:pPr>
            <w:r w:rsidRPr="00A706A4">
              <w:rPr>
                <w:rFonts w:ascii="Calibri" w:eastAsia="Times New Roman" w:hAnsi="Calibri" w:cs="Times New Roman"/>
                <w:lang w:eastAsia="en-GB"/>
              </w:rPr>
              <w:t>Cardiff &amp; Vale UHB</w:t>
            </w:r>
          </w:p>
        </w:tc>
        <w:tc>
          <w:tcPr>
            <w:tcW w:w="3032" w:type="dxa"/>
            <w:tcBorders>
              <w:top w:val="nil"/>
              <w:left w:val="nil"/>
              <w:right w:val="nil"/>
            </w:tcBorders>
            <w:shd w:val="clear" w:color="auto" w:fill="auto"/>
            <w:noWrap/>
            <w:vAlign w:val="bottom"/>
            <w:hideMark/>
          </w:tcPr>
          <w:p w14:paraId="2E82F623" w14:textId="7D29053A" w:rsidR="00A706A4" w:rsidRPr="00A706A4" w:rsidRDefault="00A706A4" w:rsidP="00DC54F7">
            <w:pPr>
              <w:spacing w:after="0" w:line="240" w:lineRule="auto"/>
              <w:jc w:val="both"/>
              <w:rPr>
                <w:rFonts w:ascii="Calibri" w:eastAsia="Times New Roman" w:hAnsi="Calibri" w:cs="Times New Roman"/>
                <w:color w:val="000000"/>
                <w:lang w:eastAsia="en-GB"/>
              </w:rPr>
            </w:pPr>
            <w:r w:rsidRPr="00A706A4">
              <w:rPr>
                <w:rFonts w:ascii="Calibri" w:eastAsia="Times New Roman" w:hAnsi="Calibri" w:cs="Times New Roman"/>
                <w:color w:val="000000"/>
                <w:lang w:eastAsia="en-GB"/>
              </w:rPr>
              <w:t>0.7</w:t>
            </w:r>
          </w:p>
        </w:tc>
        <w:tc>
          <w:tcPr>
            <w:tcW w:w="3032" w:type="dxa"/>
            <w:tcBorders>
              <w:top w:val="nil"/>
              <w:left w:val="nil"/>
              <w:right w:val="single" w:sz="4" w:space="0" w:color="auto"/>
            </w:tcBorders>
            <w:shd w:val="clear" w:color="auto" w:fill="auto"/>
            <w:noWrap/>
            <w:vAlign w:val="bottom"/>
            <w:hideMark/>
          </w:tcPr>
          <w:p w14:paraId="71297893" w14:textId="599A07DD" w:rsidR="00A706A4" w:rsidRPr="00A706A4" w:rsidRDefault="00A706A4" w:rsidP="00DC54F7">
            <w:pPr>
              <w:spacing w:after="0" w:line="240" w:lineRule="auto"/>
              <w:jc w:val="both"/>
              <w:rPr>
                <w:rFonts w:ascii="Calibri" w:eastAsia="Times New Roman" w:hAnsi="Calibri" w:cs="Times New Roman"/>
                <w:color w:val="000000"/>
                <w:lang w:eastAsia="en-GB"/>
              </w:rPr>
            </w:pPr>
            <w:r w:rsidRPr="00A706A4">
              <w:rPr>
                <w:rFonts w:ascii="Calibri" w:eastAsia="Times New Roman" w:hAnsi="Calibri" w:cs="Times New Roman"/>
                <w:color w:val="000000"/>
                <w:lang w:eastAsia="en-GB"/>
              </w:rPr>
              <w:t>0.9</w:t>
            </w:r>
          </w:p>
        </w:tc>
      </w:tr>
      <w:tr w:rsidR="00A706A4" w:rsidRPr="00A706A4" w14:paraId="5C685D24" w14:textId="77777777" w:rsidTr="007C1F96">
        <w:trPr>
          <w:trHeight w:val="267"/>
        </w:trPr>
        <w:tc>
          <w:tcPr>
            <w:tcW w:w="3032" w:type="dxa"/>
            <w:tcBorders>
              <w:top w:val="nil"/>
              <w:left w:val="single" w:sz="4" w:space="0" w:color="auto"/>
              <w:bottom w:val="single" w:sz="4" w:space="0" w:color="auto"/>
            </w:tcBorders>
            <w:shd w:val="clear" w:color="D9E1F2" w:fill="F2F2F2"/>
            <w:vAlign w:val="bottom"/>
            <w:hideMark/>
          </w:tcPr>
          <w:p w14:paraId="2748A37E" w14:textId="77777777" w:rsidR="00A706A4" w:rsidRPr="00A706A4" w:rsidRDefault="00A706A4" w:rsidP="00DC54F7">
            <w:pPr>
              <w:spacing w:after="0" w:line="240" w:lineRule="auto"/>
              <w:jc w:val="both"/>
              <w:rPr>
                <w:rFonts w:ascii="Calibri" w:eastAsia="Times New Roman" w:hAnsi="Calibri" w:cs="Times New Roman"/>
                <w:lang w:eastAsia="en-GB"/>
              </w:rPr>
            </w:pPr>
            <w:r w:rsidRPr="00A706A4">
              <w:rPr>
                <w:rFonts w:ascii="Calibri" w:eastAsia="Times New Roman" w:hAnsi="Calibri" w:cs="Times New Roman"/>
                <w:lang w:eastAsia="en-GB"/>
              </w:rPr>
              <w:t>Wales</w:t>
            </w:r>
          </w:p>
        </w:tc>
        <w:tc>
          <w:tcPr>
            <w:tcW w:w="3032" w:type="dxa"/>
            <w:tcBorders>
              <w:top w:val="nil"/>
              <w:bottom w:val="single" w:sz="4" w:space="0" w:color="auto"/>
            </w:tcBorders>
            <w:shd w:val="clear" w:color="E2EFDA" w:fill="F2F2F2"/>
            <w:noWrap/>
            <w:vAlign w:val="bottom"/>
            <w:hideMark/>
          </w:tcPr>
          <w:p w14:paraId="28B4D1B8" w14:textId="29BA78FC" w:rsidR="00A706A4" w:rsidRPr="00A706A4" w:rsidRDefault="00A706A4" w:rsidP="00DC54F7">
            <w:pPr>
              <w:spacing w:after="0" w:line="240" w:lineRule="auto"/>
              <w:jc w:val="both"/>
              <w:rPr>
                <w:rFonts w:ascii="Calibri" w:eastAsia="Times New Roman" w:hAnsi="Calibri" w:cs="Times New Roman"/>
                <w:color w:val="000000"/>
                <w:lang w:eastAsia="en-GB"/>
              </w:rPr>
            </w:pPr>
            <w:r w:rsidRPr="00A706A4">
              <w:rPr>
                <w:rFonts w:ascii="Calibri" w:eastAsia="Times New Roman" w:hAnsi="Calibri" w:cs="Times New Roman"/>
                <w:color w:val="000000"/>
                <w:lang w:eastAsia="en-GB"/>
              </w:rPr>
              <w:t>0.7</w:t>
            </w:r>
          </w:p>
        </w:tc>
        <w:tc>
          <w:tcPr>
            <w:tcW w:w="3032" w:type="dxa"/>
            <w:tcBorders>
              <w:top w:val="nil"/>
              <w:bottom w:val="single" w:sz="4" w:space="0" w:color="auto"/>
              <w:right w:val="single" w:sz="4" w:space="0" w:color="auto"/>
            </w:tcBorders>
            <w:shd w:val="clear" w:color="E2EFDA" w:fill="F2F2F2"/>
            <w:noWrap/>
            <w:vAlign w:val="bottom"/>
            <w:hideMark/>
          </w:tcPr>
          <w:p w14:paraId="3BDE5B7B" w14:textId="052C921D" w:rsidR="00A706A4" w:rsidRPr="00A706A4" w:rsidRDefault="00A706A4" w:rsidP="00DC54F7">
            <w:pPr>
              <w:spacing w:after="0" w:line="240" w:lineRule="auto"/>
              <w:jc w:val="both"/>
              <w:rPr>
                <w:rFonts w:ascii="Calibri" w:eastAsia="Times New Roman" w:hAnsi="Calibri" w:cs="Times New Roman"/>
                <w:color w:val="000000"/>
                <w:lang w:eastAsia="en-GB"/>
              </w:rPr>
            </w:pPr>
            <w:r w:rsidRPr="00A706A4">
              <w:rPr>
                <w:rFonts w:ascii="Calibri" w:eastAsia="Times New Roman" w:hAnsi="Calibri" w:cs="Times New Roman"/>
                <w:color w:val="000000"/>
                <w:lang w:eastAsia="en-GB"/>
              </w:rPr>
              <w:t>1.0</w:t>
            </w:r>
          </w:p>
        </w:tc>
      </w:tr>
    </w:tbl>
    <w:p w14:paraId="4D6907B8" w14:textId="77777777" w:rsidR="003C7DC1" w:rsidRPr="00B96BEE" w:rsidRDefault="003C7DC1" w:rsidP="00DC54F7">
      <w:pPr>
        <w:jc w:val="both"/>
        <w:rPr>
          <w:rFonts w:ascii="Arial" w:hAnsi="Arial" w:cs="Arial"/>
          <w:sz w:val="20"/>
          <w:szCs w:val="20"/>
        </w:rPr>
      </w:pPr>
      <w:r w:rsidRPr="00B96BEE">
        <w:rPr>
          <w:rFonts w:ascii="Arial" w:hAnsi="Arial" w:cs="Arial"/>
          <w:sz w:val="20"/>
          <w:szCs w:val="20"/>
        </w:rPr>
        <w:t>Source: QOF 2019</w:t>
      </w:r>
    </w:p>
    <w:p w14:paraId="16B59E84" w14:textId="4ECC5D90" w:rsidR="00230F22" w:rsidRDefault="00B05AE1" w:rsidP="00DC54F7">
      <w:pPr>
        <w:spacing w:after="0" w:line="240" w:lineRule="auto"/>
        <w:jc w:val="both"/>
        <w:rPr>
          <w:rFonts w:ascii="Arial" w:hAnsi="Arial" w:cs="Arial"/>
          <w:sz w:val="24"/>
          <w:szCs w:val="24"/>
        </w:rPr>
      </w:pPr>
      <w:r w:rsidRPr="00AB1B71">
        <w:rPr>
          <w:rFonts w:ascii="Arial" w:hAnsi="Arial" w:cs="Arial"/>
          <w:sz w:val="24"/>
          <w:szCs w:val="24"/>
        </w:rPr>
        <w:t xml:space="preserve">The estimated prevalence of hypertension in Cardiff South East </w:t>
      </w:r>
      <w:r w:rsidR="008C58F4" w:rsidRPr="00AB1B71">
        <w:rPr>
          <w:rFonts w:ascii="Arial" w:hAnsi="Arial" w:cs="Arial"/>
          <w:sz w:val="24"/>
          <w:szCs w:val="24"/>
        </w:rPr>
        <w:t>c</w:t>
      </w:r>
      <w:r w:rsidRPr="00AB1B71">
        <w:rPr>
          <w:rFonts w:ascii="Arial" w:hAnsi="Arial" w:cs="Arial"/>
          <w:sz w:val="24"/>
          <w:szCs w:val="24"/>
        </w:rPr>
        <w:t xml:space="preserve">luster is </w:t>
      </w:r>
      <w:r w:rsidR="000172A1" w:rsidRPr="00AB1B71">
        <w:rPr>
          <w:rFonts w:ascii="Arial" w:hAnsi="Arial" w:cs="Arial"/>
          <w:sz w:val="24"/>
          <w:szCs w:val="24"/>
        </w:rPr>
        <w:t xml:space="preserve">lower than the average for Wales and the lowest of all the clusters in the health board. </w:t>
      </w:r>
      <w:r w:rsidR="00FC4D61" w:rsidRPr="00AB1B71">
        <w:rPr>
          <w:rFonts w:ascii="Arial" w:hAnsi="Arial" w:cs="Arial"/>
          <w:sz w:val="24"/>
          <w:szCs w:val="24"/>
        </w:rPr>
        <w:t xml:space="preserve">The estimated prevalence of </w:t>
      </w:r>
      <w:r w:rsidRPr="00AB1B71">
        <w:rPr>
          <w:rFonts w:ascii="Arial" w:hAnsi="Arial" w:cs="Arial"/>
          <w:sz w:val="24"/>
          <w:szCs w:val="24"/>
        </w:rPr>
        <w:t xml:space="preserve">atrial fibrillation </w:t>
      </w:r>
      <w:r w:rsidR="00FC4D61" w:rsidRPr="00AB1B71">
        <w:rPr>
          <w:rFonts w:ascii="Arial" w:hAnsi="Arial" w:cs="Arial"/>
          <w:sz w:val="24"/>
          <w:szCs w:val="24"/>
        </w:rPr>
        <w:t>is the second lowest of all the clusters in the health board.</w:t>
      </w:r>
    </w:p>
    <w:p w14:paraId="112E3E7F" w14:textId="77777777" w:rsidR="00676A15" w:rsidRPr="00AB1B71" w:rsidRDefault="00676A15" w:rsidP="00DC54F7">
      <w:pPr>
        <w:spacing w:after="0" w:line="240" w:lineRule="auto"/>
        <w:jc w:val="both"/>
        <w:rPr>
          <w:rFonts w:ascii="Arial" w:hAnsi="Arial" w:cs="Arial"/>
          <w:sz w:val="24"/>
          <w:szCs w:val="24"/>
        </w:rPr>
      </w:pPr>
    </w:p>
    <w:p w14:paraId="5B970A34" w14:textId="24ED46ED" w:rsidR="00A706A4" w:rsidRPr="00676A15" w:rsidRDefault="004802DF" w:rsidP="00185101">
      <w:pPr>
        <w:spacing w:after="0" w:line="240" w:lineRule="auto"/>
        <w:rPr>
          <w:rFonts w:ascii="Arial" w:hAnsi="Arial" w:cs="Arial"/>
          <w:b/>
          <w:bCs/>
          <w:sz w:val="24"/>
          <w:szCs w:val="24"/>
          <w:highlight w:val="cyan"/>
        </w:rPr>
      </w:pPr>
      <w:r w:rsidRPr="00676A15">
        <w:rPr>
          <w:rFonts w:ascii="Arial" w:hAnsi="Arial" w:cs="Arial"/>
          <w:b/>
          <w:bCs/>
          <w:sz w:val="24"/>
          <w:szCs w:val="24"/>
        </w:rPr>
        <w:t>Table 9.</w:t>
      </w:r>
      <w:r w:rsidR="00C5502E" w:rsidRPr="00676A15">
        <w:rPr>
          <w:rFonts w:ascii="Arial" w:hAnsi="Arial" w:cs="Arial"/>
          <w:b/>
          <w:bCs/>
          <w:sz w:val="24"/>
          <w:szCs w:val="24"/>
        </w:rPr>
        <w:t>5</w:t>
      </w:r>
      <w:r w:rsidRPr="00676A15">
        <w:rPr>
          <w:rFonts w:ascii="Arial" w:hAnsi="Arial" w:cs="Arial"/>
          <w:b/>
          <w:bCs/>
          <w:sz w:val="24"/>
          <w:szCs w:val="24"/>
        </w:rPr>
        <w:t>: Estimated percentage prevalence of hypertension and atrial fibrillation based on patients on GP practice registers by cluster, local authority, health board and Wales, 2019</w:t>
      </w:r>
    </w:p>
    <w:tbl>
      <w:tblPr>
        <w:tblW w:w="9330" w:type="dxa"/>
        <w:tblLook w:val="04A0" w:firstRow="1" w:lastRow="0" w:firstColumn="1" w:lastColumn="0" w:noHBand="0" w:noVBand="1"/>
      </w:tblPr>
      <w:tblGrid>
        <w:gridCol w:w="3110"/>
        <w:gridCol w:w="3110"/>
        <w:gridCol w:w="3110"/>
      </w:tblGrid>
      <w:tr w:rsidR="004B63FC" w:rsidRPr="004B63FC" w14:paraId="39690DA3" w14:textId="77777777" w:rsidTr="007C1F96">
        <w:trPr>
          <w:trHeight w:val="286"/>
        </w:trPr>
        <w:tc>
          <w:tcPr>
            <w:tcW w:w="3110" w:type="dxa"/>
            <w:tcBorders>
              <w:top w:val="single" w:sz="4" w:space="0" w:color="auto"/>
              <w:left w:val="single" w:sz="4" w:space="0" w:color="auto"/>
              <w:bottom w:val="single" w:sz="4" w:space="0" w:color="auto"/>
              <w:right w:val="nil"/>
            </w:tcBorders>
            <w:shd w:val="clear" w:color="auto" w:fill="8497B0"/>
            <w:noWrap/>
            <w:vAlign w:val="bottom"/>
            <w:hideMark/>
          </w:tcPr>
          <w:p w14:paraId="0FB15265" w14:textId="77777777" w:rsidR="004B63FC" w:rsidRPr="004B63FC" w:rsidRDefault="004B63FC" w:rsidP="00DC54F7">
            <w:pPr>
              <w:spacing w:after="0" w:line="240" w:lineRule="auto"/>
              <w:jc w:val="both"/>
              <w:rPr>
                <w:rFonts w:ascii="Calibri" w:eastAsia="Times New Roman" w:hAnsi="Calibri" w:cs="Times New Roman"/>
                <w:color w:val="000000"/>
                <w:lang w:eastAsia="en-GB"/>
              </w:rPr>
            </w:pPr>
            <w:r w:rsidRPr="004B63FC">
              <w:rPr>
                <w:rFonts w:ascii="Calibri" w:eastAsia="Times New Roman" w:hAnsi="Calibri" w:cs="Times New Roman"/>
                <w:color w:val="000000"/>
                <w:lang w:eastAsia="en-GB"/>
              </w:rPr>
              <w:t> </w:t>
            </w:r>
          </w:p>
        </w:tc>
        <w:tc>
          <w:tcPr>
            <w:tcW w:w="3110" w:type="dxa"/>
            <w:tcBorders>
              <w:top w:val="single" w:sz="4" w:space="0" w:color="auto"/>
              <w:left w:val="single" w:sz="4" w:space="0" w:color="A9D08E"/>
              <w:bottom w:val="single" w:sz="4" w:space="0" w:color="auto"/>
              <w:right w:val="nil"/>
            </w:tcBorders>
            <w:shd w:val="clear" w:color="auto" w:fill="8497B0"/>
            <w:noWrap/>
            <w:vAlign w:val="bottom"/>
            <w:hideMark/>
          </w:tcPr>
          <w:p w14:paraId="20B2A02B" w14:textId="77777777" w:rsidR="004B63FC" w:rsidRPr="004B63FC" w:rsidRDefault="004B63FC" w:rsidP="00DC54F7">
            <w:pPr>
              <w:spacing w:after="0" w:line="240" w:lineRule="auto"/>
              <w:jc w:val="both"/>
              <w:rPr>
                <w:rFonts w:ascii="Calibri" w:eastAsia="Times New Roman" w:hAnsi="Calibri" w:cs="Times New Roman"/>
                <w:b/>
                <w:bCs/>
                <w:color w:val="FFFFFF"/>
                <w:lang w:eastAsia="en-GB"/>
              </w:rPr>
            </w:pPr>
            <w:r w:rsidRPr="004B63FC">
              <w:rPr>
                <w:rFonts w:ascii="Calibri" w:eastAsia="Times New Roman" w:hAnsi="Calibri" w:cs="Times New Roman"/>
                <w:b/>
                <w:bCs/>
                <w:color w:val="FFFFFF"/>
                <w:lang w:eastAsia="en-GB"/>
              </w:rPr>
              <w:t>Atrial Fibrillation (percentage)</w:t>
            </w:r>
          </w:p>
        </w:tc>
        <w:tc>
          <w:tcPr>
            <w:tcW w:w="3110" w:type="dxa"/>
            <w:tcBorders>
              <w:top w:val="single" w:sz="4" w:space="0" w:color="auto"/>
              <w:left w:val="nil"/>
              <w:bottom w:val="single" w:sz="4" w:space="0" w:color="auto"/>
              <w:right w:val="single" w:sz="4" w:space="0" w:color="auto"/>
            </w:tcBorders>
            <w:shd w:val="clear" w:color="auto" w:fill="8497B0"/>
            <w:noWrap/>
            <w:vAlign w:val="bottom"/>
            <w:hideMark/>
          </w:tcPr>
          <w:p w14:paraId="7FB7634A" w14:textId="77777777" w:rsidR="004B63FC" w:rsidRPr="004B63FC" w:rsidRDefault="004B63FC" w:rsidP="00DC54F7">
            <w:pPr>
              <w:spacing w:after="0" w:line="240" w:lineRule="auto"/>
              <w:jc w:val="both"/>
              <w:rPr>
                <w:rFonts w:ascii="Calibri" w:eastAsia="Times New Roman" w:hAnsi="Calibri" w:cs="Times New Roman"/>
                <w:b/>
                <w:bCs/>
                <w:color w:val="FFFFFF"/>
                <w:lang w:eastAsia="en-GB"/>
              </w:rPr>
            </w:pPr>
            <w:r w:rsidRPr="004B63FC">
              <w:rPr>
                <w:rFonts w:ascii="Calibri" w:eastAsia="Times New Roman" w:hAnsi="Calibri" w:cs="Times New Roman"/>
                <w:b/>
                <w:bCs/>
                <w:color w:val="FFFFFF"/>
                <w:lang w:eastAsia="en-GB"/>
              </w:rPr>
              <w:t>Hypertension (percentage)</w:t>
            </w:r>
          </w:p>
        </w:tc>
      </w:tr>
      <w:tr w:rsidR="004B63FC" w:rsidRPr="004B63FC" w14:paraId="7D0AECA5" w14:textId="77777777" w:rsidTr="007C1F96">
        <w:trPr>
          <w:trHeight w:val="286"/>
        </w:trPr>
        <w:tc>
          <w:tcPr>
            <w:tcW w:w="3110" w:type="dxa"/>
            <w:tcBorders>
              <w:top w:val="single" w:sz="4" w:space="0" w:color="auto"/>
              <w:left w:val="single" w:sz="4" w:space="0" w:color="auto"/>
              <w:right w:val="nil"/>
            </w:tcBorders>
            <w:shd w:val="clear" w:color="000000" w:fill="F2F2F2"/>
            <w:noWrap/>
            <w:vAlign w:val="bottom"/>
            <w:hideMark/>
          </w:tcPr>
          <w:p w14:paraId="0E3CF485" w14:textId="77777777" w:rsidR="004B63FC" w:rsidRPr="004B63FC" w:rsidRDefault="004B63FC" w:rsidP="00DC54F7">
            <w:pPr>
              <w:spacing w:after="0" w:line="240" w:lineRule="auto"/>
              <w:jc w:val="both"/>
              <w:rPr>
                <w:rFonts w:ascii="Calibri" w:eastAsia="Times New Roman" w:hAnsi="Calibri" w:cs="Times New Roman"/>
                <w:color w:val="000000"/>
                <w:lang w:eastAsia="en-GB"/>
              </w:rPr>
            </w:pPr>
            <w:r w:rsidRPr="004B63FC">
              <w:rPr>
                <w:rFonts w:ascii="Calibri" w:eastAsia="Times New Roman" w:hAnsi="Calibri" w:cs="Times New Roman"/>
                <w:color w:val="000000"/>
                <w:lang w:eastAsia="en-GB"/>
              </w:rPr>
              <w:t>Cardiff South East</w:t>
            </w:r>
          </w:p>
        </w:tc>
        <w:tc>
          <w:tcPr>
            <w:tcW w:w="3110" w:type="dxa"/>
            <w:tcBorders>
              <w:top w:val="single" w:sz="4" w:space="0" w:color="auto"/>
              <w:left w:val="nil"/>
              <w:right w:val="nil"/>
            </w:tcBorders>
            <w:shd w:val="clear" w:color="000000" w:fill="F2F2F2"/>
            <w:noWrap/>
            <w:vAlign w:val="bottom"/>
            <w:hideMark/>
          </w:tcPr>
          <w:p w14:paraId="537D3EAC" w14:textId="2642FC7B" w:rsidR="004B63FC" w:rsidRPr="004B63FC" w:rsidRDefault="004B63FC" w:rsidP="00DC54F7">
            <w:pPr>
              <w:spacing w:after="0" w:line="240" w:lineRule="auto"/>
              <w:jc w:val="both"/>
              <w:rPr>
                <w:rFonts w:ascii="Calibri" w:eastAsia="Times New Roman" w:hAnsi="Calibri" w:cs="Times New Roman"/>
                <w:color w:val="000000"/>
                <w:lang w:eastAsia="en-GB"/>
              </w:rPr>
            </w:pPr>
            <w:r w:rsidRPr="004B63FC">
              <w:rPr>
                <w:rFonts w:ascii="Calibri" w:eastAsia="Times New Roman" w:hAnsi="Calibri" w:cs="Times New Roman"/>
                <w:color w:val="000000"/>
                <w:lang w:eastAsia="en-GB"/>
              </w:rPr>
              <w:t>1.0</w:t>
            </w:r>
          </w:p>
        </w:tc>
        <w:tc>
          <w:tcPr>
            <w:tcW w:w="3110" w:type="dxa"/>
            <w:tcBorders>
              <w:top w:val="single" w:sz="4" w:space="0" w:color="auto"/>
              <w:left w:val="nil"/>
              <w:right w:val="single" w:sz="4" w:space="0" w:color="auto"/>
            </w:tcBorders>
            <w:shd w:val="clear" w:color="000000" w:fill="F2F2F2"/>
            <w:noWrap/>
            <w:vAlign w:val="bottom"/>
            <w:hideMark/>
          </w:tcPr>
          <w:p w14:paraId="06DA3AB5" w14:textId="51F0DFE5" w:rsidR="004B63FC" w:rsidRPr="004B63FC" w:rsidRDefault="004B63FC" w:rsidP="00DC54F7">
            <w:pPr>
              <w:spacing w:after="0" w:line="240" w:lineRule="auto"/>
              <w:jc w:val="both"/>
              <w:rPr>
                <w:rFonts w:ascii="Calibri" w:eastAsia="Times New Roman" w:hAnsi="Calibri" w:cs="Times New Roman"/>
                <w:color w:val="000000"/>
                <w:lang w:eastAsia="en-GB"/>
              </w:rPr>
            </w:pPr>
            <w:r w:rsidRPr="004B63FC">
              <w:rPr>
                <w:rFonts w:ascii="Calibri" w:eastAsia="Times New Roman" w:hAnsi="Calibri" w:cs="Times New Roman"/>
                <w:color w:val="000000"/>
                <w:lang w:eastAsia="en-GB"/>
              </w:rPr>
              <w:t>8.1</w:t>
            </w:r>
          </w:p>
        </w:tc>
      </w:tr>
      <w:tr w:rsidR="004B63FC" w:rsidRPr="004B63FC" w14:paraId="63CDE449" w14:textId="77777777" w:rsidTr="007C1F96">
        <w:trPr>
          <w:trHeight w:val="286"/>
        </w:trPr>
        <w:tc>
          <w:tcPr>
            <w:tcW w:w="3110" w:type="dxa"/>
            <w:tcBorders>
              <w:left w:val="single" w:sz="4" w:space="0" w:color="auto"/>
            </w:tcBorders>
            <w:shd w:val="clear" w:color="D9E1F2" w:fill="FFFFFF"/>
            <w:vAlign w:val="bottom"/>
            <w:hideMark/>
          </w:tcPr>
          <w:p w14:paraId="27256D4E" w14:textId="77777777" w:rsidR="004B63FC" w:rsidRPr="004B63FC" w:rsidRDefault="004B63FC" w:rsidP="00DC54F7">
            <w:pPr>
              <w:spacing w:after="0" w:line="240" w:lineRule="auto"/>
              <w:jc w:val="both"/>
              <w:rPr>
                <w:rFonts w:ascii="Calibri" w:eastAsia="Times New Roman" w:hAnsi="Calibri" w:cs="Times New Roman"/>
                <w:lang w:eastAsia="en-GB"/>
              </w:rPr>
            </w:pPr>
            <w:r w:rsidRPr="004B63FC">
              <w:rPr>
                <w:rFonts w:ascii="Calibri" w:eastAsia="Times New Roman" w:hAnsi="Calibri" w:cs="Times New Roman"/>
                <w:lang w:eastAsia="en-GB"/>
              </w:rPr>
              <w:t>Cardiff</w:t>
            </w:r>
          </w:p>
        </w:tc>
        <w:tc>
          <w:tcPr>
            <w:tcW w:w="3110" w:type="dxa"/>
            <w:shd w:val="clear" w:color="000000" w:fill="FFFFFF"/>
            <w:noWrap/>
            <w:vAlign w:val="bottom"/>
            <w:hideMark/>
          </w:tcPr>
          <w:p w14:paraId="61DF0A72" w14:textId="72DCB619" w:rsidR="004B63FC" w:rsidRPr="004B63FC" w:rsidRDefault="004B63FC" w:rsidP="00DC54F7">
            <w:pPr>
              <w:spacing w:after="0" w:line="240" w:lineRule="auto"/>
              <w:jc w:val="both"/>
              <w:rPr>
                <w:rFonts w:ascii="Calibri" w:eastAsia="Times New Roman" w:hAnsi="Calibri" w:cs="Times New Roman"/>
                <w:color w:val="000000"/>
                <w:lang w:eastAsia="en-GB"/>
              </w:rPr>
            </w:pPr>
            <w:r w:rsidRPr="004B63FC">
              <w:rPr>
                <w:rFonts w:ascii="Calibri" w:eastAsia="Times New Roman" w:hAnsi="Calibri" w:cs="Times New Roman"/>
                <w:color w:val="000000"/>
                <w:lang w:eastAsia="en-GB"/>
              </w:rPr>
              <w:t>1.6</w:t>
            </w:r>
          </w:p>
        </w:tc>
        <w:tc>
          <w:tcPr>
            <w:tcW w:w="3110" w:type="dxa"/>
            <w:tcBorders>
              <w:right w:val="single" w:sz="4" w:space="0" w:color="auto"/>
            </w:tcBorders>
            <w:shd w:val="clear" w:color="000000" w:fill="FFFFFF"/>
            <w:noWrap/>
            <w:vAlign w:val="bottom"/>
            <w:hideMark/>
          </w:tcPr>
          <w:p w14:paraId="44A0B1B2" w14:textId="20CA2A49" w:rsidR="004B63FC" w:rsidRPr="004B63FC" w:rsidRDefault="004B63FC" w:rsidP="00DC54F7">
            <w:pPr>
              <w:spacing w:after="0" w:line="240" w:lineRule="auto"/>
              <w:jc w:val="both"/>
              <w:rPr>
                <w:rFonts w:ascii="Calibri" w:eastAsia="Times New Roman" w:hAnsi="Calibri" w:cs="Times New Roman"/>
                <w:color w:val="000000"/>
                <w:lang w:eastAsia="en-GB"/>
              </w:rPr>
            </w:pPr>
            <w:r w:rsidRPr="004B63FC">
              <w:rPr>
                <w:rFonts w:ascii="Calibri" w:eastAsia="Times New Roman" w:hAnsi="Calibri" w:cs="Times New Roman"/>
                <w:color w:val="000000"/>
                <w:lang w:eastAsia="en-GB"/>
              </w:rPr>
              <w:t>11.8</w:t>
            </w:r>
          </w:p>
        </w:tc>
      </w:tr>
      <w:tr w:rsidR="004B63FC" w:rsidRPr="004B63FC" w14:paraId="00D6349E" w14:textId="77777777" w:rsidTr="007C1F96">
        <w:trPr>
          <w:trHeight w:val="286"/>
        </w:trPr>
        <w:tc>
          <w:tcPr>
            <w:tcW w:w="3110" w:type="dxa"/>
            <w:tcBorders>
              <w:top w:val="nil"/>
              <w:left w:val="single" w:sz="4" w:space="0" w:color="auto"/>
            </w:tcBorders>
            <w:shd w:val="clear" w:color="D9E1F2" w:fill="F2F2F2"/>
            <w:vAlign w:val="bottom"/>
            <w:hideMark/>
          </w:tcPr>
          <w:p w14:paraId="6CBBB090" w14:textId="77777777" w:rsidR="004B63FC" w:rsidRPr="004B63FC" w:rsidRDefault="004B63FC" w:rsidP="00DC54F7">
            <w:pPr>
              <w:spacing w:after="0" w:line="240" w:lineRule="auto"/>
              <w:jc w:val="both"/>
              <w:rPr>
                <w:rFonts w:ascii="Calibri" w:eastAsia="Times New Roman" w:hAnsi="Calibri" w:cs="Times New Roman"/>
                <w:lang w:eastAsia="en-GB"/>
              </w:rPr>
            </w:pPr>
            <w:r w:rsidRPr="004B63FC">
              <w:rPr>
                <w:rFonts w:ascii="Calibri" w:eastAsia="Times New Roman" w:hAnsi="Calibri" w:cs="Times New Roman"/>
                <w:lang w:eastAsia="en-GB"/>
              </w:rPr>
              <w:t>Cardiff &amp; Vale UHB</w:t>
            </w:r>
          </w:p>
        </w:tc>
        <w:tc>
          <w:tcPr>
            <w:tcW w:w="3110" w:type="dxa"/>
            <w:tcBorders>
              <w:top w:val="nil"/>
            </w:tcBorders>
            <w:shd w:val="clear" w:color="000000" w:fill="F2F2F2"/>
            <w:noWrap/>
            <w:vAlign w:val="bottom"/>
            <w:hideMark/>
          </w:tcPr>
          <w:p w14:paraId="777181AA" w14:textId="1842DEDC" w:rsidR="004B63FC" w:rsidRPr="004B63FC" w:rsidRDefault="004B63FC" w:rsidP="00DC54F7">
            <w:pPr>
              <w:spacing w:after="0" w:line="240" w:lineRule="auto"/>
              <w:jc w:val="both"/>
              <w:rPr>
                <w:rFonts w:ascii="Calibri" w:eastAsia="Times New Roman" w:hAnsi="Calibri" w:cs="Times New Roman"/>
                <w:color w:val="000000"/>
                <w:lang w:eastAsia="en-GB"/>
              </w:rPr>
            </w:pPr>
            <w:r w:rsidRPr="004B63FC">
              <w:rPr>
                <w:rFonts w:ascii="Calibri" w:eastAsia="Times New Roman" w:hAnsi="Calibri" w:cs="Times New Roman"/>
                <w:color w:val="000000"/>
                <w:lang w:eastAsia="en-GB"/>
              </w:rPr>
              <w:t>1.8</w:t>
            </w:r>
          </w:p>
        </w:tc>
        <w:tc>
          <w:tcPr>
            <w:tcW w:w="3110" w:type="dxa"/>
            <w:tcBorders>
              <w:top w:val="nil"/>
              <w:right w:val="single" w:sz="4" w:space="0" w:color="auto"/>
            </w:tcBorders>
            <w:shd w:val="clear" w:color="000000" w:fill="F2F2F2"/>
            <w:noWrap/>
            <w:vAlign w:val="bottom"/>
            <w:hideMark/>
          </w:tcPr>
          <w:p w14:paraId="5888529D" w14:textId="06C5010C" w:rsidR="004B63FC" w:rsidRPr="004B63FC" w:rsidRDefault="004B63FC" w:rsidP="00DC54F7">
            <w:pPr>
              <w:spacing w:after="0" w:line="240" w:lineRule="auto"/>
              <w:jc w:val="both"/>
              <w:rPr>
                <w:rFonts w:ascii="Calibri" w:eastAsia="Times New Roman" w:hAnsi="Calibri" w:cs="Times New Roman"/>
                <w:color w:val="000000"/>
                <w:lang w:eastAsia="en-GB"/>
              </w:rPr>
            </w:pPr>
            <w:r w:rsidRPr="004B63FC">
              <w:rPr>
                <w:rFonts w:ascii="Calibri" w:eastAsia="Times New Roman" w:hAnsi="Calibri" w:cs="Times New Roman"/>
                <w:color w:val="000000"/>
                <w:lang w:eastAsia="en-GB"/>
              </w:rPr>
              <w:t>12.6</w:t>
            </w:r>
          </w:p>
        </w:tc>
      </w:tr>
      <w:tr w:rsidR="004B63FC" w:rsidRPr="004B63FC" w14:paraId="25D409BB" w14:textId="77777777" w:rsidTr="007C1F96">
        <w:trPr>
          <w:trHeight w:val="286"/>
        </w:trPr>
        <w:tc>
          <w:tcPr>
            <w:tcW w:w="3110" w:type="dxa"/>
            <w:tcBorders>
              <w:top w:val="nil"/>
              <w:left w:val="single" w:sz="4" w:space="0" w:color="auto"/>
              <w:bottom w:val="single" w:sz="4" w:space="0" w:color="auto"/>
            </w:tcBorders>
            <w:shd w:val="clear" w:color="D9E1F2" w:fill="FFFFFF"/>
            <w:vAlign w:val="bottom"/>
            <w:hideMark/>
          </w:tcPr>
          <w:p w14:paraId="34AD543C" w14:textId="77777777" w:rsidR="004B63FC" w:rsidRPr="004B63FC" w:rsidRDefault="004B63FC" w:rsidP="00DC54F7">
            <w:pPr>
              <w:spacing w:after="0" w:line="240" w:lineRule="auto"/>
              <w:jc w:val="both"/>
              <w:rPr>
                <w:rFonts w:ascii="Calibri" w:eastAsia="Times New Roman" w:hAnsi="Calibri" w:cs="Times New Roman"/>
                <w:lang w:eastAsia="en-GB"/>
              </w:rPr>
            </w:pPr>
            <w:r w:rsidRPr="004B63FC">
              <w:rPr>
                <w:rFonts w:ascii="Calibri" w:eastAsia="Times New Roman" w:hAnsi="Calibri" w:cs="Times New Roman"/>
                <w:lang w:eastAsia="en-GB"/>
              </w:rPr>
              <w:t>Wales</w:t>
            </w:r>
          </w:p>
        </w:tc>
        <w:tc>
          <w:tcPr>
            <w:tcW w:w="3110" w:type="dxa"/>
            <w:tcBorders>
              <w:top w:val="nil"/>
              <w:bottom w:val="single" w:sz="4" w:space="0" w:color="auto"/>
            </w:tcBorders>
            <w:shd w:val="clear" w:color="E2EFDA" w:fill="FFFFFF"/>
            <w:noWrap/>
            <w:vAlign w:val="bottom"/>
            <w:hideMark/>
          </w:tcPr>
          <w:p w14:paraId="78855C88" w14:textId="586C6879" w:rsidR="004B63FC" w:rsidRPr="004B63FC" w:rsidRDefault="004B63FC" w:rsidP="00DC54F7">
            <w:pPr>
              <w:spacing w:after="0" w:line="240" w:lineRule="auto"/>
              <w:jc w:val="both"/>
              <w:rPr>
                <w:rFonts w:ascii="Calibri" w:eastAsia="Times New Roman" w:hAnsi="Calibri" w:cs="Times New Roman"/>
                <w:color w:val="000000"/>
                <w:lang w:eastAsia="en-GB"/>
              </w:rPr>
            </w:pPr>
            <w:r w:rsidRPr="004B63FC">
              <w:rPr>
                <w:rFonts w:ascii="Calibri" w:eastAsia="Times New Roman" w:hAnsi="Calibri" w:cs="Times New Roman"/>
                <w:color w:val="000000"/>
                <w:lang w:eastAsia="en-GB"/>
              </w:rPr>
              <w:t>2.3</w:t>
            </w:r>
          </w:p>
        </w:tc>
        <w:tc>
          <w:tcPr>
            <w:tcW w:w="3110" w:type="dxa"/>
            <w:tcBorders>
              <w:top w:val="nil"/>
              <w:bottom w:val="single" w:sz="4" w:space="0" w:color="auto"/>
              <w:right w:val="single" w:sz="4" w:space="0" w:color="auto"/>
            </w:tcBorders>
            <w:shd w:val="clear" w:color="E2EFDA" w:fill="FFFFFF"/>
            <w:noWrap/>
            <w:vAlign w:val="bottom"/>
            <w:hideMark/>
          </w:tcPr>
          <w:p w14:paraId="2F3BD7D6" w14:textId="4EC5EA9F" w:rsidR="004B63FC" w:rsidRPr="004B63FC" w:rsidRDefault="004B63FC" w:rsidP="00DC54F7">
            <w:pPr>
              <w:spacing w:after="0" w:line="240" w:lineRule="auto"/>
              <w:jc w:val="both"/>
              <w:rPr>
                <w:rFonts w:ascii="Calibri" w:eastAsia="Times New Roman" w:hAnsi="Calibri" w:cs="Times New Roman"/>
                <w:color w:val="000000"/>
                <w:lang w:eastAsia="en-GB"/>
              </w:rPr>
            </w:pPr>
            <w:r w:rsidRPr="004B63FC">
              <w:rPr>
                <w:rFonts w:ascii="Calibri" w:eastAsia="Times New Roman" w:hAnsi="Calibri" w:cs="Times New Roman"/>
                <w:color w:val="000000"/>
                <w:lang w:eastAsia="en-GB"/>
              </w:rPr>
              <w:t>15.8</w:t>
            </w:r>
          </w:p>
        </w:tc>
      </w:tr>
    </w:tbl>
    <w:p w14:paraId="42E6EFF4" w14:textId="70399F5D" w:rsidR="00A706A4" w:rsidRPr="00AB1B71" w:rsidRDefault="003C7DC1" w:rsidP="00DC54F7">
      <w:pPr>
        <w:jc w:val="both"/>
        <w:rPr>
          <w:rFonts w:ascii="Arial" w:hAnsi="Arial" w:cs="Arial"/>
          <w:sz w:val="20"/>
          <w:szCs w:val="20"/>
        </w:rPr>
      </w:pPr>
      <w:r w:rsidRPr="00AB1B71">
        <w:rPr>
          <w:rFonts w:ascii="Arial" w:hAnsi="Arial" w:cs="Arial"/>
          <w:sz w:val="20"/>
          <w:szCs w:val="20"/>
        </w:rPr>
        <w:t>Source: QOF 2019</w:t>
      </w:r>
    </w:p>
    <w:p w14:paraId="17DE97CE" w14:textId="4AD95489" w:rsidR="00FD6000" w:rsidRPr="00AB1B71" w:rsidRDefault="00FD6000" w:rsidP="00DC54F7">
      <w:pPr>
        <w:spacing w:after="0" w:line="240" w:lineRule="auto"/>
        <w:jc w:val="both"/>
        <w:rPr>
          <w:rFonts w:ascii="Arial" w:hAnsi="Arial" w:cs="Arial"/>
          <w:sz w:val="24"/>
          <w:szCs w:val="24"/>
        </w:rPr>
      </w:pPr>
      <w:r w:rsidRPr="00AB1B71">
        <w:rPr>
          <w:rFonts w:ascii="Arial" w:hAnsi="Arial" w:cs="Arial"/>
          <w:sz w:val="24"/>
          <w:szCs w:val="24"/>
        </w:rPr>
        <w:t xml:space="preserve">Many of the factors that contribute to the inequalities in health and well-being are preventable. Table </w:t>
      </w:r>
      <w:r w:rsidR="00FC4D61" w:rsidRPr="00AB1B71">
        <w:rPr>
          <w:rFonts w:ascii="Arial" w:hAnsi="Arial" w:cs="Arial"/>
          <w:sz w:val="24"/>
          <w:szCs w:val="24"/>
        </w:rPr>
        <w:t>9</w:t>
      </w:r>
      <w:r w:rsidRPr="00AB1B71">
        <w:rPr>
          <w:rFonts w:ascii="Arial" w:hAnsi="Arial" w:cs="Arial"/>
          <w:sz w:val="24"/>
          <w:szCs w:val="24"/>
        </w:rPr>
        <w:t>.</w:t>
      </w:r>
      <w:r w:rsidR="00DD1D50" w:rsidRPr="00AB1B71">
        <w:rPr>
          <w:rFonts w:ascii="Arial" w:hAnsi="Arial" w:cs="Arial"/>
          <w:sz w:val="24"/>
          <w:szCs w:val="24"/>
        </w:rPr>
        <w:t>6</w:t>
      </w:r>
      <w:r w:rsidRPr="00AB1B71">
        <w:rPr>
          <w:rFonts w:ascii="Arial" w:hAnsi="Arial" w:cs="Arial"/>
          <w:sz w:val="24"/>
          <w:szCs w:val="24"/>
        </w:rPr>
        <w:t xml:space="preserve"> shows the percentage of adults self-reporting five behaviours</w:t>
      </w:r>
      <w:r w:rsidR="00E03BA4" w:rsidRPr="00AB1B71">
        <w:rPr>
          <w:rFonts w:ascii="Arial" w:hAnsi="Arial" w:cs="Arial"/>
          <w:sz w:val="24"/>
          <w:szCs w:val="24"/>
        </w:rPr>
        <w:t>;</w:t>
      </w:r>
      <w:r w:rsidRPr="00AB1B71">
        <w:rPr>
          <w:rFonts w:ascii="Arial" w:hAnsi="Arial" w:cs="Arial"/>
          <w:sz w:val="24"/>
          <w:szCs w:val="24"/>
        </w:rPr>
        <w:t xml:space="preserve"> where a lower percentage for smoking and drinking above the guidelines is seen as more beneficial </w:t>
      </w:r>
      <w:r w:rsidR="00695A6F" w:rsidRPr="00AB1B71">
        <w:rPr>
          <w:rFonts w:ascii="Arial" w:hAnsi="Arial" w:cs="Arial"/>
          <w:sz w:val="24"/>
          <w:szCs w:val="24"/>
        </w:rPr>
        <w:t>to</w:t>
      </w:r>
      <w:r w:rsidR="002C03CA" w:rsidRPr="00AB1B71">
        <w:rPr>
          <w:rFonts w:ascii="Arial" w:hAnsi="Arial" w:cs="Arial"/>
          <w:sz w:val="24"/>
          <w:szCs w:val="24"/>
        </w:rPr>
        <w:t xml:space="preserve"> health </w:t>
      </w:r>
      <w:r w:rsidR="00151D4F" w:rsidRPr="00AB1B71">
        <w:rPr>
          <w:rFonts w:ascii="Arial" w:hAnsi="Arial" w:cs="Arial"/>
          <w:sz w:val="24"/>
          <w:szCs w:val="24"/>
        </w:rPr>
        <w:t xml:space="preserve">and well-being </w:t>
      </w:r>
      <w:r w:rsidRPr="00AB1B71">
        <w:rPr>
          <w:rFonts w:ascii="Arial" w:hAnsi="Arial" w:cs="Arial"/>
          <w:sz w:val="24"/>
          <w:szCs w:val="24"/>
        </w:rPr>
        <w:t xml:space="preserve">as is a higher percentage for working age adults of healthy weight, meeting the physical activity guidelines and consuming </w:t>
      </w:r>
      <w:r w:rsidR="001B5B54" w:rsidRPr="00AB1B71">
        <w:rPr>
          <w:rFonts w:ascii="Arial" w:hAnsi="Arial" w:cs="Arial"/>
          <w:sz w:val="24"/>
          <w:szCs w:val="24"/>
        </w:rPr>
        <w:t>five</w:t>
      </w:r>
      <w:r w:rsidRPr="00AB1B71">
        <w:rPr>
          <w:rFonts w:ascii="Arial" w:hAnsi="Arial" w:cs="Arial"/>
          <w:sz w:val="24"/>
          <w:szCs w:val="24"/>
        </w:rPr>
        <w:t xml:space="preserve"> a day. </w:t>
      </w:r>
    </w:p>
    <w:p w14:paraId="588CDFCB" w14:textId="77777777" w:rsidR="00E03BA4" w:rsidRPr="00AB1B71" w:rsidRDefault="00E03BA4" w:rsidP="00DC54F7">
      <w:pPr>
        <w:spacing w:after="0" w:line="240" w:lineRule="auto"/>
        <w:jc w:val="both"/>
        <w:rPr>
          <w:rFonts w:ascii="Arial" w:hAnsi="Arial" w:cs="Arial"/>
          <w:sz w:val="24"/>
          <w:szCs w:val="24"/>
        </w:rPr>
      </w:pPr>
    </w:p>
    <w:p w14:paraId="0B846493" w14:textId="2ECA4B79" w:rsidR="00A706A4" w:rsidRPr="00AB1B71" w:rsidRDefault="00FD6000" w:rsidP="00DC54F7">
      <w:pPr>
        <w:spacing w:after="0" w:line="240" w:lineRule="auto"/>
        <w:jc w:val="both"/>
        <w:rPr>
          <w:rFonts w:ascii="Arial" w:hAnsi="Arial" w:cs="Arial"/>
          <w:sz w:val="24"/>
          <w:szCs w:val="24"/>
        </w:rPr>
      </w:pPr>
      <w:r w:rsidRPr="00AB1B71">
        <w:rPr>
          <w:rFonts w:ascii="Arial" w:hAnsi="Arial" w:cs="Arial"/>
          <w:sz w:val="24"/>
          <w:szCs w:val="24"/>
        </w:rPr>
        <w:t xml:space="preserve">Overall, the percentage of adults reporting behaviours which support healthy outcomes in Cardiff </w:t>
      </w:r>
      <w:r w:rsidR="00F56E8C" w:rsidRPr="00AB1B71">
        <w:rPr>
          <w:rFonts w:ascii="Arial" w:hAnsi="Arial" w:cs="Arial"/>
          <w:sz w:val="24"/>
          <w:szCs w:val="24"/>
        </w:rPr>
        <w:t xml:space="preserve">South </w:t>
      </w:r>
      <w:r w:rsidRPr="00AB1B71">
        <w:rPr>
          <w:rFonts w:ascii="Arial" w:hAnsi="Arial" w:cs="Arial"/>
          <w:sz w:val="24"/>
          <w:szCs w:val="24"/>
        </w:rPr>
        <w:t xml:space="preserve">East cluster is </w:t>
      </w:r>
      <w:r w:rsidR="00F56E8C" w:rsidRPr="00AB1B71">
        <w:rPr>
          <w:rFonts w:ascii="Arial" w:hAnsi="Arial" w:cs="Arial"/>
          <w:sz w:val="24"/>
          <w:szCs w:val="24"/>
        </w:rPr>
        <w:t>higher</w:t>
      </w:r>
      <w:r w:rsidRPr="00AB1B71">
        <w:rPr>
          <w:rFonts w:ascii="Arial" w:hAnsi="Arial" w:cs="Arial"/>
          <w:sz w:val="24"/>
          <w:szCs w:val="24"/>
        </w:rPr>
        <w:t xml:space="preserve"> than</w:t>
      </w:r>
      <w:r w:rsidRPr="00AB1B71">
        <w:rPr>
          <w:rFonts w:ascii="Arial" w:hAnsi="Arial" w:cs="Arial"/>
          <w:color w:val="000000"/>
          <w:sz w:val="24"/>
          <w:szCs w:val="24"/>
        </w:rPr>
        <w:t xml:space="preserve"> Cardiff and Vale University </w:t>
      </w:r>
      <w:r w:rsidRPr="00AB1B71">
        <w:rPr>
          <w:rFonts w:ascii="Arial" w:hAnsi="Arial" w:cs="Arial"/>
          <w:sz w:val="24"/>
          <w:szCs w:val="24"/>
        </w:rPr>
        <w:t xml:space="preserve">Health Board and the average for Wales, except for </w:t>
      </w:r>
      <w:r w:rsidR="00DB367A" w:rsidRPr="00AB1B71">
        <w:rPr>
          <w:rFonts w:ascii="Arial" w:hAnsi="Arial" w:cs="Arial"/>
          <w:sz w:val="24"/>
          <w:szCs w:val="24"/>
        </w:rPr>
        <w:t>smoking</w:t>
      </w:r>
      <w:r w:rsidR="008A6355" w:rsidRPr="00AB1B71">
        <w:rPr>
          <w:rFonts w:ascii="Arial" w:hAnsi="Arial" w:cs="Arial"/>
          <w:sz w:val="24"/>
          <w:szCs w:val="24"/>
        </w:rPr>
        <w:t xml:space="preserve"> and </w:t>
      </w:r>
      <w:r w:rsidR="0044345A" w:rsidRPr="00AB1B71">
        <w:rPr>
          <w:rFonts w:ascii="Arial" w:hAnsi="Arial" w:cs="Arial"/>
          <w:sz w:val="24"/>
          <w:szCs w:val="24"/>
        </w:rPr>
        <w:t>eating</w:t>
      </w:r>
      <w:r w:rsidR="008A6355" w:rsidRPr="00AB1B71">
        <w:rPr>
          <w:rFonts w:ascii="Arial" w:hAnsi="Arial" w:cs="Arial"/>
          <w:sz w:val="24"/>
          <w:szCs w:val="24"/>
        </w:rPr>
        <w:t xml:space="preserve"> </w:t>
      </w:r>
      <w:r w:rsidR="005111BB" w:rsidRPr="00AB1B71">
        <w:rPr>
          <w:rFonts w:ascii="Arial" w:hAnsi="Arial" w:cs="Arial"/>
          <w:sz w:val="24"/>
          <w:szCs w:val="24"/>
        </w:rPr>
        <w:t xml:space="preserve">the recommended </w:t>
      </w:r>
      <w:r w:rsidR="008A6355" w:rsidRPr="00AB1B71">
        <w:rPr>
          <w:rFonts w:ascii="Arial" w:hAnsi="Arial" w:cs="Arial"/>
          <w:sz w:val="24"/>
          <w:szCs w:val="24"/>
        </w:rPr>
        <w:t xml:space="preserve">five </w:t>
      </w:r>
      <w:r w:rsidR="009A39FE" w:rsidRPr="00AB1B71">
        <w:rPr>
          <w:rFonts w:ascii="Arial" w:hAnsi="Arial" w:cs="Arial"/>
          <w:sz w:val="24"/>
          <w:szCs w:val="24"/>
        </w:rPr>
        <w:t xml:space="preserve">portions of </w:t>
      </w:r>
      <w:r w:rsidR="008A6355" w:rsidRPr="00AB1B71">
        <w:rPr>
          <w:rFonts w:ascii="Arial" w:hAnsi="Arial" w:cs="Arial"/>
          <w:sz w:val="24"/>
          <w:szCs w:val="24"/>
        </w:rPr>
        <w:t xml:space="preserve">fruit </w:t>
      </w:r>
      <w:r w:rsidR="009A39FE" w:rsidRPr="00AB1B71">
        <w:rPr>
          <w:rFonts w:ascii="Arial" w:hAnsi="Arial" w:cs="Arial"/>
          <w:sz w:val="24"/>
          <w:szCs w:val="24"/>
        </w:rPr>
        <w:t xml:space="preserve">and </w:t>
      </w:r>
      <w:r w:rsidR="008A6355" w:rsidRPr="00AB1B71">
        <w:rPr>
          <w:rFonts w:ascii="Arial" w:hAnsi="Arial" w:cs="Arial"/>
          <w:sz w:val="24"/>
          <w:szCs w:val="24"/>
        </w:rPr>
        <w:t>vegetables a day</w:t>
      </w:r>
      <w:r w:rsidRPr="00AB1B71">
        <w:rPr>
          <w:rFonts w:ascii="Arial" w:hAnsi="Arial" w:cs="Arial"/>
          <w:sz w:val="24"/>
          <w:szCs w:val="24"/>
        </w:rPr>
        <w:t xml:space="preserve">. </w:t>
      </w:r>
    </w:p>
    <w:p w14:paraId="11D01D21" w14:textId="75D77DBD" w:rsidR="00FC4D61" w:rsidRDefault="00FC4D61" w:rsidP="00DC54F7">
      <w:pPr>
        <w:spacing w:after="0" w:line="240" w:lineRule="auto"/>
        <w:jc w:val="both"/>
        <w:rPr>
          <w:rFonts w:ascii="Arial" w:hAnsi="Arial" w:cs="Arial"/>
          <w:color w:val="000000" w:themeColor="text1"/>
        </w:rPr>
      </w:pPr>
    </w:p>
    <w:p w14:paraId="66FFB544" w14:textId="7AD9EA69" w:rsidR="006A238E" w:rsidRDefault="006A238E" w:rsidP="00DC54F7">
      <w:pPr>
        <w:spacing w:after="0" w:line="240" w:lineRule="auto"/>
        <w:jc w:val="both"/>
        <w:rPr>
          <w:rFonts w:ascii="Arial" w:hAnsi="Arial" w:cs="Arial"/>
          <w:color w:val="000000" w:themeColor="text1"/>
        </w:rPr>
      </w:pPr>
    </w:p>
    <w:p w14:paraId="1502AFE3" w14:textId="2322671E" w:rsidR="006A238E" w:rsidRDefault="006A238E" w:rsidP="00DC54F7">
      <w:pPr>
        <w:spacing w:after="0" w:line="240" w:lineRule="auto"/>
        <w:jc w:val="both"/>
        <w:rPr>
          <w:rFonts w:ascii="Arial" w:hAnsi="Arial" w:cs="Arial"/>
          <w:color w:val="000000" w:themeColor="text1"/>
        </w:rPr>
      </w:pPr>
    </w:p>
    <w:p w14:paraId="79DAA098" w14:textId="534FD7FC" w:rsidR="006A238E" w:rsidRDefault="006A238E">
      <w:pPr>
        <w:rPr>
          <w:rFonts w:ascii="Arial" w:hAnsi="Arial" w:cs="Arial"/>
          <w:color w:val="000000" w:themeColor="text1"/>
        </w:rPr>
      </w:pPr>
      <w:r>
        <w:rPr>
          <w:rFonts w:ascii="Arial" w:hAnsi="Arial" w:cs="Arial"/>
          <w:color w:val="000000" w:themeColor="text1"/>
        </w:rPr>
        <w:br w:type="page"/>
      </w:r>
    </w:p>
    <w:p w14:paraId="6ABE92B7" w14:textId="420A86E0" w:rsidR="00230F22" w:rsidRPr="00AB1B71" w:rsidRDefault="004802DF" w:rsidP="00DC54F7">
      <w:pPr>
        <w:pStyle w:val="Caption"/>
        <w:spacing w:before="0" w:after="0"/>
        <w:jc w:val="both"/>
        <w:rPr>
          <w:rFonts w:ascii="Arial" w:hAnsi="Arial" w:cs="Arial"/>
          <w:szCs w:val="24"/>
        </w:rPr>
      </w:pPr>
      <w:r w:rsidRPr="00AB1B71">
        <w:rPr>
          <w:rFonts w:ascii="Arial" w:hAnsi="Arial" w:cs="Arial"/>
          <w:szCs w:val="24"/>
        </w:rPr>
        <w:lastRenderedPageBreak/>
        <w:t>Table 9.</w:t>
      </w:r>
      <w:r w:rsidR="00C5502E" w:rsidRPr="00AB1B71">
        <w:rPr>
          <w:rFonts w:ascii="Arial" w:hAnsi="Arial" w:cs="Arial"/>
          <w:szCs w:val="24"/>
        </w:rPr>
        <w:t>6</w:t>
      </w:r>
      <w:r w:rsidRPr="00AB1B71">
        <w:rPr>
          <w:rFonts w:ascii="Arial" w:hAnsi="Arial" w:cs="Arial"/>
          <w:szCs w:val="24"/>
        </w:rPr>
        <w:t>: Percentage of adults (aged 16 years and over) reporting behaviours by cluster, health board and Wales, 2016 to 2018</w:t>
      </w:r>
    </w:p>
    <w:tbl>
      <w:tblPr>
        <w:tblW w:w="9740"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122"/>
        <w:gridCol w:w="1269"/>
        <w:gridCol w:w="254"/>
        <w:gridCol w:w="1016"/>
        <w:gridCol w:w="508"/>
        <w:gridCol w:w="762"/>
        <w:gridCol w:w="761"/>
        <w:gridCol w:w="508"/>
        <w:gridCol w:w="1016"/>
        <w:gridCol w:w="254"/>
        <w:gridCol w:w="1270"/>
      </w:tblGrid>
      <w:tr w:rsidR="00B02AE0" w:rsidRPr="00B02AE0" w14:paraId="09931641" w14:textId="77777777" w:rsidTr="003F5B17">
        <w:trPr>
          <w:trHeight w:val="307"/>
        </w:trPr>
        <w:tc>
          <w:tcPr>
            <w:tcW w:w="2122" w:type="dxa"/>
            <w:shd w:val="clear" w:color="auto" w:fill="8497B0"/>
            <w:noWrap/>
            <w:vAlign w:val="center"/>
            <w:hideMark/>
          </w:tcPr>
          <w:p w14:paraId="28C62DD9" w14:textId="77777777" w:rsidR="00B02AE0" w:rsidRPr="00941BC4" w:rsidRDefault="00B02AE0" w:rsidP="00DC54F7">
            <w:pPr>
              <w:spacing w:after="0" w:line="240" w:lineRule="auto"/>
              <w:jc w:val="both"/>
              <w:rPr>
                <w:rFonts w:eastAsia="Times New Roman" w:cstheme="minorHAnsi"/>
                <w:b/>
                <w:bCs/>
                <w:color w:val="FFFFFF"/>
                <w:lang w:eastAsia="en-GB"/>
              </w:rPr>
            </w:pPr>
            <w:r w:rsidRPr="00941BC4">
              <w:rPr>
                <w:rFonts w:eastAsia="Times New Roman" w:cstheme="minorHAnsi"/>
                <w:b/>
                <w:bCs/>
                <w:color w:val="FFFFFF"/>
                <w:lang w:eastAsia="en-GB"/>
              </w:rPr>
              <w:t> </w:t>
            </w:r>
          </w:p>
        </w:tc>
        <w:tc>
          <w:tcPr>
            <w:tcW w:w="1523" w:type="dxa"/>
            <w:gridSpan w:val="2"/>
            <w:shd w:val="clear" w:color="auto" w:fill="8497B0"/>
            <w:noWrap/>
            <w:vAlign w:val="center"/>
            <w:hideMark/>
          </w:tcPr>
          <w:p w14:paraId="55D99461" w14:textId="77777777" w:rsidR="00B02AE0" w:rsidRPr="00941BC4" w:rsidRDefault="00B02AE0" w:rsidP="00DC54F7">
            <w:pPr>
              <w:spacing w:after="0" w:line="240" w:lineRule="auto"/>
              <w:jc w:val="both"/>
              <w:rPr>
                <w:rFonts w:eastAsia="Times New Roman" w:cstheme="minorHAnsi"/>
                <w:b/>
                <w:bCs/>
                <w:color w:val="FFFFFF"/>
                <w:lang w:eastAsia="en-GB"/>
              </w:rPr>
            </w:pPr>
            <w:r w:rsidRPr="00941BC4">
              <w:rPr>
                <w:rFonts w:eastAsia="Times New Roman" w:cstheme="minorHAnsi"/>
                <w:b/>
                <w:bCs/>
                <w:color w:val="FFFFFF"/>
                <w:lang w:eastAsia="en-GB"/>
              </w:rPr>
              <w:t>Count</w:t>
            </w:r>
          </w:p>
        </w:tc>
        <w:tc>
          <w:tcPr>
            <w:tcW w:w="1524" w:type="dxa"/>
            <w:gridSpan w:val="2"/>
            <w:shd w:val="clear" w:color="auto" w:fill="8497B0"/>
            <w:noWrap/>
            <w:vAlign w:val="center"/>
            <w:hideMark/>
          </w:tcPr>
          <w:p w14:paraId="171E3012" w14:textId="77777777" w:rsidR="00B02AE0" w:rsidRPr="00941BC4" w:rsidRDefault="00B02AE0" w:rsidP="00DC54F7">
            <w:pPr>
              <w:spacing w:after="0" w:line="240" w:lineRule="auto"/>
              <w:jc w:val="both"/>
              <w:rPr>
                <w:rFonts w:eastAsia="Times New Roman" w:cstheme="minorHAnsi"/>
                <w:b/>
                <w:bCs/>
                <w:color w:val="FFFFFF"/>
                <w:lang w:eastAsia="en-GB"/>
              </w:rPr>
            </w:pPr>
            <w:r w:rsidRPr="00941BC4">
              <w:rPr>
                <w:rFonts w:eastAsia="Times New Roman" w:cstheme="minorHAnsi"/>
                <w:b/>
                <w:bCs/>
                <w:color w:val="FFFFFF"/>
                <w:lang w:eastAsia="en-GB"/>
              </w:rPr>
              <w:t> </w:t>
            </w:r>
          </w:p>
        </w:tc>
        <w:tc>
          <w:tcPr>
            <w:tcW w:w="1523" w:type="dxa"/>
            <w:gridSpan w:val="2"/>
            <w:shd w:val="clear" w:color="auto" w:fill="8497B0"/>
            <w:noWrap/>
            <w:vAlign w:val="center"/>
            <w:hideMark/>
          </w:tcPr>
          <w:p w14:paraId="7C26EC6A" w14:textId="77777777" w:rsidR="00B02AE0" w:rsidRPr="00941BC4" w:rsidRDefault="00B02AE0" w:rsidP="00DC54F7">
            <w:pPr>
              <w:spacing w:after="0" w:line="240" w:lineRule="auto"/>
              <w:jc w:val="both"/>
              <w:rPr>
                <w:rFonts w:eastAsia="Times New Roman" w:cstheme="minorHAnsi"/>
                <w:b/>
                <w:bCs/>
                <w:color w:val="FFFFFF"/>
                <w:lang w:eastAsia="en-GB"/>
              </w:rPr>
            </w:pPr>
            <w:r w:rsidRPr="00941BC4">
              <w:rPr>
                <w:rFonts w:eastAsia="Times New Roman" w:cstheme="minorHAnsi"/>
                <w:b/>
                <w:bCs/>
                <w:color w:val="FFFFFF"/>
                <w:lang w:eastAsia="en-GB"/>
              </w:rPr>
              <w:t> </w:t>
            </w:r>
          </w:p>
        </w:tc>
        <w:tc>
          <w:tcPr>
            <w:tcW w:w="1524" w:type="dxa"/>
            <w:gridSpan w:val="2"/>
            <w:shd w:val="clear" w:color="auto" w:fill="8497B0"/>
            <w:noWrap/>
            <w:vAlign w:val="center"/>
            <w:hideMark/>
          </w:tcPr>
          <w:p w14:paraId="7C48A274" w14:textId="77777777" w:rsidR="00B02AE0" w:rsidRPr="00941BC4" w:rsidRDefault="00B02AE0" w:rsidP="00DC54F7">
            <w:pPr>
              <w:spacing w:after="0" w:line="240" w:lineRule="auto"/>
              <w:jc w:val="both"/>
              <w:rPr>
                <w:rFonts w:eastAsia="Times New Roman" w:cstheme="minorHAnsi"/>
                <w:b/>
                <w:bCs/>
                <w:color w:val="FFFFFF"/>
                <w:lang w:eastAsia="en-GB"/>
              </w:rPr>
            </w:pPr>
            <w:r w:rsidRPr="00941BC4">
              <w:rPr>
                <w:rFonts w:eastAsia="Times New Roman" w:cstheme="minorHAnsi"/>
                <w:b/>
                <w:bCs/>
                <w:color w:val="FFFFFF"/>
                <w:lang w:eastAsia="en-GB"/>
              </w:rPr>
              <w:t>Prevalence</w:t>
            </w:r>
          </w:p>
        </w:tc>
        <w:tc>
          <w:tcPr>
            <w:tcW w:w="1524" w:type="dxa"/>
            <w:gridSpan w:val="2"/>
            <w:shd w:val="clear" w:color="auto" w:fill="8497B0"/>
            <w:noWrap/>
            <w:vAlign w:val="center"/>
            <w:hideMark/>
          </w:tcPr>
          <w:p w14:paraId="098D3767" w14:textId="77777777" w:rsidR="00B02AE0" w:rsidRPr="00941BC4" w:rsidRDefault="00B02AE0" w:rsidP="00DC54F7">
            <w:pPr>
              <w:spacing w:after="0" w:line="240" w:lineRule="auto"/>
              <w:jc w:val="both"/>
              <w:rPr>
                <w:rFonts w:eastAsia="Times New Roman" w:cstheme="minorHAnsi"/>
                <w:b/>
                <w:bCs/>
                <w:color w:val="FFFFFF"/>
                <w:lang w:eastAsia="en-GB"/>
              </w:rPr>
            </w:pPr>
            <w:r w:rsidRPr="00941BC4">
              <w:rPr>
                <w:rFonts w:eastAsia="Times New Roman" w:cstheme="minorHAnsi"/>
                <w:b/>
                <w:bCs/>
                <w:color w:val="FFFFFF"/>
                <w:lang w:eastAsia="en-GB"/>
              </w:rPr>
              <w:t> </w:t>
            </w:r>
          </w:p>
        </w:tc>
      </w:tr>
      <w:tr w:rsidR="00B02AE0" w:rsidRPr="00B02AE0" w14:paraId="47C97CF9" w14:textId="77777777" w:rsidTr="003F5B17">
        <w:trPr>
          <w:trHeight w:val="1391"/>
        </w:trPr>
        <w:tc>
          <w:tcPr>
            <w:tcW w:w="2122" w:type="dxa"/>
            <w:shd w:val="clear" w:color="auto" w:fill="8497B0"/>
            <w:vAlign w:val="center"/>
            <w:hideMark/>
          </w:tcPr>
          <w:p w14:paraId="6AC9790D" w14:textId="77777777" w:rsidR="00B02AE0" w:rsidRPr="00941BC4" w:rsidRDefault="00B02AE0" w:rsidP="00DC54F7">
            <w:pPr>
              <w:spacing w:after="0" w:line="240" w:lineRule="auto"/>
              <w:jc w:val="both"/>
              <w:rPr>
                <w:rFonts w:eastAsia="Times New Roman" w:cstheme="minorHAnsi"/>
                <w:b/>
                <w:bCs/>
                <w:color w:val="FFFFFF"/>
                <w:lang w:eastAsia="en-GB"/>
              </w:rPr>
            </w:pPr>
            <w:r w:rsidRPr="00941BC4">
              <w:rPr>
                <w:rFonts w:eastAsia="Times New Roman" w:cstheme="minorHAnsi"/>
                <w:b/>
                <w:bCs/>
                <w:color w:val="FFFFFF"/>
                <w:lang w:eastAsia="en-GB"/>
              </w:rPr>
              <w:t>GP Cluster Name</w:t>
            </w:r>
          </w:p>
        </w:tc>
        <w:tc>
          <w:tcPr>
            <w:tcW w:w="1269" w:type="dxa"/>
            <w:shd w:val="clear" w:color="auto" w:fill="8497B0"/>
            <w:vAlign w:val="center"/>
            <w:hideMark/>
          </w:tcPr>
          <w:p w14:paraId="4E35E5D4" w14:textId="77777777" w:rsidR="00B02AE0" w:rsidRPr="00941BC4" w:rsidRDefault="00B02AE0" w:rsidP="00DC54F7">
            <w:pPr>
              <w:spacing w:after="0" w:line="240" w:lineRule="auto"/>
              <w:jc w:val="both"/>
              <w:rPr>
                <w:rFonts w:eastAsia="Times New Roman" w:cstheme="minorHAnsi"/>
                <w:b/>
                <w:bCs/>
                <w:color w:val="FFFFFF"/>
                <w:lang w:eastAsia="en-GB"/>
              </w:rPr>
            </w:pPr>
            <w:r w:rsidRPr="00941BC4">
              <w:rPr>
                <w:rFonts w:eastAsia="Times New Roman" w:cstheme="minorHAnsi"/>
                <w:b/>
                <w:bCs/>
                <w:color w:val="FFFFFF"/>
                <w:lang w:eastAsia="en-GB"/>
              </w:rPr>
              <w:t>GP cluster population aged 16+</w:t>
            </w:r>
          </w:p>
        </w:tc>
        <w:tc>
          <w:tcPr>
            <w:tcW w:w="1270" w:type="dxa"/>
            <w:gridSpan w:val="2"/>
            <w:shd w:val="clear" w:color="auto" w:fill="8497B0"/>
            <w:vAlign w:val="center"/>
            <w:hideMark/>
          </w:tcPr>
          <w:p w14:paraId="04BEC478" w14:textId="77777777" w:rsidR="00B02AE0" w:rsidRPr="00941BC4" w:rsidRDefault="00B02AE0" w:rsidP="00DC54F7">
            <w:pPr>
              <w:spacing w:after="0" w:line="240" w:lineRule="auto"/>
              <w:jc w:val="both"/>
              <w:rPr>
                <w:rFonts w:eastAsia="Times New Roman" w:cstheme="minorHAnsi"/>
                <w:b/>
                <w:bCs/>
                <w:color w:val="FFFFFF"/>
                <w:lang w:eastAsia="en-GB"/>
              </w:rPr>
            </w:pPr>
            <w:r w:rsidRPr="00941BC4">
              <w:rPr>
                <w:rFonts w:eastAsia="Times New Roman" w:cstheme="minorHAnsi"/>
                <w:b/>
                <w:bCs/>
                <w:color w:val="FFFFFF"/>
                <w:lang w:eastAsia="en-GB"/>
              </w:rPr>
              <w:t>Smoking</w:t>
            </w:r>
          </w:p>
        </w:tc>
        <w:tc>
          <w:tcPr>
            <w:tcW w:w="1270" w:type="dxa"/>
            <w:gridSpan w:val="2"/>
            <w:shd w:val="clear" w:color="auto" w:fill="8497B0"/>
            <w:vAlign w:val="center"/>
            <w:hideMark/>
          </w:tcPr>
          <w:p w14:paraId="2583E9E4" w14:textId="77777777" w:rsidR="00B02AE0" w:rsidRPr="00941BC4" w:rsidRDefault="00B02AE0" w:rsidP="00DC54F7">
            <w:pPr>
              <w:spacing w:after="0" w:line="240" w:lineRule="auto"/>
              <w:jc w:val="both"/>
              <w:rPr>
                <w:rFonts w:eastAsia="Times New Roman" w:cstheme="minorHAnsi"/>
                <w:b/>
                <w:bCs/>
                <w:color w:val="FFFFFF"/>
                <w:lang w:eastAsia="en-GB"/>
              </w:rPr>
            </w:pPr>
            <w:r w:rsidRPr="00941BC4">
              <w:rPr>
                <w:rFonts w:eastAsia="Times New Roman" w:cstheme="minorHAnsi"/>
                <w:b/>
                <w:bCs/>
                <w:color w:val="FFFFFF"/>
                <w:lang w:eastAsia="en-GB"/>
              </w:rPr>
              <w:t>Drinking the above guidelines</w:t>
            </w:r>
          </w:p>
        </w:tc>
        <w:tc>
          <w:tcPr>
            <w:tcW w:w="1269" w:type="dxa"/>
            <w:gridSpan w:val="2"/>
            <w:shd w:val="clear" w:color="auto" w:fill="8497B0"/>
            <w:vAlign w:val="center"/>
            <w:hideMark/>
          </w:tcPr>
          <w:p w14:paraId="0A82964A" w14:textId="77777777" w:rsidR="00B02AE0" w:rsidRDefault="00B02AE0" w:rsidP="00DC54F7">
            <w:pPr>
              <w:spacing w:after="0" w:line="240" w:lineRule="auto"/>
              <w:jc w:val="both"/>
              <w:rPr>
                <w:rFonts w:eastAsia="Times New Roman" w:cstheme="minorHAnsi"/>
                <w:b/>
                <w:bCs/>
                <w:color w:val="FFFFFF"/>
                <w:lang w:eastAsia="en-GB"/>
              </w:rPr>
            </w:pPr>
            <w:r w:rsidRPr="00941BC4">
              <w:rPr>
                <w:rFonts w:eastAsia="Times New Roman" w:cstheme="minorHAnsi"/>
                <w:b/>
                <w:bCs/>
                <w:color w:val="FFFFFF"/>
                <w:lang w:eastAsia="en-GB"/>
              </w:rPr>
              <w:t>Working age adults of healthy weight</w:t>
            </w:r>
          </w:p>
          <w:p w14:paraId="50B08F71" w14:textId="3DC6B10A" w:rsidR="00676A15" w:rsidRPr="00941BC4" w:rsidRDefault="00676A15" w:rsidP="00DC54F7">
            <w:pPr>
              <w:spacing w:after="0" w:line="240" w:lineRule="auto"/>
              <w:jc w:val="both"/>
              <w:rPr>
                <w:rFonts w:eastAsia="Times New Roman" w:cstheme="minorHAnsi"/>
                <w:b/>
                <w:bCs/>
                <w:color w:val="FFFFFF"/>
                <w:lang w:eastAsia="en-GB"/>
              </w:rPr>
            </w:pPr>
          </w:p>
        </w:tc>
        <w:tc>
          <w:tcPr>
            <w:tcW w:w="1270" w:type="dxa"/>
            <w:gridSpan w:val="2"/>
            <w:shd w:val="clear" w:color="auto" w:fill="8497B0"/>
            <w:vAlign w:val="center"/>
            <w:hideMark/>
          </w:tcPr>
          <w:p w14:paraId="207BC40F" w14:textId="77777777" w:rsidR="00B02AE0" w:rsidRPr="00941BC4" w:rsidRDefault="00B02AE0" w:rsidP="00DC54F7">
            <w:pPr>
              <w:spacing w:after="0" w:line="240" w:lineRule="auto"/>
              <w:jc w:val="both"/>
              <w:rPr>
                <w:rFonts w:eastAsia="Times New Roman" w:cstheme="minorHAnsi"/>
                <w:b/>
                <w:bCs/>
                <w:color w:val="FFFFFF"/>
                <w:lang w:eastAsia="en-GB"/>
              </w:rPr>
            </w:pPr>
            <w:r w:rsidRPr="00941BC4">
              <w:rPr>
                <w:rFonts w:eastAsia="Times New Roman" w:cstheme="minorHAnsi"/>
                <w:b/>
                <w:bCs/>
                <w:color w:val="FFFFFF"/>
                <w:lang w:eastAsia="en-GB"/>
              </w:rPr>
              <w:t>Meeting physical activity guidelines</w:t>
            </w:r>
          </w:p>
        </w:tc>
        <w:tc>
          <w:tcPr>
            <w:tcW w:w="1270" w:type="dxa"/>
            <w:shd w:val="clear" w:color="auto" w:fill="8497B0"/>
            <w:vAlign w:val="center"/>
            <w:hideMark/>
          </w:tcPr>
          <w:p w14:paraId="471D3D67" w14:textId="77777777" w:rsidR="00B02AE0" w:rsidRPr="00941BC4" w:rsidRDefault="00B02AE0" w:rsidP="00DC54F7">
            <w:pPr>
              <w:spacing w:after="0" w:line="240" w:lineRule="auto"/>
              <w:jc w:val="both"/>
              <w:rPr>
                <w:rFonts w:eastAsia="Times New Roman" w:cstheme="minorHAnsi"/>
                <w:b/>
                <w:bCs/>
                <w:color w:val="FFFFFF"/>
                <w:lang w:eastAsia="en-GB"/>
              </w:rPr>
            </w:pPr>
            <w:r w:rsidRPr="00941BC4">
              <w:rPr>
                <w:rFonts w:eastAsia="Times New Roman" w:cstheme="minorHAnsi"/>
                <w:b/>
                <w:bCs/>
                <w:color w:val="FFFFFF"/>
                <w:lang w:eastAsia="en-GB"/>
              </w:rPr>
              <w:t>Consuming 5 a day</w:t>
            </w:r>
          </w:p>
        </w:tc>
      </w:tr>
      <w:tr w:rsidR="00B02AE0" w:rsidRPr="00B02AE0" w14:paraId="5EF9AD05" w14:textId="77777777" w:rsidTr="003F5B17">
        <w:trPr>
          <w:trHeight w:val="318"/>
        </w:trPr>
        <w:tc>
          <w:tcPr>
            <w:tcW w:w="2122" w:type="dxa"/>
            <w:shd w:val="clear" w:color="000000" w:fill="F2F2F2"/>
            <w:noWrap/>
            <w:vAlign w:val="center"/>
            <w:hideMark/>
          </w:tcPr>
          <w:p w14:paraId="17CC2D28"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Cardiff South East</w:t>
            </w:r>
          </w:p>
        </w:tc>
        <w:tc>
          <w:tcPr>
            <w:tcW w:w="1269" w:type="dxa"/>
            <w:shd w:val="clear" w:color="000000" w:fill="F2F2F2"/>
            <w:noWrap/>
            <w:vAlign w:val="center"/>
            <w:hideMark/>
          </w:tcPr>
          <w:p w14:paraId="0EED2310"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54,093</w:t>
            </w:r>
          </w:p>
        </w:tc>
        <w:tc>
          <w:tcPr>
            <w:tcW w:w="1270" w:type="dxa"/>
            <w:gridSpan w:val="2"/>
            <w:shd w:val="clear" w:color="000000" w:fill="F2F2F2"/>
            <w:noWrap/>
            <w:vAlign w:val="center"/>
            <w:hideMark/>
          </w:tcPr>
          <w:p w14:paraId="3A66D3E3"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23.5</w:t>
            </w:r>
          </w:p>
        </w:tc>
        <w:tc>
          <w:tcPr>
            <w:tcW w:w="1270" w:type="dxa"/>
            <w:gridSpan w:val="2"/>
            <w:shd w:val="clear" w:color="000000" w:fill="F2F2F2"/>
            <w:noWrap/>
            <w:vAlign w:val="center"/>
            <w:hideMark/>
          </w:tcPr>
          <w:p w14:paraId="15DB725A"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17.5</w:t>
            </w:r>
          </w:p>
        </w:tc>
        <w:tc>
          <w:tcPr>
            <w:tcW w:w="1269" w:type="dxa"/>
            <w:gridSpan w:val="2"/>
            <w:shd w:val="clear" w:color="000000" w:fill="F2F2F2"/>
            <w:noWrap/>
            <w:vAlign w:val="center"/>
            <w:hideMark/>
          </w:tcPr>
          <w:p w14:paraId="1EBE93BB"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41.9</w:t>
            </w:r>
          </w:p>
        </w:tc>
        <w:tc>
          <w:tcPr>
            <w:tcW w:w="1270" w:type="dxa"/>
            <w:gridSpan w:val="2"/>
            <w:shd w:val="clear" w:color="000000" w:fill="F2F2F2"/>
            <w:noWrap/>
            <w:vAlign w:val="center"/>
            <w:hideMark/>
          </w:tcPr>
          <w:p w14:paraId="103626C8"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55.3</w:t>
            </w:r>
          </w:p>
        </w:tc>
        <w:tc>
          <w:tcPr>
            <w:tcW w:w="1270" w:type="dxa"/>
            <w:shd w:val="clear" w:color="000000" w:fill="F2F2F2"/>
            <w:noWrap/>
            <w:vAlign w:val="center"/>
            <w:hideMark/>
          </w:tcPr>
          <w:p w14:paraId="087A82D4"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21.9</w:t>
            </w:r>
          </w:p>
        </w:tc>
      </w:tr>
      <w:tr w:rsidR="00B02AE0" w:rsidRPr="00B02AE0" w14:paraId="3B9FA5CB" w14:textId="77777777" w:rsidTr="003F5B17">
        <w:trPr>
          <w:trHeight w:val="318"/>
        </w:trPr>
        <w:tc>
          <w:tcPr>
            <w:tcW w:w="2122" w:type="dxa"/>
            <w:shd w:val="clear" w:color="000000" w:fill="FFFFFF"/>
            <w:noWrap/>
            <w:vAlign w:val="center"/>
            <w:hideMark/>
          </w:tcPr>
          <w:p w14:paraId="2B6F86E3"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Cardiff and Vale UHB</w:t>
            </w:r>
          </w:p>
        </w:tc>
        <w:tc>
          <w:tcPr>
            <w:tcW w:w="1269" w:type="dxa"/>
            <w:shd w:val="clear" w:color="000000" w:fill="FFFFFF"/>
            <w:noWrap/>
            <w:vAlign w:val="center"/>
            <w:hideMark/>
          </w:tcPr>
          <w:p w14:paraId="709685C8"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420,119</w:t>
            </w:r>
          </w:p>
        </w:tc>
        <w:tc>
          <w:tcPr>
            <w:tcW w:w="1270" w:type="dxa"/>
            <w:gridSpan w:val="2"/>
            <w:shd w:val="clear" w:color="000000" w:fill="FFFFFF"/>
            <w:noWrap/>
            <w:vAlign w:val="center"/>
            <w:hideMark/>
          </w:tcPr>
          <w:p w14:paraId="59974942"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19.3</w:t>
            </w:r>
          </w:p>
        </w:tc>
        <w:tc>
          <w:tcPr>
            <w:tcW w:w="1270" w:type="dxa"/>
            <w:gridSpan w:val="2"/>
            <w:shd w:val="clear" w:color="000000" w:fill="FFFFFF"/>
            <w:noWrap/>
            <w:vAlign w:val="center"/>
            <w:hideMark/>
          </w:tcPr>
          <w:p w14:paraId="1BE24FB5"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18.9</w:t>
            </w:r>
          </w:p>
        </w:tc>
        <w:tc>
          <w:tcPr>
            <w:tcW w:w="1269" w:type="dxa"/>
            <w:gridSpan w:val="2"/>
            <w:shd w:val="clear" w:color="000000" w:fill="FFFFFF"/>
            <w:noWrap/>
            <w:vAlign w:val="center"/>
            <w:hideMark/>
          </w:tcPr>
          <w:p w14:paraId="5418875A"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40.8</w:t>
            </w:r>
          </w:p>
        </w:tc>
        <w:tc>
          <w:tcPr>
            <w:tcW w:w="1270" w:type="dxa"/>
            <w:gridSpan w:val="2"/>
            <w:shd w:val="clear" w:color="000000" w:fill="FFFFFF"/>
            <w:noWrap/>
            <w:vAlign w:val="center"/>
            <w:hideMark/>
          </w:tcPr>
          <w:p w14:paraId="4C0D752A"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55.1</w:t>
            </w:r>
          </w:p>
        </w:tc>
        <w:tc>
          <w:tcPr>
            <w:tcW w:w="1270" w:type="dxa"/>
            <w:shd w:val="clear" w:color="000000" w:fill="FFFFFF"/>
            <w:noWrap/>
            <w:vAlign w:val="center"/>
            <w:hideMark/>
          </w:tcPr>
          <w:p w14:paraId="3B54B48F"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24.2</w:t>
            </w:r>
          </w:p>
        </w:tc>
      </w:tr>
      <w:tr w:rsidR="00B02AE0" w:rsidRPr="00B02AE0" w14:paraId="0100B19F" w14:textId="77777777" w:rsidTr="003F5B17">
        <w:trPr>
          <w:trHeight w:val="318"/>
        </w:trPr>
        <w:tc>
          <w:tcPr>
            <w:tcW w:w="2122" w:type="dxa"/>
            <w:shd w:val="clear" w:color="000000" w:fill="F2F2F2"/>
            <w:noWrap/>
            <w:vAlign w:val="center"/>
            <w:hideMark/>
          </w:tcPr>
          <w:p w14:paraId="76A84066"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Wales</w:t>
            </w:r>
          </w:p>
        </w:tc>
        <w:tc>
          <w:tcPr>
            <w:tcW w:w="1269" w:type="dxa"/>
            <w:shd w:val="clear" w:color="000000" w:fill="F2F2F2"/>
            <w:noWrap/>
            <w:vAlign w:val="center"/>
            <w:hideMark/>
          </w:tcPr>
          <w:p w14:paraId="2FBB7939"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2,642,152</w:t>
            </w:r>
          </w:p>
        </w:tc>
        <w:tc>
          <w:tcPr>
            <w:tcW w:w="1270" w:type="dxa"/>
            <w:gridSpan w:val="2"/>
            <w:shd w:val="clear" w:color="000000" w:fill="F2F2F2"/>
            <w:noWrap/>
            <w:vAlign w:val="center"/>
            <w:hideMark/>
          </w:tcPr>
          <w:p w14:paraId="46265666"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19.2</w:t>
            </w:r>
          </w:p>
        </w:tc>
        <w:tc>
          <w:tcPr>
            <w:tcW w:w="1270" w:type="dxa"/>
            <w:gridSpan w:val="2"/>
            <w:shd w:val="clear" w:color="000000" w:fill="F2F2F2"/>
            <w:noWrap/>
            <w:vAlign w:val="center"/>
            <w:hideMark/>
          </w:tcPr>
          <w:p w14:paraId="47CD66F6"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18.9</w:t>
            </w:r>
          </w:p>
        </w:tc>
        <w:tc>
          <w:tcPr>
            <w:tcW w:w="1269" w:type="dxa"/>
            <w:gridSpan w:val="2"/>
            <w:shd w:val="clear" w:color="000000" w:fill="F2F2F2"/>
            <w:noWrap/>
            <w:vAlign w:val="center"/>
            <w:hideMark/>
          </w:tcPr>
          <w:p w14:paraId="2DF3D864"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39.1</w:t>
            </w:r>
          </w:p>
        </w:tc>
        <w:tc>
          <w:tcPr>
            <w:tcW w:w="1270" w:type="dxa"/>
            <w:gridSpan w:val="2"/>
            <w:shd w:val="clear" w:color="000000" w:fill="F2F2F2"/>
            <w:noWrap/>
            <w:vAlign w:val="center"/>
            <w:hideMark/>
          </w:tcPr>
          <w:p w14:paraId="7EC132D1"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52.8</w:t>
            </w:r>
          </w:p>
        </w:tc>
        <w:tc>
          <w:tcPr>
            <w:tcW w:w="1270" w:type="dxa"/>
            <w:shd w:val="clear" w:color="000000" w:fill="F2F2F2"/>
            <w:noWrap/>
            <w:vAlign w:val="center"/>
            <w:hideMark/>
          </w:tcPr>
          <w:p w14:paraId="54C7687F" w14:textId="77777777" w:rsidR="00B02AE0" w:rsidRPr="00941BC4" w:rsidRDefault="00B02AE0" w:rsidP="00DC54F7">
            <w:pPr>
              <w:spacing w:after="0" w:line="240" w:lineRule="auto"/>
              <w:jc w:val="both"/>
              <w:rPr>
                <w:rFonts w:eastAsia="Times New Roman" w:cstheme="minorHAnsi"/>
                <w:color w:val="000000"/>
                <w:lang w:eastAsia="en-GB"/>
              </w:rPr>
            </w:pPr>
            <w:r w:rsidRPr="00941BC4">
              <w:rPr>
                <w:rFonts w:eastAsia="Times New Roman" w:cstheme="minorHAnsi"/>
                <w:color w:val="000000"/>
                <w:lang w:eastAsia="en-GB"/>
              </w:rPr>
              <w:t>23.4</w:t>
            </w:r>
          </w:p>
        </w:tc>
      </w:tr>
    </w:tbl>
    <w:p w14:paraId="1333BC6D" w14:textId="48DB2C72" w:rsidR="00CD7A5C" w:rsidRPr="006A238E" w:rsidRDefault="00FD6000" w:rsidP="00DC54F7">
      <w:pPr>
        <w:spacing w:after="0" w:line="240" w:lineRule="auto"/>
        <w:jc w:val="both"/>
        <w:rPr>
          <w:rFonts w:ascii="Arial" w:hAnsi="Arial" w:cs="Arial"/>
          <w:sz w:val="20"/>
          <w:szCs w:val="20"/>
        </w:rPr>
      </w:pPr>
      <w:r w:rsidRPr="00DD3817">
        <w:rPr>
          <w:rFonts w:ascii="Arial" w:hAnsi="Arial" w:cs="Arial"/>
          <w:sz w:val="20"/>
          <w:szCs w:val="20"/>
        </w:rPr>
        <w:t>Source: Public Health Wales Observatory, using NSW (WG), WDS (NWIS) and WIMD 2014 (WG). Please note, the calculation of the healthy weight indicator only accounts for working age adults (aged 16-64)</w:t>
      </w:r>
    </w:p>
    <w:p w14:paraId="4AECEB0B" w14:textId="5A14CDF8" w:rsidR="006A238E" w:rsidRDefault="006A238E" w:rsidP="00DC54F7">
      <w:pPr>
        <w:spacing w:after="0" w:line="240" w:lineRule="auto"/>
        <w:jc w:val="both"/>
        <w:rPr>
          <w:rFonts w:ascii="Arial" w:hAnsi="Arial" w:cs="Arial"/>
          <w:b/>
          <w:sz w:val="26"/>
          <w:szCs w:val="26"/>
        </w:rPr>
      </w:pPr>
    </w:p>
    <w:p w14:paraId="6B2E9103" w14:textId="77777777" w:rsidR="006A238E" w:rsidRDefault="006A238E" w:rsidP="00DC54F7">
      <w:pPr>
        <w:spacing w:after="0" w:line="240" w:lineRule="auto"/>
        <w:jc w:val="both"/>
        <w:rPr>
          <w:rFonts w:ascii="Arial" w:hAnsi="Arial" w:cs="Arial"/>
          <w:b/>
          <w:sz w:val="26"/>
          <w:szCs w:val="26"/>
        </w:rPr>
      </w:pPr>
    </w:p>
    <w:p w14:paraId="467330D7" w14:textId="437DC49F" w:rsidR="0063382E" w:rsidRPr="00A10850" w:rsidRDefault="004E0E6D" w:rsidP="00DC54F7">
      <w:pPr>
        <w:spacing w:after="0" w:line="240" w:lineRule="auto"/>
        <w:jc w:val="both"/>
        <w:rPr>
          <w:rFonts w:ascii="Arial" w:hAnsi="Arial" w:cs="Arial"/>
          <w:b/>
          <w:sz w:val="26"/>
          <w:szCs w:val="26"/>
          <w:lang w:val="en-US"/>
        </w:rPr>
      </w:pPr>
      <w:r>
        <w:rPr>
          <w:rFonts w:ascii="Arial" w:hAnsi="Arial" w:cs="Arial"/>
          <w:b/>
          <w:sz w:val="26"/>
          <w:szCs w:val="26"/>
        </w:rPr>
        <w:t>9</w:t>
      </w:r>
      <w:r w:rsidR="0063382E" w:rsidRPr="00A10850">
        <w:rPr>
          <w:rFonts w:ascii="Arial" w:hAnsi="Arial" w:cs="Arial"/>
          <w:b/>
          <w:sz w:val="26"/>
          <w:szCs w:val="26"/>
        </w:rPr>
        <w:t>.2 Current</w:t>
      </w:r>
      <w:r w:rsidR="0063382E" w:rsidRPr="00A10850">
        <w:rPr>
          <w:rFonts w:ascii="Arial" w:hAnsi="Arial" w:cs="Arial"/>
          <w:b/>
          <w:sz w:val="26"/>
          <w:szCs w:val="26"/>
          <w:lang w:val="en-US"/>
        </w:rPr>
        <w:t xml:space="preserve"> provision of pharmaceutical services within </w:t>
      </w:r>
      <w:r w:rsidR="00FB3A46">
        <w:rPr>
          <w:rFonts w:ascii="Arial" w:hAnsi="Arial" w:cs="Arial"/>
          <w:b/>
          <w:sz w:val="26"/>
          <w:szCs w:val="26"/>
          <w:lang w:val="en-US"/>
        </w:rPr>
        <w:t>the cluster</w:t>
      </w:r>
    </w:p>
    <w:p w14:paraId="4C25707C" w14:textId="086B7CEB" w:rsidR="0063382E" w:rsidRDefault="0063382E" w:rsidP="00DC54F7">
      <w:pPr>
        <w:spacing w:after="0" w:line="240" w:lineRule="auto"/>
        <w:jc w:val="both"/>
        <w:rPr>
          <w:rFonts w:ascii="Arial" w:hAnsi="Arial" w:cs="Arial"/>
          <w:highlight w:val="cyan"/>
          <w:lang w:val="en-US"/>
        </w:rPr>
      </w:pPr>
    </w:p>
    <w:p w14:paraId="45D4220E" w14:textId="7E01D252" w:rsidR="00A525FB" w:rsidRDefault="007B5D6F" w:rsidP="00DC54F7">
      <w:pPr>
        <w:spacing w:after="0" w:line="240" w:lineRule="auto"/>
        <w:jc w:val="both"/>
        <w:rPr>
          <w:rFonts w:ascii="Arial" w:hAnsi="Arial" w:cs="Arial"/>
          <w:bCs/>
          <w:sz w:val="24"/>
          <w:szCs w:val="24"/>
          <w:lang w:val="en-US"/>
        </w:rPr>
      </w:pPr>
      <w:r w:rsidRPr="001A0DF2">
        <w:rPr>
          <w:rFonts w:ascii="Arial" w:hAnsi="Arial" w:cs="Arial"/>
          <w:bCs/>
          <w:sz w:val="24"/>
          <w:szCs w:val="24"/>
          <w:lang w:val="en-US"/>
        </w:rPr>
        <w:t>There are 1</w:t>
      </w:r>
      <w:r w:rsidR="00B36CAD" w:rsidRPr="001A0DF2">
        <w:rPr>
          <w:rFonts w:ascii="Arial" w:hAnsi="Arial" w:cs="Arial"/>
          <w:bCs/>
          <w:sz w:val="24"/>
          <w:szCs w:val="24"/>
          <w:lang w:val="en-US"/>
        </w:rPr>
        <w:t>6</w:t>
      </w:r>
      <w:r w:rsidRPr="001A0DF2">
        <w:rPr>
          <w:rFonts w:ascii="Arial" w:hAnsi="Arial" w:cs="Arial"/>
          <w:bCs/>
          <w:sz w:val="24"/>
          <w:szCs w:val="24"/>
          <w:lang w:val="en-US"/>
        </w:rPr>
        <w:t xml:space="preserve"> pharmacies in Cardiff </w:t>
      </w:r>
      <w:r w:rsidR="00FB3A46" w:rsidRPr="001A0DF2">
        <w:rPr>
          <w:rFonts w:ascii="Arial" w:hAnsi="Arial" w:cs="Arial"/>
          <w:bCs/>
          <w:sz w:val="24"/>
          <w:szCs w:val="24"/>
          <w:lang w:val="en-US"/>
        </w:rPr>
        <w:t xml:space="preserve">South </w:t>
      </w:r>
      <w:r w:rsidRPr="001A0DF2">
        <w:rPr>
          <w:rFonts w:ascii="Arial" w:hAnsi="Arial" w:cs="Arial"/>
          <w:bCs/>
          <w:sz w:val="24"/>
          <w:szCs w:val="24"/>
          <w:lang w:val="en-US"/>
        </w:rPr>
        <w:t xml:space="preserve">East </w:t>
      </w:r>
      <w:r w:rsidR="00FB3A46" w:rsidRPr="001A0DF2">
        <w:rPr>
          <w:rFonts w:ascii="Arial" w:hAnsi="Arial" w:cs="Arial"/>
          <w:bCs/>
          <w:sz w:val="24"/>
          <w:szCs w:val="24"/>
          <w:lang w:val="en-US"/>
        </w:rPr>
        <w:t>cluster</w:t>
      </w:r>
      <w:r w:rsidRPr="001A0DF2">
        <w:rPr>
          <w:rFonts w:ascii="Arial" w:hAnsi="Arial" w:cs="Arial"/>
          <w:bCs/>
          <w:sz w:val="24"/>
          <w:szCs w:val="24"/>
          <w:lang w:val="en-US"/>
        </w:rPr>
        <w:t xml:space="preserve">. </w:t>
      </w:r>
      <w:r w:rsidR="00516FE0" w:rsidRPr="001A0DF2">
        <w:rPr>
          <w:rFonts w:ascii="Arial" w:hAnsi="Arial" w:cs="Arial"/>
          <w:bCs/>
          <w:sz w:val="24"/>
          <w:szCs w:val="24"/>
          <w:lang w:val="en-US"/>
        </w:rPr>
        <w:t>There</w:t>
      </w:r>
      <w:r w:rsidR="009E29A9" w:rsidRPr="001A0DF2">
        <w:rPr>
          <w:rFonts w:ascii="Arial" w:hAnsi="Arial" w:cs="Arial"/>
          <w:bCs/>
          <w:sz w:val="24"/>
          <w:szCs w:val="24"/>
          <w:lang w:val="en-US"/>
        </w:rPr>
        <w:t xml:space="preserve"> is also one appliance contractor.</w:t>
      </w:r>
    </w:p>
    <w:p w14:paraId="26EE7F03" w14:textId="268B6D3C" w:rsidR="006A238E" w:rsidRDefault="006A238E" w:rsidP="00DC54F7">
      <w:pPr>
        <w:spacing w:after="0" w:line="240" w:lineRule="auto"/>
        <w:jc w:val="both"/>
        <w:rPr>
          <w:rFonts w:ascii="Arial" w:hAnsi="Arial" w:cs="Arial"/>
          <w:bCs/>
          <w:sz w:val="24"/>
          <w:szCs w:val="24"/>
          <w:lang w:val="en-US"/>
        </w:rPr>
      </w:pPr>
    </w:p>
    <w:p w14:paraId="4DEA53CA" w14:textId="319D40AE" w:rsidR="006A238E" w:rsidRDefault="006A238E" w:rsidP="00DC54F7">
      <w:pPr>
        <w:spacing w:after="0" w:line="240" w:lineRule="auto"/>
        <w:jc w:val="both"/>
        <w:rPr>
          <w:rFonts w:ascii="Arial" w:hAnsi="Arial" w:cs="Arial"/>
          <w:bCs/>
          <w:sz w:val="24"/>
          <w:szCs w:val="24"/>
          <w:lang w:val="en-US"/>
        </w:rPr>
      </w:pPr>
    </w:p>
    <w:p w14:paraId="78C713F2" w14:textId="4CF38D70" w:rsidR="006A238E" w:rsidRDefault="006A238E">
      <w:pPr>
        <w:rPr>
          <w:rFonts w:ascii="Arial" w:hAnsi="Arial" w:cs="Arial"/>
          <w:bCs/>
          <w:sz w:val="24"/>
          <w:szCs w:val="24"/>
          <w:lang w:val="en-US"/>
        </w:rPr>
      </w:pPr>
      <w:r>
        <w:rPr>
          <w:rFonts w:ascii="Arial" w:hAnsi="Arial" w:cs="Arial"/>
          <w:bCs/>
          <w:sz w:val="24"/>
          <w:szCs w:val="24"/>
          <w:lang w:val="en-US"/>
        </w:rPr>
        <w:br w:type="page"/>
      </w:r>
    </w:p>
    <w:p w14:paraId="302CE40F" w14:textId="32E0DF75" w:rsidR="00C57CB8" w:rsidRPr="001A0DF2" w:rsidRDefault="00C57CB8" w:rsidP="00DC54F7">
      <w:pPr>
        <w:spacing w:after="0" w:line="240" w:lineRule="auto"/>
        <w:jc w:val="both"/>
        <w:rPr>
          <w:rFonts w:ascii="Arial" w:hAnsi="Arial" w:cs="Arial"/>
          <w:b/>
          <w:sz w:val="24"/>
          <w:szCs w:val="24"/>
          <w:lang w:val="en-US"/>
        </w:rPr>
      </w:pPr>
      <w:r w:rsidRPr="001A0DF2">
        <w:rPr>
          <w:rFonts w:ascii="Arial" w:hAnsi="Arial" w:cs="Arial"/>
          <w:b/>
          <w:sz w:val="24"/>
          <w:szCs w:val="24"/>
          <w:lang w:val="en-US"/>
        </w:rPr>
        <w:lastRenderedPageBreak/>
        <w:t>Table 9.7: Pharmacies in Cardiff South East cluster</w:t>
      </w:r>
    </w:p>
    <w:tbl>
      <w:tblPr>
        <w:tblW w:w="9670"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823"/>
        <w:gridCol w:w="2976"/>
        <w:gridCol w:w="1560"/>
        <w:gridCol w:w="1311"/>
      </w:tblGrid>
      <w:tr w:rsidR="000E0316" w:rsidRPr="000E0316" w14:paraId="64807F57" w14:textId="77777777" w:rsidTr="00390FF7">
        <w:trPr>
          <w:trHeight w:val="419"/>
        </w:trPr>
        <w:tc>
          <w:tcPr>
            <w:tcW w:w="3823" w:type="dxa"/>
            <w:shd w:val="clear" w:color="auto" w:fill="8497B0"/>
            <w:noWrap/>
            <w:vAlign w:val="bottom"/>
            <w:hideMark/>
          </w:tcPr>
          <w:p w14:paraId="426E128F" w14:textId="77777777" w:rsidR="000E0316" w:rsidRPr="00A525FB" w:rsidRDefault="000E0316" w:rsidP="00DC54F7">
            <w:pPr>
              <w:spacing w:after="0" w:line="240" w:lineRule="auto"/>
              <w:jc w:val="both"/>
              <w:rPr>
                <w:rFonts w:ascii="Arial" w:eastAsia="Times New Roman" w:hAnsi="Arial" w:cs="Arial"/>
                <w:b/>
                <w:bCs/>
                <w:color w:val="FFFFFF"/>
                <w:lang w:eastAsia="en-GB"/>
              </w:rPr>
            </w:pPr>
            <w:r w:rsidRPr="00A525FB">
              <w:rPr>
                <w:rFonts w:ascii="Arial" w:eastAsia="Times New Roman" w:hAnsi="Arial" w:cs="Arial"/>
                <w:b/>
                <w:bCs/>
                <w:color w:val="FFFFFF"/>
                <w:lang w:eastAsia="en-GB"/>
              </w:rPr>
              <w:t>Pharmacy</w:t>
            </w:r>
          </w:p>
        </w:tc>
        <w:tc>
          <w:tcPr>
            <w:tcW w:w="5847" w:type="dxa"/>
            <w:gridSpan w:val="3"/>
            <w:shd w:val="clear" w:color="auto" w:fill="8497B0"/>
            <w:noWrap/>
            <w:vAlign w:val="bottom"/>
            <w:hideMark/>
          </w:tcPr>
          <w:p w14:paraId="13CAC1FB" w14:textId="77777777" w:rsidR="000E0316" w:rsidRPr="00A525FB" w:rsidRDefault="000E0316" w:rsidP="00DC54F7">
            <w:pPr>
              <w:spacing w:after="0" w:line="240" w:lineRule="auto"/>
              <w:jc w:val="both"/>
              <w:rPr>
                <w:rFonts w:ascii="Arial" w:eastAsia="Times New Roman" w:hAnsi="Arial" w:cs="Arial"/>
                <w:b/>
                <w:bCs/>
                <w:color w:val="FFFFFF"/>
                <w:lang w:eastAsia="en-GB"/>
              </w:rPr>
            </w:pPr>
            <w:r w:rsidRPr="00A525FB">
              <w:rPr>
                <w:rFonts w:ascii="Arial" w:eastAsia="Times New Roman" w:hAnsi="Arial" w:cs="Arial"/>
                <w:b/>
                <w:bCs/>
                <w:color w:val="FFFFFF"/>
                <w:lang w:eastAsia="en-GB"/>
              </w:rPr>
              <w:t>Address</w:t>
            </w:r>
          </w:p>
        </w:tc>
      </w:tr>
      <w:tr w:rsidR="000E0316" w:rsidRPr="000E0316" w14:paraId="68ED4474" w14:textId="77777777" w:rsidTr="00390FF7">
        <w:trPr>
          <w:trHeight w:val="467"/>
        </w:trPr>
        <w:tc>
          <w:tcPr>
            <w:tcW w:w="3823" w:type="dxa"/>
            <w:shd w:val="clear" w:color="000000" w:fill="F2F2F2"/>
            <w:hideMark/>
          </w:tcPr>
          <w:p w14:paraId="30A21F8C"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 xml:space="preserve">Alkamoosi Ltd T/A Crwys Pharmacy </w:t>
            </w:r>
          </w:p>
        </w:tc>
        <w:tc>
          <w:tcPr>
            <w:tcW w:w="2976" w:type="dxa"/>
            <w:shd w:val="clear" w:color="000000" w:fill="F2F2F2"/>
            <w:hideMark/>
          </w:tcPr>
          <w:p w14:paraId="56A109C3"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128 Crwys Road</w:t>
            </w:r>
          </w:p>
        </w:tc>
        <w:tc>
          <w:tcPr>
            <w:tcW w:w="1560" w:type="dxa"/>
            <w:shd w:val="clear" w:color="000000" w:fill="F2F2F2"/>
            <w:hideMark/>
          </w:tcPr>
          <w:p w14:paraId="7B0057C0"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Cathays</w:t>
            </w:r>
          </w:p>
        </w:tc>
        <w:tc>
          <w:tcPr>
            <w:tcW w:w="1311" w:type="dxa"/>
            <w:shd w:val="clear" w:color="000000" w:fill="F2F2F2"/>
            <w:hideMark/>
          </w:tcPr>
          <w:p w14:paraId="57335FC1"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CF24 4NR</w:t>
            </w:r>
          </w:p>
        </w:tc>
      </w:tr>
      <w:tr w:rsidR="000E0316" w:rsidRPr="000E0316" w14:paraId="42C26A66" w14:textId="77777777" w:rsidTr="00390FF7">
        <w:trPr>
          <w:trHeight w:val="467"/>
        </w:trPr>
        <w:tc>
          <w:tcPr>
            <w:tcW w:w="3823" w:type="dxa"/>
            <w:shd w:val="clear" w:color="000000" w:fill="FFFFFF"/>
            <w:hideMark/>
          </w:tcPr>
          <w:p w14:paraId="71681212"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Boots UK Limited</w:t>
            </w:r>
          </w:p>
        </w:tc>
        <w:tc>
          <w:tcPr>
            <w:tcW w:w="2976" w:type="dxa"/>
            <w:shd w:val="clear" w:color="000000" w:fill="FFFFFF"/>
            <w:hideMark/>
          </w:tcPr>
          <w:p w14:paraId="408A2703"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77-79 Albany Road</w:t>
            </w:r>
          </w:p>
        </w:tc>
        <w:tc>
          <w:tcPr>
            <w:tcW w:w="1560" w:type="dxa"/>
            <w:shd w:val="clear" w:color="000000" w:fill="FFFFFF"/>
            <w:hideMark/>
          </w:tcPr>
          <w:p w14:paraId="0F077C47"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Roath</w:t>
            </w:r>
          </w:p>
        </w:tc>
        <w:tc>
          <w:tcPr>
            <w:tcW w:w="1311" w:type="dxa"/>
            <w:shd w:val="clear" w:color="000000" w:fill="FFFFFF"/>
            <w:hideMark/>
          </w:tcPr>
          <w:p w14:paraId="2D376FA2"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CF24 3LN</w:t>
            </w:r>
          </w:p>
        </w:tc>
      </w:tr>
      <w:tr w:rsidR="000E0316" w:rsidRPr="000E0316" w14:paraId="7A1CA377" w14:textId="77777777" w:rsidTr="00390FF7">
        <w:trPr>
          <w:trHeight w:val="467"/>
        </w:trPr>
        <w:tc>
          <w:tcPr>
            <w:tcW w:w="3823" w:type="dxa"/>
            <w:shd w:val="clear" w:color="000000" w:fill="F2F2F2"/>
            <w:hideMark/>
          </w:tcPr>
          <w:p w14:paraId="3778AF03"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Clifton Pharmacy Ltd T/A City Pharmacy</w:t>
            </w:r>
          </w:p>
        </w:tc>
        <w:tc>
          <w:tcPr>
            <w:tcW w:w="2976" w:type="dxa"/>
            <w:shd w:val="clear" w:color="000000" w:fill="F2F2F2"/>
            <w:hideMark/>
          </w:tcPr>
          <w:p w14:paraId="2BDEC568"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Cardiff Royal Infirmary, Newport Road</w:t>
            </w:r>
          </w:p>
        </w:tc>
        <w:tc>
          <w:tcPr>
            <w:tcW w:w="1560" w:type="dxa"/>
            <w:shd w:val="clear" w:color="000000" w:fill="F2F2F2"/>
            <w:noWrap/>
            <w:hideMark/>
          </w:tcPr>
          <w:p w14:paraId="1C47ECEB"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Roath</w:t>
            </w:r>
          </w:p>
        </w:tc>
        <w:tc>
          <w:tcPr>
            <w:tcW w:w="1311" w:type="dxa"/>
            <w:shd w:val="clear" w:color="000000" w:fill="F2F2F2"/>
            <w:hideMark/>
          </w:tcPr>
          <w:p w14:paraId="0E58A773"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CF24 0SZ</w:t>
            </w:r>
          </w:p>
        </w:tc>
      </w:tr>
      <w:tr w:rsidR="000E0316" w:rsidRPr="000E0316" w14:paraId="10BAF4E1" w14:textId="77777777" w:rsidTr="00390FF7">
        <w:trPr>
          <w:trHeight w:val="467"/>
        </w:trPr>
        <w:tc>
          <w:tcPr>
            <w:tcW w:w="3823" w:type="dxa"/>
            <w:shd w:val="clear" w:color="000000" w:fill="FFFFFF"/>
            <w:hideMark/>
          </w:tcPr>
          <w:p w14:paraId="37B81161" w14:textId="77777777" w:rsidR="000E0316" w:rsidRPr="00676A15" w:rsidRDefault="000E0316" w:rsidP="00DC54F7">
            <w:pPr>
              <w:spacing w:after="0" w:line="240" w:lineRule="auto"/>
              <w:jc w:val="both"/>
              <w:rPr>
                <w:rFonts w:ascii="Arial" w:eastAsia="Times New Roman" w:hAnsi="Arial" w:cs="Arial"/>
                <w:lang w:eastAsia="en-GB"/>
              </w:rPr>
            </w:pPr>
            <w:r w:rsidRPr="00676A15">
              <w:rPr>
                <w:rFonts w:ascii="Arial" w:eastAsia="Times New Roman" w:hAnsi="Arial" w:cs="Arial"/>
                <w:lang w:eastAsia="en-GB"/>
              </w:rPr>
              <w:t>Clifton Pharmacy Ltd</w:t>
            </w:r>
          </w:p>
        </w:tc>
        <w:tc>
          <w:tcPr>
            <w:tcW w:w="2976" w:type="dxa"/>
            <w:shd w:val="clear" w:color="000000" w:fill="FFFFFF"/>
            <w:hideMark/>
          </w:tcPr>
          <w:p w14:paraId="2B7F8789" w14:textId="77777777" w:rsidR="000E0316" w:rsidRPr="00676A15" w:rsidRDefault="000E0316" w:rsidP="00DC54F7">
            <w:pPr>
              <w:spacing w:after="0" w:line="240" w:lineRule="auto"/>
              <w:jc w:val="both"/>
              <w:rPr>
                <w:rFonts w:ascii="Arial" w:eastAsia="Times New Roman" w:hAnsi="Arial" w:cs="Arial"/>
                <w:lang w:eastAsia="en-GB"/>
              </w:rPr>
            </w:pPr>
            <w:r w:rsidRPr="00676A15">
              <w:rPr>
                <w:rFonts w:ascii="Arial" w:eastAsia="Times New Roman" w:hAnsi="Arial" w:cs="Arial"/>
                <w:lang w:eastAsia="en-GB"/>
              </w:rPr>
              <w:t>7-8 Clifton Street</w:t>
            </w:r>
          </w:p>
        </w:tc>
        <w:tc>
          <w:tcPr>
            <w:tcW w:w="1560" w:type="dxa"/>
            <w:shd w:val="clear" w:color="000000" w:fill="FFFFFF"/>
            <w:hideMark/>
          </w:tcPr>
          <w:p w14:paraId="567F6FAE" w14:textId="77777777" w:rsidR="000E0316" w:rsidRPr="00676A15" w:rsidRDefault="000E0316" w:rsidP="00DC54F7">
            <w:pPr>
              <w:spacing w:after="0" w:line="240" w:lineRule="auto"/>
              <w:jc w:val="both"/>
              <w:rPr>
                <w:rFonts w:ascii="Arial" w:eastAsia="Times New Roman" w:hAnsi="Arial" w:cs="Arial"/>
                <w:lang w:eastAsia="en-GB"/>
              </w:rPr>
            </w:pPr>
            <w:r w:rsidRPr="00676A15">
              <w:rPr>
                <w:rFonts w:ascii="Arial" w:eastAsia="Times New Roman" w:hAnsi="Arial" w:cs="Arial"/>
                <w:lang w:eastAsia="en-GB"/>
              </w:rPr>
              <w:t>Roath</w:t>
            </w:r>
          </w:p>
        </w:tc>
        <w:tc>
          <w:tcPr>
            <w:tcW w:w="1311" w:type="dxa"/>
            <w:shd w:val="clear" w:color="000000" w:fill="FFFFFF"/>
            <w:hideMark/>
          </w:tcPr>
          <w:p w14:paraId="71EC490A" w14:textId="0CF2284B" w:rsidR="000E0316" w:rsidRPr="00676A15" w:rsidRDefault="000E0316" w:rsidP="00DC54F7">
            <w:pPr>
              <w:spacing w:after="0" w:line="240" w:lineRule="auto"/>
              <w:jc w:val="both"/>
              <w:rPr>
                <w:rFonts w:ascii="Arial" w:eastAsia="Times New Roman" w:hAnsi="Arial" w:cs="Arial"/>
                <w:lang w:eastAsia="en-GB"/>
              </w:rPr>
            </w:pPr>
            <w:r w:rsidRPr="00676A15">
              <w:rPr>
                <w:rFonts w:ascii="Arial" w:eastAsia="Times New Roman" w:hAnsi="Arial" w:cs="Arial"/>
                <w:lang w:eastAsia="en-GB"/>
              </w:rPr>
              <w:t>CF24</w:t>
            </w:r>
            <w:r w:rsidR="00676A15" w:rsidRPr="00676A15">
              <w:rPr>
                <w:rFonts w:ascii="Arial" w:eastAsia="Times New Roman" w:hAnsi="Arial" w:cs="Arial"/>
                <w:lang w:eastAsia="en-GB"/>
              </w:rPr>
              <w:t xml:space="preserve"> </w:t>
            </w:r>
            <w:r w:rsidRPr="00676A15">
              <w:rPr>
                <w:rFonts w:ascii="Arial" w:eastAsia="Times New Roman" w:hAnsi="Arial" w:cs="Arial"/>
                <w:lang w:eastAsia="en-GB"/>
              </w:rPr>
              <w:t>1PW</w:t>
            </w:r>
          </w:p>
        </w:tc>
      </w:tr>
      <w:tr w:rsidR="000E0316" w:rsidRPr="000E0316" w14:paraId="7E396E91" w14:textId="77777777" w:rsidTr="00390FF7">
        <w:trPr>
          <w:trHeight w:val="467"/>
        </w:trPr>
        <w:tc>
          <w:tcPr>
            <w:tcW w:w="3823" w:type="dxa"/>
            <w:shd w:val="clear" w:color="000000" w:fill="F2F2F2"/>
            <w:hideMark/>
          </w:tcPr>
          <w:p w14:paraId="6F51131C"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WJ Powell Limited T/A WJ Powell Chemists</w:t>
            </w:r>
          </w:p>
        </w:tc>
        <w:tc>
          <w:tcPr>
            <w:tcW w:w="2976" w:type="dxa"/>
            <w:shd w:val="clear" w:color="000000" w:fill="F2F2F2"/>
            <w:hideMark/>
          </w:tcPr>
          <w:p w14:paraId="1456FBEE"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49 Gabalfa Avenue</w:t>
            </w:r>
          </w:p>
        </w:tc>
        <w:tc>
          <w:tcPr>
            <w:tcW w:w="1560" w:type="dxa"/>
            <w:shd w:val="clear" w:color="000000" w:fill="F2F2F2"/>
            <w:hideMark/>
          </w:tcPr>
          <w:p w14:paraId="680B9C85" w14:textId="423F070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 xml:space="preserve">Gabalfa </w:t>
            </w:r>
          </w:p>
        </w:tc>
        <w:tc>
          <w:tcPr>
            <w:tcW w:w="1311" w:type="dxa"/>
            <w:shd w:val="clear" w:color="000000" w:fill="F2F2F2"/>
            <w:hideMark/>
          </w:tcPr>
          <w:p w14:paraId="208089F6"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CF14 2SH</w:t>
            </w:r>
          </w:p>
        </w:tc>
      </w:tr>
      <w:tr w:rsidR="000E0316" w:rsidRPr="000E0316" w14:paraId="4663B6FD" w14:textId="77777777" w:rsidTr="00390FF7">
        <w:trPr>
          <w:trHeight w:val="467"/>
        </w:trPr>
        <w:tc>
          <w:tcPr>
            <w:tcW w:w="3823" w:type="dxa"/>
            <w:shd w:val="clear" w:color="000000" w:fill="FFFFFF"/>
            <w:hideMark/>
          </w:tcPr>
          <w:p w14:paraId="7C53A676"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Tesco Stores Limited</w:t>
            </w:r>
          </w:p>
        </w:tc>
        <w:tc>
          <w:tcPr>
            <w:tcW w:w="2976" w:type="dxa"/>
            <w:shd w:val="clear" w:color="000000" w:fill="FFFFFF"/>
            <w:hideMark/>
          </w:tcPr>
          <w:p w14:paraId="3025EB63"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 xml:space="preserve"> Tesco Instore Pharmacy        </w:t>
            </w:r>
          </w:p>
        </w:tc>
        <w:tc>
          <w:tcPr>
            <w:tcW w:w="1560" w:type="dxa"/>
            <w:shd w:val="clear" w:color="000000" w:fill="FFFFFF"/>
            <w:hideMark/>
          </w:tcPr>
          <w:p w14:paraId="39C40BCF" w14:textId="254CC611"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Western Ave</w:t>
            </w:r>
            <w:r w:rsidR="006A238E">
              <w:rPr>
                <w:rFonts w:ascii="Arial" w:eastAsia="Times New Roman" w:hAnsi="Arial" w:cs="Arial"/>
                <w:lang w:eastAsia="en-GB"/>
              </w:rPr>
              <w:t>nue</w:t>
            </w:r>
          </w:p>
        </w:tc>
        <w:tc>
          <w:tcPr>
            <w:tcW w:w="1311" w:type="dxa"/>
            <w:shd w:val="clear" w:color="000000" w:fill="FFFFFF"/>
            <w:hideMark/>
          </w:tcPr>
          <w:p w14:paraId="3105CBAF"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CF14 3AT</w:t>
            </w:r>
          </w:p>
        </w:tc>
      </w:tr>
      <w:tr w:rsidR="000E0316" w:rsidRPr="000E0316" w14:paraId="306A5B46" w14:textId="77777777" w:rsidTr="00390FF7">
        <w:trPr>
          <w:trHeight w:val="467"/>
        </w:trPr>
        <w:tc>
          <w:tcPr>
            <w:tcW w:w="3823" w:type="dxa"/>
            <w:shd w:val="clear" w:color="000000" w:fill="F2F2F2"/>
            <w:hideMark/>
          </w:tcPr>
          <w:p w14:paraId="7A6FED82"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Well</w:t>
            </w:r>
          </w:p>
        </w:tc>
        <w:tc>
          <w:tcPr>
            <w:tcW w:w="2976" w:type="dxa"/>
            <w:shd w:val="clear" w:color="000000" w:fill="F2F2F2"/>
            <w:hideMark/>
          </w:tcPr>
          <w:p w14:paraId="32F7A01E" w14:textId="6643AA92" w:rsidR="000E0316" w:rsidRPr="00A525FB" w:rsidRDefault="000E0316" w:rsidP="00185101">
            <w:pPr>
              <w:spacing w:after="0" w:line="240" w:lineRule="auto"/>
              <w:rPr>
                <w:rFonts w:ascii="Arial" w:eastAsia="Times New Roman" w:hAnsi="Arial" w:cs="Arial"/>
                <w:lang w:eastAsia="en-GB"/>
              </w:rPr>
            </w:pPr>
            <w:r w:rsidRPr="00A525FB">
              <w:rPr>
                <w:rFonts w:ascii="Arial" w:eastAsia="Times New Roman" w:hAnsi="Arial" w:cs="Arial"/>
                <w:lang w:eastAsia="en-GB"/>
              </w:rPr>
              <w:t>1,2 &amp; 3 Upper Clifton St</w:t>
            </w:r>
            <w:r w:rsidR="006A238E">
              <w:rPr>
                <w:rFonts w:ascii="Arial" w:eastAsia="Times New Roman" w:hAnsi="Arial" w:cs="Arial"/>
                <w:lang w:eastAsia="en-GB"/>
              </w:rPr>
              <w:t>reet</w:t>
            </w:r>
          </w:p>
        </w:tc>
        <w:tc>
          <w:tcPr>
            <w:tcW w:w="1560" w:type="dxa"/>
            <w:shd w:val="clear" w:color="000000" w:fill="F2F2F2"/>
            <w:hideMark/>
          </w:tcPr>
          <w:p w14:paraId="60C67D88"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Roath</w:t>
            </w:r>
          </w:p>
        </w:tc>
        <w:tc>
          <w:tcPr>
            <w:tcW w:w="1311" w:type="dxa"/>
            <w:shd w:val="clear" w:color="000000" w:fill="F2F2F2"/>
            <w:hideMark/>
          </w:tcPr>
          <w:p w14:paraId="39CAB40E"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CF24 1PU</w:t>
            </w:r>
          </w:p>
        </w:tc>
      </w:tr>
      <w:tr w:rsidR="000E0316" w:rsidRPr="000E0316" w14:paraId="5F2C0CE1" w14:textId="77777777" w:rsidTr="00390FF7">
        <w:trPr>
          <w:trHeight w:val="467"/>
        </w:trPr>
        <w:tc>
          <w:tcPr>
            <w:tcW w:w="3823" w:type="dxa"/>
            <w:shd w:val="clear" w:color="000000" w:fill="FFFFFF"/>
            <w:hideMark/>
          </w:tcPr>
          <w:p w14:paraId="7B3C4C44"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Well</w:t>
            </w:r>
          </w:p>
        </w:tc>
        <w:tc>
          <w:tcPr>
            <w:tcW w:w="2976" w:type="dxa"/>
            <w:shd w:val="clear" w:color="000000" w:fill="FFFFFF"/>
            <w:hideMark/>
          </w:tcPr>
          <w:p w14:paraId="5346C39D"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219 - 221 City Road</w:t>
            </w:r>
          </w:p>
        </w:tc>
        <w:tc>
          <w:tcPr>
            <w:tcW w:w="1560" w:type="dxa"/>
            <w:shd w:val="clear" w:color="000000" w:fill="FFFFFF"/>
            <w:hideMark/>
          </w:tcPr>
          <w:p w14:paraId="5CCB4210"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Roath</w:t>
            </w:r>
          </w:p>
        </w:tc>
        <w:tc>
          <w:tcPr>
            <w:tcW w:w="1311" w:type="dxa"/>
            <w:shd w:val="clear" w:color="000000" w:fill="FFFFFF"/>
            <w:hideMark/>
          </w:tcPr>
          <w:p w14:paraId="7CB24C75"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CF24 3JF</w:t>
            </w:r>
          </w:p>
        </w:tc>
      </w:tr>
      <w:tr w:rsidR="000E0316" w:rsidRPr="000E0316" w14:paraId="63CE97B1" w14:textId="77777777" w:rsidTr="00390FF7">
        <w:trPr>
          <w:trHeight w:val="467"/>
        </w:trPr>
        <w:tc>
          <w:tcPr>
            <w:tcW w:w="3823" w:type="dxa"/>
            <w:shd w:val="clear" w:color="000000" w:fill="F2F2F2"/>
            <w:hideMark/>
          </w:tcPr>
          <w:p w14:paraId="37F6EEA1"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Well</w:t>
            </w:r>
          </w:p>
        </w:tc>
        <w:tc>
          <w:tcPr>
            <w:tcW w:w="2976" w:type="dxa"/>
            <w:shd w:val="clear" w:color="000000" w:fill="F2F2F2"/>
            <w:hideMark/>
          </w:tcPr>
          <w:p w14:paraId="172D56A1"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180 City Road</w:t>
            </w:r>
          </w:p>
        </w:tc>
        <w:tc>
          <w:tcPr>
            <w:tcW w:w="1560" w:type="dxa"/>
            <w:shd w:val="clear" w:color="000000" w:fill="F2F2F2"/>
            <w:hideMark/>
          </w:tcPr>
          <w:p w14:paraId="4161248C"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Roath</w:t>
            </w:r>
          </w:p>
        </w:tc>
        <w:tc>
          <w:tcPr>
            <w:tcW w:w="1311" w:type="dxa"/>
            <w:shd w:val="clear" w:color="000000" w:fill="F2F2F2"/>
            <w:hideMark/>
          </w:tcPr>
          <w:p w14:paraId="46C3E254"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CF24 3JF</w:t>
            </w:r>
          </w:p>
        </w:tc>
      </w:tr>
      <w:tr w:rsidR="000E0316" w:rsidRPr="000E0316" w14:paraId="6D216498" w14:textId="77777777" w:rsidTr="00390FF7">
        <w:trPr>
          <w:trHeight w:val="467"/>
        </w:trPr>
        <w:tc>
          <w:tcPr>
            <w:tcW w:w="3823" w:type="dxa"/>
            <w:shd w:val="clear" w:color="000000" w:fill="FFFFFF"/>
            <w:hideMark/>
          </w:tcPr>
          <w:p w14:paraId="079E3FB7"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North Road Pharmacy Ltd</w:t>
            </w:r>
          </w:p>
        </w:tc>
        <w:tc>
          <w:tcPr>
            <w:tcW w:w="2976" w:type="dxa"/>
            <w:shd w:val="clear" w:color="000000" w:fill="FFFFFF"/>
            <w:hideMark/>
          </w:tcPr>
          <w:p w14:paraId="5CFEFDDC"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144 North Road</w:t>
            </w:r>
          </w:p>
        </w:tc>
        <w:tc>
          <w:tcPr>
            <w:tcW w:w="1560" w:type="dxa"/>
            <w:shd w:val="clear" w:color="000000" w:fill="FFFFFF"/>
            <w:hideMark/>
          </w:tcPr>
          <w:p w14:paraId="3D5DCB78"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 xml:space="preserve">Gabalfa </w:t>
            </w:r>
          </w:p>
        </w:tc>
        <w:tc>
          <w:tcPr>
            <w:tcW w:w="1311" w:type="dxa"/>
            <w:shd w:val="clear" w:color="000000" w:fill="FFFFFF"/>
            <w:hideMark/>
          </w:tcPr>
          <w:p w14:paraId="52539FAC"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CF14 3BH</w:t>
            </w:r>
          </w:p>
        </w:tc>
      </w:tr>
      <w:tr w:rsidR="000E0316" w:rsidRPr="000E0316" w14:paraId="51B69E75" w14:textId="77777777" w:rsidTr="00390FF7">
        <w:trPr>
          <w:trHeight w:val="467"/>
        </w:trPr>
        <w:tc>
          <w:tcPr>
            <w:tcW w:w="3823" w:type="dxa"/>
            <w:shd w:val="clear" w:color="000000" w:fill="F2F2F2"/>
            <w:hideMark/>
          </w:tcPr>
          <w:p w14:paraId="351D16A0"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Pearn's Pharmacies Ltd</w:t>
            </w:r>
          </w:p>
        </w:tc>
        <w:tc>
          <w:tcPr>
            <w:tcW w:w="2976" w:type="dxa"/>
            <w:shd w:val="clear" w:color="000000" w:fill="F2F2F2"/>
            <w:hideMark/>
          </w:tcPr>
          <w:p w14:paraId="37F9D842"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21 South Park Road</w:t>
            </w:r>
          </w:p>
        </w:tc>
        <w:tc>
          <w:tcPr>
            <w:tcW w:w="1560" w:type="dxa"/>
            <w:shd w:val="clear" w:color="000000" w:fill="F2F2F2"/>
            <w:hideMark/>
          </w:tcPr>
          <w:p w14:paraId="06EA378B"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Tremorfa</w:t>
            </w:r>
          </w:p>
        </w:tc>
        <w:tc>
          <w:tcPr>
            <w:tcW w:w="1311" w:type="dxa"/>
            <w:shd w:val="clear" w:color="000000" w:fill="F2F2F2"/>
            <w:hideMark/>
          </w:tcPr>
          <w:p w14:paraId="6261819F"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CF24 2QZ</w:t>
            </w:r>
          </w:p>
        </w:tc>
      </w:tr>
      <w:tr w:rsidR="000E0316" w:rsidRPr="000E0316" w14:paraId="51AA9FC8" w14:textId="77777777" w:rsidTr="00390FF7">
        <w:trPr>
          <w:trHeight w:val="467"/>
        </w:trPr>
        <w:tc>
          <w:tcPr>
            <w:tcW w:w="3823" w:type="dxa"/>
            <w:shd w:val="clear" w:color="000000" w:fill="FFFFFF"/>
            <w:hideMark/>
          </w:tcPr>
          <w:p w14:paraId="65E9C558"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Rhys Williams T/A Woodville Road Pharmacy</w:t>
            </w:r>
          </w:p>
        </w:tc>
        <w:tc>
          <w:tcPr>
            <w:tcW w:w="2976" w:type="dxa"/>
            <w:shd w:val="clear" w:color="000000" w:fill="FFFFFF"/>
            <w:hideMark/>
          </w:tcPr>
          <w:p w14:paraId="5444AED0"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74 Woodville Road</w:t>
            </w:r>
          </w:p>
        </w:tc>
        <w:tc>
          <w:tcPr>
            <w:tcW w:w="1560" w:type="dxa"/>
            <w:shd w:val="clear" w:color="000000" w:fill="FFFFFF"/>
            <w:hideMark/>
          </w:tcPr>
          <w:p w14:paraId="69F34657"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Cathays</w:t>
            </w:r>
          </w:p>
        </w:tc>
        <w:tc>
          <w:tcPr>
            <w:tcW w:w="1311" w:type="dxa"/>
            <w:shd w:val="clear" w:color="000000" w:fill="FFFFFF"/>
            <w:hideMark/>
          </w:tcPr>
          <w:p w14:paraId="34DE5D36"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CF24 4EB</w:t>
            </w:r>
          </w:p>
        </w:tc>
      </w:tr>
      <w:tr w:rsidR="000E0316" w:rsidRPr="000E0316" w14:paraId="1BA974A1" w14:textId="77777777" w:rsidTr="00390FF7">
        <w:trPr>
          <w:trHeight w:val="467"/>
        </w:trPr>
        <w:tc>
          <w:tcPr>
            <w:tcW w:w="3823" w:type="dxa"/>
            <w:shd w:val="clear" w:color="000000" w:fill="F2F2F2"/>
            <w:hideMark/>
          </w:tcPr>
          <w:p w14:paraId="19C09A38"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MW Phillips Chemists</w:t>
            </w:r>
          </w:p>
        </w:tc>
        <w:tc>
          <w:tcPr>
            <w:tcW w:w="2976" w:type="dxa"/>
            <w:shd w:val="clear" w:color="000000" w:fill="F2F2F2"/>
            <w:hideMark/>
          </w:tcPr>
          <w:p w14:paraId="0CE912AA"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52 Splott Road</w:t>
            </w:r>
          </w:p>
        </w:tc>
        <w:tc>
          <w:tcPr>
            <w:tcW w:w="1560" w:type="dxa"/>
            <w:shd w:val="clear" w:color="000000" w:fill="F2F2F2"/>
            <w:hideMark/>
          </w:tcPr>
          <w:p w14:paraId="647DBFB3"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Splott</w:t>
            </w:r>
          </w:p>
        </w:tc>
        <w:tc>
          <w:tcPr>
            <w:tcW w:w="1311" w:type="dxa"/>
            <w:shd w:val="clear" w:color="000000" w:fill="F2F2F2"/>
            <w:hideMark/>
          </w:tcPr>
          <w:p w14:paraId="47301BDB"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CF24 2DA</w:t>
            </w:r>
          </w:p>
        </w:tc>
      </w:tr>
      <w:tr w:rsidR="000E0316" w:rsidRPr="000E0316" w14:paraId="3FB70DCA" w14:textId="77777777" w:rsidTr="00390FF7">
        <w:trPr>
          <w:trHeight w:val="467"/>
        </w:trPr>
        <w:tc>
          <w:tcPr>
            <w:tcW w:w="3823" w:type="dxa"/>
            <w:shd w:val="clear" w:color="000000" w:fill="FFFFFF"/>
            <w:hideMark/>
          </w:tcPr>
          <w:p w14:paraId="4EEC16AF"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MW Phillips Chemists</w:t>
            </w:r>
          </w:p>
        </w:tc>
        <w:tc>
          <w:tcPr>
            <w:tcW w:w="2976" w:type="dxa"/>
            <w:shd w:val="clear" w:color="000000" w:fill="FFFFFF"/>
            <w:hideMark/>
          </w:tcPr>
          <w:p w14:paraId="522F1B61"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71 Whitchurch Road</w:t>
            </w:r>
          </w:p>
        </w:tc>
        <w:tc>
          <w:tcPr>
            <w:tcW w:w="1560" w:type="dxa"/>
            <w:shd w:val="clear" w:color="000000" w:fill="FFFFFF"/>
            <w:hideMark/>
          </w:tcPr>
          <w:p w14:paraId="743A2FFA"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Gabalfa</w:t>
            </w:r>
          </w:p>
        </w:tc>
        <w:tc>
          <w:tcPr>
            <w:tcW w:w="1311" w:type="dxa"/>
            <w:shd w:val="clear" w:color="000000" w:fill="FFFFFF"/>
            <w:hideMark/>
          </w:tcPr>
          <w:p w14:paraId="774F7E8E"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CF14 3JP</w:t>
            </w:r>
          </w:p>
        </w:tc>
      </w:tr>
      <w:tr w:rsidR="000E0316" w:rsidRPr="000E0316" w14:paraId="546DBC29" w14:textId="77777777" w:rsidTr="00390FF7">
        <w:trPr>
          <w:trHeight w:val="467"/>
        </w:trPr>
        <w:tc>
          <w:tcPr>
            <w:tcW w:w="3823" w:type="dxa"/>
            <w:shd w:val="clear" w:color="000000" w:fill="F2F2F2"/>
            <w:hideMark/>
          </w:tcPr>
          <w:p w14:paraId="6C98D021"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MW Phillips Chemists</w:t>
            </w:r>
          </w:p>
        </w:tc>
        <w:tc>
          <w:tcPr>
            <w:tcW w:w="2976" w:type="dxa"/>
            <w:shd w:val="clear" w:color="000000" w:fill="F2F2F2"/>
            <w:hideMark/>
          </w:tcPr>
          <w:p w14:paraId="3D756259"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7 South Park Road</w:t>
            </w:r>
          </w:p>
        </w:tc>
        <w:tc>
          <w:tcPr>
            <w:tcW w:w="1560" w:type="dxa"/>
            <w:shd w:val="clear" w:color="000000" w:fill="F2F2F2"/>
            <w:hideMark/>
          </w:tcPr>
          <w:p w14:paraId="5B4ABA96"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Splott</w:t>
            </w:r>
          </w:p>
        </w:tc>
        <w:tc>
          <w:tcPr>
            <w:tcW w:w="1311" w:type="dxa"/>
            <w:shd w:val="clear" w:color="000000" w:fill="F2F2F2"/>
            <w:hideMark/>
          </w:tcPr>
          <w:p w14:paraId="5CE4E68E"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CF24 2LU</w:t>
            </w:r>
          </w:p>
        </w:tc>
      </w:tr>
      <w:tr w:rsidR="000E0316" w:rsidRPr="000E0316" w14:paraId="10B9D703" w14:textId="77777777" w:rsidTr="00390FF7">
        <w:trPr>
          <w:trHeight w:val="467"/>
        </w:trPr>
        <w:tc>
          <w:tcPr>
            <w:tcW w:w="3823" w:type="dxa"/>
            <w:shd w:val="clear" w:color="000000" w:fill="FFFFFF"/>
            <w:hideMark/>
          </w:tcPr>
          <w:p w14:paraId="10D8644A"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Superdrug Ltd</w:t>
            </w:r>
          </w:p>
        </w:tc>
        <w:tc>
          <w:tcPr>
            <w:tcW w:w="2976" w:type="dxa"/>
            <w:shd w:val="clear" w:color="000000" w:fill="FFFFFF"/>
            <w:hideMark/>
          </w:tcPr>
          <w:p w14:paraId="588C13DE"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81-83 Albany Road</w:t>
            </w:r>
          </w:p>
        </w:tc>
        <w:tc>
          <w:tcPr>
            <w:tcW w:w="1560" w:type="dxa"/>
            <w:shd w:val="clear" w:color="000000" w:fill="FFFFFF"/>
            <w:hideMark/>
          </w:tcPr>
          <w:p w14:paraId="10E31334"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 xml:space="preserve"> Roath</w:t>
            </w:r>
          </w:p>
        </w:tc>
        <w:tc>
          <w:tcPr>
            <w:tcW w:w="1311" w:type="dxa"/>
            <w:shd w:val="clear" w:color="000000" w:fill="FFFFFF"/>
            <w:hideMark/>
          </w:tcPr>
          <w:p w14:paraId="7264666A" w14:textId="77777777" w:rsidR="000E0316" w:rsidRPr="00A525FB" w:rsidRDefault="000E0316" w:rsidP="00DC54F7">
            <w:pPr>
              <w:spacing w:after="0" w:line="240" w:lineRule="auto"/>
              <w:jc w:val="both"/>
              <w:rPr>
                <w:rFonts w:ascii="Arial" w:eastAsia="Times New Roman" w:hAnsi="Arial" w:cs="Arial"/>
                <w:lang w:eastAsia="en-GB"/>
              </w:rPr>
            </w:pPr>
            <w:r w:rsidRPr="00A525FB">
              <w:rPr>
                <w:rFonts w:ascii="Arial" w:eastAsia="Times New Roman" w:hAnsi="Arial" w:cs="Arial"/>
                <w:lang w:eastAsia="en-GB"/>
              </w:rPr>
              <w:t>CF24 3LN</w:t>
            </w:r>
          </w:p>
        </w:tc>
      </w:tr>
    </w:tbl>
    <w:p w14:paraId="62EB7E2B" w14:textId="7B295073" w:rsidR="004D41B2" w:rsidRDefault="004D41B2" w:rsidP="00DC54F7">
      <w:pPr>
        <w:spacing w:after="0" w:line="240" w:lineRule="auto"/>
        <w:jc w:val="both"/>
        <w:rPr>
          <w:rFonts w:ascii="Arial" w:hAnsi="Arial" w:cs="Arial"/>
          <w:bCs/>
          <w:lang w:val="en-US"/>
        </w:rPr>
      </w:pPr>
    </w:p>
    <w:p w14:paraId="5187E9FC" w14:textId="49653BB7" w:rsidR="00EB6A18" w:rsidRPr="00A525FB" w:rsidRDefault="00EB6A18" w:rsidP="00DC54F7">
      <w:pPr>
        <w:spacing w:after="0" w:line="240" w:lineRule="auto"/>
        <w:jc w:val="both"/>
        <w:rPr>
          <w:rFonts w:ascii="Arial" w:hAnsi="Arial" w:cs="Arial"/>
          <w:sz w:val="24"/>
          <w:szCs w:val="24"/>
        </w:rPr>
      </w:pPr>
      <w:r w:rsidRPr="00A525FB">
        <w:rPr>
          <w:rFonts w:ascii="Arial" w:hAnsi="Arial" w:cs="Arial"/>
          <w:sz w:val="24"/>
          <w:szCs w:val="24"/>
        </w:rPr>
        <w:t>In 2019 to 2020, 7</w:t>
      </w:r>
      <w:r w:rsidR="00E546EA" w:rsidRPr="00A525FB">
        <w:rPr>
          <w:rFonts w:ascii="Arial" w:hAnsi="Arial" w:cs="Arial"/>
          <w:sz w:val="24"/>
          <w:szCs w:val="24"/>
        </w:rPr>
        <w:t>5</w:t>
      </w:r>
      <w:r w:rsidRPr="00A525FB">
        <w:rPr>
          <w:rFonts w:ascii="Arial" w:hAnsi="Arial" w:cs="Arial"/>
          <w:sz w:val="24"/>
          <w:szCs w:val="24"/>
        </w:rPr>
        <w:t>.</w:t>
      </w:r>
      <w:r w:rsidR="00E546EA" w:rsidRPr="00A525FB">
        <w:rPr>
          <w:rFonts w:ascii="Arial" w:hAnsi="Arial" w:cs="Arial"/>
          <w:sz w:val="24"/>
          <w:szCs w:val="24"/>
        </w:rPr>
        <w:t>0</w:t>
      </w:r>
      <w:r w:rsidRPr="00A525FB">
        <w:rPr>
          <w:rFonts w:ascii="Arial" w:hAnsi="Arial" w:cs="Arial"/>
          <w:sz w:val="24"/>
          <w:szCs w:val="24"/>
        </w:rPr>
        <w:t xml:space="preserve">% of items on prescriptions written by the </w:t>
      </w:r>
      <w:r w:rsidR="00E546EA" w:rsidRPr="00A525FB">
        <w:rPr>
          <w:rFonts w:ascii="Arial" w:hAnsi="Arial" w:cs="Arial"/>
          <w:sz w:val="24"/>
          <w:szCs w:val="24"/>
        </w:rPr>
        <w:t>eight</w:t>
      </w:r>
      <w:r w:rsidRPr="00A525FB">
        <w:rPr>
          <w:rFonts w:ascii="Arial" w:hAnsi="Arial" w:cs="Arial"/>
          <w:sz w:val="24"/>
          <w:szCs w:val="24"/>
        </w:rPr>
        <w:t xml:space="preserve"> GP practices in Cardiff </w:t>
      </w:r>
      <w:r w:rsidR="00955298" w:rsidRPr="00A525FB">
        <w:rPr>
          <w:rFonts w:ascii="Arial" w:hAnsi="Arial" w:cs="Arial"/>
          <w:sz w:val="24"/>
          <w:szCs w:val="24"/>
        </w:rPr>
        <w:t xml:space="preserve">South </w:t>
      </w:r>
      <w:r w:rsidRPr="00A525FB">
        <w:rPr>
          <w:rFonts w:ascii="Arial" w:hAnsi="Arial" w:cs="Arial"/>
          <w:sz w:val="24"/>
          <w:szCs w:val="24"/>
        </w:rPr>
        <w:t>East cluster were dispensed by one of the pharmacies within the cluster and 1.</w:t>
      </w:r>
      <w:r w:rsidR="009D209F" w:rsidRPr="00A525FB">
        <w:rPr>
          <w:rFonts w:ascii="Arial" w:hAnsi="Arial" w:cs="Arial"/>
          <w:sz w:val="24"/>
          <w:szCs w:val="24"/>
        </w:rPr>
        <w:t>7</w:t>
      </w:r>
      <w:r w:rsidRPr="00A525FB">
        <w:rPr>
          <w:rFonts w:ascii="Arial" w:hAnsi="Arial" w:cs="Arial"/>
          <w:sz w:val="24"/>
          <w:szCs w:val="24"/>
        </w:rPr>
        <w:t xml:space="preserve">% were personally administered items. </w:t>
      </w:r>
    </w:p>
    <w:p w14:paraId="4FFDD70A" w14:textId="703374C9" w:rsidR="007B5D6F" w:rsidRPr="00A525FB" w:rsidRDefault="007B5D6F" w:rsidP="00DC54F7">
      <w:pPr>
        <w:spacing w:after="0" w:line="240" w:lineRule="auto"/>
        <w:jc w:val="both"/>
        <w:rPr>
          <w:rFonts w:ascii="Arial" w:hAnsi="Arial" w:cs="Arial"/>
          <w:b/>
          <w:sz w:val="24"/>
          <w:szCs w:val="24"/>
          <w:lang w:val="en-US"/>
        </w:rPr>
      </w:pPr>
    </w:p>
    <w:p w14:paraId="30D336E9" w14:textId="44F0F007" w:rsidR="007B5D6F" w:rsidRPr="00A525FB" w:rsidRDefault="007B5D6F" w:rsidP="00DC54F7">
      <w:pPr>
        <w:spacing w:after="0" w:line="240" w:lineRule="auto"/>
        <w:jc w:val="both"/>
        <w:rPr>
          <w:rFonts w:ascii="Arial" w:hAnsi="Arial" w:cs="Arial"/>
          <w:bCs/>
          <w:sz w:val="24"/>
          <w:szCs w:val="24"/>
          <w:lang w:val="en-US"/>
        </w:rPr>
      </w:pPr>
      <w:r w:rsidRPr="00A525FB">
        <w:rPr>
          <w:rFonts w:ascii="Arial" w:hAnsi="Arial" w:cs="Arial"/>
          <w:bCs/>
          <w:sz w:val="24"/>
          <w:szCs w:val="24"/>
          <w:lang w:val="en-US"/>
        </w:rPr>
        <w:t>The pharmacies</w:t>
      </w:r>
      <w:r w:rsidR="00144DF4" w:rsidRPr="00A525FB">
        <w:rPr>
          <w:rFonts w:ascii="Arial" w:hAnsi="Arial" w:cs="Arial"/>
          <w:bCs/>
          <w:sz w:val="24"/>
          <w:szCs w:val="24"/>
          <w:lang w:val="en-US"/>
        </w:rPr>
        <w:t xml:space="preserve">, in general, </w:t>
      </w:r>
      <w:r w:rsidRPr="00A525FB">
        <w:rPr>
          <w:rFonts w:ascii="Arial" w:hAnsi="Arial" w:cs="Arial"/>
          <w:bCs/>
          <w:sz w:val="24"/>
          <w:szCs w:val="24"/>
          <w:lang w:val="en-US"/>
        </w:rPr>
        <w:t xml:space="preserve">are located in </w:t>
      </w:r>
      <w:r w:rsidR="009E29A9" w:rsidRPr="00A525FB">
        <w:rPr>
          <w:rFonts w:ascii="Arial" w:hAnsi="Arial" w:cs="Arial"/>
          <w:bCs/>
          <w:sz w:val="24"/>
          <w:szCs w:val="24"/>
          <w:lang w:val="en-US"/>
        </w:rPr>
        <w:t xml:space="preserve">or near </w:t>
      </w:r>
      <w:r w:rsidRPr="00A525FB">
        <w:rPr>
          <w:rFonts w:ascii="Arial" w:hAnsi="Arial" w:cs="Arial"/>
          <w:bCs/>
          <w:sz w:val="24"/>
          <w:szCs w:val="24"/>
          <w:lang w:val="en-US"/>
        </w:rPr>
        <w:t xml:space="preserve">areas of greater population density as shown by the darker shaded areas in the map below. </w:t>
      </w:r>
    </w:p>
    <w:p w14:paraId="31EE6735" w14:textId="77777777" w:rsidR="007B5D6F" w:rsidRPr="006E6035" w:rsidRDefault="007B5D6F" w:rsidP="00DC54F7">
      <w:pPr>
        <w:spacing w:after="0" w:line="240" w:lineRule="auto"/>
        <w:jc w:val="both"/>
        <w:rPr>
          <w:rFonts w:ascii="Arial" w:hAnsi="Arial" w:cs="Arial"/>
          <w:b/>
          <w:lang w:val="en-US"/>
        </w:rPr>
      </w:pPr>
    </w:p>
    <w:p w14:paraId="2298F260" w14:textId="77777777" w:rsidR="006A238E" w:rsidRDefault="006A238E" w:rsidP="00DC54F7">
      <w:pPr>
        <w:spacing w:after="0" w:line="240" w:lineRule="auto"/>
        <w:jc w:val="both"/>
        <w:rPr>
          <w:rFonts w:ascii="Arial" w:hAnsi="Arial" w:cs="Arial"/>
          <w:b/>
          <w:sz w:val="24"/>
          <w:szCs w:val="24"/>
          <w:lang w:val="en-US"/>
        </w:rPr>
      </w:pPr>
    </w:p>
    <w:p w14:paraId="1FDDA15D" w14:textId="77777777" w:rsidR="006A238E" w:rsidRDefault="006A238E" w:rsidP="00DC54F7">
      <w:pPr>
        <w:spacing w:after="0" w:line="240" w:lineRule="auto"/>
        <w:jc w:val="both"/>
        <w:rPr>
          <w:rFonts w:ascii="Arial" w:hAnsi="Arial" w:cs="Arial"/>
          <w:b/>
          <w:sz w:val="24"/>
          <w:szCs w:val="24"/>
          <w:lang w:val="en-US"/>
        </w:rPr>
      </w:pPr>
    </w:p>
    <w:p w14:paraId="2F5193EC" w14:textId="72DFEC5A" w:rsidR="006A238E" w:rsidRDefault="006A238E">
      <w:pPr>
        <w:rPr>
          <w:rFonts w:ascii="Arial" w:hAnsi="Arial" w:cs="Arial"/>
          <w:b/>
          <w:sz w:val="24"/>
          <w:szCs w:val="24"/>
          <w:lang w:val="en-US"/>
        </w:rPr>
      </w:pPr>
      <w:r>
        <w:rPr>
          <w:rFonts w:ascii="Arial" w:hAnsi="Arial" w:cs="Arial"/>
          <w:b/>
          <w:sz w:val="24"/>
          <w:szCs w:val="24"/>
          <w:lang w:val="en-US"/>
        </w:rPr>
        <w:br w:type="page"/>
      </w:r>
    </w:p>
    <w:p w14:paraId="18295662" w14:textId="3080796D" w:rsidR="001D4097" w:rsidRPr="001D4097" w:rsidRDefault="001D4097" w:rsidP="00DC54F7">
      <w:pPr>
        <w:spacing w:after="0" w:line="240" w:lineRule="auto"/>
        <w:jc w:val="both"/>
        <w:rPr>
          <w:rFonts w:ascii="Arial" w:hAnsi="Arial" w:cs="Arial"/>
          <w:b/>
          <w:sz w:val="24"/>
          <w:szCs w:val="24"/>
          <w:lang w:val="en-US"/>
        </w:rPr>
      </w:pPr>
      <w:r w:rsidRPr="00264698">
        <w:rPr>
          <w:rFonts w:ascii="Arial" w:hAnsi="Arial" w:cs="Arial"/>
          <w:b/>
          <w:sz w:val="24"/>
          <w:szCs w:val="24"/>
          <w:lang w:val="en-US"/>
        </w:rPr>
        <w:lastRenderedPageBreak/>
        <w:t xml:space="preserve">Map </w:t>
      </w:r>
      <w:r>
        <w:rPr>
          <w:rFonts w:ascii="Arial" w:hAnsi="Arial" w:cs="Arial"/>
          <w:b/>
          <w:sz w:val="24"/>
          <w:szCs w:val="24"/>
          <w:lang w:val="en-US"/>
        </w:rPr>
        <w:t>9</w:t>
      </w:r>
      <w:r w:rsidRPr="00264698">
        <w:rPr>
          <w:rFonts w:ascii="Arial" w:hAnsi="Arial" w:cs="Arial"/>
          <w:b/>
          <w:sz w:val="24"/>
          <w:szCs w:val="24"/>
          <w:lang w:val="en-US"/>
        </w:rPr>
        <w:t>.</w:t>
      </w:r>
      <w:r>
        <w:rPr>
          <w:rFonts w:ascii="Arial" w:hAnsi="Arial" w:cs="Arial"/>
          <w:b/>
          <w:sz w:val="24"/>
          <w:szCs w:val="24"/>
          <w:lang w:val="en-US"/>
        </w:rPr>
        <w:t>2</w:t>
      </w:r>
      <w:r w:rsidRPr="00264698">
        <w:rPr>
          <w:rFonts w:ascii="Arial" w:hAnsi="Arial" w:cs="Arial"/>
          <w:b/>
          <w:sz w:val="24"/>
          <w:szCs w:val="24"/>
          <w:lang w:val="en-US"/>
        </w:rPr>
        <w:t xml:space="preserve">: Location of pharmacy </w:t>
      </w:r>
      <w:r>
        <w:rPr>
          <w:rFonts w:ascii="Arial" w:hAnsi="Arial" w:cs="Arial"/>
          <w:b/>
          <w:sz w:val="24"/>
          <w:szCs w:val="24"/>
          <w:lang w:val="en-US"/>
        </w:rPr>
        <w:t xml:space="preserve">and appliance contractor </w:t>
      </w:r>
      <w:r w:rsidRPr="00264698">
        <w:rPr>
          <w:rFonts w:ascii="Arial" w:hAnsi="Arial" w:cs="Arial"/>
          <w:b/>
          <w:sz w:val="24"/>
          <w:szCs w:val="24"/>
          <w:lang w:val="en-US"/>
        </w:rPr>
        <w:t>premise</w:t>
      </w:r>
      <w:r>
        <w:rPr>
          <w:rFonts w:ascii="Arial" w:hAnsi="Arial" w:cs="Arial"/>
          <w:b/>
          <w:sz w:val="24"/>
          <w:szCs w:val="24"/>
          <w:lang w:val="en-US"/>
        </w:rPr>
        <w:t xml:space="preserve">s </w:t>
      </w:r>
      <w:r w:rsidRPr="00264698">
        <w:rPr>
          <w:rFonts w:ascii="Arial" w:hAnsi="Arial" w:cs="Arial"/>
          <w:b/>
          <w:sz w:val="24"/>
          <w:szCs w:val="24"/>
          <w:lang w:val="en-US"/>
        </w:rPr>
        <w:t>compared to population density</w:t>
      </w:r>
    </w:p>
    <w:p w14:paraId="128D7B59" w14:textId="497F4FC6" w:rsidR="007B5D6F" w:rsidRPr="006E6035" w:rsidRDefault="001D714E" w:rsidP="00DC54F7">
      <w:pPr>
        <w:spacing w:after="0" w:line="240" w:lineRule="auto"/>
        <w:jc w:val="both"/>
        <w:rPr>
          <w:rFonts w:ascii="Arial" w:hAnsi="Arial" w:cs="Arial"/>
          <w:b/>
          <w:lang w:val="en-US"/>
        </w:rPr>
      </w:pPr>
      <w:r>
        <w:rPr>
          <w:noProof/>
          <w:lang w:eastAsia="en-GB"/>
        </w:rPr>
        <w:drawing>
          <wp:inline distT="0" distB="0" distL="0" distR="0" wp14:anchorId="6F93CFDD" wp14:editId="19B0212C">
            <wp:extent cx="5731510" cy="3695700"/>
            <wp:effectExtent l="0" t="0" r="2540" b="0"/>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731510" cy="3695700"/>
                    </a:xfrm>
                    <a:prstGeom prst="rect">
                      <a:avLst/>
                    </a:prstGeom>
                    <a:noFill/>
                    <a:ln>
                      <a:noFill/>
                    </a:ln>
                  </pic:spPr>
                </pic:pic>
              </a:graphicData>
            </a:graphic>
          </wp:inline>
        </w:drawing>
      </w:r>
    </w:p>
    <w:p w14:paraId="58C1C4CC" w14:textId="77777777" w:rsidR="007B5D6F" w:rsidRPr="006E6035" w:rsidRDefault="007B5D6F" w:rsidP="00DC54F7">
      <w:pPr>
        <w:spacing w:after="0" w:line="240" w:lineRule="auto"/>
        <w:jc w:val="both"/>
        <w:rPr>
          <w:rFonts w:ascii="Arial" w:hAnsi="Arial" w:cs="Arial"/>
          <w:b/>
          <w:lang w:val="en-US"/>
        </w:rPr>
      </w:pPr>
    </w:p>
    <w:p w14:paraId="1CA79A2E" w14:textId="577BB90F" w:rsidR="007B5D6F" w:rsidRPr="00797D23" w:rsidRDefault="007B5D6F" w:rsidP="00DC54F7">
      <w:pPr>
        <w:spacing w:after="0" w:line="240" w:lineRule="auto"/>
        <w:contextualSpacing/>
        <w:jc w:val="both"/>
        <w:rPr>
          <w:rFonts w:ascii="Arial" w:hAnsi="Arial" w:cs="Arial"/>
          <w:sz w:val="24"/>
          <w:szCs w:val="24"/>
        </w:rPr>
      </w:pPr>
      <w:r w:rsidRPr="00797D23">
        <w:rPr>
          <w:rFonts w:ascii="Arial" w:hAnsi="Arial" w:cs="Arial"/>
          <w:sz w:val="24"/>
          <w:szCs w:val="24"/>
        </w:rPr>
        <w:t xml:space="preserve">All residents of the cluster can access one of the pharmacies by car within </w:t>
      </w:r>
      <w:r w:rsidR="00F1355B" w:rsidRPr="00797D23">
        <w:rPr>
          <w:rFonts w:ascii="Arial" w:hAnsi="Arial" w:cs="Arial"/>
          <w:sz w:val="24"/>
          <w:szCs w:val="24"/>
        </w:rPr>
        <w:t>1</w:t>
      </w:r>
      <w:r w:rsidRPr="00797D23">
        <w:rPr>
          <w:rFonts w:ascii="Arial" w:hAnsi="Arial" w:cs="Arial"/>
          <w:sz w:val="24"/>
          <w:szCs w:val="24"/>
        </w:rPr>
        <w:t>0 minutes. The majority can access a pharmacy within</w:t>
      </w:r>
      <w:r w:rsidR="00F1355B" w:rsidRPr="00797D23">
        <w:rPr>
          <w:rFonts w:ascii="Arial" w:hAnsi="Arial" w:cs="Arial"/>
          <w:sz w:val="24"/>
          <w:szCs w:val="24"/>
        </w:rPr>
        <w:t xml:space="preserve"> five</w:t>
      </w:r>
      <w:r w:rsidRPr="00797D23">
        <w:rPr>
          <w:rFonts w:ascii="Arial" w:hAnsi="Arial" w:cs="Arial"/>
          <w:sz w:val="24"/>
          <w:szCs w:val="24"/>
        </w:rPr>
        <w:t xml:space="preserve"> minutes, as shown in </w:t>
      </w:r>
      <w:r w:rsidR="00DE7EEA" w:rsidRPr="00797D23">
        <w:rPr>
          <w:rFonts w:ascii="Arial" w:hAnsi="Arial" w:cs="Arial"/>
          <w:sz w:val="24"/>
          <w:szCs w:val="24"/>
        </w:rPr>
        <w:t>the map b</w:t>
      </w:r>
      <w:r w:rsidR="000017D7" w:rsidRPr="00797D23">
        <w:rPr>
          <w:rFonts w:ascii="Arial" w:hAnsi="Arial" w:cs="Arial"/>
          <w:sz w:val="24"/>
          <w:szCs w:val="24"/>
        </w:rPr>
        <w:t>elow.</w:t>
      </w:r>
    </w:p>
    <w:p w14:paraId="64D2A8E8" w14:textId="77777777" w:rsidR="007B5D6F" w:rsidRPr="00797D23" w:rsidRDefault="007B5D6F" w:rsidP="00DC54F7">
      <w:pPr>
        <w:spacing w:after="0" w:line="240" w:lineRule="auto"/>
        <w:contextualSpacing/>
        <w:jc w:val="both"/>
        <w:rPr>
          <w:rFonts w:ascii="Arial" w:hAnsi="Arial" w:cs="Arial"/>
          <w:sz w:val="24"/>
          <w:szCs w:val="24"/>
          <w:highlight w:val="yellow"/>
        </w:rPr>
      </w:pPr>
    </w:p>
    <w:p w14:paraId="15BE13BC" w14:textId="375F6535" w:rsidR="007B5D6F" w:rsidRPr="00797D23" w:rsidRDefault="007B5D6F" w:rsidP="00DC54F7">
      <w:pPr>
        <w:spacing w:after="0" w:line="240" w:lineRule="auto"/>
        <w:contextualSpacing/>
        <w:jc w:val="both"/>
        <w:rPr>
          <w:rFonts w:ascii="Arial" w:hAnsi="Arial" w:cs="Arial"/>
          <w:b/>
          <w:bCs/>
          <w:sz w:val="24"/>
          <w:szCs w:val="24"/>
        </w:rPr>
      </w:pPr>
      <w:r w:rsidRPr="00797D23">
        <w:rPr>
          <w:rFonts w:ascii="Arial" w:hAnsi="Arial" w:cs="Arial"/>
          <w:b/>
          <w:bCs/>
          <w:sz w:val="24"/>
          <w:szCs w:val="24"/>
        </w:rPr>
        <w:t xml:space="preserve">Map </w:t>
      </w:r>
      <w:r w:rsidR="0067424C" w:rsidRPr="00797D23">
        <w:rPr>
          <w:rFonts w:ascii="Arial" w:hAnsi="Arial" w:cs="Arial"/>
          <w:b/>
          <w:bCs/>
          <w:sz w:val="24"/>
          <w:szCs w:val="24"/>
        </w:rPr>
        <w:t>9</w:t>
      </w:r>
      <w:r w:rsidRPr="00797D23">
        <w:rPr>
          <w:rFonts w:ascii="Arial" w:hAnsi="Arial" w:cs="Arial"/>
          <w:b/>
          <w:bCs/>
          <w:sz w:val="24"/>
          <w:szCs w:val="24"/>
        </w:rPr>
        <w:t>.</w:t>
      </w:r>
      <w:r w:rsidR="00FE6A39">
        <w:rPr>
          <w:rFonts w:ascii="Arial" w:hAnsi="Arial" w:cs="Arial"/>
          <w:b/>
          <w:bCs/>
          <w:sz w:val="24"/>
          <w:szCs w:val="24"/>
        </w:rPr>
        <w:t>3</w:t>
      </w:r>
      <w:r w:rsidRPr="00797D23">
        <w:rPr>
          <w:rFonts w:ascii="Arial" w:hAnsi="Arial" w:cs="Arial"/>
          <w:b/>
          <w:bCs/>
          <w:sz w:val="24"/>
          <w:szCs w:val="24"/>
        </w:rPr>
        <w:t xml:space="preserve">: Access to pharmacies </w:t>
      </w:r>
      <w:r w:rsidR="00FE6A39">
        <w:rPr>
          <w:rFonts w:ascii="Arial" w:hAnsi="Arial" w:cs="Arial"/>
          <w:b/>
          <w:bCs/>
          <w:sz w:val="24"/>
          <w:szCs w:val="24"/>
        </w:rPr>
        <w:t xml:space="preserve">and appliance contractor </w:t>
      </w:r>
      <w:r w:rsidRPr="00797D23">
        <w:rPr>
          <w:rFonts w:ascii="Arial" w:hAnsi="Arial" w:cs="Arial"/>
          <w:b/>
          <w:bCs/>
          <w:sz w:val="24"/>
          <w:szCs w:val="24"/>
        </w:rPr>
        <w:t xml:space="preserve">in </w:t>
      </w:r>
      <w:r w:rsidR="000017D7" w:rsidRPr="00797D23">
        <w:rPr>
          <w:rFonts w:ascii="Arial" w:hAnsi="Arial" w:cs="Arial"/>
          <w:b/>
          <w:bCs/>
          <w:sz w:val="24"/>
          <w:szCs w:val="24"/>
        </w:rPr>
        <w:t xml:space="preserve">the </w:t>
      </w:r>
      <w:r w:rsidRPr="00797D23">
        <w:rPr>
          <w:rFonts w:ascii="Arial" w:hAnsi="Arial" w:cs="Arial"/>
          <w:b/>
          <w:bCs/>
          <w:sz w:val="24"/>
          <w:szCs w:val="24"/>
        </w:rPr>
        <w:t>cluster</w:t>
      </w:r>
    </w:p>
    <w:p w14:paraId="73E82CEA" w14:textId="0FF8B8B8" w:rsidR="006A238E" w:rsidRPr="006A238E" w:rsidRDefault="00AF3103" w:rsidP="00DC54F7">
      <w:pPr>
        <w:spacing w:after="0" w:line="240" w:lineRule="auto"/>
        <w:contextualSpacing/>
        <w:jc w:val="both"/>
        <w:rPr>
          <w:rFonts w:ascii="Arial" w:hAnsi="Arial" w:cs="Arial"/>
          <w:highlight w:val="yellow"/>
        </w:rPr>
      </w:pPr>
      <w:r>
        <w:rPr>
          <w:noProof/>
          <w:lang w:eastAsia="en-GB"/>
        </w:rPr>
        <w:drawing>
          <wp:inline distT="0" distB="0" distL="0" distR="0" wp14:anchorId="509F0CD9" wp14:editId="2F0FE609">
            <wp:extent cx="5730240" cy="3753293"/>
            <wp:effectExtent l="0" t="0" r="3810" b="0"/>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771671" cy="3780430"/>
                    </a:xfrm>
                    <a:prstGeom prst="rect">
                      <a:avLst/>
                    </a:prstGeom>
                    <a:noFill/>
                    <a:ln>
                      <a:noFill/>
                    </a:ln>
                  </pic:spPr>
                </pic:pic>
              </a:graphicData>
            </a:graphic>
          </wp:inline>
        </w:drawing>
      </w:r>
    </w:p>
    <w:p w14:paraId="63E18744" w14:textId="4515E467" w:rsidR="007B5D6F" w:rsidRPr="00D53660" w:rsidRDefault="007B5D6F" w:rsidP="00DC54F7">
      <w:pPr>
        <w:spacing w:after="0" w:line="240" w:lineRule="auto"/>
        <w:contextualSpacing/>
        <w:jc w:val="both"/>
        <w:rPr>
          <w:rFonts w:ascii="Arial" w:hAnsi="Arial" w:cs="Arial"/>
          <w:sz w:val="24"/>
          <w:szCs w:val="24"/>
        </w:rPr>
      </w:pPr>
      <w:r w:rsidRPr="00D53660">
        <w:rPr>
          <w:rFonts w:ascii="Arial" w:hAnsi="Arial" w:cs="Arial"/>
          <w:sz w:val="24"/>
          <w:szCs w:val="24"/>
        </w:rPr>
        <w:lastRenderedPageBreak/>
        <w:t>Looking at the opening hours for the pharmacies:</w:t>
      </w:r>
    </w:p>
    <w:p w14:paraId="5E0F3469" w14:textId="77777777" w:rsidR="007B5D6F" w:rsidRPr="00D53660" w:rsidRDefault="007B5D6F" w:rsidP="00DC54F7">
      <w:pPr>
        <w:spacing w:after="0" w:line="240" w:lineRule="auto"/>
        <w:contextualSpacing/>
        <w:jc w:val="both"/>
        <w:rPr>
          <w:rFonts w:ascii="Arial" w:hAnsi="Arial" w:cs="Arial"/>
          <w:sz w:val="24"/>
          <w:szCs w:val="24"/>
        </w:rPr>
      </w:pPr>
    </w:p>
    <w:p w14:paraId="085A91E4" w14:textId="36B9DBC3" w:rsidR="007B5D6F" w:rsidRPr="00D53660" w:rsidRDefault="00751BCB" w:rsidP="00DC54F7">
      <w:pPr>
        <w:pStyle w:val="ListParagraph"/>
        <w:numPr>
          <w:ilvl w:val="0"/>
          <w:numId w:val="141"/>
        </w:numPr>
        <w:spacing w:after="0" w:line="240" w:lineRule="auto"/>
        <w:jc w:val="both"/>
        <w:rPr>
          <w:rFonts w:ascii="Arial" w:hAnsi="Arial" w:cs="Arial"/>
          <w:sz w:val="24"/>
          <w:szCs w:val="24"/>
        </w:rPr>
      </w:pPr>
      <w:r w:rsidRPr="00D53660">
        <w:rPr>
          <w:rFonts w:ascii="Arial" w:hAnsi="Arial" w:cs="Arial"/>
          <w:sz w:val="24"/>
          <w:szCs w:val="24"/>
        </w:rPr>
        <w:t>Two</w:t>
      </w:r>
      <w:r w:rsidR="007B5D6F" w:rsidRPr="00D53660">
        <w:rPr>
          <w:rFonts w:ascii="Arial" w:hAnsi="Arial" w:cs="Arial"/>
          <w:sz w:val="24"/>
          <w:szCs w:val="24"/>
        </w:rPr>
        <w:t xml:space="preserve"> pharmac</w:t>
      </w:r>
      <w:r w:rsidR="00A42FCE" w:rsidRPr="00D53660">
        <w:rPr>
          <w:rFonts w:ascii="Arial" w:hAnsi="Arial" w:cs="Arial"/>
          <w:sz w:val="24"/>
          <w:szCs w:val="24"/>
        </w:rPr>
        <w:t>ies</w:t>
      </w:r>
      <w:r w:rsidR="007B5D6F" w:rsidRPr="00D53660">
        <w:rPr>
          <w:rFonts w:ascii="Arial" w:hAnsi="Arial" w:cs="Arial"/>
          <w:sz w:val="24"/>
          <w:szCs w:val="24"/>
        </w:rPr>
        <w:t xml:space="preserve"> </w:t>
      </w:r>
      <w:r w:rsidR="00A42FCE" w:rsidRPr="00D53660">
        <w:rPr>
          <w:rFonts w:ascii="Arial" w:hAnsi="Arial" w:cs="Arial"/>
          <w:sz w:val="24"/>
          <w:szCs w:val="24"/>
        </w:rPr>
        <w:t>are</w:t>
      </w:r>
      <w:r w:rsidR="007B5D6F" w:rsidRPr="00D53660">
        <w:rPr>
          <w:rFonts w:ascii="Arial" w:hAnsi="Arial" w:cs="Arial"/>
          <w:sz w:val="24"/>
          <w:szCs w:val="24"/>
        </w:rPr>
        <w:t xml:space="preserve"> open seven days a week</w:t>
      </w:r>
    </w:p>
    <w:p w14:paraId="159B80F7" w14:textId="00A434B3" w:rsidR="007B5D6F" w:rsidRPr="00D53660" w:rsidRDefault="00751BCB" w:rsidP="00DC54F7">
      <w:pPr>
        <w:pStyle w:val="ListParagraph"/>
        <w:numPr>
          <w:ilvl w:val="0"/>
          <w:numId w:val="141"/>
        </w:numPr>
        <w:spacing w:after="0" w:line="240" w:lineRule="auto"/>
        <w:jc w:val="both"/>
        <w:rPr>
          <w:rFonts w:ascii="Arial" w:hAnsi="Arial" w:cs="Arial"/>
          <w:sz w:val="24"/>
          <w:szCs w:val="24"/>
        </w:rPr>
      </w:pPr>
      <w:r w:rsidRPr="00D53660">
        <w:rPr>
          <w:rFonts w:ascii="Arial" w:hAnsi="Arial" w:cs="Arial"/>
          <w:sz w:val="24"/>
          <w:szCs w:val="24"/>
        </w:rPr>
        <w:t>Three</w:t>
      </w:r>
      <w:r w:rsidR="007B5D6F" w:rsidRPr="00D53660">
        <w:rPr>
          <w:rFonts w:ascii="Arial" w:hAnsi="Arial" w:cs="Arial"/>
          <w:sz w:val="24"/>
          <w:szCs w:val="24"/>
        </w:rPr>
        <w:t xml:space="preserve"> pharmac</w:t>
      </w:r>
      <w:r w:rsidR="00A42FCE" w:rsidRPr="00D53660">
        <w:rPr>
          <w:rFonts w:ascii="Arial" w:hAnsi="Arial" w:cs="Arial"/>
          <w:sz w:val="24"/>
          <w:szCs w:val="24"/>
        </w:rPr>
        <w:t>ies</w:t>
      </w:r>
      <w:r w:rsidR="007B5D6F" w:rsidRPr="00D53660">
        <w:rPr>
          <w:rFonts w:ascii="Arial" w:hAnsi="Arial" w:cs="Arial"/>
          <w:sz w:val="24"/>
          <w:szCs w:val="24"/>
        </w:rPr>
        <w:t xml:space="preserve"> </w:t>
      </w:r>
      <w:r w:rsidR="00A42FCE" w:rsidRPr="00D53660">
        <w:rPr>
          <w:rFonts w:ascii="Arial" w:hAnsi="Arial" w:cs="Arial"/>
          <w:sz w:val="24"/>
          <w:szCs w:val="24"/>
        </w:rPr>
        <w:t>are</w:t>
      </w:r>
      <w:r w:rsidR="007B5D6F" w:rsidRPr="00D53660">
        <w:rPr>
          <w:rFonts w:ascii="Arial" w:hAnsi="Arial" w:cs="Arial"/>
          <w:sz w:val="24"/>
          <w:szCs w:val="24"/>
        </w:rPr>
        <w:t xml:space="preserve"> open Monday to Saturday</w:t>
      </w:r>
    </w:p>
    <w:p w14:paraId="09AF52DC" w14:textId="3A9F695B" w:rsidR="007B5D6F" w:rsidRPr="00D53660" w:rsidRDefault="00751BCB" w:rsidP="00DC54F7">
      <w:pPr>
        <w:pStyle w:val="ListParagraph"/>
        <w:numPr>
          <w:ilvl w:val="0"/>
          <w:numId w:val="141"/>
        </w:numPr>
        <w:spacing w:after="0" w:line="240" w:lineRule="auto"/>
        <w:jc w:val="both"/>
        <w:rPr>
          <w:rFonts w:ascii="Arial" w:hAnsi="Arial" w:cs="Arial"/>
          <w:sz w:val="24"/>
          <w:szCs w:val="24"/>
        </w:rPr>
      </w:pPr>
      <w:r w:rsidRPr="00D53660">
        <w:rPr>
          <w:rFonts w:ascii="Arial" w:hAnsi="Arial" w:cs="Arial"/>
          <w:sz w:val="24"/>
          <w:szCs w:val="24"/>
        </w:rPr>
        <w:t>Five</w:t>
      </w:r>
      <w:r w:rsidR="007B5D6F" w:rsidRPr="00D53660">
        <w:rPr>
          <w:rFonts w:ascii="Arial" w:hAnsi="Arial" w:cs="Arial"/>
          <w:sz w:val="24"/>
          <w:szCs w:val="24"/>
        </w:rPr>
        <w:t xml:space="preserve"> pharmacies are open Monday to Friday and Saturday morning</w:t>
      </w:r>
    </w:p>
    <w:p w14:paraId="260A6E35" w14:textId="04364EFC" w:rsidR="007B5D6F" w:rsidRPr="00D53660" w:rsidRDefault="00751BCB" w:rsidP="00DC54F7">
      <w:pPr>
        <w:pStyle w:val="ListParagraph"/>
        <w:numPr>
          <w:ilvl w:val="0"/>
          <w:numId w:val="141"/>
        </w:numPr>
        <w:spacing w:after="0" w:line="240" w:lineRule="auto"/>
        <w:jc w:val="both"/>
        <w:rPr>
          <w:rFonts w:ascii="Arial" w:hAnsi="Arial" w:cs="Arial"/>
          <w:sz w:val="24"/>
          <w:szCs w:val="24"/>
        </w:rPr>
      </w:pPr>
      <w:r w:rsidRPr="00D53660">
        <w:rPr>
          <w:rFonts w:ascii="Arial" w:hAnsi="Arial" w:cs="Arial"/>
          <w:sz w:val="24"/>
          <w:szCs w:val="24"/>
        </w:rPr>
        <w:t>Six</w:t>
      </w:r>
      <w:r w:rsidR="007B5D6F" w:rsidRPr="00D53660">
        <w:rPr>
          <w:rFonts w:ascii="Arial" w:hAnsi="Arial" w:cs="Arial"/>
          <w:sz w:val="24"/>
          <w:szCs w:val="24"/>
        </w:rPr>
        <w:t xml:space="preserve"> pharmac</w:t>
      </w:r>
      <w:r w:rsidR="00A42FCE" w:rsidRPr="00D53660">
        <w:rPr>
          <w:rFonts w:ascii="Arial" w:hAnsi="Arial" w:cs="Arial"/>
          <w:sz w:val="24"/>
          <w:szCs w:val="24"/>
        </w:rPr>
        <w:t>ies are</w:t>
      </w:r>
      <w:r w:rsidR="007B5D6F" w:rsidRPr="00D53660">
        <w:rPr>
          <w:rFonts w:ascii="Arial" w:hAnsi="Arial" w:cs="Arial"/>
          <w:sz w:val="24"/>
          <w:szCs w:val="24"/>
        </w:rPr>
        <w:t xml:space="preserve"> open Monday to Friday</w:t>
      </w:r>
    </w:p>
    <w:p w14:paraId="7932A823" w14:textId="77777777" w:rsidR="007B5D6F" w:rsidRPr="00D53660" w:rsidRDefault="007B5D6F" w:rsidP="00DC54F7">
      <w:pPr>
        <w:spacing w:after="0" w:line="240" w:lineRule="auto"/>
        <w:contextualSpacing/>
        <w:jc w:val="both"/>
        <w:rPr>
          <w:rFonts w:ascii="Arial" w:hAnsi="Arial" w:cs="Arial"/>
          <w:sz w:val="24"/>
          <w:szCs w:val="24"/>
        </w:rPr>
      </w:pPr>
    </w:p>
    <w:p w14:paraId="474276CD" w14:textId="77777777" w:rsidR="00641C86" w:rsidRPr="00D53660" w:rsidRDefault="00641C86" w:rsidP="00DC54F7">
      <w:pPr>
        <w:spacing w:after="0" w:line="240" w:lineRule="auto"/>
        <w:contextualSpacing/>
        <w:jc w:val="both"/>
        <w:rPr>
          <w:rFonts w:ascii="Arial" w:hAnsi="Arial" w:cs="Arial"/>
          <w:sz w:val="24"/>
          <w:szCs w:val="24"/>
        </w:rPr>
      </w:pPr>
      <w:r w:rsidRPr="00D53660">
        <w:rPr>
          <w:rFonts w:ascii="Arial" w:hAnsi="Arial" w:cs="Arial"/>
          <w:sz w:val="24"/>
          <w:szCs w:val="24"/>
        </w:rPr>
        <w:t xml:space="preserve">All pharmacies must open for their core contractual hours, which are 40 hours a week. These can only be amended with approval by the health board. All additional hours or supplementary hours can be amended by the pharmacy following the provision of 90 days’ notice to the health board. Within the cluster, opening hours and closing hours range from: </w:t>
      </w:r>
    </w:p>
    <w:p w14:paraId="578C4D6B" w14:textId="77777777" w:rsidR="007B5D6F" w:rsidRPr="00D53660" w:rsidRDefault="007B5D6F" w:rsidP="00DC54F7">
      <w:pPr>
        <w:spacing w:after="0" w:line="240" w:lineRule="auto"/>
        <w:contextualSpacing/>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7B5D6F" w:rsidRPr="00D53660" w14:paraId="7DB2BFE2" w14:textId="77777777" w:rsidTr="001B5B54">
        <w:tc>
          <w:tcPr>
            <w:tcW w:w="3005" w:type="dxa"/>
          </w:tcPr>
          <w:p w14:paraId="3C82DF4F" w14:textId="77777777" w:rsidR="007B5D6F" w:rsidRPr="00D53660" w:rsidRDefault="007B5D6F" w:rsidP="00DC54F7">
            <w:pPr>
              <w:contextualSpacing/>
              <w:jc w:val="both"/>
              <w:rPr>
                <w:rFonts w:ascii="Arial" w:hAnsi="Arial" w:cs="Arial"/>
                <w:b/>
                <w:bCs/>
                <w:sz w:val="24"/>
                <w:szCs w:val="24"/>
              </w:rPr>
            </w:pPr>
            <w:r w:rsidRPr="00D53660">
              <w:rPr>
                <w:rFonts w:ascii="Arial" w:hAnsi="Arial" w:cs="Arial"/>
                <w:b/>
                <w:bCs/>
                <w:sz w:val="24"/>
                <w:szCs w:val="24"/>
              </w:rPr>
              <w:t>Days</w:t>
            </w:r>
          </w:p>
        </w:tc>
        <w:tc>
          <w:tcPr>
            <w:tcW w:w="3005" w:type="dxa"/>
          </w:tcPr>
          <w:p w14:paraId="03BDA096" w14:textId="77777777" w:rsidR="007B5D6F" w:rsidRPr="00D53660" w:rsidRDefault="007B5D6F" w:rsidP="00DC54F7">
            <w:pPr>
              <w:contextualSpacing/>
              <w:jc w:val="both"/>
              <w:rPr>
                <w:rFonts w:ascii="Arial" w:hAnsi="Arial" w:cs="Arial"/>
                <w:b/>
                <w:bCs/>
                <w:sz w:val="24"/>
                <w:szCs w:val="24"/>
              </w:rPr>
            </w:pPr>
            <w:r w:rsidRPr="00D53660">
              <w:rPr>
                <w:rFonts w:ascii="Arial" w:hAnsi="Arial" w:cs="Arial"/>
                <w:b/>
                <w:bCs/>
                <w:sz w:val="24"/>
                <w:szCs w:val="24"/>
              </w:rPr>
              <w:t>Opening hours range</w:t>
            </w:r>
          </w:p>
        </w:tc>
        <w:tc>
          <w:tcPr>
            <w:tcW w:w="3006" w:type="dxa"/>
          </w:tcPr>
          <w:p w14:paraId="1CC64787" w14:textId="77777777" w:rsidR="007B5D6F" w:rsidRPr="00D53660" w:rsidRDefault="007B5D6F" w:rsidP="00DC54F7">
            <w:pPr>
              <w:contextualSpacing/>
              <w:jc w:val="both"/>
              <w:rPr>
                <w:rFonts w:ascii="Arial" w:hAnsi="Arial" w:cs="Arial"/>
                <w:b/>
                <w:bCs/>
                <w:sz w:val="24"/>
                <w:szCs w:val="24"/>
              </w:rPr>
            </w:pPr>
            <w:r w:rsidRPr="00D53660">
              <w:rPr>
                <w:rFonts w:ascii="Arial" w:hAnsi="Arial" w:cs="Arial"/>
                <w:b/>
                <w:bCs/>
                <w:sz w:val="24"/>
                <w:szCs w:val="24"/>
              </w:rPr>
              <w:t>Closing hours range</w:t>
            </w:r>
          </w:p>
        </w:tc>
      </w:tr>
      <w:tr w:rsidR="007B5D6F" w:rsidRPr="00D53660" w14:paraId="34B03389" w14:textId="77777777" w:rsidTr="001B5B54">
        <w:tc>
          <w:tcPr>
            <w:tcW w:w="3005" w:type="dxa"/>
          </w:tcPr>
          <w:p w14:paraId="4D7849FF" w14:textId="77777777" w:rsidR="007B5D6F" w:rsidRPr="00D53660" w:rsidRDefault="007B5D6F" w:rsidP="00DC54F7">
            <w:pPr>
              <w:contextualSpacing/>
              <w:jc w:val="both"/>
              <w:rPr>
                <w:rFonts w:ascii="Arial" w:hAnsi="Arial" w:cs="Arial"/>
                <w:sz w:val="24"/>
                <w:szCs w:val="24"/>
              </w:rPr>
            </w:pPr>
            <w:r w:rsidRPr="00D53660">
              <w:rPr>
                <w:rFonts w:ascii="Arial" w:hAnsi="Arial" w:cs="Arial"/>
                <w:sz w:val="24"/>
                <w:szCs w:val="24"/>
              </w:rPr>
              <w:t>Monday to Friday</w:t>
            </w:r>
          </w:p>
        </w:tc>
        <w:tc>
          <w:tcPr>
            <w:tcW w:w="3005" w:type="dxa"/>
          </w:tcPr>
          <w:p w14:paraId="1ABB9015" w14:textId="77777777" w:rsidR="007B5D6F" w:rsidRPr="00D53660" w:rsidRDefault="007B5D6F" w:rsidP="00DC54F7">
            <w:pPr>
              <w:contextualSpacing/>
              <w:jc w:val="both"/>
              <w:rPr>
                <w:rFonts w:ascii="Arial" w:hAnsi="Arial" w:cs="Arial"/>
                <w:sz w:val="24"/>
                <w:szCs w:val="24"/>
              </w:rPr>
            </w:pPr>
            <w:r w:rsidRPr="00D53660">
              <w:rPr>
                <w:rFonts w:ascii="Arial" w:hAnsi="Arial" w:cs="Arial"/>
                <w:sz w:val="24"/>
                <w:szCs w:val="24"/>
              </w:rPr>
              <w:t>08.00am to 09.00am</w:t>
            </w:r>
          </w:p>
        </w:tc>
        <w:tc>
          <w:tcPr>
            <w:tcW w:w="3006" w:type="dxa"/>
          </w:tcPr>
          <w:p w14:paraId="2893444E" w14:textId="24C2D2F8" w:rsidR="007B5D6F" w:rsidRPr="00D53660" w:rsidRDefault="007B5D6F" w:rsidP="00DC54F7">
            <w:pPr>
              <w:contextualSpacing/>
              <w:jc w:val="both"/>
              <w:rPr>
                <w:rFonts w:ascii="Arial" w:hAnsi="Arial" w:cs="Arial"/>
                <w:sz w:val="24"/>
                <w:szCs w:val="24"/>
              </w:rPr>
            </w:pPr>
            <w:r w:rsidRPr="00D53660">
              <w:rPr>
                <w:rFonts w:ascii="Arial" w:hAnsi="Arial" w:cs="Arial"/>
                <w:sz w:val="24"/>
                <w:szCs w:val="24"/>
              </w:rPr>
              <w:t xml:space="preserve">17.30pm to </w:t>
            </w:r>
            <w:r w:rsidR="00DE46BF" w:rsidRPr="00D53660">
              <w:rPr>
                <w:rFonts w:ascii="Arial" w:hAnsi="Arial" w:cs="Arial"/>
                <w:sz w:val="24"/>
                <w:szCs w:val="24"/>
              </w:rPr>
              <w:t>21</w:t>
            </w:r>
            <w:r w:rsidRPr="00D53660">
              <w:rPr>
                <w:rFonts w:ascii="Arial" w:hAnsi="Arial" w:cs="Arial"/>
                <w:sz w:val="24"/>
                <w:szCs w:val="24"/>
              </w:rPr>
              <w:t>.</w:t>
            </w:r>
            <w:r w:rsidR="00DE46BF" w:rsidRPr="00D53660">
              <w:rPr>
                <w:rFonts w:ascii="Arial" w:hAnsi="Arial" w:cs="Arial"/>
                <w:sz w:val="24"/>
                <w:szCs w:val="24"/>
              </w:rPr>
              <w:t>0</w:t>
            </w:r>
            <w:r w:rsidRPr="00D53660">
              <w:rPr>
                <w:rFonts w:ascii="Arial" w:hAnsi="Arial" w:cs="Arial"/>
                <w:sz w:val="24"/>
                <w:szCs w:val="24"/>
              </w:rPr>
              <w:t>0pm</w:t>
            </w:r>
            <w:r w:rsidR="002E7D21" w:rsidRPr="00D53660">
              <w:rPr>
                <w:rFonts w:ascii="Arial" w:hAnsi="Arial" w:cs="Arial"/>
                <w:sz w:val="24"/>
                <w:szCs w:val="24"/>
              </w:rPr>
              <w:t>*</w:t>
            </w:r>
          </w:p>
        </w:tc>
      </w:tr>
      <w:tr w:rsidR="007B5D6F" w:rsidRPr="00D53660" w14:paraId="7423B630" w14:textId="77777777" w:rsidTr="001B5B54">
        <w:tc>
          <w:tcPr>
            <w:tcW w:w="3005" w:type="dxa"/>
          </w:tcPr>
          <w:p w14:paraId="66B5E862" w14:textId="77777777" w:rsidR="007B5D6F" w:rsidRPr="00D53660" w:rsidRDefault="007B5D6F" w:rsidP="00DC54F7">
            <w:pPr>
              <w:contextualSpacing/>
              <w:jc w:val="both"/>
              <w:rPr>
                <w:rFonts w:ascii="Arial" w:hAnsi="Arial" w:cs="Arial"/>
                <w:sz w:val="24"/>
                <w:szCs w:val="24"/>
              </w:rPr>
            </w:pPr>
            <w:r w:rsidRPr="00D53660">
              <w:rPr>
                <w:rFonts w:ascii="Arial" w:hAnsi="Arial" w:cs="Arial"/>
                <w:sz w:val="24"/>
                <w:szCs w:val="24"/>
              </w:rPr>
              <w:t>Saturday</w:t>
            </w:r>
          </w:p>
        </w:tc>
        <w:tc>
          <w:tcPr>
            <w:tcW w:w="3005" w:type="dxa"/>
          </w:tcPr>
          <w:p w14:paraId="6BA0DABB" w14:textId="0DBE04D5" w:rsidR="007B5D6F" w:rsidRPr="00D53660" w:rsidRDefault="007B5D6F" w:rsidP="00DC54F7">
            <w:pPr>
              <w:contextualSpacing/>
              <w:jc w:val="both"/>
              <w:rPr>
                <w:rFonts w:ascii="Arial" w:hAnsi="Arial" w:cs="Arial"/>
                <w:sz w:val="24"/>
                <w:szCs w:val="24"/>
              </w:rPr>
            </w:pPr>
            <w:r w:rsidRPr="00D53660">
              <w:rPr>
                <w:rFonts w:ascii="Arial" w:hAnsi="Arial" w:cs="Arial"/>
                <w:sz w:val="24"/>
                <w:szCs w:val="24"/>
              </w:rPr>
              <w:t>0</w:t>
            </w:r>
            <w:r w:rsidR="00444545" w:rsidRPr="00D53660">
              <w:rPr>
                <w:rFonts w:ascii="Arial" w:hAnsi="Arial" w:cs="Arial"/>
                <w:sz w:val="24"/>
                <w:szCs w:val="24"/>
              </w:rPr>
              <w:t>8</w:t>
            </w:r>
            <w:r w:rsidRPr="00D53660">
              <w:rPr>
                <w:rFonts w:ascii="Arial" w:hAnsi="Arial" w:cs="Arial"/>
                <w:sz w:val="24"/>
                <w:szCs w:val="24"/>
              </w:rPr>
              <w:t xml:space="preserve">.00am </w:t>
            </w:r>
            <w:r w:rsidR="00444545" w:rsidRPr="00D53660">
              <w:rPr>
                <w:rFonts w:ascii="Arial" w:hAnsi="Arial" w:cs="Arial"/>
                <w:sz w:val="24"/>
                <w:szCs w:val="24"/>
              </w:rPr>
              <w:t>to 09.30am</w:t>
            </w:r>
          </w:p>
        </w:tc>
        <w:tc>
          <w:tcPr>
            <w:tcW w:w="3006" w:type="dxa"/>
          </w:tcPr>
          <w:p w14:paraId="14F41DB0" w14:textId="76CD0F60" w:rsidR="007B5D6F" w:rsidRPr="00D53660" w:rsidRDefault="007B5D6F" w:rsidP="00DC54F7">
            <w:pPr>
              <w:contextualSpacing/>
              <w:jc w:val="both"/>
              <w:rPr>
                <w:rFonts w:ascii="Arial" w:hAnsi="Arial" w:cs="Arial"/>
                <w:sz w:val="24"/>
                <w:szCs w:val="24"/>
              </w:rPr>
            </w:pPr>
            <w:r w:rsidRPr="00D53660">
              <w:rPr>
                <w:rFonts w:ascii="Arial" w:hAnsi="Arial" w:cs="Arial"/>
                <w:sz w:val="24"/>
                <w:szCs w:val="24"/>
              </w:rPr>
              <w:t>1</w:t>
            </w:r>
            <w:r w:rsidR="00444545" w:rsidRPr="00D53660">
              <w:rPr>
                <w:rFonts w:ascii="Arial" w:hAnsi="Arial" w:cs="Arial"/>
                <w:sz w:val="24"/>
                <w:szCs w:val="24"/>
              </w:rPr>
              <w:t>1</w:t>
            </w:r>
            <w:r w:rsidRPr="00D53660">
              <w:rPr>
                <w:rFonts w:ascii="Arial" w:hAnsi="Arial" w:cs="Arial"/>
                <w:sz w:val="24"/>
                <w:szCs w:val="24"/>
              </w:rPr>
              <w:t>.</w:t>
            </w:r>
            <w:r w:rsidR="00444545" w:rsidRPr="00D53660">
              <w:rPr>
                <w:rFonts w:ascii="Arial" w:hAnsi="Arial" w:cs="Arial"/>
                <w:sz w:val="24"/>
                <w:szCs w:val="24"/>
              </w:rPr>
              <w:t>3</w:t>
            </w:r>
            <w:r w:rsidRPr="00D53660">
              <w:rPr>
                <w:rFonts w:ascii="Arial" w:hAnsi="Arial" w:cs="Arial"/>
                <w:sz w:val="24"/>
                <w:szCs w:val="24"/>
              </w:rPr>
              <w:t xml:space="preserve">0pm to </w:t>
            </w:r>
            <w:r w:rsidR="00444545" w:rsidRPr="00D53660">
              <w:rPr>
                <w:rFonts w:ascii="Arial" w:hAnsi="Arial" w:cs="Arial"/>
                <w:sz w:val="24"/>
                <w:szCs w:val="24"/>
              </w:rPr>
              <w:t>22</w:t>
            </w:r>
            <w:r w:rsidRPr="00D53660">
              <w:rPr>
                <w:rFonts w:ascii="Arial" w:hAnsi="Arial" w:cs="Arial"/>
                <w:sz w:val="24"/>
                <w:szCs w:val="24"/>
              </w:rPr>
              <w:t>.</w:t>
            </w:r>
            <w:r w:rsidR="00444545" w:rsidRPr="00D53660">
              <w:rPr>
                <w:rFonts w:ascii="Arial" w:hAnsi="Arial" w:cs="Arial"/>
                <w:sz w:val="24"/>
                <w:szCs w:val="24"/>
              </w:rPr>
              <w:t>0</w:t>
            </w:r>
            <w:r w:rsidRPr="00D53660">
              <w:rPr>
                <w:rFonts w:ascii="Arial" w:hAnsi="Arial" w:cs="Arial"/>
                <w:sz w:val="24"/>
                <w:szCs w:val="24"/>
              </w:rPr>
              <w:t>0pm</w:t>
            </w:r>
          </w:p>
        </w:tc>
      </w:tr>
      <w:tr w:rsidR="007B5D6F" w:rsidRPr="00D53660" w14:paraId="3C43E1F4" w14:textId="77777777" w:rsidTr="001B5B54">
        <w:tc>
          <w:tcPr>
            <w:tcW w:w="3005" w:type="dxa"/>
          </w:tcPr>
          <w:p w14:paraId="191133B2" w14:textId="77777777" w:rsidR="007B5D6F" w:rsidRPr="00D53660" w:rsidRDefault="007B5D6F" w:rsidP="00DC54F7">
            <w:pPr>
              <w:contextualSpacing/>
              <w:jc w:val="both"/>
              <w:rPr>
                <w:rFonts w:ascii="Arial" w:hAnsi="Arial" w:cs="Arial"/>
                <w:sz w:val="24"/>
                <w:szCs w:val="24"/>
              </w:rPr>
            </w:pPr>
            <w:r w:rsidRPr="00D53660">
              <w:rPr>
                <w:rFonts w:ascii="Arial" w:hAnsi="Arial" w:cs="Arial"/>
                <w:sz w:val="24"/>
                <w:szCs w:val="24"/>
              </w:rPr>
              <w:t>Sunday</w:t>
            </w:r>
          </w:p>
        </w:tc>
        <w:tc>
          <w:tcPr>
            <w:tcW w:w="3005" w:type="dxa"/>
          </w:tcPr>
          <w:p w14:paraId="43F8E8A3" w14:textId="5B389607" w:rsidR="007B5D6F" w:rsidRPr="00D53660" w:rsidRDefault="007B5D6F" w:rsidP="00DC54F7">
            <w:pPr>
              <w:contextualSpacing/>
              <w:jc w:val="both"/>
              <w:rPr>
                <w:rFonts w:ascii="Arial" w:hAnsi="Arial" w:cs="Arial"/>
                <w:sz w:val="24"/>
                <w:szCs w:val="24"/>
              </w:rPr>
            </w:pPr>
            <w:r w:rsidRPr="00D53660">
              <w:rPr>
                <w:rFonts w:ascii="Arial" w:hAnsi="Arial" w:cs="Arial"/>
                <w:sz w:val="24"/>
                <w:szCs w:val="24"/>
              </w:rPr>
              <w:t>10.00am</w:t>
            </w:r>
            <w:r w:rsidR="00444545" w:rsidRPr="00D53660">
              <w:rPr>
                <w:rFonts w:ascii="Arial" w:hAnsi="Arial" w:cs="Arial"/>
                <w:sz w:val="24"/>
                <w:szCs w:val="24"/>
              </w:rPr>
              <w:t xml:space="preserve"> to 10.30am</w:t>
            </w:r>
            <w:r w:rsidRPr="00D53660">
              <w:rPr>
                <w:rFonts w:ascii="Arial" w:hAnsi="Arial" w:cs="Arial"/>
                <w:sz w:val="24"/>
                <w:szCs w:val="24"/>
              </w:rPr>
              <w:t xml:space="preserve"> </w:t>
            </w:r>
          </w:p>
        </w:tc>
        <w:tc>
          <w:tcPr>
            <w:tcW w:w="3006" w:type="dxa"/>
          </w:tcPr>
          <w:p w14:paraId="3F019F2A" w14:textId="7919DBCE" w:rsidR="007B5D6F" w:rsidRPr="00D53660" w:rsidRDefault="007B5D6F" w:rsidP="00DC54F7">
            <w:pPr>
              <w:contextualSpacing/>
              <w:jc w:val="both"/>
              <w:rPr>
                <w:rFonts w:ascii="Arial" w:hAnsi="Arial" w:cs="Arial"/>
                <w:sz w:val="24"/>
                <w:szCs w:val="24"/>
              </w:rPr>
            </w:pPr>
            <w:r w:rsidRPr="00D53660">
              <w:rPr>
                <w:rFonts w:ascii="Arial" w:hAnsi="Arial" w:cs="Arial"/>
                <w:sz w:val="24"/>
                <w:szCs w:val="24"/>
              </w:rPr>
              <w:t>16.00pm</w:t>
            </w:r>
            <w:r w:rsidR="00444545" w:rsidRPr="00D53660">
              <w:rPr>
                <w:rFonts w:ascii="Arial" w:hAnsi="Arial" w:cs="Arial"/>
                <w:sz w:val="24"/>
                <w:szCs w:val="24"/>
              </w:rPr>
              <w:t xml:space="preserve"> to </w:t>
            </w:r>
            <w:r w:rsidR="004124EB" w:rsidRPr="00D53660">
              <w:rPr>
                <w:rFonts w:ascii="Arial" w:hAnsi="Arial" w:cs="Arial"/>
                <w:sz w:val="24"/>
                <w:szCs w:val="24"/>
              </w:rPr>
              <w:t>16.30pm</w:t>
            </w:r>
          </w:p>
        </w:tc>
      </w:tr>
    </w:tbl>
    <w:p w14:paraId="1340235D" w14:textId="6124295E" w:rsidR="007B5D6F" w:rsidRPr="00D53660" w:rsidRDefault="007B5D6F" w:rsidP="00DC54F7">
      <w:pPr>
        <w:spacing w:after="0" w:line="240" w:lineRule="auto"/>
        <w:contextualSpacing/>
        <w:jc w:val="both"/>
        <w:rPr>
          <w:rFonts w:ascii="Arial" w:hAnsi="Arial" w:cs="Arial"/>
          <w:sz w:val="24"/>
          <w:szCs w:val="24"/>
        </w:rPr>
      </w:pPr>
    </w:p>
    <w:p w14:paraId="4353DA9B" w14:textId="2E95E994" w:rsidR="002E7D21" w:rsidRPr="00D53660" w:rsidRDefault="00DB4B2C" w:rsidP="00DC54F7">
      <w:pPr>
        <w:spacing w:after="0" w:line="240" w:lineRule="auto"/>
        <w:jc w:val="both"/>
        <w:rPr>
          <w:rFonts w:ascii="Arial" w:hAnsi="Arial" w:cs="Arial"/>
          <w:sz w:val="24"/>
          <w:szCs w:val="24"/>
        </w:rPr>
      </w:pPr>
      <w:r w:rsidRPr="00D53660">
        <w:rPr>
          <w:rFonts w:ascii="Arial" w:hAnsi="Arial" w:cs="Arial"/>
          <w:sz w:val="24"/>
          <w:szCs w:val="24"/>
        </w:rPr>
        <w:t>*</w:t>
      </w:r>
      <w:r w:rsidR="002E7D21" w:rsidRPr="00D53660">
        <w:rPr>
          <w:rFonts w:ascii="Arial" w:hAnsi="Arial" w:cs="Arial"/>
          <w:sz w:val="24"/>
          <w:szCs w:val="24"/>
        </w:rPr>
        <w:t>Three pharmacies close earlier at 17.00 on Wednesday</w:t>
      </w:r>
    </w:p>
    <w:p w14:paraId="1E995279" w14:textId="67449405" w:rsidR="007B5D6F" w:rsidRPr="006E6035" w:rsidRDefault="007B5D6F" w:rsidP="00DC54F7">
      <w:pPr>
        <w:spacing w:after="0" w:line="240" w:lineRule="auto"/>
        <w:contextualSpacing/>
        <w:jc w:val="both"/>
        <w:rPr>
          <w:rFonts w:ascii="Arial" w:hAnsi="Arial" w:cs="Arial"/>
        </w:rPr>
      </w:pPr>
      <w:r w:rsidRPr="00D53660">
        <w:rPr>
          <w:rFonts w:ascii="Arial" w:hAnsi="Arial" w:cs="Arial"/>
          <w:sz w:val="24"/>
          <w:szCs w:val="24"/>
        </w:rPr>
        <w:t>Full details of when the pharmacies are open can be found in Appendix L.</w:t>
      </w:r>
    </w:p>
    <w:p w14:paraId="1EA3EF95" w14:textId="77777777" w:rsidR="007B5D6F" w:rsidRDefault="007B5D6F" w:rsidP="00DC54F7">
      <w:pPr>
        <w:spacing w:after="0" w:line="240" w:lineRule="auto"/>
        <w:jc w:val="both"/>
        <w:rPr>
          <w:rFonts w:ascii="Arial" w:hAnsi="Arial" w:cs="Arial"/>
          <w:highlight w:val="cyan"/>
          <w:lang w:val="en-US"/>
        </w:rPr>
      </w:pPr>
    </w:p>
    <w:p w14:paraId="5AD1DF53" w14:textId="7B71BC7C" w:rsidR="0023125B" w:rsidRPr="00851183" w:rsidRDefault="0023125B" w:rsidP="00DC54F7">
      <w:pPr>
        <w:spacing w:after="0" w:line="240" w:lineRule="auto"/>
        <w:contextualSpacing/>
        <w:jc w:val="both"/>
        <w:rPr>
          <w:rFonts w:ascii="Arial" w:hAnsi="Arial" w:cs="Arial"/>
          <w:sz w:val="24"/>
          <w:szCs w:val="24"/>
        </w:rPr>
      </w:pPr>
      <w:r w:rsidRPr="00851183">
        <w:rPr>
          <w:rFonts w:ascii="Arial" w:hAnsi="Arial" w:cs="Arial"/>
          <w:sz w:val="24"/>
          <w:szCs w:val="24"/>
        </w:rPr>
        <w:t xml:space="preserve">All </w:t>
      </w:r>
      <w:r w:rsidR="000017D7" w:rsidRPr="00851183">
        <w:rPr>
          <w:rFonts w:ascii="Arial" w:hAnsi="Arial" w:cs="Arial"/>
          <w:sz w:val="24"/>
          <w:szCs w:val="24"/>
        </w:rPr>
        <w:t>16</w:t>
      </w:r>
      <w:r w:rsidRPr="00851183">
        <w:rPr>
          <w:rFonts w:ascii="Arial" w:hAnsi="Arial" w:cs="Arial"/>
          <w:sz w:val="24"/>
          <w:szCs w:val="24"/>
        </w:rPr>
        <w:t xml:space="preserve"> pharmacies responded to the contractor questionnaire, of which </w:t>
      </w:r>
      <w:r w:rsidR="000017D7" w:rsidRPr="00851183">
        <w:rPr>
          <w:rFonts w:ascii="Arial" w:hAnsi="Arial" w:cs="Arial"/>
          <w:sz w:val="24"/>
          <w:szCs w:val="24"/>
        </w:rPr>
        <w:t>12</w:t>
      </w:r>
      <w:r w:rsidRPr="00851183">
        <w:rPr>
          <w:rFonts w:ascii="Arial" w:hAnsi="Arial" w:cs="Arial"/>
          <w:sz w:val="24"/>
          <w:szCs w:val="24"/>
        </w:rPr>
        <w:t xml:space="preserve"> </w:t>
      </w:r>
      <w:r w:rsidR="001A6BB7" w:rsidRPr="00851183">
        <w:rPr>
          <w:rFonts w:ascii="Arial" w:hAnsi="Arial" w:cs="Arial"/>
          <w:sz w:val="24"/>
          <w:szCs w:val="24"/>
        </w:rPr>
        <w:t xml:space="preserve">pharmacies </w:t>
      </w:r>
      <w:r w:rsidRPr="00851183">
        <w:rPr>
          <w:rFonts w:ascii="Arial" w:hAnsi="Arial" w:cs="Arial"/>
          <w:sz w:val="24"/>
          <w:szCs w:val="24"/>
        </w:rPr>
        <w:t>dispense all appliances listed in Part IX of the Drug Tariff</w:t>
      </w:r>
      <w:r w:rsidR="001A6BB7" w:rsidRPr="00851183">
        <w:rPr>
          <w:rFonts w:ascii="Arial" w:hAnsi="Arial" w:cs="Arial"/>
          <w:sz w:val="24"/>
          <w:szCs w:val="24"/>
        </w:rPr>
        <w:t xml:space="preserve"> and </w:t>
      </w:r>
      <w:r w:rsidR="000017D7" w:rsidRPr="00851183">
        <w:rPr>
          <w:rFonts w:ascii="Arial" w:hAnsi="Arial" w:cs="Arial"/>
          <w:sz w:val="24"/>
          <w:szCs w:val="24"/>
        </w:rPr>
        <w:t>three</w:t>
      </w:r>
      <w:r w:rsidRPr="00851183">
        <w:rPr>
          <w:rFonts w:ascii="Arial" w:hAnsi="Arial" w:cs="Arial"/>
          <w:sz w:val="24"/>
          <w:szCs w:val="24"/>
        </w:rPr>
        <w:t xml:space="preserve"> just dispense dressings</w:t>
      </w:r>
      <w:r w:rsidR="001A6BB7" w:rsidRPr="00851183">
        <w:rPr>
          <w:rFonts w:ascii="Arial" w:hAnsi="Arial" w:cs="Arial"/>
          <w:sz w:val="24"/>
          <w:szCs w:val="24"/>
        </w:rPr>
        <w:t>. O</w:t>
      </w:r>
      <w:r w:rsidR="000017D7" w:rsidRPr="00851183">
        <w:rPr>
          <w:rFonts w:ascii="Arial" w:hAnsi="Arial" w:cs="Arial"/>
          <w:sz w:val="24"/>
          <w:szCs w:val="24"/>
        </w:rPr>
        <w:t xml:space="preserve">ne </w:t>
      </w:r>
      <w:r w:rsidR="001A6BB7" w:rsidRPr="00851183">
        <w:rPr>
          <w:rFonts w:ascii="Arial" w:hAnsi="Arial" w:cs="Arial"/>
          <w:sz w:val="24"/>
          <w:szCs w:val="24"/>
        </w:rPr>
        <w:t xml:space="preserve">pharmacy </w:t>
      </w:r>
      <w:r w:rsidR="006F6DB8" w:rsidRPr="00851183">
        <w:rPr>
          <w:rFonts w:ascii="Arial" w:hAnsi="Arial" w:cs="Arial"/>
          <w:sz w:val="24"/>
          <w:szCs w:val="24"/>
        </w:rPr>
        <w:t xml:space="preserve">does not dispense any </w:t>
      </w:r>
      <w:r w:rsidR="008B2AC1" w:rsidRPr="00851183">
        <w:rPr>
          <w:rFonts w:ascii="Arial" w:hAnsi="Arial" w:cs="Arial"/>
          <w:sz w:val="24"/>
          <w:szCs w:val="24"/>
        </w:rPr>
        <w:t>appliances</w:t>
      </w:r>
      <w:r w:rsidRPr="00851183">
        <w:rPr>
          <w:rFonts w:ascii="Arial" w:hAnsi="Arial" w:cs="Arial"/>
          <w:sz w:val="24"/>
          <w:szCs w:val="24"/>
        </w:rPr>
        <w:t xml:space="preserve">. </w:t>
      </w:r>
    </w:p>
    <w:p w14:paraId="374BF71B" w14:textId="77777777" w:rsidR="00D53660" w:rsidRPr="00851183" w:rsidRDefault="00D53660" w:rsidP="00DC54F7">
      <w:pPr>
        <w:spacing w:after="0" w:line="240" w:lineRule="auto"/>
        <w:jc w:val="both"/>
        <w:rPr>
          <w:rFonts w:ascii="Arial" w:hAnsi="Arial" w:cs="Arial"/>
          <w:sz w:val="24"/>
          <w:szCs w:val="24"/>
        </w:rPr>
      </w:pPr>
    </w:p>
    <w:p w14:paraId="48270E5F" w14:textId="6F374B2D" w:rsidR="007A00D9" w:rsidRPr="00851183" w:rsidRDefault="0023125B" w:rsidP="00DC54F7">
      <w:pPr>
        <w:spacing w:after="0" w:line="240" w:lineRule="auto"/>
        <w:jc w:val="both"/>
        <w:rPr>
          <w:rFonts w:ascii="Arial" w:hAnsi="Arial" w:cs="Arial"/>
          <w:sz w:val="24"/>
          <w:szCs w:val="24"/>
        </w:rPr>
      </w:pPr>
      <w:r w:rsidRPr="00851183">
        <w:rPr>
          <w:rFonts w:ascii="Arial" w:hAnsi="Arial" w:cs="Arial"/>
          <w:sz w:val="24"/>
          <w:szCs w:val="24"/>
        </w:rPr>
        <w:t>In 2019 to 2020, a</w:t>
      </w:r>
      <w:r w:rsidR="0012139C" w:rsidRPr="00851183">
        <w:rPr>
          <w:rFonts w:ascii="Arial" w:hAnsi="Arial" w:cs="Arial"/>
          <w:sz w:val="24"/>
          <w:szCs w:val="24"/>
        </w:rPr>
        <w:t>l</w:t>
      </w:r>
      <w:r w:rsidR="00D26ECE" w:rsidRPr="00851183">
        <w:rPr>
          <w:rFonts w:ascii="Arial" w:hAnsi="Arial" w:cs="Arial"/>
          <w:sz w:val="24"/>
          <w:szCs w:val="24"/>
        </w:rPr>
        <w:t>l</w:t>
      </w:r>
      <w:r w:rsidR="0012139C" w:rsidRPr="00851183">
        <w:rPr>
          <w:rFonts w:ascii="Arial" w:hAnsi="Arial" w:cs="Arial"/>
          <w:sz w:val="24"/>
          <w:szCs w:val="24"/>
        </w:rPr>
        <w:t xml:space="preserve"> 16</w:t>
      </w:r>
      <w:r w:rsidRPr="00851183">
        <w:rPr>
          <w:rFonts w:ascii="Arial" w:hAnsi="Arial" w:cs="Arial"/>
          <w:sz w:val="24"/>
          <w:szCs w:val="24"/>
        </w:rPr>
        <w:t xml:space="preserve"> pharmacies offered the MUR service and a total of </w:t>
      </w:r>
      <w:r w:rsidR="0012139C" w:rsidRPr="00851183">
        <w:rPr>
          <w:rFonts w:ascii="Arial" w:hAnsi="Arial" w:cs="Arial"/>
          <w:sz w:val="24"/>
          <w:szCs w:val="24"/>
        </w:rPr>
        <w:t>4,246</w:t>
      </w:r>
      <w:r w:rsidRPr="00851183">
        <w:rPr>
          <w:rFonts w:ascii="Arial" w:hAnsi="Arial" w:cs="Arial"/>
          <w:sz w:val="24"/>
          <w:szCs w:val="24"/>
        </w:rPr>
        <w:t xml:space="preserve"> reviews were provided out of a possible </w:t>
      </w:r>
      <w:r w:rsidR="00411341" w:rsidRPr="00851183">
        <w:rPr>
          <w:rFonts w:ascii="Arial" w:hAnsi="Arial" w:cs="Arial"/>
          <w:sz w:val="24"/>
          <w:szCs w:val="24"/>
        </w:rPr>
        <w:t>6</w:t>
      </w:r>
      <w:r w:rsidRPr="00851183">
        <w:rPr>
          <w:rFonts w:ascii="Arial" w:hAnsi="Arial" w:cs="Arial"/>
          <w:sz w:val="24"/>
          <w:szCs w:val="24"/>
        </w:rPr>
        <w:t>,</w:t>
      </w:r>
      <w:r w:rsidR="00411341" w:rsidRPr="00851183">
        <w:rPr>
          <w:rFonts w:ascii="Arial" w:hAnsi="Arial" w:cs="Arial"/>
          <w:sz w:val="24"/>
          <w:szCs w:val="24"/>
        </w:rPr>
        <w:t>4</w:t>
      </w:r>
      <w:r w:rsidRPr="00851183">
        <w:rPr>
          <w:rFonts w:ascii="Arial" w:hAnsi="Arial" w:cs="Arial"/>
          <w:sz w:val="24"/>
          <w:szCs w:val="24"/>
        </w:rPr>
        <w:t xml:space="preserve">00 reviews. </w:t>
      </w:r>
      <w:r w:rsidR="00346985" w:rsidRPr="00851183">
        <w:rPr>
          <w:rFonts w:ascii="Arial" w:hAnsi="Arial" w:cs="Arial"/>
          <w:sz w:val="24"/>
          <w:szCs w:val="24"/>
        </w:rPr>
        <w:t>Four</w:t>
      </w:r>
      <w:r w:rsidRPr="00851183">
        <w:rPr>
          <w:rFonts w:ascii="Arial" w:hAnsi="Arial" w:cs="Arial"/>
          <w:sz w:val="24"/>
          <w:szCs w:val="24"/>
        </w:rPr>
        <w:t xml:space="preserve"> pharmacies provided the maximum number of </w:t>
      </w:r>
      <w:r w:rsidR="00346985" w:rsidRPr="00851183">
        <w:rPr>
          <w:rFonts w:ascii="Arial" w:hAnsi="Arial" w:cs="Arial"/>
          <w:sz w:val="24"/>
          <w:szCs w:val="24"/>
        </w:rPr>
        <w:t xml:space="preserve">400 </w:t>
      </w:r>
      <w:r w:rsidRPr="00851183">
        <w:rPr>
          <w:rFonts w:ascii="Arial" w:hAnsi="Arial" w:cs="Arial"/>
          <w:sz w:val="24"/>
          <w:szCs w:val="24"/>
        </w:rPr>
        <w:t>reviews.</w:t>
      </w:r>
      <w:r w:rsidR="007A00D9" w:rsidRPr="00851183">
        <w:rPr>
          <w:rFonts w:ascii="Arial" w:hAnsi="Arial" w:cs="Arial"/>
          <w:sz w:val="24"/>
          <w:szCs w:val="24"/>
        </w:rPr>
        <w:t xml:space="preserve"> The Welsh Government </w:t>
      </w:r>
      <w:r w:rsidR="0065290A" w:rsidRPr="00851183">
        <w:rPr>
          <w:rFonts w:ascii="Arial" w:hAnsi="Arial" w:cs="Arial"/>
          <w:sz w:val="24"/>
          <w:szCs w:val="24"/>
        </w:rPr>
        <w:t>formally</w:t>
      </w:r>
      <w:r w:rsidR="00C92BF2" w:rsidRPr="00851183">
        <w:rPr>
          <w:rFonts w:ascii="Arial" w:hAnsi="Arial" w:cs="Arial"/>
          <w:sz w:val="24"/>
          <w:szCs w:val="24"/>
        </w:rPr>
        <w:t xml:space="preserve"> </w:t>
      </w:r>
      <w:r w:rsidR="007A00D9" w:rsidRPr="00851183">
        <w:rPr>
          <w:rFonts w:ascii="Arial" w:hAnsi="Arial" w:cs="Arial"/>
          <w:sz w:val="24"/>
          <w:szCs w:val="24"/>
        </w:rPr>
        <w:t xml:space="preserve">suspended the MUR service on 13 March 2020.  At the time of writing, </w:t>
      </w:r>
      <w:r w:rsidR="0070331C" w:rsidRPr="00851183">
        <w:rPr>
          <w:rFonts w:ascii="Arial" w:hAnsi="Arial" w:cs="Arial"/>
          <w:sz w:val="24"/>
          <w:szCs w:val="24"/>
        </w:rPr>
        <w:t>it is not known if the service will re-commence</w:t>
      </w:r>
      <w:r w:rsidR="007A00D9" w:rsidRPr="00851183">
        <w:rPr>
          <w:rFonts w:ascii="Arial" w:hAnsi="Arial" w:cs="Arial"/>
          <w:sz w:val="24"/>
          <w:szCs w:val="24"/>
        </w:rPr>
        <w:t>.</w:t>
      </w:r>
    </w:p>
    <w:p w14:paraId="5960B2E1" w14:textId="1D5F3EDC" w:rsidR="0023125B" w:rsidRPr="00851183" w:rsidRDefault="0023125B" w:rsidP="00DC54F7">
      <w:pPr>
        <w:spacing w:after="0" w:line="240" w:lineRule="auto"/>
        <w:jc w:val="both"/>
        <w:rPr>
          <w:rFonts w:ascii="Arial" w:hAnsi="Arial" w:cs="Arial"/>
          <w:sz w:val="24"/>
          <w:szCs w:val="24"/>
        </w:rPr>
      </w:pPr>
    </w:p>
    <w:p w14:paraId="44288015" w14:textId="4F8F2069" w:rsidR="0023125B" w:rsidRPr="00851183" w:rsidRDefault="0023125B" w:rsidP="00DC54F7">
      <w:pPr>
        <w:spacing w:after="0" w:line="240" w:lineRule="auto"/>
        <w:jc w:val="both"/>
        <w:rPr>
          <w:rFonts w:ascii="Arial" w:hAnsi="Arial" w:cs="Arial"/>
          <w:sz w:val="24"/>
          <w:szCs w:val="24"/>
        </w:rPr>
      </w:pPr>
      <w:r w:rsidRPr="00851183">
        <w:rPr>
          <w:rFonts w:ascii="Arial" w:hAnsi="Arial" w:cs="Arial"/>
          <w:sz w:val="24"/>
          <w:szCs w:val="24"/>
        </w:rPr>
        <w:t xml:space="preserve">In 2019 to 2020, </w:t>
      </w:r>
      <w:r w:rsidR="00B70BB9" w:rsidRPr="00851183">
        <w:rPr>
          <w:rFonts w:ascii="Arial" w:hAnsi="Arial" w:cs="Arial"/>
          <w:sz w:val="24"/>
          <w:szCs w:val="24"/>
        </w:rPr>
        <w:t>14</w:t>
      </w:r>
      <w:r w:rsidRPr="00851183">
        <w:rPr>
          <w:rFonts w:ascii="Arial" w:hAnsi="Arial" w:cs="Arial"/>
          <w:sz w:val="24"/>
          <w:szCs w:val="24"/>
        </w:rPr>
        <w:t xml:space="preserve"> pharmacies offered the DMR </w:t>
      </w:r>
      <w:r w:rsidR="00386E15" w:rsidRPr="00851183">
        <w:rPr>
          <w:rFonts w:ascii="Arial" w:hAnsi="Arial" w:cs="Arial"/>
          <w:sz w:val="24"/>
          <w:szCs w:val="24"/>
        </w:rPr>
        <w:t xml:space="preserve">service </w:t>
      </w:r>
      <w:r w:rsidRPr="00851183">
        <w:rPr>
          <w:rFonts w:ascii="Arial" w:hAnsi="Arial" w:cs="Arial"/>
          <w:sz w:val="24"/>
          <w:szCs w:val="24"/>
        </w:rPr>
        <w:t xml:space="preserve">and a total of </w:t>
      </w:r>
      <w:r w:rsidR="00B70BB9" w:rsidRPr="00851183">
        <w:rPr>
          <w:rFonts w:ascii="Arial" w:hAnsi="Arial" w:cs="Arial"/>
          <w:sz w:val="24"/>
          <w:szCs w:val="24"/>
        </w:rPr>
        <w:t>417</w:t>
      </w:r>
      <w:r w:rsidRPr="00851183">
        <w:rPr>
          <w:rFonts w:ascii="Arial" w:hAnsi="Arial" w:cs="Arial"/>
          <w:sz w:val="24"/>
          <w:szCs w:val="24"/>
        </w:rPr>
        <w:t xml:space="preserve"> reviews were provided out of a possible 1,</w:t>
      </w:r>
      <w:r w:rsidR="00E87BBB" w:rsidRPr="00851183">
        <w:rPr>
          <w:rFonts w:ascii="Arial" w:hAnsi="Arial" w:cs="Arial"/>
          <w:sz w:val="24"/>
          <w:szCs w:val="24"/>
        </w:rPr>
        <w:t>960</w:t>
      </w:r>
      <w:r w:rsidRPr="00851183">
        <w:rPr>
          <w:rFonts w:ascii="Arial" w:hAnsi="Arial" w:cs="Arial"/>
          <w:sz w:val="24"/>
          <w:szCs w:val="24"/>
        </w:rPr>
        <w:t xml:space="preserve"> reviews. </w:t>
      </w:r>
      <w:r w:rsidR="00F1636F" w:rsidRPr="00851183">
        <w:rPr>
          <w:rFonts w:ascii="Arial" w:hAnsi="Arial" w:cs="Arial"/>
          <w:sz w:val="24"/>
          <w:szCs w:val="24"/>
        </w:rPr>
        <w:t>Two</w:t>
      </w:r>
      <w:r w:rsidRPr="00851183">
        <w:rPr>
          <w:rFonts w:ascii="Arial" w:hAnsi="Arial" w:cs="Arial"/>
          <w:sz w:val="24"/>
          <w:szCs w:val="24"/>
        </w:rPr>
        <w:t xml:space="preserve"> pharmac</w:t>
      </w:r>
      <w:r w:rsidR="00F1636F" w:rsidRPr="00851183">
        <w:rPr>
          <w:rFonts w:ascii="Arial" w:hAnsi="Arial" w:cs="Arial"/>
          <w:sz w:val="24"/>
          <w:szCs w:val="24"/>
        </w:rPr>
        <w:t>ies</w:t>
      </w:r>
      <w:r w:rsidRPr="00851183">
        <w:rPr>
          <w:rFonts w:ascii="Arial" w:hAnsi="Arial" w:cs="Arial"/>
          <w:sz w:val="24"/>
          <w:szCs w:val="24"/>
        </w:rPr>
        <w:t xml:space="preserve"> provided the maximum number of </w:t>
      </w:r>
      <w:r w:rsidR="00F1636F" w:rsidRPr="00851183">
        <w:rPr>
          <w:rFonts w:ascii="Arial" w:hAnsi="Arial" w:cs="Arial"/>
          <w:sz w:val="24"/>
          <w:szCs w:val="24"/>
        </w:rPr>
        <w:t xml:space="preserve">140 </w:t>
      </w:r>
      <w:r w:rsidRPr="00851183">
        <w:rPr>
          <w:rFonts w:ascii="Arial" w:hAnsi="Arial" w:cs="Arial"/>
          <w:sz w:val="24"/>
          <w:szCs w:val="24"/>
        </w:rPr>
        <w:t>reviews.</w:t>
      </w:r>
      <w:r w:rsidR="009D4733" w:rsidRPr="00851183">
        <w:rPr>
          <w:rFonts w:ascii="Arial" w:hAnsi="Arial" w:cs="Arial"/>
          <w:sz w:val="24"/>
          <w:szCs w:val="24"/>
        </w:rPr>
        <w:t xml:space="preserve"> </w:t>
      </w:r>
      <w:r w:rsidR="00D1125B" w:rsidRPr="00851183">
        <w:rPr>
          <w:rFonts w:ascii="Arial" w:hAnsi="Arial" w:cs="Arial"/>
          <w:sz w:val="24"/>
          <w:szCs w:val="24"/>
        </w:rPr>
        <w:t>As part of the changes to the community pharmacy contractual framework for 2021, the cap of the number of paid DMRs has since been removed.</w:t>
      </w:r>
    </w:p>
    <w:p w14:paraId="2BA38477" w14:textId="77777777" w:rsidR="0023125B" w:rsidRPr="00851183" w:rsidRDefault="0023125B" w:rsidP="00DC54F7">
      <w:pPr>
        <w:spacing w:after="0" w:line="240" w:lineRule="auto"/>
        <w:jc w:val="both"/>
        <w:rPr>
          <w:rFonts w:ascii="Arial" w:hAnsi="Arial" w:cs="Arial"/>
          <w:sz w:val="24"/>
          <w:szCs w:val="24"/>
          <w:highlight w:val="cyan"/>
          <w:lang w:val="en-US"/>
        </w:rPr>
      </w:pPr>
    </w:p>
    <w:p w14:paraId="0C16DB1A" w14:textId="77777777" w:rsidR="00423B33" w:rsidRPr="00851183" w:rsidRDefault="00423B33" w:rsidP="00DC54F7">
      <w:pPr>
        <w:spacing w:after="0" w:line="240" w:lineRule="auto"/>
        <w:contextualSpacing/>
        <w:jc w:val="both"/>
        <w:rPr>
          <w:rFonts w:ascii="Arial" w:hAnsi="Arial" w:cs="Arial"/>
          <w:sz w:val="24"/>
          <w:szCs w:val="24"/>
        </w:rPr>
      </w:pPr>
      <w:r w:rsidRPr="00851183">
        <w:rPr>
          <w:rFonts w:ascii="Arial" w:hAnsi="Arial" w:cs="Arial"/>
          <w:sz w:val="24"/>
          <w:szCs w:val="24"/>
        </w:rPr>
        <w:t>In 2019 to 2020, the following enhanced services were provided by pharmacies in the cluster area:</w:t>
      </w:r>
    </w:p>
    <w:p w14:paraId="63E01C75" w14:textId="77777777" w:rsidR="00423B33" w:rsidRPr="00851183" w:rsidRDefault="00423B33" w:rsidP="00DC54F7">
      <w:pPr>
        <w:spacing w:after="0" w:line="240" w:lineRule="auto"/>
        <w:contextualSpacing/>
        <w:jc w:val="both"/>
        <w:rPr>
          <w:rFonts w:ascii="Arial" w:hAnsi="Arial" w:cs="Arial"/>
          <w:sz w:val="24"/>
          <w:szCs w:val="24"/>
        </w:rPr>
      </w:pPr>
    </w:p>
    <w:p w14:paraId="27B08E32" w14:textId="3E189D43" w:rsidR="00423B33" w:rsidRPr="00851183" w:rsidRDefault="00365B98" w:rsidP="00DC54F7">
      <w:pPr>
        <w:pStyle w:val="ListParagraph"/>
        <w:numPr>
          <w:ilvl w:val="0"/>
          <w:numId w:val="142"/>
        </w:numPr>
        <w:spacing w:after="0" w:line="240" w:lineRule="auto"/>
        <w:jc w:val="both"/>
        <w:rPr>
          <w:rFonts w:ascii="Arial" w:hAnsi="Arial" w:cs="Arial"/>
          <w:sz w:val="24"/>
          <w:szCs w:val="24"/>
        </w:rPr>
      </w:pPr>
      <w:r w:rsidRPr="00851183">
        <w:rPr>
          <w:rFonts w:ascii="Arial" w:hAnsi="Arial" w:cs="Arial"/>
          <w:sz w:val="24"/>
          <w:szCs w:val="24"/>
        </w:rPr>
        <w:t>Nine</w:t>
      </w:r>
      <w:r w:rsidR="00423B33" w:rsidRPr="00851183">
        <w:rPr>
          <w:rFonts w:ascii="Arial" w:hAnsi="Arial" w:cs="Arial"/>
          <w:sz w:val="24"/>
          <w:szCs w:val="24"/>
        </w:rPr>
        <w:t xml:space="preserve"> pharmacies provided a total of </w:t>
      </w:r>
      <w:r w:rsidRPr="00851183">
        <w:rPr>
          <w:rFonts w:ascii="Arial" w:hAnsi="Arial" w:cs="Arial"/>
          <w:sz w:val="24"/>
          <w:szCs w:val="24"/>
        </w:rPr>
        <w:t>1366</w:t>
      </w:r>
      <w:r w:rsidR="00423B33" w:rsidRPr="00851183">
        <w:rPr>
          <w:rFonts w:ascii="Arial" w:hAnsi="Arial" w:cs="Arial"/>
          <w:sz w:val="24"/>
          <w:szCs w:val="24"/>
        </w:rPr>
        <w:t xml:space="preserve"> emergency contraception consultations, with a range of </w:t>
      </w:r>
      <w:r w:rsidRPr="00851183">
        <w:rPr>
          <w:rFonts w:ascii="Arial" w:hAnsi="Arial" w:cs="Arial"/>
          <w:sz w:val="24"/>
          <w:szCs w:val="24"/>
        </w:rPr>
        <w:t>18</w:t>
      </w:r>
      <w:r w:rsidR="00423B33" w:rsidRPr="00851183">
        <w:rPr>
          <w:rFonts w:ascii="Arial" w:hAnsi="Arial" w:cs="Arial"/>
          <w:sz w:val="24"/>
          <w:szCs w:val="24"/>
        </w:rPr>
        <w:t xml:space="preserve"> to </w:t>
      </w:r>
      <w:r w:rsidR="00A01D85" w:rsidRPr="00851183">
        <w:rPr>
          <w:rFonts w:ascii="Arial" w:hAnsi="Arial" w:cs="Arial"/>
          <w:sz w:val="24"/>
          <w:szCs w:val="24"/>
        </w:rPr>
        <w:t>662</w:t>
      </w:r>
      <w:r w:rsidR="00423B33" w:rsidRPr="00851183">
        <w:rPr>
          <w:rFonts w:ascii="Arial" w:hAnsi="Arial" w:cs="Arial"/>
          <w:sz w:val="24"/>
          <w:szCs w:val="24"/>
        </w:rPr>
        <w:t xml:space="preserve"> consultations.</w:t>
      </w:r>
    </w:p>
    <w:p w14:paraId="3B4BD7E6" w14:textId="2270DD85" w:rsidR="00423B33" w:rsidRPr="00851183" w:rsidRDefault="00A01D85" w:rsidP="00DC54F7">
      <w:pPr>
        <w:pStyle w:val="ListParagraph"/>
        <w:numPr>
          <w:ilvl w:val="0"/>
          <w:numId w:val="86"/>
        </w:numPr>
        <w:spacing w:after="0" w:line="240" w:lineRule="auto"/>
        <w:jc w:val="both"/>
        <w:rPr>
          <w:rFonts w:ascii="Arial" w:hAnsi="Arial" w:cs="Arial"/>
          <w:sz w:val="24"/>
          <w:szCs w:val="24"/>
        </w:rPr>
      </w:pPr>
      <w:r w:rsidRPr="00851183">
        <w:rPr>
          <w:rFonts w:ascii="Arial" w:hAnsi="Arial" w:cs="Arial"/>
          <w:sz w:val="24"/>
          <w:szCs w:val="24"/>
        </w:rPr>
        <w:t>Six</w:t>
      </w:r>
      <w:r w:rsidR="00423B33" w:rsidRPr="00851183">
        <w:rPr>
          <w:rFonts w:ascii="Arial" w:hAnsi="Arial" w:cs="Arial"/>
          <w:sz w:val="24"/>
          <w:szCs w:val="24"/>
        </w:rPr>
        <w:t xml:space="preserve"> pharmacies provided a total of </w:t>
      </w:r>
      <w:r w:rsidR="009216B7" w:rsidRPr="00851183">
        <w:rPr>
          <w:rFonts w:ascii="Arial" w:hAnsi="Arial" w:cs="Arial"/>
          <w:sz w:val="24"/>
          <w:szCs w:val="24"/>
        </w:rPr>
        <w:t>89</w:t>
      </w:r>
      <w:r w:rsidR="00423B33" w:rsidRPr="00851183">
        <w:rPr>
          <w:rFonts w:ascii="Arial" w:hAnsi="Arial" w:cs="Arial"/>
          <w:sz w:val="24"/>
          <w:szCs w:val="24"/>
        </w:rPr>
        <w:t xml:space="preserve"> smoking cessation level 3 consultations, with a range of </w:t>
      </w:r>
      <w:r w:rsidR="009216B7" w:rsidRPr="00851183">
        <w:rPr>
          <w:rFonts w:ascii="Arial" w:hAnsi="Arial" w:cs="Arial"/>
          <w:sz w:val="24"/>
          <w:szCs w:val="24"/>
        </w:rPr>
        <w:t>four</w:t>
      </w:r>
      <w:r w:rsidR="00423B33" w:rsidRPr="00851183">
        <w:rPr>
          <w:rFonts w:ascii="Arial" w:hAnsi="Arial" w:cs="Arial"/>
          <w:sz w:val="24"/>
          <w:szCs w:val="24"/>
        </w:rPr>
        <w:t xml:space="preserve"> to 2</w:t>
      </w:r>
      <w:r w:rsidR="009216B7" w:rsidRPr="00851183">
        <w:rPr>
          <w:rFonts w:ascii="Arial" w:hAnsi="Arial" w:cs="Arial"/>
          <w:sz w:val="24"/>
          <w:szCs w:val="24"/>
        </w:rPr>
        <w:t>9</w:t>
      </w:r>
      <w:r w:rsidR="00423B33" w:rsidRPr="00851183">
        <w:rPr>
          <w:rFonts w:ascii="Arial" w:hAnsi="Arial" w:cs="Arial"/>
          <w:sz w:val="24"/>
          <w:szCs w:val="24"/>
        </w:rPr>
        <w:t xml:space="preserve"> consultations.</w:t>
      </w:r>
    </w:p>
    <w:p w14:paraId="67A6742F" w14:textId="24386F60" w:rsidR="00423B33" w:rsidRPr="00851183" w:rsidRDefault="009216B7" w:rsidP="00DC54F7">
      <w:pPr>
        <w:pStyle w:val="ListParagraph"/>
        <w:numPr>
          <w:ilvl w:val="0"/>
          <w:numId w:val="86"/>
        </w:numPr>
        <w:spacing w:after="0" w:line="240" w:lineRule="auto"/>
        <w:jc w:val="both"/>
        <w:rPr>
          <w:rFonts w:ascii="Arial" w:hAnsi="Arial" w:cs="Arial"/>
          <w:sz w:val="24"/>
          <w:szCs w:val="24"/>
        </w:rPr>
      </w:pPr>
      <w:r w:rsidRPr="00851183">
        <w:rPr>
          <w:rFonts w:ascii="Arial" w:hAnsi="Arial" w:cs="Arial"/>
          <w:sz w:val="24"/>
          <w:szCs w:val="24"/>
        </w:rPr>
        <w:t>11</w:t>
      </w:r>
      <w:r w:rsidR="00423B33" w:rsidRPr="00851183">
        <w:rPr>
          <w:rFonts w:ascii="Arial" w:hAnsi="Arial" w:cs="Arial"/>
          <w:sz w:val="24"/>
          <w:szCs w:val="24"/>
        </w:rPr>
        <w:t xml:space="preserve"> pharmacies provided a total of </w:t>
      </w:r>
      <w:r w:rsidRPr="00851183">
        <w:rPr>
          <w:rFonts w:ascii="Arial" w:hAnsi="Arial" w:cs="Arial"/>
          <w:sz w:val="24"/>
          <w:szCs w:val="24"/>
        </w:rPr>
        <w:t>961</w:t>
      </w:r>
      <w:r w:rsidR="00423B33" w:rsidRPr="00851183">
        <w:rPr>
          <w:rFonts w:ascii="Arial" w:hAnsi="Arial" w:cs="Arial"/>
          <w:sz w:val="24"/>
          <w:szCs w:val="24"/>
        </w:rPr>
        <w:t xml:space="preserve"> flu vaccinations, with a range of </w:t>
      </w:r>
      <w:r w:rsidRPr="00851183">
        <w:rPr>
          <w:rFonts w:ascii="Arial" w:hAnsi="Arial" w:cs="Arial"/>
          <w:sz w:val="24"/>
          <w:szCs w:val="24"/>
        </w:rPr>
        <w:t>one</w:t>
      </w:r>
      <w:r w:rsidR="00423B33" w:rsidRPr="00851183">
        <w:rPr>
          <w:rFonts w:ascii="Arial" w:hAnsi="Arial" w:cs="Arial"/>
          <w:sz w:val="24"/>
          <w:szCs w:val="24"/>
        </w:rPr>
        <w:t xml:space="preserve"> to </w:t>
      </w:r>
      <w:r w:rsidRPr="00851183">
        <w:rPr>
          <w:rFonts w:ascii="Arial" w:hAnsi="Arial" w:cs="Arial"/>
          <w:sz w:val="24"/>
          <w:szCs w:val="24"/>
        </w:rPr>
        <w:t>299</w:t>
      </w:r>
      <w:r w:rsidR="00423B33" w:rsidRPr="00851183">
        <w:rPr>
          <w:rFonts w:ascii="Arial" w:hAnsi="Arial" w:cs="Arial"/>
          <w:sz w:val="24"/>
          <w:szCs w:val="24"/>
        </w:rPr>
        <w:t xml:space="preserve"> vaccinations.</w:t>
      </w:r>
    </w:p>
    <w:p w14:paraId="77C422E9" w14:textId="09919DA1" w:rsidR="00423B33" w:rsidRPr="00851183" w:rsidRDefault="009216B7" w:rsidP="00DC54F7">
      <w:pPr>
        <w:pStyle w:val="ListParagraph"/>
        <w:numPr>
          <w:ilvl w:val="0"/>
          <w:numId w:val="86"/>
        </w:numPr>
        <w:spacing w:after="0" w:line="240" w:lineRule="auto"/>
        <w:jc w:val="both"/>
        <w:rPr>
          <w:rFonts w:ascii="Arial" w:hAnsi="Arial" w:cs="Arial"/>
          <w:sz w:val="24"/>
          <w:szCs w:val="24"/>
        </w:rPr>
      </w:pPr>
      <w:r w:rsidRPr="00851183">
        <w:rPr>
          <w:rFonts w:ascii="Arial" w:hAnsi="Arial" w:cs="Arial"/>
          <w:sz w:val="24"/>
          <w:szCs w:val="24"/>
        </w:rPr>
        <w:t>15</w:t>
      </w:r>
      <w:r w:rsidR="00423B33" w:rsidRPr="00851183">
        <w:rPr>
          <w:rFonts w:ascii="Arial" w:hAnsi="Arial" w:cs="Arial"/>
          <w:sz w:val="24"/>
          <w:szCs w:val="24"/>
        </w:rPr>
        <w:t xml:space="preserve"> pharmacies provided a total of </w:t>
      </w:r>
      <w:r w:rsidRPr="00851183">
        <w:rPr>
          <w:rFonts w:ascii="Arial" w:hAnsi="Arial" w:cs="Arial"/>
          <w:sz w:val="24"/>
          <w:szCs w:val="24"/>
        </w:rPr>
        <w:t>961</w:t>
      </w:r>
      <w:r w:rsidR="00423B33" w:rsidRPr="00851183">
        <w:rPr>
          <w:rFonts w:ascii="Arial" w:hAnsi="Arial" w:cs="Arial"/>
          <w:sz w:val="24"/>
          <w:szCs w:val="24"/>
        </w:rPr>
        <w:t xml:space="preserve"> CAS consultations, with a range of </w:t>
      </w:r>
      <w:r w:rsidRPr="00851183">
        <w:rPr>
          <w:rFonts w:ascii="Arial" w:hAnsi="Arial" w:cs="Arial"/>
          <w:sz w:val="24"/>
          <w:szCs w:val="24"/>
        </w:rPr>
        <w:t>five</w:t>
      </w:r>
      <w:r w:rsidR="00423B33" w:rsidRPr="00851183">
        <w:rPr>
          <w:rFonts w:ascii="Arial" w:hAnsi="Arial" w:cs="Arial"/>
          <w:sz w:val="24"/>
          <w:szCs w:val="24"/>
        </w:rPr>
        <w:t xml:space="preserve"> to 1</w:t>
      </w:r>
      <w:r w:rsidRPr="00851183">
        <w:rPr>
          <w:rFonts w:ascii="Arial" w:hAnsi="Arial" w:cs="Arial"/>
          <w:sz w:val="24"/>
          <w:szCs w:val="24"/>
        </w:rPr>
        <w:t>77</w:t>
      </w:r>
      <w:r w:rsidR="00423B33" w:rsidRPr="00851183">
        <w:rPr>
          <w:rFonts w:ascii="Arial" w:hAnsi="Arial" w:cs="Arial"/>
          <w:sz w:val="24"/>
          <w:szCs w:val="24"/>
        </w:rPr>
        <w:t xml:space="preserve"> consultations.</w:t>
      </w:r>
    </w:p>
    <w:p w14:paraId="3A7C3DCE" w14:textId="790D056A" w:rsidR="00423B33" w:rsidRPr="00851183" w:rsidRDefault="00423B33" w:rsidP="00DC54F7">
      <w:pPr>
        <w:pStyle w:val="ListParagraph"/>
        <w:numPr>
          <w:ilvl w:val="0"/>
          <w:numId w:val="86"/>
        </w:numPr>
        <w:spacing w:after="0" w:line="240" w:lineRule="auto"/>
        <w:jc w:val="both"/>
        <w:rPr>
          <w:rFonts w:ascii="Arial" w:hAnsi="Arial" w:cs="Arial"/>
          <w:sz w:val="24"/>
          <w:szCs w:val="24"/>
        </w:rPr>
      </w:pPr>
      <w:r w:rsidRPr="00851183">
        <w:rPr>
          <w:rFonts w:ascii="Arial" w:hAnsi="Arial" w:cs="Arial"/>
          <w:sz w:val="24"/>
          <w:szCs w:val="24"/>
        </w:rPr>
        <w:lastRenderedPageBreak/>
        <w:t>F</w:t>
      </w:r>
      <w:r w:rsidR="00BA479E" w:rsidRPr="00851183">
        <w:rPr>
          <w:rFonts w:ascii="Arial" w:hAnsi="Arial" w:cs="Arial"/>
          <w:sz w:val="24"/>
          <w:szCs w:val="24"/>
        </w:rPr>
        <w:t>i</w:t>
      </w:r>
      <w:r w:rsidR="005A16C4" w:rsidRPr="00851183">
        <w:rPr>
          <w:rFonts w:ascii="Arial" w:hAnsi="Arial" w:cs="Arial"/>
          <w:sz w:val="24"/>
          <w:szCs w:val="24"/>
        </w:rPr>
        <w:t>ve</w:t>
      </w:r>
      <w:r w:rsidRPr="00851183">
        <w:rPr>
          <w:rFonts w:ascii="Arial" w:hAnsi="Arial" w:cs="Arial"/>
          <w:sz w:val="24"/>
          <w:szCs w:val="24"/>
        </w:rPr>
        <w:t xml:space="preserve"> pharmacies provided a total of </w:t>
      </w:r>
      <w:r w:rsidR="00BA479E" w:rsidRPr="00851183">
        <w:rPr>
          <w:rFonts w:ascii="Arial" w:hAnsi="Arial" w:cs="Arial"/>
          <w:sz w:val="24"/>
          <w:szCs w:val="24"/>
        </w:rPr>
        <w:t>200</w:t>
      </w:r>
      <w:r w:rsidRPr="00851183">
        <w:rPr>
          <w:rFonts w:ascii="Arial" w:hAnsi="Arial" w:cs="Arial"/>
          <w:sz w:val="24"/>
          <w:szCs w:val="24"/>
        </w:rPr>
        <w:t xml:space="preserve"> EMS consultations, with a range of one to </w:t>
      </w:r>
      <w:r w:rsidR="00BA479E" w:rsidRPr="00851183">
        <w:rPr>
          <w:rFonts w:ascii="Arial" w:hAnsi="Arial" w:cs="Arial"/>
          <w:sz w:val="24"/>
          <w:szCs w:val="24"/>
        </w:rPr>
        <w:t>144</w:t>
      </w:r>
      <w:r w:rsidRPr="00851183">
        <w:rPr>
          <w:rFonts w:ascii="Arial" w:hAnsi="Arial" w:cs="Arial"/>
          <w:sz w:val="24"/>
          <w:szCs w:val="24"/>
        </w:rPr>
        <w:t xml:space="preserve"> consultations.</w:t>
      </w:r>
    </w:p>
    <w:p w14:paraId="0ABF3131" w14:textId="77777777" w:rsidR="00C2620B" w:rsidRPr="00851183" w:rsidRDefault="00C2620B" w:rsidP="00DC54F7">
      <w:pPr>
        <w:spacing w:after="0" w:line="240" w:lineRule="auto"/>
        <w:jc w:val="both"/>
        <w:rPr>
          <w:rFonts w:ascii="Arial" w:hAnsi="Arial" w:cs="Arial"/>
          <w:sz w:val="24"/>
          <w:szCs w:val="24"/>
        </w:rPr>
      </w:pPr>
    </w:p>
    <w:p w14:paraId="63CEE23D" w14:textId="6023C638" w:rsidR="00C2620B" w:rsidRPr="00851183" w:rsidRDefault="00C2620B" w:rsidP="00DC54F7">
      <w:pPr>
        <w:spacing w:after="0" w:line="240" w:lineRule="auto"/>
        <w:jc w:val="both"/>
        <w:rPr>
          <w:rFonts w:ascii="Arial" w:hAnsi="Arial" w:cs="Arial"/>
          <w:sz w:val="24"/>
          <w:szCs w:val="24"/>
        </w:rPr>
      </w:pPr>
      <w:r w:rsidRPr="00851183">
        <w:rPr>
          <w:rFonts w:ascii="Arial" w:hAnsi="Arial" w:cs="Arial"/>
          <w:sz w:val="24"/>
          <w:szCs w:val="24"/>
        </w:rPr>
        <w:t>Other enhanced services included:</w:t>
      </w:r>
    </w:p>
    <w:p w14:paraId="577834A6" w14:textId="0C4C88A4" w:rsidR="00F0012D" w:rsidRPr="00EE70BB" w:rsidRDefault="00F0012D" w:rsidP="00DC54F7">
      <w:pPr>
        <w:pStyle w:val="ListParagraph"/>
        <w:numPr>
          <w:ilvl w:val="0"/>
          <w:numId w:val="195"/>
        </w:numPr>
        <w:spacing w:after="0" w:line="240" w:lineRule="auto"/>
        <w:jc w:val="both"/>
        <w:rPr>
          <w:rFonts w:ascii="Arial" w:hAnsi="Arial" w:cs="Arial"/>
          <w:color w:val="000000"/>
          <w:sz w:val="24"/>
          <w:szCs w:val="24"/>
        </w:rPr>
      </w:pPr>
      <w:r w:rsidRPr="00851183">
        <w:rPr>
          <w:rFonts w:ascii="Arial" w:hAnsi="Arial" w:cs="Arial"/>
          <w:sz w:val="24"/>
          <w:szCs w:val="24"/>
        </w:rPr>
        <w:t xml:space="preserve">Eight pharmacies provided </w:t>
      </w:r>
      <w:r w:rsidR="00EE70BB" w:rsidRPr="00752236">
        <w:rPr>
          <w:rFonts w:ascii="Arial" w:hAnsi="Arial" w:cs="Arial"/>
          <w:sz w:val="24"/>
          <w:szCs w:val="24"/>
        </w:rPr>
        <w:t xml:space="preserve">the </w:t>
      </w:r>
      <w:r w:rsidR="00EE70BB" w:rsidRPr="00752236">
        <w:rPr>
          <w:rFonts w:ascii="Arial" w:hAnsi="Arial" w:cs="Arial"/>
          <w:color w:val="000000"/>
          <w:sz w:val="24"/>
          <w:szCs w:val="24"/>
        </w:rPr>
        <w:t>Supervised Administration of Medicines Enhanced Service.</w:t>
      </w:r>
    </w:p>
    <w:p w14:paraId="12CA3C44" w14:textId="6005DBD2" w:rsidR="00C2620B" w:rsidRPr="00851183" w:rsidRDefault="00D07297" w:rsidP="00DC54F7">
      <w:pPr>
        <w:pStyle w:val="ListParagraph"/>
        <w:numPr>
          <w:ilvl w:val="0"/>
          <w:numId w:val="154"/>
        </w:numPr>
        <w:spacing w:after="0" w:line="240" w:lineRule="auto"/>
        <w:jc w:val="both"/>
        <w:rPr>
          <w:rFonts w:ascii="Arial" w:hAnsi="Arial" w:cs="Arial"/>
          <w:sz w:val="24"/>
          <w:szCs w:val="24"/>
        </w:rPr>
      </w:pPr>
      <w:r w:rsidRPr="00851183">
        <w:rPr>
          <w:rFonts w:ascii="Arial" w:hAnsi="Arial" w:cs="Arial"/>
          <w:sz w:val="24"/>
          <w:szCs w:val="24"/>
        </w:rPr>
        <w:t>Three</w:t>
      </w:r>
      <w:r w:rsidR="00C2620B" w:rsidRPr="00851183">
        <w:rPr>
          <w:rFonts w:ascii="Arial" w:hAnsi="Arial" w:cs="Arial"/>
          <w:sz w:val="24"/>
          <w:szCs w:val="24"/>
        </w:rPr>
        <w:t xml:space="preserve"> pharmac</w:t>
      </w:r>
      <w:r w:rsidRPr="00851183">
        <w:rPr>
          <w:rFonts w:ascii="Arial" w:hAnsi="Arial" w:cs="Arial"/>
          <w:sz w:val="24"/>
          <w:szCs w:val="24"/>
        </w:rPr>
        <w:t>ies</w:t>
      </w:r>
      <w:r w:rsidR="00C2620B" w:rsidRPr="00851183">
        <w:rPr>
          <w:rFonts w:ascii="Arial" w:hAnsi="Arial" w:cs="Arial"/>
          <w:sz w:val="24"/>
          <w:szCs w:val="24"/>
        </w:rPr>
        <w:t xml:space="preserve"> provided the </w:t>
      </w:r>
      <w:r w:rsidR="00D65C93">
        <w:rPr>
          <w:rFonts w:ascii="Arial" w:hAnsi="Arial" w:cs="Arial"/>
          <w:sz w:val="24"/>
          <w:szCs w:val="24"/>
        </w:rPr>
        <w:t xml:space="preserve">Needle Syringe Provision </w:t>
      </w:r>
      <w:r w:rsidR="00EE70BB">
        <w:rPr>
          <w:rFonts w:ascii="Arial" w:hAnsi="Arial" w:cs="Arial"/>
          <w:sz w:val="24"/>
          <w:szCs w:val="24"/>
        </w:rPr>
        <w:t>Enhan</w:t>
      </w:r>
      <w:r w:rsidR="008017CC">
        <w:rPr>
          <w:rFonts w:ascii="Arial" w:hAnsi="Arial" w:cs="Arial"/>
          <w:sz w:val="24"/>
          <w:szCs w:val="24"/>
        </w:rPr>
        <w:t>ced S</w:t>
      </w:r>
      <w:r w:rsidR="00C2620B" w:rsidRPr="00851183">
        <w:rPr>
          <w:rFonts w:ascii="Arial" w:hAnsi="Arial" w:cs="Arial"/>
          <w:sz w:val="24"/>
          <w:szCs w:val="24"/>
        </w:rPr>
        <w:t>ervice</w:t>
      </w:r>
      <w:r w:rsidR="00851183">
        <w:rPr>
          <w:rFonts w:ascii="Arial" w:hAnsi="Arial" w:cs="Arial"/>
          <w:sz w:val="24"/>
          <w:szCs w:val="24"/>
        </w:rPr>
        <w:t>.</w:t>
      </w:r>
    </w:p>
    <w:p w14:paraId="7376CB13" w14:textId="09A8B807" w:rsidR="00C2620B" w:rsidRPr="00851183" w:rsidRDefault="00C2620B" w:rsidP="00DC54F7">
      <w:pPr>
        <w:pStyle w:val="ListParagraph"/>
        <w:numPr>
          <w:ilvl w:val="0"/>
          <w:numId w:val="154"/>
        </w:numPr>
        <w:spacing w:after="0" w:line="240" w:lineRule="auto"/>
        <w:jc w:val="both"/>
        <w:rPr>
          <w:rFonts w:ascii="Arial" w:hAnsi="Arial" w:cs="Arial"/>
          <w:sz w:val="24"/>
          <w:szCs w:val="24"/>
        </w:rPr>
      </w:pPr>
      <w:r w:rsidRPr="00851183">
        <w:rPr>
          <w:rFonts w:ascii="Arial" w:hAnsi="Arial" w:cs="Arial"/>
          <w:sz w:val="24"/>
          <w:szCs w:val="24"/>
        </w:rPr>
        <w:t>T</w:t>
      </w:r>
      <w:r w:rsidR="00510E72" w:rsidRPr="00851183">
        <w:rPr>
          <w:rFonts w:ascii="Arial" w:hAnsi="Arial" w:cs="Arial"/>
          <w:sz w:val="24"/>
          <w:szCs w:val="24"/>
        </w:rPr>
        <w:t>hree</w:t>
      </w:r>
      <w:r w:rsidRPr="00851183">
        <w:rPr>
          <w:rFonts w:ascii="Arial" w:hAnsi="Arial" w:cs="Arial"/>
          <w:sz w:val="24"/>
          <w:szCs w:val="24"/>
        </w:rPr>
        <w:t xml:space="preserve"> pharmacies provided the </w:t>
      </w:r>
      <w:r w:rsidR="008017CC">
        <w:rPr>
          <w:rFonts w:ascii="Arial" w:hAnsi="Arial" w:cs="Arial"/>
          <w:sz w:val="24"/>
          <w:szCs w:val="24"/>
        </w:rPr>
        <w:t>P</w:t>
      </w:r>
      <w:r w:rsidRPr="00851183">
        <w:rPr>
          <w:rFonts w:ascii="Arial" w:hAnsi="Arial" w:cs="Arial"/>
          <w:sz w:val="24"/>
          <w:szCs w:val="24"/>
        </w:rPr>
        <w:t xml:space="preserve">alliative </w:t>
      </w:r>
      <w:r w:rsidR="008017CC">
        <w:rPr>
          <w:rFonts w:ascii="Arial" w:hAnsi="Arial" w:cs="Arial"/>
          <w:sz w:val="24"/>
          <w:szCs w:val="24"/>
        </w:rPr>
        <w:t>C</w:t>
      </w:r>
      <w:r w:rsidRPr="00851183">
        <w:rPr>
          <w:rFonts w:ascii="Arial" w:hAnsi="Arial" w:cs="Arial"/>
          <w:sz w:val="24"/>
          <w:szCs w:val="24"/>
        </w:rPr>
        <w:t xml:space="preserve">are </w:t>
      </w:r>
      <w:r w:rsidR="008017CC">
        <w:rPr>
          <w:rFonts w:ascii="Arial" w:hAnsi="Arial" w:cs="Arial"/>
          <w:sz w:val="24"/>
          <w:szCs w:val="24"/>
        </w:rPr>
        <w:t>Enhanced S</w:t>
      </w:r>
      <w:r w:rsidRPr="00851183">
        <w:rPr>
          <w:rFonts w:ascii="Arial" w:hAnsi="Arial" w:cs="Arial"/>
          <w:sz w:val="24"/>
          <w:szCs w:val="24"/>
        </w:rPr>
        <w:t>ervice</w:t>
      </w:r>
      <w:r w:rsidR="00851183">
        <w:rPr>
          <w:rFonts w:ascii="Arial" w:hAnsi="Arial" w:cs="Arial"/>
          <w:sz w:val="24"/>
          <w:szCs w:val="24"/>
        </w:rPr>
        <w:t>.</w:t>
      </w:r>
    </w:p>
    <w:p w14:paraId="0395BD01" w14:textId="77777777" w:rsidR="00C2620B" w:rsidRPr="00D322CE" w:rsidRDefault="00C2620B" w:rsidP="00DC54F7">
      <w:pPr>
        <w:pStyle w:val="ListParagraph"/>
        <w:spacing w:after="0" w:line="240" w:lineRule="auto"/>
        <w:ind w:left="360"/>
        <w:jc w:val="both"/>
        <w:rPr>
          <w:rFonts w:ascii="Arial" w:hAnsi="Arial" w:cs="Arial"/>
        </w:rPr>
      </w:pPr>
    </w:p>
    <w:p w14:paraId="0EADBC20" w14:textId="77777777" w:rsidR="0063382E" w:rsidRPr="00A10850" w:rsidRDefault="0063382E" w:rsidP="00DC54F7">
      <w:pPr>
        <w:spacing w:after="0" w:line="240" w:lineRule="auto"/>
        <w:jc w:val="both"/>
        <w:rPr>
          <w:rFonts w:ascii="Arial" w:hAnsi="Arial" w:cs="Arial"/>
        </w:rPr>
      </w:pPr>
    </w:p>
    <w:p w14:paraId="3A16DC2F" w14:textId="67FDB2AF" w:rsidR="0063382E" w:rsidRPr="00A10850" w:rsidRDefault="004E0E6D" w:rsidP="00DC54F7">
      <w:pPr>
        <w:spacing w:after="0" w:line="240" w:lineRule="auto"/>
        <w:jc w:val="both"/>
        <w:rPr>
          <w:rFonts w:ascii="Arial" w:hAnsi="Arial" w:cs="Arial"/>
          <w:b/>
          <w:sz w:val="26"/>
          <w:szCs w:val="26"/>
          <w:lang w:val="en-US"/>
        </w:rPr>
      </w:pPr>
      <w:r>
        <w:rPr>
          <w:rFonts w:ascii="Arial" w:hAnsi="Arial" w:cs="Arial"/>
          <w:b/>
          <w:sz w:val="26"/>
          <w:szCs w:val="26"/>
          <w:lang w:val="en-US"/>
        </w:rPr>
        <w:t>9</w:t>
      </w:r>
      <w:r w:rsidR="0063382E" w:rsidRPr="00A10850">
        <w:rPr>
          <w:rFonts w:ascii="Arial" w:hAnsi="Arial" w:cs="Arial"/>
          <w:b/>
          <w:sz w:val="26"/>
          <w:szCs w:val="26"/>
          <w:lang w:val="en-US"/>
        </w:rPr>
        <w:t xml:space="preserve">.3 Current provision of pharmaceutical services outside the </w:t>
      </w:r>
      <w:r w:rsidR="003E071D">
        <w:rPr>
          <w:rFonts w:ascii="Arial" w:hAnsi="Arial" w:cs="Arial"/>
          <w:b/>
          <w:sz w:val="26"/>
          <w:szCs w:val="26"/>
          <w:lang w:val="en-US"/>
        </w:rPr>
        <w:t>cluster</w:t>
      </w:r>
    </w:p>
    <w:p w14:paraId="1A09D8A2" w14:textId="77777777" w:rsidR="0063382E" w:rsidRPr="00A10850" w:rsidRDefault="0063382E" w:rsidP="00DC54F7">
      <w:pPr>
        <w:spacing w:after="0" w:line="240" w:lineRule="auto"/>
        <w:jc w:val="both"/>
        <w:rPr>
          <w:rFonts w:ascii="Arial" w:hAnsi="Arial" w:cs="Arial"/>
          <w:lang w:val="en-US"/>
        </w:rPr>
      </w:pPr>
    </w:p>
    <w:p w14:paraId="06C8855D" w14:textId="77777777" w:rsidR="0063382E" w:rsidRPr="00851183" w:rsidRDefault="0063382E" w:rsidP="00DC54F7">
      <w:pPr>
        <w:spacing w:after="0" w:line="240" w:lineRule="auto"/>
        <w:jc w:val="both"/>
        <w:rPr>
          <w:rFonts w:ascii="Arial" w:hAnsi="Arial" w:cs="Arial"/>
          <w:sz w:val="24"/>
          <w:szCs w:val="24"/>
          <w:lang w:val="en-US"/>
        </w:rPr>
      </w:pPr>
      <w:r w:rsidRPr="00851183">
        <w:rPr>
          <w:rFonts w:ascii="Arial" w:hAnsi="Arial" w:cs="Arial"/>
          <w:sz w:val="24"/>
          <w:szCs w:val="24"/>
          <w:lang w:val="en-US"/>
        </w:rPr>
        <w:t>Some residents choose to access contractors outside both the locality and the health board’s area in order to access services:</w:t>
      </w:r>
    </w:p>
    <w:p w14:paraId="55B0F156" w14:textId="77777777" w:rsidR="0063382E" w:rsidRPr="00851183" w:rsidRDefault="0063382E" w:rsidP="00DC54F7">
      <w:pPr>
        <w:spacing w:after="0" w:line="240" w:lineRule="auto"/>
        <w:jc w:val="both"/>
        <w:rPr>
          <w:rFonts w:ascii="Arial" w:hAnsi="Arial" w:cs="Arial"/>
          <w:sz w:val="24"/>
          <w:szCs w:val="24"/>
          <w:lang w:val="en-US"/>
        </w:rPr>
      </w:pPr>
    </w:p>
    <w:p w14:paraId="0027650F" w14:textId="348AFE1E" w:rsidR="0063382E" w:rsidRPr="00851183" w:rsidRDefault="0063382E" w:rsidP="00DC54F7">
      <w:pPr>
        <w:numPr>
          <w:ilvl w:val="0"/>
          <w:numId w:val="49"/>
        </w:numPr>
        <w:spacing w:after="0" w:line="240" w:lineRule="auto"/>
        <w:ind w:left="777" w:hanging="357"/>
        <w:jc w:val="both"/>
        <w:rPr>
          <w:rFonts w:ascii="Arial" w:hAnsi="Arial" w:cs="Arial"/>
          <w:sz w:val="24"/>
          <w:szCs w:val="24"/>
          <w:lang w:val="en-US"/>
        </w:rPr>
      </w:pPr>
      <w:r w:rsidRPr="00851183">
        <w:rPr>
          <w:rFonts w:ascii="Arial" w:hAnsi="Arial" w:cs="Arial"/>
          <w:sz w:val="24"/>
          <w:szCs w:val="24"/>
          <w:lang w:val="en-US"/>
        </w:rPr>
        <w:t xml:space="preserve">Offered by </w:t>
      </w:r>
      <w:r w:rsidRPr="00851183">
        <w:rPr>
          <w:rFonts w:ascii="Arial" w:hAnsi="Arial" w:cs="Arial"/>
          <w:sz w:val="24"/>
          <w:szCs w:val="24"/>
        </w:rPr>
        <w:t>dispensing appliance contractors</w:t>
      </w:r>
      <w:r w:rsidR="00860750">
        <w:rPr>
          <w:rFonts w:ascii="Arial" w:hAnsi="Arial" w:cs="Arial"/>
          <w:sz w:val="24"/>
          <w:szCs w:val="24"/>
        </w:rPr>
        <w:t>.</w:t>
      </w:r>
    </w:p>
    <w:p w14:paraId="025CAABF" w14:textId="77777777" w:rsidR="0063382E" w:rsidRPr="00851183" w:rsidRDefault="0063382E" w:rsidP="00DC54F7">
      <w:pPr>
        <w:numPr>
          <w:ilvl w:val="0"/>
          <w:numId w:val="49"/>
        </w:numPr>
        <w:spacing w:after="0" w:line="240" w:lineRule="auto"/>
        <w:ind w:left="777" w:hanging="357"/>
        <w:jc w:val="both"/>
        <w:rPr>
          <w:rFonts w:ascii="Arial" w:hAnsi="Arial" w:cs="Arial"/>
          <w:sz w:val="24"/>
          <w:szCs w:val="24"/>
          <w:lang w:val="en-US"/>
        </w:rPr>
      </w:pPr>
      <w:r w:rsidRPr="00851183">
        <w:rPr>
          <w:rFonts w:ascii="Arial" w:hAnsi="Arial" w:cs="Arial"/>
          <w:sz w:val="24"/>
          <w:szCs w:val="24"/>
          <w:lang w:val="en-US"/>
        </w:rPr>
        <w:t>Which are located near to where they work, shop or visit for leisure or other purposes.</w:t>
      </w:r>
    </w:p>
    <w:p w14:paraId="65C1C0B5" w14:textId="77777777" w:rsidR="00CB0F28" w:rsidRPr="00851183" w:rsidRDefault="00CB0F28" w:rsidP="00DC54F7">
      <w:pPr>
        <w:spacing w:after="0" w:line="240" w:lineRule="auto"/>
        <w:jc w:val="both"/>
        <w:rPr>
          <w:rFonts w:ascii="Arial" w:hAnsi="Arial" w:cs="Arial"/>
          <w:sz w:val="24"/>
          <w:szCs w:val="24"/>
          <w:lang w:val="en-US"/>
        </w:rPr>
      </w:pPr>
    </w:p>
    <w:p w14:paraId="550ACB46" w14:textId="7CA0C7FA" w:rsidR="00CB0F28" w:rsidRPr="00851183" w:rsidRDefault="00CB0F28" w:rsidP="00DC54F7">
      <w:pPr>
        <w:shd w:val="clear" w:color="auto" w:fill="FFFFFF"/>
        <w:spacing w:after="0" w:line="240" w:lineRule="auto"/>
        <w:jc w:val="both"/>
        <w:rPr>
          <w:rFonts w:ascii="Arial" w:hAnsi="Arial" w:cs="Arial"/>
          <w:color w:val="000000" w:themeColor="text1"/>
          <w:sz w:val="24"/>
          <w:szCs w:val="24"/>
        </w:rPr>
      </w:pPr>
      <w:r w:rsidRPr="00851183">
        <w:rPr>
          <w:rFonts w:ascii="Arial" w:hAnsi="Arial" w:cs="Arial"/>
          <w:color w:val="000000" w:themeColor="text1"/>
          <w:sz w:val="24"/>
          <w:szCs w:val="24"/>
        </w:rPr>
        <w:t xml:space="preserve">Whilst the majority of prescriptions written by the GP practices in 2019 to 2020 were dispensed by the pharmacies in the cluster, around </w:t>
      </w:r>
      <w:r w:rsidR="006A6D82" w:rsidRPr="00851183">
        <w:rPr>
          <w:rFonts w:ascii="Arial" w:hAnsi="Arial" w:cs="Arial"/>
          <w:color w:val="000000" w:themeColor="text1"/>
          <w:sz w:val="24"/>
          <w:szCs w:val="24"/>
        </w:rPr>
        <w:t>23</w:t>
      </w:r>
      <w:r w:rsidRPr="00851183">
        <w:rPr>
          <w:rFonts w:ascii="Arial" w:hAnsi="Arial" w:cs="Arial"/>
          <w:color w:val="000000" w:themeColor="text1"/>
          <w:sz w:val="24"/>
          <w:szCs w:val="24"/>
        </w:rPr>
        <w:t>.</w:t>
      </w:r>
      <w:r w:rsidR="006A6D82" w:rsidRPr="00851183">
        <w:rPr>
          <w:rFonts w:ascii="Arial" w:hAnsi="Arial" w:cs="Arial"/>
          <w:color w:val="000000" w:themeColor="text1"/>
          <w:sz w:val="24"/>
          <w:szCs w:val="24"/>
        </w:rPr>
        <w:t>2</w:t>
      </w:r>
      <w:r w:rsidRPr="00851183">
        <w:rPr>
          <w:rFonts w:ascii="Arial" w:hAnsi="Arial" w:cs="Arial"/>
          <w:color w:val="000000" w:themeColor="text1"/>
          <w:sz w:val="24"/>
          <w:szCs w:val="24"/>
        </w:rPr>
        <w:t>% were dispensed outside the cluster, most notably:</w:t>
      </w:r>
    </w:p>
    <w:p w14:paraId="1A252F5F" w14:textId="77777777" w:rsidR="00CB0F28" w:rsidRPr="00851183" w:rsidRDefault="00CB0F28" w:rsidP="00DC54F7">
      <w:pPr>
        <w:shd w:val="clear" w:color="auto" w:fill="FFFFFF"/>
        <w:spacing w:after="0"/>
        <w:jc w:val="both"/>
        <w:rPr>
          <w:rFonts w:ascii="Arial" w:hAnsi="Arial" w:cs="Arial"/>
          <w:color w:val="000000"/>
          <w:sz w:val="24"/>
          <w:szCs w:val="24"/>
        </w:rPr>
      </w:pPr>
    </w:p>
    <w:p w14:paraId="1F971B6B" w14:textId="73E22C94" w:rsidR="00CB0F28" w:rsidRPr="00851183" w:rsidRDefault="00B72307" w:rsidP="00DC54F7">
      <w:pPr>
        <w:numPr>
          <w:ilvl w:val="0"/>
          <w:numId w:val="143"/>
        </w:numPr>
        <w:shd w:val="clear" w:color="auto" w:fill="FFFFFF"/>
        <w:spacing w:after="0" w:line="240" w:lineRule="auto"/>
        <w:ind w:left="714" w:hanging="357"/>
        <w:jc w:val="both"/>
        <w:rPr>
          <w:rFonts w:ascii="Arial" w:hAnsi="Arial" w:cs="Arial"/>
          <w:color w:val="000000" w:themeColor="text1"/>
          <w:sz w:val="24"/>
          <w:szCs w:val="24"/>
        </w:rPr>
      </w:pPr>
      <w:r w:rsidRPr="00851183">
        <w:rPr>
          <w:rFonts w:ascii="Arial" w:hAnsi="Arial" w:cs="Arial"/>
          <w:color w:val="000000" w:themeColor="text1"/>
          <w:sz w:val="24"/>
          <w:szCs w:val="24"/>
        </w:rPr>
        <w:t>8</w:t>
      </w:r>
      <w:r w:rsidR="00CB0F28" w:rsidRPr="00851183">
        <w:rPr>
          <w:rFonts w:ascii="Arial" w:hAnsi="Arial" w:cs="Arial"/>
          <w:color w:val="000000" w:themeColor="text1"/>
          <w:sz w:val="24"/>
          <w:szCs w:val="24"/>
        </w:rPr>
        <w:t>.</w:t>
      </w:r>
      <w:r w:rsidRPr="00851183">
        <w:rPr>
          <w:rFonts w:ascii="Arial" w:hAnsi="Arial" w:cs="Arial"/>
          <w:color w:val="000000" w:themeColor="text1"/>
          <w:sz w:val="24"/>
          <w:szCs w:val="24"/>
        </w:rPr>
        <w:t>5</w:t>
      </w:r>
      <w:r w:rsidR="00CB0F28" w:rsidRPr="00851183">
        <w:rPr>
          <w:rFonts w:ascii="Arial" w:hAnsi="Arial" w:cs="Arial"/>
          <w:color w:val="000000" w:themeColor="text1"/>
          <w:sz w:val="24"/>
          <w:szCs w:val="24"/>
        </w:rPr>
        <w:t>% by pharmacies in Cardiff North cluster</w:t>
      </w:r>
    </w:p>
    <w:p w14:paraId="03038B6D" w14:textId="39640635" w:rsidR="00CB0F28" w:rsidRPr="00851183" w:rsidRDefault="00CB0F28" w:rsidP="00DC54F7">
      <w:pPr>
        <w:numPr>
          <w:ilvl w:val="0"/>
          <w:numId w:val="143"/>
        </w:numPr>
        <w:shd w:val="clear" w:color="auto" w:fill="FFFFFF"/>
        <w:spacing w:after="0" w:line="240" w:lineRule="auto"/>
        <w:ind w:left="714" w:hanging="357"/>
        <w:jc w:val="both"/>
        <w:rPr>
          <w:rFonts w:ascii="Arial" w:hAnsi="Arial" w:cs="Arial"/>
          <w:color w:val="000000" w:themeColor="text1"/>
          <w:sz w:val="24"/>
          <w:szCs w:val="24"/>
        </w:rPr>
      </w:pPr>
      <w:r w:rsidRPr="00851183">
        <w:rPr>
          <w:rFonts w:ascii="Arial" w:hAnsi="Arial" w:cs="Arial"/>
          <w:color w:val="000000" w:themeColor="text1"/>
          <w:sz w:val="24"/>
          <w:szCs w:val="24"/>
        </w:rPr>
        <w:t>4.</w:t>
      </w:r>
      <w:r w:rsidR="00B72307" w:rsidRPr="00851183">
        <w:rPr>
          <w:rFonts w:ascii="Arial" w:hAnsi="Arial" w:cs="Arial"/>
          <w:color w:val="000000" w:themeColor="text1"/>
          <w:sz w:val="24"/>
          <w:szCs w:val="24"/>
        </w:rPr>
        <w:t>6</w:t>
      </w:r>
      <w:r w:rsidRPr="00851183">
        <w:rPr>
          <w:rFonts w:ascii="Arial" w:hAnsi="Arial" w:cs="Arial"/>
          <w:color w:val="000000" w:themeColor="text1"/>
          <w:sz w:val="24"/>
          <w:szCs w:val="24"/>
        </w:rPr>
        <w:t>% by pharmacies in Cardiff East cluster</w:t>
      </w:r>
    </w:p>
    <w:p w14:paraId="3A0886E0" w14:textId="0531B821" w:rsidR="00CB0F28" w:rsidRPr="00851183" w:rsidRDefault="005F75F1" w:rsidP="00DC54F7">
      <w:pPr>
        <w:numPr>
          <w:ilvl w:val="0"/>
          <w:numId w:val="143"/>
        </w:numPr>
        <w:shd w:val="clear" w:color="auto" w:fill="FFFFFF"/>
        <w:spacing w:after="0" w:line="240" w:lineRule="auto"/>
        <w:ind w:left="714" w:hanging="357"/>
        <w:jc w:val="both"/>
        <w:rPr>
          <w:rFonts w:ascii="Arial" w:hAnsi="Arial" w:cs="Arial"/>
          <w:color w:val="000000" w:themeColor="text1"/>
          <w:sz w:val="24"/>
          <w:szCs w:val="24"/>
        </w:rPr>
      </w:pPr>
      <w:r w:rsidRPr="00851183">
        <w:rPr>
          <w:rFonts w:ascii="Arial" w:hAnsi="Arial" w:cs="Arial"/>
          <w:color w:val="000000" w:themeColor="text1"/>
          <w:sz w:val="24"/>
          <w:szCs w:val="24"/>
        </w:rPr>
        <w:t>7</w:t>
      </w:r>
      <w:r w:rsidR="00CB0F28" w:rsidRPr="00851183">
        <w:rPr>
          <w:rFonts w:ascii="Arial" w:hAnsi="Arial" w:cs="Arial"/>
          <w:color w:val="000000" w:themeColor="text1"/>
          <w:sz w:val="24"/>
          <w:szCs w:val="24"/>
        </w:rPr>
        <w:t>.</w:t>
      </w:r>
      <w:r w:rsidRPr="00851183">
        <w:rPr>
          <w:rFonts w:ascii="Arial" w:hAnsi="Arial" w:cs="Arial"/>
          <w:color w:val="000000" w:themeColor="text1"/>
          <w:sz w:val="24"/>
          <w:szCs w:val="24"/>
        </w:rPr>
        <w:t>3</w:t>
      </w:r>
      <w:r w:rsidR="00CB0F28" w:rsidRPr="00851183">
        <w:rPr>
          <w:rFonts w:ascii="Arial" w:hAnsi="Arial" w:cs="Arial"/>
          <w:color w:val="000000" w:themeColor="text1"/>
          <w:sz w:val="24"/>
          <w:szCs w:val="24"/>
        </w:rPr>
        <w:t>% by pharmacies in Cardiff City &amp; South cluster</w:t>
      </w:r>
    </w:p>
    <w:p w14:paraId="742B14A5" w14:textId="5C70DCE9" w:rsidR="00CB0F28" w:rsidRPr="00851183" w:rsidRDefault="00B72307" w:rsidP="00DC54F7">
      <w:pPr>
        <w:numPr>
          <w:ilvl w:val="0"/>
          <w:numId w:val="143"/>
        </w:numPr>
        <w:shd w:val="clear" w:color="auto" w:fill="FFFFFF"/>
        <w:spacing w:after="0" w:line="240" w:lineRule="auto"/>
        <w:ind w:left="714" w:hanging="357"/>
        <w:jc w:val="both"/>
        <w:rPr>
          <w:rFonts w:ascii="Arial" w:hAnsi="Arial" w:cs="Arial"/>
          <w:color w:val="000000" w:themeColor="text1"/>
          <w:sz w:val="24"/>
          <w:szCs w:val="24"/>
        </w:rPr>
      </w:pPr>
      <w:r w:rsidRPr="00851183">
        <w:rPr>
          <w:rFonts w:ascii="Arial" w:hAnsi="Arial" w:cs="Arial"/>
          <w:color w:val="000000" w:themeColor="text1"/>
          <w:sz w:val="24"/>
          <w:szCs w:val="24"/>
        </w:rPr>
        <w:t>1</w:t>
      </w:r>
      <w:r w:rsidR="00CB0F28" w:rsidRPr="00851183">
        <w:rPr>
          <w:rFonts w:ascii="Arial" w:hAnsi="Arial" w:cs="Arial"/>
          <w:color w:val="000000" w:themeColor="text1"/>
          <w:sz w:val="24"/>
          <w:szCs w:val="24"/>
        </w:rPr>
        <w:t>.</w:t>
      </w:r>
      <w:r w:rsidRPr="00851183">
        <w:rPr>
          <w:rFonts w:ascii="Arial" w:hAnsi="Arial" w:cs="Arial"/>
          <w:color w:val="000000" w:themeColor="text1"/>
          <w:sz w:val="24"/>
          <w:szCs w:val="24"/>
        </w:rPr>
        <w:t>0</w:t>
      </w:r>
      <w:r w:rsidR="00CB0F28" w:rsidRPr="00851183">
        <w:rPr>
          <w:rFonts w:ascii="Arial" w:hAnsi="Arial" w:cs="Arial"/>
          <w:color w:val="000000" w:themeColor="text1"/>
          <w:sz w:val="24"/>
          <w:szCs w:val="24"/>
        </w:rPr>
        <w:t>% by pharmacies in Cardiff West cluster</w:t>
      </w:r>
    </w:p>
    <w:p w14:paraId="33C3E38C" w14:textId="2A35535A" w:rsidR="00CB0F28" w:rsidRPr="00851183" w:rsidRDefault="00CB0F28" w:rsidP="00DC54F7">
      <w:pPr>
        <w:numPr>
          <w:ilvl w:val="0"/>
          <w:numId w:val="143"/>
        </w:numPr>
        <w:shd w:val="clear" w:color="auto" w:fill="FFFFFF"/>
        <w:spacing w:after="0" w:line="240" w:lineRule="auto"/>
        <w:ind w:left="714" w:hanging="357"/>
        <w:jc w:val="both"/>
        <w:rPr>
          <w:rFonts w:ascii="Arial" w:hAnsi="Arial" w:cs="Arial"/>
          <w:color w:val="000000" w:themeColor="text1"/>
          <w:sz w:val="24"/>
          <w:szCs w:val="24"/>
        </w:rPr>
      </w:pPr>
      <w:r w:rsidRPr="00851183">
        <w:rPr>
          <w:rFonts w:ascii="Arial" w:hAnsi="Arial" w:cs="Arial"/>
          <w:color w:val="000000" w:themeColor="text1"/>
          <w:sz w:val="24"/>
          <w:szCs w:val="24"/>
        </w:rPr>
        <w:t>0.</w:t>
      </w:r>
      <w:r w:rsidR="00B72307" w:rsidRPr="00851183">
        <w:rPr>
          <w:rFonts w:ascii="Arial" w:hAnsi="Arial" w:cs="Arial"/>
          <w:color w:val="000000" w:themeColor="text1"/>
          <w:sz w:val="24"/>
          <w:szCs w:val="24"/>
        </w:rPr>
        <w:t>2</w:t>
      </w:r>
      <w:r w:rsidRPr="00851183">
        <w:rPr>
          <w:rFonts w:ascii="Arial" w:hAnsi="Arial" w:cs="Arial"/>
          <w:color w:val="000000" w:themeColor="text1"/>
          <w:sz w:val="24"/>
          <w:szCs w:val="24"/>
        </w:rPr>
        <w:t xml:space="preserve">% by pharmacies </w:t>
      </w:r>
      <w:r w:rsidR="00D300EC" w:rsidRPr="00851183">
        <w:rPr>
          <w:rFonts w:ascii="Arial" w:hAnsi="Arial" w:cs="Arial"/>
          <w:color w:val="000000" w:themeColor="text1"/>
          <w:sz w:val="24"/>
          <w:szCs w:val="24"/>
        </w:rPr>
        <w:t>i</w:t>
      </w:r>
      <w:r w:rsidRPr="00851183">
        <w:rPr>
          <w:rFonts w:ascii="Arial" w:hAnsi="Arial" w:cs="Arial"/>
          <w:color w:val="000000" w:themeColor="text1"/>
          <w:sz w:val="24"/>
          <w:szCs w:val="24"/>
        </w:rPr>
        <w:t>n Cardiff South West cluster</w:t>
      </w:r>
    </w:p>
    <w:p w14:paraId="7CFD3105" w14:textId="5D70ED01" w:rsidR="00CB0F28" w:rsidRPr="00851183" w:rsidRDefault="00E40D01" w:rsidP="00DC54F7">
      <w:pPr>
        <w:numPr>
          <w:ilvl w:val="0"/>
          <w:numId w:val="143"/>
        </w:numPr>
        <w:shd w:val="clear" w:color="auto" w:fill="FFFFFF"/>
        <w:spacing w:after="0" w:line="240" w:lineRule="auto"/>
        <w:ind w:left="714" w:hanging="357"/>
        <w:jc w:val="both"/>
        <w:rPr>
          <w:rFonts w:ascii="Arial" w:hAnsi="Arial" w:cs="Arial"/>
          <w:color w:val="000000" w:themeColor="text1"/>
          <w:sz w:val="24"/>
          <w:szCs w:val="24"/>
        </w:rPr>
      </w:pPr>
      <w:r w:rsidRPr="00851183">
        <w:rPr>
          <w:rFonts w:ascii="Arial" w:hAnsi="Arial" w:cs="Arial"/>
          <w:color w:val="000000" w:themeColor="text1"/>
          <w:sz w:val="24"/>
          <w:szCs w:val="24"/>
        </w:rPr>
        <w:t>0</w:t>
      </w:r>
      <w:r w:rsidR="00CB0F28" w:rsidRPr="00851183">
        <w:rPr>
          <w:rFonts w:ascii="Arial" w:hAnsi="Arial" w:cs="Arial"/>
          <w:color w:val="000000" w:themeColor="text1"/>
          <w:sz w:val="24"/>
          <w:szCs w:val="24"/>
        </w:rPr>
        <w:t>.</w:t>
      </w:r>
      <w:r w:rsidRPr="00851183">
        <w:rPr>
          <w:rFonts w:ascii="Arial" w:hAnsi="Arial" w:cs="Arial"/>
          <w:color w:val="000000" w:themeColor="text1"/>
          <w:sz w:val="24"/>
          <w:szCs w:val="24"/>
        </w:rPr>
        <w:t>8</w:t>
      </w:r>
      <w:r w:rsidR="00CB0F28" w:rsidRPr="00851183">
        <w:rPr>
          <w:rFonts w:ascii="Arial" w:hAnsi="Arial" w:cs="Arial"/>
          <w:color w:val="000000" w:themeColor="text1"/>
          <w:sz w:val="24"/>
          <w:szCs w:val="24"/>
        </w:rPr>
        <w:t>% in Aneurin Bevan University Health Board</w:t>
      </w:r>
    </w:p>
    <w:p w14:paraId="184E91BE" w14:textId="6D3428C4" w:rsidR="00CB0F28" w:rsidRPr="00851183" w:rsidRDefault="00CB0F28" w:rsidP="00DC54F7">
      <w:pPr>
        <w:pStyle w:val="ListParagraph"/>
        <w:numPr>
          <w:ilvl w:val="0"/>
          <w:numId w:val="143"/>
        </w:numPr>
        <w:spacing w:after="0" w:line="240" w:lineRule="auto"/>
        <w:ind w:left="714" w:hanging="357"/>
        <w:jc w:val="both"/>
        <w:rPr>
          <w:rFonts w:ascii="Arial" w:eastAsia="Times New Roman" w:hAnsi="Arial" w:cs="Arial"/>
          <w:color w:val="000000"/>
          <w:sz w:val="24"/>
          <w:szCs w:val="24"/>
          <w:lang w:eastAsia="en-GB"/>
        </w:rPr>
      </w:pPr>
      <w:r w:rsidRPr="00851183">
        <w:rPr>
          <w:rFonts w:ascii="Arial" w:hAnsi="Arial" w:cs="Arial"/>
          <w:color w:val="000000" w:themeColor="text1"/>
          <w:sz w:val="24"/>
          <w:szCs w:val="24"/>
        </w:rPr>
        <w:t>0.</w:t>
      </w:r>
      <w:r w:rsidR="00E40D01" w:rsidRPr="00851183">
        <w:rPr>
          <w:rFonts w:ascii="Arial" w:hAnsi="Arial" w:cs="Arial"/>
          <w:color w:val="000000" w:themeColor="text1"/>
          <w:sz w:val="24"/>
          <w:szCs w:val="24"/>
        </w:rPr>
        <w:t>1</w:t>
      </w:r>
      <w:r w:rsidRPr="00851183">
        <w:rPr>
          <w:rFonts w:ascii="Arial" w:hAnsi="Arial" w:cs="Arial"/>
          <w:color w:val="000000" w:themeColor="text1"/>
          <w:sz w:val="24"/>
          <w:szCs w:val="24"/>
        </w:rPr>
        <w:t xml:space="preserve">% in </w:t>
      </w:r>
      <w:r w:rsidRPr="00851183">
        <w:rPr>
          <w:rFonts w:ascii="Arial" w:eastAsia="Times New Roman" w:hAnsi="Arial" w:cs="Arial"/>
          <w:color w:val="000000"/>
          <w:sz w:val="24"/>
          <w:szCs w:val="24"/>
          <w:lang w:eastAsia="en-GB"/>
        </w:rPr>
        <w:t>Cwm Taf Morgannwg University Health Board</w:t>
      </w:r>
    </w:p>
    <w:p w14:paraId="5CB2C5A7" w14:textId="77777777" w:rsidR="00CB0F28" w:rsidRPr="00851183" w:rsidRDefault="00CB0F28" w:rsidP="00DC54F7">
      <w:pPr>
        <w:numPr>
          <w:ilvl w:val="0"/>
          <w:numId w:val="143"/>
        </w:numPr>
        <w:shd w:val="clear" w:color="auto" w:fill="FFFFFF"/>
        <w:spacing w:after="0" w:line="240" w:lineRule="auto"/>
        <w:ind w:left="714" w:hanging="357"/>
        <w:jc w:val="both"/>
        <w:rPr>
          <w:rFonts w:ascii="Arial" w:hAnsi="Arial" w:cs="Arial"/>
          <w:color w:val="000000" w:themeColor="text1"/>
          <w:sz w:val="24"/>
          <w:szCs w:val="24"/>
        </w:rPr>
      </w:pPr>
      <w:r w:rsidRPr="00851183">
        <w:rPr>
          <w:rFonts w:ascii="Arial" w:hAnsi="Arial" w:cs="Arial"/>
          <w:color w:val="000000" w:themeColor="text1"/>
          <w:sz w:val="24"/>
          <w:szCs w:val="24"/>
        </w:rPr>
        <w:t>0.6% by contractors in England</w:t>
      </w:r>
    </w:p>
    <w:p w14:paraId="51557541" w14:textId="77777777" w:rsidR="00CB0F28" w:rsidRPr="00851183" w:rsidRDefault="00CB0F28" w:rsidP="00DC54F7">
      <w:pPr>
        <w:shd w:val="clear" w:color="auto" w:fill="FFFFFF"/>
        <w:spacing w:after="0" w:line="240" w:lineRule="auto"/>
        <w:jc w:val="both"/>
        <w:rPr>
          <w:rFonts w:ascii="Arial" w:hAnsi="Arial" w:cs="Arial"/>
          <w:color w:val="000000" w:themeColor="text1"/>
          <w:sz w:val="24"/>
          <w:szCs w:val="24"/>
        </w:rPr>
      </w:pPr>
    </w:p>
    <w:p w14:paraId="0A76547B" w14:textId="77777777" w:rsidR="00CB0F28" w:rsidRPr="00851183" w:rsidRDefault="00CB0F28" w:rsidP="00DC54F7">
      <w:pPr>
        <w:shd w:val="clear" w:color="auto" w:fill="FFFFFF"/>
        <w:spacing w:after="0" w:line="240" w:lineRule="auto"/>
        <w:jc w:val="both"/>
        <w:rPr>
          <w:rFonts w:ascii="Arial" w:hAnsi="Arial" w:cs="Arial"/>
          <w:sz w:val="24"/>
          <w:szCs w:val="24"/>
        </w:rPr>
      </w:pPr>
      <w:r w:rsidRPr="00851183">
        <w:rPr>
          <w:rFonts w:ascii="Arial" w:hAnsi="Arial" w:cs="Arial"/>
          <w:sz w:val="24"/>
          <w:szCs w:val="24"/>
        </w:rPr>
        <w:t>In addition, residents may have accessed one or more pharmaceutical services provided by another pharmacy outside of both the cluster and the health board’s area; however, it is not possible to quantify this activity from the recorded data.</w:t>
      </w:r>
    </w:p>
    <w:p w14:paraId="7893AD46" w14:textId="77777777" w:rsidR="00CB0F28" w:rsidRPr="00851183" w:rsidRDefault="00CB0F28" w:rsidP="00DC54F7">
      <w:pPr>
        <w:shd w:val="clear" w:color="auto" w:fill="FFFFFF"/>
        <w:spacing w:after="0" w:line="240" w:lineRule="auto"/>
        <w:jc w:val="both"/>
        <w:rPr>
          <w:rFonts w:ascii="Arial" w:hAnsi="Arial" w:cs="Arial"/>
          <w:sz w:val="24"/>
          <w:szCs w:val="24"/>
        </w:rPr>
      </w:pPr>
      <w:r w:rsidRPr="00851183">
        <w:rPr>
          <w:rFonts w:ascii="Arial" w:hAnsi="Arial" w:cs="Arial"/>
          <w:sz w:val="24"/>
          <w:szCs w:val="24"/>
        </w:rPr>
        <w:t> </w:t>
      </w:r>
    </w:p>
    <w:p w14:paraId="546B5848" w14:textId="49CCD407" w:rsidR="00CB0F28" w:rsidRPr="00851183" w:rsidRDefault="00CB0F28" w:rsidP="00DC54F7">
      <w:pPr>
        <w:spacing w:after="0" w:line="240" w:lineRule="auto"/>
        <w:jc w:val="both"/>
        <w:rPr>
          <w:rFonts w:ascii="Arial" w:hAnsi="Arial" w:cs="Arial"/>
          <w:sz w:val="24"/>
          <w:szCs w:val="24"/>
          <w:lang w:val="en-US"/>
        </w:rPr>
      </w:pPr>
      <w:r w:rsidRPr="00851183">
        <w:rPr>
          <w:rFonts w:ascii="Arial" w:hAnsi="Arial" w:cs="Arial"/>
          <w:sz w:val="24"/>
          <w:szCs w:val="24"/>
          <w:lang w:val="en-US"/>
        </w:rPr>
        <w:t xml:space="preserve">Taking into account pharmacies in the neighbouring clusters and pharmacies over the border in other health board areas in Wales, all residents in the cluster of Cardiff </w:t>
      </w:r>
      <w:r w:rsidR="00775C62" w:rsidRPr="00851183">
        <w:rPr>
          <w:rFonts w:ascii="Arial" w:hAnsi="Arial" w:cs="Arial"/>
          <w:sz w:val="24"/>
          <w:szCs w:val="24"/>
          <w:lang w:val="en-US"/>
        </w:rPr>
        <w:t xml:space="preserve">South </w:t>
      </w:r>
      <w:r w:rsidRPr="00851183">
        <w:rPr>
          <w:rFonts w:ascii="Arial" w:hAnsi="Arial" w:cs="Arial"/>
          <w:sz w:val="24"/>
          <w:szCs w:val="24"/>
          <w:lang w:val="en-US"/>
        </w:rPr>
        <w:t xml:space="preserve">East can access a pharmacy by car within 10 minutes and the majority can access a pharmacy by car within </w:t>
      </w:r>
      <w:r w:rsidR="00997F15" w:rsidRPr="00851183">
        <w:rPr>
          <w:rFonts w:ascii="Arial" w:hAnsi="Arial" w:cs="Arial"/>
          <w:sz w:val="24"/>
          <w:szCs w:val="24"/>
          <w:lang w:val="en-US"/>
        </w:rPr>
        <w:t>five minutes</w:t>
      </w:r>
      <w:r w:rsidRPr="00851183">
        <w:rPr>
          <w:rFonts w:ascii="Arial" w:hAnsi="Arial" w:cs="Arial"/>
          <w:sz w:val="24"/>
          <w:szCs w:val="24"/>
          <w:lang w:val="en-US"/>
        </w:rPr>
        <w:t xml:space="preserve">. </w:t>
      </w:r>
    </w:p>
    <w:p w14:paraId="1A942902" w14:textId="40F5E4E7" w:rsidR="00CB0F28" w:rsidRDefault="00CB0F28" w:rsidP="00DC54F7">
      <w:pPr>
        <w:spacing w:after="0" w:line="240" w:lineRule="auto"/>
        <w:jc w:val="both"/>
        <w:rPr>
          <w:rFonts w:ascii="Arial" w:hAnsi="Arial" w:cs="Arial"/>
          <w:lang w:val="en-US"/>
        </w:rPr>
      </w:pPr>
    </w:p>
    <w:p w14:paraId="345B4E15" w14:textId="77777777" w:rsidR="00CB0F28" w:rsidRPr="00A10850" w:rsidRDefault="00CB0F28" w:rsidP="00DC54F7">
      <w:pPr>
        <w:spacing w:after="0" w:line="240" w:lineRule="auto"/>
        <w:jc w:val="both"/>
        <w:rPr>
          <w:rFonts w:ascii="Arial" w:hAnsi="Arial" w:cs="Arial"/>
          <w:lang w:val="en-US"/>
        </w:rPr>
      </w:pPr>
    </w:p>
    <w:p w14:paraId="249D8833" w14:textId="77A40517" w:rsidR="0063382E" w:rsidRDefault="004E0E6D" w:rsidP="00DC54F7">
      <w:pPr>
        <w:spacing w:after="0" w:line="240" w:lineRule="auto"/>
        <w:jc w:val="both"/>
        <w:rPr>
          <w:rFonts w:ascii="Arial" w:hAnsi="Arial" w:cs="Arial"/>
          <w:b/>
          <w:sz w:val="26"/>
          <w:szCs w:val="26"/>
          <w:lang w:val="en-US"/>
        </w:rPr>
      </w:pPr>
      <w:r>
        <w:rPr>
          <w:rFonts w:ascii="Arial" w:hAnsi="Arial" w:cs="Arial"/>
          <w:b/>
          <w:sz w:val="26"/>
          <w:szCs w:val="26"/>
          <w:lang w:val="en-US"/>
        </w:rPr>
        <w:t>9</w:t>
      </w:r>
      <w:r w:rsidR="0063382E" w:rsidRPr="00A10850">
        <w:rPr>
          <w:rFonts w:ascii="Arial" w:hAnsi="Arial" w:cs="Arial"/>
          <w:b/>
          <w:sz w:val="26"/>
          <w:szCs w:val="26"/>
          <w:lang w:val="en-US"/>
        </w:rPr>
        <w:t>.4 Other NHS services</w:t>
      </w:r>
    </w:p>
    <w:p w14:paraId="6A6438D7" w14:textId="21E5891E" w:rsidR="003D0892" w:rsidRDefault="003D0892" w:rsidP="00DC54F7">
      <w:pPr>
        <w:spacing w:after="0" w:line="240" w:lineRule="auto"/>
        <w:jc w:val="both"/>
        <w:rPr>
          <w:rFonts w:ascii="Arial" w:hAnsi="Arial" w:cs="Arial"/>
          <w:b/>
          <w:sz w:val="26"/>
          <w:szCs w:val="26"/>
          <w:lang w:val="en-US"/>
        </w:rPr>
      </w:pPr>
    </w:p>
    <w:p w14:paraId="708DA954" w14:textId="367535FD" w:rsidR="00E23FE5" w:rsidRPr="009A6DEF" w:rsidRDefault="00544BCE" w:rsidP="00DC54F7">
      <w:pPr>
        <w:spacing w:after="0" w:line="240" w:lineRule="auto"/>
        <w:jc w:val="both"/>
        <w:rPr>
          <w:rFonts w:ascii="Arial" w:hAnsi="Arial" w:cs="Arial"/>
          <w:bCs/>
          <w:sz w:val="24"/>
          <w:szCs w:val="24"/>
          <w:lang w:val="en-US"/>
        </w:rPr>
      </w:pPr>
      <w:r w:rsidRPr="009A6DEF">
        <w:rPr>
          <w:rFonts w:ascii="Arial" w:hAnsi="Arial" w:cs="Arial"/>
          <w:bCs/>
          <w:sz w:val="24"/>
          <w:szCs w:val="24"/>
          <w:lang w:val="en-US"/>
        </w:rPr>
        <w:t xml:space="preserve">Cardiff Royal </w:t>
      </w:r>
      <w:r w:rsidR="00446EAB" w:rsidRPr="009A6DEF">
        <w:rPr>
          <w:rFonts w:ascii="Arial" w:hAnsi="Arial" w:cs="Arial"/>
          <w:bCs/>
          <w:sz w:val="24"/>
          <w:szCs w:val="24"/>
          <w:lang w:val="en-US"/>
        </w:rPr>
        <w:t xml:space="preserve">Infirmary </w:t>
      </w:r>
      <w:r w:rsidR="003D0892" w:rsidRPr="009A6DEF">
        <w:rPr>
          <w:rFonts w:ascii="Arial" w:hAnsi="Arial" w:cs="Arial"/>
          <w:bCs/>
          <w:sz w:val="24"/>
          <w:szCs w:val="24"/>
          <w:lang w:val="en-US"/>
        </w:rPr>
        <w:t xml:space="preserve">is located </w:t>
      </w:r>
      <w:r w:rsidR="007A124A" w:rsidRPr="009A6DEF">
        <w:rPr>
          <w:rFonts w:ascii="Arial" w:hAnsi="Arial" w:cs="Arial"/>
          <w:bCs/>
          <w:sz w:val="24"/>
          <w:szCs w:val="24"/>
          <w:lang w:val="en-US"/>
        </w:rPr>
        <w:t xml:space="preserve">within </w:t>
      </w:r>
      <w:r w:rsidR="00F65D1E" w:rsidRPr="009A6DEF">
        <w:rPr>
          <w:rFonts w:ascii="Arial" w:hAnsi="Arial" w:cs="Arial"/>
          <w:bCs/>
          <w:sz w:val="24"/>
          <w:szCs w:val="24"/>
          <w:lang w:val="en-US"/>
        </w:rPr>
        <w:t xml:space="preserve">the cluster of </w:t>
      </w:r>
      <w:r w:rsidR="00C877DA" w:rsidRPr="009A6DEF">
        <w:rPr>
          <w:rFonts w:ascii="Arial" w:hAnsi="Arial" w:cs="Arial"/>
          <w:bCs/>
          <w:sz w:val="24"/>
          <w:szCs w:val="24"/>
          <w:lang w:val="en-US"/>
        </w:rPr>
        <w:t xml:space="preserve">Cardiff South East. However, the hospital serves a much wider population </w:t>
      </w:r>
      <w:r w:rsidR="006E203E" w:rsidRPr="009A6DEF">
        <w:rPr>
          <w:rFonts w:ascii="Arial" w:hAnsi="Arial" w:cs="Arial"/>
          <w:bCs/>
          <w:sz w:val="24"/>
          <w:szCs w:val="24"/>
          <w:lang w:val="en-US"/>
        </w:rPr>
        <w:t>than t</w:t>
      </w:r>
      <w:r w:rsidR="00F65D1E" w:rsidRPr="009A6DEF">
        <w:rPr>
          <w:rFonts w:ascii="Arial" w:hAnsi="Arial" w:cs="Arial"/>
          <w:bCs/>
          <w:sz w:val="24"/>
          <w:szCs w:val="24"/>
          <w:lang w:val="en-US"/>
        </w:rPr>
        <w:t xml:space="preserve">hat of the </w:t>
      </w:r>
      <w:r w:rsidR="006E203E" w:rsidRPr="009A6DEF">
        <w:rPr>
          <w:rFonts w:ascii="Arial" w:hAnsi="Arial" w:cs="Arial"/>
          <w:bCs/>
          <w:sz w:val="24"/>
          <w:szCs w:val="24"/>
          <w:lang w:val="en-US"/>
        </w:rPr>
        <w:t>cluster.</w:t>
      </w:r>
    </w:p>
    <w:p w14:paraId="1E70F9A1" w14:textId="77777777" w:rsidR="006E203E" w:rsidRPr="006E203E" w:rsidRDefault="006E203E" w:rsidP="00DC54F7">
      <w:pPr>
        <w:spacing w:after="0" w:line="240" w:lineRule="auto"/>
        <w:jc w:val="both"/>
        <w:rPr>
          <w:rFonts w:ascii="Arial" w:hAnsi="Arial" w:cs="Arial"/>
          <w:bCs/>
          <w:lang w:val="en-US"/>
        </w:rPr>
      </w:pPr>
    </w:p>
    <w:p w14:paraId="45CC6035" w14:textId="53D32F54" w:rsidR="00262D93" w:rsidRDefault="00262D93" w:rsidP="00DC54F7">
      <w:pPr>
        <w:spacing w:after="0" w:line="240" w:lineRule="auto"/>
        <w:jc w:val="both"/>
        <w:rPr>
          <w:rFonts w:ascii="Arial" w:hAnsi="Arial" w:cs="Arial"/>
          <w:lang w:val="en-US"/>
        </w:rPr>
      </w:pPr>
    </w:p>
    <w:p w14:paraId="67CB841A" w14:textId="0597CA71" w:rsidR="006A238E" w:rsidRDefault="006A238E">
      <w:pPr>
        <w:rPr>
          <w:rFonts w:ascii="Arial" w:hAnsi="Arial" w:cs="Arial"/>
          <w:lang w:val="en-US"/>
        </w:rPr>
      </w:pPr>
      <w:r>
        <w:rPr>
          <w:rFonts w:ascii="Arial" w:hAnsi="Arial" w:cs="Arial"/>
          <w:lang w:val="en-US"/>
        </w:rPr>
        <w:br w:type="page"/>
      </w:r>
    </w:p>
    <w:p w14:paraId="33254C90" w14:textId="6B3C17B6" w:rsidR="0063382E" w:rsidRPr="00A10850" w:rsidRDefault="004E0E6D" w:rsidP="00DC54F7">
      <w:pPr>
        <w:spacing w:after="0" w:line="240" w:lineRule="auto"/>
        <w:jc w:val="both"/>
        <w:rPr>
          <w:rFonts w:ascii="Arial" w:hAnsi="Arial" w:cs="Arial"/>
          <w:b/>
          <w:sz w:val="26"/>
          <w:szCs w:val="26"/>
          <w:lang w:val="en-US"/>
        </w:rPr>
      </w:pPr>
      <w:r>
        <w:rPr>
          <w:rFonts w:ascii="Arial" w:hAnsi="Arial" w:cs="Arial"/>
          <w:b/>
          <w:sz w:val="26"/>
          <w:szCs w:val="26"/>
          <w:lang w:val="en-US"/>
        </w:rPr>
        <w:lastRenderedPageBreak/>
        <w:t>9</w:t>
      </w:r>
      <w:r w:rsidR="0063382E" w:rsidRPr="00A10850">
        <w:rPr>
          <w:rFonts w:ascii="Arial" w:hAnsi="Arial" w:cs="Arial"/>
          <w:b/>
          <w:sz w:val="26"/>
          <w:szCs w:val="26"/>
          <w:lang w:val="en-US"/>
        </w:rPr>
        <w:t>.5 Choice with regard to obtaining pharmaceutical services</w:t>
      </w:r>
    </w:p>
    <w:p w14:paraId="38F6F0E7" w14:textId="77777777" w:rsidR="0063382E" w:rsidRPr="00A10850" w:rsidRDefault="0063382E" w:rsidP="00DC54F7">
      <w:pPr>
        <w:spacing w:after="0" w:line="240" w:lineRule="auto"/>
        <w:jc w:val="both"/>
        <w:rPr>
          <w:rFonts w:ascii="Arial" w:hAnsi="Arial" w:cs="Arial"/>
          <w:lang w:val="en-US"/>
        </w:rPr>
      </w:pPr>
    </w:p>
    <w:p w14:paraId="4D8292A9" w14:textId="4C238D1A" w:rsidR="000B61E4" w:rsidRPr="009A6DEF" w:rsidRDefault="000B61E4" w:rsidP="00DC54F7">
      <w:pPr>
        <w:spacing w:after="0" w:line="240" w:lineRule="auto"/>
        <w:jc w:val="both"/>
        <w:rPr>
          <w:rFonts w:ascii="Arial" w:hAnsi="Arial" w:cs="Arial"/>
          <w:sz w:val="24"/>
          <w:szCs w:val="24"/>
          <w:lang w:val="en-US"/>
        </w:rPr>
      </w:pPr>
      <w:r w:rsidRPr="009A6DEF">
        <w:rPr>
          <w:rFonts w:ascii="Arial" w:hAnsi="Arial" w:cs="Arial"/>
          <w:sz w:val="24"/>
          <w:szCs w:val="24"/>
          <w:lang w:val="en-US"/>
        </w:rPr>
        <w:t xml:space="preserve">As can be seen from sections </w:t>
      </w:r>
      <w:r w:rsidR="00D300EC" w:rsidRPr="009A6DEF">
        <w:rPr>
          <w:rFonts w:ascii="Arial" w:hAnsi="Arial" w:cs="Arial"/>
          <w:sz w:val="24"/>
          <w:szCs w:val="24"/>
          <w:lang w:val="en-US"/>
        </w:rPr>
        <w:t>9</w:t>
      </w:r>
      <w:r w:rsidRPr="009A6DEF">
        <w:rPr>
          <w:rFonts w:ascii="Arial" w:hAnsi="Arial" w:cs="Arial"/>
          <w:sz w:val="24"/>
          <w:szCs w:val="24"/>
          <w:lang w:val="en-US"/>
        </w:rPr>
        <w:t xml:space="preserve">.2 and </w:t>
      </w:r>
      <w:r w:rsidR="00D300EC" w:rsidRPr="009A6DEF">
        <w:rPr>
          <w:rFonts w:ascii="Arial" w:hAnsi="Arial" w:cs="Arial"/>
          <w:sz w:val="24"/>
          <w:szCs w:val="24"/>
          <w:lang w:val="en-US"/>
        </w:rPr>
        <w:t>9</w:t>
      </w:r>
      <w:r w:rsidRPr="009A6DEF">
        <w:rPr>
          <w:rFonts w:ascii="Arial" w:hAnsi="Arial" w:cs="Arial"/>
          <w:sz w:val="24"/>
          <w:szCs w:val="24"/>
          <w:lang w:val="en-US"/>
        </w:rPr>
        <w:t xml:space="preserve">.3, those living within the cluster area and registered with one of the GP practices generally choose to access one of the pharmacies in the cluster in order to have their prescriptions dispensed. Those that look outside the cluster usually do so to access a neighbouring pharmacy within the health board’s area. A minority choose to have their prescription dispensed by a pharmacy or an appliance contractor outside of the health board’s area.  </w:t>
      </w:r>
    </w:p>
    <w:p w14:paraId="2541398F" w14:textId="77777777" w:rsidR="000B61E4" w:rsidRPr="009A6DEF" w:rsidRDefault="000B61E4" w:rsidP="00DC54F7">
      <w:pPr>
        <w:spacing w:after="0" w:line="240" w:lineRule="auto"/>
        <w:jc w:val="both"/>
        <w:rPr>
          <w:rFonts w:ascii="Arial" w:hAnsi="Arial" w:cs="Arial"/>
          <w:sz w:val="24"/>
          <w:szCs w:val="24"/>
          <w:lang w:val="en-US"/>
        </w:rPr>
      </w:pPr>
    </w:p>
    <w:p w14:paraId="5249E675" w14:textId="22741954" w:rsidR="000B61E4" w:rsidRPr="009A6DEF" w:rsidRDefault="000B61E4" w:rsidP="00DC54F7">
      <w:pPr>
        <w:spacing w:after="0" w:line="240" w:lineRule="auto"/>
        <w:jc w:val="both"/>
        <w:rPr>
          <w:rFonts w:ascii="Calibri" w:eastAsia="Times New Roman" w:hAnsi="Calibri" w:cs="Calibri"/>
          <w:color w:val="000000"/>
          <w:sz w:val="24"/>
          <w:szCs w:val="24"/>
          <w:lang w:eastAsia="en-GB"/>
        </w:rPr>
      </w:pPr>
      <w:r w:rsidRPr="009A6DEF">
        <w:rPr>
          <w:rFonts w:ascii="Arial" w:hAnsi="Arial" w:cs="Arial"/>
          <w:sz w:val="24"/>
          <w:szCs w:val="24"/>
          <w:lang w:val="en-US"/>
        </w:rPr>
        <w:t>A total of 3</w:t>
      </w:r>
      <w:r w:rsidR="007C32AD" w:rsidRPr="009A6DEF">
        <w:rPr>
          <w:rFonts w:ascii="Arial" w:hAnsi="Arial" w:cs="Arial"/>
          <w:sz w:val="24"/>
          <w:szCs w:val="24"/>
          <w:lang w:val="en-US"/>
        </w:rPr>
        <w:t>72</w:t>
      </w:r>
      <w:r w:rsidRPr="009A6DEF">
        <w:rPr>
          <w:rFonts w:ascii="Arial" w:hAnsi="Arial" w:cs="Arial"/>
          <w:sz w:val="24"/>
          <w:szCs w:val="24"/>
          <w:lang w:val="en-US"/>
        </w:rPr>
        <w:t xml:space="preserve"> pharmacy contractors that were trading in Wales during 2019 to 2020, dispensed items written by one of the GP practices in the Cardiff </w:t>
      </w:r>
      <w:r w:rsidR="007C32AD" w:rsidRPr="009A6DEF">
        <w:rPr>
          <w:rFonts w:ascii="Arial" w:hAnsi="Arial" w:cs="Arial"/>
          <w:sz w:val="24"/>
          <w:szCs w:val="24"/>
          <w:lang w:val="en-US"/>
        </w:rPr>
        <w:t xml:space="preserve">South </w:t>
      </w:r>
      <w:r w:rsidRPr="009A6DEF">
        <w:rPr>
          <w:rFonts w:ascii="Arial" w:hAnsi="Arial" w:cs="Arial"/>
          <w:sz w:val="24"/>
          <w:szCs w:val="24"/>
          <w:lang w:val="en-US"/>
        </w:rPr>
        <w:t>East cluster, of which 2</w:t>
      </w:r>
      <w:r w:rsidR="00AD144F" w:rsidRPr="009A6DEF">
        <w:rPr>
          <w:rFonts w:ascii="Arial" w:hAnsi="Arial" w:cs="Arial"/>
          <w:sz w:val="24"/>
          <w:szCs w:val="24"/>
          <w:lang w:val="en-US"/>
        </w:rPr>
        <w:t>67</w:t>
      </w:r>
      <w:r w:rsidRPr="009A6DEF">
        <w:rPr>
          <w:rFonts w:ascii="Arial" w:hAnsi="Arial" w:cs="Arial"/>
          <w:sz w:val="24"/>
          <w:szCs w:val="24"/>
          <w:lang w:val="en-US"/>
        </w:rPr>
        <w:t xml:space="preserve"> were outside of the health board’s area</w:t>
      </w:r>
      <w:r w:rsidRPr="009A6DEF">
        <w:rPr>
          <w:rFonts w:ascii="Arial" w:hAnsi="Arial" w:cs="Arial"/>
          <w:b/>
          <w:bCs/>
          <w:sz w:val="24"/>
          <w:szCs w:val="24"/>
          <w:lang w:val="en-US"/>
        </w:rPr>
        <w:t xml:space="preserve">. </w:t>
      </w:r>
      <w:r w:rsidR="003F55A7" w:rsidRPr="009A6DEF">
        <w:rPr>
          <w:rFonts w:ascii="Arial" w:hAnsi="Arial" w:cs="Arial"/>
          <w:sz w:val="24"/>
          <w:szCs w:val="24"/>
          <w:lang w:val="en-US"/>
        </w:rPr>
        <w:t>6,521</w:t>
      </w:r>
      <w:r w:rsidRPr="009A6DEF">
        <w:rPr>
          <w:rFonts w:ascii="Arial" w:hAnsi="Arial" w:cs="Arial"/>
          <w:sz w:val="24"/>
          <w:szCs w:val="24"/>
          <w:lang w:val="en-US"/>
        </w:rPr>
        <w:t xml:space="preserve"> prescription items were dispensed in England. </w:t>
      </w:r>
    </w:p>
    <w:p w14:paraId="4DBDC630" w14:textId="23C2297F" w:rsidR="0063382E" w:rsidRDefault="0063382E" w:rsidP="00DC54F7">
      <w:pPr>
        <w:spacing w:after="0" w:line="240" w:lineRule="auto"/>
        <w:jc w:val="both"/>
        <w:rPr>
          <w:rFonts w:ascii="Arial" w:hAnsi="Arial" w:cs="Arial"/>
          <w:b/>
          <w:color w:val="942D83"/>
          <w:lang w:val="en-US"/>
        </w:rPr>
      </w:pPr>
    </w:p>
    <w:p w14:paraId="6ABEC09B" w14:textId="77777777" w:rsidR="001021DF" w:rsidRPr="00A10850" w:rsidRDefault="001021DF" w:rsidP="00DC54F7">
      <w:pPr>
        <w:spacing w:after="0" w:line="240" w:lineRule="auto"/>
        <w:jc w:val="both"/>
        <w:rPr>
          <w:rFonts w:ascii="Arial" w:hAnsi="Arial" w:cs="Arial"/>
          <w:b/>
          <w:color w:val="942D83"/>
          <w:lang w:val="en-US"/>
        </w:rPr>
      </w:pPr>
    </w:p>
    <w:p w14:paraId="0468EBA5" w14:textId="3D402A2B" w:rsidR="0063382E" w:rsidRPr="00A10850" w:rsidRDefault="004E0E6D" w:rsidP="00DC54F7">
      <w:pPr>
        <w:spacing w:after="0" w:line="240" w:lineRule="auto"/>
        <w:jc w:val="both"/>
        <w:rPr>
          <w:rFonts w:ascii="Arial" w:hAnsi="Arial" w:cs="Arial"/>
          <w:b/>
          <w:sz w:val="26"/>
          <w:szCs w:val="26"/>
          <w:lang w:val="en-US"/>
        </w:rPr>
      </w:pPr>
      <w:r>
        <w:rPr>
          <w:rFonts w:ascii="Arial" w:hAnsi="Arial" w:cs="Arial"/>
          <w:b/>
          <w:sz w:val="26"/>
          <w:szCs w:val="26"/>
          <w:lang w:val="en-US"/>
        </w:rPr>
        <w:t>9</w:t>
      </w:r>
      <w:r w:rsidR="0063382E" w:rsidRPr="00A10850">
        <w:rPr>
          <w:rFonts w:ascii="Arial" w:hAnsi="Arial" w:cs="Arial"/>
          <w:b/>
          <w:sz w:val="26"/>
          <w:szCs w:val="26"/>
          <w:lang w:val="en-US"/>
        </w:rPr>
        <w:t>.6 Gaps in provision</w:t>
      </w:r>
    </w:p>
    <w:p w14:paraId="4824C200" w14:textId="77777777" w:rsidR="0063382E" w:rsidRPr="00A10850" w:rsidRDefault="0063382E" w:rsidP="00DC54F7">
      <w:pPr>
        <w:spacing w:after="0" w:line="240" w:lineRule="auto"/>
        <w:jc w:val="both"/>
        <w:rPr>
          <w:rFonts w:ascii="Arial" w:hAnsi="Arial" w:cs="Arial"/>
          <w:lang w:val="en-US"/>
        </w:rPr>
      </w:pPr>
    </w:p>
    <w:p w14:paraId="5BAEA093" w14:textId="77777777" w:rsidR="00152491" w:rsidRPr="008B600F" w:rsidRDefault="00152491" w:rsidP="00DC54F7">
      <w:pPr>
        <w:spacing w:after="0" w:line="240" w:lineRule="auto"/>
        <w:jc w:val="both"/>
        <w:rPr>
          <w:rFonts w:ascii="Arial" w:hAnsi="Arial" w:cs="Arial"/>
          <w:sz w:val="24"/>
          <w:szCs w:val="24"/>
        </w:rPr>
      </w:pPr>
      <w:r w:rsidRPr="008B600F">
        <w:rPr>
          <w:rFonts w:ascii="Arial" w:hAnsi="Arial" w:cs="Arial"/>
          <w:sz w:val="24"/>
          <w:szCs w:val="24"/>
        </w:rPr>
        <w:t xml:space="preserve">The </w:t>
      </w:r>
      <w:r w:rsidRPr="008B600F">
        <w:rPr>
          <w:rFonts w:ascii="Arial" w:hAnsi="Arial" w:cs="Arial"/>
          <w:color w:val="000000"/>
          <w:sz w:val="24"/>
          <w:szCs w:val="24"/>
        </w:rPr>
        <w:t xml:space="preserve">Cardiff and Vale University Health Board </w:t>
      </w:r>
      <w:r w:rsidRPr="008B600F">
        <w:rPr>
          <w:rFonts w:ascii="Arial" w:hAnsi="Arial" w:cs="Arial"/>
          <w:sz w:val="24"/>
          <w:szCs w:val="24"/>
        </w:rPr>
        <w:t xml:space="preserve">has noted the locations of pharmacies across the cluster, and the fact that the population can access a pharmacy by car within 10 minutes, with the majority within five minutes. Whilst noting that not all households have access to a car throughout the day, the nature of the cluster means that walking to a pharmacy will be a realistic option for many residents and regular public transport services are available for those who are unable to undertake the whole journey on foot. </w:t>
      </w:r>
    </w:p>
    <w:p w14:paraId="5552FFAB" w14:textId="77777777" w:rsidR="00152491" w:rsidRPr="008B600F" w:rsidRDefault="00152491" w:rsidP="00DC54F7">
      <w:pPr>
        <w:spacing w:after="0" w:line="240" w:lineRule="auto"/>
        <w:jc w:val="both"/>
        <w:rPr>
          <w:rFonts w:ascii="Arial" w:hAnsi="Arial" w:cs="Arial"/>
          <w:sz w:val="24"/>
          <w:szCs w:val="24"/>
        </w:rPr>
      </w:pPr>
    </w:p>
    <w:p w14:paraId="6C271BE9" w14:textId="77777777" w:rsidR="00152491" w:rsidRPr="008B600F" w:rsidRDefault="00152491" w:rsidP="00DC54F7">
      <w:pPr>
        <w:spacing w:after="0" w:line="240" w:lineRule="auto"/>
        <w:jc w:val="both"/>
        <w:rPr>
          <w:rFonts w:ascii="Arial" w:hAnsi="Arial" w:cs="Arial"/>
          <w:sz w:val="24"/>
          <w:szCs w:val="24"/>
        </w:rPr>
      </w:pPr>
      <w:r w:rsidRPr="008B600F">
        <w:rPr>
          <w:rFonts w:ascii="Arial" w:hAnsi="Arial" w:cs="Arial"/>
          <w:sz w:val="24"/>
          <w:szCs w:val="24"/>
        </w:rPr>
        <w:t xml:space="preserve">The </w:t>
      </w:r>
      <w:r w:rsidRPr="008B600F">
        <w:rPr>
          <w:rFonts w:ascii="Arial" w:hAnsi="Arial" w:cs="Arial"/>
          <w:color w:val="000000"/>
          <w:sz w:val="24"/>
          <w:szCs w:val="24"/>
        </w:rPr>
        <w:t xml:space="preserve">Cardiff and Vale University Health Board </w:t>
      </w:r>
      <w:r w:rsidRPr="008B600F">
        <w:rPr>
          <w:rFonts w:ascii="Arial" w:hAnsi="Arial" w:cs="Arial"/>
          <w:sz w:val="24"/>
          <w:szCs w:val="24"/>
        </w:rPr>
        <w:t xml:space="preserve">has noted the opening hours of the existing pharmacies and is of the opinion that they are sufficient to meet the likely needs of residents in the cluster. The </w:t>
      </w:r>
      <w:r w:rsidRPr="008B600F">
        <w:rPr>
          <w:rFonts w:ascii="Arial" w:hAnsi="Arial" w:cs="Arial"/>
          <w:color w:val="000000"/>
          <w:sz w:val="24"/>
          <w:szCs w:val="24"/>
        </w:rPr>
        <w:t xml:space="preserve">Cardiff and Vale University Health Board </w:t>
      </w:r>
      <w:r w:rsidRPr="008B600F">
        <w:rPr>
          <w:rFonts w:ascii="Arial" w:hAnsi="Arial" w:cs="Arial"/>
          <w:sz w:val="24"/>
          <w:szCs w:val="24"/>
        </w:rPr>
        <w:t>has therefore concluded that there are no current needs in relation to the provision of essential services by pharmacies in the cluster.</w:t>
      </w:r>
    </w:p>
    <w:p w14:paraId="33669CDA" w14:textId="77777777" w:rsidR="00152491" w:rsidRPr="008B600F" w:rsidRDefault="00152491" w:rsidP="00DC54F7">
      <w:pPr>
        <w:spacing w:after="0" w:line="240" w:lineRule="auto"/>
        <w:jc w:val="both"/>
        <w:rPr>
          <w:rFonts w:ascii="Arial" w:hAnsi="Arial" w:cs="Arial"/>
          <w:sz w:val="24"/>
          <w:szCs w:val="24"/>
        </w:rPr>
      </w:pPr>
    </w:p>
    <w:p w14:paraId="029C1D8F" w14:textId="10087F6B" w:rsidR="00152491" w:rsidRPr="008B600F" w:rsidRDefault="00152491" w:rsidP="00DC54F7">
      <w:pPr>
        <w:spacing w:after="0" w:line="240" w:lineRule="auto"/>
        <w:jc w:val="both"/>
        <w:rPr>
          <w:rFonts w:ascii="Arial" w:hAnsi="Arial" w:cs="Arial"/>
          <w:sz w:val="24"/>
          <w:szCs w:val="24"/>
        </w:rPr>
      </w:pPr>
      <w:r w:rsidRPr="008B600F">
        <w:rPr>
          <w:rFonts w:ascii="Arial" w:hAnsi="Arial" w:cs="Arial"/>
          <w:sz w:val="24"/>
          <w:szCs w:val="24"/>
        </w:rPr>
        <w:t xml:space="preserve">The </w:t>
      </w:r>
      <w:r w:rsidRPr="008B600F">
        <w:rPr>
          <w:rFonts w:ascii="Arial" w:hAnsi="Arial" w:cs="Arial"/>
          <w:color w:val="000000"/>
          <w:sz w:val="24"/>
          <w:szCs w:val="24"/>
        </w:rPr>
        <w:t xml:space="preserve">Cardiff and Vale University Health Board </w:t>
      </w:r>
      <w:r w:rsidRPr="008B600F">
        <w:rPr>
          <w:rFonts w:ascii="Arial" w:hAnsi="Arial" w:cs="Arial"/>
          <w:sz w:val="24"/>
          <w:szCs w:val="24"/>
        </w:rPr>
        <w:t>is also satisfied that there are no current needs in relation to the provision of advanced services.  Whilst none of the pharmacies provide the Appliance Use Review service or the Stoma Appliance Customisation service, it is noted that there are four appliance contractors based in Cardiff</w:t>
      </w:r>
      <w:r w:rsidR="004C3C86" w:rsidRPr="008B600F">
        <w:rPr>
          <w:rFonts w:ascii="Arial" w:hAnsi="Arial" w:cs="Arial"/>
          <w:sz w:val="24"/>
          <w:szCs w:val="24"/>
        </w:rPr>
        <w:t xml:space="preserve"> and Vale University Health Board</w:t>
      </w:r>
      <w:r w:rsidR="00BF6A63" w:rsidRPr="008B600F">
        <w:rPr>
          <w:rFonts w:ascii="Arial" w:hAnsi="Arial" w:cs="Arial"/>
          <w:sz w:val="24"/>
          <w:szCs w:val="24"/>
        </w:rPr>
        <w:t xml:space="preserve">, one which is based within the cluster, </w:t>
      </w:r>
      <w:r w:rsidRPr="008B600F">
        <w:rPr>
          <w:rFonts w:ascii="Arial" w:hAnsi="Arial" w:cs="Arial"/>
          <w:sz w:val="24"/>
          <w:szCs w:val="24"/>
        </w:rPr>
        <w:t xml:space="preserve">who offer these services. One of the reasons why prescriptions are dispensed outside of the cluster is because they have been sent to a dispensing appliance contractor elsewhere in </w:t>
      </w:r>
      <w:r w:rsidR="00412AA2" w:rsidRPr="008B600F">
        <w:rPr>
          <w:rFonts w:ascii="Arial" w:hAnsi="Arial" w:cs="Arial"/>
          <w:sz w:val="24"/>
          <w:szCs w:val="24"/>
        </w:rPr>
        <w:t xml:space="preserve">the health board </w:t>
      </w:r>
      <w:r w:rsidRPr="008B600F">
        <w:rPr>
          <w:rFonts w:ascii="Arial" w:hAnsi="Arial" w:cs="Arial"/>
          <w:sz w:val="24"/>
          <w:szCs w:val="24"/>
        </w:rPr>
        <w:t xml:space="preserve">or to England, which provide these services. Patients will therefore be able to access these two services via those contractors. The </w:t>
      </w:r>
      <w:r w:rsidRPr="008B600F">
        <w:rPr>
          <w:rFonts w:ascii="Arial" w:hAnsi="Arial" w:cs="Arial"/>
          <w:color w:val="000000"/>
          <w:sz w:val="24"/>
          <w:szCs w:val="24"/>
        </w:rPr>
        <w:t xml:space="preserve">Cardiff and Vale University Health Board </w:t>
      </w:r>
      <w:r w:rsidRPr="008B600F">
        <w:rPr>
          <w:rFonts w:ascii="Arial" w:hAnsi="Arial" w:cs="Arial"/>
          <w:sz w:val="24"/>
          <w:szCs w:val="24"/>
        </w:rPr>
        <w:t>has therefore not identified any current or future gap or better access in relation to the provision of these two advanced services in the cluster.</w:t>
      </w:r>
    </w:p>
    <w:p w14:paraId="3A269991" w14:textId="77777777" w:rsidR="00152491" w:rsidRPr="008B600F" w:rsidRDefault="00152491" w:rsidP="00DC54F7">
      <w:pPr>
        <w:spacing w:after="0" w:line="240" w:lineRule="auto"/>
        <w:jc w:val="both"/>
        <w:rPr>
          <w:rFonts w:ascii="Arial" w:hAnsi="Arial" w:cs="Arial"/>
          <w:sz w:val="24"/>
          <w:szCs w:val="24"/>
        </w:rPr>
      </w:pPr>
    </w:p>
    <w:p w14:paraId="4E71F56D" w14:textId="2F2DC4CD" w:rsidR="00E93C5F" w:rsidRPr="008B600F" w:rsidRDefault="00E93C5F" w:rsidP="00DC54F7">
      <w:pPr>
        <w:spacing w:after="0" w:line="240" w:lineRule="auto"/>
        <w:contextualSpacing/>
        <w:jc w:val="both"/>
        <w:rPr>
          <w:rFonts w:ascii="Arial" w:hAnsi="Arial" w:cs="Arial"/>
          <w:sz w:val="24"/>
          <w:szCs w:val="24"/>
        </w:rPr>
      </w:pPr>
      <w:r w:rsidRPr="008B600F">
        <w:rPr>
          <w:rFonts w:ascii="Arial" w:hAnsi="Arial" w:cs="Arial"/>
          <w:sz w:val="24"/>
          <w:szCs w:val="24"/>
        </w:rPr>
        <w:t xml:space="preserve">All 16 pharmacies responded to the question in the contractor questionnaire regarding capacity to meet demand from any future housing developments in the locality. Their responses were as follows: </w:t>
      </w:r>
    </w:p>
    <w:p w14:paraId="04E12906" w14:textId="77777777" w:rsidR="00E93C5F" w:rsidRPr="008B600F" w:rsidRDefault="00E93C5F" w:rsidP="00DC54F7">
      <w:pPr>
        <w:spacing w:after="0" w:line="240" w:lineRule="auto"/>
        <w:contextualSpacing/>
        <w:jc w:val="both"/>
        <w:rPr>
          <w:rFonts w:ascii="Arial" w:hAnsi="Arial" w:cs="Arial"/>
          <w:sz w:val="24"/>
          <w:szCs w:val="24"/>
        </w:rPr>
      </w:pPr>
    </w:p>
    <w:p w14:paraId="4CEF772A" w14:textId="7D7613B2" w:rsidR="00E93C5F" w:rsidRPr="008B600F" w:rsidRDefault="00E93C5F" w:rsidP="00DC54F7">
      <w:pPr>
        <w:pStyle w:val="ListParagraph"/>
        <w:numPr>
          <w:ilvl w:val="0"/>
          <w:numId w:val="155"/>
        </w:numPr>
        <w:spacing w:after="0" w:line="240" w:lineRule="auto"/>
        <w:jc w:val="both"/>
        <w:rPr>
          <w:rFonts w:ascii="Arial" w:hAnsi="Arial" w:cs="Arial"/>
          <w:sz w:val="24"/>
          <w:szCs w:val="24"/>
        </w:rPr>
      </w:pPr>
      <w:r w:rsidRPr="008B600F">
        <w:rPr>
          <w:rFonts w:ascii="Arial" w:hAnsi="Arial" w:cs="Arial"/>
          <w:sz w:val="24"/>
          <w:szCs w:val="24"/>
        </w:rPr>
        <w:t>15 pharmacies have sufficient capacity within their existing premises and staffing levels to manage the increase in demand in the area.</w:t>
      </w:r>
    </w:p>
    <w:p w14:paraId="19BB51A3" w14:textId="14C23E64" w:rsidR="00E93C5F" w:rsidRPr="008B600F" w:rsidRDefault="00E93C5F" w:rsidP="00DC54F7">
      <w:pPr>
        <w:pStyle w:val="ListParagraph"/>
        <w:numPr>
          <w:ilvl w:val="0"/>
          <w:numId w:val="155"/>
        </w:numPr>
        <w:spacing w:after="0" w:line="240" w:lineRule="auto"/>
        <w:jc w:val="both"/>
        <w:rPr>
          <w:rFonts w:ascii="Arial" w:hAnsi="Arial" w:cs="Arial"/>
          <w:sz w:val="24"/>
          <w:szCs w:val="24"/>
        </w:rPr>
      </w:pPr>
      <w:r w:rsidRPr="008B600F">
        <w:rPr>
          <w:rFonts w:ascii="Arial" w:hAnsi="Arial" w:cs="Arial"/>
          <w:sz w:val="24"/>
          <w:szCs w:val="24"/>
        </w:rPr>
        <w:lastRenderedPageBreak/>
        <w:t>One pharmacy does not have sufficient premises and staffing capacity at present but could make adjustments to manage the increase in demand in the area.</w:t>
      </w:r>
    </w:p>
    <w:p w14:paraId="6672DB0F" w14:textId="77777777" w:rsidR="00152491" w:rsidRPr="008B600F" w:rsidRDefault="00152491" w:rsidP="00DC54F7">
      <w:pPr>
        <w:spacing w:after="0" w:line="240" w:lineRule="auto"/>
        <w:jc w:val="both"/>
        <w:rPr>
          <w:rFonts w:ascii="Arial" w:hAnsi="Arial" w:cs="Arial"/>
          <w:sz w:val="24"/>
          <w:szCs w:val="24"/>
        </w:rPr>
      </w:pPr>
    </w:p>
    <w:p w14:paraId="26C10EB2" w14:textId="2ACAA372" w:rsidR="00780F1D" w:rsidRPr="00D549ED" w:rsidRDefault="00152491" w:rsidP="00DC54F7">
      <w:pPr>
        <w:spacing w:after="0" w:line="240" w:lineRule="auto"/>
        <w:jc w:val="both"/>
        <w:rPr>
          <w:rFonts w:ascii="Arial" w:hAnsi="Arial" w:cs="Arial"/>
          <w:sz w:val="24"/>
          <w:szCs w:val="24"/>
        </w:rPr>
      </w:pPr>
      <w:r w:rsidRPr="008B600F">
        <w:rPr>
          <w:rFonts w:ascii="Arial" w:hAnsi="Arial" w:cs="Arial"/>
          <w:sz w:val="24"/>
          <w:szCs w:val="24"/>
        </w:rPr>
        <w:t xml:space="preserve">The </w:t>
      </w:r>
      <w:r w:rsidRPr="008B600F">
        <w:rPr>
          <w:rFonts w:ascii="Arial" w:hAnsi="Arial" w:cs="Arial"/>
          <w:color w:val="000000"/>
          <w:sz w:val="24"/>
          <w:szCs w:val="24"/>
        </w:rPr>
        <w:t xml:space="preserve">Cardiff and Vale University Health Board noted </w:t>
      </w:r>
      <w:r w:rsidR="00FE2249" w:rsidRPr="008B600F">
        <w:rPr>
          <w:rFonts w:ascii="Arial" w:hAnsi="Arial" w:cs="Arial"/>
          <w:color w:val="000000"/>
          <w:sz w:val="24"/>
          <w:szCs w:val="24"/>
        </w:rPr>
        <w:t xml:space="preserve">that there were no large housing </w:t>
      </w:r>
      <w:r w:rsidRPr="008B600F">
        <w:rPr>
          <w:rFonts w:ascii="Arial" w:hAnsi="Arial" w:cs="Arial"/>
          <w:color w:val="000000"/>
          <w:sz w:val="24"/>
          <w:szCs w:val="24"/>
        </w:rPr>
        <w:t xml:space="preserve">developments </w:t>
      </w:r>
      <w:r w:rsidR="00FE2249" w:rsidRPr="008B600F">
        <w:rPr>
          <w:rFonts w:ascii="Arial" w:hAnsi="Arial" w:cs="Arial"/>
          <w:color w:val="000000"/>
          <w:sz w:val="24"/>
          <w:szCs w:val="24"/>
        </w:rPr>
        <w:t xml:space="preserve">due to be built </w:t>
      </w:r>
      <w:r w:rsidRPr="008B600F">
        <w:rPr>
          <w:rFonts w:ascii="Arial" w:hAnsi="Arial" w:cs="Arial"/>
          <w:sz w:val="24"/>
          <w:szCs w:val="24"/>
        </w:rPr>
        <w:t>during the lifetime of this document</w:t>
      </w:r>
      <w:r w:rsidR="00FE2249" w:rsidRPr="008B600F">
        <w:rPr>
          <w:rFonts w:ascii="Arial" w:hAnsi="Arial" w:cs="Arial"/>
          <w:sz w:val="24"/>
          <w:szCs w:val="24"/>
        </w:rPr>
        <w:t xml:space="preserve"> within the cluster. </w:t>
      </w:r>
      <w:r w:rsidR="00FE2249" w:rsidRPr="00D549ED">
        <w:rPr>
          <w:rFonts w:ascii="Arial" w:hAnsi="Arial" w:cs="Arial"/>
          <w:sz w:val="24"/>
          <w:szCs w:val="24"/>
        </w:rPr>
        <w:t>With</w:t>
      </w:r>
      <w:r w:rsidR="006412AE" w:rsidRPr="00D549ED">
        <w:rPr>
          <w:rFonts w:ascii="Arial" w:hAnsi="Arial" w:cs="Arial"/>
          <w:sz w:val="24"/>
          <w:szCs w:val="24"/>
        </w:rPr>
        <w:t xml:space="preserve"> </w:t>
      </w:r>
      <w:r w:rsidR="00780F1D" w:rsidRPr="00D549ED">
        <w:rPr>
          <w:rFonts w:ascii="Arial" w:hAnsi="Arial" w:cs="Arial"/>
          <w:sz w:val="24"/>
          <w:szCs w:val="24"/>
        </w:rPr>
        <w:t xml:space="preserve">regard to any </w:t>
      </w:r>
      <w:r w:rsidR="006412AE" w:rsidRPr="00D549ED">
        <w:rPr>
          <w:rFonts w:ascii="Arial" w:hAnsi="Arial" w:cs="Arial"/>
          <w:sz w:val="24"/>
          <w:szCs w:val="24"/>
        </w:rPr>
        <w:t xml:space="preserve">small units of </w:t>
      </w:r>
      <w:r w:rsidR="00780F1D" w:rsidRPr="00D549ED">
        <w:rPr>
          <w:rFonts w:ascii="Arial" w:hAnsi="Arial" w:cs="Arial"/>
          <w:sz w:val="24"/>
          <w:szCs w:val="24"/>
        </w:rPr>
        <w:t xml:space="preserve">housing that </w:t>
      </w:r>
      <w:r w:rsidR="006412AE" w:rsidRPr="00D549ED">
        <w:rPr>
          <w:rFonts w:ascii="Arial" w:hAnsi="Arial" w:cs="Arial"/>
          <w:sz w:val="24"/>
          <w:szCs w:val="24"/>
        </w:rPr>
        <w:t xml:space="preserve">are </w:t>
      </w:r>
      <w:r w:rsidR="00780F1D" w:rsidRPr="00D549ED">
        <w:rPr>
          <w:rFonts w:ascii="Arial" w:hAnsi="Arial" w:cs="Arial"/>
          <w:sz w:val="24"/>
          <w:szCs w:val="24"/>
        </w:rPr>
        <w:t xml:space="preserve">due to be built during the lifetime of this document, </w:t>
      </w:r>
      <w:r w:rsidR="00780F1D" w:rsidRPr="00D549ED">
        <w:rPr>
          <w:rFonts w:ascii="Arial" w:hAnsi="Arial" w:cs="Arial"/>
          <w:color w:val="000000"/>
          <w:sz w:val="24"/>
          <w:szCs w:val="24"/>
        </w:rPr>
        <w:t>Cardiff and Vale University Health Board</w:t>
      </w:r>
      <w:r w:rsidR="00780F1D" w:rsidRPr="00D549ED">
        <w:rPr>
          <w:rFonts w:ascii="Arial" w:hAnsi="Arial" w:cs="Arial"/>
          <w:sz w:val="24"/>
          <w:szCs w:val="24"/>
        </w:rPr>
        <w:t xml:space="preserve"> is satisfied, based upon the responses to the contractor questionnaire, that the demand that this will create can be met by the existing pharmacies. The </w:t>
      </w:r>
      <w:r w:rsidR="00780F1D" w:rsidRPr="00D549ED">
        <w:rPr>
          <w:rFonts w:ascii="Arial" w:hAnsi="Arial" w:cs="Arial"/>
          <w:color w:val="000000"/>
          <w:sz w:val="24"/>
          <w:szCs w:val="24"/>
        </w:rPr>
        <w:t xml:space="preserve">Cardiff and Vale University Health Board </w:t>
      </w:r>
      <w:r w:rsidR="00780F1D" w:rsidRPr="00D549ED">
        <w:rPr>
          <w:rFonts w:ascii="Arial" w:hAnsi="Arial" w:cs="Arial"/>
          <w:sz w:val="24"/>
          <w:szCs w:val="24"/>
        </w:rPr>
        <w:t>has therefore concluded that there are no future needs in relation to the provision of essential services by pharmacies in the cluster</w:t>
      </w:r>
      <w:r w:rsidR="00E579DD" w:rsidRPr="00D549ED">
        <w:rPr>
          <w:rFonts w:ascii="Arial" w:hAnsi="Arial" w:cs="Arial"/>
          <w:sz w:val="24"/>
          <w:szCs w:val="24"/>
        </w:rPr>
        <w:t>.</w:t>
      </w:r>
    </w:p>
    <w:p w14:paraId="3C164BE0" w14:textId="77777777" w:rsidR="00780F1D" w:rsidRPr="00D549ED" w:rsidRDefault="00780F1D" w:rsidP="00DC54F7">
      <w:pPr>
        <w:spacing w:after="0" w:line="240" w:lineRule="auto"/>
        <w:jc w:val="both"/>
        <w:rPr>
          <w:rFonts w:ascii="Arial" w:hAnsi="Arial" w:cs="Arial"/>
          <w:sz w:val="24"/>
          <w:szCs w:val="24"/>
        </w:rPr>
      </w:pPr>
    </w:p>
    <w:p w14:paraId="5C4F921B" w14:textId="77777777" w:rsidR="00152491" w:rsidRPr="00D549ED" w:rsidRDefault="00152491" w:rsidP="00DC54F7">
      <w:pPr>
        <w:spacing w:after="0" w:line="240" w:lineRule="auto"/>
        <w:jc w:val="both"/>
        <w:rPr>
          <w:rFonts w:ascii="Arial" w:hAnsi="Arial" w:cs="Arial"/>
          <w:sz w:val="24"/>
          <w:szCs w:val="24"/>
        </w:rPr>
      </w:pPr>
      <w:r w:rsidRPr="00D549ED">
        <w:rPr>
          <w:rFonts w:ascii="Arial" w:hAnsi="Arial" w:cs="Arial"/>
          <w:sz w:val="24"/>
          <w:szCs w:val="24"/>
        </w:rPr>
        <w:t xml:space="preserve">The </w:t>
      </w:r>
      <w:r w:rsidRPr="00D549ED">
        <w:rPr>
          <w:rFonts w:ascii="Arial" w:hAnsi="Arial" w:cs="Arial"/>
          <w:color w:val="000000"/>
          <w:sz w:val="24"/>
          <w:szCs w:val="24"/>
        </w:rPr>
        <w:t xml:space="preserve">Cardiff and Vale University Health Board </w:t>
      </w:r>
      <w:r w:rsidRPr="00D549ED">
        <w:rPr>
          <w:rFonts w:ascii="Arial" w:hAnsi="Arial" w:cs="Arial"/>
          <w:sz w:val="24"/>
          <w:szCs w:val="24"/>
        </w:rPr>
        <w:t>is also satisfied that, based upon the information contained in the preceding sections, there are no current or future gaps in the provision of advanced services and enhanced services.</w:t>
      </w:r>
    </w:p>
    <w:p w14:paraId="73A4F09E" w14:textId="77777777" w:rsidR="00152491" w:rsidRPr="00D549ED" w:rsidRDefault="00152491" w:rsidP="00DC54F7">
      <w:pPr>
        <w:spacing w:after="0" w:line="240" w:lineRule="auto"/>
        <w:jc w:val="both"/>
        <w:rPr>
          <w:rFonts w:ascii="Arial" w:hAnsi="Arial" w:cs="Arial"/>
          <w:sz w:val="24"/>
          <w:szCs w:val="24"/>
        </w:rPr>
      </w:pPr>
    </w:p>
    <w:p w14:paraId="19AFE34C" w14:textId="77777777" w:rsidR="00152491" w:rsidRPr="00D549ED" w:rsidRDefault="00152491" w:rsidP="00DC54F7">
      <w:pPr>
        <w:spacing w:after="0" w:line="240" w:lineRule="auto"/>
        <w:jc w:val="both"/>
        <w:rPr>
          <w:rFonts w:ascii="Arial" w:hAnsi="Arial" w:cs="Arial"/>
          <w:sz w:val="24"/>
          <w:szCs w:val="24"/>
        </w:rPr>
      </w:pPr>
      <w:r w:rsidRPr="00D549ED">
        <w:rPr>
          <w:rFonts w:ascii="Arial" w:hAnsi="Arial" w:cs="Arial"/>
          <w:sz w:val="24"/>
          <w:szCs w:val="24"/>
        </w:rPr>
        <w:t xml:space="preserve">The </w:t>
      </w:r>
      <w:r w:rsidRPr="00D549ED">
        <w:rPr>
          <w:rFonts w:ascii="Arial" w:hAnsi="Arial" w:cs="Arial"/>
          <w:color w:val="000000"/>
          <w:sz w:val="24"/>
          <w:szCs w:val="24"/>
        </w:rPr>
        <w:t xml:space="preserve">Cardiff and Vale University Health Board </w:t>
      </w:r>
      <w:r w:rsidRPr="00D549ED">
        <w:rPr>
          <w:rFonts w:ascii="Arial" w:hAnsi="Arial" w:cs="Arial"/>
          <w:sz w:val="24"/>
          <w:szCs w:val="24"/>
        </w:rPr>
        <w:t>will keep service provision under review but has concluded that there is no current or future need identified which requires an application for new or additional premises.</w:t>
      </w:r>
    </w:p>
    <w:p w14:paraId="40D4993A" w14:textId="77777777" w:rsidR="0063382E" w:rsidRPr="007223AE" w:rsidRDefault="0063382E" w:rsidP="00DC54F7">
      <w:pPr>
        <w:spacing w:after="0" w:line="240" w:lineRule="auto"/>
        <w:jc w:val="both"/>
        <w:rPr>
          <w:rFonts w:ascii="Arial" w:hAnsi="Arial" w:cs="Arial"/>
          <w:lang w:val="en-US"/>
        </w:rPr>
      </w:pPr>
    </w:p>
    <w:p w14:paraId="19B317D0" w14:textId="392E7F4F" w:rsidR="0063382E" w:rsidRDefault="0063382E" w:rsidP="00DC54F7">
      <w:pPr>
        <w:pStyle w:val="Heading1"/>
        <w:spacing w:before="0" w:line="240" w:lineRule="auto"/>
        <w:jc w:val="both"/>
        <w:rPr>
          <w:rFonts w:cs="Arial"/>
          <w:color w:val="auto"/>
        </w:rPr>
      </w:pPr>
      <w:r w:rsidRPr="007223AE">
        <w:rPr>
          <w:rFonts w:cs="Arial"/>
        </w:rPr>
        <w:br w:type="page"/>
      </w:r>
    </w:p>
    <w:p w14:paraId="11837AA0" w14:textId="552BACBC" w:rsidR="0063382E" w:rsidRPr="00A10850" w:rsidRDefault="00F605A9" w:rsidP="00DC54F7">
      <w:pPr>
        <w:pStyle w:val="Heading1"/>
        <w:spacing w:before="0" w:line="240" w:lineRule="auto"/>
        <w:jc w:val="both"/>
        <w:rPr>
          <w:rFonts w:cs="Arial"/>
          <w:color w:val="auto"/>
        </w:rPr>
      </w:pPr>
      <w:bookmarkStart w:id="40" w:name="_Toc81585104"/>
      <w:r>
        <w:rPr>
          <w:rFonts w:cs="Arial"/>
          <w:color w:val="auto"/>
        </w:rPr>
        <w:lastRenderedPageBreak/>
        <w:t>10</w:t>
      </w:r>
      <w:r w:rsidR="0063382E" w:rsidRPr="00A10850">
        <w:rPr>
          <w:rFonts w:cs="Arial"/>
          <w:color w:val="auto"/>
        </w:rPr>
        <w:t xml:space="preserve"> </w:t>
      </w:r>
      <w:r w:rsidR="00184954">
        <w:rPr>
          <w:rFonts w:cs="Arial"/>
          <w:color w:val="auto"/>
        </w:rPr>
        <w:t>C</w:t>
      </w:r>
      <w:r w:rsidR="00BA6099">
        <w:rPr>
          <w:rFonts w:cs="Arial"/>
          <w:color w:val="auto"/>
        </w:rPr>
        <w:t xml:space="preserve">ardiff City and </w:t>
      </w:r>
      <w:r w:rsidR="00184954">
        <w:rPr>
          <w:rFonts w:cs="Arial"/>
          <w:color w:val="auto"/>
        </w:rPr>
        <w:t>South</w:t>
      </w:r>
      <w:r w:rsidR="0063382E" w:rsidRPr="00A10850">
        <w:rPr>
          <w:rFonts w:cs="Arial"/>
          <w:color w:val="auto"/>
        </w:rPr>
        <w:t xml:space="preserve"> </w:t>
      </w:r>
      <w:r w:rsidR="00FC1DD7">
        <w:rPr>
          <w:rFonts w:cs="Arial"/>
          <w:color w:val="auto"/>
        </w:rPr>
        <w:t>cluster</w:t>
      </w:r>
      <w:bookmarkEnd w:id="40"/>
    </w:p>
    <w:p w14:paraId="7C040046" w14:textId="04C55D78" w:rsidR="0063382E" w:rsidRDefault="0063382E" w:rsidP="00DC54F7">
      <w:pPr>
        <w:pStyle w:val="Heading2"/>
        <w:spacing w:before="0" w:line="240" w:lineRule="auto"/>
        <w:jc w:val="both"/>
        <w:rPr>
          <w:rFonts w:cs="Arial"/>
          <w:color w:val="942D83"/>
          <w:sz w:val="20"/>
          <w:szCs w:val="20"/>
          <w:highlight w:val="cyan"/>
        </w:rPr>
      </w:pPr>
    </w:p>
    <w:p w14:paraId="229F78AC" w14:textId="77777777" w:rsidR="009A6041" w:rsidRPr="009A6041" w:rsidRDefault="009A6041" w:rsidP="00DC54F7">
      <w:pPr>
        <w:spacing w:after="0" w:line="240" w:lineRule="auto"/>
        <w:jc w:val="both"/>
        <w:rPr>
          <w:highlight w:val="cyan"/>
        </w:rPr>
      </w:pPr>
    </w:p>
    <w:p w14:paraId="408B6774" w14:textId="225A7BFA" w:rsidR="0063382E" w:rsidRDefault="00184954" w:rsidP="00DC54F7">
      <w:pPr>
        <w:spacing w:after="0" w:line="240" w:lineRule="auto"/>
        <w:jc w:val="both"/>
        <w:rPr>
          <w:rFonts w:ascii="Arial" w:hAnsi="Arial" w:cs="Arial"/>
          <w:b/>
          <w:sz w:val="26"/>
          <w:szCs w:val="26"/>
        </w:rPr>
      </w:pPr>
      <w:r>
        <w:rPr>
          <w:rFonts w:ascii="Arial" w:hAnsi="Arial" w:cs="Arial"/>
          <w:b/>
          <w:sz w:val="26"/>
          <w:szCs w:val="26"/>
        </w:rPr>
        <w:t>10</w:t>
      </w:r>
      <w:r w:rsidR="0063382E" w:rsidRPr="00A10850">
        <w:rPr>
          <w:rFonts w:ascii="Arial" w:hAnsi="Arial" w:cs="Arial"/>
          <w:b/>
          <w:sz w:val="26"/>
          <w:szCs w:val="26"/>
        </w:rPr>
        <w:t>.1 Key facts</w:t>
      </w:r>
    </w:p>
    <w:p w14:paraId="2D09B479" w14:textId="77777777" w:rsidR="00FC7E0B" w:rsidRDefault="00FC7E0B" w:rsidP="00DC54F7">
      <w:pPr>
        <w:spacing w:after="0" w:line="240" w:lineRule="auto"/>
        <w:jc w:val="both"/>
        <w:rPr>
          <w:rFonts w:ascii="Arial" w:hAnsi="Arial" w:cs="Arial"/>
          <w:b/>
          <w:bCs/>
        </w:rPr>
      </w:pPr>
    </w:p>
    <w:p w14:paraId="2EFA185C" w14:textId="20DC5418" w:rsidR="00E17A37" w:rsidRPr="00015287" w:rsidRDefault="009A6041" w:rsidP="00DC54F7">
      <w:pPr>
        <w:jc w:val="both"/>
        <w:rPr>
          <w:rFonts w:ascii="Arial" w:hAnsi="Arial" w:cs="Arial"/>
          <w:b/>
          <w:bCs/>
          <w:sz w:val="24"/>
          <w:szCs w:val="24"/>
        </w:rPr>
      </w:pPr>
      <w:r>
        <w:rPr>
          <w:rFonts w:ascii="Arial" w:hAnsi="Arial" w:cs="Arial"/>
          <w:b/>
          <w:bCs/>
          <w:sz w:val="24"/>
          <w:szCs w:val="24"/>
        </w:rPr>
        <w:t>10.</w:t>
      </w:r>
      <w:r w:rsidR="00E91F9B">
        <w:rPr>
          <w:rFonts w:ascii="Arial" w:hAnsi="Arial" w:cs="Arial"/>
          <w:b/>
          <w:bCs/>
          <w:sz w:val="24"/>
          <w:szCs w:val="24"/>
        </w:rPr>
        <w:t xml:space="preserve">1.1 </w:t>
      </w:r>
      <w:r w:rsidR="00E17A37" w:rsidRPr="00704497">
        <w:rPr>
          <w:rFonts w:ascii="Arial" w:hAnsi="Arial" w:cs="Arial"/>
          <w:b/>
          <w:bCs/>
          <w:sz w:val="24"/>
          <w:szCs w:val="24"/>
        </w:rPr>
        <w:t xml:space="preserve">Population </w:t>
      </w:r>
      <w:r w:rsidR="00E17A37" w:rsidRPr="00015287">
        <w:rPr>
          <w:rFonts w:ascii="Arial" w:hAnsi="Arial" w:cs="Arial"/>
          <w:b/>
          <w:bCs/>
          <w:sz w:val="24"/>
          <w:szCs w:val="24"/>
        </w:rPr>
        <w:t>and population projections 2018 to 2028 (2018 based)</w:t>
      </w:r>
    </w:p>
    <w:p w14:paraId="4B853FD6" w14:textId="77777777" w:rsidR="00E17A37" w:rsidRPr="00015287" w:rsidRDefault="00E17A37" w:rsidP="00DC54F7">
      <w:pPr>
        <w:spacing w:after="0" w:line="240" w:lineRule="auto"/>
        <w:jc w:val="both"/>
        <w:rPr>
          <w:rFonts w:ascii="Arial" w:hAnsi="Arial" w:cs="Arial"/>
          <w:sz w:val="24"/>
          <w:szCs w:val="24"/>
        </w:rPr>
      </w:pPr>
      <w:r w:rsidRPr="00015287">
        <w:rPr>
          <w:rFonts w:ascii="Arial" w:hAnsi="Arial" w:cs="Arial"/>
          <w:sz w:val="24"/>
          <w:szCs w:val="24"/>
        </w:rPr>
        <w:t xml:space="preserve">As cluster level population data is not routinely collected on an annual basis, </w:t>
      </w:r>
    </w:p>
    <w:p w14:paraId="51EEDA58" w14:textId="77777777" w:rsidR="00E17A37" w:rsidRPr="00015287" w:rsidRDefault="00E17A37" w:rsidP="00DC54F7">
      <w:pPr>
        <w:spacing w:after="0" w:line="240" w:lineRule="auto"/>
        <w:jc w:val="both"/>
        <w:rPr>
          <w:rFonts w:ascii="Arial" w:hAnsi="Arial" w:cs="Arial"/>
          <w:sz w:val="24"/>
          <w:szCs w:val="24"/>
        </w:rPr>
      </w:pPr>
      <w:r w:rsidRPr="00015287">
        <w:rPr>
          <w:rFonts w:ascii="Arial" w:hAnsi="Arial" w:cs="Arial"/>
          <w:sz w:val="24"/>
          <w:szCs w:val="24"/>
        </w:rPr>
        <w:t>GP registered patient data has been used to provide an indication of cluster population, and local authority based data has been used to provide an indication of population projections.</w:t>
      </w:r>
    </w:p>
    <w:p w14:paraId="533B477F" w14:textId="77777777" w:rsidR="00E17A37" w:rsidRPr="00015287" w:rsidRDefault="00E17A37" w:rsidP="00DC54F7">
      <w:pPr>
        <w:spacing w:after="0" w:line="240" w:lineRule="auto"/>
        <w:jc w:val="both"/>
        <w:rPr>
          <w:rFonts w:ascii="Arial" w:hAnsi="Arial" w:cs="Arial"/>
          <w:sz w:val="24"/>
          <w:szCs w:val="24"/>
        </w:rPr>
      </w:pPr>
    </w:p>
    <w:p w14:paraId="2432B1B3" w14:textId="77777777" w:rsidR="00E17A37" w:rsidRPr="002861BC" w:rsidRDefault="00E17A37" w:rsidP="00DC54F7">
      <w:pPr>
        <w:spacing w:after="0" w:line="240" w:lineRule="auto"/>
        <w:jc w:val="both"/>
        <w:rPr>
          <w:rFonts w:ascii="Arial" w:hAnsi="Arial" w:cs="Arial"/>
          <w:sz w:val="24"/>
          <w:szCs w:val="24"/>
        </w:rPr>
      </w:pPr>
      <w:r w:rsidRPr="00015287">
        <w:rPr>
          <w:rFonts w:ascii="Arial" w:hAnsi="Arial" w:cs="Arial"/>
          <w:sz w:val="24"/>
          <w:szCs w:val="24"/>
        </w:rPr>
        <w:t>Note that GP registered population data is higher than the corresponding census based mid-year population estimates provided by the Office of National Statistics (ONS) at the local authority and health board level, as outlined in section 2.2. This is most likely due to over registered or ‘ghost patients’ caused by many different factors.</w:t>
      </w:r>
    </w:p>
    <w:p w14:paraId="47D7DC58" w14:textId="77777777" w:rsidR="00E17A37" w:rsidRDefault="00E17A37" w:rsidP="00DC54F7">
      <w:pPr>
        <w:spacing w:after="0" w:line="240" w:lineRule="auto"/>
        <w:jc w:val="both"/>
        <w:rPr>
          <w:rFonts w:ascii="Arial" w:hAnsi="Arial" w:cs="Arial"/>
          <w:b/>
          <w:i/>
          <w:iCs/>
          <w:sz w:val="24"/>
          <w:szCs w:val="24"/>
        </w:rPr>
      </w:pPr>
    </w:p>
    <w:p w14:paraId="3F2CFE46" w14:textId="06BD684F" w:rsidR="00E17A37" w:rsidRDefault="00E17A37" w:rsidP="00DC54F7">
      <w:pPr>
        <w:spacing w:after="0" w:line="240" w:lineRule="auto"/>
        <w:jc w:val="both"/>
        <w:rPr>
          <w:rFonts w:ascii="Arial" w:hAnsi="Arial" w:cs="Arial"/>
          <w:b/>
          <w:sz w:val="24"/>
          <w:szCs w:val="24"/>
        </w:rPr>
      </w:pPr>
      <w:r w:rsidRPr="00015287">
        <w:rPr>
          <w:rFonts w:ascii="Arial" w:hAnsi="Arial" w:cs="Arial"/>
          <w:b/>
          <w:sz w:val="24"/>
          <w:szCs w:val="24"/>
        </w:rPr>
        <w:t>Table 10: Number of GP registered patients by gender and broad age groups and by cluster, local authority and health board (2019)</w:t>
      </w:r>
    </w:p>
    <w:tbl>
      <w:tblPr>
        <w:tblW w:w="9360" w:type="dxa"/>
        <w:tblLook w:val="04A0" w:firstRow="1" w:lastRow="0" w:firstColumn="1" w:lastColumn="0" w:noHBand="0" w:noVBand="1"/>
      </w:tblPr>
      <w:tblGrid>
        <w:gridCol w:w="2280"/>
        <w:gridCol w:w="1180"/>
        <w:gridCol w:w="1180"/>
        <w:gridCol w:w="1180"/>
        <w:gridCol w:w="1123"/>
        <w:gridCol w:w="997"/>
        <w:gridCol w:w="1420"/>
      </w:tblGrid>
      <w:tr w:rsidR="00371A00" w:rsidRPr="00371A00" w14:paraId="44734122" w14:textId="77777777" w:rsidTr="00371A00">
        <w:trPr>
          <w:trHeight w:val="290"/>
        </w:trPr>
        <w:tc>
          <w:tcPr>
            <w:tcW w:w="2280" w:type="dxa"/>
            <w:tcBorders>
              <w:top w:val="single" w:sz="4" w:space="0" w:color="auto"/>
              <w:left w:val="single" w:sz="4" w:space="0" w:color="auto"/>
              <w:bottom w:val="nil"/>
              <w:right w:val="nil"/>
            </w:tcBorders>
            <w:shd w:val="clear" w:color="000000" w:fill="8497B0"/>
            <w:noWrap/>
            <w:vAlign w:val="bottom"/>
            <w:hideMark/>
          </w:tcPr>
          <w:p w14:paraId="006FA14F"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 </w:t>
            </w:r>
          </w:p>
        </w:tc>
        <w:tc>
          <w:tcPr>
            <w:tcW w:w="1180" w:type="dxa"/>
            <w:tcBorders>
              <w:top w:val="single" w:sz="4" w:space="0" w:color="auto"/>
              <w:left w:val="nil"/>
              <w:bottom w:val="nil"/>
              <w:right w:val="nil"/>
            </w:tcBorders>
            <w:shd w:val="clear" w:color="000000" w:fill="8497B0"/>
            <w:noWrap/>
            <w:vAlign w:val="bottom"/>
            <w:hideMark/>
          </w:tcPr>
          <w:p w14:paraId="558C0633"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Year</w:t>
            </w:r>
          </w:p>
        </w:tc>
        <w:tc>
          <w:tcPr>
            <w:tcW w:w="2360" w:type="dxa"/>
            <w:gridSpan w:val="2"/>
            <w:tcBorders>
              <w:top w:val="single" w:sz="4" w:space="0" w:color="auto"/>
              <w:left w:val="nil"/>
              <w:bottom w:val="nil"/>
              <w:right w:val="nil"/>
            </w:tcBorders>
            <w:shd w:val="clear" w:color="000000" w:fill="8497B0"/>
            <w:noWrap/>
            <w:vAlign w:val="bottom"/>
            <w:hideMark/>
          </w:tcPr>
          <w:p w14:paraId="77D6BCB3"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Gender</w:t>
            </w:r>
          </w:p>
        </w:tc>
        <w:tc>
          <w:tcPr>
            <w:tcW w:w="3540" w:type="dxa"/>
            <w:gridSpan w:val="3"/>
            <w:tcBorders>
              <w:top w:val="single" w:sz="4" w:space="0" w:color="auto"/>
              <w:left w:val="nil"/>
              <w:bottom w:val="nil"/>
              <w:right w:val="single" w:sz="4" w:space="0" w:color="000000"/>
            </w:tcBorders>
            <w:shd w:val="clear" w:color="000000" w:fill="8497B0"/>
            <w:noWrap/>
            <w:vAlign w:val="bottom"/>
            <w:hideMark/>
          </w:tcPr>
          <w:p w14:paraId="04121318"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Age range</w:t>
            </w:r>
          </w:p>
        </w:tc>
      </w:tr>
      <w:tr w:rsidR="00371A00" w:rsidRPr="00371A00" w14:paraId="48D5ABE0" w14:textId="77777777" w:rsidTr="00371A00">
        <w:trPr>
          <w:trHeight w:val="290"/>
        </w:trPr>
        <w:tc>
          <w:tcPr>
            <w:tcW w:w="2280" w:type="dxa"/>
            <w:tcBorders>
              <w:top w:val="nil"/>
              <w:left w:val="single" w:sz="4" w:space="0" w:color="auto"/>
              <w:bottom w:val="nil"/>
              <w:right w:val="nil"/>
            </w:tcBorders>
            <w:shd w:val="clear" w:color="000000" w:fill="8497B0"/>
            <w:noWrap/>
            <w:vAlign w:val="bottom"/>
            <w:hideMark/>
          </w:tcPr>
          <w:p w14:paraId="14967EC9"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 </w:t>
            </w:r>
          </w:p>
        </w:tc>
        <w:tc>
          <w:tcPr>
            <w:tcW w:w="1180" w:type="dxa"/>
            <w:tcBorders>
              <w:top w:val="nil"/>
              <w:left w:val="nil"/>
              <w:bottom w:val="nil"/>
              <w:right w:val="nil"/>
            </w:tcBorders>
            <w:shd w:val="clear" w:color="000000" w:fill="8497B0"/>
            <w:noWrap/>
            <w:vAlign w:val="bottom"/>
            <w:hideMark/>
          </w:tcPr>
          <w:p w14:paraId="6C8A98CB"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2019</w:t>
            </w:r>
          </w:p>
        </w:tc>
        <w:tc>
          <w:tcPr>
            <w:tcW w:w="1180" w:type="dxa"/>
            <w:tcBorders>
              <w:top w:val="nil"/>
              <w:left w:val="nil"/>
              <w:bottom w:val="nil"/>
              <w:right w:val="nil"/>
            </w:tcBorders>
            <w:shd w:val="clear" w:color="000000" w:fill="8497B0"/>
            <w:noWrap/>
            <w:vAlign w:val="bottom"/>
            <w:hideMark/>
          </w:tcPr>
          <w:p w14:paraId="1C14914B"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Female</w:t>
            </w:r>
          </w:p>
        </w:tc>
        <w:tc>
          <w:tcPr>
            <w:tcW w:w="1180" w:type="dxa"/>
            <w:tcBorders>
              <w:top w:val="nil"/>
              <w:left w:val="nil"/>
              <w:bottom w:val="nil"/>
              <w:right w:val="nil"/>
            </w:tcBorders>
            <w:shd w:val="clear" w:color="000000" w:fill="8497B0"/>
            <w:noWrap/>
            <w:vAlign w:val="bottom"/>
            <w:hideMark/>
          </w:tcPr>
          <w:p w14:paraId="5C16B34D"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Male</w:t>
            </w:r>
          </w:p>
        </w:tc>
        <w:tc>
          <w:tcPr>
            <w:tcW w:w="1123" w:type="dxa"/>
            <w:tcBorders>
              <w:top w:val="nil"/>
              <w:left w:val="nil"/>
              <w:bottom w:val="nil"/>
              <w:right w:val="nil"/>
            </w:tcBorders>
            <w:shd w:val="clear" w:color="000000" w:fill="8497B0"/>
            <w:noWrap/>
            <w:vAlign w:val="bottom"/>
            <w:hideMark/>
          </w:tcPr>
          <w:p w14:paraId="6DE96EA1"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Under 65</w:t>
            </w:r>
          </w:p>
        </w:tc>
        <w:tc>
          <w:tcPr>
            <w:tcW w:w="997" w:type="dxa"/>
            <w:tcBorders>
              <w:top w:val="nil"/>
              <w:left w:val="nil"/>
              <w:bottom w:val="nil"/>
              <w:right w:val="nil"/>
            </w:tcBorders>
            <w:shd w:val="clear" w:color="000000" w:fill="8497B0"/>
            <w:noWrap/>
            <w:vAlign w:val="bottom"/>
            <w:hideMark/>
          </w:tcPr>
          <w:p w14:paraId="2F4618A4"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65 to 84</w:t>
            </w:r>
          </w:p>
        </w:tc>
        <w:tc>
          <w:tcPr>
            <w:tcW w:w="1420" w:type="dxa"/>
            <w:tcBorders>
              <w:top w:val="nil"/>
              <w:left w:val="nil"/>
              <w:bottom w:val="nil"/>
              <w:right w:val="single" w:sz="4" w:space="0" w:color="auto"/>
            </w:tcBorders>
            <w:shd w:val="clear" w:color="000000" w:fill="8497B0"/>
            <w:noWrap/>
            <w:vAlign w:val="bottom"/>
            <w:hideMark/>
          </w:tcPr>
          <w:p w14:paraId="2F2C12B0"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85 and over</w:t>
            </w:r>
          </w:p>
        </w:tc>
      </w:tr>
      <w:tr w:rsidR="00371A00" w:rsidRPr="00371A00" w14:paraId="67177311" w14:textId="77777777" w:rsidTr="00371A00">
        <w:trPr>
          <w:trHeight w:val="290"/>
        </w:trPr>
        <w:tc>
          <w:tcPr>
            <w:tcW w:w="2280" w:type="dxa"/>
            <w:tcBorders>
              <w:top w:val="nil"/>
              <w:left w:val="single" w:sz="4" w:space="0" w:color="auto"/>
              <w:bottom w:val="nil"/>
              <w:right w:val="nil"/>
            </w:tcBorders>
            <w:shd w:val="clear" w:color="000000" w:fill="F2F2F2"/>
            <w:noWrap/>
            <w:vAlign w:val="bottom"/>
            <w:hideMark/>
          </w:tcPr>
          <w:p w14:paraId="482F8438" w14:textId="31C15EC5" w:rsidR="00371A00" w:rsidRPr="00371A00" w:rsidRDefault="00920A4D" w:rsidP="00DC54F7">
            <w:pPr>
              <w:spacing w:after="0" w:line="240" w:lineRule="auto"/>
              <w:jc w:val="both"/>
              <w:rPr>
                <w:rFonts w:ascii="Calibri" w:eastAsia="Times New Roman" w:hAnsi="Calibri" w:cs="Calibri"/>
                <w:color w:val="000000"/>
                <w:lang w:eastAsia="en-GB"/>
              </w:rPr>
            </w:pPr>
            <w:r>
              <w:rPr>
                <w:rFonts w:ascii="Calibri" w:eastAsia="Times New Roman" w:hAnsi="Calibri" w:cs="Calibri"/>
                <w:color w:val="000000"/>
                <w:lang w:eastAsia="en-GB"/>
              </w:rPr>
              <w:t xml:space="preserve">Cardiff </w:t>
            </w:r>
            <w:r w:rsidR="00371A00" w:rsidRPr="00371A00">
              <w:rPr>
                <w:rFonts w:ascii="Calibri" w:eastAsia="Times New Roman" w:hAnsi="Calibri" w:cs="Calibri"/>
                <w:color w:val="000000"/>
                <w:lang w:eastAsia="en-GB"/>
              </w:rPr>
              <w:t>City &amp; South</w:t>
            </w:r>
          </w:p>
        </w:tc>
        <w:tc>
          <w:tcPr>
            <w:tcW w:w="1180" w:type="dxa"/>
            <w:tcBorders>
              <w:top w:val="nil"/>
              <w:left w:val="nil"/>
              <w:bottom w:val="nil"/>
              <w:right w:val="nil"/>
            </w:tcBorders>
            <w:shd w:val="clear" w:color="000000" w:fill="F2F2F2"/>
            <w:noWrap/>
            <w:vAlign w:val="bottom"/>
            <w:hideMark/>
          </w:tcPr>
          <w:p w14:paraId="61F03BFF"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41246</w:t>
            </w:r>
          </w:p>
        </w:tc>
        <w:tc>
          <w:tcPr>
            <w:tcW w:w="1180" w:type="dxa"/>
            <w:tcBorders>
              <w:top w:val="nil"/>
              <w:left w:val="nil"/>
              <w:bottom w:val="nil"/>
              <w:right w:val="nil"/>
            </w:tcBorders>
            <w:shd w:val="clear" w:color="000000" w:fill="F2F2F2"/>
            <w:noWrap/>
            <w:vAlign w:val="bottom"/>
            <w:hideMark/>
          </w:tcPr>
          <w:p w14:paraId="583A95CE"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18885</w:t>
            </w:r>
          </w:p>
        </w:tc>
        <w:tc>
          <w:tcPr>
            <w:tcW w:w="1180" w:type="dxa"/>
            <w:tcBorders>
              <w:top w:val="nil"/>
              <w:left w:val="nil"/>
              <w:bottom w:val="nil"/>
              <w:right w:val="nil"/>
            </w:tcBorders>
            <w:shd w:val="clear" w:color="000000" w:fill="F2F2F2"/>
            <w:noWrap/>
            <w:vAlign w:val="bottom"/>
            <w:hideMark/>
          </w:tcPr>
          <w:p w14:paraId="5A91D674"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22361</w:t>
            </w:r>
          </w:p>
        </w:tc>
        <w:tc>
          <w:tcPr>
            <w:tcW w:w="1123" w:type="dxa"/>
            <w:tcBorders>
              <w:top w:val="nil"/>
              <w:left w:val="nil"/>
              <w:bottom w:val="nil"/>
              <w:right w:val="nil"/>
            </w:tcBorders>
            <w:shd w:val="clear" w:color="000000" w:fill="F2F2F2"/>
            <w:noWrap/>
            <w:vAlign w:val="bottom"/>
            <w:hideMark/>
          </w:tcPr>
          <w:p w14:paraId="27DCF915"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37589</w:t>
            </w:r>
          </w:p>
        </w:tc>
        <w:tc>
          <w:tcPr>
            <w:tcW w:w="997" w:type="dxa"/>
            <w:tcBorders>
              <w:top w:val="nil"/>
              <w:left w:val="nil"/>
              <w:bottom w:val="nil"/>
              <w:right w:val="nil"/>
            </w:tcBorders>
            <w:shd w:val="clear" w:color="000000" w:fill="F2F2F2"/>
            <w:noWrap/>
            <w:vAlign w:val="bottom"/>
            <w:hideMark/>
          </w:tcPr>
          <w:p w14:paraId="634C6568"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3147</w:t>
            </w:r>
          </w:p>
        </w:tc>
        <w:tc>
          <w:tcPr>
            <w:tcW w:w="1420" w:type="dxa"/>
            <w:tcBorders>
              <w:top w:val="nil"/>
              <w:left w:val="nil"/>
              <w:bottom w:val="nil"/>
              <w:right w:val="single" w:sz="4" w:space="0" w:color="auto"/>
            </w:tcBorders>
            <w:shd w:val="clear" w:color="000000" w:fill="F2F2F2"/>
            <w:noWrap/>
            <w:vAlign w:val="bottom"/>
            <w:hideMark/>
          </w:tcPr>
          <w:p w14:paraId="04DB2B44"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510</w:t>
            </w:r>
          </w:p>
        </w:tc>
      </w:tr>
      <w:tr w:rsidR="00371A00" w:rsidRPr="00371A00" w14:paraId="3FC27FB6" w14:textId="77777777" w:rsidTr="00371A00">
        <w:trPr>
          <w:trHeight w:val="290"/>
        </w:trPr>
        <w:tc>
          <w:tcPr>
            <w:tcW w:w="2280" w:type="dxa"/>
            <w:tcBorders>
              <w:top w:val="nil"/>
              <w:left w:val="single" w:sz="4" w:space="0" w:color="auto"/>
              <w:bottom w:val="nil"/>
              <w:right w:val="nil"/>
            </w:tcBorders>
            <w:shd w:val="clear" w:color="auto" w:fill="auto"/>
            <w:noWrap/>
            <w:vAlign w:val="bottom"/>
            <w:hideMark/>
          </w:tcPr>
          <w:p w14:paraId="09A64931"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Cardiff</w:t>
            </w:r>
          </w:p>
        </w:tc>
        <w:tc>
          <w:tcPr>
            <w:tcW w:w="1180" w:type="dxa"/>
            <w:tcBorders>
              <w:top w:val="nil"/>
              <w:left w:val="nil"/>
              <w:bottom w:val="nil"/>
              <w:right w:val="nil"/>
            </w:tcBorders>
            <w:shd w:val="clear" w:color="auto" w:fill="auto"/>
            <w:noWrap/>
            <w:vAlign w:val="bottom"/>
            <w:hideMark/>
          </w:tcPr>
          <w:p w14:paraId="4B529380"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389619</w:t>
            </w:r>
          </w:p>
        </w:tc>
        <w:tc>
          <w:tcPr>
            <w:tcW w:w="1180" w:type="dxa"/>
            <w:tcBorders>
              <w:top w:val="nil"/>
              <w:left w:val="nil"/>
              <w:bottom w:val="nil"/>
              <w:right w:val="nil"/>
            </w:tcBorders>
            <w:shd w:val="clear" w:color="auto" w:fill="auto"/>
            <w:noWrap/>
            <w:vAlign w:val="bottom"/>
            <w:hideMark/>
          </w:tcPr>
          <w:p w14:paraId="39F15FE8"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193044</w:t>
            </w:r>
          </w:p>
        </w:tc>
        <w:tc>
          <w:tcPr>
            <w:tcW w:w="1180" w:type="dxa"/>
            <w:tcBorders>
              <w:top w:val="nil"/>
              <w:left w:val="nil"/>
              <w:bottom w:val="nil"/>
              <w:right w:val="nil"/>
            </w:tcBorders>
            <w:shd w:val="clear" w:color="auto" w:fill="auto"/>
            <w:noWrap/>
            <w:vAlign w:val="bottom"/>
            <w:hideMark/>
          </w:tcPr>
          <w:p w14:paraId="7BF908EA"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196575</w:t>
            </w:r>
          </w:p>
        </w:tc>
        <w:tc>
          <w:tcPr>
            <w:tcW w:w="1123" w:type="dxa"/>
            <w:tcBorders>
              <w:top w:val="nil"/>
              <w:left w:val="nil"/>
              <w:bottom w:val="nil"/>
              <w:right w:val="nil"/>
            </w:tcBorders>
            <w:shd w:val="clear" w:color="auto" w:fill="auto"/>
            <w:noWrap/>
            <w:vAlign w:val="bottom"/>
            <w:hideMark/>
          </w:tcPr>
          <w:p w14:paraId="1BD7FDB5"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335252</w:t>
            </w:r>
          </w:p>
        </w:tc>
        <w:tc>
          <w:tcPr>
            <w:tcW w:w="997" w:type="dxa"/>
            <w:tcBorders>
              <w:top w:val="nil"/>
              <w:left w:val="nil"/>
              <w:bottom w:val="nil"/>
              <w:right w:val="nil"/>
            </w:tcBorders>
            <w:shd w:val="clear" w:color="auto" w:fill="auto"/>
            <w:noWrap/>
            <w:vAlign w:val="bottom"/>
            <w:hideMark/>
          </w:tcPr>
          <w:p w14:paraId="482CD69B"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46599</w:t>
            </w:r>
          </w:p>
        </w:tc>
        <w:tc>
          <w:tcPr>
            <w:tcW w:w="1420" w:type="dxa"/>
            <w:tcBorders>
              <w:top w:val="nil"/>
              <w:left w:val="nil"/>
              <w:bottom w:val="nil"/>
              <w:right w:val="single" w:sz="4" w:space="0" w:color="auto"/>
            </w:tcBorders>
            <w:shd w:val="clear" w:color="auto" w:fill="auto"/>
            <w:noWrap/>
            <w:vAlign w:val="bottom"/>
            <w:hideMark/>
          </w:tcPr>
          <w:p w14:paraId="7B31C794"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7768</w:t>
            </w:r>
          </w:p>
        </w:tc>
      </w:tr>
      <w:tr w:rsidR="00371A00" w:rsidRPr="00371A00" w14:paraId="15F32F9B" w14:textId="77777777" w:rsidTr="00371A00">
        <w:trPr>
          <w:trHeight w:val="290"/>
        </w:trPr>
        <w:tc>
          <w:tcPr>
            <w:tcW w:w="2280" w:type="dxa"/>
            <w:tcBorders>
              <w:top w:val="nil"/>
              <w:left w:val="single" w:sz="4" w:space="0" w:color="auto"/>
              <w:bottom w:val="single" w:sz="4" w:space="0" w:color="auto"/>
              <w:right w:val="nil"/>
            </w:tcBorders>
            <w:shd w:val="clear" w:color="000000" w:fill="F2F2F2"/>
            <w:noWrap/>
            <w:vAlign w:val="bottom"/>
            <w:hideMark/>
          </w:tcPr>
          <w:p w14:paraId="23AA4834"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Cardiff and Vale UHB</w:t>
            </w:r>
          </w:p>
        </w:tc>
        <w:tc>
          <w:tcPr>
            <w:tcW w:w="1180" w:type="dxa"/>
            <w:tcBorders>
              <w:top w:val="nil"/>
              <w:left w:val="nil"/>
              <w:bottom w:val="single" w:sz="4" w:space="0" w:color="auto"/>
              <w:right w:val="nil"/>
            </w:tcBorders>
            <w:shd w:val="clear" w:color="000000" w:fill="F2F2F2"/>
            <w:noWrap/>
            <w:vAlign w:val="bottom"/>
            <w:hideMark/>
          </w:tcPr>
          <w:p w14:paraId="56A0B99F"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521177</w:t>
            </w:r>
          </w:p>
        </w:tc>
        <w:tc>
          <w:tcPr>
            <w:tcW w:w="1180" w:type="dxa"/>
            <w:tcBorders>
              <w:top w:val="nil"/>
              <w:left w:val="nil"/>
              <w:bottom w:val="single" w:sz="4" w:space="0" w:color="auto"/>
              <w:right w:val="nil"/>
            </w:tcBorders>
            <w:shd w:val="clear" w:color="000000" w:fill="F2F2F2"/>
            <w:noWrap/>
            <w:vAlign w:val="bottom"/>
            <w:hideMark/>
          </w:tcPr>
          <w:p w14:paraId="6EFDF495"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260027</w:t>
            </w:r>
          </w:p>
        </w:tc>
        <w:tc>
          <w:tcPr>
            <w:tcW w:w="1180" w:type="dxa"/>
            <w:tcBorders>
              <w:top w:val="nil"/>
              <w:left w:val="nil"/>
              <w:bottom w:val="single" w:sz="4" w:space="0" w:color="auto"/>
              <w:right w:val="nil"/>
            </w:tcBorders>
            <w:shd w:val="clear" w:color="000000" w:fill="F2F2F2"/>
            <w:noWrap/>
            <w:vAlign w:val="bottom"/>
            <w:hideMark/>
          </w:tcPr>
          <w:p w14:paraId="1F9CE095"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261150</w:t>
            </w:r>
          </w:p>
        </w:tc>
        <w:tc>
          <w:tcPr>
            <w:tcW w:w="1123" w:type="dxa"/>
            <w:tcBorders>
              <w:top w:val="nil"/>
              <w:left w:val="nil"/>
              <w:bottom w:val="single" w:sz="4" w:space="0" w:color="auto"/>
              <w:right w:val="nil"/>
            </w:tcBorders>
            <w:shd w:val="clear" w:color="000000" w:fill="F2F2F2"/>
            <w:noWrap/>
            <w:vAlign w:val="bottom"/>
            <w:hideMark/>
          </w:tcPr>
          <w:p w14:paraId="60606FB2"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439365</w:t>
            </w:r>
          </w:p>
        </w:tc>
        <w:tc>
          <w:tcPr>
            <w:tcW w:w="997" w:type="dxa"/>
            <w:tcBorders>
              <w:top w:val="nil"/>
              <w:left w:val="nil"/>
              <w:bottom w:val="single" w:sz="4" w:space="0" w:color="auto"/>
              <w:right w:val="nil"/>
            </w:tcBorders>
            <w:shd w:val="clear" w:color="000000" w:fill="F2F2F2"/>
            <w:noWrap/>
            <w:vAlign w:val="bottom"/>
            <w:hideMark/>
          </w:tcPr>
          <w:p w14:paraId="6EA9E903"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70412</w:t>
            </w:r>
          </w:p>
        </w:tc>
        <w:tc>
          <w:tcPr>
            <w:tcW w:w="1420" w:type="dxa"/>
            <w:tcBorders>
              <w:top w:val="nil"/>
              <w:left w:val="nil"/>
              <w:bottom w:val="single" w:sz="4" w:space="0" w:color="auto"/>
              <w:right w:val="single" w:sz="4" w:space="0" w:color="auto"/>
            </w:tcBorders>
            <w:shd w:val="clear" w:color="000000" w:fill="F2F2F2"/>
            <w:noWrap/>
            <w:vAlign w:val="bottom"/>
            <w:hideMark/>
          </w:tcPr>
          <w:p w14:paraId="075D00C5" w14:textId="77777777" w:rsidR="00371A00" w:rsidRPr="00371A00" w:rsidRDefault="00371A00" w:rsidP="00DC54F7">
            <w:pPr>
              <w:spacing w:after="0" w:line="240" w:lineRule="auto"/>
              <w:jc w:val="both"/>
              <w:rPr>
                <w:rFonts w:ascii="Calibri" w:eastAsia="Times New Roman" w:hAnsi="Calibri" w:cs="Calibri"/>
                <w:color w:val="000000"/>
                <w:lang w:eastAsia="en-GB"/>
              </w:rPr>
            </w:pPr>
            <w:r w:rsidRPr="00371A00">
              <w:rPr>
                <w:rFonts w:ascii="Calibri" w:eastAsia="Times New Roman" w:hAnsi="Calibri" w:cs="Calibri"/>
                <w:color w:val="000000"/>
                <w:lang w:eastAsia="en-GB"/>
              </w:rPr>
              <w:t>11400</w:t>
            </w:r>
          </w:p>
        </w:tc>
      </w:tr>
    </w:tbl>
    <w:p w14:paraId="33DFA528" w14:textId="5D223633" w:rsidR="00E17A37" w:rsidRPr="007164F7" w:rsidRDefault="00653951" w:rsidP="00DC54F7">
      <w:pPr>
        <w:jc w:val="both"/>
        <w:rPr>
          <w:rFonts w:ascii="Arial" w:hAnsi="Arial" w:cs="Arial"/>
          <w:sz w:val="20"/>
          <w:szCs w:val="20"/>
        </w:rPr>
      </w:pPr>
      <w:r w:rsidRPr="007164F7">
        <w:rPr>
          <w:rFonts w:ascii="Arial" w:hAnsi="Arial" w:cs="Arial"/>
          <w:sz w:val="20"/>
          <w:szCs w:val="20"/>
        </w:rPr>
        <w:t>Source: StatsWales - NHS Wales Shared Services Partnership.</w:t>
      </w:r>
    </w:p>
    <w:p w14:paraId="373E090E" w14:textId="77777777" w:rsidR="0008459A" w:rsidRPr="00E91F9B" w:rsidRDefault="0008459A" w:rsidP="00DC54F7">
      <w:pPr>
        <w:spacing w:after="0" w:line="240" w:lineRule="auto"/>
        <w:jc w:val="both"/>
        <w:rPr>
          <w:rFonts w:ascii="Arial" w:hAnsi="Arial" w:cs="Arial"/>
          <w:sz w:val="24"/>
          <w:szCs w:val="24"/>
        </w:rPr>
      </w:pPr>
      <w:r w:rsidRPr="00E91F9B">
        <w:rPr>
          <w:rFonts w:ascii="Arial" w:hAnsi="Arial" w:cs="Arial"/>
          <w:sz w:val="24"/>
          <w:szCs w:val="24"/>
        </w:rPr>
        <w:t>Between 2018 to 2028, the population of Cardiff is projected to increase by up to 3.2%, the sixth largest percentage increase of all the local authorities within Wales. It is expected to have a population of around 375,700 by 2028, making it the largest local authority in Wales. Unlike all other local authorities, the increase in population will mainly be driven by natural change i.e. more births than deaths and a smaller proportion of the increase will be due to net migration i.e. more people moving into the area than out. Cardiff has the highest level of projected international migration of all the local authorities. The population is expected to increase across all broad age groups, except the 0 to 15 years old where a decrease is predicted.  The largest population increases will be in the over 65 age group followed by the working-age population aged 16 to 64 years. The population is projected to continue to age in the local authority.</w:t>
      </w:r>
    </w:p>
    <w:p w14:paraId="2E689DBA" w14:textId="734815E6" w:rsidR="00644A5A" w:rsidRDefault="00644A5A" w:rsidP="00DC54F7">
      <w:pPr>
        <w:spacing w:after="0" w:line="240" w:lineRule="auto"/>
        <w:jc w:val="both"/>
        <w:rPr>
          <w:rFonts w:ascii="Arial" w:hAnsi="Arial" w:cs="Arial"/>
          <w:b/>
          <w:sz w:val="26"/>
          <w:szCs w:val="26"/>
        </w:rPr>
      </w:pPr>
    </w:p>
    <w:p w14:paraId="2F7D1B28" w14:textId="77777777" w:rsidR="005C6BB3" w:rsidRDefault="005C6BB3" w:rsidP="00DC54F7">
      <w:pPr>
        <w:spacing w:after="0" w:line="240" w:lineRule="auto"/>
        <w:jc w:val="both"/>
        <w:rPr>
          <w:rFonts w:ascii="Arial" w:hAnsi="Arial" w:cs="Arial"/>
          <w:b/>
          <w:sz w:val="26"/>
          <w:szCs w:val="26"/>
        </w:rPr>
      </w:pPr>
    </w:p>
    <w:p w14:paraId="7A6DBFC6" w14:textId="629E9F84" w:rsidR="00644A5A" w:rsidRPr="00E579DD" w:rsidRDefault="00E91F9B" w:rsidP="00DC54F7">
      <w:pPr>
        <w:spacing w:after="0" w:line="240" w:lineRule="auto"/>
        <w:jc w:val="both"/>
        <w:rPr>
          <w:rFonts w:ascii="Arial" w:hAnsi="Arial" w:cs="Arial"/>
          <w:b/>
          <w:bCs/>
          <w:sz w:val="24"/>
          <w:szCs w:val="24"/>
        </w:rPr>
      </w:pPr>
      <w:r>
        <w:rPr>
          <w:rFonts w:ascii="Arial" w:hAnsi="Arial" w:cs="Arial"/>
          <w:b/>
          <w:bCs/>
          <w:sz w:val="24"/>
          <w:szCs w:val="24"/>
        </w:rPr>
        <w:t xml:space="preserve">10.1.2. </w:t>
      </w:r>
      <w:r w:rsidR="00644A5A" w:rsidRPr="00E579DD">
        <w:rPr>
          <w:rFonts w:ascii="Arial" w:hAnsi="Arial" w:cs="Arial"/>
          <w:b/>
          <w:bCs/>
          <w:sz w:val="24"/>
          <w:szCs w:val="24"/>
        </w:rPr>
        <w:t>Life expectancy, healthy life expectancy and the ‘inequality gap’</w:t>
      </w:r>
    </w:p>
    <w:p w14:paraId="5F630CF5" w14:textId="77777777" w:rsidR="00644A5A" w:rsidRPr="00DB7FBC" w:rsidRDefault="00644A5A" w:rsidP="00DC54F7">
      <w:pPr>
        <w:spacing w:after="0" w:line="240" w:lineRule="auto"/>
        <w:jc w:val="both"/>
        <w:rPr>
          <w:rFonts w:ascii="Arial" w:hAnsi="Arial" w:cs="Arial"/>
          <w:b/>
          <w:bCs/>
        </w:rPr>
      </w:pPr>
    </w:p>
    <w:p w14:paraId="5331497B" w14:textId="6D879815" w:rsidR="00644A5A" w:rsidRPr="005C6BB3" w:rsidRDefault="00644A5A" w:rsidP="00DC54F7">
      <w:pPr>
        <w:spacing w:after="0" w:line="240" w:lineRule="auto"/>
        <w:jc w:val="both"/>
        <w:rPr>
          <w:rFonts w:ascii="Arial" w:hAnsi="Arial" w:cs="Arial"/>
          <w:sz w:val="24"/>
          <w:szCs w:val="24"/>
        </w:rPr>
      </w:pPr>
      <w:r w:rsidRPr="00E91F9B">
        <w:rPr>
          <w:rFonts w:ascii="Arial" w:hAnsi="Arial" w:cs="Arial"/>
          <w:sz w:val="24"/>
          <w:szCs w:val="24"/>
        </w:rPr>
        <w:t>Life expectancy at birth in Cardiff is better than the average for Wales for both females and males. The difference in life expectancy that exists across an area between the most and least deprived areas is referred to as the ‘inequality gap’. The inequality gap in life expectancy at birth between the most and least deprived fifth, for Cardiff is wider than the average for Wales for both males and females. The healthy life expectancy (the number of years a person can expect to live in good health) in Cardiff is lower than the average for Wales for both females and males.</w:t>
      </w:r>
    </w:p>
    <w:p w14:paraId="24DCD551" w14:textId="4B9B9766" w:rsidR="00644A5A" w:rsidRPr="00E91F9B" w:rsidRDefault="00644A5A" w:rsidP="00DC54F7">
      <w:pPr>
        <w:spacing w:after="0" w:line="240" w:lineRule="auto"/>
        <w:jc w:val="both"/>
        <w:rPr>
          <w:rFonts w:ascii="Arial" w:hAnsi="Arial" w:cs="Arial"/>
          <w:b/>
          <w:bCs/>
          <w:sz w:val="24"/>
          <w:szCs w:val="24"/>
        </w:rPr>
      </w:pPr>
      <w:bookmarkStart w:id="41" w:name="_Hlk68536544"/>
      <w:r w:rsidRPr="00E91F9B">
        <w:rPr>
          <w:rFonts w:ascii="Arial" w:hAnsi="Arial" w:cs="Arial"/>
          <w:b/>
          <w:bCs/>
          <w:sz w:val="24"/>
          <w:szCs w:val="24"/>
        </w:rPr>
        <w:lastRenderedPageBreak/>
        <w:t xml:space="preserve">Table 10.1: Life expectancy, healthy life expectancy and the ‘inequality gap’ (2015 to 2017) </w:t>
      </w:r>
    </w:p>
    <w:tbl>
      <w:tblPr>
        <w:tblW w:w="9271"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263"/>
        <w:gridCol w:w="1168"/>
        <w:gridCol w:w="1168"/>
        <w:gridCol w:w="1168"/>
        <w:gridCol w:w="1168"/>
        <w:gridCol w:w="1168"/>
        <w:gridCol w:w="1168"/>
      </w:tblGrid>
      <w:tr w:rsidR="00644A5A" w:rsidRPr="00847226" w14:paraId="4553D054" w14:textId="77777777" w:rsidTr="00E579DD">
        <w:trPr>
          <w:trHeight w:val="281"/>
        </w:trPr>
        <w:tc>
          <w:tcPr>
            <w:tcW w:w="2263" w:type="dxa"/>
            <w:shd w:val="clear" w:color="000000" w:fill="8497B0"/>
            <w:noWrap/>
            <w:vAlign w:val="bottom"/>
            <w:hideMark/>
          </w:tcPr>
          <w:p w14:paraId="46F051E7" w14:textId="77777777" w:rsidR="00644A5A" w:rsidRPr="00E91F9B" w:rsidRDefault="00644A5A" w:rsidP="00DC54F7">
            <w:pPr>
              <w:spacing w:after="0" w:line="240" w:lineRule="auto"/>
              <w:jc w:val="both"/>
              <w:rPr>
                <w:rFonts w:ascii="Calibri" w:eastAsia="Times New Roman" w:hAnsi="Calibri" w:cs="Calibri"/>
                <w:lang w:eastAsia="en-GB"/>
              </w:rPr>
            </w:pPr>
            <w:r w:rsidRPr="00E91F9B">
              <w:rPr>
                <w:rFonts w:ascii="Calibri" w:eastAsia="Times New Roman" w:hAnsi="Calibri" w:cs="Calibri"/>
                <w:lang w:eastAsia="en-GB"/>
              </w:rPr>
              <w:t> </w:t>
            </w:r>
          </w:p>
        </w:tc>
        <w:tc>
          <w:tcPr>
            <w:tcW w:w="2336" w:type="dxa"/>
            <w:gridSpan w:val="2"/>
            <w:shd w:val="clear" w:color="000000" w:fill="8497B0"/>
            <w:noWrap/>
            <w:vAlign w:val="bottom"/>
            <w:hideMark/>
          </w:tcPr>
          <w:p w14:paraId="0C82DDB8" w14:textId="77777777" w:rsidR="00644A5A" w:rsidRPr="00E91F9B" w:rsidRDefault="00644A5A" w:rsidP="00DC54F7">
            <w:pPr>
              <w:spacing w:after="0" w:line="240" w:lineRule="auto"/>
              <w:jc w:val="both"/>
              <w:rPr>
                <w:rFonts w:ascii="Calibri" w:eastAsia="Times New Roman" w:hAnsi="Calibri" w:cs="Calibri"/>
                <w:b/>
                <w:bCs/>
                <w:color w:val="FFFFFF"/>
                <w:lang w:eastAsia="en-GB"/>
              </w:rPr>
            </w:pPr>
            <w:r w:rsidRPr="00E91F9B">
              <w:rPr>
                <w:rFonts w:ascii="Calibri" w:eastAsia="Times New Roman" w:hAnsi="Calibri" w:cs="Calibri"/>
                <w:b/>
                <w:bCs/>
                <w:color w:val="FFFFFF"/>
                <w:lang w:eastAsia="en-GB"/>
              </w:rPr>
              <w:t>Life expectancy at birth (years)</w:t>
            </w:r>
          </w:p>
        </w:tc>
        <w:tc>
          <w:tcPr>
            <w:tcW w:w="2336" w:type="dxa"/>
            <w:gridSpan w:val="2"/>
            <w:shd w:val="clear" w:color="000000" w:fill="8497B0"/>
            <w:noWrap/>
            <w:vAlign w:val="bottom"/>
            <w:hideMark/>
          </w:tcPr>
          <w:p w14:paraId="1380844F" w14:textId="77777777" w:rsidR="00644A5A" w:rsidRPr="00E91F9B" w:rsidRDefault="00644A5A" w:rsidP="00DC54F7">
            <w:pPr>
              <w:spacing w:after="0" w:line="240" w:lineRule="auto"/>
              <w:jc w:val="both"/>
              <w:rPr>
                <w:rFonts w:ascii="Calibri" w:eastAsia="Times New Roman" w:hAnsi="Calibri" w:cs="Calibri"/>
                <w:b/>
                <w:bCs/>
                <w:color w:val="FFFFFF"/>
                <w:lang w:eastAsia="en-GB"/>
              </w:rPr>
            </w:pPr>
            <w:r w:rsidRPr="00E91F9B">
              <w:rPr>
                <w:rFonts w:ascii="Calibri" w:eastAsia="Times New Roman" w:hAnsi="Calibri" w:cs="Calibri"/>
                <w:b/>
                <w:bCs/>
                <w:color w:val="FFFFFF"/>
                <w:lang w:eastAsia="en-GB"/>
              </w:rPr>
              <w:t>Healthy life expectancy (years)</w:t>
            </w:r>
          </w:p>
        </w:tc>
        <w:tc>
          <w:tcPr>
            <w:tcW w:w="2336" w:type="dxa"/>
            <w:gridSpan w:val="2"/>
            <w:shd w:val="clear" w:color="000000" w:fill="8497B0"/>
            <w:noWrap/>
            <w:vAlign w:val="bottom"/>
            <w:hideMark/>
          </w:tcPr>
          <w:p w14:paraId="1358B280" w14:textId="77777777" w:rsidR="00E91F9B" w:rsidRDefault="00644A5A" w:rsidP="00DC54F7">
            <w:pPr>
              <w:spacing w:after="0" w:line="240" w:lineRule="auto"/>
              <w:jc w:val="both"/>
              <w:rPr>
                <w:rFonts w:ascii="Calibri" w:eastAsia="Times New Roman" w:hAnsi="Calibri" w:cs="Calibri"/>
                <w:b/>
                <w:bCs/>
                <w:color w:val="FFFFFF"/>
                <w:lang w:eastAsia="en-GB"/>
              </w:rPr>
            </w:pPr>
            <w:r w:rsidRPr="00E91F9B">
              <w:rPr>
                <w:rFonts w:ascii="Calibri" w:eastAsia="Times New Roman" w:hAnsi="Calibri" w:cs="Calibri"/>
                <w:b/>
                <w:bCs/>
                <w:color w:val="FFFFFF"/>
                <w:lang w:eastAsia="en-GB"/>
              </w:rPr>
              <w:t>Inequality gap</w:t>
            </w:r>
          </w:p>
          <w:p w14:paraId="44608179" w14:textId="14B232EF" w:rsidR="00644A5A" w:rsidRPr="00E91F9B" w:rsidRDefault="00644A5A" w:rsidP="00DC54F7">
            <w:pPr>
              <w:spacing w:after="0" w:line="240" w:lineRule="auto"/>
              <w:jc w:val="both"/>
              <w:rPr>
                <w:rFonts w:ascii="Calibri" w:eastAsia="Times New Roman" w:hAnsi="Calibri" w:cs="Calibri"/>
                <w:b/>
                <w:bCs/>
                <w:color w:val="FFFFFF"/>
                <w:lang w:eastAsia="en-GB"/>
              </w:rPr>
            </w:pPr>
            <w:r w:rsidRPr="00E91F9B">
              <w:rPr>
                <w:rFonts w:ascii="Calibri" w:eastAsia="Times New Roman" w:hAnsi="Calibri" w:cs="Calibri"/>
                <w:b/>
                <w:bCs/>
                <w:color w:val="FFFFFF"/>
                <w:lang w:eastAsia="en-GB"/>
              </w:rPr>
              <w:t xml:space="preserve"> (years)</w:t>
            </w:r>
          </w:p>
        </w:tc>
      </w:tr>
      <w:tr w:rsidR="00644A5A" w:rsidRPr="00847226" w14:paraId="1F356E0D" w14:textId="77777777" w:rsidTr="00E579DD">
        <w:trPr>
          <w:trHeight w:val="281"/>
        </w:trPr>
        <w:tc>
          <w:tcPr>
            <w:tcW w:w="2263" w:type="dxa"/>
            <w:shd w:val="clear" w:color="000000" w:fill="8497B0"/>
            <w:noWrap/>
            <w:vAlign w:val="bottom"/>
            <w:hideMark/>
          </w:tcPr>
          <w:p w14:paraId="3B6C0A65" w14:textId="77777777" w:rsidR="00644A5A" w:rsidRPr="00E91F9B" w:rsidRDefault="00644A5A" w:rsidP="00DC54F7">
            <w:pPr>
              <w:spacing w:after="0" w:line="240" w:lineRule="auto"/>
              <w:jc w:val="both"/>
              <w:rPr>
                <w:rFonts w:ascii="Calibri" w:eastAsia="Times New Roman" w:hAnsi="Calibri" w:cs="Calibri"/>
                <w:b/>
                <w:bCs/>
                <w:color w:val="FFFFFF"/>
                <w:lang w:eastAsia="en-GB"/>
              </w:rPr>
            </w:pPr>
            <w:r w:rsidRPr="00E91F9B">
              <w:rPr>
                <w:rFonts w:ascii="Calibri" w:eastAsia="Times New Roman" w:hAnsi="Calibri" w:cs="Calibri"/>
                <w:b/>
                <w:bCs/>
                <w:color w:val="FFFFFF"/>
                <w:lang w:eastAsia="en-GB"/>
              </w:rPr>
              <w:t> </w:t>
            </w:r>
          </w:p>
        </w:tc>
        <w:tc>
          <w:tcPr>
            <w:tcW w:w="1168" w:type="dxa"/>
            <w:shd w:val="clear" w:color="000000" w:fill="8497B0"/>
            <w:vAlign w:val="center"/>
            <w:hideMark/>
          </w:tcPr>
          <w:p w14:paraId="3AD7A367" w14:textId="77777777" w:rsidR="00644A5A" w:rsidRPr="00E91F9B" w:rsidRDefault="00644A5A" w:rsidP="00DC54F7">
            <w:pPr>
              <w:spacing w:after="0" w:line="240" w:lineRule="auto"/>
              <w:jc w:val="both"/>
              <w:rPr>
                <w:rFonts w:ascii="Calibri" w:eastAsia="Times New Roman" w:hAnsi="Calibri" w:cs="Calibri"/>
                <w:b/>
                <w:bCs/>
                <w:color w:val="FFFFFF"/>
                <w:lang w:eastAsia="en-GB"/>
              </w:rPr>
            </w:pPr>
            <w:r w:rsidRPr="00E91F9B">
              <w:rPr>
                <w:rFonts w:ascii="Calibri" w:eastAsia="Times New Roman" w:hAnsi="Calibri" w:cs="Calibri"/>
                <w:b/>
                <w:bCs/>
                <w:color w:val="FFFFFF"/>
                <w:lang w:eastAsia="en-GB"/>
              </w:rPr>
              <w:t>Females</w:t>
            </w:r>
          </w:p>
        </w:tc>
        <w:tc>
          <w:tcPr>
            <w:tcW w:w="1168" w:type="dxa"/>
            <w:shd w:val="clear" w:color="000000" w:fill="8497B0"/>
            <w:vAlign w:val="center"/>
            <w:hideMark/>
          </w:tcPr>
          <w:p w14:paraId="7DA470AB" w14:textId="77777777" w:rsidR="00644A5A" w:rsidRPr="00E91F9B" w:rsidRDefault="00644A5A" w:rsidP="00DC54F7">
            <w:pPr>
              <w:spacing w:after="0" w:line="240" w:lineRule="auto"/>
              <w:jc w:val="both"/>
              <w:rPr>
                <w:rFonts w:ascii="Calibri" w:eastAsia="Times New Roman" w:hAnsi="Calibri" w:cs="Calibri"/>
                <w:b/>
                <w:bCs/>
                <w:color w:val="FFFFFF"/>
                <w:lang w:eastAsia="en-GB"/>
              </w:rPr>
            </w:pPr>
            <w:r w:rsidRPr="00E91F9B">
              <w:rPr>
                <w:rFonts w:ascii="Calibri" w:eastAsia="Times New Roman" w:hAnsi="Calibri" w:cs="Calibri"/>
                <w:b/>
                <w:bCs/>
                <w:color w:val="FFFFFF"/>
                <w:lang w:eastAsia="en-GB"/>
              </w:rPr>
              <w:t>Males</w:t>
            </w:r>
          </w:p>
        </w:tc>
        <w:tc>
          <w:tcPr>
            <w:tcW w:w="1168" w:type="dxa"/>
            <w:shd w:val="clear" w:color="000000" w:fill="8497B0"/>
            <w:vAlign w:val="center"/>
            <w:hideMark/>
          </w:tcPr>
          <w:p w14:paraId="2883508D" w14:textId="77777777" w:rsidR="00644A5A" w:rsidRPr="00E91F9B" w:rsidRDefault="00644A5A" w:rsidP="00DC54F7">
            <w:pPr>
              <w:spacing w:after="0" w:line="240" w:lineRule="auto"/>
              <w:jc w:val="both"/>
              <w:rPr>
                <w:rFonts w:ascii="Calibri" w:eastAsia="Times New Roman" w:hAnsi="Calibri" w:cs="Calibri"/>
                <w:b/>
                <w:bCs/>
                <w:color w:val="FFFFFF"/>
                <w:lang w:eastAsia="en-GB"/>
              </w:rPr>
            </w:pPr>
            <w:r w:rsidRPr="00E91F9B">
              <w:rPr>
                <w:rFonts w:ascii="Calibri" w:eastAsia="Times New Roman" w:hAnsi="Calibri" w:cs="Calibri"/>
                <w:b/>
                <w:bCs/>
                <w:color w:val="FFFFFF"/>
                <w:lang w:eastAsia="en-GB"/>
              </w:rPr>
              <w:t>Females</w:t>
            </w:r>
          </w:p>
        </w:tc>
        <w:tc>
          <w:tcPr>
            <w:tcW w:w="1168" w:type="dxa"/>
            <w:shd w:val="clear" w:color="000000" w:fill="8497B0"/>
            <w:vAlign w:val="center"/>
            <w:hideMark/>
          </w:tcPr>
          <w:p w14:paraId="50B5F196" w14:textId="77777777" w:rsidR="00644A5A" w:rsidRPr="00E91F9B" w:rsidRDefault="00644A5A" w:rsidP="00DC54F7">
            <w:pPr>
              <w:spacing w:after="0" w:line="240" w:lineRule="auto"/>
              <w:jc w:val="both"/>
              <w:rPr>
                <w:rFonts w:ascii="Calibri" w:eastAsia="Times New Roman" w:hAnsi="Calibri" w:cs="Calibri"/>
                <w:b/>
                <w:bCs/>
                <w:color w:val="FFFFFF"/>
                <w:lang w:eastAsia="en-GB"/>
              </w:rPr>
            </w:pPr>
            <w:r w:rsidRPr="00E91F9B">
              <w:rPr>
                <w:rFonts w:ascii="Calibri" w:eastAsia="Times New Roman" w:hAnsi="Calibri" w:cs="Calibri"/>
                <w:b/>
                <w:bCs/>
                <w:color w:val="FFFFFF"/>
                <w:lang w:eastAsia="en-GB"/>
              </w:rPr>
              <w:t>Males</w:t>
            </w:r>
          </w:p>
        </w:tc>
        <w:tc>
          <w:tcPr>
            <w:tcW w:w="1168" w:type="dxa"/>
            <w:shd w:val="clear" w:color="000000" w:fill="8497B0"/>
            <w:vAlign w:val="center"/>
            <w:hideMark/>
          </w:tcPr>
          <w:p w14:paraId="6F01E274" w14:textId="77777777" w:rsidR="00644A5A" w:rsidRPr="00E91F9B" w:rsidRDefault="00644A5A" w:rsidP="00DC54F7">
            <w:pPr>
              <w:spacing w:after="0" w:line="240" w:lineRule="auto"/>
              <w:jc w:val="both"/>
              <w:rPr>
                <w:rFonts w:ascii="Calibri" w:eastAsia="Times New Roman" w:hAnsi="Calibri" w:cs="Calibri"/>
                <w:b/>
                <w:bCs/>
                <w:color w:val="FFFFFF"/>
                <w:lang w:eastAsia="en-GB"/>
              </w:rPr>
            </w:pPr>
            <w:r w:rsidRPr="00E91F9B">
              <w:rPr>
                <w:rFonts w:ascii="Calibri" w:eastAsia="Times New Roman" w:hAnsi="Calibri" w:cs="Calibri"/>
                <w:b/>
                <w:bCs/>
                <w:color w:val="FFFFFF"/>
                <w:lang w:eastAsia="en-GB"/>
              </w:rPr>
              <w:t>Females</w:t>
            </w:r>
          </w:p>
        </w:tc>
        <w:tc>
          <w:tcPr>
            <w:tcW w:w="1168" w:type="dxa"/>
            <w:shd w:val="clear" w:color="000000" w:fill="8497B0"/>
            <w:vAlign w:val="center"/>
            <w:hideMark/>
          </w:tcPr>
          <w:p w14:paraId="3659699D" w14:textId="77777777" w:rsidR="00644A5A" w:rsidRPr="00E91F9B" w:rsidRDefault="00644A5A" w:rsidP="00DC54F7">
            <w:pPr>
              <w:spacing w:after="0" w:line="240" w:lineRule="auto"/>
              <w:jc w:val="both"/>
              <w:rPr>
                <w:rFonts w:ascii="Calibri" w:eastAsia="Times New Roman" w:hAnsi="Calibri" w:cs="Calibri"/>
                <w:b/>
                <w:bCs/>
                <w:color w:val="FFFFFF"/>
                <w:lang w:eastAsia="en-GB"/>
              </w:rPr>
            </w:pPr>
            <w:r w:rsidRPr="00E91F9B">
              <w:rPr>
                <w:rFonts w:ascii="Calibri" w:eastAsia="Times New Roman" w:hAnsi="Calibri" w:cs="Calibri"/>
                <w:b/>
                <w:bCs/>
                <w:color w:val="FFFFFF"/>
                <w:lang w:eastAsia="en-GB"/>
              </w:rPr>
              <w:t>Males</w:t>
            </w:r>
          </w:p>
        </w:tc>
      </w:tr>
      <w:tr w:rsidR="00644A5A" w:rsidRPr="00847226" w14:paraId="3E60509D" w14:textId="77777777" w:rsidTr="00E579DD">
        <w:trPr>
          <w:trHeight w:val="281"/>
        </w:trPr>
        <w:tc>
          <w:tcPr>
            <w:tcW w:w="2263" w:type="dxa"/>
            <w:shd w:val="clear" w:color="000000" w:fill="F2F2F2"/>
            <w:noWrap/>
            <w:vAlign w:val="bottom"/>
            <w:hideMark/>
          </w:tcPr>
          <w:p w14:paraId="5FCB9D2C"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 xml:space="preserve">Cardiff </w:t>
            </w:r>
          </w:p>
        </w:tc>
        <w:tc>
          <w:tcPr>
            <w:tcW w:w="1168" w:type="dxa"/>
            <w:shd w:val="clear" w:color="000000" w:fill="F2F2F2"/>
            <w:noWrap/>
            <w:vAlign w:val="bottom"/>
            <w:hideMark/>
          </w:tcPr>
          <w:p w14:paraId="21598085"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82.7</w:t>
            </w:r>
          </w:p>
        </w:tc>
        <w:tc>
          <w:tcPr>
            <w:tcW w:w="1168" w:type="dxa"/>
            <w:shd w:val="clear" w:color="000000" w:fill="F2F2F2"/>
            <w:noWrap/>
            <w:vAlign w:val="bottom"/>
            <w:hideMark/>
          </w:tcPr>
          <w:p w14:paraId="01A43880"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78.5</w:t>
            </w:r>
          </w:p>
        </w:tc>
        <w:tc>
          <w:tcPr>
            <w:tcW w:w="1168" w:type="dxa"/>
            <w:shd w:val="clear" w:color="000000" w:fill="F2F2F2"/>
            <w:noWrap/>
            <w:vAlign w:val="bottom"/>
            <w:hideMark/>
          </w:tcPr>
          <w:p w14:paraId="1418333C"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61.1</w:t>
            </w:r>
          </w:p>
        </w:tc>
        <w:tc>
          <w:tcPr>
            <w:tcW w:w="1168" w:type="dxa"/>
            <w:shd w:val="clear" w:color="000000" w:fill="F2F2F2"/>
            <w:noWrap/>
            <w:vAlign w:val="bottom"/>
            <w:hideMark/>
          </w:tcPr>
          <w:p w14:paraId="7F724921"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61.2</w:t>
            </w:r>
          </w:p>
        </w:tc>
        <w:tc>
          <w:tcPr>
            <w:tcW w:w="1168" w:type="dxa"/>
            <w:shd w:val="clear" w:color="000000" w:fill="F2F2F2"/>
            <w:noWrap/>
            <w:vAlign w:val="bottom"/>
            <w:hideMark/>
          </w:tcPr>
          <w:p w14:paraId="5E6C7581"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6.9</w:t>
            </w:r>
          </w:p>
        </w:tc>
        <w:tc>
          <w:tcPr>
            <w:tcW w:w="1168" w:type="dxa"/>
            <w:shd w:val="clear" w:color="000000" w:fill="F2F2F2"/>
            <w:noWrap/>
            <w:vAlign w:val="bottom"/>
            <w:hideMark/>
          </w:tcPr>
          <w:p w14:paraId="01E4B780"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9.2</w:t>
            </w:r>
          </w:p>
        </w:tc>
      </w:tr>
      <w:tr w:rsidR="00644A5A" w:rsidRPr="00847226" w14:paraId="7604806D" w14:textId="77777777" w:rsidTr="00E579DD">
        <w:trPr>
          <w:trHeight w:val="281"/>
        </w:trPr>
        <w:tc>
          <w:tcPr>
            <w:tcW w:w="2263" w:type="dxa"/>
            <w:shd w:val="clear" w:color="auto" w:fill="auto"/>
            <w:noWrap/>
            <w:vAlign w:val="bottom"/>
            <w:hideMark/>
          </w:tcPr>
          <w:p w14:paraId="100169D6"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Cardiff and Vale UHB</w:t>
            </w:r>
          </w:p>
        </w:tc>
        <w:tc>
          <w:tcPr>
            <w:tcW w:w="1168" w:type="dxa"/>
            <w:shd w:val="clear" w:color="auto" w:fill="auto"/>
            <w:noWrap/>
            <w:vAlign w:val="bottom"/>
            <w:hideMark/>
          </w:tcPr>
          <w:p w14:paraId="2145F635" w14:textId="29D5F572"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83</w:t>
            </w:r>
            <w:r w:rsidR="0030310E" w:rsidRPr="00E91F9B">
              <w:rPr>
                <w:rFonts w:ascii="Calibri" w:eastAsia="Times New Roman" w:hAnsi="Calibri" w:cs="Calibri"/>
                <w:color w:val="000000"/>
                <w:lang w:eastAsia="en-GB"/>
              </w:rPr>
              <w:t>.0</w:t>
            </w:r>
          </w:p>
        </w:tc>
        <w:tc>
          <w:tcPr>
            <w:tcW w:w="1168" w:type="dxa"/>
            <w:shd w:val="clear" w:color="auto" w:fill="auto"/>
            <w:noWrap/>
            <w:vAlign w:val="bottom"/>
            <w:hideMark/>
          </w:tcPr>
          <w:p w14:paraId="14032354"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78.7</w:t>
            </w:r>
          </w:p>
        </w:tc>
        <w:tc>
          <w:tcPr>
            <w:tcW w:w="1168" w:type="dxa"/>
            <w:shd w:val="clear" w:color="auto" w:fill="auto"/>
            <w:noWrap/>
            <w:vAlign w:val="bottom"/>
            <w:hideMark/>
          </w:tcPr>
          <w:p w14:paraId="576EF959" w14:textId="7FD044F9"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62</w:t>
            </w:r>
            <w:r w:rsidR="0030310E" w:rsidRPr="00E91F9B">
              <w:rPr>
                <w:rFonts w:ascii="Calibri" w:eastAsia="Times New Roman" w:hAnsi="Calibri" w:cs="Calibri"/>
                <w:color w:val="000000"/>
                <w:lang w:eastAsia="en-GB"/>
              </w:rPr>
              <w:t>.0</w:t>
            </w:r>
          </w:p>
        </w:tc>
        <w:tc>
          <w:tcPr>
            <w:tcW w:w="1168" w:type="dxa"/>
            <w:shd w:val="clear" w:color="auto" w:fill="auto"/>
            <w:noWrap/>
            <w:vAlign w:val="bottom"/>
            <w:hideMark/>
          </w:tcPr>
          <w:p w14:paraId="5760AF23"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61.9</w:t>
            </w:r>
          </w:p>
        </w:tc>
        <w:tc>
          <w:tcPr>
            <w:tcW w:w="1168" w:type="dxa"/>
            <w:shd w:val="clear" w:color="auto" w:fill="auto"/>
            <w:noWrap/>
            <w:vAlign w:val="bottom"/>
            <w:hideMark/>
          </w:tcPr>
          <w:p w14:paraId="332BA975"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6.6</w:t>
            </w:r>
          </w:p>
        </w:tc>
        <w:tc>
          <w:tcPr>
            <w:tcW w:w="1168" w:type="dxa"/>
            <w:shd w:val="clear" w:color="auto" w:fill="auto"/>
            <w:noWrap/>
            <w:vAlign w:val="bottom"/>
            <w:hideMark/>
          </w:tcPr>
          <w:p w14:paraId="2D10BBE1"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8.6</w:t>
            </w:r>
          </w:p>
        </w:tc>
      </w:tr>
      <w:tr w:rsidR="00644A5A" w:rsidRPr="00847226" w14:paraId="6216B5E8" w14:textId="77777777" w:rsidTr="00E579DD">
        <w:trPr>
          <w:trHeight w:val="281"/>
        </w:trPr>
        <w:tc>
          <w:tcPr>
            <w:tcW w:w="2263" w:type="dxa"/>
            <w:shd w:val="clear" w:color="000000" w:fill="F2F2F2"/>
            <w:noWrap/>
            <w:vAlign w:val="bottom"/>
            <w:hideMark/>
          </w:tcPr>
          <w:p w14:paraId="25BFBFB3"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Wales</w:t>
            </w:r>
          </w:p>
        </w:tc>
        <w:tc>
          <w:tcPr>
            <w:tcW w:w="1168" w:type="dxa"/>
            <w:shd w:val="clear" w:color="000000" w:fill="F2F2F2"/>
            <w:noWrap/>
            <w:vAlign w:val="bottom"/>
            <w:hideMark/>
          </w:tcPr>
          <w:p w14:paraId="4829F14C"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82.3</w:t>
            </w:r>
          </w:p>
        </w:tc>
        <w:tc>
          <w:tcPr>
            <w:tcW w:w="1168" w:type="dxa"/>
            <w:shd w:val="clear" w:color="000000" w:fill="F2F2F2"/>
            <w:noWrap/>
            <w:vAlign w:val="bottom"/>
            <w:hideMark/>
          </w:tcPr>
          <w:p w14:paraId="0C1ABE17"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78.3</w:t>
            </w:r>
          </w:p>
        </w:tc>
        <w:tc>
          <w:tcPr>
            <w:tcW w:w="1168" w:type="dxa"/>
            <w:shd w:val="clear" w:color="000000" w:fill="F2F2F2"/>
            <w:noWrap/>
            <w:vAlign w:val="bottom"/>
            <w:hideMark/>
          </w:tcPr>
          <w:p w14:paraId="78FB24C9" w14:textId="4B62EC06"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62</w:t>
            </w:r>
            <w:r w:rsidR="0030310E" w:rsidRPr="00E91F9B">
              <w:rPr>
                <w:rFonts w:ascii="Calibri" w:eastAsia="Times New Roman" w:hAnsi="Calibri" w:cs="Calibri"/>
                <w:color w:val="000000"/>
                <w:lang w:eastAsia="en-GB"/>
              </w:rPr>
              <w:t>.0</w:t>
            </w:r>
          </w:p>
        </w:tc>
        <w:tc>
          <w:tcPr>
            <w:tcW w:w="1168" w:type="dxa"/>
            <w:shd w:val="clear" w:color="000000" w:fill="F2F2F2"/>
            <w:noWrap/>
            <w:vAlign w:val="bottom"/>
            <w:hideMark/>
          </w:tcPr>
          <w:p w14:paraId="55BF2835"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61.4</w:t>
            </w:r>
          </w:p>
        </w:tc>
        <w:tc>
          <w:tcPr>
            <w:tcW w:w="1168" w:type="dxa"/>
            <w:shd w:val="clear" w:color="000000" w:fill="F2F2F2"/>
            <w:noWrap/>
            <w:vAlign w:val="bottom"/>
            <w:hideMark/>
          </w:tcPr>
          <w:p w14:paraId="21765664"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6.1</w:t>
            </w:r>
          </w:p>
        </w:tc>
        <w:tc>
          <w:tcPr>
            <w:tcW w:w="1168" w:type="dxa"/>
            <w:shd w:val="clear" w:color="000000" w:fill="F2F2F2"/>
            <w:noWrap/>
            <w:vAlign w:val="bottom"/>
            <w:hideMark/>
          </w:tcPr>
          <w:p w14:paraId="53DD0BB3" w14:textId="77777777" w:rsidR="00644A5A" w:rsidRPr="00E91F9B" w:rsidRDefault="00644A5A" w:rsidP="00DC54F7">
            <w:pPr>
              <w:spacing w:after="0" w:line="240" w:lineRule="auto"/>
              <w:jc w:val="both"/>
              <w:rPr>
                <w:rFonts w:ascii="Calibri" w:eastAsia="Times New Roman" w:hAnsi="Calibri" w:cs="Calibri"/>
                <w:color w:val="000000"/>
                <w:lang w:eastAsia="en-GB"/>
              </w:rPr>
            </w:pPr>
            <w:r w:rsidRPr="00E91F9B">
              <w:rPr>
                <w:rFonts w:ascii="Calibri" w:eastAsia="Times New Roman" w:hAnsi="Calibri" w:cs="Calibri"/>
                <w:color w:val="000000"/>
                <w:lang w:eastAsia="en-GB"/>
              </w:rPr>
              <w:t>7.4</w:t>
            </w:r>
          </w:p>
        </w:tc>
      </w:tr>
    </w:tbl>
    <w:p w14:paraId="1C4D63FE" w14:textId="77777777" w:rsidR="00644A5A" w:rsidRPr="00E91F9B" w:rsidRDefault="00644A5A" w:rsidP="00DC54F7">
      <w:pPr>
        <w:spacing w:after="0" w:line="240" w:lineRule="auto"/>
        <w:jc w:val="both"/>
        <w:rPr>
          <w:rFonts w:ascii="Arial" w:hAnsi="Arial" w:cs="Arial"/>
          <w:sz w:val="20"/>
          <w:szCs w:val="20"/>
        </w:rPr>
      </w:pPr>
      <w:r w:rsidRPr="00E91F9B">
        <w:rPr>
          <w:rFonts w:ascii="Arial" w:hAnsi="Arial" w:cs="Arial"/>
          <w:sz w:val="20"/>
          <w:szCs w:val="20"/>
        </w:rPr>
        <w:t>Source: Public Health Wales Observatory PHOF Tool (2017) using ONS and WG data</w:t>
      </w:r>
    </w:p>
    <w:bookmarkEnd w:id="41"/>
    <w:p w14:paraId="6001D187" w14:textId="05E25392" w:rsidR="00644A5A" w:rsidRDefault="00644A5A" w:rsidP="00DC54F7">
      <w:pPr>
        <w:spacing w:after="0" w:line="240" w:lineRule="auto"/>
        <w:jc w:val="both"/>
        <w:rPr>
          <w:rFonts w:ascii="Arial" w:hAnsi="Arial" w:cs="Arial"/>
        </w:rPr>
      </w:pPr>
    </w:p>
    <w:p w14:paraId="56ACB7EB" w14:textId="77777777" w:rsidR="005C6BB3" w:rsidRDefault="005C6BB3" w:rsidP="00DC54F7">
      <w:pPr>
        <w:spacing w:after="0" w:line="240" w:lineRule="auto"/>
        <w:jc w:val="both"/>
        <w:rPr>
          <w:rFonts w:ascii="Arial" w:hAnsi="Arial" w:cs="Arial"/>
        </w:rPr>
      </w:pPr>
    </w:p>
    <w:p w14:paraId="40D0021B" w14:textId="08DEAC1F" w:rsidR="00644A5A" w:rsidRPr="00E579DD" w:rsidRDefault="00E91F9B" w:rsidP="00DC54F7">
      <w:pPr>
        <w:spacing w:after="0" w:line="240" w:lineRule="auto"/>
        <w:jc w:val="both"/>
        <w:rPr>
          <w:rFonts w:ascii="Arial" w:hAnsi="Arial" w:cs="Arial"/>
          <w:b/>
          <w:bCs/>
          <w:sz w:val="24"/>
          <w:szCs w:val="24"/>
        </w:rPr>
      </w:pPr>
      <w:r>
        <w:rPr>
          <w:rFonts w:ascii="Arial" w:hAnsi="Arial" w:cs="Arial"/>
          <w:b/>
          <w:bCs/>
          <w:sz w:val="24"/>
          <w:szCs w:val="24"/>
        </w:rPr>
        <w:t xml:space="preserve">10.1.3. </w:t>
      </w:r>
      <w:r w:rsidR="00644A5A" w:rsidRPr="00E579DD">
        <w:rPr>
          <w:rFonts w:ascii="Arial" w:hAnsi="Arial" w:cs="Arial"/>
          <w:b/>
          <w:bCs/>
          <w:sz w:val="24"/>
          <w:szCs w:val="24"/>
        </w:rPr>
        <w:t>Deprivation</w:t>
      </w:r>
    </w:p>
    <w:p w14:paraId="06EDAC64" w14:textId="77777777" w:rsidR="00644A5A" w:rsidRDefault="00644A5A" w:rsidP="00DC54F7">
      <w:pPr>
        <w:spacing w:after="0" w:line="240" w:lineRule="auto"/>
        <w:jc w:val="both"/>
        <w:rPr>
          <w:rFonts w:ascii="Arial" w:hAnsi="Arial" w:cs="Arial"/>
        </w:rPr>
      </w:pPr>
    </w:p>
    <w:p w14:paraId="66FB1EFD" w14:textId="77777777" w:rsidR="00644A5A" w:rsidRPr="00E91F9B" w:rsidRDefault="00644A5A" w:rsidP="00DC54F7">
      <w:pPr>
        <w:spacing w:after="0" w:line="240" w:lineRule="auto"/>
        <w:jc w:val="both"/>
        <w:rPr>
          <w:rFonts w:ascii="Arial" w:hAnsi="Arial" w:cs="Arial"/>
          <w:sz w:val="24"/>
          <w:szCs w:val="24"/>
        </w:rPr>
      </w:pPr>
      <w:r w:rsidRPr="00E91F9B">
        <w:rPr>
          <w:rFonts w:ascii="Arial" w:hAnsi="Arial" w:cs="Arial"/>
          <w:sz w:val="24"/>
          <w:szCs w:val="24"/>
        </w:rPr>
        <w:t xml:space="preserve">Deprivation is the lack of access to opportunities and resources which might be expected in society. The Welsh Index of Multiple Deprivation (WIMD) allows for the ranking of small areas, called Lower layer Super Output Areas (LSOAs) in Wales to determine whether an area is more or less deprived compared to all other small areas in Wales.  </w:t>
      </w:r>
    </w:p>
    <w:p w14:paraId="4AE0C59F" w14:textId="77777777" w:rsidR="00644A5A" w:rsidRPr="00E91F9B" w:rsidRDefault="00644A5A" w:rsidP="00DC54F7">
      <w:pPr>
        <w:spacing w:after="0" w:line="240" w:lineRule="auto"/>
        <w:jc w:val="both"/>
        <w:rPr>
          <w:rFonts w:ascii="Arial" w:hAnsi="Arial" w:cs="Arial"/>
          <w:sz w:val="24"/>
          <w:szCs w:val="24"/>
        </w:rPr>
      </w:pPr>
    </w:p>
    <w:p w14:paraId="2C0A4C50" w14:textId="522DE147" w:rsidR="00644A5A" w:rsidRPr="00E91F9B" w:rsidRDefault="00644A5A" w:rsidP="00DC54F7">
      <w:pPr>
        <w:spacing w:after="0" w:line="240" w:lineRule="auto"/>
        <w:jc w:val="both"/>
        <w:rPr>
          <w:rFonts w:ascii="Arial" w:hAnsi="Arial" w:cs="Arial"/>
          <w:b/>
          <w:bCs/>
          <w:sz w:val="24"/>
          <w:szCs w:val="24"/>
        </w:rPr>
      </w:pPr>
      <w:r w:rsidRPr="00E91F9B">
        <w:rPr>
          <w:rFonts w:ascii="Arial" w:hAnsi="Arial" w:cs="Arial"/>
          <w:sz w:val="24"/>
          <w:szCs w:val="24"/>
        </w:rPr>
        <w:t xml:space="preserve">Overall, Cardiff </w:t>
      </w:r>
      <w:r w:rsidR="0030310E" w:rsidRPr="00E91F9B">
        <w:rPr>
          <w:rFonts w:ascii="Arial" w:hAnsi="Arial" w:cs="Arial"/>
          <w:sz w:val="24"/>
          <w:szCs w:val="24"/>
        </w:rPr>
        <w:t>City and South cluster</w:t>
      </w:r>
      <w:r w:rsidRPr="00E91F9B">
        <w:rPr>
          <w:rFonts w:ascii="Arial" w:hAnsi="Arial" w:cs="Arial"/>
          <w:sz w:val="24"/>
          <w:szCs w:val="24"/>
        </w:rPr>
        <w:t xml:space="preserve"> has a </w:t>
      </w:r>
      <w:r w:rsidR="007A197D" w:rsidRPr="00E91F9B">
        <w:rPr>
          <w:rFonts w:ascii="Arial" w:hAnsi="Arial" w:cs="Arial"/>
          <w:sz w:val="24"/>
          <w:szCs w:val="24"/>
        </w:rPr>
        <w:t>lower</w:t>
      </w:r>
      <w:r w:rsidRPr="00E91F9B">
        <w:rPr>
          <w:rFonts w:ascii="Arial" w:hAnsi="Arial" w:cs="Arial"/>
          <w:sz w:val="24"/>
          <w:szCs w:val="24"/>
        </w:rPr>
        <w:t xml:space="preserve"> percentage of LSOAs in the most deprived 10% and 20% of LSOAs in Wales</w:t>
      </w:r>
      <w:r w:rsidR="00E91F9B">
        <w:rPr>
          <w:rFonts w:ascii="Arial" w:hAnsi="Arial" w:cs="Arial"/>
          <w:sz w:val="24"/>
          <w:szCs w:val="24"/>
        </w:rPr>
        <w:t xml:space="preserve"> </w:t>
      </w:r>
      <w:r w:rsidRPr="00E91F9B">
        <w:rPr>
          <w:rFonts w:ascii="Arial" w:hAnsi="Arial" w:cs="Arial"/>
          <w:sz w:val="24"/>
          <w:szCs w:val="24"/>
        </w:rPr>
        <w:t xml:space="preserve">relative to Cardiff, except for the </w:t>
      </w:r>
      <w:r w:rsidR="007A197D" w:rsidRPr="00E91F9B">
        <w:rPr>
          <w:rFonts w:ascii="Arial" w:hAnsi="Arial" w:cs="Arial"/>
          <w:sz w:val="24"/>
          <w:szCs w:val="24"/>
        </w:rPr>
        <w:t xml:space="preserve">income domain </w:t>
      </w:r>
      <w:r w:rsidRPr="00E91F9B">
        <w:rPr>
          <w:rFonts w:ascii="Arial" w:hAnsi="Arial" w:cs="Arial"/>
          <w:sz w:val="24"/>
          <w:szCs w:val="24"/>
        </w:rPr>
        <w:t xml:space="preserve">in the most deprived </w:t>
      </w:r>
      <w:r w:rsidR="00E9207A" w:rsidRPr="00E91F9B">
        <w:rPr>
          <w:rFonts w:ascii="Arial" w:hAnsi="Arial" w:cs="Arial"/>
          <w:sz w:val="24"/>
          <w:szCs w:val="24"/>
        </w:rPr>
        <w:t>2</w:t>
      </w:r>
      <w:r w:rsidRPr="00E91F9B">
        <w:rPr>
          <w:rFonts w:ascii="Arial" w:hAnsi="Arial" w:cs="Arial"/>
          <w:sz w:val="24"/>
          <w:szCs w:val="24"/>
        </w:rPr>
        <w:t>0% LSOAs</w:t>
      </w:r>
      <w:r w:rsidR="00E9207A" w:rsidRPr="00E91F9B">
        <w:rPr>
          <w:rFonts w:ascii="Arial" w:hAnsi="Arial" w:cs="Arial"/>
          <w:sz w:val="24"/>
          <w:szCs w:val="24"/>
        </w:rPr>
        <w:t>, which is higher.</w:t>
      </w:r>
    </w:p>
    <w:p w14:paraId="221E73F4" w14:textId="77777777" w:rsidR="00644A5A" w:rsidRDefault="00644A5A" w:rsidP="00DC54F7">
      <w:pPr>
        <w:spacing w:after="0" w:line="240" w:lineRule="auto"/>
        <w:jc w:val="both"/>
        <w:rPr>
          <w:rFonts w:ascii="Arial" w:hAnsi="Arial" w:cs="Arial"/>
          <w:b/>
          <w:bCs/>
        </w:rPr>
      </w:pPr>
    </w:p>
    <w:p w14:paraId="055317C8" w14:textId="60FED130" w:rsidR="00644A5A" w:rsidRPr="00E91F9B" w:rsidRDefault="00644A5A" w:rsidP="00DC54F7">
      <w:pPr>
        <w:spacing w:after="0" w:line="240" w:lineRule="auto"/>
        <w:contextualSpacing/>
        <w:jc w:val="both"/>
        <w:rPr>
          <w:rFonts w:ascii="Arial" w:hAnsi="Arial" w:cs="Arial"/>
          <w:b/>
          <w:bCs/>
          <w:sz w:val="24"/>
          <w:szCs w:val="24"/>
        </w:rPr>
      </w:pPr>
      <w:r w:rsidRPr="00E91F9B">
        <w:rPr>
          <w:rFonts w:ascii="Arial" w:hAnsi="Arial" w:cs="Arial"/>
          <w:b/>
          <w:bCs/>
          <w:sz w:val="24"/>
          <w:szCs w:val="24"/>
        </w:rPr>
        <w:t>Table 10.2: Percentage of LSOAs within the 10% and 20% most deprived LSOAs in Wales by cluster and local authority for the domains</w:t>
      </w:r>
      <w:r w:rsidR="00616929" w:rsidRPr="00E91F9B">
        <w:rPr>
          <w:rFonts w:ascii="Arial" w:hAnsi="Arial" w:cs="Arial"/>
          <w:b/>
          <w:bCs/>
          <w:sz w:val="24"/>
          <w:szCs w:val="24"/>
        </w:rPr>
        <w:t xml:space="preserve"> of </w:t>
      </w:r>
      <w:r w:rsidRPr="00E91F9B">
        <w:rPr>
          <w:rFonts w:ascii="Arial" w:hAnsi="Arial" w:cs="Arial"/>
          <w:b/>
          <w:bCs/>
          <w:sz w:val="24"/>
          <w:szCs w:val="24"/>
        </w:rPr>
        <w:t>income, health, employment and access to services, Welsh Index of Multiple Deprivation 2014.</w:t>
      </w:r>
    </w:p>
    <w:tbl>
      <w:tblPr>
        <w:tblW w:w="9501"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38"/>
        <w:gridCol w:w="1037"/>
        <w:gridCol w:w="1038"/>
        <w:gridCol w:w="986"/>
        <w:gridCol w:w="942"/>
        <w:gridCol w:w="902"/>
        <w:gridCol w:w="868"/>
        <w:gridCol w:w="928"/>
        <w:gridCol w:w="862"/>
      </w:tblGrid>
      <w:tr w:rsidR="00596A00" w:rsidRPr="00596A00" w14:paraId="61B22422" w14:textId="77777777" w:rsidTr="00FA4EF7">
        <w:trPr>
          <w:trHeight w:val="321"/>
        </w:trPr>
        <w:tc>
          <w:tcPr>
            <w:tcW w:w="9501" w:type="dxa"/>
            <w:gridSpan w:val="9"/>
            <w:shd w:val="clear" w:color="000000" w:fill="8497B0"/>
            <w:noWrap/>
            <w:vAlign w:val="center"/>
            <w:hideMark/>
          </w:tcPr>
          <w:p w14:paraId="2A9999E8" w14:textId="31F8D89A" w:rsidR="00596A00" w:rsidRPr="00596A00" w:rsidRDefault="00596A00" w:rsidP="00DC54F7">
            <w:pPr>
              <w:spacing w:after="0" w:line="240" w:lineRule="auto"/>
              <w:jc w:val="both"/>
              <w:rPr>
                <w:rFonts w:ascii="Calibri" w:eastAsia="Times New Roman" w:hAnsi="Calibri" w:cs="Calibri"/>
                <w:b/>
                <w:bCs/>
                <w:color w:val="FFFFFF"/>
                <w:lang w:eastAsia="en-GB"/>
              </w:rPr>
            </w:pPr>
            <w:r w:rsidRPr="00596A00">
              <w:rPr>
                <w:rFonts w:ascii="Calibri" w:eastAsia="Times New Roman" w:hAnsi="Calibri" w:cs="Calibri"/>
                <w:b/>
                <w:bCs/>
                <w:color w:val="FFFFFF"/>
                <w:lang w:eastAsia="en-GB"/>
              </w:rPr>
              <w:t>Percentage of LSOAs within the 10% and 20% most deprived LSOAs</w:t>
            </w:r>
            <w:r>
              <w:rPr>
                <w:rFonts w:ascii="Calibri" w:eastAsia="Times New Roman" w:hAnsi="Calibri" w:cs="Calibri"/>
                <w:b/>
                <w:bCs/>
                <w:color w:val="FFFFFF"/>
                <w:lang w:eastAsia="en-GB"/>
              </w:rPr>
              <w:t xml:space="preserve"> </w:t>
            </w:r>
            <w:r w:rsidRPr="00596A00">
              <w:rPr>
                <w:rFonts w:ascii="Calibri" w:eastAsia="Times New Roman" w:hAnsi="Calibri" w:cs="Calibri"/>
                <w:b/>
                <w:bCs/>
                <w:color w:val="FFFFFF"/>
                <w:lang w:eastAsia="en-GB"/>
              </w:rPr>
              <w:t>in Wales</w:t>
            </w:r>
          </w:p>
        </w:tc>
      </w:tr>
      <w:tr w:rsidR="00FA4EF7" w:rsidRPr="00596A00" w14:paraId="1AAAF741" w14:textId="77777777" w:rsidTr="00FA4EF7">
        <w:trPr>
          <w:trHeight w:val="321"/>
        </w:trPr>
        <w:tc>
          <w:tcPr>
            <w:tcW w:w="1938" w:type="dxa"/>
            <w:shd w:val="clear" w:color="000000" w:fill="8497B0"/>
            <w:noWrap/>
            <w:vAlign w:val="center"/>
            <w:hideMark/>
          </w:tcPr>
          <w:p w14:paraId="0A2117CD" w14:textId="77777777" w:rsidR="00596A00" w:rsidRPr="00596A00" w:rsidRDefault="00596A00" w:rsidP="00DC54F7">
            <w:pPr>
              <w:spacing w:after="0" w:line="240" w:lineRule="auto"/>
              <w:jc w:val="both"/>
              <w:rPr>
                <w:rFonts w:ascii="Calibri" w:eastAsia="Times New Roman" w:hAnsi="Calibri" w:cs="Calibri"/>
                <w:b/>
                <w:bCs/>
                <w:color w:val="FFFFFF"/>
                <w:lang w:eastAsia="en-GB"/>
              </w:rPr>
            </w:pPr>
            <w:r w:rsidRPr="00596A00">
              <w:rPr>
                <w:rFonts w:ascii="Calibri" w:eastAsia="Times New Roman" w:hAnsi="Calibri" w:cs="Calibri"/>
                <w:b/>
                <w:bCs/>
                <w:color w:val="FFFFFF"/>
                <w:lang w:eastAsia="en-GB"/>
              </w:rPr>
              <w:t> </w:t>
            </w:r>
          </w:p>
        </w:tc>
        <w:tc>
          <w:tcPr>
            <w:tcW w:w="2075" w:type="dxa"/>
            <w:gridSpan w:val="2"/>
            <w:shd w:val="clear" w:color="000000" w:fill="8497B0"/>
            <w:noWrap/>
            <w:vAlign w:val="center"/>
            <w:hideMark/>
          </w:tcPr>
          <w:p w14:paraId="329AD915" w14:textId="77777777" w:rsidR="00596A00" w:rsidRPr="00596A00" w:rsidRDefault="00596A00" w:rsidP="00DC54F7">
            <w:pPr>
              <w:spacing w:after="0" w:line="240" w:lineRule="auto"/>
              <w:jc w:val="both"/>
              <w:rPr>
                <w:rFonts w:ascii="Calibri" w:eastAsia="Times New Roman" w:hAnsi="Calibri" w:cs="Calibri"/>
                <w:b/>
                <w:bCs/>
                <w:color w:val="FFFFFF"/>
                <w:lang w:eastAsia="en-GB"/>
              </w:rPr>
            </w:pPr>
            <w:r w:rsidRPr="00596A00">
              <w:rPr>
                <w:rFonts w:ascii="Calibri" w:eastAsia="Times New Roman" w:hAnsi="Calibri" w:cs="Calibri"/>
                <w:b/>
                <w:bCs/>
                <w:color w:val="FFFFFF"/>
                <w:lang w:eastAsia="en-GB"/>
              </w:rPr>
              <w:t>Income</w:t>
            </w:r>
          </w:p>
        </w:tc>
        <w:tc>
          <w:tcPr>
            <w:tcW w:w="1928" w:type="dxa"/>
            <w:gridSpan w:val="2"/>
            <w:shd w:val="clear" w:color="000000" w:fill="8497B0"/>
            <w:noWrap/>
            <w:vAlign w:val="center"/>
            <w:hideMark/>
          </w:tcPr>
          <w:p w14:paraId="7986CAA6" w14:textId="77777777" w:rsidR="00596A00" w:rsidRPr="00596A00" w:rsidRDefault="00596A00" w:rsidP="00DC54F7">
            <w:pPr>
              <w:spacing w:after="0" w:line="240" w:lineRule="auto"/>
              <w:jc w:val="both"/>
              <w:rPr>
                <w:rFonts w:ascii="Calibri" w:eastAsia="Times New Roman" w:hAnsi="Calibri" w:cs="Calibri"/>
                <w:b/>
                <w:bCs/>
                <w:color w:val="FFFFFF"/>
                <w:lang w:eastAsia="en-GB"/>
              </w:rPr>
            </w:pPr>
            <w:r w:rsidRPr="00596A00">
              <w:rPr>
                <w:rFonts w:ascii="Calibri" w:eastAsia="Times New Roman" w:hAnsi="Calibri" w:cs="Calibri"/>
                <w:b/>
                <w:bCs/>
                <w:color w:val="FFFFFF"/>
                <w:lang w:eastAsia="en-GB"/>
              </w:rPr>
              <w:t>Health</w:t>
            </w:r>
          </w:p>
        </w:tc>
        <w:tc>
          <w:tcPr>
            <w:tcW w:w="1770" w:type="dxa"/>
            <w:gridSpan w:val="2"/>
            <w:shd w:val="clear" w:color="000000" w:fill="8497B0"/>
            <w:noWrap/>
            <w:vAlign w:val="center"/>
            <w:hideMark/>
          </w:tcPr>
          <w:p w14:paraId="43194235" w14:textId="77777777" w:rsidR="00596A00" w:rsidRPr="00596A00" w:rsidRDefault="00596A00" w:rsidP="00DC54F7">
            <w:pPr>
              <w:spacing w:after="0" w:line="240" w:lineRule="auto"/>
              <w:jc w:val="both"/>
              <w:rPr>
                <w:rFonts w:ascii="Calibri" w:eastAsia="Times New Roman" w:hAnsi="Calibri" w:cs="Calibri"/>
                <w:b/>
                <w:bCs/>
                <w:color w:val="FFFFFF"/>
                <w:lang w:eastAsia="en-GB"/>
              </w:rPr>
            </w:pPr>
            <w:r w:rsidRPr="00596A00">
              <w:rPr>
                <w:rFonts w:ascii="Calibri" w:eastAsia="Times New Roman" w:hAnsi="Calibri" w:cs="Calibri"/>
                <w:b/>
                <w:bCs/>
                <w:color w:val="FFFFFF"/>
                <w:lang w:eastAsia="en-GB"/>
              </w:rPr>
              <w:t>Employment</w:t>
            </w:r>
          </w:p>
        </w:tc>
        <w:tc>
          <w:tcPr>
            <w:tcW w:w="1788" w:type="dxa"/>
            <w:gridSpan w:val="2"/>
            <w:shd w:val="clear" w:color="000000" w:fill="8497B0"/>
            <w:noWrap/>
            <w:vAlign w:val="center"/>
            <w:hideMark/>
          </w:tcPr>
          <w:p w14:paraId="3B0DC77E" w14:textId="77777777" w:rsidR="00596A00" w:rsidRPr="00596A00" w:rsidRDefault="00596A00" w:rsidP="00DC54F7">
            <w:pPr>
              <w:spacing w:after="0" w:line="240" w:lineRule="auto"/>
              <w:jc w:val="both"/>
              <w:rPr>
                <w:rFonts w:ascii="Calibri" w:eastAsia="Times New Roman" w:hAnsi="Calibri" w:cs="Calibri"/>
                <w:b/>
                <w:bCs/>
                <w:color w:val="FFFFFF"/>
                <w:lang w:eastAsia="en-GB"/>
              </w:rPr>
            </w:pPr>
            <w:r w:rsidRPr="00596A00">
              <w:rPr>
                <w:rFonts w:ascii="Calibri" w:eastAsia="Times New Roman" w:hAnsi="Calibri" w:cs="Calibri"/>
                <w:b/>
                <w:bCs/>
                <w:color w:val="FFFFFF"/>
                <w:lang w:eastAsia="en-GB"/>
              </w:rPr>
              <w:t>Access to services</w:t>
            </w:r>
          </w:p>
        </w:tc>
      </w:tr>
      <w:tr w:rsidR="00596A00" w:rsidRPr="00596A00" w14:paraId="6829C1F8" w14:textId="77777777" w:rsidTr="00FA4EF7">
        <w:trPr>
          <w:trHeight w:val="321"/>
        </w:trPr>
        <w:tc>
          <w:tcPr>
            <w:tcW w:w="1938" w:type="dxa"/>
            <w:shd w:val="clear" w:color="000000" w:fill="8497B0"/>
            <w:noWrap/>
            <w:vAlign w:val="center"/>
            <w:hideMark/>
          </w:tcPr>
          <w:p w14:paraId="2BDC4138" w14:textId="77777777" w:rsidR="00596A00" w:rsidRPr="00596A00" w:rsidRDefault="00596A00" w:rsidP="00DC54F7">
            <w:pPr>
              <w:spacing w:after="0" w:line="240" w:lineRule="auto"/>
              <w:jc w:val="both"/>
              <w:rPr>
                <w:rFonts w:ascii="Calibri" w:eastAsia="Times New Roman" w:hAnsi="Calibri" w:cs="Calibri"/>
                <w:b/>
                <w:bCs/>
                <w:color w:val="FFFFFF"/>
                <w:lang w:eastAsia="en-GB"/>
              </w:rPr>
            </w:pPr>
            <w:r w:rsidRPr="00596A00">
              <w:rPr>
                <w:rFonts w:ascii="Calibri" w:eastAsia="Times New Roman" w:hAnsi="Calibri" w:cs="Calibri"/>
                <w:b/>
                <w:bCs/>
                <w:color w:val="FFFFFF"/>
                <w:lang w:eastAsia="en-GB"/>
              </w:rPr>
              <w:t> </w:t>
            </w:r>
          </w:p>
        </w:tc>
        <w:tc>
          <w:tcPr>
            <w:tcW w:w="1037" w:type="dxa"/>
            <w:shd w:val="clear" w:color="000000" w:fill="8497B0"/>
            <w:vAlign w:val="center"/>
            <w:hideMark/>
          </w:tcPr>
          <w:p w14:paraId="3BBEDB8F" w14:textId="77777777" w:rsidR="00596A00" w:rsidRPr="00596A00" w:rsidRDefault="00596A00" w:rsidP="00DC54F7">
            <w:pPr>
              <w:spacing w:after="0" w:line="240" w:lineRule="auto"/>
              <w:jc w:val="both"/>
              <w:rPr>
                <w:rFonts w:ascii="Calibri" w:eastAsia="Times New Roman" w:hAnsi="Calibri" w:cs="Calibri"/>
                <w:b/>
                <w:bCs/>
                <w:color w:val="FFFFFF"/>
                <w:lang w:eastAsia="en-GB"/>
              </w:rPr>
            </w:pPr>
            <w:r w:rsidRPr="00596A00">
              <w:rPr>
                <w:rFonts w:ascii="Calibri" w:eastAsia="Times New Roman" w:hAnsi="Calibri" w:cs="Calibri"/>
                <w:b/>
                <w:bCs/>
                <w:color w:val="FFFFFF"/>
                <w:lang w:eastAsia="en-GB"/>
              </w:rPr>
              <w:t>10%</w:t>
            </w:r>
          </w:p>
        </w:tc>
        <w:tc>
          <w:tcPr>
            <w:tcW w:w="1037" w:type="dxa"/>
            <w:shd w:val="clear" w:color="000000" w:fill="8497B0"/>
            <w:vAlign w:val="center"/>
            <w:hideMark/>
          </w:tcPr>
          <w:p w14:paraId="23F9CB1A" w14:textId="77777777" w:rsidR="00596A00" w:rsidRPr="00596A00" w:rsidRDefault="00596A00" w:rsidP="00DC54F7">
            <w:pPr>
              <w:spacing w:after="0" w:line="240" w:lineRule="auto"/>
              <w:jc w:val="both"/>
              <w:rPr>
                <w:rFonts w:ascii="Calibri" w:eastAsia="Times New Roman" w:hAnsi="Calibri" w:cs="Calibri"/>
                <w:b/>
                <w:bCs/>
                <w:color w:val="FFFFFF"/>
                <w:lang w:eastAsia="en-GB"/>
              </w:rPr>
            </w:pPr>
            <w:r w:rsidRPr="00596A00">
              <w:rPr>
                <w:rFonts w:ascii="Calibri" w:eastAsia="Times New Roman" w:hAnsi="Calibri" w:cs="Calibri"/>
                <w:b/>
                <w:bCs/>
                <w:color w:val="FFFFFF"/>
                <w:lang w:eastAsia="en-GB"/>
              </w:rPr>
              <w:t>20%</w:t>
            </w:r>
          </w:p>
        </w:tc>
        <w:tc>
          <w:tcPr>
            <w:tcW w:w="986" w:type="dxa"/>
            <w:shd w:val="clear" w:color="000000" w:fill="8497B0"/>
            <w:vAlign w:val="center"/>
            <w:hideMark/>
          </w:tcPr>
          <w:p w14:paraId="40F1693B" w14:textId="77777777" w:rsidR="00596A00" w:rsidRPr="00596A00" w:rsidRDefault="00596A00" w:rsidP="00DC54F7">
            <w:pPr>
              <w:spacing w:after="0" w:line="240" w:lineRule="auto"/>
              <w:jc w:val="both"/>
              <w:rPr>
                <w:rFonts w:ascii="Calibri" w:eastAsia="Times New Roman" w:hAnsi="Calibri" w:cs="Calibri"/>
                <w:b/>
                <w:bCs/>
                <w:color w:val="FFFFFF"/>
                <w:lang w:eastAsia="en-GB"/>
              </w:rPr>
            </w:pPr>
            <w:r w:rsidRPr="00596A00">
              <w:rPr>
                <w:rFonts w:ascii="Calibri" w:eastAsia="Times New Roman" w:hAnsi="Calibri" w:cs="Calibri"/>
                <w:b/>
                <w:bCs/>
                <w:color w:val="FFFFFF"/>
                <w:lang w:eastAsia="en-GB"/>
              </w:rPr>
              <w:t>10%</w:t>
            </w:r>
          </w:p>
        </w:tc>
        <w:tc>
          <w:tcPr>
            <w:tcW w:w="941" w:type="dxa"/>
            <w:shd w:val="clear" w:color="000000" w:fill="8497B0"/>
            <w:vAlign w:val="center"/>
            <w:hideMark/>
          </w:tcPr>
          <w:p w14:paraId="085ECC89" w14:textId="77777777" w:rsidR="00596A00" w:rsidRPr="00596A00" w:rsidRDefault="00596A00" w:rsidP="00DC54F7">
            <w:pPr>
              <w:spacing w:after="0" w:line="240" w:lineRule="auto"/>
              <w:jc w:val="both"/>
              <w:rPr>
                <w:rFonts w:ascii="Calibri" w:eastAsia="Times New Roman" w:hAnsi="Calibri" w:cs="Calibri"/>
                <w:b/>
                <w:bCs/>
                <w:color w:val="FFFFFF"/>
                <w:lang w:eastAsia="en-GB"/>
              </w:rPr>
            </w:pPr>
            <w:r w:rsidRPr="00596A00">
              <w:rPr>
                <w:rFonts w:ascii="Calibri" w:eastAsia="Times New Roman" w:hAnsi="Calibri" w:cs="Calibri"/>
                <w:b/>
                <w:bCs/>
                <w:color w:val="FFFFFF"/>
                <w:lang w:eastAsia="en-GB"/>
              </w:rPr>
              <w:t>20%</w:t>
            </w:r>
          </w:p>
        </w:tc>
        <w:tc>
          <w:tcPr>
            <w:tcW w:w="902" w:type="dxa"/>
            <w:shd w:val="clear" w:color="000000" w:fill="8497B0"/>
            <w:vAlign w:val="center"/>
            <w:hideMark/>
          </w:tcPr>
          <w:p w14:paraId="37D95DEA" w14:textId="77777777" w:rsidR="00596A00" w:rsidRPr="00596A00" w:rsidRDefault="00596A00" w:rsidP="00DC54F7">
            <w:pPr>
              <w:spacing w:after="0" w:line="240" w:lineRule="auto"/>
              <w:jc w:val="both"/>
              <w:rPr>
                <w:rFonts w:ascii="Calibri" w:eastAsia="Times New Roman" w:hAnsi="Calibri" w:cs="Calibri"/>
                <w:b/>
                <w:bCs/>
                <w:color w:val="FFFFFF"/>
                <w:lang w:eastAsia="en-GB"/>
              </w:rPr>
            </w:pPr>
            <w:r w:rsidRPr="00596A00">
              <w:rPr>
                <w:rFonts w:ascii="Calibri" w:eastAsia="Times New Roman" w:hAnsi="Calibri" w:cs="Calibri"/>
                <w:b/>
                <w:bCs/>
                <w:color w:val="FFFFFF"/>
                <w:lang w:eastAsia="en-GB"/>
              </w:rPr>
              <w:t>10%</w:t>
            </w:r>
          </w:p>
        </w:tc>
        <w:tc>
          <w:tcPr>
            <w:tcW w:w="867" w:type="dxa"/>
            <w:shd w:val="clear" w:color="000000" w:fill="8497B0"/>
            <w:vAlign w:val="center"/>
            <w:hideMark/>
          </w:tcPr>
          <w:p w14:paraId="28F4B20D" w14:textId="77777777" w:rsidR="00596A00" w:rsidRPr="00596A00" w:rsidRDefault="00596A00" w:rsidP="00DC54F7">
            <w:pPr>
              <w:spacing w:after="0" w:line="240" w:lineRule="auto"/>
              <w:jc w:val="both"/>
              <w:rPr>
                <w:rFonts w:ascii="Calibri" w:eastAsia="Times New Roman" w:hAnsi="Calibri" w:cs="Calibri"/>
                <w:b/>
                <w:bCs/>
                <w:color w:val="FFFFFF"/>
                <w:lang w:eastAsia="en-GB"/>
              </w:rPr>
            </w:pPr>
            <w:r w:rsidRPr="00596A00">
              <w:rPr>
                <w:rFonts w:ascii="Calibri" w:eastAsia="Times New Roman" w:hAnsi="Calibri" w:cs="Calibri"/>
                <w:b/>
                <w:bCs/>
                <w:color w:val="FFFFFF"/>
                <w:lang w:eastAsia="en-GB"/>
              </w:rPr>
              <w:t>20%</w:t>
            </w:r>
          </w:p>
        </w:tc>
        <w:tc>
          <w:tcPr>
            <w:tcW w:w="928" w:type="dxa"/>
            <w:shd w:val="clear" w:color="000000" w:fill="8497B0"/>
            <w:vAlign w:val="center"/>
            <w:hideMark/>
          </w:tcPr>
          <w:p w14:paraId="4E5F609B" w14:textId="77777777" w:rsidR="00596A00" w:rsidRPr="00596A00" w:rsidRDefault="00596A00" w:rsidP="00DC54F7">
            <w:pPr>
              <w:spacing w:after="0" w:line="240" w:lineRule="auto"/>
              <w:jc w:val="both"/>
              <w:rPr>
                <w:rFonts w:ascii="Calibri" w:eastAsia="Times New Roman" w:hAnsi="Calibri" w:cs="Calibri"/>
                <w:b/>
                <w:bCs/>
                <w:color w:val="FFFFFF"/>
                <w:lang w:eastAsia="en-GB"/>
              </w:rPr>
            </w:pPr>
            <w:r w:rsidRPr="00596A00">
              <w:rPr>
                <w:rFonts w:ascii="Calibri" w:eastAsia="Times New Roman" w:hAnsi="Calibri" w:cs="Calibri"/>
                <w:b/>
                <w:bCs/>
                <w:color w:val="FFFFFF"/>
                <w:lang w:eastAsia="en-GB"/>
              </w:rPr>
              <w:t>10%</w:t>
            </w:r>
          </w:p>
        </w:tc>
        <w:tc>
          <w:tcPr>
            <w:tcW w:w="860" w:type="dxa"/>
            <w:shd w:val="clear" w:color="000000" w:fill="8497B0"/>
            <w:vAlign w:val="center"/>
            <w:hideMark/>
          </w:tcPr>
          <w:p w14:paraId="3C0A09E1" w14:textId="77777777" w:rsidR="00596A00" w:rsidRPr="00596A00" w:rsidRDefault="00596A00" w:rsidP="00DC54F7">
            <w:pPr>
              <w:spacing w:after="0" w:line="240" w:lineRule="auto"/>
              <w:jc w:val="both"/>
              <w:rPr>
                <w:rFonts w:ascii="Calibri" w:eastAsia="Times New Roman" w:hAnsi="Calibri" w:cs="Calibri"/>
                <w:b/>
                <w:bCs/>
                <w:color w:val="FFFFFF"/>
                <w:lang w:eastAsia="en-GB"/>
              </w:rPr>
            </w:pPr>
            <w:r w:rsidRPr="00596A00">
              <w:rPr>
                <w:rFonts w:ascii="Calibri" w:eastAsia="Times New Roman" w:hAnsi="Calibri" w:cs="Calibri"/>
                <w:b/>
                <w:bCs/>
                <w:color w:val="FFFFFF"/>
                <w:lang w:eastAsia="en-GB"/>
              </w:rPr>
              <w:t>20%</w:t>
            </w:r>
          </w:p>
        </w:tc>
      </w:tr>
      <w:tr w:rsidR="00596A00" w:rsidRPr="00596A00" w14:paraId="64322CD9" w14:textId="77777777" w:rsidTr="00FA4EF7">
        <w:trPr>
          <w:trHeight w:val="321"/>
        </w:trPr>
        <w:tc>
          <w:tcPr>
            <w:tcW w:w="1938" w:type="dxa"/>
            <w:shd w:val="clear" w:color="000000" w:fill="F2F2F2"/>
            <w:noWrap/>
            <w:vAlign w:val="center"/>
            <w:hideMark/>
          </w:tcPr>
          <w:p w14:paraId="25034101" w14:textId="77777777"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Cardiff City &amp; South</w:t>
            </w:r>
          </w:p>
        </w:tc>
        <w:tc>
          <w:tcPr>
            <w:tcW w:w="1037" w:type="dxa"/>
            <w:shd w:val="clear" w:color="000000" w:fill="F2F2F2"/>
            <w:noWrap/>
            <w:vAlign w:val="center"/>
            <w:hideMark/>
          </w:tcPr>
          <w:p w14:paraId="08E18B26" w14:textId="4A48ACCE"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13</w:t>
            </w:r>
            <w:r w:rsidR="00E91F9B">
              <w:rPr>
                <w:rFonts w:ascii="Calibri" w:eastAsia="Times New Roman" w:hAnsi="Calibri" w:cs="Calibri"/>
                <w:color w:val="000000"/>
                <w:lang w:eastAsia="en-GB"/>
              </w:rPr>
              <w:t>.0</w:t>
            </w:r>
          </w:p>
        </w:tc>
        <w:tc>
          <w:tcPr>
            <w:tcW w:w="1037" w:type="dxa"/>
            <w:shd w:val="clear" w:color="000000" w:fill="F2F2F2"/>
            <w:noWrap/>
            <w:vAlign w:val="center"/>
            <w:hideMark/>
          </w:tcPr>
          <w:p w14:paraId="4FA3E4BB" w14:textId="77777777"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43.5</w:t>
            </w:r>
          </w:p>
        </w:tc>
        <w:tc>
          <w:tcPr>
            <w:tcW w:w="986" w:type="dxa"/>
            <w:shd w:val="clear" w:color="000000" w:fill="F2F2F2"/>
            <w:noWrap/>
            <w:vAlign w:val="center"/>
            <w:hideMark/>
          </w:tcPr>
          <w:p w14:paraId="5D8AAF0D" w14:textId="443E6FB6"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13</w:t>
            </w:r>
            <w:r w:rsidR="00E91F9B">
              <w:rPr>
                <w:rFonts w:ascii="Calibri" w:eastAsia="Times New Roman" w:hAnsi="Calibri" w:cs="Calibri"/>
                <w:color w:val="000000"/>
                <w:lang w:eastAsia="en-GB"/>
              </w:rPr>
              <w:t>.0</w:t>
            </w:r>
          </w:p>
        </w:tc>
        <w:tc>
          <w:tcPr>
            <w:tcW w:w="941" w:type="dxa"/>
            <w:shd w:val="clear" w:color="000000" w:fill="F2F2F2"/>
            <w:noWrap/>
            <w:vAlign w:val="center"/>
            <w:hideMark/>
          </w:tcPr>
          <w:p w14:paraId="2C6A6CC0" w14:textId="77777777"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17.4</w:t>
            </w:r>
          </w:p>
        </w:tc>
        <w:tc>
          <w:tcPr>
            <w:tcW w:w="902" w:type="dxa"/>
            <w:shd w:val="clear" w:color="000000" w:fill="F2F2F2"/>
            <w:noWrap/>
            <w:vAlign w:val="center"/>
            <w:hideMark/>
          </w:tcPr>
          <w:p w14:paraId="09DAD23A" w14:textId="77777777"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4.3</w:t>
            </w:r>
          </w:p>
        </w:tc>
        <w:tc>
          <w:tcPr>
            <w:tcW w:w="867" w:type="dxa"/>
            <w:shd w:val="clear" w:color="000000" w:fill="F2F2F2"/>
            <w:noWrap/>
            <w:vAlign w:val="center"/>
            <w:hideMark/>
          </w:tcPr>
          <w:p w14:paraId="2ABFB1B2" w14:textId="77777777"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8.7</w:t>
            </w:r>
          </w:p>
        </w:tc>
        <w:tc>
          <w:tcPr>
            <w:tcW w:w="928" w:type="dxa"/>
            <w:shd w:val="clear" w:color="000000" w:fill="F2F2F2"/>
            <w:noWrap/>
            <w:vAlign w:val="center"/>
            <w:hideMark/>
          </w:tcPr>
          <w:p w14:paraId="1710BD1A" w14:textId="63251CC8"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0</w:t>
            </w:r>
            <w:r w:rsidR="00E91F9B">
              <w:rPr>
                <w:rFonts w:ascii="Calibri" w:eastAsia="Times New Roman" w:hAnsi="Calibri" w:cs="Calibri"/>
                <w:color w:val="000000"/>
                <w:lang w:eastAsia="en-GB"/>
              </w:rPr>
              <w:t>.0</w:t>
            </w:r>
          </w:p>
        </w:tc>
        <w:tc>
          <w:tcPr>
            <w:tcW w:w="860" w:type="dxa"/>
            <w:shd w:val="clear" w:color="000000" w:fill="F2F2F2"/>
            <w:noWrap/>
            <w:vAlign w:val="center"/>
            <w:hideMark/>
          </w:tcPr>
          <w:p w14:paraId="78335433" w14:textId="31B9744E"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0</w:t>
            </w:r>
            <w:r w:rsidR="00E91F9B">
              <w:rPr>
                <w:rFonts w:ascii="Calibri" w:eastAsia="Times New Roman" w:hAnsi="Calibri" w:cs="Calibri"/>
                <w:color w:val="000000"/>
                <w:lang w:eastAsia="en-GB"/>
              </w:rPr>
              <w:t>.0</w:t>
            </w:r>
          </w:p>
        </w:tc>
      </w:tr>
      <w:tr w:rsidR="00FA4EF7" w:rsidRPr="00596A00" w14:paraId="260D081A" w14:textId="77777777" w:rsidTr="00FA4EF7">
        <w:trPr>
          <w:trHeight w:val="332"/>
        </w:trPr>
        <w:tc>
          <w:tcPr>
            <w:tcW w:w="1938" w:type="dxa"/>
            <w:shd w:val="clear" w:color="auto" w:fill="auto"/>
            <w:noWrap/>
            <w:vAlign w:val="center"/>
            <w:hideMark/>
          </w:tcPr>
          <w:p w14:paraId="73EF78A4" w14:textId="77777777"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 xml:space="preserve">Cardiff </w:t>
            </w:r>
          </w:p>
        </w:tc>
        <w:tc>
          <w:tcPr>
            <w:tcW w:w="1037" w:type="dxa"/>
            <w:shd w:val="clear" w:color="auto" w:fill="auto"/>
            <w:noWrap/>
            <w:vAlign w:val="center"/>
            <w:hideMark/>
          </w:tcPr>
          <w:p w14:paraId="44F4166D" w14:textId="77777777"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19.2</w:t>
            </w:r>
          </w:p>
        </w:tc>
        <w:tc>
          <w:tcPr>
            <w:tcW w:w="1037" w:type="dxa"/>
            <w:shd w:val="clear" w:color="auto" w:fill="auto"/>
            <w:noWrap/>
            <w:vAlign w:val="center"/>
            <w:hideMark/>
          </w:tcPr>
          <w:p w14:paraId="630D2E56" w14:textId="77777777"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30.8</w:t>
            </w:r>
          </w:p>
        </w:tc>
        <w:tc>
          <w:tcPr>
            <w:tcW w:w="986" w:type="dxa"/>
            <w:shd w:val="clear" w:color="auto" w:fill="auto"/>
            <w:noWrap/>
            <w:vAlign w:val="center"/>
            <w:hideMark/>
          </w:tcPr>
          <w:p w14:paraId="0BB771D0" w14:textId="77777777"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14.5</w:t>
            </w:r>
          </w:p>
        </w:tc>
        <w:tc>
          <w:tcPr>
            <w:tcW w:w="941" w:type="dxa"/>
            <w:shd w:val="clear" w:color="auto" w:fill="auto"/>
            <w:noWrap/>
            <w:vAlign w:val="center"/>
            <w:hideMark/>
          </w:tcPr>
          <w:p w14:paraId="1795E081" w14:textId="6B06764B"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22</w:t>
            </w:r>
            <w:r w:rsidR="00E91F9B">
              <w:rPr>
                <w:rFonts w:ascii="Calibri" w:eastAsia="Times New Roman" w:hAnsi="Calibri" w:cs="Calibri"/>
                <w:color w:val="000000"/>
                <w:lang w:eastAsia="en-GB"/>
              </w:rPr>
              <w:t>.0</w:t>
            </w:r>
          </w:p>
        </w:tc>
        <w:tc>
          <w:tcPr>
            <w:tcW w:w="902" w:type="dxa"/>
            <w:shd w:val="clear" w:color="auto" w:fill="auto"/>
            <w:noWrap/>
            <w:vAlign w:val="center"/>
            <w:hideMark/>
          </w:tcPr>
          <w:p w14:paraId="6BD26138" w14:textId="77777777"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12.1</w:t>
            </w:r>
          </w:p>
        </w:tc>
        <w:tc>
          <w:tcPr>
            <w:tcW w:w="867" w:type="dxa"/>
            <w:shd w:val="clear" w:color="auto" w:fill="auto"/>
            <w:noWrap/>
            <w:vAlign w:val="center"/>
            <w:hideMark/>
          </w:tcPr>
          <w:p w14:paraId="00E88F91" w14:textId="77777777"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20.1</w:t>
            </w:r>
          </w:p>
        </w:tc>
        <w:tc>
          <w:tcPr>
            <w:tcW w:w="928" w:type="dxa"/>
            <w:shd w:val="clear" w:color="auto" w:fill="auto"/>
            <w:noWrap/>
            <w:vAlign w:val="center"/>
            <w:hideMark/>
          </w:tcPr>
          <w:p w14:paraId="74D868A4" w14:textId="78E24633"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0</w:t>
            </w:r>
            <w:r w:rsidR="00E91F9B">
              <w:rPr>
                <w:rFonts w:ascii="Calibri" w:eastAsia="Times New Roman" w:hAnsi="Calibri" w:cs="Calibri"/>
                <w:color w:val="000000"/>
                <w:lang w:eastAsia="en-GB"/>
              </w:rPr>
              <w:t>.0</w:t>
            </w:r>
          </w:p>
        </w:tc>
        <w:tc>
          <w:tcPr>
            <w:tcW w:w="860" w:type="dxa"/>
            <w:shd w:val="clear" w:color="auto" w:fill="auto"/>
            <w:noWrap/>
            <w:vAlign w:val="center"/>
            <w:hideMark/>
          </w:tcPr>
          <w:p w14:paraId="2D3359E9" w14:textId="77777777" w:rsidR="00596A00" w:rsidRPr="00596A00" w:rsidRDefault="00596A00" w:rsidP="00DC54F7">
            <w:pPr>
              <w:spacing w:after="0" w:line="240" w:lineRule="auto"/>
              <w:jc w:val="both"/>
              <w:rPr>
                <w:rFonts w:ascii="Calibri" w:eastAsia="Times New Roman" w:hAnsi="Calibri" w:cs="Calibri"/>
                <w:color w:val="000000"/>
                <w:lang w:eastAsia="en-GB"/>
              </w:rPr>
            </w:pPr>
            <w:r w:rsidRPr="00596A00">
              <w:rPr>
                <w:rFonts w:ascii="Calibri" w:eastAsia="Times New Roman" w:hAnsi="Calibri" w:cs="Calibri"/>
                <w:color w:val="000000"/>
                <w:lang w:eastAsia="en-GB"/>
              </w:rPr>
              <w:t>0.9</w:t>
            </w:r>
          </w:p>
        </w:tc>
      </w:tr>
    </w:tbl>
    <w:p w14:paraId="55911584" w14:textId="64151591" w:rsidR="00644A5A" w:rsidRPr="00E91F9B" w:rsidRDefault="00644A5A" w:rsidP="00DC54F7">
      <w:pPr>
        <w:spacing w:after="0" w:line="240" w:lineRule="auto"/>
        <w:jc w:val="both"/>
        <w:rPr>
          <w:rFonts w:ascii="Arial" w:hAnsi="Arial" w:cs="Arial"/>
          <w:b/>
          <w:bCs/>
          <w:sz w:val="20"/>
          <w:szCs w:val="20"/>
        </w:rPr>
      </w:pPr>
      <w:r w:rsidRPr="00E91F9B">
        <w:rPr>
          <w:rFonts w:ascii="Arial" w:hAnsi="Arial" w:cs="Arial"/>
          <w:sz w:val="20"/>
          <w:szCs w:val="20"/>
        </w:rPr>
        <w:t>Source: Welsh Index of Multiple Deprivation 2014, Welsh Government</w:t>
      </w:r>
    </w:p>
    <w:p w14:paraId="39F34F15" w14:textId="77777777" w:rsidR="00644A5A" w:rsidRPr="00E91F9B" w:rsidRDefault="00644A5A" w:rsidP="00DC54F7">
      <w:pPr>
        <w:spacing w:after="0" w:line="240" w:lineRule="auto"/>
        <w:jc w:val="both"/>
        <w:rPr>
          <w:rFonts w:ascii="Arial" w:hAnsi="Arial" w:cs="Arial"/>
        </w:rPr>
      </w:pPr>
    </w:p>
    <w:p w14:paraId="462DA235" w14:textId="6572D47A" w:rsidR="00644A5A" w:rsidRPr="00E91F9B" w:rsidRDefault="008F7D65" w:rsidP="00DC54F7">
      <w:pPr>
        <w:spacing w:after="0" w:line="240" w:lineRule="auto"/>
        <w:jc w:val="both"/>
        <w:rPr>
          <w:rFonts w:ascii="Arial" w:hAnsi="Arial" w:cs="Arial"/>
          <w:color w:val="000000" w:themeColor="text1"/>
          <w:sz w:val="24"/>
          <w:szCs w:val="24"/>
        </w:rPr>
      </w:pPr>
      <w:r w:rsidRPr="00E91F9B">
        <w:rPr>
          <w:rFonts w:ascii="Arial" w:hAnsi="Arial" w:cs="Arial"/>
          <w:sz w:val="24"/>
          <w:szCs w:val="24"/>
        </w:rPr>
        <w:t xml:space="preserve">The map below provides an indication of the overall levels of deprivation within the cluster. </w:t>
      </w:r>
      <w:r w:rsidR="00644A5A" w:rsidRPr="00E91F9B">
        <w:rPr>
          <w:rFonts w:ascii="Arial" w:hAnsi="Arial" w:cs="Arial"/>
          <w:sz w:val="24"/>
          <w:szCs w:val="24"/>
        </w:rPr>
        <w:t xml:space="preserve">As can be seen from the map, </w:t>
      </w:r>
      <w:r w:rsidR="00A40705" w:rsidRPr="00E91F9B">
        <w:rPr>
          <w:rFonts w:ascii="Arial" w:hAnsi="Arial" w:cs="Arial"/>
          <w:sz w:val="24"/>
          <w:szCs w:val="24"/>
        </w:rPr>
        <w:t xml:space="preserve">the majority of </w:t>
      </w:r>
      <w:r w:rsidR="00644A5A" w:rsidRPr="00E91F9B">
        <w:rPr>
          <w:rFonts w:ascii="Arial" w:hAnsi="Arial" w:cs="Arial"/>
          <w:sz w:val="24"/>
          <w:szCs w:val="24"/>
        </w:rPr>
        <w:t xml:space="preserve">pharmacies are located within or near areas of higher deprivation. </w:t>
      </w:r>
    </w:p>
    <w:p w14:paraId="5347895E" w14:textId="77777777" w:rsidR="00644A5A" w:rsidRPr="00A10850" w:rsidRDefault="00644A5A" w:rsidP="00DC54F7">
      <w:pPr>
        <w:spacing w:after="0" w:line="240" w:lineRule="auto"/>
        <w:jc w:val="both"/>
        <w:rPr>
          <w:rFonts w:ascii="Arial" w:hAnsi="Arial" w:cs="Arial"/>
          <w:b/>
          <w:sz w:val="26"/>
          <w:szCs w:val="26"/>
        </w:rPr>
      </w:pPr>
    </w:p>
    <w:p w14:paraId="1E2C9FD0" w14:textId="77777777" w:rsidR="00CD7A5C" w:rsidRDefault="00CD7A5C" w:rsidP="00DC54F7">
      <w:pPr>
        <w:spacing w:after="0" w:line="240" w:lineRule="auto"/>
        <w:jc w:val="both"/>
        <w:rPr>
          <w:rFonts w:ascii="Arial" w:hAnsi="Arial" w:cs="Arial"/>
          <w:b/>
          <w:sz w:val="24"/>
          <w:szCs w:val="24"/>
        </w:rPr>
      </w:pPr>
    </w:p>
    <w:p w14:paraId="43332C65" w14:textId="77777777" w:rsidR="00CD7A5C" w:rsidRDefault="00CD7A5C" w:rsidP="00DC54F7">
      <w:pPr>
        <w:spacing w:after="0" w:line="240" w:lineRule="auto"/>
        <w:jc w:val="both"/>
        <w:rPr>
          <w:rFonts w:ascii="Arial" w:hAnsi="Arial" w:cs="Arial"/>
          <w:b/>
          <w:sz w:val="24"/>
          <w:szCs w:val="24"/>
        </w:rPr>
      </w:pPr>
    </w:p>
    <w:p w14:paraId="7C2C1641" w14:textId="77777777" w:rsidR="00CD7A5C" w:rsidRDefault="00CD7A5C" w:rsidP="00DC54F7">
      <w:pPr>
        <w:spacing w:after="0" w:line="240" w:lineRule="auto"/>
        <w:jc w:val="both"/>
        <w:rPr>
          <w:rFonts w:ascii="Arial" w:hAnsi="Arial" w:cs="Arial"/>
          <w:b/>
          <w:sz w:val="24"/>
          <w:szCs w:val="24"/>
        </w:rPr>
      </w:pPr>
    </w:p>
    <w:p w14:paraId="4594C70D" w14:textId="77777777" w:rsidR="00CD7A5C" w:rsidRDefault="00CD7A5C" w:rsidP="00DC54F7">
      <w:pPr>
        <w:spacing w:after="0" w:line="240" w:lineRule="auto"/>
        <w:jc w:val="both"/>
        <w:rPr>
          <w:rFonts w:ascii="Arial" w:hAnsi="Arial" w:cs="Arial"/>
          <w:b/>
          <w:sz w:val="24"/>
          <w:szCs w:val="24"/>
        </w:rPr>
      </w:pPr>
    </w:p>
    <w:p w14:paraId="14C4D2A2" w14:textId="77777777" w:rsidR="00CD7A5C" w:rsidRDefault="00CD7A5C" w:rsidP="00DC54F7">
      <w:pPr>
        <w:spacing w:after="0" w:line="240" w:lineRule="auto"/>
        <w:jc w:val="both"/>
        <w:rPr>
          <w:rFonts w:ascii="Arial" w:hAnsi="Arial" w:cs="Arial"/>
          <w:b/>
          <w:sz w:val="24"/>
          <w:szCs w:val="24"/>
        </w:rPr>
      </w:pPr>
    </w:p>
    <w:p w14:paraId="4098D7CA" w14:textId="77777777" w:rsidR="00CD7A5C" w:rsidRDefault="00CD7A5C" w:rsidP="00DC54F7">
      <w:pPr>
        <w:spacing w:after="0" w:line="240" w:lineRule="auto"/>
        <w:jc w:val="both"/>
        <w:rPr>
          <w:rFonts w:ascii="Arial" w:hAnsi="Arial" w:cs="Arial"/>
          <w:b/>
          <w:sz w:val="24"/>
          <w:szCs w:val="24"/>
        </w:rPr>
      </w:pPr>
    </w:p>
    <w:p w14:paraId="5A03D822" w14:textId="77777777" w:rsidR="00CD7A5C" w:rsidRDefault="00CD7A5C" w:rsidP="00DC54F7">
      <w:pPr>
        <w:spacing w:after="0" w:line="240" w:lineRule="auto"/>
        <w:jc w:val="both"/>
        <w:rPr>
          <w:rFonts w:ascii="Arial" w:hAnsi="Arial" w:cs="Arial"/>
          <w:b/>
          <w:sz w:val="24"/>
          <w:szCs w:val="24"/>
        </w:rPr>
      </w:pPr>
    </w:p>
    <w:p w14:paraId="48F2C997" w14:textId="252C79B4" w:rsidR="00CD7A5C" w:rsidRDefault="00CD7A5C" w:rsidP="00DC54F7">
      <w:pPr>
        <w:jc w:val="both"/>
        <w:rPr>
          <w:rFonts w:ascii="Arial" w:hAnsi="Arial" w:cs="Arial"/>
          <w:b/>
          <w:sz w:val="24"/>
          <w:szCs w:val="24"/>
        </w:rPr>
      </w:pPr>
      <w:r>
        <w:rPr>
          <w:rFonts w:ascii="Arial" w:hAnsi="Arial" w:cs="Arial"/>
          <w:b/>
          <w:sz w:val="24"/>
          <w:szCs w:val="24"/>
        </w:rPr>
        <w:br w:type="page"/>
      </w:r>
    </w:p>
    <w:p w14:paraId="37629A3F" w14:textId="60877DD2" w:rsidR="00707E47" w:rsidRPr="001021DF" w:rsidRDefault="00FA4EF7" w:rsidP="00DC54F7">
      <w:pPr>
        <w:spacing w:after="0" w:line="240" w:lineRule="auto"/>
        <w:jc w:val="both"/>
        <w:rPr>
          <w:rFonts w:ascii="Arial" w:hAnsi="Arial" w:cs="Arial"/>
          <w:b/>
          <w:sz w:val="24"/>
          <w:szCs w:val="24"/>
        </w:rPr>
      </w:pPr>
      <w:r w:rsidRPr="001021DF">
        <w:rPr>
          <w:rFonts w:ascii="Arial" w:hAnsi="Arial" w:cs="Arial"/>
          <w:b/>
          <w:sz w:val="24"/>
          <w:szCs w:val="24"/>
        </w:rPr>
        <w:lastRenderedPageBreak/>
        <w:t xml:space="preserve">Map 10.1: Lower Super Output Areas (LSOAs) in Cardiff </w:t>
      </w:r>
      <w:r w:rsidR="00A40705" w:rsidRPr="001021DF">
        <w:rPr>
          <w:rFonts w:ascii="Arial" w:hAnsi="Arial" w:cs="Arial"/>
          <w:b/>
          <w:sz w:val="24"/>
          <w:szCs w:val="24"/>
        </w:rPr>
        <w:t xml:space="preserve">City and South </w:t>
      </w:r>
      <w:r w:rsidRPr="001021DF">
        <w:rPr>
          <w:rFonts w:ascii="Arial" w:hAnsi="Arial" w:cs="Arial"/>
          <w:b/>
          <w:sz w:val="24"/>
          <w:szCs w:val="24"/>
        </w:rPr>
        <w:t>cluster, grouped into quintiles by Welsh index of Multiple Deprivation 2019</w:t>
      </w:r>
    </w:p>
    <w:p w14:paraId="6EE4A28B" w14:textId="1A349F6C" w:rsidR="00707E47" w:rsidRDefault="00AD0FD4" w:rsidP="00DC54F7">
      <w:pPr>
        <w:spacing w:after="0" w:line="240" w:lineRule="auto"/>
        <w:jc w:val="both"/>
        <w:rPr>
          <w:rFonts w:ascii="Arial" w:hAnsi="Arial" w:cs="Arial"/>
        </w:rPr>
      </w:pPr>
      <w:r>
        <w:rPr>
          <w:noProof/>
          <w:lang w:eastAsia="en-GB"/>
        </w:rPr>
        <w:drawing>
          <wp:inline distT="0" distB="0" distL="0" distR="0" wp14:anchorId="72690DF9" wp14:editId="7F845010">
            <wp:extent cx="5731510" cy="4066540"/>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731510" cy="4066540"/>
                    </a:xfrm>
                    <a:prstGeom prst="rect">
                      <a:avLst/>
                    </a:prstGeom>
                    <a:noFill/>
                    <a:ln>
                      <a:noFill/>
                    </a:ln>
                  </pic:spPr>
                </pic:pic>
              </a:graphicData>
            </a:graphic>
          </wp:inline>
        </w:drawing>
      </w:r>
    </w:p>
    <w:p w14:paraId="3388E2EC" w14:textId="77777777" w:rsidR="00707E47" w:rsidRDefault="00707E47" w:rsidP="00DC54F7">
      <w:pPr>
        <w:spacing w:after="0" w:line="240" w:lineRule="auto"/>
        <w:jc w:val="both"/>
        <w:rPr>
          <w:rFonts w:ascii="Arial" w:hAnsi="Arial" w:cs="Arial"/>
        </w:rPr>
      </w:pPr>
    </w:p>
    <w:p w14:paraId="154E8B7B" w14:textId="6D89BE56" w:rsidR="00FC1DD7" w:rsidRPr="001021DF" w:rsidRDefault="00FC1DD7" w:rsidP="00DC54F7">
      <w:pPr>
        <w:spacing w:after="0" w:line="240" w:lineRule="auto"/>
        <w:jc w:val="both"/>
        <w:rPr>
          <w:rFonts w:ascii="Arial" w:eastAsia="Times New Roman" w:hAnsi="Arial" w:cs="Arial"/>
          <w:color w:val="000000"/>
          <w:sz w:val="24"/>
          <w:szCs w:val="24"/>
          <w:lang w:eastAsia="en-GB"/>
        </w:rPr>
      </w:pPr>
      <w:r w:rsidRPr="001021DF">
        <w:rPr>
          <w:rFonts w:ascii="Arial" w:hAnsi="Arial" w:cs="Arial"/>
          <w:sz w:val="24"/>
          <w:szCs w:val="24"/>
        </w:rPr>
        <w:t xml:space="preserve">Cardiff </w:t>
      </w:r>
      <w:r w:rsidR="00027872" w:rsidRPr="001021DF">
        <w:rPr>
          <w:rFonts w:ascii="Arial" w:hAnsi="Arial" w:cs="Arial"/>
          <w:sz w:val="24"/>
          <w:szCs w:val="24"/>
        </w:rPr>
        <w:t xml:space="preserve">City and </w:t>
      </w:r>
      <w:r w:rsidRPr="001021DF">
        <w:rPr>
          <w:rFonts w:ascii="Arial" w:hAnsi="Arial" w:cs="Arial"/>
          <w:sz w:val="24"/>
          <w:szCs w:val="24"/>
        </w:rPr>
        <w:t>South</w:t>
      </w:r>
      <w:r w:rsidR="00A80B81" w:rsidRPr="001021DF">
        <w:rPr>
          <w:rFonts w:ascii="Arial" w:hAnsi="Arial" w:cs="Arial"/>
          <w:sz w:val="24"/>
          <w:szCs w:val="24"/>
        </w:rPr>
        <w:t xml:space="preserve"> </w:t>
      </w:r>
      <w:r w:rsidRPr="001021DF">
        <w:rPr>
          <w:rFonts w:ascii="Arial" w:hAnsi="Arial" w:cs="Arial"/>
          <w:sz w:val="24"/>
          <w:szCs w:val="24"/>
        </w:rPr>
        <w:t xml:space="preserve">cluster has </w:t>
      </w:r>
      <w:r w:rsidR="000C431E" w:rsidRPr="001021DF">
        <w:rPr>
          <w:rFonts w:ascii="Arial" w:hAnsi="Arial" w:cs="Arial"/>
          <w:sz w:val="24"/>
          <w:szCs w:val="24"/>
        </w:rPr>
        <w:t xml:space="preserve">one of </w:t>
      </w:r>
      <w:r w:rsidRPr="001021DF">
        <w:rPr>
          <w:rFonts w:ascii="Arial" w:hAnsi="Arial" w:cs="Arial"/>
          <w:sz w:val="24"/>
          <w:szCs w:val="24"/>
        </w:rPr>
        <w:t xml:space="preserve">the lowest estimated prevalence of chronic disease of all the clusters in </w:t>
      </w:r>
      <w:r w:rsidRPr="001021DF">
        <w:rPr>
          <w:rFonts w:ascii="Arial" w:eastAsia="Times New Roman" w:hAnsi="Arial" w:cs="Arial"/>
          <w:color w:val="000000"/>
          <w:sz w:val="24"/>
          <w:szCs w:val="24"/>
          <w:lang w:eastAsia="en-GB"/>
        </w:rPr>
        <w:t>Cardiff and Vale University Health Board</w:t>
      </w:r>
      <w:r w:rsidR="0044689C" w:rsidRPr="001021DF">
        <w:rPr>
          <w:rFonts w:ascii="Arial" w:eastAsia="Times New Roman" w:hAnsi="Arial" w:cs="Arial"/>
          <w:color w:val="000000"/>
          <w:sz w:val="24"/>
          <w:szCs w:val="24"/>
          <w:lang w:eastAsia="en-GB"/>
        </w:rPr>
        <w:t xml:space="preserve"> and is lower than the average for Wales.</w:t>
      </w:r>
      <w:r w:rsidR="009C3D62" w:rsidRPr="001021DF">
        <w:rPr>
          <w:rFonts w:ascii="Arial" w:eastAsia="Times New Roman" w:hAnsi="Arial" w:cs="Arial"/>
          <w:color w:val="000000"/>
          <w:sz w:val="24"/>
          <w:szCs w:val="24"/>
          <w:lang w:eastAsia="en-GB"/>
        </w:rPr>
        <w:t xml:space="preserve"> It has the</w:t>
      </w:r>
      <w:r w:rsidR="00E078BA" w:rsidRPr="001021DF">
        <w:rPr>
          <w:rFonts w:ascii="Arial" w:eastAsia="Times New Roman" w:hAnsi="Arial" w:cs="Arial"/>
          <w:color w:val="000000"/>
          <w:sz w:val="24"/>
          <w:szCs w:val="24"/>
          <w:lang w:eastAsia="en-GB"/>
        </w:rPr>
        <w:t xml:space="preserve"> joint </w:t>
      </w:r>
      <w:r w:rsidR="009C3D62" w:rsidRPr="001021DF">
        <w:rPr>
          <w:rFonts w:ascii="Arial" w:eastAsia="Times New Roman" w:hAnsi="Arial" w:cs="Arial"/>
          <w:color w:val="000000"/>
          <w:sz w:val="24"/>
          <w:szCs w:val="24"/>
          <w:lang w:eastAsia="en-GB"/>
        </w:rPr>
        <w:t>lowest estimated prevalence for chronic obstructive pulmonary disease (COPD)</w:t>
      </w:r>
      <w:r w:rsidR="00E078BA" w:rsidRPr="001021DF">
        <w:rPr>
          <w:rFonts w:ascii="Arial" w:eastAsia="Times New Roman" w:hAnsi="Arial" w:cs="Arial"/>
          <w:color w:val="000000"/>
          <w:sz w:val="24"/>
          <w:szCs w:val="24"/>
          <w:lang w:eastAsia="en-GB"/>
        </w:rPr>
        <w:t xml:space="preserve"> </w:t>
      </w:r>
      <w:r w:rsidR="00007E30" w:rsidRPr="001021DF">
        <w:rPr>
          <w:rFonts w:ascii="Arial" w:eastAsia="Times New Roman" w:hAnsi="Arial" w:cs="Arial"/>
          <w:color w:val="000000"/>
          <w:sz w:val="24"/>
          <w:szCs w:val="24"/>
          <w:lang w:eastAsia="en-GB"/>
        </w:rPr>
        <w:t>and stroke and transient ischaemic attacks</w:t>
      </w:r>
      <w:r w:rsidR="00E078BA" w:rsidRPr="001021DF">
        <w:rPr>
          <w:rFonts w:ascii="Arial" w:eastAsia="Times New Roman" w:hAnsi="Arial" w:cs="Arial"/>
          <w:color w:val="000000"/>
          <w:sz w:val="24"/>
          <w:szCs w:val="24"/>
          <w:lang w:eastAsia="en-GB"/>
        </w:rPr>
        <w:t xml:space="preserve">, and the lowest for heart failure. </w:t>
      </w:r>
      <w:r w:rsidR="0044689C" w:rsidRPr="001021DF">
        <w:rPr>
          <w:rFonts w:ascii="Arial" w:eastAsia="Times New Roman" w:hAnsi="Arial" w:cs="Arial"/>
          <w:color w:val="000000"/>
          <w:sz w:val="24"/>
          <w:szCs w:val="24"/>
          <w:lang w:eastAsia="en-GB"/>
        </w:rPr>
        <w:t xml:space="preserve">It has the second lowest prevalence for </w:t>
      </w:r>
      <w:r w:rsidR="004C6FDE" w:rsidRPr="001021DF">
        <w:rPr>
          <w:rFonts w:ascii="Arial" w:eastAsia="Times New Roman" w:hAnsi="Arial" w:cs="Arial"/>
          <w:color w:val="000000"/>
          <w:sz w:val="24"/>
          <w:szCs w:val="24"/>
          <w:lang w:eastAsia="en-GB"/>
        </w:rPr>
        <w:t xml:space="preserve">coronary heart disease. </w:t>
      </w:r>
      <w:r w:rsidR="007772BF">
        <w:rPr>
          <w:rFonts w:ascii="Arial" w:eastAsia="Times New Roman" w:hAnsi="Arial" w:cs="Arial"/>
          <w:color w:val="000000"/>
          <w:sz w:val="24"/>
          <w:szCs w:val="24"/>
          <w:lang w:eastAsia="en-GB"/>
        </w:rPr>
        <w:t xml:space="preserve">However, </w:t>
      </w:r>
      <w:r w:rsidR="00974C55">
        <w:rPr>
          <w:rFonts w:ascii="Arial" w:eastAsia="Times New Roman" w:hAnsi="Arial" w:cs="Arial"/>
          <w:color w:val="000000"/>
          <w:sz w:val="24"/>
          <w:szCs w:val="24"/>
          <w:lang w:eastAsia="en-GB"/>
        </w:rPr>
        <w:t xml:space="preserve">it has </w:t>
      </w:r>
      <w:r w:rsidR="00AB4218" w:rsidRPr="001021DF">
        <w:rPr>
          <w:rFonts w:ascii="Arial" w:eastAsia="Times New Roman" w:hAnsi="Arial" w:cs="Arial"/>
          <w:color w:val="000000"/>
          <w:sz w:val="24"/>
          <w:szCs w:val="24"/>
          <w:lang w:eastAsia="en-GB"/>
        </w:rPr>
        <w:t xml:space="preserve">the third highest </w:t>
      </w:r>
      <w:r w:rsidR="00773520" w:rsidRPr="001021DF">
        <w:rPr>
          <w:rFonts w:ascii="Arial" w:eastAsia="Times New Roman" w:hAnsi="Arial" w:cs="Arial"/>
          <w:color w:val="000000"/>
          <w:sz w:val="24"/>
          <w:szCs w:val="24"/>
          <w:lang w:eastAsia="en-GB"/>
        </w:rPr>
        <w:t xml:space="preserve">estimated prevalence </w:t>
      </w:r>
      <w:r w:rsidR="00262734" w:rsidRPr="001021DF">
        <w:rPr>
          <w:rFonts w:ascii="Arial" w:eastAsia="Times New Roman" w:hAnsi="Arial" w:cs="Arial"/>
          <w:color w:val="000000"/>
          <w:sz w:val="24"/>
          <w:szCs w:val="24"/>
          <w:lang w:eastAsia="en-GB"/>
        </w:rPr>
        <w:t xml:space="preserve">of diabetes </w:t>
      </w:r>
      <w:r w:rsidR="00AB4218" w:rsidRPr="001021DF">
        <w:rPr>
          <w:rFonts w:ascii="Arial" w:eastAsia="Times New Roman" w:hAnsi="Arial" w:cs="Arial"/>
          <w:color w:val="000000"/>
          <w:sz w:val="24"/>
          <w:szCs w:val="24"/>
          <w:lang w:eastAsia="en-GB"/>
        </w:rPr>
        <w:t>of all the clusters in the health board</w:t>
      </w:r>
      <w:r w:rsidR="00262734" w:rsidRPr="001021DF">
        <w:rPr>
          <w:rFonts w:ascii="Arial" w:eastAsia="Times New Roman" w:hAnsi="Arial" w:cs="Arial"/>
          <w:color w:val="000000"/>
          <w:sz w:val="24"/>
          <w:szCs w:val="24"/>
          <w:lang w:eastAsia="en-GB"/>
        </w:rPr>
        <w:t xml:space="preserve">, </w:t>
      </w:r>
      <w:r w:rsidR="00532F02" w:rsidRPr="001021DF">
        <w:rPr>
          <w:rFonts w:ascii="Arial" w:eastAsia="Times New Roman" w:hAnsi="Arial" w:cs="Arial"/>
          <w:color w:val="000000"/>
          <w:sz w:val="24"/>
          <w:szCs w:val="24"/>
          <w:lang w:eastAsia="en-GB"/>
        </w:rPr>
        <w:t xml:space="preserve">although this </w:t>
      </w:r>
      <w:r w:rsidR="00262734" w:rsidRPr="001021DF">
        <w:rPr>
          <w:rFonts w:ascii="Arial" w:eastAsia="Times New Roman" w:hAnsi="Arial" w:cs="Arial"/>
          <w:color w:val="000000"/>
          <w:sz w:val="24"/>
          <w:szCs w:val="24"/>
          <w:lang w:eastAsia="en-GB"/>
        </w:rPr>
        <w:t xml:space="preserve">is </w:t>
      </w:r>
      <w:r w:rsidR="00473506" w:rsidRPr="001021DF">
        <w:rPr>
          <w:rFonts w:ascii="Arial" w:eastAsia="Times New Roman" w:hAnsi="Arial" w:cs="Arial"/>
          <w:color w:val="000000"/>
          <w:sz w:val="24"/>
          <w:szCs w:val="24"/>
          <w:lang w:eastAsia="en-GB"/>
        </w:rPr>
        <w:t>lower than the average for Wales</w:t>
      </w:r>
      <w:r w:rsidRPr="001021DF">
        <w:rPr>
          <w:rFonts w:ascii="Arial" w:eastAsia="Times New Roman" w:hAnsi="Arial" w:cs="Arial"/>
          <w:color w:val="000000"/>
          <w:sz w:val="24"/>
          <w:szCs w:val="24"/>
          <w:lang w:eastAsia="en-GB"/>
        </w:rPr>
        <w:t xml:space="preserve">. </w:t>
      </w:r>
    </w:p>
    <w:p w14:paraId="72EB86AD" w14:textId="77777777" w:rsidR="00CE048F" w:rsidRDefault="00CE048F" w:rsidP="00DC54F7">
      <w:pPr>
        <w:spacing w:after="0" w:line="240" w:lineRule="auto"/>
        <w:jc w:val="both"/>
        <w:rPr>
          <w:rFonts w:ascii="Arial" w:hAnsi="Arial" w:cs="Arial"/>
        </w:rPr>
      </w:pPr>
    </w:p>
    <w:p w14:paraId="451C77E5" w14:textId="422D19B4" w:rsidR="00DA1119" w:rsidRPr="00974C55" w:rsidRDefault="00733ACE" w:rsidP="00DC54F7">
      <w:pPr>
        <w:pStyle w:val="Caption"/>
        <w:spacing w:before="0" w:after="0"/>
        <w:jc w:val="both"/>
        <w:rPr>
          <w:rFonts w:ascii="Arial" w:hAnsi="Arial" w:cs="Arial"/>
          <w:szCs w:val="24"/>
        </w:rPr>
      </w:pPr>
      <w:r w:rsidRPr="00974C55">
        <w:rPr>
          <w:rFonts w:ascii="Arial" w:hAnsi="Arial" w:cs="Arial"/>
          <w:szCs w:val="24"/>
        </w:rPr>
        <w:t>Table 10.</w:t>
      </w:r>
      <w:r w:rsidR="00616929" w:rsidRPr="00974C55">
        <w:rPr>
          <w:rFonts w:ascii="Arial" w:hAnsi="Arial" w:cs="Arial"/>
          <w:szCs w:val="24"/>
        </w:rPr>
        <w:t>3</w:t>
      </w:r>
      <w:r w:rsidRPr="00974C55">
        <w:rPr>
          <w:rFonts w:ascii="Arial" w:hAnsi="Arial" w:cs="Arial"/>
          <w:szCs w:val="24"/>
        </w:rPr>
        <w:t>: Estimated percentage prevalence of chronic condition</w:t>
      </w:r>
      <w:r w:rsidR="00027872" w:rsidRPr="00974C55">
        <w:rPr>
          <w:rFonts w:ascii="Arial" w:hAnsi="Arial" w:cs="Arial"/>
          <w:szCs w:val="24"/>
        </w:rPr>
        <w:t>s</w:t>
      </w:r>
      <w:r w:rsidRPr="00974C55">
        <w:rPr>
          <w:rFonts w:ascii="Arial" w:hAnsi="Arial" w:cs="Arial"/>
          <w:szCs w:val="24"/>
        </w:rPr>
        <w:t xml:space="preserve"> based on patients on GP practice registers by cluster, local authority, health board and Wales, 2019.</w:t>
      </w:r>
    </w:p>
    <w:tbl>
      <w:tblPr>
        <w:tblW w:w="9678" w:type="dxa"/>
        <w:tblLook w:val="04A0" w:firstRow="1" w:lastRow="0" w:firstColumn="1" w:lastColumn="0" w:noHBand="0" w:noVBand="1"/>
      </w:tblPr>
      <w:tblGrid>
        <w:gridCol w:w="2356"/>
        <w:gridCol w:w="1218"/>
        <w:gridCol w:w="1218"/>
        <w:gridCol w:w="1218"/>
        <w:gridCol w:w="1218"/>
        <w:gridCol w:w="1218"/>
        <w:gridCol w:w="1232"/>
      </w:tblGrid>
      <w:tr w:rsidR="00DA1119" w:rsidRPr="00DA1119" w14:paraId="2A769512" w14:textId="77777777" w:rsidTr="00974C55">
        <w:trPr>
          <w:trHeight w:val="286"/>
        </w:trPr>
        <w:tc>
          <w:tcPr>
            <w:tcW w:w="2356" w:type="dxa"/>
            <w:tcBorders>
              <w:top w:val="single" w:sz="4" w:space="0" w:color="auto"/>
              <w:left w:val="single" w:sz="4" w:space="0" w:color="auto"/>
              <w:bottom w:val="nil"/>
            </w:tcBorders>
            <w:shd w:val="clear" w:color="auto" w:fill="8497B0"/>
            <w:noWrap/>
            <w:vAlign w:val="bottom"/>
            <w:hideMark/>
          </w:tcPr>
          <w:p w14:paraId="7DAB30AF" w14:textId="77777777"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 </w:t>
            </w:r>
          </w:p>
        </w:tc>
        <w:tc>
          <w:tcPr>
            <w:tcW w:w="7322" w:type="dxa"/>
            <w:gridSpan w:val="6"/>
            <w:tcBorders>
              <w:top w:val="single" w:sz="4" w:space="0" w:color="auto"/>
              <w:bottom w:val="single" w:sz="4" w:space="0" w:color="FFFFFF"/>
              <w:right w:val="single" w:sz="4" w:space="0" w:color="auto"/>
            </w:tcBorders>
            <w:shd w:val="clear" w:color="auto" w:fill="8497B0"/>
            <w:noWrap/>
            <w:vAlign w:val="bottom"/>
            <w:hideMark/>
          </w:tcPr>
          <w:p w14:paraId="2B77B564" w14:textId="77777777" w:rsidR="00DA1119" w:rsidRPr="00974C55" w:rsidRDefault="00DA1119" w:rsidP="00DC54F7">
            <w:pPr>
              <w:spacing w:after="0" w:line="240" w:lineRule="auto"/>
              <w:jc w:val="both"/>
              <w:rPr>
                <w:rFonts w:ascii="Calibri" w:eastAsia="Times New Roman" w:hAnsi="Calibri" w:cs="Calibri"/>
                <w:b/>
                <w:bCs/>
                <w:color w:val="FFFFFF"/>
                <w:lang w:eastAsia="en-GB"/>
              </w:rPr>
            </w:pPr>
            <w:r w:rsidRPr="00974C55">
              <w:rPr>
                <w:rFonts w:ascii="Calibri" w:eastAsia="Times New Roman" w:hAnsi="Calibri" w:cs="Calibri"/>
                <w:b/>
                <w:bCs/>
                <w:color w:val="FFFFFF"/>
                <w:lang w:eastAsia="en-GB"/>
              </w:rPr>
              <w:t>Percentage</w:t>
            </w:r>
          </w:p>
        </w:tc>
      </w:tr>
      <w:tr w:rsidR="00DA1119" w:rsidRPr="00DA1119" w14:paraId="4AF61320" w14:textId="77777777" w:rsidTr="00974C55">
        <w:trPr>
          <w:trHeight w:val="1041"/>
        </w:trPr>
        <w:tc>
          <w:tcPr>
            <w:tcW w:w="2356" w:type="dxa"/>
            <w:tcBorders>
              <w:top w:val="nil"/>
              <w:left w:val="single" w:sz="4" w:space="0" w:color="auto"/>
              <w:bottom w:val="nil"/>
              <w:right w:val="nil"/>
            </w:tcBorders>
            <w:shd w:val="clear" w:color="auto" w:fill="8497B0"/>
            <w:noWrap/>
            <w:vAlign w:val="bottom"/>
            <w:hideMark/>
          </w:tcPr>
          <w:p w14:paraId="2241A1EB" w14:textId="77777777" w:rsidR="00DA1119" w:rsidRPr="00974C55" w:rsidRDefault="00DA1119" w:rsidP="00DC54F7">
            <w:pPr>
              <w:spacing w:after="0" w:line="240" w:lineRule="auto"/>
              <w:jc w:val="both"/>
              <w:rPr>
                <w:rFonts w:ascii="Calibri" w:eastAsia="Times New Roman" w:hAnsi="Calibri" w:cs="Calibri"/>
                <w:b/>
                <w:bCs/>
                <w:color w:val="FFFFFF"/>
                <w:lang w:eastAsia="en-GB"/>
              </w:rPr>
            </w:pPr>
            <w:r w:rsidRPr="00974C55">
              <w:rPr>
                <w:rFonts w:ascii="Calibri" w:eastAsia="Times New Roman" w:hAnsi="Calibri" w:cs="Calibri"/>
                <w:b/>
                <w:bCs/>
                <w:color w:val="FFFFFF"/>
                <w:lang w:eastAsia="en-GB"/>
              </w:rPr>
              <w:t>Area</w:t>
            </w:r>
          </w:p>
        </w:tc>
        <w:tc>
          <w:tcPr>
            <w:tcW w:w="1218" w:type="dxa"/>
            <w:tcBorders>
              <w:top w:val="nil"/>
              <w:left w:val="nil"/>
              <w:bottom w:val="nil"/>
              <w:right w:val="nil"/>
            </w:tcBorders>
            <w:shd w:val="clear" w:color="auto" w:fill="8497B0"/>
            <w:vAlign w:val="bottom"/>
            <w:hideMark/>
          </w:tcPr>
          <w:p w14:paraId="4AED67B2" w14:textId="77777777" w:rsidR="00DA1119" w:rsidRPr="00974C55" w:rsidRDefault="00DA1119" w:rsidP="00DC54F7">
            <w:pPr>
              <w:spacing w:after="0" w:line="240" w:lineRule="auto"/>
              <w:jc w:val="both"/>
              <w:rPr>
                <w:rFonts w:ascii="Calibri" w:eastAsia="Times New Roman" w:hAnsi="Calibri" w:cs="Calibri"/>
                <w:b/>
                <w:bCs/>
                <w:color w:val="FFFFFF"/>
                <w:lang w:eastAsia="en-GB"/>
              </w:rPr>
            </w:pPr>
            <w:r w:rsidRPr="00974C55">
              <w:rPr>
                <w:rFonts w:ascii="Calibri" w:eastAsia="Times New Roman" w:hAnsi="Calibri" w:cs="Calibri"/>
                <w:b/>
                <w:bCs/>
                <w:color w:val="FFFFFF"/>
                <w:lang w:eastAsia="en-GB"/>
              </w:rPr>
              <w:t>Asthma</w:t>
            </w:r>
          </w:p>
        </w:tc>
        <w:tc>
          <w:tcPr>
            <w:tcW w:w="1218" w:type="dxa"/>
            <w:tcBorders>
              <w:top w:val="nil"/>
              <w:left w:val="nil"/>
              <w:bottom w:val="nil"/>
              <w:right w:val="nil"/>
            </w:tcBorders>
            <w:shd w:val="clear" w:color="auto" w:fill="8497B0"/>
            <w:vAlign w:val="bottom"/>
            <w:hideMark/>
          </w:tcPr>
          <w:p w14:paraId="10B001C4" w14:textId="77777777" w:rsidR="00DA1119" w:rsidRPr="00974C55" w:rsidRDefault="00DA1119" w:rsidP="00DC54F7">
            <w:pPr>
              <w:spacing w:after="0" w:line="240" w:lineRule="auto"/>
              <w:jc w:val="both"/>
              <w:rPr>
                <w:rFonts w:ascii="Calibri" w:eastAsia="Times New Roman" w:hAnsi="Calibri" w:cs="Calibri"/>
                <w:b/>
                <w:bCs/>
                <w:color w:val="FFFFFF"/>
                <w:lang w:eastAsia="en-GB"/>
              </w:rPr>
            </w:pPr>
            <w:r w:rsidRPr="00974C55">
              <w:rPr>
                <w:rFonts w:ascii="Calibri" w:eastAsia="Times New Roman" w:hAnsi="Calibri" w:cs="Calibri"/>
                <w:b/>
                <w:bCs/>
                <w:color w:val="FFFFFF"/>
                <w:lang w:eastAsia="en-GB"/>
              </w:rPr>
              <w:t>Coronary heart disease</w:t>
            </w:r>
          </w:p>
        </w:tc>
        <w:tc>
          <w:tcPr>
            <w:tcW w:w="1218" w:type="dxa"/>
            <w:tcBorders>
              <w:top w:val="nil"/>
              <w:left w:val="nil"/>
              <w:bottom w:val="nil"/>
              <w:right w:val="nil"/>
            </w:tcBorders>
            <w:shd w:val="clear" w:color="auto" w:fill="8497B0"/>
            <w:vAlign w:val="bottom"/>
            <w:hideMark/>
          </w:tcPr>
          <w:p w14:paraId="4B407779" w14:textId="77777777" w:rsidR="00DA1119" w:rsidRPr="00974C55" w:rsidRDefault="00DA1119" w:rsidP="00DC54F7">
            <w:pPr>
              <w:spacing w:after="0" w:line="240" w:lineRule="auto"/>
              <w:jc w:val="both"/>
              <w:rPr>
                <w:rFonts w:ascii="Calibri" w:eastAsia="Times New Roman" w:hAnsi="Calibri" w:cs="Calibri"/>
                <w:b/>
                <w:bCs/>
                <w:color w:val="FFFFFF"/>
                <w:lang w:eastAsia="en-GB"/>
              </w:rPr>
            </w:pPr>
            <w:r w:rsidRPr="00974C55">
              <w:rPr>
                <w:rFonts w:ascii="Calibri" w:eastAsia="Times New Roman" w:hAnsi="Calibri" w:cs="Calibri"/>
                <w:b/>
                <w:bCs/>
                <w:color w:val="FFFFFF"/>
                <w:lang w:eastAsia="en-GB"/>
              </w:rPr>
              <w:t>COPD</w:t>
            </w:r>
          </w:p>
        </w:tc>
        <w:tc>
          <w:tcPr>
            <w:tcW w:w="1218" w:type="dxa"/>
            <w:tcBorders>
              <w:top w:val="nil"/>
              <w:left w:val="nil"/>
              <w:bottom w:val="nil"/>
              <w:right w:val="nil"/>
            </w:tcBorders>
            <w:shd w:val="clear" w:color="auto" w:fill="8497B0"/>
            <w:vAlign w:val="bottom"/>
            <w:hideMark/>
          </w:tcPr>
          <w:p w14:paraId="03342A70" w14:textId="77777777" w:rsidR="00DA1119" w:rsidRPr="00974C55" w:rsidRDefault="00DA1119" w:rsidP="00DC54F7">
            <w:pPr>
              <w:spacing w:after="0" w:line="240" w:lineRule="auto"/>
              <w:jc w:val="both"/>
              <w:rPr>
                <w:rFonts w:ascii="Calibri" w:eastAsia="Times New Roman" w:hAnsi="Calibri" w:cs="Calibri"/>
                <w:b/>
                <w:bCs/>
                <w:color w:val="FFFFFF"/>
                <w:lang w:eastAsia="en-GB"/>
              </w:rPr>
            </w:pPr>
            <w:r w:rsidRPr="00974C55">
              <w:rPr>
                <w:rFonts w:ascii="Calibri" w:eastAsia="Times New Roman" w:hAnsi="Calibri" w:cs="Calibri"/>
                <w:b/>
                <w:bCs/>
                <w:color w:val="FFFFFF"/>
                <w:lang w:eastAsia="en-GB"/>
              </w:rPr>
              <w:t>Diabetes</w:t>
            </w:r>
          </w:p>
        </w:tc>
        <w:tc>
          <w:tcPr>
            <w:tcW w:w="1218" w:type="dxa"/>
            <w:tcBorders>
              <w:top w:val="nil"/>
              <w:left w:val="nil"/>
              <w:bottom w:val="nil"/>
              <w:right w:val="nil"/>
            </w:tcBorders>
            <w:shd w:val="clear" w:color="auto" w:fill="8497B0"/>
            <w:vAlign w:val="bottom"/>
            <w:hideMark/>
          </w:tcPr>
          <w:p w14:paraId="034CB720" w14:textId="77777777" w:rsidR="00DA1119" w:rsidRPr="00974C55" w:rsidRDefault="00DA1119" w:rsidP="00DC54F7">
            <w:pPr>
              <w:spacing w:after="0" w:line="240" w:lineRule="auto"/>
              <w:jc w:val="both"/>
              <w:rPr>
                <w:rFonts w:ascii="Calibri" w:eastAsia="Times New Roman" w:hAnsi="Calibri" w:cs="Calibri"/>
                <w:b/>
                <w:bCs/>
                <w:color w:val="FFFFFF"/>
                <w:lang w:eastAsia="en-GB"/>
              </w:rPr>
            </w:pPr>
            <w:r w:rsidRPr="00974C55">
              <w:rPr>
                <w:rFonts w:ascii="Calibri" w:eastAsia="Times New Roman" w:hAnsi="Calibri" w:cs="Calibri"/>
                <w:b/>
                <w:bCs/>
                <w:color w:val="FFFFFF"/>
                <w:lang w:eastAsia="en-GB"/>
              </w:rPr>
              <w:t>Heart failure</w:t>
            </w:r>
          </w:p>
        </w:tc>
        <w:tc>
          <w:tcPr>
            <w:tcW w:w="1228" w:type="dxa"/>
            <w:tcBorders>
              <w:top w:val="nil"/>
              <w:left w:val="nil"/>
              <w:bottom w:val="single" w:sz="4" w:space="0" w:color="A9D08E"/>
              <w:right w:val="single" w:sz="4" w:space="0" w:color="auto"/>
            </w:tcBorders>
            <w:shd w:val="clear" w:color="auto" w:fill="8497B0"/>
            <w:vAlign w:val="bottom"/>
            <w:hideMark/>
          </w:tcPr>
          <w:p w14:paraId="3119EF17" w14:textId="77777777" w:rsidR="00DA1119" w:rsidRPr="00974C55" w:rsidRDefault="00DA1119" w:rsidP="00DC54F7">
            <w:pPr>
              <w:spacing w:after="0" w:line="240" w:lineRule="auto"/>
              <w:jc w:val="both"/>
              <w:rPr>
                <w:rFonts w:ascii="Calibri" w:eastAsia="Times New Roman" w:hAnsi="Calibri" w:cs="Calibri"/>
                <w:b/>
                <w:bCs/>
                <w:color w:val="FFFFFF"/>
                <w:lang w:eastAsia="en-GB"/>
              </w:rPr>
            </w:pPr>
            <w:r w:rsidRPr="00974C55">
              <w:rPr>
                <w:rFonts w:ascii="Calibri" w:eastAsia="Times New Roman" w:hAnsi="Calibri" w:cs="Calibri"/>
                <w:b/>
                <w:bCs/>
                <w:color w:val="FFFFFF"/>
                <w:lang w:eastAsia="en-GB"/>
              </w:rPr>
              <w:t>Stroke and transient ischaemic attacks</w:t>
            </w:r>
          </w:p>
        </w:tc>
      </w:tr>
      <w:tr w:rsidR="00A706A4" w:rsidRPr="00DA1119" w14:paraId="37CC9879" w14:textId="77777777" w:rsidTr="00974C55">
        <w:trPr>
          <w:trHeight w:val="286"/>
        </w:trPr>
        <w:tc>
          <w:tcPr>
            <w:tcW w:w="2356" w:type="dxa"/>
            <w:tcBorders>
              <w:top w:val="nil"/>
              <w:left w:val="single" w:sz="4" w:space="0" w:color="auto"/>
              <w:bottom w:val="nil"/>
              <w:right w:val="nil"/>
            </w:tcBorders>
            <w:shd w:val="clear" w:color="auto" w:fill="F2F2F2" w:themeFill="background1" w:themeFillShade="F2"/>
            <w:noWrap/>
            <w:vAlign w:val="bottom"/>
            <w:hideMark/>
          </w:tcPr>
          <w:p w14:paraId="5D4899A6" w14:textId="7FECCD3B"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C</w:t>
            </w:r>
            <w:r w:rsidR="00027872" w:rsidRPr="00974C55">
              <w:rPr>
                <w:rFonts w:ascii="Calibri" w:eastAsia="Times New Roman" w:hAnsi="Calibri" w:cs="Calibri"/>
                <w:color w:val="000000"/>
                <w:lang w:eastAsia="en-GB"/>
              </w:rPr>
              <w:t>ardiff City and South</w:t>
            </w:r>
          </w:p>
        </w:tc>
        <w:tc>
          <w:tcPr>
            <w:tcW w:w="1218" w:type="dxa"/>
            <w:tcBorders>
              <w:top w:val="nil"/>
              <w:left w:val="nil"/>
              <w:bottom w:val="nil"/>
              <w:right w:val="nil"/>
            </w:tcBorders>
            <w:shd w:val="clear" w:color="auto" w:fill="F2F2F2" w:themeFill="background1" w:themeFillShade="F2"/>
            <w:noWrap/>
            <w:vAlign w:val="bottom"/>
            <w:hideMark/>
          </w:tcPr>
          <w:p w14:paraId="453B6C24" w14:textId="755CCDD5"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5.6</w:t>
            </w:r>
          </w:p>
        </w:tc>
        <w:tc>
          <w:tcPr>
            <w:tcW w:w="1218" w:type="dxa"/>
            <w:tcBorders>
              <w:top w:val="nil"/>
              <w:left w:val="nil"/>
              <w:bottom w:val="nil"/>
              <w:right w:val="nil"/>
            </w:tcBorders>
            <w:shd w:val="clear" w:color="auto" w:fill="F2F2F2" w:themeFill="background1" w:themeFillShade="F2"/>
            <w:noWrap/>
            <w:vAlign w:val="bottom"/>
            <w:hideMark/>
          </w:tcPr>
          <w:p w14:paraId="13B07E11" w14:textId="310739E5"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1.9</w:t>
            </w:r>
          </w:p>
        </w:tc>
        <w:tc>
          <w:tcPr>
            <w:tcW w:w="1218" w:type="dxa"/>
            <w:tcBorders>
              <w:top w:val="nil"/>
              <w:left w:val="nil"/>
              <w:bottom w:val="nil"/>
              <w:right w:val="nil"/>
            </w:tcBorders>
            <w:shd w:val="clear" w:color="auto" w:fill="F2F2F2" w:themeFill="background1" w:themeFillShade="F2"/>
            <w:noWrap/>
            <w:vAlign w:val="bottom"/>
            <w:hideMark/>
          </w:tcPr>
          <w:p w14:paraId="74E1159C" w14:textId="0D0BD294"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1.2</w:t>
            </w:r>
          </w:p>
        </w:tc>
        <w:tc>
          <w:tcPr>
            <w:tcW w:w="1218" w:type="dxa"/>
            <w:tcBorders>
              <w:top w:val="nil"/>
              <w:left w:val="nil"/>
              <w:bottom w:val="nil"/>
              <w:right w:val="nil"/>
            </w:tcBorders>
            <w:shd w:val="clear" w:color="auto" w:fill="F2F2F2" w:themeFill="background1" w:themeFillShade="F2"/>
            <w:noWrap/>
            <w:vAlign w:val="bottom"/>
            <w:hideMark/>
          </w:tcPr>
          <w:p w14:paraId="7A06EDCA" w14:textId="57D3D342"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5.5</w:t>
            </w:r>
          </w:p>
        </w:tc>
        <w:tc>
          <w:tcPr>
            <w:tcW w:w="1218" w:type="dxa"/>
            <w:tcBorders>
              <w:top w:val="nil"/>
              <w:left w:val="nil"/>
              <w:bottom w:val="nil"/>
              <w:right w:val="nil"/>
            </w:tcBorders>
            <w:shd w:val="clear" w:color="auto" w:fill="F2F2F2" w:themeFill="background1" w:themeFillShade="F2"/>
            <w:noWrap/>
            <w:vAlign w:val="bottom"/>
            <w:hideMark/>
          </w:tcPr>
          <w:p w14:paraId="76DD62C7" w14:textId="10D81F4F"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0.5</w:t>
            </w:r>
          </w:p>
        </w:tc>
        <w:tc>
          <w:tcPr>
            <w:tcW w:w="1228" w:type="dxa"/>
            <w:tcBorders>
              <w:top w:val="nil"/>
              <w:left w:val="nil"/>
              <w:bottom w:val="nil"/>
              <w:right w:val="single" w:sz="4" w:space="0" w:color="auto"/>
            </w:tcBorders>
            <w:shd w:val="clear" w:color="auto" w:fill="F2F2F2" w:themeFill="background1" w:themeFillShade="F2"/>
            <w:noWrap/>
            <w:vAlign w:val="bottom"/>
            <w:hideMark/>
          </w:tcPr>
          <w:p w14:paraId="26236B00" w14:textId="106B24AC"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1.1</w:t>
            </w:r>
          </w:p>
        </w:tc>
      </w:tr>
      <w:tr w:rsidR="00A706A4" w:rsidRPr="00DA1119" w14:paraId="70BBA2F9" w14:textId="77777777" w:rsidTr="00974C55">
        <w:trPr>
          <w:trHeight w:val="286"/>
        </w:trPr>
        <w:tc>
          <w:tcPr>
            <w:tcW w:w="2356" w:type="dxa"/>
            <w:tcBorders>
              <w:top w:val="nil"/>
              <w:left w:val="single" w:sz="4" w:space="0" w:color="auto"/>
              <w:bottom w:val="nil"/>
              <w:right w:val="nil"/>
            </w:tcBorders>
            <w:shd w:val="clear" w:color="000000" w:fill="FFFFFF"/>
            <w:noWrap/>
            <w:vAlign w:val="bottom"/>
            <w:hideMark/>
          </w:tcPr>
          <w:p w14:paraId="3F0219A5" w14:textId="77777777"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Cardiff</w:t>
            </w:r>
          </w:p>
        </w:tc>
        <w:tc>
          <w:tcPr>
            <w:tcW w:w="1218" w:type="dxa"/>
            <w:tcBorders>
              <w:top w:val="nil"/>
              <w:left w:val="nil"/>
              <w:bottom w:val="nil"/>
              <w:right w:val="nil"/>
            </w:tcBorders>
            <w:shd w:val="clear" w:color="000000" w:fill="FFFFFF"/>
            <w:noWrap/>
            <w:vAlign w:val="bottom"/>
            <w:hideMark/>
          </w:tcPr>
          <w:p w14:paraId="4E9EB7EA" w14:textId="04516C87"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6.6</w:t>
            </w:r>
          </w:p>
        </w:tc>
        <w:tc>
          <w:tcPr>
            <w:tcW w:w="1218" w:type="dxa"/>
            <w:tcBorders>
              <w:top w:val="nil"/>
              <w:left w:val="nil"/>
              <w:bottom w:val="nil"/>
              <w:right w:val="nil"/>
            </w:tcBorders>
            <w:shd w:val="clear" w:color="000000" w:fill="FFFFFF"/>
            <w:noWrap/>
            <w:vAlign w:val="bottom"/>
            <w:hideMark/>
          </w:tcPr>
          <w:p w14:paraId="3A027834" w14:textId="7D44DCBB"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2.5</w:t>
            </w:r>
          </w:p>
        </w:tc>
        <w:tc>
          <w:tcPr>
            <w:tcW w:w="1218" w:type="dxa"/>
            <w:tcBorders>
              <w:top w:val="nil"/>
              <w:left w:val="nil"/>
              <w:bottom w:val="nil"/>
              <w:right w:val="nil"/>
            </w:tcBorders>
            <w:shd w:val="clear" w:color="000000" w:fill="FFFFFF"/>
            <w:noWrap/>
            <w:vAlign w:val="bottom"/>
            <w:hideMark/>
          </w:tcPr>
          <w:p w14:paraId="0BCA47D3" w14:textId="199A3CC7"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1.6</w:t>
            </w:r>
          </w:p>
        </w:tc>
        <w:tc>
          <w:tcPr>
            <w:tcW w:w="1218" w:type="dxa"/>
            <w:tcBorders>
              <w:top w:val="nil"/>
              <w:left w:val="nil"/>
              <w:bottom w:val="nil"/>
              <w:right w:val="nil"/>
            </w:tcBorders>
            <w:shd w:val="clear" w:color="000000" w:fill="FFFFFF"/>
            <w:noWrap/>
            <w:vAlign w:val="bottom"/>
            <w:hideMark/>
          </w:tcPr>
          <w:p w14:paraId="6A321077" w14:textId="745C6AA8"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4.9</w:t>
            </w:r>
          </w:p>
        </w:tc>
        <w:tc>
          <w:tcPr>
            <w:tcW w:w="1218" w:type="dxa"/>
            <w:tcBorders>
              <w:top w:val="nil"/>
              <w:left w:val="nil"/>
              <w:bottom w:val="nil"/>
              <w:right w:val="nil"/>
            </w:tcBorders>
            <w:shd w:val="clear" w:color="000000" w:fill="FFFFFF"/>
            <w:noWrap/>
            <w:vAlign w:val="bottom"/>
            <w:hideMark/>
          </w:tcPr>
          <w:p w14:paraId="1DAE8285" w14:textId="4E35CCE0"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0.8</w:t>
            </w:r>
          </w:p>
        </w:tc>
        <w:tc>
          <w:tcPr>
            <w:tcW w:w="1228" w:type="dxa"/>
            <w:tcBorders>
              <w:top w:val="nil"/>
              <w:left w:val="nil"/>
              <w:bottom w:val="nil"/>
              <w:right w:val="single" w:sz="4" w:space="0" w:color="auto"/>
            </w:tcBorders>
            <w:shd w:val="clear" w:color="000000" w:fill="FFFFFF"/>
            <w:noWrap/>
            <w:vAlign w:val="bottom"/>
            <w:hideMark/>
          </w:tcPr>
          <w:p w14:paraId="4AD1E143" w14:textId="796A9975"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1.6</w:t>
            </w:r>
          </w:p>
        </w:tc>
      </w:tr>
      <w:tr w:rsidR="00A706A4" w:rsidRPr="00DA1119" w14:paraId="01334E05" w14:textId="77777777" w:rsidTr="00974C55">
        <w:trPr>
          <w:trHeight w:val="286"/>
        </w:trPr>
        <w:tc>
          <w:tcPr>
            <w:tcW w:w="2356" w:type="dxa"/>
            <w:tcBorders>
              <w:top w:val="nil"/>
              <w:left w:val="single" w:sz="4" w:space="0" w:color="auto"/>
              <w:bottom w:val="nil"/>
              <w:right w:val="nil"/>
            </w:tcBorders>
            <w:shd w:val="clear" w:color="000000" w:fill="F2F2F2"/>
            <w:noWrap/>
            <w:vAlign w:val="bottom"/>
            <w:hideMark/>
          </w:tcPr>
          <w:p w14:paraId="69683047" w14:textId="77777777"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Cardiff and Vale UHB</w:t>
            </w:r>
          </w:p>
        </w:tc>
        <w:tc>
          <w:tcPr>
            <w:tcW w:w="1218" w:type="dxa"/>
            <w:tcBorders>
              <w:top w:val="nil"/>
              <w:left w:val="nil"/>
              <w:bottom w:val="nil"/>
              <w:right w:val="nil"/>
            </w:tcBorders>
            <w:shd w:val="clear" w:color="000000" w:fill="F2F2F2"/>
            <w:noWrap/>
            <w:vAlign w:val="bottom"/>
            <w:hideMark/>
          </w:tcPr>
          <w:p w14:paraId="5D10FD84" w14:textId="42BD2C2B"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6.7</w:t>
            </w:r>
          </w:p>
        </w:tc>
        <w:tc>
          <w:tcPr>
            <w:tcW w:w="1218" w:type="dxa"/>
            <w:tcBorders>
              <w:top w:val="nil"/>
              <w:left w:val="nil"/>
              <w:bottom w:val="nil"/>
              <w:right w:val="nil"/>
            </w:tcBorders>
            <w:shd w:val="clear" w:color="000000" w:fill="F2F2F2"/>
            <w:noWrap/>
            <w:vAlign w:val="bottom"/>
            <w:hideMark/>
          </w:tcPr>
          <w:p w14:paraId="6FDA961B" w14:textId="55D4EA44"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2.7</w:t>
            </w:r>
          </w:p>
        </w:tc>
        <w:tc>
          <w:tcPr>
            <w:tcW w:w="1218" w:type="dxa"/>
            <w:tcBorders>
              <w:top w:val="nil"/>
              <w:left w:val="nil"/>
              <w:bottom w:val="nil"/>
              <w:right w:val="nil"/>
            </w:tcBorders>
            <w:shd w:val="clear" w:color="000000" w:fill="F2F2F2"/>
            <w:noWrap/>
            <w:vAlign w:val="bottom"/>
            <w:hideMark/>
          </w:tcPr>
          <w:p w14:paraId="2FBD6BE4" w14:textId="4D1A5CEF"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1.7</w:t>
            </w:r>
          </w:p>
        </w:tc>
        <w:tc>
          <w:tcPr>
            <w:tcW w:w="1218" w:type="dxa"/>
            <w:tcBorders>
              <w:top w:val="nil"/>
              <w:left w:val="nil"/>
              <w:bottom w:val="nil"/>
              <w:right w:val="nil"/>
            </w:tcBorders>
            <w:shd w:val="clear" w:color="000000" w:fill="F2F2F2"/>
            <w:noWrap/>
            <w:vAlign w:val="bottom"/>
            <w:hideMark/>
          </w:tcPr>
          <w:p w14:paraId="10E0DAD4" w14:textId="1874AD83"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5.0</w:t>
            </w:r>
          </w:p>
        </w:tc>
        <w:tc>
          <w:tcPr>
            <w:tcW w:w="1218" w:type="dxa"/>
            <w:tcBorders>
              <w:top w:val="nil"/>
              <w:left w:val="nil"/>
              <w:bottom w:val="nil"/>
              <w:right w:val="nil"/>
            </w:tcBorders>
            <w:shd w:val="clear" w:color="000000" w:fill="F2F2F2"/>
            <w:noWrap/>
            <w:vAlign w:val="bottom"/>
            <w:hideMark/>
          </w:tcPr>
          <w:p w14:paraId="1D37B80E" w14:textId="0101898A"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0.9</w:t>
            </w:r>
          </w:p>
        </w:tc>
        <w:tc>
          <w:tcPr>
            <w:tcW w:w="1228" w:type="dxa"/>
            <w:tcBorders>
              <w:top w:val="nil"/>
              <w:left w:val="nil"/>
              <w:bottom w:val="nil"/>
              <w:right w:val="single" w:sz="4" w:space="0" w:color="auto"/>
            </w:tcBorders>
            <w:shd w:val="clear" w:color="000000" w:fill="F2F2F2"/>
            <w:noWrap/>
            <w:vAlign w:val="bottom"/>
            <w:hideMark/>
          </w:tcPr>
          <w:p w14:paraId="7D9CBE09" w14:textId="098E2431"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1.7</w:t>
            </w:r>
          </w:p>
        </w:tc>
      </w:tr>
      <w:tr w:rsidR="00A706A4" w:rsidRPr="00DA1119" w14:paraId="3CCD7BD1" w14:textId="77777777" w:rsidTr="00974C55">
        <w:trPr>
          <w:trHeight w:val="286"/>
        </w:trPr>
        <w:tc>
          <w:tcPr>
            <w:tcW w:w="2356" w:type="dxa"/>
            <w:tcBorders>
              <w:top w:val="nil"/>
              <w:left w:val="single" w:sz="4" w:space="0" w:color="auto"/>
              <w:bottom w:val="single" w:sz="4" w:space="0" w:color="auto"/>
              <w:right w:val="nil"/>
            </w:tcBorders>
            <w:shd w:val="clear" w:color="000000" w:fill="FFFFFF"/>
            <w:noWrap/>
            <w:vAlign w:val="bottom"/>
            <w:hideMark/>
          </w:tcPr>
          <w:p w14:paraId="2844B4EA" w14:textId="77777777"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Wales</w:t>
            </w:r>
          </w:p>
        </w:tc>
        <w:tc>
          <w:tcPr>
            <w:tcW w:w="1218" w:type="dxa"/>
            <w:tcBorders>
              <w:top w:val="nil"/>
              <w:left w:val="nil"/>
              <w:bottom w:val="single" w:sz="4" w:space="0" w:color="auto"/>
              <w:right w:val="nil"/>
            </w:tcBorders>
            <w:shd w:val="clear" w:color="000000" w:fill="FFFFFF"/>
            <w:noWrap/>
            <w:vAlign w:val="bottom"/>
            <w:hideMark/>
          </w:tcPr>
          <w:p w14:paraId="6EDD3718" w14:textId="6E543F24"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7.1</w:t>
            </w:r>
          </w:p>
        </w:tc>
        <w:tc>
          <w:tcPr>
            <w:tcW w:w="1218" w:type="dxa"/>
            <w:tcBorders>
              <w:top w:val="nil"/>
              <w:left w:val="nil"/>
              <w:bottom w:val="single" w:sz="4" w:space="0" w:color="auto"/>
              <w:right w:val="nil"/>
            </w:tcBorders>
            <w:shd w:val="clear" w:color="000000" w:fill="FFFFFF"/>
            <w:noWrap/>
            <w:vAlign w:val="bottom"/>
            <w:hideMark/>
          </w:tcPr>
          <w:p w14:paraId="37978101" w14:textId="642C281D"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3.6</w:t>
            </w:r>
          </w:p>
        </w:tc>
        <w:tc>
          <w:tcPr>
            <w:tcW w:w="1218" w:type="dxa"/>
            <w:tcBorders>
              <w:top w:val="nil"/>
              <w:left w:val="nil"/>
              <w:bottom w:val="single" w:sz="4" w:space="0" w:color="auto"/>
              <w:right w:val="nil"/>
            </w:tcBorders>
            <w:shd w:val="clear" w:color="000000" w:fill="FFFFFF"/>
            <w:noWrap/>
            <w:vAlign w:val="bottom"/>
            <w:hideMark/>
          </w:tcPr>
          <w:p w14:paraId="4A3CC72C" w14:textId="076C10F9"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2.4</w:t>
            </w:r>
          </w:p>
        </w:tc>
        <w:tc>
          <w:tcPr>
            <w:tcW w:w="1218" w:type="dxa"/>
            <w:tcBorders>
              <w:top w:val="nil"/>
              <w:left w:val="nil"/>
              <w:bottom w:val="single" w:sz="4" w:space="0" w:color="auto"/>
              <w:right w:val="nil"/>
            </w:tcBorders>
            <w:shd w:val="clear" w:color="000000" w:fill="FFFFFF"/>
            <w:noWrap/>
            <w:vAlign w:val="bottom"/>
            <w:hideMark/>
          </w:tcPr>
          <w:p w14:paraId="18B1CB96" w14:textId="4F314571"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6.1</w:t>
            </w:r>
          </w:p>
        </w:tc>
        <w:tc>
          <w:tcPr>
            <w:tcW w:w="1218" w:type="dxa"/>
            <w:tcBorders>
              <w:top w:val="nil"/>
              <w:left w:val="nil"/>
              <w:bottom w:val="single" w:sz="4" w:space="0" w:color="auto"/>
              <w:right w:val="nil"/>
            </w:tcBorders>
            <w:shd w:val="clear" w:color="000000" w:fill="FFFFFF"/>
            <w:noWrap/>
            <w:vAlign w:val="bottom"/>
            <w:hideMark/>
          </w:tcPr>
          <w:p w14:paraId="77DC02D8" w14:textId="330636A5"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1.1</w:t>
            </w:r>
          </w:p>
        </w:tc>
        <w:tc>
          <w:tcPr>
            <w:tcW w:w="1228" w:type="dxa"/>
            <w:tcBorders>
              <w:top w:val="nil"/>
              <w:left w:val="nil"/>
              <w:bottom w:val="single" w:sz="4" w:space="0" w:color="auto"/>
              <w:right w:val="single" w:sz="4" w:space="0" w:color="auto"/>
            </w:tcBorders>
            <w:shd w:val="clear" w:color="000000" w:fill="FFFFFF"/>
            <w:noWrap/>
            <w:vAlign w:val="bottom"/>
            <w:hideMark/>
          </w:tcPr>
          <w:p w14:paraId="4E661200" w14:textId="2D0F1F47" w:rsidR="00DA1119" w:rsidRPr="00974C55" w:rsidRDefault="00DA1119" w:rsidP="00DC54F7">
            <w:pPr>
              <w:spacing w:after="0" w:line="240" w:lineRule="auto"/>
              <w:jc w:val="both"/>
              <w:rPr>
                <w:rFonts w:ascii="Calibri" w:eastAsia="Times New Roman" w:hAnsi="Calibri" w:cs="Calibri"/>
                <w:color w:val="000000"/>
                <w:lang w:eastAsia="en-GB"/>
              </w:rPr>
            </w:pPr>
            <w:r w:rsidRPr="00974C55">
              <w:rPr>
                <w:rFonts w:ascii="Calibri" w:eastAsia="Times New Roman" w:hAnsi="Calibri" w:cs="Calibri"/>
                <w:color w:val="000000"/>
                <w:lang w:eastAsia="en-GB"/>
              </w:rPr>
              <w:t>2.1</w:t>
            </w:r>
          </w:p>
        </w:tc>
      </w:tr>
    </w:tbl>
    <w:p w14:paraId="23C7549F" w14:textId="77777777" w:rsidR="003C7DC1" w:rsidRPr="00462D72" w:rsidRDefault="003C7DC1" w:rsidP="00DC54F7">
      <w:pPr>
        <w:jc w:val="both"/>
        <w:rPr>
          <w:rFonts w:ascii="Arial" w:hAnsi="Arial" w:cs="Arial"/>
          <w:sz w:val="20"/>
          <w:szCs w:val="20"/>
        </w:rPr>
      </w:pPr>
      <w:r w:rsidRPr="00462D72">
        <w:rPr>
          <w:rFonts w:ascii="Arial" w:hAnsi="Arial" w:cs="Arial"/>
          <w:sz w:val="20"/>
          <w:szCs w:val="20"/>
        </w:rPr>
        <w:t>Source: QOF 2019</w:t>
      </w:r>
    </w:p>
    <w:p w14:paraId="79266386" w14:textId="7AF07B76" w:rsidR="00BE1AEA" w:rsidRPr="00462D72" w:rsidRDefault="00BE1AEA" w:rsidP="00DC54F7">
      <w:pPr>
        <w:spacing w:after="0" w:line="240" w:lineRule="auto"/>
        <w:jc w:val="both"/>
        <w:rPr>
          <w:rFonts w:ascii="Arial" w:hAnsi="Arial" w:cs="Arial"/>
          <w:sz w:val="24"/>
          <w:szCs w:val="24"/>
        </w:rPr>
      </w:pPr>
      <w:r w:rsidRPr="00462D72">
        <w:rPr>
          <w:rFonts w:ascii="Arial" w:hAnsi="Arial" w:cs="Arial"/>
          <w:sz w:val="24"/>
          <w:szCs w:val="24"/>
        </w:rPr>
        <w:lastRenderedPageBreak/>
        <w:t xml:space="preserve">The estimated prevalence of dementia in Cardiff </w:t>
      </w:r>
      <w:r w:rsidR="00CF326C" w:rsidRPr="00462D72">
        <w:rPr>
          <w:rFonts w:ascii="Arial" w:hAnsi="Arial" w:cs="Arial"/>
          <w:sz w:val="24"/>
          <w:szCs w:val="24"/>
        </w:rPr>
        <w:t xml:space="preserve">City and </w:t>
      </w:r>
      <w:r w:rsidRPr="00462D72">
        <w:rPr>
          <w:rFonts w:ascii="Arial" w:hAnsi="Arial" w:cs="Arial"/>
          <w:sz w:val="24"/>
          <w:szCs w:val="24"/>
        </w:rPr>
        <w:t>South cluster is lower than the average for Wales and the health board. The estimated prevalence of mental health conditions is higher than the average for Wales and is the highest of all the clusters in the health board</w:t>
      </w:r>
      <w:r w:rsidR="008E1C6F" w:rsidRPr="00462D72">
        <w:rPr>
          <w:rFonts w:ascii="Arial" w:hAnsi="Arial" w:cs="Arial"/>
          <w:sz w:val="24"/>
          <w:szCs w:val="24"/>
        </w:rPr>
        <w:t>.</w:t>
      </w:r>
    </w:p>
    <w:p w14:paraId="65EAFAB9" w14:textId="6CAC1295" w:rsidR="00C44E1E" w:rsidRDefault="00C44E1E" w:rsidP="00DC54F7">
      <w:pPr>
        <w:spacing w:after="0" w:line="240" w:lineRule="auto"/>
        <w:jc w:val="both"/>
        <w:rPr>
          <w:rFonts w:ascii="Arial" w:hAnsi="Arial" w:cs="Arial"/>
        </w:rPr>
      </w:pPr>
    </w:p>
    <w:p w14:paraId="2051DD36" w14:textId="23BE672E" w:rsidR="00733ACE" w:rsidRPr="00462D72" w:rsidRDefault="00733ACE" w:rsidP="00DC54F7">
      <w:pPr>
        <w:spacing w:after="0" w:line="240" w:lineRule="auto"/>
        <w:jc w:val="both"/>
        <w:rPr>
          <w:sz w:val="24"/>
          <w:szCs w:val="24"/>
        </w:rPr>
      </w:pPr>
      <w:r w:rsidRPr="00462D72">
        <w:rPr>
          <w:rFonts w:ascii="Arial" w:hAnsi="Arial" w:cs="Arial"/>
          <w:b/>
          <w:bCs/>
          <w:sz w:val="24"/>
          <w:szCs w:val="24"/>
        </w:rPr>
        <w:t>Table 10.</w:t>
      </w:r>
      <w:r w:rsidR="00616929" w:rsidRPr="00462D72">
        <w:rPr>
          <w:rFonts w:ascii="Arial" w:hAnsi="Arial" w:cs="Arial"/>
          <w:b/>
          <w:bCs/>
          <w:sz w:val="24"/>
          <w:szCs w:val="24"/>
        </w:rPr>
        <w:t>4</w:t>
      </w:r>
      <w:r w:rsidRPr="00462D72">
        <w:rPr>
          <w:rFonts w:ascii="Arial" w:hAnsi="Arial" w:cs="Arial"/>
          <w:b/>
          <w:bCs/>
          <w:sz w:val="24"/>
          <w:szCs w:val="24"/>
        </w:rPr>
        <w:t>: Percentage of patients registered as having a mental health condition, and dementia by cluster, local authority, health board and Wales, 2019</w:t>
      </w:r>
    </w:p>
    <w:tbl>
      <w:tblPr>
        <w:tblW w:w="9330"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110"/>
        <w:gridCol w:w="3110"/>
        <w:gridCol w:w="3110"/>
      </w:tblGrid>
      <w:tr w:rsidR="00882209" w:rsidRPr="00882209" w14:paraId="4086F085" w14:textId="77777777" w:rsidTr="00A40705">
        <w:trPr>
          <w:trHeight w:val="268"/>
        </w:trPr>
        <w:tc>
          <w:tcPr>
            <w:tcW w:w="3110" w:type="dxa"/>
            <w:shd w:val="clear" w:color="auto" w:fill="8497B0"/>
            <w:noWrap/>
            <w:vAlign w:val="bottom"/>
            <w:hideMark/>
          </w:tcPr>
          <w:p w14:paraId="726DC548" w14:textId="77777777" w:rsidR="00882209" w:rsidRPr="00174CB8" w:rsidRDefault="00882209" w:rsidP="00DC54F7">
            <w:pPr>
              <w:spacing w:after="0" w:line="240" w:lineRule="auto"/>
              <w:jc w:val="both"/>
              <w:rPr>
                <w:rFonts w:ascii="Calibri" w:eastAsia="Times New Roman" w:hAnsi="Calibri" w:cs="Times New Roman"/>
                <w:color w:val="000000"/>
                <w:lang w:eastAsia="en-GB"/>
              </w:rPr>
            </w:pPr>
            <w:r w:rsidRPr="00174CB8">
              <w:rPr>
                <w:rFonts w:ascii="Calibri" w:eastAsia="Times New Roman" w:hAnsi="Calibri" w:cs="Times New Roman"/>
                <w:color w:val="000000"/>
                <w:lang w:eastAsia="en-GB"/>
              </w:rPr>
              <w:t> </w:t>
            </w:r>
          </w:p>
        </w:tc>
        <w:tc>
          <w:tcPr>
            <w:tcW w:w="3110" w:type="dxa"/>
            <w:shd w:val="clear" w:color="auto" w:fill="8497B0"/>
            <w:noWrap/>
            <w:vAlign w:val="bottom"/>
            <w:hideMark/>
          </w:tcPr>
          <w:p w14:paraId="783640E8" w14:textId="77777777" w:rsidR="00882209" w:rsidRPr="00174CB8" w:rsidRDefault="00882209" w:rsidP="00DC54F7">
            <w:pPr>
              <w:spacing w:after="0" w:line="240" w:lineRule="auto"/>
              <w:jc w:val="both"/>
              <w:rPr>
                <w:rFonts w:ascii="Calibri" w:eastAsia="Times New Roman" w:hAnsi="Calibri" w:cs="Times New Roman"/>
                <w:b/>
                <w:bCs/>
                <w:color w:val="FFFFFF"/>
                <w:lang w:eastAsia="en-GB"/>
              </w:rPr>
            </w:pPr>
            <w:r w:rsidRPr="00174CB8">
              <w:rPr>
                <w:rFonts w:ascii="Calibri" w:eastAsia="Times New Roman" w:hAnsi="Calibri" w:cs="Times New Roman"/>
                <w:b/>
                <w:bCs/>
                <w:color w:val="FFFFFF"/>
                <w:lang w:eastAsia="en-GB"/>
              </w:rPr>
              <w:t>Dementia (percentage)</w:t>
            </w:r>
          </w:p>
        </w:tc>
        <w:tc>
          <w:tcPr>
            <w:tcW w:w="3110" w:type="dxa"/>
            <w:shd w:val="clear" w:color="auto" w:fill="8497B0"/>
            <w:noWrap/>
            <w:vAlign w:val="bottom"/>
            <w:hideMark/>
          </w:tcPr>
          <w:p w14:paraId="5464F7E5" w14:textId="77777777" w:rsidR="00882209" w:rsidRPr="00174CB8" w:rsidRDefault="00882209" w:rsidP="00DC54F7">
            <w:pPr>
              <w:spacing w:after="0" w:line="240" w:lineRule="auto"/>
              <w:jc w:val="both"/>
              <w:rPr>
                <w:rFonts w:ascii="Calibri" w:eastAsia="Times New Roman" w:hAnsi="Calibri" w:cs="Times New Roman"/>
                <w:b/>
                <w:bCs/>
                <w:color w:val="FFFFFF"/>
                <w:lang w:eastAsia="en-GB"/>
              </w:rPr>
            </w:pPr>
            <w:r w:rsidRPr="00174CB8">
              <w:rPr>
                <w:rFonts w:ascii="Calibri" w:eastAsia="Times New Roman" w:hAnsi="Calibri" w:cs="Times New Roman"/>
                <w:b/>
                <w:bCs/>
                <w:color w:val="FFFFFF"/>
                <w:lang w:eastAsia="en-GB"/>
              </w:rPr>
              <w:t>Mental Health (percentage)</w:t>
            </w:r>
          </w:p>
        </w:tc>
      </w:tr>
      <w:tr w:rsidR="00882209" w:rsidRPr="00882209" w14:paraId="39F91AE4" w14:textId="77777777" w:rsidTr="00A40705">
        <w:trPr>
          <w:trHeight w:val="268"/>
        </w:trPr>
        <w:tc>
          <w:tcPr>
            <w:tcW w:w="3110" w:type="dxa"/>
            <w:shd w:val="clear" w:color="auto" w:fill="F2F2F2" w:themeFill="background1" w:themeFillShade="F2"/>
            <w:noWrap/>
            <w:vAlign w:val="bottom"/>
            <w:hideMark/>
          </w:tcPr>
          <w:p w14:paraId="13C6007A" w14:textId="4BB652FD" w:rsidR="00882209" w:rsidRPr="00174CB8" w:rsidRDefault="00882209" w:rsidP="00DC54F7">
            <w:pPr>
              <w:spacing w:after="0" w:line="240" w:lineRule="auto"/>
              <w:jc w:val="both"/>
              <w:rPr>
                <w:rFonts w:ascii="Calibri" w:eastAsia="Times New Roman" w:hAnsi="Calibri" w:cs="Times New Roman"/>
                <w:color w:val="000000"/>
                <w:lang w:eastAsia="en-GB"/>
              </w:rPr>
            </w:pPr>
            <w:r w:rsidRPr="00174CB8">
              <w:rPr>
                <w:rFonts w:ascii="Calibri" w:eastAsia="Times New Roman" w:hAnsi="Calibri" w:cs="Times New Roman"/>
                <w:color w:val="000000"/>
                <w:lang w:eastAsia="en-GB"/>
              </w:rPr>
              <w:t xml:space="preserve">Cardiff </w:t>
            </w:r>
            <w:r w:rsidR="008D3511" w:rsidRPr="00174CB8">
              <w:rPr>
                <w:rFonts w:ascii="Calibri" w:eastAsia="Times New Roman" w:hAnsi="Calibri" w:cs="Times New Roman"/>
                <w:color w:val="000000"/>
                <w:lang w:eastAsia="en-GB"/>
              </w:rPr>
              <w:t xml:space="preserve">City &amp; </w:t>
            </w:r>
            <w:r w:rsidRPr="00174CB8">
              <w:rPr>
                <w:rFonts w:ascii="Calibri" w:eastAsia="Times New Roman" w:hAnsi="Calibri" w:cs="Times New Roman"/>
                <w:color w:val="000000"/>
                <w:lang w:eastAsia="en-GB"/>
              </w:rPr>
              <w:t>South</w:t>
            </w:r>
          </w:p>
        </w:tc>
        <w:tc>
          <w:tcPr>
            <w:tcW w:w="3110" w:type="dxa"/>
            <w:shd w:val="clear" w:color="auto" w:fill="F2F2F2" w:themeFill="background1" w:themeFillShade="F2"/>
            <w:noWrap/>
            <w:vAlign w:val="bottom"/>
            <w:hideMark/>
          </w:tcPr>
          <w:p w14:paraId="2E0CF9D9" w14:textId="391D6CDE" w:rsidR="00882209" w:rsidRPr="00174CB8" w:rsidRDefault="00882209" w:rsidP="00DC54F7">
            <w:pPr>
              <w:spacing w:after="0" w:line="240" w:lineRule="auto"/>
              <w:jc w:val="both"/>
              <w:rPr>
                <w:rFonts w:ascii="Calibri" w:eastAsia="Times New Roman" w:hAnsi="Calibri" w:cs="Times New Roman"/>
                <w:color w:val="000000"/>
                <w:lang w:eastAsia="en-GB"/>
              </w:rPr>
            </w:pPr>
            <w:r w:rsidRPr="00174CB8">
              <w:rPr>
                <w:rFonts w:ascii="Calibri" w:eastAsia="Times New Roman" w:hAnsi="Calibri" w:cs="Times New Roman"/>
                <w:color w:val="000000"/>
                <w:lang w:eastAsia="en-GB"/>
              </w:rPr>
              <w:t>0.6</w:t>
            </w:r>
          </w:p>
        </w:tc>
        <w:tc>
          <w:tcPr>
            <w:tcW w:w="3110" w:type="dxa"/>
            <w:shd w:val="clear" w:color="auto" w:fill="F2F2F2" w:themeFill="background1" w:themeFillShade="F2"/>
            <w:noWrap/>
            <w:vAlign w:val="bottom"/>
            <w:hideMark/>
          </w:tcPr>
          <w:p w14:paraId="42D9D625" w14:textId="5EF2680F" w:rsidR="00882209" w:rsidRPr="00174CB8" w:rsidRDefault="00882209" w:rsidP="00DC54F7">
            <w:pPr>
              <w:spacing w:after="0" w:line="240" w:lineRule="auto"/>
              <w:jc w:val="both"/>
              <w:rPr>
                <w:rFonts w:ascii="Calibri" w:eastAsia="Times New Roman" w:hAnsi="Calibri" w:cs="Times New Roman"/>
                <w:color w:val="000000"/>
                <w:lang w:eastAsia="en-GB"/>
              </w:rPr>
            </w:pPr>
            <w:r w:rsidRPr="00174CB8">
              <w:rPr>
                <w:rFonts w:ascii="Calibri" w:eastAsia="Times New Roman" w:hAnsi="Calibri" w:cs="Times New Roman"/>
                <w:color w:val="000000"/>
                <w:lang w:eastAsia="en-GB"/>
              </w:rPr>
              <w:t>1.2</w:t>
            </w:r>
          </w:p>
        </w:tc>
      </w:tr>
      <w:tr w:rsidR="00882209" w:rsidRPr="00882209" w14:paraId="188DDB27" w14:textId="77777777" w:rsidTr="00A40705">
        <w:trPr>
          <w:trHeight w:val="268"/>
        </w:trPr>
        <w:tc>
          <w:tcPr>
            <w:tcW w:w="3110" w:type="dxa"/>
            <w:shd w:val="clear" w:color="auto" w:fill="FFFFFF" w:themeFill="background1"/>
            <w:vAlign w:val="bottom"/>
            <w:hideMark/>
          </w:tcPr>
          <w:p w14:paraId="24896151" w14:textId="77777777" w:rsidR="00882209" w:rsidRPr="00174CB8" w:rsidRDefault="00882209" w:rsidP="00DC54F7">
            <w:pPr>
              <w:spacing w:after="0" w:line="240" w:lineRule="auto"/>
              <w:jc w:val="both"/>
              <w:rPr>
                <w:rFonts w:ascii="Calibri" w:eastAsia="Times New Roman" w:hAnsi="Calibri" w:cs="Times New Roman"/>
                <w:lang w:eastAsia="en-GB"/>
              </w:rPr>
            </w:pPr>
            <w:r w:rsidRPr="00174CB8">
              <w:rPr>
                <w:rFonts w:ascii="Calibri" w:eastAsia="Times New Roman" w:hAnsi="Calibri" w:cs="Times New Roman"/>
                <w:lang w:eastAsia="en-GB"/>
              </w:rPr>
              <w:t>Cardiff</w:t>
            </w:r>
          </w:p>
        </w:tc>
        <w:tc>
          <w:tcPr>
            <w:tcW w:w="3110" w:type="dxa"/>
            <w:shd w:val="clear" w:color="auto" w:fill="FFFFFF" w:themeFill="background1"/>
            <w:noWrap/>
            <w:vAlign w:val="bottom"/>
            <w:hideMark/>
          </w:tcPr>
          <w:p w14:paraId="456714A7" w14:textId="38E66068" w:rsidR="00882209" w:rsidRPr="00174CB8" w:rsidRDefault="00882209" w:rsidP="00DC54F7">
            <w:pPr>
              <w:spacing w:after="0" w:line="240" w:lineRule="auto"/>
              <w:jc w:val="both"/>
              <w:rPr>
                <w:rFonts w:ascii="Calibri" w:eastAsia="Times New Roman" w:hAnsi="Calibri" w:cs="Times New Roman"/>
                <w:color w:val="000000"/>
                <w:lang w:eastAsia="en-GB"/>
              </w:rPr>
            </w:pPr>
            <w:r w:rsidRPr="00174CB8">
              <w:rPr>
                <w:rFonts w:ascii="Calibri" w:eastAsia="Times New Roman" w:hAnsi="Calibri" w:cs="Times New Roman"/>
                <w:color w:val="000000"/>
                <w:lang w:eastAsia="en-GB"/>
              </w:rPr>
              <w:t>0.6</w:t>
            </w:r>
          </w:p>
        </w:tc>
        <w:tc>
          <w:tcPr>
            <w:tcW w:w="3110" w:type="dxa"/>
            <w:shd w:val="clear" w:color="auto" w:fill="FFFFFF" w:themeFill="background1"/>
            <w:noWrap/>
            <w:vAlign w:val="bottom"/>
            <w:hideMark/>
          </w:tcPr>
          <w:p w14:paraId="1E90154D" w14:textId="148EEFE7" w:rsidR="00882209" w:rsidRPr="00174CB8" w:rsidRDefault="00882209" w:rsidP="00DC54F7">
            <w:pPr>
              <w:spacing w:after="0" w:line="240" w:lineRule="auto"/>
              <w:jc w:val="both"/>
              <w:rPr>
                <w:rFonts w:ascii="Calibri" w:eastAsia="Times New Roman" w:hAnsi="Calibri" w:cs="Times New Roman"/>
                <w:color w:val="000000"/>
                <w:lang w:eastAsia="en-GB"/>
              </w:rPr>
            </w:pPr>
            <w:r w:rsidRPr="00174CB8">
              <w:rPr>
                <w:rFonts w:ascii="Calibri" w:eastAsia="Times New Roman" w:hAnsi="Calibri" w:cs="Times New Roman"/>
                <w:color w:val="000000"/>
                <w:lang w:eastAsia="en-GB"/>
              </w:rPr>
              <w:t>0.9</w:t>
            </w:r>
          </w:p>
        </w:tc>
      </w:tr>
      <w:tr w:rsidR="00882209" w:rsidRPr="00882209" w14:paraId="6CE22B59" w14:textId="77777777" w:rsidTr="00A40705">
        <w:trPr>
          <w:trHeight w:val="268"/>
        </w:trPr>
        <w:tc>
          <w:tcPr>
            <w:tcW w:w="3110" w:type="dxa"/>
            <w:shd w:val="clear" w:color="auto" w:fill="F2F2F2" w:themeFill="background1" w:themeFillShade="F2"/>
            <w:vAlign w:val="bottom"/>
            <w:hideMark/>
          </w:tcPr>
          <w:p w14:paraId="151D3924" w14:textId="77777777" w:rsidR="00882209" w:rsidRPr="00174CB8" w:rsidRDefault="00882209" w:rsidP="00DC54F7">
            <w:pPr>
              <w:spacing w:after="0" w:line="240" w:lineRule="auto"/>
              <w:jc w:val="both"/>
              <w:rPr>
                <w:rFonts w:ascii="Calibri" w:eastAsia="Times New Roman" w:hAnsi="Calibri" w:cs="Times New Roman"/>
                <w:lang w:eastAsia="en-GB"/>
              </w:rPr>
            </w:pPr>
            <w:r w:rsidRPr="00174CB8">
              <w:rPr>
                <w:rFonts w:ascii="Calibri" w:eastAsia="Times New Roman" w:hAnsi="Calibri" w:cs="Times New Roman"/>
                <w:lang w:eastAsia="en-GB"/>
              </w:rPr>
              <w:t>Cardiff &amp; Vale UHB</w:t>
            </w:r>
          </w:p>
        </w:tc>
        <w:tc>
          <w:tcPr>
            <w:tcW w:w="3110" w:type="dxa"/>
            <w:shd w:val="clear" w:color="auto" w:fill="F2F2F2" w:themeFill="background1" w:themeFillShade="F2"/>
            <w:noWrap/>
            <w:vAlign w:val="bottom"/>
            <w:hideMark/>
          </w:tcPr>
          <w:p w14:paraId="1D25E8FB" w14:textId="790D54DD" w:rsidR="00882209" w:rsidRPr="00174CB8" w:rsidRDefault="00882209" w:rsidP="00DC54F7">
            <w:pPr>
              <w:spacing w:after="0" w:line="240" w:lineRule="auto"/>
              <w:jc w:val="both"/>
              <w:rPr>
                <w:rFonts w:ascii="Calibri" w:eastAsia="Times New Roman" w:hAnsi="Calibri" w:cs="Times New Roman"/>
                <w:color w:val="000000"/>
                <w:lang w:eastAsia="en-GB"/>
              </w:rPr>
            </w:pPr>
            <w:r w:rsidRPr="00174CB8">
              <w:rPr>
                <w:rFonts w:ascii="Calibri" w:eastAsia="Times New Roman" w:hAnsi="Calibri" w:cs="Times New Roman"/>
                <w:color w:val="000000"/>
                <w:lang w:eastAsia="en-GB"/>
              </w:rPr>
              <w:t>0.7</w:t>
            </w:r>
          </w:p>
        </w:tc>
        <w:tc>
          <w:tcPr>
            <w:tcW w:w="3110" w:type="dxa"/>
            <w:shd w:val="clear" w:color="auto" w:fill="F2F2F2" w:themeFill="background1" w:themeFillShade="F2"/>
            <w:noWrap/>
            <w:vAlign w:val="bottom"/>
            <w:hideMark/>
          </w:tcPr>
          <w:p w14:paraId="5267A2EC" w14:textId="4A962C56" w:rsidR="00882209" w:rsidRPr="00174CB8" w:rsidRDefault="00882209" w:rsidP="00DC54F7">
            <w:pPr>
              <w:spacing w:after="0" w:line="240" w:lineRule="auto"/>
              <w:jc w:val="both"/>
              <w:rPr>
                <w:rFonts w:ascii="Calibri" w:eastAsia="Times New Roman" w:hAnsi="Calibri" w:cs="Times New Roman"/>
                <w:color w:val="000000"/>
                <w:lang w:eastAsia="en-GB"/>
              </w:rPr>
            </w:pPr>
            <w:r w:rsidRPr="00174CB8">
              <w:rPr>
                <w:rFonts w:ascii="Calibri" w:eastAsia="Times New Roman" w:hAnsi="Calibri" w:cs="Times New Roman"/>
                <w:color w:val="000000"/>
                <w:lang w:eastAsia="en-GB"/>
              </w:rPr>
              <w:t>0.9</w:t>
            </w:r>
          </w:p>
        </w:tc>
      </w:tr>
      <w:tr w:rsidR="00882209" w:rsidRPr="00174CB8" w14:paraId="0285076E" w14:textId="77777777" w:rsidTr="00A40705">
        <w:trPr>
          <w:trHeight w:val="268"/>
        </w:trPr>
        <w:tc>
          <w:tcPr>
            <w:tcW w:w="3110" w:type="dxa"/>
            <w:shd w:val="clear" w:color="auto" w:fill="FFFFFF" w:themeFill="background1"/>
            <w:vAlign w:val="bottom"/>
            <w:hideMark/>
          </w:tcPr>
          <w:p w14:paraId="3BA5D996" w14:textId="77777777" w:rsidR="00882209" w:rsidRPr="00174CB8" w:rsidRDefault="00882209" w:rsidP="00DC54F7">
            <w:pPr>
              <w:spacing w:after="0" w:line="240" w:lineRule="auto"/>
              <w:jc w:val="both"/>
              <w:rPr>
                <w:rFonts w:ascii="Calibri" w:eastAsia="Times New Roman" w:hAnsi="Calibri" w:cs="Times New Roman"/>
                <w:lang w:eastAsia="en-GB"/>
              </w:rPr>
            </w:pPr>
            <w:r w:rsidRPr="00174CB8">
              <w:rPr>
                <w:rFonts w:ascii="Calibri" w:eastAsia="Times New Roman" w:hAnsi="Calibri" w:cs="Times New Roman"/>
                <w:lang w:eastAsia="en-GB"/>
              </w:rPr>
              <w:t>Wales</w:t>
            </w:r>
          </w:p>
        </w:tc>
        <w:tc>
          <w:tcPr>
            <w:tcW w:w="3110" w:type="dxa"/>
            <w:shd w:val="clear" w:color="auto" w:fill="FFFFFF" w:themeFill="background1"/>
            <w:noWrap/>
            <w:vAlign w:val="bottom"/>
            <w:hideMark/>
          </w:tcPr>
          <w:p w14:paraId="64992AD4" w14:textId="0F7D8F62" w:rsidR="00882209" w:rsidRPr="00174CB8" w:rsidRDefault="00882209" w:rsidP="00DC54F7">
            <w:pPr>
              <w:spacing w:after="0" w:line="240" w:lineRule="auto"/>
              <w:jc w:val="both"/>
              <w:rPr>
                <w:rFonts w:ascii="Calibri" w:eastAsia="Times New Roman" w:hAnsi="Calibri" w:cs="Times New Roman"/>
                <w:color w:val="000000"/>
                <w:lang w:eastAsia="en-GB"/>
              </w:rPr>
            </w:pPr>
            <w:r w:rsidRPr="00174CB8">
              <w:rPr>
                <w:rFonts w:ascii="Calibri" w:eastAsia="Times New Roman" w:hAnsi="Calibri" w:cs="Times New Roman"/>
                <w:color w:val="000000"/>
                <w:lang w:eastAsia="en-GB"/>
              </w:rPr>
              <w:t>0.7</w:t>
            </w:r>
          </w:p>
        </w:tc>
        <w:tc>
          <w:tcPr>
            <w:tcW w:w="3110" w:type="dxa"/>
            <w:shd w:val="clear" w:color="auto" w:fill="FFFFFF" w:themeFill="background1"/>
            <w:noWrap/>
            <w:vAlign w:val="bottom"/>
            <w:hideMark/>
          </w:tcPr>
          <w:p w14:paraId="630CF0F6" w14:textId="7E2FBAA7" w:rsidR="00882209" w:rsidRPr="00174CB8" w:rsidRDefault="00882209" w:rsidP="00DC54F7">
            <w:pPr>
              <w:spacing w:after="0" w:line="240" w:lineRule="auto"/>
              <w:jc w:val="both"/>
              <w:rPr>
                <w:rFonts w:ascii="Calibri" w:eastAsia="Times New Roman" w:hAnsi="Calibri" w:cs="Times New Roman"/>
                <w:color w:val="000000"/>
                <w:lang w:eastAsia="en-GB"/>
              </w:rPr>
            </w:pPr>
            <w:r w:rsidRPr="00174CB8">
              <w:rPr>
                <w:rFonts w:ascii="Calibri" w:eastAsia="Times New Roman" w:hAnsi="Calibri" w:cs="Times New Roman"/>
                <w:color w:val="000000"/>
                <w:lang w:eastAsia="en-GB"/>
              </w:rPr>
              <w:t>1.0</w:t>
            </w:r>
          </w:p>
        </w:tc>
      </w:tr>
    </w:tbl>
    <w:p w14:paraId="13BB6086" w14:textId="77777777" w:rsidR="003C7DC1" w:rsidRPr="00174CB8" w:rsidRDefault="003C7DC1" w:rsidP="00DC54F7">
      <w:pPr>
        <w:jc w:val="both"/>
        <w:rPr>
          <w:rFonts w:ascii="Arial" w:hAnsi="Arial" w:cs="Arial"/>
          <w:sz w:val="20"/>
          <w:szCs w:val="20"/>
        </w:rPr>
      </w:pPr>
      <w:r w:rsidRPr="00174CB8">
        <w:rPr>
          <w:rFonts w:ascii="Arial" w:hAnsi="Arial" w:cs="Arial"/>
          <w:sz w:val="20"/>
          <w:szCs w:val="20"/>
        </w:rPr>
        <w:t>Source: QOF 2019</w:t>
      </w:r>
    </w:p>
    <w:p w14:paraId="529BC2EF" w14:textId="7A9CB421" w:rsidR="008C58F4" w:rsidRPr="00174CB8" w:rsidRDefault="008C58F4" w:rsidP="00DC54F7">
      <w:pPr>
        <w:spacing w:after="0" w:line="240" w:lineRule="auto"/>
        <w:jc w:val="both"/>
        <w:rPr>
          <w:rFonts w:ascii="Arial" w:hAnsi="Arial" w:cs="Arial"/>
          <w:sz w:val="24"/>
          <w:szCs w:val="24"/>
        </w:rPr>
      </w:pPr>
      <w:r w:rsidRPr="00174CB8">
        <w:rPr>
          <w:rFonts w:ascii="Arial" w:hAnsi="Arial" w:cs="Arial"/>
          <w:sz w:val="24"/>
          <w:szCs w:val="24"/>
        </w:rPr>
        <w:t>The estimated prevalence of</w:t>
      </w:r>
      <w:r w:rsidR="00603DFD">
        <w:rPr>
          <w:rFonts w:ascii="Arial" w:hAnsi="Arial" w:cs="Arial"/>
          <w:sz w:val="24"/>
          <w:szCs w:val="24"/>
        </w:rPr>
        <w:t xml:space="preserve"> </w:t>
      </w:r>
      <w:r w:rsidR="00603DFD" w:rsidRPr="00174CB8">
        <w:rPr>
          <w:rFonts w:ascii="Arial" w:hAnsi="Arial" w:cs="Arial"/>
          <w:sz w:val="24"/>
          <w:szCs w:val="24"/>
        </w:rPr>
        <w:t xml:space="preserve">atrial fibrillation in Cardiff City and South cluster is the lowest in </w:t>
      </w:r>
      <w:r w:rsidR="00603DFD">
        <w:rPr>
          <w:rFonts w:ascii="Arial" w:hAnsi="Arial" w:cs="Arial"/>
          <w:sz w:val="24"/>
          <w:szCs w:val="24"/>
        </w:rPr>
        <w:t xml:space="preserve">the health board and </w:t>
      </w:r>
      <w:r w:rsidR="00603DFD" w:rsidRPr="00174CB8">
        <w:rPr>
          <w:rFonts w:ascii="Arial" w:hAnsi="Arial" w:cs="Arial"/>
          <w:sz w:val="24"/>
          <w:szCs w:val="24"/>
        </w:rPr>
        <w:t>is lower than the average for Wales</w:t>
      </w:r>
      <w:r w:rsidR="00603DFD">
        <w:rPr>
          <w:rFonts w:ascii="Arial" w:hAnsi="Arial" w:cs="Arial"/>
          <w:sz w:val="24"/>
          <w:szCs w:val="24"/>
        </w:rPr>
        <w:t xml:space="preserve">. The estimated prevalence of </w:t>
      </w:r>
      <w:r w:rsidRPr="00174CB8">
        <w:rPr>
          <w:rFonts w:ascii="Arial" w:hAnsi="Arial" w:cs="Arial"/>
          <w:sz w:val="24"/>
          <w:szCs w:val="24"/>
        </w:rPr>
        <w:t xml:space="preserve">hypertension in Cardiff </w:t>
      </w:r>
      <w:r w:rsidR="008D0C4B" w:rsidRPr="00174CB8">
        <w:rPr>
          <w:rFonts w:ascii="Arial" w:hAnsi="Arial" w:cs="Arial"/>
          <w:sz w:val="24"/>
          <w:szCs w:val="24"/>
        </w:rPr>
        <w:t xml:space="preserve">City and </w:t>
      </w:r>
      <w:r w:rsidRPr="00174CB8">
        <w:rPr>
          <w:rFonts w:ascii="Arial" w:hAnsi="Arial" w:cs="Arial"/>
          <w:sz w:val="24"/>
          <w:szCs w:val="24"/>
        </w:rPr>
        <w:t>South cluster is lower than the average for Wales and</w:t>
      </w:r>
      <w:r w:rsidR="00BC67D2" w:rsidRPr="00174CB8">
        <w:rPr>
          <w:rFonts w:ascii="Arial" w:hAnsi="Arial" w:cs="Arial"/>
          <w:sz w:val="24"/>
          <w:szCs w:val="24"/>
        </w:rPr>
        <w:t xml:space="preserve"> is</w:t>
      </w:r>
      <w:r w:rsidRPr="00174CB8">
        <w:rPr>
          <w:rFonts w:ascii="Arial" w:hAnsi="Arial" w:cs="Arial"/>
          <w:sz w:val="24"/>
          <w:szCs w:val="24"/>
        </w:rPr>
        <w:t xml:space="preserve"> the </w:t>
      </w:r>
      <w:r w:rsidR="00BC67D2" w:rsidRPr="00174CB8">
        <w:rPr>
          <w:rFonts w:ascii="Arial" w:hAnsi="Arial" w:cs="Arial"/>
          <w:sz w:val="24"/>
          <w:szCs w:val="24"/>
        </w:rPr>
        <w:t xml:space="preserve">second </w:t>
      </w:r>
      <w:r w:rsidRPr="00174CB8">
        <w:rPr>
          <w:rFonts w:ascii="Arial" w:hAnsi="Arial" w:cs="Arial"/>
          <w:sz w:val="24"/>
          <w:szCs w:val="24"/>
        </w:rPr>
        <w:t xml:space="preserve">lowest of all the clusters in the health board. </w:t>
      </w:r>
    </w:p>
    <w:p w14:paraId="7A856D08" w14:textId="6BB4B9C0" w:rsidR="00733ACE" w:rsidRDefault="00733ACE" w:rsidP="00DC54F7">
      <w:pPr>
        <w:spacing w:after="0" w:line="240" w:lineRule="auto"/>
        <w:jc w:val="both"/>
        <w:rPr>
          <w:rFonts w:ascii="Arial" w:hAnsi="Arial" w:cs="Arial"/>
        </w:rPr>
      </w:pPr>
    </w:p>
    <w:p w14:paraId="0F46DFAF" w14:textId="570C85EF" w:rsidR="00733ACE" w:rsidRPr="00174CB8" w:rsidRDefault="00733ACE" w:rsidP="00DC54F7">
      <w:pPr>
        <w:pStyle w:val="Caption"/>
        <w:spacing w:before="0" w:after="0"/>
        <w:jc w:val="both"/>
        <w:rPr>
          <w:rFonts w:ascii="Arial" w:hAnsi="Arial" w:cs="Arial"/>
          <w:szCs w:val="24"/>
        </w:rPr>
      </w:pPr>
      <w:r w:rsidRPr="00174CB8">
        <w:rPr>
          <w:rFonts w:ascii="Arial" w:hAnsi="Arial" w:cs="Arial"/>
          <w:szCs w:val="24"/>
        </w:rPr>
        <w:t>Table 10.</w:t>
      </w:r>
      <w:r w:rsidR="00616929" w:rsidRPr="00174CB8">
        <w:rPr>
          <w:rFonts w:ascii="Arial" w:hAnsi="Arial" w:cs="Arial"/>
          <w:szCs w:val="24"/>
        </w:rPr>
        <w:t>5</w:t>
      </w:r>
      <w:r w:rsidRPr="00174CB8">
        <w:rPr>
          <w:rFonts w:ascii="Arial" w:hAnsi="Arial" w:cs="Arial"/>
          <w:szCs w:val="24"/>
        </w:rPr>
        <w:t>: Estimated percentage prevalence of hypertension and atrial fibrillation based on patients on GP practice registers by cluster, local authority, health board and Wales, 2019</w:t>
      </w:r>
    </w:p>
    <w:tbl>
      <w:tblPr>
        <w:tblW w:w="9405"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135"/>
        <w:gridCol w:w="3135"/>
        <w:gridCol w:w="3135"/>
      </w:tblGrid>
      <w:tr w:rsidR="00733ACE" w:rsidRPr="00C44E1E" w14:paraId="5B973EA6" w14:textId="77777777" w:rsidTr="00A40705">
        <w:trPr>
          <w:trHeight w:val="285"/>
        </w:trPr>
        <w:tc>
          <w:tcPr>
            <w:tcW w:w="3135" w:type="dxa"/>
            <w:shd w:val="clear" w:color="auto" w:fill="8497B0"/>
            <w:noWrap/>
            <w:vAlign w:val="bottom"/>
            <w:hideMark/>
          </w:tcPr>
          <w:p w14:paraId="1B7F2274" w14:textId="77777777" w:rsidR="00733ACE" w:rsidRPr="00C44E1E" w:rsidRDefault="00733ACE" w:rsidP="00DC54F7">
            <w:pPr>
              <w:spacing w:after="0" w:line="240" w:lineRule="auto"/>
              <w:jc w:val="both"/>
              <w:rPr>
                <w:rFonts w:ascii="Calibri" w:eastAsia="Times New Roman" w:hAnsi="Calibri" w:cs="Times New Roman"/>
                <w:color w:val="000000"/>
                <w:lang w:eastAsia="en-GB"/>
              </w:rPr>
            </w:pPr>
            <w:r w:rsidRPr="00C44E1E">
              <w:rPr>
                <w:rFonts w:ascii="Calibri" w:eastAsia="Times New Roman" w:hAnsi="Calibri" w:cs="Times New Roman"/>
                <w:color w:val="000000"/>
                <w:lang w:eastAsia="en-GB"/>
              </w:rPr>
              <w:t> </w:t>
            </w:r>
          </w:p>
        </w:tc>
        <w:tc>
          <w:tcPr>
            <w:tcW w:w="3135" w:type="dxa"/>
            <w:shd w:val="clear" w:color="auto" w:fill="8497B0"/>
            <w:noWrap/>
            <w:vAlign w:val="bottom"/>
            <w:hideMark/>
          </w:tcPr>
          <w:p w14:paraId="775971DC" w14:textId="77777777" w:rsidR="00733ACE" w:rsidRPr="00C44E1E" w:rsidRDefault="00733ACE" w:rsidP="00DC54F7">
            <w:pPr>
              <w:spacing w:after="0" w:line="240" w:lineRule="auto"/>
              <w:jc w:val="both"/>
              <w:rPr>
                <w:rFonts w:ascii="Calibri" w:eastAsia="Times New Roman" w:hAnsi="Calibri" w:cs="Times New Roman"/>
                <w:b/>
                <w:bCs/>
                <w:color w:val="FFFFFF"/>
                <w:lang w:eastAsia="en-GB"/>
              </w:rPr>
            </w:pPr>
            <w:r w:rsidRPr="00C44E1E">
              <w:rPr>
                <w:rFonts w:ascii="Calibri" w:eastAsia="Times New Roman" w:hAnsi="Calibri" w:cs="Times New Roman"/>
                <w:b/>
                <w:bCs/>
                <w:color w:val="FFFFFF"/>
                <w:lang w:eastAsia="en-GB"/>
              </w:rPr>
              <w:t>Atrial Fibrillation (percentage)</w:t>
            </w:r>
          </w:p>
        </w:tc>
        <w:tc>
          <w:tcPr>
            <w:tcW w:w="3135" w:type="dxa"/>
            <w:shd w:val="clear" w:color="auto" w:fill="8497B0"/>
            <w:noWrap/>
            <w:vAlign w:val="bottom"/>
            <w:hideMark/>
          </w:tcPr>
          <w:p w14:paraId="3D720E31" w14:textId="77777777" w:rsidR="00733ACE" w:rsidRPr="00C44E1E" w:rsidRDefault="00733ACE" w:rsidP="00DC54F7">
            <w:pPr>
              <w:spacing w:after="0" w:line="240" w:lineRule="auto"/>
              <w:jc w:val="both"/>
              <w:rPr>
                <w:rFonts w:ascii="Calibri" w:eastAsia="Times New Roman" w:hAnsi="Calibri" w:cs="Times New Roman"/>
                <w:b/>
                <w:bCs/>
                <w:color w:val="FFFFFF"/>
                <w:lang w:eastAsia="en-GB"/>
              </w:rPr>
            </w:pPr>
            <w:r w:rsidRPr="00C44E1E">
              <w:rPr>
                <w:rFonts w:ascii="Calibri" w:eastAsia="Times New Roman" w:hAnsi="Calibri" w:cs="Times New Roman"/>
                <w:b/>
                <w:bCs/>
                <w:color w:val="FFFFFF"/>
                <w:lang w:eastAsia="en-GB"/>
              </w:rPr>
              <w:t>Hypertension (percentage)</w:t>
            </w:r>
          </w:p>
        </w:tc>
      </w:tr>
      <w:tr w:rsidR="00733ACE" w:rsidRPr="00C44E1E" w14:paraId="4FC3D34F" w14:textId="77777777" w:rsidTr="00A40705">
        <w:trPr>
          <w:trHeight w:val="285"/>
        </w:trPr>
        <w:tc>
          <w:tcPr>
            <w:tcW w:w="3135" w:type="dxa"/>
            <w:shd w:val="clear" w:color="000000" w:fill="F2F2F2"/>
            <w:noWrap/>
            <w:vAlign w:val="bottom"/>
            <w:hideMark/>
          </w:tcPr>
          <w:p w14:paraId="544B3FC5" w14:textId="14C6C94D" w:rsidR="00733ACE" w:rsidRPr="00C44E1E" w:rsidRDefault="00733ACE" w:rsidP="00DC54F7">
            <w:pPr>
              <w:spacing w:after="0" w:line="240" w:lineRule="auto"/>
              <w:jc w:val="both"/>
              <w:rPr>
                <w:rFonts w:ascii="Calibri" w:eastAsia="Times New Roman" w:hAnsi="Calibri" w:cs="Times New Roman"/>
                <w:color w:val="000000"/>
                <w:lang w:eastAsia="en-GB"/>
              </w:rPr>
            </w:pPr>
            <w:r w:rsidRPr="00C44E1E">
              <w:rPr>
                <w:rFonts w:ascii="Calibri" w:eastAsia="Times New Roman" w:hAnsi="Calibri" w:cs="Times New Roman"/>
                <w:color w:val="000000"/>
                <w:lang w:eastAsia="en-GB"/>
              </w:rPr>
              <w:t xml:space="preserve">Cardiff </w:t>
            </w:r>
            <w:r w:rsidR="008D3511">
              <w:rPr>
                <w:rFonts w:ascii="Calibri" w:eastAsia="Times New Roman" w:hAnsi="Calibri" w:cs="Times New Roman"/>
                <w:color w:val="000000"/>
                <w:lang w:eastAsia="en-GB"/>
              </w:rPr>
              <w:t xml:space="preserve">City &amp; </w:t>
            </w:r>
            <w:r w:rsidRPr="00C44E1E">
              <w:rPr>
                <w:rFonts w:ascii="Calibri" w:eastAsia="Times New Roman" w:hAnsi="Calibri" w:cs="Times New Roman"/>
                <w:color w:val="000000"/>
                <w:lang w:eastAsia="en-GB"/>
              </w:rPr>
              <w:t>South</w:t>
            </w:r>
          </w:p>
        </w:tc>
        <w:tc>
          <w:tcPr>
            <w:tcW w:w="3135" w:type="dxa"/>
            <w:shd w:val="clear" w:color="000000" w:fill="F2F2F2"/>
            <w:noWrap/>
            <w:vAlign w:val="bottom"/>
            <w:hideMark/>
          </w:tcPr>
          <w:p w14:paraId="65DA3DC2" w14:textId="77777777" w:rsidR="00733ACE" w:rsidRPr="00C44E1E" w:rsidRDefault="00733ACE" w:rsidP="00DC54F7">
            <w:pPr>
              <w:spacing w:after="0" w:line="240" w:lineRule="auto"/>
              <w:jc w:val="both"/>
              <w:rPr>
                <w:rFonts w:ascii="Calibri" w:eastAsia="Times New Roman" w:hAnsi="Calibri" w:cs="Times New Roman"/>
                <w:color w:val="000000"/>
                <w:lang w:eastAsia="en-GB"/>
              </w:rPr>
            </w:pPr>
            <w:r w:rsidRPr="00C44E1E">
              <w:rPr>
                <w:rFonts w:ascii="Calibri" w:eastAsia="Times New Roman" w:hAnsi="Calibri" w:cs="Times New Roman"/>
                <w:color w:val="000000"/>
                <w:lang w:eastAsia="en-GB"/>
              </w:rPr>
              <w:t>0.8</w:t>
            </w:r>
          </w:p>
        </w:tc>
        <w:tc>
          <w:tcPr>
            <w:tcW w:w="3135" w:type="dxa"/>
            <w:shd w:val="clear" w:color="000000" w:fill="F2F2F2"/>
            <w:noWrap/>
            <w:vAlign w:val="bottom"/>
            <w:hideMark/>
          </w:tcPr>
          <w:p w14:paraId="0080297A" w14:textId="77777777" w:rsidR="00733ACE" w:rsidRPr="00C44E1E" w:rsidRDefault="00733ACE" w:rsidP="00DC54F7">
            <w:pPr>
              <w:spacing w:after="0" w:line="240" w:lineRule="auto"/>
              <w:jc w:val="both"/>
              <w:rPr>
                <w:rFonts w:ascii="Calibri" w:eastAsia="Times New Roman" w:hAnsi="Calibri" w:cs="Times New Roman"/>
                <w:color w:val="000000"/>
                <w:lang w:eastAsia="en-GB"/>
              </w:rPr>
            </w:pPr>
            <w:r w:rsidRPr="00C44E1E">
              <w:rPr>
                <w:rFonts w:ascii="Calibri" w:eastAsia="Times New Roman" w:hAnsi="Calibri" w:cs="Times New Roman"/>
                <w:color w:val="000000"/>
                <w:lang w:eastAsia="en-GB"/>
              </w:rPr>
              <w:t>9.3</w:t>
            </w:r>
          </w:p>
        </w:tc>
      </w:tr>
      <w:tr w:rsidR="00733ACE" w:rsidRPr="00C44E1E" w14:paraId="6D2EC418" w14:textId="77777777" w:rsidTr="00A40705">
        <w:trPr>
          <w:trHeight w:val="285"/>
        </w:trPr>
        <w:tc>
          <w:tcPr>
            <w:tcW w:w="3135" w:type="dxa"/>
            <w:shd w:val="clear" w:color="D9E1F2" w:fill="FFFFFF"/>
            <w:vAlign w:val="bottom"/>
            <w:hideMark/>
          </w:tcPr>
          <w:p w14:paraId="268E5B10" w14:textId="77777777" w:rsidR="00733ACE" w:rsidRPr="00C44E1E" w:rsidRDefault="00733ACE" w:rsidP="00DC54F7">
            <w:pPr>
              <w:spacing w:after="0" w:line="240" w:lineRule="auto"/>
              <w:jc w:val="both"/>
              <w:rPr>
                <w:rFonts w:ascii="Calibri" w:eastAsia="Times New Roman" w:hAnsi="Calibri" w:cs="Times New Roman"/>
                <w:lang w:eastAsia="en-GB"/>
              </w:rPr>
            </w:pPr>
            <w:r w:rsidRPr="00C44E1E">
              <w:rPr>
                <w:rFonts w:ascii="Calibri" w:eastAsia="Times New Roman" w:hAnsi="Calibri" w:cs="Times New Roman"/>
                <w:lang w:eastAsia="en-GB"/>
              </w:rPr>
              <w:t>Cardiff</w:t>
            </w:r>
          </w:p>
        </w:tc>
        <w:tc>
          <w:tcPr>
            <w:tcW w:w="3135" w:type="dxa"/>
            <w:shd w:val="clear" w:color="000000" w:fill="FFFFFF"/>
            <w:noWrap/>
            <w:vAlign w:val="bottom"/>
            <w:hideMark/>
          </w:tcPr>
          <w:p w14:paraId="3E484031" w14:textId="77777777" w:rsidR="00733ACE" w:rsidRPr="00C44E1E" w:rsidRDefault="00733ACE" w:rsidP="00DC54F7">
            <w:pPr>
              <w:spacing w:after="0" w:line="240" w:lineRule="auto"/>
              <w:jc w:val="both"/>
              <w:rPr>
                <w:rFonts w:ascii="Calibri" w:eastAsia="Times New Roman" w:hAnsi="Calibri" w:cs="Times New Roman"/>
                <w:color w:val="000000"/>
                <w:lang w:eastAsia="en-GB"/>
              </w:rPr>
            </w:pPr>
            <w:r w:rsidRPr="00C44E1E">
              <w:rPr>
                <w:rFonts w:ascii="Calibri" w:eastAsia="Times New Roman" w:hAnsi="Calibri" w:cs="Times New Roman"/>
                <w:color w:val="000000"/>
                <w:lang w:eastAsia="en-GB"/>
              </w:rPr>
              <w:t>1.6</w:t>
            </w:r>
          </w:p>
        </w:tc>
        <w:tc>
          <w:tcPr>
            <w:tcW w:w="3135" w:type="dxa"/>
            <w:shd w:val="clear" w:color="000000" w:fill="FFFFFF"/>
            <w:noWrap/>
            <w:vAlign w:val="bottom"/>
            <w:hideMark/>
          </w:tcPr>
          <w:p w14:paraId="74D3674C" w14:textId="77777777" w:rsidR="00733ACE" w:rsidRPr="00C44E1E" w:rsidRDefault="00733ACE" w:rsidP="00DC54F7">
            <w:pPr>
              <w:spacing w:after="0" w:line="240" w:lineRule="auto"/>
              <w:jc w:val="both"/>
              <w:rPr>
                <w:rFonts w:ascii="Calibri" w:eastAsia="Times New Roman" w:hAnsi="Calibri" w:cs="Times New Roman"/>
                <w:color w:val="000000"/>
                <w:lang w:eastAsia="en-GB"/>
              </w:rPr>
            </w:pPr>
            <w:r w:rsidRPr="00C44E1E">
              <w:rPr>
                <w:rFonts w:ascii="Calibri" w:eastAsia="Times New Roman" w:hAnsi="Calibri" w:cs="Times New Roman"/>
                <w:color w:val="000000"/>
                <w:lang w:eastAsia="en-GB"/>
              </w:rPr>
              <w:t>11.8</w:t>
            </w:r>
          </w:p>
        </w:tc>
      </w:tr>
      <w:tr w:rsidR="00733ACE" w:rsidRPr="00C44E1E" w14:paraId="152EF2A3" w14:textId="77777777" w:rsidTr="00A40705">
        <w:trPr>
          <w:trHeight w:val="285"/>
        </w:trPr>
        <w:tc>
          <w:tcPr>
            <w:tcW w:w="3135" w:type="dxa"/>
            <w:shd w:val="clear" w:color="D9E1F2" w:fill="F2F2F2"/>
            <w:vAlign w:val="bottom"/>
            <w:hideMark/>
          </w:tcPr>
          <w:p w14:paraId="3625C5BB" w14:textId="77777777" w:rsidR="00733ACE" w:rsidRPr="00C44E1E" w:rsidRDefault="00733ACE" w:rsidP="00DC54F7">
            <w:pPr>
              <w:spacing w:after="0" w:line="240" w:lineRule="auto"/>
              <w:jc w:val="both"/>
              <w:rPr>
                <w:rFonts w:ascii="Calibri" w:eastAsia="Times New Roman" w:hAnsi="Calibri" w:cs="Times New Roman"/>
                <w:lang w:eastAsia="en-GB"/>
              </w:rPr>
            </w:pPr>
            <w:r w:rsidRPr="00C44E1E">
              <w:rPr>
                <w:rFonts w:ascii="Calibri" w:eastAsia="Times New Roman" w:hAnsi="Calibri" w:cs="Times New Roman"/>
                <w:lang w:eastAsia="en-GB"/>
              </w:rPr>
              <w:t>Cardiff &amp; Vale UHB</w:t>
            </w:r>
          </w:p>
        </w:tc>
        <w:tc>
          <w:tcPr>
            <w:tcW w:w="3135" w:type="dxa"/>
            <w:shd w:val="clear" w:color="000000" w:fill="F2F2F2"/>
            <w:noWrap/>
            <w:vAlign w:val="bottom"/>
            <w:hideMark/>
          </w:tcPr>
          <w:p w14:paraId="621F57E5" w14:textId="77777777" w:rsidR="00733ACE" w:rsidRPr="00C44E1E" w:rsidRDefault="00733ACE" w:rsidP="00DC54F7">
            <w:pPr>
              <w:spacing w:after="0" w:line="240" w:lineRule="auto"/>
              <w:jc w:val="both"/>
              <w:rPr>
                <w:rFonts w:ascii="Calibri" w:eastAsia="Times New Roman" w:hAnsi="Calibri" w:cs="Times New Roman"/>
                <w:color w:val="000000"/>
                <w:lang w:eastAsia="en-GB"/>
              </w:rPr>
            </w:pPr>
            <w:r w:rsidRPr="00C44E1E">
              <w:rPr>
                <w:rFonts w:ascii="Calibri" w:eastAsia="Times New Roman" w:hAnsi="Calibri" w:cs="Times New Roman"/>
                <w:color w:val="000000"/>
                <w:lang w:eastAsia="en-GB"/>
              </w:rPr>
              <w:t>1.8</w:t>
            </w:r>
          </w:p>
        </w:tc>
        <w:tc>
          <w:tcPr>
            <w:tcW w:w="3135" w:type="dxa"/>
            <w:shd w:val="clear" w:color="000000" w:fill="F2F2F2"/>
            <w:noWrap/>
            <w:vAlign w:val="bottom"/>
            <w:hideMark/>
          </w:tcPr>
          <w:p w14:paraId="677BD889" w14:textId="77777777" w:rsidR="00733ACE" w:rsidRPr="00C44E1E" w:rsidRDefault="00733ACE" w:rsidP="00DC54F7">
            <w:pPr>
              <w:spacing w:after="0" w:line="240" w:lineRule="auto"/>
              <w:jc w:val="both"/>
              <w:rPr>
                <w:rFonts w:ascii="Calibri" w:eastAsia="Times New Roman" w:hAnsi="Calibri" w:cs="Times New Roman"/>
                <w:color w:val="000000"/>
                <w:lang w:eastAsia="en-GB"/>
              </w:rPr>
            </w:pPr>
            <w:r w:rsidRPr="00C44E1E">
              <w:rPr>
                <w:rFonts w:ascii="Calibri" w:eastAsia="Times New Roman" w:hAnsi="Calibri" w:cs="Times New Roman"/>
                <w:color w:val="000000"/>
                <w:lang w:eastAsia="en-GB"/>
              </w:rPr>
              <w:t>12.6</w:t>
            </w:r>
          </w:p>
        </w:tc>
      </w:tr>
      <w:tr w:rsidR="00733ACE" w:rsidRPr="00C44E1E" w14:paraId="0C7AB84E" w14:textId="77777777" w:rsidTr="00A40705">
        <w:trPr>
          <w:trHeight w:val="285"/>
        </w:trPr>
        <w:tc>
          <w:tcPr>
            <w:tcW w:w="3135" w:type="dxa"/>
            <w:shd w:val="clear" w:color="D9E1F2" w:fill="FFFFFF"/>
            <w:vAlign w:val="bottom"/>
            <w:hideMark/>
          </w:tcPr>
          <w:p w14:paraId="451F1C26" w14:textId="77777777" w:rsidR="00733ACE" w:rsidRPr="00C44E1E" w:rsidRDefault="00733ACE" w:rsidP="00DC54F7">
            <w:pPr>
              <w:spacing w:after="0" w:line="240" w:lineRule="auto"/>
              <w:jc w:val="both"/>
              <w:rPr>
                <w:rFonts w:ascii="Calibri" w:eastAsia="Times New Roman" w:hAnsi="Calibri" w:cs="Times New Roman"/>
                <w:lang w:eastAsia="en-GB"/>
              </w:rPr>
            </w:pPr>
            <w:r w:rsidRPr="00C44E1E">
              <w:rPr>
                <w:rFonts w:ascii="Calibri" w:eastAsia="Times New Roman" w:hAnsi="Calibri" w:cs="Times New Roman"/>
                <w:lang w:eastAsia="en-GB"/>
              </w:rPr>
              <w:t>Wales</w:t>
            </w:r>
          </w:p>
        </w:tc>
        <w:tc>
          <w:tcPr>
            <w:tcW w:w="3135" w:type="dxa"/>
            <w:shd w:val="clear" w:color="E2EFDA" w:fill="FFFFFF"/>
            <w:noWrap/>
            <w:vAlign w:val="bottom"/>
            <w:hideMark/>
          </w:tcPr>
          <w:p w14:paraId="5587BBD7" w14:textId="77777777" w:rsidR="00733ACE" w:rsidRPr="00C44E1E" w:rsidRDefault="00733ACE" w:rsidP="00DC54F7">
            <w:pPr>
              <w:spacing w:after="0" w:line="240" w:lineRule="auto"/>
              <w:jc w:val="both"/>
              <w:rPr>
                <w:rFonts w:ascii="Calibri" w:eastAsia="Times New Roman" w:hAnsi="Calibri" w:cs="Times New Roman"/>
                <w:color w:val="000000"/>
                <w:lang w:eastAsia="en-GB"/>
              </w:rPr>
            </w:pPr>
            <w:r w:rsidRPr="00C44E1E">
              <w:rPr>
                <w:rFonts w:ascii="Calibri" w:eastAsia="Times New Roman" w:hAnsi="Calibri" w:cs="Times New Roman"/>
                <w:color w:val="000000"/>
                <w:lang w:eastAsia="en-GB"/>
              </w:rPr>
              <w:t>2.3</w:t>
            </w:r>
          </w:p>
        </w:tc>
        <w:tc>
          <w:tcPr>
            <w:tcW w:w="3135" w:type="dxa"/>
            <w:shd w:val="clear" w:color="E2EFDA" w:fill="FFFFFF"/>
            <w:noWrap/>
            <w:vAlign w:val="bottom"/>
            <w:hideMark/>
          </w:tcPr>
          <w:p w14:paraId="533DFF5F" w14:textId="77777777" w:rsidR="00733ACE" w:rsidRPr="00C44E1E" w:rsidRDefault="00733ACE" w:rsidP="00DC54F7">
            <w:pPr>
              <w:spacing w:after="0" w:line="240" w:lineRule="auto"/>
              <w:jc w:val="both"/>
              <w:rPr>
                <w:rFonts w:ascii="Calibri" w:eastAsia="Times New Roman" w:hAnsi="Calibri" w:cs="Times New Roman"/>
                <w:color w:val="000000"/>
                <w:lang w:eastAsia="en-GB"/>
              </w:rPr>
            </w:pPr>
            <w:r w:rsidRPr="00C44E1E">
              <w:rPr>
                <w:rFonts w:ascii="Calibri" w:eastAsia="Times New Roman" w:hAnsi="Calibri" w:cs="Times New Roman"/>
                <w:color w:val="000000"/>
                <w:lang w:eastAsia="en-GB"/>
              </w:rPr>
              <w:t>15.8</w:t>
            </w:r>
          </w:p>
        </w:tc>
      </w:tr>
    </w:tbl>
    <w:p w14:paraId="0A3064C3" w14:textId="017871F0" w:rsidR="00FD6000" w:rsidRPr="00174CB8" w:rsidRDefault="003C7DC1" w:rsidP="00DC54F7">
      <w:pPr>
        <w:jc w:val="both"/>
        <w:rPr>
          <w:rFonts w:ascii="Arial" w:hAnsi="Arial" w:cs="Arial"/>
          <w:sz w:val="20"/>
          <w:szCs w:val="20"/>
        </w:rPr>
      </w:pPr>
      <w:r w:rsidRPr="00174CB8">
        <w:rPr>
          <w:rFonts w:ascii="Arial" w:hAnsi="Arial" w:cs="Arial"/>
          <w:sz w:val="20"/>
          <w:szCs w:val="20"/>
        </w:rPr>
        <w:t>Source: QOF 2019</w:t>
      </w:r>
    </w:p>
    <w:p w14:paraId="61DF1DC5" w14:textId="64BCBDB2" w:rsidR="005111BB" w:rsidRPr="007E7C26" w:rsidRDefault="005111BB" w:rsidP="00DC54F7">
      <w:pPr>
        <w:spacing w:after="0" w:line="240" w:lineRule="auto"/>
        <w:jc w:val="both"/>
        <w:rPr>
          <w:rFonts w:ascii="Arial" w:hAnsi="Arial" w:cs="Arial"/>
          <w:sz w:val="24"/>
          <w:szCs w:val="24"/>
        </w:rPr>
      </w:pPr>
      <w:r w:rsidRPr="007E7C26">
        <w:rPr>
          <w:rFonts w:ascii="Arial" w:hAnsi="Arial" w:cs="Arial"/>
          <w:sz w:val="24"/>
          <w:szCs w:val="24"/>
        </w:rPr>
        <w:t xml:space="preserve">Many of the factors that contribute to the inequalities in health and well-being are preventable. Table </w:t>
      </w:r>
      <w:r w:rsidR="003C1BEC" w:rsidRPr="007E7C26">
        <w:rPr>
          <w:rFonts w:ascii="Arial" w:hAnsi="Arial" w:cs="Arial"/>
          <w:sz w:val="24"/>
          <w:szCs w:val="24"/>
        </w:rPr>
        <w:t>10</w:t>
      </w:r>
      <w:r w:rsidRPr="007E7C26">
        <w:rPr>
          <w:rFonts w:ascii="Arial" w:hAnsi="Arial" w:cs="Arial"/>
          <w:sz w:val="24"/>
          <w:szCs w:val="24"/>
        </w:rPr>
        <w:t>.</w:t>
      </w:r>
      <w:r w:rsidR="005C2A25" w:rsidRPr="007E7C26">
        <w:rPr>
          <w:rFonts w:ascii="Arial" w:hAnsi="Arial" w:cs="Arial"/>
          <w:sz w:val="24"/>
          <w:szCs w:val="24"/>
        </w:rPr>
        <w:t>6</w:t>
      </w:r>
      <w:r w:rsidRPr="007E7C26">
        <w:rPr>
          <w:rFonts w:ascii="Arial" w:hAnsi="Arial" w:cs="Arial"/>
          <w:sz w:val="24"/>
          <w:szCs w:val="24"/>
        </w:rPr>
        <w:t xml:space="preserve"> shows the percentage of adults self-reporting five behaviours; where a lower percentage for smoking and drinking above the guidelines is seen as more beneficial to health and well-being as is a higher percentage for working age adults of healthy weight, meeting the physical activity guidelines and consuming </w:t>
      </w:r>
      <w:r w:rsidR="007453CD" w:rsidRPr="007E7C26">
        <w:rPr>
          <w:rFonts w:ascii="Arial" w:hAnsi="Arial" w:cs="Arial"/>
          <w:sz w:val="24"/>
          <w:szCs w:val="24"/>
        </w:rPr>
        <w:t>five</w:t>
      </w:r>
      <w:r w:rsidRPr="007E7C26">
        <w:rPr>
          <w:rFonts w:ascii="Arial" w:hAnsi="Arial" w:cs="Arial"/>
          <w:sz w:val="24"/>
          <w:szCs w:val="24"/>
        </w:rPr>
        <w:t xml:space="preserve"> a day. </w:t>
      </w:r>
    </w:p>
    <w:p w14:paraId="4785F18C" w14:textId="77777777" w:rsidR="005111BB" w:rsidRPr="007E7C26" w:rsidRDefault="005111BB" w:rsidP="00DC54F7">
      <w:pPr>
        <w:spacing w:after="0" w:line="240" w:lineRule="auto"/>
        <w:jc w:val="both"/>
        <w:rPr>
          <w:rFonts w:ascii="Arial" w:hAnsi="Arial" w:cs="Arial"/>
          <w:sz w:val="24"/>
          <w:szCs w:val="24"/>
        </w:rPr>
      </w:pPr>
    </w:p>
    <w:p w14:paraId="665EFE5D" w14:textId="27CBD2F6" w:rsidR="005C2A25" w:rsidRPr="007E7C26" w:rsidRDefault="005111BB" w:rsidP="00DC54F7">
      <w:pPr>
        <w:spacing w:after="0" w:line="240" w:lineRule="auto"/>
        <w:jc w:val="both"/>
        <w:rPr>
          <w:rFonts w:ascii="Arial" w:hAnsi="Arial" w:cs="Arial"/>
          <w:sz w:val="24"/>
          <w:szCs w:val="24"/>
        </w:rPr>
      </w:pPr>
      <w:r w:rsidRPr="007E7C26">
        <w:rPr>
          <w:rFonts w:ascii="Arial" w:hAnsi="Arial" w:cs="Arial"/>
          <w:sz w:val="24"/>
          <w:szCs w:val="24"/>
        </w:rPr>
        <w:t xml:space="preserve">Overall, the percentage of adults reporting behaviours which support healthy outcomes in Cardiff </w:t>
      </w:r>
      <w:r w:rsidR="005C2A25" w:rsidRPr="007E7C26">
        <w:rPr>
          <w:rFonts w:ascii="Arial" w:hAnsi="Arial" w:cs="Arial"/>
          <w:sz w:val="24"/>
          <w:szCs w:val="24"/>
        </w:rPr>
        <w:t xml:space="preserve">City and </w:t>
      </w:r>
      <w:r w:rsidRPr="007E7C26">
        <w:rPr>
          <w:rFonts w:ascii="Arial" w:hAnsi="Arial" w:cs="Arial"/>
          <w:sz w:val="24"/>
          <w:szCs w:val="24"/>
        </w:rPr>
        <w:t xml:space="preserve">South cluster is </w:t>
      </w:r>
      <w:r w:rsidR="00A76C18" w:rsidRPr="007E7C26">
        <w:rPr>
          <w:rFonts w:ascii="Arial" w:hAnsi="Arial" w:cs="Arial"/>
          <w:sz w:val="24"/>
          <w:szCs w:val="24"/>
        </w:rPr>
        <w:t>lower</w:t>
      </w:r>
      <w:r w:rsidRPr="007E7C26">
        <w:rPr>
          <w:rFonts w:ascii="Arial" w:hAnsi="Arial" w:cs="Arial"/>
          <w:sz w:val="24"/>
          <w:szCs w:val="24"/>
        </w:rPr>
        <w:t xml:space="preserve"> than</w:t>
      </w:r>
      <w:r w:rsidRPr="007E7C26">
        <w:rPr>
          <w:rFonts w:ascii="Arial" w:hAnsi="Arial" w:cs="Arial"/>
          <w:color w:val="000000"/>
          <w:sz w:val="24"/>
          <w:szCs w:val="24"/>
        </w:rPr>
        <w:t xml:space="preserve"> Cardiff and Vale University </w:t>
      </w:r>
      <w:r w:rsidRPr="007E7C26">
        <w:rPr>
          <w:rFonts w:ascii="Arial" w:hAnsi="Arial" w:cs="Arial"/>
          <w:sz w:val="24"/>
          <w:szCs w:val="24"/>
        </w:rPr>
        <w:t xml:space="preserve">Health Board and the average for Wales, except for </w:t>
      </w:r>
      <w:r w:rsidR="006D4E5C" w:rsidRPr="007E7C26">
        <w:rPr>
          <w:rFonts w:ascii="Arial" w:hAnsi="Arial" w:cs="Arial"/>
          <w:sz w:val="24"/>
          <w:szCs w:val="24"/>
        </w:rPr>
        <w:t>drinking above the guidelines</w:t>
      </w:r>
      <w:r w:rsidR="00CC2FC6" w:rsidRPr="007E7C26">
        <w:rPr>
          <w:rFonts w:ascii="Arial" w:hAnsi="Arial" w:cs="Arial"/>
          <w:sz w:val="24"/>
          <w:szCs w:val="24"/>
        </w:rPr>
        <w:t xml:space="preserve">. </w:t>
      </w:r>
      <w:r w:rsidR="00A953B3" w:rsidRPr="007E7C26">
        <w:rPr>
          <w:rFonts w:ascii="Arial" w:hAnsi="Arial" w:cs="Arial"/>
          <w:sz w:val="24"/>
          <w:szCs w:val="24"/>
        </w:rPr>
        <w:t xml:space="preserve">For </w:t>
      </w:r>
      <w:r w:rsidR="00285000" w:rsidRPr="007E7C26">
        <w:rPr>
          <w:rFonts w:ascii="Arial" w:hAnsi="Arial" w:cs="Arial"/>
          <w:sz w:val="24"/>
          <w:szCs w:val="24"/>
        </w:rPr>
        <w:t>meeting the physical ac</w:t>
      </w:r>
      <w:r w:rsidR="003B15B1" w:rsidRPr="007E7C26">
        <w:rPr>
          <w:rFonts w:ascii="Arial" w:hAnsi="Arial" w:cs="Arial"/>
          <w:sz w:val="24"/>
          <w:szCs w:val="24"/>
        </w:rPr>
        <w:t>tivity guidelines</w:t>
      </w:r>
      <w:r w:rsidR="00A953B3" w:rsidRPr="007E7C26">
        <w:rPr>
          <w:rFonts w:ascii="Arial" w:hAnsi="Arial" w:cs="Arial"/>
          <w:sz w:val="24"/>
          <w:szCs w:val="24"/>
        </w:rPr>
        <w:t>, Car</w:t>
      </w:r>
      <w:r w:rsidR="00B93F69" w:rsidRPr="007E7C26">
        <w:rPr>
          <w:rFonts w:ascii="Arial" w:hAnsi="Arial" w:cs="Arial"/>
          <w:sz w:val="24"/>
          <w:szCs w:val="24"/>
        </w:rPr>
        <w:t xml:space="preserve">diff City and South cluster </w:t>
      </w:r>
      <w:r w:rsidR="006272C9" w:rsidRPr="007E7C26">
        <w:rPr>
          <w:rFonts w:ascii="Arial" w:hAnsi="Arial" w:cs="Arial"/>
          <w:sz w:val="24"/>
          <w:szCs w:val="24"/>
        </w:rPr>
        <w:t xml:space="preserve">if higher that the average for </w:t>
      </w:r>
      <w:r w:rsidR="00CA6614" w:rsidRPr="007E7C26">
        <w:rPr>
          <w:rFonts w:ascii="Arial" w:hAnsi="Arial" w:cs="Arial"/>
          <w:sz w:val="24"/>
          <w:szCs w:val="24"/>
        </w:rPr>
        <w:t>Wales</w:t>
      </w:r>
      <w:r w:rsidR="003A0A32">
        <w:rPr>
          <w:rFonts w:ascii="Arial" w:hAnsi="Arial" w:cs="Arial"/>
          <w:sz w:val="24"/>
          <w:szCs w:val="24"/>
        </w:rPr>
        <w:t xml:space="preserve"> but lower than the health board.</w:t>
      </w:r>
    </w:p>
    <w:p w14:paraId="63A64657" w14:textId="4E05DF7F" w:rsidR="001140E4" w:rsidRDefault="001140E4" w:rsidP="00DC54F7">
      <w:pPr>
        <w:spacing w:after="0" w:line="240" w:lineRule="auto"/>
        <w:jc w:val="both"/>
        <w:rPr>
          <w:rFonts w:ascii="Arial" w:hAnsi="Arial" w:cs="Arial"/>
        </w:rPr>
      </w:pPr>
    </w:p>
    <w:p w14:paraId="525BFC47" w14:textId="2DEA1446" w:rsidR="00CD7A5C" w:rsidRDefault="00CD7A5C" w:rsidP="00DC54F7">
      <w:pPr>
        <w:spacing w:after="0" w:line="240" w:lineRule="auto"/>
        <w:jc w:val="both"/>
        <w:rPr>
          <w:rFonts w:ascii="Arial" w:hAnsi="Arial" w:cs="Arial"/>
        </w:rPr>
      </w:pPr>
    </w:p>
    <w:p w14:paraId="08188B2A" w14:textId="309F738B" w:rsidR="00CD7A5C" w:rsidRDefault="00CD7A5C" w:rsidP="00DC54F7">
      <w:pPr>
        <w:spacing w:after="0" w:line="240" w:lineRule="auto"/>
        <w:jc w:val="both"/>
        <w:rPr>
          <w:rFonts w:ascii="Arial" w:hAnsi="Arial" w:cs="Arial"/>
        </w:rPr>
      </w:pPr>
    </w:p>
    <w:p w14:paraId="7020788E" w14:textId="28BDD05B" w:rsidR="00CD7A5C" w:rsidRDefault="00CD7A5C" w:rsidP="00DC54F7">
      <w:pPr>
        <w:spacing w:after="0" w:line="240" w:lineRule="auto"/>
        <w:jc w:val="both"/>
        <w:rPr>
          <w:rFonts w:ascii="Arial" w:hAnsi="Arial" w:cs="Arial"/>
        </w:rPr>
      </w:pPr>
    </w:p>
    <w:p w14:paraId="14EEF4C6" w14:textId="2E310EDF" w:rsidR="00CD7A5C" w:rsidRDefault="00CD7A5C" w:rsidP="00DC54F7">
      <w:pPr>
        <w:spacing w:after="0" w:line="240" w:lineRule="auto"/>
        <w:jc w:val="both"/>
        <w:rPr>
          <w:rFonts w:ascii="Arial" w:hAnsi="Arial" w:cs="Arial"/>
        </w:rPr>
      </w:pPr>
    </w:p>
    <w:p w14:paraId="2B144AAB" w14:textId="44814ACD" w:rsidR="00CD7A5C" w:rsidRDefault="00CD7A5C" w:rsidP="00DC54F7">
      <w:pPr>
        <w:spacing w:after="0" w:line="240" w:lineRule="auto"/>
        <w:jc w:val="both"/>
        <w:rPr>
          <w:rFonts w:ascii="Arial" w:hAnsi="Arial" w:cs="Arial"/>
        </w:rPr>
      </w:pPr>
    </w:p>
    <w:p w14:paraId="2F1F7BA8" w14:textId="65D7A60F" w:rsidR="00CD7A5C" w:rsidRDefault="00CD7A5C" w:rsidP="00DC54F7">
      <w:pPr>
        <w:jc w:val="both"/>
        <w:rPr>
          <w:rFonts w:ascii="Arial" w:hAnsi="Arial" w:cs="Arial"/>
        </w:rPr>
      </w:pPr>
      <w:r>
        <w:rPr>
          <w:rFonts w:ascii="Arial" w:hAnsi="Arial" w:cs="Arial"/>
        </w:rPr>
        <w:br w:type="page"/>
      </w:r>
    </w:p>
    <w:p w14:paraId="559CEDA3" w14:textId="2126BE4B" w:rsidR="0063382E" w:rsidRPr="007E7C26" w:rsidRDefault="00733ACE" w:rsidP="00DC54F7">
      <w:pPr>
        <w:pStyle w:val="Caption"/>
        <w:spacing w:before="0" w:after="0"/>
        <w:jc w:val="both"/>
        <w:rPr>
          <w:rFonts w:ascii="Arial" w:hAnsi="Arial" w:cs="Arial"/>
          <w:szCs w:val="24"/>
        </w:rPr>
      </w:pPr>
      <w:r w:rsidRPr="007E7C26">
        <w:rPr>
          <w:rFonts w:ascii="Arial" w:hAnsi="Arial" w:cs="Arial"/>
          <w:szCs w:val="24"/>
        </w:rPr>
        <w:lastRenderedPageBreak/>
        <w:t>Table 10.</w:t>
      </w:r>
      <w:r w:rsidR="00616929" w:rsidRPr="007E7C26">
        <w:rPr>
          <w:rFonts w:ascii="Arial" w:hAnsi="Arial" w:cs="Arial"/>
          <w:szCs w:val="24"/>
        </w:rPr>
        <w:t>6</w:t>
      </w:r>
      <w:r w:rsidRPr="007E7C26">
        <w:rPr>
          <w:rFonts w:ascii="Arial" w:hAnsi="Arial" w:cs="Arial"/>
          <w:szCs w:val="24"/>
        </w:rPr>
        <w:t>: Percentage of adults (aged 16 years and over) reporting behaviours by cluster, health board and Wales, 2016 to 2018</w:t>
      </w:r>
    </w:p>
    <w:tbl>
      <w:tblPr>
        <w:tblW w:w="9554"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176"/>
        <w:gridCol w:w="1229"/>
        <w:gridCol w:w="246"/>
        <w:gridCol w:w="984"/>
        <w:gridCol w:w="492"/>
        <w:gridCol w:w="738"/>
        <w:gridCol w:w="737"/>
        <w:gridCol w:w="492"/>
        <w:gridCol w:w="984"/>
        <w:gridCol w:w="246"/>
        <w:gridCol w:w="1230"/>
      </w:tblGrid>
      <w:tr w:rsidR="00F1168A" w:rsidRPr="00F1168A" w14:paraId="28176CCA" w14:textId="77777777" w:rsidTr="003F5B17">
        <w:trPr>
          <w:trHeight w:val="293"/>
        </w:trPr>
        <w:tc>
          <w:tcPr>
            <w:tcW w:w="2176" w:type="dxa"/>
            <w:shd w:val="clear" w:color="auto" w:fill="8497B0"/>
            <w:noWrap/>
            <w:vAlign w:val="center"/>
            <w:hideMark/>
          </w:tcPr>
          <w:p w14:paraId="5211215F" w14:textId="77777777" w:rsidR="00F1168A" w:rsidRPr="003F5B17" w:rsidRDefault="00F1168A"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 </w:t>
            </w:r>
          </w:p>
        </w:tc>
        <w:tc>
          <w:tcPr>
            <w:tcW w:w="1475" w:type="dxa"/>
            <w:gridSpan w:val="2"/>
            <w:shd w:val="clear" w:color="auto" w:fill="8497B0"/>
            <w:noWrap/>
            <w:vAlign w:val="center"/>
            <w:hideMark/>
          </w:tcPr>
          <w:p w14:paraId="763A2328" w14:textId="77777777" w:rsidR="00F1168A" w:rsidRPr="003F5B17" w:rsidRDefault="00F1168A"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Count</w:t>
            </w:r>
          </w:p>
        </w:tc>
        <w:tc>
          <w:tcPr>
            <w:tcW w:w="1476" w:type="dxa"/>
            <w:gridSpan w:val="2"/>
            <w:shd w:val="clear" w:color="auto" w:fill="8497B0"/>
            <w:noWrap/>
            <w:vAlign w:val="center"/>
            <w:hideMark/>
          </w:tcPr>
          <w:p w14:paraId="2F63BA15" w14:textId="77777777" w:rsidR="00F1168A" w:rsidRPr="003F5B17" w:rsidRDefault="00F1168A"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 </w:t>
            </w:r>
          </w:p>
        </w:tc>
        <w:tc>
          <w:tcPr>
            <w:tcW w:w="1475" w:type="dxa"/>
            <w:gridSpan w:val="2"/>
            <w:shd w:val="clear" w:color="auto" w:fill="8497B0"/>
            <w:noWrap/>
            <w:vAlign w:val="center"/>
            <w:hideMark/>
          </w:tcPr>
          <w:p w14:paraId="1FE6778C" w14:textId="77777777" w:rsidR="00F1168A" w:rsidRPr="003F5B17" w:rsidRDefault="00F1168A"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 </w:t>
            </w:r>
          </w:p>
        </w:tc>
        <w:tc>
          <w:tcPr>
            <w:tcW w:w="1476" w:type="dxa"/>
            <w:gridSpan w:val="2"/>
            <w:shd w:val="clear" w:color="auto" w:fill="8497B0"/>
            <w:noWrap/>
            <w:vAlign w:val="center"/>
            <w:hideMark/>
          </w:tcPr>
          <w:p w14:paraId="6784E703" w14:textId="77777777" w:rsidR="00F1168A" w:rsidRPr="003F5B17" w:rsidRDefault="00F1168A"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Prevalence</w:t>
            </w:r>
          </w:p>
        </w:tc>
        <w:tc>
          <w:tcPr>
            <w:tcW w:w="1476" w:type="dxa"/>
            <w:gridSpan w:val="2"/>
            <w:shd w:val="clear" w:color="auto" w:fill="8497B0"/>
            <w:noWrap/>
            <w:vAlign w:val="center"/>
            <w:hideMark/>
          </w:tcPr>
          <w:p w14:paraId="709F3DEC" w14:textId="77777777" w:rsidR="00F1168A" w:rsidRPr="003F5B17" w:rsidRDefault="00F1168A"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 </w:t>
            </w:r>
          </w:p>
        </w:tc>
      </w:tr>
      <w:tr w:rsidR="00F1168A" w:rsidRPr="00F1168A" w14:paraId="579B33C4" w14:textId="77777777" w:rsidTr="003F5B17">
        <w:trPr>
          <w:trHeight w:val="1330"/>
        </w:trPr>
        <w:tc>
          <w:tcPr>
            <w:tcW w:w="2176" w:type="dxa"/>
            <w:shd w:val="clear" w:color="auto" w:fill="8497B0"/>
            <w:vAlign w:val="center"/>
            <w:hideMark/>
          </w:tcPr>
          <w:p w14:paraId="25B54425" w14:textId="77777777" w:rsidR="00F1168A" w:rsidRPr="003F5B17" w:rsidRDefault="00F1168A"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GP Cluster Name</w:t>
            </w:r>
          </w:p>
        </w:tc>
        <w:tc>
          <w:tcPr>
            <w:tcW w:w="1229" w:type="dxa"/>
            <w:shd w:val="clear" w:color="auto" w:fill="8497B0"/>
            <w:vAlign w:val="center"/>
            <w:hideMark/>
          </w:tcPr>
          <w:p w14:paraId="36041336" w14:textId="77777777" w:rsidR="00F1168A" w:rsidRPr="003F5B17" w:rsidRDefault="00F1168A"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GP cluster population aged 16+</w:t>
            </w:r>
          </w:p>
        </w:tc>
        <w:tc>
          <w:tcPr>
            <w:tcW w:w="1230" w:type="dxa"/>
            <w:gridSpan w:val="2"/>
            <w:shd w:val="clear" w:color="auto" w:fill="8497B0"/>
            <w:vAlign w:val="center"/>
            <w:hideMark/>
          </w:tcPr>
          <w:p w14:paraId="5561DB4D" w14:textId="77777777" w:rsidR="00F1168A" w:rsidRPr="003F5B17" w:rsidRDefault="00F1168A"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Smoking</w:t>
            </w:r>
          </w:p>
        </w:tc>
        <w:tc>
          <w:tcPr>
            <w:tcW w:w="1230" w:type="dxa"/>
            <w:gridSpan w:val="2"/>
            <w:shd w:val="clear" w:color="auto" w:fill="8497B0"/>
            <w:vAlign w:val="center"/>
            <w:hideMark/>
          </w:tcPr>
          <w:p w14:paraId="26270D43" w14:textId="77777777" w:rsidR="00F1168A" w:rsidRPr="003F5B17" w:rsidRDefault="00F1168A"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Drinking the above guidelines</w:t>
            </w:r>
          </w:p>
        </w:tc>
        <w:tc>
          <w:tcPr>
            <w:tcW w:w="1229" w:type="dxa"/>
            <w:gridSpan w:val="2"/>
            <w:shd w:val="clear" w:color="auto" w:fill="8497B0"/>
            <w:vAlign w:val="center"/>
            <w:hideMark/>
          </w:tcPr>
          <w:p w14:paraId="43349995" w14:textId="77777777" w:rsidR="00F1168A" w:rsidRPr="003F5B17" w:rsidRDefault="00F1168A"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Working age adults of healthy weight</w:t>
            </w:r>
          </w:p>
        </w:tc>
        <w:tc>
          <w:tcPr>
            <w:tcW w:w="1230" w:type="dxa"/>
            <w:gridSpan w:val="2"/>
            <w:shd w:val="clear" w:color="auto" w:fill="8497B0"/>
            <w:vAlign w:val="center"/>
            <w:hideMark/>
          </w:tcPr>
          <w:p w14:paraId="53F4C597" w14:textId="77777777" w:rsidR="00F1168A" w:rsidRPr="003F5B17" w:rsidRDefault="00F1168A"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Meeting physical activity guidelines</w:t>
            </w:r>
          </w:p>
        </w:tc>
        <w:tc>
          <w:tcPr>
            <w:tcW w:w="1230" w:type="dxa"/>
            <w:shd w:val="clear" w:color="auto" w:fill="8497B0"/>
            <w:vAlign w:val="center"/>
            <w:hideMark/>
          </w:tcPr>
          <w:p w14:paraId="704D113D" w14:textId="77777777" w:rsidR="00F1168A" w:rsidRPr="003F5B17" w:rsidRDefault="00F1168A" w:rsidP="00DC54F7">
            <w:pPr>
              <w:spacing w:after="0" w:line="240" w:lineRule="auto"/>
              <w:jc w:val="both"/>
              <w:rPr>
                <w:rFonts w:eastAsia="Times New Roman" w:cstheme="minorHAnsi"/>
                <w:b/>
                <w:bCs/>
                <w:color w:val="FFFFFF"/>
                <w:lang w:eastAsia="en-GB"/>
              </w:rPr>
            </w:pPr>
            <w:r w:rsidRPr="003F5B17">
              <w:rPr>
                <w:rFonts w:eastAsia="Times New Roman" w:cstheme="minorHAnsi"/>
                <w:b/>
                <w:bCs/>
                <w:color w:val="FFFFFF"/>
                <w:lang w:eastAsia="en-GB"/>
              </w:rPr>
              <w:t>Consuming 5 a day</w:t>
            </w:r>
          </w:p>
        </w:tc>
      </w:tr>
      <w:tr w:rsidR="00F1168A" w:rsidRPr="00F1168A" w14:paraId="0770C57A" w14:textId="77777777" w:rsidTr="003F5B17">
        <w:trPr>
          <w:trHeight w:val="303"/>
        </w:trPr>
        <w:tc>
          <w:tcPr>
            <w:tcW w:w="2176" w:type="dxa"/>
            <w:shd w:val="clear" w:color="000000" w:fill="F2F2F2"/>
            <w:noWrap/>
            <w:vAlign w:val="center"/>
            <w:hideMark/>
          </w:tcPr>
          <w:p w14:paraId="781DC18A" w14:textId="2A9A3A3C"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Cardiff</w:t>
            </w:r>
            <w:r w:rsidR="00B93F69" w:rsidRPr="003F5B17">
              <w:rPr>
                <w:rFonts w:eastAsia="Times New Roman" w:cstheme="minorHAnsi"/>
                <w:color w:val="000000"/>
                <w:lang w:eastAsia="en-GB"/>
              </w:rPr>
              <w:t xml:space="preserve"> City &amp;</w:t>
            </w:r>
            <w:r w:rsidRPr="003F5B17">
              <w:rPr>
                <w:rFonts w:eastAsia="Times New Roman" w:cstheme="minorHAnsi"/>
                <w:color w:val="000000"/>
                <w:lang w:eastAsia="en-GB"/>
              </w:rPr>
              <w:t xml:space="preserve"> South</w:t>
            </w:r>
          </w:p>
        </w:tc>
        <w:tc>
          <w:tcPr>
            <w:tcW w:w="1229" w:type="dxa"/>
            <w:shd w:val="clear" w:color="000000" w:fill="F2F2F2"/>
            <w:noWrap/>
            <w:vAlign w:val="center"/>
            <w:hideMark/>
          </w:tcPr>
          <w:p w14:paraId="2896B515"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32,510</w:t>
            </w:r>
          </w:p>
        </w:tc>
        <w:tc>
          <w:tcPr>
            <w:tcW w:w="1230" w:type="dxa"/>
            <w:gridSpan w:val="2"/>
            <w:shd w:val="clear" w:color="000000" w:fill="F2F2F2"/>
            <w:noWrap/>
            <w:vAlign w:val="center"/>
            <w:hideMark/>
          </w:tcPr>
          <w:p w14:paraId="38ADBA79"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26.1</w:t>
            </w:r>
          </w:p>
        </w:tc>
        <w:tc>
          <w:tcPr>
            <w:tcW w:w="1230" w:type="dxa"/>
            <w:gridSpan w:val="2"/>
            <w:shd w:val="clear" w:color="000000" w:fill="F2F2F2"/>
            <w:noWrap/>
            <w:vAlign w:val="center"/>
            <w:hideMark/>
          </w:tcPr>
          <w:p w14:paraId="7BD7979C"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16.8</w:t>
            </w:r>
          </w:p>
        </w:tc>
        <w:tc>
          <w:tcPr>
            <w:tcW w:w="1229" w:type="dxa"/>
            <w:gridSpan w:val="2"/>
            <w:shd w:val="clear" w:color="000000" w:fill="F2F2F2"/>
            <w:noWrap/>
            <w:vAlign w:val="center"/>
            <w:hideMark/>
          </w:tcPr>
          <w:p w14:paraId="18E02BD8"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37.2</w:t>
            </w:r>
          </w:p>
        </w:tc>
        <w:tc>
          <w:tcPr>
            <w:tcW w:w="1230" w:type="dxa"/>
            <w:gridSpan w:val="2"/>
            <w:shd w:val="clear" w:color="000000" w:fill="F2F2F2"/>
            <w:noWrap/>
            <w:vAlign w:val="center"/>
            <w:hideMark/>
          </w:tcPr>
          <w:p w14:paraId="6AFEADCC"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53.0</w:t>
            </w:r>
          </w:p>
        </w:tc>
        <w:tc>
          <w:tcPr>
            <w:tcW w:w="1230" w:type="dxa"/>
            <w:shd w:val="clear" w:color="000000" w:fill="F2F2F2"/>
            <w:noWrap/>
            <w:vAlign w:val="center"/>
            <w:hideMark/>
          </w:tcPr>
          <w:p w14:paraId="475E4B04"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21.5</w:t>
            </w:r>
          </w:p>
        </w:tc>
      </w:tr>
      <w:tr w:rsidR="00F1168A" w:rsidRPr="00F1168A" w14:paraId="2052F9D7" w14:textId="77777777" w:rsidTr="003F5B17">
        <w:trPr>
          <w:trHeight w:val="303"/>
        </w:trPr>
        <w:tc>
          <w:tcPr>
            <w:tcW w:w="2176" w:type="dxa"/>
            <w:shd w:val="clear" w:color="000000" w:fill="FFFFFF"/>
            <w:noWrap/>
            <w:vAlign w:val="center"/>
            <w:hideMark/>
          </w:tcPr>
          <w:p w14:paraId="0C5497D0"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Cardiff and Vale UHB</w:t>
            </w:r>
          </w:p>
        </w:tc>
        <w:tc>
          <w:tcPr>
            <w:tcW w:w="1229" w:type="dxa"/>
            <w:shd w:val="clear" w:color="000000" w:fill="FFFFFF"/>
            <w:noWrap/>
            <w:vAlign w:val="center"/>
            <w:hideMark/>
          </w:tcPr>
          <w:p w14:paraId="2450CCC6"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420,119</w:t>
            </w:r>
          </w:p>
        </w:tc>
        <w:tc>
          <w:tcPr>
            <w:tcW w:w="1230" w:type="dxa"/>
            <w:gridSpan w:val="2"/>
            <w:shd w:val="clear" w:color="000000" w:fill="FFFFFF"/>
            <w:noWrap/>
            <w:vAlign w:val="center"/>
            <w:hideMark/>
          </w:tcPr>
          <w:p w14:paraId="4ACC82F9"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19.3</w:t>
            </w:r>
          </w:p>
        </w:tc>
        <w:tc>
          <w:tcPr>
            <w:tcW w:w="1230" w:type="dxa"/>
            <w:gridSpan w:val="2"/>
            <w:shd w:val="clear" w:color="000000" w:fill="FFFFFF"/>
            <w:noWrap/>
            <w:vAlign w:val="center"/>
            <w:hideMark/>
          </w:tcPr>
          <w:p w14:paraId="22C96965"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18.9</w:t>
            </w:r>
          </w:p>
        </w:tc>
        <w:tc>
          <w:tcPr>
            <w:tcW w:w="1229" w:type="dxa"/>
            <w:gridSpan w:val="2"/>
            <w:shd w:val="clear" w:color="000000" w:fill="FFFFFF"/>
            <w:noWrap/>
            <w:vAlign w:val="center"/>
            <w:hideMark/>
          </w:tcPr>
          <w:p w14:paraId="23DD007D"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40.8</w:t>
            </w:r>
          </w:p>
        </w:tc>
        <w:tc>
          <w:tcPr>
            <w:tcW w:w="1230" w:type="dxa"/>
            <w:gridSpan w:val="2"/>
            <w:shd w:val="clear" w:color="000000" w:fill="FFFFFF"/>
            <w:noWrap/>
            <w:vAlign w:val="center"/>
            <w:hideMark/>
          </w:tcPr>
          <w:p w14:paraId="7068891C"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55.1</w:t>
            </w:r>
          </w:p>
        </w:tc>
        <w:tc>
          <w:tcPr>
            <w:tcW w:w="1230" w:type="dxa"/>
            <w:shd w:val="clear" w:color="000000" w:fill="FFFFFF"/>
            <w:noWrap/>
            <w:vAlign w:val="center"/>
            <w:hideMark/>
          </w:tcPr>
          <w:p w14:paraId="7560DEDF"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24.2</w:t>
            </w:r>
          </w:p>
        </w:tc>
      </w:tr>
      <w:tr w:rsidR="00F1168A" w:rsidRPr="00F1168A" w14:paraId="17C59C04" w14:textId="77777777" w:rsidTr="003F5B17">
        <w:trPr>
          <w:trHeight w:val="303"/>
        </w:trPr>
        <w:tc>
          <w:tcPr>
            <w:tcW w:w="2176" w:type="dxa"/>
            <w:shd w:val="clear" w:color="000000" w:fill="F2F2F2"/>
            <w:noWrap/>
            <w:vAlign w:val="center"/>
            <w:hideMark/>
          </w:tcPr>
          <w:p w14:paraId="2A476514"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Wales</w:t>
            </w:r>
          </w:p>
        </w:tc>
        <w:tc>
          <w:tcPr>
            <w:tcW w:w="1229" w:type="dxa"/>
            <w:shd w:val="clear" w:color="000000" w:fill="F2F2F2"/>
            <w:noWrap/>
            <w:vAlign w:val="center"/>
            <w:hideMark/>
          </w:tcPr>
          <w:p w14:paraId="0FFD7E0B"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2,642,152</w:t>
            </w:r>
          </w:p>
        </w:tc>
        <w:tc>
          <w:tcPr>
            <w:tcW w:w="1230" w:type="dxa"/>
            <w:gridSpan w:val="2"/>
            <w:shd w:val="clear" w:color="000000" w:fill="F2F2F2"/>
            <w:noWrap/>
            <w:vAlign w:val="center"/>
            <w:hideMark/>
          </w:tcPr>
          <w:p w14:paraId="0AD9344E"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19.2</w:t>
            </w:r>
          </w:p>
        </w:tc>
        <w:tc>
          <w:tcPr>
            <w:tcW w:w="1230" w:type="dxa"/>
            <w:gridSpan w:val="2"/>
            <w:shd w:val="clear" w:color="000000" w:fill="F2F2F2"/>
            <w:noWrap/>
            <w:vAlign w:val="center"/>
            <w:hideMark/>
          </w:tcPr>
          <w:p w14:paraId="49B852AD"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18.9</w:t>
            </w:r>
          </w:p>
        </w:tc>
        <w:tc>
          <w:tcPr>
            <w:tcW w:w="1229" w:type="dxa"/>
            <w:gridSpan w:val="2"/>
            <w:shd w:val="clear" w:color="000000" w:fill="F2F2F2"/>
            <w:noWrap/>
            <w:vAlign w:val="center"/>
            <w:hideMark/>
          </w:tcPr>
          <w:p w14:paraId="3F48957C"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39.1</w:t>
            </w:r>
          </w:p>
        </w:tc>
        <w:tc>
          <w:tcPr>
            <w:tcW w:w="1230" w:type="dxa"/>
            <w:gridSpan w:val="2"/>
            <w:shd w:val="clear" w:color="000000" w:fill="F2F2F2"/>
            <w:noWrap/>
            <w:vAlign w:val="center"/>
            <w:hideMark/>
          </w:tcPr>
          <w:p w14:paraId="5E9B7955"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52.8</w:t>
            </w:r>
          </w:p>
        </w:tc>
        <w:tc>
          <w:tcPr>
            <w:tcW w:w="1230" w:type="dxa"/>
            <w:shd w:val="clear" w:color="000000" w:fill="F2F2F2"/>
            <w:noWrap/>
            <w:vAlign w:val="center"/>
            <w:hideMark/>
          </w:tcPr>
          <w:p w14:paraId="0D8A9011" w14:textId="77777777" w:rsidR="00F1168A" w:rsidRPr="003F5B17" w:rsidRDefault="00F1168A" w:rsidP="00DC54F7">
            <w:pPr>
              <w:spacing w:after="0" w:line="240" w:lineRule="auto"/>
              <w:jc w:val="both"/>
              <w:rPr>
                <w:rFonts w:eastAsia="Times New Roman" w:cstheme="minorHAnsi"/>
                <w:color w:val="000000"/>
                <w:lang w:eastAsia="en-GB"/>
              </w:rPr>
            </w:pPr>
            <w:r w:rsidRPr="003F5B17">
              <w:rPr>
                <w:rFonts w:eastAsia="Times New Roman" w:cstheme="minorHAnsi"/>
                <w:color w:val="000000"/>
                <w:lang w:eastAsia="en-GB"/>
              </w:rPr>
              <w:t>23.4</w:t>
            </w:r>
          </w:p>
        </w:tc>
      </w:tr>
    </w:tbl>
    <w:p w14:paraId="1467D1A1" w14:textId="2126BCF9" w:rsidR="005111BB" w:rsidRDefault="005111BB" w:rsidP="00DC54F7">
      <w:pPr>
        <w:spacing w:after="0" w:line="240" w:lineRule="auto"/>
        <w:jc w:val="both"/>
        <w:rPr>
          <w:rFonts w:ascii="Arial" w:hAnsi="Arial" w:cs="Arial"/>
          <w:sz w:val="20"/>
          <w:szCs w:val="20"/>
        </w:rPr>
      </w:pPr>
      <w:r w:rsidRPr="00DD3817">
        <w:rPr>
          <w:rFonts w:ascii="Arial" w:hAnsi="Arial" w:cs="Arial"/>
          <w:sz w:val="20"/>
          <w:szCs w:val="20"/>
        </w:rPr>
        <w:t>Source: Public Health Wales Observatory, using NSW (WG), WDS (NWIS) and WIMD 2014 (WG). Please note, the calculation of the healthy weight indicator only accounts for working age adults (aged 16-64)</w:t>
      </w:r>
    </w:p>
    <w:p w14:paraId="662C70AD" w14:textId="51EB93FC" w:rsidR="00D465A7" w:rsidRDefault="00D465A7" w:rsidP="00DC54F7">
      <w:pPr>
        <w:spacing w:after="0" w:line="240" w:lineRule="auto"/>
        <w:jc w:val="both"/>
        <w:rPr>
          <w:rFonts w:ascii="Arial" w:hAnsi="Arial" w:cs="Arial"/>
          <w:sz w:val="20"/>
          <w:szCs w:val="20"/>
        </w:rPr>
      </w:pPr>
    </w:p>
    <w:p w14:paraId="5598FD0B" w14:textId="77777777" w:rsidR="00D465A7" w:rsidRDefault="00D465A7" w:rsidP="00DC54F7">
      <w:pPr>
        <w:spacing w:after="0" w:line="240" w:lineRule="auto"/>
        <w:jc w:val="both"/>
        <w:rPr>
          <w:rFonts w:ascii="Arial" w:hAnsi="Arial" w:cs="Arial"/>
          <w:sz w:val="20"/>
          <w:szCs w:val="20"/>
        </w:rPr>
      </w:pPr>
    </w:p>
    <w:p w14:paraId="2F956EC9" w14:textId="3686D20C" w:rsidR="00A47D3A" w:rsidRDefault="00D465A7" w:rsidP="00DC54F7">
      <w:pPr>
        <w:spacing w:after="0" w:line="240" w:lineRule="auto"/>
        <w:jc w:val="both"/>
        <w:rPr>
          <w:rFonts w:ascii="Arial" w:hAnsi="Arial" w:cs="Arial"/>
          <w:b/>
          <w:bCs/>
          <w:sz w:val="24"/>
          <w:szCs w:val="24"/>
        </w:rPr>
      </w:pPr>
      <w:r>
        <w:rPr>
          <w:rFonts w:ascii="Arial" w:hAnsi="Arial" w:cs="Arial"/>
          <w:b/>
          <w:bCs/>
          <w:sz w:val="24"/>
          <w:szCs w:val="24"/>
        </w:rPr>
        <w:t xml:space="preserve">10.1.5 </w:t>
      </w:r>
      <w:r w:rsidR="00071F42" w:rsidRPr="00071F42">
        <w:rPr>
          <w:rFonts w:ascii="Arial" w:hAnsi="Arial" w:cs="Arial"/>
          <w:b/>
          <w:bCs/>
          <w:sz w:val="24"/>
          <w:szCs w:val="24"/>
        </w:rPr>
        <w:t>Cluster developments</w:t>
      </w:r>
    </w:p>
    <w:p w14:paraId="011E8C53" w14:textId="77777777" w:rsidR="00D465A7" w:rsidRDefault="00D465A7" w:rsidP="00DC54F7">
      <w:pPr>
        <w:spacing w:after="0" w:line="240" w:lineRule="auto"/>
        <w:jc w:val="both"/>
        <w:rPr>
          <w:rFonts w:ascii="Arial" w:hAnsi="Arial" w:cs="Arial"/>
        </w:rPr>
      </w:pPr>
    </w:p>
    <w:p w14:paraId="5F665B05" w14:textId="6930684F" w:rsidR="006D7609" w:rsidRPr="00D465A7" w:rsidRDefault="00353C92" w:rsidP="00DC54F7">
      <w:pPr>
        <w:spacing w:after="0" w:line="240" w:lineRule="auto"/>
        <w:jc w:val="both"/>
        <w:rPr>
          <w:rFonts w:ascii="Arial" w:hAnsi="Arial" w:cs="Arial"/>
          <w:sz w:val="24"/>
          <w:szCs w:val="24"/>
        </w:rPr>
      </w:pPr>
      <w:r w:rsidRPr="00D465A7">
        <w:rPr>
          <w:rFonts w:ascii="Arial" w:hAnsi="Arial" w:cs="Arial"/>
          <w:sz w:val="24"/>
          <w:szCs w:val="24"/>
        </w:rPr>
        <w:t xml:space="preserve">There are two major developments planned within this </w:t>
      </w:r>
      <w:r w:rsidR="006D7609" w:rsidRPr="00D465A7">
        <w:rPr>
          <w:rFonts w:ascii="Arial" w:hAnsi="Arial" w:cs="Arial"/>
          <w:sz w:val="24"/>
          <w:szCs w:val="24"/>
        </w:rPr>
        <w:t xml:space="preserve">Cardiff City &amp; South </w:t>
      </w:r>
      <w:r w:rsidRPr="00D465A7">
        <w:rPr>
          <w:rFonts w:ascii="Arial" w:hAnsi="Arial" w:cs="Arial"/>
          <w:sz w:val="24"/>
          <w:szCs w:val="24"/>
        </w:rPr>
        <w:t>cluster</w:t>
      </w:r>
      <w:r w:rsidR="00C01CD0" w:rsidRPr="00D465A7">
        <w:rPr>
          <w:rFonts w:ascii="Arial" w:hAnsi="Arial" w:cs="Arial"/>
          <w:sz w:val="24"/>
          <w:szCs w:val="24"/>
        </w:rPr>
        <w:t xml:space="preserve"> </w:t>
      </w:r>
      <w:r w:rsidR="006D7609" w:rsidRPr="00D465A7">
        <w:rPr>
          <w:rFonts w:ascii="Arial" w:hAnsi="Arial" w:cs="Arial"/>
          <w:sz w:val="24"/>
          <w:szCs w:val="24"/>
        </w:rPr>
        <w:t>to be completed by 2026 in line with the Cardiff Local Development Plan 2006 to 2026. These are:</w:t>
      </w:r>
    </w:p>
    <w:p w14:paraId="74BECB0B" w14:textId="77777777" w:rsidR="006D7609" w:rsidRPr="00D465A7" w:rsidRDefault="006D7609" w:rsidP="00DC54F7">
      <w:pPr>
        <w:spacing w:after="0" w:line="240" w:lineRule="auto"/>
        <w:jc w:val="both"/>
        <w:rPr>
          <w:rFonts w:ascii="Arial" w:hAnsi="Arial" w:cs="Arial"/>
          <w:sz w:val="24"/>
          <w:szCs w:val="24"/>
        </w:rPr>
      </w:pPr>
    </w:p>
    <w:p w14:paraId="3A849213" w14:textId="77777777" w:rsidR="00C01CD0" w:rsidRPr="00D465A7" w:rsidRDefault="00F739C5" w:rsidP="00DC54F7">
      <w:pPr>
        <w:spacing w:after="0" w:line="240" w:lineRule="auto"/>
        <w:jc w:val="both"/>
        <w:rPr>
          <w:rFonts w:ascii="Arial" w:hAnsi="Arial" w:cs="Arial"/>
          <w:sz w:val="24"/>
          <w:szCs w:val="24"/>
        </w:rPr>
      </w:pPr>
      <w:r w:rsidRPr="00D465A7">
        <w:rPr>
          <w:rFonts w:ascii="Arial" w:hAnsi="Arial" w:cs="Arial"/>
          <w:b/>
          <w:bCs/>
          <w:sz w:val="24"/>
          <w:szCs w:val="24"/>
        </w:rPr>
        <w:t>The Cardiff Central Enterprise Zone</w:t>
      </w:r>
      <w:r w:rsidR="00D41C96" w:rsidRPr="00D465A7">
        <w:rPr>
          <w:rFonts w:ascii="Arial" w:hAnsi="Arial" w:cs="Arial"/>
          <w:sz w:val="24"/>
          <w:szCs w:val="24"/>
        </w:rPr>
        <w:t xml:space="preserve"> </w:t>
      </w:r>
    </w:p>
    <w:p w14:paraId="00977FD3" w14:textId="77777777" w:rsidR="00C01CD0" w:rsidRPr="00D465A7" w:rsidRDefault="00C01CD0" w:rsidP="00DC54F7">
      <w:pPr>
        <w:spacing w:after="0" w:line="240" w:lineRule="auto"/>
        <w:jc w:val="both"/>
        <w:rPr>
          <w:rFonts w:ascii="Arial" w:hAnsi="Arial" w:cs="Arial"/>
          <w:sz w:val="24"/>
          <w:szCs w:val="24"/>
        </w:rPr>
      </w:pPr>
    </w:p>
    <w:p w14:paraId="03869B93" w14:textId="48F8A7C5" w:rsidR="00CC6CCC" w:rsidRPr="00D465A7" w:rsidRDefault="00C01CD0" w:rsidP="00DC54F7">
      <w:pPr>
        <w:spacing w:after="0" w:line="240" w:lineRule="auto"/>
        <w:jc w:val="both"/>
        <w:rPr>
          <w:rFonts w:ascii="Arial" w:hAnsi="Arial" w:cs="Arial"/>
          <w:sz w:val="24"/>
          <w:szCs w:val="24"/>
        </w:rPr>
      </w:pPr>
      <w:r w:rsidRPr="00D465A7">
        <w:rPr>
          <w:rFonts w:ascii="Arial" w:hAnsi="Arial" w:cs="Arial"/>
          <w:sz w:val="24"/>
          <w:szCs w:val="24"/>
        </w:rPr>
        <w:t xml:space="preserve">This site </w:t>
      </w:r>
      <w:r w:rsidR="00F739C5" w:rsidRPr="00D465A7">
        <w:rPr>
          <w:rFonts w:ascii="Arial" w:hAnsi="Arial" w:cs="Arial"/>
          <w:sz w:val="24"/>
          <w:szCs w:val="24"/>
        </w:rPr>
        <w:t xml:space="preserve">is a major employment-led initiative </w:t>
      </w:r>
      <w:r w:rsidR="004737C6" w:rsidRPr="00D465A7">
        <w:rPr>
          <w:rFonts w:ascii="Arial" w:hAnsi="Arial" w:cs="Arial"/>
          <w:sz w:val="24"/>
          <w:szCs w:val="24"/>
        </w:rPr>
        <w:t>including a Regional Transport Hub together with other mixed uses and approximately 2,</w:t>
      </w:r>
      <w:r w:rsidR="00C7470B" w:rsidRPr="00D465A7">
        <w:rPr>
          <w:rFonts w:ascii="Arial" w:hAnsi="Arial" w:cs="Arial"/>
          <w:sz w:val="24"/>
          <w:szCs w:val="24"/>
        </w:rPr>
        <w:t>15</w:t>
      </w:r>
      <w:r w:rsidR="004737C6" w:rsidRPr="00D465A7">
        <w:rPr>
          <w:rFonts w:ascii="Arial" w:hAnsi="Arial" w:cs="Arial"/>
          <w:sz w:val="24"/>
          <w:szCs w:val="24"/>
        </w:rPr>
        <w:t xml:space="preserve">0 homes. </w:t>
      </w:r>
      <w:r w:rsidR="003A2F2E" w:rsidRPr="00D465A7">
        <w:rPr>
          <w:rFonts w:ascii="Arial" w:hAnsi="Arial" w:cs="Arial"/>
          <w:sz w:val="24"/>
          <w:szCs w:val="24"/>
        </w:rPr>
        <w:t xml:space="preserve">The development will provide </w:t>
      </w:r>
      <w:r w:rsidR="00603E4C" w:rsidRPr="00D465A7">
        <w:rPr>
          <w:rFonts w:ascii="Arial" w:hAnsi="Arial" w:cs="Arial"/>
          <w:sz w:val="24"/>
          <w:szCs w:val="24"/>
        </w:rPr>
        <w:t>major employment focused on financial and business services and</w:t>
      </w:r>
      <w:r w:rsidR="005D74DD" w:rsidRPr="00D465A7">
        <w:rPr>
          <w:rFonts w:ascii="Arial" w:hAnsi="Arial" w:cs="Arial"/>
          <w:sz w:val="24"/>
          <w:szCs w:val="24"/>
        </w:rPr>
        <w:t xml:space="preserve"> </w:t>
      </w:r>
      <w:r w:rsidR="00603E4C" w:rsidRPr="00D465A7">
        <w:rPr>
          <w:rFonts w:ascii="Arial" w:hAnsi="Arial" w:cs="Arial"/>
          <w:sz w:val="24"/>
          <w:szCs w:val="24"/>
        </w:rPr>
        <w:t>maximise the advantages of its central location</w:t>
      </w:r>
      <w:r w:rsidR="00F26BFA" w:rsidRPr="00D465A7">
        <w:rPr>
          <w:rFonts w:ascii="Arial" w:hAnsi="Arial" w:cs="Arial"/>
          <w:sz w:val="24"/>
          <w:szCs w:val="24"/>
        </w:rPr>
        <w:t xml:space="preserve">. </w:t>
      </w:r>
    </w:p>
    <w:p w14:paraId="680B33F8" w14:textId="1D969033" w:rsidR="00CC6CCC" w:rsidRPr="00D465A7" w:rsidRDefault="00CC6CCC" w:rsidP="00DC54F7">
      <w:pPr>
        <w:spacing w:after="0" w:line="240" w:lineRule="auto"/>
        <w:jc w:val="both"/>
        <w:rPr>
          <w:rFonts w:ascii="Arial" w:hAnsi="Arial" w:cs="Arial"/>
          <w:sz w:val="24"/>
          <w:szCs w:val="24"/>
        </w:rPr>
      </w:pPr>
    </w:p>
    <w:p w14:paraId="5857FF86" w14:textId="372C33D6" w:rsidR="00C05081" w:rsidRPr="00D465A7" w:rsidRDefault="00C05081" w:rsidP="00DC54F7">
      <w:pPr>
        <w:pStyle w:val="ListParagraph"/>
        <w:numPr>
          <w:ilvl w:val="0"/>
          <w:numId w:val="150"/>
        </w:numPr>
        <w:spacing w:after="0" w:line="240" w:lineRule="auto"/>
        <w:jc w:val="both"/>
        <w:rPr>
          <w:rFonts w:ascii="Arial" w:hAnsi="Arial" w:cs="Arial"/>
          <w:sz w:val="24"/>
          <w:szCs w:val="24"/>
        </w:rPr>
      </w:pPr>
      <w:r w:rsidRPr="00D465A7">
        <w:rPr>
          <w:rFonts w:ascii="Arial" w:hAnsi="Arial" w:cs="Arial"/>
          <w:sz w:val="24"/>
          <w:szCs w:val="24"/>
        </w:rPr>
        <w:t>Central, public transport hub providing access to and interchange between rail network, the rapid transit and strategic bus corridors, the city-wide bus network and the strategic cycle network</w:t>
      </w:r>
      <w:r w:rsidR="00D465A7">
        <w:rPr>
          <w:rFonts w:ascii="Arial" w:hAnsi="Arial" w:cs="Arial"/>
          <w:sz w:val="24"/>
          <w:szCs w:val="24"/>
        </w:rPr>
        <w:t>.</w:t>
      </w:r>
    </w:p>
    <w:p w14:paraId="71BDBABE" w14:textId="7346FABA" w:rsidR="00C05081" w:rsidRPr="00D465A7" w:rsidRDefault="00C05081" w:rsidP="00DC54F7">
      <w:pPr>
        <w:pStyle w:val="ListParagraph"/>
        <w:numPr>
          <w:ilvl w:val="0"/>
          <w:numId w:val="150"/>
        </w:numPr>
        <w:spacing w:after="0" w:line="240" w:lineRule="auto"/>
        <w:jc w:val="both"/>
        <w:rPr>
          <w:rFonts w:ascii="Arial" w:hAnsi="Arial" w:cs="Arial"/>
          <w:sz w:val="24"/>
          <w:szCs w:val="24"/>
        </w:rPr>
      </w:pPr>
      <w:r w:rsidRPr="00D465A7">
        <w:rPr>
          <w:rFonts w:ascii="Arial" w:hAnsi="Arial" w:cs="Arial"/>
          <w:sz w:val="24"/>
          <w:szCs w:val="24"/>
        </w:rPr>
        <w:t>Improving existing bus routes and services</w:t>
      </w:r>
      <w:r w:rsidR="00D465A7">
        <w:rPr>
          <w:rFonts w:ascii="Arial" w:hAnsi="Arial" w:cs="Arial"/>
          <w:sz w:val="24"/>
          <w:szCs w:val="24"/>
        </w:rPr>
        <w:t>.</w:t>
      </w:r>
      <w:r w:rsidRPr="00D465A7">
        <w:rPr>
          <w:rFonts w:ascii="Arial" w:hAnsi="Arial" w:cs="Arial"/>
          <w:sz w:val="24"/>
          <w:szCs w:val="24"/>
        </w:rPr>
        <w:t xml:space="preserve"> </w:t>
      </w:r>
    </w:p>
    <w:p w14:paraId="66148CBA" w14:textId="6DFBE32C" w:rsidR="00C05081" w:rsidRPr="00D465A7" w:rsidRDefault="00C05081" w:rsidP="00DC54F7">
      <w:pPr>
        <w:pStyle w:val="ListParagraph"/>
        <w:numPr>
          <w:ilvl w:val="0"/>
          <w:numId w:val="150"/>
        </w:numPr>
        <w:spacing w:after="0" w:line="240" w:lineRule="auto"/>
        <w:jc w:val="both"/>
        <w:rPr>
          <w:rFonts w:ascii="Arial" w:hAnsi="Arial" w:cs="Arial"/>
          <w:sz w:val="24"/>
          <w:szCs w:val="24"/>
        </w:rPr>
      </w:pPr>
      <w:r w:rsidRPr="00D465A7">
        <w:rPr>
          <w:rFonts w:ascii="Arial" w:hAnsi="Arial" w:cs="Arial"/>
          <w:sz w:val="24"/>
          <w:szCs w:val="24"/>
        </w:rPr>
        <w:t>Enhance pedestrian and cycle</w:t>
      </w:r>
      <w:r w:rsidR="00D465A7">
        <w:rPr>
          <w:rFonts w:ascii="Arial" w:hAnsi="Arial" w:cs="Arial"/>
          <w:sz w:val="24"/>
          <w:szCs w:val="24"/>
        </w:rPr>
        <w:t>.</w:t>
      </w:r>
      <w:r w:rsidRPr="00D465A7">
        <w:rPr>
          <w:rFonts w:ascii="Arial" w:hAnsi="Arial" w:cs="Arial"/>
          <w:sz w:val="24"/>
          <w:szCs w:val="24"/>
        </w:rPr>
        <w:t xml:space="preserve"> </w:t>
      </w:r>
    </w:p>
    <w:p w14:paraId="36418C41" w14:textId="498AD435" w:rsidR="00C05081" w:rsidRPr="00D465A7" w:rsidRDefault="00C05081" w:rsidP="00DC54F7">
      <w:pPr>
        <w:pStyle w:val="ListParagraph"/>
        <w:numPr>
          <w:ilvl w:val="0"/>
          <w:numId w:val="150"/>
        </w:numPr>
        <w:spacing w:after="0" w:line="240" w:lineRule="auto"/>
        <w:jc w:val="both"/>
        <w:rPr>
          <w:rFonts w:ascii="Arial" w:hAnsi="Arial" w:cs="Arial"/>
          <w:sz w:val="24"/>
          <w:szCs w:val="24"/>
        </w:rPr>
      </w:pPr>
      <w:r w:rsidRPr="00D465A7">
        <w:rPr>
          <w:rFonts w:ascii="Arial" w:hAnsi="Arial" w:cs="Arial"/>
          <w:sz w:val="24"/>
          <w:szCs w:val="24"/>
        </w:rPr>
        <w:t>Provide a central cycle parking hub with associated facilities</w:t>
      </w:r>
      <w:r w:rsidR="00D465A7">
        <w:rPr>
          <w:rFonts w:ascii="Arial" w:hAnsi="Arial" w:cs="Arial"/>
          <w:sz w:val="24"/>
          <w:szCs w:val="24"/>
        </w:rPr>
        <w:t>.</w:t>
      </w:r>
      <w:r w:rsidRPr="00D465A7">
        <w:rPr>
          <w:rFonts w:ascii="Arial" w:hAnsi="Arial" w:cs="Arial"/>
          <w:sz w:val="24"/>
          <w:szCs w:val="24"/>
        </w:rPr>
        <w:t xml:space="preserve"> </w:t>
      </w:r>
    </w:p>
    <w:p w14:paraId="328EB537" w14:textId="6BEBA0F5" w:rsidR="00476605" w:rsidRPr="00D465A7" w:rsidRDefault="00C05081" w:rsidP="00DC54F7">
      <w:pPr>
        <w:pStyle w:val="ListParagraph"/>
        <w:numPr>
          <w:ilvl w:val="0"/>
          <w:numId w:val="150"/>
        </w:numPr>
        <w:spacing w:after="0" w:line="240" w:lineRule="auto"/>
        <w:jc w:val="both"/>
        <w:rPr>
          <w:rFonts w:ascii="Arial" w:hAnsi="Arial" w:cs="Arial"/>
          <w:sz w:val="24"/>
          <w:szCs w:val="24"/>
        </w:rPr>
      </w:pPr>
      <w:r w:rsidRPr="00D465A7">
        <w:rPr>
          <w:rFonts w:ascii="Arial" w:hAnsi="Arial" w:cs="Arial"/>
          <w:sz w:val="24"/>
          <w:szCs w:val="24"/>
        </w:rPr>
        <w:t>Provide secure cycle parking and associated facilities in locations which encourage cycling to the city centre and integration with public transport services</w:t>
      </w:r>
      <w:r w:rsidR="00D465A7">
        <w:rPr>
          <w:rFonts w:ascii="Arial" w:hAnsi="Arial" w:cs="Arial"/>
          <w:sz w:val="24"/>
          <w:szCs w:val="24"/>
        </w:rPr>
        <w:t>.</w:t>
      </w:r>
    </w:p>
    <w:p w14:paraId="5906C9C4" w14:textId="12B4863E" w:rsidR="00C05081" w:rsidRPr="00D465A7" w:rsidRDefault="00C05081" w:rsidP="00DC54F7">
      <w:pPr>
        <w:pStyle w:val="ListParagraph"/>
        <w:numPr>
          <w:ilvl w:val="0"/>
          <w:numId w:val="150"/>
        </w:numPr>
        <w:spacing w:after="0" w:line="240" w:lineRule="auto"/>
        <w:jc w:val="both"/>
        <w:rPr>
          <w:rFonts w:ascii="Arial" w:hAnsi="Arial" w:cs="Arial"/>
          <w:sz w:val="24"/>
          <w:szCs w:val="24"/>
        </w:rPr>
      </w:pPr>
      <w:r w:rsidRPr="00D465A7">
        <w:rPr>
          <w:rFonts w:ascii="Arial" w:hAnsi="Arial" w:cs="Arial"/>
          <w:sz w:val="24"/>
          <w:szCs w:val="24"/>
        </w:rPr>
        <w:t xml:space="preserve">Create continuous river walk on Taff East bank. </w:t>
      </w:r>
    </w:p>
    <w:p w14:paraId="7966411B" w14:textId="645B9B64" w:rsidR="00C05081" w:rsidRPr="00D465A7" w:rsidRDefault="00476605" w:rsidP="00DC54F7">
      <w:pPr>
        <w:pStyle w:val="ListParagraph"/>
        <w:numPr>
          <w:ilvl w:val="0"/>
          <w:numId w:val="150"/>
        </w:numPr>
        <w:spacing w:after="0" w:line="240" w:lineRule="auto"/>
        <w:jc w:val="both"/>
        <w:rPr>
          <w:rFonts w:ascii="Arial" w:hAnsi="Arial" w:cs="Arial"/>
          <w:sz w:val="24"/>
          <w:szCs w:val="24"/>
        </w:rPr>
      </w:pPr>
      <w:r w:rsidRPr="00D465A7">
        <w:rPr>
          <w:rFonts w:ascii="Arial" w:hAnsi="Arial" w:cs="Arial"/>
          <w:sz w:val="24"/>
          <w:szCs w:val="24"/>
        </w:rPr>
        <w:t xml:space="preserve">One </w:t>
      </w:r>
      <w:r w:rsidR="00C05081" w:rsidRPr="00D465A7">
        <w:rPr>
          <w:rFonts w:ascii="Arial" w:hAnsi="Arial" w:cs="Arial"/>
          <w:sz w:val="24"/>
          <w:szCs w:val="24"/>
        </w:rPr>
        <w:t>new Primary School and contribution to existing Secondary Schools</w:t>
      </w:r>
    </w:p>
    <w:p w14:paraId="45CB4FBB" w14:textId="37CF48AE" w:rsidR="00C05081" w:rsidRPr="00D465A7" w:rsidRDefault="00C05081" w:rsidP="00DC54F7">
      <w:pPr>
        <w:pStyle w:val="ListParagraph"/>
        <w:numPr>
          <w:ilvl w:val="0"/>
          <w:numId w:val="150"/>
        </w:numPr>
        <w:spacing w:after="0" w:line="240" w:lineRule="auto"/>
        <w:jc w:val="both"/>
        <w:rPr>
          <w:rFonts w:ascii="Arial" w:hAnsi="Arial" w:cs="Arial"/>
          <w:sz w:val="24"/>
          <w:szCs w:val="24"/>
        </w:rPr>
      </w:pPr>
      <w:r w:rsidRPr="00D465A7">
        <w:rPr>
          <w:rFonts w:ascii="Arial" w:hAnsi="Arial" w:cs="Arial"/>
          <w:sz w:val="24"/>
          <w:szCs w:val="24"/>
        </w:rPr>
        <w:t>Open Space including formal recreation, playground, teen facility, allotment site</w:t>
      </w:r>
      <w:r w:rsidR="005A0AAF" w:rsidRPr="00D465A7">
        <w:rPr>
          <w:rFonts w:ascii="Arial" w:hAnsi="Arial" w:cs="Arial"/>
          <w:sz w:val="24"/>
          <w:szCs w:val="24"/>
        </w:rPr>
        <w:t>.</w:t>
      </w:r>
      <w:r w:rsidRPr="00D465A7">
        <w:rPr>
          <w:rFonts w:ascii="Arial" w:hAnsi="Arial" w:cs="Arial"/>
          <w:sz w:val="24"/>
          <w:szCs w:val="24"/>
        </w:rPr>
        <w:t xml:space="preserve"> </w:t>
      </w:r>
    </w:p>
    <w:p w14:paraId="37961954" w14:textId="77777777" w:rsidR="00CC6CCC" w:rsidRPr="00D465A7" w:rsidRDefault="00CC6CCC" w:rsidP="00DC54F7">
      <w:pPr>
        <w:spacing w:after="0" w:line="240" w:lineRule="auto"/>
        <w:jc w:val="both"/>
        <w:rPr>
          <w:rFonts w:ascii="Arial" w:hAnsi="Arial" w:cs="Arial"/>
          <w:sz w:val="24"/>
          <w:szCs w:val="24"/>
        </w:rPr>
      </w:pPr>
    </w:p>
    <w:p w14:paraId="42CB9B01" w14:textId="20D179B5" w:rsidR="00F26BFA" w:rsidRDefault="00F65EDD" w:rsidP="00DC54F7">
      <w:pPr>
        <w:jc w:val="both"/>
        <w:rPr>
          <w:rFonts w:ascii="Arial" w:hAnsi="Arial" w:cs="Arial"/>
          <w:sz w:val="24"/>
          <w:szCs w:val="24"/>
        </w:rPr>
      </w:pPr>
      <w:r w:rsidRPr="00D465A7">
        <w:rPr>
          <w:rFonts w:ascii="Arial" w:hAnsi="Arial" w:cs="Arial"/>
          <w:sz w:val="24"/>
          <w:szCs w:val="24"/>
        </w:rPr>
        <w:t xml:space="preserve">As </w:t>
      </w:r>
      <w:r w:rsidR="00D56070">
        <w:rPr>
          <w:rFonts w:ascii="Arial" w:hAnsi="Arial" w:cs="Arial"/>
          <w:sz w:val="24"/>
          <w:szCs w:val="24"/>
        </w:rPr>
        <w:t xml:space="preserve">at </w:t>
      </w:r>
      <w:r w:rsidRPr="00D465A7">
        <w:rPr>
          <w:rFonts w:ascii="Arial" w:hAnsi="Arial" w:cs="Arial"/>
          <w:sz w:val="24"/>
          <w:szCs w:val="24"/>
        </w:rPr>
        <w:t>the 1</w:t>
      </w:r>
      <w:r w:rsidRPr="00D465A7">
        <w:rPr>
          <w:rFonts w:ascii="Arial" w:hAnsi="Arial" w:cs="Arial"/>
          <w:sz w:val="24"/>
          <w:szCs w:val="24"/>
          <w:vertAlign w:val="superscript"/>
        </w:rPr>
        <w:t>st</w:t>
      </w:r>
      <w:r w:rsidRPr="00D465A7">
        <w:rPr>
          <w:rFonts w:ascii="Arial" w:hAnsi="Arial" w:cs="Arial"/>
          <w:sz w:val="24"/>
          <w:szCs w:val="24"/>
        </w:rPr>
        <w:t xml:space="preserve"> April 2019, </w:t>
      </w:r>
      <w:r w:rsidR="00D237BE" w:rsidRPr="00D465A7">
        <w:rPr>
          <w:rFonts w:ascii="Arial" w:hAnsi="Arial" w:cs="Arial"/>
          <w:sz w:val="24"/>
          <w:szCs w:val="24"/>
        </w:rPr>
        <w:t xml:space="preserve">there were </w:t>
      </w:r>
      <w:r w:rsidR="00C7470B" w:rsidRPr="00D465A7">
        <w:rPr>
          <w:rFonts w:ascii="Arial" w:hAnsi="Arial" w:cs="Arial"/>
          <w:sz w:val="24"/>
          <w:szCs w:val="24"/>
        </w:rPr>
        <w:t xml:space="preserve">102 </w:t>
      </w:r>
      <w:r w:rsidR="00D237BE" w:rsidRPr="00D465A7">
        <w:rPr>
          <w:rFonts w:ascii="Arial" w:hAnsi="Arial" w:cs="Arial"/>
          <w:sz w:val="24"/>
          <w:szCs w:val="24"/>
        </w:rPr>
        <w:t xml:space="preserve">completions on this site. </w:t>
      </w:r>
    </w:p>
    <w:p w14:paraId="69233794" w14:textId="77777777" w:rsidR="00E56A1E" w:rsidRPr="00015287" w:rsidRDefault="00E56A1E" w:rsidP="00DC54F7">
      <w:pPr>
        <w:jc w:val="both"/>
        <w:rPr>
          <w:rFonts w:ascii="Arial" w:hAnsi="Arial" w:cs="Arial"/>
          <w:sz w:val="24"/>
          <w:szCs w:val="24"/>
        </w:rPr>
      </w:pPr>
      <w:r w:rsidRPr="00015287">
        <w:rPr>
          <w:rFonts w:ascii="Arial" w:hAnsi="Arial" w:cs="Arial"/>
          <w:sz w:val="24"/>
          <w:szCs w:val="24"/>
        </w:rPr>
        <w:t xml:space="preserve">The spring 2021 LDP monitoring document highlights that the developments at Central Square and Capital Quarter are well progressed, with several areas being completed over the last few years, including 102 apartments at Trade Street. </w:t>
      </w:r>
    </w:p>
    <w:p w14:paraId="071812A5" w14:textId="77777777" w:rsidR="00E56A1E" w:rsidRPr="00015287" w:rsidRDefault="00E56A1E" w:rsidP="00DC54F7">
      <w:pPr>
        <w:jc w:val="both"/>
        <w:rPr>
          <w:rFonts w:ascii="Arial" w:hAnsi="Arial" w:cs="Arial"/>
          <w:sz w:val="24"/>
          <w:szCs w:val="24"/>
        </w:rPr>
      </w:pPr>
      <w:r w:rsidRPr="00015287">
        <w:rPr>
          <w:rFonts w:ascii="Arial" w:hAnsi="Arial" w:cs="Arial"/>
          <w:sz w:val="24"/>
          <w:szCs w:val="24"/>
        </w:rPr>
        <w:lastRenderedPageBreak/>
        <w:t>Construction has started on the transport interchange at Central Square and offices at Brewhouse, Central Quay.  Plot J apartments are now under construction in the Capital Quarter and on the site of the former Browning Jones and Morris.</w:t>
      </w:r>
    </w:p>
    <w:p w14:paraId="418FEA4E" w14:textId="77777777" w:rsidR="00E56A1E" w:rsidRPr="006645AF" w:rsidRDefault="00E56A1E" w:rsidP="00DC54F7">
      <w:pPr>
        <w:spacing w:after="0" w:line="240" w:lineRule="auto"/>
        <w:jc w:val="both"/>
        <w:rPr>
          <w:rFonts w:ascii="Arial" w:hAnsi="Arial" w:cs="Arial"/>
          <w:sz w:val="24"/>
          <w:szCs w:val="24"/>
        </w:rPr>
      </w:pPr>
      <w:r w:rsidRPr="00015287">
        <w:rPr>
          <w:rFonts w:ascii="Arial" w:hAnsi="Arial" w:cs="Arial"/>
          <w:sz w:val="24"/>
          <w:szCs w:val="24"/>
        </w:rPr>
        <w:t>The sites nominated for planned hotels and other buildings at John Street, Custom House Street and Westgate Street are also under construction.</w:t>
      </w:r>
      <w:r w:rsidRPr="006645AF">
        <w:rPr>
          <w:rFonts w:ascii="Arial" w:hAnsi="Arial" w:cs="Arial"/>
          <w:sz w:val="24"/>
          <w:szCs w:val="24"/>
        </w:rPr>
        <w:t xml:space="preserve"> </w:t>
      </w:r>
    </w:p>
    <w:p w14:paraId="491C8C2D" w14:textId="77777777" w:rsidR="00E56A1E" w:rsidRDefault="00E56A1E" w:rsidP="00DC54F7">
      <w:pPr>
        <w:spacing w:after="0" w:line="240" w:lineRule="auto"/>
        <w:jc w:val="both"/>
      </w:pPr>
    </w:p>
    <w:p w14:paraId="673A6C04" w14:textId="77777777" w:rsidR="00E56A1E" w:rsidRDefault="00E56A1E" w:rsidP="00DC54F7">
      <w:pPr>
        <w:spacing w:after="0" w:line="240" w:lineRule="auto"/>
        <w:jc w:val="both"/>
      </w:pPr>
    </w:p>
    <w:p w14:paraId="33CD71EB" w14:textId="28A58A3A" w:rsidR="00D237BE" w:rsidRPr="00D465A7" w:rsidRDefault="00D41C96" w:rsidP="00DC54F7">
      <w:pPr>
        <w:jc w:val="both"/>
        <w:rPr>
          <w:rFonts w:ascii="Arial" w:hAnsi="Arial" w:cs="Arial"/>
          <w:b/>
          <w:bCs/>
          <w:sz w:val="24"/>
          <w:szCs w:val="24"/>
        </w:rPr>
      </w:pPr>
      <w:r w:rsidRPr="00D465A7">
        <w:rPr>
          <w:rFonts w:ascii="Arial" w:hAnsi="Arial" w:cs="Arial"/>
          <w:b/>
          <w:bCs/>
          <w:sz w:val="24"/>
          <w:szCs w:val="24"/>
        </w:rPr>
        <w:t>The Former Gas Works, Ferry Road</w:t>
      </w:r>
      <w:r w:rsidR="003150DA" w:rsidRPr="00D465A7">
        <w:rPr>
          <w:rFonts w:ascii="Arial" w:hAnsi="Arial" w:cs="Arial"/>
          <w:b/>
          <w:bCs/>
          <w:sz w:val="24"/>
          <w:szCs w:val="24"/>
        </w:rPr>
        <w:t xml:space="preserve"> </w:t>
      </w:r>
    </w:p>
    <w:p w14:paraId="360FA4F6" w14:textId="50280AF2" w:rsidR="00D41C96" w:rsidRPr="00D465A7" w:rsidRDefault="00D237BE" w:rsidP="00DC54F7">
      <w:pPr>
        <w:spacing w:after="0" w:line="240" w:lineRule="auto"/>
        <w:jc w:val="both"/>
        <w:rPr>
          <w:rFonts w:ascii="Arial" w:hAnsi="Arial" w:cs="Arial"/>
          <w:sz w:val="24"/>
          <w:szCs w:val="24"/>
        </w:rPr>
      </w:pPr>
      <w:r w:rsidRPr="00D465A7">
        <w:rPr>
          <w:rFonts w:ascii="Arial" w:hAnsi="Arial" w:cs="Arial"/>
          <w:sz w:val="24"/>
          <w:szCs w:val="24"/>
        </w:rPr>
        <w:t xml:space="preserve">This </w:t>
      </w:r>
      <w:r w:rsidR="003E14AC" w:rsidRPr="00D465A7">
        <w:rPr>
          <w:rFonts w:ascii="Arial" w:hAnsi="Arial" w:cs="Arial"/>
          <w:sz w:val="24"/>
          <w:szCs w:val="24"/>
        </w:rPr>
        <w:t xml:space="preserve">site </w:t>
      </w:r>
      <w:r w:rsidR="003150DA" w:rsidRPr="00D465A7">
        <w:rPr>
          <w:rFonts w:ascii="Arial" w:hAnsi="Arial" w:cs="Arial"/>
          <w:sz w:val="24"/>
          <w:szCs w:val="24"/>
        </w:rPr>
        <w:t>is</w:t>
      </w:r>
      <w:r w:rsidR="003E14AC" w:rsidRPr="00D465A7">
        <w:rPr>
          <w:rFonts w:ascii="Arial" w:hAnsi="Arial" w:cs="Arial"/>
          <w:sz w:val="24"/>
          <w:szCs w:val="24"/>
        </w:rPr>
        <w:t xml:space="preserve"> </w:t>
      </w:r>
      <w:r w:rsidR="008D1085" w:rsidRPr="00D465A7">
        <w:rPr>
          <w:rFonts w:ascii="Arial" w:hAnsi="Arial" w:cs="Arial"/>
          <w:sz w:val="24"/>
          <w:szCs w:val="24"/>
        </w:rPr>
        <w:t xml:space="preserve">a </w:t>
      </w:r>
      <w:r w:rsidR="003E14AC" w:rsidRPr="00D465A7">
        <w:rPr>
          <w:rFonts w:ascii="Arial" w:hAnsi="Arial" w:cs="Arial"/>
          <w:sz w:val="24"/>
          <w:szCs w:val="24"/>
        </w:rPr>
        <w:t xml:space="preserve">major </w:t>
      </w:r>
      <w:r w:rsidR="008D1085" w:rsidRPr="00D465A7">
        <w:rPr>
          <w:rFonts w:ascii="Arial" w:hAnsi="Arial" w:cs="Arial"/>
          <w:sz w:val="24"/>
          <w:szCs w:val="24"/>
        </w:rPr>
        <w:t>housing based scheme of 500 homes and other associated community uses</w:t>
      </w:r>
      <w:r w:rsidR="003E14AC" w:rsidRPr="00D465A7">
        <w:rPr>
          <w:rFonts w:ascii="Arial" w:hAnsi="Arial" w:cs="Arial"/>
          <w:sz w:val="24"/>
          <w:szCs w:val="24"/>
        </w:rPr>
        <w:t>, with supporting infr</w:t>
      </w:r>
      <w:r w:rsidR="00D81D68" w:rsidRPr="00D465A7">
        <w:rPr>
          <w:rFonts w:ascii="Arial" w:hAnsi="Arial" w:cs="Arial"/>
          <w:sz w:val="24"/>
          <w:szCs w:val="24"/>
        </w:rPr>
        <w:t>astructure:</w:t>
      </w:r>
    </w:p>
    <w:p w14:paraId="2B38CD51" w14:textId="77777777" w:rsidR="00A40705" w:rsidRPr="00D465A7" w:rsidRDefault="00A40705" w:rsidP="00DC54F7">
      <w:pPr>
        <w:spacing w:after="0" w:line="240" w:lineRule="auto"/>
        <w:jc w:val="both"/>
        <w:rPr>
          <w:rFonts w:ascii="Arial" w:hAnsi="Arial" w:cs="Arial"/>
          <w:sz w:val="24"/>
          <w:szCs w:val="24"/>
        </w:rPr>
      </w:pPr>
    </w:p>
    <w:p w14:paraId="79084AC5" w14:textId="709F25B4" w:rsidR="00D81D68" w:rsidRPr="00D465A7" w:rsidRDefault="003E14AC" w:rsidP="00DC54F7">
      <w:pPr>
        <w:pStyle w:val="ListParagraph"/>
        <w:numPr>
          <w:ilvl w:val="0"/>
          <w:numId w:val="151"/>
        </w:numPr>
        <w:spacing w:after="0" w:line="240" w:lineRule="auto"/>
        <w:jc w:val="both"/>
        <w:rPr>
          <w:rFonts w:ascii="Arial" w:hAnsi="Arial" w:cs="Arial"/>
          <w:sz w:val="24"/>
          <w:szCs w:val="24"/>
        </w:rPr>
      </w:pPr>
      <w:r w:rsidRPr="00D465A7">
        <w:rPr>
          <w:rFonts w:ascii="Arial" w:hAnsi="Arial" w:cs="Arial"/>
          <w:sz w:val="24"/>
          <w:szCs w:val="24"/>
        </w:rPr>
        <w:t>Improv</w:t>
      </w:r>
      <w:r w:rsidR="00D81D68" w:rsidRPr="00D465A7">
        <w:rPr>
          <w:rFonts w:ascii="Arial" w:hAnsi="Arial" w:cs="Arial"/>
          <w:sz w:val="24"/>
          <w:szCs w:val="24"/>
        </w:rPr>
        <w:t>ing</w:t>
      </w:r>
      <w:r w:rsidRPr="00D465A7">
        <w:rPr>
          <w:rFonts w:ascii="Arial" w:hAnsi="Arial" w:cs="Arial"/>
          <w:sz w:val="24"/>
          <w:szCs w:val="24"/>
        </w:rPr>
        <w:t xml:space="preserve"> pedestrian access to public transport facilities in the vicinity of the site</w:t>
      </w:r>
      <w:r w:rsidR="00D81D68" w:rsidRPr="00D465A7">
        <w:rPr>
          <w:rFonts w:ascii="Arial" w:hAnsi="Arial" w:cs="Arial"/>
          <w:sz w:val="24"/>
          <w:szCs w:val="24"/>
        </w:rPr>
        <w:t>.</w:t>
      </w:r>
    </w:p>
    <w:p w14:paraId="2C99DCD0" w14:textId="3CE9A2D8" w:rsidR="00D81D68" w:rsidRPr="00D465A7" w:rsidRDefault="003E14AC" w:rsidP="00DC54F7">
      <w:pPr>
        <w:pStyle w:val="ListParagraph"/>
        <w:numPr>
          <w:ilvl w:val="0"/>
          <w:numId w:val="151"/>
        </w:numPr>
        <w:spacing w:after="0" w:line="240" w:lineRule="auto"/>
        <w:jc w:val="both"/>
        <w:rPr>
          <w:rFonts w:ascii="Arial" w:hAnsi="Arial" w:cs="Arial"/>
          <w:sz w:val="24"/>
          <w:szCs w:val="24"/>
        </w:rPr>
      </w:pPr>
      <w:r w:rsidRPr="00D465A7">
        <w:rPr>
          <w:rFonts w:ascii="Arial" w:hAnsi="Arial" w:cs="Arial"/>
          <w:sz w:val="24"/>
          <w:szCs w:val="24"/>
        </w:rPr>
        <w:t>Provid</w:t>
      </w:r>
      <w:r w:rsidR="00D81D68" w:rsidRPr="00D465A7">
        <w:rPr>
          <w:rFonts w:ascii="Arial" w:hAnsi="Arial" w:cs="Arial"/>
          <w:sz w:val="24"/>
          <w:szCs w:val="24"/>
        </w:rPr>
        <w:t>ing</w:t>
      </w:r>
      <w:r w:rsidRPr="00D465A7">
        <w:rPr>
          <w:rFonts w:ascii="Arial" w:hAnsi="Arial" w:cs="Arial"/>
          <w:sz w:val="24"/>
          <w:szCs w:val="24"/>
        </w:rPr>
        <w:t xml:space="preserve"> new and enhanc</w:t>
      </w:r>
      <w:r w:rsidR="001B430D" w:rsidRPr="00D465A7">
        <w:rPr>
          <w:rFonts w:ascii="Arial" w:hAnsi="Arial" w:cs="Arial"/>
          <w:sz w:val="24"/>
          <w:szCs w:val="24"/>
        </w:rPr>
        <w:t>ing</w:t>
      </w:r>
      <w:r w:rsidRPr="00D465A7">
        <w:rPr>
          <w:rFonts w:ascii="Arial" w:hAnsi="Arial" w:cs="Arial"/>
          <w:sz w:val="24"/>
          <w:szCs w:val="24"/>
        </w:rPr>
        <w:t xml:space="preserve"> existing pedestrian/cycle links from the site to the Ely Trail, Grangemoor Park, Cardiff Bay Retail </w:t>
      </w:r>
      <w:r w:rsidR="00C16CC7" w:rsidRPr="00D465A7">
        <w:rPr>
          <w:rFonts w:ascii="Arial" w:hAnsi="Arial" w:cs="Arial"/>
          <w:sz w:val="24"/>
          <w:szCs w:val="24"/>
        </w:rPr>
        <w:t>Park,</w:t>
      </w:r>
      <w:r w:rsidRPr="00D465A7">
        <w:rPr>
          <w:rFonts w:ascii="Arial" w:hAnsi="Arial" w:cs="Arial"/>
          <w:sz w:val="24"/>
          <w:szCs w:val="24"/>
        </w:rPr>
        <w:t xml:space="preserve"> and other community facilities within the area including Channel View Centre. </w:t>
      </w:r>
    </w:p>
    <w:p w14:paraId="5856D443" w14:textId="795C6DFA" w:rsidR="00D81D68" w:rsidRPr="00D465A7" w:rsidRDefault="003E14AC" w:rsidP="00DC54F7">
      <w:pPr>
        <w:pStyle w:val="ListParagraph"/>
        <w:numPr>
          <w:ilvl w:val="0"/>
          <w:numId w:val="151"/>
        </w:numPr>
        <w:spacing w:after="0" w:line="240" w:lineRule="auto"/>
        <w:jc w:val="both"/>
        <w:rPr>
          <w:rFonts w:ascii="Arial" w:hAnsi="Arial" w:cs="Arial"/>
          <w:sz w:val="24"/>
          <w:szCs w:val="24"/>
        </w:rPr>
      </w:pPr>
      <w:r w:rsidRPr="00D465A7">
        <w:rPr>
          <w:rFonts w:ascii="Arial" w:hAnsi="Arial" w:cs="Arial"/>
          <w:sz w:val="24"/>
          <w:szCs w:val="24"/>
        </w:rPr>
        <w:t>Contribution to off-site community facility provision</w:t>
      </w:r>
      <w:r w:rsidR="00D81D68" w:rsidRPr="00D465A7">
        <w:rPr>
          <w:rFonts w:ascii="Arial" w:hAnsi="Arial" w:cs="Arial"/>
          <w:sz w:val="24"/>
          <w:szCs w:val="24"/>
        </w:rPr>
        <w:t>.</w:t>
      </w:r>
    </w:p>
    <w:p w14:paraId="0A7771AE" w14:textId="39A44C27" w:rsidR="00D81D68" w:rsidRPr="00D465A7" w:rsidRDefault="003E14AC" w:rsidP="00DC54F7">
      <w:pPr>
        <w:pStyle w:val="ListParagraph"/>
        <w:numPr>
          <w:ilvl w:val="0"/>
          <w:numId w:val="151"/>
        </w:numPr>
        <w:spacing w:after="0" w:line="240" w:lineRule="auto"/>
        <w:jc w:val="both"/>
        <w:rPr>
          <w:rFonts w:ascii="Arial" w:hAnsi="Arial" w:cs="Arial"/>
          <w:sz w:val="24"/>
          <w:szCs w:val="24"/>
        </w:rPr>
      </w:pPr>
      <w:r w:rsidRPr="00D465A7">
        <w:rPr>
          <w:rFonts w:ascii="Arial" w:hAnsi="Arial" w:cs="Arial"/>
          <w:sz w:val="24"/>
          <w:szCs w:val="24"/>
        </w:rPr>
        <w:t>Contribution to existing Primary and Secondary Schools</w:t>
      </w:r>
      <w:r w:rsidR="00D81D68" w:rsidRPr="00D465A7">
        <w:rPr>
          <w:rFonts w:ascii="Arial" w:hAnsi="Arial" w:cs="Arial"/>
          <w:sz w:val="24"/>
          <w:szCs w:val="24"/>
        </w:rPr>
        <w:t>.</w:t>
      </w:r>
    </w:p>
    <w:p w14:paraId="4AE10E85" w14:textId="57F4F456" w:rsidR="0090572A" w:rsidRPr="00D465A7" w:rsidRDefault="003E14AC" w:rsidP="00DC54F7">
      <w:pPr>
        <w:pStyle w:val="ListParagraph"/>
        <w:numPr>
          <w:ilvl w:val="0"/>
          <w:numId w:val="151"/>
        </w:numPr>
        <w:spacing w:after="0" w:line="240" w:lineRule="auto"/>
        <w:jc w:val="both"/>
        <w:rPr>
          <w:rFonts w:ascii="Arial" w:hAnsi="Arial" w:cs="Arial"/>
          <w:sz w:val="24"/>
          <w:szCs w:val="24"/>
        </w:rPr>
      </w:pPr>
      <w:r w:rsidRPr="00D465A7">
        <w:rPr>
          <w:rFonts w:ascii="Arial" w:hAnsi="Arial" w:cs="Arial"/>
          <w:sz w:val="24"/>
          <w:szCs w:val="24"/>
        </w:rPr>
        <w:t xml:space="preserve">Open Space including </w:t>
      </w:r>
      <w:r w:rsidR="00D81D68" w:rsidRPr="00D465A7">
        <w:rPr>
          <w:rFonts w:ascii="Arial" w:hAnsi="Arial" w:cs="Arial"/>
          <w:sz w:val="24"/>
          <w:szCs w:val="24"/>
        </w:rPr>
        <w:t xml:space="preserve">one </w:t>
      </w:r>
      <w:r w:rsidRPr="00D465A7">
        <w:rPr>
          <w:rFonts w:ascii="Arial" w:hAnsi="Arial" w:cs="Arial"/>
          <w:sz w:val="24"/>
          <w:szCs w:val="24"/>
        </w:rPr>
        <w:t xml:space="preserve">playground, </w:t>
      </w:r>
      <w:r w:rsidR="00D81D68" w:rsidRPr="00D465A7">
        <w:rPr>
          <w:rFonts w:ascii="Arial" w:hAnsi="Arial" w:cs="Arial"/>
          <w:sz w:val="24"/>
          <w:szCs w:val="24"/>
        </w:rPr>
        <w:t xml:space="preserve">one </w:t>
      </w:r>
      <w:r w:rsidRPr="00D465A7">
        <w:rPr>
          <w:rFonts w:ascii="Arial" w:hAnsi="Arial" w:cs="Arial"/>
          <w:sz w:val="24"/>
          <w:szCs w:val="24"/>
        </w:rPr>
        <w:t>teen facility, plus contributions to formal open space, allotment provision and play provision.</w:t>
      </w:r>
    </w:p>
    <w:p w14:paraId="394B6B9B" w14:textId="1D6BE91C" w:rsidR="003E14AC" w:rsidRPr="00D465A7" w:rsidRDefault="003E14AC" w:rsidP="00DC54F7">
      <w:pPr>
        <w:spacing w:after="0" w:line="240" w:lineRule="auto"/>
        <w:jc w:val="both"/>
        <w:rPr>
          <w:rFonts w:ascii="Arial" w:hAnsi="Arial" w:cs="Arial"/>
          <w:sz w:val="24"/>
          <w:szCs w:val="24"/>
        </w:rPr>
      </w:pPr>
    </w:p>
    <w:p w14:paraId="3D87511C" w14:textId="10DCEFDF" w:rsidR="00837D36" w:rsidRDefault="00837D36" w:rsidP="00DC54F7">
      <w:pPr>
        <w:spacing w:after="0" w:line="240" w:lineRule="auto"/>
        <w:jc w:val="both"/>
        <w:rPr>
          <w:rFonts w:ascii="Arial" w:hAnsi="Arial" w:cs="Arial"/>
          <w:b/>
          <w:sz w:val="24"/>
          <w:szCs w:val="24"/>
        </w:rPr>
      </w:pPr>
      <w:bookmarkStart w:id="42" w:name="_Hlk70275406"/>
      <w:r w:rsidRPr="00837D36">
        <w:rPr>
          <w:rFonts w:ascii="Arial" w:hAnsi="Arial" w:cs="Arial"/>
          <w:bCs/>
          <w:sz w:val="24"/>
          <w:szCs w:val="24"/>
        </w:rPr>
        <w:t>As at autumn 2020 monitoring information stated no formal planning applications had been submitted to Cardiff Council</w:t>
      </w:r>
      <w:r w:rsidRPr="00837D36">
        <w:rPr>
          <w:rFonts w:ascii="Arial" w:hAnsi="Arial" w:cs="Arial"/>
          <w:b/>
          <w:sz w:val="24"/>
          <w:szCs w:val="24"/>
        </w:rPr>
        <w:t xml:space="preserve">. </w:t>
      </w:r>
    </w:p>
    <w:p w14:paraId="06EAEC79" w14:textId="375A22D8" w:rsidR="006645AF" w:rsidRDefault="006645AF" w:rsidP="00DC54F7">
      <w:pPr>
        <w:spacing w:after="0" w:line="240" w:lineRule="auto"/>
        <w:jc w:val="both"/>
        <w:rPr>
          <w:rFonts w:ascii="Arial" w:hAnsi="Arial" w:cs="Arial"/>
          <w:b/>
          <w:sz w:val="24"/>
          <w:szCs w:val="24"/>
        </w:rPr>
      </w:pPr>
    </w:p>
    <w:p w14:paraId="24FAA1AE" w14:textId="77777777" w:rsidR="006645AF" w:rsidRPr="006645AF" w:rsidRDefault="006645AF" w:rsidP="00DC54F7">
      <w:pPr>
        <w:spacing w:after="0" w:line="240" w:lineRule="auto"/>
        <w:jc w:val="both"/>
        <w:rPr>
          <w:rFonts w:ascii="Arial" w:hAnsi="Arial" w:cs="Arial"/>
          <w:sz w:val="24"/>
          <w:szCs w:val="24"/>
        </w:rPr>
      </w:pPr>
      <w:r w:rsidRPr="00015287">
        <w:rPr>
          <w:rFonts w:ascii="Arial" w:hAnsi="Arial" w:cs="Arial"/>
          <w:sz w:val="24"/>
          <w:szCs w:val="24"/>
        </w:rPr>
        <w:t>The spring 2021 LDP monitoring document has not identified any formal planning applications received by the Cardiff Council. It does outline that a “temporary ‘meanwhile use’ is currently being constructed, which will see the provision of 48 high quality sustainable modular homes to help tackle housing need.</w:t>
      </w:r>
      <w:r w:rsidRPr="00015287">
        <w:rPr>
          <w:sz w:val="24"/>
          <w:szCs w:val="24"/>
        </w:rPr>
        <w:t xml:space="preserve"> </w:t>
      </w:r>
      <w:r w:rsidRPr="00015287">
        <w:rPr>
          <w:rFonts w:ascii="Arial" w:hAnsi="Arial" w:cs="Arial"/>
          <w:sz w:val="24"/>
          <w:szCs w:val="24"/>
        </w:rPr>
        <w:t>The development consists of a mix of 1, 2 and 3 bedroom flats and will provide temporary homes for families while more permanent housing solutions are found.”</w:t>
      </w:r>
    </w:p>
    <w:bookmarkEnd w:id="42"/>
    <w:p w14:paraId="4FDA9BCE" w14:textId="4CB69A91" w:rsidR="003E14AC" w:rsidRDefault="003E14AC" w:rsidP="00DC54F7">
      <w:pPr>
        <w:spacing w:after="0" w:line="240" w:lineRule="auto"/>
        <w:jc w:val="both"/>
        <w:rPr>
          <w:rFonts w:ascii="Arial" w:hAnsi="Arial" w:cs="Arial"/>
        </w:rPr>
      </w:pPr>
    </w:p>
    <w:p w14:paraId="14547CB4" w14:textId="77777777" w:rsidR="00C63EB4" w:rsidRDefault="00C63EB4" w:rsidP="00DC54F7">
      <w:pPr>
        <w:spacing w:after="0" w:line="240" w:lineRule="auto"/>
        <w:jc w:val="both"/>
        <w:rPr>
          <w:rFonts w:ascii="Arial" w:hAnsi="Arial" w:cs="Arial"/>
        </w:rPr>
      </w:pPr>
    </w:p>
    <w:p w14:paraId="005558F1" w14:textId="6F0917C0" w:rsidR="0063382E" w:rsidRDefault="00184954" w:rsidP="00DC54F7">
      <w:pPr>
        <w:spacing w:after="0" w:line="240" w:lineRule="auto"/>
        <w:jc w:val="both"/>
        <w:rPr>
          <w:rFonts w:ascii="Arial" w:hAnsi="Arial" w:cs="Arial"/>
          <w:b/>
          <w:sz w:val="26"/>
          <w:szCs w:val="26"/>
          <w:lang w:val="en-US"/>
        </w:rPr>
      </w:pPr>
      <w:r>
        <w:rPr>
          <w:rFonts w:ascii="Arial" w:hAnsi="Arial" w:cs="Arial"/>
          <w:b/>
          <w:sz w:val="26"/>
          <w:szCs w:val="26"/>
        </w:rPr>
        <w:t>10</w:t>
      </w:r>
      <w:r w:rsidR="0063382E" w:rsidRPr="00A10850">
        <w:rPr>
          <w:rFonts w:ascii="Arial" w:hAnsi="Arial" w:cs="Arial"/>
          <w:b/>
          <w:sz w:val="26"/>
          <w:szCs w:val="26"/>
        </w:rPr>
        <w:t>.2 Current</w:t>
      </w:r>
      <w:r w:rsidR="0063382E" w:rsidRPr="00A10850">
        <w:rPr>
          <w:rFonts w:ascii="Arial" w:hAnsi="Arial" w:cs="Arial"/>
          <w:b/>
          <w:sz w:val="26"/>
          <w:szCs w:val="26"/>
          <w:lang w:val="en-US"/>
        </w:rPr>
        <w:t xml:space="preserve"> provision of pharmaceutical services within the </w:t>
      </w:r>
      <w:r w:rsidR="0021495B">
        <w:rPr>
          <w:rFonts w:ascii="Arial" w:hAnsi="Arial" w:cs="Arial"/>
          <w:b/>
          <w:sz w:val="26"/>
          <w:szCs w:val="26"/>
          <w:lang w:val="en-US"/>
        </w:rPr>
        <w:t>cluster</w:t>
      </w:r>
    </w:p>
    <w:p w14:paraId="18E99B72" w14:textId="00183353" w:rsidR="000C13D3" w:rsidRDefault="000C13D3" w:rsidP="00DC54F7">
      <w:pPr>
        <w:spacing w:after="0" w:line="240" w:lineRule="auto"/>
        <w:jc w:val="both"/>
        <w:rPr>
          <w:rFonts w:ascii="Arial" w:hAnsi="Arial" w:cs="Arial"/>
          <w:b/>
          <w:sz w:val="26"/>
          <w:szCs w:val="26"/>
          <w:lang w:val="en-US"/>
        </w:rPr>
      </w:pPr>
    </w:p>
    <w:p w14:paraId="6D9649D3" w14:textId="718C51CC" w:rsidR="00D27392" w:rsidRPr="00C63EB4" w:rsidRDefault="00D27392" w:rsidP="00DC54F7">
      <w:pPr>
        <w:spacing w:after="0" w:line="240" w:lineRule="auto"/>
        <w:jc w:val="both"/>
        <w:rPr>
          <w:rFonts w:ascii="Arial" w:hAnsi="Arial" w:cs="Arial"/>
          <w:bCs/>
          <w:sz w:val="24"/>
          <w:szCs w:val="24"/>
          <w:lang w:val="en-US"/>
        </w:rPr>
      </w:pPr>
      <w:r w:rsidRPr="00C63EB4">
        <w:rPr>
          <w:rFonts w:ascii="Arial" w:hAnsi="Arial" w:cs="Arial"/>
          <w:bCs/>
          <w:sz w:val="24"/>
          <w:szCs w:val="24"/>
          <w:lang w:val="en-US"/>
        </w:rPr>
        <w:t xml:space="preserve">There are 10 pharmacies in </w:t>
      </w:r>
      <w:r w:rsidR="00636AA2" w:rsidRPr="00C63EB4">
        <w:rPr>
          <w:rFonts w:ascii="Arial" w:hAnsi="Arial" w:cs="Arial"/>
          <w:bCs/>
          <w:sz w:val="24"/>
          <w:szCs w:val="24"/>
          <w:lang w:val="en-US"/>
        </w:rPr>
        <w:t xml:space="preserve">Cardiff </w:t>
      </w:r>
      <w:r w:rsidR="003478CC" w:rsidRPr="00C63EB4">
        <w:rPr>
          <w:rFonts w:ascii="Arial" w:hAnsi="Arial" w:cs="Arial"/>
          <w:bCs/>
          <w:sz w:val="24"/>
          <w:szCs w:val="24"/>
          <w:lang w:val="en-US"/>
        </w:rPr>
        <w:t xml:space="preserve">City </w:t>
      </w:r>
      <w:r w:rsidR="009B598E" w:rsidRPr="00C63EB4">
        <w:rPr>
          <w:rFonts w:ascii="Arial" w:hAnsi="Arial" w:cs="Arial"/>
          <w:bCs/>
          <w:sz w:val="24"/>
          <w:szCs w:val="24"/>
          <w:lang w:val="en-US"/>
        </w:rPr>
        <w:t>&amp; South</w:t>
      </w:r>
      <w:r w:rsidRPr="00C63EB4">
        <w:rPr>
          <w:rFonts w:ascii="Arial" w:hAnsi="Arial" w:cs="Arial"/>
          <w:bCs/>
          <w:sz w:val="24"/>
          <w:szCs w:val="24"/>
          <w:lang w:val="en-US"/>
        </w:rPr>
        <w:t xml:space="preserve"> cluster. </w:t>
      </w:r>
    </w:p>
    <w:p w14:paraId="0C793509" w14:textId="20F442F5" w:rsidR="00AA572E" w:rsidRDefault="00AA572E" w:rsidP="00DC54F7">
      <w:pPr>
        <w:spacing w:after="0" w:line="240" w:lineRule="auto"/>
        <w:jc w:val="both"/>
        <w:rPr>
          <w:rFonts w:ascii="Arial" w:hAnsi="Arial" w:cs="Arial"/>
          <w:bCs/>
          <w:lang w:val="en-US"/>
        </w:rPr>
      </w:pPr>
    </w:p>
    <w:p w14:paraId="0E5662ED" w14:textId="77777777" w:rsidR="00CD7A5C" w:rsidRDefault="00CD7A5C" w:rsidP="00DC54F7">
      <w:pPr>
        <w:spacing w:after="0" w:line="240" w:lineRule="auto"/>
        <w:jc w:val="both"/>
        <w:rPr>
          <w:rFonts w:ascii="Arial" w:hAnsi="Arial" w:cs="Arial"/>
          <w:b/>
          <w:sz w:val="24"/>
          <w:szCs w:val="24"/>
          <w:lang w:val="en-US"/>
        </w:rPr>
      </w:pPr>
    </w:p>
    <w:p w14:paraId="4D1A0240" w14:textId="77777777" w:rsidR="00CD7A5C" w:rsidRDefault="00CD7A5C" w:rsidP="00DC54F7">
      <w:pPr>
        <w:spacing w:after="0" w:line="240" w:lineRule="auto"/>
        <w:jc w:val="both"/>
        <w:rPr>
          <w:rFonts w:ascii="Arial" w:hAnsi="Arial" w:cs="Arial"/>
          <w:b/>
          <w:sz w:val="24"/>
          <w:szCs w:val="24"/>
          <w:lang w:val="en-US"/>
        </w:rPr>
      </w:pPr>
    </w:p>
    <w:p w14:paraId="0338F3A4" w14:textId="77777777" w:rsidR="00CD7A5C" w:rsidRDefault="00CD7A5C" w:rsidP="00DC54F7">
      <w:pPr>
        <w:spacing w:after="0" w:line="240" w:lineRule="auto"/>
        <w:jc w:val="both"/>
        <w:rPr>
          <w:rFonts w:ascii="Arial" w:hAnsi="Arial" w:cs="Arial"/>
          <w:b/>
          <w:sz w:val="24"/>
          <w:szCs w:val="24"/>
          <w:lang w:val="en-US"/>
        </w:rPr>
      </w:pPr>
    </w:p>
    <w:p w14:paraId="6172330D" w14:textId="77777777" w:rsidR="00CD7A5C" w:rsidRDefault="00CD7A5C" w:rsidP="00DC54F7">
      <w:pPr>
        <w:spacing w:after="0" w:line="240" w:lineRule="auto"/>
        <w:jc w:val="both"/>
        <w:rPr>
          <w:rFonts w:ascii="Arial" w:hAnsi="Arial" w:cs="Arial"/>
          <w:b/>
          <w:sz w:val="24"/>
          <w:szCs w:val="24"/>
          <w:lang w:val="en-US"/>
        </w:rPr>
      </w:pPr>
    </w:p>
    <w:p w14:paraId="02439FAB" w14:textId="77777777" w:rsidR="00CD7A5C" w:rsidRDefault="00CD7A5C" w:rsidP="00DC54F7">
      <w:pPr>
        <w:spacing w:after="0" w:line="240" w:lineRule="auto"/>
        <w:jc w:val="both"/>
        <w:rPr>
          <w:rFonts w:ascii="Arial" w:hAnsi="Arial" w:cs="Arial"/>
          <w:b/>
          <w:sz w:val="24"/>
          <w:szCs w:val="24"/>
          <w:lang w:val="en-US"/>
        </w:rPr>
      </w:pPr>
    </w:p>
    <w:p w14:paraId="7C6F822B" w14:textId="77777777" w:rsidR="00CD7A5C" w:rsidRDefault="00CD7A5C" w:rsidP="00DC54F7">
      <w:pPr>
        <w:spacing w:after="0" w:line="240" w:lineRule="auto"/>
        <w:jc w:val="both"/>
        <w:rPr>
          <w:rFonts w:ascii="Arial" w:hAnsi="Arial" w:cs="Arial"/>
          <w:b/>
          <w:sz w:val="24"/>
          <w:szCs w:val="24"/>
          <w:lang w:val="en-US"/>
        </w:rPr>
      </w:pPr>
    </w:p>
    <w:p w14:paraId="56A6A520" w14:textId="77777777" w:rsidR="00CD7A5C" w:rsidRDefault="00CD7A5C" w:rsidP="00DC54F7">
      <w:pPr>
        <w:spacing w:after="0" w:line="240" w:lineRule="auto"/>
        <w:jc w:val="both"/>
        <w:rPr>
          <w:rFonts w:ascii="Arial" w:hAnsi="Arial" w:cs="Arial"/>
          <w:b/>
          <w:sz w:val="24"/>
          <w:szCs w:val="24"/>
          <w:lang w:val="en-US"/>
        </w:rPr>
      </w:pPr>
    </w:p>
    <w:p w14:paraId="3BED368C" w14:textId="77777777" w:rsidR="00CD7A5C" w:rsidRDefault="00CD7A5C" w:rsidP="00DC54F7">
      <w:pPr>
        <w:spacing w:after="0" w:line="240" w:lineRule="auto"/>
        <w:jc w:val="both"/>
        <w:rPr>
          <w:rFonts w:ascii="Arial" w:hAnsi="Arial" w:cs="Arial"/>
          <w:b/>
          <w:sz w:val="24"/>
          <w:szCs w:val="24"/>
          <w:lang w:val="en-US"/>
        </w:rPr>
      </w:pPr>
    </w:p>
    <w:p w14:paraId="7465EA6E" w14:textId="7656113A" w:rsidR="00CD7A5C" w:rsidRDefault="00CD7A5C" w:rsidP="00DC54F7">
      <w:pPr>
        <w:jc w:val="both"/>
        <w:rPr>
          <w:rFonts w:ascii="Arial" w:hAnsi="Arial" w:cs="Arial"/>
          <w:b/>
          <w:sz w:val="24"/>
          <w:szCs w:val="24"/>
          <w:lang w:val="en-US"/>
        </w:rPr>
      </w:pPr>
      <w:r>
        <w:rPr>
          <w:rFonts w:ascii="Arial" w:hAnsi="Arial" w:cs="Arial"/>
          <w:b/>
          <w:sz w:val="24"/>
          <w:szCs w:val="24"/>
          <w:lang w:val="en-US"/>
        </w:rPr>
        <w:br w:type="page"/>
      </w:r>
    </w:p>
    <w:p w14:paraId="55B97CAE" w14:textId="586B7AC0" w:rsidR="00AA572E" w:rsidRPr="00C63EB4" w:rsidRDefault="00C57CB8" w:rsidP="00DC54F7">
      <w:pPr>
        <w:spacing w:after="0" w:line="240" w:lineRule="auto"/>
        <w:jc w:val="both"/>
        <w:rPr>
          <w:rFonts w:ascii="Arial" w:hAnsi="Arial" w:cs="Arial"/>
          <w:b/>
          <w:sz w:val="24"/>
          <w:szCs w:val="24"/>
          <w:lang w:val="en-US"/>
        </w:rPr>
      </w:pPr>
      <w:r w:rsidRPr="00C63EB4">
        <w:rPr>
          <w:rFonts w:ascii="Arial" w:hAnsi="Arial" w:cs="Arial"/>
          <w:b/>
          <w:sz w:val="24"/>
          <w:szCs w:val="24"/>
          <w:lang w:val="en-US"/>
        </w:rPr>
        <w:lastRenderedPageBreak/>
        <w:t>Table 10.7: Pharmacies in Cardiff City &amp; South cluster</w:t>
      </w:r>
    </w:p>
    <w:tbl>
      <w:tblPr>
        <w:tblW w:w="9351"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396"/>
        <w:gridCol w:w="3085"/>
        <w:gridCol w:w="1539"/>
        <w:gridCol w:w="1331"/>
      </w:tblGrid>
      <w:tr w:rsidR="001E204D" w:rsidRPr="00C63EB4" w14:paraId="6A79D27E" w14:textId="77777777" w:rsidTr="009D1039">
        <w:trPr>
          <w:trHeight w:val="260"/>
        </w:trPr>
        <w:tc>
          <w:tcPr>
            <w:tcW w:w="3396" w:type="dxa"/>
            <w:shd w:val="clear" w:color="auto" w:fill="8497B0"/>
            <w:noWrap/>
            <w:vAlign w:val="bottom"/>
            <w:hideMark/>
          </w:tcPr>
          <w:p w14:paraId="2F0FAE4D" w14:textId="77777777" w:rsidR="001E204D" w:rsidRPr="00C63EB4" w:rsidRDefault="001E204D" w:rsidP="00DC54F7">
            <w:pPr>
              <w:spacing w:after="0" w:line="240" w:lineRule="auto"/>
              <w:jc w:val="both"/>
              <w:rPr>
                <w:rFonts w:ascii="Arial" w:eastAsia="Times New Roman" w:hAnsi="Arial" w:cs="Arial"/>
                <w:b/>
                <w:bCs/>
                <w:color w:val="FFFFFF"/>
                <w:lang w:eastAsia="en-GB"/>
              </w:rPr>
            </w:pPr>
            <w:r w:rsidRPr="00C63EB4">
              <w:rPr>
                <w:rFonts w:ascii="Arial" w:eastAsia="Times New Roman" w:hAnsi="Arial" w:cs="Arial"/>
                <w:b/>
                <w:bCs/>
                <w:color w:val="FFFFFF"/>
                <w:lang w:eastAsia="en-GB"/>
              </w:rPr>
              <w:t>Pharmacy</w:t>
            </w:r>
          </w:p>
        </w:tc>
        <w:tc>
          <w:tcPr>
            <w:tcW w:w="5955" w:type="dxa"/>
            <w:gridSpan w:val="3"/>
            <w:shd w:val="clear" w:color="auto" w:fill="8497B0"/>
            <w:noWrap/>
            <w:vAlign w:val="bottom"/>
            <w:hideMark/>
          </w:tcPr>
          <w:p w14:paraId="079E99AA" w14:textId="77777777" w:rsidR="001E204D" w:rsidRPr="00C63EB4" w:rsidRDefault="001E204D" w:rsidP="00DC54F7">
            <w:pPr>
              <w:spacing w:after="0" w:line="240" w:lineRule="auto"/>
              <w:jc w:val="both"/>
              <w:rPr>
                <w:rFonts w:ascii="Arial" w:eastAsia="Times New Roman" w:hAnsi="Arial" w:cs="Arial"/>
                <w:b/>
                <w:bCs/>
                <w:color w:val="FFFFFF"/>
                <w:lang w:eastAsia="en-GB"/>
              </w:rPr>
            </w:pPr>
            <w:r w:rsidRPr="00C63EB4">
              <w:rPr>
                <w:rFonts w:ascii="Arial" w:eastAsia="Times New Roman" w:hAnsi="Arial" w:cs="Arial"/>
                <w:b/>
                <w:bCs/>
                <w:color w:val="FFFFFF"/>
                <w:lang w:eastAsia="en-GB"/>
              </w:rPr>
              <w:t>Address</w:t>
            </w:r>
          </w:p>
        </w:tc>
      </w:tr>
      <w:tr w:rsidR="001E204D" w:rsidRPr="00C63EB4" w14:paraId="7A2F8D3F" w14:textId="77777777" w:rsidTr="007439E3">
        <w:trPr>
          <w:trHeight w:val="290"/>
        </w:trPr>
        <w:tc>
          <w:tcPr>
            <w:tcW w:w="3396" w:type="dxa"/>
            <w:shd w:val="clear" w:color="000000" w:fill="F2F2F2"/>
            <w:hideMark/>
          </w:tcPr>
          <w:p w14:paraId="5E8D0D67"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National Co-Operative Chemists Ltd T/A The Co-operative Pharmacy</w:t>
            </w:r>
          </w:p>
        </w:tc>
        <w:tc>
          <w:tcPr>
            <w:tcW w:w="3085" w:type="dxa"/>
            <w:shd w:val="clear" w:color="000000" w:fill="F2F2F2"/>
            <w:hideMark/>
          </w:tcPr>
          <w:p w14:paraId="64481C41"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213 Bute Street</w:t>
            </w:r>
          </w:p>
        </w:tc>
        <w:tc>
          <w:tcPr>
            <w:tcW w:w="1539" w:type="dxa"/>
            <w:shd w:val="clear" w:color="000000" w:fill="F2F2F2"/>
            <w:hideMark/>
          </w:tcPr>
          <w:p w14:paraId="3D70E2C6"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Butetown</w:t>
            </w:r>
          </w:p>
        </w:tc>
        <w:tc>
          <w:tcPr>
            <w:tcW w:w="1331" w:type="dxa"/>
            <w:shd w:val="clear" w:color="000000" w:fill="F2F2F2"/>
            <w:hideMark/>
          </w:tcPr>
          <w:p w14:paraId="2EB894C1"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CF10 5HR</w:t>
            </w:r>
          </w:p>
        </w:tc>
      </w:tr>
      <w:tr w:rsidR="001E204D" w:rsidRPr="00C63EB4" w14:paraId="14B21331" w14:textId="77777777" w:rsidTr="007439E3">
        <w:trPr>
          <w:trHeight w:val="290"/>
        </w:trPr>
        <w:tc>
          <w:tcPr>
            <w:tcW w:w="3396" w:type="dxa"/>
            <w:shd w:val="clear" w:color="000000" w:fill="FFFFFF"/>
            <w:hideMark/>
          </w:tcPr>
          <w:p w14:paraId="0D4AA1A0"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Boots UK Limited</w:t>
            </w:r>
          </w:p>
        </w:tc>
        <w:tc>
          <w:tcPr>
            <w:tcW w:w="3085" w:type="dxa"/>
            <w:shd w:val="clear" w:color="000000" w:fill="FFFFFF"/>
            <w:hideMark/>
          </w:tcPr>
          <w:p w14:paraId="032734CC"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Unit 17 The Capitol Centre</w:t>
            </w:r>
          </w:p>
        </w:tc>
        <w:tc>
          <w:tcPr>
            <w:tcW w:w="1539" w:type="dxa"/>
            <w:shd w:val="clear" w:color="000000" w:fill="FFFFFF"/>
            <w:hideMark/>
          </w:tcPr>
          <w:p w14:paraId="12211608"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Queen Street</w:t>
            </w:r>
          </w:p>
        </w:tc>
        <w:tc>
          <w:tcPr>
            <w:tcW w:w="1331" w:type="dxa"/>
            <w:shd w:val="clear" w:color="000000" w:fill="FFFFFF"/>
            <w:hideMark/>
          </w:tcPr>
          <w:p w14:paraId="1A56F2EC"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CF10 2HQ</w:t>
            </w:r>
          </w:p>
        </w:tc>
      </w:tr>
      <w:tr w:rsidR="001E204D" w:rsidRPr="00C63EB4" w14:paraId="2F24D022" w14:textId="77777777" w:rsidTr="007439E3">
        <w:trPr>
          <w:trHeight w:val="290"/>
        </w:trPr>
        <w:tc>
          <w:tcPr>
            <w:tcW w:w="3396" w:type="dxa"/>
            <w:shd w:val="clear" w:color="000000" w:fill="F2F2F2"/>
            <w:hideMark/>
          </w:tcPr>
          <w:p w14:paraId="0E96EEE8"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Boots UK Limited</w:t>
            </w:r>
          </w:p>
        </w:tc>
        <w:tc>
          <w:tcPr>
            <w:tcW w:w="3085" w:type="dxa"/>
            <w:shd w:val="clear" w:color="000000" w:fill="F2F2F2"/>
            <w:hideMark/>
          </w:tcPr>
          <w:p w14:paraId="4F580549"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36 Queen Street</w:t>
            </w:r>
          </w:p>
        </w:tc>
        <w:tc>
          <w:tcPr>
            <w:tcW w:w="1539" w:type="dxa"/>
            <w:shd w:val="clear" w:color="000000" w:fill="F2F2F2"/>
            <w:hideMark/>
          </w:tcPr>
          <w:p w14:paraId="7ECF9489"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 xml:space="preserve">Cardiff </w:t>
            </w:r>
          </w:p>
        </w:tc>
        <w:tc>
          <w:tcPr>
            <w:tcW w:w="1331" w:type="dxa"/>
            <w:shd w:val="clear" w:color="000000" w:fill="F2F2F2"/>
            <w:hideMark/>
          </w:tcPr>
          <w:p w14:paraId="7C8255DC"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CF10 2RG</w:t>
            </w:r>
          </w:p>
        </w:tc>
      </w:tr>
      <w:tr w:rsidR="001E204D" w:rsidRPr="00C63EB4" w14:paraId="5C60D218" w14:textId="77777777" w:rsidTr="007439E3">
        <w:trPr>
          <w:trHeight w:val="290"/>
        </w:trPr>
        <w:tc>
          <w:tcPr>
            <w:tcW w:w="3396" w:type="dxa"/>
            <w:shd w:val="clear" w:color="000000" w:fill="FFFFFF"/>
            <w:hideMark/>
          </w:tcPr>
          <w:p w14:paraId="325181E4"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Boots UK Limited</w:t>
            </w:r>
          </w:p>
        </w:tc>
        <w:tc>
          <w:tcPr>
            <w:tcW w:w="3085" w:type="dxa"/>
            <w:shd w:val="clear" w:color="000000" w:fill="FFFFFF"/>
            <w:hideMark/>
          </w:tcPr>
          <w:p w14:paraId="7BF0E3FD"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Units1 &amp; 2 Broadcasting House, Central Square</w:t>
            </w:r>
          </w:p>
        </w:tc>
        <w:tc>
          <w:tcPr>
            <w:tcW w:w="1539" w:type="dxa"/>
            <w:shd w:val="clear" w:color="000000" w:fill="FFFFFF"/>
            <w:hideMark/>
          </w:tcPr>
          <w:p w14:paraId="63674AC8"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 xml:space="preserve">Cardiff </w:t>
            </w:r>
          </w:p>
        </w:tc>
        <w:tc>
          <w:tcPr>
            <w:tcW w:w="1331" w:type="dxa"/>
            <w:shd w:val="clear" w:color="000000" w:fill="FFFFFF"/>
            <w:hideMark/>
          </w:tcPr>
          <w:p w14:paraId="0CACCDD3"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CF10 1FS</w:t>
            </w:r>
          </w:p>
        </w:tc>
      </w:tr>
      <w:tr w:rsidR="001E204D" w:rsidRPr="00C63EB4" w14:paraId="36B88CDB" w14:textId="77777777" w:rsidTr="007439E3">
        <w:trPr>
          <w:trHeight w:val="290"/>
        </w:trPr>
        <w:tc>
          <w:tcPr>
            <w:tcW w:w="3396" w:type="dxa"/>
            <w:shd w:val="clear" w:color="000000" w:fill="F2F2F2"/>
            <w:hideMark/>
          </w:tcPr>
          <w:p w14:paraId="0968D6A3"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Boots UK Limited</w:t>
            </w:r>
          </w:p>
        </w:tc>
        <w:tc>
          <w:tcPr>
            <w:tcW w:w="3085" w:type="dxa"/>
            <w:shd w:val="clear" w:color="000000" w:fill="F2F2F2"/>
            <w:hideMark/>
          </w:tcPr>
          <w:p w14:paraId="15FEDE9E"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Unit D</w:t>
            </w:r>
          </w:p>
        </w:tc>
        <w:tc>
          <w:tcPr>
            <w:tcW w:w="1539" w:type="dxa"/>
            <w:shd w:val="clear" w:color="000000" w:fill="F2F2F2"/>
            <w:hideMark/>
          </w:tcPr>
          <w:p w14:paraId="6DAF1E19"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Cardiff Bay Retail Park</w:t>
            </w:r>
          </w:p>
        </w:tc>
        <w:tc>
          <w:tcPr>
            <w:tcW w:w="1331" w:type="dxa"/>
            <w:shd w:val="clear" w:color="000000" w:fill="F2F2F2"/>
            <w:hideMark/>
          </w:tcPr>
          <w:p w14:paraId="7222A8F4"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CF11 0JR</w:t>
            </w:r>
          </w:p>
        </w:tc>
      </w:tr>
      <w:tr w:rsidR="001E204D" w:rsidRPr="00C63EB4" w14:paraId="1809FB2F" w14:textId="77777777" w:rsidTr="007439E3">
        <w:trPr>
          <w:trHeight w:val="290"/>
        </w:trPr>
        <w:tc>
          <w:tcPr>
            <w:tcW w:w="3396" w:type="dxa"/>
            <w:shd w:val="clear" w:color="000000" w:fill="FFFFFF"/>
            <w:hideMark/>
          </w:tcPr>
          <w:p w14:paraId="61007CE8"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Lloyds Pharmacy Ltd T/A Lloydspharmacy</w:t>
            </w:r>
          </w:p>
        </w:tc>
        <w:tc>
          <w:tcPr>
            <w:tcW w:w="3085" w:type="dxa"/>
            <w:shd w:val="clear" w:color="000000" w:fill="FFFFFF"/>
            <w:hideMark/>
          </w:tcPr>
          <w:p w14:paraId="6AC4B7D4"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Grange Medical Centre Bishop Street</w:t>
            </w:r>
          </w:p>
        </w:tc>
        <w:tc>
          <w:tcPr>
            <w:tcW w:w="1539" w:type="dxa"/>
            <w:shd w:val="clear" w:color="000000" w:fill="FFFFFF"/>
            <w:hideMark/>
          </w:tcPr>
          <w:p w14:paraId="17CD4145"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Grangetown</w:t>
            </w:r>
          </w:p>
        </w:tc>
        <w:tc>
          <w:tcPr>
            <w:tcW w:w="1331" w:type="dxa"/>
            <w:shd w:val="clear" w:color="000000" w:fill="FFFFFF"/>
            <w:hideMark/>
          </w:tcPr>
          <w:p w14:paraId="384DB448"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CF11 6PG</w:t>
            </w:r>
          </w:p>
        </w:tc>
      </w:tr>
      <w:tr w:rsidR="001E204D" w:rsidRPr="00C63EB4" w14:paraId="4E87EF14" w14:textId="77777777" w:rsidTr="007439E3">
        <w:trPr>
          <w:trHeight w:val="290"/>
        </w:trPr>
        <w:tc>
          <w:tcPr>
            <w:tcW w:w="3396" w:type="dxa"/>
            <w:shd w:val="clear" w:color="000000" w:fill="F2F2F2"/>
            <w:hideMark/>
          </w:tcPr>
          <w:p w14:paraId="51F6096C"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Well</w:t>
            </w:r>
          </w:p>
        </w:tc>
        <w:tc>
          <w:tcPr>
            <w:tcW w:w="3085" w:type="dxa"/>
            <w:shd w:val="clear" w:color="000000" w:fill="F2F2F2"/>
            <w:hideMark/>
          </w:tcPr>
          <w:p w14:paraId="66D45BC9"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100 Holmesdale Street</w:t>
            </w:r>
          </w:p>
        </w:tc>
        <w:tc>
          <w:tcPr>
            <w:tcW w:w="1539" w:type="dxa"/>
            <w:shd w:val="clear" w:color="000000" w:fill="F2F2F2"/>
            <w:hideMark/>
          </w:tcPr>
          <w:p w14:paraId="7BD208E7"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Grangetown</w:t>
            </w:r>
          </w:p>
        </w:tc>
        <w:tc>
          <w:tcPr>
            <w:tcW w:w="1331" w:type="dxa"/>
            <w:shd w:val="clear" w:color="000000" w:fill="F2F2F2"/>
            <w:hideMark/>
          </w:tcPr>
          <w:p w14:paraId="43AC92C9"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CF11 7BW</w:t>
            </w:r>
          </w:p>
        </w:tc>
      </w:tr>
      <w:tr w:rsidR="001E204D" w:rsidRPr="00C63EB4" w14:paraId="17732B61" w14:textId="77777777" w:rsidTr="007439E3">
        <w:trPr>
          <w:trHeight w:val="290"/>
        </w:trPr>
        <w:tc>
          <w:tcPr>
            <w:tcW w:w="3396" w:type="dxa"/>
            <w:shd w:val="clear" w:color="000000" w:fill="FFFFFF"/>
            <w:hideMark/>
          </w:tcPr>
          <w:p w14:paraId="4FEBA5BC"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National Co-Operative Chemists Ltd T/A The Co-operative Pharmacy</w:t>
            </w:r>
          </w:p>
        </w:tc>
        <w:tc>
          <w:tcPr>
            <w:tcW w:w="3085" w:type="dxa"/>
            <w:shd w:val="clear" w:color="000000" w:fill="FFFFFF"/>
            <w:hideMark/>
          </w:tcPr>
          <w:p w14:paraId="1E42047A"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178 Clare Road</w:t>
            </w:r>
          </w:p>
        </w:tc>
        <w:tc>
          <w:tcPr>
            <w:tcW w:w="1539" w:type="dxa"/>
            <w:shd w:val="clear" w:color="000000" w:fill="FFFFFF"/>
            <w:hideMark/>
          </w:tcPr>
          <w:p w14:paraId="65B2745D"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Grangetown</w:t>
            </w:r>
          </w:p>
        </w:tc>
        <w:tc>
          <w:tcPr>
            <w:tcW w:w="1331" w:type="dxa"/>
            <w:shd w:val="clear" w:color="000000" w:fill="FFFFFF"/>
            <w:hideMark/>
          </w:tcPr>
          <w:p w14:paraId="0A270EE5"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CF11 6YG</w:t>
            </w:r>
          </w:p>
        </w:tc>
      </w:tr>
      <w:tr w:rsidR="001E204D" w:rsidRPr="00C63EB4" w14:paraId="36CF8173" w14:textId="77777777" w:rsidTr="007439E3">
        <w:trPr>
          <w:trHeight w:val="290"/>
        </w:trPr>
        <w:tc>
          <w:tcPr>
            <w:tcW w:w="3396" w:type="dxa"/>
            <w:shd w:val="clear" w:color="000000" w:fill="F2F2F2"/>
            <w:hideMark/>
          </w:tcPr>
          <w:p w14:paraId="3853E6F4"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 xml:space="preserve">National Co-Operative Chemists Ltd T/A The Co-operative Pharmacy </w:t>
            </w:r>
          </w:p>
        </w:tc>
        <w:tc>
          <w:tcPr>
            <w:tcW w:w="3085" w:type="dxa"/>
            <w:shd w:val="clear" w:color="000000" w:fill="F2F2F2"/>
            <w:hideMark/>
          </w:tcPr>
          <w:p w14:paraId="05CFF9C2"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Unit 2B Bute Place Quayside</w:t>
            </w:r>
          </w:p>
        </w:tc>
        <w:tc>
          <w:tcPr>
            <w:tcW w:w="1539" w:type="dxa"/>
            <w:shd w:val="clear" w:color="000000" w:fill="F2F2F2"/>
            <w:hideMark/>
          </w:tcPr>
          <w:p w14:paraId="16AD3629"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 xml:space="preserve">Cardiff Bay  </w:t>
            </w:r>
          </w:p>
        </w:tc>
        <w:tc>
          <w:tcPr>
            <w:tcW w:w="1331" w:type="dxa"/>
            <w:shd w:val="clear" w:color="000000" w:fill="F2F2F2"/>
            <w:hideMark/>
          </w:tcPr>
          <w:p w14:paraId="0E037C98"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CF10 5AB</w:t>
            </w:r>
          </w:p>
        </w:tc>
      </w:tr>
      <w:tr w:rsidR="001E204D" w:rsidRPr="00C63EB4" w14:paraId="756C146A" w14:textId="77777777" w:rsidTr="007439E3">
        <w:trPr>
          <w:trHeight w:val="290"/>
        </w:trPr>
        <w:tc>
          <w:tcPr>
            <w:tcW w:w="3396" w:type="dxa"/>
            <w:shd w:val="clear" w:color="000000" w:fill="FFFFFF"/>
            <w:hideMark/>
          </w:tcPr>
          <w:p w14:paraId="51A5F563"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B S Virdee T/A The Pharmacy</w:t>
            </w:r>
          </w:p>
        </w:tc>
        <w:tc>
          <w:tcPr>
            <w:tcW w:w="3085" w:type="dxa"/>
            <w:shd w:val="clear" w:color="000000" w:fill="FFFFFF"/>
            <w:hideMark/>
          </w:tcPr>
          <w:p w14:paraId="66C3C448"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54 Clare Road</w:t>
            </w:r>
          </w:p>
        </w:tc>
        <w:tc>
          <w:tcPr>
            <w:tcW w:w="1539" w:type="dxa"/>
            <w:shd w:val="clear" w:color="000000" w:fill="FFFFFF"/>
            <w:hideMark/>
          </w:tcPr>
          <w:p w14:paraId="7F4DFEE1"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Grangetown</w:t>
            </w:r>
          </w:p>
        </w:tc>
        <w:tc>
          <w:tcPr>
            <w:tcW w:w="1331" w:type="dxa"/>
            <w:shd w:val="clear" w:color="000000" w:fill="FFFFFF"/>
            <w:hideMark/>
          </w:tcPr>
          <w:p w14:paraId="6E380030" w14:textId="77777777" w:rsidR="001E204D" w:rsidRPr="00C63EB4" w:rsidRDefault="001E204D" w:rsidP="00DC54F7">
            <w:pPr>
              <w:spacing w:after="0" w:line="240" w:lineRule="auto"/>
              <w:jc w:val="both"/>
              <w:rPr>
                <w:rFonts w:ascii="Arial" w:eastAsia="Times New Roman" w:hAnsi="Arial" w:cs="Arial"/>
                <w:lang w:eastAsia="en-GB"/>
              </w:rPr>
            </w:pPr>
            <w:r w:rsidRPr="00C63EB4">
              <w:rPr>
                <w:rFonts w:ascii="Arial" w:eastAsia="Times New Roman" w:hAnsi="Arial" w:cs="Arial"/>
                <w:lang w:eastAsia="en-GB"/>
              </w:rPr>
              <w:t>CF11 6RT</w:t>
            </w:r>
          </w:p>
        </w:tc>
      </w:tr>
    </w:tbl>
    <w:p w14:paraId="399B165E" w14:textId="77777777" w:rsidR="00D27392" w:rsidRPr="00C63EB4" w:rsidRDefault="00D27392" w:rsidP="00DC54F7">
      <w:pPr>
        <w:spacing w:after="0" w:line="240" w:lineRule="auto"/>
        <w:jc w:val="both"/>
        <w:rPr>
          <w:rFonts w:ascii="Arial" w:hAnsi="Arial" w:cs="Arial"/>
          <w:bCs/>
          <w:lang w:val="en-US"/>
        </w:rPr>
      </w:pPr>
    </w:p>
    <w:p w14:paraId="3BB19FBD" w14:textId="0D9B5541" w:rsidR="00D27392" w:rsidRPr="00C63EB4" w:rsidRDefault="003861B8" w:rsidP="00DC54F7">
      <w:pPr>
        <w:spacing w:after="0" w:line="240" w:lineRule="auto"/>
        <w:jc w:val="both"/>
        <w:rPr>
          <w:rFonts w:ascii="Arial" w:hAnsi="Arial" w:cs="Arial"/>
          <w:sz w:val="24"/>
          <w:szCs w:val="24"/>
        </w:rPr>
      </w:pPr>
      <w:r w:rsidRPr="00C63EB4">
        <w:rPr>
          <w:rFonts w:ascii="Arial" w:hAnsi="Arial" w:cs="Arial"/>
          <w:sz w:val="24"/>
          <w:szCs w:val="24"/>
        </w:rPr>
        <w:t xml:space="preserve">In 2019 to 2020, </w:t>
      </w:r>
      <w:r w:rsidR="000B0D81" w:rsidRPr="00C63EB4">
        <w:rPr>
          <w:rFonts w:ascii="Arial" w:hAnsi="Arial" w:cs="Arial"/>
          <w:sz w:val="24"/>
          <w:szCs w:val="24"/>
        </w:rPr>
        <w:t>87</w:t>
      </w:r>
      <w:r w:rsidRPr="00C63EB4">
        <w:rPr>
          <w:rFonts w:ascii="Arial" w:hAnsi="Arial" w:cs="Arial"/>
          <w:sz w:val="24"/>
          <w:szCs w:val="24"/>
        </w:rPr>
        <w:t>.</w:t>
      </w:r>
      <w:r w:rsidR="000B0D81" w:rsidRPr="00C63EB4">
        <w:rPr>
          <w:rFonts w:ascii="Arial" w:hAnsi="Arial" w:cs="Arial"/>
          <w:sz w:val="24"/>
          <w:szCs w:val="24"/>
        </w:rPr>
        <w:t>5</w:t>
      </w:r>
      <w:r w:rsidRPr="00C63EB4">
        <w:rPr>
          <w:rFonts w:ascii="Arial" w:hAnsi="Arial" w:cs="Arial"/>
          <w:sz w:val="24"/>
          <w:szCs w:val="24"/>
        </w:rPr>
        <w:t xml:space="preserve">% of items on prescriptions written by the </w:t>
      </w:r>
      <w:r w:rsidR="000B0D81" w:rsidRPr="00C63EB4">
        <w:rPr>
          <w:rFonts w:ascii="Arial" w:hAnsi="Arial" w:cs="Arial"/>
          <w:sz w:val="24"/>
          <w:szCs w:val="24"/>
        </w:rPr>
        <w:t>seven</w:t>
      </w:r>
      <w:r w:rsidRPr="00C63EB4">
        <w:rPr>
          <w:rFonts w:ascii="Arial" w:hAnsi="Arial" w:cs="Arial"/>
          <w:sz w:val="24"/>
          <w:szCs w:val="24"/>
        </w:rPr>
        <w:t xml:space="preserve"> GP practices in Cardiff </w:t>
      </w:r>
      <w:r w:rsidR="000B0D81" w:rsidRPr="00C63EB4">
        <w:rPr>
          <w:rFonts w:ascii="Arial" w:hAnsi="Arial" w:cs="Arial"/>
          <w:sz w:val="24"/>
          <w:szCs w:val="24"/>
        </w:rPr>
        <w:t>City and South</w:t>
      </w:r>
      <w:r w:rsidRPr="00C63EB4">
        <w:rPr>
          <w:rFonts w:ascii="Arial" w:hAnsi="Arial" w:cs="Arial"/>
          <w:sz w:val="24"/>
          <w:szCs w:val="24"/>
        </w:rPr>
        <w:t xml:space="preserve"> cluster were dispensed by one of the pharmacies within the cluster and 1.</w:t>
      </w:r>
      <w:r w:rsidR="00FA1BE4" w:rsidRPr="00C63EB4">
        <w:rPr>
          <w:rFonts w:ascii="Arial" w:hAnsi="Arial" w:cs="Arial"/>
          <w:sz w:val="24"/>
          <w:szCs w:val="24"/>
        </w:rPr>
        <w:t>4</w:t>
      </w:r>
      <w:r w:rsidRPr="00C63EB4">
        <w:rPr>
          <w:rFonts w:ascii="Arial" w:hAnsi="Arial" w:cs="Arial"/>
          <w:sz w:val="24"/>
          <w:szCs w:val="24"/>
        </w:rPr>
        <w:t xml:space="preserve">% were personally administered items. </w:t>
      </w:r>
    </w:p>
    <w:p w14:paraId="2849DD5E" w14:textId="77777777" w:rsidR="00D27392" w:rsidRPr="00C63EB4" w:rsidRDefault="00D27392" w:rsidP="00DC54F7">
      <w:pPr>
        <w:spacing w:after="0" w:line="240" w:lineRule="auto"/>
        <w:jc w:val="both"/>
        <w:rPr>
          <w:rFonts w:ascii="Arial" w:hAnsi="Arial" w:cs="Arial"/>
          <w:b/>
          <w:sz w:val="24"/>
          <w:szCs w:val="24"/>
          <w:lang w:val="en-US"/>
        </w:rPr>
      </w:pPr>
    </w:p>
    <w:p w14:paraId="34BE3278" w14:textId="310991F3" w:rsidR="00D27392" w:rsidRPr="00C63EB4" w:rsidRDefault="00D27392" w:rsidP="00DC54F7">
      <w:pPr>
        <w:spacing w:after="0" w:line="240" w:lineRule="auto"/>
        <w:jc w:val="both"/>
        <w:rPr>
          <w:rFonts w:ascii="Arial" w:hAnsi="Arial" w:cs="Arial"/>
          <w:bCs/>
          <w:sz w:val="24"/>
          <w:szCs w:val="24"/>
          <w:lang w:val="en-US"/>
        </w:rPr>
      </w:pPr>
      <w:r w:rsidRPr="00C63EB4">
        <w:rPr>
          <w:rFonts w:ascii="Arial" w:hAnsi="Arial" w:cs="Arial"/>
          <w:bCs/>
          <w:sz w:val="24"/>
          <w:szCs w:val="24"/>
          <w:lang w:val="en-US"/>
        </w:rPr>
        <w:t>The</w:t>
      </w:r>
      <w:r w:rsidR="0028606C" w:rsidRPr="00C63EB4">
        <w:rPr>
          <w:rFonts w:ascii="Arial" w:hAnsi="Arial" w:cs="Arial"/>
          <w:bCs/>
          <w:sz w:val="24"/>
          <w:szCs w:val="24"/>
          <w:lang w:val="en-US"/>
        </w:rPr>
        <w:t xml:space="preserve"> majority of </w:t>
      </w:r>
      <w:r w:rsidRPr="00C63EB4">
        <w:rPr>
          <w:rFonts w:ascii="Arial" w:hAnsi="Arial" w:cs="Arial"/>
          <w:bCs/>
          <w:sz w:val="24"/>
          <w:szCs w:val="24"/>
          <w:lang w:val="en-US"/>
        </w:rPr>
        <w:t xml:space="preserve">pharmacies are located in </w:t>
      </w:r>
      <w:r w:rsidR="00BE5E89">
        <w:rPr>
          <w:rFonts w:ascii="Arial" w:hAnsi="Arial" w:cs="Arial"/>
          <w:bCs/>
          <w:sz w:val="24"/>
          <w:szCs w:val="24"/>
          <w:lang w:val="en-US"/>
        </w:rPr>
        <w:t xml:space="preserve">or near </w:t>
      </w:r>
      <w:r w:rsidRPr="00C63EB4">
        <w:rPr>
          <w:rFonts w:ascii="Arial" w:hAnsi="Arial" w:cs="Arial"/>
          <w:bCs/>
          <w:sz w:val="24"/>
          <w:szCs w:val="24"/>
          <w:lang w:val="en-US"/>
        </w:rPr>
        <w:t xml:space="preserve">areas of greater population density as shown by the darker shaded areas in the map below. </w:t>
      </w:r>
    </w:p>
    <w:p w14:paraId="38722E01" w14:textId="77777777" w:rsidR="00AA572E" w:rsidRPr="006E6035" w:rsidRDefault="00AA572E" w:rsidP="00DC54F7">
      <w:pPr>
        <w:spacing w:after="0" w:line="240" w:lineRule="auto"/>
        <w:jc w:val="both"/>
        <w:rPr>
          <w:rFonts w:ascii="Arial" w:hAnsi="Arial" w:cs="Arial"/>
          <w:bCs/>
          <w:lang w:val="en-US"/>
        </w:rPr>
      </w:pPr>
    </w:p>
    <w:p w14:paraId="50704285" w14:textId="4A1C8F0B" w:rsidR="004F6832" w:rsidRPr="001D4097" w:rsidRDefault="004F6832" w:rsidP="00DC54F7">
      <w:pPr>
        <w:spacing w:after="0" w:line="240" w:lineRule="auto"/>
        <w:jc w:val="both"/>
        <w:rPr>
          <w:rFonts w:ascii="Arial" w:hAnsi="Arial" w:cs="Arial"/>
          <w:b/>
          <w:sz w:val="24"/>
          <w:szCs w:val="24"/>
          <w:lang w:val="en-US"/>
        </w:rPr>
      </w:pPr>
      <w:r w:rsidRPr="00264698">
        <w:rPr>
          <w:rFonts w:ascii="Arial" w:hAnsi="Arial" w:cs="Arial"/>
          <w:b/>
          <w:sz w:val="24"/>
          <w:szCs w:val="24"/>
          <w:lang w:val="en-US"/>
        </w:rPr>
        <w:t xml:space="preserve">Map </w:t>
      </w:r>
      <w:r>
        <w:rPr>
          <w:rFonts w:ascii="Arial" w:hAnsi="Arial" w:cs="Arial"/>
          <w:b/>
          <w:sz w:val="24"/>
          <w:szCs w:val="24"/>
          <w:lang w:val="en-US"/>
        </w:rPr>
        <w:t>10</w:t>
      </w:r>
      <w:r w:rsidRPr="00264698">
        <w:rPr>
          <w:rFonts w:ascii="Arial" w:hAnsi="Arial" w:cs="Arial"/>
          <w:b/>
          <w:sz w:val="24"/>
          <w:szCs w:val="24"/>
          <w:lang w:val="en-US"/>
        </w:rPr>
        <w:t>.</w:t>
      </w:r>
      <w:r>
        <w:rPr>
          <w:rFonts w:ascii="Arial" w:hAnsi="Arial" w:cs="Arial"/>
          <w:b/>
          <w:sz w:val="24"/>
          <w:szCs w:val="24"/>
          <w:lang w:val="en-US"/>
        </w:rPr>
        <w:t>2</w:t>
      </w:r>
      <w:r w:rsidRPr="00264698">
        <w:rPr>
          <w:rFonts w:ascii="Arial" w:hAnsi="Arial" w:cs="Arial"/>
          <w:b/>
          <w:sz w:val="24"/>
          <w:szCs w:val="24"/>
          <w:lang w:val="en-US"/>
        </w:rPr>
        <w:t>: Location of pharmacy premise</w:t>
      </w:r>
      <w:r>
        <w:rPr>
          <w:rFonts w:ascii="Arial" w:hAnsi="Arial" w:cs="Arial"/>
          <w:b/>
          <w:sz w:val="24"/>
          <w:szCs w:val="24"/>
          <w:lang w:val="en-US"/>
        </w:rPr>
        <w:t xml:space="preserve">s </w:t>
      </w:r>
      <w:r w:rsidRPr="00264698">
        <w:rPr>
          <w:rFonts w:ascii="Arial" w:hAnsi="Arial" w:cs="Arial"/>
          <w:b/>
          <w:sz w:val="24"/>
          <w:szCs w:val="24"/>
          <w:lang w:val="en-US"/>
        </w:rPr>
        <w:t>compared to population density</w:t>
      </w:r>
    </w:p>
    <w:p w14:paraId="4E0B2EE3" w14:textId="5E81234D" w:rsidR="00D27392" w:rsidRPr="006E6035" w:rsidRDefault="00CE6E30" w:rsidP="00DC54F7">
      <w:pPr>
        <w:spacing w:after="0" w:line="240" w:lineRule="auto"/>
        <w:jc w:val="both"/>
        <w:rPr>
          <w:rFonts w:ascii="Arial" w:hAnsi="Arial" w:cs="Arial"/>
          <w:b/>
          <w:lang w:val="en-US"/>
        </w:rPr>
      </w:pPr>
      <w:r>
        <w:rPr>
          <w:noProof/>
          <w:lang w:eastAsia="en-GB"/>
        </w:rPr>
        <w:drawing>
          <wp:inline distT="0" distB="0" distL="0" distR="0" wp14:anchorId="1615723A" wp14:editId="45032248">
            <wp:extent cx="5730663" cy="3567066"/>
            <wp:effectExtent l="0" t="0" r="3810" b="0"/>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744700" cy="3575804"/>
                    </a:xfrm>
                    <a:prstGeom prst="rect">
                      <a:avLst/>
                    </a:prstGeom>
                    <a:noFill/>
                    <a:ln>
                      <a:noFill/>
                    </a:ln>
                  </pic:spPr>
                </pic:pic>
              </a:graphicData>
            </a:graphic>
          </wp:inline>
        </w:drawing>
      </w:r>
    </w:p>
    <w:p w14:paraId="1E129A27" w14:textId="115D3D8E" w:rsidR="00D27392" w:rsidRPr="00F21A02" w:rsidRDefault="00D27392" w:rsidP="00DC54F7">
      <w:pPr>
        <w:spacing w:after="0" w:line="240" w:lineRule="auto"/>
        <w:contextualSpacing/>
        <w:jc w:val="both"/>
        <w:rPr>
          <w:rFonts w:ascii="Arial" w:hAnsi="Arial" w:cs="Arial"/>
          <w:sz w:val="24"/>
          <w:szCs w:val="24"/>
        </w:rPr>
      </w:pPr>
      <w:r w:rsidRPr="00F21A02">
        <w:rPr>
          <w:rFonts w:ascii="Arial" w:hAnsi="Arial" w:cs="Arial"/>
          <w:sz w:val="24"/>
          <w:szCs w:val="24"/>
        </w:rPr>
        <w:lastRenderedPageBreak/>
        <w:t xml:space="preserve">All residents of the cluster can access one of the pharmacies by car within </w:t>
      </w:r>
      <w:r w:rsidR="00F809DE" w:rsidRPr="00F21A02">
        <w:rPr>
          <w:rFonts w:ascii="Arial" w:hAnsi="Arial" w:cs="Arial"/>
          <w:sz w:val="24"/>
          <w:szCs w:val="24"/>
        </w:rPr>
        <w:t>1</w:t>
      </w:r>
      <w:r w:rsidRPr="00F21A02">
        <w:rPr>
          <w:rFonts w:ascii="Arial" w:hAnsi="Arial" w:cs="Arial"/>
          <w:sz w:val="24"/>
          <w:szCs w:val="24"/>
        </w:rPr>
        <w:t xml:space="preserve">0 minutes. The majority can access a pharmacy within </w:t>
      </w:r>
      <w:r w:rsidR="00F809DE" w:rsidRPr="00F21A02">
        <w:rPr>
          <w:rFonts w:ascii="Arial" w:hAnsi="Arial" w:cs="Arial"/>
          <w:sz w:val="24"/>
          <w:szCs w:val="24"/>
        </w:rPr>
        <w:t>five</w:t>
      </w:r>
      <w:r w:rsidRPr="00F21A02">
        <w:rPr>
          <w:rFonts w:ascii="Arial" w:hAnsi="Arial" w:cs="Arial"/>
          <w:sz w:val="24"/>
          <w:szCs w:val="24"/>
        </w:rPr>
        <w:t xml:space="preserve"> minutes, as shown in map </w:t>
      </w:r>
      <w:r w:rsidR="00374CEE" w:rsidRPr="00F21A02">
        <w:rPr>
          <w:rFonts w:ascii="Arial" w:hAnsi="Arial" w:cs="Arial"/>
          <w:sz w:val="24"/>
          <w:szCs w:val="24"/>
        </w:rPr>
        <w:t>10</w:t>
      </w:r>
      <w:r w:rsidRPr="00F21A02">
        <w:rPr>
          <w:rFonts w:ascii="Arial" w:hAnsi="Arial" w:cs="Arial"/>
          <w:sz w:val="24"/>
          <w:szCs w:val="24"/>
        </w:rPr>
        <w:t>.</w:t>
      </w:r>
      <w:r w:rsidR="00DB44A8">
        <w:rPr>
          <w:rFonts w:ascii="Arial" w:hAnsi="Arial" w:cs="Arial"/>
          <w:sz w:val="24"/>
          <w:szCs w:val="24"/>
        </w:rPr>
        <w:t>3</w:t>
      </w:r>
      <w:r w:rsidRPr="00F21A02">
        <w:rPr>
          <w:rFonts w:ascii="Arial" w:hAnsi="Arial" w:cs="Arial"/>
          <w:sz w:val="24"/>
          <w:szCs w:val="24"/>
        </w:rPr>
        <w:t>.</w:t>
      </w:r>
    </w:p>
    <w:p w14:paraId="4AB07BEC" w14:textId="77777777" w:rsidR="00D27392" w:rsidRPr="00F21A02" w:rsidRDefault="00D27392" w:rsidP="00DC54F7">
      <w:pPr>
        <w:spacing w:after="0" w:line="240" w:lineRule="auto"/>
        <w:contextualSpacing/>
        <w:jc w:val="both"/>
        <w:rPr>
          <w:rFonts w:ascii="Arial" w:hAnsi="Arial" w:cs="Arial"/>
          <w:sz w:val="24"/>
          <w:szCs w:val="24"/>
          <w:highlight w:val="yellow"/>
        </w:rPr>
      </w:pPr>
    </w:p>
    <w:p w14:paraId="6F8ED796" w14:textId="52C97999" w:rsidR="00D27392" w:rsidRPr="00F21A02" w:rsidRDefault="00D27392" w:rsidP="00DC54F7">
      <w:pPr>
        <w:spacing w:after="0" w:line="240" w:lineRule="auto"/>
        <w:contextualSpacing/>
        <w:jc w:val="both"/>
        <w:rPr>
          <w:rFonts w:ascii="Arial" w:hAnsi="Arial" w:cs="Arial"/>
          <w:b/>
          <w:bCs/>
          <w:sz w:val="24"/>
          <w:szCs w:val="24"/>
        </w:rPr>
      </w:pPr>
      <w:r w:rsidRPr="00F21A02">
        <w:rPr>
          <w:rFonts w:ascii="Arial" w:hAnsi="Arial" w:cs="Arial"/>
          <w:b/>
          <w:bCs/>
          <w:sz w:val="24"/>
          <w:szCs w:val="24"/>
        </w:rPr>
        <w:t xml:space="preserve">Map </w:t>
      </w:r>
      <w:r w:rsidR="00CE6E30" w:rsidRPr="00F21A02">
        <w:rPr>
          <w:rFonts w:ascii="Arial" w:hAnsi="Arial" w:cs="Arial"/>
          <w:b/>
          <w:bCs/>
          <w:sz w:val="24"/>
          <w:szCs w:val="24"/>
        </w:rPr>
        <w:t>10</w:t>
      </w:r>
      <w:r w:rsidRPr="00F21A02">
        <w:rPr>
          <w:rFonts w:ascii="Arial" w:hAnsi="Arial" w:cs="Arial"/>
          <w:b/>
          <w:bCs/>
          <w:sz w:val="24"/>
          <w:szCs w:val="24"/>
        </w:rPr>
        <w:t>.</w:t>
      </w:r>
      <w:r w:rsidR="00F21A02">
        <w:rPr>
          <w:rFonts w:ascii="Arial" w:hAnsi="Arial" w:cs="Arial"/>
          <w:b/>
          <w:bCs/>
          <w:sz w:val="24"/>
          <w:szCs w:val="24"/>
        </w:rPr>
        <w:t>3</w:t>
      </w:r>
      <w:r w:rsidRPr="00F21A02">
        <w:rPr>
          <w:rFonts w:ascii="Arial" w:hAnsi="Arial" w:cs="Arial"/>
          <w:b/>
          <w:bCs/>
          <w:sz w:val="24"/>
          <w:szCs w:val="24"/>
        </w:rPr>
        <w:t>: Access to pharmacies in cluster</w:t>
      </w:r>
    </w:p>
    <w:p w14:paraId="6B08E82C" w14:textId="7FA1C318" w:rsidR="00CE6E30" w:rsidRPr="006E6035" w:rsidRDefault="00103BC9" w:rsidP="00DC54F7">
      <w:pPr>
        <w:spacing w:after="0" w:line="240" w:lineRule="auto"/>
        <w:contextualSpacing/>
        <w:jc w:val="both"/>
        <w:rPr>
          <w:rFonts w:ascii="Arial" w:hAnsi="Arial" w:cs="Arial"/>
          <w:b/>
          <w:bCs/>
        </w:rPr>
      </w:pPr>
      <w:r>
        <w:rPr>
          <w:noProof/>
          <w:lang w:eastAsia="en-GB"/>
        </w:rPr>
        <w:drawing>
          <wp:inline distT="0" distB="0" distL="0" distR="0" wp14:anchorId="50420F28" wp14:editId="7F083532">
            <wp:extent cx="5729874" cy="3612332"/>
            <wp:effectExtent l="0" t="0" r="4445" b="7620"/>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58529" cy="3630397"/>
                    </a:xfrm>
                    <a:prstGeom prst="rect">
                      <a:avLst/>
                    </a:prstGeom>
                    <a:noFill/>
                    <a:ln>
                      <a:noFill/>
                    </a:ln>
                  </pic:spPr>
                </pic:pic>
              </a:graphicData>
            </a:graphic>
          </wp:inline>
        </w:drawing>
      </w:r>
    </w:p>
    <w:p w14:paraId="01D5989C" w14:textId="77777777" w:rsidR="003F52A1" w:rsidRDefault="003F52A1" w:rsidP="00DC54F7">
      <w:pPr>
        <w:spacing w:after="0" w:line="240" w:lineRule="auto"/>
        <w:contextualSpacing/>
        <w:jc w:val="both"/>
        <w:rPr>
          <w:rFonts w:ascii="Arial" w:hAnsi="Arial" w:cs="Arial"/>
          <w:sz w:val="24"/>
          <w:szCs w:val="24"/>
        </w:rPr>
      </w:pPr>
    </w:p>
    <w:p w14:paraId="458843B1" w14:textId="0072732F" w:rsidR="00D27392" w:rsidRDefault="00D27392" w:rsidP="00DC54F7">
      <w:pPr>
        <w:spacing w:after="0" w:line="240" w:lineRule="auto"/>
        <w:contextualSpacing/>
        <w:jc w:val="both"/>
        <w:rPr>
          <w:rFonts w:ascii="Arial" w:hAnsi="Arial" w:cs="Arial"/>
          <w:sz w:val="24"/>
          <w:szCs w:val="24"/>
        </w:rPr>
      </w:pPr>
      <w:r w:rsidRPr="00DB44A8">
        <w:rPr>
          <w:rFonts w:ascii="Arial" w:hAnsi="Arial" w:cs="Arial"/>
          <w:sz w:val="24"/>
          <w:szCs w:val="24"/>
        </w:rPr>
        <w:t>Looking at the opening hours for the pharmacies:</w:t>
      </w:r>
    </w:p>
    <w:p w14:paraId="41B9834D" w14:textId="04EF07C8" w:rsidR="00791404" w:rsidRDefault="00791404" w:rsidP="00DC54F7">
      <w:pPr>
        <w:spacing w:after="0" w:line="240" w:lineRule="auto"/>
        <w:contextualSpacing/>
        <w:jc w:val="both"/>
        <w:rPr>
          <w:rFonts w:ascii="Arial" w:hAnsi="Arial" w:cs="Arial"/>
          <w:sz w:val="24"/>
          <w:szCs w:val="24"/>
        </w:rPr>
      </w:pPr>
    </w:p>
    <w:p w14:paraId="423C8DA8" w14:textId="77777777" w:rsidR="00791404" w:rsidRPr="00015287" w:rsidRDefault="00791404" w:rsidP="00DC54F7">
      <w:pPr>
        <w:pStyle w:val="ListParagraph"/>
        <w:numPr>
          <w:ilvl w:val="0"/>
          <w:numId w:val="141"/>
        </w:numPr>
        <w:spacing w:after="0" w:line="240" w:lineRule="auto"/>
        <w:jc w:val="both"/>
        <w:rPr>
          <w:rFonts w:ascii="Arial" w:hAnsi="Arial" w:cs="Arial"/>
          <w:sz w:val="24"/>
          <w:szCs w:val="24"/>
        </w:rPr>
      </w:pPr>
      <w:r w:rsidRPr="00015287">
        <w:rPr>
          <w:rFonts w:ascii="Arial" w:hAnsi="Arial" w:cs="Arial"/>
          <w:sz w:val="24"/>
          <w:szCs w:val="24"/>
        </w:rPr>
        <w:t>Three pharmacies are open seven days a week</w:t>
      </w:r>
    </w:p>
    <w:p w14:paraId="28133EAC" w14:textId="77777777" w:rsidR="00791404" w:rsidRPr="00015287" w:rsidRDefault="00791404" w:rsidP="00DC54F7">
      <w:pPr>
        <w:pStyle w:val="ListParagraph"/>
        <w:numPr>
          <w:ilvl w:val="0"/>
          <w:numId w:val="141"/>
        </w:numPr>
        <w:spacing w:after="0" w:line="240" w:lineRule="auto"/>
        <w:jc w:val="both"/>
        <w:rPr>
          <w:rFonts w:ascii="Arial" w:hAnsi="Arial" w:cs="Arial"/>
          <w:sz w:val="24"/>
          <w:szCs w:val="24"/>
        </w:rPr>
      </w:pPr>
      <w:r w:rsidRPr="00015287">
        <w:rPr>
          <w:rFonts w:ascii="Arial" w:hAnsi="Arial" w:cs="Arial"/>
          <w:sz w:val="24"/>
          <w:szCs w:val="24"/>
        </w:rPr>
        <w:t>One pharmacy is open Monday to Saturday</w:t>
      </w:r>
    </w:p>
    <w:p w14:paraId="055821C2" w14:textId="14817E9C" w:rsidR="00791404" w:rsidRPr="00015287" w:rsidRDefault="00791404" w:rsidP="00DC54F7">
      <w:pPr>
        <w:pStyle w:val="ListParagraph"/>
        <w:numPr>
          <w:ilvl w:val="0"/>
          <w:numId w:val="141"/>
        </w:numPr>
        <w:spacing w:after="0" w:line="240" w:lineRule="auto"/>
        <w:jc w:val="both"/>
        <w:rPr>
          <w:rFonts w:ascii="Arial" w:hAnsi="Arial" w:cs="Arial"/>
          <w:sz w:val="24"/>
          <w:szCs w:val="24"/>
        </w:rPr>
      </w:pPr>
      <w:r w:rsidRPr="00015287">
        <w:rPr>
          <w:rFonts w:ascii="Arial" w:hAnsi="Arial" w:cs="Arial"/>
          <w:sz w:val="24"/>
          <w:szCs w:val="24"/>
        </w:rPr>
        <w:t>One pharmacy is open Monday to Friday and Saturday morning</w:t>
      </w:r>
    </w:p>
    <w:p w14:paraId="2113B7B7" w14:textId="14945DB2" w:rsidR="00791404" w:rsidRPr="00015287" w:rsidRDefault="00791404" w:rsidP="00DC54F7">
      <w:pPr>
        <w:pStyle w:val="ListParagraph"/>
        <w:numPr>
          <w:ilvl w:val="0"/>
          <w:numId w:val="141"/>
        </w:numPr>
        <w:spacing w:after="0" w:line="240" w:lineRule="auto"/>
        <w:jc w:val="both"/>
        <w:rPr>
          <w:rFonts w:ascii="Arial" w:hAnsi="Arial" w:cs="Arial"/>
          <w:sz w:val="24"/>
          <w:szCs w:val="24"/>
        </w:rPr>
      </w:pPr>
      <w:r w:rsidRPr="00015287">
        <w:rPr>
          <w:rFonts w:ascii="Arial" w:hAnsi="Arial" w:cs="Arial"/>
          <w:sz w:val="24"/>
          <w:szCs w:val="24"/>
        </w:rPr>
        <w:t>Five pharmacies are open Monday to Friday</w:t>
      </w:r>
    </w:p>
    <w:p w14:paraId="1799BA37" w14:textId="77777777" w:rsidR="00D27392" w:rsidRPr="00DB44A8" w:rsidRDefault="00D27392" w:rsidP="00DC54F7">
      <w:pPr>
        <w:spacing w:after="0" w:line="240" w:lineRule="auto"/>
        <w:contextualSpacing/>
        <w:jc w:val="both"/>
        <w:rPr>
          <w:rFonts w:ascii="Arial" w:hAnsi="Arial" w:cs="Arial"/>
          <w:sz w:val="24"/>
          <w:szCs w:val="24"/>
        </w:rPr>
      </w:pPr>
    </w:p>
    <w:p w14:paraId="47B2667E" w14:textId="12EC3D07" w:rsidR="00F44391" w:rsidRDefault="00F44391" w:rsidP="00DC54F7">
      <w:pPr>
        <w:spacing w:after="0" w:line="240" w:lineRule="auto"/>
        <w:jc w:val="both"/>
        <w:rPr>
          <w:rFonts w:ascii="Arial" w:hAnsi="Arial" w:cs="Arial"/>
          <w:sz w:val="24"/>
          <w:szCs w:val="24"/>
        </w:rPr>
      </w:pPr>
      <w:r w:rsidRPr="00DB44A8">
        <w:rPr>
          <w:rFonts w:ascii="Arial" w:hAnsi="Arial" w:cs="Arial"/>
          <w:sz w:val="24"/>
          <w:szCs w:val="24"/>
        </w:rPr>
        <w:t xml:space="preserve">All pharmacies must open for their core contractual hours, which are 40 hours a week. These can only be amended with approval by the health board. All additional hours or supplementary hours can be amended by the pharmacy following the provision of 90 days’ notice to the health board. Within the cluster, opening hours and closing hours range from: </w:t>
      </w:r>
    </w:p>
    <w:p w14:paraId="0BEDFA2E" w14:textId="43A378DF" w:rsidR="006F30E5" w:rsidRDefault="006F30E5" w:rsidP="00DC54F7">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6F30E5" w:rsidRPr="006E6035" w14:paraId="45976ABF" w14:textId="77777777" w:rsidTr="00D939CF">
        <w:tc>
          <w:tcPr>
            <w:tcW w:w="3005" w:type="dxa"/>
          </w:tcPr>
          <w:p w14:paraId="43354722" w14:textId="77777777" w:rsidR="006F30E5" w:rsidRPr="00530448" w:rsidRDefault="006F30E5" w:rsidP="00DC54F7">
            <w:pPr>
              <w:contextualSpacing/>
              <w:jc w:val="both"/>
              <w:rPr>
                <w:rFonts w:ascii="Arial" w:hAnsi="Arial" w:cs="Arial"/>
                <w:b/>
                <w:bCs/>
                <w:sz w:val="24"/>
                <w:szCs w:val="24"/>
              </w:rPr>
            </w:pPr>
            <w:r w:rsidRPr="00530448">
              <w:rPr>
                <w:rFonts w:ascii="Arial" w:hAnsi="Arial" w:cs="Arial"/>
                <w:b/>
                <w:bCs/>
                <w:sz w:val="24"/>
                <w:szCs w:val="24"/>
              </w:rPr>
              <w:t>Days</w:t>
            </w:r>
          </w:p>
        </w:tc>
        <w:tc>
          <w:tcPr>
            <w:tcW w:w="3005" w:type="dxa"/>
          </w:tcPr>
          <w:p w14:paraId="6DF6B997" w14:textId="77777777" w:rsidR="006F30E5" w:rsidRPr="00410D20" w:rsidRDefault="006F30E5" w:rsidP="00DC54F7">
            <w:pPr>
              <w:contextualSpacing/>
              <w:jc w:val="both"/>
              <w:rPr>
                <w:rFonts w:ascii="Arial" w:hAnsi="Arial" w:cs="Arial"/>
                <w:b/>
                <w:bCs/>
                <w:sz w:val="24"/>
                <w:szCs w:val="24"/>
              </w:rPr>
            </w:pPr>
            <w:r w:rsidRPr="00410D20">
              <w:rPr>
                <w:rFonts w:ascii="Arial" w:hAnsi="Arial" w:cs="Arial"/>
                <w:b/>
                <w:bCs/>
                <w:sz w:val="24"/>
                <w:szCs w:val="24"/>
              </w:rPr>
              <w:t>Opening hours range</w:t>
            </w:r>
          </w:p>
        </w:tc>
        <w:tc>
          <w:tcPr>
            <w:tcW w:w="3006" w:type="dxa"/>
          </w:tcPr>
          <w:p w14:paraId="2D3AD8AF" w14:textId="77777777" w:rsidR="006F30E5" w:rsidRPr="00410D20" w:rsidRDefault="006F30E5" w:rsidP="00DC54F7">
            <w:pPr>
              <w:contextualSpacing/>
              <w:jc w:val="both"/>
              <w:rPr>
                <w:rFonts w:ascii="Arial" w:hAnsi="Arial" w:cs="Arial"/>
                <w:b/>
                <w:bCs/>
                <w:sz w:val="24"/>
                <w:szCs w:val="24"/>
              </w:rPr>
            </w:pPr>
            <w:r w:rsidRPr="00410D20">
              <w:rPr>
                <w:rFonts w:ascii="Arial" w:hAnsi="Arial" w:cs="Arial"/>
                <w:b/>
                <w:bCs/>
                <w:sz w:val="24"/>
                <w:szCs w:val="24"/>
              </w:rPr>
              <w:t>Closing hours range</w:t>
            </w:r>
          </w:p>
        </w:tc>
      </w:tr>
      <w:tr w:rsidR="006F30E5" w:rsidRPr="006E6035" w14:paraId="3275F95B" w14:textId="77777777" w:rsidTr="00D939CF">
        <w:tc>
          <w:tcPr>
            <w:tcW w:w="3005" w:type="dxa"/>
          </w:tcPr>
          <w:p w14:paraId="5CE6EB90" w14:textId="77777777" w:rsidR="006F30E5" w:rsidRPr="00530448" w:rsidRDefault="006F30E5" w:rsidP="00DC54F7">
            <w:pPr>
              <w:contextualSpacing/>
              <w:jc w:val="both"/>
              <w:rPr>
                <w:rFonts w:ascii="Arial" w:hAnsi="Arial" w:cs="Arial"/>
                <w:sz w:val="24"/>
                <w:szCs w:val="24"/>
              </w:rPr>
            </w:pPr>
            <w:r w:rsidRPr="00530448">
              <w:rPr>
                <w:rFonts w:ascii="Arial" w:hAnsi="Arial" w:cs="Arial"/>
                <w:sz w:val="24"/>
                <w:szCs w:val="24"/>
              </w:rPr>
              <w:t>Monday to Friday</w:t>
            </w:r>
          </w:p>
        </w:tc>
        <w:tc>
          <w:tcPr>
            <w:tcW w:w="3005" w:type="dxa"/>
          </w:tcPr>
          <w:p w14:paraId="21E7ECC6" w14:textId="4F22C663" w:rsidR="006F30E5" w:rsidRPr="00015287" w:rsidRDefault="006F30E5" w:rsidP="00DC54F7">
            <w:pPr>
              <w:contextualSpacing/>
              <w:jc w:val="both"/>
              <w:rPr>
                <w:rFonts w:ascii="Arial" w:hAnsi="Arial" w:cs="Arial"/>
                <w:sz w:val="24"/>
                <w:szCs w:val="24"/>
              </w:rPr>
            </w:pPr>
            <w:r w:rsidRPr="00015287">
              <w:rPr>
                <w:rFonts w:ascii="Arial" w:hAnsi="Arial" w:cs="Arial"/>
                <w:sz w:val="24"/>
                <w:szCs w:val="24"/>
              </w:rPr>
              <w:t>07.00am to 09.00am</w:t>
            </w:r>
          </w:p>
        </w:tc>
        <w:tc>
          <w:tcPr>
            <w:tcW w:w="3006" w:type="dxa"/>
          </w:tcPr>
          <w:p w14:paraId="59732C43" w14:textId="77777777" w:rsidR="006F30E5" w:rsidRPr="00015287" w:rsidRDefault="006F30E5" w:rsidP="00DC54F7">
            <w:pPr>
              <w:contextualSpacing/>
              <w:jc w:val="both"/>
              <w:rPr>
                <w:rFonts w:ascii="Arial" w:hAnsi="Arial" w:cs="Arial"/>
                <w:sz w:val="24"/>
                <w:szCs w:val="24"/>
              </w:rPr>
            </w:pPr>
            <w:r w:rsidRPr="00015287">
              <w:rPr>
                <w:rFonts w:ascii="Arial" w:hAnsi="Arial" w:cs="Arial"/>
                <w:sz w:val="24"/>
                <w:szCs w:val="24"/>
              </w:rPr>
              <w:t>17.30pm to 22.30pm</w:t>
            </w:r>
          </w:p>
        </w:tc>
      </w:tr>
      <w:tr w:rsidR="006F30E5" w:rsidRPr="006E6035" w14:paraId="5FA0621B" w14:textId="77777777" w:rsidTr="00D939CF">
        <w:tc>
          <w:tcPr>
            <w:tcW w:w="3005" w:type="dxa"/>
          </w:tcPr>
          <w:p w14:paraId="72EBEAED" w14:textId="77777777" w:rsidR="006F30E5" w:rsidRPr="00530448" w:rsidRDefault="006F30E5" w:rsidP="00DC54F7">
            <w:pPr>
              <w:contextualSpacing/>
              <w:jc w:val="both"/>
              <w:rPr>
                <w:rFonts w:ascii="Arial" w:hAnsi="Arial" w:cs="Arial"/>
                <w:sz w:val="24"/>
                <w:szCs w:val="24"/>
              </w:rPr>
            </w:pPr>
            <w:r w:rsidRPr="00530448">
              <w:rPr>
                <w:rFonts w:ascii="Arial" w:hAnsi="Arial" w:cs="Arial"/>
                <w:sz w:val="24"/>
                <w:szCs w:val="24"/>
              </w:rPr>
              <w:t>Saturday</w:t>
            </w:r>
          </w:p>
        </w:tc>
        <w:tc>
          <w:tcPr>
            <w:tcW w:w="3005" w:type="dxa"/>
          </w:tcPr>
          <w:p w14:paraId="5FA08241" w14:textId="77777777" w:rsidR="006F30E5" w:rsidRPr="00015287" w:rsidRDefault="006F30E5" w:rsidP="00DC54F7">
            <w:pPr>
              <w:contextualSpacing/>
              <w:jc w:val="both"/>
              <w:rPr>
                <w:rFonts w:ascii="Arial" w:hAnsi="Arial" w:cs="Arial"/>
                <w:sz w:val="24"/>
                <w:szCs w:val="24"/>
              </w:rPr>
            </w:pPr>
            <w:r w:rsidRPr="00015287">
              <w:rPr>
                <w:rFonts w:ascii="Arial" w:hAnsi="Arial" w:cs="Arial"/>
                <w:sz w:val="24"/>
                <w:szCs w:val="24"/>
              </w:rPr>
              <w:t xml:space="preserve">08.00am to 09.00am </w:t>
            </w:r>
          </w:p>
        </w:tc>
        <w:tc>
          <w:tcPr>
            <w:tcW w:w="3006" w:type="dxa"/>
          </w:tcPr>
          <w:p w14:paraId="2BB1D0B4" w14:textId="15C2D814" w:rsidR="006F30E5" w:rsidRPr="00015287" w:rsidRDefault="006F30E5" w:rsidP="00DC54F7">
            <w:pPr>
              <w:contextualSpacing/>
              <w:jc w:val="both"/>
              <w:rPr>
                <w:rFonts w:ascii="Arial" w:hAnsi="Arial" w:cs="Arial"/>
                <w:sz w:val="24"/>
                <w:szCs w:val="24"/>
              </w:rPr>
            </w:pPr>
            <w:r w:rsidRPr="00015287">
              <w:rPr>
                <w:rFonts w:ascii="Arial" w:hAnsi="Arial" w:cs="Arial"/>
                <w:sz w:val="24"/>
                <w:szCs w:val="24"/>
              </w:rPr>
              <w:t>13.00pm to 22.30pm</w:t>
            </w:r>
          </w:p>
        </w:tc>
      </w:tr>
      <w:tr w:rsidR="006F30E5" w:rsidRPr="006E6035" w14:paraId="63A57054" w14:textId="77777777" w:rsidTr="00D939CF">
        <w:tc>
          <w:tcPr>
            <w:tcW w:w="3005" w:type="dxa"/>
          </w:tcPr>
          <w:p w14:paraId="26E0820C" w14:textId="77777777" w:rsidR="006F30E5" w:rsidRPr="00530448" w:rsidRDefault="006F30E5" w:rsidP="00DC54F7">
            <w:pPr>
              <w:contextualSpacing/>
              <w:jc w:val="both"/>
              <w:rPr>
                <w:rFonts w:ascii="Arial" w:hAnsi="Arial" w:cs="Arial"/>
                <w:sz w:val="24"/>
                <w:szCs w:val="24"/>
              </w:rPr>
            </w:pPr>
            <w:r w:rsidRPr="00530448">
              <w:rPr>
                <w:rFonts w:ascii="Arial" w:hAnsi="Arial" w:cs="Arial"/>
                <w:sz w:val="24"/>
                <w:szCs w:val="24"/>
              </w:rPr>
              <w:t>Sunday</w:t>
            </w:r>
          </w:p>
        </w:tc>
        <w:tc>
          <w:tcPr>
            <w:tcW w:w="3005" w:type="dxa"/>
          </w:tcPr>
          <w:p w14:paraId="0DE9D0D7" w14:textId="77777777" w:rsidR="006F30E5" w:rsidRPr="00015287" w:rsidRDefault="006F30E5" w:rsidP="00DC54F7">
            <w:pPr>
              <w:contextualSpacing/>
              <w:jc w:val="both"/>
              <w:rPr>
                <w:rFonts w:ascii="Arial" w:hAnsi="Arial" w:cs="Arial"/>
                <w:sz w:val="24"/>
                <w:szCs w:val="24"/>
              </w:rPr>
            </w:pPr>
            <w:r w:rsidRPr="00015287">
              <w:rPr>
                <w:rFonts w:ascii="Arial" w:hAnsi="Arial" w:cs="Arial"/>
                <w:sz w:val="24"/>
                <w:szCs w:val="24"/>
              </w:rPr>
              <w:t xml:space="preserve">10.00am to 11.00am </w:t>
            </w:r>
          </w:p>
        </w:tc>
        <w:tc>
          <w:tcPr>
            <w:tcW w:w="3006" w:type="dxa"/>
          </w:tcPr>
          <w:p w14:paraId="5DFD90B6" w14:textId="1BD9AF6D" w:rsidR="006F30E5" w:rsidRPr="00015287" w:rsidRDefault="006F30E5" w:rsidP="00DC54F7">
            <w:pPr>
              <w:contextualSpacing/>
              <w:jc w:val="both"/>
              <w:rPr>
                <w:rFonts w:ascii="Arial" w:hAnsi="Arial" w:cs="Arial"/>
                <w:sz w:val="24"/>
                <w:szCs w:val="24"/>
              </w:rPr>
            </w:pPr>
            <w:r w:rsidRPr="00015287">
              <w:rPr>
                <w:rFonts w:ascii="Arial" w:hAnsi="Arial" w:cs="Arial"/>
                <w:sz w:val="24"/>
                <w:szCs w:val="24"/>
              </w:rPr>
              <w:t>16.00pm to 21.00pm</w:t>
            </w:r>
          </w:p>
        </w:tc>
      </w:tr>
    </w:tbl>
    <w:p w14:paraId="487E0511" w14:textId="77777777" w:rsidR="00D27392" w:rsidRPr="006E6035" w:rsidRDefault="00D27392" w:rsidP="00DC54F7">
      <w:pPr>
        <w:spacing w:after="0" w:line="240" w:lineRule="auto"/>
        <w:contextualSpacing/>
        <w:jc w:val="both"/>
        <w:rPr>
          <w:rFonts w:ascii="Arial" w:hAnsi="Arial" w:cs="Arial"/>
        </w:rPr>
      </w:pPr>
    </w:p>
    <w:p w14:paraId="259545C7" w14:textId="77777777" w:rsidR="00D27392" w:rsidRPr="00F21CA6" w:rsidRDefault="00D27392" w:rsidP="00DC54F7">
      <w:pPr>
        <w:spacing w:after="0" w:line="240" w:lineRule="auto"/>
        <w:contextualSpacing/>
        <w:jc w:val="both"/>
        <w:rPr>
          <w:rFonts w:ascii="Arial" w:hAnsi="Arial" w:cs="Arial"/>
          <w:sz w:val="24"/>
          <w:szCs w:val="24"/>
        </w:rPr>
      </w:pPr>
      <w:r w:rsidRPr="00F21CA6">
        <w:rPr>
          <w:rFonts w:ascii="Arial" w:hAnsi="Arial" w:cs="Arial"/>
          <w:sz w:val="24"/>
          <w:szCs w:val="24"/>
        </w:rPr>
        <w:t>Full details of when the pharmacies are open can be found in Appendix L.</w:t>
      </w:r>
    </w:p>
    <w:p w14:paraId="3B7596EC" w14:textId="08FCD112" w:rsidR="00F1168A" w:rsidRPr="00F21CA6" w:rsidRDefault="00F1168A" w:rsidP="00DC54F7">
      <w:pPr>
        <w:spacing w:after="0" w:line="240" w:lineRule="auto"/>
        <w:jc w:val="both"/>
        <w:rPr>
          <w:rFonts w:ascii="Arial" w:hAnsi="Arial" w:cs="Arial"/>
          <w:b/>
          <w:sz w:val="24"/>
          <w:szCs w:val="24"/>
          <w:lang w:val="en-US"/>
        </w:rPr>
      </w:pPr>
    </w:p>
    <w:p w14:paraId="2D5A7D58" w14:textId="0A0E5E78" w:rsidR="000C13D3" w:rsidRPr="00F21CA6" w:rsidRDefault="000C13D3" w:rsidP="00DC54F7">
      <w:pPr>
        <w:spacing w:after="0" w:line="240" w:lineRule="auto"/>
        <w:contextualSpacing/>
        <w:jc w:val="both"/>
        <w:rPr>
          <w:rFonts w:ascii="Arial" w:hAnsi="Arial" w:cs="Arial"/>
          <w:sz w:val="24"/>
          <w:szCs w:val="24"/>
        </w:rPr>
      </w:pPr>
      <w:r w:rsidRPr="00F21CA6">
        <w:rPr>
          <w:rFonts w:ascii="Arial" w:hAnsi="Arial" w:cs="Arial"/>
          <w:sz w:val="24"/>
          <w:szCs w:val="24"/>
        </w:rPr>
        <w:t xml:space="preserve">All </w:t>
      </w:r>
      <w:r w:rsidR="0021495B" w:rsidRPr="00F21CA6">
        <w:rPr>
          <w:rFonts w:ascii="Arial" w:hAnsi="Arial" w:cs="Arial"/>
          <w:sz w:val="24"/>
          <w:szCs w:val="24"/>
        </w:rPr>
        <w:t xml:space="preserve">10 </w:t>
      </w:r>
      <w:r w:rsidRPr="00F21CA6">
        <w:rPr>
          <w:rFonts w:ascii="Arial" w:hAnsi="Arial" w:cs="Arial"/>
          <w:sz w:val="24"/>
          <w:szCs w:val="24"/>
        </w:rPr>
        <w:t xml:space="preserve">pharmacies responded to the contractor questionnaire, of which </w:t>
      </w:r>
      <w:r w:rsidR="00F0374E">
        <w:rPr>
          <w:rFonts w:ascii="Arial" w:hAnsi="Arial" w:cs="Arial"/>
          <w:sz w:val="24"/>
          <w:szCs w:val="24"/>
        </w:rPr>
        <w:t>six</w:t>
      </w:r>
      <w:r w:rsidRPr="00F21CA6">
        <w:rPr>
          <w:rFonts w:ascii="Arial" w:hAnsi="Arial" w:cs="Arial"/>
          <w:sz w:val="24"/>
          <w:szCs w:val="24"/>
        </w:rPr>
        <w:t xml:space="preserve"> dispense all appliances listed in Part IX of the Drug Tariff</w:t>
      </w:r>
      <w:r w:rsidR="0021495B" w:rsidRPr="00F21CA6">
        <w:rPr>
          <w:rFonts w:ascii="Arial" w:hAnsi="Arial" w:cs="Arial"/>
          <w:sz w:val="24"/>
          <w:szCs w:val="24"/>
        </w:rPr>
        <w:t>, one</w:t>
      </w:r>
      <w:r w:rsidR="00A020B9" w:rsidRPr="00F21CA6">
        <w:rPr>
          <w:rFonts w:ascii="Arial" w:hAnsi="Arial" w:cs="Arial"/>
          <w:sz w:val="24"/>
          <w:szCs w:val="24"/>
        </w:rPr>
        <w:t xml:space="preserve"> pharmacy dispenses everything </w:t>
      </w:r>
      <w:r w:rsidR="00CE55F7" w:rsidRPr="00F21CA6">
        <w:rPr>
          <w:rFonts w:ascii="Arial" w:hAnsi="Arial" w:cs="Arial"/>
          <w:sz w:val="24"/>
          <w:szCs w:val="24"/>
        </w:rPr>
        <w:t>excluding stoma and incontinence appliances</w:t>
      </w:r>
      <w:r w:rsidRPr="00F21CA6">
        <w:rPr>
          <w:rFonts w:ascii="Arial" w:hAnsi="Arial" w:cs="Arial"/>
          <w:sz w:val="24"/>
          <w:szCs w:val="24"/>
        </w:rPr>
        <w:t xml:space="preserve"> and </w:t>
      </w:r>
      <w:r w:rsidR="00F0374E">
        <w:rPr>
          <w:rFonts w:ascii="Arial" w:hAnsi="Arial" w:cs="Arial"/>
          <w:sz w:val="24"/>
          <w:szCs w:val="24"/>
        </w:rPr>
        <w:t xml:space="preserve">three </w:t>
      </w:r>
      <w:r w:rsidRPr="00F21CA6">
        <w:rPr>
          <w:rFonts w:ascii="Arial" w:hAnsi="Arial" w:cs="Arial"/>
          <w:sz w:val="24"/>
          <w:szCs w:val="24"/>
        </w:rPr>
        <w:t xml:space="preserve">just dispenses dressings. </w:t>
      </w:r>
    </w:p>
    <w:p w14:paraId="03876879" w14:textId="77777777" w:rsidR="000C13D3" w:rsidRPr="00F21CA6" w:rsidRDefault="000C13D3" w:rsidP="00DC54F7">
      <w:pPr>
        <w:spacing w:after="0" w:line="240" w:lineRule="auto"/>
        <w:jc w:val="both"/>
        <w:rPr>
          <w:rFonts w:ascii="Arial" w:hAnsi="Arial" w:cs="Arial"/>
          <w:b/>
          <w:sz w:val="24"/>
          <w:szCs w:val="24"/>
          <w:lang w:val="en-US"/>
        </w:rPr>
      </w:pPr>
    </w:p>
    <w:p w14:paraId="7CBF92B7" w14:textId="35BD791B" w:rsidR="000C13D3" w:rsidRPr="00F0374E" w:rsidRDefault="000C13D3" w:rsidP="00DC54F7">
      <w:pPr>
        <w:spacing w:after="0" w:line="240" w:lineRule="auto"/>
        <w:jc w:val="both"/>
        <w:rPr>
          <w:rFonts w:ascii="Arial" w:hAnsi="Arial" w:cs="Arial"/>
          <w:sz w:val="24"/>
          <w:szCs w:val="24"/>
        </w:rPr>
      </w:pPr>
      <w:r w:rsidRPr="00F0374E">
        <w:rPr>
          <w:rFonts w:ascii="Arial" w:hAnsi="Arial" w:cs="Arial"/>
          <w:sz w:val="24"/>
          <w:szCs w:val="24"/>
        </w:rPr>
        <w:t>In 2019 to 2020, al</w:t>
      </w:r>
      <w:r w:rsidR="001452C5" w:rsidRPr="00F0374E">
        <w:rPr>
          <w:rFonts w:ascii="Arial" w:hAnsi="Arial" w:cs="Arial"/>
          <w:sz w:val="24"/>
          <w:szCs w:val="24"/>
        </w:rPr>
        <w:t>l</w:t>
      </w:r>
      <w:r w:rsidRPr="00F0374E">
        <w:rPr>
          <w:rFonts w:ascii="Arial" w:hAnsi="Arial" w:cs="Arial"/>
          <w:sz w:val="24"/>
          <w:szCs w:val="24"/>
        </w:rPr>
        <w:t xml:space="preserve"> 1</w:t>
      </w:r>
      <w:r w:rsidR="001452C5" w:rsidRPr="00F0374E">
        <w:rPr>
          <w:rFonts w:ascii="Arial" w:hAnsi="Arial" w:cs="Arial"/>
          <w:sz w:val="24"/>
          <w:szCs w:val="24"/>
        </w:rPr>
        <w:t>0</w:t>
      </w:r>
      <w:r w:rsidRPr="00F0374E">
        <w:rPr>
          <w:rFonts w:ascii="Arial" w:hAnsi="Arial" w:cs="Arial"/>
          <w:sz w:val="24"/>
          <w:szCs w:val="24"/>
        </w:rPr>
        <w:t xml:space="preserve"> pharmacies offered the MUR service and a total of </w:t>
      </w:r>
      <w:r w:rsidR="00E04F5D" w:rsidRPr="00F0374E">
        <w:rPr>
          <w:rFonts w:ascii="Arial" w:hAnsi="Arial" w:cs="Arial"/>
          <w:sz w:val="24"/>
          <w:szCs w:val="24"/>
        </w:rPr>
        <w:t>2,629</w:t>
      </w:r>
      <w:r w:rsidRPr="00F0374E">
        <w:rPr>
          <w:rFonts w:ascii="Arial" w:hAnsi="Arial" w:cs="Arial"/>
          <w:sz w:val="24"/>
          <w:szCs w:val="24"/>
        </w:rPr>
        <w:t xml:space="preserve"> reviews were provided out of a possible </w:t>
      </w:r>
      <w:r w:rsidR="00721C9A" w:rsidRPr="00F0374E">
        <w:rPr>
          <w:rFonts w:ascii="Arial" w:hAnsi="Arial" w:cs="Arial"/>
          <w:sz w:val="24"/>
          <w:szCs w:val="24"/>
        </w:rPr>
        <w:t>4</w:t>
      </w:r>
      <w:r w:rsidRPr="00F0374E">
        <w:rPr>
          <w:rFonts w:ascii="Arial" w:hAnsi="Arial" w:cs="Arial"/>
          <w:sz w:val="24"/>
          <w:szCs w:val="24"/>
        </w:rPr>
        <w:t>,</w:t>
      </w:r>
      <w:r w:rsidR="00721C9A" w:rsidRPr="00F0374E">
        <w:rPr>
          <w:rFonts w:ascii="Arial" w:hAnsi="Arial" w:cs="Arial"/>
          <w:sz w:val="24"/>
          <w:szCs w:val="24"/>
        </w:rPr>
        <w:t>0</w:t>
      </w:r>
      <w:r w:rsidRPr="00F0374E">
        <w:rPr>
          <w:rFonts w:ascii="Arial" w:hAnsi="Arial" w:cs="Arial"/>
          <w:sz w:val="24"/>
          <w:szCs w:val="24"/>
        </w:rPr>
        <w:t xml:space="preserve">00 reviews. </w:t>
      </w:r>
      <w:r w:rsidR="00721C9A" w:rsidRPr="00F0374E">
        <w:rPr>
          <w:rFonts w:ascii="Arial" w:hAnsi="Arial" w:cs="Arial"/>
          <w:sz w:val="24"/>
          <w:szCs w:val="24"/>
        </w:rPr>
        <w:t>Two</w:t>
      </w:r>
      <w:r w:rsidRPr="00F0374E">
        <w:rPr>
          <w:rFonts w:ascii="Arial" w:hAnsi="Arial" w:cs="Arial"/>
          <w:sz w:val="24"/>
          <w:szCs w:val="24"/>
        </w:rPr>
        <w:t xml:space="preserve"> pharmacies provided the maximum number of 400 reviews.</w:t>
      </w:r>
      <w:r w:rsidR="00322AE6" w:rsidRPr="00F0374E">
        <w:rPr>
          <w:rFonts w:ascii="Arial" w:hAnsi="Arial" w:cs="Arial"/>
          <w:sz w:val="24"/>
          <w:szCs w:val="24"/>
        </w:rPr>
        <w:t xml:space="preserve"> The Welsh Government formally suspended the MUR service on 13 March 2020.  At the time of writing, </w:t>
      </w:r>
      <w:r w:rsidR="0070331C" w:rsidRPr="00F0374E">
        <w:rPr>
          <w:rFonts w:ascii="Arial" w:hAnsi="Arial" w:cs="Arial"/>
          <w:sz w:val="24"/>
          <w:szCs w:val="24"/>
        </w:rPr>
        <w:t>it is not known if the service will re-commence</w:t>
      </w:r>
      <w:r w:rsidR="00322AE6" w:rsidRPr="00F0374E">
        <w:rPr>
          <w:rFonts w:ascii="Arial" w:hAnsi="Arial" w:cs="Arial"/>
          <w:sz w:val="24"/>
          <w:szCs w:val="24"/>
        </w:rPr>
        <w:t>.</w:t>
      </w:r>
    </w:p>
    <w:p w14:paraId="5C6C6F7D" w14:textId="77777777" w:rsidR="000C13D3" w:rsidRPr="00F0374E" w:rsidRDefault="000C13D3" w:rsidP="00DC54F7">
      <w:pPr>
        <w:spacing w:after="0" w:line="240" w:lineRule="auto"/>
        <w:jc w:val="both"/>
        <w:rPr>
          <w:rFonts w:ascii="Arial" w:hAnsi="Arial" w:cs="Arial"/>
          <w:sz w:val="24"/>
          <w:szCs w:val="24"/>
        </w:rPr>
      </w:pPr>
    </w:p>
    <w:p w14:paraId="12658532" w14:textId="0DCC3EAB" w:rsidR="00DA5877" w:rsidRPr="00F0374E" w:rsidRDefault="000C13D3" w:rsidP="00DC54F7">
      <w:pPr>
        <w:spacing w:after="0" w:line="240" w:lineRule="auto"/>
        <w:jc w:val="both"/>
        <w:rPr>
          <w:rFonts w:ascii="Arial" w:hAnsi="Arial" w:cs="Arial"/>
          <w:sz w:val="24"/>
          <w:szCs w:val="24"/>
        </w:rPr>
      </w:pPr>
      <w:r w:rsidRPr="00F0374E">
        <w:rPr>
          <w:rFonts w:ascii="Arial" w:hAnsi="Arial" w:cs="Arial"/>
          <w:sz w:val="24"/>
          <w:szCs w:val="24"/>
        </w:rPr>
        <w:t xml:space="preserve">In 2019 to 2020, </w:t>
      </w:r>
      <w:r w:rsidR="00201C44" w:rsidRPr="00F0374E">
        <w:rPr>
          <w:rFonts w:ascii="Arial" w:hAnsi="Arial" w:cs="Arial"/>
          <w:sz w:val="24"/>
          <w:szCs w:val="24"/>
        </w:rPr>
        <w:t xml:space="preserve">all 10 </w:t>
      </w:r>
      <w:r w:rsidRPr="00F0374E">
        <w:rPr>
          <w:rFonts w:ascii="Arial" w:hAnsi="Arial" w:cs="Arial"/>
          <w:sz w:val="24"/>
          <w:szCs w:val="24"/>
        </w:rPr>
        <w:t xml:space="preserve">pharmacies offered the DMR </w:t>
      </w:r>
      <w:r w:rsidR="00815A5A" w:rsidRPr="00F0374E">
        <w:rPr>
          <w:rFonts w:ascii="Arial" w:hAnsi="Arial" w:cs="Arial"/>
          <w:sz w:val="24"/>
          <w:szCs w:val="24"/>
        </w:rPr>
        <w:t xml:space="preserve">service </w:t>
      </w:r>
      <w:r w:rsidRPr="00F0374E">
        <w:rPr>
          <w:rFonts w:ascii="Arial" w:hAnsi="Arial" w:cs="Arial"/>
          <w:sz w:val="24"/>
          <w:szCs w:val="24"/>
        </w:rPr>
        <w:t xml:space="preserve">and a total of </w:t>
      </w:r>
      <w:r w:rsidR="00591BA0" w:rsidRPr="00F0374E">
        <w:rPr>
          <w:rFonts w:ascii="Arial" w:hAnsi="Arial" w:cs="Arial"/>
          <w:sz w:val="24"/>
          <w:szCs w:val="24"/>
        </w:rPr>
        <w:t>278</w:t>
      </w:r>
      <w:r w:rsidRPr="00F0374E">
        <w:rPr>
          <w:rFonts w:ascii="Arial" w:hAnsi="Arial" w:cs="Arial"/>
          <w:sz w:val="24"/>
          <w:szCs w:val="24"/>
        </w:rPr>
        <w:t xml:space="preserve"> reviews were provided out of a possible 1,</w:t>
      </w:r>
      <w:r w:rsidR="007A71DD" w:rsidRPr="00F0374E">
        <w:rPr>
          <w:rFonts w:ascii="Arial" w:hAnsi="Arial" w:cs="Arial"/>
          <w:sz w:val="24"/>
          <w:szCs w:val="24"/>
        </w:rPr>
        <w:t>400</w:t>
      </w:r>
      <w:r w:rsidRPr="00F0374E">
        <w:rPr>
          <w:rFonts w:ascii="Arial" w:hAnsi="Arial" w:cs="Arial"/>
          <w:sz w:val="24"/>
          <w:szCs w:val="24"/>
        </w:rPr>
        <w:t xml:space="preserve"> reviews. </w:t>
      </w:r>
      <w:r w:rsidR="006626F7" w:rsidRPr="00F0374E">
        <w:rPr>
          <w:rFonts w:ascii="Arial" w:hAnsi="Arial" w:cs="Arial"/>
          <w:sz w:val="24"/>
          <w:szCs w:val="24"/>
        </w:rPr>
        <w:t xml:space="preserve">No </w:t>
      </w:r>
      <w:r w:rsidRPr="00F0374E">
        <w:rPr>
          <w:rFonts w:ascii="Arial" w:hAnsi="Arial" w:cs="Arial"/>
          <w:sz w:val="24"/>
          <w:szCs w:val="24"/>
        </w:rPr>
        <w:t>pharmacies provided the maximum number of 140 reviews.</w:t>
      </w:r>
      <w:r w:rsidR="00DA5877" w:rsidRPr="00F0374E">
        <w:rPr>
          <w:rFonts w:ascii="Arial" w:hAnsi="Arial" w:cs="Arial"/>
          <w:sz w:val="24"/>
          <w:szCs w:val="24"/>
        </w:rPr>
        <w:t xml:space="preserve"> As part of the changes to the Community Pharmacy Contractual Framework for 2021, the cap </w:t>
      </w:r>
      <w:r w:rsidR="00467108" w:rsidRPr="00F0374E">
        <w:rPr>
          <w:rFonts w:ascii="Arial" w:hAnsi="Arial" w:cs="Arial"/>
          <w:sz w:val="24"/>
          <w:szCs w:val="24"/>
        </w:rPr>
        <w:t xml:space="preserve">for </w:t>
      </w:r>
      <w:r w:rsidR="00DA5877" w:rsidRPr="00F0374E">
        <w:rPr>
          <w:rFonts w:ascii="Arial" w:hAnsi="Arial" w:cs="Arial"/>
          <w:sz w:val="24"/>
          <w:szCs w:val="24"/>
        </w:rPr>
        <w:t>the number of paid DMRs has been removed.</w:t>
      </w:r>
    </w:p>
    <w:p w14:paraId="46FDF5BC" w14:textId="5BB381BD" w:rsidR="000C13D3" w:rsidRDefault="000C13D3" w:rsidP="00DC54F7">
      <w:pPr>
        <w:spacing w:after="0" w:line="240" w:lineRule="auto"/>
        <w:jc w:val="both"/>
        <w:rPr>
          <w:rFonts w:ascii="Arial" w:hAnsi="Arial" w:cs="Arial"/>
        </w:rPr>
      </w:pPr>
    </w:p>
    <w:p w14:paraId="13D2508F" w14:textId="77777777" w:rsidR="00103F89" w:rsidRPr="00CF1F57" w:rsidRDefault="00103F89" w:rsidP="00DC54F7">
      <w:pPr>
        <w:spacing w:after="0" w:line="240" w:lineRule="auto"/>
        <w:contextualSpacing/>
        <w:jc w:val="both"/>
        <w:rPr>
          <w:rFonts w:ascii="Arial" w:hAnsi="Arial" w:cs="Arial"/>
          <w:sz w:val="24"/>
          <w:szCs w:val="24"/>
        </w:rPr>
      </w:pPr>
      <w:r w:rsidRPr="00CF1F57">
        <w:rPr>
          <w:rFonts w:ascii="Arial" w:hAnsi="Arial" w:cs="Arial"/>
          <w:sz w:val="24"/>
          <w:szCs w:val="24"/>
        </w:rPr>
        <w:t>In 2019 to 2020, the following enhanced services were provided by pharmacies in the cluster area:</w:t>
      </w:r>
    </w:p>
    <w:p w14:paraId="06693BFE" w14:textId="77777777" w:rsidR="00103F89" w:rsidRPr="00CF1F57" w:rsidRDefault="00103F89" w:rsidP="00DC54F7">
      <w:pPr>
        <w:spacing w:after="0" w:line="240" w:lineRule="auto"/>
        <w:contextualSpacing/>
        <w:jc w:val="both"/>
        <w:rPr>
          <w:rFonts w:ascii="Arial" w:hAnsi="Arial" w:cs="Arial"/>
          <w:sz w:val="24"/>
          <w:szCs w:val="24"/>
        </w:rPr>
      </w:pPr>
    </w:p>
    <w:p w14:paraId="0E2F420A" w14:textId="193EFBD9" w:rsidR="00103F89" w:rsidRPr="00CF1F57" w:rsidRDefault="00C1423C" w:rsidP="00DC54F7">
      <w:pPr>
        <w:pStyle w:val="ListParagraph"/>
        <w:numPr>
          <w:ilvl w:val="0"/>
          <w:numId w:val="142"/>
        </w:numPr>
        <w:spacing w:after="0" w:line="240" w:lineRule="auto"/>
        <w:jc w:val="both"/>
        <w:rPr>
          <w:rFonts w:ascii="Arial" w:hAnsi="Arial" w:cs="Arial"/>
          <w:sz w:val="24"/>
          <w:szCs w:val="24"/>
        </w:rPr>
      </w:pPr>
      <w:r>
        <w:rPr>
          <w:rFonts w:ascii="Arial" w:hAnsi="Arial" w:cs="Arial"/>
          <w:sz w:val="24"/>
          <w:szCs w:val="24"/>
        </w:rPr>
        <w:t>10</w:t>
      </w:r>
      <w:r w:rsidR="00103F89" w:rsidRPr="00CF1F57">
        <w:rPr>
          <w:rFonts w:ascii="Arial" w:hAnsi="Arial" w:cs="Arial"/>
          <w:sz w:val="24"/>
          <w:szCs w:val="24"/>
        </w:rPr>
        <w:t xml:space="preserve"> pharmacies provided a total of </w:t>
      </w:r>
      <w:r w:rsidR="00E52BD4" w:rsidRPr="00CF1F57">
        <w:rPr>
          <w:rFonts w:ascii="Arial" w:hAnsi="Arial" w:cs="Arial"/>
          <w:sz w:val="24"/>
          <w:szCs w:val="24"/>
        </w:rPr>
        <w:t>4223</w:t>
      </w:r>
      <w:r w:rsidR="00103F89" w:rsidRPr="00CF1F57">
        <w:rPr>
          <w:rFonts w:ascii="Arial" w:hAnsi="Arial" w:cs="Arial"/>
          <w:sz w:val="24"/>
          <w:szCs w:val="24"/>
        </w:rPr>
        <w:t xml:space="preserve"> emergency contraception consultations, with a range of </w:t>
      </w:r>
      <w:r w:rsidR="00E52BD4" w:rsidRPr="00CF1F57">
        <w:rPr>
          <w:rFonts w:ascii="Arial" w:hAnsi="Arial" w:cs="Arial"/>
          <w:sz w:val="24"/>
          <w:szCs w:val="24"/>
        </w:rPr>
        <w:t>seven</w:t>
      </w:r>
      <w:r w:rsidR="00103F89" w:rsidRPr="00CF1F57">
        <w:rPr>
          <w:rFonts w:ascii="Arial" w:hAnsi="Arial" w:cs="Arial"/>
          <w:sz w:val="24"/>
          <w:szCs w:val="24"/>
        </w:rPr>
        <w:t xml:space="preserve"> to </w:t>
      </w:r>
      <w:r w:rsidR="00E52BD4" w:rsidRPr="00CF1F57">
        <w:rPr>
          <w:rFonts w:ascii="Arial" w:hAnsi="Arial" w:cs="Arial"/>
          <w:sz w:val="24"/>
          <w:szCs w:val="24"/>
        </w:rPr>
        <w:t>2599</w:t>
      </w:r>
      <w:r w:rsidR="00103F89" w:rsidRPr="00CF1F57">
        <w:rPr>
          <w:rFonts w:ascii="Arial" w:hAnsi="Arial" w:cs="Arial"/>
          <w:sz w:val="24"/>
          <w:szCs w:val="24"/>
        </w:rPr>
        <w:t xml:space="preserve"> consultations.</w:t>
      </w:r>
    </w:p>
    <w:p w14:paraId="4605270A" w14:textId="0B74BE46" w:rsidR="00103F89" w:rsidRPr="00CF1F57" w:rsidRDefault="00F305DF" w:rsidP="00DC54F7">
      <w:pPr>
        <w:pStyle w:val="ListParagraph"/>
        <w:numPr>
          <w:ilvl w:val="0"/>
          <w:numId w:val="86"/>
        </w:numPr>
        <w:spacing w:after="0" w:line="240" w:lineRule="auto"/>
        <w:jc w:val="both"/>
        <w:rPr>
          <w:rFonts w:ascii="Arial" w:hAnsi="Arial" w:cs="Arial"/>
          <w:sz w:val="24"/>
          <w:szCs w:val="24"/>
        </w:rPr>
      </w:pPr>
      <w:r w:rsidRPr="00CF1F57">
        <w:rPr>
          <w:rFonts w:ascii="Arial" w:hAnsi="Arial" w:cs="Arial"/>
          <w:sz w:val="24"/>
          <w:szCs w:val="24"/>
        </w:rPr>
        <w:t>One</w:t>
      </w:r>
      <w:r w:rsidR="00103F89" w:rsidRPr="00CF1F57">
        <w:rPr>
          <w:rFonts w:ascii="Arial" w:hAnsi="Arial" w:cs="Arial"/>
          <w:sz w:val="24"/>
          <w:szCs w:val="24"/>
        </w:rPr>
        <w:t xml:space="preserve"> pharmac</w:t>
      </w:r>
      <w:r w:rsidRPr="00CF1F57">
        <w:rPr>
          <w:rFonts w:ascii="Arial" w:hAnsi="Arial" w:cs="Arial"/>
          <w:sz w:val="24"/>
          <w:szCs w:val="24"/>
        </w:rPr>
        <w:t>y</w:t>
      </w:r>
      <w:r w:rsidR="00103F89" w:rsidRPr="00CF1F57">
        <w:rPr>
          <w:rFonts w:ascii="Arial" w:hAnsi="Arial" w:cs="Arial"/>
          <w:sz w:val="24"/>
          <w:szCs w:val="24"/>
        </w:rPr>
        <w:t xml:space="preserve"> provided a total of 8 smoking cessation level 3 consultations.</w:t>
      </w:r>
    </w:p>
    <w:p w14:paraId="4EB78752" w14:textId="3BEA86B7" w:rsidR="00103F89" w:rsidRPr="00CF1F57" w:rsidRDefault="00F305DF" w:rsidP="00DC54F7">
      <w:pPr>
        <w:pStyle w:val="ListParagraph"/>
        <w:numPr>
          <w:ilvl w:val="0"/>
          <w:numId w:val="86"/>
        </w:numPr>
        <w:spacing w:after="0" w:line="240" w:lineRule="auto"/>
        <w:jc w:val="both"/>
        <w:rPr>
          <w:rFonts w:ascii="Arial" w:hAnsi="Arial" w:cs="Arial"/>
          <w:sz w:val="24"/>
          <w:szCs w:val="24"/>
        </w:rPr>
      </w:pPr>
      <w:r w:rsidRPr="00CF1F57">
        <w:rPr>
          <w:rFonts w:ascii="Arial" w:hAnsi="Arial" w:cs="Arial"/>
          <w:sz w:val="24"/>
          <w:szCs w:val="24"/>
        </w:rPr>
        <w:t>Nin</w:t>
      </w:r>
      <w:r w:rsidR="00571407" w:rsidRPr="00CF1F57">
        <w:rPr>
          <w:rFonts w:ascii="Arial" w:hAnsi="Arial" w:cs="Arial"/>
          <w:sz w:val="24"/>
          <w:szCs w:val="24"/>
        </w:rPr>
        <w:t>e</w:t>
      </w:r>
      <w:r w:rsidR="00103F89" w:rsidRPr="00CF1F57">
        <w:rPr>
          <w:rFonts w:ascii="Arial" w:hAnsi="Arial" w:cs="Arial"/>
          <w:sz w:val="24"/>
          <w:szCs w:val="24"/>
        </w:rPr>
        <w:t xml:space="preserve"> pharmacies provided a total of </w:t>
      </w:r>
      <w:r w:rsidR="00571407" w:rsidRPr="00CF1F57">
        <w:rPr>
          <w:rFonts w:ascii="Arial" w:hAnsi="Arial" w:cs="Arial"/>
          <w:sz w:val="24"/>
          <w:szCs w:val="24"/>
        </w:rPr>
        <w:t>1480</w:t>
      </w:r>
      <w:r w:rsidR="00103F89" w:rsidRPr="00CF1F57">
        <w:rPr>
          <w:rFonts w:ascii="Arial" w:hAnsi="Arial" w:cs="Arial"/>
          <w:sz w:val="24"/>
          <w:szCs w:val="24"/>
        </w:rPr>
        <w:t xml:space="preserve"> flu vaccinations, with a range of one to </w:t>
      </w:r>
      <w:r w:rsidR="00571407" w:rsidRPr="00CF1F57">
        <w:rPr>
          <w:rFonts w:ascii="Arial" w:hAnsi="Arial" w:cs="Arial"/>
          <w:sz w:val="24"/>
          <w:szCs w:val="24"/>
        </w:rPr>
        <w:t>386</w:t>
      </w:r>
      <w:r w:rsidR="00103F89" w:rsidRPr="00CF1F57">
        <w:rPr>
          <w:rFonts w:ascii="Arial" w:hAnsi="Arial" w:cs="Arial"/>
          <w:sz w:val="24"/>
          <w:szCs w:val="24"/>
        </w:rPr>
        <w:t xml:space="preserve"> vaccinations.</w:t>
      </w:r>
    </w:p>
    <w:p w14:paraId="71CF22B6" w14:textId="57DCB5DB" w:rsidR="00103F89" w:rsidRPr="00CF1F57" w:rsidRDefault="00103F89" w:rsidP="00DC54F7">
      <w:pPr>
        <w:pStyle w:val="ListParagraph"/>
        <w:numPr>
          <w:ilvl w:val="0"/>
          <w:numId w:val="86"/>
        </w:numPr>
        <w:spacing w:after="0" w:line="240" w:lineRule="auto"/>
        <w:jc w:val="both"/>
        <w:rPr>
          <w:rFonts w:ascii="Arial" w:hAnsi="Arial" w:cs="Arial"/>
          <w:sz w:val="24"/>
          <w:szCs w:val="24"/>
        </w:rPr>
      </w:pPr>
      <w:r w:rsidRPr="00CF1F57">
        <w:rPr>
          <w:rFonts w:ascii="Arial" w:hAnsi="Arial" w:cs="Arial"/>
          <w:sz w:val="24"/>
          <w:szCs w:val="24"/>
        </w:rPr>
        <w:t>1</w:t>
      </w:r>
      <w:r w:rsidR="00571407" w:rsidRPr="00CF1F57">
        <w:rPr>
          <w:rFonts w:ascii="Arial" w:hAnsi="Arial" w:cs="Arial"/>
          <w:sz w:val="24"/>
          <w:szCs w:val="24"/>
        </w:rPr>
        <w:t>0</w:t>
      </w:r>
      <w:r w:rsidRPr="00CF1F57">
        <w:rPr>
          <w:rFonts w:ascii="Arial" w:hAnsi="Arial" w:cs="Arial"/>
          <w:sz w:val="24"/>
          <w:szCs w:val="24"/>
        </w:rPr>
        <w:t xml:space="preserve"> pharmacies provided a total of </w:t>
      </w:r>
      <w:r w:rsidR="00571407" w:rsidRPr="00CF1F57">
        <w:rPr>
          <w:rFonts w:ascii="Arial" w:hAnsi="Arial" w:cs="Arial"/>
          <w:sz w:val="24"/>
          <w:szCs w:val="24"/>
        </w:rPr>
        <w:t>772</w:t>
      </w:r>
      <w:r w:rsidRPr="00CF1F57">
        <w:rPr>
          <w:rFonts w:ascii="Arial" w:hAnsi="Arial" w:cs="Arial"/>
          <w:sz w:val="24"/>
          <w:szCs w:val="24"/>
        </w:rPr>
        <w:t xml:space="preserve"> CAS consultations, with a range of f</w:t>
      </w:r>
      <w:r w:rsidR="00571407" w:rsidRPr="00CF1F57">
        <w:rPr>
          <w:rFonts w:ascii="Arial" w:hAnsi="Arial" w:cs="Arial"/>
          <w:sz w:val="24"/>
          <w:szCs w:val="24"/>
        </w:rPr>
        <w:t>our</w:t>
      </w:r>
      <w:r w:rsidRPr="00CF1F57">
        <w:rPr>
          <w:rFonts w:ascii="Arial" w:hAnsi="Arial" w:cs="Arial"/>
          <w:sz w:val="24"/>
          <w:szCs w:val="24"/>
        </w:rPr>
        <w:t xml:space="preserve"> to 1</w:t>
      </w:r>
      <w:r w:rsidR="00571407" w:rsidRPr="00CF1F57">
        <w:rPr>
          <w:rFonts w:ascii="Arial" w:hAnsi="Arial" w:cs="Arial"/>
          <w:sz w:val="24"/>
          <w:szCs w:val="24"/>
        </w:rPr>
        <w:t>84</w:t>
      </w:r>
      <w:r w:rsidRPr="00CF1F57">
        <w:rPr>
          <w:rFonts w:ascii="Arial" w:hAnsi="Arial" w:cs="Arial"/>
          <w:sz w:val="24"/>
          <w:szCs w:val="24"/>
        </w:rPr>
        <w:t xml:space="preserve"> consultations.</w:t>
      </w:r>
    </w:p>
    <w:p w14:paraId="32739CB9" w14:textId="485BDBAE" w:rsidR="00103F89" w:rsidRPr="00CF1F57" w:rsidRDefault="00571407" w:rsidP="00DC54F7">
      <w:pPr>
        <w:pStyle w:val="ListParagraph"/>
        <w:numPr>
          <w:ilvl w:val="0"/>
          <w:numId w:val="86"/>
        </w:numPr>
        <w:spacing w:after="0" w:line="240" w:lineRule="auto"/>
        <w:jc w:val="both"/>
        <w:rPr>
          <w:rFonts w:ascii="Arial" w:hAnsi="Arial" w:cs="Arial"/>
          <w:sz w:val="24"/>
          <w:szCs w:val="24"/>
        </w:rPr>
      </w:pPr>
      <w:r w:rsidRPr="00CF1F57">
        <w:rPr>
          <w:rFonts w:ascii="Arial" w:hAnsi="Arial" w:cs="Arial"/>
          <w:sz w:val="24"/>
          <w:szCs w:val="24"/>
        </w:rPr>
        <w:t>Three</w:t>
      </w:r>
      <w:r w:rsidR="00103F89" w:rsidRPr="00CF1F57">
        <w:rPr>
          <w:rFonts w:ascii="Arial" w:hAnsi="Arial" w:cs="Arial"/>
          <w:sz w:val="24"/>
          <w:szCs w:val="24"/>
        </w:rPr>
        <w:t xml:space="preserve"> pharmacies provided a total of </w:t>
      </w:r>
      <w:r w:rsidR="00EC1E9B" w:rsidRPr="00CF1F57">
        <w:rPr>
          <w:rFonts w:ascii="Arial" w:hAnsi="Arial" w:cs="Arial"/>
          <w:sz w:val="24"/>
          <w:szCs w:val="24"/>
        </w:rPr>
        <w:t>67</w:t>
      </w:r>
      <w:r w:rsidR="00103F89" w:rsidRPr="00CF1F57">
        <w:rPr>
          <w:rFonts w:ascii="Arial" w:hAnsi="Arial" w:cs="Arial"/>
          <w:sz w:val="24"/>
          <w:szCs w:val="24"/>
        </w:rPr>
        <w:t xml:space="preserve"> EMS consultations, with a range of </w:t>
      </w:r>
      <w:r w:rsidR="00EC1E9B" w:rsidRPr="00CF1F57">
        <w:rPr>
          <w:rFonts w:ascii="Arial" w:hAnsi="Arial" w:cs="Arial"/>
          <w:sz w:val="24"/>
          <w:szCs w:val="24"/>
        </w:rPr>
        <w:t>five</w:t>
      </w:r>
      <w:r w:rsidR="00103F89" w:rsidRPr="00CF1F57">
        <w:rPr>
          <w:rFonts w:ascii="Arial" w:hAnsi="Arial" w:cs="Arial"/>
          <w:sz w:val="24"/>
          <w:szCs w:val="24"/>
        </w:rPr>
        <w:t xml:space="preserve"> to </w:t>
      </w:r>
      <w:r w:rsidR="00EC1E9B" w:rsidRPr="00CF1F57">
        <w:rPr>
          <w:rFonts w:ascii="Arial" w:hAnsi="Arial" w:cs="Arial"/>
          <w:sz w:val="24"/>
          <w:szCs w:val="24"/>
        </w:rPr>
        <w:t>56</w:t>
      </w:r>
      <w:r w:rsidR="00103F89" w:rsidRPr="00CF1F57">
        <w:rPr>
          <w:rFonts w:ascii="Arial" w:hAnsi="Arial" w:cs="Arial"/>
          <w:sz w:val="24"/>
          <w:szCs w:val="24"/>
        </w:rPr>
        <w:t xml:space="preserve"> consultations.</w:t>
      </w:r>
    </w:p>
    <w:p w14:paraId="2B94326C" w14:textId="77777777" w:rsidR="00510E72" w:rsidRPr="00CF1F57" w:rsidRDefault="00510E72" w:rsidP="00DC54F7">
      <w:pPr>
        <w:pStyle w:val="ListParagraph"/>
        <w:spacing w:after="0" w:line="240" w:lineRule="auto"/>
        <w:ind w:left="360"/>
        <w:jc w:val="both"/>
        <w:rPr>
          <w:rFonts w:ascii="Arial" w:hAnsi="Arial" w:cs="Arial"/>
          <w:sz w:val="24"/>
          <w:szCs w:val="24"/>
        </w:rPr>
      </w:pPr>
    </w:p>
    <w:p w14:paraId="2D6EA8AB" w14:textId="08068160" w:rsidR="00510E72" w:rsidRDefault="00510E72" w:rsidP="00DC54F7">
      <w:pPr>
        <w:spacing w:after="0" w:line="240" w:lineRule="auto"/>
        <w:jc w:val="both"/>
        <w:rPr>
          <w:rFonts w:ascii="Arial" w:hAnsi="Arial" w:cs="Arial"/>
          <w:sz w:val="24"/>
          <w:szCs w:val="24"/>
        </w:rPr>
      </w:pPr>
      <w:r w:rsidRPr="00CF1F57">
        <w:rPr>
          <w:rFonts w:ascii="Arial" w:hAnsi="Arial" w:cs="Arial"/>
          <w:sz w:val="24"/>
          <w:szCs w:val="24"/>
        </w:rPr>
        <w:t>Other enhanced services included:</w:t>
      </w:r>
    </w:p>
    <w:p w14:paraId="7C9DF299" w14:textId="7ABB06F8" w:rsidR="00A42B00" w:rsidRPr="00A46452" w:rsidRDefault="00A42B00" w:rsidP="00DC54F7">
      <w:pPr>
        <w:pStyle w:val="ListParagraph"/>
        <w:numPr>
          <w:ilvl w:val="0"/>
          <w:numId w:val="195"/>
        </w:numPr>
        <w:spacing w:after="0" w:line="240" w:lineRule="auto"/>
        <w:jc w:val="both"/>
        <w:rPr>
          <w:rFonts w:ascii="Arial" w:hAnsi="Arial" w:cs="Arial"/>
          <w:color w:val="000000"/>
          <w:sz w:val="24"/>
          <w:szCs w:val="24"/>
        </w:rPr>
      </w:pPr>
      <w:r w:rsidRPr="00CF1F57">
        <w:rPr>
          <w:rFonts w:ascii="Arial" w:hAnsi="Arial" w:cs="Arial"/>
          <w:sz w:val="24"/>
          <w:szCs w:val="24"/>
        </w:rPr>
        <w:t xml:space="preserve">Five pharmacies provided </w:t>
      </w:r>
      <w:r w:rsidR="00A46452" w:rsidRPr="00752236">
        <w:rPr>
          <w:rFonts w:ascii="Arial" w:hAnsi="Arial" w:cs="Arial"/>
          <w:sz w:val="24"/>
          <w:szCs w:val="24"/>
        </w:rPr>
        <w:t xml:space="preserve">the </w:t>
      </w:r>
      <w:r w:rsidR="00A46452" w:rsidRPr="00752236">
        <w:rPr>
          <w:rFonts w:ascii="Arial" w:hAnsi="Arial" w:cs="Arial"/>
          <w:color w:val="000000"/>
          <w:sz w:val="24"/>
          <w:szCs w:val="24"/>
        </w:rPr>
        <w:t>Supervised Administration of Medicines Enhanced Service.</w:t>
      </w:r>
    </w:p>
    <w:p w14:paraId="0949785F" w14:textId="387878BD" w:rsidR="00510E72" w:rsidRPr="00CF1F57" w:rsidRDefault="001D74C7" w:rsidP="00DC54F7">
      <w:pPr>
        <w:pStyle w:val="ListParagraph"/>
        <w:numPr>
          <w:ilvl w:val="0"/>
          <w:numId w:val="154"/>
        </w:numPr>
        <w:spacing w:after="0" w:line="240" w:lineRule="auto"/>
        <w:jc w:val="both"/>
        <w:rPr>
          <w:rFonts w:ascii="Arial" w:hAnsi="Arial" w:cs="Arial"/>
          <w:sz w:val="24"/>
          <w:szCs w:val="24"/>
        </w:rPr>
      </w:pPr>
      <w:r w:rsidRPr="00CF1F57">
        <w:rPr>
          <w:rFonts w:ascii="Arial" w:hAnsi="Arial" w:cs="Arial"/>
          <w:sz w:val="24"/>
          <w:szCs w:val="24"/>
        </w:rPr>
        <w:t>Two</w:t>
      </w:r>
      <w:r w:rsidR="00510E72" w:rsidRPr="00CF1F57">
        <w:rPr>
          <w:rFonts w:ascii="Arial" w:hAnsi="Arial" w:cs="Arial"/>
          <w:sz w:val="24"/>
          <w:szCs w:val="24"/>
        </w:rPr>
        <w:t xml:space="preserve"> pharmac</w:t>
      </w:r>
      <w:r w:rsidRPr="00CF1F57">
        <w:rPr>
          <w:rFonts w:ascii="Arial" w:hAnsi="Arial" w:cs="Arial"/>
          <w:sz w:val="24"/>
          <w:szCs w:val="24"/>
        </w:rPr>
        <w:t>ies</w:t>
      </w:r>
      <w:r w:rsidR="00510E72" w:rsidRPr="00CF1F57">
        <w:rPr>
          <w:rFonts w:ascii="Arial" w:hAnsi="Arial" w:cs="Arial"/>
          <w:sz w:val="24"/>
          <w:szCs w:val="24"/>
        </w:rPr>
        <w:t xml:space="preserve"> provided the </w:t>
      </w:r>
      <w:r w:rsidR="00D65C93">
        <w:rPr>
          <w:rFonts w:ascii="Arial" w:hAnsi="Arial" w:cs="Arial"/>
          <w:sz w:val="24"/>
          <w:szCs w:val="24"/>
        </w:rPr>
        <w:t xml:space="preserve">Needle Syringe Provision </w:t>
      </w:r>
      <w:r w:rsidR="00A46452">
        <w:rPr>
          <w:rFonts w:ascii="Arial" w:hAnsi="Arial" w:cs="Arial"/>
          <w:sz w:val="24"/>
          <w:szCs w:val="24"/>
        </w:rPr>
        <w:t>Enhanced S</w:t>
      </w:r>
      <w:r w:rsidR="00510E72" w:rsidRPr="00CF1F57">
        <w:rPr>
          <w:rFonts w:ascii="Arial" w:hAnsi="Arial" w:cs="Arial"/>
          <w:sz w:val="24"/>
          <w:szCs w:val="24"/>
        </w:rPr>
        <w:t>ervice</w:t>
      </w:r>
      <w:r w:rsidR="00A42B00">
        <w:rPr>
          <w:rFonts w:ascii="Arial" w:hAnsi="Arial" w:cs="Arial"/>
          <w:sz w:val="24"/>
          <w:szCs w:val="24"/>
        </w:rPr>
        <w:t>.</w:t>
      </w:r>
    </w:p>
    <w:p w14:paraId="629B9C97" w14:textId="7C3633A5" w:rsidR="00510E72" w:rsidRPr="00CF1F57" w:rsidRDefault="005751BB" w:rsidP="00DC54F7">
      <w:pPr>
        <w:pStyle w:val="ListParagraph"/>
        <w:numPr>
          <w:ilvl w:val="0"/>
          <w:numId w:val="154"/>
        </w:numPr>
        <w:spacing w:after="0" w:line="240" w:lineRule="auto"/>
        <w:jc w:val="both"/>
        <w:rPr>
          <w:rFonts w:ascii="Arial" w:hAnsi="Arial" w:cs="Arial"/>
          <w:sz w:val="24"/>
          <w:szCs w:val="24"/>
        </w:rPr>
      </w:pPr>
      <w:r w:rsidRPr="00CF1F57">
        <w:rPr>
          <w:rFonts w:ascii="Arial" w:hAnsi="Arial" w:cs="Arial"/>
          <w:sz w:val="24"/>
          <w:szCs w:val="24"/>
        </w:rPr>
        <w:t>Four</w:t>
      </w:r>
      <w:r w:rsidR="00510E72" w:rsidRPr="00CF1F57">
        <w:rPr>
          <w:rFonts w:ascii="Arial" w:hAnsi="Arial" w:cs="Arial"/>
          <w:sz w:val="24"/>
          <w:szCs w:val="24"/>
        </w:rPr>
        <w:t xml:space="preserve"> pharmacies provided the </w:t>
      </w:r>
      <w:r w:rsidR="00A46452">
        <w:rPr>
          <w:rFonts w:ascii="Arial" w:hAnsi="Arial" w:cs="Arial"/>
          <w:sz w:val="24"/>
          <w:szCs w:val="24"/>
        </w:rPr>
        <w:t>P</w:t>
      </w:r>
      <w:r w:rsidR="00510E72" w:rsidRPr="00CF1F57">
        <w:rPr>
          <w:rFonts w:ascii="Arial" w:hAnsi="Arial" w:cs="Arial"/>
          <w:sz w:val="24"/>
          <w:szCs w:val="24"/>
        </w:rPr>
        <w:t xml:space="preserve">alliative </w:t>
      </w:r>
      <w:r w:rsidR="00A46452">
        <w:rPr>
          <w:rFonts w:ascii="Arial" w:hAnsi="Arial" w:cs="Arial"/>
          <w:sz w:val="24"/>
          <w:szCs w:val="24"/>
        </w:rPr>
        <w:t>C</w:t>
      </w:r>
      <w:r w:rsidR="00510E72" w:rsidRPr="00CF1F57">
        <w:rPr>
          <w:rFonts w:ascii="Arial" w:hAnsi="Arial" w:cs="Arial"/>
          <w:sz w:val="24"/>
          <w:szCs w:val="24"/>
        </w:rPr>
        <w:t xml:space="preserve">are </w:t>
      </w:r>
      <w:r w:rsidR="00A46452">
        <w:rPr>
          <w:rFonts w:ascii="Arial" w:hAnsi="Arial" w:cs="Arial"/>
          <w:sz w:val="24"/>
          <w:szCs w:val="24"/>
        </w:rPr>
        <w:t>Enhanced S</w:t>
      </w:r>
      <w:r w:rsidR="00510E72" w:rsidRPr="00CF1F57">
        <w:rPr>
          <w:rFonts w:ascii="Arial" w:hAnsi="Arial" w:cs="Arial"/>
          <w:sz w:val="24"/>
          <w:szCs w:val="24"/>
        </w:rPr>
        <w:t>ervice</w:t>
      </w:r>
      <w:r w:rsidR="00A42B00">
        <w:rPr>
          <w:rFonts w:ascii="Arial" w:hAnsi="Arial" w:cs="Arial"/>
          <w:sz w:val="24"/>
          <w:szCs w:val="24"/>
        </w:rPr>
        <w:t>.</w:t>
      </w:r>
    </w:p>
    <w:p w14:paraId="0E4D8810" w14:textId="183EC041" w:rsidR="004A3B97" w:rsidRDefault="004A3B97" w:rsidP="00DC54F7">
      <w:pPr>
        <w:spacing w:after="0" w:line="240" w:lineRule="auto"/>
        <w:jc w:val="both"/>
        <w:rPr>
          <w:rFonts w:ascii="Arial" w:hAnsi="Arial" w:cs="Arial"/>
          <w:b/>
          <w:sz w:val="26"/>
          <w:szCs w:val="26"/>
          <w:lang w:val="en-US"/>
        </w:rPr>
      </w:pPr>
    </w:p>
    <w:p w14:paraId="3A62391B" w14:textId="77777777" w:rsidR="00311D56" w:rsidRDefault="00311D56" w:rsidP="00DC54F7">
      <w:pPr>
        <w:spacing w:after="0" w:line="240" w:lineRule="auto"/>
        <w:jc w:val="both"/>
        <w:rPr>
          <w:rFonts w:ascii="Arial" w:hAnsi="Arial" w:cs="Arial"/>
          <w:b/>
          <w:sz w:val="26"/>
          <w:szCs w:val="26"/>
          <w:lang w:val="en-US"/>
        </w:rPr>
      </w:pPr>
    </w:p>
    <w:p w14:paraId="54BAD2EF" w14:textId="782A6ABB" w:rsidR="0063382E" w:rsidRPr="00A10850" w:rsidRDefault="00184954" w:rsidP="00DC54F7">
      <w:pPr>
        <w:spacing w:after="0" w:line="240" w:lineRule="auto"/>
        <w:jc w:val="both"/>
        <w:rPr>
          <w:rFonts w:ascii="Arial" w:hAnsi="Arial" w:cs="Arial"/>
          <w:b/>
          <w:sz w:val="26"/>
          <w:szCs w:val="26"/>
          <w:lang w:val="en-US"/>
        </w:rPr>
      </w:pPr>
      <w:r>
        <w:rPr>
          <w:rFonts w:ascii="Arial" w:hAnsi="Arial" w:cs="Arial"/>
          <w:b/>
          <w:sz w:val="26"/>
          <w:szCs w:val="26"/>
          <w:lang w:val="en-US"/>
        </w:rPr>
        <w:t>10</w:t>
      </w:r>
      <w:r w:rsidR="0063382E" w:rsidRPr="00A10850">
        <w:rPr>
          <w:rFonts w:ascii="Arial" w:hAnsi="Arial" w:cs="Arial"/>
          <w:b/>
          <w:sz w:val="26"/>
          <w:szCs w:val="26"/>
          <w:lang w:val="en-US"/>
        </w:rPr>
        <w:t xml:space="preserve">.3 Current provision of pharmaceutical services outside the </w:t>
      </w:r>
      <w:r w:rsidR="00510E72">
        <w:rPr>
          <w:rFonts w:ascii="Arial" w:hAnsi="Arial" w:cs="Arial"/>
          <w:b/>
          <w:sz w:val="26"/>
          <w:szCs w:val="26"/>
          <w:lang w:val="en-US"/>
        </w:rPr>
        <w:t>cluster</w:t>
      </w:r>
    </w:p>
    <w:p w14:paraId="1E3B054D" w14:textId="77777777" w:rsidR="0063382E" w:rsidRPr="00A10850" w:rsidRDefault="0063382E" w:rsidP="00DC54F7">
      <w:pPr>
        <w:spacing w:after="0" w:line="240" w:lineRule="auto"/>
        <w:jc w:val="both"/>
        <w:rPr>
          <w:rFonts w:ascii="Arial" w:hAnsi="Arial" w:cs="Arial"/>
          <w:lang w:val="en-US"/>
        </w:rPr>
      </w:pPr>
    </w:p>
    <w:p w14:paraId="6C8273FE" w14:textId="77777777" w:rsidR="00A510A5" w:rsidRPr="000B5221" w:rsidRDefault="00A510A5" w:rsidP="00DC54F7">
      <w:pPr>
        <w:spacing w:after="0" w:line="240" w:lineRule="auto"/>
        <w:jc w:val="both"/>
        <w:rPr>
          <w:rFonts w:ascii="Arial" w:hAnsi="Arial" w:cs="Arial"/>
          <w:sz w:val="24"/>
          <w:szCs w:val="24"/>
          <w:lang w:val="en-US"/>
        </w:rPr>
      </w:pPr>
      <w:r w:rsidRPr="000B5221">
        <w:rPr>
          <w:rFonts w:ascii="Arial" w:hAnsi="Arial" w:cs="Arial"/>
          <w:sz w:val="24"/>
          <w:szCs w:val="24"/>
          <w:lang w:val="en-US"/>
        </w:rPr>
        <w:t>Some residents choose to access contractors outside both the cluster and the health board’s area in order to access services:</w:t>
      </w:r>
    </w:p>
    <w:p w14:paraId="63A8CCC2" w14:textId="77777777" w:rsidR="00A510A5" w:rsidRPr="000B5221" w:rsidRDefault="00A510A5" w:rsidP="00DC54F7">
      <w:pPr>
        <w:spacing w:after="0" w:line="240" w:lineRule="auto"/>
        <w:jc w:val="both"/>
        <w:rPr>
          <w:rFonts w:ascii="Arial" w:hAnsi="Arial" w:cs="Arial"/>
          <w:sz w:val="24"/>
          <w:szCs w:val="24"/>
          <w:lang w:val="en-US"/>
        </w:rPr>
      </w:pPr>
    </w:p>
    <w:p w14:paraId="5DC4277C" w14:textId="075C309E" w:rsidR="00A510A5" w:rsidRPr="000B5221" w:rsidRDefault="00573DCE" w:rsidP="00DC54F7">
      <w:pPr>
        <w:numPr>
          <w:ilvl w:val="0"/>
          <w:numId w:val="49"/>
        </w:numPr>
        <w:spacing w:after="0" w:line="240" w:lineRule="auto"/>
        <w:jc w:val="both"/>
        <w:rPr>
          <w:rFonts w:ascii="Arial" w:hAnsi="Arial" w:cs="Arial"/>
          <w:sz w:val="24"/>
          <w:szCs w:val="24"/>
          <w:lang w:val="en-US"/>
        </w:rPr>
      </w:pPr>
      <w:r w:rsidRPr="000B5221">
        <w:rPr>
          <w:rFonts w:ascii="Arial" w:hAnsi="Arial" w:cs="Arial"/>
          <w:sz w:val="24"/>
          <w:szCs w:val="24"/>
          <w:lang w:val="en-US"/>
        </w:rPr>
        <w:t>Offered by dispensing appliance contractors.</w:t>
      </w:r>
    </w:p>
    <w:p w14:paraId="492BA74C" w14:textId="77777777" w:rsidR="00A510A5" w:rsidRPr="000B5221" w:rsidRDefault="00A510A5" w:rsidP="00DC54F7">
      <w:pPr>
        <w:numPr>
          <w:ilvl w:val="0"/>
          <w:numId w:val="49"/>
        </w:numPr>
        <w:spacing w:after="0" w:line="240" w:lineRule="auto"/>
        <w:jc w:val="both"/>
        <w:rPr>
          <w:rFonts w:ascii="Arial" w:hAnsi="Arial" w:cs="Arial"/>
          <w:sz w:val="24"/>
          <w:szCs w:val="24"/>
          <w:lang w:val="en-US"/>
        </w:rPr>
      </w:pPr>
      <w:r w:rsidRPr="000B5221">
        <w:rPr>
          <w:rFonts w:ascii="Arial" w:hAnsi="Arial" w:cs="Arial"/>
          <w:sz w:val="24"/>
          <w:szCs w:val="24"/>
          <w:lang w:val="en-US"/>
        </w:rPr>
        <w:t>Which are located near to where they work, shop or visit for leisure or other purposes.</w:t>
      </w:r>
    </w:p>
    <w:p w14:paraId="2ABDF3FD" w14:textId="77777777" w:rsidR="00A510A5" w:rsidRPr="000B5221" w:rsidRDefault="00A510A5" w:rsidP="00DC54F7">
      <w:pPr>
        <w:spacing w:after="0" w:line="240" w:lineRule="auto"/>
        <w:jc w:val="both"/>
        <w:rPr>
          <w:rFonts w:ascii="Arial" w:hAnsi="Arial" w:cs="Arial"/>
          <w:sz w:val="24"/>
          <w:szCs w:val="24"/>
          <w:lang w:val="en-US"/>
        </w:rPr>
      </w:pPr>
    </w:p>
    <w:p w14:paraId="54460188" w14:textId="51CD0B84" w:rsidR="00A510A5" w:rsidRPr="000B5221" w:rsidRDefault="00A510A5" w:rsidP="00DC54F7">
      <w:pPr>
        <w:shd w:val="clear" w:color="auto" w:fill="FFFFFF"/>
        <w:spacing w:after="0"/>
        <w:jc w:val="both"/>
        <w:rPr>
          <w:rFonts w:ascii="Arial" w:hAnsi="Arial" w:cs="Arial"/>
          <w:color w:val="000000" w:themeColor="text1"/>
          <w:sz w:val="24"/>
          <w:szCs w:val="24"/>
        </w:rPr>
      </w:pPr>
      <w:r w:rsidRPr="000B5221">
        <w:rPr>
          <w:rFonts w:ascii="Arial" w:hAnsi="Arial" w:cs="Arial"/>
          <w:color w:val="000000" w:themeColor="text1"/>
          <w:sz w:val="24"/>
          <w:szCs w:val="24"/>
        </w:rPr>
        <w:t xml:space="preserve">Whilst the majority of prescriptions written by the </w:t>
      </w:r>
      <w:r w:rsidR="000B5221">
        <w:rPr>
          <w:rFonts w:ascii="Arial" w:hAnsi="Arial" w:cs="Arial"/>
          <w:color w:val="000000" w:themeColor="text1"/>
          <w:sz w:val="24"/>
          <w:szCs w:val="24"/>
        </w:rPr>
        <w:t xml:space="preserve">cluster </w:t>
      </w:r>
      <w:r w:rsidRPr="000B5221">
        <w:rPr>
          <w:rFonts w:ascii="Arial" w:hAnsi="Arial" w:cs="Arial"/>
          <w:color w:val="000000" w:themeColor="text1"/>
          <w:sz w:val="24"/>
          <w:szCs w:val="24"/>
        </w:rPr>
        <w:t>GP practices in 2019 to 2020 were dispensed by the pharmacies in the cluster, around 1</w:t>
      </w:r>
      <w:r w:rsidR="00164C9B" w:rsidRPr="000B5221">
        <w:rPr>
          <w:rFonts w:ascii="Arial" w:hAnsi="Arial" w:cs="Arial"/>
          <w:color w:val="000000" w:themeColor="text1"/>
          <w:sz w:val="24"/>
          <w:szCs w:val="24"/>
        </w:rPr>
        <w:t>1</w:t>
      </w:r>
      <w:r w:rsidRPr="000B5221">
        <w:rPr>
          <w:rFonts w:ascii="Arial" w:hAnsi="Arial" w:cs="Arial"/>
          <w:color w:val="000000" w:themeColor="text1"/>
          <w:sz w:val="24"/>
          <w:szCs w:val="24"/>
        </w:rPr>
        <w:t>.</w:t>
      </w:r>
      <w:r w:rsidR="00164C9B" w:rsidRPr="000B5221">
        <w:rPr>
          <w:rFonts w:ascii="Arial" w:hAnsi="Arial" w:cs="Arial"/>
          <w:color w:val="000000" w:themeColor="text1"/>
          <w:sz w:val="24"/>
          <w:szCs w:val="24"/>
        </w:rPr>
        <w:t>1</w:t>
      </w:r>
      <w:r w:rsidRPr="000B5221">
        <w:rPr>
          <w:rFonts w:ascii="Arial" w:hAnsi="Arial" w:cs="Arial"/>
          <w:color w:val="000000" w:themeColor="text1"/>
          <w:sz w:val="24"/>
          <w:szCs w:val="24"/>
        </w:rPr>
        <w:t>% were dispensed outside the cluster, most notably:</w:t>
      </w:r>
    </w:p>
    <w:p w14:paraId="1CB5A955" w14:textId="77777777" w:rsidR="00A510A5" w:rsidRPr="000B5221" w:rsidRDefault="00A510A5" w:rsidP="00DC54F7">
      <w:pPr>
        <w:shd w:val="clear" w:color="auto" w:fill="FFFFFF"/>
        <w:spacing w:after="0"/>
        <w:jc w:val="both"/>
        <w:rPr>
          <w:rFonts w:ascii="Arial" w:hAnsi="Arial" w:cs="Arial"/>
          <w:color w:val="000000"/>
          <w:sz w:val="24"/>
          <w:szCs w:val="24"/>
        </w:rPr>
      </w:pPr>
    </w:p>
    <w:p w14:paraId="002DDD14" w14:textId="4444E868" w:rsidR="00A510A5" w:rsidRPr="000B5221" w:rsidRDefault="002C1F7A"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0B5221">
        <w:rPr>
          <w:rFonts w:ascii="Arial" w:hAnsi="Arial" w:cs="Arial"/>
          <w:color w:val="000000" w:themeColor="text1"/>
          <w:sz w:val="24"/>
          <w:szCs w:val="24"/>
        </w:rPr>
        <w:t>3</w:t>
      </w:r>
      <w:r w:rsidR="00A510A5" w:rsidRPr="000B5221">
        <w:rPr>
          <w:rFonts w:ascii="Arial" w:hAnsi="Arial" w:cs="Arial"/>
          <w:color w:val="000000" w:themeColor="text1"/>
          <w:sz w:val="24"/>
          <w:szCs w:val="24"/>
        </w:rPr>
        <w:t>.</w:t>
      </w:r>
      <w:r w:rsidRPr="000B5221">
        <w:rPr>
          <w:rFonts w:ascii="Arial" w:hAnsi="Arial" w:cs="Arial"/>
          <w:color w:val="000000" w:themeColor="text1"/>
          <w:sz w:val="24"/>
          <w:szCs w:val="24"/>
        </w:rPr>
        <w:t>7</w:t>
      </w:r>
      <w:r w:rsidR="00A510A5" w:rsidRPr="000B5221">
        <w:rPr>
          <w:rFonts w:ascii="Arial" w:hAnsi="Arial" w:cs="Arial"/>
          <w:color w:val="000000" w:themeColor="text1"/>
          <w:sz w:val="24"/>
          <w:szCs w:val="24"/>
        </w:rPr>
        <w:t>% by pharmacies in Cardiff North cluster</w:t>
      </w:r>
    </w:p>
    <w:p w14:paraId="7A86E868" w14:textId="1B1816FB" w:rsidR="00A510A5" w:rsidRPr="000B5221" w:rsidRDefault="001A691C"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0B5221">
        <w:rPr>
          <w:rFonts w:ascii="Arial" w:hAnsi="Arial" w:cs="Arial"/>
          <w:color w:val="000000" w:themeColor="text1"/>
          <w:sz w:val="24"/>
          <w:szCs w:val="24"/>
        </w:rPr>
        <w:t>1</w:t>
      </w:r>
      <w:r w:rsidR="00A510A5" w:rsidRPr="000B5221">
        <w:rPr>
          <w:rFonts w:ascii="Arial" w:hAnsi="Arial" w:cs="Arial"/>
          <w:color w:val="000000" w:themeColor="text1"/>
          <w:sz w:val="24"/>
          <w:szCs w:val="24"/>
        </w:rPr>
        <w:t>.</w:t>
      </w:r>
      <w:r w:rsidRPr="000B5221">
        <w:rPr>
          <w:rFonts w:ascii="Arial" w:hAnsi="Arial" w:cs="Arial"/>
          <w:color w:val="000000" w:themeColor="text1"/>
          <w:sz w:val="24"/>
          <w:szCs w:val="24"/>
        </w:rPr>
        <w:t>7</w:t>
      </w:r>
      <w:r w:rsidR="00A510A5" w:rsidRPr="000B5221">
        <w:rPr>
          <w:rFonts w:ascii="Arial" w:hAnsi="Arial" w:cs="Arial"/>
          <w:color w:val="000000" w:themeColor="text1"/>
          <w:sz w:val="24"/>
          <w:szCs w:val="24"/>
        </w:rPr>
        <w:t>% by pharmacies in Cardiff South East cluster</w:t>
      </w:r>
    </w:p>
    <w:p w14:paraId="1776D1A7" w14:textId="7602DEE5" w:rsidR="00A510A5" w:rsidRPr="000B5221" w:rsidRDefault="00A510A5"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0B5221">
        <w:rPr>
          <w:rFonts w:ascii="Arial" w:hAnsi="Arial" w:cs="Arial"/>
          <w:color w:val="000000" w:themeColor="text1"/>
          <w:sz w:val="24"/>
          <w:szCs w:val="24"/>
        </w:rPr>
        <w:lastRenderedPageBreak/>
        <w:t>0.</w:t>
      </w:r>
      <w:r w:rsidR="002C1F7A" w:rsidRPr="000B5221">
        <w:rPr>
          <w:rFonts w:ascii="Arial" w:hAnsi="Arial" w:cs="Arial"/>
          <w:color w:val="000000" w:themeColor="text1"/>
          <w:sz w:val="24"/>
          <w:szCs w:val="24"/>
        </w:rPr>
        <w:t>8</w:t>
      </w:r>
      <w:r w:rsidRPr="000B5221">
        <w:rPr>
          <w:rFonts w:ascii="Arial" w:hAnsi="Arial" w:cs="Arial"/>
          <w:color w:val="000000" w:themeColor="text1"/>
          <w:sz w:val="24"/>
          <w:szCs w:val="24"/>
        </w:rPr>
        <w:t>% by pharmacies in Cardiff West cluster</w:t>
      </w:r>
    </w:p>
    <w:p w14:paraId="672DDB5E" w14:textId="10791788" w:rsidR="002C1F7A" w:rsidRPr="000B5221" w:rsidRDefault="00C43620"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0B5221">
        <w:rPr>
          <w:rFonts w:ascii="Arial" w:hAnsi="Arial" w:cs="Arial"/>
          <w:color w:val="000000" w:themeColor="text1"/>
          <w:sz w:val="24"/>
          <w:szCs w:val="24"/>
        </w:rPr>
        <w:t>0.2% by pharmacies in Cardiff East cluster</w:t>
      </w:r>
    </w:p>
    <w:p w14:paraId="4455A92B" w14:textId="282EE859" w:rsidR="00A510A5" w:rsidRPr="000B5221" w:rsidRDefault="002C1F7A"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0B5221">
        <w:rPr>
          <w:rFonts w:ascii="Arial" w:hAnsi="Arial" w:cs="Arial"/>
          <w:color w:val="000000" w:themeColor="text1"/>
          <w:sz w:val="24"/>
          <w:szCs w:val="24"/>
        </w:rPr>
        <w:t>2</w:t>
      </w:r>
      <w:r w:rsidR="00A510A5" w:rsidRPr="000B5221">
        <w:rPr>
          <w:rFonts w:ascii="Arial" w:hAnsi="Arial" w:cs="Arial"/>
          <w:color w:val="000000" w:themeColor="text1"/>
          <w:sz w:val="24"/>
          <w:szCs w:val="24"/>
        </w:rPr>
        <w:t>.</w:t>
      </w:r>
      <w:r w:rsidRPr="000B5221">
        <w:rPr>
          <w:rFonts w:ascii="Arial" w:hAnsi="Arial" w:cs="Arial"/>
          <w:color w:val="000000" w:themeColor="text1"/>
          <w:sz w:val="24"/>
          <w:szCs w:val="24"/>
        </w:rPr>
        <w:t>7</w:t>
      </w:r>
      <w:r w:rsidR="00A510A5" w:rsidRPr="000B5221">
        <w:rPr>
          <w:rFonts w:ascii="Arial" w:hAnsi="Arial" w:cs="Arial"/>
          <w:color w:val="000000" w:themeColor="text1"/>
          <w:sz w:val="24"/>
          <w:szCs w:val="24"/>
        </w:rPr>
        <w:t>% by pharmacies in Cardiff South West cluster</w:t>
      </w:r>
    </w:p>
    <w:p w14:paraId="2A946D62" w14:textId="508230CF" w:rsidR="001A691C" w:rsidRPr="000B5221" w:rsidRDefault="001A691C"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0B5221">
        <w:rPr>
          <w:rFonts w:ascii="Arial" w:hAnsi="Arial" w:cs="Arial"/>
          <w:color w:val="000000" w:themeColor="text1"/>
          <w:sz w:val="24"/>
          <w:szCs w:val="24"/>
        </w:rPr>
        <w:t>0.8% by pharm</w:t>
      </w:r>
      <w:r w:rsidR="00A869CE" w:rsidRPr="000B5221">
        <w:rPr>
          <w:rFonts w:ascii="Arial" w:hAnsi="Arial" w:cs="Arial"/>
          <w:color w:val="000000" w:themeColor="text1"/>
          <w:sz w:val="24"/>
          <w:szCs w:val="24"/>
        </w:rPr>
        <w:t>acies in Eastern Vale cluster</w:t>
      </w:r>
    </w:p>
    <w:p w14:paraId="2D9763CB" w14:textId="2DB72ED8" w:rsidR="00A869CE" w:rsidRPr="000B5221" w:rsidRDefault="00A869CE"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0B5221">
        <w:rPr>
          <w:rFonts w:ascii="Arial" w:hAnsi="Arial" w:cs="Arial"/>
          <w:color w:val="000000" w:themeColor="text1"/>
          <w:sz w:val="24"/>
          <w:szCs w:val="24"/>
        </w:rPr>
        <w:t>0.1% by pharmacies in Central Vale cluster</w:t>
      </w:r>
    </w:p>
    <w:p w14:paraId="2547A4A0" w14:textId="27E5769F" w:rsidR="00A510A5" w:rsidRPr="000B5221" w:rsidRDefault="00E06341"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0B5221">
        <w:rPr>
          <w:rFonts w:ascii="Arial" w:hAnsi="Arial" w:cs="Arial"/>
          <w:color w:val="000000" w:themeColor="text1"/>
          <w:sz w:val="24"/>
          <w:szCs w:val="24"/>
        </w:rPr>
        <w:t>0</w:t>
      </w:r>
      <w:r w:rsidR="00A510A5" w:rsidRPr="000B5221">
        <w:rPr>
          <w:rFonts w:ascii="Arial" w:hAnsi="Arial" w:cs="Arial"/>
          <w:color w:val="000000" w:themeColor="text1"/>
          <w:sz w:val="24"/>
          <w:szCs w:val="24"/>
        </w:rPr>
        <w:t>.</w:t>
      </w:r>
      <w:r w:rsidRPr="000B5221">
        <w:rPr>
          <w:rFonts w:ascii="Arial" w:hAnsi="Arial" w:cs="Arial"/>
          <w:color w:val="000000" w:themeColor="text1"/>
          <w:sz w:val="24"/>
          <w:szCs w:val="24"/>
        </w:rPr>
        <w:t>1</w:t>
      </w:r>
      <w:r w:rsidR="00A510A5" w:rsidRPr="000B5221">
        <w:rPr>
          <w:rFonts w:ascii="Arial" w:hAnsi="Arial" w:cs="Arial"/>
          <w:color w:val="000000" w:themeColor="text1"/>
          <w:sz w:val="24"/>
          <w:szCs w:val="24"/>
        </w:rPr>
        <w:t>% in Aneurin Bevan University Health Board</w:t>
      </w:r>
    </w:p>
    <w:p w14:paraId="02985DDF" w14:textId="66BC9143" w:rsidR="00A510A5" w:rsidRPr="000B5221" w:rsidRDefault="00A510A5"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0B5221">
        <w:rPr>
          <w:rFonts w:ascii="Arial" w:hAnsi="Arial" w:cs="Arial"/>
          <w:color w:val="000000" w:themeColor="text1"/>
          <w:sz w:val="24"/>
          <w:szCs w:val="24"/>
        </w:rPr>
        <w:t>0.</w:t>
      </w:r>
      <w:r w:rsidR="00E06341" w:rsidRPr="000B5221">
        <w:rPr>
          <w:rFonts w:ascii="Arial" w:hAnsi="Arial" w:cs="Arial"/>
          <w:color w:val="000000" w:themeColor="text1"/>
          <w:sz w:val="24"/>
          <w:szCs w:val="24"/>
        </w:rPr>
        <w:t>8</w:t>
      </w:r>
      <w:r w:rsidRPr="000B5221">
        <w:rPr>
          <w:rFonts w:ascii="Arial" w:hAnsi="Arial" w:cs="Arial"/>
          <w:color w:val="000000" w:themeColor="text1"/>
          <w:sz w:val="24"/>
          <w:szCs w:val="24"/>
        </w:rPr>
        <w:t>% by contractors in England</w:t>
      </w:r>
    </w:p>
    <w:p w14:paraId="2A55ECE2" w14:textId="4894E17E" w:rsidR="00A510A5" w:rsidRDefault="00A510A5" w:rsidP="00DC54F7">
      <w:pPr>
        <w:shd w:val="clear" w:color="auto" w:fill="FFFFFF"/>
        <w:spacing w:after="0" w:line="240" w:lineRule="auto"/>
        <w:jc w:val="both"/>
        <w:rPr>
          <w:rFonts w:ascii="Arial" w:hAnsi="Arial" w:cs="Arial"/>
          <w:color w:val="000000" w:themeColor="text1"/>
        </w:rPr>
      </w:pPr>
    </w:p>
    <w:p w14:paraId="2A3F7627" w14:textId="77777777" w:rsidR="00A510A5" w:rsidRPr="006B6C79" w:rsidRDefault="00A510A5" w:rsidP="00DC54F7">
      <w:pPr>
        <w:shd w:val="clear" w:color="auto" w:fill="FFFFFF"/>
        <w:spacing w:after="0" w:line="240" w:lineRule="auto"/>
        <w:jc w:val="both"/>
        <w:rPr>
          <w:rFonts w:ascii="Arial" w:hAnsi="Arial" w:cs="Arial"/>
          <w:sz w:val="24"/>
          <w:szCs w:val="24"/>
        </w:rPr>
      </w:pPr>
      <w:r w:rsidRPr="006B6C79">
        <w:rPr>
          <w:rFonts w:ascii="Arial" w:hAnsi="Arial" w:cs="Arial"/>
          <w:sz w:val="24"/>
          <w:szCs w:val="24"/>
        </w:rPr>
        <w:t>In addition, residents may have accessed one or more pharmaceutical services provided by another pharmacy outside of both the cluster and the health board’s area; however, it is not possible to quantify this activity from the recorded data.</w:t>
      </w:r>
    </w:p>
    <w:p w14:paraId="5FA46FF0" w14:textId="77777777" w:rsidR="00A510A5" w:rsidRPr="006B6C79" w:rsidRDefault="00A510A5" w:rsidP="00DC54F7">
      <w:pPr>
        <w:shd w:val="clear" w:color="auto" w:fill="FFFFFF"/>
        <w:spacing w:after="0" w:line="240" w:lineRule="auto"/>
        <w:jc w:val="both"/>
        <w:rPr>
          <w:rFonts w:ascii="Arial" w:hAnsi="Arial" w:cs="Arial"/>
          <w:sz w:val="24"/>
          <w:szCs w:val="24"/>
        </w:rPr>
      </w:pPr>
      <w:r w:rsidRPr="006B6C79">
        <w:rPr>
          <w:rFonts w:ascii="Arial" w:hAnsi="Arial" w:cs="Arial"/>
          <w:sz w:val="24"/>
          <w:szCs w:val="24"/>
        </w:rPr>
        <w:t> </w:t>
      </w:r>
    </w:p>
    <w:p w14:paraId="426725C0" w14:textId="135F720E" w:rsidR="00A510A5" w:rsidRPr="006B6C79" w:rsidRDefault="00A510A5" w:rsidP="00DC54F7">
      <w:pPr>
        <w:spacing w:after="0" w:line="240" w:lineRule="auto"/>
        <w:jc w:val="both"/>
        <w:rPr>
          <w:rFonts w:ascii="Arial" w:hAnsi="Arial" w:cs="Arial"/>
          <w:sz w:val="24"/>
          <w:szCs w:val="24"/>
          <w:lang w:val="en-US"/>
        </w:rPr>
      </w:pPr>
      <w:r w:rsidRPr="006B6C79">
        <w:rPr>
          <w:rFonts w:ascii="Arial" w:hAnsi="Arial" w:cs="Arial"/>
          <w:sz w:val="24"/>
          <w:szCs w:val="24"/>
          <w:lang w:val="en-US"/>
        </w:rPr>
        <w:t xml:space="preserve">Taking into account pharmacies in the neighbouring clusters and pharmacies over the border in other health board areas in Wales, all residents in the cluster of Cardiff </w:t>
      </w:r>
      <w:r w:rsidR="00997F15" w:rsidRPr="006B6C79">
        <w:rPr>
          <w:rFonts w:ascii="Arial" w:hAnsi="Arial" w:cs="Arial"/>
          <w:sz w:val="24"/>
          <w:szCs w:val="24"/>
          <w:lang w:val="en-US"/>
        </w:rPr>
        <w:t xml:space="preserve">City and South </w:t>
      </w:r>
      <w:r w:rsidRPr="006B6C79">
        <w:rPr>
          <w:rFonts w:ascii="Arial" w:hAnsi="Arial" w:cs="Arial"/>
          <w:sz w:val="24"/>
          <w:szCs w:val="24"/>
          <w:lang w:val="en-US"/>
        </w:rPr>
        <w:t xml:space="preserve">can access a pharmacy by car within 10 minutes and the majority can access a pharmacy by car within five minutes. </w:t>
      </w:r>
    </w:p>
    <w:p w14:paraId="63D753B1" w14:textId="77777777" w:rsidR="0063382E" w:rsidRPr="00A10850" w:rsidRDefault="0063382E" w:rsidP="00DC54F7">
      <w:pPr>
        <w:spacing w:after="0" w:line="240" w:lineRule="auto"/>
        <w:jc w:val="both"/>
        <w:rPr>
          <w:rFonts w:ascii="Arial" w:hAnsi="Arial" w:cs="Arial"/>
          <w:lang w:val="en-US"/>
        </w:rPr>
      </w:pPr>
    </w:p>
    <w:p w14:paraId="6E36E497" w14:textId="77777777" w:rsidR="0063382E" w:rsidRPr="00A10850" w:rsidRDefault="0063382E" w:rsidP="00DC54F7">
      <w:pPr>
        <w:spacing w:after="0" w:line="240" w:lineRule="auto"/>
        <w:jc w:val="both"/>
        <w:rPr>
          <w:rFonts w:ascii="Arial" w:hAnsi="Arial" w:cs="Arial"/>
          <w:lang w:val="en-US"/>
        </w:rPr>
      </w:pPr>
    </w:p>
    <w:p w14:paraId="4AEC74E8" w14:textId="10C26B37" w:rsidR="0063382E" w:rsidRDefault="00184954" w:rsidP="00DC54F7">
      <w:pPr>
        <w:spacing w:after="0" w:line="240" w:lineRule="auto"/>
        <w:jc w:val="both"/>
        <w:rPr>
          <w:rFonts w:ascii="Arial" w:hAnsi="Arial" w:cs="Arial"/>
          <w:b/>
          <w:sz w:val="26"/>
          <w:szCs w:val="26"/>
          <w:lang w:val="en-US"/>
        </w:rPr>
      </w:pPr>
      <w:r>
        <w:rPr>
          <w:rFonts w:ascii="Arial" w:hAnsi="Arial" w:cs="Arial"/>
          <w:b/>
          <w:sz w:val="26"/>
          <w:szCs w:val="26"/>
          <w:lang w:val="en-US"/>
        </w:rPr>
        <w:t>10</w:t>
      </w:r>
      <w:r w:rsidR="0063382E" w:rsidRPr="00A10850">
        <w:rPr>
          <w:rFonts w:ascii="Arial" w:hAnsi="Arial" w:cs="Arial"/>
          <w:b/>
          <w:sz w:val="26"/>
          <w:szCs w:val="26"/>
          <w:lang w:val="en-US"/>
        </w:rPr>
        <w:t>.4 Other NHS services</w:t>
      </w:r>
    </w:p>
    <w:p w14:paraId="0D97E48A" w14:textId="4276747D" w:rsidR="00A92DD8" w:rsidRDefault="00A92DD8" w:rsidP="00DC54F7">
      <w:pPr>
        <w:spacing w:after="0" w:line="240" w:lineRule="auto"/>
        <w:jc w:val="both"/>
        <w:rPr>
          <w:rFonts w:ascii="Arial" w:hAnsi="Arial" w:cs="Arial"/>
          <w:b/>
          <w:sz w:val="26"/>
          <w:szCs w:val="26"/>
          <w:lang w:val="en-US"/>
        </w:rPr>
      </w:pPr>
    </w:p>
    <w:p w14:paraId="54249FFD" w14:textId="77777777" w:rsidR="008032B1" w:rsidRPr="007D7C72" w:rsidRDefault="008032B1" w:rsidP="00DC54F7">
      <w:pPr>
        <w:spacing w:after="0" w:line="240" w:lineRule="auto"/>
        <w:jc w:val="both"/>
        <w:rPr>
          <w:rFonts w:ascii="Arial" w:hAnsi="Arial" w:cs="Arial"/>
          <w:sz w:val="24"/>
          <w:szCs w:val="24"/>
        </w:rPr>
      </w:pPr>
      <w:r w:rsidRPr="007D7C72">
        <w:rPr>
          <w:rFonts w:ascii="Arial" w:hAnsi="Arial" w:cs="Arial"/>
          <w:sz w:val="24"/>
          <w:szCs w:val="24"/>
        </w:rPr>
        <w:t>No key other NHS services are located within this cluster.</w:t>
      </w:r>
    </w:p>
    <w:p w14:paraId="555FB80D" w14:textId="77777777" w:rsidR="008032B1" w:rsidRDefault="008032B1" w:rsidP="00DC54F7">
      <w:pPr>
        <w:spacing w:after="0" w:line="240" w:lineRule="auto"/>
        <w:jc w:val="both"/>
        <w:rPr>
          <w:rFonts w:ascii="Arial" w:hAnsi="Arial" w:cs="Arial"/>
          <w:b/>
          <w:sz w:val="26"/>
          <w:szCs w:val="26"/>
          <w:lang w:val="en-US"/>
        </w:rPr>
      </w:pPr>
    </w:p>
    <w:p w14:paraId="65308B8D" w14:textId="77777777" w:rsidR="009A17FD" w:rsidRPr="00A10850" w:rsidRDefault="009A17FD" w:rsidP="00DC54F7">
      <w:pPr>
        <w:spacing w:after="0" w:line="240" w:lineRule="auto"/>
        <w:jc w:val="both"/>
        <w:rPr>
          <w:rFonts w:ascii="Arial" w:hAnsi="Arial" w:cs="Arial"/>
          <w:lang w:val="en-US"/>
        </w:rPr>
      </w:pPr>
    </w:p>
    <w:p w14:paraId="75E38A68" w14:textId="5412032F" w:rsidR="0063382E" w:rsidRPr="00A10850" w:rsidRDefault="00184954" w:rsidP="00DC54F7">
      <w:pPr>
        <w:spacing w:after="0" w:line="240" w:lineRule="auto"/>
        <w:jc w:val="both"/>
        <w:rPr>
          <w:rFonts w:ascii="Arial" w:hAnsi="Arial" w:cs="Arial"/>
          <w:b/>
          <w:sz w:val="26"/>
          <w:szCs w:val="26"/>
          <w:lang w:val="en-US"/>
        </w:rPr>
      </w:pPr>
      <w:r>
        <w:rPr>
          <w:rFonts w:ascii="Arial" w:hAnsi="Arial" w:cs="Arial"/>
          <w:b/>
          <w:sz w:val="26"/>
          <w:szCs w:val="26"/>
          <w:lang w:val="en-US"/>
        </w:rPr>
        <w:t>10</w:t>
      </w:r>
      <w:r w:rsidR="0063382E" w:rsidRPr="00A10850">
        <w:rPr>
          <w:rFonts w:ascii="Arial" w:hAnsi="Arial" w:cs="Arial"/>
          <w:b/>
          <w:sz w:val="26"/>
          <w:szCs w:val="26"/>
          <w:lang w:val="en-US"/>
        </w:rPr>
        <w:t>.5 Choice with regard to obtaining pharmaceutical services</w:t>
      </w:r>
    </w:p>
    <w:p w14:paraId="3541B4F3" w14:textId="77777777" w:rsidR="0063382E" w:rsidRPr="00A10850" w:rsidRDefault="0063382E" w:rsidP="00DC54F7">
      <w:pPr>
        <w:spacing w:after="0" w:line="240" w:lineRule="auto"/>
        <w:jc w:val="both"/>
        <w:rPr>
          <w:rFonts w:ascii="Arial" w:hAnsi="Arial" w:cs="Arial"/>
          <w:lang w:val="en-US"/>
        </w:rPr>
      </w:pPr>
    </w:p>
    <w:p w14:paraId="3C6DCA13" w14:textId="62A6FCEC" w:rsidR="001B15F1" w:rsidRPr="007D7C72" w:rsidRDefault="001B15F1" w:rsidP="00DC54F7">
      <w:pPr>
        <w:spacing w:after="0" w:line="240" w:lineRule="auto"/>
        <w:jc w:val="both"/>
        <w:rPr>
          <w:rFonts w:ascii="Arial" w:hAnsi="Arial" w:cs="Arial"/>
          <w:sz w:val="24"/>
          <w:szCs w:val="24"/>
          <w:lang w:val="en-US"/>
        </w:rPr>
      </w:pPr>
      <w:r w:rsidRPr="007D7C72">
        <w:rPr>
          <w:rFonts w:ascii="Arial" w:hAnsi="Arial" w:cs="Arial"/>
          <w:sz w:val="24"/>
          <w:szCs w:val="24"/>
          <w:lang w:val="en-US"/>
        </w:rPr>
        <w:t xml:space="preserve">As can be seen from sections 10.2 and 10.3, those living within the cluster area and registered with one of the GP practices generally choose to access one of the pharmacies in the cluster in order to have their prescriptions dispensed. Those that look outside the cluster usually do so to access a neighbouring pharmacy within the health board’s area. A minority choose to have their prescription dispensed by a pharmacy or an appliance contractor outside of the health board’s area.  </w:t>
      </w:r>
    </w:p>
    <w:p w14:paraId="5AEE1F28" w14:textId="77777777" w:rsidR="001B15F1" w:rsidRPr="007D7C72" w:rsidRDefault="001B15F1" w:rsidP="00DC54F7">
      <w:pPr>
        <w:spacing w:after="0" w:line="240" w:lineRule="auto"/>
        <w:jc w:val="both"/>
        <w:rPr>
          <w:rFonts w:ascii="Arial" w:hAnsi="Arial" w:cs="Arial"/>
          <w:sz w:val="24"/>
          <w:szCs w:val="24"/>
          <w:lang w:val="en-US"/>
        </w:rPr>
      </w:pPr>
    </w:p>
    <w:p w14:paraId="7C2E1CB7" w14:textId="6DB66181" w:rsidR="001B15F1" w:rsidRPr="007D7C72" w:rsidRDefault="001B15F1" w:rsidP="00DC54F7">
      <w:pPr>
        <w:spacing w:after="0" w:line="240" w:lineRule="auto"/>
        <w:jc w:val="both"/>
        <w:rPr>
          <w:rFonts w:ascii="Calibri" w:eastAsia="Times New Roman" w:hAnsi="Calibri" w:cs="Calibri"/>
          <w:color w:val="000000"/>
          <w:sz w:val="24"/>
          <w:szCs w:val="24"/>
          <w:lang w:eastAsia="en-GB"/>
        </w:rPr>
      </w:pPr>
      <w:r w:rsidRPr="007D7C72">
        <w:rPr>
          <w:rFonts w:ascii="Arial" w:hAnsi="Arial" w:cs="Arial"/>
          <w:sz w:val="24"/>
          <w:szCs w:val="24"/>
          <w:lang w:val="en-US"/>
        </w:rPr>
        <w:t xml:space="preserve">A total of </w:t>
      </w:r>
      <w:r w:rsidR="008F4988" w:rsidRPr="007D7C72">
        <w:rPr>
          <w:rFonts w:ascii="Arial" w:hAnsi="Arial" w:cs="Arial"/>
          <w:sz w:val="24"/>
          <w:szCs w:val="24"/>
          <w:lang w:val="en-US"/>
        </w:rPr>
        <w:t>254</w:t>
      </w:r>
      <w:r w:rsidRPr="007D7C72">
        <w:rPr>
          <w:rFonts w:ascii="Arial" w:hAnsi="Arial" w:cs="Arial"/>
          <w:sz w:val="24"/>
          <w:szCs w:val="24"/>
          <w:lang w:val="en-US"/>
        </w:rPr>
        <w:t xml:space="preserve"> pharmacy contractors that were trading in Wales during 2019 to 2020</w:t>
      </w:r>
      <w:r w:rsidR="008F4988" w:rsidRPr="007D7C72">
        <w:rPr>
          <w:rFonts w:ascii="Arial" w:hAnsi="Arial" w:cs="Arial"/>
          <w:sz w:val="24"/>
          <w:szCs w:val="24"/>
          <w:lang w:val="en-US"/>
        </w:rPr>
        <w:t xml:space="preserve"> </w:t>
      </w:r>
      <w:r w:rsidRPr="007D7C72">
        <w:rPr>
          <w:rFonts w:ascii="Arial" w:hAnsi="Arial" w:cs="Arial"/>
          <w:sz w:val="24"/>
          <w:szCs w:val="24"/>
          <w:lang w:val="en-US"/>
        </w:rPr>
        <w:t xml:space="preserve">dispensed items written by one of the GP practices in the Cardiff </w:t>
      </w:r>
      <w:r w:rsidR="006D4CCD" w:rsidRPr="007D7C72">
        <w:rPr>
          <w:rFonts w:ascii="Arial" w:hAnsi="Arial" w:cs="Arial"/>
          <w:sz w:val="24"/>
          <w:szCs w:val="24"/>
          <w:lang w:val="en-US"/>
        </w:rPr>
        <w:t>City and South</w:t>
      </w:r>
      <w:r w:rsidRPr="007D7C72">
        <w:rPr>
          <w:rFonts w:ascii="Arial" w:hAnsi="Arial" w:cs="Arial"/>
          <w:sz w:val="24"/>
          <w:szCs w:val="24"/>
          <w:lang w:val="en-US"/>
        </w:rPr>
        <w:t xml:space="preserve"> cluster, of which </w:t>
      </w:r>
      <w:r w:rsidR="00A23716" w:rsidRPr="007D7C72">
        <w:rPr>
          <w:rFonts w:ascii="Arial" w:hAnsi="Arial" w:cs="Arial"/>
          <w:sz w:val="24"/>
          <w:szCs w:val="24"/>
          <w:lang w:val="en-US"/>
        </w:rPr>
        <w:t>148</w:t>
      </w:r>
      <w:r w:rsidRPr="007D7C72">
        <w:rPr>
          <w:rFonts w:ascii="Arial" w:hAnsi="Arial" w:cs="Arial"/>
          <w:sz w:val="24"/>
          <w:szCs w:val="24"/>
          <w:lang w:val="en-US"/>
        </w:rPr>
        <w:t xml:space="preserve"> were outside of the health board’s area</w:t>
      </w:r>
      <w:r w:rsidRPr="007D7C72">
        <w:rPr>
          <w:rFonts w:ascii="Arial" w:hAnsi="Arial" w:cs="Arial"/>
          <w:b/>
          <w:bCs/>
          <w:sz w:val="24"/>
          <w:szCs w:val="24"/>
          <w:lang w:val="en-US"/>
        </w:rPr>
        <w:t xml:space="preserve">. </w:t>
      </w:r>
      <w:r w:rsidR="00411903" w:rsidRPr="007D7C72">
        <w:rPr>
          <w:rFonts w:ascii="Arial" w:hAnsi="Arial" w:cs="Arial"/>
          <w:sz w:val="24"/>
          <w:szCs w:val="24"/>
          <w:lang w:val="en-US"/>
        </w:rPr>
        <w:t>6,241</w:t>
      </w:r>
      <w:r w:rsidRPr="007D7C72">
        <w:rPr>
          <w:rFonts w:ascii="Arial" w:hAnsi="Arial" w:cs="Arial"/>
          <w:sz w:val="24"/>
          <w:szCs w:val="24"/>
          <w:lang w:val="en-US"/>
        </w:rPr>
        <w:t xml:space="preserve"> prescription items were dispensed in England. </w:t>
      </w:r>
    </w:p>
    <w:p w14:paraId="62024D4A" w14:textId="4BAF0DF0" w:rsidR="0063382E" w:rsidRDefault="0063382E" w:rsidP="00DC54F7">
      <w:pPr>
        <w:spacing w:after="0" w:line="240" w:lineRule="auto"/>
        <w:jc w:val="both"/>
        <w:rPr>
          <w:rFonts w:ascii="Arial" w:hAnsi="Arial" w:cs="Arial"/>
          <w:b/>
          <w:color w:val="942D83"/>
          <w:lang w:val="en-US"/>
        </w:rPr>
      </w:pPr>
    </w:p>
    <w:p w14:paraId="047ABE8D" w14:textId="77777777" w:rsidR="003F4621" w:rsidRDefault="003F4621" w:rsidP="00DC54F7">
      <w:pPr>
        <w:spacing w:after="0" w:line="240" w:lineRule="auto"/>
        <w:jc w:val="both"/>
        <w:rPr>
          <w:rFonts w:ascii="Arial" w:hAnsi="Arial" w:cs="Arial"/>
          <w:b/>
          <w:sz w:val="26"/>
          <w:szCs w:val="26"/>
          <w:lang w:val="en-US"/>
        </w:rPr>
      </w:pPr>
    </w:p>
    <w:p w14:paraId="0D5C06A6" w14:textId="3E48A8A6" w:rsidR="0063382E" w:rsidRPr="00A10850" w:rsidRDefault="00184954" w:rsidP="00DC54F7">
      <w:pPr>
        <w:spacing w:after="0" w:line="240" w:lineRule="auto"/>
        <w:jc w:val="both"/>
        <w:rPr>
          <w:rFonts w:ascii="Arial" w:hAnsi="Arial" w:cs="Arial"/>
          <w:b/>
          <w:sz w:val="26"/>
          <w:szCs w:val="26"/>
          <w:lang w:val="en-US"/>
        </w:rPr>
      </w:pPr>
      <w:r>
        <w:rPr>
          <w:rFonts w:ascii="Arial" w:hAnsi="Arial" w:cs="Arial"/>
          <w:b/>
          <w:sz w:val="26"/>
          <w:szCs w:val="26"/>
          <w:lang w:val="en-US"/>
        </w:rPr>
        <w:t>10</w:t>
      </w:r>
      <w:r w:rsidR="0063382E" w:rsidRPr="00A10850">
        <w:rPr>
          <w:rFonts w:ascii="Arial" w:hAnsi="Arial" w:cs="Arial"/>
          <w:b/>
          <w:sz w:val="26"/>
          <w:szCs w:val="26"/>
          <w:lang w:val="en-US"/>
        </w:rPr>
        <w:t>.6 Gaps in provision</w:t>
      </w:r>
    </w:p>
    <w:p w14:paraId="4F9AD6F6" w14:textId="77777777" w:rsidR="006E369F" w:rsidRDefault="006E369F" w:rsidP="00DC54F7">
      <w:pPr>
        <w:spacing w:after="0" w:line="240" w:lineRule="auto"/>
        <w:jc w:val="both"/>
        <w:rPr>
          <w:rFonts w:ascii="Arial" w:hAnsi="Arial" w:cs="Arial"/>
        </w:rPr>
      </w:pPr>
    </w:p>
    <w:p w14:paraId="6D398C59" w14:textId="34D44D00" w:rsidR="006E369F" w:rsidRPr="00183CE1" w:rsidRDefault="006E369F" w:rsidP="00DC54F7">
      <w:pPr>
        <w:spacing w:after="0" w:line="240" w:lineRule="auto"/>
        <w:jc w:val="both"/>
        <w:rPr>
          <w:rFonts w:ascii="Arial" w:hAnsi="Arial" w:cs="Arial"/>
          <w:sz w:val="24"/>
          <w:szCs w:val="24"/>
        </w:rPr>
      </w:pPr>
      <w:r w:rsidRPr="00183CE1">
        <w:rPr>
          <w:rFonts w:ascii="Arial" w:hAnsi="Arial" w:cs="Arial"/>
          <w:sz w:val="24"/>
          <w:szCs w:val="24"/>
        </w:rPr>
        <w:t xml:space="preserve">The </w:t>
      </w:r>
      <w:r w:rsidRPr="00183CE1">
        <w:rPr>
          <w:rFonts w:ascii="Arial" w:hAnsi="Arial" w:cs="Arial"/>
          <w:color w:val="000000"/>
          <w:sz w:val="24"/>
          <w:szCs w:val="24"/>
        </w:rPr>
        <w:t xml:space="preserve">Cardiff and Vale University Health Board </w:t>
      </w:r>
      <w:r w:rsidRPr="00183CE1">
        <w:rPr>
          <w:rFonts w:ascii="Arial" w:hAnsi="Arial" w:cs="Arial"/>
          <w:sz w:val="24"/>
          <w:szCs w:val="24"/>
        </w:rPr>
        <w:t xml:space="preserve">has noted the locations of pharmacies across the cluster, and the fact that the population can access a pharmacy by car within 10 minutes, with the majority within five minutes. Whilst noting that not all households have access to a car throughout the day, the nature of the cluster means that walking to a pharmacy will be a realistic option for many residents and regular public transport services are available for those who are unable to undertake the whole journey on foot. </w:t>
      </w:r>
    </w:p>
    <w:p w14:paraId="53CA24AC" w14:textId="77777777" w:rsidR="006E369F" w:rsidRPr="00183CE1" w:rsidRDefault="006E369F" w:rsidP="00DC54F7">
      <w:pPr>
        <w:spacing w:after="0" w:line="240" w:lineRule="auto"/>
        <w:jc w:val="both"/>
        <w:rPr>
          <w:rFonts w:ascii="Arial" w:hAnsi="Arial" w:cs="Arial"/>
          <w:sz w:val="24"/>
          <w:szCs w:val="24"/>
        </w:rPr>
      </w:pPr>
    </w:p>
    <w:p w14:paraId="0CEDBB85" w14:textId="77777777" w:rsidR="006E369F" w:rsidRPr="00183CE1" w:rsidRDefault="006E369F" w:rsidP="00DC54F7">
      <w:pPr>
        <w:spacing w:after="0" w:line="240" w:lineRule="auto"/>
        <w:jc w:val="both"/>
        <w:rPr>
          <w:rFonts w:ascii="Arial" w:hAnsi="Arial" w:cs="Arial"/>
          <w:sz w:val="24"/>
          <w:szCs w:val="24"/>
        </w:rPr>
      </w:pPr>
      <w:r w:rsidRPr="00183CE1">
        <w:rPr>
          <w:rFonts w:ascii="Arial" w:hAnsi="Arial" w:cs="Arial"/>
          <w:sz w:val="24"/>
          <w:szCs w:val="24"/>
        </w:rPr>
        <w:lastRenderedPageBreak/>
        <w:t xml:space="preserve">The </w:t>
      </w:r>
      <w:r w:rsidRPr="00183CE1">
        <w:rPr>
          <w:rFonts w:ascii="Arial" w:hAnsi="Arial" w:cs="Arial"/>
          <w:color w:val="000000"/>
          <w:sz w:val="24"/>
          <w:szCs w:val="24"/>
        </w:rPr>
        <w:t xml:space="preserve">Cardiff and Vale University Health Board </w:t>
      </w:r>
      <w:r w:rsidRPr="00183CE1">
        <w:rPr>
          <w:rFonts w:ascii="Arial" w:hAnsi="Arial" w:cs="Arial"/>
          <w:sz w:val="24"/>
          <w:szCs w:val="24"/>
        </w:rPr>
        <w:t xml:space="preserve">has noted the opening hours of the existing pharmacies and is of the opinion that they are sufficient to meet the likely needs of residents in the cluster. The </w:t>
      </w:r>
      <w:r w:rsidRPr="00183CE1">
        <w:rPr>
          <w:rFonts w:ascii="Arial" w:hAnsi="Arial" w:cs="Arial"/>
          <w:color w:val="000000"/>
          <w:sz w:val="24"/>
          <w:szCs w:val="24"/>
        </w:rPr>
        <w:t xml:space="preserve">Cardiff and Vale University Health Board </w:t>
      </w:r>
      <w:r w:rsidRPr="00183CE1">
        <w:rPr>
          <w:rFonts w:ascii="Arial" w:hAnsi="Arial" w:cs="Arial"/>
          <w:sz w:val="24"/>
          <w:szCs w:val="24"/>
        </w:rPr>
        <w:t>has therefore concluded that there are no current needs in relation to the provision of essential services by pharmacies in the cluster.</w:t>
      </w:r>
    </w:p>
    <w:p w14:paraId="173F9969" w14:textId="77777777" w:rsidR="006E369F" w:rsidRPr="00183CE1" w:rsidRDefault="006E369F" w:rsidP="00DC54F7">
      <w:pPr>
        <w:spacing w:after="0" w:line="240" w:lineRule="auto"/>
        <w:jc w:val="both"/>
        <w:rPr>
          <w:rFonts w:ascii="Arial" w:hAnsi="Arial" w:cs="Arial"/>
          <w:sz w:val="24"/>
          <w:szCs w:val="24"/>
        </w:rPr>
      </w:pPr>
    </w:p>
    <w:p w14:paraId="7DED1E8B" w14:textId="44E7B28A" w:rsidR="006E369F" w:rsidRPr="00183CE1" w:rsidRDefault="006E369F" w:rsidP="00DC54F7">
      <w:pPr>
        <w:spacing w:after="0" w:line="240" w:lineRule="auto"/>
        <w:jc w:val="both"/>
        <w:rPr>
          <w:rFonts w:ascii="Arial" w:hAnsi="Arial" w:cs="Arial"/>
          <w:sz w:val="24"/>
          <w:szCs w:val="24"/>
        </w:rPr>
      </w:pPr>
      <w:r w:rsidRPr="00183CE1">
        <w:rPr>
          <w:rFonts w:ascii="Arial" w:hAnsi="Arial" w:cs="Arial"/>
          <w:sz w:val="24"/>
          <w:szCs w:val="24"/>
        </w:rPr>
        <w:t xml:space="preserve">The </w:t>
      </w:r>
      <w:r w:rsidRPr="00183CE1">
        <w:rPr>
          <w:rFonts w:ascii="Arial" w:hAnsi="Arial" w:cs="Arial"/>
          <w:color w:val="000000"/>
          <w:sz w:val="24"/>
          <w:szCs w:val="24"/>
        </w:rPr>
        <w:t xml:space="preserve">Cardiff and Vale University Health Board </w:t>
      </w:r>
      <w:r w:rsidRPr="00183CE1">
        <w:rPr>
          <w:rFonts w:ascii="Arial" w:hAnsi="Arial" w:cs="Arial"/>
          <w:sz w:val="24"/>
          <w:szCs w:val="24"/>
        </w:rPr>
        <w:t xml:space="preserve">is also satisfied that there are no current needs in relation to the provision of advanced services.  Whilst none of the pharmacies provide the Appliance Use Review service or the Stoma Appliance Customisation service, it is noted that there are four appliance contractors based in Cardiff </w:t>
      </w:r>
      <w:r w:rsidR="00412AA2" w:rsidRPr="00183CE1">
        <w:rPr>
          <w:rFonts w:ascii="Arial" w:hAnsi="Arial" w:cs="Arial"/>
          <w:sz w:val="24"/>
          <w:szCs w:val="24"/>
        </w:rPr>
        <w:t xml:space="preserve">and Vale University Health Board </w:t>
      </w:r>
      <w:r w:rsidRPr="00183CE1">
        <w:rPr>
          <w:rFonts w:ascii="Arial" w:hAnsi="Arial" w:cs="Arial"/>
          <w:sz w:val="24"/>
          <w:szCs w:val="24"/>
        </w:rPr>
        <w:t xml:space="preserve">who offer these services. One of the reasons why prescriptions are dispensed outside of the cluster is because they have been sent to a dispensing appliance contractor elsewhere in </w:t>
      </w:r>
      <w:r w:rsidR="00412AA2" w:rsidRPr="00183CE1">
        <w:rPr>
          <w:rFonts w:ascii="Arial" w:hAnsi="Arial" w:cs="Arial"/>
          <w:sz w:val="24"/>
          <w:szCs w:val="24"/>
        </w:rPr>
        <w:t xml:space="preserve">the health board </w:t>
      </w:r>
      <w:r w:rsidRPr="00183CE1">
        <w:rPr>
          <w:rFonts w:ascii="Arial" w:hAnsi="Arial" w:cs="Arial"/>
          <w:sz w:val="24"/>
          <w:szCs w:val="24"/>
        </w:rPr>
        <w:t xml:space="preserve">or to England, which provide these services. Patients will therefore be able to access these two services via those contractors. The </w:t>
      </w:r>
      <w:r w:rsidRPr="00183CE1">
        <w:rPr>
          <w:rFonts w:ascii="Arial" w:hAnsi="Arial" w:cs="Arial"/>
          <w:color w:val="000000"/>
          <w:sz w:val="24"/>
          <w:szCs w:val="24"/>
        </w:rPr>
        <w:t xml:space="preserve">Cardiff and Vale University Health Board </w:t>
      </w:r>
      <w:r w:rsidRPr="00183CE1">
        <w:rPr>
          <w:rFonts w:ascii="Arial" w:hAnsi="Arial" w:cs="Arial"/>
          <w:sz w:val="24"/>
          <w:szCs w:val="24"/>
        </w:rPr>
        <w:t>has therefore not identified any current or future gap or better access in relation to the provision of these two advanced services in the cluster.</w:t>
      </w:r>
    </w:p>
    <w:p w14:paraId="0CB9ACB1" w14:textId="77777777" w:rsidR="006E369F" w:rsidRPr="00183CE1" w:rsidRDefault="006E369F" w:rsidP="00DC54F7">
      <w:pPr>
        <w:spacing w:after="0" w:line="240" w:lineRule="auto"/>
        <w:jc w:val="both"/>
        <w:rPr>
          <w:rFonts w:ascii="Arial" w:hAnsi="Arial" w:cs="Arial"/>
          <w:sz w:val="24"/>
          <w:szCs w:val="24"/>
        </w:rPr>
      </w:pPr>
    </w:p>
    <w:p w14:paraId="018AAE31" w14:textId="6DB8B9D5" w:rsidR="00D33169" w:rsidRPr="00183CE1" w:rsidRDefault="006E369F" w:rsidP="00DC54F7">
      <w:pPr>
        <w:spacing w:after="0" w:line="240" w:lineRule="auto"/>
        <w:contextualSpacing/>
        <w:jc w:val="both"/>
        <w:rPr>
          <w:rFonts w:ascii="Arial" w:hAnsi="Arial" w:cs="Arial"/>
          <w:sz w:val="24"/>
          <w:szCs w:val="24"/>
        </w:rPr>
      </w:pPr>
      <w:r w:rsidRPr="00183CE1">
        <w:rPr>
          <w:rFonts w:ascii="Arial" w:hAnsi="Arial" w:cs="Arial"/>
          <w:sz w:val="24"/>
          <w:szCs w:val="24"/>
        </w:rPr>
        <w:t xml:space="preserve">All 10 pharmacies responded to the question in the contractor questionnaire regarding capacity to meet demand from any future housing developments in the cluster. </w:t>
      </w:r>
      <w:r w:rsidR="00D33169" w:rsidRPr="00183CE1">
        <w:rPr>
          <w:rFonts w:ascii="Arial" w:hAnsi="Arial" w:cs="Arial"/>
          <w:sz w:val="24"/>
          <w:szCs w:val="24"/>
        </w:rPr>
        <w:t xml:space="preserve">Their responses were as follows: </w:t>
      </w:r>
    </w:p>
    <w:p w14:paraId="110F4DA9" w14:textId="77777777" w:rsidR="00D33169" w:rsidRPr="00183CE1" w:rsidRDefault="00D33169" w:rsidP="00DC54F7">
      <w:pPr>
        <w:spacing w:after="0" w:line="240" w:lineRule="auto"/>
        <w:jc w:val="both"/>
        <w:rPr>
          <w:rFonts w:ascii="Arial" w:hAnsi="Arial" w:cs="Arial"/>
          <w:sz w:val="24"/>
          <w:szCs w:val="24"/>
        </w:rPr>
      </w:pPr>
    </w:p>
    <w:p w14:paraId="567F4546" w14:textId="24D1F6C7" w:rsidR="00D33169" w:rsidRPr="00183CE1" w:rsidRDefault="00D33169" w:rsidP="00DC54F7">
      <w:pPr>
        <w:pStyle w:val="ListParagraph"/>
        <w:numPr>
          <w:ilvl w:val="0"/>
          <w:numId w:val="156"/>
        </w:numPr>
        <w:spacing w:after="0" w:line="240" w:lineRule="auto"/>
        <w:jc w:val="both"/>
        <w:rPr>
          <w:rFonts w:ascii="Arial" w:hAnsi="Arial" w:cs="Arial"/>
          <w:sz w:val="24"/>
          <w:szCs w:val="24"/>
        </w:rPr>
      </w:pPr>
      <w:r w:rsidRPr="00183CE1">
        <w:rPr>
          <w:rFonts w:ascii="Arial" w:hAnsi="Arial" w:cs="Arial"/>
          <w:sz w:val="24"/>
          <w:szCs w:val="24"/>
        </w:rPr>
        <w:t>Nine pharmacies have sufficient capacity within their existing premises and staffing levels to manage the increase in demand in the area.</w:t>
      </w:r>
    </w:p>
    <w:p w14:paraId="6B9174EE" w14:textId="796ABE5C" w:rsidR="00D33169" w:rsidRPr="00183CE1" w:rsidRDefault="00D33169" w:rsidP="00DC54F7">
      <w:pPr>
        <w:pStyle w:val="ListParagraph"/>
        <w:numPr>
          <w:ilvl w:val="0"/>
          <w:numId w:val="156"/>
        </w:numPr>
        <w:spacing w:after="0" w:line="240" w:lineRule="auto"/>
        <w:jc w:val="both"/>
        <w:rPr>
          <w:rFonts w:ascii="Arial" w:hAnsi="Arial" w:cs="Arial"/>
          <w:sz w:val="24"/>
          <w:szCs w:val="24"/>
        </w:rPr>
      </w:pPr>
      <w:r w:rsidRPr="00183CE1">
        <w:rPr>
          <w:rFonts w:ascii="Arial" w:hAnsi="Arial" w:cs="Arial"/>
          <w:sz w:val="24"/>
          <w:szCs w:val="24"/>
        </w:rPr>
        <w:t>One pharmacy does not have sufficient premises and staffing capacity at present but could make adjustments to manage the increase in demand in the area.</w:t>
      </w:r>
    </w:p>
    <w:p w14:paraId="2F87A326" w14:textId="77777777" w:rsidR="00D33169" w:rsidRPr="00183CE1" w:rsidRDefault="00D33169" w:rsidP="00DC54F7">
      <w:pPr>
        <w:spacing w:after="0" w:line="240" w:lineRule="auto"/>
        <w:contextualSpacing/>
        <w:jc w:val="both"/>
        <w:rPr>
          <w:rFonts w:ascii="Arial" w:hAnsi="Arial" w:cs="Arial"/>
          <w:sz w:val="24"/>
          <w:szCs w:val="24"/>
        </w:rPr>
      </w:pPr>
    </w:p>
    <w:p w14:paraId="0C74232F" w14:textId="51437AA1" w:rsidR="006E369F" w:rsidRPr="00183CE1" w:rsidRDefault="006E369F" w:rsidP="00DC54F7">
      <w:pPr>
        <w:spacing w:after="0" w:line="240" w:lineRule="auto"/>
        <w:jc w:val="both"/>
        <w:rPr>
          <w:rFonts w:ascii="Arial" w:hAnsi="Arial" w:cs="Arial"/>
          <w:color w:val="000000"/>
          <w:sz w:val="24"/>
          <w:szCs w:val="24"/>
        </w:rPr>
      </w:pPr>
      <w:r w:rsidRPr="00183CE1">
        <w:rPr>
          <w:rFonts w:ascii="Arial" w:hAnsi="Arial" w:cs="Arial"/>
          <w:sz w:val="24"/>
          <w:szCs w:val="24"/>
        </w:rPr>
        <w:t xml:space="preserve">The Cardiff and Vale University Health Board noted the </w:t>
      </w:r>
      <w:r w:rsidR="006709B6" w:rsidRPr="00183CE1">
        <w:rPr>
          <w:rFonts w:ascii="Arial" w:hAnsi="Arial" w:cs="Arial"/>
          <w:sz w:val="24"/>
          <w:szCs w:val="24"/>
        </w:rPr>
        <w:t xml:space="preserve">employment led </w:t>
      </w:r>
      <w:r w:rsidR="00054065" w:rsidRPr="00183CE1">
        <w:rPr>
          <w:rFonts w:ascii="Arial" w:hAnsi="Arial" w:cs="Arial"/>
          <w:sz w:val="24"/>
          <w:szCs w:val="24"/>
        </w:rPr>
        <w:t xml:space="preserve">and </w:t>
      </w:r>
      <w:r w:rsidR="00340771" w:rsidRPr="00183CE1">
        <w:rPr>
          <w:rFonts w:ascii="Arial" w:hAnsi="Arial" w:cs="Arial"/>
          <w:sz w:val="24"/>
          <w:szCs w:val="24"/>
        </w:rPr>
        <w:t xml:space="preserve">large </w:t>
      </w:r>
      <w:r w:rsidR="00AC0740" w:rsidRPr="00183CE1">
        <w:rPr>
          <w:rFonts w:ascii="Arial" w:hAnsi="Arial" w:cs="Arial"/>
          <w:sz w:val="24"/>
          <w:szCs w:val="24"/>
        </w:rPr>
        <w:t xml:space="preserve">housing </w:t>
      </w:r>
      <w:r w:rsidRPr="00183CE1">
        <w:rPr>
          <w:rFonts w:ascii="Arial" w:hAnsi="Arial" w:cs="Arial"/>
          <w:sz w:val="24"/>
          <w:szCs w:val="24"/>
        </w:rPr>
        <w:t xml:space="preserve">development planned for </w:t>
      </w:r>
      <w:r w:rsidR="00AC0740" w:rsidRPr="00183CE1">
        <w:rPr>
          <w:rFonts w:ascii="Arial" w:hAnsi="Arial" w:cs="Arial"/>
          <w:sz w:val="24"/>
          <w:szCs w:val="24"/>
        </w:rPr>
        <w:t xml:space="preserve">Cardiff Central Zone and </w:t>
      </w:r>
      <w:r w:rsidR="006709B6" w:rsidRPr="00183CE1">
        <w:rPr>
          <w:rFonts w:ascii="Arial" w:hAnsi="Arial" w:cs="Arial"/>
          <w:sz w:val="24"/>
          <w:szCs w:val="24"/>
        </w:rPr>
        <w:t xml:space="preserve">the </w:t>
      </w:r>
      <w:r w:rsidR="00054065" w:rsidRPr="00183CE1">
        <w:rPr>
          <w:rFonts w:ascii="Arial" w:hAnsi="Arial" w:cs="Arial"/>
          <w:sz w:val="24"/>
          <w:szCs w:val="24"/>
        </w:rPr>
        <w:t xml:space="preserve">housing development at the </w:t>
      </w:r>
      <w:r w:rsidR="006709B6" w:rsidRPr="00183CE1">
        <w:rPr>
          <w:rFonts w:ascii="Arial" w:hAnsi="Arial" w:cs="Arial"/>
          <w:sz w:val="24"/>
          <w:szCs w:val="24"/>
        </w:rPr>
        <w:t>former gas works Ferry Road</w:t>
      </w:r>
      <w:r w:rsidR="00F81446" w:rsidRPr="00183CE1">
        <w:rPr>
          <w:rFonts w:ascii="Arial" w:hAnsi="Arial" w:cs="Arial"/>
          <w:sz w:val="24"/>
          <w:szCs w:val="24"/>
        </w:rPr>
        <w:t xml:space="preserve"> and other </w:t>
      </w:r>
      <w:r w:rsidR="00054065" w:rsidRPr="00183CE1">
        <w:rPr>
          <w:rFonts w:ascii="Arial" w:hAnsi="Arial" w:cs="Arial"/>
          <w:sz w:val="24"/>
          <w:szCs w:val="24"/>
        </w:rPr>
        <w:t xml:space="preserve">smaller </w:t>
      </w:r>
      <w:r w:rsidR="004A3B97" w:rsidRPr="00183CE1">
        <w:rPr>
          <w:rFonts w:ascii="Arial" w:hAnsi="Arial" w:cs="Arial"/>
          <w:sz w:val="24"/>
          <w:szCs w:val="24"/>
        </w:rPr>
        <w:t xml:space="preserve">units of </w:t>
      </w:r>
      <w:r w:rsidRPr="00183CE1">
        <w:rPr>
          <w:rFonts w:ascii="Arial" w:hAnsi="Arial" w:cs="Arial"/>
          <w:sz w:val="24"/>
          <w:szCs w:val="24"/>
        </w:rPr>
        <w:t xml:space="preserve">housing that </w:t>
      </w:r>
      <w:r w:rsidR="007B72E4" w:rsidRPr="00183CE1">
        <w:rPr>
          <w:rFonts w:ascii="Arial" w:hAnsi="Arial" w:cs="Arial"/>
          <w:sz w:val="24"/>
          <w:szCs w:val="24"/>
        </w:rPr>
        <w:t xml:space="preserve">are </w:t>
      </w:r>
      <w:r w:rsidRPr="00183CE1">
        <w:rPr>
          <w:rFonts w:ascii="Arial" w:hAnsi="Arial" w:cs="Arial"/>
          <w:sz w:val="24"/>
          <w:szCs w:val="24"/>
        </w:rPr>
        <w:t>due to be built during the lifetime of this document</w:t>
      </w:r>
      <w:r w:rsidR="00FA1585" w:rsidRPr="00183CE1">
        <w:rPr>
          <w:rFonts w:ascii="Arial" w:hAnsi="Arial" w:cs="Arial"/>
          <w:sz w:val="24"/>
          <w:szCs w:val="24"/>
        </w:rPr>
        <w:t xml:space="preserve">. </w:t>
      </w:r>
      <w:r w:rsidRPr="00183CE1">
        <w:rPr>
          <w:rFonts w:ascii="Arial" w:hAnsi="Arial" w:cs="Arial"/>
          <w:color w:val="000000"/>
          <w:sz w:val="24"/>
          <w:szCs w:val="24"/>
        </w:rPr>
        <w:t>Cardiff and Vale University Health Board</w:t>
      </w:r>
      <w:r w:rsidRPr="00183CE1">
        <w:rPr>
          <w:rFonts w:ascii="Arial" w:hAnsi="Arial" w:cs="Arial"/>
          <w:sz w:val="24"/>
          <w:szCs w:val="24"/>
        </w:rPr>
        <w:t xml:space="preserve"> is satisfied, based upon the responses to the contractor questionnaire, that the demand that this will create can be met by the existing pharmacies. The </w:t>
      </w:r>
      <w:r w:rsidRPr="00183CE1">
        <w:rPr>
          <w:rFonts w:ascii="Arial" w:hAnsi="Arial" w:cs="Arial"/>
          <w:color w:val="000000"/>
          <w:sz w:val="24"/>
          <w:szCs w:val="24"/>
        </w:rPr>
        <w:t xml:space="preserve">Cardiff and Vale University Health Board </w:t>
      </w:r>
      <w:r w:rsidRPr="00183CE1">
        <w:rPr>
          <w:rFonts w:ascii="Arial" w:hAnsi="Arial" w:cs="Arial"/>
          <w:sz w:val="24"/>
          <w:szCs w:val="24"/>
        </w:rPr>
        <w:t>has therefore concluded that there are no future needs in relation to the provision of essential services by pharmacies in the cluster</w:t>
      </w:r>
      <w:r w:rsidR="004A3B97" w:rsidRPr="00183CE1">
        <w:rPr>
          <w:rFonts w:ascii="Arial" w:hAnsi="Arial" w:cs="Arial"/>
          <w:sz w:val="24"/>
          <w:szCs w:val="24"/>
        </w:rPr>
        <w:t>.</w:t>
      </w:r>
    </w:p>
    <w:p w14:paraId="5E766DD5" w14:textId="77777777" w:rsidR="006E369F" w:rsidRPr="00183CE1" w:rsidRDefault="006E369F" w:rsidP="00DC54F7">
      <w:pPr>
        <w:spacing w:after="0" w:line="240" w:lineRule="auto"/>
        <w:jc w:val="both"/>
        <w:rPr>
          <w:rFonts w:ascii="Arial" w:hAnsi="Arial" w:cs="Arial"/>
          <w:sz w:val="24"/>
          <w:szCs w:val="24"/>
        </w:rPr>
      </w:pPr>
    </w:p>
    <w:p w14:paraId="00606138" w14:textId="77777777" w:rsidR="006E369F" w:rsidRPr="00183CE1" w:rsidRDefault="006E369F" w:rsidP="00DC54F7">
      <w:pPr>
        <w:spacing w:after="0" w:line="240" w:lineRule="auto"/>
        <w:jc w:val="both"/>
        <w:rPr>
          <w:rFonts w:ascii="Arial" w:hAnsi="Arial" w:cs="Arial"/>
          <w:sz w:val="24"/>
          <w:szCs w:val="24"/>
        </w:rPr>
      </w:pPr>
      <w:r w:rsidRPr="00183CE1">
        <w:rPr>
          <w:rFonts w:ascii="Arial" w:hAnsi="Arial" w:cs="Arial"/>
          <w:sz w:val="24"/>
          <w:szCs w:val="24"/>
        </w:rPr>
        <w:t xml:space="preserve">The </w:t>
      </w:r>
      <w:r w:rsidRPr="00183CE1">
        <w:rPr>
          <w:rFonts w:ascii="Arial" w:hAnsi="Arial" w:cs="Arial"/>
          <w:color w:val="000000"/>
          <w:sz w:val="24"/>
          <w:szCs w:val="24"/>
        </w:rPr>
        <w:t xml:space="preserve">Cardiff and Vale University Health Board </w:t>
      </w:r>
      <w:r w:rsidRPr="00183CE1">
        <w:rPr>
          <w:rFonts w:ascii="Arial" w:hAnsi="Arial" w:cs="Arial"/>
          <w:sz w:val="24"/>
          <w:szCs w:val="24"/>
        </w:rPr>
        <w:t>is also satisfied that, based upon the information contained in the preceding sections, there are no current or future gaps in the provision of advanced services and enhanced services.</w:t>
      </w:r>
    </w:p>
    <w:p w14:paraId="0C7E56D9" w14:textId="77777777" w:rsidR="006E369F" w:rsidRPr="00183CE1" w:rsidRDefault="006E369F" w:rsidP="00DC54F7">
      <w:pPr>
        <w:spacing w:after="0" w:line="240" w:lineRule="auto"/>
        <w:jc w:val="both"/>
        <w:rPr>
          <w:rFonts w:ascii="Arial" w:hAnsi="Arial" w:cs="Arial"/>
          <w:sz w:val="24"/>
          <w:szCs w:val="24"/>
        </w:rPr>
      </w:pPr>
    </w:p>
    <w:p w14:paraId="65D66A78" w14:textId="4062D704" w:rsidR="006E369F" w:rsidRDefault="006E369F" w:rsidP="00DC54F7">
      <w:pPr>
        <w:spacing w:after="0" w:line="240" w:lineRule="auto"/>
        <w:jc w:val="both"/>
        <w:rPr>
          <w:rFonts w:ascii="Arial" w:hAnsi="Arial" w:cs="Arial"/>
          <w:sz w:val="24"/>
          <w:szCs w:val="24"/>
        </w:rPr>
      </w:pPr>
      <w:r w:rsidRPr="00183CE1">
        <w:rPr>
          <w:rFonts w:ascii="Arial" w:hAnsi="Arial" w:cs="Arial"/>
          <w:sz w:val="24"/>
          <w:szCs w:val="24"/>
        </w:rPr>
        <w:t xml:space="preserve">The </w:t>
      </w:r>
      <w:r w:rsidRPr="00183CE1">
        <w:rPr>
          <w:rFonts w:ascii="Arial" w:hAnsi="Arial" w:cs="Arial"/>
          <w:color w:val="000000"/>
          <w:sz w:val="24"/>
          <w:szCs w:val="24"/>
        </w:rPr>
        <w:t xml:space="preserve">Cardiff and Vale University Health Board </w:t>
      </w:r>
      <w:r w:rsidRPr="00183CE1">
        <w:rPr>
          <w:rFonts w:ascii="Arial" w:hAnsi="Arial" w:cs="Arial"/>
          <w:sz w:val="24"/>
          <w:szCs w:val="24"/>
        </w:rPr>
        <w:t>will keep service provision under review but has concluded that there is no current or future need identified which requires an application for new or additional premises.</w:t>
      </w:r>
    </w:p>
    <w:p w14:paraId="2ADF859A" w14:textId="20F2438C" w:rsidR="00183CE1" w:rsidRDefault="00183CE1" w:rsidP="00DC54F7">
      <w:pPr>
        <w:spacing w:after="0" w:line="240" w:lineRule="auto"/>
        <w:jc w:val="both"/>
        <w:rPr>
          <w:rFonts w:ascii="Arial" w:hAnsi="Arial" w:cs="Arial"/>
          <w:sz w:val="24"/>
          <w:szCs w:val="24"/>
        </w:rPr>
      </w:pPr>
    </w:p>
    <w:p w14:paraId="09161021" w14:textId="0095A37B" w:rsidR="00183CE1" w:rsidRDefault="00183CE1" w:rsidP="00DC54F7">
      <w:pPr>
        <w:spacing w:after="0" w:line="240" w:lineRule="auto"/>
        <w:jc w:val="both"/>
        <w:rPr>
          <w:rFonts w:ascii="Arial" w:hAnsi="Arial" w:cs="Arial"/>
          <w:sz w:val="24"/>
          <w:szCs w:val="24"/>
        </w:rPr>
      </w:pPr>
    </w:p>
    <w:p w14:paraId="07AD690C" w14:textId="5C73AC1D" w:rsidR="00CD7A5C" w:rsidRDefault="00CD7A5C" w:rsidP="00DC54F7">
      <w:pPr>
        <w:jc w:val="both"/>
        <w:rPr>
          <w:rFonts w:ascii="Arial" w:hAnsi="Arial" w:cs="Arial"/>
          <w:sz w:val="24"/>
          <w:szCs w:val="24"/>
        </w:rPr>
      </w:pPr>
      <w:r>
        <w:rPr>
          <w:rFonts w:ascii="Arial" w:hAnsi="Arial" w:cs="Arial"/>
          <w:sz w:val="24"/>
          <w:szCs w:val="24"/>
        </w:rPr>
        <w:br w:type="page"/>
      </w:r>
    </w:p>
    <w:p w14:paraId="39F45482" w14:textId="266625C5" w:rsidR="0063382E" w:rsidRPr="00A10850" w:rsidRDefault="0041436D" w:rsidP="00DC54F7">
      <w:pPr>
        <w:pStyle w:val="Heading1"/>
        <w:spacing w:before="0" w:line="240" w:lineRule="auto"/>
        <w:jc w:val="both"/>
        <w:rPr>
          <w:rFonts w:cs="Arial"/>
          <w:color w:val="auto"/>
        </w:rPr>
      </w:pPr>
      <w:bookmarkStart w:id="43" w:name="_Toc81585105"/>
      <w:r>
        <w:rPr>
          <w:rFonts w:cs="Arial"/>
          <w:color w:val="auto"/>
        </w:rPr>
        <w:lastRenderedPageBreak/>
        <w:t>11</w:t>
      </w:r>
      <w:r w:rsidR="0063382E" w:rsidRPr="00A10850">
        <w:rPr>
          <w:rFonts w:cs="Arial"/>
          <w:color w:val="auto"/>
        </w:rPr>
        <w:t xml:space="preserve"> </w:t>
      </w:r>
      <w:r w:rsidR="0063382E">
        <w:rPr>
          <w:rFonts w:cs="Arial"/>
          <w:color w:val="auto"/>
        </w:rPr>
        <w:t xml:space="preserve">Cardiff </w:t>
      </w:r>
      <w:r w:rsidR="00184954">
        <w:rPr>
          <w:rFonts w:cs="Arial"/>
          <w:color w:val="auto"/>
        </w:rPr>
        <w:t>North</w:t>
      </w:r>
      <w:r w:rsidR="0063382E" w:rsidRPr="00A10850">
        <w:rPr>
          <w:rFonts w:cs="Arial"/>
          <w:color w:val="auto"/>
        </w:rPr>
        <w:t xml:space="preserve"> </w:t>
      </w:r>
      <w:r w:rsidR="00C92BF2">
        <w:rPr>
          <w:rFonts w:cs="Arial"/>
          <w:color w:val="auto"/>
        </w:rPr>
        <w:t>cluster</w:t>
      </w:r>
      <w:bookmarkEnd w:id="43"/>
    </w:p>
    <w:p w14:paraId="6D5ACA14" w14:textId="668D3D89" w:rsidR="0063382E" w:rsidRPr="001076A7" w:rsidRDefault="0063382E" w:rsidP="00DC54F7">
      <w:pPr>
        <w:pStyle w:val="Heading2"/>
        <w:spacing w:before="0" w:line="240" w:lineRule="auto"/>
        <w:jc w:val="both"/>
        <w:rPr>
          <w:rFonts w:cs="Arial"/>
          <w:color w:val="auto"/>
          <w:sz w:val="20"/>
          <w:szCs w:val="20"/>
          <w:highlight w:val="cyan"/>
        </w:rPr>
      </w:pPr>
    </w:p>
    <w:p w14:paraId="537E9C24" w14:textId="77777777" w:rsidR="00970A93" w:rsidRPr="00970A93" w:rsidRDefault="00970A93" w:rsidP="00DC54F7">
      <w:pPr>
        <w:spacing w:after="0" w:line="240" w:lineRule="auto"/>
        <w:jc w:val="both"/>
        <w:rPr>
          <w:highlight w:val="cyan"/>
        </w:rPr>
      </w:pPr>
    </w:p>
    <w:p w14:paraId="4F074CB6" w14:textId="799088FC" w:rsidR="0063382E" w:rsidRDefault="0041436D" w:rsidP="00DC54F7">
      <w:pPr>
        <w:spacing w:after="0" w:line="240" w:lineRule="auto"/>
        <w:jc w:val="both"/>
        <w:rPr>
          <w:rFonts w:ascii="Arial" w:hAnsi="Arial" w:cs="Arial"/>
          <w:b/>
          <w:sz w:val="26"/>
          <w:szCs w:val="26"/>
        </w:rPr>
      </w:pPr>
      <w:r>
        <w:rPr>
          <w:rFonts w:ascii="Arial" w:hAnsi="Arial" w:cs="Arial"/>
          <w:b/>
          <w:sz w:val="26"/>
          <w:szCs w:val="26"/>
        </w:rPr>
        <w:t>11</w:t>
      </w:r>
      <w:r w:rsidR="0063382E" w:rsidRPr="00A10850">
        <w:rPr>
          <w:rFonts w:ascii="Arial" w:hAnsi="Arial" w:cs="Arial"/>
          <w:b/>
          <w:sz w:val="26"/>
          <w:szCs w:val="26"/>
        </w:rPr>
        <w:t>.1 Key facts</w:t>
      </w:r>
    </w:p>
    <w:p w14:paraId="1EA10A8A" w14:textId="3BEDB04E" w:rsidR="003802B7" w:rsidRDefault="003802B7" w:rsidP="00DC54F7">
      <w:pPr>
        <w:spacing w:after="0" w:line="240" w:lineRule="auto"/>
        <w:jc w:val="both"/>
        <w:rPr>
          <w:rFonts w:ascii="Arial" w:hAnsi="Arial" w:cs="Arial"/>
          <w:bCs/>
        </w:rPr>
      </w:pPr>
    </w:p>
    <w:p w14:paraId="6B532E4C" w14:textId="04CAE3B3" w:rsidR="002966F7" w:rsidRPr="00015287" w:rsidRDefault="00193996" w:rsidP="00DC54F7">
      <w:pPr>
        <w:spacing w:after="0" w:line="240" w:lineRule="auto"/>
        <w:jc w:val="both"/>
        <w:rPr>
          <w:rFonts w:ascii="Arial" w:hAnsi="Arial" w:cs="Arial"/>
          <w:b/>
          <w:bCs/>
          <w:sz w:val="24"/>
          <w:szCs w:val="24"/>
        </w:rPr>
      </w:pPr>
      <w:r w:rsidRPr="00015287">
        <w:rPr>
          <w:rFonts w:ascii="Arial" w:hAnsi="Arial" w:cs="Arial"/>
          <w:b/>
          <w:bCs/>
          <w:sz w:val="24"/>
          <w:szCs w:val="24"/>
        </w:rPr>
        <w:t>11.</w:t>
      </w:r>
      <w:r w:rsidR="00B36DE4" w:rsidRPr="00015287">
        <w:rPr>
          <w:rFonts w:ascii="Arial" w:hAnsi="Arial" w:cs="Arial"/>
          <w:b/>
          <w:bCs/>
          <w:sz w:val="24"/>
          <w:szCs w:val="24"/>
        </w:rPr>
        <w:t xml:space="preserve">1.1 </w:t>
      </w:r>
      <w:r w:rsidR="002966F7" w:rsidRPr="00015287">
        <w:rPr>
          <w:rFonts w:ascii="Arial" w:hAnsi="Arial" w:cs="Arial"/>
          <w:b/>
          <w:bCs/>
          <w:sz w:val="24"/>
          <w:szCs w:val="24"/>
        </w:rPr>
        <w:t>Population and population projections 2018 to 2028 (2018 based)</w:t>
      </w:r>
    </w:p>
    <w:p w14:paraId="768E05BE" w14:textId="77777777" w:rsidR="002966F7" w:rsidRPr="00015287" w:rsidRDefault="002966F7" w:rsidP="00DC54F7">
      <w:pPr>
        <w:spacing w:after="0" w:line="240" w:lineRule="auto"/>
        <w:jc w:val="both"/>
        <w:rPr>
          <w:rFonts w:ascii="Arial" w:hAnsi="Arial" w:cs="Arial"/>
          <w:b/>
          <w:bCs/>
          <w:sz w:val="24"/>
          <w:szCs w:val="24"/>
        </w:rPr>
      </w:pPr>
    </w:p>
    <w:p w14:paraId="712413D1" w14:textId="77777777" w:rsidR="002966F7" w:rsidRPr="00015287" w:rsidRDefault="002966F7" w:rsidP="00DC54F7">
      <w:pPr>
        <w:spacing w:after="0" w:line="240" w:lineRule="auto"/>
        <w:jc w:val="both"/>
        <w:rPr>
          <w:rFonts w:ascii="Arial" w:hAnsi="Arial" w:cs="Arial"/>
          <w:sz w:val="24"/>
          <w:szCs w:val="24"/>
        </w:rPr>
      </w:pPr>
      <w:r w:rsidRPr="00015287">
        <w:rPr>
          <w:rFonts w:ascii="Arial" w:hAnsi="Arial" w:cs="Arial"/>
          <w:sz w:val="24"/>
          <w:szCs w:val="24"/>
        </w:rPr>
        <w:t xml:space="preserve">As cluster level population data is not routinely collected on an annual basis, </w:t>
      </w:r>
    </w:p>
    <w:p w14:paraId="10191CA9" w14:textId="77777777" w:rsidR="002966F7" w:rsidRPr="00015287" w:rsidRDefault="002966F7" w:rsidP="00DC54F7">
      <w:pPr>
        <w:spacing w:after="0" w:line="240" w:lineRule="auto"/>
        <w:jc w:val="both"/>
        <w:rPr>
          <w:rFonts w:ascii="Arial" w:hAnsi="Arial" w:cs="Arial"/>
          <w:sz w:val="24"/>
          <w:szCs w:val="24"/>
        </w:rPr>
      </w:pPr>
      <w:r w:rsidRPr="00015287">
        <w:rPr>
          <w:rFonts w:ascii="Arial" w:hAnsi="Arial" w:cs="Arial"/>
          <w:sz w:val="24"/>
          <w:szCs w:val="24"/>
        </w:rPr>
        <w:t>GP registered patient data has been used to provide an indication of cluster population, and local authority based data has been used to provide an indication of population projections.</w:t>
      </w:r>
    </w:p>
    <w:p w14:paraId="2E6D29E1" w14:textId="77777777" w:rsidR="002966F7" w:rsidRPr="00015287" w:rsidRDefault="002966F7" w:rsidP="00DC54F7">
      <w:pPr>
        <w:spacing w:after="0" w:line="240" w:lineRule="auto"/>
        <w:jc w:val="both"/>
        <w:rPr>
          <w:rFonts w:ascii="Arial" w:hAnsi="Arial" w:cs="Arial"/>
          <w:sz w:val="24"/>
          <w:szCs w:val="24"/>
        </w:rPr>
      </w:pPr>
    </w:p>
    <w:p w14:paraId="2CEC7634" w14:textId="77777777" w:rsidR="002966F7" w:rsidRPr="002861BC" w:rsidRDefault="002966F7" w:rsidP="00DC54F7">
      <w:pPr>
        <w:spacing w:after="0" w:line="240" w:lineRule="auto"/>
        <w:jc w:val="both"/>
        <w:rPr>
          <w:rFonts w:ascii="Arial" w:hAnsi="Arial" w:cs="Arial"/>
          <w:sz w:val="24"/>
          <w:szCs w:val="24"/>
        </w:rPr>
      </w:pPr>
      <w:r w:rsidRPr="00015287">
        <w:rPr>
          <w:rFonts w:ascii="Arial" w:hAnsi="Arial" w:cs="Arial"/>
          <w:sz w:val="24"/>
          <w:szCs w:val="24"/>
        </w:rPr>
        <w:t>Note that GP registered population data is higher than the corresponding census based mid-year population estimates provided by the Office of National Statistics (ONS) at the local authority and health board level, as outlined in section 2.2. This is most likely due to over registered or ‘ghost patients’ caused by many different factors.</w:t>
      </w:r>
    </w:p>
    <w:p w14:paraId="067F7E17" w14:textId="77777777" w:rsidR="002966F7" w:rsidRDefault="002966F7" w:rsidP="00DC54F7">
      <w:pPr>
        <w:spacing w:after="0" w:line="240" w:lineRule="auto"/>
        <w:jc w:val="both"/>
        <w:rPr>
          <w:rFonts w:ascii="Arial" w:hAnsi="Arial" w:cs="Arial"/>
          <w:b/>
          <w:i/>
          <w:iCs/>
          <w:sz w:val="24"/>
          <w:szCs w:val="24"/>
        </w:rPr>
      </w:pPr>
    </w:p>
    <w:p w14:paraId="6414D99F" w14:textId="4BB26250" w:rsidR="002966F7" w:rsidRDefault="002966F7" w:rsidP="00DC54F7">
      <w:pPr>
        <w:spacing w:after="0" w:line="240" w:lineRule="auto"/>
        <w:jc w:val="both"/>
        <w:rPr>
          <w:rFonts w:ascii="Arial" w:hAnsi="Arial" w:cs="Arial"/>
          <w:b/>
          <w:sz w:val="24"/>
          <w:szCs w:val="24"/>
        </w:rPr>
      </w:pPr>
      <w:r w:rsidRPr="00015287">
        <w:rPr>
          <w:rFonts w:ascii="Arial" w:hAnsi="Arial" w:cs="Arial"/>
          <w:b/>
          <w:sz w:val="24"/>
          <w:szCs w:val="24"/>
        </w:rPr>
        <w:t>Table 11: Number of GP registered patients by gender and broad age groups and by cluster, local authority and health board (2019)</w:t>
      </w:r>
    </w:p>
    <w:tbl>
      <w:tblPr>
        <w:tblW w:w="9360" w:type="dxa"/>
        <w:tblLook w:val="04A0" w:firstRow="1" w:lastRow="0" w:firstColumn="1" w:lastColumn="0" w:noHBand="0" w:noVBand="1"/>
      </w:tblPr>
      <w:tblGrid>
        <w:gridCol w:w="2280"/>
        <w:gridCol w:w="1180"/>
        <w:gridCol w:w="1180"/>
        <w:gridCol w:w="1180"/>
        <w:gridCol w:w="1123"/>
        <w:gridCol w:w="997"/>
        <w:gridCol w:w="1420"/>
      </w:tblGrid>
      <w:tr w:rsidR="008563CF" w:rsidRPr="008563CF" w14:paraId="663AFEA0" w14:textId="77777777" w:rsidTr="008563CF">
        <w:trPr>
          <w:trHeight w:val="290"/>
        </w:trPr>
        <w:tc>
          <w:tcPr>
            <w:tcW w:w="2280" w:type="dxa"/>
            <w:tcBorders>
              <w:top w:val="single" w:sz="4" w:space="0" w:color="auto"/>
              <w:left w:val="single" w:sz="4" w:space="0" w:color="auto"/>
              <w:bottom w:val="nil"/>
              <w:right w:val="nil"/>
            </w:tcBorders>
            <w:shd w:val="clear" w:color="000000" w:fill="8497B0"/>
            <w:noWrap/>
            <w:vAlign w:val="bottom"/>
            <w:hideMark/>
          </w:tcPr>
          <w:p w14:paraId="735E41C7"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 </w:t>
            </w:r>
          </w:p>
        </w:tc>
        <w:tc>
          <w:tcPr>
            <w:tcW w:w="1180" w:type="dxa"/>
            <w:tcBorders>
              <w:top w:val="single" w:sz="4" w:space="0" w:color="auto"/>
              <w:left w:val="nil"/>
              <w:bottom w:val="nil"/>
              <w:right w:val="nil"/>
            </w:tcBorders>
            <w:shd w:val="clear" w:color="000000" w:fill="8497B0"/>
            <w:noWrap/>
            <w:vAlign w:val="bottom"/>
            <w:hideMark/>
          </w:tcPr>
          <w:p w14:paraId="020E6BFA"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Year</w:t>
            </w:r>
          </w:p>
        </w:tc>
        <w:tc>
          <w:tcPr>
            <w:tcW w:w="2360" w:type="dxa"/>
            <w:gridSpan w:val="2"/>
            <w:tcBorders>
              <w:top w:val="single" w:sz="4" w:space="0" w:color="auto"/>
              <w:left w:val="nil"/>
              <w:bottom w:val="nil"/>
              <w:right w:val="nil"/>
            </w:tcBorders>
            <w:shd w:val="clear" w:color="000000" w:fill="8497B0"/>
            <w:noWrap/>
            <w:vAlign w:val="bottom"/>
            <w:hideMark/>
          </w:tcPr>
          <w:p w14:paraId="7E5112E2"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Gender</w:t>
            </w:r>
          </w:p>
        </w:tc>
        <w:tc>
          <w:tcPr>
            <w:tcW w:w="3540" w:type="dxa"/>
            <w:gridSpan w:val="3"/>
            <w:tcBorders>
              <w:top w:val="single" w:sz="4" w:space="0" w:color="auto"/>
              <w:left w:val="nil"/>
              <w:bottom w:val="nil"/>
              <w:right w:val="single" w:sz="4" w:space="0" w:color="000000"/>
            </w:tcBorders>
            <w:shd w:val="clear" w:color="000000" w:fill="8497B0"/>
            <w:noWrap/>
            <w:vAlign w:val="bottom"/>
            <w:hideMark/>
          </w:tcPr>
          <w:p w14:paraId="074E69BC"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Age range</w:t>
            </w:r>
          </w:p>
        </w:tc>
      </w:tr>
      <w:tr w:rsidR="008563CF" w:rsidRPr="008563CF" w14:paraId="52E5C05F" w14:textId="77777777" w:rsidTr="008563CF">
        <w:trPr>
          <w:trHeight w:val="290"/>
        </w:trPr>
        <w:tc>
          <w:tcPr>
            <w:tcW w:w="2280" w:type="dxa"/>
            <w:tcBorders>
              <w:top w:val="nil"/>
              <w:left w:val="single" w:sz="4" w:space="0" w:color="auto"/>
              <w:bottom w:val="nil"/>
              <w:right w:val="nil"/>
            </w:tcBorders>
            <w:shd w:val="clear" w:color="000000" w:fill="8497B0"/>
            <w:noWrap/>
            <w:vAlign w:val="bottom"/>
            <w:hideMark/>
          </w:tcPr>
          <w:p w14:paraId="00473C36"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 </w:t>
            </w:r>
          </w:p>
        </w:tc>
        <w:tc>
          <w:tcPr>
            <w:tcW w:w="1180" w:type="dxa"/>
            <w:tcBorders>
              <w:top w:val="nil"/>
              <w:left w:val="nil"/>
              <w:bottom w:val="nil"/>
              <w:right w:val="nil"/>
            </w:tcBorders>
            <w:shd w:val="clear" w:color="000000" w:fill="8497B0"/>
            <w:noWrap/>
            <w:vAlign w:val="bottom"/>
            <w:hideMark/>
          </w:tcPr>
          <w:p w14:paraId="47DD8F4D"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2019</w:t>
            </w:r>
          </w:p>
        </w:tc>
        <w:tc>
          <w:tcPr>
            <w:tcW w:w="1180" w:type="dxa"/>
            <w:tcBorders>
              <w:top w:val="nil"/>
              <w:left w:val="nil"/>
              <w:bottom w:val="nil"/>
              <w:right w:val="nil"/>
            </w:tcBorders>
            <w:shd w:val="clear" w:color="000000" w:fill="8497B0"/>
            <w:noWrap/>
            <w:vAlign w:val="bottom"/>
            <w:hideMark/>
          </w:tcPr>
          <w:p w14:paraId="19CF52D8"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Female</w:t>
            </w:r>
          </w:p>
        </w:tc>
        <w:tc>
          <w:tcPr>
            <w:tcW w:w="1180" w:type="dxa"/>
            <w:tcBorders>
              <w:top w:val="nil"/>
              <w:left w:val="nil"/>
              <w:bottom w:val="nil"/>
              <w:right w:val="nil"/>
            </w:tcBorders>
            <w:shd w:val="clear" w:color="000000" w:fill="8497B0"/>
            <w:noWrap/>
            <w:vAlign w:val="bottom"/>
            <w:hideMark/>
          </w:tcPr>
          <w:p w14:paraId="41A9F07A"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Male</w:t>
            </w:r>
          </w:p>
        </w:tc>
        <w:tc>
          <w:tcPr>
            <w:tcW w:w="1123" w:type="dxa"/>
            <w:tcBorders>
              <w:top w:val="nil"/>
              <w:left w:val="nil"/>
              <w:bottom w:val="nil"/>
              <w:right w:val="nil"/>
            </w:tcBorders>
            <w:shd w:val="clear" w:color="000000" w:fill="8497B0"/>
            <w:noWrap/>
            <w:vAlign w:val="bottom"/>
            <w:hideMark/>
          </w:tcPr>
          <w:p w14:paraId="2F7B4127"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Under 65</w:t>
            </w:r>
          </w:p>
        </w:tc>
        <w:tc>
          <w:tcPr>
            <w:tcW w:w="997" w:type="dxa"/>
            <w:tcBorders>
              <w:top w:val="nil"/>
              <w:left w:val="nil"/>
              <w:bottom w:val="nil"/>
              <w:right w:val="nil"/>
            </w:tcBorders>
            <w:shd w:val="clear" w:color="000000" w:fill="8497B0"/>
            <w:noWrap/>
            <w:vAlign w:val="bottom"/>
            <w:hideMark/>
          </w:tcPr>
          <w:p w14:paraId="267F3DED"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65 to 84</w:t>
            </w:r>
          </w:p>
        </w:tc>
        <w:tc>
          <w:tcPr>
            <w:tcW w:w="1420" w:type="dxa"/>
            <w:tcBorders>
              <w:top w:val="nil"/>
              <w:left w:val="nil"/>
              <w:bottom w:val="nil"/>
              <w:right w:val="single" w:sz="4" w:space="0" w:color="auto"/>
            </w:tcBorders>
            <w:shd w:val="clear" w:color="000000" w:fill="8497B0"/>
            <w:noWrap/>
            <w:vAlign w:val="bottom"/>
            <w:hideMark/>
          </w:tcPr>
          <w:p w14:paraId="7A776EE2"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85 and over</w:t>
            </w:r>
          </w:p>
        </w:tc>
      </w:tr>
      <w:tr w:rsidR="008563CF" w:rsidRPr="008563CF" w14:paraId="3DFED78D" w14:textId="77777777" w:rsidTr="008563CF">
        <w:trPr>
          <w:trHeight w:val="290"/>
        </w:trPr>
        <w:tc>
          <w:tcPr>
            <w:tcW w:w="2280" w:type="dxa"/>
            <w:tcBorders>
              <w:top w:val="nil"/>
              <w:left w:val="single" w:sz="4" w:space="0" w:color="auto"/>
              <w:bottom w:val="nil"/>
              <w:right w:val="nil"/>
            </w:tcBorders>
            <w:shd w:val="clear" w:color="000000" w:fill="F2F2F2"/>
            <w:noWrap/>
            <w:vAlign w:val="bottom"/>
            <w:hideMark/>
          </w:tcPr>
          <w:p w14:paraId="5311E87C"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Cardiff North</w:t>
            </w:r>
          </w:p>
        </w:tc>
        <w:tc>
          <w:tcPr>
            <w:tcW w:w="1180" w:type="dxa"/>
            <w:tcBorders>
              <w:top w:val="nil"/>
              <w:left w:val="nil"/>
              <w:bottom w:val="nil"/>
              <w:right w:val="nil"/>
            </w:tcBorders>
            <w:shd w:val="clear" w:color="000000" w:fill="F2F2F2"/>
            <w:noWrap/>
            <w:vAlign w:val="bottom"/>
            <w:hideMark/>
          </w:tcPr>
          <w:p w14:paraId="7110AD11"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102641</w:t>
            </w:r>
          </w:p>
        </w:tc>
        <w:tc>
          <w:tcPr>
            <w:tcW w:w="1180" w:type="dxa"/>
            <w:tcBorders>
              <w:top w:val="nil"/>
              <w:left w:val="nil"/>
              <w:bottom w:val="nil"/>
              <w:right w:val="nil"/>
            </w:tcBorders>
            <w:shd w:val="clear" w:color="000000" w:fill="F2F2F2"/>
            <w:noWrap/>
            <w:vAlign w:val="bottom"/>
            <w:hideMark/>
          </w:tcPr>
          <w:p w14:paraId="27CC6515"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52463</w:t>
            </w:r>
          </w:p>
        </w:tc>
        <w:tc>
          <w:tcPr>
            <w:tcW w:w="1180" w:type="dxa"/>
            <w:tcBorders>
              <w:top w:val="nil"/>
              <w:left w:val="nil"/>
              <w:bottom w:val="nil"/>
              <w:right w:val="nil"/>
            </w:tcBorders>
            <w:shd w:val="clear" w:color="000000" w:fill="F2F2F2"/>
            <w:noWrap/>
            <w:vAlign w:val="bottom"/>
            <w:hideMark/>
          </w:tcPr>
          <w:p w14:paraId="674E8C80"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50178</w:t>
            </w:r>
          </w:p>
        </w:tc>
        <w:tc>
          <w:tcPr>
            <w:tcW w:w="1123" w:type="dxa"/>
            <w:tcBorders>
              <w:top w:val="nil"/>
              <w:left w:val="nil"/>
              <w:bottom w:val="nil"/>
              <w:right w:val="nil"/>
            </w:tcBorders>
            <w:shd w:val="clear" w:color="000000" w:fill="F2F2F2"/>
            <w:noWrap/>
            <w:vAlign w:val="bottom"/>
            <w:hideMark/>
          </w:tcPr>
          <w:p w14:paraId="4B70FB57"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85786</w:t>
            </w:r>
          </w:p>
        </w:tc>
        <w:tc>
          <w:tcPr>
            <w:tcW w:w="997" w:type="dxa"/>
            <w:tcBorders>
              <w:top w:val="nil"/>
              <w:left w:val="nil"/>
              <w:bottom w:val="nil"/>
              <w:right w:val="nil"/>
            </w:tcBorders>
            <w:shd w:val="clear" w:color="000000" w:fill="F2F2F2"/>
            <w:noWrap/>
            <w:vAlign w:val="bottom"/>
            <w:hideMark/>
          </w:tcPr>
          <w:p w14:paraId="48672793"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14147</w:t>
            </w:r>
          </w:p>
        </w:tc>
        <w:tc>
          <w:tcPr>
            <w:tcW w:w="1420" w:type="dxa"/>
            <w:tcBorders>
              <w:top w:val="nil"/>
              <w:left w:val="nil"/>
              <w:bottom w:val="nil"/>
              <w:right w:val="single" w:sz="4" w:space="0" w:color="auto"/>
            </w:tcBorders>
            <w:shd w:val="clear" w:color="000000" w:fill="F2F2F2"/>
            <w:noWrap/>
            <w:vAlign w:val="bottom"/>
            <w:hideMark/>
          </w:tcPr>
          <w:p w14:paraId="38660C9E"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2708</w:t>
            </w:r>
          </w:p>
        </w:tc>
      </w:tr>
      <w:tr w:rsidR="008563CF" w:rsidRPr="008563CF" w14:paraId="3C58CA46" w14:textId="77777777" w:rsidTr="008563CF">
        <w:trPr>
          <w:trHeight w:val="290"/>
        </w:trPr>
        <w:tc>
          <w:tcPr>
            <w:tcW w:w="2280" w:type="dxa"/>
            <w:tcBorders>
              <w:top w:val="nil"/>
              <w:left w:val="single" w:sz="4" w:space="0" w:color="auto"/>
              <w:bottom w:val="nil"/>
              <w:right w:val="nil"/>
            </w:tcBorders>
            <w:shd w:val="clear" w:color="auto" w:fill="auto"/>
            <w:noWrap/>
            <w:vAlign w:val="bottom"/>
            <w:hideMark/>
          </w:tcPr>
          <w:p w14:paraId="74A00101"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Cardiff</w:t>
            </w:r>
          </w:p>
        </w:tc>
        <w:tc>
          <w:tcPr>
            <w:tcW w:w="1180" w:type="dxa"/>
            <w:tcBorders>
              <w:top w:val="nil"/>
              <w:left w:val="nil"/>
              <w:bottom w:val="nil"/>
              <w:right w:val="nil"/>
            </w:tcBorders>
            <w:shd w:val="clear" w:color="auto" w:fill="auto"/>
            <w:noWrap/>
            <w:vAlign w:val="bottom"/>
            <w:hideMark/>
          </w:tcPr>
          <w:p w14:paraId="395379D3"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389619</w:t>
            </w:r>
          </w:p>
        </w:tc>
        <w:tc>
          <w:tcPr>
            <w:tcW w:w="1180" w:type="dxa"/>
            <w:tcBorders>
              <w:top w:val="nil"/>
              <w:left w:val="nil"/>
              <w:bottom w:val="nil"/>
              <w:right w:val="nil"/>
            </w:tcBorders>
            <w:shd w:val="clear" w:color="auto" w:fill="auto"/>
            <w:noWrap/>
            <w:vAlign w:val="bottom"/>
            <w:hideMark/>
          </w:tcPr>
          <w:p w14:paraId="5275743C"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193044</w:t>
            </w:r>
          </w:p>
        </w:tc>
        <w:tc>
          <w:tcPr>
            <w:tcW w:w="1180" w:type="dxa"/>
            <w:tcBorders>
              <w:top w:val="nil"/>
              <w:left w:val="nil"/>
              <w:bottom w:val="nil"/>
              <w:right w:val="nil"/>
            </w:tcBorders>
            <w:shd w:val="clear" w:color="auto" w:fill="auto"/>
            <w:noWrap/>
            <w:vAlign w:val="bottom"/>
            <w:hideMark/>
          </w:tcPr>
          <w:p w14:paraId="7EF900CD"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196575</w:t>
            </w:r>
          </w:p>
        </w:tc>
        <w:tc>
          <w:tcPr>
            <w:tcW w:w="1123" w:type="dxa"/>
            <w:tcBorders>
              <w:top w:val="nil"/>
              <w:left w:val="nil"/>
              <w:bottom w:val="nil"/>
              <w:right w:val="nil"/>
            </w:tcBorders>
            <w:shd w:val="clear" w:color="auto" w:fill="auto"/>
            <w:noWrap/>
            <w:vAlign w:val="bottom"/>
            <w:hideMark/>
          </w:tcPr>
          <w:p w14:paraId="31A0C4F7"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335252</w:t>
            </w:r>
          </w:p>
        </w:tc>
        <w:tc>
          <w:tcPr>
            <w:tcW w:w="997" w:type="dxa"/>
            <w:tcBorders>
              <w:top w:val="nil"/>
              <w:left w:val="nil"/>
              <w:bottom w:val="nil"/>
              <w:right w:val="nil"/>
            </w:tcBorders>
            <w:shd w:val="clear" w:color="auto" w:fill="auto"/>
            <w:noWrap/>
            <w:vAlign w:val="bottom"/>
            <w:hideMark/>
          </w:tcPr>
          <w:p w14:paraId="7FB10162"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46599</w:t>
            </w:r>
          </w:p>
        </w:tc>
        <w:tc>
          <w:tcPr>
            <w:tcW w:w="1420" w:type="dxa"/>
            <w:tcBorders>
              <w:top w:val="nil"/>
              <w:left w:val="nil"/>
              <w:bottom w:val="nil"/>
              <w:right w:val="single" w:sz="4" w:space="0" w:color="auto"/>
            </w:tcBorders>
            <w:shd w:val="clear" w:color="auto" w:fill="auto"/>
            <w:noWrap/>
            <w:vAlign w:val="bottom"/>
            <w:hideMark/>
          </w:tcPr>
          <w:p w14:paraId="448EFBA5"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7768</w:t>
            </w:r>
          </w:p>
        </w:tc>
      </w:tr>
      <w:tr w:rsidR="008563CF" w:rsidRPr="008563CF" w14:paraId="3A07C7FD" w14:textId="77777777" w:rsidTr="008563CF">
        <w:trPr>
          <w:trHeight w:val="290"/>
        </w:trPr>
        <w:tc>
          <w:tcPr>
            <w:tcW w:w="2280" w:type="dxa"/>
            <w:tcBorders>
              <w:top w:val="nil"/>
              <w:left w:val="single" w:sz="4" w:space="0" w:color="auto"/>
              <w:bottom w:val="single" w:sz="4" w:space="0" w:color="auto"/>
              <w:right w:val="nil"/>
            </w:tcBorders>
            <w:shd w:val="clear" w:color="000000" w:fill="F2F2F2"/>
            <w:noWrap/>
            <w:vAlign w:val="bottom"/>
            <w:hideMark/>
          </w:tcPr>
          <w:p w14:paraId="3554B765"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Cardiff and Vale UHB</w:t>
            </w:r>
          </w:p>
        </w:tc>
        <w:tc>
          <w:tcPr>
            <w:tcW w:w="1180" w:type="dxa"/>
            <w:tcBorders>
              <w:top w:val="nil"/>
              <w:left w:val="nil"/>
              <w:bottom w:val="single" w:sz="4" w:space="0" w:color="auto"/>
              <w:right w:val="nil"/>
            </w:tcBorders>
            <w:shd w:val="clear" w:color="000000" w:fill="F2F2F2"/>
            <w:noWrap/>
            <w:vAlign w:val="bottom"/>
            <w:hideMark/>
          </w:tcPr>
          <w:p w14:paraId="0E0C80FA"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521177</w:t>
            </w:r>
          </w:p>
        </w:tc>
        <w:tc>
          <w:tcPr>
            <w:tcW w:w="1180" w:type="dxa"/>
            <w:tcBorders>
              <w:top w:val="nil"/>
              <w:left w:val="nil"/>
              <w:bottom w:val="single" w:sz="4" w:space="0" w:color="auto"/>
              <w:right w:val="nil"/>
            </w:tcBorders>
            <w:shd w:val="clear" w:color="000000" w:fill="F2F2F2"/>
            <w:noWrap/>
            <w:vAlign w:val="bottom"/>
            <w:hideMark/>
          </w:tcPr>
          <w:p w14:paraId="10BC9DC9"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260027</w:t>
            </w:r>
          </w:p>
        </w:tc>
        <w:tc>
          <w:tcPr>
            <w:tcW w:w="1180" w:type="dxa"/>
            <w:tcBorders>
              <w:top w:val="nil"/>
              <w:left w:val="nil"/>
              <w:bottom w:val="single" w:sz="4" w:space="0" w:color="auto"/>
              <w:right w:val="nil"/>
            </w:tcBorders>
            <w:shd w:val="clear" w:color="000000" w:fill="F2F2F2"/>
            <w:noWrap/>
            <w:vAlign w:val="bottom"/>
            <w:hideMark/>
          </w:tcPr>
          <w:p w14:paraId="2EFDECE1"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261150</w:t>
            </w:r>
          </w:p>
        </w:tc>
        <w:tc>
          <w:tcPr>
            <w:tcW w:w="1123" w:type="dxa"/>
            <w:tcBorders>
              <w:top w:val="nil"/>
              <w:left w:val="nil"/>
              <w:bottom w:val="single" w:sz="4" w:space="0" w:color="auto"/>
              <w:right w:val="nil"/>
            </w:tcBorders>
            <w:shd w:val="clear" w:color="000000" w:fill="F2F2F2"/>
            <w:noWrap/>
            <w:vAlign w:val="bottom"/>
            <w:hideMark/>
          </w:tcPr>
          <w:p w14:paraId="5E754ACE"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439365</w:t>
            </w:r>
          </w:p>
        </w:tc>
        <w:tc>
          <w:tcPr>
            <w:tcW w:w="997" w:type="dxa"/>
            <w:tcBorders>
              <w:top w:val="nil"/>
              <w:left w:val="nil"/>
              <w:bottom w:val="single" w:sz="4" w:space="0" w:color="auto"/>
              <w:right w:val="nil"/>
            </w:tcBorders>
            <w:shd w:val="clear" w:color="000000" w:fill="F2F2F2"/>
            <w:noWrap/>
            <w:vAlign w:val="bottom"/>
            <w:hideMark/>
          </w:tcPr>
          <w:p w14:paraId="54C39D39"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70412</w:t>
            </w:r>
          </w:p>
        </w:tc>
        <w:tc>
          <w:tcPr>
            <w:tcW w:w="1420" w:type="dxa"/>
            <w:tcBorders>
              <w:top w:val="nil"/>
              <w:left w:val="nil"/>
              <w:bottom w:val="single" w:sz="4" w:space="0" w:color="auto"/>
              <w:right w:val="single" w:sz="4" w:space="0" w:color="auto"/>
            </w:tcBorders>
            <w:shd w:val="clear" w:color="000000" w:fill="F2F2F2"/>
            <w:noWrap/>
            <w:vAlign w:val="bottom"/>
            <w:hideMark/>
          </w:tcPr>
          <w:p w14:paraId="6F736C1F" w14:textId="77777777" w:rsidR="008563CF" w:rsidRPr="008563CF" w:rsidRDefault="008563CF" w:rsidP="00DC54F7">
            <w:pPr>
              <w:spacing w:after="0" w:line="240" w:lineRule="auto"/>
              <w:jc w:val="both"/>
              <w:rPr>
                <w:rFonts w:ascii="Calibri" w:eastAsia="Times New Roman" w:hAnsi="Calibri" w:cs="Calibri"/>
                <w:color w:val="000000"/>
                <w:lang w:eastAsia="en-GB"/>
              </w:rPr>
            </w:pPr>
            <w:r w:rsidRPr="008563CF">
              <w:rPr>
                <w:rFonts w:ascii="Calibri" w:eastAsia="Times New Roman" w:hAnsi="Calibri" w:cs="Calibri"/>
                <w:color w:val="000000"/>
                <w:lang w:eastAsia="en-GB"/>
              </w:rPr>
              <w:t>11400</w:t>
            </w:r>
          </w:p>
        </w:tc>
      </w:tr>
    </w:tbl>
    <w:p w14:paraId="03AEFE01" w14:textId="2ED52767" w:rsidR="002966F7" w:rsidRPr="007164F7" w:rsidRDefault="008563CF" w:rsidP="00DC54F7">
      <w:pPr>
        <w:spacing w:after="0" w:line="240" w:lineRule="auto"/>
        <w:jc w:val="both"/>
        <w:rPr>
          <w:rFonts w:ascii="Arial" w:hAnsi="Arial" w:cs="Arial"/>
          <w:b/>
          <w:bCs/>
          <w:sz w:val="20"/>
          <w:szCs w:val="20"/>
        </w:rPr>
      </w:pPr>
      <w:r w:rsidRPr="007164F7">
        <w:rPr>
          <w:rFonts w:ascii="Arial" w:hAnsi="Arial" w:cs="Arial"/>
          <w:sz w:val="20"/>
          <w:szCs w:val="20"/>
        </w:rPr>
        <w:t>Source: StatsWales - NHS Wales Shared Services Partnership</w:t>
      </w:r>
      <w:r w:rsidRPr="007164F7">
        <w:rPr>
          <w:rFonts w:ascii="Arial" w:hAnsi="Arial" w:cs="Arial"/>
          <w:b/>
          <w:bCs/>
          <w:sz w:val="20"/>
          <w:szCs w:val="20"/>
        </w:rPr>
        <w:t>.</w:t>
      </w:r>
    </w:p>
    <w:p w14:paraId="3A1B2EC2" w14:textId="77777777" w:rsidR="006515A0" w:rsidRDefault="006515A0" w:rsidP="00DC54F7">
      <w:pPr>
        <w:spacing w:after="0" w:line="240" w:lineRule="auto"/>
        <w:jc w:val="both"/>
        <w:rPr>
          <w:rFonts w:ascii="Arial" w:hAnsi="Arial" w:cs="Arial"/>
        </w:rPr>
      </w:pPr>
    </w:p>
    <w:p w14:paraId="765EC772" w14:textId="5C1C05E6" w:rsidR="0008459A" w:rsidRPr="00B36DE4" w:rsidRDefault="0008459A" w:rsidP="00DC54F7">
      <w:pPr>
        <w:spacing w:after="0" w:line="240" w:lineRule="auto"/>
        <w:jc w:val="both"/>
        <w:rPr>
          <w:rFonts w:ascii="Arial" w:hAnsi="Arial" w:cs="Arial"/>
          <w:sz w:val="24"/>
          <w:szCs w:val="24"/>
        </w:rPr>
      </w:pPr>
      <w:r w:rsidRPr="00B36DE4">
        <w:rPr>
          <w:rFonts w:ascii="Arial" w:hAnsi="Arial" w:cs="Arial"/>
          <w:sz w:val="24"/>
          <w:szCs w:val="24"/>
        </w:rPr>
        <w:t>Between 2018 to 2028, the population of Cardiff is projected to increase by up to 3.2%, the sixth largest percentage increase of all the local authorities within Wales. It is expected to have a population of around 375,700 by 2028, making it the largest local authority in Wales. Unlike all other local authorities, the increase in population will mainly be driven by natural change i.e. more births than deaths and a smaller proportion of the increase will be due to net migration i.e. more people moving into the area than out. Cardiff has the highest level of projected international migration of all the local authorities. The population is expected to increase across all broad age groups, except the 0 to 15 years old where a decrease is predicted.  The largest population increases will be in the over 65 age group followed by the working-age population aged 16 to 64 years. The population is projected to continue to age in the local authority.</w:t>
      </w:r>
    </w:p>
    <w:p w14:paraId="28917ED3" w14:textId="09610FF5" w:rsidR="003802B7" w:rsidRDefault="003802B7" w:rsidP="00DC54F7">
      <w:pPr>
        <w:spacing w:after="0" w:line="240" w:lineRule="auto"/>
        <w:jc w:val="both"/>
        <w:rPr>
          <w:rFonts w:ascii="Arial" w:hAnsi="Arial" w:cs="Arial"/>
          <w:bCs/>
        </w:rPr>
      </w:pPr>
    </w:p>
    <w:p w14:paraId="6BADE592" w14:textId="77777777" w:rsidR="003F5B17" w:rsidRDefault="003F5B17" w:rsidP="00DC54F7">
      <w:pPr>
        <w:spacing w:after="0" w:line="240" w:lineRule="auto"/>
        <w:jc w:val="both"/>
        <w:rPr>
          <w:rFonts w:ascii="Arial" w:hAnsi="Arial" w:cs="Arial"/>
          <w:bCs/>
        </w:rPr>
      </w:pPr>
    </w:p>
    <w:p w14:paraId="769FE391" w14:textId="3EAD3489" w:rsidR="00616929" w:rsidRPr="00B36DE4" w:rsidRDefault="008138DD" w:rsidP="00DC54F7">
      <w:pPr>
        <w:spacing w:after="0" w:line="240" w:lineRule="auto"/>
        <w:jc w:val="both"/>
        <w:rPr>
          <w:rFonts w:ascii="Arial" w:hAnsi="Arial" w:cs="Arial"/>
          <w:b/>
          <w:bCs/>
          <w:sz w:val="24"/>
          <w:szCs w:val="24"/>
        </w:rPr>
      </w:pPr>
      <w:r>
        <w:rPr>
          <w:rFonts w:ascii="Arial" w:hAnsi="Arial" w:cs="Arial"/>
          <w:b/>
          <w:bCs/>
          <w:sz w:val="24"/>
          <w:szCs w:val="24"/>
        </w:rPr>
        <w:t xml:space="preserve">11.1.2. </w:t>
      </w:r>
      <w:r w:rsidR="00616929" w:rsidRPr="00B36DE4">
        <w:rPr>
          <w:rFonts w:ascii="Arial" w:hAnsi="Arial" w:cs="Arial"/>
          <w:b/>
          <w:bCs/>
          <w:sz w:val="24"/>
          <w:szCs w:val="24"/>
        </w:rPr>
        <w:t>Life expectancy, healthy life expectancy and the ‘inequality gap’</w:t>
      </w:r>
    </w:p>
    <w:p w14:paraId="6EEA30AD" w14:textId="77777777" w:rsidR="00616929" w:rsidRPr="00B36DE4" w:rsidRDefault="00616929" w:rsidP="00DC54F7">
      <w:pPr>
        <w:spacing w:after="0" w:line="240" w:lineRule="auto"/>
        <w:jc w:val="both"/>
        <w:rPr>
          <w:rFonts w:ascii="Arial" w:hAnsi="Arial" w:cs="Arial"/>
          <w:b/>
          <w:bCs/>
          <w:sz w:val="24"/>
          <w:szCs w:val="24"/>
        </w:rPr>
      </w:pPr>
    </w:p>
    <w:p w14:paraId="295A588E" w14:textId="77777777" w:rsidR="00616929" w:rsidRPr="00B36DE4" w:rsidRDefault="00616929" w:rsidP="00DC54F7">
      <w:pPr>
        <w:spacing w:after="0" w:line="240" w:lineRule="auto"/>
        <w:jc w:val="both"/>
        <w:rPr>
          <w:rFonts w:ascii="Arial" w:hAnsi="Arial" w:cs="Arial"/>
          <w:sz w:val="24"/>
          <w:szCs w:val="24"/>
        </w:rPr>
      </w:pPr>
      <w:r w:rsidRPr="00B36DE4">
        <w:rPr>
          <w:rFonts w:ascii="Arial" w:hAnsi="Arial" w:cs="Arial"/>
          <w:sz w:val="24"/>
          <w:szCs w:val="24"/>
        </w:rPr>
        <w:t>Life expectancy at birth in Cardiff is better than the average for Wales for both females and males. The difference in life expectancy that exists across an area between the most and least deprived areas is referred to as the ‘inequality gap’. The inequality gap in life expectancy at birth between the most and least deprived fifth, for Cardiff is wider than the average for Wales for both males and females. The healthy life expectancy (the number of years a person can expect to live in good health) in Cardiff is lower than the average for Wales for both females and males.</w:t>
      </w:r>
    </w:p>
    <w:p w14:paraId="0A04153C" w14:textId="77777777" w:rsidR="00616929" w:rsidRDefault="00616929" w:rsidP="00DC54F7">
      <w:pPr>
        <w:spacing w:after="0" w:line="240" w:lineRule="auto"/>
        <w:jc w:val="both"/>
        <w:rPr>
          <w:rFonts w:ascii="Arial" w:hAnsi="Arial" w:cs="Arial"/>
          <w:b/>
          <w:bCs/>
        </w:rPr>
      </w:pPr>
    </w:p>
    <w:p w14:paraId="59AF4383" w14:textId="73ECDD51" w:rsidR="00616929" w:rsidRPr="008138DD" w:rsidRDefault="00616929" w:rsidP="00DC54F7">
      <w:pPr>
        <w:spacing w:after="0" w:line="240" w:lineRule="auto"/>
        <w:jc w:val="both"/>
        <w:rPr>
          <w:rFonts w:ascii="Arial" w:hAnsi="Arial" w:cs="Arial"/>
          <w:b/>
          <w:bCs/>
          <w:sz w:val="24"/>
          <w:szCs w:val="24"/>
        </w:rPr>
      </w:pPr>
      <w:r w:rsidRPr="008138DD">
        <w:rPr>
          <w:rFonts w:ascii="Arial" w:hAnsi="Arial" w:cs="Arial"/>
          <w:b/>
          <w:bCs/>
          <w:sz w:val="24"/>
          <w:szCs w:val="24"/>
        </w:rPr>
        <w:t xml:space="preserve">Table 11.1: Life expectancy, healthy life expectancy and the ‘inequality gap’ (2015 to 2017) </w:t>
      </w:r>
    </w:p>
    <w:tbl>
      <w:tblPr>
        <w:tblW w:w="9271"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263"/>
        <w:gridCol w:w="1168"/>
        <w:gridCol w:w="1168"/>
        <w:gridCol w:w="1168"/>
        <w:gridCol w:w="1168"/>
        <w:gridCol w:w="1168"/>
        <w:gridCol w:w="1168"/>
      </w:tblGrid>
      <w:tr w:rsidR="003F4621" w:rsidRPr="00847226" w14:paraId="50B80D18" w14:textId="77777777" w:rsidTr="00AA572E">
        <w:trPr>
          <w:trHeight w:val="281"/>
        </w:trPr>
        <w:tc>
          <w:tcPr>
            <w:tcW w:w="2263" w:type="dxa"/>
            <w:shd w:val="clear" w:color="000000" w:fill="8497B0"/>
            <w:noWrap/>
            <w:vAlign w:val="bottom"/>
            <w:hideMark/>
          </w:tcPr>
          <w:p w14:paraId="52E5A4C7" w14:textId="77777777" w:rsidR="003F4621" w:rsidRPr="008138DD" w:rsidRDefault="003F4621" w:rsidP="00DC54F7">
            <w:pPr>
              <w:spacing w:after="0" w:line="240" w:lineRule="auto"/>
              <w:jc w:val="both"/>
              <w:rPr>
                <w:rFonts w:ascii="Calibri" w:eastAsia="Times New Roman" w:hAnsi="Calibri" w:cs="Calibri"/>
                <w:lang w:eastAsia="en-GB"/>
              </w:rPr>
            </w:pPr>
            <w:r w:rsidRPr="008138DD">
              <w:rPr>
                <w:rFonts w:ascii="Calibri" w:eastAsia="Times New Roman" w:hAnsi="Calibri" w:cs="Calibri"/>
                <w:lang w:eastAsia="en-GB"/>
              </w:rPr>
              <w:t> </w:t>
            </w:r>
          </w:p>
        </w:tc>
        <w:tc>
          <w:tcPr>
            <w:tcW w:w="2336" w:type="dxa"/>
            <w:gridSpan w:val="2"/>
            <w:shd w:val="clear" w:color="000000" w:fill="8497B0"/>
            <w:noWrap/>
            <w:vAlign w:val="bottom"/>
            <w:hideMark/>
          </w:tcPr>
          <w:p w14:paraId="4EEF465A" w14:textId="77777777" w:rsidR="003F4621" w:rsidRPr="008138DD" w:rsidRDefault="003F4621" w:rsidP="00DC54F7">
            <w:pPr>
              <w:spacing w:after="0" w:line="240" w:lineRule="auto"/>
              <w:jc w:val="both"/>
              <w:rPr>
                <w:rFonts w:ascii="Calibri" w:eastAsia="Times New Roman" w:hAnsi="Calibri" w:cs="Calibri"/>
                <w:b/>
                <w:bCs/>
                <w:color w:val="FFFFFF"/>
                <w:lang w:eastAsia="en-GB"/>
              </w:rPr>
            </w:pPr>
            <w:r w:rsidRPr="008138DD">
              <w:rPr>
                <w:rFonts w:ascii="Calibri" w:eastAsia="Times New Roman" w:hAnsi="Calibri" w:cs="Calibri"/>
                <w:b/>
                <w:bCs/>
                <w:color w:val="FFFFFF"/>
                <w:lang w:eastAsia="en-GB"/>
              </w:rPr>
              <w:t>Life expectancy at birth (years)</w:t>
            </w:r>
          </w:p>
        </w:tc>
        <w:tc>
          <w:tcPr>
            <w:tcW w:w="2336" w:type="dxa"/>
            <w:gridSpan w:val="2"/>
            <w:shd w:val="clear" w:color="000000" w:fill="8497B0"/>
            <w:noWrap/>
            <w:vAlign w:val="bottom"/>
            <w:hideMark/>
          </w:tcPr>
          <w:p w14:paraId="4C6ABF4A" w14:textId="77777777" w:rsidR="003F4621" w:rsidRPr="008138DD" w:rsidRDefault="003F4621" w:rsidP="00DC54F7">
            <w:pPr>
              <w:spacing w:after="0" w:line="240" w:lineRule="auto"/>
              <w:jc w:val="both"/>
              <w:rPr>
                <w:rFonts w:ascii="Calibri" w:eastAsia="Times New Roman" w:hAnsi="Calibri" w:cs="Calibri"/>
                <w:b/>
                <w:bCs/>
                <w:color w:val="FFFFFF"/>
                <w:lang w:eastAsia="en-GB"/>
              </w:rPr>
            </w:pPr>
            <w:r w:rsidRPr="008138DD">
              <w:rPr>
                <w:rFonts w:ascii="Calibri" w:eastAsia="Times New Roman" w:hAnsi="Calibri" w:cs="Calibri"/>
                <w:b/>
                <w:bCs/>
                <w:color w:val="FFFFFF"/>
                <w:lang w:eastAsia="en-GB"/>
              </w:rPr>
              <w:t>Healthy life expectancy (years)</w:t>
            </w:r>
          </w:p>
        </w:tc>
        <w:tc>
          <w:tcPr>
            <w:tcW w:w="2336" w:type="dxa"/>
            <w:gridSpan w:val="2"/>
            <w:shd w:val="clear" w:color="000000" w:fill="8497B0"/>
            <w:noWrap/>
            <w:vAlign w:val="bottom"/>
            <w:hideMark/>
          </w:tcPr>
          <w:p w14:paraId="6F86C75E" w14:textId="77777777" w:rsidR="00007582" w:rsidRDefault="003F4621" w:rsidP="00DC54F7">
            <w:pPr>
              <w:spacing w:after="0" w:line="240" w:lineRule="auto"/>
              <w:jc w:val="both"/>
              <w:rPr>
                <w:rFonts w:ascii="Calibri" w:eastAsia="Times New Roman" w:hAnsi="Calibri" w:cs="Calibri"/>
                <w:b/>
                <w:bCs/>
                <w:color w:val="FFFFFF"/>
                <w:lang w:eastAsia="en-GB"/>
              </w:rPr>
            </w:pPr>
            <w:r w:rsidRPr="008138DD">
              <w:rPr>
                <w:rFonts w:ascii="Calibri" w:eastAsia="Times New Roman" w:hAnsi="Calibri" w:cs="Calibri"/>
                <w:b/>
                <w:bCs/>
                <w:color w:val="FFFFFF"/>
                <w:lang w:eastAsia="en-GB"/>
              </w:rPr>
              <w:t>Inequality gap</w:t>
            </w:r>
          </w:p>
          <w:p w14:paraId="3639567F" w14:textId="5DF733B0" w:rsidR="003F4621" w:rsidRPr="008138DD" w:rsidRDefault="003F4621" w:rsidP="00DC54F7">
            <w:pPr>
              <w:spacing w:after="0" w:line="240" w:lineRule="auto"/>
              <w:jc w:val="both"/>
              <w:rPr>
                <w:rFonts w:ascii="Calibri" w:eastAsia="Times New Roman" w:hAnsi="Calibri" w:cs="Calibri"/>
                <w:b/>
                <w:bCs/>
                <w:color w:val="FFFFFF"/>
                <w:lang w:eastAsia="en-GB"/>
              </w:rPr>
            </w:pPr>
            <w:r w:rsidRPr="008138DD">
              <w:rPr>
                <w:rFonts w:ascii="Calibri" w:eastAsia="Times New Roman" w:hAnsi="Calibri" w:cs="Calibri"/>
                <w:b/>
                <w:bCs/>
                <w:color w:val="FFFFFF"/>
                <w:lang w:eastAsia="en-GB"/>
              </w:rPr>
              <w:t xml:space="preserve"> (years)</w:t>
            </w:r>
          </w:p>
        </w:tc>
      </w:tr>
      <w:tr w:rsidR="003F4621" w:rsidRPr="00847226" w14:paraId="770167CF" w14:textId="77777777" w:rsidTr="00AA572E">
        <w:trPr>
          <w:trHeight w:val="281"/>
        </w:trPr>
        <w:tc>
          <w:tcPr>
            <w:tcW w:w="2263" w:type="dxa"/>
            <w:shd w:val="clear" w:color="000000" w:fill="8497B0"/>
            <w:noWrap/>
            <w:vAlign w:val="bottom"/>
            <w:hideMark/>
          </w:tcPr>
          <w:p w14:paraId="3FDB2C15" w14:textId="77777777" w:rsidR="003F4621" w:rsidRPr="008138DD" w:rsidRDefault="003F4621" w:rsidP="00DC54F7">
            <w:pPr>
              <w:spacing w:after="0" w:line="240" w:lineRule="auto"/>
              <w:jc w:val="both"/>
              <w:rPr>
                <w:rFonts w:ascii="Calibri" w:eastAsia="Times New Roman" w:hAnsi="Calibri" w:cs="Calibri"/>
                <w:b/>
                <w:bCs/>
                <w:color w:val="FFFFFF"/>
                <w:lang w:eastAsia="en-GB"/>
              </w:rPr>
            </w:pPr>
            <w:r w:rsidRPr="008138DD">
              <w:rPr>
                <w:rFonts w:ascii="Calibri" w:eastAsia="Times New Roman" w:hAnsi="Calibri" w:cs="Calibri"/>
                <w:b/>
                <w:bCs/>
                <w:color w:val="FFFFFF"/>
                <w:lang w:eastAsia="en-GB"/>
              </w:rPr>
              <w:t> </w:t>
            </w:r>
          </w:p>
        </w:tc>
        <w:tc>
          <w:tcPr>
            <w:tcW w:w="1168" w:type="dxa"/>
            <w:shd w:val="clear" w:color="000000" w:fill="8497B0"/>
            <w:vAlign w:val="center"/>
            <w:hideMark/>
          </w:tcPr>
          <w:p w14:paraId="5636FDB7" w14:textId="77777777" w:rsidR="003F4621" w:rsidRPr="008138DD" w:rsidRDefault="003F4621" w:rsidP="00DC54F7">
            <w:pPr>
              <w:spacing w:after="0" w:line="240" w:lineRule="auto"/>
              <w:jc w:val="both"/>
              <w:rPr>
                <w:rFonts w:ascii="Calibri" w:eastAsia="Times New Roman" w:hAnsi="Calibri" w:cs="Calibri"/>
                <w:b/>
                <w:bCs/>
                <w:color w:val="FFFFFF"/>
                <w:lang w:eastAsia="en-GB"/>
              </w:rPr>
            </w:pPr>
            <w:r w:rsidRPr="008138DD">
              <w:rPr>
                <w:rFonts w:ascii="Calibri" w:eastAsia="Times New Roman" w:hAnsi="Calibri" w:cs="Calibri"/>
                <w:b/>
                <w:bCs/>
                <w:color w:val="FFFFFF"/>
                <w:lang w:eastAsia="en-GB"/>
              </w:rPr>
              <w:t>Females</w:t>
            </w:r>
          </w:p>
        </w:tc>
        <w:tc>
          <w:tcPr>
            <w:tcW w:w="1168" w:type="dxa"/>
            <w:shd w:val="clear" w:color="000000" w:fill="8497B0"/>
            <w:vAlign w:val="center"/>
            <w:hideMark/>
          </w:tcPr>
          <w:p w14:paraId="16B03863" w14:textId="77777777" w:rsidR="003F4621" w:rsidRPr="008138DD" w:rsidRDefault="003F4621" w:rsidP="00DC54F7">
            <w:pPr>
              <w:spacing w:after="0" w:line="240" w:lineRule="auto"/>
              <w:jc w:val="both"/>
              <w:rPr>
                <w:rFonts w:ascii="Calibri" w:eastAsia="Times New Roman" w:hAnsi="Calibri" w:cs="Calibri"/>
                <w:b/>
                <w:bCs/>
                <w:color w:val="FFFFFF"/>
                <w:lang w:eastAsia="en-GB"/>
              </w:rPr>
            </w:pPr>
            <w:r w:rsidRPr="008138DD">
              <w:rPr>
                <w:rFonts w:ascii="Calibri" w:eastAsia="Times New Roman" w:hAnsi="Calibri" w:cs="Calibri"/>
                <w:b/>
                <w:bCs/>
                <w:color w:val="FFFFFF"/>
                <w:lang w:eastAsia="en-GB"/>
              </w:rPr>
              <w:t>Males</w:t>
            </w:r>
          </w:p>
        </w:tc>
        <w:tc>
          <w:tcPr>
            <w:tcW w:w="1168" w:type="dxa"/>
            <w:shd w:val="clear" w:color="000000" w:fill="8497B0"/>
            <w:vAlign w:val="center"/>
            <w:hideMark/>
          </w:tcPr>
          <w:p w14:paraId="016FFED1" w14:textId="77777777" w:rsidR="003F4621" w:rsidRPr="008138DD" w:rsidRDefault="003F4621" w:rsidP="00DC54F7">
            <w:pPr>
              <w:spacing w:after="0" w:line="240" w:lineRule="auto"/>
              <w:jc w:val="both"/>
              <w:rPr>
                <w:rFonts w:ascii="Calibri" w:eastAsia="Times New Roman" w:hAnsi="Calibri" w:cs="Calibri"/>
                <w:b/>
                <w:bCs/>
                <w:color w:val="FFFFFF"/>
                <w:lang w:eastAsia="en-GB"/>
              </w:rPr>
            </w:pPr>
            <w:r w:rsidRPr="008138DD">
              <w:rPr>
                <w:rFonts w:ascii="Calibri" w:eastAsia="Times New Roman" w:hAnsi="Calibri" w:cs="Calibri"/>
                <w:b/>
                <w:bCs/>
                <w:color w:val="FFFFFF"/>
                <w:lang w:eastAsia="en-GB"/>
              </w:rPr>
              <w:t>Females</w:t>
            </w:r>
          </w:p>
        </w:tc>
        <w:tc>
          <w:tcPr>
            <w:tcW w:w="1168" w:type="dxa"/>
            <w:shd w:val="clear" w:color="000000" w:fill="8497B0"/>
            <w:vAlign w:val="center"/>
            <w:hideMark/>
          </w:tcPr>
          <w:p w14:paraId="408F4B07" w14:textId="77777777" w:rsidR="003F4621" w:rsidRPr="008138DD" w:rsidRDefault="003F4621" w:rsidP="00DC54F7">
            <w:pPr>
              <w:spacing w:after="0" w:line="240" w:lineRule="auto"/>
              <w:jc w:val="both"/>
              <w:rPr>
                <w:rFonts w:ascii="Calibri" w:eastAsia="Times New Roman" w:hAnsi="Calibri" w:cs="Calibri"/>
                <w:b/>
                <w:bCs/>
                <w:color w:val="FFFFFF"/>
                <w:lang w:eastAsia="en-GB"/>
              </w:rPr>
            </w:pPr>
            <w:r w:rsidRPr="008138DD">
              <w:rPr>
                <w:rFonts w:ascii="Calibri" w:eastAsia="Times New Roman" w:hAnsi="Calibri" w:cs="Calibri"/>
                <w:b/>
                <w:bCs/>
                <w:color w:val="FFFFFF"/>
                <w:lang w:eastAsia="en-GB"/>
              </w:rPr>
              <w:t>Males</w:t>
            </w:r>
          </w:p>
        </w:tc>
        <w:tc>
          <w:tcPr>
            <w:tcW w:w="1168" w:type="dxa"/>
            <w:shd w:val="clear" w:color="000000" w:fill="8497B0"/>
            <w:vAlign w:val="center"/>
            <w:hideMark/>
          </w:tcPr>
          <w:p w14:paraId="543E20BD" w14:textId="77777777" w:rsidR="003F4621" w:rsidRPr="008138DD" w:rsidRDefault="003F4621" w:rsidP="00DC54F7">
            <w:pPr>
              <w:spacing w:after="0" w:line="240" w:lineRule="auto"/>
              <w:jc w:val="both"/>
              <w:rPr>
                <w:rFonts w:ascii="Calibri" w:eastAsia="Times New Roman" w:hAnsi="Calibri" w:cs="Calibri"/>
                <w:b/>
                <w:bCs/>
                <w:color w:val="FFFFFF"/>
                <w:lang w:eastAsia="en-GB"/>
              </w:rPr>
            </w:pPr>
            <w:r w:rsidRPr="008138DD">
              <w:rPr>
                <w:rFonts w:ascii="Calibri" w:eastAsia="Times New Roman" w:hAnsi="Calibri" w:cs="Calibri"/>
                <w:b/>
                <w:bCs/>
                <w:color w:val="FFFFFF"/>
                <w:lang w:eastAsia="en-GB"/>
              </w:rPr>
              <w:t>Females</w:t>
            </w:r>
          </w:p>
        </w:tc>
        <w:tc>
          <w:tcPr>
            <w:tcW w:w="1168" w:type="dxa"/>
            <w:shd w:val="clear" w:color="000000" w:fill="8497B0"/>
            <w:vAlign w:val="center"/>
            <w:hideMark/>
          </w:tcPr>
          <w:p w14:paraId="6E7AC5C1" w14:textId="77777777" w:rsidR="003F4621" w:rsidRPr="008138DD" w:rsidRDefault="003F4621" w:rsidP="00DC54F7">
            <w:pPr>
              <w:spacing w:after="0" w:line="240" w:lineRule="auto"/>
              <w:jc w:val="both"/>
              <w:rPr>
                <w:rFonts w:ascii="Calibri" w:eastAsia="Times New Roman" w:hAnsi="Calibri" w:cs="Calibri"/>
                <w:b/>
                <w:bCs/>
                <w:color w:val="FFFFFF"/>
                <w:lang w:eastAsia="en-GB"/>
              </w:rPr>
            </w:pPr>
            <w:r w:rsidRPr="008138DD">
              <w:rPr>
                <w:rFonts w:ascii="Calibri" w:eastAsia="Times New Roman" w:hAnsi="Calibri" w:cs="Calibri"/>
                <w:b/>
                <w:bCs/>
                <w:color w:val="FFFFFF"/>
                <w:lang w:eastAsia="en-GB"/>
              </w:rPr>
              <w:t>Males</w:t>
            </w:r>
          </w:p>
        </w:tc>
      </w:tr>
      <w:tr w:rsidR="003F4621" w:rsidRPr="00847226" w14:paraId="12CF0C8C" w14:textId="77777777" w:rsidTr="00AA572E">
        <w:trPr>
          <w:trHeight w:val="281"/>
        </w:trPr>
        <w:tc>
          <w:tcPr>
            <w:tcW w:w="2263" w:type="dxa"/>
            <w:shd w:val="clear" w:color="000000" w:fill="F2F2F2"/>
            <w:noWrap/>
            <w:vAlign w:val="bottom"/>
            <w:hideMark/>
          </w:tcPr>
          <w:p w14:paraId="0BF86338"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 xml:space="preserve">Cardiff </w:t>
            </w:r>
          </w:p>
        </w:tc>
        <w:tc>
          <w:tcPr>
            <w:tcW w:w="1168" w:type="dxa"/>
            <w:shd w:val="clear" w:color="000000" w:fill="F2F2F2"/>
            <w:noWrap/>
            <w:vAlign w:val="bottom"/>
            <w:hideMark/>
          </w:tcPr>
          <w:p w14:paraId="530307ED"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82.7</w:t>
            </w:r>
          </w:p>
        </w:tc>
        <w:tc>
          <w:tcPr>
            <w:tcW w:w="1168" w:type="dxa"/>
            <w:shd w:val="clear" w:color="000000" w:fill="F2F2F2"/>
            <w:noWrap/>
            <w:vAlign w:val="bottom"/>
            <w:hideMark/>
          </w:tcPr>
          <w:p w14:paraId="3653EBDC"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78.5</w:t>
            </w:r>
          </w:p>
        </w:tc>
        <w:tc>
          <w:tcPr>
            <w:tcW w:w="1168" w:type="dxa"/>
            <w:shd w:val="clear" w:color="000000" w:fill="F2F2F2"/>
            <w:noWrap/>
            <w:vAlign w:val="bottom"/>
            <w:hideMark/>
          </w:tcPr>
          <w:p w14:paraId="4C8C2BD1"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61.1</w:t>
            </w:r>
          </w:p>
        </w:tc>
        <w:tc>
          <w:tcPr>
            <w:tcW w:w="1168" w:type="dxa"/>
            <w:shd w:val="clear" w:color="000000" w:fill="F2F2F2"/>
            <w:noWrap/>
            <w:vAlign w:val="bottom"/>
            <w:hideMark/>
          </w:tcPr>
          <w:p w14:paraId="3879C30C"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61.2</w:t>
            </w:r>
          </w:p>
        </w:tc>
        <w:tc>
          <w:tcPr>
            <w:tcW w:w="1168" w:type="dxa"/>
            <w:shd w:val="clear" w:color="000000" w:fill="F2F2F2"/>
            <w:noWrap/>
            <w:vAlign w:val="bottom"/>
            <w:hideMark/>
          </w:tcPr>
          <w:p w14:paraId="323C8032"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6.9</w:t>
            </w:r>
          </w:p>
        </w:tc>
        <w:tc>
          <w:tcPr>
            <w:tcW w:w="1168" w:type="dxa"/>
            <w:shd w:val="clear" w:color="000000" w:fill="F2F2F2"/>
            <w:noWrap/>
            <w:vAlign w:val="bottom"/>
            <w:hideMark/>
          </w:tcPr>
          <w:p w14:paraId="560EDA06"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9.2</w:t>
            </w:r>
          </w:p>
        </w:tc>
      </w:tr>
      <w:tr w:rsidR="003F4621" w:rsidRPr="00847226" w14:paraId="4D97F600" w14:textId="77777777" w:rsidTr="00AA572E">
        <w:trPr>
          <w:trHeight w:val="281"/>
        </w:trPr>
        <w:tc>
          <w:tcPr>
            <w:tcW w:w="2263" w:type="dxa"/>
            <w:shd w:val="clear" w:color="auto" w:fill="auto"/>
            <w:noWrap/>
            <w:vAlign w:val="bottom"/>
            <w:hideMark/>
          </w:tcPr>
          <w:p w14:paraId="2C210DB5"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Cardiff and Vale UHB</w:t>
            </w:r>
          </w:p>
        </w:tc>
        <w:tc>
          <w:tcPr>
            <w:tcW w:w="1168" w:type="dxa"/>
            <w:shd w:val="clear" w:color="auto" w:fill="auto"/>
            <w:noWrap/>
            <w:vAlign w:val="bottom"/>
            <w:hideMark/>
          </w:tcPr>
          <w:p w14:paraId="0B17B119"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83.0</w:t>
            </w:r>
          </w:p>
        </w:tc>
        <w:tc>
          <w:tcPr>
            <w:tcW w:w="1168" w:type="dxa"/>
            <w:shd w:val="clear" w:color="auto" w:fill="auto"/>
            <w:noWrap/>
            <w:vAlign w:val="bottom"/>
            <w:hideMark/>
          </w:tcPr>
          <w:p w14:paraId="26F1C57B"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78.7</w:t>
            </w:r>
          </w:p>
        </w:tc>
        <w:tc>
          <w:tcPr>
            <w:tcW w:w="1168" w:type="dxa"/>
            <w:shd w:val="clear" w:color="auto" w:fill="auto"/>
            <w:noWrap/>
            <w:vAlign w:val="bottom"/>
            <w:hideMark/>
          </w:tcPr>
          <w:p w14:paraId="2431B868"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62.0</w:t>
            </w:r>
          </w:p>
        </w:tc>
        <w:tc>
          <w:tcPr>
            <w:tcW w:w="1168" w:type="dxa"/>
            <w:shd w:val="clear" w:color="auto" w:fill="auto"/>
            <w:noWrap/>
            <w:vAlign w:val="bottom"/>
            <w:hideMark/>
          </w:tcPr>
          <w:p w14:paraId="227C3484"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61.9</w:t>
            </w:r>
          </w:p>
        </w:tc>
        <w:tc>
          <w:tcPr>
            <w:tcW w:w="1168" w:type="dxa"/>
            <w:shd w:val="clear" w:color="auto" w:fill="auto"/>
            <w:noWrap/>
            <w:vAlign w:val="bottom"/>
            <w:hideMark/>
          </w:tcPr>
          <w:p w14:paraId="11F7716A"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6.6</w:t>
            </w:r>
          </w:p>
        </w:tc>
        <w:tc>
          <w:tcPr>
            <w:tcW w:w="1168" w:type="dxa"/>
            <w:shd w:val="clear" w:color="auto" w:fill="auto"/>
            <w:noWrap/>
            <w:vAlign w:val="bottom"/>
            <w:hideMark/>
          </w:tcPr>
          <w:p w14:paraId="5CC6B198"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8.6</w:t>
            </w:r>
          </w:p>
        </w:tc>
      </w:tr>
      <w:tr w:rsidR="003F4621" w:rsidRPr="00847226" w14:paraId="2363F92B" w14:textId="77777777" w:rsidTr="00AA572E">
        <w:trPr>
          <w:trHeight w:val="281"/>
        </w:trPr>
        <w:tc>
          <w:tcPr>
            <w:tcW w:w="2263" w:type="dxa"/>
            <w:shd w:val="clear" w:color="000000" w:fill="F2F2F2"/>
            <w:noWrap/>
            <w:vAlign w:val="bottom"/>
            <w:hideMark/>
          </w:tcPr>
          <w:p w14:paraId="59C53969"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Wales</w:t>
            </w:r>
          </w:p>
        </w:tc>
        <w:tc>
          <w:tcPr>
            <w:tcW w:w="1168" w:type="dxa"/>
            <w:shd w:val="clear" w:color="000000" w:fill="F2F2F2"/>
            <w:noWrap/>
            <w:vAlign w:val="bottom"/>
            <w:hideMark/>
          </w:tcPr>
          <w:p w14:paraId="7E38620F"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82.3</w:t>
            </w:r>
          </w:p>
        </w:tc>
        <w:tc>
          <w:tcPr>
            <w:tcW w:w="1168" w:type="dxa"/>
            <w:shd w:val="clear" w:color="000000" w:fill="F2F2F2"/>
            <w:noWrap/>
            <w:vAlign w:val="bottom"/>
            <w:hideMark/>
          </w:tcPr>
          <w:p w14:paraId="5416CF63"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78.3</w:t>
            </w:r>
          </w:p>
        </w:tc>
        <w:tc>
          <w:tcPr>
            <w:tcW w:w="1168" w:type="dxa"/>
            <w:shd w:val="clear" w:color="000000" w:fill="F2F2F2"/>
            <w:noWrap/>
            <w:vAlign w:val="bottom"/>
            <w:hideMark/>
          </w:tcPr>
          <w:p w14:paraId="0A1EDF36"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62.0</w:t>
            </w:r>
          </w:p>
        </w:tc>
        <w:tc>
          <w:tcPr>
            <w:tcW w:w="1168" w:type="dxa"/>
            <w:shd w:val="clear" w:color="000000" w:fill="F2F2F2"/>
            <w:noWrap/>
            <w:vAlign w:val="bottom"/>
            <w:hideMark/>
          </w:tcPr>
          <w:p w14:paraId="5D65D0B7"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61.4</w:t>
            </w:r>
          </w:p>
        </w:tc>
        <w:tc>
          <w:tcPr>
            <w:tcW w:w="1168" w:type="dxa"/>
            <w:shd w:val="clear" w:color="000000" w:fill="F2F2F2"/>
            <w:noWrap/>
            <w:vAlign w:val="bottom"/>
            <w:hideMark/>
          </w:tcPr>
          <w:p w14:paraId="2604DBDE"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6.1</w:t>
            </w:r>
          </w:p>
        </w:tc>
        <w:tc>
          <w:tcPr>
            <w:tcW w:w="1168" w:type="dxa"/>
            <w:shd w:val="clear" w:color="000000" w:fill="F2F2F2"/>
            <w:noWrap/>
            <w:vAlign w:val="bottom"/>
            <w:hideMark/>
          </w:tcPr>
          <w:p w14:paraId="23738FE5" w14:textId="77777777" w:rsidR="003F4621" w:rsidRPr="008138DD" w:rsidRDefault="003F4621" w:rsidP="00DC54F7">
            <w:pPr>
              <w:spacing w:after="0" w:line="240" w:lineRule="auto"/>
              <w:jc w:val="both"/>
              <w:rPr>
                <w:rFonts w:ascii="Calibri" w:eastAsia="Times New Roman" w:hAnsi="Calibri" w:cs="Calibri"/>
                <w:color w:val="000000"/>
                <w:lang w:eastAsia="en-GB"/>
              </w:rPr>
            </w:pPr>
            <w:r w:rsidRPr="008138DD">
              <w:rPr>
                <w:rFonts w:ascii="Calibri" w:eastAsia="Times New Roman" w:hAnsi="Calibri" w:cs="Calibri"/>
                <w:color w:val="000000"/>
                <w:lang w:eastAsia="en-GB"/>
              </w:rPr>
              <w:t>7.4</w:t>
            </w:r>
          </w:p>
        </w:tc>
      </w:tr>
    </w:tbl>
    <w:p w14:paraId="695132CE" w14:textId="77777777" w:rsidR="00616929" w:rsidRPr="008138DD" w:rsidRDefault="00616929" w:rsidP="00DC54F7">
      <w:pPr>
        <w:spacing w:after="0" w:line="240" w:lineRule="auto"/>
        <w:jc w:val="both"/>
        <w:rPr>
          <w:rFonts w:ascii="Arial" w:hAnsi="Arial" w:cs="Arial"/>
          <w:sz w:val="20"/>
          <w:szCs w:val="20"/>
        </w:rPr>
      </w:pPr>
      <w:r w:rsidRPr="008138DD">
        <w:rPr>
          <w:rFonts w:ascii="Arial" w:hAnsi="Arial" w:cs="Arial"/>
          <w:sz w:val="20"/>
          <w:szCs w:val="20"/>
        </w:rPr>
        <w:t>Source: Public Health Wales Observatory PHOF Tool (2017) using ONS and WG data</w:t>
      </w:r>
    </w:p>
    <w:p w14:paraId="6B16F15C" w14:textId="094CFB64" w:rsidR="00616929" w:rsidRDefault="00616929" w:rsidP="00DC54F7">
      <w:pPr>
        <w:spacing w:after="0" w:line="240" w:lineRule="auto"/>
        <w:jc w:val="both"/>
        <w:rPr>
          <w:rFonts w:ascii="Arial" w:hAnsi="Arial" w:cs="Arial"/>
          <w:sz w:val="20"/>
          <w:szCs w:val="20"/>
        </w:rPr>
      </w:pPr>
    </w:p>
    <w:p w14:paraId="6954EDCA" w14:textId="77777777" w:rsidR="003F5B17" w:rsidRPr="008138DD" w:rsidRDefault="003F5B17" w:rsidP="00DC54F7">
      <w:pPr>
        <w:spacing w:after="0" w:line="240" w:lineRule="auto"/>
        <w:jc w:val="both"/>
        <w:rPr>
          <w:rFonts w:ascii="Arial" w:hAnsi="Arial" w:cs="Arial"/>
          <w:sz w:val="20"/>
          <w:szCs w:val="20"/>
        </w:rPr>
      </w:pPr>
    </w:p>
    <w:p w14:paraId="6A363F2B" w14:textId="54CAA3BB" w:rsidR="00616929" w:rsidRPr="003F4621" w:rsidRDefault="00007582" w:rsidP="00DC54F7">
      <w:pPr>
        <w:spacing w:after="0" w:line="240" w:lineRule="auto"/>
        <w:jc w:val="both"/>
        <w:rPr>
          <w:rFonts w:ascii="Arial" w:hAnsi="Arial" w:cs="Arial"/>
          <w:b/>
          <w:bCs/>
          <w:sz w:val="24"/>
          <w:szCs w:val="24"/>
        </w:rPr>
      </w:pPr>
      <w:r>
        <w:rPr>
          <w:rFonts w:ascii="Arial" w:hAnsi="Arial" w:cs="Arial"/>
          <w:b/>
          <w:bCs/>
          <w:sz w:val="24"/>
          <w:szCs w:val="24"/>
        </w:rPr>
        <w:t xml:space="preserve">11.1.3 </w:t>
      </w:r>
      <w:r w:rsidR="00616929" w:rsidRPr="003F4621">
        <w:rPr>
          <w:rFonts w:ascii="Arial" w:hAnsi="Arial" w:cs="Arial"/>
          <w:b/>
          <w:bCs/>
          <w:sz w:val="24"/>
          <w:szCs w:val="24"/>
        </w:rPr>
        <w:t>Deprivation</w:t>
      </w:r>
    </w:p>
    <w:p w14:paraId="3E22526D" w14:textId="77777777" w:rsidR="00616929" w:rsidRDefault="00616929" w:rsidP="00DC54F7">
      <w:pPr>
        <w:spacing w:after="0" w:line="240" w:lineRule="auto"/>
        <w:jc w:val="both"/>
        <w:rPr>
          <w:rFonts w:ascii="Arial" w:hAnsi="Arial" w:cs="Arial"/>
        </w:rPr>
      </w:pPr>
    </w:p>
    <w:p w14:paraId="45C0F876" w14:textId="77777777" w:rsidR="00616929" w:rsidRPr="00007582" w:rsidRDefault="00616929" w:rsidP="00DC54F7">
      <w:pPr>
        <w:spacing w:after="0" w:line="240" w:lineRule="auto"/>
        <w:jc w:val="both"/>
        <w:rPr>
          <w:rFonts w:ascii="Arial" w:hAnsi="Arial" w:cs="Arial"/>
          <w:sz w:val="24"/>
          <w:szCs w:val="24"/>
        </w:rPr>
      </w:pPr>
      <w:r w:rsidRPr="00007582">
        <w:rPr>
          <w:rFonts w:ascii="Arial" w:hAnsi="Arial" w:cs="Arial"/>
          <w:sz w:val="24"/>
          <w:szCs w:val="24"/>
        </w:rPr>
        <w:t xml:space="preserve">Deprivation is the lack of access to opportunities and resources which might be expected in society. The Welsh Index of Multiple Deprivation (WIMD) allows for the ranking of small areas, called Lower layer Super Output Areas (LSOAs) in Wales to determine whether an area is more or less deprived compared to all other small areas in Wales.  </w:t>
      </w:r>
    </w:p>
    <w:p w14:paraId="1708B10B" w14:textId="77777777" w:rsidR="00616929" w:rsidRPr="00007582" w:rsidRDefault="00616929" w:rsidP="00DC54F7">
      <w:pPr>
        <w:spacing w:after="0" w:line="240" w:lineRule="auto"/>
        <w:jc w:val="both"/>
        <w:rPr>
          <w:rFonts w:ascii="Arial" w:hAnsi="Arial" w:cs="Arial"/>
          <w:sz w:val="24"/>
          <w:szCs w:val="24"/>
        </w:rPr>
      </w:pPr>
    </w:p>
    <w:p w14:paraId="437CB53C" w14:textId="15DBF9AC" w:rsidR="00616929" w:rsidRPr="00007582" w:rsidRDefault="00616929" w:rsidP="00DC54F7">
      <w:pPr>
        <w:spacing w:after="0" w:line="240" w:lineRule="auto"/>
        <w:jc w:val="both"/>
        <w:rPr>
          <w:rFonts w:ascii="Arial" w:hAnsi="Arial" w:cs="Arial"/>
          <w:b/>
          <w:bCs/>
          <w:sz w:val="24"/>
          <w:szCs w:val="24"/>
        </w:rPr>
      </w:pPr>
      <w:r w:rsidRPr="00007582">
        <w:rPr>
          <w:rFonts w:ascii="Arial" w:hAnsi="Arial" w:cs="Arial"/>
          <w:sz w:val="24"/>
          <w:szCs w:val="24"/>
        </w:rPr>
        <w:t xml:space="preserve">Overall, Cardiff </w:t>
      </w:r>
      <w:r w:rsidR="00143734" w:rsidRPr="00007582">
        <w:rPr>
          <w:rFonts w:ascii="Arial" w:hAnsi="Arial" w:cs="Arial"/>
          <w:sz w:val="24"/>
          <w:szCs w:val="24"/>
        </w:rPr>
        <w:t>North cluster</w:t>
      </w:r>
      <w:r w:rsidRPr="00007582">
        <w:rPr>
          <w:rFonts w:ascii="Arial" w:hAnsi="Arial" w:cs="Arial"/>
          <w:sz w:val="24"/>
          <w:szCs w:val="24"/>
        </w:rPr>
        <w:t xml:space="preserve"> has a </w:t>
      </w:r>
      <w:r w:rsidR="00143734" w:rsidRPr="00007582">
        <w:rPr>
          <w:rFonts w:ascii="Arial" w:hAnsi="Arial" w:cs="Arial"/>
          <w:sz w:val="24"/>
          <w:szCs w:val="24"/>
        </w:rPr>
        <w:t>much lower</w:t>
      </w:r>
      <w:r w:rsidRPr="00007582">
        <w:rPr>
          <w:rFonts w:ascii="Arial" w:hAnsi="Arial" w:cs="Arial"/>
          <w:sz w:val="24"/>
          <w:szCs w:val="24"/>
        </w:rPr>
        <w:t xml:space="preserve"> percentage of LSOAs in the most deprived 10% and 20% of </w:t>
      </w:r>
      <w:r w:rsidR="00E91F9B" w:rsidRPr="00007582">
        <w:rPr>
          <w:rFonts w:ascii="Arial" w:hAnsi="Arial" w:cs="Arial"/>
          <w:sz w:val="24"/>
          <w:szCs w:val="24"/>
        </w:rPr>
        <w:t>LSOAs in Wales relative to Cardiff</w:t>
      </w:r>
      <w:r w:rsidRPr="00007582">
        <w:rPr>
          <w:rFonts w:ascii="Arial" w:hAnsi="Arial" w:cs="Arial"/>
          <w:sz w:val="24"/>
          <w:szCs w:val="24"/>
        </w:rPr>
        <w:t>.</w:t>
      </w:r>
    </w:p>
    <w:p w14:paraId="22418827" w14:textId="77777777" w:rsidR="00616929" w:rsidRDefault="00616929" w:rsidP="00DC54F7">
      <w:pPr>
        <w:spacing w:after="0" w:line="240" w:lineRule="auto"/>
        <w:jc w:val="both"/>
        <w:rPr>
          <w:rFonts w:ascii="Arial" w:hAnsi="Arial" w:cs="Arial"/>
          <w:b/>
          <w:bCs/>
        </w:rPr>
      </w:pPr>
    </w:p>
    <w:p w14:paraId="47111357" w14:textId="1A1EC167" w:rsidR="00616929" w:rsidRPr="00007582" w:rsidRDefault="00616929" w:rsidP="00DC54F7">
      <w:pPr>
        <w:spacing w:after="0" w:line="240" w:lineRule="auto"/>
        <w:contextualSpacing/>
        <w:jc w:val="both"/>
        <w:rPr>
          <w:rFonts w:ascii="Arial" w:hAnsi="Arial" w:cs="Arial"/>
          <w:b/>
          <w:bCs/>
          <w:sz w:val="24"/>
          <w:szCs w:val="24"/>
        </w:rPr>
      </w:pPr>
      <w:r w:rsidRPr="00007582">
        <w:rPr>
          <w:rFonts w:ascii="Arial" w:hAnsi="Arial" w:cs="Arial"/>
          <w:b/>
          <w:bCs/>
          <w:sz w:val="24"/>
          <w:szCs w:val="24"/>
        </w:rPr>
        <w:t>Table 11.2: Percentage of LSOAs within the 10% and 20% most deprived LSOAs in Wales by cluster and local authority for the domains</w:t>
      </w:r>
      <w:r w:rsidR="00143734" w:rsidRPr="00007582">
        <w:rPr>
          <w:rFonts w:ascii="Arial" w:hAnsi="Arial" w:cs="Arial"/>
          <w:b/>
          <w:bCs/>
          <w:sz w:val="24"/>
          <w:szCs w:val="24"/>
        </w:rPr>
        <w:t xml:space="preserve"> of</w:t>
      </w:r>
      <w:r w:rsidRPr="00007582">
        <w:rPr>
          <w:rFonts w:ascii="Arial" w:hAnsi="Arial" w:cs="Arial"/>
          <w:b/>
          <w:bCs/>
          <w:sz w:val="24"/>
          <w:szCs w:val="24"/>
        </w:rPr>
        <w:t xml:space="preserve"> income, health, employment and access to services, Welsh Index of Multiple Deprivation 2014</w:t>
      </w:r>
    </w:p>
    <w:tbl>
      <w:tblPr>
        <w:tblW w:w="939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192"/>
        <w:gridCol w:w="1043"/>
        <w:gridCol w:w="1044"/>
        <w:gridCol w:w="1043"/>
        <w:gridCol w:w="1044"/>
        <w:gridCol w:w="1043"/>
        <w:gridCol w:w="1029"/>
        <w:gridCol w:w="992"/>
        <w:gridCol w:w="963"/>
      </w:tblGrid>
      <w:tr w:rsidR="007C6AF6" w:rsidRPr="007C6AF6" w14:paraId="38C36357" w14:textId="77777777" w:rsidTr="009A1299">
        <w:trPr>
          <w:trHeight w:val="318"/>
        </w:trPr>
        <w:tc>
          <w:tcPr>
            <w:tcW w:w="9393" w:type="dxa"/>
            <w:gridSpan w:val="9"/>
            <w:shd w:val="clear" w:color="000000" w:fill="8497B0"/>
            <w:noWrap/>
            <w:vAlign w:val="center"/>
            <w:hideMark/>
          </w:tcPr>
          <w:p w14:paraId="7A195449" w14:textId="6CDFB154" w:rsidR="007C6AF6" w:rsidRPr="00007582" w:rsidRDefault="007C6AF6" w:rsidP="00DC54F7">
            <w:pPr>
              <w:spacing w:after="0" w:line="240" w:lineRule="auto"/>
              <w:jc w:val="both"/>
              <w:rPr>
                <w:rFonts w:ascii="Calibri" w:eastAsia="Times New Roman" w:hAnsi="Calibri" w:cs="Calibri"/>
                <w:b/>
                <w:bCs/>
                <w:color w:val="FFFFFF"/>
                <w:lang w:eastAsia="en-GB"/>
              </w:rPr>
            </w:pPr>
            <w:r w:rsidRPr="00007582">
              <w:rPr>
                <w:rFonts w:ascii="Calibri" w:eastAsia="Times New Roman" w:hAnsi="Calibri" w:cs="Calibri"/>
                <w:b/>
                <w:bCs/>
                <w:color w:val="FFFFFF"/>
                <w:lang w:eastAsia="en-GB"/>
              </w:rPr>
              <w:t>Percentage of LSOAs within the 10% and 20% most deprived LSOAs in Wales</w:t>
            </w:r>
          </w:p>
        </w:tc>
      </w:tr>
      <w:tr w:rsidR="007C6AF6" w:rsidRPr="007C6AF6" w14:paraId="41BE2725" w14:textId="77777777" w:rsidTr="009A1299">
        <w:trPr>
          <w:trHeight w:val="318"/>
        </w:trPr>
        <w:tc>
          <w:tcPr>
            <w:tcW w:w="1192" w:type="dxa"/>
            <w:shd w:val="clear" w:color="000000" w:fill="8497B0"/>
            <w:noWrap/>
            <w:vAlign w:val="center"/>
            <w:hideMark/>
          </w:tcPr>
          <w:p w14:paraId="3AC6CCF5" w14:textId="77777777" w:rsidR="007C6AF6" w:rsidRPr="00007582" w:rsidRDefault="007C6AF6" w:rsidP="00DC54F7">
            <w:pPr>
              <w:spacing w:after="0" w:line="240" w:lineRule="auto"/>
              <w:jc w:val="both"/>
              <w:rPr>
                <w:rFonts w:ascii="Calibri" w:eastAsia="Times New Roman" w:hAnsi="Calibri" w:cs="Calibri"/>
                <w:b/>
                <w:bCs/>
                <w:color w:val="FFFFFF"/>
                <w:lang w:eastAsia="en-GB"/>
              </w:rPr>
            </w:pPr>
            <w:r w:rsidRPr="00007582">
              <w:rPr>
                <w:rFonts w:ascii="Calibri" w:eastAsia="Times New Roman" w:hAnsi="Calibri" w:cs="Calibri"/>
                <w:b/>
                <w:bCs/>
                <w:color w:val="FFFFFF"/>
                <w:lang w:eastAsia="en-GB"/>
              </w:rPr>
              <w:t> </w:t>
            </w:r>
          </w:p>
        </w:tc>
        <w:tc>
          <w:tcPr>
            <w:tcW w:w="2087" w:type="dxa"/>
            <w:gridSpan w:val="2"/>
            <w:shd w:val="clear" w:color="000000" w:fill="8497B0"/>
            <w:noWrap/>
            <w:vAlign w:val="center"/>
            <w:hideMark/>
          </w:tcPr>
          <w:p w14:paraId="77B1B05D" w14:textId="77777777" w:rsidR="007C6AF6" w:rsidRPr="00007582" w:rsidRDefault="007C6AF6" w:rsidP="00DC54F7">
            <w:pPr>
              <w:spacing w:after="0" w:line="240" w:lineRule="auto"/>
              <w:jc w:val="both"/>
              <w:rPr>
                <w:rFonts w:ascii="Calibri" w:eastAsia="Times New Roman" w:hAnsi="Calibri" w:cs="Calibri"/>
                <w:b/>
                <w:bCs/>
                <w:color w:val="FFFFFF"/>
                <w:lang w:eastAsia="en-GB"/>
              </w:rPr>
            </w:pPr>
            <w:r w:rsidRPr="00007582">
              <w:rPr>
                <w:rFonts w:ascii="Calibri" w:eastAsia="Times New Roman" w:hAnsi="Calibri" w:cs="Calibri"/>
                <w:b/>
                <w:bCs/>
                <w:color w:val="FFFFFF"/>
                <w:lang w:eastAsia="en-GB"/>
              </w:rPr>
              <w:t>Income</w:t>
            </w:r>
          </w:p>
        </w:tc>
        <w:tc>
          <w:tcPr>
            <w:tcW w:w="2087" w:type="dxa"/>
            <w:gridSpan w:val="2"/>
            <w:shd w:val="clear" w:color="000000" w:fill="8497B0"/>
            <w:noWrap/>
            <w:vAlign w:val="center"/>
            <w:hideMark/>
          </w:tcPr>
          <w:p w14:paraId="76C7C60F" w14:textId="77777777" w:rsidR="007C6AF6" w:rsidRPr="00007582" w:rsidRDefault="007C6AF6" w:rsidP="00DC54F7">
            <w:pPr>
              <w:spacing w:after="0" w:line="240" w:lineRule="auto"/>
              <w:jc w:val="both"/>
              <w:rPr>
                <w:rFonts w:ascii="Calibri" w:eastAsia="Times New Roman" w:hAnsi="Calibri" w:cs="Calibri"/>
                <w:b/>
                <w:bCs/>
                <w:color w:val="FFFFFF"/>
                <w:lang w:eastAsia="en-GB"/>
              </w:rPr>
            </w:pPr>
            <w:r w:rsidRPr="00007582">
              <w:rPr>
                <w:rFonts w:ascii="Calibri" w:eastAsia="Times New Roman" w:hAnsi="Calibri" w:cs="Calibri"/>
                <w:b/>
                <w:bCs/>
                <w:color w:val="FFFFFF"/>
                <w:lang w:eastAsia="en-GB"/>
              </w:rPr>
              <w:t>Health</w:t>
            </w:r>
          </w:p>
        </w:tc>
        <w:tc>
          <w:tcPr>
            <w:tcW w:w="2072" w:type="dxa"/>
            <w:gridSpan w:val="2"/>
            <w:shd w:val="clear" w:color="000000" w:fill="8497B0"/>
            <w:noWrap/>
            <w:vAlign w:val="center"/>
            <w:hideMark/>
          </w:tcPr>
          <w:p w14:paraId="69062B67" w14:textId="77777777" w:rsidR="007C6AF6" w:rsidRPr="00007582" w:rsidRDefault="007C6AF6" w:rsidP="00DC54F7">
            <w:pPr>
              <w:spacing w:after="0" w:line="240" w:lineRule="auto"/>
              <w:jc w:val="both"/>
              <w:rPr>
                <w:rFonts w:ascii="Calibri" w:eastAsia="Times New Roman" w:hAnsi="Calibri" w:cs="Calibri"/>
                <w:b/>
                <w:bCs/>
                <w:color w:val="FFFFFF"/>
                <w:lang w:eastAsia="en-GB"/>
              </w:rPr>
            </w:pPr>
            <w:r w:rsidRPr="00007582">
              <w:rPr>
                <w:rFonts w:ascii="Calibri" w:eastAsia="Times New Roman" w:hAnsi="Calibri" w:cs="Calibri"/>
                <w:b/>
                <w:bCs/>
                <w:color w:val="FFFFFF"/>
                <w:lang w:eastAsia="en-GB"/>
              </w:rPr>
              <w:t>Employment</w:t>
            </w:r>
          </w:p>
        </w:tc>
        <w:tc>
          <w:tcPr>
            <w:tcW w:w="1953" w:type="dxa"/>
            <w:gridSpan w:val="2"/>
            <w:shd w:val="clear" w:color="000000" w:fill="8497B0"/>
            <w:noWrap/>
            <w:vAlign w:val="center"/>
            <w:hideMark/>
          </w:tcPr>
          <w:p w14:paraId="2CBBF54C" w14:textId="77777777" w:rsidR="007C6AF6" w:rsidRPr="00007582" w:rsidRDefault="007C6AF6" w:rsidP="00DC54F7">
            <w:pPr>
              <w:spacing w:after="0" w:line="240" w:lineRule="auto"/>
              <w:jc w:val="both"/>
              <w:rPr>
                <w:rFonts w:ascii="Calibri" w:eastAsia="Times New Roman" w:hAnsi="Calibri" w:cs="Calibri"/>
                <w:b/>
                <w:bCs/>
                <w:color w:val="FFFFFF"/>
                <w:lang w:eastAsia="en-GB"/>
              </w:rPr>
            </w:pPr>
            <w:r w:rsidRPr="00007582">
              <w:rPr>
                <w:rFonts w:ascii="Calibri" w:eastAsia="Times New Roman" w:hAnsi="Calibri" w:cs="Calibri"/>
                <w:b/>
                <w:bCs/>
                <w:color w:val="FFFFFF"/>
                <w:lang w:eastAsia="en-GB"/>
              </w:rPr>
              <w:t>Access to services</w:t>
            </w:r>
          </w:p>
        </w:tc>
      </w:tr>
      <w:tr w:rsidR="007C6AF6" w:rsidRPr="007C6AF6" w14:paraId="12D8F019" w14:textId="77777777" w:rsidTr="009A1299">
        <w:trPr>
          <w:trHeight w:val="318"/>
        </w:trPr>
        <w:tc>
          <w:tcPr>
            <w:tcW w:w="1192" w:type="dxa"/>
            <w:shd w:val="clear" w:color="000000" w:fill="8497B0"/>
            <w:noWrap/>
            <w:vAlign w:val="center"/>
            <w:hideMark/>
          </w:tcPr>
          <w:p w14:paraId="36F09BAC" w14:textId="77777777" w:rsidR="007C6AF6" w:rsidRPr="00007582" w:rsidRDefault="007C6AF6" w:rsidP="00DC54F7">
            <w:pPr>
              <w:spacing w:after="0" w:line="240" w:lineRule="auto"/>
              <w:jc w:val="both"/>
              <w:rPr>
                <w:rFonts w:ascii="Calibri" w:eastAsia="Times New Roman" w:hAnsi="Calibri" w:cs="Calibri"/>
                <w:b/>
                <w:bCs/>
                <w:color w:val="FFFFFF"/>
                <w:lang w:eastAsia="en-GB"/>
              </w:rPr>
            </w:pPr>
            <w:r w:rsidRPr="00007582">
              <w:rPr>
                <w:rFonts w:ascii="Calibri" w:eastAsia="Times New Roman" w:hAnsi="Calibri" w:cs="Calibri"/>
                <w:b/>
                <w:bCs/>
                <w:color w:val="FFFFFF"/>
                <w:lang w:eastAsia="en-GB"/>
              </w:rPr>
              <w:t> </w:t>
            </w:r>
          </w:p>
        </w:tc>
        <w:tc>
          <w:tcPr>
            <w:tcW w:w="1043" w:type="dxa"/>
            <w:shd w:val="clear" w:color="000000" w:fill="8497B0"/>
            <w:vAlign w:val="center"/>
            <w:hideMark/>
          </w:tcPr>
          <w:p w14:paraId="4790D82C" w14:textId="77777777" w:rsidR="007C6AF6" w:rsidRPr="00007582" w:rsidRDefault="007C6AF6" w:rsidP="00DC54F7">
            <w:pPr>
              <w:spacing w:after="0" w:line="240" w:lineRule="auto"/>
              <w:jc w:val="both"/>
              <w:rPr>
                <w:rFonts w:ascii="Calibri" w:eastAsia="Times New Roman" w:hAnsi="Calibri" w:cs="Calibri"/>
                <w:b/>
                <w:bCs/>
                <w:color w:val="FFFFFF"/>
                <w:lang w:eastAsia="en-GB"/>
              </w:rPr>
            </w:pPr>
            <w:r w:rsidRPr="00007582">
              <w:rPr>
                <w:rFonts w:ascii="Calibri" w:eastAsia="Times New Roman" w:hAnsi="Calibri" w:cs="Calibri"/>
                <w:b/>
                <w:bCs/>
                <w:color w:val="FFFFFF"/>
                <w:lang w:eastAsia="en-GB"/>
              </w:rPr>
              <w:t>10%</w:t>
            </w:r>
          </w:p>
        </w:tc>
        <w:tc>
          <w:tcPr>
            <w:tcW w:w="1043" w:type="dxa"/>
            <w:shd w:val="clear" w:color="000000" w:fill="8497B0"/>
            <w:vAlign w:val="center"/>
            <w:hideMark/>
          </w:tcPr>
          <w:p w14:paraId="1AC1DCCA" w14:textId="77777777" w:rsidR="007C6AF6" w:rsidRPr="00007582" w:rsidRDefault="007C6AF6" w:rsidP="00DC54F7">
            <w:pPr>
              <w:spacing w:after="0" w:line="240" w:lineRule="auto"/>
              <w:jc w:val="both"/>
              <w:rPr>
                <w:rFonts w:ascii="Calibri" w:eastAsia="Times New Roman" w:hAnsi="Calibri" w:cs="Calibri"/>
                <w:b/>
                <w:bCs/>
                <w:color w:val="FFFFFF"/>
                <w:lang w:eastAsia="en-GB"/>
              </w:rPr>
            </w:pPr>
            <w:r w:rsidRPr="00007582">
              <w:rPr>
                <w:rFonts w:ascii="Calibri" w:eastAsia="Times New Roman" w:hAnsi="Calibri" w:cs="Calibri"/>
                <w:b/>
                <w:bCs/>
                <w:color w:val="FFFFFF"/>
                <w:lang w:eastAsia="en-GB"/>
              </w:rPr>
              <w:t>20%</w:t>
            </w:r>
          </w:p>
        </w:tc>
        <w:tc>
          <w:tcPr>
            <w:tcW w:w="1043" w:type="dxa"/>
            <w:shd w:val="clear" w:color="000000" w:fill="8497B0"/>
            <w:vAlign w:val="center"/>
            <w:hideMark/>
          </w:tcPr>
          <w:p w14:paraId="1A3FEBD4" w14:textId="77777777" w:rsidR="007C6AF6" w:rsidRPr="00007582" w:rsidRDefault="007C6AF6" w:rsidP="00DC54F7">
            <w:pPr>
              <w:spacing w:after="0" w:line="240" w:lineRule="auto"/>
              <w:jc w:val="both"/>
              <w:rPr>
                <w:rFonts w:ascii="Calibri" w:eastAsia="Times New Roman" w:hAnsi="Calibri" w:cs="Calibri"/>
                <w:b/>
                <w:bCs/>
                <w:color w:val="FFFFFF"/>
                <w:lang w:eastAsia="en-GB"/>
              </w:rPr>
            </w:pPr>
            <w:r w:rsidRPr="00007582">
              <w:rPr>
                <w:rFonts w:ascii="Calibri" w:eastAsia="Times New Roman" w:hAnsi="Calibri" w:cs="Calibri"/>
                <w:b/>
                <w:bCs/>
                <w:color w:val="FFFFFF"/>
                <w:lang w:eastAsia="en-GB"/>
              </w:rPr>
              <w:t>10%</w:t>
            </w:r>
          </w:p>
        </w:tc>
        <w:tc>
          <w:tcPr>
            <w:tcW w:w="1043" w:type="dxa"/>
            <w:shd w:val="clear" w:color="000000" w:fill="8497B0"/>
            <w:vAlign w:val="center"/>
            <w:hideMark/>
          </w:tcPr>
          <w:p w14:paraId="2146F192" w14:textId="77777777" w:rsidR="007C6AF6" w:rsidRPr="00007582" w:rsidRDefault="007C6AF6" w:rsidP="00DC54F7">
            <w:pPr>
              <w:spacing w:after="0" w:line="240" w:lineRule="auto"/>
              <w:jc w:val="both"/>
              <w:rPr>
                <w:rFonts w:ascii="Calibri" w:eastAsia="Times New Roman" w:hAnsi="Calibri" w:cs="Calibri"/>
                <w:b/>
                <w:bCs/>
                <w:color w:val="FFFFFF"/>
                <w:lang w:eastAsia="en-GB"/>
              </w:rPr>
            </w:pPr>
            <w:r w:rsidRPr="00007582">
              <w:rPr>
                <w:rFonts w:ascii="Calibri" w:eastAsia="Times New Roman" w:hAnsi="Calibri" w:cs="Calibri"/>
                <w:b/>
                <w:bCs/>
                <w:color w:val="FFFFFF"/>
                <w:lang w:eastAsia="en-GB"/>
              </w:rPr>
              <w:t>20%</w:t>
            </w:r>
          </w:p>
        </w:tc>
        <w:tc>
          <w:tcPr>
            <w:tcW w:w="1043" w:type="dxa"/>
            <w:shd w:val="clear" w:color="000000" w:fill="8497B0"/>
            <w:vAlign w:val="center"/>
            <w:hideMark/>
          </w:tcPr>
          <w:p w14:paraId="39AE2171" w14:textId="77777777" w:rsidR="007C6AF6" w:rsidRPr="00007582" w:rsidRDefault="007C6AF6" w:rsidP="00DC54F7">
            <w:pPr>
              <w:spacing w:after="0" w:line="240" w:lineRule="auto"/>
              <w:jc w:val="both"/>
              <w:rPr>
                <w:rFonts w:ascii="Calibri" w:eastAsia="Times New Roman" w:hAnsi="Calibri" w:cs="Calibri"/>
                <w:b/>
                <w:bCs/>
                <w:color w:val="FFFFFF"/>
                <w:lang w:eastAsia="en-GB"/>
              </w:rPr>
            </w:pPr>
            <w:r w:rsidRPr="00007582">
              <w:rPr>
                <w:rFonts w:ascii="Calibri" w:eastAsia="Times New Roman" w:hAnsi="Calibri" w:cs="Calibri"/>
                <w:b/>
                <w:bCs/>
                <w:color w:val="FFFFFF"/>
                <w:lang w:eastAsia="en-GB"/>
              </w:rPr>
              <w:t>10%</w:t>
            </w:r>
          </w:p>
        </w:tc>
        <w:tc>
          <w:tcPr>
            <w:tcW w:w="1029" w:type="dxa"/>
            <w:shd w:val="clear" w:color="000000" w:fill="8497B0"/>
            <w:vAlign w:val="center"/>
            <w:hideMark/>
          </w:tcPr>
          <w:p w14:paraId="6845B6C1" w14:textId="77777777" w:rsidR="007C6AF6" w:rsidRPr="00007582" w:rsidRDefault="007C6AF6" w:rsidP="00DC54F7">
            <w:pPr>
              <w:spacing w:after="0" w:line="240" w:lineRule="auto"/>
              <w:jc w:val="both"/>
              <w:rPr>
                <w:rFonts w:ascii="Calibri" w:eastAsia="Times New Roman" w:hAnsi="Calibri" w:cs="Calibri"/>
                <w:b/>
                <w:bCs/>
                <w:color w:val="FFFFFF"/>
                <w:lang w:eastAsia="en-GB"/>
              </w:rPr>
            </w:pPr>
            <w:r w:rsidRPr="00007582">
              <w:rPr>
                <w:rFonts w:ascii="Calibri" w:eastAsia="Times New Roman" w:hAnsi="Calibri" w:cs="Calibri"/>
                <w:b/>
                <w:bCs/>
                <w:color w:val="FFFFFF"/>
                <w:lang w:eastAsia="en-GB"/>
              </w:rPr>
              <w:t>20%</w:t>
            </w:r>
          </w:p>
        </w:tc>
        <w:tc>
          <w:tcPr>
            <w:tcW w:w="992" w:type="dxa"/>
            <w:shd w:val="clear" w:color="000000" w:fill="8497B0"/>
            <w:vAlign w:val="center"/>
            <w:hideMark/>
          </w:tcPr>
          <w:p w14:paraId="5580E79F" w14:textId="77777777" w:rsidR="007C6AF6" w:rsidRPr="00007582" w:rsidRDefault="007C6AF6" w:rsidP="00DC54F7">
            <w:pPr>
              <w:spacing w:after="0" w:line="240" w:lineRule="auto"/>
              <w:jc w:val="both"/>
              <w:rPr>
                <w:rFonts w:ascii="Calibri" w:eastAsia="Times New Roman" w:hAnsi="Calibri" w:cs="Calibri"/>
                <w:b/>
                <w:bCs/>
                <w:color w:val="FFFFFF"/>
                <w:lang w:eastAsia="en-GB"/>
              </w:rPr>
            </w:pPr>
            <w:r w:rsidRPr="00007582">
              <w:rPr>
                <w:rFonts w:ascii="Calibri" w:eastAsia="Times New Roman" w:hAnsi="Calibri" w:cs="Calibri"/>
                <w:b/>
                <w:bCs/>
                <w:color w:val="FFFFFF"/>
                <w:lang w:eastAsia="en-GB"/>
              </w:rPr>
              <w:t>10%</w:t>
            </w:r>
          </w:p>
        </w:tc>
        <w:tc>
          <w:tcPr>
            <w:tcW w:w="960" w:type="dxa"/>
            <w:shd w:val="clear" w:color="000000" w:fill="8497B0"/>
            <w:vAlign w:val="center"/>
            <w:hideMark/>
          </w:tcPr>
          <w:p w14:paraId="4D42B2FA" w14:textId="77777777" w:rsidR="007C6AF6" w:rsidRPr="00007582" w:rsidRDefault="007C6AF6" w:rsidP="00DC54F7">
            <w:pPr>
              <w:spacing w:after="0" w:line="240" w:lineRule="auto"/>
              <w:jc w:val="both"/>
              <w:rPr>
                <w:rFonts w:ascii="Calibri" w:eastAsia="Times New Roman" w:hAnsi="Calibri" w:cs="Calibri"/>
                <w:b/>
                <w:bCs/>
                <w:color w:val="FFFFFF"/>
                <w:lang w:eastAsia="en-GB"/>
              </w:rPr>
            </w:pPr>
            <w:r w:rsidRPr="00007582">
              <w:rPr>
                <w:rFonts w:ascii="Calibri" w:eastAsia="Times New Roman" w:hAnsi="Calibri" w:cs="Calibri"/>
                <w:b/>
                <w:bCs/>
                <w:color w:val="FFFFFF"/>
                <w:lang w:eastAsia="en-GB"/>
              </w:rPr>
              <w:t>20%</w:t>
            </w:r>
          </w:p>
        </w:tc>
      </w:tr>
      <w:tr w:rsidR="007C6AF6" w:rsidRPr="007C6AF6" w14:paraId="2A6D051A" w14:textId="77777777" w:rsidTr="009A1299">
        <w:trPr>
          <w:trHeight w:val="318"/>
        </w:trPr>
        <w:tc>
          <w:tcPr>
            <w:tcW w:w="1192" w:type="dxa"/>
            <w:shd w:val="clear" w:color="000000" w:fill="F2F2F2"/>
            <w:noWrap/>
            <w:vAlign w:val="center"/>
            <w:hideMark/>
          </w:tcPr>
          <w:p w14:paraId="277FA94E" w14:textId="77777777"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Cardiff North</w:t>
            </w:r>
          </w:p>
        </w:tc>
        <w:tc>
          <w:tcPr>
            <w:tcW w:w="1043" w:type="dxa"/>
            <w:shd w:val="clear" w:color="000000" w:fill="F2F2F2"/>
            <w:noWrap/>
            <w:vAlign w:val="center"/>
            <w:hideMark/>
          </w:tcPr>
          <w:p w14:paraId="678ECDFB" w14:textId="77777777"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5.1</w:t>
            </w:r>
          </w:p>
        </w:tc>
        <w:tc>
          <w:tcPr>
            <w:tcW w:w="1043" w:type="dxa"/>
            <w:shd w:val="clear" w:color="000000" w:fill="F2F2F2"/>
            <w:noWrap/>
            <w:vAlign w:val="center"/>
            <w:hideMark/>
          </w:tcPr>
          <w:p w14:paraId="6C80FC4F" w14:textId="77777777"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8.5</w:t>
            </w:r>
          </w:p>
        </w:tc>
        <w:tc>
          <w:tcPr>
            <w:tcW w:w="1043" w:type="dxa"/>
            <w:shd w:val="clear" w:color="000000" w:fill="F2F2F2"/>
            <w:noWrap/>
            <w:vAlign w:val="center"/>
            <w:hideMark/>
          </w:tcPr>
          <w:p w14:paraId="2B5C52A5" w14:textId="36E43350"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0</w:t>
            </w:r>
            <w:r w:rsidR="00007582">
              <w:rPr>
                <w:rFonts w:ascii="Calibri" w:eastAsia="Times New Roman" w:hAnsi="Calibri" w:cs="Calibri"/>
                <w:color w:val="000000"/>
                <w:lang w:eastAsia="en-GB"/>
              </w:rPr>
              <w:t>.0</w:t>
            </w:r>
          </w:p>
        </w:tc>
        <w:tc>
          <w:tcPr>
            <w:tcW w:w="1043" w:type="dxa"/>
            <w:shd w:val="clear" w:color="000000" w:fill="F2F2F2"/>
            <w:noWrap/>
            <w:vAlign w:val="center"/>
            <w:hideMark/>
          </w:tcPr>
          <w:p w14:paraId="0FDB45CF" w14:textId="77777777"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3.4</w:t>
            </w:r>
          </w:p>
        </w:tc>
        <w:tc>
          <w:tcPr>
            <w:tcW w:w="1043" w:type="dxa"/>
            <w:shd w:val="clear" w:color="000000" w:fill="F2F2F2"/>
            <w:noWrap/>
            <w:vAlign w:val="center"/>
            <w:hideMark/>
          </w:tcPr>
          <w:p w14:paraId="6A11BCB6" w14:textId="77777777"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3.4</w:t>
            </w:r>
          </w:p>
        </w:tc>
        <w:tc>
          <w:tcPr>
            <w:tcW w:w="1029" w:type="dxa"/>
            <w:shd w:val="clear" w:color="000000" w:fill="F2F2F2"/>
            <w:noWrap/>
            <w:vAlign w:val="center"/>
            <w:hideMark/>
          </w:tcPr>
          <w:p w14:paraId="458179E5" w14:textId="77777777"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5.1</w:t>
            </w:r>
          </w:p>
        </w:tc>
        <w:tc>
          <w:tcPr>
            <w:tcW w:w="992" w:type="dxa"/>
            <w:shd w:val="clear" w:color="000000" w:fill="F2F2F2"/>
            <w:noWrap/>
            <w:vAlign w:val="center"/>
            <w:hideMark/>
          </w:tcPr>
          <w:p w14:paraId="132E0FA0" w14:textId="4302E199"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0</w:t>
            </w:r>
            <w:r w:rsidR="00007582">
              <w:rPr>
                <w:rFonts w:ascii="Calibri" w:eastAsia="Times New Roman" w:hAnsi="Calibri" w:cs="Calibri"/>
                <w:color w:val="000000"/>
                <w:lang w:eastAsia="en-GB"/>
              </w:rPr>
              <w:t>.0</w:t>
            </w:r>
          </w:p>
        </w:tc>
        <w:tc>
          <w:tcPr>
            <w:tcW w:w="960" w:type="dxa"/>
            <w:shd w:val="clear" w:color="000000" w:fill="F2F2F2"/>
            <w:noWrap/>
            <w:vAlign w:val="center"/>
            <w:hideMark/>
          </w:tcPr>
          <w:p w14:paraId="691A20E6" w14:textId="0A37D6F3"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0</w:t>
            </w:r>
            <w:r w:rsidR="00007582">
              <w:rPr>
                <w:rFonts w:ascii="Calibri" w:eastAsia="Times New Roman" w:hAnsi="Calibri" w:cs="Calibri"/>
                <w:color w:val="000000"/>
                <w:lang w:eastAsia="en-GB"/>
              </w:rPr>
              <w:t>.0</w:t>
            </w:r>
          </w:p>
        </w:tc>
      </w:tr>
      <w:tr w:rsidR="007C6AF6" w:rsidRPr="007C6AF6" w14:paraId="74453CE6" w14:textId="77777777" w:rsidTr="009A1299">
        <w:trPr>
          <w:trHeight w:val="318"/>
        </w:trPr>
        <w:tc>
          <w:tcPr>
            <w:tcW w:w="1192" w:type="dxa"/>
            <w:shd w:val="clear" w:color="auto" w:fill="auto"/>
            <w:noWrap/>
            <w:vAlign w:val="center"/>
            <w:hideMark/>
          </w:tcPr>
          <w:p w14:paraId="33697F5A" w14:textId="77777777"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 xml:space="preserve">Cardiff </w:t>
            </w:r>
          </w:p>
        </w:tc>
        <w:tc>
          <w:tcPr>
            <w:tcW w:w="1043" w:type="dxa"/>
            <w:shd w:val="clear" w:color="auto" w:fill="auto"/>
            <w:noWrap/>
            <w:vAlign w:val="center"/>
            <w:hideMark/>
          </w:tcPr>
          <w:p w14:paraId="71476F6B" w14:textId="77777777"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19.2</w:t>
            </w:r>
          </w:p>
        </w:tc>
        <w:tc>
          <w:tcPr>
            <w:tcW w:w="1043" w:type="dxa"/>
            <w:shd w:val="clear" w:color="auto" w:fill="auto"/>
            <w:noWrap/>
            <w:vAlign w:val="center"/>
            <w:hideMark/>
          </w:tcPr>
          <w:p w14:paraId="5C8A3FE6" w14:textId="77777777"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30.8</w:t>
            </w:r>
          </w:p>
        </w:tc>
        <w:tc>
          <w:tcPr>
            <w:tcW w:w="1043" w:type="dxa"/>
            <w:shd w:val="clear" w:color="auto" w:fill="auto"/>
            <w:noWrap/>
            <w:vAlign w:val="center"/>
            <w:hideMark/>
          </w:tcPr>
          <w:p w14:paraId="3EC24747" w14:textId="77777777"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14.5</w:t>
            </w:r>
          </w:p>
        </w:tc>
        <w:tc>
          <w:tcPr>
            <w:tcW w:w="1043" w:type="dxa"/>
            <w:shd w:val="clear" w:color="auto" w:fill="auto"/>
            <w:noWrap/>
            <w:vAlign w:val="center"/>
            <w:hideMark/>
          </w:tcPr>
          <w:p w14:paraId="3E3537C6" w14:textId="2FDD5022"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22</w:t>
            </w:r>
            <w:r w:rsidR="00F276A1">
              <w:rPr>
                <w:rFonts w:ascii="Calibri" w:eastAsia="Times New Roman" w:hAnsi="Calibri" w:cs="Calibri"/>
                <w:color w:val="000000"/>
                <w:lang w:eastAsia="en-GB"/>
              </w:rPr>
              <w:t>.0</w:t>
            </w:r>
          </w:p>
        </w:tc>
        <w:tc>
          <w:tcPr>
            <w:tcW w:w="1043" w:type="dxa"/>
            <w:shd w:val="clear" w:color="auto" w:fill="auto"/>
            <w:noWrap/>
            <w:vAlign w:val="center"/>
            <w:hideMark/>
          </w:tcPr>
          <w:p w14:paraId="1AA97DA0" w14:textId="77777777"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12.1</w:t>
            </w:r>
          </w:p>
        </w:tc>
        <w:tc>
          <w:tcPr>
            <w:tcW w:w="1029" w:type="dxa"/>
            <w:shd w:val="clear" w:color="auto" w:fill="auto"/>
            <w:noWrap/>
            <w:vAlign w:val="center"/>
            <w:hideMark/>
          </w:tcPr>
          <w:p w14:paraId="73451CAB" w14:textId="77777777"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20.1</w:t>
            </w:r>
          </w:p>
        </w:tc>
        <w:tc>
          <w:tcPr>
            <w:tcW w:w="992" w:type="dxa"/>
            <w:shd w:val="clear" w:color="auto" w:fill="auto"/>
            <w:noWrap/>
            <w:vAlign w:val="center"/>
            <w:hideMark/>
          </w:tcPr>
          <w:p w14:paraId="3D69B924" w14:textId="618A85FA"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0</w:t>
            </w:r>
            <w:r w:rsidR="00007582">
              <w:rPr>
                <w:rFonts w:ascii="Calibri" w:eastAsia="Times New Roman" w:hAnsi="Calibri" w:cs="Calibri"/>
                <w:color w:val="000000"/>
                <w:lang w:eastAsia="en-GB"/>
              </w:rPr>
              <w:t>.0</w:t>
            </w:r>
          </w:p>
        </w:tc>
        <w:tc>
          <w:tcPr>
            <w:tcW w:w="960" w:type="dxa"/>
            <w:shd w:val="clear" w:color="auto" w:fill="auto"/>
            <w:noWrap/>
            <w:vAlign w:val="center"/>
            <w:hideMark/>
          </w:tcPr>
          <w:p w14:paraId="1BF07F02" w14:textId="77777777" w:rsidR="007C6AF6" w:rsidRPr="00007582" w:rsidRDefault="007C6AF6" w:rsidP="00DC54F7">
            <w:pPr>
              <w:spacing w:after="0" w:line="240" w:lineRule="auto"/>
              <w:jc w:val="both"/>
              <w:rPr>
                <w:rFonts w:ascii="Calibri" w:eastAsia="Times New Roman" w:hAnsi="Calibri" w:cs="Calibri"/>
                <w:color w:val="000000"/>
                <w:lang w:eastAsia="en-GB"/>
              </w:rPr>
            </w:pPr>
            <w:r w:rsidRPr="00007582">
              <w:rPr>
                <w:rFonts w:ascii="Calibri" w:eastAsia="Times New Roman" w:hAnsi="Calibri" w:cs="Calibri"/>
                <w:color w:val="000000"/>
                <w:lang w:eastAsia="en-GB"/>
              </w:rPr>
              <w:t>0.9</w:t>
            </w:r>
          </w:p>
        </w:tc>
      </w:tr>
    </w:tbl>
    <w:p w14:paraId="23D965D6" w14:textId="59E9A5A5" w:rsidR="00616929" w:rsidRPr="009D1039" w:rsidRDefault="00616929" w:rsidP="00DC54F7">
      <w:pPr>
        <w:spacing w:after="0" w:line="240" w:lineRule="auto"/>
        <w:jc w:val="both"/>
        <w:rPr>
          <w:rFonts w:ascii="Arial" w:hAnsi="Arial" w:cs="Arial"/>
          <w:b/>
          <w:bCs/>
          <w:sz w:val="20"/>
          <w:szCs w:val="20"/>
        </w:rPr>
      </w:pPr>
      <w:r w:rsidRPr="009D1039">
        <w:rPr>
          <w:rFonts w:ascii="Arial" w:hAnsi="Arial" w:cs="Arial"/>
          <w:sz w:val="20"/>
          <w:szCs w:val="20"/>
        </w:rPr>
        <w:t>Source: Welsh Index of Multiple Deprivation 2014, Welsh Government</w:t>
      </w:r>
    </w:p>
    <w:p w14:paraId="662492B0" w14:textId="77777777" w:rsidR="00616929" w:rsidRPr="009D1039" w:rsidRDefault="00616929" w:rsidP="00DC54F7">
      <w:pPr>
        <w:spacing w:after="0" w:line="240" w:lineRule="auto"/>
        <w:jc w:val="both"/>
        <w:rPr>
          <w:rFonts w:ascii="Arial" w:hAnsi="Arial" w:cs="Arial"/>
          <w:sz w:val="20"/>
          <w:szCs w:val="20"/>
        </w:rPr>
      </w:pPr>
    </w:p>
    <w:p w14:paraId="241C62E0" w14:textId="31B85AED" w:rsidR="00616929" w:rsidRPr="00BD12CA" w:rsidRDefault="008F7D65" w:rsidP="00DC54F7">
      <w:pPr>
        <w:spacing w:after="0" w:line="240" w:lineRule="auto"/>
        <w:jc w:val="both"/>
        <w:rPr>
          <w:rFonts w:ascii="Arial" w:hAnsi="Arial" w:cs="Arial"/>
          <w:color w:val="000000" w:themeColor="text1"/>
          <w:sz w:val="24"/>
          <w:szCs w:val="24"/>
        </w:rPr>
      </w:pPr>
      <w:r w:rsidRPr="00BD12CA">
        <w:rPr>
          <w:rFonts w:ascii="Arial" w:hAnsi="Arial" w:cs="Arial"/>
          <w:sz w:val="24"/>
          <w:szCs w:val="24"/>
        </w:rPr>
        <w:t xml:space="preserve">The map below provides an indication of the overall levels of deprivation within the cluster. </w:t>
      </w:r>
      <w:r w:rsidR="00616929" w:rsidRPr="00BD12CA">
        <w:rPr>
          <w:rFonts w:ascii="Arial" w:hAnsi="Arial" w:cs="Arial"/>
          <w:sz w:val="24"/>
          <w:szCs w:val="24"/>
        </w:rPr>
        <w:t xml:space="preserve">As can be seen from the map, </w:t>
      </w:r>
      <w:r w:rsidR="006A2D32" w:rsidRPr="00BD12CA">
        <w:rPr>
          <w:rFonts w:ascii="Arial" w:hAnsi="Arial" w:cs="Arial"/>
          <w:sz w:val="24"/>
          <w:szCs w:val="24"/>
        </w:rPr>
        <w:t xml:space="preserve">Cardiff </w:t>
      </w:r>
      <w:r w:rsidR="00C2650F" w:rsidRPr="00BD12CA">
        <w:rPr>
          <w:rFonts w:ascii="Arial" w:hAnsi="Arial" w:cs="Arial"/>
          <w:sz w:val="24"/>
          <w:szCs w:val="24"/>
        </w:rPr>
        <w:t xml:space="preserve">North cluster has relatively low levels of deprivation. </w:t>
      </w:r>
      <w:r w:rsidR="009C183B" w:rsidRPr="00BD12CA">
        <w:rPr>
          <w:rFonts w:ascii="Arial" w:hAnsi="Arial" w:cs="Arial"/>
          <w:sz w:val="24"/>
          <w:szCs w:val="24"/>
        </w:rPr>
        <w:t xml:space="preserve">Where there are pockets of deprivation, </w:t>
      </w:r>
      <w:r w:rsidR="00616929" w:rsidRPr="00BD12CA">
        <w:rPr>
          <w:rFonts w:ascii="Arial" w:hAnsi="Arial" w:cs="Arial"/>
          <w:sz w:val="24"/>
          <w:szCs w:val="24"/>
        </w:rPr>
        <w:t xml:space="preserve">pharmacies </w:t>
      </w:r>
      <w:r w:rsidR="00B25A52" w:rsidRPr="00BD12CA">
        <w:rPr>
          <w:rFonts w:ascii="Arial" w:hAnsi="Arial" w:cs="Arial"/>
          <w:sz w:val="24"/>
          <w:szCs w:val="24"/>
        </w:rPr>
        <w:t xml:space="preserve">in general </w:t>
      </w:r>
      <w:r w:rsidR="00616929" w:rsidRPr="00BD12CA">
        <w:rPr>
          <w:rFonts w:ascii="Arial" w:hAnsi="Arial" w:cs="Arial"/>
          <w:sz w:val="24"/>
          <w:szCs w:val="24"/>
        </w:rPr>
        <w:t xml:space="preserve">are located within or near </w:t>
      </w:r>
      <w:r w:rsidR="00581428" w:rsidRPr="00BD12CA">
        <w:rPr>
          <w:rFonts w:ascii="Arial" w:hAnsi="Arial" w:cs="Arial"/>
          <w:sz w:val="24"/>
          <w:szCs w:val="24"/>
        </w:rPr>
        <w:t>these areas</w:t>
      </w:r>
      <w:r w:rsidR="00616929" w:rsidRPr="00BD12CA">
        <w:rPr>
          <w:rFonts w:ascii="Arial" w:hAnsi="Arial" w:cs="Arial"/>
          <w:sz w:val="24"/>
          <w:szCs w:val="24"/>
        </w:rPr>
        <w:t xml:space="preserve">. </w:t>
      </w:r>
    </w:p>
    <w:p w14:paraId="36892C5C" w14:textId="77777777" w:rsidR="00616929" w:rsidRDefault="00616929" w:rsidP="00DC54F7">
      <w:pPr>
        <w:spacing w:after="0" w:line="240" w:lineRule="auto"/>
        <w:jc w:val="both"/>
        <w:rPr>
          <w:rFonts w:ascii="Arial" w:hAnsi="Arial" w:cs="Arial"/>
          <w:b/>
        </w:rPr>
      </w:pPr>
    </w:p>
    <w:p w14:paraId="39AD1008" w14:textId="77777777" w:rsidR="00CD7A5C" w:rsidRDefault="00CD7A5C" w:rsidP="00DC54F7">
      <w:pPr>
        <w:spacing w:after="0" w:line="240" w:lineRule="auto"/>
        <w:jc w:val="both"/>
        <w:rPr>
          <w:rFonts w:ascii="Arial" w:hAnsi="Arial" w:cs="Arial"/>
          <w:b/>
          <w:sz w:val="24"/>
          <w:szCs w:val="24"/>
        </w:rPr>
      </w:pPr>
    </w:p>
    <w:p w14:paraId="7FAF803B" w14:textId="77777777" w:rsidR="00CD7A5C" w:rsidRDefault="00CD7A5C" w:rsidP="00DC54F7">
      <w:pPr>
        <w:spacing w:after="0" w:line="240" w:lineRule="auto"/>
        <w:jc w:val="both"/>
        <w:rPr>
          <w:rFonts w:ascii="Arial" w:hAnsi="Arial" w:cs="Arial"/>
          <w:b/>
          <w:sz w:val="24"/>
          <w:szCs w:val="24"/>
        </w:rPr>
      </w:pPr>
    </w:p>
    <w:p w14:paraId="037A8C42" w14:textId="77777777" w:rsidR="00CD7A5C" w:rsidRDefault="00CD7A5C" w:rsidP="00DC54F7">
      <w:pPr>
        <w:spacing w:after="0" w:line="240" w:lineRule="auto"/>
        <w:jc w:val="both"/>
        <w:rPr>
          <w:rFonts w:ascii="Arial" w:hAnsi="Arial" w:cs="Arial"/>
          <w:b/>
          <w:sz w:val="24"/>
          <w:szCs w:val="24"/>
        </w:rPr>
      </w:pPr>
    </w:p>
    <w:p w14:paraId="7411E92A" w14:textId="77777777" w:rsidR="00CD7A5C" w:rsidRDefault="00CD7A5C" w:rsidP="00DC54F7">
      <w:pPr>
        <w:spacing w:after="0" w:line="240" w:lineRule="auto"/>
        <w:jc w:val="both"/>
        <w:rPr>
          <w:rFonts w:ascii="Arial" w:hAnsi="Arial" w:cs="Arial"/>
          <w:b/>
          <w:sz w:val="24"/>
          <w:szCs w:val="24"/>
        </w:rPr>
      </w:pPr>
    </w:p>
    <w:p w14:paraId="7FD65681" w14:textId="77777777" w:rsidR="00CD7A5C" w:rsidRDefault="00CD7A5C" w:rsidP="00DC54F7">
      <w:pPr>
        <w:spacing w:after="0" w:line="240" w:lineRule="auto"/>
        <w:jc w:val="both"/>
        <w:rPr>
          <w:rFonts w:ascii="Arial" w:hAnsi="Arial" w:cs="Arial"/>
          <w:b/>
          <w:sz w:val="24"/>
          <w:szCs w:val="24"/>
        </w:rPr>
      </w:pPr>
    </w:p>
    <w:p w14:paraId="0A47B883" w14:textId="77777777" w:rsidR="00CD7A5C" w:rsidRDefault="00CD7A5C" w:rsidP="00DC54F7">
      <w:pPr>
        <w:spacing w:after="0" w:line="240" w:lineRule="auto"/>
        <w:jc w:val="both"/>
        <w:rPr>
          <w:rFonts w:ascii="Arial" w:hAnsi="Arial" w:cs="Arial"/>
          <w:b/>
          <w:sz w:val="24"/>
          <w:szCs w:val="24"/>
        </w:rPr>
      </w:pPr>
    </w:p>
    <w:p w14:paraId="0EC1E04B" w14:textId="3EC64A47" w:rsidR="00CD7A5C" w:rsidRDefault="00CD7A5C" w:rsidP="00DC54F7">
      <w:pPr>
        <w:jc w:val="both"/>
        <w:rPr>
          <w:rFonts w:ascii="Arial" w:hAnsi="Arial" w:cs="Arial"/>
          <w:b/>
          <w:sz w:val="24"/>
          <w:szCs w:val="24"/>
        </w:rPr>
      </w:pPr>
      <w:r>
        <w:rPr>
          <w:rFonts w:ascii="Arial" w:hAnsi="Arial" w:cs="Arial"/>
          <w:b/>
          <w:sz w:val="24"/>
          <w:szCs w:val="24"/>
        </w:rPr>
        <w:br w:type="page"/>
      </w:r>
    </w:p>
    <w:p w14:paraId="2CAAD745" w14:textId="7C7E2798" w:rsidR="00AD0FD4" w:rsidRPr="00243C3A" w:rsidRDefault="004D085A" w:rsidP="00DC54F7">
      <w:pPr>
        <w:spacing w:after="0" w:line="240" w:lineRule="auto"/>
        <w:jc w:val="both"/>
        <w:rPr>
          <w:rFonts w:ascii="Arial" w:hAnsi="Arial" w:cs="Arial"/>
          <w:b/>
          <w:sz w:val="24"/>
          <w:szCs w:val="24"/>
        </w:rPr>
      </w:pPr>
      <w:r w:rsidRPr="00243C3A">
        <w:rPr>
          <w:rFonts w:ascii="Arial" w:hAnsi="Arial" w:cs="Arial"/>
          <w:b/>
          <w:sz w:val="24"/>
          <w:szCs w:val="24"/>
        </w:rPr>
        <w:lastRenderedPageBreak/>
        <w:t xml:space="preserve">Map 11.1: Lower Super Output Areas (LSOAs) in Cardiff </w:t>
      </w:r>
      <w:r w:rsidR="00955FCC" w:rsidRPr="00243C3A">
        <w:rPr>
          <w:rFonts w:ascii="Arial" w:hAnsi="Arial" w:cs="Arial"/>
          <w:b/>
          <w:sz w:val="24"/>
          <w:szCs w:val="24"/>
        </w:rPr>
        <w:t>North</w:t>
      </w:r>
      <w:r w:rsidRPr="00243C3A">
        <w:rPr>
          <w:rFonts w:ascii="Arial" w:hAnsi="Arial" w:cs="Arial"/>
          <w:b/>
          <w:sz w:val="24"/>
          <w:szCs w:val="24"/>
        </w:rPr>
        <w:t xml:space="preserve"> cluster, grouped into quintiles by Welsh index of Multiple Deprivation 2019</w:t>
      </w:r>
    </w:p>
    <w:p w14:paraId="33FC08F6" w14:textId="33DED928" w:rsidR="00AD0FD4" w:rsidRDefault="00792BD2" w:rsidP="00DC54F7">
      <w:pPr>
        <w:spacing w:after="0" w:line="240" w:lineRule="auto"/>
        <w:jc w:val="both"/>
        <w:rPr>
          <w:rFonts w:ascii="Arial" w:hAnsi="Arial" w:cs="Arial"/>
          <w:b/>
        </w:rPr>
      </w:pPr>
      <w:r>
        <w:rPr>
          <w:noProof/>
          <w:lang w:eastAsia="en-GB"/>
        </w:rPr>
        <w:drawing>
          <wp:inline distT="0" distB="0" distL="0" distR="0" wp14:anchorId="60A20384" wp14:editId="1625EF02">
            <wp:extent cx="5731402" cy="3806456"/>
            <wp:effectExtent l="0" t="0" r="3175" b="381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742830" cy="3814046"/>
                    </a:xfrm>
                    <a:prstGeom prst="rect">
                      <a:avLst/>
                    </a:prstGeom>
                    <a:noFill/>
                    <a:ln>
                      <a:noFill/>
                    </a:ln>
                  </pic:spPr>
                </pic:pic>
              </a:graphicData>
            </a:graphic>
          </wp:inline>
        </w:drawing>
      </w:r>
    </w:p>
    <w:p w14:paraId="02BC90BA" w14:textId="77777777" w:rsidR="005C6BB3" w:rsidRDefault="005C6BB3" w:rsidP="00DC54F7">
      <w:pPr>
        <w:spacing w:after="0" w:line="240" w:lineRule="auto"/>
        <w:jc w:val="both"/>
        <w:rPr>
          <w:rFonts w:ascii="Arial" w:hAnsi="Arial" w:cs="Arial"/>
          <w:b/>
          <w:sz w:val="24"/>
          <w:szCs w:val="24"/>
        </w:rPr>
      </w:pPr>
    </w:p>
    <w:p w14:paraId="67A8774C" w14:textId="1988FB73" w:rsidR="002A487B" w:rsidRPr="007F6429" w:rsidRDefault="002801CF" w:rsidP="00DC54F7">
      <w:pPr>
        <w:spacing w:after="0" w:line="240" w:lineRule="auto"/>
        <w:jc w:val="both"/>
        <w:rPr>
          <w:rFonts w:ascii="Arial" w:hAnsi="Arial" w:cs="Arial"/>
          <w:b/>
          <w:sz w:val="24"/>
          <w:szCs w:val="24"/>
        </w:rPr>
      </w:pPr>
      <w:r>
        <w:rPr>
          <w:rFonts w:ascii="Arial" w:hAnsi="Arial" w:cs="Arial"/>
          <w:b/>
          <w:sz w:val="24"/>
          <w:szCs w:val="24"/>
        </w:rPr>
        <w:t xml:space="preserve">11.1.4 </w:t>
      </w:r>
      <w:r w:rsidR="002A487B" w:rsidRPr="007F6429">
        <w:rPr>
          <w:rFonts w:ascii="Arial" w:hAnsi="Arial" w:cs="Arial"/>
          <w:b/>
          <w:sz w:val="24"/>
          <w:szCs w:val="24"/>
        </w:rPr>
        <w:t>Health profile</w:t>
      </w:r>
    </w:p>
    <w:p w14:paraId="1A315B42" w14:textId="7286BDE7" w:rsidR="002A487B" w:rsidRDefault="002A487B" w:rsidP="00DC54F7">
      <w:pPr>
        <w:spacing w:after="0" w:line="240" w:lineRule="auto"/>
        <w:jc w:val="both"/>
        <w:rPr>
          <w:rFonts w:ascii="Arial" w:hAnsi="Arial" w:cs="Arial"/>
          <w:bCs/>
        </w:rPr>
      </w:pPr>
    </w:p>
    <w:p w14:paraId="487D8940" w14:textId="136B53D5" w:rsidR="00112CE4" w:rsidRPr="00877BDB" w:rsidRDefault="00112CE4" w:rsidP="00DC54F7">
      <w:pPr>
        <w:spacing w:after="0" w:line="240" w:lineRule="auto"/>
        <w:jc w:val="both"/>
        <w:rPr>
          <w:rFonts w:ascii="Arial" w:hAnsi="Arial" w:cs="Arial"/>
          <w:bCs/>
          <w:sz w:val="24"/>
          <w:szCs w:val="24"/>
        </w:rPr>
      </w:pPr>
      <w:r w:rsidRPr="00877BDB">
        <w:rPr>
          <w:rFonts w:ascii="Arial" w:hAnsi="Arial" w:cs="Arial"/>
          <w:bCs/>
          <w:sz w:val="24"/>
          <w:szCs w:val="24"/>
        </w:rPr>
        <w:t xml:space="preserve">Overall, the prevalence of chronic disease in Cardiff North cluster is lower than the average for Wales. When compared to </w:t>
      </w:r>
      <w:r w:rsidRPr="00877BDB">
        <w:rPr>
          <w:rFonts w:ascii="Arial" w:eastAsia="Times New Roman" w:hAnsi="Arial" w:cs="Arial"/>
          <w:color w:val="000000"/>
          <w:sz w:val="24"/>
          <w:szCs w:val="24"/>
          <w:lang w:eastAsia="en-GB"/>
        </w:rPr>
        <w:t xml:space="preserve">Cardiff and Vale University Health Board, </w:t>
      </w:r>
      <w:r w:rsidRPr="00877BDB">
        <w:rPr>
          <w:rFonts w:ascii="Arial" w:hAnsi="Arial" w:cs="Arial"/>
          <w:bCs/>
          <w:sz w:val="24"/>
          <w:szCs w:val="24"/>
        </w:rPr>
        <w:t>the estimated prevalence of asthma is higher</w:t>
      </w:r>
      <w:r w:rsidR="00EC77BE" w:rsidRPr="00877BDB">
        <w:rPr>
          <w:rFonts w:ascii="Arial" w:hAnsi="Arial" w:cs="Arial"/>
          <w:bCs/>
          <w:sz w:val="24"/>
          <w:szCs w:val="24"/>
        </w:rPr>
        <w:t xml:space="preserve"> and is the </w:t>
      </w:r>
      <w:r w:rsidR="008B6378" w:rsidRPr="00877BDB">
        <w:rPr>
          <w:rFonts w:ascii="Arial" w:hAnsi="Arial" w:cs="Arial"/>
          <w:bCs/>
          <w:sz w:val="24"/>
          <w:szCs w:val="24"/>
        </w:rPr>
        <w:t>third</w:t>
      </w:r>
      <w:r w:rsidR="00EC77BE" w:rsidRPr="00877BDB">
        <w:rPr>
          <w:rFonts w:ascii="Arial" w:hAnsi="Arial" w:cs="Arial"/>
          <w:bCs/>
          <w:sz w:val="24"/>
          <w:szCs w:val="24"/>
        </w:rPr>
        <w:t xml:space="preserve"> highest of all the clusters within the health board</w:t>
      </w:r>
      <w:r w:rsidR="00D14B40" w:rsidRPr="00877BDB">
        <w:rPr>
          <w:rFonts w:ascii="Arial" w:hAnsi="Arial" w:cs="Arial"/>
          <w:bCs/>
          <w:sz w:val="24"/>
          <w:szCs w:val="24"/>
        </w:rPr>
        <w:t>. T</w:t>
      </w:r>
      <w:r w:rsidR="008753BC" w:rsidRPr="00877BDB">
        <w:rPr>
          <w:rFonts w:ascii="Arial" w:hAnsi="Arial" w:cs="Arial"/>
          <w:bCs/>
          <w:sz w:val="24"/>
          <w:szCs w:val="24"/>
        </w:rPr>
        <w:t xml:space="preserve">he prevalence of </w:t>
      </w:r>
      <w:r w:rsidR="0049135E" w:rsidRPr="00877BDB">
        <w:rPr>
          <w:rFonts w:ascii="Arial" w:hAnsi="Arial" w:cs="Arial"/>
          <w:bCs/>
          <w:sz w:val="24"/>
          <w:szCs w:val="24"/>
        </w:rPr>
        <w:t>heart failure is also higher</w:t>
      </w:r>
      <w:r w:rsidR="00D14B40" w:rsidRPr="00877BDB">
        <w:rPr>
          <w:rFonts w:ascii="Arial" w:hAnsi="Arial" w:cs="Arial"/>
          <w:bCs/>
          <w:sz w:val="24"/>
          <w:szCs w:val="24"/>
        </w:rPr>
        <w:t xml:space="preserve"> than that of the health board</w:t>
      </w:r>
      <w:r w:rsidR="00EC77BE" w:rsidRPr="00877BDB">
        <w:rPr>
          <w:rFonts w:ascii="Arial" w:hAnsi="Arial" w:cs="Arial"/>
          <w:bCs/>
          <w:sz w:val="24"/>
          <w:szCs w:val="24"/>
        </w:rPr>
        <w:t xml:space="preserve">. </w:t>
      </w:r>
      <w:r w:rsidR="00505789" w:rsidRPr="00877BDB">
        <w:rPr>
          <w:rFonts w:ascii="Arial" w:hAnsi="Arial" w:cs="Arial"/>
          <w:bCs/>
          <w:sz w:val="24"/>
          <w:szCs w:val="24"/>
        </w:rPr>
        <w:t xml:space="preserve">The prevalence of diabetes is the second lowest of all the clusters </w:t>
      </w:r>
      <w:r w:rsidR="00C05356" w:rsidRPr="00877BDB">
        <w:rPr>
          <w:rFonts w:ascii="Arial" w:hAnsi="Arial" w:cs="Arial"/>
          <w:bCs/>
          <w:sz w:val="24"/>
          <w:szCs w:val="24"/>
        </w:rPr>
        <w:t>within the health board</w:t>
      </w:r>
      <w:r w:rsidR="003979C8" w:rsidRPr="00877BDB">
        <w:rPr>
          <w:rFonts w:ascii="Arial" w:hAnsi="Arial" w:cs="Arial"/>
          <w:bCs/>
          <w:sz w:val="24"/>
          <w:szCs w:val="24"/>
        </w:rPr>
        <w:t xml:space="preserve"> and the prevalence of </w:t>
      </w:r>
      <w:r w:rsidR="00854296" w:rsidRPr="00877BDB">
        <w:rPr>
          <w:rFonts w:ascii="Arial" w:hAnsi="Arial" w:cs="Arial"/>
          <w:bCs/>
          <w:sz w:val="24"/>
          <w:szCs w:val="24"/>
        </w:rPr>
        <w:t>chronic obstructive pulmonary disease (COPD) is the joint lowest</w:t>
      </w:r>
      <w:r w:rsidR="00D23502" w:rsidRPr="00877BDB">
        <w:rPr>
          <w:rFonts w:ascii="Arial" w:hAnsi="Arial" w:cs="Arial"/>
          <w:bCs/>
          <w:sz w:val="24"/>
          <w:szCs w:val="24"/>
        </w:rPr>
        <w:t xml:space="preserve"> of all the clusters within the health board.</w:t>
      </w:r>
    </w:p>
    <w:p w14:paraId="1FC2B6FB" w14:textId="77777777" w:rsidR="00C05356" w:rsidRDefault="00C05356" w:rsidP="00DC54F7">
      <w:pPr>
        <w:pStyle w:val="Caption"/>
        <w:spacing w:before="0" w:after="0"/>
        <w:jc w:val="both"/>
        <w:rPr>
          <w:rFonts w:ascii="Arial" w:hAnsi="Arial" w:cs="Arial"/>
          <w:sz w:val="22"/>
          <w:szCs w:val="22"/>
        </w:rPr>
      </w:pPr>
    </w:p>
    <w:p w14:paraId="6616CE3D" w14:textId="10561EDF" w:rsidR="0063382E" w:rsidRPr="00877BDB" w:rsidRDefault="00AD0A27" w:rsidP="00DC54F7">
      <w:pPr>
        <w:pStyle w:val="Caption"/>
        <w:spacing w:before="0" w:after="0"/>
        <w:jc w:val="both"/>
        <w:rPr>
          <w:rFonts w:ascii="Arial" w:hAnsi="Arial" w:cs="Arial"/>
          <w:szCs w:val="24"/>
        </w:rPr>
      </w:pPr>
      <w:r w:rsidRPr="00877BDB">
        <w:rPr>
          <w:rFonts w:ascii="Arial" w:hAnsi="Arial" w:cs="Arial"/>
          <w:szCs w:val="24"/>
        </w:rPr>
        <w:t>Table 11.</w:t>
      </w:r>
      <w:r w:rsidR="00616929" w:rsidRPr="00877BDB">
        <w:rPr>
          <w:rFonts w:ascii="Arial" w:hAnsi="Arial" w:cs="Arial"/>
          <w:szCs w:val="24"/>
        </w:rPr>
        <w:t>3</w:t>
      </w:r>
      <w:r w:rsidRPr="00877BDB">
        <w:rPr>
          <w:rFonts w:ascii="Arial" w:hAnsi="Arial" w:cs="Arial"/>
          <w:szCs w:val="24"/>
        </w:rPr>
        <w:t xml:space="preserve">: Estimated percentage </w:t>
      </w:r>
      <w:r w:rsidR="00027872" w:rsidRPr="00877BDB">
        <w:rPr>
          <w:rFonts w:ascii="Arial" w:hAnsi="Arial" w:cs="Arial"/>
          <w:szCs w:val="24"/>
        </w:rPr>
        <w:t>prevalence of chronic conditions</w:t>
      </w:r>
      <w:r w:rsidRPr="00877BDB">
        <w:rPr>
          <w:rFonts w:ascii="Arial" w:hAnsi="Arial" w:cs="Arial"/>
          <w:szCs w:val="24"/>
        </w:rPr>
        <w:t xml:space="preserve"> based on patients on GP practice registers by cluster, local authority, health board and Wales, 2019</w:t>
      </w:r>
    </w:p>
    <w:tbl>
      <w:tblPr>
        <w:tblW w:w="9558" w:type="dxa"/>
        <w:tblLook w:val="04A0" w:firstRow="1" w:lastRow="0" w:firstColumn="1" w:lastColumn="0" w:noHBand="0" w:noVBand="1"/>
      </w:tblPr>
      <w:tblGrid>
        <w:gridCol w:w="2327"/>
        <w:gridCol w:w="1204"/>
        <w:gridCol w:w="1204"/>
        <w:gridCol w:w="1204"/>
        <w:gridCol w:w="1204"/>
        <w:gridCol w:w="1204"/>
        <w:gridCol w:w="1211"/>
      </w:tblGrid>
      <w:tr w:rsidR="00B805CD" w:rsidRPr="00B805CD" w14:paraId="74DCB574" w14:textId="77777777" w:rsidTr="00877BDB">
        <w:trPr>
          <w:trHeight w:val="337"/>
        </w:trPr>
        <w:tc>
          <w:tcPr>
            <w:tcW w:w="2327" w:type="dxa"/>
            <w:tcBorders>
              <w:top w:val="single" w:sz="4" w:space="0" w:color="auto"/>
              <w:left w:val="single" w:sz="4" w:space="0" w:color="auto"/>
              <w:bottom w:val="nil"/>
              <w:right w:val="nil"/>
            </w:tcBorders>
            <w:shd w:val="clear" w:color="auto" w:fill="8497B0"/>
            <w:noWrap/>
            <w:vAlign w:val="bottom"/>
            <w:hideMark/>
          </w:tcPr>
          <w:p w14:paraId="7F133F1B" w14:textId="77777777"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 </w:t>
            </w:r>
          </w:p>
        </w:tc>
        <w:tc>
          <w:tcPr>
            <w:tcW w:w="7231" w:type="dxa"/>
            <w:gridSpan w:val="6"/>
            <w:tcBorders>
              <w:top w:val="single" w:sz="4" w:space="0" w:color="auto"/>
              <w:left w:val="nil"/>
              <w:bottom w:val="single" w:sz="4" w:space="0" w:color="FFFFFF"/>
              <w:right w:val="single" w:sz="4" w:space="0" w:color="auto"/>
            </w:tcBorders>
            <w:shd w:val="clear" w:color="auto" w:fill="8497B0"/>
            <w:noWrap/>
            <w:vAlign w:val="bottom"/>
            <w:hideMark/>
          </w:tcPr>
          <w:p w14:paraId="2068F070" w14:textId="77777777" w:rsidR="00B805CD" w:rsidRPr="00877BDB" w:rsidRDefault="00B805CD" w:rsidP="00DC54F7">
            <w:pPr>
              <w:spacing w:after="0" w:line="240" w:lineRule="auto"/>
              <w:jc w:val="both"/>
              <w:rPr>
                <w:rFonts w:ascii="Calibri" w:eastAsia="Times New Roman" w:hAnsi="Calibri" w:cs="Calibri"/>
                <w:b/>
                <w:bCs/>
                <w:color w:val="FFFFFF"/>
                <w:lang w:eastAsia="en-GB"/>
              </w:rPr>
            </w:pPr>
            <w:r w:rsidRPr="00877BDB">
              <w:rPr>
                <w:rFonts w:ascii="Calibri" w:eastAsia="Times New Roman" w:hAnsi="Calibri" w:cs="Calibri"/>
                <w:b/>
                <w:bCs/>
                <w:color w:val="FFFFFF"/>
                <w:lang w:eastAsia="en-GB"/>
              </w:rPr>
              <w:t>Percentage</w:t>
            </w:r>
          </w:p>
        </w:tc>
      </w:tr>
      <w:tr w:rsidR="00B805CD" w:rsidRPr="00B805CD" w14:paraId="436C042C" w14:textId="77777777" w:rsidTr="00877BDB">
        <w:trPr>
          <w:trHeight w:val="1225"/>
        </w:trPr>
        <w:tc>
          <w:tcPr>
            <w:tcW w:w="2327" w:type="dxa"/>
            <w:tcBorders>
              <w:top w:val="nil"/>
              <w:left w:val="single" w:sz="4" w:space="0" w:color="auto"/>
              <w:bottom w:val="nil"/>
              <w:right w:val="nil"/>
            </w:tcBorders>
            <w:shd w:val="clear" w:color="auto" w:fill="8497B0"/>
            <w:noWrap/>
            <w:vAlign w:val="bottom"/>
            <w:hideMark/>
          </w:tcPr>
          <w:p w14:paraId="522A08E4" w14:textId="77777777" w:rsidR="00B805CD" w:rsidRPr="00877BDB" w:rsidRDefault="00B805CD" w:rsidP="00DC54F7">
            <w:pPr>
              <w:spacing w:after="0" w:line="240" w:lineRule="auto"/>
              <w:jc w:val="both"/>
              <w:rPr>
                <w:rFonts w:ascii="Calibri" w:eastAsia="Times New Roman" w:hAnsi="Calibri" w:cs="Calibri"/>
                <w:b/>
                <w:bCs/>
                <w:color w:val="FFFFFF"/>
                <w:lang w:eastAsia="en-GB"/>
              </w:rPr>
            </w:pPr>
            <w:r w:rsidRPr="00877BDB">
              <w:rPr>
                <w:rFonts w:ascii="Calibri" w:eastAsia="Times New Roman" w:hAnsi="Calibri" w:cs="Calibri"/>
                <w:b/>
                <w:bCs/>
                <w:color w:val="FFFFFF"/>
                <w:lang w:eastAsia="en-GB"/>
              </w:rPr>
              <w:t>Area</w:t>
            </w:r>
          </w:p>
        </w:tc>
        <w:tc>
          <w:tcPr>
            <w:tcW w:w="1204" w:type="dxa"/>
            <w:tcBorders>
              <w:top w:val="nil"/>
              <w:left w:val="nil"/>
              <w:bottom w:val="nil"/>
              <w:right w:val="nil"/>
            </w:tcBorders>
            <w:shd w:val="clear" w:color="auto" w:fill="8497B0"/>
            <w:vAlign w:val="bottom"/>
            <w:hideMark/>
          </w:tcPr>
          <w:p w14:paraId="31A40672" w14:textId="77777777" w:rsidR="00B805CD" w:rsidRPr="00877BDB" w:rsidRDefault="00B805CD" w:rsidP="00DC54F7">
            <w:pPr>
              <w:spacing w:after="0" w:line="240" w:lineRule="auto"/>
              <w:jc w:val="both"/>
              <w:rPr>
                <w:rFonts w:ascii="Calibri" w:eastAsia="Times New Roman" w:hAnsi="Calibri" w:cs="Calibri"/>
                <w:b/>
                <w:bCs/>
                <w:color w:val="FFFFFF"/>
                <w:lang w:eastAsia="en-GB"/>
              </w:rPr>
            </w:pPr>
            <w:r w:rsidRPr="00877BDB">
              <w:rPr>
                <w:rFonts w:ascii="Calibri" w:eastAsia="Times New Roman" w:hAnsi="Calibri" w:cs="Calibri"/>
                <w:b/>
                <w:bCs/>
                <w:color w:val="FFFFFF"/>
                <w:lang w:eastAsia="en-GB"/>
              </w:rPr>
              <w:t>Asthma</w:t>
            </w:r>
          </w:p>
        </w:tc>
        <w:tc>
          <w:tcPr>
            <w:tcW w:w="1204" w:type="dxa"/>
            <w:tcBorders>
              <w:top w:val="nil"/>
              <w:left w:val="nil"/>
              <w:bottom w:val="nil"/>
              <w:right w:val="nil"/>
            </w:tcBorders>
            <w:shd w:val="clear" w:color="auto" w:fill="8497B0"/>
            <w:vAlign w:val="bottom"/>
            <w:hideMark/>
          </w:tcPr>
          <w:p w14:paraId="7C98014D" w14:textId="77777777" w:rsidR="00B805CD" w:rsidRPr="00877BDB" w:rsidRDefault="00B805CD" w:rsidP="00DC54F7">
            <w:pPr>
              <w:spacing w:after="0" w:line="240" w:lineRule="auto"/>
              <w:jc w:val="both"/>
              <w:rPr>
                <w:rFonts w:ascii="Calibri" w:eastAsia="Times New Roman" w:hAnsi="Calibri" w:cs="Calibri"/>
                <w:b/>
                <w:bCs/>
                <w:color w:val="FFFFFF"/>
                <w:lang w:eastAsia="en-GB"/>
              </w:rPr>
            </w:pPr>
            <w:r w:rsidRPr="00877BDB">
              <w:rPr>
                <w:rFonts w:ascii="Calibri" w:eastAsia="Times New Roman" w:hAnsi="Calibri" w:cs="Calibri"/>
                <w:b/>
                <w:bCs/>
                <w:color w:val="FFFFFF"/>
                <w:lang w:eastAsia="en-GB"/>
              </w:rPr>
              <w:t>Coronary heart disease</w:t>
            </w:r>
          </w:p>
        </w:tc>
        <w:tc>
          <w:tcPr>
            <w:tcW w:w="1204" w:type="dxa"/>
            <w:tcBorders>
              <w:top w:val="nil"/>
              <w:left w:val="nil"/>
              <w:bottom w:val="nil"/>
              <w:right w:val="nil"/>
            </w:tcBorders>
            <w:shd w:val="clear" w:color="auto" w:fill="8497B0"/>
            <w:vAlign w:val="bottom"/>
            <w:hideMark/>
          </w:tcPr>
          <w:p w14:paraId="6E76E885" w14:textId="77777777" w:rsidR="00B805CD" w:rsidRPr="00877BDB" w:rsidRDefault="00B805CD" w:rsidP="00DC54F7">
            <w:pPr>
              <w:spacing w:after="0" w:line="240" w:lineRule="auto"/>
              <w:jc w:val="both"/>
              <w:rPr>
                <w:rFonts w:ascii="Calibri" w:eastAsia="Times New Roman" w:hAnsi="Calibri" w:cs="Calibri"/>
                <w:b/>
                <w:bCs/>
                <w:color w:val="FFFFFF"/>
                <w:lang w:eastAsia="en-GB"/>
              </w:rPr>
            </w:pPr>
            <w:r w:rsidRPr="00877BDB">
              <w:rPr>
                <w:rFonts w:ascii="Calibri" w:eastAsia="Times New Roman" w:hAnsi="Calibri" w:cs="Calibri"/>
                <w:b/>
                <w:bCs/>
                <w:color w:val="FFFFFF"/>
                <w:lang w:eastAsia="en-GB"/>
              </w:rPr>
              <w:t>COPD</w:t>
            </w:r>
          </w:p>
        </w:tc>
        <w:tc>
          <w:tcPr>
            <w:tcW w:w="1204" w:type="dxa"/>
            <w:tcBorders>
              <w:top w:val="nil"/>
              <w:left w:val="nil"/>
              <w:bottom w:val="nil"/>
              <w:right w:val="nil"/>
            </w:tcBorders>
            <w:shd w:val="clear" w:color="auto" w:fill="8497B0"/>
            <w:vAlign w:val="bottom"/>
            <w:hideMark/>
          </w:tcPr>
          <w:p w14:paraId="62C338C4" w14:textId="77777777" w:rsidR="00B805CD" w:rsidRPr="00877BDB" w:rsidRDefault="00B805CD" w:rsidP="00DC54F7">
            <w:pPr>
              <w:spacing w:after="0" w:line="240" w:lineRule="auto"/>
              <w:jc w:val="both"/>
              <w:rPr>
                <w:rFonts w:ascii="Calibri" w:eastAsia="Times New Roman" w:hAnsi="Calibri" w:cs="Calibri"/>
                <w:b/>
                <w:bCs/>
                <w:color w:val="FFFFFF"/>
                <w:lang w:eastAsia="en-GB"/>
              </w:rPr>
            </w:pPr>
            <w:r w:rsidRPr="00877BDB">
              <w:rPr>
                <w:rFonts w:ascii="Calibri" w:eastAsia="Times New Roman" w:hAnsi="Calibri" w:cs="Calibri"/>
                <w:b/>
                <w:bCs/>
                <w:color w:val="FFFFFF"/>
                <w:lang w:eastAsia="en-GB"/>
              </w:rPr>
              <w:t>Diabetes</w:t>
            </w:r>
          </w:p>
        </w:tc>
        <w:tc>
          <w:tcPr>
            <w:tcW w:w="1204" w:type="dxa"/>
            <w:tcBorders>
              <w:top w:val="nil"/>
              <w:left w:val="nil"/>
              <w:bottom w:val="nil"/>
              <w:right w:val="nil"/>
            </w:tcBorders>
            <w:shd w:val="clear" w:color="auto" w:fill="8497B0"/>
            <w:vAlign w:val="bottom"/>
            <w:hideMark/>
          </w:tcPr>
          <w:p w14:paraId="76659A2E" w14:textId="77777777" w:rsidR="00B805CD" w:rsidRPr="00877BDB" w:rsidRDefault="00B805CD" w:rsidP="00DC54F7">
            <w:pPr>
              <w:spacing w:after="0" w:line="240" w:lineRule="auto"/>
              <w:jc w:val="both"/>
              <w:rPr>
                <w:rFonts w:ascii="Calibri" w:eastAsia="Times New Roman" w:hAnsi="Calibri" w:cs="Calibri"/>
                <w:b/>
                <w:bCs/>
                <w:color w:val="FFFFFF"/>
                <w:lang w:eastAsia="en-GB"/>
              </w:rPr>
            </w:pPr>
            <w:r w:rsidRPr="00877BDB">
              <w:rPr>
                <w:rFonts w:ascii="Calibri" w:eastAsia="Times New Roman" w:hAnsi="Calibri" w:cs="Calibri"/>
                <w:b/>
                <w:bCs/>
                <w:color w:val="FFFFFF"/>
                <w:lang w:eastAsia="en-GB"/>
              </w:rPr>
              <w:t>Heart failure</w:t>
            </w:r>
          </w:p>
        </w:tc>
        <w:tc>
          <w:tcPr>
            <w:tcW w:w="1210" w:type="dxa"/>
            <w:tcBorders>
              <w:top w:val="nil"/>
              <w:left w:val="nil"/>
              <w:bottom w:val="single" w:sz="4" w:space="0" w:color="A9D08E"/>
              <w:right w:val="single" w:sz="4" w:space="0" w:color="auto"/>
            </w:tcBorders>
            <w:shd w:val="clear" w:color="auto" w:fill="8497B0"/>
            <w:vAlign w:val="bottom"/>
            <w:hideMark/>
          </w:tcPr>
          <w:p w14:paraId="32D8D4E4" w14:textId="77777777" w:rsidR="00B805CD" w:rsidRPr="00877BDB" w:rsidRDefault="00B805CD" w:rsidP="00DC54F7">
            <w:pPr>
              <w:spacing w:after="0" w:line="240" w:lineRule="auto"/>
              <w:jc w:val="both"/>
              <w:rPr>
                <w:rFonts w:ascii="Calibri" w:eastAsia="Times New Roman" w:hAnsi="Calibri" w:cs="Calibri"/>
                <w:b/>
                <w:bCs/>
                <w:color w:val="FFFFFF"/>
                <w:lang w:eastAsia="en-GB"/>
              </w:rPr>
            </w:pPr>
            <w:r w:rsidRPr="00877BDB">
              <w:rPr>
                <w:rFonts w:ascii="Calibri" w:eastAsia="Times New Roman" w:hAnsi="Calibri" w:cs="Calibri"/>
                <w:b/>
                <w:bCs/>
                <w:color w:val="FFFFFF"/>
                <w:lang w:eastAsia="en-GB"/>
              </w:rPr>
              <w:t>Stroke and transient ischaemic attacks</w:t>
            </w:r>
          </w:p>
        </w:tc>
      </w:tr>
      <w:tr w:rsidR="00B805CD" w:rsidRPr="00B805CD" w14:paraId="024BB41F" w14:textId="77777777" w:rsidTr="00877BDB">
        <w:trPr>
          <w:trHeight w:val="337"/>
        </w:trPr>
        <w:tc>
          <w:tcPr>
            <w:tcW w:w="2327" w:type="dxa"/>
            <w:tcBorders>
              <w:top w:val="nil"/>
              <w:left w:val="single" w:sz="4" w:space="0" w:color="auto"/>
              <w:bottom w:val="nil"/>
              <w:right w:val="nil"/>
            </w:tcBorders>
            <w:shd w:val="clear" w:color="000000" w:fill="F2F2F2"/>
            <w:noWrap/>
            <w:vAlign w:val="bottom"/>
            <w:hideMark/>
          </w:tcPr>
          <w:p w14:paraId="21E8E18E" w14:textId="77777777"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Cardiff North</w:t>
            </w:r>
          </w:p>
        </w:tc>
        <w:tc>
          <w:tcPr>
            <w:tcW w:w="1204" w:type="dxa"/>
            <w:tcBorders>
              <w:top w:val="nil"/>
              <w:left w:val="nil"/>
              <w:bottom w:val="nil"/>
              <w:right w:val="nil"/>
            </w:tcBorders>
            <w:shd w:val="clear" w:color="000000" w:fill="F2F2F2"/>
            <w:noWrap/>
            <w:vAlign w:val="bottom"/>
            <w:hideMark/>
          </w:tcPr>
          <w:p w14:paraId="7E21C8B1" w14:textId="06E9F199"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7.0</w:t>
            </w:r>
          </w:p>
        </w:tc>
        <w:tc>
          <w:tcPr>
            <w:tcW w:w="1204" w:type="dxa"/>
            <w:tcBorders>
              <w:top w:val="nil"/>
              <w:left w:val="nil"/>
              <w:bottom w:val="nil"/>
              <w:right w:val="nil"/>
            </w:tcBorders>
            <w:shd w:val="clear" w:color="000000" w:fill="F2F2F2"/>
            <w:noWrap/>
            <w:vAlign w:val="bottom"/>
            <w:hideMark/>
          </w:tcPr>
          <w:p w14:paraId="711D32C5" w14:textId="115D0A7C"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2.6</w:t>
            </w:r>
          </w:p>
        </w:tc>
        <w:tc>
          <w:tcPr>
            <w:tcW w:w="1204" w:type="dxa"/>
            <w:tcBorders>
              <w:top w:val="nil"/>
              <w:left w:val="nil"/>
              <w:bottom w:val="nil"/>
              <w:right w:val="nil"/>
            </w:tcBorders>
            <w:shd w:val="clear" w:color="000000" w:fill="F2F2F2"/>
            <w:noWrap/>
            <w:vAlign w:val="bottom"/>
            <w:hideMark/>
          </w:tcPr>
          <w:p w14:paraId="0831B52B" w14:textId="3DE13F7B"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1.2</w:t>
            </w:r>
          </w:p>
        </w:tc>
        <w:tc>
          <w:tcPr>
            <w:tcW w:w="1204" w:type="dxa"/>
            <w:tcBorders>
              <w:top w:val="nil"/>
              <w:left w:val="nil"/>
              <w:bottom w:val="nil"/>
              <w:right w:val="nil"/>
            </w:tcBorders>
            <w:shd w:val="clear" w:color="000000" w:fill="F2F2F2"/>
            <w:noWrap/>
            <w:vAlign w:val="bottom"/>
            <w:hideMark/>
          </w:tcPr>
          <w:p w14:paraId="75FFE100" w14:textId="54F0847B"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4.3</w:t>
            </w:r>
          </w:p>
        </w:tc>
        <w:tc>
          <w:tcPr>
            <w:tcW w:w="1204" w:type="dxa"/>
            <w:tcBorders>
              <w:top w:val="nil"/>
              <w:left w:val="nil"/>
              <w:bottom w:val="nil"/>
              <w:right w:val="nil"/>
            </w:tcBorders>
            <w:shd w:val="clear" w:color="000000" w:fill="F2F2F2"/>
            <w:noWrap/>
            <w:vAlign w:val="bottom"/>
            <w:hideMark/>
          </w:tcPr>
          <w:p w14:paraId="7467A78C" w14:textId="2D153D13"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1.0</w:t>
            </w:r>
          </w:p>
        </w:tc>
        <w:tc>
          <w:tcPr>
            <w:tcW w:w="1210" w:type="dxa"/>
            <w:tcBorders>
              <w:top w:val="nil"/>
              <w:left w:val="nil"/>
              <w:bottom w:val="nil"/>
              <w:right w:val="single" w:sz="4" w:space="0" w:color="auto"/>
            </w:tcBorders>
            <w:shd w:val="clear" w:color="000000" w:fill="F2F2F2"/>
            <w:noWrap/>
            <w:vAlign w:val="bottom"/>
            <w:hideMark/>
          </w:tcPr>
          <w:p w14:paraId="47938B16" w14:textId="7737503E"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1.7</w:t>
            </w:r>
          </w:p>
        </w:tc>
      </w:tr>
      <w:tr w:rsidR="00B805CD" w:rsidRPr="00B805CD" w14:paraId="1254A8FE" w14:textId="77777777" w:rsidTr="00877BDB">
        <w:trPr>
          <w:trHeight w:val="337"/>
        </w:trPr>
        <w:tc>
          <w:tcPr>
            <w:tcW w:w="2327" w:type="dxa"/>
            <w:tcBorders>
              <w:top w:val="nil"/>
              <w:left w:val="single" w:sz="4" w:space="0" w:color="auto"/>
              <w:bottom w:val="nil"/>
              <w:right w:val="nil"/>
            </w:tcBorders>
            <w:shd w:val="clear" w:color="000000" w:fill="FFFFFF"/>
            <w:noWrap/>
            <w:vAlign w:val="bottom"/>
            <w:hideMark/>
          </w:tcPr>
          <w:p w14:paraId="2D49B6AB" w14:textId="77777777"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Cardiff</w:t>
            </w:r>
          </w:p>
        </w:tc>
        <w:tc>
          <w:tcPr>
            <w:tcW w:w="1204" w:type="dxa"/>
            <w:tcBorders>
              <w:top w:val="nil"/>
              <w:left w:val="nil"/>
              <w:bottom w:val="nil"/>
              <w:right w:val="nil"/>
            </w:tcBorders>
            <w:shd w:val="clear" w:color="000000" w:fill="FFFFFF"/>
            <w:noWrap/>
            <w:vAlign w:val="bottom"/>
            <w:hideMark/>
          </w:tcPr>
          <w:p w14:paraId="7FF19ACE" w14:textId="57E6285D"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6.6</w:t>
            </w:r>
          </w:p>
        </w:tc>
        <w:tc>
          <w:tcPr>
            <w:tcW w:w="1204" w:type="dxa"/>
            <w:tcBorders>
              <w:top w:val="nil"/>
              <w:left w:val="nil"/>
              <w:bottom w:val="nil"/>
              <w:right w:val="nil"/>
            </w:tcBorders>
            <w:shd w:val="clear" w:color="000000" w:fill="FFFFFF"/>
            <w:noWrap/>
            <w:vAlign w:val="bottom"/>
            <w:hideMark/>
          </w:tcPr>
          <w:p w14:paraId="72CCDC20" w14:textId="396801E7"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2.5</w:t>
            </w:r>
          </w:p>
        </w:tc>
        <w:tc>
          <w:tcPr>
            <w:tcW w:w="1204" w:type="dxa"/>
            <w:tcBorders>
              <w:top w:val="nil"/>
              <w:left w:val="nil"/>
              <w:bottom w:val="nil"/>
              <w:right w:val="nil"/>
            </w:tcBorders>
            <w:shd w:val="clear" w:color="000000" w:fill="FFFFFF"/>
            <w:noWrap/>
            <w:vAlign w:val="bottom"/>
            <w:hideMark/>
          </w:tcPr>
          <w:p w14:paraId="3825AB3D" w14:textId="054D2B3A"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1.6</w:t>
            </w:r>
          </w:p>
        </w:tc>
        <w:tc>
          <w:tcPr>
            <w:tcW w:w="1204" w:type="dxa"/>
            <w:tcBorders>
              <w:top w:val="nil"/>
              <w:left w:val="nil"/>
              <w:bottom w:val="nil"/>
              <w:right w:val="nil"/>
            </w:tcBorders>
            <w:shd w:val="clear" w:color="000000" w:fill="FFFFFF"/>
            <w:noWrap/>
            <w:vAlign w:val="bottom"/>
            <w:hideMark/>
          </w:tcPr>
          <w:p w14:paraId="1827277E" w14:textId="2A17437E"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4.9</w:t>
            </w:r>
          </w:p>
        </w:tc>
        <w:tc>
          <w:tcPr>
            <w:tcW w:w="1204" w:type="dxa"/>
            <w:tcBorders>
              <w:top w:val="nil"/>
              <w:left w:val="nil"/>
              <w:bottom w:val="nil"/>
              <w:right w:val="nil"/>
            </w:tcBorders>
            <w:shd w:val="clear" w:color="000000" w:fill="FFFFFF"/>
            <w:noWrap/>
            <w:vAlign w:val="bottom"/>
            <w:hideMark/>
          </w:tcPr>
          <w:p w14:paraId="3122C891" w14:textId="22D4DF6A"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0.8</w:t>
            </w:r>
          </w:p>
        </w:tc>
        <w:tc>
          <w:tcPr>
            <w:tcW w:w="1210" w:type="dxa"/>
            <w:tcBorders>
              <w:top w:val="nil"/>
              <w:left w:val="nil"/>
              <w:bottom w:val="nil"/>
              <w:right w:val="single" w:sz="4" w:space="0" w:color="auto"/>
            </w:tcBorders>
            <w:shd w:val="clear" w:color="000000" w:fill="FFFFFF"/>
            <w:noWrap/>
            <w:vAlign w:val="bottom"/>
            <w:hideMark/>
          </w:tcPr>
          <w:p w14:paraId="1E753A92" w14:textId="200E5FE6"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1.6</w:t>
            </w:r>
          </w:p>
        </w:tc>
      </w:tr>
      <w:tr w:rsidR="00B805CD" w:rsidRPr="00B805CD" w14:paraId="53EAE6A8" w14:textId="77777777" w:rsidTr="00877BDB">
        <w:trPr>
          <w:trHeight w:val="337"/>
        </w:trPr>
        <w:tc>
          <w:tcPr>
            <w:tcW w:w="2327" w:type="dxa"/>
            <w:tcBorders>
              <w:top w:val="nil"/>
              <w:left w:val="single" w:sz="4" w:space="0" w:color="auto"/>
              <w:bottom w:val="nil"/>
              <w:right w:val="nil"/>
            </w:tcBorders>
            <w:shd w:val="clear" w:color="000000" w:fill="F2F2F2"/>
            <w:noWrap/>
            <w:vAlign w:val="bottom"/>
            <w:hideMark/>
          </w:tcPr>
          <w:p w14:paraId="54E3C35B" w14:textId="77777777"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Cardiff and Vale UHB</w:t>
            </w:r>
          </w:p>
        </w:tc>
        <w:tc>
          <w:tcPr>
            <w:tcW w:w="1204" w:type="dxa"/>
            <w:tcBorders>
              <w:top w:val="nil"/>
              <w:left w:val="nil"/>
              <w:bottom w:val="nil"/>
              <w:right w:val="nil"/>
            </w:tcBorders>
            <w:shd w:val="clear" w:color="000000" w:fill="F2F2F2"/>
            <w:noWrap/>
            <w:vAlign w:val="bottom"/>
            <w:hideMark/>
          </w:tcPr>
          <w:p w14:paraId="40CA64E8" w14:textId="33A750F3"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6.7</w:t>
            </w:r>
          </w:p>
        </w:tc>
        <w:tc>
          <w:tcPr>
            <w:tcW w:w="1204" w:type="dxa"/>
            <w:tcBorders>
              <w:top w:val="nil"/>
              <w:left w:val="nil"/>
              <w:bottom w:val="nil"/>
              <w:right w:val="nil"/>
            </w:tcBorders>
            <w:shd w:val="clear" w:color="000000" w:fill="F2F2F2"/>
            <w:noWrap/>
            <w:vAlign w:val="bottom"/>
            <w:hideMark/>
          </w:tcPr>
          <w:p w14:paraId="2F8DF2DF" w14:textId="661DC000"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2.7</w:t>
            </w:r>
          </w:p>
        </w:tc>
        <w:tc>
          <w:tcPr>
            <w:tcW w:w="1204" w:type="dxa"/>
            <w:tcBorders>
              <w:top w:val="nil"/>
              <w:left w:val="nil"/>
              <w:bottom w:val="nil"/>
              <w:right w:val="nil"/>
            </w:tcBorders>
            <w:shd w:val="clear" w:color="000000" w:fill="F2F2F2"/>
            <w:noWrap/>
            <w:vAlign w:val="bottom"/>
            <w:hideMark/>
          </w:tcPr>
          <w:p w14:paraId="73AB1FA3" w14:textId="7C8005DE"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1.7</w:t>
            </w:r>
          </w:p>
        </w:tc>
        <w:tc>
          <w:tcPr>
            <w:tcW w:w="1204" w:type="dxa"/>
            <w:tcBorders>
              <w:top w:val="nil"/>
              <w:left w:val="nil"/>
              <w:bottom w:val="nil"/>
              <w:right w:val="nil"/>
            </w:tcBorders>
            <w:shd w:val="clear" w:color="000000" w:fill="F2F2F2"/>
            <w:noWrap/>
            <w:vAlign w:val="bottom"/>
            <w:hideMark/>
          </w:tcPr>
          <w:p w14:paraId="06E9AD20" w14:textId="59850653"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5.0</w:t>
            </w:r>
          </w:p>
        </w:tc>
        <w:tc>
          <w:tcPr>
            <w:tcW w:w="1204" w:type="dxa"/>
            <w:tcBorders>
              <w:top w:val="nil"/>
              <w:left w:val="nil"/>
              <w:bottom w:val="nil"/>
              <w:right w:val="nil"/>
            </w:tcBorders>
            <w:shd w:val="clear" w:color="000000" w:fill="F2F2F2"/>
            <w:noWrap/>
            <w:vAlign w:val="bottom"/>
            <w:hideMark/>
          </w:tcPr>
          <w:p w14:paraId="4DA3504F" w14:textId="5B8BB35B"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0.9</w:t>
            </w:r>
          </w:p>
        </w:tc>
        <w:tc>
          <w:tcPr>
            <w:tcW w:w="1210" w:type="dxa"/>
            <w:tcBorders>
              <w:top w:val="nil"/>
              <w:left w:val="nil"/>
              <w:bottom w:val="nil"/>
              <w:right w:val="single" w:sz="4" w:space="0" w:color="auto"/>
            </w:tcBorders>
            <w:shd w:val="clear" w:color="000000" w:fill="F2F2F2"/>
            <w:noWrap/>
            <w:vAlign w:val="bottom"/>
            <w:hideMark/>
          </w:tcPr>
          <w:p w14:paraId="0D4CBC92" w14:textId="6281BA51"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1.7</w:t>
            </w:r>
          </w:p>
        </w:tc>
      </w:tr>
      <w:tr w:rsidR="00B805CD" w:rsidRPr="00B805CD" w14:paraId="70839FA8" w14:textId="77777777" w:rsidTr="00877BDB">
        <w:trPr>
          <w:trHeight w:val="337"/>
        </w:trPr>
        <w:tc>
          <w:tcPr>
            <w:tcW w:w="2327" w:type="dxa"/>
            <w:tcBorders>
              <w:top w:val="nil"/>
              <w:left w:val="single" w:sz="4" w:space="0" w:color="auto"/>
              <w:bottom w:val="single" w:sz="4" w:space="0" w:color="auto"/>
              <w:right w:val="nil"/>
            </w:tcBorders>
            <w:shd w:val="clear" w:color="000000" w:fill="FFFFFF"/>
            <w:noWrap/>
            <w:vAlign w:val="bottom"/>
            <w:hideMark/>
          </w:tcPr>
          <w:p w14:paraId="759FAF04" w14:textId="77777777"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Wales</w:t>
            </w:r>
          </w:p>
        </w:tc>
        <w:tc>
          <w:tcPr>
            <w:tcW w:w="1204" w:type="dxa"/>
            <w:tcBorders>
              <w:top w:val="nil"/>
              <w:left w:val="nil"/>
              <w:bottom w:val="single" w:sz="4" w:space="0" w:color="auto"/>
              <w:right w:val="nil"/>
            </w:tcBorders>
            <w:shd w:val="clear" w:color="000000" w:fill="FFFFFF"/>
            <w:noWrap/>
            <w:vAlign w:val="bottom"/>
            <w:hideMark/>
          </w:tcPr>
          <w:p w14:paraId="0A0A338D" w14:textId="34D959F6"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7.1</w:t>
            </w:r>
          </w:p>
        </w:tc>
        <w:tc>
          <w:tcPr>
            <w:tcW w:w="1204" w:type="dxa"/>
            <w:tcBorders>
              <w:top w:val="nil"/>
              <w:left w:val="nil"/>
              <w:bottom w:val="single" w:sz="4" w:space="0" w:color="auto"/>
              <w:right w:val="nil"/>
            </w:tcBorders>
            <w:shd w:val="clear" w:color="000000" w:fill="FFFFFF"/>
            <w:noWrap/>
            <w:vAlign w:val="bottom"/>
            <w:hideMark/>
          </w:tcPr>
          <w:p w14:paraId="44686EE1" w14:textId="1E5BABF9"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3.6</w:t>
            </w:r>
          </w:p>
        </w:tc>
        <w:tc>
          <w:tcPr>
            <w:tcW w:w="1204" w:type="dxa"/>
            <w:tcBorders>
              <w:top w:val="nil"/>
              <w:left w:val="nil"/>
              <w:bottom w:val="single" w:sz="4" w:space="0" w:color="auto"/>
              <w:right w:val="nil"/>
            </w:tcBorders>
            <w:shd w:val="clear" w:color="000000" w:fill="FFFFFF"/>
            <w:noWrap/>
            <w:vAlign w:val="bottom"/>
            <w:hideMark/>
          </w:tcPr>
          <w:p w14:paraId="75729297" w14:textId="566DFF85"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2.4</w:t>
            </w:r>
          </w:p>
        </w:tc>
        <w:tc>
          <w:tcPr>
            <w:tcW w:w="1204" w:type="dxa"/>
            <w:tcBorders>
              <w:top w:val="nil"/>
              <w:left w:val="nil"/>
              <w:bottom w:val="single" w:sz="4" w:space="0" w:color="auto"/>
              <w:right w:val="nil"/>
            </w:tcBorders>
            <w:shd w:val="clear" w:color="000000" w:fill="FFFFFF"/>
            <w:noWrap/>
            <w:vAlign w:val="bottom"/>
            <w:hideMark/>
          </w:tcPr>
          <w:p w14:paraId="476E976D" w14:textId="5F5077EA"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6.1</w:t>
            </w:r>
          </w:p>
        </w:tc>
        <w:tc>
          <w:tcPr>
            <w:tcW w:w="1204" w:type="dxa"/>
            <w:tcBorders>
              <w:top w:val="nil"/>
              <w:left w:val="nil"/>
              <w:bottom w:val="single" w:sz="4" w:space="0" w:color="auto"/>
              <w:right w:val="nil"/>
            </w:tcBorders>
            <w:shd w:val="clear" w:color="000000" w:fill="FFFFFF"/>
            <w:noWrap/>
            <w:vAlign w:val="bottom"/>
            <w:hideMark/>
          </w:tcPr>
          <w:p w14:paraId="78B41214" w14:textId="196C9FB3"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1.1</w:t>
            </w:r>
          </w:p>
        </w:tc>
        <w:tc>
          <w:tcPr>
            <w:tcW w:w="1210" w:type="dxa"/>
            <w:tcBorders>
              <w:top w:val="nil"/>
              <w:left w:val="nil"/>
              <w:bottom w:val="single" w:sz="4" w:space="0" w:color="auto"/>
              <w:right w:val="single" w:sz="4" w:space="0" w:color="auto"/>
            </w:tcBorders>
            <w:shd w:val="clear" w:color="000000" w:fill="FFFFFF"/>
            <w:noWrap/>
            <w:vAlign w:val="bottom"/>
            <w:hideMark/>
          </w:tcPr>
          <w:p w14:paraId="2F266F2B" w14:textId="25D5A55F" w:rsidR="00B805CD" w:rsidRPr="00877BDB" w:rsidRDefault="00B805CD" w:rsidP="00DC54F7">
            <w:pPr>
              <w:spacing w:after="0" w:line="240" w:lineRule="auto"/>
              <w:jc w:val="both"/>
              <w:rPr>
                <w:rFonts w:ascii="Calibri" w:eastAsia="Times New Roman" w:hAnsi="Calibri" w:cs="Calibri"/>
                <w:color w:val="000000"/>
                <w:lang w:eastAsia="en-GB"/>
              </w:rPr>
            </w:pPr>
            <w:r w:rsidRPr="00877BDB">
              <w:rPr>
                <w:rFonts w:ascii="Calibri" w:eastAsia="Times New Roman" w:hAnsi="Calibri" w:cs="Calibri"/>
                <w:color w:val="000000"/>
                <w:lang w:eastAsia="en-GB"/>
              </w:rPr>
              <w:t>2.1</w:t>
            </w:r>
          </w:p>
        </w:tc>
      </w:tr>
    </w:tbl>
    <w:p w14:paraId="3B807C52" w14:textId="06C50282" w:rsidR="00B805CD" w:rsidRPr="00877BDB" w:rsidRDefault="003C7DC1" w:rsidP="00DC54F7">
      <w:pPr>
        <w:jc w:val="both"/>
        <w:rPr>
          <w:rFonts w:ascii="Arial" w:hAnsi="Arial" w:cs="Arial"/>
          <w:sz w:val="20"/>
          <w:szCs w:val="20"/>
        </w:rPr>
      </w:pPr>
      <w:r w:rsidRPr="00877BDB">
        <w:rPr>
          <w:rFonts w:ascii="Arial" w:hAnsi="Arial" w:cs="Arial"/>
          <w:sz w:val="20"/>
          <w:szCs w:val="20"/>
        </w:rPr>
        <w:t>Source: QOF 2019</w:t>
      </w:r>
    </w:p>
    <w:p w14:paraId="6B72E673" w14:textId="5B567E8D" w:rsidR="00017B9F" w:rsidRPr="00AC34F9" w:rsidRDefault="00017B9F" w:rsidP="00DC54F7">
      <w:pPr>
        <w:spacing w:after="0" w:line="240" w:lineRule="auto"/>
        <w:jc w:val="both"/>
        <w:rPr>
          <w:rFonts w:ascii="Arial" w:hAnsi="Arial" w:cs="Arial"/>
          <w:sz w:val="24"/>
          <w:szCs w:val="24"/>
        </w:rPr>
      </w:pPr>
      <w:r w:rsidRPr="00AC34F9">
        <w:rPr>
          <w:rFonts w:ascii="Arial" w:hAnsi="Arial" w:cs="Arial"/>
          <w:sz w:val="24"/>
          <w:szCs w:val="24"/>
        </w:rPr>
        <w:lastRenderedPageBreak/>
        <w:t xml:space="preserve">In Cardiff </w:t>
      </w:r>
      <w:r w:rsidR="00D23502" w:rsidRPr="00AC34F9">
        <w:rPr>
          <w:rFonts w:ascii="Arial" w:hAnsi="Arial" w:cs="Arial"/>
          <w:sz w:val="24"/>
          <w:szCs w:val="24"/>
        </w:rPr>
        <w:t>North</w:t>
      </w:r>
      <w:r w:rsidRPr="00AC34F9">
        <w:rPr>
          <w:rFonts w:ascii="Arial" w:hAnsi="Arial" w:cs="Arial"/>
          <w:sz w:val="24"/>
          <w:szCs w:val="24"/>
        </w:rPr>
        <w:t xml:space="preserve"> cluster, the </w:t>
      </w:r>
      <w:r w:rsidR="001A616D" w:rsidRPr="00AC34F9">
        <w:rPr>
          <w:rFonts w:ascii="Arial" w:hAnsi="Arial" w:cs="Arial"/>
          <w:sz w:val="24"/>
          <w:szCs w:val="24"/>
        </w:rPr>
        <w:t xml:space="preserve">estimated </w:t>
      </w:r>
      <w:r w:rsidRPr="00AC34F9">
        <w:rPr>
          <w:rFonts w:ascii="Arial" w:hAnsi="Arial" w:cs="Arial"/>
          <w:sz w:val="24"/>
          <w:szCs w:val="24"/>
        </w:rPr>
        <w:t>prev</w:t>
      </w:r>
      <w:r w:rsidR="00C37B0B" w:rsidRPr="00AC34F9">
        <w:rPr>
          <w:rFonts w:ascii="Arial" w:hAnsi="Arial" w:cs="Arial"/>
          <w:sz w:val="24"/>
          <w:szCs w:val="24"/>
        </w:rPr>
        <w:t xml:space="preserve">alence of dementia is the same </w:t>
      </w:r>
      <w:r w:rsidR="006B7D29">
        <w:rPr>
          <w:rFonts w:ascii="Arial" w:hAnsi="Arial" w:cs="Arial"/>
          <w:sz w:val="24"/>
          <w:szCs w:val="24"/>
        </w:rPr>
        <w:t xml:space="preserve">as </w:t>
      </w:r>
      <w:r w:rsidR="00C37B0B" w:rsidRPr="00AC34F9">
        <w:rPr>
          <w:rFonts w:ascii="Arial" w:hAnsi="Arial" w:cs="Arial"/>
          <w:sz w:val="24"/>
          <w:szCs w:val="24"/>
        </w:rPr>
        <w:t>the average for Wales and the health board</w:t>
      </w:r>
      <w:r w:rsidR="006915A8" w:rsidRPr="00AC34F9">
        <w:rPr>
          <w:rFonts w:ascii="Arial" w:hAnsi="Arial" w:cs="Arial"/>
          <w:sz w:val="24"/>
          <w:szCs w:val="24"/>
        </w:rPr>
        <w:t>. The</w:t>
      </w:r>
      <w:r w:rsidR="001A616D" w:rsidRPr="00AC34F9">
        <w:rPr>
          <w:rFonts w:ascii="Arial" w:hAnsi="Arial" w:cs="Arial"/>
          <w:sz w:val="24"/>
          <w:szCs w:val="24"/>
        </w:rPr>
        <w:t xml:space="preserve"> estimated </w:t>
      </w:r>
      <w:r w:rsidR="006915A8" w:rsidRPr="00AC34F9">
        <w:rPr>
          <w:rFonts w:ascii="Arial" w:hAnsi="Arial" w:cs="Arial"/>
          <w:sz w:val="24"/>
          <w:szCs w:val="24"/>
        </w:rPr>
        <w:t>prevalence of mental health condition</w:t>
      </w:r>
      <w:r w:rsidR="00684E05" w:rsidRPr="00AC34F9">
        <w:rPr>
          <w:rFonts w:ascii="Arial" w:hAnsi="Arial" w:cs="Arial"/>
          <w:sz w:val="24"/>
          <w:szCs w:val="24"/>
        </w:rPr>
        <w:t xml:space="preserve">s is </w:t>
      </w:r>
      <w:r w:rsidR="00CC51EE" w:rsidRPr="00AC34F9">
        <w:rPr>
          <w:rFonts w:ascii="Arial" w:hAnsi="Arial" w:cs="Arial"/>
          <w:sz w:val="24"/>
          <w:szCs w:val="24"/>
        </w:rPr>
        <w:t xml:space="preserve">the joint lowest of all clusters within the health board and </w:t>
      </w:r>
      <w:r w:rsidR="00A80577" w:rsidRPr="00AC34F9">
        <w:rPr>
          <w:rFonts w:ascii="Arial" w:hAnsi="Arial" w:cs="Arial"/>
          <w:sz w:val="24"/>
          <w:szCs w:val="24"/>
        </w:rPr>
        <w:t>lower</w:t>
      </w:r>
      <w:r w:rsidR="00684E05" w:rsidRPr="00AC34F9">
        <w:rPr>
          <w:rFonts w:ascii="Arial" w:hAnsi="Arial" w:cs="Arial"/>
          <w:sz w:val="24"/>
          <w:szCs w:val="24"/>
        </w:rPr>
        <w:t xml:space="preserve"> than </w:t>
      </w:r>
      <w:r w:rsidR="005066BC" w:rsidRPr="00AC34F9">
        <w:rPr>
          <w:rFonts w:ascii="Arial" w:hAnsi="Arial" w:cs="Arial"/>
          <w:sz w:val="24"/>
          <w:szCs w:val="24"/>
        </w:rPr>
        <w:t>the average for Wales.</w:t>
      </w:r>
    </w:p>
    <w:p w14:paraId="38A78563" w14:textId="77777777" w:rsidR="00017B9F" w:rsidRPr="00AC34F9" w:rsidRDefault="00017B9F" w:rsidP="00DC54F7">
      <w:pPr>
        <w:spacing w:after="0" w:line="240" w:lineRule="auto"/>
        <w:jc w:val="both"/>
        <w:rPr>
          <w:rFonts w:ascii="Arial" w:hAnsi="Arial" w:cs="Arial"/>
          <w:b/>
          <w:bCs/>
          <w:sz w:val="24"/>
          <w:szCs w:val="24"/>
        </w:rPr>
      </w:pPr>
    </w:p>
    <w:p w14:paraId="1ADC1D60" w14:textId="4A6A224F" w:rsidR="00AD0A27" w:rsidRPr="00AC34F9" w:rsidRDefault="00AD0A27" w:rsidP="00DC54F7">
      <w:pPr>
        <w:spacing w:after="0" w:line="240" w:lineRule="auto"/>
        <w:jc w:val="both"/>
        <w:rPr>
          <w:rFonts w:ascii="Arial" w:hAnsi="Arial" w:cs="Arial"/>
          <w:b/>
          <w:bCs/>
          <w:sz w:val="24"/>
          <w:szCs w:val="24"/>
        </w:rPr>
      </w:pPr>
      <w:r w:rsidRPr="00AC34F9">
        <w:rPr>
          <w:rFonts w:ascii="Arial" w:hAnsi="Arial" w:cs="Arial"/>
          <w:b/>
          <w:bCs/>
          <w:sz w:val="24"/>
          <w:szCs w:val="24"/>
        </w:rPr>
        <w:t>Table 11.</w:t>
      </w:r>
      <w:r w:rsidR="00616929" w:rsidRPr="00AC34F9">
        <w:rPr>
          <w:rFonts w:ascii="Arial" w:hAnsi="Arial" w:cs="Arial"/>
          <w:b/>
          <w:bCs/>
          <w:sz w:val="24"/>
          <w:szCs w:val="24"/>
        </w:rPr>
        <w:t>4</w:t>
      </w:r>
      <w:r w:rsidRPr="00AC34F9">
        <w:rPr>
          <w:rFonts w:ascii="Arial" w:hAnsi="Arial" w:cs="Arial"/>
          <w:b/>
          <w:bCs/>
          <w:sz w:val="24"/>
          <w:szCs w:val="24"/>
        </w:rPr>
        <w:t>: Percentage of patients registered as having a mental health condition, and dementia by cluster, local authority, health board and Wales, 2019</w:t>
      </w:r>
    </w:p>
    <w:tbl>
      <w:tblPr>
        <w:tblW w:w="916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056"/>
        <w:gridCol w:w="3056"/>
        <w:gridCol w:w="3056"/>
      </w:tblGrid>
      <w:tr w:rsidR="00EA6510" w:rsidRPr="00EA6510" w14:paraId="765DDCD3" w14:textId="77777777" w:rsidTr="00CF2FC9">
        <w:trPr>
          <w:trHeight w:val="293"/>
        </w:trPr>
        <w:tc>
          <w:tcPr>
            <w:tcW w:w="3056" w:type="dxa"/>
            <w:shd w:val="clear" w:color="auto" w:fill="8497B0"/>
            <w:noWrap/>
            <w:vAlign w:val="bottom"/>
            <w:hideMark/>
          </w:tcPr>
          <w:p w14:paraId="42E9CA98" w14:textId="77777777" w:rsidR="00EA6510" w:rsidRPr="00EA6510" w:rsidRDefault="00EA6510" w:rsidP="00DC54F7">
            <w:pPr>
              <w:spacing w:after="0" w:line="240" w:lineRule="auto"/>
              <w:jc w:val="both"/>
              <w:rPr>
                <w:rFonts w:ascii="Calibri" w:eastAsia="Times New Roman" w:hAnsi="Calibri" w:cs="Times New Roman"/>
                <w:color w:val="000000"/>
                <w:lang w:eastAsia="en-GB"/>
              </w:rPr>
            </w:pPr>
            <w:r w:rsidRPr="00EA6510">
              <w:rPr>
                <w:rFonts w:ascii="Calibri" w:eastAsia="Times New Roman" w:hAnsi="Calibri" w:cs="Times New Roman"/>
                <w:color w:val="000000"/>
                <w:lang w:eastAsia="en-GB"/>
              </w:rPr>
              <w:t> </w:t>
            </w:r>
          </w:p>
        </w:tc>
        <w:tc>
          <w:tcPr>
            <w:tcW w:w="3056" w:type="dxa"/>
            <w:shd w:val="clear" w:color="auto" w:fill="8497B0"/>
            <w:noWrap/>
            <w:vAlign w:val="bottom"/>
            <w:hideMark/>
          </w:tcPr>
          <w:p w14:paraId="1E0DEE61" w14:textId="77777777" w:rsidR="00EA6510" w:rsidRPr="00EA6510" w:rsidRDefault="00EA6510" w:rsidP="00DC54F7">
            <w:pPr>
              <w:spacing w:after="0" w:line="240" w:lineRule="auto"/>
              <w:jc w:val="both"/>
              <w:rPr>
                <w:rFonts w:ascii="Calibri" w:eastAsia="Times New Roman" w:hAnsi="Calibri" w:cs="Times New Roman"/>
                <w:b/>
                <w:bCs/>
                <w:color w:val="FFFFFF"/>
                <w:lang w:eastAsia="en-GB"/>
              </w:rPr>
            </w:pPr>
            <w:r w:rsidRPr="00EA6510">
              <w:rPr>
                <w:rFonts w:ascii="Calibri" w:eastAsia="Times New Roman" w:hAnsi="Calibri" w:cs="Times New Roman"/>
                <w:b/>
                <w:bCs/>
                <w:color w:val="FFFFFF"/>
                <w:lang w:eastAsia="en-GB"/>
              </w:rPr>
              <w:t>Dementia (percentage)</w:t>
            </w:r>
          </w:p>
        </w:tc>
        <w:tc>
          <w:tcPr>
            <w:tcW w:w="3056" w:type="dxa"/>
            <w:shd w:val="clear" w:color="auto" w:fill="8497B0"/>
            <w:noWrap/>
            <w:vAlign w:val="bottom"/>
            <w:hideMark/>
          </w:tcPr>
          <w:p w14:paraId="177ECBD1" w14:textId="77777777" w:rsidR="00EA6510" w:rsidRPr="00EA6510" w:rsidRDefault="00EA6510" w:rsidP="00DC54F7">
            <w:pPr>
              <w:spacing w:after="0" w:line="240" w:lineRule="auto"/>
              <w:jc w:val="both"/>
              <w:rPr>
                <w:rFonts w:ascii="Calibri" w:eastAsia="Times New Roman" w:hAnsi="Calibri" w:cs="Times New Roman"/>
                <w:b/>
                <w:bCs/>
                <w:color w:val="FFFFFF"/>
                <w:lang w:eastAsia="en-GB"/>
              </w:rPr>
            </w:pPr>
            <w:r w:rsidRPr="00EA6510">
              <w:rPr>
                <w:rFonts w:ascii="Calibri" w:eastAsia="Times New Roman" w:hAnsi="Calibri" w:cs="Times New Roman"/>
                <w:b/>
                <w:bCs/>
                <w:color w:val="FFFFFF"/>
                <w:lang w:eastAsia="en-GB"/>
              </w:rPr>
              <w:t>Mental Health (percentage)</w:t>
            </w:r>
          </w:p>
        </w:tc>
      </w:tr>
      <w:tr w:rsidR="00EA6510" w:rsidRPr="00EA6510" w14:paraId="56195A3B" w14:textId="77777777" w:rsidTr="00CF2FC9">
        <w:trPr>
          <w:trHeight w:val="293"/>
        </w:trPr>
        <w:tc>
          <w:tcPr>
            <w:tcW w:w="3056" w:type="dxa"/>
            <w:shd w:val="clear" w:color="auto" w:fill="auto"/>
            <w:noWrap/>
            <w:vAlign w:val="bottom"/>
            <w:hideMark/>
          </w:tcPr>
          <w:p w14:paraId="09ED8AEF" w14:textId="77777777" w:rsidR="00EA6510" w:rsidRPr="00EA6510" w:rsidRDefault="00EA6510" w:rsidP="00DC54F7">
            <w:pPr>
              <w:spacing w:after="0" w:line="240" w:lineRule="auto"/>
              <w:jc w:val="both"/>
              <w:rPr>
                <w:rFonts w:ascii="Calibri" w:eastAsia="Times New Roman" w:hAnsi="Calibri" w:cs="Times New Roman"/>
                <w:color w:val="000000"/>
                <w:lang w:eastAsia="en-GB"/>
              </w:rPr>
            </w:pPr>
            <w:r w:rsidRPr="00EA6510">
              <w:rPr>
                <w:rFonts w:ascii="Calibri" w:eastAsia="Times New Roman" w:hAnsi="Calibri" w:cs="Times New Roman"/>
                <w:color w:val="000000"/>
                <w:lang w:eastAsia="en-GB"/>
              </w:rPr>
              <w:t>Cardiff North</w:t>
            </w:r>
          </w:p>
        </w:tc>
        <w:tc>
          <w:tcPr>
            <w:tcW w:w="3056" w:type="dxa"/>
            <w:shd w:val="clear" w:color="auto" w:fill="auto"/>
            <w:noWrap/>
            <w:vAlign w:val="bottom"/>
            <w:hideMark/>
          </w:tcPr>
          <w:p w14:paraId="78F7A519" w14:textId="2A3984B8" w:rsidR="00EA6510" w:rsidRPr="00EA6510" w:rsidRDefault="00EA6510" w:rsidP="00DC54F7">
            <w:pPr>
              <w:spacing w:after="0" w:line="240" w:lineRule="auto"/>
              <w:jc w:val="both"/>
              <w:rPr>
                <w:rFonts w:ascii="Calibri" w:eastAsia="Times New Roman" w:hAnsi="Calibri" w:cs="Times New Roman"/>
                <w:color w:val="000000"/>
                <w:lang w:eastAsia="en-GB"/>
              </w:rPr>
            </w:pPr>
            <w:r w:rsidRPr="00EA6510">
              <w:rPr>
                <w:rFonts w:ascii="Calibri" w:eastAsia="Times New Roman" w:hAnsi="Calibri" w:cs="Times New Roman"/>
                <w:color w:val="000000"/>
                <w:lang w:eastAsia="en-GB"/>
              </w:rPr>
              <w:t>0.7</w:t>
            </w:r>
          </w:p>
        </w:tc>
        <w:tc>
          <w:tcPr>
            <w:tcW w:w="3056" w:type="dxa"/>
            <w:shd w:val="clear" w:color="auto" w:fill="auto"/>
            <w:noWrap/>
            <w:vAlign w:val="bottom"/>
            <w:hideMark/>
          </w:tcPr>
          <w:p w14:paraId="4F85ABB7" w14:textId="7A94A186" w:rsidR="00EA6510" w:rsidRPr="00EA6510" w:rsidRDefault="00EA6510" w:rsidP="00DC54F7">
            <w:pPr>
              <w:spacing w:after="0" w:line="240" w:lineRule="auto"/>
              <w:jc w:val="both"/>
              <w:rPr>
                <w:rFonts w:ascii="Calibri" w:eastAsia="Times New Roman" w:hAnsi="Calibri" w:cs="Times New Roman"/>
                <w:color w:val="000000"/>
                <w:lang w:eastAsia="en-GB"/>
              </w:rPr>
            </w:pPr>
            <w:r w:rsidRPr="00EA6510">
              <w:rPr>
                <w:rFonts w:ascii="Calibri" w:eastAsia="Times New Roman" w:hAnsi="Calibri" w:cs="Times New Roman"/>
                <w:color w:val="000000"/>
                <w:lang w:eastAsia="en-GB"/>
              </w:rPr>
              <w:t>0.7</w:t>
            </w:r>
          </w:p>
        </w:tc>
      </w:tr>
      <w:tr w:rsidR="00EA6510" w:rsidRPr="00EA6510" w14:paraId="51178208" w14:textId="77777777" w:rsidTr="00CF2FC9">
        <w:trPr>
          <w:trHeight w:val="293"/>
        </w:trPr>
        <w:tc>
          <w:tcPr>
            <w:tcW w:w="3056" w:type="dxa"/>
            <w:shd w:val="clear" w:color="D9E1F2" w:fill="F2F2F2"/>
            <w:vAlign w:val="bottom"/>
            <w:hideMark/>
          </w:tcPr>
          <w:p w14:paraId="25A75F9A" w14:textId="77777777" w:rsidR="00EA6510" w:rsidRPr="00EA6510" w:rsidRDefault="00EA6510" w:rsidP="00DC54F7">
            <w:pPr>
              <w:spacing w:after="0" w:line="240" w:lineRule="auto"/>
              <w:jc w:val="both"/>
              <w:rPr>
                <w:rFonts w:ascii="Calibri" w:eastAsia="Times New Roman" w:hAnsi="Calibri" w:cs="Times New Roman"/>
                <w:lang w:eastAsia="en-GB"/>
              </w:rPr>
            </w:pPr>
            <w:r w:rsidRPr="00EA6510">
              <w:rPr>
                <w:rFonts w:ascii="Calibri" w:eastAsia="Times New Roman" w:hAnsi="Calibri" w:cs="Times New Roman"/>
                <w:lang w:eastAsia="en-GB"/>
              </w:rPr>
              <w:t>Cardiff</w:t>
            </w:r>
          </w:p>
        </w:tc>
        <w:tc>
          <w:tcPr>
            <w:tcW w:w="3056" w:type="dxa"/>
            <w:shd w:val="clear" w:color="000000" w:fill="F2F2F2"/>
            <w:noWrap/>
            <w:vAlign w:val="bottom"/>
            <w:hideMark/>
          </w:tcPr>
          <w:p w14:paraId="210B6C71" w14:textId="7BA558BD" w:rsidR="00EA6510" w:rsidRPr="00EA6510" w:rsidRDefault="00EA6510" w:rsidP="00DC54F7">
            <w:pPr>
              <w:spacing w:after="0" w:line="240" w:lineRule="auto"/>
              <w:jc w:val="both"/>
              <w:rPr>
                <w:rFonts w:ascii="Calibri" w:eastAsia="Times New Roman" w:hAnsi="Calibri" w:cs="Times New Roman"/>
                <w:color w:val="000000"/>
                <w:lang w:eastAsia="en-GB"/>
              </w:rPr>
            </w:pPr>
            <w:r w:rsidRPr="00EA6510">
              <w:rPr>
                <w:rFonts w:ascii="Calibri" w:eastAsia="Times New Roman" w:hAnsi="Calibri" w:cs="Times New Roman"/>
                <w:color w:val="000000"/>
                <w:lang w:eastAsia="en-GB"/>
              </w:rPr>
              <w:t>0.6</w:t>
            </w:r>
          </w:p>
        </w:tc>
        <w:tc>
          <w:tcPr>
            <w:tcW w:w="3056" w:type="dxa"/>
            <w:shd w:val="clear" w:color="000000" w:fill="F2F2F2"/>
            <w:noWrap/>
            <w:vAlign w:val="bottom"/>
            <w:hideMark/>
          </w:tcPr>
          <w:p w14:paraId="4E4BE831" w14:textId="33057975" w:rsidR="00EA6510" w:rsidRPr="00EA6510" w:rsidRDefault="00EA6510" w:rsidP="00DC54F7">
            <w:pPr>
              <w:spacing w:after="0" w:line="240" w:lineRule="auto"/>
              <w:jc w:val="both"/>
              <w:rPr>
                <w:rFonts w:ascii="Calibri" w:eastAsia="Times New Roman" w:hAnsi="Calibri" w:cs="Times New Roman"/>
                <w:color w:val="000000"/>
                <w:lang w:eastAsia="en-GB"/>
              </w:rPr>
            </w:pPr>
            <w:r w:rsidRPr="00EA6510">
              <w:rPr>
                <w:rFonts w:ascii="Calibri" w:eastAsia="Times New Roman" w:hAnsi="Calibri" w:cs="Times New Roman"/>
                <w:color w:val="000000"/>
                <w:lang w:eastAsia="en-GB"/>
              </w:rPr>
              <w:t>0.9</w:t>
            </w:r>
          </w:p>
        </w:tc>
      </w:tr>
      <w:tr w:rsidR="00EA6510" w:rsidRPr="00EA6510" w14:paraId="134DD2EB" w14:textId="77777777" w:rsidTr="00CF2FC9">
        <w:trPr>
          <w:trHeight w:val="293"/>
        </w:trPr>
        <w:tc>
          <w:tcPr>
            <w:tcW w:w="3056" w:type="dxa"/>
            <w:shd w:val="clear" w:color="D9E1F2" w:fill="FFFFFF"/>
            <w:vAlign w:val="bottom"/>
            <w:hideMark/>
          </w:tcPr>
          <w:p w14:paraId="0DE44BC5" w14:textId="77777777" w:rsidR="00EA6510" w:rsidRPr="00EA6510" w:rsidRDefault="00EA6510" w:rsidP="00DC54F7">
            <w:pPr>
              <w:spacing w:after="0" w:line="240" w:lineRule="auto"/>
              <w:jc w:val="both"/>
              <w:rPr>
                <w:rFonts w:ascii="Calibri" w:eastAsia="Times New Roman" w:hAnsi="Calibri" w:cs="Times New Roman"/>
                <w:lang w:eastAsia="en-GB"/>
              </w:rPr>
            </w:pPr>
            <w:r w:rsidRPr="00EA6510">
              <w:rPr>
                <w:rFonts w:ascii="Calibri" w:eastAsia="Times New Roman" w:hAnsi="Calibri" w:cs="Times New Roman"/>
                <w:lang w:eastAsia="en-GB"/>
              </w:rPr>
              <w:t>Cardiff &amp; Vale UHB</w:t>
            </w:r>
          </w:p>
        </w:tc>
        <w:tc>
          <w:tcPr>
            <w:tcW w:w="3056" w:type="dxa"/>
            <w:shd w:val="clear" w:color="auto" w:fill="auto"/>
            <w:noWrap/>
            <w:vAlign w:val="bottom"/>
            <w:hideMark/>
          </w:tcPr>
          <w:p w14:paraId="0A3B7666" w14:textId="114A38F5" w:rsidR="00EA6510" w:rsidRPr="00EA6510" w:rsidRDefault="00EA6510" w:rsidP="00DC54F7">
            <w:pPr>
              <w:spacing w:after="0" w:line="240" w:lineRule="auto"/>
              <w:jc w:val="both"/>
              <w:rPr>
                <w:rFonts w:ascii="Calibri" w:eastAsia="Times New Roman" w:hAnsi="Calibri" w:cs="Times New Roman"/>
                <w:color w:val="000000"/>
                <w:lang w:eastAsia="en-GB"/>
              </w:rPr>
            </w:pPr>
            <w:r w:rsidRPr="00EA6510">
              <w:rPr>
                <w:rFonts w:ascii="Calibri" w:eastAsia="Times New Roman" w:hAnsi="Calibri" w:cs="Times New Roman"/>
                <w:color w:val="000000"/>
                <w:lang w:eastAsia="en-GB"/>
              </w:rPr>
              <w:t>0.7</w:t>
            </w:r>
          </w:p>
        </w:tc>
        <w:tc>
          <w:tcPr>
            <w:tcW w:w="3056" w:type="dxa"/>
            <w:shd w:val="clear" w:color="auto" w:fill="auto"/>
            <w:noWrap/>
            <w:vAlign w:val="bottom"/>
            <w:hideMark/>
          </w:tcPr>
          <w:p w14:paraId="2639D284" w14:textId="74114701" w:rsidR="00EA6510" w:rsidRPr="00EA6510" w:rsidRDefault="00EA6510" w:rsidP="00DC54F7">
            <w:pPr>
              <w:spacing w:after="0" w:line="240" w:lineRule="auto"/>
              <w:jc w:val="both"/>
              <w:rPr>
                <w:rFonts w:ascii="Calibri" w:eastAsia="Times New Roman" w:hAnsi="Calibri" w:cs="Times New Roman"/>
                <w:color w:val="000000"/>
                <w:lang w:eastAsia="en-GB"/>
              </w:rPr>
            </w:pPr>
            <w:r w:rsidRPr="00EA6510">
              <w:rPr>
                <w:rFonts w:ascii="Calibri" w:eastAsia="Times New Roman" w:hAnsi="Calibri" w:cs="Times New Roman"/>
                <w:color w:val="000000"/>
                <w:lang w:eastAsia="en-GB"/>
              </w:rPr>
              <w:t>0.9</w:t>
            </w:r>
          </w:p>
        </w:tc>
      </w:tr>
      <w:tr w:rsidR="00EA6510" w:rsidRPr="00EA6510" w14:paraId="0B192DED" w14:textId="77777777" w:rsidTr="00CF2FC9">
        <w:trPr>
          <w:trHeight w:val="293"/>
        </w:trPr>
        <w:tc>
          <w:tcPr>
            <w:tcW w:w="3056" w:type="dxa"/>
            <w:shd w:val="clear" w:color="D9E1F2" w:fill="F2F2F2"/>
            <w:vAlign w:val="bottom"/>
            <w:hideMark/>
          </w:tcPr>
          <w:p w14:paraId="2BA1475B" w14:textId="77777777" w:rsidR="00EA6510" w:rsidRPr="00EA6510" w:rsidRDefault="00EA6510" w:rsidP="00DC54F7">
            <w:pPr>
              <w:spacing w:after="0" w:line="240" w:lineRule="auto"/>
              <w:jc w:val="both"/>
              <w:rPr>
                <w:rFonts w:ascii="Calibri" w:eastAsia="Times New Roman" w:hAnsi="Calibri" w:cs="Times New Roman"/>
                <w:lang w:eastAsia="en-GB"/>
              </w:rPr>
            </w:pPr>
            <w:r w:rsidRPr="00EA6510">
              <w:rPr>
                <w:rFonts w:ascii="Calibri" w:eastAsia="Times New Roman" w:hAnsi="Calibri" w:cs="Times New Roman"/>
                <w:lang w:eastAsia="en-GB"/>
              </w:rPr>
              <w:t>Wales</w:t>
            </w:r>
          </w:p>
        </w:tc>
        <w:tc>
          <w:tcPr>
            <w:tcW w:w="3056" w:type="dxa"/>
            <w:shd w:val="clear" w:color="E2EFDA" w:fill="F2F2F2"/>
            <w:noWrap/>
            <w:vAlign w:val="bottom"/>
            <w:hideMark/>
          </w:tcPr>
          <w:p w14:paraId="653B3A8F" w14:textId="6777D0DD" w:rsidR="00EA6510" w:rsidRPr="00EA6510" w:rsidRDefault="00EA6510" w:rsidP="00DC54F7">
            <w:pPr>
              <w:spacing w:after="0" w:line="240" w:lineRule="auto"/>
              <w:jc w:val="both"/>
              <w:rPr>
                <w:rFonts w:ascii="Calibri" w:eastAsia="Times New Roman" w:hAnsi="Calibri" w:cs="Times New Roman"/>
                <w:color w:val="000000"/>
                <w:lang w:eastAsia="en-GB"/>
              </w:rPr>
            </w:pPr>
            <w:r w:rsidRPr="00EA6510">
              <w:rPr>
                <w:rFonts w:ascii="Calibri" w:eastAsia="Times New Roman" w:hAnsi="Calibri" w:cs="Times New Roman"/>
                <w:color w:val="000000"/>
                <w:lang w:eastAsia="en-GB"/>
              </w:rPr>
              <w:t>0.7</w:t>
            </w:r>
          </w:p>
        </w:tc>
        <w:tc>
          <w:tcPr>
            <w:tcW w:w="3056" w:type="dxa"/>
            <w:shd w:val="clear" w:color="E2EFDA" w:fill="F2F2F2"/>
            <w:noWrap/>
            <w:vAlign w:val="bottom"/>
            <w:hideMark/>
          </w:tcPr>
          <w:p w14:paraId="2C426B40" w14:textId="55DDF8D5" w:rsidR="00EA6510" w:rsidRPr="00EA6510" w:rsidRDefault="00EA6510" w:rsidP="00DC54F7">
            <w:pPr>
              <w:spacing w:after="0" w:line="240" w:lineRule="auto"/>
              <w:jc w:val="both"/>
              <w:rPr>
                <w:rFonts w:ascii="Calibri" w:eastAsia="Times New Roman" w:hAnsi="Calibri" w:cs="Times New Roman"/>
                <w:color w:val="000000"/>
                <w:lang w:eastAsia="en-GB"/>
              </w:rPr>
            </w:pPr>
            <w:r w:rsidRPr="00EA6510">
              <w:rPr>
                <w:rFonts w:ascii="Calibri" w:eastAsia="Times New Roman" w:hAnsi="Calibri" w:cs="Times New Roman"/>
                <w:color w:val="000000"/>
                <w:lang w:eastAsia="en-GB"/>
              </w:rPr>
              <w:t>1.0</w:t>
            </w:r>
          </w:p>
        </w:tc>
      </w:tr>
    </w:tbl>
    <w:p w14:paraId="05ABA537" w14:textId="77777777" w:rsidR="003C7DC1" w:rsidRPr="00AC34F9" w:rsidRDefault="003C7DC1" w:rsidP="00DC54F7">
      <w:pPr>
        <w:jc w:val="both"/>
        <w:rPr>
          <w:rFonts w:ascii="Arial" w:hAnsi="Arial" w:cs="Arial"/>
          <w:sz w:val="20"/>
          <w:szCs w:val="20"/>
        </w:rPr>
      </w:pPr>
      <w:r w:rsidRPr="00AC34F9">
        <w:rPr>
          <w:rFonts w:ascii="Arial" w:hAnsi="Arial" w:cs="Arial"/>
          <w:sz w:val="20"/>
          <w:szCs w:val="20"/>
        </w:rPr>
        <w:t>Source: QOF 2019</w:t>
      </w:r>
    </w:p>
    <w:p w14:paraId="7B87CD92" w14:textId="4EBF0453" w:rsidR="005066BC" w:rsidRPr="00AC34F9" w:rsidRDefault="005066BC" w:rsidP="00DC54F7">
      <w:pPr>
        <w:spacing w:after="0" w:line="240" w:lineRule="auto"/>
        <w:jc w:val="both"/>
        <w:rPr>
          <w:rFonts w:ascii="Arial" w:hAnsi="Arial" w:cs="Arial"/>
          <w:sz w:val="24"/>
          <w:szCs w:val="24"/>
        </w:rPr>
      </w:pPr>
      <w:r w:rsidRPr="00AC34F9">
        <w:rPr>
          <w:rFonts w:ascii="Arial" w:hAnsi="Arial" w:cs="Arial"/>
          <w:sz w:val="24"/>
          <w:szCs w:val="24"/>
        </w:rPr>
        <w:t xml:space="preserve">The estimated prevalence of atrial fibrillation </w:t>
      </w:r>
      <w:r w:rsidR="00652B72">
        <w:rPr>
          <w:rFonts w:ascii="Arial" w:hAnsi="Arial" w:cs="Arial"/>
          <w:sz w:val="24"/>
          <w:szCs w:val="24"/>
        </w:rPr>
        <w:t xml:space="preserve">in Cardiff </w:t>
      </w:r>
      <w:r w:rsidR="00941BC4">
        <w:rPr>
          <w:rFonts w:ascii="Arial" w:hAnsi="Arial" w:cs="Arial"/>
          <w:sz w:val="24"/>
          <w:szCs w:val="24"/>
        </w:rPr>
        <w:t xml:space="preserve">North cluster </w:t>
      </w:r>
      <w:r w:rsidRPr="00AC34F9">
        <w:rPr>
          <w:rFonts w:ascii="Arial" w:hAnsi="Arial" w:cs="Arial"/>
          <w:sz w:val="24"/>
          <w:szCs w:val="24"/>
        </w:rPr>
        <w:t>is low</w:t>
      </w:r>
      <w:r w:rsidR="000618B5" w:rsidRPr="00AC34F9">
        <w:rPr>
          <w:rFonts w:ascii="Arial" w:hAnsi="Arial" w:cs="Arial"/>
          <w:sz w:val="24"/>
          <w:szCs w:val="24"/>
        </w:rPr>
        <w:t xml:space="preserve">er than the average for Wales but higher than the </w:t>
      </w:r>
      <w:r w:rsidRPr="00AC34F9">
        <w:rPr>
          <w:rFonts w:ascii="Arial" w:hAnsi="Arial" w:cs="Arial"/>
          <w:sz w:val="24"/>
          <w:szCs w:val="24"/>
        </w:rPr>
        <w:t>health board.</w:t>
      </w:r>
      <w:r w:rsidR="00652B72">
        <w:rPr>
          <w:rFonts w:ascii="Arial" w:hAnsi="Arial" w:cs="Arial"/>
          <w:sz w:val="24"/>
          <w:szCs w:val="24"/>
        </w:rPr>
        <w:t xml:space="preserve"> </w:t>
      </w:r>
      <w:r w:rsidR="00652B72" w:rsidRPr="00AC34F9">
        <w:rPr>
          <w:rFonts w:ascii="Arial" w:hAnsi="Arial" w:cs="Arial"/>
          <w:sz w:val="24"/>
          <w:szCs w:val="24"/>
        </w:rPr>
        <w:t>The estimated prevalence of hypertension is lower than the average for Wales and the health board.</w:t>
      </w:r>
    </w:p>
    <w:p w14:paraId="330FD24E" w14:textId="77777777" w:rsidR="008149E9" w:rsidRPr="00AC34F9" w:rsidRDefault="008149E9" w:rsidP="00DC54F7">
      <w:pPr>
        <w:spacing w:after="0" w:line="240" w:lineRule="auto"/>
        <w:jc w:val="both"/>
        <w:rPr>
          <w:b/>
          <w:bCs/>
          <w:sz w:val="24"/>
          <w:szCs w:val="24"/>
        </w:rPr>
      </w:pPr>
    </w:p>
    <w:p w14:paraId="402AEFF1" w14:textId="46B5FEA1" w:rsidR="00AD0A27" w:rsidRPr="00AC34F9" w:rsidRDefault="00A37E57" w:rsidP="00DC54F7">
      <w:pPr>
        <w:pStyle w:val="Caption"/>
        <w:spacing w:before="0" w:after="0"/>
        <w:jc w:val="both"/>
        <w:rPr>
          <w:rFonts w:ascii="Arial" w:hAnsi="Arial" w:cs="Arial"/>
          <w:szCs w:val="24"/>
        </w:rPr>
      </w:pPr>
      <w:r w:rsidRPr="00AC34F9">
        <w:rPr>
          <w:rFonts w:ascii="Arial" w:hAnsi="Arial" w:cs="Arial"/>
          <w:szCs w:val="24"/>
        </w:rPr>
        <w:t>Table 11.</w:t>
      </w:r>
      <w:r w:rsidR="00616929" w:rsidRPr="00AC34F9">
        <w:rPr>
          <w:rFonts w:ascii="Arial" w:hAnsi="Arial" w:cs="Arial"/>
          <w:szCs w:val="24"/>
        </w:rPr>
        <w:t>5</w:t>
      </w:r>
      <w:r w:rsidRPr="00AC34F9">
        <w:rPr>
          <w:rFonts w:ascii="Arial" w:hAnsi="Arial" w:cs="Arial"/>
          <w:szCs w:val="24"/>
        </w:rPr>
        <w:t>: Estimated percentage prevalence of hypertension and atrial fibrillation based on patients on GP practice registers by cluster, local authority, health board and Wales, 2019</w:t>
      </w:r>
    </w:p>
    <w:tbl>
      <w:tblPr>
        <w:tblW w:w="9207"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069"/>
        <w:gridCol w:w="3069"/>
        <w:gridCol w:w="3069"/>
      </w:tblGrid>
      <w:tr w:rsidR="000F0245" w:rsidRPr="000F0245" w14:paraId="621D0A56" w14:textId="77777777" w:rsidTr="00CF2FC9">
        <w:trPr>
          <w:trHeight w:val="310"/>
        </w:trPr>
        <w:tc>
          <w:tcPr>
            <w:tcW w:w="3069" w:type="dxa"/>
            <w:shd w:val="clear" w:color="auto" w:fill="8497B0"/>
            <w:noWrap/>
            <w:vAlign w:val="bottom"/>
            <w:hideMark/>
          </w:tcPr>
          <w:p w14:paraId="5B6BB939" w14:textId="77777777" w:rsidR="000F0245" w:rsidRPr="000F0245" w:rsidRDefault="000F0245" w:rsidP="00DC54F7">
            <w:pPr>
              <w:spacing w:after="0" w:line="240" w:lineRule="auto"/>
              <w:jc w:val="both"/>
              <w:rPr>
                <w:rFonts w:ascii="Calibri" w:eastAsia="Times New Roman" w:hAnsi="Calibri" w:cs="Times New Roman"/>
                <w:color w:val="000000"/>
                <w:lang w:eastAsia="en-GB"/>
              </w:rPr>
            </w:pPr>
            <w:r w:rsidRPr="000F0245">
              <w:rPr>
                <w:rFonts w:ascii="Calibri" w:eastAsia="Times New Roman" w:hAnsi="Calibri" w:cs="Times New Roman"/>
                <w:color w:val="000000"/>
                <w:lang w:eastAsia="en-GB"/>
              </w:rPr>
              <w:t> </w:t>
            </w:r>
          </w:p>
        </w:tc>
        <w:tc>
          <w:tcPr>
            <w:tcW w:w="3069" w:type="dxa"/>
            <w:shd w:val="clear" w:color="auto" w:fill="8497B0"/>
            <w:noWrap/>
            <w:vAlign w:val="bottom"/>
            <w:hideMark/>
          </w:tcPr>
          <w:p w14:paraId="4EADB079" w14:textId="77777777" w:rsidR="000F0245" w:rsidRPr="000F0245" w:rsidRDefault="000F0245" w:rsidP="00DC54F7">
            <w:pPr>
              <w:spacing w:after="0" w:line="240" w:lineRule="auto"/>
              <w:jc w:val="both"/>
              <w:rPr>
                <w:rFonts w:ascii="Calibri" w:eastAsia="Times New Roman" w:hAnsi="Calibri" w:cs="Times New Roman"/>
                <w:b/>
                <w:bCs/>
                <w:color w:val="FFFFFF"/>
                <w:lang w:eastAsia="en-GB"/>
              </w:rPr>
            </w:pPr>
            <w:r w:rsidRPr="000F0245">
              <w:rPr>
                <w:rFonts w:ascii="Calibri" w:eastAsia="Times New Roman" w:hAnsi="Calibri" w:cs="Times New Roman"/>
                <w:b/>
                <w:bCs/>
                <w:color w:val="FFFFFF"/>
                <w:lang w:eastAsia="en-GB"/>
              </w:rPr>
              <w:t>Atrial Fibrillation (percentage)</w:t>
            </w:r>
          </w:p>
        </w:tc>
        <w:tc>
          <w:tcPr>
            <w:tcW w:w="3069" w:type="dxa"/>
            <w:shd w:val="clear" w:color="auto" w:fill="8497B0"/>
            <w:noWrap/>
            <w:vAlign w:val="bottom"/>
            <w:hideMark/>
          </w:tcPr>
          <w:p w14:paraId="7857F9F4" w14:textId="77777777" w:rsidR="000F0245" w:rsidRPr="000F0245" w:rsidRDefault="000F0245" w:rsidP="00DC54F7">
            <w:pPr>
              <w:spacing w:after="0" w:line="240" w:lineRule="auto"/>
              <w:jc w:val="both"/>
              <w:rPr>
                <w:rFonts w:ascii="Calibri" w:eastAsia="Times New Roman" w:hAnsi="Calibri" w:cs="Times New Roman"/>
                <w:b/>
                <w:bCs/>
                <w:color w:val="FFFFFF"/>
                <w:lang w:eastAsia="en-GB"/>
              </w:rPr>
            </w:pPr>
            <w:r w:rsidRPr="000F0245">
              <w:rPr>
                <w:rFonts w:ascii="Calibri" w:eastAsia="Times New Roman" w:hAnsi="Calibri" w:cs="Times New Roman"/>
                <w:b/>
                <w:bCs/>
                <w:color w:val="FFFFFF"/>
                <w:lang w:eastAsia="en-GB"/>
              </w:rPr>
              <w:t>Hypertension (percentage)</w:t>
            </w:r>
          </w:p>
        </w:tc>
      </w:tr>
      <w:tr w:rsidR="000F0245" w:rsidRPr="000F0245" w14:paraId="5F5EC662" w14:textId="77777777" w:rsidTr="00CF2FC9">
        <w:trPr>
          <w:trHeight w:val="310"/>
        </w:trPr>
        <w:tc>
          <w:tcPr>
            <w:tcW w:w="3069" w:type="dxa"/>
            <w:shd w:val="clear" w:color="000000" w:fill="F2F2F2"/>
            <w:noWrap/>
            <w:vAlign w:val="bottom"/>
            <w:hideMark/>
          </w:tcPr>
          <w:p w14:paraId="0F227976" w14:textId="77777777" w:rsidR="000F0245" w:rsidRPr="000F0245" w:rsidRDefault="000F0245" w:rsidP="00DC54F7">
            <w:pPr>
              <w:spacing w:after="0" w:line="240" w:lineRule="auto"/>
              <w:jc w:val="both"/>
              <w:rPr>
                <w:rFonts w:ascii="Calibri" w:eastAsia="Times New Roman" w:hAnsi="Calibri" w:cs="Times New Roman"/>
                <w:color w:val="000000"/>
                <w:lang w:eastAsia="en-GB"/>
              </w:rPr>
            </w:pPr>
            <w:r w:rsidRPr="000F0245">
              <w:rPr>
                <w:rFonts w:ascii="Calibri" w:eastAsia="Times New Roman" w:hAnsi="Calibri" w:cs="Times New Roman"/>
                <w:color w:val="000000"/>
                <w:lang w:eastAsia="en-GB"/>
              </w:rPr>
              <w:t>Cardiff North</w:t>
            </w:r>
          </w:p>
        </w:tc>
        <w:tc>
          <w:tcPr>
            <w:tcW w:w="3069" w:type="dxa"/>
            <w:shd w:val="clear" w:color="000000" w:fill="F2F2F2"/>
            <w:noWrap/>
            <w:vAlign w:val="bottom"/>
            <w:hideMark/>
          </w:tcPr>
          <w:p w14:paraId="389A4CC7" w14:textId="0F44F5DE" w:rsidR="000F0245" w:rsidRPr="000F0245" w:rsidRDefault="000F0245" w:rsidP="00DC54F7">
            <w:pPr>
              <w:spacing w:after="0" w:line="240" w:lineRule="auto"/>
              <w:jc w:val="both"/>
              <w:rPr>
                <w:rFonts w:ascii="Calibri" w:eastAsia="Times New Roman" w:hAnsi="Calibri" w:cs="Times New Roman"/>
                <w:color w:val="000000"/>
                <w:lang w:eastAsia="en-GB"/>
              </w:rPr>
            </w:pPr>
            <w:r w:rsidRPr="000F0245">
              <w:rPr>
                <w:rFonts w:ascii="Calibri" w:eastAsia="Times New Roman" w:hAnsi="Calibri" w:cs="Times New Roman"/>
                <w:color w:val="000000"/>
                <w:lang w:eastAsia="en-GB"/>
              </w:rPr>
              <w:t>1.9</w:t>
            </w:r>
          </w:p>
        </w:tc>
        <w:tc>
          <w:tcPr>
            <w:tcW w:w="3069" w:type="dxa"/>
            <w:shd w:val="clear" w:color="000000" w:fill="F2F2F2"/>
            <w:noWrap/>
            <w:vAlign w:val="bottom"/>
            <w:hideMark/>
          </w:tcPr>
          <w:p w14:paraId="12804EE1" w14:textId="50635C9A" w:rsidR="000F0245" w:rsidRPr="000F0245" w:rsidRDefault="000F0245" w:rsidP="00DC54F7">
            <w:pPr>
              <w:spacing w:after="0" w:line="240" w:lineRule="auto"/>
              <w:jc w:val="both"/>
              <w:rPr>
                <w:rFonts w:ascii="Calibri" w:eastAsia="Times New Roman" w:hAnsi="Calibri" w:cs="Times New Roman"/>
                <w:color w:val="000000"/>
                <w:lang w:eastAsia="en-GB"/>
              </w:rPr>
            </w:pPr>
            <w:r w:rsidRPr="000F0245">
              <w:rPr>
                <w:rFonts w:ascii="Calibri" w:eastAsia="Times New Roman" w:hAnsi="Calibri" w:cs="Times New Roman"/>
                <w:color w:val="000000"/>
                <w:lang w:eastAsia="en-GB"/>
              </w:rPr>
              <w:t>12.4</w:t>
            </w:r>
          </w:p>
        </w:tc>
      </w:tr>
      <w:tr w:rsidR="000F0245" w:rsidRPr="000F0245" w14:paraId="50273A0F" w14:textId="77777777" w:rsidTr="00CF2FC9">
        <w:trPr>
          <w:trHeight w:val="310"/>
        </w:trPr>
        <w:tc>
          <w:tcPr>
            <w:tcW w:w="3069" w:type="dxa"/>
            <w:shd w:val="clear" w:color="D9E1F2" w:fill="FFFFFF"/>
            <w:vAlign w:val="bottom"/>
            <w:hideMark/>
          </w:tcPr>
          <w:p w14:paraId="51ED83BA" w14:textId="77777777" w:rsidR="000F0245" w:rsidRPr="000F0245" w:rsidRDefault="000F0245" w:rsidP="00DC54F7">
            <w:pPr>
              <w:spacing w:after="0" w:line="240" w:lineRule="auto"/>
              <w:jc w:val="both"/>
              <w:rPr>
                <w:rFonts w:ascii="Calibri" w:eastAsia="Times New Roman" w:hAnsi="Calibri" w:cs="Times New Roman"/>
                <w:lang w:eastAsia="en-GB"/>
              </w:rPr>
            </w:pPr>
            <w:r w:rsidRPr="000F0245">
              <w:rPr>
                <w:rFonts w:ascii="Calibri" w:eastAsia="Times New Roman" w:hAnsi="Calibri" w:cs="Times New Roman"/>
                <w:lang w:eastAsia="en-GB"/>
              </w:rPr>
              <w:t>Cardiff</w:t>
            </w:r>
          </w:p>
        </w:tc>
        <w:tc>
          <w:tcPr>
            <w:tcW w:w="3069" w:type="dxa"/>
            <w:shd w:val="clear" w:color="000000" w:fill="FFFFFF"/>
            <w:noWrap/>
            <w:vAlign w:val="bottom"/>
            <w:hideMark/>
          </w:tcPr>
          <w:p w14:paraId="1FE36684" w14:textId="6398F467" w:rsidR="000F0245" w:rsidRPr="000F0245" w:rsidRDefault="000F0245" w:rsidP="00DC54F7">
            <w:pPr>
              <w:spacing w:after="0" w:line="240" w:lineRule="auto"/>
              <w:jc w:val="both"/>
              <w:rPr>
                <w:rFonts w:ascii="Calibri" w:eastAsia="Times New Roman" w:hAnsi="Calibri" w:cs="Times New Roman"/>
                <w:color w:val="000000"/>
                <w:lang w:eastAsia="en-GB"/>
              </w:rPr>
            </w:pPr>
            <w:r w:rsidRPr="000F0245">
              <w:rPr>
                <w:rFonts w:ascii="Calibri" w:eastAsia="Times New Roman" w:hAnsi="Calibri" w:cs="Times New Roman"/>
                <w:color w:val="000000"/>
                <w:lang w:eastAsia="en-GB"/>
              </w:rPr>
              <w:t>1.6</w:t>
            </w:r>
          </w:p>
        </w:tc>
        <w:tc>
          <w:tcPr>
            <w:tcW w:w="3069" w:type="dxa"/>
            <w:shd w:val="clear" w:color="000000" w:fill="FFFFFF"/>
            <w:noWrap/>
            <w:vAlign w:val="bottom"/>
            <w:hideMark/>
          </w:tcPr>
          <w:p w14:paraId="71E097AA" w14:textId="0EE45152" w:rsidR="000F0245" w:rsidRPr="000F0245" w:rsidRDefault="000F0245" w:rsidP="00DC54F7">
            <w:pPr>
              <w:spacing w:after="0" w:line="240" w:lineRule="auto"/>
              <w:jc w:val="both"/>
              <w:rPr>
                <w:rFonts w:ascii="Calibri" w:eastAsia="Times New Roman" w:hAnsi="Calibri" w:cs="Times New Roman"/>
                <w:color w:val="000000"/>
                <w:lang w:eastAsia="en-GB"/>
              </w:rPr>
            </w:pPr>
            <w:r w:rsidRPr="000F0245">
              <w:rPr>
                <w:rFonts w:ascii="Calibri" w:eastAsia="Times New Roman" w:hAnsi="Calibri" w:cs="Times New Roman"/>
                <w:color w:val="000000"/>
                <w:lang w:eastAsia="en-GB"/>
              </w:rPr>
              <w:t>11.8</w:t>
            </w:r>
          </w:p>
        </w:tc>
      </w:tr>
      <w:tr w:rsidR="000F0245" w:rsidRPr="000F0245" w14:paraId="41D1A011" w14:textId="77777777" w:rsidTr="00CF2FC9">
        <w:trPr>
          <w:trHeight w:val="310"/>
        </w:trPr>
        <w:tc>
          <w:tcPr>
            <w:tcW w:w="3069" w:type="dxa"/>
            <w:shd w:val="clear" w:color="D9E1F2" w:fill="F2F2F2"/>
            <w:vAlign w:val="bottom"/>
            <w:hideMark/>
          </w:tcPr>
          <w:p w14:paraId="0BEB4178" w14:textId="77777777" w:rsidR="000F0245" w:rsidRPr="000F0245" w:rsidRDefault="000F0245" w:rsidP="00DC54F7">
            <w:pPr>
              <w:spacing w:after="0" w:line="240" w:lineRule="auto"/>
              <w:jc w:val="both"/>
              <w:rPr>
                <w:rFonts w:ascii="Calibri" w:eastAsia="Times New Roman" w:hAnsi="Calibri" w:cs="Times New Roman"/>
                <w:lang w:eastAsia="en-GB"/>
              </w:rPr>
            </w:pPr>
            <w:r w:rsidRPr="000F0245">
              <w:rPr>
                <w:rFonts w:ascii="Calibri" w:eastAsia="Times New Roman" w:hAnsi="Calibri" w:cs="Times New Roman"/>
                <w:lang w:eastAsia="en-GB"/>
              </w:rPr>
              <w:t>Cardiff &amp; Vale UHB</w:t>
            </w:r>
          </w:p>
        </w:tc>
        <w:tc>
          <w:tcPr>
            <w:tcW w:w="3069" w:type="dxa"/>
            <w:shd w:val="clear" w:color="000000" w:fill="F2F2F2"/>
            <w:noWrap/>
            <w:vAlign w:val="bottom"/>
            <w:hideMark/>
          </w:tcPr>
          <w:p w14:paraId="5B3B6146" w14:textId="7DE4FA71" w:rsidR="000F0245" w:rsidRPr="000F0245" w:rsidRDefault="000F0245" w:rsidP="00DC54F7">
            <w:pPr>
              <w:spacing w:after="0" w:line="240" w:lineRule="auto"/>
              <w:jc w:val="both"/>
              <w:rPr>
                <w:rFonts w:ascii="Calibri" w:eastAsia="Times New Roman" w:hAnsi="Calibri" w:cs="Times New Roman"/>
                <w:color w:val="000000"/>
                <w:lang w:eastAsia="en-GB"/>
              </w:rPr>
            </w:pPr>
            <w:r w:rsidRPr="000F0245">
              <w:rPr>
                <w:rFonts w:ascii="Calibri" w:eastAsia="Times New Roman" w:hAnsi="Calibri" w:cs="Times New Roman"/>
                <w:color w:val="000000"/>
                <w:lang w:eastAsia="en-GB"/>
              </w:rPr>
              <w:t>1.8</w:t>
            </w:r>
          </w:p>
        </w:tc>
        <w:tc>
          <w:tcPr>
            <w:tcW w:w="3069" w:type="dxa"/>
            <w:shd w:val="clear" w:color="000000" w:fill="F2F2F2"/>
            <w:noWrap/>
            <w:vAlign w:val="bottom"/>
            <w:hideMark/>
          </w:tcPr>
          <w:p w14:paraId="100F9B9D" w14:textId="6810744E" w:rsidR="000F0245" w:rsidRPr="000F0245" w:rsidRDefault="000F0245" w:rsidP="00DC54F7">
            <w:pPr>
              <w:spacing w:after="0" w:line="240" w:lineRule="auto"/>
              <w:jc w:val="both"/>
              <w:rPr>
                <w:rFonts w:ascii="Calibri" w:eastAsia="Times New Roman" w:hAnsi="Calibri" w:cs="Times New Roman"/>
                <w:color w:val="000000"/>
                <w:lang w:eastAsia="en-GB"/>
              </w:rPr>
            </w:pPr>
            <w:r w:rsidRPr="000F0245">
              <w:rPr>
                <w:rFonts w:ascii="Calibri" w:eastAsia="Times New Roman" w:hAnsi="Calibri" w:cs="Times New Roman"/>
                <w:color w:val="000000"/>
                <w:lang w:eastAsia="en-GB"/>
              </w:rPr>
              <w:t>12.6</w:t>
            </w:r>
          </w:p>
        </w:tc>
      </w:tr>
      <w:tr w:rsidR="000F0245" w:rsidRPr="000F0245" w14:paraId="2FB681B7" w14:textId="77777777" w:rsidTr="00CF2FC9">
        <w:trPr>
          <w:trHeight w:val="310"/>
        </w:trPr>
        <w:tc>
          <w:tcPr>
            <w:tcW w:w="3069" w:type="dxa"/>
            <w:shd w:val="clear" w:color="D9E1F2" w:fill="FFFFFF"/>
            <w:vAlign w:val="bottom"/>
            <w:hideMark/>
          </w:tcPr>
          <w:p w14:paraId="21F67156" w14:textId="77777777" w:rsidR="000F0245" w:rsidRPr="000F0245" w:rsidRDefault="000F0245" w:rsidP="00DC54F7">
            <w:pPr>
              <w:spacing w:after="0" w:line="240" w:lineRule="auto"/>
              <w:jc w:val="both"/>
              <w:rPr>
                <w:rFonts w:ascii="Calibri" w:eastAsia="Times New Roman" w:hAnsi="Calibri" w:cs="Times New Roman"/>
                <w:lang w:eastAsia="en-GB"/>
              </w:rPr>
            </w:pPr>
            <w:r w:rsidRPr="000F0245">
              <w:rPr>
                <w:rFonts w:ascii="Calibri" w:eastAsia="Times New Roman" w:hAnsi="Calibri" w:cs="Times New Roman"/>
                <w:lang w:eastAsia="en-GB"/>
              </w:rPr>
              <w:t>Wales</w:t>
            </w:r>
          </w:p>
        </w:tc>
        <w:tc>
          <w:tcPr>
            <w:tcW w:w="3069" w:type="dxa"/>
            <w:shd w:val="clear" w:color="E2EFDA" w:fill="FFFFFF"/>
            <w:noWrap/>
            <w:vAlign w:val="bottom"/>
            <w:hideMark/>
          </w:tcPr>
          <w:p w14:paraId="0666BCD3" w14:textId="5468B7E3" w:rsidR="000F0245" w:rsidRPr="000F0245" w:rsidRDefault="000F0245" w:rsidP="00DC54F7">
            <w:pPr>
              <w:spacing w:after="0" w:line="240" w:lineRule="auto"/>
              <w:jc w:val="both"/>
              <w:rPr>
                <w:rFonts w:ascii="Calibri" w:eastAsia="Times New Roman" w:hAnsi="Calibri" w:cs="Times New Roman"/>
                <w:color w:val="000000"/>
                <w:lang w:eastAsia="en-GB"/>
              </w:rPr>
            </w:pPr>
            <w:r w:rsidRPr="000F0245">
              <w:rPr>
                <w:rFonts w:ascii="Calibri" w:eastAsia="Times New Roman" w:hAnsi="Calibri" w:cs="Times New Roman"/>
                <w:color w:val="000000"/>
                <w:lang w:eastAsia="en-GB"/>
              </w:rPr>
              <w:t>2.3</w:t>
            </w:r>
          </w:p>
        </w:tc>
        <w:tc>
          <w:tcPr>
            <w:tcW w:w="3069" w:type="dxa"/>
            <w:shd w:val="clear" w:color="E2EFDA" w:fill="FFFFFF"/>
            <w:noWrap/>
            <w:vAlign w:val="bottom"/>
            <w:hideMark/>
          </w:tcPr>
          <w:p w14:paraId="2E669031" w14:textId="5A4AB30B" w:rsidR="000F0245" w:rsidRPr="000F0245" w:rsidRDefault="000F0245" w:rsidP="00DC54F7">
            <w:pPr>
              <w:spacing w:after="0" w:line="240" w:lineRule="auto"/>
              <w:jc w:val="both"/>
              <w:rPr>
                <w:rFonts w:ascii="Calibri" w:eastAsia="Times New Roman" w:hAnsi="Calibri" w:cs="Times New Roman"/>
                <w:color w:val="000000"/>
                <w:lang w:eastAsia="en-GB"/>
              </w:rPr>
            </w:pPr>
            <w:r w:rsidRPr="000F0245">
              <w:rPr>
                <w:rFonts w:ascii="Calibri" w:eastAsia="Times New Roman" w:hAnsi="Calibri" w:cs="Times New Roman"/>
                <w:color w:val="000000"/>
                <w:lang w:eastAsia="en-GB"/>
              </w:rPr>
              <w:t>15.8</w:t>
            </w:r>
          </w:p>
        </w:tc>
      </w:tr>
    </w:tbl>
    <w:p w14:paraId="3C99300F" w14:textId="77777777" w:rsidR="003C7DC1" w:rsidRPr="00AC34F9" w:rsidRDefault="003C7DC1" w:rsidP="00DC54F7">
      <w:pPr>
        <w:jc w:val="both"/>
        <w:rPr>
          <w:rFonts w:ascii="Arial" w:hAnsi="Arial" w:cs="Arial"/>
          <w:sz w:val="20"/>
          <w:szCs w:val="20"/>
        </w:rPr>
      </w:pPr>
      <w:r w:rsidRPr="00AC34F9">
        <w:rPr>
          <w:rFonts w:ascii="Arial" w:hAnsi="Arial" w:cs="Arial"/>
          <w:sz w:val="20"/>
          <w:szCs w:val="20"/>
        </w:rPr>
        <w:t>Source: QOF 2019</w:t>
      </w:r>
    </w:p>
    <w:p w14:paraId="01908189" w14:textId="0F85EBA2" w:rsidR="00823138" w:rsidRPr="00941BC4" w:rsidRDefault="00823138" w:rsidP="00DC54F7">
      <w:pPr>
        <w:spacing w:after="0" w:line="240" w:lineRule="auto"/>
        <w:jc w:val="both"/>
        <w:rPr>
          <w:rFonts w:ascii="Arial" w:hAnsi="Arial" w:cs="Arial"/>
          <w:sz w:val="24"/>
          <w:szCs w:val="24"/>
        </w:rPr>
      </w:pPr>
      <w:r w:rsidRPr="00941BC4">
        <w:rPr>
          <w:rFonts w:ascii="Arial" w:hAnsi="Arial" w:cs="Arial"/>
          <w:sz w:val="24"/>
          <w:szCs w:val="24"/>
        </w:rPr>
        <w:t>Many of the factors that contribute to the inequalities in health and well-being are preventable. Table 1</w:t>
      </w:r>
      <w:r w:rsidR="005853F5" w:rsidRPr="00941BC4">
        <w:rPr>
          <w:rFonts w:ascii="Arial" w:hAnsi="Arial" w:cs="Arial"/>
          <w:sz w:val="24"/>
          <w:szCs w:val="24"/>
        </w:rPr>
        <w:t>1</w:t>
      </w:r>
      <w:r w:rsidRPr="00941BC4">
        <w:rPr>
          <w:rFonts w:ascii="Arial" w:hAnsi="Arial" w:cs="Arial"/>
          <w:sz w:val="24"/>
          <w:szCs w:val="24"/>
        </w:rPr>
        <w:t>.</w:t>
      </w:r>
      <w:r w:rsidR="00616929" w:rsidRPr="00941BC4">
        <w:rPr>
          <w:rFonts w:ascii="Arial" w:hAnsi="Arial" w:cs="Arial"/>
          <w:sz w:val="24"/>
          <w:szCs w:val="24"/>
        </w:rPr>
        <w:t>6</w:t>
      </w:r>
      <w:r w:rsidRPr="00941BC4">
        <w:rPr>
          <w:rFonts w:ascii="Arial" w:hAnsi="Arial" w:cs="Arial"/>
          <w:sz w:val="24"/>
          <w:szCs w:val="24"/>
        </w:rPr>
        <w:t xml:space="preserve"> shows the percentage of adults self-reporting harmful behaviours; where a lower percentage for smoking and drinking above the guidelines is seen as more beneficial to health and well-being as is a higher percentage for working age adults of healthy weight, meeting the physical activity guidelines and consuming </w:t>
      </w:r>
      <w:r w:rsidR="009D1039" w:rsidRPr="00941BC4">
        <w:rPr>
          <w:rFonts w:ascii="Arial" w:hAnsi="Arial" w:cs="Arial"/>
          <w:sz w:val="24"/>
          <w:szCs w:val="24"/>
        </w:rPr>
        <w:t>five</w:t>
      </w:r>
      <w:r w:rsidRPr="00941BC4">
        <w:rPr>
          <w:rFonts w:ascii="Arial" w:hAnsi="Arial" w:cs="Arial"/>
          <w:sz w:val="24"/>
          <w:szCs w:val="24"/>
        </w:rPr>
        <w:t xml:space="preserve"> a day. </w:t>
      </w:r>
    </w:p>
    <w:p w14:paraId="1FC61BEB" w14:textId="77777777" w:rsidR="00823138" w:rsidRPr="00941BC4" w:rsidRDefault="00823138" w:rsidP="00DC54F7">
      <w:pPr>
        <w:spacing w:after="0" w:line="240" w:lineRule="auto"/>
        <w:jc w:val="both"/>
        <w:rPr>
          <w:rFonts w:ascii="Arial" w:hAnsi="Arial" w:cs="Arial"/>
          <w:sz w:val="24"/>
          <w:szCs w:val="24"/>
        </w:rPr>
      </w:pPr>
    </w:p>
    <w:p w14:paraId="0E29D43A" w14:textId="6132AD57" w:rsidR="00823138" w:rsidRPr="00941BC4" w:rsidRDefault="00823138" w:rsidP="00DC54F7">
      <w:pPr>
        <w:spacing w:after="0" w:line="240" w:lineRule="auto"/>
        <w:jc w:val="both"/>
        <w:rPr>
          <w:rFonts w:ascii="Arial" w:hAnsi="Arial" w:cs="Arial"/>
          <w:sz w:val="24"/>
          <w:szCs w:val="24"/>
        </w:rPr>
      </w:pPr>
      <w:r w:rsidRPr="00941BC4">
        <w:rPr>
          <w:rFonts w:ascii="Arial" w:hAnsi="Arial" w:cs="Arial"/>
          <w:sz w:val="24"/>
          <w:szCs w:val="24"/>
        </w:rPr>
        <w:t xml:space="preserve">Overall, the percentage of adults reporting behaviours which support healthy outcomes in </w:t>
      </w:r>
      <w:r w:rsidR="00411EB7" w:rsidRPr="00941BC4">
        <w:rPr>
          <w:rFonts w:ascii="Arial" w:hAnsi="Arial" w:cs="Arial"/>
          <w:sz w:val="24"/>
          <w:szCs w:val="24"/>
        </w:rPr>
        <w:t>Cardiff North</w:t>
      </w:r>
      <w:r w:rsidRPr="00941BC4">
        <w:rPr>
          <w:rFonts w:ascii="Arial" w:hAnsi="Arial" w:cs="Arial"/>
          <w:sz w:val="24"/>
          <w:szCs w:val="24"/>
        </w:rPr>
        <w:t xml:space="preserve"> cluster is </w:t>
      </w:r>
      <w:r w:rsidR="00411EB7" w:rsidRPr="00941BC4">
        <w:rPr>
          <w:rFonts w:ascii="Arial" w:hAnsi="Arial" w:cs="Arial"/>
          <w:sz w:val="24"/>
          <w:szCs w:val="24"/>
        </w:rPr>
        <w:t>higher</w:t>
      </w:r>
      <w:r w:rsidRPr="00941BC4">
        <w:rPr>
          <w:rFonts w:ascii="Arial" w:hAnsi="Arial" w:cs="Arial"/>
          <w:sz w:val="24"/>
          <w:szCs w:val="24"/>
        </w:rPr>
        <w:t xml:space="preserve"> than</w:t>
      </w:r>
      <w:r w:rsidRPr="00941BC4">
        <w:rPr>
          <w:rFonts w:ascii="Arial" w:hAnsi="Arial" w:cs="Arial"/>
          <w:color w:val="000000"/>
          <w:sz w:val="24"/>
          <w:szCs w:val="24"/>
        </w:rPr>
        <w:t xml:space="preserve"> Cardiff and Vale University </w:t>
      </w:r>
      <w:r w:rsidRPr="00941BC4">
        <w:rPr>
          <w:rFonts w:ascii="Arial" w:hAnsi="Arial" w:cs="Arial"/>
          <w:sz w:val="24"/>
          <w:szCs w:val="24"/>
        </w:rPr>
        <w:t>Health Board and the average for Wales, except for drinking above the guidelines.</w:t>
      </w:r>
    </w:p>
    <w:p w14:paraId="5E152369" w14:textId="38DDD551" w:rsidR="00761B04" w:rsidRDefault="00761B04" w:rsidP="00DC54F7">
      <w:pPr>
        <w:spacing w:after="0" w:line="240" w:lineRule="auto"/>
        <w:jc w:val="both"/>
        <w:rPr>
          <w:sz w:val="24"/>
          <w:szCs w:val="24"/>
        </w:rPr>
      </w:pPr>
    </w:p>
    <w:p w14:paraId="314D4624" w14:textId="7C889204" w:rsidR="00CD7A5C" w:rsidRDefault="00CD7A5C" w:rsidP="00DC54F7">
      <w:pPr>
        <w:spacing w:after="0" w:line="240" w:lineRule="auto"/>
        <w:jc w:val="both"/>
        <w:rPr>
          <w:sz w:val="24"/>
          <w:szCs w:val="24"/>
        </w:rPr>
      </w:pPr>
    </w:p>
    <w:p w14:paraId="1E569379" w14:textId="7A6451B6" w:rsidR="00CD7A5C" w:rsidRDefault="00CD7A5C" w:rsidP="00DC54F7">
      <w:pPr>
        <w:spacing w:after="0" w:line="240" w:lineRule="auto"/>
        <w:jc w:val="both"/>
        <w:rPr>
          <w:sz w:val="24"/>
          <w:szCs w:val="24"/>
        </w:rPr>
      </w:pPr>
    </w:p>
    <w:p w14:paraId="759F9B44" w14:textId="07146C21" w:rsidR="00CD7A5C" w:rsidRDefault="00CD7A5C" w:rsidP="00DC54F7">
      <w:pPr>
        <w:spacing w:after="0" w:line="240" w:lineRule="auto"/>
        <w:jc w:val="both"/>
        <w:rPr>
          <w:sz w:val="24"/>
          <w:szCs w:val="24"/>
        </w:rPr>
      </w:pPr>
    </w:p>
    <w:p w14:paraId="3584DB2C" w14:textId="44D8EEC4" w:rsidR="00CD7A5C" w:rsidRDefault="00CD7A5C" w:rsidP="00DC54F7">
      <w:pPr>
        <w:spacing w:after="0" w:line="240" w:lineRule="auto"/>
        <w:jc w:val="both"/>
        <w:rPr>
          <w:sz w:val="24"/>
          <w:szCs w:val="24"/>
        </w:rPr>
      </w:pPr>
    </w:p>
    <w:p w14:paraId="514CAF7E" w14:textId="05F549E5" w:rsidR="00CD7A5C" w:rsidRDefault="00CD7A5C" w:rsidP="00DC54F7">
      <w:pPr>
        <w:spacing w:after="0" w:line="240" w:lineRule="auto"/>
        <w:jc w:val="both"/>
        <w:rPr>
          <w:sz w:val="24"/>
          <w:szCs w:val="24"/>
        </w:rPr>
      </w:pPr>
    </w:p>
    <w:p w14:paraId="2E2096DB" w14:textId="33482008" w:rsidR="00CD7A5C" w:rsidRDefault="00CD7A5C" w:rsidP="00DC54F7">
      <w:pPr>
        <w:spacing w:after="0" w:line="240" w:lineRule="auto"/>
        <w:jc w:val="both"/>
        <w:rPr>
          <w:sz w:val="24"/>
          <w:szCs w:val="24"/>
        </w:rPr>
      </w:pPr>
    </w:p>
    <w:p w14:paraId="7101AFE4" w14:textId="68C5A7A0" w:rsidR="00CD7A5C" w:rsidRDefault="00CD7A5C" w:rsidP="00DC54F7">
      <w:pPr>
        <w:jc w:val="both"/>
        <w:rPr>
          <w:sz w:val="24"/>
          <w:szCs w:val="24"/>
        </w:rPr>
      </w:pPr>
      <w:r>
        <w:rPr>
          <w:sz w:val="24"/>
          <w:szCs w:val="24"/>
        </w:rPr>
        <w:br w:type="page"/>
      </w:r>
    </w:p>
    <w:p w14:paraId="4E24BF64" w14:textId="56BB7772" w:rsidR="00A37E57" w:rsidRPr="00941BC4" w:rsidRDefault="00A37E57" w:rsidP="00DC54F7">
      <w:pPr>
        <w:spacing w:after="0" w:line="240" w:lineRule="auto"/>
        <w:jc w:val="both"/>
        <w:rPr>
          <w:b/>
          <w:bCs/>
          <w:sz w:val="24"/>
          <w:szCs w:val="24"/>
        </w:rPr>
      </w:pPr>
      <w:r w:rsidRPr="00941BC4">
        <w:rPr>
          <w:rFonts w:ascii="Arial" w:hAnsi="Arial" w:cs="Arial"/>
          <w:b/>
          <w:bCs/>
          <w:sz w:val="24"/>
          <w:szCs w:val="24"/>
        </w:rPr>
        <w:lastRenderedPageBreak/>
        <w:t>Table 11.</w:t>
      </w:r>
      <w:r w:rsidR="00616929" w:rsidRPr="00941BC4">
        <w:rPr>
          <w:rFonts w:ascii="Arial" w:hAnsi="Arial" w:cs="Arial"/>
          <w:b/>
          <w:bCs/>
          <w:sz w:val="24"/>
          <w:szCs w:val="24"/>
        </w:rPr>
        <w:t>6</w:t>
      </w:r>
      <w:r w:rsidRPr="00941BC4">
        <w:rPr>
          <w:rFonts w:ascii="Arial" w:hAnsi="Arial" w:cs="Arial"/>
          <w:b/>
          <w:bCs/>
          <w:sz w:val="24"/>
          <w:szCs w:val="24"/>
        </w:rPr>
        <w:t>: Percentage of adults (aged 16 years and over) reporting behaviours by cluster, health board and Wales, 2016 to 2018</w:t>
      </w:r>
    </w:p>
    <w:tbl>
      <w:tblPr>
        <w:tblW w:w="957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199"/>
        <w:gridCol w:w="1229"/>
        <w:gridCol w:w="246"/>
        <w:gridCol w:w="984"/>
        <w:gridCol w:w="492"/>
        <w:gridCol w:w="737"/>
        <w:gridCol w:w="739"/>
        <w:gridCol w:w="491"/>
        <w:gridCol w:w="985"/>
        <w:gridCol w:w="244"/>
        <w:gridCol w:w="1232"/>
      </w:tblGrid>
      <w:tr w:rsidR="001916DF" w:rsidRPr="003E6354" w14:paraId="3F488E5C" w14:textId="77777777" w:rsidTr="00A016A3">
        <w:trPr>
          <w:trHeight w:val="352"/>
        </w:trPr>
        <w:tc>
          <w:tcPr>
            <w:tcW w:w="2199" w:type="dxa"/>
            <w:shd w:val="clear" w:color="auto" w:fill="8497B0"/>
            <w:noWrap/>
            <w:vAlign w:val="center"/>
            <w:hideMark/>
          </w:tcPr>
          <w:p w14:paraId="68E18EE3" w14:textId="77777777" w:rsidR="003E6354" w:rsidRPr="00A016A3" w:rsidRDefault="003E6354" w:rsidP="00DC54F7">
            <w:pPr>
              <w:spacing w:after="0" w:line="240" w:lineRule="auto"/>
              <w:jc w:val="both"/>
              <w:rPr>
                <w:rFonts w:eastAsia="Times New Roman" w:cstheme="minorHAnsi"/>
                <w:b/>
                <w:bCs/>
                <w:color w:val="FFFFFF"/>
                <w:lang w:eastAsia="en-GB"/>
              </w:rPr>
            </w:pPr>
            <w:r w:rsidRPr="00A016A3">
              <w:rPr>
                <w:rFonts w:eastAsia="Times New Roman" w:cstheme="minorHAnsi"/>
                <w:b/>
                <w:bCs/>
                <w:color w:val="FFFFFF"/>
                <w:lang w:eastAsia="en-GB"/>
              </w:rPr>
              <w:t> </w:t>
            </w:r>
          </w:p>
        </w:tc>
        <w:tc>
          <w:tcPr>
            <w:tcW w:w="1475" w:type="dxa"/>
            <w:gridSpan w:val="2"/>
            <w:shd w:val="clear" w:color="auto" w:fill="8497B0"/>
            <w:noWrap/>
            <w:vAlign w:val="center"/>
            <w:hideMark/>
          </w:tcPr>
          <w:p w14:paraId="30338769" w14:textId="77777777" w:rsidR="003E6354" w:rsidRPr="00A016A3" w:rsidRDefault="003E6354" w:rsidP="00DC54F7">
            <w:pPr>
              <w:spacing w:after="0" w:line="240" w:lineRule="auto"/>
              <w:jc w:val="both"/>
              <w:rPr>
                <w:rFonts w:eastAsia="Times New Roman" w:cstheme="minorHAnsi"/>
                <w:b/>
                <w:bCs/>
                <w:color w:val="FFFFFF"/>
                <w:lang w:eastAsia="en-GB"/>
              </w:rPr>
            </w:pPr>
            <w:r w:rsidRPr="00A016A3">
              <w:rPr>
                <w:rFonts w:eastAsia="Times New Roman" w:cstheme="minorHAnsi"/>
                <w:b/>
                <w:bCs/>
                <w:color w:val="FFFFFF"/>
                <w:lang w:eastAsia="en-GB"/>
              </w:rPr>
              <w:t>Count</w:t>
            </w:r>
          </w:p>
        </w:tc>
        <w:tc>
          <w:tcPr>
            <w:tcW w:w="1476" w:type="dxa"/>
            <w:gridSpan w:val="2"/>
            <w:shd w:val="clear" w:color="auto" w:fill="8497B0"/>
            <w:noWrap/>
            <w:vAlign w:val="center"/>
            <w:hideMark/>
          </w:tcPr>
          <w:p w14:paraId="43DEA508" w14:textId="77777777" w:rsidR="003E6354" w:rsidRPr="00A016A3" w:rsidRDefault="003E6354" w:rsidP="00DC54F7">
            <w:pPr>
              <w:spacing w:after="0" w:line="240" w:lineRule="auto"/>
              <w:jc w:val="both"/>
              <w:rPr>
                <w:rFonts w:eastAsia="Times New Roman" w:cstheme="minorHAnsi"/>
                <w:b/>
                <w:bCs/>
                <w:color w:val="FFFFFF"/>
                <w:lang w:eastAsia="en-GB"/>
              </w:rPr>
            </w:pPr>
            <w:r w:rsidRPr="00A016A3">
              <w:rPr>
                <w:rFonts w:eastAsia="Times New Roman" w:cstheme="minorHAnsi"/>
                <w:b/>
                <w:bCs/>
                <w:color w:val="FFFFFF"/>
                <w:lang w:eastAsia="en-GB"/>
              </w:rPr>
              <w:t> </w:t>
            </w:r>
          </w:p>
        </w:tc>
        <w:tc>
          <w:tcPr>
            <w:tcW w:w="1476" w:type="dxa"/>
            <w:gridSpan w:val="2"/>
            <w:shd w:val="clear" w:color="auto" w:fill="8497B0"/>
            <w:noWrap/>
            <w:vAlign w:val="center"/>
            <w:hideMark/>
          </w:tcPr>
          <w:p w14:paraId="4F6DEE3C" w14:textId="77777777" w:rsidR="003E6354" w:rsidRPr="00A016A3" w:rsidRDefault="003E6354" w:rsidP="00DC54F7">
            <w:pPr>
              <w:spacing w:after="0" w:line="240" w:lineRule="auto"/>
              <w:jc w:val="both"/>
              <w:rPr>
                <w:rFonts w:eastAsia="Times New Roman" w:cstheme="minorHAnsi"/>
                <w:b/>
                <w:bCs/>
                <w:color w:val="FFFFFF"/>
                <w:lang w:eastAsia="en-GB"/>
              </w:rPr>
            </w:pPr>
            <w:r w:rsidRPr="00A016A3">
              <w:rPr>
                <w:rFonts w:eastAsia="Times New Roman" w:cstheme="minorHAnsi"/>
                <w:b/>
                <w:bCs/>
                <w:color w:val="FFFFFF"/>
                <w:lang w:eastAsia="en-GB"/>
              </w:rPr>
              <w:t> </w:t>
            </w:r>
          </w:p>
        </w:tc>
        <w:tc>
          <w:tcPr>
            <w:tcW w:w="1476" w:type="dxa"/>
            <w:gridSpan w:val="2"/>
            <w:shd w:val="clear" w:color="auto" w:fill="8497B0"/>
            <w:noWrap/>
            <w:vAlign w:val="center"/>
            <w:hideMark/>
          </w:tcPr>
          <w:p w14:paraId="475954D4" w14:textId="77777777" w:rsidR="003E6354" w:rsidRPr="00A016A3" w:rsidRDefault="003E6354" w:rsidP="00DC54F7">
            <w:pPr>
              <w:spacing w:after="0" w:line="240" w:lineRule="auto"/>
              <w:jc w:val="both"/>
              <w:rPr>
                <w:rFonts w:eastAsia="Times New Roman" w:cstheme="minorHAnsi"/>
                <w:b/>
                <w:bCs/>
                <w:color w:val="FFFFFF"/>
                <w:lang w:eastAsia="en-GB"/>
              </w:rPr>
            </w:pPr>
            <w:r w:rsidRPr="00A016A3">
              <w:rPr>
                <w:rFonts w:eastAsia="Times New Roman" w:cstheme="minorHAnsi"/>
                <w:b/>
                <w:bCs/>
                <w:color w:val="FFFFFF"/>
                <w:lang w:eastAsia="en-GB"/>
              </w:rPr>
              <w:t>Prevalence</w:t>
            </w:r>
          </w:p>
        </w:tc>
        <w:tc>
          <w:tcPr>
            <w:tcW w:w="1476" w:type="dxa"/>
            <w:gridSpan w:val="2"/>
            <w:shd w:val="clear" w:color="auto" w:fill="8497B0"/>
            <w:noWrap/>
            <w:vAlign w:val="center"/>
            <w:hideMark/>
          </w:tcPr>
          <w:p w14:paraId="49182B79" w14:textId="77777777" w:rsidR="003E6354" w:rsidRPr="00A016A3" w:rsidRDefault="003E6354" w:rsidP="00DC54F7">
            <w:pPr>
              <w:spacing w:after="0" w:line="240" w:lineRule="auto"/>
              <w:jc w:val="both"/>
              <w:rPr>
                <w:rFonts w:eastAsia="Times New Roman" w:cstheme="minorHAnsi"/>
                <w:b/>
                <w:bCs/>
                <w:color w:val="FFFFFF"/>
                <w:lang w:eastAsia="en-GB"/>
              </w:rPr>
            </w:pPr>
            <w:r w:rsidRPr="00A016A3">
              <w:rPr>
                <w:rFonts w:eastAsia="Times New Roman" w:cstheme="minorHAnsi"/>
                <w:b/>
                <w:bCs/>
                <w:color w:val="FFFFFF"/>
                <w:lang w:eastAsia="en-GB"/>
              </w:rPr>
              <w:t> </w:t>
            </w:r>
          </w:p>
        </w:tc>
      </w:tr>
      <w:tr w:rsidR="001916DF" w:rsidRPr="003E6354" w14:paraId="35FF3C48" w14:textId="77777777" w:rsidTr="00A016A3">
        <w:trPr>
          <w:trHeight w:val="1594"/>
        </w:trPr>
        <w:tc>
          <w:tcPr>
            <w:tcW w:w="2199" w:type="dxa"/>
            <w:shd w:val="clear" w:color="auto" w:fill="8497B0"/>
            <w:vAlign w:val="center"/>
            <w:hideMark/>
          </w:tcPr>
          <w:p w14:paraId="5D8A2B3F" w14:textId="77777777" w:rsidR="003E6354" w:rsidRPr="00A016A3" w:rsidRDefault="003E6354" w:rsidP="00DC54F7">
            <w:pPr>
              <w:spacing w:after="0" w:line="240" w:lineRule="auto"/>
              <w:jc w:val="both"/>
              <w:rPr>
                <w:rFonts w:eastAsia="Times New Roman" w:cstheme="minorHAnsi"/>
                <w:b/>
                <w:bCs/>
                <w:color w:val="FFFFFF"/>
                <w:lang w:eastAsia="en-GB"/>
              </w:rPr>
            </w:pPr>
            <w:r w:rsidRPr="00A016A3">
              <w:rPr>
                <w:rFonts w:eastAsia="Times New Roman" w:cstheme="minorHAnsi"/>
                <w:b/>
                <w:bCs/>
                <w:color w:val="FFFFFF"/>
                <w:lang w:eastAsia="en-GB"/>
              </w:rPr>
              <w:t>GP Cluster Name</w:t>
            </w:r>
          </w:p>
        </w:tc>
        <w:tc>
          <w:tcPr>
            <w:tcW w:w="1229" w:type="dxa"/>
            <w:shd w:val="clear" w:color="auto" w:fill="8497B0"/>
            <w:vAlign w:val="center"/>
            <w:hideMark/>
          </w:tcPr>
          <w:p w14:paraId="18AA0933" w14:textId="77777777" w:rsidR="003E6354" w:rsidRPr="00A016A3" w:rsidRDefault="003E6354" w:rsidP="00DC54F7">
            <w:pPr>
              <w:spacing w:after="0" w:line="240" w:lineRule="auto"/>
              <w:jc w:val="both"/>
              <w:rPr>
                <w:rFonts w:eastAsia="Times New Roman" w:cstheme="minorHAnsi"/>
                <w:b/>
                <w:bCs/>
                <w:color w:val="FFFFFF"/>
                <w:lang w:eastAsia="en-GB"/>
              </w:rPr>
            </w:pPr>
            <w:r w:rsidRPr="00A016A3">
              <w:rPr>
                <w:rFonts w:eastAsia="Times New Roman" w:cstheme="minorHAnsi"/>
                <w:b/>
                <w:bCs/>
                <w:color w:val="FFFFFF"/>
                <w:lang w:eastAsia="en-GB"/>
              </w:rPr>
              <w:t>GP cluster population aged 16+</w:t>
            </w:r>
          </w:p>
        </w:tc>
        <w:tc>
          <w:tcPr>
            <w:tcW w:w="1230" w:type="dxa"/>
            <w:gridSpan w:val="2"/>
            <w:shd w:val="clear" w:color="auto" w:fill="8497B0"/>
            <w:vAlign w:val="center"/>
            <w:hideMark/>
          </w:tcPr>
          <w:p w14:paraId="4E2F9FED" w14:textId="77777777" w:rsidR="003E6354" w:rsidRPr="00A016A3" w:rsidRDefault="003E6354" w:rsidP="00DC54F7">
            <w:pPr>
              <w:spacing w:after="0" w:line="240" w:lineRule="auto"/>
              <w:jc w:val="both"/>
              <w:rPr>
                <w:rFonts w:eastAsia="Times New Roman" w:cstheme="minorHAnsi"/>
                <w:b/>
                <w:bCs/>
                <w:color w:val="FFFFFF"/>
                <w:lang w:eastAsia="en-GB"/>
              </w:rPr>
            </w:pPr>
            <w:r w:rsidRPr="00A016A3">
              <w:rPr>
                <w:rFonts w:eastAsia="Times New Roman" w:cstheme="minorHAnsi"/>
                <w:b/>
                <w:bCs/>
                <w:color w:val="FFFFFF"/>
                <w:lang w:eastAsia="en-GB"/>
              </w:rPr>
              <w:t>Smoking</w:t>
            </w:r>
          </w:p>
        </w:tc>
        <w:tc>
          <w:tcPr>
            <w:tcW w:w="1229" w:type="dxa"/>
            <w:gridSpan w:val="2"/>
            <w:shd w:val="clear" w:color="auto" w:fill="8497B0"/>
            <w:vAlign w:val="center"/>
            <w:hideMark/>
          </w:tcPr>
          <w:p w14:paraId="14171BFF" w14:textId="77777777" w:rsidR="003E6354" w:rsidRPr="00A016A3" w:rsidRDefault="003E6354" w:rsidP="00DC54F7">
            <w:pPr>
              <w:spacing w:after="0" w:line="240" w:lineRule="auto"/>
              <w:jc w:val="both"/>
              <w:rPr>
                <w:rFonts w:eastAsia="Times New Roman" w:cstheme="minorHAnsi"/>
                <w:b/>
                <w:bCs/>
                <w:color w:val="FFFFFF"/>
                <w:lang w:eastAsia="en-GB"/>
              </w:rPr>
            </w:pPr>
            <w:r w:rsidRPr="00A016A3">
              <w:rPr>
                <w:rFonts w:eastAsia="Times New Roman" w:cstheme="minorHAnsi"/>
                <w:b/>
                <w:bCs/>
                <w:color w:val="FFFFFF"/>
                <w:lang w:eastAsia="en-GB"/>
              </w:rPr>
              <w:t>Drinking the above guidelines</w:t>
            </w:r>
          </w:p>
        </w:tc>
        <w:tc>
          <w:tcPr>
            <w:tcW w:w="1230" w:type="dxa"/>
            <w:gridSpan w:val="2"/>
            <w:shd w:val="clear" w:color="auto" w:fill="8497B0"/>
            <w:vAlign w:val="center"/>
            <w:hideMark/>
          </w:tcPr>
          <w:p w14:paraId="5599B165" w14:textId="77777777" w:rsidR="003E6354" w:rsidRPr="00A016A3" w:rsidRDefault="003E6354" w:rsidP="00DC54F7">
            <w:pPr>
              <w:spacing w:after="0" w:line="240" w:lineRule="auto"/>
              <w:jc w:val="both"/>
              <w:rPr>
                <w:rFonts w:eastAsia="Times New Roman" w:cstheme="minorHAnsi"/>
                <w:b/>
                <w:bCs/>
                <w:color w:val="FFFFFF"/>
                <w:lang w:eastAsia="en-GB"/>
              </w:rPr>
            </w:pPr>
            <w:r w:rsidRPr="00A016A3">
              <w:rPr>
                <w:rFonts w:eastAsia="Times New Roman" w:cstheme="minorHAnsi"/>
                <w:b/>
                <w:bCs/>
                <w:color w:val="FFFFFF"/>
                <w:lang w:eastAsia="en-GB"/>
              </w:rPr>
              <w:t>Working age adults of healthy weight</w:t>
            </w:r>
          </w:p>
        </w:tc>
        <w:tc>
          <w:tcPr>
            <w:tcW w:w="1229" w:type="dxa"/>
            <w:gridSpan w:val="2"/>
            <w:shd w:val="clear" w:color="auto" w:fill="8497B0"/>
            <w:vAlign w:val="center"/>
            <w:hideMark/>
          </w:tcPr>
          <w:p w14:paraId="04374C88" w14:textId="77777777" w:rsidR="003E6354" w:rsidRPr="00A016A3" w:rsidRDefault="003E6354" w:rsidP="00DC54F7">
            <w:pPr>
              <w:spacing w:after="0" w:line="240" w:lineRule="auto"/>
              <w:jc w:val="both"/>
              <w:rPr>
                <w:rFonts w:eastAsia="Times New Roman" w:cstheme="minorHAnsi"/>
                <w:b/>
                <w:bCs/>
                <w:color w:val="FFFFFF"/>
                <w:lang w:eastAsia="en-GB"/>
              </w:rPr>
            </w:pPr>
            <w:r w:rsidRPr="00A016A3">
              <w:rPr>
                <w:rFonts w:eastAsia="Times New Roman" w:cstheme="minorHAnsi"/>
                <w:b/>
                <w:bCs/>
                <w:color w:val="FFFFFF"/>
                <w:lang w:eastAsia="en-GB"/>
              </w:rPr>
              <w:t>Meeting physical activity guidelines</w:t>
            </w:r>
          </w:p>
        </w:tc>
        <w:tc>
          <w:tcPr>
            <w:tcW w:w="1230" w:type="dxa"/>
            <w:shd w:val="clear" w:color="auto" w:fill="8497B0"/>
            <w:vAlign w:val="center"/>
            <w:hideMark/>
          </w:tcPr>
          <w:p w14:paraId="587FB2E7" w14:textId="77777777" w:rsidR="003E6354" w:rsidRPr="00A016A3" w:rsidRDefault="003E6354" w:rsidP="00DC54F7">
            <w:pPr>
              <w:spacing w:after="0" w:line="240" w:lineRule="auto"/>
              <w:jc w:val="both"/>
              <w:rPr>
                <w:rFonts w:eastAsia="Times New Roman" w:cstheme="minorHAnsi"/>
                <w:b/>
                <w:bCs/>
                <w:color w:val="FFFFFF"/>
                <w:lang w:eastAsia="en-GB"/>
              </w:rPr>
            </w:pPr>
            <w:r w:rsidRPr="00A016A3">
              <w:rPr>
                <w:rFonts w:eastAsia="Times New Roman" w:cstheme="minorHAnsi"/>
                <w:b/>
                <w:bCs/>
                <w:color w:val="FFFFFF"/>
                <w:lang w:eastAsia="en-GB"/>
              </w:rPr>
              <w:t>Consuming 5 a day</w:t>
            </w:r>
          </w:p>
        </w:tc>
      </w:tr>
      <w:tr w:rsidR="001916DF" w:rsidRPr="003E6354" w14:paraId="12E273DE" w14:textId="77777777" w:rsidTr="00A016A3">
        <w:trPr>
          <w:trHeight w:val="364"/>
        </w:trPr>
        <w:tc>
          <w:tcPr>
            <w:tcW w:w="2199" w:type="dxa"/>
            <w:shd w:val="clear" w:color="000000" w:fill="F2F2F2"/>
            <w:noWrap/>
            <w:vAlign w:val="center"/>
            <w:hideMark/>
          </w:tcPr>
          <w:p w14:paraId="1BB8735F"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Cardiff North</w:t>
            </w:r>
          </w:p>
        </w:tc>
        <w:tc>
          <w:tcPr>
            <w:tcW w:w="1229" w:type="dxa"/>
            <w:shd w:val="clear" w:color="000000" w:fill="F2F2F2"/>
            <w:noWrap/>
            <w:vAlign w:val="center"/>
            <w:hideMark/>
          </w:tcPr>
          <w:p w14:paraId="0E2EB57E"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84,059</w:t>
            </w:r>
          </w:p>
        </w:tc>
        <w:tc>
          <w:tcPr>
            <w:tcW w:w="1230" w:type="dxa"/>
            <w:gridSpan w:val="2"/>
            <w:shd w:val="clear" w:color="000000" w:fill="F2F2F2"/>
            <w:noWrap/>
            <w:vAlign w:val="center"/>
            <w:hideMark/>
          </w:tcPr>
          <w:p w14:paraId="30F55C2B"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14.7</w:t>
            </w:r>
          </w:p>
        </w:tc>
        <w:tc>
          <w:tcPr>
            <w:tcW w:w="1229" w:type="dxa"/>
            <w:gridSpan w:val="2"/>
            <w:shd w:val="clear" w:color="000000" w:fill="F2F2F2"/>
            <w:noWrap/>
            <w:vAlign w:val="center"/>
            <w:hideMark/>
          </w:tcPr>
          <w:p w14:paraId="4FDDBCB4"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20.6</w:t>
            </w:r>
          </w:p>
        </w:tc>
        <w:tc>
          <w:tcPr>
            <w:tcW w:w="1230" w:type="dxa"/>
            <w:gridSpan w:val="2"/>
            <w:shd w:val="clear" w:color="000000" w:fill="F2F2F2"/>
            <w:noWrap/>
            <w:vAlign w:val="center"/>
            <w:hideMark/>
          </w:tcPr>
          <w:p w14:paraId="089D327D"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45.2</w:t>
            </w:r>
          </w:p>
        </w:tc>
        <w:tc>
          <w:tcPr>
            <w:tcW w:w="1229" w:type="dxa"/>
            <w:gridSpan w:val="2"/>
            <w:shd w:val="clear" w:color="000000" w:fill="F2F2F2"/>
            <w:noWrap/>
            <w:vAlign w:val="center"/>
            <w:hideMark/>
          </w:tcPr>
          <w:p w14:paraId="11A6AADF"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59.0</w:t>
            </w:r>
          </w:p>
        </w:tc>
        <w:tc>
          <w:tcPr>
            <w:tcW w:w="1230" w:type="dxa"/>
            <w:shd w:val="clear" w:color="000000" w:fill="F2F2F2"/>
            <w:noWrap/>
            <w:vAlign w:val="center"/>
            <w:hideMark/>
          </w:tcPr>
          <w:p w14:paraId="41F5EF19"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26.5</w:t>
            </w:r>
          </w:p>
        </w:tc>
      </w:tr>
      <w:tr w:rsidR="001916DF" w:rsidRPr="003E6354" w14:paraId="7A95A482" w14:textId="77777777" w:rsidTr="00A016A3">
        <w:trPr>
          <w:trHeight w:val="364"/>
        </w:trPr>
        <w:tc>
          <w:tcPr>
            <w:tcW w:w="2199" w:type="dxa"/>
            <w:shd w:val="clear" w:color="000000" w:fill="FFFFFF"/>
            <w:noWrap/>
            <w:vAlign w:val="center"/>
            <w:hideMark/>
          </w:tcPr>
          <w:p w14:paraId="1483C0B3"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Cardiff and Vale UHB</w:t>
            </w:r>
          </w:p>
        </w:tc>
        <w:tc>
          <w:tcPr>
            <w:tcW w:w="1229" w:type="dxa"/>
            <w:shd w:val="clear" w:color="000000" w:fill="FFFFFF"/>
            <w:noWrap/>
            <w:vAlign w:val="center"/>
            <w:hideMark/>
          </w:tcPr>
          <w:p w14:paraId="1D845D95"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420,119</w:t>
            </w:r>
          </w:p>
        </w:tc>
        <w:tc>
          <w:tcPr>
            <w:tcW w:w="1230" w:type="dxa"/>
            <w:gridSpan w:val="2"/>
            <w:shd w:val="clear" w:color="000000" w:fill="FFFFFF"/>
            <w:noWrap/>
            <w:vAlign w:val="center"/>
            <w:hideMark/>
          </w:tcPr>
          <w:p w14:paraId="7A06ECB3"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19.3</w:t>
            </w:r>
          </w:p>
        </w:tc>
        <w:tc>
          <w:tcPr>
            <w:tcW w:w="1229" w:type="dxa"/>
            <w:gridSpan w:val="2"/>
            <w:shd w:val="clear" w:color="000000" w:fill="FFFFFF"/>
            <w:noWrap/>
            <w:vAlign w:val="center"/>
            <w:hideMark/>
          </w:tcPr>
          <w:p w14:paraId="76B38B7B"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18.9</w:t>
            </w:r>
          </w:p>
        </w:tc>
        <w:tc>
          <w:tcPr>
            <w:tcW w:w="1230" w:type="dxa"/>
            <w:gridSpan w:val="2"/>
            <w:shd w:val="clear" w:color="000000" w:fill="FFFFFF"/>
            <w:noWrap/>
            <w:vAlign w:val="center"/>
            <w:hideMark/>
          </w:tcPr>
          <w:p w14:paraId="60FAE2A5"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40.8</w:t>
            </w:r>
          </w:p>
        </w:tc>
        <w:tc>
          <w:tcPr>
            <w:tcW w:w="1229" w:type="dxa"/>
            <w:gridSpan w:val="2"/>
            <w:shd w:val="clear" w:color="000000" w:fill="FFFFFF"/>
            <w:noWrap/>
            <w:vAlign w:val="center"/>
            <w:hideMark/>
          </w:tcPr>
          <w:p w14:paraId="13D5C29D"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55.1</w:t>
            </w:r>
          </w:p>
        </w:tc>
        <w:tc>
          <w:tcPr>
            <w:tcW w:w="1230" w:type="dxa"/>
            <w:shd w:val="clear" w:color="000000" w:fill="FFFFFF"/>
            <w:noWrap/>
            <w:vAlign w:val="center"/>
            <w:hideMark/>
          </w:tcPr>
          <w:p w14:paraId="0A97BF61"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24.2</w:t>
            </w:r>
          </w:p>
        </w:tc>
      </w:tr>
      <w:tr w:rsidR="001916DF" w:rsidRPr="003E6354" w14:paraId="01E891E3" w14:textId="77777777" w:rsidTr="00A016A3">
        <w:trPr>
          <w:trHeight w:val="364"/>
        </w:trPr>
        <w:tc>
          <w:tcPr>
            <w:tcW w:w="2199" w:type="dxa"/>
            <w:shd w:val="clear" w:color="000000" w:fill="F2F2F2"/>
            <w:noWrap/>
            <w:vAlign w:val="center"/>
            <w:hideMark/>
          </w:tcPr>
          <w:p w14:paraId="59D4F8E0"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Wales</w:t>
            </w:r>
          </w:p>
        </w:tc>
        <w:tc>
          <w:tcPr>
            <w:tcW w:w="1229" w:type="dxa"/>
            <w:shd w:val="clear" w:color="000000" w:fill="F2F2F2"/>
            <w:noWrap/>
            <w:vAlign w:val="center"/>
            <w:hideMark/>
          </w:tcPr>
          <w:p w14:paraId="5A5C87B5"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2,642,152</w:t>
            </w:r>
          </w:p>
        </w:tc>
        <w:tc>
          <w:tcPr>
            <w:tcW w:w="1230" w:type="dxa"/>
            <w:gridSpan w:val="2"/>
            <w:shd w:val="clear" w:color="000000" w:fill="F2F2F2"/>
            <w:noWrap/>
            <w:vAlign w:val="center"/>
            <w:hideMark/>
          </w:tcPr>
          <w:p w14:paraId="2ACF1EE5"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19.2</w:t>
            </w:r>
          </w:p>
        </w:tc>
        <w:tc>
          <w:tcPr>
            <w:tcW w:w="1229" w:type="dxa"/>
            <w:gridSpan w:val="2"/>
            <w:shd w:val="clear" w:color="000000" w:fill="F2F2F2"/>
            <w:noWrap/>
            <w:vAlign w:val="center"/>
            <w:hideMark/>
          </w:tcPr>
          <w:p w14:paraId="66E0FF7F"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18.9</w:t>
            </w:r>
          </w:p>
        </w:tc>
        <w:tc>
          <w:tcPr>
            <w:tcW w:w="1230" w:type="dxa"/>
            <w:gridSpan w:val="2"/>
            <w:shd w:val="clear" w:color="000000" w:fill="F2F2F2"/>
            <w:noWrap/>
            <w:vAlign w:val="center"/>
            <w:hideMark/>
          </w:tcPr>
          <w:p w14:paraId="60B68FD7"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39.1</w:t>
            </w:r>
          </w:p>
        </w:tc>
        <w:tc>
          <w:tcPr>
            <w:tcW w:w="1229" w:type="dxa"/>
            <w:gridSpan w:val="2"/>
            <w:shd w:val="clear" w:color="000000" w:fill="F2F2F2"/>
            <w:noWrap/>
            <w:vAlign w:val="center"/>
            <w:hideMark/>
          </w:tcPr>
          <w:p w14:paraId="56B909BD"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52.8</w:t>
            </w:r>
          </w:p>
        </w:tc>
        <w:tc>
          <w:tcPr>
            <w:tcW w:w="1230" w:type="dxa"/>
            <w:shd w:val="clear" w:color="000000" w:fill="F2F2F2"/>
            <w:noWrap/>
            <w:vAlign w:val="center"/>
            <w:hideMark/>
          </w:tcPr>
          <w:p w14:paraId="13B78150" w14:textId="77777777" w:rsidR="003E6354" w:rsidRPr="00A016A3" w:rsidRDefault="003E6354" w:rsidP="00DC54F7">
            <w:pPr>
              <w:spacing w:after="0" w:line="240" w:lineRule="auto"/>
              <w:jc w:val="both"/>
              <w:rPr>
                <w:rFonts w:eastAsia="Times New Roman" w:cstheme="minorHAnsi"/>
                <w:color w:val="000000"/>
                <w:lang w:eastAsia="en-GB"/>
              </w:rPr>
            </w:pPr>
            <w:r w:rsidRPr="00A016A3">
              <w:rPr>
                <w:rFonts w:eastAsia="Times New Roman" w:cstheme="minorHAnsi"/>
                <w:color w:val="000000"/>
                <w:lang w:eastAsia="en-GB"/>
              </w:rPr>
              <w:t>23.4</w:t>
            </w:r>
          </w:p>
        </w:tc>
      </w:tr>
    </w:tbl>
    <w:p w14:paraId="1FF506C4" w14:textId="10E47086" w:rsidR="00823138" w:rsidRDefault="00823138" w:rsidP="00DC54F7">
      <w:pPr>
        <w:spacing w:after="0" w:line="240" w:lineRule="auto"/>
        <w:jc w:val="both"/>
        <w:rPr>
          <w:rFonts w:ascii="Arial" w:hAnsi="Arial" w:cs="Arial"/>
          <w:sz w:val="20"/>
          <w:szCs w:val="20"/>
        </w:rPr>
      </w:pPr>
      <w:r w:rsidRPr="00DD3817">
        <w:rPr>
          <w:rFonts w:ascii="Arial" w:hAnsi="Arial" w:cs="Arial"/>
          <w:sz w:val="20"/>
          <w:szCs w:val="20"/>
        </w:rPr>
        <w:t>Source: Public Health Wales Observatory, using NSW (WG), WDS (NWIS) and WIMD 2014 (WG). Please note, the calculation of the healthy weight indicator only accounts for working age adults (aged 16-64)</w:t>
      </w:r>
    </w:p>
    <w:p w14:paraId="615C7231" w14:textId="77777777" w:rsidR="007F6429" w:rsidRDefault="007F6429" w:rsidP="00DC54F7">
      <w:pPr>
        <w:spacing w:after="0" w:line="240" w:lineRule="auto"/>
        <w:jc w:val="both"/>
        <w:rPr>
          <w:rFonts w:ascii="Arial" w:hAnsi="Arial" w:cs="Arial"/>
          <w:sz w:val="20"/>
          <w:szCs w:val="20"/>
        </w:rPr>
      </w:pPr>
    </w:p>
    <w:p w14:paraId="60545B56" w14:textId="77777777" w:rsidR="007F6429" w:rsidRDefault="007F6429" w:rsidP="00DC54F7">
      <w:pPr>
        <w:spacing w:after="0" w:line="240" w:lineRule="auto"/>
        <w:jc w:val="both"/>
        <w:rPr>
          <w:rFonts w:ascii="Arial" w:hAnsi="Arial" w:cs="Arial"/>
          <w:b/>
          <w:bCs/>
          <w:sz w:val="24"/>
          <w:szCs w:val="24"/>
        </w:rPr>
      </w:pPr>
    </w:p>
    <w:p w14:paraId="0C38870D" w14:textId="63578D86" w:rsidR="00C05081" w:rsidRDefault="004526DF" w:rsidP="00DC54F7">
      <w:pPr>
        <w:spacing w:after="0" w:line="240" w:lineRule="auto"/>
        <w:jc w:val="both"/>
        <w:rPr>
          <w:rFonts w:ascii="Arial" w:hAnsi="Arial" w:cs="Arial"/>
          <w:b/>
          <w:bCs/>
          <w:sz w:val="24"/>
          <w:szCs w:val="24"/>
        </w:rPr>
      </w:pPr>
      <w:r>
        <w:rPr>
          <w:rFonts w:ascii="Arial" w:hAnsi="Arial" w:cs="Arial"/>
          <w:b/>
          <w:bCs/>
          <w:sz w:val="24"/>
          <w:szCs w:val="24"/>
        </w:rPr>
        <w:t xml:space="preserve">11.1.5. </w:t>
      </w:r>
      <w:r w:rsidR="00C05081" w:rsidRPr="00C05081">
        <w:rPr>
          <w:rFonts w:ascii="Arial" w:hAnsi="Arial" w:cs="Arial"/>
          <w:b/>
          <w:bCs/>
          <w:sz w:val="24"/>
          <w:szCs w:val="24"/>
        </w:rPr>
        <w:t>Cluster developments</w:t>
      </w:r>
    </w:p>
    <w:p w14:paraId="20B597B6" w14:textId="77777777" w:rsidR="00FC7E0B" w:rsidRDefault="00FC7E0B" w:rsidP="00DC54F7">
      <w:pPr>
        <w:spacing w:after="0" w:line="240" w:lineRule="auto"/>
        <w:jc w:val="both"/>
        <w:rPr>
          <w:rFonts w:ascii="Arial" w:hAnsi="Arial" w:cs="Arial"/>
        </w:rPr>
      </w:pPr>
    </w:p>
    <w:p w14:paraId="48536DC9" w14:textId="14C33ADB" w:rsidR="00360DB1" w:rsidRPr="004526DF" w:rsidRDefault="00360DB1" w:rsidP="00DC54F7">
      <w:pPr>
        <w:spacing w:after="0" w:line="240" w:lineRule="auto"/>
        <w:jc w:val="both"/>
        <w:rPr>
          <w:rFonts w:ascii="Arial" w:hAnsi="Arial" w:cs="Arial"/>
          <w:sz w:val="24"/>
          <w:szCs w:val="24"/>
        </w:rPr>
      </w:pPr>
      <w:r w:rsidRPr="004526DF">
        <w:rPr>
          <w:rFonts w:ascii="Arial" w:hAnsi="Arial" w:cs="Arial"/>
          <w:sz w:val="24"/>
          <w:szCs w:val="24"/>
        </w:rPr>
        <w:t xml:space="preserve">There are two </w:t>
      </w:r>
      <w:r w:rsidR="000E6AB8" w:rsidRPr="004526DF">
        <w:rPr>
          <w:rFonts w:ascii="Arial" w:hAnsi="Arial" w:cs="Arial"/>
          <w:sz w:val="24"/>
          <w:szCs w:val="24"/>
        </w:rPr>
        <w:t xml:space="preserve">large </w:t>
      </w:r>
      <w:r w:rsidRPr="004526DF">
        <w:rPr>
          <w:rFonts w:ascii="Arial" w:hAnsi="Arial" w:cs="Arial"/>
          <w:sz w:val="24"/>
          <w:szCs w:val="24"/>
        </w:rPr>
        <w:t xml:space="preserve">developments </w:t>
      </w:r>
      <w:r w:rsidR="000E6AB8" w:rsidRPr="004526DF">
        <w:rPr>
          <w:rFonts w:ascii="Arial" w:hAnsi="Arial" w:cs="Arial"/>
          <w:sz w:val="24"/>
          <w:szCs w:val="24"/>
        </w:rPr>
        <w:t xml:space="preserve">planned </w:t>
      </w:r>
      <w:r w:rsidRPr="004526DF">
        <w:rPr>
          <w:rFonts w:ascii="Arial" w:hAnsi="Arial" w:cs="Arial"/>
          <w:sz w:val="24"/>
          <w:szCs w:val="24"/>
        </w:rPr>
        <w:t xml:space="preserve">within </w:t>
      </w:r>
      <w:r w:rsidR="00765F09" w:rsidRPr="004526DF">
        <w:rPr>
          <w:rFonts w:ascii="Arial" w:hAnsi="Arial" w:cs="Arial"/>
          <w:sz w:val="24"/>
          <w:szCs w:val="24"/>
        </w:rPr>
        <w:t xml:space="preserve">Cardiff North </w:t>
      </w:r>
      <w:r w:rsidRPr="004526DF">
        <w:rPr>
          <w:rFonts w:ascii="Arial" w:hAnsi="Arial" w:cs="Arial"/>
          <w:sz w:val="24"/>
          <w:szCs w:val="24"/>
        </w:rPr>
        <w:t>cluster</w:t>
      </w:r>
      <w:r w:rsidR="009377C7" w:rsidRPr="004526DF">
        <w:rPr>
          <w:rFonts w:ascii="Arial" w:hAnsi="Arial" w:cs="Arial"/>
          <w:sz w:val="24"/>
          <w:szCs w:val="24"/>
        </w:rPr>
        <w:t xml:space="preserve"> to be completed by 2026 </w:t>
      </w:r>
      <w:r w:rsidR="005D320B" w:rsidRPr="004526DF">
        <w:rPr>
          <w:rFonts w:ascii="Arial" w:hAnsi="Arial" w:cs="Arial"/>
          <w:sz w:val="24"/>
          <w:szCs w:val="24"/>
        </w:rPr>
        <w:t>in line with the Cardiff Local Development Plan</w:t>
      </w:r>
      <w:r w:rsidR="00765F09" w:rsidRPr="004526DF">
        <w:rPr>
          <w:rFonts w:ascii="Arial" w:hAnsi="Arial" w:cs="Arial"/>
          <w:sz w:val="24"/>
          <w:szCs w:val="24"/>
        </w:rPr>
        <w:t xml:space="preserve"> 2006 to 2026. </w:t>
      </w:r>
    </w:p>
    <w:p w14:paraId="5D2DDF44" w14:textId="77777777" w:rsidR="00EB38C2" w:rsidRDefault="00EB38C2" w:rsidP="00DC54F7">
      <w:pPr>
        <w:spacing w:after="0" w:line="240" w:lineRule="auto"/>
        <w:jc w:val="both"/>
        <w:rPr>
          <w:rFonts w:ascii="Arial" w:hAnsi="Arial" w:cs="Arial"/>
        </w:rPr>
      </w:pPr>
    </w:p>
    <w:p w14:paraId="1531A65F" w14:textId="7B445B23" w:rsidR="00EB38C2" w:rsidRPr="004526DF" w:rsidRDefault="00EB38C2" w:rsidP="00DC54F7">
      <w:pPr>
        <w:spacing w:after="0" w:line="240" w:lineRule="auto"/>
        <w:jc w:val="both"/>
        <w:rPr>
          <w:rFonts w:ascii="Arial" w:hAnsi="Arial" w:cs="Arial"/>
          <w:b/>
          <w:bCs/>
          <w:sz w:val="24"/>
          <w:szCs w:val="24"/>
        </w:rPr>
      </w:pPr>
      <w:r w:rsidRPr="004526DF">
        <w:rPr>
          <w:rFonts w:ascii="Arial" w:hAnsi="Arial" w:cs="Arial"/>
          <w:b/>
          <w:bCs/>
          <w:sz w:val="24"/>
          <w:szCs w:val="24"/>
        </w:rPr>
        <w:t>North East Cardiff (West of Pontprennau)</w:t>
      </w:r>
    </w:p>
    <w:p w14:paraId="38B3ED59" w14:textId="77777777" w:rsidR="004526DF" w:rsidRPr="004526DF" w:rsidRDefault="004526DF" w:rsidP="00DC54F7">
      <w:pPr>
        <w:spacing w:after="0" w:line="240" w:lineRule="auto"/>
        <w:jc w:val="both"/>
        <w:rPr>
          <w:rFonts w:ascii="Arial" w:hAnsi="Arial" w:cs="Arial"/>
          <w:sz w:val="24"/>
          <w:szCs w:val="24"/>
        </w:rPr>
      </w:pPr>
    </w:p>
    <w:p w14:paraId="792111DE" w14:textId="53066DED" w:rsidR="00360DB1" w:rsidRPr="004526DF" w:rsidRDefault="00EB38C2" w:rsidP="00DC54F7">
      <w:pPr>
        <w:spacing w:after="0" w:line="240" w:lineRule="auto"/>
        <w:jc w:val="both"/>
        <w:rPr>
          <w:rFonts w:ascii="Arial" w:hAnsi="Arial" w:cs="Arial"/>
          <w:sz w:val="24"/>
          <w:szCs w:val="24"/>
        </w:rPr>
      </w:pPr>
      <w:r w:rsidRPr="004526DF">
        <w:rPr>
          <w:rFonts w:ascii="Arial" w:hAnsi="Arial" w:cs="Arial"/>
          <w:sz w:val="24"/>
          <w:szCs w:val="24"/>
        </w:rPr>
        <w:t xml:space="preserve">The site relates to countryside located between Lisvane to the west, Pontprennau to the east and the M4 Motorway to the north. </w:t>
      </w:r>
      <w:r w:rsidR="00A2328D" w:rsidRPr="004526DF">
        <w:rPr>
          <w:rFonts w:ascii="Arial" w:hAnsi="Arial" w:cs="Arial"/>
          <w:sz w:val="24"/>
          <w:szCs w:val="24"/>
        </w:rPr>
        <w:t xml:space="preserve">The development is for a </w:t>
      </w:r>
      <w:r w:rsidR="00C92068" w:rsidRPr="004526DF">
        <w:rPr>
          <w:rFonts w:ascii="Arial" w:hAnsi="Arial" w:cs="Arial"/>
          <w:sz w:val="24"/>
          <w:szCs w:val="24"/>
        </w:rPr>
        <w:t xml:space="preserve">mixed-use comprehensive development of a minimum of 4,500 homes, employment and other associated community uses, together with supporting infrastructure: </w:t>
      </w:r>
    </w:p>
    <w:p w14:paraId="141A80D4" w14:textId="77777777" w:rsidR="00A2328D" w:rsidRPr="004526DF" w:rsidRDefault="00A2328D" w:rsidP="00DC54F7">
      <w:pPr>
        <w:spacing w:after="0" w:line="240" w:lineRule="auto"/>
        <w:jc w:val="both"/>
        <w:rPr>
          <w:rFonts w:ascii="Arial" w:hAnsi="Arial" w:cs="Arial"/>
          <w:sz w:val="24"/>
          <w:szCs w:val="24"/>
        </w:rPr>
      </w:pPr>
    </w:p>
    <w:p w14:paraId="328FAEB6" w14:textId="6BED2709" w:rsidR="00360DB1" w:rsidRPr="004526DF" w:rsidRDefault="00C92068" w:rsidP="00DC54F7">
      <w:pPr>
        <w:pStyle w:val="ListParagraph"/>
        <w:numPr>
          <w:ilvl w:val="0"/>
          <w:numId w:val="145"/>
        </w:numPr>
        <w:spacing w:after="0" w:line="240" w:lineRule="auto"/>
        <w:ind w:left="357" w:hanging="357"/>
        <w:jc w:val="both"/>
        <w:rPr>
          <w:rFonts w:ascii="Arial" w:hAnsi="Arial" w:cs="Arial"/>
          <w:sz w:val="24"/>
          <w:szCs w:val="24"/>
        </w:rPr>
      </w:pPr>
      <w:r w:rsidRPr="004526DF">
        <w:rPr>
          <w:rFonts w:ascii="Arial" w:hAnsi="Arial" w:cs="Arial"/>
          <w:sz w:val="24"/>
          <w:szCs w:val="24"/>
        </w:rPr>
        <w:t>Provision of new bus-based Rapid Transit Corridors through the site providing links between the District/Local Centres including Bus Gates at access point to Cardiff Gate Business Park and St Mellons Road at the eastern edge of the site</w:t>
      </w:r>
      <w:r w:rsidR="00A2328D" w:rsidRPr="004526DF">
        <w:rPr>
          <w:rFonts w:ascii="Arial" w:hAnsi="Arial" w:cs="Arial"/>
          <w:sz w:val="24"/>
          <w:szCs w:val="24"/>
        </w:rPr>
        <w:t>.</w:t>
      </w:r>
    </w:p>
    <w:p w14:paraId="5E17F109" w14:textId="184EF51B" w:rsidR="00360DB1" w:rsidRPr="004526DF" w:rsidRDefault="00C92068" w:rsidP="00DC54F7">
      <w:pPr>
        <w:pStyle w:val="ListParagraph"/>
        <w:numPr>
          <w:ilvl w:val="0"/>
          <w:numId w:val="145"/>
        </w:numPr>
        <w:spacing w:after="0" w:line="240" w:lineRule="auto"/>
        <w:ind w:left="357" w:hanging="357"/>
        <w:jc w:val="both"/>
        <w:rPr>
          <w:rFonts w:ascii="Arial" w:hAnsi="Arial" w:cs="Arial"/>
          <w:sz w:val="24"/>
          <w:szCs w:val="24"/>
        </w:rPr>
      </w:pPr>
      <w:r w:rsidRPr="004526DF">
        <w:rPr>
          <w:rFonts w:ascii="Arial" w:hAnsi="Arial" w:cs="Arial"/>
          <w:sz w:val="24"/>
          <w:szCs w:val="24"/>
        </w:rPr>
        <w:t>Exten</w:t>
      </w:r>
      <w:r w:rsidR="00C734A2" w:rsidRPr="004526DF">
        <w:rPr>
          <w:rFonts w:ascii="Arial" w:hAnsi="Arial" w:cs="Arial"/>
          <w:sz w:val="24"/>
          <w:szCs w:val="24"/>
        </w:rPr>
        <w:t>sion of</w:t>
      </w:r>
      <w:r w:rsidRPr="004526DF">
        <w:rPr>
          <w:rFonts w:ascii="Arial" w:hAnsi="Arial" w:cs="Arial"/>
          <w:sz w:val="24"/>
          <w:szCs w:val="24"/>
        </w:rPr>
        <w:t xml:space="preserve"> bus networks and increase </w:t>
      </w:r>
      <w:r w:rsidR="00A2328D" w:rsidRPr="004526DF">
        <w:rPr>
          <w:rFonts w:ascii="Arial" w:hAnsi="Arial" w:cs="Arial"/>
          <w:sz w:val="24"/>
          <w:szCs w:val="24"/>
        </w:rPr>
        <w:t xml:space="preserve">in </w:t>
      </w:r>
      <w:r w:rsidRPr="004526DF">
        <w:rPr>
          <w:rFonts w:ascii="Arial" w:hAnsi="Arial" w:cs="Arial"/>
          <w:sz w:val="24"/>
          <w:szCs w:val="24"/>
        </w:rPr>
        <w:t xml:space="preserve">the frequency and reliability of </w:t>
      </w:r>
      <w:r w:rsidR="009B601C" w:rsidRPr="004526DF">
        <w:rPr>
          <w:rFonts w:ascii="Arial" w:hAnsi="Arial" w:cs="Arial"/>
          <w:sz w:val="24"/>
          <w:szCs w:val="24"/>
        </w:rPr>
        <w:t>site service</w:t>
      </w:r>
      <w:r w:rsidR="00A2328D" w:rsidRPr="004526DF">
        <w:rPr>
          <w:rFonts w:ascii="Arial" w:hAnsi="Arial" w:cs="Arial"/>
          <w:sz w:val="24"/>
          <w:szCs w:val="24"/>
        </w:rPr>
        <w:t>.</w:t>
      </w:r>
      <w:r w:rsidRPr="004526DF">
        <w:rPr>
          <w:rFonts w:ascii="Arial" w:hAnsi="Arial" w:cs="Arial"/>
          <w:sz w:val="24"/>
          <w:szCs w:val="24"/>
        </w:rPr>
        <w:t xml:space="preserve"> </w:t>
      </w:r>
    </w:p>
    <w:p w14:paraId="62A53380" w14:textId="215C0CC5" w:rsidR="00EA3A3F" w:rsidRPr="004526DF" w:rsidRDefault="00EA3A3F" w:rsidP="00DC54F7">
      <w:pPr>
        <w:pStyle w:val="ListParagraph"/>
        <w:numPr>
          <w:ilvl w:val="0"/>
          <w:numId w:val="145"/>
        </w:numPr>
        <w:spacing w:after="0" w:line="240" w:lineRule="auto"/>
        <w:ind w:left="357" w:hanging="357"/>
        <w:jc w:val="both"/>
        <w:rPr>
          <w:rFonts w:ascii="Arial" w:hAnsi="Arial" w:cs="Arial"/>
          <w:sz w:val="24"/>
          <w:szCs w:val="24"/>
        </w:rPr>
      </w:pPr>
      <w:r w:rsidRPr="004526DF">
        <w:rPr>
          <w:rFonts w:ascii="Arial" w:hAnsi="Arial" w:cs="Arial"/>
          <w:sz w:val="24"/>
          <w:szCs w:val="24"/>
        </w:rPr>
        <w:t>P</w:t>
      </w:r>
      <w:r w:rsidR="00C92068" w:rsidRPr="004526DF">
        <w:rPr>
          <w:rFonts w:ascii="Arial" w:hAnsi="Arial" w:cs="Arial"/>
          <w:sz w:val="24"/>
          <w:szCs w:val="24"/>
        </w:rPr>
        <w:t>rovi</w:t>
      </w:r>
      <w:r w:rsidR="00A2328D" w:rsidRPr="004526DF">
        <w:rPr>
          <w:rFonts w:ascii="Arial" w:hAnsi="Arial" w:cs="Arial"/>
          <w:sz w:val="24"/>
          <w:szCs w:val="24"/>
        </w:rPr>
        <w:t>sion of</w:t>
      </w:r>
      <w:r w:rsidR="00C92068" w:rsidRPr="004526DF">
        <w:rPr>
          <w:rFonts w:ascii="Arial" w:hAnsi="Arial" w:cs="Arial"/>
          <w:sz w:val="24"/>
          <w:szCs w:val="24"/>
        </w:rPr>
        <w:t xml:space="preserve"> safe, </w:t>
      </w:r>
      <w:r w:rsidR="00C16CC7" w:rsidRPr="004526DF">
        <w:rPr>
          <w:rFonts w:ascii="Arial" w:hAnsi="Arial" w:cs="Arial"/>
          <w:sz w:val="24"/>
          <w:szCs w:val="24"/>
        </w:rPr>
        <w:t>attractive,</w:t>
      </w:r>
      <w:r w:rsidR="00C92068" w:rsidRPr="004526DF">
        <w:rPr>
          <w:rFonts w:ascii="Arial" w:hAnsi="Arial" w:cs="Arial"/>
          <w:sz w:val="24"/>
          <w:szCs w:val="24"/>
        </w:rPr>
        <w:t xml:space="preserve"> and convenient </w:t>
      </w:r>
      <w:r w:rsidR="00A2328D" w:rsidRPr="004526DF">
        <w:rPr>
          <w:rFonts w:ascii="Arial" w:hAnsi="Arial" w:cs="Arial"/>
          <w:sz w:val="24"/>
          <w:szCs w:val="24"/>
        </w:rPr>
        <w:t xml:space="preserve">walking </w:t>
      </w:r>
      <w:r w:rsidR="00C92068" w:rsidRPr="004526DF">
        <w:rPr>
          <w:rFonts w:ascii="Arial" w:hAnsi="Arial" w:cs="Arial"/>
          <w:sz w:val="24"/>
          <w:szCs w:val="24"/>
        </w:rPr>
        <w:t>routes within the site</w:t>
      </w:r>
      <w:r w:rsidR="00A2328D" w:rsidRPr="004526DF">
        <w:rPr>
          <w:rFonts w:ascii="Arial" w:hAnsi="Arial" w:cs="Arial"/>
          <w:sz w:val="24"/>
          <w:szCs w:val="24"/>
        </w:rPr>
        <w:t xml:space="preserve">, </w:t>
      </w:r>
      <w:r w:rsidR="00C92068" w:rsidRPr="004526DF">
        <w:rPr>
          <w:rFonts w:ascii="Arial" w:hAnsi="Arial" w:cs="Arial"/>
          <w:sz w:val="24"/>
          <w:szCs w:val="24"/>
        </w:rPr>
        <w:t>linking to key local services, facilities and destinations including existing local centres and Schools at Pontprennau, Pentwyn, Lisvane and Cardiff Gate Business Park</w:t>
      </w:r>
      <w:r w:rsidR="00A2328D" w:rsidRPr="004526DF">
        <w:rPr>
          <w:rFonts w:ascii="Arial" w:hAnsi="Arial" w:cs="Arial"/>
          <w:sz w:val="24"/>
          <w:szCs w:val="24"/>
        </w:rPr>
        <w:t>.</w:t>
      </w:r>
      <w:r w:rsidR="00C92068" w:rsidRPr="004526DF">
        <w:rPr>
          <w:rFonts w:ascii="Arial" w:hAnsi="Arial" w:cs="Arial"/>
          <w:sz w:val="24"/>
          <w:szCs w:val="24"/>
        </w:rPr>
        <w:t xml:space="preserve"> </w:t>
      </w:r>
    </w:p>
    <w:p w14:paraId="6EC2E85D" w14:textId="78CF3C0A" w:rsidR="00A2328D" w:rsidRPr="004526DF" w:rsidRDefault="00A2328D" w:rsidP="00DC54F7">
      <w:pPr>
        <w:pStyle w:val="ListParagraph"/>
        <w:numPr>
          <w:ilvl w:val="0"/>
          <w:numId w:val="145"/>
        </w:numPr>
        <w:spacing w:after="0" w:line="240" w:lineRule="auto"/>
        <w:ind w:left="357" w:hanging="357"/>
        <w:jc w:val="both"/>
        <w:rPr>
          <w:rFonts w:ascii="Arial" w:hAnsi="Arial" w:cs="Arial"/>
          <w:sz w:val="24"/>
          <w:szCs w:val="24"/>
        </w:rPr>
      </w:pPr>
      <w:r w:rsidRPr="004526DF">
        <w:rPr>
          <w:rFonts w:ascii="Arial" w:hAnsi="Arial" w:cs="Arial"/>
          <w:sz w:val="24"/>
          <w:szCs w:val="24"/>
        </w:rPr>
        <w:t xml:space="preserve">Provision of one </w:t>
      </w:r>
      <w:r w:rsidR="00C92068" w:rsidRPr="004526DF">
        <w:rPr>
          <w:rFonts w:ascii="Arial" w:hAnsi="Arial" w:cs="Arial"/>
          <w:sz w:val="24"/>
          <w:szCs w:val="24"/>
        </w:rPr>
        <w:t xml:space="preserve">centrally located District Centre and </w:t>
      </w:r>
      <w:r w:rsidRPr="004526DF">
        <w:rPr>
          <w:rFonts w:ascii="Arial" w:hAnsi="Arial" w:cs="Arial"/>
          <w:sz w:val="24"/>
          <w:szCs w:val="24"/>
        </w:rPr>
        <w:t xml:space="preserve">one </w:t>
      </w:r>
      <w:r w:rsidR="00C92068" w:rsidRPr="004526DF">
        <w:rPr>
          <w:rFonts w:ascii="Arial" w:hAnsi="Arial" w:cs="Arial"/>
          <w:sz w:val="24"/>
          <w:szCs w:val="24"/>
        </w:rPr>
        <w:t xml:space="preserve">Local Centre including Primary Care facility, </w:t>
      </w:r>
      <w:r w:rsidRPr="004526DF">
        <w:rPr>
          <w:rFonts w:ascii="Arial" w:hAnsi="Arial" w:cs="Arial"/>
          <w:sz w:val="24"/>
          <w:szCs w:val="24"/>
        </w:rPr>
        <w:t>m</w:t>
      </w:r>
      <w:r w:rsidR="00C92068" w:rsidRPr="004526DF">
        <w:rPr>
          <w:rFonts w:ascii="Arial" w:hAnsi="Arial" w:cs="Arial"/>
          <w:sz w:val="24"/>
          <w:szCs w:val="24"/>
        </w:rPr>
        <w:t>ultifunctional community leisure facility including library facility, and financial contribution to upgrading of Llanishen and Pontprennau Leisure Centres</w:t>
      </w:r>
      <w:r w:rsidRPr="004526DF">
        <w:rPr>
          <w:rFonts w:ascii="Arial" w:hAnsi="Arial" w:cs="Arial"/>
          <w:sz w:val="24"/>
          <w:szCs w:val="24"/>
        </w:rPr>
        <w:t>.</w:t>
      </w:r>
    </w:p>
    <w:p w14:paraId="4C06983A" w14:textId="108A8580" w:rsidR="00A2328D" w:rsidRPr="004526DF" w:rsidRDefault="00A2328D" w:rsidP="00DC54F7">
      <w:pPr>
        <w:pStyle w:val="ListParagraph"/>
        <w:numPr>
          <w:ilvl w:val="0"/>
          <w:numId w:val="145"/>
        </w:numPr>
        <w:spacing w:after="0" w:line="240" w:lineRule="auto"/>
        <w:ind w:left="357" w:hanging="357"/>
        <w:jc w:val="both"/>
        <w:rPr>
          <w:rFonts w:ascii="Arial" w:hAnsi="Arial" w:cs="Arial"/>
          <w:sz w:val="24"/>
          <w:szCs w:val="24"/>
        </w:rPr>
      </w:pPr>
      <w:r w:rsidRPr="004526DF">
        <w:rPr>
          <w:rFonts w:ascii="Arial" w:hAnsi="Arial" w:cs="Arial"/>
          <w:sz w:val="24"/>
          <w:szCs w:val="24"/>
        </w:rPr>
        <w:t xml:space="preserve">Provision of one </w:t>
      </w:r>
      <w:r w:rsidR="00C92068" w:rsidRPr="004526DF">
        <w:rPr>
          <w:rFonts w:ascii="Arial" w:hAnsi="Arial" w:cs="Arial"/>
          <w:sz w:val="24"/>
          <w:szCs w:val="24"/>
        </w:rPr>
        <w:t>new Secondary School</w:t>
      </w:r>
      <w:r w:rsidR="00C734A2" w:rsidRPr="004526DF">
        <w:rPr>
          <w:rFonts w:ascii="Arial" w:hAnsi="Arial" w:cs="Arial"/>
          <w:sz w:val="24"/>
          <w:szCs w:val="24"/>
        </w:rPr>
        <w:t xml:space="preserve"> and three </w:t>
      </w:r>
      <w:r w:rsidR="00C92068" w:rsidRPr="004526DF">
        <w:rPr>
          <w:rFonts w:ascii="Arial" w:hAnsi="Arial" w:cs="Arial"/>
          <w:sz w:val="24"/>
          <w:szCs w:val="24"/>
        </w:rPr>
        <w:t>new Primary Schools</w:t>
      </w:r>
      <w:r w:rsidRPr="004526DF">
        <w:rPr>
          <w:rFonts w:ascii="Arial" w:hAnsi="Arial" w:cs="Arial"/>
          <w:sz w:val="24"/>
          <w:szCs w:val="24"/>
        </w:rPr>
        <w:t>.</w:t>
      </w:r>
    </w:p>
    <w:p w14:paraId="6271BC5C" w14:textId="48F6C777" w:rsidR="00765F09" w:rsidRPr="004526DF" w:rsidRDefault="00A2328D" w:rsidP="00DC54F7">
      <w:pPr>
        <w:pStyle w:val="ListParagraph"/>
        <w:numPr>
          <w:ilvl w:val="0"/>
          <w:numId w:val="145"/>
        </w:numPr>
        <w:spacing w:after="0" w:line="240" w:lineRule="auto"/>
        <w:ind w:left="357" w:hanging="357"/>
        <w:jc w:val="both"/>
        <w:rPr>
          <w:rFonts w:ascii="Arial" w:hAnsi="Arial" w:cs="Arial"/>
          <w:sz w:val="24"/>
          <w:szCs w:val="24"/>
        </w:rPr>
      </w:pPr>
      <w:r w:rsidRPr="004526DF">
        <w:rPr>
          <w:rFonts w:ascii="Arial" w:hAnsi="Arial" w:cs="Arial"/>
          <w:sz w:val="24"/>
          <w:szCs w:val="24"/>
        </w:rPr>
        <w:t>Provision of o</w:t>
      </w:r>
      <w:r w:rsidR="00C92068" w:rsidRPr="004526DF">
        <w:rPr>
          <w:rFonts w:ascii="Arial" w:hAnsi="Arial" w:cs="Arial"/>
          <w:sz w:val="24"/>
          <w:szCs w:val="24"/>
        </w:rPr>
        <w:t>pen</w:t>
      </w:r>
      <w:r w:rsidRPr="004526DF">
        <w:rPr>
          <w:rFonts w:ascii="Arial" w:hAnsi="Arial" w:cs="Arial"/>
          <w:sz w:val="24"/>
          <w:szCs w:val="24"/>
        </w:rPr>
        <w:t xml:space="preserve"> s</w:t>
      </w:r>
      <w:r w:rsidR="00C92068" w:rsidRPr="004526DF">
        <w:rPr>
          <w:rFonts w:ascii="Arial" w:hAnsi="Arial" w:cs="Arial"/>
          <w:sz w:val="24"/>
          <w:szCs w:val="24"/>
        </w:rPr>
        <w:t xml:space="preserve">pace including formal recreation, playgrounds including destination play area, teen facility, and allotment sites. </w:t>
      </w:r>
    </w:p>
    <w:p w14:paraId="18B3032E" w14:textId="77777777" w:rsidR="004E7734" w:rsidRDefault="004E7734" w:rsidP="00DC54F7">
      <w:pPr>
        <w:spacing w:after="0" w:line="240" w:lineRule="auto"/>
        <w:jc w:val="both"/>
        <w:rPr>
          <w:rFonts w:ascii="Arial" w:hAnsi="Arial" w:cs="Arial"/>
        </w:rPr>
      </w:pPr>
    </w:p>
    <w:p w14:paraId="3A94BAD1" w14:textId="2044D4C0" w:rsidR="009F5261" w:rsidRDefault="009F5261" w:rsidP="00DC54F7">
      <w:pPr>
        <w:spacing w:after="0" w:line="240" w:lineRule="auto"/>
        <w:jc w:val="both"/>
        <w:rPr>
          <w:rFonts w:ascii="Arial" w:hAnsi="Arial" w:cs="Arial"/>
          <w:sz w:val="24"/>
          <w:szCs w:val="24"/>
        </w:rPr>
      </w:pPr>
      <w:r w:rsidRPr="00015287">
        <w:rPr>
          <w:rFonts w:ascii="Arial" w:hAnsi="Arial" w:cs="Arial"/>
          <w:sz w:val="24"/>
          <w:szCs w:val="24"/>
        </w:rPr>
        <w:t>Construction work started in late 2018 on the Churchlands (Land North and East of Lisvane) site and the development is being built in a series of phases.</w:t>
      </w:r>
    </w:p>
    <w:p w14:paraId="2EB992E3" w14:textId="77777777" w:rsidR="009F5261" w:rsidRDefault="009F5261" w:rsidP="00DC54F7">
      <w:pPr>
        <w:spacing w:after="0" w:line="240" w:lineRule="auto"/>
        <w:jc w:val="both"/>
        <w:rPr>
          <w:rFonts w:ascii="Arial" w:hAnsi="Arial" w:cs="Arial"/>
          <w:sz w:val="24"/>
          <w:szCs w:val="24"/>
        </w:rPr>
      </w:pPr>
    </w:p>
    <w:p w14:paraId="606E568A" w14:textId="1B08C5B0" w:rsidR="004E7734" w:rsidRDefault="004E7734" w:rsidP="00DC54F7">
      <w:pPr>
        <w:spacing w:after="0" w:line="240" w:lineRule="auto"/>
        <w:jc w:val="both"/>
        <w:rPr>
          <w:rFonts w:ascii="Arial" w:hAnsi="Arial" w:cs="Arial"/>
        </w:rPr>
      </w:pPr>
      <w:r w:rsidRPr="004E7734">
        <w:rPr>
          <w:rFonts w:ascii="Arial" w:hAnsi="Arial" w:cs="Arial"/>
          <w:sz w:val="24"/>
          <w:szCs w:val="24"/>
        </w:rPr>
        <w:lastRenderedPageBreak/>
        <w:t xml:space="preserve">By autumn 2019, 45 houses were under construction.  2020 site monitoring was put on hold due to </w:t>
      </w:r>
      <w:r>
        <w:rPr>
          <w:rFonts w:ascii="Arial" w:hAnsi="Arial" w:cs="Arial"/>
          <w:sz w:val="24"/>
          <w:szCs w:val="24"/>
        </w:rPr>
        <w:t>Coronavirus (</w:t>
      </w:r>
      <w:r w:rsidRPr="004E7734">
        <w:rPr>
          <w:rFonts w:ascii="Arial" w:hAnsi="Arial" w:cs="Arial"/>
          <w:sz w:val="24"/>
          <w:szCs w:val="24"/>
        </w:rPr>
        <w:t>COVID</w:t>
      </w:r>
      <w:r w:rsidR="00D71863">
        <w:rPr>
          <w:rFonts w:ascii="Arial" w:hAnsi="Arial" w:cs="Arial"/>
          <w:sz w:val="24"/>
          <w:szCs w:val="24"/>
        </w:rPr>
        <w:t>-19)</w:t>
      </w:r>
      <w:r w:rsidRPr="004E7734">
        <w:rPr>
          <w:rFonts w:ascii="Arial" w:hAnsi="Arial" w:cs="Arial"/>
          <w:sz w:val="24"/>
          <w:szCs w:val="24"/>
        </w:rPr>
        <w:t xml:space="preserve"> </w:t>
      </w:r>
      <w:r w:rsidR="007D54A8">
        <w:rPr>
          <w:rFonts w:ascii="Arial" w:hAnsi="Arial" w:cs="Arial"/>
          <w:sz w:val="24"/>
          <w:szCs w:val="24"/>
        </w:rPr>
        <w:t xml:space="preserve">pandemic </w:t>
      </w:r>
      <w:r w:rsidRPr="004E7734">
        <w:rPr>
          <w:rFonts w:ascii="Arial" w:hAnsi="Arial" w:cs="Arial"/>
          <w:sz w:val="24"/>
          <w:szCs w:val="24"/>
        </w:rPr>
        <w:t>restrictions</w:t>
      </w:r>
      <w:r>
        <w:rPr>
          <w:rFonts w:ascii="Arial" w:hAnsi="Arial" w:cs="Arial"/>
        </w:rPr>
        <w:t xml:space="preserve">. </w:t>
      </w:r>
    </w:p>
    <w:p w14:paraId="474538E0" w14:textId="77777777" w:rsidR="0051053D" w:rsidRDefault="0051053D" w:rsidP="00DC54F7">
      <w:pPr>
        <w:spacing w:after="0" w:line="240" w:lineRule="auto"/>
        <w:jc w:val="both"/>
        <w:rPr>
          <w:rFonts w:ascii="Arial" w:hAnsi="Arial" w:cs="Arial"/>
          <w:strike/>
        </w:rPr>
      </w:pPr>
    </w:p>
    <w:p w14:paraId="45A3CE74" w14:textId="7DE00875" w:rsidR="0051053D" w:rsidRPr="00015287" w:rsidRDefault="0051053D" w:rsidP="00DC54F7">
      <w:pPr>
        <w:spacing w:after="0" w:line="240" w:lineRule="auto"/>
        <w:jc w:val="both"/>
        <w:rPr>
          <w:rFonts w:ascii="Arial" w:hAnsi="Arial" w:cs="Arial"/>
          <w:sz w:val="24"/>
          <w:szCs w:val="24"/>
        </w:rPr>
      </w:pPr>
      <w:r w:rsidRPr="00015287">
        <w:rPr>
          <w:rFonts w:ascii="Arial" w:hAnsi="Arial" w:cs="Arial"/>
          <w:sz w:val="24"/>
          <w:szCs w:val="24"/>
        </w:rPr>
        <w:t>The spring 2021 LDP monitoring document highlights that there have been around 77 completions on site and further 45 in progress.</w:t>
      </w:r>
    </w:p>
    <w:p w14:paraId="38341EB8" w14:textId="77777777" w:rsidR="0051053D" w:rsidRPr="00015287" w:rsidRDefault="0051053D" w:rsidP="00DC54F7">
      <w:pPr>
        <w:spacing w:after="0" w:line="240" w:lineRule="auto"/>
        <w:jc w:val="both"/>
        <w:rPr>
          <w:rFonts w:ascii="Arial" w:hAnsi="Arial" w:cs="Arial"/>
          <w:sz w:val="24"/>
          <w:szCs w:val="24"/>
        </w:rPr>
      </w:pPr>
    </w:p>
    <w:p w14:paraId="428B45DF" w14:textId="576F81FB" w:rsidR="0051053D" w:rsidRPr="0017448A" w:rsidRDefault="0051053D" w:rsidP="00DC54F7">
      <w:pPr>
        <w:spacing w:after="0" w:line="240" w:lineRule="auto"/>
        <w:jc w:val="both"/>
        <w:rPr>
          <w:rFonts w:ascii="Arial" w:hAnsi="Arial" w:cs="Arial"/>
          <w:sz w:val="24"/>
          <w:szCs w:val="24"/>
        </w:rPr>
      </w:pPr>
      <w:r w:rsidRPr="00015287">
        <w:rPr>
          <w:rFonts w:ascii="Arial" w:hAnsi="Arial" w:cs="Arial"/>
          <w:sz w:val="24"/>
          <w:szCs w:val="24"/>
        </w:rPr>
        <w:t xml:space="preserve">The spring 2021 LDP monitoring document </w:t>
      </w:r>
      <w:r w:rsidR="00227899" w:rsidRPr="00015287">
        <w:rPr>
          <w:rFonts w:ascii="Arial" w:hAnsi="Arial" w:cs="Arial"/>
          <w:sz w:val="24"/>
          <w:szCs w:val="24"/>
        </w:rPr>
        <w:t xml:space="preserve">also </w:t>
      </w:r>
      <w:r w:rsidRPr="00015287">
        <w:rPr>
          <w:rFonts w:ascii="Arial" w:hAnsi="Arial" w:cs="Arial"/>
          <w:sz w:val="24"/>
          <w:szCs w:val="24"/>
        </w:rPr>
        <w:t xml:space="preserve">highlights that there </w:t>
      </w:r>
      <w:r w:rsidR="00D4333C" w:rsidRPr="00015287">
        <w:rPr>
          <w:rFonts w:ascii="Arial" w:hAnsi="Arial" w:cs="Arial"/>
          <w:sz w:val="24"/>
          <w:szCs w:val="24"/>
        </w:rPr>
        <w:t xml:space="preserve">is a </w:t>
      </w:r>
      <w:r w:rsidRPr="00015287">
        <w:rPr>
          <w:rFonts w:ascii="Arial" w:hAnsi="Arial" w:cs="Arial"/>
          <w:sz w:val="24"/>
          <w:szCs w:val="24"/>
        </w:rPr>
        <w:t>live outline planning application in progress with Cardiff Council.</w:t>
      </w:r>
      <w:r w:rsidRPr="0017448A">
        <w:rPr>
          <w:rFonts w:ascii="Arial" w:hAnsi="Arial" w:cs="Arial"/>
          <w:sz w:val="24"/>
          <w:szCs w:val="24"/>
        </w:rPr>
        <w:t xml:space="preserve"> </w:t>
      </w:r>
    </w:p>
    <w:p w14:paraId="63CBEFF9" w14:textId="77777777" w:rsidR="0051053D" w:rsidRDefault="0051053D" w:rsidP="00DC54F7">
      <w:pPr>
        <w:spacing w:after="0" w:line="240" w:lineRule="auto"/>
        <w:jc w:val="both"/>
        <w:rPr>
          <w:rFonts w:ascii="Arial" w:hAnsi="Arial" w:cs="Arial"/>
        </w:rPr>
      </w:pPr>
    </w:p>
    <w:p w14:paraId="29C8E167" w14:textId="03FAE632" w:rsidR="00817882" w:rsidRPr="00527596" w:rsidRDefault="00350DFC" w:rsidP="00DC54F7">
      <w:pPr>
        <w:spacing w:after="0" w:line="240" w:lineRule="auto"/>
        <w:jc w:val="both"/>
        <w:rPr>
          <w:rFonts w:ascii="Arial" w:hAnsi="Arial" w:cs="Arial"/>
          <w:b/>
          <w:bCs/>
          <w:sz w:val="24"/>
          <w:szCs w:val="24"/>
        </w:rPr>
      </w:pPr>
      <w:r w:rsidRPr="00527596">
        <w:rPr>
          <w:rFonts w:ascii="Arial" w:hAnsi="Arial" w:cs="Arial"/>
          <w:b/>
          <w:bCs/>
          <w:sz w:val="24"/>
          <w:szCs w:val="24"/>
        </w:rPr>
        <w:t>East of Pontprennau Link Road</w:t>
      </w:r>
    </w:p>
    <w:p w14:paraId="7D5B4873" w14:textId="77777777" w:rsidR="00527596" w:rsidRDefault="00527596" w:rsidP="00DC54F7">
      <w:pPr>
        <w:spacing w:after="0" w:line="240" w:lineRule="auto"/>
        <w:jc w:val="both"/>
        <w:rPr>
          <w:rFonts w:ascii="Arial" w:hAnsi="Arial" w:cs="Arial"/>
          <w:sz w:val="24"/>
          <w:szCs w:val="24"/>
        </w:rPr>
      </w:pPr>
    </w:p>
    <w:p w14:paraId="290CCAB5" w14:textId="127DC0D4" w:rsidR="0077136D" w:rsidRPr="00527596" w:rsidRDefault="0024530F" w:rsidP="00DC54F7">
      <w:pPr>
        <w:spacing w:after="0" w:line="240" w:lineRule="auto"/>
        <w:jc w:val="both"/>
        <w:rPr>
          <w:rFonts w:ascii="Arial" w:hAnsi="Arial" w:cs="Arial"/>
          <w:sz w:val="24"/>
          <w:szCs w:val="24"/>
        </w:rPr>
      </w:pPr>
      <w:r w:rsidRPr="00527596">
        <w:rPr>
          <w:rFonts w:ascii="Arial" w:hAnsi="Arial" w:cs="Arial"/>
          <w:sz w:val="24"/>
          <w:szCs w:val="24"/>
        </w:rPr>
        <w:t xml:space="preserve">The site relates </w:t>
      </w:r>
      <w:r w:rsidR="0077136D" w:rsidRPr="00527596">
        <w:rPr>
          <w:rFonts w:ascii="Arial" w:hAnsi="Arial" w:cs="Arial"/>
          <w:sz w:val="24"/>
          <w:szCs w:val="24"/>
        </w:rPr>
        <w:t xml:space="preserve">to </w:t>
      </w:r>
      <w:r w:rsidR="00244FDE" w:rsidRPr="00527596">
        <w:rPr>
          <w:rFonts w:ascii="Arial" w:hAnsi="Arial" w:cs="Arial"/>
          <w:sz w:val="24"/>
          <w:szCs w:val="24"/>
        </w:rPr>
        <w:t>Land East of countryside located between the Pontprennau Link Road to the West, River Rhymney valley to the east, the A48 to the south and the M4 Motorway to the north.</w:t>
      </w:r>
      <w:r w:rsidR="0077136D" w:rsidRPr="00527596">
        <w:rPr>
          <w:rFonts w:ascii="Arial" w:hAnsi="Arial" w:cs="Arial"/>
          <w:sz w:val="24"/>
          <w:szCs w:val="24"/>
        </w:rPr>
        <w:t xml:space="preserve"> The development is for </w:t>
      </w:r>
      <w:r w:rsidRPr="00527596">
        <w:rPr>
          <w:rFonts w:ascii="Arial" w:hAnsi="Arial" w:cs="Arial"/>
          <w:sz w:val="24"/>
          <w:szCs w:val="24"/>
        </w:rPr>
        <w:t>a housing-based scheme of a minimum of 1,300 homes with associated community uses, together with supporting infrastructure:</w:t>
      </w:r>
    </w:p>
    <w:p w14:paraId="158669CA" w14:textId="77777777" w:rsidR="0077136D" w:rsidRPr="00527596" w:rsidRDefault="0077136D" w:rsidP="00DC54F7">
      <w:pPr>
        <w:spacing w:after="0" w:line="240" w:lineRule="auto"/>
        <w:jc w:val="both"/>
        <w:rPr>
          <w:rFonts w:ascii="Arial" w:hAnsi="Arial" w:cs="Arial"/>
          <w:sz w:val="24"/>
          <w:szCs w:val="24"/>
        </w:rPr>
      </w:pPr>
    </w:p>
    <w:p w14:paraId="6F4F485D" w14:textId="2921853F" w:rsidR="0077136D" w:rsidRPr="00527596" w:rsidRDefault="0024530F" w:rsidP="00DC54F7">
      <w:pPr>
        <w:pStyle w:val="ListParagraph"/>
        <w:numPr>
          <w:ilvl w:val="0"/>
          <w:numId w:val="146"/>
        </w:numPr>
        <w:spacing w:after="0" w:line="240" w:lineRule="auto"/>
        <w:ind w:left="360"/>
        <w:jc w:val="both"/>
        <w:rPr>
          <w:rFonts w:ascii="Arial" w:hAnsi="Arial" w:cs="Arial"/>
          <w:sz w:val="24"/>
          <w:szCs w:val="24"/>
        </w:rPr>
      </w:pPr>
      <w:r w:rsidRPr="00527596">
        <w:rPr>
          <w:rFonts w:ascii="Arial" w:hAnsi="Arial" w:cs="Arial"/>
          <w:sz w:val="24"/>
          <w:szCs w:val="24"/>
        </w:rPr>
        <w:t>Provision of new bus-based Rapid Transit Corridors through the site including links to the Local Centre and provision of Bus Gates at St Mellons Road at the north western edge of the site and Bridge Road to the south east of the site</w:t>
      </w:r>
      <w:r w:rsidR="00F6624B" w:rsidRPr="00527596">
        <w:rPr>
          <w:rFonts w:ascii="Arial" w:hAnsi="Arial" w:cs="Arial"/>
          <w:sz w:val="24"/>
          <w:szCs w:val="24"/>
        </w:rPr>
        <w:t>.</w:t>
      </w:r>
    </w:p>
    <w:p w14:paraId="2F948F28" w14:textId="08BF2CAC" w:rsidR="0077136D" w:rsidRPr="00527596" w:rsidRDefault="0024530F" w:rsidP="00DC54F7">
      <w:pPr>
        <w:pStyle w:val="ListParagraph"/>
        <w:numPr>
          <w:ilvl w:val="0"/>
          <w:numId w:val="146"/>
        </w:numPr>
        <w:spacing w:after="0" w:line="240" w:lineRule="auto"/>
        <w:ind w:left="360"/>
        <w:jc w:val="both"/>
        <w:rPr>
          <w:rFonts w:ascii="Arial" w:hAnsi="Arial" w:cs="Arial"/>
          <w:sz w:val="24"/>
          <w:szCs w:val="24"/>
        </w:rPr>
      </w:pPr>
      <w:r w:rsidRPr="00527596">
        <w:rPr>
          <w:rFonts w:ascii="Arial" w:hAnsi="Arial" w:cs="Arial"/>
          <w:sz w:val="24"/>
          <w:szCs w:val="24"/>
        </w:rPr>
        <w:t>Exten</w:t>
      </w:r>
      <w:r w:rsidR="0077136D" w:rsidRPr="00527596">
        <w:rPr>
          <w:rFonts w:ascii="Arial" w:hAnsi="Arial" w:cs="Arial"/>
          <w:sz w:val="24"/>
          <w:szCs w:val="24"/>
        </w:rPr>
        <w:t xml:space="preserve">sion of </w:t>
      </w:r>
      <w:r w:rsidRPr="00527596">
        <w:rPr>
          <w:rFonts w:ascii="Arial" w:hAnsi="Arial" w:cs="Arial"/>
          <w:sz w:val="24"/>
          <w:szCs w:val="24"/>
        </w:rPr>
        <w:t>bus networks and increas</w:t>
      </w:r>
      <w:r w:rsidR="0077136D" w:rsidRPr="00527596">
        <w:rPr>
          <w:rFonts w:ascii="Arial" w:hAnsi="Arial" w:cs="Arial"/>
          <w:sz w:val="24"/>
          <w:szCs w:val="24"/>
        </w:rPr>
        <w:t>ing</w:t>
      </w:r>
      <w:r w:rsidRPr="00527596">
        <w:rPr>
          <w:rFonts w:ascii="Arial" w:hAnsi="Arial" w:cs="Arial"/>
          <w:sz w:val="24"/>
          <w:szCs w:val="24"/>
        </w:rPr>
        <w:t xml:space="preserve"> the frequency and reliability of </w:t>
      </w:r>
      <w:r w:rsidR="0077136D" w:rsidRPr="00527596">
        <w:rPr>
          <w:rFonts w:ascii="Arial" w:hAnsi="Arial" w:cs="Arial"/>
          <w:sz w:val="24"/>
          <w:szCs w:val="24"/>
        </w:rPr>
        <w:t xml:space="preserve">site </w:t>
      </w:r>
      <w:r w:rsidRPr="00527596">
        <w:rPr>
          <w:rFonts w:ascii="Arial" w:hAnsi="Arial" w:cs="Arial"/>
          <w:sz w:val="24"/>
          <w:szCs w:val="24"/>
        </w:rPr>
        <w:t>services</w:t>
      </w:r>
      <w:r w:rsidR="00F6624B" w:rsidRPr="00527596">
        <w:rPr>
          <w:rFonts w:ascii="Arial" w:hAnsi="Arial" w:cs="Arial"/>
          <w:sz w:val="24"/>
          <w:szCs w:val="24"/>
        </w:rPr>
        <w:t>.</w:t>
      </w:r>
    </w:p>
    <w:p w14:paraId="09CEBFB6" w14:textId="5740ECD7" w:rsidR="0077136D" w:rsidRPr="00527596" w:rsidRDefault="0077136D" w:rsidP="00DC54F7">
      <w:pPr>
        <w:pStyle w:val="ListParagraph"/>
        <w:numPr>
          <w:ilvl w:val="0"/>
          <w:numId w:val="146"/>
        </w:numPr>
        <w:spacing w:after="0" w:line="240" w:lineRule="auto"/>
        <w:ind w:left="360"/>
        <w:jc w:val="both"/>
        <w:rPr>
          <w:rFonts w:ascii="Arial" w:hAnsi="Arial" w:cs="Arial"/>
          <w:sz w:val="24"/>
          <w:szCs w:val="24"/>
        </w:rPr>
      </w:pPr>
      <w:r w:rsidRPr="00527596">
        <w:rPr>
          <w:rFonts w:ascii="Arial" w:hAnsi="Arial" w:cs="Arial"/>
          <w:sz w:val="24"/>
          <w:szCs w:val="24"/>
        </w:rPr>
        <w:t xml:space="preserve">Provision of </w:t>
      </w:r>
      <w:r w:rsidR="0024530F" w:rsidRPr="00527596">
        <w:rPr>
          <w:rFonts w:ascii="Arial" w:hAnsi="Arial" w:cs="Arial"/>
          <w:sz w:val="24"/>
          <w:szCs w:val="24"/>
        </w:rPr>
        <w:t xml:space="preserve">a network of high quality, safe, </w:t>
      </w:r>
      <w:r w:rsidR="00C16CC7" w:rsidRPr="00527596">
        <w:rPr>
          <w:rFonts w:ascii="Arial" w:hAnsi="Arial" w:cs="Arial"/>
          <w:sz w:val="24"/>
          <w:szCs w:val="24"/>
        </w:rPr>
        <w:t>attractive,</w:t>
      </w:r>
      <w:r w:rsidR="0024530F" w:rsidRPr="00527596">
        <w:rPr>
          <w:rFonts w:ascii="Arial" w:hAnsi="Arial" w:cs="Arial"/>
          <w:sz w:val="24"/>
          <w:szCs w:val="24"/>
        </w:rPr>
        <w:t xml:space="preserve"> and convenient </w:t>
      </w:r>
      <w:r w:rsidR="00296005" w:rsidRPr="00527596">
        <w:rPr>
          <w:rFonts w:ascii="Arial" w:hAnsi="Arial" w:cs="Arial"/>
          <w:sz w:val="24"/>
          <w:szCs w:val="24"/>
        </w:rPr>
        <w:t xml:space="preserve">walking and cycling </w:t>
      </w:r>
      <w:r w:rsidR="0024530F" w:rsidRPr="00527596">
        <w:rPr>
          <w:rFonts w:ascii="Arial" w:hAnsi="Arial" w:cs="Arial"/>
          <w:sz w:val="24"/>
          <w:szCs w:val="24"/>
        </w:rPr>
        <w:t>routes within the site</w:t>
      </w:r>
      <w:r w:rsidR="00296005" w:rsidRPr="00527596">
        <w:rPr>
          <w:rFonts w:ascii="Arial" w:hAnsi="Arial" w:cs="Arial"/>
          <w:sz w:val="24"/>
          <w:szCs w:val="24"/>
        </w:rPr>
        <w:t xml:space="preserve">, </w:t>
      </w:r>
      <w:r w:rsidR="0024530F" w:rsidRPr="00527596">
        <w:rPr>
          <w:rFonts w:ascii="Arial" w:hAnsi="Arial" w:cs="Arial"/>
          <w:sz w:val="24"/>
          <w:szCs w:val="24"/>
        </w:rPr>
        <w:t>linking to key local services, facilities and destinations including employment in Pontprennau, Pentwyn and Cardiff Gate Business Park</w:t>
      </w:r>
      <w:r w:rsidR="00F6624B" w:rsidRPr="00527596">
        <w:rPr>
          <w:rFonts w:ascii="Arial" w:hAnsi="Arial" w:cs="Arial"/>
          <w:sz w:val="24"/>
          <w:szCs w:val="24"/>
        </w:rPr>
        <w:t>.</w:t>
      </w:r>
    </w:p>
    <w:p w14:paraId="1F3D4811" w14:textId="3DDCF9A8" w:rsidR="0077136D" w:rsidRPr="00527596" w:rsidRDefault="0077136D" w:rsidP="00DC54F7">
      <w:pPr>
        <w:pStyle w:val="ListParagraph"/>
        <w:numPr>
          <w:ilvl w:val="0"/>
          <w:numId w:val="146"/>
        </w:numPr>
        <w:spacing w:after="0" w:line="240" w:lineRule="auto"/>
        <w:ind w:left="360"/>
        <w:jc w:val="both"/>
        <w:rPr>
          <w:rFonts w:ascii="Arial" w:hAnsi="Arial" w:cs="Arial"/>
          <w:sz w:val="24"/>
          <w:szCs w:val="24"/>
        </w:rPr>
      </w:pPr>
      <w:r w:rsidRPr="00527596">
        <w:rPr>
          <w:rFonts w:ascii="Arial" w:hAnsi="Arial" w:cs="Arial"/>
          <w:sz w:val="24"/>
          <w:szCs w:val="24"/>
        </w:rPr>
        <w:t xml:space="preserve">One </w:t>
      </w:r>
      <w:r w:rsidR="0024530F" w:rsidRPr="00527596">
        <w:rPr>
          <w:rFonts w:ascii="Arial" w:hAnsi="Arial" w:cs="Arial"/>
          <w:sz w:val="24"/>
          <w:szCs w:val="24"/>
        </w:rPr>
        <w:t>centrally located Local Centre linked to rapid transit infrastructure and school facilities including Primary Care facility</w:t>
      </w:r>
      <w:r w:rsidR="00402F2F" w:rsidRPr="00527596">
        <w:rPr>
          <w:rFonts w:ascii="Arial" w:hAnsi="Arial" w:cs="Arial"/>
          <w:sz w:val="24"/>
          <w:szCs w:val="24"/>
        </w:rPr>
        <w:t xml:space="preserve"> (branch surgery)</w:t>
      </w:r>
      <w:r w:rsidR="0024530F" w:rsidRPr="00527596">
        <w:rPr>
          <w:rFonts w:ascii="Arial" w:hAnsi="Arial" w:cs="Arial"/>
          <w:sz w:val="24"/>
          <w:szCs w:val="24"/>
        </w:rPr>
        <w:t>, multifunctional community facility</w:t>
      </w:r>
      <w:r w:rsidR="00F6624B" w:rsidRPr="00527596">
        <w:rPr>
          <w:rFonts w:ascii="Arial" w:hAnsi="Arial" w:cs="Arial"/>
          <w:sz w:val="24"/>
          <w:szCs w:val="24"/>
        </w:rPr>
        <w:t>.</w:t>
      </w:r>
      <w:r w:rsidR="0024530F" w:rsidRPr="00527596">
        <w:rPr>
          <w:rFonts w:ascii="Arial" w:hAnsi="Arial" w:cs="Arial"/>
          <w:sz w:val="24"/>
          <w:szCs w:val="24"/>
        </w:rPr>
        <w:t xml:space="preserve"> </w:t>
      </w:r>
    </w:p>
    <w:p w14:paraId="1823382E" w14:textId="1E910E44" w:rsidR="0077136D" w:rsidRPr="00527596" w:rsidRDefault="0077136D" w:rsidP="00DC54F7">
      <w:pPr>
        <w:pStyle w:val="ListParagraph"/>
        <w:numPr>
          <w:ilvl w:val="0"/>
          <w:numId w:val="146"/>
        </w:numPr>
        <w:spacing w:after="0" w:line="240" w:lineRule="auto"/>
        <w:ind w:left="360"/>
        <w:jc w:val="both"/>
        <w:rPr>
          <w:rFonts w:ascii="Arial" w:hAnsi="Arial" w:cs="Arial"/>
          <w:sz w:val="24"/>
          <w:szCs w:val="24"/>
        </w:rPr>
      </w:pPr>
      <w:r w:rsidRPr="00527596">
        <w:rPr>
          <w:rFonts w:ascii="Arial" w:hAnsi="Arial" w:cs="Arial"/>
          <w:sz w:val="24"/>
          <w:szCs w:val="24"/>
        </w:rPr>
        <w:t xml:space="preserve">One </w:t>
      </w:r>
      <w:r w:rsidR="0024530F" w:rsidRPr="00527596">
        <w:rPr>
          <w:rFonts w:ascii="Arial" w:hAnsi="Arial" w:cs="Arial"/>
          <w:sz w:val="24"/>
          <w:szCs w:val="24"/>
        </w:rPr>
        <w:t xml:space="preserve">new Primary School located in or adjacent to the </w:t>
      </w:r>
      <w:r w:rsidR="00F6624B" w:rsidRPr="00527596">
        <w:rPr>
          <w:rFonts w:ascii="Arial" w:hAnsi="Arial" w:cs="Arial"/>
          <w:sz w:val="24"/>
          <w:szCs w:val="24"/>
        </w:rPr>
        <w:t>L</w:t>
      </w:r>
      <w:r w:rsidR="0024530F" w:rsidRPr="00527596">
        <w:rPr>
          <w:rFonts w:ascii="Arial" w:hAnsi="Arial" w:cs="Arial"/>
          <w:sz w:val="24"/>
          <w:szCs w:val="24"/>
        </w:rPr>
        <w:t>ocal Centre</w:t>
      </w:r>
      <w:r w:rsidR="00F6624B" w:rsidRPr="00527596">
        <w:rPr>
          <w:rFonts w:ascii="Arial" w:hAnsi="Arial" w:cs="Arial"/>
          <w:sz w:val="24"/>
          <w:szCs w:val="24"/>
        </w:rPr>
        <w:t>.</w:t>
      </w:r>
    </w:p>
    <w:p w14:paraId="24155A77" w14:textId="4323705E" w:rsidR="00350DFC" w:rsidRPr="00527596" w:rsidRDefault="0024530F" w:rsidP="00DC54F7">
      <w:pPr>
        <w:pStyle w:val="ListParagraph"/>
        <w:numPr>
          <w:ilvl w:val="0"/>
          <w:numId w:val="146"/>
        </w:numPr>
        <w:spacing w:after="0" w:line="240" w:lineRule="auto"/>
        <w:ind w:left="360"/>
        <w:jc w:val="both"/>
        <w:rPr>
          <w:rFonts w:ascii="Arial" w:hAnsi="Arial" w:cs="Arial"/>
          <w:sz w:val="24"/>
          <w:szCs w:val="24"/>
        </w:rPr>
      </w:pPr>
      <w:r w:rsidRPr="00527596">
        <w:rPr>
          <w:rFonts w:ascii="Arial" w:hAnsi="Arial" w:cs="Arial"/>
          <w:sz w:val="24"/>
          <w:szCs w:val="24"/>
        </w:rPr>
        <w:t>Open Space including formal recreation,</w:t>
      </w:r>
      <w:r w:rsidR="0077136D" w:rsidRPr="00527596">
        <w:rPr>
          <w:rFonts w:ascii="Arial" w:hAnsi="Arial" w:cs="Arial"/>
          <w:sz w:val="24"/>
          <w:szCs w:val="24"/>
        </w:rPr>
        <w:t xml:space="preserve"> </w:t>
      </w:r>
      <w:r w:rsidRPr="00527596">
        <w:rPr>
          <w:rFonts w:ascii="Arial" w:hAnsi="Arial" w:cs="Arial"/>
          <w:sz w:val="24"/>
          <w:szCs w:val="24"/>
        </w:rPr>
        <w:t xml:space="preserve">playgrounds, </w:t>
      </w:r>
      <w:r w:rsidR="0077136D" w:rsidRPr="00527596">
        <w:rPr>
          <w:rFonts w:ascii="Arial" w:hAnsi="Arial" w:cs="Arial"/>
          <w:sz w:val="24"/>
          <w:szCs w:val="24"/>
        </w:rPr>
        <w:t xml:space="preserve">a </w:t>
      </w:r>
      <w:r w:rsidRPr="00527596">
        <w:rPr>
          <w:rFonts w:ascii="Arial" w:hAnsi="Arial" w:cs="Arial"/>
          <w:sz w:val="24"/>
          <w:szCs w:val="24"/>
        </w:rPr>
        <w:t xml:space="preserve">teen facility, and allotment site. </w:t>
      </w:r>
    </w:p>
    <w:p w14:paraId="419AABD4" w14:textId="1024AC4F" w:rsidR="00350DFC" w:rsidRDefault="00350DFC" w:rsidP="00DC54F7">
      <w:pPr>
        <w:spacing w:after="0" w:line="240" w:lineRule="auto"/>
        <w:jc w:val="both"/>
        <w:rPr>
          <w:rFonts w:ascii="Arial" w:hAnsi="Arial" w:cs="Arial"/>
          <w:sz w:val="24"/>
          <w:szCs w:val="24"/>
        </w:rPr>
      </w:pPr>
    </w:p>
    <w:p w14:paraId="69F31F93" w14:textId="2F0F322E" w:rsidR="008856EA" w:rsidRPr="00C4399E" w:rsidRDefault="008856EA" w:rsidP="00DC54F7">
      <w:pPr>
        <w:spacing w:after="0" w:line="240" w:lineRule="auto"/>
        <w:jc w:val="both"/>
        <w:rPr>
          <w:rFonts w:ascii="Arial" w:hAnsi="Arial" w:cs="Arial"/>
          <w:sz w:val="24"/>
          <w:szCs w:val="24"/>
        </w:rPr>
      </w:pPr>
      <w:r w:rsidRPr="00015287">
        <w:rPr>
          <w:rFonts w:ascii="Arial" w:hAnsi="Arial" w:cs="Arial"/>
          <w:color w:val="000000"/>
          <w:sz w:val="24"/>
          <w:szCs w:val="24"/>
        </w:rPr>
        <w:t>Construction work started in 2015 and the development is being built in a series of phases.</w:t>
      </w:r>
    </w:p>
    <w:p w14:paraId="4FF4C024" w14:textId="77777777" w:rsidR="008856EA" w:rsidRPr="00527596" w:rsidRDefault="008856EA" w:rsidP="00DC54F7">
      <w:pPr>
        <w:spacing w:after="0" w:line="240" w:lineRule="auto"/>
        <w:jc w:val="both"/>
        <w:rPr>
          <w:rFonts w:ascii="Arial" w:hAnsi="Arial" w:cs="Arial"/>
          <w:sz w:val="24"/>
          <w:szCs w:val="24"/>
        </w:rPr>
      </w:pPr>
    </w:p>
    <w:p w14:paraId="7B7BFC4B" w14:textId="77777777" w:rsidR="008856EA" w:rsidRPr="00E80270" w:rsidRDefault="008856EA" w:rsidP="00DC54F7">
      <w:pPr>
        <w:spacing w:after="0" w:line="240" w:lineRule="auto"/>
        <w:jc w:val="both"/>
        <w:rPr>
          <w:rFonts w:ascii="Arial" w:hAnsi="Arial" w:cs="Arial"/>
          <w:sz w:val="24"/>
          <w:szCs w:val="24"/>
        </w:rPr>
      </w:pPr>
      <w:r w:rsidRPr="00E80270">
        <w:rPr>
          <w:rFonts w:ascii="Arial" w:hAnsi="Arial" w:cs="Arial"/>
          <w:sz w:val="24"/>
          <w:szCs w:val="24"/>
        </w:rPr>
        <w:t>As of 1</w:t>
      </w:r>
      <w:r w:rsidRPr="00E80270">
        <w:rPr>
          <w:rFonts w:ascii="Arial" w:hAnsi="Arial" w:cs="Arial"/>
          <w:sz w:val="24"/>
          <w:szCs w:val="24"/>
          <w:vertAlign w:val="superscript"/>
        </w:rPr>
        <w:t>st</w:t>
      </w:r>
      <w:r w:rsidRPr="00E80270">
        <w:rPr>
          <w:rFonts w:ascii="Arial" w:hAnsi="Arial" w:cs="Arial"/>
          <w:sz w:val="24"/>
          <w:szCs w:val="24"/>
        </w:rPr>
        <w:t xml:space="preserve"> April 2019, there were 337 completions on the housing site. 2020 site monitoring was put on hold due to Coronavirus (COVID-19) pandemic restrictions</w:t>
      </w:r>
      <w:r w:rsidRPr="00E80270">
        <w:rPr>
          <w:rFonts w:ascii="Arial" w:hAnsi="Arial" w:cs="Arial"/>
        </w:rPr>
        <w:t>.</w:t>
      </w:r>
    </w:p>
    <w:p w14:paraId="5E8AB391" w14:textId="77777777" w:rsidR="008856EA" w:rsidRDefault="008856EA" w:rsidP="00DC54F7">
      <w:pPr>
        <w:spacing w:after="0" w:line="240" w:lineRule="auto"/>
        <w:jc w:val="both"/>
        <w:rPr>
          <w:rFonts w:ascii="Arial" w:hAnsi="Arial" w:cs="Arial"/>
          <w:i/>
          <w:iCs/>
          <w:sz w:val="24"/>
          <w:szCs w:val="24"/>
        </w:rPr>
      </w:pPr>
    </w:p>
    <w:p w14:paraId="0A17B84A" w14:textId="3979C91A" w:rsidR="008856EA" w:rsidRPr="00015287" w:rsidRDefault="008856EA" w:rsidP="00DC54F7">
      <w:pPr>
        <w:spacing w:after="0" w:line="240" w:lineRule="auto"/>
        <w:jc w:val="both"/>
        <w:rPr>
          <w:rFonts w:ascii="Arial" w:hAnsi="Arial" w:cs="Arial"/>
          <w:sz w:val="24"/>
          <w:szCs w:val="24"/>
        </w:rPr>
      </w:pPr>
      <w:r w:rsidRPr="00015287">
        <w:rPr>
          <w:rFonts w:ascii="Arial" w:hAnsi="Arial" w:cs="Arial"/>
          <w:color w:val="000000"/>
          <w:sz w:val="24"/>
          <w:szCs w:val="24"/>
        </w:rPr>
        <w:t>The spring 2021 LDP monitoring document highlights approximately that there have been over </w:t>
      </w:r>
      <w:r w:rsidRPr="00015287">
        <w:rPr>
          <w:rStyle w:val="x-1763367276colour"/>
          <w:rFonts w:ascii="Arial" w:hAnsi="Arial" w:cs="Arial"/>
          <w:sz w:val="24"/>
          <w:szCs w:val="24"/>
        </w:rPr>
        <w:t>700</w:t>
      </w:r>
      <w:r w:rsidRPr="00015287">
        <w:rPr>
          <w:rFonts w:ascii="Arial" w:hAnsi="Arial" w:cs="Arial"/>
          <w:color w:val="000000"/>
          <w:sz w:val="24"/>
          <w:szCs w:val="24"/>
        </w:rPr>
        <w:t> completions on the Edeyrns Village site, with a further 89 under construction</w:t>
      </w:r>
      <w:r w:rsidRPr="00015287">
        <w:rPr>
          <w:rFonts w:ascii="Arial" w:hAnsi="Arial" w:cs="Arial"/>
          <w:color w:val="000000"/>
          <w:sz w:val="24"/>
          <w:szCs w:val="24"/>
          <w:shd w:val="clear" w:color="auto" w:fill="FFFFFF"/>
        </w:rPr>
        <w:t>.</w:t>
      </w:r>
    </w:p>
    <w:p w14:paraId="4B05B6F7" w14:textId="77777777" w:rsidR="008856EA" w:rsidRPr="00015287" w:rsidRDefault="008856EA" w:rsidP="00DC54F7">
      <w:pPr>
        <w:spacing w:after="0" w:line="240" w:lineRule="auto"/>
        <w:jc w:val="both"/>
        <w:rPr>
          <w:rFonts w:ascii="Arial" w:hAnsi="Arial" w:cs="Arial"/>
          <w:sz w:val="24"/>
          <w:szCs w:val="24"/>
        </w:rPr>
      </w:pPr>
    </w:p>
    <w:p w14:paraId="3548F188" w14:textId="77777777" w:rsidR="008856EA" w:rsidRPr="00C4399E" w:rsidRDefault="008856EA" w:rsidP="00DC54F7">
      <w:pPr>
        <w:spacing w:after="0" w:line="240" w:lineRule="auto"/>
        <w:jc w:val="both"/>
        <w:rPr>
          <w:rFonts w:ascii="Arial" w:hAnsi="Arial" w:cs="Arial"/>
          <w:sz w:val="24"/>
          <w:szCs w:val="24"/>
        </w:rPr>
      </w:pPr>
      <w:r w:rsidRPr="00015287">
        <w:rPr>
          <w:rFonts w:ascii="Arial" w:hAnsi="Arial" w:cs="Arial"/>
          <w:sz w:val="24"/>
          <w:szCs w:val="24"/>
        </w:rPr>
        <w:t>A further 156 completed houses have been built on the Highfields site.</w:t>
      </w:r>
    </w:p>
    <w:p w14:paraId="680D3A90" w14:textId="77777777" w:rsidR="008856EA" w:rsidRPr="00527596" w:rsidRDefault="008856EA" w:rsidP="00DC54F7">
      <w:pPr>
        <w:spacing w:after="0" w:line="240" w:lineRule="auto"/>
        <w:jc w:val="both"/>
        <w:rPr>
          <w:rFonts w:ascii="Arial" w:hAnsi="Arial" w:cs="Arial"/>
          <w:sz w:val="24"/>
          <w:szCs w:val="24"/>
        </w:rPr>
      </w:pPr>
    </w:p>
    <w:p w14:paraId="722596C0" w14:textId="0A60879F" w:rsidR="00BB2A9B" w:rsidRPr="00527596" w:rsidRDefault="002632F7" w:rsidP="00DC54F7">
      <w:pPr>
        <w:spacing w:after="0" w:line="240" w:lineRule="auto"/>
        <w:jc w:val="both"/>
        <w:rPr>
          <w:rFonts w:ascii="Arial" w:hAnsi="Arial" w:cs="Arial"/>
          <w:color w:val="000000" w:themeColor="text1"/>
          <w:sz w:val="24"/>
          <w:szCs w:val="24"/>
        </w:rPr>
      </w:pPr>
      <w:r w:rsidRPr="00527596">
        <w:rPr>
          <w:rFonts w:ascii="Arial" w:hAnsi="Arial" w:cs="Arial"/>
          <w:color w:val="000000" w:themeColor="text1"/>
          <w:sz w:val="24"/>
          <w:szCs w:val="24"/>
          <w:shd w:val="clear" w:color="auto" w:fill="FFFFFF"/>
        </w:rPr>
        <w:t>The Maelfa Wellbeing Hub is currently under development and will house community services as well as the GP practice and so may have some impact on services needed. </w:t>
      </w:r>
      <w:r w:rsidR="00BB2A9B" w:rsidRPr="00527596">
        <w:rPr>
          <w:rFonts w:ascii="Arial" w:hAnsi="Arial" w:cs="Arial"/>
          <w:color w:val="000000" w:themeColor="text1"/>
          <w:sz w:val="24"/>
          <w:szCs w:val="24"/>
          <w:shd w:val="clear" w:color="auto" w:fill="FFFFFF"/>
        </w:rPr>
        <w:t xml:space="preserve">As previously noted for the purposes of the PNA Hopwoods community pharmacy and GP practice at Maelfa are considered as part of Cardiff East cluster as </w:t>
      </w:r>
      <w:r w:rsidR="00BB2A9B" w:rsidRPr="00527596">
        <w:rPr>
          <w:rFonts w:ascii="Arial" w:hAnsi="Arial" w:cs="Arial"/>
          <w:color w:val="000000" w:themeColor="text1"/>
          <w:sz w:val="24"/>
          <w:szCs w:val="24"/>
          <w:shd w:val="clear" w:color="auto" w:fill="FFFFFF"/>
        </w:rPr>
        <w:lastRenderedPageBreak/>
        <w:t xml:space="preserve">that is where the main GP premises is situated; however, they will serve people in Cardiff North cluster also. </w:t>
      </w:r>
    </w:p>
    <w:p w14:paraId="3268BACD" w14:textId="27153BDD" w:rsidR="002632F7" w:rsidRPr="00527596" w:rsidRDefault="002632F7" w:rsidP="00DC54F7">
      <w:pPr>
        <w:spacing w:after="0" w:line="240" w:lineRule="auto"/>
        <w:jc w:val="both"/>
        <w:rPr>
          <w:rFonts w:ascii="Arial" w:hAnsi="Arial" w:cs="Arial"/>
          <w:color w:val="000000" w:themeColor="text1"/>
          <w:sz w:val="24"/>
          <w:szCs w:val="24"/>
        </w:rPr>
      </w:pPr>
    </w:p>
    <w:p w14:paraId="5DE5E837" w14:textId="77777777" w:rsidR="00ED5DEA" w:rsidRPr="00527596" w:rsidRDefault="00ED5DEA" w:rsidP="00DC54F7">
      <w:pPr>
        <w:spacing w:after="0" w:line="240" w:lineRule="auto"/>
        <w:jc w:val="both"/>
        <w:rPr>
          <w:rFonts w:ascii="Arial" w:hAnsi="Arial" w:cs="Arial"/>
          <w:sz w:val="24"/>
          <w:szCs w:val="24"/>
        </w:rPr>
      </w:pPr>
    </w:p>
    <w:p w14:paraId="2321C0DD" w14:textId="24048EC5" w:rsidR="0063382E" w:rsidRDefault="0041436D" w:rsidP="00DC54F7">
      <w:pPr>
        <w:spacing w:after="0" w:line="240" w:lineRule="auto"/>
        <w:jc w:val="both"/>
        <w:rPr>
          <w:rFonts w:ascii="Arial" w:hAnsi="Arial" w:cs="Arial"/>
          <w:b/>
          <w:sz w:val="26"/>
          <w:szCs w:val="26"/>
          <w:lang w:val="en-US"/>
        </w:rPr>
      </w:pPr>
      <w:r>
        <w:rPr>
          <w:rFonts w:ascii="Arial" w:hAnsi="Arial" w:cs="Arial"/>
          <w:b/>
          <w:sz w:val="26"/>
          <w:szCs w:val="26"/>
        </w:rPr>
        <w:t>11</w:t>
      </w:r>
      <w:r w:rsidR="0063382E" w:rsidRPr="00A10850">
        <w:rPr>
          <w:rFonts w:ascii="Arial" w:hAnsi="Arial" w:cs="Arial"/>
          <w:b/>
          <w:sz w:val="26"/>
          <w:szCs w:val="26"/>
        </w:rPr>
        <w:t>.2 Current</w:t>
      </w:r>
      <w:r w:rsidR="0063382E" w:rsidRPr="00A10850">
        <w:rPr>
          <w:rFonts w:ascii="Arial" w:hAnsi="Arial" w:cs="Arial"/>
          <w:b/>
          <w:sz w:val="26"/>
          <w:szCs w:val="26"/>
          <w:lang w:val="en-US"/>
        </w:rPr>
        <w:t xml:space="preserve"> provision of pharmaceutical services within the </w:t>
      </w:r>
      <w:r w:rsidR="00C00F0A">
        <w:rPr>
          <w:rFonts w:ascii="Arial" w:hAnsi="Arial" w:cs="Arial"/>
          <w:b/>
          <w:sz w:val="26"/>
          <w:szCs w:val="26"/>
          <w:lang w:val="en-US"/>
        </w:rPr>
        <w:t>cluster</w:t>
      </w:r>
      <w:r w:rsidR="0063382E" w:rsidRPr="00A10850">
        <w:rPr>
          <w:rFonts w:ascii="Arial" w:hAnsi="Arial" w:cs="Arial"/>
          <w:b/>
          <w:sz w:val="26"/>
          <w:szCs w:val="26"/>
          <w:lang w:val="en-US"/>
        </w:rPr>
        <w:t xml:space="preserve"> </w:t>
      </w:r>
    </w:p>
    <w:p w14:paraId="4C5A5D1A" w14:textId="296352B4" w:rsidR="001916DF" w:rsidRDefault="001916DF" w:rsidP="00DC54F7">
      <w:pPr>
        <w:spacing w:after="0" w:line="240" w:lineRule="auto"/>
        <w:jc w:val="both"/>
        <w:rPr>
          <w:rFonts w:ascii="Arial" w:hAnsi="Arial" w:cs="Arial"/>
          <w:b/>
          <w:sz w:val="26"/>
          <w:szCs w:val="26"/>
          <w:lang w:val="en-US"/>
        </w:rPr>
      </w:pPr>
    </w:p>
    <w:p w14:paraId="37D5FB44" w14:textId="22532BA5" w:rsidR="00802543" w:rsidRPr="00527596" w:rsidRDefault="00802543" w:rsidP="00DC54F7">
      <w:pPr>
        <w:spacing w:after="0" w:line="240" w:lineRule="auto"/>
        <w:jc w:val="both"/>
        <w:rPr>
          <w:rFonts w:ascii="Arial" w:hAnsi="Arial" w:cs="Arial"/>
          <w:bCs/>
          <w:sz w:val="24"/>
          <w:szCs w:val="24"/>
          <w:lang w:val="en-US"/>
        </w:rPr>
      </w:pPr>
      <w:r w:rsidRPr="00527596">
        <w:rPr>
          <w:rFonts w:ascii="Arial" w:hAnsi="Arial" w:cs="Arial"/>
          <w:bCs/>
          <w:sz w:val="24"/>
          <w:szCs w:val="24"/>
          <w:lang w:val="en-US"/>
        </w:rPr>
        <w:t>There are 1</w:t>
      </w:r>
      <w:r w:rsidR="00692CDE" w:rsidRPr="00527596">
        <w:rPr>
          <w:rFonts w:ascii="Arial" w:hAnsi="Arial" w:cs="Arial"/>
          <w:bCs/>
          <w:sz w:val="24"/>
          <w:szCs w:val="24"/>
          <w:lang w:val="en-US"/>
        </w:rPr>
        <w:t>8</w:t>
      </w:r>
      <w:r w:rsidRPr="00527596">
        <w:rPr>
          <w:rFonts w:ascii="Arial" w:hAnsi="Arial" w:cs="Arial"/>
          <w:bCs/>
          <w:sz w:val="24"/>
          <w:szCs w:val="24"/>
          <w:lang w:val="en-US"/>
        </w:rPr>
        <w:t xml:space="preserve"> pharmacies in Cardiff </w:t>
      </w:r>
      <w:r w:rsidR="00692CDE" w:rsidRPr="00527596">
        <w:rPr>
          <w:rFonts w:ascii="Arial" w:hAnsi="Arial" w:cs="Arial"/>
          <w:bCs/>
          <w:sz w:val="24"/>
          <w:szCs w:val="24"/>
          <w:lang w:val="en-US"/>
        </w:rPr>
        <w:t>North</w:t>
      </w:r>
      <w:r w:rsidRPr="00527596">
        <w:rPr>
          <w:rFonts w:ascii="Arial" w:hAnsi="Arial" w:cs="Arial"/>
          <w:bCs/>
          <w:sz w:val="24"/>
          <w:szCs w:val="24"/>
          <w:lang w:val="en-US"/>
        </w:rPr>
        <w:t xml:space="preserve"> cluster. </w:t>
      </w:r>
    </w:p>
    <w:p w14:paraId="71B3DD32" w14:textId="1C39BCF4" w:rsidR="00F53E3F" w:rsidRPr="00527596" w:rsidRDefault="00F53E3F" w:rsidP="00DC54F7">
      <w:pPr>
        <w:spacing w:after="0" w:line="240" w:lineRule="auto"/>
        <w:jc w:val="both"/>
        <w:rPr>
          <w:rFonts w:ascii="Arial" w:hAnsi="Arial" w:cs="Arial"/>
          <w:bCs/>
          <w:sz w:val="24"/>
          <w:szCs w:val="24"/>
          <w:lang w:val="en-US"/>
        </w:rPr>
      </w:pPr>
    </w:p>
    <w:p w14:paraId="5C48FCE0" w14:textId="762D5165" w:rsidR="00F53E3F" w:rsidRPr="00527596" w:rsidRDefault="00F53E3F" w:rsidP="00DC54F7">
      <w:pPr>
        <w:spacing w:after="0" w:line="240" w:lineRule="auto"/>
        <w:jc w:val="both"/>
        <w:rPr>
          <w:rFonts w:ascii="Arial" w:hAnsi="Arial" w:cs="Arial"/>
          <w:b/>
          <w:sz w:val="24"/>
          <w:szCs w:val="24"/>
          <w:lang w:val="en-US"/>
        </w:rPr>
      </w:pPr>
      <w:r w:rsidRPr="00527596">
        <w:rPr>
          <w:rFonts w:ascii="Arial" w:hAnsi="Arial" w:cs="Arial"/>
          <w:b/>
          <w:sz w:val="24"/>
          <w:szCs w:val="24"/>
          <w:lang w:val="en-US"/>
        </w:rPr>
        <w:t>Table 11.7: Pharmacies in Cardiff North cluster</w:t>
      </w:r>
    </w:p>
    <w:tbl>
      <w:tblPr>
        <w:tblW w:w="9437"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276"/>
        <w:gridCol w:w="3240"/>
        <w:gridCol w:w="1559"/>
        <w:gridCol w:w="1362"/>
      </w:tblGrid>
      <w:tr w:rsidR="007439E3" w:rsidRPr="007439E3" w14:paraId="442B7C81" w14:textId="77777777" w:rsidTr="00F213D7">
        <w:trPr>
          <w:trHeight w:val="369"/>
        </w:trPr>
        <w:tc>
          <w:tcPr>
            <w:tcW w:w="3276" w:type="dxa"/>
            <w:shd w:val="clear" w:color="auto" w:fill="8497B0"/>
            <w:noWrap/>
            <w:vAlign w:val="bottom"/>
            <w:hideMark/>
          </w:tcPr>
          <w:p w14:paraId="753CC838" w14:textId="77777777" w:rsidR="007439E3" w:rsidRPr="00527596" w:rsidRDefault="007439E3" w:rsidP="00DC54F7">
            <w:pPr>
              <w:spacing w:after="0" w:line="240" w:lineRule="auto"/>
              <w:jc w:val="both"/>
              <w:rPr>
                <w:rFonts w:ascii="Arial" w:eastAsia="Times New Roman" w:hAnsi="Arial" w:cs="Arial"/>
                <w:b/>
                <w:bCs/>
                <w:color w:val="FFFFFF"/>
                <w:lang w:eastAsia="en-GB"/>
              </w:rPr>
            </w:pPr>
            <w:r w:rsidRPr="00527596">
              <w:rPr>
                <w:rFonts w:ascii="Arial" w:eastAsia="Times New Roman" w:hAnsi="Arial" w:cs="Arial"/>
                <w:b/>
                <w:bCs/>
                <w:color w:val="FFFFFF"/>
                <w:lang w:eastAsia="en-GB"/>
              </w:rPr>
              <w:t>Pharmacy</w:t>
            </w:r>
          </w:p>
        </w:tc>
        <w:tc>
          <w:tcPr>
            <w:tcW w:w="6161" w:type="dxa"/>
            <w:gridSpan w:val="3"/>
            <w:shd w:val="clear" w:color="auto" w:fill="8497B0"/>
            <w:noWrap/>
            <w:vAlign w:val="bottom"/>
            <w:hideMark/>
          </w:tcPr>
          <w:p w14:paraId="37DA1384" w14:textId="77777777" w:rsidR="007439E3" w:rsidRPr="00527596" w:rsidRDefault="007439E3" w:rsidP="00DC54F7">
            <w:pPr>
              <w:spacing w:after="0" w:line="240" w:lineRule="auto"/>
              <w:jc w:val="both"/>
              <w:rPr>
                <w:rFonts w:ascii="Arial" w:eastAsia="Times New Roman" w:hAnsi="Arial" w:cs="Arial"/>
                <w:b/>
                <w:bCs/>
                <w:color w:val="FFFFFF"/>
                <w:lang w:eastAsia="en-GB"/>
              </w:rPr>
            </w:pPr>
            <w:r w:rsidRPr="00527596">
              <w:rPr>
                <w:rFonts w:ascii="Arial" w:eastAsia="Times New Roman" w:hAnsi="Arial" w:cs="Arial"/>
                <w:b/>
                <w:bCs/>
                <w:color w:val="FFFFFF"/>
                <w:lang w:eastAsia="en-GB"/>
              </w:rPr>
              <w:t>Address</w:t>
            </w:r>
          </w:p>
        </w:tc>
      </w:tr>
      <w:tr w:rsidR="008B5BB9" w:rsidRPr="007439E3" w14:paraId="1595D049" w14:textId="77777777" w:rsidTr="00F213D7">
        <w:trPr>
          <w:trHeight w:val="411"/>
        </w:trPr>
        <w:tc>
          <w:tcPr>
            <w:tcW w:w="3276" w:type="dxa"/>
            <w:shd w:val="clear" w:color="000000" w:fill="F2F2F2"/>
            <w:hideMark/>
          </w:tcPr>
          <w:p w14:paraId="53543AA0"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Asda Stores Ltd T/A Asda Pharmacy</w:t>
            </w:r>
          </w:p>
        </w:tc>
        <w:tc>
          <w:tcPr>
            <w:tcW w:w="3240" w:type="dxa"/>
            <w:shd w:val="clear" w:color="000000" w:fill="F2F2F2"/>
            <w:hideMark/>
          </w:tcPr>
          <w:p w14:paraId="6159FD31"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 xml:space="preserve">8 Derring Road </w:t>
            </w:r>
          </w:p>
        </w:tc>
        <w:tc>
          <w:tcPr>
            <w:tcW w:w="1559" w:type="dxa"/>
            <w:shd w:val="clear" w:color="000000" w:fill="F2F2F2"/>
            <w:hideMark/>
          </w:tcPr>
          <w:p w14:paraId="54531E4F"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Pontprennau</w:t>
            </w:r>
          </w:p>
        </w:tc>
        <w:tc>
          <w:tcPr>
            <w:tcW w:w="1362" w:type="dxa"/>
            <w:shd w:val="clear" w:color="000000" w:fill="F2F2F2"/>
            <w:hideMark/>
          </w:tcPr>
          <w:p w14:paraId="13BEB0EB"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CF23 8NL</w:t>
            </w:r>
          </w:p>
        </w:tc>
      </w:tr>
      <w:tr w:rsidR="008B5BB9" w:rsidRPr="007439E3" w14:paraId="5DFA1217" w14:textId="77777777" w:rsidTr="00F213D7">
        <w:trPr>
          <w:trHeight w:val="411"/>
        </w:trPr>
        <w:tc>
          <w:tcPr>
            <w:tcW w:w="3276" w:type="dxa"/>
            <w:shd w:val="clear" w:color="000000" w:fill="FFFFFF"/>
            <w:hideMark/>
          </w:tcPr>
          <w:p w14:paraId="2F643ABD"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Boots UK Ltd T/A Boots</w:t>
            </w:r>
          </w:p>
        </w:tc>
        <w:tc>
          <w:tcPr>
            <w:tcW w:w="3240" w:type="dxa"/>
            <w:shd w:val="clear" w:color="000000" w:fill="FFFFFF"/>
            <w:hideMark/>
          </w:tcPr>
          <w:p w14:paraId="332E43AC"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Unit 2 Ty Glas Retail Park</w:t>
            </w:r>
          </w:p>
        </w:tc>
        <w:tc>
          <w:tcPr>
            <w:tcW w:w="1559" w:type="dxa"/>
            <w:shd w:val="clear" w:color="000000" w:fill="FFFFFF"/>
            <w:hideMark/>
          </w:tcPr>
          <w:p w14:paraId="10E6DD40"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Llanishen</w:t>
            </w:r>
          </w:p>
        </w:tc>
        <w:tc>
          <w:tcPr>
            <w:tcW w:w="1362" w:type="dxa"/>
            <w:shd w:val="clear" w:color="000000" w:fill="FFFFFF"/>
            <w:hideMark/>
          </w:tcPr>
          <w:p w14:paraId="03C2A9D5"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CF14 5DY</w:t>
            </w:r>
          </w:p>
        </w:tc>
      </w:tr>
      <w:tr w:rsidR="008B5BB9" w:rsidRPr="007439E3" w14:paraId="6E6602F9" w14:textId="77777777" w:rsidTr="00F213D7">
        <w:trPr>
          <w:trHeight w:val="411"/>
        </w:trPr>
        <w:tc>
          <w:tcPr>
            <w:tcW w:w="3276" w:type="dxa"/>
            <w:shd w:val="clear" w:color="000000" w:fill="F2F2F2"/>
            <w:hideMark/>
          </w:tcPr>
          <w:p w14:paraId="5D94E1A8"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Mr A Brookes T/A Brookes Pharmacy</w:t>
            </w:r>
          </w:p>
        </w:tc>
        <w:tc>
          <w:tcPr>
            <w:tcW w:w="3240" w:type="dxa"/>
            <w:shd w:val="clear" w:color="000000" w:fill="F2F2F2"/>
            <w:hideMark/>
          </w:tcPr>
          <w:p w14:paraId="33A1DA0D"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3 Fidlas Road</w:t>
            </w:r>
          </w:p>
        </w:tc>
        <w:tc>
          <w:tcPr>
            <w:tcW w:w="1559" w:type="dxa"/>
            <w:shd w:val="clear" w:color="000000" w:fill="F2F2F2"/>
            <w:hideMark/>
          </w:tcPr>
          <w:p w14:paraId="6336ED67"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Llanishen</w:t>
            </w:r>
          </w:p>
        </w:tc>
        <w:tc>
          <w:tcPr>
            <w:tcW w:w="1362" w:type="dxa"/>
            <w:shd w:val="clear" w:color="000000" w:fill="F2F2F2"/>
            <w:hideMark/>
          </w:tcPr>
          <w:p w14:paraId="4D3E6999"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CF14 0LW</w:t>
            </w:r>
          </w:p>
        </w:tc>
      </w:tr>
      <w:tr w:rsidR="008B5BB9" w:rsidRPr="007439E3" w14:paraId="2C4DDFD9" w14:textId="77777777" w:rsidTr="00F213D7">
        <w:trPr>
          <w:trHeight w:val="411"/>
        </w:trPr>
        <w:tc>
          <w:tcPr>
            <w:tcW w:w="3276" w:type="dxa"/>
            <w:shd w:val="clear" w:color="000000" w:fill="FFFFFF"/>
            <w:hideMark/>
          </w:tcPr>
          <w:p w14:paraId="5A8CF5FA"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R K Aggarwal Ltd T/A Central Pharmacy</w:t>
            </w:r>
          </w:p>
        </w:tc>
        <w:tc>
          <w:tcPr>
            <w:tcW w:w="3240" w:type="dxa"/>
            <w:shd w:val="clear" w:color="000000" w:fill="FFFFFF"/>
            <w:hideMark/>
          </w:tcPr>
          <w:p w14:paraId="6CC56AD5"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63 Wellfield Road</w:t>
            </w:r>
          </w:p>
        </w:tc>
        <w:tc>
          <w:tcPr>
            <w:tcW w:w="1559" w:type="dxa"/>
            <w:shd w:val="clear" w:color="000000" w:fill="FFFFFF"/>
            <w:hideMark/>
          </w:tcPr>
          <w:p w14:paraId="6CA0669C"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 xml:space="preserve"> Roath</w:t>
            </w:r>
          </w:p>
        </w:tc>
        <w:tc>
          <w:tcPr>
            <w:tcW w:w="1362" w:type="dxa"/>
            <w:shd w:val="clear" w:color="000000" w:fill="FFFFFF"/>
            <w:hideMark/>
          </w:tcPr>
          <w:p w14:paraId="608D6AFA"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CF24 3PA</w:t>
            </w:r>
          </w:p>
        </w:tc>
      </w:tr>
      <w:tr w:rsidR="008B5BB9" w:rsidRPr="007439E3" w14:paraId="664816FE" w14:textId="77777777" w:rsidTr="00F213D7">
        <w:trPr>
          <w:trHeight w:val="411"/>
        </w:trPr>
        <w:tc>
          <w:tcPr>
            <w:tcW w:w="3276" w:type="dxa"/>
            <w:shd w:val="clear" w:color="000000" w:fill="F2F2F2"/>
            <w:hideMark/>
          </w:tcPr>
          <w:p w14:paraId="4291584E"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Thornes Pharmacy Ltd T/A Cyncoed Pharmacy</w:t>
            </w:r>
          </w:p>
        </w:tc>
        <w:tc>
          <w:tcPr>
            <w:tcW w:w="3240" w:type="dxa"/>
            <w:shd w:val="clear" w:color="000000" w:fill="F2F2F2"/>
            <w:hideMark/>
          </w:tcPr>
          <w:p w14:paraId="5CF58552"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372 Cyncoed Road</w:t>
            </w:r>
          </w:p>
        </w:tc>
        <w:tc>
          <w:tcPr>
            <w:tcW w:w="1559" w:type="dxa"/>
            <w:shd w:val="clear" w:color="000000" w:fill="F2F2F2"/>
            <w:hideMark/>
          </w:tcPr>
          <w:p w14:paraId="52088496"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Cyncoed</w:t>
            </w:r>
          </w:p>
        </w:tc>
        <w:tc>
          <w:tcPr>
            <w:tcW w:w="1362" w:type="dxa"/>
            <w:shd w:val="clear" w:color="000000" w:fill="F2F2F2"/>
            <w:hideMark/>
          </w:tcPr>
          <w:p w14:paraId="2BD35A9E"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CF23 6SA</w:t>
            </w:r>
          </w:p>
        </w:tc>
      </w:tr>
      <w:tr w:rsidR="008B5BB9" w:rsidRPr="007439E3" w14:paraId="3E2A59B3" w14:textId="77777777" w:rsidTr="00F213D7">
        <w:trPr>
          <w:trHeight w:val="411"/>
        </w:trPr>
        <w:tc>
          <w:tcPr>
            <w:tcW w:w="3276" w:type="dxa"/>
            <w:shd w:val="clear" w:color="000000" w:fill="FFFFFF"/>
            <w:hideMark/>
          </w:tcPr>
          <w:p w14:paraId="76A705EE"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Tandy Inc Ltd T/A AJ Hales Pharmacy</w:t>
            </w:r>
          </w:p>
        </w:tc>
        <w:tc>
          <w:tcPr>
            <w:tcW w:w="3240" w:type="dxa"/>
            <w:shd w:val="clear" w:color="000000" w:fill="FFFFFF"/>
            <w:hideMark/>
          </w:tcPr>
          <w:p w14:paraId="009B7EBD"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35 St Isan Road</w:t>
            </w:r>
          </w:p>
        </w:tc>
        <w:tc>
          <w:tcPr>
            <w:tcW w:w="1559" w:type="dxa"/>
            <w:shd w:val="clear" w:color="000000" w:fill="FFFFFF"/>
            <w:hideMark/>
          </w:tcPr>
          <w:p w14:paraId="6859D520"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Heath</w:t>
            </w:r>
          </w:p>
        </w:tc>
        <w:tc>
          <w:tcPr>
            <w:tcW w:w="1362" w:type="dxa"/>
            <w:shd w:val="clear" w:color="000000" w:fill="FFFFFF"/>
            <w:hideMark/>
          </w:tcPr>
          <w:p w14:paraId="59521CDE"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CF14 4LU</w:t>
            </w:r>
          </w:p>
        </w:tc>
      </w:tr>
      <w:tr w:rsidR="008B5BB9" w:rsidRPr="007439E3" w14:paraId="4043C4E3" w14:textId="77777777" w:rsidTr="00F213D7">
        <w:trPr>
          <w:trHeight w:val="411"/>
        </w:trPr>
        <w:tc>
          <w:tcPr>
            <w:tcW w:w="3276" w:type="dxa"/>
            <w:shd w:val="clear" w:color="000000" w:fill="F2F2F2"/>
            <w:hideMark/>
          </w:tcPr>
          <w:p w14:paraId="79BFF4D3"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Insync Healthcare Pharmacy Ltd T/A Insync Healthcare Pharmacy</w:t>
            </w:r>
          </w:p>
        </w:tc>
        <w:tc>
          <w:tcPr>
            <w:tcW w:w="3240" w:type="dxa"/>
            <w:shd w:val="clear" w:color="000000" w:fill="F2F2F2"/>
            <w:noWrap/>
            <w:hideMark/>
          </w:tcPr>
          <w:p w14:paraId="542049D2"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67 Thornhill Road</w:t>
            </w:r>
          </w:p>
        </w:tc>
        <w:tc>
          <w:tcPr>
            <w:tcW w:w="1559" w:type="dxa"/>
            <w:shd w:val="clear" w:color="000000" w:fill="F2F2F2"/>
            <w:hideMark/>
          </w:tcPr>
          <w:p w14:paraId="75BCF133"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Cardiff</w:t>
            </w:r>
          </w:p>
        </w:tc>
        <w:tc>
          <w:tcPr>
            <w:tcW w:w="1362" w:type="dxa"/>
            <w:shd w:val="clear" w:color="000000" w:fill="F2F2F2"/>
            <w:hideMark/>
          </w:tcPr>
          <w:p w14:paraId="6C7E31A7"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CF14 6PE</w:t>
            </w:r>
          </w:p>
        </w:tc>
      </w:tr>
      <w:tr w:rsidR="008B5BB9" w:rsidRPr="007439E3" w14:paraId="467FE8D5" w14:textId="77777777" w:rsidTr="00F213D7">
        <w:trPr>
          <w:trHeight w:val="411"/>
        </w:trPr>
        <w:tc>
          <w:tcPr>
            <w:tcW w:w="3276" w:type="dxa"/>
            <w:shd w:val="clear" w:color="000000" w:fill="FFFFFF"/>
            <w:hideMark/>
          </w:tcPr>
          <w:p w14:paraId="02E4FDA1"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Lloyds Pharmacy Ltd T/A Lloydspharmacy</w:t>
            </w:r>
          </w:p>
        </w:tc>
        <w:tc>
          <w:tcPr>
            <w:tcW w:w="3240" w:type="dxa"/>
            <w:shd w:val="clear" w:color="000000" w:fill="FFFFFF"/>
            <w:hideMark/>
          </w:tcPr>
          <w:p w14:paraId="25E2AFB4"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45 Wellfield Road</w:t>
            </w:r>
          </w:p>
        </w:tc>
        <w:tc>
          <w:tcPr>
            <w:tcW w:w="1559" w:type="dxa"/>
            <w:shd w:val="clear" w:color="000000" w:fill="FFFFFF"/>
            <w:hideMark/>
          </w:tcPr>
          <w:p w14:paraId="047B584D"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Roath</w:t>
            </w:r>
          </w:p>
        </w:tc>
        <w:tc>
          <w:tcPr>
            <w:tcW w:w="1362" w:type="dxa"/>
            <w:shd w:val="clear" w:color="000000" w:fill="FFFFFF"/>
            <w:hideMark/>
          </w:tcPr>
          <w:p w14:paraId="0AF7262B"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CF24 3PA</w:t>
            </w:r>
          </w:p>
        </w:tc>
      </w:tr>
      <w:tr w:rsidR="008B5BB9" w:rsidRPr="007439E3" w14:paraId="6D9D70E9" w14:textId="77777777" w:rsidTr="00F213D7">
        <w:trPr>
          <w:trHeight w:val="411"/>
        </w:trPr>
        <w:tc>
          <w:tcPr>
            <w:tcW w:w="3276" w:type="dxa"/>
            <w:shd w:val="clear" w:color="000000" w:fill="F2F2F2"/>
            <w:hideMark/>
          </w:tcPr>
          <w:p w14:paraId="34140979"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Lloyds Pharmacy Ltd T/A Lloydspharmacy</w:t>
            </w:r>
          </w:p>
        </w:tc>
        <w:tc>
          <w:tcPr>
            <w:tcW w:w="3240" w:type="dxa"/>
            <w:shd w:val="clear" w:color="000000" w:fill="F2F2F2"/>
            <w:hideMark/>
          </w:tcPr>
          <w:p w14:paraId="7FBC357A"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99 Caerphilly Road</w:t>
            </w:r>
          </w:p>
        </w:tc>
        <w:tc>
          <w:tcPr>
            <w:tcW w:w="1559" w:type="dxa"/>
            <w:shd w:val="clear" w:color="000000" w:fill="F2F2F2"/>
            <w:hideMark/>
          </w:tcPr>
          <w:p w14:paraId="725C974F"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Birchgrove</w:t>
            </w:r>
          </w:p>
        </w:tc>
        <w:tc>
          <w:tcPr>
            <w:tcW w:w="1362" w:type="dxa"/>
            <w:shd w:val="clear" w:color="000000" w:fill="F2F2F2"/>
            <w:hideMark/>
          </w:tcPr>
          <w:p w14:paraId="652593A1"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CF14 4AE</w:t>
            </w:r>
          </w:p>
        </w:tc>
      </w:tr>
      <w:tr w:rsidR="008B5BB9" w:rsidRPr="007439E3" w14:paraId="40557C75" w14:textId="77777777" w:rsidTr="00F213D7">
        <w:trPr>
          <w:trHeight w:val="411"/>
        </w:trPr>
        <w:tc>
          <w:tcPr>
            <w:tcW w:w="3276" w:type="dxa"/>
            <w:shd w:val="clear" w:color="000000" w:fill="FFFFFF"/>
            <w:hideMark/>
          </w:tcPr>
          <w:p w14:paraId="4C018A4A"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Lloyds Pharmacy Ltd T/A Lloydspharmacy</w:t>
            </w:r>
          </w:p>
        </w:tc>
        <w:tc>
          <w:tcPr>
            <w:tcW w:w="3240" w:type="dxa"/>
            <w:shd w:val="clear" w:color="000000" w:fill="FFFFFF"/>
            <w:hideMark/>
          </w:tcPr>
          <w:p w14:paraId="7223053B"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4C Heol Y Deri</w:t>
            </w:r>
          </w:p>
        </w:tc>
        <w:tc>
          <w:tcPr>
            <w:tcW w:w="1559" w:type="dxa"/>
            <w:shd w:val="clear" w:color="000000" w:fill="FFFFFF"/>
            <w:hideMark/>
          </w:tcPr>
          <w:p w14:paraId="448CAC28"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Rhiwbina</w:t>
            </w:r>
          </w:p>
        </w:tc>
        <w:tc>
          <w:tcPr>
            <w:tcW w:w="1362" w:type="dxa"/>
            <w:shd w:val="clear" w:color="000000" w:fill="FFFFFF"/>
            <w:hideMark/>
          </w:tcPr>
          <w:p w14:paraId="63B560F5"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CF14 6HF</w:t>
            </w:r>
          </w:p>
        </w:tc>
      </w:tr>
      <w:tr w:rsidR="008B5BB9" w:rsidRPr="007439E3" w14:paraId="0C0E8FA0" w14:textId="77777777" w:rsidTr="00F213D7">
        <w:trPr>
          <w:trHeight w:val="411"/>
        </w:trPr>
        <w:tc>
          <w:tcPr>
            <w:tcW w:w="3276" w:type="dxa"/>
            <w:shd w:val="clear" w:color="000000" w:fill="F2F2F2"/>
            <w:hideMark/>
          </w:tcPr>
          <w:p w14:paraId="2A946C19"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Lloyds Pharmacy Ltd @ Sainsburys Thornhill</w:t>
            </w:r>
          </w:p>
        </w:tc>
        <w:tc>
          <w:tcPr>
            <w:tcW w:w="3240" w:type="dxa"/>
            <w:shd w:val="clear" w:color="000000" w:fill="F2F2F2"/>
            <w:noWrap/>
            <w:hideMark/>
          </w:tcPr>
          <w:p w14:paraId="1B03BB86"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Sainsburys Store Excalibur Drive</w:t>
            </w:r>
          </w:p>
        </w:tc>
        <w:tc>
          <w:tcPr>
            <w:tcW w:w="1559" w:type="dxa"/>
            <w:shd w:val="clear" w:color="000000" w:fill="F2F2F2"/>
            <w:hideMark/>
          </w:tcPr>
          <w:p w14:paraId="793DBF3F"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Thornhill</w:t>
            </w:r>
          </w:p>
        </w:tc>
        <w:tc>
          <w:tcPr>
            <w:tcW w:w="1362" w:type="dxa"/>
            <w:shd w:val="clear" w:color="000000" w:fill="F2F2F2"/>
            <w:hideMark/>
          </w:tcPr>
          <w:p w14:paraId="50DEBD3C"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CF14 9BB</w:t>
            </w:r>
          </w:p>
        </w:tc>
      </w:tr>
      <w:tr w:rsidR="008B5BB9" w:rsidRPr="007439E3" w14:paraId="0EEF0533" w14:textId="77777777" w:rsidTr="00F213D7">
        <w:trPr>
          <w:trHeight w:val="411"/>
        </w:trPr>
        <w:tc>
          <w:tcPr>
            <w:tcW w:w="3276" w:type="dxa"/>
            <w:shd w:val="clear" w:color="000000" w:fill="FFFFFF"/>
            <w:hideMark/>
          </w:tcPr>
          <w:p w14:paraId="25A8A506"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Rajja Ltd T/A M W Phillips</w:t>
            </w:r>
          </w:p>
        </w:tc>
        <w:tc>
          <w:tcPr>
            <w:tcW w:w="3240" w:type="dxa"/>
            <w:shd w:val="clear" w:color="000000" w:fill="FFFFFF"/>
            <w:hideMark/>
          </w:tcPr>
          <w:p w14:paraId="51CF9DFC"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44 Station Road</w:t>
            </w:r>
          </w:p>
        </w:tc>
        <w:tc>
          <w:tcPr>
            <w:tcW w:w="1559" w:type="dxa"/>
            <w:shd w:val="clear" w:color="000000" w:fill="FFFFFF"/>
            <w:hideMark/>
          </w:tcPr>
          <w:p w14:paraId="24ECBF57"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Llanishen</w:t>
            </w:r>
          </w:p>
        </w:tc>
        <w:tc>
          <w:tcPr>
            <w:tcW w:w="1362" w:type="dxa"/>
            <w:shd w:val="clear" w:color="000000" w:fill="FFFFFF"/>
            <w:hideMark/>
          </w:tcPr>
          <w:p w14:paraId="29752A93"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CF14 5LT</w:t>
            </w:r>
          </w:p>
        </w:tc>
      </w:tr>
      <w:tr w:rsidR="008B5BB9" w:rsidRPr="007439E3" w14:paraId="1C08C838" w14:textId="77777777" w:rsidTr="00F213D7">
        <w:trPr>
          <w:trHeight w:val="411"/>
        </w:trPr>
        <w:tc>
          <w:tcPr>
            <w:tcW w:w="3276" w:type="dxa"/>
            <w:shd w:val="clear" w:color="000000" w:fill="F2F2F2"/>
            <w:hideMark/>
          </w:tcPr>
          <w:p w14:paraId="02A7270F"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Well</w:t>
            </w:r>
          </w:p>
        </w:tc>
        <w:tc>
          <w:tcPr>
            <w:tcW w:w="3240" w:type="dxa"/>
            <w:shd w:val="clear" w:color="000000" w:fill="F2F2F2"/>
            <w:hideMark/>
          </w:tcPr>
          <w:p w14:paraId="61922065"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St Davids Medical Centre Pentwyn Drive</w:t>
            </w:r>
          </w:p>
        </w:tc>
        <w:tc>
          <w:tcPr>
            <w:tcW w:w="1559" w:type="dxa"/>
            <w:shd w:val="clear" w:color="000000" w:fill="F2F2F2"/>
            <w:hideMark/>
          </w:tcPr>
          <w:p w14:paraId="3DF1BA81"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Pentwyn</w:t>
            </w:r>
          </w:p>
        </w:tc>
        <w:tc>
          <w:tcPr>
            <w:tcW w:w="1362" w:type="dxa"/>
            <w:shd w:val="clear" w:color="000000" w:fill="F2F2F2"/>
            <w:hideMark/>
          </w:tcPr>
          <w:p w14:paraId="7D8CC259"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CF23 7EY</w:t>
            </w:r>
          </w:p>
        </w:tc>
      </w:tr>
      <w:tr w:rsidR="008B5BB9" w:rsidRPr="007439E3" w14:paraId="6C709D38" w14:textId="77777777" w:rsidTr="00F213D7">
        <w:trPr>
          <w:trHeight w:val="411"/>
        </w:trPr>
        <w:tc>
          <w:tcPr>
            <w:tcW w:w="3276" w:type="dxa"/>
            <w:shd w:val="clear" w:color="000000" w:fill="FFFFFF"/>
            <w:hideMark/>
          </w:tcPr>
          <w:p w14:paraId="17F5D7CD"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Well</w:t>
            </w:r>
          </w:p>
        </w:tc>
        <w:tc>
          <w:tcPr>
            <w:tcW w:w="3240" w:type="dxa"/>
            <w:shd w:val="clear" w:color="000000" w:fill="FFFFFF"/>
            <w:hideMark/>
          </w:tcPr>
          <w:p w14:paraId="4D648393"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119 Heol Llanishen Fach</w:t>
            </w:r>
          </w:p>
        </w:tc>
        <w:tc>
          <w:tcPr>
            <w:tcW w:w="1559" w:type="dxa"/>
            <w:shd w:val="clear" w:color="000000" w:fill="FFFFFF"/>
            <w:hideMark/>
          </w:tcPr>
          <w:p w14:paraId="24188FC5"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Rhiwbina</w:t>
            </w:r>
          </w:p>
        </w:tc>
        <w:tc>
          <w:tcPr>
            <w:tcW w:w="1362" w:type="dxa"/>
            <w:shd w:val="clear" w:color="000000" w:fill="FFFFFF"/>
            <w:hideMark/>
          </w:tcPr>
          <w:p w14:paraId="5D504B96"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CF14 6RE</w:t>
            </w:r>
          </w:p>
        </w:tc>
      </w:tr>
      <w:tr w:rsidR="008B5BB9" w:rsidRPr="007439E3" w14:paraId="01DFE6C2" w14:textId="77777777" w:rsidTr="00F213D7">
        <w:trPr>
          <w:trHeight w:val="411"/>
        </w:trPr>
        <w:tc>
          <w:tcPr>
            <w:tcW w:w="3276" w:type="dxa"/>
            <w:shd w:val="clear" w:color="000000" w:fill="F2F2F2"/>
            <w:hideMark/>
          </w:tcPr>
          <w:p w14:paraId="374C647B"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Pearns Pharmacies Ltd</w:t>
            </w:r>
          </w:p>
        </w:tc>
        <w:tc>
          <w:tcPr>
            <w:tcW w:w="3240" w:type="dxa"/>
            <w:shd w:val="clear" w:color="000000" w:fill="F2F2F2"/>
            <w:hideMark/>
          </w:tcPr>
          <w:p w14:paraId="08B79555"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Wedal Road</w:t>
            </w:r>
          </w:p>
        </w:tc>
        <w:tc>
          <w:tcPr>
            <w:tcW w:w="1559" w:type="dxa"/>
            <w:shd w:val="clear" w:color="000000" w:fill="F2F2F2"/>
            <w:hideMark/>
          </w:tcPr>
          <w:p w14:paraId="05E89EC5"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Heath</w:t>
            </w:r>
          </w:p>
        </w:tc>
        <w:tc>
          <w:tcPr>
            <w:tcW w:w="1362" w:type="dxa"/>
            <w:shd w:val="clear" w:color="000000" w:fill="F2F2F2"/>
            <w:hideMark/>
          </w:tcPr>
          <w:p w14:paraId="481FAA95"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CF14 3QX</w:t>
            </w:r>
          </w:p>
        </w:tc>
      </w:tr>
      <w:tr w:rsidR="008B5BB9" w:rsidRPr="007439E3" w14:paraId="07FD4751" w14:textId="77777777" w:rsidTr="00F213D7">
        <w:trPr>
          <w:trHeight w:val="411"/>
        </w:trPr>
        <w:tc>
          <w:tcPr>
            <w:tcW w:w="3276" w:type="dxa"/>
            <w:shd w:val="clear" w:color="000000" w:fill="FFFFFF"/>
            <w:hideMark/>
          </w:tcPr>
          <w:p w14:paraId="05A43EAD"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Thornes Pharmacy Ltd.</w:t>
            </w:r>
          </w:p>
        </w:tc>
        <w:tc>
          <w:tcPr>
            <w:tcW w:w="3240" w:type="dxa"/>
            <w:shd w:val="clear" w:color="000000" w:fill="FFFFFF"/>
            <w:hideMark/>
          </w:tcPr>
          <w:p w14:paraId="09052E0C"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Pontprennau Pharmacy 32 Kenmare Mews</w:t>
            </w:r>
          </w:p>
        </w:tc>
        <w:tc>
          <w:tcPr>
            <w:tcW w:w="1559" w:type="dxa"/>
            <w:shd w:val="clear" w:color="000000" w:fill="FFFFFF"/>
            <w:hideMark/>
          </w:tcPr>
          <w:p w14:paraId="26C43980"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Pontprennau</w:t>
            </w:r>
          </w:p>
        </w:tc>
        <w:tc>
          <w:tcPr>
            <w:tcW w:w="1362" w:type="dxa"/>
            <w:shd w:val="clear" w:color="000000" w:fill="FFFFFF"/>
            <w:hideMark/>
          </w:tcPr>
          <w:p w14:paraId="50DEA218"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CF23 8RJ</w:t>
            </w:r>
          </w:p>
        </w:tc>
      </w:tr>
      <w:tr w:rsidR="008B5BB9" w:rsidRPr="007439E3" w14:paraId="53508DF1" w14:textId="77777777" w:rsidTr="00F213D7">
        <w:trPr>
          <w:trHeight w:val="411"/>
        </w:trPr>
        <w:tc>
          <w:tcPr>
            <w:tcW w:w="3276" w:type="dxa"/>
            <w:shd w:val="clear" w:color="000000" w:fill="F2F2F2"/>
            <w:hideMark/>
          </w:tcPr>
          <w:p w14:paraId="1AA5A4AD"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National Co-Operative Chemists Ltd T/A The Co-operative Pharmacy</w:t>
            </w:r>
          </w:p>
        </w:tc>
        <w:tc>
          <w:tcPr>
            <w:tcW w:w="3240" w:type="dxa"/>
            <w:shd w:val="clear" w:color="000000" w:fill="F2F2F2"/>
            <w:hideMark/>
          </w:tcPr>
          <w:p w14:paraId="5FAB47CE"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Birchgrove Medical Centre Caerphilly Road</w:t>
            </w:r>
          </w:p>
        </w:tc>
        <w:tc>
          <w:tcPr>
            <w:tcW w:w="1559" w:type="dxa"/>
            <w:shd w:val="clear" w:color="000000" w:fill="F2F2F2"/>
            <w:hideMark/>
          </w:tcPr>
          <w:p w14:paraId="48EE8433"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Birchgrove</w:t>
            </w:r>
          </w:p>
        </w:tc>
        <w:tc>
          <w:tcPr>
            <w:tcW w:w="1362" w:type="dxa"/>
            <w:shd w:val="clear" w:color="000000" w:fill="F2F2F2"/>
            <w:hideMark/>
          </w:tcPr>
          <w:p w14:paraId="0152749E"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CF14 4QF</w:t>
            </w:r>
          </w:p>
        </w:tc>
      </w:tr>
      <w:tr w:rsidR="008B5BB9" w:rsidRPr="007439E3" w14:paraId="01AD0729" w14:textId="77777777" w:rsidTr="00F213D7">
        <w:trPr>
          <w:trHeight w:val="411"/>
        </w:trPr>
        <w:tc>
          <w:tcPr>
            <w:tcW w:w="3276" w:type="dxa"/>
            <w:shd w:val="clear" w:color="000000" w:fill="FFFFFF"/>
            <w:hideMark/>
          </w:tcPr>
          <w:p w14:paraId="54622766"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Clifton Pharmacy T/A Lakeside Pharmacy</w:t>
            </w:r>
          </w:p>
        </w:tc>
        <w:tc>
          <w:tcPr>
            <w:tcW w:w="3240" w:type="dxa"/>
            <w:shd w:val="clear" w:color="000000" w:fill="FFFFFF"/>
            <w:hideMark/>
          </w:tcPr>
          <w:p w14:paraId="548E58FB"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33 Clearwater Way</w:t>
            </w:r>
          </w:p>
        </w:tc>
        <w:tc>
          <w:tcPr>
            <w:tcW w:w="1559" w:type="dxa"/>
            <w:shd w:val="clear" w:color="000000" w:fill="FFFFFF"/>
            <w:hideMark/>
          </w:tcPr>
          <w:p w14:paraId="73F888B8"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Lakeside</w:t>
            </w:r>
          </w:p>
        </w:tc>
        <w:tc>
          <w:tcPr>
            <w:tcW w:w="1362" w:type="dxa"/>
            <w:shd w:val="clear" w:color="000000" w:fill="FFFFFF"/>
            <w:hideMark/>
          </w:tcPr>
          <w:p w14:paraId="20A1FE7F" w14:textId="77777777" w:rsidR="007439E3" w:rsidRPr="00527596" w:rsidRDefault="007439E3" w:rsidP="00DC54F7">
            <w:pPr>
              <w:spacing w:after="0" w:line="240" w:lineRule="auto"/>
              <w:jc w:val="both"/>
              <w:rPr>
                <w:rFonts w:ascii="Arial" w:eastAsia="Times New Roman" w:hAnsi="Arial" w:cs="Arial"/>
                <w:lang w:eastAsia="en-GB"/>
              </w:rPr>
            </w:pPr>
            <w:r w:rsidRPr="00527596">
              <w:rPr>
                <w:rFonts w:ascii="Arial" w:eastAsia="Times New Roman" w:hAnsi="Arial" w:cs="Arial"/>
                <w:lang w:eastAsia="en-GB"/>
              </w:rPr>
              <w:t>CF23 6DL</w:t>
            </w:r>
          </w:p>
        </w:tc>
      </w:tr>
    </w:tbl>
    <w:p w14:paraId="6E12A4CB" w14:textId="77777777" w:rsidR="00F53E3F" w:rsidRPr="006E6035" w:rsidRDefault="00F53E3F" w:rsidP="00DC54F7">
      <w:pPr>
        <w:spacing w:after="0" w:line="240" w:lineRule="auto"/>
        <w:jc w:val="both"/>
        <w:rPr>
          <w:rFonts w:ascii="Arial" w:hAnsi="Arial" w:cs="Arial"/>
          <w:bCs/>
          <w:lang w:val="en-US"/>
        </w:rPr>
      </w:pPr>
    </w:p>
    <w:p w14:paraId="27153965" w14:textId="77777777" w:rsidR="00802543" w:rsidRDefault="00802543" w:rsidP="00DC54F7">
      <w:pPr>
        <w:spacing w:after="0" w:line="240" w:lineRule="auto"/>
        <w:jc w:val="both"/>
        <w:rPr>
          <w:rFonts w:ascii="Arial" w:hAnsi="Arial" w:cs="Arial"/>
          <w:bCs/>
          <w:lang w:val="en-US"/>
        </w:rPr>
      </w:pPr>
    </w:p>
    <w:p w14:paraId="08B20963" w14:textId="56CA6096" w:rsidR="001874B9" w:rsidRPr="00F213D7" w:rsidRDefault="001874B9" w:rsidP="00DC54F7">
      <w:pPr>
        <w:spacing w:after="0" w:line="240" w:lineRule="auto"/>
        <w:jc w:val="both"/>
        <w:rPr>
          <w:rFonts w:ascii="Arial" w:hAnsi="Arial" w:cs="Arial"/>
          <w:sz w:val="24"/>
          <w:szCs w:val="24"/>
        </w:rPr>
      </w:pPr>
      <w:r w:rsidRPr="00F213D7">
        <w:rPr>
          <w:rFonts w:ascii="Arial" w:hAnsi="Arial" w:cs="Arial"/>
          <w:sz w:val="24"/>
          <w:szCs w:val="24"/>
        </w:rPr>
        <w:t xml:space="preserve">In 2019 to 2020, </w:t>
      </w:r>
      <w:r w:rsidR="006A7A78" w:rsidRPr="00F213D7">
        <w:rPr>
          <w:rFonts w:ascii="Arial" w:hAnsi="Arial" w:cs="Arial"/>
          <w:sz w:val="24"/>
          <w:szCs w:val="24"/>
        </w:rPr>
        <w:t>82</w:t>
      </w:r>
      <w:r w:rsidRPr="00F213D7">
        <w:rPr>
          <w:rFonts w:ascii="Arial" w:hAnsi="Arial" w:cs="Arial"/>
          <w:sz w:val="24"/>
          <w:szCs w:val="24"/>
        </w:rPr>
        <w:t>.</w:t>
      </w:r>
      <w:r w:rsidR="006A7A78" w:rsidRPr="00F213D7">
        <w:rPr>
          <w:rFonts w:ascii="Arial" w:hAnsi="Arial" w:cs="Arial"/>
          <w:sz w:val="24"/>
          <w:szCs w:val="24"/>
        </w:rPr>
        <w:t>1</w:t>
      </w:r>
      <w:r w:rsidRPr="00F213D7">
        <w:rPr>
          <w:rFonts w:ascii="Arial" w:hAnsi="Arial" w:cs="Arial"/>
          <w:sz w:val="24"/>
          <w:szCs w:val="24"/>
        </w:rPr>
        <w:t xml:space="preserve">% of items on prescriptions written by the </w:t>
      </w:r>
      <w:r w:rsidR="000B4041" w:rsidRPr="00F213D7">
        <w:rPr>
          <w:rFonts w:ascii="Arial" w:hAnsi="Arial" w:cs="Arial"/>
          <w:sz w:val="24"/>
          <w:szCs w:val="24"/>
        </w:rPr>
        <w:t>10</w:t>
      </w:r>
      <w:r w:rsidRPr="00F213D7">
        <w:rPr>
          <w:rFonts w:ascii="Arial" w:hAnsi="Arial" w:cs="Arial"/>
          <w:sz w:val="24"/>
          <w:szCs w:val="24"/>
        </w:rPr>
        <w:t xml:space="preserve"> GP practices in Cardiff </w:t>
      </w:r>
      <w:r w:rsidR="00012638">
        <w:rPr>
          <w:rFonts w:ascii="Arial" w:hAnsi="Arial" w:cs="Arial"/>
          <w:sz w:val="24"/>
          <w:szCs w:val="24"/>
        </w:rPr>
        <w:t>North</w:t>
      </w:r>
      <w:r w:rsidRPr="00F213D7">
        <w:rPr>
          <w:rFonts w:ascii="Arial" w:hAnsi="Arial" w:cs="Arial"/>
          <w:sz w:val="24"/>
          <w:szCs w:val="24"/>
        </w:rPr>
        <w:t xml:space="preserve"> cluster were dispensed by one of the pharmacies within the cluster and </w:t>
      </w:r>
      <w:r w:rsidR="006A7A78" w:rsidRPr="00F213D7">
        <w:rPr>
          <w:rFonts w:ascii="Arial" w:hAnsi="Arial" w:cs="Arial"/>
          <w:sz w:val="24"/>
          <w:szCs w:val="24"/>
        </w:rPr>
        <w:t>2</w:t>
      </w:r>
      <w:r w:rsidRPr="00F213D7">
        <w:rPr>
          <w:rFonts w:ascii="Arial" w:hAnsi="Arial" w:cs="Arial"/>
          <w:sz w:val="24"/>
          <w:szCs w:val="24"/>
        </w:rPr>
        <w:t>.</w:t>
      </w:r>
      <w:r w:rsidR="006A7A78" w:rsidRPr="00F213D7">
        <w:rPr>
          <w:rFonts w:ascii="Arial" w:hAnsi="Arial" w:cs="Arial"/>
          <w:sz w:val="24"/>
          <w:szCs w:val="24"/>
        </w:rPr>
        <w:t>1</w:t>
      </w:r>
      <w:r w:rsidRPr="00F213D7">
        <w:rPr>
          <w:rFonts w:ascii="Arial" w:hAnsi="Arial" w:cs="Arial"/>
          <w:sz w:val="24"/>
          <w:szCs w:val="24"/>
        </w:rPr>
        <w:t xml:space="preserve">% were personally administered items. </w:t>
      </w:r>
    </w:p>
    <w:p w14:paraId="6993B608" w14:textId="2D1F7C90" w:rsidR="00022F14" w:rsidRPr="00F213D7" w:rsidRDefault="00022F14" w:rsidP="00DC54F7">
      <w:pPr>
        <w:spacing w:after="0"/>
        <w:jc w:val="both"/>
        <w:rPr>
          <w:rFonts w:ascii="Arial" w:hAnsi="Arial" w:cs="Arial"/>
          <w:sz w:val="24"/>
          <w:szCs w:val="24"/>
        </w:rPr>
      </w:pPr>
      <w:r w:rsidRPr="00F213D7">
        <w:rPr>
          <w:rFonts w:ascii="Arial" w:hAnsi="Arial" w:cs="Arial"/>
          <w:sz w:val="24"/>
          <w:szCs w:val="24"/>
        </w:rPr>
        <w:lastRenderedPageBreak/>
        <w:t xml:space="preserve">There are </w:t>
      </w:r>
      <w:r w:rsidR="00CF2FC9" w:rsidRPr="00F213D7">
        <w:rPr>
          <w:rFonts w:ascii="Arial" w:hAnsi="Arial" w:cs="Arial"/>
          <w:sz w:val="24"/>
          <w:szCs w:val="24"/>
        </w:rPr>
        <w:t>a</w:t>
      </w:r>
      <w:r w:rsidR="006E1A81" w:rsidRPr="00F213D7">
        <w:rPr>
          <w:rFonts w:ascii="Arial" w:hAnsi="Arial" w:cs="Arial"/>
          <w:sz w:val="24"/>
          <w:szCs w:val="24"/>
        </w:rPr>
        <w:t xml:space="preserve">lso </w:t>
      </w:r>
      <w:r w:rsidRPr="00F213D7">
        <w:rPr>
          <w:rFonts w:ascii="Arial" w:hAnsi="Arial" w:cs="Arial"/>
          <w:sz w:val="24"/>
          <w:szCs w:val="24"/>
        </w:rPr>
        <w:t>two appliance contr</w:t>
      </w:r>
      <w:r w:rsidR="0000059C" w:rsidRPr="00F213D7">
        <w:rPr>
          <w:rFonts w:ascii="Arial" w:hAnsi="Arial" w:cs="Arial"/>
          <w:sz w:val="24"/>
          <w:szCs w:val="24"/>
        </w:rPr>
        <w:t>actors based within the cluster area.</w:t>
      </w:r>
    </w:p>
    <w:p w14:paraId="673B12A2" w14:textId="45976077" w:rsidR="00802543" w:rsidRPr="00F213D7" w:rsidRDefault="00802543" w:rsidP="00DC54F7">
      <w:pPr>
        <w:spacing w:after="0" w:line="240" w:lineRule="auto"/>
        <w:jc w:val="both"/>
        <w:rPr>
          <w:rFonts w:ascii="Arial" w:hAnsi="Arial" w:cs="Arial"/>
          <w:b/>
          <w:sz w:val="24"/>
          <w:szCs w:val="24"/>
          <w:lang w:val="en-US"/>
        </w:rPr>
      </w:pPr>
    </w:p>
    <w:p w14:paraId="5F918B85" w14:textId="07F6D39A" w:rsidR="00802543" w:rsidRPr="00F213D7" w:rsidRDefault="00802543" w:rsidP="00DC54F7">
      <w:pPr>
        <w:spacing w:after="0" w:line="240" w:lineRule="auto"/>
        <w:jc w:val="both"/>
        <w:rPr>
          <w:rFonts w:ascii="Arial" w:hAnsi="Arial" w:cs="Arial"/>
          <w:bCs/>
          <w:sz w:val="24"/>
          <w:szCs w:val="24"/>
          <w:lang w:val="en-US"/>
        </w:rPr>
      </w:pPr>
      <w:r w:rsidRPr="00F213D7">
        <w:rPr>
          <w:rFonts w:ascii="Arial" w:hAnsi="Arial" w:cs="Arial"/>
          <w:bCs/>
          <w:sz w:val="24"/>
          <w:szCs w:val="24"/>
          <w:lang w:val="en-US"/>
        </w:rPr>
        <w:t xml:space="preserve">The pharmacies are located in </w:t>
      </w:r>
      <w:r w:rsidR="006E1A81" w:rsidRPr="00F213D7">
        <w:rPr>
          <w:rFonts w:ascii="Arial" w:hAnsi="Arial" w:cs="Arial"/>
          <w:bCs/>
          <w:sz w:val="24"/>
          <w:szCs w:val="24"/>
          <w:lang w:val="en-US"/>
        </w:rPr>
        <w:t xml:space="preserve">or near </w:t>
      </w:r>
      <w:r w:rsidRPr="00F213D7">
        <w:rPr>
          <w:rFonts w:ascii="Arial" w:hAnsi="Arial" w:cs="Arial"/>
          <w:bCs/>
          <w:sz w:val="24"/>
          <w:szCs w:val="24"/>
          <w:lang w:val="en-US"/>
        </w:rPr>
        <w:t xml:space="preserve">areas of greater population density as shown by the darker shaded areas in the map below. </w:t>
      </w:r>
    </w:p>
    <w:p w14:paraId="42FEE8C8" w14:textId="48350C1C" w:rsidR="00853487" w:rsidRDefault="00853487" w:rsidP="00DC54F7">
      <w:pPr>
        <w:spacing w:after="0" w:line="240" w:lineRule="auto"/>
        <w:jc w:val="both"/>
        <w:rPr>
          <w:rFonts w:ascii="Arial" w:hAnsi="Arial" w:cs="Arial"/>
          <w:b/>
          <w:sz w:val="24"/>
          <w:szCs w:val="24"/>
          <w:lang w:val="en-US"/>
        </w:rPr>
      </w:pPr>
    </w:p>
    <w:p w14:paraId="361E64A4" w14:textId="01CFAFA7" w:rsidR="00853487" w:rsidRPr="00F213D7" w:rsidRDefault="00853487" w:rsidP="00DC54F7">
      <w:pPr>
        <w:spacing w:after="0" w:line="240" w:lineRule="auto"/>
        <w:jc w:val="both"/>
        <w:rPr>
          <w:rFonts w:ascii="Arial" w:hAnsi="Arial" w:cs="Arial"/>
          <w:b/>
          <w:sz w:val="24"/>
          <w:szCs w:val="24"/>
          <w:lang w:val="en-US"/>
        </w:rPr>
      </w:pPr>
      <w:bookmarkStart w:id="44" w:name="_Hlk70161978"/>
      <w:r w:rsidRPr="00264698">
        <w:rPr>
          <w:rFonts w:ascii="Arial" w:hAnsi="Arial" w:cs="Arial"/>
          <w:b/>
          <w:sz w:val="24"/>
          <w:szCs w:val="24"/>
          <w:lang w:val="en-US"/>
        </w:rPr>
        <w:t xml:space="preserve">Map </w:t>
      </w:r>
      <w:r>
        <w:rPr>
          <w:rFonts w:ascii="Arial" w:hAnsi="Arial" w:cs="Arial"/>
          <w:b/>
          <w:sz w:val="24"/>
          <w:szCs w:val="24"/>
          <w:lang w:val="en-US"/>
        </w:rPr>
        <w:t>11</w:t>
      </w:r>
      <w:r w:rsidRPr="00264698">
        <w:rPr>
          <w:rFonts w:ascii="Arial" w:hAnsi="Arial" w:cs="Arial"/>
          <w:b/>
          <w:sz w:val="24"/>
          <w:szCs w:val="24"/>
          <w:lang w:val="en-US"/>
        </w:rPr>
        <w:t>.</w:t>
      </w:r>
      <w:r>
        <w:rPr>
          <w:rFonts w:ascii="Arial" w:hAnsi="Arial" w:cs="Arial"/>
          <w:b/>
          <w:sz w:val="24"/>
          <w:szCs w:val="24"/>
          <w:lang w:val="en-US"/>
        </w:rPr>
        <w:t>2</w:t>
      </w:r>
      <w:r w:rsidRPr="00264698">
        <w:rPr>
          <w:rFonts w:ascii="Arial" w:hAnsi="Arial" w:cs="Arial"/>
          <w:b/>
          <w:sz w:val="24"/>
          <w:szCs w:val="24"/>
          <w:lang w:val="en-US"/>
        </w:rPr>
        <w:t xml:space="preserve">: Location of pharmacy </w:t>
      </w:r>
      <w:r>
        <w:rPr>
          <w:rFonts w:ascii="Arial" w:hAnsi="Arial" w:cs="Arial"/>
          <w:b/>
          <w:sz w:val="24"/>
          <w:szCs w:val="24"/>
          <w:lang w:val="en-US"/>
        </w:rPr>
        <w:t xml:space="preserve">and appliance contractor </w:t>
      </w:r>
      <w:r w:rsidRPr="00264698">
        <w:rPr>
          <w:rFonts w:ascii="Arial" w:hAnsi="Arial" w:cs="Arial"/>
          <w:b/>
          <w:sz w:val="24"/>
          <w:szCs w:val="24"/>
          <w:lang w:val="en-US"/>
        </w:rPr>
        <w:t>premise</w:t>
      </w:r>
      <w:r>
        <w:rPr>
          <w:rFonts w:ascii="Arial" w:hAnsi="Arial" w:cs="Arial"/>
          <w:b/>
          <w:sz w:val="24"/>
          <w:szCs w:val="24"/>
          <w:lang w:val="en-US"/>
        </w:rPr>
        <w:t xml:space="preserve">s </w:t>
      </w:r>
      <w:r w:rsidRPr="00264698">
        <w:rPr>
          <w:rFonts w:ascii="Arial" w:hAnsi="Arial" w:cs="Arial"/>
          <w:b/>
          <w:sz w:val="24"/>
          <w:szCs w:val="24"/>
          <w:lang w:val="en-US"/>
        </w:rPr>
        <w:t>compared to population density</w:t>
      </w:r>
      <w:bookmarkEnd w:id="44"/>
    </w:p>
    <w:p w14:paraId="7E65318E" w14:textId="2F9BFEB1" w:rsidR="00802543" w:rsidRPr="006E6035" w:rsidRDefault="00431FF8" w:rsidP="00DC54F7">
      <w:pPr>
        <w:spacing w:after="0" w:line="240" w:lineRule="auto"/>
        <w:jc w:val="both"/>
        <w:rPr>
          <w:rFonts w:ascii="Arial" w:hAnsi="Arial" w:cs="Arial"/>
          <w:b/>
          <w:lang w:val="en-US"/>
        </w:rPr>
      </w:pPr>
      <w:r>
        <w:rPr>
          <w:noProof/>
          <w:lang w:eastAsia="en-GB"/>
        </w:rPr>
        <w:drawing>
          <wp:inline distT="0" distB="0" distL="0" distR="0" wp14:anchorId="70B8096E" wp14:editId="3FF95999">
            <wp:extent cx="5731510" cy="4064000"/>
            <wp:effectExtent l="0" t="0" r="2540" b="0"/>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731510" cy="4064000"/>
                    </a:xfrm>
                    <a:prstGeom prst="rect">
                      <a:avLst/>
                    </a:prstGeom>
                    <a:noFill/>
                    <a:ln>
                      <a:noFill/>
                    </a:ln>
                  </pic:spPr>
                </pic:pic>
              </a:graphicData>
            </a:graphic>
          </wp:inline>
        </w:drawing>
      </w:r>
    </w:p>
    <w:p w14:paraId="3D5EBD05" w14:textId="77777777" w:rsidR="004E1A66" w:rsidRDefault="004E1A66" w:rsidP="00DC54F7">
      <w:pPr>
        <w:spacing w:after="0" w:line="240" w:lineRule="auto"/>
        <w:contextualSpacing/>
        <w:jc w:val="both"/>
        <w:rPr>
          <w:rFonts w:ascii="Arial" w:hAnsi="Arial" w:cs="Arial"/>
        </w:rPr>
      </w:pPr>
    </w:p>
    <w:p w14:paraId="0B2B01E9" w14:textId="28712A62" w:rsidR="00802543" w:rsidRPr="004E1A66" w:rsidRDefault="00802543" w:rsidP="00DC54F7">
      <w:pPr>
        <w:spacing w:after="0" w:line="240" w:lineRule="auto"/>
        <w:contextualSpacing/>
        <w:jc w:val="both"/>
        <w:rPr>
          <w:rFonts w:ascii="Arial" w:hAnsi="Arial" w:cs="Arial"/>
          <w:sz w:val="24"/>
          <w:szCs w:val="24"/>
        </w:rPr>
      </w:pPr>
      <w:r w:rsidRPr="004E1A66">
        <w:rPr>
          <w:rFonts w:ascii="Arial" w:hAnsi="Arial" w:cs="Arial"/>
          <w:sz w:val="24"/>
          <w:szCs w:val="24"/>
        </w:rPr>
        <w:t xml:space="preserve">All residents of the cluster can access one of the pharmacies by car within </w:t>
      </w:r>
      <w:r w:rsidR="002D06AF" w:rsidRPr="004E1A66">
        <w:rPr>
          <w:rFonts w:ascii="Arial" w:hAnsi="Arial" w:cs="Arial"/>
          <w:sz w:val="24"/>
          <w:szCs w:val="24"/>
        </w:rPr>
        <w:t>1</w:t>
      </w:r>
      <w:r w:rsidRPr="004E1A66">
        <w:rPr>
          <w:rFonts w:ascii="Arial" w:hAnsi="Arial" w:cs="Arial"/>
          <w:sz w:val="24"/>
          <w:szCs w:val="24"/>
        </w:rPr>
        <w:t>0 minutes. The majority can access a pharmacy within</w:t>
      </w:r>
      <w:r w:rsidR="002D06AF" w:rsidRPr="004E1A66">
        <w:rPr>
          <w:rFonts w:ascii="Arial" w:hAnsi="Arial" w:cs="Arial"/>
          <w:sz w:val="24"/>
          <w:szCs w:val="24"/>
        </w:rPr>
        <w:t xml:space="preserve"> five</w:t>
      </w:r>
      <w:r w:rsidRPr="004E1A66">
        <w:rPr>
          <w:rFonts w:ascii="Arial" w:hAnsi="Arial" w:cs="Arial"/>
          <w:sz w:val="24"/>
          <w:szCs w:val="24"/>
        </w:rPr>
        <w:t xml:space="preserve"> minutes, as shown in map </w:t>
      </w:r>
      <w:r w:rsidR="00431FF8" w:rsidRPr="004E1A66">
        <w:rPr>
          <w:rFonts w:ascii="Arial" w:hAnsi="Arial" w:cs="Arial"/>
          <w:sz w:val="24"/>
          <w:szCs w:val="24"/>
        </w:rPr>
        <w:t>11</w:t>
      </w:r>
      <w:r w:rsidRPr="004E1A66">
        <w:rPr>
          <w:rFonts w:ascii="Arial" w:hAnsi="Arial" w:cs="Arial"/>
          <w:sz w:val="24"/>
          <w:szCs w:val="24"/>
        </w:rPr>
        <w:t>.</w:t>
      </w:r>
      <w:r w:rsidR="004E1A66">
        <w:rPr>
          <w:rFonts w:ascii="Arial" w:hAnsi="Arial" w:cs="Arial"/>
          <w:sz w:val="24"/>
          <w:szCs w:val="24"/>
        </w:rPr>
        <w:t>3</w:t>
      </w:r>
      <w:r w:rsidRPr="004E1A66">
        <w:rPr>
          <w:rFonts w:ascii="Arial" w:hAnsi="Arial" w:cs="Arial"/>
          <w:sz w:val="24"/>
          <w:szCs w:val="24"/>
        </w:rPr>
        <w:t>.</w:t>
      </w:r>
    </w:p>
    <w:p w14:paraId="0BF4FBB9" w14:textId="77777777" w:rsidR="00802543" w:rsidRPr="004E1A66" w:rsidRDefault="00802543" w:rsidP="00DC54F7">
      <w:pPr>
        <w:spacing w:after="0" w:line="240" w:lineRule="auto"/>
        <w:contextualSpacing/>
        <w:jc w:val="both"/>
        <w:rPr>
          <w:rFonts w:ascii="Arial" w:hAnsi="Arial" w:cs="Arial"/>
          <w:sz w:val="24"/>
          <w:szCs w:val="24"/>
          <w:highlight w:val="yellow"/>
        </w:rPr>
      </w:pPr>
    </w:p>
    <w:p w14:paraId="3C34F3DA" w14:textId="77777777" w:rsidR="00F668E2" w:rsidRDefault="00F668E2" w:rsidP="00DC54F7">
      <w:pPr>
        <w:spacing w:after="0" w:line="240" w:lineRule="auto"/>
        <w:contextualSpacing/>
        <w:jc w:val="both"/>
        <w:rPr>
          <w:rFonts w:ascii="Arial" w:hAnsi="Arial" w:cs="Arial"/>
          <w:b/>
          <w:bCs/>
          <w:sz w:val="24"/>
          <w:szCs w:val="24"/>
        </w:rPr>
      </w:pPr>
    </w:p>
    <w:p w14:paraId="63F961D7" w14:textId="77777777" w:rsidR="00F668E2" w:rsidRDefault="00F668E2" w:rsidP="00DC54F7">
      <w:pPr>
        <w:spacing w:after="0" w:line="240" w:lineRule="auto"/>
        <w:contextualSpacing/>
        <w:jc w:val="both"/>
        <w:rPr>
          <w:rFonts w:ascii="Arial" w:hAnsi="Arial" w:cs="Arial"/>
          <w:b/>
          <w:bCs/>
          <w:sz w:val="24"/>
          <w:szCs w:val="24"/>
        </w:rPr>
      </w:pPr>
    </w:p>
    <w:p w14:paraId="2769159A" w14:textId="77777777" w:rsidR="00F668E2" w:rsidRDefault="00F668E2" w:rsidP="00DC54F7">
      <w:pPr>
        <w:spacing w:after="0" w:line="240" w:lineRule="auto"/>
        <w:contextualSpacing/>
        <w:jc w:val="both"/>
        <w:rPr>
          <w:rFonts w:ascii="Arial" w:hAnsi="Arial" w:cs="Arial"/>
          <w:b/>
          <w:bCs/>
          <w:sz w:val="24"/>
          <w:szCs w:val="24"/>
        </w:rPr>
      </w:pPr>
    </w:p>
    <w:p w14:paraId="7BD618CB" w14:textId="77777777" w:rsidR="00F668E2" w:rsidRDefault="00F668E2" w:rsidP="00DC54F7">
      <w:pPr>
        <w:spacing w:after="0" w:line="240" w:lineRule="auto"/>
        <w:contextualSpacing/>
        <w:jc w:val="both"/>
        <w:rPr>
          <w:rFonts w:ascii="Arial" w:hAnsi="Arial" w:cs="Arial"/>
          <w:b/>
          <w:bCs/>
          <w:sz w:val="24"/>
          <w:szCs w:val="24"/>
        </w:rPr>
      </w:pPr>
    </w:p>
    <w:p w14:paraId="1ED23137" w14:textId="77777777" w:rsidR="00F668E2" w:rsidRDefault="00F668E2" w:rsidP="00DC54F7">
      <w:pPr>
        <w:spacing w:after="0" w:line="240" w:lineRule="auto"/>
        <w:contextualSpacing/>
        <w:jc w:val="both"/>
        <w:rPr>
          <w:rFonts w:ascii="Arial" w:hAnsi="Arial" w:cs="Arial"/>
          <w:b/>
          <w:bCs/>
          <w:sz w:val="24"/>
          <w:szCs w:val="24"/>
        </w:rPr>
      </w:pPr>
    </w:p>
    <w:p w14:paraId="01899414" w14:textId="77777777" w:rsidR="00F668E2" w:rsidRDefault="00F668E2" w:rsidP="00DC54F7">
      <w:pPr>
        <w:spacing w:after="0" w:line="240" w:lineRule="auto"/>
        <w:contextualSpacing/>
        <w:jc w:val="both"/>
        <w:rPr>
          <w:rFonts w:ascii="Arial" w:hAnsi="Arial" w:cs="Arial"/>
          <w:b/>
          <w:bCs/>
          <w:sz w:val="24"/>
          <w:szCs w:val="24"/>
        </w:rPr>
      </w:pPr>
    </w:p>
    <w:p w14:paraId="79A03C86" w14:textId="77777777" w:rsidR="00F668E2" w:rsidRDefault="00F668E2" w:rsidP="00DC54F7">
      <w:pPr>
        <w:spacing w:after="0" w:line="240" w:lineRule="auto"/>
        <w:contextualSpacing/>
        <w:jc w:val="both"/>
        <w:rPr>
          <w:rFonts w:ascii="Arial" w:hAnsi="Arial" w:cs="Arial"/>
          <w:b/>
          <w:bCs/>
          <w:sz w:val="24"/>
          <w:szCs w:val="24"/>
        </w:rPr>
      </w:pPr>
    </w:p>
    <w:p w14:paraId="6EEB5872" w14:textId="77777777" w:rsidR="00F668E2" w:rsidRDefault="00F668E2" w:rsidP="00DC54F7">
      <w:pPr>
        <w:spacing w:after="0" w:line="240" w:lineRule="auto"/>
        <w:contextualSpacing/>
        <w:jc w:val="both"/>
        <w:rPr>
          <w:rFonts w:ascii="Arial" w:hAnsi="Arial" w:cs="Arial"/>
          <w:b/>
          <w:bCs/>
          <w:sz w:val="24"/>
          <w:szCs w:val="24"/>
        </w:rPr>
      </w:pPr>
    </w:p>
    <w:p w14:paraId="6B6BD2A8" w14:textId="77777777" w:rsidR="00F668E2" w:rsidRDefault="00F668E2" w:rsidP="00DC54F7">
      <w:pPr>
        <w:spacing w:after="0" w:line="240" w:lineRule="auto"/>
        <w:contextualSpacing/>
        <w:jc w:val="both"/>
        <w:rPr>
          <w:rFonts w:ascii="Arial" w:hAnsi="Arial" w:cs="Arial"/>
          <w:b/>
          <w:bCs/>
          <w:sz w:val="24"/>
          <w:szCs w:val="24"/>
        </w:rPr>
      </w:pPr>
    </w:p>
    <w:p w14:paraId="6CDD6B61" w14:textId="641080B0" w:rsidR="005C6BB3" w:rsidRDefault="005C6BB3">
      <w:pPr>
        <w:rPr>
          <w:rFonts w:ascii="Arial" w:hAnsi="Arial" w:cs="Arial"/>
          <w:b/>
          <w:bCs/>
          <w:sz w:val="24"/>
          <w:szCs w:val="24"/>
        </w:rPr>
      </w:pPr>
      <w:r>
        <w:rPr>
          <w:rFonts w:ascii="Arial" w:hAnsi="Arial" w:cs="Arial"/>
          <w:b/>
          <w:bCs/>
          <w:sz w:val="24"/>
          <w:szCs w:val="24"/>
        </w:rPr>
        <w:br w:type="page"/>
      </w:r>
    </w:p>
    <w:p w14:paraId="5069A4E6" w14:textId="3CE415FD" w:rsidR="00802543" w:rsidRPr="004E1A66" w:rsidRDefault="00802543" w:rsidP="00DC54F7">
      <w:pPr>
        <w:spacing w:after="0" w:line="240" w:lineRule="auto"/>
        <w:contextualSpacing/>
        <w:jc w:val="both"/>
        <w:rPr>
          <w:rFonts w:ascii="Arial" w:hAnsi="Arial" w:cs="Arial"/>
          <w:b/>
          <w:bCs/>
          <w:sz w:val="24"/>
          <w:szCs w:val="24"/>
        </w:rPr>
      </w:pPr>
      <w:r w:rsidRPr="004E1A66">
        <w:rPr>
          <w:rFonts w:ascii="Arial" w:hAnsi="Arial" w:cs="Arial"/>
          <w:b/>
          <w:bCs/>
          <w:sz w:val="24"/>
          <w:szCs w:val="24"/>
        </w:rPr>
        <w:lastRenderedPageBreak/>
        <w:t xml:space="preserve">Map </w:t>
      </w:r>
      <w:r w:rsidR="00431FF8" w:rsidRPr="004E1A66">
        <w:rPr>
          <w:rFonts w:ascii="Arial" w:hAnsi="Arial" w:cs="Arial"/>
          <w:b/>
          <w:bCs/>
          <w:sz w:val="24"/>
          <w:szCs w:val="24"/>
        </w:rPr>
        <w:t>11</w:t>
      </w:r>
      <w:r w:rsidRPr="004E1A66">
        <w:rPr>
          <w:rFonts w:ascii="Arial" w:hAnsi="Arial" w:cs="Arial"/>
          <w:b/>
          <w:bCs/>
          <w:sz w:val="24"/>
          <w:szCs w:val="24"/>
        </w:rPr>
        <w:t>.</w:t>
      </w:r>
      <w:r w:rsidR="004E1A66">
        <w:rPr>
          <w:rFonts w:ascii="Arial" w:hAnsi="Arial" w:cs="Arial"/>
          <w:b/>
          <w:bCs/>
          <w:sz w:val="24"/>
          <w:szCs w:val="24"/>
        </w:rPr>
        <w:t>3</w:t>
      </w:r>
      <w:r w:rsidRPr="004E1A66">
        <w:rPr>
          <w:rFonts w:ascii="Arial" w:hAnsi="Arial" w:cs="Arial"/>
          <w:b/>
          <w:bCs/>
          <w:sz w:val="24"/>
          <w:szCs w:val="24"/>
        </w:rPr>
        <w:t>: Access to pharmacies</w:t>
      </w:r>
      <w:r w:rsidR="002D06AF" w:rsidRPr="004E1A66">
        <w:rPr>
          <w:rFonts w:ascii="Arial" w:hAnsi="Arial" w:cs="Arial"/>
          <w:b/>
          <w:bCs/>
          <w:sz w:val="24"/>
          <w:szCs w:val="24"/>
        </w:rPr>
        <w:t xml:space="preserve"> and appliance contractors</w:t>
      </w:r>
      <w:r w:rsidRPr="004E1A66">
        <w:rPr>
          <w:rFonts w:ascii="Arial" w:hAnsi="Arial" w:cs="Arial"/>
          <w:b/>
          <w:bCs/>
          <w:sz w:val="24"/>
          <w:szCs w:val="24"/>
        </w:rPr>
        <w:t xml:space="preserve"> in the cluster</w:t>
      </w:r>
    </w:p>
    <w:p w14:paraId="7FE7EA56" w14:textId="73FE7A9E" w:rsidR="00802543" w:rsidRPr="006E6035" w:rsidRDefault="001240AE" w:rsidP="00DC54F7">
      <w:pPr>
        <w:spacing w:after="0" w:line="240" w:lineRule="auto"/>
        <w:contextualSpacing/>
        <w:jc w:val="both"/>
        <w:rPr>
          <w:rFonts w:ascii="Arial" w:hAnsi="Arial" w:cs="Arial"/>
          <w:highlight w:val="yellow"/>
        </w:rPr>
      </w:pPr>
      <w:r>
        <w:rPr>
          <w:noProof/>
          <w:lang w:eastAsia="en-GB"/>
        </w:rPr>
        <w:drawing>
          <wp:inline distT="0" distB="0" distL="0" distR="0" wp14:anchorId="04E1485F" wp14:editId="170AFE19">
            <wp:extent cx="5727065" cy="3684760"/>
            <wp:effectExtent l="0" t="0" r="6985" b="0"/>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823431" cy="3746761"/>
                    </a:xfrm>
                    <a:prstGeom prst="rect">
                      <a:avLst/>
                    </a:prstGeom>
                    <a:noFill/>
                    <a:ln>
                      <a:noFill/>
                    </a:ln>
                  </pic:spPr>
                </pic:pic>
              </a:graphicData>
            </a:graphic>
          </wp:inline>
        </w:drawing>
      </w:r>
    </w:p>
    <w:p w14:paraId="7F15DCD3" w14:textId="77777777" w:rsidR="00802543" w:rsidRPr="006E6035" w:rsidRDefault="00802543" w:rsidP="00DC54F7">
      <w:pPr>
        <w:spacing w:after="0" w:line="240" w:lineRule="auto"/>
        <w:contextualSpacing/>
        <w:jc w:val="both"/>
        <w:rPr>
          <w:rFonts w:ascii="Arial" w:hAnsi="Arial" w:cs="Arial"/>
          <w:highlight w:val="yellow"/>
        </w:rPr>
      </w:pPr>
    </w:p>
    <w:p w14:paraId="28D74C08" w14:textId="77777777" w:rsidR="00802543" w:rsidRPr="00F668E2" w:rsidRDefault="00802543" w:rsidP="00DC54F7">
      <w:pPr>
        <w:spacing w:after="0" w:line="240" w:lineRule="auto"/>
        <w:contextualSpacing/>
        <w:jc w:val="both"/>
        <w:rPr>
          <w:rFonts w:ascii="Arial" w:hAnsi="Arial" w:cs="Arial"/>
          <w:sz w:val="24"/>
          <w:szCs w:val="24"/>
        </w:rPr>
      </w:pPr>
      <w:r w:rsidRPr="00F668E2">
        <w:rPr>
          <w:rFonts w:ascii="Arial" w:hAnsi="Arial" w:cs="Arial"/>
          <w:sz w:val="24"/>
          <w:szCs w:val="24"/>
        </w:rPr>
        <w:t>Looking at the opening hours for the pharmacies:</w:t>
      </w:r>
    </w:p>
    <w:p w14:paraId="668C9F61" w14:textId="77777777" w:rsidR="00802543" w:rsidRPr="00F668E2" w:rsidRDefault="00802543" w:rsidP="00DC54F7">
      <w:pPr>
        <w:spacing w:after="0" w:line="240" w:lineRule="auto"/>
        <w:contextualSpacing/>
        <w:jc w:val="both"/>
        <w:rPr>
          <w:rFonts w:ascii="Arial" w:hAnsi="Arial" w:cs="Arial"/>
          <w:sz w:val="24"/>
          <w:szCs w:val="24"/>
        </w:rPr>
      </w:pPr>
    </w:p>
    <w:p w14:paraId="09DFE9C3" w14:textId="77777777" w:rsidR="00BB1373" w:rsidRPr="00F668E2" w:rsidRDefault="00BB1373" w:rsidP="00DC54F7">
      <w:pPr>
        <w:pStyle w:val="ListParagraph"/>
        <w:numPr>
          <w:ilvl w:val="0"/>
          <w:numId w:val="141"/>
        </w:numPr>
        <w:spacing w:after="0" w:line="240" w:lineRule="auto"/>
        <w:jc w:val="both"/>
        <w:rPr>
          <w:rFonts w:ascii="Arial" w:hAnsi="Arial" w:cs="Arial"/>
          <w:sz w:val="24"/>
          <w:szCs w:val="24"/>
        </w:rPr>
      </w:pPr>
      <w:r w:rsidRPr="00F668E2">
        <w:rPr>
          <w:rFonts w:ascii="Arial" w:hAnsi="Arial" w:cs="Arial"/>
          <w:sz w:val="24"/>
          <w:szCs w:val="24"/>
        </w:rPr>
        <w:t>Three pharmacies are open seven days a week</w:t>
      </w:r>
    </w:p>
    <w:p w14:paraId="6E17A58C" w14:textId="77777777" w:rsidR="00BB1373" w:rsidRPr="00F668E2" w:rsidRDefault="00BB1373" w:rsidP="00DC54F7">
      <w:pPr>
        <w:pStyle w:val="ListParagraph"/>
        <w:numPr>
          <w:ilvl w:val="0"/>
          <w:numId w:val="141"/>
        </w:numPr>
        <w:spacing w:after="0" w:line="240" w:lineRule="auto"/>
        <w:jc w:val="both"/>
        <w:rPr>
          <w:rFonts w:ascii="Arial" w:hAnsi="Arial" w:cs="Arial"/>
          <w:sz w:val="24"/>
          <w:szCs w:val="24"/>
        </w:rPr>
      </w:pPr>
      <w:r w:rsidRPr="00F668E2">
        <w:rPr>
          <w:rFonts w:ascii="Arial" w:hAnsi="Arial" w:cs="Arial"/>
          <w:sz w:val="24"/>
          <w:szCs w:val="24"/>
        </w:rPr>
        <w:t>Three pharmacies are open Monday to Saturday</w:t>
      </w:r>
    </w:p>
    <w:p w14:paraId="1C36D62D" w14:textId="1F48443F" w:rsidR="00BB1373" w:rsidRPr="00015287" w:rsidRDefault="00BB1373" w:rsidP="00DC54F7">
      <w:pPr>
        <w:pStyle w:val="ListParagraph"/>
        <w:numPr>
          <w:ilvl w:val="0"/>
          <w:numId w:val="141"/>
        </w:numPr>
        <w:spacing w:after="0" w:line="240" w:lineRule="auto"/>
        <w:jc w:val="both"/>
        <w:rPr>
          <w:rFonts w:ascii="Arial" w:hAnsi="Arial" w:cs="Arial"/>
          <w:sz w:val="24"/>
          <w:szCs w:val="24"/>
        </w:rPr>
      </w:pPr>
      <w:r w:rsidRPr="00015287">
        <w:rPr>
          <w:rFonts w:ascii="Arial" w:hAnsi="Arial" w:cs="Arial"/>
          <w:sz w:val="24"/>
          <w:szCs w:val="24"/>
        </w:rPr>
        <w:t>Two pharmacies are open Monday to Friday and Saturday morning</w:t>
      </w:r>
    </w:p>
    <w:p w14:paraId="7EC33D4F" w14:textId="326F4A6B" w:rsidR="00BB1373" w:rsidRPr="00015287" w:rsidRDefault="00BB1373" w:rsidP="00DC54F7">
      <w:pPr>
        <w:pStyle w:val="ListParagraph"/>
        <w:numPr>
          <w:ilvl w:val="0"/>
          <w:numId w:val="141"/>
        </w:numPr>
        <w:spacing w:after="0" w:line="240" w:lineRule="auto"/>
        <w:jc w:val="both"/>
        <w:rPr>
          <w:rFonts w:ascii="Arial" w:hAnsi="Arial" w:cs="Arial"/>
          <w:sz w:val="24"/>
          <w:szCs w:val="24"/>
        </w:rPr>
      </w:pPr>
      <w:r w:rsidRPr="00015287">
        <w:rPr>
          <w:rFonts w:ascii="Arial" w:hAnsi="Arial" w:cs="Arial"/>
          <w:sz w:val="24"/>
          <w:szCs w:val="24"/>
        </w:rPr>
        <w:t>Ten pharmacies are open Monday to Friday</w:t>
      </w:r>
    </w:p>
    <w:p w14:paraId="7066A664" w14:textId="77777777" w:rsidR="00802543" w:rsidRPr="00F668E2" w:rsidRDefault="00802543" w:rsidP="00DC54F7">
      <w:pPr>
        <w:spacing w:after="0" w:line="240" w:lineRule="auto"/>
        <w:contextualSpacing/>
        <w:jc w:val="both"/>
        <w:rPr>
          <w:rFonts w:ascii="Arial" w:hAnsi="Arial" w:cs="Arial"/>
          <w:sz w:val="24"/>
          <w:szCs w:val="24"/>
        </w:rPr>
      </w:pPr>
    </w:p>
    <w:p w14:paraId="61E4077C" w14:textId="77777777" w:rsidR="00A508B4" w:rsidRPr="00F668E2" w:rsidRDefault="00A508B4" w:rsidP="00DC54F7">
      <w:pPr>
        <w:spacing w:after="0" w:line="240" w:lineRule="auto"/>
        <w:contextualSpacing/>
        <w:jc w:val="both"/>
        <w:rPr>
          <w:rFonts w:ascii="Arial" w:hAnsi="Arial" w:cs="Arial"/>
          <w:sz w:val="24"/>
          <w:szCs w:val="24"/>
        </w:rPr>
      </w:pPr>
      <w:r w:rsidRPr="00F668E2">
        <w:rPr>
          <w:rFonts w:ascii="Arial" w:hAnsi="Arial" w:cs="Arial"/>
          <w:sz w:val="24"/>
          <w:szCs w:val="24"/>
        </w:rPr>
        <w:t xml:space="preserve">All pharmacies must open for their core contractual hours, which are 40 hours a week. These can only be amended with approval by the health board. All additional hours or supplementary hours can be amended by the pharmacy following the provision of 90 days’ notice to the health board. Within the cluster, opening hours and closing hours range from: </w:t>
      </w:r>
    </w:p>
    <w:p w14:paraId="07908F0F" w14:textId="77777777" w:rsidR="00802543" w:rsidRPr="00F668E2" w:rsidRDefault="00802543" w:rsidP="00DC54F7">
      <w:pPr>
        <w:spacing w:after="0" w:line="240" w:lineRule="auto"/>
        <w:contextualSpacing/>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802543" w:rsidRPr="00F668E2" w14:paraId="144E9046" w14:textId="77777777" w:rsidTr="008E78E6">
        <w:tc>
          <w:tcPr>
            <w:tcW w:w="3005" w:type="dxa"/>
          </w:tcPr>
          <w:p w14:paraId="4FCCF74F" w14:textId="77777777" w:rsidR="00802543" w:rsidRPr="00F668E2" w:rsidRDefault="00802543" w:rsidP="00DC54F7">
            <w:pPr>
              <w:contextualSpacing/>
              <w:jc w:val="both"/>
              <w:rPr>
                <w:rFonts w:ascii="Arial" w:hAnsi="Arial" w:cs="Arial"/>
                <w:b/>
                <w:bCs/>
                <w:sz w:val="24"/>
                <w:szCs w:val="24"/>
              </w:rPr>
            </w:pPr>
            <w:r w:rsidRPr="00F668E2">
              <w:rPr>
                <w:rFonts w:ascii="Arial" w:hAnsi="Arial" w:cs="Arial"/>
                <w:b/>
                <w:bCs/>
                <w:sz w:val="24"/>
                <w:szCs w:val="24"/>
              </w:rPr>
              <w:t>Days</w:t>
            </w:r>
          </w:p>
        </w:tc>
        <w:tc>
          <w:tcPr>
            <w:tcW w:w="3005" w:type="dxa"/>
          </w:tcPr>
          <w:p w14:paraId="053868C5" w14:textId="77777777" w:rsidR="00802543" w:rsidRPr="00F668E2" w:rsidRDefault="00802543" w:rsidP="00DC54F7">
            <w:pPr>
              <w:contextualSpacing/>
              <w:jc w:val="both"/>
              <w:rPr>
                <w:rFonts w:ascii="Arial" w:hAnsi="Arial" w:cs="Arial"/>
                <w:b/>
                <w:bCs/>
                <w:sz w:val="24"/>
                <w:szCs w:val="24"/>
              </w:rPr>
            </w:pPr>
            <w:r w:rsidRPr="00F668E2">
              <w:rPr>
                <w:rFonts w:ascii="Arial" w:hAnsi="Arial" w:cs="Arial"/>
                <w:b/>
                <w:bCs/>
                <w:sz w:val="24"/>
                <w:szCs w:val="24"/>
              </w:rPr>
              <w:t>Opening hours range</w:t>
            </w:r>
          </w:p>
        </w:tc>
        <w:tc>
          <w:tcPr>
            <w:tcW w:w="3006" w:type="dxa"/>
          </w:tcPr>
          <w:p w14:paraId="60180397" w14:textId="77777777" w:rsidR="00802543" w:rsidRPr="00F668E2" w:rsidRDefault="00802543" w:rsidP="00DC54F7">
            <w:pPr>
              <w:contextualSpacing/>
              <w:jc w:val="both"/>
              <w:rPr>
                <w:rFonts w:ascii="Arial" w:hAnsi="Arial" w:cs="Arial"/>
                <w:b/>
                <w:bCs/>
                <w:sz w:val="24"/>
                <w:szCs w:val="24"/>
              </w:rPr>
            </w:pPr>
            <w:r w:rsidRPr="00F668E2">
              <w:rPr>
                <w:rFonts w:ascii="Arial" w:hAnsi="Arial" w:cs="Arial"/>
                <w:b/>
                <w:bCs/>
                <w:sz w:val="24"/>
                <w:szCs w:val="24"/>
              </w:rPr>
              <w:t>Closing hours range</w:t>
            </w:r>
          </w:p>
        </w:tc>
      </w:tr>
      <w:tr w:rsidR="00802543" w:rsidRPr="00F668E2" w14:paraId="1267E303" w14:textId="77777777" w:rsidTr="008E78E6">
        <w:tc>
          <w:tcPr>
            <w:tcW w:w="3005" w:type="dxa"/>
          </w:tcPr>
          <w:p w14:paraId="25018DCC" w14:textId="77777777" w:rsidR="00802543" w:rsidRPr="00F668E2" w:rsidRDefault="00802543" w:rsidP="00DC54F7">
            <w:pPr>
              <w:contextualSpacing/>
              <w:jc w:val="both"/>
              <w:rPr>
                <w:rFonts w:ascii="Arial" w:hAnsi="Arial" w:cs="Arial"/>
                <w:sz w:val="24"/>
                <w:szCs w:val="24"/>
              </w:rPr>
            </w:pPr>
            <w:r w:rsidRPr="00F668E2">
              <w:rPr>
                <w:rFonts w:ascii="Arial" w:hAnsi="Arial" w:cs="Arial"/>
                <w:sz w:val="24"/>
                <w:szCs w:val="24"/>
              </w:rPr>
              <w:t>Monday to Friday</w:t>
            </w:r>
          </w:p>
        </w:tc>
        <w:tc>
          <w:tcPr>
            <w:tcW w:w="3005" w:type="dxa"/>
          </w:tcPr>
          <w:p w14:paraId="47A97FB5" w14:textId="77777777" w:rsidR="00802543" w:rsidRPr="00F668E2" w:rsidRDefault="00802543" w:rsidP="00DC54F7">
            <w:pPr>
              <w:contextualSpacing/>
              <w:jc w:val="both"/>
              <w:rPr>
                <w:rFonts w:ascii="Arial" w:hAnsi="Arial" w:cs="Arial"/>
                <w:sz w:val="24"/>
                <w:szCs w:val="24"/>
              </w:rPr>
            </w:pPr>
            <w:r w:rsidRPr="00F668E2">
              <w:rPr>
                <w:rFonts w:ascii="Arial" w:hAnsi="Arial" w:cs="Arial"/>
                <w:sz w:val="24"/>
                <w:szCs w:val="24"/>
              </w:rPr>
              <w:t>08.00am to 09.00am</w:t>
            </w:r>
          </w:p>
        </w:tc>
        <w:tc>
          <w:tcPr>
            <w:tcW w:w="3006" w:type="dxa"/>
          </w:tcPr>
          <w:p w14:paraId="4C953039" w14:textId="10387A1C" w:rsidR="00802543" w:rsidRPr="00F668E2" w:rsidRDefault="00802543" w:rsidP="00DC54F7">
            <w:pPr>
              <w:contextualSpacing/>
              <w:jc w:val="both"/>
              <w:rPr>
                <w:rFonts w:ascii="Arial" w:hAnsi="Arial" w:cs="Arial"/>
                <w:sz w:val="24"/>
                <w:szCs w:val="24"/>
              </w:rPr>
            </w:pPr>
            <w:r w:rsidRPr="00F668E2">
              <w:rPr>
                <w:rFonts w:ascii="Arial" w:hAnsi="Arial" w:cs="Arial"/>
                <w:sz w:val="24"/>
                <w:szCs w:val="24"/>
              </w:rPr>
              <w:t xml:space="preserve">17.30pm to </w:t>
            </w:r>
            <w:r w:rsidR="001240AE" w:rsidRPr="00F668E2">
              <w:rPr>
                <w:rFonts w:ascii="Arial" w:hAnsi="Arial" w:cs="Arial"/>
                <w:sz w:val="24"/>
                <w:szCs w:val="24"/>
              </w:rPr>
              <w:t>22</w:t>
            </w:r>
            <w:r w:rsidRPr="00F668E2">
              <w:rPr>
                <w:rFonts w:ascii="Arial" w:hAnsi="Arial" w:cs="Arial"/>
                <w:sz w:val="24"/>
                <w:szCs w:val="24"/>
              </w:rPr>
              <w:t>.</w:t>
            </w:r>
            <w:r w:rsidR="001240AE" w:rsidRPr="00F668E2">
              <w:rPr>
                <w:rFonts w:ascii="Arial" w:hAnsi="Arial" w:cs="Arial"/>
                <w:sz w:val="24"/>
                <w:szCs w:val="24"/>
              </w:rPr>
              <w:t>0</w:t>
            </w:r>
            <w:r w:rsidRPr="00F668E2">
              <w:rPr>
                <w:rFonts w:ascii="Arial" w:hAnsi="Arial" w:cs="Arial"/>
                <w:sz w:val="24"/>
                <w:szCs w:val="24"/>
              </w:rPr>
              <w:t>0pm</w:t>
            </w:r>
            <w:r w:rsidR="008607D8" w:rsidRPr="00F668E2">
              <w:rPr>
                <w:rFonts w:ascii="Arial" w:hAnsi="Arial" w:cs="Arial"/>
                <w:sz w:val="24"/>
                <w:szCs w:val="24"/>
              </w:rPr>
              <w:t>*</w:t>
            </w:r>
          </w:p>
        </w:tc>
      </w:tr>
      <w:tr w:rsidR="00802543" w:rsidRPr="00F668E2" w14:paraId="645F8735" w14:textId="77777777" w:rsidTr="008E78E6">
        <w:tc>
          <w:tcPr>
            <w:tcW w:w="3005" w:type="dxa"/>
          </w:tcPr>
          <w:p w14:paraId="367C9792" w14:textId="77777777" w:rsidR="00802543" w:rsidRPr="00F668E2" w:rsidRDefault="00802543" w:rsidP="00DC54F7">
            <w:pPr>
              <w:contextualSpacing/>
              <w:jc w:val="both"/>
              <w:rPr>
                <w:rFonts w:ascii="Arial" w:hAnsi="Arial" w:cs="Arial"/>
                <w:sz w:val="24"/>
                <w:szCs w:val="24"/>
              </w:rPr>
            </w:pPr>
            <w:r w:rsidRPr="00F668E2">
              <w:rPr>
                <w:rFonts w:ascii="Arial" w:hAnsi="Arial" w:cs="Arial"/>
                <w:sz w:val="24"/>
                <w:szCs w:val="24"/>
              </w:rPr>
              <w:t>Saturday</w:t>
            </w:r>
          </w:p>
        </w:tc>
        <w:tc>
          <w:tcPr>
            <w:tcW w:w="3005" w:type="dxa"/>
          </w:tcPr>
          <w:p w14:paraId="64CF9FB1" w14:textId="77D79A8B" w:rsidR="00802543" w:rsidRPr="00F668E2" w:rsidRDefault="00802543" w:rsidP="00DC54F7">
            <w:pPr>
              <w:contextualSpacing/>
              <w:jc w:val="both"/>
              <w:rPr>
                <w:rFonts w:ascii="Arial" w:hAnsi="Arial" w:cs="Arial"/>
                <w:sz w:val="24"/>
                <w:szCs w:val="24"/>
              </w:rPr>
            </w:pPr>
            <w:r w:rsidRPr="00F668E2">
              <w:rPr>
                <w:rFonts w:ascii="Arial" w:hAnsi="Arial" w:cs="Arial"/>
                <w:sz w:val="24"/>
                <w:szCs w:val="24"/>
              </w:rPr>
              <w:t>0</w:t>
            </w:r>
            <w:r w:rsidR="001240AE" w:rsidRPr="00F668E2">
              <w:rPr>
                <w:rFonts w:ascii="Arial" w:hAnsi="Arial" w:cs="Arial"/>
                <w:sz w:val="24"/>
                <w:szCs w:val="24"/>
              </w:rPr>
              <w:t>8</w:t>
            </w:r>
            <w:r w:rsidRPr="00F668E2">
              <w:rPr>
                <w:rFonts w:ascii="Arial" w:hAnsi="Arial" w:cs="Arial"/>
                <w:sz w:val="24"/>
                <w:szCs w:val="24"/>
              </w:rPr>
              <w:t>.00am</w:t>
            </w:r>
            <w:r w:rsidR="001240AE" w:rsidRPr="00F668E2">
              <w:rPr>
                <w:rFonts w:ascii="Arial" w:hAnsi="Arial" w:cs="Arial"/>
                <w:sz w:val="24"/>
                <w:szCs w:val="24"/>
              </w:rPr>
              <w:t xml:space="preserve"> to </w:t>
            </w:r>
            <w:r w:rsidR="00452075" w:rsidRPr="00F668E2">
              <w:rPr>
                <w:rFonts w:ascii="Arial" w:hAnsi="Arial" w:cs="Arial"/>
                <w:sz w:val="24"/>
                <w:szCs w:val="24"/>
              </w:rPr>
              <w:t>09.00am</w:t>
            </w:r>
            <w:r w:rsidRPr="00F668E2">
              <w:rPr>
                <w:rFonts w:ascii="Arial" w:hAnsi="Arial" w:cs="Arial"/>
                <w:sz w:val="24"/>
                <w:szCs w:val="24"/>
              </w:rPr>
              <w:t xml:space="preserve"> </w:t>
            </w:r>
          </w:p>
        </w:tc>
        <w:tc>
          <w:tcPr>
            <w:tcW w:w="3006" w:type="dxa"/>
          </w:tcPr>
          <w:p w14:paraId="0C2E3979" w14:textId="03E8283C" w:rsidR="00802543" w:rsidRPr="00F668E2" w:rsidRDefault="00802543" w:rsidP="00DC54F7">
            <w:pPr>
              <w:contextualSpacing/>
              <w:jc w:val="both"/>
              <w:rPr>
                <w:rFonts w:ascii="Arial" w:hAnsi="Arial" w:cs="Arial"/>
                <w:sz w:val="24"/>
                <w:szCs w:val="24"/>
              </w:rPr>
            </w:pPr>
            <w:r w:rsidRPr="00F668E2">
              <w:rPr>
                <w:rFonts w:ascii="Arial" w:hAnsi="Arial" w:cs="Arial"/>
                <w:sz w:val="24"/>
                <w:szCs w:val="24"/>
              </w:rPr>
              <w:t xml:space="preserve">12.00pm to </w:t>
            </w:r>
            <w:r w:rsidR="00452075" w:rsidRPr="00F668E2">
              <w:rPr>
                <w:rFonts w:ascii="Arial" w:hAnsi="Arial" w:cs="Arial"/>
                <w:sz w:val="24"/>
                <w:szCs w:val="24"/>
              </w:rPr>
              <w:t>22</w:t>
            </w:r>
            <w:r w:rsidRPr="00F668E2">
              <w:rPr>
                <w:rFonts w:ascii="Arial" w:hAnsi="Arial" w:cs="Arial"/>
                <w:sz w:val="24"/>
                <w:szCs w:val="24"/>
              </w:rPr>
              <w:t>.</w:t>
            </w:r>
            <w:r w:rsidR="00452075" w:rsidRPr="00F668E2">
              <w:rPr>
                <w:rFonts w:ascii="Arial" w:hAnsi="Arial" w:cs="Arial"/>
                <w:sz w:val="24"/>
                <w:szCs w:val="24"/>
              </w:rPr>
              <w:t>0</w:t>
            </w:r>
            <w:r w:rsidRPr="00F668E2">
              <w:rPr>
                <w:rFonts w:ascii="Arial" w:hAnsi="Arial" w:cs="Arial"/>
                <w:sz w:val="24"/>
                <w:szCs w:val="24"/>
              </w:rPr>
              <w:t>0pm</w:t>
            </w:r>
          </w:p>
        </w:tc>
      </w:tr>
      <w:tr w:rsidR="00802543" w:rsidRPr="00F668E2" w14:paraId="5362CF74" w14:textId="77777777" w:rsidTr="008E78E6">
        <w:tc>
          <w:tcPr>
            <w:tcW w:w="3005" w:type="dxa"/>
          </w:tcPr>
          <w:p w14:paraId="3FD2FB8F" w14:textId="77777777" w:rsidR="00802543" w:rsidRPr="00F668E2" w:rsidRDefault="00802543" w:rsidP="00DC54F7">
            <w:pPr>
              <w:contextualSpacing/>
              <w:jc w:val="both"/>
              <w:rPr>
                <w:rFonts w:ascii="Arial" w:hAnsi="Arial" w:cs="Arial"/>
                <w:sz w:val="24"/>
                <w:szCs w:val="24"/>
              </w:rPr>
            </w:pPr>
            <w:r w:rsidRPr="00F668E2">
              <w:rPr>
                <w:rFonts w:ascii="Arial" w:hAnsi="Arial" w:cs="Arial"/>
                <w:sz w:val="24"/>
                <w:szCs w:val="24"/>
              </w:rPr>
              <w:t>Sunday</w:t>
            </w:r>
          </w:p>
        </w:tc>
        <w:tc>
          <w:tcPr>
            <w:tcW w:w="3005" w:type="dxa"/>
          </w:tcPr>
          <w:p w14:paraId="1C0967BB" w14:textId="16F0F37B" w:rsidR="00802543" w:rsidRPr="00F668E2" w:rsidRDefault="00802543" w:rsidP="00DC54F7">
            <w:pPr>
              <w:contextualSpacing/>
              <w:jc w:val="both"/>
              <w:rPr>
                <w:rFonts w:ascii="Arial" w:hAnsi="Arial" w:cs="Arial"/>
                <w:sz w:val="24"/>
                <w:szCs w:val="24"/>
              </w:rPr>
            </w:pPr>
            <w:r w:rsidRPr="00F668E2">
              <w:rPr>
                <w:rFonts w:ascii="Arial" w:hAnsi="Arial" w:cs="Arial"/>
                <w:sz w:val="24"/>
                <w:szCs w:val="24"/>
              </w:rPr>
              <w:t>10.00am</w:t>
            </w:r>
            <w:r w:rsidR="00452075" w:rsidRPr="00F668E2">
              <w:rPr>
                <w:rFonts w:ascii="Arial" w:hAnsi="Arial" w:cs="Arial"/>
                <w:sz w:val="24"/>
                <w:szCs w:val="24"/>
              </w:rPr>
              <w:t xml:space="preserve"> to 10.30am</w:t>
            </w:r>
            <w:r w:rsidRPr="00F668E2">
              <w:rPr>
                <w:rFonts w:ascii="Arial" w:hAnsi="Arial" w:cs="Arial"/>
                <w:sz w:val="24"/>
                <w:szCs w:val="24"/>
              </w:rPr>
              <w:t xml:space="preserve"> </w:t>
            </w:r>
          </w:p>
        </w:tc>
        <w:tc>
          <w:tcPr>
            <w:tcW w:w="3006" w:type="dxa"/>
          </w:tcPr>
          <w:p w14:paraId="2FDD2F0D" w14:textId="59372D4C" w:rsidR="00802543" w:rsidRPr="00F668E2" w:rsidRDefault="00802543" w:rsidP="00DC54F7">
            <w:pPr>
              <w:contextualSpacing/>
              <w:jc w:val="both"/>
              <w:rPr>
                <w:rFonts w:ascii="Arial" w:hAnsi="Arial" w:cs="Arial"/>
                <w:sz w:val="24"/>
                <w:szCs w:val="24"/>
              </w:rPr>
            </w:pPr>
            <w:r w:rsidRPr="00F668E2">
              <w:rPr>
                <w:rFonts w:ascii="Arial" w:hAnsi="Arial" w:cs="Arial"/>
                <w:sz w:val="24"/>
                <w:szCs w:val="24"/>
              </w:rPr>
              <w:t>16.00pm</w:t>
            </w:r>
            <w:r w:rsidR="00452075" w:rsidRPr="00F668E2">
              <w:rPr>
                <w:rFonts w:ascii="Arial" w:hAnsi="Arial" w:cs="Arial"/>
                <w:sz w:val="24"/>
                <w:szCs w:val="24"/>
              </w:rPr>
              <w:t xml:space="preserve"> to 16.30pm</w:t>
            </w:r>
          </w:p>
        </w:tc>
      </w:tr>
    </w:tbl>
    <w:p w14:paraId="10BD64CB" w14:textId="77777777" w:rsidR="00802543" w:rsidRPr="00F668E2" w:rsidRDefault="00802543" w:rsidP="00DC54F7">
      <w:pPr>
        <w:spacing w:after="0" w:line="240" w:lineRule="auto"/>
        <w:contextualSpacing/>
        <w:jc w:val="both"/>
        <w:rPr>
          <w:rFonts w:ascii="Arial" w:hAnsi="Arial" w:cs="Arial"/>
          <w:sz w:val="24"/>
          <w:szCs w:val="24"/>
        </w:rPr>
      </w:pPr>
    </w:p>
    <w:p w14:paraId="42C51C9D" w14:textId="77777777" w:rsidR="00E37381" w:rsidRPr="00F668E2" w:rsidRDefault="008607D8" w:rsidP="00DC54F7">
      <w:pPr>
        <w:spacing w:after="0" w:line="240" w:lineRule="auto"/>
        <w:contextualSpacing/>
        <w:jc w:val="both"/>
        <w:rPr>
          <w:rFonts w:ascii="Arial" w:hAnsi="Arial" w:cs="Arial"/>
          <w:sz w:val="24"/>
          <w:szCs w:val="24"/>
        </w:rPr>
      </w:pPr>
      <w:r w:rsidRPr="00F668E2">
        <w:rPr>
          <w:rFonts w:ascii="Arial" w:hAnsi="Arial" w:cs="Arial"/>
          <w:sz w:val="24"/>
          <w:szCs w:val="24"/>
        </w:rPr>
        <w:t xml:space="preserve">*One pharmacy closes at 17.00pm on </w:t>
      </w:r>
      <w:r w:rsidR="00E37381" w:rsidRPr="00F668E2">
        <w:rPr>
          <w:rFonts w:ascii="Arial" w:hAnsi="Arial" w:cs="Arial"/>
          <w:sz w:val="24"/>
          <w:szCs w:val="24"/>
        </w:rPr>
        <w:t xml:space="preserve">Wednesday. </w:t>
      </w:r>
    </w:p>
    <w:p w14:paraId="4CD07671" w14:textId="04BF87B0" w:rsidR="00802543" w:rsidRPr="00F668E2" w:rsidRDefault="00802543" w:rsidP="00DC54F7">
      <w:pPr>
        <w:spacing w:after="0" w:line="240" w:lineRule="auto"/>
        <w:contextualSpacing/>
        <w:jc w:val="both"/>
        <w:rPr>
          <w:rFonts w:ascii="Arial" w:hAnsi="Arial" w:cs="Arial"/>
          <w:sz w:val="24"/>
          <w:szCs w:val="24"/>
        </w:rPr>
      </w:pPr>
      <w:r w:rsidRPr="00F668E2">
        <w:rPr>
          <w:rFonts w:ascii="Arial" w:hAnsi="Arial" w:cs="Arial"/>
          <w:sz w:val="24"/>
          <w:szCs w:val="24"/>
        </w:rPr>
        <w:t>Full details of when the pharmacies are open can be found in Appendix L.</w:t>
      </w:r>
    </w:p>
    <w:p w14:paraId="6268864D" w14:textId="5EF519AD" w:rsidR="00C00F0A" w:rsidRPr="00F668E2" w:rsidRDefault="00C00F0A" w:rsidP="00DC54F7">
      <w:pPr>
        <w:spacing w:after="0" w:line="240" w:lineRule="auto"/>
        <w:jc w:val="both"/>
        <w:rPr>
          <w:rFonts w:ascii="Arial" w:hAnsi="Arial" w:cs="Arial"/>
          <w:b/>
          <w:sz w:val="24"/>
          <w:szCs w:val="24"/>
          <w:lang w:val="en-US"/>
        </w:rPr>
      </w:pPr>
    </w:p>
    <w:p w14:paraId="1057DA28" w14:textId="17100395" w:rsidR="006626F7" w:rsidRPr="00F668E2" w:rsidRDefault="006626F7" w:rsidP="00DC54F7">
      <w:pPr>
        <w:spacing w:after="0" w:line="240" w:lineRule="auto"/>
        <w:contextualSpacing/>
        <w:jc w:val="both"/>
        <w:rPr>
          <w:rFonts w:ascii="Arial" w:hAnsi="Arial" w:cs="Arial"/>
          <w:sz w:val="24"/>
          <w:szCs w:val="24"/>
        </w:rPr>
      </w:pPr>
      <w:r w:rsidRPr="00F668E2">
        <w:rPr>
          <w:rFonts w:ascii="Arial" w:hAnsi="Arial" w:cs="Arial"/>
          <w:sz w:val="24"/>
          <w:szCs w:val="24"/>
        </w:rPr>
        <w:t xml:space="preserve">All </w:t>
      </w:r>
      <w:r w:rsidR="00645193" w:rsidRPr="00F668E2">
        <w:rPr>
          <w:rFonts w:ascii="Arial" w:hAnsi="Arial" w:cs="Arial"/>
          <w:sz w:val="24"/>
          <w:szCs w:val="24"/>
        </w:rPr>
        <w:t>18</w:t>
      </w:r>
      <w:r w:rsidRPr="00F668E2">
        <w:rPr>
          <w:rFonts w:ascii="Arial" w:hAnsi="Arial" w:cs="Arial"/>
          <w:sz w:val="24"/>
          <w:szCs w:val="24"/>
        </w:rPr>
        <w:t xml:space="preserve"> pharmacies responded to the contractor questionnaire, of which </w:t>
      </w:r>
      <w:r w:rsidR="00645193" w:rsidRPr="00F668E2">
        <w:rPr>
          <w:rFonts w:ascii="Arial" w:hAnsi="Arial" w:cs="Arial"/>
          <w:sz w:val="24"/>
          <w:szCs w:val="24"/>
        </w:rPr>
        <w:t>16</w:t>
      </w:r>
      <w:r w:rsidRPr="00F668E2">
        <w:rPr>
          <w:rFonts w:ascii="Arial" w:hAnsi="Arial" w:cs="Arial"/>
          <w:sz w:val="24"/>
          <w:szCs w:val="24"/>
        </w:rPr>
        <w:t xml:space="preserve"> dispense all appliances listed in Part IX of the Drug Tariff</w:t>
      </w:r>
      <w:r w:rsidR="00645193" w:rsidRPr="00F668E2">
        <w:rPr>
          <w:rFonts w:ascii="Arial" w:hAnsi="Arial" w:cs="Arial"/>
          <w:sz w:val="24"/>
          <w:szCs w:val="24"/>
        </w:rPr>
        <w:t xml:space="preserve">, </w:t>
      </w:r>
      <w:r w:rsidRPr="00F668E2">
        <w:rPr>
          <w:rFonts w:ascii="Arial" w:hAnsi="Arial" w:cs="Arial"/>
          <w:sz w:val="24"/>
          <w:szCs w:val="24"/>
        </w:rPr>
        <w:t>one just dispenses dressings</w:t>
      </w:r>
      <w:r w:rsidR="00645193" w:rsidRPr="00F668E2">
        <w:rPr>
          <w:rFonts w:ascii="Arial" w:hAnsi="Arial" w:cs="Arial"/>
          <w:sz w:val="24"/>
          <w:szCs w:val="24"/>
        </w:rPr>
        <w:t xml:space="preserve"> and one pharmacy did not </w:t>
      </w:r>
      <w:r w:rsidR="00C71A0C" w:rsidRPr="00F668E2">
        <w:rPr>
          <w:rFonts w:ascii="Arial" w:hAnsi="Arial" w:cs="Arial"/>
          <w:sz w:val="24"/>
          <w:szCs w:val="24"/>
        </w:rPr>
        <w:t>dispense appliances</w:t>
      </w:r>
      <w:r w:rsidRPr="00F668E2">
        <w:rPr>
          <w:rFonts w:ascii="Arial" w:hAnsi="Arial" w:cs="Arial"/>
          <w:sz w:val="24"/>
          <w:szCs w:val="24"/>
        </w:rPr>
        <w:t xml:space="preserve">. </w:t>
      </w:r>
    </w:p>
    <w:p w14:paraId="1558FB63" w14:textId="77777777" w:rsidR="006626F7" w:rsidRPr="00F668E2" w:rsidRDefault="006626F7" w:rsidP="00DC54F7">
      <w:pPr>
        <w:spacing w:after="0" w:line="240" w:lineRule="auto"/>
        <w:jc w:val="both"/>
        <w:rPr>
          <w:rFonts w:ascii="Arial" w:hAnsi="Arial" w:cs="Arial"/>
          <w:b/>
          <w:sz w:val="24"/>
          <w:szCs w:val="24"/>
          <w:lang w:val="en-US"/>
        </w:rPr>
      </w:pPr>
    </w:p>
    <w:p w14:paraId="11B0CA0D" w14:textId="4B603AFF" w:rsidR="006626F7" w:rsidRPr="00FA2ED4" w:rsidRDefault="006626F7" w:rsidP="00DC54F7">
      <w:pPr>
        <w:spacing w:after="0" w:line="240" w:lineRule="auto"/>
        <w:jc w:val="both"/>
        <w:rPr>
          <w:rFonts w:ascii="Arial" w:hAnsi="Arial" w:cs="Arial"/>
          <w:sz w:val="24"/>
          <w:szCs w:val="24"/>
        </w:rPr>
      </w:pPr>
      <w:r w:rsidRPr="00FA2ED4">
        <w:rPr>
          <w:rFonts w:ascii="Arial" w:hAnsi="Arial" w:cs="Arial"/>
          <w:sz w:val="24"/>
          <w:szCs w:val="24"/>
        </w:rPr>
        <w:lastRenderedPageBreak/>
        <w:t xml:space="preserve">In 2019 to 2020, </w:t>
      </w:r>
      <w:r w:rsidR="009120B2" w:rsidRPr="00FA2ED4">
        <w:rPr>
          <w:rFonts w:ascii="Arial" w:hAnsi="Arial" w:cs="Arial"/>
          <w:sz w:val="24"/>
          <w:szCs w:val="24"/>
        </w:rPr>
        <w:t xml:space="preserve">19 </w:t>
      </w:r>
      <w:r w:rsidRPr="00FA2ED4">
        <w:rPr>
          <w:rFonts w:ascii="Arial" w:hAnsi="Arial" w:cs="Arial"/>
          <w:sz w:val="24"/>
          <w:szCs w:val="24"/>
        </w:rPr>
        <w:t>pharmacies</w:t>
      </w:r>
      <w:r w:rsidR="009120B2" w:rsidRPr="00FA2ED4">
        <w:rPr>
          <w:rFonts w:ascii="Arial" w:hAnsi="Arial" w:cs="Arial"/>
          <w:sz w:val="24"/>
          <w:szCs w:val="24"/>
        </w:rPr>
        <w:t>*</w:t>
      </w:r>
      <w:r w:rsidRPr="00FA2ED4">
        <w:rPr>
          <w:rFonts w:ascii="Arial" w:hAnsi="Arial" w:cs="Arial"/>
          <w:sz w:val="24"/>
          <w:szCs w:val="24"/>
        </w:rPr>
        <w:t xml:space="preserve"> offered the MUR service and a total of </w:t>
      </w:r>
      <w:r w:rsidR="00997C08" w:rsidRPr="00FA2ED4">
        <w:rPr>
          <w:rFonts w:ascii="Arial" w:hAnsi="Arial" w:cs="Arial"/>
          <w:sz w:val="24"/>
          <w:szCs w:val="24"/>
        </w:rPr>
        <w:t>5,237</w:t>
      </w:r>
      <w:r w:rsidRPr="00FA2ED4">
        <w:rPr>
          <w:rFonts w:ascii="Arial" w:hAnsi="Arial" w:cs="Arial"/>
          <w:sz w:val="24"/>
          <w:szCs w:val="24"/>
        </w:rPr>
        <w:t xml:space="preserve"> reviews were provided out of a possible </w:t>
      </w:r>
      <w:r w:rsidR="00D43DFF" w:rsidRPr="00FA2ED4">
        <w:rPr>
          <w:rFonts w:ascii="Arial" w:hAnsi="Arial" w:cs="Arial"/>
          <w:sz w:val="24"/>
          <w:szCs w:val="24"/>
        </w:rPr>
        <w:t>7</w:t>
      </w:r>
      <w:r w:rsidRPr="00FA2ED4">
        <w:rPr>
          <w:rFonts w:ascii="Arial" w:hAnsi="Arial" w:cs="Arial"/>
          <w:sz w:val="24"/>
          <w:szCs w:val="24"/>
        </w:rPr>
        <w:t>,</w:t>
      </w:r>
      <w:r w:rsidR="00D43DFF" w:rsidRPr="00FA2ED4">
        <w:rPr>
          <w:rFonts w:ascii="Arial" w:hAnsi="Arial" w:cs="Arial"/>
          <w:sz w:val="24"/>
          <w:szCs w:val="24"/>
        </w:rPr>
        <w:t>6</w:t>
      </w:r>
      <w:r w:rsidRPr="00FA2ED4">
        <w:rPr>
          <w:rFonts w:ascii="Arial" w:hAnsi="Arial" w:cs="Arial"/>
          <w:sz w:val="24"/>
          <w:szCs w:val="24"/>
        </w:rPr>
        <w:t xml:space="preserve">00 reviews. </w:t>
      </w:r>
      <w:r w:rsidR="00D43DFF" w:rsidRPr="00FA2ED4">
        <w:rPr>
          <w:rFonts w:ascii="Arial" w:hAnsi="Arial" w:cs="Arial"/>
          <w:sz w:val="24"/>
          <w:szCs w:val="24"/>
        </w:rPr>
        <w:t>Five</w:t>
      </w:r>
      <w:r w:rsidRPr="00FA2ED4">
        <w:rPr>
          <w:rFonts w:ascii="Arial" w:hAnsi="Arial" w:cs="Arial"/>
          <w:sz w:val="24"/>
          <w:szCs w:val="24"/>
        </w:rPr>
        <w:t xml:space="preserve"> pharmacies provided the maximum number of 400 reviews.</w:t>
      </w:r>
      <w:r w:rsidR="007B13A2" w:rsidRPr="00FA2ED4">
        <w:rPr>
          <w:rFonts w:ascii="Arial" w:hAnsi="Arial" w:cs="Arial"/>
          <w:sz w:val="24"/>
          <w:szCs w:val="24"/>
        </w:rPr>
        <w:t xml:space="preserve"> The Welsh Government formally suspended the MUR service on 13 March 2020.  At the time of writing, </w:t>
      </w:r>
      <w:r w:rsidR="0070331C" w:rsidRPr="00FA2ED4">
        <w:rPr>
          <w:rFonts w:ascii="Arial" w:hAnsi="Arial" w:cs="Arial"/>
          <w:sz w:val="24"/>
          <w:szCs w:val="24"/>
        </w:rPr>
        <w:t>it is not known if the service will re-commence</w:t>
      </w:r>
      <w:r w:rsidR="007B13A2" w:rsidRPr="00FA2ED4">
        <w:rPr>
          <w:rFonts w:ascii="Arial" w:hAnsi="Arial" w:cs="Arial"/>
          <w:sz w:val="24"/>
          <w:szCs w:val="24"/>
        </w:rPr>
        <w:t>.</w:t>
      </w:r>
    </w:p>
    <w:p w14:paraId="46441A55" w14:textId="77777777" w:rsidR="006626F7" w:rsidRPr="00FA2ED4" w:rsidRDefault="006626F7" w:rsidP="00DC54F7">
      <w:pPr>
        <w:spacing w:after="0" w:line="240" w:lineRule="auto"/>
        <w:jc w:val="both"/>
        <w:rPr>
          <w:rFonts w:ascii="Arial" w:hAnsi="Arial" w:cs="Arial"/>
          <w:sz w:val="24"/>
          <w:szCs w:val="24"/>
        </w:rPr>
      </w:pPr>
    </w:p>
    <w:p w14:paraId="328CEE0C" w14:textId="7E05859F" w:rsidR="00490FDA" w:rsidRPr="00FA2ED4" w:rsidRDefault="006626F7" w:rsidP="00DC54F7">
      <w:pPr>
        <w:spacing w:after="0" w:line="240" w:lineRule="auto"/>
        <w:jc w:val="both"/>
        <w:rPr>
          <w:rFonts w:ascii="Arial" w:hAnsi="Arial" w:cs="Arial"/>
          <w:sz w:val="24"/>
          <w:szCs w:val="24"/>
        </w:rPr>
      </w:pPr>
      <w:r w:rsidRPr="00FA2ED4">
        <w:rPr>
          <w:rFonts w:ascii="Arial" w:hAnsi="Arial" w:cs="Arial"/>
          <w:sz w:val="24"/>
          <w:szCs w:val="24"/>
        </w:rPr>
        <w:t>In 2019 to 2020, 1</w:t>
      </w:r>
      <w:r w:rsidR="00D43DFF" w:rsidRPr="00FA2ED4">
        <w:rPr>
          <w:rFonts w:ascii="Arial" w:hAnsi="Arial" w:cs="Arial"/>
          <w:sz w:val="24"/>
          <w:szCs w:val="24"/>
        </w:rPr>
        <w:t>7</w:t>
      </w:r>
      <w:r w:rsidRPr="00FA2ED4">
        <w:rPr>
          <w:rFonts w:ascii="Arial" w:hAnsi="Arial" w:cs="Arial"/>
          <w:sz w:val="24"/>
          <w:szCs w:val="24"/>
        </w:rPr>
        <w:t xml:space="preserve"> pharmacies offered the DMR </w:t>
      </w:r>
      <w:r w:rsidR="00D43DFF" w:rsidRPr="00FA2ED4">
        <w:rPr>
          <w:rFonts w:ascii="Arial" w:hAnsi="Arial" w:cs="Arial"/>
          <w:sz w:val="24"/>
          <w:szCs w:val="24"/>
        </w:rPr>
        <w:t xml:space="preserve">service </w:t>
      </w:r>
      <w:r w:rsidRPr="00FA2ED4">
        <w:rPr>
          <w:rFonts w:ascii="Arial" w:hAnsi="Arial" w:cs="Arial"/>
          <w:sz w:val="24"/>
          <w:szCs w:val="24"/>
        </w:rPr>
        <w:t xml:space="preserve">and a total of </w:t>
      </w:r>
      <w:r w:rsidR="000463B0" w:rsidRPr="00FA2ED4">
        <w:rPr>
          <w:rFonts w:ascii="Arial" w:hAnsi="Arial" w:cs="Arial"/>
          <w:sz w:val="24"/>
          <w:szCs w:val="24"/>
        </w:rPr>
        <w:t>685</w:t>
      </w:r>
      <w:r w:rsidRPr="00FA2ED4">
        <w:rPr>
          <w:rFonts w:ascii="Arial" w:hAnsi="Arial" w:cs="Arial"/>
          <w:sz w:val="24"/>
          <w:szCs w:val="24"/>
        </w:rPr>
        <w:t xml:space="preserve"> reviews were provided out of a possible </w:t>
      </w:r>
      <w:r w:rsidR="000463B0" w:rsidRPr="00FA2ED4">
        <w:rPr>
          <w:rFonts w:ascii="Arial" w:hAnsi="Arial" w:cs="Arial"/>
          <w:sz w:val="24"/>
          <w:szCs w:val="24"/>
        </w:rPr>
        <w:t>2</w:t>
      </w:r>
      <w:r w:rsidRPr="00FA2ED4">
        <w:rPr>
          <w:rFonts w:ascii="Arial" w:hAnsi="Arial" w:cs="Arial"/>
          <w:sz w:val="24"/>
          <w:szCs w:val="24"/>
        </w:rPr>
        <w:t>,</w:t>
      </w:r>
      <w:r w:rsidR="000463B0" w:rsidRPr="00FA2ED4">
        <w:rPr>
          <w:rFonts w:ascii="Arial" w:hAnsi="Arial" w:cs="Arial"/>
          <w:sz w:val="24"/>
          <w:szCs w:val="24"/>
        </w:rPr>
        <w:t>380</w:t>
      </w:r>
      <w:r w:rsidRPr="00FA2ED4">
        <w:rPr>
          <w:rFonts w:ascii="Arial" w:hAnsi="Arial" w:cs="Arial"/>
          <w:sz w:val="24"/>
          <w:szCs w:val="24"/>
        </w:rPr>
        <w:t xml:space="preserve"> reviews. </w:t>
      </w:r>
      <w:r w:rsidR="008E4E31" w:rsidRPr="00FA2ED4">
        <w:rPr>
          <w:rFonts w:ascii="Arial" w:hAnsi="Arial" w:cs="Arial"/>
          <w:sz w:val="24"/>
          <w:szCs w:val="24"/>
        </w:rPr>
        <w:t xml:space="preserve">One </w:t>
      </w:r>
      <w:r w:rsidRPr="00FA2ED4">
        <w:rPr>
          <w:rFonts w:ascii="Arial" w:hAnsi="Arial" w:cs="Arial"/>
          <w:sz w:val="24"/>
          <w:szCs w:val="24"/>
        </w:rPr>
        <w:t>pharmac</w:t>
      </w:r>
      <w:r w:rsidR="008E4E31" w:rsidRPr="00FA2ED4">
        <w:rPr>
          <w:rFonts w:ascii="Arial" w:hAnsi="Arial" w:cs="Arial"/>
          <w:sz w:val="24"/>
          <w:szCs w:val="24"/>
        </w:rPr>
        <w:t>y</w:t>
      </w:r>
      <w:r w:rsidRPr="00FA2ED4">
        <w:rPr>
          <w:rFonts w:ascii="Arial" w:hAnsi="Arial" w:cs="Arial"/>
          <w:sz w:val="24"/>
          <w:szCs w:val="24"/>
        </w:rPr>
        <w:t xml:space="preserve"> provided the maximum number of 140 reviews</w:t>
      </w:r>
      <w:r w:rsidR="008E4E31" w:rsidRPr="00FA2ED4">
        <w:rPr>
          <w:rFonts w:ascii="Arial" w:hAnsi="Arial" w:cs="Arial"/>
          <w:sz w:val="24"/>
          <w:szCs w:val="24"/>
        </w:rPr>
        <w:t>.</w:t>
      </w:r>
      <w:r w:rsidR="00490FDA" w:rsidRPr="00FA2ED4">
        <w:rPr>
          <w:rFonts w:ascii="Arial" w:hAnsi="Arial" w:cs="Arial"/>
          <w:sz w:val="24"/>
          <w:szCs w:val="24"/>
        </w:rPr>
        <w:t xml:space="preserve"> As part of the changes to the Community Pharmacy Contractual Framework for 2021, the cap for the number of paid DMRs has been removed.</w:t>
      </w:r>
    </w:p>
    <w:p w14:paraId="29C858E4" w14:textId="6395105C" w:rsidR="0063382E" w:rsidRPr="00FA2ED4" w:rsidRDefault="0063382E" w:rsidP="00DC54F7">
      <w:pPr>
        <w:spacing w:after="0" w:line="240" w:lineRule="auto"/>
        <w:jc w:val="both"/>
        <w:rPr>
          <w:rFonts w:ascii="Arial" w:hAnsi="Arial" w:cs="Arial"/>
          <w:sz w:val="24"/>
          <w:szCs w:val="24"/>
        </w:rPr>
      </w:pPr>
    </w:p>
    <w:p w14:paraId="2802FBA6" w14:textId="77777777" w:rsidR="00D6441A" w:rsidRPr="00FA2ED4" w:rsidRDefault="00D6441A" w:rsidP="00DC54F7">
      <w:pPr>
        <w:spacing w:after="0" w:line="240" w:lineRule="auto"/>
        <w:contextualSpacing/>
        <w:jc w:val="both"/>
        <w:rPr>
          <w:rFonts w:ascii="Arial" w:hAnsi="Arial" w:cs="Arial"/>
          <w:sz w:val="24"/>
          <w:szCs w:val="24"/>
        </w:rPr>
      </w:pPr>
      <w:r w:rsidRPr="00FA2ED4">
        <w:rPr>
          <w:rFonts w:ascii="Arial" w:hAnsi="Arial" w:cs="Arial"/>
          <w:sz w:val="24"/>
          <w:szCs w:val="24"/>
        </w:rPr>
        <w:t>In 2019 to 2020, the following enhanced services were provided by pharmacies in the cluster area:</w:t>
      </w:r>
    </w:p>
    <w:p w14:paraId="157CDF55" w14:textId="77777777" w:rsidR="00D6441A" w:rsidRPr="00FA2ED4" w:rsidRDefault="00D6441A" w:rsidP="00DC54F7">
      <w:pPr>
        <w:spacing w:after="0" w:line="240" w:lineRule="auto"/>
        <w:contextualSpacing/>
        <w:jc w:val="both"/>
        <w:rPr>
          <w:rFonts w:ascii="Arial" w:hAnsi="Arial" w:cs="Arial"/>
          <w:sz w:val="24"/>
          <w:szCs w:val="24"/>
        </w:rPr>
      </w:pPr>
    </w:p>
    <w:p w14:paraId="7290730D" w14:textId="77777777" w:rsidR="00D6441A" w:rsidRPr="00FA2ED4" w:rsidRDefault="00D6441A" w:rsidP="00DC54F7">
      <w:pPr>
        <w:pStyle w:val="ListParagraph"/>
        <w:numPr>
          <w:ilvl w:val="0"/>
          <w:numId w:val="142"/>
        </w:numPr>
        <w:spacing w:after="0" w:line="240" w:lineRule="auto"/>
        <w:jc w:val="both"/>
        <w:rPr>
          <w:rFonts w:ascii="Arial" w:hAnsi="Arial" w:cs="Arial"/>
          <w:sz w:val="24"/>
          <w:szCs w:val="24"/>
        </w:rPr>
      </w:pPr>
      <w:r w:rsidRPr="00FA2ED4">
        <w:rPr>
          <w:rFonts w:ascii="Arial" w:hAnsi="Arial" w:cs="Arial"/>
          <w:sz w:val="24"/>
          <w:szCs w:val="24"/>
        </w:rPr>
        <w:t>11 pharmacies provided a total of 747 emergency contraception consultations, with a range of one to 399 consultations.</w:t>
      </w:r>
    </w:p>
    <w:p w14:paraId="2A9ABC40" w14:textId="428879B0" w:rsidR="00D6441A" w:rsidRPr="00FA2ED4" w:rsidRDefault="00D6441A" w:rsidP="00DC54F7">
      <w:pPr>
        <w:pStyle w:val="ListParagraph"/>
        <w:numPr>
          <w:ilvl w:val="0"/>
          <w:numId w:val="86"/>
        </w:numPr>
        <w:spacing w:after="0" w:line="240" w:lineRule="auto"/>
        <w:jc w:val="both"/>
        <w:rPr>
          <w:rFonts w:ascii="Arial" w:hAnsi="Arial" w:cs="Arial"/>
          <w:sz w:val="24"/>
          <w:szCs w:val="24"/>
        </w:rPr>
      </w:pPr>
      <w:r w:rsidRPr="00FA2ED4">
        <w:rPr>
          <w:rFonts w:ascii="Arial" w:hAnsi="Arial" w:cs="Arial"/>
          <w:sz w:val="24"/>
          <w:szCs w:val="24"/>
        </w:rPr>
        <w:t xml:space="preserve">Three pharmacies provided a total of 44 smoking cessation level 3 consultations, with a range of six to </w:t>
      </w:r>
      <w:r w:rsidR="003B32D4" w:rsidRPr="00FA2ED4">
        <w:rPr>
          <w:rFonts w:ascii="Arial" w:hAnsi="Arial" w:cs="Arial"/>
          <w:sz w:val="24"/>
          <w:szCs w:val="24"/>
        </w:rPr>
        <w:t>28</w:t>
      </w:r>
      <w:r w:rsidRPr="00FA2ED4">
        <w:rPr>
          <w:rFonts w:ascii="Arial" w:hAnsi="Arial" w:cs="Arial"/>
          <w:sz w:val="24"/>
          <w:szCs w:val="24"/>
        </w:rPr>
        <w:t xml:space="preserve"> consultations.</w:t>
      </w:r>
    </w:p>
    <w:p w14:paraId="0D34A6EA" w14:textId="77777777" w:rsidR="00D6441A" w:rsidRPr="00FA2ED4" w:rsidRDefault="00D6441A" w:rsidP="00DC54F7">
      <w:pPr>
        <w:pStyle w:val="ListParagraph"/>
        <w:numPr>
          <w:ilvl w:val="0"/>
          <w:numId w:val="86"/>
        </w:numPr>
        <w:spacing w:after="0" w:line="240" w:lineRule="auto"/>
        <w:jc w:val="both"/>
        <w:rPr>
          <w:rFonts w:ascii="Arial" w:hAnsi="Arial" w:cs="Arial"/>
          <w:sz w:val="24"/>
          <w:szCs w:val="24"/>
        </w:rPr>
      </w:pPr>
      <w:r w:rsidRPr="00FA2ED4">
        <w:rPr>
          <w:rFonts w:ascii="Arial" w:hAnsi="Arial" w:cs="Arial"/>
          <w:sz w:val="24"/>
          <w:szCs w:val="24"/>
        </w:rPr>
        <w:t>18 pharmacies provided a total of 2047 flu vaccinations, with a range of four to 251 vaccinations.</w:t>
      </w:r>
    </w:p>
    <w:p w14:paraId="37F4134F" w14:textId="75123B6A" w:rsidR="00D6441A" w:rsidRPr="00FA2ED4" w:rsidRDefault="00D6441A" w:rsidP="00DC54F7">
      <w:pPr>
        <w:pStyle w:val="ListParagraph"/>
        <w:numPr>
          <w:ilvl w:val="0"/>
          <w:numId w:val="86"/>
        </w:numPr>
        <w:spacing w:after="0" w:line="240" w:lineRule="auto"/>
        <w:jc w:val="both"/>
        <w:rPr>
          <w:rFonts w:ascii="Arial" w:hAnsi="Arial" w:cs="Arial"/>
          <w:sz w:val="24"/>
          <w:szCs w:val="24"/>
        </w:rPr>
      </w:pPr>
      <w:r w:rsidRPr="00FA2ED4">
        <w:rPr>
          <w:rFonts w:ascii="Arial" w:hAnsi="Arial" w:cs="Arial"/>
          <w:sz w:val="24"/>
          <w:szCs w:val="24"/>
        </w:rPr>
        <w:t>19 pharmacies</w:t>
      </w:r>
      <w:r w:rsidR="009120B2" w:rsidRPr="00FA2ED4">
        <w:rPr>
          <w:rFonts w:ascii="Arial" w:hAnsi="Arial" w:cs="Arial"/>
          <w:sz w:val="24"/>
          <w:szCs w:val="24"/>
        </w:rPr>
        <w:t>*</w:t>
      </w:r>
      <w:r w:rsidRPr="00FA2ED4">
        <w:rPr>
          <w:rFonts w:ascii="Arial" w:hAnsi="Arial" w:cs="Arial"/>
          <w:sz w:val="24"/>
          <w:szCs w:val="24"/>
        </w:rPr>
        <w:t xml:space="preserve"> provided a total of 1289 CAS consultations, with a range of nine to 300 consultations.</w:t>
      </w:r>
    </w:p>
    <w:p w14:paraId="36BBDD00" w14:textId="6207022F" w:rsidR="006C2EB8" w:rsidRPr="00FA2ED4" w:rsidRDefault="00D6441A" w:rsidP="00DC54F7">
      <w:pPr>
        <w:pStyle w:val="ListParagraph"/>
        <w:numPr>
          <w:ilvl w:val="0"/>
          <w:numId w:val="86"/>
        </w:numPr>
        <w:spacing w:after="0" w:line="240" w:lineRule="auto"/>
        <w:jc w:val="both"/>
        <w:rPr>
          <w:rFonts w:ascii="Arial" w:hAnsi="Arial" w:cs="Arial"/>
          <w:sz w:val="24"/>
          <w:szCs w:val="24"/>
        </w:rPr>
      </w:pPr>
      <w:r w:rsidRPr="00FA2ED4">
        <w:rPr>
          <w:rFonts w:ascii="Arial" w:hAnsi="Arial" w:cs="Arial"/>
          <w:sz w:val="24"/>
          <w:szCs w:val="24"/>
        </w:rPr>
        <w:t>Five pharmacies provided a total of 267 EMS consultations, with a range of one to 158 consultations</w:t>
      </w:r>
      <w:r w:rsidR="00D01552" w:rsidRPr="00FA2ED4">
        <w:rPr>
          <w:rFonts w:ascii="Arial" w:hAnsi="Arial" w:cs="Arial"/>
          <w:sz w:val="24"/>
          <w:szCs w:val="24"/>
        </w:rPr>
        <w:t>.</w:t>
      </w:r>
    </w:p>
    <w:p w14:paraId="229BE03B" w14:textId="77777777" w:rsidR="005751BB" w:rsidRPr="00FA2ED4" w:rsidRDefault="005751BB" w:rsidP="00DC54F7">
      <w:pPr>
        <w:pStyle w:val="ListParagraph"/>
        <w:spacing w:after="0" w:line="240" w:lineRule="auto"/>
        <w:ind w:left="360"/>
        <w:jc w:val="both"/>
        <w:rPr>
          <w:rFonts w:ascii="Arial" w:hAnsi="Arial" w:cs="Arial"/>
          <w:sz w:val="24"/>
          <w:szCs w:val="24"/>
        </w:rPr>
      </w:pPr>
    </w:p>
    <w:p w14:paraId="0818FD9A" w14:textId="549EEBFC" w:rsidR="005751BB" w:rsidRDefault="005751BB" w:rsidP="00DC54F7">
      <w:pPr>
        <w:spacing w:after="0" w:line="240" w:lineRule="auto"/>
        <w:jc w:val="both"/>
        <w:rPr>
          <w:rFonts w:ascii="Arial" w:hAnsi="Arial" w:cs="Arial"/>
          <w:sz w:val="24"/>
          <w:szCs w:val="24"/>
        </w:rPr>
      </w:pPr>
      <w:r w:rsidRPr="00FA2ED4">
        <w:rPr>
          <w:rFonts w:ascii="Arial" w:hAnsi="Arial" w:cs="Arial"/>
          <w:sz w:val="24"/>
          <w:szCs w:val="24"/>
        </w:rPr>
        <w:t>Other enhanced services included:</w:t>
      </w:r>
    </w:p>
    <w:p w14:paraId="377FDE2C" w14:textId="0A9FECA4" w:rsidR="00504062" w:rsidRPr="00E433C0" w:rsidRDefault="006F3189" w:rsidP="00DC54F7">
      <w:pPr>
        <w:pStyle w:val="ListParagraph"/>
        <w:numPr>
          <w:ilvl w:val="0"/>
          <w:numId w:val="195"/>
        </w:numPr>
        <w:spacing w:after="0" w:line="240" w:lineRule="auto"/>
        <w:jc w:val="both"/>
        <w:rPr>
          <w:rFonts w:ascii="Arial" w:hAnsi="Arial" w:cs="Arial"/>
          <w:color w:val="000000"/>
          <w:sz w:val="24"/>
          <w:szCs w:val="24"/>
        </w:rPr>
      </w:pPr>
      <w:r w:rsidRPr="00504062">
        <w:rPr>
          <w:rFonts w:ascii="Arial" w:hAnsi="Arial" w:cs="Arial"/>
          <w:sz w:val="24"/>
          <w:szCs w:val="24"/>
        </w:rPr>
        <w:t xml:space="preserve">Four pharmacies provided </w:t>
      </w:r>
      <w:r w:rsidR="00E433C0" w:rsidRPr="00752236">
        <w:rPr>
          <w:rFonts w:ascii="Arial" w:hAnsi="Arial" w:cs="Arial"/>
          <w:sz w:val="24"/>
          <w:szCs w:val="24"/>
        </w:rPr>
        <w:t xml:space="preserve">the </w:t>
      </w:r>
      <w:r w:rsidR="00E433C0" w:rsidRPr="00752236">
        <w:rPr>
          <w:rFonts w:ascii="Arial" w:hAnsi="Arial" w:cs="Arial"/>
          <w:color w:val="000000"/>
          <w:sz w:val="24"/>
          <w:szCs w:val="24"/>
        </w:rPr>
        <w:t>Supervised Administration of Medicines Enhanced Service.</w:t>
      </w:r>
    </w:p>
    <w:p w14:paraId="56F71D73" w14:textId="08AB87A8" w:rsidR="005751BB" w:rsidRPr="00504062" w:rsidRDefault="0025153E" w:rsidP="00DC54F7">
      <w:pPr>
        <w:pStyle w:val="ListParagraph"/>
        <w:numPr>
          <w:ilvl w:val="0"/>
          <w:numId w:val="154"/>
        </w:numPr>
        <w:spacing w:after="0" w:line="240" w:lineRule="auto"/>
        <w:jc w:val="both"/>
        <w:rPr>
          <w:rFonts w:ascii="Arial" w:hAnsi="Arial" w:cs="Arial"/>
          <w:sz w:val="24"/>
          <w:szCs w:val="24"/>
        </w:rPr>
      </w:pPr>
      <w:r w:rsidRPr="00504062">
        <w:rPr>
          <w:rFonts w:ascii="Arial" w:hAnsi="Arial" w:cs="Arial"/>
          <w:sz w:val="24"/>
          <w:szCs w:val="24"/>
        </w:rPr>
        <w:t>Five</w:t>
      </w:r>
      <w:r w:rsidR="005751BB" w:rsidRPr="00504062">
        <w:rPr>
          <w:rFonts w:ascii="Arial" w:hAnsi="Arial" w:cs="Arial"/>
          <w:sz w:val="24"/>
          <w:szCs w:val="24"/>
        </w:rPr>
        <w:t xml:space="preserve"> pharmacies provided the palliative care service</w:t>
      </w:r>
      <w:r w:rsidR="003E0482" w:rsidRPr="00504062">
        <w:rPr>
          <w:rFonts w:ascii="Arial" w:hAnsi="Arial" w:cs="Arial"/>
          <w:sz w:val="24"/>
          <w:szCs w:val="24"/>
        </w:rPr>
        <w:t>.</w:t>
      </w:r>
    </w:p>
    <w:p w14:paraId="3B945865" w14:textId="1E214FC4" w:rsidR="006C2EB8" w:rsidRPr="00FA2ED4" w:rsidRDefault="006C2EB8" w:rsidP="00DC54F7">
      <w:pPr>
        <w:spacing w:after="0" w:line="240" w:lineRule="auto"/>
        <w:jc w:val="both"/>
        <w:rPr>
          <w:rFonts w:ascii="Arial" w:hAnsi="Arial" w:cs="Arial"/>
          <w:sz w:val="24"/>
          <w:szCs w:val="24"/>
        </w:rPr>
      </w:pPr>
    </w:p>
    <w:p w14:paraId="04E1F1AE" w14:textId="79D75A46" w:rsidR="00FB02B0" w:rsidRPr="00FA2ED4" w:rsidRDefault="00FB02B0" w:rsidP="00DC54F7">
      <w:pPr>
        <w:spacing w:after="0" w:line="240" w:lineRule="auto"/>
        <w:jc w:val="both"/>
        <w:rPr>
          <w:rFonts w:ascii="Arial" w:hAnsi="Arial" w:cs="Arial"/>
          <w:sz w:val="24"/>
          <w:szCs w:val="24"/>
        </w:rPr>
      </w:pPr>
      <w:r w:rsidRPr="00FA2ED4">
        <w:rPr>
          <w:rFonts w:ascii="Arial" w:hAnsi="Arial" w:cs="Arial"/>
          <w:sz w:val="24"/>
          <w:szCs w:val="24"/>
        </w:rPr>
        <w:t xml:space="preserve">*In 2019 to 2020 there were 19 pharmacies operating within the cluster area. One pharmacy closed in September 2020 for business reasons and did offer the contract for sale. </w:t>
      </w:r>
    </w:p>
    <w:p w14:paraId="7EFDD5B6" w14:textId="6B015841" w:rsidR="009120B2" w:rsidRPr="009120B2" w:rsidRDefault="009120B2" w:rsidP="00DC54F7">
      <w:pPr>
        <w:spacing w:after="0" w:line="240" w:lineRule="auto"/>
        <w:jc w:val="both"/>
        <w:rPr>
          <w:rFonts w:ascii="Arial" w:hAnsi="Arial" w:cs="Arial"/>
        </w:rPr>
      </w:pPr>
    </w:p>
    <w:p w14:paraId="0A559593" w14:textId="77777777" w:rsidR="006626F7" w:rsidRPr="00A10850" w:rsidRDefault="006626F7" w:rsidP="00DC54F7">
      <w:pPr>
        <w:spacing w:after="0" w:line="240" w:lineRule="auto"/>
        <w:jc w:val="both"/>
        <w:rPr>
          <w:rFonts w:ascii="Arial" w:hAnsi="Arial" w:cs="Arial"/>
        </w:rPr>
      </w:pPr>
    </w:p>
    <w:p w14:paraId="0606F1A8" w14:textId="7D317F38" w:rsidR="0063382E" w:rsidRPr="00A10850" w:rsidRDefault="0041436D" w:rsidP="00DC54F7">
      <w:pPr>
        <w:spacing w:after="0" w:line="240" w:lineRule="auto"/>
        <w:jc w:val="both"/>
        <w:rPr>
          <w:rFonts w:ascii="Arial" w:hAnsi="Arial" w:cs="Arial"/>
          <w:b/>
          <w:sz w:val="26"/>
          <w:szCs w:val="26"/>
          <w:lang w:val="en-US"/>
        </w:rPr>
      </w:pPr>
      <w:r>
        <w:rPr>
          <w:rFonts w:ascii="Arial" w:hAnsi="Arial" w:cs="Arial"/>
          <w:b/>
          <w:sz w:val="26"/>
          <w:szCs w:val="26"/>
          <w:lang w:val="en-US"/>
        </w:rPr>
        <w:t>11</w:t>
      </w:r>
      <w:r w:rsidR="0063382E" w:rsidRPr="00A10850">
        <w:rPr>
          <w:rFonts w:ascii="Arial" w:hAnsi="Arial" w:cs="Arial"/>
          <w:b/>
          <w:sz w:val="26"/>
          <w:szCs w:val="26"/>
          <w:lang w:val="en-US"/>
        </w:rPr>
        <w:t xml:space="preserve">.3 Current provision of pharmaceutical services outside the </w:t>
      </w:r>
      <w:r w:rsidR="006D6C5C">
        <w:rPr>
          <w:rFonts w:ascii="Arial" w:hAnsi="Arial" w:cs="Arial"/>
          <w:b/>
          <w:sz w:val="26"/>
          <w:szCs w:val="26"/>
          <w:lang w:val="en-US"/>
        </w:rPr>
        <w:t>cluster</w:t>
      </w:r>
    </w:p>
    <w:p w14:paraId="537170CE" w14:textId="77777777" w:rsidR="0063382E" w:rsidRPr="00A10850" w:rsidRDefault="0063382E" w:rsidP="00DC54F7">
      <w:pPr>
        <w:spacing w:after="0" w:line="240" w:lineRule="auto"/>
        <w:jc w:val="both"/>
        <w:rPr>
          <w:rFonts w:ascii="Arial" w:hAnsi="Arial" w:cs="Arial"/>
          <w:lang w:val="en-US"/>
        </w:rPr>
      </w:pPr>
    </w:p>
    <w:p w14:paraId="774AF6AA" w14:textId="77777777" w:rsidR="00F52988" w:rsidRPr="002D7C61" w:rsidRDefault="00F52988" w:rsidP="00DC54F7">
      <w:pPr>
        <w:spacing w:after="0" w:line="240" w:lineRule="auto"/>
        <w:jc w:val="both"/>
        <w:rPr>
          <w:rFonts w:ascii="Arial" w:hAnsi="Arial" w:cs="Arial"/>
          <w:sz w:val="24"/>
          <w:szCs w:val="24"/>
          <w:lang w:val="en-US"/>
        </w:rPr>
      </w:pPr>
      <w:r w:rsidRPr="002D7C61">
        <w:rPr>
          <w:rFonts w:ascii="Arial" w:hAnsi="Arial" w:cs="Arial"/>
          <w:sz w:val="24"/>
          <w:szCs w:val="24"/>
          <w:lang w:val="en-US"/>
        </w:rPr>
        <w:t>Some residents choose to access contractors outside both the cluster and the health board’s area in order to access services:</w:t>
      </w:r>
    </w:p>
    <w:p w14:paraId="11E5CB13" w14:textId="77777777" w:rsidR="00F52988" w:rsidRPr="002D7C61" w:rsidRDefault="00F52988" w:rsidP="00DC54F7">
      <w:pPr>
        <w:spacing w:after="0" w:line="240" w:lineRule="auto"/>
        <w:jc w:val="both"/>
        <w:rPr>
          <w:rFonts w:ascii="Arial" w:hAnsi="Arial" w:cs="Arial"/>
          <w:sz w:val="24"/>
          <w:szCs w:val="24"/>
          <w:lang w:val="en-US"/>
        </w:rPr>
      </w:pPr>
    </w:p>
    <w:p w14:paraId="37AC605C" w14:textId="0393DD45" w:rsidR="00F52988" w:rsidRPr="002D7C61" w:rsidRDefault="00573DCE" w:rsidP="00DC54F7">
      <w:pPr>
        <w:numPr>
          <w:ilvl w:val="0"/>
          <w:numId w:val="49"/>
        </w:numPr>
        <w:spacing w:after="0" w:line="240" w:lineRule="auto"/>
        <w:jc w:val="both"/>
        <w:rPr>
          <w:rFonts w:ascii="Arial" w:hAnsi="Arial" w:cs="Arial"/>
          <w:sz w:val="24"/>
          <w:szCs w:val="24"/>
          <w:lang w:val="en-US"/>
        </w:rPr>
      </w:pPr>
      <w:r w:rsidRPr="002D7C61">
        <w:rPr>
          <w:rFonts w:ascii="Arial" w:hAnsi="Arial" w:cs="Arial"/>
          <w:sz w:val="24"/>
          <w:szCs w:val="24"/>
          <w:lang w:val="en-US"/>
        </w:rPr>
        <w:t>Offered by dispensing appliance contractors.</w:t>
      </w:r>
    </w:p>
    <w:p w14:paraId="6AF975B2" w14:textId="77777777" w:rsidR="00F52988" w:rsidRPr="002D7C61" w:rsidRDefault="00F52988" w:rsidP="00DC54F7">
      <w:pPr>
        <w:numPr>
          <w:ilvl w:val="0"/>
          <w:numId w:val="49"/>
        </w:numPr>
        <w:spacing w:after="0" w:line="240" w:lineRule="auto"/>
        <w:jc w:val="both"/>
        <w:rPr>
          <w:rFonts w:ascii="Arial" w:hAnsi="Arial" w:cs="Arial"/>
          <w:sz w:val="24"/>
          <w:szCs w:val="24"/>
          <w:lang w:val="en-US"/>
        </w:rPr>
      </w:pPr>
      <w:r w:rsidRPr="002D7C61">
        <w:rPr>
          <w:rFonts w:ascii="Arial" w:hAnsi="Arial" w:cs="Arial"/>
          <w:sz w:val="24"/>
          <w:szCs w:val="24"/>
          <w:lang w:val="en-US"/>
        </w:rPr>
        <w:t>Which are located near to where they work, shop or visit for leisure or other purposes.</w:t>
      </w:r>
    </w:p>
    <w:p w14:paraId="7F252A6B" w14:textId="77777777" w:rsidR="00F52988" w:rsidRPr="002D7C61" w:rsidRDefault="00F52988" w:rsidP="00DC54F7">
      <w:pPr>
        <w:spacing w:after="0" w:line="240" w:lineRule="auto"/>
        <w:jc w:val="both"/>
        <w:rPr>
          <w:rFonts w:ascii="Arial" w:hAnsi="Arial" w:cs="Arial"/>
          <w:sz w:val="24"/>
          <w:szCs w:val="24"/>
          <w:lang w:val="en-US"/>
        </w:rPr>
      </w:pPr>
    </w:p>
    <w:p w14:paraId="4FD93558" w14:textId="1F14AA05" w:rsidR="00F52988" w:rsidRPr="002D7C61" w:rsidRDefault="00F52988" w:rsidP="00DC54F7">
      <w:pPr>
        <w:shd w:val="clear" w:color="auto" w:fill="FFFFFF"/>
        <w:spacing w:after="0"/>
        <w:jc w:val="both"/>
        <w:rPr>
          <w:rFonts w:ascii="Arial" w:hAnsi="Arial" w:cs="Arial"/>
          <w:color w:val="000000" w:themeColor="text1"/>
          <w:sz w:val="24"/>
          <w:szCs w:val="24"/>
        </w:rPr>
      </w:pPr>
      <w:r w:rsidRPr="002D7C61">
        <w:rPr>
          <w:rFonts w:ascii="Arial" w:hAnsi="Arial" w:cs="Arial"/>
          <w:color w:val="000000" w:themeColor="text1"/>
          <w:sz w:val="24"/>
          <w:szCs w:val="24"/>
        </w:rPr>
        <w:t>Whilst the majority of prescriptions written by the GP practices in 2019 to 2020 were dispensed by the pharmacies in the cluster, around 1</w:t>
      </w:r>
      <w:r w:rsidR="00774FD8" w:rsidRPr="002D7C61">
        <w:rPr>
          <w:rFonts w:ascii="Arial" w:hAnsi="Arial" w:cs="Arial"/>
          <w:color w:val="000000" w:themeColor="text1"/>
          <w:sz w:val="24"/>
          <w:szCs w:val="24"/>
        </w:rPr>
        <w:t>5</w:t>
      </w:r>
      <w:r w:rsidRPr="002D7C61">
        <w:rPr>
          <w:rFonts w:ascii="Arial" w:hAnsi="Arial" w:cs="Arial"/>
          <w:color w:val="000000" w:themeColor="text1"/>
          <w:sz w:val="24"/>
          <w:szCs w:val="24"/>
        </w:rPr>
        <w:t>.</w:t>
      </w:r>
      <w:r w:rsidR="00774FD8" w:rsidRPr="002D7C61">
        <w:rPr>
          <w:rFonts w:ascii="Arial" w:hAnsi="Arial" w:cs="Arial"/>
          <w:color w:val="000000" w:themeColor="text1"/>
          <w:sz w:val="24"/>
          <w:szCs w:val="24"/>
        </w:rPr>
        <w:t>8</w:t>
      </w:r>
      <w:r w:rsidRPr="002D7C61">
        <w:rPr>
          <w:rFonts w:ascii="Arial" w:hAnsi="Arial" w:cs="Arial"/>
          <w:color w:val="000000" w:themeColor="text1"/>
          <w:sz w:val="24"/>
          <w:szCs w:val="24"/>
        </w:rPr>
        <w:t>% were dispensed outside the cluster, most notably:</w:t>
      </w:r>
    </w:p>
    <w:p w14:paraId="5AE04F27" w14:textId="77777777" w:rsidR="00F52988" w:rsidRPr="002D7C61" w:rsidRDefault="00F52988" w:rsidP="00DC54F7">
      <w:pPr>
        <w:shd w:val="clear" w:color="auto" w:fill="FFFFFF"/>
        <w:spacing w:after="0"/>
        <w:jc w:val="both"/>
        <w:rPr>
          <w:rFonts w:ascii="Arial" w:hAnsi="Arial" w:cs="Arial"/>
          <w:color w:val="000000"/>
          <w:sz w:val="24"/>
          <w:szCs w:val="24"/>
        </w:rPr>
      </w:pPr>
    </w:p>
    <w:p w14:paraId="1E8F1A10" w14:textId="47D87622" w:rsidR="00F52988" w:rsidRPr="002D7C61" w:rsidRDefault="00F54661"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2D7C61">
        <w:rPr>
          <w:rFonts w:ascii="Arial" w:hAnsi="Arial" w:cs="Arial"/>
          <w:color w:val="000000" w:themeColor="text1"/>
          <w:sz w:val="24"/>
          <w:szCs w:val="24"/>
        </w:rPr>
        <w:t>10</w:t>
      </w:r>
      <w:r w:rsidR="00F52988" w:rsidRPr="002D7C61">
        <w:rPr>
          <w:rFonts w:ascii="Arial" w:hAnsi="Arial" w:cs="Arial"/>
          <w:color w:val="000000" w:themeColor="text1"/>
          <w:sz w:val="24"/>
          <w:szCs w:val="24"/>
        </w:rPr>
        <w:t>.</w:t>
      </w:r>
      <w:r w:rsidRPr="002D7C61">
        <w:rPr>
          <w:rFonts w:ascii="Arial" w:hAnsi="Arial" w:cs="Arial"/>
          <w:color w:val="000000" w:themeColor="text1"/>
          <w:sz w:val="24"/>
          <w:szCs w:val="24"/>
        </w:rPr>
        <w:t>0</w:t>
      </w:r>
      <w:r w:rsidR="00F52988" w:rsidRPr="002D7C61">
        <w:rPr>
          <w:rFonts w:ascii="Arial" w:hAnsi="Arial" w:cs="Arial"/>
          <w:color w:val="000000" w:themeColor="text1"/>
          <w:sz w:val="24"/>
          <w:szCs w:val="24"/>
        </w:rPr>
        <w:t>% by pharmacies in Cardiff South East cluster</w:t>
      </w:r>
    </w:p>
    <w:p w14:paraId="72E79567" w14:textId="0EF32DDD" w:rsidR="00F52988" w:rsidRPr="002D7C61" w:rsidRDefault="00F54661"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2D7C61">
        <w:rPr>
          <w:rFonts w:ascii="Arial" w:hAnsi="Arial" w:cs="Arial"/>
          <w:color w:val="000000" w:themeColor="text1"/>
          <w:sz w:val="24"/>
          <w:szCs w:val="24"/>
        </w:rPr>
        <w:t>2</w:t>
      </w:r>
      <w:r w:rsidR="00F52988" w:rsidRPr="002D7C61">
        <w:rPr>
          <w:rFonts w:ascii="Arial" w:hAnsi="Arial" w:cs="Arial"/>
          <w:color w:val="000000" w:themeColor="text1"/>
          <w:sz w:val="24"/>
          <w:szCs w:val="24"/>
        </w:rPr>
        <w:t>.</w:t>
      </w:r>
      <w:r w:rsidRPr="002D7C61">
        <w:rPr>
          <w:rFonts w:ascii="Arial" w:hAnsi="Arial" w:cs="Arial"/>
          <w:color w:val="000000" w:themeColor="text1"/>
          <w:sz w:val="24"/>
          <w:szCs w:val="24"/>
        </w:rPr>
        <w:t>7</w:t>
      </w:r>
      <w:r w:rsidR="00F52988" w:rsidRPr="002D7C61">
        <w:rPr>
          <w:rFonts w:ascii="Arial" w:hAnsi="Arial" w:cs="Arial"/>
          <w:color w:val="000000" w:themeColor="text1"/>
          <w:sz w:val="24"/>
          <w:szCs w:val="24"/>
        </w:rPr>
        <w:t>% by pharmacies in Cardiff City &amp; South cluster</w:t>
      </w:r>
    </w:p>
    <w:p w14:paraId="22333F4B" w14:textId="2400E786" w:rsidR="00AF129F" w:rsidRPr="002D7C61" w:rsidRDefault="00AF129F"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2D7C61">
        <w:rPr>
          <w:rFonts w:ascii="Arial" w:hAnsi="Arial" w:cs="Arial"/>
          <w:color w:val="000000" w:themeColor="text1"/>
          <w:sz w:val="24"/>
          <w:szCs w:val="24"/>
        </w:rPr>
        <w:t>1.</w:t>
      </w:r>
      <w:r w:rsidR="008D18C8" w:rsidRPr="002D7C61">
        <w:rPr>
          <w:rFonts w:ascii="Arial" w:hAnsi="Arial" w:cs="Arial"/>
          <w:color w:val="000000" w:themeColor="text1"/>
          <w:sz w:val="24"/>
          <w:szCs w:val="24"/>
        </w:rPr>
        <w:t>2</w:t>
      </w:r>
      <w:r w:rsidRPr="002D7C61">
        <w:rPr>
          <w:rFonts w:ascii="Arial" w:hAnsi="Arial" w:cs="Arial"/>
          <w:color w:val="000000" w:themeColor="text1"/>
          <w:sz w:val="24"/>
          <w:szCs w:val="24"/>
        </w:rPr>
        <w:t>% by pharmacie</w:t>
      </w:r>
      <w:r w:rsidR="005F49E5" w:rsidRPr="002D7C61">
        <w:rPr>
          <w:rFonts w:ascii="Arial" w:hAnsi="Arial" w:cs="Arial"/>
          <w:color w:val="000000" w:themeColor="text1"/>
          <w:sz w:val="24"/>
          <w:szCs w:val="24"/>
        </w:rPr>
        <w:t>s in Cardiff West clusters</w:t>
      </w:r>
    </w:p>
    <w:p w14:paraId="395B7619" w14:textId="0B246C03" w:rsidR="00F52988" w:rsidRPr="002D7C61" w:rsidRDefault="00F54661"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2D7C61">
        <w:rPr>
          <w:rFonts w:ascii="Arial" w:hAnsi="Arial" w:cs="Arial"/>
          <w:color w:val="000000" w:themeColor="text1"/>
          <w:sz w:val="24"/>
          <w:szCs w:val="24"/>
        </w:rPr>
        <w:t>0</w:t>
      </w:r>
      <w:r w:rsidR="00F52988" w:rsidRPr="002D7C61">
        <w:rPr>
          <w:rFonts w:ascii="Arial" w:hAnsi="Arial" w:cs="Arial"/>
          <w:color w:val="000000" w:themeColor="text1"/>
          <w:sz w:val="24"/>
          <w:szCs w:val="24"/>
        </w:rPr>
        <w:t>.</w:t>
      </w:r>
      <w:r w:rsidRPr="002D7C61">
        <w:rPr>
          <w:rFonts w:ascii="Arial" w:hAnsi="Arial" w:cs="Arial"/>
          <w:color w:val="000000" w:themeColor="text1"/>
          <w:sz w:val="24"/>
          <w:szCs w:val="24"/>
        </w:rPr>
        <w:t>7</w:t>
      </w:r>
      <w:r w:rsidR="00F52988" w:rsidRPr="002D7C61">
        <w:rPr>
          <w:rFonts w:ascii="Arial" w:hAnsi="Arial" w:cs="Arial"/>
          <w:color w:val="000000" w:themeColor="text1"/>
          <w:sz w:val="24"/>
          <w:szCs w:val="24"/>
        </w:rPr>
        <w:t xml:space="preserve">% by pharmacies in Cardiff </w:t>
      </w:r>
      <w:r w:rsidRPr="002D7C61">
        <w:rPr>
          <w:rFonts w:ascii="Arial" w:hAnsi="Arial" w:cs="Arial"/>
          <w:color w:val="000000" w:themeColor="text1"/>
          <w:sz w:val="24"/>
          <w:szCs w:val="24"/>
        </w:rPr>
        <w:t>East</w:t>
      </w:r>
      <w:r w:rsidR="00F52988" w:rsidRPr="002D7C61">
        <w:rPr>
          <w:rFonts w:ascii="Arial" w:hAnsi="Arial" w:cs="Arial"/>
          <w:color w:val="000000" w:themeColor="text1"/>
          <w:sz w:val="24"/>
          <w:szCs w:val="24"/>
        </w:rPr>
        <w:t xml:space="preserve"> cluster</w:t>
      </w:r>
    </w:p>
    <w:p w14:paraId="04CE634B" w14:textId="77777777" w:rsidR="00F52988" w:rsidRPr="002D7C61" w:rsidRDefault="00F52988"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2D7C61">
        <w:rPr>
          <w:rFonts w:ascii="Arial" w:hAnsi="Arial" w:cs="Arial"/>
          <w:color w:val="000000" w:themeColor="text1"/>
          <w:sz w:val="24"/>
          <w:szCs w:val="24"/>
        </w:rPr>
        <w:t>0.1% by pharmacies in Cardiff South West cluster</w:t>
      </w:r>
    </w:p>
    <w:p w14:paraId="7CC3EF49" w14:textId="4E984B8B" w:rsidR="00F52988" w:rsidRPr="002D7C61" w:rsidRDefault="006A62D8"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2D7C61">
        <w:rPr>
          <w:rFonts w:ascii="Arial" w:hAnsi="Arial" w:cs="Arial"/>
          <w:color w:val="000000" w:themeColor="text1"/>
          <w:sz w:val="24"/>
          <w:szCs w:val="24"/>
        </w:rPr>
        <w:t>0</w:t>
      </w:r>
      <w:r w:rsidR="00F52988" w:rsidRPr="002D7C61">
        <w:rPr>
          <w:rFonts w:ascii="Arial" w:hAnsi="Arial" w:cs="Arial"/>
          <w:color w:val="000000" w:themeColor="text1"/>
          <w:sz w:val="24"/>
          <w:szCs w:val="24"/>
        </w:rPr>
        <w:t>.</w:t>
      </w:r>
      <w:r w:rsidRPr="002D7C61">
        <w:rPr>
          <w:rFonts w:ascii="Arial" w:hAnsi="Arial" w:cs="Arial"/>
          <w:color w:val="000000" w:themeColor="text1"/>
          <w:sz w:val="24"/>
          <w:szCs w:val="24"/>
        </w:rPr>
        <w:t>2</w:t>
      </w:r>
      <w:r w:rsidR="00F52988" w:rsidRPr="002D7C61">
        <w:rPr>
          <w:rFonts w:ascii="Arial" w:hAnsi="Arial" w:cs="Arial"/>
          <w:color w:val="000000" w:themeColor="text1"/>
          <w:sz w:val="24"/>
          <w:szCs w:val="24"/>
        </w:rPr>
        <w:t>% in Aneurin Bevan University Health Board</w:t>
      </w:r>
    </w:p>
    <w:p w14:paraId="03BFC8D2" w14:textId="119CFC96" w:rsidR="00F52988" w:rsidRPr="002D7C61" w:rsidRDefault="00F52988" w:rsidP="00DC54F7">
      <w:pPr>
        <w:pStyle w:val="ListParagraph"/>
        <w:numPr>
          <w:ilvl w:val="0"/>
          <w:numId w:val="143"/>
        </w:numPr>
        <w:spacing w:after="0" w:line="240" w:lineRule="auto"/>
        <w:jc w:val="both"/>
        <w:rPr>
          <w:rFonts w:ascii="Arial" w:eastAsia="Times New Roman" w:hAnsi="Arial" w:cs="Arial"/>
          <w:color w:val="000000"/>
          <w:sz w:val="24"/>
          <w:szCs w:val="24"/>
          <w:lang w:eastAsia="en-GB"/>
        </w:rPr>
      </w:pPr>
      <w:r w:rsidRPr="002D7C61">
        <w:rPr>
          <w:rFonts w:ascii="Arial" w:hAnsi="Arial" w:cs="Arial"/>
          <w:color w:val="000000" w:themeColor="text1"/>
          <w:sz w:val="24"/>
          <w:szCs w:val="24"/>
        </w:rPr>
        <w:t>0.</w:t>
      </w:r>
      <w:r w:rsidR="006A62D8" w:rsidRPr="002D7C61">
        <w:rPr>
          <w:rFonts w:ascii="Arial" w:hAnsi="Arial" w:cs="Arial"/>
          <w:color w:val="000000" w:themeColor="text1"/>
          <w:sz w:val="24"/>
          <w:szCs w:val="24"/>
        </w:rPr>
        <w:t>1</w:t>
      </w:r>
      <w:r w:rsidRPr="002D7C61">
        <w:rPr>
          <w:rFonts w:ascii="Arial" w:hAnsi="Arial" w:cs="Arial"/>
          <w:color w:val="000000" w:themeColor="text1"/>
          <w:sz w:val="24"/>
          <w:szCs w:val="24"/>
        </w:rPr>
        <w:t xml:space="preserve">% in </w:t>
      </w:r>
      <w:r w:rsidRPr="002D7C61">
        <w:rPr>
          <w:rFonts w:ascii="Arial" w:eastAsia="Times New Roman" w:hAnsi="Arial" w:cs="Arial"/>
          <w:color w:val="000000"/>
          <w:sz w:val="24"/>
          <w:szCs w:val="24"/>
          <w:lang w:eastAsia="en-GB"/>
        </w:rPr>
        <w:t>Cwm Taf Morgannwg University Health Board</w:t>
      </w:r>
    </w:p>
    <w:p w14:paraId="6F87D928" w14:textId="77777777" w:rsidR="00F52988" w:rsidRPr="002D7C61" w:rsidRDefault="00F52988"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2D7C61">
        <w:rPr>
          <w:rFonts w:ascii="Arial" w:hAnsi="Arial" w:cs="Arial"/>
          <w:color w:val="000000" w:themeColor="text1"/>
          <w:sz w:val="24"/>
          <w:szCs w:val="24"/>
        </w:rPr>
        <w:t>0.1% in Swansea Bay University Health Board</w:t>
      </w:r>
    </w:p>
    <w:p w14:paraId="49A2CE90" w14:textId="77777777" w:rsidR="00F52988" w:rsidRPr="002D7C61" w:rsidRDefault="00F52988"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2D7C61">
        <w:rPr>
          <w:rFonts w:ascii="Arial" w:hAnsi="Arial" w:cs="Arial"/>
          <w:color w:val="000000" w:themeColor="text1"/>
          <w:sz w:val="24"/>
          <w:szCs w:val="24"/>
        </w:rPr>
        <w:t>0.6% by contractors in England</w:t>
      </w:r>
    </w:p>
    <w:p w14:paraId="7AFA8A6B" w14:textId="77777777" w:rsidR="00F54661" w:rsidRPr="002D7C61" w:rsidRDefault="00F54661" w:rsidP="00DC54F7">
      <w:pPr>
        <w:shd w:val="clear" w:color="auto" w:fill="FFFFFF"/>
        <w:spacing w:after="0" w:line="240" w:lineRule="auto"/>
        <w:jc w:val="both"/>
        <w:rPr>
          <w:rFonts w:ascii="Arial" w:hAnsi="Arial" w:cs="Arial"/>
          <w:color w:val="000000" w:themeColor="text1"/>
          <w:sz w:val="24"/>
          <w:szCs w:val="24"/>
        </w:rPr>
      </w:pPr>
    </w:p>
    <w:p w14:paraId="48B57410" w14:textId="77777777" w:rsidR="00F52988" w:rsidRPr="002D7C61" w:rsidRDefault="00F52988" w:rsidP="00DC54F7">
      <w:pPr>
        <w:shd w:val="clear" w:color="auto" w:fill="FFFFFF"/>
        <w:spacing w:after="0" w:line="240" w:lineRule="auto"/>
        <w:jc w:val="both"/>
        <w:rPr>
          <w:rFonts w:ascii="Arial" w:hAnsi="Arial" w:cs="Arial"/>
          <w:sz w:val="24"/>
          <w:szCs w:val="24"/>
        </w:rPr>
      </w:pPr>
      <w:r w:rsidRPr="002D7C61">
        <w:rPr>
          <w:rFonts w:ascii="Arial" w:hAnsi="Arial" w:cs="Arial"/>
          <w:sz w:val="24"/>
          <w:szCs w:val="24"/>
        </w:rPr>
        <w:t>In addition, residents may have accessed one or more pharmaceutical services provided by another pharmacy outside of both the cluster and the health board’s area; however, it is not possible to quantify this activity from the recorded data.</w:t>
      </w:r>
    </w:p>
    <w:p w14:paraId="74326320" w14:textId="77777777" w:rsidR="00F52988" w:rsidRPr="002D7C61" w:rsidRDefault="00F52988" w:rsidP="00DC54F7">
      <w:pPr>
        <w:shd w:val="clear" w:color="auto" w:fill="FFFFFF"/>
        <w:spacing w:after="0" w:line="240" w:lineRule="auto"/>
        <w:jc w:val="both"/>
        <w:rPr>
          <w:rFonts w:ascii="Arial" w:hAnsi="Arial" w:cs="Arial"/>
          <w:sz w:val="24"/>
          <w:szCs w:val="24"/>
        </w:rPr>
      </w:pPr>
      <w:r w:rsidRPr="002D7C61">
        <w:rPr>
          <w:rFonts w:ascii="Arial" w:hAnsi="Arial" w:cs="Arial"/>
          <w:sz w:val="24"/>
          <w:szCs w:val="24"/>
        </w:rPr>
        <w:t> </w:t>
      </w:r>
    </w:p>
    <w:p w14:paraId="4C11B03F" w14:textId="29C11B32" w:rsidR="00F52988" w:rsidRPr="002D7C61" w:rsidRDefault="00F52988" w:rsidP="00DC54F7">
      <w:pPr>
        <w:spacing w:after="0" w:line="240" w:lineRule="auto"/>
        <w:jc w:val="both"/>
        <w:rPr>
          <w:rFonts w:ascii="Arial" w:hAnsi="Arial" w:cs="Arial"/>
          <w:sz w:val="24"/>
          <w:szCs w:val="24"/>
          <w:lang w:val="en-US"/>
        </w:rPr>
      </w:pPr>
      <w:r w:rsidRPr="002D7C61">
        <w:rPr>
          <w:rFonts w:ascii="Arial" w:hAnsi="Arial" w:cs="Arial"/>
          <w:sz w:val="24"/>
          <w:szCs w:val="24"/>
          <w:lang w:val="en-US"/>
        </w:rPr>
        <w:t>Taking into account pharmacies in the neighbouring clusters and pharmacies over the border in other health board areas in Wales, all residents in the cluster of Cardiff</w:t>
      </w:r>
      <w:r w:rsidR="00A1238F" w:rsidRPr="002D7C61">
        <w:rPr>
          <w:rFonts w:ascii="Arial" w:hAnsi="Arial" w:cs="Arial"/>
          <w:sz w:val="24"/>
          <w:szCs w:val="24"/>
          <w:lang w:val="en-US"/>
        </w:rPr>
        <w:t xml:space="preserve"> North</w:t>
      </w:r>
      <w:r w:rsidRPr="002D7C61">
        <w:rPr>
          <w:rFonts w:ascii="Arial" w:hAnsi="Arial" w:cs="Arial"/>
          <w:sz w:val="24"/>
          <w:szCs w:val="24"/>
          <w:lang w:val="en-US"/>
        </w:rPr>
        <w:t xml:space="preserve"> can access a pharmacy by car within 10 minutes and the majority can access a pharmacy by car within five minutes. </w:t>
      </w:r>
    </w:p>
    <w:p w14:paraId="4BB94E3E" w14:textId="77777777" w:rsidR="0063382E" w:rsidRPr="002D7C61" w:rsidRDefault="0063382E" w:rsidP="00DC54F7">
      <w:pPr>
        <w:spacing w:after="0" w:line="240" w:lineRule="auto"/>
        <w:jc w:val="both"/>
        <w:rPr>
          <w:rFonts w:ascii="Arial" w:hAnsi="Arial" w:cs="Arial"/>
          <w:sz w:val="24"/>
          <w:szCs w:val="24"/>
          <w:lang w:val="en-US"/>
        </w:rPr>
      </w:pPr>
    </w:p>
    <w:p w14:paraId="309F4901" w14:textId="77777777" w:rsidR="0063382E" w:rsidRPr="00A10850" w:rsidRDefault="0063382E" w:rsidP="00DC54F7">
      <w:pPr>
        <w:spacing w:after="0" w:line="240" w:lineRule="auto"/>
        <w:jc w:val="both"/>
        <w:rPr>
          <w:rFonts w:ascii="Arial" w:hAnsi="Arial" w:cs="Arial"/>
          <w:lang w:val="en-US"/>
        </w:rPr>
      </w:pPr>
    </w:p>
    <w:p w14:paraId="69C06E46" w14:textId="61B969C7" w:rsidR="0063382E" w:rsidRPr="00A10850" w:rsidRDefault="0041436D" w:rsidP="00DC54F7">
      <w:pPr>
        <w:spacing w:after="0" w:line="240" w:lineRule="auto"/>
        <w:jc w:val="both"/>
        <w:rPr>
          <w:rFonts w:ascii="Arial" w:hAnsi="Arial" w:cs="Arial"/>
          <w:b/>
          <w:sz w:val="26"/>
          <w:szCs w:val="26"/>
          <w:lang w:val="en-US"/>
        </w:rPr>
      </w:pPr>
      <w:r>
        <w:rPr>
          <w:rFonts w:ascii="Arial" w:hAnsi="Arial" w:cs="Arial"/>
          <w:b/>
          <w:sz w:val="26"/>
          <w:szCs w:val="26"/>
          <w:lang w:val="en-US"/>
        </w:rPr>
        <w:t>11</w:t>
      </w:r>
      <w:r w:rsidR="0063382E" w:rsidRPr="00A10850">
        <w:rPr>
          <w:rFonts w:ascii="Arial" w:hAnsi="Arial" w:cs="Arial"/>
          <w:b/>
          <w:sz w:val="26"/>
          <w:szCs w:val="26"/>
          <w:lang w:val="en-US"/>
        </w:rPr>
        <w:t>.4 Other NHS services</w:t>
      </w:r>
    </w:p>
    <w:p w14:paraId="16535524" w14:textId="77777777" w:rsidR="0063382E" w:rsidRPr="00A10850" w:rsidRDefault="0063382E" w:rsidP="00DC54F7">
      <w:pPr>
        <w:spacing w:after="0" w:line="240" w:lineRule="auto"/>
        <w:jc w:val="both"/>
        <w:rPr>
          <w:rFonts w:ascii="Arial" w:hAnsi="Arial" w:cs="Arial"/>
          <w:lang w:val="en-US"/>
        </w:rPr>
      </w:pPr>
    </w:p>
    <w:p w14:paraId="12669989" w14:textId="77777777" w:rsidR="009A17FD" w:rsidRPr="002D7C61" w:rsidRDefault="009A17FD" w:rsidP="00DC54F7">
      <w:pPr>
        <w:spacing w:after="0" w:line="240" w:lineRule="auto"/>
        <w:jc w:val="both"/>
        <w:rPr>
          <w:rFonts w:ascii="Arial" w:hAnsi="Arial" w:cs="Arial"/>
          <w:bCs/>
          <w:sz w:val="24"/>
          <w:szCs w:val="24"/>
          <w:lang w:val="en-US"/>
        </w:rPr>
      </w:pPr>
      <w:r w:rsidRPr="002D7C61">
        <w:rPr>
          <w:rFonts w:ascii="Arial" w:hAnsi="Arial" w:cs="Arial"/>
          <w:bCs/>
          <w:sz w:val="24"/>
          <w:szCs w:val="24"/>
          <w:lang w:val="en-US"/>
        </w:rPr>
        <w:t>University Hospital of Wales is located within the cluster of Cardiff North. However, the hospital serves a much wider population than that of the cluster.</w:t>
      </w:r>
    </w:p>
    <w:p w14:paraId="17A49792" w14:textId="25EC4811" w:rsidR="0063382E" w:rsidRDefault="0063382E" w:rsidP="00DC54F7">
      <w:pPr>
        <w:spacing w:after="0" w:line="240" w:lineRule="auto"/>
        <w:jc w:val="both"/>
        <w:rPr>
          <w:rFonts w:ascii="Arial" w:hAnsi="Arial" w:cs="Arial"/>
        </w:rPr>
      </w:pPr>
    </w:p>
    <w:p w14:paraId="74958D43" w14:textId="77777777" w:rsidR="002D7C61" w:rsidRPr="00A10850" w:rsidRDefault="002D7C61" w:rsidP="00DC54F7">
      <w:pPr>
        <w:spacing w:after="0" w:line="240" w:lineRule="auto"/>
        <w:jc w:val="both"/>
        <w:rPr>
          <w:rFonts w:ascii="Arial" w:hAnsi="Arial" w:cs="Arial"/>
        </w:rPr>
      </w:pPr>
    </w:p>
    <w:p w14:paraId="20578B3E" w14:textId="5AA786B5" w:rsidR="0063382E" w:rsidRPr="00A10850" w:rsidRDefault="0041436D" w:rsidP="00DC54F7">
      <w:pPr>
        <w:spacing w:after="0" w:line="240" w:lineRule="auto"/>
        <w:jc w:val="both"/>
        <w:rPr>
          <w:rFonts w:ascii="Arial" w:hAnsi="Arial" w:cs="Arial"/>
          <w:b/>
          <w:sz w:val="26"/>
          <w:szCs w:val="26"/>
          <w:lang w:val="en-US"/>
        </w:rPr>
      </w:pPr>
      <w:r>
        <w:rPr>
          <w:rFonts w:ascii="Arial" w:hAnsi="Arial" w:cs="Arial"/>
          <w:b/>
          <w:sz w:val="26"/>
          <w:szCs w:val="26"/>
          <w:lang w:val="en-US"/>
        </w:rPr>
        <w:t>11</w:t>
      </w:r>
      <w:r w:rsidR="0063382E" w:rsidRPr="00A10850">
        <w:rPr>
          <w:rFonts w:ascii="Arial" w:hAnsi="Arial" w:cs="Arial"/>
          <w:b/>
          <w:sz w:val="26"/>
          <w:szCs w:val="26"/>
          <w:lang w:val="en-US"/>
        </w:rPr>
        <w:t>.5 Choice with regard to obtaining pharmaceutical services</w:t>
      </w:r>
    </w:p>
    <w:p w14:paraId="59857CC6" w14:textId="77777777" w:rsidR="0063382E" w:rsidRPr="00A10850" w:rsidRDefault="0063382E" w:rsidP="00DC54F7">
      <w:pPr>
        <w:spacing w:after="0" w:line="240" w:lineRule="auto"/>
        <w:jc w:val="both"/>
        <w:rPr>
          <w:rFonts w:ascii="Arial" w:hAnsi="Arial" w:cs="Arial"/>
          <w:lang w:val="en-US"/>
        </w:rPr>
      </w:pPr>
    </w:p>
    <w:p w14:paraId="6C5E63D5" w14:textId="479FD361" w:rsidR="00605826" w:rsidRPr="002D7C61" w:rsidRDefault="00605826" w:rsidP="00DC54F7">
      <w:pPr>
        <w:spacing w:after="0" w:line="240" w:lineRule="auto"/>
        <w:jc w:val="both"/>
        <w:rPr>
          <w:rFonts w:ascii="Arial" w:hAnsi="Arial" w:cs="Arial"/>
          <w:sz w:val="24"/>
          <w:szCs w:val="24"/>
          <w:lang w:val="en-US"/>
        </w:rPr>
      </w:pPr>
      <w:r w:rsidRPr="002D7C61">
        <w:rPr>
          <w:rFonts w:ascii="Arial" w:hAnsi="Arial" w:cs="Arial"/>
          <w:sz w:val="24"/>
          <w:szCs w:val="24"/>
          <w:lang w:val="en-US"/>
        </w:rPr>
        <w:t xml:space="preserve">As can be seen from sections 11.2 and 11.3, those living within the cluster area and registered with one of the GP practices generally choose to access one of the pharmacies in the cluster in order to have their prescriptions dispensed. Those that look outside the cluster usually do so to access a neighbouring pharmacy within the health board’s area. A minority choose to have their prescription dispensed by a pharmacy or an appliance contractor outside of the health board’s area.  </w:t>
      </w:r>
    </w:p>
    <w:p w14:paraId="7C28CA3B" w14:textId="77777777" w:rsidR="00605826" w:rsidRPr="002D7C61" w:rsidRDefault="00605826" w:rsidP="00DC54F7">
      <w:pPr>
        <w:spacing w:after="0" w:line="240" w:lineRule="auto"/>
        <w:jc w:val="both"/>
        <w:rPr>
          <w:rFonts w:ascii="Arial" w:hAnsi="Arial" w:cs="Arial"/>
          <w:sz w:val="24"/>
          <w:szCs w:val="24"/>
          <w:lang w:val="en-US"/>
        </w:rPr>
      </w:pPr>
    </w:p>
    <w:p w14:paraId="43E320E9" w14:textId="57134E17" w:rsidR="00605826" w:rsidRPr="002D7C61" w:rsidRDefault="00605826" w:rsidP="00DC54F7">
      <w:pPr>
        <w:spacing w:after="0" w:line="240" w:lineRule="auto"/>
        <w:jc w:val="both"/>
        <w:rPr>
          <w:rFonts w:ascii="Arial" w:eastAsia="Times New Roman" w:hAnsi="Arial" w:cs="Arial"/>
          <w:color w:val="000000"/>
          <w:sz w:val="24"/>
          <w:szCs w:val="24"/>
          <w:lang w:eastAsia="en-GB"/>
        </w:rPr>
      </w:pPr>
      <w:r w:rsidRPr="002D7C61">
        <w:rPr>
          <w:rFonts w:ascii="Arial" w:hAnsi="Arial" w:cs="Arial"/>
          <w:sz w:val="24"/>
          <w:szCs w:val="24"/>
          <w:lang w:val="en-US"/>
        </w:rPr>
        <w:t xml:space="preserve">A total of </w:t>
      </w:r>
      <w:r w:rsidR="005D4224" w:rsidRPr="002D7C61">
        <w:rPr>
          <w:rFonts w:ascii="Arial" w:hAnsi="Arial" w:cs="Arial"/>
          <w:sz w:val="24"/>
          <w:szCs w:val="24"/>
          <w:lang w:val="en-US"/>
        </w:rPr>
        <w:t>423</w:t>
      </w:r>
      <w:r w:rsidRPr="002D7C61">
        <w:rPr>
          <w:rFonts w:ascii="Arial" w:hAnsi="Arial" w:cs="Arial"/>
          <w:sz w:val="24"/>
          <w:szCs w:val="24"/>
          <w:lang w:val="en-US"/>
        </w:rPr>
        <w:t xml:space="preserve"> pharmacy contractors that were trading in Wales during 2019 to 2020, dispensed items written by one of the GP practices in the Cardiff </w:t>
      </w:r>
      <w:r w:rsidR="005D4224" w:rsidRPr="002D7C61">
        <w:rPr>
          <w:rFonts w:ascii="Arial" w:hAnsi="Arial" w:cs="Arial"/>
          <w:sz w:val="24"/>
          <w:szCs w:val="24"/>
          <w:lang w:val="en-US"/>
        </w:rPr>
        <w:t>North</w:t>
      </w:r>
      <w:r w:rsidRPr="002D7C61">
        <w:rPr>
          <w:rFonts w:ascii="Arial" w:hAnsi="Arial" w:cs="Arial"/>
          <w:sz w:val="24"/>
          <w:szCs w:val="24"/>
          <w:lang w:val="en-US"/>
        </w:rPr>
        <w:t xml:space="preserve"> cluster, of which </w:t>
      </w:r>
      <w:r w:rsidR="00204BC2" w:rsidRPr="002D7C61">
        <w:rPr>
          <w:rFonts w:ascii="Arial" w:hAnsi="Arial" w:cs="Arial"/>
          <w:sz w:val="24"/>
          <w:szCs w:val="24"/>
          <w:lang w:val="en-US"/>
        </w:rPr>
        <w:t>318</w:t>
      </w:r>
      <w:r w:rsidRPr="002D7C61">
        <w:rPr>
          <w:rFonts w:ascii="Arial" w:hAnsi="Arial" w:cs="Arial"/>
          <w:sz w:val="24"/>
          <w:szCs w:val="24"/>
          <w:lang w:val="en-US"/>
        </w:rPr>
        <w:t xml:space="preserve"> were outside of the health board’s area</w:t>
      </w:r>
      <w:r w:rsidRPr="002D7C61">
        <w:rPr>
          <w:rFonts w:ascii="Arial" w:hAnsi="Arial" w:cs="Arial"/>
          <w:b/>
          <w:bCs/>
          <w:sz w:val="24"/>
          <w:szCs w:val="24"/>
          <w:lang w:val="en-US"/>
        </w:rPr>
        <w:t xml:space="preserve">. </w:t>
      </w:r>
      <w:r w:rsidR="00CC0C70" w:rsidRPr="002D7C61">
        <w:rPr>
          <w:rFonts w:ascii="Arial" w:eastAsia="Times New Roman" w:hAnsi="Arial" w:cs="Arial"/>
          <w:color w:val="000000"/>
          <w:sz w:val="24"/>
          <w:szCs w:val="24"/>
          <w:lang w:eastAsia="en-GB"/>
        </w:rPr>
        <w:t xml:space="preserve">11677, </w:t>
      </w:r>
      <w:r w:rsidRPr="002D7C61">
        <w:rPr>
          <w:rFonts w:ascii="Arial" w:hAnsi="Arial" w:cs="Arial"/>
          <w:sz w:val="24"/>
          <w:szCs w:val="24"/>
          <w:lang w:val="en-US"/>
        </w:rPr>
        <w:t xml:space="preserve">prescription items were dispensed in England. </w:t>
      </w:r>
    </w:p>
    <w:p w14:paraId="3FD648EC" w14:textId="77777777" w:rsidR="00BD7AB4" w:rsidRDefault="00BD7AB4" w:rsidP="00DC54F7">
      <w:pPr>
        <w:spacing w:after="0" w:line="240" w:lineRule="auto"/>
        <w:jc w:val="both"/>
        <w:rPr>
          <w:rFonts w:ascii="Arial" w:hAnsi="Arial" w:cs="Arial"/>
          <w:lang w:val="en-US"/>
        </w:rPr>
      </w:pPr>
    </w:p>
    <w:p w14:paraId="77BD9554" w14:textId="77777777" w:rsidR="0063382E" w:rsidRPr="00A10850" w:rsidRDefault="0063382E" w:rsidP="00DC54F7">
      <w:pPr>
        <w:spacing w:after="0" w:line="240" w:lineRule="auto"/>
        <w:jc w:val="both"/>
        <w:rPr>
          <w:rFonts w:ascii="Arial" w:hAnsi="Arial" w:cs="Arial"/>
          <w:b/>
          <w:color w:val="942D83"/>
          <w:lang w:val="en-US"/>
        </w:rPr>
      </w:pPr>
    </w:p>
    <w:p w14:paraId="3F16B911" w14:textId="7BD342CA" w:rsidR="0063382E" w:rsidRPr="00A10850" w:rsidRDefault="0041436D" w:rsidP="00DC54F7">
      <w:pPr>
        <w:spacing w:after="0" w:line="240" w:lineRule="auto"/>
        <w:jc w:val="both"/>
        <w:rPr>
          <w:rFonts w:ascii="Arial" w:hAnsi="Arial" w:cs="Arial"/>
          <w:b/>
          <w:sz w:val="26"/>
          <w:szCs w:val="26"/>
          <w:lang w:val="en-US"/>
        </w:rPr>
      </w:pPr>
      <w:r>
        <w:rPr>
          <w:rFonts w:ascii="Arial" w:hAnsi="Arial" w:cs="Arial"/>
          <w:b/>
          <w:sz w:val="26"/>
          <w:szCs w:val="26"/>
          <w:lang w:val="en-US"/>
        </w:rPr>
        <w:t>11</w:t>
      </w:r>
      <w:r w:rsidR="0063382E" w:rsidRPr="00A10850">
        <w:rPr>
          <w:rFonts w:ascii="Arial" w:hAnsi="Arial" w:cs="Arial"/>
          <w:b/>
          <w:sz w:val="26"/>
          <w:szCs w:val="26"/>
          <w:lang w:val="en-US"/>
        </w:rPr>
        <w:t>.6 Gaps in provision</w:t>
      </w:r>
    </w:p>
    <w:p w14:paraId="65C69D43" w14:textId="77777777" w:rsidR="0063382E" w:rsidRPr="00A10850" w:rsidRDefault="0063382E" w:rsidP="00DC54F7">
      <w:pPr>
        <w:spacing w:after="0" w:line="240" w:lineRule="auto"/>
        <w:jc w:val="both"/>
        <w:rPr>
          <w:rFonts w:ascii="Arial" w:hAnsi="Arial" w:cs="Arial"/>
          <w:lang w:val="en-US"/>
        </w:rPr>
      </w:pPr>
    </w:p>
    <w:p w14:paraId="44FCA04F" w14:textId="77777777" w:rsidR="00967B92" w:rsidRPr="00D05AE2" w:rsidRDefault="00967B92" w:rsidP="00DC54F7">
      <w:pPr>
        <w:spacing w:after="0" w:line="240" w:lineRule="auto"/>
        <w:jc w:val="both"/>
        <w:rPr>
          <w:rFonts w:ascii="Arial" w:hAnsi="Arial" w:cs="Arial"/>
          <w:sz w:val="24"/>
          <w:szCs w:val="24"/>
        </w:rPr>
      </w:pPr>
      <w:r w:rsidRPr="00D05AE2">
        <w:rPr>
          <w:rFonts w:ascii="Arial" w:hAnsi="Arial" w:cs="Arial"/>
          <w:sz w:val="24"/>
          <w:szCs w:val="24"/>
        </w:rPr>
        <w:t xml:space="preserve">The </w:t>
      </w:r>
      <w:r w:rsidRPr="00D05AE2">
        <w:rPr>
          <w:rFonts w:ascii="Arial" w:hAnsi="Arial" w:cs="Arial"/>
          <w:color w:val="000000"/>
          <w:sz w:val="24"/>
          <w:szCs w:val="24"/>
        </w:rPr>
        <w:t xml:space="preserve">Cardiff and Vale University Health Board </w:t>
      </w:r>
      <w:r w:rsidRPr="00D05AE2">
        <w:rPr>
          <w:rFonts w:ascii="Arial" w:hAnsi="Arial" w:cs="Arial"/>
          <w:sz w:val="24"/>
          <w:szCs w:val="24"/>
        </w:rPr>
        <w:t xml:space="preserve">has noted the locations of pharmacies across the cluster, and the fact that the population can access a pharmacy by car within 10 minutes, with the majority within five minutes. Whilst noting that not all households have access to a car throughout the day, the nature of the cluster means that walking to a pharmacy will be a realistic option for many residents and regular </w:t>
      </w:r>
      <w:r w:rsidRPr="00D05AE2">
        <w:rPr>
          <w:rFonts w:ascii="Arial" w:hAnsi="Arial" w:cs="Arial"/>
          <w:sz w:val="24"/>
          <w:szCs w:val="24"/>
        </w:rPr>
        <w:lastRenderedPageBreak/>
        <w:t xml:space="preserve">public transport services are available for those who are unable to undertake the whole journey on foot. </w:t>
      </w:r>
    </w:p>
    <w:p w14:paraId="2A9ED483" w14:textId="77777777" w:rsidR="00967B92" w:rsidRPr="00D05AE2" w:rsidRDefault="00967B92" w:rsidP="00DC54F7">
      <w:pPr>
        <w:spacing w:after="0" w:line="240" w:lineRule="auto"/>
        <w:jc w:val="both"/>
        <w:rPr>
          <w:rFonts w:ascii="Arial" w:hAnsi="Arial" w:cs="Arial"/>
          <w:sz w:val="24"/>
          <w:szCs w:val="24"/>
        </w:rPr>
      </w:pPr>
    </w:p>
    <w:p w14:paraId="2A4B68F4" w14:textId="77777777" w:rsidR="00967B92" w:rsidRPr="00D05AE2" w:rsidRDefault="00967B92" w:rsidP="00DC54F7">
      <w:pPr>
        <w:spacing w:after="0" w:line="240" w:lineRule="auto"/>
        <w:jc w:val="both"/>
        <w:rPr>
          <w:rFonts w:ascii="Arial" w:hAnsi="Arial" w:cs="Arial"/>
          <w:sz w:val="24"/>
          <w:szCs w:val="24"/>
        </w:rPr>
      </w:pPr>
      <w:r w:rsidRPr="00D05AE2">
        <w:rPr>
          <w:rFonts w:ascii="Arial" w:hAnsi="Arial" w:cs="Arial"/>
          <w:sz w:val="24"/>
          <w:szCs w:val="24"/>
        </w:rPr>
        <w:t xml:space="preserve">The </w:t>
      </w:r>
      <w:r w:rsidRPr="00D05AE2">
        <w:rPr>
          <w:rFonts w:ascii="Arial" w:hAnsi="Arial" w:cs="Arial"/>
          <w:color w:val="000000"/>
          <w:sz w:val="24"/>
          <w:szCs w:val="24"/>
        </w:rPr>
        <w:t xml:space="preserve">Cardiff and Vale University Health Board </w:t>
      </w:r>
      <w:r w:rsidRPr="00D05AE2">
        <w:rPr>
          <w:rFonts w:ascii="Arial" w:hAnsi="Arial" w:cs="Arial"/>
          <w:sz w:val="24"/>
          <w:szCs w:val="24"/>
        </w:rPr>
        <w:t xml:space="preserve">has noted the opening hours of the existing pharmacies and is of the opinion that they are sufficient to meet the likely needs of residents in the cluster. The </w:t>
      </w:r>
      <w:r w:rsidRPr="00D05AE2">
        <w:rPr>
          <w:rFonts w:ascii="Arial" w:hAnsi="Arial" w:cs="Arial"/>
          <w:color w:val="000000"/>
          <w:sz w:val="24"/>
          <w:szCs w:val="24"/>
        </w:rPr>
        <w:t xml:space="preserve">Cardiff and Vale University Health Board </w:t>
      </w:r>
      <w:r w:rsidRPr="00D05AE2">
        <w:rPr>
          <w:rFonts w:ascii="Arial" w:hAnsi="Arial" w:cs="Arial"/>
          <w:sz w:val="24"/>
          <w:szCs w:val="24"/>
        </w:rPr>
        <w:t>has therefore concluded that there are no current needs in relation to the provision of essential services by pharmacies in the cluster.</w:t>
      </w:r>
    </w:p>
    <w:p w14:paraId="2A06176F" w14:textId="77777777" w:rsidR="00967B92" w:rsidRPr="00D05AE2" w:rsidRDefault="00967B92" w:rsidP="00DC54F7">
      <w:pPr>
        <w:spacing w:after="0" w:line="240" w:lineRule="auto"/>
        <w:jc w:val="both"/>
        <w:rPr>
          <w:rFonts w:ascii="Arial" w:hAnsi="Arial" w:cs="Arial"/>
          <w:sz w:val="24"/>
          <w:szCs w:val="24"/>
        </w:rPr>
      </w:pPr>
    </w:p>
    <w:p w14:paraId="405F1974" w14:textId="77777777" w:rsidR="00D54F63" w:rsidRDefault="00412AA2" w:rsidP="00DC54F7">
      <w:pPr>
        <w:spacing w:after="0" w:line="240" w:lineRule="auto"/>
        <w:jc w:val="both"/>
        <w:rPr>
          <w:rFonts w:ascii="Arial" w:hAnsi="Arial" w:cs="Arial"/>
          <w:sz w:val="24"/>
          <w:szCs w:val="24"/>
        </w:rPr>
      </w:pPr>
      <w:r w:rsidRPr="00D05AE2">
        <w:rPr>
          <w:rFonts w:ascii="Arial" w:hAnsi="Arial" w:cs="Arial"/>
          <w:sz w:val="24"/>
          <w:szCs w:val="24"/>
        </w:rPr>
        <w:t xml:space="preserve">The </w:t>
      </w:r>
      <w:r w:rsidRPr="00D05AE2">
        <w:rPr>
          <w:rFonts w:ascii="Arial" w:hAnsi="Arial" w:cs="Arial"/>
          <w:color w:val="000000"/>
          <w:sz w:val="24"/>
          <w:szCs w:val="24"/>
        </w:rPr>
        <w:t xml:space="preserve">Cardiff and Vale University Health Board </w:t>
      </w:r>
      <w:r w:rsidRPr="00D05AE2">
        <w:rPr>
          <w:rFonts w:ascii="Arial" w:hAnsi="Arial" w:cs="Arial"/>
          <w:sz w:val="24"/>
          <w:szCs w:val="24"/>
        </w:rPr>
        <w:t xml:space="preserve">is also satisfied that there are no current needs in relation to the provision of advanced services.  Whilst none of the pharmacies provide the Appliance Use Review service or the Stoma Appliance Customisation service, it is noted that there are four appliance contractors based in Cardiff and Vale University Health Board who offer these services. One of the reasons why prescriptions are dispensed outside of the cluster is because they have been sent to a dispensing appliance contractor elsewhere in the health board or to England, which provide these services. Patients will therefore be able to access these two services via those contractors. The </w:t>
      </w:r>
      <w:r w:rsidRPr="00D05AE2">
        <w:rPr>
          <w:rFonts w:ascii="Arial" w:hAnsi="Arial" w:cs="Arial"/>
          <w:color w:val="000000"/>
          <w:sz w:val="24"/>
          <w:szCs w:val="24"/>
        </w:rPr>
        <w:t xml:space="preserve">Cardiff and Vale University Health Board </w:t>
      </w:r>
      <w:r w:rsidRPr="00D05AE2">
        <w:rPr>
          <w:rFonts w:ascii="Arial" w:hAnsi="Arial" w:cs="Arial"/>
          <w:sz w:val="24"/>
          <w:szCs w:val="24"/>
        </w:rPr>
        <w:t>has therefore not identified any current or future gap or better access in relation to the provision of these two advanced services in the cluster</w:t>
      </w:r>
      <w:r w:rsidR="00D05AE2">
        <w:rPr>
          <w:rFonts w:ascii="Arial" w:hAnsi="Arial" w:cs="Arial"/>
          <w:sz w:val="24"/>
          <w:szCs w:val="24"/>
        </w:rPr>
        <w:t xml:space="preserve">. </w:t>
      </w:r>
    </w:p>
    <w:p w14:paraId="56D65876" w14:textId="77777777" w:rsidR="00D54F63" w:rsidRDefault="00D54F63" w:rsidP="00DC54F7">
      <w:pPr>
        <w:spacing w:after="0" w:line="240" w:lineRule="auto"/>
        <w:jc w:val="both"/>
        <w:rPr>
          <w:rFonts w:ascii="Arial" w:hAnsi="Arial" w:cs="Arial"/>
          <w:sz w:val="24"/>
          <w:szCs w:val="24"/>
        </w:rPr>
      </w:pPr>
    </w:p>
    <w:p w14:paraId="4CB11FC7" w14:textId="1B604225" w:rsidR="00BF076C" w:rsidRPr="00D05AE2" w:rsidRDefault="00BF076C" w:rsidP="00DC54F7">
      <w:pPr>
        <w:spacing w:after="0" w:line="240" w:lineRule="auto"/>
        <w:jc w:val="both"/>
        <w:rPr>
          <w:rFonts w:ascii="Arial" w:hAnsi="Arial" w:cs="Arial"/>
          <w:sz w:val="24"/>
          <w:szCs w:val="24"/>
        </w:rPr>
      </w:pPr>
      <w:r w:rsidRPr="00D05AE2">
        <w:rPr>
          <w:rFonts w:ascii="Arial" w:hAnsi="Arial" w:cs="Arial"/>
          <w:sz w:val="24"/>
          <w:szCs w:val="24"/>
        </w:rPr>
        <w:t xml:space="preserve">The </w:t>
      </w:r>
      <w:r w:rsidRPr="00D05AE2">
        <w:rPr>
          <w:rFonts w:ascii="Arial" w:hAnsi="Arial" w:cs="Arial"/>
          <w:color w:val="000000"/>
          <w:sz w:val="24"/>
          <w:szCs w:val="24"/>
        </w:rPr>
        <w:t xml:space="preserve">Cardiff and Vale University Health Board </w:t>
      </w:r>
      <w:r w:rsidRPr="00D05AE2">
        <w:rPr>
          <w:rFonts w:ascii="Arial" w:hAnsi="Arial" w:cs="Arial"/>
          <w:sz w:val="24"/>
          <w:szCs w:val="24"/>
        </w:rPr>
        <w:t>is also noted the closure of one pharmacy in the cluster</w:t>
      </w:r>
      <w:r w:rsidR="009E0389" w:rsidRPr="00D05AE2">
        <w:rPr>
          <w:rFonts w:ascii="Arial" w:hAnsi="Arial" w:cs="Arial"/>
          <w:sz w:val="24"/>
          <w:szCs w:val="24"/>
        </w:rPr>
        <w:t xml:space="preserve"> in 2020. </w:t>
      </w:r>
    </w:p>
    <w:p w14:paraId="7770ABEA" w14:textId="77777777" w:rsidR="00967B92" w:rsidRPr="00D05AE2" w:rsidRDefault="00967B92" w:rsidP="00DC54F7">
      <w:pPr>
        <w:spacing w:after="0" w:line="240" w:lineRule="auto"/>
        <w:contextualSpacing/>
        <w:jc w:val="both"/>
        <w:rPr>
          <w:rFonts w:ascii="Arial" w:hAnsi="Arial" w:cs="Arial"/>
          <w:sz w:val="24"/>
          <w:szCs w:val="24"/>
        </w:rPr>
      </w:pPr>
    </w:p>
    <w:p w14:paraId="388036CE" w14:textId="68BA4456" w:rsidR="00967B92" w:rsidRPr="00D05AE2" w:rsidRDefault="00967B92" w:rsidP="00DC54F7">
      <w:pPr>
        <w:spacing w:after="0" w:line="240" w:lineRule="auto"/>
        <w:contextualSpacing/>
        <w:jc w:val="both"/>
        <w:rPr>
          <w:rFonts w:ascii="Arial" w:hAnsi="Arial" w:cs="Arial"/>
          <w:sz w:val="24"/>
          <w:szCs w:val="24"/>
        </w:rPr>
      </w:pPr>
      <w:r w:rsidRPr="00D05AE2">
        <w:rPr>
          <w:rFonts w:ascii="Arial" w:hAnsi="Arial" w:cs="Arial"/>
          <w:sz w:val="24"/>
          <w:szCs w:val="24"/>
        </w:rPr>
        <w:t>All 1</w:t>
      </w:r>
      <w:r w:rsidR="009E0389" w:rsidRPr="00D05AE2">
        <w:rPr>
          <w:rFonts w:ascii="Arial" w:hAnsi="Arial" w:cs="Arial"/>
          <w:sz w:val="24"/>
          <w:szCs w:val="24"/>
        </w:rPr>
        <w:t>8</w:t>
      </w:r>
      <w:r w:rsidRPr="00D05AE2">
        <w:rPr>
          <w:rFonts w:ascii="Arial" w:hAnsi="Arial" w:cs="Arial"/>
          <w:sz w:val="24"/>
          <w:szCs w:val="24"/>
        </w:rPr>
        <w:t xml:space="preserve"> pharmacies responded to the question in the contractor questionnaire regarding capacity to meet demand from any future housing developments in the cluster. Their responses were as follows: </w:t>
      </w:r>
    </w:p>
    <w:p w14:paraId="29C34DFC" w14:textId="77777777" w:rsidR="00967B92" w:rsidRPr="00D05AE2" w:rsidRDefault="00967B92" w:rsidP="00DC54F7">
      <w:pPr>
        <w:spacing w:after="0" w:line="240" w:lineRule="auto"/>
        <w:jc w:val="both"/>
        <w:rPr>
          <w:rFonts w:ascii="Arial" w:hAnsi="Arial" w:cs="Arial"/>
          <w:sz w:val="24"/>
          <w:szCs w:val="24"/>
        </w:rPr>
      </w:pPr>
    </w:p>
    <w:p w14:paraId="44938B85" w14:textId="1BBA4185" w:rsidR="00967B92" w:rsidRPr="00D05AE2" w:rsidRDefault="00126799" w:rsidP="00DC54F7">
      <w:pPr>
        <w:pStyle w:val="ListParagraph"/>
        <w:numPr>
          <w:ilvl w:val="0"/>
          <w:numId w:val="157"/>
        </w:numPr>
        <w:spacing w:after="0" w:line="240" w:lineRule="auto"/>
        <w:jc w:val="both"/>
        <w:rPr>
          <w:rFonts w:ascii="Arial" w:hAnsi="Arial" w:cs="Arial"/>
          <w:sz w:val="24"/>
          <w:szCs w:val="24"/>
        </w:rPr>
      </w:pPr>
      <w:r w:rsidRPr="00D05AE2">
        <w:rPr>
          <w:rFonts w:ascii="Arial" w:hAnsi="Arial" w:cs="Arial"/>
          <w:sz w:val="24"/>
          <w:szCs w:val="24"/>
        </w:rPr>
        <w:t>15</w:t>
      </w:r>
      <w:r w:rsidR="00967B92" w:rsidRPr="00D05AE2">
        <w:rPr>
          <w:rFonts w:ascii="Arial" w:hAnsi="Arial" w:cs="Arial"/>
          <w:sz w:val="24"/>
          <w:szCs w:val="24"/>
        </w:rPr>
        <w:t xml:space="preserve"> pharmacies have sufficient capacity within their existing premises and staffing levels to manage the increase in demand in the area.</w:t>
      </w:r>
    </w:p>
    <w:p w14:paraId="6B5C5863" w14:textId="7CAC3817" w:rsidR="00967B92" w:rsidRPr="00D05AE2" w:rsidRDefault="002B746D" w:rsidP="00DC54F7">
      <w:pPr>
        <w:pStyle w:val="ListParagraph"/>
        <w:numPr>
          <w:ilvl w:val="0"/>
          <w:numId w:val="157"/>
        </w:numPr>
        <w:spacing w:after="0" w:line="240" w:lineRule="auto"/>
        <w:jc w:val="both"/>
        <w:rPr>
          <w:rFonts w:ascii="Arial" w:hAnsi="Arial" w:cs="Arial"/>
          <w:sz w:val="24"/>
          <w:szCs w:val="24"/>
        </w:rPr>
      </w:pPr>
      <w:r w:rsidRPr="00D05AE2">
        <w:rPr>
          <w:rFonts w:ascii="Arial" w:hAnsi="Arial" w:cs="Arial"/>
          <w:sz w:val="24"/>
          <w:szCs w:val="24"/>
        </w:rPr>
        <w:t xml:space="preserve">Two </w:t>
      </w:r>
      <w:r w:rsidR="00967B92" w:rsidRPr="00D05AE2">
        <w:rPr>
          <w:rFonts w:ascii="Arial" w:hAnsi="Arial" w:cs="Arial"/>
          <w:sz w:val="24"/>
          <w:szCs w:val="24"/>
        </w:rPr>
        <w:t>pharmac</w:t>
      </w:r>
      <w:r w:rsidR="00CA129B" w:rsidRPr="00D05AE2">
        <w:rPr>
          <w:rFonts w:ascii="Arial" w:hAnsi="Arial" w:cs="Arial"/>
          <w:sz w:val="24"/>
          <w:szCs w:val="24"/>
        </w:rPr>
        <w:t>ies</w:t>
      </w:r>
      <w:r w:rsidR="00967B92" w:rsidRPr="00D05AE2">
        <w:rPr>
          <w:rFonts w:ascii="Arial" w:hAnsi="Arial" w:cs="Arial"/>
          <w:sz w:val="24"/>
          <w:szCs w:val="24"/>
        </w:rPr>
        <w:t xml:space="preserve"> do not have sufficient premises and staffing capacity at present but could make adjustments to manage the increase in demand in the area</w:t>
      </w:r>
      <w:r w:rsidR="00C31F5D" w:rsidRPr="00D05AE2">
        <w:rPr>
          <w:rFonts w:ascii="Arial" w:hAnsi="Arial" w:cs="Arial"/>
          <w:sz w:val="24"/>
          <w:szCs w:val="24"/>
        </w:rPr>
        <w:t>.</w:t>
      </w:r>
    </w:p>
    <w:p w14:paraId="545B1410" w14:textId="5BEFD857" w:rsidR="00C31F5D" w:rsidRDefault="00C31F5D" w:rsidP="00DC54F7">
      <w:pPr>
        <w:pStyle w:val="ListParagraph"/>
        <w:numPr>
          <w:ilvl w:val="0"/>
          <w:numId w:val="157"/>
        </w:numPr>
        <w:spacing w:after="0" w:line="240" w:lineRule="auto"/>
        <w:jc w:val="both"/>
        <w:rPr>
          <w:rFonts w:ascii="Arial" w:hAnsi="Arial" w:cs="Arial"/>
          <w:sz w:val="24"/>
          <w:szCs w:val="24"/>
        </w:rPr>
      </w:pPr>
      <w:r w:rsidRPr="00D05AE2">
        <w:rPr>
          <w:rFonts w:ascii="Arial" w:hAnsi="Arial" w:cs="Arial"/>
          <w:sz w:val="24"/>
          <w:szCs w:val="24"/>
        </w:rPr>
        <w:t xml:space="preserve">One pharmacy </w:t>
      </w:r>
      <w:r w:rsidR="00CA129B" w:rsidRPr="00D05AE2">
        <w:rPr>
          <w:rFonts w:ascii="Arial" w:hAnsi="Arial" w:cs="Arial"/>
          <w:sz w:val="24"/>
          <w:szCs w:val="24"/>
        </w:rPr>
        <w:t>does not have sufficient premises and staffing capacity and would have difficulty in managing an increase in demand.</w:t>
      </w:r>
    </w:p>
    <w:p w14:paraId="1B4B5D8C" w14:textId="60FA9AB4" w:rsidR="00762D0D" w:rsidRDefault="00762D0D" w:rsidP="00DC54F7">
      <w:pPr>
        <w:spacing w:after="0" w:line="240" w:lineRule="auto"/>
        <w:jc w:val="both"/>
        <w:rPr>
          <w:rFonts w:ascii="Arial" w:hAnsi="Arial" w:cs="Arial"/>
          <w:sz w:val="24"/>
          <w:szCs w:val="24"/>
        </w:rPr>
      </w:pPr>
    </w:p>
    <w:p w14:paraId="70657954" w14:textId="4627B655" w:rsidR="00762D0D" w:rsidRPr="00762D0D" w:rsidRDefault="00762D0D" w:rsidP="00DC54F7">
      <w:pPr>
        <w:spacing w:after="0" w:line="240" w:lineRule="auto"/>
        <w:jc w:val="both"/>
        <w:rPr>
          <w:rFonts w:ascii="Arial" w:hAnsi="Arial" w:cs="Arial"/>
          <w:color w:val="000000"/>
          <w:sz w:val="24"/>
          <w:szCs w:val="24"/>
        </w:rPr>
      </w:pPr>
      <w:r w:rsidRPr="00823E20">
        <w:rPr>
          <w:rFonts w:ascii="Arial" w:hAnsi="Arial" w:cs="Arial"/>
          <w:sz w:val="24"/>
          <w:szCs w:val="24"/>
        </w:rPr>
        <w:t xml:space="preserve">The </w:t>
      </w:r>
      <w:r w:rsidRPr="00823E20">
        <w:rPr>
          <w:rFonts w:ascii="Arial" w:hAnsi="Arial" w:cs="Arial"/>
          <w:color w:val="000000"/>
          <w:sz w:val="24"/>
          <w:szCs w:val="24"/>
        </w:rPr>
        <w:t>Cardiff and Vale University Health Board noted the developments planned for the cluster, with regard</w:t>
      </w:r>
      <w:r w:rsidR="003F05A9" w:rsidRPr="00823E20">
        <w:rPr>
          <w:rFonts w:ascii="Arial" w:hAnsi="Arial" w:cs="Arial"/>
          <w:color w:val="000000"/>
          <w:sz w:val="24"/>
          <w:szCs w:val="24"/>
        </w:rPr>
        <w:t>s</w:t>
      </w:r>
      <w:r w:rsidRPr="00823E20">
        <w:rPr>
          <w:rFonts w:ascii="Arial" w:hAnsi="Arial" w:cs="Arial"/>
          <w:color w:val="000000"/>
          <w:sz w:val="24"/>
          <w:szCs w:val="24"/>
        </w:rPr>
        <w:t xml:space="preserve"> to the housing developments west and east of Pontprennau</w:t>
      </w:r>
      <w:r w:rsidR="00325895" w:rsidRPr="00823E20">
        <w:rPr>
          <w:rFonts w:ascii="Arial" w:hAnsi="Arial" w:cs="Arial"/>
          <w:color w:val="000000"/>
          <w:sz w:val="24"/>
          <w:szCs w:val="24"/>
        </w:rPr>
        <w:t xml:space="preserve">. </w:t>
      </w:r>
      <w:r w:rsidRPr="00823E20">
        <w:rPr>
          <w:rFonts w:ascii="Arial" w:hAnsi="Arial" w:cs="Arial"/>
          <w:color w:val="000000"/>
          <w:sz w:val="24"/>
          <w:szCs w:val="24"/>
        </w:rPr>
        <w:t xml:space="preserve"> </w:t>
      </w:r>
      <w:r w:rsidR="006D75C2" w:rsidRPr="00823E20">
        <w:rPr>
          <w:rFonts w:ascii="Arial" w:hAnsi="Arial" w:cs="Arial"/>
          <w:color w:val="000000"/>
          <w:sz w:val="24"/>
          <w:szCs w:val="24"/>
        </w:rPr>
        <w:t>A</w:t>
      </w:r>
      <w:r w:rsidRPr="00823E20">
        <w:rPr>
          <w:rFonts w:ascii="Arial" w:hAnsi="Arial" w:cs="Arial"/>
          <w:color w:val="000000"/>
          <w:sz w:val="24"/>
          <w:szCs w:val="24"/>
        </w:rPr>
        <w:t>t this time</w:t>
      </w:r>
      <w:r w:rsidR="00A93D3A">
        <w:rPr>
          <w:rFonts w:ascii="Arial" w:hAnsi="Arial" w:cs="Arial"/>
          <w:color w:val="000000"/>
          <w:sz w:val="24"/>
          <w:szCs w:val="24"/>
        </w:rPr>
        <w:t xml:space="preserve"> </w:t>
      </w:r>
      <w:r w:rsidR="006D75C2" w:rsidRPr="00823E20">
        <w:rPr>
          <w:rFonts w:ascii="Arial" w:hAnsi="Arial" w:cs="Arial"/>
          <w:color w:val="000000"/>
          <w:sz w:val="24"/>
          <w:szCs w:val="24"/>
        </w:rPr>
        <w:t xml:space="preserve">Cardiff and Vale University Health Board </w:t>
      </w:r>
      <w:r w:rsidRPr="00823E20">
        <w:rPr>
          <w:rFonts w:ascii="Arial" w:hAnsi="Arial" w:cs="Arial"/>
          <w:color w:val="000000"/>
          <w:sz w:val="24"/>
          <w:szCs w:val="24"/>
        </w:rPr>
        <w:t>have no information or reason to conclude</w:t>
      </w:r>
      <w:r w:rsidR="00037EEB">
        <w:rPr>
          <w:rFonts w:ascii="Arial" w:hAnsi="Arial" w:cs="Arial"/>
          <w:color w:val="000000"/>
          <w:sz w:val="24"/>
          <w:szCs w:val="24"/>
        </w:rPr>
        <w:t>,</w:t>
      </w:r>
      <w:r w:rsidRPr="00823E20">
        <w:rPr>
          <w:rFonts w:ascii="Arial" w:hAnsi="Arial" w:cs="Arial"/>
          <w:color w:val="000000"/>
          <w:sz w:val="24"/>
          <w:szCs w:val="24"/>
        </w:rPr>
        <w:t xml:space="preserve"> during the lifetime of this PNA and development</w:t>
      </w:r>
      <w:r w:rsidR="00A93D3A">
        <w:rPr>
          <w:rFonts w:ascii="Arial" w:hAnsi="Arial" w:cs="Arial"/>
          <w:color w:val="000000"/>
          <w:sz w:val="24"/>
          <w:szCs w:val="24"/>
        </w:rPr>
        <w:t>,</w:t>
      </w:r>
      <w:r w:rsidRPr="00823E20">
        <w:rPr>
          <w:rFonts w:ascii="Arial" w:hAnsi="Arial" w:cs="Arial"/>
          <w:color w:val="000000"/>
          <w:sz w:val="24"/>
          <w:szCs w:val="24"/>
        </w:rPr>
        <w:t xml:space="preserve"> </w:t>
      </w:r>
      <w:r w:rsidR="006E36DF">
        <w:rPr>
          <w:rFonts w:ascii="Arial" w:hAnsi="Arial" w:cs="Arial"/>
          <w:color w:val="000000"/>
          <w:sz w:val="24"/>
          <w:szCs w:val="24"/>
        </w:rPr>
        <w:t xml:space="preserve">that </w:t>
      </w:r>
      <w:r w:rsidRPr="00823E20">
        <w:rPr>
          <w:rFonts w:ascii="Arial" w:hAnsi="Arial" w:cs="Arial"/>
          <w:color w:val="000000"/>
          <w:sz w:val="24"/>
          <w:szCs w:val="24"/>
        </w:rPr>
        <w:t>there would be an unmet need so as to require additional pharmaceutical service</w:t>
      </w:r>
      <w:r w:rsidR="006D75C2" w:rsidRPr="00823E20">
        <w:rPr>
          <w:rFonts w:ascii="Arial" w:hAnsi="Arial" w:cs="Arial"/>
          <w:color w:val="000000"/>
          <w:sz w:val="24"/>
          <w:szCs w:val="24"/>
        </w:rPr>
        <w:t>s.</w:t>
      </w:r>
      <w:r w:rsidRPr="00762D0D">
        <w:rPr>
          <w:rFonts w:ascii="Arial" w:hAnsi="Arial" w:cs="Arial"/>
          <w:color w:val="000000"/>
          <w:sz w:val="24"/>
          <w:szCs w:val="24"/>
        </w:rPr>
        <w:t xml:space="preserve"> </w:t>
      </w:r>
    </w:p>
    <w:p w14:paraId="6E80EEA6" w14:textId="77777777" w:rsidR="000861B0" w:rsidRPr="00762D0D" w:rsidRDefault="000861B0" w:rsidP="00DC54F7">
      <w:pPr>
        <w:spacing w:after="0" w:line="240" w:lineRule="auto"/>
        <w:jc w:val="both"/>
        <w:rPr>
          <w:rFonts w:ascii="Arial" w:hAnsi="Arial" w:cs="Arial"/>
          <w:color w:val="000000"/>
          <w:sz w:val="24"/>
          <w:szCs w:val="24"/>
        </w:rPr>
      </w:pPr>
    </w:p>
    <w:p w14:paraId="33EC1622" w14:textId="58FF531F" w:rsidR="00967B92" w:rsidRPr="00762D0D" w:rsidRDefault="00967B92" w:rsidP="00DC54F7">
      <w:pPr>
        <w:spacing w:after="0" w:line="240" w:lineRule="auto"/>
        <w:jc w:val="both"/>
        <w:rPr>
          <w:rFonts w:ascii="Arial" w:hAnsi="Arial" w:cs="Arial"/>
          <w:sz w:val="24"/>
          <w:szCs w:val="24"/>
        </w:rPr>
      </w:pPr>
      <w:r w:rsidRPr="00762D0D">
        <w:rPr>
          <w:rFonts w:ascii="Arial" w:hAnsi="Arial" w:cs="Arial"/>
          <w:color w:val="000000"/>
          <w:sz w:val="24"/>
          <w:szCs w:val="24"/>
        </w:rPr>
        <w:t xml:space="preserve">Furthermore, </w:t>
      </w:r>
      <w:r w:rsidRPr="00762D0D">
        <w:rPr>
          <w:rFonts w:ascii="Arial" w:hAnsi="Arial" w:cs="Arial"/>
          <w:sz w:val="24"/>
          <w:szCs w:val="24"/>
        </w:rPr>
        <w:t xml:space="preserve">with regard to any </w:t>
      </w:r>
      <w:r w:rsidR="000861B0" w:rsidRPr="00762D0D">
        <w:rPr>
          <w:rFonts w:ascii="Arial" w:hAnsi="Arial" w:cs="Arial"/>
          <w:sz w:val="24"/>
          <w:szCs w:val="24"/>
        </w:rPr>
        <w:t xml:space="preserve">smaller units of </w:t>
      </w:r>
      <w:r w:rsidRPr="00762D0D">
        <w:rPr>
          <w:rFonts w:ascii="Arial" w:hAnsi="Arial" w:cs="Arial"/>
          <w:sz w:val="24"/>
          <w:szCs w:val="24"/>
        </w:rPr>
        <w:t xml:space="preserve">housing that </w:t>
      </w:r>
      <w:r w:rsidR="000861B0" w:rsidRPr="00762D0D">
        <w:rPr>
          <w:rFonts w:ascii="Arial" w:hAnsi="Arial" w:cs="Arial"/>
          <w:sz w:val="24"/>
          <w:szCs w:val="24"/>
        </w:rPr>
        <w:t xml:space="preserve">are </w:t>
      </w:r>
      <w:r w:rsidRPr="00762D0D">
        <w:rPr>
          <w:rFonts w:ascii="Arial" w:hAnsi="Arial" w:cs="Arial"/>
          <w:sz w:val="24"/>
          <w:szCs w:val="24"/>
        </w:rPr>
        <w:t xml:space="preserve">due to be built during the lifetime of this document, </w:t>
      </w:r>
      <w:r w:rsidRPr="00762D0D">
        <w:rPr>
          <w:rFonts w:ascii="Arial" w:hAnsi="Arial" w:cs="Arial"/>
          <w:color w:val="000000"/>
          <w:sz w:val="24"/>
          <w:szCs w:val="24"/>
        </w:rPr>
        <w:t>Cardiff and Vale University Health Board</w:t>
      </w:r>
      <w:r w:rsidRPr="00762D0D">
        <w:rPr>
          <w:rFonts w:ascii="Arial" w:hAnsi="Arial" w:cs="Arial"/>
          <w:sz w:val="24"/>
          <w:szCs w:val="24"/>
        </w:rPr>
        <w:t xml:space="preserve"> is satisfied, based upon the responses to the contractor questionnaire, that the demand that this will create can be met by the existing pharmacies. The </w:t>
      </w:r>
      <w:r w:rsidRPr="00762D0D">
        <w:rPr>
          <w:rFonts w:ascii="Arial" w:hAnsi="Arial" w:cs="Arial"/>
          <w:color w:val="000000"/>
          <w:sz w:val="24"/>
          <w:szCs w:val="24"/>
        </w:rPr>
        <w:t xml:space="preserve">Cardiff and Vale University Health Board </w:t>
      </w:r>
      <w:r w:rsidRPr="00762D0D">
        <w:rPr>
          <w:rFonts w:ascii="Arial" w:hAnsi="Arial" w:cs="Arial"/>
          <w:sz w:val="24"/>
          <w:szCs w:val="24"/>
        </w:rPr>
        <w:t>has therefore concluded that there are no future needs in relation to the provision of essential services by pharmacies in the cluster</w:t>
      </w:r>
      <w:r w:rsidR="00D06754" w:rsidRPr="00762D0D">
        <w:rPr>
          <w:rFonts w:ascii="Arial" w:hAnsi="Arial" w:cs="Arial"/>
          <w:sz w:val="24"/>
          <w:szCs w:val="24"/>
        </w:rPr>
        <w:t>.</w:t>
      </w:r>
    </w:p>
    <w:p w14:paraId="0319EE06" w14:textId="77777777" w:rsidR="00967B92" w:rsidRPr="00762D0D" w:rsidRDefault="00967B92" w:rsidP="00DC54F7">
      <w:pPr>
        <w:spacing w:after="0" w:line="240" w:lineRule="auto"/>
        <w:jc w:val="both"/>
        <w:rPr>
          <w:rFonts w:ascii="Arial" w:hAnsi="Arial" w:cs="Arial"/>
          <w:sz w:val="24"/>
          <w:szCs w:val="24"/>
        </w:rPr>
      </w:pPr>
    </w:p>
    <w:p w14:paraId="11FF304D" w14:textId="77777777" w:rsidR="00967B92" w:rsidRPr="00762D0D" w:rsidRDefault="00967B92" w:rsidP="00DC54F7">
      <w:pPr>
        <w:spacing w:after="0" w:line="240" w:lineRule="auto"/>
        <w:jc w:val="both"/>
        <w:rPr>
          <w:rFonts w:ascii="Arial" w:hAnsi="Arial" w:cs="Arial"/>
          <w:sz w:val="24"/>
          <w:szCs w:val="24"/>
        </w:rPr>
      </w:pPr>
      <w:r w:rsidRPr="00762D0D">
        <w:rPr>
          <w:rFonts w:ascii="Arial" w:hAnsi="Arial" w:cs="Arial"/>
          <w:sz w:val="24"/>
          <w:szCs w:val="24"/>
        </w:rPr>
        <w:lastRenderedPageBreak/>
        <w:t xml:space="preserve">The </w:t>
      </w:r>
      <w:r w:rsidRPr="00762D0D">
        <w:rPr>
          <w:rFonts w:ascii="Arial" w:hAnsi="Arial" w:cs="Arial"/>
          <w:color w:val="000000"/>
          <w:sz w:val="24"/>
          <w:szCs w:val="24"/>
        </w:rPr>
        <w:t xml:space="preserve">Cardiff and Vale University Health Board </w:t>
      </w:r>
      <w:r w:rsidRPr="00762D0D">
        <w:rPr>
          <w:rFonts w:ascii="Arial" w:hAnsi="Arial" w:cs="Arial"/>
          <w:sz w:val="24"/>
          <w:szCs w:val="24"/>
        </w:rPr>
        <w:t>is also satisfied that, based upon the information contained in the preceding sections, there are no current or future gaps in the provision of advanced services and enhanced services.</w:t>
      </w:r>
    </w:p>
    <w:p w14:paraId="05ECB685" w14:textId="77777777" w:rsidR="00967B92" w:rsidRPr="00762D0D" w:rsidRDefault="00967B92" w:rsidP="00DC54F7">
      <w:pPr>
        <w:spacing w:after="0" w:line="240" w:lineRule="auto"/>
        <w:jc w:val="both"/>
        <w:rPr>
          <w:rFonts w:ascii="Arial" w:hAnsi="Arial" w:cs="Arial"/>
          <w:sz w:val="24"/>
          <w:szCs w:val="24"/>
        </w:rPr>
      </w:pPr>
    </w:p>
    <w:p w14:paraId="6522B6CC" w14:textId="77777777" w:rsidR="00967B92" w:rsidRPr="00762D0D" w:rsidRDefault="00967B92" w:rsidP="00DC54F7">
      <w:pPr>
        <w:spacing w:after="0" w:line="240" w:lineRule="auto"/>
        <w:jc w:val="both"/>
        <w:rPr>
          <w:rFonts w:ascii="Arial" w:hAnsi="Arial" w:cs="Arial"/>
          <w:sz w:val="24"/>
          <w:szCs w:val="24"/>
        </w:rPr>
      </w:pPr>
      <w:r w:rsidRPr="00762D0D">
        <w:rPr>
          <w:rFonts w:ascii="Arial" w:hAnsi="Arial" w:cs="Arial"/>
          <w:sz w:val="24"/>
          <w:szCs w:val="24"/>
        </w:rPr>
        <w:t xml:space="preserve">The </w:t>
      </w:r>
      <w:r w:rsidRPr="00762D0D">
        <w:rPr>
          <w:rFonts w:ascii="Arial" w:hAnsi="Arial" w:cs="Arial"/>
          <w:color w:val="000000"/>
          <w:sz w:val="24"/>
          <w:szCs w:val="24"/>
        </w:rPr>
        <w:t xml:space="preserve">Cardiff and Vale University Health Board </w:t>
      </w:r>
      <w:r w:rsidRPr="00762D0D">
        <w:rPr>
          <w:rFonts w:ascii="Arial" w:hAnsi="Arial" w:cs="Arial"/>
          <w:sz w:val="24"/>
          <w:szCs w:val="24"/>
        </w:rPr>
        <w:t>will keep service provision under review but has concluded that there is no current or future need identified which requires an application for new or additional premises.</w:t>
      </w:r>
    </w:p>
    <w:p w14:paraId="1FADF046" w14:textId="77777777" w:rsidR="0063382E" w:rsidRPr="00D05AE2" w:rsidRDefault="0063382E" w:rsidP="00DC54F7">
      <w:pPr>
        <w:spacing w:after="0" w:line="240" w:lineRule="auto"/>
        <w:jc w:val="both"/>
        <w:rPr>
          <w:rFonts w:ascii="Arial" w:hAnsi="Arial" w:cs="Arial"/>
          <w:sz w:val="24"/>
          <w:szCs w:val="24"/>
          <w:highlight w:val="yellow"/>
          <w:lang w:val="en-US"/>
        </w:rPr>
      </w:pPr>
    </w:p>
    <w:p w14:paraId="0619BABC" w14:textId="3451B6A2" w:rsidR="0063382E" w:rsidRPr="00A10850" w:rsidRDefault="0063382E" w:rsidP="00DC54F7">
      <w:pPr>
        <w:pStyle w:val="Heading1"/>
        <w:spacing w:before="0" w:line="240" w:lineRule="auto"/>
        <w:jc w:val="both"/>
        <w:rPr>
          <w:rFonts w:cs="Arial"/>
          <w:color w:val="auto"/>
        </w:rPr>
      </w:pPr>
      <w:r w:rsidRPr="00D05AE2">
        <w:rPr>
          <w:rFonts w:cs="Arial"/>
          <w:sz w:val="24"/>
          <w:szCs w:val="24"/>
          <w:highlight w:val="yellow"/>
        </w:rPr>
        <w:br w:type="page"/>
      </w:r>
      <w:bookmarkStart w:id="45" w:name="_Toc81585106"/>
      <w:r w:rsidR="0041436D">
        <w:rPr>
          <w:rFonts w:cs="Arial"/>
          <w:color w:val="auto"/>
        </w:rPr>
        <w:lastRenderedPageBreak/>
        <w:t>12</w:t>
      </w:r>
      <w:r w:rsidRPr="00A10850">
        <w:rPr>
          <w:rFonts w:cs="Arial"/>
          <w:color w:val="auto"/>
        </w:rPr>
        <w:t xml:space="preserve"> </w:t>
      </w:r>
      <w:r>
        <w:rPr>
          <w:rFonts w:cs="Arial"/>
          <w:color w:val="auto"/>
        </w:rPr>
        <w:t xml:space="preserve">Cardiff </w:t>
      </w:r>
      <w:r w:rsidR="009D14A4">
        <w:rPr>
          <w:rFonts w:cs="Arial"/>
          <w:color w:val="auto"/>
        </w:rPr>
        <w:t>South West</w:t>
      </w:r>
      <w:r w:rsidRPr="00A10850">
        <w:rPr>
          <w:rFonts w:cs="Arial"/>
          <w:color w:val="auto"/>
        </w:rPr>
        <w:t xml:space="preserve"> </w:t>
      </w:r>
      <w:r w:rsidR="00316CF8">
        <w:rPr>
          <w:rFonts w:cs="Arial"/>
          <w:color w:val="auto"/>
        </w:rPr>
        <w:t>cluster</w:t>
      </w:r>
      <w:bookmarkEnd w:id="45"/>
    </w:p>
    <w:p w14:paraId="241D66FC" w14:textId="0362C51A" w:rsidR="0063382E" w:rsidRDefault="0063382E" w:rsidP="00DC54F7">
      <w:pPr>
        <w:pStyle w:val="Heading2"/>
        <w:spacing w:before="0" w:line="240" w:lineRule="auto"/>
        <w:jc w:val="both"/>
        <w:rPr>
          <w:rFonts w:cs="Arial"/>
          <w:color w:val="942D83"/>
          <w:sz w:val="20"/>
          <w:szCs w:val="20"/>
          <w:highlight w:val="cyan"/>
        </w:rPr>
      </w:pPr>
    </w:p>
    <w:p w14:paraId="7F303049" w14:textId="77777777" w:rsidR="0001136B" w:rsidRPr="0001136B" w:rsidRDefault="0001136B" w:rsidP="00DC54F7">
      <w:pPr>
        <w:spacing w:after="0" w:line="240" w:lineRule="auto"/>
        <w:jc w:val="both"/>
        <w:rPr>
          <w:highlight w:val="cyan"/>
        </w:rPr>
      </w:pPr>
    </w:p>
    <w:p w14:paraId="17049D3A" w14:textId="3C48DCD0" w:rsidR="0063382E" w:rsidRDefault="009D14A4" w:rsidP="00DC54F7">
      <w:pPr>
        <w:spacing w:after="0" w:line="240" w:lineRule="auto"/>
        <w:jc w:val="both"/>
        <w:rPr>
          <w:rFonts w:ascii="Arial" w:hAnsi="Arial" w:cs="Arial"/>
          <w:b/>
          <w:sz w:val="26"/>
          <w:szCs w:val="26"/>
        </w:rPr>
      </w:pPr>
      <w:r>
        <w:rPr>
          <w:rFonts w:ascii="Arial" w:hAnsi="Arial" w:cs="Arial"/>
          <w:b/>
          <w:sz w:val="26"/>
          <w:szCs w:val="26"/>
        </w:rPr>
        <w:t>12</w:t>
      </w:r>
      <w:r w:rsidR="0063382E" w:rsidRPr="00A10850">
        <w:rPr>
          <w:rFonts w:ascii="Arial" w:hAnsi="Arial" w:cs="Arial"/>
          <w:b/>
          <w:sz w:val="26"/>
          <w:szCs w:val="26"/>
        </w:rPr>
        <w:t>.1 Key facts</w:t>
      </w:r>
    </w:p>
    <w:p w14:paraId="524BEFD4" w14:textId="463C70CE" w:rsidR="006F7C52" w:rsidRDefault="006F7C52" w:rsidP="00DC54F7">
      <w:pPr>
        <w:spacing w:after="0" w:line="240" w:lineRule="auto"/>
        <w:jc w:val="both"/>
        <w:rPr>
          <w:rFonts w:ascii="Arial" w:hAnsi="Arial" w:cs="Arial"/>
          <w:b/>
          <w:sz w:val="26"/>
          <w:szCs w:val="26"/>
        </w:rPr>
      </w:pPr>
    </w:p>
    <w:p w14:paraId="4A8E1F45" w14:textId="6BCCDA5B" w:rsidR="008563CF" w:rsidRPr="0067032A" w:rsidRDefault="007B47D5" w:rsidP="00DC54F7">
      <w:pPr>
        <w:jc w:val="both"/>
        <w:rPr>
          <w:rFonts w:ascii="Arial" w:hAnsi="Arial" w:cs="Arial"/>
          <w:b/>
          <w:bCs/>
          <w:sz w:val="24"/>
          <w:szCs w:val="24"/>
        </w:rPr>
      </w:pPr>
      <w:r w:rsidRPr="0067032A">
        <w:rPr>
          <w:rFonts w:ascii="Arial" w:hAnsi="Arial" w:cs="Arial"/>
          <w:b/>
          <w:bCs/>
          <w:sz w:val="24"/>
          <w:szCs w:val="24"/>
        </w:rPr>
        <w:t xml:space="preserve">12.1.1 </w:t>
      </w:r>
      <w:r w:rsidR="008563CF" w:rsidRPr="0067032A">
        <w:rPr>
          <w:rFonts w:ascii="Arial" w:hAnsi="Arial" w:cs="Arial"/>
          <w:b/>
          <w:bCs/>
          <w:sz w:val="24"/>
          <w:szCs w:val="24"/>
        </w:rPr>
        <w:t>Population and population projections 2018 to 2028 (2018 based)</w:t>
      </w:r>
    </w:p>
    <w:p w14:paraId="7CB96B7E" w14:textId="77777777" w:rsidR="008563CF" w:rsidRPr="0067032A" w:rsidRDefault="008563CF" w:rsidP="00DC54F7">
      <w:pPr>
        <w:spacing w:after="0" w:line="240" w:lineRule="auto"/>
        <w:jc w:val="both"/>
        <w:rPr>
          <w:rFonts w:ascii="Arial" w:hAnsi="Arial" w:cs="Arial"/>
          <w:sz w:val="24"/>
          <w:szCs w:val="24"/>
        </w:rPr>
      </w:pPr>
      <w:r w:rsidRPr="0067032A">
        <w:rPr>
          <w:rFonts w:ascii="Arial" w:hAnsi="Arial" w:cs="Arial"/>
          <w:sz w:val="24"/>
          <w:szCs w:val="24"/>
        </w:rPr>
        <w:t xml:space="preserve">As cluster level population data is not routinely collected on an annual basis, </w:t>
      </w:r>
    </w:p>
    <w:p w14:paraId="705DAD44" w14:textId="77777777" w:rsidR="008563CF" w:rsidRPr="0067032A" w:rsidRDefault="008563CF" w:rsidP="00DC54F7">
      <w:pPr>
        <w:spacing w:after="0" w:line="240" w:lineRule="auto"/>
        <w:jc w:val="both"/>
        <w:rPr>
          <w:rFonts w:ascii="Arial" w:hAnsi="Arial" w:cs="Arial"/>
          <w:sz w:val="24"/>
          <w:szCs w:val="24"/>
        </w:rPr>
      </w:pPr>
      <w:r w:rsidRPr="0067032A">
        <w:rPr>
          <w:rFonts w:ascii="Arial" w:hAnsi="Arial" w:cs="Arial"/>
          <w:sz w:val="24"/>
          <w:szCs w:val="24"/>
        </w:rPr>
        <w:t>GP registered patient data has been used to provide an indication of cluster population, and local authority based data has been used to provide an indication of population projections.</w:t>
      </w:r>
    </w:p>
    <w:p w14:paraId="54CD0A81" w14:textId="77777777" w:rsidR="008563CF" w:rsidRPr="0067032A" w:rsidRDefault="008563CF" w:rsidP="00DC54F7">
      <w:pPr>
        <w:spacing w:after="0" w:line="240" w:lineRule="auto"/>
        <w:jc w:val="both"/>
        <w:rPr>
          <w:rFonts w:ascii="Arial" w:hAnsi="Arial" w:cs="Arial"/>
          <w:sz w:val="24"/>
          <w:szCs w:val="24"/>
        </w:rPr>
      </w:pPr>
    </w:p>
    <w:p w14:paraId="5918D9FE" w14:textId="77777777" w:rsidR="008563CF" w:rsidRPr="002861BC" w:rsidRDefault="008563CF" w:rsidP="00DC54F7">
      <w:pPr>
        <w:spacing w:after="0" w:line="240" w:lineRule="auto"/>
        <w:jc w:val="both"/>
        <w:rPr>
          <w:rFonts w:ascii="Arial" w:hAnsi="Arial" w:cs="Arial"/>
          <w:sz w:val="24"/>
          <w:szCs w:val="24"/>
        </w:rPr>
      </w:pPr>
      <w:r w:rsidRPr="0067032A">
        <w:rPr>
          <w:rFonts w:ascii="Arial" w:hAnsi="Arial" w:cs="Arial"/>
          <w:sz w:val="24"/>
          <w:szCs w:val="24"/>
        </w:rPr>
        <w:t>Note that GP registered population data is higher than the corresponding census based mid-year population estimates provided by the Office of National Statistics (ONS) at the local authority and health board level, as outlined in section 2.2. This is most likely due to over registered or ‘ghost patients’ caused by many different factors.</w:t>
      </w:r>
    </w:p>
    <w:p w14:paraId="296FCB07" w14:textId="77777777" w:rsidR="008563CF" w:rsidRDefault="008563CF" w:rsidP="00DC54F7">
      <w:pPr>
        <w:spacing w:after="0" w:line="240" w:lineRule="auto"/>
        <w:jc w:val="both"/>
        <w:rPr>
          <w:rFonts w:ascii="Arial" w:hAnsi="Arial" w:cs="Arial"/>
          <w:b/>
          <w:i/>
          <w:iCs/>
          <w:sz w:val="24"/>
          <w:szCs w:val="24"/>
        </w:rPr>
      </w:pPr>
    </w:p>
    <w:p w14:paraId="40CC98A5" w14:textId="4E29394A" w:rsidR="008563CF" w:rsidRDefault="008563CF" w:rsidP="00DC54F7">
      <w:pPr>
        <w:spacing w:after="0" w:line="240" w:lineRule="auto"/>
        <w:jc w:val="both"/>
        <w:rPr>
          <w:rFonts w:ascii="Arial" w:hAnsi="Arial" w:cs="Arial"/>
          <w:b/>
          <w:sz w:val="24"/>
          <w:szCs w:val="24"/>
        </w:rPr>
      </w:pPr>
      <w:r w:rsidRPr="0067032A">
        <w:rPr>
          <w:rFonts w:ascii="Arial" w:hAnsi="Arial" w:cs="Arial"/>
          <w:b/>
          <w:sz w:val="24"/>
          <w:szCs w:val="24"/>
        </w:rPr>
        <w:t>Table 12: Number of GP registered patients by gender and broad age groups and by cluster, local authority and health board (2019)</w:t>
      </w:r>
    </w:p>
    <w:tbl>
      <w:tblPr>
        <w:tblW w:w="9360" w:type="dxa"/>
        <w:tblLook w:val="04A0" w:firstRow="1" w:lastRow="0" w:firstColumn="1" w:lastColumn="0" w:noHBand="0" w:noVBand="1"/>
      </w:tblPr>
      <w:tblGrid>
        <w:gridCol w:w="2280"/>
        <w:gridCol w:w="1180"/>
        <w:gridCol w:w="1180"/>
        <w:gridCol w:w="1180"/>
        <w:gridCol w:w="1123"/>
        <w:gridCol w:w="997"/>
        <w:gridCol w:w="1420"/>
      </w:tblGrid>
      <w:tr w:rsidR="00D608CA" w:rsidRPr="00D608CA" w14:paraId="7AF15A30" w14:textId="77777777" w:rsidTr="00D608CA">
        <w:trPr>
          <w:trHeight w:val="290"/>
        </w:trPr>
        <w:tc>
          <w:tcPr>
            <w:tcW w:w="2280" w:type="dxa"/>
            <w:tcBorders>
              <w:top w:val="single" w:sz="4" w:space="0" w:color="auto"/>
              <w:left w:val="single" w:sz="4" w:space="0" w:color="auto"/>
              <w:bottom w:val="nil"/>
              <w:right w:val="nil"/>
            </w:tcBorders>
            <w:shd w:val="clear" w:color="000000" w:fill="8497B0"/>
            <w:noWrap/>
            <w:vAlign w:val="bottom"/>
            <w:hideMark/>
          </w:tcPr>
          <w:p w14:paraId="4918F5B6"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 </w:t>
            </w:r>
          </w:p>
        </w:tc>
        <w:tc>
          <w:tcPr>
            <w:tcW w:w="1180" w:type="dxa"/>
            <w:tcBorders>
              <w:top w:val="single" w:sz="4" w:space="0" w:color="auto"/>
              <w:left w:val="nil"/>
              <w:bottom w:val="nil"/>
              <w:right w:val="nil"/>
            </w:tcBorders>
            <w:shd w:val="clear" w:color="000000" w:fill="8497B0"/>
            <w:noWrap/>
            <w:vAlign w:val="bottom"/>
            <w:hideMark/>
          </w:tcPr>
          <w:p w14:paraId="5D971BB6"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Year</w:t>
            </w:r>
          </w:p>
        </w:tc>
        <w:tc>
          <w:tcPr>
            <w:tcW w:w="2360" w:type="dxa"/>
            <w:gridSpan w:val="2"/>
            <w:tcBorders>
              <w:top w:val="single" w:sz="4" w:space="0" w:color="auto"/>
              <w:left w:val="nil"/>
              <w:bottom w:val="nil"/>
              <w:right w:val="nil"/>
            </w:tcBorders>
            <w:shd w:val="clear" w:color="000000" w:fill="8497B0"/>
            <w:noWrap/>
            <w:vAlign w:val="bottom"/>
            <w:hideMark/>
          </w:tcPr>
          <w:p w14:paraId="090EF1BB"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Gender</w:t>
            </w:r>
          </w:p>
        </w:tc>
        <w:tc>
          <w:tcPr>
            <w:tcW w:w="3540" w:type="dxa"/>
            <w:gridSpan w:val="3"/>
            <w:tcBorders>
              <w:top w:val="single" w:sz="4" w:space="0" w:color="auto"/>
              <w:left w:val="nil"/>
              <w:bottom w:val="nil"/>
              <w:right w:val="single" w:sz="4" w:space="0" w:color="000000"/>
            </w:tcBorders>
            <w:shd w:val="clear" w:color="000000" w:fill="8497B0"/>
            <w:noWrap/>
            <w:vAlign w:val="bottom"/>
            <w:hideMark/>
          </w:tcPr>
          <w:p w14:paraId="1D5C59E5"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Age range</w:t>
            </w:r>
          </w:p>
        </w:tc>
      </w:tr>
      <w:tr w:rsidR="00D608CA" w:rsidRPr="00D608CA" w14:paraId="6A8E79B4" w14:textId="77777777" w:rsidTr="00D608CA">
        <w:trPr>
          <w:trHeight w:val="290"/>
        </w:trPr>
        <w:tc>
          <w:tcPr>
            <w:tcW w:w="2280" w:type="dxa"/>
            <w:tcBorders>
              <w:top w:val="nil"/>
              <w:left w:val="single" w:sz="4" w:space="0" w:color="auto"/>
              <w:bottom w:val="nil"/>
              <w:right w:val="nil"/>
            </w:tcBorders>
            <w:shd w:val="clear" w:color="000000" w:fill="8497B0"/>
            <w:noWrap/>
            <w:vAlign w:val="bottom"/>
            <w:hideMark/>
          </w:tcPr>
          <w:p w14:paraId="181DE5E4"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 </w:t>
            </w:r>
          </w:p>
        </w:tc>
        <w:tc>
          <w:tcPr>
            <w:tcW w:w="1180" w:type="dxa"/>
            <w:tcBorders>
              <w:top w:val="nil"/>
              <w:left w:val="nil"/>
              <w:bottom w:val="nil"/>
              <w:right w:val="nil"/>
            </w:tcBorders>
            <w:shd w:val="clear" w:color="000000" w:fill="8497B0"/>
            <w:noWrap/>
            <w:vAlign w:val="bottom"/>
            <w:hideMark/>
          </w:tcPr>
          <w:p w14:paraId="4E091872"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2019</w:t>
            </w:r>
          </w:p>
        </w:tc>
        <w:tc>
          <w:tcPr>
            <w:tcW w:w="1180" w:type="dxa"/>
            <w:tcBorders>
              <w:top w:val="nil"/>
              <w:left w:val="nil"/>
              <w:bottom w:val="nil"/>
              <w:right w:val="nil"/>
            </w:tcBorders>
            <w:shd w:val="clear" w:color="000000" w:fill="8497B0"/>
            <w:noWrap/>
            <w:vAlign w:val="bottom"/>
            <w:hideMark/>
          </w:tcPr>
          <w:p w14:paraId="4DFBA53B"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Female</w:t>
            </w:r>
          </w:p>
        </w:tc>
        <w:tc>
          <w:tcPr>
            <w:tcW w:w="1180" w:type="dxa"/>
            <w:tcBorders>
              <w:top w:val="nil"/>
              <w:left w:val="nil"/>
              <w:bottom w:val="nil"/>
              <w:right w:val="nil"/>
            </w:tcBorders>
            <w:shd w:val="clear" w:color="000000" w:fill="8497B0"/>
            <w:noWrap/>
            <w:vAlign w:val="bottom"/>
            <w:hideMark/>
          </w:tcPr>
          <w:p w14:paraId="49FE9DC7"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Male</w:t>
            </w:r>
          </w:p>
        </w:tc>
        <w:tc>
          <w:tcPr>
            <w:tcW w:w="1123" w:type="dxa"/>
            <w:tcBorders>
              <w:top w:val="nil"/>
              <w:left w:val="nil"/>
              <w:bottom w:val="nil"/>
              <w:right w:val="nil"/>
            </w:tcBorders>
            <w:shd w:val="clear" w:color="000000" w:fill="8497B0"/>
            <w:noWrap/>
            <w:vAlign w:val="bottom"/>
            <w:hideMark/>
          </w:tcPr>
          <w:p w14:paraId="47F7B0DC"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Under 65</w:t>
            </w:r>
          </w:p>
        </w:tc>
        <w:tc>
          <w:tcPr>
            <w:tcW w:w="997" w:type="dxa"/>
            <w:tcBorders>
              <w:top w:val="nil"/>
              <w:left w:val="nil"/>
              <w:bottom w:val="nil"/>
              <w:right w:val="nil"/>
            </w:tcBorders>
            <w:shd w:val="clear" w:color="000000" w:fill="8497B0"/>
            <w:noWrap/>
            <w:vAlign w:val="bottom"/>
            <w:hideMark/>
          </w:tcPr>
          <w:p w14:paraId="0448D266"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65 to 84</w:t>
            </w:r>
          </w:p>
        </w:tc>
        <w:tc>
          <w:tcPr>
            <w:tcW w:w="1420" w:type="dxa"/>
            <w:tcBorders>
              <w:top w:val="nil"/>
              <w:left w:val="nil"/>
              <w:bottom w:val="nil"/>
              <w:right w:val="single" w:sz="4" w:space="0" w:color="auto"/>
            </w:tcBorders>
            <w:shd w:val="clear" w:color="000000" w:fill="8497B0"/>
            <w:noWrap/>
            <w:vAlign w:val="bottom"/>
            <w:hideMark/>
          </w:tcPr>
          <w:p w14:paraId="78BC4ACC"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85 and over</w:t>
            </w:r>
          </w:p>
        </w:tc>
      </w:tr>
      <w:tr w:rsidR="00D608CA" w:rsidRPr="00D608CA" w14:paraId="7D04B75C" w14:textId="77777777" w:rsidTr="00D608CA">
        <w:trPr>
          <w:trHeight w:val="290"/>
        </w:trPr>
        <w:tc>
          <w:tcPr>
            <w:tcW w:w="2280" w:type="dxa"/>
            <w:tcBorders>
              <w:top w:val="nil"/>
              <w:left w:val="single" w:sz="4" w:space="0" w:color="auto"/>
              <w:bottom w:val="nil"/>
              <w:right w:val="nil"/>
            </w:tcBorders>
            <w:shd w:val="clear" w:color="000000" w:fill="F2F2F2"/>
            <w:noWrap/>
            <w:vAlign w:val="bottom"/>
            <w:hideMark/>
          </w:tcPr>
          <w:p w14:paraId="76DFE97F"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Cardiff South West</w:t>
            </w:r>
          </w:p>
        </w:tc>
        <w:tc>
          <w:tcPr>
            <w:tcW w:w="1180" w:type="dxa"/>
            <w:tcBorders>
              <w:top w:val="nil"/>
              <w:left w:val="nil"/>
              <w:bottom w:val="nil"/>
              <w:right w:val="nil"/>
            </w:tcBorders>
            <w:shd w:val="clear" w:color="000000" w:fill="F2F2F2"/>
            <w:noWrap/>
            <w:vAlign w:val="bottom"/>
            <w:hideMark/>
          </w:tcPr>
          <w:p w14:paraId="070D97B0"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66618</w:t>
            </w:r>
          </w:p>
        </w:tc>
        <w:tc>
          <w:tcPr>
            <w:tcW w:w="1180" w:type="dxa"/>
            <w:tcBorders>
              <w:top w:val="nil"/>
              <w:left w:val="nil"/>
              <w:bottom w:val="nil"/>
              <w:right w:val="nil"/>
            </w:tcBorders>
            <w:shd w:val="clear" w:color="000000" w:fill="F2F2F2"/>
            <w:noWrap/>
            <w:vAlign w:val="bottom"/>
            <w:hideMark/>
          </w:tcPr>
          <w:p w14:paraId="2F80F9CE"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32748</w:t>
            </w:r>
          </w:p>
        </w:tc>
        <w:tc>
          <w:tcPr>
            <w:tcW w:w="1180" w:type="dxa"/>
            <w:tcBorders>
              <w:top w:val="nil"/>
              <w:left w:val="nil"/>
              <w:bottom w:val="nil"/>
              <w:right w:val="nil"/>
            </w:tcBorders>
            <w:shd w:val="clear" w:color="000000" w:fill="F2F2F2"/>
            <w:noWrap/>
            <w:vAlign w:val="bottom"/>
            <w:hideMark/>
          </w:tcPr>
          <w:p w14:paraId="01FC1687"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33870</w:t>
            </w:r>
          </w:p>
        </w:tc>
        <w:tc>
          <w:tcPr>
            <w:tcW w:w="1123" w:type="dxa"/>
            <w:tcBorders>
              <w:top w:val="nil"/>
              <w:left w:val="nil"/>
              <w:bottom w:val="nil"/>
              <w:right w:val="nil"/>
            </w:tcBorders>
            <w:shd w:val="clear" w:color="000000" w:fill="F2F2F2"/>
            <w:noWrap/>
            <w:vAlign w:val="bottom"/>
            <w:hideMark/>
          </w:tcPr>
          <w:p w14:paraId="3EF8DF7B"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57588</w:t>
            </w:r>
          </w:p>
        </w:tc>
        <w:tc>
          <w:tcPr>
            <w:tcW w:w="997" w:type="dxa"/>
            <w:tcBorders>
              <w:top w:val="nil"/>
              <w:left w:val="nil"/>
              <w:bottom w:val="nil"/>
              <w:right w:val="nil"/>
            </w:tcBorders>
            <w:shd w:val="clear" w:color="000000" w:fill="F2F2F2"/>
            <w:noWrap/>
            <w:vAlign w:val="bottom"/>
            <w:hideMark/>
          </w:tcPr>
          <w:p w14:paraId="6CA2527E"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7847</w:t>
            </w:r>
          </w:p>
        </w:tc>
        <w:tc>
          <w:tcPr>
            <w:tcW w:w="1420" w:type="dxa"/>
            <w:tcBorders>
              <w:top w:val="nil"/>
              <w:left w:val="nil"/>
              <w:bottom w:val="nil"/>
              <w:right w:val="single" w:sz="4" w:space="0" w:color="auto"/>
            </w:tcBorders>
            <w:shd w:val="clear" w:color="000000" w:fill="F2F2F2"/>
            <w:noWrap/>
            <w:vAlign w:val="bottom"/>
            <w:hideMark/>
          </w:tcPr>
          <w:p w14:paraId="2A439054"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1183</w:t>
            </w:r>
          </w:p>
        </w:tc>
      </w:tr>
      <w:tr w:rsidR="00D608CA" w:rsidRPr="00D608CA" w14:paraId="7F954E38" w14:textId="77777777" w:rsidTr="00D608CA">
        <w:trPr>
          <w:trHeight w:val="290"/>
        </w:trPr>
        <w:tc>
          <w:tcPr>
            <w:tcW w:w="2280" w:type="dxa"/>
            <w:tcBorders>
              <w:top w:val="nil"/>
              <w:left w:val="single" w:sz="4" w:space="0" w:color="auto"/>
              <w:bottom w:val="nil"/>
              <w:right w:val="nil"/>
            </w:tcBorders>
            <w:shd w:val="clear" w:color="auto" w:fill="auto"/>
            <w:noWrap/>
            <w:vAlign w:val="bottom"/>
            <w:hideMark/>
          </w:tcPr>
          <w:p w14:paraId="38FB4440"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Cardiff</w:t>
            </w:r>
          </w:p>
        </w:tc>
        <w:tc>
          <w:tcPr>
            <w:tcW w:w="1180" w:type="dxa"/>
            <w:tcBorders>
              <w:top w:val="nil"/>
              <w:left w:val="nil"/>
              <w:bottom w:val="nil"/>
              <w:right w:val="nil"/>
            </w:tcBorders>
            <w:shd w:val="clear" w:color="auto" w:fill="auto"/>
            <w:noWrap/>
            <w:vAlign w:val="bottom"/>
            <w:hideMark/>
          </w:tcPr>
          <w:p w14:paraId="1A762099"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389619</w:t>
            </w:r>
          </w:p>
        </w:tc>
        <w:tc>
          <w:tcPr>
            <w:tcW w:w="1180" w:type="dxa"/>
            <w:tcBorders>
              <w:top w:val="nil"/>
              <w:left w:val="nil"/>
              <w:bottom w:val="nil"/>
              <w:right w:val="nil"/>
            </w:tcBorders>
            <w:shd w:val="clear" w:color="auto" w:fill="auto"/>
            <w:noWrap/>
            <w:vAlign w:val="bottom"/>
            <w:hideMark/>
          </w:tcPr>
          <w:p w14:paraId="40CD3CCA"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193044</w:t>
            </w:r>
          </w:p>
        </w:tc>
        <w:tc>
          <w:tcPr>
            <w:tcW w:w="1180" w:type="dxa"/>
            <w:tcBorders>
              <w:top w:val="nil"/>
              <w:left w:val="nil"/>
              <w:bottom w:val="nil"/>
              <w:right w:val="nil"/>
            </w:tcBorders>
            <w:shd w:val="clear" w:color="auto" w:fill="auto"/>
            <w:noWrap/>
            <w:vAlign w:val="bottom"/>
            <w:hideMark/>
          </w:tcPr>
          <w:p w14:paraId="1CA1D57F"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196575</w:t>
            </w:r>
          </w:p>
        </w:tc>
        <w:tc>
          <w:tcPr>
            <w:tcW w:w="1123" w:type="dxa"/>
            <w:tcBorders>
              <w:top w:val="nil"/>
              <w:left w:val="nil"/>
              <w:bottom w:val="nil"/>
              <w:right w:val="nil"/>
            </w:tcBorders>
            <w:shd w:val="clear" w:color="auto" w:fill="auto"/>
            <w:noWrap/>
            <w:vAlign w:val="bottom"/>
            <w:hideMark/>
          </w:tcPr>
          <w:p w14:paraId="078820E3"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335252</w:t>
            </w:r>
          </w:p>
        </w:tc>
        <w:tc>
          <w:tcPr>
            <w:tcW w:w="997" w:type="dxa"/>
            <w:tcBorders>
              <w:top w:val="nil"/>
              <w:left w:val="nil"/>
              <w:bottom w:val="nil"/>
              <w:right w:val="nil"/>
            </w:tcBorders>
            <w:shd w:val="clear" w:color="auto" w:fill="auto"/>
            <w:noWrap/>
            <w:vAlign w:val="bottom"/>
            <w:hideMark/>
          </w:tcPr>
          <w:p w14:paraId="0C625D57"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46599</w:t>
            </w:r>
          </w:p>
        </w:tc>
        <w:tc>
          <w:tcPr>
            <w:tcW w:w="1420" w:type="dxa"/>
            <w:tcBorders>
              <w:top w:val="nil"/>
              <w:left w:val="nil"/>
              <w:bottom w:val="nil"/>
              <w:right w:val="single" w:sz="4" w:space="0" w:color="auto"/>
            </w:tcBorders>
            <w:shd w:val="clear" w:color="auto" w:fill="auto"/>
            <w:noWrap/>
            <w:vAlign w:val="bottom"/>
            <w:hideMark/>
          </w:tcPr>
          <w:p w14:paraId="34A380EA"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7768</w:t>
            </w:r>
          </w:p>
        </w:tc>
      </w:tr>
      <w:tr w:rsidR="00D608CA" w:rsidRPr="00D608CA" w14:paraId="4EFC2820" w14:textId="77777777" w:rsidTr="00D608CA">
        <w:trPr>
          <w:trHeight w:val="290"/>
        </w:trPr>
        <w:tc>
          <w:tcPr>
            <w:tcW w:w="2280" w:type="dxa"/>
            <w:tcBorders>
              <w:top w:val="nil"/>
              <w:left w:val="single" w:sz="4" w:space="0" w:color="auto"/>
              <w:bottom w:val="single" w:sz="4" w:space="0" w:color="auto"/>
              <w:right w:val="nil"/>
            </w:tcBorders>
            <w:shd w:val="clear" w:color="000000" w:fill="F2F2F2"/>
            <w:noWrap/>
            <w:vAlign w:val="bottom"/>
            <w:hideMark/>
          </w:tcPr>
          <w:p w14:paraId="1DE6C9E9"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Cardiff and Vale UHB</w:t>
            </w:r>
          </w:p>
        </w:tc>
        <w:tc>
          <w:tcPr>
            <w:tcW w:w="1180" w:type="dxa"/>
            <w:tcBorders>
              <w:top w:val="nil"/>
              <w:left w:val="nil"/>
              <w:bottom w:val="single" w:sz="4" w:space="0" w:color="auto"/>
              <w:right w:val="nil"/>
            </w:tcBorders>
            <w:shd w:val="clear" w:color="000000" w:fill="F2F2F2"/>
            <w:noWrap/>
            <w:vAlign w:val="bottom"/>
            <w:hideMark/>
          </w:tcPr>
          <w:p w14:paraId="39DCA405"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521177</w:t>
            </w:r>
          </w:p>
        </w:tc>
        <w:tc>
          <w:tcPr>
            <w:tcW w:w="1180" w:type="dxa"/>
            <w:tcBorders>
              <w:top w:val="nil"/>
              <w:left w:val="nil"/>
              <w:bottom w:val="single" w:sz="4" w:space="0" w:color="auto"/>
              <w:right w:val="nil"/>
            </w:tcBorders>
            <w:shd w:val="clear" w:color="000000" w:fill="F2F2F2"/>
            <w:noWrap/>
            <w:vAlign w:val="bottom"/>
            <w:hideMark/>
          </w:tcPr>
          <w:p w14:paraId="608D2C61"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260027</w:t>
            </w:r>
          </w:p>
        </w:tc>
        <w:tc>
          <w:tcPr>
            <w:tcW w:w="1180" w:type="dxa"/>
            <w:tcBorders>
              <w:top w:val="nil"/>
              <w:left w:val="nil"/>
              <w:bottom w:val="single" w:sz="4" w:space="0" w:color="auto"/>
              <w:right w:val="nil"/>
            </w:tcBorders>
            <w:shd w:val="clear" w:color="000000" w:fill="F2F2F2"/>
            <w:noWrap/>
            <w:vAlign w:val="bottom"/>
            <w:hideMark/>
          </w:tcPr>
          <w:p w14:paraId="22EC79E7"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261150</w:t>
            </w:r>
          </w:p>
        </w:tc>
        <w:tc>
          <w:tcPr>
            <w:tcW w:w="1123" w:type="dxa"/>
            <w:tcBorders>
              <w:top w:val="nil"/>
              <w:left w:val="nil"/>
              <w:bottom w:val="single" w:sz="4" w:space="0" w:color="auto"/>
              <w:right w:val="nil"/>
            </w:tcBorders>
            <w:shd w:val="clear" w:color="000000" w:fill="F2F2F2"/>
            <w:noWrap/>
            <w:vAlign w:val="bottom"/>
            <w:hideMark/>
          </w:tcPr>
          <w:p w14:paraId="650D65A3"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439365</w:t>
            </w:r>
          </w:p>
        </w:tc>
        <w:tc>
          <w:tcPr>
            <w:tcW w:w="997" w:type="dxa"/>
            <w:tcBorders>
              <w:top w:val="nil"/>
              <w:left w:val="nil"/>
              <w:bottom w:val="single" w:sz="4" w:space="0" w:color="auto"/>
              <w:right w:val="nil"/>
            </w:tcBorders>
            <w:shd w:val="clear" w:color="000000" w:fill="F2F2F2"/>
            <w:noWrap/>
            <w:vAlign w:val="bottom"/>
            <w:hideMark/>
          </w:tcPr>
          <w:p w14:paraId="4E010C6F"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70412</w:t>
            </w:r>
          </w:p>
        </w:tc>
        <w:tc>
          <w:tcPr>
            <w:tcW w:w="1420" w:type="dxa"/>
            <w:tcBorders>
              <w:top w:val="nil"/>
              <w:left w:val="nil"/>
              <w:bottom w:val="single" w:sz="4" w:space="0" w:color="auto"/>
              <w:right w:val="single" w:sz="4" w:space="0" w:color="auto"/>
            </w:tcBorders>
            <w:shd w:val="clear" w:color="000000" w:fill="F2F2F2"/>
            <w:noWrap/>
            <w:vAlign w:val="bottom"/>
            <w:hideMark/>
          </w:tcPr>
          <w:p w14:paraId="1946DF95" w14:textId="77777777" w:rsidR="00D608CA" w:rsidRPr="00D608CA" w:rsidRDefault="00D608CA" w:rsidP="00DC54F7">
            <w:pPr>
              <w:spacing w:after="0" w:line="240" w:lineRule="auto"/>
              <w:jc w:val="both"/>
              <w:rPr>
                <w:rFonts w:ascii="Calibri" w:eastAsia="Times New Roman" w:hAnsi="Calibri" w:cs="Calibri"/>
                <w:color w:val="000000"/>
                <w:lang w:eastAsia="en-GB"/>
              </w:rPr>
            </w:pPr>
            <w:r w:rsidRPr="00D608CA">
              <w:rPr>
                <w:rFonts w:ascii="Calibri" w:eastAsia="Times New Roman" w:hAnsi="Calibri" w:cs="Calibri"/>
                <w:color w:val="000000"/>
                <w:lang w:eastAsia="en-GB"/>
              </w:rPr>
              <w:t>11400</w:t>
            </w:r>
          </w:p>
        </w:tc>
      </w:tr>
    </w:tbl>
    <w:p w14:paraId="1E87AAE5" w14:textId="60C8CBA0" w:rsidR="00D608CA" w:rsidRPr="0051221A" w:rsidRDefault="00D608CA" w:rsidP="00DC54F7">
      <w:pPr>
        <w:spacing w:after="0" w:line="240" w:lineRule="auto"/>
        <w:jc w:val="both"/>
        <w:rPr>
          <w:rFonts w:ascii="Arial" w:hAnsi="Arial" w:cs="Arial"/>
          <w:bCs/>
          <w:sz w:val="20"/>
          <w:szCs w:val="20"/>
        </w:rPr>
      </w:pPr>
      <w:r w:rsidRPr="0051221A">
        <w:rPr>
          <w:rFonts w:ascii="Arial" w:hAnsi="Arial" w:cs="Arial"/>
          <w:bCs/>
          <w:sz w:val="20"/>
          <w:szCs w:val="20"/>
        </w:rPr>
        <w:t>Source: StatsWales - NHS Wales Shared Services Partnership.</w:t>
      </w:r>
    </w:p>
    <w:p w14:paraId="375CE440" w14:textId="77777777" w:rsidR="00D608CA" w:rsidRDefault="00D608CA" w:rsidP="00DC54F7">
      <w:pPr>
        <w:spacing w:after="0" w:line="240" w:lineRule="auto"/>
        <w:jc w:val="both"/>
        <w:rPr>
          <w:rFonts w:ascii="Arial" w:hAnsi="Arial" w:cs="Arial"/>
          <w:b/>
          <w:bCs/>
          <w:sz w:val="24"/>
          <w:szCs w:val="24"/>
        </w:rPr>
      </w:pPr>
    </w:p>
    <w:p w14:paraId="4E933C5F" w14:textId="428304D3" w:rsidR="0008459A" w:rsidRPr="007B47D5" w:rsidRDefault="0008459A" w:rsidP="00DC54F7">
      <w:pPr>
        <w:spacing w:after="0" w:line="240" w:lineRule="auto"/>
        <w:jc w:val="both"/>
        <w:rPr>
          <w:rFonts w:ascii="Arial" w:hAnsi="Arial" w:cs="Arial"/>
          <w:sz w:val="24"/>
          <w:szCs w:val="24"/>
        </w:rPr>
      </w:pPr>
      <w:r w:rsidRPr="007B47D5">
        <w:rPr>
          <w:rFonts w:ascii="Arial" w:hAnsi="Arial" w:cs="Arial"/>
          <w:sz w:val="24"/>
          <w:szCs w:val="24"/>
        </w:rPr>
        <w:t>Between 2018 to 2028, the population of Cardiff is projected to increase by up to 3.2%, the sixth largest percentage increase of all the local authorities within Wales. It is expected to have a population of around 375,700 by 2028, making it the largest local authority in Wales. Unlike all other local authorities, the increase in population will mainly be driven by natural change i.e. more births than deaths and a smaller proportion of the increase will be due to net migration i.e. more people moving into the area than out. Cardiff has the highest level of projected international migration of all the local authorities. The population is expected to increase across all broad age groups, except the 0 to 15 years old where a decrease is predicted.  The largest population increases will be in the over 65 age group followed by the working-age population aged 16 to 64 years. The population is projected to continue to age in the local authority.</w:t>
      </w:r>
    </w:p>
    <w:p w14:paraId="040A5691" w14:textId="2ADCF7D3" w:rsidR="00792BD2" w:rsidRDefault="00792BD2" w:rsidP="00DC54F7">
      <w:pPr>
        <w:spacing w:after="0" w:line="240" w:lineRule="auto"/>
        <w:jc w:val="both"/>
        <w:rPr>
          <w:rFonts w:ascii="Arial" w:hAnsi="Arial" w:cs="Arial"/>
        </w:rPr>
      </w:pPr>
    </w:p>
    <w:p w14:paraId="7A1C155E" w14:textId="77777777" w:rsidR="007B47D5" w:rsidRDefault="007B47D5" w:rsidP="00DC54F7">
      <w:pPr>
        <w:spacing w:after="0" w:line="240" w:lineRule="auto"/>
        <w:jc w:val="both"/>
        <w:rPr>
          <w:rFonts w:ascii="Arial" w:hAnsi="Arial" w:cs="Arial"/>
        </w:rPr>
      </w:pPr>
    </w:p>
    <w:p w14:paraId="5463D5D9" w14:textId="6F72EC24" w:rsidR="003404D7" w:rsidRPr="00D06754" w:rsidRDefault="007B47D5" w:rsidP="00DC54F7">
      <w:pPr>
        <w:spacing w:after="0" w:line="240" w:lineRule="auto"/>
        <w:jc w:val="both"/>
        <w:rPr>
          <w:rFonts w:ascii="Arial" w:hAnsi="Arial" w:cs="Arial"/>
          <w:b/>
          <w:bCs/>
          <w:sz w:val="24"/>
          <w:szCs w:val="24"/>
        </w:rPr>
      </w:pPr>
      <w:r>
        <w:rPr>
          <w:rFonts w:ascii="Arial" w:hAnsi="Arial" w:cs="Arial"/>
          <w:b/>
          <w:bCs/>
          <w:sz w:val="24"/>
          <w:szCs w:val="24"/>
        </w:rPr>
        <w:t xml:space="preserve">12.1.2. </w:t>
      </w:r>
      <w:r w:rsidR="003404D7" w:rsidRPr="00D06754">
        <w:rPr>
          <w:rFonts w:ascii="Arial" w:hAnsi="Arial" w:cs="Arial"/>
          <w:b/>
          <w:bCs/>
          <w:sz w:val="24"/>
          <w:szCs w:val="24"/>
        </w:rPr>
        <w:t>Life expectancy, healthy life expectancy and the ‘inequality gap’</w:t>
      </w:r>
    </w:p>
    <w:p w14:paraId="150FC478" w14:textId="77777777" w:rsidR="003404D7" w:rsidRPr="00DB7FBC" w:rsidRDefault="003404D7" w:rsidP="00DC54F7">
      <w:pPr>
        <w:spacing w:after="0" w:line="240" w:lineRule="auto"/>
        <w:jc w:val="both"/>
        <w:rPr>
          <w:rFonts w:ascii="Arial" w:hAnsi="Arial" w:cs="Arial"/>
          <w:b/>
          <w:bCs/>
        </w:rPr>
      </w:pPr>
    </w:p>
    <w:p w14:paraId="18F0F2E2" w14:textId="77777777" w:rsidR="003404D7" w:rsidRPr="007B47D5" w:rsidRDefault="003404D7" w:rsidP="00DC54F7">
      <w:pPr>
        <w:spacing w:after="0" w:line="240" w:lineRule="auto"/>
        <w:jc w:val="both"/>
        <w:rPr>
          <w:rFonts w:ascii="Arial" w:hAnsi="Arial" w:cs="Arial"/>
          <w:sz w:val="24"/>
          <w:szCs w:val="24"/>
        </w:rPr>
      </w:pPr>
      <w:r w:rsidRPr="007B47D5">
        <w:rPr>
          <w:rFonts w:ascii="Arial" w:hAnsi="Arial" w:cs="Arial"/>
          <w:sz w:val="24"/>
          <w:szCs w:val="24"/>
        </w:rPr>
        <w:t>Life expectancy at birth in Cardiff is better than the average for Wales for both females and males. The difference in life expectancy that exists across an area between the most and least deprived areas is referred to as the ‘inequality gap’. The inequality gap in life expectancy at birth between the most and least deprived fifth, for Cardiff is wider than the average for Wales for both males and females. The healthy life expectancy (the number of years a person can expect to live in good health) in Cardiff is lower than the average for Wales for both females and males.</w:t>
      </w:r>
    </w:p>
    <w:p w14:paraId="6EA27FEC" w14:textId="77777777" w:rsidR="003404D7" w:rsidRDefault="003404D7" w:rsidP="00DC54F7">
      <w:pPr>
        <w:spacing w:after="0" w:line="240" w:lineRule="auto"/>
        <w:jc w:val="both"/>
        <w:rPr>
          <w:rFonts w:ascii="Arial" w:hAnsi="Arial" w:cs="Arial"/>
          <w:b/>
          <w:bCs/>
        </w:rPr>
      </w:pPr>
    </w:p>
    <w:p w14:paraId="6B1266EF" w14:textId="438E4290" w:rsidR="003404D7" w:rsidRPr="007B47D5" w:rsidRDefault="003404D7" w:rsidP="00DC54F7">
      <w:pPr>
        <w:spacing w:after="0" w:line="240" w:lineRule="auto"/>
        <w:jc w:val="both"/>
        <w:rPr>
          <w:rFonts w:ascii="Arial" w:hAnsi="Arial" w:cs="Arial"/>
          <w:b/>
          <w:bCs/>
          <w:sz w:val="24"/>
          <w:szCs w:val="24"/>
        </w:rPr>
      </w:pPr>
      <w:r w:rsidRPr="007B47D5">
        <w:rPr>
          <w:rFonts w:ascii="Arial" w:hAnsi="Arial" w:cs="Arial"/>
          <w:b/>
          <w:bCs/>
          <w:sz w:val="24"/>
          <w:szCs w:val="24"/>
        </w:rPr>
        <w:t>Table 1</w:t>
      </w:r>
      <w:r w:rsidR="00C3786C" w:rsidRPr="007B47D5">
        <w:rPr>
          <w:rFonts w:ascii="Arial" w:hAnsi="Arial" w:cs="Arial"/>
          <w:b/>
          <w:bCs/>
          <w:sz w:val="24"/>
          <w:szCs w:val="24"/>
        </w:rPr>
        <w:t>2</w:t>
      </w:r>
      <w:r w:rsidRPr="007B47D5">
        <w:rPr>
          <w:rFonts w:ascii="Arial" w:hAnsi="Arial" w:cs="Arial"/>
          <w:b/>
          <w:bCs/>
          <w:sz w:val="24"/>
          <w:szCs w:val="24"/>
        </w:rPr>
        <w:t xml:space="preserve">.1: Life expectancy, healthy life expectancy and the ‘inequality gap’ (2015 to 2017) </w:t>
      </w:r>
    </w:p>
    <w:tbl>
      <w:tblPr>
        <w:tblW w:w="9271"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263"/>
        <w:gridCol w:w="1168"/>
        <w:gridCol w:w="1168"/>
        <w:gridCol w:w="1168"/>
        <w:gridCol w:w="1168"/>
        <w:gridCol w:w="1168"/>
        <w:gridCol w:w="1168"/>
      </w:tblGrid>
      <w:tr w:rsidR="00D06754" w:rsidRPr="00847226" w14:paraId="70423BEC" w14:textId="77777777" w:rsidTr="00AA572E">
        <w:trPr>
          <w:trHeight w:val="281"/>
        </w:trPr>
        <w:tc>
          <w:tcPr>
            <w:tcW w:w="2263" w:type="dxa"/>
            <w:shd w:val="clear" w:color="000000" w:fill="8497B0"/>
            <w:noWrap/>
            <w:vAlign w:val="bottom"/>
            <w:hideMark/>
          </w:tcPr>
          <w:p w14:paraId="6445BB77" w14:textId="77777777" w:rsidR="00D06754" w:rsidRPr="007B47D5" w:rsidRDefault="00D06754" w:rsidP="00DC54F7">
            <w:pPr>
              <w:spacing w:after="0" w:line="240" w:lineRule="auto"/>
              <w:jc w:val="both"/>
              <w:rPr>
                <w:rFonts w:ascii="Calibri" w:eastAsia="Times New Roman" w:hAnsi="Calibri" w:cs="Calibri"/>
                <w:lang w:eastAsia="en-GB"/>
              </w:rPr>
            </w:pPr>
            <w:r w:rsidRPr="007B47D5">
              <w:rPr>
                <w:rFonts w:ascii="Calibri" w:eastAsia="Times New Roman" w:hAnsi="Calibri" w:cs="Calibri"/>
                <w:lang w:eastAsia="en-GB"/>
              </w:rPr>
              <w:t> </w:t>
            </w:r>
          </w:p>
        </w:tc>
        <w:tc>
          <w:tcPr>
            <w:tcW w:w="2336" w:type="dxa"/>
            <w:gridSpan w:val="2"/>
            <w:shd w:val="clear" w:color="000000" w:fill="8497B0"/>
            <w:noWrap/>
            <w:vAlign w:val="bottom"/>
            <w:hideMark/>
          </w:tcPr>
          <w:p w14:paraId="6235AD94" w14:textId="77777777" w:rsidR="00D06754" w:rsidRPr="007B47D5" w:rsidRDefault="00D06754" w:rsidP="00DC54F7">
            <w:pPr>
              <w:spacing w:after="0" w:line="240" w:lineRule="auto"/>
              <w:jc w:val="both"/>
              <w:rPr>
                <w:rFonts w:ascii="Calibri" w:eastAsia="Times New Roman" w:hAnsi="Calibri" w:cs="Calibri"/>
                <w:b/>
                <w:bCs/>
                <w:color w:val="FFFFFF"/>
                <w:lang w:eastAsia="en-GB"/>
              </w:rPr>
            </w:pPr>
            <w:r w:rsidRPr="007B47D5">
              <w:rPr>
                <w:rFonts w:ascii="Calibri" w:eastAsia="Times New Roman" w:hAnsi="Calibri" w:cs="Calibri"/>
                <w:b/>
                <w:bCs/>
                <w:color w:val="FFFFFF"/>
                <w:lang w:eastAsia="en-GB"/>
              </w:rPr>
              <w:t>Life expectancy at birth (years)</w:t>
            </w:r>
          </w:p>
        </w:tc>
        <w:tc>
          <w:tcPr>
            <w:tcW w:w="2336" w:type="dxa"/>
            <w:gridSpan w:val="2"/>
            <w:shd w:val="clear" w:color="000000" w:fill="8497B0"/>
            <w:noWrap/>
            <w:vAlign w:val="bottom"/>
            <w:hideMark/>
          </w:tcPr>
          <w:p w14:paraId="4050EF71" w14:textId="77777777" w:rsidR="00D06754" w:rsidRPr="007B47D5" w:rsidRDefault="00D06754" w:rsidP="00DC54F7">
            <w:pPr>
              <w:spacing w:after="0" w:line="240" w:lineRule="auto"/>
              <w:jc w:val="both"/>
              <w:rPr>
                <w:rFonts w:ascii="Calibri" w:eastAsia="Times New Roman" w:hAnsi="Calibri" w:cs="Calibri"/>
                <w:b/>
                <w:bCs/>
                <w:color w:val="FFFFFF"/>
                <w:lang w:eastAsia="en-GB"/>
              </w:rPr>
            </w:pPr>
            <w:r w:rsidRPr="007B47D5">
              <w:rPr>
                <w:rFonts w:ascii="Calibri" w:eastAsia="Times New Roman" w:hAnsi="Calibri" w:cs="Calibri"/>
                <w:b/>
                <w:bCs/>
                <w:color w:val="FFFFFF"/>
                <w:lang w:eastAsia="en-GB"/>
              </w:rPr>
              <w:t>Healthy life expectancy (years)</w:t>
            </w:r>
          </w:p>
        </w:tc>
        <w:tc>
          <w:tcPr>
            <w:tcW w:w="2336" w:type="dxa"/>
            <w:gridSpan w:val="2"/>
            <w:shd w:val="clear" w:color="000000" w:fill="8497B0"/>
            <w:noWrap/>
            <w:vAlign w:val="bottom"/>
            <w:hideMark/>
          </w:tcPr>
          <w:p w14:paraId="590237F4" w14:textId="77777777" w:rsidR="0073097D" w:rsidRDefault="00D06754" w:rsidP="00DC54F7">
            <w:pPr>
              <w:spacing w:after="0" w:line="240" w:lineRule="auto"/>
              <w:jc w:val="both"/>
              <w:rPr>
                <w:rFonts w:ascii="Calibri" w:eastAsia="Times New Roman" w:hAnsi="Calibri" w:cs="Calibri"/>
                <w:b/>
                <w:bCs/>
                <w:color w:val="FFFFFF"/>
                <w:lang w:eastAsia="en-GB"/>
              </w:rPr>
            </w:pPr>
            <w:r w:rsidRPr="007B47D5">
              <w:rPr>
                <w:rFonts w:ascii="Calibri" w:eastAsia="Times New Roman" w:hAnsi="Calibri" w:cs="Calibri"/>
                <w:b/>
                <w:bCs/>
                <w:color w:val="FFFFFF"/>
                <w:lang w:eastAsia="en-GB"/>
              </w:rPr>
              <w:t>Inequality gap</w:t>
            </w:r>
          </w:p>
          <w:p w14:paraId="7BFE925F" w14:textId="39645449" w:rsidR="00D06754" w:rsidRPr="007B47D5" w:rsidRDefault="00D06754" w:rsidP="00DC54F7">
            <w:pPr>
              <w:spacing w:after="0" w:line="240" w:lineRule="auto"/>
              <w:jc w:val="both"/>
              <w:rPr>
                <w:rFonts w:ascii="Calibri" w:eastAsia="Times New Roman" w:hAnsi="Calibri" w:cs="Calibri"/>
                <w:b/>
                <w:bCs/>
                <w:color w:val="FFFFFF"/>
                <w:lang w:eastAsia="en-GB"/>
              </w:rPr>
            </w:pPr>
            <w:r w:rsidRPr="007B47D5">
              <w:rPr>
                <w:rFonts w:ascii="Calibri" w:eastAsia="Times New Roman" w:hAnsi="Calibri" w:cs="Calibri"/>
                <w:b/>
                <w:bCs/>
                <w:color w:val="FFFFFF"/>
                <w:lang w:eastAsia="en-GB"/>
              </w:rPr>
              <w:t xml:space="preserve"> (years)</w:t>
            </w:r>
          </w:p>
        </w:tc>
      </w:tr>
      <w:tr w:rsidR="00D06754" w:rsidRPr="00847226" w14:paraId="47584800" w14:textId="77777777" w:rsidTr="00AA572E">
        <w:trPr>
          <w:trHeight w:val="281"/>
        </w:trPr>
        <w:tc>
          <w:tcPr>
            <w:tcW w:w="2263" w:type="dxa"/>
            <w:shd w:val="clear" w:color="000000" w:fill="8497B0"/>
            <w:noWrap/>
            <w:vAlign w:val="bottom"/>
            <w:hideMark/>
          </w:tcPr>
          <w:p w14:paraId="3801BEDA" w14:textId="77777777" w:rsidR="00D06754" w:rsidRPr="007B47D5" w:rsidRDefault="00D06754" w:rsidP="00DC54F7">
            <w:pPr>
              <w:spacing w:after="0" w:line="240" w:lineRule="auto"/>
              <w:jc w:val="both"/>
              <w:rPr>
                <w:rFonts w:ascii="Calibri" w:eastAsia="Times New Roman" w:hAnsi="Calibri" w:cs="Calibri"/>
                <w:b/>
                <w:bCs/>
                <w:color w:val="FFFFFF"/>
                <w:lang w:eastAsia="en-GB"/>
              </w:rPr>
            </w:pPr>
            <w:r w:rsidRPr="007B47D5">
              <w:rPr>
                <w:rFonts w:ascii="Calibri" w:eastAsia="Times New Roman" w:hAnsi="Calibri" w:cs="Calibri"/>
                <w:b/>
                <w:bCs/>
                <w:color w:val="FFFFFF"/>
                <w:lang w:eastAsia="en-GB"/>
              </w:rPr>
              <w:t> </w:t>
            </w:r>
          </w:p>
        </w:tc>
        <w:tc>
          <w:tcPr>
            <w:tcW w:w="1168" w:type="dxa"/>
            <w:shd w:val="clear" w:color="000000" w:fill="8497B0"/>
            <w:vAlign w:val="center"/>
            <w:hideMark/>
          </w:tcPr>
          <w:p w14:paraId="36037D40" w14:textId="77777777" w:rsidR="00D06754" w:rsidRPr="007B47D5" w:rsidRDefault="00D06754" w:rsidP="00DC54F7">
            <w:pPr>
              <w:spacing w:after="0" w:line="240" w:lineRule="auto"/>
              <w:jc w:val="both"/>
              <w:rPr>
                <w:rFonts w:ascii="Calibri" w:eastAsia="Times New Roman" w:hAnsi="Calibri" w:cs="Calibri"/>
                <w:b/>
                <w:bCs/>
                <w:color w:val="FFFFFF"/>
                <w:lang w:eastAsia="en-GB"/>
              </w:rPr>
            </w:pPr>
            <w:r w:rsidRPr="007B47D5">
              <w:rPr>
                <w:rFonts w:ascii="Calibri" w:eastAsia="Times New Roman" w:hAnsi="Calibri" w:cs="Calibri"/>
                <w:b/>
                <w:bCs/>
                <w:color w:val="FFFFFF"/>
                <w:lang w:eastAsia="en-GB"/>
              </w:rPr>
              <w:t>Females</w:t>
            </w:r>
          </w:p>
        </w:tc>
        <w:tc>
          <w:tcPr>
            <w:tcW w:w="1168" w:type="dxa"/>
            <w:shd w:val="clear" w:color="000000" w:fill="8497B0"/>
            <w:vAlign w:val="center"/>
            <w:hideMark/>
          </w:tcPr>
          <w:p w14:paraId="3EE8C1BD" w14:textId="77777777" w:rsidR="00D06754" w:rsidRPr="007B47D5" w:rsidRDefault="00D06754" w:rsidP="00DC54F7">
            <w:pPr>
              <w:spacing w:after="0" w:line="240" w:lineRule="auto"/>
              <w:jc w:val="both"/>
              <w:rPr>
                <w:rFonts w:ascii="Calibri" w:eastAsia="Times New Roman" w:hAnsi="Calibri" w:cs="Calibri"/>
                <w:b/>
                <w:bCs/>
                <w:color w:val="FFFFFF"/>
                <w:lang w:eastAsia="en-GB"/>
              </w:rPr>
            </w:pPr>
            <w:r w:rsidRPr="007B47D5">
              <w:rPr>
                <w:rFonts w:ascii="Calibri" w:eastAsia="Times New Roman" w:hAnsi="Calibri" w:cs="Calibri"/>
                <w:b/>
                <w:bCs/>
                <w:color w:val="FFFFFF"/>
                <w:lang w:eastAsia="en-GB"/>
              </w:rPr>
              <w:t>Males</w:t>
            </w:r>
          </w:p>
        </w:tc>
        <w:tc>
          <w:tcPr>
            <w:tcW w:w="1168" w:type="dxa"/>
            <w:shd w:val="clear" w:color="000000" w:fill="8497B0"/>
            <w:vAlign w:val="center"/>
            <w:hideMark/>
          </w:tcPr>
          <w:p w14:paraId="025D4010" w14:textId="77777777" w:rsidR="00D06754" w:rsidRPr="007B47D5" w:rsidRDefault="00D06754" w:rsidP="00DC54F7">
            <w:pPr>
              <w:spacing w:after="0" w:line="240" w:lineRule="auto"/>
              <w:jc w:val="both"/>
              <w:rPr>
                <w:rFonts w:ascii="Calibri" w:eastAsia="Times New Roman" w:hAnsi="Calibri" w:cs="Calibri"/>
                <w:b/>
                <w:bCs/>
                <w:color w:val="FFFFFF"/>
                <w:lang w:eastAsia="en-GB"/>
              </w:rPr>
            </w:pPr>
            <w:r w:rsidRPr="007B47D5">
              <w:rPr>
                <w:rFonts w:ascii="Calibri" w:eastAsia="Times New Roman" w:hAnsi="Calibri" w:cs="Calibri"/>
                <w:b/>
                <w:bCs/>
                <w:color w:val="FFFFFF"/>
                <w:lang w:eastAsia="en-GB"/>
              </w:rPr>
              <w:t>Females</w:t>
            </w:r>
          </w:p>
        </w:tc>
        <w:tc>
          <w:tcPr>
            <w:tcW w:w="1168" w:type="dxa"/>
            <w:shd w:val="clear" w:color="000000" w:fill="8497B0"/>
            <w:vAlign w:val="center"/>
            <w:hideMark/>
          </w:tcPr>
          <w:p w14:paraId="4E6F5577" w14:textId="77777777" w:rsidR="00D06754" w:rsidRPr="007B47D5" w:rsidRDefault="00D06754" w:rsidP="00DC54F7">
            <w:pPr>
              <w:spacing w:after="0" w:line="240" w:lineRule="auto"/>
              <w:jc w:val="both"/>
              <w:rPr>
                <w:rFonts w:ascii="Calibri" w:eastAsia="Times New Roman" w:hAnsi="Calibri" w:cs="Calibri"/>
                <w:b/>
                <w:bCs/>
                <w:color w:val="FFFFFF"/>
                <w:lang w:eastAsia="en-GB"/>
              </w:rPr>
            </w:pPr>
            <w:r w:rsidRPr="007B47D5">
              <w:rPr>
                <w:rFonts w:ascii="Calibri" w:eastAsia="Times New Roman" w:hAnsi="Calibri" w:cs="Calibri"/>
                <w:b/>
                <w:bCs/>
                <w:color w:val="FFFFFF"/>
                <w:lang w:eastAsia="en-GB"/>
              </w:rPr>
              <w:t>Males</w:t>
            </w:r>
          </w:p>
        </w:tc>
        <w:tc>
          <w:tcPr>
            <w:tcW w:w="1168" w:type="dxa"/>
            <w:shd w:val="clear" w:color="000000" w:fill="8497B0"/>
            <w:vAlign w:val="center"/>
            <w:hideMark/>
          </w:tcPr>
          <w:p w14:paraId="202EA428" w14:textId="77777777" w:rsidR="00D06754" w:rsidRPr="007B47D5" w:rsidRDefault="00D06754" w:rsidP="00DC54F7">
            <w:pPr>
              <w:spacing w:after="0" w:line="240" w:lineRule="auto"/>
              <w:jc w:val="both"/>
              <w:rPr>
                <w:rFonts w:ascii="Calibri" w:eastAsia="Times New Roman" w:hAnsi="Calibri" w:cs="Calibri"/>
                <w:b/>
                <w:bCs/>
                <w:color w:val="FFFFFF"/>
                <w:lang w:eastAsia="en-GB"/>
              </w:rPr>
            </w:pPr>
            <w:r w:rsidRPr="007B47D5">
              <w:rPr>
                <w:rFonts w:ascii="Calibri" w:eastAsia="Times New Roman" w:hAnsi="Calibri" w:cs="Calibri"/>
                <w:b/>
                <w:bCs/>
                <w:color w:val="FFFFFF"/>
                <w:lang w:eastAsia="en-GB"/>
              </w:rPr>
              <w:t>Females</w:t>
            </w:r>
          </w:p>
        </w:tc>
        <w:tc>
          <w:tcPr>
            <w:tcW w:w="1168" w:type="dxa"/>
            <w:shd w:val="clear" w:color="000000" w:fill="8497B0"/>
            <w:vAlign w:val="center"/>
            <w:hideMark/>
          </w:tcPr>
          <w:p w14:paraId="385C488E" w14:textId="77777777" w:rsidR="00D06754" w:rsidRPr="007B47D5" w:rsidRDefault="00D06754" w:rsidP="00DC54F7">
            <w:pPr>
              <w:spacing w:after="0" w:line="240" w:lineRule="auto"/>
              <w:jc w:val="both"/>
              <w:rPr>
                <w:rFonts w:ascii="Calibri" w:eastAsia="Times New Roman" w:hAnsi="Calibri" w:cs="Calibri"/>
                <w:b/>
                <w:bCs/>
                <w:color w:val="FFFFFF"/>
                <w:lang w:eastAsia="en-GB"/>
              </w:rPr>
            </w:pPr>
            <w:r w:rsidRPr="007B47D5">
              <w:rPr>
                <w:rFonts w:ascii="Calibri" w:eastAsia="Times New Roman" w:hAnsi="Calibri" w:cs="Calibri"/>
                <w:b/>
                <w:bCs/>
                <w:color w:val="FFFFFF"/>
                <w:lang w:eastAsia="en-GB"/>
              </w:rPr>
              <w:t>Males</w:t>
            </w:r>
          </w:p>
        </w:tc>
      </w:tr>
      <w:tr w:rsidR="00D06754" w:rsidRPr="00847226" w14:paraId="38FA33FC" w14:textId="77777777" w:rsidTr="00AA572E">
        <w:trPr>
          <w:trHeight w:val="281"/>
        </w:trPr>
        <w:tc>
          <w:tcPr>
            <w:tcW w:w="2263" w:type="dxa"/>
            <w:shd w:val="clear" w:color="000000" w:fill="F2F2F2"/>
            <w:noWrap/>
            <w:vAlign w:val="bottom"/>
            <w:hideMark/>
          </w:tcPr>
          <w:p w14:paraId="20CF0EBB"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 xml:space="preserve">Cardiff </w:t>
            </w:r>
          </w:p>
        </w:tc>
        <w:tc>
          <w:tcPr>
            <w:tcW w:w="1168" w:type="dxa"/>
            <w:shd w:val="clear" w:color="000000" w:fill="F2F2F2"/>
            <w:noWrap/>
            <w:vAlign w:val="bottom"/>
            <w:hideMark/>
          </w:tcPr>
          <w:p w14:paraId="4274D089"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82.7</w:t>
            </w:r>
          </w:p>
        </w:tc>
        <w:tc>
          <w:tcPr>
            <w:tcW w:w="1168" w:type="dxa"/>
            <w:shd w:val="clear" w:color="000000" w:fill="F2F2F2"/>
            <w:noWrap/>
            <w:vAlign w:val="bottom"/>
            <w:hideMark/>
          </w:tcPr>
          <w:p w14:paraId="1670DEE1"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78.5</w:t>
            </w:r>
          </w:p>
        </w:tc>
        <w:tc>
          <w:tcPr>
            <w:tcW w:w="1168" w:type="dxa"/>
            <w:shd w:val="clear" w:color="000000" w:fill="F2F2F2"/>
            <w:noWrap/>
            <w:vAlign w:val="bottom"/>
            <w:hideMark/>
          </w:tcPr>
          <w:p w14:paraId="03231FAE"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61.1</w:t>
            </w:r>
          </w:p>
        </w:tc>
        <w:tc>
          <w:tcPr>
            <w:tcW w:w="1168" w:type="dxa"/>
            <w:shd w:val="clear" w:color="000000" w:fill="F2F2F2"/>
            <w:noWrap/>
            <w:vAlign w:val="bottom"/>
            <w:hideMark/>
          </w:tcPr>
          <w:p w14:paraId="758303B1"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61.2</w:t>
            </w:r>
          </w:p>
        </w:tc>
        <w:tc>
          <w:tcPr>
            <w:tcW w:w="1168" w:type="dxa"/>
            <w:shd w:val="clear" w:color="000000" w:fill="F2F2F2"/>
            <w:noWrap/>
            <w:vAlign w:val="bottom"/>
            <w:hideMark/>
          </w:tcPr>
          <w:p w14:paraId="3E3180F5"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6.9</w:t>
            </w:r>
          </w:p>
        </w:tc>
        <w:tc>
          <w:tcPr>
            <w:tcW w:w="1168" w:type="dxa"/>
            <w:shd w:val="clear" w:color="000000" w:fill="F2F2F2"/>
            <w:noWrap/>
            <w:vAlign w:val="bottom"/>
            <w:hideMark/>
          </w:tcPr>
          <w:p w14:paraId="0C2D17E4"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9.2</w:t>
            </w:r>
          </w:p>
        </w:tc>
      </w:tr>
      <w:tr w:rsidR="00D06754" w:rsidRPr="00847226" w14:paraId="0A258F95" w14:textId="77777777" w:rsidTr="00AA572E">
        <w:trPr>
          <w:trHeight w:val="281"/>
        </w:trPr>
        <w:tc>
          <w:tcPr>
            <w:tcW w:w="2263" w:type="dxa"/>
            <w:shd w:val="clear" w:color="auto" w:fill="auto"/>
            <w:noWrap/>
            <w:vAlign w:val="bottom"/>
            <w:hideMark/>
          </w:tcPr>
          <w:p w14:paraId="71A92030"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Cardiff and Vale UHB</w:t>
            </w:r>
          </w:p>
        </w:tc>
        <w:tc>
          <w:tcPr>
            <w:tcW w:w="1168" w:type="dxa"/>
            <w:shd w:val="clear" w:color="auto" w:fill="auto"/>
            <w:noWrap/>
            <w:vAlign w:val="bottom"/>
            <w:hideMark/>
          </w:tcPr>
          <w:p w14:paraId="0044C2E2"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83.0</w:t>
            </w:r>
          </w:p>
        </w:tc>
        <w:tc>
          <w:tcPr>
            <w:tcW w:w="1168" w:type="dxa"/>
            <w:shd w:val="clear" w:color="auto" w:fill="auto"/>
            <w:noWrap/>
            <w:vAlign w:val="bottom"/>
            <w:hideMark/>
          </w:tcPr>
          <w:p w14:paraId="68F50BE0"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78.7</w:t>
            </w:r>
          </w:p>
        </w:tc>
        <w:tc>
          <w:tcPr>
            <w:tcW w:w="1168" w:type="dxa"/>
            <w:shd w:val="clear" w:color="auto" w:fill="auto"/>
            <w:noWrap/>
            <w:vAlign w:val="bottom"/>
            <w:hideMark/>
          </w:tcPr>
          <w:p w14:paraId="1BD57DED"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62.0</w:t>
            </w:r>
          </w:p>
        </w:tc>
        <w:tc>
          <w:tcPr>
            <w:tcW w:w="1168" w:type="dxa"/>
            <w:shd w:val="clear" w:color="auto" w:fill="auto"/>
            <w:noWrap/>
            <w:vAlign w:val="bottom"/>
            <w:hideMark/>
          </w:tcPr>
          <w:p w14:paraId="684C9E06"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61.9</w:t>
            </w:r>
          </w:p>
        </w:tc>
        <w:tc>
          <w:tcPr>
            <w:tcW w:w="1168" w:type="dxa"/>
            <w:shd w:val="clear" w:color="auto" w:fill="auto"/>
            <w:noWrap/>
            <w:vAlign w:val="bottom"/>
            <w:hideMark/>
          </w:tcPr>
          <w:p w14:paraId="5E573D78"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6.6</w:t>
            </w:r>
          </w:p>
        </w:tc>
        <w:tc>
          <w:tcPr>
            <w:tcW w:w="1168" w:type="dxa"/>
            <w:shd w:val="clear" w:color="auto" w:fill="auto"/>
            <w:noWrap/>
            <w:vAlign w:val="bottom"/>
            <w:hideMark/>
          </w:tcPr>
          <w:p w14:paraId="53DE1702"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8.6</w:t>
            </w:r>
          </w:p>
        </w:tc>
      </w:tr>
      <w:tr w:rsidR="00D06754" w:rsidRPr="00847226" w14:paraId="5B3874CF" w14:textId="77777777" w:rsidTr="00AA572E">
        <w:trPr>
          <w:trHeight w:val="281"/>
        </w:trPr>
        <w:tc>
          <w:tcPr>
            <w:tcW w:w="2263" w:type="dxa"/>
            <w:shd w:val="clear" w:color="000000" w:fill="F2F2F2"/>
            <w:noWrap/>
            <w:vAlign w:val="bottom"/>
            <w:hideMark/>
          </w:tcPr>
          <w:p w14:paraId="5E01F12A"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Wales</w:t>
            </w:r>
          </w:p>
        </w:tc>
        <w:tc>
          <w:tcPr>
            <w:tcW w:w="1168" w:type="dxa"/>
            <w:shd w:val="clear" w:color="000000" w:fill="F2F2F2"/>
            <w:noWrap/>
            <w:vAlign w:val="bottom"/>
            <w:hideMark/>
          </w:tcPr>
          <w:p w14:paraId="0B8DAE47"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82.3</w:t>
            </w:r>
          </w:p>
        </w:tc>
        <w:tc>
          <w:tcPr>
            <w:tcW w:w="1168" w:type="dxa"/>
            <w:shd w:val="clear" w:color="000000" w:fill="F2F2F2"/>
            <w:noWrap/>
            <w:vAlign w:val="bottom"/>
            <w:hideMark/>
          </w:tcPr>
          <w:p w14:paraId="5563A159"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78.3</w:t>
            </w:r>
          </w:p>
        </w:tc>
        <w:tc>
          <w:tcPr>
            <w:tcW w:w="1168" w:type="dxa"/>
            <w:shd w:val="clear" w:color="000000" w:fill="F2F2F2"/>
            <w:noWrap/>
            <w:vAlign w:val="bottom"/>
            <w:hideMark/>
          </w:tcPr>
          <w:p w14:paraId="6A31BF14"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62.0</w:t>
            </w:r>
          </w:p>
        </w:tc>
        <w:tc>
          <w:tcPr>
            <w:tcW w:w="1168" w:type="dxa"/>
            <w:shd w:val="clear" w:color="000000" w:fill="F2F2F2"/>
            <w:noWrap/>
            <w:vAlign w:val="bottom"/>
            <w:hideMark/>
          </w:tcPr>
          <w:p w14:paraId="117C43C0"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61.4</w:t>
            </w:r>
          </w:p>
        </w:tc>
        <w:tc>
          <w:tcPr>
            <w:tcW w:w="1168" w:type="dxa"/>
            <w:shd w:val="clear" w:color="000000" w:fill="F2F2F2"/>
            <w:noWrap/>
            <w:vAlign w:val="bottom"/>
            <w:hideMark/>
          </w:tcPr>
          <w:p w14:paraId="673FDC4A"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6.1</w:t>
            </w:r>
          </w:p>
        </w:tc>
        <w:tc>
          <w:tcPr>
            <w:tcW w:w="1168" w:type="dxa"/>
            <w:shd w:val="clear" w:color="000000" w:fill="F2F2F2"/>
            <w:noWrap/>
            <w:vAlign w:val="bottom"/>
            <w:hideMark/>
          </w:tcPr>
          <w:p w14:paraId="17F2DDEC" w14:textId="77777777" w:rsidR="00D06754" w:rsidRPr="007B47D5" w:rsidRDefault="00D06754" w:rsidP="00DC54F7">
            <w:pPr>
              <w:spacing w:after="0" w:line="240" w:lineRule="auto"/>
              <w:jc w:val="both"/>
              <w:rPr>
                <w:rFonts w:ascii="Calibri" w:eastAsia="Times New Roman" w:hAnsi="Calibri" w:cs="Calibri"/>
                <w:color w:val="000000"/>
                <w:lang w:eastAsia="en-GB"/>
              </w:rPr>
            </w:pPr>
            <w:r w:rsidRPr="007B47D5">
              <w:rPr>
                <w:rFonts w:ascii="Calibri" w:eastAsia="Times New Roman" w:hAnsi="Calibri" w:cs="Calibri"/>
                <w:color w:val="000000"/>
                <w:lang w:eastAsia="en-GB"/>
              </w:rPr>
              <w:t>7.4</w:t>
            </w:r>
          </w:p>
        </w:tc>
      </w:tr>
    </w:tbl>
    <w:p w14:paraId="48A5309B" w14:textId="77777777" w:rsidR="003404D7" w:rsidRPr="007B47D5" w:rsidRDefault="003404D7" w:rsidP="00DC54F7">
      <w:pPr>
        <w:spacing w:after="0" w:line="240" w:lineRule="auto"/>
        <w:jc w:val="both"/>
        <w:rPr>
          <w:rFonts w:ascii="Arial" w:hAnsi="Arial" w:cs="Arial"/>
          <w:sz w:val="20"/>
          <w:szCs w:val="20"/>
        </w:rPr>
      </w:pPr>
      <w:r w:rsidRPr="007B47D5">
        <w:rPr>
          <w:rFonts w:ascii="Arial" w:hAnsi="Arial" w:cs="Arial"/>
          <w:sz w:val="20"/>
          <w:szCs w:val="20"/>
        </w:rPr>
        <w:t>Source: Public Health Wales Observatory PHOF Tool (2017) using ONS and WG data</w:t>
      </w:r>
    </w:p>
    <w:p w14:paraId="044682BA" w14:textId="0ABF342F" w:rsidR="003404D7" w:rsidRDefault="003404D7" w:rsidP="00DC54F7">
      <w:pPr>
        <w:spacing w:after="0" w:line="240" w:lineRule="auto"/>
        <w:jc w:val="both"/>
        <w:rPr>
          <w:rFonts w:ascii="Arial" w:hAnsi="Arial" w:cs="Arial"/>
        </w:rPr>
      </w:pPr>
    </w:p>
    <w:p w14:paraId="6441A313" w14:textId="77777777" w:rsidR="005C6BB3" w:rsidRDefault="005C6BB3" w:rsidP="00DC54F7">
      <w:pPr>
        <w:spacing w:after="0" w:line="240" w:lineRule="auto"/>
        <w:jc w:val="both"/>
        <w:rPr>
          <w:rFonts w:ascii="Arial" w:hAnsi="Arial" w:cs="Arial"/>
        </w:rPr>
      </w:pPr>
    </w:p>
    <w:p w14:paraId="2011D9F0" w14:textId="400170F4" w:rsidR="003404D7" w:rsidRPr="0073097D" w:rsidRDefault="0073097D" w:rsidP="00DC54F7">
      <w:pPr>
        <w:spacing w:after="0" w:line="240" w:lineRule="auto"/>
        <w:jc w:val="both"/>
        <w:rPr>
          <w:rFonts w:ascii="Arial" w:hAnsi="Arial" w:cs="Arial"/>
          <w:b/>
          <w:bCs/>
          <w:sz w:val="24"/>
          <w:szCs w:val="24"/>
        </w:rPr>
      </w:pPr>
      <w:r>
        <w:rPr>
          <w:rFonts w:ascii="Arial" w:hAnsi="Arial" w:cs="Arial"/>
          <w:b/>
          <w:bCs/>
          <w:sz w:val="24"/>
          <w:szCs w:val="24"/>
        </w:rPr>
        <w:t xml:space="preserve">12.1.3 </w:t>
      </w:r>
      <w:r w:rsidR="003404D7" w:rsidRPr="0073097D">
        <w:rPr>
          <w:rFonts w:ascii="Arial" w:hAnsi="Arial" w:cs="Arial"/>
          <w:b/>
          <w:bCs/>
          <w:sz w:val="24"/>
          <w:szCs w:val="24"/>
        </w:rPr>
        <w:t>Deprivation</w:t>
      </w:r>
    </w:p>
    <w:p w14:paraId="67E280C9" w14:textId="77777777" w:rsidR="003404D7" w:rsidRPr="0073097D" w:rsidRDefault="003404D7" w:rsidP="00DC54F7">
      <w:pPr>
        <w:spacing w:after="0" w:line="240" w:lineRule="auto"/>
        <w:jc w:val="both"/>
        <w:rPr>
          <w:rFonts w:ascii="Arial" w:hAnsi="Arial" w:cs="Arial"/>
          <w:sz w:val="24"/>
          <w:szCs w:val="24"/>
        </w:rPr>
      </w:pPr>
    </w:p>
    <w:p w14:paraId="77738C7D" w14:textId="77777777" w:rsidR="003404D7" w:rsidRPr="0073097D" w:rsidRDefault="003404D7" w:rsidP="00DC54F7">
      <w:pPr>
        <w:spacing w:after="0" w:line="240" w:lineRule="auto"/>
        <w:jc w:val="both"/>
        <w:rPr>
          <w:rFonts w:ascii="Arial" w:hAnsi="Arial" w:cs="Arial"/>
          <w:sz w:val="24"/>
          <w:szCs w:val="24"/>
        </w:rPr>
      </w:pPr>
      <w:r w:rsidRPr="0073097D">
        <w:rPr>
          <w:rFonts w:ascii="Arial" w:hAnsi="Arial" w:cs="Arial"/>
          <w:sz w:val="24"/>
          <w:szCs w:val="24"/>
        </w:rPr>
        <w:t xml:space="preserve">Deprivation is the lack of access to opportunities and resources which might be expected in society. The Welsh Index of Multiple Deprivation (WIMD) allows for the ranking of small areas, called Lower layer Super Output Areas (LSOAs) in Wales to determine whether an area is more or less deprived compared to all other small areas in Wales.  </w:t>
      </w:r>
    </w:p>
    <w:p w14:paraId="26E17FB6" w14:textId="77777777" w:rsidR="003404D7" w:rsidRDefault="003404D7" w:rsidP="00DC54F7">
      <w:pPr>
        <w:spacing w:after="0" w:line="240" w:lineRule="auto"/>
        <w:jc w:val="both"/>
        <w:rPr>
          <w:rFonts w:ascii="Arial" w:hAnsi="Arial" w:cs="Arial"/>
        </w:rPr>
      </w:pPr>
    </w:p>
    <w:p w14:paraId="33ED3CF7" w14:textId="04CA0F42" w:rsidR="003404D7" w:rsidRPr="0073097D" w:rsidRDefault="003404D7" w:rsidP="00DC54F7">
      <w:pPr>
        <w:spacing w:after="0" w:line="240" w:lineRule="auto"/>
        <w:jc w:val="both"/>
        <w:rPr>
          <w:rFonts w:ascii="Arial" w:hAnsi="Arial" w:cs="Arial"/>
          <w:b/>
          <w:bCs/>
          <w:sz w:val="24"/>
          <w:szCs w:val="24"/>
        </w:rPr>
      </w:pPr>
      <w:r w:rsidRPr="0073097D">
        <w:rPr>
          <w:rFonts w:ascii="Arial" w:hAnsi="Arial" w:cs="Arial"/>
          <w:sz w:val="24"/>
          <w:szCs w:val="24"/>
        </w:rPr>
        <w:t xml:space="preserve">Overall, Cardiff </w:t>
      </w:r>
      <w:r w:rsidR="00D83944" w:rsidRPr="0073097D">
        <w:rPr>
          <w:rFonts w:ascii="Arial" w:hAnsi="Arial" w:cs="Arial"/>
          <w:sz w:val="24"/>
          <w:szCs w:val="24"/>
        </w:rPr>
        <w:t>South West cluster</w:t>
      </w:r>
      <w:r w:rsidRPr="0073097D">
        <w:rPr>
          <w:rFonts w:ascii="Arial" w:hAnsi="Arial" w:cs="Arial"/>
          <w:sz w:val="24"/>
          <w:szCs w:val="24"/>
        </w:rPr>
        <w:t xml:space="preserve"> has a higher percentage of LSOAs in the most deprived 10% and 20% of </w:t>
      </w:r>
      <w:r w:rsidR="00E91F9B" w:rsidRPr="0073097D">
        <w:rPr>
          <w:rFonts w:ascii="Arial" w:hAnsi="Arial" w:cs="Arial"/>
          <w:sz w:val="24"/>
          <w:szCs w:val="24"/>
        </w:rPr>
        <w:t>LSOAs in Wales relative to Cardiff</w:t>
      </w:r>
      <w:r w:rsidRPr="0073097D">
        <w:rPr>
          <w:rFonts w:ascii="Arial" w:hAnsi="Arial" w:cs="Arial"/>
          <w:sz w:val="24"/>
          <w:szCs w:val="24"/>
        </w:rPr>
        <w:t>, except for the access to service</w:t>
      </w:r>
      <w:r w:rsidR="00D50E7C" w:rsidRPr="0073097D">
        <w:rPr>
          <w:rFonts w:ascii="Arial" w:hAnsi="Arial" w:cs="Arial"/>
          <w:sz w:val="24"/>
          <w:szCs w:val="24"/>
        </w:rPr>
        <w:t>s domain</w:t>
      </w:r>
      <w:r w:rsidRPr="0073097D">
        <w:rPr>
          <w:rFonts w:ascii="Arial" w:hAnsi="Arial" w:cs="Arial"/>
          <w:sz w:val="24"/>
          <w:szCs w:val="24"/>
        </w:rPr>
        <w:t>.</w:t>
      </w:r>
    </w:p>
    <w:p w14:paraId="2F488D06" w14:textId="77777777" w:rsidR="003404D7" w:rsidRPr="0073097D" w:rsidRDefault="003404D7" w:rsidP="00DC54F7">
      <w:pPr>
        <w:spacing w:after="0" w:line="240" w:lineRule="auto"/>
        <w:jc w:val="both"/>
        <w:rPr>
          <w:rFonts w:ascii="Arial" w:hAnsi="Arial" w:cs="Arial"/>
          <w:b/>
          <w:bCs/>
          <w:sz w:val="24"/>
          <w:szCs w:val="24"/>
        </w:rPr>
      </w:pPr>
    </w:p>
    <w:p w14:paraId="0D56E8FD" w14:textId="561AFF11" w:rsidR="003404D7" w:rsidRPr="0073097D" w:rsidRDefault="003404D7" w:rsidP="00DC54F7">
      <w:pPr>
        <w:spacing w:after="0" w:line="240" w:lineRule="auto"/>
        <w:contextualSpacing/>
        <w:jc w:val="both"/>
        <w:rPr>
          <w:rFonts w:ascii="Arial" w:hAnsi="Arial" w:cs="Arial"/>
          <w:b/>
          <w:bCs/>
          <w:sz w:val="24"/>
          <w:szCs w:val="24"/>
        </w:rPr>
      </w:pPr>
      <w:r w:rsidRPr="0073097D">
        <w:rPr>
          <w:rFonts w:ascii="Arial" w:hAnsi="Arial" w:cs="Arial"/>
          <w:b/>
          <w:bCs/>
          <w:sz w:val="24"/>
          <w:szCs w:val="24"/>
        </w:rPr>
        <w:t>Table 1</w:t>
      </w:r>
      <w:r w:rsidR="00C3786C" w:rsidRPr="0073097D">
        <w:rPr>
          <w:rFonts w:ascii="Arial" w:hAnsi="Arial" w:cs="Arial"/>
          <w:b/>
          <w:bCs/>
          <w:sz w:val="24"/>
          <w:szCs w:val="24"/>
        </w:rPr>
        <w:t>2</w:t>
      </w:r>
      <w:r w:rsidRPr="0073097D">
        <w:rPr>
          <w:rFonts w:ascii="Arial" w:hAnsi="Arial" w:cs="Arial"/>
          <w:b/>
          <w:bCs/>
          <w:sz w:val="24"/>
          <w:szCs w:val="24"/>
        </w:rPr>
        <w:t>.2: Percentage of LSOAs within the 10% and 20% most deprived LSOAs in Wales by cluster and local authority for the domains</w:t>
      </w:r>
      <w:r w:rsidR="00D50E7C" w:rsidRPr="0073097D">
        <w:rPr>
          <w:rFonts w:ascii="Arial" w:hAnsi="Arial" w:cs="Arial"/>
          <w:b/>
          <w:bCs/>
          <w:sz w:val="24"/>
          <w:szCs w:val="24"/>
        </w:rPr>
        <w:t xml:space="preserve"> of</w:t>
      </w:r>
      <w:r w:rsidRPr="0073097D">
        <w:rPr>
          <w:rFonts w:ascii="Arial" w:hAnsi="Arial" w:cs="Arial"/>
          <w:b/>
          <w:bCs/>
          <w:sz w:val="24"/>
          <w:szCs w:val="24"/>
        </w:rPr>
        <w:t xml:space="preserve"> income, health, employment and access to services, Welsh Index of Multiple Deprivation 2014</w:t>
      </w:r>
    </w:p>
    <w:tbl>
      <w:tblPr>
        <w:tblW w:w="9021"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619"/>
        <w:gridCol w:w="994"/>
        <w:gridCol w:w="994"/>
        <w:gridCol w:w="989"/>
        <w:gridCol w:w="942"/>
        <w:gridCol w:w="902"/>
        <w:gridCol w:w="866"/>
        <w:gridCol w:w="879"/>
        <w:gridCol w:w="836"/>
      </w:tblGrid>
      <w:tr w:rsidR="009C21DE" w:rsidRPr="009C21DE" w14:paraId="5158A88C" w14:textId="77777777" w:rsidTr="00342275">
        <w:trPr>
          <w:trHeight w:val="312"/>
        </w:trPr>
        <w:tc>
          <w:tcPr>
            <w:tcW w:w="9021" w:type="dxa"/>
            <w:gridSpan w:val="9"/>
            <w:shd w:val="clear" w:color="000000" w:fill="8497B0"/>
            <w:noWrap/>
            <w:vAlign w:val="center"/>
            <w:hideMark/>
          </w:tcPr>
          <w:p w14:paraId="34418A05" w14:textId="7968D1E4" w:rsidR="009C21DE" w:rsidRPr="00317973" w:rsidRDefault="009C21D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Percentage of LSOAs within the 10% and 20% most deprived LSOAs in Wales</w:t>
            </w:r>
          </w:p>
        </w:tc>
      </w:tr>
      <w:tr w:rsidR="009C21DE" w:rsidRPr="009C21DE" w14:paraId="7A928B44" w14:textId="77777777" w:rsidTr="00342275">
        <w:trPr>
          <w:trHeight w:val="312"/>
        </w:trPr>
        <w:tc>
          <w:tcPr>
            <w:tcW w:w="1619" w:type="dxa"/>
            <w:shd w:val="clear" w:color="000000" w:fill="8497B0"/>
            <w:noWrap/>
            <w:vAlign w:val="center"/>
            <w:hideMark/>
          </w:tcPr>
          <w:p w14:paraId="5146EEAE" w14:textId="77777777" w:rsidR="009C21DE" w:rsidRPr="009C21DE" w:rsidRDefault="009C21DE" w:rsidP="00DC54F7">
            <w:pPr>
              <w:spacing w:after="0" w:line="240" w:lineRule="auto"/>
              <w:jc w:val="both"/>
              <w:rPr>
                <w:rFonts w:ascii="Calibri" w:eastAsia="Times New Roman" w:hAnsi="Calibri" w:cs="Calibri"/>
                <w:b/>
                <w:bCs/>
                <w:color w:val="FFFFFF"/>
                <w:lang w:eastAsia="en-GB"/>
              </w:rPr>
            </w:pPr>
            <w:r w:rsidRPr="009C21DE">
              <w:rPr>
                <w:rFonts w:ascii="Calibri" w:eastAsia="Times New Roman" w:hAnsi="Calibri" w:cs="Calibri"/>
                <w:b/>
                <w:bCs/>
                <w:color w:val="FFFFFF"/>
                <w:lang w:eastAsia="en-GB"/>
              </w:rPr>
              <w:t> </w:t>
            </w:r>
          </w:p>
        </w:tc>
        <w:tc>
          <w:tcPr>
            <w:tcW w:w="1988" w:type="dxa"/>
            <w:gridSpan w:val="2"/>
            <w:shd w:val="clear" w:color="000000" w:fill="8497B0"/>
            <w:noWrap/>
            <w:vAlign w:val="center"/>
            <w:hideMark/>
          </w:tcPr>
          <w:p w14:paraId="293F71AA" w14:textId="77777777" w:rsidR="009C21DE" w:rsidRPr="00317973" w:rsidRDefault="009C21D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Income</w:t>
            </w:r>
          </w:p>
        </w:tc>
        <w:tc>
          <w:tcPr>
            <w:tcW w:w="1931" w:type="dxa"/>
            <w:gridSpan w:val="2"/>
            <w:shd w:val="clear" w:color="000000" w:fill="8497B0"/>
            <w:noWrap/>
            <w:vAlign w:val="center"/>
            <w:hideMark/>
          </w:tcPr>
          <w:p w14:paraId="01F8422E" w14:textId="77777777" w:rsidR="009C21DE" w:rsidRPr="00317973" w:rsidRDefault="009C21D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Health</w:t>
            </w:r>
          </w:p>
        </w:tc>
        <w:tc>
          <w:tcPr>
            <w:tcW w:w="1768" w:type="dxa"/>
            <w:gridSpan w:val="2"/>
            <w:shd w:val="clear" w:color="000000" w:fill="8497B0"/>
            <w:noWrap/>
            <w:vAlign w:val="center"/>
            <w:hideMark/>
          </w:tcPr>
          <w:p w14:paraId="2C0F93C3" w14:textId="77777777" w:rsidR="009C21DE" w:rsidRPr="00317973" w:rsidRDefault="009C21D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Employment</w:t>
            </w:r>
          </w:p>
        </w:tc>
        <w:tc>
          <w:tcPr>
            <w:tcW w:w="1713" w:type="dxa"/>
            <w:gridSpan w:val="2"/>
            <w:shd w:val="clear" w:color="000000" w:fill="8497B0"/>
            <w:noWrap/>
            <w:vAlign w:val="center"/>
            <w:hideMark/>
          </w:tcPr>
          <w:p w14:paraId="6CA46A65" w14:textId="77777777" w:rsidR="009C21DE" w:rsidRPr="00317973" w:rsidRDefault="009C21D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Access to services</w:t>
            </w:r>
          </w:p>
        </w:tc>
      </w:tr>
      <w:tr w:rsidR="009C21DE" w:rsidRPr="009C21DE" w14:paraId="164C58D8" w14:textId="77777777" w:rsidTr="00342275">
        <w:trPr>
          <w:trHeight w:val="312"/>
        </w:trPr>
        <w:tc>
          <w:tcPr>
            <w:tcW w:w="1619" w:type="dxa"/>
            <w:shd w:val="clear" w:color="000000" w:fill="8497B0"/>
            <w:noWrap/>
            <w:vAlign w:val="center"/>
            <w:hideMark/>
          </w:tcPr>
          <w:p w14:paraId="62F5A32A" w14:textId="77777777" w:rsidR="009C21DE" w:rsidRPr="009C21DE" w:rsidRDefault="009C21DE" w:rsidP="00DC54F7">
            <w:pPr>
              <w:spacing w:after="0" w:line="240" w:lineRule="auto"/>
              <w:jc w:val="both"/>
              <w:rPr>
                <w:rFonts w:ascii="Calibri" w:eastAsia="Times New Roman" w:hAnsi="Calibri" w:cs="Calibri"/>
                <w:b/>
                <w:bCs/>
                <w:color w:val="FFFFFF"/>
                <w:lang w:eastAsia="en-GB"/>
              </w:rPr>
            </w:pPr>
            <w:r w:rsidRPr="009C21DE">
              <w:rPr>
                <w:rFonts w:ascii="Calibri" w:eastAsia="Times New Roman" w:hAnsi="Calibri" w:cs="Calibri"/>
                <w:b/>
                <w:bCs/>
                <w:color w:val="FFFFFF"/>
                <w:lang w:eastAsia="en-GB"/>
              </w:rPr>
              <w:t> </w:t>
            </w:r>
          </w:p>
        </w:tc>
        <w:tc>
          <w:tcPr>
            <w:tcW w:w="994" w:type="dxa"/>
            <w:shd w:val="clear" w:color="000000" w:fill="8497B0"/>
            <w:vAlign w:val="center"/>
            <w:hideMark/>
          </w:tcPr>
          <w:p w14:paraId="04817F04" w14:textId="77777777" w:rsidR="009C21DE" w:rsidRPr="00317973" w:rsidRDefault="009C21D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10%</w:t>
            </w:r>
          </w:p>
        </w:tc>
        <w:tc>
          <w:tcPr>
            <w:tcW w:w="994" w:type="dxa"/>
            <w:shd w:val="clear" w:color="000000" w:fill="8497B0"/>
            <w:vAlign w:val="center"/>
            <w:hideMark/>
          </w:tcPr>
          <w:p w14:paraId="76F2807C" w14:textId="77777777" w:rsidR="009C21DE" w:rsidRPr="00317973" w:rsidRDefault="009C21D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20%</w:t>
            </w:r>
          </w:p>
        </w:tc>
        <w:tc>
          <w:tcPr>
            <w:tcW w:w="989" w:type="dxa"/>
            <w:shd w:val="clear" w:color="000000" w:fill="8497B0"/>
            <w:vAlign w:val="center"/>
            <w:hideMark/>
          </w:tcPr>
          <w:p w14:paraId="5038128D" w14:textId="77777777" w:rsidR="009C21DE" w:rsidRPr="00317973" w:rsidRDefault="009C21D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10%</w:t>
            </w:r>
          </w:p>
        </w:tc>
        <w:tc>
          <w:tcPr>
            <w:tcW w:w="942" w:type="dxa"/>
            <w:shd w:val="clear" w:color="000000" w:fill="8497B0"/>
            <w:vAlign w:val="center"/>
            <w:hideMark/>
          </w:tcPr>
          <w:p w14:paraId="122C8EA8" w14:textId="77777777" w:rsidR="009C21DE" w:rsidRPr="00317973" w:rsidRDefault="009C21D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20%</w:t>
            </w:r>
          </w:p>
        </w:tc>
        <w:tc>
          <w:tcPr>
            <w:tcW w:w="902" w:type="dxa"/>
            <w:shd w:val="clear" w:color="000000" w:fill="8497B0"/>
            <w:vAlign w:val="center"/>
            <w:hideMark/>
          </w:tcPr>
          <w:p w14:paraId="526977EE" w14:textId="77777777" w:rsidR="009C21DE" w:rsidRPr="00317973" w:rsidRDefault="009C21D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10%</w:t>
            </w:r>
          </w:p>
        </w:tc>
        <w:tc>
          <w:tcPr>
            <w:tcW w:w="866" w:type="dxa"/>
            <w:shd w:val="clear" w:color="000000" w:fill="8497B0"/>
            <w:vAlign w:val="center"/>
            <w:hideMark/>
          </w:tcPr>
          <w:p w14:paraId="332AC871" w14:textId="77777777" w:rsidR="009C21DE" w:rsidRPr="00317973" w:rsidRDefault="009C21D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20%</w:t>
            </w:r>
          </w:p>
        </w:tc>
        <w:tc>
          <w:tcPr>
            <w:tcW w:w="879" w:type="dxa"/>
            <w:shd w:val="clear" w:color="000000" w:fill="8497B0"/>
            <w:vAlign w:val="center"/>
            <w:hideMark/>
          </w:tcPr>
          <w:p w14:paraId="0B586EDF" w14:textId="77777777" w:rsidR="009C21DE" w:rsidRPr="00317973" w:rsidRDefault="009C21D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10%</w:t>
            </w:r>
          </w:p>
        </w:tc>
        <w:tc>
          <w:tcPr>
            <w:tcW w:w="833" w:type="dxa"/>
            <w:shd w:val="clear" w:color="000000" w:fill="8497B0"/>
            <w:vAlign w:val="center"/>
            <w:hideMark/>
          </w:tcPr>
          <w:p w14:paraId="5AA20FFE" w14:textId="77777777" w:rsidR="009C21DE" w:rsidRPr="00317973" w:rsidRDefault="009C21D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20%</w:t>
            </w:r>
          </w:p>
        </w:tc>
      </w:tr>
      <w:tr w:rsidR="009C21DE" w:rsidRPr="009C21DE" w14:paraId="4EC208C0" w14:textId="77777777" w:rsidTr="00342275">
        <w:trPr>
          <w:trHeight w:val="312"/>
        </w:trPr>
        <w:tc>
          <w:tcPr>
            <w:tcW w:w="1619" w:type="dxa"/>
            <w:shd w:val="clear" w:color="000000" w:fill="F2F2F2"/>
            <w:noWrap/>
            <w:vAlign w:val="center"/>
            <w:hideMark/>
          </w:tcPr>
          <w:p w14:paraId="09F91A95" w14:textId="77777777"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Cardiff South West</w:t>
            </w:r>
          </w:p>
        </w:tc>
        <w:tc>
          <w:tcPr>
            <w:tcW w:w="994" w:type="dxa"/>
            <w:shd w:val="clear" w:color="000000" w:fill="F2F2F2"/>
            <w:noWrap/>
            <w:vAlign w:val="center"/>
            <w:hideMark/>
          </w:tcPr>
          <w:p w14:paraId="347D7DE0" w14:textId="77777777"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44.1</w:t>
            </w:r>
          </w:p>
        </w:tc>
        <w:tc>
          <w:tcPr>
            <w:tcW w:w="994" w:type="dxa"/>
            <w:shd w:val="clear" w:color="000000" w:fill="F2F2F2"/>
            <w:noWrap/>
            <w:vAlign w:val="center"/>
            <w:hideMark/>
          </w:tcPr>
          <w:p w14:paraId="4D52D99C" w14:textId="77777777"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52.9</w:t>
            </w:r>
          </w:p>
        </w:tc>
        <w:tc>
          <w:tcPr>
            <w:tcW w:w="989" w:type="dxa"/>
            <w:shd w:val="clear" w:color="000000" w:fill="F2F2F2"/>
            <w:noWrap/>
            <w:vAlign w:val="center"/>
            <w:hideMark/>
          </w:tcPr>
          <w:p w14:paraId="7E730A56" w14:textId="77777777"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38.2</w:t>
            </w:r>
          </w:p>
        </w:tc>
        <w:tc>
          <w:tcPr>
            <w:tcW w:w="942" w:type="dxa"/>
            <w:shd w:val="clear" w:color="000000" w:fill="F2F2F2"/>
            <w:noWrap/>
            <w:vAlign w:val="center"/>
            <w:hideMark/>
          </w:tcPr>
          <w:p w14:paraId="1E608F30" w14:textId="77777777"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41.2</w:t>
            </w:r>
          </w:p>
        </w:tc>
        <w:tc>
          <w:tcPr>
            <w:tcW w:w="902" w:type="dxa"/>
            <w:shd w:val="clear" w:color="000000" w:fill="F2F2F2"/>
            <w:noWrap/>
            <w:vAlign w:val="center"/>
            <w:hideMark/>
          </w:tcPr>
          <w:p w14:paraId="7961E758" w14:textId="77777777"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35.3</w:t>
            </w:r>
          </w:p>
        </w:tc>
        <w:tc>
          <w:tcPr>
            <w:tcW w:w="866" w:type="dxa"/>
            <w:shd w:val="clear" w:color="000000" w:fill="F2F2F2"/>
            <w:noWrap/>
            <w:vAlign w:val="center"/>
            <w:hideMark/>
          </w:tcPr>
          <w:p w14:paraId="3BF5230A" w14:textId="77777777"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41.2</w:t>
            </w:r>
          </w:p>
        </w:tc>
        <w:tc>
          <w:tcPr>
            <w:tcW w:w="879" w:type="dxa"/>
            <w:shd w:val="clear" w:color="000000" w:fill="F2F2F2"/>
            <w:noWrap/>
            <w:vAlign w:val="center"/>
            <w:hideMark/>
          </w:tcPr>
          <w:p w14:paraId="464E0B14" w14:textId="3694C528"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0</w:t>
            </w:r>
            <w:r w:rsidR="0073097D" w:rsidRPr="00317973">
              <w:rPr>
                <w:rFonts w:ascii="Calibri" w:eastAsia="Times New Roman" w:hAnsi="Calibri" w:cs="Calibri"/>
                <w:color w:val="000000"/>
                <w:lang w:eastAsia="en-GB"/>
              </w:rPr>
              <w:t>.0</w:t>
            </w:r>
          </w:p>
        </w:tc>
        <w:tc>
          <w:tcPr>
            <w:tcW w:w="833" w:type="dxa"/>
            <w:shd w:val="clear" w:color="000000" w:fill="F2F2F2"/>
            <w:noWrap/>
            <w:vAlign w:val="center"/>
            <w:hideMark/>
          </w:tcPr>
          <w:p w14:paraId="3B0BCCF1" w14:textId="3133880B"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0</w:t>
            </w:r>
            <w:r w:rsidR="0073097D" w:rsidRPr="00317973">
              <w:rPr>
                <w:rFonts w:ascii="Calibri" w:eastAsia="Times New Roman" w:hAnsi="Calibri" w:cs="Calibri"/>
                <w:color w:val="000000"/>
                <w:lang w:eastAsia="en-GB"/>
              </w:rPr>
              <w:t>.0</w:t>
            </w:r>
          </w:p>
        </w:tc>
      </w:tr>
      <w:tr w:rsidR="009C21DE" w:rsidRPr="009C21DE" w14:paraId="2389CBFB" w14:textId="77777777" w:rsidTr="00342275">
        <w:trPr>
          <w:trHeight w:val="323"/>
        </w:trPr>
        <w:tc>
          <w:tcPr>
            <w:tcW w:w="1619" w:type="dxa"/>
            <w:shd w:val="clear" w:color="auto" w:fill="auto"/>
            <w:noWrap/>
            <w:vAlign w:val="center"/>
            <w:hideMark/>
          </w:tcPr>
          <w:p w14:paraId="04D6875E" w14:textId="77777777"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 xml:space="preserve">Cardiff </w:t>
            </w:r>
          </w:p>
        </w:tc>
        <w:tc>
          <w:tcPr>
            <w:tcW w:w="994" w:type="dxa"/>
            <w:shd w:val="clear" w:color="auto" w:fill="auto"/>
            <w:noWrap/>
            <w:vAlign w:val="center"/>
            <w:hideMark/>
          </w:tcPr>
          <w:p w14:paraId="3513DDEB" w14:textId="77777777"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19.2</w:t>
            </w:r>
          </w:p>
        </w:tc>
        <w:tc>
          <w:tcPr>
            <w:tcW w:w="994" w:type="dxa"/>
            <w:shd w:val="clear" w:color="auto" w:fill="auto"/>
            <w:noWrap/>
            <w:vAlign w:val="center"/>
            <w:hideMark/>
          </w:tcPr>
          <w:p w14:paraId="56353FC2" w14:textId="77777777"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30.8</w:t>
            </w:r>
          </w:p>
        </w:tc>
        <w:tc>
          <w:tcPr>
            <w:tcW w:w="989" w:type="dxa"/>
            <w:shd w:val="clear" w:color="auto" w:fill="auto"/>
            <w:noWrap/>
            <w:vAlign w:val="center"/>
            <w:hideMark/>
          </w:tcPr>
          <w:p w14:paraId="53DBE8F1" w14:textId="77777777"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14.5</w:t>
            </w:r>
          </w:p>
        </w:tc>
        <w:tc>
          <w:tcPr>
            <w:tcW w:w="942" w:type="dxa"/>
            <w:shd w:val="clear" w:color="auto" w:fill="auto"/>
            <w:noWrap/>
            <w:vAlign w:val="center"/>
            <w:hideMark/>
          </w:tcPr>
          <w:p w14:paraId="36843BDE" w14:textId="77777777"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22</w:t>
            </w:r>
          </w:p>
        </w:tc>
        <w:tc>
          <w:tcPr>
            <w:tcW w:w="902" w:type="dxa"/>
            <w:shd w:val="clear" w:color="auto" w:fill="auto"/>
            <w:noWrap/>
            <w:vAlign w:val="center"/>
            <w:hideMark/>
          </w:tcPr>
          <w:p w14:paraId="09F99715" w14:textId="77777777"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12.1</w:t>
            </w:r>
          </w:p>
        </w:tc>
        <w:tc>
          <w:tcPr>
            <w:tcW w:w="866" w:type="dxa"/>
            <w:shd w:val="clear" w:color="auto" w:fill="auto"/>
            <w:noWrap/>
            <w:vAlign w:val="center"/>
            <w:hideMark/>
          </w:tcPr>
          <w:p w14:paraId="4725B587" w14:textId="77777777"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20.1</w:t>
            </w:r>
          </w:p>
        </w:tc>
        <w:tc>
          <w:tcPr>
            <w:tcW w:w="879" w:type="dxa"/>
            <w:shd w:val="clear" w:color="auto" w:fill="auto"/>
            <w:noWrap/>
            <w:vAlign w:val="center"/>
            <w:hideMark/>
          </w:tcPr>
          <w:p w14:paraId="0CB1DF07" w14:textId="642442A5"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0</w:t>
            </w:r>
            <w:r w:rsidR="0073097D" w:rsidRPr="00317973">
              <w:rPr>
                <w:rFonts w:ascii="Calibri" w:eastAsia="Times New Roman" w:hAnsi="Calibri" w:cs="Calibri"/>
                <w:color w:val="000000"/>
                <w:lang w:eastAsia="en-GB"/>
              </w:rPr>
              <w:t>.0</w:t>
            </w:r>
          </w:p>
        </w:tc>
        <w:tc>
          <w:tcPr>
            <w:tcW w:w="833" w:type="dxa"/>
            <w:shd w:val="clear" w:color="auto" w:fill="auto"/>
            <w:noWrap/>
            <w:vAlign w:val="center"/>
            <w:hideMark/>
          </w:tcPr>
          <w:p w14:paraId="1EC5C0FF" w14:textId="77777777" w:rsidR="009C21DE" w:rsidRPr="00317973" w:rsidRDefault="009C21D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0.9</w:t>
            </w:r>
          </w:p>
        </w:tc>
      </w:tr>
    </w:tbl>
    <w:p w14:paraId="5F764897" w14:textId="03EEFC3D" w:rsidR="003404D7" w:rsidRPr="0073097D" w:rsidRDefault="003404D7" w:rsidP="00DC54F7">
      <w:pPr>
        <w:spacing w:after="0" w:line="240" w:lineRule="auto"/>
        <w:jc w:val="both"/>
        <w:rPr>
          <w:rFonts w:ascii="Arial" w:hAnsi="Arial" w:cs="Arial"/>
          <w:b/>
          <w:bCs/>
          <w:sz w:val="20"/>
          <w:szCs w:val="20"/>
        </w:rPr>
      </w:pPr>
      <w:r w:rsidRPr="0073097D">
        <w:rPr>
          <w:sz w:val="20"/>
          <w:szCs w:val="20"/>
        </w:rPr>
        <w:t>Source: Welsh Index of Multiple Deprivation 2014, Welsh Government</w:t>
      </w:r>
    </w:p>
    <w:p w14:paraId="57CBBDE4" w14:textId="77777777" w:rsidR="003404D7" w:rsidRDefault="003404D7" w:rsidP="00DC54F7">
      <w:pPr>
        <w:spacing w:after="0" w:line="240" w:lineRule="auto"/>
        <w:jc w:val="both"/>
        <w:rPr>
          <w:rFonts w:ascii="Arial" w:hAnsi="Arial" w:cs="Arial"/>
        </w:rPr>
      </w:pPr>
    </w:p>
    <w:p w14:paraId="3E40C964" w14:textId="704BEF31" w:rsidR="003404D7" w:rsidRPr="00317973" w:rsidRDefault="008F7D65" w:rsidP="00DC54F7">
      <w:pPr>
        <w:spacing w:after="0" w:line="240" w:lineRule="auto"/>
        <w:jc w:val="both"/>
        <w:rPr>
          <w:rFonts w:ascii="Arial" w:hAnsi="Arial" w:cs="Arial"/>
          <w:color w:val="000000" w:themeColor="text1"/>
          <w:sz w:val="24"/>
          <w:szCs w:val="24"/>
        </w:rPr>
      </w:pPr>
      <w:r w:rsidRPr="00317973">
        <w:rPr>
          <w:rFonts w:ascii="Arial" w:hAnsi="Arial" w:cs="Arial"/>
          <w:sz w:val="24"/>
          <w:szCs w:val="24"/>
        </w:rPr>
        <w:t xml:space="preserve">The map below provides an indication of the overall levels of deprivation within the cluster. </w:t>
      </w:r>
      <w:r w:rsidR="003404D7" w:rsidRPr="00317973">
        <w:rPr>
          <w:rFonts w:ascii="Arial" w:hAnsi="Arial" w:cs="Arial"/>
          <w:sz w:val="24"/>
          <w:szCs w:val="24"/>
        </w:rPr>
        <w:t xml:space="preserve">As can be seen from the map, all pharmacies are located within or near areas of higher deprivation. </w:t>
      </w:r>
    </w:p>
    <w:p w14:paraId="39195661" w14:textId="77777777" w:rsidR="00792BD2" w:rsidRDefault="00792BD2" w:rsidP="00DC54F7">
      <w:pPr>
        <w:spacing w:after="0" w:line="240" w:lineRule="auto"/>
        <w:jc w:val="both"/>
        <w:rPr>
          <w:rFonts w:ascii="Arial" w:hAnsi="Arial" w:cs="Arial"/>
        </w:rPr>
      </w:pPr>
    </w:p>
    <w:p w14:paraId="396D15AF" w14:textId="77777777" w:rsidR="00CD7A5C" w:rsidRDefault="00CD7A5C" w:rsidP="00DC54F7">
      <w:pPr>
        <w:spacing w:after="0" w:line="240" w:lineRule="auto"/>
        <w:jc w:val="both"/>
        <w:rPr>
          <w:rFonts w:ascii="Arial" w:hAnsi="Arial" w:cs="Arial"/>
          <w:b/>
          <w:sz w:val="24"/>
          <w:szCs w:val="24"/>
        </w:rPr>
      </w:pPr>
    </w:p>
    <w:p w14:paraId="0D0280B1" w14:textId="77777777" w:rsidR="00CD7A5C" w:rsidRDefault="00CD7A5C" w:rsidP="00DC54F7">
      <w:pPr>
        <w:spacing w:after="0" w:line="240" w:lineRule="auto"/>
        <w:jc w:val="both"/>
        <w:rPr>
          <w:rFonts w:ascii="Arial" w:hAnsi="Arial" w:cs="Arial"/>
          <w:b/>
          <w:sz w:val="24"/>
          <w:szCs w:val="24"/>
        </w:rPr>
      </w:pPr>
    </w:p>
    <w:p w14:paraId="5D92B3B8" w14:textId="77777777" w:rsidR="00CD7A5C" w:rsidRDefault="00CD7A5C" w:rsidP="00DC54F7">
      <w:pPr>
        <w:spacing w:after="0" w:line="240" w:lineRule="auto"/>
        <w:jc w:val="both"/>
        <w:rPr>
          <w:rFonts w:ascii="Arial" w:hAnsi="Arial" w:cs="Arial"/>
          <w:b/>
          <w:sz w:val="24"/>
          <w:szCs w:val="24"/>
        </w:rPr>
      </w:pPr>
    </w:p>
    <w:p w14:paraId="672D3BC3" w14:textId="08CE5AE5" w:rsidR="00CD7A5C" w:rsidRDefault="00CD7A5C" w:rsidP="00DC54F7">
      <w:pPr>
        <w:jc w:val="both"/>
        <w:rPr>
          <w:rFonts w:ascii="Arial" w:hAnsi="Arial" w:cs="Arial"/>
          <w:b/>
          <w:sz w:val="24"/>
          <w:szCs w:val="24"/>
        </w:rPr>
      </w:pPr>
    </w:p>
    <w:p w14:paraId="5BA65B4A" w14:textId="77777777" w:rsidR="00CD7A5C" w:rsidRDefault="00CD7A5C" w:rsidP="00DC54F7">
      <w:pPr>
        <w:spacing w:after="0" w:line="240" w:lineRule="auto"/>
        <w:jc w:val="both"/>
        <w:rPr>
          <w:rFonts w:ascii="Arial" w:hAnsi="Arial" w:cs="Arial"/>
          <w:b/>
          <w:sz w:val="24"/>
          <w:szCs w:val="24"/>
        </w:rPr>
      </w:pPr>
    </w:p>
    <w:p w14:paraId="2DB15D96" w14:textId="4519EBFD" w:rsidR="00CD7A5C" w:rsidRDefault="00CD7A5C" w:rsidP="00DC54F7">
      <w:pPr>
        <w:spacing w:after="0" w:line="240" w:lineRule="auto"/>
        <w:jc w:val="both"/>
        <w:rPr>
          <w:rFonts w:ascii="Arial" w:hAnsi="Arial" w:cs="Arial"/>
          <w:b/>
          <w:sz w:val="24"/>
          <w:szCs w:val="24"/>
        </w:rPr>
      </w:pPr>
    </w:p>
    <w:p w14:paraId="0E7F2BD2" w14:textId="3FC0C1C6" w:rsidR="005C6BB3" w:rsidRDefault="005C6BB3">
      <w:pPr>
        <w:rPr>
          <w:rFonts w:ascii="Arial" w:hAnsi="Arial" w:cs="Arial"/>
          <w:b/>
          <w:sz w:val="24"/>
          <w:szCs w:val="24"/>
        </w:rPr>
      </w:pPr>
      <w:r>
        <w:rPr>
          <w:rFonts w:ascii="Arial" w:hAnsi="Arial" w:cs="Arial"/>
          <w:b/>
          <w:sz w:val="24"/>
          <w:szCs w:val="24"/>
        </w:rPr>
        <w:br w:type="page"/>
      </w:r>
    </w:p>
    <w:p w14:paraId="0D1F07D7" w14:textId="1809092A" w:rsidR="00792BD2" w:rsidRPr="00317973" w:rsidRDefault="00531C8C" w:rsidP="00DC54F7">
      <w:pPr>
        <w:spacing w:after="0" w:line="240" w:lineRule="auto"/>
        <w:jc w:val="both"/>
        <w:rPr>
          <w:rFonts w:ascii="Arial" w:hAnsi="Arial" w:cs="Arial"/>
          <w:b/>
          <w:sz w:val="24"/>
          <w:szCs w:val="24"/>
        </w:rPr>
      </w:pPr>
      <w:r w:rsidRPr="00317973">
        <w:rPr>
          <w:rFonts w:ascii="Arial" w:hAnsi="Arial" w:cs="Arial"/>
          <w:b/>
          <w:sz w:val="24"/>
          <w:szCs w:val="24"/>
        </w:rPr>
        <w:lastRenderedPageBreak/>
        <w:t xml:space="preserve">Map </w:t>
      </w:r>
      <w:r w:rsidR="00136BAE" w:rsidRPr="00317973">
        <w:rPr>
          <w:rFonts w:ascii="Arial" w:hAnsi="Arial" w:cs="Arial"/>
          <w:b/>
          <w:sz w:val="24"/>
          <w:szCs w:val="24"/>
        </w:rPr>
        <w:t>12</w:t>
      </w:r>
      <w:r w:rsidRPr="00317973">
        <w:rPr>
          <w:rFonts w:ascii="Arial" w:hAnsi="Arial" w:cs="Arial"/>
          <w:b/>
          <w:sz w:val="24"/>
          <w:szCs w:val="24"/>
        </w:rPr>
        <w:t>.1: Lower Super Output Areas (LSOAs) in Cardiff South West cluster, grouped into quintiles by Welsh index of Multiple Deprivation 2019</w:t>
      </w:r>
    </w:p>
    <w:p w14:paraId="06F64082" w14:textId="32FDE987" w:rsidR="00792BD2" w:rsidRDefault="002B50C1" w:rsidP="00DC54F7">
      <w:pPr>
        <w:spacing w:after="0" w:line="240" w:lineRule="auto"/>
        <w:jc w:val="both"/>
        <w:rPr>
          <w:rFonts w:ascii="Arial" w:hAnsi="Arial" w:cs="Arial"/>
          <w:b/>
          <w:bCs/>
        </w:rPr>
      </w:pPr>
      <w:r>
        <w:rPr>
          <w:noProof/>
          <w:lang w:eastAsia="en-GB"/>
        </w:rPr>
        <w:drawing>
          <wp:inline distT="0" distB="0" distL="0" distR="0" wp14:anchorId="60290FDF" wp14:editId="4CAC80E9">
            <wp:extent cx="5731510" cy="4066540"/>
            <wp:effectExtent l="0" t="0" r="254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731510" cy="4066540"/>
                    </a:xfrm>
                    <a:prstGeom prst="rect">
                      <a:avLst/>
                    </a:prstGeom>
                    <a:noFill/>
                    <a:ln>
                      <a:noFill/>
                    </a:ln>
                  </pic:spPr>
                </pic:pic>
              </a:graphicData>
            </a:graphic>
          </wp:inline>
        </w:drawing>
      </w:r>
    </w:p>
    <w:p w14:paraId="3FE610D7" w14:textId="7820E58A" w:rsidR="00792BD2" w:rsidRDefault="00792BD2" w:rsidP="00DC54F7">
      <w:pPr>
        <w:spacing w:after="0" w:line="240" w:lineRule="auto"/>
        <w:jc w:val="both"/>
        <w:rPr>
          <w:rFonts w:ascii="Arial" w:hAnsi="Arial" w:cs="Arial"/>
          <w:b/>
          <w:bCs/>
        </w:rPr>
      </w:pPr>
    </w:p>
    <w:p w14:paraId="25CAF667" w14:textId="76285917" w:rsidR="002204E4" w:rsidRPr="00317973" w:rsidRDefault="00213849" w:rsidP="00DC54F7">
      <w:pPr>
        <w:spacing w:after="0" w:line="240" w:lineRule="auto"/>
        <w:jc w:val="both"/>
        <w:rPr>
          <w:rFonts w:ascii="Arial" w:hAnsi="Arial" w:cs="Arial"/>
          <w:bCs/>
          <w:sz w:val="24"/>
          <w:szCs w:val="24"/>
        </w:rPr>
      </w:pPr>
      <w:r w:rsidRPr="00317973">
        <w:rPr>
          <w:rFonts w:ascii="Arial" w:hAnsi="Arial" w:cs="Arial"/>
          <w:bCs/>
          <w:sz w:val="24"/>
          <w:szCs w:val="24"/>
        </w:rPr>
        <w:t xml:space="preserve">Overall, the </w:t>
      </w:r>
      <w:r w:rsidR="005D58A5" w:rsidRPr="00317973">
        <w:rPr>
          <w:rFonts w:ascii="Arial" w:hAnsi="Arial" w:cs="Arial"/>
          <w:bCs/>
          <w:sz w:val="24"/>
          <w:szCs w:val="24"/>
        </w:rPr>
        <w:t xml:space="preserve">estimated prevalence of chronic disease in Cardiff South West </w:t>
      </w:r>
      <w:r w:rsidR="00F86C2B" w:rsidRPr="00317973">
        <w:rPr>
          <w:rFonts w:ascii="Arial" w:hAnsi="Arial" w:cs="Arial"/>
          <w:bCs/>
          <w:sz w:val="24"/>
          <w:szCs w:val="24"/>
        </w:rPr>
        <w:t>c</w:t>
      </w:r>
      <w:r w:rsidR="005D58A5" w:rsidRPr="00317973">
        <w:rPr>
          <w:rFonts w:ascii="Arial" w:hAnsi="Arial" w:cs="Arial"/>
          <w:bCs/>
          <w:sz w:val="24"/>
          <w:szCs w:val="24"/>
        </w:rPr>
        <w:t xml:space="preserve">luster is lower than </w:t>
      </w:r>
      <w:r w:rsidR="005103B0" w:rsidRPr="00317973">
        <w:rPr>
          <w:rFonts w:ascii="Arial" w:hAnsi="Arial" w:cs="Arial"/>
          <w:bCs/>
          <w:sz w:val="24"/>
          <w:szCs w:val="24"/>
        </w:rPr>
        <w:t>the average for Wales, exce</w:t>
      </w:r>
      <w:r w:rsidR="009829A8" w:rsidRPr="00317973">
        <w:rPr>
          <w:rFonts w:ascii="Arial" w:hAnsi="Arial" w:cs="Arial"/>
          <w:bCs/>
          <w:sz w:val="24"/>
          <w:szCs w:val="24"/>
        </w:rPr>
        <w:t>pt for asthma, which is the joint highest of all the clusters in the health board.</w:t>
      </w:r>
      <w:r w:rsidR="007D0633" w:rsidRPr="00317973">
        <w:rPr>
          <w:rFonts w:ascii="Arial" w:hAnsi="Arial" w:cs="Arial"/>
          <w:bCs/>
          <w:sz w:val="24"/>
          <w:szCs w:val="24"/>
        </w:rPr>
        <w:t xml:space="preserve"> The estimated prevalence of </w:t>
      </w:r>
      <w:r w:rsidR="005808FA" w:rsidRPr="00317973">
        <w:rPr>
          <w:rFonts w:ascii="Arial" w:hAnsi="Arial" w:cs="Arial"/>
          <w:bCs/>
          <w:sz w:val="24"/>
          <w:szCs w:val="24"/>
        </w:rPr>
        <w:t xml:space="preserve">chronic obstructive pulmonary disease (COPD) </w:t>
      </w:r>
      <w:r w:rsidR="000A2318" w:rsidRPr="00317973">
        <w:rPr>
          <w:rFonts w:ascii="Arial" w:hAnsi="Arial" w:cs="Arial"/>
          <w:bCs/>
          <w:sz w:val="24"/>
          <w:szCs w:val="24"/>
        </w:rPr>
        <w:t xml:space="preserve">is higher than </w:t>
      </w:r>
      <w:r w:rsidR="004710DA" w:rsidRPr="00317973">
        <w:rPr>
          <w:rFonts w:ascii="Arial" w:hAnsi="Arial" w:cs="Arial"/>
          <w:bCs/>
          <w:sz w:val="24"/>
          <w:szCs w:val="24"/>
        </w:rPr>
        <w:t>the health board</w:t>
      </w:r>
      <w:r w:rsidR="00A90CB9" w:rsidRPr="00317973">
        <w:rPr>
          <w:rFonts w:ascii="Arial" w:hAnsi="Arial" w:cs="Arial"/>
          <w:bCs/>
          <w:sz w:val="24"/>
          <w:szCs w:val="24"/>
        </w:rPr>
        <w:t xml:space="preserve"> and the third highest of all the clusters within the health board. </w:t>
      </w:r>
      <w:r w:rsidR="00751118" w:rsidRPr="00317973">
        <w:rPr>
          <w:rFonts w:ascii="Arial" w:hAnsi="Arial" w:cs="Arial"/>
          <w:bCs/>
          <w:sz w:val="24"/>
          <w:szCs w:val="24"/>
        </w:rPr>
        <w:t>The estimated prevalence of diabetes is also higher than the health board.</w:t>
      </w:r>
    </w:p>
    <w:p w14:paraId="35070255" w14:textId="77777777" w:rsidR="002204E4" w:rsidRPr="00317973" w:rsidRDefault="002204E4" w:rsidP="00DC54F7">
      <w:pPr>
        <w:spacing w:after="0" w:line="240" w:lineRule="auto"/>
        <w:jc w:val="both"/>
        <w:rPr>
          <w:rFonts w:ascii="Arial" w:hAnsi="Arial" w:cs="Arial"/>
          <w:b/>
          <w:sz w:val="24"/>
          <w:szCs w:val="24"/>
        </w:rPr>
      </w:pPr>
    </w:p>
    <w:p w14:paraId="27107F15" w14:textId="46344325" w:rsidR="0063382E" w:rsidRPr="00317973" w:rsidRDefault="002204E4" w:rsidP="00DC54F7">
      <w:pPr>
        <w:pStyle w:val="Caption"/>
        <w:spacing w:before="0" w:after="0"/>
        <w:jc w:val="both"/>
        <w:rPr>
          <w:rFonts w:ascii="Arial" w:hAnsi="Arial" w:cs="Arial"/>
          <w:szCs w:val="24"/>
        </w:rPr>
      </w:pPr>
      <w:r w:rsidRPr="00317973">
        <w:rPr>
          <w:rFonts w:ascii="Arial" w:hAnsi="Arial" w:cs="Arial"/>
          <w:szCs w:val="24"/>
        </w:rPr>
        <w:t>Table 12.</w:t>
      </w:r>
      <w:r w:rsidR="00C3786C" w:rsidRPr="00317973">
        <w:rPr>
          <w:rFonts w:ascii="Arial" w:hAnsi="Arial" w:cs="Arial"/>
          <w:szCs w:val="24"/>
        </w:rPr>
        <w:t>3</w:t>
      </w:r>
      <w:r w:rsidRPr="00317973">
        <w:rPr>
          <w:rFonts w:ascii="Arial" w:hAnsi="Arial" w:cs="Arial"/>
          <w:szCs w:val="24"/>
        </w:rPr>
        <w:t xml:space="preserve">: Estimated percentage </w:t>
      </w:r>
      <w:r w:rsidR="00027872" w:rsidRPr="00317973">
        <w:rPr>
          <w:rFonts w:ascii="Arial" w:hAnsi="Arial" w:cs="Arial"/>
          <w:szCs w:val="24"/>
        </w:rPr>
        <w:t>prevalence of chronic conditions</w:t>
      </w:r>
      <w:r w:rsidRPr="00317973">
        <w:rPr>
          <w:rFonts w:ascii="Arial" w:hAnsi="Arial" w:cs="Arial"/>
          <w:szCs w:val="24"/>
        </w:rPr>
        <w:t xml:space="preserve"> based on patients on GP practice registers by cluster, local authority, health board and Wales, 2019</w:t>
      </w:r>
    </w:p>
    <w:tbl>
      <w:tblPr>
        <w:tblW w:w="9606" w:type="dxa"/>
        <w:tblLook w:val="04A0" w:firstRow="1" w:lastRow="0" w:firstColumn="1" w:lastColumn="0" w:noHBand="0" w:noVBand="1"/>
      </w:tblPr>
      <w:tblGrid>
        <w:gridCol w:w="2340"/>
        <w:gridCol w:w="1210"/>
        <w:gridCol w:w="1210"/>
        <w:gridCol w:w="1210"/>
        <w:gridCol w:w="1210"/>
        <w:gridCol w:w="1210"/>
        <w:gridCol w:w="1216"/>
      </w:tblGrid>
      <w:tr w:rsidR="0085243E" w:rsidRPr="0085243E" w14:paraId="37C401B5" w14:textId="77777777" w:rsidTr="00F53E3F">
        <w:trPr>
          <w:trHeight w:val="333"/>
        </w:trPr>
        <w:tc>
          <w:tcPr>
            <w:tcW w:w="2340" w:type="dxa"/>
            <w:tcBorders>
              <w:top w:val="single" w:sz="4" w:space="0" w:color="auto"/>
              <w:left w:val="single" w:sz="4" w:space="0" w:color="auto"/>
              <w:bottom w:val="nil"/>
              <w:right w:val="nil"/>
            </w:tcBorders>
            <w:shd w:val="clear" w:color="auto" w:fill="8497B0"/>
            <w:noWrap/>
            <w:vAlign w:val="bottom"/>
            <w:hideMark/>
          </w:tcPr>
          <w:p w14:paraId="006836AC" w14:textId="77777777"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 </w:t>
            </w:r>
          </w:p>
        </w:tc>
        <w:tc>
          <w:tcPr>
            <w:tcW w:w="7266" w:type="dxa"/>
            <w:gridSpan w:val="6"/>
            <w:tcBorders>
              <w:top w:val="single" w:sz="4" w:space="0" w:color="auto"/>
              <w:left w:val="nil"/>
              <w:bottom w:val="single" w:sz="4" w:space="0" w:color="FFFFFF"/>
              <w:right w:val="single" w:sz="4" w:space="0" w:color="auto"/>
            </w:tcBorders>
            <w:shd w:val="clear" w:color="auto" w:fill="8497B0"/>
            <w:noWrap/>
            <w:vAlign w:val="bottom"/>
            <w:hideMark/>
          </w:tcPr>
          <w:p w14:paraId="39060A40" w14:textId="77777777" w:rsidR="0085243E" w:rsidRPr="00317973" w:rsidRDefault="0085243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Percentage</w:t>
            </w:r>
          </w:p>
        </w:tc>
      </w:tr>
      <w:tr w:rsidR="0085243E" w:rsidRPr="0085243E" w14:paraId="5C6CE102" w14:textId="77777777" w:rsidTr="00F53E3F">
        <w:trPr>
          <w:trHeight w:val="1207"/>
        </w:trPr>
        <w:tc>
          <w:tcPr>
            <w:tcW w:w="2340" w:type="dxa"/>
            <w:tcBorders>
              <w:top w:val="nil"/>
              <w:left w:val="single" w:sz="4" w:space="0" w:color="auto"/>
              <w:bottom w:val="nil"/>
              <w:right w:val="nil"/>
            </w:tcBorders>
            <w:shd w:val="clear" w:color="auto" w:fill="8497B0"/>
            <w:noWrap/>
            <w:vAlign w:val="bottom"/>
            <w:hideMark/>
          </w:tcPr>
          <w:p w14:paraId="7582576A" w14:textId="77777777" w:rsidR="0085243E" w:rsidRPr="00317973" w:rsidRDefault="0085243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Area</w:t>
            </w:r>
          </w:p>
        </w:tc>
        <w:tc>
          <w:tcPr>
            <w:tcW w:w="1210" w:type="dxa"/>
            <w:tcBorders>
              <w:top w:val="nil"/>
              <w:left w:val="nil"/>
              <w:bottom w:val="nil"/>
              <w:right w:val="nil"/>
            </w:tcBorders>
            <w:shd w:val="clear" w:color="auto" w:fill="8497B0"/>
            <w:vAlign w:val="bottom"/>
            <w:hideMark/>
          </w:tcPr>
          <w:p w14:paraId="24607578" w14:textId="77777777" w:rsidR="0085243E" w:rsidRPr="00317973" w:rsidRDefault="0085243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Asthma</w:t>
            </w:r>
          </w:p>
        </w:tc>
        <w:tc>
          <w:tcPr>
            <w:tcW w:w="1210" w:type="dxa"/>
            <w:tcBorders>
              <w:top w:val="nil"/>
              <w:left w:val="nil"/>
              <w:bottom w:val="nil"/>
              <w:right w:val="nil"/>
            </w:tcBorders>
            <w:shd w:val="clear" w:color="auto" w:fill="8497B0"/>
            <w:vAlign w:val="bottom"/>
            <w:hideMark/>
          </w:tcPr>
          <w:p w14:paraId="23874F18" w14:textId="77777777" w:rsidR="0085243E" w:rsidRPr="00317973" w:rsidRDefault="0085243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Coronary heart disease</w:t>
            </w:r>
          </w:p>
        </w:tc>
        <w:tc>
          <w:tcPr>
            <w:tcW w:w="1210" w:type="dxa"/>
            <w:tcBorders>
              <w:top w:val="nil"/>
              <w:left w:val="nil"/>
              <w:bottom w:val="nil"/>
              <w:right w:val="nil"/>
            </w:tcBorders>
            <w:shd w:val="clear" w:color="auto" w:fill="8497B0"/>
            <w:vAlign w:val="bottom"/>
            <w:hideMark/>
          </w:tcPr>
          <w:p w14:paraId="18F1FEAC" w14:textId="77777777" w:rsidR="0085243E" w:rsidRPr="00317973" w:rsidRDefault="0085243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COPD</w:t>
            </w:r>
          </w:p>
        </w:tc>
        <w:tc>
          <w:tcPr>
            <w:tcW w:w="1210" w:type="dxa"/>
            <w:tcBorders>
              <w:top w:val="nil"/>
              <w:left w:val="nil"/>
              <w:bottom w:val="nil"/>
              <w:right w:val="nil"/>
            </w:tcBorders>
            <w:shd w:val="clear" w:color="auto" w:fill="8497B0"/>
            <w:vAlign w:val="bottom"/>
            <w:hideMark/>
          </w:tcPr>
          <w:p w14:paraId="16C3D3BE" w14:textId="77777777" w:rsidR="0085243E" w:rsidRPr="00317973" w:rsidRDefault="0085243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Diabetes</w:t>
            </w:r>
          </w:p>
        </w:tc>
        <w:tc>
          <w:tcPr>
            <w:tcW w:w="1210" w:type="dxa"/>
            <w:tcBorders>
              <w:top w:val="nil"/>
              <w:left w:val="nil"/>
              <w:bottom w:val="nil"/>
              <w:right w:val="nil"/>
            </w:tcBorders>
            <w:shd w:val="clear" w:color="auto" w:fill="8497B0"/>
            <w:vAlign w:val="bottom"/>
            <w:hideMark/>
          </w:tcPr>
          <w:p w14:paraId="719EEFE5" w14:textId="77777777" w:rsidR="0085243E" w:rsidRPr="00317973" w:rsidRDefault="0085243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Heart failure</w:t>
            </w:r>
          </w:p>
        </w:tc>
        <w:tc>
          <w:tcPr>
            <w:tcW w:w="1214" w:type="dxa"/>
            <w:tcBorders>
              <w:top w:val="nil"/>
              <w:left w:val="nil"/>
              <w:bottom w:val="single" w:sz="4" w:space="0" w:color="A9D08E"/>
              <w:right w:val="single" w:sz="4" w:space="0" w:color="auto"/>
            </w:tcBorders>
            <w:shd w:val="clear" w:color="auto" w:fill="8497B0"/>
            <w:vAlign w:val="bottom"/>
            <w:hideMark/>
          </w:tcPr>
          <w:p w14:paraId="79661627" w14:textId="77777777" w:rsidR="0085243E" w:rsidRPr="00317973" w:rsidRDefault="0085243E" w:rsidP="00DC54F7">
            <w:pPr>
              <w:spacing w:after="0" w:line="240" w:lineRule="auto"/>
              <w:jc w:val="both"/>
              <w:rPr>
                <w:rFonts w:ascii="Calibri" w:eastAsia="Times New Roman" w:hAnsi="Calibri" w:cs="Calibri"/>
                <w:b/>
                <w:bCs/>
                <w:color w:val="FFFFFF"/>
                <w:lang w:eastAsia="en-GB"/>
              </w:rPr>
            </w:pPr>
            <w:r w:rsidRPr="00317973">
              <w:rPr>
                <w:rFonts w:ascii="Calibri" w:eastAsia="Times New Roman" w:hAnsi="Calibri" w:cs="Calibri"/>
                <w:b/>
                <w:bCs/>
                <w:color w:val="FFFFFF"/>
                <w:lang w:eastAsia="en-GB"/>
              </w:rPr>
              <w:t>Stroke and transient ischaemic attacks</w:t>
            </w:r>
          </w:p>
        </w:tc>
      </w:tr>
      <w:tr w:rsidR="0085243E" w:rsidRPr="0085243E" w14:paraId="28424C47" w14:textId="77777777" w:rsidTr="000E3E2F">
        <w:trPr>
          <w:trHeight w:val="333"/>
        </w:trPr>
        <w:tc>
          <w:tcPr>
            <w:tcW w:w="2340" w:type="dxa"/>
            <w:tcBorders>
              <w:top w:val="nil"/>
              <w:left w:val="single" w:sz="4" w:space="0" w:color="auto"/>
              <w:bottom w:val="nil"/>
              <w:right w:val="nil"/>
            </w:tcBorders>
            <w:shd w:val="clear" w:color="000000" w:fill="F2F2F2"/>
            <w:noWrap/>
            <w:vAlign w:val="bottom"/>
            <w:hideMark/>
          </w:tcPr>
          <w:p w14:paraId="5800F9E5" w14:textId="77777777"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Cardiff South West</w:t>
            </w:r>
          </w:p>
        </w:tc>
        <w:tc>
          <w:tcPr>
            <w:tcW w:w="1210" w:type="dxa"/>
            <w:tcBorders>
              <w:top w:val="nil"/>
              <w:left w:val="nil"/>
              <w:bottom w:val="nil"/>
              <w:right w:val="nil"/>
            </w:tcBorders>
            <w:shd w:val="clear" w:color="000000" w:fill="F2F2F2"/>
            <w:noWrap/>
            <w:vAlign w:val="bottom"/>
            <w:hideMark/>
          </w:tcPr>
          <w:p w14:paraId="387F9CCF" w14:textId="116A8396"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7.3</w:t>
            </w:r>
          </w:p>
        </w:tc>
        <w:tc>
          <w:tcPr>
            <w:tcW w:w="1210" w:type="dxa"/>
            <w:tcBorders>
              <w:top w:val="nil"/>
              <w:left w:val="nil"/>
              <w:bottom w:val="nil"/>
              <w:right w:val="nil"/>
            </w:tcBorders>
            <w:shd w:val="clear" w:color="000000" w:fill="F2F2F2"/>
            <w:noWrap/>
            <w:vAlign w:val="bottom"/>
            <w:hideMark/>
          </w:tcPr>
          <w:p w14:paraId="12AF8A24" w14:textId="129A8913"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2.6</w:t>
            </w:r>
          </w:p>
        </w:tc>
        <w:tc>
          <w:tcPr>
            <w:tcW w:w="1210" w:type="dxa"/>
            <w:tcBorders>
              <w:top w:val="nil"/>
              <w:left w:val="nil"/>
              <w:bottom w:val="nil"/>
              <w:right w:val="nil"/>
            </w:tcBorders>
            <w:shd w:val="clear" w:color="000000" w:fill="F2F2F2"/>
            <w:noWrap/>
            <w:vAlign w:val="bottom"/>
            <w:hideMark/>
          </w:tcPr>
          <w:p w14:paraId="735351DB" w14:textId="6B42AD21"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2.1</w:t>
            </w:r>
          </w:p>
        </w:tc>
        <w:tc>
          <w:tcPr>
            <w:tcW w:w="1210" w:type="dxa"/>
            <w:tcBorders>
              <w:top w:val="nil"/>
              <w:left w:val="nil"/>
              <w:bottom w:val="nil"/>
              <w:right w:val="nil"/>
            </w:tcBorders>
            <w:shd w:val="clear" w:color="000000" w:fill="F2F2F2"/>
            <w:noWrap/>
            <w:vAlign w:val="bottom"/>
            <w:hideMark/>
          </w:tcPr>
          <w:p w14:paraId="5E782309" w14:textId="1F9F713C"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5.4</w:t>
            </w:r>
          </w:p>
        </w:tc>
        <w:tc>
          <w:tcPr>
            <w:tcW w:w="1210" w:type="dxa"/>
            <w:tcBorders>
              <w:top w:val="nil"/>
              <w:left w:val="nil"/>
              <w:bottom w:val="nil"/>
              <w:right w:val="nil"/>
            </w:tcBorders>
            <w:shd w:val="clear" w:color="000000" w:fill="F2F2F2"/>
            <w:noWrap/>
            <w:vAlign w:val="bottom"/>
            <w:hideMark/>
          </w:tcPr>
          <w:p w14:paraId="41E50070" w14:textId="0B605D68"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0.8</w:t>
            </w:r>
          </w:p>
        </w:tc>
        <w:tc>
          <w:tcPr>
            <w:tcW w:w="1214" w:type="dxa"/>
            <w:tcBorders>
              <w:top w:val="nil"/>
              <w:left w:val="nil"/>
              <w:bottom w:val="nil"/>
              <w:right w:val="single" w:sz="4" w:space="0" w:color="auto"/>
            </w:tcBorders>
            <w:shd w:val="clear" w:color="000000" w:fill="F2F2F2"/>
            <w:noWrap/>
            <w:vAlign w:val="bottom"/>
            <w:hideMark/>
          </w:tcPr>
          <w:p w14:paraId="094E9F4F" w14:textId="1659A6DB"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1.6</w:t>
            </w:r>
          </w:p>
        </w:tc>
      </w:tr>
      <w:tr w:rsidR="0085243E" w:rsidRPr="0085243E" w14:paraId="5771D05A" w14:textId="77777777" w:rsidTr="000E3E2F">
        <w:trPr>
          <w:trHeight w:val="333"/>
        </w:trPr>
        <w:tc>
          <w:tcPr>
            <w:tcW w:w="2340" w:type="dxa"/>
            <w:tcBorders>
              <w:top w:val="nil"/>
              <w:left w:val="single" w:sz="4" w:space="0" w:color="auto"/>
              <w:bottom w:val="nil"/>
              <w:right w:val="nil"/>
            </w:tcBorders>
            <w:shd w:val="clear" w:color="000000" w:fill="FFFFFF"/>
            <w:noWrap/>
            <w:vAlign w:val="bottom"/>
            <w:hideMark/>
          </w:tcPr>
          <w:p w14:paraId="12750A93" w14:textId="77777777"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Cardiff</w:t>
            </w:r>
          </w:p>
        </w:tc>
        <w:tc>
          <w:tcPr>
            <w:tcW w:w="1210" w:type="dxa"/>
            <w:tcBorders>
              <w:top w:val="nil"/>
              <w:left w:val="nil"/>
              <w:bottom w:val="nil"/>
              <w:right w:val="nil"/>
            </w:tcBorders>
            <w:shd w:val="clear" w:color="000000" w:fill="FFFFFF"/>
            <w:noWrap/>
            <w:vAlign w:val="bottom"/>
            <w:hideMark/>
          </w:tcPr>
          <w:p w14:paraId="2F236785" w14:textId="3E46BADA"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6.6</w:t>
            </w:r>
          </w:p>
        </w:tc>
        <w:tc>
          <w:tcPr>
            <w:tcW w:w="1210" w:type="dxa"/>
            <w:tcBorders>
              <w:top w:val="nil"/>
              <w:left w:val="nil"/>
              <w:bottom w:val="nil"/>
              <w:right w:val="nil"/>
            </w:tcBorders>
            <w:shd w:val="clear" w:color="000000" w:fill="FFFFFF"/>
            <w:noWrap/>
            <w:vAlign w:val="bottom"/>
            <w:hideMark/>
          </w:tcPr>
          <w:p w14:paraId="7C47230B" w14:textId="4D89525A"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2.5</w:t>
            </w:r>
          </w:p>
        </w:tc>
        <w:tc>
          <w:tcPr>
            <w:tcW w:w="1210" w:type="dxa"/>
            <w:tcBorders>
              <w:top w:val="nil"/>
              <w:left w:val="nil"/>
              <w:bottom w:val="nil"/>
              <w:right w:val="nil"/>
            </w:tcBorders>
            <w:shd w:val="clear" w:color="000000" w:fill="FFFFFF"/>
            <w:noWrap/>
            <w:vAlign w:val="bottom"/>
            <w:hideMark/>
          </w:tcPr>
          <w:p w14:paraId="50185302" w14:textId="77F8B5AF"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1.6</w:t>
            </w:r>
          </w:p>
        </w:tc>
        <w:tc>
          <w:tcPr>
            <w:tcW w:w="1210" w:type="dxa"/>
            <w:tcBorders>
              <w:top w:val="nil"/>
              <w:left w:val="nil"/>
              <w:bottom w:val="nil"/>
              <w:right w:val="nil"/>
            </w:tcBorders>
            <w:shd w:val="clear" w:color="000000" w:fill="FFFFFF"/>
            <w:noWrap/>
            <w:vAlign w:val="bottom"/>
            <w:hideMark/>
          </w:tcPr>
          <w:p w14:paraId="503550DD" w14:textId="42C7DFB1"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4.9</w:t>
            </w:r>
          </w:p>
        </w:tc>
        <w:tc>
          <w:tcPr>
            <w:tcW w:w="1210" w:type="dxa"/>
            <w:tcBorders>
              <w:top w:val="nil"/>
              <w:left w:val="nil"/>
              <w:bottom w:val="nil"/>
              <w:right w:val="nil"/>
            </w:tcBorders>
            <w:shd w:val="clear" w:color="000000" w:fill="FFFFFF"/>
            <w:noWrap/>
            <w:vAlign w:val="bottom"/>
            <w:hideMark/>
          </w:tcPr>
          <w:p w14:paraId="286BFFA9" w14:textId="0AEC066C"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0.8</w:t>
            </w:r>
          </w:p>
        </w:tc>
        <w:tc>
          <w:tcPr>
            <w:tcW w:w="1214" w:type="dxa"/>
            <w:tcBorders>
              <w:top w:val="nil"/>
              <w:left w:val="nil"/>
              <w:bottom w:val="nil"/>
              <w:right w:val="single" w:sz="4" w:space="0" w:color="auto"/>
            </w:tcBorders>
            <w:shd w:val="clear" w:color="000000" w:fill="FFFFFF"/>
            <w:noWrap/>
            <w:vAlign w:val="bottom"/>
            <w:hideMark/>
          </w:tcPr>
          <w:p w14:paraId="523BB3E9" w14:textId="0862D848"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1.6</w:t>
            </w:r>
          </w:p>
        </w:tc>
      </w:tr>
      <w:tr w:rsidR="0085243E" w:rsidRPr="0085243E" w14:paraId="61FEB657" w14:textId="77777777" w:rsidTr="000E3E2F">
        <w:trPr>
          <w:trHeight w:val="333"/>
        </w:trPr>
        <w:tc>
          <w:tcPr>
            <w:tcW w:w="2340" w:type="dxa"/>
            <w:tcBorders>
              <w:top w:val="nil"/>
              <w:left w:val="single" w:sz="4" w:space="0" w:color="auto"/>
              <w:bottom w:val="nil"/>
              <w:right w:val="nil"/>
            </w:tcBorders>
            <w:shd w:val="clear" w:color="000000" w:fill="F2F2F2"/>
            <w:noWrap/>
            <w:vAlign w:val="bottom"/>
            <w:hideMark/>
          </w:tcPr>
          <w:p w14:paraId="4452FD50" w14:textId="77777777"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Cardiff and Vale UHB</w:t>
            </w:r>
          </w:p>
        </w:tc>
        <w:tc>
          <w:tcPr>
            <w:tcW w:w="1210" w:type="dxa"/>
            <w:tcBorders>
              <w:top w:val="nil"/>
              <w:left w:val="nil"/>
              <w:bottom w:val="nil"/>
              <w:right w:val="nil"/>
            </w:tcBorders>
            <w:shd w:val="clear" w:color="000000" w:fill="F2F2F2"/>
            <w:noWrap/>
            <w:vAlign w:val="bottom"/>
            <w:hideMark/>
          </w:tcPr>
          <w:p w14:paraId="3ECCC020" w14:textId="3A7B213A"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6.7</w:t>
            </w:r>
          </w:p>
        </w:tc>
        <w:tc>
          <w:tcPr>
            <w:tcW w:w="1210" w:type="dxa"/>
            <w:tcBorders>
              <w:top w:val="nil"/>
              <w:left w:val="nil"/>
              <w:bottom w:val="nil"/>
              <w:right w:val="nil"/>
            </w:tcBorders>
            <w:shd w:val="clear" w:color="000000" w:fill="F2F2F2"/>
            <w:noWrap/>
            <w:vAlign w:val="bottom"/>
            <w:hideMark/>
          </w:tcPr>
          <w:p w14:paraId="4FF37234" w14:textId="2829263B"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2.7</w:t>
            </w:r>
          </w:p>
        </w:tc>
        <w:tc>
          <w:tcPr>
            <w:tcW w:w="1210" w:type="dxa"/>
            <w:tcBorders>
              <w:top w:val="nil"/>
              <w:left w:val="nil"/>
              <w:bottom w:val="nil"/>
              <w:right w:val="nil"/>
            </w:tcBorders>
            <w:shd w:val="clear" w:color="000000" w:fill="F2F2F2"/>
            <w:noWrap/>
            <w:vAlign w:val="bottom"/>
            <w:hideMark/>
          </w:tcPr>
          <w:p w14:paraId="497101EB" w14:textId="1B5EED97"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1.7</w:t>
            </w:r>
          </w:p>
        </w:tc>
        <w:tc>
          <w:tcPr>
            <w:tcW w:w="1210" w:type="dxa"/>
            <w:tcBorders>
              <w:top w:val="nil"/>
              <w:left w:val="nil"/>
              <w:bottom w:val="nil"/>
              <w:right w:val="nil"/>
            </w:tcBorders>
            <w:shd w:val="clear" w:color="000000" w:fill="F2F2F2"/>
            <w:noWrap/>
            <w:vAlign w:val="bottom"/>
            <w:hideMark/>
          </w:tcPr>
          <w:p w14:paraId="0F6363B9" w14:textId="08DD5B6D"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5.0</w:t>
            </w:r>
          </w:p>
        </w:tc>
        <w:tc>
          <w:tcPr>
            <w:tcW w:w="1210" w:type="dxa"/>
            <w:tcBorders>
              <w:top w:val="nil"/>
              <w:left w:val="nil"/>
              <w:bottom w:val="nil"/>
              <w:right w:val="nil"/>
            </w:tcBorders>
            <w:shd w:val="clear" w:color="000000" w:fill="F2F2F2"/>
            <w:noWrap/>
            <w:vAlign w:val="bottom"/>
            <w:hideMark/>
          </w:tcPr>
          <w:p w14:paraId="72F57164" w14:textId="1BBF1416"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0.9</w:t>
            </w:r>
          </w:p>
        </w:tc>
        <w:tc>
          <w:tcPr>
            <w:tcW w:w="1214" w:type="dxa"/>
            <w:tcBorders>
              <w:top w:val="nil"/>
              <w:left w:val="nil"/>
              <w:bottom w:val="nil"/>
              <w:right w:val="single" w:sz="4" w:space="0" w:color="auto"/>
            </w:tcBorders>
            <w:shd w:val="clear" w:color="000000" w:fill="F2F2F2"/>
            <w:noWrap/>
            <w:vAlign w:val="bottom"/>
            <w:hideMark/>
          </w:tcPr>
          <w:p w14:paraId="4D0C0A94" w14:textId="531008E3"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1.7</w:t>
            </w:r>
          </w:p>
        </w:tc>
      </w:tr>
      <w:tr w:rsidR="0085243E" w:rsidRPr="0085243E" w14:paraId="5B2E20BD" w14:textId="77777777" w:rsidTr="000E3E2F">
        <w:trPr>
          <w:trHeight w:val="333"/>
        </w:trPr>
        <w:tc>
          <w:tcPr>
            <w:tcW w:w="2340" w:type="dxa"/>
            <w:tcBorders>
              <w:top w:val="nil"/>
              <w:left w:val="single" w:sz="4" w:space="0" w:color="auto"/>
              <w:bottom w:val="single" w:sz="4" w:space="0" w:color="auto"/>
              <w:right w:val="nil"/>
            </w:tcBorders>
            <w:shd w:val="clear" w:color="000000" w:fill="FFFFFF"/>
            <w:noWrap/>
            <w:vAlign w:val="bottom"/>
            <w:hideMark/>
          </w:tcPr>
          <w:p w14:paraId="03A61B00" w14:textId="77777777"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Wales</w:t>
            </w:r>
          </w:p>
        </w:tc>
        <w:tc>
          <w:tcPr>
            <w:tcW w:w="1210" w:type="dxa"/>
            <w:tcBorders>
              <w:top w:val="nil"/>
              <w:left w:val="nil"/>
              <w:bottom w:val="single" w:sz="4" w:space="0" w:color="auto"/>
              <w:right w:val="nil"/>
            </w:tcBorders>
            <w:shd w:val="clear" w:color="000000" w:fill="FFFFFF"/>
            <w:noWrap/>
            <w:vAlign w:val="bottom"/>
            <w:hideMark/>
          </w:tcPr>
          <w:p w14:paraId="166677FD" w14:textId="20B6745B"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7.1</w:t>
            </w:r>
          </w:p>
        </w:tc>
        <w:tc>
          <w:tcPr>
            <w:tcW w:w="1210" w:type="dxa"/>
            <w:tcBorders>
              <w:top w:val="nil"/>
              <w:left w:val="nil"/>
              <w:bottom w:val="single" w:sz="4" w:space="0" w:color="auto"/>
              <w:right w:val="nil"/>
            </w:tcBorders>
            <w:shd w:val="clear" w:color="000000" w:fill="FFFFFF"/>
            <w:noWrap/>
            <w:vAlign w:val="bottom"/>
            <w:hideMark/>
          </w:tcPr>
          <w:p w14:paraId="7415E618" w14:textId="4DAC6F9D"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3.6</w:t>
            </w:r>
          </w:p>
        </w:tc>
        <w:tc>
          <w:tcPr>
            <w:tcW w:w="1210" w:type="dxa"/>
            <w:tcBorders>
              <w:top w:val="nil"/>
              <w:left w:val="nil"/>
              <w:bottom w:val="single" w:sz="4" w:space="0" w:color="auto"/>
              <w:right w:val="nil"/>
            </w:tcBorders>
            <w:shd w:val="clear" w:color="000000" w:fill="FFFFFF"/>
            <w:noWrap/>
            <w:vAlign w:val="bottom"/>
            <w:hideMark/>
          </w:tcPr>
          <w:p w14:paraId="072927F9" w14:textId="23CD8CCE"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2.4</w:t>
            </w:r>
          </w:p>
        </w:tc>
        <w:tc>
          <w:tcPr>
            <w:tcW w:w="1210" w:type="dxa"/>
            <w:tcBorders>
              <w:top w:val="nil"/>
              <w:left w:val="nil"/>
              <w:bottom w:val="single" w:sz="4" w:space="0" w:color="auto"/>
              <w:right w:val="nil"/>
            </w:tcBorders>
            <w:shd w:val="clear" w:color="000000" w:fill="FFFFFF"/>
            <w:noWrap/>
            <w:vAlign w:val="bottom"/>
            <w:hideMark/>
          </w:tcPr>
          <w:p w14:paraId="50EF3BAB" w14:textId="2F091B12"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6.1</w:t>
            </w:r>
          </w:p>
        </w:tc>
        <w:tc>
          <w:tcPr>
            <w:tcW w:w="1210" w:type="dxa"/>
            <w:tcBorders>
              <w:top w:val="nil"/>
              <w:left w:val="nil"/>
              <w:bottom w:val="single" w:sz="4" w:space="0" w:color="auto"/>
              <w:right w:val="nil"/>
            </w:tcBorders>
            <w:shd w:val="clear" w:color="000000" w:fill="FFFFFF"/>
            <w:noWrap/>
            <w:vAlign w:val="bottom"/>
            <w:hideMark/>
          </w:tcPr>
          <w:p w14:paraId="04D10284" w14:textId="0C7241F9"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1.1</w:t>
            </w:r>
          </w:p>
        </w:tc>
        <w:tc>
          <w:tcPr>
            <w:tcW w:w="1214" w:type="dxa"/>
            <w:tcBorders>
              <w:top w:val="nil"/>
              <w:left w:val="nil"/>
              <w:bottom w:val="single" w:sz="4" w:space="0" w:color="auto"/>
              <w:right w:val="single" w:sz="4" w:space="0" w:color="auto"/>
            </w:tcBorders>
            <w:shd w:val="clear" w:color="000000" w:fill="FFFFFF"/>
            <w:noWrap/>
            <w:vAlign w:val="bottom"/>
            <w:hideMark/>
          </w:tcPr>
          <w:p w14:paraId="615A2AF0" w14:textId="2931D84A" w:rsidR="0085243E" w:rsidRPr="00317973" w:rsidRDefault="0085243E" w:rsidP="00DC54F7">
            <w:pPr>
              <w:spacing w:after="0" w:line="240" w:lineRule="auto"/>
              <w:jc w:val="both"/>
              <w:rPr>
                <w:rFonts w:ascii="Calibri" w:eastAsia="Times New Roman" w:hAnsi="Calibri" w:cs="Calibri"/>
                <w:color w:val="000000"/>
                <w:lang w:eastAsia="en-GB"/>
              </w:rPr>
            </w:pPr>
            <w:r w:rsidRPr="00317973">
              <w:rPr>
                <w:rFonts w:ascii="Calibri" w:eastAsia="Times New Roman" w:hAnsi="Calibri" w:cs="Calibri"/>
                <w:color w:val="000000"/>
                <w:lang w:eastAsia="en-GB"/>
              </w:rPr>
              <w:t>2.1</w:t>
            </w:r>
          </w:p>
        </w:tc>
      </w:tr>
    </w:tbl>
    <w:p w14:paraId="65B77B9D" w14:textId="77777777" w:rsidR="003C7DC1" w:rsidRPr="00317973" w:rsidRDefault="003C7DC1" w:rsidP="00DC54F7">
      <w:pPr>
        <w:jc w:val="both"/>
        <w:rPr>
          <w:rFonts w:ascii="Arial" w:hAnsi="Arial" w:cs="Arial"/>
          <w:sz w:val="20"/>
          <w:szCs w:val="20"/>
        </w:rPr>
      </w:pPr>
      <w:r w:rsidRPr="00317973">
        <w:rPr>
          <w:rFonts w:ascii="Arial" w:hAnsi="Arial" w:cs="Arial"/>
          <w:sz w:val="20"/>
          <w:szCs w:val="20"/>
        </w:rPr>
        <w:t>Source: QOF 2019</w:t>
      </w:r>
    </w:p>
    <w:p w14:paraId="12554AA3" w14:textId="5DEF8747" w:rsidR="0067581F" w:rsidRPr="00C563C2" w:rsidRDefault="0067581F" w:rsidP="00DC54F7">
      <w:pPr>
        <w:spacing w:after="0" w:line="240" w:lineRule="auto"/>
        <w:jc w:val="both"/>
        <w:rPr>
          <w:rFonts w:ascii="Arial" w:hAnsi="Arial" w:cs="Arial"/>
          <w:sz w:val="24"/>
          <w:szCs w:val="24"/>
        </w:rPr>
      </w:pPr>
      <w:r w:rsidRPr="00C563C2">
        <w:rPr>
          <w:rFonts w:ascii="Arial" w:hAnsi="Arial" w:cs="Arial"/>
          <w:sz w:val="24"/>
          <w:szCs w:val="24"/>
        </w:rPr>
        <w:lastRenderedPageBreak/>
        <w:t xml:space="preserve">The estimated prevalence of dementia in Cardiff South West cluster is </w:t>
      </w:r>
      <w:r w:rsidR="00CA39FD" w:rsidRPr="00C563C2">
        <w:rPr>
          <w:rFonts w:ascii="Arial" w:hAnsi="Arial" w:cs="Arial"/>
          <w:sz w:val="24"/>
          <w:szCs w:val="24"/>
        </w:rPr>
        <w:t>lower than the</w:t>
      </w:r>
      <w:r w:rsidR="00C3786C" w:rsidRPr="00C563C2">
        <w:rPr>
          <w:rFonts w:ascii="Arial" w:hAnsi="Arial" w:cs="Arial"/>
          <w:sz w:val="24"/>
          <w:szCs w:val="24"/>
        </w:rPr>
        <w:t xml:space="preserve"> </w:t>
      </w:r>
      <w:r w:rsidR="00CA39FD" w:rsidRPr="00C563C2">
        <w:rPr>
          <w:rFonts w:ascii="Arial" w:hAnsi="Arial" w:cs="Arial"/>
          <w:sz w:val="24"/>
          <w:szCs w:val="24"/>
        </w:rPr>
        <w:t xml:space="preserve">average for Wales and the health board. The </w:t>
      </w:r>
      <w:r w:rsidR="00C45EE2" w:rsidRPr="00C563C2">
        <w:rPr>
          <w:rFonts w:ascii="Arial" w:hAnsi="Arial" w:cs="Arial"/>
          <w:sz w:val="24"/>
          <w:szCs w:val="24"/>
        </w:rPr>
        <w:t>estimated prevalence of mental health conditions the same as the average for Wales and higher than the health board.</w:t>
      </w:r>
    </w:p>
    <w:p w14:paraId="5FC4F841" w14:textId="77777777" w:rsidR="0067581F" w:rsidRPr="00C563C2" w:rsidRDefault="0067581F" w:rsidP="00DC54F7">
      <w:pPr>
        <w:spacing w:after="0" w:line="240" w:lineRule="auto"/>
        <w:jc w:val="both"/>
        <w:rPr>
          <w:rFonts w:ascii="Arial" w:hAnsi="Arial" w:cs="Arial"/>
          <w:b/>
          <w:bCs/>
          <w:sz w:val="24"/>
          <w:szCs w:val="24"/>
        </w:rPr>
      </w:pPr>
    </w:p>
    <w:p w14:paraId="79FE0B80" w14:textId="0A088486" w:rsidR="0085243E" w:rsidRPr="00C563C2" w:rsidRDefault="002204E4" w:rsidP="00DC54F7">
      <w:pPr>
        <w:spacing w:after="0" w:line="240" w:lineRule="auto"/>
        <w:jc w:val="both"/>
        <w:rPr>
          <w:rFonts w:ascii="Arial" w:hAnsi="Arial" w:cs="Arial"/>
          <w:b/>
          <w:bCs/>
          <w:sz w:val="24"/>
          <w:szCs w:val="24"/>
        </w:rPr>
      </w:pPr>
      <w:r w:rsidRPr="00C563C2">
        <w:rPr>
          <w:rFonts w:ascii="Arial" w:hAnsi="Arial" w:cs="Arial"/>
          <w:b/>
          <w:bCs/>
          <w:sz w:val="24"/>
          <w:szCs w:val="24"/>
        </w:rPr>
        <w:t>Table 12.</w:t>
      </w:r>
      <w:r w:rsidR="00C3786C" w:rsidRPr="00C563C2">
        <w:rPr>
          <w:rFonts w:ascii="Arial" w:hAnsi="Arial" w:cs="Arial"/>
          <w:b/>
          <w:bCs/>
          <w:sz w:val="24"/>
          <w:szCs w:val="24"/>
        </w:rPr>
        <w:t>4</w:t>
      </w:r>
      <w:r w:rsidRPr="00C563C2">
        <w:rPr>
          <w:rFonts w:ascii="Arial" w:hAnsi="Arial" w:cs="Arial"/>
          <w:b/>
          <w:bCs/>
          <w:sz w:val="24"/>
          <w:szCs w:val="24"/>
        </w:rPr>
        <w:t>: Percentage of patients registered as having a mental health condition, and dementia by cluster, local authority, health board and Wales, 2019</w:t>
      </w:r>
    </w:p>
    <w:tbl>
      <w:tblPr>
        <w:tblW w:w="973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246"/>
        <w:gridCol w:w="3246"/>
        <w:gridCol w:w="3246"/>
      </w:tblGrid>
      <w:tr w:rsidR="001234D7" w:rsidRPr="005F5614" w14:paraId="548FF835" w14:textId="77777777" w:rsidTr="000E3E2F">
        <w:trPr>
          <w:trHeight w:val="322"/>
        </w:trPr>
        <w:tc>
          <w:tcPr>
            <w:tcW w:w="3246" w:type="dxa"/>
            <w:shd w:val="clear" w:color="auto" w:fill="8497B0"/>
            <w:noWrap/>
            <w:vAlign w:val="bottom"/>
            <w:hideMark/>
          </w:tcPr>
          <w:p w14:paraId="6FA58108" w14:textId="77777777" w:rsidR="001234D7" w:rsidRPr="005F5614" w:rsidRDefault="001234D7" w:rsidP="00DC54F7">
            <w:pPr>
              <w:spacing w:after="0" w:line="240" w:lineRule="auto"/>
              <w:jc w:val="both"/>
              <w:rPr>
                <w:rFonts w:ascii="Calibri" w:eastAsia="Times New Roman" w:hAnsi="Calibri" w:cs="Times New Roman"/>
                <w:color w:val="000000"/>
                <w:lang w:eastAsia="en-GB"/>
              </w:rPr>
            </w:pPr>
            <w:r w:rsidRPr="005F5614">
              <w:rPr>
                <w:rFonts w:ascii="Calibri" w:eastAsia="Times New Roman" w:hAnsi="Calibri" w:cs="Times New Roman"/>
                <w:color w:val="000000"/>
                <w:lang w:eastAsia="en-GB"/>
              </w:rPr>
              <w:t> </w:t>
            </w:r>
          </w:p>
        </w:tc>
        <w:tc>
          <w:tcPr>
            <w:tcW w:w="3246" w:type="dxa"/>
            <w:shd w:val="clear" w:color="auto" w:fill="8497B0"/>
            <w:noWrap/>
            <w:vAlign w:val="bottom"/>
            <w:hideMark/>
          </w:tcPr>
          <w:p w14:paraId="3B540DA3" w14:textId="77777777" w:rsidR="001234D7" w:rsidRPr="005F5614" w:rsidRDefault="001234D7" w:rsidP="00DC54F7">
            <w:pPr>
              <w:spacing w:after="0" w:line="240" w:lineRule="auto"/>
              <w:jc w:val="both"/>
              <w:rPr>
                <w:rFonts w:ascii="Calibri" w:eastAsia="Times New Roman" w:hAnsi="Calibri" w:cs="Times New Roman"/>
                <w:b/>
                <w:bCs/>
                <w:color w:val="FFFFFF"/>
                <w:lang w:eastAsia="en-GB"/>
              </w:rPr>
            </w:pPr>
            <w:r w:rsidRPr="005F5614">
              <w:rPr>
                <w:rFonts w:ascii="Calibri" w:eastAsia="Times New Roman" w:hAnsi="Calibri" w:cs="Times New Roman"/>
                <w:b/>
                <w:bCs/>
                <w:color w:val="FFFFFF"/>
                <w:lang w:eastAsia="en-GB"/>
              </w:rPr>
              <w:t>Dementia (percentage)</w:t>
            </w:r>
          </w:p>
        </w:tc>
        <w:tc>
          <w:tcPr>
            <w:tcW w:w="3246" w:type="dxa"/>
            <w:shd w:val="clear" w:color="auto" w:fill="8497B0"/>
            <w:noWrap/>
            <w:vAlign w:val="bottom"/>
            <w:hideMark/>
          </w:tcPr>
          <w:p w14:paraId="229BF843" w14:textId="77777777" w:rsidR="001234D7" w:rsidRPr="005F5614" w:rsidRDefault="001234D7" w:rsidP="00DC54F7">
            <w:pPr>
              <w:spacing w:after="0" w:line="240" w:lineRule="auto"/>
              <w:jc w:val="both"/>
              <w:rPr>
                <w:rFonts w:ascii="Calibri" w:eastAsia="Times New Roman" w:hAnsi="Calibri" w:cs="Times New Roman"/>
                <w:b/>
                <w:bCs/>
                <w:color w:val="FFFFFF"/>
                <w:lang w:eastAsia="en-GB"/>
              </w:rPr>
            </w:pPr>
            <w:r w:rsidRPr="005F5614">
              <w:rPr>
                <w:rFonts w:ascii="Calibri" w:eastAsia="Times New Roman" w:hAnsi="Calibri" w:cs="Times New Roman"/>
                <w:b/>
                <w:bCs/>
                <w:color w:val="FFFFFF"/>
                <w:lang w:eastAsia="en-GB"/>
              </w:rPr>
              <w:t>Mental Health (percentage)</w:t>
            </w:r>
          </w:p>
        </w:tc>
      </w:tr>
      <w:tr w:rsidR="001234D7" w:rsidRPr="005F5614" w14:paraId="25CB1BB3" w14:textId="77777777" w:rsidTr="000E3E2F">
        <w:trPr>
          <w:trHeight w:val="322"/>
        </w:trPr>
        <w:tc>
          <w:tcPr>
            <w:tcW w:w="3246" w:type="dxa"/>
            <w:shd w:val="clear" w:color="auto" w:fill="F2F2F2" w:themeFill="background1" w:themeFillShade="F2"/>
            <w:noWrap/>
            <w:vAlign w:val="bottom"/>
            <w:hideMark/>
          </w:tcPr>
          <w:p w14:paraId="3231E93D" w14:textId="77777777" w:rsidR="001234D7" w:rsidRPr="005F5614" w:rsidRDefault="001234D7" w:rsidP="00DC54F7">
            <w:pPr>
              <w:spacing w:after="0" w:line="240" w:lineRule="auto"/>
              <w:jc w:val="both"/>
              <w:rPr>
                <w:rFonts w:ascii="Calibri" w:eastAsia="Times New Roman" w:hAnsi="Calibri" w:cs="Times New Roman"/>
                <w:color w:val="000000"/>
                <w:lang w:eastAsia="en-GB"/>
              </w:rPr>
            </w:pPr>
            <w:r w:rsidRPr="005F5614">
              <w:rPr>
                <w:rFonts w:ascii="Calibri" w:eastAsia="Times New Roman" w:hAnsi="Calibri" w:cs="Times New Roman"/>
                <w:color w:val="000000"/>
                <w:lang w:eastAsia="en-GB"/>
              </w:rPr>
              <w:t>Cardiff South West</w:t>
            </w:r>
          </w:p>
        </w:tc>
        <w:tc>
          <w:tcPr>
            <w:tcW w:w="3246" w:type="dxa"/>
            <w:shd w:val="clear" w:color="auto" w:fill="F2F2F2" w:themeFill="background1" w:themeFillShade="F2"/>
            <w:noWrap/>
            <w:vAlign w:val="bottom"/>
            <w:hideMark/>
          </w:tcPr>
          <w:p w14:paraId="3FCD96C9" w14:textId="77777777" w:rsidR="001234D7" w:rsidRPr="005F5614" w:rsidRDefault="001234D7" w:rsidP="00DC54F7">
            <w:pPr>
              <w:spacing w:after="0" w:line="240" w:lineRule="auto"/>
              <w:jc w:val="both"/>
              <w:rPr>
                <w:rFonts w:ascii="Calibri" w:eastAsia="Times New Roman" w:hAnsi="Calibri" w:cs="Times New Roman"/>
                <w:color w:val="000000"/>
                <w:lang w:eastAsia="en-GB"/>
              </w:rPr>
            </w:pPr>
            <w:r w:rsidRPr="005F5614">
              <w:rPr>
                <w:rFonts w:ascii="Calibri" w:eastAsia="Times New Roman" w:hAnsi="Calibri" w:cs="Times New Roman"/>
                <w:color w:val="000000"/>
                <w:lang w:eastAsia="en-GB"/>
              </w:rPr>
              <w:t>0.6</w:t>
            </w:r>
          </w:p>
        </w:tc>
        <w:tc>
          <w:tcPr>
            <w:tcW w:w="3246" w:type="dxa"/>
            <w:shd w:val="clear" w:color="auto" w:fill="F2F2F2" w:themeFill="background1" w:themeFillShade="F2"/>
            <w:noWrap/>
            <w:vAlign w:val="bottom"/>
            <w:hideMark/>
          </w:tcPr>
          <w:p w14:paraId="4D1E7DC0" w14:textId="77777777" w:rsidR="001234D7" w:rsidRPr="005F5614" w:rsidRDefault="001234D7" w:rsidP="00DC54F7">
            <w:pPr>
              <w:spacing w:after="0" w:line="240" w:lineRule="auto"/>
              <w:jc w:val="both"/>
              <w:rPr>
                <w:rFonts w:ascii="Calibri" w:eastAsia="Times New Roman" w:hAnsi="Calibri" w:cs="Times New Roman"/>
                <w:color w:val="000000"/>
                <w:lang w:eastAsia="en-GB"/>
              </w:rPr>
            </w:pPr>
            <w:r w:rsidRPr="005F5614">
              <w:rPr>
                <w:rFonts w:ascii="Calibri" w:eastAsia="Times New Roman" w:hAnsi="Calibri" w:cs="Times New Roman"/>
                <w:color w:val="000000"/>
                <w:lang w:eastAsia="en-GB"/>
              </w:rPr>
              <w:t>1.0</w:t>
            </w:r>
          </w:p>
        </w:tc>
      </w:tr>
      <w:tr w:rsidR="001234D7" w:rsidRPr="005F5614" w14:paraId="4C219A12" w14:textId="77777777" w:rsidTr="000E3E2F">
        <w:trPr>
          <w:trHeight w:val="322"/>
        </w:trPr>
        <w:tc>
          <w:tcPr>
            <w:tcW w:w="3246" w:type="dxa"/>
            <w:shd w:val="clear" w:color="auto" w:fill="FFFFFF" w:themeFill="background1"/>
            <w:vAlign w:val="bottom"/>
            <w:hideMark/>
          </w:tcPr>
          <w:p w14:paraId="7BF2598C" w14:textId="77777777" w:rsidR="001234D7" w:rsidRPr="005F5614" w:rsidRDefault="001234D7" w:rsidP="00DC54F7">
            <w:pPr>
              <w:spacing w:after="0" w:line="240" w:lineRule="auto"/>
              <w:jc w:val="both"/>
              <w:rPr>
                <w:rFonts w:ascii="Calibri" w:eastAsia="Times New Roman" w:hAnsi="Calibri" w:cs="Times New Roman"/>
                <w:lang w:eastAsia="en-GB"/>
              </w:rPr>
            </w:pPr>
            <w:r w:rsidRPr="005F5614">
              <w:rPr>
                <w:rFonts w:ascii="Calibri" w:eastAsia="Times New Roman" w:hAnsi="Calibri" w:cs="Times New Roman"/>
                <w:lang w:eastAsia="en-GB"/>
              </w:rPr>
              <w:t>Cardiff</w:t>
            </w:r>
          </w:p>
        </w:tc>
        <w:tc>
          <w:tcPr>
            <w:tcW w:w="3246" w:type="dxa"/>
            <w:shd w:val="clear" w:color="auto" w:fill="FFFFFF" w:themeFill="background1"/>
            <w:noWrap/>
            <w:vAlign w:val="bottom"/>
            <w:hideMark/>
          </w:tcPr>
          <w:p w14:paraId="1B62408E" w14:textId="77777777" w:rsidR="001234D7" w:rsidRPr="005F5614" w:rsidRDefault="001234D7" w:rsidP="00DC54F7">
            <w:pPr>
              <w:spacing w:after="0" w:line="240" w:lineRule="auto"/>
              <w:jc w:val="both"/>
              <w:rPr>
                <w:rFonts w:ascii="Calibri" w:eastAsia="Times New Roman" w:hAnsi="Calibri" w:cs="Times New Roman"/>
                <w:color w:val="000000"/>
                <w:lang w:eastAsia="en-GB"/>
              </w:rPr>
            </w:pPr>
            <w:r w:rsidRPr="005F5614">
              <w:rPr>
                <w:rFonts w:ascii="Calibri" w:eastAsia="Times New Roman" w:hAnsi="Calibri" w:cs="Times New Roman"/>
                <w:color w:val="000000"/>
                <w:lang w:eastAsia="en-GB"/>
              </w:rPr>
              <w:t>0.6</w:t>
            </w:r>
          </w:p>
        </w:tc>
        <w:tc>
          <w:tcPr>
            <w:tcW w:w="3246" w:type="dxa"/>
            <w:shd w:val="clear" w:color="auto" w:fill="FFFFFF" w:themeFill="background1"/>
            <w:noWrap/>
            <w:vAlign w:val="bottom"/>
            <w:hideMark/>
          </w:tcPr>
          <w:p w14:paraId="23534242" w14:textId="77777777" w:rsidR="001234D7" w:rsidRPr="005F5614" w:rsidRDefault="001234D7" w:rsidP="00DC54F7">
            <w:pPr>
              <w:spacing w:after="0" w:line="240" w:lineRule="auto"/>
              <w:jc w:val="both"/>
              <w:rPr>
                <w:rFonts w:ascii="Calibri" w:eastAsia="Times New Roman" w:hAnsi="Calibri" w:cs="Times New Roman"/>
                <w:color w:val="000000"/>
                <w:lang w:eastAsia="en-GB"/>
              </w:rPr>
            </w:pPr>
            <w:r w:rsidRPr="005F5614">
              <w:rPr>
                <w:rFonts w:ascii="Calibri" w:eastAsia="Times New Roman" w:hAnsi="Calibri" w:cs="Times New Roman"/>
                <w:color w:val="000000"/>
                <w:lang w:eastAsia="en-GB"/>
              </w:rPr>
              <w:t>0.9</w:t>
            </w:r>
          </w:p>
        </w:tc>
      </w:tr>
      <w:tr w:rsidR="001234D7" w:rsidRPr="005F5614" w14:paraId="0C0279D7" w14:textId="77777777" w:rsidTr="000E3E2F">
        <w:trPr>
          <w:trHeight w:val="322"/>
        </w:trPr>
        <w:tc>
          <w:tcPr>
            <w:tcW w:w="3246" w:type="dxa"/>
            <w:shd w:val="clear" w:color="auto" w:fill="F2F2F2" w:themeFill="background1" w:themeFillShade="F2"/>
            <w:vAlign w:val="bottom"/>
            <w:hideMark/>
          </w:tcPr>
          <w:p w14:paraId="402071F1" w14:textId="77777777" w:rsidR="001234D7" w:rsidRPr="005F5614" w:rsidRDefault="001234D7" w:rsidP="00DC54F7">
            <w:pPr>
              <w:spacing w:after="0" w:line="240" w:lineRule="auto"/>
              <w:jc w:val="both"/>
              <w:rPr>
                <w:rFonts w:ascii="Calibri" w:eastAsia="Times New Roman" w:hAnsi="Calibri" w:cs="Times New Roman"/>
                <w:lang w:eastAsia="en-GB"/>
              </w:rPr>
            </w:pPr>
            <w:r w:rsidRPr="005F5614">
              <w:rPr>
                <w:rFonts w:ascii="Calibri" w:eastAsia="Times New Roman" w:hAnsi="Calibri" w:cs="Times New Roman"/>
                <w:lang w:eastAsia="en-GB"/>
              </w:rPr>
              <w:t>Cardiff &amp; Vale UHB</w:t>
            </w:r>
          </w:p>
        </w:tc>
        <w:tc>
          <w:tcPr>
            <w:tcW w:w="3246" w:type="dxa"/>
            <w:shd w:val="clear" w:color="auto" w:fill="F2F2F2" w:themeFill="background1" w:themeFillShade="F2"/>
            <w:noWrap/>
            <w:vAlign w:val="bottom"/>
            <w:hideMark/>
          </w:tcPr>
          <w:p w14:paraId="37BFF661" w14:textId="77777777" w:rsidR="001234D7" w:rsidRPr="005F5614" w:rsidRDefault="001234D7" w:rsidP="00DC54F7">
            <w:pPr>
              <w:spacing w:after="0" w:line="240" w:lineRule="auto"/>
              <w:jc w:val="both"/>
              <w:rPr>
                <w:rFonts w:ascii="Calibri" w:eastAsia="Times New Roman" w:hAnsi="Calibri" w:cs="Times New Roman"/>
                <w:color w:val="000000"/>
                <w:lang w:eastAsia="en-GB"/>
              </w:rPr>
            </w:pPr>
            <w:r w:rsidRPr="005F5614">
              <w:rPr>
                <w:rFonts w:ascii="Calibri" w:eastAsia="Times New Roman" w:hAnsi="Calibri" w:cs="Times New Roman"/>
                <w:color w:val="000000"/>
                <w:lang w:eastAsia="en-GB"/>
              </w:rPr>
              <w:t>0.7</w:t>
            </w:r>
          </w:p>
        </w:tc>
        <w:tc>
          <w:tcPr>
            <w:tcW w:w="3246" w:type="dxa"/>
            <w:shd w:val="clear" w:color="auto" w:fill="F2F2F2" w:themeFill="background1" w:themeFillShade="F2"/>
            <w:noWrap/>
            <w:vAlign w:val="bottom"/>
            <w:hideMark/>
          </w:tcPr>
          <w:p w14:paraId="5A5BBA2F" w14:textId="77777777" w:rsidR="001234D7" w:rsidRPr="005F5614" w:rsidRDefault="001234D7" w:rsidP="00DC54F7">
            <w:pPr>
              <w:spacing w:after="0" w:line="240" w:lineRule="auto"/>
              <w:jc w:val="both"/>
              <w:rPr>
                <w:rFonts w:ascii="Calibri" w:eastAsia="Times New Roman" w:hAnsi="Calibri" w:cs="Times New Roman"/>
                <w:lang w:eastAsia="en-GB"/>
              </w:rPr>
            </w:pPr>
            <w:r w:rsidRPr="005F5614">
              <w:rPr>
                <w:rFonts w:ascii="Calibri" w:eastAsia="Times New Roman" w:hAnsi="Calibri" w:cs="Times New Roman"/>
                <w:color w:val="000000"/>
                <w:lang w:eastAsia="en-GB"/>
              </w:rPr>
              <w:t>0.9</w:t>
            </w:r>
          </w:p>
        </w:tc>
      </w:tr>
      <w:tr w:rsidR="001234D7" w:rsidRPr="005F5614" w14:paraId="30F05921" w14:textId="77777777" w:rsidTr="000E3E2F">
        <w:trPr>
          <w:trHeight w:val="322"/>
        </w:trPr>
        <w:tc>
          <w:tcPr>
            <w:tcW w:w="3246" w:type="dxa"/>
            <w:shd w:val="clear" w:color="auto" w:fill="FFFFFF" w:themeFill="background1"/>
            <w:vAlign w:val="bottom"/>
            <w:hideMark/>
          </w:tcPr>
          <w:p w14:paraId="5608DBA3" w14:textId="77777777" w:rsidR="001234D7" w:rsidRPr="005F5614" w:rsidRDefault="001234D7" w:rsidP="00DC54F7">
            <w:pPr>
              <w:spacing w:after="0" w:line="240" w:lineRule="auto"/>
              <w:jc w:val="both"/>
              <w:rPr>
                <w:rFonts w:ascii="Calibri" w:eastAsia="Times New Roman" w:hAnsi="Calibri" w:cs="Times New Roman"/>
                <w:lang w:eastAsia="en-GB"/>
              </w:rPr>
            </w:pPr>
            <w:r w:rsidRPr="005F5614">
              <w:rPr>
                <w:rFonts w:ascii="Calibri" w:eastAsia="Times New Roman" w:hAnsi="Calibri" w:cs="Times New Roman"/>
                <w:lang w:eastAsia="en-GB"/>
              </w:rPr>
              <w:t>Wales</w:t>
            </w:r>
          </w:p>
        </w:tc>
        <w:tc>
          <w:tcPr>
            <w:tcW w:w="3246" w:type="dxa"/>
            <w:shd w:val="clear" w:color="auto" w:fill="FFFFFF" w:themeFill="background1"/>
            <w:noWrap/>
            <w:vAlign w:val="bottom"/>
            <w:hideMark/>
          </w:tcPr>
          <w:p w14:paraId="2CDECE56" w14:textId="77777777" w:rsidR="001234D7" w:rsidRPr="005F5614" w:rsidRDefault="001234D7" w:rsidP="00DC54F7">
            <w:pPr>
              <w:spacing w:after="0" w:line="240" w:lineRule="auto"/>
              <w:jc w:val="both"/>
              <w:rPr>
                <w:rFonts w:ascii="Calibri" w:eastAsia="Times New Roman" w:hAnsi="Calibri" w:cs="Times New Roman"/>
                <w:color w:val="000000"/>
                <w:lang w:eastAsia="en-GB"/>
              </w:rPr>
            </w:pPr>
            <w:r w:rsidRPr="005F5614">
              <w:rPr>
                <w:rFonts w:ascii="Calibri" w:eastAsia="Times New Roman" w:hAnsi="Calibri" w:cs="Times New Roman"/>
                <w:color w:val="000000"/>
                <w:lang w:eastAsia="en-GB"/>
              </w:rPr>
              <w:t>0.7</w:t>
            </w:r>
          </w:p>
        </w:tc>
        <w:tc>
          <w:tcPr>
            <w:tcW w:w="3246" w:type="dxa"/>
            <w:shd w:val="clear" w:color="auto" w:fill="FFFFFF" w:themeFill="background1"/>
            <w:noWrap/>
            <w:vAlign w:val="bottom"/>
            <w:hideMark/>
          </w:tcPr>
          <w:p w14:paraId="7A9E9613" w14:textId="77777777" w:rsidR="001234D7" w:rsidRPr="005F5614" w:rsidRDefault="001234D7" w:rsidP="00DC54F7">
            <w:pPr>
              <w:spacing w:after="0" w:line="240" w:lineRule="auto"/>
              <w:jc w:val="both"/>
              <w:rPr>
                <w:rFonts w:ascii="Calibri" w:eastAsia="Times New Roman" w:hAnsi="Calibri" w:cs="Times New Roman"/>
                <w:color w:val="000000"/>
                <w:lang w:eastAsia="en-GB"/>
              </w:rPr>
            </w:pPr>
            <w:r w:rsidRPr="005F5614">
              <w:rPr>
                <w:rFonts w:ascii="Calibri" w:eastAsia="Times New Roman" w:hAnsi="Calibri" w:cs="Times New Roman"/>
                <w:color w:val="000000"/>
                <w:lang w:eastAsia="en-GB"/>
              </w:rPr>
              <w:t>1.0</w:t>
            </w:r>
          </w:p>
        </w:tc>
      </w:tr>
    </w:tbl>
    <w:p w14:paraId="7EA81A5E" w14:textId="77777777" w:rsidR="003C7DC1" w:rsidRPr="00C563C2" w:rsidRDefault="003C7DC1" w:rsidP="00DC54F7">
      <w:pPr>
        <w:jc w:val="both"/>
        <w:rPr>
          <w:rFonts w:ascii="Arial" w:hAnsi="Arial" w:cs="Arial"/>
          <w:sz w:val="20"/>
          <w:szCs w:val="20"/>
        </w:rPr>
      </w:pPr>
      <w:r w:rsidRPr="00C563C2">
        <w:rPr>
          <w:rFonts w:ascii="Arial" w:hAnsi="Arial" w:cs="Arial"/>
          <w:sz w:val="20"/>
          <w:szCs w:val="20"/>
        </w:rPr>
        <w:t>Source: QOF 2019</w:t>
      </w:r>
    </w:p>
    <w:p w14:paraId="5E38E487" w14:textId="50797313" w:rsidR="002B3A13" w:rsidRPr="00541C2F" w:rsidRDefault="007E5DE6" w:rsidP="00DC54F7">
      <w:pPr>
        <w:spacing w:after="0" w:line="240" w:lineRule="auto"/>
        <w:jc w:val="both"/>
        <w:rPr>
          <w:rFonts w:ascii="Arial" w:hAnsi="Arial" w:cs="Arial"/>
          <w:sz w:val="24"/>
          <w:szCs w:val="24"/>
        </w:rPr>
      </w:pPr>
      <w:r w:rsidRPr="00541C2F">
        <w:rPr>
          <w:rFonts w:ascii="Arial" w:hAnsi="Arial" w:cs="Arial"/>
          <w:sz w:val="24"/>
          <w:szCs w:val="24"/>
        </w:rPr>
        <w:t xml:space="preserve">The estimated prevalence of </w:t>
      </w:r>
      <w:r w:rsidR="00605E46" w:rsidRPr="00541C2F">
        <w:rPr>
          <w:rFonts w:ascii="Arial" w:hAnsi="Arial" w:cs="Arial"/>
          <w:sz w:val="24"/>
          <w:szCs w:val="24"/>
        </w:rPr>
        <w:t xml:space="preserve">atrial fibrillation is </w:t>
      </w:r>
      <w:r w:rsidR="004C1C33" w:rsidRPr="00541C2F">
        <w:rPr>
          <w:rFonts w:ascii="Arial" w:hAnsi="Arial" w:cs="Arial"/>
          <w:sz w:val="24"/>
          <w:szCs w:val="24"/>
        </w:rPr>
        <w:t xml:space="preserve">lower than the average for Wales and the health board. The estimated prevalence of hypertension is </w:t>
      </w:r>
      <w:r w:rsidR="00823C84" w:rsidRPr="00541C2F">
        <w:rPr>
          <w:rFonts w:ascii="Arial" w:hAnsi="Arial" w:cs="Arial"/>
          <w:sz w:val="24"/>
          <w:szCs w:val="24"/>
        </w:rPr>
        <w:t xml:space="preserve">lower than the average for Wales </w:t>
      </w:r>
      <w:r w:rsidR="002A3715" w:rsidRPr="00541C2F">
        <w:rPr>
          <w:rFonts w:ascii="Arial" w:hAnsi="Arial" w:cs="Arial"/>
          <w:sz w:val="24"/>
          <w:szCs w:val="24"/>
        </w:rPr>
        <w:t>but higher than health board.</w:t>
      </w:r>
    </w:p>
    <w:p w14:paraId="2C1DE90E" w14:textId="77777777" w:rsidR="007E5DE6" w:rsidRPr="00541C2F" w:rsidRDefault="007E5DE6" w:rsidP="00DC54F7">
      <w:pPr>
        <w:spacing w:after="0" w:line="240" w:lineRule="auto"/>
        <w:jc w:val="both"/>
        <w:rPr>
          <w:rFonts w:ascii="Arial" w:hAnsi="Arial" w:cs="Arial"/>
          <w:sz w:val="24"/>
          <w:szCs w:val="24"/>
          <w:highlight w:val="cyan"/>
        </w:rPr>
      </w:pPr>
    </w:p>
    <w:p w14:paraId="74B4B503" w14:textId="78312ED3" w:rsidR="001234D7" w:rsidRPr="00541C2F" w:rsidRDefault="002204E4" w:rsidP="00DC54F7">
      <w:pPr>
        <w:pStyle w:val="Caption"/>
        <w:spacing w:before="0" w:after="0"/>
        <w:jc w:val="both"/>
        <w:rPr>
          <w:rFonts w:ascii="Arial" w:hAnsi="Arial" w:cs="Arial"/>
          <w:szCs w:val="24"/>
        </w:rPr>
      </w:pPr>
      <w:r w:rsidRPr="00541C2F">
        <w:rPr>
          <w:rFonts w:ascii="Arial" w:hAnsi="Arial" w:cs="Arial"/>
          <w:szCs w:val="24"/>
        </w:rPr>
        <w:t>Table 12.</w:t>
      </w:r>
      <w:r w:rsidR="00C3786C" w:rsidRPr="00541C2F">
        <w:rPr>
          <w:rFonts w:ascii="Arial" w:hAnsi="Arial" w:cs="Arial"/>
          <w:szCs w:val="24"/>
        </w:rPr>
        <w:t>5</w:t>
      </w:r>
      <w:r w:rsidRPr="00541C2F">
        <w:rPr>
          <w:rFonts w:ascii="Arial" w:hAnsi="Arial" w:cs="Arial"/>
          <w:szCs w:val="24"/>
        </w:rPr>
        <w:t>: Estimated percentage prevalence of hypertension and atrial fibrillation based on patients on GP practice registers by cluster, local authority, health board and Wales, 2019</w:t>
      </w:r>
    </w:p>
    <w:tbl>
      <w:tblPr>
        <w:tblW w:w="982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276"/>
        <w:gridCol w:w="3276"/>
        <w:gridCol w:w="3276"/>
      </w:tblGrid>
      <w:tr w:rsidR="001234D7" w:rsidRPr="002B3A13" w14:paraId="454729A6" w14:textId="77777777" w:rsidTr="000E3E2F">
        <w:trPr>
          <w:trHeight w:val="358"/>
        </w:trPr>
        <w:tc>
          <w:tcPr>
            <w:tcW w:w="3276" w:type="dxa"/>
            <w:shd w:val="clear" w:color="auto" w:fill="8497B0"/>
            <w:noWrap/>
            <w:vAlign w:val="bottom"/>
            <w:hideMark/>
          </w:tcPr>
          <w:p w14:paraId="1FFF6AFF" w14:textId="77777777" w:rsidR="001234D7" w:rsidRPr="002B3A13" w:rsidRDefault="001234D7" w:rsidP="00DC54F7">
            <w:pPr>
              <w:spacing w:after="0" w:line="240" w:lineRule="auto"/>
              <w:jc w:val="both"/>
              <w:rPr>
                <w:rFonts w:ascii="Calibri" w:eastAsia="Times New Roman" w:hAnsi="Calibri" w:cs="Times New Roman"/>
                <w:color w:val="000000"/>
                <w:lang w:eastAsia="en-GB"/>
              </w:rPr>
            </w:pPr>
            <w:r w:rsidRPr="002B3A13">
              <w:rPr>
                <w:rFonts w:ascii="Calibri" w:eastAsia="Times New Roman" w:hAnsi="Calibri" w:cs="Times New Roman"/>
                <w:color w:val="000000"/>
                <w:lang w:eastAsia="en-GB"/>
              </w:rPr>
              <w:t> </w:t>
            </w:r>
          </w:p>
        </w:tc>
        <w:tc>
          <w:tcPr>
            <w:tcW w:w="3276" w:type="dxa"/>
            <w:shd w:val="clear" w:color="auto" w:fill="8497B0"/>
            <w:noWrap/>
            <w:vAlign w:val="bottom"/>
            <w:hideMark/>
          </w:tcPr>
          <w:p w14:paraId="24B886F1" w14:textId="77777777" w:rsidR="001234D7" w:rsidRPr="002B3A13" w:rsidRDefault="001234D7" w:rsidP="00DC54F7">
            <w:pPr>
              <w:spacing w:after="0" w:line="240" w:lineRule="auto"/>
              <w:jc w:val="both"/>
              <w:rPr>
                <w:rFonts w:ascii="Calibri" w:eastAsia="Times New Roman" w:hAnsi="Calibri" w:cs="Times New Roman"/>
                <w:b/>
                <w:bCs/>
                <w:color w:val="FFFFFF"/>
                <w:lang w:eastAsia="en-GB"/>
              </w:rPr>
            </w:pPr>
            <w:r w:rsidRPr="002B3A13">
              <w:rPr>
                <w:rFonts w:ascii="Calibri" w:eastAsia="Times New Roman" w:hAnsi="Calibri" w:cs="Times New Roman"/>
                <w:b/>
                <w:bCs/>
                <w:color w:val="FFFFFF"/>
                <w:lang w:eastAsia="en-GB"/>
              </w:rPr>
              <w:t>Atrial Fibrillation (percentage)</w:t>
            </w:r>
          </w:p>
        </w:tc>
        <w:tc>
          <w:tcPr>
            <w:tcW w:w="3276" w:type="dxa"/>
            <w:shd w:val="clear" w:color="auto" w:fill="8497B0"/>
            <w:noWrap/>
            <w:vAlign w:val="bottom"/>
            <w:hideMark/>
          </w:tcPr>
          <w:p w14:paraId="561D8369" w14:textId="77777777" w:rsidR="001234D7" w:rsidRPr="002B3A13" w:rsidRDefault="001234D7" w:rsidP="00DC54F7">
            <w:pPr>
              <w:spacing w:after="0" w:line="240" w:lineRule="auto"/>
              <w:jc w:val="both"/>
              <w:rPr>
                <w:rFonts w:ascii="Calibri" w:eastAsia="Times New Roman" w:hAnsi="Calibri" w:cs="Times New Roman"/>
                <w:b/>
                <w:bCs/>
                <w:color w:val="FFFFFF"/>
                <w:lang w:eastAsia="en-GB"/>
              </w:rPr>
            </w:pPr>
            <w:r w:rsidRPr="002B3A13">
              <w:rPr>
                <w:rFonts w:ascii="Calibri" w:eastAsia="Times New Roman" w:hAnsi="Calibri" w:cs="Times New Roman"/>
                <w:b/>
                <w:bCs/>
                <w:color w:val="FFFFFF"/>
                <w:lang w:eastAsia="en-GB"/>
              </w:rPr>
              <w:t>Hypertension (percentage)</w:t>
            </w:r>
          </w:p>
        </w:tc>
      </w:tr>
      <w:tr w:rsidR="001234D7" w:rsidRPr="002B3A13" w14:paraId="2ABA249D" w14:textId="77777777" w:rsidTr="000E3E2F">
        <w:trPr>
          <w:trHeight w:val="358"/>
        </w:trPr>
        <w:tc>
          <w:tcPr>
            <w:tcW w:w="3276" w:type="dxa"/>
            <w:shd w:val="clear" w:color="000000" w:fill="F2F2F2"/>
            <w:noWrap/>
            <w:vAlign w:val="bottom"/>
            <w:hideMark/>
          </w:tcPr>
          <w:p w14:paraId="5615A703" w14:textId="77777777" w:rsidR="001234D7" w:rsidRPr="002B3A13" w:rsidRDefault="001234D7" w:rsidP="00DC54F7">
            <w:pPr>
              <w:spacing w:after="0" w:line="240" w:lineRule="auto"/>
              <w:jc w:val="both"/>
              <w:rPr>
                <w:rFonts w:ascii="Calibri" w:eastAsia="Times New Roman" w:hAnsi="Calibri" w:cs="Times New Roman"/>
                <w:color w:val="000000"/>
                <w:lang w:eastAsia="en-GB"/>
              </w:rPr>
            </w:pPr>
            <w:r w:rsidRPr="002B3A13">
              <w:rPr>
                <w:rFonts w:ascii="Calibri" w:eastAsia="Times New Roman" w:hAnsi="Calibri" w:cs="Times New Roman"/>
                <w:color w:val="000000"/>
                <w:lang w:eastAsia="en-GB"/>
              </w:rPr>
              <w:t>Cardiff South West</w:t>
            </w:r>
          </w:p>
        </w:tc>
        <w:tc>
          <w:tcPr>
            <w:tcW w:w="3276" w:type="dxa"/>
            <w:shd w:val="clear" w:color="000000" w:fill="F2F2F2"/>
            <w:noWrap/>
            <w:vAlign w:val="bottom"/>
            <w:hideMark/>
          </w:tcPr>
          <w:p w14:paraId="17B4F289" w14:textId="77777777" w:rsidR="001234D7" w:rsidRPr="002B3A13" w:rsidRDefault="001234D7" w:rsidP="00DC54F7">
            <w:pPr>
              <w:spacing w:after="0" w:line="240" w:lineRule="auto"/>
              <w:jc w:val="both"/>
              <w:rPr>
                <w:rFonts w:ascii="Calibri" w:eastAsia="Times New Roman" w:hAnsi="Calibri" w:cs="Times New Roman"/>
                <w:color w:val="000000"/>
                <w:lang w:eastAsia="en-GB"/>
              </w:rPr>
            </w:pPr>
            <w:r w:rsidRPr="002B3A13">
              <w:rPr>
                <w:rFonts w:ascii="Calibri" w:eastAsia="Times New Roman" w:hAnsi="Calibri" w:cs="Times New Roman"/>
                <w:color w:val="000000"/>
                <w:lang w:eastAsia="en-GB"/>
              </w:rPr>
              <w:t>1.5</w:t>
            </w:r>
          </w:p>
        </w:tc>
        <w:tc>
          <w:tcPr>
            <w:tcW w:w="3276" w:type="dxa"/>
            <w:shd w:val="clear" w:color="000000" w:fill="F2F2F2"/>
            <w:noWrap/>
            <w:vAlign w:val="bottom"/>
            <w:hideMark/>
          </w:tcPr>
          <w:p w14:paraId="13C94072" w14:textId="77777777" w:rsidR="001234D7" w:rsidRPr="002B3A13" w:rsidRDefault="001234D7" w:rsidP="00DC54F7">
            <w:pPr>
              <w:spacing w:after="0" w:line="240" w:lineRule="auto"/>
              <w:jc w:val="both"/>
              <w:rPr>
                <w:rFonts w:ascii="Calibri" w:eastAsia="Times New Roman" w:hAnsi="Calibri" w:cs="Times New Roman"/>
                <w:color w:val="000000"/>
                <w:lang w:eastAsia="en-GB"/>
              </w:rPr>
            </w:pPr>
            <w:r w:rsidRPr="002B3A13">
              <w:rPr>
                <w:rFonts w:ascii="Calibri" w:eastAsia="Times New Roman" w:hAnsi="Calibri" w:cs="Times New Roman"/>
                <w:color w:val="000000"/>
                <w:lang w:eastAsia="en-GB"/>
              </w:rPr>
              <w:t>12.9</w:t>
            </w:r>
          </w:p>
        </w:tc>
      </w:tr>
      <w:tr w:rsidR="001234D7" w:rsidRPr="002B3A13" w14:paraId="5EC0935E" w14:textId="77777777" w:rsidTr="000E3E2F">
        <w:trPr>
          <w:trHeight w:val="358"/>
        </w:trPr>
        <w:tc>
          <w:tcPr>
            <w:tcW w:w="3276" w:type="dxa"/>
            <w:shd w:val="clear" w:color="D9E1F2" w:fill="FFFFFF"/>
            <w:vAlign w:val="bottom"/>
            <w:hideMark/>
          </w:tcPr>
          <w:p w14:paraId="421B74A6" w14:textId="77777777" w:rsidR="001234D7" w:rsidRPr="002B3A13" w:rsidRDefault="001234D7" w:rsidP="00DC54F7">
            <w:pPr>
              <w:spacing w:after="0" w:line="240" w:lineRule="auto"/>
              <w:jc w:val="both"/>
              <w:rPr>
                <w:rFonts w:ascii="Calibri" w:eastAsia="Times New Roman" w:hAnsi="Calibri" w:cs="Times New Roman"/>
                <w:lang w:eastAsia="en-GB"/>
              </w:rPr>
            </w:pPr>
            <w:r w:rsidRPr="002B3A13">
              <w:rPr>
                <w:rFonts w:ascii="Calibri" w:eastAsia="Times New Roman" w:hAnsi="Calibri" w:cs="Times New Roman"/>
                <w:lang w:eastAsia="en-GB"/>
              </w:rPr>
              <w:t>Cardiff</w:t>
            </w:r>
          </w:p>
        </w:tc>
        <w:tc>
          <w:tcPr>
            <w:tcW w:w="3276" w:type="dxa"/>
            <w:shd w:val="clear" w:color="000000" w:fill="FFFFFF"/>
            <w:noWrap/>
            <w:vAlign w:val="bottom"/>
            <w:hideMark/>
          </w:tcPr>
          <w:p w14:paraId="3256E770" w14:textId="77777777" w:rsidR="001234D7" w:rsidRPr="002B3A13" w:rsidRDefault="001234D7" w:rsidP="00DC54F7">
            <w:pPr>
              <w:spacing w:after="0" w:line="240" w:lineRule="auto"/>
              <w:jc w:val="both"/>
              <w:rPr>
                <w:rFonts w:ascii="Calibri" w:eastAsia="Times New Roman" w:hAnsi="Calibri" w:cs="Times New Roman"/>
                <w:color w:val="000000"/>
                <w:lang w:eastAsia="en-GB"/>
              </w:rPr>
            </w:pPr>
            <w:r w:rsidRPr="002B3A13">
              <w:rPr>
                <w:rFonts w:ascii="Calibri" w:eastAsia="Times New Roman" w:hAnsi="Calibri" w:cs="Times New Roman"/>
                <w:color w:val="000000"/>
                <w:lang w:eastAsia="en-GB"/>
              </w:rPr>
              <w:t>1.6</w:t>
            </w:r>
          </w:p>
        </w:tc>
        <w:tc>
          <w:tcPr>
            <w:tcW w:w="3276" w:type="dxa"/>
            <w:shd w:val="clear" w:color="000000" w:fill="FFFFFF"/>
            <w:noWrap/>
            <w:vAlign w:val="bottom"/>
            <w:hideMark/>
          </w:tcPr>
          <w:p w14:paraId="4AF97314" w14:textId="77777777" w:rsidR="001234D7" w:rsidRPr="002B3A13" w:rsidRDefault="001234D7" w:rsidP="00DC54F7">
            <w:pPr>
              <w:spacing w:after="0" w:line="240" w:lineRule="auto"/>
              <w:jc w:val="both"/>
              <w:rPr>
                <w:rFonts w:ascii="Calibri" w:eastAsia="Times New Roman" w:hAnsi="Calibri" w:cs="Times New Roman"/>
                <w:color w:val="000000"/>
                <w:lang w:eastAsia="en-GB"/>
              </w:rPr>
            </w:pPr>
            <w:r w:rsidRPr="002B3A13">
              <w:rPr>
                <w:rFonts w:ascii="Calibri" w:eastAsia="Times New Roman" w:hAnsi="Calibri" w:cs="Times New Roman"/>
                <w:color w:val="000000"/>
                <w:lang w:eastAsia="en-GB"/>
              </w:rPr>
              <w:t>11.8</w:t>
            </w:r>
          </w:p>
        </w:tc>
      </w:tr>
      <w:tr w:rsidR="001234D7" w:rsidRPr="002B3A13" w14:paraId="2E12DD03" w14:textId="77777777" w:rsidTr="000E3E2F">
        <w:trPr>
          <w:trHeight w:val="358"/>
        </w:trPr>
        <w:tc>
          <w:tcPr>
            <w:tcW w:w="3276" w:type="dxa"/>
            <w:shd w:val="clear" w:color="D9E1F2" w:fill="F2F2F2"/>
            <w:vAlign w:val="bottom"/>
            <w:hideMark/>
          </w:tcPr>
          <w:p w14:paraId="1CE25378" w14:textId="77777777" w:rsidR="001234D7" w:rsidRPr="002B3A13" w:rsidRDefault="001234D7" w:rsidP="00DC54F7">
            <w:pPr>
              <w:spacing w:after="0" w:line="240" w:lineRule="auto"/>
              <w:jc w:val="both"/>
              <w:rPr>
                <w:rFonts w:ascii="Calibri" w:eastAsia="Times New Roman" w:hAnsi="Calibri" w:cs="Times New Roman"/>
                <w:lang w:eastAsia="en-GB"/>
              </w:rPr>
            </w:pPr>
            <w:r w:rsidRPr="002B3A13">
              <w:rPr>
                <w:rFonts w:ascii="Calibri" w:eastAsia="Times New Roman" w:hAnsi="Calibri" w:cs="Times New Roman"/>
                <w:lang w:eastAsia="en-GB"/>
              </w:rPr>
              <w:t>Cardiff &amp; Vale UHB</w:t>
            </w:r>
          </w:p>
        </w:tc>
        <w:tc>
          <w:tcPr>
            <w:tcW w:w="3276" w:type="dxa"/>
            <w:shd w:val="clear" w:color="000000" w:fill="F2F2F2"/>
            <w:noWrap/>
            <w:vAlign w:val="bottom"/>
            <w:hideMark/>
          </w:tcPr>
          <w:p w14:paraId="31A8DFA9" w14:textId="77777777" w:rsidR="001234D7" w:rsidRPr="002B3A13" w:rsidRDefault="001234D7" w:rsidP="00DC54F7">
            <w:pPr>
              <w:spacing w:after="0" w:line="240" w:lineRule="auto"/>
              <w:jc w:val="both"/>
              <w:rPr>
                <w:rFonts w:ascii="Calibri" w:eastAsia="Times New Roman" w:hAnsi="Calibri" w:cs="Times New Roman"/>
                <w:color w:val="000000"/>
                <w:lang w:eastAsia="en-GB"/>
              </w:rPr>
            </w:pPr>
            <w:r w:rsidRPr="002B3A13">
              <w:rPr>
                <w:rFonts w:ascii="Calibri" w:eastAsia="Times New Roman" w:hAnsi="Calibri" w:cs="Times New Roman"/>
                <w:color w:val="000000"/>
                <w:lang w:eastAsia="en-GB"/>
              </w:rPr>
              <w:t>1.8</w:t>
            </w:r>
          </w:p>
        </w:tc>
        <w:tc>
          <w:tcPr>
            <w:tcW w:w="3276" w:type="dxa"/>
            <w:shd w:val="clear" w:color="000000" w:fill="F2F2F2"/>
            <w:noWrap/>
            <w:vAlign w:val="bottom"/>
            <w:hideMark/>
          </w:tcPr>
          <w:p w14:paraId="369931A8" w14:textId="77777777" w:rsidR="001234D7" w:rsidRPr="002B3A13" w:rsidRDefault="001234D7" w:rsidP="00DC54F7">
            <w:pPr>
              <w:spacing w:after="0" w:line="240" w:lineRule="auto"/>
              <w:jc w:val="both"/>
              <w:rPr>
                <w:rFonts w:ascii="Calibri" w:eastAsia="Times New Roman" w:hAnsi="Calibri" w:cs="Times New Roman"/>
                <w:color w:val="000000"/>
                <w:lang w:eastAsia="en-GB"/>
              </w:rPr>
            </w:pPr>
            <w:r w:rsidRPr="002B3A13">
              <w:rPr>
                <w:rFonts w:ascii="Calibri" w:eastAsia="Times New Roman" w:hAnsi="Calibri" w:cs="Times New Roman"/>
                <w:color w:val="000000"/>
                <w:lang w:eastAsia="en-GB"/>
              </w:rPr>
              <w:t>12.6</w:t>
            </w:r>
          </w:p>
        </w:tc>
      </w:tr>
      <w:tr w:rsidR="001234D7" w:rsidRPr="002B3A13" w14:paraId="4CF8A3C6" w14:textId="77777777" w:rsidTr="000E3E2F">
        <w:trPr>
          <w:trHeight w:val="358"/>
        </w:trPr>
        <w:tc>
          <w:tcPr>
            <w:tcW w:w="3276" w:type="dxa"/>
            <w:shd w:val="clear" w:color="D9E1F2" w:fill="FFFFFF"/>
            <w:vAlign w:val="bottom"/>
            <w:hideMark/>
          </w:tcPr>
          <w:p w14:paraId="24B593E8" w14:textId="77777777" w:rsidR="001234D7" w:rsidRPr="002B3A13" w:rsidRDefault="001234D7" w:rsidP="00DC54F7">
            <w:pPr>
              <w:spacing w:after="0" w:line="240" w:lineRule="auto"/>
              <w:jc w:val="both"/>
              <w:rPr>
                <w:rFonts w:ascii="Calibri" w:eastAsia="Times New Roman" w:hAnsi="Calibri" w:cs="Times New Roman"/>
                <w:lang w:eastAsia="en-GB"/>
              </w:rPr>
            </w:pPr>
            <w:r w:rsidRPr="002B3A13">
              <w:rPr>
                <w:rFonts w:ascii="Calibri" w:eastAsia="Times New Roman" w:hAnsi="Calibri" w:cs="Times New Roman"/>
                <w:lang w:eastAsia="en-GB"/>
              </w:rPr>
              <w:t>Wales</w:t>
            </w:r>
          </w:p>
        </w:tc>
        <w:tc>
          <w:tcPr>
            <w:tcW w:w="3276" w:type="dxa"/>
            <w:shd w:val="clear" w:color="E2EFDA" w:fill="FFFFFF"/>
            <w:noWrap/>
            <w:vAlign w:val="bottom"/>
            <w:hideMark/>
          </w:tcPr>
          <w:p w14:paraId="64F8009F" w14:textId="77777777" w:rsidR="001234D7" w:rsidRPr="002B3A13" w:rsidRDefault="001234D7" w:rsidP="00DC54F7">
            <w:pPr>
              <w:spacing w:after="0" w:line="240" w:lineRule="auto"/>
              <w:jc w:val="both"/>
              <w:rPr>
                <w:rFonts w:ascii="Calibri" w:eastAsia="Times New Roman" w:hAnsi="Calibri" w:cs="Times New Roman"/>
                <w:color w:val="000000"/>
                <w:lang w:eastAsia="en-GB"/>
              </w:rPr>
            </w:pPr>
            <w:r w:rsidRPr="002B3A13">
              <w:rPr>
                <w:rFonts w:ascii="Calibri" w:eastAsia="Times New Roman" w:hAnsi="Calibri" w:cs="Times New Roman"/>
                <w:color w:val="000000"/>
                <w:lang w:eastAsia="en-GB"/>
              </w:rPr>
              <w:t>2.3</w:t>
            </w:r>
          </w:p>
        </w:tc>
        <w:tc>
          <w:tcPr>
            <w:tcW w:w="3276" w:type="dxa"/>
            <w:shd w:val="clear" w:color="E2EFDA" w:fill="FFFFFF"/>
            <w:noWrap/>
            <w:vAlign w:val="bottom"/>
            <w:hideMark/>
          </w:tcPr>
          <w:p w14:paraId="193CCFB2" w14:textId="77777777" w:rsidR="001234D7" w:rsidRPr="002B3A13" w:rsidRDefault="001234D7" w:rsidP="00DC54F7">
            <w:pPr>
              <w:spacing w:after="0" w:line="240" w:lineRule="auto"/>
              <w:jc w:val="both"/>
              <w:rPr>
                <w:rFonts w:ascii="Calibri" w:eastAsia="Times New Roman" w:hAnsi="Calibri" w:cs="Times New Roman"/>
                <w:color w:val="000000"/>
                <w:lang w:eastAsia="en-GB"/>
              </w:rPr>
            </w:pPr>
            <w:r w:rsidRPr="002B3A13">
              <w:rPr>
                <w:rFonts w:ascii="Calibri" w:eastAsia="Times New Roman" w:hAnsi="Calibri" w:cs="Times New Roman"/>
                <w:color w:val="000000"/>
                <w:lang w:eastAsia="en-GB"/>
              </w:rPr>
              <w:t>15.8</w:t>
            </w:r>
          </w:p>
        </w:tc>
      </w:tr>
    </w:tbl>
    <w:p w14:paraId="01F10967" w14:textId="77777777" w:rsidR="003C7DC1" w:rsidRPr="00C563C2" w:rsidRDefault="003C7DC1" w:rsidP="00DC54F7">
      <w:pPr>
        <w:jc w:val="both"/>
        <w:rPr>
          <w:rFonts w:ascii="Arial" w:hAnsi="Arial" w:cs="Arial"/>
          <w:sz w:val="20"/>
          <w:szCs w:val="20"/>
        </w:rPr>
      </w:pPr>
      <w:r w:rsidRPr="00C563C2">
        <w:rPr>
          <w:rFonts w:ascii="Arial" w:hAnsi="Arial" w:cs="Arial"/>
          <w:sz w:val="20"/>
          <w:szCs w:val="20"/>
        </w:rPr>
        <w:t>Source: QOF 2019</w:t>
      </w:r>
    </w:p>
    <w:p w14:paraId="5C367C8E" w14:textId="17FA85D5" w:rsidR="00FD6000" w:rsidRPr="00A63BF0" w:rsidRDefault="00FD6000" w:rsidP="00DC54F7">
      <w:pPr>
        <w:spacing w:after="0" w:line="240" w:lineRule="auto"/>
        <w:jc w:val="both"/>
        <w:rPr>
          <w:rFonts w:ascii="Arial" w:hAnsi="Arial" w:cs="Arial"/>
          <w:sz w:val="24"/>
          <w:szCs w:val="24"/>
        </w:rPr>
      </w:pPr>
      <w:r w:rsidRPr="00A63BF0">
        <w:rPr>
          <w:rFonts w:ascii="Arial" w:hAnsi="Arial" w:cs="Arial"/>
          <w:sz w:val="24"/>
          <w:szCs w:val="24"/>
        </w:rPr>
        <w:t xml:space="preserve">Many of the factors that contribute to the inequalities in health and well-being are preventable. Table </w:t>
      </w:r>
      <w:r w:rsidR="00BF2DD5" w:rsidRPr="00A63BF0">
        <w:rPr>
          <w:rFonts w:ascii="Arial" w:hAnsi="Arial" w:cs="Arial"/>
          <w:sz w:val="24"/>
          <w:szCs w:val="24"/>
        </w:rPr>
        <w:t>12</w:t>
      </w:r>
      <w:r w:rsidRPr="00A63BF0">
        <w:rPr>
          <w:rFonts w:ascii="Arial" w:hAnsi="Arial" w:cs="Arial"/>
          <w:sz w:val="24"/>
          <w:szCs w:val="24"/>
        </w:rPr>
        <w:t>.</w:t>
      </w:r>
      <w:r w:rsidR="005A5173" w:rsidRPr="00A63BF0">
        <w:rPr>
          <w:rFonts w:ascii="Arial" w:hAnsi="Arial" w:cs="Arial"/>
          <w:sz w:val="24"/>
          <w:szCs w:val="24"/>
        </w:rPr>
        <w:t>6</w:t>
      </w:r>
      <w:r w:rsidRPr="00A63BF0">
        <w:rPr>
          <w:rFonts w:ascii="Arial" w:hAnsi="Arial" w:cs="Arial"/>
          <w:sz w:val="24"/>
          <w:szCs w:val="24"/>
        </w:rPr>
        <w:t xml:space="preserve"> shows the percentage of adults self-reporting five</w:t>
      </w:r>
      <w:r w:rsidR="000E3E2F" w:rsidRPr="00A63BF0">
        <w:rPr>
          <w:rFonts w:ascii="Arial" w:hAnsi="Arial" w:cs="Arial"/>
          <w:sz w:val="24"/>
          <w:szCs w:val="24"/>
        </w:rPr>
        <w:t xml:space="preserve"> </w:t>
      </w:r>
      <w:r w:rsidRPr="00A63BF0">
        <w:rPr>
          <w:rFonts w:ascii="Arial" w:hAnsi="Arial" w:cs="Arial"/>
          <w:sz w:val="24"/>
          <w:szCs w:val="24"/>
        </w:rPr>
        <w:t xml:space="preserve">behaviours, where a lower percentage for smoking and drinking above the guidelines is seen as more beneficial </w:t>
      </w:r>
      <w:r w:rsidR="00BF2DD5" w:rsidRPr="00A63BF0">
        <w:rPr>
          <w:rFonts w:ascii="Arial" w:hAnsi="Arial" w:cs="Arial"/>
          <w:sz w:val="24"/>
          <w:szCs w:val="24"/>
        </w:rPr>
        <w:t xml:space="preserve">to health and well-being </w:t>
      </w:r>
      <w:r w:rsidRPr="00A63BF0">
        <w:rPr>
          <w:rFonts w:ascii="Arial" w:hAnsi="Arial" w:cs="Arial"/>
          <w:sz w:val="24"/>
          <w:szCs w:val="24"/>
        </w:rPr>
        <w:t xml:space="preserve">as is a higher percentage for working age adults of healthy weight, meeting the physical activity guidelines and consuming </w:t>
      </w:r>
      <w:r w:rsidR="00A63BF0">
        <w:rPr>
          <w:rFonts w:ascii="Arial" w:hAnsi="Arial" w:cs="Arial"/>
          <w:sz w:val="24"/>
          <w:szCs w:val="24"/>
        </w:rPr>
        <w:t>five</w:t>
      </w:r>
      <w:r w:rsidRPr="00A63BF0">
        <w:rPr>
          <w:rFonts w:ascii="Arial" w:hAnsi="Arial" w:cs="Arial"/>
          <w:sz w:val="24"/>
          <w:szCs w:val="24"/>
        </w:rPr>
        <w:t xml:space="preserve"> a day. </w:t>
      </w:r>
    </w:p>
    <w:p w14:paraId="63C6832C" w14:textId="77777777" w:rsidR="007545B0" w:rsidRPr="00A63BF0" w:rsidRDefault="007545B0" w:rsidP="00DC54F7">
      <w:pPr>
        <w:spacing w:after="0" w:line="240" w:lineRule="auto"/>
        <w:jc w:val="both"/>
        <w:rPr>
          <w:rFonts w:ascii="Arial" w:hAnsi="Arial" w:cs="Arial"/>
          <w:sz w:val="24"/>
          <w:szCs w:val="24"/>
        </w:rPr>
      </w:pPr>
    </w:p>
    <w:p w14:paraId="315530A6" w14:textId="382E502C" w:rsidR="00FD6000" w:rsidRPr="00A63BF0" w:rsidRDefault="00FD6000" w:rsidP="00DC54F7">
      <w:pPr>
        <w:spacing w:after="0" w:line="240" w:lineRule="auto"/>
        <w:jc w:val="both"/>
        <w:rPr>
          <w:rFonts w:ascii="Arial" w:hAnsi="Arial" w:cs="Arial"/>
          <w:color w:val="000000" w:themeColor="text1"/>
          <w:sz w:val="24"/>
          <w:szCs w:val="24"/>
        </w:rPr>
      </w:pPr>
      <w:r w:rsidRPr="00A63BF0">
        <w:rPr>
          <w:rFonts w:ascii="Arial" w:hAnsi="Arial" w:cs="Arial"/>
          <w:sz w:val="24"/>
          <w:szCs w:val="24"/>
        </w:rPr>
        <w:t xml:space="preserve">Overall, the percentage of adults reporting behaviours which support healthy outcomes in Cardiff </w:t>
      </w:r>
      <w:r w:rsidR="00A17786" w:rsidRPr="00A63BF0">
        <w:rPr>
          <w:rFonts w:ascii="Arial" w:hAnsi="Arial" w:cs="Arial"/>
          <w:sz w:val="24"/>
          <w:szCs w:val="24"/>
        </w:rPr>
        <w:t>South West</w:t>
      </w:r>
      <w:r w:rsidRPr="00A63BF0">
        <w:rPr>
          <w:rFonts w:ascii="Arial" w:hAnsi="Arial" w:cs="Arial"/>
          <w:sz w:val="24"/>
          <w:szCs w:val="24"/>
        </w:rPr>
        <w:t xml:space="preserve"> cluster is lower than</w:t>
      </w:r>
      <w:r w:rsidRPr="00A63BF0">
        <w:rPr>
          <w:rFonts w:ascii="Arial" w:hAnsi="Arial" w:cs="Arial"/>
          <w:color w:val="000000"/>
          <w:sz w:val="24"/>
          <w:szCs w:val="24"/>
        </w:rPr>
        <w:t xml:space="preserve"> Cardiff and Vale University </w:t>
      </w:r>
      <w:r w:rsidRPr="00A63BF0">
        <w:rPr>
          <w:rFonts w:ascii="Arial" w:hAnsi="Arial" w:cs="Arial"/>
          <w:sz w:val="24"/>
          <w:szCs w:val="24"/>
        </w:rPr>
        <w:t xml:space="preserve">Health Board and the average for Wales, except for drinking above the guidelines. </w:t>
      </w:r>
    </w:p>
    <w:p w14:paraId="461E8CD0" w14:textId="6FD2C634" w:rsidR="0085243E" w:rsidRDefault="0085243E" w:rsidP="00DC54F7">
      <w:pPr>
        <w:spacing w:after="0" w:line="240" w:lineRule="auto"/>
        <w:jc w:val="both"/>
        <w:rPr>
          <w:rFonts w:ascii="Arial" w:hAnsi="Arial" w:cs="Arial"/>
          <w:highlight w:val="cyan"/>
        </w:rPr>
      </w:pPr>
    </w:p>
    <w:p w14:paraId="040AA0E5" w14:textId="26CB292A" w:rsidR="00CD7A5C" w:rsidRDefault="00CD7A5C" w:rsidP="00DC54F7">
      <w:pPr>
        <w:jc w:val="both"/>
        <w:rPr>
          <w:rFonts w:ascii="Arial" w:hAnsi="Arial" w:cs="Arial"/>
          <w:highlight w:val="cyan"/>
        </w:rPr>
      </w:pPr>
      <w:r>
        <w:rPr>
          <w:rFonts w:ascii="Arial" w:hAnsi="Arial" w:cs="Arial"/>
          <w:highlight w:val="cyan"/>
        </w:rPr>
        <w:br w:type="page"/>
      </w:r>
    </w:p>
    <w:p w14:paraId="109AB054" w14:textId="0A509F96" w:rsidR="0085243E" w:rsidRPr="00CE4321" w:rsidRDefault="002204E4" w:rsidP="00DC54F7">
      <w:pPr>
        <w:pStyle w:val="Caption"/>
        <w:spacing w:before="0" w:after="0"/>
        <w:jc w:val="both"/>
        <w:rPr>
          <w:rFonts w:ascii="Arial" w:hAnsi="Arial" w:cs="Arial"/>
          <w:szCs w:val="24"/>
        </w:rPr>
      </w:pPr>
      <w:r w:rsidRPr="00CE4321">
        <w:rPr>
          <w:rFonts w:ascii="Arial" w:hAnsi="Arial" w:cs="Arial"/>
          <w:szCs w:val="24"/>
        </w:rPr>
        <w:lastRenderedPageBreak/>
        <w:t>Table 12.</w:t>
      </w:r>
      <w:r w:rsidR="005A5173" w:rsidRPr="00CE4321">
        <w:rPr>
          <w:rFonts w:ascii="Arial" w:hAnsi="Arial" w:cs="Arial"/>
          <w:szCs w:val="24"/>
        </w:rPr>
        <w:t>6</w:t>
      </w:r>
      <w:r w:rsidRPr="00CE4321">
        <w:rPr>
          <w:rFonts w:ascii="Arial" w:hAnsi="Arial" w:cs="Arial"/>
          <w:szCs w:val="24"/>
        </w:rPr>
        <w:t>: Percentage of adults (aged 16 years and over) reporting behaviours by cluster, health board and Wales, 2016 to 2018</w:t>
      </w:r>
    </w:p>
    <w:tbl>
      <w:tblPr>
        <w:tblW w:w="9631"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9"/>
        <w:gridCol w:w="1255"/>
        <w:gridCol w:w="250"/>
        <w:gridCol w:w="1005"/>
        <w:gridCol w:w="501"/>
        <w:gridCol w:w="754"/>
        <w:gridCol w:w="752"/>
        <w:gridCol w:w="503"/>
        <w:gridCol w:w="1003"/>
        <w:gridCol w:w="252"/>
        <w:gridCol w:w="1257"/>
      </w:tblGrid>
      <w:tr w:rsidR="0066400B" w:rsidRPr="0066400B" w14:paraId="08AB11D8" w14:textId="77777777" w:rsidTr="003423C9">
        <w:trPr>
          <w:trHeight w:val="377"/>
        </w:trPr>
        <w:tc>
          <w:tcPr>
            <w:tcW w:w="2099" w:type="dxa"/>
            <w:shd w:val="clear" w:color="auto" w:fill="8497B0"/>
            <w:noWrap/>
            <w:vAlign w:val="center"/>
            <w:hideMark/>
          </w:tcPr>
          <w:p w14:paraId="66BC7D0A" w14:textId="77777777" w:rsidR="0066400B" w:rsidRPr="00CE4321" w:rsidRDefault="0066400B" w:rsidP="00DC54F7">
            <w:pPr>
              <w:spacing w:after="0" w:line="240" w:lineRule="auto"/>
              <w:jc w:val="both"/>
              <w:rPr>
                <w:rFonts w:eastAsia="Times New Roman" w:cs="Calibri"/>
                <w:b/>
                <w:bCs/>
                <w:color w:val="FFFFFF"/>
                <w:lang w:eastAsia="en-GB"/>
              </w:rPr>
            </w:pPr>
            <w:r w:rsidRPr="00CE4321">
              <w:rPr>
                <w:rFonts w:eastAsia="Times New Roman" w:cs="Calibri"/>
                <w:b/>
                <w:bCs/>
                <w:color w:val="FFFFFF"/>
                <w:lang w:eastAsia="en-GB"/>
              </w:rPr>
              <w:t> </w:t>
            </w:r>
          </w:p>
        </w:tc>
        <w:tc>
          <w:tcPr>
            <w:tcW w:w="1505" w:type="dxa"/>
            <w:gridSpan w:val="2"/>
            <w:shd w:val="clear" w:color="auto" w:fill="8497B0"/>
            <w:noWrap/>
            <w:vAlign w:val="center"/>
            <w:hideMark/>
          </w:tcPr>
          <w:p w14:paraId="6815CF6F" w14:textId="77777777" w:rsidR="0066400B" w:rsidRPr="00CE4321" w:rsidRDefault="0066400B" w:rsidP="00DC54F7">
            <w:pPr>
              <w:spacing w:after="0" w:line="240" w:lineRule="auto"/>
              <w:jc w:val="both"/>
              <w:rPr>
                <w:rFonts w:eastAsia="Times New Roman" w:cs="Arial"/>
                <w:b/>
                <w:bCs/>
                <w:color w:val="FFFFFF"/>
                <w:lang w:eastAsia="en-GB"/>
              </w:rPr>
            </w:pPr>
            <w:r w:rsidRPr="00CE4321">
              <w:rPr>
                <w:rFonts w:eastAsia="Times New Roman" w:cs="Arial"/>
                <w:b/>
                <w:bCs/>
                <w:color w:val="FFFFFF"/>
                <w:lang w:eastAsia="en-GB"/>
              </w:rPr>
              <w:t>Count</w:t>
            </w:r>
          </w:p>
        </w:tc>
        <w:tc>
          <w:tcPr>
            <w:tcW w:w="1506" w:type="dxa"/>
            <w:gridSpan w:val="2"/>
            <w:shd w:val="clear" w:color="auto" w:fill="8497B0"/>
            <w:noWrap/>
            <w:vAlign w:val="center"/>
            <w:hideMark/>
          </w:tcPr>
          <w:p w14:paraId="27C3B742" w14:textId="77777777" w:rsidR="0066400B" w:rsidRPr="00CE4321" w:rsidRDefault="0066400B" w:rsidP="00DC54F7">
            <w:pPr>
              <w:spacing w:after="0" w:line="240" w:lineRule="auto"/>
              <w:jc w:val="both"/>
              <w:rPr>
                <w:rFonts w:eastAsia="Times New Roman" w:cs="Arial"/>
                <w:b/>
                <w:bCs/>
                <w:color w:val="FFFFFF"/>
                <w:lang w:eastAsia="en-GB"/>
              </w:rPr>
            </w:pPr>
            <w:r w:rsidRPr="00CE4321">
              <w:rPr>
                <w:rFonts w:eastAsia="Times New Roman" w:cs="Arial"/>
                <w:b/>
                <w:bCs/>
                <w:color w:val="FFFFFF"/>
                <w:lang w:eastAsia="en-GB"/>
              </w:rPr>
              <w:t> </w:t>
            </w:r>
          </w:p>
        </w:tc>
        <w:tc>
          <w:tcPr>
            <w:tcW w:w="1506" w:type="dxa"/>
            <w:gridSpan w:val="2"/>
            <w:shd w:val="clear" w:color="auto" w:fill="8497B0"/>
            <w:noWrap/>
            <w:vAlign w:val="center"/>
            <w:hideMark/>
          </w:tcPr>
          <w:p w14:paraId="1A5A21F7" w14:textId="77777777" w:rsidR="0066400B" w:rsidRPr="00CE4321" w:rsidRDefault="0066400B" w:rsidP="00DC54F7">
            <w:pPr>
              <w:spacing w:after="0" w:line="240" w:lineRule="auto"/>
              <w:jc w:val="both"/>
              <w:rPr>
                <w:rFonts w:eastAsia="Times New Roman" w:cs="Arial"/>
                <w:b/>
                <w:bCs/>
                <w:color w:val="FFFFFF"/>
                <w:lang w:eastAsia="en-GB"/>
              </w:rPr>
            </w:pPr>
            <w:r w:rsidRPr="00CE4321">
              <w:rPr>
                <w:rFonts w:eastAsia="Times New Roman" w:cs="Arial"/>
                <w:b/>
                <w:bCs/>
                <w:color w:val="FFFFFF"/>
                <w:lang w:eastAsia="en-GB"/>
              </w:rPr>
              <w:t> </w:t>
            </w:r>
          </w:p>
        </w:tc>
        <w:tc>
          <w:tcPr>
            <w:tcW w:w="1506" w:type="dxa"/>
            <w:gridSpan w:val="2"/>
            <w:shd w:val="clear" w:color="auto" w:fill="8497B0"/>
            <w:noWrap/>
            <w:vAlign w:val="center"/>
            <w:hideMark/>
          </w:tcPr>
          <w:p w14:paraId="0ED5C30C" w14:textId="77777777" w:rsidR="0066400B" w:rsidRPr="00CE4321" w:rsidRDefault="0066400B" w:rsidP="00DC54F7">
            <w:pPr>
              <w:spacing w:after="0" w:line="240" w:lineRule="auto"/>
              <w:jc w:val="both"/>
              <w:rPr>
                <w:rFonts w:eastAsia="Times New Roman" w:cs="Calibri"/>
                <w:b/>
                <w:bCs/>
                <w:color w:val="FFFFFF"/>
                <w:lang w:eastAsia="en-GB"/>
              </w:rPr>
            </w:pPr>
            <w:r w:rsidRPr="00CE4321">
              <w:rPr>
                <w:rFonts w:eastAsia="Times New Roman" w:cs="Calibri"/>
                <w:b/>
                <w:bCs/>
                <w:color w:val="FFFFFF"/>
                <w:lang w:eastAsia="en-GB"/>
              </w:rPr>
              <w:t>Prevalence</w:t>
            </w:r>
          </w:p>
        </w:tc>
        <w:tc>
          <w:tcPr>
            <w:tcW w:w="1509" w:type="dxa"/>
            <w:gridSpan w:val="2"/>
            <w:shd w:val="clear" w:color="auto" w:fill="8497B0"/>
            <w:noWrap/>
            <w:vAlign w:val="center"/>
            <w:hideMark/>
          </w:tcPr>
          <w:p w14:paraId="39A84D52" w14:textId="77777777" w:rsidR="0066400B" w:rsidRPr="00CE4321" w:rsidRDefault="0066400B" w:rsidP="00DC54F7">
            <w:pPr>
              <w:spacing w:after="0" w:line="240" w:lineRule="auto"/>
              <w:jc w:val="both"/>
              <w:rPr>
                <w:rFonts w:eastAsia="Times New Roman" w:cs="Calibri"/>
                <w:b/>
                <w:bCs/>
                <w:color w:val="FFFFFF"/>
                <w:lang w:eastAsia="en-GB"/>
              </w:rPr>
            </w:pPr>
            <w:r w:rsidRPr="00CE4321">
              <w:rPr>
                <w:rFonts w:eastAsia="Times New Roman" w:cs="Calibri"/>
                <w:b/>
                <w:bCs/>
                <w:color w:val="FFFFFF"/>
                <w:lang w:eastAsia="en-GB"/>
              </w:rPr>
              <w:t> </w:t>
            </w:r>
          </w:p>
        </w:tc>
      </w:tr>
      <w:tr w:rsidR="0066400B" w:rsidRPr="0066400B" w14:paraId="03D3AB13" w14:textId="77777777" w:rsidTr="003423C9">
        <w:trPr>
          <w:trHeight w:val="1713"/>
        </w:trPr>
        <w:tc>
          <w:tcPr>
            <w:tcW w:w="2099" w:type="dxa"/>
            <w:shd w:val="clear" w:color="auto" w:fill="8497B0"/>
            <w:vAlign w:val="center"/>
            <w:hideMark/>
          </w:tcPr>
          <w:p w14:paraId="25D830C9" w14:textId="77777777" w:rsidR="0066400B" w:rsidRPr="00CE4321" w:rsidRDefault="0066400B" w:rsidP="00DC54F7">
            <w:pPr>
              <w:spacing w:after="0" w:line="240" w:lineRule="auto"/>
              <w:jc w:val="both"/>
              <w:rPr>
                <w:rFonts w:eastAsia="Times New Roman" w:cs="Arial"/>
                <w:b/>
                <w:bCs/>
                <w:color w:val="FFFFFF"/>
                <w:lang w:eastAsia="en-GB"/>
              </w:rPr>
            </w:pPr>
            <w:r w:rsidRPr="00CE4321">
              <w:rPr>
                <w:rFonts w:eastAsia="Times New Roman" w:cs="Arial"/>
                <w:b/>
                <w:bCs/>
                <w:color w:val="FFFFFF"/>
                <w:lang w:eastAsia="en-GB"/>
              </w:rPr>
              <w:t>GP Cluster Name</w:t>
            </w:r>
          </w:p>
        </w:tc>
        <w:tc>
          <w:tcPr>
            <w:tcW w:w="1255" w:type="dxa"/>
            <w:shd w:val="clear" w:color="auto" w:fill="8497B0"/>
            <w:vAlign w:val="center"/>
            <w:hideMark/>
          </w:tcPr>
          <w:p w14:paraId="71D45407" w14:textId="77777777" w:rsidR="0066400B" w:rsidRPr="00CE4321" w:rsidRDefault="0066400B" w:rsidP="00DC54F7">
            <w:pPr>
              <w:spacing w:after="0" w:line="240" w:lineRule="auto"/>
              <w:jc w:val="both"/>
              <w:rPr>
                <w:rFonts w:eastAsia="Times New Roman" w:cs="Arial"/>
                <w:b/>
                <w:bCs/>
                <w:color w:val="FFFFFF"/>
                <w:lang w:eastAsia="en-GB"/>
              </w:rPr>
            </w:pPr>
            <w:r w:rsidRPr="00CE4321">
              <w:rPr>
                <w:rFonts w:eastAsia="Times New Roman" w:cs="Arial"/>
                <w:b/>
                <w:bCs/>
                <w:color w:val="FFFFFF"/>
                <w:lang w:eastAsia="en-GB"/>
              </w:rPr>
              <w:t>GP cluster population aged 16+</w:t>
            </w:r>
          </w:p>
        </w:tc>
        <w:tc>
          <w:tcPr>
            <w:tcW w:w="1255" w:type="dxa"/>
            <w:gridSpan w:val="2"/>
            <w:shd w:val="clear" w:color="auto" w:fill="8497B0"/>
            <w:vAlign w:val="center"/>
            <w:hideMark/>
          </w:tcPr>
          <w:p w14:paraId="79A8758B" w14:textId="77777777" w:rsidR="0066400B" w:rsidRPr="00CE4321" w:rsidRDefault="0066400B" w:rsidP="00DC54F7">
            <w:pPr>
              <w:spacing w:after="0" w:line="240" w:lineRule="auto"/>
              <w:jc w:val="both"/>
              <w:rPr>
                <w:rFonts w:eastAsia="Times New Roman" w:cs="Arial"/>
                <w:b/>
                <w:bCs/>
                <w:color w:val="FFFFFF"/>
                <w:lang w:eastAsia="en-GB"/>
              </w:rPr>
            </w:pPr>
            <w:r w:rsidRPr="00CE4321">
              <w:rPr>
                <w:rFonts w:eastAsia="Times New Roman" w:cs="Arial"/>
                <w:b/>
                <w:bCs/>
                <w:color w:val="FFFFFF"/>
                <w:lang w:eastAsia="en-GB"/>
              </w:rPr>
              <w:t>Smoking</w:t>
            </w:r>
          </w:p>
        </w:tc>
        <w:tc>
          <w:tcPr>
            <w:tcW w:w="1255" w:type="dxa"/>
            <w:gridSpan w:val="2"/>
            <w:shd w:val="clear" w:color="auto" w:fill="8497B0"/>
            <w:vAlign w:val="center"/>
            <w:hideMark/>
          </w:tcPr>
          <w:p w14:paraId="4EB25001" w14:textId="77777777" w:rsidR="0066400B" w:rsidRPr="00CE4321" w:rsidRDefault="0066400B" w:rsidP="00DC54F7">
            <w:pPr>
              <w:spacing w:after="0" w:line="240" w:lineRule="auto"/>
              <w:jc w:val="both"/>
              <w:rPr>
                <w:rFonts w:eastAsia="Times New Roman" w:cs="Arial"/>
                <w:b/>
                <w:bCs/>
                <w:color w:val="FFFFFF"/>
                <w:lang w:eastAsia="en-GB"/>
              </w:rPr>
            </w:pPr>
            <w:r w:rsidRPr="00CE4321">
              <w:rPr>
                <w:rFonts w:eastAsia="Times New Roman" w:cs="Arial"/>
                <w:b/>
                <w:bCs/>
                <w:color w:val="FFFFFF"/>
                <w:lang w:eastAsia="en-GB"/>
              </w:rPr>
              <w:t>Drinking the above guidelines</w:t>
            </w:r>
          </w:p>
        </w:tc>
        <w:tc>
          <w:tcPr>
            <w:tcW w:w="1255" w:type="dxa"/>
            <w:gridSpan w:val="2"/>
            <w:shd w:val="clear" w:color="auto" w:fill="8497B0"/>
            <w:vAlign w:val="center"/>
            <w:hideMark/>
          </w:tcPr>
          <w:p w14:paraId="29B40F9B" w14:textId="77777777" w:rsidR="0066400B" w:rsidRPr="00CE4321" w:rsidRDefault="0066400B" w:rsidP="00DC54F7">
            <w:pPr>
              <w:spacing w:after="0" w:line="240" w:lineRule="auto"/>
              <w:jc w:val="both"/>
              <w:rPr>
                <w:rFonts w:eastAsia="Times New Roman" w:cs="Arial"/>
                <w:b/>
                <w:bCs/>
                <w:color w:val="FFFFFF"/>
                <w:lang w:eastAsia="en-GB"/>
              </w:rPr>
            </w:pPr>
            <w:r w:rsidRPr="00CE4321">
              <w:rPr>
                <w:rFonts w:eastAsia="Times New Roman" w:cs="Arial"/>
                <w:b/>
                <w:bCs/>
                <w:color w:val="FFFFFF"/>
                <w:lang w:eastAsia="en-GB"/>
              </w:rPr>
              <w:t>Working age adults of healthy weight</w:t>
            </w:r>
          </w:p>
        </w:tc>
        <w:tc>
          <w:tcPr>
            <w:tcW w:w="1255" w:type="dxa"/>
            <w:gridSpan w:val="2"/>
            <w:shd w:val="clear" w:color="auto" w:fill="8497B0"/>
            <w:vAlign w:val="center"/>
            <w:hideMark/>
          </w:tcPr>
          <w:p w14:paraId="7BC76D98" w14:textId="77777777" w:rsidR="0066400B" w:rsidRPr="00CE4321" w:rsidRDefault="0066400B" w:rsidP="00DC54F7">
            <w:pPr>
              <w:spacing w:after="0" w:line="240" w:lineRule="auto"/>
              <w:jc w:val="both"/>
              <w:rPr>
                <w:rFonts w:eastAsia="Times New Roman" w:cs="Arial"/>
                <w:b/>
                <w:bCs/>
                <w:color w:val="FFFFFF"/>
                <w:lang w:eastAsia="en-GB"/>
              </w:rPr>
            </w:pPr>
            <w:r w:rsidRPr="00CE4321">
              <w:rPr>
                <w:rFonts w:eastAsia="Times New Roman" w:cs="Arial"/>
                <w:b/>
                <w:bCs/>
                <w:color w:val="FFFFFF"/>
                <w:lang w:eastAsia="en-GB"/>
              </w:rPr>
              <w:t>Meeting physical activity guidelines</w:t>
            </w:r>
          </w:p>
        </w:tc>
        <w:tc>
          <w:tcPr>
            <w:tcW w:w="1255" w:type="dxa"/>
            <w:shd w:val="clear" w:color="auto" w:fill="8497B0"/>
            <w:vAlign w:val="center"/>
            <w:hideMark/>
          </w:tcPr>
          <w:p w14:paraId="2CC45A94" w14:textId="77777777" w:rsidR="0066400B" w:rsidRPr="00CE4321" w:rsidRDefault="0066400B" w:rsidP="00DC54F7">
            <w:pPr>
              <w:spacing w:after="0" w:line="240" w:lineRule="auto"/>
              <w:jc w:val="both"/>
              <w:rPr>
                <w:rFonts w:eastAsia="Times New Roman" w:cs="Arial"/>
                <w:b/>
                <w:bCs/>
                <w:color w:val="FFFFFF"/>
                <w:lang w:eastAsia="en-GB"/>
              </w:rPr>
            </w:pPr>
            <w:r w:rsidRPr="00CE4321">
              <w:rPr>
                <w:rFonts w:eastAsia="Times New Roman" w:cs="Arial"/>
                <w:b/>
                <w:bCs/>
                <w:color w:val="FFFFFF"/>
                <w:lang w:eastAsia="en-GB"/>
              </w:rPr>
              <w:t>Consuming 5 a day</w:t>
            </w:r>
          </w:p>
        </w:tc>
      </w:tr>
      <w:tr w:rsidR="0066400B" w:rsidRPr="0066400B" w14:paraId="504A2220" w14:textId="77777777" w:rsidTr="003423C9">
        <w:trPr>
          <w:trHeight w:val="390"/>
        </w:trPr>
        <w:tc>
          <w:tcPr>
            <w:tcW w:w="2099" w:type="dxa"/>
            <w:shd w:val="clear" w:color="000000" w:fill="F2F2F2"/>
            <w:noWrap/>
            <w:vAlign w:val="center"/>
            <w:hideMark/>
          </w:tcPr>
          <w:p w14:paraId="6A569A11"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Cardiff South West</w:t>
            </w:r>
          </w:p>
        </w:tc>
        <w:tc>
          <w:tcPr>
            <w:tcW w:w="1255" w:type="dxa"/>
            <w:shd w:val="clear" w:color="000000" w:fill="F2F2F2"/>
            <w:noWrap/>
            <w:vAlign w:val="center"/>
            <w:hideMark/>
          </w:tcPr>
          <w:p w14:paraId="176177CA"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52,673</w:t>
            </w:r>
          </w:p>
        </w:tc>
        <w:tc>
          <w:tcPr>
            <w:tcW w:w="1255" w:type="dxa"/>
            <w:gridSpan w:val="2"/>
            <w:shd w:val="clear" w:color="000000" w:fill="F2F2F2"/>
            <w:noWrap/>
            <w:vAlign w:val="center"/>
            <w:hideMark/>
          </w:tcPr>
          <w:p w14:paraId="113D2C4B"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23.1</w:t>
            </w:r>
          </w:p>
        </w:tc>
        <w:tc>
          <w:tcPr>
            <w:tcW w:w="1255" w:type="dxa"/>
            <w:gridSpan w:val="2"/>
            <w:shd w:val="clear" w:color="000000" w:fill="F2F2F2"/>
            <w:noWrap/>
            <w:vAlign w:val="center"/>
            <w:hideMark/>
          </w:tcPr>
          <w:p w14:paraId="72D8FDA7"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17.7</w:t>
            </w:r>
          </w:p>
        </w:tc>
        <w:tc>
          <w:tcPr>
            <w:tcW w:w="1255" w:type="dxa"/>
            <w:gridSpan w:val="2"/>
            <w:shd w:val="clear" w:color="000000" w:fill="F2F2F2"/>
            <w:noWrap/>
            <w:vAlign w:val="center"/>
            <w:hideMark/>
          </w:tcPr>
          <w:p w14:paraId="0987E9A8"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37.2</w:t>
            </w:r>
          </w:p>
        </w:tc>
        <w:tc>
          <w:tcPr>
            <w:tcW w:w="1255" w:type="dxa"/>
            <w:gridSpan w:val="2"/>
            <w:shd w:val="clear" w:color="000000" w:fill="F2F2F2"/>
            <w:noWrap/>
            <w:vAlign w:val="center"/>
            <w:hideMark/>
          </w:tcPr>
          <w:p w14:paraId="3E1B7A6B"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52.3</w:t>
            </w:r>
          </w:p>
        </w:tc>
        <w:tc>
          <w:tcPr>
            <w:tcW w:w="1255" w:type="dxa"/>
            <w:shd w:val="clear" w:color="000000" w:fill="F2F2F2"/>
            <w:noWrap/>
            <w:vAlign w:val="center"/>
            <w:hideMark/>
          </w:tcPr>
          <w:p w14:paraId="3F34310A"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22.5</w:t>
            </w:r>
          </w:p>
        </w:tc>
      </w:tr>
      <w:tr w:rsidR="0066400B" w:rsidRPr="0066400B" w14:paraId="02744E74" w14:textId="77777777" w:rsidTr="003423C9">
        <w:trPr>
          <w:trHeight w:val="390"/>
        </w:trPr>
        <w:tc>
          <w:tcPr>
            <w:tcW w:w="2099" w:type="dxa"/>
            <w:shd w:val="clear" w:color="000000" w:fill="FFFFFF"/>
            <w:noWrap/>
            <w:vAlign w:val="center"/>
            <w:hideMark/>
          </w:tcPr>
          <w:p w14:paraId="470C0921"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Cardiff and Vale UHB</w:t>
            </w:r>
          </w:p>
        </w:tc>
        <w:tc>
          <w:tcPr>
            <w:tcW w:w="1255" w:type="dxa"/>
            <w:shd w:val="clear" w:color="000000" w:fill="FFFFFF"/>
            <w:noWrap/>
            <w:vAlign w:val="center"/>
            <w:hideMark/>
          </w:tcPr>
          <w:p w14:paraId="33C71938"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420,119</w:t>
            </w:r>
          </w:p>
        </w:tc>
        <w:tc>
          <w:tcPr>
            <w:tcW w:w="1255" w:type="dxa"/>
            <w:gridSpan w:val="2"/>
            <w:shd w:val="clear" w:color="000000" w:fill="FFFFFF"/>
            <w:noWrap/>
            <w:vAlign w:val="center"/>
            <w:hideMark/>
          </w:tcPr>
          <w:p w14:paraId="781F5833"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19.3</w:t>
            </w:r>
          </w:p>
        </w:tc>
        <w:tc>
          <w:tcPr>
            <w:tcW w:w="1255" w:type="dxa"/>
            <w:gridSpan w:val="2"/>
            <w:shd w:val="clear" w:color="000000" w:fill="FFFFFF"/>
            <w:noWrap/>
            <w:vAlign w:val="center"/>
            <w:hideMark/>
          </w:tcPr>
          <w:p w14:paraId="65879B14"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18.9</w:t>
            </w:r>
          </w:p>
        </w:tc>
        <w:tc>
          <w:tcPr>
            <w:tcW w:w="1255" w:type="dxa"/>
            <w:gridSpan w:val="2"/>
            <w:shd w:val="clear" w:color="000000" w:fill="FFFFFF"/>
            <w:noWrap/>
            <w:vAlign w:val="center"/>
            <w:hideMark/>
          </w:tcPr>
          <w:p w14:paraId="1E554687"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40.8</w:t>
            </w:r>
          </w:p>
        </w:tc>
        <w:tc>
          <w:tcPr>
            <w:tcW w:w="1255" w:type="dxa"/>
            <w:gridSpan w:val="2"/>
            <w:shd w:val="clear" w:color="000000" w:fill="FFFFFF"/>
            <w:noWrap/>
            <w:vAlign w:val="center"/>
            <w:hideMark/>
          </w:tcPr>
          <w:p w14:paraId="487F70F9"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55.1</w:t>
            </w:r>
          </w:p>
        </w:tc>
        <w:tc>
          <w:tcPr>
            <w:tcW w:w="1255" w:type="dxa"/>
            <w:shd w:val="clear" w:color="000000" w:fill="FFFFFF"/>
            <w:noWrap/>
            <w:vAlign w:val="center"/>
            <w:hideMark/>
          </w:tcPr>
          <w:p w14:paraId="5C1DE8AE"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24.2</w:t>
            </w:r>
          </w:p>
        </w:tc>
      </w:tr>
      <w:tr w:rsidR="0066400B" w:rsidRPr="0066400B" w14:paraId="2D5331F4" w14:textId="77777777" w:rsidTr="003423C9">
        <w:trPr>
          <w:trHeight w:val="390"/>
        </w:trPr>
        <w:tc>
          <w:tcPr>
            <w:tcW w:w="2099" w:type="dxa"/>
            <w:shd w:val="clear" w:color="000000" w:fill="F2F2F2"/>
            <w:noWrap/>
            <w:vAlign w:val="center"/>
            <w:hideMark/>
          </w:tcPr>
          <w:p w14:paraId="42F2798E"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Wales</w:t>
            </w:r>
          </w:p>
        </w:tc>
        <w:tc>
          <w:tcPr>
            <w:tcW w:w="1255" w:type="dxa"/>
            <w:shd w:val="clear" w:color="000000" w:fill="F2F2F2"/>
            <w:noWrap/>
            <w:vAlign w:val="center"/>
            <w:hideMark/>
          </w:tcPr>
          <w:p w14:paraId="6B2E0604"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2,642,152</w:t>
            </w:r>
          </w:p>
        </w:tc>
        <w:tc>
          <w:tcPr>
            <w:tcW w:w="1255" w:type="dxa"/>
            <w:gridSpan w:val="2"/>
            <w:shd w:val="clear" w:color="000000" w:fill="F2F2F2"/>
            <w:noWrap/>
            <w:vAlign w:val="center"/>
            <w:hideMark/>
          </w:tcPr>
          <w:p w14:paraId="5FA9B898"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19.2</w:t>
            </w:r>
          </w:p>
        </w:tc>
        <w:tc>
          <w:tcPr>
            <w:tcW w:w="1255" w:type="dxa"/>
            <w:gridSpan w:val="2"/>
            <w:shd w:val="clear" w:color="000000" w:fill="F2F2F2"/>
            <w:noWrap/>
            <w:vAlign w:val="center"/>
            <w:hideMark/>
          </w:tcPr>
          <w:p w14:paraId="0D1B83DA"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18.9</w:t>
            </w:r>
          </w:p>
        </w:tc>
        <w:tc>
          <w:tcPr>
            <w:tcW w:w="1255" w:type="dxa"/>
            <w:gridSpan w:val="2"/>
            <w:shd w:val="clear" w:color="000000" w:fill="F2F2F2"/>
            <w:noWrap/>
            <w:vAlign w:val="center"/>
            <w:hideMark/>
          </w:tcPr>
          <w:p w14:paraId="739DF37F"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39.1</w:t>
            </w:r>
          </w:p>
        </w:tc>
        <w:tc>
          <w:tcPr>
            <w:tcW w:w="1255" w:type="dxa"/>
            <w:gridSpan w:val="2"/>
            <w:shd w:val="clear" w:color="000000" w:fill="F2F2F2"/>
            <w:noWrap/>
            <w:vAlign w:val="center"/>
            <w:hideMark/>
          </w:tcPr>
          <w:p w14:paraId="0D933CE9"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52.8</w:t>
            </w:r>
          </w:p>
        </w:tc>
        <w:tc>
          <w:tcPr>
            <w:tcW w:w="1255" w:type="dxa"/>
            <w:shd w:val="clear" w:color="000000" w:fill="F2F2F2"/>
            <w:noWrap/>
            <w:vAlign w:val="center"/>
            <w:hideMark/>
          </w:tcPr>
          <w:p w14:paraId="64946E2A" w14:textId="77777777" w:rsidR="0066400B" w:rsidRPr="00CE4321" w:rsidRDefault="0066400B" w:rsidP="00DC54F7">
            <w:pPr>
              <w:spacing w:after="0" w:line="240" w:lineRule="auto"/>
              <w:jc w:val="both"/>
              <w:rPr>
                <w:rFonts w:eastAsia="Times New Roman" w:cs="Arial"/>
                <w:color w:val="000000"/>
                <w:lang w:eastAsia="en-GB"/>
              </w:rPr>
            </w:pPr>
            <w:r w:rsidRPr="00CE4321">
              <w:rPr>
                <w:rFonts w:eastAsia="Times New Roman" w:cs="Arial"/>
                <w:color w:val="000000"/>
                <w:lang w:eastAsia="en-GB"/>
              </w:rPr>
              <w:t>23.4</w:t>
            </w:r>
          </w:p>
        </w:tc>
      </w:tr>
    </w:tbl>
    <w:p w14:paraId="056661F2" w14:textId="70A1385D" w:rsidR="0020628D" w:rsidRDefault="0020628D" w:rsidP="00DC54F7">
      <w:pPr>
        <w:spacing w:after="0" w:line="240" w:lineRule="auto"/>
        <w:jc w:val="both"/>
        <w:rPr>
          <w:rFonts w:ascii="Arial" w:hAnsi="Arial" w:cs="Arial"/>
          <w:sz w:val="20"/>
          <w:szCs w:val="20"/>
        </w:rPr>
      </w:pPr>
      <w:r w:rsidRPr="00DD3817">
        <w:rPr>
          <w:rFonts w:ascii="Arial" w:hAnsi="Arial" w:cs="Arial"/>
          <w:sz w:val="20"/>
          <w:szCs w:val="20"/>
        </w:rPr>
        <w:t>Source: Public Health Wales Observatory, using NSW (WG), WDS (NWIS) and WIMD 2014 (WG). Please note, the calculation of the healthy weight indicator only accounts for working age adults (aged 16-64)</w:t>
      </w:r>
    </w:p>
    <w:p w14:paraId="73FC33AE" w14:textId="0C3DA2B4" w:rsidR="00E140F7" w:rsidRDefault="00E140F7" w:rsidP="00DC54F7">
      <w:pPr>
        <w:spacing w:after="0" w:line="240" w:lineRule="auto"/>
        <w:jc w:val="both"/>
        <w:rPr>
          <w:rFonts w:ascii="Arial" w:hAnsi="Arial" w:cs="Arial"/>
          <w:sz w:val="20"/>
          <w:szCs w:val="20"/>
        </w:rPr>
      </w:pPr>
    </w:p>
    <w:p w14:paraId="33977855" w14:textId="77777777" w:rsidR="00CD7A5C" w:rsidRDefault="00CD7A5C" w:rsidP="00DC54F7">
      <w:pPr>
        <w:spacing w:after="0" w:line="240" w:lineRule="auto"/>
        <w:jc w:val="both"/>
        <w:rPr>
          <w:rFonts w:ascii="Arial" w:hAnsi="Arial" w:cs="Arial"/>
          <w:sz w:val="20"/>
          <w:szCs w:val="20"/>
        </w:rPr>
      </w:pPr>
    </w:p>
    <w:p w14:paraId="4D3A0EC8" w14:textId="1FA9EBDC" w:rsidR="0063382E" w:rsidRDefault="009D14A4" w:rsidP="00DC54F7">
      <w:pPr>
        <w:spacing w:after="0" w:line="240" w:lineRule="auto"/>
        <w:jc w:val="both"/>
        <w:rPr>
          <w:rFonts w:ascii="Arial" w:hAnsi="Arial" w:cs="Arial"/>
          <w:b/>
          <w:sz w:val="26"/>
          <w:szCs w:val="26"/>
          <w:lang w:val="en-US"/>
        </w:rPr>
      </w:pPr>
      <w:r>
        <w:rPr>
          <w:rFonts w:ascii="Arial" w:hAnsi="Arial" w:cs="Arial"/>
          <w:b/>
          <w:sz w:val="26"/>
          <w:szCs w:val="26"/>
        </w:rPr>
        <w:t>12</w:t>
      </w:r>
      <w:r w:rsidR="0063382E" w:rsidRPr="00A10850">
        <w:rPr>
          <w:rFonts w:ascii="Arial" w:hAnsi="Arial" w:cs="Arial"/>
          <w:b/>
          <w:sz w:val="26"/>
          <w:szCs w:val="26"/>
        </w:rPr>
        <w:t xml:space="preserve">.2 </w:t>
      </w:r>
      <w:r w:rsidR="0063382E" w:rsidRPr="001D4C3A">
        <w:rPr>
          <w:rFonts w:ascii="Arial" w:hAnsi="Arial" w:cs="Arial"/>
          <w:b/>
          <w:sz w:val="24"/>
          <w:szCs w:val="24"/>
        </w:rPr>
        <w:t>Current</w:t>
      </w:r>
      <w:r w:rsidR="0063382E" w:rsidRPr="001D4C3A">
        <w:rPr>
          <w:rFonts w:ascii="Arial" w:hAnsi="Arial" w:cs="Arial"/>
          <w:b/>
          <w:sz w:val="24"/>
          <w:szCs w:val="24"/>
          <w:lang w:val="en-US"/>
        </w:rPr>
        <w:t xml:space="preserve"> provision of pharmaceutical services within the </w:t>
      </w:r>
      <w:r w:rsidR="00D271B7" w:rsidRPr="001D4C3A">
        <w:rPr>
          <w:rFonts w:ascii="Arial" w:hAnsi="Arial" w:cs="Arial"/>
          <w:b/>
          <w:sz w:val="24"/>
          <w:szCs w:val="24"/>
          <w:lang w:val="en-US"/>
        </w:rPr>
        <w:t>cluster</w:t>
      </w:r>
    </w:p>
    <w:p w14:paraId="40A236B1" w14:textId="2A18EBC9" w:rsidR="00CF1D9E" w:rsidRDefault="00CF1D9E" w:rsidP="00DC54F7">
      <w:pPr>
        <w:spacing w:after="0" w:line="240" w:lineRule="auto"/>
        <w:jc w:val="both"/>
        <w:rPr>
          <w:rFonts w:ascii="Arial" w:hAnsi="Arial" w:cs="Arial"/>
          <w:b/>
          <w:sz w:val="26"/>
          <w:szCs w:val="26"/>
          <w:lang w:val="en-US"/>
        </w:rPr>
      </w:pPr>
    </w:p>
    <w:p w14:paraId="7237D228" w14:textId="0E275CE9" w:rsidR="00060CD5" w:rsidRPr="00CE4321" w:rsidRDefault="00CF1D9E" w:rsidP="00DC54F7">
      <w:pPr>
        <w:spacing w:after="0" w:line="240" w:lineRule="auto"/>
        <w:jc w:val="both"/>
        <w:rPr>
          <w:rFonts w:ascii="Arial" w:hAnsi="Arial" w:cs="Arial"/>
          <w:bCs/>
          <w:sz w:val="24"/>
          <w:szCs w:val="24"/>
          <w:lang w:val="en-US"/>
        </w:rPr>
      </w:pPr>
      <w:r w:rsidRPr="00CE4321">
        <w:rPr>
          <w:rFonts w:ascii="Arial" w:hAnsi="Arial" w:cs="Arial"/>
          <w:bCs/>
          <w:sz w:val="24"/>
          <w:szCs w:val="24"/>
          <w:lang w:val="en-US"/>
        </w:rPr>
        <w:t xml:space="preserve">There are 10 pharmacies in Cardiff </w:t>
      </w:r>
      <w:r w:rsidR="00D271B7" w:rsidRPr="00CE4321">
        <w:rPr>
          <w:rFonts w:ascii="Arial" w:hAnsi="Arial" w:cs="Arial"/>
          <w:bCs/>
          <w:sz w:val="24"/>
          <w:szCs w:val="24"/>
          <w:lang w:val="en-US"/>
        </w:rPr>
        <w:t>South West</w:t>
      </w:r>
      <w:r w:rsidRPr="00CE4321">
        <w:rPr>
          <w:rFonts w:ascii="Arial" w:hAnsi="Arial" w:cs="Arial"/>
          <w:bCs/>
          <w:sz w:val="24"/>
          <w:szCs w:val="24"/>
          <w:lang w:val="en-US"/>
        </w:rPr>
        <w:t xml:space="preserve"> cluster. </w:t>
      </w:r>
      <w:r w:rsidR="00060CD5" w:rsidRPr="00CE4321">
        <w:rPr>
          <w:rFonts w:ascii="Arial" w:hAnsi="Arial" w:cs="Arial"/>
          <w:bCs/>
          <w:sz w:val="24"/>
          <w:szCs w:val="24"/>
          <w:lang w:val="en-US"/>
        </w:rPr>
        <w:t xml:space="preserve">For the purposes of the PNA the pharmacy at Tesco Culverhouse Cross is considered part of Cardiff South West as it sits within the borders of Cardiff Council. </w:t>
      </w:r>
    </w:p>
    <w:p w14:paraId="17389EFB" w14:textId="77777777" w:rsidR="00060CD5" w:rsidRDefault="00060CD5" w:rsidP="00DC54F7">
      <w:pPr>
        <w:spacing w:after="0" w:line="240" w:lineRule="auto"/>
        <w:jc w:val="both"/>
        <w:rPr>
          <w:rFonts w:ascii="Arial" w:hAnsi="Arial" w:cs="Arial"/>
          <w:bCs/>
          <w:lang w:val="en-US"/>
        </w:rPr>
      </w:pPr>
    </w:p>
    <w:p w14:paraId="0311BA32" w14:textId="35C1202E" w:rsidR="00F53E3F" w:rsidRPr="00E140F7" w:rsidRDefault="00F53E3F" w:rsidP="00DC54F7">
      <w:pPr>
        <w:spacing w:after="0" w:line="240" w:lineRule="auto"/>
        <w:jc w:val="both"/>
        <w:rPr>
          <w:rFonts w:ascii="Arial" w:hAnsi="Arial" w:cs="Arial"/>
          <w:b/>
          <w:sz w:val="24"/>
          <w:szCs w:val="24"/>
          <w:lang w:val="en-US"/>
        </w:rPr>
      </w:pPr>
      <w:r w:rsidRPr="00E140F7">
        <w:rPr>
          <w:rFonts w:ascii="Arial" w:hAnsi="Arial" w:cs="Arial"/>
          <w:b/>
          <w:sz w:val="24"/>
          <w:szCs w:val="24"/>
          <w:lang w:val="en-US"/>
        </w:rPr>
        <w:t>Table 12.7: Pharmacies in Cardiff South West cluster</w:t>
      </w:r>
    </w:p>
    <w:tbl>
      <w:tblPr>
        <w:tblW w:w="935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689"/>
        <w:gridCol w:w="3402"/>
        <w:gridCol w:w="1842"/>
        <w:gridCol w:w="1423"/>
      </w:tblGrid>
      <w:tr w:rsidR="00FE5351" w:rsidRPr="00FE5351" w14:paraId="7AB2927B" w14:textId="77777777" w:rsidTr="00E140F7">
        <w:trPr>
          <w:trHeight w:val="260"/>
        </w:trPr>
        <w:tc>
          <w:tcPr>
            <w:tcW w:w="2689" w:type="dxa"/>
            <w:shd w:val="clear" w:color="auto" w:fill="8497B0"/>
            <w:noWrap/>
            <w:vAlign w:val="bottom"/>
            <w:hideMark/>
          </w:tcPr>
          <w:p w14:paraId="7F3BABB6" w14:textId="77777777" w:rsidR="00FE5351" w:rsidRPr="00E140F7" w:rsidRDefault="00FE5351" w:rsidP="00DC54F7">
            <w:pPr>
              <w:spacing w:after="0" w:line="240" w:lineRule="auto"/>
              <w:jc w:val="both"/>
              <w:rPr>
                <w:rFonts w:ascii="Arial" w:eastAsia="Times New Roman" w:hAnsi="Arial" w:cs="Arial"/>
                <w:b/>
                <w:bCs/>
                <w:color w:val="FFFFFF"/>
                <w:lang w:eastAsia="en-GB"/>
              </w:rPr>
            </w:pPr>
            <w:r w:rsidRPr="00E140F7">
              <w:rPr>
                <w:rFonts w:ascii="Arial" w:eastAsia="Times New Roman" w:hAnsi="Arial" w:cs="Arial"/>
                <w:b/>
                <w:bCs/>
                <w:color w:val="FFFFFF"/>
                <w:lang w:eastAsia="en-GB"/>
              </w:rPr>
              <w:t>Pharmacy</w:t>
            </w:r>
          </w:p>
        </w:tc>
        <w:tc>
          <w:tcPr>
            <w:tcW w:w="6667" w:type="dxa"/>
            <w:gridSpan w:val="3"/>
            <w:shd w:val="clear" w:color="auto" w:fill="8497B0"/>
            <w:noWrap/>
            <w:vAlign w:val="bottom"/>
            <w:hideMark/>
          </w:tcPr>
          <w:p w14:paraId="2F3761E0" w14:textId="77777777" w:rsidR="00FE5351" w:rsidRPr="00E140F7" w:rsidRDefault="00FE5351" w:rsidP="00DC54F7">
            <w:pPr>
              <w:spacing w:after="0" w:line="240" w:lineRule="auto"/>
              <w:jc w:val="both"/>
              <w:rPr>
                <w:rFonts w:ascii="Arial" w:eastAsia="Times New Roman" w:hAnsi="Arial" w:cs="Arial"/>
                <w:b/>
                <w:bCs/>
                <w:color w:val="FFFFFF"/>
                <w:lang w:eastAsia="en-GB"/>
              </w:rPr>
            </w:pPr>
            <w:r w:rsidRPr="00E140F7">
              <w:rPr>
                <w:rFonts w:ascii="Arial" w:eastAsia="Times New Roman" w:hAnsi="Arial" w:cs="Arial"/>
                <w:b/>
                <w:bCs/>
                <w:color w:val="FFFFFF"/>
                <w:lang w:eastAsia="en-GB"/>
              </w:rPr>
              <w:t>Address</w:t>
            </w:r>
          </w:p>
        </w:tc>
      </w:tr>
      <w:tr w:rsidR="00FE5351" w:rsidRPr="00FE5351" w14:paraId="70D4490D" w14:textId="77777777" w:rsidTr="00E140F7">
        <w:trPr>
          <w:trHeight w:val="290"/>
        </w:trPr>
        <w:tc>
          <w:tcPr>
            <w:tcW w:w="2689" w:type="dxa"/>
            <w:shd w:val="clear" w:color="000000" w:fill="F2F2F2"/>
            <w:hideMark/>
          </w:tcPr>
          <w:p w14:paraId="2FAA7D28"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Boots UK Limited</w:t>
            </w:r>
          </w:p>
        </w:tc>
        <w:tc>
          <w:tcPr>
            <w:tcW w:w="3402" w:type="dxa"/>
            <w:shd w:val="clear" w:color="000000" w:fill="F2F2F2"/>
            <w:hideMark/>
          </w:tcPr>
          <w:p w14:paraId="3A9046C4"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Health Centre Lansdowne Surgery Sanatorium Road</w:t>
            </w:r>
          </w:p>
        </w:tc>
        <w:tc>
          <w:tcPr>
            <w:tcW w:w="1842" w:type="dxa"/>
            <w:shd w:val="clear" w:color="000000" w:fill="F2F2F2"/>
            <w:hideMark/>
          </w:tcPr>
          <w:p w14:paraId="4BF7A1DF"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Canton</w:t>
            </w:r>
          </w:p>
        </w:tc>
        <w:tc>
          <w:tcPr>
            <w:tcW w:w="1423" w:type="dxa"/>
            <w:shd w:val="clear" w:color="000000" w:fill="F2F2F2"/>
            <w:hideMark/>
          </w:tcPr>
          <w:p w14:paraId="7609CB97"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CF11 8DG</w:t>
            </w:r>
          </w:p>
        </w:tc>
      </w:tr>
      <w:tr w:rsidR="00FE5351" w:rsidRPr="00FE5351" w14:paraId="1265BA90" w14:textId="77777777" w:rsidTr="00E140F7">
        <w:trPr>
          <w:trHeight w:val="290"/>
        </w:trPr>
        <w:tc>
          <w:tcPr>
            <w:tcW w:w="2689" w:type="dxa"/>
            <w:shd w:val="clear" w:color="000000" w:fill="FFFFFF"/>
            <w:hideMark/>
          </w:tcPr>
          <w:p w14:paraId="1B0378D4" w14:textId="77777777" w:rsidR="00FE5351" w:rsidRPr="00E140F7" w:rsidRDefault="00FE5351" w:rsidP="00DC54F7">
            <w:pPr>
              <w:spacing w:after="0" w:line="240" w:lineRule="auto"/>
              <w:jc w:val="both"/>
              <w:rPr>
                <w:rFonts w:ascii="Arial" w:eastAsia="Times New Roman" w:hAnsi="Arial" w:cs="Arial"/>
                <w:color w:val="000000"/>
                <w:lang w:eastAsia="en-GB"/>
              </w:rPr>
            </w:pPr>
            <w:r w:rsidRPr="00E140F7">
              <w:rPr>
                <w:rFonts w:ascii="Arial" w:eastAsia="Times New Roman" w:hAnsi="Arial" w:cs="Arial"/>
                <w:color w:val="000000"/>
                <w:lang w:eastAsia="en-GB"/>
              </w:rPr>
              <w:t>Boots UK Limited</w:t>
            </w:r>
          </w:p>
        </w:tc>
        <w:tc>
          <w:tcPr>
            <w:tcW w:w="3402" w:type="dxa"/>
            <w:shd w:val="clear" w:color="000000" w:fill="FFFFFF"/>
            <w:hideMark/>
          </w:tcPr>
          <w:p w14:paraId="6F3F0F4A" w14:textId="77777777" w:rsidR="00FE5351" w:rsidRPr="00E140F7" w:rsidRDefault="00FE5351" w:rsidP="00DC54F7">
            <w:pPr>
              <w:spacing w:after="0" w:line="240" w:lineRule="auto"/>
              <w:jc w:val="both"/>
              <w:rPr>
                <w:rFonts w:ascii="Arial" w:eastAsia="Times New Roman" w:hAnsi="Arial" w:cs="Arial"/>
                <w:color w:val="000000"/>
                <w:lang w:eastAsia="en-GB"/>
              </w:rPr>
            </w:pPr>
            <w:r w:rsidRPr="00E140F7">
              <w:rPr>
                <w:rFonts w:ascii="Arial" w:eastAsia="Times New Roman" w:hAnsi="Arial" w:cs="Arial"/>
                <w:color w:val="000000"/>
                <w:lang w:eastAsia="en-GB"/>
              </w:rPr>
              <w:t>213-215 Cowbridge Road East</w:t>
            </w:r>
          </w:p>
        </w:tc>
        <w:tc>
          <w:tcPr>
            <w:tcW w:w="1842" w:type="dxa"/>
            <w:shd w:val="clear" w:color="000000" w:fill="FFFFFF"/>
            <w:hideMark/>
          </w:tcPr>
          <w:p w14:paraId="613A8583" w14:textId="77777777" w:rsidR="00FE5351" w:rsidRPr="00E140F7" w:rsidRDefault="00FE5351" w:rsidP="00DC54F7">
            <w:pPr>
              <w:spacing w:after="0" w:line="240" w:lineRule="auto"/>
              <w:jc w:val="both"/>
              <w:rPr>
                <w:rFonts w:ascii="Arial" w:eastAsia="Times New Roman" w:hAnsi="Arial" w:cs="Arial"/>
                <w:color w:val="000000"/>
                <w:lang w:eastAsia="en-GB"/>
              </w:rPr>
            </w:pPr>
            <w:r w:rsidRPr="00E140F7">
              <w:rPr>
                <w:rFonts w:ascii="Arial" w:eastAsia="Times New Roman" w:hAnsi="Arial" w:cs="Arial"/>
                <w:color w:val="000000"/>
                <w:lang w:eastAsia="en-GB"/>
              </w:rPr>
              <w:t>Canton</w:t>
            </w:r>
          </w:p>
        </w:tc>
        <w:tc>
          <w:tcPr>
            <w:tcW w:w="1423" w:type="dxa"/>
            <w:shd w:val="clear" w:color="000000" w:fill="FFFFFF"/>
            <w:hideMark/>
          </w:tcPr>
          <w:p w14:paraId="1D20E7B5" w14:textId="77777777" w:rsidR="00FE5351" w:rsidRPr="00E140F7" w:rsidRDefault="00FE5351" w:rsidP="00DC54F7">
            <w:pPr>
              <w:spacing w:after="0" w:line="240" w:lineRule="auto"/>
              <w:jc w:val="both"/>
              <w:rPr>
                <w:rFonts w:ascii="Arial" w:eastAsia="Times New Roman" w:hAnsi="Arial" w:cs="Arial"/>
                <w:color w:val="000000"/>
                <w:lang w:eastAsia="en-GB"/>
              </w:rPr>
            </w:pPr>
            <w:r w:rsidRPr="00E140F7">
              <w:rPr>
                <w:rFonts w:ascii="Arial" w:eastAsia="Times New Roman" w:hAnsi="Arial" w:cs="Arial"/>
                <w:color w:val="000000"/>
                <w:lang w:eastAsia="en-GB"/>
              </w:rPr>
              <w:t>CF11 9AL</w:t>
            </w:r>
          </w:p>
        </w:tc>
      </w:tr>
      <w:tr w:rsidR="00FE5351" w:rsidRPr="00FE5351" w14:paraId="08C79737" w14:textId="77777777" w:rsidTr="00E140F7">
        <w:trPr>
          <w:trHeight w:val="290"/>
        </w:trPr>
        <w:tc>
          <w:tcPr>
            <w:tcW w:w="2689" w:type="dxa"/>
            <w:shd w:val="clear" w:color="000000" w:fill="F2F2F2"/>
            <w:hideMark/>
          </w:tcPr>
          <w:p w14:paraId="63B2D571"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Boots UK Limited</w:t>
            </w:r>
          </w:p>
        </w:tc>
        <w:tc>
          <w:tcPr>
            <w:tcW w:w="3402" w:type="dxa"/>
            <w:shd w:val="clear" w:color="000000" w:fill="F2F2F2"/>
            <w:hideMark/>
          </w:tcPr>
          <w:p w14:paraId="5EB3338E"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The Pharmacy</w:t>
            </w:r>
          </w:p>
        </w:tc>
        <w:tc>
          <w:tcPr>
            <w:tcW w:w="1842" w:type="dxa"/>
            <w:shd w:val="clear" w:color="000000" w:fill="F2F2F2"/>
            <w:hideMark/>
          </w:tcPr>
          <w:p w14:paraId="1BCDB0D2"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Riverside Health Centre</w:t>
            </w:r>
          </w:p>
        </w:tc>
        <w:tc>
          <w:tcPr>
            <w:tcW w:w="1423" w:type="dxa"/>
            <w:shd w:val="clear" w:color="000000" w:fill="F2F2F2"/>
            <w:hideMark/>
          </w:tcPr>
          <w:p w14:paraId="3D0520C9"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CF11 9SH</w:t>
            </w:r>
          </w:p>
        </w:tc>
      </w:tr>
      <w:tr w:rsidR="00FE5351" w:rsidRPr="00FE5351" w14:paraId="096D9293" w14:textId="77777777" w:rsidTr="00E140F7">
        <w:trPr>
          <w:trHeight w:val="290"/>
        </w:trPr>
        <w:tc>
          <w:tcPr>
            <w:tcW w:w="2689" w:type="dxa"/>
            <w:shd w:val="clear" w:color="000000" w:fill="FFFFFF"/>
            <w:hideMark/>
          </w:tcPr>
          <w:p w14:paraId="6C00C470"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Pearns Pharmacies Ltd</w:t>
            </w:r>
          </w:p>
        </w:tc>
        <w:tc>
          <w:tcPr>
            <w:tcW w:w="3402" w:type="dxa"/>
            <w:shd w:val="clear" w:color="000000" w:fill="FFFFFF"/>
            <w:hideMark/>
          </w:tcPr>
          <w:p w14:paraId="747CE403"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 xml:space="preserve">40 Caerau Lane </w:t>
            </w:r>
          </w:p>
        </w:tc>
        <w:tc>
          <w:tcPr>
            <w:tcW w:w="1842" w:type="dxa"/>
            <w:shd w:val="clear" w:color="000000" w:fill="FFFFFF"/>
            <w:hideMark/>
          </w:tcPr>
          <w:p w14:paraId="76443382"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 xml:space="preserve">Ely </w:t>
            </w:r>
          </w:p>
        </w:tc>
        <w:tc>
          <w:tcPr>
            <w:tcW w:w="1423" w:type="dxa"/>
            <w:shd w:val="clear" w:color="000000" w:fill="FFFFFF"/>
            <w:hideMark/>
          </w:tcPr>
          <w:p w14:paraId="3178FC23"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CF5 5HQ</w:t>
            </w:r>
          </w:p>
        </w:tc>
      </w:tr>
      <w:tr w:rsidR="00FE5351" w:rsidRPr="00FE5351" w14:paraId="235ADAEC" w14:textId="77777777" w:rsidTr="00E140F7">
        <w:trPr>
          <w:trHeight w:val="290"/>
        </w:trPr>
        <w:tc>
          <w:tcPr>
            <w:tcW w:w="2689" w:type="dxa"/>
            <w:shd w:val="clear" w:color="000000" w:fill="F2F2F2"/>
            <w:hideMark/>
          </w:tcPr>
          <w:p w14:paraId="4B9CCC4C"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Tesco Stores Limited</w:t>
            </w:r>
          </w:p>
        </w:tc>
        <w:tc>
          <w:tcPr>
            <w:tcW w:w="3402" w:type="dxa"/>
            <w:shd w:val="clear" w:color="000000" w:fill="F2F2F2"/>
            <w:hideMark/>
          </w:tcPr>
          <w:p w14:paraId="5956509B"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 xml:space="preserve"> Tesco Instore Pharmacy        </w:t>
            </w:r>
          </w:p>
        </w:tc>
        <w:tc>
          <w:tcPr>
            <w:tcW w:w="1842" w:type="dxa"/>
            <w:shd w:val="clear" w:color="000000" w:fill="F2F2F2"/>
            <w:hideMark/>
          </w:tcPr>
          <w:p w14:paraId="5F5F31B5"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Culverhouse Cross</w:t>
            </w:r>
          </w:p>
        </w:tc>
        <w:tc>
          <w:tcPr>
            <w:tcW w:w="1423" w:type="dxa"/>
            <w:shd w:val="clear" w:color="000000" w:fill="F2F2F2"/>
            <w:hideMark/>
          </w:tcPr>
          <w:p w14:paraId="6202E011"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CF5 6XQ</w:t>
            </w:r>
          </w:p>
        </w:tc>
      </w:tr>
      <w:tr w:rsidR="00FE5351" w:rsidRPr="00FE5351" w14:paraId="43FB21C1" w14:textId="77777777" w:rsidTr="00E140F7">
        <w:trPr>
          <w:trHeight w:val="290"/>
        </w:trPr>
        <w:tc>
          <w:tcPr>
            <w:tcW w:w="2689" w:type="dxa"/>
            <w:shd w:val="clear" w:color="000000" w:fill="FFFFFF"/>
            <w:hideMark/>
          </w:tcPr>
          <w:p w14:paraId="6F8D550A"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Lloyds Pharmacy Ltd T/A Lloydspharmacy</w:t>
            </w:r>
          </w:p>
        </w:tc>
        <w:tc>
          <w:tcPr>
            <w:tcW w:w="3402" w:type="dxa"/>
            <w:shd w:val="clear" w:color="000000" w:fill="FFFFFF"/>
            <w:hideMark/>
          </w:tcPr>
          <w:p w14:paraId="1C046183"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35 Wilson Road</w:t>
            </w:r>
          </w:p>
        </w:tc>
        <w:tc>
          <w:tcPr>
            <w:tcW w:w="1842" w:type="dxa"/>
            <w:shd w:val="clear" w:color="000000" w:fill="FFFFFF"/>
            <w:hideMark/>
          </w:tcPr>
          <w:p w14:paraId="6F1DA23F"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Ely</w:t>
            </w:r>
          </w:p>
        </w:tc>
        <w:tc>
          <w:tcPr>
            <w:tcW w:w="1423" w:type="dxa"/>
            <w:shd w:val="clear" w:color="000000" w:fill="FFFFFF"/>
            <w:hideMark/>
          </w:tcPr>
          <w:p w14:paraId="5EE64BE9"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CF5 4LL</w:t>
            </w:r>
          </w:p>
        </w:tc>
      </w:tr>
      <w:tr w:rsidR="00FE5351" w:rsidRPr="00FE5351" w14:paraId="3EF6D501" w14:textId="77777777" w:rsidTr="00E140F7">
        <w:trPr>
          <w:trHeight w:val="290"/>
        </w:trPr>
        <w:tc>
          <w:tcPr>
            <w:tcW w:w="2689" w:type="dxa"/>
            <w:shd w:val="clear" w:color="000000" w:fill="F2F2F2"/>
            <w:hideMark/>
          </w:tcPr>
          <w:p w14:paraId="144AC979"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Pearns Pharmacies Ltd</w:t>
            </w:r>
          </w:p>
        </w:tc>
        <w:tc>
          <w:tcPr>
            <w:tcW w:w="3402" w:type="dxa"/>
            <w:shd w:val="clear" w:color="000000" w:fill="F2F2F2"/>
            <w:hideMark/>
          </w:tcPr>
          <w:p w14:paraId="141FF110"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3 Wilson Road</w:t>
            </w:r>
          </w:p>
        </w:tc>
        <w:tc>
          <w:tcPr>
            <w:tcW w:w="1842" w:type="dxa"/>
            <w:shd w:val="clear" w:color="000000" w:fill="F2F2F2"/>
            <w:hideMark/>
          </w:tcPr>
          <w:p w14:paraId="286FBEF1"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Ely</w:t>
            </w:r>
          </w:p>
        </w:tc>
        <w:tc>
          <w:tcPr>
            <w:tcW w:w="1423" w:type="dxa"/>
            <w:shd w:val="clear" w:color="000000" w:fill="F2F2F2"/>
            <w:hideMark/>
          </w:tcPr>
          <w:p w14:paraId="61FCEC01"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CF5 4LJ</w:t>
            </w:r>
          </w:p>
        </w:tc>
      </w:tr>
      <w:tr w:rsidR="00FE5351" w:rsidRPr="00FE5351" w14:paraId="1591C30D" w14:textId="77777777" w:rsidTr="00E140F7">
        <w:trPr>
          <w:trHeight w:val="290"/>
        </w:trPr>
        <w:tc>
          <w:tcPr>
            <w:tcW w:w="2689" w:type="dxa"/>
            <w:shd w:val="clear" w:color="000000" w:fill="FFFFFF"/>
            <w:hideMark/>
          </w:tcPr>
          <w:p w14:paraId="1E565DC2"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Pearns Pharmacies Ltd</w:t>
            </w:r>
          </w:p>
        </w:tc>
        <w:tc>
          <w:tcPr>
            <w:tcW w:w="3402" w:type="dxa"/>
            <w:shd w:val="clear" w:color="000000" w:fill="FFFFFF"/>
            <w:hideMark/>
          </w:tcPr>
          <w:p w14:paraId="72579F82"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23A Mill Road</w:t>
            </w:r>
          </w:p>
        </w:tc>
        <w:tc>
          <w:tcPr>
            <w:tcW w:w="1842" w:type="dxa"/>
            <w:shd w:val="clear" w:color="000000" w:fill="FFFFFF"/>
            <w:hideMark/>
          </w:tcPr>
          <w:p w14:paraId="268F3BBC"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Ely</w:t>
            </w:r>
          </w:p>
        </w:tc>
        <w:tc>
          <w:tcPr>
            <w:tcW w:w="1423" w:type="dxa"/>
            <w:shd w:val="clear" w:color="000000" w:fill="FFFFFF"/>
            <w:hideMark/>
          </w:tcPr>
          <w:p w14:paraId="5FF3585D"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CF5 4AE</w:t>
            </w:r>
          </w:p>
        </w:tc>
      </w:tr>
      <w:tr w:rsidR="00FE5351" w:rsidRPr="00FE5351" w14:paraId="79D4AD80" w14:textId="77777777" w:rsidTr="00E140F7">
        <w:trPr>
          <w:trHeight w:val="290"/>
        </w:trPr>
        <w:tc>
          <w:tcPr>
            <w:tcW w:w="2689" w:type="dxa"/>
            <w:shd w:val="clear" w:color="000000" w:fill="F2F2F2"/>
            <w:hideMark/>
          </w:tcPr>
          <w:p w14:paraId="13F48658"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Nik Pharma T/A Canna Pharmacy</w:t>
            </w:r>
          </w:p>
        </w:tc>
        <w:tc>
          <w:tcPr>
            <w:tcW w:w="3402" w:type="dxa"/>
            <w:shd w:val="clear" w:color="000000" w:fill="F2F2F2"/>
            <w:hideMark/>
          </w:tcPr>
          <w:p w14:paraId="26D28F6C"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27 Wyndham Crescent</w:t>
            </w:r>
          </w:p>
        </w:tc>
        <w:tc>
          <w:tcPr>
            <w:tcW w:w="1842" w:type="dxa"/>
            <w:shd w:val="clear" w:color="000000" w:fill="F2F2F2"/>
            <w:hideMark/>
          </w:tcPr>
          <w:p w14:paraId="76D4F793"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Canton</w:t>
            </w:r>
          </w:p>
        </w:tc>
        <w:tc>
          <w:tcPr>
            <w:tcW w:w="1423" w:type="dxa"/>
            <w:shd w:val="clear" w:color="000000" w:fill="F2F2F2"/>
            <w:hideMark/>
          </w:tcPr>
          <w:p w14:paraId="632ABE55"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CF11 9EE</w:t>
            </w:r>
          </w:p>
        </w:tc>
      </w:tr>
      <w:tr w:rsidR="00FE5351" w:rsidRPr="00FE5351" w14:paraId="55B4A08F" w14:textId="77777777" w:rsidTr="00E140F7">
        <w:trPr>
          <w:trHeight w:val="290"/>
        </w:trPr>
        <w:tc>
          <w:tcPr>
            <w:tcW w:w="2689" w:type="dxa"/>
            <w:shd w:val="clear" w:color="000000" w:fill="FFFFFF"/>
            <w:hideMark/>
          </w:tcPr>
          <w:p w14:paraId="6F10F38B"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Pontcanna Pharmacy</w:t>
            </w:r>
          </w:p>
        </w:tc>
        <w:tc>
          <w:tcPr>
            <w:tcW w:w="3402" w:type="dxa"/>
            <w:shd w:val="clear" w:color="000000" w:fill="FFFFFF"/>
            <w:hideMark/>
          </w:tcPr>
          <w:p w14:paraId="785C18FF"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171 Kings Road</w:t>
            </w:r>
          </w:p>
        </w:tc>
        <w:tc>
          <w:tcPr>
            <w:tcW w:w="1842" w:type="dxa"/>
            <w:shd w:val="clear" w:color="000000" w:fill="FFFFFF"/>
            <w:hideMark/>
          </w:tcPr>
          <w:p w14:paraId="0037F86F"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Pontcanna</w:t>
            </w:r>
          </w:p>
        </w:tc>
        <w:tc>
          <w:tcPr>
            <w:tcW w:w="1423" w:type="dxa"/>
            <w:shd w:val="clear" w:color="000000" w:fill="FFFFFF"/>
            <w:hideMark/>
          </w:tcPr>
          <w:p w14:paraId="7E426F4C" w14:textId="77777777" w:rsidR="00FE5351" w:rsidRPr="00E140F7" w:rsidRDefault="00FE5351" w:rsidP="00DC54F7">
            <w:pPr>
              <w:spacing w:after="0" w:line="240" w:lineRule="auto"/>
              <w:jc w:val="both"/>
              <w:rPr>
                <w:rFonts w:ascii="Arial" w:eastAsia="Times New Roman" w:hAnsi="Arial" w:cs="Arial"/>
                <w:lang w:eastAsia="en-GB"/>
              </w:rPr>
            </w:pPr>
            <w:r w:rsidRPr="00E140F7">
              <w:rPr>
                <w:rFonts w:ascii="Arial" w:eastAsia="Times New Roman" w:hAnsi="Arial" w:cs="Arial"/>
                <w:lang w:eastAsia="en-GB"/>
              </w:rPr>
              <w:t>CF11 9DE</w:t>
            </w:r>
          </w:p>
        </w:tc>
      </w:tr>
    </w:tbl>
    <w:p w14:paraId="1AA51864" w14:textId="77777777" w:rsidR="00CD7A5C" w:rsidRDefault="00CD7A5C" w:rsidP="00DC54F7">
      <w:pPr>
        <w:spacing w:after="0" w:line="240" w:lineRule="auto"/>
        <w:jc w:val="both"/>
        <w:rPr>
          <w:rFonts w:ascii="Arial" w:hAnsi="Arial" w:cs="Arial"/>
          <w:bCs/>
          <w:sz w:val="24"/>
          <w:szCs w:val="24"/>
          <w:lang w:val="en-US"/>
        </w:rPr>
      </w:pPr>
    </w:p>
    <w:p w14:paraId="47BBA441" w14:textId="54F01D69" w:rsidR="00CF1D9E" w:rsidRPr="00E140F7" w:rsidRDefault="00885A60" w:rsidP="00DC54F7">
      <w:pPr>
        <w:spacing w:after="0" w:line="240" w:lineRule="auto"/>
        <w:jc w:val="both"/>
        <w:rPr>
          <w:rFonts w:ascii="Arial" w:hAnsi="Arial" w:cs="Arial"/>
          <w:bCs/>
          <w:sz w:val="24"/>
          <w:szCs w:val="24"/>
          <w:lang w:val="en-US"/>
        </w:rPr>
      </w:pPr>
      <w:r w:rsidRPr="00E140F7">
        <w:rPr>
          <w:rFonts w:ascii="Arial" w:hAnsi="Arial" w:cs="Arial"/>
          <w:bCs/>
          <w:sz w:val="24"/>
          <w:szCs w:val="24"/>
          <w:lang w:val="en-US"/>
        </w:rPr>
        <w:t xml:space="preserve">In 2019 to 2020, </w:t>
      </w:r>
      <w:r w:rsidR="00C23D5A" w:rsidRPr="00E140F7">
        <w:rPr>
          <w:rFonts w:ascii="Arial" w:hAnsi="Arial" w:cs="Arial"/>
          <w:bCs/>
          <w:sz w:val="24"/>
          <w:szCs w:val="24"/>
          <w:lang w:val="en-US"/>
        </w:rPr>
        <w:t>82</w:t>
      </w:r>
      <w:r w:rsidRPr="00E140F7">
        <w:rPr>
          <w:rFonts w:ascii="Arial" w:hAnsi="Arial" w:cs="Arial"/>
          <w:bCs/>
          <w:sz w:val="24"/>
          <w:szCs w:val="24"/>
          <w:lang w:val="en-US"/>
        </w:rPr>
        <w:t>.</w:t>
      </w:r>
      <w:r w:rsidR="00C23D5A" w:rsidRPr="00E140F7">
        <w:rPr>
          <w:rFonts w:ascii="Arial" w:hAnsi="Arial" w:cs="Arial"/>
          <w:bCs/>
          <w:sz w:val="24"/>
          <w:szCs w:val="24"/>
          <w:lang w:val="en-US"/>
        </w:rPr>
        <w:t>0</w:t>
      </w:r>
      <w:r w:rsidRPr="00E140F7">
        <w:rPr>
          <w:rFonts w:ascii="Arial" w:hAnsi="Arial" w:cs="Arial"/>
          <w:bCs/>
          <w:sz w:val="24"/>
          <w:szCs w:val="24"/>
          <w:lang w:val="en-US"/>
        </w:rPr>
        <w:t xml:space="preserve">% of items on prescriptions written by the </w:t>
      </w:r>
      <w:r w:rsidR="007D3785" w:rsidRPr="00E140F7">
        <w:rPr>
          <w:rFonts w:ascii="Arial" w:hAnsi="Arial" w:cs="Arial"/>
          <w:bCs/>
          <w:sz w:val="24"/>
          <w:szCs w:val="24"/>
          <w:lang w:val="en-US"/>
        </w:rPr>
        <w:t>10</w:t>
      </w:r>
      <w:r w:rsidRPr="00E140F7">
        <w:rPr>
          <w:rFonts w:ascii="Arial" w:hAnsi="Arial" w:cs="Arial"/>
          <w:bCs/>
          <w:sz w:val="24"/>
          <w:szCs w:val="24"/>
          <w:lang w:val="en-US"/>
        </w:rPr>
        <w:t xml:space="preserve"> GP practices in Cardiff </w:t>
      </w:r>
      <w:r w:rsidR="00C23D5A" w:rsidRPr="00E140F7">
        <w:rPr>
          <w:rFonts w:ascii="Arial" w:hAnsi="Arial" w:cs="Arial"/>
          <w:bCs/>
          <w:sz w:val="24"/>
          <w:szCs w:val="24"/>
          <w:lang w:val="en-US"/>
        </w:rPr>
        <w:t>South West</w:t>
      </w:r>
      <w:r w:rsidRPr="00E140F7">
        <w:rPr>
          <w:rFonts w:ascii="Arial" w:hAnsi="Arial" w:cs="Arial"/>
          <w:bCs/>
          <w:sz w:val="24"/>
          <w:szCs w:val="24"/>
          <w:lang w:val="en-US"/>
        </w:rPr>
        <w:t xml:space="preserve"> cluster were dispensed by one of the pharmacies within the cluster and 1.</w:t>
      </w:r>
      <w:r w:rsidR="00C23D5A" w:rsidRPr="00E140F7">
        <w:rPr>
          <w:rFonts w:ascii="Arial" w:hAnsi="Arial" w:cs="Arial"/>
          <w:bCs/>
          <w:sz w:val="24"/>
          <w:szCs w:val="24"/>
          <w:lang w:val="en-US"/>
        </w:rPr>
        <w:t>7</w:t>
      </w:r>
      <w:r w:rsidRPr="00E140F7">
        <w:rPr>
          <w:rFonts w:ascii="Arial" w:hAnsi="Arial" w:cs="Arial"/>
          <w:bCs/>
          <w:sz w:val="24"/>
          <w:szCs w:val="24"/>
          <w:lang w:val="en-US"/>
        </w:rPr>
        <w:t>% were personally administered items.</w:t>
      </w:r>
    </w:p>
    <w:p w14:paraId="7DFC5C77" w14:textId="77777777" w:rsidR="00CF1D9E" w:rsidRPr="00E140F7" w:rsidRDefault="00CF1D9E" w:rsidP="00DC54F7">
      <w:pPr>
        <w:spacing w:after="0" w:line="240" w:lineRule="auto"/>
        <w:jc w:val="both"/>
        <w:rPr>
          <w:rFonts w:ascii="Arial" w:hAnsi="Arial" w:cs="Arial"/>
          <w:b/>
          <w:sz w:val="24"/>
          <w:szCs w:val="24"/>
          <w:lang w:val="en-US"/>
        </w:rPr>
      </w:pPr>
    </w:p>
    <w:p w14:paraId="6498182E" w14:textId="349D6994" w:rsidR="00CF1D9E" w:rsidRDefault="00CF1D9E" w:rsidP="00DC54F7">
      <w:pPr>
        <w:spacing w:after="0" w:line="240" w:lineRule="auto"/>
        <w:jc w:val="both"/>
        <w:rPr>
          <w:rFonts w:ascii="Arial" w:hAnsi="Arial" w:cs="Arial"/>
          <w:bCs/>
          <w:sz w:val="24"/>
          <w:szCs w:val="24"/>
          <w:lang w:val="en-US"/>
        </w:rPr>
      </w:pPr>
      <w:r w:rsidRPr="00E140F7">
        <w:rPr>
          <w:rFonts w:ascii="Arial" w:hAnsi="Arial" w:cs="Arial"/>
          <w:bCs/>
          <w:sz w:val="24"/>
          <w:szCs w:val="24"/>
          <w:lang w:val="en-US"/>
        </w:rPr>
        <w:t xml:space="preserve">The pharmacies are located in areas of greater population density as shown by the darker shaded areas in the map below. </w:t>
      </w:r>
    </w:p>
    <w:p w14:paraId="15E8232B" w14:textId="0599D848" w:rsidR="00F509C3" w:rsidRDefault="00F509C3" w:rsidP="00DC54F7">
      <w:pPr>
        <w:spacing w:after="0" w:line="240" w:lineRule="auto"/>
        <w:jc w:val="both"/>
        <w:rPr>
          <w:rFonts w:ascii="Arial" w:hAnsi="Arial" w:cs="Arial"/>
          <w:bCs/>
          <w:sz w:val="24"/>
          <w:szCs w:val="24"/>
          <w:lang w:val="en-US"/>
        </w:rPr>
      </w:pPr>
    </w:p>
    <w:p w14:paraId="06CFF5F7" w14:textId="0AA80AEC" w:rsidR="00CD7A5C" w:rsidRDefault="00CD7A5C" w:rsidP="00DC54F7">
      <w:pPr>
        <w:jc w:val="both"/>
        <w:rPr>
          <w:rFonts w:ascii="Arial" w:hAnsi="Arial" w:cs="Arial"/>
          <w:b/>
          <w:sz w:val="24"/>
          <w:szCs w:val="24"/>
          <w:lang w:val="en-US"/>
        </w:rPr>
      </w:pPr>
      <w:r>
        <w:rPr>
          <w:rFonts w:ascii="Arial" w:hAnsi="Arial" w:cs="Arial"/>
          <w:b/>
          <w:sz w:val="24"/>
          <w:szCs w:val="24"/>
          <w:lang w:val="en-US"/>
        </w:rPr>
        <w:br w:type="page"/>
      </w:r>
    </w:p>
    <w:p w14:paraId="39E48B28" w14:textId="4AA58699" w:rsidR="00CF1D9E" w:rsidRPr="002F3B7B" w:rsidRDefault="00F509C3" w:rsidP="00DC54F7">
      <w:pPr>
        <w:spacing w:after="0" w:line="240" w:lineRule="auto"/>
        <w:jc w:val="both"/>
        <w:rPr>
          <w:rFonts w:ascii="Arial" w:hAnsi="Arial" w:cs="Arial"/>
          <w:b/>
          <w:sz w:val="24"/>
          <w:szCs w:val="24"/>
          <w:lang w:val="en-US"/>
        </w:rPr>
      </w:pPr>
      <w:r w:rsidRPr="00264698">
        <w:rPr>
          <w:rFonts w:ascii="Arial" w:hAnsi="Arial" w:cs="Arial"/>
          <w:b/>
          <w:sz w:val="24"/>
          <w:szCs w:val="24"/>
          <w:lang w:val="en-US"/>
        </w:rPr>
        <w:lastRenderedPageBreak/>
        <w:t xml:space="preserve">Map </w:t>
      </w:r>
      <w:r w:rsidR="002F3B7B">
        <w:rPr>
          <w:rFonts w:ascii="Arial" w:hAnsi="Arial" w:cs="Arial"/>
          <w:b/>
          <w:sz w:val="24"/>
          <w:szCs w:val="24"/>
          <w:lang w:val="en-US"/>
        </w:rPr>
        <w:t>12</w:t>
      </w:r>
      <w:r w:rsidRPr="00264698">
        <w:rPr>
          <w:rFonts w:ascii="Arial" w:hAnsi="Arial" w:cs="Arial"/>
          <w:b/>
          <w:sz w:val="24"/>
          <w:szCs w:val="24"/>
          <w:lang w:val="en-US"/>
        </w:rPr>
        <w:t>.</w:t>
      </w:r>
      <w:r>
        <w:rPr>
          <w:rFonts w:ascii="Arial" w:hAnsi="Arial" w:cs="Arial"/>
          <w:b/>
          <w:sz w:val="24"/>
          <w:szCs w:val="24"/>
          <w:lang w:val="en-US"/>
        </w:rPr>
        <w:t>2</w:t>
      </w:r>
      <w:r w:rsidRPr="00264698">
        <w:rPr>
          <w:rFonts w:ascii="Arial" w:hAnsi="Arial" w:cs="Arial"/>
          <w:b/>
          <w:sz w:val="24"/>
          <w:szCs w:val="24"/>
          <w:lang w:val="en-US"/>
        </w:rPr>
        <w:t>: Location of pharmacy premise</w:t>
      </w:r>
      <w:r>
        <w:rPr>
          <w:rFonts w:ascii="Arial" w:hAnsi="Arial" w:cs="Arial"/>
          <w:b/>
          <w:sz w:val="24"/>
          <w:szCs w:val="24"/>
          <w:lang w:val="en-US"/>
        </w:rPr>
        <w:t xml:space="preserve">s </w:t>
      </w:r>
      <w:r w:rsidRPr="00264698">
        <w:rPr>
          <w:rFonts w:ascii="Arial" w:hAnsi="Arial" w:cs="Arial"/>
          <w:b/>
          <w:sz w:val="24"/>
          <w:szCs w:val="24"/>
          <w:lang w:val="en-US"/>
        </w:rPr>
        <w:t>compared to population densit</w:t>
      </w:r>
      <w:r w:rsidR="002F3B7B">
        <w:rPr>
          <w:rFonts w:ascii="Arial" w:hAnsi="Arial" w:cs="Arial"/>
          <w:b/>
          <w:sz w:val="24"/>
          <w:szCs w:val="24"/>
          <w:lang w:val="en-US"/>
        </w:rPr>
        <w:t>y</w:t>
      </w:r>
    </w:p>
    <w:p w14:paraId="5172DC1D" w14:textId="18E09006" w:rsidR="00CF1D9E" w:rsidRPr="00CD7A5C" w:rsidRDefault="00C22C9B" w:rsidP="00DC54F7">
      <w:pPr>
        <w:spacing w:after="0" w:line="240" w:lineRule="auto"/>
        <w:jc w:val="both"/>
        <w:rPr>
          <w:rFonts w:ascii="Arial" w:hAnsi="Arial" w:cs="Arial"/>
          <w:b/>
          <w:lang w:val="en-US"/>
        </w:rPr>
      </w:pPr>
      <w:r>
        <w:rPr>
          <w:noProof/>
          <w:lang w:eastAsia="en-GB"/>
        </w:rPr>
        <w:drawing>
          <wp:inline distT="0" distB="0" distL="0" distR="0" wp14:anchorId="05F5B662" wp14:editId="246C76F0">
            <wp:extent cx="5731510" cy="3880884"/>
            <wp:effectExtent l="0" t="0" r="2540" b="5715"/>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734689" cy="3883036"/>
                    </a:xfrm>
                    <a:prstGeom prst="rect">
                      <a:avLst/>
                    </a:prstGeom>
                    <a:noFill/>
                    <a:ln>
                      <a:noFill/>
                    </a:ln>
                  </pic:spPr>
                </pic:pic>
              </a:graphicData>
            </a:graphic>
          </wp:inline>
        </w:drawing>
      </w:r>
    </w:p>
    <w:p w14:paraId="3E732D49" w14:textId="285DCD6C" w:rsidR="00CF1D9E" w:rsidRPr="00B76F66" w:rsidRDefault="00CF1D9E" w:rsidP="00DC54F7">
      <w:pPr>
        <w:spacing w:after="0" w:line="240" w:lineRule="auto"/>
        <w:contextualSpacing/>
        <w:jc w:val="both"/>
        <w:rPr>
          <w:rFonts w:ascii="Arial" w:hAnsi="Arial" w:cs="Arial"/>
          <w:sz w:val="24"/>
          <w:szCs w:val="24"/>
        </w:rPr>
      </w:pPr>
      <w:r w:rsidRPr="00B76F66">
        <w:rPr>
          <w:rFonts w:ascii="Arial" w:hAnsi="Arial" w:cs="Arial"/>
          <w:sz w:val="24"/>
          <w:szCs w:val="24"/>
        </w:rPr>
        <w:t xml:space="preserve">All residents of the cluster can access one of the pharmacies by car within </w:t>
      </w:r>
      <w:r w:rsidR="005D26B9" w:rsidRPr="00B76F66">
        <w:rPr>
          <w:rFonts w:ascii="Arial" w:hAnsi="Arial" w:cs="Arial"/>
          <w:sz w:val="24"/>
          <w:szCs w:val="24"/>
        </w:rPr>
        <w:t>1</w:t>
      </w:r>
      <w:r w:rsidRPr="00B76F66">
        <w:rPr>
          <w:rFonts w:ascii="Arial" w:hAnsi="Arial" w:cs="Arial"/>
          <w:sz w:val="24"/>
          <w:szCs w:val="24"/>
        </w:rPr>
        <w:t xml:space="preserve">0 minutes. The majority can access a pharmacy within </w:t>
      </w:r>
      <w:r w:rsidR="005D26B9" w:rsidRPr="00B76F66">
        <w:rPr>
          <w:rFonts w:ascii="Arial" w:hAnsi="Arial" w:cs="Arial"/>
          <w:sz w:val="24"/>
          <w:szCs w:val="24"/>
        </w:rPr>
        <w:t xml:space="preserve">five </w:t>
      </w:r>
      <w:r w:rsidRPr="00B76F66">
        <w:rPr>
          <w:rFonts w:ascii="Arial" w:hAnsi="Arial" w:cs="Arial"/>
          <w:sz w:val="24"/>
          <w:szCs w:val="24"/>
        </w:rPr>
        <w:t xml:space="preserve">minutes, as shown in map </w:t>
      </w:r>
      <w:r w:rsidR="00C23D5A" w:rsidRPr="00B76F66">
        <w:rPr>
          <w:rFonts w:ascii="Arial" w:hAnsi="Arial" w:cs="Arial"/>
          <w:sz w:val="24"/>
          <w:szCs w:val="24"/>
        </w:rPr>
        <w:t>12</w:t>
      </w:r>
      <w:r w:rsidRPr="00B76F66">
        <w:rPr>
          <w:rFonts w:ascii="Arial" w:hAnsi="Arial" w:cs="Arial"/>
          <w:sz w:val="24"/>
          <w:szCs w:val="24"/>
        </w:rPr>
        <w:t>.</w:t>
      </w:r>
      <w:r w:rsidR="00B76F66">
        <w:rPr>
          <w:rFonts w:ascii="Arial" w:hAnsi="Arial" w:cs="Arial"/>
          <w:sz w:val="24"/>
          <w:szCs w:val="24"/>
        </w:rPr>
        <w:t>3</w:t>
      </w:r>
      <w:r w:rsidRPr="00B76F66">
        <w:rPr>
          <w:rFonts w:ascii="Arial" w:hAnsi="Arial" w:cs="Arial"/>
          <w:sz w:val="24"/>
          <w:szCs w:val="24"/>
        </w:rPr>
        <w:t>.</w:t>
      </w:r>
    </w:p>
    <w:p w14:paraId="639D20CF" w14:textId="77777777" w:rsidR="00CF1D9E" w:rsidRPr="00B76F66" w:rsidRDefault="00CF1D9E" w:rsidP="00DC54F7">
      <w:pPr>
        <w:spacing w:after="0" w:line="240" w:lineRule="auto"/>
        <w:contextualSpacing/>
        <w:jc w:val="both"/>
        <w:rPr>
          <w:rFonts w:ascii="Arial" w:hAnsi="Arial" w:cs="Arial"/>
          <w:sz w:val="24"/>
          <w:szCs w:val="24"/>
          <w:highlight w:val="yellow"/>
        </w:rPr>
      </w:pPr>
    </w:p>
    <w:p w14:paraId="1E00967E" w14:textId="2D761C1D" w:rsidR="00CF1D9E" w:rsidRPr="00B76F66" w:rsidRDefault="00CF1D9E" w:rsidP="00DC54F7">
      <w:pPr>
        <w:spacing w:after="0" w:line="240" w:lineRule="auto"/>
        <w:contextualSpacing/>
        <w:jc w:val="both"/>
        <w:rPr>
          <w:rFonts w:ascii="Arial" w:hAnsi="Arial" w:cs="Arial"/>
          <w:b/>
          <w:bCs/>
          <w:sz w:val="24"/>
          <w:szCs w:val="24"/>
        </w:rPr>
      </w:pPr>
      <w:r w:rsidRPr="00B76F66">
        <w:rPr>
          <w:rFonts w:ascii="Arial" w:hAnsi="Arial" w:cs="Arial"/>
          <w:b/>
          <w:bCs/>
          <w:sz w:val="24"/>
          <w:szCs w:val="24"/>
        </w:rPr>
        <w:t xml:space="preserve">Map </w:t>
      </w:r>
      <w:r w:rsidR="00C71A0C" w:rsidRPr="00B76F66">
        <w:rPr>
          <w:rFonts w:ascii="Arial" w:hAnsi="Arial" w:cs="Arial"/>
          <w:b/>
          <w:bCs/>
          <w:sz w:val="24"/>
          <w:szCs w:val="24"/>
        </w:rPr>
        <w:t>12</w:t>
      </w:r>
      <w:r w:rsidRPr="00B76F66">
        <w:rPr>
          <w:rFonts w:ascii="Arial" w:hAnsi="Arial" w:cs="Arial"/>
          <w:b/>
          <w:bCs/>
          <w:sz w:val="24"/>
          <w:szCs w:val="24"/>
        </w:rPr>
        <w:t>.</w:t>
      </w:r>
      <w:r w:rsidR="00FE6A39" w:rsidRPr="00B76F66">
        <w:rPr>
          <w:rFonts w:ascii="Arial" w:hAnsi="Arial" w:cs="Arial"/>
          <w:b/>
          <w:bCs/>
          <w:sz w:val="24"/>
          <w:szCs w:val="24"/>
        </w:rPr>
        <w:t>3</w:t>
      </w:r>
      <w:r w:rsidRPr="00B76F66">
        <w:rPr>
          <w:rFonts w:ascii="Arial" w:hAnsi="Arial" w:cs="Arial"/>
          <w:b/>
          <w:bCs/>
          <w:sz w:val="24"/>
          <w:szCs w:val="24"/>
        </w:rPr>
        <w:t>: Access to pharmacies in the cluster</w:t>
      </w:r>
    </w:p>
    <w:p w14:paraId="179A2BD4" w14:textId="32ACAC2E" w:rsidR="00CF1D9E" w:rsidRPr="006E6035" w:rsidRDefault="0064070F" w:rsidP="00DC54F7">
      <w:pPr>
        <w:spacing w:after="0" w:line="240" w:lineRule="auto"/>
        <w:contextualSpacing/>
        <w:jc w:val="both"/>
        <w:rPr>
          <w:rFonts w:ascii="Arial" w:hAnsi="Arial" w:cs="Arial"/>
          <w:highlight w:val="yellow"/>
        </w:rPr>
      </w:pPr>
      <w:r>
        <w:rPr>
          <w:noProof/>
          <w:lang w:eastAsia="en-GB"/>
        </w:rPr>
        <w:drawing>
          <wp:inline distT="0" distB="0" distL="0" distR="0" wp14:anchorId="5527D28F" wp14:editId="03B04C45">
            <wp:extent cx="5729929" cy="3721395"/>
            <wp:effectExtent l="0" t="0" r="4445" b="0"/>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767109" cy="3745542"/>
                    </a:xfrm>
                    <a:prstGeom prst="rect">
                      <a:avLst/>
                    </a:prstGeom>
                    <a:noFill/>
                    <a:ln>
                      <a:noFill/>
                    </a:ln>
                  </pic:spPr>
                </pic:pic>
              </a:graphicData>
            </a:graphic>
          </wp:inline>
        </w:drawing>
      </w:r>
    </w:p>
    <w:p w14:paraId="42C05E5C" w14:textId="77777777" w:rsidR="00CF1D9E" w:rsidRPr="00B76F66" w:rsidRDefault="00CF1D9E" w:rsidP="00DC54F7">
      <w:pPr>
        <w:spacing w:after="0" w:line="240" w:lineRule="auto"/>
        <w:contextualSpacing/>
        <w:jc w:val="both"/>
        <w:rPr>
          <w:rFonts w:ascii="Arial" w:hAnsi="Arial" w:cs="Arial"/>
          <w:sz w:val="24"/>
          <w:szCs w:val="24"/>
        </w:rPr>
      </w:pPr>
      <w:r w:rsidRPr="00B76F66">
        <w:rPr>
          <w:rFonts w:ascii="Arial" w:hAnsi="Arial" w:cs="Arial"/>
          <w:sz w:val="24"/>
          <w:szCs w:val="24"/>
        </w:rPr>
        <w:t>Looking at the opening hours for the pharmacies:</w:t>
      </w:r>
    </w:p>
    <w:p w14:paraId="68F0B6FA" w14:textId="77777777" w:rsidR="00CF1D9E" w:rsidRPr="00B76F66" w:rsidRDefault="00CF1D9E" w:rsidP="00DC54F7">
      <w:pPr>
        <w:spacing w:after="0" w:line="240" w:lineRule="auto"/>
        <w:contextualSpacing/>
        <w:jc w:val="both"/>
        <w:rPr>
          <w:rFonts w:ascii="Arial" w:hAnsi="Arial" w:cs="Arial"/>
          <w:sz w:val="24"/>
          <w:szCs w:val="24"/>
        </w:rPr>
      </w:pPr>
    </w:p>
    <w:p w14:paraId="75A88090" w14:textId="77777777" w:rsidR="00CF1D9E" w:rsidRPr="00B76F66" w:rsidRDefault="00CF1D9E" w:rsidP="00DC54F7">
      <w:pPr>
        <w:pStyle w:val="ListParagraph"/>
        <w:numPr>
          <w:ilvl w:val="0"/>
          <w:numId w:val="141"/>
        </w:numPr>
        <w:spacing w:after="0" w:line="240" w:lineRule="auto"/>
        <w:jc w:val="both"/>
        <w:rPr>
          <w:rFonts w:ascii="Arial" w:hAnsi="Arial" w:cs="Arial"/>
          <w:sz w:val="24"/>
          <w:szCs w:val="24"/>
        </w:rPr>
      </w:pPr>
      <w:r w:rsidRPr="00B76F66">
        <w:rPr>
          <w:rFonts w:ascii="Arial" w:hAnsi="Arial" w:cs="Arial"/>
          <w:sz w:val="24"/>
          <w:szCs w:val="24"/>
        </w:rPr>
        <w:t>One pharmacy is open seven days a week</w:t>
      </w:r>
    </w:p>
    <w:p w14:paraId="5C591C28" w14:textId="27820064" w:rsidR="00CF1D9E" w:rsidRPr="00B76F66" w:rsidRDefault="0064070F" w:rsidP="00DC54F7">
      <w:pPr>
        <w:pStyle w:val="ListParagraph"/>
        <w:numPr>
          <w:ilvl w:val="0"/>
          <w:numId w:val="141"/>
        </w:numPr>
        <w:spacing w:after="0" w:line="240" w:lineRule="auto"/>
        <w:jc w:val="both"/>
        <w:rPr>
          <w:rFonts w:ascii="Arial" w:hAnsi="Arial" w:cs="Arial"/>
          <w:sz w:val="24"/>
          <w:szCs w:val="24"/>
        </w:rPr>
      </w:pPr>
      <w:r w:rsidRPr="00B76F66">
        <w:rPr>
          <w:rFonts w:ascii="Arial" w:hAnsi="Arial" w:cs="Arial"/>
          <w:sz w:val="24"/>
          <w:szCs w:val="24"/>
        </w:rPr>
        <w:t>Two</w:t>
      </w:r>
      <w:r w:rsidR="00CF1D9E" w:rsidRPr="00B76F66">
        <w:rPr>
          <w:rFonts w:ascii="Arial" w:hAnsi="Arial" w:cs="Arial"/>
          <w:sz w:val="24"/>
          <w:szCs w:val="24"/>
        </w:rPr>
        <w:t xml:space="preserve"> pharmac</w:t>
      </w:r>
      <w:r w:rsidRPr="00B76F66">
        <w:rPr>
          <w:rFonts w:ascii="Arial" w:hAnsi="Arial" w:cs="Arial"/>
          <w:sz w:val="24"/>
          <w:szCs w:val="24"/>
        </w:rPr>
        <w:t>ies</w:t>
      </w:r>
      <w:r w:rsidR="00CF1D9E" w:rsidRPr="00B76F66">
        <w:rPr>
          <w:rFonts w:ascii="Arial" w:hAnsi="Arial" w:cs="Arial"/>
          <w:sz w:val="24"/>
          <w:szCs w:val="24"/>
        </w:rPr>
        <w:t xml:space="preserve"> </w:t>
      </w:r>
      <w:r w:rsidRPr="00B76F66">
        <w:rPr>
          <w:rFonts w:ascii="Arial" w:hAnsi="Arial" w:cs="Arial"/>
          <w:sz w:val="24"/>
          <w:szCs w:val="24"/>
        </w:rPr>
        <w:t>are</w:t>
      </w:r>
      <w:r w:rsidR="00CF1D9E" w:rsidRPr="00B76F66">
        <w:rPr>
          <w:rFonts w:ascii="Arial" w:hAnsi="Arial" w:cs="Arial"/>
          <w:sz w:val="24"/>
          <w:szCs w:val="24"/>
        </w:rPr>
        <w:t xml:space="preserve"> open Monday to Saturday</w:t>
      </w:r>
    </w:p>
    <w:p w14:paraId="619A1082" w14:textId="7DEF479D" w:rsidR="00CF1D9E" w:rsidRPr="00B76F66" w:rsidRDefault="0064070F" w:rsidP="00DC54F7">
      <w:pPr>
        <w:pStyle w:val="ListParagraph"/>
        <w:numPr>
          <w:ilvl w:val="0"/>
          <w:numId w:val="141"/>
        </w:numPr>
        <w:spacing w:after="0" w:line="240" w:lineRule="auto"/>
        <w:jc w:val="both"/>
        <w:rPr>
          <w:rFonts w:ascii="Arial" w:hAnsi="Arial" w:cs="Arial"/>
          <w:sz w:val="24"/>
          <w:szCs w:val="24"/>
        </w:rPr>
      </w:pPr>
      <w:r w:rsidRPr="00B76F66">
        <w:rPr>
          <w:rFonts w:ascii="Arial" w:hAnsi="Arial" w:cs="Arial"/>
          <w:sz w:val="24"/>
          <w:szCs w:val="24"/>
        </w:rPr>
        <w:t>Two</w:t>
      </w:r>
      <w:r w:rsidR="00CF1D9E" w:rsidRPr="00B76F66">
        <w:rPr>
          <w:rFonts w:ascii="Arial" w:hAnsi="Arial" w:cs="Arial"/>
          <w:sz w:val="24"/>
          <w:szCs w:val="24"/>
        </w:rPr>
        <w:t xml:space="preserve"> pharmacies are open Monday to Friday and Saturday morning</w:t>
      </w:r>
    </w:p>
    <w:p w14:paraId="6E782D3B" w14:textId="4600B3A0" w:rsidR="00CF1D9E" w:rsidRPr="00B76F66" w:rsidRDefault="0064070F" w:rsidP="00DC54F7">
      <w:pPr>
        <w:pStyle w:val="ListParagraph"/>
        <w:numPr>
          <w:ilvl w:val="0"/>
          <w:numId w:val="141"/>
        </w:numPr>
        <w:spacing w:after="0" w:line="240" w:lineRule="auto"/>
        <w:jc w:val="both"/>
        <w:rPr>
          <w:rFonts w:ascii="Arial" w:hAnsi="Arial" w:cs="Arial"/>
          <w:sz w:val="24"/>
          <w:szCs w:val="24"/>
        </w:rPr>
      </w:pPr>
      <w:r w:rsidRPr="00B76F66">
        <w:rPr>
          <w:rFonts w:ascii="Arial" w:hAnsi="Arial" w:cs="Arial"/>
          <w:sz w:val="24"/>
          <w:szCs w:val="24"/>
        </w:rPr>
        <w:t>Five</w:t>
      </w:r>
      <w:r w:rsidR="00CF1D9E" w:rsidRPr="00B76F66">
        <w:rPr>
          <w:rFonts w:ascii="Arial" w:hAnsi="Arial" w:cs="Arial"/>
          <w:sz w:val="24"/>
          <w:szCs w:val="24"/>
        </w:rPr>
        <w:t xml:space="preserve"> pharmac</w:t>
      </w:r>
      <w:r w:rsidRPr="00B76F66">
        <w:rPr>
          <w:rFonts w:ascii="Arial" w:hAnsi="Arial" w:cs="Arial"/>
          <w:sz w:val="24"/>
          <w:szCs w:val="24"/>
        </w:rPr>
        <w:t>ies</w:t>
      </w:r>
      <w:r w:rsidR="00CF1D9E" w:rsidRPr="00B76F66">
        <w:rPr>
          <w:rFonts w:ascii="Arial" w:hAnsi="Arial" w:cs="Arial"/>
          <w:sz w:val="24"/>
          <w:szCs w:val="24"/>
        </w:rPr>
        <w:t xml:space="preserve"> </w:t>
      </w:r>
      <w:r w:rsidRPr="00B76F66">
        <w:rPr>
          <w:rFonts w:ascii="Arial" w:hAnsi="Arial" w:cs="Arial"/>
          <w:sz w:val="24"/>
          <w:szCs w:val="24"/>
        </w:rPr>
        <w:t>are</w:t>
      </w:r>
      <w:r w:rsidR="00CF1D9E" w:rsidRPr="00B76F66">
        <w:rPr>
          <w:rFonts w:ascii="Arial" w:hAnsi="Arial" w:cs="Arial"/>
          <w:sz w:val="24"/>
          <w:szCs w:val="24"/>
        </w:rPr>
        <w:t xml:space="preserve"> open Monday to Friday</w:t>
      </w:r>
    </w:p>
    <w:p w14:paraId="7785733B" w14:textId="77777777" w:rsidR="00DC240A" w:rsidRPr="00B76F66" w:rsidRDefault="00DC240A" w:rsidP="00DC54F7">
      <w:pPr>
        <w:spacing w:after="0" w:line="240" w:lineRule="auto"/>
        <w:jc w:val="both"/>
        <w:rPr>
          <w:rFonts w:ascii="Arial" w:hAnsi="Arial" w:cs="Arial"/>
          <w:sz w:val="24"/>
          <w:szCs w:val="24"/>
        </w:rPr>
      </w:pPr>
    </w:p>
    <w:p w14:paraId="19441AA5" w14:textId="7B86A56E" w:rsidR="00DC240A" w:rsidRPr="00B76F66" w:rsidRDefault="00DC240A" w:rsidP="00DC54F7">
      <w:pPr>
        <w:spacing w:after="0" w:line="240" w:lineRule="auto"/>
        <w:jc w:val="both"/>
        <w:rPr>
          <w:rFonts w:ascii="Arial" w:hAnsi="Arial" w:cs="Arial"/>
          <w:sz w:val="24"/>
          <w:szCs w:val="24"/>
        </w:rPr>
      </w:pPr>
      <w:r w:rsidRPr="00B76F66">
        <w:rPr>
          <w:rFonts w:ascii="Arial" w:hAnsi="Arial" w:cs="Arial"/>
          <w:sz w:val="24"/>
          <w:szCs w:val="24"/>
        </w:rPr>
        <w:t xml:space="preserve">All pharmacies must open for their core contractual hours, which are 40 hours a week. These can only be amended with approval by the health board. All additional hours or supplementary hours can be amended by the pharmacy following the provision of 90 days’ notice to the health board. Within the cluster, opening hours and closing hours range from: </w:t>
      </w:r>
    </w:p>
    <w:p w14:paraId="2AB685B1" w14:textId="77777777" w:rsidR="00CF1D9E" w:rsidRPr="00B76F66" w:rsidRDefault="00CF1D9E" w:rsidP="00DC54F7">
      <w:pPr>
        <w:spacing w:after="0" w:line="240" w:lineRule="auto"/>
        <w:contextualSpacing/>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CF1D9E" w:rsidRPr="00B76F66" w14:paraId="136C043D" w14:textId="77777777" w:rsidTr="008E78E6">
        <w:tc>
          <w:tcPr>
            <w:tcW w:w="3005" w:type="dxa"/>
          </w:tcPr>
          <w:p w14:paraId="37338EC0" w14:textId="77777777" w:rsidR="00CF1D9E" w:rsidRPr="00B76F66" w:rsidRDefault="00CF1D9E" w:rsidP="00DC54F7">
            <w:pPr>
              <w:contextualSpacing/>
              <w:jc w:val="both"/>
              <w:rPr>
                <w:rFonts w:ascii="Arial" w:hAnsi="Arial" w:cs="Arial"/>
                <w:b/>
                <w:bCs/>
                <w:sz w:val="24"/>
                <w:szCs w:val="24"/>
              </w:rPr>
            </w:pPr>
            <w:r w:rsidRPr="00B76F66">
              <w:rPr>
                <w:rFonts w:ascii="Arial" w:hAnsi="Arial" w:cs="Arial"/>
                <w:b/>
                <w:bCs/>
                <w:sz w:val="24"/>
                <w:szCs w:val="24"/>
              </w:rPr>
              <w:t>Days</w:t>
            </w:r>
          </w:p>
        </w:tc>
        <w:tc>
          <w:tcPr>
            <w:tcW w:w="3005" w:type="dxa"/>
          </w:tcPr>
          <w:p w14:paraId="4FF81F1C" w14:textId="77777777" w:rsidR="00CF1D9E" w:rsidRPr="00B76F66" w:rsidRDefault="00CF1D9E" w:rsidP="00DC54F7">
            <w:pPr>
              <w:contextualSpacing/>
              <w:jc w:val="both"/>
              <w:rPr>
                <w:rFonts w:ascii="Arial" w:hAnsi="Arial" w:cs="Arial"/>
                <w:b/>
                <w:bCs/>
                <w:sz w:val="24"/>
                <w:szCs w:val="24"/>
              </w:rPr>
            </w:pPr>
            <w:r w:rsidRPr="00B76F66">
              <w:rPr>
                <w:rFonts w:ascii="Arial" w:hAnsi="Arial" w:cs="Arial"/>
                <w:b/>
                <w:bCs/>
                <w:sz w:val="24"/>
                <w:szCs w:val="24"/>
              </w:rPr>
              <w:t>Opening hours range</w:t>
            </w:r>
          </w:p>
        </w:tc>
        <w:tc>
          <w:tcPr>
            <w:tcW w:w="3006" w:type="dxa"/>
          </w:tcPr>
          <w:p w14:paraId="7CCE5A52" w14:textId="77777777" w:rsidR="00CF1D9E" w:rsidRPr="00B76F66" w:rsidRDefault="00CF1D9E" w:rsidP="00DC54F7">
            <w:pPr>
              <w:contextualSpacing/>
              <w:jc w:val="both"/>
              <w:rPr>
                <w:rFonts w:ascii="Arial" w:hAnsi="Arial" w:cs="Arial"/>
                <w:b/>
                <w:bCs/>
                <w:sz w:val="24"/>
                <w:szCs w:val="24"/>
              </w:rPr>
            </w:pPr>
            <w:r w:rsidRPr="00B76F66">
              <w:rPr>
                <w:rFonts w:ascii="Arial" w:hAnsi="Arial" w:cs="Arial"/>
                <w:b/>
                <w:bCs/>
                <w:sz w:val="24"/>
                <w:szCs w:val="24"/>
              </w:rPr>
              <w:t>Closing hours range</w:t>
            </w:r>
          </w:p>
        </w:tc>
      </w:tr>
      <w:tr w:rsidR="00CF1D9E" w:rsidRPr="00B76F66" w14:paraId="190915DC" w14:textId="77777777" w:rsidTr="008E78E6">
        <w:tc>
          <w:tcPr>
            <w:tcW w:w="3005" w:type="dxa"/>
          </w:tcPr>
          <w:p w14:paraId="31EB42CC" w14:textId="77777777" w:rsidR="00CF1D9E" w:rsidRPr="00B76F66" w:rsidRDefault="00CF1D9E" w:rsidP="00DC54F7">
            <w:pPr>
              <w:contextualSpacing/>
              <w:jc w:val="both"/>
              <w:rPr>
                <w:rFonts w:ascii="Arial" w:hAnsi="Arial" w:cs="Arial"/>
                <w:sz w:val="24"/>
                <w:szCs w:val="24"/>
              </w:rPr>
            </w:pPr>
            <w:r w:rsidRPr="00B76F66">
              <w:rPr>
                <w:rFonts w:ascii="Arial" w:hAnsi="Arial" w:cs="Arial"/>
                <w:sz w:val="24"/>
                <w:szCs w:val="24"/>
              </w:rPr>
              <w:t>Monday to Friday</w:t>
            </w:r>
          </w:p>
        </w:tc>
        <w:tc>
          <w:tcPr>
            <w:tcW w:w="3005" w:type="dxa"/>
          </w:tcPr>
          <w:p w14:paraId="296E4D26" w14:textId="77777777" w:rsidR="00CF1D9E" w:rsidRPr="00B76F66" w:rsidRDefault="00CF1D9E" w:rsidP="00DC54F7">
            <w:pPr>
              <w:contextualSpacing/>
              <w:jc w:val="both"/>
              <w:rPr>
                <w:rFonts w:ascii="Arial" w:hAnsi="Arial" w:cs="Arial"/>
                <w:sz w:val="24"/>
                <w:szCs w:val="24"/>
              </w:rPr>
            </w:pPr>
            <w:r w:rsidRPr="00B76F66">
              <w:rPr>
                <w:rFonts w:ascii="Arial" w:hAnsi="Arial" w:cs="Arial"/>
                <w:sz w:val="24"/>
                <w:szCs w:val="24"/>
              </w:rPr>
              <w:t>08.00am to 09.00am</w:t>
            </w:r>
          </w:p>
        </w:tc>
        <w:tc>
          <w:tcPr>
            <w:tcW w:w="3006" w:type="dxa"/>
          </w:tcPr>
          <w:p w14:paraId="079277C3" w14:textId="6A8CDE4A" w:rsidR="00CF1D9E" w:rsidRPr="00B76F66" w:rsidRDefault="00CF1D9E" w:rsidP="00DC54F7">
            <w:pPr>
              <w:contextualSpacing/>
              <w:jc w:val="both"/>
              <w:rPr>
                <w:rFonts w:ascii="Arial" w:hAnsi="Arial" w:cs="Arial"/>
                <w:sz w:val="24"/>
                <w:szCs w:val="24"/>
              </w:rPr>
            </w:pPr>
            <w:r w:rsidRPr="00B76F66">
              <w:rPr>
                <w:rFonts w:ascii="Arial" w:hAnsi="Arial" w:cs="Arial"/>
                <w:sz w:val="24"/>
                <w:szCs w:val="24"/>
              </w:rPr>
              <w:t xml:space="preserve">17.30pm to </w:t>
            </w:r>
            <w:r w:rsidR="00134961" w:rsidRPr="00B76F66">
              <w:rPr>
                <w:rFonts w:ascii="Arial" w:hAnsi="Arial" w:cs="Arial"/>
                <w:sz w:val="24"/>
                <w:szCs w:val="24"/>
              </w:rPr>
              <w:t>20</w:t>
            </w:r>
            <w:r w:rsidRPr="00B76F66">
              <w:rPr>
                <w:rFonts w:ascii="Arial" w:hAnsi="Arial" w:cs="Arial"/>
                <w:sz w:val="24"/>
                <w:szCs w:val="24"/>
              </w:rPr>
              <w:t>.</w:t>
            </w:r>
            <w:r w:rsidR="00134961" w:rsidRPr="00B76F66">
              <w:rPr>
                <w:rFonts w:ascii="Arial" w:hAnsi="Arial" w:cs="Arial"/>
                <w:sz w:val="24"/>
                <w:szCs w:val="24"/>
              </w:rPr>
              <w:t>0</w:t>
            </w:r>
            <w:r w:rsidRPr="00B76F66">
              <w:rPr>
                <w:rFonts w:ascii="Arial" w:hAnsi="Arial" w:cs="Arial"/>
                <w:sz w:val="24"/>
                <w:szCs w:val="24"/>
              </w:rPr>
              <w:t>0pm</w:t>
            </w:r>
            <w:r w:rsidR="006E46A2" w:rsidRPr="00B76F66">
              <w:rPr>
                <w:rFonts w:ascii="Arial" w:hAnsi="Arial" w:cs="Arial"/>
                <w:sz w:val="24"/>
                <w:szCs w:val="24"/>
              </w:rPr>
              <w:t>*</w:t>
            </w:r>
          </w:p>
        </w:tc>
      </w:tr>
      <w:tr w:rsidR="00CF1D9E" w:rsidRPr="00B76F66" w14:paraId="61DAF9D9" w14:textId="77777777" w:rsidTr="008E78E6">
        <w:tc>
          <w:tcPr>
            <w:tcW w:w="3005" w:type="dxa"/>
          </w:tcPr>
          <w:p w14:paraId="0C985E3C" w14:textId="77777777" w:rsidR="00CF1D9E" w:rsidRPr="00B76F66" w:rsidRDefault="00CF1D9E" w:rsidP="00DC54F7">
            <w:pPr>
              <w:contextualSpacing/>
              <w:jc w:val="both"/>
              <w:rPr>
                <w:rFonts w:ascii="Arial" w:hAnsi="Arial" w:cs="Arial"/>
                <w:sz w:val="24"/>
                <w:szCs w:val="24"/>
              </w:rPr>
            </w:pPr>
            <w:r w:rsidRPr="00B76F66">
              <w:rPr>
                <w:rFonts w:ascii="Arial" w:hAnsi="Arial" w:cs="Arial"/>
                <w:sz w:val="24"/>
                <w:szCs w:val="24"/>
              </w:rPr>
              <w:t>Saturday</w:t>
            </w:r>
          </w:p>
        </w:tc>
        <w:tc>
          <w:tcPr>
            <w:tcW w:w="3005" w:type="dxa"/>
          </w:tcPr>
          <w:p w14:paraId="4C63D7F2" w14:textId="1A85266C" w:rsidR="00CF1D9E" w:rsidRPr="00B76F66" w:rsidRDefault="00134961" w:rsidP="00DC54F7">
            <w:pPr>
              <w:contextualSpacing/>
              <w:jc w:val="both"/>
              <w:rPr>
                <w:rFonts w:ascii="Arial" w:hAnsi="Arial" w:cs="Arial"/>
                <w:sz w:val="24"/>
                <w:szCs w:val="24"/>
              </w:rPr>
            </w:pPr>
            <w:r w:rsidRPr="00B76F66">
              <w:rPr>
                <w:rFonts w:ascii="Arial" w:hAnsi="Arial" w:cs="Arial"/>
                <w:sz w:val="24"/>
                <w:szCs w:val="24"/>
              </w:rPr>
              <w:t xml:space="preserve">08.00am to </w:t>
            </w:r>
            <w:r w:rsidR="00CF1D9E" w:rsidRPr="00B76F66">
              <w:rPr>
                <w:rFonts w:ascii="Arial" w:hAnsi="Arial" w:cs="Arial"/>
                <w:sz w:val="24"/>
                <w:szCs w:val="24"/>
              </w:rPr>
              <w:t xml:space="preserve">09.00am </w:t>
            </w:r>
          </w:p>
        </w:tc>
        <w:tc>
          <w:tcPr>
            <w:tcW w:w="3006" w:type="dxa"/>
          </w:tcPr>
          <w:p w14:paraId="2D6048F0" w14:textId="5F0CCF37" w:rsidR="00CF1D9E" w:rsidRPr="00B76F66" w:rsidRDefault="00CF1D9E" w:rsidP="00DC54F7">
            <w:pPr>
              <w:contextualSpacing/>
              <w:jc w:val="both"/>
              <w:rPr>
                <w:rFonts w:ascii="Arial" w:hAnsi="Arial" w:cs="Arial"/>
                <w:sz w:val="24"/>
                <w:szCs w:val="24"/>
              </w:rPr>
            </w:pPr>
            <w:r w:rsidRPr="00B76F66">
              <w:rPr>
                <w:rFonts w:ascii="Arial" w:hAnsi="Arial" w:cs="Arial"/>
                <w:sz w:val="24"/>
                <w:szCs w:val="24"/>
              </w:rPr>
              <w:t xml:space="preserve">12.00pm to </w:t>
            </w:r>
            <w:r w:rsidR="00134961" w:rsidRPr="00B76F66">
              <w:rPr>
                <w:rFonts w:ascii="Arial" w:hAnsi="Arial" w:cs="Arial"/>
                <w:sz w:val="24"/>
                <w:szCs w:val="24"/>
              </w:rPr>
              <w:t>20</w:t>
            </w:r>
            <w:r w:rsidRPr="00B76F66">
              <w:rPr>
                <w:rFonts w:ascii="Arial" w:hAnsi="Arial" w:cs="Arial"/>
                <w:sz w:val="24"/>
                <w:szCs w:val="24"/>
              </w:rPr>
              <w:t>.</w:t>
            </w:r>
            <w:r w:rsidR="00134961" w:rsidRPr="00B76F66">
              <w:rPr>
                <w:rFonts w:ascii="Arial" w:hAnsi="Arial" w:cs="Arial"/>
                <w:sz w:val="24"/>
                <w:szCs w:val="24"/>
              </w:rPr>
              <w:t>0</w:t>
            </w:r>
            <w:r w:rsidRPr="00B76F66">
              <w:rPr>
                <w:rFonts w:ascii="Arial" w:hAnsi="Arial" w:cs="Arial"/>
                <w:sz w:val="24"/>
                <w:szCs w:val="24"/>
              </w:rPr>
              <w:t>0pm</w:t>
            </w:r>
          </w:p>
        </w:tc>
      </w:tr>
      <w:tr w:rsidR="00CF1D9E" w:rsidRPr="00B76F66" w14:paraId="3394AF79" w14:textId="77777777" w:rsidTr="008E78E6">
        <w:tc>
          <w:tcPr>
            <w:tcW w:w="3005" w:type="dxa"/>
          </w:tcPr>
          <w:p w14:paraId="28AFF1CB" w14:textId="77777777" w:rsidR="00CF1D9E" w:rsidRPr="00B76F66" w:rsidRDefault="00CF1D9E" w:rsidP="00DC54F7">
            <w:pPr>
              <w:contextualSpacing/>
              <w:jc w:val="both"/>
              <w:rPr>
                <w:rFonts w:ascii="Arial" w:hAnsi="Arial" w:cs="Arial"/>
                <w:sz w:val="24"/>
                <w:szCs w:val="24"/>
              </w:rPr>
            </w:pPr>
            <w:r w:rsidRPr="00B76F66">
              <w:rPr>
                <w:rFonts w:ascii="Arial" w:hAnsi="Arial" w:cs="Arial"/>
                <w:sz w:val="24"/>
                <w:szCs w:val="24"/>
              </w:rPr>
              <w:t>Sunday</w:t>
            </w:r>
          </w:p>
        </w:tc>
        <w:tc>
          <w:tcPr>
            <w:tcW w:w="3005" w:type="dxa"/>
          </w:tcPr>
          <w:p w14:paraId="00DBCB2C" w14:textId="77777777" w:rsidR="00CF1D9E" w:rsidRPr="00B76F66" w:rsidRDefault="00CF1D9E" w:rsidP="00DC54F7">
            <w:pPr>
              <w:contextualSpacing/>
              <w:jc w:val="both"/>
              <w:rPr>
                <w:rFonts w:ascii="Arial" w:hAnsi="Arial" w:cs="Arial"/>
                <w:sz w:val="24"/>
                <w:szCs w:val="24"/>
              </w:rPr>
            </w:pPr>
            <w:r w:rsidRPr="00B76F66">
              <w:rPr>
                <w:rFonts w:ascii="Arial" w:hAnsi="Arial" w:cs="Arial"/>
                <w:sz w:val="24"/>
                <w:szCs w:val="24"/>
              </w:rPr>
              <w:t xml:space="preserve">10.00am </w:t>
            </w:r>
          </w:p>
        </w:tc>
        <w:tc>
          <w:tcPr>
            <w:tcW w:w="3006" w:type="dxa"/>
          </w:tcPr>
          <w:p w14:paraId="0B0E02F9" w14:textId="77777777" w:rsidR="00CF1D9E" w:rsidRPr="00B76F66" w:rsidRDefault="00CF1D9E" w:rsidP="00DC54F7">
            <w:pPr>
              <w:contextualSpacing/>
              <w:jc w:val="both"/>
              <w:rPr>
                <w:rFonts w:ascii="Arial" w:hAnsi="Arial" w:cs="Arial"/>
                <w:sz w:val="24"/>
                <w:szCs w:val="24"/>
              </w:rPr>
            </w:pPr>
            <w:r w:rsidRPr="00B76F66">
              <w:rPr>
                <w:rFonts w:ascii="Arial" w:hAnsi="Arial" w:cs="Arial"/>
                <w:sz w:val="24"/>
                <w:szCs w:val="24"/>
              </w:rPr>
              <w:t>16.00pm</w:t>
            </w:r>
          </w:p>
        </w:tc>
      </w:tr>
    </w:tbl>
    <w:p w14:paraId="6A1C8FF5" w14:textId="77777777" w:rsidR="00CF1D9E" w:rsidRPr="00B76F66" w:rsidRDefault="00CF1D9E" w:rsidP="00DC54F7">
      <w:pPr>
        <w:spacing w:after="0" w:line="240" w:lineRule="auto"/>
        <w:contextualSpacing/>
        <w:jc w:val="both"/>
        <w:rPr>
          <w:rFonts w:ascii="Arial" w:hAnsi="Arial" w:cs="Arial"/>
          <w:sz w:val="24"/>
          <w:szCs w:val="24"/>
        </w:rPr>
      </w:pPr>
    </w:p>
    <w:p w14:paraId="53B436E2" w14:textId="6B68EA27" w:rsidR="006E46A2" w:rsidRPr="00B76F66" w:rsidRDefault="006E46A2" w:rsidP="00DC54F7">
      <w:pPr>
        <w:spacing w:after="0" w:line="240" w:lineRule="auto"/>
        <w:contextualSpacing/>
        <w:jc w:val="both"/>
        <w:rPr>
          <w:rFonts w:ascii="Arial" w:hAnsi="Arial" w:cs="Arial"/>
          <w:sz w:val="24"/>
          <w:szCs w:val="24"/>
        </w:rPr>
      </w:pPr>
      <w:r w:rsidRPr="00B76F66">
        <w:rPr>
          <w:rFonts w:ascii="Arial" w:hAnsi="Arial" w:cs="Arial"/>
          <w:sz w:val="24"/>
          <w:szCs w:val="24"/>
        </w:rPr>
        <w:t>*One pharmacy closes early on Wednesday at 14.30pm</w:t>
      </w:r>
      <w:r w:rsidR="007853FF" w:rsidRPr="00B76F66">
        <w:rPr>
          <w:rFonts w:ascii="Arial" w:hAnsi="Arial" w:cs="Arial"/>
          <w:sz w:val="24"/>
          <w:szCs w:val="24"/>
        </w:rPr>
        <w:t xml:space="preserve"> and another at 16:30pm</w:t>
      </w:r>
      <w:r w:rsidRPr="00B76F66">
        <w:rPr>
          <w:rFonts w:ascii="Arial" w:hAnsi="Arial" w:cs="Arial"/>
          <w:sz w:val="24"/>
          <w:szCs w:val="24"/>
        </w:rPr>
        <w:t>.</w:t>
      </w:r>
    </w:p>
    <w:p w14:paraId="64CB87C6" w14:textId="7A451DFC" w:rsidR="00CF1D9E" w:rsidRPr="00B76F66" w:rsidRDefault="00CF1D9E" w:rsidP="00DC54F7">
      <w:pPr>
        <w:spacing w:after="0" w:line="240" w:lineRule="auto"/>
        <w:contextualSpacing/>
        <w:jc w:val="both"/>
        <w:rPr>
          <w:rFonts w:ascii="Arial" w:hAnsi="Arial" w:cs="Arial"/>
          <w:sz w:val="24"/>
          <w:szCs w:val="24"/>
        </w:rPr>
      </w:pPr>
      <w:r w:rsidRPr="00B76F66">
        <w:rPr>
          <w:rFonts w:ascii="Arial" w:hAnsi="Arial" w:cs="Arial"/>
          <w:sz w:val="24"/>
          <w:szCs w:val="24"/>
        </w:rPr>
        <w:t>Full details of when the pharmacies are open can be found in Appendix L.</w:t>
      </w:r>
    </w:p>
    <w:p w14:paraId="191A3C70" w14:textId="77777777" w:rsidR="00CF1D9E" w:rsidRDefault="00CF1D9E" w:rsidP="00DC54F7">
      <w:pPr>
        <w:spacing w:after="0" w:line="240" w:lineRule="auto"/>
        <w:jc w:val="both"/>
        <w:rPr>
          <w:rFonts w:ascii="Arial" w:hAnsi="Arial" w:cs="Arial"/>
          <w:b/>
          <w:sz w:val="26"/>
          <w:szCs w:val="26"/>
          <w:lang w:val="en-US"/>
        </w:rPr>
      </w:pPr>
    </w:p>
    <w:p w14:paraId="6BC5C15D" w14:textId="1CFCFCE1" w:rsidR="008F4ACB" w:rsidRPr="00FC6D87" w:rsidRDefault="008F4ACB" w:rsidP="00DC54F7">
      <w:pPr>
        <w:spacing w:after="0" w:line="240" w:lineRule="auto"/>
        <w:contextualSpacing/>
        <w:jc w:val="both"/>
        <w:rPr>
          <w:rFonts w:ascii="Arial" w:hAnsi="Arial" w:cs="Arial"/>
          <w:sz w:val="24"/>
          <w:szCs w:val="24"/>
        </w:rPr>
      </w:pPr>
      <w:r w:rsidRPr="00FC6D87">
        <w:rPr>
          <w:rFonts w:ascii="Arial" w:hAnsi="Arial" w:cs="Arial"/>
          <w:sz w:val="24"/>
          <w:szCs w:val="24"/>
        </w:rPr>
        <w:t xml:space="preserve">All </w:t>
      </w:r>
      <w:r w:rsidR="00C71A0C" w:rsidRPr="00FC6D87">
        <w:rPr>
          <w:rFonts w:ascii="Arial" w:hAnsi="Arial" w:cs="Arial"/>
          <w:sz w:val="24"/>
          <w:szCs w:val="24"/>
        </w:rPr>
        <w:t>10</w:t>
      </w:r>
      <w:r w:rsidRPr="00FC6D87">
        <w:rPr>
          <w:rFonts w:ascii="Arial" w:hAnsi="Arial" w:cs="Arial"/>
          <w:sz w:val="24"/>
          <w:szCs w:val="24"/>
        </w:rPr>
        <w:t xml:space="preserve"> pharmacies responded to the contractor questionnaire, of which </w:t>
      </w:r>
      <w:r w:rsidR="00C71A0C" w:rsidRPr="00FC6D87">
        <w:rPr>
          <w:rFonts w:ascii="Arial" w:hAnsi="Arial" w:cs="Arial"/>
          <w:sz w:val="24"/>
          <w:szCs w:val="24"/>
        </w:rPr>
        <w:t>six</w:t>
      </w:r>
      <w:r w:rsidRPr="00FC6D87">
        <w:rPr>
          <w:rFonts w:ascii="Arial" w:hAnsi="Arial" w:cs="Arial"/>
          <w:sz w:val="24"/>
          <w:szCs w:val="24"/>
        </w:rPr>
        <w:t xml:space="preserve"> </w:t>
      </w:r>
      <w:r w:rsidR="00BD11FB" w:rsidRPr="00FC6D87">
        <w:rPr>
          <w:rFonts w:ascii="Arial" w:hAnsi="Arial" w:cs="Arial"/>
          <w:sz w:val="24"/>
          <w:szCs w:val="24"/>
        </w:rPr>
        <w:t xml:space="preserve">pharmacies </w:t>
      </w:r>
      <w:r w:rsidRPr="00FC6D87">
        <w:rPr>
          <w:rFonts w:ascii="Arial" w:hAnsi="Arial" w:cs="Arial"/>
          <w:sz w:val="24"/>
          <w:szCs w:val="24"/>
        </w:rPr>
        <w:t xml:space="preserve">dispense all appliances listed in Part IX of the Drug Tariff and </w:t>
      </w:r>
      <w:r w:rsidR="00F85FBA" w:rsidRPr="00FC6D87">
        <w:rPr>
          <w:rFonts w:ascii="Arial" w:hAnsi="Arial" w:cs="Arial"/>
          <w:sz w:val="24"/>
          <w:szCs w:val="24"/>
        </w:rPr>
        <w:t xml:space="preserve">four </w:t>
      </w:r>
      <w:r w:rsidR="00145C98" w:rsidRPr="00FC6D87">
        <w:rPr>
          <w:rFonts w:ascii="Arial" w:hAnsi="Arial" w:cs="Arial"/>
          <w:sz w:val="24"/>
          <w:szCs w:val="24"/>
        </w:rPr>
        <w:t xml:space="preserve">pharmacies </w:t>
      </w:r>
      <w:r w:rsidRPr="00FC6D87">
        <w:rPr>
          <w:rFonts w:ascii="Arial" w:hAnsi="Arial" w:cs="Arial"/>
          <w:sz w:val="24"/>
          <w:szCs w:val="24"/>
        </w:rPr>
        <w:t xml:space="preserve">just dispense dressings. </w:t>
      </w:r>
    </w:p>
    <w:p w14:paraId="1C97F935" w14:textId="77777777" w:rsidR="008F4ACB" w:rsidRPr="00FC6D87" w:rsidRDefault="008F4ACB" w:rsidP="00DC54F7">
      <w:pPr>
        <w:spacing w:after="0" w:line="240" w:lineRule="auto"/>
        <w:jc w:val="both"/>
        <w:rPr>
          <w:rFonts w:ascii="Arial" w:hAnsi="Arial" w:cs="Arial"/>
          <w:b/>
          <w:sz w:val="24"/>
          <w:szCs w:val="24"/>
          <w:lang w:val="en-US"/>
        </w:rPr>
      </w:pPr>
    </w:p>
    <w:p w14:paraId="0D4039CD" w14:textId="110C6CC1" w:rsidR="008F4ACB" w:rsidRPr="00FC6D87" w:rsidRDefault="008F4ACB" w:rsidP="00DC54F7">
      <w:pPr>
        <w:spacing w:after="0" w:line="240" w:lineRule="auto"/>
        <w:jc w:val="both"/>
        <w:rPr>
          <w:rFonts w:ascii="Arial" w:hAnsi="Arial" w:cs="Arial"/>
          <w:sz w:val="24"/>
          <w:szCs w:val="24"/>
        </w:rPr>
      </w:pPr>
      <w:r w:rsidRPr="00FC6D87">
        <w:rPr>
          <w:rFonts w:ascii="Arial" w:hAnsi="Arial" w:cs="Arial"/>
          <w:sz w:val="24"/>
          <w:szCs w:val="24"/>
        </w:rPr>
        <w:t>In 2019 to 2020, all 10 pharmacies offered the MUR service and a total of 2,</w:t>
      </w:r>
      <w:r w:rsidR="005449E5" w:rsidRPr="00FC6D87">
        <w:rPr>
          <w:rFonts w:ascii="Arial" w:hAnsi="Arial" w:cs="Arial"/>
          <w:sz w:val="24"/>
          <w:szCs w:val="24"/>
        </w:rPr>
        <w:t>100</w:t>
      </w:r>
      <w:r w:rsidRPr="00FC6D87">
        <w:rPr>
          <w:rFonts w:ascii="Arial" w:hAnsi="Arial" w:cs="Arial"/>
          <w:sz w:val="24"/>
          <w:szCs w:val="24"/>
        </w:rPr>
        <w:t xml:space="preserve"> reviews were provided out of a possible 4,000 reviews. Two pharmacies provided the maximum number of 400 reviews.</w:t>
      </w:r>
      <w:r w:rsidR="0050791A" w:rsidRPr="00FC6D87">
        <w:rPr>
          <w:rFonts w:ascii="Arial" w:hAnsi="Arial" w:cs="Arial"/>
          <w:sz w:val="24"/>
          <w:szCs w:val="24"/>
        </w:rPr>
        <w:t xml:space="preserve"> The Welsh Government formally suspended the MUR service on 13 March 2020.  At the time of writing, </w:t>
      </w:r>
      <w:r w:rsidR="0070331C" w:rsidRPr="00FC6D87">
        <w:rPr>
          <w:rFonts w:ascii="Arial" w:hAnsi="Arial" w:cs="Arial"/>
          <w:sz w:val="24"/>
          <w:szCs w:val="24"/>
        </w:rPr>
        <w:t>it is not known if the service will re-commence</w:t>
      </w:r>
      <w:r w:rsidR="0050791A" w:rsidRPr="00FC6D87">
        <w:rPr>
          <w:rFonts w:ascii="Arial" w:hAnsi="Arial" w:cs="Arial"/>
          <w:sz w:val="24"/>
          <w:szCs w:val="24"/>
        </w:rPr>
        <w:t>.</w:t>
      </w:r>
    </w:p>
    <w:p w14:paraId="73F63540" w14:textId="77777777" w:rsidR="008F4ACB" w:rsidRPr="00FC6D87" w:rsidRDefault="008F4ACB" w:rsidP="00DC54F7">
      <w:pPr>
        <w:spacing w:after="0" w:line="240" w:lineRule="auto"/>
        <w:jc w:val="both"/>
        <w:rPr>
          <w:rFonts w:ascii="Arial" w:hAnsi="Arial" w:cs="Arial"/>
          <w:sz w:val="24"/>
          <w:szCs w:val="24"/>
        </w:rPr>
      </w:pPr>
    </w:p>
    <w:p w14:paraId="4765D8E7" w14:textId="5B855426" w:rsidR="008F4ACB" w:rsidRPr="00FC6D87" w:rsidRDefault="008F4ACB" w:rsidP="00DC54F7">
      <w:pPr>
        <w:spacing w:after="0" w:line="240" w:lineRule="auto"/>
        <w:jc w:val="both"/>
        <w:rPr>
          <w:rFonts w:ascii="Arial" w:hAnsi="Arial" w:cs="Arial"/>
          <w:sz w:val="24"/>
          <w:szCs w:val="24"/>
        </w:rPr>
      </w:pPr>
      <w:r w:rsidRPr="00FC6D87">
        <w:rPr>
          <w:rFonts w:ascii="Arial" w:hAnsi="Arial" w:cs="Arial"/>
          <w:sz w:val="24"/>
          <w:szCs w:val="24"/>
        </w:rPr>
        <w:t xml:space="preserve">In 2019 to 2020, </w:t>
      </w:r>
      <w:r w:rsidR="007A2C55">
        <w:rPr>
          <w:rFonts w:ascii="Arial" w:hAnsi="Arial" w:cs="Arial"/>
          <w:sz w:val="24"/>
          <w:szCs w:val="24"/>
        </w:rPr>
        <w:t xml:space="preserve">eight </w:t>
      </w:r>
      <w:r w:rsidRPr="00FC6D87">
        <w:rPr>
          <w:rFonts w:ascii="Arial" w:hAnsi="Arial" w:cs="Arial"/>
          <w:sz w:val="24"/>
          <w:szCs w:val="24"/>
        </w:rPr>
        <w:t xml:space="preserve">pharmacies offered the DMR </w:t>
      </w:r>
      <w:r w:rsidR="00805C6B">
        <w:rPr>
          <w:rFonts w:ascii="Arial" w:hAnsi="Arial" w:cs="Arial"/>
          <w:sz w:val="24"/>
          <w:szCs w:val="24"/>
        </w:rPr>
        <w:t xml:space="preserve">service </w:t>
      </w:r>
      <w:r w:rsidRPr="00FC6D87">
        <w:rPr>
          <w:rFonts w:ascii="Arial" w:hAnsi="Arial" w:cs="Arial"/>
          <w:sz w:val="24"/>
          <w:szCs w:val="24"/>
        </w:rPr>
        <w:t xml:space="preserve">and a total of </w:t>
      </w:r>
      <w:r w:rsidR="00432EE2">
        <w:rPr>
          <w:rFonts w:ascii="Arial" w:hAnsi="Arial" w:cs="Arial"/>
          <w:sz w:val="24"/>
          <w:szCs w:val="24"/>
        </w:rPr>
        <w:t>124</w:t>
      </w:r>
      <w:r w:rsidRPr="00FC6D87">
        <w:rPr>
          <w:rFonts w:ascii="Arial" w:hAnsi="Arial" w:cs="Arial"/>
          <w:sz w:val="24"/>
          <w:szCs w:val="24"/>
        </w:rPr>
        <w:t xml:space="preserve"> reviews were provided out of a possible 1,400 reviews. No pharmacies provided the maximum number of 140 reviews</w:t>
      </w:r>
      <w:r w:rsidR="00D01552" w:rsidRPr="00FC6D87">
        <w:rPr>
          <w:rFonts w:ascii="Arial" w:hAnsi="Arial" w:cs="Arial"/>
          <w:sz w:val="24"/>
          <w:szCs w:val="24"/>
        </w:rPr>
        <w:t>.</w:t>
      </w:r>
      <w:r w:rsidR="002F7557" w:rsidRPr="00FC6D87">
        <w:rPr>
          <w:rFonts w:ascii="Arial" w:hAnsi="Arial" w:cs="Arial"/>
          <w:sz w:val="24"/>
          <w:szCs w:val="24"/>
        </w:rPr>
        <w:t xml:space="preserve"> As part of the changes to the Community Pharmacy Contractual Framework for 2021, the cap for the number of paid DMRs has been removed.</w:t>
      </w:r>
    </w:p>
    <w:p w14:paraId="61676154" w14:textId="560DC029" w:rsidR="00D01552" w:rsidRPr="00FC6D87" w:rsidRDefault="00D01552" w:rsidP="00DC54F7">
      <w:pPr>
        <w:spacing w:after="0" w:line="240" w:lineRule="auto"/>
        <w:jc w:val="both"/>
        <w:rPr>
          <w:rFonts w:ascii="Arial" w:hAnsi="Arial" w:cs="Arial"/>
          <w:sz w:val="24"/>
          <w:szCs w:val="24"/>
        </w:rPr>
      </w:pPr>
    </w:p>
    <w:p w14:paraId="17F634CF" w14:textId="77777777" w:rsidR="00D01552" w:rsidRPr="00FC6D87" w:rsidRDefault="00D01552" w:rsidP="00DC54F7">
      <w:pPr>
        <w:spacing w:after="0" w:line="240" w:lineRule="auto"/>
        <w:contextualSpacing/>
        <w:jc w:val="both"/>
        <w:rPr>
          <w:rFonts w:ascii="Arial" w:hAnsi="Arial" w:cs="Arial"/>
          <w:sz w:val="24"/>
          <w:szCs w:val="24"/>
        </w:rPr>
      </w:pPr>
      <w:r w:rsidRPr="00FC6D87">
        <w:rPr>
          <w:rFonts w:ascii="Arial" w:hAnsi="Arial" w:cs="Arial"/>
          <w:sz w:val="24"/>
          <w:szCs w:val="24"/>
        </w:rPr>
        <w:t>In 2019 to 2020, the following enhanced services were provided by pharmacies in the cluster area:</w:t>
      </w:r>
    </w:p>
    <w:p w14:paraId="5B54A24B" w14:textId="77777777" w:rsidR="00D01552" w:rsidRPr="00FC6D87" w:rsidRDefault="00D01552" w:rsidP="00DC54F7">
      <w:pPr>
        <w:spacing w:after="0" w:line="240" w:lineRule="auto"/>
        <w:contextualSpacing/>
        <w:jc w:val="both"/>
        <w:rPr>
          <w:rFonts w:ascii="Arial" w:hAnsi="Arial" w:cs="Arial"/>
          <w:sz w:val="24"/>
          <w:szCs w:val="24"/>
        </w:rPr>
      </w:pPr>
    </w:p>
    <w:p w14:paraId="58E300D2" w14:textId="5DFAA95D" w:rsidR="00D01552" w:rsidRPr="00FC6D87" w:rsidRDefault="00B374A6" w:rsidP="00DC54F7">
      <w:pPr>
        <w:pStyle w:val="ListParagraph"/>
        <w:numPr>
          <w:ilvl w:val="0"/>
          <w:numId w:val="142"/>
        </w:numPr>
        <w:spacing w:after="0" w:line="240" w:lineRule="auto"/>
        <w:jc w:val="both"/>
        <w:rPr>
          <w:rFonts w:ascii="Arial" w:hAnsi="Arial" w:cs="Arial"/>
          <w:sz w:val="24"/>
          <w:szCs w:val="24"/>
        </w:rPr>
      </w:pPr>
      <w:r w:rsidRPr="00FC6D87">
        <w:rPr>
          <w:rFonts w:ascii="Arial" w:hAnsi="Arial" w:cs="Arial"/>
          <w:sz w:val="24"/>
          <w:szCs w:val="24"/>
        </w:rPr>
        <w:t>Six</w:t>
      </w:r>
      <w:r w:rsidR="00D01552" w:rsidRPr="00FC6D87">
        <w:rPr>
          <w:rFonts w:ascii="Arial" w:hAnsi="Arial" w:cs="Arial"/>
          <w:sz w:val="24"/>
          <w:szCs w:val="24"/>
        </w:rPr>
        <w:t xml:space="preserve"> pharmacies provided a total of </w:t>
      </w:r>
      <w:r w:rsidR="000B3153" w:rsidRPr="00FC6D87">
        <w:rPr>
          <w:rFonts w:ascii="Arial" w:hAnsi="Arial" w:cs="Arial"/>
          <w:sz w:val="24"/>
          <w:szCs w:val="24"/>
        </w:rPr>
        <w:t>477</w:t>
      </w:r>
      <w:r w:rsidR="00D01552" w:rsidRPr="00FC6D87">
        <w:rPr>
          <w:rFonts w:ascii="Arial" w:hAnsi="Arial" w:cs="Arial"/>
          <w:sz w:val="24"/>
          <w:szCs w:val="24"/>
        </w:rPr>
        <w:t xml:space="preserve"> emergency contraception consultations, with a range of </w:t>
      </w:r>
      <w:r w:rsidR="000B3153" w:rsidRPr="00FC6D87">
        <w:rPr>
          <w:rFonts w:ascii="Arial" w:hAnsi="Arial" w:cs="Arial"/>
          <w:sz w:val="24"/>
          <w:szCs w:val="24"/>
        </w:rPr>
        <w:t>13</w:t>
      </w:r>
      <w:r w:rsidR="00D01552" w:rsidRPr="00FC6D87">
        <w:rPr>
          <w:rFonts w:ascii="Arial" w:hAnsi="Arial" w:cs="Arial"/>
          <w:sz w:val="24"/>
          <w:szCs w:val="24"/>
        </w:rPr>
        <w:t xml:space="preserve"> to </w:t>
      </w:r>
      <w:r w:rsidR="000B3153" w:rsidRPr="00FC6D87">
        <w:rPr>
          <w:rFonts w:ascii="Arial" w:hAnsi="Arial" w:cs="Arial"/>
          <w:sz w:val="24"/>
          <w:szCs w:val="24"/>
        </w:rPr>
        <w:t>161</w:t>
      </w:r>
      <w:r w:rsidR="00D01552" w:rsidRPr="00FC6D87">
        <w:rPr>
          <w:rFonts w:ascii="Arial" w:hAnsi="Arial" w:cs="Arial"/>
          <w:sz w:val="24"/>
          <w:szCs w:val="24"/>
        </w:rPr>
        <w:t xml:space="preserve"> consultations.</w:t>
      </w:r>
    </w:p>
    <w:p w14:paraId="17A34F82" w14:textId="2D819E21" w:rsidR="00D01552" w:rsidRPr="00FC6D87" w:rsidRDefault="00D01552" w:rsidP="00DC54F7">
      <w:pPr>
        <w:pStyle w:val="ListParagraph"/>
        <w:numPr>
          <w:ilvl w:val="0"/>
          <w:numId w:val="86"/>
        </w:numPr>
        <w:spacing w:after="0" w:line="240" w:lineRule="auto"/>
        <w:jc w:val="both"/>
        <w:rPr>
          <w:rFonts w:ascii="Arial" w:hAnsi="Arial" w:cs="Arial"/>
          <w:sz w:val="24"/>
          <w:szCs w:val="24"/>
        </w:rPr>
      </w:pPr>
      <w:r w:rsidRPr="00FC6D87">
        <w:rPr>
          <w:rFonts w:ascii="Arial" w:hAnsi="Arial" w:cs="Arial"/>
          <w:sz w:val="24"/>
          <w:szCs w:val="24"/>
        </w:rPr>
        <w:t>T</w:t>
      </w:r>
      <w:r w:rsidR="000B3153" w:rsidRPr="00FC6D87">
        <w:rPr>
          <w:rFonts w:ascii="Arial" w:hAnsi="Arial" w:cs="Arial"/>
          <w:sz w:val="24"/>
          <w:szCs w:val="24"/>
        </w:rPr>
        <w:t>wo</w:t>
      </w:r>
      <w:r w:rsidRPr="00FC6D87">
        <w:rPr>
          <w:rFonts w:ascii="Arial" w:hAnsi="Arial" w:cs="Arial"/>
          <w:sz w:val="24"/>
          <w:szCs w:val="24"/>
        </w:rPr>
        <w:t xml:space="preserve"> pharmacies provided a total of 4</w:t>
      </w:r>
      <w:r w:rsidR="000B3153" w:rsidRPr="00FC6D87">
        <w:rPr>
          <w:rFonts w:ascii="Arial" w:hAnsi="Arial" w:cs="Arial"/>
          <w:sz w:val="24"/>
          <w:szCs w:val="24"/>
        </w:rPr>
        <w:t>2</w:t>
      </w:r>
      <w:r w:rsidRPr="00FC6D87">
        <w:rPr>
          <w:rFonts w:ascii="Arial" w:hAnsi="Arial" w:cs="Arial"/>
          <w:sz w:val="24"/>
          <w:szCs w:val="24"/>
        </w:rPr>
        <w:t xml:space="preserve"> smoking cessation level 3 consultations, with a range of </w:t>
      </w:r>
      <w:r w:rsidR="000B3153" w:rsidRPr="00FC6D87">
        <w:rPr>
          <w:rFonts w:ascii="Arial" w:hAnsi="Arial" w:cs="Arial"/>
          <w:sz w:val="24"/>
          <w:szCs w:val="24"/>
        </w:rPr>
        <w:t>three</w:t>
      </w:r>
      <w:r w:rsidRPr="00FC6D87">
        <w:rPr>
          <w:rFonts w:ascii="Arial" w:hAnsi="Arial" w:cs="Arial"/>
          <w:sz w:val="24"/>
          <w:szCs w:val="24"/>
        </w:rPr>
        <w:t xml:space="preserve"> to </w:t>
      </w:r>
      <w:r w:rsidR="000B3153" w:rsidRPr="00FC6D87">
        <w:rPr>
          <w:rFonts w:ascii="Arial" w:hAnsi="Arial" w:cs="Arial"/>
          <w:sz w:val="24"/>
          <w:szCs w:val="24"/>
        </w:rPr>
        <w:t>39</w:t>
      </w:r>
      <w:r w:rsidRPr="00FC6D87">
        <w:rPr>
          <w:rFonts w:ascii="Arial" w:hAnsi="Arial" w:cs="Arial"/>
          <w:sz w:val="24"/>
          <w:szCs w:val="24"/>
        </w:rPr>
        <w:t xml:space="preserve"> consultations.</w:t>
      </w:r>
    </w:p>
    <w:p w14:paraId="6F2DF22F" w14:textId="1226358C" w:rsidR="00D01552" w:rsidRPr="00FC6D87" w:rsidRDefault="002C576E" w:rsidP="00DC54F7">
      <w:pPr>
        <w:pStyle w:val="ListParagraph"/>
        <w:numPr>
          <w:ilvl w:val="0"/>
          <w:numId w:val="86"/>
        </w:numPr>
        <w:spacing w:after="0" w:line="240" w:lineRule="auto"/>
        <w:jc w:val="both"/>
        <w:rPr>
          <w:rFonts w:ascii="Arial" w:hAnsi="Arial" w:cs="Arial"/>
          <w:sz w:val="24"/>
          <w:szCs w:val="24"/>
        </w:rPr>
      </w:pPr>
      <w:r w:rsidRPr="00FC6D87">
        <w:rPr>
          <w:rFonts w:ascii="Arial" w:hAnsi="Arial" w:cs="Arial"/>
          <w:sz w:val="24"/>
          <w:szCs w:val="24"/>
        </w:rPr>
        <w:t>Eight</w:t>
      </w:r>
      <w:r w:rsidR="00D01552" w:rsidRPr="00FC6D87">
        <w:rPr>
          <w:rFonts w:ascii="Arial" w:hAnsi="Arial" w:cs="Arial"/>
          <w:sz w:val="24"/>
          <w:szCs w:val="24"/>
        </w:rPr>
        <w:t xml:space="preserve"> pharmacies provided a total of </w:t>
      </w:r>
      <w:r w:rsidRPr="00FC6D87">
        <w:rPr>
          <w:rFonts w:ascii="Arial" w:hAnsi="Arial" w:cs="Arial"/>
          <w:sz w:val="24"/>
          <w:szCs w:val="24"/>
        </w:rPr>
        <w:t>758</w:t>
      </w:r>
      <w:r w:rsidR="00D01552" w:rsidRPr="00FC6D87">
        <w:rPr>
          <w:rFonts w:ascii="Arial" w:hAnsi="Arial" w:cs="Arial"/>
          <w:sz w:val="24"/>
          <w:szCs w:val="24"/>
        </w:rPr>
        <w:t xml:space="preserve"> flu vaccinations, with a range of </w:t>
      </w:r>
      <w:r w:rsidRPr="00FC6D87">
        <w:rPr>
          <w:rFonts w:ascii="Arial" w:hAnsi="Arial" w:cs="Arial"/>
          <w:sz w:val="24"/>
          <w:szCs w:val="24"/>
        </w:rPr>
        <w:t>15</w:t>
      </w:r>
      <w:r w:rsidR="00D01552" w:rsidRPr="00FC6D87">
        <w:rPr>
          <w:rFonts w:ascii="Arial" w:hAnsi="Arial" w:cs="Arial"/>
          <w:sz w:val="24"/>
          <w:szCs w:val="24"/>
        </w:rPr>
        <w:t xml:space="preserve"> to 2</w:t>
      </w:r>
      <w:r w:rsidRPr="00FC6D87">
        <w:rPr>
          <w:rFonts w:ascii="Arial" w:hAnsi="Arial" w:cs="Arial"/>
          <w:sz w:val="24"/>
          <w:szCs w:val="24"/>
        </w:rPr>
        <w:t>19</w:t>
      </w:r>
      <w:r w:rsidR="00D01552" w:rsidRPr="00FC6D87">
        <w:rPr>
          <w:rFonts w:ascii="Arial" w:hAnsi="Arial" w:cs="Arial"/>
          <w:sz w:val="24"/>
          <w:szCs w:val="24"/>
        </w:rPr>
        <w:t xml:space="preserve"> vaccinations.</w:t>
      </w:r>
    </w:p>
    <w:p w14:paraId="50B0EB9C" w14:textId="5712A2A3" w:rsidR="00D01552" w:rsidRPr="00FC6D87" w:rsidRDefault="00D01552" w:rsidP="00DC54F7">
      <w:pPr>
        <w:pStyle w:val="ListParagraph"/>
        <w:numPr>
          <w:ilvl w:val="0"/>
          <w:numId w:val="86"/>
        </w:numPr>
        <w:spacing w:after="0" w:line="240" w:lineRule="auto"/>
        <w:jc w:val="both"/>
        <w:rPr>
          <w:rFonts w:ascii="Arial" w:hAnsi="Arial" w:cs="Arial"/>
          <w:sz w:val="24"/>
          <w:szCs w:val="24"/>
        </w:rPr>
      </w:pPr>
      <w:r w:rsidRPr="00FC6D87">
        <w:rPr>
          <w:rFonts w:ascii="Arial" w:hAnsi="Arial" w:cs="Arial"/>
          <w:sz w:val="24"/>
          <w:szCs w:val="24"/>
        </w:rPr>
        <w:t>1</w:t>
      </w:r>
      <w:r w:rsidR="00FC0BDA" w:rsidRPr="00FC6D87">
        <w:rPr>
          <w:rFonts w:ascii="Arial" w:hAnsi="Arial" w:cs="Arial"/>
          <w:sz w:val="24"/>
          <w:szCs w:val="24"/>
        </w:rPr>
        <w:t>0</w:t>
      </w:r>
      <w:r w:rsidRPr="00FC6D87">
        <w:rPr>
          <w:rFonts w:ascii="Arial" w:hAnsi="Arial" w:cs="Arial"/>
          <w:sz w:val="24"/>
          <w:szCs w:val="24"/>
        </w:rPr>
        <w:t xml:space="preserve"> pharmacies provided a total of </w:t>
      </w:r>
      <w:r w:rsidR="00FC0BDA" w:rsidRPr="00FC6D87">
        <w:rPr>
          <w:rFonts w:ascii="Arial" w:hAnsi="Arial" w:cs="Arial"/>
          <w:sz w:val="24"/>
          <w:szCs w:val="24"/>
        </w:rPr>
        <w:t>663</w:t>
      </w:r>
      <w:r w:rsidRPr="00FC6D87">
        <w:rPr>
          <w:rFonts w:ascii="Arial" w:hAnsi="Arial" w:cs="Arial"/>
          <w:sz w:val="24"/>
          <w:szCs w:val="24"/>
        </w:rPr>
        <w:t xml:space="preserve"> CAS consultations, with a range of </w:t>
      </w:r>
      <w:r w:rsidR="00FC0BDA" w:rsidRPr="00FC6D87">
        <w:rPr>
          <w:rFonts w:ascii="Arial" w:hAnsi="Arial" w:cs="Arial"/>
          <w:sz w:val="24"/>
          <w:szCs w:val="24"/>
        </w:rPr>
        <w:t>two</w:t>
      </w:r>
      <w:r w:rsidRPr="00FC6D87">
        <w:rPr>
          <w:rFonts w:ascii="Arial" w:hAnsi="Arial" w:cs="Arial"/>
          <w:sz w:val="24"/>
          <w:szCs w:val="24"/>
        </w:rPr>
        <w:t xml:space="preserve"> to </w:t>
      </w:r>
      <w:r w:rsidR="00FC0BDA" w:rsidRPr="00FC6D87">
        <w:rPr>
          <w:rFonts w:ascii="Arial" w:hAnsi="Arial" w:cs="Arial"/>
          <w:sz w:val="24"/>
          <w:szCs w:val="24"/>
        </w:rPr>
        <w:t>179</w:t>
      </w:r>
      <w:r w:rsidRPr="00FC6D87">
        <w:rPr>
          <w:rFonts w:ascii="Arial" w:hAnsi="Arial" w:cs="Arial"/>
          <w:sz w:val="24"/>
          <w:szCs w:val="24"/>
        </w:rPr>
        <w:t xml:space="preserve"> consultations.</w:t>
      </w:r>
    </w:p>
    <w:p w14:paraId="6891CD44" w14:textId="27D78E58" w:rsidR="00D01552" w:rsidRPr="00FC6D87" w:rsidRDefault="00D01552" w:rsidP="00DC54F7">
      <w:pPr>
        <w:pStyle w:val="ListParagraph"/>
        <w:numPr>
          <w:ilvl w:val="0"/>
          <w:numId w:val="86"/>
        </w:numPr>
        <w:spacing w:after="0" w:line="240" w:lineRule="auto"/>
        <w:jc w:val="both"/>
        <w:rPr>
          <w:rFonts w:ascii="Arial" w:hAnsi="Arial" w:cs="Arial"/>
          <w:sz w:val="24"/>
          <w:szCs w:val="24"/>
        </w:rPr>
      </w:pPr>
      <w:r w:rsidRPr="00FC6D87">
        <w:rPr>
          <w:rFonts w:ascii="Arial" w:hAnsi="Arial" w:cs="Arial"/>
          <w:sz w:val="24"/>
          <w:szCs w:val="24"/>
        </w:rPr>
        <w:lastRenderedPageBreak/>
        <w:t>F</w:t>
      </w:r>
      <w:r w:rsidR="00586345" w:rsidRPr="00FC6D87">
        <w:rPr>
          <w:rFonts w:ascii="Arial" w:hAnsi="Arial" w:cs="Arial"/>
          <w:sz w:val="24"/>
          <w:szCs w:val="24"/>
        </w:rPr>
        <w:t>our</w:t>
      </w:r>
      <w:r w:rsidRPr="00FC6D87">
        <w:rPr>
          <w:rFonts w:ascii="Arial" w:hAnsi="Arial" w:cs="Arial"/>
          <w:sz w:val="24"/>
          <w:szCs w:val="24"/>
        </w:rPr>
        <w:t xml:space="preserve"> pharmacies provided a total of </w:t>
      </w:r>
      <w:r w:rsidR="00586345" w:rsidRPr="00FC6D87">
        <w:rPr>
          <w:rFonts w:ascii="Arial" w:hAnsi="Arial" w:cs="Arial"/>
          <w:sz w:val="24"/>
          <w:szCs w:val="24"/>
        </w:rPr>
        <w:t>14</w:t>
      </w:r>
      <w:r w:rsidRPr="00FC6D87">
        <w:rPr>
          <w:rFonts w:ascii="Arial" w:hAnsi="Arial" w:cs="Arial"/>
          <w:sz w:val="24"/>
          <w:szCs w:val="24"/>
        </w:rPr>
        <w:t xml:space="preserve"> EMS consultations, with a range of one to </w:t>
      </w:r>
      <w:r w:rsidR="00586345" w:rsidRPr="00FC6D87">
        <w:rPr>
          <w:rFonts w:ascii="Arial" w:hAnsi="Arial" w:cs="Arial"/>
          <w:sz w:val="24"/>
          <w:szCs w:val="24"/>
        </w:rPr>
        <w:t>six</w:t>
      </w:r>
      <w:r w:rsidRPr="00FC6D87">
        <w:rPr>
          <w:rFonts w:ascii="Arial" w:hAnsi="Arial" w:cs="Arial"/>
          <w:sz w:val="24"/>
          <w:szCs w:val="24"/>
        </w:rPr>
        <w:t xml:space="preserve"> consultations</w:t>
      </w:r>
      <w:r w:rsidR="00BE75C5">
        <w:rPr>
          <w:rFonts w:ascii="Arial" w:hAnsi="Arial" w:cs="Arial"/>
          <w:sz w:val="24"/>
          <w:szCs w:val="24"/>
        </w:rPr>
        <w:t>.</w:t>
      </w:r>
    </w:p>
    <w:p w14:paraId="07A10A1A" w14:textId="77777777" w:rsidR="0025153E" w:rsidRPr="00FC6D87" w:rsidRDefault="0025153E" w:rsidP="00DC54F7">
      <w:pPr>
        <w:spacing w:after="0" w:line="240" w:lineRule="auto"/>
        <w:jc w:val="both"/>
        <w:rPr>
          <w:rFonts w:ascii="Arial" w:hAnsi="Arial" w:cs="Arial"/>
          <w:sz w:val="24"/>
          <w:szCs w:val="24"/>
        </w:rPr>
      </w:pPr>
    </w:p>
    <w:p w14:paraId="480D45B6" w14:textId="1AA9B733" w:rsidR="0025153E" w:rsidRDefault="0025153E" w:rsidP="00DC54F7">
      <w:pPr>
        <w:spacing w:after="0" w:line="240" w:lineRule="auto"/>
        <w:jc w:val="both"/>
        <w:rPr>
          <w:rFonts w:ascii="Arial" w:hAnsi="Arial" w:cs="Arial"/>
          <w:sz w:val="24"/>
          <w:szCs w:val="24"/>
        </w:rPr>
      </w:pPr>
      <w:r w:rsidRPr="00FC6D87">
        <w:rPr>
          <w:rFonts w:ascii="Arial" w:hAnsi="Arial" w:cs="Arial"/>
          <w:sz w:val="24"/>
          <w:szCs w:val="24"/>
        </w:rPr>
        <w:t>Other enhanced services included:</w:t>
      </w:r>
    </w:p>
    <w:p w14:paraId="7BE5EC8D" w14:textId="24CD1326" w:rsidR="00BE75C5" w:rsidRPr="00403341" w:rsidRDefault="00BE75C5" w:rsidP="00DC54F7">
      <w:pPr>
        <w:pStyle w:val="ListParagraph"/>
        <w:numPr>
          <w:ilvl w:val="0"/>
          <w:numId w:val="195"/>
        </w:numPr>
        <w:spacing w:after="0" w:line="240" w:lineRule="auto"/>
        <w:jc w:val="both"/>
        <w:rPr>
          <w:rFonts w:ascii="Arial" w:hAnsi="Arial" w:cs="Arial"/>
          <w:color w:val="000000"/>
          <w:sz w:val="24"/>
          <w:szCs w:val="24"/>
        </w:rPr>
      </w:pPr>
      <w:r w:rsidRPr="00FC6D87">
        <w:rPr>
          <w:rFonts w:ascii="Arial" w:hAnsi="Arial" w:cs="Arial"/>
          <w:sz w:val="24"/>
          <w:szCs w:val="24"/>
        </w:rPr>
        <w:t xml:space="preserve">Five pharmacies provided </w:t>
      </w:r>
      <w:r w:rsidR="00403341" w:rsidRPr="00752236">
        <w:rPr>
          <w:rFonts w:ascii="Arial" w:hAnsi="Arial" w:cs="Arial"/>
          <w:sz w:val="24"/>
          <w:szCs w:val="24"/>
        </w:rPr>
        <w:t xml:space="preserve">the </w:t>
      </w:r>
      <w:r w:rsidR="00403341" w:rsidRPr="00752236">
        <w:rPr>
          <w:rFonts w:ascii="Arial" w:hAnsi="Arial" w:cs="Arial"/>
          <w:color w:val="000000"/>
          <w:sz w:val="24"/>
          <w:szCs w:val="24"/>
        </w:rPr>
        <w:t>Supervised Administration of Medicines Enhanced Service.</w:t>
      </w:r>
    </w:p>
    <w:p w14:paraId="7E35160A" w14:textId="63CEB072" w:rsidR="00E532B9" w:rsidRPr="00BE75C5" w:rsidRDefault="00E532B9" w:rsidP="00DC54F7">
      <w:pPr>
        <w:pStyle w:val="ListParagraph"/>
        <w:numPr>
          <w:ilvl w:val="0"/>
          <w:numId w:val="86"/>
        </w:numPr>
        <w:spacing w:after="0" w:line="240" w:lineRule="auto"/>
        <w:jc w:val="both"/>
        <w:rPr>
          <w:rFonts w:ascii="Arial" w:hAnsi="Arial" w:cs="Arial"/>
          <w:sz w:val="24"/>
          <w:szCs w:val="24"/>
        </w:rPr>
      </w:pPr>
      <w:r>
        <w:rPr>
          <w:rFonts w:ascii="Arial" w:hAnsi="Arial" w:cs="Arial"/>
          <w:sz w:val="24"/>
          <w:szCs w:val="24"/>
        </w:rPr>
        <w:t xml:space="preserve">Two pharmacies provided the </w:t>
      </w:r>
      <w:r w:rsidR="004B6B88">
        <w:rPr>
          <w:rFonts w:ascii="Arial" w:hAnsi="Arial" w:cs="Arial"/>
          <w:sz w:val="24"/>
          <w:szCs w:val="24"/>
        </w:rPr>
        <w:t>Needle Syringe Provision Enhanced Service.</w:t>
      </w:r>
    </w:p>
    <w:p w14:paraId="46679C6D" w14:textId="5C660429" w:rsidR="0025153E" w:rsidRPr="00FC6D87" w:rsidRDefault="00B063FC" w:rsidP="00DC54F7">
      <w:pPr>
        <w:pStyle w:val="ListParagraph"/>
        <w:numPr>
          <w:ilvl w:val="0"/>
          <w:numId w:val="154"/>
        </w:numPr>
        <w:spacing w:after="0" w:line="240" w:lineRule="auto"/>
        <w:jc w:val="both"/>
        <w:rPr>
          <w:rFonts w:ascii="Arial" w:hAnsi="Arial" w:cs="Arial"/>
          <w:sz w:val="24"/>
          <w:szCs w:val="24"/>
        </w:rPr>
      </w:pPr>
      <w:r>
        <w:rPr>
          <w:rFonts w:ascii="Arial" w:hAnsi="Arial" w:cs="Arial"/>
          <w:sz w:val="24"/>
          <w:szCs w:val="24"/>
        </w:rPr>
        <w:t xml:space="preserve">One </w:t>
      </w:r>
      <w:r w:rsidR="0025153E" w:rsidRPr="00FC6D87">
        <w:rPr>
          <w:rFonts w:ascii="Arial" w:hAnsi="Arial" w:cs="Arial"/>
          <w:sz w:val="24"/>
          <w:szCs w:val="24"/>
        </w:rPr>
        <w:t>pharmac</w:t>
      </w:r>
      <w:r>
        <w:rPr>
          <w:rFonts w:ascii="Arial" w:hAnsi="Arial" w:cs="Arial"/>
          <w:sz w:val="24"/>
          <w:szCs w:val="24"/>
        </w:rPr>
        <w:t>y</w:t>
      </w:r>
      <w:r w:rsidR="0025153E" w:rsidRPr="00FC6D87">
        <w:rPr>
          <w:rFonts w:ascii="Arial" w:hAnsi="Arial" w:cs="Arial"/>
          <w:sz w:val="24"/>
          <w:szCs w:val="24"/>
        </w:rPr>
        <w:t xml:space="preserve"> provided the </w:t>
      </w:r>
      <w:r w:rsidR="00403341">
        <w:rPr>
          <w:rFonts w:ascii="Arial" w:hAnsi="Arial" w:cs="Arial"/>
          <w:sz w:val="24"/>
          <w:szCs w:val="24"/>
        </w:rPr>
        <w:t>P</w:t>
      </w:r>
      <w:r w:rsidR="0025153E" w:rsidRPr="00FC6D87">
        <w:rPr>
          <w:rFonts w:ascii="Arial" w:hAnsi="Arial" w:cs="Arial"/>
          <w:sz w:val="24"/>
          <w:szCs w:val="24"/>
        </w:rPr>
        <w:t xml:space="preserve">alliative </w:t>
      </w:r>
      <w:r w:rsidR="00403341">
        <w:rPr>
          <w:rFonts w:ascii="Arial" w:hAnsi="Arial" w:cs="Arial"/>
          <w:sz w:val="24"/>
          <w:szCs w:val="24"/>
        </w:rPr>
        <w:t>C</w:t>
      </w:r>
      <w:r w:rsidR="0025153E" w:rsidRPr="00FC6D87">
        <w:rPr>
          <w:rFonts w:ascii="Arial" w:hAnsi="Arial" w:cs="Arial"/>
          <w:sz w:val="24"/>
          <w:szCs w:val="24"/>
        </w:rPr>
        <w:t xml:space="preserve">are </w:t>
      </w:r>
      <w:r w:rsidR="00403341">
        <w:rPr>
          <w:rFonts w:ascii="Arial" w:hAnsi="Arial" w:cs="Arial"/>
          <w:sz w:val="24"/>
          <w:szCs w:val="24"/>
        </w:rPr>
        <w:t>Enhanced S</w:t>
      </w:r>
      <w:r w:rsidR="0025153E" w:rsidRPr="00FC6D87">
        <w:rPr>
          <w:rFonts w:ascii="Arial" w:hAnsi="Arial" w:cs="Arial"/>
          <w:sz w:val="24"/>
          <w:szCs w:val="24"/>
        </w:rPr>
        <w:t>ervice</w:t>
      </w:r>
      <w:r w:rsidR="00BE75C5">
        <w:rPr>
          <w:rFonts w:ascii="Arial" w:hAnsi="Arial" w:cs="Arial"/>
          <w:sz w:val="24"/>
          <w:szCs w:val="24"/>
        </w:rPr>
        <w:t>.</w:t>
      </w:r>
    </w:p>
    <w:p w14:paraId="59173E81" w14:textId="77777777" w:rsidR="008F4ACB" w:rsidRPr="00A10850" w:rsidRDefault="008F4ACB" w:rsidP="00DC54F7">
      <w:pPr>
        <w:spacing w:after="0" w:line="240" w:lineRule="auto"/>
        <w:jc w:val="both"/>
        <w:rPr>
          <w:rFonts w:ascii="Arial" w:hAnsi="Arial" w:cs="Arial"/>
          <w:highlight w:val="cyan"/>
          <w:lang w:val="en-US"/>
        </w:rPr>
      </w:pPr>
    </w:p>
    <w:p w14:paraId="4A1EA8F9" w14:textId="77777777" w:rsidR="0063382E" w:rsidRPr="00A10850" w:rsidRDefault="0063382E" w:rsidP="00DC54F7">
      <w:pPr>
        <w:spacing w:after="0" w:line="240" w:lineRule="auto"/>
        <w:jc w:val="both"/>
        <w:rPr>
          <w:rFonts w:ascii="Arial" w:hAnsi="Arial" w:cs="Arial"/>
        </w:rPr>
      </w:pPr>
    </w:p>
    <w:p w14:paraId="689C3AFF" w14:textId="4C07732B" w:rsidR="005A59A3" w:rsidRPr="00A10850" w:rsidRDefault="005A59A3" w:rsidP="00DC54F7">
      <w:pPr>
        <w:spacing w:after="0" w:line="240" w:lineRule="auto"/>
        <w:jc w:val="both"/>
        <w:rPr>
          <w:rFonts w:ascii="Arial" w:hAnsi="Arial" w:cs="Arial"/>
          <w:b/>
          <w:sz w:val="26"/>
          <w:szCs w:val="26"/>
          <w:lang w:val="en-US"/>
        </w:rPr>
      </w:pPr>
      <w:r>
        <w:rPr>
          <w:rFonts w:ascii="Arial" w:hAnsi="Arial" w:cs="Arial"/>
          <w:b/>
          <w:sz w:val="26"/>
          <w:szCs w:val="26"/>
          <w:lang w:val="en-US"/>
        </w:rPr>
        <w:t>12</w:t>
      </w:r>
      <w:r w:rsidRPr="00A10850">
        <w:rPr>
          <w:rFonts w:ascii="Arial" w:hAnsi="Arial" w:cs="Arial"/>
          <w:b/>
          <w:sz w:val="26"/>
          <w:szCs w:val="26"/>
          <w:lang w:val="en-US"/>
        </w:rPr>
        <w:t xml:space="preserve">.3 </w:t>
      </w:r>
      <w:r w:rsidRPr="001D4C3A">
        <w:rPr>
          <w:rFonts w:ascii="Arial" w:hAnsi="Arial" w:cs="Arial"/>
          <w:b/>
          <w:sz w:val="24"/>
          <w:szCs w:val="24"/>
          <w:lang w:val="en-US"/>
        </w:rPr>
        <w:t>Current provision of pharmaceutical services outside the cluster</w:t>
      </w:r>
    </w:p>
    <w:p w14:paraId="19908BD4" w14:textId="77777777" w:rsidR="0063382E" w:rsidRPr="00A10850" w:rsidRDefault="0063382E" w:rsidP="00DC54F7">
      <w:pPr>
        <w:spacing w:after="0" w:line="240" w:lineRule="auto"/>
        <w:jc w:val="both"/>
        <w:rPr>
          <w:rFonts w:ascii="Arial" w:hAnsi="Arial" w:cs="Arial"/>
          <w:lang w:val="en-US"/>
        </w:rPr>
      </w:pPr>
    </w:p>
    <w:p w14:paraId="623A70DA" w14:textId="77777777" w:rsidR="00F742C1" w:rsidRPr="005A59A3" w:rsidRDefault="00F742C1" w:rsidP="00DC54F7">
      <w:pPr>
        <w:spacing w:after="0" w:line="240" w:lineRule="auto"/>
        <w:jc w:val="both"/>
        <w:rPr>
          <w:rFonts w:ascii="Arial" w:hAnsi="Arial" w:cs="Arial"/>
          <w:sz w:val="24"/>
          <w:szCs w:val="24"/>
          <w:lang w:val="en-US"/>
        </w:rPr>
      </w:pPr>
      <w:r w:rsidRPr="005A59A3">
        <w:rPr>
          <w:rFonts w:ascii="Arial" w:hAnsi="Arial" w:cs="Arial"/>
          <w:sz w:val="24"/>
          <w:szCs w:val="24"/>
          <w:lang w:val="en-US"/>
        </w:rPr>
        <w:t>Some residents choose to access contractors outside both the cluster and the health board’s area in order to access services:</w:t>
      </w:r>
    </w:p>
    <w:p w14:paraId="770850D4" w14:textId="77777777" w:rsidR="00F742C1" w:rsidRPr="005A59A3" w:rsidRDefault="00F742C1" w:rsidP="00DC54F7">
      <w:pPr>
        <w:spacing w:after="0" w:line="240" w:lineRule="auto"/>
        <w:jc w:val="both"/>
        <w:rPr>
          <w:rFonts w:ascii="Arial" w:hAnsi="Arial" w:cs="Arial"/>
          <w:sz w:val="24"/>
          <w:szCs w:val="24"/>
          <w:lang w:val="en-US"/>
        </w:rPr>
      </w:pPr>
    </w:p>
    <w:p w14:paraId="1511DBF7" w14:textId="373B6FD4" w:rsidR="00F742C1" w:rsidRPr="005A59A3" w:rsidRDefault="00573DCE" w:rsidP="00DC54F7">
      <w:pPr>
        <w:numPr>
          <w:ilvl w:val="0"/>
          <w:numId w:val="49"/>
        </w:numPr>
        <w:spacing w:after="0" w:line="240" w:lineRule="auto"/>
        <w:jc w:val="both"/>
        <w:rPr>
          <w:rFonts w:ascii="Arial" w:hAnsi="Arial" w:cs="Arial"/>
          <w:sz w:val="24"/>
          <w:szCs w:val="24"/>
          <w:lang w:val="en-US"/>
        </w:rPr>
      </w:pPr>
      <w:r w:rsidRPr="005A59A3">
        <w:rPr>
          <w:rFonts w:ascii="Arial" w:hAnsi="Arial" w:cs="Arial"/>
          <w:sz w:val="24"/>
          <w:szCs w:val="24"/>
          <w:lang w:val="en-US"/>
        </w:rPr>
        <w:t>Offered by dispensing appliance contractors.</w:t>
      </w:r>
    </w:p>
    <w:p w14:paraId="69304B73" w14:textId="77777777" w:rsidR="00F742C1" w:rsidRPr="005A59A3" w:rsidRDefault="00F742C1" w:rsidP="00DC54F7">
      <w:pPr>
        <w:numPr>
          <w:ilvl w:val="0"/>
          <w:numId w:val="49"/>
        </w:numPr>
        <w:spacing w:after="0" w:line="240" w:lineRule="auto"/>
        <w:jc w:val="both"/>
        <w:rPr>
          <w:rFonts w:ascii="Arial" w:hAnsi="Arial" w:cs="Arial"/>
          <w:sz w:val="24"/>
          <w:szCs w:val="24"/>
          <w:lang w:val="en-US"/>
        </w:rPr>
      </w:pPr>
      <w:r w:rsidRPr="005A59A3">
        <w:rPr>
          <w:rFonts w:ascii="Arial" w:hAnsi="Arial" w:cs="Arial"/>
          <w:sz w:val="24"/>
          <w:szCs w:val="24"/>
          <w:lang w:val="en-US"/>
        </w:rPr>
        <w:t>Which are located near to where they work, shop or visit for leisure or other purposes.</w:t>
      </w:r>
    </w:p>
    <w:p w14:paraId="7CCB67DF" w14:textId="77777777" w:rsidR="00F742C1" w:rsidRPr="005A59A3" w:rsidRDefault="00F742C1" w:rsidP="00DC54F7">
      <w:pPr>
        <w:spacing w:after="0" w:line="240" w:lineRule="auto"/>
        <w:jc w:val="both"/>
        <w:rPr>
          <w:rFonts w:ascii="Arial" w:hAnsi="Arial" w:cs="Arial"/>
          <w:sz w:val="24"/>
          <w:szCs w:val="24"/>
          <w:lang w:val="en-US"/>
        </w:rPr>
      </w:pPr>
    </w:p>
    <w:p w14:paraId="225CC1D6" w14:textId="3DA0BF39" w:rsidR="00F742C1" w:rsidRPr="005A59A3" w:rsidRDefault="00F742C1" w:rsidP="00DC54F7">
      <w:pPr>
        <w:shd w:val="clear" w:color="auto" w:fill="FFFFFF"/>
        <w:spacing w:after="0" w:line="240" w:lineRule="auto"/>
        <w:jc w:val="both"/>
        <w:rPr>
          <w:rFonts w:ascii="Arial" w:hAnsi="Arial" w:cs="Arial"/>
          <w:color w:val="000000" w:themeColor="text1"/>
          <w:sz w:val="24"/>
          <w:szCs w:val="24"/>
        </w:rPr>
      </w:pPr>
      <w:r w:rsidRPr="005A59A3">
        <w:rPr>
          <w:rFonts w:ascii="Arial" w:hAnsi="Arial" w:cs="Arial"/>
          <w:color w:val="000000" w:themeColor="text1"/>
          <w:sz w:val="24"/>
          <w:szCs w:val="24"/>
        </w:rPr>
        <w:t>Whilst the majority of prescriptions written by the GP practices in 2019 to 2020 were dispensed by the pharmacies in the cluster, around 1</w:t>
      </w:r>
      <w:r w:rsidR="00A14917" w:rsidRPr="005A59A3">
        <w:rPr>
          <w:rFonts w:ascii="Arial" w:hAnsi="Arial" w:cs="Arial"/>
          <w:color w:val="000000" w:themeColor="text1"/>
          <w:sz w:val="24"/>
          <w:szCs w:val="24"/>
        </w:rPr>
        <w:t>6</w:t>
      </w:r>
      <w:r w:rsidRPr="005A59A3">
        <w:rPr>
          <w:rFonts w:ascii="Arial" w:hAnsi="Arial" w:cs="Arial"/>
          <w:color w:val="000000" w:themeColor="text1"/>
          <w:sz w:val="24"/>
          <w:szCs w:val="24"/>
        </w:rPr>
        <w:t>.</w:t>
      </w:r>
      <w:r w:rsidR="00A14917" w:rsidRPr="005A59A3">
        <w:rPr>
          <w:rFonts w:ascii="Arial" w:hAnsi="Arial" w:cs="Arial"/>
          <w:color w:val="000000" w:themeColor="text1"/>
          <w:sz w:val="24"/>
          <w:szCs w:val="24"/>
        </w:rPr>
        <w:t>3</w:t>
      </w:r>
      <w:r w:rsidRPr="005A59A3">
        <w:rPr>
          <w:rFonts w:ascii="Arial" w:hAnsi="Arial" w:cs="Arial"/>
          <w:color w:val="000000" w:themeColor="text1"/>
          <w:sz w:val="24"/>
          <w:szCs w:val="24"/>
        </w:rPr>
        <w:t>% were dispensed outside the cluster, most notably:</w:t>
      </w:r>
    </w:p>
    <w:p w14:paraId="5B84F0E7" w14:textId="77777777" w:rsidR="00F742C1" w:rsidRPr="005A59A3" w:rsidRDefault="00F742C1" w:rsidP="00DC54F7">
      <w:pPr>
        <w:shd w:val="clear" w:color="auto" w:fill="FFFFFF"/>
        <w:spacing w:after="0" w:line="240" w:lineRule="auto"/>
        <w:jc w:val="both"/>
        <w:rPr>
          <w:rFonts w:ascii="Arial" w:hAnsi="Arial" w:cs="Arial"/>
          <w:color w:val="000000"/>
          <w:sz w:val="24"/>
          <w:szCs w:val="24"/>
        </w:rPr>
      </w:pPr>
    </w:p>
    <w:p w14:paraId="161AB6AC" w14:textId="666F4B47" w:rsidR="00F742C1" w:rsidRPr="005A59A3" w:rsidRDefault="009F0E28"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5A59A3">
        <w:rPr>
          <w:rFonts w:ascii="Arial" w:hAnsi="Arial" w:cs="Arial"/>
          <w:color w:val="000000" w:themeColor="text1"/>
          <w:sz w:val="24"/>
          <w:szCs w:val="24"/>
        </w:rPr>
        <w:t>0</w:t>
      </w:r>
      <w:r w:rsidR="00F742C1" w:rsidRPr="005A59A3">
        <w:rPr>
          <w:rFonts w:ascii="Arial" w:hAnsi="Arial" w:cs="Arial"/>
          <w:color w:val="000000" w:themeColor="text1"/>
          <w:sz w:val="24"/>
          <w:szCs w:val="24"/>
        </w:rPr>
        <w:t>.</w:t>
      </w:r>
      <w:r w:rsidRPr="005A59A3">
        <w:rPr>
          <w:rFonts w:ascii="Arial" w:hAnsi="Arial" w:cs="Arial"/>
          <w:color w:val="000000" w:themeColor="text1"/>
          <w:sz w:val="24"/>
          <w:szCs w:val="24"/>
        </w:rPr>
        <w:t>5</w:t>
      </w:r>
      <w:r w:rsidR="00F742C1" w:rsidRPr="005A59A3">
        <w:rPr>
          <w:rFonts w:ascii="Arial" w:hAnsi="Arial" w:cs="Arial"/>
          <w:color w:val="000000" w:themeColor="text1"/>
          <w:sz w:val="24"/>
          <w:szCs w:val="24"/>
        </w:rPr>
        <w:t>% by pharmacies in Cardiff North cluster</w:t>
      </w:r>
    </w:p>
    <w:p w14:paraId="56A7C22D" w14:textId="3A0A42F3" w:rsidR="009F0E28" w:rsidRPr="005A59A3" w:rsidRDefault="009F0E28"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5A59A3">
        <w:rPr>
          <w:rFonts w:ascii="Arial" w:hAnsi="Arial" w:cs="Arial"/>
          <w:color w:val="000000" w:themeColor="text1"/>
          <w:sz w:val="24"/>
          <w:szCs w:val="24"/>
        </w:rPr>
        <w:t>0.1% by pharmacies in Cardiff East cluster</w:t>
      </w:r>
    </w:p>
    <w:p w14:paraId="19DE956A" w14:textId="135B95CD" w:rsidR="00F742C1" w:rsidRPr="005A59A3" w:rsidRDefault="009F0E28"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5A59A3">
        <w:rPr>
          <w:rFonts w:ascii="Arial" w:hAnsi="Arial" w:cs="Arial"/>
          <w:color w:val="000000" w:themeColor="text1"/>
          <w:sz w:val="24"/>
          <w:szCs w:val="24"/>
        </w:rPr>
        <w:t>1</w:t>
      </w:r>
      <w:r w:rsidR="00F742C1" w:rsidRPr="005A59A3">
        <w:rPr>
          <w:rFonts w:ascii="Arial" w:hAnsi="Arial" w:cs="Arial"/>
          <w:color w:val="000000" w:themeColor="text1"/>
          <w:sz w:val="24"/>
          <w:szCs w:val="24"/>
        </w:rPr>
        <w:t>.</w:t>
      </w:r>
      <w:r w:rsidRPr="005A59A3">
        <w:rPr>
          <w:rFonts w:ascii="Arial" w:hAnsi="Arial" w:cs="Arial"/>
          <w:color w:val="000000" w:themeColor="text1"/>
          <w:sz w:val="24"/>
          <w:szCs w:val="24"/>
        </w:rPr>
        <w:t>8</w:t>
      </w:r>
      <w:r w:rsidR="00F742C1" w:rsidRPr="005A59A3">
        <w:rPr>
          <w:rFonts w:ascii="Arial" w:hAnsi="Arial" w:cs="Arial"/>
          <w:color w:val="000000" w:themeColor="text1"/>
          <w:sz w:val="24"/>
          <w:szCs w:val="24"/>
        </w:rPr>
        <w:t>% by pharmacies in Cardiff South East cluster</w:t>
      </w:r>
    </w:p>
    <w:p w14:paraId="0B16CE71" w14:textId="14B026F7" w:rsidR="00F742C1" w:rsidRPr="005A59A3" w:rsidRDefault="009F0E28"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5A59A3">
        <w:rPr>
          <w:rFonts w:ascii="Arial" w:hAnsi="Arial" w:cs="Arial"/>
          <w:color w:val="000000" w:themeColor="text1"/>
          <w:sz w:val="24"/>
          <w:szCs w:val="24"/>
        </w:rPr>
        <w:t>7</w:t>
      </w:r>
      <w:r w:rsidR="00F742C1" w:rsidRPr="005A59A3">
        <w:rPr>
          <w:rFonts w:ascii="Arial" w:hAnsi="Arial" w:cs="Arial"/>
          <w:color w:val="000000" w:themeColor="text1"/>
          <w:sz w:val="24"/>
          <w:szCs w:val="24"/>
        </w:rPr>
        <w:t>.</w:t>
      </w:r>
      <w:r w:rsidRPr="005A59A3">
        <w:rPr>
          <w:rFonts w:ascii="Arial" w:hAnsi="Arial" w:cs="Arial"/>
          <w:color w:val="000000" w:themeColor="text1"/>
          <w:sz w:val="24"/>
          <w:szCs w:val="24"/>
        </w:rPr>
        <w:t>5</w:t>
      </w:r>
      <w:r w:rsidR="00F742C1" w:rsidRPr="005A59A3">
        <w:rPr>
          <w:rFonts w:ascii="Arial" w:hAnsi="Arial" w:cs="Arial"/>
          <w:color w:val="000000" w:themeColor="text1"/>
          <w:sz w:val="24"/>
          <w:szCs w:val="24"/>
        </w:rPr>
        <w:t>% by pharmacies in Cardiff City &amp; South cluster</w:t>
      </w:r>
    </w:p>
    <w:p w14:paraId="04FA6ABE" w14:textId="44D39FBB" w:rsidR="00F742C1" w:rsidRPr="005A59A3" w:rsidRDefault="009F0E28"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5A59A3">
        <w:rPr>
          <w:rFonts w:ascii="Arial" w:hAnsi="Arial" w:cs="Arial"/>
          <w:color w:val="000000" w:themeColor="text1"/>
          <w:sz w:val="24"/>
          <w:szCs w:val="24"/>
        </w:rPr>
        <w:t>4</w:t>
      </w:r>
      <w:r w:rsidR="00F742C1" w:rsidRPr="005A59A3">
        <w:rPr>
          <w:rFonts w:ascii="Arial" w:hAnsi="Arial" w:cs="Arial"/>
          <w:color w:val="000000" w:themeColor="text1"/>
          <w:sz w:val="24"/>
          <w:szCs w:val="24"/>
        </w:rPr>
        <w:t>.</w:t>
      </w:r>
      <w:r w:rsidRPr="005A59A3">
        <w:rPr>
          <w:rFonts w:ascii="Arial" w:hAnsi="Arial" w:cs="Arial"/>
          <w:color w:val="000000" w:themeColor="text1"/>
          <w:sz w:val="24"/>
          <w:szCs w:val="24"/>
        </w:rPr>
        <w:t>1</w:t>
      </w:r>
      <w:r w:rsidR="00F742C1" w:rsidRPr="005A59A3">
        <w:rPr>
          <w:rFonts w:ascii="Arial" w:hAnsi="Arial" w:cs="Arial"/>
          <w:color w:val="000000" w:themeColor="text1"/>
          <w:sz w:val="24"/>
          <w:szCs w:val="24"/>
        </w:rPr>
        <w:t>% by pharmacies in Cardiff West cluster</w:t>
      </w:r>
    </w:p>
    <w:p w14:paraId="05A3A626" w14:textId="74F414B4" w:rsidR="009F0E28" w:rsidRPr="005A59A3" w:rsidRDefault="00A360F3"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5A59A3">
        <w:rPr>
          <w:rFonts w:ascii="Arial" w:hAnsi="Arial" w:cs="Arial"/>
          <w:color w:val="000000" w:themeColor="text1"/>
          <w:sz w:val="24"/>
          <w:szCs w:val="24"/>
        </w:rPr>
        <w:t>0.1% by pharmacies in Central Vale cluster</w:t>
      </w:r>
    </w:p>
    <w:p w14:paraId="52CB43E3" w14:textId="331B6199" w:rsidR="00A360F3" w:rsidRPr="005A59A3" w:rsidRDefault="00A360F3"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5A59A3">
        <w:rPr>
          <w:rFonts w:ascii="Arial" w:hAnsi="Arial" w:cs="Arial"/>
          <w:color w:val="000000" w:themeColor="text1"/>
          <w:sz w:val="24"/>
          <w:szCs w:val="24"/>
        </w:rPr>
        <w:t>0.2% by pharmacies in Eastern Vale cluster</w:t>
      </w:r>
    </w:p>
    <w:p w14:paraId="7695BDFC" w14:textId="6F0364CE" w:rsidR="00F742C1" w:rsidRPr="005A59A3" w:rsidRDefault="00CD279E"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5A59A3">
        <w:rPr>
          <w:rFonts w:ascii="Arial" w:hAnsi="Arial" w:cs="Arial"/>
          <w:color w:val="000000" w:themeColor="text1"/>
          <w:sz w:val="24"/>
          <w:szCs w:val="24"/>
        </w:rPr>
        <w:t>1</w:t>
      </w:r>
      <w:r w:rsidR="00F742C1" w:rsidRPr="005A59A3">
        <w:rPr>
          <w:rFonts w:ascii="Arial" w:hAnsi="Arial" w:cs="Arial"/>
          <w:color w:val="000000" w:themeColor="text1"/>
          <w:sz w:val="24"/>
          <w:szCs w:val="24"/>
        </w:rPr>
        <w:t>.</w:t>
      </w:r>
      <w:r w:rsidRPr="005A59A3">
        <w:rPr>
          <w:rFonts w:ascii="Arial" w:hAnsi="Arial" w:cs="Arial"/>
          <w:color w:val="000000" w:themeColor="text1"/>
          <w:sz w:val="24"/>
          <w:szCs w:val="24"/>
        </w:rPr>
        <w:t>0</w:t>
      </w:r>
      <w:r w:rsidR="00F742C1" w:rsidRPr="005A59A3">
        <w:rPr>
          <w:rFonts w:ascii="Arial" w:hAnsi="Arial" w:cs="Arial"/>
          <w:color w:val="000000" w:themeColor="text1"/>
          <w:sz w:val="24"/>
          <w:szCs w:val="24"/>
        </w:rPr>
        <w:t>% in Aneurin Bevan University Health Board</w:t>
      </w:r>
    </w:p>
    <w:p w14:paraId="69A668ED" w14:textId="41AD2E5D" w:rsidR="00F742C1" w:rsidRPr="005A59A3" w:rsidRDefault="00F742C1" w:rsidP="00DC54F7">
      <w:pPr>
        <w:pStyle w:val="ListParagraph"/>
        <w:numPr>
          <w:ilvl w:val="0"/>
          <w:numId w:val="143"/>
        </w:numPr>
        <w:spacing w:after="0" w:line="240" w:lineRule="auto"/>
        <w:jc w:val="both"/>
        <w:rPr>
          <w:rFonts w:ascii="Arial" w:eastAsia="Times New Roman" w:hAnsi="Arial" w:cs="Arial"/>
          <w:color w:val="000000"/>
          <w:sz w:val="24"/>
          <w:szCs w:val="24"/>
          <w:lang w:eastAsia="en-GB"/>
        </w:rPr>
      </w:pPr>
      <w:r w:rsidRPr="005A59A3">
        <w:rPr>
          <w:rFonts w:ascii="Arial" w:hAnsi="Arial" w:cs="Arial"/>
          <w:color w:val="000000" w:themeColor="text1"/>
          <w:sz w:val="24"/>
          <w:szCs w:val="24"/>
        </w:rPr>
        <w:t>0.</w:t>
      </w:r>
      <w:r w:rsidR="00CD279E" w:rsidRPr="005A59A3">
        <w:rPr>
          <w:rFonts w:ascii="Arial" w:hAnsi="Arial" w:cs="Arial"/>
          <w:color w:val="000000" w:themeColor="text1"/>
          <w:sz w:val="24"/>
          <w:szCs w:val="24"/>
        </w:rPr>
        <w:t>3</w:t>
      </w:r>
      <w:r w:rsidRPr="005A59A3">
        <w:rPr>
          <w:rFonts w:ascii="Arial" w:hAnsi="Arial" w:cs="Arial"/>
          <w:color w:val="000000" w:themeColor="text1"/>
          <w:sz w:val="24"/>
          <w:szCs w:val="24"/>
        </w:rPr>
        <w:t xml:space="preserve">% in </w:t>
      </w:r>
      <w:r w:rsidRPr="005A59A3">
        <w:rPr>
          <w:rFonts w:ascii="Arial" w:eastAsia="Times New Roman" w:hAnsi="Arial" w:cs="Arial"/>
          <w:color w:val="000000"/>
          <w:sz w:val="24"/>
          <w:szCs w:val="24"/>
          <w:lang w:eastAsia="en-GB"/>
        </w:rPr>
        <w:t>Cwm Taf Morgannwg University Health Board</w:t>
      </w:r>
    </w:p>
    <w:p w14:paraId="30143A05" w14:textId="77777777" w:rsidR="00F742C1" w:rsidRPr="005A59A3" w:rsidRDefault="00F742C1"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5A59A3">
        <w:rPr>
          <w:rFonts w:ascii="Arial" w:hAnsi="Arial" w:cs="Arial"/>
          <w:color w:val="000000" w:themeColor="text1"/>
          <w:sz w:val="24"/>
          <w:szCs w:val="24"/>
        </w:rPr>
        <w:t>0.1% in Swansea Bay University Health Board</w:t>
      </w:r>
    </w:p>
    <w:p w14:paraId="13029734" w14:textId="0AE24CF8" w:rsidR="00F742C1" w:rsidRPr="005A59A3" w:rsidRDefault="00F742C1"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5A59A3">
        <w:rPr>
          <w:rFonts w:ascii="Arial" w:hAnsi="Arial" w:cs="Arial"/>
          <w:color w:val="000000" w:themeColor="text1"/>
          <w:sz w:val="24"/>
          <w:szCs w:val="24"/>
        </w:rPr>
        <w:t>0.</w:t>
      </w:r>
      <w:r w:rsidR="00CD279E" w:rsidRPr="005A59A3">
        <w:rPr>
          <w:rFonts w:ascii="Arial" w:hAnsi="Arial" w:cs="Arial"/>
          <w:color w:val="000000" w:themeColor="text1"/>
          <w:sz w:val="24"/>
          <w:szCs w:val="24"/>
        </w:rPr>
        <w:t>5</w:t>
      </w:r>
      <w:r w:rsidRPr="005A59A3">
        <w:rPr>
          <w:rFonts w:ascii="Arial" w:hAnsi="Arial" w:cs="Arial"/>
          <w:color w:val="000000" w:themeColor="text1"/>
          <w:sz w:val="24"/>
          <w:szCs w:val="24"/>
        </w:rPr>
        <w:t>% by contractors in England</w:t>
      </w:r>
    </w:p>
    <w:p w14:paraId="656F6102" w14:textId="1DFE0379" w:rsidR="00F742C1" w:rsidRPr="005A59A3" w:rsidRDefault="00F742C1" w:rsidP="00DC54F7">
      <w:pPr>
        <w:shd w:val="clear" w:color="auto" w:fill="FFFFFF"/>
        <w:spacing w:after="0" w:line="240" w:lineRule="auto"/>
        <w:jc w:val="both"/>
        <w:rPr>
          <w:rFonts w:ascii="Arial" w:hAnsi="Arial" w:cs="Arial"/>
          <w:color w:val="000000" w:themeColor="text1"/>
          <w:sz w:val="24"/>
          <w:szCs w:val="24"/>
        </w:rPr>
      </w:pPr>
    </w:p>
    <w:p w14:paraId="226C4E87" w14:textId="22B0E1FD" w:rsidR="00F742C1" w:rsidRPr="005A59A3" w:rsidRDefault="00F742C1" w:rsidP="00DC54F7">
      <w:pPr>
        <w:shd w:val="clear" w:color="auto" w:fill="FFFFFF"/>
        <w:spacing w:after="0" w:line="240" w:lineRule="auto"/>
        <w:jc w:val="both"/>
        <w:rPr>
          <w:rFonts w:ascii="Arial" w:hAnsi="Arial" w:cs="Arial"/>
          <w:sz w:val="24"/>
          <w:szCs w:val="24"/>
        </w:rPr>
      </w:pPr>
      <w:r w:rsidRPr="005A59A3">
        <w:rPr>
          <w:rFonts w:ascii="Arial" w:hAnsi="Arial" w:cs="Arial"/>
          <w:sz w:val="24"/>
          <w:szCs w:val="24"/>
        </w:rPr>
        <w:t>In addition, residents may have accessed one or more pharmaceutical services provided by another pharmacy outside of both the cluster and the health board’s area; however, it is not possible to quantify this activity from the recorded data.</w:t>
      </w:r>
    </w:p>
    <w:p w14:paraId="300D5F32" w14:textId="77777777" w:rsidR="00F742C1" w:rsidRPr="005A59A3" w:rsidRDefault="00F742C1" w:rsidP="00DC54F7">
      <w:pPr>
        <w:shd w:val="clear" w:color="auto" w:fill="FFFFFF"/>
        <w:spacing w:after="0" w:line="240" w:lineRule="auto"/>
        <w:jc w:val="both"/>
        <w:rPr>
          <w:rFonts w:ascii="Arial" w:hAnsi="Arial" w:cs="Arial"/>
          <w:sz w:val="24"/>
          <w:szCs w:val="24"/>
        </w:rPr>
      </w:pPr>
      <w:r w:rsidRPr="005A59A3">
        <w:rPr>
          <w:rFonts w:ascii="Arial" w:hAnsi="Arial" w:cs="Arial"/>
          <w:sz w:val="24"/>
          <w:szCs w:val="24"/>
        </w:rPr>
        <w:t> </w:t>
      </w:r>
    </w:p>
    <w:p w14:paraId="0C09C5F4" w14:textId="02D02FED" w:rsidR="00F742C1" w:rsidRPr="005A59A3" w:rsidRDefault="00F742C1" w:rsidP="00DC54F7">
      <w:pPr>
        <w:spacing w:after="0" w:line="240" w:lineRule="auto"/>
        <w:jc w:val="both"/>
        <w:rPr>
          <w:rFonts w:ascii="Arial" w:hAnsi="Arial" w:cs="Arial"/>
          <w:sz w:val="24"/>
          <w:szCs w:val="24"/>
          <w:lang w:val="en-US"/>
        </w:rPr>
      </w:pPr>
      <w:r w:rsidRPr="005A59A3">
        <w:rPr>
          <w:rFonts w:ascii="Arial" w:hAnsi="Arial" w:cs="Arial"/>
          <w:sz w:val="24"/>
          <w:szCs w:val="24"/>
          <w:lang w:val="en-US"/>
        </w:rPr>
        <w:t xml:space="preserve">Taking into account pharmacies in the neighbouring clusters and pharmacies over the border in other health board areas in Wales, all residents in the cluster of Cardiff </w:t>
      </w:r>
      <w:r w:rsidR="00631BA0" w:rsidRPr="005A59A3">
        <w:rPr>
          <w:rFonts w:ascii="Arial" w:hAnsi="Arial" w:cs="Arial"/>
          <w:sz w:val="24"/>
          <w:szCs w:val="24"/>
          <w:lang w:val="en-US"/>
        </w:rPr>
        <w:t xml:space="preserve">South West </w:t>
      </w:r>
      <w:r w:rsidRPr="005A59A3">
        <w:rPr>
          <w:rFonts w:ascii="Arial" w:hAnsi="Arial" w:cs="Arial"/>
          <w:sz w:val="24"/>
          <w:szCs w:val="24"/>
          <w:lang w:val="en-US"/>
        </w:rPr>
        <w:t xml:space="preserve">can access a pharmacy by car within 10 minutes and the majority can access a pharmacy by car within five minutes. </w:t>
      </w:r>
    </w:p>
    <w:p w14:paraId="0711E2B0" w14:textId="77777777" w:rsidR="0063382E" w:rsidRPr="005A59A3" w:rsidRDefault="0063382E" w:rsidP="00DC54F7">
      <w:pPr>
        <w:spacing w:after="0" w:line="240" w:lineRule="auto"/>
        <w:jc w:val="both"/>
        <w:rPr>
          <w:rFonts w:ascii="Arial" w:hAnsi="Arial" w:cs="Arial"/>
          <w:sz w:val="24"/>
          <w:szCs w:val="24"/>
          <w:lang w:val="en-US"/>
        </w:rPr>
      </w:pPr>
    </w:p>
    <w:p w14:paraId="1B6E566A" w14:textId="77777777" w:rsidR="0063382E" w:rsidRPr="005A59A3" w:rsidRDefault="0063382E" w:rsidP="00DC54F7">
      <w:pPr>
        <w:spacing w:after="0" w:line="240" w:lineRule="auto"/>
        <w:jc w:val="both"/>
        <w:rPr>
          <w:rFonts w:ascii="Arial" w:hAnsi="Arial" w:cs="Arial"/>
          <w:sz w:val="24"/>
          <w:szCs w:val="24"/>
          <w:lang w:val="en-US"/>
        </w:rPr>
      </w:pPr>
    </w:p>
    <w:p w14:paraId="72F5EC8F" w14:textId="356282EC" w:rsidR="0063382E" w:rsidRPr="00A10850" w:rsidRDefault="009D14A4" w:rsidP="00DC54F7">
      <w:pPr>
        <w:spacing w:after="0" w:line="240" w:lineRule="auto"/>
        <w:jc w:val="both"/>
        <w:rPr>
          <w:rFonts w:ascii="Arial" w:hAnsi="Arial" w:cs="Arial"/>
          <w:b/>
          <w:sz w:val="26"/>
          <w:szCs w:val="26"/>
          <w:lang w:val="en-US"/>
        </w:rPr>
      </w:pPr>
      <w:r>
        <w:rPr>
          <w:rFonts w:ascii="Arial" w:hAnsi="Arial" w:cs="Arial"/>
          <w:b/>
          <w:sz w:val="26"/>
          <w:szCs w:val="26"/>
          <w:lang w:val="en-US"/>
        </w:rPr>
        <w:t>12</w:t>
      </w:r>
      <w:r w:rsidR="0063382E" w:rsidRPr="00A10850">
        <w:rPr>
          <w:rFonts w:ascii="Arial" w:hAnsi="Arial" w:cs="Arial"/>
          <w:b/>
          <w:sz w:val="26"/>
          <w:szCs w:val="26"/>
          <w:lang w:val="en-US"/>
        </w:rPr>
        <w:t xml:space="preserve">.4 </w:t>
      </w:r>
      <w:r w:rsidR="0063382E" w:rsidRPr="001D4C3A">
        <w:rPr>
          <w:rFonts w:ascii="Arial" w:hAnsi="Arial" w:cs="Arial"/>
          <w:b/>
          <w:sz w:val="24"/>
          <w:szCs w:val="24"/>
          <w:lang w:val="en-US"/>
        </w:rPr>
        <w:t>Other NHS services</w:t>
      </w:r>
    </w:p>
    <w:p w14:paraId="0010DD1B" w14:textId="77777777" w:rsidR="00A97678" w:rsidRDefault="00A97678" w:rsidP="00DC54F7">
      <w:pPr>
        <w:spacing w:after="0" w:line="240" w:lineRule="auto"/>
        <w:jc w:val="both"/>
        <w:rPr>
          <w:rFonts w:ascii="Arial" w:hAnsi="Arial" w:cs="Arial"/>
          <w:lang w:val="en-US"/>
        </w:rPr>
      </w:pPr>
      <w:bookmarkStart w:id="46" w:name="_Hlk69985293"/>
    </w:p>
    <w:p w14:paraId="36529A36" w14:textId="2CE489A1" w:rsidR="00A97678" w:rsidRPr="005A0BBE" w:rsidRDefault="00A97678" w:rsidP="00DC54F7">
      <w:pPr>
        <w:spacing w:after="0" w:line="240" w:lineRule="auto"/>
        <w:jc w:val="both"/>
        <w:rPr>
          <w:rFonts w:ascii="Arial" w:hAnsi="Arial" w:cs="Arial"/>
          <w:bCs/>
          <w:sz w:val="24"/>
          <w:szCs w:val="24"/>
          <w:lang w:val="en-US"/>
        </w:rPr>
      </w:pPr>
      <w:r w:rsidRPr="005A0BBE">
        <w:rPr>
          <w:rFonts w:ascii="Arial" w:hAnsi="Arial" w:cs="Arial"/>
          <w:sz w:val="24"/>
          <w:szCs w:val="24"/>
          <w:lang w:val="en-US"/>
        </w:rPr>
        <w:t>St David’s Hospital</w:t>
      </w:r>
      <w:r w:rsidRPr="005A0BBE">
        <w:rPr>
          <w:rFonts w:ascii="Arial" w:hAnsi="Arial" w:cs="Arial"/>
          <w:bCs/>
          <w:sz w:val="24"/>
          <w:szCs w:val="24"/>
          <w:lang w:val="en-US"/>
        </w:rPr>
        <w:t xml:space="preserve"> is located within the cluster of Cardiff South West. However, the hospital serves a much wider population than that of the cluster.</w:t>
      </w:r>
    </w:p>
    <w:bookmarkEnd w:id="46"/>
    <w:p w14:paraId="5B718865" w14:textId="055126C1" w:rsidR="0063382E" w:rsidRPr="001D4C3A" w:rsidRDefault="009D14A4" w:rsidP="00DC54F7">
      <w:pPr>
        <w:spacing w:after="0" w:line="240" w:lineRule="auto"/>
        <w:jc w:val="both"/>
        <w:rPr>
          <w:rFonts w:ascii="Arial" w:hAnsi="Arial" w:cs="Arial"/>
          <w:b/>
          <w:sz w:val="24"/>
          <w:szCs w:val="24"/>
          <w:lang w:val="en-US"/>
        </w:rPr>
      </w:pPr>
      <w:r>
        <w:rPr>
          <w:rFonts w:ascii="Arial" w:hAnsi="Arial" w:cs="Arial"/>
          <w:b/>
          <w:sz w:val="26"/>
          <w:szCs w:val="26"/>
          <w:lang w:val="en-US"/>
        </w:rPr>
        <w:lastRenderedPageBreak/>
        <w:t>12</w:t>
      </w:r>
      <w:r w:rsidR="0063382E" w:rsidRPr="00A10850">
        <w:rPr>
          <w:rFonts w:ascii="Arial" w:hAnsi="Arial" w:cs="Arial"/>
          <w:b/>
          <w:sz w:val="26"/>
          <w:szCs w:val="26"/>
          <w:lang w:val="en-US"/>
        </w:rPr>
        <w:t xml:space="preserve">.5 </w:t>
      </w:r>
      <w:r w:rsidR="0063382E" w:rsidRPr="001D4C3A">
        <w:rPr>
          <w:rFonts w:ascii="Arial" w:hAnsi="Arial" w:cs="Arial"/>
          <w:b/>
          <w:sz w:val="24"/>
          <w:szCs w:val="24"/>
          <w:lang w:val="en-US"/>
        </w:rPr>
        <w:t>Choice with regard to obtaining pharmaceutical services</w:t>
      </w:r>
    </w:p>
    <w:p w14:paraId="2D8A5EC3" w14:textId="6BB531BF" w:rsidR="0063382E" w:rsidRDefault="0063382E" w:rsidP="00DC54F7">
      <w:pPr>
        <w:spacing w:after="0" w:line="240" w:lineRule="auto"/>
        <w:jc w:val="both"/>
        <w:rPr>
          <w:rFonts w:ascii="Arial" w:hAnsi="Arial" w:cs="Arial"/>
          <w:lang w:val="en-US"/>
        </w:rPr>
      </w:pPr>
    </w:p>
    <w:p w14:paraId="0A86830A" w14:textId="691F5D9B" w:rsidR="00964C04" w:rsidRPr="005A0BBE" w:rsidRDefault="00964C04" w:rsidP="00DC54F7">
      <w:pPr>
        <w:spacing w:after="0" w:line="240" w:lineRule="auto"/>
        <w:jc w:val="both"/>
        <w:rPr>
          <w:rFonts w:ascii="Arial" w:hAnsi="Arial" w:cs="Arial"/>
          <w:sz w:val="24"/>
          <w:szCs w:val="24"/>
          <w:lang w:val="en-US"/>
        </w:rPr>
      </w:pPr>
      <w:r w:rsidRPr="005A0BBE">
        <w:rPr>
          <w:rFonts w:ascii="Arial" w:hAnsi="Arial" w:cs="Arial"/>
          <w:sz w:val="24"/>
          <w:szCs w:val="24"/>
          <w:lang w:val="en-US"/>
        </w:rPr>
        <w:t xml:space="preserve">As can be seen from sections 12.2 and 12.3, those living within the cluster area and registered with one of the GP practices generally choose to access one of the pharmacies in the cluster in order to have their prescriptions dispensed. Those that look outside the cluster usually do so to access a neighbouring pharmacy within the health board’s area. A minority choose to have their prescription dispensed by a pharmacy or an appliance contractor outside of the health board’s area.  </w:t>
      </w:r>
    </w:p>
    <w:p w14:paraId="655DCF94" w14:textId="77777777" w:rsidR="00964C04" w:rsidRPr="005A0BBE" w:rsidRDefault="00964C04" w:rsidP="00DC54F7">
      <w:pPr>
        <w:spacing w:after="0" w:line="240" w:lineRule="auto"/>
        <w:jc w:val="both"/>
        <w:rPr>
          <w:rFonts w:ascii="Arial" w:hAnsi="Arial" w:cs="Arial"/>
          <w:sz w:val="24"/>
          <w:szCs w:val="24"/>
          <w:lang w:val="en-US"/>
        </w:rPr>
      </w:pPr>
    </w:p>
    <w:p w14:paraId="5AF13C67" w14:textId="00C1FA21" w:rsidR="00964C04" w:rsidRPr="005A0BBE" w:rsidRDefault="00964C04" w:rsidP="00DC54F7">
      <w:pPr>
        <w:spacing w:after="0" w:line="240" w:lineRule="auto"/>
        <w:jc w:val="both"/>
        <w:rPr>
          <w:rFonts w:ascii="Calibri" w:eastAsia="Times New Roman" w:hAnsi="Calibri" w:cs="Calibri"/>
          <w:color w:val="000000"/>
          <w:sz w:val="24"/>
          <w:szCs w:val="24"/>
          <w:lang w:eastAsia="en-GB"/>
        </w:rPr>
      </w:pPr>
      <w:r w:rsidRPr="005A0BBE">
        <w:rPr>
          <w:rFonts w:ascii="Arial" w:hAnsi="Arial" w:cs="Arial"/>
          <w:sz w:val="24"/>
          <w:szCs w:val="24"/>
          <w:lang w:val="en-US"/>
        </w:rPr>
        <w:t>A total of 3</w:t>
      </w:r>
      <w:r w:rsidR="008164E0" w:rsidRPr="005A0BBE">
        <w:rPr>
          <w:rFonts w:ascii="Arial" w:hAnsi="Arial" w:cs="Arial"/>
          <w:sz w:val="24"/>
          <w:szCs w:val="24"/>
          <w:lang w:val="en-US"/>
        </w:rPr>
        <w:t>36</w:t>
      </w:r>
      <w:r w:rsidRPr="005A0BBE">
        <w:rPr>
          <w:rFonts w:ascii="Arial" w:hAnsi="Arial" w:cs="Arial"/>
          <w:sz w:val="24"/>
          <w:szCs w:val="24"/>
          <w:lang w:val="en-US"/>
        </w:rPr>
        <w:t xml:space="preserve"> pharmacy contractors that were trading in Wales during 2019 to 2020, dispensed items written by one of the GP practices in the Cardiff </w:t>
      </w:r>
      <w:r w:rsidR="009C21DE" w:rsidRPr="005A0BBE">
        <w:rPr>
          <w:rFonts w:ascii="Arial" w:hAnsi="Arial" w:cs="Arial"/>
          <w:sz w:val="24"/>
          <w:szCs w:val="24"/>
          <w:lang w:val="en-US"/>
        </w:rPr>
        <w:t>South West</w:t>
      </w:r>
      <w:r w:rsidRPr="005A0BBE">
        <w:rPr>
          <w:rFonts w:ascii="Arial" w:hAnsi="Arial" w:cs="Arial"/>
          <w:sz w:val="24"/>
          <w:szCs w:val="24"/>
          <w:lang w:val="en-US"/>
        </w:rPr>
        <w:t xml:space="preserve"> cluster, of which 2</w:t>
      </w:r>
      <w:r w:rsidR="00E046D5" w:rsidRPr="005A0BBE">
        <w:rPr>
          <w:rFonts w:ascii="Arial" w:hAnsi="Arial" w:cs="Arial"/>
          <w:sz w:val="24"/>
          <w:szCs w:val="24"/>
          <w:lang w:val="en-US"/>
        </w:rPr>
        <w:t>28</w:t>
      </w:r>
      <w:r w:rsidRPr="005A0BBE">
        <w:rPr>
          <w:rFonts w:ascii="Arial" w:hAnsi="Arial" w:cs="Arial"/>
          <w:sz w:val="24"/>
          <w:szCs w:val="24"/>
          <w:lang w:val="en-US"/>
        </w:rPr>
        <w:t xml:space="preserve"> were outside of the health board’s area</w:t>
      </w:r>
      <w:r w:rsidRPr="005A0BBE">
        <w:rPr>
          <w:rFonts w:ascii="Arial" w:hAnsi="Arial" w:cs="Arial"/>
          <w:b/>
          <w:bCs/>
          <w:sz w:val="24"/>
          <w:szCs w:val="24"/>
          <w:lang w:val="en-US"/>
        </w:rPr>
        <w:t xml:space="preserve">. </w:t>
      </w:r>
      <w:r w:rsidR="00D821EA" w:rsidRPr="005A0BBE">
        <w:rPr>
          <w:rFonts w:ascii="Arial" w:hAnsi="Arial" w:cs="Arial"/>
          <w:sz w:val="24"/>
          <w:szCs w:val="24"/>
          <w:lang w:val="en-US"/>
        </w:rPr>
        <w:t>6,774</w:t>
      </w:r>
      <w:r w:rsidRPr="005A0BBE">
        <w:rPr>
          <w:rFonts w:ascii="Arial" w:hAnsi="Arial" w:cs="Arial"/>
          <w:sz w:val="24"/>
          <w:szCs w:val="24"/>
          <w:lang w:val="en-US"/>
        </w:rPr>
        <w:t xml:space="preserve"> prescription items were dispensed in England. </w:t>
      </w:r>
    </w:p>
    <w:p w14:paraId="46ACBC2E" w14:textId="77777777" w:rsidR="000631D2" w:rsidRDefault="000631D2" w:rsidP="00DC54F7">
      <w:pPr>
        <w:spacing w:after="0" w:line="240" w:lineRule="auto"/>
        <w:jc w:val="both"/>
        <w:rPr>
          <w:rFonts w:ascii="Arial" w:hAnsi="Arial" w:cs="Arial"/>
          <w:b/>
          <w:color w:val="942D83"/>
          <w:lang w:val="en-US"/>
        </w:rPr>
      </w:pPr>
    </w:p>
    <w:p w14:paraId="3DFCC71E" w14:textId="18105C2C" w:rsidR="0063382E" w:rsidRDefault="009D14A4" w:rsidP="00DC54F7">
      <w:pPr>
        <w:spacing w:after="0" w:line="240" w:lineRule="auto"/>
        <w:jc w:val="both"/>
        <w:rPr>
          <w:rFonts w:ascii="Arial" w:hAnsi="Arial" w:cs="Arial"/>
          <w:b/>
          <w:sz w:val="26"/>
          <w:szCs w:val="26"/>
          <w:lang w:val="en-US"/>
        </w:rPr>
      </w:pPr>
      <w:r>
        <w:rPr>
          <w:rFonts w:ascii="Arial" w:hAnsi="Arial" w:cs="Arial"/>
          <w:b/>
          <w:sz w:val="26"/>
          <w:szCs w:val="26"/>
          <w:lang w:val="en-US"/>
        </w:rPr>
        <w:t>12</w:t>
      </w:r>
      <w:r w:rsidR="0063382E" w:rsidRPr="00A10850">
        <w:rPr>
          <w:rFonts w:ascii="Arial" w:hAnsi="Arial" w:cs="Arial"/>
          <w:b/>
          <w:sz w:val="26"/>
          <w:szCs w:val="26"/>
          <w:lang w:val="en-US"/>
        </w:rPr>
        <w:t xml:space="preserve">.6 </w:t>
      </w:r>
      <w:r w:rsidR="0063382E" w:rsidRPr="001D4C3A">
        <w:rPr>
          <w:rFonts w:ascii="Arial" w:hAnsi="Arial" w:cs="Arial"/>
          <w:b/>
          <w:sz w:val="24"/>
          <w:szCs w:val="24"/>
          <w:lang w:val="en-US"/>
        </w:rPr>
        <w:t>Gaps in provision</w:t>
      </w:r>
    </w:p>
    <w:p w14:paraId="63F433C3" w14:textId="2A72A050" w:rsidR="000800D1" w:rsidRDefault="000800D1" w:rsidP="00DC54F7">
      <w:pPr>
        <w:spacing w:after="0" w:line="240" w:lineRule="auto"/>
        <w:jc w:val="both"/>
        <w:rPr>
          <w:rFonts w:ascii="Arial" w:hAnsi="Arial" w:cs="Arial"/>
          <w:b/>
          <w:sz w:val="26"/>
          <w:szCs w:val="26"/>
          <w:lang w:val="en-US"/>
        </w:rPr>
      </w:pPr>
    </w:p>
    <w:p w14:paraId="736CD7E0" w14:textId="77777777" w:rsidR="000800D1" w:rsidRPr="000631D2" w:rsidRDefault="000800D1" w:rsidP="00DC54F7">
      <w:pPr>
        <w:spacing w:after="0" w:line="240" w:lineRule="auto"/>
        <w:jc w:val="both"/>
        <w:rPr>
          <w:rFonts w:ascii="Arial" w:hAnsi="Arial" w:cs="Arial"/>
          <w:sz w:val="24"/>
          <w:szCs w:val="24"/>
        </w:rPr>
      </w:pPr>
      <w:r w:rsidRPr="000631D2">
        <w:rPr>
          <w:rFonts w:ascii="Arial" w:hAnsi="Arial" w:cs="Arial"/>
          <w:sz w:val="24"/>
          <w:szCs w:val="24"/>
        </w:rPr>
        <w:t xml:space="preserve">The </w:t>
      </w:r>
      <w:r w:rsidRPr="000631D2">
        <w:rPr>
          <w:rFonts w:ascii="Arial" w:hAnsi="Arial" w:cs="Arial"/>
          <w:color w:val="000000"/>
          <w:sz w:val="24"/>
          <w:szCs w:val="24"/>
        </w:rPr>
        <w:t xml:space="preserve">Cardiff and Vale University Health Board </w:t>
      </w:r>
      <w:r w:rsidRPr="000631D2">
        <w:rPr>
          <w:rFonts w:ascii="Arial" w:hAnsi="Arial" w:cs="Arial"/>
          <w:sz w:val="24"/>
          <w:szCs w:val="24"/>
        </w:rPr>
        <w:t xml:space="preserve">has noted the locations of pharmacies across the cluster, and the fact that the population can access a pharmacy by car within 10 minutes, with the majority within five minutes. Whilst noting that not all households have access to a car throughout the day, the nature of the cluster means that walking to a pharmacy will be a realistic option for many residents and regular public transport services are available for those who are unable to undertake the whole journey on foot. </w:t>
      </w:r>
    </w:p>
    <w:p w14:paraId="31A2B100" w14:textId="77777777" w:rsidR="000800D1" w:rsidRPr="000631D2" w:rsidRDefault="000800D1" w:rsidP="00DC54F7">
      <w:pPr>
        <w:spacing w:after="0" w:line="240" w:lineRule="auto"/>
        <w:jc w:val="both"/>
        <w:rPr>
          <w:rFonts w:ascii="Arial" w:hAnsi="Arial" w:cs="Arial"/>
          <w:sz w:val="24"/>
          <w:szCs w:val="24"/>
        </w:rPr>
      </w:pPr>
    </w:p>
    <w:p w14:paraId="496D13F5" w14:textId="77777777" w:rsidR="000800D1" w:rsidRPr="000631D2" w:rsidRDefault="000800D1" w:rsidP="00DC54F7">
      <w:pPr>
        <w:spacing w:after="0" w:line="240" w:lineRule="auto"/>
        <w:jc w:val="both"/>
        <w:rPr>
          <w:rFonts w:ascii="Arial" w:hAnsi="Arial" w:cs="Arial"/>
          <w:sz w:val="24"/>
          <w:szCs w:val="24"/>
        </w:rPr>
      </w:pPr>
      <w:r w:rsidRPr="000631D2">
        <w:rPr>
          <w:rFonts w:ascii="Arial" w:hAnsi="Arial" w:cs="Arial"/>
          <w:sz w:val="24"/>
          <w:szCs w:val="24"/>
        </w:rPr>
        <w:t xml:space="preserve">The </w:t>
      </w:r>
      <w:r w:rsidRPr="000631D2">
        <w:rPr>
          <w:rFonts w:ascii="Arial" w:hAnsi="Arial" w:cs="Arial"/>
          <w:color w:val="000000"/>
          <w:sz w:val="24"/>
          <w:szCs w:val="24"/>
        </w:rPr>
        <w:t xml:space="preserve">Cardiff and Vale University Health Board </w:t>
      </w:r>
      <w:r w:rsidRPr="000631D2">
        <w:rPr>
          <w:rFonts w:ascii="Arial" w:hAnsi="Arial" w:cs="Arial"/>
          <w:sz w:val="24"/>
          <w:szCs w:val="24"/>
        </w:rPr>
        <w:t xml:space="preserve">has noted the opening hours of the existing pharmacies and is of the opinion that they are sufficient to meet the likely needs of residents in the cluster. The </w:t>
      </w:r>
      <w:r w:rsidRPr="000631D2">
        <w:rPr>
          <w:rFonts w:ascii="Arial" w:hAnsi="Arial" w:cs="Arial"/>
          <w:color w:val="000000"/>
          <w:sz w:val="24"/>
          <w:szCs w:val="24"/>
        </w:rPr>
        <w:t xml:space="preserve">Cardiff and Vale University Health Board </w:t>
      </w:r>
      <w:r w:rsidRPr="000631D2">
        <w:rPr>
          <w:rFonts w:ascii="Arial" w:hAnsi="Arial" w:cs="Arial"/>
          <w:sz w:val="24"/>
          <w:szCs w:val="24"/>
        </w:rPr>
        <w:t>has therefore concluded that there are no current needs in relation to the provision of essential services by pharmacies in the cluster.</w:t>
      </w:r>
    </w:p>
    <w:p w14:paraId="78A3785D" w14:textId="77777777" w:rsidR="000800D1" w:rsidRPr="000631D2" w:rsidRDefault="000800D1" w:rsidP="00DC54F7">
      <w:pPr>
        <w:spacing w:after="0" w:line="240" w:lineRule="auto"/>
        <w:jc w:val="both"/>
        <w:rPr>
          <w:rFonts w:ascii="Arial" w:hAnsi="Arial" w:cs="Arial"/>
          <w:sz w:val="24"/>
          <w:szCs w:val="24"/>
        </w:rPr>
      </w:pPr>
    </w:p>
    <w:p w14:paraId="63BD02C6" w14:textId="798D5D2D" w:rsidR="000800D1" w:rsidRPr="000631D2" w:rsidRDefault="00412AA2" w:rsidP="00DC54F7">
      <w:pPr>
        <w:spacing w:after="0" w:line="240" w:lineRule="auto"/>
        <w:contextualSpacing/>
        <w:jc w:val="both"/>
        <w:rPr>
          <w:rFonts w:ascii="Arial" w:hAnsi="Arial" w:cs="Arial"/>
          <w:sz w:val="24"/>
          <w:szCs w:val="24"/>
        </w:rPr>
      </w:pPr>
      <w:r w:rsidRPr="000631D2">
        <w:rPr>
          <w:rFonts w:ascii="Arial" w:hAnsi="Arial" w:cs="Arial"/>
          <w:sz w:val="24"/>
          <w:szCs w:val="24"/>
        </w:rPr>
        <w:t xml:space="preserve">The </w:t>
      </w:r>
      <w:r w:rsidRPr="000631D2">
        <w:rPr>
          <w:rFonts w:ascii="Arial" w:hAnsi="Arial" w:cs="Arial"/>
          <w:color w:val="000000"/>
          <w:sz w:val="24"/>
          <w:szCs w:val="24"/>
        </w:rPr>
        <w:t xml:space="preserve">Cardiff and Vale University Health Board </w:t>
      </w:r>
      <w:r w:rsidRPr="000631D2">
        <w:rPr>
          <w:rFonts w:ascii="Arial" w:hAnsi="Arial" w:cs="Arial"/>
          <w:sz w:val="24"/>
          <w:szCs w:val="24"/>
        </w:rPr>
        <w:t xml:space="preserve">is also satisfied that there are no current needs in relation to the provision of advanced services.  Whilst none of the pharmacies provide the Appliance Use Review service or the Stoma Appliance Customisation service, it is noted that there are four appliance contractors based in Cardiff and Vale University Health Board who offer these services. One of the reasons why prescriptions are dispensed outside of the cluster is because they have been sent to a dispensing appliance contractor elsewhere in the health board or to England, which provide these services. Patients will therefore be able to access these two services via those contractors. The </w:t>
      </w:r>
      <w:r w:rsidRPr="000631D2">
        <w:rPr>
          <w:rFonts w:ascii="Arial" w:hAnsi="Arial" w:cs="Arial"/>
          <w:color w:val="000000"/>
          <w:sz w:val="24"/>
          <w:szCs w:val="24"/>
        </w:rPr>
        <w:t xml:space="preserve">Cardiff and Vale University Health Board </w:t>
      </w:r>
      <w:r w:rsidRPr="000631D2">
        <w:rPr>
          <w:rFonts w:ascii="Arial" w:hAnsi="Arial" w:cs="Arial"/>
          <w:sz w:val="24"/>
          <w:szCs w:val="24"/>
        </w:rPr>
        <w:t>has therefore not identified any current or future gap or better access in relation to the provision of these two advanced services in the cluster</w:t>
      </w:r>
    </w:p>
    <w:p w14:paraId="0E1815C5" w14:textId="77777777" w:rsidR="00412AA2" w:rsidRPr="000631D2" w:rsidRDefault="00412AA2" w:rsidP="00DC54F7">
      <w:pPr>
        <w:spacing w:after="0" w:line="240" w:lineRule="auto"/>
        <w:contextualSpacing/>
        <w:jc w:val="both"/>
        <w:rPr>
          <w:rFonts w:ascii="Arial" w:hAnsi="Arial" w:cs="Arial"/>
          <w:sz w:val="24"/>
          <w:szCs w:val="24"/>
        </w:rPr>
      </w:pPr>
    </w:p>
    <w:p w14:paraId="6520641B" w14:textId="3F3C79C3" w:rsidR="000800D1" w:rsidRPr="000631D2" w:rsidRDefault="000800D1" w:rsidP="00DC54F7">
      <w:pPr>
        <w:spacing w:after="0" w:line="240" w:lineRule="auto"/>
        <w:contextualSpacing/>
        <w:jc w:val="both"/>
        <w:rPr>
          <w:rFonts w:ascii="Arial" w:hAnsi="Arial" w:cs="Arial"/>
          <w:sz w:val="24"/>
          <w:szCs w:val="24"/>
        </w:rPr>
      </w:pPr>
      <w:r w:rsidRPr="000631D2">
        <w:rPr>
          <w:rFonts w:ascii="Arial" w:hAnsi="Arial" w:cs="Arial"/>
          <w:sz w:val="24"/>
          <w:szCs w:val="24"/>
        </w:rPr>
        <w:t xml:space="preserve">All 10 pharmacies responded to the question in the contractor questionnaire regarding capacity to meet demand from any future housing developments in the cluster. Their responses were as follows: </w:t>
      </w:r>
    </w:p>
    <w:p w14:paraId="26AD5B84" w14:textId="77777777" w:rsidR="000800D1" w:rsidRPr="000631D2" w:rsidRDefault="000800D1" w:rsidP="00DC54F7">
      <w:pPr>
        <w:spacing w:after="0" w:line="240" w:lineRule="auto"/>
        <w:jc w:val="both"/>
        <w:rPr>
          <w:rFonts w:ascii="Arial" w:hAnsi="Arial" w:cs="Arial"/>
          <w:sz w:val="24"/>
          <w:szCs w:val="24"/>
        </w:rPr>
      </w:pPr>
    </w:p>
    <w:p w14:paraId="639CAC85" w14:textId="77777777" w:rsidR="000800D1" w:rsidRPr="000631D2" w:rsidRDefault="000800D1" w:rsidP="00DC54F7">
      <w:pPr>
        <w:pStyle w:val="ListParagraph"/>
        <w:numPr>
          <w:ilvl w:val="0"/>
          <w:numId w:val="158"/>
        </w:numPr>
        <w:spacing w:after="0" w:line="240" w:lineRule="auto"/>
        <w:jc w:val="both"/>
        <w:rPr>
          <w:rFonts w:ascii="Arial" w:hAnsi="Arial" w:cs="Arial"/>
          <w:sz w:val="24"/>
          <w:szCs w:val="24"/>
        </w:rPr>
      </w:pPr>
      <w:r w:rsidRPr="000631D2">
        <w:rPr>
          <w:rFonts w:ascii="Arial" w:hAnsi="Arial" w:cs="Arial"/>
          <w:sz w:val="24"/>
          <w:szCs w:val="24"/>
        </w:rPr>
        <w:t>Nine pharmacies have sufficient capacity within their existing premises and staffing levels to manage the increase in demand in the area.</w:t>
      </w:r>
    </w:p>
    <w:p w14:paraId="0C9354CB" w14:textId="77777777" w:rsidR="000800D1" w:rsidRPr="000631D2" w:rsidRDefault="000800D1" w:rsidP="00DC54F7">
      <w:pPr>
        <w:pStyle w:val="ListParagraph"/>
        <w:numPr>
          <w:ilvl w:val="0"/>
          <w:numId w:val="158"/>
        </w:numPr>
        <w:spacing w:after="0" w:line="240" w:lineRule="auto"/>
        <w:jc w:val="both"/>
        <w:rPr>
          <w:rFonts w:ascii="Arial" w:hAnsi="Arial" w:cs="Arial"/>
          <w:sz w:val="24"/>
          <w:szCs w:val="24"/>
        </w:rPr>
      </w:pPr>
      <w:r w:rsidRPr="000631D2">
        <w:rPr>
          <w:rFonts w:ascii="Arial" w:hAnsi="Arial" w:cs="Arial"/>
          <w:sz w:val="24"/>
          <w:szCs w:val="24"/>
        </w:rPr>
        <w:lastRenderedPageBreak/>
        <w:t>One pharmacy does not have sufficient premises and staffing capacity at present but could make adjustments to manage the increase in demand in the area</w:t>
      </w:r>
    </w:p>
    <w:p w14:paraId="0B725D66" w14:textId="77777777" w:rsidR="000800D1" w:rsidRPr="000631D2" w:rsidRDefault="000800D1" w:rsidP="00DC54F7">
      <w:pPr>
        <w:spacing w:after="0" w:line="240" w:lineRule="auto"/>
        <w:jc w:val="both"/>
        <w:rPr>
          <w:rFonts w:ascii="Arial" w:hAnsi="Arial" w:cs="Arial"/>
          <w:sz w:val="24"/>
          <w:szCs w:val="24"/>
        </w:rPr>
      </w:pPr>
    </w:p>
    <w:p w14:paraId="3D75CF46" w14:textId="77777777" w:rsidR="000800D1" w:rsidRPr="000631D2" w:rsidRDefault="000800D1" w:rsidP="00DC54F7">
      <w:pPr>
        <w:spacing w:after="0" w:line="240" w:lineRule="auto"/>
        <w:jc w:val="both"/>
        <w:rPr>
          <w:rFonts w:ascii="Arial" w:hAnsi="Arial" w:cs="Arial"/>
          <w:sz w:val="24"/>
          <w:szCs w:val="24"/>
        </w:rPr>
      </w:pPr>
      <w:r w:rsidRPr="000631D2">
        <w:rPr>
          <w:rFonts w:ascii="Arial" w:hAnsi="Arial" w:cs="Arial"/>
          <w:sz w:val="24"/>
          <w:szCs w:val="24"/>
        </w:rPr>
        <w:t xml:space="preserve">The </w:t>
      </w:r>
      <w:r w:rsidRPr="000631D2">
        <w:rPr>
          <w:rFonts w:ascii="Arial" w:hAnsi="Arial" w:cs="Arial"/>
          <w:color w:val="000000"/>
          <w:sz w:val="24"/>
          <w:szCs w:val="24"/>
        </w:rPr>
        <w:t xml:space="preserve">Cardiff and Vale University Health Board noted that there were no large housing developments due to be built </w:t>
      </w:r>
      <w:r w:rsidRPr="000631D2">
        <w:rPr>
          <w:rFonts w:ascii="Arial" w:hAnsi="Arial" w:cs="Arial"/>
          <w:sz w:val="24"/>
          <w:szCs w:val="24"/>
        </w:rPr>
        <w:t xml:space="preserve">during the lifetime of this document within the cluster. With regard to any small units of housing that are due to be built during the lifetime of this document, </w:t>
      </w:r>
      <w:r w:rsidRPr="000631D2">
        <w:rPr>
          <w:rFonts w:ascii="Arial" w:hAnsi="Arial" w:cs="Arial"/>
          <w:color w:val="000000"/>
          <w:sz w:val="24"/>
          <w:szCs w:val="24"/>
        </w:rPr>
        <w:t>Cardiff and Vale University Health Board</w:t>
      </w:r>
      <w:r w:rsidRPr="000631D2">
        <w:rPr>
          <w:rFonts w:ascii="Arial" w:hAnsi="Arial" w:cs="Arial"/>
          <w:sz w:val="24"/>
          <w:szCs w:val="24"/>
        </w:rPr>
        <w:t xml:space="preserve"> is satisfied, based upon the responses to the contractor questionnaire, that the demand that this will create can be met by the existing pharmacies. The </w:t>
      </w:r>
      <w:r w:rsidRPr="000631D2">
        <w:rPr>
          <w:rFonts w:ascii="Arial" w:hAnsi="Arial" w:cs="Arial"/>
          <w:color w:val="000000"/>
          <w:sz w:val="24"/>
          <w:szCs w:val="24"/>
        </w:rPr>
        <w:t xml:space="preserve">Cardiff and Vale University Health Board </w:t>
      </w:r>
      <w:r w:rsidRPr="000631D2">
        <w:rPr>
          <w:rFonts w:ascii="Arial" w:hAnsi="Arial" w:cs="Arial"/>
          <w:sz w:val="24"/>
          <w:szCs w:val="24"/>
        </w:rPr>
        <w:t>has therefore concluded that there are no future needs in relation to the provision of essential services by pharmacies in the cluster</w:t>
      </w:r>
    </w:p>
    <w:p w14:paraId="6B9D7343" w14:textId="77777777" w:rsidR="000800D1" w:rsidRPr="000631D2" w:rsidRDefault="000800D1" w:rsidP="00DC54F7">
      <w:pPr>
        <w:spacing w:after="0" w:line="240" w:lineRule="auto"/>
        <w:jc w:val="both"/>
        <w:rPr>
          <w:rFonts w:ascii="Arial" w:hAnsi="Arial" w:cs="Arial"/>
          <w:sz w:val="24"/>
          <w:szCs w:val="24"/>
        </w:rPr>
      </w:pPr>
    </w:p>
    <w:p w14:paraId="67A511B0" w14:textId="77777777" w:rsidR="000800D1" w:rsidRPr="000631D2" w:rsidRDefault="000800D1" w:rsidP="00DC54F7">
      <w:pPr>
        <w:spacing w:after="0" w:line="240" w:lineRule="auto"/>
        <w:jc w:val="both"/>
        <w:rPr>
          <w:rFonts w:ascii="Arial" w:hAnsi="Arial" w:cs="Arial"/>
          <w:sz w:val="24"/>
          <w:szCs w:val="24"/>
        </w:rPr>
      </w:pPr>
      <w:r w:rsidRPr="000631D2">
        <w:rPr>
          <w:rFonts w:ascii="Arial" w:hAnsi="Arial" w:cs="Arial"/>
          <w:sz w:val="24"/>
          <w:szCs w:val="24"/>
        </w:rPr>
        <w:t xml:space="preserve">The </w:t>
      </w:r>
      <w:r w:rsidRPr="000631D2">
        <w:rPr>
          <w:rFonts w:ascii="Arial" w:hAnsi="Arial" w:cs="Arial"/>
          <w:color w:val="000000"/>
          <w:sz w:val="24"/>
          <w:szCs w:val="24"/>
        </w:rPr>
        <w:t xml:space="preserve">Cardiff and Vale University Health Board </w:t>
      </w:r>
      <w:r w:rsidRPr="000631D2">
        <w:rPr>
          <w:rFonts w:ascii="Arial" w:hAnsi="Arial" w:cs="Arial"/>
          <w:sz w:val="24"/>
          <w:szCs w:val="24"/>
        </w:rPr>
        <w:t>is also satisfied that, based upon the information contained in the preceding sections, there are no current or future gaps in the provision of advanced services and enhanced services.</w:t>
      </w:r>
    </w:p>
    <w:p w14:paraId="42A48892" w14:textId="77777777" w:rsidR="000800D1" w:rsidRPr="000631D2" w:rsidRDefault="000800D1" w:rsidP="00DC54F7">
      <w:pPr>
        <w:spacing w:after="0" w:line="240" w:lineRule="auto"/>
        <w:jc w:val="both"/>
        <w:rPr>
          <w:rFonts w:ascii="Arial" w:hAnsi="Arial" w:cs="Arial"/>
          <w:sz w:val="24"/>
          <w:szCs w:val="24"/>
        </w:rPr>
      </w:pPr>
    </w:p>
    <w:p w14:paraId="3D1817A4" w14:textId="77777777" w:rsidR="000800D1" w:rsidRPr="000631D2" w:rsidRDefault="000800D1" w:rsidP="00DC54F7">
      <w:pPr>
        <w:spacing w:after="0" w:line="240" w:lineRule="auto"/>
        <w:jc w:val="both"/>
        <w:rPr>
          <w:rFonts w:ascii="Arial" w:hAnsi="Arial" w:cs="Arial"/>
          <w:sz w:val="24"/>
          <w:szCs w:val="24"/>
        </w:rPr>
      </w:pPr>
      <w:r w:rsidRPr="000631D2">
        <w:rPr>
          <w:rFonts w:ascii="Arial" w:hAnsi="Arial" w:cs="Arial"/>
          <w:sz w:val="24"/>
          <w:szCs w:val="24"/>
        </w:rPr>
        <w:t xml:space="preserve">The </w:t>
      </w:r>
      <w:r w:rsidRPr="000631D2">
        <w:rPr>
          <w:rFonts w:ascii="Arial" w:hAnsi="Arial" w:cs="Arial"/>
          <w:color w:val="000000"/>
          <w:sz w:val="24"/>
          <w:szCs w:val="24"/>
        </w:rPr>
        <w:t xml:space="preserve">Cardiff and Vale University Health Board </w:t>
      </w:r>
      <w:r w:rsidRPr="000631D2">
        <w:rPr>
          <w:rFonts w:ascii="Arial" w:hAnsi="Arial" w:cs="Arial"/>
          <w:sz w:val="24"/>
          <w:szCs w:val="24"/>
        </w:rPr>
        <w:t>will keep service provision under review but has concluded that there is no current or future need identified which requires an application for new or additional premises.</w:t>
      </w:r>
    </w:p>
    <w:p w14:paraId="604FB6CF" w14:textId="77777777" w:rsidR="000800D1" w:rsidRDefault="000800D1" w:rsidP="00DC54F7">
      <w:pPr>
        <w:jc w:val="both"/>
      </w:pPr>
    </w:p>
    <w:p w14:paraId="0A7CDE67" w14:textId="77777777" w:rsidR="000800D1" w:rsidRPr="00A10850" w:rsidRDefault="000800D1" w:rsidP="00DC54F7">
      <w:pPr>
        <w:spacing w:after="0" w:line="240" w:lineRule="auto"/>
        <w:jc w:val="both"/>
        <w:rPr>
          <w:rFonts w:ascii="Arial" w:hAnsi="Arial" w:cs="Arial"/>
          <w:b/>
          <w:sz w:val="26"/>
          <w:szCs w:val="26"/>
          <w:lang w:val="en-US"/>
        </w:rPr>
      </w:pPr>
    </w:p>
    <w:p w14:paraId="256F8DA3" w14:textId="77777777" w:rsidR="0063382E" w:rsidRPr="00A10850" w:rsidRDefault="0063382E" w:rsidP="00DC54F7">
      <w:pPr>
        <w:spacing w:after="0" w:line="240" w:lineRule="auto"/>
        <w:jc w:val="both"/>
        <w:rPr>
          <w:rFonts w:ascii="Arial" w:hAnsi="Arial" w:cs="Arial"/>
          <w:lang w:val="en-US"/>
        </w:rPr>
      </w:pPr>
    </w:p>
    <w:p w14:paraId="782C07C1" w14:textId="05342CCC" w:rsidR="0063382E" w:rsidRPr="00A10850" w:rsidRDefault="0063382E" w:rsidP="00DC54F7">
      <w:pPr>
        <w:pStyle w:val="Heading1"/>
        <w:spacing w:before="0" w:line="240" w:lineRule="auto"/>
        <w:jc w:val="both"/>
        <w:rPr>
          <w:rFonts w:cs="Arial"/>
          <w:color w:val="auto"/>
        </w:rPr>
      </w:pPr>
      <w:r w:rsidRPr="00A10850">
        <w:rPr>
          <w:rFonts w:cs="Arial"/>
          <w:highlight w:val="cyan"/>
        </w:rPr>
        <w:br w:type="page"/>
      </w:r>
      <w:r w:rsidRPr="00A10850">
        <w:rPr>
          <w:rFonts w:cs="Arial"/>
          <w:color w:val="auto"/>
        </w:rPr>
        <w:lastRenderedPageBreak/>
        <w:t xml:space="preserve"> </w:t>
      </w:r>
      <w:bookmarkStart w:id="47" w:name="_Toc81585107"/>
      <w:r w:rsidR="00CB0DF6">
        <w:rPr>
          <w:rFonts w:cs="Arial"/>
          <w:color w:val="auto"/>
        </w:rPr>
        <w:t>13</w:t>
      </w:r>
      <w:r w:rsidRPr="00A10850">
        <w:rPr>
          <w:rFonts w:cs="Arial"/>
          <w:color w:val="auto"/>
        </w:rPr>
        <w:t xml:space="preserve"> </w:t>
      </w:r>
      <w:r>
        <w:rPr>
          <w:rFonts w:cs="Arial"/>
          <w:color w:val="auto"/>
        </w:rPr>
        <w:t xml:space="preserve">Cardiff </w:t>
      </w:r>
      <w:r w:rsidR="009D14A4">
        <w:rPr>
          <w:rFonts w:cs="Arial"/>
          <w:color w:val="auto"/>
        </w:rPr>
        <w:t>West</w:t>
      </w:r>
      <w:r w:rsidRPr="00A10850">
        <w:rPr>
          <w:rFonts w:cs="Arial"/>
          <w:color w:val="auto"/>
        </w:rPr>
        <w:t xml:space="preserve"> </w:t>
      </w:r>
      <w:r w:rsidR="00316CF8">
        <w:rPr>
          <w:rFonts w:cs="Arial"/>
          <w:color w:val="auto"/>
        </w:rPr>
        <w:t>cluster</w:t>
      </w:r>
      <w:bookmarkEnd w:id="47"/>
    </w:p>
    <w:p w14:paraId="4C3267F4" w14:textId="63F2BA27" w:rsidR="0063382E" w:rsidRPr="001D4C3A" w:rsidRDefault="0063382E" w:rsidP="00DC54F7">
      <w:pPr>
        <w:pStyle w:val="Heading2"/>
        <w:spacing w:before="0" w:line="240" w:lineRule="auto"/>
        <w:jc w:val="both"/>
        <w:rPr>
          <w:rFonts w:cs="Arial"/>
          <w:color w:val="auto"/>
          <w:sz w:val="20"/>
          <w:szCs w:val="20"/>
          <w:highlight w:val="cyan"/>
        </w:rPr>
      </w:pPr>
    </w:p>
    <w:p w14:paraId="71DC59BC" w14:textId="77777777" w:rsidR="0022740F" w:rsidRPr="0022740F" w:rsidRDefault="0022740F" w:rsidP="00DC54F7">
      <w:pPr>
        <w:spacing w:after="0" w:line="240" w:lineRule="auto"/>
        <w:jc w:val="both"/>
        <w:rPr>
          <w:highlight w:val="cyan"/>
        </w:rPr>
      </w:pPr>
    </w:p>
    <w:p w14:paraId="44CAEAC2" w14:textId="0665D6E2" w:rsidR="0063382E" w:rsidRPr="00E50AE4" w:rsidRDefault="00CB0DF6" w:rsidP="00DC54F7">
      <w:pPr>
        <w:spacing w:after="0" w:line="240" w:lineRule="auto"/>
        <w:jc w:val="both"/>
        <w:rPr>
          <w:rFonts w:ascii="Arial" w:hAnsi="Arial" w:cs="Arial"/>
          <w:b/>
          <w:sz w:val="26"/>
          <w:szCs w:val="26"/>
        </w:rPr>
      </w:pPr>
      <w:r w:rsidRPr="00E50AE4">
        <w:rPr>
          <w:rFonts w:ascii="Arial" w:hAnsi="Arial" w:cs="Arial"/>
          <w:b/>
          <w:sz w:val="26"/>
          <w:szCs w:val="26"/>
        </w:rPr>
        <w:t>13</w:t>
      </w:r>
      <w:r w:rsidR="0063382E" w:rsidRPr="00E50AE4">
        <w:rPr>
          <w:rFonts w:ascii="Arial" w:hAnsi="Arial" w:cs="Arial"/>
          <w:b/>
          <w:sz w:val="26"/>
          <w:szCs w:val="26"/>
        </w:rPr>
        <w:t>.1 Key facts</w:t>
      </w:r>
    </w:p>
    <w:p w14:paraId="0BF147DD" w14:textId="425E9FC2" w:rsidR="00124DB0" w:rsidRPr="00E50AE4" w:rsidRDefault="00124DB0" w:rsidP="00DC54F7">
      <w:pPr>
        <w:spacing w:after="0" w:line="240" w:lineRule="auto"/>
        <w:jc w:val="both"/>
        <w:rPr>
          <w:rFonts w:ascii="Arial" w:hAnsi="Arial" w:cs="Arial"/>
          <w:b/>
          <w:sz w:val="26"/>
          <w:szCs w:val="26"/>
        </w:rPr>
      </w:pPr>
    </w:p>
    <w:p w14:paraId="16477CDA" w14:textId="7A392639" w:rsidR="0051221A" w:rsidRPr="00E50AE4" w:rsidRDefault="00FC250C" w:rsidP="00DC54F7">
      <w:pPr>
        <w:jc w:val="both"/>
        <w:rPr>
          <w:rFonts w:ascii="Arial" w:hAnsi="Arial" w:cs="Arial"/>
          <w:b/>
          <w:bCs/>
          <w:sz w:val="24"/>
          <w:szCs w:val="24"/>
        </w:rPr>
      </w:pPr>
      <w:r w:rsidRPr="00E50AE4">
        <w:rPr>
          <w:rFonts w:ascii="Arial" w:hAnsi="Arial" w:cs="Arial"/>
          <w:b/>
          <w:bCs/>
          <w:sz w:val="24"/>
          <w:szCs w:val="24"/>
        </w:rPr>
        <w:t xml:space="preserve">13.1.1 </w:t>
      </w:r>
      <w:r w:rsidR="0051221A" w:rsidRPr="00E50AE4">
        <w:rPr>
          <w:rFonts w:ascii="Arial" w:hAnsi="Arial" w:cs="Arial"/>
          <w:b/>
          <w:bCs/>
          <w:sz w:val="24"/>
          <w:szCs w:val="24"/>
        </w:rPr>
        <w:t>Population and population projections 2018 to 2028 (2018 based)</w:t>
      </w:r>
    </w:p>
    <w:p w14:paraId="4F8D7D2D" w14:textId="77777777" w:rsidR="0051221A" w:rsidRPr="00E50AE4" w:rsidRDefault="0051221A" w:rsidP="00DC54F7">
      <w:pPr>
        <w:spacing w:after="0" w:line="240" w:lineRule="auto"/>
        <w:jc w:val="both"/>
        <w:rPr>
          <w:rFonts w:ascii="Arial" w:hAnsi="Arial" w:cs="Arial"/>
          <w:sz w:val="24"/>
          <w:szCs w:val="24"/>
        </w:rPr>
      </w:pPr>
      <w:r w:rsidRPr="00E50AE4">
        <w:rPr>
          <w:rFonts w:ascii="Arial" w:hAnsi="Arial" w:cs="Arial"/>
          <w:sz w:val="24"/>
          <w:szCs w:val="24"/>
        </w:rPr>
        <w:t xml:space="preserve">As cluster level population data is not routinely collected on an annual basis, </w:t>
      </w:r>
    </w:p>
    <w:p w14:paraId="02081A38" w14:textId="77777777" w:rsidR="0051221A" w:rsidRPr="00E50AE4" w:rsidRDefault="0051221A" w:rsidP="00DC54F7">
      <w:pPr>
        <w:spacing w:after="0" w:line="240" w:lineRule="auto"/>
        <w:jc w:val="both"/>
        <w:rPr>
          <w:rFonts w:ascii="Arial" w:hAnsi="Arial" w:cs="Arial"/>
          <w:sz w:val="24"/>
          <w:szCs w:val="24"/>
        </w:rPr>
      </w:pPr>
      <w:r w:rsidRPr="00E50AE4">
        <w:rPr>
          <w:rFonts w:ascii="Arial" w:hAnsi="Arial" w:cs="Arial"/>
          <w:sz w:val="24"/>
          <w:szCs w:val="24"/>
        </w:rPr>
        <w:t>GP registered patient data has been used to provide an indication of cluster population, and local authority based data has been used to provide an indication of population projections.</w:t>
      </w:r>
    </w:p>
    <w:p w14:paraId="0BE274EB" w14:textId="77777777" w:rsidR="0051221A" w:rsidRPr="00E50AE4" w:rsidRDefault="0051221A" w:rsidP="00DC54F7">
      <w:pPr>
        <w:spacing w:after="0" w:line="240" w:lineRule="auto"/>
        <w:jc w:val="both"/>
        <w:rPr>
          <w:rFonts w:ascii="Arial" w:hAnsi="Arial" w:cs="Arial"/>
          <w:sz w:val="24"/>
          <w:szCs w:val="24"/>
        </w:rPr>
      </w:pPr>
    </w:p>
    <w:p w14:paraId="09AC130C" w14:textId="77777777" w:rsidR="0051221A" w:rsidRPr="002861BC" w:rsidRDefault="0051221A" w:rsidP="00DC54F7">
      <w:pPr>
        <w:spacing w:after="0" w:line="240" w:lineRule="auto"/>
        <w:jc w:val="both"/>
        <w:rPr>
          <w:rFonts w:ascii="Arial" w:hAnsi="Arial" w:cs="Arial"/>
          <w:sz w:val="24"/>
          <w:szCs w:val="24"/>
        </w:rPr>
      </w:pPr>
      <w:r w:rsidRPr="00E50AE4">
        <w:rPr>
          <w:rFonts w:ascii="Arial" w:hAnsi="Arial" w:cs="Arial"/>
          <w:sz w:val="24"/>
          <w:szCs w:val="24"/>
        </w:rPr>
        <w:t>Note that GP registered population data is higher than the corresponding census based mid-year population estimates provided by the Office of National Statistics (ONS) at the local authority and health board level, as outlined in section 2.2. This is most likely due to over registered or ‘ghost patients’ caused by many different factors.</w:t>
      </w:r>
    </w:p>
    <w:p w14:paraId="29637C42" w14:textId="77777777" w:rsidR="0051221A" w:rsidRDefault="0051221A" w:rsidP="00DC54F7">
      <w:pPr>
        <w:spacing w:after="0" w:line="240" w:lineRule="auto"/>
        <w:jc w:val="both"/>
        <w:rPr>
          <w:rFonts w:ascii="Arial" w:hAnsi="Arial" w:cs="Arial"/>
          <w:b/>
          <w:i/>
          <w:iCs/>
          <w:sz w:val="24"/>
          <w:szCs w:val="24"/>
        </w:rPr>
      </w:pPr>
    </w:p>
    <w:p w14:paraId="68A2B071" w14:textId="2831DFF6" w:rsidR="0051221A" w:rsidRDefault="0051221A" w:rsidP="00DC54F7">
      <w:pPr>
        <w:spacing w:after="0" w:line="240" w:lineRule="auto"/>
        <w:jc w:val="both"/>
        <w:rPr>
          <w:rFonts w:ascii="Arial" w:hAnsi="Arial" w:cs="Arial"/>
          <w:b/>
          <w:sz w:val="24"/>
          <w:szCs w:val="24"/>
        </w:rPr>
      </w:pPr>
      <w:r w:rsidRPr="00E50AE4">
        <w:rPr>
          <w:rFonts w:ascii="Arial" w:hAnsi="Arial" w:cs="Arial"/>
          <w:b/>
          <w:sz w:val="24"/>
          <w:szCs w:val="24"/>
        </w:rPr>
        <w:t>Table 13: Number of GP registered patients by gender and broad age groups and by cluster, local authority and health board (2019)</w:t>
      </w:r>
    </w:p>
    <w:tbl>
      <w:tblPr>
        <w:tblW w:w="9360" w:type="dxa"/>
        <w:tblLook w:val="04A0" w:firstRow="1" w:lastRow="0" w:firstColumn="1" w:lastColumn="0" w:noHBand="0" w:noVBand="1"/>
      </w:tblPr>
      <w:tblGrid>
        <w:gridCol w:w="2280"/>
        <w:gridCol w:w="1180"/>
        <w:gridCol w:w="1180"/>
        <w:gridCol w:w="1180"/>
        <w:gridCol w:w="1123"/>
        <w:gridCol w:w="997"/>
        <w:gridCol w:w="1420"/>
      </w:tblGrid>
      <w:tr w:rsidR="009A2679" w:rsidRPr="009A2679" w14:paraId="29AB2A48" w14:textId="77777777" w:rsidTr="009A2679">
        <w:trPr>
          <w:trHeight w:val="290"/>
        </w:trPr>
        <w:tc>
          <w:tcPr>
            <w:tcW w:w="2280" w:type="dxa"/>
            <w:tcBorders>
              <w:top w:val="single" w:sz="4" w:space="0" w:color="auto"/>
              <w:left w:val="single" w:sz="4" w:space="0" w:color="auto"/>
              <w:bottom w:val="nil"/>
              <w:right w:val="nil"/>
            </w:tcBorders>
            <w:shd w:val="clear" w:color="000000" w:fill="8497B0"/>
            <w:noWrap/>
            <w:vAlign w:val="bottom"/>
            <w:hideMark/>
          </w:tcPr>
          <w:p w14:paraId="583D74EA"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 </w:t>
            </w:r>
          </w:p>
        </w:tc>
        <w:tc>
          <w:tcPr>
            <w:tcW w:w="1180" w:type="dxa"/>
            <w:tcBorders>
              <w:top w:val="single" w:sz="4" w:space="0" w:color="auto"/>
              <w:left w:val="nil"/>
              <w:bottom w:val="nil"/>
              <w:right w:val="nil"/>
            </w:tcBorders>
            <w:shd w:val="clear" w:color="000000" w:fill="8497B0"/>
            <w:noWrap/>
            <w:vAlign w:val="bottom"/>
            <w:hideMark/>
          </w:tcPr>
          <w:p w14:paraId="48BB2B18"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Year</w:t>
            </w:r>
          </w:p>
        </w:tc>
        <w:tc>
          <w:tcPr>
            <w:tcW w:w="2360" w:type="dxa"/>
            <w:gridSpan w:val="2"/>
            <w:tcBorders>
              <w:top w:val="single" w:sz="4" w:space="0" w:color="auto"/>
              <w:left w:val="nil"/>
              <w:bottom w:val="nil"/>
              <w:right w:val="nil"/>
            </w:tcBorders>
            <w:shd w:val="clear" w:color="000000" w:fill="8497B0"/>
            <w:noWrap/>
            <w:vAlign w:val="bottom"/>
            <w:hideMark/>
          </w:tcPr>
          <w:p w14:paraId="4F711BBF"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Gender</w:t>
            </w:r>
          </w:p>
        </w:tc>
        <w:tc>
          <w:tcPr>
            <w:tcW w:w="3540" w:type="dxa"/>
            <w:gridSpan w:val="3"/>
            <w:tcBorders>
              <w:top w:val="single" w:sz="4" w:space="0" w:color="auto"/>
              <w:left w:val="nil"/>
              <w:bottom w:val="nil"/>
              <w:right w:val="single" w:sz="4" w:space="0" w:color="000000"/>
            </w:tcBorders>
            <w:shd w:val="clear" w:color="000000" w:fill="8497B0"/>
            <w:noWrap/>
            <w:vAlign w:val="bottom"/>
            <w:hideMark/>
          </w:tcPr>
          <w:p w14:paraId="41425B08"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Age range</w:t>
            </w:r>
          </w:p>
        </w:tc>
      </w:tr>
      <w:tr w:rsidR="009A2679" w:rsidRPr="009A2679" w14:paraId="3EDD8453" w14:textId="77777777" w:rsidTr="009A2679">
        <w:trPr>
          <w:trHeight w:val="290"/>
        </w:trPr>
        <w:tc>
          <w:tcPr>
            <w:tcW w:w="2280" w:type="dxa"/>
            <w:tcBorders>
              <w:top w:val="nil"/>
              <w:left w:val="single" w:sz="4" w:space="0" w:color="auto"/>
              <w:bottom w:val="nil"/>
              <w:right w:val="nil"/>
            </w:tcBorders>
            <w:shd w:val="clear" w:color="000000" w:fill="8497B0"/>
            <w:noWrap/>
            <w:vAlign w:val="bottom"/>
            <w:hideMark/>
          </w:tcPr>
          <w:p w14:paraId="2681E6F9"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 </w:t>
            </w:r>
          </w:p>
        </w:tc>
        <w:tc>
          <w:tcPr>
            <w:tcW w:w="1180" w:type="dxa"/>
            <w:tcBorders>
              <w:top w:val="nil"/>
              <w:left w:val="nil"/>
              <w:bottom w:val="nil"/>
              <w:right w:val="nil"/>
            </w:tcBorders>
            <w:shd w:val="clear" w:color="000000" w:fill="8497B0"/>
            <w:noWrap/>
            <w:vAlign w:val="bottom"/>
            <w:hideMark/>
          </w:tcPr>
          <w:p w14:paraId="608697A0"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2019</w:t>
            </w:r>
          </w:p>
        </w:tc>
        <w:tc>
          <w:tcPr>
            <w:tcW w:w="1180" w:type="dxa"/>
            <w:tcBorders>
              <w:top w:val="nil"/>
              <w:left w:val="nil"/>
              <w:bottom w:val="nil"/>
              <w:right w:val="nil"/>
            </w:tcBorders>
            <w:shd w:val="clear" w:color="000000" w:fill="8497B0"/>
            <w:noWrap/>
            <w:vAlign w:val="bottom"/>
            <w:hideMark/>
          </w:tcPr>
          <w:p w14:paraId="2673C5AB"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Female</w:t>
            </w:r>
          </w:p>
        </w:tc>
        <w:tc>
          <w:tcPr>
            <w:tcW w:w="1180" w:type="dxa"/>
            <w:tcBorders>
              <w:top w:val="nil"/>
              <w:left w:val="nil"/>
              <w:bottom w:val="nil"/>
              <w:right w:val="nil"/>
            </w:tcBorders>
            <w:shd w:val="clear" w:color="000000" w:fill="8497B0"/>
            <w:noWrap/>
            <w:vAlign w:val="bottom"/>
            <w:hideMark/>
          </w:tcPr>
          <w:p w14:paraId="42730437"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Male</w:t>
            </w:r>
          </w:p>
        </w:tc>
        <w:tc>
          <w:tcPr>
            <w:tcW w:w="1123" w:type="dxa"/>
            <w:tcBorders>
              <w:top w:val="nil"/>
              <w:left w:val="nil"/>
              <w:bottom w:val="nil"/>
              <w:right w:val="nil"/>
            </w:tcBorders>
            <w:shd w:val="clear" w:color="000000" w:fill="8497B0"/>
            <w:noWrap/>
            <w:vAlign w:val="bottom"/>
            <w:hideMark/>
          </w:tcPr>
          <w:p w14:paraId="51759CAD"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Under 65</w:t>
            </w:r>
          </w:p>
        </w:tc>
        <w:tc>
          <w:tcPr>
            <w:tcW w:w="997" w:type="dxa"/>
            <w:tcBorders>
              <w:top w:val="nil"/>
              <w:left w:val="nil"/>
              <w:bottom w:val="nil"/>
              <w:right w:val="nil"/>
            </w:tcBorders>
            <w:shd w:val="clear" w:color="000000" w:fill="8497B0"/>
            <w:noWrap/>
            <w:vAlign w:val="bottom"/>
            <w:hideMark/>
          </w:tcPr>
          <w:p w14:paraId="28088BDD"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65 to 84</w:t>
            </w:r>
          </w:p>
        </w:tc>
        <w:tc>
          <w:tcPr>
            <w:tcW w:w="1420" w:type="dxa"/>
            <w:tcBorders>
              <w:top w:val="nil"/>
              <w:left w:val="nil"/>
              <w:bottom w:val="nil"/>
              <w:right w:val="single" w:sz="4" w:space="0" w:color="auto"/>
            </w:tcBorders>
            <w:shd w:val="clear" w:color="000000" w:fill="8497B0"/>
            <w:noWrap/>
            <w:vAlign w:val="bottom"/>
            <w:hideMark/>
          </w:tcPr>
          <w:p w14:paraId="6AEA7027"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85 and over</w:t>
            </w:r>
          </w:p>
        </w:tc>
      </w:tr>
      <w:tr w:rsidR="009A2679" w:rsidRPr="009A2679" w14:paraId="73EBE402" w14:textId="77777777" w:rsidTr="009A2679">
        <w:trPr>
          <w:trHeight w:val="290"/>
        </w:trPr>
        <w:tc>
          <w:tcPr>
            <w:tcW w:w="2280" w:type="dxa"/>
            <w:tcBorders>
              <w:top w:val="nil"/>
              <w:left w:val="single" w:sz="4" w:space="0" w:color="auto"/>
              <w:bottom w:val="nil"/>
              <w:right w:val="nil"/>
            </w:tcBorders>
            <w:shd w:val="clear" w:color="000000" w:fill="F2F2F2"/>
            <w:noWrap/>
            <w:vAlign w:val="bottom"/>
            <w:hideMark/>
          </w:tcPr>
          <w:p w14:paraId="532A3D3E"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Cardiff West</w:t>
            </w:r>
          </w:p>
        </w:tc>
        <w:tc>
          <w:tcPr>
            <w:tcW w:w="1180" w:type="dxa"/>
            <w:tcBorders>
              <w:top w:val="nil"/>
              <w:left w:val="nil"/>
              <w:bottom w:val="nil"/>
              <w:right w:val="nil"/>
            </w:tcBorders>
            <w:shd w:val="clear" w:color="000000" w:fill="F2F2F2"/>
            <w:noWrap/>
            <w:vAlign w:val="bottom"/>
            <w:hideMark/>
          </w:tcPr>
          <w:p w14:paraId="167C4C3E"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56840</w:t>
            </w:r>
          </w:p>
        </w:tc>
        <w:tc>
          <w:tcPr>
            <w:tcW w:w="1180" w:type="dxa"/>
            <w:tcBorders>
              <w:top w:val="nil"/>
              <w:left w:val="nil"/>
              <w:bottom w:val="nil"/>
              <w:right w:val="nil"/>
            </w:tcBorders>
            <w:shd w:val="clear" w:color="000000" w:fill="F2F2F2"/>
            <w:noWrap/>
            <w:vAlign w:val="bottom"/>
            <w:hideMark/>
          </w:tcPr>
          <w:p w14:paraId="39859C66"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29073</w:t>
            </w:r>
          </w:p>
        </w:tc>
        <w:tc>
          <w:tcPr>
            <w:tcW w:w="1180" w:type="dxa"/>
            <w:tcBorders>
              <w:top w:val="nil"/>
              <w:left w:val="nil"/>
              <w:bottom w:val="nil"/>
              <w:right w:val="nil"/>
            </w:tcBorders>
            <w:shd w:val="clear" w:color="000000" w:fill="F2F2F2"/>
            <w:noWrap/>
            <w:vAlign w:val="bottom"/>
            <w:hideMark/>
          </w:tcPr>
          <w:p w14:paraId="55CDBF88"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27767</w:t>
            </w:r>
          </w:p>
        </w:tc>
        <w:tc>
          <w:tcPr>
            <w:tcW w:w="1123" w:type="dxa"/>
            <w:tcBorders>
              <w:top w:val="nil"/>
              <w:left w:val="nil"/>
              <w:bottom w:val="nil"/>
              <w:right w:val="nil"/>
            </w:tcBorders>
            <w:shd w:val="clear" w:color="000000" w:fill="F2F2F2"/>
            <w:noWrap/>
            <w:vAlign w:val="bottom"/>
            <w:hideMark/>
          </w:tcPr>
          <w:p w14:paraId="5139B360"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46110</w:t>
            </w:r>
          </w:p>
        </w:tc>
        <w:tc>
          <w:tcPr>
            <w:tcW w:w="997" w:type="dxa"/>
            <w:tcBorders>
              <w:top w:val="nil"/>
              <w:left w:val="nil"/>
              <w:bottom w:val="nil"/>
              <w:right w:val="nil"/>
            </w:tcBorders>
            <w:shd w:val="clear" w:color="000000" w:fill="F2F2F2"/>
            <w:noWrap/>
            <w:vAlign w:val="bottom"/>
            <w:hideMark/>
          </w:tcPr>
          <w:p w14:paraId="2DA34417"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9196</w:t>
            </w:r>
          </w:p>
        </w:tc>
        <w:tc>
          <w:tcPr>
            <w:tcW w:w="1420" w:type="dxa"/>
            <w:tcBorders>
              <w:top w:val="nil"/>
              <w:left w:val="nil"/>
              <w:bottom w:val="nil"/>
              <w:right w:val="single" w:sz="4" w:space="0" w:color="auto"/>
            </w:tcBorders>
            <w:shd w:val="clear" w:color="000000" w:fill="F2F2F2"/>
            <w:noWrap/>
            <w:vAlign w:val="bottom"/>
            <w:hideMark/>
          </w:tcPr>
          <w:p w14:paraId="6B77F481"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1534</w:t>
            </w:r>
          </w:p>
        </w:tc>
      </w:tr>
      <w:tr w:rsidR="009A2679" w:rsidRPr="009A2679" w14:paraId="68BD9CED" w14:textId="77777777" w:rsidTr="009A2679">
        <w:trPr>
          <w:trHeight w:val="290"/>
        </w:trPr>
        <w:tc>
          <w:tcPr>
            <w:tcW w:w="2280" w:type="dxa"/>
            <w:tcBorders>
              <w:top w:val="nil"/>
              <w:left w:val="single" w:sz="4" w:space="0" w:color="auto"/>
              <w:bottom w:val="nil"/>
              <w:right w:val="nil"/>
            </w:tcBorders>
            <w:shd w:val="clear" w:color="auto" w:fill="auto"/>
            <w:noWrap/>
            <w:vAlign w:val="bottom"/>
            <w:hideMark/>
          </w:tcPr>
          <w:p w14:paraId="3B971757"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Cardiff</w:t>
            </w:r>
          </w:p>
        </w:tc>
        <w:tc>
          <w:tcPr>
            <w:tcW w:w="1180" w:type="dxa"/>
            <w:tcBorders>
              <w:top w:val="nil"/>
              <w:left w:val="nil"/>
              <w:bottom w:val="nil"/>
              <w:right w:val="nil"/>
            </w:tcBorders>
            <w:shd w:val="clear" w:color="auto" w:fill="auto"/>
            <w:noWrap/>
            <w:vAlign w:val="bottom"/>
            <w:hideMark/>
          </w:tcPr>
          <w:p w14:paraId="2E672CC3"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389619</w:t>
            </w:r>
          </w:p>
        </w:tc>
        <w:tc>
          <w:tcPr>
            <w:tcW w:w="1180" w:type="dxa"/>
            <w:tcBorders>
              <w:top w:val="nil"/>
              <w:left w:val="nil"/>
              <w:bottom w:val="nil"/>
              <w:right w:val="nil"/>
            </w:tcBorders>
            <w:shd w:val="clear" w:color="auto" w:fill="auto"/>
            <w:noWrap/>
            <w:vAlign w:val="bottom"/>
            <w:hideMark/>
          </w:tcPr>
          <w:p w14:paraId="472D0B9B"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193044</w:t>
            </w:r>
          </w:p>
        </w:tc>
        <w:tc>
          <w:tcPr>
            <w:tcW w:w="1180" w:type="dxa"/>
            <w:tcBorders>
              <w:top w:val="nil"/>
              <w:left w:val="nil"/>
              <w:bottom w:val="nil"/>
              <w:right w:val="nil"/>
            </w:tcBorders>
            <w:shd w:val="clear" w:color="auto" w:fill="auto"/>
            <w:noWrap/>
            <w:vAlign w:val="bottom"/>
            <w:hideMark/>
          </w:tcPr>
          <w:p w14:paraId="26232030"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196575</w:t>
            </w:r>
          </w:p>
        </w:tc>
        <w:tc>
          <w:tcPr>
            <w:tcW w:w="1123" w:type="dxa"/>
            <w:tcBorders>
              <w:top w:val="nil"/>
              <w:left w:val="nil"/>
              <w:bottom w:val="nil"/>
              <w:right w:val="nil"/>
            </w:tcBorders>
            <w:shd w:val="clear" w:color="auto" w:fill="auto"/>
            <w:noWrap/>
            <w:vAlign w:val="bottom"/>
            <w:hideMark/>
          </w:tcPr>
          <w:p w14:paraId="2C9693FA"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335252</w:t>
            </w:r>
          </w:p>
        </w:tc>
        <w:tc>
          <w:tcPr>
            <w:tcW w:w="997" w:type="dxa"/>
            <w:tcBorders>
              <w:top w:val="nil"/>
              <w:left w:val="nil"/>
              <w:bottom w:val="nil"/>
              <w:right w:val="nil"/>
            </w:tcBorders>
            <w:shd w:val="clear" w:color="auto" w:fill="auto"/>
            <w:noWrap/>
            <w:vAlign w:val="bottom"/>
            <w:hideMark/>
          </w:tcPr>
          <w:p w14:paraId="27B79CB0"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46599</w:t>
            </w:r>
          </w:p>
        </w:tc>
        <w:tc>
          <w:tcPr>
            <w:tcW w:w="1420" w:type="dxa"/>
            <w:tcBorders>
              <w:top w:val="nil"/>
              <w:left w:val="nil"/>
              <w:bottom w:val="nil"/>
              <w:right w:val="single" w:sz="4" w:space="0" w:color="auto"/>
            </w:tcBorders>
            <w:shd w:val="clear" w:color="auto" w:fill="auto"/>
            <w:noWrap/>
            <w:vAlign w:val="bottom"/>
            <w:hideMark/>
          </w:tcPr>
          <w:p w14:paraId="4A02CEA0"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7768</w:t>
            </w:r>
          </w:p>
        </w:tc>
      </w:tr>
      <w:tr w:rsidR="009A2679" w:rsidRPr="009A2679" w14:paraId="48C23038" w14:textId="77777777" w:rsidTr="009A2679">
        <w:trPr>
          <w:trHeight w:val="290"/>
        </w:trPr>
        <w:tc>
          <w:tcPr>
            <w:tcW w:w="2280" w:type="dxa"/>
            <w:tcBorders>
              <w:top w:val="nil"/>
              <w:left w:val="single" w:sz="4" w:space="0" w:color="auto"/>
              <w:bottom w:val="single" w:sz="4" w:space="0" w:color="auto"/>
              <w:right w:val="nil"/>
            </w:tcBorders>
            <w:shd w:val="clear" w:color="000000" w:fill="F2F2F2"/>
            <w:noWrap/>
            <w:vAlign w:val="bottom"/>
            <w:hideMark/>
          </w:tcPr>
          <w:p w14:paraId="4D3A10E8"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Cardiff and Vale UHB</w:t>
            </w:r>
          </w:p>
        </w:tc>
        <w:tc>
          <w:tcPr>
            <w:tcW w:w="1180" w:type="dxa"/>
            <w:tcBorders>
              <w:top w:val="nil"/>
              <w:left w:val="nil"/>
              <w:bottom w:val="single" w:sz="4" w:space="0" w:color="auto"/>
              <w:right w:val="nil"/>
            </w:tcBorders>
            <w:shd w:val="clear" w:color="000000" w:fill="F2F2F2"/>
            <w:noWrap/>
            <w:vAlign w:val="bottom"/>
            <w:hideMark/>
          </w:tcPr>
          <w:p w14:paraId="47A761D5"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521177</w:t>
            </w:r>
          </w:p>
        </w:tc>
        <w:tc>
          <w:tcPr>
            <w:tcW w:w="1180" w:type="dxa"/>
            <w:tcBorders>
              <w:top w:val="nil"/>
              <w:left w:val="nil"/>
              <w:bottom w:val="single" w:sz="4" w:space="0" w:color="auto"/>
              <w:right w:val="nil"/>
            </w:tcBorders>
            <w:shd w:val="clear" w:color="000000" w:fill="F2F2F2"/>
            <w:noWrap/>
            <w:vAlign w:val="bottom"/>
            <w:hideMark/>
          </w:tcPr>
          <w:p w14:paraId="7B610224"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260027</w:t>
            </w:r>
          </w:p>
        </w:tc>
        <w:tc>
          <w:tcPr>
            <w:tcW w:w="1180" w:type="dxa"/>
            <w:tcBorders>
              <w:top w:val="nil"/>
              <w:left w:val="nil"/>
              <w:bottom w:val="single" w:sz="4" w:space="0" w:color="auto"/>
              <w:right w:val="nil"/>
            </w:tcBorders>
            <w:shd w:val="clear" w:color="000000" w:fill="F2F2F2"/>
            <w:noWrap/>
            <w:vAlign w:val="bottom"/>
            <w:hideMark/>
          </w:tcPr>
          <w:p w14:paraId="539C1025"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261150</w:t>
            </w:r>
          </w:p>
        </w:tc>
        <w:tc>
          <w:tcPr>
            <w:tcW w:w="1123" w:type="dxa"/>
            <w:tcBorders>
              <w:top w:val="nil"/>
              <w:left w:val="nil"/>
              <w:bottom w:val="single" w:sz="4" w:space="0" w:color="auto"/>
              <w:right w:val="nil"/>
            </w:tcBorders>
            <w:shd w:val="clear" w:color="000000" w:fill="F2F2F2"/>
            <w:noWrap/>
            <w:vAlign w:val="bottom"/>
            <w:hideMark/>
          </w:tcPr>
          <w:p w14:paraId="25243907"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439365</w:t>
            </w:r>
          </w:p>
        </w:tc>
        <w:tc>
          <w:tcPr>
            <w:tcW w:w="997" w:type="dxa"/>
            <w:tcBorders>
              <w:top w:val="nil"/>
              <w:left w:val="nil"/>
              <w:bottom w:val="single" w:sz="4" w:space="0" w:color="auto"/>
              <w:right w:val="nil"/>
            </w:tcBorders>
            <w:shd w:val="clear" w:color="000000" w:fill="F2F2F2"/>
            <w:noWrap/>
            <w:vAlign w:val="bottom"/>
            <w:hideMark/>
          </w:tcPr>
          <w:p w14:paraId="79AC965C"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70412</w:t>
            </w:r>
          </w:p>
        </w:tc>
        <w:tc>
          <w:tcPr>
            <w:tcW w:w="1420" w:type="dxa"/>
            <w:tcBorders>
              <w:top w:val="nil"/>
              <w:left w:val="nil"/>
              <w:bottom w:val="single" w:sz="4" w:space="0" w:color="auto"/>
              <w:right w:val="single" w:sz="4" w:space="0" w:color="auto"/>
            </w:tcBorders>
            <w:shd w:val="clear" w:color="000000" w:fill="F2F2F2"/>
            <w:noWrap/>
            <w:vAlign w:val="bottom"/>
            <w:hideMark/>
          </w:tcPr>
          <w:p w14:paraId="6D1138F0" w14:textId="77777777" w:rsidR="009A2679" w:rsidRPr="009A2679" w:rsidRDefault="009A2679" w:rsidP="00DC54F7">
            <w:pPr>
              <w:spacing w:after="0" w:line="240" w:lineRule="auto"/>
              <w:jc w:val="both"/>
              <w:rPr>
                <w:rFonts w:ascii="Calibri" w:eastAsia="Times New Roman" w:hAnsi="Calibri" w:cs="Calibri"/>
                <w:color w:val="000000"/>
                <w:lang w:eastAsia="en-GB"/>
              </w:rPr>
            </w:pPr>
            <w:r w:rsidRPr="009A2679">
              <w:rPr>
                <w:rFonts w:ascii="Calibri" w:eastAsia="Times New Roman" w:hAnsi="Calibri" w:cs="Calibri"/>
                <w:color w:val="000000"/>
                <w:lang w:eastAsia="en-GB"/>
              </w:rPr>
              <w:t>11400</w:t>
            </w:r>
          </w:p>
        </w:tc>
      </w:tr>
    </w:tbl>
    <w:p w14:paraId="4EB3B483" w14:textId="3ADA9E5F" w:rsidR="009A2679" w:rsidRDefault="009A2679" w:rsidP="00DC54F7">
      <w:pPr>
        <w:spacing w:after="0" w:line="240" w:lineRule="auto"/>
        <w:jc w:val="both"/>
        <w:rPr>
          <w:rFonts w:ascii="Arial" w:eastAsia="Times New Roman" w:hAnsi="Arial" w:cs="Arial"/>
          <w:bCs/>
          <w:color w:val="000000"/>
          <w:sz w:val="20"/>
          <w:szCs w:val="20"/>
          <w:lang w:eastAsia="en-GB"/>
        </w:rPr>
      </w:pPr>
      <w:r w:rsidRPr="009A2679">
        <w:rPr>
          <w:rFonts w:ascii="Arial" w:eastAsia="Times New Roman" w:hAnsi="Arial" w:cs="Arial"/>
          <w:bCs/>
          <w:color w:val="000000"/>
          <w:sz w:val="20"/>
          <w:szCs w:val="20"/>
          <w:lang w:eastAsia="en-GB"/>
        </w:rPr>
        <w:t>Source: StatsWales - NHS Wales Shared Services Partnership.</w:t>
      </w:r>
    </w:p>
    <w:p w14:paraId="6FFA6E1D" w14:textId="77777777" w:rsidR="009A2679" w:rsidRPr="009A2679" w:rsidRDefault="009A2679" w:rsidP="00DC54F7">
      <w:pPr>
        <w:spacing w:after="0" w:line="240" w:lineRule="auto"/>
        <w:jc w:val="both"/>
        <w:rPr>
          <w:rFonts w:ascii="Arial" w:eastAsia="Times New Roman" w:hAnsi="Arial" w:cs="Arial"/>
          <w:color w:val="000000"/>
          <w:sz w:val="20"/>
          <w:szCs w:val="20"/>
          <w:lang w:eastAsia="en-GB"/>
        </w:rPr>
      </w:pPr>
    </w:p>
    <w:p w14:paraId="5727D5C3" w14:textId="77777777" w:rsidR="0008459A" w:rsidRPr="0022740F" w:rsidRDefault="0008459A" w:rsidP="00DC54F7">
      <w:pPr>
        <w:spacing w:after="0" w:line="240" w:lineRule="auto"/>
        <w:jc w:val="both"/>
        <w:rPr>
          <w:rFonts w:ascii="Arial" w:hAnsi="Arial" w:cs="Arial"/>
          <w:sz w:val="24"/>
          <w:szCs w:val="24"/>
        </w:rPr>
      </w:pPr>
      <w:r w:rsidRPr="0022740F">
        <w:rPr>
          <w:rFonts w:ascii="Arial" w:hAnsi="Arial" w:cs="Arial"/>
          <w:sz w:val="24"/>
          <w:szCs w:val="24"/>
        </w:rPr>
        <w:t>Between 2018 to 2028, the population of Cardiff is projected to increase by up to 3.2%, the sixth largest percentage increase of all the local authorities within Wales. It is expected to have a population of around 375,700 by 2028, making it the largest local authority in Wales. Unlike all other local authorities, the increase in population will mainly be driven by natural change i.e. more births than deaths and a smaller proportion of the increase will be due to net migration i.e. more people moving into the area than out. Cardiff has the highest level of projected international migration of all the local authorities. The population is expected to increase across all broad age groups, except the 0 to 15 years old where a decrease is predicted.  The largest population increases will be in the over 65 age group followed by the working-age population aged 16 to 64 years. The population is projected to continue to age in the local authority.</w:t>
      </w:r>
    </w:p>
    <w:p w14:paraId="1B78DFD1" w14:textId="10DA3786" w:rsidR="006A5418" w:rsidRDefault="006A5418" w:rsidP="00DC54F7">
      <w:pPr>
        <w:spacing w:after="0" w:line="240" w:lineRule="auto"/>
        <w:jc w:val="both"/>
        <w:rPr>
          <w:rFonts w:ascii="Arial" w:hAnsi="Arial" w:cs="Arial"/>
          <w:bCs/>
        </w:rPr>
      </w:pPr>
    </w:p>
    <w:p w14:paraId="51448701" w14:textId="77777777" w:rsidR="006A52B7" w:rsidRPr="00DB7FBC" w:rsidRDefault="006A52B7" w:rsidP="00DC54F7">
      <w:pPr>
        <w:spacing w:after="0" w:line="240" w:lineRule="auto"/>
        <w:jc w:val="both"/>
        <w:rPr>
          <w:rFonts w:ascii="Arial" w:hAnsi="Arial" w:cs="Arial"/>
          <w:b/>
          <w:bCs/>
        </w:rPr>
      </w:pPr>
    </w:p>
    <w:p w14:paraId="432A2C04" w14:textId="43E76DCB" w:rsidR="004605BE" w:rsidRDefault="004605BE" w:rsidP="00DC54F7">
      <w:pPr>
        <w:spacing w:after="0" w:line="240" w:lineRule="auto"/>
        <w:jc w:val="both"/>
        <w:rPr>
          <w:rFonts w:ascii="Arial" w:hAnsi="Arial" w:cs="Arial"/>
          <w:b/>
          <w:bCs/>
          <w:sz w:val="24"/>
          <w:szCs w:val="24"/>
        </w:rPr>
      </w:pPr>
      <w:r>
        <w:rPr>
          <w:rFonts w:ascii="Arial" w:hAnsi="Arial" w:cs="Arial"/>
          <w:b/>
          <w:bCs/>
          <w:sz w:val="24"/>
          <w:szCs w:val="24"/>
        </w:rPr>
        <w:t xml:space="preserve">13.1.2 </w:t>
      </w:r>
      <w:r w:rsidRPr="00707FB9">
        <w:rPr>
          <w:rFonts w:ascii="Arial" w:hAnsi="Arial" w:cs="Arial"/>
          <w:b/>
          <w:bCs/>
          <w:sz w:val="24"/>
          <w:szCs w:val="24"/>
        </w:rPr>
        <w:t>Life expectancy, healthy life expectancy and the ‘inequality gap’</w:t>
      </w:r>
    </w:p>
    <w:p w14:paraId="206BE482" w14:textId="77777777" w:rsidR="004605BE" w:rsidRPr="00707FB9" w:rsidRDefault="004605BE" w:rsidP="00DC54F7">
      <w:pPr>
        <w:spacing w:after="0" w:line="240" w:lineRule="auto"/>
        <w:jc w:val="both"/>
        <w:rPr>
          <w:rFonts w:ascii="Arial" w:hAnsi="Arial" w:cs="Arial"/>
          <w:b/>
          <w:bCs/>
          <w:sz w:val="24"/>
          <w:szCs w:val="24"/>
        </w:rPr>
      </w:pPr>
    </w:p>
    <w:p w14:paraId="4CFC232E" w14:textId="77777777" w:rsidR="006A52B7" w:rsidRPr="004605BE" w:rsidRDefault="006A52B7" w:rsidP="00DC54F7">
      <w:pPr>
        <w:spacing w:after="0" w:line="240" w:lineRule="auto"/>
        <w:jc w:val="both"/>
        <w:rPr>
          <w:rFonts w:ascii="Arial" w:hAnsi="Arial" w:cs="Arial"/>
          <w:sz w:val="24"/>
          <w:szCs w:val="24"/>
        </w:rPr>
      </w:pPr>
      <w:r w:rsidRPr="004605BE">
        <w:rPr>
          <w:rFonts w:ascii="Arial" w:hAnsi="Arial" w:cs="Arial"/>
          <w:sz w:val="24"/>
          <w:szCs w:val="24"/>
        </w:rPr>
        <w:t>Life expectancy at birth in Cardiff is better than the average for Wales for both females and males. The difference in life expectancy that exists across an area between the most and least deprived areas is referred to as the ‘inequality gap’. The inequality gap in life expectancy at birth between the most and least deprived fifth, for Cardiff is wider than the average for Wales for both males and females. The healthy life expectancy (the number of years a person can expect to live in good health) in Cardiff is lower than the average for Wales for both females and males.</w:t>
      </w:r>
    </w:p>
    <w:p w14:paraId="7FDE722D" w14:textId="77777777" w:rsidR="006A52B7" w:rsidRDefault="006A52B7" w:rsidP="00DC54F7">
      <w:pPr>
        <w:spacing w:after="0" w:line="240" w:lineRule="auto"/>
        <w:jc w:val="both"/>
        <w:rPr>
          <w:rFonts w:ascii="Arial" w:hAnsi="Arial" w:cs="Arial"/>
          <w:b/>
          <w:bCs/>
        </w:rPr>
      </w:pPr>
    </w:p>
    <w:p w14:paraId="13CF19B8" w14:textId="32AD7BA7" w:rsidR="006A52B7" w:rsidRPr="004605BE" w:rsidRDefault="006A52B7" w:rsidP="00DC54F7">
      <w:pPr>
        <w:spacing w:after="0" w:line="240" w:lineRule="auto"/>
        <w:jc w:val="both"/>
        <w:rPr>
          <w:rFonts w:ascii="Arial" w:hAnsi="Arial" w:cs="Arial"/>
          <w:b/>
          <w:bCs/>
          <w:sz w:val="24"/>
          <w:szCs w:val="24"/>
        </w:rPr>
      </w:pPr>
      <w:r w:rsidRPr="004605BE">
        <w:rPr>
          <w:rFonts w:ascii="Arial" w:hAnsi="Arial" w:cs="Arial"/>
          <w:b/>
          <w:bCs/>
          <w:sz w:val="24"/>
          <w:szCs w:val="24"/>
        </w:rPr>
        <w:t>Table 1</w:t>
      </w:r>
      <w:r w:rsidR="00E63C74" w:rsidRPr="004605BE">
        <w:rPr>
          <w:rFonts w:ascii="Arial" w:hAnsi="Arial" w:cs="Arial"/>
          <w:b/>
          <w:bCs/>
          <w:sz w:val="24"/>
          <w:szCs w:val="24"/>
        </w:rPr>
        <w:t>3</w:t>
      </w:r>
      <w:r w:rsidRPr="004605BE">
        <w:rPr>
          <w:rFonts w:ascii="Arial" w:hAnsi="Arial" w:cs="Arial"/>
          <w:b/>
          <w:bCs/>
          <w:sz w:val="24"/>
          <w:szCs w:val="24"/>
        </w:rPr>
        <w:t xml:space="preserve">.1: Life expectancy, healthy life expectancy and the ‘inequality gap’ (2015 to 2017) </w:t>
      </w:r>
    </w:p>
    <w:tbl>
      <w:tblPr>
        <w:tblW w:w="9271"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263"/>
        <w:gridCol w:w="1168"/>
        <w:gridCol w:w="1168"/>
        <w:gridCol w:w="1168"/>
        <w:gridCol w:w="1168"/>
        <w:gridCol w:w="1168"/>
        <w:gridCol w:w="1168"/>
      </w:tblGrid>
      <w:tr w:rsidR="00707FB9" w:rsidRPr="00847226" w14:paraId="35B52266" w14:textId="77777777" w:rsidTr="00AA572E">
        <w:trPr>
          <w:trHeight w:val="281"/>
        </w:trPr>
        <w:tc>
          <w:tcPr>
            <w:tcW w:w="2263" w:type="dxa"/>
            <w:shd w:val="clear" w:color="000000" w:fill="8497B0"/>
            <w:noWrap/>
            <w:vAlign w:val="bottom"/>
            <w:hideMark/>
          </w:tcPr>
          <w:p w14:paraId="3ABF990B" w14:textId="77777777" w:rsidR="00707FB9" w:rsidRPr="004605BE" w:rsidRDefault="00707FB9" w:rsidP="00DC54F7">
            <w:pPr>
              <w:spacing w:after="0" w:line="240" w:lineRule="auto"/>
              <w:jc w:val="both"/>
              <w:rPr>
                <w:rFonts w:ascii="Calibri" w:eastAsia="Times New Roman" w:hAnsi="Calibri" w:cs="Calibri"/>
                <w:lang w:eastAsia="en-GB"/>
              </w:rPr>
            </w:pPr>
            <w:r w:rsidRPr="004605BE">
              <w:rPr>
                <w:rFonts w:ascii="Calibri" w:eastAsia="Times New Roman" w:hAnsi="Calibri" w:cs="Calibri"/>
                <w:lang w:eastAsia="en-GB"/>
              </w:rPr>
              <w:t> </w:t>
            </w:r>
          </w:p>
        </w:tc>
        <w:tc>
          <w:tcPr>
            <w:tcW w:w="2336" w:type="dxa"/>
            <w:gridSpan w:val="2"/>
            <w:shd w:val="clear" w:color="000000" w:fill="8497B0"/>
            <w:noWrap/>
            <w:vAlign w:val="bottom"/>
            <w:hideMark/>
          </w:tcPr>
          <w:p w14:paraId="635F2026" w14:textId="77777777" w:rsidR="00707FB9" w:rsidRPr="004605BE" w:rsidRDefault="00707FB9" w:rsidP="00DC54F7">
            <w:pPr>
              <w:spacing w:after="0" w:line="240" w:lineRule="auto"/>
              <w:jc w:val="both"/>
              <w:rPr>
                <w:rFonts w:ascii="Calibri" w:eastAsia="Times New Roman" w:hAnsi="Calibri" w:cs="Calibri"/>
                <w:b/>
                <w:bCs/>
                <w:color w:val="FFFFFF"/>
                <w:lang w:eastAsia="en-GB"/>
              </w:rPr>
            </w:pPr>
            <w:r w:rsidRPr="004605BE">
              <w:rPr>
                <w:rFonts w:ascii="Calibri" w:eastAsia="Times New Roman" w:hAnsi="Calibri" w:cs="Calibri"/>
                <w:b/>
                <w:bCs/>
                <w:color w:val="FFFFFF"/>
                <w:lang w:eastAsia="en-GB"/>
              </w:rPr>
              <w:t>Life expectancy at birth (years)</w:t>
            </w:r>
          </w:p>
        </w:tc>
        <w:tc>
          <w:tcPr>
            <w:tcW w:w="2336" w:type="dxa"/>
            <w:gridSpan w:val="2"/>
            <w:shd w:val="clear" w:color="000000" w:fill="8497B0"/>
            <w:noWrap/>
            <w:vAlign w:val="bottom"/>
            <w:hideMark/>
          </w:tcPr>
          <w:p w14:paraId="536133E3" w14:textId="77777777" w:rsidR="00707FB9" w:rsidRPr="004605BE" w:rsidRDefault="00707FB9" w:rsidP="00DC54F7">
            <w:pPr>
              <w:spacing w:after="0" w:line="240" w:lineRule="auto"/>
              <w:jc w:val="both"/>
              <w:rPr>
                <w:rFonts w:ascii="Calibri" w:eastAsia="Times New Roman" w:hAnsi="Calibri" w:cs="Calibri"/>
                <w:b/>
                <w:bCs/>
                <w:color w:val="FFFFFF"/>
                <w:lang w:eastAsia="en-GB"/>
              </w:rPr>
            </w:pPr>
            <w:r w:rsidRPr="004605BE">
              <w:rPr>
                <w:rFonts w:ascii="Calibri" w:eastAsia="Times New Roman" w:hAnsi="Calibri" w:cs="Calibri"/>
                <w:b/>
                <w:bCs/>
                <w:color w:val="FFFFFF"/>
                <w:lang w:eastAsia="en-GB"/>
              </w:rPr>
              <w:t>Healthy life expectancy (years)</w:t>
            </w:r>
          </w:p>
        </w:tc>
        <w:tc>
          <w:tcPr>
            <w:tcW w:w="2336" w:type="dxa"/>
            <w:gridSpan w:val="2"/>
            <w:shd w:val="clear" w:color="000000" w:fill="8497B0"/>
            <w:noWrap/>
            <w:vAlign w:val="bottom"/>
            <w:hideMark/>
          </w:tcPr>
          <w:p w14:paraId="5634AD91" w14:textId="77777777" w:rsidR="00B06652" w:rsidRDefault="00707FB9" w:rsidP="00DC54F7">
            <w:pPr>
              <w:spacing w:after="0" w:line="240" w:lineRule="auto"/>
              <w:jc w:val="both"/>
              <w:rPr>
                <w:rFonts w:ascii="Calibri" w:eastAsia="Times New Roman" w:hAnsi="Calibri" w:cs="Calibri"/>
                <w:b/>
                <w:bCs/>
                <w:color w:val="FFFFFF"/>
                <w:lang w:eastAsia="en-GB"/>
              </w:rPr>
            </w:pPr>
            <w:r w:rsidRPr="004605BE">
              <w:rPr>
                <w:rFonts w:ascii="Calibri" w:eastAsia="Times New Roman" w:hAnsi="Calibri" w:cs="Calibri"/>
                <w:b/>
                <w:bCs/>
                <w:color w:val="FFFFFF"/>
                <w:lang w:eastAsia="en-GB"/>
              </w:rPr>
              <w:t>Inequality gap</w:t>
            </w:r>
          </w:p>
          <w:p w14:paraId="53105C63" w14:textId="26CE5F8F" w:rsidR="00707FB9" w:rsidRPr="004605BE" w:rsidRDefault="00707FB9" w:rsidP="00DC54F7">
            <w:pPr>
              <w:spacing w:after="0" w:line="240" w:lineRule="auto"/>
              <w:jc w:val="both"/>
              <w:rPr>
                <w:rFonts w:ascii="Calibri" w:eastAsia="Times New Roman" w:hAnsi="Calibri" w:cs="Calibri"/>
                <w:b/>
                <w:bCs/>
                <w:color w:val="FFFFFF"/>
                <w:lang w:eastAsia="en-GB"/>
              </w:rPr>
            </w:pPr>
            <w:r w:rsidRPr="004605BE">
              <w:rPr>
                <w:rFonts w:ascii="Calibri" w:eastAsia="Times New Roman" w:hAnsi="Calibri" w:cs="Calibri"/>
                <w:b/>
                <w:bCs/>
                <w:color w:val="FFFFFF"/>
                <w:lang w:eastAsia="en-GB"/>
              </w:rPr>
              <w:t xml:space="preserve"> (years)</w:t>
            </w:r>
          </w:p>
        </w:tc>
      </w:tr>
      <w:tr w:rsidR="00707FB9" w:rsidRPr="00847226" w14:paraId="7714C6A4" w14:textId="77777777" w:rsidTr="00AA572E">
        <w:trPr>
          <w:trHeight w:val="281"/>
        </w:trPr>
        <w:tc>
          <w:tcPr>
            <w:tcW w:w="2263" w:type="dxa"/>
            <w:shd w:val="clear" w:color="000000" w:fill="8497B0"/>
            <w:noWrap/>
            <w:vAlign w:val="bottom"/>
            <w:hideMark/>
          </w:tcPr>
          <w:p w14:paraId="00F57422" w14:textId="77777777" w:rsidR="00707FB9" w:rsidRPr="004605BE" w:rsidRDefault="00707FB9" w:rsidP="00DC54F7">
            <w:pPr>
              <w:spacing w:after="0" w:line="240" w:lineRule="auto"/>
              <w:jc w:val="both"/>
              <w:rPr>
                <w:rFonts w:ascii="Calibri" w:eastAsia="Times New Roman" w:hAnsi="Calibri" w:cs="Calibri"/>
                <w:b/>
                <w:bCs/>
                <w:color w:val="FFFFFF"/>
                <w:lang w:eastAsia="en-GB"/>
              </w:rPr>
            </w:pPr>
            <w:r w:rsidRPr="004605BE">
              <w:rPr>
                <w:rFonts w:ascii="Calibri" w:eastAsia="Times New Roman" w:hAnsi="Calibri" w:cs="Calibri"/>
                <w:b/>
                <w:bCs/>
                <w:color w:val="FFFFFF"/>
                <w:lang w:eastAsia="en-GB"/>
              </w:rPr>
              <w:t> </w:t>
            </w:r>
          </w:p>
        </w:tc>
        <w:tc>
          <w:tcPr>
            <w:tcW w:w="1168" w:type="dxa"/>
            <w:shd w:val="clear" w:color="000000" w:fill="8497B0"/>
            <w:vAlign w:val="center"/>
            <w:hideMark/>
          </w:tcPr>
          <w:p w14:paraId="6374DDFE" w14:textId="77777777" w:rsidR="00707FB9" w:rsidRPr="004605BE" w:rsidRDefault="00707FB9" w:rsidP="00DC54F7">
            <w:pPr>
              <w:spacing w:after="0" w:line="240" w:lineRule="auto"/>
              <w:jc w:val="both"/>
              <w:rPr>
                <w:rFonts w:ascii="Calibri" w:eastAsia="Times New Roman" w:hAnsi="Calibri" w:cs="Calibri"/>
                <w:b/>
                <w:bCs/>
                <w:color w:val="FFFFFF"/>
                <w:lang w:eastAsia="en-GB"/>
              </w:rPr>
            </w:pPr>
            <w:r w:rsidRPr="004605BE">
              <w:rPr>
                <w:rFonts w:ascii="Calibri" w:eastAsia="Times New Roman" w:hAnsi="Calibri" w:cs="Calibri"/>
                <w:b/>
                <w:bCs/>
                <w:color w:val="FFFFFF"/>
                <w:lang w:eastAsia="en-GB"/>
              </w:rPr>
              <w:t>Females</w:t>
            </w:r>
          </w:p>
        </w:tc>
        <w:tc>
          <w:tcPr>
            <w:tcW w:w="1168" w:type="dxa"/>
            <w:shd w:val="clear" w:color="000000" w:fill="8497B0"/>
            <w:vAlign w:val="center"/>
            <w:hideMark/>
          </w:tcPr>
          <w:p w14:paraId="15754879" w14:textId="77777777" w:rsidR="00707FB9" w:rsidRPr="004605BE" w:rsidRDefault="00707FB9" w:rsidP="00DC54F7">
            <w:pPr>
              <w:spacing w:after="0" w:line="240" w:lineRule="auto"/>
              <w:jc w:val="both"/>
              <w:rPr>
                <w:rFonts w:ascii="Calibri" w:eastAsia="Times New Roman" w:hAnsi="Calibri" w:cs="Calibri"/>
                <w:b/>
                <w:bCs/>
                <w:color w:val="FFFFFF"/>
                <w:lang w:eastAsia="en-GB"/>
              </w:rPr>
            </w:pPr>
            <w:r w:rsidRPr="004605BE">
              <w:rPr>
                <w:rFonts w:ascii="Calibri" w:eastAsia="Times New Roman" w:hAnsi="Calibri" w:cs="Calibri"/>
                <w:b/>
                <w:bCs/>
                <w:color w:val="FFFFFF"/>
                <w:lang w:eastAsia="en-GB"/>
              </w:rPr>
              <w:t>Males</w:t>
            </w:r>
          </w:p>
        </w:tc>
        <w:tc>
          <w:tcPr>
            <w:tcW w:w="1168" w:type="dxa"/>
            <w:shd w:val="clear" w:color="000000" w:fill="8497B0"/>
            <w:vAlign w:val="center"/>
            <w:hideMark/>
          </w:tcPr>
          <w:p w14:paraId="4F69F7D0" w14:textId="77777777" w:rsidR="00707FB9" w:rsidRPr="004605BE" w:rsidRDefault="00707FB9" w:rsidP="00DC54F7">
            <w:pPr>
              <w:spacing w:after="0" w:line="240" w:lineRule="auto"/>
              <w:jc w:val="both"/>
              <w:rPr>
                <w:rFonts w:ascii="Calibri" w:eastAsia="Times New Roman" w:hAnsi="Calibri" w:cs="Calibri"/>
                <w:b/>
                <w:bCs/>
                <w:color w:val="FFFFFF"/>
                <w:lang w:eastAsia="en-GB"/>
              </w:rPr>
            </w:pPr>
            <w:r w:rsidRPr="004605BE">
              <w:rPr>
                <w:rFonts w:ascii="Calibri" w:eastAsia="Times New Roman" w:hAnsi="Calibri" w:cs="Calibri"/>
                <w:b/>
                <w:bCs/>
                <w:color w:val="FFFFFF"/>
                <w:lang w:eastAsia="en-GB"/>
              </w:rPr>
              <w:t>Females</w:t>
            </w:r>
          </w:p>
        </w:tc>
        <w:tc>
          <w:tcPr>
            <w:tcW w:w="1168" w:type="dxa"/>
            <w:shd w:val="clear" w:color="000000" w:fill="8497B0"/>
            <w:vAlign w:val="center"/>
            <w:hideMark/>
          </w:tcPr>
          <w:p w14:paraId="2F54C6B2" w14:textId="77777777" w:rsidR="00707FB9" w:rsidRPr="004605BE" w:rsidRDefault="00707FB9" w:rsidP="00DC54F7">
            <w:pPr>
              <w:spacing w:after="0" w:line="240" w:lineRule="auto"/>
              <w:jc w:val="both"/>
              <w:rPr>
                <w:rFonts w:ascii="Calibri" w:eastAsia="Times New Roman" w:hAnsi="Calibri" w:cs="Calibri"/>
                <w:b/>
                <w:bCs/>
                <w:color w:val="FFFFFF"/>
                <w:lang w:eastAsia="en-GB"/>
              </w:rPr>
            </w:pPr>
            <w:r w:rsidRPr="004605BE">
              <w:rPr>
                <w:rFonts w:ascii="Calibri" w:eastAsia="Times New Roman" w:hAnsi="Calibri" w:cs="Calibri"/>
                <w:b/>
                <w:bCs/>
                <w:color w:val="FFFFFF"/>
                <w:lang w:eastAsia="en-GB"/>
              </w:rPr>
              <w:t>Males</w:t>
            </w:r>
          </w:p>
        </w:tc>
        <w:tc>
          <w:tcPr>
            <w:tcW w:w="1168" w:type="dxa"/>
            <w:shd w:val="clear" w:color="000000" w:fill="8497B0"/>
            <w:vAlign w:val="center"/>
            <w:hideMark/>
          </w:tcPr>
          <w:p w14:paraId="6257763A" w14:textId="77777777" w:rsidR="00707FB9" w:rsidRPr="004605BE" w:rsidRDefault="00707FB9" w:rsidP="00DC54F7">
            <w:pPr>
              <w:spacing w:after="0" w:line="240" w:lineRule="auto"/>
              <w:jc w:val="both"/>
              <w:rPr>
                <w:rFonts w:ascii="Calibri" w:eastAsia="Times New Roman" w:hAnsi="Calibri" w:cs="Calibri"/>
                <w:b/>
                <w:bCs/>
                <w:color w:val="FFFFFF"/>
                <w:lang w:eastAsia="en-GB"/>
              </w:rPr>
            </w:pPr>
            <w:r w:rsidRPr="004605BE">
              <w:rPr>
                <w:rFonts w:ascii="Calibri" w:eastAsia="Times New Roman" w:hAnsi="Calibri" w:cs="Calibri"/>
                <w:b/>
                <w:bCs/>
                <w:color w:val="FFFFFF"/>
                <w:lang w:eastAsia="en-GB"/>
              </w:rPr>
              <w:t>Females</w:t>
            </w:r>
          </w:p>
        </w:tc>
        <w:tc>
          <w:tcPr>
            <w:tcW w:w="1168" w:type="dxa"/>
            <w:shd w:val="clear" w:color="000000" w:fill="8497B0"/>
            <w:vAlign w:val="center"/>
            <w:hideMark/>
          </w:tcPr>
          <w:p w14:paraId="505F678F" w14:textId="77777777" w:rsidR="00707FB9" w:rsidRPr="004605BE" w:rsidRDefault="00707FB9" w:rsidP="00DC54F7">
            <w:pPr>
              <w:spacing w:after="0" w:line="240" w:lineRule="auto"/>
              <w:jc w:val="both"/>
              <w:rPr>
                <w:rFonts w:ascii="Calibri" w:eastAsia="Times New Roman" w:hAnsi="Calibri" w:cs="Calibri"/>
                <w:b/>
                <w:bCs/>
                <w:color w:val="FFFFFF"/>
                <w:lang w:eastAsia="en-GB"/>
              </w:rPr>
            </w:pPr>
            <w:r w:rsidRPr="004605BE">
              <w:rPr>
                <w:rFonts w:ascii="Calibri" w:eastAsia="Times New Roman" w:hAnsi="Calibri" w:cs="Calibri"/>
                <w:b/>
                <w:bCs/>
                <w:color w:val="FFFFFF"/>
                <w:lang w:eastAsia="en-GB"/>
              </w:rPr>
              <w:t>Males</w:t>
            </w:r>
          </w:p>
        </w:tc>
      </w:tr>
      <w:tr w:rsidR="00707FB9" w:rsidRPr="00847226" w14:paraId="62C89490" w14:textId="77777777" w:rsidTr="00AA572E">
        <w:trPr>
          <w:trHeight w:val="281"/>
        </w:trPr>
        <w:tc>
          <w:tcPr>
            <w:tcW w:w="2263" w:type="dxa"/>
            <w:shd w:val="clear" w:color="000000" w:fill="F2F2F2"/>
            <w:noWrap/>
            <w:vAlign w:val="bottom"/>
            <w:hideMark/>
          </w:tcPr>
          <w:p w14:paraId="73157EC8"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 xml:space="preserve">Cardiff </w:t>
            </w:r>
          </w:p>
        </w:tc>
        <w:tc>
          <w:tcPr>
            <w:tcW w:w="1168" w:type="dxa"/>
            <w:shd w:val="clear" w:color="000000" w:fill="F2F2F2"/>
            <w:noWrap/>
            <w:vAlign w:val="bottom"/>
            <w:hideMark/>
          </w:tcPr>
          <w:p w14:paraId="1AADAC94"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82.7</w:t>
            </w:r>
          </w:p>
        </w:tc>
        <w:tc>
          <w:tcPr>
            <w:tcW w:w="1168" w:type="dxa"/>
            <w:shd w:val="clear" w:color="000000" w:fill="F2F2F2"/>
            <w:noWrap/>
            <w:vAlign w:val="bottom"/>
            <w:hideMark/>
          </w:tcPr>
          <w:p w14:paraId="13C26F3A"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78.5</w:t>
            </w:r>
          </w:p>
        </w:tc>
        <w:tc>
          <w:tcPr>
            <w:tcW w:w="1168" w:type="dxa"/>
            <w:shd w:val="clear" w:color="000000" w:fill="F2F2F2"/>
            <w:noWrap/>
            <w:vAlign w:val="bottom"/>
            <w:hideMark/>
          </w:tcPr>
          <w:p w14:paraId="2531C629"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61.1</w:t>
            </w:r>
          </w:p>
        </w:tc>
        <w:tc>
          <w:tcPr>
            <w:tcW w:w="1168" w:type="dxa"/>
            <w:shd w:val="clear" w:color="000000" w:fill="F2F2F2"/>
            <w:noWrap/>
            <w:vAlign w:val="bottom"/>
            <w:hideMark/>
          </w:tcPr>
          <w:p w14:paraId="018BCE51"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61.2</w:t>
            </w:r>
          </w:p>
        </w:tc>
        <w:tc>
          <w:tcPr>
            <w:tcW w:w="1168" w:type="dxa"/>
            <w:shd w:val="clear" w:color="000000" w:fill="F2F2F2"/>
            <w:noWrap/>
            <w:vAlign w:val="bottom"/>
            <w:hideMark/>
          </w:tcPr>
          <w:p w14:paraId="6B76AE79"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6.9</w:t>
            </w:r>
          </w:p>
        </w:tc>
        <w:tc>
          <w:tcPr>
            <w:tcW w:w="1168" w:type="dxa"/>
            <w:shd w:val="clear" w:color="000000" w:fill="F2F2F2"/>
            <w:noWrap/>
            <w:vAlign w:val="bottom"/>
            <w:hideMark/>
          </w:tcPr>
          <w:p w14:paraId="431048E0"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9.2</w:t>
            </w:r>
          </w:p>
        </w:tc>
      </w:tr>
      <w:tr w:rsidR="00707FB9" w:rsidRPr="00847226" w14:paraId="580CEA60" w14:textId="77777777" w:rsidTr="00AA572E">
        <w:trPr>
          <w:trHeight w:val="281"/>
        </w:trPr>
        <w:tc>
          <w:tcPr>
            <w:tcW w:w="2263" w:type="dxa"/>
            <w:shd w:val="clear" w:color="auto" w:fill="auto"/>
            <w:noWrap/>
            <w:vAlign w:val="bottom"/>
            <w:hideMark/>
          </w:tcPr>
          <w:p w14:paraId="43F83453"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Cardiff and Vale UHB</w:t>
            </w:r>
          </w:p>
        </w:tc>
        <w:tc>
          <w:tcPr>
            <w:tcW w:w="1168" w:type="dxa"/>
            <w:shd w:val="clear" w:color="auto" w:fill="auto"/>
            <w:noWrap/>
            <w:vAlign w:val="bottom"/>
            <w:hideMark/>
          </w:tcPr>
          <w:p w14:paraId="23FC3017"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83.0</w:t>
            </w:r>
          </w:p>
        </w:tc>
        <w:tc>
          <w:tcPr>
            <w:tcW w:w="1168" w:type="dxa"/>
            <w:shd w:val="clear" w:color="auto" w:fill="auto"/>
            <w:noWrap/>
            <w:vAlign w:val="bottom"/>
            <w:hideMark/>
          </w:tcPr>
          <w:p w14:paraId="1CCDB754"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78.7</w:t>
            </w:r>
          </w:p>
        </w:tc>
        <w:tc>
          <w:tcPr>
            <w:tcW w:w="1168" w:type="dxa"/>
            <w:shd w:val="clear" w:color="auto" w:fill="auto"/>
            <w:noWrap/>
            <w:vAlign w:val="bottom"/>
            <w:hideMark/>
          </w:tcPr>
          <w:p w14:paraId="1AFEC43F"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62.0</w:t>
            </w:r>
          </w:p>
        </w:tc>
        <w:tc>
          <w:tcPr>
            <w:tcW w:w="1168" w:type="dxa"/>
            <w:shd w:val="clear" w:color="auto" w:fill="auto"/>
            <w:noWrap/>
            <w:vAlign w:val="bottom"/>
            <w:hideMark/>
          </w:tcPr>
          <w:p w14:paraId="3ABB573D"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61.9</w:t>
            </w:r>
          </w:p>
        </w:tc>
        <w:tc>
          <w:tcPr>
            <w:tcW w:w="1168" w:type="dxa"/>
            <w:shd w:val="clear" w:color="auto" w:fill="auto"/>
            <w:noWrap/>
            <w:vAlign w:val="bottom"/>
            <w:hideMark/>
          </w:tcPr>
          <w:p w14:paraId="400E9B66"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6.6</w:t>
            </w:r>
          </w:p>
        </w:tc>
        <w:tc>
          <w:tcPr>
            <w:tcW w:w="1168" w:type="dxa"/>
            <w:shd w:val="clear" w:color="auto" w:fill="auto"/>
            <w:noWrap/>
            <w:vAlign w:val="bottom"/>
            <w:hideMark/>
          </w:tcPr>
          <w:p w14:paraId="0B6C6289"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8.6</w:t>
            </w:r>
          </w:p>
        </w:tc>
      </w:tr>
      <w:tr w:rsidR="00707FB9" w:rsidRPr="00847226" w14:paraId="2F28894F" w14:textId="77777777" w:rsidTr="00AA572E">
        <w:trPr>
          <w:trHeight w:val="281"/>
        </w:trPr>
        <w:tc>
          <w:tcPr>
            <w:tcW w:w="2263" w:type="dxa"/>
            <w:shd w:val="clear" w:color="000000" w:fill="F2F2F2"/>
            <w:noWrap/>
            <w:vAlign w:val="bottom"/>
            <w:hideMark/>
          </w:tcPr>
          <w:p w14:paraId="02883F18"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Wales</w:t>
            </w:r>
          </w:p>
        </w:tc>
        <w:tc>
          <w:tcPr>
            <w:tcW w:w="1168" w:type="dxa"/>
            <w:shd w:val="clear" w:color="000000" w:fill="F2F2F2"/>
            <w:noWrap/>
            <w:vAlign w:val="bottom"/>
            <w:hideMark/>
          </w:tcPr>
          <w:p w14:paraId="3FE92382"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82.3</w:t>
            </w:r>
          </w:p>
        </w:tc>
        <w:tc>
          <w:tcPr>
            <w:tcW w:w="1168" w:type="dxa"/>
            <w:shd w:val="clear" w:color="000000" w:fill="F2F2F2"/>
            <w:noWrap/>
            <w:vAlign w:val="bottom"/>
            <w:hideMark/>
          </w:tcPr>
          <w:p w14:paraId="6E03F703"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78.3</w:t>
            </w:r>
          </w:p>
        </w:tc>
        <w:tc>
          <w:tcPr>
            <w:tcW w:w="1168" w:type="dxa"/>
            <w:shd w:val="clear" w:color="000000" w:fill="F2F2F2"/>
            <w:noWrap/>
            <w:vAlign w:val="bottom"/>
            <w:hideMark/>
          </w:tcPr>
          <w:p w14:paraId="29281531"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62.0</w:t>
            </w:r>
          </w:p>
        </w:tc>
        <w:tc>
          <w:tcPr>
            <w:tcW w:w="1168" w:type="dxa"/>
            <w:shd w:val="clear" w:color="000000" w:fill="F2F2F2"/>
            <w:noWrap/>
            <w:vAlign w:val="bottom"/>
            <w:hideMark/>
          </w:tcPr>
          <w:p w14:paraId="01C1D03F"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61.4</w:t>
            </w:r>
          </w:p>
        </w:tc>
        <w:tc>
          <w:tcPr>
            <w:tcW w:w="1168" w:type="dxa"/>
            <w:shd w:val="clear" w:color="000000" w:fill="F2F2F2"/>
            <w:noWrap/>
            <w:vAlign w:val="bottom"/>
            <w:hideMark/>
          </w:tcPr>
          <w:p w14:paraId="035EB364"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6.1</w:t>
            </w:r>
          </w:p>
        </w:tc>
        <w:tc>
          <w:tcPr>
            <w:tcW w:w="1168" w:type="dxa"/>
            <w:shd w:val="clear" w:color="000000" w:fill="F2F2F2"/>
            <w:noWrap/>
            <w:vAlign w:val="bottom"/>
            <w:hideMark/>
          </w:tcPr>
          <w:p w14:paraId="6314C724" w14:textId="77777777" w:rsidR="00707FB9" w:rsidRPr="004605BE" w:rsidRDefault="00707FB9" w:rsidP="00DC54F7">
            <w:pPr>
              <w:spacing w:after="0" w:line="240" w:lineRule="auto"/>
              <w:jc w:val="both"/>
              <w:rPr>
                <w:rFonts w:ascii="Calibri" w:eastAsia="Times New Roman" w:hAnsi="Calibri" w:cs="Calibri"/>
                <w:color w:val="000000"/>
                <w:lang w:eastAsia="en-GB"/>
              </w:rPr>
            </w:pPr>
            <w:r w:rsidRPr="004605BE">
              <w:rPr>
                <w:rFonts w:ascii="Calibri" w:eastAsia="Times New Roman" w:hAnsi="Calibri" w:cs="Calibri"/>
                <w:color w:val="000000"/>
                <w:lang w:eastAsia="en-GB"/>
              </w:rPr>
              <w:t>7.4</w:t>
            </w:r>
          </w:p>
        </w:tc>
      </w:tr>
    </w:tbl>
    <w:p w14:paraId="6EA4E275" w14:textId="77777777" w:rsidR="006A52B7" w:rsidRPr="00B06652" w:rsidRDefault="006A52B7" w:rsidP="00DC54F7">
      <w:pPr>
        <w:spacing w:after="0" w:line="240" w:lineRule="auto"/>
        <w:jc w:val="both"/>
        <w:rPr>
          <w:rFonts w:ascii="Arial" w:hAnsi="Arial" w:cs="Arial"/>
          <w:sz w:val="20"/>
          <w:szCs w:val="20"/>
        </w:rPr>
      </w:pPr>
      <w:r w:rsidRPr="00B06652">
        <w:rPr>
          <w:rFonts w:ascii="Arial" w:hAnsi="Arial" w:cs="Arial"/>
          <w:sz w:val="20"/>
          <w:szCs w:val="20"/>
        </w:rPr>
        <w:t>Source: Public Health Wales Observatory PHOF Tool (2017) using ONS and WG data</w:t>
      </w:r>
    </w:p>
    <w:p w14:paraId="46909811" w14:textId="45A1C7E6" w:rsidR="006A52B7" w:rsidRDefault="006A52B7" w:rsidP="00DC54F7">
      <w:pPr>
        <w:spacing w:after="0" w:line="240" w:lineRule="auto"/>
        <w:jc w:val="both"/>
        <w:rPr>
          <w:rFonts w:ascii="Arial" w:hAnsi="Arial" w:cs="Arial"/>
        </w:rPr>
      </w:pPr>
    </w:p>
    <w:p w14:paraId="6A7E9D4A" w14:textId="77777777" w:rsidR="00B06652" w:rsidRDefault="00B06652" w:rsidP="00DC54F7">
      <w:pPr>
        <w:spacing w:after="0" w:line="240" w:lineRule="auto"/>
        <w:jc w:val="both"/>
        <w:rPr>
          <w:rFonts w:ascii="Arial" w:hAnsi="Arial" w:cs="Arial"/>
        </w:rPr>
      </w:pPr>
    </w:p>
    <w:p w14:paraId="34269DDE" w14:textId="0CD247C6" w:rsidR="006A52B7" w:rsidRPr="00B06652" w:rsidRDefault="00B06652" w:rsidP="00DC54F7">
      <w:pPr>
        <w:spacing w:after="0" w:line="240" w:lineRule="auto"/>
        <w:jc w:val="both"/>
        <w:rPr>
          <w:rFonts w:ascii="Arial" w:hAnsi="Arial" w:cs="Arial"/>
          <w:b/>
          <w:bCs/>
          <w:sz w:val="24"/>
          <w:szCs w:val="24"/>
        </w:rPr>
      </w:pPr>
      <w:r>
        <w:rPr>
          <w:rFonts w:ascii="Arial" w:hAnsi="Arial" w:cs="Arial"/>
          <w:b/>
          <w:bCs/>
          <w:sz w:val="24"/>
          <w:szCs w:val="24"/>
        </w:rPr>
        <w:t xml:space="preserve">13.1.3 </w:t>
      </w:r>
      <w:r w:rsidR="006A52B7" w:rsidRPr="00B06652">
        <w:rPr>
          <w:rFonts w:ascii="Arial" w:hAnsi="Arial" w:cs="Arial"/>
          <w:b/>
          <w:bCs/>
          <w:sz w:val="24"/>
          <w:szCs w:val="24"/>
        </w:rPr>
        <w:t>Deprivation</w:t>
      </w:r>
    </w:p>
    <w:p w14:paraId="48831162" w14:textId="77777777" w:rsidR="006A52B7" w:rsidRPr="00B06652" w:rsidRDefault="006A52B7" w:rsidP="00DC54F7">
      <w:pPr>
        <w:spacing w:after="0" w:line="240" w:lineRule="auto"/>
        <w:jc w:val="both"/>
        <w:rPr>
          <w:rFonts w:ascii="Arial" w:hAnsi="Arial" w:cs="Arial"/>
          <w:sz w:val="24"/>
          <w:szCs w:val="24"/>
        </w:rPr>
      </w:pPr>
    </w:p>
    <w:p w14:paraId="673EBE3B" w14:textId="77777777" w:rsidR="006A52B7" w:rsidRPr="00B06652" w:rsidRDefault="006A52B7" w:rsidP="00DC54F7">
      <w:pPr>
        <w:spacing w:after="0" w:line="240" w:lineRule="auto"/>
        <w:jc w:val="both"/>
        <w:rPr>
          <w:rFonts w:ascii="Arial" w:hAnsi="Arial" w:cs="Arial"/>
          <w:sz w:val="24"/>
          <w:szCs w:val="24"/>
        </w:rPr>
      </w:pPr>
      <w:r w:rsidRPr="00B06652">
        <w:rPr>
          <w:rFonts w:ascii="Arial" w:hAnsi="Arial" w:cs="Arial"/>
          <w:sz w:val="24"/>
          <w:szCs w:val="24"/>
        </w:rPr>
        <w:t xml:space="preserve">Deprivation is the lack of access to opportunities and resources which might be expected in society. The Welsh Index of Multiple Deprivation (WIMD) allows for the ranking of small areas, called Lower layer Super Output Areas (LSOAs) in Wales to determine whether an area is more or less deprived compared to all other small areas in Wales.  </w:t>
      </w:r>
    </w:p>
    <w:p w14:paraId="6D14D145" w14:textId="77777777" w:rsidR="006A52B7" w:rsidRPr="00B06652" w:rsidRDefault="006A52B7" w:rsidP="00DC54F7">
      <w:pPr>
        <w:spacing w:after="0" w:line="240" w:lineRule="auto"/>
        <w:jc w:val="both"/>
        <w:rPr>
          <w:rFonts w:ascii="Arial" w:hAnsi="Arial" w:cs="Arial"/>
          <w:sz w:val="24"/>
          <w:szCs w:val="24"/>
        </w:rPr>
      </w:pPr>
    </w:p>
    <w:p w14:paraId="52AD3D3A" w14:textId="70305662" w:rsidR="006A52B7" w:rsidRPr="00B06652" w:rsidRDefault="006A52B7" w:rsidP="00DC54F7">
      <w:pPr>
        <w:spacing w:after="0" w:line="240" w:lineRule="auto"/>
        <w:jc w:val="both"/>
        <w:rPr>
          <w:rFonts w:ascii="Arial" w:hAnsi="Arial" w:cs="Arial"/>
          <w:b/>
          <w:bCs/>
          <w:sz w:val="24"/>
          <w:szCs w:val="24"/>
        </w:rPr>
      </w:pPr>
      <w:r w:rsidRPr="00B06652">
        <w:rPr>
          <w:rFonts w:ascii="Arial" w:hAnsi="Arial" w:cs="Arial"/>
          <w:sz w:val="24"/>
          <w:szCs w:val="24"/>
        </w:rPr>
        <w:t xml:space="preserve">Overall, Cardiff </w:t>
      </w:r>
      <w:r w:rsidR="00E63C74" w:rsidRPr="00B06652">
        <w:rPr>
          <w:rFonts w:ascii="Arial" w:hAnsi="Arial" w:cs="Arial"/>
          <w:sz w:val="24"/>
          <w:szCs w:val="24"/>
        </w:rPr>
        <w:t>West cluster</w:t>
      </w:r>
      <w:r w:rsidRPr="00B06652">
        <w:rPr>
          <w:rFonts w:ascii="Arial" w:hAnsi="Arial" w:cs="Arial"/>
          <w:sz w:val="24"/>
          <w:szCs w:val="24"/>
        </w:rPr>
        <w:t xml:space="preserve"> has a </w:t>
      </w:r>
      <w:r w:rsidR="00E63C74" w:rsidRPr="00B06652">
        <w:rPr>
          <w:rFonts w:ascii="Arial" w:hAnsi="Arial" w:cs="Arial"/>
          <w:sz w:val="24"/>
          <w:szCs w:val="24"/>
        </w:rPr>
        <w:t>lower</w:t>
      </w:r>
      <w:r w:rsidRPr="00B06652">
        <w:rPr>
          <w:rFonts w:ascii="Arial" w:hAnsi="Arial" w:cs="Arial"/>
          <w:sz w:val="24"/>
          <w:szCs w:val="24"/>
        </w:rPr>
        <w:t xml:space="preserve"> percentage of LSOAs in the most deprived 10% and 20% of </w:t>
      </w:r>
      <w:r w:rsidR="00E91F9B" w:rsidRPr="00B06652">
        <w:rPr>
          <w:rFonts w:ascii="Arial" w:hAnsi="Arial" w:cs="Arial"/>
          <w:sz w:val="24"/>
          <w:szCs w:val="24"/>
        </w:rPr>
        <w:t>LSOAs in Wales relative to Cardiff</w:t>
      </w:r>
      <w:r w:rsidR="00E63C74" w:rsidRPr="00B06652">
        <w:rPr>
          <w:rFonts w:ascii="Arial" w:hAnsi="Arial" w:cs="Arial"/>
          <w:sz w:val="24"/>
          <w:szCs w:val="24"/>
        </w:rPr>
        <w:t>.</w:t>
      </w:r>
    </w:p>
    <w:p w14:paraId="5B12A8F8" w14:textId="77777777" w:rsidR="006A52B7" w:rsidRPr="00B06652" w:rsidRDefault="006A52B7" w:rsidP="00DC54F7">
      <w:pPr>
        <w:spacing w:after="0" w:line="240" w:lineRule="auto"/>
        <w:jc w:val="both"/>
        <w:rPr>
          <w:rFonts w:ascii="Arial" w:hAnsi="Arial" w:cs="Arial"/>
          <w:b/>
          <w:bCs/>
          <w:sz w:val="24"/>
          <w:szCs w:val="24"/>
        </w:rPr>
      </w:pPr>
    </w:p>
    <w:p w14:paraId="75E91632" w14:textId="0D8DBC93" w:rsidR="006A52B7" w:rsidRDefault="006A52B7" w:rsidP="00DC54F7">
      <w:pPr>
        <w:spacing w:after="0" w:line="240" w:lineRule="auto"/>
        <w:contextualSpacing/>
        <w:jc w:val="both"/>
        <w:rPr>
          <w:rFonts w:ascii="Arial" w:hAnsi="Arial" w:cs="Arial"/>
          <w:b/>
          <w:bCs/>
          <w:sz w:val="24"/>
          <w:szCs w:val="24"/>
        </w:rPr>
      </w:pPr>
      <w:r w:rsidRPr="00B06652">
        <w:rPr>
          <w:rFonts w:ascii="Arial" w:hAnsi="Arial" w:cs="Arial"/>
          <w:b/>
          <w:bCs/>
          <w:sz w:val="24"/>
          <w:szCs w:val="24"/>
        </w:rPr>
        <w:t>Table 1</w:t>
      </w:r>
      <w:r w:rsidR="00E63C74" w:rsidRPr="00B06652">
        <w:rPr>
          <w:rFonts w:ascii="Arial" w:hAnsi="Arial" w:cs="Arial"/>
          <w:b/>
          <w:bCs/>
          <w:sz w:val="24"/>
          <w:szCs w:val="24"/>
        </w:rPr>
        <w:t>3</w:t>
      </w:r>
      <w:r w:rsidRPr="00B06652">
        <w:rPr>
          <w:rFonts w:ascii="Arial" w:hAnsi="Arial" w:cs="Arial"/>
          <w:b/>
          <w:bCs/>
          <w:sz w:val="24"/>
          <w:szCs w:val="24"/>
        </w:rPr>
        <w:t>.2: Percentage of LSOAs within the 10% and 20% most deprived LSOAs in Wales by cluster and local authority for the domains</w:t>
      </w:r>
      <w:r w:rsidR="00E63C74" w:rsidRPr="00B06652">
        <w:rPr>
          <w:rFonts w:ascii="Arial" w:hAnsi="Arial" w:cs="Arial"/>
          <w:b/>
          <w:bCs/>
          <w:sz w:val="24"/>
          <w:szCs w:val="24"/>
        </w:rPr>
        <w:t xml:space="preserve"> for</w:t>
      </w:r>
      <w:r w:rsidRPr="00B06652">
        <w:rPr>
          <w:rFonts w:ascii="Arial" w:hAnsi="Arial" w:cs="Arial"/>
          <w:b/>
          <w:bCs/>
          <w:sz w:val="24"/>
          <w:szCs w:val="24"/>
        </w:rPr>
        <w:t xml:space="preserve"> income, health, employment and access to services, Welsh Index of Multiple Deprivation 2014</w:t>
      </w:r>
    </w:p>
    <w:tbl>
      <w:tblPr>
        <w:tblW w:w="9019"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120"/>
        <w:gridCol w:w="860"/>
        <w:gridCol w:w="862"/>
        <w:gridCol w:w="862"/>
        <w:gridCol w:w="862"/>
        <w:gridCol w:w="861"/>
        <w:gridCol w:w="863"/>
        <w:gridCol w:w="861"/>
        <w:gridCol w:w="862"/>
        <w:gridCol w:w="6"/>
      </w:tblGrid>
      <w:tr w:rsidR="00466245" w:rsidRPr="00466245" w14:paraId="17820A26" w14:textId="77777777" w:rsidTr="00455D94">
        <w:trPr>
          <w:trHeight w:val="296"/>
        </w:trPr>
        <w:tc>
          <w:tcPr>
            <w:tcW w:w="2122" w:type="dxa"/>
            <w:shd w:val="clear" w:color="000000" w:fill="8497B0"/>
            <w:noWrap/>
            <w:vAlign w:val="bottom"/>
            <w:hideMark/>
          </w:tcPr>
          <w:p w14:paraId="32F52D34"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 </w:t>
            </w:r>
          </w:p>
        </w:tc>
        <w:tc>
          <w:tcPr>
            <w:tcW w:w="6897" w:type="dxa"/>
            <w:gridSpan w:val="9"/>
            <w:shd w:val="clear" w:color="000000" w:fill="8497B0"/>
            <w:noWrap/>
            <w:vAlign w:val="bottom"/>
            <w:hideMark/>
          </w:tcPr>
          <w:p w14:paraId="02D3EEEF" w14:textId="55F77554" w:rsidR="00466245" w:rsidRPr="00466245" w:rsidRDefault="00466245" w:rsidP="00DC54F7">
            <w:pPr>
              <w:spacing w:after="0" w:line="240" w:lineRule="auto"/>
              <w:jc w:val="both"/>
              <w:rPr>
                <w:rFonts w:eastAsia="Times New Roman" w:cstheme="minorHAnsi"/>
                <w:b/>
                <w:bCs/>
                <w:color w:val="FFFFFF"/>
                <w:lang w:eastAsia="en-GB"/>
              </w:rPr>
            </w:pPr>
            <w:r w:rsidRPr="00466245">
              <w:rPr>
                <w:rFonts w:eastAsia="Times New Roman" w:cstheme="minorHAnsi"/>
                <w:b/>
                <w:bCs/>
                <w:color w:val="FFFFFF"/>
                <w:lang w:eastAsia="en-GB"/>
              </w:rPr>
              <w:t>Number of LSOAs within the 10% and 20% most deprived LSOAs in Wales</w:t>
            </w:r>
          </w:p>
        </w:tc>
      </w:tr>
      <w:tr w:rsidR="00466245" w:rsidRPr="00466245" w14:paraId="5D1138E4" w14:textId="77777777" w:rsidTr="00455D94">
        <w:trPr>
          <w:trHeight w:val="296"/>
        </w:trPr>
        <w:tc>
          <w:tcPr>
            <w:tcW w:w="2122" w:type="dxa"/>
            <w:shd w:val="clear" w:color="000000" w:fill="8497B0"/>
            <w:noWrap/>
            <w:vAlign w:val="bottom"/>
            <w:hideMark/>
          </w:tcPr>
          <w:p w14:paraId="72CC224B"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 </w:t>
            </w:r>
          </w:p>
        </w:tc>
        <w:tc>
          <w:tcPr>
            <w:tcW w:w="1724" w:type="dxa"/>
            <w:gridSpan w:val="2"/>
            <w:shd w:val="clear" w:color="000000" w:fill="8497B0"/>
            <w:noWrap/>
            <w:vAlign w:val="bottom"/>
            <w:hideMark/>
          </w:tcPr>
          <w:p w14:paraId="1C4C7F36" w14:textId="77777777" w:rsidR="00466245" w:rsidRPr="00466245" w:rsidRDefault="00466245" w:rsidP="00DC54F7">
            <w:pPr>
              <w:spacing w:after="0" w:line="240" w:lineRule="auto"/>
              <w:jc w:val="both"/>
              <w:rPr>
                <w:rFonts w:eastAsia="Times New Roman" w:cstheme="minorHAnsi"/>
                <w:b/>
                <w:bCs/>
                <w:color w:val="FFFFFF"/>
                <w:lang w:eastAsia="en-GB"/>
              </w:rPr>
            </w:pPr>
            <w:r w:rsidRPr="00466245">
              <w:rPr>
                <w:rFonts w:eastAsia="Times New Roman" w:cstheme="minorHAnsi"/>
                <w:b/>
                <w:bCs/>
                <w:color w:val="FFFFFF"/>
                <w:lang w:eastAsia="en-GB"/>
              </w:rPr>
              <w:t>Income</w:t>
            </w:r>
          </w:p>
        </w:tc>
        <w:tc>
          <w:tcPr>
            <w:tcW w:w="1724" w:type="dxa"/>
            <w:gridSpan w:val="2"/>
            <w:shd w:val="clear" w:color="000000" w:fill="8497B0"/>
            <w:noWrap/>
            <w:vAlign w:val="bottom"/>
            <w:hideMark/>
          </w:tcPr>
          <w:p w14:paraId="3DB90253" w14:textId="77777777" w:rsidR="00466245" w:rsidRPr="00466245" w:rsidRDefault="00466245" w:rsidP="00DC54F7">
            <w:pPr>
              <w:spacing w:after="0" w:line="240" w:lineRule="auto"/>
              <w:jc w:val="both"/>
              <w:rPr>
                <w:rFonts w:eastAsia="Times New Roman" w:cstheme="minorHAnsi"/>
                <w:b/>
                <w:bCs/>
                <w:color w:val="FFFFFF"/>
                <w:lang w:eastAsia="en-GB"/>
              </w:rPr>
            </w:pPr>
            <w:r w:rsidRPr="00466245">
              <w:rPr>
                <w:rFonts w:eastAsia="Times New Roman" w:cstheme="minorHAnsi"/>
                <w:b/>
                <w:bCs/>
                <w:color w:val="FFFFFF"/>
                <w:lang w:eastAsia="en-GB"/>
              </w:rPr>
              <w:t>Health</w:t>
            </w:r>
          </w:p>
        </w:tc>
        <w:tc>
          <w:tcPr>
            <w:tcW w:w="1724" w:type="dxa"/>
            <w:gridSpan w:val="2"/>
            <w:shd w:val="clear" w:color="000000" w:fill="8497B0"/>
            <w:noWrap/>
            <w:vAlign w:val="bottom"/>
            <w:hideMark/>
          </w:tcPr>
          <w:p w14:paraId="7D9AFD78" w14:textId="77777777" w:rsidR="00466245" w:rsidRPr="00466245" w:rsidRDefault="00466245" w:rsidP="00DC54F7">
            <w:pPr>
              <w:spacing w:after="0" w:line="240" w:lineRule="auto"/>
              <w:jc w:val="both"/>
              <w:rPr>
                <w:rFonts w:eastAsia="Times New Roman" w:cstheme="minorHAnsi"/>
                <w:b/>
                <w:bCs/>
                <w:color w:val="FFFFFF"/>
                <w:lang w:eastAsia="en-GB"/>
              </w:rPr>
            </w:pPr>
            <w:r w:rsidRPr="00466245">
              <w:rPr>
                <w:rFonts w:eastAsia="Times New Roman" w:cstheme="minorHAnsi"/>
                <w:b/>
                <w:bCs/>
                <w:color w:val="FFFFFF"/>
                <w:lang w:eastAsia="en-GB"/>
              </w:rPr>
              <w:t>Employment</w:t>
            </w:r>
          </w:p>
        </w:tc>
        <w:tc>
          <w:tcPr>
            <w:tcW w:w="1725" w:type="dxa"/>
            <w:gridSpan w:val="3"/>
            <w:shd w:val="clear" w:color="000000" w:fill="8497B0"/>
            <w:noWrap/>
            <w:vAlign w:val="bottom"/>
            <w:hideMark/>
          </w:tcPr>
          <w:p w14:paraId="3DFAE432" w14:textId="77777777" w:rsidR="00466245" w:rsidRPr="00466245" w:rsidRDefault="00466245" w:rsidP="00DC54F7">
            <w:pPr>
              <w:spacing w:after="0" w:line="240" w:lineRule="auto"/>
              <w:jc w:val="both"/>
              <w:rPr>
                <w:rFonts w:eastAsia="Times New Roman" w:cstheme="minorHAnsi"/>
                <w:b/>
                <w:bCs/>
                <w:color w:val="FFFFFF"/>
                <w:lang w:eastAsia="en-GB"/>
              </w:rPr>
            </w:pPr>
            <w:r w:rsidRPr="00466245">
              <w:rPr>
                <w:rFonts w:eastAsia="Times New Roman" w:cstheme="minorHAnsi"/>
                <w:b/>
                <w:bCs/>
                <w:color w:val="FFFFFF"/>
                <w:lang w:eastAsia="en-GB"/>
              </w:rPr>
              <w:t>Access to services</w:t>
            </w:r>
          </w:p>
        </w:tc>
      </w:tr>
      <w:tr w:rsidR="00466245" w:rsidRPr="00466245" w14:paraId="4E9AC43A" w14:textId="77777777" w:rsidTr="00455D94">
        <w:trPr>
          <w:gridAfter w:val="1"/>
          <w:wAfter w:w="6" w:type="dxa"/>
          <w:trHeight w:val="296"/>
        </w:trPr>
        <w:tc>
          <w:tcPr>
            <w:tcW w:w="2122" w:type="dxa"/>
            <w:shd w:val="clear" w:color="000000" w:fill="8497B0"/>
            <w:noWrap/>
            <w:vAlign w:val="bottom"/>
            <w:hideMark/>
          </w:tcPr>
          <w:p w14:paraId="78C05DCA"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 </w:t>
            </w:r>
          </w:p>
        </w:tc>
        <w:tc>
          <w:tcPr>
            <w:tcW w:w="861" w:type="dxa"/>
            <w:shd w:val="clear" w:color="000000" w:fill="8497B0"/>
            <w:vAlign w:val="center"/>
            <w:hideMark/>
          </w:tcPr>
          <w:p w14:paraId="06DAFBDB" w14:textId="77777777" w:rsidR="00466245" w:rsidRPr="00466245" w:rsidRDefault="00466245" w:rsidP="00DC54F7">
            <w:pPr>
              <w:spacing w:after="0" w:line="240" w:lineRule="auto"/>
              <w:jc w:val="both"/>
              <w:rPr>
                <w:rFonts w:eastAsia="Times New Roman" w:cstheme="minorHAnsi"/>
                <w:b/>
                <w:bCs/>
                <w:color w:val="FFFFFF"/>
                <w:lang w:eastAsia="en-GB"/>
              </w:rPr>
            </w:pPr>
            <w:r w:rsidRPr="00466245">
              <w:rPr>
                <w:rFonts w:eastAsia="Times New Roman" w:cstheme="minorHAnsi"/>
                <w:b/>
                <w:bCs/>
                <w:color w:val="FFFFFF"/>
                <w:lang w:eastAsia="en-GB"/>
              </w:rPr>
              <w:t>10%</w:t>
            </w:r>
          </w:p>
        </w:tc>
        <w:tc>
          <w:tcPr>
            <w:tcW w:w="861" w:type="dxa"/>
            <w:shd w:val="clear" w:color="000000" w:fill="8497B0"/>
            <w:vAlign w:val="center"/>
            <w:hideMark/>
          </w:tcPr>
          <w:p w14:paraId="19FCC293" w14:textId="77777777" w:rsidR="00466245" w:rsidRPr="00466245" w:rsidRDefault="00466245" w:rsidP="00DC54F7">
            <w:pPr>
              <w:spacing w:after="0" w:line="240" w:lineRule="auto"/>
              <w:jc w:val="both"/>
              <w:rPr>
                <w:rFonts w:eastAsia="Times New Roman" w:cstheme="minorHAnsi"/>
                <w:b/>
                <w:bCs/>
                <w:color w:val="FFFFFF"/>
                <w:lang w:eastAsia="en-GB"/>
              </w:rPr>
            </w:pPr>
            <w:r w:rsidRPr="00466245">
              <w:rPr>
                <w:rFonts w:eastAsia="Times New Roman" w:cstheme="minorHAnsi"/>
                <w:b/>
                <w:bCs/>
                <w:color w:val="FFFFFF"/>
                <w:lang w:eastAsia="en-GB"/>
              </w:rPr>
              <w:t>20%</w:t>
            </w:r>
          </w:p>
        </w:tc>
        <w:tc>
          <w:tcPr>
            <w:tcW w:w="862" w:type="dxa"/>
            <w:shd w:val="clear" w:color="000000" w:fill="8497B0"/>
            <w:vAlign w:val="center"/>
            <w:hideMark/>
          </w:tcPr>
          <w:p w14:paraId="10C135DB" w14:textId="77777777" w:rsidR="00466245" w:rsidRPr="00466245" w:rsidRDefault="00466245" w:rsidP="00DC54F7">
            <w:pPr>
              <w:spacing w:after="0" w:line="240" w:lineRule="auto"/>
              <w:jc w:val="both"/>
              <w:rPr>
                <w:rFonts w:eastAsia="Times New Roman" w:cstheme="minorHAnsi"/>
                <w:b/>
                <w:bCs/>
                <w:color w:val="FFFFFF"/>
                <w:lang w:eastAsia="en-GB"/>
              </w:rPr>
            </w:pPr>
            <w:r w:rsidRPr="00466245">
              <w:rPr>
                <w:rFonts w:eastAsia="Times New Roman" w:cstheme="minorHAnsi"/>
                <w:b/>
                <w:bCs/>
                <w:color w:val="FFFFFF"/>
                <w:lang w:eastAsia="en-GB"/>
              </w:rPr>
              <w:t>10%</w:t>
            </w:r>
          </w:p>
        </w:tc>
        <w:tc>
          <w:tcPr>
            <w:tcW w:w="861" w:type="dxa"/>
            <w:shd w:val="clear" w:color="000000" w:fill="8497B0"/>
            <w:vAlign w:val="center"/>
            <w:hideMark/>
          </w:tcPr>
          <w:p w14:paraId="5F3BCBBA" w14:textId="77777777" w:rsidR="00466245" w:rsidRPr="00466245" w:rsidRDefault="00466245" w:rsidP="00DC54F7">
            <w:pPr>
              <w:spacing w:after="0" w:line="240" w:lineRule="auto"/>
              <w:jc w:val="both"/>
              <w:rPr>
                <w:rFonts w:eastAsia="Times New Roman" w:cstheme="minorHAnsi"/>
                <w:b/>
                <w:bCs/>
                <w:color w:val="FFFFFF"/>
                <w:lang w:eastAsia="en-GB"/>
              </w:rPr>
            </w:pPr>
            <w:r w:rsidRPr="00466245">
              <w:rPr>
                <w:rFonts w:eastAsia="Times New Roman" w:cstheme="minorHAnsi"/>
                <w:b/>
                <w:bCs/>
                <w:color w:val="FFFFFF"/>
                <w:lang w:eastAsia="en-GB"/>
              </w:rPr>
              <w:t>20%</w:t>
            </w:r>
          </w:p>
        </w:tc>
        <w:tc>
          <w:tcPr>
            <w:tcW w:w="861" w:type="dxa"/>
            <w:shd w:val="clear" w:color="000000" w:fill="8497B0"/>
            <w:vAlign w:val="center"/>
            <w:hideMark/>
          </w:tcPr>
          <w:p w14:paraId="14038F1E" w14:textId="77777777" w:rsidR="00466245" w:rsidRPr="00466245" w:rsidRDefault="00466245" w:rsidP="00DC54F7">
            <w:pPr>
              <w:spacing w:after="0" w:line="240" w:lineRule="auto"/>
              <w:jc w:val="both"/>
              <w:rPr>
                <w:rFonts w:eastAsia="Times New Roman" w:cstheme="minorHAnsi"/>
                <w:b/>
                <w:bCs/>
                <w:color w:val="FFFFFF"/>
                <w:lang w:eastAsia="en-GB"/>
              </w:rPr>
            </w:pPr>
            <w:r w:rsidRPr="00466245">
              <w:rPr>
                <w:rFonts w:eastAsia="Times New Roman" w:cstheme="minorHAnsi"/>
                <w:b/>
                <w:bCs/>
                <w:color w:val="FFFFFF"/>
                <w:lang w:eastAsia="en-GB"/>
              </w:rPr>
              <w:t>10%</w:t>
            </w:r>
          </w:p>
        </w:tc>
        <w:tc>
          <w:tcPr>
            <w:tcW w:w="862" w:type="dxa"/>
            <w:shd w:val="clear" w:color="000000" w:fill="8497B0"/>
            <w:vAlign w:val="center"/>
            <w:hideMark/>
          </w:tcPr>
          <w:p w14:paraId="67961EA1" w14:textId="77777777" w:rsidR="00466245" w:rsidRPr="00466245" w:rsidRDefault="00466245" w:rsidP="00DC54F7">
            <w:pPr>
              <w:spacing w:after="0" w:line="240" w:lineRule="auto"/>
              <w:jc w:val="both"/>
              <w:rPr>
                <w:rFonts w:eastAsia="Times New Roman" w:cstheme="minorHAnsi"/>
                <w:b/>
                <w:bCs/>
                <w:color w:val="FFFFFF"/>
                <w:lang w:eastAsia="en-GB"/>
              </w:rPr>
            </w:pPr>
            <w:r w:rsidRPr="00466245">
              <w:rPr>
                <w:rFonts w:eastAsia="Times New Roman" w:cstheme="minorHAnsi"/>
                <w:b/>
                <w:bCs/>
                <w:color w:val="FFFFFF"/>
                <w:lang w:eastAsia="en-GB"/>
              </w:rPr>
              <w:t>20%</w:t>
            </w:r>
          </w:p>
        </w:tc>
        <w:tc>
          <w:tcPr>
            <w:tcW w:w="861" w:type="dxa"/>
            <w:shd w:val="clear" w:color="000000" w:fill="8497B0"/>
            <w:vAlign w:val="center"/>
            <w:hideMark/>
          </w:tcPr>
          <w:p w14:paraId="0521F131" w14:textId="77777777" w:rsidR="00466245" w:rsidRPr="00466245" w:rsidRDefault="00466245" w:rsidP="00DC54F7">
            <w:pPr>
              <w:spacing w:after="0" w:line="240" w:lineRule="auto"/>
              <w:jc w:val="both"/>
              <w:rPr>
                <w:rFonts w:eastAsia="Times New Roman" w:cstheme="minorHAnsi"/>
                <w:b/>
                <w:bCs/>
                <w:color w:val="FFFFFF"/>
                <w:lang w:eastAsia="en-GB"/>
              </w:rPr>
            </w:pPr>
            <w:r w:rsidRPr="00466245">
              <w:rPr>
                <w:rFonts w:eastAsia="Times New Roman" w:cstheme="minorHAnsi"/>
                <w:b/>
                <w:bCs/>
                <w:color w:val="FFFFFF"/>
                <w:lang w:eastAsia="en-GB"/>
              </w:rPr>
              <w:t>10%</w:t>
            </w:r>
          </w:p>
        </w:tc>
        <w:tc>
          <w:tcPr>
            <w:tcW w:w="862" w:type="dxa"/>
            <w:shd w:val="clear" w:color="000000" w:fill="8497B0"/>
            <w:vAlign w:val="center"/>
            <w:hideMark/>
          </w:tcPr>
          <w:p w14:paraId="022E8B18" w14:textId="77777777" w:rsidR="00466245" w:rsidRPr="00466245" w:rsidRDefault="00466245" w:rsidP="00DC54F7">
            <w:pPr>
              <w:spacing w:after="0" w:line="240" w:lineRule="auto"/>
              <w:jc w:val="both"/>
              <w:rPr>
                <w:rFonts w:eastAsia="Times New Roman" w:cstheme="minorHAnsi"/>
                <w:b/>
                <w:bCs/>
                <w:color w:val="FFFFFF"/>
                <w:lang w:eastAsia="en-GB"/>
              </w:rPr>
            </w:pPr>
            <w:r w:rsidRPr="00466245">
              <w:rPr>
                <w:rFonts w:eastAsia="Times New Roman" w:cstheme="minorHAnsi"/>
                <w:b/>
                <w:bCs/>
                <w:color w:val="FFFFFF"/>
                <w:lang w:eastAsia="en-GB"/>
              </w:rPr>
              <w:t>20%</w:t>
            </w:r>
          </w:p>
        </w:tc>
      </w:tr>
      <w:tr w:rsidR="00466245" w:rsidRPr="00466245" w14:paraId="2ED799B0" w14:textId="77777777" w:rsidTr="00455D94">
        <w:trPr>
          <w:gridAfter w:val="1"/>
          <w:wAfter w:w="6" w:type="dxa"/>
          <w:trHeight w:val="296"/>
        </w:trPr>
        <w:tc>
          <w:tcPr>
            <w:tcW w:w="2122" w:type="dxa"/>
            <w:shd w:val="clear" w:color="000000" w:fill="F2F2F2"/>
            <w:noWrap/>
            <w:vAlign w:val="bottom"/>
            <w:hideMark/>
          </w:tcPr>
          <w:p w14:paraId="2266BADE"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Central Vale</w:t>
            </w:r>
          </w:p>
        </w:tc>
        <w:tc>
          <w:tcPr>
            <w:tcW w:w="861" w:type="dxa"/>
            <w:shd w:val="clear" w:color="000000" w:fill="F2F2F2"/>
            <w:noWrap/>
            <w:vAlign w:val="bottom"/>
            <w:hideMark/>
          </w:tcPr>
          <w:p w14:paraId="5A1BA04D"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5</w:t>
            </w:r>
          </w:p>
        </w:tc>
        <w:tc>
          <w:tcPr>
            <w:tcW w:w="861" w:type="dxa"/>
            <w:shd w:val="clear" w:color="000000" w:fill="F2F2F2"/>
            <w:noWrap/>
            <w:vAlign w:val="bottom"/>
            <w:hideMark/>
          </w:tcPr>
          <w:p w14:paraId="70E19904"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13</w:t>
            </w:r>
          </w:p>
        </w:tc>
        <w:tc>
          <w:tcPr>
            <w:tcW w:w="862" w:type="dxa"/>
            <w:shd w:val="clear" w:color="000000" w:fill="F2F2F2"/>
            <w:noWrap/>
            <w:vAlign w:val="bottom"/>
            <w:hideMark/>
          </w:tcPr>
          <w:p w14:paraId="19B80FA3"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4</w:t>
            </w:r>
          </w:p>
        </w:tc>
        <w:tc>
          <w:tcPr>
            <w:tcW w:w="861" w:type="dxa"/>
            <w:shd w:val="clear" w:color="000000" w:fill="F2F2F2"/>
            <w:noWrap/>
            <w:vAlign w:val="bottom"/>
            <w:hideMark/>
          </w:tcPr>
          <w:p w14:paraId="453CAA52"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8</w:t>
            </w:r>
          </w:p>
        </w:tc>
        <w:tc>
          <w:tcPr>
            <w:tcW w:w="861" w:type="dxa"/>
            <w:shd w:val="clear" w:color="000000" w:fill="F2F2F2"/>
            <w:noWrap/>
            <w:vAlign w:val="bottom"/>
            <w:hideMark/>
          </w:tcPr>
          <w:p w14:paraId="435ED7EB"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4</w:t>
            </w:r>
          </w:p>
        </w:tc>
        <w:tc>
          <w:tcPr>
            <w:tcW w:w="862" w:type="dxa"/>
            <w:shd w:val="clear" w:color="000000" w:fill="F2F2F2"/>
            <w:noWrap/>
            <w:vAlign w:val="bottom"/>
            <w:hideMark/>
          </w:tcPr>
          <w:p w14:paraId="288E1AD4"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11</w:t>
            </w:r>
          </w:p>
        </w:tc>
        <w:tc>
          <w:tcPr>
            <w:tcW w:w="861" w:type="dxa"/>
            <w:shd w:val="clear" w:color="000000" w:fill="F2F2F2"/>
            <w:noWrap/>
            <w:vAlign w:val="bottom"/>
            <w:hideMark/>
          </w:tcPr>
          <w:p w14:paraId="6EA8034A"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0</w:t>
            </w:r>
          </w:p>
        </w:tc>
        <w:tc>
          <w:tcPr>
            <w:tcW w:w="862" w:type="dxa"/>
            <w:shd w:val="clear" w:color="000000" w:fill="F2F2F2"/>
            <w:noWrap/>
            <w:vAlign w:val="bottom"/>
            <w:hideMark/>
          </w:tcPr>
          <w:p w14:paraId="3E932AA4"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0</w:t>
            </w:r>
          </w:p>
        </w:tc>
      </w:tr>
      <w:tr w:rsidR="00466245" w:rsidRPr="00466245" w14:paraId="37B16144" w14:textId="77777777" w:rsidTr="00455D94">
        <w:trPr>
          <w:gridAfter w:val="1"/>
          <w:wAfter w:w="6" w:type="dxa"/>
          <w:trHeight w:val="296"/>
        </w:trPr>
        <w:tc>
          <w:tcPr>
            <w:tcW w:w="2122" w:type="dxa"/>
            <w:shd w:val="clear" w:color="auto" w:fill="auto"/>
            <w:noWrap/>
            <w:vAlign w:val="bottom"/>
            <w:hideMark/>
          </w:tcPr>
          <w:p w14:paraId="202FD30D"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Eastern Vale</w:t>
            </w:r>
          </w:p>
        </w:tc>
        <w:tc>
          <w:tcPr>
            <w:tcW w:w="861" w:type="dxa"/>
            <w:shd w:val="clear" w:color="auto" w:fill="auto"/>
            <w:noWrap/>
            <w:vAlign w:val="bottom"/>
            <w:hideMark/>
          </w:tcPr>
          <w:p w14:paraId="65C05297"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0</w:t>
            </w:r>
          </w:p>
        </w:tc>
        <w:tc>
          <w:tcPr>
            <w:tcW w:w="861" w:type="dxa"/>
            <w:shd w:val="clear" w:color="auto" w:fill="auto"/>
            <w:noWrap/>
            <w:vAlign w:val="bottom"/>
            <w:hideMark/>
          </w:tcPr>
          <w:p w14:paraId="1E2D65E4"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0</w:t>
            </w:r>
          </w:p>
        </w:tc>
        <w:tc>
          <w:tcPr>
            <w:tcW w:w="862" w:type="dxa"/>
            <w:shd w:val="clear" w:color="auto" w:fill="auto"/>
            <w:noWrap/>
            <w:vAlign w:val="bottom"/>
            <w:hideMark/>
          </w:tcPr>
          <w:p w14:paraId="4EAA990B"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0</w:t>
            </w:r>
          </w:p>
        </w:tc>
        <w:tc>
          <w:tcPr>
            <w:tcW w:w="861" w:type="dxa"/>
            <w:shd w:val="clear" w:color="auto" w:fill="auto"/>
            <w:noWrap/>
            <w:vAlign w:val="bottom"/>
            <w:hideMark/>
          </w:tcPr>
          <w:p w14:paraId="01BE2433"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0</w:t>
            </w:r>
          </w:p>
        </w:tc>
        <w:tc>
          <w:tcPr>
            <w:tcW w:w="861" w:type="dxa"/>
            <w:shd w:val="clear" w:color="auto" w:fill="auto"/>
            <w:noWrap/>
            <w:vAlign w:val="bottom"/>
            <w:hideMark/>
          </w:tcPr>
          <w:p w14:paraId="767F6CE6"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0</w:t>
            </w:r>
          </w:p>
        </w:tc>
        <w:tc>
          <w:tcPr>
            <w:tcW w:w="862" w:type="dxa"/>
            <w:shd w:val="clear" w:color="auto" w:fill="auto"/>
            <w:noWrap/>
            <w:vAlign w:val="bottom"/>
            <w:hideMark/>
          </w:tcPr>
          <w:p w14:paraId="1181B27D"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0</w:t>
            </w:r>
          </w:p>
        </w:tc>
        <w:tc>
          <w:tcPr>
            <w:tcW w:w="861" w:type="dxa"/>
            <w:shd w:val="clear" w:color="auto" w:fill="auto"/>
            <w:noWrap/>
            <w:vAlign w:val="bottom"/>
            <w:hideMark/>
          </w:tcPr>
          <w:p w14:paraId="37A9246D"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0</w:t>
            </w:r>
          </w:p>
        </w:tc>
        <w:tc>
          <w:tcPr>
            <w:tcW w:w="862" w:type="dxa"/>
            <w:shd w:val="clear" w:color="auto" w:fill="auto"/>
            <w:noWrap/>
            <w:vAlign w:val="bottom"/>
            <w:hideMark/>
          </w:tcPr>
          <w:p w14:paraId="6EE73A38"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0</w:t>
            </w:r>
          </w:p>
        </w:tc>
      </w:tr>
      <w:tr w:rsidR="00466245" w:rsidRPr="00466245" w14:paraId="410D9D25" w14:textId="77777777" w:rsidTr="00455D94">
        <w:trPr>
          <w:gridAfter w:val="1"/>
          <w:wAfter w:w="6" w:type="dxa"/>
          <w:trHeight w:val="296"/>
        </w:trPr>
        <w:tc>
          <w:tcPr>
            <w:tcW w:w="2122" w:type="dxa"/>
            <w:shd w:val="clear" w:color="000000" w:fill="F2F2F2"/>
            <w:noWrap/>
            <w:vAlign w:val="bottom"/>
            <w:hideMark/>
          </w:tcPr>
          <w:p w14:paraId="2AED4F56"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Western Vale</w:t>
            </w:r>
          </w:p>
        </w:tc>
        <w:tc>
          <w:tcPr>
            <w:tcW w:w="861" w:type="dxa"/>
            <w:shd w:val="clear" w:color="000000" w:fill="F2F2F2"/>
            <w:noWrap/>
            <w:vAlign w:val="bottom"/>
            <w:hideMark/>
          </w:tcPr>
          <w:p w14:paraId="6D0963B7"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0</w:t>
            </w:r>
          </w:p>
        </w:tc>
        <w:tc>
          <w:tcPr>
            <w:tcW w:w="861" w:type="dxa"/>
            <w:shd w:val="clear" w:color="000000" w:fill="F2F2F2"/>
            <w:noWrap/>
            <w:vAlign w:val="bottom"/>
            <w:hideMark/>
          </w:tcPr>
          <w:p w14:paraId="1C435CA4"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0</w:t>
            </w:r>
          </w:p>
        </w:tc>
        <w:tc>
          <w:tcPr>
            <w:tcW w:w="862" w:type="dxa"/>
            <w:shd w:val="clear" w:color="000000" w:fill="F2F2F2"/>
            <w:noWrap/>
            <w:vAlign w:val="bottom"/>
            <w:hideMark/>
          </w:tcPr>
          <w:p w14:paraId="5F45CE7A"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0</w:t>
            </w:r>
          </w:p>
        </w:tc>
        <w:tc>
          <w:tcPr>
            <w:tcW w:w="861" w:type="dxa"/>
            <w:shd w:val="clear" w:color="000000" w:fill="F2F2F2"/>
            <w:noWrap/>
            <w:vAlign w:val="bottom"/>
            <w:hideMark/>
          </w:tcPr>
          <w:p w14:paraId="140F026D"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0</w:t>
            </w:r>
          </w:p>
        </w:tc>
        <w:tc>
          <w:tcPr>
            <w:tcW w:w="861" w:type="dxa"/>
            <w:shd w:val="clear" w:color="000000" w:fill="F2F2F2"/>
            <w:noWrap/>
            <w:vAlign w:val="bottom"/>
            <w:hideMark/>
          </w:tcPr>
          <w:p w14:paraId="1EDCDCDA"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0</w:t>
            </w:r>
          </w:p>
        </w:tc>
        <w:tc>
          <w:tcPr>
            <w:tcW w:w="862" w:type="dxa"/>
            <w:shd w:val="clear" w:color="000000" w:fill="F2F2F2"/>
            <w:noWrap/>
            <w:vAlign w:val="bottom"/>
            <w:hideMark/>
          </w:tcPr>
          <w:p w14:paraId="1A115517"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0</w:t>
            </w:r>
          </w:p>
        </w:tc>
        <w:tc>
          <w:tcPr>
            <w:tcW w:w="861" w:type="dxa"/>
            <w:shd w:val="clear" w:color="000000" w:fill="F2F2F2"/>
            <w:noWrap/>
            <w:vAlign w:val="bottom"/>
            <w:hideMark/>
          </w:tcPr>
          <w:p w14:paraId="25FA082F"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3</w:t>
            </w:r>
          </w:p>
        </w:tc>
        <w:tc>
          <w:tcPr>
            <w:tcW w:w="862" w:type="dxa"/>
            <w:shd w:val="clear" w:color="000000" w:fill="F2F2F2"/>
            <w:noWrap/>
            <w:vAlign w:val="bottom"/>
            <w:hideMark/>
          </w:tcPr>
          <w:p w14:paraId="0418A8BA"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6</w:t>
            </w:r>
          </w:p>
        </w:tc>
      </w:tr>
      <w:tr w:rsidR="00466245" w:rsidRPr="00466245" w14:paraId="347B2D27" w14:textId="77777777" w:rsidTr="00455D94">
        <w:trPr>
          <w:gridAfter w:val="1"/>
          <w:wAfter w:w="6" w:type="dxa"/>
          <w:trHeight w:val="296"/>
        </w:trPr>
        <w:tc>
          <w:tcPr>
            <w:tcW w:w="2122" w:type="dxa"/>
            <w:shd w:val="clear" w:color="auto" w:fill="auto"/>
            <w:noWrap/>
            <w:vAlign w:val="bottom"/>
            <w:hideMark/>
          </w:tcPr>
          <w:p w14:paraId="42526969"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Vale of Glamorgan</w:t>
            </w:r>
          </w:p>
        </w:tc>
        <w:tc>
          <w:tcPr>
            <w:tcW w:w="861" w:type="dxa"/>
            <w:shd w:val="clear" w:color="auto" w:fill="auto"/>
            <w:noWrap/>
            <w:vAlign w:val="bottom"/>
            <w:hideMark/>
          </w:tcPr>
          <w:p w14:paraId="6EA2BA3B"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5</w:t>
            </w:r>
          </w:p>
        </w:tc>
        <w:tc>
          <w:tcPr>
            <w:tcW w:w="861" w:type="dxa"/>
            <w:shd w:val="clear" w:color="auto" w:fill="auto"/>
            <w:noWrap/>
            <w:vAlign w:val="bottom"/>
            <w:hideMark/>
          </w:tcPr>
          <w:p w14:paraId="73CF6882"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13</w:t>
            </w:r>
          </w:p>
        </w:tc>
        <w:tc>
          <w:tcPr>
            <w:tcW w:w="862" w:type="dxa"/>
            <w:shd w:val="clear" w:color="auto" w:fill="auto"/>
            <w:noWrap/>
            <w:vAlign w:val="bottom"/>
            <w:hideMark/>
          </w:tcPr>
          <w:p w14:paraId="76E945D3"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4</w:t>
            </w:r>
          </w:p>
        </w:tc>
        <w:tc>
          <w:tcPr>
            <w:tcW w:w="861" w:type="dxa"/>
            <w:shd w:val="clear" w:color="auto" w:fill="auto"/>
            <w:noWrap/>
            <w:vAlign w:val="bottom"/>
            <w:hideMark/>
          </w:tcPr>
          <w:p w14:paraId="6E28A091"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8</w:t>
            </w:r>
          </w:p>
        </w:tc>
        <w:tc>
          <w:tcPr>
            <w:tcW w:w="861" w:type="dxa"/>
            <w:shd w:val="clear" w:color="auto" w:fill="auto"/>
            <w:noWrap/>
            <w:vAlign w:val="bottom"/>
            <w:hideMark/>
          </w:tcPr>
          <w:p w14:paraId="27A4D0B1"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4</w:t>
            </w:r>
          </w:p>
        </w:tc>
        <w:tc>
          <w:tcPr>
            <w:tcW w:w="862" w:type="dxa"/>
            <w:shd w:val="clear" w:color="auto" w:fill="auto"/>
            <w:noWrap/>
            <w:vAlign w:val="bottom"/>
            <w:hideMark/>
          </w:tcPr>
          <w:p w14:paraId="78E6CD12"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11</w:t>
            </w:r>
          </w:p>
        </w:tc>
        <w:tc>
          <w:tcPr>
            <w:tcW w:w="861" w:type="dxa"/>
            <w:shd w:val="clear" w:color="auto" w:fill="auto"/>
            <w:noWrap/>
            <w:vAlign w:val="bottom"/>
            <w:hideMark/>
          </w:tcPr>
          <w:p w14:paraId="49562346"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3</w:t>
            </w:r>
          </w:p>
        </w:tc>
        <w:tc>
          <w:tcPr>
            <w:tcW w:w="862" w:type="dxa"/>
            <w:shd w:val="clear" w:color="auto" w:fill="auto"/>
            <w:noWrap/>
            <w:vAlign w:val="bottom"/>
            <w:hideMark/>
          </w:tcPr>
          <w:p w14:paraId="08941876"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6</w:t>
            </w:r>
          </w:p>
        </w:tc>
      </w:tr>
      <w:tr w:rsidR="00466245" w:rsidRPr="00466245" w14:paraId="33CFA5A1" w14:textId="77777777" w:rsidTr="00455D94">
        <w:trPr>
          <w:gridAfter w:val="1"/>
          <w:wAfter w:w="6" w:type="dxa"/>
          <w:trHeight w:val="296"/>
        </w:trPr>
        <w:tc>
          <w:tcPr>
            <w:tcW w:w="2122" w:type="dxa"/>
            <w:shd w:val="clear" w:color="000000" w:fill="F2F2F2"/>
            <w:noWrap/>
            <w:vAlign w:val="bottom"/>
            <w:hideMark/>
          </w:tcPr>
          <w:p w14:paraId="747FF32D"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Cardiff and Vale UHB</w:t>
            </w:r>
          </w:p>
        </w:tc>
        <w:tc>
          <w:tcPr>
            <w:tcW w:w="861" w:type="dxa"/>
            <w:shd w:val="clear" w:color="000000" w:fill="F2F2F2"/>
            <w:noWrap/>
            <w:vAlign w:val="bottom"/>
            <w:hideMark/>
          </w:tcPr>
          <w:p w14:paraId="6BA10686"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46</w:t>
            </w:r>
          </w:p>
        </w:tc>
        <w:tc>
          <w:tcPr>
            <w:tcW w:w="861" w:type="dxa"/>
            <w:shd w:val="clear" w:color="000000" w:fill="F2F2F2"/>
            <w:noWrap/>
            <w:vAlign w:val="bottom"/>
            <w:hideMark/>
          </w:tcPr>
          <w:p w14:paraId="1B842237"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72</w:t>
            </w:r>
          </w:p>
        </w:tc>
        <w:tc>
          <w:tcPr>
            <w:tcW w:w="862" w:type="dxa"/>
            <w:shd w:val="clear" w:color="000000" w:fill="F2F2F2"/>
            <w:noWrap/>
            <w:vAlign w:val="bottom"/>
            <w:hideMark/>
          </w:tcPr>
          <w:p w14:paraId="3721623C"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38</w:t>
            </w:r>
          </w:p>
        </w:tc>
        <w:tc>
          <w:tcPr>
            <w:tcW w:w="861" w:type="dxa"/>
            <w:shd w:val="clear" w:color="000000" w:fill="F2F2F2"/>
            <w:noWrap/>
            <w:vAlign w:val="bottom"/>
            <w:hideMark/>
          </w:tcPr>
          <w:p w14:paraId="16C271DD"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64</w:t>
            </w:r>
          </w:p>
        </w:tc>
        <w:tc>
          <w:tcPr>
            <w:tcW w:w="861" w:type="dxa"/>
            <w:shd w:val="clear" w:color="000000" w:fill="F2F2F2"/>
            <w:noWrap/>
            <w:vAlign w:val="bottom"/>
            <w:hideMark/>
          </w:tcPr>
          <w:p w14:paraId="3C96EB80"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34</w:t>
            </w:r>
          </w:p>
        </w:tc>
        <w:tc>
          <w:tcPr>
            <w:tcW w:w="862" w:type="dxa"/>
            <w:shd w:val="clear" w:color="000000" w:fill="F2F2F2"/>
            <w:noWrap/>
            <w:vAlign w:val="bottom"/>
            <w:hideMark/>
          </w:tcPr>
          <w:p w14:paraId="04D55A88"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51</w:t>
            </w:r>
          </w:p>
        </w:tc>
        <w:tc>
          <w:tcPr>
            <w:tcW w:w="861" w:type="dxa"/>
            <w:shd w:val="clear" w:color="000000" w:fill="F2F2F2"/>
            <w:noWrap/>
            <w:vAlign w:val="bottom"/>
            <w:hideMark/>
          </w:tcPr>
          <w:p w14:paraId="07FEBC65"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3</w:t>
            </w:r>
          </w:p>
        </w:tc>
        <w:tc>
          <w:tcPr>
            <w:tcW w:w="862" w:type="dxa"/>
            <w:shd w:val="clear" w:color="000000" w:fill="F2F2F2"/>
            <w:noWrap/>
            <w:vAlign w:val="bottom"/>
            <w:hideMark/>
          </w:tcPr>
          <w:p w14:paraId="528E2FE1" w14:textId="77777777" w:rsidR="00466245" w:rsidRPr="00466245" w:rsidRDefault="00466245" w:rsidP="00DC54F7">
            <w:pPr>
              <w:spacing w:after="0" w:line="240" w:lineRule="auto"/>
              <w:jc w:val="both"/>
              <w:rPr>
                <w:rFonts w:eastAsia="Times New Roman" w:cstheme="minorHAnsi"/>
                <w:color w:val="000000"/>
                <w:lang w:eastAsia="en-GB"/>
              </w:rPr>
            </w:pPr>
            <w:r w:rsidRPr="00466245">
              <w:rPr>
                <w:rFonts w:eastAsia="Times New Roman" w:cstheme="minorHAnsi"/>
                <w:color w:val="000000"/>
                <w:lang w:eastAsia="en-GB"/>
              </w:rPr>
              <w:t>15</w:t>
            </w:r>
          </w:p>
        </w:tc>
      </w:tr>
    </w:tbl>
    <w:p w14:paraId="27222A44" w14:textId="429B086E" w:rsidR="006A52B7" w:rsidRPr="00FF1EE9" w:rsidRDefault="006A52B7" w:rsidP="00DC54F7">
      <w:pPr>
        <w:spacing w:after="0" w:line="240" w:lineRule="auto"/>
        <w:jc w:val="both"/>
        <w:rPr>
          <w:rFonts w:ascii="Arial" w:hAnsi="Arial" w:cs="Arial"/>
          <w:b/>
          <w:bCs/>
          <w:sz w:val="20"/>
          <w:szCs w:val="20"/>
        </w:rPr>
      </w:pPr>
      <w:r w:rsidRPr="00FF1EE9">
        <w:rPr>
          <w:rFonts w:ascii="Arial" w:hAnsi="Arial" w:cs="Arial"/>
          <w:sz w:val="20"/>
          <w:szCs w:val="20"/>
        </w:rPr>
        <w:t>Source: Welsh Index of Multiple Deprivation 2014, Welsh Government</w:t>
      </w:r>
    </w:p>
    <w:p w14:paraId="64BC2A86" w14:textId="77777777" w:rsidR="006A52B7" w:rsidRDefault="006A52B7" w:rsidP="00DC54F7">
      <w:pPr>
        <w:spacing w:after="0" w:line="240" w:lineRule="auto"/>
        <w:jc w:val="both"/>
        <w:rPr>
          <w:rFonts w:ascii="Arial" w:hAnsi="Arial" w:cs="Arial"/>
        </w:rPr>
      </w:pPr>
    </w:p>
    <w:p w14:paraId="21B83CE2" w14:textId="7F720B29" w:rsidR="006A52B7" w:rsidRPr="00B06652" w:rsidRDefault="008F7D65" w:rsidP="00DC54F7">
      <w:pPr>
        <w:spacing w:after="0" w:line="240" w:lineRule="auto"/>
        <w:jc w:val="both"/>
        <w:rPr>
          <w:rFonts w:ascii="Arial" w:hAnsi="Arial" w:cs="Arial"/>
          <w:color w:val="000000" w:themeColor="text1"/>
          <w:sz w:val="24"/>
          <w:szCs w:val="24"/>
        </w:rPr>
      </w:pPr>
      <w:r w:rsidRPr="00B06652">
        <w:rPr>
          <w:rFonts w:ascii="Arial" w:hAnsi="Arial" w:cs="Arial"/>
          <w:sz w:val="24"/>
          <w:szCs w:val="24"/>
        </w:rPr>
        <w:t xml:space="preserve">The map below provides an indication of the overall levels of deprivation within the cluster. </w:t>
      </w:r>
      <w:r w:rsidR="006A52B7" w:rsidRPr="00B06652">
        <w:rPr>
          <w:rFonts w:ascii="Arial" w:hAnsi="Arial" w:cs="Arial"/>
          <w:sz w:val="24"/>
          <w:szCs w:val="24"/>
        </w:rPr>
        <w:t xml:space="preserve">As can be seen from the map, </w:t>
      </w:r>
      <w:r w:rsidR="00E63C74" w:rsidRPr="00B06652">
        <w:rPr>
          <w:rFonts w:ascii="Arial" w:hAnsi="Arial" w:cs="Arial"/>
          <w:sz w:val="24"/>
          <w:szCs w:val="24"/>
        </w:rPr>
        <w:t xml:space="preserve">the majority of </w:t>
      </w:r>
      <w:r w:rsidR="006A52B7" w:rsidRPr="00B06652">
        <w:rPr>
          <w:rFonts w:ascii="Arial" w:hAnsi="Arial" w:cs="Arial"/>
          <w:sz w:val="24"/>
          <w:szCs w:val="24"/>
        </w:rPr>
        <w:t xml:space="preserve">pharmacies are located within or near areas of higher deprivation. </w:t>
      </w:r>
    </w:p>
    <w:p w14:paraId="34047AA7" w14:textId="77777777" w:rsidR="006A52B7" w:rsidRPr="00B06652" w:rsidRDefault="006A52B7" w:rsidP="00DC54F7">
      <w:pPr>
        <w:spacing w:after="0" w:line="240" w:lineRule="auto"/>
        <w:jc w:val="both"/>
        <w:rPr>
          <w:rFonts w:ascii="Arial" w:hAnsi="Arial" w:cs="Arial"/>
          <w:b/>
          <w:sz w:val="24"/>
          <w:szCs w:val="24"/>
        </w:rPr>
      </w:pPr>
    </w:p>
    <w:p w14:paraId="217AFD8A" w14:textId="77777777" w:rsidR="00CD7A5C" w:rsidRDefault="00CD7A5C" w:rsidP="00DC54F7">
      <w:pPr>
        <w:spacing w:after="0" w:line="240" w:lineRule="auto"/>
        <w:jc w:val="both"/>
        <w:rPr>
          <w:rFonts w:ascii="Arial" w:hAnsi="Arial" w:cs="Arial"/>
          <w:b/>
          <w:sz w:val="24"/>
          <w:szCs w:val="24"/>
        </w:rPr>
      </w:pPr>
    </w:p>
    <w:p w14:paraId="451AE7CD" w14:textId="77777777" w:rsidR="00CD7A5C" w:rsidRDefault="00CD7A5C" w:rsidP="00DC54F7">
      <w:pPr>
        <w:spacing w:after="0" w:line="240" w:lineRule="auto"/>
        <w:jc w:val="both"/>
        <w:rPr>
          <w:rFonts w:ascii="Arial" w:hAnsi="Arial" w:cs="Arial"/>
          <w:b/>
          <w:sz w:val="24"/>
          <w:szCs w:val="24"/>
        </w:rPr>
      </w:pPr>
    </w:p>
    <w:p w14:paraId="66C7F450" w14:textId="77777777" w:rsidR="00CD7A5C" w:rsidRDefault="00CD7A5C" w:rsidP="00DC54F7">
      <w:pPr>
        <w:spacing w:after="0" w:line="240" w:lineRule="auto"/>
        <w:jc w:val="both"/>
        <w:rPr>
          <w:rFonts w:ascii="Arial" w:hAnsi="Arial" w:cs="Arial"/>
          <w:b/>
          <w:sz w:val="24"/>
          <w:szCs w:val="24"/>
        </w:rPr>
      </w:pPr>
    </w:p>
    <w:p w14:paraId="054BF15B" w14:textId="4D76E076" w:rsidR="00CD7A5C" w:rsidRDefault="00CD7A5C" w:rsidP="00DC54F7">
      <w:pPr>
        <w:jc w:val="both"/>
        <w:rPr>
          <w:rFonts w:ascii="Arial" w:hAnsi="Arial" w:cs="Arial"/>
          <w:b/>
          <w:sz w:val="24"/>
          <w:szCs w:val="24"/>
        </w:rPr>
      </w:pPr>
      <w:r>
        <w:rPr>
          <w:rFonts w:ascii="Arial" w:hAnsi="Arial" w:cs="Arial"/>
          <w:b/>
          <w:sz w:val="24"/>
          <w:szCs w:val="24"/>
        </w:rPr>
        <w:br w:type="page"/>
      </w:r>
    </w:p>
    <w:p w14:paraId="14AEE5ED" w14:textId="1FF496DA" w:rsidR="0008499D" w:rsidRPr="00F05F2C" w:rsidRDefault="001B09F4" w:rsidP="00DC54F7">
      <w:pPr>
        <w:spacing w:after="0" w:line="240" w:lineRule="auto"/>
        <w:jc w:val="both"/>
        <w:rPr>
          <w:rFonts w:ascii="Arial" w:hAnsi="Arial" w:cs="Arial"/>
          <w:b/>
          <w:sz w:val="24"/>
          <w:szCs w:val="24"/>
        </w:rPr>
      </w:pPr>
      <w:r w:rsidRPr="00F05F2C">
        <w:rPr>
          <w:rFonts w:ascii="Arial" w:hAnsi="Arial" w:cs="Arial"/>
          <w:b/>
          <w:sz w:val="24"/>
          <w:szCs w:val="24"/>
        </w:rPr>
        <w:lastRenderedPageBreak/>
        <w:t>Map 13.1: Lower Super Output Areas (LSOAs) in Cardiff West cluster, grouped into quintiles by Welsh index of Multiple Deprivation 2019</w:t>
      </w:r>
    </w:p>
    <w:p w14:paraId="5E66DC37" w14:textId="2C0D9281" w:rsidR="0008499D" w:rsidRDefault="0008499D" w:rsidP="00DC54F7">
      <w:pPr>
        <w:spacing w:after="0" w:line="240" w:lineRule="auto"/>
        <w:jc w:val="both"/>
        <w:rPr>
          <w:rFonts w:ascii="Arial" w:hAnsi="Arial" w:cs="Arial"/>
          <w:bCs/>
        </w:rPr>
      </w:pPr>
      <w:r>
        <w:rPr>
          <w:noProof/>
          <w:lang w:eastAsia="en-GB"/>
        </w:rPr>
        <w:drawing>
          <wp:inline distT="0" distB="0" distL="0" distR="0" wp14:anchorId="3CB6356E" wp14:editId="00346C29">
            <wp:extent cx="5731510" cy="4572000"/>
            <wp:effectExtent l="0" t="0" r="2540"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736111" cy="4575670"/>
                    </a:xfrm>
                    <a:prstGeom prst="rect">
                      <a:avLst/>
                    </a:prstGeom>
                    <a:noFill/>
                    <a:ln>
                      <a:noFill/>
                    </a:ln>
                  </pic:spPr>
                </pic:pic>
              </a:graphicData>
            </a:graphic>
          </wp:inline>
        </w:drawing>
      </w:r>
    </w:p>
    <w:p w14:paraId="2CFF7CA9" w14:textId="77777777" w:rsidR="00CD7A5C" w:rsidRDefault="00CD7A5C" w:rsidP="00DC54F7">
      <w:pPr>
        <w:spacing w:after="0" w:line="240" w:lineRule="auto"/>
        <w:jc w:val="both"/>
        <w:rPr>
          <w:rFonts w:ascii="Arial" w:hAnsi="Arial" w:cs="Arial"/>
          <w:bCs/>
          <w:sz w:val="24"/>
          <w:szCs w:val="24"/>
        </w:rPr>
      </w:pPr>
    </w:p>
    <w:p w14:paraId="22FADB9F" w14:textId="76260E4C" w:rsidR="006A5418" w:rsidRPr="00F05F2C" w:rsidRDefault="006A5418" w:rsidP="00DC54F7">
      <w:pPr>
        <w:spacing w:after="0" w:line="240" w:lineRule="auto"/>
        <w:jc w:val="both"/>
        <w:rPr>
          <w:rFonts w:ascii="Arial" w:hAnsi="Arial" w:cs="Arial"/>
          <w:bCs/>
          <w:sz w:val="24"/>
          <w:szCs w:val="24"/>
        </w:rPr>
      </w:pPr>
      <w:r w:rsidRPr="00F05F2C">
        <w:rPr>
          <w:rFonts w:ascii="Arial" w:hAnsi="Arial" w:cs="Arial"/>
          <w:bCs/>
          <w:sz w:val="24"/>
          <w:szCs w:val="24"/>
        </w:rPr>
        <w:t xml:space="preserve">Overall, the estimated prevalence of chronic disease in Cardiff West </w:t>
      </w:r>
      <w:r w:rsidR="00CD1E29" w:rsidRPr="00F05F2C">
        <w:rPr>
          <w:rFonts w:ascii="Arial" w:hAnsi="Arial" w:cs="Arial"/>
          <w:bCs/>
          <w:sz w:val="24"/>
          <w:szCs w:val="24"/>
        </w:rPr>
        <w:t>c</w:t>
      </w:r>
      <w:r w:rsidRPr="00F05F2C">
        <w:rPr>
          <w:rFonts w:ascii="Arial" w:hAnsi="Arial" w:cs="Arial"/>
          <w:bCs/>
          <w:sz w:val="24"/>
          <w:szCs w:val="24"/>
        </w:rPr>
        <w:t xml:space="preserve">luster is lower than the average for Wales, except for asthma, which is the joint highest of all the clusters in the health board. The estimated prevalence of </w:t>
      </w:r>
      <w:r w:rsidR="00363F4B" w:rsidRPr="00F05F2C">
        <w:rPr>
          <w:rFonts w:ascii="Arial" w:hAnsi="Arial" w:cs="Arial"/>
          <w:bCs/>
          <w:sz w:val="24"/>
          <w:szCs w:val="24"/>
        </w:rPr>
        <w:t xml:space="preserve">coronary heart disease, heart failure and stroke and transient ischaemic attacks </w:t>
      </w:r>
      <w:r w:rsidRPr="00F05F2C">
        <w:rPr>
          <w:rFonts w:ascii="Arial" w:hAnsi="Arial" w:cs="Arial"/>
          <w:bCs/>
          <w:sz w:val="24"/>
          <w:szCs w:val="24"/>
        </w:rPr>
        <w:t>is higher than the health board</w:t>
      </w:r>
      <w:r w:rsidR="00363F4B" w:rsidRPr="00F05F2C">
        <w:rPr>
          <w:rFonts w:ascii="Arial" w:hAnsi="Arial" w:cs="Arial"/>
          <w:bCs/>
          <w:sz w:val="24"/>
          <w:szCs w:val="24"/>
        </w:rPr>
        <w:t>.</w:t>
      </w:r>
    </w:p>
    <w:p w14:paraId="59427044" w14:textId="64D9C1BC" w:rsidR="00A32A54" w:rsidRPr="002204E4" w:rsidRDefault="00A32A54" w:rsidP="00DC54F7">
      <w:pPr>
        <w:spacing w:after="0" w:line="240" w:lineRule="auto"/>
        <w:jc w:val="both"/>
        <w:rPr>
          <w:rFonts w:ascii="Arial" w:hAnsi="Arial" w:cs="Arial"/>
          <w:bCs/>
        </w:rPr>
      </w:pPr>
    </w:p>
    <w:p w14:paraId="10EA3738" w14:textId="3FAE028A" w:rsidR="00A32A54" w:rsidRPr="0042288A" w:rsidRDefault="002204E4" w:rsidP="00DC54F7">
      <w:pPr>
        <w:pStyle w:val="Caption"/>
        <w:spacing w:before="0" w:after="0"/>
        <w:jc w:val="both"/>
        <w:rPr>
          <w:rFonts w:ascii="Arial" w:hAnsi="Arial" w:cs="Arial"/>
          <w:szCs w:val="24"/>
        </w:rPr>
      </w:pPr>
      <w:r w:rsidRPr="0042288A">
        <w:rPr>
          <w:rFonts w:ascii="Arial" w:hAnsi="Arial" w:cs="Arial"/>
          <w:szCs w:val="24"/>
        </w:rPr>
        <w:t>Table 13.</w:t>
      </w:r>
      <w:r w:rsidR="00E63C74" w:rsidRPr="0042288A">
        <w:rPr>
          <w:rFonts w:ascii="Arial" w:hAnsi="Arial" w:cs="Arial"/>
          <w:szCs w:val="24"/>
        </w:rPr>
        <w:t>3</w:t>
      </w:r>
      <w:r w:rsidRPr="0042288A">
        <w:rPr>
          <w:rFonts w:ascii="Arial" w:hAnsi="Arial" w:cs="Arial"/>
          <w:szCs w:val="24"/>
        </w:rPr>
        <w:t xml:space="preserve">: Estimated percentage </w:t>
      </w:r>
      <w:r w:rsidR="00027872" w:rsidRPr="0042288A">
        <w:rPr>
          <w:rFonts w:ascii="Arial" w:hAnsi="Arial" w:cs="Arial"/>
          <w:szCs w:val="24"/>
        </w:rPr>
        <w:t>prevalence of chronic conditions</w:t>
      </w:r>
      <w:r w:rsidRPr="0042288A">
        <w:rPr>
          <w:rFonts w:ascii="Arial" w:hAnsi="Arial" w:cs="Arial"/>
          <w:szCs w:val="24"/>
        </w:rPr>
        <w:t xml:space="preserve"> based on patients on GP practice registers by cluster, local authority, health board and Wales, 2019.</w:t>
      </w:r>
    </w:p>
    <w:tbl>
      <w:tblPr>
        <w:tblW w:w="9590" w:type="dxa"/>
        <w:tblLook w:val="04A0" w:firstRow="1" w:lastRow="0" w:firstColumn="1" w:lastColumn="0" w:noHBand="0" w:noVBand="1"/>
      </w:tblPr>
      <w:tblGrid>
        <w:gridCol w:w="2335"/>
        <w:gridCol w:w="1208"/>
        <w:gridCol w:w="1208"/>
        <w:gridCol w:w="1208"/>
        <w:gridCol w:w="1208"/>
        <w:gridCol w:w="1208"/>
        <w:gridCol w:w="1215"/>
      </w:tblGrid>
      <w:tr w:rsidR="00A32A54" w:rsidRPr="00A32A54" w14:paraId="365FF108" w14:textId="77777777" w:rsidTr="0042288A">
        <w:trPr>
          <w:trHeight w:val="324"/>
        </w:trPr>
        <w:tc>
          <w:tcPr>
            <w:tcW w:w="2335" w:type="dxa"/>
            <w:tcBorders>
              <w:top w:val="single" w:sz="4" w:space="0" w:color="auto"/>
              <w:left w:val="single" w:sz="4" w:space="0" w:color="auto"/>
              <w:bottom w:val="nil"/>
              <w:right w:val="nil"/>
            </w:tcBorders>
            <w:shd w:val="clear" w:color="auto" w:fill="8497B0"/>
            <w:noWrap/>
            <w:vAlign w:val="bottom"/>
            <w:hideMark/>
          </w:tcPr>
          <w:p w14:paraId="4F387F09" w14:textId="77777777"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 </w:t>
            </w:r>
          </w:p>
        </w:tc>
        <w:tc>
          <w:tcPr>
            <w:tcW w:w="7255" w:type="dxa"/>
            <w:gridSpan w:val="6"/>
            <w:tcBorders>
              <w:top w:val="single" w:sz="4" w:space="0" w:color="auto"/>
              <w:left w:val="nil"/>
              <w:bottom w:val="single" w:sz="4" w:space="0" w:color="FFFFFF"/>
              <w:right w:val="single" w:sz="4" w:space="0" w:color="auto"/>
            </w:tcBorders>
            <w:shd w:val="clear" w:color="auto" w:fill="8497B0"/>
            <w:noWrap/>
            <w:vAlign w:val="bottom"/>
            <w:hideMark/>
          </w:tcPr>
          <w:p w14:paraId="456E5FD9" w14:textId="77777777" w:rsidR="00A32A54" w:rsidRPr="0042288A" w:rsidRDefault="00A32A54" w:rsidP="00DC54F7">
            <w:pPr>
              <w:spacing w:after="0" w:line="240" w:lineRule="auto"/>
              <w:jc w:val="both"/>
              <w:rPr>
                <w:rFonts w:ascii="Calibri" w:eastAsia="Times New Roman" w:hAnsi="Calibri" w:cs="Calibri"/>
                <w:b/>
                <w:bCs/>
                <w:color w:val="FFFFFF"/>
                <w:lang w:eastAsia="en-GB"/>
              </w:rPr>
            </w:pPr>
            <w:r w:rsidRPr="0042288A">
              <w:rPr>
                <w:rFonts w:ascii="Calibri" w:eastAsia="Times New Roman" w:hAnsi="Calibri" w:cs="Calibri"/>
                <w:b/>
                <w:bCs/>
                <w:color w:val="FFFFFF"/>
                <w:lang w:eastAsia="en-GB"/>
              </w:rPr>
              <w:t>Percentage</w:t>
            </w:r>
          </w:p>
        </w:tc>
      </w:tr>
      <w:tr w:rsidR="00A32A54" w:rsidRPr="00A32A54" w14:paraId="1061D296" w14:textId="77777777" w:rsidTr="0042288A">
        <w:trPr>
          <w:trHeight w:val="1177"/>
        </w:trPr>
        <w:tc>
          <w:tcPr>
            <w:tcW w:w="2335" w:type="dxa"/>
            <w:tcBorders>
              <w:top w:val="nil"/>
              <w:left w:val="single" w:sz="4" w:space="0" w:color="auto"/>
              <w:bottom w:val="nil"/>
              <w:right w:val="nil"/>
            </w:tcBorders>
            <w:shd w:val="clear" w:color="auto" w:fill="8497B0"/>
            <w:noWrap/>
            <w:vAlign w:val="bottom"/>
            <w:hideMark/>
          </w:tcPr>
          <w:p w14:paraId="19AE9AA6" w14:textId="77777777" w:rsidR="00A32A54" w:rsidRPr="0042288A" w:rsidRDefault="00A32A54" w:rsidP="00DC54F7">
            <w:pPr>
              <w:spacing w:after="0" w:line="240" w:lineRule="auto"/>
              <w:jc w:val="both"/>
              <w:rPr>
                <w:rFonts w:ascii="Calibri" w:eastAsia="Times New Roman" w:hAnsi="Calibri" w:cs="Calibri"/>
                <w:b/>
                <w:bCs/>
                <w:color w:val="FFFFFF"/>
                <w:lang w:eastAsia="en-GB"/>
              </w:rPr>
            </w:pPr>
            <w:r w:rsidRPr="0042288A">
              <w:rPr>
                <w:rFonts w:ascii="Calibri" w:eastAsia="Times New Roman" w:hAnsi="Calibri" w:cs="Calibri"/>
                <w:b/>
                <w:bCs/>
                <w:color w:val="FFFFFF"/>
                <w:lang w:eastAsia="en-GB"/>
              </w:rPr>
              <w:t>Area</w:t>
            </w:r>
          </w:p>
        </w:tc>
        <w:tc>
          <w:tcPr>
            <w:tcW w:w="1208" w:type="dxa"/>
            <w:tcBorders>
              <w:top w:val="nil"/>
              <w:left w:val="nil"/>
              <w:bottom w:val="nil"/>
              <w:right w:val="nil"/>
            </w:tcBorders>
            <w:shd w:val="clear" w:color="auto" w:fill="8497B0"/>
            <w:vAlign w:val="bottom"/>
            <w:hideMark/>
          </w:tcPr>
          <w:p w14:paraId="5A6F8481" w14:textId="77777777" w:rsidR="00A32A54" w:rsidRPr="0042288A" w:rsidRDefault="00A32A54" w:rsidP="00DC54F7">
            <w:pPr>
              <w:spacing w:after="0" w:line="240" w:lineRule="auto"/>
              <w:jc w:val="both"/>
              <w:rPr>
                <w:rFonts w:ascii="Calibri" w:eastAsia="Times New Roman" w:hAnsi="Calibri" w:cs="Calibri"/>
                <w:b/>
                <w:bCs/>
                <w:color w:val="FFFFFF"/>
                <w:lang w:eastAsia="en-GB"/>
              </w:rPr>
            </w:pPr>
            <w:r w:rsidRPr="0042288A">
              <w:rPr>
                <w:rFonts w:ascii="Calibri" w:eastAsia="Times New Roman" w:hAnsi="Calibri" w:cs="Calibri"/>
                <w:b/>
                <w:bCs/>
                <w:color w:val="FFFFFF"/>
                <w:lang w:eastAsia="en-GB"/>
              </w:rPr>
              <w:t>Asthma</w:t>
            </w:r>
          </w:p>
        </w:tc>
        <w:tc>
          <w:tcPr>
            <w:tcW w:w="1208" w:type="dxa"/>
            <w:tcBorders>
              <w:top w:val="nil"/>
              <w:left w:val="nil"/>
              <w:bottom w:val="nil"/>
              <w:right w:val="nil"/>
            </w:tcBorders>
            <w:shd w:val="clear" w:color="auto" w:fill="8497B0"/>
            <w:vAlign w:val="bottom"/>
            <w:hideMark/>
          </w:tcPr>
          <w:p w14:paraId="033B3D88" w14:textId="77777777" w:rsidR="00A32A54" w:rsidRPr="0042288A" w:rsidRDefault="00A32A54" w:rsidP="00DC54F7">
            <w:pPr>
              <w:spacing w:after="0" w:line="240" w:lineRule="auto"/>
              <w:jc w:val="both"/>
              <w:rPr>
                <w:rFonts w:ascii="Calibri" w:eastAsia="Times New Roman" w:hAnsi="Calibri" w:cs="Calibri"/>
                <w:b/>
                <w:bCs/>
                <w:color w:val="FFFFFF"/>
                <w:lang w:eastAsia="en-GB"/>
              </w:rPr>
            </w:pPr>
            <w:r w:rsidRPr="0042288A">
              <w:rPr>
                <w:rFonts w:ascii="Calibri" w:eastAsia="Times New Roman" w:hAnsi="Calibri" w:cs="Calibri"/>
                <w:b/>
                <w:bCs/>
                <w:color w:val="FFFFFF"/>
                <w:lang w:eastAsia="en-GB"/>
              </w:rPr>
              <w:t>Coronary heart disease</w:t>
            </w:r>
          </w:p>
        </w:tc>
        <w:tc>
          <w:tcPr>
            <w:tcW w:w="1208" w:type="dxa"/>
            <w:tcBorders>
              <w:top w:val="nil"/>
              <w:left w:val="nil"/>
              <w:bottom w:val="nil"/>
              <w:right w:val="nil"/>
            </w:tcBorders>
            <w:shd w:val="clear" w:color="auto" w:fill="8497B0"/>
            <w:vAlign w:val="bottom"/>
            <w:hideMark/>
          </w:tcPr>
          <w:p w14:paraId="12B436C4" w14:textId="77777777" w:rsidR="00A32A54" w:rsidRPr="0042288A" w:rsidRDefault="00A32A54" w:rsidP="00DC54F7">
            <w:pPr>
              <w:spacing w:after="0" w:line="240" w:lineRule="auto"/>
              <w:jc w:val="both"/>
              <w:rPr>
                <w:rFonts w:ascii="Calibri" w:eastAsia="Times New Roman" w:hAnsi="Calibri" w:cs="Calibri"/>
                <w:b/>
                <w:bCs/>
                <w:color w:val="FFFFFF"/>
                <w:lang w:eastAsia="en-GB"/>
              </w:rPr>
            </w:pPr>
            <w:r w:rsidRPr="0042288A">
              <w:rPr>
                <w:rFonts w:ascii="Calibri" w:eastAsia="Times New Roman" w:hAnsi="Calibri" w:cs="Calibri"/>
                <w:b/>
                <w:bCs/>
                <w:color w:val="FFFFFF"/>
                <w:lang w:eastAsia="en-GB"/>
              </w:rPr>
              <w:t>COPD</w:t>
            </w:r>
          </w:p>
        </w:tc>
        <w:tc>
          <w:tcPr>
            <w:tcW w:w="1208" w:type="dxa"/>
            <w:tcBorders>
              <w:top w:val="nil"/>
              <w:left w:val="nil"/>
              <w:bottom w:val="nil"/>
              <w:right w:val="nil"/>
            </w:tcBorders>
            <w:shd w:val="clear" w:color="auto" w:fill="8497B0"/>
            <w:vAlign w:val="bottom"/>
            <w:hideMark/>
          </w:tcPr>
          <w:p w14:paraId="26A5C510" w14:textId="77777777" w:rsidR="00A32A54" w:rsidRPr="0042288A" w:rsidRDefault="00A32A54" w:rsidP="00DC54F7">
            <w:pPr>
              <w:spacing w:after="0" w:line="240" w:lineRule="auto"/>
              <w:jc w:val="both"/>
              <w:rPr>
                <w:rFonts w:ascii="Calibri" w:eastAsia="Times New Roman" w:hAnsi="Calibri" w:cs="Calibri"/>
                <w:b/>
                <w:bCs/>
                <w:color w:val="FFFFFF"/>
                <w:lang w:eastAsia="en-GB"/>
              </w:rPr>
            </w:pPr>
            <w:r w:rsidRPr="0042288A">
              <w:rPr>
                <w:rFonts w:ascii="Calibri" w:eastAsia="Times New Roman" w:hAnsi="Calibri" w:cs="Calibri"/>
                <w:b/>
                <w:bCs/>
                <w:color w:val="FFFFFF"/>
                <w:lang w:eastAsia="en-GB"/>
              </w:rPr>
              <w:t>Diabetes</w:t>
            </w:r>
          </w:p>
        </w:tc>
        <w:tc>
          <w:tcPr>
            <w:tcW w:w="1208" w:type="dxa"/>
            <w:tcBorders>
              <w:top w:val="nil"/>
              <w:left w:val="nil"/>
              <w:bottom w:val="nil"/>
              <w:right w:val="nil"/>
            </w:tcBorders>
            <w:shd w:val="clear" w:color="auto" w:fill="8497B0"/>
            <w:vAlign w:val="bottom"/>
            <w:hideMark/>
          </w:tcPr>
          <w:p w14:paraId="4085C8B6" w14:textId="77777777" w:rsidR="00A32A54" w:rsidRPr="0042288A" w:rsidRDefault="00A32A54" w:rsidP="00DC54F7">
            <w:pPr>
              <w:spacing w:after="0" w:line="240" w:lineRule="auto"/>
              <w:jc w:val="both"/>
              <w:rPr>
                <w:rFonts w:ascii="Calibri" w:eastAsia="Times New Roman" w:hAnsi="Calibri" w:cs="Calibri"/>
                <w:b/>
                <w:bCs/>
                <w:color w:val="FFFFFF"/>
                <w:lang w:eastAsia="en-GB"/>
              </w:rPr>
            </w:pPr>
            <w:r w:rsidRPr="0042288A">
              <w:rPr>
                <w:rFonts w:ascii="Calibri" w:eastAsia="Times New Roman" w:hAnsi="Calibri" w:cs="Calibri"/>
                <w:b/>
                <w:bCs/>
                <w:color w:val="FFFFFF"/>
                <w:lang w:eastAsia="en-GB"/>
              </w:rPr>
              <w:t>Heart failure</w:t>
            </w:r>
          </w:p>
        </w:tc>
        <w:tc>
          <w:tcPr>
            <w:tcW w:w="1211" w:type="dxa"/>
            <w:tcBorders>
              <w:top w:val="nil"/>
              <w:left w:val="nil"/>
              <w:bottom w:val="single" w:sz="4" w:space="0" w:color="A9D08E"/>
              <w:right w:val="single" w:sz="4" w:space="0" w:color="auto"/>
            </w:tcBorders>
            <w:shd w:val="clear" w:color="auto" w:fill="8497B0"/>
            <w:vAlign w:val="bottom"/>
            <w:hideMark/>
          </w:tcPr>
          <w:p w14:paraId="6771B60C" w14:textId="77777777" w:rsidR="00A32A54" w:rsidRPr="0042288A" w:rsidRDefault="00A32A54" w:rsidP="00DC54F7">
            <w:pPr>
              <w:spacing w:after="0" w:line="240" w:lineRule="auto"/>
              <w:jc w:val="both"/>
              <w:rPr>
                <w:rFonts w:ascii="Calibri" w:eastAsia="Times New Roman" w:hAnsi="Calibri" w:cs="Calibri"/>
                <w:b/>
                <w:bCs/>
                <w:color w:val="FFFFFF"/>
                <w:lang w:eastAsia="en-GB"/>
              </w:rPr>
            </w:pPr>
            <w:r w:rsidRPr="0042288A">
              <w:rPr>
                <w:rFonts w:ascii="Calibri" w:eastAsia="Times New Roman" w:hAnsi="Calibri" w:cs="Calibri"/>
                <w:b/>
                <w:bCs/>
                <w:color w:val="FFFFFF"/>
                <w:lang w:eastAsia="en-GB"/>
              </w:rPr>
              <w:t>Stroke and transient ischaemic attacks</w:t>
            </w:r>
          </w:p>
        </w:tc>
      </w:tr>
      <w:tr w:rsidR="00A32A54" w:rsidRPr="00A32A54" w14:paraId="617C698D" w14:textId="77777777" w:rsidTr="0042288A">
        <w:trPr>
          <w:trHeight w:val="324"/>
        </w:trPr>
        <w:tc>
          <w:tcPr>
            <w:tcW w:w="2335" w:type="dxa"/>
            <w:tcBorders>
              <w:top w:val="nil"/>
              <w:left w:val="single" w:sz="4" w:space="0" w:color="auto"/>
              <w:bottom w:val="nil"/>
              <w:right w:val="nil"/>
            </w:tcBorders>
            <w:shd w:val="clear" w:color="000000" w:fill="F2F2F2"/>
            <w:noWrap/>
            <w:vAlign w:val="bottom"/>
            <w:hideMark/>
          </w:tcPr>
          <w:p w14:paraId="13D8915F" w14:textId="77777777"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Cardiff West</w:t>
            </w:r>
          </w:p>
        </w:tc>
        <w:tc>
          <w:tcPr>
            <w:tcW w:w="1208" w:type="dxa"/>
            <w:tcBorders>
              <w:top w:val="nil"/>
              <w:left w:val="nil"/>
              <w:bottom w:val="nil"/>
              <w:right w:val="nil"/>
            </w:tcBorders>
            <w:shd w:val="clear" w:color="000000" w:fill="F2F2F2"/>
            <w:noWrap/>
            <w:vAlign w:val="bottom"/>
            <w:hideMark/>
          </w:tcPr>
          <w:p w14:paraId="764DAAEC" w14:textId="6BF78564"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7.3</w:t>
            </w:r>
          </w:p>
        </w:tc>
        <w:tc>
          <w:tcPr>
            <w:tcW w:w="1208" w:type="dxa"/>
            <w:tcBorders>
              <w:top w:val="nil"/>
              <w:left w:val="nil"/>
              <w:bottom w:val="nil"/>
              <w:right w:val="nil"/>
            </w:tcBorders>
            <w:shd w:val="clear" w:color="000000" w:fill="F2F2F2"/>
            <w:noWrap/>
            <w:vAlign w:val="bottom"/>
            <w:hideMark/>
          </w:tcPr>
          <w:p w14:paraId="1CA30F88" w14:textId="30DE3230"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3.1</w:t>
            </w:r>
          </w:p>
        </w:tc>
        <w:tc>
          <w:tcPr>
            <w:tcW w:w="1208" w:type="dxa"/>
            <w:tcBorders>
              <w:top w:val="nil"/>
              <w:left w:val="nil"/>
              <w:bottom w:val="nil"/>
              <w:right w:val="nil"/>
            </w:tcBorders>
            <w:shd w:val="clear" w:color="000000" w:fill="F2F2F2"/>
            <w:noWrap/>
            <w:vAlign w:val="bottom"/>
            <w:hideMark/>
          </w:tcPr>
          <w:p w14:paraId="3697882F" w14:textId="28F175DC"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1.6</w:t>
            </w:r>
          </w:p>
        </w:tc>
        <w:tc>
          <w:tcPr>
            <w:tcW w:w="1208" w:type="dxa"/>
            <w:tcBorders>
              <w:top w:val="nil"/>
              <w:left w:val="nil"/>
              <w:bottom w:val="nil"/>
              <w:right w:val="nil"/>
            </w:tcBorders>
            <w:shd w:val="clear" w:color="000000" w:fill="F2F2F2"/>
            <w:noWrap/>
            <w:vAlign w:val="bottom"/>
            <w:hideMark/>
          </w:tcPr>
          <w:p w14:paraId="6E503A41" w14:textId="78341387"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4.7</w:t>
            </w:r>
          </w:p>
        </w:tc>
        <w:tc>
          <w:tcPr>
            <w:tcW w:w="1208" w:type="dxa"/>
            <w:tcBorders>
              <w:top w:val="nil"/>
              <w:left w:val="nil"/>
              <w:bottom w:val="nil"/>
              <w:right w:val="nil"/>
            </w:tcBorders>
            <w:shd w:val="clear" w:color="000000" w:fill="F2F2F2"/>
            <w:noWrap/>
            <w:vAlign w:val="bottom"/>
            <w:hideMark/>
          </w:tcPr>
          <w:p w14:paraId="16D7BEE2" w14:textId="57685CD7"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1.0</w:t>
            </w:r>
          </w:p>
        </w:tc>
        <w:tc>
          <w:tcPr>
            <w:tcW w:w="1211" w:type="dxa"/>
            <w:tcBorders>
              <w:top w:val="nil"/>
              <w:left w:val="nil"/>
              <w:bottom w:val="nil"/>
              <w:right w:val="single" w:sz="4" w:space="0" w:color="auto"/>
            </w:tcBorders>
            <w:shd w:val="clear" w:color="000000" w:fill="F2F2F2"/>
            <w:noWrap/>
            <w:vAlign w:val="bottom"/>
            <w:hideMark/>
          </w:tcPr>
          <w:p w14:paraId="6DC2B3E6" w14:textId="2F503AF4"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2.0</w:t>
            </w:r>
          </w:p>
        </w:tc>
      </w:tr>
      <w:tr w:rsidR="00A32A54" w:rsidRPr="00A32A54" w14:paraId="006F49DF" w14:textId="77777777" w:rsidTr="0042288A">
        <w:trPr>
          <w:trHeight w:val="324"/>
        </w:trPr>
        <w:tc>
          <w:tcPr>
            <w:tcW w:w="2335" w:type="dxa"/>
            <w:tcBorders>
              <w:top w:val="nil"/>
              <w:left w:val="single" w:sz="4" w:space="0" w:color="auto"/>
              <w:bottom w:val="nil"/>
              <w:right w:val="nil"/>
            </w:tcBorders>
            <w:shd w:val="clear" w:color="000000" w:fill="FFFFFF"/>
            <w:noWrap/>
            <w:vAlign w:val="bottom"/>
            <w:hideMark/>
          </w:tcPr>
          <w:p w14:paraId="7CEA2EBF" w14:textId="77777777"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Cardiff</w:t>
            </w:r>
          </w:p>
        </w:tc>
        <w:tc>
          <w:tcPr>
            <w:tcW w:w="1208" w:type="dxa"/>
            <w:tcBorders>
              <w:top w:val="nil"/>
              <w:left w:val="nil"/>
              <w:bottom w:val="nil"/>
              <w:right w:val="nil"/>
            </w:tcBorders>
            <w:shd w:val="clear" w:color="000000" w:fill="FFFFFF"/>
            <w:noWrap/>
            <w:vAlign w:val="bottom"/>
            <w:hideMark/>
          </w:tcPr>
          <w:p w14:paraId="3F103E23" w14:textId="11C52B24"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6.6</w:t>
            </w:r>
          </w:p>
        </w:tc>
        <w:tc>
          <w:tcPr>
            <w:tcW w:w="1208" w:type="dxa"/>
            <w:tcBorders>
              <w:top w:val="nil"/>
              <w:left w:val="nil"/>
              <w:bottom w:val="nil"/>
              <w:right w:val="nil"/>
            </w:tcBorders>
            <w:shd w:val="clear" w:color="000000" w:fill="FFFFFF"/>
            <w:noWrap/>
            <w:vAlign w:val="bottom"/>
            <w:hideMark/>
          </w:tcPr>
          <w:p w14:paraId="6D2C9C27" w14:textId="57382C5C"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2.5</w:t>
            </w:r>
          </w:p>
        </w:tc>
        <w:tc>
          <w:tcPr>
            <w:tcW w:w="1208" w:type="dxa"/>
            <w:tcBorders>
              <w:top w:val="nil"/>
              <w:left w:val="nil"/>
              <w:bottom w:val="nil"/>
              <w:right w:val="nil"/>
            </w:tcBorders>
            <w:shd w:val="clear" w:color="000000" w:fill="FFFFFF"/>
            <w:noWrap/>
            <w:vAlign w:val="bottom"/>
            <w:hideMark/>
          </w:tcPr>
          <w:p w14:paraId="636F8365" w14:textId="524341C0"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1.6</w:t>
            </w:r>
          </w:p>
        </w:tc>
        <w:tc>
          <w:tcPr>
            <w:tcW w:w="1208" w:type="dxa"/>
            <w:tcBorders>
              <w:top w:val="nil"/>
              <w:left w:val="nil"/>
              <w:bottom w:val="nil"/>
              <w:right w:val="nil"/>
            </w:tcBorders>
            <w:shd w:val="clear" w:color="000000" w:fill="FFFFFF"/>
            <w:noWrap/>
            <w:vAlign w:val="bottom"/>
            <w:hideMark/>
          </w:tcPr>
          <w:p w14:paraId="4810A404" w14:textId="00DE1BE1"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4.9</w:t>
            </w:r>
          </w:p>
        </w:tc>
        <w:tc>
          <w:tcPr>
            <w:tcW w:w="1208" w:type="dxa"/>
            <w:tcBorders>
              <w:top w:val="nil"/>
              <w:left w:val="nil"/>
              <w:bottom w:val="nil"/>
              <w:right w:val="nil"/>
            </w:tcBorders>
            <w:shd w:val="clear" w:color="000000" w:fill="FFFFFF"/>
            <w:noWrap/>
            <w:vAlign w:val="bottom"/>
            <w:hideMark/>
          </w:tcPr>
          <w:p w14:paraId="4170FDA0" w14:textId="59BE8762"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0.8</w:t>
            </w:r>
          </w:p>
        </w:tc>
        <w:tc>
          <w:tcPr>
            <w:tcW w:w="1211" w:type="dxa"/>
            <w:tcBorders>
              <w:top w:val="nil"/>
              <w:left w:val="nil"/>
              <w:bottom w:val="nil"/>
              <w:right w:val="single" w:sz="4" w:space="0" w:color="auto"/>
            </w:tcBorders>
            <w:shd w:val="clear" w:color="000000" w:fill="FFFFFF"/>
            <w:noWrap/>
            <w:vAlign w:val="bottom"/>
            <w:hideMark/>
          </w:tcPr>
          <w:p w14:paraId="26BECA9A" w14:textId="33F25FA2"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1.6</w:t>
            </w:r>
          </w:p>
        </w:tc>
      </w:tr>
      <w:tr w:rsidR="00A32A54" w:rsidRPr="00A32A54" w14:paraId="65445695" w14:textId="77777777" w:rsidTr="0042288A">
        <w:trPr>
          <w:trHeight w:val="324"/>
        </w:trPr>
        <w:tc>
          <w:tcPr>
            <w:tcW w:w="2335" w:type="dxa"/>
            <w:tcBorders>
              <w:top w:val="nil"/>
              <w:left w:val="single" w:sz="4" w:space="0" w:color="auto"/>
              <w:bottom w:val="nil"/>
              <w:right w:val="nil"/>
            </w:tcBorders>
            <w:shd w:val="clear" w:color="000000" w:fill="F2F2F2"/>
            <w:noWrap/>
            <w:vAlign w:val="bottom"/>
            <w:hideMark/>
          </w:tcPr>
          <w:p w14:paraId="48718DE8" w14:textId="77777777"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Cardiff and Vale UHB</w:t>
            </w:r>
          </w:p>
        </w:tc>
        <w:tc>
          <w:tcPr>
            <w:tcW w:w="1208" w:type="dxa"/>
            <w:tcBorders>
              <w:top w:val="nil"/>
              <w:left w:val="nil"/>
              <w:bottom w:val="nil"/>
              <w:right w:val="nil"/>
            </w:tcBorders>
            <w:shd w:val="clear" w:color="000000" w:fill="F2F2F2"/>
            <w:noWrap/>
            <w:vAlign w:val="bottom"/>
            <w:hideMark/>
          </w:tcPr>
          <w:p w14:paraId="475DE954" w14:textId="5414C770"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6.7</w:t>
            </w:r>
          </w:p>
        </w:tc>
        <w:tc>
          <w:tcPr>
            <w:tcW w:w="1208" w:type="dxa"/>
            <w:tcBorders>
              <w:top w:val="nil"/>
              <w:left w:val="nil"/>
              <w:bottom w:val="nil"/>
              <w:right w:val="nil"/>
            </w:tcBorders>
            <w:shd w:val="clear" w:color="000000" w:fill="F2F2F2"/>
            <w:noWrap/>
            <w:vAlign w:val="bottom"/>
            <w:hideMark/>
          </w:tcPr>
          <w:p w14:paraId="78CD1DF8" w14:textId="210AA5DB"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2.7</w:t>
            </w:r>
          </w:p>
        </w:tc>
        <w:tc>
          <w:tcPr>
            <w:tcW w:w="1208" w:type="dxa"/>
            <w:tcBorders>
              <w:top w:val="nil"/>
              <w:left w:val="nil"/>
              <w:bottom w:val="nil"/>
              <w:right w:val="nil"/>
            </w:tcBorders>
            <w:shd w:val="clear" w:color="000000" w:fill="F2F2F2"/>
            <w:noWrap/>
            <w:vAlign w:val="bottom"/>
            <w:hideMark/>
          </w:tcPr>
          <w:p w14:paraId="7003A6DB" w14:textId="793E51DE"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1.7</w:t>
            </w:r>
          </w:p>
        </w:tc>
        <w:tc>
          <w:tcPr>
            <w:tcW w:w="1208" w:type="dxa"/>
            <w:tcBorders>
              <w:top w:val="nil"/>
              <w:left w:val="nil"/>
              <w:bottom w:val="nil"/>
              <w:right w:val="nil"/>
            </w:tcBorders>
            <w:shd w:val="clear" w:color="000000" w:fill="F2F2F2"/>
            <w:noWrap/>
            <w:vAlign w:val="bottom"/>
            <w:hideMark/>
          </w:tcPr>
          <w:p w14:paraId="572511D3" w14:textId="63E047B3"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5.0</w:t>
            </w:r>
          </w:p>
        </w:tc>
        <w:tc>
          <w:tcPr>
            <w:tcW w:w="1208" w:type="dxa"/>
            <w:tcBorders>
              <w:top w:val="nil"/>
              <w:left w:val="nil"/>
              <w:bottom w:val="nil"/>
              <w:right w:val="nil"/>
            </w:tcBorders>
            <w:shd w:val="clear" w:color="000000" w:fill="F2F2F2"/>
            <w:noWrap/>
            <w:vAlign w:val="bottom"/>
            <w:hideMark/>
          </w:tcPr>
          <w:p w14:paraId="4429A5A4" w14:textId="7D5CAE4A"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0.9</w:t>
            </w:r>
          </w:p>
        </w:tc>
        <w:tc>
          <w:tcPr>
            <w:tcW w:w="1211" w:type="dxa"/>
            <w:tcBorders>
              <w:top w:val="nil"/>
              <w:left w:val="nil"/>
              <w:bottom w:val="nil"/>
              <w:right w:val="single" w:sz="4" w:space="0" w:color="auto"/>
            </w:tcBorders>
            <w:shd w:val="clear" w:color="000000" w:fill="F2F2F2"/>
            <w:noWrap/>
            <w:vAlign w:val="bottom"/>
            <w:hideMark/>
          </w:tcPr>
          <w:p w14:paraId="0CC46431" w14:textId="744B9E25"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1.7</w:t>
            </w:r>
          </w:p>
        </w:tc>
      </w:tr>
      <w:tr w:rsidR="00A32A54" w:rsidRPr="00A32A54" w14:paraId="0077EFE8" w14:textId="77777777" w:rsidTr="0042288A">
        <w:trPr>
          <w:trHeight w:val="324"/>
        </w:trPr>
        <w:tc>
          <w:tcPr>
            <w:tcW w:w="2335" w:type="dxa"/>
            <w:tcBorders>
              <w:top w:val="nil"/>
              <w:left w:val="single" w:sz="4" w:space="0" w:color="auto"/>
              <w:bottom w:val="single" w:sz="4" w:space="0" w:color="auto"/>
              <w:right w:val="nil"/>
            </w:tcBorders>
            <w:shd w:val="clear" w:color="000000" w:fill="FFFFFF"/>
            <w:noWrap/>
            <w:vAlign w:val="bottom"/>
            <w:hideMark/>
          </w:tcPr>
          <w:p w14:paraId="09BA8778" w14:textId="77777777"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Wales</w:t>
            </w:r>
          </w:p>
        </w:tc>
        <w:tc>
          <w:tcPr>
            <w:tcW w:w="1208" w:type="dxa"/>
            <w:tcBorders>
              <w:top w:val="nil"/>
              <w:left w:val="nil"/>
              <w:bottom w:val="single" w:sz="4" w:space="0" w:color="auto"/>
              <w:right w:val="nil"/>
            </w:tcBorders>
            <w:shd w:val="clear" w:color="000000" w:fill="FFFFFF"/>
            <w:noWrap/>
            <w:vAlign w:val="bottom"/>
            <w:hideMark/>
          </w:tcPr>
          <w:p w14:paraId="53EBCB4D" w14:textId="3C33F8D7"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7.1</w:t>
            </w:r>
          </w:p>
        </w:tc>
        <w:tc>
          <w:tcPr>
            <w:tcW w:w="1208" w:type="dxa"/>
            <w:tcBorders>
              <w:top w:val="nil"/>
              <w:left w:val="nil"/>
              <w:bottom w:val="single" w:sz="4" w:space="0" w:color="auto"/>
              <w:right w:val="nil"/>
            </w:tcBorders>
            <w:shd w:val="clear" w:color="000000" w:fill="FFFFFF"/>
            <w:noWrap/>
            <w:vAlign w:val="bottom"/>
            <w:hideMark/>
          </w:tcPr>
          <w:p w14:paraId="17E33878" w14:textId="308993A2"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3.6</w:t>
            </w:r>
          </w:p>
        </w:tc>
        <w:tc>
          <w:tcPr>
            <w:tcW w:w="1208" w:type="dxa"/>
            <w:tcBorders>
              <w:top w:val="nil"/>
              <w:left w:val="nil"/>
              <w:bottom w:val="single" w:sz="4" w:space="0" w:color="auto"/>
              <w:right w:val="nil"/>
            </w:tcBorders>
            <w:shd w:val="clear" w:color="000000" w:fill="FFFFFF"/>
            <w:noWrap/>
            <w:vAlign w:val="bottom"/>
            <w:hideMark/>
          </w:tcPr>
          <w:p w14:paraId="02FA11DD" w14:textId="66D799CC"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2.4</w:t>
            </w:r>
          </w:p>
        </w:tc>
        <w:tc>
          <w:tcPr>
            <w:tcW w:w="1208" w:type="dxa"/>
            <w:tcBorders>
              <w:top w:val="nil"/>
              <w:left w:val="nil"/>
              <w:bottom w:val="single" w:sz="4" w:space="0" w:color="auto"/>
              <w:right w:val="nil"/>
            </w:tcBorders>
            <w:shd w:val="clear" w:color="000000" w:fill="FFFFFF"/>
            <w:noWrap/>
            <w:vAlign w:val="bottom"/>
            <w:hideMark/>
          </w:tcPr>
          <w:p w14:paraId="4E8BFC96" w14:textId="2E2B8A60"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6.1</w:t>
            </w:r>
          </w:p>
        </w:tc>
        <w:tc>
          <w:tcPr>
            <w:tcW w:w="1208" w:type="dxa"/>
            <w:tcBorders>
              <w:top w:val="nil"/>
              <w:left w:val="nil"/>
              <w:bottom w:val="single" w:sz="4" w:space="0" w:color="auto"/>
              <w:right w:val="nil"/>
            </w:tcBorders>
            <w:shd w:val="clear" w:color="000000" w:fill="FFFFFF"/>
            <w:noWrap/>
            <w:vAlign w:val="bottom"/>
            <w:hideMark/>
          </w:tcPr>
          <w:p w14:paraId="6B65F443" w14:textId="6797381A"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1.1</w:t>
            </w:r>
          </w:p>
        </w:tc>
        <w:tc>
          <w:tcPr>
            <w:tcW w:w="1211" w:type="dxa"/>
            <w:tcBorders>
              <w:top w:val="nil"/>
              <w:left w:val="nil"/>
              <w:bottom w:val="single" w:sz="4" w:space="0" w:color="auto"/>
              <w:right w:val="single" w:sz="4" w:space="0" w:color="auto"/>
            </w:tcBorders>
            <w:shd w:val="clear" w:color="000000" w:fill="FFFFFF"/>
            <w:noWrap/>
            <w:vAlign w:val="bottom"/>
            <w:hideMark/>
          </w:tcPr>
          <w:p w14:paraId="4158A327" w14:textId="13FED88C" w:rsidR="00A32A54" w:rsidRPr="0042288A" w:rsidRDefault="00A32A54" w:rsidP="00DC54F7">
            <w:pPr>
              <w:spacing w:after="0" w:line="240" w:lineRule="auto"/>
              <w:jc w:val="both"/>
              <w:rPr>
                <w:rFonts w:ascii="Calibri" w:eastAsia="Times New Roman" w:hAnsi="Calibri" w:cs="Calibri"/>
                <w:color w:val="000000"/>
                <w:lang w:eastAsia="en-GB"/>
              </w:rPr>
            </w:pPr>
            <w:r w:rsidRPr="0042288A">
              <w:rPr>
                <w:rFonts w:ascii="Calibri" w:eastAsia="Times New Roman" w:hAnsi="Calibri" w:cs="Calibri"/>
                <w:color w:val="000000"/>
                <w:lang w:eastAsia="en-GB"/>
              </w:rPr>
              <w:t>2.1</w:t>
            </w:r>
          </w:p>
        </w:tc>
      </w:tr>
    </w:tbl>
    <w:p w14:paraId="6EB7C2A6" w14:textId="67E003CF" w:rsidR="00E62DB7" w:rsidRPr="0042288A" w:rsidRDefault="00E62DB7" w:rsidP="00DC54F7">
      <w:pPr>
        <w:jc w:val="both"/>
        <w:rPr>
          <w:rFonts w:ascii="Arial" w:hAnsi="Arial" w:cs="Arial"/>
          <w:sz w:val="20"/>
          <w:szCs w:val="20"/>
        </w:rPr>
      </w:pPr>
      <w:r w:rsidRPr="0042288A">
        <w:rPr>
          <w:rFonts w:ascii="Arial" w:hAnsi="Arial" w:cs="Arial"/>
          <w:sz w:val="20"/>
          <w:szCs w:val="20"/>
        </w:rPr>
        <w:t>Source: QOF 2019</w:t>
      </w:r>
    </w:p>
    <w:p w14:paraId="345E8D0F" w14:textId="77777777" w:rsidR="0052258B" w:rsidRDefault="00C677EA" w:rsidP="00DC54F7">
      <w:pPr>
        <w:spacing w:after="0" w:line="240" w:lineRule="auto"/>
        <w:jc w:val="both"/>
        <w:rPr>
          <w:rFonts w:ascii="Arial" w:hAnsi="Arial" w:cs="Arial"/>
        </w:rPr>
      </w:pPr>
      <w:r>
        <w:rPr>
          <w:rFonts w:ascii="Arial" w:hAnsi="Arial" w:cs="Arial"/>
        </w:rPr>
        <w:lastRenderedPageBreak/>
        <w:t>The estimated prevalence of dement</w:t>
      </w:r>
      <w:r w:rsidR="007670F5">
        <w:rPr>
          <w:rFonts w:ascii="Arial" w:hAnsi="Arial" w:cs="Arial"/>
        </w:rPr>
        <w:t xml:space="preserve">ia in Cardiff West is the </w:t>
      </w:r>
      <w:r w:rsidR="00CE571D">
        <w:rPr>
          <w:rFonts w:ascii="Arial" w:hAnsi="Arial" w:cs="Arial"/>
        </w:rPr>
        <w:t xml:space="preserve">same as the average for Wales and Cardiff and Vale University Health Board. </w:t>
      </w:r>
      <w:r w:rsidR="001722C7">
        <w:rPr>
          <w:rFonts w:ascii="Arial" w:hAnsi="Arial" w:cs="Arial"/>
        </w:rPr>
        <w:t xml:space="preserve">The estimated prevalence of mental health condition </w:t>
      </w:r>
      <w:r w:rsidR="008E4A01">
        <w:rPr>
          <w:rFonts w:ascii="Arial" w:hAnsi="Arial" w:cs="Arial"/>
        </w:rPr>
        <w:t>is higher than the average for Wales and the joint second highest of all the clusters in the health board.</w:t>
      </w:r>
    </w:p>
    <w:p w14:paraId="531E142C" w14:textId="77777777" w:rsidR="004F772E" w:rsidRDefault="004F772E" w:rsidP="00DC54F7">
      <w:pPr>
        <w:spacing w:after="0" w:line="240" w:lineRule="auto"/>
        <w:jc w:val="both"/>
        <w:rPr>
          <w:rFonts w:ascii="Arial" w:hAnsi="Arial" w:cs="Arial"/>
          <w:b/>
          <w:bCs/>
          <w:sz w:val="24"/>
          <w:szCs w:val="24"/>
        </w:rPr>
      </w:pPr>
    </w:p>
    <w:p w14:paraId="6A5DCEBB" w14:textId="06F07DFD" w:rsidR="002204E4" w:rsidRPr="0052258B" w:rsidRDefault="002204E4" w:rsidP="00DC54F7">
      <w:pPr>
        <w:spacing w:after="0" w:line="240" w:lineRule="auto"/>
        <w:jc w:val="both"/>
        <w:rPr>
          <w:rFonts w:ascii="Arial" w:hAnsi="Arial" w:cs="Arial"/>
        </w:rPr>
      </w:pPr>
      <w:r w:rsidRPr="00B016BB">
        <w:rPr>
          <w:rFonts w:ascii="Arial" w:hAnsi="Arial" w:cs="Arial"/>
          <w:b/>
          <w:bCs/>
          <w:sz w:val="24"/>
          <w:szCs w:val="24"/>
        </w:rPr>
        <w:t>Table 13.</w:t>
      </w:r>
      <w:r w:rsidR="001160C8" w:rsidRPr="00B016BB">
        <w:rPr>
          <w:rFonts w:ascii="Arial" w:hAnsi="Arial" w:cs="Arial"/>
          <w:b/>
          <w:bCs/>
          <w:sz w:val="24"/>
          <w:szCs w:val="24"/>
        </w:rPr>
        <w:t>4</w:t>
      </w:r>
      <w:r w:rsidRPr="00B016BB">
        <w:rPr>
          <w:rFonts w:ascii="Arial" w:hAnsi="Arial" w:cs="Arial"/>
          <w:b/>
          <w:bCs/>
          <w:sz w:val="24"/>
          <w:szCs w:val="24"/>
        </w:rPr>
        <w:t>: Percentage of patients registered as having a mental health condition, and dementia by cluster, local authority, health board and Wales, 2019</w:t>
      </w:r>
    </w:p>
    <w:tbl>
      <w:tblPr>
        <w:tblW w:w="93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103"/>
        <w:gridCol w:w="3103"/>
        <w:gridCol w:w="3103"/>
      </w:tblGrid>
      <w:tr w:rsidR="002204E4" w:rsidRPr="001E0E74" w14:paraId="3AECD0C2" w14:textId="77777777" w:rsidTr="001B09F4">
        <w:trPr>
          <w:trHeight w:val="319"/>
        </w:trPr>
        <w:tc>
          <w:tcPr>
            <w:tcW w:w="3103" w:type="dxa"/>
            <w:shd w:val="clear" w:color="auto" w:fill="8497B0"/>
            <w:noWrap/>
            <w:vAlign w:val="bottom"/>
            <w:hideMark/>
          </w:tcPr>
          <w:p w14:paraId="5EDDA96F" w14:textId="77777777" w:rsidR="002204E4" w:rsidRPr="001E0E74" w:rsidRDefault="002204E4" w:rsidP="00DC54F7">
            <w:pPr>
              <w:spacing w:after="0" w:line="240" w:lineRule="auto"/>
              <w:jc w:val="both"/>
              <w:rPr>
                <w:rFonts w:ascii="Calibri" w:eastAsia="Times New Roman" w:hAnsi="Calibri" w:cs="Times New Roman"/>
                <w:color w:val="000000"/>
                <w:lang w:eastAsia="en-GB"/>
              </w:rPr>
            </w:pPr>
            <w:r w:rsidRPr="001E0E74">
              <w:rPr>
                <w:rFonts w:ascii="Calibri" w:eastAsia="Times New Roman" w:hAnsi="Calibri" w:cs="Times New Roman"/>
                <w:color w:val="000000"/>
                <w:lang w:eastAsia="en-GB"/>
              </w:rPr>
              <w:t> </w:t>
            </w:r>
          </w:p>
        </w:tc>
        <w:tc>
          <w:tcPr>
            <w:tcW w:w="3103" w:type="dxa"/>
            <w:shd w:val="clear" w:color="auto" w:fill="8497B0"/>
            <w:noWrap/>
            <w:vAlign w:val="bottom"/>
            <w:hideMark/>
          </w:tcPr>
          <w:p w14:paraId="78B9E821" w14:textId="77777777" w:rsidR="002204E4" w:rsidRPr="001E0E74" w:rsidRDefault="002204E4" w:rsidP="00DC54F7">
            <w:pPr>
              <w:spacing w:after="0" w:line="240" w:lineRule="auto"/>
              <w:jc w:val="both"/>
              <w:rPr>
                <w:rFonts w:ascii="Calibri" w:eastAsia="Times New Roman" w:hAnsi="Calibri" w:cs="Times New Roman"/>
                <w:b/>
                <w:bCs/>
                <w:color w:val="FFFFFF"/>
                <w:lang w:eastAsia="en-GB"/>
              </w:rPr>
            </w:pPr>
            <w:r w:rsidRPr="001E0E74">
              <w:rPr>
                <w:rFonts w:ascii="Calibri" w:eastAsia="Times New Roman" w:hAnsi="Calibri" w:cs="Times New Roman"/>
                <w:b/>
                <w:bCs/>
                <w:color w:val="FFFFFF"/>
                <w:lang w:eastAsia="en-GB"/>
              </w:rPr>
              <w:t>Dementia (percentage)</w:t>
            </w:r>
          </w:p>
        </w:tc>
        <w:tc>
          <w:tcPr>
            <w:tcW w:w="3103" w:type="dxa"/>
            <w:shd w:val="clear" w:color="auto" w:fill="8497B0"/>
            <w:noWrap/>
            <w:vAlign w:val="bottom"/>
            <w:hideMark/>
          </w:tcPr>
          <w:p w14:paraId="0F0B2DE8" w14:textId="77777777" w:rsidR="002204E4" w:rsidRPr="001E0E74" w:rsidRDefault="002204E4" w:rsidP="00DC54F7">
            <w:pPr>
              <w:spacing w:after="0" w:line="240" w:lineRule="auto"/>
              <w:jc w:val="both"/>
              <w:rPr>
                <w:rFonts w:ascii="Calibri" w:eastAsia="Times New Roman" w:hAnsi="Calibri" w:cs="Times New Roman"/>
                <w:b/>
                <w:bCs/>
                <w:color w:val="FFFFFF"/>
                <w:lang w:eastAsia="en-GB"/>
              </w:rPr>
            </w:pPr>
            <w:r w:rsidRPr="001E0E74">
              <w:rPr>
                <w:rFonts w:ascii="Calibri" w:eastAsia="Times New Roman" w:hAnsi="Calibri" w:cs="Times New Roman"/>
                <w:b/>
                <w:bCs/>
                <w:color w:val="FFFFFF"/>
                <w:lang w:eastAsia="en-GB"/>
              </w:rPr>
              <w:t>Mental Health (percentage)</w:t>
            </w:r>
          </w:p>
        </w:tc>
      </w:tr>
      <w:tr w:rsidR="002204E4" w:rsidRPr="001E0E74" w14:paraId="2CE8CB15" w14:textId="77777777" w:rsidTr="001B09F4">
        <w:trPr>
          <w:trHeight w:val="319"/>
        </w:trPr>
        <w:tc>
          <w:tcPr>
            <w:tcW w:w="3103" w:type="dxa"/>
            <w:shd w:val="clear" w:color="auto" w:fill="auto"/>
            <w:noWrap/>
            <w:vAlign w:val="bottom"/>
            <w:hideMark/>
          </w:tcPr>
          <w:p w14:paraId="2A117426" w14:textId="77777777" w:rsidR="002204E4" w:rsidRPr="001E0E74" w:rsidRDefault="002204E4" w:rsidP="00DC54F7">
            <w:pPr>
              <w:spacing w:after="0" w:line="240" w:lineRule="auto"/>
              <w:jc w:val="both"/>
              <w:rPr>
                <w:rFonts w:ascii="Calibri" w:eastAsia="Times New Roman" w:hAnsi="Calibri" w:cs="Times New Roman"/>
                <w:color w:val="000000"/>
                <w:lang w:eastAsia="en-GB"/>
              </w:rPr>
            </w:pPr>
            <w:r w:rsidRPr="001E0E74">
              <w:rPr>
                <w:rFonts w:ascii="Calibri" w:eastAsia="Times New Roman" w:hAnsi="Calibri" w:cs="Times New Roman"/>
                <w:color w:val="000000"/>
                <w:lang w:eastAsia="en-GB"/>
              </w:rPr>
              <w:t>Cardiff West</w:t>
            </w:r>
          </w:p>
        </w:tc>
        <w:tc>
          <w:tcPr>
            <w:tcW w:w="3103" w:type="dxa"/>
            <w:shd w:val="clear" w:color="auto" w:fill="auto"/>
            <w:noWrap/>
            <w:vAlign w:val="bottom"/>
            <w:hideMark/>
          </w:tcPr>
          <w:p w14:paraId="7AA1AF31" w14:textId="77777777" w:rsidR="002204E4" w:rsidRPr="001E0E74" w:rsidRDefault="002204E4" w:rsidP="00DC54F7">
            <w:pPr>
              <w:spacing w:after="0" w:line="240" w:lineRule="auto"/>
              <w:jc w:val="both"/>
              <w:rPr>
                <w:rFonts w:ascii="Calibri" w:eastAsia="Times New Roman" w:hAnsi="Calibri" w:cs="Times New Roman"/>
                <w:color w:val="000000"/>
                <w:lang w:eastAsia="en-GB"/>
              </w:rPr>
            </w:pPr>
            <w:r w:rsidRPr="001E0E74">
              <w:rPr>
                <w:rFonts w:ascii="Calibri" w:eastAsia="Times New Roman" w:hAnsi="Calibri" w:cs="Times New Roman"/>
                <w:color w:val="000000"/>
                <w:lang w:eastAsia="en-GB"/>
              </w:rPr>
              <w:t>0.7</w:t>
            </w:r>
          </w:p>
        </w:tc>
        <w:tc>
          <w:tcPr>
            <w:tcW w:w="3103" w:type="dxa"/>
            <w:shd w:val="clear" w:color="auto" w:fill="auto"/>
            <w:noWrap/>
            <w:vAlign w:val="bottom"/>
            <w:hideMark/>
          </w:tcPr>
          <w:p w14:paraId="27CADF64" w14:textId="77777777" w:rsidR="002204E4" w:rsidRPr="001E0E74" w:rsidRDefault="002204E4" w:rsidP="00DC54F7">
            <w:pPr>
              <w:spacing w:after="0" w:line="240" w:lineRule="auto"/>
              <w:jc w:val="both"/>
              <w:rPr>
                <w:rFonts w:ascii="Calibri" w:eastAsia="Times New Roman" w:hAnsi="Calibri" w:cs="Times New Roman"/>
                <w:color w:val="000000"/>
                <w:lang w:eastAsia="en-GB"/>
              </w:rPr>
            </w:pPr>
            <w:r w:rsidRPr="001E0E74">
              <w:rPr>
                <w:rFonts w:ascii="Calibri" w:eastAsia="Times New Roman" w:hAnsi="Calibri" w:cs="Times New Roman"/>
                <w:color w:val="000000"/>
                <w:lang w:eastAsia="en-GB"/>
              </w:rPr>
              <w:t>1.1</w:t>
            </w:r>
          </w:p>
        </w:tc>
      </w:tr>
      <w:tr w:rsidR="002204E4" w:rsidRPr="001E0E74" w14:paraId="5E929E4D" w14:textId="77777777" w:rsidTr="001B09F4">
        <w:trPr>
          <w:trHeight w:val="319"/>
        </w:trPr>
        <w:tc>
          <w:tcPr>
            <w:tcW w:w="3103" w:type="dxa"/>
            <w:shd w:val="clear" w:color="D9E1F2" w:fill="F2F2F2"/>
            <w:vAlign w:val="bottom"/>
            <w:hideMark/>
          </w:tcPr>
          <w:p w14:paraId="79C3B09A" w14:textId="77777777" w:rsidR="002204E4" w:rsidRPr="001E0E74" w:rsidRDefault="002204E4" w:rsidP="00DC54F7">
            <w:pPr>
              <w:spacing w:after="0" w:line="240" w:lineRule="auto"/>
              <w:jc w:val="both"/>
              <w:rPr>
                <w:rFonts w:ascii="Calibri" w:eastAsia="Times New Roman" w:hAnsi="Calibri" w:cs="Times New Roman"/>
                <w:lang w:eastAsia="en-GB"/>
              </w:rPr>
            </w:pPr>
            <w:r w:rsidRPr="001E0E74">
              <w:rPr>
                <w:rFonts w:ascii="Calibri" w:eastAsia="Times New Roman" w:hAnsi="Calibri" w:cs="Times New Roman"/>
                <w:lang w:eastAsia="en-GB"/>
              </w:rPr>
              <w:t>Cardiff</w:t>
            </w:r>
          </w:p>
        </w:tc>
        <w:tc>
          <w:tcPr>
            <w:tcW w:w="3103" w:type="dxa"/>
            <w:shd w:val="clear" w:color="000000" w:fill="F2F2F2"/>
            <w:noWrap/>
            <w:vAlign w:val="bottom"/>
            <w:hideMark/>
          </w:tcPr>
          <w:p w14:paraId="635B0B30" w14:textId="77777777" w:rsidR="002204E4" w:rsidRPr="001E0E74" w:rsidRDefault="002204E4" w:rsidP="00DC54F7">
            <w:pPr>
              <w:spacing w:after="0" w:line="240" w:lineRule="auto"/>
              <w:jc w:val="both"/>
              <w:rPr>
                <w:rFonts w:ascii="Calibri" w:eastAsia="Times New Roman" w:hAnsi="Calibri" w:cs="Times New Roman"/>
                <w:color w:val="000000"/>
                <w:lang w:eastAsia="en-GB"/>
              </w:rPr>
            </w:pPr>
            <w:r w:rsidRPr="001E0E74">
              <w:rPr>
                <w:rFonts w:ascii="Calibri" w:eastAsia="Times New Roman" w:hAnsi="Calibri" w:cs="Times New Roman"/>
                <w:color w:val="000000"/>
                <w:lang w:eastAsia="en-GB"/>
              </w:rPr>
              <w:t>0.6</w:t>
            </w:r>
          </w:p>
        </w:tc>
        <w:tc>
          <w:tcPr>
            <w:tcW w:w="3103" w:type="dxa"/>
            <w:shd w:val="clear" w:color="000000" w:fill="F2F2F2"/>
            <w:noWrap/>
            <w:vAlign w:val="bottom"/>
            <w:hideMark/>
          </w:tcPr>
          <w:p w14:paraId="36C92B65" w14:textId="77777777" w:rsidR="002204E4" w:rsidRPr="001E0E74" w:rsidRDefault="002204E4" w:rsidP="00DC54F7">
            <w:pPr>
              <w:spacing w:after="0" w:line="240" w:lineRule="auto"/>
              <w:jc w:val="both"/>
              <w:rPr>
                <w:rFonts w:ascii="Calibri" w:eastAsia="Times New Roman" w:hAnsi="Calibri" w:cs="Times New Roman"/>
                <w:color w:val="000000"/>
                <w:lang w:eastAsia="en-GB"/>
              </w:rPr>
            </w:pPr>
            <w:r w:rsidRPr="001E0E74">
              <w:rPr>
                <w:rFonts w:ascii="Calibri" w:eastAsia="Times New Roman" w:hAnsi="Calibri" w:cs="Times New Roman"/>
                <w:color w:val="000000"/>
                <w:lang w:eastAsia="en-GB"/>
              </w:rPr>
              <w:t>0.9</w:t>
            </w:r>
          </w:p>
        </w:tc>
      </w:tr>
      <w:tr w:rsidR="002204E4" w:rsidRPr="001E0E74" w14:paraId="3CD82175" w14:textId="77777777" w:rsidTr="001B09F4">
        <w:trPr>
          <w:trHeight w:val="319"/>
        </w:trPr>
        <w:tc>
          <w:tcPr>
            <w:tcW w:w="3103" w:type="dxa"/>
            <w:shd w:val="clear" w:color="auto" w:fill="auto"/>
            <w:vAlign w:val="bottom"/>
            <w:hideMark/>
          </w:tcPr>
          <w:p w14:paraId="39CFDD4B" w14:textId="77777777" w:rsidR="002204E4" w:rsidRPr="001E0E74" w:rsidRDefault="002204E4" w:rsidP="00DC54F7">
            <w:pPr>
              <w:spacing w:after="0" w:line="240" w:lineRule="auto"/>
              <w:jc w:val="both"/>
              <w:rPr>
                <w:rFonts w:ascii="Calibri" w:eastAsia="Times New Roman" w:hAnsi="Calibri" w:cs="Times New Roman"/>
                <w:lang w:eastAsia="en-GB"/>
              </w:rPr>
            </w:pPr>
            <w:r w:rsidRPr="001E0E74">
              <w:rPr>
                <w:rFonts w:ascii="Calibri" w:eastAsia="Times New Roman" w:hAnsi="Calibri" w:cs="Times New Roman"/>
                <w:lang w:eastAsia="en-GB"/>
              </w:rPr>
              <w:t>Cardiff &amp; Vale UHB</w:t>
            </w:r>
          </w:p>
        </w:tc>
        <w:tc>
          <w:tcPr>
            <w:tcW w:w="3103" w:type="dxa"/>
            <w:shd w:val="clear" w:color="auto" w:fill="auto"/>
            <w:noWrap/>
            <w:vAlign w:val="bottom"/>
            <w:hideMark/>
          </w:tcPr>
          <w:p w14:paraId="7669609B" w14:textId="77777777" w:rsidR="002204E4" w:rsidRPr="001E0E74" w:rsidRDefault="002204E4" w:rsidP="00DC54F7">
            <w:pPr>
              <w:spacing w:after="0" w:line="240" w:lineRule="auto"/>
              <w:jc w:val="both"/>
              <w:rPr>
                <w:rFonts w:ascii="Calibri" w:eastAsia="Times New Roman" w:hAnsi="Calibri" w:cs="Times New Roman"/>
                <w:color w:val="000000"/>
                <w:lang w:eastAsia="en-GB"/>
              </w:rPr>
            </w:pPr>
            <w:r w:rsidRPr="001E0E74">
              <w:rPr>
                <w:rFonts w:ascii="Calibri" w:eastAsia="Times New Roman" w:hAnsi="Calibri" w:cs="Times New Roman"/>
                <w:color w:val="000000"/>
                <w:lang w:eastAsia="en-GB"/>
              </w:rPr>
              <w:t>0.7</w:t>
            </w:r>
          </w:p>
        </w:tc>
        <w:tc>
          <w:tcPr>
            <w:tcW w:w="3103" w:type="dxa"/>
            <w:shd w:val="clear" w:color="auto" w:fill="auto"/>
            <w:noWrap/>
            <w:vAlign w:val="bottom"/>
            <w:hideMark/>
          </w:tcPr>
          <w:p w14:paraId="43AC1CC2" w14:textId="77777777" w:rsidR="002204E4" w:rsidRPr="001E0E74" w:rsidRDefault="002204E4" w:rsidP="00DC54F7">
            <w:pPr>
              <w:spacing w:after="0" w:line="240" w:lineRule="auto"/>
              <w:jc w:val="both"/>
              <w:rPr>
                <w:rFonts w:ascii="Calibri" w:eastAsia="Times New Roman" w:hAnsi="Calibri" w:cs="Times New Roman"/>
                <w:color w:val="000000"/>
                <w:lang w:eastAsia="en-GB"/>
              </w:rPr>
            </w:pPr>
            <w:r w:rsidRPr="001E0E74">
              <w:rPr>
                <w:rFonts w:ascii="Calibri" w:eastAsia="Times New Roman" w:hAnsi="Calibri" w:cs="Times New Roman"/>
                <w:color w:val="000000"/>
                <w:lang w:eastAsia="en-GB"/>
              </w:rPr>
              <w:t>0.9</w:t>
            </w:r>
          </w:p>
        </w:tc>
      </w:tr>
      <w:tr w:rsidR="002204E4" w:rsidRPr="001E0E74" w14:paraId="31CF62FF" w14:textId="77777777" w:rsidTr="001B09F4">
        <w:trPr>
          <w:trHeight w:val="319"/>
        </w:trPr>
        <w:tc>
          <w:tcPr>
            <w:tcW w:w="3103" w:type="dxa"/>
            <w:shd w:val="clear" w:color="D9E1F2" w:fill="F2F2F2"/>
            <w:vAlign w:val="bottom"/>
            <w:hideMark/>
          </w:tcPr>
          <w:p w14:paraId="4A885D52" w14:textId="77777777" w:rsidR="002204E4" w:rsidRPr="001E0E74" w:rsidRDefault="002204E4" w:rsidP="00DC54F7">
            <w:pPr>
              <w:spacing w:after="0" w:line="240" w:lineRule="auto"/>
              <w:jc w:val="both"/>
              <w:rPr>
                <w:rFonts w:ascii="Calibri" w:eastAsia="Times New Roman" w:hAnsi="Calibri" w:cs="Times New Roman"/>
                <w:lang w:eastAsia="en-GB"/>
              </w:rPr>
            </w:pPr>
            <w:r w:rsidRPr="001E0E74">
              <w:rPr>
                <w:rFonts w:ascii="Calibri" w:eastAsia="Times New Roman" w:hAnsi="Calibri" w:cs="Times New Roman"/>
                <w:lang w:eastAsia="en-GB"/>
              </w:rPr>
              <w:t>Wales</w:t>
            </w:r>
          </w:p>
        </w:tc>
        <w:tc>
          <w:tcPr>
            <w:tcW w:w="3103" w:type="dxa"/>
            <w:shd w:val="clear" w:color="E2EFDA" w:fill="F2F2F2"/>
            <w:noWrap/>
            <w:vAlign w:val="bottom"/>
            <w:hideMark/>
          </w:tcPr>
          <w:p w14:paraId="6C70E821" w14:textId="77777777" w:rsidR="002204E4" w:rsidRPr="001E0E74" w:rsidRDefault="002204E4" w:rsidP="00DC54F7">
            <w:pPr>
              <w:spacing w:after="0" w:line="240" w:lineRule="auto"/>
              <w:jc w:val="both"/>
              <w:rPr>
                <w:rFonts w:ascii="Calibri" w:eastAsia="Times New Roman" w:hAnsi="Calibri" w:cs="Times New Roman"/>
                <w:color w:val="000000"/>
                <w:lang w:eastAsia="en-GB"/>
              </w:rPr>
            </w:pPr>
            <w:r w:rsidRPr="001E0E74">
              <w:rPr>
                <w:rFonts w:ascii="Calibri" w:eastAsia="Times New Roman" w:hAnsi="Calibri" w:cs="Times New Roman"/>
                <w:color w:val="000000"/>
                <w:lang w:eastAsia="en-GB"/>
              </w:rPr>
              <w:t>0.7</w:t>
            </w:r>
          </w:p>
        </w:tc>
        <w:tc>
          <w:tcPr>
            <w:tcW w:w="3103" w:type="dxa"/>
            <w:shd w:val="clear" w:color="E2EFDA" w:fill="F2F2F2"/>
            <w:noWrap/>
            <w:vAlign w:val="bottom"/>
            <w:hideMark/>
          </w:tcPr>
          <w:p w14:paraId="428635EB" w14:textId="77777777" w:rsidR="002204E4" w:rsidRPr="001E0E74" w:rsidRDefault="002204E4" w:rsidP="00DC54F7">
            <w:pPr>
              <w:spacing w:after="0" w:line="240" w:lineRule="auto"/>
              <w:jc w:val="both"/>
              <w:rPr>
                <w:rFonts w:ascii="Calibri" w:eastAsia="Times New Roman" w:hAnsi="Calibri" w:cs="Times New Roman"/>
                <w:color w:val="000000"/>
                <w:lang w:eastAsia="en-GB"/>
              </w:rPr>
            </w:pPr>
            <w:r w:rsidRPr="001E0E74">
              <w:rPr>
                <w:rFonts w:ascii="Calibri" w:eastAsia="Times New Roman" w:hAnsi="Calibri" w:cs="Times New Roman"/>
                <w:color w:val="000000"/>
                <w:lang w:eastAsia="en-GB"/>
              </w:rPr>
              <w:t>1.0</w:t>
            </w:r>
          </w:p>
        </w:tc>
      </w:tr>
    </w:tbl>
    <w:p w14:paraId="5A4705A1" w14:textId="76F97AB4" w:rsidR="00E62DB7" w:rsidRPr="00B016BB" w:rsidRDefault="00E62DB7" w:rsidP="00DC54F7">
      <w:pPr>
        <w:jc w:val="both"/>
        <w:rPr>
          <w:rFonts w:ascii="Arial" w:hAnsi="Arial" w:cs="Arial"/>
          <w:sz w:val="20"/>
          <w:szCs w:val="20"/>
        </w:rPr>
      </w:pPr>
      <w:r w:rsidRPr="00B016BB">
        <w:rPr>
          <w:rFonts w:ascii="Arial" w:hAnsi="Arial" w:cs="Arial"/>
          <w:sz w:val="20"/>
          <w:szCs w:val="20"/>
        </w:rPr>
        <w:t>Source: QOF 2019</w:t>
      </w:r>
    </w:p>
    <w:p w14:paraId="5E84842D" w14:textId="68795142" w:rsidR="002204E4" w:rsidRPr="00C956D0" w:rsidRDefault="00FE176D" w:rsidP="00DC54F7">
      <w:pPr>
        <w:spacing w:after="0" w:line="240" w:lineRule="auto"/>
        <w:jc w:val="both"/>
        <w:rPr>
          <w:rFonts w:ascii="Arial" w:hAnsi="Arial" w:cs="Arial"/>
          <w:sz w:val="24"/>
          <w:szCs w:val="24"/>
        </w:rPr>
      </w:pPr>
      <w:r w:rsidRPr="00C956D0">
        <w:rPr>
          <w:rFonts w:ascii="Arial" w:hAnsi="Arial" w:cs="Arial"/>
          <w:sz w:val="24"/>
          <w:szCs w:val="24"/>
        </w:rPr>
        <w:t xml:space="preserve">The estimated </w:t>
      </w:r>
      <w:r w:rsidR="00F745C9" w:rsidRPr="00C956D0">
        <w:rPr>
          <w:rFonts w:ascii="Arial" w:hAnsi="Arial" w:cs="Arial"/>
          <w:sz w:val="24"/>
          <w:szCs w:val="24"/>
        </w:rPr>
        <w:t xml:space="preserve">prevalence of atrial fibrillation in Cardiff West </w:t>
      </w:r>
      <w:r w:rsidR="003E016C" w:rsidRPr="00C956D0">
        <w:rPr>
          <w:rFonts w:ascii="Arial" w:hAnsi="Arial" w:cs="Arial"/>
          <w:sz w:val="24"/>
          <w:szCs w:val="24"/>
        </w:rPr>
        <w:t>c</w:t>
      </w:r>
      <w:r w:rsidR="00F745C9" w:rsidRPr="00C956D0">
        <w:rPr>
          <w:rFonts w:ascii="Arial" w:hAnsi="Arial" w:cs="Arial"/>
          <w:sz w:val="24"/>
          <w:szCs w:val="24"/>
        </w:rPr>
        <w:t xml:space="preserve">luster is the same as the average for Wales </w:t>
      </w:r>
      <w:r w:rsidR="00D35AE2" w:rsidRPr="00C956D0">
        <w:rPr>
          <w:rFonts w:ascii="Arial" w:hAnsi="Arial" w:cs="Arial"/>
          <w:sz w:val="24"/>
          <w:szCs w:val="24"/>
        </w:rPr>
        <w:t xml:space="preserve">but </w:t>
      </w:r>
      <w:r w:rsidR="00F5543E" w:rsidRPr="00C956D0">
        <w:rPr>
          <w:rFonts w:ascii="Arial" w:hAnsi="Arial" w:cs="Arial"/>
          <w:sz w:val="24"/>
          <w:szCs w:val="24"/>
        </w:rPr>
        <w:t xml:space="preserve">higher than the health board. The estimated prevalence of </w:t>
      </w:r>
      <w:r w:rsidR="00D31134" w:rsidRPr="00C956D0">
        <w:rPr>
          <w:rFonts w:ascii="Arial" w:hAnsi="Arial" w:cs="Arial"/>
          <w:sz w:val="24"/>
          <w:szCs w:val="24"/>
        </w:rPr>
        <w:t xml:space="preserve">hypertension is lower than the average for Wales </w:t>
      </w:r>
      <w:r w:rsidR="00A85AC9" w:rsidRPr="00C956D0">
        <w:rPr>
          <w:rFonts w:ascii="Arial" w:hAnsi="Arial" w:cs="Arial"/>
          <w:sz w:val="24"/>
          <w:szCs w:val="24"/>
        </w:rPr>
        <w:t>but higher than the health board.</w:t>
      </w:r>
    </w:p>
    <w:p w14:paraId="5A85CE45" w14:textId="77777777" w:rsidR="00E62DB7" w:rsidRDefault="00E62DB7" w:rsidP="00DC54F7">
      <w:pPr>
        <w:spacing w:after="0" w:line="240" w:lineRule="auto"/>
        <w:jc w:val="both"/>
        <w:rPr>
          <w:rFonts w:ascii="Arial" w:hAnsi="Arial" w:cs="Arial"/>
          <w:b/>
          <w:bCs/>
        </w:rPr>
      </w:pPr>
    </w:p>
    <w:p w14:paraId="6483799A" w14:textId="26294989" w:rsidR="002204E4" w:rsidRPr="00C956D0" w:rsidRDefault="002204E4" w:rsidP="00DC54F7">
      <w:pPr>
        <w:pStyle w:val="Caption"/>
        <w:spacing w:before="0" w:after="0"/>
        <w:jc w:val="both"/>
        <w:rPr>
          <w:rFonts w:ascii="Arial" w:hAnsi="Arial" w:cs="Arial"/>
          <w:szCs w:val="24"/>
        </w:rPr>
      </w:pPr>
      <w:r w:rsidRPr="00C956D0">
        <w:rPr>
          <w:rFonts w:ascii="Arial" w:hAnsi="Arial" w:cs="Arial"/>
          <w:szCs w:val="24"/>
        </w:rPr>
        <w:t>Table 13.</w:t>
      </w:r>
      <w:r w:rsidR="003E016C" w:rsidRPr="00C956D0">
        <w:rPr>
          <w:rFonts w:ascii="Arial" w:hAnsi="Arial" w:cs="Arial"/>
          <w:szCs w:val="24"/>
        </w:rPr>
        <w:t>5</w:t>
      </w:r>
      <w:r w:rsidRPr="00C956D0">
        <w:rPr>
          <w:rFonts w:ascii="Arial" w:hAnsi="Arial" w:cs="Arial"/>
          <w:szCs w:val="24"/>
        </w:rPr>
        <w:t>: Estimated percentage prevalence of hypertension and atrial fibrillation based on patients on GP practice registers by cluster, local authority, health board and Wales, 2019</w:t>
      </w:r>
    </w:p>
    <w:tbl>
      <w:tblPr>
        <w:tblW w:w="9447" w:type="dxa"/>
        <w:tblLook w:val="04A0" w:firstRow="1" w:lastRow="0" w:firstColumn="1" w:lastColumn="0" w:noHBand="0" w:noVBand="1"/>
      </w:tblPr>
      <w:tblGrid>
        <w:gridCol w:w="3149"/>
        <w:gridCol w:w="3149"/>
        <w:gridCol w:w="3149"/>
      </w:tblGrid>
      <w:tr w:rsidR="00BA3988" w:rsidRPr="00BA3988" w14:paraId="1CEBB39E" w14:textId="77777777" w:rsidTr="001B09F4">
        <w:trPr>
          <w:trHeight w:val="337"/>
        </w:trPr>
        <w:tc>
          <w:tcPr>
            <w:tcW w:w="3149" w:type="dxa"/>
            <w:tcBorders>
              <w:top w:val="single" w:sz="4" w:space="0" w:color="auto"/>
              <w:left w:val="single" w:sz="4" w:space="0" w:color="auto"/>
              <w:right w:val="nil"/>
            </w:tcBorders>
            <w:shd w:val="clear" w:color="auto" w:fill="8497B0"/>
            <w:noWrap/>
            <w:vAlign w:val="bottom"/>
            <w:hideMark/>
          </w:tcPr>
          <w:p w14:paraId="45EEFAA8" w14:textId="77777777" w:rsidR="00BA3988" w:rsidRPr="00BA3988" w:rsidRDefault="00BA3988" w:rsidP="00DC54F7">
            <w:pPr>
              <w:spacing w:after="0" w:line="240" w:lineRule="auto"/>
              <w:jc w:val="both"/>
              <w:rPr>
                <w:rFonts w:ascii="Calibri" w:eastAsia="Times New Roman" w:hAnsi="Calibri" w:cs="Times New Roman"/>
                <w:color w:val="000000"/>
                <w:lang w:eastAsia="en-GB"/>
              </w:rPr>
            </w:pPr>
            <w:r w:rsidRPr="00BA3988">
              <w:rPr>
                <w:rFonts w:ascii="Calibri" w:eastAsia="Times New Roman" w:hAnsi="Calibri" w:cs="Times New Roman"/>
                <w:color w:val="000000"/>
                <w:lang w:eastAsia="en-GB"/>
              </w:rPr>
              <w:t> </w:t>
            </w:r>
          </w:p>
        </w:tc>
        <w:tc>
          <w:tcPr>
            <w:tcW w:w="3149" w:type="dxa"/>
            <w:tcBorders>
              <w:top w:val="single" w:sz="4" w:space="0" w:color="auto"/>
              <w:left w:val="single" w:sz="4" w:space="0" w:color="A9D08E"/>
              <w:right w:val="nil"/>
            </w:tcBorders>
            <w:shd w:val="clear" w:color="auto" w:fill="8497B0"/>
            <w:noWrap/>
            <w:vAlign w:val="bottom"/>
            <w:hideMark/>
          </w:tcPr>
          <w:p w14:paraId="7C12DB44" w14:textId="77777777" w:rsidR="00BA3988" w:rsidRPr="00BA3988" w:rsidRDefault="00BA3988" w:rsidP="00DC54F7">
            <w:pPr>
              <w:spacing w:after="0" w:line="240" w:lineRule="auto"/>
              <w:jc w:val="both"/>
              <w:rPr>
                <w:rFonts w:ascii="Calibri" w:eastAsia="Times New Roman" w:hAnsi="Calibri" w:cs="Times New Roman"/>
                <w:b/>
                <w:bCs/>
                <w:color w:val="FFFFFF"/>
                <w:lang w:eastAsia="en-GB"/>
              </w:rPr>
            </w:pPr>
            <w:r w:rsidRPr="00BA3988">
              <w:rPr>
                <w:rFonts w:ascii="Calibri" w:eastAsia="Times New Roman" w:hAnsi="Calibri" w:cs="Times New Roman"/>
                <w:b/>
                <w:bCs/>
                <w:color w:val="FFFFFF"/>
                <w:lang w:eastAsia="en-GB"/>
              </w:rPr>
              <w:t>Atrial Fibrillation (percentage)</w:t>
            </w:r>
          </w:p>
        </w:tc>
        <w:tc>
          <w:tcPr>
            <w:tcW w:w="3149" w:type="dxa"/>
            <w:tcBorders>
              <w:top w:val="single" w:sz="4" w:space="0" w:color="auto"/>
              <w:left w:val="nil"/>
              <w:right w:val="single" w:sz="4" w:space="0" w:color="auto"/>
            </w:tcBorders>
            <w:shd w:val="clear" w:color="auto" w:fill="8497B0"/>
            <w:noWrap/>
            <w:vAlign w:val="bottom"/>
            <w:hideMark/>
          </w:tcPr>
          <w:p w14:paraId="7A72B08B" w14:textId="77777777" w:rsidR="00BA3988" w:rsidRPr="00BA3988" w:rsidRDefault="00BA3988" w:rsidP="00DC54F7">
            <w:pPr>
              <w:spacing w:after="0" w:line="240" w:lineRule="auto"/>
              <w:jc w:val="both"/>
              <w:rPr>
                <w:rFonts w:ascii="Calibri" w:eastAsia="Times New Roman" w:hAnsi="Calibri" w:cs="Times New Roman"/>
                <w:b/>
                <w:bCs/>
                <w:color w:val="FFFFFF"/>
                <w:lang w:eastAsia="en-GB"/>
              </w:rPr>
            </w:pPr>
            <w:r w:rsidRPr="00BA3988">
              <w:rPr>
                <w:rFonts w:ascii="Calibri" w:eastAsia="Times New Roman" w:hAnsi="Calibri" w:cs="Times New Roman"/>
                <w:b/>
                <w:bCs/>
                <w:color w:val="FFFFFF"/>
                <w:lang w:eastAsia="en-GB"/>
              </w:rPr>
              <w:t>Hypertension (percentage)</w:t>
            </w:r>
          </w:p>
        </w:tc>
      </w:tr>
      <w:tr w:rsidR="00BA3988" w:rsidRPr="00BA3988" w14:paraId="6CE069E7" w14:textId="77777777" w:rsidTr="001B09F4">
        <w:trPr>
          <w:trHeight w:val="337"/>
        </w:trPr>
        <w:tc>
          <w:tcPr>
            <w:tcW w:w="3149" w:type="dxa"/>
            <w:tcBorders>
              <w:left w:val="single" w:sz="4" w:space="0" w:color="auto"/>
              <w:right w:val="nil"/>
            </w:tcBorders>
            <w:shd w:val="clear" w:color="000000" w:fill="F2F2F2"/>
            <w:noWrap/>
            <w:vAlign w:val="bottom"/>
            <w:hideMark/>
          </w:tcPr>
          <w:p w14:paraId="19567643" w14:textId="77777777" w:rsidR="00BA3988" w:rsidRPr="00BA3988" w:rsidRDefault="00BA3988" w:rsidP="00DC54F7">
            <w:pPr>
              <w:spacing w:after="0" w:line="240" w:lineRule="auto"/>
              <w:jc w:val="both"/>
              <w:rPr>
                <w:rFonts w:ascii="Calibri" w:eastAsia="Times New Roman" w:hAnsi="Calibri" w:cs="Times New Roman"/>
                <w:color w:val="000000"/>
                <w:lang w:eastAsia="en-GB"/>
              </w:rPr>
            </w:pPr>
            <w:r w:rsidRPr="00BA3988">
              <w:rPr>
                <w:rFonts w:ascii="Calibri" w:eastAsia="Times New Roman" w:hAnsi="Calibri" w:cs="Times New Roman"/>
                <w:color w:val="000000"/>
                <w:lang w:eastAsia="en-GB"/>
              </w:rPr>
              <w:t>Cardiff West</w:t>
            </w:r>
          </w:p>
        </w:tc>
        <w:tc>
          <w:tcPr>
            <w:tcW w:w="3149" w:type="dxa"/>
            <w:tcBorders>
              <w:left w:val="nil"/>
              <w:right w:val="nil"/>
            </w:tcBorders>
            <w:shd w:val="clear" w:color="000000" w:fill="F2F2F2"/>
            <w:noWrap/>
            <w:vAlign w:val="bottom"/>
            <w:hideMark/>
          </w:tcPr>
          <w:p w14:paraId="2503B538" w14:textId="4848592D" w:rsidR="00BA3988" w:rsidRPr="00BA3988" w:rsidRDefault="00BA3988" w:rsidP="00DC54F7">
            <w:pPr>
              <w:spacing w:after="0" w:line="240" w:lineRule="auto"/>
              <w:jc w:val="both"/>
              <w:rPr>
                <w:rFonts w:ascii="Calibri" w:eastAsia="Times New Roman" w:hAnsi="Calibri" w:cs="Times New Roman"/>
                <w:color w:val="000000"/>
                <w:lang w:eastAsia="en-GB"/>
              </w:rPr>
            </w:pPr>
            <w:r w:rsidRPr="00BA3988">
              <w:rPr>
                <w:rFonts w:ascii="Calibri" w:eastAsia="Times New Roman" w:hAnsi="Calibri" w:cs="Times New Roman"/>
                <w:color w:val="000000"/>
                <w:lang w:eastAsia="en-GB"/>
              </w:rPr>
              <w:t>2.3</w:t>
            </w:r>
          </w:p>
        </w:tc>
        <w:tc>
          <w:tcPr>
            <w:tcW w:w="3149" w:type="dxa"/>
            <w:tcBorders>
              <w:left w:val="nil"/>
              <w:right w:val="single" w:sz="4" w:space="0" w:color="auto"/>
            </w:tcBorders>
            <w:shd w:val="clear" w:color="000000" w:fill="F2F2F2"/>
            <w:noWrap/>
            <w:vAlign w:val="bottom"/>
            <w:hideMark/>
          </w:tcPr>
          <w:p w14:paraId="1A4BE6C2" w14:textId="454F70EE" w:rsidR="00BA3988" w:rsidRPr="00BA3988" w:rsidRDefault="00BA3988" w:rsidP="00DC54F7">
            <w:pPr>
              <w:spacing w:after="0" w:line="240" w:lineRule="auto"/>
              <w:jc w:val="both"/>
              <w:rPr>
                <w:rFonts w:ascii="Calibri" w:eastAsia="Times New Roman" w:hAnsi="Calibri" w:cs="Times New Roman"/>
                <w:color w:val="000000"/>
                <w:lang w:eastAsia="en-GB"/>
              </w:rPr>
            </w:pPr>
            <w:r w:rsidRPr="00BA3988">
              <w:rPr>
                <w:rFonts w:ascii="Calibri" w:eastAsia="Times New Roman" w:hAnsi="Calibri" w:cs="Times New Roman"/>
                <w:color w:val="000000"/>
                <w:lang w:eastAsia="en-GB"/>
              </w:rPr>
              <w:t>13.5</w:t>
            </w:r>
          </w:p>
        </w:tc>
      </w:tr>
      <w:tr w:rsidR="00BA3988" w:rsidRPr="00BA3988" w14:paraId="221FCDC8" w14:textId="77777777" w:rsidTr="001B09F4">
        <w:trPr>
          <w:trHeight w:val="337"/>
        </w:trPr>
        <w:tc>
          <w:tcPr>
            <w:tcW w:w="3149" w:type="dxa"/>
            <w:tcBorders>
              <w:left w:val="single" w:sz="4" w:space="0" w:color="auto"/>
            </w:tcBorders>
            <w:shd w:val="clear" w:color="D9E1F2" w:fill="FFFFFF"/>
            <w:vAlign w:val="bottom"/>
            <w:hideMark/>
          </w:tcPr>
          <w:p w14:paraId="784BC36B" w14:textId="77777777" w:rsidR="00BA3988" w:rsidRPr="00BA3988" w:rsidRDefault="00BA3988" w:rsidP="00DC54F7">
            <w:pPr>
              <w:spacing w:after="0" w:line="240" w:lineRule="auto"/>
              <w:jc w:val="both"/>
              <w:rPr>
                <w:rFonts w:ascii="Calibri" w:eastAsia="Times New Roman" w:hAnsi="Calibri" w:cs="Times New Roman"/>
                <w:lang w:eastAsia="en-GB"/>
              </w:rPr>
            </w:pPr>
            <w:r w:rsidRPr="00BA3988">
              <w:rPr>
                <w:rFonts w:ascii="Calibri" w:eastAsia="Times New Roman" w:hAnsi="Calibri" w:cs="Times New Roman"/>
                <w:lang w:eastAsia="en-GB"/>
              </w:rPr>
              <w:t>Cardiff</w:t>
            </w:r>
          </w:p>
        </w:tc>
        <w:tc>
          <w:tcPr>
            <w:tcW w:w="3149" w:type="dxa"/>
            <w:shd w:val="clear" w:color="000000" w:fill="FFFFFF"/>
            <w:noWrap/>
            <w:vAlign w:val="bottom"/>
            <w:hideMark/>
          </w:tcPr>
          <w:p w14:paraId="0D94CD7F" w14:textId="1A91DCB4" w:rsidR="00BA3988" w:rsidRPr="00BA3988" w:rsidRDefault="00BA3988" w:rsidP="00DC54F7">
            <w:pPr>
              <w:spacing w:after="0" w:line="240" w:lineRule="auto"/>
              <w:jc w:val="both"/>
              <w:rPr>
                <w:rFonts w:ascii="Calibri" w:eastAsia="Times New Roman" w:hAnsi="Calibri" w:cs="Times New Roman"/>
                <w:color w:val="000000"/>
                <w:lang w:eastAsia="en-GB"/>
              </w:rPr>
            </w:pPr>
            <w:r w:rsidRPr="00BA3988">
              <w:rPr>
                <w:rFonts w:ascii="Calibri" w:eastAsia="Times New Roman" w:hAnsi="Calibri" w:cs="Times New Roman"/>
                <w:color w:val="000000"/>
                <w:lang w:eastAsia="en-GB"/>
              </w:rPr>
              <w:t>1.6</w:t>
            </w:r>
          </w:p>
        </w:tc>
        <w:tc>
          <w:tcPr>
            <w:tcW w:w="3149" w:type="dxa"/>
            <w:tcBorders>
              <w:right w:val="single" w:sz="4" w:space="0" w:color="auto"/>
            </w:tcBorders>
            <w:shd w:val="clear" w:color="000000" w:fill="FFFFFF"/>
            <w:noWrap/>
            <w:vAlign w:val="bottom"/>
            <w:hideMark/>
          </w:tcPr>
          <w:p w14:paraId="209C2AB9" w14:textId="13AC2DB6" w:rsidR="00BA3988" w:rsidRPr="00BA3988" w:rsidRDefault="00BA3988" w:rsidP="00DC54F7">
            <w:pPr>
              <w:spacing w:after="0" w:line="240" w:lineRule="auto"/>
              <w:jc w:val="both"/>
              <w:rPr>
                <w:rFonts w:ascii="Calibri" w:eastAsia="Times New Roman" w:hAnsi="Calibri" w:cs="Times New Roman"/>
                <w:color w:val="000000"/>
                <w:lang w:eastAsia="en-GB"/>
              </w:rPr>
            </w:pPr>
            <w:r w:rsidRPr="00BA3988">
              <w:rPr>
                <w:rFonts w:ascii="Calibri" w:eastAsia="Times New Roman" w:hAnsi="Calibri" w:cs="Times New Roman"/>
                <w:color w:val="000000"/>
                <w:lang w:eastAsia="en-GB"/>
              </w:rPr>
              <w:t>11.8</w:t>
            </w:r>
          </w:p>
        </w:tc>
      </w:tr>
      <w:tr w:rsidR="00BA3988" w:rsidRPr="00BA3988" w14:paraId="0F9776B5" w14:textId="77777777" w:rsidTr="001B09F4">
        <w:trPr>
          <w:trHeight w:val="337"/>
        </w:trPr>
        <w:tc>
          <w:tcPr>
            <w:tcW w:w="3149" w:type="dxa"/>
            <w:tcBorders>
              <w:top w:val="nil"/>
              <w:left w:val="single" w:sz="4" w:space="0" w:color="auto"/>
            </w:tcBorders>
            <w:shd w:val="clear" w:color="D9E1F2" w:fill="F2F2F2"/>
            <w:vAlign w:val="bottom"/>
            <w:hideMark/>
          </w:tcPr>
          <w:p w14:paraId="39262B94" w14:textId="77777777" w:rsidR="00BA3988" w:rsidRPr="00BA3988" w:rsidRDefault="00BA3988" w:rsidP="00DC54F7">
            <w:pPr>
              <w:spacing w:after="0" w:line="240" w:lineRule="auto"/>
              <w:jc w:val="both"/>
              <w:rPr>
                <w:rFonts w:ascii="Calibri" w:eastAsia="Times New Roman" w:hAnsi="Calibri" w:cs="Times New Roman"/>
                <w:lang w:eastAsia="en-GB"/>
              </w:rPr>
            </w:pPr>
            <w:r w:rsidRPr="00BA3988">
              <w:rPr>
                <w:rFonts w:ascii="Calibri" w:eastAsia="Times New Roman" w:hAnsi="Calibri" w:cs="Times New Roman"/>
                <w:lang w:eastAsia="en-GB"/>
              </w:rPr>
              <w:t>Cardiff &amp; Vale UHB</w:t>
            </w:r>
          </w:p>
        </w:tc>
        <w:tc>
          <w:tcPr>
            <w:tcW w:w="3149" w:type="dxa"/>
            <w:tcBorders>
              <w:top w:val="nil"/>
            </w:tcBorders>
            <w:shd w:val="clear" w:color="000000" w:fill="F2F2F2"/>
            <w:noWrap/>
            <w:vAlign w:val="bottom"/>
            <w:hideMark/>
          </w:tcPr>
          <w:p w14:paraId="08628FE8" w14:textId="68CCB88F" w:rsidR="00BA3988" w:rsidRPr="00BA3988" w:rsidRDefault="00BA3988" w:rsidP="00DC54F7">
            <w:pPr>
              <w:spacing w:after="0" w:line="240" w:lineRule="auto"/>
              <w:jc w:val="both"/>
              <w:rPr>
                <w:rFonts w:ascii="Calibri" w:eastAsia="Times New Roman" w:hAnsi="Calibri" w:cs="Times New Roman"/>
                <w:color w:val="000000"/>
                <w:lang w:eastAsia="en-GB"/>
              </w:rPr>
            </w:pPr>
            <w:r w:rsidRPr="00BA3988">
              <w:rPr>
                <w:rFonts w:ascii="Calibri" w:eastAsia="Times New Roman" w:hAnsi="Calibri" w:cs="Times New Roman"/>
                <w:color w:val="000000"/>
                <w:lang w:eastAsia="en-GB"/>
              </w:rPr>
              <w:t>1.8</w:t>
            </w:r>
          </w:p>
        </w:tc>
        <w:tc>
          <w:tcPr>
            <w:tcW w:w="3149" w:type="dxa"/>
            <w:tcBorders>
              <w:top w:val="nil"/>
              <w:right w:val="single" w:sz="4" w:space="0" w:color="auto"/>
            </w:tcBorders>
            <w:shd w:val="clear" w:color="000000" w:fill="F2F2F2"/>
            <w:noWrap/>
            <w:vAlign w:val="bottom"/>
            <w:hideMark/>
          </w:tcPr>
          <w:p w14:paraId="4837612A" w14:textId="4F624B06" w:rsidR="00BA3988" w:rsidRPr="00BA3988" w:rsidRDefault="00BA3988" w:rsidP="00DC54F7">
            <w:pPr>
              <w:spacing w:after="0" w:line="240" w:lineRule="auto"/>
              <w:jc w:val="both"/>
              <w:rPr>
                <w:rFonts w:ascii="Calibri" w:eastAsia="Times New Roman" w:hAnsi="Calibri" w:cs="Times New Roman"/>
                <w:color w:val="000000"/>
                <w:lang w:eastAsia="en-GB"/>
              </w:rPr>
            </w:pPr>
            <w:r w:rsidRPr="00BA3988">
              <w:rPr>
                <w:rFonts w:ascii="Calibri" w:eastAsia="Times New Roman" w:hAnsi="Calibri" w:cs="Times New Roman"/>
                <w:color w:val="000000"/>
                <w:lang w:eastAsia="en-GB"/>
              </w:rPr>
              <w:t>12.6</w:t>
            </w:r>
          </w:p>
        </w:tc>
      </w:tr>
      <w:tr w:rsidR="00BA3988" w:rsidRPr="00BA3988" w14:paraId="09CACEA9" w14:textId="77777777" w:rsidTr="001B09F4">
        <w:trPr>
          <w:trHeight w:val="337"/>
        </w:trPr>
        <w:tc>
          <w:tcPr>
            <w:tcW w:w="3149" w:type="dxa"/>
            <w:tcBorders>
              <w:top w:val="nil"/>
              <w:left w:val="single" w:sz="4" w:space="0" w:color="auto"/>
              <w:bottom w:val="single" w:sz="4" w:space="0" w:color="auto"/>
            </w:tcBorders>
            <w:shd w:val="clear" w:color="D9E1F2" w:fill="FFFFFF"/>
            <w:vAlign w:val="bottom"/>
            <w:hideMark/>
          </w:tcPr>
          <w:p w14:paraId="40B1A731" w14:textId="77777777" w:rsidR="00BA3988" w:rsidRPr="00BA3988" w:rsidRDefault="00BA3988" w:rsidP="00DC54F7">
            <w:pPr>
              <w:spacing w:after="0" w:line="240" w:lineRule="auto"/>
              <w:jc w:val="both"/>
              <w:rPr>
                <w:rFonts w:ascii="Calibri" w:eastAsia="Times New Roman" w:hAnsi="Calibri" w:cs="Times New Roman"/>
                <w:lang w:eastAsia="en-GB"/>
              </w:rPr>
            </w:pPr>
            <w:r w:rsidRPr="00BA3988">
              <w:rPr>
                <w:rFonts w:ascii="Calibri" w:eastAsia="Times New Roman" w:hAnsi="Calibri" w:cs="Times New Roman"/>
                <w:lang w:eastAsia="en-GB"/>
              </w:rPr>
              <w:t>Wales</w:t>
            </w:r>
          </w:p>
        </w:tc>
        <w:tc>
          <w:tcPr>
            <w:tcW w:w="3149" w:type="dxa"/>
            <w:tcBorders>
              <w:top w:val="nil"/>
              <w:bottom w:val="single" w:sz="4" w:space="0" w:color="auto"/>
            </w:tcBorders>
            <w:shd w:val="clear" w:color="E2EFDA" w:fill="FFFFFF"/>
            <w:noWrap/>
            <w:vAlign w:val="bottom"/>
            <w:hideMark/>
          </w:tcPr>
          <w:p w14:paraId="7A67C76F" w14:textId="10D1379E" w:rsidR="00BA3988" w:rsidRPr="00BA3988" w:rsidRDefault="00BA3988" w:rsidP="00DC54F7">
            <w:pPr>
              <w:spacing w:after="0" w:line="240" w:lineRule="auto"/>
              <w:jc w:val="both"/>
              <w:rPr>
                <w:rFonts w:ascii="Calibri" w:eastAsia="Times New Roman" w:hAnsi="Calibri" w:cs="Times New Roman"/>
                <w:color w:val="000000"/>
                <w:lang w:eastAsia="en-GB"/>
              </w:rPr>
            </w:pPr>
            <w:r w:rsidRPr="00BA3988">
              <w:rPr>
                <w:rFonts w:ascii="Calibri" w:eastAsia="Times New Roman" w:hAnsi="Calibri" w:cs="Times New Roman"/>
                <w:color w:val="000000"/>
                <w:lang w:eastAsia="en-GB"/>
              </w:rPr>
              <w:t>2.3</w:t>
            </w:r>
          </w:p>
        </w:tc>
        <w:tc>
          <w:tcPr>
            <w:tcW w:w="3149" w:type="dxa"/>
            <w:tcBorders>
              <w:top w:val="nil"/>
              <w:bottom w:val="single" w:sz="4" w:space="0" w:color="auto"/>
              <w:right w:val="single" w:sz="4" w:space="0" w:color="auto"/>
            </w:tcBorders>
            <w:shd w:val="clear" w:color="E2EFDA" w:fill="FFFFFF"/>
            <w:noWrap/>
            <w:vAlign w:val="bottom"/>
            <w:hideMark/>
          </w:tcPr>
          <w:p w14:paraId="7A5AD5D9" w14:textId="08E50FF5" w:rsidR="00BA3988" w:rsidRPr="00BA3988" w:rsidRDefault="00BA3988" w:rsidP="00DC54F7">
            <w:pPr>
              <w:spacing w:after="0" w:line="240" w:lineRule="auto"/>
              <w:jc w:val="both"/>
              <w:rPr>
                <w:rFonts w:ascii="Calibri" w:eastAsia="Times New Roman" w:hAnsi="Calibri" w:cs="Times New Roman"/>
                <w:color w:val="000000"/>
                <w:lang w:eastAsia="en-GB"/>
              </w:rPr>
            </w:pPr>
            <w:r w:rsidRPr="00BA3988">
              <w:rPr>
                <w:rFonts w:ascii="Calibri" w:eastAsia="Times New Roman" w:hAnsi="Calibri" w:cs="Times New Roman"/>
                <w:color w:val="000000"/>
                <w:lang w:eastAsia="en-GB"/>
              </w:rPr>
              <w:t>15.8</w:t>
            </w:r>
          </w:p>
        </w:tc>
      </w:tr>
    </w:tbl>
    <w:p w14:paraId="701C4AAF" w14:textId="77777777" w:rsidR="00E62DB7" w:rsidRPr="00C956D0" w:rsidRDefault="00E62DB7" w:rsidP="00DC54F7">
      <w:pPr>
        <w:jc w:val="both"/>
        <w:rPr>
          <w:rFonts w:ascii="Arial" w:hAnsi="Arial" w:cs="Arial"/>
          <w:sz w:val="20"/>
          <w:szCs w:val="20"/>
        </w:rPr>
      </w:pPr>
      <w:r w:rsidRPr="00C956D0">
        <w:rPr>
          <w:rFonts w:ascii="Arial" w:hAnsi="Arial" w:cs="Arial"/>
          <w:sz w:val="20"/>
          <w:szCs w:val="20"/>
        </w:rPr>
        <w:t>Source: QOF 2019</w:t>
      </w:r>
    </w:p>
    <w:p w14:paraId="2C381AB6" w14:textId="4D13A935" w:rsidR="00FD6000" w:rsidRPr="00666A23" w:rsidRDefault="00FD6000" w:rsidP="00DC54F7">
      <w:pPr>
        <w:spacing w:after="0" w:line="240" w:lineRule="auto"/>
        <w:jc w:val="both"/>
        <w:rPr>
          <w:rFonts w:ascii="Arial" w:hAnsi="Arial" w:cs="Arial"/>
          <w:sz w:val="24"/>
          <w:szCs w:val="24"/>
        </w:rPr>
      </w:pPr>
      <w:r w:rsidRPr="00666A23">
        <w:rPr>
          <w:rFonts w:ascii="Arial" w:hAnsi="Arial" w:cs="Arial"/>
          <w:sz w:val="24"/>
          <w:szCs w:val="24"/>
        </w:rPr>
        <w:t xml:space="preserve">Many of the factors that contribute to the inequalities in health and well-being are preventable. Table </w:t>
      </w:r>
      <w:r w:rsidR="00D35AE2" w:rsidRPr="00666A23">
        <w:rPr>
          <w:rFonts w:ascii="Arial" w:hAnsi="Arial" w:cs="Arial"/>
          <w:sz w:val="24"/>
          <w:szCs w:val="24"/>
        </w:rPr>
        <w:t>13</w:t>
      </w:r>
      <w:r w:rsidRPr="00666A23">
        <w:rPr>
          <w:rFonts w:ascii="Arial" w:hAnsi="Arial" w:cs="Arial"/>
          <w:sz w:val="24"/>
          <w:szCs w:val="24"/>
        </w:rPr>
        <w:t>.</w:t>
      </w:r>
      <w:r w:rsidR="003E016C" w:rsidRPr="00666A23">
        <w:rPr>
          <w:rFonts w:ascii="Arial" w:hAnsi="Arial" w:cs="Arial"/>
          <w:sz w:val="24"/>
          <w:szCs w:val="24"/>
        </w:rPr>
        <w:t>6</w:t>
      </w:r>
      <w:r w:rsidRPr="00666A23">
        <w:rPr>
          <w:rFonts w:ascii="Arial" w:hAnsi="Arial" w:cs="Arial"/>
          <w:sz w:val="24"/>
          <w:szCs w:val="24"/>
        </w:rPr>
        <w:t xml:space="preserve"> shows the percentage of adults self-reporting harmful behaviours, where a lower percentage for smoking and drinking above the guidelines is seen as more beneficial </w:t>
      </w:r>
      <w:r w:rsidR="00362441" w:rsidRPr="00666A23">
        <w:rPr>
          <w:rFonts w:ascii="Arial" w:hAnsi="Arial" w:cs="Arial"/>
          <w:sz w:val="24"/>
          <w:szCs w:val="24"/>
        </w:rPr>
        <w:t xml:space="preserve">to health and well-being </w:t>
      </w:r>
      <w:r w:rsidRPr="00666A23">
        <w:rPr>
          <w:rFonts w:ascii="Arial" w:hAnsi="Arial" w:cs="Arial"/>
          <w:sz w:val="24"/>
          <w:szCs w:val="24"/>
        </w:rPr>
        <w:t xml:space="preserve">as is a higher percentage for working age adults of healthy weight, meeting the physical activity guidelines and consuming </w:t>
      </w:r>
      <w:r w:rsidR="00666A23">
        <w:rPr>
          <w:rFonts w:ascii="Arial" w:hAnsi="Arial" w:cs="Arial"/>
          <w:sz w:val="24"/>
          <w:szCs w:val="24"/>
        </w:rPr>
        <w:t>five</w:t>
      </w:r>
      <w:r w:rsidRPr="00666A23">
        <w:rPr>
          <w:rFonts w:ascii="Arial" w:hAnsi="Arial" w:cs="Arial"/>
          <w:sz w:val="24"/>
          <w:szCs w:val="24"/>
        </w:rPr>
        <w:t xml:space="preserve"> a day. </w:t>
      </w:r>
    </w:p>
    <w:p w14:paraId="4307D5B7" w14:textId="77777777" w:rsidR="00D35AE2" w:rsidRPr="00666A23" w:rsidRDefault="00D35AE2" w:rsidP="00DC54F7">
      <w:pPr>
        <w:spacing w:after="0" w:line="240" w:lineRule="auto"/>
        <w:jc w:val="both"/>
        <w:rPr>
          <w:rFonts w:ascii="Arial" w:hAnsi="Arial" w:cs="Arial"/>
          <w:sz w:val="24"/>
          <w:szCs w:val="24"/>
        </w:rPr>
      </w:pPr>
    </w:p>
    <w:p w14:paraId="2B77D623" w14:textId="505282BF" w:rsidR="005F5614" w:rsidRPr="00666A23" w:rsidRDefault="00FD6000" w:rsidP="00DC54F7">
      <w:pPr>
        <w:spacing w:after="0" w:line="240" w:lineRule="auto"/>
        <w:jc w:val="both"/>
        <w:rPr>
          <w:rFonts w:ascii="Arial" w:hAnsi="Arial" w:cs="Arial"/>
          <w:color w:val="000000" w:themeColor="text1"/>
          <w:sz w:val="24"/>
          <w:szCs w:val="24"/>
        </w:rPr>
      </w:pPr>
      <w:r w:rsidRPr="00666A23">
        <w:rPr>
          <w:rFonts w:ascii="Arial" w:hAnsi="Arial" w:cs="Arial"/>
          <w:sz w:val="24"/>
          <w:szCs w:val="24"/>
        </w:rPr>
        <w:t xml:space="preserve">Overall, the percentage of adults reporting behaviours which support healthy outcomes in Cardiff </w:t>
      </w:r>
      <w:r w:rsidR="00362441" w:rsidRPr="00666A23">
        <w:rPr>
          <w:rFonts w:ascii="Arial" w:hAnsi="Arial" w:cs="Arial"/>
          <w:sz w:val="24"/>
          <w:szCs w:val="24"/>
        </w:rPr>
        <w:t>West</w:t>
      </w:r>
      <w:r w:rsidRPr="00666A23">
        <w:rPr>
          <w:rFonts w:ascii="Arial" w:hAnsi="Arial" w:cs="Arial"/>
          <w:sz w:val="24"/>
          <w:szCs w:val="24"/>
        </w:rPr>
        <w:t xml:space="preserve"> cluster is </w:t>
      </w:r>
      <w:r w:rsidR="00DC07AC" w:rsidRPr="00666A23">
        <w:rPr>
          <w:rFonts w:ascii="Arial" w:hAnsi="Arial" w:cs="Arial"/>
          <w:sz w:val="24"/>
          <w:szCs w:val="24"/>
        </w:rPr>
        <w:t>higher</w:t>
      </w:r>
      <w:r w:rsidRPr="00666A23">
        <w:rPr>
          <w:rFonts w:ascii="Arial" w:hAnsi="Arial" w:cs="Arial"/>
          <w:sz w:val="24"/>
          <w:szCs w:val="24"/>
        </w:rPr>
        <w:t xml:space="preserve"> than</w:t>
      </w:r>
      <w:r w:rsidRPr="00666A23">
        <w:rPr>
          <w:rFonts w:ascii="Arial" w:hAnsi="Arial" w:cs="Arial"/>
          <w:color w:val="000000"/>
          <w:sz w:val="24"/>
          <w:szCs w:val="24"/>
        </w:rPr>
        <w:t xml:space="preserve"> Cardiff and Vale University </w:t>
      </w:r>
      <w:r w:rsidRPr="00666A23">
        <w:rPr>
          <w:rFonts w:ascii="Arial" w:hAnsi="Arial" w:cs="Arial"/>
          <w:sz w:val="24"/>
          <w:szCs w:val="24"/>
        </w:rPr>
        <w:t xml:space="preserve">Health Board and the average for Wales, except for drinking above the guidelines. </w:t>
      </w:r>
    </w:p>
    <w:p w14:paraId="086EBD0C" w14:textId="1EF00F07" w:rsidR="001E1E56" w:rsidRDefault="001E1E56" w:rsidP="00DC54F7">
      <w:pPr>
        <w:spacing w:after="0" w:line="240" w:lineRule="auto"/>
        <w:jc w:val="both"/>
        <w:rPr>
          <w:rFonts w:ascii="Arial" w:hAnsi="Arial" w:cs="Arial"/>
          <w:color w:val="000000" w:themeColor="text1"/>
        </w:rPr>
      </w:pPr>
    </w:p>
    <w:p w14:paraId="7A7D4A78" w14:textId="339ED003" w:rsidR="00CD7A5C" w:rsidRDefault="00CD7A5C" w:rsidP="00DC54F7">
      <w:pPr>
        <w:spacing w:after="0" w:line="240" w:lineRule="auto"/>
        <w:jc w:val="both"/>
        <w:rPr>
          <w:rFonts w:ascii="Arial" w:hAnsi="Arial" w:cs="Arial"/>
          <w:color w:val="000000" w:themeColor="text1"/>
        </w:rPr>
      </w:pPr>
    </w:p>
    <w:p w14:paraId="6E9EC4A6" w14:textId="5BEB1208" w:rsidR="00CD7A5C" w:rsidRDefault="00CD7A5C" w:rsidP="00DC54F7">
      <w:pPr>
        <w:spacing w:after="0" w:line="240" w:lineRule="auto"/>
        <w:jc w:val="both"/>
        <w:rPr>
          <w:rFonts w:ascii="Arial" w:hAnsi="Arial" w:cs="Arial"/>
          <w:color w:val="000000" w:themeColor="text1"/>
        </w:rPr>
      </w:pPr>
    </w:p>
    <w:p w14:paraId="641FB550" w14:textId="2F7BBA4C" w:rsidR="00CD7A5C" w:rsidRDefault="00CD7A5C" w:rsidP="00DC54F7">
      <w:pPr>
        <w:spacing w:after="0" w:line="240" w:lineRule="auto"/>
        <w:jc w:val="both"/>
        <w:rPr>
          <w:rFonts w:ascii="Arial" w:hAnsi="Arial" w:cs="Arial"/>
          <w:color w:val="000000" w:themeColor="text1"/>
        </w:rPr>
      </w:pPr>
    </w:p>
    <w:p w14:paraId="38A6AF3B" w14:textId="6D9D380F" w:rsidR="00CD7A5C" w:rsidRDefault="00CD7A5C" w:rsidP="00DC54F7">
      <w:pPr>
        <w:spacing w:after="0" w:line="240" w:lineRule="auto"/>
        <w:jc w:val="both"/>
        <w:rPr>
          <w:rFonts w:ascii="Arial" w:hAnsi="Arial" w:cs="Arial"/>
          <w:color w:val="000000" w:themeColor="text1"/>
        </w:rPr>
      </w:pPr>
    </w:p>
    <w:p w14:paraId="437C782F" w14:textId="191B69BC" w:rsidR="00CD7A5C" w:rsidRDefault="00CD7A5C" w:rsidP="00DC54F7">
      <w:pPr>
        <w:spacing w:after="0" w:line="240" w:lineRule="auto"/>
        <w:jc w:val="both"/>
        <w:rPr>
          <w:rFonts w:ascii="Arial" w:hAnsi="Arial" w:cs="Arial"/>
          <w:color w:val="000000" w:themeColor="text1"/>
        </w:rPr>
      </w:pPr>
    </w:p>
    <w:p w14:paraId="4BB40FC9" w14:textId="55CE7E97" w:rsidR="00CD7A5C" w:rsidRDefault="00CD7A5C" w:rsidP="00DC54F7">
      <w:pPr>
        <w:spacing w:after="0" w:line="240" w:lineRule="auto"/>
        <w:jc w:val="both"/>
        <w:rPr>
          <w:rFonts w:ascii="Arial" w:hAnsi="Arial" w:cs="Arial"/>
          <w:color w:val="000000" w:themeColor="text1"/>
        </w:rPr>
      </w:pPr>
    </w:p>
    <w:p w14:paraId="6DDB4843" w14:textId="10701147" w:rsidR="00CD7A5C" w:rsidRDefault="00CD7A5C" w:rsidP="00DC54F7">
      <w:pPr>
        <w:spacing w:after="0" w:line="240" w:lineRule="auto"/>
        <w:jc w:val="both"/>
        <w:rPr>
          <w:rFonts w:ascii="Arial" w:hAnsi="Arial" w:cs="Arial"/>
          <w:color w:val="000000" w:themeColor="text1"/>
        </w:rPr>
      </w:pPr>
    </w:p>
    <w:p w14:paraId="365389AA" w14:textId="3DD5136D" w:rsidR="00CD7A5C" w:rsidRDefault="00CD7A5C" w:rsidP="00DC54F7">
      <w:pPr>
        <w:spacing w:after="0" w:line="240" w:lineRule="auto"/>
        <w:jc w:val="both"/>
        <w:rPr>
          <w:rFonts w:ascii="Arial" w:hAnsi="Arial" w:cs="Arial"/>
          <w:color w:val="000000" w:themeColor="text1"/>
        </w:rPr>
      </w:pPr>
    </w:p>
    <w:p w14:paraId="3257202E" w14:textId="537A478C" w:rsidR="00CD7A5C" w:rsidRDefault="00CD7A5C" w:rsidP="00DC54F7">
      <w:pPr>
        <w:jc w:val="both"/>
        <w:rPr>
          <w:rFonts w:ascii="Arial" w:hAnsi="Arial" w:cs="Arial"/>
          <w:color w:val="000000" w:themeColor="text1"/>
        </w:rPr>
      </w:pPr>
      <w:r>
        <w:rPr>
          <w:rFonts w:ascii="Arial" w:hAnsi="Arial" w:cs="Arial"/>
          <w:color w:val="000000" w:themeColor="text1"/>
        </w:rPr>
        <w:br w:type="page"/>
      </w:r>
    </w:p>
    <w:p w14:paraId="5F38325C" w14:textId="41D6281C" w:rsidR="005F5614" w:rsidRPr="00666A23" w:rsidRDefault="002204E4" w:rsidP="00DC54F7">
      <w:pPr>
        <w:pStyle w:val="Caption"/>
        <w:spacing w:before="0" w:after="0"/>
        <w:jc w:val="both"/>
        <w:rPr>
          <w:rFonts w:ascii="Arial" w:hAnsi="Arial" w:cs="Arial"/>
          <w:szCs w:val="24"/>
        </w:rPr>
      </w:pPr>
      <w:r w:rsidRPr="00666A23">
        <w:rPr>
          <w:rFonts w:ascii="Arial" w:hAnsi="Arial" w:cs="Arial"/>
          <w:szCs w:val="24"/>
        </w:rPr>
        <w:lastRenderedPageBreak/>
        <w:t>Table 13.</w:t>
      </w:r>
      <w:r w:rsidR="003E016C" w:rsidRPr="00666A23">
        <w:rPr>
          <w:rFonts w:ascii="Arial" w:hAnsi="Arial" w:cs="Arial"/>
          <w:szCs w:val="24"/>
        </w:rPr>
        <w:t>6</w:t>
      </w:r>
      <w:r w:rsidRPr="00666A23">
        <w:rPr>
          <w:rFonts w:ascii="Arial" w:hAnsi="Arial" w:cs="Arial"/>
          <w:szCs w:val="24"/>
        </w:rPr>
        <w:t>: Percentage of adults (aged 16 years and over) reporting behaviours by cluster, health board and Wales, 2016 to 2018</w:t>
      </w:r>
    </w:p>
    <w:tbl>
      <w:tblPr>
        <w:tblW w:w="9801"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100"/>
        <w:gridCol w:w="1282"/>
        <w:gridCol w:w="15"/>
        <w:gridCol w:w="1268"/>
        <w:gridCol w:w="515"/>
        <w:gridCol w:w="627"/>
        <w:gridCol w:w="141"/>
        <w:gridCol w:w="1283"/>
        <w:gridCol w:w="1029"/>
        <w:gridCol w:w="254"/>
        <w:gridCol w:w="1287"/>
      </w:tblGrid>
      <w:tr w:rsidR="00666A23" w:rsidRPr="002204E4" w14:paraId="0E42DD5B" w14:textId="77777777" w:rsidTr="0052258B">
        <w:trPr>
          <w:trHeight w:val="20"/>
        </w:trPr>
        <w:tc>
          <w:tcPr>
            <w:tcW w:w="2100" w:type="dxa"/>
            <w:shd w:val="clear" w:color="auto" w:fill="8497B0"/>
            <w:noWrap/>
            <w:vAlign w:val="center"/>
            <w:hideMark/>
          </w:tcPr>
          <w:p w14:paraId="642DADBF" w14:textId="77777777" w:rsidR="00B349D1" w:rsidRPr="00666A23" w:rsidRDefault="00B349D1" w:rsidP="00DC54F7">
            <w:pPr>
              <w:spacing w:after="0" w:line="240" w:lineRule="auto"/>
              <w:jc w:val="both"/>
              <w:rPr>
                <w:rFonts w:eastAsia="Times New Roman" w:cs="Arial"/>
                <w:b/>
                <w:bCs/>
                <w:color w:val="FFFFFF"/>
                <w:lang w:eastAsia="en-GB"/>
              </w:rPr>
            </w:pPr>
            <w:r w:rsidRPr="00666A23">
              <w:rPr>
                <w:rFonts w:eastAsia="Times New Roman" w:cs="Arial"/>
                <w:b/>
                <w:bCs/>
                <w:color w:val="FFFFFF"/>
                <w:lang w:eastAsia="en-GB"/>
              </w:rPr>
              <w:t> </w:t>
            </w:r>
          </w:p>
        </w:tc>
        <w:tc>
          <w:tcPr>
            <w:tcW w:w="1297" w:type="dxa"/>
            <w:gridSpan w:val="2"/>
            <w:shd w:val="clear" w:color="auto" w:fill="8497B0"/>
            <w:noWrap/>
            <w:vAlign w:val="center"/>
            <w:hideMark/>
          </w:tcPr>
          <w:p w14:paraId="476F68EE" w14:textId="77777777" w:rsidR="00B349D1" w:rsidRPr="00666A23" w:rsidRDefault="00B349D1" w:rsidP="00DC54F7">
            <w:pPr>
              <w:spacing w:after="0" w:line="240" w:lineRule="auto"/>
              <w:jc w:val="both"/>
              <w:rPr>
                <w:rFonts w:eastAsia="Times New Roman" w:cs="Arial"/>
                <w:b/>
                <w:bCs/>
                <w:color w:val="FFFFFF"/>
                <w:lang w:eastAsia="en-GB"/>
              </w:rPr>
            </w:pPr>
            <w:r w:rsidRPr="00666A23">
              <w:rPr>
                <w:rFonts w:eastAsia="Times New Roman" w:cs="Arial"/>
                <w:b/>
                <w:bCs/>
                <w:color w:val="FFFFFF"/>
                <w:lang w:eastAsia="en-GB"/>
              </w:rPr>
              <w:t>Count</w:t>
            </w:r>
          </w:p>
        </w:tc>
        <w:tc>
          <w:tcPr>
            <w:tcW w:w="1783" w:type="dxa"/>
            <w:gridSpan w:val="2"/>
            <w:shd w:val="clear" w:color="auto" w:fill="8497B0"/>
            <w:noWrap/>
            <w:vAlign w:val="center"/>
            <w:hideMark/>
          </w:tcPr>
          <w:p w14:paraId="1819458F" w14:textId="77777777" w:rsidR="00B349D1" w:rsidRPr="00666A23" w:rsidRDefault="00B349D1" w:rsidP="00DC54F7">
            <w:pPr>
              <w:spacing w:after="0" w:line="240" w:lineRule="auto"/>
              <w:jc w:val="both"/>
              <w:rPr>
                <w:rFonts w:eastAsia="Times New Roman" w:cs="Arial"/>
                <w:b/>
                <w:bCs/>
                <w:color w:val="FFFFFF"/>
                <w:lang w:eastAsia="en-GB"/>
              </w:rPr>
            </w:pPr>
            <w:r w:rsidRPr="00666A23">
              <w:rPr>
                <w:rFonts w:eastAsia="Times New Roman" w:cs="Arial"/>
                <w:b/>
                <w:bCs/>
                <w:color w:val="FFFFFF"/>
                <w:lang w:eastAsia="en-GB"/>
              </w:rPr>
              <w:t> </w:t>
            </w:r>
          </w:p>
        </w:tc>
        <w:tc>
          <w:tcPr>
            <w:tcW w:w="627" w:type="dxa"/>
            <w:shd w:val="clear" w:color="auto" w:fill="8497B0"/>
            <w:noWrap/>
            <w:vAlign w:val="center"/>
            <w:hideMark/>
          </w:tcPr>
          <w:p w14:paraId="1C8E4349" w14:textId="77777777" w:rsidR="00B349D1" w:rsidRPr="00666A23" w:rsidRDefault="00B349D1" w:rsidP="00DC54F7">
            <w:pPr>
              <w:spacing w:after="0" w:line="240" w:lineRule="auto"/>
              <w:jc w:val="both"/>
              <w:rPr>
                <w:rFonts w:eastAsia="Times New Roman" w:cs="Arial"/>
                <w:b/>
                <w:bCs/>
                <w:color w:val="FFFFFF"/>
                <w:lang w:eastAsia="en-GB"/>
              </w:rPr>
            </w:pPr>
            <w:r w:rsidRPr="00666A23">
              <w:rPr>
                <w:rFonts w:eastAsia="Times New Roman" w:cs="Arial"/>
                <w:b/>
                <w:bCs/>
                <w:color w:val="FFFFFF"/>
                <w:lang w:eastAsia="en-GB"/>
              </w:rPr>
              <w:t> </w:t>
            </w:r>
          </w:p>
        </w:tc>
        <w:tc>
          <w:tcPr>
            <w:tcW w:w="2453" w:type="dxa"/>
            <w:gridSpan w:val="3"/>
            <w:shd w:val="clear" w:color="auto" w:fill="8497B0"/>
            <w:noWrap/>
            <w:vAlign w:val="center"/>
            <w:hideMark/>
          </w:tcPr>
          <w:p w14:paraId="18B8142D" w14:textId="77777777" w:rsidR="00B349D1" w:rsidRPr="00666A23" w:rsidRDefault="00B349D1" w:rsidP="00DC54F7">
            <w:pPr>
              <w:spacing w:after="0" w:line="240" w:lineRule="auto"/>
              <w:jc w:val="both"/>
              <w:rPr>
                <w:rFonts w:eastAsia="Times New Roman" w:cs="Arial"/>
                <w:b/>
                <w:bCs/>
                <w:color w:val="FFFFFF"/>
                <w:lang w:eastAsia="en-GB"/>
              </w:rPr>
            </w:pPr>
            <w:r w:rsidRPr="00666A23">
              <w:rPr>
                <w:rFonts w:eastAsia="Times New Roman" w:cs="Arial"/>
                <w:b/>
                <w:bCs/>
                <w:color w:val="FFFFFF"/>
                <w:lang w:eastAsia="en-GB"/>
              </w:rPr>
              <w:t>Prevalence</w:t>
            </w:r>
          </w:p>
        </w:tc>
        <w:tc>
          <w:tcPr>
            <w:tcW w:w="1541" w:type="dxa"/>
            <w:gridSpan w:val="2"/>
            <w:shd w:val="clear" w:color="auto" w:fill="8497B0"/>
            <w:noWrap/>
            <w:vAlign w:val="center"/>
            <w:hideMark/>
          </w:tcPr>
          <w:p w14:paraId="68EAAEDA" w14:textId="77777777" w:rsidR="00B349D1" w:rsidRPr="00666A23" w:rsidRDefault="00B349D1" w:rsidP="00DC54F7">
            <w:pPr>
              <w:spacing w:after="0" w:line="240" w:lineRule="auto"/>
              <w:jc w:val="both"/>
              <w:rPr>
                <w:rFonts w:eastAsia="Times New Roman" w:cs="Arial"/>
                <w:b/>
                <w:bCs/>
                <w:color w:val="FFFFFF"/>
                <w:lang w:eastAsia="en-GB"/>
              </w:rPr>
            </w:pPr>
            <w:r w:rsidRPr="00666A23">
              <w:rPr>
                <w:rFonts w:eastAsia="Times New Roman" w:cs="Arial"/>
                <w:b/>
                <w:bCs/>
                <w:color w:val="FFFFFF"/>
                <w:lang w:eastAsia="en-GB"/>
              </w:rPr>
              <w:t> </w:t>
            </w:r>
          </w:p>
        </w:tc>
      </w:tr>
      <w:tr w:rsidR="00666A23" w:rsidRPr="00B349D1" w14:paraId="6726337E" w14:textId="77777777" w:rsidTr="0052258B">
        <w:trPr>
          <w:trHeight w:val="20"/>
        </w:trPr>
        <w:tc>
          <w:tcPr>
            <w:tcW w:w="2100" w:type="dxa"/>
            <w:shd w:val="clear" w:color="auto" w:fill="8497B0"/>
            <w:vAlign w:val="center"/>
            <w:hideMark/>
          </w:tcPr>
          <w:p w14:paraId="36329EB6" w14:textId="77777777" w:rsidR="00B349D1" w:rsidRPr="00666A23" w:rsidRDefault="00B349D1" w:rsidP="00DC54F7">
            <w:pPr>
              <w:spacing w:after="0" w:line="240" w:lineRule="auto"/>
              <w:jc w:val="both"/>
              <w:rPr>
                <w:rFonts w:eastAsia="Times New Roman" w:cs="Arial"/>
                <w:b/>
                <w:bCs/>
                <w:color w:val="FFFFFF"/>
                <w:lang w:eastAsia="en-GB"/>
              </w:rPr>
            </w:pPr>
            <w:r w:rsidRPr="00666A23">
              <w:rPr>
                <w:rFonts w:eastAsia="Times New Roman" w:cs="Arial"/>
                <w:b/>
                <w:bCs/>
                <w:color w:val="FFFFFF"/>
                <w:lang w:eastAsia="en-GB"/>
              </w:rPr>
              <w:t>GP Cluster Name</w:t>
            </w:r>
          </w:p>
        </w:tc>
        <w:tc>
          <w:tcPr>
            <w:tcW w:w="1282" w:type="dxa"/>
            <w:shd w:val="clear" w:color="auto" w:fill="8497B0"/>
            <w:vAlign w:val="center"/>
            <w:hideMark/>
          </w:tcPr>
          <w:p w14:paraId="4EFF7DDD" w14:textId="77777777" w:rsidR="00B349D1" w:rsidRPr="00666A23" w:rsidRDefault="00B349D1" w:rsidP="00DC54F7">
            <w:pPr>
              <w:spacing w:after="0" w:line="240" w:lineRule="auto"/>
              <w:jc w:val="both"/>
              <w:rPr>
                <w:rFonts w:eastAsia="Times New Roman" w:cs="Arial"/>
                <w:b/>
                <w:bCs/>
                <w:color w:val="FFFFFF"/>
                <w:lang w:eastAsia="en-GB"/>
              </w:rPr>
            </w:pPr>
            <w:r w:rsidRPr="00666A23">
              <w:rPr>
                <w:rFonts w:eastAsia="Times New Roman" w:cs="Arial"/>
                <w:b/>
                <w:bCs/>
                <w:color w:val="FFFFFF"/>
                <w:lang w:eastAsia="en-GB"/>
              </w:rPr>
              <w:t>GP cluster population aged 16+</w:t>
            </w:r>
          </w:p>
        </w:tc>
        <w:tc>
          <w:tcPr>
            <w:tcW w:w="1283" w:type="dxa"/>
            <w:gridSpan w:val="2"/>
            <w:shd w:val="clear" w:color="auto" w:fill="8497B0"/>
            <w:vAlign w:val="center"/>
            <w:hideMark/>
          </w:tcPr>
          <w:p w14:paraId="3A8C67A5" w14:textId="77777777" w:rsidR="00B349D1" w:rsidRPr="00666A23" w:rsidRDefault="00B349D1" w:rsidP="00DC54F7">
            <w:pPr>
              <w:spacing w:after="0" w:line="240" w:lineRule="auto"/>
              <w:jc w:val="both"/>
              <w:rPr>
                <w:rFonts w:eastAsia="Times New Roman" w:cs="Arial"/>
                <w:b/>
                <w:bCs/>
                <w:color w:val="FFFFFF"/>
                <w:lang w:eastAsia="en-GB"/>
              </w:rPr>
            </w:pPr>
            <w:r w:rsidRPr="00666A23">
              <w:rPr>
                <w:rFonts w:eastAsia="Times New Roman" w:cs="Arial"/>
                <w:b/>
                <w:bCs/>
                <w:color w:val="FFFFFF"/>
                <w:lang w:eastAsia="en-GB"/>
              </w:rPr>
              <w:t>Smoking</w:t>
            </w:r>
          </w:p>
        </w:tc>
        <w:tc>
          <w:tcPr>
            <w:tcW w:w="1283" w:type="dxa"/>
            <w:gridSpan w:val="3"/>
            <w:shd w:val="clear" w:color="auto" w:fill="8497B0"/>
            <w:vAlign w:val="center"/>
            <w:hideMark/>
          </w:tcPr>
          <w:p w14:paraId="3770EF0C" w14:textId="77777777" w:rsidR="00B349D1" w:rsidRPr="00666A23" w:rsidRDefault="00B349D1" w:rsidP="00DC54F7">
            <w:pPr>
              <w:spacing w:after="0" w:line="240" w:lineRule="auto"/>
              <w:jc w:val="both"/>
              <w:rPr>
                <w:rFonts w:eastAsia="Times New Roman" w:cs="Arial"/>
                <w:b/>
                <w:bCs/>
                <w:color w:val="FFFFFF"/>
                <w:lang w:eastAsia="en-GB"/>
              </w:rPr>
            </w:pPr>
            <w:r w:rsidRPr="00666A23">
              <w:rPr>
                <w:rFonts w:eastAsia="Times New Roman" w:cs="Arial"/>
                <w:b/>
                <w:bCs/>
                <w:color w:val="FFFFFF"/>
                <w:lang w:eastAsia="en-GB"/>
              </w:rPr>
              <w:t>Drinking the above guidelines</w:t>
            </w:r>
          </w:p>
        </w:tc>
        <w:tc>
          <w:tcPr>
            <w:tcW w:w="1283" w:type="dxa"/>
            <w:shd w:val="clear" w:color="auto" w:fill="8497B0"/>
            <w:vAlign w:val="center"/>
            <w:hideMark/>
          </w:tcPr>
          <w:p w14:paraId="028F6B7E" w14:textId="77777777" w:rsidR="00B349D1" w:rsidRPr="00666A23" w:rsidRDefault="00B349D1" w:rsidP="00DC54F7">
            <w:pPr>
              <w:spacing w:after="0" w:line="240" w:lineRule="auto"/>
              <w:jc w:val="both"/>
              <w:rPr>
                <w:rFonts w:eastAsia="Times New Roman" w:cs="Arial"/>
                <w:b/>
                <w:bCs/>
                <w:color w:val="FFFFFF"/>
                <w:lang w:eastAsia="en-GB"/>
              </w:rPr>
            </w:pPr>
            <w:r w:rsidRPr="00666A23">
              <w:rPr>
                <w:rFonts w:eastAsia="Times New Roman" w:cs="Arial"/>
                <w:b/>
                <w:bCs/>
                <w:color w:val="FFFFFF"/>
                <w:lang w:eastAsia="en-GB"/>
              </w:rPr>
              <w:t>Working age adults of healthy weight</w:t>
            </w:r>
          </w:p>
        </w:tc>
        <w:tc>
          <w:tcPr>
            <w:tcW w:w="1283" w:type="dxa"/>
            <w:gridSpan w:val="2"/>
            <w:shd w:val="clear" w:color="auto" w:fill="8497B0"/>
            <w:vAlign w:val="center"/>
            <w:hideMark/>
          </w:tcPr>
          <w:p w14:paraId="531B62DD" w14:textId="77777777" w:rsidR="00B349D1" w:rsidRPr="00666A23" w:rsidRDefault="00B349D1" w:rsidP="00DC54F7">
            <w:pPr>
              <w:spacing w:after="0" w:line="240" w:lineRule="auto"/>
              <w:jc w:val="both"/>
              <w:rPr>
                <w:rFonts w:eastAsia="Times New Roman" w:cs="Arial"/>
                <w:b/>
                <w:bCs/>
                <w:color w:val="FFFFFF"/>
                <w:lang w:eastAsia="en-GB"/>
              </w:rPr>
            </w:pPr>
            <w:r w:rsidRPr="00666A23">
              <w:rPr>
                <w:rFonts w:eastAsia="Times New Roman" w:cs="Arial"/>
                <w:b/>
                <w:bCs/>
                <w:color w:val="FFFFFF"/>
                <w:lang w:eastAsia="en-GB"/>
              </w:rPr>
              <w:t>Meeting physical activity guidelines</w:t>
            </w:r>
          </w:p>
        </w:tc>
        <w:tc>
          <w:tcPr>
            <w:tcW w:w="1287" w:type="dxa"/>
            <w:shd w:val="clear" w:color="auto" w:fill="8497B0"/>
            <w:vAlign w:val="center"/>
            <w:hideMark/>
          </w:tcPr>
          <w:p w14:paraId="5CACAAED" w14:textId="77777777" w:rsidR="00B349D1" w:rsidRPr="00666A23" w:rsidRDefault="00B349D1" w:rsidP="00DC54F7">
            <w:pPr>
              <w:spacing w:after="0" w:line="240" w:lineRule="auto"/>
              <w:jc w:val="both"/>
              <w:rPr>
                <w:rFonts w:eastAsia="Times New Roman" w:cs="Arial"/>
                <w:b/>
                <w:bCs/>
                <w:color w:val="FFFFFF"/>
                <w:lang w:eastAsia="en-GB"/>
              </w:rPr>
            </w:pPr>
            <w:r w:rsidRPr="00666A23">
              <w:rPr>
                <w:rFonts w:eastAsia="Times New Roman" w:cs="Arial"/>
                <w:b/>
                <w:bCs/>
                <w:color w:val="FFFFFF"/>
                <w:lang w:eastAsia="en-GB"/>
              </w:rPr>
              <w:t>Consuming 5 a day</w:t>
            </w:r>
          </w:p>
        </w:tc>
      </w:tr>
      <w:tr w:rsidR="00666A23" w:rsidRPr="00B349D1" w14:paraId="791DA398" w14:textId="77777777" w:rsidTr="0052258B">
        <w:trPr>
          <w:trHeight w:val="283"/>
        </w:trPr>
        <w:tc>
          <w:tcPr>
            <w:tcW w:w="2100" w:type="dxa"/>
            <w:shd w:val="clear" w:color="000000" w:fill="F2F2F2"/>
            <w:noWrap/>
            <w:vAlign w:val="center"/>
            <w:hideMark/>
          </w:tcPr>
          <w:p w14:paraId="3F924A1B"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Cardiff West</w:t>
            </w:r>
          </w:p>
        </w:tc>
        <w:tc>
          <w:tcPr>
            <w:tcW w:w="1282" w:type="dxa"/>
            <w:shd w:val="clear" w:color="000000" w:fill="F2F2F2"/>
            <w:noWrap/>
            <w:vAlign w:val="center"/>
            <w:hideMark/>
          </w:tcPr>
          <w:p w14:paraId="6A31C5C6"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45,977</w:t>
            </w:r>
          </w:p>
        </w:tc>
        <w:tc>
          <w:tcPr>
            <w:tcW w:w="1283" w:type="dxa"/>
            <w:gridSpan w:val="2"/>
            <w:shd w:val="clear" w:color="000000" w:fill="F2F2F2"/>
            <w:noWrap/>
            <w:vAlign w:val="center"/>
            <w:hideMark/>
          </w:tcPr>
          <w:p w14:paraId="127D2036"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15.9</w:t>
            </w:r>
          </w:p>
        </w:tc>
        <w:tc>
          <w:tcPr>
            <w:tcW w:w="1283" w:type="dxa"/>
            <w:gridSpan w:val="3"/>
            <w:shd w:val="clear" w:color="000000" w:fill="F2F2F2"/>
            <w:noWrap/>
            <w:vAlign w:val="center"/>
            <w:hideMark/>
          </w:tcPr>
          <w:p w14:paraId="654984F1"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20.2</w:t>
            </w:r>
          </w:p>
        </w:tc>
        <w:tc>
          <w:tcPr>
            <w:tcW w:w="1283" w:type="dxa"/>
            <w:shd w:val="clear" w:color="000000" w:fill="F2F2F2"/>
            <w:noWrap/>
            <w:vAlign w:val="center"/>
            <w:hideMark/>
          </w:tcPr>
          <w:p w14:paraId="507DFCC6"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42.0</w:t>
            </w:r>
          </w:p>
        </w:tc>
        <w:tc>
          <w:tcPr>
            <w:tcW w:w="1283" w:type="dxa"/>
            <w:gridSpan w:val="2"/>
            <w:shd w:val="clear" w:color="000000" w:fill="F2F2F2"/>
            <w:noWrap/>
            <w:vAlign w:val="center"/>
            <w:hideMark/>
          </w:tcPr>
          <w:p w14:paraId="0C570F00"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56.4</w:t>
            </w:r>
          </w:p>
        </w:tc>
        <w:tc>
          <w:tcPr>
            <w:tcW w:w="1287" w:type="dxa"/>
            <w:shd w:val="clear" w:color="000000" w:fill="F2F2F2"/>
            <w:noWrap/>
            <w:vAlign w:val="center"/>
            <w:hideMark/>
          </w:tcPr>
          <w:p w14:paraId="02E72907"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26.3</w:t>
            </w:r>
          </w:p>
        </w:tc>
      </w:tr>
      <w:tr w:rsidR="00666A23" w:rsidRPr="00B349D1" w14:paraId="57C6DD49" w14:textId="77777777" w:rsidTr="0052258B">
        <w:trPr>
          <w:trHeight w:val="283"/>
        </w:trPr>
        <w:tc>
          <w:tcPr>
            <w:tcW w:w="2100" w:type="dxa"/>
            <w:shd w:val="clear" w:color="000000" w:fill="FFFFFF"/>
            <w:noWrap/>
            <w:vAlign w:val="center"/>
            <w:hideMark/>
          </w:tcPr>
          <w:p w14:paraId="0119E4F4"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Cardiff and Vale UHB</w:t>
            </w:r>
          </w:p>
        </w:tc>
        <w:tc>
          <w:tcPr>
            <w:tcW w:w="1282" w:type="dxa"/>
            <w:shd w:val="clear" w:color="000000" w:fill="FFFFFF"/>
            <w:noWrap/>
            <w:vAlign w:val="center"/>
            <w:hideMark/>
          </w:tcPr>
          <w:p w14:paraId="597109E1"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420,119</w:t>
            </w:r>
          </w:p>
        </w:tc>
        <w:tc>
          <w:tcPr>
            <w:tcW w:w="1283" w:type="dxa"/>
            <w:gridSpan w:val="2"/>
            <w:shd w:val="clear" w:color="000000" w:fill="FFFFFF"/>
            <w:noWrap/>
            <w:vAlign w:val="center"/>
            <w:hideMark/>
          </w:tcPr>
          <w:p w14:paraId="6094E124"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19.3</w:t>
            </w:r>
          </w:p>
        </w:tc>
        <w:tc>
          <w:tcPr>
            <w:tcW w:w="1283" w:type="dxa"/>
            <w:gridSpan w:val="3"/>
            <w:shd w:val="clear" w:color="000000" w:fill="FFFFFF"/>
            <w:noWrap/>
            <w:vAlign w:val="center"/>
            <w:hideMark/>
          </w:tcPr>
          <w:p w14:paraId="4A8E16AB"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18.9</w:t>
            </w:r>
          </w:p>
        </w:tc>
        <w:tc>
          <w:tcPr>
            <w:tcW w:w="1283" w:type="dxa"/>
            <w:shd w:val="clear" w:color="000000" w:fill="FFFFFF"/>
            <w:noWrap/>
            <w:vAlign w:val="center"/>
            <w:hideMark/>
          </w:tcPr>
          <w:p w14:paraId="480869E0"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40.8</w:t>
            </w:r>
          </w:p>
        </w:tc>
        <w:tc>
          <w:tcPr>
            <w:tcW w:w="1283" w:type="dxa"/>
            <w:gridSpan w:val="2"/>
            <w:shd w:val="clear" w:color="000000" w:fill="FFFFFF"/>
            <w:noWrap/>
            <w:vAlign w:val="center"/>
            <w:hideMark/>
          </w:tcPr>
          <w:p w14:paraId="05D2825B"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55.1</w:t>
            </w:r>
          </w:p>
        </w:tc>
        <w:tc>
          <w:tcPr>
            <w:tcW w:w="1287" w:type="dxa"/>
            <w:shd w:val="clear" w:color="000000" w:fill="FFFFFF"/>
            <w:noWrap/>
            <w:vAlign w:val="center"/>
            <w:hideMark/>
          </w:tcPr>
          <w:p w14:paraId="77DF9793"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24.2</w:t>
            </w:r>
          </w:p>
        </w:tc>
      </w:tr>
      <w:tr w:rsidR="00666A23" w:rsidRPr="00B349D1" w14:paraId="2F567A6A" w14:textId="77777777" w:rsidTr="0052258B">
        <w:trPr>
          <w:trHeight w:val="283"/>
        </w:trPr>
        <w:tc>
          <w:tcPr>
            <w:tcW w:w="2100" w:type="dxa"/>
            <w:shd w:val="clear" w:color="000000" w:fill="F2F2F2"/>
            <w:noWrap/>
            <w:vAlign w:val="center"/>
            <w:hideMark/>
          </w:tcPr>
          <w:p w14:paraId="03240F2B"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Wales</w:t>
            </w:r>
          </w:p>
        </w:tc>
        <w:tc>
          <w:tcPr>
            <w:tcW w:w="1282" w:type="dxa"/>
            <w:shd w:val="clear" w:color="000000" w:fill="F2F2F2"/>
            <w:noWrap/>
            <w:vAlign w:val="center"/>
            <w:hideMark/>
          </w:tcPr>
          <w:p w14:paraId="19668957"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2,642,152</w:t>
            </w:r>
          </w:p>
        </w:tc>
        <w:tc>
          <w:tcPr>
            <w:tcW w:w="1283" w:type="dxa"/>
            <w:gridSpan w:val="2"/>
            <w:shd w:val="clear" w:color="000000" w:fill="F2F2F2"/>
            <w:noWrap/>
            <w:vAlign w:val="center"/>
            <w:hideMark/>
          </w:tcPr>
          <w:p w14:paraId="0DAF823D"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19.2</w:t>
            </w:r>
          </w:p>
        </w:tc>
        <w:tc>
          <w:tcPr>
            <w:tcW w:w="1283" w:type="dxa"/>
            <w:gridSpan w:val="3"/>
            <w:shd w:val="clear" w:color="000000" w:fill="F2F2F2"/>
            <w:noWrap/>
            <w:vAlign w:val="center"/>
            <w:hideMark/>
          </w:tcPr>
          <w:p w14:paraId="2124080C"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18.9</w:t>
            </w:r>
          </w:p>
        </w:tc>
        <w:tc>
          <w:tcPr>
            <w:tcW w:w="1283" w:type="dxa"/>
            <w:shd w:val="clear" w:color="000000" w:fill="F2F2F2"/>
            <w:noWrap/>
            <w:vAlign w:val="center"/>
            <w:hideMark/>
          </w:tcPr>
          <w:p w14:paraId="7E557C70"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39.1</w:t>
            </w:r>
          </w:p>
        </w:tc>
        <w:tc>
          <w:tcPr>
            <w:tcW w:w="1283" w:type="dxa"/>
            <w:gridSpan w:val="2"/>
            <w:shd w:val="clear" w:color="000000" w:fill="F2F2F2"/>
            <w:noWrap/>
            <w:vAlign w:val="center"/>
            <w:hideMark/>
          </w:tcPr>
          <w:p w14:paraId="3093CADA"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52.8</w:t>
            </w:r>
          </w:p>
        </w:tc>
        <w:tc>
          <w:tcPr>
            <w:tcW w:w="1287" w:type="dxa"/>
            <w:shd w:val="clear" w:color="000000" w:fill="F2F2F2"/>
            <w:noWrap/>
            <w:vAlign w:val="center"/>
            <w:hideMark/>
          </w:tcPr>
          <w:p w14:paraId="30D9D1E8" w14:textId="77777777" w:rsidR="00B349D1" w:rsidRPr="00666A23" w:rsidRDefault="00B349D1" w:rsidP="00DC54F7">
            <w:pPr>
              <w:spacing w:after="0" w:line="240" w:lineRule="auto"/>
              <w:jc w:val="both"/>
              <w:rPr>
                <w:rFonts w:eastAsia="Times New Roman" w:cs="Arial"/>
                <w:color w:val="000000"/>
                <w:lang w:eastAsia="en-GB"/>
              </w:rPr>
            </w:pPr>
            <w:r w:rsidRPr="00666A23">
              <w:rPr>
                <w:rFonts w:eastAsia="Times New Roman" w:cs="Arial"/>
                <w:color w:val="000000"/>
                <w:lang w:eastAsia="en-GB"/>
              </w:rPr>
              <w:t>23.4</w:t>
            </w:r>
          </w:p>
        </w:tc>
      </w:tr>
    </w:tbl>
    <w:p w14:paraId="4780C09C" w14:textId="77777777" w:rsidR="0052258B" w:rsidRDefault="007545B0" w:rsidP="00DC54F7">
      <w:pPr>
        <w:spacing w:after="0" w:line="240" w:lineRule="auto"/>
        <w:jc w:val="both"/>
        <w:rPr>
          <w:rFonts w:ascii="Arial" w:hAnsi="Arial" w:cs="Arial"/>
          <w:sz w:val="20"/>
          <w:szCs w:val="20"/>
        </w:rPr>
      </w:pPr>
      <w:r w:rsidRPr="00DD3817">
        <w:rPr>
          <w:rFonts w:ascii="Arial" w:hAnsi="Arial" w:cs="Arial"/>
          <w:sz w:val="20"/>
          <w:szCs w:val="20"/>
        </w:rPr>
        <w:t>Source: Public Health Wales Observatory, using NSW (WG), WDS (NWIS) and WIMD 2014 (WG). Please note, the calculation of the healthy weight indicator only accounts for working age adults (aged 16-64)</w:t>
      </w:r>
    </w:p>
    <w:p w14:paraId="32BA1251" w14:textId="77777777" w:rsidR="006A03EB" w:rsidRDefault="006A03EB" w:rsidP="00DC54F7">
      <w:pPr>
        <w:spacing w:after="0" w:line="240" w:lineRule="auto"/>
        <w:jc w:val="both"/>
        <w:rPr>
          <w:rFonts w:ascii="Arial" w:hAnsi="Arial" w:cs="Arial"/>
          <w:b/>
          <w:bCs/>
          <w:sz w:val="24"/>
          <w:szCs w:val="24"/>
        </w:rPr>
      </w:pPr>
    </w:p>
    <w:p w14:paraId="4A77093C" w14:textId="77777777" w:rsidR="006A03EB" w:rsidRDefault="006A03EB" w:rsidP="00DC54F7">
      <w:pPr>
        <w:spacing w:after="0" w:line="240" w:lineRule="auto"/>
        <w:jc w:val="both"/>
        <w:rPr>
          <w:rFonts w:ascii="Arial" w:hAnsi="Arial" w:cs="Arial"/>
          <w:b/>
          <w:bCs/>
          <w:sz w:val="24"/>
          <w:szCs w:val="24"/>
        </w:rPr>
      </w:pPr>
    </w:p>
    <w:p w14:paraId="3D0735CF" w14:textId="06060AE5" w:rsidR="00F6624B" w:rsidRPr="0052258B" w:rsidRDefault="00012F44" w:rsidP="00DC54F7">
      <w:pPr>
        <w:spacing w:after="0" w:line="240" w:lineRule="auto"/>
        <w:jc w:val="both"/>
        <w:rPr>
          <w:rFonts w:ascii="Arial" w:hAnsi="Arial" w:cs="Arial"/>
          <w:sz w:val="20"/>
          <w:szCs w:val="20"/>
        </w:rPr>
      </w:pPr>
      <w:r>
        <w:rPr>
          <w:rFonts w:ascii="Arial" w:hAnsi="Arial" w:cs="Arial"/>
          <w:b/>
          <w:bCs/>
          <w:sz w:val="24"/>
          <w:szCs w:val="24"/>
        </w:rPr>
        <w:t xml:space="preserve">13.1.5 </w:t>
      </w:r>
      <w:r w:rsidR="00F6624B" w:rsidRPr="00F6624B">
        <w:rPr>
          <w:rFonts w:ascii="Arial" w:hAnsi="Arial" w:cs="Arial"/>
          <w:b/>
          <w:bCs/>
          <w:sz w:val="24"/>
          <w:szCs w:val="24"/>
        </w:rPr>
        <w:t>Cluster development</w:t>
      </w:r>
      <w:r w:rsidR="0071164A">
        <w:rPr>
          <w:rFonts w:ascii="Arial" w:hAnsi="Arial" w:cs="Arial"/>
          <w:b/>
          <w:bCs/>
          <w:sz w:val="24"/>
          <w:szCs w:val="24"/>
        </w:rPr>
        <w:t>s</w:t>
      </w:r>
    </w:p>
    <w:p w14:paraId="4344066B" w14:textId="77777777" w:rsidR="006A03EB" w:rsidRDefault="006A03EB" w:rsidP="00DC54F7">
      <w:pPr>
        <w:spacing w:after="0" w:line="240" w:lineRule="auto"/>
        <w:jc w:val="both"/>
        <w:rPr>
          <w:rFonts w:ascii="Arial" w:hAnsi="Arial" w:cs="Arial"/>
          <w:sz w:val="24"/>
          <w:szCs w:val="24"/>
        </w:rPr>
      </w:pPr>
    </w:p>
    <w:p w14:paraId="684A1285" w14:textId="53AA31C4" w:rsidR="00B216D1" w:rsidRPr="00012F44" w:rsidRDefault="00B216D1" w:rsidP="00DC54F7">
      <w:pPr>
        <w:spacing w:after="0" w:line="240" w:lineRule="auto"/>
        <w:jc w:val="both"/>
        <w:rPr>
          <w:rFonts w:ascii="Arial" w:hAnsi="Arial" w:cs="Arial"/>
          <w:sz w:val="24"/>
          <w:szCs w:val="24"/>
        </w:rPr>
      </w:pPr>
      <w:r w:rsidRPr="00012F44">
        <w:rPr>
          <w:rFonts w:ascii="Arial" w:hAnsi="Arial" w:cs="Arial"/>
          <w:sz w:val="24"/>
          <w:szCs w:val="24"/>
        </w:rPr>
        <w:t>There are three large developments planned within Cardiff West cluster to be completed by 2026 in line with the Cardiff Local Development Plan 2006 to 2026. These are:</w:t>
      </w:r>
    </w:p>
    <w:p w14:paraId="65E9414F" w14:textId="77777777" w:rsidR="00B216D1" w:rsidRPr="00012F44" w:rsidRDefault="00B216D1" w:rsidP="00DC54F7">
      <w:pPr>
        <w:spacing w:after="0" w:line="240" w:lineRule="auto"/>
        <w:jc w:val="both"/>
        <w:rPr>
          <w:rFonts w:ascii="Arial" w:hAnsi="Arial" w:cs="Arial"/>
          <w:sz w:val="24"/>
          <w:szCs w:val="24"/>
        </w:rPr>
      </w:pPr>
    </w:p>
    <w:p w14:paraId="20BF66FD" w14:textId="1DEE9C27" w:rsidR="004C37A2" w:rsidRPr="00012F44" w:rsidRDefault="000C277A" w:rsidP="00DC54F7">
      <w:pPr>
        <w:spacing w:after="0" w:line="240" w:lineRule="auto"/>
        <w:jc w:val="both"/>
        <w:rPr>
          <w:rFonts w:ascii="Arial" w:hAnsi="Arial" w:cs="Arial"/>
          <w:b/>
          <w:bCs/>
          <w:sz w:val="24"/>
          <w:szCs w:val="24"/>
        </w:rPr>
      </w:pPr>
      <w:r w:rsidRPr="00012F44">
        <w:rPr>
          <w:rFonts w:ascii="Arial" w:hAnsi="Arial" w:cs="Arial"/>
          <w:b/>
          <w:bCs/>
          <w:sz w:val="24"/>
          <w:szCs w:val="24"/>
        </w:rPr>
        <w:t xml:space="preserve">North West Cardiff </w:t>
      </w:r>
    </w:p>
    <w:p w14:paraId="1E564728" w14:textId="77777777" w:rsidR="004C37A2" w:rsidRPr="00012F44" w:rsidRDefault="004C37A2" w:rsidP="00DC54F7">
      <w:pPr>
        <w:spacing w:after="0" w:line="240" w:lineRule="auto"/>
        <w:jc w:val="both"/>
        <w:rPr>
          <w:rFonts w:ascii="Arial" w:hAnsi="Arial" w:cs="Arial"/>
          <w:sz w:val="24"/>
          <w:szCs w:val="24"/>
        </w:rPr>
      </w:pPr>
    </w:p>
    <w:p w14:paraId="6DE2CDF1" w14:textId="2A0E918B" w:rsidR="000C277A" w:rsidRPr="00012F44" w:rsidRDefault="004C37A2" w:rsidP="00DC54F7">
      <w:pPr>
        <w:spacing w:after="0" w:line="240" w:lineRule="auto"/>
        <w:jc w:val="both"/>
        <w:rPr>
          <w:rFonts w:ascii="Arial" w:hAnsi="Arial" w:cs="Arial"/>
          <w:sz w:val="24"/>
          <w:szCs w:val="24"/>
        </w:rPr>
      </w:pPr>
      <w:r w:rsidRPr="00012F44">
        <w:rPr>
          <w:rFonts w:ascii="Arial" w:hAnsi="Arial" w:cs="Arial"/>
          <w:sz w:val="24"/>
          <w:szCs w:val="24"/>
        </w:rPr>
        <w:t xml:space="preserve">The site </w:t>
      </w:r>
      <w:r w:rsidR="000C277A" w:rsidRPr="00012F44">
        <w:rPr>
          <w:rFonts w:ascii="Arial" w:hAnsi="Arial" w:cs="Arial"/>
          <w:sz w:val="24"/>
          <w:szCs w:val="24"/>
        </w:rPr>
        <w:t>relates to countryside to the west of Radyr, Fairwater and Pentrebane, and to the north of the village of St Fagans.</w:t>
      </w:r>
      <w:r w:rsidRPr="00012F44">
        <w:rPr>
          <w:rFonts w:ascii="Arial" w:hAnsi="Arial" w:cs="Arial"/>
          <w:sz w:val="24"/>
          <w:szCs w:val="24"/>
        </w:rPr>
        <w:t xml:space="preserve"> The development is for </w:t>
      </w:r>
      <w:r w:rsidR="002D493B" w:rsidRPr="00012F44">
        <w:rPr>
          <w:rFonts w:ascii="Arial" w:hAnsi="Arial" w:cs="Arial"/>
          <w:sz w:val="24"/>
          <w:szCs w:val="24"/>
        </w:rPr>
        <w:t>a mixed-use comprehensive development including a minimum of 5,000</w:t>
      </w:r>
      <w:r w:rsidRPr="00012F44">
        <w:rPr>
          <w:rFonts w:ascii="Arial" w:hAnsi="Arial" w:cs="Arial"/>
          <w:sz w:val="24"/>
          <w:szCs w:val="24"/>
        </w:rPr>
        <w:t xml:space="preserve"> </w:t>
      </w:r>
      <w:r w:rsidR="002D493B" w:rsidRPr="00012F44">
        <w:rPr>
          <w:rFonts w:ascii="Arial" w:hAnsi="Arial" w:cs="Arial"/>
          <w:sz w:val="24"/>
          <w:szCs w:val="24"/>
        </w:rPr>
        <w:t>homes and local employment opportunities</w:t>
      </w:r>
      <w:r w:rsidRPr="00012F44">
        <w:rPr>
          <w:rFonts w:ascii="Arial" w:hAnsi="Arial" w:cs="Arial"/>
          <w:sz w:val="24"/>
          <w:szCs w:val="24"/>
        </w:rPr>
        <w:t xml:space="preserve"> and supporting </w:t>
      </w:r>
      <w:r w:rsidR="002D493B" w:rsidRPr="00012F44">
        <w:rPr>
          <w:rFonts w:ascii="Arial" w:hAnsi="Arial" w:cs="Arial"/>
          <w:sz w:val="24"/>
          <w:szCs w:val="24"/>
        </w:rPr>
        <w:t>infrastructure</w:t>
      </w:r>
      <w:r w:rsidRPr="00012F44">
        <w:rPr>
          <w:rFonts w:ascii="Arial" w:hAnsi="Arial" w:cs="Arial"/>
          <w:sz w:val="24"/>
          <w:szCs w:val="24"/>
        </w:rPr>
        <w:t>:</w:t>
      </w:r>
    </w:p>
    <w:p w14:paraId="0BF25498" w14:textId="6AA40F8D" w:rsidR="004C37A2" w:rsidRPr="00012F44" w:rsidRDefault="004C37A2" w:rsidP="00DC54F7">
      <w:pPr>
        <w:spacing w:after="0" w:line="240" w:lineRule="auto"/>
        <w:jc w:val="both"/>
        <w:rPr>
          <w:rFonts w:ascii="Arial" w:hAnsi="Arial" w:cs="Arial"/>
          <w:sz w:val="24"/>
          <w:szCs w:val="24"/>
        </w:rPr>
      </w:pPr>
    </w:p>
    <w:p w14:paraId="736E3322" w14:textId="645C7755" w:rsidR="0028000E" w:rsidRPr="00012F44" w:rsidRDefault="0028000E" w:rsidP="00DC54F7">
      <w:pPr>
        <w:pStyle w:val="ListParagraph"/>
        <w:numPr>
          <w:ilvl w:val="0"/>
          <w:numId w:val="147"/>
        </w:numPr>
        <w:spacing w:after="0" w:line="240" w:lineRule="auto"/>
        <w:jc w:val="both"/>
        <w:rPr>
          <w:rFonts w:ascii="Arial" w:hAnsi="Arial" w:cs="Arial"/>
          <w:sz w:val="24"/>
          <w:szCs w:val="24"/>
        </w:rPr>
      </w:pPr>
      <w:r w:rsidRPr="00012F44">
        <w:rPr>
          <w:rFonts w:ascii="Arial" w:hAnsi="Arial" w:cs="Arial"/>
          <w:sz w:val="24"/>
          <w:szCs w:val="24"/>
        </w:rPr>
        <w:t>Provision of new bus-based Rapid Transit Corridors through the site providing links between the District/Local Centres and a new Transport Hub in the Easternmost District/Local Centre</w:t>
      </w:r>
      <w:r w:rsidR="000827E6" w:rsidRPr="00012F44">
        <w:rPr>
          <w:rFonts w:ascii="Arial" w:hAnsi="Arial" w:cs="Arial"/>
          <w:sz w:val="24"/>
          <w:szCs w:val="24"/>
        </w:rPr>
        <w:t>.</w:t>
      </w:r>
    </w:p>
    <w:p w14:paraId="604AEF99" w14:textId="78A21E09" w:rsidR="0028000E" w:rsidRPr="00012F44" w:rsidRDefault="0028000E" w:rsidP="00DC54F7">
      <w:pPr>
        <w:pStyle w:val="ListParagraph"/>
        <w:numPr>
          <w:ilvl w:val="0"/>
          <w:numId w:val="147"/>
        </w:numPr>
        <w:spacing w:after="0" w:line="240" w:lineRule="auto"/>
        <w:jc w:val="both"/>
        <w:rPr>
          <w:rFonts w:ascii="Arial" w:hAnsi="Arial" w:cs="Arial"/>
          <w:sz w:val="24"/>
          <w:szCs w:val="24"/>
        </w:rPr>
      </w:pPr>
      <w:r w:rsidRPr="00012F44">
        <w:rPr>
          <w:rFonts w:ascii="Arial" w:hAnsi="Arial" w:cs="Arial"/>
          <w:sz w:val="24"/>
          <w:szCs w:val="24"/>
        </w:rPr>
        <w:t xml:space="preserve">Extension of bus networks and increasing the frequency and reliability of </w:t>
      </w:r>
      <w:r w:rsidR="000827E6" w:rsidRPr="00012F44">
        <w:rPr>
          <w:rFonts w:ascii="Arial" w:hAnsi="Arial" w:cs="Arial"/>
          <w:sz w:val="24"/>
          <w:szCs w:val="24"/>
        </w:rPr>
        <w:t xml:space="preserve">site </w:t>
      </w:r>
      <w:r w:rsidRPr="00012F44">
        <w:rPr>
          <w:rFonts w:ascii="Arial" w:hAnsi="Arial" w:cs="Arial"/>
          <w:sz w:val="24"/>
          <w:szCs w:val="24"/>
        </w:rPr>
        <w:t>services</w:t>
      </w:r>
      <w:r w:rsidR="000827E6" w:rsidRPr="00012F44">
        <w:rPr>
          <w:rFonts w:ascii="Arial" w:hAnsi="Arial" w:cs="Arial"/>
          <w:sz w:val="24"/>
          <w:szCs w:val="24"/>
        </w:rPr>
        <w:t>.</w:t>
      </w:r>
    </w:p>
    <w:p w14:paraId="580ED59A" w14:textId="1DEBF57C" w:rsidR="0028000E" w:rsidRPr="00012F44" w:rsidRDefault="0028000E" w:rsidP="00DC54F7">
      <w:pPr>
        <w:pStyle w:val="ListParagraph"/>
        <w:numPr>
          <w:ilvl w:val="0"/>
          <w:numId w:val="147"/>
        </w:numPr>
        <w:spacing w:after="0" w:line="240" w:lineRule="auto"/>
        <w:jc w:val="both"/>
        <w:rPr>
          <w:rFonts w:ascii="Arial" w:hAnsi="Arial" w:cs="Arial"/>
          <w:sz w:val="24"/>
          <w:szCs w:val="24"/>
        </w:rPr>
      </w:pPr>
      <w:r w:rsidRPr="00012F44">
        <w:rPr>
          <w:rFonts w:ascii="Arial" w:hAnsi="Arial" w:cs="Arial"/>
          <w:sz w:val="24"/>
          <w:szCs w:val="24"/>
        </w:rPr>
        <w:t xml:space="preserve">Provision of a network of high quality, safe, </w:t>
      </w:r>
      <w:r w:rsidR="00C16CC7" w:rsidRPr="00012F44">
        <w:rPr>
          <w:rFonts w:ascii="Arial" w:hAnsi="Arial" w:cs="Arial"/>
          <w:sz w:val="24"/>
          <w:szCs w:val="24"/>
        </w:rPr>
        <w:t>attractive,</w:t>
      </w:r>
      <w:r w:rsidRPr="00012F44">
        <w:rPr>
          <w:rFonts w:ascii="Arial" w:hAnsi="Arial" w:cs="Arial"/>
          <w:sz w:val="24"/>
          <w:szCs w:val="24"/>
        </w:rPr>
        <w:t xml:space="preserve"> and convenient walking and cycling routes</w:t>
      </w:r>
      <w:r w:rsidR="000827E6" w:rsidRPr="00012F44">
        <w:rPr>
          <w:rFonts w:ascii="Arial" w:hAnsi="Arial" w:cs="Arial"/>
          <w:sz w:val="24"/>
          <w:szCs w:val="24"/>
        </w:rPr>
        <w:t xml:space="preserve">, </w:t>
      </w:r>
      <w:r w:rsidRPr="00012F44">
        <w:rPr>
          <w:rFonts w:ascii="Arial" w:hAnsi="Arial" w:cs="Arial"/>
          <w:sz w:val="24"/>
          <w:szCs w:val="24"/>
        </w:rPr>
        <w:t xml:space="preserve">linking to key local services, facilities and destinations. </w:t>
      </w:r>
    </w:p>
    <w:p w14:paraId="42D694CA" w14:textId="5F7C367A" w:rsidR="0028000E" w:rsidRPr="00012F44" w:rsidRDefault="000827E6" w:rsidP="00DC54F7">
      <w:pPr>
        <w:pStyle w:val="ListParagraph"/>
        <w:numPr>
          <w:ilvl w:val="0"/>
          <w:numId w:val="147"/>
        </w:numPr>
        <w:spacing w:after="0" w:line="240" w:lineRule="auto"/>
        <w:jc w:val="both"/>
        <w:rPr>
          <w:rFonts w:ascii="Arial" w:hAnsi="Arial" w:cs="Arial"/>
          <w:sz w:val="24"/>
          <w:szCs w:val="24"/>
        </w:rPr>
      </w:pPr>
      <w:r w:rsidRPr="00012F44">
        <w:rPr>
          <w:rFonts w:ascii="Arial" w:hAnsi="Arial" w:cs="Arial"/>
          <w:sz w:val="24"/>
          <w:szCs w:val="24"/>
        </w:rPr>
        <w:t xml:space="preserve">Improving </w:t>
      </w:r>
      <w:r w:rsidR="00B95C69" w:rsidRPr="00012F44">
        <w:rPr>
          <w:rFonts w:ascii="Arial" w:hAnsi="Arial" w:cs="Arial"/>
          <w:sz w:val="24"/>
          <w:szCs w:val="24"/>
        </w:rPr>
        <w:t xml:space="preserve">walking and cycling </w:t>
      </w:r>
      <w:r w:rsidRPr="00012F44">
        <w:rPr>
          <w:rFonts w:ascii="Arial" w:hAnsi="Arial" w:cs="Arial"/>
          <w:sz w:val="24"/>
          <w:szCs w:val="24"/>
        </w:rPr>
        <w:t>l</w:t>
      </w:r>
      <w:r w:rsidR="0028000E" w:rsidRPr="00012F44">
        <w:rPr>
          <w:rFonts w:ascii="Arial" w:hAnsi="Arial" w:cs="Arial"/>
          <w:sz w:val="24"/>
          <w:szCs w:val="24"/>
        </w:rPr>
        <w:t xml:space="preserve">inks to public transport destinations. </w:t>
      </w:r>
    </w:p>
    <w:p w14:paraId="74520719" w14:textId="77777777" w:rsidR="0028000E" w:rsidRPr="00012F44" w:rsidRDefault="0028000E" w:rsidP="00DC54F7">
      <w:pPr>
        <w:pStyle w:val="ListParagraph"/>
        <w:numPr>
          <w:ilvl w:val="0"/>
          <w:numId w:val="147"/>
        </w:numPr>
        <w:spacing w:after="0" w:line="240" w:lineRule="auto"/>
        <w:jc w:val="both"/>
        <w:rPr>
          <w:rFonts w:ascii="Arial" w:hAnsi="Arial" w:cs="Arial"/>
          <w:sz w:val="24"/>
          <w:szCs w:val="24"/>
        </w:rPr>
      </w:pPr>
      <w:r w:rsidRPr="00012F44">
        <w:rPr>
          <w:rFonts w:ascii="Arial" w:hAnsi="Arial" w:cs="Arial"/>
          <w:sz w:val="24"/>
          <w:szCs w:val="24"/>
        </w:rPr>
        <w:t xml:space="preserve">Provision of one District Centre and 3 Local Centres (including provision of business and local employment uses), Primary Care facility, multifunctional community leisure facility including library facility. </w:t>
      </w:r>
    </w:p>
    <w:p w14:paraId="521C45CF" w14:textId="74877BB7" w:rsidR="0028000E" w:rsidRPr="00012F44" w:rsidRDefault="0028000E" w:rsidP="00DC54F7">
      <w:pPr>
        <w:pStyle w:val="ListParagraph"/>
        <w:numPr>
          <w:ilvl w:val="0"/>
          <w:numId w:val="147"/>
        </w:numPr>
        <w:spacing w:after="0" w:line="240" w:lineRule="auto"/>
        <w:jc w:val="both"/>
        <w:rPr>
          <w:rFonts w:ascii="Arial" w:hAnsi="Arial" w:cs="Arial"/>
          <w:sz w:val="24"/>
          <w:szCs w:val="24"/>
        </w:rPr>
      </w:pPr>
      <w:r w:rsidRPr="00012F44">
        <w:rPr>
          <w:rFonts w:ascii="Arial" w:hAnsi="Arial" w:cs="Arial"/>
          <w:sz w:val="24"/>
          <w:szCs w:val="24"/>
        </w:rPr>
        <w:t>Provision of on</w:t>
      </w:r>
      <w:r w:rsidR="000827E6" w:rsidRPr="00012F44">
        <w:rPr>
          <w:rFonts w:ascii="Arial" w:hAnsi="Arial" w:cs="Arial"/>
          <w:sz w:val="24"/>
          <w:szCs w:val="24"/>
        </w:rPr>
        <w:t>e</w:t>
      </w:r>
      <w:r w:rsidRPr="00012F44">
        <w:rPr>
          <w:rFonts w:ascii="Arial" w:hAnsi="Arial" w:cs="Arial"/>
          <w:sz w:val="24"/>
          <w:szCs w:val="24"/>
        </w:rPr>
        <w:t xml:space="preserve"> new Secondary School, </w:t>
      </w:r>
      <w:r w:rsidR="000827E6" w:rsidRPr="00012F44">
        <w:rPr>
          <w:rFonts w:ascii="Arial" w:hAnsi="Arial" w:cs="Arial"/>
          <w:sz w:val="24"/>
          <w:szCs w:val="24"/>
        </w:rPr>
        <w:t xml:space="preserve">three to four </w:t>
      </w:r>
      <w:r w:rsidRPr="00012F44">
        <w:rPr>
          <w:rFonts w:ascii="Arial" w:hAnsi="Arial" w:cs="Arial"/>
          <w:sz w:val="24"/>
          <w:szCs w:val="24"/>
        </w:rPr>
        <w:t xml:space="preserve">new Primary Schools located in or adjacent to District/Local Centres, </w:t>
      </w:r>
    </w:p>
    <w:p w14:paraId="624561F0" w14:textId="4B222021" w:rsidR="000C277A" w:rsidRPr="00012F44" w:rsidRDefault="0028000E" w:rsidP="00DC54F7">
      <w:pPr>
        <w:pStyle w:val="ListParagraph"/>
        <w:numPr>
          <w:ilvl w:val="0"/>
          <w:numId w:val="147"/>
        </w:numPr>
        <w:spacing w:after="0" w:line="240" w:lineRule="auto"/>
        <w:jc w:val="both"/>
        <w:rPr>
          <w:rFonts w:ascii="Arial" w:hAnsi="Arial" w:cs="Arial"/>
          <w:sz w:val="24"/>
          <w:szCs w:val="24"/>
        </w:rPr>
      </w:pPr>
      <w:r w:rsidRPr="00012F44">
        <w:rPr>
          <w:rFonts w:ascii="Arial" w:hAnsi="Arial" w:cs="Arial"/>
          <w:sz w:val="24"/>
          <w:szCs w:val="24"/>
        </w:rPr>
        <w:t>Open Space including formal recreation, playgrounds including destination play area, teen facilities, and allotment sites</w:t>
      </w:r>
      <w:r w:rsidR="00742DC3" w:rsidRPr="00012F44">
        <w:rPr>
          <w:rFonts w:ascii="Arial" w:hAnsi="Arial" w:cs="Arial"/>
          <w:sz w:val="24"/>
          <w:szCs w:val="24"/>
        </w:rPr>
        <w:t>.</w:t>
      </w:r>
      <w:r w:rsidRPr="00012F44">
        <w:rPr>
          <w:rFonts w:ascii="Arial" w:hAnsi="Arial" w:cs="Arial"/>
          <w:sz w:val="24"/>
          <w:szCs w:val="24"/>
        </w:rPr>
        <w:t xml:space="preserve"> </w:t>
      </w:r>
    </w:p>
    <w:p w14:paraId="55214DF2" w14:textId="6E31A063" w:rsidR="0028000E" w:rsidRPr="00012F44" w:rsidRDefault="0028000E" w:rsidP="00DC54F7">
      <w:pPr>
        <w:spacing w:after="0" w:line="240" w:lineRule="auto"/>
        <w:jc w:val="both"/>
        <w:rPr>
          <w:rFonts w:ascii="Arial" w:hAnsi="Arial" w:cs="Arial"/>
          <w:sz w:val="24"/>
          <w:szCs w:val="24"/>
        </w:rPr>
      </w:pPr>
    </w:p>
    <w:p w14:paraId="2F15CB43" w14:textId="006544BF" w:rsidR="0092750B" w:rsidRPr="00012F44" w:rsidRDefault="0080411B" w:rsidP="00DC54F7">
      <w:pPr>
        <w:spacing w:after="0" w:line="240" w:lineRule="auto"/>
        <w:jc w:val="both"/>
        <w:rPr>
          <w:rFonts w:ascii="Arial" w:hAnsi="Arial" w:cs="Arial"/>
          <w:sz w:val="24"/>
          <w:szCs w:val="24"/>
        </w:rPr>
      </w:pPr>
      <w:r w:rsidRPr="00702156">
        <w:rPr>
          <w:rFonts w:ascii="Arial" w:hAnsi="Arial" w:cs="Arial"/>
          <w:sz w:val="24"/>
          <w:szCs w:val="24"/>
        </w:rPr>
        <w:t>As of 1</w:t>
      </w:r>
      <w:r w:rsidRPr="00702156">
        <w:rPr>
          <w:rFonts w:ascii="Arial" w:hAnsi="Arial" w:cs="Arial"/>
          <w:sz w:val="24"/>
          <w:szCs w:val="24"/>
          <w:vertAlign w:val="superscript"/>
        </w:rPr>
        <w:t>st</w:t>
      </w:r>
      <w:r w:rsidRPr="00702156">
        <w:rPr>
          <w:rFonts w:ascii="Arial" w:hAnsi="Arial" w:cs="Arial"/>
          <w:sz w:val="24"/>
          <w:szCs w:val="24"/>
        </w:rPr>
        <w:t xml:space="preserve"> April 2019, there were </w:t>
      </w:r>
      <w:r w:rsidR="00B216D1" w:rsidRPr="00702156">
        <w:rPr>
          <w:rFonts w:ascii="Arial" w:hAnsi="Arial" w:cs="Arial"/>
          <w:sz w:val="24"/>
          <w:szCs w:val="24"/>
        </w:rPr>
        <w:t>128 completions on the site.</w:t>
      </w:r>
    </w:p>
    <w:p w14:paraId="28C526C0" w14:textId="77777777" w:rsidR="0071164A" w:rsidRDefault="0071164A" w:rsidP="00DC54F7">
      <w:pPr>
        <w:spacing w:after="0" w:line="240" w:lineRule="auto"/>
        <w:jc w:val="both"/>
        <w:rPr>
          <w:rFonts w:ascii="Arial" w:hAnsi="Arial" w:cs="Arial"/>
          <w:sz w:val="24"/>
          <w:szCs w:val="24"/>
        </w:rPr>
      </w:pPr>
    </w:p>
    <w:p w14:paraId="2E6C497A" w14:textId="77777777" w:rsidR="0071164A" w:rsidRPr="00E50AE4" w:rsidRDefault="0071164A" w:rsidP="00DC54F7">
      <w:pPr>
        <w:spacing w:after="0" w:line="240" w:lineRule="auto"/>
        <w:jc w:val="both"/>
        <w:rPr>
          <w:rFonts w:ascii="Arial" w:hAnsi="Arial" w:cs="Arial"/>
          <w:sz w:val="24"/>
          <w:szCs w:val="24"/>
        </w:rPr>
      </w:pPr>
      <w:r w:rsidRPr="00E50AE4">
        <w:rPr>
          <w:rFonts w:ascii="Arial" w:hAnsi="Arial" w:cs="Arial"/>
          <w:sz w:val="24"/>
          <w:szCs w:val="24"/>
        </w:rPr>
        <w:t>The development is being built on four key sites in a series of phases. The spring 2021 LDP monitoring document highlights that:</w:t>
      </w:r>
    </w:p>
    <w:p w14:paraId="0B4B89DE" w14:textId="77777777" w:rsidR="0071164A" w:rsidRPr="00E50AE4" w:rsidRDefault="0071164A" w:rsidP="00DC54F7">
      <w:pPr>
        <w:spacing w:after="0" w:line="240" w:lineRule="auto"/>
        <w:jc w:val="both"/>
        <w:rPr>
          <w:rFonts w:ascii="Arial" w:hAnsi="Arial" w:cs="Arial"/>
          <w:sz w:val="24"/>
          <w:szCs w:val="24"/>
        </w:rPr>
      </w:pPr>
    </w:p>
    <w:p w14:paraId="6BF4B421" w14:textId="77777777" w:rsidR="0071164A" w:rsidRPr="00E50AE4" w:rsidRDefault="0071164A" w:rsidP="00DC54F7">
      <w:pPr>
        <w:spacing w:after="0" w:line="240" w:lineRule="auto"/>
        <w:jc w:val="both"/>
        <w:rPr>
          <w:rFonts w:ascii="Arial" w:hAnsi="Arial" w:cs="Arial"/>
          <w:sz w:val="24"/>
          <w:szCs w:val="24"/>
        </w:rPr>
      </w:pPr>
      <w:r w:rsidRPr="00E50AE4">
        <w:rPr>
          <w:rFonts w:ascii="Arial" w:hAnsi="Arial" w:cs="Arial"/>
          <w:sz w:val="24"/>
          <w:szCs w:val="24"/>
        </w:rPr>
        <w:lastRenderedPageBreak/>
        <w:t>Goitre Fach Farm – construction started in 2018. There are around 241 properties completed/under construction.</w:t>
      </w:r>
    </w:p>
    <w:p w14:paraId="25AF55D1" w14:textId="77777777" w:rsidR="0071164A" w:rsidRPr="00E50AE4" w:rsidRDefault="0071164A" w:rsidP="00DC54F7">
      <w:pPr>
        <w:spacing w:after="0" w:line="240" w:lineRule="auto"/>
        <w:jc w:val="both"/>
        <w:rPr>
          <w:rFonts w:ascii="Arial" w:hAnsi="Arial" w:cs="Arial"/>
          <w:sz w:val="24"/>
          <w:szCs w:val="24"/>
        </w:rPr>
      </w:pPr>
    </w:p>
    <w:p w14:paraId="527C0845" w14:textId="77777777" w:rsidR="0071164A" w:rsidRPr="00E50AE4" w:rsidRDefault="0071164A" w:rsidP="00DC54F7">
      <w:pPr>
        <w:spacing w:after="0" w:line="240" w:lineRule="auto"/>
        <w:jc w:val="both"/>
        <w:rPr>
          <w:rFonts w:ascii="Arial" w:hAnsi="Arial" w:cs="Arial"/>
          <w:sz w:val="24"/>
          <w:szCs w:val="24"/>
        </w:rPr>
      </w:pPr>
      <w:r w:rsidRPr="00E50AE4">
        <w:rPr>
          <w:rFonts w:ascii="Arial" w:hAnsi="Arial" w:cs="Arial"/>
          <w:sz w:val="24"/>
          <w:szCs w:val="24"/>
        </w:rPr>
        <w:t>Land North and South of Llantrisant Road – construction started in early 2017. There are around 126 completions, 145 completions/under construction and 27 under construction on the site.</w:t>
      </w:r>
    </w:p>
    <w:p w14:paraId="7B5614A2" w14:textId="77777777" w:rsidR="0071164A" w:rsidRPr="00E50AE4" w:rsidRDefault="0071164A" w:rsidP="00DC54F7">
      <w:pPr>
        <w:spacing w:after="0" w:line="240" w:lineRule="auto"/>
        <w:jc w:val="both"/>
        <w:rPr>
          <w:rFonts w:ascii="Arial" w:hAnsi="Arial" w:cs="Arial"/>
          <w:sz w:val="24"/>
          <w:szCs w:val="24"/>
        </w:rPr>
      </w:pPr>
    </w:p>
    <w:p w14:paraId="30627553" w14:textId="77777777" w:rsidR="0071164A" w:rsidRPr="00B619D8" w:rsidRDefault="0071164A" w:rsidP="00DC54F7">
      <w:pPr>
        <w:spacing w:after="0" w:line="240" w:lineRule="auto"/>
        <w:jc w:val="both"/>
        <w:rPr>
          <w:rFonts w:ascii="Arial" w:hAnsi="Arial" w:cs="Arial"/>
          <w:sz w:val="24"/>
          <w:szCs w:val="24"/>
        </w:rPr>
      </w:pPr>
      <w:r w:rsidRPr="00E50AE4">
        <w:rPr>
          <w:rFonts w:ascii="Arial" w:hAnsi="Arial" w:cs="Arial"/>
          <w:sz w:val="24"/>
          <w:szCs w:val="24"/>
        </w:rPr>
        <w:t>Land South of Pentrebane Road – construction work started in late 2017/ early 2018. There are around 120 completions and a further 37 completions/under construction on the site.</w:t>
      </w:r>
      <w:r w:rsidRPr="00B619D8">
        <w:rPr>
          <w:rFonts w:ascii="Arial" w:hAnsi="Arial" w:cs="Arial"/>
          <w:sz w:val="24"/>
          <w:szCs w:val="24"/>
        </w:rPr>
        <w:t xml:space="preserve">  </w:t>
      </w:r>
    </w:p>
    <w:p w14:paraId="579B84D8" w14:textId="77777777" w:rsidR="00CD7A5C" w:rsidRDefault="00CD7A5C" w:rsidP="00DC54F7">
      <w:pPr>
        <w:spacing w:after="0" w:line="240" w:lineRule="auto"/>
        <w:jc w:val="both"/>
        <w:rPr>
          <w:rFonts w:ascii="Arial" w:hAnsi="Arial" w:cs="Arial"/>
          <w:b/>
          <w:bCs/>
          <w:sz w:val="24"/>
          <w:szCs w:val="24"/>
        </w:rPr>
      </w:pPr>
    </w:p>
    <w:p w14:paraId="5516F3D4" w14:textId="77CB918B" w:rsidR="00B616CE" w:rsidRPr="00012F44" w:rsidRDefault="0092750B" w:rsidP="00DC54F7">
      <w:pPr>
        <w:spacing w:after="0" w:line="240" w:lineRule="auto"/>
        <w:jc w:val="both"/>
        <w:rPr>
          <w:rFonts w:ascii="Arial" w:hAnsi="Arial" w:cs="Arial"/>
          <w:b/>
          <w:bCs/>
          <w:sz w:val="24"/>
          <w:szCs w:val="24"/>
        </w:rPr>
      </w:pPr>
      <w:r w:rsidRPr="00012F44">
        <w:rPr>
          <w:rFonts w:ascii="Arial" w:hAnsi="Arial" w:cs="Arial"/>
          <w:b/>
          <w:bCs/>
          <w:sz w:val="24"/>
          <w:szCs w:val="24"/>
        </w:rPr>
        <w:t xml:space="preserve">North of Junction 33 on M4 and South Creigiau </w:t>
      </w:r>
    </w:p>
    <w:p w14:paraId="29D5169E" w14:textId="77777777" w:rsidR="00B616CE" w:rsidRPr="00012F44" w:rsidRDefault="00B616CE" w:rsidP="00DC54F7">
      <w:pPr>
        <w:spacing w:after="0" w:line="240" w:lineRule="auto"/>
        <w:jc w:val="both"/>
        <w:rPr>
          <w:rFonts w:ascii="Arial" w:hAnsi="Arial" w:cs="Arial"/>
          <w:b/>
          <w:bCs/>
          <w:sz w:val="24"/>
          <w:szCs w:val="24"/>
        </w:rPr>
      </w:pPr>
    </w:p>
    <w:p w14:paraId="08C7D27D" w14:textId="77777777" w:rsidR="007771E7" w:rsidRPr="00012F44" w:rsidRDefault="007771E7" w:rsidP="00DC54F7">
      <w:pPr>
        <w:spacing w:after="0" w:line="240" w:lineRule="auto"/>
        <w:jc w:val="both"/>
        <w:rPr>
          <w:rFonts w:ascii="Arial" w:hAnsi="Arial" w:cs="Arial"/>
          <w:sz w:val="24"/>
          <w:szCs w:val="24"/>
        </w:rPr>
      </w:pPr>
      <w:r w:rsidRPr="00012F44">
        <w:rPr>
          <w:rFonts w:ascii="Arial" w:hAnsi="Arial" w:cs="Arial"/>
          <w:sz w:val="24"/>
          <w:szCs w:val="24"/>
        </w:rPr>
        <w:t>The two sites relate to:</w:t>
      </w:r>
    </w:p>
    <w:p w14:paraId="58B81C56" w14:textId="56F4CF76" w:rsidR="007771E7" w:rsidRPr="00012F44" w:rsidRDefault="007771E7" w:rsidP="00DC54F7">
      <w:pPr>
        <w:spacing w:after="0" w:line="240" w:lineRule="auto"/>
        <w:jc w:val="both"/>
        <w:rPr>
          <w:rFonts w:ascii="Arial" w:hAnsi="Arial" w:cs="Arial"/>
          <w:sz w:val="24"/>
          <w:szCs w:val="24"/>
        </w:rPr>
      </w:pPr>
      <w:r w:rsidRPr="00012F44">
        <w:rPr>
          <w:rFonts w:ascii="Arial" w:hAnsi="Arial" w:cs="Arial"/>
          <w:sz w:val="24"/>
          <w:szCs w:val="24"/>
        </w:rPr>
        <w:t xml:space="preserve"> </w:t>
      </w:r>
    </w:p>
    <w:p w14:paraId="1367CAAF" w14:textId="08AB6943" w:rsidR="00B616CE" w:rsidRPr="00012F44" w:rsidRDefault="008E3095" w:rsidP="00DC54F7">
      <w:pPr>
        <w:pStyle w:val="ListParagraph"/>
        <w:numPr>
          <w:ilvl w:val="0"/>
          <w:numId w:val="148"/>
        </w:numPr>
        <w:spacing w:after="0" w:line="240" w:lineRule="auto"/>
        <w:jc w:val="both"/>
        <w:rPr>
          <w:rFonts w:ascii="Arial" w:hAnsi="Arial" w:cs="Arial"/>
          <w:sz w:val="24"/>
          <w:szCs w:val="24"/>
        </w:rPr>
      </w:pPr>
      <w:r w:rsidRPr="00012F44">
        <w:rPr>
          <w:rFonts w:ascii="Arial" w:hAnsi="Arial" w:cs="Arial"/>
          <w:sz w:val="24"/>
          <w:szCs w:val="24"/>
        </w:rPr>
        <w:t>North of Junction 33 on the M4</w:t>
      </w:r>
      <w:r w:rsidR="007771E7" w:rsidRPr="00012F44">
        <w:rPr>
          <w:rFonts w:ascii="Arial" w:hAnsi="Arial" w:cs="Arial"/>
          <w:sz w:val="24"/>
          <w:szCs w:val="24"/>
        </w:rPr>
        <w:t xml:space="preserve">. The development is </w:t>
      </w:r>
      <w:r w:rsidRPr="00012F44">
        <w:rPr>
          <w:rFonts w:ascii="Arial" w:hAnsi="Arial" w:cs="Arial"/>
          <w:sz w:val="24"/>
          <w:szCs w:val="24"/>
        </w:rPr>
        <w:t>for a mixed-use development of approximately 2,000 homes, employment, other associated community uses and a strategic park and ride site</w:t>
      </w:r>
      <w:r w:rsidR="007771E7" w:rsidRPr="00012F44">
        <w:rPr>
          <w:rFonts w:ascii="Arial" w:hAnsi="Arial" w:cs="Arial"/>
          <w:sz w:val="24"/>
          <w:szCs w:val="24"/>
        </w:rPr>
        <w:t>.</w:t>
      </w:r>
    </w:p>
    <w:p w14:paraId="1D27B011" w14:textId="4ADBACDF" w:rsidR="008E3095" w:rsidRPr="00012F44" w:rsidRDefault="008E3095" w:rsidP="00DC54F7">
      <w:pPr>
        <w:pStyle w:val="ListParagraph"/>
        <w:numPr>
          <w:ilvl w:val="0"/>
          <w:numId w:val="148"/>
        </w:numPr>
        <w:spacing w:after="0" w:line="240" w:lineRule="auto"/>
        <w:jc w:val="both"/>
        <w:rPr>
          <w:rFonts w:ascii="Arial" w:hAnsi="Arial" w:cs="Arial"/>
          <w:sz w:val="24"/>
          <w:szCs w:val="24"/>
        </w:rPr>
      </w:pPr>
      <w:r w:rsidRPr="00012F44">
        <w:rPr>
          <w:rFonts w:ascii="Arial" w:hAnsi="Arial" w:cs="Arial"/>
          <w:sz w:val="24"/>
          <w:szCs w:val="24"/>
        </w:rPr>
        <w:t>South of Creigiau</w:t>
      </w:r>
      <w:r w:rsidR="007771E7" w:rsidRPr="00012F44">
        <w:rPr>
          <w:rFonts w:ascii="Arial" w:hAnsi="Arial" w:cs="Arial"/>
          <w:sz w:val="24"/>
          <w:szCs w:val="24"/>
        </w:rPr>
        <w:t xml:space="preserve">. The development is </w:t>
      </w:r>
      <w:r w:rsidRPr="00012F44">
        <w:rPr>
          <w:rFonts w:ascii="Arial" w:hAnsi="Arial" w:cs="Arial"/>
          <w:sz w:val="24"/>
          <w:szCs w:val="24"/>
        </w:rPr>
        <w:t>for a housing-based scheme of approximately 650 homes representing a southern extension to the village.</w:t>
      </w:r>
    </w:p>
    <w:p w14:paraId="7BC03C2F" w14:textId="77777777" w:rsidR="00BF08AA" w:rsidRPr="00012F44" w:rsidRDefault="00BF08AA" w:rsidP="00DC54F7">
      <w:pPr>
        <w:spacing w:after="0" w:line="240" w:lineRule="auto"/>
        <w:jc w:val="both"/>
        <w:rPr>
          <w:rFonts w:ascii="Arial" w:hAnsi="Arial" w:cs="Arial"/>
          <w:sz w:val="24"/>
          <w:szCs w:val="24"/>
        </w:rPr>
      </w:pPr>
    </w:p>
    <w:p w14:paraId="66EE443C" w14:textId="79BFC1AA" w:rsidR="00A84A5C" w:rsidRPr="00012F44" w:rsidRDefault="00BF08AA" w:rsidP="00DC54F7">
      <w:pPr>
        <w:spacing w:after="0" w:line="240" w:lineRule="auto"/>
        <w:jc w:val="both"/>
        <w:rPr>
          <w:rFonts w:ascii="Arial" w:hAnsi="Arial" w:cs="Arial"/>
          <w:sz w:val="24"/>
          <w:szCs w:val="24"/>
        </w:rPr>
      </w:pPr>
      <w:r w:rsidRPr="00012F44">
        <w:rPr>
          <w:rFonts w:ascii="Arial" w:hAnsi="Arial" w:cs="Arial"/>
          <w:sz w:val="24"/>
          <w:szCs w:val="24"/>
        </w:rPr>
        <w:t>T</w:t>
      </w:r>
      <w:r w:rsidR="00A84A5C" w:rsidRPr="00012F44">
        <w:rPr>
          <w:rFonts w:ascii="Arial" w:hAnsi="Arial" w:cs="Arial"/>
          <w:sz w:val="24"/>
          <w:szCs w:val="24"/>
        </w:rPr>
        <w:t xml:space="preserve">he sites are adjacent </w:t>
      </w:r>
      <w:r w:rsidRPr="00012F44">
        <w:rPr>
          <w:rFonts w:ascii="Arial" w:hAnsi="Arial" w:cs="Arial"/>
          <w:sz w:val="24"/>
          <w:szCs w:val="24"/>
        </w:rPr>
        <w:t xml:space="preserve">to one another </w:t>
      </w:r>
      <w:r w:rsidR="00A84A5C" w:rsidRPr="00012F44">
        <w:rPr>
          <w:rFonts w:ascii="Arial" w:hAnsi="Arial" w:cs="Arial"/>
          <w:sz w:val="24"/>
          <w:szCs w:val="24"/>
        </w:rPr>
        <w:t>and separated only by Llantrisant Road</w:t>
      </w:r>
      <w:r w:rsidRPr="00012F44">
        <w:rPr>
          <w:rFonts w:ascii="Arial" w:hAnsi="Arial" w:cs="Arial"/>
          <w:sz w:val="24"/>
          <w:szCs w:val="24"/>
        </w:rPr>
        <w:t xml:space="preserve">. The sites </w:t>
      </w:r>
      <w:r w:rsidR="00A84A5C" w:rsidRPr="00012F44">
        <w:rPr>
          <w:rFonts w:ascii="Arial" w:hAnsi="Arial" w:cs="Arial"/>
          <w:sz w:val="24"/>
          <w:szCs w:val="24"/>
        </w:rPr>
        <w:t xml:space="preserve">will help bring forward new homes, jobs and supporting infrastructure including a new strategic park and ride facility. </w:t>
      </w:r>
    </w:p>
    <w:p w14:paraId="4C7585E0" w14:textId="539DCA99" w:rsidR="004971DA" w:rsidRPr="00012F44" w:rsidRDefault="004971DA" w:rsidP="00DC54F7">
      <w:pPr>
        <w:spacing w:after="0" w:line="240" w:lineRule="auto"/>
        <w:jc w:val="both"/>
        <w:rPr>
          <w:rFonts w:ascii="Arial" w:hAnsi="Arial" w:cs="Arial"/>
          <w:sz w:val="24"/>
          <w:szCs w:val="24"/>
        </w:rPr>
      </w:pPr>
    </w:p>
    <w:p w14:paraId="2AE5FD7F" w14:textId="527F751E" w:rsidR="00942442" w:rsidRPr="00012F44" w:rsidRDefault="004971DA" w:rsidP="00DC54F7">
      <w:pPr>
        <w:pStyle w:val="ListParagraph"/>
        <w:numPr>
          <w:ilvl w:val="0"/>
          <w:numId w:val="149"/>
        </w:numPr>
        <w:spacing w:after="0" w:line="240" w:lineRule="auto"/>
        <w:ind w:left="357" w:hanging="357"/>
        <w:jc w:val="both"/>
        <w:rPr>
          <w:rFonts w:ascii="Arial" w:hAnsi="Arial" w:cs="Arial"/>
          <w:sz w:val="24"/>
          <w:szCs w:val="24"/>
        </w:rPr>
      </w:pPr>
      <w:r w:rsidRPr="00012F44">
        <w:rPr>
          <w:rFonts w:ascii="Arial" w:hAnsi="Arial" w:cs="Arial"/>
          <w:sz w:val="24"/>
          <w:szCs w:val="24"/>
        </w:rPr>
        <w:t>Provision of new bus-based Rapid Transit Corridors through the site North of Junction 33 linking directly to the Western Bus Corridor</w:t>
      </w:r>
      <w:r w:rsidR="0092750B" w:rsidRPr="00012F44">
        <w:rPr>
          <w:rFonts w:ascii="Arial" w:hAnsi="Arial" w:cs="Arial"/>
          <w:sz w:val="24"/>
          <w:szCs w:val="24"/>
        </w:rPr>
        <w:t>.</w:t>
      </w:r>
    </w:p>
    <w:p w14:paraId="383A3B10" w14:textId="797C67E7" w:rsidR="0068398F" w:rsidRPr="00012F44" w:rsidRDefault="004971DA" w:rsidP="00DC54F7">
      <w:pPr>
        <w:pStyle w:val="ListParagraph"/>
        <w:numPr>
          <w:ilvl w:val="0"/>
          <w:numId w:val="149"/>
        </w:numPr>
        <w:spacing w:after="0" w:line="240" w:lineRule="auto"/>
        <w:ind w:left="357" w:hanging="357"/>
        <w:jc w:val="both"/>
        <w:rPr>
          <w:rFonts w:ascii="Arial" w:hAnsi="Arial" w:cs="Arial"/>
          <w:sz w:val="24"/>
          <w:szCs w:val="24"/>
        </w:rPr>
      </w:pPr>
      <w:r w:rsidRPr="00012F44">
        <w:rPr>
          <w:rFonts w:ascii="Arial" w:hAnsi="Arial" w:cs="Arial"/>
          <w:sz w:val="24"/>
          <w:szCs w:val="24"/>
        </w:rPr>
        <w:t>Exten</w:t>
      </w:r>
      <w:r w:rsidR="00942442" w:rsidRPr="00012F44">
        <w:rPr>
          <w:rFonts w:ascii="Arial" w:hAnsi="Arial" w:cs="Arial"/>
          <w:sz w:val="24"/>
          <w:szCs w:val="24"/>
        </w:rPr>
        <w:t>sion</w:t>
      </w:r>
      <w:r w:rsidR="0068398F" w:rsidRPr="00012F44">
        <w:rPr>
          <w:rFonts w:ascii="Arial" w:hAnsi="Arial" w:cs="Arial"/>
          <w:sz w:val="24"/>
          <w:szCs w:val="24"/>
        </w:rPr>
        <w:t xml:space="preserve"> of</w:t>
      </w:r>
      <w:r w:rsidRPr="00012F44">
        <w:rPr>
          <w:rFonts w:ascii="Arial" w:hAnsi="Arial" w:cs="Arial"/>
          <w:sz w:val="24"/>
          <w:szCs w:val="24"/>
        </w:rPr>
        <w:t xml:space="preserve"> bus networks and increas</w:t>
      </w:r>
      <w:r w:rsidR="0068398F" w:rsidRPr="00012F44">
        <w:rPr>
          <w:rFonts w:ascii="Arial" w:hAnsi="Arial" w:cs="Arial"/>
          <w:sz w:val="24"/>
          <w:szCs w:val="24"/>
        </w:rPr>
        <w:t>ing</w:t>
      </w:r>
      <w:r w:rsidRPr="00012F44">
        <w:rPr>
          <w:rFonts w:ascii="Arial" w:hAnsi="Arial" w:cs="Arial"/>
          <w:sz w:val="24"/>
          <w:szCs w:val="24"/>
        </w:rPr>
        <w:t xml:space="preserve"> the frequency and reliability of </w:t>
      </w:r>
      <w:r w:rsidR="0092750B" w:rsidRPr="00012F44">
        <w:rPr>
          <w:rFonts w:ascii="Arial" w:hAnsi="Arial" w:cs="Arial"/>
          <w:sz w:val="24"/>
          <w:szCs w:val="24"/>
        </w:rPr>
        <w:t xml:space="preserve">site </w:t>
      </w:r>
      <w:r w:rsidRPr="00012F44">
        <w:rPr>
          <w:rFonts w:ascii="Arial" w:hAnsi="Arial" w:cs="Arial"/>
          <w:sz w:val="24"/>
          <w:szCs w:val="24"/>
        </w:rPr>
        <w:t>services</w:t>
      </w:r>
      <w:r w:rsidR="0092750B" w:rsidRPr="00012F44">
        <w:rPr>
          <w:rFonts w:ascii="Arial" w:hAnsi="Arial" w:cs="Arial"/>
          <w:sz w:val="24"/>
          <w:szCs w:val="24"/>
        </w:rPr>
        <w:t>.</w:t>
      </w:r>
    </w:p>
    <w:p w14:paraId="616A472E" w14:textId="31E80C12" w:rsidR="0068398F" w:rsidRPr="00012F44" w:rsidRDefault="004971DA" w:rsidP="00DC54F7">
      <w:pPr>
        <w:pStyle w:val="ListParagraph"/>
        <w:numPr>
          <w:ilvl w:val="0"/>
          <w:numId w:val="149"/>
        </w:numPr>
        <w:spacing w:after="0" w:line="240" w:lineRule="auto"/>
        <w:ind w:left="357" w:hanging="357"/>
        <w:jc w:val="both"/>
        <w:rPr>
          <w:rFonts w:ascii="Arial" w:hAnsi="Arial" w:cs="Arial"/>
          <w:sz w:val="24"/>
          <w:szCs w:val="24"/>
        </w:rPr>
      </w:pPr>
      <w:r w:rsidRPr="00012F44">
        <w:rPr>
          <w:rFonts w:ascii="Arial" w:hAnsi="Arial" w:cs="Arial"/>
          <w:sz w:val="24"/>
          <w:szCs w:val="24"/>
        </w:rPr>
        <w:t xml:space="preserve">Strategic park and ride facility North of Junction 33 </w:t>
      </w:r>
      <w:r w:rsidR="0092750B" w:rsidRPr="00012F44">
        <w:rPr>
          <w:rFonts w:ascii="Arial" w:hAnsi="Arial" w:cs="Arial"/>
          <w:sz w:val="24"/>
          <w:szCs w:val="24"/>
        </w:rPr>
        <w:t>and p</w:t>
      </w:r>
      <w:r w:rsidRPr="00012F44">
        <w:rPr>
          <w:rFonts w:ascii="Arial" w:hAnsi="Arial" w:cs="Arial"/>
          <w:sz w:val="24"/>
          <w:szCs w:val="24"/>
        </w:rPr>
        <w:t xml:space="preserve">ark &amp; </w:t>
      </w:r>
      <w:r w:rsidR="0092750B" w:rsidRPr="00012F44">
        <w:rPr>
          <w:rFonts w:ascii="Arial" w:hAnsi="Arial" w:cs="Arial"/>
          <w:sz w:val="24"/>
          <w:szCs w:val="24"/>
        </w:rPr>
        <w:t>r</w:t>
      </w:r>
      <w:r w:rsidRPr="00012F44">
        <w:rPr>
          <w:rFonts w:ascii="Arial" w:hAnsi="Arial" w:cs="Arial"/>
          <w:sz w:val="24"/>
          <w:szCs w:val="24"/>
        </w:rPr>
        <w:t>ide facility and Local Centre to the south of the site</w:t>
      </w:r>
      <w:r w:rsidR="0092750B" w:rsidRPr="00012F44">
        <w:rPr>
          <w:rFonts w:ascii="Arial" w:hAnsi="Arial" w:cs="Arial"/>
          <w:sz w:val="24"/>
          <w:szCs w:val="24"/>
        </w:rPr>
        <w:t>.</w:t>
      </w:r>
    </w:p>
    <w:p w14:paraId="22444690" w14:textId="3557626C" w:rsidR="0092750B" w:rsidRPr="00012F44" w:rsidRDefault="004971DA" w:rsidP="00DC54F7">
      <w:pPr>
        <w:pStyle w:val="ListParagraph"/>
        <w:numPr>
          <w:ilvl w:val="0"/>
          <w:numId w:val="149"/>
        </w:numPr>
        <w:spacing w:after="0" w:line="240" w:lineRule="auto"/>
        <w:ind w:left="357" w:hanging="357"/>
        <w:jc w:val="both"/>
        <w:rPr>
          <w:rFonts w:ascii="Arial" w:hAnsi="Arial" w:cs="Arial"/>
          <w:sz w:val="24"/>
          <w:szCs w:val="24"/>
        </w:rPr>
      </w:pPr>
      <w:r w:rsidRPr="00012F44">
        <w:rPr>
          <w:rFonts w:ascii="Arial" w:hAnsi="Arial" w:cs="Arial"/>
          <w:sz w:val="24"/>
          <w:szCs w:val="24"/>
        </w:rPr>
        <w:t>Improve</w:t>
      </w:r>
      <w:r w:rsidR="00404210" w:rsidRPr="00012F44">
        <w:rPr>
          <w:rFonts w:ascii="Arial" w:hAnsi="Arial" w:cs="Arial"/>
          <w:sz w:val="24"/>
          <w:szCs w:val="24"/>
        </w:rPr>
        <w:t>ment of</w:t>
      </w:r>
      <w:r w:rsidRPr="00012F44">
        <w:rPr>
          <w:rFonts w:ascii="Arial" w:hAnsi="Arial" w:cs="Arial"/>
          <w:sz w:val="24"/>
          <w:szCs w:val="24"/>
        </w:rPr>
        <w:t xml:space="preserve"> </w:t>
      </w:r>
      <w:r w:rsidR="006621BC" w:rsidRPr="00012F44">
        <w:rPr>
          <w:rFonts w:ascii="Arial" w:hAnsi="Arial" w:cs="Arial"/>
          <w:sz w:val="24"/>
          <w:szCs w:val="24"/>
        </w:rPr>
        <w:t xml:space="preserve">key </w:t>
      </w:r>
      <w:r w:rsidRPr="00012F44">
        <w:rPr>
          <w:rFonts w:ascii="Arial" w:hAnsi="Arial" w:cs="Arial"/>
          <w:sz w:val="24"/>
          <w:szCs w:val="24"/>
        </w:rPr>
        <w:t>junction</w:t>
      </w:r>
      <w:r w:rsidR="006621BC" w:rsidRPr="00012F44">
        <w:rPr>
          <w:rFonts w:ascii="Arial" w:hAnsi="Arial" w:cs="Arial"/>
          <w:sz w:val="24"/>
          <w:szCs w:val="24"/>
        </w:rPr>
        <w:t xml:space="preserve">s </w:t>
      </w:r>
      <w:r w:rsidR="0092750B" w:rsidRPr="00012F44">
        <w:rPr>
          <w:rFonts w:ascii="Arial" w:hAnsi="Arial" w:cs="Arial"/>
          <w:sz w:val="24"/>
          <w:szCs w:val="24"/>
        </w:rPr>
        <w:t>and provide safe crossings</w:t>
      </w:r>
      <w:r w:rsidRPr="00012F44">
        <w:rPr>
          <w:rFonts w:ascii="Arial" w:hAnsi="Arial" w:cs="Arial"/>
          <w:sz w:val="24"/>
          <w:szCs w:val="24"/>
        </w:rPr>
        <w:t>.</w:t>
      </w:r>
    </w:p>
    <w:p w14:paraId="42F08385" w14:textId="10C18A04" w:rsidR="0068398F" w:rsidRPr="00012F44" w:rsidRDefault="0092750B" w:rsidP="00DC54F7">
      <w:pPr>
        <w:pStyle w:val="ListParagraph"/>
        <w:numPr>
          <w:ilvl w:val="0"/>
          <w:numId w:val="149"/>
        </w:numPr>
        <w:spacing w:after="0" w:line="240" w:lineRule="auto"/>
        <w:ind w:left="357" w:hanging="357"/>
        <w:jc w:val="both"/>
        <w:rPr>
          <w:rFonts w:ascii="Arial" w:hAnsi="Arial" w:cs="Arial"/>
          <w:sz w:val="24"/>
          <w:szCs w:val="24"/>
        </w:rPr>
      </w:pPr>
      <w:r w:rsidRPr="00012F44">
        <w:rPr>
          <w:rFonts w:ascii="Arial" w:hAnsi="Arial" w:cs="Arial"/>
          <w:sz w:val="24"/>
          <w:szCs w:val="24"/>
        </w:rPr>
        <w:t xml:space="preserve">Provision of </w:t>
      </w:r>
      <w:r w:rsidR="004971DA" w:rsidRPr="00012F44">
        <w:rPr>
          <w:rFonts w:ascii="Arial" w:hAnsi="Arial" w:cs="Arial"/>
          <w:sz w:val="24"/>
          <w:szCs w:val="24"/>
        </w:rPr>
        <w:t xml:space="preserve">a network of high quality, safe, </w:t>
      </w:r>
      <w:r w:rsidR="00C16CC7" w:rsidRPr="00012F44">
        <w:rPr>
          <w:rFonts w:ascii="Arial" w:hAnsi="Arial" w:cs="Arial"/>
          <w:sz w:val="24"/>
          <w:szCs w:val="24"/>
        </w:rPr>
        <w:t>attractive,</w:t>
      </w:r>
      <w:r w:rsidR="004971DA" w:rsidRPr="00012F44">
        <w:rPr>
          <w:rFonts w:ascii="Arial" w:hAnsi="Arial" w:cs="Arial"/>
          <w:sz w:val="24"/>
          <w:szCs w:val="24"/>
        </w:rPr>
        <w:t xml:space="preserve"> and convenient </w:t>
      </w:r>
      <w:r w:rsidRPr="00012F44">
        <w:rPr>
          <w:rFonts w:ascii="Arial" w:hAnsi="Arial" w:cs="Arial"/>
          <w:sz w:val="24"/>
          <w:szCs w:val="24"/>
        </w:rPr>
        <w:t xml:space="preserve">walking and cycling </w:t>
      </w:r>
      <w:r w:rsidR="004971DA" w:rsidRPr="00012F44">
        <w:rPr>
          <w:rFonts w:ascii="Arial" w:hAnsi="Arial" w:cs="Arial"/>
          <w:sz w:val="24"/>
          <w:szCs w:val="24"/>
        </w:rPr>
        <w:t>routes within the site</w:t>
      </w:r>
      <w:r w:rsidRPr="00012F44">
        <w:rPr>
          <w:rFonts w:ascii="Arial" w:hAnsi="Arial" w:cs="Arial"/>
          <w:sz w:val="24"/>
          <w:szCs w:val="24"/>
        </w:rPr>
        <w:t xml:space="preserve">, </w:t>
      </w:r>
      <w:r w:rsidR="004971DA" w:rsidRPr="00012F44">
        <w:rPr>
          <w:rFonts w:ascii="Arial" w:hAnsi="Arial" w:cs="Arial"/>
          <w:sz w:val="24"/>
          <w:szCs w:val="24"/>
        </w:rPr>
        <w:t xml:space="preserve">linking to key local services, facilities and destinations </w:t>
      </w:r>
    </w:p>
    <w:p w14:paraId="642D501B" w14:textId="309EF84A" w:rsidR="0068398F" w:rsidRPr="00012F44" w:rsidRDefault="0068398F" w:rsidP="00DC54F7">
      <w:pPr>
        <w:pStyle w:val="ListParagraph"/>
        <w:numPr>
          <w:ilvl w:val="0"/>
          <w:numId w:val="149"/>
        </w:numPr>
        <w:spacing w:after="0" w:line="240" w:lineRule="auto"/>
        <w:ind w:left="357" w:hanging="357"/>
        <w:jc w:val="both"/>
        <w:rPr>
          <w:rFonts w:ascii="Arial" w:hAnsi="Arial" w:cs="Arial"/>
          <w:sz w:val="24"/>
          <w:szCs w:val="24"/>
        </w:rPr>
      </w:pPr>
      <w:r w:rsidRPr="00012F44">
        <w:rPr>
          <w:rFonts w:ascii="Arial" w:hAnsi="Arial" w:cs="Arial"/>
          <w:sz w:val="24"/>
          <w:szCs w:val="24"/>
        </w:rPr>
        <w:t xml:space="preserve">One </w:t>
      </w:r>
      <w:r w:rsidR="004971DA" w:rsidRPr="00012F44">
        <w:rPr>
          <w:rFonts w:ascii="Arial" w:hAnsi="Arial" w:cs="Arial"/>
          <w:sz w:val="24"/>
          <w:szCs w:val="24"/>
        </w:rPr>
        <w:t>Local Centre including Primary Care facility and multifunctional community leisure facility including library facility</w:t>
      </w:r>
      <w:r w:rsidR="0092750B" w:rsidRPr="00012F44">
        <w:rPr>
          <w:rFonts w:ascii="Arial" w:hAnsi="Arial" w:cs="Arial"/>
          <w:sz w:val="24"/>
          <w:szCs w:val="24"/>
        </w:rPr>
        <w:t>.</w:t>
      </w:r>
    </w:p>
    <w:p w14:paraId="54C98F86" w14:textId="07298CCE" w:rsidR="0068398F" w:rsidRPr="00012F44" w:rsidRDefault="0068398F" w:rsidP="00DC54F7">
      <w:pPr>
        <w:pStyle w:val="ListParagraph"/>
        <w:numPr>
          <w:ilvl w:val="0"/>
          <w:numId w:val="149"/>
        </w:numPr>
        <w:spacing w:after="0" w:line="240" w:lineRule="auto"/>
        <w:ind w:left="357" w:hanging="357"/>
        <w:jc w:val="both"/>
        <w:rPr>
          <w:rFonts w:ascii="Arial" w:hAnsi="Arial" w:cs="Arial"/>
          <w:sz w:val="24"/>
          <w:szCs w:val="24"/>
        </w:rPr>
      </w:pPr>
      <w:r w:rsidRPr="00012F44">
        <w:rPr>
          <w:rFonts w:ascii="Arial" w:hAnsi="Arial" w:cs="Arial"/>
          <w:sz w:val="24"/>
          <w:szCs w:val="24"/>
        </w:rPr>
        <w:t xml:space="preserve">One to two </w:t>
      </w:r>
      <w:r w:rsidR="004971DA" w:rsidRPr="00012F44">
        <w:rPr>
          <w:rFonts w:ascii="Arial" w:hAnsi="Arial" w:cs="Arial"/>
          <w:sz w:val="24"/>
          <w:szCs w:val="24"/>
        </w:rPr>
        <w:t xml:space="preserve">new Primary Schools with </w:t>
      </w:r>
      <w:r w:rsidRPr="00012F44">
        <w:rPr>
          <w:rFonts w:ascii="Arial" w:hAnsi="Arial" w:cs="Arial"/>
          <w:sz w:val="24"/>
          <w:szCs w:val="24"/>
        </w:rPr>
        <w:t xml:space="preserve">one </w:t>
      </w:r>
      <w:r w:rsidR="004971DA" w:rsidRPr="00012F44">
        <w:rPr>
          <w:rFonts w:ascii="Arial" w:hAnsi="Arial" w:cs="Arial"/>
          <w:sz w:val="24"/>
          <w:szCs w:val="24"/>
        </w:rPr>
        <w:t xml:space="preserve">located in or adjacent to Local Centre, and </w:t>
      </w:r>
    </w:p>
    <w:p w14:paraId="3471F7C9" w14:textId="600B81F1" w:rsidR="008E3095" w:rsidRPr="00012F44" w:rsidRDefault="004971DA" w:rsidP="00DC54F7">
      <w:pPr>
        <w:pStyle w:val="ListParagraph"/>
        <w:numPr>
          <w:ilvl w:val="0"/>
          <w:numId w:val="149"/>
        </w:numPr>
        <w:spacing w:after="0" w:line="240" w:lineRule="auto"/>
        <w:ind w:left="357" w:hanging="357"/>
        <w:jc w:val="both"/>
        <w:rPr>
          <w:rFonts w:ascii="Arial" w:hAnsi="Arial" w:cs="Arial"/>
          <w:sz w:val="24"/>
          <w:szCs w:val="24"/>
        </w:rPr>
      </w:pPr>
      <w:r w:rsidRPr="00012F44">
        <w:rPr>
          <w:rFonts w:ascii="Arial" w:hAnsi="Arial" w:cs="Arial"/>
          <w:sz w:val="24"/>
          <w:szCs w:val="24"/>
        </w:rPr>
        <w:t>Open Space including formal recreation, playgrounds, teen facility, and allotment site; Improve community facilities in the existing neighbourhood centre in Creigiau to provide new facilities for existing and new residents</w:t>
      </w:r>
      <w:r w:rsidR="0092750B" w:rsidRPr="00012F44">
        <w:rPr>
          <w:rFonts w:ascii="Arial" w:hAnsi="Arial" w:cs="Arial"/>
          <w:sz w:val="24"/>
          <w:szCs w:val="24"/>
        </w:rPr>
        <w:t>.</w:t>
      </w:r>
      <w:r w:rsidRPr="00012F44">
        <w:rPr>
          <w:rFonts w:ascii="Arial" w:hAnsi="Arial" w:cs="Arial"/>
          <w:sz w:val="24"/>
          <w:szCs w:val="24"/>
        </w:rPr>
        <w:t xml:space="preserve"> </w:t>
      </w:r>
    </w:p>
    <w:p w14:paraId="5A04228A" w14:textId="6BADF5FA" w:rsidR="001265D4" w:rsidRDefault="001265D4" w:rsidP="00DC54F7">
      <w:pPr>
        <w:spacing w:after="0" w:line="240" w:lineRule="auto"/>
        <w:jc w:val="both"/>
        <w:rPr>
          <w:rFonts w:ascii="Arial" w:hAnsi="Arial" w:cs="Arial"/>
          <w:sz w:val="24"/>
          <w:szCs w:val="24"/>
        </w:rPr>
      </w:pPr>
    </w:p>
    <w:p w14:paraId="6ADC0365" w14:textId="31B1389E" w:rsidR="001265D4" w:rsidRDefault="001265D4" w:rsidP="00DC54F7">
      <w:pPr>
        <w:spacing w:after="0" w:line="240" w:lineRule="auto"/>
        <w:jc w:val="both"/>
        <w:rPr>
          <w:rFonts w:ascii="Arial" w:hAnsi="Arial" w:cs="Arial"/>
        </w:rPr>
      </w:pPr>
      <w:r w:rsidRPr="001265D4">
        <w:rPr>
          <w:rFonts w:ascii="Arial" w:hAnsi="Arial" w:cs="Arial"/>
          <w:sz w:val="24"/>
          <w:szCs w:val="24"/>
        </w:rPr>
        <w:t>As of 1</w:t>
      </w:r>
      <w:r w:rsidRPr="001265D4">
        <w:rPr>
          <w:rFonts w:ascii="Arial" w:hAnsi="Arial" w:cs="Arial"/>
          <w:sz w:val="24"/>
          <w:szCs w:val="24"/>
          <w:vertAlign w:val="superscript"/>
        </w:rPr>
        <w:t>st</w:t>
      </w:r>
      <w:r w:rsidRPr="001265D4">
        <w:rPr>
          <w:rFonts w:ascii="Arial" w:hAnsi="Arial" w:cs="Arial"/>
          <w:sz w:val="24"/>
          <w:szCs w:val="24"/>
        </w:rPr>
        <w:t xml:space="preserve"> April 2019, there were no completions on these sites. Site monitoring was suspended in 2020 due to </w:t>
      </w:r>
      <w:r>
        <w:rPr>
          <w:rFonts w:ascii="Arial" w:hAnsi="Arial" w:cs="Arial"/>
          <w:sz w:val="24"/>
          <w:szCs w:val="24"/>
        </w:rPr>
        <w:t>Coronavirus (</w:t>
      </w:r>
      <w:r w:rsidRPr="001265D4">
        <w:rPr>
          <w:rFonts w:ascii="Arial" w:hAnsi="Arial" w:cs="Arial"/>
          <w:sz w:val="24"/>
          <w:szCs w:val="24"/>
        </w:rPr>
        <w:t>COVID</w:t>
      </w:r>
      <w:r>
        <w:rPr>
          <w:rFonts w:ascii="Arial" w:hAnsi="Arial" w:cs="Arial"/>
          <w:sz w:val="24"/>
          <w:szCs w:val="24"/>
        </w:rPr>
        <w:t>-19) pandemic</w:t>
      </w:r>
      <w:r w:rsidRPr="001265D4">
        <w:rPr>
          <w:rFonts w:ascii="Arial" w:hAnsi="Arial" w:cs="Arial"/>
          <w:sz w:val="24"/>
          <w:szCs w:val="24"/>
        </w:rPr>
        <w:t xml:space="preserve"> restrictions</w:t>
      </w:r>
      <w:r w:rsidRPr="001265D4">
        <w:rPr>
          <w:rFonts w:ascii="Arial" w:hAnsi="Arial" w:cs="Arial"/>
        </w:rPr>
        <w:t>.</w:t>
      </w:r>
      <w:r>
        <w:rPr>
          <w:rFonts w:ascii="Arial" w:hAnsi="Arial" w:cs="Arial"/>
        </w:rPr>
        <w:t xml:space="preserve"> </w:t>
      </w:r>
    </w:p>
    <w:p w14:paraId="2FACE244" w14:textId="77777777" w:rsidR="0071164A" w:rsidRPr="00E80270" w:rsidRDefault="0071164A" w:rsidP="00DC54F7">
      <w:pPr>
        <w:spacing w:after="0" w:line="240" w:lineRule="auto"/>
        <w:jc w:val="both"/>
        <w:rPr>
          <w:rFonts w:ascii="Arial" w:hAnsi="Arial" w:cs="Arial"/>
        </w:rPr>
      </w:pPr>
    </w:p>
    <w:p w14:paraId="167116E8" w14:textId="77777777" w:rsidR="0071164A" w:rsidRPr="00E50AE4" w:rsidRDefault="0071164A" w:rsidP="00DC54F7">
      <w:pPr>
        <w:spacing w:after="0" w:line="240" w:lineRule="auto"/>
        <w:jc w:val="both"/>
        <w:rPr>
          <w:rFonts w:ascii="Arial" w:hAnsi="Arial" w:cs="Arial"/>
          <w:i/>
          <w:iCs/>
          <w:sz w:val="24"/>
          <w:szCs w:val="24"/>
        </w:rPr>
      </w:pPr>
      <w:r w:rsidRPr="00E50AE4">
        <w:rPr>
          <w:rFonts w:ascii="Arial" w:hAnsi="Arial" w:cs="Arial"/>
          <w:sz w:val="24"/>
          <w:szCs w:val="24"/>
        </w:rPr>
        <w:t>For the North of Junction 33 on the M4 site, construction work started in autumn 2019 and the development is being built in a series of phases. The spring 2021 LDP monitoring document highlights that there have been no completions and around 179 homes are under construction</w:t>
      </w:r>
      <w:r w:rsidRPr="00E50AE4">
        <w:rPr>
          <w:rFonts w:ascii="Arial" w:hAnsi="Arial" w:cs="Arial"/>
          <w:i/>
          <w:iCs/>
          <w:sz w:val="24"/>
          <w:szCs w:val="24"/>
        </w:rPr>
        <w:t xml:space="preserve">.  </w:t>
      </w:r>
    </w:p>
    <w:p w14:paraId="2A6CAC53" w14:textId="78BCE43A" w:rsidR="0028000E" w:rsidRPr="00E50AE4" w:rsidRDefault="0028000E" w:rsidP="00DC54F7">
      <w:pPr>
        <w:spacing w:after="0" w:line="240" w:lineRule="auto"/>
        <w:jc w:val="both"/>
        <w:rPr>
          <w:rFonts w:ascii="Arial" w:hAnsi="Arial" w:cs="Arial"/>
        </w:rPr>
      </w:pPr>
    </w:p>
    <w:p w14:paraId="09932652" w14:textId="77777777" w:rsidR="00093953" w:rsidRPr="00093953" w:rsidRDefault="00093953" w:rsidP="00DC54F7">
      <w:pPr>
        <w:spacing w:after="0" w:line="240" w:lineRule="auto"/>
        <w:jc w:val="both"/>
        <w:rPr>
          <w:rFonts w:ascii="Arial" w:hAnsi="Arial" w:cs="Arial"/>
          <w:sz w:val="24"/>
          <w:szCs w:val="24"/>
        </w:rPr>
      </w:pPr>
      <w:r w:rsidRPr="00E50AE4">
        <w:rPr>
          <w:rFonts w:ascii="Arial" w:hAnsi="Arial" w:cs="Arial"/>
          <w:sz w:val="24"/>
          <w:szCs w:val="24"/>
        </w:rPr>
        <w:t>The spring 2021 LDP monitoring document highlights that for the South of Creigiau site, there is a live outline planning application in progress with Cardiff Council.</w:t>
      </w:r>
      <w:r w:rsidRPr="00093953">
        <w:rPr>
          <w:rFonts w:ascii="Arial" w:hAnsi="Arial" w:cs="Arial"/>
          <w:sz w:val="24"/>
          <w:szCs w:val="24"/>
        </w:rPr>
        <w:t xml:space="preserve"> </w:t>
      </w:r>
    </w:p>
    <w:p w14:paraId="018C8248" w14:textId="77777777" w:rsidR="00093953" w:rsidRPr="00093953" w:rsidRDefault="00093953" w:rsidP="00DC54F7">
      <w:pPr>
        <w:spacing w:after="0" w:line="240" w:lineRule="auto"/>
        <w:jc w:val="both"/>
        <w:rPr>
          <w:rFonts w:ascii="Arial" w:hAnsi="Arial" w:cs="Arial"/>
        </w:rPr>
      </w:pPr>
    </w:p>
    <w:p w14:paraId="3C3FEE77" w14:textId="77777777" w:rsidR="00012F44" w:rsidRDefault="00012F44" w:rsidP="00DC54F7">
      <w:pPr>
        <w:spacing w:after="0" w:line="240" w:lineRule="auto"/>
        <w:jc w:val="both"/>
        <w:rPr>
          <w:rFonts w:ascii="Arial" w:hAnsi="Arial" w:cs="Arial"/>
          <w:b/>
          <w:sz w:val="26"/>
          <w:szCs w:val="26"/>
        </w:rPr>
      </w:pPr>
    </w:p>
    <w:p w14:paraId="352001E9" w14:textId="755202AB" w:rsidR="0063382E" w:rsidRDefault="00CB0DF6" w:rsidP="00DC54F7">
      <w:pPr>
        <w:spacing w:after="0" w:line="240" w:lineRule="auto"/>
        <w:jc w:val="both"/>
        <w:rPr>
          <w:rFonts w:ascii="Arial" w:hAnsi="Arial" w:cs="Arial"/>
          <w:b/>
          <w:sz w:val="26"/>
          <w:szCs w:val="26"/>
          <w:lang w:val="en-US"/>
        </w:rPr>
      </w:pPr>
      <w:r>
        <w:rPr>
          <w:rFonts w:ascii="Arial" w:hAnsi="Arial" w:cs="Arial"/>
          <w:b/>
          <w:sz w:val="26"/>
          <w:szCs w:val="26"/>
        </w:rPr>
        <w:t>13</w:t>
      </w:r>
      <w:r w:rsidR="0063382E" w:rsidRPr="00A10850">
        <w:rPr>
          <w:rFonts w:ascii="Arial" w:hAnsi="Arial" w:cs="Arial"/>
          <w:b/>
          <w:sz w:val="26"/>
          <w:szCs w:val="26"/>
        </w:rPr>
        <w:t xml:space="preserve">.2 </w:t>
      </w:r>
      <w:r w:rsidR="0063382E" w:rsidRPr="00D10889">
        <w:rPr>
          <w:rFonts w:ascii="Arial" w:hAnsi="Arial" w:cs="Arial"/>
          <w:b/>
          <w:sz w:val="24"/>
          <w:szCs w:val="24"/>
        </w:rPr>
        <w:t>Current</w:t>
      </w:r>
      <w:r w:rsidR="0063382E" w:rsidRPr="00D10889">
        <w:rPr>
          <w:rFonts w:ascii="Arial" w:hAnsi="Arial" w:cs="Arial"/>
          <w:b/>
          <w:sz w:val="24"/>
          <w:szCs w:val="24"/>
          <w:lang w:val="en-US"/>
        </w:rPr>
        <w:t xml:space="preserve"> provision of pharmaceutical services within the </w:t>
      </w:r>
      <w:r w:rsidR="006E46A2" w:rsidRPr="00D10889">
        <w:rPr>
          <w:rFonts w:ascii="Arial" w:hAnsi="Arial" w:cs="Arial"/>
          <w:b/>
          <w:sz w:val="24"/>
          <w:szCs w:val="24"/>
          <w:lang w:val="en-US"/>
        </w:rPr>
        <w:t>cluster</w:t>
      </w:r>
    </w:p>
    <w:p w14:paraId="05524DDE" w14:textId="77777777" w:rsidR="008604F5" w:rsidRDefault="008604F5" w:rsidP="00DC54F7">
      <w:pPr>
        <w:spacing w:after="0" w:line="240" w:lineRule="auto"/>
        <w:jc w:val="both"/>
        <w:rPr>
          <w:rFonts w:ascii="Arial" w:hAnsi="Arial" w:cs="Arial"/>
          <w:b/>
          <w:sz w:val="26"/>
          <w:szCs w:val="26"/>
          <w:lang w:val="en-US"/>
        </w:rPr>
      </w:pPr>
    </w:p>
    <w:p w14:paraId="4181F1B9" w14:textId="2B944636" w:rsidR="008604F5" w:rsidRPr="00012F44" w:rsidRDefault="008604F5" w:rsidP="00DC54F7">
      <w:pPr>
        <w:spacing w:after="0" w:line="240" w:lineRule="auto"/>
        <w:jc w:val="both"/>
        <w:rPr>
          <w:rFonts w:ascii="Arial" w:hAnsi="Arial" w:cs="Arial"/>
          <w:bCs/>
          <w:sz w:val="24"/>
          <w:szCs w:val="24"/>
          <w:lang w:val="en-US"/>
        </w:rPr>
      </w:pPr>
      <w:r w:rsidRPr="00012F44">
        <w:rPr>
          <w:rFonts w:ascii="Arial" w:hAnsi="Arial" w:cs="Arial"/>
          <w:bCs/>
          <w:sz w:val="24"/>
          <w:szCs w:val="24"/>
          <w:lang w:val="en-US"/>
        </w:rPr>
        <w:t xml:space="preserve">There are 13 pharmacies in Cardiff </w:t>
      </w:r>
      <w:r w:rsidR="003C70A4" w:rsidRPr="00012F44">
        <w:rPr>
          <w:rFonts w:ascii="Arial" w:hAnsi="Arial" w:cs="Arial"/>
          <w:bCs/>
          <w:sz w:val="24"/>
          <w:szCs w:val="24"/>
          <w:lang w:val="en-US"/>
        </w:rPr>
        <w:t>Wes</w:t>
      </w:r>
      <w:r w:rsidRPr="00012F44">
        <w:rPr>
          <w:rFonts w:ascii="Arial" w:hAnsi="Arial" w:cs="Arial"/>
          <w:bCs/>
          <w:sz w:val="24"/>
          <w:szCs w:val="24"/>
          <w:lang w:val="en-US"/>
        </w:rPr>
        <w:t xml:space="preserve">t cluster. </w:t>
      </w:r>
    </w:p>
    <w:p w14:paraId="0DA00B14" w14:textId="4FD5C9A5" w:rsidR="00F53E3F" w:rsidRPr="00C2796C" w:rsidRDefault="00F53E3F" w:rsidP="00DC54F7">
      <w:pPr>
        <w:spacing w:after="0" w:line="240" w:lineRule="auto"/>
        <w:jc w:val="both"/>
        <w:rPr>
          <w:rFonts w:ascii="Arial" w:hAnsi="Arial" w:cs="Arial"/>
          <w:bCs/>
          <w:sz w:val="24"/>
          <w:szCs w:val="24"/>
          <w:lang w:val="en-US"/>
        </w:rPr>
      </w:pPr>
    </w:p>
    <w:p w14:paraId="57A58E70" w14:textId="4D5E11FA" w:rsidR="00F53E3F" w:rsidRPr="00C2796C" w:rsidRDefault="00F53E3F" w:rsidP="00DC54F7">
      <w:pPr>
        <w:spacing w:after="0" w:line="240" w:lineRule="auto"/>
        <w:jc w:val="both"/>
        <w:rPr>
          <w:rFonts w:ascii="Arial" w:hAnsi="Arial" w:cs="Arial"/>
          <w:b/>
          <w:sz w:val="24"/>
          <w:szCs w:val="24"/>
          <w:lang w:val="en-US"/>
        </w:rPr>
      </w:pPr>
      <w:r w:rsidRPr="00C2796C">
        <w:rPr>
          <w:rFonts w:ascii="Arial" w:hAnsi="Arial" w:cs="Arial"/>
          <w:b/>
          <w:sz w:val="24"/>
          <w:szCs w:val="24"/>
          <w:lang w:val="en-US"/>
        </w:rPr>
        <w:t>Table 13.7: Pharmacies in Cardiff West cluster</w:t>
      </w:r>
    </w:p>
    <w:tbl>
      <w:tblPr>
        <w:tblW w:w="959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396"/>
        <w:gridCol w:w="2988"/>
        <w:gridCol w:w="1667"/>
        <w:gridCol w:w="1541"/>
      </w:tblGrid>
      <w:tr w:rsidR="003C49A7" w:rsidRPr="003C49A7" w14:paraId="3DDFDBB1" w14:textId="77777777" w:rsidTr="003C49A7">
        <w:trPr>
          <w:trHeight w:val="260"/>
        </w:trPr>
        <w:tc>
          <w:tcPr>
            <w:tcW w:w="3396" w:type="dxa"/>
            <w:shd w:val="clear" w:color="auto" w:fill="8497B0"/>
            <w:noWrap/>
            <w:vAlign w:val="bottom"/>
            <w:hideMark/>
          </w:tcPr>
          <w:p w14:paraId="63C847A5" w14:textId="77777777" w:rsidR="003C49A7" w:rsidRPr="00C2796C" w:rsidRDefault="003C49A7" w:rsidP="00DC54F7">
            <w:pPr>
              <w:spacing w:after="0" w:line="240" w:lineRule="auto"/>
              <w:jc w:val="both"/>
              <w:rPr>
                <w:rFonts w:ascii="Arial" w:eastAsia="Times New Roman" w:hAnsi="Arial" w:cs="Arial"/>
                <w:b/>
                <w:bCs/>
                <w:color w:val="FFFFFF"/>
                <w:lang w:eastAsia="en-GB"/>
              </w:rPr>
            </w:pPr>
            <w:r w:rsidRPr="00C2796C">
              <w:rPr>
                <w:rFonts w:ascii="Arial" w:eastAsia="Times New Roman" w:hAnsi="Arial" w:cs="Arial"/>
                <w:b/>
                <w:bCs/>
                <w:color w:val="FFFFFF"/>
                <w:lang w:eastAsia="en-GB"/>
              </w:rPr>
              <w:t>Pharmacy</w:t>
            </w:r>
          </w:p>
        </w:tc>
        <w:tc>
          <w:tcPr>
            <w:tcW w:w="6196" w:type="dxa"/>
            <w:gridSpan w:val="3"/>
            <w:shd w:val="clear" w:color="auto" w:fill="8497B0"/>
            <w:noWrap/>
            <w:vAlign w:val="bottom"/>
            <w:hideMark/>
          </w:tcPr>
          <w:p w14:paraId="15717D47" w14:textId="77777777" w:rsidR="003C49A7" w:rsidRPr="00C2796C" w:rsidRDefault="003C49A7" w:rsidP="00DC54F7">
            <w:pPr>
              <w:spacing w:after="0" w:line="240" w:lineRule="auto"/>
              <w:jc w:val="both"/>
              <w:rPr>
                <w:rFonts w:ascii="Arial" w:eastAsia="Times New Roman" w:hAnsi="Arial" w:cs="Arial"/>
                <w:b/>
                <w:bCs/>
                <w:color w:val="FFFFFF"/>
                <w:lang w:eastAsia="en-GB"/>
              </w:rPr>
            </w:pPr>
            <w:r w:rsidRPr="00C2796C">
              <w:rPr>
                <w:rFonts w:ascii="Arial" w:eastAsia="Times New Roman" w:hAnsi="Arial" w:cs="Arial"/>
                <w:b/>
                <w:bCs/>
                <w:color w:val="FFFFFF"/>
                <w:lang w:eastAsia="en-GB"/>
              </w:rPr>
              <w:t>Address</w:t>
            </w:r>
          </w:p>
        </w:tc>
      </w:tr>
      <w:tr w:rsidR="003C49A7" w:rsidRPr="003C49A7" w14:paraId="2CCD48A4" w14:textId="77777777" w:rsidTr="003C49A7">
        <w:trPr>
          <w:trHeight w:val="290"/>
        </w:trPr>
        <w:tc>
          <w:tcPr>
            <w:tcW w:w="3396" w:type="dxa"/>
            <w:shd w:val="clear" w:color="000000" w:fill="F2F2F2"/>
            <w:hideMark/>
          </w:tcPr>
          <w:p w14:paraId="4FFBF968"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Asda Stores Ltd T/A Asda Pharmacy</w:t>
            </w:r>
          </w:p>
        </w:tc>
        <w:tc>
          <w:tcPr>
            <w:tcW w:w="2988" w:type="dxa"/>
            <w:shd w:val="clear" w:color="000000" w:fill="F2F2F2"/>
            <w:hideMark/>
          </w:tcPr>
          <w:p w14:paraId="109BD809"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 xml:space="preserve">Asda Superstore Longwood Drive </w:t>
            </w:r>
          </w:p>
        </w:tc>
        <w:tc>
          <w:tcPr>
            <w:tcW w:w="1667" w:type="dxa"/>
            <w:shd w:val="clear" w:color="000000" w:fill="F2F2F2"/>
            <w:hideMark/>
          </w:tcPr>
          <w:p w14:paraId="45BB8F29"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Coryton</w:t>
            </w:r>
          </w:p>
        </w:tc>
        <w:tc>
          <w:tcPr>
            <w:tcW w:w="1541" w:type="dxa"/>
            <w:shd w:val="clear" w:color="000000" w:fill="F2F2F2"/>
            <w:hideMark/>
          </w:tcPr>
          <w:p w14:paraId="476FF315"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CF14 7EW</w:t>
            </w:r>
          </w:p>
        </w:tc>
      </w:tr>
      <w:tr w:rsidR="003C49A7" w:rsidRPr="003C49A7" w14:paraId="284EC642" w14:textId="77777777" w:rsidTr="003C49A7">
        <w:trPr>
          <w:trHeight w:val="290"/>
        </w:trPr>
        <w:tc>
          <w:tcPr>
            <w:tcW w:w="3396" w:type="dxa"/>
            <w:shd w:val="clear" w:color="000000" w:fill="FFFFFF"/>
            <w:hideMark/>
          </w:tcPr>
          <w:p w14:paraId="5A689784"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H Bainbridge Ltd T/A Bainbridge Pharmacy</w:t>
            </w:r>
          </w:p>
        </w:tc>
        <w:tc>
          <w:tcPr>
            <w:tcW w:w="2988" w:type="dxa"/>
            <w:shd w:val="clear" w:color="000000" w:fill="FFFFFF"/>
            <w:hideMark/>
          </w:tcPr>
          <w:p w14:paraId="798977EB"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68 Plasmawr Road</w:t>
            </w:r>
          </w:p>
        </w:tc>
        <w:tc>
          <w:tcPr>
            <w:tcW w:w="1667" w:type="dxa"/>
            <w:shd w:val="clear" w:color="000000" w:fill="FFFFFF"/>
            <w:hideMark/>
          </w:tcPr>
          <w:p w14:paraId="29CA71D3"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Fairwater</w:t>
            </w:r>
          </w:p>
        </w:tc>
        <w:tc>
          <w:tcPr>
            <w:tcW w:w="1541" w:type="dxa"/>
            <w:shd w:val="clear" w:color="000000" w:fill="FFFFFF"/>
            <w:hideMark/>
          </w:tcPr>
          <w:p w14:paraId="567D8471"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CF5 3JX</w:t>
            </w:r>
          </w:p>
        </w:tc>
      </w:tr>
      <w:tr w:rsidR="003C49A7" w:rsidRPr="003C49A7" w14:paraId="7E6BC32A" w14:textId="77777777" w:rsidTr="003C49A7">
        <w:trPr>
          <w:trHeight w:val="290"/>
        </w:trPr>
        <w:tc>
          <w:tcPr>
            <w:tcW w:w="3396" w:type="dxa"/>
            <w:shd w:val="clear" w:color="000000" w:fill="F2F2F2"/>
            <w:hideMark/>
          </w:tcPr>
          <w:p w14:paraId="71189855"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Boots UK Limited</w:t>
            </w:r>
          </w:p>
        </w:tc>
        <w:tc>
          <w:tcPr>
            <w:tcW w:w="2988" w:type="dxa"/>
            <w:shd w:val="clear" w:color="000000" w:fill="F2F2F2"/>
            <w:hideMark/>
          </w:tcPr>
          <w:p w14:paraId="5798E439"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15 Merthyr Road</w:t>
            </w:r>
          </w:p>
        </w:tc>
        <w:tc>
          <w:tcPr>
            <w:tcW w:w="1667" w:type="dxa"/>
            <w:shd w:val="clear" w:color="000000" w:fill="F2F2F2"/>
            <w:hideMark/>
          </w:tcPr>
          <w:p w14:paraId="1F78358D"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 xml:space="preserve"> Whitchurch</w:t>
            </w:r>
          </w:p>
        </w:tc>
        <w:tc>
          <w:tcPr>
            <w:tcW w:w="1541" w:type="dxa"/>
            <w:shd w:val="clear" w:color="000000" w:fill="F2F2F2"/>
            <w:hideMark/>
          </w:tcPr>
          <w:p w14:paraId="61AB29B4"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CF14 1DA</w:t>
            </w:r>
          </w:p>
        </w:tc>
      </w:tr>
      <w:tr w:rsidR="003C49A7" w:rsidRPr="003C49A7" w14:paraId="7FCD000A" w14:textId="77777777" w:rsidTr="003C49A7">
        <w:trPr>
          <w:trHeight w:val="290"/>
        </w:trPr>
        <w:tc>
          <w:tcPr>
            <w:tcW w:w="3396" w:type="dxa"/>
            <w:shd w:val="clear" w:color="000000" w:fill="FFFFFF"/>
            <w:hideMark/>
          </w:tcPr>
          <w:p w14:paraId="072B2E3A"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Parc Canol Ltd T/A Creigiau Pharmacy</w:t>
            </w:r>
          </w:p>
        </w:tc>
        <w:tc>
          <w:tcPr>
            <w:tcW w:w="2988" w:type="dxa"/>
            <w:shd w:val="clear" w:color="000000" w:fill="FFFFFF"/>
            <w:hideMark/>
          </w:tcPr>
          <w:p w14:paraId="1E99263D"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69 Parc y Bryn</w:t>
            </w:r>
          </w:p>
        </w:tc>
        <w:tc>
          <w:tcPr>
            <w:tcW w:w="1667" w:type="dxa"/>
            <w:shd w:val="clear" w:color="000000" w:fill="FFFFFF"/>
            <w:hideMark/>
          </w:tcPr>
          <w:p w14:paraId="745CAA5A"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Creigiau</w:t>
            </w:r>
          </w:p>
        </w:tc>
        <w:tc>
          <w:tcPr>
            <w:tcW w:w="1541" w:type="dxa"/>
            <w:shd w:val="clear" w:color="000000" w:fill="FFFFFF"/>
            <w:hideMark/>
          </w:tcPr>
          <w:p w14:paraId="220047BE"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CF15 9SE</w:t>
            </w:r>
          </w:p>
        </w:tc>
      </w:tr>
      <w:tr w:rsidR="003C49A7" w:rsidRPr="003C49A7" w14:paraId="18AF4BE2" w14:textId="77777777" w:rsidTr="003C49A7">
        <w:trPr>
          <w:trHeight w:val="290"/>
        </w:trPr>
        <w:tc>
          <w:tcPr>
            <w:tcW w:w="3396" w:type="dxa"/>
            <w:shd w:val="clear" w:color="000000" w:fill="F2F2F2"/>
            <w:hideMark/>
          </w:tcPr>
          <w:p w14:paraId="76876C6D"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Pearn's Pharmacies Ltd T/A Danescourt Pharmacy</w:t>
            </w:r>
          </w:p>
        </w:tc>
        <w:tc>
          <w:tcPr>
            <w:tcW w:w="2988" w:type="dxa"/>
            <w:shd w:val="clear" w:color="000000" w:fill="F2F2F2"/>
            <w:hideMark/>
          </w:tcPr>
          <w:p w14:paraId="445787E9"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2 Rachel Close</w:t>
            </w:r>
          </w:p>
        </w:tc>
        <w:tc>
          <w:tcPr>
            <w:tcW w:w="1667" w:type="dxa"/>
            <w:shd w:val="clear" w:color="000000" w:fill="F2F2F2"/>
            <w:hideMark/>
          </w:tcPr>
          <w:p w14:paraId="6D05C84A"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Danescourt</w:t>
            </w:r>
          </w:p>
        </w:tc>
        <w:tc>
          <w:tcPr>
            <w:tcW w:w="1541" w:type="dxa"/>
            <w:shd w:val="clear" w:color="000000" w:fill="F2F2F2"/>
            <w:hideMark/>
          </w:tcPr>
          <w:p w14:paraId="11E1A623"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CF5 2SH</w:t>
            </w:r>
          </w:p>
        </w:tc>
      </w:tr>
      <w:tr w:rsidR="003C49A7" w:rsidRPr="003C49A7" w14:paraId="1B5D23DA" w14:textId="77777777" w:rsidTr="003C49A7">
        <w:trPr>
          <w:trHeight w:val="290"/>
        </w:trPr>
        <w:tc>
          <w:tcPr>
            <w:tcW w:w="3396" w:type="dxa"/>
            <w:shd w:val="clear" w:color="000000" w:fill="FFFFFF"/>
            <w:hideMark/>
          </w:tcPr>
          <w:p w14:paraId="17FED54D"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The Handpost Ltd T/A Llandaff Pharmacy</w:t>
            </w:r>
          </w:p>
        </w:tc>
        <w:tc>
          <w:tcPr>
            <w:tcW w:w="2988" w:type="dxa"/>
            <w:shd w:val="clear" w:color="000000" w:fill="FFFFFF"/>
            <w:hideMark/>
          </w:tcPr>
          <w:p w14:paraId="2649A74B"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18A High Street</w:t>
            </w:r>
          </w:p>
        </w:tc>
        <w:tc>
          <w:tcPr>
            <w:tcW w:w="1667" w:type="dxa"/>
            <w:shd w:val="clear" w:color="000000" w:fill="FFFFFF"/>
            <w:hideMark/>
          </w:tcPr>
          <w:p w14:paraId="72A3A430"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Llandaff</w:t>
            </w:r>
          </w:p>
        </w:tc>
        <w:tc>
          <w:tcPr>
            <w:tcW w:w="1541" w:type="dxa"/>
            <w:shd w:val="clear" w:color="000000" w:fill="FFFFFF"/>
            <w:hideMark/>
          </w:tcPr>
          <w:p w14:paraId="0ADEAB45"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CF5 2DZ</w:t>
            </w:r>
          </w:p>
        </w:tc>
      </w:tr>
      <w:tr w:rsidR="003C49A7" w:rsidRPr="003C49A7" w14:paraId="263BA1E0" w14:textId="77777777" w:rsidTr="003C49A7">
        <w:trPr>
          <w:trHeight w:val="290"/>
        </w:trPr>
        <w:tc>
          <w:tcPr>
            <w:tcW w:w="3396" w:type="dxa"/>
            <w:shd w:val="clear" w:color="000000" w:fill="F2F2F2"/>
            <w:hideMark/>
          </w:tcPr>
          <w:p w14:paraId="5F3514FF"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Seren Ltd. Health Plus Pharmacy</w:t>
            </w:r>
          </w:p>
        </w:tc>
        <w:tc>
          <w:tcPr>
            <w:tcW w:w="2988" w:type="dxa"/>
            <w:shd w:val="clear" w:color="000000" w:fill="F2F2F2"/>
            <w:hideMark/>
          </w:tcPr>
          <w:p w14:paraId="12735A53"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93 Station Road</w:t>
            </w:r>
          </w:p>
        </w:tc>
        <w:tc>
          <w:tcPr>
            <w:tcW w:w="1667" w:type="dxa"/>
            <w:shd w:val="clear" w:color="000000" w:fill="F2F2F2"/>
            <w:hideMark/>
          </w:tcPr>
          <w:p w14:paraId="6E5CD3E7"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Llandaff North</w:t>
            </w:r>
          </w:p>
        </w:tc>
        <w:tc>
          <w:tcPr>
            <w:tcW w:w="1541" w:type="dxa"/>
            <w:shd w:val="clear" w:color="000000" w:fill="F2F2F2"/>
            <w:hideMark/>
          </w:tcPr>
          <w:p w14:paraId="7A3A3622"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CF14 2FD</w:t>
            </w:r>
          </w:p>
        </w:tc>
      </w:tr>
      <w:tr w:rsidR="003C49A7" w:rsidRPr="003C49A7" w14:paraId="3798F3A8" w14:textId="77777777" w:rsidTr="003C49A7">
        <w:trPr>
          <w:trHeight w:val="290"/>
        </w:trPr>
        <w:tc>
          <w:tcPr>
            <w:tcW w:w="3396" w:type="dxa"/>
            <w:shd w:val="clear" w:color="000000" w:fill="FFFFFF"/>
            <w:hideMark/>
          </w:tcPr>
          <w:p w14:paraId="58BDDB07"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Lloyds Pharmacy Ltd T/A Lloydspharmacy</w:t>
            </w:r>
          </w:p>
        </w:tc>
        <w:tc>
          <w:tcPr>
            <w:tcW w:w="2988" w:type="dxa"/>
            <w:shd w:val="clear" w:color="000000" w:fill="FFFFFF"/>
            <w:hideMark/>
          </w:tcPr>
          <w:p w14:paraId="06886E6B"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Ground Floor, Rear of 42a Merthyr Road</w:t>
            </w:r>
          </w:p>
        </w:tc>
        <w:tc>
          <w:tcPr>
            <w:tcW w:w="1667" w:type="dxa"/>
            <w:shd w:val="clear" w:color="000000" w:fill="FFFFFF"/>
            <w:hideMark/>
          </w:tcPr>
          <w:p w14:paraId="3B00AE4D"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Whitchurch</w:t>
            </w:r>
          </w:p>
        </w:tc>
        <w:tc>
          <w:tcPr>
            <w:tcW w:w="1541" w:type="dxa"/>
            <w:shd w:val="clear" w:color="000000" w:fill="FFFFFF"/>
            <w:hideMark/>
          </w:tcPr>
          <w:p w14:paraId="242B98FD"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CF14 1DJ</w:t>
            </w:r>
          </w:p>
        </w:tc>
      </w:tr>
      <w:tr w:rsidR="003C49A7" w:rsidRPr="003C49A7" w14:paraId="03AF2408" w14:textId="77777777" w:rsidTr="003C49A7">
        <w:trPr>
          <w:trHeight w:val="290"/>
        </w:trPr>
        <w:tc>
          <w:tcPr>
            <w:tcW w:w="3396" w:type="dxa"/>
            <w:shd w:val="clear" w:color="000000" w:fill="F2F2F2"/>
            <w:hideMark/>
          </w:tcPr>
          <w:p w14:paraId="01C85465"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Lloyds Pharmacy Ltd T/A Lloydspharmacy</w:t>
            </w:r>
          </w:p>
        </w:tc>
        <w:tc>
          <w:tcPr>
            <w:tcW w:w="2988" w:type="dxa"/>
            <w:shd w:val="clear" w:color="000000" w:fill="F2F2F2"/>
            <w:hideMark/>
          </w:tcPr>
          <w:p w14:paraId="7D5A4A6E"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8 Park Road</w:t>
            </w:r>
          </w:p>
        </w:tc>
        <w:tc>
          <w:tcPr>
            <w:tcW w:w="1667" w:type="dxa"/>
            <w:shd w:val="clear" w:color="000000" w:fill="F2F2F2"/>
            <w:hideMark/>
          </w:tcPr>
          <w:p w14:paraId="0BE65075"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Whitchurch</w:t>
            </w:r>
          </w:p>
        </w:tc>
        <w:tc>
          <w:tcPr>
            <w:tcW w:w="1541" w:type="dxa"/>
            <w:shd w:val="clear" w:color="000000" w:fill="F2F2F2"/>
            <w:hideMark/>
          </w:tcPr>
          <w:p w14:paraId="1DA951AD"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CF14 7BQ</w:t>
            </w:r>
          </w:p>
        </w:tc>
      </w:tr>
      <w:tr w:rsidR="003C49A7" w:rsidRPr="003C49A7" w14:paraId="26A76FA6" w14:textId="77777777" w:rsidTr="003C49A7">
        <w:trPr>
          <w:trHeight w:val="290"/>
        </w:trPr>
        <w:tc>
          <w:tcPr>
            <w:tcW w:w="3396" w:type="dxa"/>
            <w:shd w:val="clear" w:color="000000" w:fill="FFFFFF"/>
            <w:hideMark/>
          </w:tcPr>
          <w:p w14:paraId="7105F3A3"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Lloyds Pharmacy Ltd T/A Lloydspharmacy</w:t>
            </w:r>
          </w:p>
        </w:tc>
        <w:tc>
          <w:tcPr>
            <w:tcW w:w="2988" w:type="dxa"/>
            <w:shd w:val="clear" w:color="000000" w:fill="FFFFFF"/>
            <w:hideMark/>
          </w:tcPr>
          <w:p w14:paraId="0C609EEB"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1-2 Chestnut Road</w:t>
            </w:r>
          </w:p>
        </w:tc>
        <w:tc>
          <w:tcPr>
            <w:tcW w:w="1667" w:type="dxa"/>
            <w:shd w:val="clear" w:color="000000" w:fill="FFFFFF"/>
            <w:hideMark/>
          </w:tcPr>
          <w:p w14:paraId="71BD43A8"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Fairwater</w:t>
            </w:r>
          </w:p>
        </w:tc>
        <w:tc>
          <w:tcPr>
            <w:tcW w:w="1541" w:type="dxa"/>
            <w:shd w:val="clear" w:color="000000" w:fill="FFFFFF"/>
            <w:hideMark/>
          </w:tcPr>
          <w:p w14:paraId="04D97D45"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CF5 3HR</w:t>
            </w:r>
          </w:p>
        </w:tc>
      </w:tr>
      <w:tr w:rsidR="003C49A7" w:rsidRPr="003C49A7" w14:paraId="3FA835C4" w14:textId="77777777" w:rsidTr="003C49A7">
        <w:trPr>
          <w:trHeight w:val="290"/>
        </w:trPr>
        <w:tc>
          <w:tcPr>
            <w:tcW w:w="3396" w:type="dxa"/>
            <w:shd w:val="clear" w:color="000000" w:fill="F2F2F2"/>
            <w:hideMark/>
          </w:tcPr>
          <w:p w14:paraId="0072F3E6"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Well</w:t>
            </w:r>
          </w:p>
        </w:tc>
        <w:tc>
          <w:tcPr>
            <w:tcW w:w="2988" w:type="dxa"/>
            <w:shd w:val="clear" w:color="000000" w:fill="F2F2F2"/>
            <w:hideMark/>
          </w:tcPr>
          <w:p w14:paraId="550361B2"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12 Station Road</w:t>
            </w:r>
          </w:p>
        </w:tc>
        <w:tc>
          <w:tcPr>
            <w:tcW w:w="1667" w:type="dxa"/>
            <w:shd w:val="clear" w:color="000000" w:fill="F2F2F2"/>
            <w:hideMark/>
          </w:tcPr>
          <w:p w14:paraId="7DC7CAC5"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Radyr</w:t>
            </w:r>
          </w:p>
        </w:tc>
        <w:tc>
          <w:tcPr>
            <w:tcW w:w="1541" w:type="dxa"/>
            <w:shd w:val="clear" w:color="000000" w:fill="F2F2F2"/>
            <w:hideMark/>
          </w:tcPr>
          <w:p w14:paraId="74BADC74"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CF15 8AA</w:t>
            </w:r>
          </w:p>
        </w:tc>
      </w:tr>
      <w:tr w:rsidR="003C49A7" w:rsidRPr="003C49A7" w14:paraId="41231A7A" w14:textId="77777777" w:rsidTr="003C49A7">
        <w:trPr>
          <w:trHeight w:val="290"/>
        </w:trPr>
        <w:tc>
          <w:tcPr>
            <w:tcW w:w="3396" w:type="dxa"/>
            <w:shd w:val="clear" w:color="000000" w:fill="FFFFFF"/>
            <w:hideMark/>
          </w:tcPr>
          <w:p w14:paraId="33238223"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Pentyrch Pharmacy Limited</w:t>
            </w:r>
          </w:p>
        </w:tc>
        <w:tc>
          <w:tcPr>
            <w:tcW w:w="2988" w:type="dxa"/>
            <w:shd w:val="clear" w:color="000000" w:fill="FFFFFF"/>
            <w:hideMark/>
          </w:tcPr>
          <w:p w14:paraId="74443BB3"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Unit 3 Temperance Court Bronllwyn Road</w:t>
            </w:r>
          </w:p>
        </w:tc>
        <w:tc>
          <w:tcPr>
            <w:tcW w:w="1667" w:type="dxa"/>
            <w:shd w:val="clear" w:color="000000" w:fill="FFFFFF"/>
            <w:noWrap/>
            <w:hideMark/>
          </w:tcPr>
          <w:p w14:paraId="78B32AB3"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Pentyrch</w:t>
            </w:r>
          </w:p>
        </w:tc>
        <w:tc>
          <w:tcPr>
            <w:tcW w:w="1541" w:type="dxa"/>
            <w:shd w:val="clear" w:color="000000" w:fill="FFFFFF"/>
            <w:noWrap/>
            <w:hideMark/>
          </w:tcPr>
          <w:p w14:paraId="0C7A0BCB"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CF15 9TN</w:t>
            </w:r>
          </w:p>
        </w:tc>
      </w:tr>
      <w:tr w:rsidR="003C49A7" w:rsidRPr="003C49A7" w14:paraId="431C247E" w14:textId="77777777" w:rsidTr="003C49A7">
        <w:trPr>
          <w:trHeight w:val="290"/>
        </w:trPr>
        <w:tc>
          <w:tcPr>
            <w:tcW w:w="3396" w:type="dxa"/>
            <w:shd w:val="clear" w:color="000000" w:fill="F2F2F2"/>
            <w:hideMark/>
          </w:tcPr>
          <w:p w14:paraId="7ABB88D8"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Clifton Pharmacy T/A Tongwynlais Pharmacy</w:t>
            </w:r>
          </w:p>
        </w:tc>
        <w:tc>
          <w:tcPr>
            <w:tcW w:w="2988" w:type="dxa"/>
            <w:shd w:val="clear" w:color="000000" w:fill="F2F2F2"/>
            <w:hideMark/>
          </w:tcPr>
          <w:p w14:paraId="077DAE19"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17 Merthyr Road</w:t>
            </w:r>
          </w:p>
        </w:tc>
        <w:tc>
          <w:tcPr>
            <w:tcW w:w="1667" w:type="dxa"/>
            <w:shd w:val="clear" w:color="000000" w:fill="F2F2F2"/>
            <w:hideMark/>
          </w:tcPr>
          <w:p w14:paraId="7B8CB0A6"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Tongwynlais</w:t>
            </w:r>
          </w:p>
        </w:tc>
        <w:tc>
          <w:tcPr>
            <w:tcW w:w="1541" w:type="dxa"/>
            <w:shd w:val="clear" w:color="000000" w:fill="F2F2F2"/>
            <w:hideMark/>
          </w:tcPr>
          <w:p w14:paraId="5F61B9A7" w14:textId="77777777" w:rsidR="003C49A7" w:rsidRPr="00C2796C" w:rsidRDefault="003C49A7" w:rsidP="00DC54F7">
            <w:pPr>
              <w:spacing w:after="0" w:line="240" w:lineRule="auto"/>
              <w:jc w:val="both"/>
              <w:rPr>
                <w:rFonts w:ascii="Arial" w:eastAsia="Times New Roman" w:hAnsi="Arial" w:cs="Arial"/>
                <w:lang w:eastAsia="en-GB"/>
              </w:rPr>
            </w:pPr>
            <w:r w:rsidRPr="00C2796C">
              <w:rPr>
                <w:rFonts w:ascii="Arial" w:eastAsia="Times New Roman" w:hAnsi="Arial" w:cs="Arial"/>
                <w:lang w:eastAsia="en-GB"/>
              </w:rPr>
              <w:t>CF15 7LF</w:t>
            </w:r>
          </w:p>
        </w:tc>
      </w:tr>
    </w:tbl>
    <w:p w14:paraId="31232943" w14:textId="77777777" w:rsidR="008604F5" w:rsidRDefault="008604F5" w:rsidP="00DC54F7">
      <w:pPr>
        <w:spacing w:after="0" w:line="240" w:lineRule="auto"/>
        <w:jc w:val="both"/>
        <w:rPr>
          <w:rFonts w:ascii="Arial" w:hAnsi="Arial" w:cs="Arial"/>
          <w:bCs/>
          <w:lang w:val="en-US"/>
        </w:rPr>
      </w:pPr>
    </w:p>
    <w:p w14:paraId="7FE6B1E7" w14:textId="7817412D" w:rsidR="009D6CF7" w:rsidRPr="00C2796C" w:rsidRDefault="009D6CF7" w:rsidP="00DC54F7">
      <w:pPr>
        <w:spacing w:after="0" w:line="240" w:lineRule="auto"/>
        <w:jc w:val="both"/>
        <w:rPr>
          <w:rFonts w:ascii="Arial" w:hAnsi="Arial" w:cs="Arial"/>
          <w:sz w:val="24"/>
          <w:szCs w:val="24"/>
        </w:rPr>
      </w:pPr>
      <w:r w:rsidRPr="00C2796C">
        <w:rPr>
          <w:rFonts w:ascii="Arial" w:hAnsi="Arial" w:cs="Arial"/>
          <w:sz w:val="24"/>
          <w:szCs w:val="24"/>
        </w:rPr>
        <w:t xml:space="preserve">In 2019 to 2020, </w:t>
      </w:r>
      <w:r w:rsidR="002E4A22" w:rsidRPr="00C2796C">
        <w:rPr>
          <w:rFonts w:ascii="Arial" w:hAnsi="Arial" w:cs="Arial"/>
          <w:sz w:val="24"/>
          <w:szCs w:val="24"/>
        </w:rPr>
        <w:t>82</w:t>
      </w:r>
      <w:r w:rsidRPr="00C2796C">
        <w:rPr>
          <w:rFonts w:ascii="Arial" w:hAnsi="Arial" w:cs="Arial"/>
          <w:sz w:val="24"/>
          <w:szCs w:val="24"/>
        </w:rPr>
        <w:t>.</w:t>
      </w:r>
      <w:r w:rsidR="002E4A22" w:rsidRPr="00C2796C">
        <w:rPr>
          <w:rFonts w:ascii="Arial" w:hAnsi="Arial" w:cs="Arial"/>
          <w:sz w:val="24"/>
          <w:szCs w:val="24"/>
        </w:rPr>
        <w:t>1</w:t>
      </w:r>
      <w:r w:rsidRPr="00C2796C">
        <w:rPr>
          <w:rFonts w:ascii="Arial" w:hAnsi="Arial" w:cs="Arial"/>
          <w:sz w:val="24"/>
          <w:szCs w:val="24"/>
        </w:rPr>
        <w:t xml:space="preserve">% of items on prescriptions written by the </w:t>
      </w:r>
      <w:r w:rsidR="002D6FF3" w:rsidRPr="00C2796C">
        <w:rPr>
          <w:rFonts w:ascii="Arial" w:hAnsi="Arial" w:cs="Arial"/>
          <w:sz w:val="24"/>
          <w:szCs w:val="24"/>
        </w:rPr>
        <w:t>seven</w:t>
      </w:r>
      <w:r w:rsidRPr="00C2796C">
        <w:rPr>
          <w:rFonts w:ascii="Arial" w:hAnsi="Arial" w:cs="Arial"/>
          <w:sz w:val="24"/>
          <w:szCs w:val="24"/>
        </w:rPr>
        <w:t xml:space="preserve"> GP practices in Cardiff </w:t>
      </w:r>
      <w:r w:rsidR="00553E07" w:rsidRPr="00C2796C">
        <w:rPr>
          <w:rFonts w:ascii="Arial" w:hAnsi="Arial" w:cs="Arial"/>
          <w:sz w:val="24"/>
          <w:szCs w:val="24"/>
        </w:rPr>
        <w:t>West</w:t>
      </w:r>
      <w:r w:rsidRPr="00C2796C">
        <w:rPr>
          <w:rFonts w:ascii="Arial" w:hAnsi="Arial" w:cs="Arial"/>
          <w:sz w:val="24"/>
          <w:szCs w:val="24"/>
        </w:rPr>
        <w:t xml:space="preserve"> cluster were dispensed by one of the pharmacies within the cluster and </w:t>
      </w:r>
      <w:r w:rsidR="002D6FF3" w:rsidRPr="00C2796C">
        <w:rPr>
          <w:rFonts w:ascii="Arial" w:hAnsi="Arial" w:cs="Arial"/>
          <w:sz w:val="24"/>
          <w:szCs w:val="24"/>
        </w:rPr>
        <w:t>2</w:t>
      </w:r>
      <w:r w:rsidRPr="00C2796C">
        <w:rPr>
          <w:rFonts w:ascii="Arial" w:hAnsi="Arial" w:cs="Arial"/>
          <w:sz w:val="24"/>
          <w:szCs w:val="24"/>
        </w:rPr>
        <w:t>.</w:t>
      </w:r>
      <w:r w:rsidR="002D6FF3" w:rsidRPr="00C2796C">
        <w:rPr>
          <w:rFonts w:ascii="Arial" w:hAnsi="Arial" w:cs="Arial"/>
          <w:sz w:val="24"/>
          <w:szCs w:val="24"/>
        </w:rPr>
        <w:t>3</w:t>
      </w:r>
      <w:r w:rsidRPr="00C2796C">
        <w:rPr>
          <w:rFonts w:ascii="Arial" w:hAnsi="Arial" w:cs="Arial"/>
          <w:sz w:val="24"/>
          <w:szCs w:val="24"/>
        </w:rPr>
        <w:t xml:space="preserve">% were personally administered items. </w:t>
      </w:r>
    </w:p>
    <w:p w14:paraId="2CF2CE20" w14:textId="77777777" w:rsidR="008604F5" w:rsidRPr="00C2796C" w:rsidRDefault="008604F5" w:rsidP="00DC54F7">
      <w:pPr>
        <w:spacing w:after="0" w:line="240" w:lineRule="auto"/>
        <w:jc w:val="both"/>
        <w:rPr>
          <w:rFonts w:ascii="Arial" w:hAnsi="Arial" w:cs="Arial"/>
          <w:bCs/>
          <w:sz w:val="24"/>
          <w:szCs w:val="24"/>
          <w:lang w:val="en-US"/>
        </w:rPr>
      </w:pPr>
    </w:p>
    <w:p w14:paraId="4B9B4C79" w14:textId="2889DF65" w:rsidR="008604F5" w:rsidRPr="00C2796C" w:rsidRDefault="002D6FF3" w:rsidP="00DC54F7">
      <w:pPr>
        <w:spacing w:after="0" w:line="240" w:lineRule="auto"/>
        <w:jc w:val="both"/>
        <w:rPr>
          <w:rFonts w:ascii="Arial" w:hAnsi="Arial" w:cs="Arial"/>
          <w:bCs/>
          <w:sz w:val="24"/>
          <w:szCs w:val="24"/>
          <w:lang w:val="en-US"/>
        </w:rPr>
      </w:pPr>
      <w:r w:rsidRPr="00C2796C">
        <w:rPr>
          <w:rFonts w:ascii="Arial" w:hAnsi="Arial" w:cs="Arial"/>
          <w:bCs/>
          <w:sz w:val="24"/>
          <w:szCs w:val="24"/>
          <w:lang w:val="en-US"/>
        </w:rPr>
        <w:t>In general, t</w:t>
      </w:r>
      <w:r w:rsidR="008604F5" w:rsidRPr="00C2796C">
        <w:rPr>
          <w:rFonts w:ascii="Arial" w:hAnsi="Arial" w:cs="Arial"/>
          <w:bCs/>
          <w:sz w:val="24"/>
          <w:szCs w:val="24"/>
          <w:lang w:val="en-US"/>
        </w:rPr>
        <w:t xml:space="preserve">he pharmacies are located in </w:t>
      </w:r>
      <w:r w:rsidRPr="00C2796C">
        <w:rPr>
          <w:rFonts w:ascii="Arial" w:hAnsi="Arial" w:cs="Arial"/>
          <w:bCs/>
          <w:sz w:val="24"/>
          <w:szCs w:val="24"/>
          <w:lang w:val="en-US"/>
        </w:rPr>
        <w:t xml:space="preserve">or near </w:t>
      </w:r>
      <w:r w:rsidR="008604F5" w:rsidRPr="00C2796C">
        <w:rPr>
          <w:rFonts w:ascii="Arial" w:hAnsi="Arial" w:cs="Arial"/>
          <w:bCs/>
          <w:sz w:val="24"/>
          <w:szCs w:val="24"/>
          <w:lang w:val="en-US"/>
        </w:rPr>
        <w:t xml:space="preserve">areas of greater population density as shown by the darker shaded areas in the map below. </w:t>
      </w:r>
    </w:p>
    <w:p w14:paraId="1FD19BEB" w14:textId="786C62D7" w:rsidR="008604F5" w:rsidRDefault="008604F5" w:rsidP="00DC54F7">
      <w:pPr>
        <w:spacing w:after="0" w:line="240" w:lineRule="auto"/>
        <w:jc w:val="both"/>
        <w:rPr>
          <w:rFonts w:ascii="Arial" w:hAnsi="Arial" w:cs="Arial"/>
          <w:b/>
          <w:lang w:val="en-US"/>
        </w:rPr>
      </w:pPr>
    </w:p>
    <w:p w14:paraId="7118CCFC" w14:textId="5F7CDB8D" w:rsidR="00CD7A5C" w:rsidRDefault="00CD7A5C" w:rsidP="00DC54F7">
      <w:pPr>
        <w:spacing w:after="0" w:line="240" w:lineRule="auto"/>
        <w:jc w:val="both"/>
        <w:rPr>
          <w:rFonts w:ascii="Arial" w:hAnsi="Arial" w:cs="Arial"/>
          <w:b/>
          <w:lang w:val="en-US"/>
        </w:rPr>
      </w:pPr>
    </w:p>
    <w:p w14:paraId="53FFA1BD" w14:textId="10ECB09F" w:rsidR="00CD7A5C" w:rsidRDefault="00CD7A5C" w:rsidP="00DC54F7">
      <w:pPr>
        <w:spacing w:after="0" w:line="240" w:lineRule="auto"/>
        <w:jc w:val="both"/>
        <w:rPr>
          <w:rFonts w:ascii="Arial" w:hAnsi="Arial" w:cs="Arial"/>
          <w:b/>
          <w:lang w:val="en-US"/>
        </w:rPr>
      </w:pPr>
    </w:p>
    <w:p w14:paraId="634078E2" w14:textId="3B6A6DFD" w:rsidR="00CD7A5C" w:rsidRDefault="00CD7A5C" w:rsidP="00DC54F7">
      <w:pPr>
        <w:spacing w:after="0" w:line="240" w:lineRule="auto"/>
        <w:jc w:val="both"/>
        <w:rPr>
          <w:rFonts w:ascii="Arial" w:hAnsi="Arial" w:cs="Arial"/>
          <w:b/>
          <w:lang w:val="en-US"/>
        </w:rPr>
      </w:pPr>
    </w:p>
    <w:p w14:paraId="7D0A4E5C" w14:textId="0F6D1C41" w:rsidR="00CD7A5C" w:rsidRDefault="00CD7A5C" w:rsidP="00DC54F7">
      <w:pPr>
        <w:spacing w:after="0" w:line="240" w:lineRule="auto"/>
        <w:jc w:val="both"/>
        <w:rPr>
          <w:rFonts w:ascii="Arial" w:hAnsi="Arial" w:cs="Arial"/>
          <w:b/>
          <w:lang w:val="en-US"/>
        </w:rPr>
      </w:pPr>
    </w:p>
    <w:p w14:paraId="67E1B4C4" w14:textId="58E0A429" w:rsidR="00CD7A5C" w:rsidRDefault="00CD7A5C" w:rsidP="00DC54F7">
      <w:pPr>
        <w:spacing w:after="0" w:line="240" w:lineRule="auto"/>
        <w:jc w:val="both"/>
        <w:rPr>
          <w:rFonts w:ascii="Arial" w:hAnsi="Arial" w:cs="Arial"/>
          <w:b/>
          <w:lang w:val="en-US"/>
        </w:rPr>
      </w:pPr>
    </w:p>
    <w:p w14:paraId="3D069462" w14:textId="40774520" w:rsidR="00CD7A5C" w:rsidRDefault="00CD7A5C" w:rsidP="00DC54F7">
      <w:pPr>
        <w:jc w:val="both"/>
        <w:rPr>
          <w:rFonts w:ascii="Arial" w:hAnsi="Arial" w:cs="Arial"/>
          <w:b/>
          <w:lang w:val="en-US"/>
        </w:rPr>
      </w:pPr>
      <w:r>
        <w:rPr>
          <w:rFonts w:ascii="Arial" w:hAnsi="Arial" w:cs="Arial"/>
          <w:b/>
          <w:lang w:val="en-US"/>
        </w:rPr>
        <w:br w:type="page"/>
      </w:r>
    </w:p>
    <w:p w14:paraId="7CCB1807" w14:textId="182285D3" w:rsidR="008604F5" w:rsidRPr="00BE33F5" w:rsidRDefault="00BE33F5" w:rsidP="00DC54F7">
      <w:pPr>
        <w:spacing w:after="0" w:line="240" w:lineRule="auto"/>
        <w:jc w:val="both"/>
        <w:rPr>
          <w:rFonts w:ascii="Arial" w:hAnsi="Arial" w:cs="Arial"/>
          <w:b/>
          <w:sz w:val="24"/>
          <w:szCs w:val="24"/>
          <w:lang w:val="en-US"/>
        </w:rPr>
      </w:pPr>
      <w:r w:rsidRPr="00264698">
        <w:rPr>
          <w:rFonts w:ascii="Arial" w:hAnsi="Arial" w:cs="Arial"/>
          <w:b/>
          <w:sz w:val="24"/>
          <w:szCs w:val="24"/>
          <w:lang w:val="en-US"/>
        </w:rPr>
        <w:lastRenderedPageBreak/>
        <w:t xml:space="preserve">Map </w:t>
      </w:r>
      <w:r>
        <w:rPr>
          <w:rFonts w:ascii="Arial" w:hAnsi="Arial" w:cs="Arial"/>
          <w:b/>
          <w:sz w:val="24"/>
          <w:szCs w:val="24"/>
          <w:lang w:val="en-US"/>
        </w:rPr>
        <w:t>13</w:t>
      </w:r>
      <w:r w:rsidRPr="00264698">
        <w:rPr>
          <w:rFonts w:ascii="Arial" w:hAnsi="Arial" w:cs="Arial"/>
          <w:b/>
          <w:sz w:val="24"/>
          <w:szCs w:val="24"/>
          <w:lang w:val="en-US"/>
        </w:rPr>
        <w:t>.</w:t>
      </w:r>
      <w:r>
        <w:rPr>
          <w:rFonts w:ascii="Arial" w:hAnsi="Arial" w:cs="Arial"/>
          <w:b/>
          <w:sz w:val="24"/>
          <w:szCs w:val="24"/>
          <w:lang w:val="en-US"/>
        </w:rPr>
        <w:t>2</w:t>
      </w:r>
      <w:r w:rsidRPr="00264698">
        <w:rPr>
          <w:rFonts w:ascii="Arial" w:hAnsi="Arial" w:cs="Arial"/>
          <w:b/>
          <w:sz w:val="24"/>
          <w:szCs w:val="24"/>
          <w:lang w:val="en-US"/>
        </w:rPr>
        <w:t>: Location of pharmacy</w:t>
      </w:r>
      <w:r>
        <w:rPr>
          <w:rFonts w:ascii="Arial" w:hAnsi="Arial" w:cs="Arial"/>
          <w:b/>
          <w:sz w:val="24"/>
          <w:szCs w:val="24"/>
          <w:lang w:val="en-US"/>
        </w:rPr>
        <w:t xml:space="preserve"> </w:t>
      </w:r>
      <w:r w:rsidRPr="00264698">
        <w:rPr>
          <w:rFonts w:ascii="Arial" w:hAnsi="Arial" w:cs="Arial"/>
          <w:b/>
          <w:sz w:val="24"/>
          <w:szCs w:val="24"/>
          <w:lang w:val="en-US"/>
        </w:rPr>
        <w:t>premise</w:t>
      </w:r>
      <w:r>
        <w:rPr>
          <w:rFonts w:ascii="Arial" w:hAnsi="Arial" w:cs="Arial"/>
          <w:b/>
          <w:sz w:val="24"/>
          <w:szCs w:val="24"/>
          <w:lang w:val="en-US"/>
        </w:rPr>
        <w:t xml:space="preserve">s </w:t>
      </w:r>
      <w:r w:rsidRPr="00264698">
        <w:rPr>
          <w:rFonts w:ascii="Arial" w:hAnsi="Arial" w:cs="Arial"/>
          <w:b/>
          <w:sz w:val="24"/>
          <w:szCs w:val="24"/>
          <w:lang w:val="en-US"/>
        </w:rPr>
        <w:t>compared to population density</w:t>
      </w:r>
    </w:p>
    <w:p w14:paraId="1665CDBD" w14:textId="78DE40D4" w:rsidR="008604F5" w:rsidRPr="006E6035" w:rsidRDefault="000541DD" w:rsidP="00DC54F7">
      <w:pPr>
        <w:spacing w:after="0" w:line="240" w:lineRule="auto"/>
        <w:jc w:val="both"/>
        <w:rPr>
          <w:rFonts w:ascii="Arial" w:hAnsi="Arial" w:cs="Arial"/>
          <w:b/>
          <w:lang w:val="en-US"/>
        </w:rPr>
      </w:pPr>
      <w:r>
        <w:rPr>
          <w:noProof/>
          <w:lang w:eastAsia="en-GB"/>
        </w:rPr>
        <w:drawing>
          <wp:inline distT="0" distB="0" distL="0" distR="0" wp14:anchorId="016A00F4" wp14:editId="65803D28">
            <wp:extent cx="5731510" cy="3567065"/>
            <wp:effectExtent l="0" t="0" r="2540" b="0"/>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736209" cy="3569989"/>
                    </a:xfrm>
                    <a:prstGeom prst="rect">
                      <a:avLst/>
                    </a:prstGeom>
                    <a:noFill/>
                    <a:ln>
                      <a:noFill/>
                    </a:ln>
                  </pic:spPr>
                </pic:pic>
              </a:graphicData>
            </a:graphic>
          </wp:inline>
        </w:drawing>
      </w:r>
    </w:p>
    <w:p w14:paraId="1E6DB580" w14:textId="77777777" w:rsidR="00BE33F5" w:rsidRDefault="00BE33F5" w:rsidP="00DC54F7">
      <w:pPr>
        <w:spacing w:after="0" w:line="240" w:lineRule="auto"/>
        <w:contextualSpacing/>
        <w:jc w:val="both"/>
        <w:rPr>
          <w:rFonts w:ascii="Arial" w:hAnsi="Arial" w:cs="Arial"/>
          <w:sz w:val="24"/>
          <w:szCs w:val="24"/>
        </w:rPr>
      </w:pPr>
    </w:p>
    <w:p w14:paraId="5A92959D" w14:textId="230C18A3" w:rsidR="008604F5" w:rsidRPr="00BE33F5" w:rsidRDefault="008604F5" w:rsidP="00DC54F7">
      <w:pPr>
        <w:spacing w:after="0" w:line="240" w:lineRule="auto"/>
        <w:contextualSpacing/>
        <w:jc w:val="both"/>
        <w:rPr>
          <w:rFonts w:ascii="Arial" w:hAnsi="Arial" w:cs="Arial"/>
          <w:sz w:val="24"/>
          <w:szCs w:val="24"/>
        </w:rPr>
      </w:pPr>
      <w:r w:rsidRPr="00BE33F5">
        <w:rPr>
          <w:rFonts w:ascii="Arial" w:hAnsi="Arial" w:cs="Arial"/>
          <w:sz w:val="24"/>
          <w:szCs w:val="24"/>
        </w:rPr>
        <w:t xml:space="preserve">All residents of the cluster can access one of the pharmacies by car within </w:t>
      </w:r>
      <w:r w:rsidR="00553E07" w:rsidRPr="00BE33F5">
        <w:rPr>
          <w:rFonts w:ascii="Arial" w:hAnsi="Arial" w:cs="Arial"/>
          <w:sz w:val="24"/>
          <w:szCs w:val="24"/>
        </w:rPr>
        <w:t>1</w:t>
      </w:r>
      <w:r w:rsidRPr="00BE33F5">
        <w:rPr>
          <w:rFonts w:ascii="Arial" w:hAnsi="Arial" w:cs="Arial"/>
          <w:sz w:val="24"/>
          <w:szCs w:val="24"/>
        </w:rPr>
        <w:t xml:space="preserve">0 minutes. The majority can access a pharmacy within </w:t>
      </w:r>
      <w:r w:rsidR="00553E07" w:rsidRPr="00BE33F5">
        <w:rPr>
          <w:rFonts w:ascii="Arial" w:hAnsi="Arial" w:cs="Arial"/>
          <w:sz w:val="24"/>
          <w:szCs w:val="24"/>
        </w:rPr>
        <w:t>five</w:t>
      </w:r>
      <w:r w:rsidRPr="00BE33F5">
        <w:rPr>
          <w:rFonts w:ascii="Arial" w:hAnsi="Arial" w:cs="Arial"/>
          <w:sz w:val="24"/>
          <w:szCs w:val="24"/>
        </w:rPr>
        <w:t xml:space="preserve"> minutes.</w:t>
      </w:r>
    </w:p>
    <w:p w14:paraId="44828C97" w14:textId="77777777" w:rsidR="008604F5" w:rsidRPr="00BE33F5" w:rsidRDefault="008604F5" w:rsidP="00DC54F7">
      <w:pPr>
        <w:spacing w:after="0" w:line="240" w:lineRule="auto"/>
        <w:contextualSpacing/>
        <w:jc w:val="both"/>
        <w:rPr>
          <w:rFonts w:ascii="Arial" w:hAnsi="Arial" w:cs="Arial"/>
          <w:sz w:val="24"/>
          <w:szCs w:val="24"/>
          <w:highlight w:val="yellow"/>
        </w:rPr>
      </w:pPr>
    </w:p>
    <w:p w14:paraId="5F584D8D" w14:textId="5C72400B" w:rsidR="008604F5" w:rsidRPr="00BE33F5" w:rsidRDefault="008604F5" w:rsidP="00DC54F7">
      <w:pPr>
        <w:spacing w:after="0" w:line="240" w:lineRule="auto"/>
        <w:contextualSpacing/>
        <w:jc w:val="both"/>
        <w:rPr>
          <w:rFonts w:ascii="Arial" w:hAnsi="Arial" w:cs="Arial"/>
          <w:b/>
          <w:bCs/>
          <w:sz w:val="24"/>
          <w:szCs w:val="24"/>
        </w:rPr>
      </w:pPr>
      <w:r w:rsidRPr="00BE33F5">
        <w:rPr>
          <w:rFonts w:ascii="Arial" w:hAnsi="Arial" w:cs="Arial"/>
          <w:b/>
          <w:bCs/>
          <w:sz w:val="24"/>
          <w:szCs w:val="24"/>
        </w:rPr>
        <w:t xml:space="preserve">Map </w:t>
      </w:r>
      <w:r w:rsidR="000541DD" w:rsidRPr="00BE33F5">
        <w:rPr>
          <w:rFonts w:ascii="Arial" w:hAnsi="Arial" w:cs="Arial"/>
          <w:b/>
          <w:bCs/>
          <w:sz w:val="24"/>
          <w:szCs w:val="24"/>
        </w:rPr>
        <w:t>13</w:t>
      </w:r>
      <w:r w:rsidRPr="00BE33F5">
        <w:rPr>
          <w:rFonts w:ascii="Arial" w:hAnsi="Arial" w:cs="Arial"/>
          <w:b/>
          <w:bCs/>
          <w:sz w:val="24"/>
          <w:szCs w:val="24"/>
        </w:rPr>
        <w:t>.</w:t>
      </w:r>
      <w:r w:rsidR="00FE6A39" w:rsidRPr="00BE33F5">
        <w:rPr>
          <w:rFonts w:ascii="Arial" w:hAnsi="Arial" w:cs="Arial"/>
          <w:b/>
          <w:bCs/>
          <w:sz w:val="24"/>
          <w:szCs w:val="24"/>
        </w:rPr>
        <w:t>3</w:t>
      </w:r>
      <w:r w:rsidRPr="00BE33F5">
        <w:rPr>
          <w:rFonts w:ascii="Arial" w:hAnsi="Arial" w:cs="Arial"/>
          <w:b/>
          <w:bCs/>
          <w:sz w:val="24"/>
          <w:szCs w:val="24"/>
        </w:rPr>
        <w:t>: Access to pharmacies in the cluster</w:t>
      </w:r>
    </w:p>
    <w:p w14:paraId="59A40C1D" w14:textId="09D003FD" w:rsidR="008604F5" w:rsidRPr="006E6035" w:rsidRDefault="00FE2B94" w:rsidP="00DC54F7">
      <w:pPr>
        <w:spacing w:after="0" w:line="240" w:lineRule="auto"/>
        <w:contextualSpacing/>
        <w:jc w:val="both"/>
        <w:rPr>
          <w:rFonts w:ascii="Arial" w:hAnsi="Arial" w:cs="Arial"/>
          <w:highlight w:val="yellow"/>
        </w:rPr>
      </w:pPr>
      <w:r>
        <w:rPr>
          <w:noProof/>
          <w:lang w:eastAsia="en-GB"/>
        </w:rPr>
        <w:drawing>
          <wp:inline distT="0" distB="0" distL="0" distR="0" wp14:anchorId="0626497A" wp14:editId="6D6CF9F5">
            <wp:extent cx="5729567" cy="3802455"/>
            <wp:effectExtent l="0" t="0" r="5080" b="7620"/>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729567" cy="3802455"/>
                    </a:xfrm>
                    <a:prstGeom prst="rect">
                      <a:avLst/>
                    </a:prstGeom>
                    <a:noFill/>
                    <a:ln>
                      <a:noFill/>
                    </a:ln>
                  </pic:spPr>
                </pic:pic>
              </a:graphicData>
            </a:graphic>
          </wp:inline>
        </w:drawing>
      </w:r>
    </w:p>
    <w:p w14:paraId="3E7132C3" w14:textId="77777777" w:rsidR="0052258B" w:rsidRDefault="0052258B" w:rsidP="00DC54F7">
      <w:pPr>
        <w:spacing w:after="0" w:line="240" w:lineRule="auto"/>
        <w:contextualSpacing/>
        <w:jc w:val="both"/>
        <w:rPr>
          <w:rFonts w:ascii="Arial" w:hAnsi="Arial" w:cs="Arial"/>
          <w:sz w:val="24"/>
          <w:szCs w:val="24"/>
        </w:rPr>
      </w:pPr>
    </w:p>
    <w:p w14:paraId="38EE1100" w14:textId="6377B4B5" w:rsidR="008604F5" w:rsidRPr="00A30D34" w:rsidRDefault="008604F5" w:rsidP="00DC54F7">
      <w:pPr>
        <w:spacing w:after="0" w:line="240" w:lineRule="auto"/>
        <w:contextualSpacing/>
        <w:jc w:val="both"/>
        <w:rPr>
          <w:rFonts w:ascii="Arial" w:hAnsi="Arial" w:cs="Arial"/>
          <w:sz w:val="24"/>
          <w:szCs w:val="24"/>
        </w:rPr>
      </w:pPr>
      <w:r w:rsidRPr="00A30D34">
        <w:rPr>
          <w:rFonts w:ascii="Arial" w:hAnsi="Arial" w:cs="Arial"/>
          <w:sz w:val="24"/>
          <w:szCs w:val="24"/>
        </w:rPr>
        <w:lastRenderedPageBreak/>
        <w:t>Looking at the opening hours for the pharmacies:</w:t>
      </w:r>
    </w:p>
    <w:p w14:paraId="200F0D49" w14:textId="77777777" w:rsidR="008604F5" w:rsidRPr="00A30D34" w:rsidRDefault="008604F5" w:rsidP="00DC54F7">
      <w:pPr>
        <w:spacing w:after="0" w:line="240" w:lineRule="auto"/>
        <w:contextualSpacing/>
        <w:jc w:val="both"/>
        <w:rPr>
          <w:rFonts w:ascii="Arial" w:hAnsi="Arial" w:cs="Arial"/>
          <w:sz w:val="24"/>
          <w:szCs w:val="24"/>
        </w:rPr>
      </w:pPr>
    </w:p>
    <w:p w14:paraId="7C7D6CA7" w14:textId="77777777" w:rsidR="008604F5" w:rsidRPr="00A30D34" w:rsidRDefault="008604F5" w:rsidP="00DC54F7">
      <w:pPr>
        <w:pStyle w:val="ListParagraph"/>
        <w:numPr>
          <w:ilvl w:val="0"/>
          <w:numId w:val="141"/>
        </w:numPr>
        <w:spacing w:after="0" w:line="240" w:lineRule="auto"/>
        <w:jc w:val="both"/>
        <w:rPr>
          <w:rFonts w:ascii="Arial" w:hAnsi="Arial" w:cs="Arial"/>
          <w:sz w:val="24"/>
          <w:szCs w:val="24"/>
        </w:rPr>
      </w:pPr>
      <w:r w:rsidRPr="00A30D34">
        <w:rPr>
          <w:rFonts w:ascii="Arial" w:hAnsi="Arial" w:cs="Arial"/>
          <w:sz w:val="24"/>
          <w:szCs w:val="24"/>
        </w:rPr>
        <w:t>One pharmacy is open seven days a week</w:t>
      </w:r>
    </w:p>
    <w:p w14:paraId="72BE3947" w14:textId="6A2B3AFF" w:rsidR="008604F5" w:rsidRPr="00A30D34" w:rsidRDefault="00FE2B94" w:rsidP="00DC54F7">
      <w:pPr>
        <w:pStyle w:val="ListParagraph"/>
        <w:numPr>
          <w:ilvl w:val="0"/>
          <w:numId w:val="141"/>
        </w:numPr>
        <w:spacing w:after="0" w:line="240" w:lineRule="auto"/>
        <w:jc w:val="both"/>
        <w:rPr>
          <w:rFonts w:ascii="Arial" w:hAnsi="Arial" w:cs="Arial"/>
          <w:sz w:val="24"/>
          <w:szCs w:val="24"/>
        </w:rPr>
      </w:pPr>
      <w:r w:rsidRPr="00A30D34">
        <w:rPr>
          <w:rFonts w:ascii="Arial" w:hAnsi="Arial" w:cs="Arial"/>
          <w:sz w:val="24"/>
          <w:szCs w:val="24"/>
        </w:rPr>
        <w:t>Three</w:t>
      </w:r>
      <w:r w:rsidR="008604F5" w:rsidRPr="00A30D34">
        <w:rPr>
          <w:rFonts w:ascii="Arial" w:hAnsi="Arial" w:cs="Arial"/>
          <w:sz w:val="24"/>
          <w:szCs w:val="24"/>
        </w:rPr>
        <w:t xml:space="preserve"> pharmac</w:t>
      </w:r>
      <w:r w:rsidRPr="00A30D34">
        <w:rPr>
          <w:rFonts w:ascii="Arial" w:hAnsi="Arial" w:cs="Arial"/>
          <w:sz w:val="24"/>
          <w:szCs w:val="24"/>
        </w:rPr>
        <w:t>ies</w:t>
      </w:r>
      <w:r w:rsidR="008604F5" w:rsidRPr="00A30D34">
        <w:rPr>
          <w:rFonts w:ascii="Arial" w:hAnsi="Arial" w:cs="Arial"/>
          <w:sz w:val="24"/>
          <w:szCs w:val="24"/>
        </w:rPr>
        <w:t xml:space="preserve"> </w:t>
      </w:r>
      <w:r w:rsidRPr="00A30D34">
        <w:rPr>
          <w:rFonts w:ascii="Arial" w:hAnsi="Arial" w:cs="Arial"/>
          <w:sz w:val="24"/>
          <w:szCs w:val="24"/>
        </w:rPr>
        <w:t>are</w:t>
      </w:r>
      <w:r w:rsidR="008604F5" w:rsidRPr="00A30D34">
        <w:rPr>
          <w:rFonts w:ascii="Arial" w:hAnsi="Arial" w:cs="Arial"/>
          <w:sz w:val="24"/>
          <w:szCs w:val="24"/>
        </w:rPr>
        <w:t xml:space="preserve"> open Monday to Saturday</w:t>
      </w:r>
    </w:p>
    <w:p w14:paraId="06A84751" w14:textId="62F853E8" w:rsidR="008604F5" w:rsidRPr="00A30D34" w:rsidRDefault="008604F5" w:rsidP="00DC54F7">
      <w:pPr>
        <w:pStyle w:val="ListParagraph"/>
        <w:numPr>
          <w:ilvl w:val="0"/>
          <w:numId w:val="141"/>
        </w:numPr>
        <w:spacing w:after="0" w:line="240" w:lineRule="auto"/>
        <w:jc w:val="both"/>
        <w:rPr>
          <w:rFonts w:ascii="Arial" w:hAnsi="Arial" w:cs="Arial"/>
          <w:sz w:val="24"/>
          <w:szCs w:val="24"/>
        </w:rPr>
      </w:pPr>
      <w:r w:rsidRPr="00A30D34">
        <w:rPr>
          <w:rFonts w:ascii="Arial" w:hAnsi="Arial" w:cs="Arial"/>
          <w:sz w:val="24"/>
          <w:szCs w:val="24"/>
        </w:rPr>
        <w:t>S</w:t>
      </w:r>
      <w:r w:rsidR="00FE2B94" w:rsidRPr="00A30D34">
        <w:rPr>
          <w:rFonts w:ascii="Arial" w:hAnsi="Arial" w:cs="Arial"/>
          <w:sz w:val="24"/>
          <w:szCs w:val="24"/>
        </w:rPr>
        <w:t>ix</w:t>
      </w:r>
      <w:r w:rsidRPr="00A30D34">
        <w:rPr>
          <w:rFonts w:ascii="Arial" w:hAnsi="Arial" w:cs="Arial"/>
          <w:sz w:val="24"/>
          <w:szCs w:val="24"/>
        </w:rPr>
        <w:t xml:space="preserve"> pharmacies are open Monday to Friday and Saturday morning</w:t>
      </w:r>
    </w:p>
    <w:p w14:paraId="00C49EE9" w14:textId="1B0E87D9" w:rsidR="008604F5" w:rsidRPr="00A30D34" w:rsidRDefault="00FE2B94" w:rsidP="00DC54F7">
      <w:pPr>
        <w:pStyle w:val="ListParagraph"/>
        <w:numPr>
          <w:ilvl w:val="0"/>
          <w:numId w:val="141"/>
        </w:numPr>
        <w:spacing w:after="0" w:line="240" w:lineRule="auto"/>
        <w:jc w:val="both"/>
        <w:rPr>
          <w:rFonts w:ascii="Arial" w:hAnsi="Arial" w:cs="Arial"/>
          <w:sz w:val="24"/>
          <w:szCs w:val="24"/>
        </w:rPr>
      </w:pPr>
      <w:r w:rsidRPr="00A30D34">
        <w:rPr>
          <w:rFonts w:ascii="Arial" w:hAnsi="Arial" w:cs="Arial"/>
          <w:sz w:val="24"/>
          <w:szCs w:val="24"/>
        </w:rPr>
        <w:t>Three</w:t>
      </w:r>
      <w:r w:rsidR="008604F5" w:rsidRPr="00A30D34">
        <w:rPr>
          <w:rFonts w:ascii="Arial" w:hAnsi="Arial" w:cs="Arial"/>
          <w:sz w:val="24"/>
          <w:szCs w:val="24"/>
        </w:rPr>
        <w:t xml:space="preserve"> pharmac</w:t>
      </w:r>
      <w:r w:rsidRPr="00A30D34">
        <w:rPr>
          <w:rFonts w:ascii="Arial" w:hAnsi="Arial" w:cs="Arial"/>
          <w:sz w:val="24"/>
          <w:szCs w:val="24"/>
        </w:rPr>
        <w:t>ies</w:t>
      </w:r>
      <w:r w:rsidR="008604F5" w:rsidRPr="00A30D34">
        <w:rPr>
          <w:rFonts w:ascii="Arial" w:hAnsi="Arial" w:cs="Arial"/>
          <w:sz w:val="24"/>
          <w:szCs w:val="24"/>
        </w:rPr>
        <w:t xml:space="preserve"> </w:t>
      </w:r>
      <w:r w:rsidRPr="00A30D34">
        <w:rPr>
          <w:rFonts w:ascii="Arial" w:hAnsi="Arial" w:cs="Arial"/>
          <w:sz w:val="24"/>
          <w:szCs w:val="24"/>
        </w:rPr>
        <w:t>are</w:t>
      </w:r>
      <w:r w:rsidR="008604F5" w:rsidRPr="00A30D34">
        <w:rPr>
          <w:rFonts w:ascii="Arial" w:hAnsi="Arial" w:cs="Arial"/>
          <w:sz w:val="24"/>
          <w:szCs w:val="24"/>
        </w:rPr>
        <w:t xml:space="preserve"> open Monday to Friday</w:t>
      </w:r>
    </w:p>
    <w:p w14:paraId="43B79228" w14:textId="77777777" w:rsidR="00E862E6" w:rsidRPr="00A30D34" w:rsidRDefault="00E862E6" w:rsidP="00DC54F7">
      <w:pPr>
        <w:spacing w:after="0" w:line="240" w:lineRule="auto"/>
        <w:jc w:val="both"/>
        <w:rPr>
          <w:rFonts w:ascii="Arial" w:hAnsi="Arial" w:cs="Arial"/>
          <w:sz w:val="24"/>
          <w:szCs w:val="24"/>
        </w:rPr>
      </w:pPr>
    </w:p>
    <w:p w14:paraId="1E558505" w14:textId="3364F92A" w:rsidR="00E862E6" w:rsidRPr="00A30D34" w:rsidRDefault="00E862E6" w:rsidP="00DC54F7">
      <w:pPr>
        <w:spacing w:after="0" w:line="240" w:lineRule="auto"/>
        <w:jc w:val="both"/>
        <w:rPr>
          <w:rFonts w:ascii="Arial" w:hAnsi="Arial" w:cs="Arial"/>
          <w:sz w:val="24"/>
          <w:szCs w:val="24"/>
        </w:rPr>
      </w:pPr>
      <w:r w:rsidRPr="00A30D34">
        <w:rPr>
          <w:rFonts w:ascii="Arial" w:hAnsi="Arial" w:cs="Arial"/>
          <w:sz w:val="24"/>
          <w:szCs w:val="24"/>
        </w:rPr>
        <w:t xml:space="preserve">All pharmacies must open for their core contractual hours, which are 40 hours a week. These can only be amended with approval by the health board. All additional hours or supplementary hours can be amended by the pharmacy following the provision of 90 days’ notice to the health board. Within the cluster, opening hours and closing hours range from: </w:t>
      </w:r>
    </w:p>
    <w:p w14:paraId="2EF802AD" w14:textId="77777777" w:rsidR="008604F5" w:rsidRPr="00A30D34" w:rsidRDefault="008604F5" w:rsidP="00DC54F7">
      <w:pPr>
        <w:spacing w:after="0" w:line="240" w:lineRule="auto"/>
        <w:contextualSpacing/>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8604F5" w:rsidRPr="006E6035" w14:paraId="7114BCE6" w14:textId="77777777" w:rsidTr="008E78E6">
        <w:tc>
          <w:tcPr>
            <w:tcW w:w="3005" w:type="dxa"/>
          </w:tcPr>
          <w:p w14:paraId="7B8B85DA" w14:textId="77777777" w:rsidR="008604F5" w:rsidRPr="00400C4C" w:rsidRDefault="008604F5" w:rsidP="00DC54F7">
            <w:pPr>
              <w:contextualSpacing/>
              <w:jc w:val="both"/>
              <w:rPr>
                <w:rFonts w:ascii="Arial" w:hAnsi="Arial" w:cs="Arial"/>
                <w:b/>
                <w:bCs/>
                <w:sz w:val="24"/>
                <w:szCs w:val="24"/>
              </w:rPr>
            </w:pPr>
            <w:r w:rsidRPr="00400C4C">
              <w:rPr>
                <w:rFonts w:ascii="Arial" w:hAnsi="Arial" w:cs="Arial"/>
                <w:b/>
                <w:bCs/>
                <w:sz w:val="24"/>
                <w:szCs w:val="24"/>
              </w:rPr>
              <w:t>Days</w:t>
            </w:r>
          </w:p>
        </w:tc>
        <w:tc>
          <w:tcPr>
            <w:tcW w:w="3005" w:type="dxa"/>
          </w:tcPr>
          <w:p w14:paraId="329B08B0" w14:textId="77777777" w:rsidR="008604F5" w:rsidRPr="00400C4C" w:rsidRDefault="008604F5" w:rsidP="00DC54F7">
            <w:pPr>
              <w:contextualSpacing/>
              <w:jc w:val="both"/>
              <w:rPr>
                <w:rFonts w:ascii="Arial" w:hAnsi="Arial" w:cs="Arial"/>
                <w:b/>
                <w:bCs/>
                <w:sz w:val="24"/>
                <w:szCs w:val="24"/>
              </w:rPr>
            </w:pPr>
            <w:r w:rsidRPr="00400C4C">
              <w:rPr>
                <w:rFonts w:ascii="Arial" w:hAnsi="Arial" w:cs="Arial"/>
                <w:b/>
                <w:bCs/>
                <w:sz w:val="24"/>
                <w:szCs w:val="24"/>
              </w:rPr>
              <w:t>Opening hours range</w:t>
            </w:r>
          </w:p>
        </w:tc>
        <w:tc>
          <w:tcPr>
            <w:tcW w:w="3006" w:type="dxa"/>
          </w:tcPr>
          <w:p w14:paraId="00A91199" w14:textId="77777777" w:rsidR="008604F5" w:rsidRPr="00400C4C" w:rsidRDefault="008604F5" w:rsidP="00DC54F7">
            <w:pPr>
              <w:contextualSpacing/>
              <w:jc w:val="both"/>
              <w:rPr>
                <w:rFonts w:ascii="Arial" w:hAnsi="Arial" w:cs="Arial"/>
                <w:b/>
                <w:bCs/>
                <w:sz w:val="24"/>
                <w:szCs w:val="24"/>
              </w:rPr>
            </w:pPr>
            <w:r w:rsidRPr="00400C4C">
              <w:rPr>
                <w:rFonts w:ascii="Arial" w:hAnsi="Arial" w:cs="Arial"/>
                <w:b/>
                <w:bCs/>
                <w:sz w:val="24"/>
                <w:szCs w:val="24"/>
              </w:rPr>
              <w:t>Closing hours range</w:t>
            </w:r>
          </w:p>
        </w:tc>
      </w:tr>
      <w:tr w:rsidR="008604F5" w:rsidRPr="006E6035" w14:paraId="595A077F" w14:textId="77777777" w:rsidTr="008E78E6">
        <w:tc>
          <w:tcPr>
            <w:tcW w:w="3005" w:type="dxa"/>
          </w:tcPr>
          <w:p w14:paraId="439FA4BD" w14:textId="77777777" w:rsidR="008604F5" w:rsidRPr="00400C4C" w:rsidRDefault="008604F5" w:rsidP="00DC54F7">
            <w:pPr>
              <w:contextualSpacing/>
              <w:jc w:val="both"/>
              <w:rPr>
                <w:rFonts w:ascii="Arial" w:hAnsi="Arial" w:cs="Arial"/>
                <w:sz w:val="24"/>
                <w:szCs w:val="24"/>
              </w:rPr>
            </w:pPr>
            <w:r w:rsidRPr="00400C4C">
              <w:rPr>
                <w:rFonts w:ascii="Arial" w:hAnsi="Arial" w:cs="Arial"/>
                <w:sz w:val="24"/>
                <w:szCs w:val="24"/>
              </w:rPr>
              <w:t>Monday to Friday</w:t>
            </w:r>
          </w:p>
        </w:tc>
        <w:tc>
          <w:tcPr>
            <w:tcW w:w="3005" w:type="dxa"/>
          </w:tcPr>
          <w:p w14:paraId="5E7FBC4D" w14:textId="77777777" w:rsidR="008604F5" w:rsidRPr="00400C4C" w:rsidRDefault="008604F5" w:rsidP="00DC54F7">
            <w:pPr>
              <w:contextualSpacing/>
              <w:jc w:val="both"/>
              <w:rPr>
                <w:rFonts w:ascii="Arial" w:hAnsi="Arial" w:cs="Arial"/>
                <w:sz w:val="24"/>
                <w:szCs w:val="24"/>
              </w:rPr>
            </w:pPr>
            <w:r w:rsidRPr="00400C4C">
              <w:rPr>
                <w:rFonts w:ascii="Arial" w:hAnsi="Arial" w:cs="Arial"/>
                <w:sz w:val="24"/>
                <w:szCs w:val="24"/>
              </w:rPr>
              <w:t>08.00am to 09.00am</w:t>
            </w:r>
          </w:p>
        </w:tc>
        <w:tc>
          <w:tcPr>
            <w:tcW w:w="3006" w:type="dxa"/>
          </w:tcPr>
          <w:p w14:paraId="6567C76A" w14:textId="2E3854DB" w:rsidR="008604F5" w:rsidRPr="00400C4C" w:rsidRDefault="008604F5" w:rsidP="00DC54F7">
            <w:pPr>
              <w:contextualSpacing/>
              <w:jc w:val="both"/>
              <w:rPr>
                <w:rFonts w:ascii="Arial" w:hAnsi="Arial" w:cs="Arial"/>
                <w:sz w:val="24"/>
                <w:szCs w:val="24"/>
              </w:rPr>
            </w:pPr>
            <w:r w:rsidRPr="00400C4C">
              <w:rPr>
                <w:rFonts w:ascii="Arial" w:hAnsi="Arial" w:cs="Arial"/>
                <w:sz w:val="24"/>
                <w:szCs w:val="24"/>
              </w:rPr>
              <w:t xml:space="preserve">17.30pm to </w:t>
            </w:r>
            <w:r w:rsidR="00FD6311" w:rsidRPr="00400C4C">
              <w:rPr>
                <w:rFonts w:ascii="Arial" w:hAnsi="Arial" w:cs="Arial"/>
                <w:sz w:val="24"/>
                <w:szCs w:val="24"/>
              </w:rPr>
              <w:t>22</w:t>
            </w:r>
            <w:r w:rsidRPr="00400C4C">
              <w:rPr>
                <w:rFonts w:ascii="Arial" w:hAnsi="Arial" w:cs="Arial"/>
                <w:sz w:val="24"/>
                <w:szCs w:val="24"/>
              </w:rPr>
              <w:t>.</w:t>
            </w:r>
            <w:r w:rsidR="00FD6311" w:rsidRPr="00400C4C">
              <w:rPr>
                <w:rFonts w:ascii="Arial" w:hAnsi="Arial" w:cs="Arial"/>
                <w:sz w:val="24"/>
                <w:szCs w:val="24"/>
              </w:rPr>
              <w:t>0</w:t>
            </w:r>
            <w:r w:rsidRPr="00400C4C">
              <w:rPr>
                <w:rFonts w:ascii="Arial" w:hAnsi="Arial" w:cs="Arial"/>
                <w:sz w:val="24"/>
                <w:szCs w:val="24"/>
              </w:rPr>
              <w:t>0pm</w:t>
            </w:r>
          </w:p>
        </w:tc>
      </w:tr>
      <w:tr w:rsidR="008604F5" w:rsidRPr="006E6035" w14:paraId="48ADABF7" w14:textId="77777777" w:rsidTr="008E78E6">
        <w:tc>
          <w:tcPr>
            <w:tcW w:w="3005" w:type="dxa"/>
          </w:tcPr>
          <w:p w14:paraId="6DDE72BE" w14:textId="77777777" w:rsidR="008604F5" w:rsidRPr="00400C4C" w:rsidRDefault="008604F5" w:rsidP="00DC54F7">
            <w:pPr>
              <w:contextualSpacing/>
              <w:jc w:val="both"/>
              <w:rPr>
                <w:rFonts w:ascii="Arial" w:hAnsi="Arial" w:cs="Arial"/>
                <w:sz w:val="24"/>
                <w:szCs w:val="24"/>
              </w:rPr>
            </w:pPr>
            <w:r w:rsidRPr="00400C4C">
              <w:rPr>
                <w:rFonts w:ascii="Arial" w:hAnsi="Arial" w:cs="Arial"/>
                <w:sz w:val="24"/>
                <w:szCs w:val="24"/>
              </w:rPr>
              <w:t>Saturday</w:t>
            </w:r>
          </w:p>
        </w:tc>
        <w:tc>
          <w:tcPr>
            <w:tcW w:w="3005" w:type="dxa"/>
          </w:tcPr>
          <w:p w14:paraId="09E4DA8A" w14:textId="2B539B63" w:rsidR="008604F5" w:rsidRPr="00400C4C" w:rsidRDefault="00FD6311" w:rsidP="00DC54F7">
            <w:pPr>
              <w:contextualSpacing/>
              <w:jc w:val="both"/>
              <w:rPr>
                <w:rFonts w:ascii="Arial" w:hAnsi="Arial" w:cs="Arial"/>
                <w:sz w:val="24"/>
                <w:szCs w:val="24"/>
              </w:rPr>
            </w:pPr>
            <w:r w:rsidRPr="00400C4C">
              <w:rPr>
                <w:rFonts w:ascii="Arial" w:hAnsi="Arial" w:cs="Arial"/>
                <w:sz w:val="24"/>
                <w:szCs w:val="24"/>
              </w:rPr>
              <w:t xml:space="preserve">08.00am to </w:t>
            </w:r>
            <w:r w:rsidR="008604F5" w:rsidRPr="00400C4C">
              <w:rPr>
                <w:rFonts w:ascii="Arial" w:hAnsi="Arial" w:cs="Arial"/>
                <w:sz w:val="24"/>
                <w:szCs w:val="24"/>
              </w:rPr>
              <w:t xml:space="preserve">09.00am </w:t>
            </w:r>
          </w:p>
        </w:tc>
        <w:tc>
          <w:tcPr>
            <w:tcW w:w="3006" w:type="dxa"/>
          </w:tcPr>
          <w:p w14:paraId="2BA088D2" w14:textId="7A3D315A" w:rsidR="008604F5" w:rsidRPr="00400C4C" w:rsidRDefault="008604F5" w:rsidP="00DC54F7">
            <w:pPr>
              <w:contextualSpacing/>
              <w:jc w:val="both"/>
              <w:rPr>
                <w:rFonts w:ascii="Arial" w:hAnsi="Arial" w:cs="Arial"/>
                <w:sz w:val="24"/>
                <w:szCs w:val="24"/>
              </w:rPr>
            </w:pPr>
            <w:r w:rsidRPr="00400C4C">
              <w:rPr>
                <w:rFonts w:ascii="Arial" w:hAnsi="Arial" w:cs="Arial"/>
                <w:sz w:val="24"/>
                <w:szCs w:val="24"/>
              </w:rPr>
              <w:t xml:space="preserve">12.00pm to </w:t>
            </w:r>
            <w:r w:rsidR="00FD6311" w:rsidRPr="00400C4C">
              <w:rPr>
                <w:rFonts w:ascii="Arial" w:hAnsi="Arial" w:cs="Arial"/>
                <w:sz w:val="24"/>
                <w:szCs w:val="24"/>
              </w:rPr>
              <w:t>22</w:t>
            </w:r>
            <w:r w:rsidRPr="00400C4C">
              <w:rPr>
                <w:rFonts w:ascii="Arial" w:hAnsi="Arial" w:cs="Arial"/>
                <w:sz w:val="24"/>
                <w:szCs w:val="24"/>
              </w:rPr>
              <w:t>.</w:t>
            </w:r>
            <w:r w:rsidR="00FD6311" w:rsidRPr="00400C4C">
              <w:rPr>
                <w:rFonts w:ascii="Arial" w:hAnsi="Arial" w:cs="Arial"/>
                <w:sz w:val="24"/>
                <w:szCs w:val="24"/>
              </w:rPr>
              <w:t>0</w:t>
            </w:r>
            <w:r w:rsidRPr="00400C4C">
              <w:rPr>
                <w:rFonts w:ascii="Arial" w:hAnsi="Arial" w:cs="Arial"/>
                <w:sz w:val="24"/>
                <w:szCs w:val="24"/>
              </w:rPr>
              <w:t>0pm</w:t>
            </w:r>
          </w:p>
        </w:tc>
      </w:tr>
      <w:tr w:rsidR="008604F5" w:rsidRPr="006E6035" w14:paraId="63ED89E6" w14:textId="77777777" w:rsidTr="008E78E6">
        <w:tc>
          <w:tcPr>
            <w:tcW w:w="3005" w:type="dxa"/>
          </w:tcPr>
          <w:p w14:paraId="49AB0E1A" w14:textId="77777777" w:rsidR="008604F5" w:rsidRPr="00400C4C" w:rsidRDefault="008604F5" w:rsidP="00DC54F7">
            <w:pPr>
              <w:contextualSpacing/>
              <w:jc w:val="both"/>
              <w:rPr>
                <w:rFonts w:ascii="Arial" w:hAnsi="Arial" w:cs="Arial"/>
                <w:sz w:val="24"/>
                <w:szCs w:val="24"/>
              </w:rPr>
            </w:pPr>
            <w:r w:rsidRPr="00400C4C">
              <w:rPr>
                <w:rFonts w:ascii="Arial" w:hAnsi="Arial" w:cs="Arial"/>
                <w:sz w:val="24"/>
                <w:szCs w:val="24"/>
              </w:rPr>
              <w:t>Sunday</w:t>
            </w:r>
          </w:p>
        </w:tc>
        <w:tc>
          <w:tcPr>
            <w:tcW w:w="3005" w:type="dxa"/>
          </w:tcPr>
          <w:p w14:paraId="4248E073" w14:textId="77777777" w:rsidR="008604F5" w:rsidRPr="00400C4C" w:rsidRDefault="008604F5" w:rsidP="00DC54F7">
            <w:pPr>
              <w:contextualSpacing/>
              <w:jc w:val="both"/>
              <w:rPr>
                <w:rFonts w:ascii="Arial" w:hAnsi="Arial" w:cs="Arial"/>
                <w:sz w:val="24"/>
                <w:szCs w:val="24"/>
              </w:rPr>
            </w:pPr>
            <w:r w:rsidRPr="00400C4C">
              <w:rPr>
                <w:rFonts w:ascii="Arial" w:hAnsi="Arial" w:cs="Arial"/>
                <w:sz w:val="24"/>
                <w:szCs w:val="24"/>
              </w:rPr>
              <w:t xml:space="preserve">10.00am </w:t>
            </w:r>
          </w:p>
        </w:tc>
        <w:tc>
          <w:tcPr>
            <w:tcW w:w="3006" w:type="dxa"/>
          </w:tcPr>
          <w:p w14:paraId="00D76FED" w14:textId="77777777" w:rsidR="008604F5" w:rsidRPr="00400C4C" w:rsidRDefault="008604F5" w:rsidP="00DC54F7">
            <w:pPr>
              <w:contextualSpacing/>
              <w:jc w:val="both"/>
              <w:rPr>
                <w:rFonts w:ascii="Arial" w:hAnsi="Arial" w:cs="Arial"/>
                <w:sz w:val="24"/>
                <w:szCs w:val="24"/>
              </w:rPr>
            </w:pPr>
            <w:r w:rsidRPr="00400C4C">
              <w:rPr>
                <w:rFonts w:ascii="Arial" w:hAnsi="Arial" w:cs="Arial"/>
                <w:sz w:val="24"/>
                <w:szCs w:val="24"/>
              </w:rPr>
              <w:t>16.00pm</w:t>
            </w:r>
          </w:p>
        </w:tc>
      </w:tr>
    </w:tbl>
    <w:p w14:paraId="2AD01C3E" w14:textId="77777777" w:rsidR="008604F5" w:rsidRPr="006E6035" w:rsidRDefault="008604F5" w:rsidP="00DC54F7">
      <w:pPr>
        <w:spacing w:after="0" w:line="240" w:lineRule="auto"/>
        <w:contextualSpacing/>
        <w:jc w:val="both"/>
        <w:rPr>
          <w:rFonts w:ascii="Arial" w:hAnsi="Arial" w:cs="Arial"/>
        </w:rPr>
      </w:pPr>
    </w:p>
    <w:p w14:paraId="0CD833BE" w14:textId="77777777" w:rsidR="008604F5" w:rsidRPr="003F5D93" w:rsidRDefault="008604F5" w:rsidP="00DC54F7">
      <w:pPr>
        <w:spacing w:after="0" w:line="240" w:lineRule="auto"/>
        <w:contextualSpacing/>
        <w:jc w:val="both"/>
        <w:rPr>
          <w:rFonts w:ascii="Arial" w:hAnsi="Arial" w:cs="Arial"/>
          <w:sz w:val="24"/>
          <w:szCs w:val="24"/>
        </w:rPr>
      </w:pPr>
      <w:r w:rsidRPr="003F5D93">
        <w:rPr>
          <w:rFonts w:ascii="Arial" w:hAnsi="Arial" w:cs="Arial"/>
          <w:sz w:val="24"/>
          <w:szCs w:val="24"/>
        </w:rPr>
        <w:t>Full details of when the pharmacies are open can be found in Appendix L.</w:t>
      </w:r>
    </w:p>
    <w:p w14:paraId="39E19F5C" w14:textId="1FAB6EA8" w:rsidR="006E46A2" w:rsidRPr="003F5D93" w:rsidRDefault="006E46A2" w:rsidP="00DC54F7">
      <w:pPr>
        <w:spacing w:after="0" w:line="240" w:lineRule="auto"/>
        <w:jc w:val="both"/>
        <w:rPr>
          <w:rFonts w:ascii="Arial" w:hAnsi="Arial" w:cs="Arial"/>
          <w:b/>
          <w:sz w:val="24"/>
          <w:szCs w:val="24"/>
          <w:lang w:val="en-US"/>
        </w:rPr>
      </w:pPr>
    </w:p>
    <w:p w14:paraId="1F80C88E" w14:textId="3B21B5DF" w:rsidR="00765600" w:rsidRPr="003F5D93" w:rsidRDefault="00765600" w:rsidP="00DC54F7">
      <w:pPr>
        <w:spacing w:after="0" w:line="240" w:lineRule="auto"/>
        <w:contextualSpacing/>
        <w:jc w:val="both"/>
        <w:rPr>
          <w:rFonts w:ascii="Arial" w:hAnsi="Arial" w:cs="Arial"/>
          <w:sz w:val="24"/>
          <w:szCs w:val="24"/>
        </w:rPr>
      </w:pPr>
      <w:r w:rsidRPr="003F5D93">
        <w:rPr>
          <w:rFonts w:ascii="Arial" w:hAnsi="Arial" w:cs="Arial"/>
          <w:sz w:val="24"/>
          <w:szCs w:val="24"/>
        </w:rPr>
        <w:t xml:space="preserve">All </w:t>
      </w:r>
      <w:r w:rsidR="00E8345F" w:rsidRPr="003F5D93">
        <w:rPr>
          <w:rFonts w:ascii="Arial" w:hAnsi="Arial" w:cs="Arial"/>
          <w:sz w:val="24"/>
          <w:szCs w:val="24"/>
        </w:rPr>
        <w:t>13</w:t>
      </w:r>
      <w:r w:rsidRPr="003F5D93">
        <w:rPr>
          <w:rFonts w:ascii="Arial" w:hAnsi="Arial" w:cs="Arial"/>
          <w:sz w:val="24"/>
          <w:szCs w:val="24"/>
        </w:rPr>
        <w:t xml:space="preserve"> pharmacies responded to the contractor questionnaire, of which </w:t>
      </w:r>
      <w:r w:rsidR="003C69CD" w:rsidRPr="003F5D93">
        <w:rPr>
          <w:rFonts w:ascii="Arial" w:hAnsi="Arial" w:cs="Arial"/>
          <w:sz w:val="24"/>
          <w:szCs w:val="24"/>
        </w:rPr>
        <w:t>1</w:t>
      </w:r>
      <w:r w:rsidRPr="003F5D93">
        <w:rPr>
          <w:rFonts w:ascii="Arial" w:hAnsi="Arial" w:cs="Arial"/>
          <w:sz w:val="24"/>
          <w:szCs w:val="24"/>
        </w:rPr>
        <w:t>0 dispense all appliances listed in Part IX of the Drug Tariff</w:t>
      </w:r>
      <w:r w:rsidR="003C69CD" w:rsidRPr="003F5D93">
        <w:rPr>
          <w:rFonts w:ascii="Arial" w:hAnsi="Arial" w:cs="Arial"/>
          <w:sz w:val="24"/>
          <w:szCs w:val="24"/>
        </w:rPr>
        <w:t>, two</w:t>
      </w:r>
      <w:r w:rsidRPr="003F5D93">
        <w:rPr>
          <w:rFonts w:ascii="Arial" w:hAnsi="Arial" w:cs="Arial"/>
          <w:sz w:val="24"/>
          <w:szCs w:val="24"/>
        </w:rPr>
        <w:t xml:space="preserve"> just dispenses dressings</w:t>
      </w:r>
      <w:r w:rsidR="003C69CD" w:rsidRPr="003F5D93">
        <w:rPr>
          <w:rFonts w:ascii="Arial" w:hAnsi="Arial" w:cs="Arial"/>
          <w:sz w:val="24"/>
          <w:szCs w:val="24"/>
        </w:rPr>
        <w:t xml:space="preserve"> and one </w:t>
      </w:r>
      <w:r w:rsidR="005230E6" w:rsidRPr="003F5D93">
        <w:rPr>
          <w:rFonts w:ascii="Arial" w:hAnsi="Arial" w:cs="Arial"/>
          <w:sz w:val="24"/>
          <w:szCs w:val="24"/>
        </w:rPr>
        <w:t>does not dispense any appliances</w:t>
      </w:r>
      <w:r w:rsidRPr="003F5D93">
        <w:rPr>
          <w:rFonts w:ascii="Arial" w:hAnsi="Arial" w:cs="Arial"/>
          <w:sz w:val="24"/>
          <w:szCs w:val="24"/>
        </w:rPr>
        <w:t xml:space="preserve">. </w:t>
      </w:r>
    </w:p>
    <w:p w14:paraId="2A9AA097" w14:textId="77777777" w:rsidR="00765600" w:rsidRPr="003F5D93" w:rsidRDefault="00765600" w:rsidP="00DC54F7">
      <w:pPr>
        <w:spacing w:after="0" w:line="240" w:lineRule="auto"/>
        <w:jc w:val="both"/>
        <w:rPr>
          <w:rFonts w:ascii="Arial" w:hAnsi="Arial" w:cs="Arial"/>
          <w:b/>
          <w:sz w:val="24"/>
          <w:szCs w:val="24"/>
          <w:lang w:val="en-US"/>
        </w:rPr>
      </w:pPr>
    </w:p>
    <w:p w14:paraId="090F92C1" w14:textId="4930C356" w:rsidR="00765600" w:rsidRPr="003F5D93" w:rsidRDefault="00765600" w:rsidP="00DC54F7">
      <w:pPr>
        <w:spacing w:after="0" w:line="240" w:lineRule="auto"/>
        <w:jc w:val="both"/>
        <w:rPr>
          <w:rFonts w:ascii="Arial" w:hAnsi="Arial" w:cs="Arial"/>
          <w:sz w:val="24"/>
          <w:szCs w:val="24"/>
        </w:rPr>
      </w:pPr>
      <w:r w:rsidRPr="003F5D93">
        <w:rPr>
          <w:rFonts w:ascii="Arial" w:hAnsi="Arial" w:cs="Arial"/>
          <w:sz w:val="24"/>
          <w:szCs w:val="24"/>
        </w:rPr>
        <w:t xml:space="preserve">In 2019 to 2020, </w:t>
      </w:r>
      <w:r w:rsidR="006D6219" w:rsidRPr="003F5D93">
        <w:rPr>
          <w:rFonts w:ascii="Arial" w:hAnsi="Arial" w:cs="Arial"/>
          <w:sz w:val="24"/>
          <w:szCs w:val="24"/>
        </w:rPr>
        <w:t>12</w:t>
      </w:r>
      <w:r w:rsidRPr="003F5D93">
        <w:rPr>
          <w:rFonts w:ascii="Arial" w:hAnsi="Arial" w:cs="Arial"/>
          <w:sz w:val="24"/>
          <w:szCs w:val="24"/>
        </w:rPr>
        <w:t xml:space="preserve"> pharmacies offered the MUR service and a total of 2,</w:t>
      </w:r>
      <w:r w:rsidR="00833115" w:rsidRPr="003F5D93">
        <w:rPr>
          <w:rFonts w:ascii="Arial" w:hAnsi="Arial" w:cs="Arial"/>
          <w:sz w:val="24"/>
          <w:szCs w:val="24"/>
        </w:rPr>
        <w:t>764</w:t>
      </w:r>
      <w:r w:rsidRPr="003F5D93">
        <w:rPr>
          <w:rFonts w:ascii="Arial" w:hAnsi="Arial" w:cs="Arial"/>
          <w:sz w:val="24"/>
          <w:szCs w:val="24"/>
        </w:rPr>
        <w:t xml:space="preserve"> reviews were provided out of a possible 4,</w:t>
      </w:r>
      <w:r w:rsidR="00833115" w:rsidRPr="003F5D93">
        <w:rPr>
          <w:rFonts w:ascii="Arial" w:hAnsi="Arial" w:cs="Arial"/>
          <w:sz w:val="24"/>
          <w:szCs w:val="24"/>
        </w:rPr>
        <w:t>8</w:t>
      </w:r>
      <w:r w:rsidRPr="003F5D93">
        <w:rPr>
          <w:rFonts w:ascii="Arial" w:hAnsi="Arial" w:cs="Arial"/>
          <w:sz w:val="24"/>
          <w:szCs w:val="24"/>
        </w:rPr>
        <w:t>00 reviews. Two pharmacies provided the maximum number of 400 reviews.</w:t>
      </w:r>
      <w:r w:rsidR="009A1EB8" w:rsidRPr="003F5D93">
        <w:rPr>
          <w:rFonts w:ascii="Arial" w:hAnsi="Arial" w:cs="Arial"/>
          <w:sz w:val="24"/>
          <w:szCs w:val="24"/>
        </w:rPr>
        <w:t xml:space="preserve"> The Welsh Government formally suspended the MUR service on 13 March 2020.  At the time of writing, </w:t>
      </w:r>
      <w:r w:rsidR="0070331C" w:rsidRPr="003F5D93">
        <w:rPr>
          <w:rFonts w:ascii="Arial" w:hAnsi="Arial" w:cs="Arial"/>
          <w:sz w:val="24"/>
          <w:szCs w:val="24"/>
        </w:rPr>
        <w:t>it is not known if the service will re-commence</w:t>
      </w:r>
      <w:r w:rsidR="009A1EB8" w:rsidRPr="003F5D93">
        <w:rPr>
          <w:rFonts w:ascii="Arial" w:hAnsi="Arial" w:cs="Arial"/>
          <w:sz w:val="24"/>
          <w:szCs w:val="24"/>
        </w:rPr>
        <w:t>.</w:t>
      </w:r>
    </w:p>
    <w:p w14:paraId="357DBE0C" w14:textId="77777777" w:rsidR="00765600" w:rsidRPr="003F5D93" w:rsidRDefault="00765600" w:rsidP="00DC54F7">
      <w:pPr>
        <w:spacing w:after="0" w:line="240" w:lineRule="auto"/>
        <w:jc w:val="both"/>
        <w:rPr>
          <w:rFonts w:ascii="Arial" w:hAnsi="Arial" w:cs="Arial"/>
          <w:sz w:val="24"/>
          <w:szCs w:val="24"/>
        </w:rPr>
      </w:pPr>
    </w:p>
    <w:p w14:paraId="47AD4955" w14:textId="77777777" w:rsidR="00246DB8" w:rsidRPr="003F5D93" w:rsidRDefault="00765600" w:rsidP="00DC54F7">
      <w:pPr>
        <w:spacing w:after="0" w:line="240" w:lineRule="auto"/>
        <w:jc w:val="both"/>
        <w:rPr>
          <w:rFonts w:ascii="Arial" w:hAnsi="Arial" w:cs="Arial"/>
          <w:sz w:val="24"/>
          <w:szCs w:val="24"/>
        </w:rPr>
      </w:pPr>
      <w:r w:rsidRPr="003F5D93">
        <w:rPr>
          <w:rFonts w:ascii="Arial" w:hAnsi="Arial" w:cs="Arial"/>
          <w:sz w:val="24"/>
          <w:szCs w:val="24"/>
        </w:rPr>
        <w:t>In 2019 to 2020, all 1</w:t>
      </w:r>
      <w:r w:rsidR="00833115" w:rsidRPr="003F5D93">
        <w:rPr>
          <w:rFonts w:ascii="Arial" w:hAnsi="Arial" w:cs="Arial"/>
          <w:sz w:val="24"/>
          <w:szCs w:val="24"/>
        </w:rPr>
        <w:t>3</w:t>
      </w:r>
      <w:r w:rsidRPr="003F5D93">
        <w:rPr>
          <w:rFonts w:ascii="Arial" w:hAnsi="Arial" w:cs="Arial"/>
          <w:sz w:val="24"/>
          <w:szCs w:val="24"/>
        </w:rPr>
        <w:t xml:space="preserve"> pharmacies offered the DMR </w:t>
      </w:r>
      <w:r w:rsidR="00833115" w:rsidRPr="003F5D93">
        <w:rPr>
          <w:rFonts w:ascii="Arial" w:hAnsi="Arial" w:cs="Arial"/>
          <w:sz w:val="24"/>
          <w:szCs w:val="24"/>
        </w:rPr>
        <w:t xml:space="preserve">service </w:t>
      </w:r>
      <w:r w:rsidRPr="003F5D93">
        <w:rPr>
          <w:rFonts w:ascii="Arial" w:hAnsi="Arial" w:cs="Arial"/>
          <w:sz w:val="24"/>
          <w:szCs w:val="24"/>
        </w:rPr>
        <w:t>and a total of 2</w:t>
      </w:r>
      <w:r w:rsidR="00833115" w:rsidRPr="003F5D93">
        <w:rPr>
          <w:rFonts w:ascii="Arial" w:hAnsi="Arial" w:cs="Arial"/>
          <w:sz w:val="24"/>
          <w:szCs w:val="24"/>
        </w:rPr>
        <w:t>37</w:t>
      </w:r>
      <w:r w:rsidRPr="003F5D93">
        <w:rPr>
          <w:rFonts w:ascii="Arial" w:hAnsi="Arial" w:cs="Arial"/>
          <w:sz w:val="24"/>
          <w:szCs w:val="24"/>
        </w:rPr>
        <w:t xml:space="preserve"> reviews were provided out of a possible 1,</w:t>
      </w:r>
      <w:r w:rsidR="003D1EA8" w:rsidRPr="003F5D93">
        <w:rPr>
          <w:rFonts w:ascii="Arial" w:hAnsi="Arial" w:cs="Arial"/>
          <w:sz w:val="24"/>
          <w:szCs w:val="24"/>
        </w:rPr>
        <w:t>82</w:t>
      </w:r>
      <w:r w:rsidRPr="003F5D93">
        <w:rPr>
          <w:rFonts w:ascii="Arial" w:hAnsi="Arial" w:cs="Arial"/>
          <w:sz w:val="24"/>
          <w:szCs w:val="24"/>
        </w:rPr>
        <w:t>0 reviews. No pharmacies provided the maximum number of 140 reviews</w:t>
      </w:r>
      <w:r w:rsidR="00246DB8" w:rsidRPr="003F5D93">
        <w:rPr>
          <w:rFonts w:ascii="Arial" w:hAnsi="Arial" w:cs="Arial"/>
          <w:sz w:val="24"/>
          <w:szCs w:val="24"/>
        </w:rPr>
        <w:t>. As part of the changes to the Community Pharmacy Contractual Framework for 2021, the cap for the number of paid DMRs has been removed.</w:t>
      </w:r>
    </w:p>
    <w:p w14:paraId="33F09439" w14:textId="5DE31F50" w:rsidR="00765600" w:rsidRPr="00D8043C" w:rsidRDefault="00765600" w:rsidP="00DC54F7">
      <w:pPr>
        <w:spacing w:after="0" w:line="240" w:lineRule="auto"/>
        <w:jc w:val="both"/>
        <w:rPr>
          <w:rFonts w:ascii="Arial" w:hAnsi="Arial" w:cs="Arial"/>
        </w:rPr>
      </w:pPr>
    </w:p>
    <w:p w14:paraId="22B81F4A" w14:textId="77777777" w:rsidR="00B35D60" w:rsidRPr="00440193" w:rsidRDefault="00B35D60" w:rsidP="00DC54F7">
      <w:pPr>
        <w:spacing w:after="0" w:line="240" w:lineRule="auto"/>
        <w:contextualSpacing/>
        <w:jc w:val="both"/>
        <w:rPr>
          <w:rFonts w:ascii="Arial" w:hAnsi="Arial" w:cs="Arial"/>
          <w:sz w:val="24"/>
          <w:szCs w:val="24"/>
        </w:rPr>
      </w:pPr>
      <w:r w:rsidRPr="00440193">
        <w:rPr>
          <w:rFonts w:ascii="Arial" w:hAnsi="Arial" w:cs="Arial"/>
          <w:sz w:val="24"/>
          <w:szCs w:val="24"/>
        </w:rPr>
        <w:t>In 2019 to 2020, the following enhanced services were provided by pharmacies in the cluster area:</w:t>
      </w:r>
    </w:p>
    <w:p w14:paraId="0C950E90" w14:textId="77777777" w:rsidR="00B35D60" w:rsidRPr="00440193" w:rsidRDefault="00B35D60" w:rsidP="00DC54F7">
      <w:pPr>
        <w:spacing w:after="0" w:line="240" w:lineRule="auto"/>
        <w:contextualSpacing/>
        <w:jc w:val="both"/>
        <w:rPr>
          <w:rFonts w:ascii="Arial" w:hAnsi="Arial" w:cs="Arial"/>
          <w:sz w:val="24"/>
          <w:szCs w:val="24"/>
        </w:rPr>
      </w:pPr>
    </w:p>
    <w:p w14:paraId="4D5C5206" w14:textId="2C6B40E8" w:rsidR="00B35D60" w:rsidRPr="00440193" w:rsidRDefault="00DA5056" w:rsidP="00DC54F7">
      <w:pPr>
        <w:pStyle w:val="ListParagraph"/>
        <w:numPr>
          <w:ilvl w:val="0"/>
          <w:numId w:val="142"/>
        </w:numPr>
        <w:spacing w:after="0" w:line="240" w:lineRule="auto"/>
        <w:jc w:val="both"/>
        <w:rPr>
          <w:rFonts w:ascii="Arial" w:hAnsi="Arial" w:cs="Arial"/>
          <w:sz w:val="24"/>
          <w:szCs w:val="24"/>
        </w:rPr>
      </w:pPr>
      <w:r w:rsidRPr="00440193">
        <w:rPr>
          <w:rFonts w:ascii="Arial" w:hAnsi="Arial" w:cs="Arial"/>
          <w:sz w:val="24"/>
          <w:szCs w:val="24"/>
        </w:rPr>
        <w:t>Seven</w:t>
      </w:r>
      <w:r w:rsidR="00B35D60" w:rsidRPr="00440193">
        <w:rPr>
          <w:rFonts w:ascii="Arial" w:hAnsi="Arial" w:cs="Arial"/>
          <w:sz w:val="24"/>
          <w:szCs w:val="24"/>
        </w:rPr>
        <w:t xml:space="preserve"> pharmacies provided a total of </w:t>
      </w:r>
      <w:r w:rsidRPr="00440193">
        <w:rPr>
          <w:rFonts w:ascii="Arial" w:hAnsi="Arial" w:cs="Arial"/>
          <w:sz w:val="24"/>
          <w:szCs w:val="24"/>
        </w:rPr>
        <w:t>249</w:t>
      </w:r>
      <w:r w:rsidR="00B35D60" w:rsidRPr="00440193">
        <w:rPr>
          <w:rFonts w:ascii="Arial" w:hAnsi="Arial" w:cs="Arial"/>
          <w:sz w:val="24"/>
          <w:szCs w:val="24"/>
        </w:rPr>
        <w:t xml:space="preserve"> emergency contraception consultations, with a range of </w:t>
      </w:r>
      <w:r w:rsidRPr="00440193">
        <w:rPr>
          <w:rFonts w:ascii="Arial" w:hAnsi="Arial" w:cs="Arial"/>
          <w:sz w:val="24"/>
          <w:szCs w:val="24"/>
        </w:rPr>
        <w:t>five</w:t>
      </w:r>
      <w:r w:rsidR="00B35D60" w:rsidRPr="00440193">
        <w:rPr>
          <w:rFonts w:ascii="Arial" w:hAnsi="Arial" w:cs="Arial"/>
          <w:sz w:val="24"/>
          <w:szCs w:val="24"/>
        </w:rPr>
        <w:t xml:space="preserve"> to </w:t>
      </w:r>
      <w:r w:rsidRPr="00440193">
        <w:rPr>
          <w:rFonts w:ascii="Arial" w:hAnsi="Arial" w:cs="Arial"/>
          <w:sz w:val="24"/>
          <w:szCs w:val="24"/>
        </w:rPr>
        <w:t>95</w:t>
      </w:r>
      <w:r w:rsidR="00B35D60" w:rsidRPr="00440193">
        <w:rPr>
          <w:rFonts w:ascii="Arial" w:hAnsi="Arial" w:cs="Arial"/>
          <w:sz w:val="24"/>
          <w:szCs w:val="24"/>
        </w:rPr>
        <w:t xml:space="preserve"> consultations.</w:t>
      </w:r>
    </w:p>
    <w:p w14:paraId="69C3945B" w14:textId="465CE2A3" w:rsidR="00B35D60" w:rsidRPr="00440193" w:rsidRDefault="00DA5056" w:rsidP="00DC54F7">
      <w:pPr>
        <w:pStyle w:val="ListParagraph"/>
        <w:numPr>
          <w:ilvl w:val="0"/>
          <w:numId w:val="86"/>
        </w:numPr>
        <w:spacing w:after="0" w:line="240" w:lineRule="auto"/>
        <w:jc w:val="both"/>
        <w:rPr>
          <w:rFonts w:ascii="Arial" w:hAnsi="Arial" w:cs="Arial"/>
          <w:sz w:val="24"/>
          <w:szCs w:val="24"/>
        </w:rPr>
      </w:pPr>
      <w:r w:rsidRPr="00440193">
        <w:rPr>
          <w:rFonts w:ascii="Arial" w:hAnsi="Arial" w:cs="Arial"/>
          <w:sz w:val="24"/>
          <w:szCs w:val="24"/>
        </w:rPr>
        <w:t>One</w:t>
      </w:r>
      <w:r w:rsidR="00B35D60" w:rsidRPr="00440193">
        <w:rPr>
          <w:rFonts w:ascii="Arial" w:hAnsi="Arial" w:cs="Arial"/>
          <w:sz w:val="24"/>
          <w:szCs w:val="24"/>
        </w:rPr>
        <w:t xml:space="preserve"> pharmac</w:t>
      </w:r>
      <w:r w:rsidRPr="00440193">
        <w:rPr>
          <w:rFonts w:ascii="Arial" w:hAnsi="Arial" w:cs="Arial"/>
          <w:sz w:val="24"/>
          <w:szCs w:val="24"/>
        </w:rPr>
        <w:t>y</w:t>
      </w:r>
      <w:r w:rsidR="00B35D60" w:rsidRPr="00440193">
        <w:rPr>
          <w:rFonts w:ascii="Arial" w:hAnsi="Arial" w:cs="Arial"/>
          <w:sz w:val="24"/>
          <w:szCs w:val="24"/>
        </w:rPr>
        <w:t xml:space="preserve"> provided a total of </w:t>
      </w:r>
      <w:r w:rsidRPr="00440193">
        <w:rPr>
          <w:rFonts w:ascii="Arial" w:hAnsi="Arial" w:cs="Arial"/>
          <w:sz w:val="24"/>
          <w:szCs w:val="24"/>
        </w:rPr>
        <w:t>28</w:t>
      </w:r>
      <w:r w:rsidR="00B35D60" w:rsidRPr="00440193">
        <w:rPr>
          <w:rFonts w:ascii="Arial" w:hAnsi="Arial" w:cs="Arial"/>
          <w:sz w:val="24"/>
          <w:szCs w:val="24"/>
        </w:rPr>
        <w:t xml:space="preserve"> smoking cessation level 3 consultations.</w:t>
      </w:r>
    </w:p>
    <w:p w14:paraId="0F1F61A5" w14:textId="6447B084" w:rsidR="00B35D60" w:rsidRPr="00440193" w:rsidRDefault="00FE5ED5" w:rsidP="00DC54F7">
      <w:pPr>
        <w:pStyle w:val="ListParagraph"/>
        <w:numPr>
          <w:ilvl w:val="0"/>
          <w:numId w:val="86"/>
        </w:numPr>
        <w:spacing w:after="0" w:line="240" w:lineRule="auto"/>
        <w:jc w:val="both"/>
        <w:rPr>
          <w:rFonts w:ascii="Arial" w:hAnsi="Arial" w:cs="Arial"/>
          <w:sz w:val="24"/>
          <w:szCs w:val="24"/>
        </w:rPr>
      </w:pPr>
      <w:r w:rsidRPr="00440193">
        <w:rPr>
          <w:rFonts w:ascii="Arial" w:hAnsi="Arial" w:cs="Arial"/>
          <w:sz w:val="24"/>
          <w:szCs w:val="24"/>
        </w:rPr>
        <w:t>Nine</w:t>
      </w:r>
      <w:r w:rsidR="00B35D60" w:rsidRPr="00440193">
        <w:rPr>
          <w:rFonts w:ascii="Arial" w:hAnsi="Arial" w:cs="Arial"/>
          <w:sz w:val="24"/>
          <w:szCs w:val="24"/>
        </w:rPr>
        <w:t xml:space="preserve"> pharmacies provided a total of </w:t>
      </w:r>
      <w:r w:rsidR="00DA5056" w:rsidRPr="00440193">
        <w:rPr>
          <w:rFonts w:ascii="Arial" w:hAnsi="Arial" w:cs="Arial"/>
          <w:sz w:val="24"/>
          <w:szCs w:val="24"/>
        </w:rPr>
        <w:t>75</w:t>
      </w:r>
      <w:r w:rsidRPr="00440193">
        <w:rPr>
          <w:rFonts w:ascii="Arial" w:hAnsi="Arial" w:cs="Arial"/>
          <w:sz w:val="24"/>
          <w:szCs w:val="24"/>
        </w:rPr>
        <w:t>0</w:t>
      </w:r>
      <w:r w:rsidR="00B35D60" w:rsidRPr="00440193">
        <w:rPr>
          <w:rFonts w:ascii="Arial" w:hAnsi="Arial" w:cs="Arial"/>
          <w:sz w:val="24"/>
          <w:szCs w:val="24"/>
        </w:rPr>
        <w:t xml:space="preserve"> flu vaccinations, with a range of </w:t>
      </w:r>
      <w:r w:rsidR="00533259" w:rsidRPr="00440193">
        <w:rPr>
          <w:rFonts w:ascii="Arial" w:hAnsi="Arial" w:cs="Arial"/>
          <w:sz w:val="24"/>
          <w:szCs w:val="24"/>
        </w:rPr>
        <w:t>eight</w:t>
      </w:r>
      <w:r w:rsidR="00B35D60" w:rsidRPr="00440193">
        <w:rPr>
          <w:rFonts w:ascii="Arial" w:hAnsi="Arial" w:cs="Arial"/>
          <w:sz w:val="24"/>
          <w:szCs w:val="24"/>
        </w:rPr>
        <w:t xml:space="preserve"> to </w:t>
      </w:r>
      <w:r w:rsidR="00533259" w:rsidRPr="00440193">
        <w:rPr>
          <w:rFonts w:ascii="Arial" w:hAnsi="Arial" w:cs="Arial"/>
          <w:sz w:val="24"/>
          <w:szCs w:val="24"/>
        </w:rPr>
        <w:t>185</w:t>
      </w:r>
      <w:r w:rsidR="00B35D60" w:rsidRPr="00440193">
        <w:rPr>
          <w:rFonts w:ascii="Arial" w:hAnsi="Arial" w:cs="Arial"/>
          <w:sz w:val="24"/>
          <w:szCs w:val="24"/>
        </w:rPr>
        <w:t xml:space="preserve"> vaccinations.</w:t>
      </w:r>
    </w:p>
    <w:p w14:paraId="41F1B0B6" w14:textId="6747CAA6" w:rsidR="00B35D60" w:rsidRPr="00440193" w:rsidRDefault="00B35D60" w:rsidP="00DC54F7">
      <w:pPr>
        <w:pStyle w:val="ListParagraph"/>
        <w:numPr>
          <w:ilvl w:val="0"/>
          <w:numId w:val="86"/>
        </w:numPr>
        <w:spacing w:after="0" w:line="240" w:lineRule="auto"/>
        <w:jc w:val="both"/>
        <w:rPr>
          <w:rFonts w:ascii="Arial" w:hAnsi="Arial" w:cs="Arial"/>
          <w:sz w:val="24"/>
          <w:szCs w:val="24"/>
        </w:rPr>
      </w:pPr>
      <w:r w:rsidRPr="00440193">
        <w:rPr>
          <w:rFonts w:ascii="Arial" w:hAnsi="Arial" w:cs="Arial"/>
          <w:sz w:val="24"/>
          <w:szCs w:val="24"/>
        </w:rPr>
        <w:t>1</w:t>
      </w:r>
      <w:r w:rsidR="00533259" w:rsidRPr="00440193">
        <w:rPr>
          <w:rFonts w:ascii="Arial" w:hAnsi="Arial" w:cs="Arial"/>
          <w:sz w:val="24"/>
          <w:szCs w:val="24"/>
        </w:rPr>
        <w:t>3</w:t>
      </w:r>
      <w:r w:rsidRPr="00440193">
        <w:rPr>
          <w:rFonts w:ascii="Arial" w:hAnsi="Arial" w:cs="Arial"/>
          <w:sz w:val="24"/>
          <w:szCs w:val="24"/>
        </w:rPr>
        <w:t xml:space="preserve"> pharmacies provided a total of </w:t>
      </w:r>
      <w:r w:rsidR="00533259" w:rsidRPr="00440193">
        <w:rPr>
          <w:rFonts w:ascii="Arial" w:hAnsi="Arial" w:cs="Arial"/>
          <w:sz w:val="24"/>
          <w:szCs w:val="24"/>
        </w:rPr>
        <w:t>466</w:t>
      </w:r>
      <w:r w:rsidRPr="00440193">
        <w:rPr>
          <w:rFonts w:ascii="Arial" w:hAnsi="Arial" w:cs="Arial"/>
          <w:sz w:val="24"/>
          <w:szCs w:val="24"/>
        </w:rPr>
        <w:t xml:space="preserve"> CAS consultations, with a range of </w:t>
      </w:r>
      <w:r w:rsidR="00533259" w:rsidRPr="00440193">
        <w:rPr>
          <w:rFonts w:ascii="Arial" w:hAnsi="Arial" w:cs="Arial"/>
          <w:sz w:val="24"/>
          <w:szCs w:val="24"/>
        </w:rPr>
        <w:t>one</w:t>
      </w:r>
      <w:r w:rsidRPr="00440193">
        <w:rPr>
          <w:rFonts w:ascii="Arial" w:hAnsi="Arial" w:cs="Arial"/>
          <w:sz w:val="24"/>
          <w:szCs w:val="24"/>
        </w:rPr>
        <w:t xml:space="preserve"> to </w:t>
      </w:r>
      <w:r w:rsidR="00533259" w:rsidRPr="00440193">
        <w:rPr>
          <w:rFonts w:ascii="Arial" w:hAnsi="Arial" w:cs="Arial"/>
          <w:sz w:val="24"/>
          <w:szCs w:val="24"/>
        </w:rPr>
        <w:t>187</w:t>
      </w:r>
      <w:r w:rsidRPr="00440193">
        <w:rPr>
          <w:rFonts w:ascii="Arial" w:hAnsi="Arial" w:cs="Arial"/>
          <w:sz w:val="24"/>
          <w:szCs w:val="24"/>
        </w:rPr>
        <w:t xml:space="preserve"> consultations.</w:t>
      </w:r>
    </w:p>
    <w:p w14:paraId="27F6254F" w14:textId="2C46B14D" w:rsidR="0063382E" w:rsidRPr="00440193" w:rsidRDefault="00533259" w:rsidP="00DC54F7">
      <w:pPr>
        <w:pStyle w:val="ListParagraph"/>
        <w:numPr>
          <w:ilvl w:val="0"/>
          <w:numId w:val="86"/>
        </w:numPr>
        <w:spacing w:after="0" w:line="240" w:lineRule="auto"/>
        <w:jc w:val="both"/>
        <w:rPr>
          <w:rFonts w:ascii="Arial" w:hAnsi="Arial" w:cs="Arial"/>
          <w:sz w:val="24"/>
          <w:szCs w:val="24"/>
          <w:lang w:val="en-US"/>
        </w:rPr>
      </w:pPr>
      <w:r w:rsidRPr="00440193">
        <w:rPr>
          <w:rFonts w:ascii="Arial" w:hAnsi="Arial" w:cs="Arial"/>
          <w:sz w:val="24"/>
          <w:szCs w:val="24"/>
        </w:rPr>
        <w:t>Three</w:t>
      </w:r>
      <w:r w:rsidR="00B35D60" w:rsidRPr="00440193">
        <w:rPr>
          <w:rFonts w:ascii="Arial" w:hAnsi="Arial" w:cs="Arial"/>
          <w:sz w:val="24"/>
          <w:szCs w:val="24"/>
        </w:rPr>
        <w:t xml:space="preserve"> pharmacies provided a total of </w:t>
      </w:r>
      <w:r w:rsidRPr="00440193">
        <w:rPr>
          <w:rFonts w:ascii="Arial" w:hAnsi="Arial" w:cs="Arial"/>
          <w:sz w:val="24"/>
          <w:szCs w:val="24"/>
        </w:rPr>
        <w:t>10</w:t>
      </w:r>
      <w:r w:rsidR="00B35D60" w:rsidRPr="00440193">
        <w:rPr>
          <w:rFonts w:ascii="Arial" w:hAnsi="Arial" w:cs="Arial"/>
          <w:sz w:val="24"/>
          <w:szCs w:val="24"/>
        </w:rPr>
        <w:t xml:space="preserve"> EMS consultations, with a range of one to </w:t>
      </w:r>
      <w:r w:rsidR="00552504" w:rsidRPr="00440193">
        <w:rPr>
          <w:rFonts w:ascii="Arial" w:hAnsi="Arial" w:cs="Arial"/>
          <w:sz w:val="24"/>
          <w:szCs w:val="24"/>
        </w:rPr>
        <w:t>seven</w:t>
      </w:r>
      <w:r w:rsidR="00B35D60" w:rsidRPr="00440193">
        <w:rPr>
          <w:rFonts w:ascii="Arial" w:hAnsi="Arial" w:cs="Arial"/>
          <w:sz w:val="24"/>
          <w:szCs w:val="24"/>
        </w:rPr>
        <w:t xml:space="preserve"> consultations</w:t>
      </w:r>
      <w:r w:rsidR="00552504" w:rsidRPr="00440193">
        <w:rPr>
          <w:rFonts w:ascii="Arial" w:hAnsi="Arial" w:cs="Arial"/>
          <w:sz w:val="24"/>
          <w:szCs w:val="24"/>
        </w:rPr>
        <w:t>.</w:t>
      </w:r>
    </w:p>
    <w:p w14:paraId="3AB3E24D" w14:textId="77777777" w:rsidR="0025153E" w:rsidRDefault="0025153E" w:rsidP="00DC54F7">
      <w:pPr>
        <w:pStyle w:val="ListParagraph"/>
        <w:spacing w:after="0" w:line="240" w:lineRule="auto"/>
        <w:ind w:left="360"/>
        <w:jc w:val="both"/>
        <w:rPr>
          <w:rFonts w:ascii="Arial" w:hAnsi="Arial" w:cs="Arial"/>
        </w:rPr>
      </w:pPr>
    </w:p>
    <w:p w14:paraId="7EB2DAC1" w14:textId="2D6BE606" w:rsidR="0025153E" w:rsidRPr="00455D94" w:rsidRDefault="0025153E" w:rsidP="00DC54F7">
      <w:pPr>
        <w:spacing w:after="0" w:line="240" w:lineRule="auto"/>
        <w:jc w:val="both"/>
        <w:rPr>
          <w:rFonts w:ascii="Arial" w:hAnsi="Arial" w:cs="Arial"/>
          <w:sz w:val="24"/>
          <w:szCs w:val="24"/>
        </w:rPr>
      </w:pPr>
      <w:r w:rsidRPr="00455D94">
        <w:rPr>
          <w:rFonts w:ascii="Arial" w:hAnsi="Arial" w:cs="Arial"/>
          <w:sz w:val="24"/>
          <w:szCs w:val="24"/>
        </w:rPr>
        <w:lastRenderedPageBreak/>
        <w:t>Other enhanced services included:</w:t>
      </w:r>
    </w:p>
    <w:p w14:paraId="1F644FF8" w14:textId="253E853A" w:rsidR="00496F9D" w:rsidRPr="00455D94" w:rsidRDefault="00496F9D" w:rsidP="00DC54F7">
      <w:pPr>
        <w:pStyle w:val="ListParagraph"/>
        <w:numPr>
          <w:ilvl w:val="0"/>
          <w:numId w:val="196"/>
        </w:numPr>
        <w:spacing w:after="0" w:line="240" w:lineRule="auto"/>
        <w:jc w:val="both"/>
        <w:rPr>
          <w:rFonts w:ascii="Arial" w:hAnsi="Arial" w:cs="Arial"/>
          <w:color w:val="000000"/>
          <w:sz w:val="24"/>
          <w:szCs w:val="24"/>
        </w:rPr>
      </w:pPr>
      <w:r w:rsidRPr="00455D94">
        <w:rPr>
          <w:rFonts w:ascii="Arial" w:hAnsi="Arial" w:cs="Arial"/>
          <w:sz w:val="24"/>
          <w:szCs w:val="24"/>
        </w:rPr>
        <w:t xml:space="preserve">Six pharmacies provided the </w:t>
      </w:r>
      <w:bookmarkStart w:id="48" w:name="_Hlk70176089"/>
      <w:r w:rsidR="00AA1EE8" w:rsidRPr="00455D94">
        <w:rPr>
          <w:rFonts w:ascii="Arial" w:hAnsi="Arial" w:cs="Arial"/>
          <w:color w:val="000000"/>
          <w:sz w:val="24"/>
          <w:szCs w:val="24"/>
        </w:rPr>
        <w:t>Supervised Administration of Medicines Enhanced Service</w:t>
      </w:r>
      <w:bookmarkEnd w:id="48"/>
      <w:r w:rsidR="00AA1EE8" w:rsidRPr="00455D94">
        <w:rPr>
          <w:rFonts w:ascii="Arial" w:hAnsi="Arial" w:cs="Arial"/>
          <w:color w:val="000000"/>
          <w:sz w:val="24"/>
          <w:szCs w:val="24"/>
        </w:rPr>
        <w:t>.</w:t>
      </w:r>
    </w:p>
    <w:p w14:paraId="2E7F1C5E" w14:textId="79F1BC51" w:rsidR="0025153E" w:rsidRPr="00455D94" w:rsidRDefault="0025153E" w:rsidP="00DC54F7">
      <w:pPr>
        <w:pStyle w:val="ListParagraph"/>
        <w:numPr>
          <w:ilvl w:val="0"/>
          <w:numId w:val="154"/>
        </w:numPr>
        <w:spacing w:after="0" w:line="240" w:lineRule="auto"/>
        <w:jc w:val="both"/>
        <w:rPr>
          <w:rFonts w:ascii="Arial" w:hAnsi="Arial" w:cs="Arial"/>
          <w:sz w:val="24"/>
          <w:szCs w:val="24"/>
        </w:rPr>
      </w:pPr>
      <w:r w:rsidRPr="00455D94">
        <w:rPr>
          <w:rFonts w:ascii="Arial" w:hAnsi="Arial" w:cs="Arial"/>
          <w:sz w:val="24"/>
          <w:szCs w:val="24"/>
        </w:rPr>
        <w:t xml:space="preserve">Two pharmacies provided the </w:t>
      </w:r>
      <w:r w:rsidR="00874A36" w:rsidRPr="00455D94">
        <w:rPr>
          <w:rFonts w:ascii="Arial" w:hAnsi="Arial" w:cs="Arial"/>
          <w:sz w:val="24"/>
          <w:szCs w:val="24"/>
        </w:rPr>
        <w:t>P</w:t>
      </w:r>
      <w:r w:rsidRPr="00455D94">
        <w:rPr>
          <w:rFonts w:ascii="Arial" w:hAnsi="Arial" w:cs="Arial"/>
          <w:sz w:val="24"/>
          <w:szCs w:val="24"/>
        </w:rPr>
        <w:t xml:space="preserve">alliative </w:t>
      </w:r>
      <w:r w:rsidR="00874A36" w:rsidRPr="00455D94">
        <w:rPr>
          <w:rFonts w:ascii="Arial" w:hAnsi="Arial" w:cs="Arial"/>
          <w:sz w:val="24"/>
          <w:szCs w:val="24"/>
        </w:rPr>
        <w:t>C</w:t>
      </w:r>
      <w:r w:rsidRPr="00455D94">
        <w:rPr>
          <w:rFonts w:ascii="Arial" w:hAnsi="Arial" w:cs="Arial"/>
          <w:sz w:val="24"/>
          <w:szCs w:val="24"/>
        </w:rPr>
        <w:t xml:space="preserve">are </w:t>
      </w:r>
      <w:r w:rsidR="00874A36" w:rsidRPr="00455D94">
        <w:rPr>
          <w:rFonts w:ascii="Arial" w:hAnsi="Arial" w:cs="Arial"/>
          <w:sz w:val="24"/>
          <w:szCs w:val="24"/>
        </w:rPr>
        <w:t xml:space="preserve">Enhanced </w:t>
      </w:r>
      <w:r w:rsidR="006538F0" w:rsidRPr="00455D94">
        <w:rPr>
          <w:rFonts w:ascii="Arial" w:hAnsi="Arial" w:cs="Arial"/>
          <w:sz w:val="24"/>
          <w:szCs w:val="24"/>
        </w:rPr>
        <w:t>S</w:t>
      </w:r>
      <w:r w:rsidRPr="00455D94">
        <w:rPr>
          <w:rFonts w:ascii="Arial" w:hAnsi="Arial" w:cs="Arial"/>
          <w:sz w:val="24"/>
          <w:szCs w:val="24"/>
        </w:rPr>
        <w:t>ervice</w:t>
      </w:r>
      <w:r w:rsidR="00AA1EE8" w:rsidRPr="00455D94">
        <w:rPr>
          <w:rFonts w:ascii="Arial" w:hAnsi="Arial" w:cs="Arial"/>
          <w:sz w:val="24"/>
          <w:szCs w:val="24"/>
        </w:rPr>
        <w:t>.</w:t>
      </w:r>
    </w:p>
    <w:p w14:paraId="2F0C996F" w14:textId="77777777" w:rsidR="0025153E" w:rsidRPr="0025153E" w:rsidRDefault="0025153E" w:rsidP="00DC54F7">
      <w:pPr>
        <w:spacing w:after="0" w:line="240" w:lineRule="auto"/>
        <w:jc w:val="both"/>
        <w:rPr>
          <w:rFonts w:ascii="Arial" w:hAnsi="Arial" w:cs="Arial"/>
          <w:lang w:val="en-US"/>
        </w:rPr>
      </w:pPr>
    </w:p>
    <w:p w14:paraId="0CE69D1C" w14:textId="77777777" w:rsidR="0063382E" w:rsidRPr="00A10850" w:rsidRDefault="0063382E" w:rsidP="00DC54F7">
      <w:pPr>
        <w:spacing w:after="0" w:line="240" w:lineRule="auto"/>
        <w:jc w:val="both"/>
        <w:rPr>
          <w:rFonts w:ascii="Arial" w:hAnsi="Arial" w:cs="Arial"/>
        </w:rPr>
      </w:pPr>
    </w:p>
    <w:p w14:paraId="0625F399" w14:textId="14D3300F" w:rsidR="0063382E" w:rsidRPr="00D10889" w:rsidRDefault="00CB0DF6" w:rsidP="00DC54F7">
      <w:pPr>
        <w:spacing w:after="0" w:line="240" w:lineRule="auto"/>
        <w:jc w:val="both"/>
        <w:rPr>
          <w:rFonts w:ascii="Arial" w:hAnsi="Arial" w:cs="Arial"/>
          <w:b/>
          <w:sz w:val="24"/>
          <w:szCs w:val="24"/>
          <w:lang w:val="en-US"/>
        </w:rPr>
      </w:pPr>
      <w:r>
        <w:rPr>
          <w:rFonts w:ascii="Arial" w:hAnsi="Arial" w:cs="Arial"/>
          <w:b/>
          <w:sz w:val="26"/>
          <w:szCs w:val="26"/>
          <w:lang w:val="en-US"/>
        </w:rPr>
        <w:t>13</w:t>
      </w:r>
      <w:r w:rsidR="0063382E" w:rsidRPr="00A10850">
        <w:rPr>
          <w:rFonts w:ascii="Arial" w:hAnsi="Arial" w:cs="Arial"/>
          <w:b/>
          <w:sz w:val="26"/>
          <w:szCs w:val="26"/>
          <w:lang w:val="en-US"/>
        </w:rPr>
        <w:t xml:space="preserve">.3 </w:t>
      </w:r>
      <w:r w:rsidR="0063382E" w:rsidRPr="00D10889">
        <w:rPr>
          <w:rFonts w:ascii="Arial" w:hAnsi="Arial" w:cs="Arial"/>
          <w:b/>
          <w:sz w:val="24"/>
          <w:szCs w:val="24"/>
          <w:lang w:val="en-US"/>
        </w:rPr>
        <w:t xml:space="preserve">Current provision of pharmaceutical services outside the </w:t>
      </w:r>
      <w:r w:rsidR="00146893" w:rsidRPr="00D10889">
        <w:rPr>
          <w:rFonts w:ascii="Arial" w:hAnsi="Arial" w:cs="Arial"/>
          <w:b/>
          <w:sz w:val="24"/>
          <w:szCs w:val="24"/>
          <w:lang w:val="en-US"/>
        </w:rPr>
        <w:t>cluster</w:t>
      </w:r>
    </w:p>
    <w:p w14:paraId="5D33768C" w14:textId="347846B8" w:rsidR="0063382E" w:rsidRPr="00D10889" w:rsidRDefault="0063382E" w:rsidP="00DC54F7">
      <w:pPr>
        <w:spacing w:after="0" w:line="240" w:lineRule="auto"/>
        <w:jc w:val="both"/>
        <w:rPr>
          <w:rFonts w:ascii="Arial" w:hAnsi="Arial" w:cs="Arial"/>
          <w:sz w:val="24"/>
          <w:szCs w:val="24"/>
          <w:lang w:val="en-US"/>
        </w:rPr>
      </w:pPr>
    </w:p>
    <w:p w14:paraId="0C593A3C" w14:textId="77777777" w:rsidR="002E4CE4" w:rsidRPr="00AA1EE8" w:rsidRDefault="002E4CE4" w:rsidP="00DC54F7">
      <w:pPr>
        <w:spacing w:after="0" w:line="240" w:lineRule="auto"/>
        <w:jc w:val="both"/>
        <w:rPr>
          <w:rFonts w:ascii="Arial" w:hAnsi="Arial" w:cs="Arial"/>
          <w:sz w:val="24"/>
          <w:szCs w:val="24"/>
          <w:lang w:val="en-US"/>
        </w:rPr>
      </w:pPr>
      <w:r w:rsidRPr="00AA1EE8">
        <w:rPr>
          <w:rFonts w:ascii="Arial" w:hAnsi="Arial" w:cs="Arial"/>
          <w:sz w:val="24"/>
          <w:szCs w:val="24"/>
          <w:lang w:val="en-US"/>
        </w:rPr>
        <w:t>Some residents choose to access contractors outside both the cluster and the health board’s area in order to access services:</w:t>
      </w:r>
    </w:p>
    <w:p w14:paraId="561BB4A9" w14:textId="77777777" w:rsidR="002E4CE4" w:rsidRPr="00AA1EE8" w:rsidRDefault="002E4CE4" w:rsidP="00DC54F7">
      <w:pPr>
        <w:spacing w:after="0" w:line="240" w:lineRule="auto"/>
        <w:jc w:val="both"/>
        <w:rPr>
          <w:rFonts w:ascii="Arial" w:hAnsi="Arial" w:cs="Arial"/>
          <w:sz w:val="24"/>
          <w:szCs w:val="24"/>
          <w:lang w:val="en-US"/>
        </w:rPr>
      </w:pPr>
    </w:p>
    <w:p w14:paraId="7FEE9F51" w14:textId="282C7EFA" w:rsidR="002E4CE4" w:rsidRPr="00AA1EE8" w:rsidRDefault="00573DCE" w:rsidP="00DC54F7">
      <w:pPr>
        <w:numPr>
          <w:ilvl w:val="0"/>
          <w:numId w:val="49"/>
        </w:numPr>
        <w:spacing w:after="0" w:line="240" w:lineRule="auto"/>
        <w:jc w:val="both"/>
        <w:rPr>
          <w:rFonts w:ascii="Arial" w:hAnsi="Arial" w:cs="Arial"/>
          <w:sz w:val="24"/>
          <w:szCs w:val="24"/>
          <w:lang w:val="en-US"/>
        </w:rPr>
      </w:pPr>
      <w:r w:rsidRPr="00AA1EE8">
        <w:rPr>
          <w:rFonts w:ascii="Arial" w:hAnsi="Arial" w:cs="Arial"/>
          <w:sz w:val="24"/>
          <w:szCs w:val="24"/>
          <w:lang w:val="en-US"/>
        </w:rPr>
        <w:t>Offered by dispensing appliance contractors.</w:t>
      </w:r>
    </w:p>
    <w:p w14:paraId="0062E429" w14:textId="77777777" w:rsidR="002E4CE4" w:rsidRPr="00AA1EE8" w:rsidRDefault="002E4CE4" w:rsidP="00DC54F7">
      <w:pPr>
        <w:numPr>
          <w:ilvl w:val="0"/>
          <w:numId w:val="49"/>
        </w:numPr>
        <w:spacing w:after="0" w:line="240" w:lineRule="auto"/>
        <w:jc w:val="both"/>
        <w:rPr>
          <w:rFonts w:ascii="Arial" w:hAnsi="Arial" w:cs="Arial"/>
          <w:sz w:val="24"/>
          <w:szCs w:val="24"/>
          <w:lang w:val="en-US"/>
        </w:rPr>
      </w:pPr>
      <w:r w:rsidRPr="00AA1EE8">
        <w:rPr>
          <w:rFonts w:ascii="Arial" w:hAnsi="Arial" w:cs="Arial"/>
          <w:sz w:val="24"/>
          <w:szCs w:val="24"/>
          <w:lang w:val="en-US"/>
        </w:rPr>
        <w:t>Which are located near to where they work, shop or visit for leisure or other purposes.</w:t>
      </w:r>
    </w:p>
    <w:p w14:paraId="6CD7A493" w14:textId="77777777" w:rsidR="002E4CE4" w:rsidRPr="00AA1EE8" w:rsidRDefault="002E4CE4" w:rsidP="00DC54F7">
      <w:pPr>
        <w:spacing w:after="0" w:line="240" w:lineRule="auto"/>
        <w:jc w:val="both"/>
        <w:rPr>
          <w:rFonts w:ascii="Arial" w:hAnsi="Arial" w:cs="Arial"/>
          <w:sz w:val="24"/>
          <w:szCs w:val="24"/>
          <w:lang w:val="en-US"/>
        </w:rPr>
      </w:pPr>
    </w:p>
    <w:p w14:paraId="27D197A3" w14:textId="2F56B077" w:rsidR="002E4CE4" w:rsidRPr="00AA1EE8" w:rsidRDefault="002E4CE4" w:rsidP="00DC54F7">
      <w:pPr>
        <w:shd w:val="clear" w:color="auto" w:fill="FFFFFF"/>
        <w:spacing w:after="0" w:line="240" w:lineRule="auto"/>
        <w:jc w:val="both"/>
        <w:rPr>
          <w:rFonts w:ascii="Arial" w:hAnsi="Arial" w:cs="Arial"/>
          <w:color w:val="000000" w:themeColor="text1"/>
          <w:sz w:val="24"/>
          <w:szCs w:val="24"/>
        </w:rPr>
      </w:pPr>
      <w:r w:rsidRPr="00AA1EE8">
        <w:rPr>
          <w:rFonts w:ascii="Arial" w:hAnsi="Arial" w:cs="Arial"/>
          <w:color w:val="000000" w:themeColor="text1"/>
          <w:sz w:val="24"/>
          <w:szCs w:val="24"/>
        </w:rPr>
        <w:t>Whilst the majority of prescriptions written by the GP practices in 2019 to 2020 were dispensed by the pharmacies in the cluster, around 1</w:t>
      </w:r>
      <w:r w:rsidR="00C603B5">
        <w:rPr>
          <w:rFonts w:ascii="Arial" w:hAnsi="Arial" w:cs="Arial"/>
          <w:color w:val="000000" w:themeColor="text1"/>
          <w:sz w:val="24"/>
          <w:szCs w:val="24"/>
        </w:rPr>
        <w:t>5</w:t>
      </w:r>
      <w:r w:rsidRPr="00AA1EE8">
        <w:rPr>
          <w:rFonts w:ascii="Arial" w:hAnsi="Arial" w:cs="Arial"/>
          <w:color w:val="000000" w:themeColor="text1"/>
          <w:sz w:val="24"/>
          <w:szCs w:val="24"/>
        </w:rPr>
        <w:t>.</w:t>
      </w:r>
      <w:r w:rsidR="0003156D" w:rsidRPr="00AA1EE8">
        <w:rPr>
          <w:rFonts w:ascii="Arial" w:hAnsi="Arial" w:cs="Arial"/>
          <w:color w:val="000000" w:themeColor="text1"/>
          <w:sz w:val="24"/>
          <w:szCs w:val="24"/>
        </w:rPr>
        <w:t>6</w:t>
      </w:r>
      <w:r w:rsidRPr="00AA1EE8">
        <w:rPr>
          <w:rFonts w:ascii="Arial" w:hAnsi="Arial" w:cs="Arial"/>
          <w:color w:val="000000" w:themeColor="text1"/>
          <w:sz w:val="24"/>
          <w:szCs w:val="24"/>
        </w:rPr>
        <w:t>% were dispensed outside the cluster, most notably:</w:t>
      </w:r>
    </w:p>
    <w:p w14:paraId="2EB31039" w14:textId="77777777" w:rsidR="002E4CE4" w:rsidRPr="00AA1EE8" w:rsidRDefault="002E4CE4" w:rsidP="00DC54F7">
      <w:pPr>
        <w:shd w:val="clear" w:color="auto" w:fill="FFFFFF"/>
        <w:spacing w:after="0"/>
        <w:jc w:val="both"/>
        <w:rPr>
          <w:rFonts w:ascii="Arial" w:hAnsi="Arial" w:cs="Arial"/>
          <w:color w:val="000000"/>
          <w:sz w:val="24"/>
          <w:szCs w:val="24"/>
        </w:rPr>
      </w:pPr>
    </w:p>
    <w:p w14:paraId="2682238A" w14:textId="715E2BF1" w:rsidR="002E4CE4" w:rsidRPr="00AA1EE8" w:rsidRDefault="00650011"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AA1EE8">
        <w:rPr>
          <w:rFonts w:ascii="Arial" w:hAnsi="Arial" w:cs="Arial"/>
          <w:color w:val="000000" w:themeColor="text1"/>
          <w:sz w:val="24"/>
          <w:szCs w:val="24"/>
        </w:rPr>
        <w:t>4</w:t>
      </w:r>
      <w:r w:rsidR="002E4CE4" w:rsidRPr="00AA1EE8">
        <w:rPr>
          <w:rFonts w:ascii="Arial" w:hAnsi="Arial" w:cs="Arial"/>
          <w:color w:val="000000" w:themeColor="text1"/>
          <w:sz w:val="24"/>
          <w:szCs w:val="24"/>
        </w:rPr>
        <w:t>.</w:t>
      </w:r>
      <w:r w:rsidRPr="00AA1EE8">
        <w:rPr>
          <w:rFonts w:ascii="Arial" w:hAnsi="Arial" w:cs="Arial"/>
          <w:color w:val="000000" w:themeColor="text1"/>
          <w:sz w:val="24"/>
          <w:szCs w:val="24"/>
        </w:rPr>
        <w:t>0</w:t>
      </w:r>
      <w:r w:rsidR="002E4CE4" w:rsidRPr="00AA1EE8">
        <w:rPr>
          <w:rFonts w:ascii="Arial" w:hAnsi="Arial" w:cs="Arial"/>
          <w:color w:val="000000" w:themeColor="text1"/>
          <w:sz w:val="24"/>
          <w:szCs w:val="24"/>
        </w:rPr>
        <w:t>% by pharmacies in Cardiff North cluster</w:t>
      </w:r>
    </w:p>
    <w:p w14:paraId="699A2DE3" w14:textId="1AD9EE42" w:rsidR="002E4CE4" w:rsidRPr="00AA1EE8" w:rsidRDefault="00650011"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AA1EE8">
        <w:rPr>
          <w:rFonts w:ascii="Arial" w:hAnsi="Arial" w:cs="Arial"/>
          <w:color w:val="000000" w:themeColor="text1"/>
          <w:sz w:val="24"/>
          <w:szCs w:val="24"/>
        </w:rPr>
        <w:t>3</w:t>
      </w:r>
      <w:r w:rsidR="002E4CE4" w:rsidRPr="00AA1EE8">
        <w:rPr>
          <w:rFonts w:ascii="Arial" w:hAnsi="Arial" w:cs="Arial"/>
          <w:color w:val="000000" w:themeColor="text1"/>
          <w:sz w:val="24"/>
          <w:szCs w:val="24"/>
        </w:rPr>
        <w:t>.</w:t>
      </w:r>
      <w:r w:rsidRPr="00AA1EE8">
        <w:rPr>
          <w:rFonts w:ascii="Arial" w:hAnsi="Arial" w:cs="Arial"/>
          <w:color w:val="000000" w:themeColor="text1"/>
          <w:sz w:val="24"/>
          <w:szCs w:val="24"/>
        </w:rPr>
        <w:t>2</w:t>
      </w:r>
      <w:r w:rsidR="002E4CE4" w:rsidRPr="00AA1EE8">
        <w:rPr>
          <w:rFonts w:ascii="Arial" w:hAnsi="Arial" w:cs="Arial"/>
          <w:color w:val="000000" w:themeColor="text1"/>
          <w:sz w:val="24"/>
          <w:szCs w:val="24"/>
        </w:rPr>
        <w:t>% by pharmacies in Cardiff South East cluster</w:t>
      </w:r>
    </w:p>
    <w:p w14:paraId="5ADF459D" w14:textId="5B0FEFF9" w:rsidR="002E4CE4" w:rsidRPr="00AA1EE8" w:rsidRDefault="002E4CE4"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AA1EE8">
        <w:rPr>
          <w:rFonts w:ascii="Arial" w:hAnsi="Arial" w:cs="Arial"/>
          <w:color w:val="000000" w:themeColor="text1"/>
          <w:sz w:val="24"/>
          <w:szCs w:val="24"/>
        </w:rPr>
        <w:t>3.</w:t>
      </w:r>
      <w:r w:rsidR="00650011" w:rsidRPr="00AA1EE8">
        <w:rPr>
          <w:rFonts w:ascii="Arial" w:hAnsi="Arial" w:cs="Arial"/>
          <w:color w:val="000000" w:themeColor="text1"/>
          <w:sz w:val="24"/>
          <w:szCs w:val="24"/>
        </w:rPr>
        <w:t>3</w:t>
      </w:r>
      <w:r w:rsidRPr="00AA1EE8">
        <w:rPr>
          <w:rFonts w:ascii="Arial" w:hAnsi="Arial" w:cs="Arial"/>
          <w:color w:val="000000" w:themeColor="text1"/>
          <w:sz w:val="24"/>
          <w:szCs w:val="24"/>
        </w:rPr>
        <w:t>% by pharmacies in Cardiff City &amp; South cluster</w:t>
      </w:r>
    </w:p>
    <w:p w14:paraId="0AA6903C" w14:textId="5D581B5F" w:rsidR="002E4CE4" w:rsidRPr="00AA1EE8" w:rsidRDefault="00650011"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AA1EE8">
        <w:rPr>
          <w:rFonts w:ascii="Arial" w:hAnsi="Arial" w:cs="Arial"/>
          <w:color w:val="000000" w:themeColor="text1"/>
          <w:sz w:val="24"/>
          <w:szCs w:val="24"/>
        </w:rPr>
        <w:t>1</w:t>
      </w:r>
      <w:r w:rsidR="002E4CE4" w:rsidRPr="00AA1EE8">
        <w:rPr>
          <w:rFonts w:ascii="Arial" w:hAnsi="Arial" w:cs="Arial"/>
          <w:color w:val="000000" w:themeColor="text1"/>
          <w:sz w:val="24"/>
          <w:szCs w:val="24"/>
        </w:rPr>
        <w:t>.</w:t>
      </w:r>
      <w:r w:rsidR="00533776" w:rsidRPr="00AA1EE8">
        <w:rPr>
          <w:rFonts w:ascii="Arial" w:hAnsi="Arial" w:cs="Arial"/>
          <w:color w:val="000000" w:themeColor="text1"/>
          <w:sz w:val="24"/>
          <w:szCs w:val="24"/>
        </w:rPr>
        <w:t>7</w:t>
      </w:r>
      <w:r w:rsidR="002E4CE4" w:rsidRPr="00AA1EE8">
        <w:rPr>
          <w:rFonts w:ascii="Arial" w:hAnsi="Arial" w:cs="Arial"/>
          <w:color w:val="000000" w:themeColor="text1"/>
          <w:sz w:val="24"/>
          <w:szCs w:val="24"/>
        </w:rPr>
        <w:t>% by pharmacies in Cardiff South West cluster</w:t>
      </w:r>
    </w:p>
    <w:p w14:paraId="181F0606" w14:textId="58B37CBF" w:rsidR="00533776" w:rsidRPr="00AA1EE8" w:rsidRDefault="001E75A7"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AA1EE8">
        <w:rPr>
          <w:rFonts w:ascii="Arial" w:hAnsi="Arial" w:cs="Arial"/>
          <w:color w:val="000000" w:themeColor="text1"/>
          <w:sz w:val="24"/>
          <w:szCs w:val="24"/>
        </w:rPr>
        <w:t>0.1% by pharmacies in Cardiff East cluster</w:t>
      </w:r>
    </w:p>
    <w:p w14:paraId="32F816DA" w14:textId="3C58BCD6" w:rsidR="002E4CE4" w:rsidRPr="00AA1EE8" w:rsidRDefault="00D57597"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AA1EE8">
        <w:rPr>
          <w:rFonts w:ascii="Arial" w:hAnsi="Arial" w:cs="Arial"/>
          <w:color w:val="000000" w:themeColor="text1"/>
          <w:sz w:val="24"/>
          <w:szCs w:val="24"/>
        </w:rPr>
        <w:t>1</w:t>
      </w:r>
      <w:r w:rsidR="002E4CE4" w:rsidRPr="00AA1EE8">
        <w:rPr>
          <w:rFonts w:ascii="Arial" w:hAnsi="Arial" w:cs="Arial"/>
          <w:color w:val="000000" w:themeColor="text1"/>
          <w:sz w:val="24"/>
          <w:szCs w:val="24"/>
        </w:rPr>
        <w:t>.</w:t>
      </w:r>
      <w:r w:rsidRPr="00AA1EE8">
        <w:rPr>
          <w:rFonts w:ascii="Arial" w:hAnsi="Arial" w:cs="Arial"/>
          <w:color w:val="000000" w:themeColor="text1"/>
          <w:sz w:val="24"/>
          <w:szCs w:val="24"/>
        </w:rPr>
        <w:t>2</w:t>
      </w:r>
      <w:r w:rsidR="002E4CE4" w:rsidRPr="00AA1EE8">
        <w:rPr>
          <w:rFonts w:ascii="Arial" w:hAnsi="Arial" w:cs="Arial"/>
          <w:color w:val="000000" w:themeColor="text1"/>
          <w:sz w:val="24"/>
          <w:szCs w:val="24"/>
        </w:rPr>
        <w:t>% in Aneurin Bevan University Health Board</w:t>
      </w:r>
    </w:p>
    <w:p w14:paraId="729186DA" w14:textId="4FD0A9A7" w:rsidR="002E4CE4" w:rsidRPr="00AA1EE8" w:rsidRDefault="00D57597" w:rsidP="00DC54F7">
      <w:pPr>
        <w:pStyle w:val="ListParagraph"/>
        <w:numPr>
          <w:ilvl w:val="0"/>
          <w:numId w:val="143"/>
        </w:numPr>
        <w:spacing w:after="0" w:line="240" w:lineRule="auto"/>
        <w:jc w:val="both"/>
        <w:rPr>
          <w:rFonts w:ascii="Arial" w:eastAsia="Times New Roman" w:hAnsi="Arial" w:cs="Arial"/>
          <w:color w:val="000000"/>
          <w:sz w:val="24"/>
          <w:szCs w:val="24"/>
          <w:lang w:eastAsia="en-GB"/>
        </w:rPr>
      </w:pPr>
      <w:r w:rsidRPr="00AA1EE8">
        <w:rPr>
          <w:rFonts w:ascii="Arial" w:hAnsi="Arial" w:cs="Arial"/>
          <w:color w:val="000000" w:themeColor="text1"/>
          <w:sz w:val="24"/>
          <w:szCs w:val="24"/>
        </w:rPr>
        <w:t>1</w:t>
      </w:r>
      <w:r w:rsidR="002E4CE4" w:rsidRPr="00AA1EE8">
        <w:rPr>
          <w:rFonts w:ascii="Arial" w:hAnsi="Arial" w:cs="Arial"/>
          <w:color w:val="000000" w:themeColor="text1"/>
          <w:sz w:val="24"/>
          <w:szCs w:val="24"/>
        </w:rPr>
        <w:t xml:space="preserve">.2% in </w:t>
      </w:r>
      <w:r w:rsidR="002E4CE4" w:rsidRPr="00AA1EE8">
        <w:rPr>
          <w:rFonts w:ascii="Arial" w:eastAsia="Times New Roman" w:hAnsi="Arial" w:cs="Arial"/>
          <w:color w:val="000000"/>
          <w:sz w:val="24"/>
          <w:szCs w:val="24"/>
          <w:lang w:eastAsia="en-GB"/>
        </w:rPr>
        <w:t>Cwm Taf Morgannwg University Health Board</w:t>
      </w:r>
    </w:p>
    <w:p w14:paraId="53EF5B58" w14:textId="40249E33" w:rsidR="002E4CE4" w:rsidRPr="00AA1EE8" w:rsidRDefault="002E4CE4"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AA1EE8">
        <w:rPr>
          <w:rFonts w:ascii="Arial" w:hAnsi="Arial" w:cs="Arial"/>
          <w:color w:val="000000" w:themeColor="text1"/>
          <w:sz w:val="24"/>
          <w:szCs w:val="24"/>
        </w:rPr>
        <w:t>0.</w:t>
      </w:r>
      <w:r w:rsidR="00D57597" w:rsidRPr="00AA1EE8">
        <w:rPr>
          <w:rFonts w:ascii="Arial" w:hAnsi="Arial" w:cs="Arial"/>
          <w:color w:val="000000" w:themeColor="text1"/>
          <w:sz w:val="24"/>
          <w:szCs w:val="24"/>
        </w:rPr>
        <w:t>2</w:t>
      </w:r>
      <w:r w:rsidRPr="00AA1EE8">
        <w:rPr>
          <w:rFonts w:ascii="Arial" w:hAnsi="Arial" w:cs="Arial"/>
          <w:color w:val="000000" w:themeColor="text1"/>
          <w:sz w:val="24"/>
          <w:szCs w:val="24"/>
        </w:rPr>
        <w:t>% in Swansea Bay University Health Board</w:t>
      </w:r>
    </w:p>
    <w:p w14:paraId="20902C71" w14:textId="645ACDCE" w:rsidR="002E4CE4" w:rsidRPr="00AA1EE8" w:rsidRDefault="002E4CE4"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AA1EE8">
        <w:rPr>
          <w:rFonts w:ascii="Arial" w:hAnsi="Arial" w:cs="Arial"/>
          <w:color w:val="000000" w:themeColor="text1"/>
          <w:sz w:val="24"/>
          <w:szCs w:val="24"/>
        </w:rPr>
        <w:t>0.</w:t>
      </w:r>
      <w:r w:rsidR="00D57597" w:rsidRPr="00AA1EE8">
        <w:rPr>
          <w:rFonts w:ascii="Arial" w:hAnsi="Arial" w:cs="Arial"/>
          <w:color w:val="000000" w:themeColor="text1"/>
          <w:sz w:val="24"/>
          <w:szCs w:val="24"/>
        </w:rPr>
        <w:t>7</w:t>
      </w:r>
      <w:r w:rsidRPr="00AA1EE8">
        <w:rPr>
          <w:rFonts w:ascii="Arial" w:hAnsi="Arial" w:cs="Arial"/>
          <w:color w:val="000000" w:themeColor="text1"/>
          <w:sz w:val="24"/>
          <w:szCs w:val="24"/>
        </w:rPr>
        <w:t>% by contractors in England</w:t>
      </w:r>
    </w:p>
    <w:p w14:paraId="5605ACFD" w14:textId="77777777" w:rsidR="002E4CE4" w:rsidRPr="00AA1EE8" w:rsidRDefault="002E4CE4" w:rsidP="00DC54F7">
      <w:pPr>
        <w:shd w:val="clear" w:color="auto" w:fill="FFFFFF"/>
        <w:spacing w:after="0" w:line="240" w:lineRule="auto"/>
        <w:jc w:val="both"/>
        <w:rPr>
          <w:rFonts w:ascii="Arial" w:hAnsi="Arial" w:cs="Arial"/>
          <w:color w:val="000000" w:themeColor="text1"/>
          <w:sz w:val="24"/>
          <w:szCs w:val="24"/>
        </w:rPr>
      </w:pPr>
    </w:p>
    <w:p w14:paraId="131684C5" w14:textId="7490EE5D" w:rsidR="002E4CE4" w:rsidRPr="00AA1EE8" w:rsidRDefault="002E4CE4" w:rsidP="00DC54F7">
      <w:pPr>
        <w:shd w:val="clear" w:color="auto" w:fill="FFFFFF"/>
        <w:spacing w:after="0" w:line="240" w:lineRule="auto"/>
        <w:jc w:val="both"/>
        <w:rPr>
          <w:rFonts w:ascii="Arial" w:hAnsi="Arial" w:cs="Arial"/>
          <w:sz w:val="24"/>
          <w:szCs w:val="24"/>
        </w:rPr>
      </w:pPr>
      <w:r w:rsidRPr="00AA1EE8">
        <w:rPr>
          <w:rFonts w:ascii="Arial" w:hAnsi="Arial" w:cs="Arial"/>
          <w:sz w:val="24"/>
          <w:szCs w:val="24"/>
        </w:rPr>
        <w:t>In addition, residents may have accessed one or more pharmaceutical services provided by another pharmacy outside of both the cluster and the health board’s area; however, it is not possible to quantify this activity from the recorded data.</w:t>
      </w:r>
    </w:p>
    <w:p w14:paraId="61F0435E" w14:textId="77777777" w:rsidR="002E4CE4" w:rsidRPr="00AA1EE8" w:rsidRDefault="002E4CE4" w:rsidP="00DC54F7">
      <w:pPr>
        <w:shd w:val="clear" w:color="auto" w:fill="FFFFFF"/>
        <w:spacing w:after="0" w:line="240" w:lineRule="auto"/>
        <w:jc w:val="both"/>
        <w:rPr>
          <w:rFonts w:ascii="Arial" w:hAnsi="Arial" w:cs="Arial"/>
          <w:sz w:val="24"/>
          <w:szCs w:val="24"/>
        </w:rPr>
      </w:pPr>
      <w:r w:rsidRPr="00AA1EE8">
        <w:rPr>
          <w:rFonts w:ascii="Arial" w:hAnsi="Arial" w:cs="Arial"/>
          <w:sz w:val="24"/>
          <w:szCs w:val="24"/>
        </w:rPr>
        <w:t> </w:t>
      </w:r>
    </w:p>
    <w:p w14:paraId="59556A21" w14:textId="0EE6CEBA" w:rsidR="002E4CE4" w:rsidRPr="00AA1EE8" w:rsidRDefault="002E4CE4" w:rsidP="00DC54F7">
      <w:pPr>
        <w:spacing w:after="0" w:line="240" w:lineRule="auto"/>
        <w:jc w:val="both"/>
        <w:rPr>
          <w:rFonts w:ascii="Arial" w:hAnsi="Arial" w:cs="Arial"/>
          <w:sz w:val="24"/>
          <w:szCs w:val="24"/>
          <w:lang w:val="en-US"/>
        </w:rPr>
      </w:pPr>
      <w:r w:rsidRPr="00AA1EE8">
        <w:rPr>
          <w:rFonts w:ascii="Arial" w:hAnsi="Arial" w:cs="Arial"/>
          <w:sz w:val="24"/>
          <w:szCs w:val="24"/>
          <w:lang w:val="en-US"/>
        </w:rPr>
        <w:t xml:space="preserve">Taking into account pharmacies in the neighbouring clusters and pharmacies over the border in other health board areas in Wales, all residents in the cluster of Cardiff </w:t>
      </w:r>
      <w:r w:rsidR="00BF3EF9" w:rsidRPr="00AA1EE8">
        <w:rPr>
          <w:rFonts w:ascii="Arial" w:hAnsi="Arial" w:cs="Arial"/>
          <w:sz w:val="24"/>
          <w:szCs w:val="24"/>
          <w:lang w:val="en-US"/>
        </w:rPr>
        <w:t>West</w:t>
      </w:r>
      <w:r w:rsidRPr="00AA1EE8">
        <w:rPr>
          <w:rFonts w:ascii="Arial" w:hAnsi="Arial" w:cs="Arial"/>
          <w:sz w:val="24"/>
          <w:szCs w:val="24"/>
          <w:lang w:val="en-US"/>
        </w:rPr>
        <w:t xml:space="preserve"> can access a pharmacy by car within 10 minutes and the majority can access a pharmacy by car within five minutes. </w:t>
      </w:r>
    </w:p>
    <w:p w14:paraId="3CD54CEE" w14:textId="77777777" w:rsidR="002E4CE4" w:rsidRPr="00AA1EE8" w:rsidRDefault="002E4CE4" w:rsidP="00DC54F7">
      <w:pPr>
        <w:spacing w:after="0" w:line="240" w:lineRule="auto"/>
        <w:jc w:val="both"/>
        <w:rPr>
          <w:rFonts w:ascii="Arial" w:hAnsi="Arial" w:cs="Arial"/>
          <w:sz w:val="24"/>
          <w:szCs w:val="24"/>
          <w:lang w:val="en-US"/>
        </w:rPr>
      </w:pPr>
    </w:p>
    <w:p w14:paraId="1A57D099" w14:textId="77777777" w:rsidR="0063382E" w:rsidRPr="00A10850" w:rsidRDefault="0063382E" w:rsidP="00DC54F7">
      <w:pPr>
        <w:spacing w:after="0" w:line="240" w:lineRule="auto"/>
        <w:jc w:val="both"/>
        <w:rPr>
          <w:rFonts w:ascii="Arial" w:hAnsi="Arial" w:cs="Arial"/>
          <w:lang w:val="en-US"/>
        </w:rPr>
      </w:pPr>
    </w:p>
    <w:p w14:paraId="67D70042" w14:textId="18641F20" w:rsidR="0063382E" w:rsidRPr="00A10850" w:rsidRDefault="00CB0DF6" w:rsidP="00DC54F7">
      <w:pPr>
        <w:spacing w:after="0" w:line="240" w:lineRule="auto"/>
        <w:jc w:val="both"/>
        <w:rPr>
          <w:rFonts w:ascii="Arial" w:hAnsi="Arial" w:cs="Arial"/>
          <w:b/>
          <w:sz w:val="26"/>
          <w:szCs w:val="26"/>
          <w:lang w:val="en-US"/>
        </w:rPr>
      </w:pPr>
      <w:r>
        <w:rPr>
          <w:rFonts w:ascii="Arial" w:hAnsi="Arial" w:cs="Arial"/>
          <w:b/>
          <w:sz w:val="26"/>
          <w:szCs w:val="26"/>
          <w:lang w:val="en-US"/>
        </w:rPr>
        <w:t>13</w:t>
      </w:r>
      <w:r w:rsidR="0063382E" w:rsidRPr="00A10850">
        <w:rPr>
          <w:rFonts w:ascii="Arial" w:hAnsi="Arial" w:cs="Arial"/>
          <w:b/>
          <w:sz w:val="26"/>
          <w:szCs w:val="26"/>
          <w:lang w:val="en-US"/>
        </w:rPr>
        <w:t xml:space="preserve">.4 </w:t>
      </w:r>
      <w:r w:rsidR="0063382E" w:rsidRPr="00D10889">
        <w:rPr>
          <w:rFonts w:ascii="Arial" w:hAnsi="Arial" w:cs="Arial"/>
          <w:b/>
          <w:sz w:val="24"/>
          <w:szCs w:val="24"/>
          <w:lang w:val="en-US"/>
        </w:rPr>
        <w:t>Other NHS services</w:t>
      </w:r>
    </w:p>
    <w:p w14:paraId="3E31D33F" w14:textId="77777777" w:rsidR="0063382E" w:rsidRPr="00A10850" w:rsidRDefault="0063382E" w:rsidP="00DC54F7">
      <w:pPr>
        <w:spacing w:after="0" w:line="240" w:lineRule="auto"/>
        <w:jc w:val="both"/>
        <w:rPr>
          <w:rFonts w:ascii="Arial" w:hAnsi="Arial" w:cs="Arial"/>
          <w:lang w:val="en-US"/>
        </w:rPr>
      </w:pPr>
    </w:p>
    <w:p w14:paraId="2701BDC7" w14:textId="2B990FA7" w:rsidR="009B7D92" w:rsidRPr="00C603B5" w:rsidRDefault="009B7D92" w:rsidP="00DC54F7">
      <w:pPr>
        <w:spacing w:after="0" w:line="240" w:lineRule="auto"/>
        <w:jc w:val="both"/>
        <w:rPr>
          <w:rFonts w:ascii="Arial" w:hAnsi="Arial" w:cs="Arial"/>
          <w:bCs/>
          <w:sz w:val="24"/>
          <w:szCs w:val="24"/>
          <w:lang w:val="en-US"/>
        </w:rPr>
      </w:pPr>
      <w:r w:rsidRPr="00C603B5">
        <w:rPr>
          <w:rFonts w:ascii="Arial" w:hAnsi="Arial" w:cs="Arial"/>
          <w:bCs/>
          <w:sz w:val="24"/>
          <w:szCs w:val="24"/>
          <w:lang w:val="en-US"/>
        </w:rPr>
        <w:t>Rookwood Hospital is located within the cluster of Cardiff West. However, the hospital serves a much wider population than that of the cluster.</w:t>
      </w:r>
    </w:p>
    <w:p w14:paraId="4A9F2FB3" w14:textId="5BBE1A3F" w:rsidR="0063382E" w:rsidRPr="00C603B5" w:rsidRDefault="0063382E" w:rsidP="00DC54F7">
      <w:pPr>
        <w:spacing w:after="0" w:line="240" w:lineRule="auto"/>
        <w:jc w:val="both"/>
        <w:rPr>
          <w:rFonts w:ascii="Arial" w:hAnsi="Arial" w:cs="Arial"/>
          <w:sz w:val="24"/>
          <w:szCs w:val="24"/>
        </w:rPr>
      </w:pPr>
    </w:p>
    <w:p w14:paraId="0D719A9D" w14:textId="77777777" w:rsidR="00F57F1F" w:rsidRDefault="00F57F1F" w:rsidP="00DC54F7">
      <w:pPr>
        <w:spacing w:after="0" w:line="240" w:lineRule="auto"/>
        <w:jc w:val="both"/>
        <w:rPr>
          <w:rFonts w:ascii="Arial" w:hAnsi="Arial" w:cs="Arial"/>
          <w:b/>
          <w:sz w:val="26"/>
          <w:szCs w:val="26"/>
          <w:lang w:val="en-US"/>
        </w:rPr>
      </w:pPr>
    </w:p>
    <w:p w14:paraId="57F5D2AC" w14:textId="722841CF" w:rsidR="0063382E" w:rsidRPr="00D10889" w:rsidRDefault="00CB0DF6" w:rsidP="00DC54F7">
      <w:pPr>
        <w:spacing w:after="0" w:line="240" w:lineRule="auto"/>
        <w:jc w:val="both"/>
        <w:rPr>
          <w:rFonts w:ascii="Arial" w:hAnsi="Arial" w:cs="Arial"/>
          <w:b/>
          <w:sz w:val="24"/>
          <w:szCs w:val="24"/>
          <w:lang w:val="en-US"/>
        </w:rPr>
      </w:pPr>
      <w:r>
        <w:rPr>
          <w:rFonts w:ascii="Arial" w:hAnsi="Arial" w:cs="Arial"/>
          <w:b/>
          <w:sz w:val="26"/>
          <w:szCs w:val="26"/>
          <w:lang w:val="en-US"/>
        </w:rPr>
        <w:t>13</w:t>
      </w:r>
      <w:r w:rsidR="0063382E" w:rsidRPr="00A10850">
        <w:rPr>
          <w:rFonts w:ascii="Arial" w:hAnsi="Arial" w:cs="Arial"/>
          <w:b/>
          <w:sz w:val="26"/>
          <w:szCs w:val="26"/>
          <w:lang w:val="en-US"/>
        </w:rPr>
        <w:t xml:space="preserve">.5 </w:t>
      </w:r>
      <w:r w:rsidR="0063382E" w:rsidRPr="00D10889">
        <w:rPr>
          <w:rFonts w:ascii="Arial" w:hAnsi="Arial" w:cs="Arial"/>
          <w:b/>
          <w:sz w:val="24"/>
          <w:szCs w:val="24"/>
          <w:lang w:val="en-US"/>
        </w:rPr>
        <w:t>Choice with regard to obtaining pharmaceutical services</w:t>
      </w:r>
    </w:p>
    <w:p w14:paraId="0C9FF8DD" w14:textId="77777777" w:rsidR="0063382E" w:rsidRPr="00D10889" w:rsidRDefault="0063382E" w:rsidP="00DC54F7">
      <w:pPr>
        <w:spacing w:after="0" w:line="240" w:lineRule="auto"/>
        <w:jc w:val="both"/>
        <w:rPr>
          <w:rFonts w:ascii="Arial" w:hAnsi="Arial" w:cs="Arial"/>
          <w:sz w:val="24"/>
          <w:szCs w:val="24"/>
          <w:lang w:val="en-US"/>
        </w:rPr>
      </w:pPr>
    </w:p>
    <w:p w14:paraId="1E19BA72" w14:textId="3FE09EA6" w:rsidR="00E52AD3" w:rsidRPr="00C603B5" w:rsidRDefault="00E52AD3" w:rsidP="00DC54F7">
      <w:pPr>
        <w:spacing w:after="0" w:line="240" w:lineRule="auto"/>
        <w:jc w:val="both"/>
        <w:rPr>
          <w:rFonts w:ascii="Arial" w:hAnsi="Arial" w:cs="Arial"/>
          <w:sz w:val="24"/>
          <w:szCs w:val="24"/>
          <w:lang w:val="en-US"/>
        </w:rPr>
      </w:pPr>
      <w:r w:rsidRPr="00C603B5">
        <w:rPr>
          <w:rFonts w:ascii="Arial" w:hAnsi="Arial" w:cs="Arial"/>
          <w:sz w:val="24"/>
          <w:szCs w:val="24"/>
          <w:lang w:val="en-US"/>
        </w:rPr>
        <w:t xml:space="preserve">As can be seen from sections 13.2 and 13.3, those living within the cluster area and registered with one of the GP practices generally choose to access one of the </w:t>
      </w:r>
      <w:r w:rsidRPr="00C603B5">
        <w:rPr>
          <w:rFonts w:ascii="Arial" w:hAnsi="Arial" w:cs="Arial"/>
          <w:sz w:val="24"/>
          <w:szCs w:val="24"/>
          <w:lang w:val="en-US"/>
        </w:rPr>
        <w:lastRenderedPageBreak/>
        <w:t xml:space="preserve">pharmacies in the cluster in order to have their prescriptions dispensed. Those that look outside the cluster usually do so to access a neighbouring pharmacy within the health board’s area. A minority choose to have their prescription dispensed by a pharmacy or an appliance contractor outside of the health board’s area.  </w:t>
      </w:r>
    </w:p>
    <w:p w14:paraId="5C126873" w14:textId="77777777" w:rsidR="00E52AD3" w:rsidRPr="00C603B5" w:rsidRDefault="00E52AD3" w:rsidP="00DC54F7">
      <w:pPr>
        <w:spacing w:after="0" w:line="240" w:lineRule="auto"/>
        <w:jc w:val="both"/>
        <w:rPr>
          <w:rFonts w:ascii="Arial" w:hAnsi="Arial" w:cs="Arial"/>
          <w:sz w:val="24"/>
          <w:szCs w:val="24"/>
          <w:lang w:val="en-US"/>
        </w:rPr>
      </w:pPr>
    </w:p>
    <w:p w14:paraId="493DF717" w14:textId="1EB5391D" w:rsidR="00E52AD3" w:rsidRPr="00C603B5" w:rsidRDefault="00E52AD3" w:rsidP="00DC54F7">
      <w:pPr>
        <w:spacing w:after="0" w:line="240" w:lineRule="auto"/>
        <w:jc w:val="both"/>
        <w:rPr>
          <w:rFonts w:ascii="Calibri" w:eastAsia="Times New Roman" w:hAnsi="Calibri" w:cs="Calibri"/>
          <w:color w:val="000000"/>
          <w:sz w:val="24"/>
          <w:szCs w:val="24"/>
          <w:lang w:eastAsia="en-GB"/>
        </w:rPr>
      </w:pPr>
      <w:r w:rsidRPr="00C603B5">
        <w:rPr>
          <w:rFonts w:ascii="Arial" w:hAnsi="Arial" w:cs="Arial"/>
          <w:sz w:val="24"/>
          <w:szCs w:val="24"/>
          <w:lang w:val="en-US"/>
        </w:rPr>
        <w:t>A total of 3</w:t>
      </w:r>
      <w:r w:rsidR="00DE68C7" w:rsidRPr="00C603B5">
        <w:rPr>
          <w:rFonts w:ascii="Arial" w:hAnsi="Arial" w:cs="Arial"/>
          <w:sz w:val="24"/>
          <w:szCs w:val="24"/>
          <w:lang w:val="en-US"/>
        </w:rPr>
        <w:t>43</w:t>
      </w:r>
      <w:r w:rsidRPr="00C603B5">
        <w:rPr>
          <w:rFonts w:ascii="Arial" w:hAnsi="Arial" w:cs="Arial"/>
          <w:sz w:val="24"/>
          <w:szCs w:val="24"/>
          <w:lang w:val="en-US"/>
        </w:rPr>
        <w:t xml:space="preserve"> pharmacy contractors that were trading in Wales during 2019 to 2020, dispensed items written by one of the GP practices in the Cardiff </w:t>
      </w:r>
      <w:r w:rsidR="00DE68C7" w:rsidRPr="00C603B5">
        <w:rPr>
          <w:rFonts w:ascii="Arial" w:hAnsi="Arial" w:cs="Arial"/>
          <w:sz w:val="24"/>
          <w:szCs w:val="24"/>
          <w:lang w:val="en-US"/>
        </w:rPr>
        <w:t>West</w:t>
      </w:r>
      <w:r w:rsidRPr="00C603B5">
        <w:rPr>
          <w:rFonts w:ascii="Arial" w:hAnsi="Arial" w:cs="Arial"/>
          <w:sz w:val="24"/>
          <w:szCs w:val="24"/>
          <w:lang w:val="en-US"/>
        </w:rPr>
        <w:t xml:space="preserve"> cluster, of which </w:t>
      </w:r>
      <w:r w:rsidR="00835285" w:rsidRPr="00C603B5">
        <w:rPr>
          <w:rFonts w:ascii="Arial" w:hAnsi="Arial" w:cs="Arial"/>
          <w:sz w:val="24"/>
          <w:szCs w:val="24"/>
          <w:lang w:val="en-US"/>
        </w:rPr>
        <w:t>236</w:t>
      </w:r>
      <w:r w:rsidRPr="00C603B5">
        <w:rPr>
          <w:rFonts w:ascii="Arial" w:hAnsi="Arial" w:cs="Arial"/>
          <w:sz w:val="24"/>
          <w:szCs w:val="24"/>
          <w:lang w:val="en-US"/>
        </w:rPr>
        <w:t xml:space="preserve"> were outside of the health board’s area</w:t>
      </w:r>
      <w:r w:rsidRPr="00C603B5">
        <w:rPr>
          <w:rFonts w:ascii="Arial" w:hAnsi="Arial" w:cs="Arial"/>
          <w:b/>
          <w:bCs/>
          <w:sz w:val="24"/>
          <w:szCs w:val="24"/>
          <w:lang w:val="en-US"/>
        </w:rPr>
        <w:t xml:space="preserve">. </w:t>
      </w:r>
      <w:r w:rsidR="005D30C4" w:rsidRPr="00C603B5">
        <w:rPr>
          <w:rFonts w:ascii="Arial" w:hAnsi="Arial" w:cs="Arial"/>
          <w:sz w:val="24"/>
          <w:szCs w:val="24"/>
          <w:lang w:val="en-US"/>
        </w:rPr>
        <w:t>6,923</w:t>
      </w:r>
      <w:r w:rsidRPr="00C603B5">
        <w:rPr>
          <w:rFonts w:ascii="Arial" w:hAnsi="Arial" w:cs="Arial"/>
          <w:sz w:val="24"/>
          <w:szCs w:val="24"/>
          <w:lang w:val="en-US"/>
        </w:rPr>
        <w:t xml:space="preserve"> prescription items were dispensed in England. </w:t>
      </w:r>
    </w:p>
    <w:p w14:paraId="07F016EB" w14:textId="5990D1B4" w:rsidR="0063382E" w:rsidRPr="00D10889" w:rsidRDefault="0063382E" w:rsidP="00DC54F7">
      <w:pPr>
        <w:spacing w:after="0" w:line="240" w:lineRule="auto"/>
        <w:jc w:val="both"/>
        <w:rPr>
          <w:rFonts w:ascii="Arial" w:hAnsi="Arial" w:cs="Arial"/>
          <w:b/>
          <w:sz w:val="24"/>
          <w:szCs w:val="24"/>
          <w:lang w:val="en-US"/>
        </w:rPr>
      </w:pPr>
    </w:p>
    <w:p w14:paraId="23C9CE9E" w14:textId="77777777" w:rsidR="005A76A8" w:rsidRPr="00D10889" w:rsidRDefault="005A76A8" w:rsidP="00DC54F7">
      <w:pPr>
        <w:spacing w:after="0" w:line="240" w:lineRule="auto"/>
        <w:jc w:val="both"/>
        <w:rPr>
          <w:rFonts w:ascii="Arial" w:hAnsi="Arial" w:cs="Arial"/>
          <w:b/>
          <w:sz w:val="24"/>
          <w:szCs w:val="24"/>
          <w:lang w:val="en-US"/>
        </w:rPr>
      </w:pPr>
    </w:p>
    <w:p w14:paraId="20ABF596" w14:textId="4E4E5636" w:rsidR="0063382E" w:rsidRPr="00A10850" w:rsidRDefault="00CB0DF6" w:rsidP="00DC54F7">
      <w:pPr>
        <w:spacing w:after="0" w:line="240" w:lineRule="auto"/>
        <w:jc w:val="both"/>
        <w:rPr>
          <w:rFonts w:ascii="Arial" w:hAnsi="Arial" w:cs="Arial"/>
          <w:b/>
          <w:sz w:val="26"/>
          <w:szCs w:val="26"/>
          <w:lang w:val="en-US"/>
        </w:rPr>
      </w:pPr>
      <w:r>
        <w:rPr>
          <w:rFonts w:ascii="Arial" w:hAnsi="Arial" w:cs="Arial"/>
          <w:b/>
          <w:sz w:val="26"/>
          <w:szCs w:val="26"/>
          <w:lang w:val="en-US"/>
        </w:rPr>
        <w:t>13</w:t>
      </w:r>
      <w:r w:rsidR="0063382E" w:rsidRPr="00A10850">
        <w:rPr>
          <w:rFonts w:ascii="Arial" w:hAnsi="Arial" w:cs="Arial"/>
          <w:b/>
          <w:sz w:val="26"/>
          <w:szCs w:val="26"/>
          <w:lang w:val="en-US"/>
        </w:rPr>
        <w:t xml:space="preserve">.6 </w:t>
      </w:r>
      <w:r w:rsidR="0063382E" w:rsidRPr="00D10889">
        <w:rPr>
          <w:rFonts w:ascii="Arial" w:hAnsi="Arial" w:cs="Arial"/>
          <w:b/>
          <w:sz w:val="24"/>
          <w:szCs w:val="24"/>
          <w:lang w:val="en-US"/>
        </w:rPr>
        <w:t>Gaps in provision</w:t>
      </w:r>
    </w:p>
    <w:p w14:paraId="7FF94884" w14:textId="77777777" w:rsidR="0063382E" w:rsidRPr="00A10850" w:rsidRDefault="0063382E" w:rsidP="00DC54F7">
      <w:pPr>
        <w:spacing w:after="0" w:line="240" w:lineRule="auto"/>
        <w:jc w:val="both"/>
        <w:rPr>
          <w:rFonts w:ascii="Arial" w:hAnsi="Arial" w:cs="Arial"/>
          <w:lang w:val="en-US"/>
        </w:rPr>
      </w:pPr>
    </w:p>
    <w:p w14:paraId="266A36BC" w14:textId="07657075" w:rsidR="00727462" w:rsidRPr="005A76A8" w:rsidRDefault="00727462" w:rsidP="00DC54F7">
      <w:pPr>
        <w:spacing w:after="0" w:line="240" w:lineRule="auto"/>
        <w:jc w:val="both"/>
        <w:rPr>
          <w:rFonts w:ascii="Arial" w:hAnsi="Arial" w:cs="Arial"/>
          <w:sz w:val="24"/>
          <w:szCs w:val="24"/>
        </w:rPr>
      </w:pPr>
      <w:r w:rsidRPr="005A76A8">
        <w:rPr>
          <w:rFonts w:ascii="Arial" w:hAnsi="Arial" w:cs="Arial"/>
          <w:sz w:val="24"/>
          <w:szCs w:val="24"/>
        </w:rPr>
        <w:t xml:space="preserve">The </w:t>
      </w:r>
      <w:r w:rsidRPr="005A76A8">
        <w:rPr>
          <w:rFonts w:ascii="Arial" w:hAnsi="Arial" w:cs="Arial"/>
          <w:color w:val="000000"/>
          <w:sz w:val="24"/>
          <w:szCs w:val="24"/>
        </w:rPr>
        <w:t xml:space="preserve">Cardiff and Vale University Health Board </w:t>
      </w:r>
      <w:r w:rsidRPr="005A76A8">
        <w:rPr>
          <w:rFonts w:ascii="Arial" w:hAnsi="Arial" w:cs="Arial"/>
          <w:sz w:val="24"/>
          <w:szCs w:val="24"/>
        </w:rPr>
        <w:t xml:space="preserve">has noted the locations of pharmacies across the cluster, and the fact that the population can access a pharmacy by car within 10 minutes, with the majority within five minutes. Whilst noting that not all households have access to a car throughout the day, the nature of the cluster means that walking to a pharmacy will be a realistic option for many residents and regular public transport services are available for those who are unable to undertake the whole journey on foot. </w:t>
      </w:r>
    </w:p>
    <w:p w14:paraId="5997EC47" w14:textId="34504D57" w:rsidR="00641E2E" w:rsidRPr="005A76A8" w:rsidRDefault="00641E2E" w:rsidP="00DC54F7">
      <w:pPr>
        <w:spacing w:after="0" w:line="240" w:lineRule="auto"/>
        <w:jc w:val="both"/>
        <w:rPr>
          <w:rFonts w:ascii="Arial" w:hAnsi="Arial" w:cs="Arial"/>
          <w:sz w:val="24"/>
          <w:szCs w:val="24"/>
        </w:rPr>
      </w:pPr>
    </w:p>
    <w:p w14:paraId="17933051" w14:textId="77777777" w:rsidR="00641E2E" w:rsidRPr="005A76A8" w:rsidRDefault="00641E2E" w:rsidP="00DC54F7">
      <w:pPr>
        <w:spacing w:after="0" w:line="240" w:lineRule="auto"/>
        <w:jc w:val="both"/>
        <w:rPr>
          <w:rFonts w:ascii="Arial" w:hAnsi="Arial" w:cs="Arial"/>
          <w:sz w:val="24"/>
          <w:szCs w:val="24"/>
        </w:rPr>
      </w:pPr>
      <w:r w:rsidRPr="005A76A8">
        <w:rPr>
          <w:rFonts w:ascii="Arial" w:hAnsi="Arial" w:cs="Arial"/>
          <w:sz w:val="24"/>
          <w:szCs w:val="24"/>
        </w:rPr>
        <w:t xml:space="preserve">The </w:t>
      </w:r>
      <w:r w:rsidRPr="005A76A8">
        <w:rPr>
          <w:rFonts w:ascii="Arial" w:hAnsi="Arial" w:cs="Arial"/>
          <w:color w:val="000000"/>
          <w:sz w:val="24"/>
          <w:szCs w:val="24"/>
        </w:rPr>
        <w:t xml:space="preserve">Cardiff and Vale University Health Board </w:t>
      </w:r>
      <w:r w:rsidRPr="005A76A8">
        <w:rPr>
          <w:rFonts w:ascii="Arial" w:hAnsi="Arial" w:cs="Arial"/>
          <w:sz w:val="24"/>
          <w:szCs w:val="24"/>
        </w:rPr>
        <w:t xml:space="preserve">has noted the opening hours of the existing pharmacies and is of the opinion that they are sufficient to meet the likely needs of residents in the cluster. The </w:t>
      </w:r>
      <w:r w:rsidRPr="005A76A8">
        <w:rPr>
          <w:rFonts w:ascii="Arial" w:hAnsi="Arial" w:cs="Arial"/>
          <w:color w:val="000000"/>
          <w:sz w:val="24"/>
          <w:szCs w:val="24"/>
        </w:rPr>
        <w:t xml:space="preserve">Cardiff and Vale University Health Board </w:t>
      </w:r>
      <w:r w:rsidRPr="005A76A8">
        <w:rPr>
          <w:rFonts w:ascii="Arial" w:hAnsi="Arial" w:cs="Arial"/>
          <w:sz w:val="24"/>
          <w:szCs w:val="24"/>
        </w:rPr>
        <w:t>has therefore concluded that there are no current needs in relation to the provision of essential services by pharmacies in the cluster.</w:t>
      </w:r>
    </w:p>
    <w:p w14:paraId="07B3CB84" w14:textId="77777777" w:rsidR="00641E2E" w:rsidRPr="005A76A8" w:rsidRDefault="00641E2E" w:rsidP="00DC54F7">
      <w:pPr>
        <w:spacing w:after="0" w:line="240" w:lineRule="auto"/>
        <w:jc w:val="both"/>
        <w:rPr>
          <w:rFonts w:ascii="Arial" w:hAnsi="Arial" w:cs="Arial"/>
          <w:sz w:val="24"/>
          <w:szCs w:val="24"/>
        </w:rPr>
      </w:pPr>
    </w:p>
    <w:p w14:paraId="296197E3" w14:textId="40CA7E39" w:rsidR="00727462" w:rsidRPr="005A76A8" w:rsidRDefault="00412AA2" w:rsidP="00DC54F7">
      <w:pPr>
        <w:spacing w:after="0" w:line="240" w:lineRule="auto"/>
        <w:contextualSpacing/>
        <w:jc w:val="both"/>
        <w:rPr>
          <w:rFonts w:ascii="Arial" w:hAnsi="Arial" w:cs="Arial"/>
          <w:sz w:val="24"/>
          <w:szCs w:val="24"/>
        </w:rPr>
      </w:pPr>
      <w:r w:rsidRPr="005A76A8">
        <w:rPr>
          <w:rFonts w:ascii="Arial" w:hAnsi="Arial" w:cs="Arial"/>
          <w:sz w:val="24"/>
          <w:szCs w:val="24"/>
        </w:rPr>
        <w:t xml:space="preserve">The </w:t>
      </w:r>
      <w:r w:rsidRPr="005A76A8">
        <w:rPr>
          <w:rFonts w:ascii="Arial" w:hAnsi="Arial" w:cs="Arial"/>
          <w:color w:val="000000"/>
          <w:sz w:val="24"/>
          <w:szCs w:val="24"/>
        </w:rPr>
        <w:t xml:space="preserve">Cardiff and Vale University Health Board </w:t>
      </w:r>
      <w:r w:rsidRPr="005A76A8">
        <w:rPr>
          <w:rFonts w:ascii="Arial" w:hAnsi="Arial" w:cs="Arial"/>
          <w:sz w:val="24"/>
          <w:szCs w:val="24"/>
        </w:rPr>
        <w:t xml:space="preserve">is also satisfied that there are no current needs in relation to the provision of advanced services.  Whilst none of the pharmacies provide the Appliance Use Review service or the Stoma Appliance Customisation service, it is noted that there are four appliance contractors based in Cardiff and Vale University Health Board who offer these services. One of the reasons why prescriptions are dispensed outside of the cluster is because they have been sent to a dispensing appliance contractor elsewhere in the health board or to England, which provide these services. Patients will therefore be able to access these two services via those contractors. The </w:t>
      </w:r>
      <w:r w:rsidRPr="005A76A8">
        <w:rPr>
          <w:rFonts w:ascii="Arial" w:hAnsi="Arial" w:cs="Arial"/>
          <w:color w:val="000000"/>
          <w:sz w:val="24"/>
          <w:szCs w:val="24"/>
        </w:rPr>
        <w:t xml:space="preserve">Cardiff and Vale University Health Board </w:t>
      </w:r>
      <w:r w:rsidRPr="005A76A8">
        <w:rPr>
          <w:rFonts w:ascii="Arial" w:hAnsi="Arial" w:cs="Arial"/>
          <w:sz w:val="24"/>
          <w:szCs w:val="24"/>
        </w:rPr>
        <w:t>has therefore not identified any current or future gap or better access in relation to the provision of these two advanced services in the cluster</w:t>
      </w:r>
    </w:p>
    <w:p w14:paraId="7ECD8E03" w14:textId="77777777" w:rsidR="00412AA2" w:rsidRPr="005A76A8" w:rsidRDefault="00412AA2" w:rsidP="00DC54F7">
      <w:pPr>
        <w:spacing w:after="0" w:line="240" w:lineRule="auto"/>
        <w:contextualSpacing/>
        <w:jc w:val="both"/>
        <w:rPr>
          <w:rFonts w:ascii="Arial" w:hAnsi="Arial" w:cs="Arial"/>
          <w:sz w:val="24"/>
          <w:szCs w:val="24"/>
        </w:rPr>
      </w:pPr>
    </w:p>
    <w:p w14:paraId="200C987D" w14:textId="33592AD9" w:rsidR="00727462" w:rsidRPr="005A76A8" w:rsidRDefault="00727462" w:rsidP="00DC54F7">
      <w:pPr>
        <w:spacing w:after="0" w:line="240" w:lineRule="auto"/>
        <w:contextualSpacing/>
        <w:jc w:val="both"/>
        <w:rPr>
          <w:rFonts w:ascii="Arial" w:hAnsi="Arial" w:cs="Arial"/>
          <w:sz w:val="24"/>
          <w:szCs w:val="24"/>
        </w:rPr>
      </w:pPr>
      <w:r w:rsidRPr="005A76A8">
        <w:rPr>
          <w:rFonts w:ascii="Arial" w:hAnsi="Arial" w:cs="Arial"/>
          <w:sz w:val="24"/>
          <w:szCs w:val="24"/>
        </w:rPr>
        <w:t>All 1</w:t>
      </w:r>
      <w:r w:rsidR="002D0B53" w:rsidRPr="005A76A8">
        <w:rPr>
          <w:rFonts w:ascii="Arial" w:hAnsi="Arial" w:cs="Arial"/>
          <w:sz w:val="24"/>
          <w:szCs w:val="24"/>
        </w:rPr>
        <w:t>3</w:t>
      </w:r>
      <w:r w:rsidRPr="005A76A8">
        <w:rPr>
          <w:rFonts w:ascii="Arial" w:hAnsi="Arial" w:cs="Arial"/>
          <w:sz w:val="24"/>
          <w:szCs w:val="24"/>
        </w:rPr>
        <w:t xml:space="preserve"> pharmacies responded to the question in the contractor questionnaire regarding capacity to meet demand from any future housing developments in the cluster. Their responses were as follows: </w:t>
      </w:r>
    </w:p>
    <w:p w14:paraId="1E42AFA8" w14:textId="77777777" w:rsidR="00727462" w:rsidRPr="005A76A8" w:rsidRDefault="00727462" w:rsidP="00DC54F7">
      <w:pPr>
        <w:spacing w:after="0" w:line="240" w:lineRule="auto"/>
        <w:jc w:val="both"/>
        <w:rPr>
          <w:rFonts w:ascii="Arial" w:hAnsi="Arial" w:cs="Arial"/>
          <w:sz w:val="24"/>
          <w:szCs w:val="24"/>
        </w:rPr>
      </w:pPr>
    </w:p>
    <w:p w14:paraId="7F597501" w14:textId="6014CC79" w:rsidR="00727462" w:rsidRPr="005A76A8" w:rsidRDefault="00634F23" w:rsidP="00DC54F7">
      <w:pPr>
        <w:pStyle w:val="ListParagraph"/>
        <w:numPr>
          <w:ilvl w:val="0"/>
          <w:numId w:val="159"/>
        </w:numPr>
        <w:spacing w:after="0" w:line="240" w:lineRule="auto"/>
        <w:jc w:val="both"/>
        <w:rPr>
          <w:rFonts w:ascii="Arial" w:hAnsi="Arial" w:cs="Arial"/>
          <w:sz w:val="24"/>
          <w:szCs w:val="24"/>
        </w:rPr>
      </w:pPr>
      <w:r w:rsidRPr="005A76A8">
        <w:rPr>
          <w:rFonts w:ascii="Arial" w:hAnsi="Arial" w:cs="Arial"/>
          <w:sz w:val="24"/>
          <w:szCs w:val="24"/>
        </w:rPr>
        <w:t>11</w:t>
      </w:r>
      <w:r w:rsidR="00727462" w:rsidRPr="005A76A8">
        <w:rPr>
          <w:rFonts w:ascii="Arial" w:hAnsi="Arial" w:cs="Arial"/>
          <w:sz w:val="24"/>
          <w:szCs w:val="24"/>
        </w:rPr>
        <w:t xml:space="preserve"> pharmacies have sufficient capacity within their existing premises and staffing levels to manage the increase in demand in the area.</w:t>
      </w:r>
    </w:p>
    <w:p w14:paraId="25EA9150" w14:textId="18F53505" w:rsidR="00727462" w:rsidRPr="005A76A8" w:rsidRDefault="00727462" w:rsidP="00DC54F7">
      <w:pPr>
        <w:pStyle w:val="ListParagraph"/>
        <w:numPr>
          <w:ilvl w:val="0"/>
          <w:numId w:val="159"/>
        </w:numPr>
        <w:spacing w:after="0" w:line="240" w:lineRule="auto"/>
        <w:jc w:val="both"/>
        <w:rPr>
          <w:rFonts w:ascii="Arial" w:hAnsi="Arial" w:cs="Arial"/>
          <w:sz w:val="24"/>
          <w:szCs w:val="24"/>
        </w:rPr>
      </w:pPr>
      <w:r w:rsidRPr="005A76A8">
        <w:rPr>
          <w:rFonts w:ascii="Arial" w:hAnsi="Arial" w:cs="Arial"/>
          <w:sz w:val="24"/>
          <w:szCs w:val="24"/>
        </w:rPr>
        <w:t>One pharmacy does not have sufficient premises and staffing capacity at present but could make adjustments to manage the increase in demand in the area</w:t>
      </w:r>
    </w:p>
    <w:p w14:paraId="7F244864" w14:textId="5D47CBD3" w:rsidR="00456271" w:rsidRPr="00456271" w:rsidRDefault="00634F23" w:rsidP="00DC54F7">
      <w:pPr>
        <w:pStyle w:val="ListParagraph"/>
        <w:numPr>
          <w:ilvl w:val="0"/>
          <w:numId w:val="159"/>
        </w:numPr>
        <w:spacing w:after="0" w:line="240" w:lineRule="auto"/>
        <w:jc w:val="both"/>
        <w:rPr>
          <w:rFonts w:ascii="Arial" w:hAnsi="Arial" w:cs="Arial"/>
          <w:sz w:val="24"/>
          <w:szCs w:val="24"/>
        </w:rPr>
      </w:pPr>
      <w:r w:rsidRPr="005A76A8">
        <w:rPr>
          <w:rFonts w:ascii="Arial" w:hAnsi="Arial" w:cs="Arial"/>
          <w:sz w:val="24"/>
          <w:szCs w:val="24"/>
        </w:rPr>
        <w:t xml:space="preserve">One pharmacy </w:t>
      </w:r>
      <w:r w:rsidR="005C237B" w:rsidRPr="005A76A8">
        <w:rPr>
          <w:rFonts w:ascii="Arial" w:hAnsi="Arial" w:cs="Arial"/>
          <w:sz w:val="24"/>
          <w:szCs w:val="24"/>
        </w:rPr>
        <w:t xml:space="preserve">does not have sufficient premises and staffing capacity and would </w:t>
      </w:r>
      <w:r w:rsidR="004E626F" w:rsidRPr="005A76A8">
        <w:rPr>
          <w:rFonts w:ascii="Arial" w:hAnsi="Arial" w:cs="Arial"/>
          <w:sz w:val="24"/>
          <w:szCs w:val="24"/>
        </w:rPr>
        <w:t>have difficulty in managing an increase in demand.</w:t>
      </w:r>
    </w:p>
    <w:p w14:paraId="7C2C0F34" w14:textId="24E10A78" w:rsidR="00456271" w:rsidRPr="00456271" w:rsidRDefault="00456271" w:rsidP="00DC54F7">
      <w:pPr>
        <w:spacing w:after="0" w:line="240" w:lineRule="auto"/>
        <w:jc w:val="both"/>
        <w:rPr>
          <w:rFonts w:ascii="Arial" w:hAnsi="Arial" w:cs="Arial"/>
          <w:color w:val="000000"/>
          <w:sz w:val="24"/>
          <w:szCs w:val="24"/>
        </w:rPr>
      </w:pPr>
      <w:r w:rsidRPr="00456271">
        <w:rPr>
          <w:rFonts w:ascii="Arial" w:hAnsi="Arial" w:cs="Arial"/>
          <w:sz w:val="24"/>
          <w:szCs w:val="24"/>
        </w:rPr>
        <w:lastRenderedPageBreak/>
        <w:t xml:space="preserve">The </w:t>
      </w:r>
      <w:r w:rsidRPr="00456271">
        <w:rPr>
          <w:rFonts w:ascii="Arial" w:hAnsi="Arial" w:cs="Arial"/>
          <w:color w:val="000000"/>
          <w:sz w:val="24"/>
          <w:szCs w:val="24"/>
        </w:rPr>
        <w:t xml:space="preserve">Cardiff and Vale University Health Board noted the developments planned for the cluster, with regards to the large housing developments planned for </w:t>
      </w:r>
      <w:r w:rsidRPr="00456271">
        <w:rPr>
          <w:rFonts w:ascii="Arial" w:hAnsi="Arial" w:cs="Arial"/>
          <w:sz w:val="24"/>
          <w:szCs w:val="24"/>
        </w:rPr>
        <w:t>north of junction 33 on M4 and South Creigiau, and North West Cardiff</w:t>
      </w:r>
      <w:r w:rsidRPr="00456271">
        <w:rPr>
          <w:rFonts w:ascii="Arial" w:hAnsi="Arial" w:cs="Arial"/>
          <w:color w:val="000000"/>
          <w:sz w:val="24"/>
          <w:szCs w:val="24"/>
        </w:rPr>
        <w:t>. At this time</w:t>
      </w:r>
      <w:r w:rsidR="00037EEB">
        <w:rPr>
          <w:rFonts w:ascii="Arial" w:hAnsi="Arial" w:cs="Arial"/>
          <w:color w:val="000000"/>
          <w:sz w:val="24"/>
          <w:szCs w:val="24"/>
        </w:rPr>
        <w:t xml:space="preserve"> </w:t>
      </w:r>
      <w:r w:rsidRPr="00456271">
        <w:rPr>
          <w:rFonts w:ascii="Arial" w:hAnsi="Arial" w:cs="Arial"/>
          <w:color w:val="000000"/>
          <w:sz w:val="24"/>
          <w:szCs w:val="24"/>
        </w:rPr>
        <w:t>Cardiff and Vale University Health Board has no information or reason to conclude</w:t>
      </w:r>
      <w:r w:rsidR="0096695B">
        <w:rPr>
          <w:rFonts w:ascii="Arial" w:hAnsi="Arial" w:cs="Arial"/>
          <w:color w:val="000000"/>
          <w:sz w:val="24"/>
          <w:szCs w:val="24"/>
        </w:rPr>
        <w:t>,</w:t>
      </w:r>
      <w:r w:rsidRPr="00456271">
        <w:rPr>
          <w:rFonts w:ascii="Arial" w:hAnsi="Arial" w:cs="Arial"/>
          <w:color w:val="000000"/>
          <w:sz w:val="24"/>
          <w:szCs w:val="24"/>
        </w:rPr>
        <w:t xml:space="preserve"> during the lifetime of this PNA and development</w:t>
      </w:r>
      <w:r w:rsidR="0096695B">
        <w:rPr>
          <w:rFonts w:ascii="Arial" w:hAnsi="Arial" w:cs="Arial"/>
          <w:color w:val="000000"/>
          <w:sz w:val="24"/>
          <w:szCs w:val="24"/>
        </w:rPr>
        <w:t>,</w:t>
      </w:r>
      <w:r w:rsidRPr="00456271">
        <w:rPr>
          <w:rFonts w:ascii="Arial" w:hAnsi="Arial" w:cs="Arial"/>
          <w:color w:val="000000"/>
          <w:sz w:val="24"/>
          <w:szCs w:val="24"/>
        </w:rPr>
        <w:t xml:space="preserve"> that there would be an unmet need so as to require additional pharmaceutical service. </w:t>
      </w:r>
    </w:p>
    <w:p w14:paraId="6E52DE6E" w14:textId="77777777" w:rsidR="00456271" w:rsidRPr="00456271" w:rsidRDefault="00456271" w:rsidP="00DC54F7">
      <w:pPr>
        <w:spacing w:after="0" w:line="240" w:lineRule="auto"/>
        <w:jc w:val="both"/>
        <w:rPr>
          <w:rFonts w:ascii="Arial" w:hAnsi="Arial" w:cs="Arial"/>
          <w:sz w:val="24"/>
          <w:szCs w:val="24"/>
        </w:rPr>
      </w:pPr>
    </w:p>
    <w:p w14:paraId="26F136E4" w14:textId="3C850441" w:rsidR="00727462" w:rsidRPr="00456271" w:rsidRDefault="00727462" w:rsidP="00DC54F7">
      <w:pPr>
        <w:spacing w:after="0" w:line="240" w:lineRule="auto"/>
        <w:jc w:val="both"/>
        <w:rPr>
          <w:rFonts w:ascii="Arial" w:hAnsi="Arial" w:cs="Arial"/>
          <w:sz w:val="24"/>
          <w:szCs w:val="24"/>
        </w:rPr>
      </w:pPr>
      <w:r w:rsidRPr="00456271">
        <w:rPr>
          <w:rFonts w:ascii="Arial" w:hAnsi="Arial" w:cs="Arial"/>
          <w:sz w:val="24"/>
          <w:szCs w:val="24"/>
        </w:rPr>
        <w:t>With regard to any small</w:t>
      </w:r>
      <w:r w:rsidR="00106C0D" w:rsidRPr="00456271">
        <w:rPr>
          <w:rFonts w:ascii="Arial" w:hAnsi="Arial" w:cs="Arial"/>
          <w:sz w:val="24"/>
          <w:szCs w:val="24"/>
        </w:rPr>
        <w:t>er</w:t>
      </w:r>
      <w:r w:rsidRPr="00456271">
        <w:rPr>
          <w:rFonts w:ascii="Arial" w:hAnsi="Arial" w:cs="Arial"/>
          <w:sz w:val="24"/>
          <w:szCs w:val="24"/>
        </w:rPr>
        <w:t xml:space="preserve"> units of housing that are due to be built during the lifetime of this document, </w:t>
      </w:r>
      <w:r w:rsidRPr="00456271">
        <w:rPr>
          <w:rFonts w:ascii="Arial" w:hAnsi="Arial" w:cs="Arial"/>
          <w:color w:val="000000"/>
          <w:sz w:val="24"/>
          <w:szCs w:val="24"/>
        </w:rPr>
        <w:t>Cardiff and Vale University Health Board</w:t>
      </w:r>
      <w:r w:rsidRPr="00456271">
        <w:rPr>
          <w:rFonts w:ascii="Arial" w:hAnsi="Arial" w:cs="Arial"/>
          <w:sz w:val="24"/>
          <w:szCs w:val="24"/>
        </w:rPr>
        <w:t xml:space="preserve"> is satisfied, based upon the responses to the contractor questionnaire, that the demand that this will create can be met by the existing pharmacies. The </w:t>
      </w:r>
      <w:r w:rsidRPr="00456271">
        <w:rPr>
          <w:rFonts w:ascii="Arial" w:hAnsi="Arial" w:cs="Arial"/>
          <w:color w:val="000000"/>
          <w:sz w:val="24"/>
          <w:szCs w:val="24"/>
        </w:rPr>
        <w:t xml:space="preserve">Cardiff and Vale University Health Board </w:t>
      </w:r>
      <w:r w:rsidRPr="00456271">
        <w:rPr>
          <w:rFonts w:ascii="Arial" w:hAnsi="Arial" w:cs="Arial"/>
          <w:sz w:val="24"/>
          <w:szCs w:val="24"/>
        </w:rPr>
        <w:t>has therefore concluded that there are no future needs in relation to the provision of essential services by pharmacies in the cluster</w:t>
      </w:r>
    </w:p>
    <w:p w14:paraId="0ED3A1C5" w14:textId="77777777" w:rsidR="00727462" w:rsidRPr="00456271" w:rsidRDefault="00727462" w:rsidP="00DC54F7">
      <w:pPr>
        <w:spacing w:after="0" w:line="240" w:lineRule="auto"/>
        <w:jc w:val="both"/>
        <w:rPr>
          <w:rFonts w:ascii="Arial" w:hAnsi="Arial" w:cs="Arial"/>
          <w:sz w:val="24"/>
          <w:szCs w:val="24"/>
        </w:rPr>
      </w:pPr>
    </w:p>
    <w:p w14:paraId="425F8D73" w14:textId="77777777" w:rsidR="00727462" w:rsidRPr="00456271" w:rsidRDefault="00727462" w:rsidP="00DC54F7">
      <w:pPr>
        <w:spacing w:after="0" w:line="240" w:lineRule="auto"/>
        <w:jc w:val="both"/>
        <w:rPr>
          <w:rFonts w:ascii="Arial" w:hAnsi="Arial" w:cs="Arial"/>
          <w:sz w:val="24"/>
          <w:szCs w:val="24"/>
        </w:rPr>
      </w:pPr>
      <w:r w:rsidRPr="00456271">
        <w:rPr>
          <w:rFonts w:ascii="Arial" w:hAnsi="Arial" w:cs="Arial"/>
          <w:sz w:val="24"/>
          <w:szCs w:val="24"/>
        </w:rPr>
        <w:t xml:space="preserve">The </w:t>
      </w:r>
      <w:r w:rsidRPr="00456271">
        <w:rPr>
          <w:rFonts w:ascii="Arial" w:hAnsi="Arial" w:cs="Arial"/>
          <w:color w:val="000000"/>
          <w:sz w:val="24"/>
          <w:szCs w:val="24"/>
        </w:rPr>
        <w:t xml:space="preserve">Cardiff and Vale University Health Board </w:t>
      </w:r>
      <w:r w:rsidRPr="00456271">
        <w:rPr>
          <w:rFonts w:ascii="Arial" w:hAnsi="Arial" w:cs="Arial"/>
          <w:sz w:val="24"/>
          <w:szCs w:val="24"/>
        </w:rPr>
        <w:t>is also satisfied that, based upon the information contained in the preceding sections, there are no current or future gaps in the provision of advanced services and enhanced services.</w:t>
      </w:r>
    </w:p>
    <w:p w14:paraId="66C23E81" w14:textId="77777777" w:rsidR="00727462" w:rsidRPr="00456271" w:rsidRDefault="00727462" w:rsidP="00DC54F7">
      <w:pPr>
        <w:spacing w:after="0" w:line="240" w:lineRule="auto"/>
        <w:jc w:val="both"/>
        <w:rPr>
          <w:rFonts w:ascii="Arial" w:hAnsi="Arial" w:cs="Arial"/>
          <w:sz w:val="24"/>
          <w:szCs w:val="24"/>
        </w:rPr>
      </w:pPr>
    </w:p>
    <w:p w14:paraId="44E4D0E0" w14:textId="4564C97F" w:rsidR="00727462" w:rsidRDefault="00727462" w:rsidP="00DC54F7">
      <w:pPr>
        <w:spacing w:after="0" w:line="240" w:lineRule="auto"/>
        <w:jc w:val="both"/>
        <w:rPr>
          <w:rFonts w:ascii="Arial" w:hAnsi="Arial" w:cs="Arial"/>
          <w:sz w:val="24"/>
          <w:szCs w:val="24"/>
        </w:rPr>
      </w:pPr>
      <w:r w:rsidRPr="00456271">
        <w:rPr>
          <w:rFonts w:ascii="Arial" w:hAnsi="Arial" w:cs="Arial"/>
          <w:sz w:val="24"/>
          <w:szCs w:val="24"/>
        </w:rPr>
        <w:t xml:space="preserve">The </w:t>
      </w:r>
      <w:r w:rsidRPr="00456271">
        <w:rPr>
          <w:rFonts w:ascii="Arial" w:hAnsi="Arial" w:cs="Arial"/>
          <w:color w:val="000000"/>
          <w:sz w:val="24"/>
          <w:szCs w:val="24"/>
        </w:rPr>
        <w:t xml:space="preserve">Cardiff and Vale University Health Board </w:t>
      </w:r>
      <w:r w:rsidRPr="00456271">
        <w:rPr>
          <w:rFonts w:ascii="Arial" w:hAnsi="Arial" w:cs="Arial"/>
          <w:sz w:val="24"/>
          <w:szCs w:val="24"/>
        </w:rPr>
        <w:t>will keep service provision under review but has concluded that there is no current or future need identified which requires an application for new or additional premises.</w:t>
      </w:r>
    </w:p>
    <w:p w14:paraId="4692DA03" w14:textId="0AC28CDE" w:rsidR="00344037" w:rsidRDefault="00344037" w:rsidP="00DC54F7">
      <w:pPr>
        <w:spacing w:after="0" w:line="240" w:lineRule="auto"/>
        <w:jc w:val="both"/>
        <w:rPr>
          <w:rFonts w:ascii="Arial" w:hAnsi="Arial" w:cs="Arial"/>
          <w:sz w:val="24"/>
          <w:szCs w:val="24"/>
        </w:rPr>
      </w:pPr>
    </w:p>
    <w:p w14:paraId="64A2EA14" w14:textId="77777777" w:rsidR="00344037" w:rsidRPr="00456271" w:rsidRDefault="00344037" w:rsidP="00DC54F7">
      <w:pPr>
        <w:spacing w:after="0" w:line="240" w:lineRule="auto"/>
        <w:jc w:val="both"/>
        <w:rPr>
          <w:rFonts w:ascii="Arial" w:hAnsi="Arial" w:cs="Arial"/>
          <w:sz w:val="24"/>
          <w:szCs w:val="24"/>
        </w:rPr>
      </w:pPr>
    </w:p>
    <w:p w14:paraId="216EEA81" w14:textId="77777777" w:rsidR="0063382E" w:rsidRPr="005A76A8" w:rsidRDefault="0063382E" w:rsidP="00DC54F7">
      <w:pPr>
        <w:spacing w:after="0" w:line="240" w:lineRule="auto"/>
        <w:jc w:val="both"/>
        <w:rPr>
          <w:rFonts w:ascii="Arial" w:hAnsi="Arial" w:cs="Arial"/>
          <w:sz w:val="24"/>
          <w:szCs w:val="24"/>
          <w:highlight w:val="yellow"/>
          <w:lang w:val="en-US"/>
        </w:rPr>
      </w:pPr>
    </w:p>
    <w:p w14:paraId="353E32A2" w14:textId="23CFE30F" w:rsidR="0063382E" w:rsidRDefault="0063382E" w:rsidP="00DC54F7">
      <w:pPr>
        <w:pStyle w:val="Heading1"/>
        <w:spacing w:before="0" w:line="240" w:lineRule="auto"/>
        <w:jc w:val="both"/>
        <w:rPr>
          <w:rFonts w:cs="Arial"/>
          <w:color w:val="auto"/>
        </w:rPr>
      </w:pPr>
      <w:r w:rsidRPr="00412AA2">
        <w:rPr>
          <w:rFonts w:cs="Arial"/>
          <w:highlight w:val="yellow"/>
        </w:rPr>
        <w:br w:type="page"/>
      </w:r>
      <w:r w:rsidRPr="00A10850">
        <w:rPr>
          <w:rFonts w:cs="Arial"/>
          <w:color w:val="auto"/>
        </w:rPr>
        <w:lastRenderedPageBreak/>
        <w:t xml:space="preserve"> </w:t>
      </w:r>
      <w:bookmarkStart w:id="49" w:name="_Toc81585108"/>
      <w:r w:rsidR="00B82E86">
        <w:rPr>
          <w:rFonts w:cs="Arial"/>
          <w:color w:val="auto"/>
        </w:rPr>
        <w:t>14</w:t>
      </w:r>
      <w:r w:rsidRPr="00A10850">
        <w:rPr>
          <w:rFonts w:cs="Arial"/>
          <w:color w:val="auto"/>
        </w:rPr>
        <w:t xml:space="preserve"> </w:t>
      </w:r>
      <w:r w:rsidR="00B82E86">
        <w:rPr>
          <w:rFonts w:cs="Arial"/>
          <w:color w:val="auto"/>
        </w:rPr>
        <w:t>Central Vale</w:t>
      </w:r>
      <w:r w:rsidRPr="00A10850">
        <w:rPr>
          <w:rFonts w:cs="Arial"/>
          <w:color w:val="auto"/>
        </w:rPr>
        <w:t xml:space="preserve"> </w:t>
      </w:r>
      <w:r w:rsidR="00AC48AB">
        <w:rPr>
          <w:rFonts w:cs="Arial"/>
          <w:color w:val="auto"/>
        </w:rPr>
        <w:t>cluster</w:t>
      </w:r>
      <w:bookmarkEnd w:id="49"/>
    </w:p>
    <w:p w14:paraId="5B57D8BF" w14:textId="5CB23B9E" w:rsidR="0008459A" w:rsidRDefault="0008459A" w:rsidP="00DC54F7">
      <w:pPr>
        <w:jc w:val="both"/>
      </w:pPr>
    </w:p>
    <w:p w14:paraId="45D5F47B" w14:textId="1268A32D" w:rsidR="00FF1EE9" w:rsidRDefault="00FF1EE9" w:rsidP="00DC54F7">
      <w:pPr>
        <w:spacing w:after="0" w:line="240" w:lineRule="auto"/>
        <w:jc w:val="both"/>
        <w:rPr>
          <w:rFonts w:ascii="Arial" w:hAnsi="Arial" w:cs="Arial"/>
          <w:b/>
          <w:sz w:val="26"/>
          <w:szCs w:val="26"/>
        </w:rPr>
      </w:pPr>
      <w:r>
        <w:rPr>
          <w:rFonts w:ascii="Arial" w:hAnsi="Arial" w:cs="Arial"/>
          <w:b/>
          <w:sz w:val="26"/>
          <w:szCs w:val="26"/>
        </w:rPr>
        <w:t>14</w:t>
      </w:r>
      <w:r w:rsidRPr="00A10850">
        <w:rPr>
          <w:rFonts w:ascii="Arial" w:hAnsi="Arial" w:cs="Arial"/>
          <w:b/>
          <w:sz w:val="26"/>
          <w:szCs w:val="26"/>
        </w:rPr>
        <w:t>.1 Key facts</w:t>
      </w:r>
    </w:p>
    <w:p w14:paraId="3C10DA51" w14:textId="77777777" w:rsidR="00FF1EE9" w:rsidRDefault="00FF1EE9" w:rsidP="00DC54F7">
      <w:pPr>
        <w:spacing w:after="0" w:line="240" w:lineRule="auto"/>
        <w:jc w:val="both"/>
        <w:rPr>
          <w:rFonts w:ascii="Arial" w:hAnsi="Arial" w:cs="Arial"/>
          <w:b/>
          <w:sz w:val="26"/>
          <w:szCs w:val="26"/>
        </w:rPr>
      </w:pPr>
    </w:p>
    <w:p w14:paraId="0037BD0C" w14:textId="380A1722" w:rsidR="004E0BC4" w:rsidRPr="00E50AE4" w:rsidRDefault="00294BFA" w:rsidP="00DC54F7">
      <w:pPr>
        <w:jc w:val="both"/>
        <w:rPr>
          <w:rFonts w:ascii="Arial" w:hAnsi="Arial" w:cs="Arial"/>
          <w:b/>
          <w:bCs/>
          <w:sz w:val="24"/>
          <w:szCs w:val="24"/>
        </w:rPr>
      </w:pPr>
      <w:r w:rsidRPr="00E50AE4">
        <w:rPr>
          <w:rFonts w:ascii="Arial" w:hAnsi="Arial" w:cs="Arial"/>
          <w:b/>
          <w:bCs/>
          <w:sz w:val="24"/>
          <w:szCs w:val="24"/>
        </w:rPr>
        <w:t xml:space="preserve">14.1.1 </w:t>
      </w:r>
      <w:r w:rsidR="004E0BC4" w:rsidRPr="00E50AE4">
        <w:rPr>
          <w:rFonts w:ascii="Arial" w:hAnsi="Arial" w:cs="Arial"/>
          <w:b/>
          <w:bCs/>
          <w:sz w:val="24"/>
          <w:szCs w:val="24"/>
        </w:rPr>
        <w:t>Population and population projections 2018 to 2028 (2018 based)</w:t>
      </w:r>
    </w:p>
    <w:p w14:paraId="755C2011" w14:textId="77777777" w:rsidR="004E0BC4" w:rsidRPr="00E50AE4" w:rsidRDefault="004E0BC4" w:rsidP="00DC54F7">
      <w:pPr>
        <w:spacing w:after="0" w:line="240" w:lineRule="auto"/>
        <w:jc w:val="both"/>
        <w:rPr>
          <w:rFonts w:ascii="Arial" w:hAnsi="Arial" w:cs="Arial"/>
          <w:sz w:val="24"/>
          <w:szCs w:val="24"/>
        </w:rPr>
      </w:pPr>
      <w:r w:rsidRPr="00E50AE4">
        <w:rPr>
          <w:rFonts w:ascii="Arial" w:hAnsi="Arial" w:cs="Arial"/>
          <w:sz w:val="24"/>
          <w:szCs w:val="24"/>
        </w:rPr>
        <w:t xml:space="preserve">As cluster level population data is not routinely collected on an annual basis, </w:t>
      </w:r>
    </w:p>
    <w:p w14:paraId="6A471A8B" w14:textId="77777777" w:rsidR="004E0BC4" w:rsidRPr="00E50AE4" w:rsidRDefault="004E0BC4" w:rsidP="00DC54F7">
      <w:pPr>
        <w:spacing w:after="0" w:line="240" w:lineRule="auto"/>
        <w:jc w:val="both"/>
        <w:rPr>
          <w:rFonts w:ascii="Arial" w:hAnsi="Arial" w:cs="Arial"/>
          <w:sz w:val="24"/>
          <w:szCs w:val="24"/>
        </w:rPr>
      </w:pPr>
      <w:r w:rsidRPr="00E50AE4">
        <w:rPr>
          <w:rFonts w:ascii="Arial" w:hAnsi="Arial" w:cs="Arial"/>
          <w:sz w:val="24"/>
          <w:szCs w:val="24"/>
        </w:rPr>
        <w:t>GP registered patient data has been used to provide an indication of cluster population, and local authority based data has been used to provide an indication of population projections.</w:t>
      </w:r>
    </w:p>
    <w:p w14:paraId="44D24427" w14:textId="77777777" w:rsidR="004E0BC4" w:rsidRPr="00E50AE4" w:rsidRDefault="004E0BC4" w:rsidP="00DC54F7">
      <w:pPr>
        <w:spacing w:after="0" w:line="240" w:lineRule="auto"/>
        <w:jc w:val="both"/>
        <w:rPr>
          <w:rFonts w:ascii="Arial" w:hAnsi="Arial" w:cs="Arial"/>
          <w:sz w:val="24"/>
          <w:szCs w:val="24"/>
        </w:rPr>
      </w:pPr>
    </w:p>
    <w:p w14:paraId="518D5718" w14:textId="77777777" w:rsidR="004E0BC4" w:rsidRPr="002861BC" w:rsidRDefault="004E0BC4" w:rsidP="00DC54F7">
      <w:pPr>
        <w:spacing w:after="0" w:line="240" w:lineRule="auto"/>
        <w:jc w:val="both"/>
        <w:rPr>
          <w:rFonts w:ascii="Arial" w:hAnsi="Arial" w:cs="Arial"/>
          <w:sz w:val="24"/>
          <w:szCs w:val="24"/>
        </w:rPr>
      </w:pPr>
      <w:r w:rsidRPr="00E50AE4">
        <w:rPr>
          <w:rFonts w:ascii="Arial" w:hAnsi="Arial" w:cs="Arial"/>
          <w:sz w:val="24"/>
          <w:szCs w:val="24"/>
        </w:rPr>
        <w:t>Note that GP registered population data is higher than the corresponding census based mid-year population estimates provided by the Office of National Statistics (ONS) at the local authority and health board level, as outlined in section 2.2. This is most likely due to over registered or ‘ghost patients’ caused by many different factors.</w:t>
      </w:r>
    </w:p>
    <w:p w14:paraId="36532623" w14:textId="77777777" w:rsidR="004E0BC4" w:rsidRDefault="004E0BC4" w:rsidP="00DC54F7">
      <w:pPr>
        <w:spacing w:after="0" w:line="240" w:lineRule="auto"/>
        <w:jc w:val="both"/>
        <w:rPr>
          <w:rFonts w:ascii="Arial" w:hAnsi="Arial" w:cs="Arial"/>
          <w:b/>
          <w:i/>
          <w:iCs/>
          <w:sz w:val="24"/>
          <w:szCs w:val="24"/>
        </w:rPr>
      </w:pPr>
    </w:p>
    <w:p w14:paraId="2EEACE34" w14:textId="740ABB44" w:rsidR="004E0BC4" w:rsidRDefault="004E0BC4" w:rsidP="00DC54F7">
      <w:pPr>
        <w:spacing w:after="0" w:line="240" w:lineRule="auto"/>
        <w:jc w:val="both"/>
        <w:rPr>
          <w:rFonts w:ascii="Arial" w:hAnsi="Arial" w:cs="Arial"/>
          <w:b/>
          <w:sz w:val="24"/>
          <w:szCs w:val="24"/>
        </w:rPr>
      </w:pPr>
      <w:r w:rsidRPr="00E50AE4">
        <w:rPr>
          <w:rFonts w:ascii="Arial" w:hAnsi="Arial" w:cs="Arial"/>
          <w:b/>
          <w:sz w:val="24"/>
          <w:szCs w:val="24"/>
        </w:rPr>
        <w:t>Table 14: Number of GP registered patients by gender and broad age groups and by cluster, local authority and health board (2019)</w:t>
      </w:r>
    </w:p>
    <w:tbl>
      <w:tblPr>
        <w:tblW w:w="9360" w:type="dxa"/>
        <w:tblLook w:val="04A0" w:firstRow="1" w:lastRow="0" w:firstColumn="1" w:lastColumn="0" w:noHBand="0" w:noVBand="1"/>
      </w:tblPr>
      <w:tblGrid>
        <w:gridCol w:w="2280"/>
        <w:gridCol w:w="1180"/>
        <w:gridCol w:w="1180"/>
        <w:gridCol w:w="1180"/>
        <w:gridCol w:w="1123"/>
        <w:gridCol w:w="997"/>
        <w:gridCol w:w="1420"/>
      </w:tblGrid>
      <w:tr w:rsidR="00DB3BC0" w:rsidRPr="00DB3BC0" w14:paraId="2CCE3E9B" w14:textId="77777777" w:rsidTr="00DB3BC0">
        <w:trPr>
          <w:trHeight w:val="290"/>
        </w:trPr>
        <w:tc>
          <w:tcPr>
            <w:tcW w:w="2280" w:type="dxa"/>
            <w:tcBorders>
              <w:top w:val="single" w:sz="4" w:space="0" w:color="auto"/>
              <w:left w:val="single" w:sz="4" w:space="0" w:color="auto"/>
              <w:bottom w:val="nil"/>
              <w:right w:val="nil"/>
            </w:tcBorders>
            <w:shd w:val="clear" w:color="000000" w:fill="8497B0"/>
            <w:noWrap/>
            <w:vAlign w:val="bottom"/>
            <w:hideMark/>
          </w:tcPr>
          <w:p w14:paraId="4E79DBB3"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 </w:t>
            </w:r>
          </w:p>
        </w:tc>
        <w:tc>
          <w:tcPr>
            <w:tcW w:w="1180" w:type="dxa"/>
            <w:tcBorders>
              <w:top w:val="single" w:sz="4" w:space="0" w:color="auto"/>
              <w:left w:val="nil"/>
              <w:bottom w:val="nil"/>
              <w:right w:val="nil"/>
            </w:tcBorders>
            <w:shd w:val="clear" w:color="000000" w:fill="8497B0"/>
            <w:noWrap/>
            <w:vAlign w:val="bottom"/>
            <w:hideMark/>
          </w:tcPr>
          <w:p w14:paraId="33EE32E0"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Year</w:t>
            </w:r>
          </w:p>
        </w:tc>
        <w:tc>
          <w:tcPr>
            <w:tcW w:w="2360" w:type="dxa"/>
            <w:gridSpan w:val="2"/>
            <w:tcBorders>
              <w:top w:val="single" w:sz="4" w:space="0" w:color="auto"/>
              <w:left w:val="nil"/>
              <w:bottom w:val="nil"/>
              <w:right w:val="nil"/>
            </w:tcBorders>
            <w:shd w:val="clear" w:color="000000" w:fill="8497B0"/>
            <w:noWrap/>
            <w:vAlign w:val="bottom"/>
            <w:hideMark/>
          </w:tcPr>
          <w:p w14:paraId="542294D7"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Gender</w:t>
            </w:r>
          </w:p>
        </w:tc>
        <w:tc>
          <w:tcPr>
            <w:tcW w:w="3540" w:type="dxa"/>
            <w:gridSpan w:val="3"/>
            <w:tcBorders>
              <w:top w:val="single" w:sz="4" w:space="0" w:color="auto"/>
              <w:left w:val="nil"/>
              <w:bottom w:val="nil"/>
              <w:right w:val="single" w:sz="4" w:space="0" w:color="000000"/>
            </w:tcBorders>
            <w:shd w:val="clear" w:color="000000" w:fill="8497B0"/>
            <w:noWrap/>
            <w:vAlign w:val="bottom"/>
            <w:hideMark/>
          </w:tcPr>
          <w:p w14:paraId="4DB4D14C"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Age range</w:t>
            </w:r>
          </w:p>
        </w:tc>
      </w:tr>
      <w:tr w:rsidR="00DB3BC0" w:rsidRPr="00DB3BC0" w14:paraId="572FE611" w14:textId="77777777" w:rsidTr="00DB3BC0">
        <w:trPr>
          <w:trHeight w:val="290"/>
        </w:trPr>
        <w:tc>
          <w:tcPr>
            <w:tcW w:w="2280" w:type="dxa"/>
            <w:tcBorders>
              <w:top w:val="nil"/>
              <w:left w:val="single" w:sz="4" w:space="0" w:color="auto"/>
              <w:bottom w:val="nil"/>
              <w:right w:val="nil"/>
            </w:tcBorders>
            <w:shd w:val="clear" w:color="000000" w:fill="8497B0"/>
            <w:noWrap/>
            <w:vAlign w:val="bottom"/>
            <w:hideMark/>
          </w:tcPr>
          <w:p w14:paraId="7F448CA8"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 </w:t>
            </w:r>
          </w:p>
        </w:tc>
        <w:tc>
          <w:tcPr>
            <w:tcW w:w="1180" w:type="dxa"/>
            <w:tcBorders>
              <w:top w:val="nil"/>
              <w:left w:val="nil"/>
              <w:bottom w:val="nil"/>
              <w:right w:val="nil"/>
            </w:tcBorders>
            <w:shd w:val="clear" w:color="000000" w:fill="8497B0"/>
            <w:noWrap/>
            <w:vAlign w:val="bottom"/>
            <w:hideMark/>
          </w:tcPr>
          <w:p w14:paraId="03D50CC2"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2019</w:t>
            </w:r>
          </w:p>
        </w:tc>
        <w:tc>
          <w:tcPr>
            <w:tcW w:w="1180" w:type="dxa"/>
            <w:tcBorders>
              <w:top w:val="nil"/>
              <w:left w:val="nil"/>
              <w:bottom w:val="nil"/>
              <w:right w:val="nil"/>
            </w:tcBorders>
            <w:shd w:val="clear" w:color="000000" w:fill="8497B0"/>
            <w:noWrap/>
            <w:vAlign w:val="bottom"/>
            <w:hideMark/>
          </w:tcPr>
          <w:p w14:paraId="1F572E8B"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Female</w:t>
            </w:r>
          </w:p>
        </w:tc>
        <w:tc>
          <w:tcPr>
            <w:tcW w:w="1180" w:type="dxa"/>
            <w:tcBorders>
              <w:top w:val="nil"/>
              <w:left w:val="nil"/>
              <w:bottom w:val="nil"/>
              <w:right w:val="nil"/>
            </w:tcBorders>
            <w:shd w:val="clear" w:color="000000" w:fill="8497B0"/>
            <w:noWrap/>
            <w:vAlign w:val="bottom"/>
            <w:hideMark/>
          </w:tcPr>
          <w:p w14:paraId="6EA14995"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Male</w:t>
            </w:r>
          </w:p>
        </w:tc>
        <w:tc>
          <w:tcPr>
            <w:tcW w:w="1123" w:type="dxa"/>
            <w:tcBorders>
              <w:top w:val="nil"/>
              <w:left w:val="nil"/>
              <w:bottom w:val="nil"/>
              <w:right w:val="nil"/>
            </w:tcBorders>
            <w:shd w:val="clear" w:color="000000" w:fill="8497B0"/>
            <w:noWrap/>
            <w:vAlign w:val="bottom"/>
            <w:hideMark/>
          </w:tcPr>
          <w:p w14:paraId="3C90D715"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Under 65</w:t>
            </w:r>
          </w:p>
        </w:tc>
        <w:tc>
          <w:tcPr>
            <w:tcW w:w="997" w:type="dxa"/>
            <w:tcBorders>
              <w:top w:val="nil"/>
              <w:left w:val="nil"/>
              <w:bottom w:val="nil"/>
              <w:right w:val="nil"/>
            </w:tcBorders>
            <w:shd w:val="clear" w:color="000000" w:fill="8497B0"/>
            <w:noWrap/>
            <w:vAlign w:val="bottom"/>
            <w:hideMark/>
          </w:tcPr>
          <w:p w14:paraId="1B982782"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65 to 84</w:t>
            </w:r>
          </w:p>
        </w:tc>
        <w:tc>
          <w:tcPr>
            <w:tcW w:w="1420" w:type="dxa"/>
            <w:tcBorders>
              <w:top w:val="nil"/>
              <w:left w:val="nil"/>
              <w:bottom w:val="nil"/>
              <w:right w:val="single" w:sz="4" w:space="0" w:color="auto"/>
            </w:tcBorders>
            <w:shd w:val="clear" w:color="000000" w:fill="8497B0"/>
            <w:noWrap/>
            <w:vAlign w:val="bottom"/>
            <w:hideMark/>
          </w:tcPr>
          <w:p w14:paraId="373068C4"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85 and over</w:t>
            </w:r>
          </w:p>
        </w:tc>
      </w:tr>
      <w:tr w:rsidR="00DB3BC0" w:rsidRPr="00DB3BC0" w14:paraId="0FD960E9" w14:textId="77777777" w:rsidTr="00DB3BC0">
        <w:trPr>
          <w:trHeight w:val="290"/>
        </w:trPr>
        <w:tc>
          <w:tcPr>
            <w:tcW w:w="2280" w:type="dxa"/>
            <w:tcBorders>
              <w:top w:val="nil"/>
              <w:left w:val="single" w:sz="4" w:space="0" w:color="auto"/>
              <w:bottom w:val="nil"/>
              <w:right w:val="nil"/>
            </w:tcBorders>
            <w:shd w:val="clear" w:color="000000" w:fill="F2F2F2"/>
            <w:noWrap/>
            <w:vAlign w:val="bottom"/>
            <w:hideMark/>
          </w:tcPr>
          <w:p w14:paraId="639A0339"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Central Vale</w:t>
            </w:r>
          </w:p>
        </w:tc>
        <w:tc>
          <w:tcPr>
            <w:tcW w:w="1180" w:type="dxa"/>
            <w:tcBorders>
              <w:top w:val="nil"/>
              <w:left w:val="nil"/>
              <w:bottom w:val="nil"/>
              <w:right w:val="nil"/>
            </w:tcBorders>
            <w:shd w:val="clear" w:color="000000" w:fill="F2F2F2"/>
            <w:noWrap/>
            <w:vAlign w:val="bottom"/>
            <w:hideMark/>
          </w:tcPr>
          <w:p w14:paraId="267A94E0"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65768</w:t>
            </w:r>
          </w:p>
        </w:tc>
        <w:tc>
          <w:tcPr>
            <w:tcW w:w="1180" w:type="dxa"/>
            <w:tcBorders>
              <w:top w:val="nil"/>
              <w:left w:val="nil"/>
              <w:bottom w:val="nil"/>
              <w:right w:val="nil"/>
            </w:tcBorders>
            <w:shd w:val="clear" w:color="000000" w:fill="F2F2F2"/>
            <w:noWrap/>
            <w:vAlign w:val="bottom"/>
            <w:hideMark/>
          </w:tcPr>
          <w:p w14:paraId="47AE0FD2"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33297</w:t>
            </w:r>
          </w:p>
        </w:tc>
        <w:tc>
          <w:tcPr>
            <w:tcW w:w="1180" w:type="dxa"/>
            <w:tcBorders>
              <w:top w:val="nil"/>
              <w:left w:val="nil"/>
              <w:bottom w:val="nil"/>
              <w:right w:val="nil"/>
            </w:tcBorders>
            <w:shd w:val="clear" w:color="000000" w:fill="F2F2F2"/>
            <w:noWrap/>
            <w:vAlign w:val="bottom"/>
            <w:hideMark/>
          </w:tcPr>
          <w:p w14:paraId="7BA1B8D6"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32471</w:t>
            </w:r>
          </w:p>
        </w:tc>
        <w:tc>
          <w:tcPr>
            <w:tcW w:w="1123" w:type="dxa"/>
            <w:tcBorders>
              <w:top w:val="nil"/>
              <w:left w:val="nil"/>
              <w:bottom w:val="nil"/>
              <w:right w:val="nil"/>
            </w:tcBorders>
            <w:shd w:val="clear" w:color="000000" w:fill="F2F2F2"/>
            <w:noWrap/>
            <w:vAlign w:val="bottom"/>
            <w:hideMark/>
          </w:tcPr>
          <w:p w14:paraId="063CE9E0"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53722</w:t>
            </w:r>
          </w:p>
        </w:tc>
        <w:tc>
          <w:tcPr>
            <w:tcW w:w="997" w:type="dxa"/>
            <w:tcBorders>
              <w:top w:val="nil"/>
              <w:left w:val="nil"/>
              <w:bottom w:val="nil"/>
              <w:right w:val="nil"/>
            </w:tcBorders>
            <w:shd w:val="clear" w:color="000000" w:fill="F2F2F2"/>
            <w:noWrap/>
            <w:vAlign w:val="bottom"/>
            <w:hideMark/>
          </w:tcPr>
          <w:p w14:paraId="69E4DADD"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10541</w:t>
            </w:r>
          </w:p>
        </w:tc>
        <w:tc>
          <w:tcPr>
            <w:tcW w:w="1420" w:type="dxa"/>
            <w:tcBorders>
              <w:top w:val="nil"/>
              <w:left w:val="nil"/>
              <w:bottom w:val="nil"/>
              <w:right w:val="single" w:sz="4" w:space="0" w:color="auto"/>
            </w:tcBorders>
            <w:shd w:val="clear" w:color="000000" w:fill="F2F2F2"/>
            <w:noWrap/>
            <w:vAlign w:val="bottom"/>
            <w:hideMark/>
          </w:tcPr>
          <w:p w14:paraId="0BAD3BBC"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1505</w:t>
            </w:r>
          </w:p>
        </w:tc>
      </w:tr>
      <w:tr w:rsidR="00DB3BC0" w:rsidRPr="00DB3BC0" w14:paraId="24D39A06" w14:textId="77777777" w:rsidTr="00DB3BC0">
        <w:trPr>
          <w:trHeight w:val="290"/>
        </w:trPr>
        <w:tc>
          <w:tcPr>
            <w:tcW w:w="2280" w:type="dxa"/>
            <w:tcBorders>
              <w:top w:val="nil"/>
              <w:left w:val="single" w:sz="4" w:space="0" w:color="auto"/>
              <w:bottom w:val="nil"/>
              <w:right w:val="nil"/>
            </w:tcBorders>
            <w:shd w:val="clear" w:color="auto" w:fill="auto"/>
            <w:noWrap/>
            <w:vAlign w:val="bottom"/>
            <w:hideMark/>
          </w:tcPr>
          <w:p w14:paraId="2167744F"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Vale of Glamorgan</w:t>
            </w:r>
          </w:p>
        </w:tc>
        <w:tc>
          <w:tcPr>
            <w:tcW w:w="1180" w:type="dxa"/>
            <w:tcBorders>
              <w:top w:val="nil"/>
              <w:left w:val="nil"/>
              <w:bottom w:val="nil"/>
              <w:right w:val="nil"/>
            </w:tcBorders>
            <w:shd w:val="clear" w:color="auto" w:fill="auto"/>
            <w:noWrap/>
            <w:vAlign w:val="bottom"/>
            <w:hideMark/>
          </w:tcPr>
          <w:p w14:paraId="18E5ADE1"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131558</w:t>
            </w:r>
          </w:p>
        </w:tc>
        <w:tc>
          <w:tcPr>
            <w:tcW w:w="1180" w:type="dxa"/>
            <w:tcBorders>
              <w:top w:val="nil"/>
              <w:left w:val="nil"/>
              <w:bottom w:val="nil"/>
              <w:right w:val="nil"/>
            </w:tcBorders>
            <w:shd w:val="clear" w:color="auto" w:fill="auto"/>
            <w:noWrap/>
            <w:vAlign w:val="bottom"/>
            <w:hideMark/>
          </w:tcPr>
          <w:p w14:paraId="3E4C468A"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66983</w:t>
            </w:r>
          </w:p>
        </w:tc>
        <w:tc>
          <w:tcPr>
            <w:tcW w:w="1180" w:type="dxa"/>
            <w:tcBorders>
              <w:top w:val="nil"/>
              <w:left w:val="nil"/>
              <w:bottom w:val="nil"/>
              <w:right w:val="nil"/>
            </w:tcBorders>
            <w:shd w:val="clear" w:color="auto" w:fill="auto"/>
            <w:noWrap/>
            <w:vAlign w:val="bottom"/>
            <w:hideMark/>
          </w:tcPr>
          <w:p w14:paraId="0F3ADFA6"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64575</w:t>
            </w:r>
          </w:p>
        </w:tc>
        <w:tc>
          <w:tcPr>
            <w:tcW w:w="1123" w:type="dxa"/>
            <w:tcBorders>
              <w:top w:val="nil"/>
              <w:left w:val="nil"/>
              <w:bottom w:val="nil"/>
              <w:right w:val="nil"/>
            </w:tcBorders>
            <w:shd w:val="clear" w:color="auto" w:fill="auto"/>
            <w:noWrap/>
            <w:vAlign w:val="bottom"/>
            <w:hideMark/>
          </w:tcPr>
          <w:p w14:paraId="60A289AB"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104113</w:t>
            </w:r>
          </w:p>
        </w:tc>
        <w:tc>
          <w:tcPr>
            <w:tcW w:w="997" w:type="dxa"/>
            <w:tcBorders>
              <w:top w:val="nil"/>
              <w:left w:val="nil"/>
              <w:bottom w:val="nil"/>
              <w:right w:val="nil"/>
            </w:tcBorders>
            <w:shd w:val="clear" w:color="auto" w:fill="auto"/>
            <w:noWrap/>
            <w:vAlign w:val="bottom"/>
            <w:hideMark/>
          </w:tcPr>
          <w:p w14:paraId="56883EF6"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23813</w:t>
            </w:r>
          </w:p>
        </w:tc>
        <w:tc>
          <w:tcPr>
            <w:tcW w:w="1420" w:type="dxa"/>
            <w:tcBorders>
              <w:top w:val="nil"/>
              <w:left w:val="nil"/>
              <w:bottom w:val="nil"/>
              <w:right w:val="single" w:sz="4" w:space="0" w:color="auto"/>
            </w:tcBorders>
            <w:shd w:val="clear" w:color="auto" w:fill="auto"/>
            <w:noWrap/>
            <w:vAlign w:val="bottom"/>
            <w:hideMark/>
          </w:tcPr>
          <w:p w14:paraId="43E4350A"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3632</w:t>
            </w:r>
          </w:p>
        </w:tc>
      </w:tr>
      <w:tr w:rsidR="00DB3BC0" w:rsidRPr="00DB3BC0" w14:paraId="62F48ED5" w14:textId="77777777" w:rsidTr="00DB3BC0">
        <w:trPr>
          <w:trHeight w:val="290"/>
        </w:trPr>
        <w:tc>
          <w:tcPr>
            <w:tcW w:w="2280" w:type="dxa"/>
            <w:tcBorders>
              <w:top w:val="nil"/>
              <w:left w:val="single" w:sz="4" w:space="0" w:color="auto"/>
              <w:bottom w:val="single" w:sz="4" w:space="0" w:color="auto"/>
              <w:right w:val="nil"/>
            </w:tcBorders>
            <w:shd w:val="clear" w:color="000000" w:fill="F2F2F2"/>
            <w:noWrap/>
            <w:vAlign w:val="bottom"/>
            <w:hideMark/>
          </w:tcPr>
          <w:p w14:paraId="64C8A667"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Cardiff and Vale UHB</w:t>
            </w:r>
          </w:p>
        </w:tc>
        <w:tc>
          <w:tcPr>
            <w:tcW w:w="1180" w:type="dxa"/>
            <w:tcBorders>
              <w:top w:val="nil"/>
              <w:left w:val="nil"/>
              <w:bottom w:val="single" w:sz="4" w:space="0" w:color="auto"/>
              <w:right w:val="nil"/>
            </w:tcBorders>
            <w:shd w:val="clear" w:color="000000" w:fill="F2F2F2"/>
            <w:noWrap/>
            <w:vAlign w:val="bottom"/>
            <w:hideMark/>
          </w:tcPr>
          <w:p w14:paraId="00A4AF8A"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521177</w:t>
            </w:r>
          </w:p>
        </w:tc>
        <w:tc>
          <w:tcPr>
            <w:tcW w:w="1180" w:type="dxa"/>
            <w:tcBorders>
              <w:top w:val="nil"/>
              <w:left w:val="nil"/>
              <w:bottom w:val="single" w:sz="4" w:space="0" w:color="auto"/>
              <w:right w:val="nil"/>
            </w:tcBorders>
            <w:shd w:val="clear" w:color="000000" w:fill="F2F2F2"/>
            <w:noWrap/>
            <w:vAlign w:val="bottom"/>
            <w:hideMark/>
          </w:tcPr>
          <w:p w14:paraId="48EEE6BF"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260027</w:t>
            </w:r>
          </w:p>
        </w:tc>
        <w:tc>
          <w:tcPr>
            <w:tcW w:w="1180" w:type="dxa"/>
            <w:tcBorders>
              <w:top w:val="nil"/>
              <w:left w:val="nil"/>
              <w:bottom w:val="single" w:sz="4" w:space="0" w:color="auto"/>
              <w:right w:val="nil"/>
            </w:tcBorders>
            <w:shd w:val="clear" w:color="000000" w:fill="F2F2F2"/>
            <w:noWrap/>
            <w:vAlign w:val="bottom"/>
            <w:hideMark/>
          </w:tcPr>
          <w:p w14:paraId="10170E46"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261150</w:t>
            </w:r>
          </w:p>
        </w:tc>
        <w:tc>
          <w:tcPr>
            <w:tcW w:w="1123" w:type="dxa"/>
            <w:tcBorders>
              <w:top w:val="nil"/>
              <w:left w:val="nil"/>
              <w:bottom w:val="single" w:sz="4" w:space="0" w:color="auto"/>
              <w:right w:val="nil"/>
            </w:tcBorders>
            <w:shd w:val="clear" w:color="000000" w:fill="F2F2F2"/>
            <w:noWrap/>
            <w:vAlign w:val="bottom"/>
            <w:hideMark/>
          </w:tcPr>
          <w:p w14:paraId="5F8B4D0C"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439365</w:t>
            </w:r>
          </w:p>
        </w:tc>
        <w:tc>
          <w:tcPr>
            <w:tcW w:w="997" w:type="dxa"/>
            <w:tcBorders>
              <w:top w:val="nil"/>
              <w:left w:val="nil"/>
              <w:bottom w:val="single" w:sz="4" w:space="0" w:color="auto"/>
              <w:right w:val="nil"/>
            </w:tcBorders>
            <w:shd w:val="clear" w:color="000000" w:fill="F2F2F2"/>
            <w:noWrap/>
            <w:vAlign w:val="bottom"/>
            <w:hideMark/>
          </w:tcPr>
          <w:p w14:paraId="7E17B958"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70412</w:t>
            </w:r>
          </w:p>
        </w:tc>
        <w:tc>
          <w:tcPr>
            <w:tcW w:w="1420" w:type="dxa"/>
            <w:tcBorders>
              <w:top w:val="nil"/>
              <w:left w:val="nil"/>
              <w:bottom w:val="single" w:sz="4" w:space="0" w:color="auto"/>
              <w:right w:val="single" w:sz="4" w:space="0" w:color="auto"/>
            </w:tcBorders>
            <w:shd w:val="clear" w:color="000000" w:fill="F2F2F2"/>
            <w:noWrap/>
            <w:vAlign w:val="bottom"/>
            <w:hideMark/>
          </w:tcPr>
          <w:p w14:paraId="6F2E6C10" w14:textId="77777777" w:rsidR="00DB3BC0" w:rsidRPr="00DB3BC0" w:rsidRDefault="00DB3BC0" w:rsidP="00DC54F7">
            <w:pPr>
              <w:spacing w:after="0" w:line="240" w:lineRule="auto"/>
              <w:jc w:val="both"/>
              <w:rPr>
                <w:rFonts w:ascii="Calibri" w:eastAsia="Times New Roman" w:hAnsi="Calibri" w:cs="Calibri"/>
                <w:color w:val="000000"/>
                <w:lang w:eastAsia="en-GB"/>
              </w:rPr>
            </w:pPr>
            <w:r w:rsidRPr="00DB3BC0">
              <w:rPr>
                <w:rFonts w:ascii="Calibri" w:eastAsia="Times New Roman" w:hAnsi="Calibri" w:cs="Calibri"/>
                <w:color w:val="000000"/>
                <w:lang w:eastAsia="en-GB"/>
              </w:rPr>
              <w:t>11400</w:t>
            </w:r>
          </w:p>
        </w:tc>
      </w:tr>
    </w:tbl>
    <w:p w14:paraId="2D03E1CC" w14:textId="2422582E" w:rsidR="00BD7ECB" w:rsidRPr="0070772B" w:rsidRDefault="0070772B" w:rsidP="00DC54F7">
      <w:pPr>
        <w:spacing w:after="0" w:line="240" w:lineRule="auto"/>
        <w:jc w:val="both"/>
        <w:rPr>
          <w:rFonts w:ascii="Arial" w:hAnsi="Arial" w:cs="Arial"/>
          <w:bCs/>
          <w:sz w:val="20"/>
          <w:szCs w:val="20"/>
        </w:rPr>
      </w:pPr>
      <w:r w:rsidRPr="0070772B">
        <w:rPr>
          <w:rFonts w:ascii="Arial" w:hAnsi="Arial" w:cs="Arial"/>
          <w:bCs/>
          <w:sz w:val="20"/>
          <w:szCs w:val="20"/>
        </w:rPr>
        <w:t>Source: StatsWales - NHS Wales Shared Services Partnership.</w:t>
      </w:r>
    </w:p>
    <w:p w14:paraId="10DB179A" w14:textId="77777777" w:rsidR="0070772B" w:rsidRDefault="0070772B" w:rsidP="00DC54F7">
      <w:pPr>
        <w:spacing w:after="0" w:line="240" w:lineRule="auto"/>
        <w:jc w:val="both"/>
        <w:rPr>
          <w:rFonts w:ascii="Arial" w:hAnsi="Arial" w:cs="Arial"/>
          <w:bCs/>
          <w:sz w:val="20"/>
          <w:szCs w:val="20"/>
        </w:rPr>
      </w:pPr>
    </w:p>
    <w:p w14:paraId="25870552" w14:textId="4F6C8299" w:rsidR="0008459A" w:rsidRPr="00294BFA" w:rsidRDefault="0008459A" w:rsidP="00DC54F7">
      <w:pPr>
        <w:spacing w:after="0" w:line="240" w:lineRule="auto"/>
        <w:jc w:val="both"/>
        <w:rPr>
          <w:rFonts w:ascii="Arial" w:hAnsi="Arial" w:cs="Arial"/>
          <w:sz w:val="24"/>
          <w:szCs w:val="24"/>
        </w:rPr>
      </w:pPr>
      <w:r w:rsidRPr="00294BFA">
        <w:rPr>
          <w:rFonts w:ascii="Arial" w:hAnsi="Arial" w:cs="Arial"/>
          <w:sz w:val="24"/>
          <w:szCs w:val="24"/>
        </w:rPr>
        <w:t>Between 2018 to 2028, the population of the Vale of Glamorgan is projected to increase by up to 6%, the second largest percentage increase of all the local authorities within Wales. It is expected to have a population of around 140,000 by 2028, making it the tenth largest local authority in Wales. The increase in population will mainly be driven by net migration i.e. more people moving into the area than out. The number of births is expected to increase over this period as is the number of deaths, resulting in a negative natural change (more deaths than births). The population is expected to increase across all broad age groups. Overall, there will be a small increase in the number of children and young people aged 0 to 15 years old and in the working-age population aged 16 to 64 years old. The largest population increases will be in the over 65 age group, where the Vale of Glamorgan is expected to have the largest increase of all local authorities at up to 20.5%. This is followed by the 75 or over age group. The population is projected to continue to age in the local authority.</w:t>
      </w:r>
    </w:p>
    <w:p w14:paraId="4AEC669C" w14:textId="6A295C5D" w:rsidR="007C469B" w:rsidRDefault="007C469B" w:rsidP="00DC54F7">
      <w:pPr>
        <w:spacing w:after="0" w:line="240" w:lineRule="auto"/>
        <w:jc w:val="both"/>
        <w:rPr>
          <w:rFonts w:ascii="Arial" w:hAnsi="Arial" w:cs="Arial"/>
        </w:rPr>
      </w:pPr>
    </w:p>
    <w:p w14:paraId="4FC958FD" w14:textId="7A67CFC0" w:rsidR="007C469B" w:rsidRDefault="007C469B" w:rsidP="00DC54F7">
      <w:pPr>
        <w:spacing w:after="0" w:line="240" w:lineRule="auto"/>
        <w:jc w:val="both"/>
        <w:rPr>
          <w:rFonts w:ascii="Arial" w:hAnsi="Arial" w:cs="Arial"/>
        </w:rPr>
      </w:pPr>
    </w:p>
    <w:p w14:paraId="1016F126" w14:textId="756ABFD0" w:rsidR="007C469B" w:rsidRPr="005D19B0" w:rsidRDefault="00945DE8" w:rsidP="00DC54F7">
      <w:pPr>
        <w:spacing w:after="0" w:line="240" w:lineRule="auto"/>
        <w:jc w:val="both"/>
        <w:rPr>
          <w:rFonts w:ascii="Arial" w:hAnsi="Arial" w:cs="Arial"/>
          <w:b/>
          <w:bCs/>
          <w:sz w:val="24"/>
          <w:szCs w:val="24"/>
        </w:rPr>
      </w:pPr>
      <w:r>
        <w:rPr>
          <w:rFonts w:ascii="Arial" w:hAnsi="Arial" w:cs="Arial"/>
          <w:b/>
          <w:bCs/>
          <w:sz w:val="24"/>
          <w:szCs w:val="24"/>
        </w:rPr>
        <w:t xml:space="preserve">14.1.2 </w:t>
      </w:r>
      <w:r w:rsidR="007C469B" w:rsidRPr="005D19B0">
        <w:rPr>
          <w:rFonts w:ascii="Arial" w:hAnsi="Arial" w:cs="Arial"/>
          <w:b/>
          <w:bCs/>
          <w:sz w:val="24"/>
          <w:szCs w:val="24"/>
        </w:rPr>
        <w:t>Life expectancy, healthy life expectancy and the ‘inequality gap’</w:t>
      </w:r>
    </w:p>
    <w:p w14:paraId="5B2E01A4" w14:textId="0E846ED2" w:rsidR="007C469B" w:rsidRPr="00DB7FBC" w:rsidRDefault="0022650A" w:rsidP="00DC54F7">
      <w:pPr>
        <w:spacing w:after="0" w:line="240" w:lineRule="auto"/>
        <w:jc w:val="both"/>
        <w:rPr>
          <w:rFonts w:ascii="Arial" w:hAnsi="Arial" w:cs="Arial"/>
          <w:b/>
          <w:bCs/>
        </w:rPr>
      </w:pPr>
      <w:r>
        <w:rPr>
          <w:rFonts w:ascii="Arial" w:hAnsi="Arial" w:cs="Arial"/>
          <w:b/>
          <w:bCs/>
        </w:rPr>
        <w:t xml:space="preserve"> </w:t>
      </w:r>
    </w:p>
    <w:p w14:paraId="0F01CB52" w14:textId="7F2C2BB2" w:rsidR="007C469B" w:rsidRPr="00945DE8" w:rsidRDefault="007C469B" w:rsidP="00DC54F7">
      <w:pPr>
        <w:spacing w:after="0" w:line="240" w:lineRule="auto"/>
        <w:jc w:val="both"/>
        <w:rPr>
          <w:rFonts w:ascii="Arial" w:hAnsi="Arial" w:cs="Arial"/>
          <w:sz w:val="24"/>
          <w:szCs w:val="24"/>
        </w:rPr>
      </w:pPr>
      <w:r w:rsidRPr="00945DE8">
        <w:rPr>
          <w:rFonts w:ascii="Arial" w:hAnsi="Arial" w:cs="Arial"/>
          <w:sz w:val="24"/>
          <w:szCs w:val="24"/>
        </w:rPr>
        <w:t xml:space="preserve">Life expectancy at birth in the Vale of Glamorgan is </w:t>
      </w:r>
      <w:r w:rsidR="00952AD2" w:rsidRPr="00945DE8">
        <w:rPr>
          <w:rFonts w:ascii="Arial" w:hAnsi="Arial" w:cs="Arial"/>
          <w:sz w:val="24"/>
          <w:szCs w:val="24"/>
        </w:rPr>
        <w:t>higher</w:t>
      </w:r>
      <w:r w:rsidRPr="00945DE8">
        <w:rPr>
          <w:rFonts w:ascii="Arial" w:hAnsi="Arial" w:cs="Arial"/>
          <w:sz w:val="24"/>
          <w:szCs w:val="24"/>
        </w:rPr>
        <w:t xml:space="preserve"> than the average for Wales</w:t>
      </w:r>
      <w:r w:rsidR="0022650A" w:rsidRPr="00945DE8">
        <w:rPr>
          <w:rFonts w:ascii="Arial" w:hAnsi="Arial" w:cs="Arial"/>
          <w:sz w:val="24"/>
          <w:szCs w:val="24"/>
        </w:rPr>
        <w:t xml:space="preserve"> and the health board</w:t>
      </w:r>
      <w:r w:rsidRPr="00945DE8">
        <w:rPr>
          <w:rFonts w:ascii="Arial" w:hAnsi="Arial" w:cs="Arial"/>
          <w:sz w:val="24"/>
          <w:szCs w:val="24"/>
        </w:rPr>
        <w:t xml:space="preserve"> for both females and males</w:t>
      </w:r>
      <w:r w:rsidR="005518B4" w:rsidRPr="00945DE8">
        <w:rPr>
          <w:rFonts w:ascii="Arial" w:hAnsi="Arial" w:cs="Arial"/>
          <w:sz w:val="24"/>
          <w:szCs w:val="24"/>
        </w:rPr>
        <w:t>, for 2015 to 2017</w:t>
      </w:r>
      <w:r w:rsidRPr="00945DE8">
        <w:rPr>
          <w:rFonts w:ascii="Arial" w:hAnsi="Arial" w:cs="Arial"/>
          <w:sz w:val="24"/>
          <w:szCs w:val="24"/>
        </w:rPr>
        <w:t xml:space="preserve">. The difference in life expectancy that exists across an area between the most and least deprived areas is referred to as the ‘inequality gap’. The inequality gap in life expectancy at birth between the most and least deprived fifth, for </w:t>
      </w:r>
      <w:r w:rsidR="005518B4" w:rsidRPr="00945DE8">
        <w:rPr>
          <w:rFonts w:ascii="Arial" w:hAnsi="Arial" w:cs="Arial"/>
          <w:sz w:val="24"/>
          <w:szCs w:val="24"/>
        </w:rPr>
        <w:t xml:space="preserve">the Vale of Glamorgan </w:t>
      </w:r>
      <w:r w:rsidRPr="00945DE8">
        <w:rPr>
          <w:rFonts w:ascii="Arial" w:hAnsi="Arial" w:cs="Arial"/>
          <w:sz w:val="24"/>
          <w:szCs w:val="24"/>
        </w:rPr>
        <w:t xml:space="preserve">is </w:t>
      </w:r>
      <w:r w:rsidR="0096527D" w:rsidRPr="00945DE8">
        <w:rPr>
          <w:rFonts w:ascii="Arial" w:hAnsi="Arial" w:cs="Arial"/>
          <w:sz w:val="24"/>
          <w:szCs w:val="24"/>
        </w:rPr>
        <w:t xml:space="preserve">narrower </w:t>
      </w:r>
      <w:r w:rsidRPr="00945DE8">
        <w:rPr>
          <w:rFonts w:ascii="Arial" w:hAnsi="Arial" w:cs="Arial"/>
          <w:sz w:val="24"/>
          <w:szCs w:val="24"/>
        </w:rPr>
        <w:t xml:space="preserve">than </w:t>
      </w:r>
      <w:r w:rsidRPr="00945DE8">
        <w:rPr>
          <w:rFonts w:ascii="Arial" w:hAnsi="Arial" w:cs="Arial"/>
          <w:sz w:val="24"/>
          <w:szCs w:val="24"/>
        </w:rPr>
        <w:lastRenderedPageBreak/>
        <w:t>the average for Wales</w:t>
      </w:r>
      <w:r w:rsidR="00253727" w:rsidRPr="00945DE8">
        <w:rPr>
          <w:rFonts w:ascii="Arial" w:hAnsi="Arial" w:cs="Arial"/>
          <w:sz w:val="24"/>
          <w:szCs w:val="24"/>
        </w:rPr>
        <w:t xml:space="preserve"> </w:t>
      </w:r>
      <w:r w:rsidR="001756CA" w:rsidRPr="00945DE8">
        <w:rPr>
          <w:rFonts w:ascii="Arial" w:hAnsi="Arial" w:cs="Arial"/>
          <w:sz w:val="24"/>
          <w:szCs w:val="24"/>
        </w:rPr>
        <w:t>and the health board</w:t>
      </w:r>
      <w:r w:rsidRPr="00945DE8">
        <w:rPr>
          <w:rFonts w:ascii="Arial" w:hAnsi="Arial" w:cs="Arial"/>
          <w:sz w:val="24"/>
          <w:szCs w:val="24"/>
        </w:rPr>
        <w:t xml:space="preserve"> for both</w:t>
      </w:r>
      <w:r w:rsidR="001756CA" w:rsidRPr="00945DE8">
        <w:rPr>
          <w:rFonts w:ascii="Arial" w:hAnsi="Arial" w:cs="Arial"/>
          <w:sz w:val="24"/>
          <w:szCs w:val="24"/>
        </w:rPr>
        <w:t xml:space="preserve"> </w:t>
      </w:r>
      <w:r w:rsidRPr="00945DE8">
        <w:rPr>
          <w:rFonts w:ascii="Arial" w:hAnsi="Arial" w:cs="Arial"/>
          <w:sz w:val="24"/>
          <w:szCs w:val="24"/>
        </w:rPr>
        <w:t>females</w:t>
      </w:r>
      <w:r w:rsidR="001756CA" w:rsidRPr="00945DE8">
        <w:rPr>
          <w:rFonts w:ascii="Arial" w:hAnsi="Arial" w:cs="Arial"/>
          <w:sz w:val="24"/>
          <w:szCs w:val="24"/>
        </w:rPr>
        <w:t xml:space="preserve"> and males</w:t>
      </w:r>
      <w:r w:rsidRPr="00945DE8">
        <w:rPr>
          <w:rFonts w:ascii="Arial" w:hAnsi="Arial" w:cs="Arial"/>
          <w:sz w:val="24"/>
          <w:szCs w:val="24"/>
        </w:rPr>
        <w:t xml:space="preserve">. The healthy life expectancy (the number of years a person can expect to live in good health) in </w:t>
      </w:r>
      <w:r w:rsidR="001756CA" w:rsidRPr="00945DE8">
        <w:rPr>
          <w:rFonts w:ascii="Arial" w:hAnsi="Arial" w:cs="Arial"/>
          <w:sz w:val="24"/>
          <w:szCs w:val="24"/>
        </w:rPr>
        <w:t>the Vale of Glamorgan</w:t>
      </w:r>
      <w:r w:rsidRPr="00945DE8">
        <w:rPr>
          <w:rFonts w:ascii="Arial" w:hAnsi="Arial" w:cs="Arial"/>
          <w:sz w:val="24"/>
          <w:szCs w:val="24"/>
        </w:rPr>
        <w:t xml:space="preserve"> is </w:t>
      </w:r>
      <w:r w:rsidR="00952AD2" w:rsidRPr="00945DE8">
        <w:rPr>
          <w:rFonts w:ascii="Arial" w:hAnsi="Arial" w:cs="Arial"/>
          <w:sz w:val="24"/>
          <w:szCs w:val="24"/>
        </w:rPr>
        <w:t>also higher</w:t>
      </w:r>
      <w:r w:rsidRPr="00945DE8">
        <w:rPr>
          <w:rFonts w:ascii="Arial" w:hAnsi="Arial" w:cs="Arial"/>
          <w:sz w:val="24"/>
          <w:szCs w:val="24"/>
        </w:rPr>
        <w:t xml:space="preserve"> than the average for Wales</w:t>
      </w:r>
      <w:r w:rsidR="00952AD2" w:rsidRPr="00945DE8">
        <w:rPr>
          <w:rFonts w:ascii="Arial" w:hAnsi="Arial" w:cs="Arial"/>
          <w:sz w:val="24"/>
          <w:szCs w:val="24"/>
        </w:rPr>
        <w:t xml:space="preserve"> and the health board</w:t>
      </w:r>
      <w:r w:rsidRPr="00945DE8">
        <w:rPr>
          <w:rFonts w:ascii="Arial" w:hAnsi="Arial" w:cs="Arial"/>
          <w:sz w:val="24"/>
          <w:szCs w:val="24"/>
        </w:rPr>
        <w:t xml:space="preserve"> for both females and males.</w:t>
      </w:r>
    </w:p>
    <w:p w14:paraId="52E1BAFD" w14:textId="77777777" w:rsidR="007C469B" w:rsidRDefault="007C469B" w:rsidP="00DC54F7">
      <w:pPr>
        <w:spacing w:after="0" w:line="240" w:lineRule="auto"/>
        <w:jc w:val="both"/>
        <w:rPr>
          <w:rFonts w:ascii="Arial" w:hAnsi="Arial" w:cs="Arial"/>
          <w:b/>
          <w:bCs/>
        </w:rPr>
      </w:pPr>
    </w:p>
    <w:p w14:paraId="38CF7093" w14:textId="2FCF7606" w:rsidR="007C469B" w:rsidRPr="00945DE8" w:rsidRDefault="007C469B" w:rsidP="00DC54F7">
      <w:pPr>
        <w:spacing w:after="0" w:line="240" w:lineRule="auto"/>
        <w:jc w:val="both"/>
        <w:rPr>
          <w:rFonts w:ascii="Arial" w:hAnsi="Arial" w:cs="Arial"/>
          <w:b/>
          <w:bCs/>
          <w:sz w:val="24"/>
          <w:szCs w:val="24"/>
        </w:rPr>
      </w:pPr>
      <w:r w:rsidRPr="00945DE8">
        <w:rPr>
          <w:rFonts w:ascii="Arial" w:hAnsi="Arial" w:cs="Arial"/>
          <w:b/>
          <w:bCs/>
          <w:sz w:val="24"/>
          <w:szCs w:val="24"/>
        </w:rPr>
        <w:t xml:space="preserve">Table </w:t>
      </w:r>
      <w:r w:rsidR="001E6890" w:rsidRPr="00945DE8">
        <w:rPr>
          <w:rFonts w:ascii="Arial" w:hAnsi="Arial" w:cs="Arial"/>
          <w:b/>
          <w:bCs/>
          <w:sz w:val="24"/>
          <w:szCs w:val="24"/>
        </w:rPr>
        <w:t>14</w:t>
      </w:r>
      <w:r w:rsidRPr="00945DE8">
        <w:rPr>
          <w:rFonts w:ascii="Arial" w:hAnsi="Arial" w:cs="Arial"/>
          <w:b/>
          <w:bCs/>
          <w:sz w:val="24"/>
          <w:szCs w:val="24"/>
        </w:rPr>
        <w:t xml:space="preserve">.1: Life expectancy, healthy life expectancy and the ‘inequality gap’ (2015 to 2017) </w:t>
      </w:r>
    </w:p>
    <w:tbl>
      <w:tblPr>
        <w:tblW w:w="9229"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188"/>
        <w:gridCol w:w="982"/>
        <w:gridCol w:w="1210"/>
        <w:gridCol w:w="154"/>
        <w:gridCol w:w="1057"/>
        <w:gridCol w:w="1210"/>
        <w:gridCol w:w="79"/>
        <w:gridCol w:w="1132"/>
        <w:gridCol w:w="1217"/>
      </w:tblGrid>
      <w:tr w:rsidR="007C469B" w:rsidRPr="00847226" w14:paraId="7FCEA800" w14:textId="77777777" w:rsidTr="000D163C">
        <w:trPr>
          <w:trHeight w:val="573"/>
        </w:trPr>
        <w:tc>
          <w:tcPr>
            <w:tcW w:w="2188" w:type="dxa"/>
            <w:shd w:val="clear" w:color="000000" w:fill="8497B0"/>
            <w:noWrap/>
            <w:vAlign w:val="bottom"/>
            <w:hideMark/>
          </w:tcPr>
          <w:p w14:paraId="091E8A20" w14:textId="77777777" w:rsidR="007C469B" w:rsidRPr="000D163C" w:rsidRDefault="007C469B" w:rsidP="00DC54F7">
            <w:pPr>
              <w:spacing w:after="0" w:line="240" w:lineRule="auto"/>
              <w:jc w:val="both"/>
              <w:rPr>
                <w:rFonts w:eastAsia="Times New Roman" w:cstheme="minorHAnsi"/>
                <w:lang w:eastAsia="en-GB"/>
              </w:rPr>
            </w:pPr>
            <w:r w:rsidRPr="000D163C">
              <w:rPr>
                <w:rFonts w:eastAsia="Times New Roman" w:cstheme="minorHAnsi"/>
                <w:lang w:eastAsia="en-GB"/>
              </w:rPr>
              <w:t> </w:t>
            </w:r>
          </w:p>
        </w:tc>
        <w:tc>
          <w:tcPr>
            <w:tcW w:w="2346" w:type="dxa"/>
            <w:gridSpan w:val="3"/>
            <w:shd w:val="clear" w:color="000000" w:fill="8497B0"/>
            <w:noWrap/>
            <w:vAlign w:val="bottom"/>
            <w:hideMark/>
          </w:tcPr>
          <w:p w14:paraId="73A5B57A" w14:textId="77777777" w:rsidR="007C469B" w:rsidRPr="000D163C" w:rsidRDefault="007C469B" w:rsidP="00DC54F7">
            <w:pPr>
              <w:spacing w:after="0" w:line="240" w:lineRule="auto"/>
              <w:jc w:val="both"/>
              <w:rPr>
                <w:rFonts w:eastAsia="Times New Roman" w:cstheme="minorHAnsi"/>
                <w:b/>
                <w:bCs/>
                <w:color w:val="FFFFFF"/>
                <w:lang w:eastAsia="en-GB"/>
              </w:rPr>
            </w:pPr>
            <w:r w:rsidRPr="000D163C">
              <w:rPr>
                <w:rFonts w:eastAsia="Times New Roman" w:cstheme="minorHAnsi"/>
                <w:b/>
                <w:bCs/>
                <w:color w:val="FFFFFF"/>
                <w:lang w:eastAsia="en-GB"/>
              </w:rPr>
              <w:t>Life expectancy at birth (years)</w:t>
            </w:r>
          </w:p>
        </w:tc>
        <w:tc>
          <w:tcPr>
            <w:tcW w:w="2346" w:type="dxa"/>
            <w:gridSpan w:val="3"/>
            <w:shd w:val="clear" w:color="000000" w:fill="8497B0"/>
            <w:noWrap/>
            <w:vAlign w:val="bottom"/>
            <w:hideMark/>
          </w:tcPr>
          <w:p w14:paraId="373010F1" w14:textId="77777777" w:rsidR="007C469B" w:rsidRPr="000D163C" w:rsidRDefault="007C469B" w:rsidP="00DC54F7">
            <w:pPr>
              <w:spacing w:after="0" w:line="240" w:lineRule="auto"/>
              <w:jc w:val="both"/>
              <w:rPr>
                <w:rFonts w:eastAsia="Times New Roman" w:cstheme="minorHAnsi"/>
                <w:b/>
                <w:bCs/>
                <w:color w:val="FFFFFF"/>
                <w:lang w:eastAsia="en-GB"/>
              </w:rPr>
            </w:pPr>
            <w:r w:rsidRPr="000D163C">
              <w:rPr>
                <w:rFonts w:eastAsia="Times New Roman" w:cstheme="minorHAnsi"/>
                <w:b/>
                <w:bCs/>
                <w:color w:val="FFFFFF"/>
                <w:lang w:eastAsia="en-GB"/>
              </w:rPr>
              <w:t>Healthy life expectancy (years)</w:t>
            </w:r>
          </w:p>
        </w:tc>
        <w:tc>
          <w:tcPr>
            <w:tcW w:w="2349" w:type="dxa"/>
            <w:gridSpan w:val="2"/>
            <w:shd w:val="clear" w:color="000000" w:fill="8497B0"/>
            <w:noWrap/>
            <w:vAlign w:val="bottom"/>
            <w:hideMark/>
          </w:tcPr>
          <w:p w14:paraId="360B6800" w14:textId="77777777" w:rsidR="00AC48AB" w:rsidRPr="000D163C" w:rsidRDefault="007C469B" w:rsidP="00DC54F7">
            <w:pPr>
              <w:spacing w:after="0" w:line="240" w:lineRule="auto"/>
              <w:jc w:val="both"/>
              <w:rPr>
                <w:rFonts w:eastAsia="Times New Roman" w:cstheme="minorHAnsi"/>
                <w:b/>
                <w:bCs/>
                <w:color w:val="FFFFFF"/>
                <w:lang w:eastAsia="en-GB"/>
              </w:rPr>
            </w:pPr>
            <w:r w:rsidRPr="000D163C">
              <w:rPr>
                <w:rFonts w:eastAsia="Times New Roman" w:cstheme="minorHAnsi"/>
                <w:b/>
                <w:bCs/>
                <w:color w:val="FFFFFF"/>
                <w:lang w:eastAsia="en-GB"/>
              </w:rPr>
              <w:t>Inequality gap</w:t>
            </w:r>
          </w:p>
          <w:p w14:paraId="4A06BEB3" w14:textId="414CB012" w:rsidR="007C469B" w:rsidRPr="000D163C" w:rsidRDefault="007C469B" w:rsidP="00DC54F7">
            <w:pPr>
              <w:spacing w:after="0" w:line="240" w:lineRule="auto"/>
              <w:jc w:val="both"/>
              <w:rPr>
                <w:rFonts w:eastAsia="Times New Roman" w:cstheme="minorHAnsi"/>
                <w:b/>
                <w:bCs/>
                <w:color w:val="FFFFFF"/>
                <w:lang w:eastAsia="en-GB"/>
              </w:rPr>
            </w:pPr>
            <w:r w:rsidRPr="000D163C">
              <w:rPr>
                <w:rFonts w:eastAsia="Times New Roman" w:cstheme="minorHAnsi"/>
                <w:b/>
                <w:bCs/>
                <w:color w:val="FFFFFF"/>
                <w:lang w:eastAsia="en-GB"/>
              </w:rPr>
              <w:t xml:space="preserve"> (years)</w:t>
            </w:r>
          </w:p>
        </w:tc>
      </w:tr>
      <w:tr w:rsidR="00AC48AB" w:rsidRPr="00847226" w14:paraId="759C0961" w14:textId="77777777" w:rsidTr="000D163C">
        <w:trPr>
          <w:trHeight w:val="573"/>
        </w:trPr>
        <w:tc>
          <w:tcPr>
            <w:tcW w:w="2188" w:type="dxa"/>
            <w:shd w:val="clear" w:color="000000" w:fill="8497B0"/>
            <w:noWrap/>
            <w:vAlign w:val="bottom"/>
            <w:hideMark/>
          </w:tcPr>
          <w:p w14:paraId="360FF313" w14:textId="77777777" w:rsidR="007C469B" w:rsidRPr="000D163C" w:rsidRDefault="007C469B" w:rsidP="00DC54F7">
            <w:pPr>
              <w:spacing w:after="0" w:line="240" w:lineRule="auto"/>
              <w:jc w:val="both"/>
              <w:rPr>
                <w:rFonts w:eastAsia="Times New Roman" w:cstheme="minorHAnsi"/>
                <w:b/>
                <w:bCs/>
                <w:color w:val="FFFFFF"/>
                <w:lang w:eastAsia="en-GB"/>
              </w:rPr>
            </w:pPr>
            <w:r w:rsidRPr="000D163C">
              <w:rPr>
                <w:rFonts w:eastAsia="Times New Roman" w:cstheme="minorHAnsi"/>
                <w:b/>
                <w:bCs/>
                <w:color w:val="FFFFFF"/>
                <w:lang w:eastAsia="en-GB"/>
              </w:rPr>
              <w:t> </w:t>
            </w:r>
          </w:p>
        </w:tc>
        <w:tc>
          <w:tcPr>
            <w:tcW w:w="982" w:type="dxa"/>
            <w:shd w:val="clear" w:color="000000" w:fill="8497B0"/>
            <w:vAlign w:val="center"/>
            <w:hideMark/>
          </w:tcPr>
          <w:p w14:paraId="1CECE91C" w14:textId="77777777" w:rsidR="007C469B" w:rsidRPr="000D163C" w:rsidRDefault="007C469B" w:rsidP="00DC54F7">
            <w:pPr>
              <w:spacing w:after="0" w:line="240" w:lineRule="auto"/>
              <w:jc w:val="both"/>
              <w:rPr>
                <w:rFonts w:eastAsia="Times New Roman" w:cstheme="minorHAnsi"/>
                <w:b/>
                <w:bCs/>
                <w:color w:val="FFFFFF"/>
                <w:lang w:eastAsia="en-GB"/>
              </w:rPr>
            </w:pPr>
            <w:r w:rsidRPr="000D163C">
              <w:rPr>
                <w:rFonts w:eastAsia="Times New Roman" w:cstheme="minorHAnsi"/>
                <w:b/>
                <w:bCs/>
                <w:color w:val="FFFFFF"/>
                <w:lang w:eastAsia="en-GB"/>
              </w:rPr>
              <w:t>Females</w:t>
            </w:r>
          </w:p>
        </w:tc>
        <w:tc>
          <w:tcPr>
            <w:tcW w:w="1210" w:type="dxa"/>
            <w:shd w:val="clear" w:color="000000" w:fill="8497B0"/>
            <w:vAlign w:val="center"/>
            <w:hideMark/>
          </w:tcPr>
          <w:p w14:paraId="47B79C68" w14:textId="77777777" w:rsidR="007C469B" w:rsidRPr="000D163C" w:rsidRDefault="007C469B" w:rsidP="00DC54F7">
            <w:pPr>
              <w:spacing w:after="0" w:line="240" w:lineRule="auto"/>
              <w:jc w:val="both"/>
              <w:rPr>
                <w:rFonts w:eastAsia="Times New Roman" w:cstheme="minorHAnsi"/>
                <w:b/>
                <w:bCs/>
                <w:color w:val="FFFFFF"/>
                <w:lang w:eastAsia="en-GB"/>
              </w:rPr>
            </w:pPr>
            <w:r w:rsidRPr="000D163C">
              <w:rPr>
                <w:rFonts w:eastAsia="Times New Roman" w:cstheme="minorHAnsi"/>
                <w:b/>
                <w:bCs/>
                <w:color w:val="FFFFFF"/>
                <w:lang w:eastAsia="en-GB"/>
              </w:rPr>
              <w:t>Males</w:t>
            </w:r>
          </w:p>
        </w:tc>
        <w:tc>
          <w:tcPr>
            <w:tcW w:w="1211" w:type="dxa"/>
            <w:gridSpan w:val="2"/>
            <w:shd w:val="clear" w:color="000000" w:fill="8497B0"/>
            <w:vAlign w:val="center"/>
            <w:hideMark/>
          </w:tcPr>
          <w:p w14:paraId="69F81553" w14:textId="77777777" w:rsidR="007C469B" w:rsidRPr="000D163C" w:rsidRDefault="007C469B" w:rsidP="00DC54F7">
            <w:pPr>
              <w:spacing w:after="0" w:line="240" w:lineRule="auto"/>
              <w:jc w:val="both"/>
              <w:rPr>
                <w:rFonts w:eastAsia="Times New Roman" w:cstheme="minorHAnsi"/>
                <w:b/>
                <w:bCs/>
                <w:color w:val="FFFFFF"/>
                <w:lang w:eastAsia="en-GB"/>
              </w:rPr>
            </w:pPr>
            <w:r w:rsidRPr="000D163C">
              <w:rPr>
                <w:rFonts w:eastAsia="Times New Roman" w:cstheme="minorHAnsi"/>
                <w:b/>
                <w:bCs/>
                <w:color w:val="FFFFFF"/>
                <w:lang w:eastAsia="en-GB"/>
              </w:rPr>
              <w:t>Females</w:t>
            </w:r>
          </w:p>
        </w:tc>
        <w:tc>
          <w:tcPr>
            <w:tcW w:w="1210" w:type="dxa"/>
            <w:shd w:val="clear" w:color="000000" w:fill="8497B0"/>
            <w:vAlign w:val="center"/>
            <w:hideMark/>
          </w:tcPr>
          <w:p w14:paraId="6D56FF4B" w14:textId="77777777" w:rsidR="007C469B" w:rsidRPr="000D163C" w:rsidRDefault="007C469B" w:rsidP="00DC54F7">
            <w:pPr>
              <w:spacing w:after="0" w:line="240" w:lineRule="auto"/>
              <w:jc w:val="both"/>
              <w:rPr>
                <w:rFonts w:eastAsia="Times New Roman" w:cstheme="minorHAnsi"/>
                <w:b/>
                <w:bCs/>
                <w:color w:val="FFFFFF"/>
                <w:lang w:eastAsia="en-GB"/>
              </w:rPr>
            </w:pPr>
            <w:r w:rsidRPr="000D163C">
              <w:rPr>
                <w:rFonts w:eastAsia="Times New Roman" w:cstheme="minorHAnsi"/>
                <w:b/>
                <w:bCs/>
                <w:color w:val="FFFFFF"/>
                <w:lang w:eastAsia="en-GB"/>
              </w:rPr>
              <w:t>Males</w:t>
            </w:r>
          </w:p>
        </w:tc>
        <w:tc>
          <w:tcPr>
            <w:tcW w:w="1211" w:type="dxa"/>
            <w:gridSpan w:val="2"/>
            <w:shd w:val="clear" w:color="000000" w:fill="8497B0"/>
            <w:vAlign w:val="center"/>
            <w:hideMark/>
          </w:tcPr>
          <w:p w14:paraId="3D8CE0E6" w14:textId="77777777" w:rsidR="007C469B" w:rsidRPr="000D163C" w:rsidRDefault="007C469B" w:rsidP="00DC54F7">
            <w:pPr>
              <w:spacing w:after="0" w:line="240" w:lineRule="auto"/>
              <w:jc w:val="both"/>
              <w:rPr>
                <w:rFonts w:eastAsia="Times New Roman" w:cstheme="minorHAnsi"/>
                <w:b/>
                <w:bCs/>
                <w:color w:val="FFFFFF"/>
                <w:lang w:eastAsia="en-GB"/>
              </w:rPr>
            </w:pPr>
            <w:r w:rsidRPr="000D163C">
              <w:rPr>
                <w:rFonts w:eastAsia="Times New Roman" w:cstheme="minorHAnsi"/>
                <w:b/>
                <w:bCs/>
                <w:color w:val="FFFFFF"/>
                <w:lang w:eastAsia="en-GB"/>
              </w:rPr>
              <w:t>Females</w:t>
            </w:r>
          </w:p>
        </w:tc>
        <w:tc>
          <w:tcPr>
            <w:tcW w:w="1216" w:type="dxa"/>
            <w:shd w:val="clear" w:color="000000" w:fill="8497B0"/>
            <w:vAlign w:val="center"/>
            <w:hideMark/>
          </w:tcPr>
          <w:p w14:paraId="609CACBF" w14:textId="77777777" w:rsidR="007C469B" w:rsidRPr="000D163C" w:rsidRDefault="007C469B" w:rsidP="00DC54F7">
            <w:pPr>
              <w:spacing w:after="0" w:line="240" w:lineRule="auto"/>
              <w:jc w:val="both"/>
              <w:rPr>
                <w:rFonts w:eastAsia="Times New Roman" w:cstheme="minorHAnsi"/>
                <w:b/>
                <w:bCs/>
                <w:color w:val="FFFFFF"/>
                <w:lang w:eastAsia="en-GB"/>
              </w:rPr>
            </w:pPr>
            <w:r w:rsidRPr="000D163C">
              <w:rPr>
                <w:rFonts w:eastAsia="Times New Roman" w:cstheme="minorHAnsi"/>
                <w:b/>
                <w:bCs/>
                <w:color w:val="FFFFFF"/>
                <w:lang w:eastAsia="en-GB"/>
              </w:rPr>
              <w:t>Males</w:t>
            </w:r>
          </w:p>
        </w:tc>
      </w:tr>
      <w:tr w:rsidR="00AC48AB" w:rsidRPr="00847226" w14:paraId="0E91D279" w14:textId="77777777" w:rsidTr="000D163C">
        <w:trPr>
          <w:trHeight w:val="283"/>
        </w:trPr>
        <w:tc>
          <w:tcPr>
            <w:tcW w:w="2188" w:type="dxa"/>
            <w:shd w:val="clear" w:color="000000" w:fill="F2F2F2"/>
            <w:noWrap/>
            <w:vAlign w:val="bottom"/>
            <w:hideMark/>
          </w:tcPr>
          <w:p w14:paraId="7E20C0F3" w14:textId="3B54CAC7" w:rsidR="007C469B" w:rsidRPr="000D163C" w:rsidRDefault="006A145F"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Vale of Glamorgan</w:t>
            </w:r>
          </w:p>
        </w:tc>
        <w:tc>
          <w:tcPr>
            <w:tcW w:w="982" w:type="dxa"/>
            <w:shd w:val="clear" w:color="000000" w:fill="F2F2F2"/>
            <w:noWrap/>
            <w:vAlign w:val="bottom"/>
            <w:hideMark/>
          </w:tcPr>
          <w:p w14:paraId="49972E13" w14:textId="18511C00"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8</w:t>
            </w:r>
            <w:r w:rsidR="006A145F" w:rsidRPr="000D163C">
              <w:rPr>
                <w:rFonts w:eastAsia="Times New Roman" w:cstheme="minorHAnsi"/>
                <w:color w:val="000000"/>
                <w:lang w:eastAsia="en-GB"/>
              </w:rPr>
              <w:t>3</w:t>
            </w:r>
            <w:r w:rsidRPr="000D163C">
              <w:rPr>
                <w:rFonts w:eastAsia="Times New Roman" w:cstheme="minorHAnsi"/>
                <w:color w:val="000000"/>
                <w:lang w:eastAsia="en-GB"/>
              </w:rPr>
              <w:t>.</w:t>
            </w:r>
            <w:r w:rsidR="006A145F" w:rsidRPr="000D163C">
              <w:rPr>
                <w:rFonts w:eastAsia="Times New Roman" w:cstheme="minorHAnsi"/>
                <w:color w:val="000000"/>
                <w:lang w:eastAsia="en-GB"/>
              </w:rPr>
              <w:t>4</w:t>
            </w:r>
          </w:p>
        </w:tc>
        <w:tc>
          <w:tcPr>
            <w:tcW w:w="1210" w:type="dxa"/>
            <w:shd w:val="clear" w:color="000000" w:fill="F2F2F2"/>
            <w:noWrap/>
            <w:vAlign w:val="bottom"/>
            <w:hideMark/>
          </w:tcPr>
          <w:p w14:paraId="47CF7C39" w14:textId="2FF68DFE"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78.</w:t>
            </w:r>
            <w:r w:rsidR="006A145F" w:rsidRPr="000D163C">
              <w:rPr>
                <w:rFonts w:eastAsia="Times New Roman" w:cstheme="minorHAnsi"/>
                <w:color w:val="000000"/>
                <w:lang w:eastAsia="en-GB"/>
              </w:rPr>
              <w:t>9</w:t>
            </w:r>
          </w:p>
        </w:tc>
        <w:tc>
          <w:tcPr>
            <w:tcW w:w="1211" w:type="dxa"/>
            <w:gridSpan w:val="2"/>
            <w:shd w:val="clear" w:color="000000" w:fill="F2F2F2"/>
            <w:noWrap/>
            <w:vAlign w:val="bottom"/>
            <w:hideMark/>
          </w:tcPr>
          <w:p w14:paraId="7DDD7111" w14:textId="5A726280"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6</w:t>
            </w:r>
            <w:r w:rsidR="006A145F" w:rsidRPr="000D163C">
              <w:rPr>
                <w:rFonts w:eastAsia="Times New Roman" w:cstheme="minorHAnsi"/>
                <w:color w:val="000000"/>
                <w:lang w:eastAsia="en-GB"/>
              </w:rPr>
              <w:t>4</w:t>
            </w:r>
            <w:r w:rsidRPr="000D163C">
              <w:rPr>
                <w:rFonts w:eastAsia="Times New Roman" w:cstheme="minorHAnsi"/>
                <w:color w:val="000000"/>
                <w:lang w:eastAsia="en-GB"/>
              </w:rPr>
              <w:t>.</w:t>
            </w:r>
            <w:r w:rsidR="006A145F" w:rsidRPr="000D163C">
              <w:rPr>
                <w:rFonts w:eastAsia="Times New Roman" w:cstheme="minorHAnsi"/>
                <w:color w:val="000000"/>
                <w:lang w:eastAsia="en-GB"/>
              </w:rPr>
              <w:t>2</w:t>
            </w:r>
          </w:p>
        </w:tc>
        <w:tc>
          <w:tcPr>
            <w:tcW w:w="1210" w:type="dxa"/>
            <w:shd w:val="clear" w:color="000000" w:fill="F2F2F2"/>
            <w:noWrap/>
            <w:vAlign w:val="bottom"/>
            <w:hideMark/>
          </w:tcPr>
          <w:p w14:paraId="33479BA1" w14:textId="5636A3FB"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6</w:t>
            </w:r>
            <w:r w:rsidR="006A145F" w:rsidRPr="000D163C">
              <w:rPr>
                <w:rFonts w:eastAsia="Times New Roman" w:cstheme="minorHAnsi"/>
                <w:color w:val="000000"/>
                <w:lang w:eastAsia="en-GB"/>
              </w:rPr>
              <w:t>3</w:t>
            </w:r>
            <w:r w:rsidRPr="000D163C">
              <w:rPr>
                <w:rFonts w:eastAsia="Times New Roman" w:cstheme="minorHAnsi"/>
                <w:color w:val="000000"/>
                <w:lang w:eastAsia="en-GB"/>
              </w:rPr>
              <w:t>.</w:t>
            </w:r>
            <w:r w:rsidR="006A145F" w:rsidRPr="000D163C">
              <w:rPr>
                <w:rFonts w:eastAsia="Times New Roman" w:cstheme="minorHAnsi"/>
                <w:color w:val="000000"/>
                <w:lang w:eastAsia="en-GB"/>
              </w:rPr>
              <w:t>1</w:t>
            </w:r>
          </w:p>
        </w:tc>
        <w:tc>
          <w:tcPr>
            <w:tcW w:w="1211" w:type="dxa"/>
            <w:gridSpan w:val="2"/>
            <w:shd w:val="clear" w:color="000000" w:fill="F2F2F2"/>
            <w:noWrap/>
            <w:vAlign w:val="bottom"/>
            <w:hideMark/>
          </w:tcPr>
          <w:p w14:paraId="5D2A2C1B" w14:textId="1F7AA025"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6.</w:t>
            </w:r>
            <w:r w:rsidR="006A145F" w:rsidRPr="000D163C">
              <w:rPr>
                <w:rFonts w:eastAsia="Times New Roman" w:cstheme="minorHAnsi"/>
                <w:color w:val="000000"/>
                <w:lang w:eastAsia="en-GB"/>
              </w:rPr>
              <w:t>0</w:t>
            </w:r>
          </w:p>
        </w:tc>
        <w:tc>
          <w:tcPr>
            <w:tcW w:w="1216" w:type="dxa"/>
            <w:shd w:val="clear" w:color="000000" w:fill="F2F2F2"/>
            <w:noWrap/>
            <w:vAlign w:val="bottom"/>
            <w:hideMark/>
          </w:tcPr>
          <w:p w14:paraId="35EADFA0" w14:textId="7FAE2CA3" w:rsidR="007C469B" w:rsidRPr="000D163C" w:rsidRDefault="006A145F"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7</w:t>
            </w:r>
            <w:r w:rsidR="007C469B" w:rsidRPr="000D163C">
              <w:rPr>
                <w:rFonts w:eastAsia="Times New Roman" w:cstheme="minorHAnsi"/>
                <w:color w:val="000000"/>
                <w:lang w:eastAsia="en-GB"/>
              </w:rPr>
              <w:t>.</w:t>
            </w:r>
            <w:r w:rsidRPr="000D163C">
              <w:rPr>
                <w:rFonts w:eastAsia="Times New Roman" w:cstheme="minorHAnsi"/>
                <w:color w:val="000000"/>
                <w:lang w:eastAsia="en-GB"/>
              </w:rPr>
              <w:t>0</w:t>
            </w:r>
          </w:p>
        </w:tc>
      </w:tr>
      <w:tr w:rsidR="00AC48AB" w:rsidRPr="00847226" w14:paraId="143C81E6" w14:textId="77777777" w:rsidTr="000D163C">
        <w:trPr>
          <w:trHeight w:val="283"/>
        </w:trPr>
        <w:tc>
          <w:tcPr>
            <w:tcW w:w="2188" w:type="dxa"/>
            <w:shd w:val="clear" w:color="auto" w:fill="auto"/>
            <w:noWrap/>
            <w:vAlign w:val="bottom"/>
            <w:hideMark/>
          </w:tcPr>
          <w:p w14:paraId="0B441B2A" w14:textId="77777777"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Cardiff and Vale UHB</w:t>
            </w:r>
          </w:p>
        </w:tc>
        <w:tc>
          <w:tcPr>
            <w:tcW w:w="982" w:type="dxa"/>
            <w:shd w:val="clear" w:color="auto" w:fill="auto"/>
            <w:noWrap/>
            <w:vAlign w:val="bottom"/>
            <w:hideMark/>
          </w:tcPr>
          <w:p w14:paraId="4ED2DE5E" w14:textId="09681F8F"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83</w:t>
            </w:r>
            <w:r w:rsidR="0022650A" w:rsidRPr="000D163C">
              <w:rPr>
                <w:rFonts w:eastAsia="Times New Roman" w:cstheme="minorHAnsi"/>
                <w:color w:val="000000"/>
                <w:lang w:eastAsia="en-GB"/>
              </w:rPr>
              <w:t>.0</w:t>
            </w:r>
          </w:p>
        </w:tc>
        <w:tc>
          <w:tcPr>
            <w:tcW w:w="1210" w:type="dxa"/>
            <w:shd w:val="clear" w:color="auto" w:fill="auto"/>
            <w:noWrap/>
            <w:vAlign w:val="bottom"/>
            <w:hideMark/>
          </w:tcPr>
          <w:p w14:paraId="0AA99A43" w14:textId="77777777"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78.7</w:t>
            </w:r>
          </w:p>
        </w:tc>
        <w:tc>
          <w:tcPr>
            <w:tcW w:w="1211" w:type="dxa"/>
            <w:gridSpan w:val="2"/>
            <w:shd w:val="clear" w:color="auto" w:fill="auto"/>
            <w:noWrap/>
            <w:vAlign w:val="bottom"/>
            <w:hideMark/>
          </w:tcPr>
          <w:p w14:paraId="278FB536" w14:textId="2979AC5E"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62</w:t>
            </w:r>
            <w:r w:rsidR="0022650A" w:rsidRPr="000D163C">
              <w:rPr>
                <w:rFonts w:eastAsia="Times New Roman" w:cstheme="minorHAnsi"/>
                <w:color w:val="000000"/>
                <w:lang w:eastAsia="en-GB"/>
              </w:rPr>
              <w:t>.0</w:t>
            </w:r>
          </w:p>
        </w:tc>
        <w:tc>
          <w:tcPr>
            <w:tcW w:w="1210" w:type="dxa"/>
            <w:shd w:val="clear" w:color="auto" w:fill="auto"/>
            <w:noWrap/>
            <w:vAlign w:val="bottom"/>
            <w:hideMark/>
          </w:tcPr>
          <w:p w14:paraId="4F27AD49" w14:textId="77777777"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61.9</w:t>
            </w:r>
          </w:p>
        </w:tc>
        <w:tc>
          <w:tcPr>
            <w:tcW w:w="1211" w:type="dxa"/>
            <w:gridSpan w:val="2"/>
            <w:shd w:val="clear" w:color="auto" w:fill="auto"/>
            <w:noWrap/>
            <w:vAlign w:val="bottom"/>
            <w:hideMark/>
          </w:tcPr>
          <w:p w14:paraId="402FAD19" w14:textId="77777777"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6.6</w:t>
            </w:r>
          </w:p>
        </w:tc>
        <w:tc>
          <w:tcPr>
            <w:tcW w:w="1216" w:type="dxa"/>
            <w:shd w:val="clear" w:color="auto" w:fill="auto"/>
            <w:noWrap/>
            <w:vAlign w:val="bottom"/>
            <w:hideMark/>
          </w:tcPr>
          <w:p w14:paraId="00108149" w14:textId="77777777"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8.6</w:t>
            </w:r>
          </w:p>
        </w:tc>
      </w:tr>
      <w:tr w:rsidR="00AC48AB" w:rsidRPr="00847226" w14:paraId="77C23402" w14:textId="77777777" w:rsidTr="000D163C">
        <w:trPr>
          <w:trHeight w:val="283"/>
        </w:trPr>
        <w:tc>
          <w:tcPr>
            <w:tcW w:w="2188" w:type="dxa"/>
            <w:shd w:val="clear" w:color="000000" w:fill="F2F2F2"/>
            <w:noWrap/>
            <w:vAlign w:val="bottom"/>
            <w:hideMark/>
          </w:tcPr>
          <w:p w14:paraId="705006C1" w14:textId="77777777"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Wales</w:t>
            </w:r>
          </w:p>
        </w:tc>
        <w:tc>
          <w:tcPr>
            <w:tcW w:w="982" w:type="dxa"/>
            <w:shd w:val="clear" w:color="000000" w:fill="F2F2F2"/>
            <w:noWrap/>
            <w:vAlign w:val="bottom"/>
            <w:hideMark/>
          </w:tcPr>
          <w:p w14:paraId="49201C6F" w14:textId="77777777"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82.3</w:t>
            </w:r>
          </w:p>
        </w:tc>
        <w:tc>
          <w:tcPr>
            <w:tcW w:w="1210" w:type="dxa"/>
            <w:shd w:val="clear" w:color="000000" w:fill="F2F2F2"/>
            <w:noWrap/>
            <w:vAlign w:val="bottom"/>
            <w:hideMark/>
          </w:tcPr>
          <w:p w14:paraId="6FEF9B93" w14:textId="77777777"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78.3</w:t>
            </w:r>
          </w:p>
        </w:tc>
        <w:tc>
          <w:tcPr>
            <w:tcW w:w="1211" w:type="dxa"/>
            <w:gridSpan w:val="2"/>
            <w:shd w:val="clear" w:color="000000" w:fill="F2F2F2"/>
            <w:noWrap/>
            <w:vAlign w:val="bottom"/>
            <w:hideMark/>
          </w:tcPr>
          <w:p w14:paraId="56303AA8" w14:textId="27A41801"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62</w:t>
            </w:r>
            <w:r w:rsidR="0022650A" w:rsidRPr="000D163C">
              <w:rPr>
                <w:rFonts w:eastAsia="Times New Roman" w:cstheme="minorHAnsi"/>
                <w:color w:val="000000"/>
                <w:lang w:eastAsia="en-GB"/>
              </w:rPr>
              <w:t>.0</w:t>
            </w:r>
          </w:p>
        </w:tc>
        <w:tc>
          <w:tcPr>
            <w:tcW w:w="1210" w:type="dxa"/>
            <w:shd w:val="clear" w:color="000000" w:fill="F2F2F2"/>
            <w:noWrap/>
            <w:vAlign w:val="bottom"/>
            <w:hideMark/>
          </w:tcPr>
          <w:p w14:paraId="13471A5F" w14:textId="77777777"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61.4</w:t>
            </w:r>
          </w:p>
        </w:tc>
        <w:tc>
          <w:tcPr>
            <w:tcW w:w="1211" w:type="dxa"/>
            <w:gridSpan w:val="2"/>
            <w:shd w:val="clear" w:color="000000" w:fill="F2F2F2"/>
            <w:noWrap/>
            <w:vAlign w:val="bottom"/>
            <w:hideMark/>
          </w:tcPr>
          <w:p w14:paraId="29CB7219" w14:textId="77777777"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6.1</w:t>
            </w:r>
          </w:p>
        </w:tc>
        <w:tc>
          <w:tcPr>
            <w:tcW w:w="1216" w:type="dxa"/>
            <w:shd w:val="clear" w:color="000000" w:fill="F2F2F2"/>
            <w:noWrap/>
            <w:vAlign w:val="bottom"/>
            <w:hideMark/>
          </w:tcPr>
          <w:p w14:paraId="7CE4FCC6" w14:textId="77777777" w:rsidR="007C469B" w:rsidRPr="000D163C" w:rsidRDefault="007C469B" w:rsidP="00DC54F7">
            <w:pPr>
              <w:spacing w:after="0" w:line="240" w:lineRule="auto"/>
              <w:jc w:val="both"/>
              <w:rPr>
                <w:rFonts w:eastAsia="Times New Roman" w:cstheme="minorHAnsi"/>
                <w:color w:val="000000"/>
                <w:lang w:eastAsia="en-GB"/>
              </w:rPr>
            </w:pPr>
            <w:r w:rsidRPr="000D163C">
              <w:rPr>
                <w:rFonts w:eastAsia="Times New Roman" w:cstheme="minorHAnsi"/>
                <w:color w:val="000000"/>
                <w:lang w:eastAsia="en-GB"/>
              </w:rPr>
              <w:t>7.4</w:t>
            </w:r>
          </w:p>
        </w:tc>
      </w:tr>
    </w:tbl>
    <w:p w14:paraId="70522922" w14:textId="77777777" w:rsidR="007C469B" w:rsidRPr="00945DE8" w:rsidRDefault="007C469B" w:rsidP="00DC54F7">
      <w:pPr>
        <w:spacing w:after="0" w:line="240" w:lineRule="auto"/>
        <w:jc w:val="both"/>
        <w:rPr>
          <w:rFonts w:ascii="Arial" w:hAnsi="Arial" w:cs="Arial"/>
          <w:sz w:val="20"/>
          <w:szCs w:val="20"/>
        </w:rPr>
      </w:pPr>
      <w:r w:rsidRPr="00945DE8">
        <w:rPr>
          <w:rFonts w:ascii="Arial" w:hAnsi="Arial" w:cs="Arial"/>
          <w:sz w:val="20"/>
          <w:szCs w:val="20"/>
        </w:rPr>
        <w:t>Source: Public Health Wales Observatory PHOF Tool (2017) using ONS and WG data</w:t>
      </w:r>
    </w:p>
    <w:p w14:paraId="1B00F9A9" w14:textId="77777777" w:rsidR="007C469B" w:rsidRDefault="007C469B" w:rsidP="00DC54F7">
      <w:pPr>
        <w:spacing w:after="0" w:line="240" w:lineRule="auto"/>
        <w:jc w:val="both"/>
        <w:rPr>
          <w:rFonts w:ascii="Arial" w:hAnsi="Arial" w:cs="Arial"/>
        </w:rPr>
      </w:pPr>
    </w:p>
    <w:p w14:paraId="3EB121FA" w14:textId="77777777" w:rsidR="00CD7A5C" w:rsidRDefault="00CD7A5C" w:rsidP="00DC54F7">
      <w:pPr>
        <w:spacing w:after="0" w:line="240" w:lineRule="auto"/>
        <w:jc w:val="both"/>
        <w:rPr>
          <w:rFonts w:ascii="Arial" w:hAnsi="Arial" w:cs="Arial"/>
          <w:b/>
          <w:bCs/>
          <w:sz w:val="24"/>
          <w:szCs w:val="24"/>
        </w:rPr>
      </w:pPr>
    </w:p>
    <w:p w14:paraId="0F768910" w14:textId="06D89AA3" w:rsidR="007C469B" w:rsidRPr="000D163C" w:rsidRDefault="00D72996" w:rsidP="00DC54F7">
      <w:pPr>
        <w:spacing w:after="0" w:line="240" w:lineRule="auto"/>
        <w:jc w:val="both"/>
        <w:rPr>
          <w:rFonts w:ascii="Arial" w:hAnsi="Arial" w:cs="Arial"/>
          <w:b/>
          <w:bCs/>
          <w:sz w:val="24"/>
          <w:szCs w:val="24"/>
        </w:rPr>
      </w:pPr>
      <w:r>
        <w:rPr>
          <w:rFonts w:ascii="Arial" w:hAnsi="Arial" w:cs="Arial"/>
          <w:b/>
          <w:bCs/>
          <w:sz w:val="24"/>
          <w:szCs w:val="24"/>
        </w:rPr>
        <w:t xml:space="preserve">14.1.3 </w:t>
      </w:r>
      <w:r w:rsidR="007C469B" w:rsidRPr="000D163C">
        <w:rPr>
          <w:rFonts w:ascii="Arial" w:hAnsi="Arial" w:cs="Arial"/>
          <w:b/>
          <w:bCs/>
          <w:sz w:val="24"/>
          <w:szCs w:val="24"/>
        </w:rPr>
        <w:t>Deprivation</w:t>
      </w:r>
    </w:p>
    <w:p w14:paraId="5174D4EC" w14:textId="77777777" w:rsidR="007C469B" w:rsidRPr="000D163C" w:rsidRDefault="007C469B" w:rsidP="00DC54F7">
      <w:pPr>
        <w:spacing w:after="0" w:line="240" w:lineRule="auto"/>
        <w:jc w:val="both"/>
        <w:rPr>
          <w:rFonts w:ascii="Arial" w:hAnsi="Arial" w:cs="Arial"/>
          <w:sz w:val="24"/>
          <w:szCs w:val="24"/>
        </w:rPr>
      </w:pPr>
    </w:p>
    <w:p w14:paraId="0A193EB9" w14:textId="77777777" w:rsidR="007C469B" w:rsidRPr="000D163C" w:rsidRDefault="007C469B" w:rsidP="00DC54F7">
      <w:pPr>
        <w:spacing w:after="0" w:line="240" w:lineRule="auto"/>
        <w:jc w:val="both"/>
        <w:rPr>
          <w:rFonts w:ascii="Arial" w:hAnsi="Arial" w:cs="Arial"/>
          <w:sz w:val="24"/>
          <w:szCs w:val="24"/>
        </w:rPr>
      </w:pPr>
      <w:r w:rsidRPr="000D163C">
        <w:rPr>
          <w:rFonts w:ascii="Arial" w:hAnsi="Arial" w:cs="Arial"/>
          <w:sz w:val="24"/>
          <w:szCs w:val="24"/>
        </w:rPr>
        <w:t xml:space="preserve">Deprivation is the lack of access to opportunities and resources which might be expected in society. The Welsh Index of Multiple Deprivation (WIMD) allows for the ranking of small areas, called Lower layer Super Output Areas (LSOAs) in Wales to determine whether an area is more or less deprived compared to all other small areas in Wales.  </w:t>
      </w:r>
    </w:p>
    <w:p w14:paraId="058802A5" w14:textId="77777777" w:rsidR="007C469B" w:rsidRPr="000D163C" w:rsidRDefault="007C469B" w:rsidP="00DC54F7">
      <w:pPr>
        <w:spacing w:after="0" w:line="240" w:lineRule="auto"/>
        <w:jc w:val="both"/>
        <w:rPr>
          <w:rFonts w:ascii="Arial" w:hAnsi="Arial" w:cs="Arial"/>
          <w:sz w:val="24"/>
          <w:szCs w:val="24"/>
        </w:rPr>
      </w:pPr>
    </w:p>
    <w:p w14:paraId="4DDA39B3" w14:textId="0577445C" w:rsidR="007C469B" w:rsidRPr="000D163C" w:rsidRDefault="007C469B" w:rsidP="00DC54F7">
      <w:pPr>
        <w:spacing w:after="0" w:line="240" w:lineRule="auto"/>
        <w:jc w:val="both"/>
        <w:rPr>
          <w:rFonts w:ascii="Arial" w:hAnsi="Arial" w:cs="Arial"/>
          <w:sz w:val="24"/>
          <w:szCs w:val="24"/>
        </w:rPr>
      </w:pPr>
      <w:r w:rsidRPr="000D163C">
        <w:rPr>
          <w:rFonts w:ascii="Arial" w:hAnsi="Arial" w:cs="Arial"/>
          <w:sz w:val="24"/>
          <w:szCs w:val="24"/>
        </w:rPr>
        <w:t xml:space="preserve">Overall, </w:t>
      </w:r>
      <w:r w:rsidR="005E5B0B" w:rsidRPr="000D163C">
        <w:rPr>
          <w:rFonts w:ascii="Arial" w:hAnsi="Arial" w:cs="Arial"/>
          <w:sz w:val="24"/>
          <w:szCs w:val="24"/>
        </w:rPr>
        <w:t>the Vale of Glamorgan</w:t>
      </w:r>
      <w:r w:rsidR="00F2796D" w:rsidRPr="000D163C">
        <w:rPr>
          <w:rFonts w:ascii="Arial" w:hAnsi="Arial" w:cs="Arial"/>
          <w:sz w:val="24"/>
          <w:szCs w:val="24"/>
        </w:rPr>
        <w:t xml:space="preserve"> (</w:t>
      </w:r>
      <w:r w:rsidR="003E40A5" w:rsidRPr="000D163C">
        <w:rPr>
          <w:rFonts w:ascii="Arial" w:hAnsi="Arial" w:cs="Arial"/>
          <w:sz w:val="24"/>
          <w:szCs w:val="24"/>
        </w:rPr>
        <w:t xml:space="preserve">13%) </w:t>
      </w:r>
      <w:r w:rsidRPr="000D163C">
        <w:rPr>
          <w:rFonts w:ascii="Arial" w:hAnsi="Arial" w:cs="Arial"/>
          <w:sz w:val="24"/>
          <w:szCs w:val="24"/>
        </w:rPr>
        <w:t xml:space="preserve">has a </w:t>
      </w:r>
      <w:r w:rsidR="0041373D" w:rsidRPr="000D163C">
        <w:rPr>
          <w:rFonts w:ascii="Arial" w:hAnsi="Arial" w:cs="Arial"/>
          <w:sz w:val="24"/>
          <w:szCs w:val="24"/>
        </w:rPr>
        <w:t xml:space="preserve">lower </w:t>
      </w:r>
      <w:r w:rsidRPr="000D163C">
        <w:rPr>
          <w:rFonts w:ascii="Arial" w:hAnsi="Arial" w:cs="Arial"/>
          <w:sz w:val="24"/>
          <w:szCs w:val="24"/>
        </w:rPr>
        <w:t xml:space="preserve">percentage of LSOAs in the most deprived 10% </w:t>
      </w:r>
      <w:r w:rsidR="00F2796D" w:rsidRPr="000D163C">
        <w:rPr>
          <w:rFonts w:ascii="Arial" w:hAnsi="Arial" w:cs="Arial"/>
          <w:sz w:val="24"/>
          <w:szCs w:val="24"/>
        </w:rPr>
        <w:t xml:space="preserve">and 20% </w:t>
      </w:r>
      <w:r w:rsidRPr="000D163C">
        <w:rPr>
          <w:rFonts w:ascii="Arial" w:hAnsi="Arial" w:cs="Arial"/>
          <w:sz w:val="24"/>
          <w:szCs w:val="24"/>
        </w:rPr>
        <w:t xml:space="preserve">of LSOAs in Wales </w:t>
      </w:r>
      <w:r w:rsidR="0041373D" w:rsidRPr="000D163C">
        <w:rPr>
          <w:rFonts w:ascii="Arial" w:hAnsi="Arial" w:cs="Arial"/>
          <w:sz w:val="24"/>
          <w:szCs w:val="24"/>
        </w:rPr>
        <w:t xml:space="preserve">relative to </w:t>
      </w:r>
      <w:r w:rsidR="00FC7860" w:rsidRPr="000D163C">
        <w:rPr>
          <w:rFonts w:ascii="Arial" w:hAnsi="Arial" w:cs="Arial"/>
          <w:sz w:val="24"/>
          <w:szCs w:val="24"/>
        </w:rPr>
        <w:t>Cardiff and Vale University Health Board</w:t>
      </w:r>
      <w:r w:rsidR="00F2796D" w:rsidRPr="000D163C">
        <w:rPr>
          <w:rFonts w:ascii="Arial" w:hAnsi="Arial" w:cs="Arial"/>
          <w:sz w:val="24"/>
          <w:szCs w:val="24"/>
        </w:rPr>
        <w:t xml:space="preserve"> (24%).</w:t>
      </w:r>
      <w:r w:rsidR="003E40A5" w:rsidRPr="000D163C">
        <w:rPr>
          <w:rFonts w:ascii="Arial" w:hAnsi="Arial" w:cs="Arial"/>
          <w:sz w:val="24"/>
          <w:szCs w:val="24"/>
        </w:rPr>
        <w:t xml:space="preserve"> When considering the </w:t>
      </w:r>
      <w:r w:rsidR="005678B7" w:rsidRPr="000D163C">
        <w:rPr>
          <w:rFonts w:ascii="Arial" w:hAnsi="Arial" w:cs="Arial"/>
          <w:sz w:val="24"/>
          <w:szCs w:val="24"/>
        </w:rPr>
        <w:t xml:space="preserve">domains for income, </w:t>
      </w:r>
      <w:r w:rsidR="00466245">
        <w:rPr>
          <w:rFonts w:ascii="Arial" w:hAnsi="Arial" w:cs="Arial"/>
          <w:sz w:val="24"/>
          <w:szCs w:val="24"/>
        </w:rPr>
        <w:t>health</w:t>
      </w:r>
      <w:r w:rsidR="00E466B5">
        <w:rPr>
          <w:rFonts w:ascii="Arial" w:hAnsi="Arial" w:cs="Arial"/>
          <w:sz w:val="24"/>
          <w:szCs w:val="24"/>
        </w:rPr>
        <w:t xml:space="preserve"> and </w:t>
      </w:r>
      <w:r w:rsidR="00C16CC7" w:rsidRPr="000D163C">
        <w:rPr>
          <w:rFonts w:ascii="Arial" w:hAnsi="Arial" w:cs="Arial"/>
          <w:sz w:val="24"/>
          <w:szCs w:val="24"/>
        </w:rPr>
        <w:t>employment</w:t>
      </w:r>
      <w:r w:rsidR="00ED419C" w:rsidRPr="000D163C">
        <w:rPr>
          <w:rFonts w:ascii="Arial" w:hAnsi="Arial" w:cs="Arial"/>
          <w:sz w:val="24"/>
          <w:szCs w:val="24"/>
        </w:rPr>
        <w:t xml:space="preserve">, all the </w:t>
      </w:r>
      <w:r w:rsidR="001D3C0C" w:rsidRPr="000D163C">
        <w:rPr>
          <w:rFonts w:ascii="Arial" w:hAnsi="Arial" w:cs="Arial"/>
          <w:sz w:val="24"/>
          <w:szCs w:val="24"/>
        </w:rPr>
        <w:t xml:space="preserve">LSOAs in the </w:t>
      </w:r>
      <w:r w:rsidR="005B5F96" w:rsidRPr="000D163C">
        <w:rPr>
          <w:rFonts w:ascii="Arial" w:hAnsi="Arial" w:cs="Arial"/>
          <w:sz w:val="24"/>
          <w:szCs w:val="24"/>
        </w:rPr>
        <w:t>most deprived 10% and 20% of LSOAs in Wales</w:t>
      </w:r>
      <w:r w:rsidR="00EF48AA" w:rsidRPr="000D163C">
        <w:rPr>
          <w:rFonts w:ascii="Arial" w:hAnsi="Arial" w:cs="Arial"/>
          <w:sz w:val="24"/>
          <w:szCs w:val="24"/>
        </w:rPr>
        <w:t xml:space="preserve"> for the Vale of Glamorgan </w:t>
      </w:r>
      <w:r w:rsidR="00ED419C" w:rsidRPr="000D163C">
        <w:rPr>
          <w:rFonts w:ascii="Arial" w:hAnsi="Arial" w:cs="Arial"/>
          <w:sz w:val="24"/>
          <w:szCs w:val="24"/>
        </w:rPr>
        <w:t xml:space="preserve">can be found </w:t>
      </w:r>
      <w:r w:rsidR="0028248D" w:rsidRPr="000D163C">
        <w:rPr>
          <w:rFonts w:ascii="Arial" w:hAnsi="Arial" w:cs="Arial"/>
          <w:sz w:val="24"/>
          <w:szCs w:val="24"/>
        </w:rPr>
        <w:t xml:space="preserve">in </w:t>
      </w:r>
      <w:r w:rsidR="009D7588">
        <w:rPr>
          <w:rFonts w:ascii="Arial" w:hAnsi="Arial" w:cs="Arial"/>
          <w:sz w:val="24"/>
          <w:szCs w:val="24"/>
        </w:rPr>
        <w:t xml:space="preserve">and around </w:t>
      </w:r>
      <w:r w:rsidR="0028248D" w:rsidRPr="000D163C">
        <w:rPr>
          <w:rFonts w:ascii="Arial" w:hAnsi="Arial" w:cs="Arial"/>
          <w:sz w:val="24"/>
          <w:szCs w:val="24"/>
        </w:rPr>
        <w:t>Barry</w:t>
      </w:r>
      <w:r w:rsidR="00ED419C" w:rsidRPr="000D163C">
        <w:rPr>
          <w:rFonts w:ascii="Arial" w:hAnsi="Arial" w:cs="Arial"/>
          <w:sz w:val="24"/>
          <w:szCs w:val="24"/>
        </w:rPr>
        <w:t xml:space="preserve">. </w:t>
      </w:r>
    </w:p>
    <w:p w14:paraId="1DB757E3" w14:textId="1DB354BE" w:rsidR="002E67B3" w:rsidRDefault="002E67B3" w:rsidP="00DC54F7">
      <w:pPr>
        <w:spacing w:after="0" w:line="240" w:lineRule="auto"/>
        <w:jc w:val="both"/>
        <w:rPr>
          <w:rFonts w:ascii="Arial" w:hAnsi="Arial" w:cs="Arial"/>
        </w:rPr>
      </w:pPr>
    </w:p>
    <w:p w14:paraId="6A8D40DF" w14:textId="058BCC97" w:rsidR="00AA31A0" w:rsidRDefault="002E67B3" w:rsidP="00DC54F7">
      <w:pPr>
        <w:spacing w:after="0" w:line="240" w:lineRule="auto"/>
        <w:contextualSpacing/>
        <w:jc w:val="both"/>
        <w:rPr>
          <w:rFonts w:ascii="Arial" w:hAnsi="Arial" w:cs="Arial"/>
          <w:b/>
          <w:bCs/>
        </w:rPr>
      </w:pPr>
      <w:r>
        <w:rPr>
          <w:rFonts w:ascii="Arial" w:hAnsi="Arial" w:cs="Arial"/>
          <w:b/>
          <w:bCs/>
        </w:rPr>
        <w:t>Table 1</w:t>
      </w:r>
      <w:r w:rsidR="001E6890">
        <w:rPr>
          <w:rFonts w:ascii="Arial" w:hAnsi="Arial" w:cs="Arial"/>
          <w:b/>
          <w:bCs/>
        </w:rPr>
        <w:t>4</w:t>
      </w:r>
      <w:r>
        <w:rPr>
          <w:rFonts w:ascii="Arial" w:hAnsi="Arial" w:cs="Arial"/>
          <w:b/>
          <w:bCs/>
        </w:rPr>
        <w:t xml:space="preserve">.2: Number </w:t>
      </w:r>
      <w:r w:rsidRPr="001A1A2C">
        <w:rPr>
          <w:rFonts w:ascii="Arial" w:hAnsi="Arial" w:cs="Arial"/>
          <w:b/>
          <w:bCs/>
        </w:rPr>
        <w:t xml:space="preserve">of LSOAs </w:t>
      </w:r>
      <w:r>
        <w:rPr>
          <w:rFonts w:ascii="Arial" w:hAnsi="Arial" w:cs="Arial"/>
          <w:b/>
          <w:bCs/>
        </w:rPr>
        <w:t xml:space="preserve">within the 10% and 20% most deprived LSOAs in Wales </w:t>
      </w:r>
      <w:r w:rsidRPr="001A1A2C">
        <w:rPr>
          <w:rFonts w:ascii="Arial" w:hAnsi="Arial" w:cs="Arial"/>
          <w:b/>
          <w:bCs/>
        </w:rPr>
        <w:t xml:space="preserve">by </w:t>
      </w:r>
      <w:r>
        <w:rPr>
          <w:rFonts w:ascii="Arial" w:hAnsi="Arial" w:cs="Arial"/>
          <w:b/>
          <w:bCs/>
        </w:rPr>
        <w:t>cluster, local</w:t>
      </w:r>
      <w:r w:rsidRPr="001A1A2C">
        <w:rPr>
          <w:rFonts w:ascii="Arial" w:hAnsi="Arial" w:cs="Arial"/>
          <w:b/>
          <w:bCs/>
        </w:rPr>
        <w:t xml:space="preserve"> </w:t>
      </w:r>
      <w:r w:rsidR="00C16CC7" w:rsidRPr="001A1A2C">
        <w:rPr>
          <w:rFonts w:ascii="Arial" w:hAnsi="Arial" w:cs="Arial"/>
          <w:b/>
          <w:bCs/>
        </w:rPr>
        <w:t>authority,</w:t>
      </w:r>
      <w:r w:rsidRPr="001A1A2C">
        <w:rPr>
          <w:rFonts w:ascii="Arial" w:hAnsi="Arial" w:cs="Arial"/>
          <w:b/>
          <w:bCs/>
        </w:rPr>
        <w:t xml:space="preserve"> </w:t>
      </w:r>
      <w:r>
        <w:rPr>
          <w:rFonts w:ascii="Arial" w:hAnsi="Arial" w:cs="Arial"/>
          <w:b/>
          <w:bCs/>
        </w:rPr>
        <w:t>and health board for the domains of income,</w:t>
      </w:r>
      <w:r w:rsidR="00466245">
        <w:rPr>
          <w:rFonts w:ascii="Arial" w:hAnsi="Arial" w:cs="Arial"/>
          <w:b/>
          <w:bCs/>
        </w:rPr>
        <w:t xml:space="preserve"> health,</w:t>
      </w:r>
      <w:r>
        <w:rPr>
          <w:rFonts w:ascii="Arial" w:hAnsi="Arial" w:cs="Arial"/>
          <w:b/>
          <w:bCs/>
        </w:rPr>
        <w:t xml:space="preserve"> employment</w:t>
      </w:r>
      <w:r w:rsidR="00466245">
        <w:rPr>
          <w:rFonts w:ascii="Arial" w:hAnsi="Arial" w:cs="Arial"/>
          <w:b/>
          <w:bCs/>
        </w:rPr>
        <w:t xml:space="preserve"> </w:t>
      </w:r>
      <w:r>
        <w:rPr>
          <w:rFonts w:ascii="Arial" w:hAnsi="Arial" w:cs="Arial"/>
          <w:b/>
          <w:bCs/>
        </w:rPr>
        <w:t>and access to services, Welsh Index of Multiple Deprivation 2019</w:t>
      </w:r>
    </w:p>
    <w:tbl>
      <w:tblPr>
        <w:tblW w:w="9360"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104"/>
        <w:gridCol w:w="906"/>
        <w:gridCol w:w="907"/>
        <w:gridCol w:w="906"/>
        <w:gridCol w:w="907"/>
        <w:gridCol w:w="906"/>
        <w:gridCol w:w="907"/>
        <w:gridCol w:w="906"/>
        <w:gridCol w:w="911"/>
      </w:tblGrid>
      <w:tr w:rsidR="00AA31A0" w:rsidRPr="00AA31A0" w14:paraId="1019AFA2" w14:textId="77777777" w:rsidTr="00AA31A0">
        <w:trPr>
          <w:trHeight w:val="299"/>
        </w:trPr>
        <w:tc>
          <w:tcPr>
            <w:tcW w:w="2104" w:type="dxa"/>
            <w:shd w:val="clear" w:color="000000" w:fill="8497B0"/>
            <w:noWrap/>
            <w:vAlign w:val="bottom"/>
            <w:hideMark/>
          </w:tcPr>
          <w:p w14:paraId="4DAC09D0" w14:textId="77777777" w:rsidR="00AA31A0" w:rsidRPr="00AA31A0" w:rsidRDefault="00AA31A0" w:rsidP="00DC54F7">
            <w:pPr>
              <w:spacing w:after="0" w:line="240" w:lineRule="auto"/>
              <w:jc w:val="both"/>
              <w:rPr>
                <w:rFonts w:eastAsia="Times New Roman" w:cstheme="minorHAnsi"/>
                <w:lang w:eastAsia="en-GB"/>
              </w:rPr>
            </w:pPr>
            <w:r w:rsidRPr="00AA31A0">
              <w:rPr>
                <w:rFonts w:eastAsia="Times New Roman" w:cstheme="minorHAnsi"/>
                <w:lang w:eastAsia="en-GB"/>
              </w:rPr>
              <w:t> </w:t>
            </w:r>
          </w:p>
        </w:tc>
        <w:tc>
          <w:tcPr>
            <w:tcW w:w="1813" w:type="dxa"/>
            <w:gridSpan w:val="2"/>
            <w:shd w:val="clear" w:color="000000" w:fill="8497B0"/>
            <w:noWrap/>
            <w:vAlign w:val="bottom"/>
            <w:hideMark/>
          </w:tcPr>
          <w:p w14:paraId="5C015F15" w14:textId="77777777" w:rsidR="00AA31A0" w:rsidRPr="00AA31A0" w:rsidRDefault="00AA31A0" w:rsidP="00DC54F7">
            <w:pPr>
              <w:spacing w:after="0" w:line="240" w:lineRule="auto"/>
              <w:jc w:val="both"/>
              <w:rPr>
                <w:rFonts w:eastAsia="Times New Roman" w:cstheme="minorHAnsi"/>
                <w:b/>
                <w:bCs/>
                <w:color w:val="FFFFFF"/>
                <w:lang w:eastAsia="en-GB"/>
              </w:rPr>
            </w:pPr>
            <w:r w:rsidRPr="00AA31A0">
              <w:rPr>
                <w:rFonts w:eastAsia="Times New Roman" w:cstheme="minorHAnsi"/>
                <w:b/>
                <w:bCs/>
                <w:color w:val="FFFFFF"/>
                <w:lang w:eastAsia="en-GB"/>
              </w:rPr>
              <w:t>Income</w:t>
            </w:r>
          </w:p>
        </w:tc>
        <w:tc>
          <w:tcPr>
            <w:tcW w:w="1813" w:type="dxa"/>
            <w:gridSpan w:val="2"/>
            <w:shd w:val="clear" w:color="000000" w:fill="8497B0"/>
            <w:noWrap/>
            <w:vAlign w:val="bottom"/>
            <w:hideMark/>
          </w:tcPr>
          <w:p w14:paraId="3BA97F65" w14:textId="77777777" w:rsidR="00AA31A0" w:rsidRPr="00AA31A0" w:rsidRDefault="00AA31A0" w:rsidP="00DC54F7">
            <w:pPr>
              <w:spacing w:after="0" w:line="240" w:lineRule="auto"/>
              <w:jc w:val="both"/>
              <w:rPr>
                <w:rFonts w:eastAsia="Times New Roman" w:cstheme="minorHAnsi"/>
                <w:b/>
                <w:bCs/>
                <w:color w:val="FFFFFF"/>
                <w:lang w:eastAsia="en-GB"/>
              </w:rPr>
            </w:pPr>
            <w:r w:rsidRPr="00AA31A0">
              <w:rPr>
                <w:rFonts w:eastAsia="Times New Roman" w:cstheme="minorHAnsi"/>
                <w:b/>
                <w:bCs/>
                <w:color w:val="FFFFFF"/>
                <w:lang w:eastAsia="en-GB"/>
              </w:rPr>
              <w:t>Health</w:t>
            </w:r>
          </w:p>
        </w:tc>
        <w:tc>
          <w:tcPr>
            <w:tcW w:w="1813" w:type="dxa"/>
            <w:gridSpan w:val="2"/>
            <w:shd w:val="clear" w:color="000000" w:fill="8497B0"/>
            <w:noWrap/>
            <w:vAlign w:val="bottom"/>
            <w:hideMark/>
          </w:tcPr>
          <w:p w14:paraId="70892C91" w14:textId="77777777" w:rsidR="00AA31A0" w:rsidRPr="00AA31A0" w:rsidRDefault="00AA31A0" w:rsidP="00DC54F7">
            <w:pPr>
              <w:spacing w:after="0" w:line="240" w:lineRule="auto"/>
              <w:jc w:val="both"/>
              <w:rPr>
                <w:rFonts w:eastAsia="Times New Roman" w:cstheme="minorHAnsi"/>
                <w:b/>
                <w:bCs/>
                <w:color w:val="FFFFFF"/>
                <w:lang w:eastAsia="en-GB"/>
              </w:rPr>
            </w:pPr>
            <w:r w:rsidRPr="00AA31A0">
              <w:rPr>
                <w:rFonts w:eastAsia="Times New Roman" w:cstheme="minorHAnsi"/>
                <w:b/>
                <w:bCs/>
                <w:color w:val="FFFFFF"/>
                <w:lang w:eastAsia="en-GB"/>
              </w:rPr>
              <w:t>Employment</w:t>
            </w:r>
          </w:p>
        </w:tc>
        <w:tc>
          <w:tcPr>
            <w:tcW w:w="1815" w:type="dxa"/>
            <w:gridSpan w:val="2"/>
            <w:shd w:val="clear" w:color="000000" w:fill="8497B0"/>
            <w:noWrap/>
            <w:vAlign w:val="bottom"/>
            <w:hideMark/>
          </w:tcPr>
          <w:p w14:paraId="597F9F93" w14:textId="77777777" w:rsidR="00AA31A0" w:rsidRPr="00AA31A0" w:rsidRDefault="00AA31A0" w:rsidP="00DC54F7">
            <w:pPr>
              <w:spacing w:after="0" w:line="240" w:lineRule="auto"/>
              <w:jc w:val="both"/>
              <w:rPr>
                <w:rFonts w:eastAsia="Times New Roman" w:cstheme="minorHAnsi"/>
                <w:b/>
                <w:bCs/>
                <w:color w:val="FFFFFF"/>
                <w:lang w:eastAsia="en-GB"/>
              </w:rPr>
            </w:pPr>
            <w:r w:rsidRPr="00AA31A0">
              <w:rPr>
                <w:rFonts w:eastAsia="Times New Roman" w:cstheme="minorHAnsi"/>
                <w:b/>
                <w:bCs/>
                <w:color w:val="FFFFFF"/>
                <w:lang w:eastAsia="en-GB"/>
              </w:rPr>
              <w:t>Access to services</w:t>
            </w:r>
          </w:p>
        </w:tc>
      </w:tr>
      <w:tr w:rsidR="00AA31A0" w:rsidRPr="00AA31A0" w14:paraId="6B677FA1" w14:textId="77777777" w:rsidTr="00AA31A0">
        <w:trPr>
          <w:trHeight w:val="299"/>
        </w:trPr>
        <w:tc>
          <w:tcPr>
            <w:tcW w:w="2104" w:type="dxa"/>
            <w:shd w:val="clear" w:color="000000" w:fill="8497B0"/>
            <w:noWrap/>
            <w:vAlign w:val="bottom"/>
            <w:hideMark/>
          </w:tcPr>
          <w:p w14:paraId="44739C8A" w14:textId="77777777" w:rsidR="00AA31A0" w:rsidRPr="00AA31A0" w:rsidRDefault="00AA31A0" w:rsidP="00DC54F7">
            <w:pPr>
              <w:spacing w:after="0" w:line="240" w:lineRule="auto"/>
              <w:jc w:val="both"/>
              <w:rPr>
                <w:rFonts w:eastAsia="Times New Roman" w:cstheme="minorHAnsi"/>
                <w:lang w:eastAsia="en-GB"/>
              </w:rPr>
            </w:pPr>
            <w:r w:rsidRPr="00AA31A0">
              <w:rPr>
                <w:rFonts w:eastAsia="Times New Roman" w:cstheme="minorHAnsi"/>
                <w:lang w:eastAsia="en-GB"/>
              </w:rPr>
              <w:t> </w:t>
            </w:r>
          </w:p>
        </w:tc>
        <w:tc>
          <w:tcPr>
            <w:tcW w:w="7256" w:type="dxa"/>
            <w:gridSpan w:val="8"/>
            <w:shd w:val="clear" w:color="000000" w:fill="8497B0"/>
            <w:noWrap/>
            <w:vAlign w:val="bottom"/>
            <w:hideMark/>
          </w:tcPr>
          <w:p w14:paraId="224926F0" w14:textId="77777777" w:rsidR="00AA31A0" w:rsidRPr="00AA31A0" w:rsidRDefault="00AA31A0" w:rsidP="00DC54F7">
            <w:pPr>
              <w:spacing w:after="0" w:line="240" w:lineRule="auto"/>
              <w:jc w:val="both"/>
              <w:rPr>
                <w:rFonts w:eastAsia="Times New Roman" w:cstheme="minorHAnsi"/>
                <w:b/>
                <w:bCs/>
                <w:color w:val="FFFFFF"/>
                <w:lang w:eastAsia="en-GB"/>
              </w:rPr>
            </w:pPr>
            <w:r w:rsidRPr="00AA31A0">
              <w:rPr>
                <w:rFonts w:eastAsia="Times New Roman" w:cstheme="minorHAnsi"/>
                <w:b/>
                <w:bCs/>
                <w:color w:val="FFFFFF"/>
                <w:lang w:eastAsia="en-GB"/>
              </w:rPr>
              <w:t>Number of LSOAs in most deprived</w:t>
            </w:r>
          </w:p>
        </w:tc>
      </w:tr>
      <w:tr w:rsidR="00AA31A0" w:rsidRPr="00AA31A0" w14:paraId="68B5CF28" w14:textId="77777777" w:rsidTr="00AA31A0">
        <w:trPr>
          <w:trHeight w:val="299"/>
        </w:trPr>
        <w:tc>
          <w:tcPr>
            <w:tcW w:w="2104" w:type="dxa"/>
            <w:shd w:val="clear" w:color="000000" w:fill="8497B0"/>
            <w:noWrap/>
            <w:vAlign w:val="bottom"/>
            <w:hideMark/>
          </w:tcPr>
          <w:p w14:paraId="7C983766" w14:textId="77777777" w:rsidR="00AA31A0" w:rsidRPr="00AA31A0" w:rsidRDefault="00AA31A0" w:rsidP="00DC54F7">
            <w:pPr>
              <w:spacing w:after="0" w:line="240" w:lineRule="auto"/>
              <w:jc w:val="both"/>
              <w:rPr>
                <w:rFonts w:eastAsia="Times New Roman" w:cstheme="minorHAnsi"/>
                <w:b/>
                <w:bCs/>
                <w:color w:val="FFFFFF"/>
                <w:lang w:eastAsia="en-GB"/>
              </w:rPr>
            </w:pPr>
            <w:r w:rsidRPr="00AA31A0">
              <w:rPr>
                <w:rFonts w:eastAsia="Times New Roman" w:cstheme="minorHAnsi"/>
                <w:b/>
                <w:bCs/>
                <w:color w:val="FFFFFF"/>
                <w:lang w:eastAsia="en-GB"/>
              </w:rPr>
              <w:t> </w:t>
            </w:r>
          </w:p>
        </w:tc>
        <w:tc>
          <w:tcPr>
            <w:tcW w:w="906" w:type="dxa"/>
            <w:shd w:val="clear" w:color="000000" w:fill="8497B0"/>
            <w:vAlign w:val="center"/>
            <w:hideMark/>
          </w:tcPr>
          <w:p w14:paraId="76924441" w14:textId="77777777" w:rsidR="00AA31A0" w:rsidRPr="00AA31A0" w:rsidRDefault="00AA31A0" w:rsidP="00DC54F7">
            <w:pPr>
              <w:spacing w:after="0" w:line="240" w:lineRule="auto"/>
              <w:jc w:val="both"/>
              <w:rPr>
                <w:rFonts w:eastAsia="Times New Roman" w:cstheme="minorHAnsi"/>
                <w:b/>
                <w:bCs/>
                <w:color w:val="FFFFFF"/>
                <w:lang w:eastAsia="en-GB"/>
              </w:rPr>
            </w:pPr>
            <w:r w:rsidRPr="00AA31A0">
              <w:rPr>
                <w:rFonts w:eastAsia="Times New Roman" w:cstheme="minorHAnsi"/>
                <w:b/>
                <w:bCs/>
                <w:color w:val="FFFFFF"/>
                <w:lang w:eastAsia="en-GB"/>
              </w:rPr>
              <w:t>10%</w:t>
            </w:r>
          </w:p>
        </w:tc>
        <w:tc>
          <w:tcPr>
            <w:tcW w:w="906" w:type="dxa"/>
            <w:shd w:val="clear" w:color="000000" w:fill="8497B0"/>
            <w:vAlign w:val="center"/>
            <w:hideMark/>
          </w:tcPr>
          <w:p w14:paraId="645169B9" w14:textId="77777777" w:rsidR="00AA31A0" w:rsidRPr="00AA31A0" w:rsidRDefault="00AA31A0" w:rsidP="00DC54F7">
            <w:pPr>
              <w:spacing w:after="0" w:line="240" w:lineRule="auto"/>
              <w:jc w:val="both"/>
              <w:rPr>
                <w:rFonts w:eastAsia="Times New Roman" w:cstheme="minorHAnsi"/>
                <w:b/>
                <w:bCs/>
                <w:color w:val="FFFFFF"/>
                <w:lang w:eastAsia="en-GB"/>
              </w:rPr>
            </w:pPr>
            <w:r w:rsidRPr="00AA31A0">
              <w:rPr>
                <w:rFonts w:eastAsia="Times New Roman" w:cstheme="minorHAnsi"/>
                <w:b/>
                <w:bCs/>
                <w:color w:val="FFFFFF"/>
                <w:lang w:eastAsia="en-GB"/>
              </w:rPr>
              <w:t>20%</w:t>
            </w:r>
          </w:p>
        </w:tc>
        <w:tc>
          <w:tcPr>
            <w:tcW w:w="906" w:type="dxa"/>
            <w:shd w:val="clear" w:color="000000" w:fill="8497B0"/>
            <w:vAlign w:val="center"/>
            <w:hideMark/>
          </w:tcPr>
          <w:p w14:paraId="2251BEA4" w14:textId="77777777" w:rsidR="00AA31A0" w:rsidRPr="00AA31A0" w:rsidRDefault="00AA31A0" w:rsidP="00DC54F7">
            <w:pPr>
              <w:spacing w:after="0" w:line="240" w:lineRule="auto"/>
              <w:jc w:val="both"/>
              <w:rPr>
                <w:rFonts w:eastAsia="Times New Roman" w:cstheme="minorHAnsi"/>
                <w:b/>
                <w:bCs/>
                <w:color w:val="FFFFFF"/>
                <w:lang w:eastAsia="en-GB"/>
              </w:rPr>
            </w:pPr>
            <w:r w:rsidRPr="00AA31A0">
              <w:rPr>
                <w:rFonts w:eastAsia="Times New Roman" w:cstheme="minorHAnsi"/>
                <w:b/>
                <w:bCs/>
                <w:color w:val="FFFFFF"/>
                <w:lang w:eastAsia="en-GB"/>
              </w:rPr>
              <w:t>10%</w:t>
            </w:r>
          </w:p>
        </w:tc>
        <w:tc>
          <w:tcPr>
            <w:tcW w:w="906" w:type="dxa"/>
            <w:shd w:val="clear" w:color="000000" w:fill="8497B0"/>
            <w:vAlign w:val="center"/>
            <w:hideMark/>
          </w:tcPr>
          <w:p w14:paraId="350B6AA7" w14:textId="77777777" w:rsidR="00AA31A0" w:rsidRPr="00AA31A0" w:rsidRDefault="00AA31A0" w:rsidP="00DC54F7">
            <w:pPr>
              <w:spacing w:after="0" w:line="240" w:lineRule="auto"/>
              <w:jc w:val="both"/>
              <w:rPr>
                <w:rFonts w:eastAsia="Times New Roman" w:cstheme="minorHAnsi"/>
                <w:b/>
                <w:bCs/>
                <w:color w:val="FFFFFF"/>
                <w:lang w:eastAsia="en-GB"/>
              </w:rPr>
            </w:pPr>
            <w:r w:rsidRPr="00AA31A0">
              <w:rPr>
                <w:rFonts w:eastAsia="Times New Roman" w:cstheme="minorHAnsi"/>
                <w:b/>
                <w:bCs/>
                <w:color w:val="FFFFFF"/>
                <w:lang w:eastAsia="en-GB"/>
              </w:rPr>
              <w:t>20%</w:t>
            </w:r>
          </w:p>
        </w:tc>
        <w:tc>
          <w:tcPr>
            <w:tcW w:w="906" w:type="dxa"/>
            <w:shd w:val="clear" w:color="000000" w:fill="8497B0"/>
            <w:vAlign w:val="center"/>
            <w:hideMark/>
          </w:tcPr>
          <w:p w14:paraId="120750AD" w14:textId="77777777" w:rsidR="00AA31A0" w:rsidRPr="00AA31A0" w:rsidRDefault="00AA31A0" w:rsidP="00DC54F7">
            <w:pPr>
              <w:spacing w:after="0" w:line="240" w:lineRule="auto"/>
              <w:jc w:val="both"/>
              <w:rPr>
                <w:rFonts w:eastAsia="Times New Roman" w:cstheme="minorHAnsi"/>
                <w:b/>
                <w:bCs/>
                <w:color w:val="FFFFFF"/>
                <w:lang w:eastAsia="en-GB"/>
              </w:rPr>
            </w:pPr>
            <w:r w:rsidRPr="00AA31A0">
              <w:rPr>
                <w:rFonts w:eastAsia="Times New Roman" w:cstheme="minorHAnsi"/>
                <w:b/>
                <w:bCs/>
                <w:color w:val="FFFFFF"/>
                <w:lang w:eastAsia="en-GB"/>
              </w:rPr>
              <w:t>10%</w:t>
            </w:r>
          </w:p>
        </w:tc>
        <w:tc>
          <w:tcPr>
            <w:tcW w:w="906" w:type="dxa"/>
            <w:shd w:val="clear" w:color="000000" w:fill="8497B0"/>
            <w:vAlign w:val="center"/>
            <w:hideMark/>
          </w:tcPr>
          <w:p w14:paraId="3DAEC5AE" w14:textId="77777777" w:rsidR="00AA31A0" w:rsidRPr="00AA31A0" w:rsidRDefault="00AA31A0" w:rsidP="00DC54F7">
            <w:pPr>
              <w:spacing w:after="0" w:line="240" w:lineRule="auto"/>
              <w:jc w:val="both"/>
              <w:rPr>
                <w:rFonts w:eastAsia="Times New Roman" w:cstheme="minorHAnsi"/>
                <w:b/>
                <w:bCs/>
                <w:color w:val="FFFFFF"/>
                <w:lang w:eastAsia="en-GB"/>
              </w:rPr>
            </w:pPr>
            <w:r w:rsidRPr="00AA31A0">
              <w:rPr>
                <w:rFonts w:eastAsia="Times New Roman" w:cstheme="minorHAnsi"/>
                <w:b/>
                <w:bCs/>
                <w:color w:val="FFFFFF"/>
                <w:lang w:eastAsia="en-GB"/>
              </w:rPr>
              <w:t>20%</w:t>
            </w:r>
          </w:p>
        </w:tc>
        <w:tc>
          <w:tcPr>
            <w:tcW w:w="906" w:type="dxa"/>
            <w:shd w:val="clear" w:color="000000" w:fill="8497B0"/>
            <w:vAlign w:val="center"/>
            <w:hideMark/>
          </w:tcPr>
          <w:p w14:paraId="74E26CF7" w14:textId="77777777" w:rsidR="00AA31A0" w:rsidRPr="00AA31A0" w:rsidRDefault="00AA31A0" w:rsidP="00DC54F7">
            <w:pPr>
              <w:spacing w:after="0" w:line="240" w:lineRule="auto"/>
              <w:jc w:val="both"/>
              <w:rPr>
                <w:rFonts w:eastAsia="Times New Roman" w:cstheme="minorHAnsi"/>
                <w:b/>
                <w:bCs/>
                <w:color w:val="FFFFFF"/>
                <w:lang w:eastAsia="en-GB"/>
              </w:rPr>
            </w:pPr>
            <w:r w:rsidRPr="00AA31A0">
              <w:rPr>
                <w:rFonts w:eastAsia="Times New Roman" w:cstheme="minorHAnsi"/>
                <w:b/>
                <w:bCs/>
                <w:color w:val="FFFFFF"/>
                <w:lang w:eastAsia="en-GB"/>
              </w:rPr>
              <w:t>10%</w:t>
            </w:r>
          </w:p>
        </w:tc>
        <w:tc>
          <w:tcPr>
            <w:tcW w:w="908" w:type="dxa"/>
            <w:shd w:val="clear" w:color="000000" w:fill="8497B0"/>
            <w:vAlign w:val="center"/>
            <w:hideMark/>
          </w:tcPr>
          <w:p w14:paraId="2D7B27E2" w14:textId="77777777" w:rsidR="00AA31A0" w:rsidRPr="00AA31A0" w:rsidRDefault="00AA31A0" w:rsidP="00DC54F7">
            <w:pPr>
              <w:spacing w:after="0" w:line="240" w:lineRule="auto"/>
              <w:jc w:val="both"/>
              <w:rPr>
                <w:rFonts w:eastAsia="Times New Roman" w:cstheme="minorHAnsi"/>
                <w:b/>
                <w:bCs/>
                <w:color w:val="FFFFFF"/>
                <w:lang w:eastAsia="en-GB"/>
              </w:rPr>
            </w:pPr>
            <w:r w:rsidRPr="00AA31A0">
              <w:rPr>
                <w:rFonts w:eastAsia="Times New Roman" w:cstheme="minorHAnsi"/>
                <w:b/>
                <w:bCs/>
                <w:color w:val="FFFFFF"/>
                <w:lang w:eastAsia="en-GB"/>
              </w:rPr>
              <w:t>20%</w:t>
            </w:r>
          </w:p>
        </w:tc>
      </w:tr>
      <w:tr w:rsidR="00AA31A0" w:rsidRPr="00AA31A0" w14:paraId="57329BF8" w14:textId="77777777" w:rsidTr="00AA31A0">
        <w:trPr>
          <w:trHeight w:val="299"/>
        </w:trPr>
        <w:tc>
          <w:tcPr>
            <w:tcW w:w="2104" w:type="dxa"/>
            <w:shd w:val="clear" w:color="000000" w:fill="F2F2F2"/>
            <w:noWrap/>
            <w:vAlign w:val="bottom"/>
            <w:hideMark/>
          </w:tcPr>
          <w:p w14:paraId="21D92B5E"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Central Vale</w:t>
            </w:r>
          </w:p>
        </w:tc>
        <w:tc>
          <w:tcPr>
            <w:tcW w:w="906" w:type="dxa"/>
            <w:shd w:val="clear" w:color="000000" w:fill="F2F2F2"/>
            <w:noWrap/>
            <w:vAlign w:val="bottom"/>
            <w:hideMark/>
          </w:tcPr>
          <w:p w14:paraId="236175F7"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5</w:t>
            </w:r>
          </w:p>
        </w:tc>
        <w:tc>
          <w:tcPr>
            <w:tcW w:w="906" w:type="dxa"/>
            <w:shd w:val="clear" w:color="000000" w:fill="F2F2F2"/>
            <w:noWrap/>
            <w:vAlign w:val="bottom"/>
            <w:hideMark/>
          </w:tcPr>
          <w:p w14:paraId="6CF73CC6"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13</w:t>
            </w:r>
          </w:p>
        </w:tc>
        <w:tc>
          <w:tcPr>
            <w:tcW w:w="906" w:type="dxa"/>
            <w:shd w:val="clear" w:color="000000" w:fill="F2F2F2"/>
            <w:noWrap/>
            <w:vAlign w:val="bottom"/>
            <w:hideMark/>
          </w:tcPr>
          <w:p w14:paraId="63E37309"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4</w:t>
            </w:r>
          </w:p>
        </w:tc>
        <w:tc>
          <w:tcPr>
            <w:tcW w:w="906" w:type="dxa"/>
            <w:shd w:val="clear" w:color="000000" w:fill="F2F2F2"/>
            <w:noWrap/>
            <w:vAlign w:val="bottom"/>
            <w:hideMark/>
          </w:tcPr>
          <w:p w14:paraId="27C10AE5"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8</w:t>
            </w:r>
          </w:p>
        </w:tc>
        <w:tc>
          <w:tcPr>
            <w:tcW w:w="906" w:type="dxa"/>
            <w:shd w:val="clear" w:color="000000" w:fill="F2F2F2"/>
            <w:noWrap/>
            <w:vAlign w:val="bottom"/>
            <w:hideMark/>
          </w:tcPr>
          <w:p w14:paraId="33CBB8E0"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4</w:t>
            </w:r>
          </w:p>
        </w:tc>
        <w:tc>
          <w:tcPr>
            <w:tcW w:w="906" w:type="dxa"/>
            <w:shd w:val="clear" w:color="000000" w:fill="F2F2F2"/>
            <w:noWrap/>
            <w:vAlign w:val="bottom"/>
            <w:hideMark/>
          </w:tcPr>
          <w:p w14:paraId="2980405E"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11</w:t>
            </w:r>
          </w:p>
        </w:tc>
        <w:tc>
          <w:tcPr>
            <w:tcW w:w="906" w:type="dxa"/>
            <w:shd w:val="clear" w:color="000000" w:fill="F2F2F2"/>
            <w:noWrap/>
            <w:vAlign w:val="bottom"/>
            <w:hideMark/>
          </w:tcPr>
          <w:p w14:paraId="38322B91"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0</w:t>
            </w:r>
          </w:p>
        </w:tc>
        <w:tc>
          <w:tcPr>
            <w:tcW w:w="908" w:type="dxa"/>
            <w:shd w:val="clear" w:color="000000" w:fill="F2F2F2"/>
            <w:noWrap/>
            <w:vAlign w:val="bottom"/>
            <w:hideMark/>
          </w:tcPr>
          <w:p w14:paraId="77BE3636"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0</w:t>
            </w:r>
          </w:p>
        </w:tc>
      </w:tr>
      <w:tr w:rsidR="00AA31A0" w:rsidRPr="00AA31A0" w14:paraId="493AE843" w14:textId="77777777" w:rsidTr="00AA31A0">
        <w:trPr>
          <w:trHeight w:val="299"/>
        </w:trPr>
        <w:tc>
          <w:tcPr>
            <w:tcW w:w="2104" w:type="dxa"/>
            <w:shd w:val="clear" w:color="auto" w:fill="auto"/>
            <w:noWrap/>
            <w:vAlign w:val="bottom"/>
            <w:hideMark/>
          </w:tcPr>
          <w:p w14:paraId="4B9657BA"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Eastern Vale</w:t>
            </w:r>
          </w:p>
        </w:tc>
        <w:tc>
          <w:tcPr>
            <w:tcW w:w="906" w:type="dxa"/>
            <w:shd w:val="clear" w:color="auto" w:fill="auto"/>
            <w:noWrap/>
            <w:vAlign w:val="bottom"/>
            <w:hideMark/>
          </w:tcPr>
          <w:p w14:paraId="61B06438"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0</w:t>
            </w:r>
          </w:p>
        </w:tc>
        <w:tc>
          <w:tcPr>
            <w:tcW w:w="906" w:type="dxa"/>
            <w:shd w:val="clear" w:color="auto" w:fill="auto"/>
            <w:noWrap/>
            <w:vAlign w:val="bottom"/>
            <w:hideMark/>
          </w:tcPr>
          <w:p w14:paraId="47019687"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0</w:t>
            </w:r>
          </w:p>
        </w:tc>
        <w:tc>
          <w:tcPr>
            <w:tcW w:w="906" w:type="dxa"/>
            <w:shd w:val="clear" w:color="auto" w:fill="auto"/>
            <w:noWrap/>
            <w:vAlign w:val="bottom"/>
            <w:hideMark/>
          </w:tcPr>
          <w:p w14:paraId="22F89F3F"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0</w:t>
            </w:r>
          </w:p>
        </w:tc>
        <w:tc>
          <w:tcPr>
            <w:tcW w:w="906" w:type="dxa"/>
            <w:shd w:val="clear" w:color="auto" w:fill="auto"/>
            <w:noWrap/>
            <w:vAlign w:val="bottom"/>
            <w:hideMark/>
          </w:tcPr>
          <w:p w14:paraId="3702046F"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0</w:t>
            </w:r>
          </w:p>
        </w:tc>
        <w:tc>
          <w:tcPr>
            <w:tcW w:w="906" w:type="dxa"/>
            <w:shd w:val="clear" w:color="auto" w:fill="auto"/>
            <w:noWrap/>
            <w:vAlign w:val="bottom"/>
            <w:hideMark/>
          </w:tcPr>
          <w:p w14:paraId="6370FA47"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0</w:t>
            </w:r>
          </w:p>
        </w:tc>
        <w:tc>
          <w:tcPr>
            <w:tcW w:w="906" w:type="dxa"/>
            <w:shd w:val="clear" w:color="auto" w:fill="auto"/>
            <w:noWrap/>
            <w:vAlign w:val="bottom"/>
            <w:hideMark/>
          </w:tcPr>
          <w:p w14:paraId="003E5B7A"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0</w:t>
            </w:r>
          </w:p>
        </w:tc>
        <w:tc>
          <w:tcPr>
            <w:tcW w:w="906" w:type="dxa"/>
            <w:shd w:val="clear" w:color="auto" w:fill="auto"/>
            <w:noWrap/>
            <w:vAlign w:val="bottom"/>
            <w:hideMark/>
          </w:tcPr>
          <w:p w14:paraId="7347F716"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0</w:t>
            </w:r>
          </w:p>
        </w:tc>
        <w:tc>
          <w:tcPr>
            <w:tcW w:w="908" w:type="dxa"/>
            <w:shd w:val="clear" w:color="auto" w:fill="auto"/>
            <w:noWrap/>
            <w:vAlign w:val="bottom"/>
            <w:hideMark/>
          </w:tcPr>
          <w:p w14:paraId="2ADF07CC"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0</w:t>
            </w:r>
          </w:p>
        </w:tc>
      </w:tr>
      <w:tr w:rsidR="00AA31A0" w:rsidRPr="00AA31A0" w14:paraId="34C881D0" w14:textId="77777777" w:rsidTr="00AA31A0">
        <w:trPr>
          <w:trHeight w:val="299"/>
        </w:trPr>
        <w:tc>
          <w:tcPr>
            <w:tcW w:w="2104" w:type="dxa"/>
            <w:shd w:val="clear" w:color="000000" w:fill="F2F2F2"/>
            <w:noWrap/>
            <w:vAlign w:val="bottom"/>
            <w:hideMark/>
          </w:tcPr>
          <w:p w14:paraId="73ED334B"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Western Vale</w:t>
            </w:r>
          </w:p>
        </w:tc>
        <w:tc>
          <w:tcPr>
            <w:tcW w:w="906" w:type="dxa"/>
            <w:shd w:val="clear" w:color="000000" w:fill="F2F2F2"/>
            <w:noWrap/>
            <w:vAlign w:val="bottom"/>
            <w:hideMark/>
          </w:tcPr>
          <w:p w14:paraId="6DD5C618"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0</w:t>
            </w:r>
          </w:p>
        </w:tc>
        <w:tc>
          <w:tcPr>
            <w:tcW w:w="906" w:type="dxa"/>
            <w:shd w:val="clear" w:color="000000" w:fill="F2F2F2"/>
            <w:noWrap/>
            <w:vAlign w:val="bottom"/>
            <w:hideMark/>
          </w:tcPr>
          <w:p w14:paraId="3D1D7EAE"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0</w:t>
            </w:r>
          </w:p>
        </w:tc>
        <w:tc>
          <w:tcPr>
            <w:tcW w:w="906" w:type="dxa"/>
            <w:shd w:val="clear" w:color="000000" w:fill="F2F2F2"/>
            <w:noWrap/>
            <w:vAlign w:val="bottom"/>
            <w:hideMark/>
          </w:tcPr>
          <w:p w14:paraId="2F91ABB5"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0</w:t>
            </w:r>
          </w:p>
        </w:tc>
        <w:tc>
          <w:tcPr>
            <w:tcW w:w="906" w:type="dxa"/>
            <w:shd w:val="clear" w:color="000000" w:fill="F2F2F2"/>
            <w:noWrap/>
            <w:vAlign w:val="bottom"/>
            <w:hideMark/>
          </w:tcPr>
          <w:p w14:paraId="02751813"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0</w:t>
            </w:r>
          </w:p>
        </w:tc>
        <w:tc>
          <w:tcPr>
            <w:tcW w:w="906" w:type="dxa"/>
            <w:shd w:val="clear" w:color="000000" w:fill="F2F2F2"/>
            <w:noWrap/>
            <w:vAlign w:val="bottom"/>
            <w:hideMark/>
          </w:tcPr>
          <w:p w14:paraId="612931CB"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0</w:t>
            </w:r>
          </w:p>
        </w:tc>
        <w:tc>
          <w:tcPr>
            <w:tcW w:w="906" w:type="dxa"/>
            <w:shd w:val="clear" w:color="000000" w:fill="F2F2F2"/>
            <w:noWrap/>
            <w:vAlign w:val="bottom"/>
            <w:hideMark/>
          </w:tcPr>
          <w:p w14:paraId="04682EFD"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0</w:t>
            </w:r>
          </w:p>
        </w:tc>
        <w:tc>
          <w:tcPr>
            <w:tcW w:w="906" w:type="dxa"/>
            <w:shd w:val="clear" w:color="000000" w:fill="F2F2F2"/>
            <w:noWrap/>
            <w:vAlign w:val="bottom"/>
            <w:hideMark/>
          </w:tcPr>
          <w:p w14:paraId="2BDF5C27"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3</w:t>
            </w:r>
          </w:p>
        </w:tc>
        <w:tc>
          <w:tcPr>
            <w:tcW w:w="908" w:type="dxa"/>
            <w:shd w:val="clear" w:color="000000" w:fill="F2F2F2"/>
            <w:noWrap/>
            <w:vAlign w:val="bottom"/>
            <w:hideMark/>
          </w:tcPr>
          <w:p w14:paraId="32DF1F82"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6</w:t>
            </w:r>
          </w:p>
        </w:tc>
      </w:tr>
      <w:tr w:rsidR="00AA31A0" w:rsidRPr="00AA31A0" w14:paraId="61C789FC" w14:textId="77777777" w:rsidTr="00AA31A0">
        <w:trPr>
          <w:trHeight w:val="299"/>
        </w:trPr>
        <w:tc>
          <w:tcPr>
            <w:tcW w:w="2104" w:type="dxa"/>
            <w:shd w:val="clear" w:color="auto" w:fill="auto"/>
            <w:noWrap/>
            <w:vAlign w:val="bottom"/>
            <w:hideMark/>
          </w:tcPr>
          <w:p w14:paraId="0B28DC43"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Vale of Glamorgan</w:t>
            </w:r>
          </w:p>
        </w:tc>
        <w:tc>
          <w:tcPr>
            <w:tcW w:w="906" w:type="dxa"/>
            <w:shd w:val="clear" w:color="auto" w:fill="auto"/>
            <w:noWrap/>
            <w:vAlign w:val="bottom"/>
            <w:hideMark/>
          </w:tcPr>
          <w:p w14:paraId="3996A5B2"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5</w:t>
            </w:r>
          </w:p>
        </w:tc>
        <w:tc>
          <w:tcPr>
            <w:tcW w:w="906" w:type="dxa"/>
            <w:shd w:val="clear" w:color="auto" w:fill="auto"/>
            <w:noWrap/>
            <w:vAlign w:val="bottom"/>
            <w:hideMark/>
          </w:tcPr>
          <w:p w14:paraId="635F6FB5"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13</w:t>
            </w:r>
          </w:p>
        </w:tc>
        <w:tc>
          <w:tcPr>
            <w:tcW w:w="906" w:type="dxa"/>
            <w:shd w:val="clear" w:color="auto" w:fill="auto"/>
            <w:noWrap/>
            <w:vAlign w:val="bottom"/>
            <w:hideMark/>
          </w:tcPr>
          <w:p w14:paraId="5F4D6EFC"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4</w:t>
            </w:r>
          </w:p>
        </w:tc>
        <w:tc>
          <w:tcPr>
            <w:tcW w:w="906" w:type="dxa"/>
            <w:shd w:val="clear" w:color="auto" w:fill="auto"/>
            <w:noWrap/>
            <w:vAlign w:val="bottom"/>
            <w:hideMark/>
          </w:tcPr>
          <w:p w14:paraId="38A79988"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8</w:t>
            </w:r>
          </w:p>
        </w:tc>
        <w:tc>
          <w:tcPr>
            <w:tcW w:w="906" w:type="dxa"/>
            <w:shd w:val="clear" w:color="auto" w:fill="auto"/>
            <w:noWrap/>
            <w:vAlign w:val="bottom"/>
            <w:hideMark/>
          </w:tcPr>
          <w:p w14:paraId="10B9C409"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4</w:t>
            </w:r>
          </w:p>
        </w:tc>
        <w:tc>
          <w:tcPr>
            <w:tcW w:w="906" w:type="dxa"/>
            <w:shd w:val="clear" w:color="auto" w:fill="auto"/>
            <w:noWrap/>
            <w:vAlign w:val="bottom"/>
            <w:hideMark/>
          </w:tcPr>
          <w:p w14:paraId="41A247A4"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11</w:t>
            </w:r>
          </w:p>
        </w:tc>
        <w:tc>
          <w:tcPr>
            <w:tcW w:w="906" w:type="dxa"/>
            <w:shd w:val="clear" w:color="auto" w:fill="auto"/>
            <w:noWrap/>
            <w:vAlign w:val="bottom"/>
            <w:hideMark/>
          </w:tcPr>
          <w:p w14:paraId="09A3252A"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3</w:t>
            </w:r>
          </w:p>
        </w:tc>
        <w:tc>
          <w:tcPr>
            <w:tcW w:w="908" w:type="dxa"/>
            <w:shd w:val="clear" w:color="auto" w:fill="auto"/>
            <w:noWrap/>
            <w:vAlign w:val="bottom"/>
            <w:hideMark/>
          </w:tcPr>
          <w:p w14:paraId="52D573C7"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6</w:t>
            </w:r>
          </w:p>
        </w:tc>
      </w:tr>
      <w:tr w:rsidR="00AA31A0" w:rsidRPr="00AA31A0" w14:paraId="102D1DEE" w14:textId="77777777" w:rsidTr="00AA31A0">
        <w:trPr>
          <w:trHeight w:val="299"/>
        </w:trPr>
        <w:tc>
          <w:tcPr>
            <w:tcW w:w="2104" w:type="dxa"/>
            <w:shd w:val="clear" w:color="000000" w:fill="F2F2F2"/>
            <w:noWrap/>
            <w:vAlign w:val="bottom"/>
            <w:hideMark/>
          </w:tcPr>
          <w:p w14:paraId="3F056994"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Cardiff and Vale UHB</w:t>
            </w:r>
          </w:p>
        </w:tc>
        <w:tc>
          <w:tcPr>
            <w:tcW w:w="906" w:type="dxa"/>
            <w:shd w:val="clear" w:color="000000" w:fill="F2F2F2"/>
            <w:noWrap/>
            <w:vAlign w:val="bottom"/>
            <w:hideMark/>
          </w:tcPr>
          <w:p w14:paraId="4DB03539"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46</w:t>
            </w:r>
          </w:p>
        </w:tc>
        <w:tc>
          <w:tcPr>
            <w:tcW w:w="906" w:type="dxa"/>
            <w:shd w:val="clear" w:color="000000" w:fill="F2F2F2"/>
            <w:noWrap/>
            <w:vAlign w:val="bottom"/>
            <w:hideMark/>
          </w:tcPr>
          <w:p w14:paraId="7BF6991B"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72</w:t>
            </w:r>
          </w:p>
        </w:tc>
        <w:tc>
          <w:tcPr>
            <w:tcW w:w="906" w:type="dxa"/>
            <w:shd w:val="clear" w:color="000000" w:fill="F2F2F2"/>
            <w:noWrap/>
            <w:vAlign w:val="bottom"/>
            <w:hideMark/>
          </w:tcPr>
          <w:p w14:paraId="3E5C9300"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38</w:t>
            </w:r>
          </w:p>
        </w:tc>
        <w:tc>
          <w:tcPr>
            <w:tcW w:w="906" w:type="dxa"/>
            <w:shd w:val="clear" w:color="000000" w:fill="F2F2F2"/>
            <w:noWrap/>
            <w:vAlign w:val="bottom"/>
            <w:hideMark/>
          </w:tcPr>
          <w:p w14:paraId="008039F3"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64</w:t>
            </w:r>
          </w:p>
        </w:tc>
        <w:tc>
          <w:tcPr>
            <w:tcW w:w="906" w:type="dxa"/>
            <w:shd w:val="clear" w:color="000000" w:fill="F2F2F2"/>
            <w:noWrap/>
            <w:vAlign w:val="bottom"/>
            <w:hideMark/>
          </w:tcPr>
          <w:p w14:paraId="523BD5AD"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34</w:t>
            </w:r>
          </w:p>
        </w:tc>
        <w:tc>
          <w:tcPr>
            <w:tcW w:w="906" w:type="dxa"/>
            <w:shd w:val="clear" w:color="000000" w:fill="F2F2F2"/>
            <w:noWrap/>
            <w:vAlign w:val="bottom"/>
            <w:hideMark/>
          </w:tcPr>
          <w:p w14:paraId="5C8122BE"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51</w:t>
            </w:r>
          </w:p>
        </w:tc>
        <w:tc>
          <w:tcPr>
            <w:tcW w:w="906" w:type="dxa"/>
            <w:shd w:val="clear" w:color="000000" w:fill="F2F2F2"/>
            <w:noWrap/>
            <w:vAlign w:val="bottom"/>
            <w:hideMark/>
          </w:tcPr>
          <w:p w14:paraId="611EB09B"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3</w:t>
            </w:r>
          </w:p>
        </w:tc>
        <w:tc>
          <w:tcPr>
            <w:tcW w:w="908" w:type="dxa"/>
            <w:shd w:val="clear" w:color="000000" w:fill="F2F2F2"/>
            <w:noWrap/>
            <w:vAlign w:val="bottom"/>
            <w:hideMark/>
          </w:tcPr>
          <w:p w14:paraId="716A257D" w14:textId="77777777" w:rsidR="00AA31A0" w:rsidRPr="00AA31A0" w:rsidRDefault="00AA31A0" w:rsidP="00DC54F7">
            <w:pPr>
              <w:spacing w:after="0" w:line="240" w:lineRule="auto"/>
              <w:jc w:val="both"/>
              <w:rPr>
                <w:rFonts w:eastAsia="Times New Roman" w:cstheme="minorHAnsi"/>
                <w:color w:val="000000"/>
                <w:lang w:eastAsia="en-GB"/>
              </w:rPr>
            </w:pPr>
            <w:r w:rsidRPr="00AA31A0">
              <w:rPr>
                <w:rFonts w:eastAsia="Times New Roman" w:cstheme="minorHAnsi"/>
                <w:color w:val="000000"/>
                <w:lang w:eastAsia="en-GB"/>
              </w:rPr>
              <w:t>15</w:t>
            </w:r>
          </w:p>
        </w:tc>
      </w:tr>
    </w:tbl>
    <w:p w14:paraId="7C9B0CBD" w14:textId="703877D9" w:rsidR="00FF1EE9" w:rsidRPr="00FF1EE9" w:rsidRDefault="00FF1EE9" w:rsidP="00DC54F7">
      <w:pPr>
        <w:spacing w:after="0" w:line="240" w:lineRule="auto"/>
        <w:jc w:val="both"/>
        <w:rPr>
          <w:rFonts w:ascii="Arial" w:hAnsi="Arial" w:cs="Arial"/>
          <w:b/>
          <w:bCs/>
          <w:sz w:val="20"/>
          <w:szCs w:val="20"/>
        </w:rPr>
      </w:pPr>
      <w:r w:rsidRPr="00FF1EE9">
        <w:rPr>
          <w:rFonts w:ascii="Arial" w:hAnsi="Arial" w:cs="Arial"/>
          <w:sz w:val="20"/>
          <w:szCs w:val="20"/>
        </w:rPr>
        <w:t>Source: Welsh Index of Multiple Deprivation 201</w:t>
      </w:r>
      <w:r w:rsidR="00DF12B8">
        <w:rPr>
          <w:rFonts w:ascii="Arial" w:hAnsi="Arial" w:cs="Arial"/>
          <w:sz w:val="20"/>
          <w:szCs w:val="20"/>
        </w:rPr>
        <w:t>9</w:t>
      </w:r>
      <w:r w:rsidRPr="00FF1EE9">
        <w:rPr>
          <w:rFonts w:ascii="Arial" w:hAnsi="Arial" w:cs="Arial"/>
          <w:sz w:val="20"/>
          <w:szCs w:val="20"/>
        </w:rPr>
        <w:t>, Welsh Government</w:t>
      </w:r>
    </w:p>
    <w:p w14:paraId="3CAB568E" w14:textId="77777777" w:rsidR="00FF1EE9" w:rsidRDefault="00FF1EE9" w:rsidP="00DC54F7">
      <w:pPr>
        <w:spacing w:after="0"/>
        <w:jc w:val="both"/>
        <w:rPr>
          <w:rFonts w:ascii="Arial" w:hAnsi="Arial" w:cs="Arial"/>
        </w:rPr>
      </w:pPr>
    </w:p>
    <w:p w14:paraId="74166AD8" w14:textId="41323923" w:rsidR="00EF2023" w:rsidRPr="009D7588" w:rsidRDefault="008F7D65" w:rsidP="00DC54F7">
      <w:pPr>
        <w:spacing w:after="0" w:line="240" w:lineRule="auto"/>
        <w:jc w:val="both"/>
        <w:rPr>
          <w:rFonts w:ascii="Arial" w:hAnsi="Arial" w:cs="Arial"/>
          <w:sz w:val="24"/>
          <w:szCs w:val="24"/>
        </w:rPr>
      </w:pPr>
      <w:r w:rsidRPr="009D7588">
        <w:rPr>
          <w:rFonts w:ascii="Arial" w:hAnsi="Arial" w:cs="Arial"/>
          <w:sz w:val="24"/>
          <w:szCs w:val="24"/>
        </w:rPr>
        <w:t xml:space="preserve">The map below provides an indication of the overall levels of deprivation within the cluster. </w:t>
      </w:r>
    </w:p>
    <w:p w14:paraId="7E965679" w14:textId="77777777" w:rsidR="00EF2023" w:rsidRPr="009D7588" w:rsidRDefault="00EF2023" w:rsidP="00DC54F7">
      <w:pPr>
        <w:spacing w:after="0" w:line="240" w:lineRule="auto"/>
        <w:jc w:val="both"/>
        <w:rPr>
          <w:rFonts w:ascii="Arial" w:hAnsi="Arial" w:cs="Arial"/>
          <w:sz w:val="24"/>
          <w:szCs w:val="24"/>
        </w:rPr>
      </w:pPr>
    </w:p>
    <w:p w14:paraId="42B59552" w14:textId="060B0219" w:rsidR="00EF2023" w:rsidRPr="009D7588" w:rsidRDefault="00EF2023" w:rsidP="00DC54F7">
      <w:pPr>
        <w:spacing w:after="0" w:line="240" w:lineRule="auto"/>
        <w:jc w:val="both"/>
        <w:rPr>
          <w:rFonts w:ascii="Arial" w:hAnsi="Arial" w:cs="Arial"/>
          <w:sz w:val="24"/>
          <w:szCs w:val="24"/>
        </w:rPr>
      </w:pPr>
      <w:r w:rsidRPr="009D7588">
        <w:rPr>
          <w:rFonts w:ascii="Arial" w:hAnsi="Arial" w:cs="Arial"/>
          <w:sz w:val="24"/>
          <w:szCs w:val="24"/>
        </w:rPr>
        <w:lastRenderedPageBreak/>
        <w:t xml:space="preserve">For the purposes of the PNA the pharmacies at Rhoose and St Athan will be considered in the Western Vale </w:t>
      </w:r>
      <w:r w:rsidR="00DE5496" w:rsidRPr="009D7588">
        <w:rPr>
          <w:rFonts w:ascii="Arial" w:hAnsi="Arial" w:cs="Arial"/>
          <w:sz w:val="24"/>
          <w:szCs w:val="24"/>
        </w:rPr>
        <w:t>c</w:t>
      </w:r>
      <w:r w:rsidRPr="009D7588">
        <w:rPr>
          <w:rFonts w:ascii="Arial" w:hAnsi="Arial" w:cs="Arial"/>
          <w:sz w:val="24"/>
          <w:szCs w:val="24"/>
        </w:rPr>
        <w:t xml:space="preserve">luster chapter as historically this is how they have been allocated as all are rural in area and share GP practices.  </w:t>
      </w:r>
    </w:p>
    <w:p w14:paraId="4B2E42FB" w14:textId="77777777" w:rsidR="00EF2023" w:rsidRPr="009D7588" w:rsidRDefault="00EF2023" w:rsidP="00DC54F7">
      <w:pPr>
        <w:spacing w:after="0" w:line="240" w:lineRule="auto"/>
        <w:jc w:val="both"/>
        <w:rPr>
          <w:rFonts w:ascii="Arial" w:hAnsi="Arial" w:cs="Arial"/>
          <w:sz w:val="24"/>
          <w:szCs w:val="24"/>
        </w:rPr>
      </w:pPr>
    </w:p>
    <w:p w14:paraId="48CC6901" w14:textId="77777777" w:rsidR="00EF2023" w:rsidRPr="009D7588" w:rsidRDefault="00EF2023" w:rsidP="00DC54F7">
      <w:pPr>
        <w:spacing w:after="0" w:line="240" w:lineRule="auto"/>
        <w:jc w:val="both"/>
        <w:rPr>
          <w:rFonts w:ascii="Arial" w:hAnsi="Arial" w:cs="Arial"/>
          <w:sz w:val="24"/>
          <w:szCs w:val="24"/>
        </w:rPr>
      </w:pPr>
      <w:r w:rsidRPr="009D7588">
        <w:rPr>
          <w:rFonts w:ascii="Arial" w:hAnsi="Arial" w:cs="Arial"/>
          <w:sz w:val="24"/>
          <w:szCs w:val="24"/>
        </w:rPr>
        <w:t xml:space="preserve">For the purposes of cluster working Sully Surgery is considered part of Central Vale, therefore Sully Pharmacy will be considered under Central Vale for the purposes of the PNA. </w:t>
      </w:r>
    </w:p>
    <w:p w14:paraId="64E532B0" w14:textId="77777777" w:rsidR="00EF2023" w:rsidRPr="009D7588" w:rsidRDefault="00EF2023" w:rsidP="00DC54F7">
      <w:pPr>
        <w:spacing w:after="0" w:line="240" w:lineRule="auto"/>
        <w:jc w:val="both"/>
        <w:rPr>
          <w:rFonts w:ascii="Arial" w:hAnsi="Arial" w:cs="Arial"/>
          <w:sz w:val="24"/>
          <w:szCs w:val="24"/>
        </w:rPr>
      </w:pPr>
    </w:p>
    <w:p w14:paraId="47D67649" w14:textId="2D25A1B5" w:rsidR="00EF2023" w:rsidRPr="009D7588" w:rsidRDefault="00EF2023" w:rsidP="00DC54F7">
      <w:pPr>
        <w:spacing w:after="0" w:line="240" w:lineRule="auto"/>
        <w:jc w:val="both"/>
        <w:rPr>
          <w:rFonts w:ascii="Arial" w:hAnsi="Arial" w:cs="Arial"/>
          <w:sz w:val="24"/>
          <w:szCs w:val="24"/>
        </w:rPr>
      </w:pPr>
      <w:r w:rsidRPr="009D7588">
        <w:rPr>
          <w:rFonts w:ascii="Arial" w:hAnsi="Arial" w:cs="Arial"/>
          <w:sz w:val="24"/>
          <w:szCs w:val="24"/>
        </w:rPr>
        <w:t>The areas with the highest deprivation in Central Vale cluster can be found in and around Barry</w:t>
      </w:r>
      <w:r w:rsidR="00DE5496" w:rsidRPr="009D7588">
        <w:rPr>
          <w:rFonts w:ascii="Arial" w:hAnsi="Arial" w:cs="Arial"/>
          <w:sz w:val="24"/>
          <w:szCs w:val="24"/>
        </w:rPr>
        <w:t>. A</w:t>
      </w:r>
      <w:r w:rsidRPr="009D7588">
        <w:rPr>
          <w:rFonts w:ascii="Arial" w:hAnsi="Arial" w:cs="Arial"/>
          <w:sz w:val="24"/>
          <w:szCs w:val="24"/>
        </w:rPr>
        <w:t>s can be seen from the map, the majority of pharmacies are located within or near areas of higher deprivation.</w:t>
      </w:r>
    </w:p>
    <w:p w14:paraId="15E1E9A5" w14:textId="77777777" w:rsidR="00372A7E" w:rsidRPr="009D7588" w:rsidRDefault="00372A7E" w:rsidP="00DC54F7">
      <w:pPr>
        <w:spacing w:after="0" w:line="240" w:lineRule="auto"/>
        <w:jc w:val="both"/>
        <w:rPr>
          <w:rFonts w:ascii="Arial" w:hAnsi="Arial" w:cs="Arial"/>
          <w:b/>
          <w:bCs/>
          <w:sz w:val="24"/>
          <w:szCs w:val="24"/>
        </w:rPr>
      </w:pPr>
    </w:p>
    <w:p w14:paraId="53A2769F" w14:textId="049E55E3" w:rsidR="00E70F3F" w:rsidRPr="009D7588" w:rsidRDefault="00372A7E" w:rsidP="00DC54F7">
      <w:pPr>
        <w:spacing w:after="0" w:line="240" w:lineRule="auto"/>
        <w:jc w:val="both"/>
        <w:rPr>
          <w:rFonts w:ascii="Arial" w:hAnsi="Arial" w:cs="Arial"/>
          <w:b/>
          <w:sz w:val="24"/>
          <w:szCs w:val="24"/>
        </w:rPr>
      </w:pPr>
      <w:r w:rsidRPr="009D7588">
        <w:rPr>
          <w:rFonts w:ascii="Arial" w:hAnsi="Arial" w:cs="Arial"/>
          <w:b/>
          <w:sz w:val="24"/>
          <w:szCs w:val="24"/>
        </w:rPr>
        <w:t>Map 14.1: Lower Super Output Areas (LSOAs) in Central Vale cluster, grouped into quintiles by Welsh index of Multiple Deprivation 2019</w:t>
      </w:r>
    </w:p>
    <w:p w14:paraId="7720B918" w14:textId="6082E2B8" w:rsidR="005C6BB3" w:rsidRPr="005C6BB3" w:rsidRDefault="00052A76" w:rsidP="00DC54F7">
      <w:pPr>
        <w:jc w:val="both"/>
        <w:rPr>
          <w:rFonts w:ascii="Arial" w:hAnsi="Arial" w:cs="Arial"/>
        </w:rPr>
      </w:pPr>
      <w:r>
        <w:rPr>
          <w:noProof/>
          <w:lang w:eastAsia="en-GB"/>
        </w:rPr>
        <w:drawing>
          <wp:inline distT="0" distB="0" distL="0" distR="0" wp14:anchorId="0E5CD897" wp14:editId="5E44C506">
            <wp:extent cx="5731510" cy="4635795"/>
            <wp:effectExtent l="0" t="0" r="2540" b="0"/>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755538" cy="4655229"/>
                    </a:xfrm>
                    <a:prstGeom prst="rect">
                      <a:avLst/>
                    </a:prstGeom>
                    <a:noFill/>
                    <a:ln>
                      <a:noFill/>
                    </a:ln>
                  </pic:spPr>
                </pic:pic>
              </a:graphicData>
            </a:graphic>
          </wp:inline>
        </w:drawing>
      </w:r>
    </w:p>
    <w:p w14:paraId="345F32E5" w14:textId="2520D1E3" w:rsidR="009430C5" w:rsidRPr="006E3438" w:rsidRDefault="006E3438" w:rsidP="00DC54F7">
      <w:pPr>
        <w:jc w:val="both"/>
        <w:rPr>
          <w:rFonts w:ascii="Arial" w:hAnsi="Arial" w:cs="Arial"/>
          <w:sz w:val="24"/>
          <w:szCs w:val="24"/>
        </w:rPr>
      </w:pPr>
      <w:r>
        <w:rPr>
          <w:rFonts w:ascii="Arial" w:hAnsi="Arial" w:cs="Arial"/>
          <w:b/>
          <w:sz w:val="24"/>
          <w:szCs w:val="24"/>
        </w:rPr>
        <w:t xml:space="preserve">14.1.4 </w:t>
      </w:r>
      <w:r w:rsidR="00AC48AB" w:rsidRPr="006E3438">
        <w:rPr>
          <w:rFonts w:ascii="Arial" w:hAnsi="Arial" w:cs="Arial"/>
          <w:b/>
          <w:sz w:val="24"/>
          <w:szCs w:val="24"/>
        </w:rPr>
        <w:t>Health profile</w:t>
      </w:r>
    </w:p>
    <w:p w14:paraId="1D083FC3" w14:textId="1840A69B" w:rsidR="005C6BB3" w:rsidRPr="006E3438" w:rsidRDefault="009430C5" w:rsidP="00DC54F7">
      <w:pPr>
        <w:spacing w:after="0" w:line="240" w:lineRule="auto"/>
        <w:jc w:val="both"/>
        <w:rPr>
          <w:rFonts w:ascii="Arial" w:hAnsi="Arial" w:cs="Arial"/>
          <w:bCs/>
          <w:sz w:val="24"/>
          <w:szCs w:val="24"/>
        </w:rPr>
      </w:pPr>
      <w:r w:rsidRPr="006E3438">
        <w:rPr>
          <w:rFonts w:ascii="Arial" w:hAnsi="Arial" w:cs="Arial"/>
          <w:bCs/>
          <w:sz w:val="24"/>
          <w:szCs w:val="24"/>
        </w:rPr>
        <w:t>Overall, the estimated prevalence of chronic disease in Central Vale cluster is lower than the average for Wales. When compared to the health board</w:t>
      </w:r>
      <w:r w:rsidR="0094504E" w:rsidRPr="006E3438">
        <w:rPr>
          <w:rFonts w:ascii="Arial" w:hAnsi="Arial" w:cs="Arial"/>
          <w:bCs/>
          <w:sz w:val="24"/>
          <w:szCs w:val="24"/>
        </w:rPr>
        <w:t xml:space="preserve">, </w:t>
      </w:r>
      <w:r w:rsidR="00AE454B" w:rsidRPr="006E3438">
        <w:rPr>
          <w:rFonts w:ascii="Arial" w:hAnsi="Arial" w:cs="Arial"/>
          <w:bCs/>
          <w:sz w:val="24"/>
          <w:szCs w:val="24"/>
        </w:rPr>
        <w:t xml:space="preserve">the </w:t>
      </w:r>
      <w:r w:rsidR="004011A9" w:rsidRPr="006E3438">
        <w:rPr>
          <w:rFonts w:ascii="Arial" w:hAnsi="Arial" w:cs="Arial"/>
          <w:bCs/>
          <w:sz w:val="24"/>
          <w:szCs w:val="24"/>
        </w:rPr>
        <w:t>estimated prevalence of chronic disease is higher</w:t>
      </w:r>
      <w:r w:rsidR="00766D80" w:rsidRPr="006E3438">
        <w:rPr>
          <w:rFonts w:ascii="Arial" w:hAnsi="Arial" w:cs="Arial"/>
          <w:bCs/>
          <w:sz w:val="24"/>
          <w:szCs w:val="24"/>
        </w:rPr>
        <w:t xml:space="preserve">. </w:t>
      </w:r>
      <w:r w:rsidR="0094504E" w:rsidRPr="006E3438">
        <w:rPr>
          <w:rFonts w:ascii="Arial" w:hAnsi="Arial" w:cs="Arial"/>
          <w:bCs/>
          <w:sz w:val="24"/>
          <w:szCs w:val="24"/>
        </w:rPr>
        <w:t xml:space="preserve">Central Vale cluster has the </w:t>
      </w:r>
      <w:r w:rsidR="000C6E9E" w:rsidRPr="006E3438">
        <w:rPr>
          <w:rFonts w:ascii="Arial" w:hAnsi="Arial" w:cs="Arial"/>
          <w:bCs/>
          <w:sz w:val="24"/>
          <w:szCs w:val="24"/>
        </w:rPr>
        <w:t xml:space="preserve">joint </w:t>
      </w:r>
      <w:r w:rsidR="00243A53" w:rsidRPr="006E3438">
        <w:rPr>
          <w:rFonts w:ascii="Arial" w:hAnsi="Arial" w:cs="Arial"/>
          <w:bCs/>
          <w:sz w:val="24"/>
          <w:szCs w:val="24"/>
        </w:rPr>
        <w:t>highest estimated prevalence for coronary heart disease</w:t>
      </w:r>
      <w:r w:rsidR="00EA7A93" w:rsidRPr="006E3438">
        <w:rPr>
          <w:rFonts w:ascii="Arial" w:hAnsi="Arial" w:cs="Arial"/>
          <w:bCs/>
          <w:sz w:val="24"/>
          <w:szCs w:val="24"/>
        </w:rPr>
        <w:t xml:space="preserve"> and </w:t>
      </w:r>
      <w:r w:rsidR="00243A53" w:rsidRPr="006E3438">
        <w:rPr>
          <w:rFonts w:ascii="Arial" w:hAnsi="Arial" w:cs="Arial"/>
          <w:bCs/>
          <w:sz w:val="24"/>
          <w:szCs w:val="24"/>
        </w:rPr>
        <w:t>chronic obstructive pulmonary disease</w:t>
      </w:r>
      <w:r w:rsidR="00EA7A93" w:rsidRPr="006E3438">
        <w:rPr>
          <w:rFonts w:ascii="Arial" w:hAnsi="Arial" w:cs="Arial"/>
          <w:bCs/>
          <w:sz w:val="24"/>
          <w:szCs w:val="24"/>
        </w:rPr>
        <w:t xml:space="preserve"> </w:t>
      </w:r>
      <w:r w:rsidR="006047BD" w:rsidRPr="006E3438">
        <w:rPr>
          <w:rFonts w:ascii="Arial" w:hAnsi="Arial" w:cs="Arial"/>
          <w:bCs/>
          <w:sz w:val="24"/>
          <w:szCs w:val="24"/>
        </w:rPr>
        <w:t xml:space="preserve">(COPD) </w:t>
      </w:r>
      <w:r w:rsidR="00EA7A93" w:rsidRPr="006E3438">
        <w:rPr>
          <w:rFonts w:ascii="Arial" w:hAnsi="Arial" w:cs="Arial"/>
          <w:bCs/>
          <w:sz w:val="24"/>
          <w:szCs w:val="24"/>
        </w:rPr>
        <w:t xml:space="preserve">and the highest </w:t>
      </w:r>
      <w:r w:rsidR="006047BD" w:rsidRPr="006E3438">
        <w:rPr>
          <w:rFonts w:ascii="Arial" w:hAnsi="Arial" w:cs="Arial"/>
          <w:bCs/>
          <w:sz w:val="24"/>
          <w:szCs w:val="24"/>
        </w:rPr>
        <w:t xml:space="preserve">estimated prevalence </w:t>
      </w:r>
      <w:r w:rsidR="00EA7A93" w:rsidRPr="006E3438">
        <w:rPr>
          <w:rFonts w:ascii="Arial" w:hAnsi="Arial" w:cs="Arial"/>
          <w:bCs/>
          <w:sz w:val="24"/>
          <w:szCs w:val="24"/>
        </w:rPr>
        <w:t xml:space="preserve">for </w:t>
      </w:r>
      <w:r w:rsidR="00E87817" w:rsidRPr="006E3438">
        <w:rPr>
          <w:rFonts w:ascii="Arial" w:hAnsi="Arial" w:cs="Arial"/>
          <w:bCs/>
          <w:sz w:val="24"/>
          <w:szCs w:val="24"/>
        </w:rPr>
        <w:t xml:space="preserve">diabetes </w:t>
      </w:r>
      <w:r w:rsidR="00EA7A93" w:rsidRPr="006E3438">
        <w:rPr>
          <w:rFonts w:ascii="Arial" w:hAnsi="Arial" w:cs="Arial"/>
          <w:bCs/>
          <w:sz w:val="24"/>
          <w:szCs w:val="24"/>
        </w:rPr>
        <w:t xml:space="preserve">out of all the clusters in the health </w:t>
      </w:r>
      <w:r w:rsidR="00AE454B" w:rsidRPr="006E3438">
        <w:rPr>
          <w:rFonts w:ascii="Arial" w:hAnsi="Arial" w:cs="Arial"/>
          <w:bCs/>
          <w:sz w:val="24"/>
          <w:szCs w:val="24"/>
        </w:rPr>
        <w:t>board.</w:t>
      </w:r>
    </w:p>
    <w:p w14:paraId="2411F687" w14:textId="40F85FCE" w:rsidR="003B6C47" w:rsidRPr="006E3438" w:rsidRDefault="002204E4" w:rsidP="00DC54F7">
      <w:pPr>
        <w:spacing w:after="0" w:line="240" w:lineRule="auto"/>
        <w:jc w:val="both"/>
        <w:rPr>
          <w:rFonts w:ascii="Arial" w:hAnsi="Arial" w:cs="Arial"/>
          <w:b/>
          <w:bCs/>
          <w:sz w:val="24"/>
          <w:szCs w:val="24"/>
        </w:rPr>
      </w:pPr>
      <w:r w:rsidRPr="006E3438">
        <w:rPr>
          <w:rFonts w:ascii="Arial" w:hAnsi="Arial" w:cs="Arial"/>
          <w:b/>
          <w:bCs/>
          <w:sz w:val="24"/>
          <w:szCs w:val="24"/>
        </w:rPr>
        <w:lastRenderedPageBreak/>
        <w:t>Table 14.</w:t>
      </w:r>
      <w:r w:rsidR="00AC48AB" w:rsidRPr="006E3438">
        <w:rPr>
          <w:rFonts w:ascii="Arial" w:hAnsi="Arial" w:cs="Arial"/>
          <w:b/>
          <w:bCs/>
          <w:sz w:val="24"/>
          <w:szCs w:val="24"/>
        </w:rPr>
        <w:t>3</w:t>
      </w:r>
      <w:r w:rsidRPr="006E3438">
        <w:rPr>
          <w:rFonts w:ascii="Arial" w:hAnsi="Arial" w:cs="Arial"/>
          <w:b/>
          <w:bCs/>
          <w:sz w:val="24"/>
          <w:szCs w:val="24"/>
        </w:rPr>
        <w:t xml:space="preserve">: Estimated percentage </w:t>
      </w:r>
      <w:r w:rsidR="00027872" w:rsidRPr="006E3438">
        <w:rPr>
          <w:rFonts w:ascii="Arial" w:hAnsi="Arial" w:cs="Arial"/>
          <w:b/>
          <w:bCs/>
          <w:sz w:val="24"/>
          <w:szCs w:val="24"/>
        </w:rPr>
        <w:t>prevalence of chronic conditions</w:t>
      </w:r>
      <w:r w:rsidRPr="006E3438">
        <w:rPr>
          <w:rFonts w:ascii="Arial" w:hAnsi="Arial" w:cs="Arial"/>
          <w:b/>
          <w:bCs/>
          <w:sz w:val="24"/>
          <w:szCs w:val="24"/>
        </w:rPr>
        <w:t xml:space="preserve"> based on patients on GP practice registers by cluster, local authority, health board and Wales, 2019</w:t>
      </w:r>
    </w:p>
    <w:tbl>
      <w:tblPr>
        <w:tblW w:w="9476" w:type="dxa"/>
        <w:tblLook w:val="04A0" w:firstRow="1" w:lastRow="0" w:firstColumn="1" w:lastColumn="0" w:noHBand="0" w:noVBand="1"/>
      </w:tblPr>
      <w:tblGrid>
        <w:gridCol w:w="1937"/>
        <w:gridCol w:w="1255"/>
        <w:gridCol w:w="1255"/>
        <w:gridCol w:w="1255"/>
        <w:gridCol w:w="1255"/>
        <w:gridCol w:w="1255"/>
        <w:gridCol w:w="1264"/>
      </w:tblGrid>
      <w:tr w:rsidR="00CA3738" w:rsidRPr="00CA3738" w14:paraId="28B3A198" w14:textId="77777777" w:rsidTr="006E3438">
        <w:trPr>
          <w:trHeight w:val="335"/>
        </w:trPr>
        <w:tc>
          <w:tcPr>
            <w:tcW w:w="1937" w:type="dxa"/>
            <w:tcBorders>
              <w:top w:val="single" w:sz="4" w:space="0" w:color="auto"/>
              <w:left w:val="single" w:sz="4" w:space="0" w:color="auto"/>
              <w:bottom w:val="nil"/>
              <w:right w:val="nil"/>
            </w:tcBorders>
            <w:shd w:val="clear" w:color="auto" w:fill="8497B0"/>
            <w:noWrap/>
            <w:vAlign w:val="bottom"/>
            <w:hideMark/>
          </w:tcPr>
          <w:p w14:paraId="198FD71D" w14:textId="77777777"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 </w:t>
            </w:r>
          </w:p>
        </w:tc>
        <w:tc>
          <w:tcPr>
            <w:tcW w:w="7539" w:type="dxa"/>
            <w:gridSpan w:val="6"/>
            <w:tcBorders>
              <w:top w:val="single" w:sz="4" w:space="0" w:color="auto"/>
              <w:left w:val="nil"/>
              <w:bottom w:val="single" w:sz="4" w:space="0" w:color="FFFFFF"/>
              <w:right w:val="single" w:sz="4" w:space="0" w:color="auto"/>
            </w:tcBorders>
            <w:shd w:val="clear" w:color="auto" w:fill="8497B0"/>
            <w:noWrap/>
            <w:vAlign w:val="bottom"/>
            <w:hideMark/>
          </w:tcPr>
          <w:p w14:paraId="3E3C41C3" w14:textId="77777777" w:rsidR="00CA3738" w:rsidRPr="006E3438" w:rsidRDefault="00CA3738" w:rsidP="00DC54F7">
            <w:pPr>
              <w:spacing w:after="0" w:line="240" w:lineRule="auto"/>
              <w:jc w:val="both"/>
              <w:rPr>
                <w:rFonts w:ascii="Calibri" w:eastAsia="Times New Roman" w:hAnsi="Calibri" w:cs="Times New Roman"/>
                <w:b/>
                <w:bCs/>
                <w:color w:val="FFFFFF"/>
                <w:lang w:eastAsia="en-GB"/>
              </w:rPr>
            </w:pPr>
            <w:r w:rsidRPr="006E3438">
              <w:rPr>
                <w:rFonts w:ascii="Calibri" w:eastAsia="Times New Roman" w:hAnsi="Calibri" w:cs="Times New Roman"/>
                <w:b/>
                <w:bCs/>
                <w:color w:val="FFFFFF"/>
                <w:lang w:eastAsia="en-GB"/>
              </w:rPr>
              <w:t>Percentage</w:t>
            </w:r>
          </w:p>
        </w:tc>
      </w:tr>
      <w:tr w:rsidR="00CA3738" w:rsidRPr="00CA3738" w14:paraId="648F2EBB" w14:textId="77777777" w:rsidTr="006E3438">
        <w:trPr>
          <w:trHeight w:val="1222"/>
        </w:trPr>
        <w:tc>
          <w:tcPr>
            <w:tcW w:w="1937" w:type="dxa"/>
            <w:tcBorders>
              <w:top w:val="nil"/>
              <w:left w:val="single" w:sz="4" w:space="0" w:color="auto"/>
              <w:right w:val="nil"/>
            </w:tcBorders>
            <w:shd w:val="clear" w:color="auto" w:fill="8497B0"/>
            <w:noWrap/>
            <w:vAlign w:val="bottom"/>
            <w:hideMark/>
          </w:tcPr>
          <w:p w14:paraId="0E4B1033" w14:textId="77777777" w:rsidR="00CA3738" w:rsidRPr="006E3438" w:rsidRDefault="00CA3738" w:rsidP="00DC54F7">
            <w:pPr>
              <w:spacing w:after="0" w:line="240" w:lineRule="auto"/>
              <w:jc w:val="both"/>
              <w:rPr>
                <w:rFonts w:ascii="Calibri" w:eastAsia="Times New Roman" w:hAnsi="Calibri" w:cs="Times New Roman"/>
                <w:b/>
                <w:bCs/>
                <w:color w:val="FFFFFF"/>
                <w:lang w:eastAsia="en-GB"/>
              </w:rPr>
            </w:pPr>
            <w:r w:rsidRPr="006E3438">
              <w:rPr>
                <w:rFonts w:ascii="Calibri" w:eastAsia="Times New Roman" w:hAnsi="Calibri" w:cs="Times New Roman"/>
                <w:b/>
                <w:bCs/>
                <w:color w:val="FFFFFF"/>
                <w:lang w:eastAsia="en-GB"/>
              </w:rPr>
              <w:t> </w:t>
            </w:r>
          </w:p>
        </w:tc>
        <w:tc>
          <w:tcPr>
            <w:tcW w:w="1255" w:type="dxa"/>
            <w:tcBorders>
              <w:top w:val="nil"/>
              <w:left w:val="nil"/>
              <w:right w:val="nil"/>
            </w:tcBorders>
            <w:shd w:val="clear" w:color="auto" w:fill="8497B0"/>
            <w:vAlign w:val="bottom"/>
            <w:hideMark/>
          </w:tcPr>
          <w:p w14:paraId="70B92F0B" w14:textId="77777777" w:rsidR="00CA3738" w:rsidRPr="006E3438" w:rsidRDefault="00CA3738" w:rsidP="00DC54F7">
            <w:pPr>
              <w:spacing w:after="0" w:line="240" w:lineRule="auto"/>
              <w:jc w:val="both"/>
              <w:rPr>
                <w:rFonts w:ascii="Calibri" w:eastAsia="Times New Roman" w:hAnsi="Calibri" w:cs="Times New Roman"/>
                <w:b/>
                <w:bCs/>
                <w:color w:val="FFFFFF"/>
                <w:lang w:eastAsia="en-GB"/>
              </w:rPr>
            </w:pPr>
            <w:r w:rsidRPr="006E3438">
              <w:rPr>
                <w:rFonts w:ascii="Calibri" w:eastAsia="Times New Roman" w:hAnsi="Calibri" w:cs="Times New Roman"/>
                <w:b/>
                <w:bCs/>
                <w:color w:val="FFFFFF"/>
                <w:lang w:eastAsia="en-GB"/>
              </w:rPr>
              <w:t>Asthma</w:t>
            </w:r>
          </w:p>
        </w:tc>
        <w:tc>
          <w:tcPr>
            <w:tcW w:w="1255" w:type="dxa"/>
            <w:tcBorders>
              <w:top w:val="nil"/>
              <w:left w:val="nil"/>
              <w:right w:val="nil"/>
            </w:tcBorders>
            <w:shd w:val="clear" w:color="auto" w:fill="8497B0"/>
            <w:vAlign w:val="bottom"/>
            <w:hideMark/>
          </w:tcPr>
          <w:p w14:paraId="0B4EB3E2" w14:textId="77777777" w:rsidR="00CA3738" w:rsidRPr="006E3438" w:rsidRDefault="00CA3738" w:rsidP="00DC54F7">
            <w:pPr>
              <w:spacing w:after="0" w:line="240" w:lineRule="auto"/>
              <w:jc w:val="both"/>
              <w:rPr>
                <w:rFonts w:ascii="Calibri" w:eastAsia="Times New Roman" w:hAnsi="Calibri" w:cs="Times New Roman"/>
                <w:b/>
                <w:bCs/>
                <w:color w:val="FFFFFF"/>
                <w:lang w:eastAsia="en-GB"/>
              </w:rPr>
            </w:pPr>
            <w:r w:rsidRPr="006E3438">
              <w:rPr>
                <w:rFonts w:ascii="Calibri" w:eastAsia="Times New Roman" w:hAnsi="Calibri" w:cs="Times New Roman"/>
                <w:b/>
                <w:bCs/>
                <w:color w:val="FFFFFF"/>
                <w:lang w:eastAsia="en-GB"/>
              </w:rPr>
              <w:t>Coronary heart disease</w:t>
            </w:r>
          </w:p>
        </w:tc>
        <w:tc>
          <w:tcPr>
            <w:tcW w:w="1255" w:type="dxa"/>
            <w:tcBorders>
              <w:top w:val="nil"/>
              <w:left w:val="nil"/>
              <w:right w:val="nil"/>
            </w:tcBorders>
            <w:shd w:val="clear" w:color="auto" w:fill="8497B0"/>
            <w:vAlign w:val="bottom"/>
            <w:hideMark/>
          </w:tcPr>
          <w:p w14:paraId="65579461" w14:textId="77777777" w:rsidR="00CA3738" w:rsidRPr="006E3438" w:rsidRDefault="00CA3738" w:rsidP="00DC54F7">
            <w:pPr>
              <w:spacing w:after="0" w:line="240" w:lineRule="auto"/>
              <w:jc w:val="both"/>
              <w:rPr>
                <w:rFonts w:ascii="Calibri" w:eastAsia="Times New Roman" w:hAnsi="Calibri" w:cs="Times New Roman"/>
                <w:b/>
                <w:bCs/>
                <w:color w:val="FFFFFF"/>
                <w:lang w:eastAsia="en-GB"/>
              </w:rPr>
            </w:pPr>
            <w:r w:rsidRPr="006E3438">
              <w:rPr>
                <w:rFonts w:ascii="Calibri" w:eastAsia="Times New Roman" w:hAnsi="Calibri" w:cs="Times New Roman"/>
                <w:b/>
                <w:bCs/>
                <w:color w:val="FFFFFF"/>
                <w:lang w:eastAsia="en-GB"/>
              </w:rPr>
              <w:t>COPD</w:t>
            </w:r>
          </w:p>
        </w:tc>
        <w:tc>
          <w:tcPr>
            <w:tcW w:w="1255" w:type="dxa"/>
            <w:tcBorders>
              <w:top w:val="nil"/>
              <w:left w:val="nil"/>
              <w:right w:val="nil"/>
            </w:tcBorders>
            <w:shd w:val="clear" w:color="auto" w:fill="8497B0"/>
            <w:vAlign w:val="bottom"/>
            <w:hideMark/>
          </w:tcPr>
          <w:p w14:paraId="6BE43EAD" w14:textId="77777777" w:rsidR="00CA3738" w:rsidRPr="006E3438" w:rsidRDefault="00CA3738" w:rsidP="00DC54F7">
            <w:pPr>
              <w:spacing w:after="0" w:line="240" w:lineRule="auto"/>
              <w:jc w:val="both"/>
              <w:rPr>
                <w:rFonts w:ascii="Calibri" w:eastAsia="Times New Roman" w:hAnsi="Calibri" w:cs="Times New Roman"/>
                <w:b/>
                <w:bCs/>
                <w:color w:val="FFFFFF"/>
                <w:lang w:eastAsia="en-GB"/>
              </w:rPr>
            </w:pPr>
            <w:r w:rsidRPr="006E3438">
              <w:rPr>
                <w:rFonts w:ascii="Calibri" w:eastAsia="Times New Roman" w:hAnsi="Calibri" w:cs="Times New Roman"/>
                <w:b/>
                <w:bCs/>
                <w:color w:val="FFFFFF"/>
                <w:lang w:eastAsia="en-GB"/>
              </w:rPr>
              <w:t>Diabetes</w:t>
            </w:r>
          </w:p>
        </w:tc>
        <w:tc>
          <w:tcPr>
            <w:tcW w:w="1255" w:type="dxa"/>
            <w:tcBorders>
              <w:top w:val="nil"/>
              <w:left w:val="nil"/>
              <w:right w:val="nil"/>
            </w:tcBorders>
            <w:shd w:val="clear" w:color="auto" w:fill="8497B0"/>
            <w:vAlign w:val="bottom"/>
            <w:hideMark/>
          </w:tcPr>
          <w:p w14:paraId="2E457334" w14:textId="77777777" w:rsidR="00CA3738" w:rsidRPr="006E3438" w:rsidRDefault="00CA3738" w:rsidP="00DC54F7">
            <w:pPr>
              <w:spacing w:after="0" w:line="240" w:lineRule="auto"/>
              <w:jc w:val="both"/>
              <w:rPr>
                <w:rFonts w:ascii="Calibri" w:eastAsia="Times New Roman" w:hAnsi="Calibri" w:cs="Times New Roman"/>
                <w:b/>
                <w:bCs/>
                <w:color w:val="FFFFFF"/>
                <w:lang w:eastAsia="en-GB"/>
              </w:rPr>
            </w:pPr>
            <w:r w:rsidRPr="006E3438">
              <w:rPr>
                <w:rFonts w:ascii="Calibri" w:eastAsia="Times New Roman" w:hAnsi="Calibri" w:cs="Times New Roman"/>
                <w:b/>
                <w:bCs/>
                <w:color w:val="FFFFFF"/>
                <w:lang w:eastAsia="en-GB"/>
              </w:rPr>
              <w:t>Heart failure</w:t>
            </w:r>
          </w:p>
        </w:tc>
        <w:tc>
          <w:tcPr>
            <w:tcW w:w="1262" w:type="dxa"/>
            <w:tcBorders>
              <w:top w:val="nil"/>
              <w:left w:val="nil"/>
              <w:right w:val="single" w:sz="4" w:space="0" w:color="auto"/>
            </w:tcBorders>
            <w:shd w:val="clear" w:color="auto" w:fill="8497B0"/>
            <w:vAlign w:val="bottom"/>
            <w:hideMark/>
          </w:tcPr>
          <w:p w14:paraId="39614B36" w14:textId="77777777" w:rsidR="00CA3738" w:rsidRPr="006E3438" w:rsidRDefault="00CA3738" w:rsidP="00DC54F7">
            <w:pPr>
              <w:spacing w:after="0" w:line="240" w:lineRule="auto"/>
              <w:jc w:val="both"/>
              <w:rPr>
                <w:rFonts w:ascii="Calibri" w:eastAsia="Times New Roman" w:hAnsi="Calibri" w:cs="Times New Roman"/>
                <w:b/>
                <w:bCs/>
                <w:color w:val="FFFFFF"/>
                <w:lang w:eastAsia="en-GB"/>
              </w:rPr>
            </w:pPr>
            <w:r w:rsidRPr="006E3438">
              <w:rPr>
                <w:rFonts w:ascii="Calibri" w:eastAsia="Times New Roman" w:hAnsi="Calibri" w:cs="Times New Roman"/>
                <w:b/>
                <w:bCs/>
                <w:color w:val="FFFFFF"/>
                <w:lang w:eastAsia="en-GB"/>
              </w:rPr>
              <w:t>Stroke and transient ischaemic attacks</w:t>
            </w:r>
          </w:p>
        </w:tc>
      </w:tr>
      <w:tr w:rsidR="00CA3738" w:rsidRPr="00CA3738" w14:paraId="3E95BA8C" w14:textId="77777777" w:rsidTr="006E3438">
        <w:trPr>
          <w:trHeight w:val="335"/>
        </w:trPr>
        <w:tc>
          <w:tcPr>
            <w:tcW w:w="1937" w:type="dxa"/>
            <w:tcBorders>
              <w:left w:val="single" w:sz="4" w:space="0" w:color="auto"/>
              <w:right w:val="nil"/>
            </w:tcBorders>
            <w:shd w:val="clear" w:color="000000" w:fill="F2F2F2"/>
            <w:noWrap/>
            <w:vAlign w:val="bottom"/>
            <w:hideMark/>
          </w:tcPr>
          <w:p w14:paraId="6400AD26" w14:textId="77777777"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Central Vale</w:t>
            </w:r>
          </w:p>
        </w:tc>
        <w:tc>
          <w:tcPr>
            <w:tcW w:w="1255" w:type="dxa"/>
            <w:tcBorders>
              <w:left w:val="nil"/>
              <w:right w:val="nil"/>
            </w:tcBorders>
            <w:shd w:val="clear" w:color="000000" w:fill="F2F2F2"/>
            <w:noWrap/>
            <w:vAlign w:val="bottom"/>
            <w:hideMark/>
          </w:tcPr>
          <w:p w14:paraId="08FF7641" w14:textId="20EA9911"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6.9</w:t>
            </w:r>
          </w:p>
        </w:tc>
        <w:tc>
          <w:tcPr>
            <w:tcW w:w="1255" w:type="dxa"/>
            <w:tcBorders>
              <w:left w:val="nil"/>
              <w:right w:val="nil"/>
            </w:tcBorders>
            <w:shd w:val="clear" w:color="000000" w:fill="F2F2F2"/>
            <w:noWrap/>
            <w:vAlign w:val="bottom"/>
            <w:hideMark/>
          </w:tcPr>
          <w:p w14:paraId="4B686139" w14:textId="1D97D473"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3.3</w:t>
            </w:r>
          </w:p>
        </w:tc>
        <w:tc>
          <w:tcPr>
            <w:tcW w:w="1255" w:type="dxa"/>
            <w:tcBorders>
              <w:left w:val="nil"/>
              <w:right w:val="nil"/>
            </w:tcBorders>
            <w:shd w:val="clear" w:color="000000" w:fill="F2F2F2"/>
            <w:noWrap/>
            <w:vAlign w:val="bottom"/>
            <w:hideMark/>
          </w:tcPr>
          <w:p w14:paraId="7E6697BA" w14:textId="745AFE43"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2.3</w:t>
            </w:r>
          </w:p>
        </w:tc>
        <w:tc>
          <w:tcPr>
            <w:tcW w:w="1255" w:type="dxa"/>
            <w:tcBorders>
              <w:left w:val="nil"/>
              <w:right w:val="nil"/>
            </w:tcBorders>
            <w:shd w:val="clear" w:color="000000" w:fill="F2F2F2"/>
            <w:noWrap/>
            <w:vAlign w:val="bottom"/>
            <w:hideMark/>
          </w:tcPr>
          <w:p w14:paraId="40D7BA79" w14:textId="24FF247C"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5.8</w:t>
            </w:r>
          </w:p>
        </w:tc>
        <w:tc>
          <w:tcPr>
            <w:tcW w:w="1255" w:type="dxa"/>
            <w:tcBorders>
              <w:left w:val="nil"/>
              <w:right w:val="nil"/>
            </w:tcBorders>
            <w:shd w:val="clear" w:color="000000" w:fill="F2F2F2"/>
            <w:noWrap/>
            <w:vAlign w:val="bottom"/>
            <w:hideMark/>
          </w:tcPr>
          <w:p w14:paraId="2F199032" w14:textId="499F4A7A"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1.0</w:t>
            </w:r>
          </w:p>
        </w:tc>
        <w:tc>
          <w:tcPr>
            <w:tcW w:w="1262" w:type="dxa"/>
            <w:tcBorders>
              <w:left w:val="nil"/>
              <w:right w:val="single" w:sz="4" w:space="0" w:color="auto"/>
            </w:tcBorders>
            <w:shd w:val="clear" w:color="000000" w:fill="F2F2F2"/>
            <w:noWrap/>
            <w:vAlign w:val="bottom"/>
            <w:hideMark/>
          </w:tcPr>
          <w:p w14:paraId="02BD98A6" w14:textId="4B4AE219"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2.0</w:t>
            </w:r>
          </w:p>
        </w:tc>
      </w:tr>
      <w:tr w:rsidR="00CA3738" w:rsidRPr="00CA3738" w14:paraId="7F11E5AF" w14:textId="77777777" w:rsidTr="006E3438">
        <w:trPr>
          <w:trHeight w:val="335"/>
        </w:trPr>
        <w:tc>
          <w:tcPr>
            <w:tcW w:w="1937" w:type="dxa"/>
            <w:tcBorders>
              <w:top w:val="nil"/>
              <w:left w:val="single" w:sz="4" w:space="0" w:color="auto"/>
              <w:right w:val="nil"/>
            </w:tcBorders>
            <w:shd w:val="clear" w:color="E2EFDA" w:fill="FFFFFF"/>
            <w:noWrap/>
            <w:vAlign w:val="bottom"/>
            <w:hideMark/>
          </w:tcPr>
          <w:p w14:paraId="11226714" w14:textId="77777777"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Vale of Glamorgan</w:t>
            </w:r>
          </w:p>
        </w:tc>
        <w:tc>
          <w:tcPr>
            <w:tcW w:w="1255" w:type="dxa"/>
            <w:tcBorders>
              <w:top w:val="nil"/>
              <w:left w:val="nil"/>
              <w:right w:val="nil"/>
            </w:tcBorders>
            <w:shd w:val="clear" w:color="E2EFDA" w:fill="FFFFFF"/>
            <w:noWrap/>
            <w:vAlign w:val="bottom"/>
            <w:hideMark/>
          </w:tcPr>
          <w:p w14:paraId="6FD9290E" w14:textId="62FEE9EE"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6.8</w:t>
            </w:r>
          </w:p>
        </w:tc>
        <w:tc>
          <w:tcPr>
            <w:tcW w:w="1255" w:type="dxa"/>
            <w:tcBorders>
              <w:top w:val="nil"/>
              <w:left w:val="nil"/>
              <w:right w:val="nil"/>
            </w:tcBorders>
            <w:shd w:val="clear" w:color="E2EFDA" w:fill="FFFFFF"/>
            <w:noWrap/>
            <w:vAlign w:val="bottom"/>
            <w:hideMark/>
          </w:tcPr>
          <w:p w14:paraId="7908E02A" w14:textId="64BE08D5"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3.3</w:t>
            </w:r>
          </w:p>
        </w:tc>
        <w:tc>
          <w:tcPr>
            <w:tcW w:w="1255" w:type="dxa"/>
            <w:tcBorders>
              <w:top w:val="nil"/>
              <w:left w:val="nil"/>
              <w:right w:val="nil"/>
            </w:tcBorders>
            <w:shd w:val="clear" w:color="E2EFDA" w:fill="FFFFFF"/>
            <w:noWrap/>
            <w:vAlign w:val="bottom"/>
            <w:hideMark/>
          </w:tcPr>
          <w:p w14:paraId="648CA29E" w14:textId="61D95809"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1.9</w:t>
            </w:r>
          </w:p>
        </w:tc>
        <w:tc>
          <w:tcPr>
            <w:tcW w:w="1255" w:type="dxa"/>
            <w:tcBorders>
              <w:top w:val="nil"/>
              <w:left w:val="nil"/>
              <w:right w:val="nil"/>
            </w:tcBorders>
            <w:shd w:val="clear" w:color="E2EFDA" w:fill="FFFFFF"/>
            <w:noWrap/>
            <w:vAlign w:val="bottom"/>
            <w:hideMark/>
          </w:tcPr>
          <w:p w14:paraId="02476EE1" w14:textId="6B276E5A"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5.5</w:t>
            </w:r>
          </w:p>
        </w:tc>
        <w:tc>
          <w:tcPr>
            <w:tcW w:w="1255" w:type="dxa"/>
            <w:tcBorders>
              <w:top w:val="nil"/>
              <w:left w:val="nil"/>
              <w:right w:val="nil"/>
            </w:tcBorders>
            <w:shd w:val="clear" w:color="E2EFDA" w:fill="FFFFFF"/>
            <w:noWrap/>
            <w:vAlign w:val="bottom"/>
            <w:hideMark/>
          </w:tcPr>
          <w:p w14:paraId="09755B4C" w14:textId="7EF8FBEA"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1.1</w:t>
            </w:r>
          </w:p>
        </w:tc>
        <w:tc>
          <w:tcPr>
            <w:tcW w:w="1262" w:type="dxa"/>
            <w:tcBorders>
              <w:top w:val="nil"/>
              <w:left w:val="nil"/>
              <w:right w:val="single" w:sz="4" w:space="0" w:color="auto"/>
            </w:tcBorders>
            <w:shd w:val="clear" w:color="E2EFDA" w:fill="FFFFFF"/>
            <w:noWrap/>
            <w:vAlign w:val="bottom"/>
            <w:hideMark/>
          </w:tcPr>
          <w:p w14:paraId="763C36DE" w14:textId="12D0A896"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2.1</w:t>
            </w:r>
          </w:p>
        </w:tc>
      </w:tr>
      <w:tr w:rsidR="00CA3738" w:rsidRPr="00CA3738" w14:paraId="509FAE55" w14:textId="77777777" w:rsidTr="006E3438">
        <w:trPr>
          <w:trHeight w:val="335"/>
        </w:trPr>
        <w:tc>
          <w:tcPr>
            <w:tcW w:w="1937" w:type="dxa"/>
            <w:tcBorders>
              <w:top w:val="nil"/>
              <w:left w:val="single" w:sz="4" w:space="0" w:color="auto"/>
              <w:right w:val="nil"/>
            </w:tcBorders>
            <w:shd w:val="clear" w:color="000000" w:fill="F2F2F2"/>
            <w:noWrap/>
            <w:vAlign w:val="bottom"/>
            <w:hideMark/>
          </w:tcPr>
          <w:p w14:paraId="6CA57603" w14:textId="77777777"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Cardiff &amp; Vale UHB</w:t>
            </w:r>
          </w:p>
        </w:tc>
        <w:tc>
          <w:tcPr>
            <w:tcW w:w="1255" w:type="dxa"/>
            <w:tcBorders>
              <w:top w:val="nil"/>
              <w:left w:val="nil"/>
              <w:right w:val="nil"/>
            </w:tcBorders>
            <w:shd w:val="clear" w:color="000000" w:fill="F2F2F2"/>
            <w:noWrap/>
            <w:vAlign w:val="bottom"/>
            <w:hideMark/>
          </w:tcPr>
          <w:p w14:paraId="22AD52A5" w14:textId="6861379C"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6.7</w:t>
            </w:r>
          </w:p>
        </w:tc>
        <w:tc>
          <w:tcPr>
            <w:tcW w:w="1255" w:type="dxa"/>
            <w:tcBorders>
              <w:top w:val="nil"/>
              <w:left w:val="nil"/>
              <w:right w:val="nil"/>
            </w:tcBorders>
            <w:shd w:val="clear" w:color="000000" w:fill="F2F2F2"/>
            <w:noWrap/>
            <w:vAlign w:val="bottom"/>
            <w:hideMark/>
          </w:tcPr>
          <w:p w14:paraId="6E4839AA" w14:textId="6965B109"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2.7</w:t>
            </w:r>
          </w:p>
        </w:tc>
        <w:tc>
          <w:tcPr>
            <w:tcW w:w="1255" w:type="dxa"/>
            <w:tcBorders>
              <w:top w:val="nil"/>
              <w:left w:val="nil"/>
              <w:right w:val="nil"/>
            </w:tcBorders>
            <w:shd w:val="clear" w:color="000000" w:fill="F2F2F2"/>
            <w:noWrap/>
            <w:vAlign w:val="bottom"/>
            <w:hideMark/>
          </w:tcPr>
          <w:p w14:paraId="63D911A9" w14:textId="6A13294F"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1.7</w:t>
            </w:r>
          </w:p>
        </w:tc>
        <w:tc>
          <w:tcPr>
            <w:tcW w:w="1255" w:type="dxa"/>
            <w:tcBorders>
              <w:top w:val="nil"/>
              <w:left w:val="nil"/>
              <w:right w:val="nil"/>
            </w:tcBorders>
            <w:shd w:val="clear" w:color="000000" w:fill="F2F2F2"/>
            <w:noWrap/>
            <w:vAlign w:val="bottom"/>
            <w:hideMark/>
          </w:tcPr>
          <w:p w14:paraId="1987779C" w14:textId="62C17392"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5.0</w:t>
            </w:r>
          </w:p>
        </w:tc>
        <w:tc>
          <w:tcPr>
            <w:tcW w:w="1255" w:type="dxa"/>
            <w:tcBorders>
              <w:top w:val="nil"/>
              <w:left w:val="nil"/>
              <w:right w:val="nil"/>
            </w:tcBorders>
            <w:shd w:val="clear" w:color="000000" w:fill="F2F2F2"/>
            <w:noWrap/>
            <w:vAlign w:val="bottom"/>
            <w:hideMark/>
          </w:tcPr>
          <w:p w14:paraId="7D044EC5" w14:textId="30E538CB"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0.9</w:t>
            </w:r>
          </w:p>
        </w:tc>
        <w:tc>
          <w:tcPr>
            <w:tcW w:w="1262" w:type="dxa"/>
            <w:tcBorders>
              <w:top w:val="nil"/>
              <w:left w:val="nil"/>
              <w:right w:val="single" w:sz="4" w:space="0" w:color="auto"/>
            </w:tcBorders>
            <w:shd w:val="clear" w:color="000000" w:fill="F2F2F2"/>
            <w:noWrap/>
            <w:vAlign w:val="bottom"/>
            <w:hideMark/>
          </w:tcPr>
          <w:p w14:paraId="294ED720" w14:textId="69E02B40"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1.7</w:t>
            </w:r>
          </w:p>
        </w:tc>
      </w:tr>
      <w:tr w:rsidR="00CA3738" w:rsidRPr="00CA3738" w14:paraId="3774FC31" w14:textId="77777777" w:rsidTr="006E3438">
        <w:trPr>
          <w:trHeight w:val="335"/>
        </w:trPr>
        <w:tc>
          <w:tcPr>
            <w:tcW w:w="1937" w:type="dxa"/>
            <w:tcBorders>
              <w:top w:val="nil"/>
              <w:left w:val="single" w:sz="4" w:space="0" w:color="auto"/>
              <w:bottom w:val="single" w:sz="4" w:space="0" w:color="auto"/>
              <w:right w:val="nil"/>
            </w:tcBorders>
            <w:shd w:val="clear" w:color="E2EFDA" w:fill="FFFFFF"/>
            <w:noWrap/>
            <w:vAlign w:val="bottom"/>
            <w:hideMark/>
          </w:tcPr>
          <w:p w14:paraId="18EFC634" w14:textId="77777777"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Wales</w:t>
            </w:r>
          </w:p>
        </w:tc>
        <w:tc>
          <w:tcPr>
            <w:tcW w:w="1255" w:type="dxa"/>
            <w:tcBorders>
              <w:top w:val="nil"/>
              <w:left w:val="nil"/>
              <w:bottom w:val="single" w:sz="4" w:space="0" w:color="auto"/>
              <w:right w:val="nil"/>
            </w:tcBorders>
            <w:shd w:val="clear" w:color="E2EFDA" w:fill="FFFFFF"/>
            <w:noWrap/>
            <w:vAlign w:val="bottom"/>
            <w:hideMark/>
          </w:tcPr>
          <w:p w14:paraId="41936BC4" w14:textId="749F47F1"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7.1</w:t>
            </w:r>
          </w:p>
        </w:tc>
        <w:tc>
          <w:tcPr>
            <w:tcW w:w="1255" w:type="dxa"/>
            <w:tcBorders>
              <w:top w:val="nil"/>
              <w:left w:val="nil"/>
              <w:bottom w:val="single" w:sz="4" w:space="0" w:color="auto"/>
              <w:right w:val="nil"/>
            </w:tcBorders>
            <w:shd w:val="clear" w:color="E2EFDA" w:fill="FFFFFF"/>
            <w:noWrap/>
            <w:vAlign w:val="bottom"/>
            <w:hideMark/>
          </w:tcPr>
          <w:p w14:paraId="4F9A24DB" w14:textId="7D45A86B"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3.6</w:t>
            </w:r>
          </w:p>
        </w:tc>
        <w:tc>
          <w:tcPr>
            <w:tcW w:w="1255" w:type="dxa"/>
            <w:tcBorders>
              <w:top w:val="nil"/>
              <w:left w:val="nil"/>
              <w:bottom w:val="single" w:sz="4" w:space="0" w:color="auto"/>
              <w:right w:val="nil"/>
            </w:tcBorders>
            <w:shd w:val="clear" w:color="E2EFDA" w:fill="FFFFFF"/>
            <w:noWrap/>
            <w:vAlign w:val="bottom"/>
            <w:hideMark/>
          </w:tcPr>
          <w:p w14:paraId="6784B98D" w14:textId="7C24A5F2"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2.4</w:t>
            </w:r>
          </w:p>
        </w:tc>
        <w:tc>
          <w:tcPr>
            <w:tcW w:w="1255" w:type="dxa"/>
            <w:tcBorders>
              <w:top w:val="nil"/>
              <w:left w:val="nil"/>
              <w:bottom w:val="single" w:sz="4" w:space="0" w:color="auto"/>
              <w:right w:val="nil"/>
            </w:tcBorders>
            <w:shd w:val="clear" w:color="E2EFDA" w:fill="FFFFFF"/>
            <w:noWrap/>
            <w:vAlign w:val="bottom"/>
            <w:hideMark/>
          </w:tcPr>
          <w:p w14:paraId="69CF47D0" w14:textId="327B9210"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6.1</w:t>
            </w:r>
          </w:p>
        </w:tc>
        <w:tc>
          <w:tcPr>
            <w:tcW w:w="1255" w:type="dxa"/>
            <w:tcBorders>
              <w:top w:val="nil"/>
              <w:left w:val="nil"/>
              <w:bottom w:val="single" w:sz="4" w:space="0" w:color="auto"/>
              <w:right w:val="nil"/>
            </w:tcBorders>
            <w:shd w:val="clear" w:color="E2EFDA" w:fill="FFFFFF"/>
            <w:noWrap/>
            <w:vAlign w:val="bottom"/>
            <w:hideMark/>
          </w:tcPr>
          <w:p w14:paraId="5002DE7D" w14:textId="64C09617"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1.1</w:t>
            </w:r>
          </w:p>
        </w:tc>
        <w:tc>
          <w:tcPr>
            <w:tcW w:w="1262" w:type="dxa"/>
            <w:tcBorders>
              <w:top w:val="nil"/>
              <w:left w:val="nil"/>
              <w:bottom w:val="single" w:sz="4" w:space="0" w:color="auto"/>
              <w:right w:val="single" w:sz="4" w:space="0" w:color="auto"/>
            </w:tcBorders>
            <w:shd w:val="clear" w:color="E2EFDA" w:fill="FFFFFF"/>
            <w:noWrap/>
            <w:vAlign w:val="bottom"/>
            <w:hideMark/>
          </w:tcPr>
          <w:p w14:paraId="191E38C7" w14:textId="57E82F42" w:rsidR="00CA3738" w:rsidRPr="006E3438" w:rsidRDefault="00CA3738" w:rsidP="00DC54F7">
            <w:pPr>
              <w:spacing w:after="0" w:line="240" w:lineRule="auto"/>
              <w:jc w:val="both"/>
              <w:rPr>
                <w:rFonts w:ascii="Calibri" w:eastAsia="Times New Roman" w:hAnsi="Calibri" w:cs="Times New Roman"/>
                <w:color w:val="000000"/>
                <w:lang w:eastAsia="en-GB"/>
              </w:rPr>
            </w:pPr>
            <w:r w:rsidRPr="006E3438">
              <w:rPr>
                <w:rFonts w:ascii="Calibri" w:eastAsia="Times New Roman" w:hAnsi="Calibri" w:cs="Times New Roman"/>
                <w:color w:val="000000"/>
                <w:lang w:eastAsia="en-GB"/>
              </w:rPr>
              <w:t>2.1</w:t>
            </w:r>
          </w:p>
        </w:tc>
      </w:tr>
    </w:tbl>
    <w:p w14:paraId="157B91CD" w14:textId="5B618283" w:rsidR="00CA3738" w:rsidRPr="006E3438" w:rsidRDefault="00E62DB7" w:rsidP="00DC54F7">
      <w:pPr>
        <w:jc w:val="both"/>
        <w:rPr>
          <w:rFonts w:ascii="Arial" w:hAnsi="Arial" w:cs="Arial"/>
          <w:sz w:val="20"/>
          <w:szCs w:val="20"/>
        </w:rPr>
      </w:pPr>
      <w:r w:rsidRPr="006E3438">
        <w:rPr>
          <w:rFonts w:ascii="Arial" w:hAnsi="Arial" w:cs="Arial"/>
          <w:sz w:val="20"/>
          <w:szCs w:val="20"/>
        </w:rPr>
        <w:t>Source: QOF 2019</w:t>
      </w:r>
    </w:p>
    <w:p w14:paraId="36DBE68F" w14:textId="1A0DCDD1" w:rsidR="00CA3738" w:rsidRPr="00181E93" w:rsidRDefault="00766D80" w:rsidP="00DC54F7">
      <w:pPr>
        <w:spacing w:after="0" w:line="240" w:lineRule="auto"/>
        <w:jc w:val="both"/>
        <w:rPr>
          <w:rFonts w:ascii="Arial" w:hAnsi="Arial" w:cs="Arial"/>
          <w:bCs/>
          <w:sz w:val="24"/>
          <w:szCs w:val="24"/>
        </w:rPr>
      </w:pPr>
      <w:r w:rsidRPr="00181E93">
        <w:rPr>
          <w:rFonts w:ascii="Arial" w:hAnsi="Arial" w:cs="Arial"/>
          <w:bCs/>
          <w:sz w:val="24"/>
          <w:szCs w:val="24"/>
        </w:rPr>
        <w:t xml:space="preserve">The prevalence of dementia </w:t>
      </w:r>
      <w:r w:rsidR="004210F1" w:rsidRPr="00181E93">
        <w:rPr>
          <w:rFonts w:ascii="Arial" w:hAnsi="Arial" w:cs="Arial"/>
          <w:bCs/>
          <w:sz w:val="24"/>
          <w:szCs w:val="24"/>
        </w:rPr>
        <w:t xml:space="preserve">in Central Vale cluster is lower than the average for Wales and the health board. The </w:t>
      </w:r>
      <w:r w:rsidR="005A7437" w:rsidRPr="00181E93">
        <w:rPr>
          <w:rFonts w:ascii="Arial" w:hAnsi="Arial" w:cs="Arial"/>
          <w:bCs/>
          <w:sz w:val="24"/>
          <w:szCs w:val="24"/>
        </w:rPr>
        <w:t>prevalence of mental health condition is the same as the average for Wales and the higher than the health board.</w:t>
      </w:r>
    </w:p>
    <w:p w14:paraId="7FAD49C8" w14:textId="77777777" w:rsidR="00CD7A5C" w:rsidRDefault="00CD7A5C" w:rsidP="00DC54F7">
      <w:pPr>
        <w:spacing w:after="0" w:line="240" w:lineRule="auto"/>
        <w:jc w:val="both"/>
        <w:rPr>
          <w:rFonts w:ascii="Arial" w:hAnsi="Arial" w:cs="Arial"/>
          <w:b/>
          <w:sz w:val="24"/>
          <w:szCs w:val="24"/>
        </w:rPr>
      </w:pPr>
    </w:p>
    <w:p w14:paraId="0E7F8785" w14:textId="4DA9A1B4" w:rsidR="00CA3738" w:rsidRPr="00181E93" w:rsidRDefault="002204E4" w:rsidP="00DC54F7">
      <w:pPr>
        <w:spacing w:after="0" w:line="240" w:lineRule="auto"/>
        <w:jc w:val="both"/>
        <w:rPr>
          <w:rFonts w:ascii="Arial" w:hAnsi="Arial" w:cs="Arial"/>
          <w:b/>
          <w:sz w:val="24"/>
          <w:szCs w:val="24"/>
        </w:rPr>
      </w:pPr>
      <w:r w:rsidRPr="00181E93">
        <w:rPr>
          <w:rFonts w:ascii="Arial" w:hAnsi="Arial" w:cs="Arial"/>
          <w:b/>
          <w:sz w:val="24"/>
          <w:szCs w:val="24"/>
        </w:rPr>
        <w:t>Table 14.</w:t>
      </w:r>
      <w:r w:rsidR="00AC48AB" w:rsidRPr="00181E93">
        <w:rPr>
          <w:rFonts w:ascii="Arial" w:hAnsi="Arial" w:cs="Arial"/>
          <w:b/>
          <w:sz w:val="24"/>
          <w:szCs w:val="24"/>
        </w:rPr>
        <w:t>4</w:t>
      </w:r>
      <w:r w:rsidRPr="00181E93">
        <w:rPr>
          <w:rFonts w:ascii="Arial" w:hAnsi="Arial" w:cs="Arial"/>
          <w:b/>
          <w:sz w:val="24"/>
          <w:szCs w:val="24"/>
        </w:rPr>
        <w:t>: Percentage of patients registered as having a mental health condition, and dementia by cluster, local authority, health board and Wales, 2019</w:t>
      </w:r>
    </w:p>
    <w:tbl>
      <w:tblPr>
        <w:tblW w:w="9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036"/>
        <w:gridCol w:w="3036"/>
        <w:gridCol w:w="3036"/>
      </w:tblGrid>
      <w:tr w:rsidR="00732478" w:rsidRPr="00732478" w14:paraId="091EDC77" w14:textId="77777777" w:rsidTr="00AC48AB">
        <w:trPr>
          <w:trHeight w:val="343"/>
        </w:trPr>
        <w:tc>
          <w:tcPr>
            <w:tcW w:w="3036" w:type="dxa"/>
            <w:shd w:val="clear" w:color="auto" w:fill="8497B0"/>
            <w:noWrap/>
            <w:vAlign w:val="bottom"/>
            <w:hideMark/>
          </w:tcPr>
          <w:p w14:paraId="46FA9643" w14:textId="77777777" w:rsidR="00732478" w:rsidRPr="0052258B" w:rsidRDefault="00732478" w:rsidP="00DC54F7">
            <w:pPr>
              <w:spacing w:after="0" w:line="240" w:lineRule="auto"/>
              <w:jc w:val="both"/>
              <w:rPr>
                <w:rFonts w:ascii="Calibri" w:eastAsia="Times New Roman" w:hAnsi="Calibri" w:cs="Calibri"/>
                <w:b/>
                <w:bCs/>
                <w:color w:val="FFFFFF"/>
                <w:lang w:eastAsia="en-GB"/>
              </w:rPr>
            </w:pPr>
            <w:r w:rsidRPr="0052258B">
              <w:rPr>
                <w:rFonts w:ascii="Calibri" w:eastAsia="Times New Roman" w:hAnsi="Calibri" w:cs="Calibri"/>
                <w:b/>
                <w:bCs/>
                <w:color w:val="FFFFFF"/>
                <w:lang w:eastAsia="en-GB"/>
              </w:rPr>
              <w:t> </w:t>
            </w:r>
          </w:p>
        </w:tc>
        <w:tc>
          <w:tcPr>
            <w:tcW w:w="3036" w:type="dxa"/>
            <w:shd w:val="clear" w:color="auto" w:fill="8497B0"/>
            <w:noWrap/>
            <w:vAlign w:val="bottom"/>
            <w:hideMark/>
          </w:tcPr>
          <w:p w14:paraId="16636807" w14:textId="77777777" w:rsidR="00732478" w:rsidRPr="0052258B" w:rsidRDefault="00732478" w:rsidP="00DC54F7">
            <w:pPr>
              <w:spacing w:after="0" w:line="240" w:lineRule="auto"/>
              <w:jc w:val="both"/>
              <w:rPr>
                <w:rFonts w:ascii="Calibri" w:eastAsia="Times New Roman" w:hAnsi="Calibri" w:cs="Calibri"/>
                <w:b/>
                <w:bCs/>
                <w:color w:val="FFFFFF"/>
                <w:lang w:eastAsia="en-GB"/>
              </w:rPr>
            </w:pPr>
            <w:r w:rsidRPr="0052258B">
              <w:rPr>
                <w:rFonts w:ascii="Calibri" w:eastAsia="Times New Roman" w:hAnsi="Calibri" w:cs="Calibri"/>
                <w:b/>
                <w:bCs/>
                <w:color w:val="FFFFFF"/>
                <w:lang w:eastAsia="en-GB"/>
              </w:rPr>
              <w:t>Dementia (percentage)</w:t>
            </w:r>
          </w:p>
        </w:tc>
        <w:tc>
          <w:tcPr>
            <w:tcW w:w="3036" w:type="dxa"/>
            <w:shd w:val="clear" w:color="auto" w:fill="8497B0"/>
            <w:vAlign w:val="bottom"/>
            <w:hideMark/>
          </w:tcPr>
          <w:p w14:paraId="7E9A864B" w14:textId="77777777" w:rsidR="00732478" w:rsidRPr="0052258B" w:rsidRDefault="00732478" w:rsidP="00DC54F7">
            <w:pPr>
              <w:spacing w:after="0" w:line="240" w:lineRule="auto"/>
              <w:jc w:val="both"/>
              <w:rPr>
                <w:rFonts w:ascii="Calibri" w:eastAsia="Times New Roman" w:hAnsi="Calibri" w:cs="Calibri"/>
                <w:b/>
                <w:bCs/>
                <w:color w:val="FFFFFF"/>
                <w:lang w:eastAsia="en-GB"/>
              </w:rPr>
            </w:pPr>
            <w:r w:rsidRPr="0052258B">
              <w:rPr>
                <w:rFonts w:ascii="Calibri" w:eastAsia="Times New Roman" w:hAnsi="Calibri" w:cs="Calibri"/>
                <w:b/>
                <w:bCs/>
                <w:color w:val="FFFFFF"/>
                <w:lang w:eastAsia="en-GB"/>
              </w:rPr>
              <w:t>Mental Health (percentage)</w:t>
            </w:r>
          </w:p>
        </w:tc>
      </w:tr>
      <w:tr w:rsidR="00732478" w:rsidRPr="00732478" w14:paraId="48D79ABB" w14:textId="77777777" w:rsidTr="00AC48AB">
        <w:trPr>
          <w:trHeight w:val="343"/>
        </w:trPr>
        <w:tc>
          <w:tcPr>
            <w:tcW w:w="3036" w:type="dxa"/>
            <w:shd w:val="clear" w:color="000000" w:fill="F2F2F2"/>
            <w:noWrap/>
            <w:vAlign w:val="bottom"/>
            <w:hideMark/>
          </w:tcPr>
          <w:p w14:paraId="7FFC8663" w14:textId="77777777" w:rsidR="00732478" w:rsidRPr="0052258B" w:rsidRDefault="00732478" w:rsidP="00DC54F7">
            <w:pPr>
              <w:spacing w:after="0" w:line="240" w:lineRule="auto"/>
              <w:jc w:val="both"/>
              <w:rPr>
                <w:rFonts w:ascii="Arial" w:eastAsia="Times New Roman" w:hAnsi="Arial" w:cs="Arial"/>
                <w:color w:val="000000"/>
                <w:lang w:eastAsia="en-GB"/>
              </w:rPr>
            </w:pPr>
            <w:r w:rsidRPr="0052258B">
              <w:rPr>
                <w:rFonts w:ascii="Arial" w:eastAsia="Times New Roman" w:hAnsi="Arial" w:cs="Arial"/>
                <w:color w:val="000000"/>
                <w:lang w:eastAsia="en-GB"/>
              </w:rPr>
              <w:t>Central Vale</w:t>
            </w:r>
          </w:p>
        </w:tc>
        <w:tc>
          <w:tcPr>
            <w:tcW w:w="3036" w:type="dxa"/>
            <w:shd w:val="clear" w:color="000000" w:fill="F2F2F2"/>
            <w:noWrap/>
            <w:vAlign w:val="bottom"/>
            <w:hideMark/>
          </w:tcPr>
          <w:p w14:paraId="15BC76E8" w14:textId="139C7845" w:rsidR="00732478" w:rsidRPr="0052258B" w:rsidRDefault="00732478" w:rsidP="00DC54F7">
            <w:pPr>
              <w:spacing w:after="0" w:line="240" w:lineRule="auto"/>
              <w:jc w:val="both"/>
              <w:rPr>
                <w:rFonts w:ascii="Arial" w:eastAsia="Times New Roman" w:hAnsi="Arial" w:cs="Arial"/>
                <w:color w:val="000000"/>
                <w:lang w:eastAsia="en-GB"/>
              </w:rPr>
            </w:pPr>
            <w:r w:rsidRPr="0052258B">
              <w:rPr>
                <w:rFonts w:ascii="Arial" w:eastAsia="Times New Roman" w:hAnsi="Arial" w:cs="Arial"/>
                <w:color w:val="000000"/>
                <w:lang w:eastAsia="en-GB"/>
              </w:rPr>
              <w:t>0.6</w:t>
            </w:r>
          </w:p>
        </w:tc>
        <w:tc>
          <w:tcPr>
            <w:tcW w:w="3036" w:type="dxa"/>
            <w:shd w:val="clear" w:color="000000" w:fill="F2F2F2"/>
            <w:noWrap/>
            <w:vAlign w:val="bottom"/>
            <w:hideMark/>
          </w:tcPr>
          <w:p w14:paraId="7A2A6E55" w14:textId="5E576656" w:rsidR="00732478" w:rsidRPr="0052258B" w:rsidRDefault="00732478" w:rsidP="00DC54F7">
            <w:pPr>
              <w:spacing w:after="0" w:line="240" w:lineRule="auto"/>
              <w:jc w:val="both"/>
              <w:rPr>
                <w:rFonts w:ascii="Arial" w:eastAsia="Times New Roman" w:hAnsi="Arial" w:cs="Arial"/>
                <w:color w:val="000000"/>
                <w:lang w:eastAsia="en-GB"/>
              </w:rPr>
            </w:pPr>
            <w:r w:rsidRPr="0052258B">
              <w:rPr>
                <w:rFonts w:ascii="Arial" w:eastAsia="Times New Roman" w:hAnsi="Arial" w:cs="Arial"/>
                <w:color w:val="000000"/>
                <w:lang w:eastAsia="en-GB"/>
              </w:rPr>
              <w:t>1.0</w:t>
            </w:r>
          </w:p>
        </w:tc>
      </w:tr>
      <w:tr w:rsidR="00732478" w:rsidRPr="00732478" w14:paraId="63022B53" w14:textId="77777777" w:rsidTr="00AC48AB">
        <w:trPr>
          <w:trHeight w:val="343"/>
        </w:trPr>
        <w:tc>
          <w:tcPr>
            <w:tcW w:w="3036" w:type="dxa"/>
            <w:shd w:val="clear" w:color="E2EFDA" w:fill="FFFFFF"/>
            <w:noWrap/>
            <w:vAlign w:val="bottom"/>
            <w:hideMark/>
          </w:tcPr>
          <w:p w14:paraId="1257C87C" w14:textId="77777777" w:rsidR="00732478" w:rsidRPr="0052258B" w:rsidRDefault="00732478" w:rsidP="00DC54F7">
            <w:pPr>
              <w:spacing w:after="0" w:line="240" w:lineRule="auto"/>
              <w:jc w:val="both"/>
              <w:rPr>
                <w:rFonts w:ascii="Arial" w:eastAsia="Times New Roman" w:hAnsi="Arial" w:cs="Arial"/>
                <w:color w:val="000000"/>
                <w:lang w:eastAsia="en-GB"/>
              </w:rPr>
            </w:pPr>
            <w:r w:rsidRPr="0052258B">
              <w:rPr>
                <w:rFonts w:ascii="Arial" w:eastAsia="Times New Roman" w:hAnsi="Arial" w:cs="Arial"/>
                <w:color w:val="000000"/>
                <w:lang w:eastAsia="en-GB"/>
              </w:rPr>
              <w:t>Vale of Glamorgan</w:t>
            </w:r>
          </w:p>
        </w:tc>
        <w:tc>
          <w:tcPr>
            <w:tcW w:w="3036" w:type="dxa"/>
            <w:shd w:val="clear" w:color="auto" w:fill="auto"/>
            <w:noWrap/>
            <w:vAlign w:val="bottom"/>
            <w:hideMark/>
          </w:tcPr>
          <w:p w14:paraId="4CB2FAA3" w14:textId="517CB403" w:rsidR="00732478" w:rsidRPr="0052258B" w:rsidRDefault="00732478" w:rsidP="00DC54F7">
            <w:pPr>
              <w:spacing w:after="0" w:line="240" w:lineRule="auto"/>
              <w:jc w:val="both"/>
              <w:rPr>
                <w:rFonts w:ascii="Arial" w:eastAsia="Times New Roman" w:hAnsi="Arial" w:cs="Arial"/>
                <w:color w:val="000000"/>
                <w:lang w:eastAsia="en-GB"/>
              </w:rPr>
            </w:pPr>
            <w:r w:rsidRPr="0052258B">
              <w:rPr>
                <w:rFonts w:ascii="Arial" w:eastAsia="Times New Roman" w:hAnsi="Arial" w:cs="Arial"/>
                <w:color w:val="000000"/>
                <w:lang w:eastAsia="en-GB"/>
              </w:rPr>
              <w:t>0.7</w:t>
            </w:r>
          </w:p>
        </w:tc>
        <w:tc>
          <w:tcPr>
            <w:tcW w:w="3036" w:type="dxa"/>
            <w:shd w:val="clear" w:color="E2EFDA" w:fill="FFFFFF"/>
            <w:noWrap/>
            <w:vAlign w:val="bottom"/>
            <w:hideMark/>
          </w:tcPr>
          <w:p w14:paraId="094624E5" w14:textId="59FDE694" w:rsidR="00732478" w:rsidRPr="0052258B" w:rsidRDefault="00732478" w:rsidP="00DC54F7">
            <w:pPr>
              <w:spacing w:after="0" w:line="240" w:lineRule="auto"/>
              <w:jc w:val="both"/>
              <w:rPr>
                <w:rFonts w:ascii="Arial" w:eastAsia="Times New Roman" w:hAnsi="Arial" w:cs="Arial"/>
                <w:color w:val="000000"/>
                <w:lang w:eastAsia="en-GB"/>
              </w:rPr>
            </w:pPr>
            <w:r w:rsidRPr="0052258B">
              <w:rPr>
                <w:rFonts w:ascii="Arial" w:eastAsia="Times New Roman" w:hAnsi="Arial" w:cs="Arial"/>
                <w:color w:val="000000"/>
                <w:lang w:eastAsia="en-GB"/>
              </w:rPr>
              <w:t>0.9</w:t>
            </w:r>
          </w:p>
        </w:tc>
      </w:tr>
      <w:tr w:rsidR="00732478" w:rsidRPr="00732478" w14:paraId="3248BA2F" w14:textId="77777777" w:rsidTr="00AC48AB">
        <w:trPr>
          <w:trHeight w:val="343"/>
        </w:trPr>
        <w:tc>
          <w:tcPr>
            <w:tcW w:w="3036" w:type="dxa"/>
            <w:shd w:val="clear" w:color="000000" w:fill="F2F2F2"/>
            <w:noWrap/>
            <w:vAlign w:val="bottom"/>
            <w:hideMark/>
          </w:tcPr>
          <w:p w14:paraId="6544E997" w14:textId="77777777" w:rsidR="00732478" w:rsidRPr="0052258B" w:rsidRDefault="00732478" w:rsidP="00DC54F7">
            <w:pPr>
              <w:spacing w:after="0" w:line="240" w:lineRule="auto"/>
              <w:jc w:val="both"/>
              <w:rPr>
                <w:rFonts w:ascii="Arial" w:eastAsia="Times New Roman" w:hAnsi="Arial" w:cs="Arial"/>
                <w:color w:val="000000"/>
                <w:lang w:eastAsia="en-GB"/>
              </w:rPr>
            </w:pPr>
            <w:r w:rsidRPr="0052258B">
              <w:rPr>
                <w:rFonts w:ascii="Arial" w:eastAsia="Times New Roman" w:hAnsi="Arial" w:cs="Arial"/>
                <w:color w:val="000000"/>
                <w:lang w:eastAsia="en-GB"/>
              </w:rPr>
              <w:t>Cardiff &amp; Vale UHB</w:t>
            </w:r>
          </w:p>
        </w:tc>
        <w:tc>
          <w:tcPr>
            <w:tcW w:w="3036" w:type="dxa"/>
            <w:shd w:val="clear" w:color="000000" w:fill="F2F2F2"/>
            <w:noWrap/>
            <w:vAlign w:val="bottom"/>
            <w:hideMark/>
          </w:tcPr>
          <w:p w14:paraId="1FC228EA" w14:textId="3F797360" w:rsidR="00732478" w:rsidRPr="0052258B" w:rsidRDefault="00732478" w:rsidP="00DC54F7">
            <w:pPr>
              <w:spacing w:after="0" w:line="240" w:lineRule="auto"/>
              <w:jc w:val="both"/>
              <w:rPr>
                <w:rFonts w:ascii="Arial" w:eastAsia="Times New Roman" w:hAnsi="Arial" w:cs="Arial"/>
                <w:color w:val="000000"/>
                <w:lang w:eastAsia="en-GB"/>
              </w:rPr>
            </w:pPr>
            <w:r w:rsidRPr="0052258B">
              <w:rPr>
                <w:rFonts w:ascii="Arial" w:eastAsia="Times New Roman" w:hAnsi="Arial" w:cs="Arial"/>
                <w:color w:val="000000"/>
                <w:lang w:eastAsia="en-GB"/>
              </w:rPr>
              <w:t>0.7</w:t>
            </w:r>
          </w:p>
        </w:tc>
        <w:tc>
          <w:tcPr>
            <w:tcW w:w="3036" w:type="dxa"/>
            <w:shd w:val="clear" w:color="000000" w:fill="F2F2F2"/>
            <w:noWrap/>
            <w:vAlign w:val="bottom"/>
            <w:hideMark/>
          </w:tcPr>
          <w:p w14:paraId="76A8516D" w14:textId="7C83A6D6" w:rsidR="00732478" w:rsidRPr="0052258B" w:rsidRDefault="00732478" w:rsidP="00DC54F7">
            <w:pPr>
              <w:spacing w:after="0" w:line="240" w:lineRule="auto"/>
              <w:jc w:val="both"/>
              <w:rPr>
                <w:rFonts w:ascii="Arial" w:eastAsia="Times New Roman" w:hAnsi="Arial" w:cs="Arial"/>
                <w:color w:val="000000"/>
                <w:lang w:eastAsia="en-GB"/>
              </w:rPr>
            </w:pPr>
            <w:r w:rsidRPr="0052258B">
              <w:rPr>
                <w:rFonts w:ascii="Arial" w:eastAsia="Times New Roman" w:hAnsi="Arial" w:cs="Arial"/>
                <w:color w:val="000000"/>
                <w:lang w:eastAsia="en-GB"/>
              </w:rPr>
              <w:t>0.9</w:t>
            </w:r>
          </w:p>
        </w:tc>
      </w:tr>
      <w:tr w:rsidR="00732478" w:rsidRPr="00732478" w14:paraId="71FB13A0" w14:textId="77777777" w:rsidTr="00AC48AB">
        <w:trPr>
          <w:trHeight w:val="343"/>
        </w:trPr>
        <w:tc>
          <w:tcPr>
            <w:tcW w:w="3036" w:type="dxa"/>
            <w:shd w:val="clear" w:color="E2EFDA" w:fill="FFFFFF"/>
            <w:noWrap/>
            <w:vAlign w:val="bottom"/>
            <w:hideMark/>
          </w:tcPr>
          <w:p w14:paraId="2B1B7305" w14:textId="77777777" w:rsidR="00732478" w:rsidRPr="0052258B" w:rsidRDefault="00732478" w:rsidP="00DC54F7">
            <w:pPr>
              <w:spacing w:after="0" w:line="240" w:lineRule="auto"/>
              <w:jc w:val="both"/>
              <w:rPr>
                <w:rFonts w:ascii="Arial" w:eastAsia="Times New Roman" w:hAnsi="Arial" w:cs="Arial"/>
                <w:color w:val="000000"/>
                <w:lang w:eastAsia="en-GB"/>
              </w:rPr>
            </w:pPr>
            <w:r w:rsidRPr="0052258B">
              <w:rPr>
                <w:rFonts w:ascii="Arial" w:eastAsia="Times New Roman" w:hAnsi="Arial" w:cs="Arial"/>
                <w:color w:val="000000"/>
                <w:lang w:eastAsia="en-GB"/>
              </w:rPr>
              <w:t>Wales</w:t>
            </w:r>
          </w:p>
        </w:tc>
        <w:tc>
          <w:tcPr>
            <w:tcW w:w="3036" w:type="dxa"/>
            <w:shd w:val="clear" w:color="auto" w:fill="auto"/>
            <w:noWrap/>
            <w:vAlign w:val="bottom"/>
            <w:hideMark/>
          </w:tcPr>
          <w:p w14:paraId="57184767" w14:textId="4C3D14E5" w:rsidR="00732478" w:rsidRPr="0052258B" w:rsidRDefault="00732478" w:rsidP="00DC54F7">
            <w:pPr>
              <w:spacing w:after="0" w:line="240" w:lineRule="auto"/>
              <w:jc w:val="both"/>
              <w:rPr>
                <w:rFonts w:ascii="Arial" w:eastAsia="Times New Roman" w:hAnsi="Arial" w:cs="Arial"/>
                <w:color w:val="000000"/>
                <w:lang w:eastAsia="en-GB"/>
              </w:rPr>
            </w:pPr>
            <w:r w:rsidRPr="0052258B">
              <w:rPr>
                <w:rFonts w:ascii="Arial" w:eastAsia="Times New Roman" w:hAnsi="Arial" w:cs="Arial"/>
                <w:color w:val="000000"/>
                <w:lang w:eastAsia="en-GB"/>
              </w:rPr>
              <w:t>0.7</w:t>
            </w:r>
          </w:p>
        </w:tc>
        <w:tc>
          <w:tcPr>
            <w:tcW w:w="3036" w:type="dxa"/>
            <w:shd w:val="clear" w:color="E2EFDA" w:fill="FFFFFF"/>
            <w:noWrap/>
            <w:vAlign w:val="bottom"/>
            <w:hideMark/>
          </w:tcPr>
          <w:p w14:paraId="59782A49" w14:textId="61A44F3C" w:rsidR="00732478" w:rsidRPr="0052258B" w:rsidRDefault="00732478" w:rsidP="00DC54F7">
            <w:pPr>
              <w:spacing w:after="0" w:line="240" w:lineRule="auto"/>
              <w:jc w:val="both"/>
              <w:rPr>
                <w:rFonts w:ascii="Arial" w:eastAsia="Times New Roman" w:hAnsi="Arial" w:cs="Arial"/>
                <w:color w:val="000000"/>
                <w:lang w:eastAsia="en-GB"/>
              </w:rPr>
            </w:pPr>
            <w:r w:rsidRPr="0052258B">
              <w:rPr>
                <w:rFonts w:ascii="Arial" w:eastAsia="Times New Roman" w:hAnsi="Arial" w:cs="Arial"/>
                <w:color w:val="000000"/>
                <w:lang w:eastAsia="en-GB"/>
              </w:rPr>
              <w:t>1.0</w:t>
            </w:r>
          </w:p>
        </w:tc>
      </w:tr>
    </w:tbl>
    <w:p w14:paraId="50469B4A" w14:textId="77777777" w:rsidR="00E62DB7" w:rsidRPr="00181E93" w:rsidRDefault="00E62DB7" w:rsidP="00DC54F7">
      <w:pPr>
        <w:jc w:val="both"/>
        <w:rPr>
          <w:rFonts w:ascii="Arial" w:hAnsi="Arial" w:cs="Arial"/>
          <w:sz w:val="20"/>
          <w:szCs w:val="20"/>
        </w:rPr>
      </w:pPr>
      <w:r w:rsidRPr="00181E93">
        <w:rPr>
          <w:rFonts w:ascii="Arial" w:hAnsi="Arial" w:cs="Arial"/>
          <w:sz w:val="20"/>
          <w:szCs w:val="20"/>
        </w:rPr>
        <w:t>Source: QOF 2019</w:t>
      </w:r>
    </w:p>
    <w:p w14:paraId="55C93EC1" w14:textId="2D54134A" w:rsidR="000874B6" w:rsidRPr="001E3078" w:rsidRDefault="005A7437" w:rsidP="00DC54F7">
      <w:pPr>
        <w:spacing w:after="0" w:line="240" w:lineRule="auto"/>
        <w:jc w:val="both"/>
        <w:rPr>
          <w:rFonts w:ascii="Arial" w:hAnsi="Arial" w:cs="Arial"/>
          <w:bCs/>
          <w:sz w:val="24"/>
          <w:szCs w:val="24"/>
        </w:rPr>
      </w:pPr>
      <w:r w:rsidRPr="001E3078">
        <w:rPr>
          <w:rFonts w:ascii="Arial" w:hAnsi="Arial" w:cs="Arial"/>
          <w:bCs/>
          <w:sz w:val="24"/>
          <w:szCs w:val="24"/>
        </w:rPr>
        <w:t xml:space="preserve">The prevalence of </w:t>
      </w:r>
      <w:r w:rsidR="00D76FF1" w:rsidRPr="001E3078">
        <w:rPr>
          <w:rFonts w:ascii="Arial" w:hAnsi="Arial" w:cs="Arial"/>
          <w:bCs/>
          <w:sz w:val="24"/>
          <w:szCs w:val="24"/>
        </w:rPr>
        <w:t xml:space="preserve">atrial fibrillation </w:t>
      </w:r>
      <w:r w:rsidR="00C833E0" w:rsidRPr="001E3078">
        <w:rPr>
          <w:rFonts w:ascii="Arial" w:hAnsi="Arial" w:cs="Arial"/>
          <w:bCs/>
          <w:sz w:val="24"/>
          <w:szCs w:val="24"/>
        </w:rPr>
        <w:t xml:space="preserve">in Central Vale cluster is lower than the average for Wales </w:t>
      </w:r>
      <w:r w:rsidR="00DD2DC5" w:rsidRPr="001E3078">
        <w:rPr>
          <w:rFonts w:ascii="Arial" w:hAnsi="Arial" w:cs="Arial"/>
          <w:bCs/>
          <w:sz w:val="24"/>
          <w:szCs w:val="24"/>
        </w:rPr>
        <w:t xml:space="preserve">and higher than the health board. The prevalence of hypertension is </w:t>
      </w:r>
      <w:r w:rsidR="001A3BC0" w:rsidRPr="001E3078">
        <w:rPr>
          <w:rFonts w:ascii="Arial" w:hAnsi="Arial" w:cs="Arial"/>
          <w:bCs/>
          <w:sz w:val="24"/>
          <w:szCs w:val="24"/>
        </w:rPr>
        <w:t>lower than the average for Wales</w:t>
      </w:r>
      <w:r w:rsidR="00852FC7" w:rsidRPr="001E3078">
        <w:rPr>
          <w:rFonts w:ascii="Arial" w:hAnsi="Arial" w:cs="Arial"/>
          <w:bCs/>
          <w:sz w:val="24"/>
          <w:szCs w:val="24"/>
        </w:rPr>
        <w:t xml:space="preserve"> and </w:t>
      </w:r>
      <w:r w:rsidR="002E66A7" w:rsidRPr="001E3078">
        <w:rPr>
          <w:rFonts w:ascii="Arial" w:hAnsi="Arial" w:cs="Arial"/>
          <w:bCs/>
          <w:sz w:val="24"/>
          <w:szCs w:val="24"/>
        </w:rPr>
        <w:t xml:space="preserve">the </w:t>
      </w:r>
      <w:r w:rsidR="00852FC7" w:rsidRPr="001E3078">
        <w:rPr>
          <w:rFonts w:ascii="Arial" w:hAnsi="Arial" w:cs="Arial"/>
          <w:bCs/>
          <w:sz w:val="24"/>
          <w:szCs w:val="24"/>
        </w:rPr>
        <w:t>highe</w:t>
      </w:r>
      <w:r w:rsidR="002E66A7" w:rsidRPr="001E3078">
        <w:rPr>
          <w:rFonts w:ascii="Arial" w:hAnsi="Arial" w:cs="Arial"/>
          <w:bCs/>
          <w:sz w:val="24"/>
          <w:szCs w:val="24"/>
        </w:rPr>
        <w:t xml:space="preserve">st of all the clusters in </w:t>
      </w:r>
      <w:r w:rsidR="00852FC7" w:rsidRPr="001E3078">
        <w:rPr>
          <w:rFonts w:ascii="Arial" w:hAnsi="Arial" w:cs="Arial"/>
          <w:bCs/>
          <w:sz w:val="24"/>
          <w:szCs w:val="24"/>
        </w:rPr>
        <w:t>the health board.</w:t>
      </w:r>
    </w:p>
    <w:p w14:paraId="5D6375CD" w14:textId="4BAB23B8" w:rsidR="000874B6" w:rsidRPr="001E3078" w:rsidRDefault="000874B6" w:rsidP="00DC54F7">
      <w:pPr>
        <w:spacing w:after="0" w:line="240" w:lineRule="auto"/>
        <w:jc w:val="both"/>
        <w:rPr>
          <w:rFonts w:ascii="Arial" w:hAnsi="Arial" w:cs="Arial"/>
          <w:b/>
          <w:sz w:val="24"/>
          <w:szCs w:val="24"/>
        </w:rPr>
      </w:pPr>
    </w:p>
    <w:p w14:paraId="7F863969" w14:textId="63C2551F" w:rsidR="000874B6" w:rsidRPr="001E3078" w:rsidRDefault="002204E4" w:rsidP="00DC54F7">
      <w:pPr>
        <w:pStyle w:val="Caption"/>
        <w:spacing w:before="0" w:after="0"/>
        <w:jc w:val="both"/>
        <w:rPr>
          <w:rFonts w:ascii="Arial" w:hAnsi="Arial" w:cs="Arial"/>
          <w:szCs w:val="24"/>
        </w:rPr>
      </w:pPr>
      <w:r w:rsidRPr="001E3078">
        <w:rPr>
          <w:rFonts w:ascii="Arial" w:hAnsi="Arial" w:cs="Arial"/>
          <w:szCs w:val="24"/>
        </w:rPr>
        <w:t>Table 14.</w:t>
      </w:r>
      <w:r w:rsidR="00AC48AB" w:rsidRPr="001E3078">
        <w:rPr>
          <w:rFonts w:ascii="Arial" w:hAnsi="Arial" w:cs="Arial"/>
          <w:szCs w:val="24"/>
        </w:rPr>
        <w:t>5</w:t>
      </w:r>
      <w:r w:rsidRPr="001E3078">
        <w:rPr>
          <w:rFonts w:ascii="Arial" w:hAnsi="Arial" w:cs="Arial"/>
          <w:szCs w:val="24"/>
        </w:rPr>
        <w:t>: Estimated percentage prevalence of hypertension and atrial fibrillation based on patients on GP practice registers by cluster, local authority, health board and Wales, 2019</w:t>
      </w:r>
    </w:p>
    <w:tbl>
      <w:tblPr>
        <w:tblW w:w="913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046"/>
        <w:gridCol w:w="3046"/>
        <w:gridCol w:w="3046"/>
      </w:tblGrid>
      <w:tr w:rsidR="000874B6" w:rsidRPr="000874B6" w14:paraId="3C4FC2AA" w14:textId="77777777" w:rsidTr="00AC48AB">
        <w:trPr>
          <w:trHeight w:val="257"/>
        </w:trPr>
        <w:tc>
          <w:tcPr>
            <w:tcW w:w="3046" w:type="dxa"/>
            <w:shd w:val="clear" w:color="auto" w:fill="8497B0"/>
            <w:noWrap/>
            <w:vAlign w:val="bottom"/>
            <w:hideMark/>
          </w:tcPr>
          <w:p w14:paraId="49ABF2D2" w14:textId="77777777" w:rsidR="000874B6" w:rsidRPr="001E3078" w:rsidRDefault="000874B6" w:rsidP="00DC54F7">
            <w:pPr>
              <w:spacing w:after="0" w:line="240" w:lineRule="auto"/>
              <w:jc w:val="both"/>
              <w:rPr>
                <w:rFonts w:ascii="Calibri" w:eastAsia="Times New Roman" w:hAnsi="Calibri" w:cs="Calibri"/>
                <w:b/>
                <w:bCs/>
                <w:color w:val="FFFFFF"/>
                <w:lang w:eastAsia="en-GB"/>
              </w:rPr>
            </w:pPr>
            <w:r w:rsidRPr="001E3078">
              <w:rPr>
                <w:rFonts w:ascii="Calibri" w:eastAsia="Times New Roman" w:hAnsi="Calibri" w:cs="Calibri"/>
                <w:b/>
                <w:bCs/>
                <w:color w:val="FFFFFF"/>
                <w:lang w:eastAsia="en-GB"/>
              </w:rPr>
              <w:t> </w:t>
            </w:r>
          </w:p>
        </w:tc>
        <w:tc>
          <w:tcPr>
            <w:tcW w:w="3046" w:type="dxa"/>
            <w:shd w:val="clear" w:color="auto" w:fill="8497B0"/>
            <w:noWrap/>
            <w:vAlign w:val="bottom"/>
            <w:hideMark/>
          </w:tcPr>
          <w:p w14:paraId="648F451E" w14:textId="77777777" w:rsidR="000874B6" w:rsidRPr="001E3078" w:rsidRDefault="000874B6" w:rsidP="00DC54F7">
            <w:pPr>
              <w:spacing w:after="0" w:line="240" w:lineRule="auto"/>
              <w:jc w:val="both"/>
              <w:rPr>
                <w:rFonts w:ascii="Calibri" w:eastAsia="Times New Roman" w:hAnsi="Calibri" w:cs="Calibri"/>
                <w:b/>
                <w:bCs/>
                <w:color w:val="FFFFFF"/>
                <w:lang w:eastAsia="en-GB"/>
              </w:rPr>
            </w:pPr>
            <w:r w:rsidRPr="001E3078">
              <w:rPr>
                <w:rFonts w:ascii="Calibri" w:eastAsia="Times New Roman" w:hAnsi="Calibri" w:cs="Calibri"/>
                <w:b/>
                <w:bCs/>
                <w:color w:val="FFFFFF"/>
                <w:lang w:eastAsia="en-GB"/>
              </w:rPr>
              <w:t>Atrial Fibrillation (percentage)</w:t>
            </w:r>
          </w:p>
        </w:tc>
        <w:tc>
          <w:tcPr>
            <w:tcW w:w="3046" w:type="dxa"/>
            <w:shd w:val="clear" w:color="auto" w:fill="8497B0"/>
            <w:vAlign w:val="bottom"/>
            <w:hideMark/>
          </w:tcPr>
          <w:p w14:paraId="675B8024" w14:textId="77777777" w:rsidR="000874B6" w:rsidRPr="001E3078" w:rsidRDefault="000874B6" w:rsidP="00DC54F7">
            <w:pPr>
              <w:spacing w:after="0" w:line="240" w:lineRule="auto"/>
              <w:jc w:val="both"/>
              <w:rPr>
                <w:rFonts w:ascii="Calibri" w:eastAsia="Times New Roman" w:hAnsi="Calibri" w:cs="Calibri"/>
                <w:b/>
                <w:bCs/>
                <w:color w:val="FFFFFF"/>
                <w:lang w:eastAsia="en-GB"/>
              </w:rPr>
            </w:pPr>
            <w:r w:rsidRPr="001E3078">
              <w:rPr>
                <w:rFonts w:ascii="Calibri" w:eastAsia="Times New Roman" w:hAnsi="Calibri" w:cs="Calibri"/>
                <w:b/>
                <w:bCs/>
                <w:color w:val="FFFFFF"/>
                <w:lang w:eastAsia="en-GB"/>
              </w:rPr>
              <w:t>Hypertension (percentage)</w:t>
            </w:r>
          </w:p>
        </w:tc>
      </w:tr>
      <w:tr w:rsidR="000874B6" w:rsidRPr="000874B6" w14:paraId="1989CA01" w14:textId="77777777" w:rsidTr="00AC48AB">
        <w:trPr>
          <w:trHeight w:val="257"/>
        </w:trPr>
        <w:tc>
          <w:tcPr>
            <w:tcW w:w="3046" w:type="dxa"/>
            <w:shd w:val="clear" w:color="000000" w:fill="F2F2F2"/>
            <w:noWrap/>
            <w:vAlign w:val="bottom"/>
            <w:hideMark/>
          </w:tcPr>
          <w:p w14:paraId="5AEBC893" w14:textId="77777777" w:rsidR="000874B6" w:rsidRPr="001E3078" w:rsidRDefault="000874B6" w:rsidP="00DC54F7">
            <w:pPr>
              <w:spacing w:after="0" w:line="240" w:lineRule="auto"/>
              <w:jc w:val="both"/>
              <w:rPr>
                <w:rFonts w:ascii="Arial" w:eastAsia="Times New Roman" w:hAnsi="Arial" w:cs="Arial"/>
                <w:color w:val="000000"/>
                <w:lang w:eastAsia="en-GB"/>
              </w:rPr>
            </w:pPr>
            <w:r w:rsidRPr="001E3078">
              <w:rPr>
                <w:rFonts w:ascii="Arial" w:eastAsia="Times New Roman" w:hAnsi="Arial" w:cs="Arial"/>
                <w:color w:val="000000"/>
                <w:lang w:eastAsia="en-GB"/>
              </w:rPr>
              <w:t>Central Vale</w:t>
            </w:r>
          </w:p>
        </w:tc>
        <w:tc>
          <w:tcPr>
            <w:tcW w:w="3046" w:type="dxa"/>
            <w:shd w:val="clear" w:color="000000" w:fill="F2F2F2"/>
            <w:noWrap/>
            <w:vAlign w:val="bottom"/>
            <w:hideMark/>
          </w:tcPr>
          <w:p w14:paraId="227AA0EC" w14:textId="49E964FE" w:rsidR="000874B6" w:rsidRPr="001E3078" w:rsidRDefault="000874B6" w:rsidP="00DC54F7">
            <w:pPr>
              <w:spacing w:after="0" w:line="240" w:lineRule="auto"/>
              <w:jc w:val="both"/>
              <w:rPr>
                <w:rFonts w:ascii="Arial" w:eastAsia="Times New Roman" w:hAnsi="Arial" w:cs="Arial"/>
                <w:color w:val="000000"/>
                <w:lang w:eastAsia="en-GB"/>
              </w:rPr>
            </w:pPr>
            <w:r w:rsidRPr="001E3078">
              <w:rPr>
                <w:rFonts w:ascii="Arial" w:eastAsia="Times New Roman" w:hAnsi="Arial" w:cs="Arial"/>
                <w:color w:val="000000"/>
                <w:lang w:eastAsia="en-GB"/>
              </w:rPr>
              <w:t>2.1</w:t>
            </w:r>
          </w:p>
        </w:tc>
        <w:tc>
          <w:tcPr>
            <w:tcW w:w="3046" w:type="dxa"/>
            <w:shd w:val="clear" w:color="000000" w:fill="F2F2F2"/>
            <w:noWrap/>
            <w:vAlign w:val="bottom"/>
            <w:hideMark/>
          </w:tcPr>
          <w:p w14:paraId="557C3854" w14:textId="19D441A3" w:rsidR="000874B6" w:rsidRPr="001E3078" w:rsidRDefault="000874B6" w:rsidP="00DC54F7">
            <w:pPr>
              <w:spacing w:after="0" w:line="240" w:lineRule="auto"/>
              <w:jc w:val="both"/>
              <w:rPr>
                <w:rFonts w:ascii="Arial" w:eastAsia="Times New Roman" w:hAnsi="Arial" w:cs="Arial"/>
                <w:color w:val="000000"/>
                <w:lang w:eastAsia="en-GB"/>
              </w:rPr>
            </w:pPr>
            <w:r w:rsidRPr="001E3078">
              <w:rPr>
                <w:rFonts w:ascii="Arial" w:eastAsia="Times New Roman" w:hAnsi="Arial" w:cs="Arial"/>
                <w:color w:val="000000"/>
                <w:lang w:eastAsia="en-GB"/>
              </w:rPr>
              <w:t>15.4</w:t>
            </w:r>
          </w:p>
        </w:tc>
      </w:tr>
      <w:tr w:rsidR="000874B6" w:rsidRPr="000874B6" w14:paraId="3C20001C" w14:textId="77777777" w:rsidTr="00AC48AB">
        <w:trPr>
          <w:trHeight w:val="257"/>
        </w:trPr>
        <w:tc>
          <w:tcPr>
            <w:tcW w:w="3046" w:type="dxa"/>
            <w:shd w:val="clear" w:color="E2EFDA" w:fill="FFFFFF"/>
            <w:noWrap/>
            <w:vAlign w:val="bottom"/>
            <w:hideMark/>
          </w:tcPr>
          <w:p w14:paraId="561759E2" w14:textId="77777777" w:rsidR="000874B6" w:rsidRPr="001E3078" w:rsidRDefault="000874B6" w:rsidP="00DC54F7">
            <w:pPr>
              <w:spacing w:after="0" w:line="240" w:lineRule="auto"/>
              <w:jc w:val="both"/>
              <w:rPr>
                <w:rFonts w:ascii="Arial" w:eastAsia="Times New Roman" w:hAnsi="Arial" w:cs="Arial"/>
                <w:color w:val="000000"/>
                <w:lang w:eastAsia="en-GB"/>
              </w:rPr>
            </w:pPr>
            <w:r w:rsidRPr="001E3078">
              <w:rPr>
                <w:rFonts w:ascii="Arial" w:eastAsia="Times New Roman" w:hAnsi="Arial" w:cs="Arial"/>
                <w:color w:val="000000"/>
                <w:lang w:eastAsia="en-GB"/>
              </w:rPr>
              <w:t>Vale of Glamorgan</w:t>
            </w:r>
          </w:p>
        </w:tc>
        <w:tc>
          <w:tcPr>
            <w:tcW w:w="3046" w:type="dxa"/>
            <w:shd w:val="clear" w:color="auto" w:fill="auto"/>
            <w:noWrap/>
            <w:vAlign w:val="bottom"/>
            <w:hideMark/>
          </w:tcPr>
          <w:p w14:paraId="58E024EB" w14:textId="0C285FBD" w:rsidR="000874B6" w:rsidRPr="001E3078" w:rsidRDefault="000874B6" w:rsidP="00DC54F7">
            <w:pPr>
              <w:spacing w:after="0" w:line="240" w:lineRule="auto"/>
              <w:jc w:val="both"/>
              <w:rPr>
                <w:rFonts w:ascii="Arial" w:eastAsia="Times New Roman" w:hAnsi="Arial" w:cs="Arial"/>
                <w:color w:val="000000"/>
                <w:lang w:eastAsia="en-GB"/>
              </w:rPr>
            </w:pPr>
            <w:r w:rsidRPr="001E3078">
              <w:rPr>
                <w:rFonts w:ascii="Arial" w:eastAsia="Times New Roman" w:hAnsi="Arial" w:cs="Arial"/>
                <w:color w:val="000000"/>
                <w:lang w:eastAsia="en-GB"/>
              </w:rPr>
              <w:t>2.3</w:t>
            </w:r>
          </w:p>
        </w:tc>
        <w:tc>
          <w:tcPr>
            <w:tcW w:w="3046" w:type="dxa"/>
            <w:shd w:val="clear" w:color="E2EFDA" w:fill="FFFFFF"/>
            <w:noWrap/>
            <w:vAlign w:val="bottom"/>
            <w:hideMark/>
          </w:tcPr>
          <w:p w14:paraId="29F521D7" w14:textId="7EE6CA20" w:rsidR="000874B6" w:rsidRPr="001E3078" w:rsidRDefault="000874B6" w:rsidP="00DC54F7">
            <w:pPr>
              <w:spacing w:after="0" w:line="240" w:lineRule="auto"/>
              <w:jc w:val="both"/>
              <w:rPr>
                <w:rFonts w:ascii="Arial" w:eastAsia="Times New Roman" w:hAnsi="Arial" w:cs="Arial"/>
                <w:color w:val="000000"/>
                <w:lang w:eastAsia="en-GB"/>
              </w:rPr>
            </w:pPr>
            <w:r w:rsidRPr="001E3078">
              <w:rPr>
                <w:rFonts w:ascii="Arial" w:eastAsia="Times New Roman" w:hAnsi="Arial" w:cs="Arial"/>
                <w:color w:val="000000"/>
                <w:lang w:eastAsia="en-GB"/>
              </w:rPr>
              <w:t>14.9</w:t>
            </w:r>
          </w:p>
        </w:tc>
      </w:tr>
      <w:tr w:rsidR="000874B6" w:rsidRPr="000874B6" w14:paraId="035D4D36" w14:textId="77777777" w:rsidTr="00AC48AB">
        <w:trPr>
          <w:trHeight w:val="257"/>
        </w:trPr>
        <w:tc>
          <w:tcPr>
            <w:tcW w:w="3046" w:type="dxa"/>
            <w:shd w:val="clear" w:color="000000" w:fill="F2F2F2"/>
            <w:noWrap/>
            <w:vAlign w:val="bottom"/>
            <w:hideMark/>
          </w:tcPr>
          <w:p w14:paraId="32B10532" w14:textId="77777777" w:rsidR="000874B6" w:rsidRPr="001E3078" w:rsidRDefault="000874B6" w:rsidP="00DC54F7">
            <w:pPr>
              <w:spacing w:after="0" w:line="240" w:lineRule="auto"/>
              <w:jc w:val="both"/>
              <w:rPr>
                <w:rFonts w:ascii="Arial" w:eastAsia="Times New Roman" w:hAnsi="Arial" w:cs="Arial"/>
                <w:color w:val="000000"/>
                <w:lang w:eastAsia="en-GB"/>
              </w:rPr>
            </w:pPr>
            <w:r w:rsidRPr="001E3078">
              <w:rPr>
                <w:rFonts w:ascii="Arial" w:eastAsia="Times New Roman" w:hAnsi="Arial" w:cs="Arial"/>
                <w:color w:val="000000"/>
                <w:lang w:eastAsia="en-GB"/>
              </w:rPr>
              <w:t>Cardiff &amp; Vale UHB</w:t>
            </w:r>
          </w:p>
        </w:tc>
        <w:tc>
          <w:tcPr>
            <w:tcW w:w="3046" w:type="dxa"/>
            <w:shd w:val="clear" w:color="000000" w:fill="F2F2F2"/>
            <w:noWrap/>
            <w:vAlign w:val="bottom"/>
            <w:hideMark/>
          </w:tcPr>
          <w:p w14:paraId="4C210C88" w14:textId="4959E4E8" w:rsidR="000874B6" w:rsidRPr="001E3078" w:rsidRDefault="000874B6" w:rsidP="00DC54F7">
            <w:pPr>
              <w:spacing w:after="0" w:line="240" w:lineRule="auto"/>
              <w:jc w:val="both"/>
              <w:rPr>
                <w:rFonts w:ascii="Arial" w:eastAsia="Times New Roman" w:hAnsi="Arial" w:cs="Arial"/>
                <w:color w:val="000000"/>
                <w:lang w:eastAsia="en-GB"/>
              </w:rPr>
            </w:pPr>
            <w:r w:rsidRPr="001E3078">
              <w:rPr>
                <w:rFonts w:ascii="Arial" w:eastAsia="Times New Roman" w:hAnsi="Arial" w:cs="Arial"/>
                <w:color w:val="000000"/>
                <w:lang w:eastAsia="en-GB"/>
              </w:rPr>
              <w:t>1.8</w:t>
            </w:r>
          </w:p>
        </w:tc>
        <w:tc>
          <w:tcPr>
            <w:tcW w:w="3046" w:type="dxa"/>
            <w:shd w:val="clear" w:color="000000" w:fill="F2F2F2"/>
            <w:noWrap/>
            <w:vAlign w:val="bottom"/>
            <w:hideMark/>
          </w:tcPr>
          <w:p w14:paraId="2AEA8E2E" w14:textId="76E52B80" w:rsidR="000874B6" w:rsidRPr="001E3078" w:rsidRDefault="000874B6" w:rsidP="00DC54F7">
            <w:pPr>
              <w:spacing w:after="0" w:line="240" w:lineRule="auto"/>
              <w:jc w:val="both"/>
              <w:rPr>
                <w:rFonts w:ascii="Arial" w:eastAsia="Times New Roman" w:hAnsi="Arial" w:cs="Arial"/>
                <w:color w:val="000000"/>
                <w:lang w:eastAsia="en-GB"/>
              </w:rPr>
            </w:pPr>
            <w:r w:rsidRPr="001E3078">
              <w:rPr>
                <w:rFonts w:ascii="Arial" w:eastAsia="Times New Roman" w:hAnsi="Arial" w:cs="Arial"/>
                <w:color w:val="000000"/>
                <w:lang w:eastAsia="en-GB"/>
              </w:rPr>
              <w:t>12.6</w:t>
            </w:r>
          </w:p>
        </w:tc>
      </w:tr>
      <w:tr w:rsidR="000874B6" w:rsidRPr="000874B6" w14:paraId="73189EA6" w14:textId="77777777" w:rsidTr="00AC48AB">
        <w:trPr>
          <w:trHeight w:val="257"/>
        </w:trPr>
        <w:tc>
          <w:tcPr>
            <w:tcW w:w="3046" w:type="dxa"/>
            <w:shd w:val="clear" w:color="E2EFDA" w:fill="FFFFFF"/>
            <w:noWrap/>
            <w:vAlign w:val="bottom"/>
            <w:hideMark/>
          </w:tcPr>
          <w:p w14:paraId="2D67C392" w14:textId="77777777" w:rsidR="000874B6" w:rsidRPr="001E3078" w:rsidRDefault="000874B6" w:rsidP="00DC54F7">
            <w:pPr>
              <w:spacing w:after="0" w:line="240" w:lineRule="auto"/>
              <w:jc w:val="both"/>
              <w:rPr>
                <w:rFonts w:ascii="Arial" w:eastAsia="Times New Roman" w:hAnsi="Arial" w:cs="Arial"/>
                <w:color w:val="000000"/>
                <w:lang w:eastAsia="en-GB"/>
              </w:rPr>
            </w:pPr>
            <w:r w:rsidRPr="001E3078">
              <w:rPr>
                <w:rFonts w:ascii="Arial" w:eastAsia="Times New Roman" w:hAnsi="Arial" w:cs="Arial"/>
                <w:color w:val="000000"/>
                <w:lang w:eastAsia="en-GB"/>
              </w:rPr>
              <w:t>Wales</w:t>
            </w:r>
          </w:p>
        </w:tc>
        <w:tc>
          <w:tcPr>
            <w:tcW w:w="3046" w:type="dxa"/>
            <w:shd w:val="clear" w:color="auto" w:fill="auto"/>
            <w:noWrap/>
            <w:vAlign w:val="bottom"/>
            <w:hideMark/>
          </w:tcPr>
          <w:p w14:paraId="00C67F4D" w14:textId="1D07A8F4" w:rsidR="000874B6" w:rsidRPr="001E3078" w:rsidRDefault="000874B6" w:rsidP="00DC54F7">
            <w:pPr>
              <w:spacing w:after="0" w:line="240" w:lineRule="auto"/>
              <w:jc w:val="both"/>
              <w:rPr>
                <w:rFonts w:ascii="Arial" w:eastAsia="Times New Roman" w:hAnsi="Arial" w:cs="Arial"/>
                <w:color w:val="000000"/>
                <w:lang w:eastAsia="en-GB"/>
              </w:rPr>
            </w:pPr>
            <w:r w:rsidRPr="001E3078">
              <w:rPr>
                <w:rFonts w:ascii="Arial" w:eastAsia="Times New Roman" w:hAnsi="Arial" w:cs="Arial"/>
                <w:color w:val="000000"/>
                <w:lang w:eastAsia="en-GB"/>
              </w:rPr>
              <w:t>2.3</w:t>
            </w:r>
          </w:p>
        </w:tc>
        <w:tc>
          <w:tcPr>
            <w:tcW w:w="3046" w:type="dxa"/>
            <w:shd w:val="clear" w:color="E2EFDA" w:fill="FFFFFF"/>
            <w:noWrap/>
            <w:vAlign w:val="bottom"/>
            <w:hideMark/>
          </w:tcPr>
          <w:p w14:paraId="5A0E567B" w14:textId="50C2D3B2" w:rsidR="000874B6" w:rsidRPr="001E3078" w:rsidRDefault="000874B6" w:rsidP="00DC54F7">
            <w:pPr>
              <w:spacing w:after="0" w:line="240" w:lineRule="auto"/>
              <w:jc w:val="both"/>
              <w:rPr>
                <w:rFonts w:ascii="Arial" w:eastAsia="Times New Roman" w:hAnsi="Arial" w:cs="Arial"/>
                <w:color w:val="000000"/>
                <w:lang w:eastAsia="en-GB"/>
              </w:rPr>
            </w:pPr>
            <w:r w:rsidRPr="001E3078">
              <w:rPr>
                <w:rFonts w:ascii="Arial" w:eastAsia="Times New Roman" w:hAnsi="Arial" w:cs="Arial"/>
                <w:color w:val="000000"/>
                <w:lang w:eastAsia="en-GB"/>
              </w:rPr>
              <w:t>15.8</w:t>
            </w:r>
          </w:p>
        </w:tc>
      </w:tr>
    </w:tbl>
    <w:p w14:paraId="45CB84E8" w14:textId="77777777" w:rsidR="00E62DB7" w:rsidRDefault="00E62DB7" w:rsidP="00DC54F7">
      <w:pPr>
        <w:jc w:val="both"/>
        <w:rPr>
          <w:rFonts w:ascii="Arial" w:hAnsi="Arial" w:cs="Arial"/>
        </w:rPr>
      </w:pPr>
      <w:r>
        <w:rPr>
          <w:rFonts w:ascii="Arial" w:hAnsi="Arial" w:cs="Arial"/>
        </w:rPr>
        <w:t>Source: QOF 2019</w:t>
      </w:r>
    </w:p>
    <w:p w14:paraId="3280FB93" w14:textId="744FC862" w:rsidR="007A3662" w:rsidRPr="00710BC0" w:rsidRDefault="007A3662" w:rsidP="00DC54F7">
      <w:pPr>
        <w:spacing w:after="0" w:line="240" w:lineRule="auto"/>
        <w:jc w:val="both"/>
        <w:rPr>
          <w:rFonts w:ascii="Arial" w:hAnsi="Arial" w:cs="Arial"/>
          <w:sz w:val="24"/>
          <w:szCs w:val="24"/>
        </w:rPr>
      </w:pPr>
      <w:r w:rsidRPr="00710BC0">
        <w:rPr>
          <w:rFonts w:ascii="Arial" w:hAnsi="Arial" w:cs="Arial"/>
          <w:sz w:val="24"/>
          <w:szCs w:val="24"/>
        </w:rPr>
        <w:t>Many of the factors that contribute to the inequalities in health and well-being are preventable. Table 14.</w:t>
      </w:r>
      <w:r w:rsidR="00AC48AB" w:rsidRPr="00710BC0">
        <w:rPr>
          <w:rFonts w:ascii="Arial" w:hAnsi="Arial" w:cs="Arial"/>
          <w:sz w:val="24"/>
          <w:szCs w:val="24"/>
        </w:rPr>
        <w:t>6</w:t>
      </w:r>
      <w:r w:rsidRPr="00710BC0">
        <w:rPr>
          <w:rFonts w:ascii="Arial" w:hAnsi="Arial" w:cs="Arial"/>
          <w:sz w:val="24"/>
          <w:szCs w:val="24"/>
        </w:rPr>
        <w:t xml:space="preserve"> shows the percentage of adults self-reporting five behaviours, where a lower percentage for smoking and drinking above the guidelines is seen as more beneficial to health and well-being as is a higher percentage for working age </w:t>
      </w:r>
      <w:r w:rsidRPr="00710BC0">
        <w:rPr>
          <w:rFonts w:ascii="Arial" w:hAnsi="Arial" w:cs="Arial"/>
          <w:sz w:val="24"/>
          <w:szCs w:val="24"/>
        </w:rPr>
        <w:lastRenderedPageBreak/>
        <w:t xml:space="preserve">adults of healthy weight, meeting the physical activity guidelines and consuming </w:t>
      </w:r>
      <w:r w:rsidR="0052258B">
        <w:rPr>
          <w:rFonts w:ascii="Arial" w:hAnsi="Arial" w:cs="Arial"/>
          <w:sz w:val="24"/>
          <w:szCs w:val="24"/>
        </w:rPr>
        <w:t xml:space="preserve">five </w:t>
      </w:r>
      <w:r w:rsidRPr="00710BC0">
        <w:rPr>
          <w:rFonts w:ascii="Arial" w:hAnsi="Arial" w:cs="Arial"/>
          <w:sz w:val="24"/>
          <w:szCs w:val="24"/>
        </w:rPr>
        <w:t xml:space="preserve">a day. </w:t>
      </w:r>
    </w:p>
    <w:p w14:paraId="19401078" w14:textId="77777777" w:rsidR="007A3662" w:rsidRPr="00710BC0" w:rsidRDefault="007A3662" w:rsidP="00DC54F7">
      <w:pPr>
        <w:spacing w:after="0" w:line="240" w:lineRule="auto"/>
        <w:jc w:val="both"/>
        <w:rPr>
          <w:rFonts w:ascii="Arial" w:hAnsi="Arial" w:cs="Arial"/>
          <w:sz w:val="24"/>
          <w:szCs w:val="24"/>
        </w:rPr>
      </w:pPr>
    </w:p>
    <w:p w14:paraId="49C48BCF" w14:textId="67CAD509" w:rsidR="007A3662" w:rsidRPr="00710BC0" w:rsidRDefault="007A3662" w:rsidP="00DC54F7">
      <w:pPr>
        <w:spacing w:after="0" w:line="240" w:lineRule="auto"/>
        <w:jc w:val="both"/>
        <w:rPr>
          <w:rFonts w:ascii="Arial" w:hAnsi="Arial" w:cs="Arial"/>
          <w:color w:val="000000" w:themeColor="text1"/>
          <w:sz w:val="24"/>
          <w:szCs w:val="24"/>
        </w:rPr>
      </w:pPr>
      <w:r w:rsidRPr="00710BC0">
        <w:rPr>
          <w:rFonts w:ascii="Arial" w:hAnsi="Arial" w:cs="Arial"/>
          <w:sz w:val="24"/>
          <w:szCs w:val="24"/>
        </w:rPr>
        <w:t>Overall, the percentage of adults reporting behaviours which support healthy outcomes in Central Vale cluster is lower than</w:t>
      </w:r>
      <w:r w:rsidRPr="00710BC0">
        <w:rPr>
          <w:rFonts w:ascii="Arial" w:hAnsi="Arial" w:cs="Arial"/>
          <w:color w:val="000000"/>
          <w:sz w:val="24"/>
          <w:szCs w:val="24"/>
        </w:rPr>
        <w:t xml:space="preserve"> Cardiff and Vale University </w:t>
      </w:r>
      <w:r w:rsidRPr="00710BC0">
        <w:rPr>
          <w:rFonts w:ascii="Arial" w:hAnsi="Arial" w:cs="Arial"/>
          <w:sz w:val="24"/>
          <w:szCs w:val="24"/>
        </w:rPr>
        <w:t xml:space="preserve">Health Board and the average for Wales, except for drinking above the guidelines. </w:t>
      </w:r>
    </w:p>
    <w:p w14:paraId="3583CACC" w14:textId="77777777" w:rsidR="009A4832" w:rsidRDefault="009A4832" w:rsidP="00DC54F7">
      <w:pPr>
        <w:pStyle w:val="Caption"/>
        <w:spacing w:before="0" w:after="0"/>
        <w:jc w:val="both"/>
        <w:rPr>
          <w:rFonts w:ascii="Arial" w:hAnsi="Arial" w:cs="Arial"/>
          <w:sz w:val="22"/>
          <w:szCs w:val="22"/>
        </w:rPr>
      </w:pPr>
    </w:p>
    <w:p w14:paraId="64E714DA" w14:textId="76304995" w:rsidR="000874B6" w:rsidRPr="0052258B" w:rsidRDefault="002204E4" w:rsidP="00DC54F7">
      <w:pPr>
        <w:pStyle w:val="Caption"/>
        <w:spacing w:before="0" w:after="0"/>
        <w:jc w:val="both"/>
        <w:rPr>
          <w:rFonts w:ascii="Arial" w:hAnsi="Arial" w:cs="Arial"/>
          <w:szCs w:val="24"/>
        </w:rPr>
      </w:pPr>
      <w:r w:rsidRPr="006B7AD3">
        <w:rPr>
          <w:rFonts w:ascii="Arial" w:hAnsi="Arial" w:cs="Arial"/>
          <w:sz w:val="22"/>
          <w:szCs w:val="22"/>
        </w:rPr>
        <w:t>T</w:t>
      </w:r>
      <w:r w:rsidRPr="0052258B">
        <w:rPr>
          <w:rFonts w:ascii="Arial" w:hAnsi="Arial" w:cs="Arial"/>
          <w:szCs w:val="24"/>
        </w:rPr>
        <w:t>able 14.</w:t>
      </w:r>
      <w:r w:rsidR="00AC48AB" w:rsidRPr="0052258B">
        <w:rPr>
          <w:rFonts w:ascii="Arial" w:hAnsi="Arial" w:cs="Arial"/>
          <w:szCs w:val="24"/>
        </w:rPr>
        <w:t>6</w:t>
      </w:r>
      <w:r w:rsidRPr="0052258B">
        <w:rPr>
          <w:rFonts w:ascii="Arial" w:hAnsi="Arial" w:cs="Arial"/>
          <w:szCs w:val="24"/>
        </w:rPr>
        <w:t>: Percentage of adults (aged 16 years and over) reporting behaviours by cluster, health board and Wales, 2016 to 2018</w:t>
      </w:r>
    </w:p>
    <w:tbl>
      <w:tblPr>
        <w:tblW w:w="9423"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122"/>
        <w:gridCol w:w="1216"/>
        <w:gridCol w:w="244"/>
        <w:gridCol w:w="973"/>
        <w:gridCol w:w="487"/>
        <w:gridCol w:w="730"/>
        <w:gridCol w:w="730"/>
        <w:gridCol w:w="487"/>
        <w:gridCol w:w="973"/>
        <w:gridCol w:w="244"/>
        <w:gridCol w:w="1217"/>
      </w:tblGrid>
      <w:tr w:rsidR="00AF2C72" w:rsidRPr="00AF2C72" w14:paraId="7A60A934" w14:textId="77777777" w:rsidTr="0052258B">
        <w:trPr>
          <w:trHeight w:val="317"/>
        </w:trPr>
        <w:tc>
          <w:tcPr>
            <w:tcW w:w="2122" w:type="dxa"/>
            <w:shd w:val="clear" w:color="auto" w:fill="8497B0"/>
            <w:noWrap/>
            <w:vAlign w:val="center"/>
            <w:hideMark/>
          </w:tcPr>
          <w:p w14:paraId="0EED95E0" w14:textId="77777777" w:rsidR="00AF2C72" w:rsidRPr="0052258B" w:rsidRDefault="00AF2C72" w:rsidP="00DC54F7">
            <w:pPr>
              <w:spacing w:after="0" w:line="240" w:lineRule="auto"/>
              <w:jc w:val="both"/>
              <w:rPr>
                <w:rFonts w:eastAsia="Times New Roman" w:cstheme="minorHAnsi"/>
                <w:b/>
                <w:bCs/>
                <w:color w:val="FFFFFF"/>
                <w:lang w:eastAsia="en-GB"/>
              </w:rPr>
            </w:pPr>
            <w:r w:rsidRPr="0052258B">
              <w:rPr>
                <w:rFonts w:eastAsia="Times New Roman" w:cstheme="minorHAnsi"/>
                <w:b/>
                <w:bCs/>
                <w:color w:val="FFFFFF"/>
                <w:lang w:eastAsia="en-GB"/>
              </w:rPr>
              <w:t> </w:t>
            </w:r>
          </w:p>
        </w:tc>
        <w:tc>
          <w:tcPr>
            <w:tcW w:w="1460" w:type="dxa"/>
            <w:gridSpan w:val="2"/>
            <w:shd w:val="clear" w:color="auto" w:fill="8497B0"/>
            <w:noWrap/>
            <w:vAlign w:val="center"/>
            <w:hideMark/>
          </w:tcPr>
          <w:p w14:paraId="4B9B67F3" w14:textId="77777777" w:rsidR="00AF2C72" w:rsidRPr="0052258B" w:rsidRDefault="00AF2C72" w:rsidP="00DC54F7">
            <w:pPr>
              <w:spacing w:after="0" w:line="240" w:lineRule="auto"/>
              <w:jc w:val="both"/>
              <w:rPr>
                <w:rFonts w:eastAsia="Times New Roman" w:cstheme="minorHAnsi"/>
                <w:b/>
                <w:bCs/>
                <w:color w:val="FFFFFF"/>
                <w:lang w:eastAsia="en-GB"/>
              </w:rPr>
            </w:pPr>
            <w:r w:rsidRPr="0052258B">
              <w:rPr>
                <w:rFonts w:eastAsia="Times New Roman" w:cstheme="minorHAnsi"/>
                <w:b/>
                <w:bCs/>
                <w:color w:val="FFFFFF"/>
                <w:lang w:eastAsia="en-GB"/>
              </w:rPr>
              <w:t>Count</w:t>
            </w:r>
          </w:p>
        </w:tc>
        <w:tc>
          <w:tcPr>
            <w:tcW w:w="1460" w:type="dxa"/>
            <w:gridSpan w:val="2"/>
            <w:shd w:val="clear" w:color="auto" w:fill="8497B0"/>
            <w:noWrap/>
            <w:vAlign w:val="center"/>
            <w:hideMark/>
          </w:tcPr>
          <w:p w14:paraId="23EFAA40" w14:textId="77777777" w:rsidR="00AF2C72" w:rsidRPr="0052258B" w:rsidRDefault="00AF2C72" w:rsidP="00DC54F7">
            <w:pPr>
              <w:spacing w:after="0" w:line="240" w:lineRule="auto"/>
              <w:jc w:val="both"/>
              <w:rPr>
                <w:rFonts w:eastAsia="Times New Roman" w:cstheme="minorHAnsi"/>
                <w:b/>
                <w:bCs/>
                <w:color w:val="FFFFFF"/>
                <w:lang w:eastAsia="en-GB"/>
              </w:rPr>
            </w:pPr>
            <w:r w:rsidRPr="0052258B">
              <w:rPr>
                <w:rFonts w:eastAsia="Times New Roman" w:cstheme="minorHAnsi"/>
                <w:b/>
                <w:bCs/>
                <w:color w:val="FFFFFF"/>
                <w:lang w:eastAsia="en-GB"/>
              </w:rPr>
              <w:t> </w:t>
            </w:r>
          </w:p>
        </w:tc>
        <w:tc>
          <w:tcPr>
            <w:tcW w:w="1460" w:type="dxa"/>
            <w:gridSpan w:val="2"/>
            <w:shd w:val="clear" w:color="auto" w:fill="8497B0"/>
            <w:noWrap/>
            <w:vAlign w:val="center"/>
            <w:hideMark/>
          </w:tcPr>
          <w:p w14:paraId="3C630BFA" w14:textId="77777777" w:rsidR="00AF2C72" w:rsidRPr="0052258B" w:rsidRDefault="00AF2C72" w:rsidP="00DC54F7">
            <w:pPr>
              <w:spacing w:after="0" w:line="240" w:lineRule="auto"/>
              <w:jc w:val="both"/>
              <w:rPr>
                <w:rFonts w:eastAsia="Times New Roman" w:cstheme="minorHAnsi"/>
                <w:b/>
                <w:bCs/>
                <w:color w:val="FFFFFF"/>
                <w:lang w:eastAsia="en-GB"/>
              </w:rPr>
            </w:pPr>
            <w:r w:rsidRPr="0052258B">
              <w:rPr>
                <w:rFonts w:eastAsia="Times New Roman" w:cstheme="minorHAnsi"/>
                <w:b/>
                <w:bCs/>
                <w:color w:val="FFFFFF"/>
                <w:lang w:eastAsia="en-GB"/>
              </w:rPr>
              <w:t> </w:t>
            </w:r>
          </w:p>
        </w:tc>
        <w:tc>
          <w:tcPr>
            <w:tcW w:w="1460" w:type="dxa"/>
            <w:gridSpan w:val="2"/>
            <w:shd w:val="clear" w:color="auto" w:fill="8497B0"/>
            <w:noWrap/>
            <w:vAlign w:val="center"/>
            <w:hideMark/>
          </w:tcPr>
          <w:p w14:paraId="3ECF4E89" w14:textId="77777777" w:rsidR="00AF2C72" w:rsidRPr="0052258B" w:rsidRDefault="00AF2C72" w:rsidP="00DC54F7">
            <w:pPr>
              <w:spacing w:after="0" w:line="240" w:lineRule="auto"/>
              <w:jc w:val="both"/>
              <w:rPr>
                <w:rFonts w:eastAsia="Times New Roman" w:cstheme="minorHAnsi"/>
                <w:b/>
                <w:bCs/>
                <w:color w:val="FFFFFF"/>
                <w:lang w:eastAsia="en-GB"/>
              </w:rPr>
            </w:pPr>
            <w:r w:rsidRPr="0052258B">
              <w:rPr>
                <w:rFonts w:eastAsia="Times New Roman" w:cstheme="minorHAnsi"/>
                <w:b/>
                <w:bCs/>
                <w:color w:val="FFFFFF"/>
                <w:lang w:eastAsia="en-GB"/>
              </w:rPr>
              <w:t>Prevalence</w:t>
            </w:r>
          </w:p>
        </w:tc>
        <w:tc>
          <w:tcPr>
            <w:tcW w:w="1461" w:type="dxa"/>
            <w:gridSpan w:val="2"/>
            <w:shd w:val="clear" w:color="auto" w:fill="8497B0"/>
            <w:noWrap/>
            <w:vAlign w:val="center"/>
            <w:hideMark/>
          </w:tcPr>
          <w:p w14:paraId="3204BA02" w14:textId="77777777" w:rsidR="00AF2C72" w:rsidRPr="0052258B" w:rsidRDefault="00AF2C72" w:rsidP="00DC54F7">
            <w:pPr>
              <w:spacing w:after="0" w:line="240" w:lineRule="auto"/>
              <w:jc w:val="both"/>
              <w:rPr>
                <w:rFonts w:eastAsia="Times New Roman" w:cstheme="minorHAnsi"/>
                <w:b/>
                <w:bCs/>
                <w:color w:val="FFFFFF"/>
                <w:lang w:eastAsia="en-GB"/>
              </w:rPr>
            </w:pPr>
            <w:r w:rsidRPr="0052258B">
              <w:rPr>
                <w:rFonts w:eastAsia="Times New Roman" w:cstheme="minorHAnsi"/>
                <w:b/>
                <w:bCs/>
                <w:color w:val="FFFFFF"/>
                <w:lang w:eastAsia="en-GB"/>
              </w:rPr>
              <w:t> </w:t>
            </w:r>
          </w:p>
        </w:tc>
      </w:tr>
      <w:tr w:rsidR="00AF2C72" w:rsidRPr="00AF2C72" w14:paraId="32B5CB16" w14:textId="77777777" w:rsidTr="0052258B">
        <w:trPr>
          <w:trHeight w:val="1438"/>
        </w:trPr>
        <w:tc>
          <w:tcPr>
            <w:tcW w:w="2122" w:type="dxa"/>
            <w:shd w:val="clear" w:color="auto" w:fill="8497B0"/>
            <w:vAlign w:val="center"/>
            <w:hideMark/>
          </w:tcPr>
          <w:p w14:paraId="69481EDB" w14:textId="77777777" w:rsidR="00AF2C72" w:rsidRPr="0052258B" w:rsidRDefault="00AF2C72" w:rsidP="00DC54F7">
            <w:pPr>
              <w:spacing w:after="0" w:line="240" w:lineRule="auto"/>
              <w:jc w:val="both"/>
              <w:rPr>
                <w:rFonts w:eastAsia="Times New Roman" w:cstheme="minorHAnsi"/>
                <w:b/>
                <w:bCs/>
                <w:color w:val="FFFFFF"/>
                <w:lang w:eastAsia="en-GB"/>
              </w:rPr>
            </w:pPr>
            <w:r w:rsidRPr="0052258B">
              <w:rPr>
                <w:rFonts w:eastAsia="Times New Roman" w:cstheme="minorHAnsi"/>
                <w:b/>
                <w:bCs/>
                <w:color w:val="FFFFFF"/>
                <w:lang w:eastAsia="en-GB"/>
              </w:rPr>
              <w:t>GP Cluster Name</w:t>
            </w:r>
          </w:p>
        </w:tc>
        <w:tc>
          <w:tcPr>
            <w:tcW w:w="1216" w:type="dxa"/>
            <w:shd w:val="clear" w:color="auto" w:fill="8497B0"/>
            <w:vAlign w:val="center"/>
            <w:hideMark/>
          </w:tcPr>
          <w:p w14:paraId="0ED4B837" w14:textId="77777777" w:rsidR="00AF2C72" w:rsidRPr="0052258B" w:rsidRDefault="00AF2C72" w:rsidP="00DC54F7">
            <w:pPr>
              <w:spacing w:after="0" w:line="240" w:lineRule="auto"/>
              <w:jc w:val="both"/>
              <w:rPr>
                <w:rFonts w:eastAsia="Times New Roman" w:cstheme="minorHAnsi"/>
                <w:b/>
                <w:bCs/>
                <w:color w:val="FFFFFF"/>
                <w:lang w:eastAsia="en-GB"/>
              </w:rPr>
            </w:pPr>
            <w:r w:rsidRPr="0052258B">
              <w:rPr>
                <w:rFonts w:eastAsia="Times New Roman" w:cstheme="minorHAnsi"/>
                <w:b/>
                <w:bCs/>
                <w:color w:val="FFFFFF"/>
                <w:lang w:eastAsia="en-GB"/>
              </w:rPr>
              <w:t>GP cluster population aged 16+</w:t>
            </w:r>
          </w:p>
        </w:tc>
        <w:tc>
          <w:tcPr>
            <w:tcW w:w="1217" w:type="dxa"/>
            <w:gridSpan w:val="2"/>
            <w:shd w:val="clear" w:color="auto" w:fill="8497B0"/>
            <w:vAlign w:val="center"/>
            <w:hideMark/>
          </w:tcPr>
          <w:p w14:paraId="11ABC4BD" w14:textId="77777777" w:rsidR="00AF2C72" w:rsidRPr="0052258B" w:rsidRDefault="00AF2C72" w:rsidP="00DC54F7">
            <w:pPr>
              <w:spacing w:after="0" w:line="240" w:lineRule="auto"/>
              <w:jc w:val="both"/>
              <w:rPr>
                <w:rFonts w:eastAsia="Times New Roman" w:cstheme="minorHAnsi"/>
                <w:b/>
                <w:bCs/>
                <w:color w:val="FFFFFF"/>
                <w:lang w:eastAsia="en-GB"/>
              </w:rPr>
            </w:pPr>
            <w:r w:rsidRPr="0052258B">
              <w:rPr>
                <w:rFonts w:eastAsia="Times New Roman" w:cstheme="minorHAnsi"/>
                <w:b/>
                <w:bCs/>
                <w:color w:val="FFFFFF"/>
                <w:lang w:eastAsia="en-GB"/>
              </w:rPr>
              <w:t>Smoking</w:t>
            </w:r>
          </w:p>
        </w:tc>
        <w:tc>
          <w:tcPr>
            <w:tcW w:w="1217" w:type="dxa"/>
            <w:gridSpan w:val="2"/>
            <w:shd w:val="clear" w:color="auto" w:fill="8497B0"/>
            <w:vAlign w:val="center"/>
            <w:hideMark/>
          </w:tcPr>
          <w:p w14:paraId="05A74754" w14:textId="77777777" w:rsidR="00AF2C72" w:rsidRPr="0052258B" w:rsidRDefault="00AF2C72" w:rsidP="00DC54F7">
            <w:pPr>
              <w:spacing w:after="0" w:line="240" w:lineRule="auto"/>
              <w:jc w:val="both"/>
              <w:rPr>
                <w:rFonts w:eastAsia="Times New Roman" w:cstheme="minorHAnsi"/>
                <w:b/>
                <w:bCs/>
                <w:color w:val="FFFFFF"/>
                <w:lang w:eastAsia="en-GB"/>
              </w:rPr>
            </w:pPr>
            <w:r w:rsidRPr="0052258B">
              <w:rPr>
                <w:rFonts w:eastAsia="Times New Roman" w:cstheme="minorHAnsi"/>
                <w:b/>
                <w:bCs/>
                <w:color w:val="FFFFFF"/>
                <w:lang w:eastAsia="en-GB"/>
              </w:rPr>
              <w:t>Drinking the above guidelines</w:t>
            </w:r>
          </w:p>
        </w:tc>
        <w:tc>
          <w:tcPr>
            <w:tcW w:w="1217" w:type="dxa"/>
            <w:gridSpan w:val="2"/>
            <w:shd w:val="clear" w:color="auto" w:fill="8497B0"/>
            <w:vAlign w:val="center"/>
            <w:hideMark/>
          </w:tcPr>
          <w:p w14:paraId="7D680B9F" w14:textId="77777777" w:rsidR="00AF2C72" w:rsidRPr="0052258B" w:rsidRDefault="00AF2C72" w:rsidP="00DC54F7">
            <w:pPr>
              <w:spacing w:after="0" w:line="240" w:lineRule="auto"/>
              <w:jc w:val="both"/>
              <w:rPr>
                <w:rFonts w:eastAsia="Times New Roman" w:cstheme="minorHAnsi"/>
                <w:b/>
                <w:bCs/>
                <w:color w:val="FFFFFF"/>
                <w:lang w:eastAsia="en-GB"/>
              </w:rPr>
            </w:pPr>
            <w:r w:rsidRPr="0052258B">
              <w:rPr>
                <w:rFonts w:eastAsia="Times New Roman" w:cstheme="minorHAnsi"/>
                <w:b/>
                <w:bCs/>
                <w:color w:val="FFFFFF"/>
                <w:lang w:eastAsia="en-GB"/>
              </w:rPr>
              <w:t>Working age adults of healthy weight</w:t>
            </w:r>
          </w:p>
        </w:tc>
        <w:tc>
          <w:tcPr>
            <w:tcW w:w="1217" w:type="dxa"/>
            <w:gridSpan w:val="2"/>
            <w:shd w:val="clear" w:color="auto" w:fill="8497B0"/>
            <w:vAlign w:val="center"/>
            <w:hideMark/>
          </w:tcPr>
          <w:p w14:paraId="1B92D61D" w14:textId="77777777" w:rsidR="00AF2C72" w:rsidRPr="0052258B" w:rsidRDefault="00AF2C72" w:rsidP="00DC54F7">
            <w:pPr>
              <w:spacing w:after="0" w:line="240" w:lineRule="auto"/>
              <w:jc w:val="both"/>
              <w:rPr>
                <w:rFonts w:eastAsia="Times New Roman" w:cstheme="minorHAnsi"/>
                <w:b/>
                <w:bCs/>
                <w:color w:val="FFFFFF"/>
                <w:lang w:eastAsia="en-GB"/>
              </w:rPr>
            </w:pPr>
            <w:r w:rsidRPr="0052258B">
              <w:rPr>
                <w:rFonts w:eastAsia="Times New Roman" w:cstheme="minorHAnsi"/>
                <w:b/>
                <w:bCs/>
                <w:color w:val="FFFFFF"/>
                <w:lang w:eastAsia="en-GB"/>
              </w:rPr>
              <w:t>Meeting physical activity guidelines</w:t>
            </w:r>
          </w:p>
        </w:tc>
        <w:tc>
          <w:tcPr>
            <w:tcW w:w="1217" w:type="dxa"/>
            <w:shd w:val="clear" w:color="auto" w:fill="8497B0"/>
            <w:vAlign w:val="center"/>
            <w:hideMark/>
          </w:tcPr>
          <w:p w14:paraId="6B2CDA0B" w14:textId="77777777" w:rsidR="00AF2C72" w:rsidRPr="0052258B" w:rsidRDefault="00AF2C72" w:rsidP="00DC54F7">
            <w:pPr>
              <w:spacing w:after="0" w:line="240" w:lineRule="auto"/>
              <w:jc w:val="both"/>
              <w:rPr>
                <w:rFonts w:eastAsia="Times New Roman" w:cstheme="minorHAnsi"/>
                <w:b/>
                <w:bCs/>
                <w:color w:val="FFFFFF"/>
                <w:lang w:eastAsia="en-GB"/>
              </w:rPr>
            </w:pPr>
            <w:r w:rsidRPr="0052258B">
              <w:rPr>
                <w:rFonts w:eastAsia="Times New Roman" w:cstheme="minorHAnsi"/>
                <w:b/>
                <w:bCs/>
                <w:color w:val="FFFFFF"/>
                <w:lang w:eastAsia="en-GB"/>
              </w:rPr>
              <w:t>Consuming 5 a day</w:t>
            </w:r>
          </w:p>
        </w:tc>
      </w:tr>
      <w:tr w:rsidR="00AF2C72" w:rsidRPr="00AF2C72" w14:paraId="62EEF429" w14:textId="77777777" w:rsidTr="0052258B">
        <w:trPr>
          <w:trHeight w:val="329"/>
        </w:trPr>
        <w:tc>
          <w:tcPr>
            <w:tcW w:w="2122" w:type="dxa"/>
            <w:shd w:val="clear" w:color="000000" w:fill="F2F2F2"/>
            <w:noWrap/>
            <w:vAlign w:val="center"/>
            <w:hideMark/>
          </w:tcPr>
          <w:p w14:paraId="033CE4D6"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Central Vale</w:t>
            </w:r>
          </w:p>
        </w:tc>
        <w:tc>
          <w:tcPr>
            <w:tcW w:w="1216" w:type="dxa"/>
            <w:shd w:val="clear" w:color="000000" w:fill="F2F2F2"/>
            <w:noWrap/>
            <w:vAlign w:val="center"/>
            <w:hideMark/>
          </w:tcPr>
          <w:p w14:paraId="5223910D"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51,644</w:t>
            </w:r>
          </w:p>
        </w:tc>
        <w:tc>
          <w:tcPr>
            <w:tcW w:w="1217" w:type="dxa"/>
            <w:gridSpan w:val="2"/>
            <w:shd w:val="clear" w:color="000000" w:fill="F2F2F2"/>
            <w:noWrap/>
            <w:vAlign w:val="center"/>
            <w:hideMark/>
          </w:tcPr>
          <w:p w14:paraId="3980791D"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20.6</w:t>
            </w:r>
          </w:p>
        </w:tc>
        <w:tc>
          <w:tcPr>
            <w:tcW w:w="1217" w:type="dxa"/>
            <w:gridSpan w:val="2"/>
            <w:shd w:val="clear" w:color="000000" w:fill="F2F2F2"/>
            <w:noWrap/>
            <w:vAlign w:val="center"/>
            <w:hideMark/>
          </w:tcPr>
          <w:p w14:paraId="10B332C4"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18.6</w:t>
            </w:r>
          </w:p>
        </w:tc>
        <w:tc>
          <w:tcPr>
            <w:tcW w:w="1217" w:type="dxa"/>
            <w:gridSpan w:val="2"/>
            <w:shd w:val="clear" w:color="000000" w:fill="F2F2F2"/>
            <w:noWrap/>
            <w:vAlign w:val="center"/>
            <w:hideMark/>
          </w:tcPr>
          <w:p w14:paraId="45AF4BE4"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37.8</w:t>
            </w:r>
          </w:p>
        </w:tc>
        <w:tc>
          <w:tcPr>
            <w:tcW w:w="1217" w:type="dxa"/>
            <w:gridSpan w:val="2"/>
            <w:shd w:val="clear" w:color="000000" w:fill="F2F2F2"/>
            <w:noWrap/>
            <w:vAlign w:val="center"/>
            <w:hideMark/>
          </w:tcPr>
          <w:p w14:paraId="70FF36A1"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52.3</w:t>
            </w:r>
          </w:p>
        </w:tc>
        <w:tc>
          <w:tcPr>
            <w:tcW w:w="1217" w:type="dxa"/>
            <w:shd w:val="clear" w:color="000000" w:fill="F2F2F2"/>
            <w:noWrap/>
            <w:vAlign w:val="center"/>
            <w:hideMark/>
          </w:tcPr>
          <w:p w14:paraId="09DF9F4D"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23.0</w:t>
            </w:r>
          </w:p>
        </w:tc>
      </w:tr>
      <w:tr w:rsidR="00AF2C72" w:rsidRPr="00AF2C72" w14:paraId="4832DDE8" w14:textId="77777777" w:rsidTr="0052258B">
        <w:trPr>
          <w:trHeight w:val="329"/>
        </w:trPr>
        <w:tc>
          <w:tcPr>
            <w:tcW w:w="2122" w:type="dxa"/>
            <w:shd w:val="clear" w:color="000000" w:fill="FFFFFF"/>
            <w:noWrap/>
            <w:vAlign w:val="center"/>
            <w:hideMark/>
          </w:tcPr>
          <w:p w14:paraId="0419A2AA"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Cardiff and Vale UHB</w:t>
            </w:r>
          </w:p>
        </w:tc>
        <w:tc>
          <w:tcPr>
            <w:tcW w:w="1216" w:type="dxa"/>
            <w:shd w:val="clear" w:color="000000" w:fill="FFFFFF"/>
            <w:noWrap/>
            <w:vAlign w:val="center"/>
            <w:hideMark/>
          </w:tcPr>
          <w:p w14:paraId="6681F819"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420,119</w:t>
            </w:r>
          </w:p>
        </w:tc>
        <w:tc>
          <w:tcPr>
            <w:tcW w:w="1217" w:type="dxa"/>
            <w:gridSpan w:val="2"/>
            <w:shd w:val="clear" w:color="000000" w:fill="FFFFFF"/>
            <w:noWrap/>
            <w:vAlign w:val="center"/>
            <w:hideMark/>
          </w:tcPr>
          <w:p w14:paraId="2317B498"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19.3</w:t>
            </w:r>
          </w:p>
        </w:tc>
        <w:tc>
          <w:tcPr>
            <w:tcW w:w="1217" w:type="dxa"/>
            <w:gridSpan w:val="2"/>
            <w:shd w:val="clear" w:color="000000" w:fill="FFFFFF"/>
            <w:noWrap/>
            <w:vAlign w:val="center"/>
            <w:hideMark/>
          </w:tcPr>
          <w:p w14:paraId="5F77F911"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18.9</w:t>
            </w:r>
          </w:p>
        </w:tc>
        <w:tc>
          <w:tcPr>
            <w:tcW w:w="1217" w:type="dxa"/>
            <w:gridSpan w:val="2"/>
            <w:shd w:val="clear" w:color="000000" w:fill="FFFFFF"/>
            <w:noWrap/>
            <w:vAlign w:val="center"/>
            <w:hideMark/>
          </w:tcPr>
          <w:p w14:paraId="189AF6D1"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40.8</w:t>
            </w:r>
          </w:p>
        </w:tc>
        <w:tc>
          <w:tcPr>
            <w:tcW w:w="1217" w:type="dxa"/>
            <w:gridSpan w:val="2"/>
            <w:shd w:val="clear" w:color="000000" w:fill="FFFFFF"/>
            <w:noWrap/>
            <w:vAlign w:val="center"/>
            <w:hideMark/>
          </w:tcPr>
          <w:p w14:paraId="0BFB6A26"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55.1</w:t>
            </w:r>
          </w:p>
        </w:tc>
        <w:tc>
          <w:tcPr>
            <w:tcW w:w="1217" w:type="dxa"/>
            <w:shd w:val="clear" w:color="000000" w:fill="FFFFFF"/>
            <w:noWrap/>
            <w:vAlign w:val="center"/>
            <w:hideMark/>
          </w:tcPr>
          <w:p w14:paraId="4723EC73"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24.2</w:t>
            </w:r>
          </w:p>
        </w:tc>
      </w:tr>
      <w:tr w:rsidR="00AF2C72" w:rsidRPr="00AF2C72" w14:paraId="5451FF81" w14:textId="77777777" w:rsidTr="0052258B">
        <w:trPr>
          <w:trHeight w:val="329"/>
        </w:trPr>
        <w:tc>
          <w:tcPr>
            <w:tcW w:w="2122" w:type="dxa"/>
            <w:shd w:val="clear" w:color="000000" w:fill="F2F2F2"/>
            <w:noWrap/>
            <w:vAlign w:val="center"/>
            <w:hideMark/>
          </w:tcPr>
          <w:p w14:paraId="6277D6DC"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Wales</w:t>
            </w:r>
          </w:p>
        </w:tc>
        <w:tc>
          <w:tcPr>
            <w:tcW w:w="1216" w:type="dxa"/>
            <w:shd w:val="clear" w:color="000000" w:fill="F2F2F2"/>
            <w:noWrap/>
            <w:vAlign w:val="center"/>
            <w:hideMark/>
          </w:tcPr>
          <w:p w14:paraId="2A7A9E00"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2,642,152</w:t>
            </w:r>
          </w:p>
        </w:tc>
        <w:tc>
          <w:tcPr>
            <w:tcW w:w="1217" w:type="dxa"/>
            <w:gridSpan w:val="2"/>
            <w:shd w:val="clear" w:color="000000" w:fill="F2F2F2"/>
            <w:noWrap/>
            <w:vAlign w:val="center"/>
            <w:hideMark/>
          </w:tcPr>
          <w:p w14:paraId="3D0C24F1"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19.2</w:t>
            </w:r>
          </w:p>
        </w:tc>
        <w:tc>
          <w:tcPr>
            <w:tcW w:w="1217" w:type="dxa"/>
            <w:gridSpan w:val="2"/>
            <w:shd w:val="clear" w:color="000000" w:fill="F2F2F2"/>
            <w:noWrap/>
            <w:vAlign w:val="center"/>
            <w:hideMark/>
          </w:tcPr>
          <w:p w14:paraId="15F1FB35"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18.9</w:t>
            </w:r>
          </w:p>
        </w:tc>
        <w:tc>
          <w:tcPr>
            <w:tcW w:w="1217" w:type="dxa"/>
            <w:gridSpan w:val="2"/>
            <w:shd w:val="clear" w:color="000000" w:fill="F2F2F2"/>
            <w:noWrap/>
            <w:vAlign w:val="center"/>
            <w:hideMark/>
          </w:tcPr>
          <w:p w14:paraId="7F3EE8EE"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39.1</w:t>
            </w:r>
          </w:p>
        </w:tc>
        <w:tc>
          <w:tcPr>
            <w:tcW w:w="1217" w:type="dxa"/>
            <w:gridSpan w:val="2"/>
            <w:shd w:val="clear" w:color="000000" w:fill="F2F2F2"/>
            <w:noWrap/>
            <w:vAlign w:val="center"/>
            <w:hideMark/>
          </w:tcPr>
          <w:p w14:paraId="2B7AFA02"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52.8</w:t>
            </w:r>
          </w:p>
        </w:tc>
        <w:tc>
          <w:tcPr>
            <w:tcW w:w="1217" w:type="dxa"/>
            <w:shd w:val="clear" w:color="000000" w:fill="F2F2F2"/>
            <w:noWrap/>
            <w:vAlign w:val="center"/>
            <w:hideMark/>
          </w:tcPr>
          <w:p w14:paraId="27D5E8D5" w14:textId="77777777" w:rsidR="00AF2C72" w:rsidRPr="0052258B" w:rsidRDefault="00AF2C72" w:rsidP="00DC54F7">
            <w:pPr>
              <w:spacing w:after="0" w:line="240" w:lineRule="auto"/>
              <w:jc w:val="both"/>
              <w:rPr>
                <w:rFonts w:eastAsia="Times New Roman" w:cstheme="minorHAnsi"/>
                <w:color w:val="000000"/>
                <w:lang w:eastAsia="en-GB"/>
              </w:rPr>
            </w:pPr>
            <w:r w:rsidRPr="0052258B">
              <w:rPr>
                <w:rFonts w:eastAsia="Times New Roman" w:cstheme="minorHAnsi"/>
                <w:color w:val="000000"/>
                <w:lang w:eastAsia="en-GB"/>
              </w:rPr>
              <w:t>23.4</w:t>
            </w:r>
          </w:p>
        </w:tc>
      </w:tr>
    </w:tbl>
    <w:p w14:paraId="40254D89" w14:textId="77777777" w:rsidR="00672510" w:rsidRDefault="00672510" w:rsidP="00DC54F7">
      <w:pPr>
        <w:spacing w:after="0" w:line="240" w:lineRule="auto"/>
        <w:jc w:val="both"/>
        <w:rPr>
          <w:rFonts w:ascii="Arial" w:hAnsi="Arial" w:cs="Arial"/>
          <w:sz w:val="20"/>
          <w:szCs w:val="20"/>
        </w:rPr>
      </w:pPr>
      <w:r w:rsidRPr="00DD3817">
        <w:rPr>
          <w:rFonts w:ascii="Arial" w:hAnsi="Arial" w:cs="Arial"/>
          <w:sz w:val="20"/>
          <w:szCs w:val="20"/>
        </w:rPr>
        <w:t>Source: Public Health Wales Observatory, using NSW (WG), WDS (NWIS) and WIMD 2014 (WG). Please note, the calculation of the healthy weight indicator only accounts for working age adults (aged 16-64)</w:t>
      </w:r>
    </w:p>
    <w:p w14:paraId="644FA4D6" w14:textId="77777777" w:rsidR="00372A7E" w:rsidRDefault="00372A7E" w:rsidP="00DC54F7">
      <w:pPr>
        <w:spacing w:after="0" w:line="240" w:lineRule="auto"/>
        <w:jc w:val="both"/>
        <w:rPr>
          <w:rFonts w:ascii="Arial" w:hAnsi="Arial" w:cs="Arial"/>
          <w:b/>
          <w:sz w:val="26"/>
          <w:szCs w:val="26"/>
        </w:rPr>
      </w:pPr>
    </w:p>
    <w:p w14:paraId="6167CE53" w14:textId="1CEAB235" w:rsidR="00EB2D63" w:rsidRPr="00830B50" w:rsidRDefault="0052258B" w:rsidP="00DC54F7">
      <w:pPr>
        <w:spacing w:after="0" w:line="240" w:lineRule="auto"/>
        <w:jc w:val="both"/>
        <w:rPr>
          <w:rFonts w:ascii="Arial" w:hAnsi="Arial" w:cs="Arial"/>
          <w:b/>
          <w:sz w:val="24"/>
          <w:szCs w:val="24"/>
        </w:rPr>
      </w:pPr>
      <w:r w:rsidRPr="00830B50">
        <w:rPr>
          <w:rFonts w:ascii="Arial" w:hAnsi="Arial" w:cs="Arial"/>
          <w:b/>
          <w:sz w:val="24"/>
          <w:szCs w:val="24"/>
        </w:rPr>
        <w:t>14.1</w:t>
      </w:r>
      <w:r w:rsidR="00830B50" w:rsidRPr="00830B50">
        <w:rPr>
          <w:rFonts w:ascii="Arial" w:hAnsi="Arial" w:cs="Arial"/>
          <w:b/>
          <w:sz w:val="24"/>
          <w:szCs w:val="24"/>
        </w:rPr>
        <w:t xml:space="preserve">.5. </w:t>
      </w:r>
      <w:r w:rsidR="00EB2D63" w:rsidRPr="00830B50">
        <w:rPr>
          <w:rFonts w:ascii="Arial" w:hAnsi="Arial" w:cs="Arial"/>
          <w:b/>
          <w:sz w:val="24"/>
          <w:szCs w:val="24"/>
        </w:rPr>
        <w:t>Cluster developments</w:t>
      </w:r>
    </w:p>
    <w:p w14:paraId="244C41E7" w14:textId="77777777" w:rsidR="004C1C6A" w:rsidRPr="00830B50" w:rsidRDefault="004C1C6A" w:rsidP="00DC54F7">
      <w:pPr>
        <w:spacing w:after="0" w:line="240" w:lineRule="auto"/>
        <w:jc w:val="both"/>
        <w:rPr>
          <w:rFonts w:ascii="Arial" w:hAnsi="Arial" w:cs="Arial"/>
          <w:sz w:val="24"/>
          <w:szCs w:val="24"/>
        </w:rPr>
      </w:pPr>
    </w:p>
    <w:p w14:paraId="50EA029D" w14:textId="2A9B6083" w:rsidR="004C1C6A" w:rsidRPr="00830B50" w:rsidRDefault="00495E44" w:rsidP="00DC54F7">
      <w:pPr>
        <w:spacing w:after="0" w:line="240" w:lineRule="auto"/>
        <w:jc w:val="both"/>
        <w:rPr>
          <w:rFonts w:ascii="Arial" w:hAnsi="Arial" w:cs="Arial"/>
          <w:sz w:val="24"/>
          <w:szCs w:val="24"/>
        </w:rPr>
      </w:pPr>
      <w:r w:rsidRPr="00830B50">
        <w:rPr>
          <w:rFonts w:ascii="Arial" w:hAnsi="Arial" w:cs="Arial"/>
          <w:sz w:val="24"/>
          <w:szCs w:val="24"/>
        </w:rPr>
        <w:t xml:space="preserve">There are </w:t>
      </w:r>
      <w:r w:rsidR="00994304" w:rsidRPr="00830B50">
        <w:rPr>
          <w:rFonts w:ascii="Arial" w:hAnsi="Arial" w:cs="Arial"/>
          <w:sz w:val="24"/>
          <w:szCs w:val="24"/>
        </w:rPr>
        <w:t xml:space="preserve">several </w:t>
      </w:r>
      <w:r w:rsidRPr="00830B50">
        <w:rPr>
          <w:rFonts w:ascii="Arial" w:hAnsi="Arial" w:cs="Arial"/>
          <w:sz w:val="24"/>
          <w:szCs w:val="24"/>
        </w:rPr>
        <w:t xml:space="preserve">planned </w:t>
      </w:r>
      <w:r w:rsidR="00994304" w:rsidRPr="00830B50">
        <w:rPr>
          <w:rFonts w:ascii="Arial" w:hAnsi="Arial" w:cs="Arial"/>
          <w:sz w:val="24"/>
          <w:szCs w:val="24"/>
        </w:rPr>
        <w:t xml:space="preserve">housing developments </w:t>
      </w:r>
      <w:r w:rsidRPr="00830B50">
        <w:rPr>
          <w:rFonts w:ascii="Arial" w:hAnsi="Arial" w:cs="Arial"/>
          <w:sz w:val="24"/>
          <w:szCs w:val="24"/>
        </w:rPr>
        <w:t xml:space="preserve">within </w:t>
      </w:r>
      <w:r w:rsidR="00994304" w:rsidRPr="00830B50">
        <w:rPr>
          <w:rFonts w:ascii="Arial" w:hAnsi="Arial" w:cs="Arial"/>
          <w:sz w:val="24"/>
          <w:szCs w:val="24"/>
        </w:rPr>
        <w:t xml:space="preserve">Central Vale </w:t>
      </w:r>
      <w:r w:rsidRPr="00830B50">
        <w:rPr>
          <w:rFonts w:ascii="Arial" w:hAnsi="Arial" w:cs="Arial"/>
          <w:sz w:val="24"/>
          <w:szCs w:val="24"/>
        </w:rPr>
        <w:t>cluster</w:t>
      </w:r>
      <w:r w:rsidR="00900232" w:rsidRPr="00830B50">
        <w:rPr>
          <w:rFonts w:ascii="Arial" w:hAnsi="Arial" w:cs="Arial"/>
          <w:sz w:val="24"/>
          <w:szCs w:val="24"/>
        </w:rPr>
        <w:t xml:space="preserve"> to meet the housing needs of the predicted growth in population in the Vale of Glamorgan. </w:t>
      </w:r>
      <w:r w:rsidRPr="00830B50">
        <w:rPr>
          <w:rFonts w:ascii="Arial" w:hAnsi="Arial" w:cs="Arial"/>
          <w:sz w:val="24"/>
          <w:szCs w:val="24"/>
        </w:rPr>
        <w:t xml:space="preserve"> </w:t>
      </w:r>
      <w:r w:rsidR="00BB349E" w:rsidRPr="00830B50">
        <w:rPr>
          <w:rFonts w:ascii="Arial" w:hAnsi="Arial" w:cs="Arial"/>
          <w:sz w:val="24"/>
          <w:szCs w:val="24"/>
        </w:rPr>
        <w:t>T</w:t>
      </w:r>
      <w:r w:rsidR="00994304" w:rsidRPr="00830B50">
        <w:rPr>
          <w:rFonts w:ascii="Arial" w:hAnsi="Arial" w:cs="Arial"/>
          <w:sz w:val="24"/>
          <w:szCs w:val="24"/>
        </w:rPr>
        <w:t xml:space="preserve">he largest </w:t>
      </w:r>
      <w:r w:rsidR="00BB349E" w:rsidRPr="00830B50">
        <w:rPr>
          <w:rFonts w:ascii="Arial" w:hAnsi="Arial" w:cs="Arial"/>
          <w:sz w:val="24"/>
          <w:szCs w:val="24"/>
        </w:rPr>
        <w:t>development</w:t>
      </w:r>
      <w:r w:rsidR="00790CB6" w:rsidRPr="00830B50">
        <w:rPr>
          <w:rFonts w:ascii="Arial" w:hAnsi="Arial" w:cs="Arial"/>
          <w:sz w:val="24"/>
          <w:szCs w:val="24"/>
        </w:rPr>
        <w:t xml:space="preserve">s are </w:t>
      </w:r>
      <w:r w:rsidR="00994304" w:rsidRPr="00830B50">
        <w:rPr>
          <w:rFonts w:ascii="Arial" w:hAnsi="Arial" w:cs="Arial"/>
          <w:sz w:val="24"/>
          <w:szCs w:val="24"/>
        </w:rPr>
        <w:t xml:space="preserve">the </w:t>
      </w:r>
      <w:r w:rsidR="00C64E7E" w:rsidRPr="00830B50">
        <w:rPr>
          <w:rFonts w:ascii="Arial" w:hAnsi="Arial" w:cs="Arial"/>
          <w:sz w:val="24"/>
          <w:szCs w:val="24"/>
        </w:rPr>
        <w:t>phase 2 Barry Waterfront development</w:t>
      </w:r>
      <w:r w:rsidR="00790CB6" w:rsidRPr="00830B50">
        <w:rPr>
          <w:rFonts w:ascii="Arial" w:hAnsi="Arial" w:cs="Arial"/>
          <w:sz w:val="24"/>
          <w:szCs w:val="24"/>
        </w:rPr>
        <w:t xml:space="preserve"> and </w:t>
      </w:r>
      <w:r w:rsidR="00F04477" w:rsidRPr="00830B50">
        <w:rPr>
          <w:rFonts w:ascii="Arial" w:hAnsi="Arial" w:cs="Arial"/>
          <w:sz w:val="24"/>
          <w:szCs w:val="24"/>
        </w:rPr>
        <w:t xml:space="preserve">land west of Swanbridge Road, Sully, </w:t>
      </w:r>
      <w:r w:rsidR="00BB349E" w:rsidRPr="00830B50">
        <w:rPr>
          <w:rFonts w:ascii="Arial" w:hAnsi="Arial" w:cs="Arial"/>
          <w:sz w:val="24"/>
          <w:szCs w:val="24"/>
        </w:rPr>
        <w:t xml:space="preserve">which </w:t>
      </w:r>
      <w:r w:rsidR="000855DB" w:rsidRPr="00830B50">
        <w:rPr>
          <w:rFonts w:ascii="Arial" w:hAnsi="Arial" w:cs="Arial"/>
          <w:sz w:val="24"/>
          <w:szCs w:val="24"/>
        </w:rPr>
        <w:t xml:space="preserve">are </w:t>
      </w:r>
      <w:r w:rsidR="004C1C6A" w:rsidRPr="00830B50">
        <w:rPr>
          <w:rFonts w:ascii="Arial" w:hAnsi="Arial" w:cs="Arial"/>
          <w:sz w:val="24"/>
          <w:szCs w:val="24"/>
        </w:rPr>
        <w:t>expected to be completed by 2026 in line with the Vale of Glamorgan Local Development Plan 2006 to 2026.  Other housing developments in the cluster are smaller and include:</w:t>
      </w:r>
    </w:p>
    <w:p w14:paraId="6987F379" w14:textId="50EF2BC9" w:rsidR="00C64E7E" w:rsidRPr="00830B50" w:rsidRDefault="00C64E7E" w:rsidP="00DC54F7">
      <w:pPr>
        <w:spacing w:after="0" w:line="240" w:lineRule="auto"/>
        <w:jc w:val="both"/>
        <w:rPr>
          <w:rFonts w:ascii="Arial" w:hAnsi="Arial" w:cs="Arial"/>
          <w:sz w:val="24"/>
          <w:szCs w:val="24"/>
        </w:rPr>
      </w:pPr>
    </w:p>
    <w:p w14:paraId="2BD64C9B" w14:textId="10948088" w:rsidR="002D7C4D" w:rsidRPr="00830B50" w:rsidRDefault="002D7C4D" w:rsidP="00DC54F7">
      <w:pPr>
        <w:spacing w:after="0" w:line="240" w:lineRule="auto"/>
        <w:jc w:val="both"/>
        <w:rPr>
          <w:rFonts w:ascii="Arial" w:hAnsi="Arial" w:cs="Arial"/>
          <w:b/>
          <w:sz w:val="24"/>
          <w:szCs w:val="24"/>
        </w:rPr>
      </w:pPr>
      <w:r w:rsidRPr="00830B50">
        <w:rPr>
          <w:rFonts w:ascii="Arial" w:hAnsi="Arial" w:cs="Arial"/>
          <w:b/>
          <w:sz w:val="24"/>
          <w:szCs w:val="24"/>
        </w:rPr>
        <w:t>Strategic housing sites</w:t>
      </w:r>
    </w:p>
    <w:tbl>
      <w:tblPr>
        <w:tblStyle w:val="TableGrid"/>
        <w:tblW w:w="0" w:type="auto"/>
        <w:tblLook w:val="04A0" w:firstRow="1" w:lastRow="0" w:firstColumn="1" w:lastColumn="0" w:noHBand="0" w:noVBand="1"/>
      </w:tblPr>
      <w:tblGrid>
        <w:gridCol w:w="4815"/>
        <w:gridCol w:w="1559"/>
        <w:gridCol w:w="2642"/>
      </w:tblGrid>
      <w:tr w:rsidR="002A5F84" w14:paraId="516DE392" w14:textId="77777777" w:rsidTr="00830B50">
        <w:tc>
          <w:tcPr>
            <w:tcW w:w="4815" w:type="dxa"/>
            <w:shd w:val="clear" w:color="auto" w:fill="8497B0"/>
          </w:tcPr>
          <w:p w14:paraId="7E43BA4B" w14:textId="6F76F229" w:rsidR="002A5F84" w:rsidRPr="002A5F84" w:rsidRDefault="002A5F84" w:rsidP="00DC54F7">
            <w:pPr>
              <w:jc w:val="both"/>
              <w:rPr>
                <w:rFonts w:ascii="Arial" w:hAnsi="Arial" w:cs="Arial"/>
              </w:rPr>
            </w:pPr>
            <w:r w:rsidRPr="002A5F84">
              <w:rPr>
                <w:rFonts w:ascii="Arial" w:hAnsi="Arial" w:cs="Arial"/>
                <w:b/>
                <w:bCs/>
                <w:color w:val="FFFFFF" w:themeColor="background1"/>
              </w:rPr>
              <w:t>Housing site</w:t>
            </w:r>
          </w:p>
        </w:tc>
        <w:tc>
          <w:tcPr>
            <w:tcW w:w="1559" w:type="dxa"/>
            <w:shd w:val="clear" w:color="auto" w:fill="8497B0"/>
          </w:tcPr>
          <w:p w14:paraId="074ED333" w14:textId="40AD7FC2" w:rsidR="002A5F84" w:rsidRPr="002A5F84" w:rsidRDefault="002A5F84" w:rsidP="00DC54F7">
            <w:pPr>
              <w:jc w:val="both"/>
              <w:rPr>
                <w:rFonts w:ascii="Arial" w:hAnsi="Arial" w:cs="Arial"/>
              </w:rPr>
            </w:pPr>
            <w:r w:rsidRPr="002A5F84">
              <w:rPr>
                <w:rFonts w:ascii="Arial" w:hAnsi="Arial" w:cs="Arial"/>
                <w:b/>
                <w:bCs/>
                <w:color w:val="FFFFFF" w:themeColor="background1"/>
              </w:rPr>
              <w:t>Number</w:t>
            </w:r>
          </w:p>
        </w:tc>
        <w:tc>
          <w:tcPr>
            <w:tcW w:w="2642" w:type="dxa"/>
            <w:shd w:val="clear" w:color="auto" w:fill="8497B0"/>
          </w:tcPr>
          <w:p w14:paraId="7608FA0E" w14:textId="500A229C" w:rsidR="002A5F84" w:rsidRPr="002A5F84" w:rsidRDefault="002A5F84" w:rsidP="00DC54F7">
            <w:pPr>
              <w:jc w:val="both"/>
              <w:rPr>
                <w:rFonts w:ascii="Arial" w:hAnsi="Arial" w:cs="Arial"/>
                <w:bCs/>
              </w:rPr>
            </w:pPr>
            <w:r w:rsidRPr="002A5F84">
              <w:rPr>
                <w:rFonts w:ascii="Arial" w:hAnsi="Arial" w:cs="Arial"/>
                <w:b/>
                <w:bCs/>
                <w:color w:val="FFFFFF" w:themeColor="background1"/>
              </w:rPr>
              <w:t>Complete at April 2020</w:t>
            </w:r>
          </w:p>
        </w:tc>
      </w:tr>
      <w:tr w:rsidR="001B2946" w14:paraId="37B10001" w14:textId="77777777" w:rsidTr="00830B50">
        <w:tc>
          <w:tcPr>
            <w:tcW w:w="4815" w:type="dxa"/>
          </w:tcPr>
          <w:p w14:paraId="3B55FD69" w14:textId="19F6D510" w:rsidR="001B2946" w:rsidRPr="00495E44" w:rsidRDefault="001B2946" w:rsidP="00DC54F7">
            <w:pPr>
              <w:jc w:val="both"/>
              <w:rPr>
                <w:rFonts w:ascii="Arial" w:hAnsi="Arial" w:cs="Arial"/>
              </w:rPr>
            </w:pPr>
            <w:r w:rsidRPr="00495E44">
              <w:rPr>
                <w:rFonts w:ascii="Arial" w:hAnsi="Arial" w:cs="Arial"/>
              </w:rPr>
              <w:t>Phase 2, Barry Waterfront</w:t>
            </w:r>
          </w:p>
        </w:tc>
        <w:tc>
          <w:tcPr>
            <w:tcW w:w="1559" w:type="dxa"/>
          </w:tcPr>
          <w:p w14:paraId="6CE7698D" w14:textId="03622472" w:rsidR="001B2946" w:rsidRPr="00495E44" w:rsidRDefault="001B2946" w:rsidP="00DC54F7">
            <w:pPr>
              <w:jc w:val="both"/>
              <w:rPr>
                <w:rFonts w:ascii="Arial" w:hAnsi="Arial" w:cs="Arial"/>
                <w:bCs/>
              </w:rPr>
            </w:pPr>
            <w:r w:rsidRPr="00495E44">
              <w:rPr>
                <w:rFonts w:ascii="Arial" w:hAnsi="Arial" w:cs="Arial"/>
                <w:bCs/>
              </w:rPr>
              <w:t>1,700</w:t>
            </w:r>
          </w:p>
        </w:tc>
        <w:tc>
          <w:tcPr>
            <w:tcW w:w="2642" w:type="dxa"/>
          </w:tcPr>
          <w:p w14:paraId="04C94036" w14:textId="7DC5700D" w:rsidR="001B2946" w:rsidRPr="00495E44" w:rsidRDefault="001B2946" w:rsidP="00DC54F7">
            <w:pPr>
              <w:jc w:val="both"/>
              <w:rPr>
                <w:rFonts w:ascii="Arial" w:hAnsi="Arial" w:cs="Arial"/>
                <w:bCs/>
              </w:rPr>
            </w:pPr>
            <w:r w:rsidRPr="00495E44">
              <w:rPr>
                <w:rFonts w:ascii="Arial" w:hAnsi="Arial" w:cs="Arial"/>
                <w:bCs/>
              </w:rPr>
              <w:t>1,020</w:t>
            </w:r>
          </w:p>
        </w:tc>
      </w:tr>
      <w:tr w:rsidR="009D7A92" w14:paraId="4F8D9823" w14:textId="77777777" w:rsidTr="00830B50">
        <w:tc>
          <w:tcPr>
            <w:tcW w:w="4815" w:type="dxa"/>
          </w:tcPr>
          <w:p w14:paraId="298C4A3C" w14:textId="7D72AECF" w:rsidR="009D7A92" w:rsidRPr="00123487" w:rsidRDefault="00495E44" w:rsidP="00DC54F7">
            <w:pPr>
              <w:jc w:val="both"/>
              <w:rPr>
                <w:rFonts w:ascii="Arial" w:hAnsi="Arial" w:cs="Arial"/>
              </w:rPr>
            </w:pPr>
            <w:r w:rsidRPr="00123487">
              <w:rPr>
                <w:rFonts w:ascii="Arial" w:hAnsi="Arial" w:cs="Arial"/>
              </w:rPr>
              <w:t>Total</w:t>
            </w:r>
          </w:p>
        </w:tc>
        <w:tc>
          <w:tcPr>
            <w:tcW w:w="1559" w:type="dxa"/>
          </w:tcPr>
          <w:p w14:paraId="0608A017" w14:textId="584B2A02" w:rsidR="009D7A92" w:rsidRPr="00123487" w:rsidRDefault="005E740F" w:rsidP="00DC54F7">
            <w:pPr>
              <w:jc w:val="both"/>
              <w:rPr>
                <w:rFonts w:ascii="Arial" w:hAnsi="Arial" w:cs="Arial"/>
              </w:rPr>
            </w:pPr>
            <w:r>
              <w:rPr>
                <w:rFonts w:ascii="Arial" w:hAnsi="Arial" w:cs="Arial"/>
              </w:rPr>
              <w:t>1,700</w:t>
            </w:r>
          </w:p>
        </w:tc>
        <w:tc>
          <w:tcPr>
            <w:tcW w:w="2642" w:type="dxa"/>
          </w:tcPr>
          <w:p w14:paraId="13F23FFD" w14:textId="38451F5D" w:rsidR="009D7A92" w:rsidRPr="00123487" w:rsidRDefault="00B71620" w:rsidP="00DC54F7">
            <w:pPr>
              <w:jc w:val="both"/>
              <w:rPr>
                <w:rFonts w:ascii="Arial" w:hAnsi="Arial" w:cs="Arial"/>
              </w:rPr>
            </w:pPr>
            <w:r w:rsidRPr="00123487">
              <w:rPr>
                <w:rFonts w:ascii="Arial" w:hAnsi="Arial" w:cs="Arial"/>
              </w:rPr>
              <w:t>1,</w:t>
            </w:r>
            <w:r w:rsidR="005E740F">
              <w:rPr>
                <w:rFonts w:ascii="Arial" w:hAnsi="Arial" w:cs="Arial"/>
              </w:rPr>
              <w:t>020</w:t>
            </w:r>
          </w:p>
        </w:tc>
      </w:tr>
    </w:tbl>
    <w:p w14:paraId="7BD81604" w14:textId="2BD19E67" w:rsidR="002A5F84" w:rsidRDefault="002A5F84" w:rsidP="00DC54F7">
      <w:pPr>
        <w:spacing w:after="0" w:line="240" w:lineRule="auto"/>
        <w:jc w:val="both"/>
        <w:rPr>
          <w:rFonts w:ascii="Arial" w:hAnsi="Arial" w:cs="Arial"/>
          <w:b/>
          <w:sz w:val="26"/>
          <w:szCs w:val="26"/>
        </w:rPr>
      </w:pPr>
    </w:p>
    <w:p w14:paraId="23B68E24" w14:textId="74976216" w:rsidR="002A5F84" w:rsidRPr="00830B50" w:rsidRDefault="008D56B6" w:rsidP="00DC54F7">
      <w:pPr>
        <w:spacing w:after="0" w:line="240" w:lineRule="auto"/>
        <w:jc w:val="both"/>
        <w:rPr>
          <w:rFonts w:ascii="Arial" w:hAnsi="Arial" w:cs="Arial"/>
          <w:b/>
          <w:sz w:val="24"/>
          <w:szCs w:val="24"/>
        </w:rPr>
      </w:pPr>
      <w:r w:rsidRPr="00830B50">
        <w:rPr>
          <w:rFonts w:ascii="Arial" w:hAnsi="Arial" w:cs="Arial"/>
          <w:b/>
          <w:sz w:val="24"/>
          <w:szCs w:val="24"/>
        </w:rPr>
        <w:t xml:space="preserve">Key settlement: </w:t>
      </w:r>
      <w:r w:rsidR="00F00F30" w:rsidRPr="00830B50">
        <w:rPr>
          <w:rFonts w:ascii="Arial" w:hAnsi="Arial" w:cs="Arial"/>
          <w:b/>
          <w:sz w:val="24"/>
          <w:szCs w:val="24"/>
        </w:rPr>
        <w:t>Barry</w:t>
      </w:r>
    </w:p>
    <w:tbl>
      <w:tblPr>
        <w:tblStyle w:val="TableGrid"/>
        <w:tblW w:w="0" w:type="auto"/>
        <w:tblLook w:val="04A0" w:firstRow="1" w:lastRow="0" w:firstColumn="1" w:lastColumn="0" w:noHBand="0" w:noVBand="1"/>
      </w:tblPr>
      <w:tblGrid>
        <w:gridCol w:w="4815"/>
        <w:gridCol w:w="1559"/>
        <w:gridCol w:w="2642"/>
      </w:tblGrid>
      <w:tr w:rsidR="002A5F84" w:rsidRPr="00B536D8" w14:paraId="7F3E7BCF" w14:textId="77777777" w:rsidTr="00830B50">
        <w:tc>
          <w:tcPr>
            <w:tcW w:w="4815" w:type="dxa"/>
            <w:shd w:val="clear" w:color="auto" w:fill="8497B0"/>
          </w:tcPr>
          <w:p w14:paraId="0811DBC1" w14:textId="3625A3A4" w:rsidR="002A5F84" w:rsidRPr="00B536D8" w:rsidRDefault="002A5F84" w:rsidP="00DC54F7">
            <w:pPr>
              <w:jc w:val="both"/>
              <w:rPr>
                <w:rFonts w:ascii="Arial" w:hAnsi="Arial" w:cs="Arial"/>
                <w:b/>
                <w:bCs/>
                <w:color w:val="FFFFFF" w:themeColor="background1"/>
              </w:rPr>
            </w:pPr>
            <w:r w:rsidRPr="00B536D8">
              <w:rPr>
                <w:rFonts w:ascii="Arial" w:hAnsi="Arial" w:cs="Arial"/>
                <w:b/>
                <w:bCs/>
                <w:color w:val="FFFFFF" w:themeColor="background1"/>
              </w:rPr>
              <w:t>Housing site</w:t>
            </w:r>
          </w:p>
        </w:tc>
        <w:tc>
          <w:tcPr>
            <w:tcW w:w="1559" w:type="dxa"/>
            <w:shd w:val="clear" w:color="auto" w:fill="8497B0"/>
          </w:tcPr>
          <w:p w14:paraId="302839FB" w14:textId="21AD1102" w:rsidR="002A5F84" w:rsidRPr="00B536D8" w:rsidRDefault="002A5F84" w:rsidP="00DC54F7">
            <w:pPr>
              <w:jc w:val="both"/>
              <w:rPr>
                <w:rFonts w:ascii="Arial" w:hAnsi="Arial" w:cs="Arial"/>
                <w:b/>
                <w:bCs/>
                <w:color w:val="FFFFFF" w:themeColor="background1"/>
              </w:rPr>
            </w:pPr>
            <w:r w:rsidRPr="00B536D8">
              <w:rPr>
                <w:rFonts w:ascii="Arial" w:hAnsi="Arial" w:cs="Arial"/>
                <w:b/>
                <w:bCs/>
                <w:color w:val="FFFFFF" w:themeColor="background1"/>
              </w:rPr>
              <w:t>Number</w:t>
            </w:r>
          </w:p>
        </w:tc>
        <w:tc>
          <w:tcPr>
            <w:tcW w:w="2642" w:type="dxa"/>
            <w:shd w:val="clear" w:color="auto" w:fill="8497B0"/>
          </w:tcPr>
          <w:p w14:paraId="124514DF" w14:textId="07723D8A" w:rsidR="002A5F84" w:rsidRPr="00B536D8" w:rsidRDefault="002A5F84" w:rsidP="00DC54F7">
            <w:pPr>
              <w:jc w:val="both"/>
              <w:rPr>
                <w:rFonts w:ascii="Arial" w:hAnsi="Arial" w:cs="Arial"/>
                <w:b/>
                <w:bCs/>
                <w:color w:val="FFFFFF" w:themeColor="background1"/>
              </w:rPr>
            </w:pPr>
            <w:r w:rsidRPr="00B536D8">
              <w:rPr>
                <w:rFonts w:ascii="Arial" w:hAnsi="Arial" w:cs="Arial"/>
                <w:b/>
                <w:bCs/>
                <w:color w:val="FFFFFF" w:themeColor="background1"/>
              </w:rPr>
              <w:t>Complete at April 2020</w:t>
            </w:r>
          </w:p>
        </w:tc>
      </w:tr>
      <w:tr w:rsidR="00082CBB" w:rsidRPr="00B536D8" w14:paraId="25C8E4E9" w14:textId="77777777" w:rsidTr="00830B50">
        <w:tc>
          <w:tcPr>
            <w:tcW w:w="4815" w:type="dxa"/>
          </w:tcPr>
          <w:p w14:paraId="3F6B452E" w14:textId="3ABBFD78" w:rsidR="00082CBB" w:rsidRPr="00B536D8" w:rsidRDefault="005A04D8" w:rsidP="00DC54F7">
            <w:pPr>
              <w:jc w:val="both"/>
              <w:rPr>
                <w:rFonts w:ascii="Arial" w:hAnsi="Arial" w:cs="Arial"/>
              </w:rPr>
            </w:pPr>
            <w:r w:rsidRPr="00B536D8">
              <w:rPr>
                <w:rFonts w:ascii="Arial" w:hAnsi="Arial" w:cs="Arial"/>
              </w:rPr>
              <w:t>Barry Island Pleasure Park</w:t>
            </w:r>
          </w:p>
        </w:tc>
        <w:tc>
          <w:tcPr>
            <w:tcW w:w="1559" w:type="dxa"/>
          </w:tcPr>
          <w:p w14:paraId="1149CA88" w14:textId="27D78A7F" w:rsidR="00082CBB" w:rsidRPr="00B536D8" w:rsidRDefault="005A04D8" w:rsidP="00DC54F7">
            <w:pPr>
              <w:jc w:val="both"/>
              <w:rPr>
                <w:rFonts w:ascii="Arial" w:hAnsi="Arial" w:cs="Arial"/>
              </w:rPr>
            </w:pPr>
            <w:r w:rsidRPr="00B536D8">
              <w:rPr>
                <w:rFonts w:ascii="Arial" w:hAnsi="Arial" w:cs="Arial"/>
              </w:rPr>
              <w:t>25</w:t>
            </w:r>
          </w:p>
        </w:tc>
        <w:tc>
          <w:tcPr>
            <w:tcW w:w="2642" w:type="dxa"/>
          </w:tcPr>
          <w:p w14:paraId="56EB8E8F" w14:textId="12E901A8" w:rsidR="00082CBB" w:rsidRPr="00B536D8" w:rsidRDefault="005A04D8" w:rsidP="00DC54F7">
            <w:pPr>
              <w:jc w:val="both"/>
              <w:rPr>
                <w:rFonts w:ascii="Arial" w:hAnsi="Arial" w:cs="Arial"/>
              </w:rPr>
            </w:pPr>
            <w:r w:rsidRPr="00B536D8">
              <w:rPr>
                <w:rFonts w:ascii="Arial" w:hAnsi="Arial" w:cs="Arial"/>
              </w:rPr>
              <w:t>0</w:t>
            </w:r>
          </w:p>
        </w:tc>
      </w:tr>
      <w:tr w:rsidR="00A611DB" w:rsidRPr="00B536D8" w14:paraId="4E7D92AA" w14:textId="77777777" w:rsidTr="00830B50">
        <w:tc>
          <w:tcPr>
            <w:tcW w:w="4815" w:type="dxa"/>
          </w:tcPr>
          <w:p w14:paraId="270273C5" w14:textId="29150033" w:rsidR="00A611DB" w:rsidRPr="00B536D8" w:rsidRDefault="00A611DB" w:rsidP="00DC54F7">
            <w:pPr>
              <w:jc w:val="both"/>
              <w:rPr>
                <w:rFonts w:ascii="Arial" w:hAnsi="Arial" w:cs="Arial"/>
              </w:rPr>
            </w:pPr>
            <w:r w:rsidRPr="00B536D8">
              <w:rPr>
                <w:rFonts w:ascii="Arial" w:hAnsi="Arial" w:cs="Arial"/>
              </w:rPr>
              <w:t>White Farm</w:t>
            </w:r>
          </w:p>
        </w:tc>
        <w:tc>
          <w:tcPr>
            <w:tcW w:w="1559" w:type="dxa"/>
          </w:tcPr>
          <w:p w14:paraId="24201E17" w14:textId="25B56CAF" w:rsidR="00A611DB" w:rsidRPr="00B536D8" w:rsidRDefault="00A611DB" w:rsidP="00DC54F7">
            <w:pPr>
              <w:jc w:val="both"/>
              <w:rPr>
                <w:rFonts w:ascii="Arial" w:hAnsi="Arial" w:cs="Arial"/>
              </w:rPr>
            </w:pPr>
            <w:r w:rsidRPr="00B536D8">
              <w:rPr>
                <w:rFonts w:ascii="Arial" w:hAnsi="Arial" w:cs="Arial"/>
              </w:rPr>
              <w:t>177</w:t>
            </w:r>
          </w:p>
        </w:tc>
        <w:tc>
          <w:tcPr>
            <w:tcW w:w="2642" w:type="dxa"/>
          </w:tcPr>
          <w:p w14:paraId="7F2F23CE" w14:textId="3C174C57" w:rsidR="00A611DB" w:rsidRPr="00B536D8" w:rsidRDefault="00A611DB" w:rsidP="00DC54F7">
            <w:pPr>
              <w:jc w:val="both"/>
              <w:rPr>
                <w:rFonts w:ascii="Arial" w:hAnsi="Arial" w:cs="Arial"/>
              </w:rPr>
            </w:pPr>
            <w:r w:rsidRPr="00B536D8">
              <w:rPr>
                <w:rFonts w:ascii="Arial" w:hAnsi="Arial" w:cs="Arial"/>
              </w:rPr>
              <w:t>177</w:t>
            </w:r>
          </w:p>
        </w:tc>
      </w:tr>
      <w:tr w:rsidR="00A611DB" w:rsidRPr="00B536D8" w14:paraId="4ECC97BD" w14:textId="77777777" w:rsidTr="00830B50">
        <w:tc>
          <w:tcPr>
            <w:tcW w:w="4815" w:type="dxa"/>
          </w:tcPr>
          <w:p w14:paraId="42707546" w14:textId="6C3F9DCE" w:rsidR="00A611DB" w:rsidRPr="00B536D8" w:rsidRDefault="00A611DB" w:rsidP="00DC54F7">
            <w:pPr>
              <w:jc w:val="both"/>
              <w:rPr>
                <w:rFonts w:ascii="Arial" w:hAnsi="Arial" w:cs="Arial"/>
              </w:rPr>
            </w:pPr>
            <w:r w:rsidRPr="00B536D8">
              <w:rPr>
                <w:rFonts w:ascii="Arial" w:hAnsi="Arial" w:cs="Arial"/>
              </w:rPr>
              <w:t>Land to the east of Pencoedtre Lane</w:t>
            </w:r>
          </w:p>
        </w:tc>
        <w:tc>
          <w:tcPr>
            <w:tcW w:w="1559" w:type="dxa"/>
          </w:tcPr>
          <w:p w14:paraId="6F4FDF62" w14:textId="5F95E425" w:rsidR="00A611DB" w:rsidRPr="00B536D8" w:rsidRDefault="00A611DB" w:rsidP="00DC54F7">
            <w:pPr>
              <w:jc w:val="both"/>
              <w:rPr>
                <w:rFonts w:ascii="Arial" w:hAnsi="Arial" w:cs="Arial"/>
              </w:rPr>
            </w:pPr>
            <w:r w:rsidRPr="00B536D8">
              <w:rPr>
                <w:rFonts w:ascii="Arial" w:hAnsi="Arial" w:cs="Arial"/>
              </w:rPr>
              <w:t>67</w:t>
            </w:r>
          </w:p>
        </w:tc>
        <w:tc>
          <w:tcPr>
            <w:tcW w:w="2642" w:type="dxa"/>
          </w:tcPr>
          <w:p w14:paraId="6639B473" w14:textId="145E3709" w:rsidR="00A611DB" w:rsidRPr="00B536D8" w:rsidRDefault="00A611DB" w:rsidP="00DC54F7">
            <w:pPr>
              <w:jc w:val="both"/>
              <w:rPr>
                <w:rFonts w:ascii="Arial" w:hAnsi="Arial" w:cs="Arial"/>
              </w:rPr>
            </w:pPr>
            <w:r w:rsidRPr="00B536D8">
              <w:rPr>
                <w:rFonts w:ascii="Arial" w:hAnsi="Arial" w:cs="Arial"/>
              </w:rPr>
              <w:t>67</w:t>
            </w:r>
          </w:p>
        </w:tc>
      </w:tr>
      <w:tr w:rsidR="00A611DB" w:rsidRPr="00B536D8" w14:paraId="6329C6DE" w14:textId="77777777" w:rsidTr="00830B50">
        <w:tc>
          <w:tcPr>
            <w:tcW w:w="4815" w:type="dxa"/>
          </w:tcPr>
          <w:p w14:paraId="57148B61" w14:textId="7D7214B4" w:rsidR="00A611DB" w:rsidRPr="00B536D8" w:rsidRDefault="00A611DB" w:rsidP="00DC54F7">
            <w:pPr>
              <w:jc w:val="both"/>
              <w:rPr>
                <w:rFonts w:ascii="Arial" w:hAnsi="Arial" w:cs="Arial"/>
              </w:rPr>
            </w:pPr>
            <w:r w:rsidRPr="00B536D8">
              <w:rPr>
                <w:rFonts w:ascii="Arial" w:hAnsi="Arial" w:cs="Arial"/>
              </w:rPr>
              <w:t>Land to the west of Pencoedtre Lane</w:t>
            </w:r>
          </w:p>
        </w:tc>
        <w:tc>
          <w:tcPr>
            <w:tcW w:w="1559" w:type="dxa"/>
          </w:tcPr>
          <w:p w14:paraId="4A33F7CE" w14:textId="1C9145B0" w:rsidR="00A611DB" w:rsidRPr="00B536D8" w:rsidRDefault="00A611DB" w:rsidP="00DC54F7">
            <w:pPr>
              <w:jc w:val="both"/>
              <w:rPr>
                <w:rFonts w:ascii="Arial" w:hAnsi="Arial" w:cs="Arial"/>
              </w:rPr>
            </w:pPr>
            <w:r w:rsidRPr="00B536D8">
              <w:rPr>
                <w:rFonts w:ascii="Arial" w:hAnsi="Arial" w:cs="Arial"/>
              </w:rPr>
              <w:t>137</w:t>
            </w:r>
          </w:p>
        </w:tc>
        <w:tc>
          <w:tcPr>
            <w:tcW w:w="2642" w:type="dxa"/>
          </w:tcPr>
          <w:p w14:paraId="46B6856F" w14:textId="0C2B3400" w:rsidR="00A611DB" w:rsidRPr="00B536D8" w:rsidRDefault="00A611DB" w:rsidP="00DC54F7">
            <w:pPr>
              <w:jc w:val="both"/>
              <w:rPr>
                <w:rFonts w:ascii="Arial" w:hAnsi="Arial" w:cs="Arial"/>
              </w:rPr>
            </w:pPr>
            <w:r w:rsidRPr="00B536D8">
              <w:rPr>
                <w:rFonts w:ascii="Arial" w:hAnsi="Arial" w:cs="Arial"/>
              </w:rPr>
              <w:t>0</w:t>
            </w:r>
          </w:p>
        </w:tc>
      </w:tr>
      <w:tr w:rsidR="00A611DB" w:rsidRPr="00B536D8" w14:paraId="0AF72BC9" w14:textId="77777777" w:rsidTr="00830B50">
        <w:tc>
          <w:tcPr>
            <w:tcW w:w="4815" w:type="dxa"/>
          </w:tcPr>
          <w:p w14:paraId="382B1191" w14:textId="7076AD47" w:rsidR="00A611DB" w:rsidRPr="00B536D8" w:rsidRDefault="00A611DB" w:rsidP="00DC54F7">
            <w:pPr>
              <w:jc w:val="both"/>
              <w:rPr>
                <w:rFonts w:ascii="Arial" w:hAnsi="Arial" w:cs="Arial"/>
              </w:rPr>
            </w:pPr>
            <w:r w:rsidRPr="00B536D8">
              <w:rPr>
                <w:rFonts w:ascii="Arial" w:hAnsi="Arial" w:cs="Arial"/>
              </w:rPr>
              <w:t>Ysgol Maes Dyfan</w:t>
            </w:r>
          </w:p>
        </w:tc>
        <w:tc>
          <w:tcPr>
            <w:tcW w:w="1559" w:type="dxa"/>
          </w:tcPr>
          <w:p w14:paraId="674DA74A" w14:textId="13E26F5D" w:rsidR="00A611DB" w:rsidRPr="00B536D8" w:rsidRDefault="00A611DB" w:rsidP="00DC54F7">
            <w:pPr>
              <w:jc w:val="both"/>
              <w:rPr>
                <w:rFonts w:ascii="Arial" w:hAnsi="Arial" w:cs="Arial"/>
              </w:rPr>
            </w:pPr>
            <w:r w:rsidRPr="00B536D8">
              <w:rPr>
                <w:rFonts w:ascii="Arial" w:hAnsi="Arial" w:cs="Arial"/>
              </w:rPr>
              <w:t>81</w:t>
            </w:r>
          </w:p>
        </w:tc>
        <w:tc>
          <w:tcPr>
            <w:tcW w:w="2642" w:type="dxa"/>
          </w:tcPr>
          <w:p w14:paraId="2917A3E4" w14:textId="70D6EBEB" w:rsidR="00A611DB" w:rsidRPr="00B536D8" w:rsidRDefault="00A611DB" w:rsidP="00DC54F7">
            <w:pPr>
              <w:jc w:val="both"/>
              <w:rPr>
                <w:rFonts w:ascii="Arial" w:hAnsi="Arial" w:cs="Arial"/>
              </w:rPr>
            </w:pPr>
            <w:r w:rsidRPr="00B536D8">
              <w:rPr>
                <w:rFonts w:ascii="Arial" w:hAnsi="Arial" w:cs="Arial"/>
              </w:rPr>
              <w:t>81</w:t>
            </w:r>
          </w:p>
        </w:tc>
      </w:tr>
      <w:tr w:rsidR="00A611DB" w:rsidRPr="00B536D8" w14:paraId="43F4FAC8" w14:textId="77777777" w:rsidTr="00830B50">
        <w:tc>
          <w:tcPr>
            <w:tcW w:w="4815" w:type="dxa"/>
          </w:tcPr>
          <w:p w14:paraId="78BCD089" w14:textId="00258BDD" w:rsidR="00A611DB" w:rsidRPr="00B536D8" w:rsidRDefault="00A611DB" w:rsidP="00DC54F7">
            <w:pPr>
              <w:jc w:val="both"/>
              <w:rPr>
                <w:rFonts w:ascii="Arial" w:hAnsi="Arial" w:cs="Arial"/>
              </w:rPr>
            </w:pPr>
            <w:r w:rsidRPr="00B536D8">
              <w:rPr>
                <w:rFonts w:ascii="Arial" w:hAnsi="Arial" w:cs="Arial"/>
              </w:rPr>
              <w:t>Barry Magistrates Court</w:t>
            </w:r>
          </w:p>
        </w:tc>
        <w:tc>
          <w:tcPr>
            <w:tcW w:w="1559" w:type="dxa"/>
          </w:tcPr>
          <w:p w14:paraId="7E9905D6" w14:textId="3B734992" w:rsidR="00A611DB" w:rsidRPr="00B536D8" w:rsidRDefault="00A611DB" w:rsidP="00DC54F7">
            <w:pPr>
              <w:jc w:val="both"/>
              <w:rPr>
                <w:rFonts w:ascii="Arial" w:hAnsi="Arial" w:cs="Arial"/>
              </w:rPr>
            </w:pPr>
            <w:r w:rsidRPr="00B536D8">
              <w:rPr>
                <w:rFonts w:ascii="Arial" w:hAnsi="Arial" w:cs="Arial"/>
              </w:rPr>
              <w:t>52</w:t>
            </w:r>
          </w:p>
        </w:tc>
        <w:tc>
          <w:tcPr>
            <w:tcW w:w="2642" w:type="dxa"/>
          </w:tcPr>
          <w:p w14:paraId="4F81DC80" w14:textId="50DA26ED" w:rsidR="00A611DB" w:rsidRPr="00B536D8" w:rsidRDefault="00A611DB" w:rsidP="00DC54F7">
            <w:pPr>
              <w:jc w:val="both"/>
              <w:rPr>
                <w:rFonts w:ascii="Arial" w:hAnsi="Arial" w:cs="Arial"/>
              </w:rPr>
            </w:pPr>
            <w:r w:rsidRPr="00B536D8">
              <w:rPr>
                <w:rFonts w:ascii="Arial" w:hAnsi="Arial" w:cs="Arial"/>
              </w:rPr>
              <w:t>52</w:t>
            </w:r>
          </w:p>
        </w:tc>
      </w:tr>
      <w:tr w:rsidR="00A611DB" w:rsidRPr="00B536D8" w14:paraId="0C7ED1D5" w14:textId="77777777" w:rsidTr="00830B50">
        <w:tc>
          <w:tcPr>
            <w:tcW w:w="4815" w:type="dxa"/>
          </w:tcPr>
          <w:p w14:paraId="563328EE" w14:textId="5C1445DC" w:rsidR="00A611DB" w:rsidRPr="00B536D8" w:rsidRDefault="00A611DB" w:rsidP="00DC54F7">
            <w:pPr>
              <w:jc w:val="both"/>
              <w:rPr>
                <w:rFonts w:ascii="Arial" w:hAnsi="Arial" w:cs="Arial"/>
              </w:rPr>
            </w:pPr>
            <w:r w:rsidRPr="00B536D8">
              <w:rPr>
                <w:rFonts w:ascii="Arial" w:hAnsi="Arial" w:cs="Arial"/>
              </w:rPr>
              <w:t>Court Road Depot, Barry</w:t>
            </w:r>
          </w:p>
        </w:tc>
        <w:tc>
          <w:tcPr>
            <w:tcW w:w="1559" w:type="dxa"/>
          </w:tcPr>
          <w:p w14:paraId="03B609E8" w14:textId="10C8FB1E" w:rsidR="00A611DB" w:rsidRPr="00B536D8" w:rsidRDefault="00A611DB" w:rsidP="00DC54F7">
            <w:pPr>
              <w:jc w:val="both"/>
              <w:rPr>
                <w:rFonts w:ascii="Arial" w:hAnsi="Arial" w:cs="Arial"/>
              </w:rPr>
            </w:pPr>
            <w:r w:rsidRPr="00B536D8">
              <w:rPr>
                <w:rFonts w:ascii="Arial" w:hAnsi="Arial" w:cs="Arial"/>
              </w:rPr>
              <w:t>50</w:t>
            </w:r>
          </w:p>
        </w:tc>
        <w:tc>
          <w:tcPr>
            <w:tcW w:w="2642" w:type="dxa"/>
          </w:tcPr>
          <w:p w14:paraId="79A6BBC8" w14:textId="09565A7C" w:rsidR="00A611DB" w:rsidRPr="00B536D8" w:rsidRDefault="00A611DB" w:rsidP="00DC54F7">
            <w:pPr>
              <w:jc w:val="both"/>
              <w:rPr>
                <w:rFonts w:ascii="Arial" w:hAnsi="Arial" w:cs="Arial"/>
              </w:rPr>
            </w:pPr>
            <w:r w:rsidRPr="00B536D8">
              <w:rPr>
                <w:rFonts w:ascii="Arial" w:hAnsi="Arial" w:cs="Arial"/>
              </w:rPr>
              <w:t>0</w:t>
            </w:r>
          </w:p>
        </w:tc>
      </w:tr>
      <w:tr w:rsidR="00A611DB" w:rsidRPr="00B536D8" w14:paraId="0AA115AB" w14:textId="77777777" w:rsidTr="00830B50">
        <w:tc>
          <w:tcPr>
            <w:tcW w:w="4815" w:type="dxa"/>
          </w:tcPr>
          <w:p w14:paraId="25AA7F0C" w14:textId="50D9FD72" w:rsidR="00A611DB" w:rsidRPr="00B536D8" w:rsidRDefault="00A611DB" w:rsidP="00DC54F7">
            <w:pPr>
              <w:jc w:val="both"/>
              <w:rPr>
                <w:rFonts w:ascii="Arial" w:hAnsi="Arial" w:cs="Arial"/>
              </w:rPr>
            </w:pPr>
            <w:r w:rsidRPr="00B536D8">
              <w:rPr>
                <w:rFonts w:ascii="Arial" w:hAnsi="Arial" w:cs="Arial"/>
              </w:rPr>
              <w:t>15 Holm View</w:t>
            </w:r>
          </w:p>
        </w:tc>
        <w:tc>
          <w:tcPr>
            <w:tcW w:w="1559" w:type="dxa"/>
          </w:tcPr>
          <w:p w14:paraId="18D8C335" w14:textId="55DCD34F" w:rsidR="00A611DB" w:rsidRPr="00B536D8" w:rsidRDefault="00A611DB" w:rsidP="00DC54F7">
            <w:pPr>
              <w:jc w:val="both"/>
              <w:rPr>
                <w:rFonts w:ascii="Arial" w:hAnsi="Arial" w:cs="Arial"/>
              </w:rPr>
            </w:pPr>
            <w:r w:rsidRPr="00B536D8">
              <w:rPr>
                <w:rFonts w:ascii="Arial" w:hAnsi="Arial" w:cs="Arial"/>
              </w:rPr>
              <w:t>50</w:t>
            </w:r>
          </w:p>
        </w:tc>
        <w:tc>
          <w:tcPr>
            <w:tcW w:w="2642" w:type="dxa"/>
          </w:tcPr>
          <w:p w14:paraId="4EC5858B" w14:textId="13A34FD3" w:rsidR="00A611DB" w:rsidRPr="00B536D8" w:rsidRDefault="00A611DB" w:rsidP="00DC54F7">
            <w:pPr>
              <w:jc w:val="both"/>
              <w:rPr>
                <w:rFonts w:ascii="Arial" w:hAnsi="Arial" w:cs="Arial"/>
              </w:rPr>
            </w:pPr>
            <w:r w:rsidRPr="00B536D8">
              <w:rPr>
                <w:rFonts w:ascii="Arial" w:hAnsi="Arial" w:cs="Arial"/>
              </w:rPr>
              <w:t>0</w:t>
            </w:r>
          </w:p>
        </w:tc>
      </w:tr>
      <w:tr w:rsidR="00A611DB" w:rsidRPr="00B536D8" w14:paraId="1A995D97" w14:textId="77777777" w:rsidTr="00830B50">
        <w:tc>
          <w:tcPr>
            <w:tcW w:w="4815" w:type="dxa"/>
          </w:tcPr>
          <w:p w14:paraId="5C76652C" w14:textId="08A82A39" w:rsidR="00A611DB" w:rsidRPr="00B536D8" w:rsidRDefault="00A611DB" w:rsidP="00DC54F7">
            <w:pPr>
              <w:jc w:val="both"/>
              <w:rPr>
                <w:rFonts w:ascii="Arial" w:hAnsi="Arial" w:cs="Arial"/>
              </w:rPr>
            </w:pPr>
            <w:r w:rsidRPr="00B536D8">
              <w:rPr>
                <w:rFonts w:ascii="Arial" w:hAnsi="Arial" w:cs="Arial"/>
              </w:rPr>
              <w:t>16 Hayes Wood, The Bendricks</w:t>
            </w:r>
          </w:p>
        </w:tc>
        <w:tc>
          <w:tcPr>
            <w:tcW w:w="1559" w:type="dxa"/>
          </w:tcPr>
          <w:p w14:paraId="4514200D" w14:textId="3668814F" w:rsidR="00A611DB" w:rsidRPr="00B536D8" w:rsidRDefault="00A611DB" w:rsidP="00DC54F7">
            <w:pPr>
              <w:jc w:val="both"/>
              <w:rPr>
                <w:rFonts w:ascii="Arial" w:hAnsi="Arial" w:cs="Arial"/>
              </w:rPr>
            </w:pPr>
            <w:r w:rsidRPr="00B536D8">
              <w:rPr>
                <w:rFonts w:ascii="Arial" w:hAnsi="Arial" w:cs="Arial"/>
              </w:rPr>
              <w:t>55</w:t>
            </w:r>
          </w:p>
        </w:tc>
        <w:tc>
          <w:tcPr>
            <w:tcW w:w="2642" w:type="dxa"/>
          </w:tcPr>
          <w:p w14:paraId="301E6F1C" w14:textId="62357ACE" w:rsidR="00A611DB" w:rsidRPr="00B536D8" w:rsidRDefault="00A611DB" w:rsidP="00DC54F7">
            <w:pPr>
              <w:jc w:val="both"/>
              <w:rPr>
                <w:rFonts w:ascii="Arial" w:hAnsi="Arial" w:cs="Arial"/>
              </w:rPr>
            </w:pPr>
            <w:r w:rsidRPr="00B536D8">
              <w:rPr>
                <w:rFonts w:ascii="Arial" w:hAnsi="Arial" w:cs="Arial"/>
              </w:rPr>
              <w:t>0</w:t>
            </w:r>
          </w:p>
        </w:tc>
      </w:tr>
      <w:tr w:rsidR="005A04D8" w:rsidRPr="00B536D8" w14:paraId="35198B1E" w14:textId="77777777" w:rsidTr="00830B50">
        <w:tc>
          <w:tcPr>
            <w:tcW w:w="4815" w:type="dxa"/>
          </w:tcPr>
          <w:p w14:paraId="18943000" w14:textId="0A0BFCDD" w:rsidR="005A04D8" w:rsidRPr="00B536D8" w:rsidRDefault="00B536D8" w:rsidP="00DC54F7">
            <w:pPr>
              <w:jc w:val="both"/>
              <w:rPr>
                <w:rFonts w:ascii="Arial" w:hAnsi="Arial" w:cs="Arial"/>
              </w:rPr>
            </w:pPr>
            <w:r w:rsidRPr="00B536D8">
              <w:rPr>
                <w:rFonts w:ascii="Arial" w:hAnsi="Arial" w:cs="Arial"/>
              </w:rPr>
              <w:t>Total</w:t>
            </w:r>
          </w:p>
        </w:tc>
        <w:tc>
          <w:tcPr>
            <w:tcW w:w="1559" w:type="dxa"/>
          </w:tcPr>
          <w:p w14:paraId="080223DB" w14:textId="3170B7A6" w:rsidR="005A04D8" w:rsidRPr="00B536D8" w:rsidRDefault="00933D94" w:rsidP="00DC54F7">
            <w:pPr>
              <w:jc w:val="both"/>
              <w:rPr>
                <w:rFonts w:ascii="Arial" w:hAnsi="Arial" w:cs="Arial"/>
              </w:rPr>
            </w:pPr>
            <w:r>
              <w:rPr>
                <w:rFonts w:ascii="Arial" w:hAnsi="Arial" w:cs="Arial"/>
              </w:rPr>
              <w:t>694</w:t>
            </w:r>
          </w:p>
        </w:tc>
        <w:tc>
          <w:tcPr>
            <w:tcW w:w="2642" w:type="dxa"/>
          </w:tcPr>
          <w:p w14:paraId="55263058" w14:textId="3AD3EB6C" w:rsidR="005A04D8" w:rsidRPr="00B536D8" w:rsidRDefault="006E4543" w:rsidP="00DC54F7">
            <w:pPr>
              <w:jc w:val="both"/>
              <w:rPr>
                <w:rFonts w:ascii="Arial" w:hAnsi="Arial" w:cs="Arial"/>
              </w:rPr>
            </w:pPr>
            <w:r>
              <w:rPr>
                <w:rFonts w:ascii="Arial" w:hAnsi="Arial" w:cs="Arial"/>
              </w:rPr>
              <w:t>377</w:t>
            </w:r>
          </w:p>
        </w:tc>
      </w:tr>
    </w:tbl>
    <w:p w14:paraId="7AEF489F" w14:textId="0A3BD1DB" w:rsidR="00082CBB" w:rsidRDefault="00082CBB" w:rsidP="00DC54F7">
      <w:pPr>
        <w:spacing w:after="0" w:line="240" w:lineRule="auto"/>
        <w:jc w:val="both"/>
        <w:rPr>
          <w:rFonts w:ascii="Arial" w:hAnsi="Arial" w:cs="Arial"/>
          <w:b/>
          <w:sz w:val="26"/>
          <w:szCs w:val="26"/>
        </w:rPr>
      </w:pPr>
    </w:p>
    <w:p w14:paraId="519A1209" w14:textId="77777777" w:rsidR="006E456A" w:rsidRPr="00830B50" w:rsidRDefault="006E456A" w:rsidP="00DC54F7">
      <w:pPr>
        <w:spacing w:after="0" w:line="240" w:lineRule="auto"/>
        <w:jc w:val="both"/>
        <w:rPr>
          <w:rFonts w:ascii="Arial" w:hAnsi="Arial" w:cs="Arial"/>
          <w:b/>
          <w:bCs/>
          <w:sz w:val="24"/>
          <w:szCs w:val="24"/>
        </w:rPr>
      </w:pPr>
      <w:r w:rsidRPr="00830B50">
        <w:rPr>
          <w:rFonts w:ascii="Arial" w:hAnsi="Arial" w:cs="Arial"/>
          <w:b/>
          <w:bCs/>
          <w:sz w:val="24"/>
          <w:szCs w:val="24"/>
        </w:rPr>
        <w:lastRenderedPageBreak/>
        <w:t xml:space="preserve">Key settlement: Sully </w:t>
      </w:r>
    </w:p>
    <w:tbl>
      <w:tblPr>
        <w:tblStyle w:val="TableGrid"/>
        <w:tblW w:w="9099" w:type="dxa"/>
        <w:tblInd w:w="-5" w:type="dxa"/>
        <w:tblLook w:val="04A0" w:firstRow="1" w:lastRow="0" w:firstColumn="1" w:lastColumn="0" w:noHBand="0" w:noVBand="1"/>
      </w:tblPr>
      <w:tblGrid>
        <w:gridCol w:w="4820"/>
        <w:gridCol w:w="1559"/>
        <w:gridCol w:w="2720"/>
      </w:tblGrid>
      <w:tr w:rsidR="006E456A" w14:paraId="52C5CEBB" w14:textId="77777777" w:rsidTr="00830B50">
        <w:trPr>
          <w:trHeight w:val="283"/>
        </w:trPr>
        <w:tc>
          <w:tcPr>
            <w:tcW w:w="4820" w:type="dxa"/>
            <w:shd w:val="clear" w:color="auto" w:fill="8497B0"/>
          </w:tcPr>
          <w:p w14:paraId="1EB2B1DF" w14:textId="5D91C469" w:rsidR="006E456A" w:rsidRPr="000B1A6A" w:rsidRDefault="006E456A" w:rsidP="00DC54F7">
            <w:pPr>
              <w:pStyle w:val="ListParagraph"/>
              <w:ind w:left="0"/>
              <w:jc w:val="both"/>
              <w:rPr>
                <w:rFonts w:ascii="Arial" w:hAnsi="Arial" w:cs="Arial"/>
                <w:color w:val="FFFFFF" w:themeColor="background1"/>
              </w:rPr>
            </w:pPr>
            <w:r w:rsidRPr="000B1A6A">
              <w:rPr>
                <w:rFonts w:ascii="Arial" w:hAnsi="Arial" w:cs="Arial"/>
                <w:b/>
                <w:bCs/>
                <w:color w:val="FFFFFF" w:themeColor="background1"/>
              </w:rPr>
              <w:t>Housing site</w:t>
            </w:r>
          </w:p>
        </w:tc>
        <w:tc>
          <w:tcPr>
            <w:tcW w:w="1559" w:type="dxa"/>
            <w:shd w:val="clear" w:color="auto" w:fill="8497B0"/>
          </w:tcPr>
          <w:p w14:paraId="485E803E" w14:textId="77777777" w:rsidR="006E456A" w:rsidRPr="000B1A6A" w:rsidRDefault="006E456A" w:rsidP="00DC54F7">
            <w:pPr>
              <w:pStyle w:val="ListParagraph"/>
              <w:ind w:left="0"/>
              <w:jc w:val="both"/>
              <w:rPr>
                <w:rFonts w:ascii="Arial" w:hAnsi="Arial" w:cs="Arial"/>
                <w:color w:val="FFFFFF" w:themeColor="background1"/>
              </w:rPr>
            </w:pPr>
            <w:r w:rsidRPr="000B1A6A">
              <w:rPr>
                <w:rFonts w:ascii="Arial" w:hAnsi="Arial" w:cs="Arial"/>
                <w:b/>
                <w:bCs/>
                <w:color w:val="FFFFFF" w:themeColor="background1"/>
              </w:rPr>
              <w:t>Number</w:t>
            </w:r>
          </w:p>
        </w:tc>
        <w:tc>
          <w:tcPr>
            <w:tcW w:w="2720" w:type="dxa"/>
            <w:shd w:val="clear" w:color="auto" w:fill="8497B0"/>
          </w:tcPr>
          <w:p w14:paraId="6C6AA842" w14:textId="06C7D878" w:rsidR="006E456A" w:rsidRPr="000B1A6A" w:rsidRDefault="006E456A" w:rsidP="00DC54F7">
            <w:pPr>
              <w:pStyle w:val="ListParagraph"/>
              <w:ind w:left="0"/>
              <w:jc w:val="both"/>
              <w:rPr>
                <w:rFonts w:ascii="Arial" w:hAnsi="Arial" w:cs="Arial"/>
                <w:color w:val="FFFFFF" w:themeColor="background1"/>
              </w:rPr>
            </w:pPr>
            <w:r w:rsidRPr="000B1A6A">
              <w:rPr>
                <w:rFonts w:ascii="Arial" w:hAnsi="Arial" w:cs="Arial"/>
                <w:b/>
                <w:bCs/>
                <w:color w:val="FFFFFF" w:themeColor="background1"/>
              </w:rPr>
              <w:t>Complete at April 202</w:t>
            </w:r>
            <w:r>
              <w:rPr>
                <w:rFonts w:ascii="Arial" w:hAnsi="Arial" w:cs="Arial"/>
                <w:b/>
                <w:bCs/>
                <w:color w:val="FFFFFF" w:themeColor="background1"/>
              </w:rPr>
              <w:t>0</w:t>
            </w:r>
          </w:p>
        </w:tc>
      </w:tr>
      <w:tr w:rsidR="006E456A" w:rsidRPr="00BB5014" w14:paraId="1C5EA2A5" w14:textId="77777777" w:rsidTr="00830B50">
        <w:trPr>
          <w:trHeight w:val="279"/>
        </w:trPr>
        <w:tc>
          <w:tcPr>
            <w:tcW w:w="4820" w:type="dxa"/>
          </w:tcPr>
          <w:p w14:paraId="0998C55D" w14:textId="77777777" w:rsidR="006E456A" w:rsidRPr="00BB5014" w:rsidRDefault="006E456A" w:rsidP="00DC54F7">
            <w:pPr>
              <w:pStyle w:val="ListParagraph"/>
              <w:ind w:left="0"/>
              <w:jc w:val="both"/>
              <w:rPr>
                <w:rFonts w:ascii="Arial" w:hAnsi="Arial" w:cs="Arial"/>
              </w:rPr>
            </w:pPr>
            <w:bookmarkStart w:id="50" w:name="_Hlk68455094"/>
            <w:r w:rsidRPr="00BB5014">
              <w:rPr>
                <w:rFonts w:ascii="Arial" w:hAnsi="Arial" w:cs="Arial"/>
              </w:rPr>
              <w:t>Land West of Swanbridge Road, Sully</w:t>
            </w:r>
          </w:p>
        </w:tc>
        <w:tc>
          <w:tcPr>
            <w:tcW w:w="1559" w:type="dxa"/>
          </w:tcPr>
          <w:p w14:paraId="44D823B4" w14:textId="77777777" w:rsidR="006E456A" w:rsidRPr="00BB5014" w:rsidRDefault="006E456A" w:rsidP="00DC54F7">
            <w:pPr>
              <w:pStyle w:val="ListParagraph"/>
              <w:ind w:left="0"/>
              <w:jc w:val="both"/>
              <w:rPr>
                <w:rFonts w:ascii="Arial" w:hAnsi="Arial" w:cs="Arial"/>
              </w:rPr>
            </w:pPr>
            <w:r w:rsidRPr="00BB5014">
              <w:rPr>
                <w:rFonts w:ascii="Arial" w:hAnsi="Arial" w:cs="Arial"/>
              </w:rPr>
              <w:t>500</w:t>
            </w:r>
          </w:p>
        </w:tc>
        <w:tc>
          <w:tcPr>
            <w:tcW w:w="2720" w:type="dxa"/>
          </w:tcPr>
          <w:p w14:paraId="32DE7C98" w14:textId="77777777" w:rsidR="006E456A" w:rsidRPr="00BB5014" w:rsidRDefault="006E456A" w:rsidP="00DC54F7">
            <w:pPr>
              <w:pStyle w:val="ListParagraph"/>
              <w:ind w:left="0"/>
              <w:jc w:val="both"/>
              <w:rPr>
                <w:rFonts w:ascii="Arial" w:hAnsi="Arial" w:cs="Arial"/>
              </w:rPr>
            </w:pPr>
            <w:r>
              <w:rPr>
                <w:rFonts w:ascii="Arial" w:hAnsi="Arial" w:cs="Arial"/>
              </w:rPr>
              <w:t>0</w:t>
            </w:r>
          </w:p>
        </w:tc>
      </w:tr>
      <w:bookmarkEnd w:id="50"/>
      <w:tr w:rsidR="006E456A" w:rsidRPr="00BB5014" w14:paraId="59517065" w14:textId="77777777" w:rsidTr="00830B50">
        <w:trPr>
          <w:trHeight w:val="279"/>
        </w:trPr>
        <w:tc>
          <w:tcPr>
            <w:tcW w:w="4820" w:type="dxa"/>
          </w:tcPr>
          <w:p w14:paraId="75925C18" w14:textId="77777777" w:rsidR="006E456A" w:rsidRPr="00BB5014" w:rsidRDefault="006E456A" w:rsidP="00DC54F7">
            <w:pPr>
              <w:pStyle w:val="ListParagraph"/>
              <w:ind w:left="0"/>
              <w:jc w:val="both"/>
              <w:rPr>
                <w:rFonts w:ascii="Arial" w:hAnsi="Arial" w:cs="Arial"/>
              </w:rPr>
            </w:pPr>
            <w:r w:rsidRPr="00BB5014">
              <w:rPr>
                <w:rFonts w:ascii="Arial" w:hAnsi="Arial" w:cs="Arial"/>
              </w:rPr>
              <w:t>Total</w:t>
            </w:r>
          </w:p>
        </w:tc>
        <w:tc>
          <w:tcPr>
            <w:tcW w:w="1559" w:type="dxa"/>
          </w:tcPr>
          <w:p w14:paraId="0AE401DA" w14:textId="77777777" w:rsidR="006E456A" w:rsidRPr="00BB5014" w:rsidRDefault="006E456A" w:rsidP="00DC54F7">
            <w:pPr>
              <w:pStyle w:val="ListParagraph"/>
              <w:ind w:left="0"/>
              <w:jc w:val="both"/>
              <w:rPr>
                <w:rFonts w:ascii="Arial" w:hAnsi="Arial" w:cs="Arial"/>
              </w:rPr>
            </w:pPr>
            <w:r w:rsidRPr="00BB5014">
              <w:rPr>
                <w:rFonts w:ascii="Arial" w:hAnsi="Arial" w:cs="Arial"/>
              </w:rPr>
              <w:t>500</w:t>
            </w:r>
          </w:p>
        </w:tc>
        <w:tc>
          <w:tcPr>
            <w:tcW w:w="2720" w:type="dxa"/>
          </w:tcPr>
          <w:p w14:paraId="6827C8DB" w14:textId="77777777" w:rsidR="006E456A" w:rsidRPr="00BB5014" w:rsidRDefault="006E456A" w:rsidP="00DC54F7">
            <w:pPr>
              <w:pStyle w:val="ListParagraph"/>
              <w:ind w:left="0"/>
              <w:jc w:val="both"/>
              <w:rPr>
                <w:rFonts w:ascii="Arial" w:hAnsi="Arial" w:cs="Arial"/>
              </w:rPr>
            </w:pPr>
            <w:r>
              <w:rPr>
                <w:rFonts w:ascii="Arial" w:hAnsi="Arial" w:cs="Arial"/>
              </w:rPr>
              <w:t>0</w:t>
            </w:r>
          </w:p>
        </w:tc>
      </w:tr>
    </w:tbl>
    <w:p w14:paraId="33EE739C" w14:textId="5DD5F239" w:rsidR="006E456A" w:rsidRDefault="006E456A" w:rsidP="00DC54F7">
      <w:pPr>
        <w:spacing w:after="0" w:line="240" w:lineRule="auto"/>
        <w:jc w:val="both"/>
        <w:rPr>
          <w:rFonts w:ascii="Arial" w:hAnsi="Arial" w:cs="Arial"/>
          <w:b/>
          <w:sz w:val="26"/>
          <w:szCs w:val="26"/>
        </w:rPr>
      </w:pPr>
    </w:p>
    <w:p w14:paraId="73BA6AA4" w14:textId="77777777" w:rsidR="006E456A" w:rsidRDefault="006E456A" w:rsidP="00DC54F7">
      <w:pPr>
        <w:spacing w:after="0" w:line="240" w:lineRule="auto"/>
        <w:jc w:val="both"/>
        <w:rPr>
          <w:rFonts w:ascii="Arial" w:hAnsi="Arial" w:cs="Arial"/>
          <w:b/>
          <w:sz w:val="26"/>
          <w:szCs w:val="26"/>
        </w:rPr>
      </w:pPr>
    </w:p>
    <w:p w14:paraId="4D4D812F" w14:textId="59E7ED7C" w:rsidR="0063382E" w:rsidRPr="00A10850" w:rsidRDefault="00B82E86" w:rsidP="00DC54F7">
      <w:pPr>
        <w:spacing w:after="0" w:line="240" w:lineRule="auto"/>
        <w:jc w:val="both"/>
        <w:rPr>
          <w:rFonts w:ascii="Arial" w:hAnsi="Arial" w:cs="Arial"/>
          <w:b/>
          <w:sz w:val="26"/>
          <w:szCs w:val="26"/>
          <w:lang w:val="en-US"/>
        </w:rPr>
      </w:pPr>
      <w:r>
        <w:rPr>
          <w:rFonts w:ascii="Arial" w:hAnsi="Arial" w:cs="Arial"/>
          <w:b/>
          <w:sz w:val="26"/>
          <w:szCs w:val="26"/>
        </w:rPr>
        <w:t>14</w:t>
      </w:r>
      <w:r w:rsidR="0063382E" w:rsidRPr="00A10850">
        <w:rPr>
          <w:rFonts w:ascii="Arial" w:hAnsi="Arial" w:cs="Arial"/>
          <w:b/>
          <w:sz w:val="26"/>
          <w:szCs w:val="26"/>
        </w:rPr>
        <w:t xml:space="preserve">.2 </w:t>
      </w:r>
      <w:r w:rsidR="0063382E" w:rsidRPr="00D10889">
        <w:rPr>
          <w:rFonts w:ascii="Arial" w:hAnsi="Arial" w:cs="Arial"/>
          <w:b/>
          <w:sz w:val="24"/>
          <w:szCs w:val="24"/>
        </w:rPr>
        <w:t>Current</w:t>
      </w:r>
      <w:r w:rsidR="0063382E" w:rsidRPr="00D10889">
        <w:rPr>
          <w:rFonts w:ascii="Arial" w:hAnsi="Arial" w:cs="Arial"/>
          <w:b/>
          <w:sz w:val="24"/>
          <w:szCs w:val="24"/>
          <w:lang w:val="en-US"/>
        </w:rPr>
        <w:t xml:space="preserve"> provision of pharmaceutical services within the </w:t>
      </w:r>
      <w:r w:rsidR="005230E6" w:rsidRPr="00D10889">
        <w:rPr>
          <w:rFonts w:ascii="Arial" w:hAnsi="Arial" w:cs="Arial"/>
          <w:b/>
          <w:sz w:val="24"/>
          <w:szCs w:val="24"/>
          <w:lang w:val="en-US"/>
        </w:rPr>
        <w:t>cluster</w:t>
      </w:r>
    </w:p>
    <w:p w14:paraId="06480D16" w14:textId="77777777" w:rsidR="00867DE0" w:rsidRDefault="00867DE0" w:rsidP="00DC54F7">
      <w:pPr>
        <w:spacing w:after="0" w:line="240" w:lineRule="auto"/>
        <w:jc w:val="both"/>
        <w:rPr>
          <w:rFonts w:ascii="Arial" w:hAnsi="Arial" w:cs="Arial"/>
          <w:b/>
          <w:sz w:val="26"/>
          <w:szCs w:val="26"/>
          <w:lang w:val="en-US"/>
        </w:rPr>
      </w:pPr>
    </w:p>
    <w:p w14:paraId="152ABB05" w14:textId="19CDA7D0" w:rsidR="00867DE0" w:rsidRPr="002A2729" w:rsidRDefault="00867DE0" w:rsidP="00DC54F7">
      <w:pPr>
        <w:spacing w:after="0" w:line="240" w:lineRule="auto"/>
        <w:jc w:val="both"/>
        <w:rPr>
          <w:rFonts w:ascii="Arial" w:hAnsi="Arial" w:cs="Arial"/>
          <w:bCs/>
          <w:sz w:val="24"/>
          <w:szCs w:val="24"/>
          <w:lang w:val="en-US"/>
        </w:rPr>
      </w:pPr>
      <w:r w:rsidRPr="002A2729">
        <w:rPr>
          <w:rFonts w:ascii="Arial" w:hAnsi="Arial" w:cs="Arial"/>
          <w:bCs/>
          <w:sz w:val="24"/>
          <w:szCs w:val="24"/>
          <w:lang w:val="en-US"/>
        </w:rPr>
        <w:t>There are 14 pharmacies in Central Vale cluster</w:t>
      </w:r>
      <w:r w:rsidR="00BF3C9D" w:rsidRPr="002A2729">
        <w:rPr>
          <w:rFonts w:ascii="Arial" w:hAnsi="Arial" w:cs="Arial"/>
          <w:bCs/>
          <w:sz w:val="24"/>
          <w:szCs w:val="24"/>
          <w:lang w:val="en-US"/>
        </w:rPr>
        <w:t>.</w:t>
      </w:r>
      <w:r w:rsidRPr="002A2729">
        <w:rPr>
          <w:rFonts w:ascii="Arial" w:hAnsi="Arial" w:cs="Arial"/>
          <w:bCs/>
          <w:sz w:val="24"/>
          <w:szCs w:val="24"/>
          <w:lang w:val="en-US"/>
        </w:rPr>
        <w:t xml:space="preserve"> </w:t>
      </w:r>
    </w:p>
    <w:p w14:paraId="01AB8493" w14:textId="2C099CBF" w:rsidR="002A2729" w:rsidRPr="002A2729" w:rsidRDefault="002A2729" w:rsidP="00DC54F7">
      <w:pPr>
        <w:spacing w:after="0" w:line="240" w:lineRule="auto"/>
        <w:jc w:val="both"/>
        <w:rPr>
          <w:rFonts w:ascii="Arial" w:hAnsi="Arial" w:cs="Arial"/>
          <w:bCs/>
          <w:sz w:val="24"/>
          <w:szCs w:val="24"/>
          <w:lang w:val="en-US"/>
        </w:rPr>
      </w:pPr>
    </w:p>
    <w:p w14:paraId="2FD9F5FF" w14:textId="77777777" w:rsidR="002A2729" w:rsidRPr="002A2729" w:rsidRDefault="002A2729" w:rsidP="00DC54F7">
      <w:pPr>
        <w:spacing w:after="0" w:line="240" w:lineRule="auto"/>
        <w:jc w:val="both"/>
        <w:rPr>
          <w:rFonts w:ascii="Arial" w:hAnsi="Arial" w:cs="Arial"/>
          <w:sz w:val="24"/>
          <w:szCs w:val="24"/>
        </w:rPr>
      </w:pPr>
      <w:r w:rsidRPr="002A2729">
        <w:rPr>
          <w:rFonts w:ascii="Arial" w:hAnsi="Arial" w:cs="Arial"/>
          <w:sz w:val="24"/>
          <w:szCs w:val="24"/>
        </w:rPr>
        <w:t xml:space="preserve">In 2019 to 2020, 84.8% of items on prescriptions written by the seven GP practices in Central Vale cluster were dispensed by one of the pharmacies within the cluster and 2.1% were personally administered items. </w:t>
      </w:r>
    </w:p>
    <w:p w14:paraId="57BF1539" w14:textId="77777777" w:rsidR="002A2729" w:rsidRPr="006E6035" w:rsidRDefault="002A2729" w:rsidP="00DC54F7">
      <w:pPr>
        <w:spacing w:after="0" w:line="240" w:lineRule="auto"/>
        <w:jc w:val="both"/>
        <w:rPr>
          <w:rFonts w:ascii="Arial" w:hAnsi="Arial" w:cs="Arial"/>
          <w:b/>
          <w:lang w:val="en-US"/>
        </w:rPr>
      </w:pPr>
    </w:p>
    <w:p w14:paraId="6FE03DF7" w14:textId="215BAB0D" w:rsidR="00FC6A66" w:rsidRPr="002A2729" w:rsidRDefault="00FC6A66" w:rsidP="00DC54F7">
      <w:pPr>
        <w:spacing w:after="0" w:line="240" w:lineRule="auto"/>
        <w:jc w:val="both"/>
        <w:rPr>
          <w:rFonts w:ascii="Arial" w:hAnsi="Arial" w:cs="Arial"/>
          <w:b/>
          <w:sz w:val="24"/>
          <w:szCs w:val="24"/>
          <w:lang w:val="en-US"/>
        </w:rPr>
      </w:pPr>
      <w:r w:rsidRPr="002A2729">
        <w:rPr>
          <w:rFonts w:ascii="Arial" w:hAnsi="Arial" w:cs="Arial"/>
          <w:b/>
          <w:sz w:val="24"/>
          <w:szCs w:val="24"/>
          <w:lang w:val="en-US"/>
        </w:rPr>
        <w:t>Table 14.7: Pharmacies in Central Vale cluster</w:t>
      </w:r>
    </w:p>
    <w:tbl>
      <w:tblPr>
        <w:tblW w:w="9360"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392"/>
        <w:gridCol w:w="3607"/>
        <w:gridCol w:w="978"/>
        <w:gridCol w:w="1383"/>
      </w:tblGrid>
      <w:tr w:rsidR="00D85A38" w:rsidRPr="00D85A38" w14:paraId="1D216010" w14:textId="77777777" w:rsidTr="00DD3D8E">
        <w:trPr>
          <w:trHeight w:val="260"/>
        </w:trPr>
        <w:tc>
          <w:tcPr>
            <w:tcW w:w="3392" w:type="dxa"/>
            <w:shd w:val="clear" w:color="auto" w:fill="8497B0"/>
            <w:noWrap/>
            <w:vAlign w:val="bottom"/>
            <w:hideMark/>
          </w:tcPr>
          <w:p w14:paraId="166EEBC6" w14:textId="77777777" w:rsidR="00D85A38" w:rsidRPr="002A2729" w:rsidRDefault="00D85A38" w:rsidP="00DC54F7">
            <w:pPr>
              <w:spacing w:after="0" w:line="240" w:lineRule="auto"/>
              <w:jc w:val="both"/>
              <w:rPr>
                <w:rFonts w:ascii="Arial" w:eastAsia="Times New Roman" w:hAnsi="Arial" w:cs="Arial"/>
                <w:b/>
                <w:bCs/>
                <w:color w:val="FFFFFF"/>
                <w:lang w:eastAsia="en-GB"/>
              </w:rPr>
            </w:pPr>
            <w:r w:rsidRPr="002A2729">
              <w:rPr>
                <w:rFonts w:ascii="Arial" w:eastAsia="Times New Roman" w:hAnsi="Arial" w:cs="Arial"/>
                <w:b/>
                <w:bCs/>
                <w:color w:val="FFFFFF"/>
                <w:lang w:eastAsia="en-GB"/>
              </w:rPr>
              <w:t>Pharmacy</w:t>
            </w:r>
          </w:p>
        </w:tc>
        <w:tc>
          <w:tcPr>
            <w:tcW w:w="5968" w:type="dxa"/>
            <w:gridSpan w:val="3"/>
            <w:shd w:val="clear" w:color="auto" w:fill="8497B0"/>
            <w:noWrap/>
            <w:vAlign w:val="bottom"/>
            <w:hideMark/>
          </w:tcPr>
          <w:p w14:paraId="3857D8B5" w14:textId="77777777" w:rsidR="00D85A38" w:rsidRPr="002A2729" w:rsidRDefault="00D85A38" w:rsidP="00DC54F7">
            <w:pPr>
              <w:spacing w:after="0" w:line="240" w:lineRule="auto"/>
              <w:jc w:val="both"/>
              <w:rPr>
                <w:rFonts w:ascii="Arial" w:eastAsia="Times New Roman" w:hAnsi="Arial" w:cs="Arial"/>
                <w:b/>
                <w:bCs/>
                <w:color w:val="FFFFFF"/>
                <w:lang w:eastAsia="en-GB"/>
              </w:rPr>
            </w:pPr>
            <w:r w:rsidRPr="002A2729">
              <w:rPr>
                <w:rFonts w:ascii="Arial" w:eastAsia="Times New Roman" w:hAnsi="Arial" w:cs="Arial"/>
                <w:b/>
                <w:bCs/>
                <w:color w:val="FFFFFF"/>
                <w:lang w:eastAsia="en-GB"/>
              </w:rPr>
              <w:t>Address</w:t>
            </w:r>
          </w:p>
        </w:tc>
      </w:tr>
      <w:tr w:rsidR="00D85A38" w:rsidRPr="00D85A38" w14:paraId="0494969F" w14:textId="77777777" w:rsidTr="00D85A38">
        <w:trPr>
          <w:trHeight w:val="290"/>
        </w:trPr>
        <w:tc>
          <w:tcPr>
            <w:tcW w:w="3392" w:type="dxa"/>
            <w:shd w:val="clear" w:color="000000" w:fill="F2F2F2"/>
            <w:vAlign w:val="bottom"/>
            <w:hideMark/>
          </w:tcPr>
          <w:p w14:paraId="246F0428"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Aneurin Evans Ltd</w:t>
            </w:r>
          </w:p>
        </w:tc>
        <w:tc>
          <w:tcPr>
            <w:tcW w:w="3607" w:type="dxa"/>
            <w:shd w:val="clear" w:color="000000" w:fill="F2F2F2"/>
            <w:vAlign w:val="bottom"/>
            <w:hideMark/>
          </w:tcPr>
          <w:p w14:paraId="51FF2ACD"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West Quay Medical Centre Hood Road</w:t>
            </w:r>
          </w:p>
        </w:tc>
        <w:tc>
          <w:tcPr>
            <w:tcW w:w="978" w:type="dxa"/>
            <w:shd w:val="clear" w:color="000000" w:fill="F2F2F2"/>
            <w:vAlign w:val="bottom"/>
            <w:hideMark/>
          </w:tcPr>
          <w:p w14:paraId="4519E41F"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Barry</w:t>
            </w:r>
          </w:p>
        </w:tc>
        <w:tc>
          <w:tcPr>
            <w:tcW w:w="1383" w:type="dxa"/>
            <w:shd w:val="clear" w:color="000000" w:fill="F2F2F2"/>
            <w:vAlign w:val="bottom"/>
            <w:hideMark/>
          </w:tcPr>
          <w:p w14:paraId="0D515773"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CF62 5QN</w:t>
            </w:r>
          </w:p>
        </w:tc>
      </w:tr>
      <w:tr w:rsidR="00D85A38" w:rsidRPr="00D85A38" w14:paraId="537ECEBE" w14:textId="77777777" w:rsidTr="00D85A38">
        <w:trPr>
          <w:trHeight w:val="290"/>
        </w:trPr>
        <w:tc>
          <w:tcPr>
            <w:tcW w:w="3392" w:type="dxa"/>
            <w:shd w:val="clear" w:color="000000" w:fill="FFFFFF"/>
            <w:vAlign w:val="bottom"/>
            <w:hideMark/>
          </w:tcPr>
          <w:p w14:paraId="5362FBF2"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Boots UK Limited</w:t>
            </w:r>
          </w:p>
        </w:tc>
        <w:tc>
          <w:tcPr>
            <w:tcW w:w="3607" w:type="dxa"/>
            <w:shd w:val="clear" w:color="000000" w:fill="FFFFFF"/>
            <w:vAlign w:val="bottom"/>
            <w:hideMark/>
          </w:tcPr>
          <w:p w14:paraId="176856DF"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121/125 Holton Road</w:t>
            </w:r>
          </w:p>
        </w:tc>
        <w:tc>
          <w:tcPr>
            <w:tcW w:w="978" w:type="dxa"/>
            <w:shd w:val="clear" w:color="000000" w:fill="FFFFFF"/>
            <w:vAlign w:val="bottom"/>
            <w:hideMark/>
          </w:tcPr>
          <w:p w14:paraId="18D96854"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Barry</w:t>
            </w:r>
          </w:p>
        </w:tc>
        <w:tc>
          <w:tcPr>
            <w:tcW w:w="1383" w:type="dxa"/>
            <w:shd w:val="clear" w:color="000000" w:fill="FFFFFF"/>
            <w:vAlign w:val="bottom"/>
            <w:hideMark/>
          </w:tcPr>
          <w:p w14:paraId="678424A5"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CF63 4SW</w:t>
            </w:r>
          </w:p>
        </w:tc>
      </w:tr>
      <w:tr w:rsidR="00D85A38" w:rsidRPr="00D85A38" w14:paraId="0E7C1083" w14:textId="77777777" w:rsidTr="00D85A38">
        <w:trPr>
          <w:trHeight w:val="290"/>
        </w:trPr>
        <w:tc>
          <w:tcPr>
            <w:tcW w:w="3392" w:type="dxa"/>
            <w:shd w:val="clear" w:color="000000" w:fill="F2F2F2"/>
            <w:vAlign w:val="bottom"/>
            <w:hideMark/>
          </w:tcPr>
          <w:p w14:paraId="42CE3214"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Evans Pharmacy - Barry</w:t>
            </w:r>
          </w:p>
        </w:tc>
        <w:tc>
          <w:tcPr>
            <w:tcW w:w="3607" w:type="dxa"/>
            <w:shd w:val="clear" w:color="000000" w:fill="F2F2F2"/>
            <w:vAlign w:val="bottom"/>
            <w:hideMark/>
          </w:tcPr>
          <w:p w14:paraId="7B64080C"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8 Park Crescent</w:t>
            </w:r>
          </w:p>
        </w:tc>
        <w:tc>
          <w:tcPr>
            <w:tcW w:w="978" w:type="dxa"/>
            <w:shd w:val="clear" w:color="000000" w:fill="F2F2F2"/>
            <w:vAlign w:val="bottom"/>
            <w:hideMark/>
          </w:tcPr>
          <w:p w14:paraId="4795ABF2"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Barry</w:t>
            </w:r>
          </w:p>
        </w:tc>
        <w:tc>
          <w:tcPr>
            <w:tcW w:w="1383" w:type="dxa"/>
            <w:shd w:val="clear" w:color="000000" w:fill="F2F2F2"/>
            <w:vAlign w:val="bottom"/>
            <w:hideMark/>
          </w:tcPr>
          <w:p w14:paraId="53F238DB"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CF62 6HD</w:t>
            </w:r>
          </w:p>
        </w:tc>
      </w:tr>
      <w:tr w:rsidR="00D85A38" w:rsidRPr="00D85A38" w14:paraId="0BE5BF11" w14:textId="77777777" w:rsidTr="00D85A38">
        <w:trPr>
          <w:trHeight w:val="290"/>
        </w:trPr>
        <w:tc>
          <w:tcPr>
            <w:tcW w:w="3392" w:type="dxa"/>
            <w:shd w:val="clear" w:color="000000" w:fill="FFFFFF"/>
            <w:vAlign w:val="bottom"/>
            <w:hideMark/>
          </w:tcPr>
          <w:p w14:paraId="48923B18"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Mobec Pharmacy Limited T/A Brockway Pharmacy</w:t>
            </w:r>
          </w:p>
        </w:tc>
        <w:tc>
          <w:tcPr>
            <w:tcW w:w="3607" w:type="dxa"/>
            <w:shd w:val="clear" w:color="000000" w:fill="FFFFFF"/>
            <w:vAlign w:val="bottom"/>
            <w:hideMark/>
          </w:tcPr>
          <w:p w14:paraId="2CF1E8D4"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Unit 3 Plas Cleddau Cwm Talwg</w:t>
            </w:r>
          </w:p>
        </w:tc>
        <w:tc>
          <w:tcPr>
            <w:tcW w:w="978" w:type="dxa"/>
            <w:shd w:val="clear" w:color="000000" w:fill="FFFFFF"/>
            <w:vAlign w:val="bottom"/>
            <w:hideMark/>
          </w:tcPr>
          <w:p w14:paraId="577DD013"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Barry</w:t>
            </w:r>
          </w:p>
        </w:tc>
        <w:tc>
          <w:tcPr>
            <w:tcW w:w="1383" w:type="dxa"/>
            <w:shd w:val="clear" w:color="000000" w:fill="FFFFFF"/>
            <w:vAlign w:val="bottom"/>
            <w:hideMark/>
          </w:tcPr>
          <w:p w14:paraId="10A4588C"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CF62 7FG</w:t>
            </w:r>
          </w:p>
        </w:tc>
      </w:tr>
      <w:tr w:rsidR="00D85A38" w:rsidRPr="00D85A38" w14:paraId="3F6459BF" w14:textId="77777777" w:rsidTr="00D85A38">
        <w:trPr>
          <w:trHeight w:val="290"/>
        </w:trPr>
        <w:tc>
          <w:tcPr>
            <w:tcW w:w="3392" w:type="dxa"/>
            <w:shd w:val="clear" w:color="000000" w:fill="F2F2F2"/>
            <w:vAlign w:val="bottom"/>
            <w:hideMark/>
          </w:tcPr>
          <w:p w14:paraId="07DF983E"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High Street Pharmacy  Gwawr Davies Jones</w:t>
            </w:r>
          </w:p>
        </w:tc>
        <w:tc>
          <w:tcPr>
            <w:tcW w:w="3607" w:type="dxa"/>
            <w:shd w:val="clear" w:color="000000" w:fill="F2F2F2"/>
            <w:vAlign w:val="bottom"/>
            <w:hideMark/>
          </w:tcPr>
          <w:p w14:paraId="27E02451"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88 High Street</w:t>
            </w:r>
          </w:p>
        </w:tc>
        <w:tc>
          <w:tcPr>
            <w:tcW w:w="978" w:type="dxa"/>
            <w:shd w:val="clear" w:color="000000" w:fill="F2F2F2"/>
            <w:vAlign w:val="bottom"/>
            <w:hideMark/>
          </w:tcPr>
          <w:p w14:paraId="5CDE0E31"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Barry</w:t>
            </w:r>
          </w:p>
        </w:tc>
        <w:tc>
          <w:tcPr>
            <w:tcW w:w="1383" w:type="dxa"/>
            <w:shd w:val="clear" w:color="000000" w:fill="F2F2F2"/>
            <w:vAlign w:val="bottom"/>
            <w:hideMark/>
          </w:tcPr>
          <w:p w14:paraId="4DD354AD"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CF62 7DX</w:t>
            </w:r>
          </w:p>
        </w:tc>
      </w:tr>
      <w:tr w:rsidR="00D85A38" w:rsidRPr="00D85A38" w14:paraId="7FF8E222" w14:textId="77777777" w:rsidTr="00D85A38">
        <w:trPr>
          <w:trHeight w:val="290"/>
        </w:trPr>
        <w:tc>
          <w:tcPr>
            <w:tcW w:w="3392" w:type="dxa"/>
            <w:shd w:val="clear" w:color="000000" w:fill="FFFFFF"/>
            <w:vAlign w:val="bottom"/>
            <w:hideMark/>
          </w:tcPr>
          <w:p w14:paraId="07D3D99E"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Lloyds Pharmacy Limited T/A Lloydspharmacy</w:t>
            </w:r>
          </w:p>
        </w:tc>
        <w:tc>
          <w:tcPr>
            <w:tcW w:w="3607" w:type="dxa"/>
            <w:shd w:val="clear" w:color="000000" w:fill="FFFFFF"/>
            <w:vAlign w:val="bottom"/>
            <w:hideMark/>
          </w:tcPr>
          <w:p w14:paraId="65504515"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Court Road Surgery 29-31 Court Road</w:t>
            </w:r>
          </w:p>
        </w:tc>
        <w:tc>
          <w:tcPr>
            <w:tcW w:w="978" w:type="dxa"/>
            <w:shd w:val="clear" w:color="000000" w:fill="FFFFFF"/>
            <w:vAlign w:val="bottom"/>
            <w:hideMark/>
          </w:tcPr>
          <w:p w14:paraId="537729CB"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Barry</w:t>
            </w:r>
          </w:p>
        </w:tc>
        <w:tc>
          <w:tcPr>
            <w:tcW w:w="1383" w:type="dxa"/>
            <w:shd w:val="clear" w:color="000000" w:fill="FFFFFF"/>
            <w:vAlign w:val="bottom"/>
            <w:hideMark/>
          </w:tcPr>
          <w:p w14:paraId="1D8B318E"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CF63 4YD</w:t>
            </w:r>
          </w:p>
        </w:tc>
      </w:tr>
      <w:tr w:rsidR="00D85A38" w:rsidRPr="00D85A38" w14:paraId="061A3F69" w14:textId="77777777" w:rsidTr="00D85A38">
        <w:trPr>
          <w:trHeight w:val="290"/>
        </w:trPr>
        <w:tc>
          <w:tcPr>
            <w:tcW w:w="3392" w:type="dxa"/>
            <w:shd w:val="clear" w:color="000000" w:fill="F2F2F2"/>
            <w:vAlign w:val="bottom"/>
            <w:hideMark/>
          </w:tcPr>
          <w:p w14:paraId="0A08327C"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Lloyds Pharmacy Limited T/A Lloydspharmacy</w:t>
            </w:r>
          </w:p>
        </w:tc>
        <w:tc>
          <w:tcPr>
            <w:tcW w:w="3607" w:type="dxa"/>
            <w:shd w:val="clear" w:color="000000" w:fill="F2F2F2"/>
            <w:vAlign w:val="bottom"/>
            <w:hideMark/>
          </w:tcPr>
          <w:p w14:paraId="77856389"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Waterfront Medical Centre Heol Y Llongau</w:t>
            </w:r>
          </w:p>
        </w:tc>
        <w:tc>
          <w:tcPr>
            <w:tcW w:w="978" w:type="dxa"/>
            <w:shd w:val="clear" w:color="000000" w:fill="F2F2F2"/>
            <w:vAlign w:val="bottom"/>
            <w:hideMark/>
          </w:tcPr>
          <w:p w14:paraId="53486A37"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Barry</w:t>
            </w:r>
          </w:p>
        </w:tc>
        <w:tc>
          <w:tcPr>
            <w:tcW w:w="1383" w:type="dxa"/>
            <w:shd w:val="clear" w:color="000000" w:fill="F2F2F2"/>
            <w:vAlign w:val="bottom"/>
            <w:hideMark/>
          </w:tcPr>
          <w:p w14:paraId="1C1FAC1B"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CF63 4AR</w:t>
            </w:r>
          </w:p>
        </w:tc>
      </w:tr>
      <w:tr w:rsidR="00D85A38" w:rsidRPr="00D85A38" w14:paraId="29C4D398" w14:textId="77777777" w:rsidTr="00D85A38">
        <w:trPr>
          <w:trHeight w:val="290"/>
        </w:trPr>
        <w:tc>
          <w:tcPr>
            <w:tcW w:w="3392" w:type="dxa"/>
            <w:shd w:val="clear" w:color="000000" w:fill="FFFFFF"/>
            <w:vAlign w:val="bottom"/>
            <w:hideMark/>
          </w:tcPr>
          <w:p w14:paraId="37FF4A14"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Lloyds Pharmacy Limited T/A Lloydspharmacy</w:t>
            </w:r>
          </w:p>
        </w:tc>
        <w:tc>
          <w:tcPr>
            <w:tcW w:w="3607" w:type="dxa"/>
            <w:shd w:val="clear" w:color="000000" w:fill="FFFFFF"/>
            <w:vAlign w:val="bottom"/>
            <w:hideMark/>
          </w:tcPr>
          <w:p w14:paraId="57C9BE2D"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Stirling Road Shopping Precinct Port Road</w:t>
            </w:r>
          </w:p>
        </w:tc>
        <w:tc>
          <w:tcPr>
            <w:tcW w:w="978" w:type="dxa"/>
            <w:shd w:val="clear" w:color="000000" w:fill="FFFFFF"/>
            <w:vAlign w:val="bottom"/>
            <w:hideMark/>
          </w:tcPr>
          <w:p w14:paraId="7191A72D"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Barry</w:t>
            </w:r>
          </w:p>
        </w:tc>
        <w:tc>
          <w:tcPr>
            <w:tcW w:w="1383" w:type="dxa"/>
            <w:shd w:val="clear" w:color="000000" w:fill="FFFFFF"/>
            <w:vAlign w:val="bottom"/>
            <w:hideMark/>
          </w:tcPr>
          <w:p w14:paraId="7BC75996"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CF62 8NX</w:t>
            </w:r>
          </w:p>
        </w:tc>
      </w:tr>
      <w:tr w:rsidR="00D85A38" w:rsidRPr="00D85A38" w14:paraId="06063715" w14:textId="77777777" w:rsidTr="00D85A38">
        <w:trPr>
          <w:trHeight w:val="290"/>
        </w:trPr>
        <w:tc>
          <w:tcPr>
            <w:tcW w:w="3392" w:type="dxa"/>
            <w:shd w:val="clear" w:color="000000" w:fill="F2F2F2"/>
            <w:vAlign w:val="bottom"/>
            <w:hideMark/>
          </w:tcPr>
          <w:p w14:paraId="7EF62AAF"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Lloyds Pharmacy Limited T/A Lloydspharmacy</w:t>
            </w:r>
          </w:p>
        </w:tc>
        <w:tc>
          <w:tcPr>
            <w:tcW w:w="3607" w:type="dxa"/>
            <w:shd w:val="clear" w:color="000000" w:fill="F2F2F2"/>
            <w:vAlign w:val="bottom"/>
            <w:hideMark/>
          </w:tcPr>
          <w:p w14:paraId="44D06BD1"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99-101 Holton Road</w:t>
            </w:r>
          </w:p>
        </w:tc>
        <w:tc>
          <w:tcPr>
            <w:tcW w:w="978" w:type="dxa"/>
            <w:shd w:val="clear" w:color="000000" w:fill="F2F2F2"/>
            <w:vAlign w:val="bottom"/>
            <w:hideMark/>
          </w:tcPr>
          <w:p w14:paraId="0AC50EAA"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Barry</w:t>
            </w:r>
          </w:p>
        </w:tc>
        <w:tc>
          <w:tcPr>
            <w:tcW w:w="1383" w:type="dxa"/>
            <w:shd w:val="clear" w:color="000000" w:fill="F2F2F2"/>
            <w:vAlign w:val="bottom"/>
            <w:hideMark/>
          </w:tcPr>
          <w:p w14:paraId="44D04C26"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CF63 4HG</w:t>
            </w:r>
          </w:p>
        </w:tc>
      </w:tr>
      <w:tr w:rsidR="00D85A38" w:rsidRPr="00D85A38" w14:paraId="0F9BAB7D" w14:textId="77777777" w:rsidTr="00D85A38">
        <w:trPr>
          <w:trHeight w:val="290"/>
        </w:trPr>
        <w:tc>
          <w:tcPr>
            <w:tcW w:w="3392" w:type="dxa"/>
            <w:shd w:val="clear" w:color="000000" w:fill="FFFFFF"/>
            <w:vAlign w:val="bottom"/>
            <w:hideMark/>
          </w:tcPr>
          <w:p w14:paraId="377BDBF9"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National Co-Operative Chemists Ltd T/A The Co-operative Pharmacy</w:t>
            </w:r>
          </w:p>
        </w:tc>
        <w:tc>
          <w:tcPr>
            <w:tcW w:w="3607" w:type="dxa"/>
            <w:shd w:val="clear" w:color="000000" w:fill="FFFFFF"/>
            <w:vAlign w:val="bottom"/>
            <w:hideMark/>
          </w:tcPr>
          <w:p w14:paraId="25B2B3E7"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148 Holton Road</w:t>
            </w:r>
          </w:p>
        </w:tc>
        <w:tc>
          <w:tcPr>
            <w:tcW w:w="978" w:type="dxa"/>
            <w:shd w:val="clear" w:color="000000" w:fill="FFFFFF"/>
            <w:vAlign w:val="bottom"/>
            <w:hideMark/>
          </w:tcPr>
          <w:p w14:paraId="53AC7398"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Barry</w:t>
            </w:r>
          </w:p>
        </w:tc>
        <w:tc>
          <w:tcPr>
            <w:tcW w:w="1383" w:type="dxa"/>
            <w:shd w:val="clear" w:color="000000" w:fill="FFFFFF"/>
            <w:vAlign w:val="bottom"/>
            <w:hideMark/>
          </w:tcPr>
          <w:p w14:paraId="19DB5D6C"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CF63 4HL</w:t>
            </w:r>
          </w:p>
        </w:tc>
      </w:tr>
      <w:tr w:rsidR="00D85A38" w:rsidRPr="00D85A38" w14:paraId="3514CBC7" w14:textId="77777777" w:rsidTr="00D85A38">
        <w:trPr>
          <w:trHeight w:val="290"/>
        </w:trPr>
        <w:tc>
          <w:tcPr>
            <w:tcW w:w="3392" w:type="dxa"/>
            <w:shd w:val="clear" w:color="000000" w:fill="F2F2F2"/>
            <w:vAlign w:val="bottom"/>
            <w:hideMark/>
          </w:tcPr>
          <w:p w14:paraId="620E972D"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 xml:space="preserve">RAJJA Ltd T/A </w:t>
            </w:r>
            <w:r w:rsidRPr="002A2729">
              <w:rPr>
                <w:rFonts w:ascii="Arial" w:eastAsia="Times New Roman" w:hAnsi="Arial" w:cs="Arial"/>
                <w:lang w:eastAsia="en-GB"/>
              </w:rPr>
              <w:br/>
              <w:t>M W Phillips Chemist</w:t>
            </w:r>
          </w:p>
        </w:tc>
        <w:tc>
          <w:tcPr>
            <w:tcW w:w="3607" w:type="dxa"/>
            <w:shd w:val="clear" w:color="000000" w:fill="F2F2F2"/>
            <w:vAlign w:val="bottom"/>
            <w:hideMark/>
          </w:tcPr>
          <w:p w14:paraId="64CA7F19"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9 Vere Street Cadoxton</w:t>
            </w:r>
          </w:p>
        </w:tc>
        <w:tc>
          <w:tcPr>
            <w:tcW w:w="978" w:type="dxa"/>
            <w:shd w:val="clear" w:color="000000" w:fill="F2F2F2"/>
            <w:vAlign w:val="bottom"/>
            <w:hideMark/>
          </w:tcPr>
          <w:p w14:paraId="477AD58C"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Barry</w:t>
            </w:r>
          </w:p>
        </w:tc>
        <w:tc>
          <w:tcPr>
            <w:tcW w:w="1383" w:type="dxa"/>
            <w:shd w:val="clear" w:color="000000" w:fill="F2F2F2"/>
            <w:vAlign w:val="bottom"/>
            <w:hideMark/>
          </w:tcPr>
          <w:p w14:paraId="4E5F322D"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CF63 2YE</w:t>
            </w:r>
          </w:p>
        </w:tc>
      </w:tr>
      <w:tr w:rsidR="00D85A38" w:rsidRPr="00D85A38" w14:paraId="0E36D95C" w14:textId="77777777" w:rsidTr="00D85A38">
        <w:trPr>
          <w:trHeight w:val="290"/>
        </w:trPr>
        <w:tc>
          <w:tcPr>
            <w:tcW w:w="3392" w:type="dxa"/>
            <w:shd w:val="clear" w:color="000000" w:fill="FFFFFF"/>
            <w:vAlign w:val="bottom"/>
            <w:hideMark/>
          </w:tcPr>
          <w:p w14:paraId="79DA6C8D"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 xml:space="preserve">RAJJA Ltd T/A </w:t>
            </w:r>
            <w:r w:rsidRPr="002A2729">
              <w:rPr>
                <w:rFonts w:ascii="Arial" w:eastAsia="Times New Roman" w:hAnsi="Arial" w:cs="Arial"/>
                <w:lang w:eastAsia="en-GB"/>
              </w:rPr>
              <w:br/>
              <w:t>M W Phillips Chemist</w:t>
            </w:r>
          </w:p>
        </w:tc>
        <w:tc>
          <w:tcPr>
            <w:tcW w:w="3607" w:type="dxa"/>
            <w:shd w:val="clear" w:color="000000" w:fill="FFFFFF"/>
            <w:vAlign w:val="bottom"/>
            <w:hideMark/>
          </w:tcPr>
          <w:p w14:paraId="4B836691"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8 Barry Road Cadoxton</w:t>
            </w:r>
          </w:p>
        </w:tc>
        <w:tc>
          <w:tcPr>
            <w:tcW w:w="978" w:type="dxa"/>
            <w:shd w:val="clear" w:color="000000" w:fill="FFFFFF"/>
            <w:vAlign w:val="bottom"/>
            <w:hideMark/>
          </w:tcPr>
          <w:p w14:paraId="0B02A092"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 xml:space="preserve">Barry </w:t>
            </w:r>
          </w:p>
        </w:tc>
        <w:tc>
          <w:tcPr>
            <w:tcW w:w="1383" w:type="dxa"/>
            <w:shd w:val="clear" w:color="000000" w:fill="FFFFFF"/>
            <w:vAlign w:val="bottom"/>
            <w:hideMark/>
          </w:tcPr>
          <w:p w14:paraId="7ED6B6FC"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CF63 1BA</w:t>
            </w:r>
          </w:p>
        </w:tc>
      </w:tr>
      <w:tr w:rsidR="00D85A38" w:rsidRPr="00D85A38" w14:paraId="5E5A6579" w14:textId="77777777" w:rsidTr="00D85A38">
        <w:trPr>
          <w:trHeight w:val="290"/>
        </w:trPr>
        <w:tc>
          <w:tcPr>
            <w:tcW w:w="3392" w:type="dxa"/>
            <w:shd w:val="clear" w:color="000000" w:fill="F2F2F2"/>
            <w:vAlign w:val="bottom"/>
            <w:hideMark/>
          </w:tcPr>
          <w:p w14:paraId="693D62FB"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PharmaMed Limited T/A St Brides Pharmacy</w:t>
            </w:r>
          </w:p>
        </w:tc>
        <w:tc>
          <w:tcPr>
            <w:tcW w:w="3607" w:type="dxa"/>
            <w:shd w:val="clear" w:color="000000" w:fill="F2F2F2"/>
            <w:noWrap/>
            <w:vAlign w:val="bottom"/>
            <w:hideMark/>
          </w:tcPr>
          <w:p w14:paraId="730B18BD"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1 St Anns Court Ramsey Road</w:t>
            </w:r>
          </w:p>
        </w:tc>
        <w:tc>
          <w:tcPr>
            <w:tcW w:w="978" w:type="dxa"/>
            <w:shd w:val="clear" w:color="000000" w:fill="F2F2F2"/>
            <w:noWrap/>
            <w:vAlign w:val="bottom"/>
            <w:hideMark/>
          </w:tcPr>
          <w:p w14:paraId="0BC0F789"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Barry</w:t>
            </w:r>
          </w:p>
        </w:tc>
        <w:tc>
          <w:tcPr>
            <w:tcW w:w="1383" w:type="dxa"/>
            <w:shd w:val="clear" w:color="000000" w:fill="F2F2F2"/>
            <w:noWrap/>
            <w:vAlign w:val="bottom"/>
            <w:hideMark/>
          </w:tcPr>
          <w:p w14:paraId="04E4F367"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CF62 9DN</w:t>
            </w:r>
          </w:p>
        </w:tc>
      </w:tr>
      <w:tr w:rsidR="00D85A38" w:rsidRPr="00D85A38" w14:paraId="0BE8BE88" w14:textId="77777777" w:rsidTr="00D85A38">
        <w:trPr>
          <w:trHeight w:val="290"/>
        </w:trPr>
        <w:tc>
          <w:tcPr>
            <w:tcW w:w="3392" w:type="dxa"/>
            <w:shd w:val="clear" w:color="000000" w:fill="FFFFFF"/>
            <w:vAlign w:val="bottom"/>
            <w:hideMark/>
          </w:tcPr>
          <w:p w14:paraId="4CF3AF7E"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Unicare Pharmacy Limited T/A Sully Pharmacy</w:t>
            </w:r>
          </w:p>
        </w:tc>
        <w:tc>
          <w:tcPr>
            <w:tcW w:w="3607" w:type="dxa"/>
            <w:shd w:val="clear" w:color="000000" w:fill="FFFFFF"/>
            <w:noWrap/>
            <w:vAlign w:val="bottom"/>
            <w:hideMark/>
          </w:tcPr>
          <w:p w14:paraId="3BA05B20"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106 South Road</w:t>
            </w:r>
          </w:p>
        </w:tc>
        <w:tc>
          <w:tcPr>
            <w:tcW w:w="978" w:type="dxa"/>
            <w:shd w:val="clear" w:color="000000" w:fill="FFFFFF"/>
            <w:noWrap/>
            <w:vAlign w:val="bottom"/>
            <w:hideMark/>
          </w:tcPr>
          <w:p w14:paraId="11D4B91D"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Sully</w:t>
            </w:r>
          </w:p>
        </w:tc>
        <w:tc>
          <w:tcPr>
            <w:tcW w:w="1383" w:type="dxa"/>
            <w:shd w:val="clear" w:color="000000" w:fill="FFFFFF"/>
            <w:noWrap/>
            <w:vAlign w:val="bottom"/>
            <w:hideMark/>
          </w:tcPr>
          <w:p w14:paraId="28CE42E3" w14:textId="77777777" w:rsidR="00D85A38" w:rsidRPr="002A2729" w:rsidRDefault="00D85A38" w:rsidP="00DC54F7">
            <w:pPr>
              <w:spacing w:after="0" w:line="240" w:lineRule="auto"/>
              <w:jc w:val="both"/>
              <w:rPr>
                <w:rFonts w:ascii="Arial" w:eastAsia="Times New Roman" w:hAnsi="Arial" w:cs="Arial"/>
                <w:lang w:eastAsia="en-GB"/>
              </w:rPr>
            </w:pPr>
            <w:r w:rsidRPr="002A2729">
              <w:rPr>
                <w:rFonts w:ascii="Arial" w:eastAsia="Times New Roman" w:hAnsi="Arial" w:cs="Arial"/>
                <w:lang w:eastAsia="en-GB"/>
              </w:rPr>
              <w:t>CF64 5SN</w:t>
            </w:r>
          </w:p>
        </w:tc>
      </w:tr>
    </w:tbl>
    <w:p w14:paraId="401F0CF8" w14:textId="77777777" w:rsidR="00275E3C" w:rsidRDefault="00275E3C" w:rsidP="00DC54F7">
      <w:pPr>
        <w:spacing w:after="0" w:line="240" w:lineRule="auto"/>
        <w:jc w:val="both"/>
        <w:rPr>
          <w:rFonts w:ascii="Arial" w:hAnsi="Arial" w:cs="Arial"/>
          <w:bCs/>
          <w:lang w:val="en-US"/>
        </w:rPr>
      </w:pPr>
    </w:p>
    <w:p w14:paraId="3B89FF50" w14:textId="5F598C40" w:rsidR="00867DE0" w:rsidRPr="00636574" w:rsidRDefault="00592FA5" w:rsidP="00DC54F7">
      <w:pPr>
        <w:spacing w:after="0" w:line="240" w:lineRule="auto"/>
        <w:jc w:val="both"/>
        <w:rPr>
          <w:rFonts w:ascii="Arial" w:hAnsi="Arial" w:cs="Arial"/>
          <w:bCs/>
          <w:sz w:val="24"/>
          <w:szCs w:val="24"/>
          <w:lang w:val="en-US"/>
        </w:rPr>
      </w:pPr>
      <w:r w:rsidRPr="00636574">
        <w:rPr>
          <w:rFonts w:ascii="Arial" w:hAnsi="Arial" w:cs="Arial"/>
          <w:bCs/>
          <w:sz w:val="24"/>
          <w:szCs w:val="24"/>
          <w:lang w:val="en-US"/>
        </w:rPr>
        <w:t>In general, t</w:t>
      </w:r>
      <w:r w:rsidR="00867DE0" w:rsidRPr="00636574">
        <w:rPr>
          <w:rFonts w:ascii="Arial" w:hAnsi="Arial" w:cs="Arial"/>
          <w:bCs/>
          <w:sz w:val="24"/>
          <w:szCs w:val="24"/>
          <w:lang w:val="en-US"/>
        </w:rPr>
        <w:t xml:space="preserve">he pharmacies are located in </w:t>
      </w:r>
      <w:r w:rsidRPr="00636574">
        <w:rPr>
          <w:rFonts w:ascii="Arial" w:hAnsi="Arial" w:cs="Arial"/>
          <w:bCs/>
          <w:sz w:val="24"/>
          <w:szCs w:val="24"/>
          <w:lang w:val="en-US"/>
        </w:rPr>
        <w:t xml:space="preserve">or near </w:t>
      </w:r>
      <w:r w:rsidR="00867DE0" w:rsidRPr="00636574">
        <w:rPr>
          <w:rFonts w:ascii="Arial" w:hAnsi="Arial" w:cs="Arial"/>
          <w:bCs/>
          <w:sz w:val="24"/>
          <w:szCs w:val="24"/>
          <w:lang w:val="en-US"/>
        </w:rPr>
        <w:t xml:space="preserve">areas of greater population density as shown by the darker shaded areas in the map below. </w:t>
      </w:r>
    </w:p>
    <w:p w14:paraId="38146BBE" w14:textId="77777777" w:rsidR="00867DE0" w:rsidRPr="006E6035" w:rsidRDefault="00867DE0" w:rsidP="00DC54F7">
      <w:pPr>
        <w:spacing w:after="0" w:line="240" w:lineRule="auto"/>
        <w:jc w:val="both"/>
        <w:rPr>
          <w:rFonts w:ascii="Arial" w:hAnsi="Arial" w:cs="Arial"/>
          <w:b/>
          <w:lang w:val="en-US"/>
        </w:rPr>
      </w:pPr>
    </w:p>
    <w:p w14:paraId="46ABE3AB" w14:textId="77777777" w:rsidR="009A4832" w:rsidRDefault="009A4832" w:rsidP="00DC54F7">
      <w:pPr>
        <w:spacing w:after="0" w:line="240" w:lineRule="auto"/>
        <w:jc w:val="both"/>
        <w:rPr>
          <w:rFonts w:ascii="Arial" w:hAnsi="Arial" w:cs="Arial"/>
          <w:b/>
          <w:sz w:val="24"/>
          <w:szCs w:val="24"/>
          <w:lang w:val="en-US"/>
        </w:rPr>
      </w:pPr>
    </w:p>
    <w:p w14:paraId="6FA2340B" w14:textId="77777777" w:rsidR="009A4832" w:rsidRDefault="009A4832" w:rsidP="00DC54F7">
      <w:pPr>
        <w:spacing w:after="0" w:line="240" w:lineRule="auto"/>
        <w:jc w:val="both"/>
        <w:rPr>
          <w:rFonts w:ascii="Arial" w:hAnsi="Arial" w:cs="Arial"/>
          <w:b/>
          <w:sz w:val="24"/>
          <w:szCs w:val="24"/>
          <w:lang w:val="en-US"/>
        </w:rPr>
      </w:pPr>
    </w:p>
    <w:p w14:paraId="4DF7C1CA" w14:textId="77777777" w:rsidR="009A4832" w:rsidRDefault="009A4832" w:rsidP="00DC54F7">
      <w:pPr>
        <w:spacing w:after="0" w:line="240" w:lineRule="auto"/>
        <w:jc w:val="both"/>
        <w:rPr>
          <w:rFonts w:ascii="Arial" w:hAnsi="Arial" w:cs="Arial"/>
          <w:b/>
          <w:sz w:val="24"/>
          <w:szCs w:val="24"/>
          <w:lang w:val="en-US"/>
        </w:rPr>
      </w:pPr>
    </w:p>
    <w:p w14:paraId="21F2723C" w14:textId="6D152E60" w:rsidR="00CD7A5C" w:rsidRDefault="00CD7A5C" w:rsidP="00DC54F7">
      <w:pPr>
        <w:jc w:val="both"/>
        <w:rPr>
          <w:rFonts w:ascii="Arial" w:hAnsi="Arial" w:cs="Arial"/>
          <w:b/>
          <w:sz w:val="24"/>
          <w:szCs w:val="24"/>
          <w:lang w:val="en-US"/>
        </w:rPr>
      </w:pPr>
      <w:r>
        <w:rPr>
          <w:rFonts w:ascii="Arial" w:hAnsi="Arial" w:cs="Arial"/>
          <w:b/>
          <w:sz w:val="24"/>
          <w:szCs w:val="24"/>
          <w:lang w:val="en-US"/>
        </w:rPr>
        <w:br w:type="page"/>
      </w:r>
    </w:p>
    <w:p w14:paraId="02761D09" w14:textId="29CFBF81" w:rsidR="00867DE0" w:rsidRPr="00636574" w:rsidRDefault="00867DE0" w:rsidP="00DC54F7">
      <w:pPr>
        <w:spacing w:after="0" w:line="240" w:lineRule="auto"/>
        <w:jc w:val="both"/>
        <w:rPr>
          <w:rFonts w:ascii="Arial" w:hAnsi="Arial" w:cs="Arial"/>
          <w:b/>
          <w:sz w:val="24"/>
          <w:szCs w:val="24"/>
          <w:lang w:val="en-US"/>
        </w:rPr>
      </w:pPr>
      <w:r w:rsidRPr="00636574">
        <w:rPr>
          <w:rFonts w:ascii="Arial" w:hAnsi="Arial" w:cs="Arial"/>
          <w:b/>
          <w:sz w:val="24"/>
          <w:szCs w:val="24"/>
          <w:lang w:val="en-US"/>
        </w:rPr>
        <w:lastRenderedPageBreak/>
        <w:t xml:space="preserve">Map </w:t>
      </w:r>
      <w:r w:rsidR="000816C9" w:rsidRPr="00636574">
        <w:rPr>
          <w:rFonts w:ascii="Arial" w:hAnsi="Arial" w:cs="Arial"/>
          <w:b/>
          <w:sz w:val="24"/>
          <w:szCs w:val="24"/>
          <w:lang w:val="en-US"/>
        </w:rPr>
        <w:t>14</w:t>
      </w:r>
      <w:r w:rsidRPr="00636574">
        <w:rPr>
          <w:rFonts w:ascii="Arial" w:hAnsi="Arial" w:cs="Arial"/>
          <w:b/>
          <w:sz w:val="24"/>
          <w:szCs w:val="24"/>
          <w:lang w:val="en-US"/>
        </w:rPr>
        <w:t>.</w:t>
      </w:r>
      <w:r w:rsidR="00636574">
        <w:rPr>
          <w:rFonts w:ascii="Arial" w:hAnsi="Arial" w:cs="Arial"/>
          <w:b/>
          <w:sz w:val="24"/>
          <w:szCs w:val="24"/>
          <w:lang w:val="en-US"/>
        </w:rPr>
        <w:t>2</w:t>
      </w:r>
      <w:r w:rsidRPr="00636574">
        <w:rPr>
          <w:rFonts w:ascii="Arial" w:hAnsi="Arial" w:cs="Arial"/>
          <w:b/>
          <w:sz w:val="24"/>
          <w:szCs w:val="24"/>
          <w:lang w:val="en-US"/>
        </w:rPr>
        <w:t xml:space="preserve">: Location of </w:t>
      </w:r>
      <w:r w:rsidR="0067503A" w:rsidRPr="00636574">
        <w:rPr>
          <w:rFonts w:ascii="Arial" w:hAnsi="Arial" w:cs="Arial"/>
          <w:b/>
          <w:sz w:val="24"/>
          <w:szCs w:val="24"/>
          <w:lang w:val="en-US"/>
        </w:rPr>
        <w:t>pharmacy premises</w:t>
      </w:r>
      <w:r w:rsidRPr="00636574">
        <w:rPr>
          <w:rFonts w:ascii="Arial" w:hAnsi="Arial" w:cs="Arial"/>
          <w:b/>
          <w:sz w:val="24"/>
          <w:szCs w:val="24"/>
          <w:lang w:val="en-US"/>
        </w:rPr>
        <w:t xml:space="preserve"> compared to population density</w:t>
      </w:r>
    </w:p>
    <w:p w14:paraId="0844A0EA" w14:textId="7AD5E63E" w:rsidR="00867DE0" w:rsidRPr="006E6035" w:rsidRDefault="006A4345" w:rsidP="00DC54F7">
      <w:pPr>
        <w:spacing w:after="0" w:line="240" w:lineRule="auto"/>
        <w:jc w:val="both"/>
        <w:rPr>
          <w:rFonts w:ascii="Arial" w:hAnsi="Arial" w:cs="Arial"/>
          <w:b/>
          <w:lang w:val="en-US"/>
        </w:rPr>
      </w:pPr>
      <w:r>
        <w:rPr>
          <w:noProof/>
          <w:lang w:eastAsia="en-GB"/>
        </w:rPr>
        <w:drawing>
          <wp:inline distT="0" distB="0" distL="0" distR="0" wp14:anchorId="3902BBDC" wp14:editId="4443889E">
            <wp:extent cx="5731510" cy="5041900"/>
            <wp:effectExtent l="0" t="0" r="2540" b="635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731510" cy="5041900"/>
                    </a:xfrm>
                    <a:prstGeom prst="rect">
                      <a:avLst/>
                    </a:prstGeom>
                    <a:noFill/>
                    <a:ln>
                      <a:noFill/>
                    </a:ln>
                  </pic:spPr>
                </pic:pic>
              </a:graphicData>
            </a:graphic>
          </wp:inline>
        </w:drawing>
      </w:r>
    </w:p>
    <w:p w14:paraId="4BDDDECA" w14:textId="77777777" w:rsidR="00867DE0" w:rsidRPr="006E6035" w:rsidRDefault="00867DE0" w:rsidP="00DC54F7">
      <w:pPr>
        <w:spacing w:after="0" w:line="240" w:lineRule="auto"/>
        <w:jc w:val="both"/>
        <w:rPr>
          <w:rFonts w:ascii="Arial" w:hAnsi="Arial" w:cs="Arial"/>
          <w:b/>
          <w:lang w:val="en-US"/>
        </w:rPr>
      </w:pPr>
    </w:p>
    <w:p w14:paraId="19B8DB8B" w14:textId="23C79DE0" w:rsidR="00867DE0" w:rsidRPr="00FF3444" w:rsidRDefault="00867DE0" w:rsidP="00DC54F7">
      <w:pPr>
        <w:spacing w:after="0" w:line="240" w:lineRule="auto"/>
        <w:contextualSpacing/>
        <w:jc w:val="both"/>
        <w:rPr>
          <w:rFonts w:ascii="Arial" w:hAnsi="Arial" w:cs="Arial"/>
          <w:sz w:val="24"/>
          <w:szCs w:val="24"/>
        </w:rPr>
      </w:pPr>
      <w:r w:rsidRPr="00FF3444">
        <w:rPr>
          <w:rFonts w:ascii="Arial" w:hAnsi="Arial" w:cs="Arial"/>
          <w:sz w:val="24"/>
          <w:szCs w:val="24"/>
        </w:rPr>
        <w:t xml:space="preserve">All residents of the cluster can access one of the pharmacies by car within </w:t>
      </w:r>
      <w:r w:rsidR="00D70C3A" w:rsidRPr="00FF3444">
        <w:rPr>
          <w:rFonts w:ascii="Arial" w:hAnsi="Arial" w:cs="Arial"/>
          <w:sz w:val="24"/>
          <w:szCs w:val="24"/>
        </w:rPr>
        <w:t>15</w:t>
      </w:r>
      <w:r w:rsidRPr="00FF3444">
        <w:rPr>
          <w:rFonts w:ascii="Arial" w:hAnsi="Arial" w:cs="Arial"/>
          <w:sz w:val="24"/>
          <w:szCs w:val="24"/>
        </w:rPr>
        <w:t xml:space="preserve"> minutes. The majority can access a pharmacy within 10 minutes, as shown in map </w:t>
      </w:r>
      <w:r w:rsidR="000816C9" w:rsidRPr="00FF3444">
        <w:rPr>
          <w:rFonts w:ascii="Arial" w:hAnsi="Arial" w:cs="Arial"/>
          <w:sz w:val="24"/>
          <w:szCs w:val="24"/>
        </w:rPr>
        <w:t>14</w:t>
      </w:r>
      <w:r w:rsidRPr="00FF3444">
        <w:rPr>
          <w:rFonts w:ascii="Arial" w:hAnsi="Arial" w:cs="Arial"/>
          <w:sz w:val="24"/>
          <w:szCs w:val="24"/>
        </w:rPr>
        <w:t>.</w:t>
      </w:r>
      <w:r w:rsidR="00F86D48" w:rsidRPr="00FF3444">
        <w:rPr>
          <w:rFonts w:ascii="Arial" w:hAnsi="Arial" w:cs="Arial"/>
          <w:sz w:val="24"/>
          <w:szCs w:val="24"/>
        </w:rPr>
        <w:t>3</w:t>
      </w:r>
      <w:r w:rsidR="00977103" w:rsidRPr="00FF3444">
        <w:rPr>
          <w:rFonts w:ascii="Arial" w:hAnsi="Arial" w:cs="Arial"/>
          <w:sz w:val="24"/>
          <w:szCs w:val="24"/>
        </w:rPr>
        <w:t>.</w:t>
      </w:r>
      <w:r w:rsidR="00BC536D" w:rsidRPr="00FF3444">
        <w:rPr>
          <w:rFonts w:ascii="Arial" w:hAnsi="Arial" w:cs="Arial"/>
          <w:sz w:val="24"/>
          <w:szCs w:val="24"/>
        </w:rPr>
        <w:t xml:space="preserve"> </w:t>
      </w:r>
    </w:p>
    <w:p w14:paraId="236EDFCE" w14:textId="509FB527" w:rsidR="00EA7771" w:rsidRPr="00BC536D" w:rsidRDefault="00EA7771" w:rsidP="00DC54F7">
      <w:pPr>
        <w:spacing w:after="0" w:line="240" w:lineRule="auto"/>
        <w:contextualSpacing/>
        <w:jc w:val="both"/>
        <w:rPr>
          <w:rFonts w:ascii="Arial" w:hAnsi="Arial" w:cs="Arial"/>
          <w:sz w:val="24"/>
          <w:szCs w:val="24"/>
        </w:rPr>
      </w:pPr>
    </w:p>
    <w:p w14:paraId="44854F8D" w14:textId="77777777" w:rsidR="009A4832" w:rsidRDefault="009A4832" w:rsidP="00DC54F7">
      <w:pPr>
        <w:spacing w:after="0" w:line="240" w:lineRule="auto"/>
        <w:contextualSpacing/>
        <w:jc w:val="both"/>
        <w:rPr>
          <w:rFonts w:ascii="Arial" w:hAnsi="Arial" w:cs="Arial"/>
          <w:b/>
          <w:bCs/>
          <w:sz w:val="24"/>
          <w:szCs w:val="24"/>
        </w:rPr>
      </w:pPr>
    </w:p>
    <w:p w14:paraId="2B9602C0" w14:textId="77777777" w:rsidR="009A4832" w:rsidRDefault="009A4832" w:rsidP="00DC54F7">
      <w:pPr>
        <w:spacing w:after="0" w:line="240" w:lineRule="auto"/>
        <w:contextualSpacing/>
        <w:jc w:val="both"/>
        <w:rPr>
          <w:rFonts w:ascii="Arial" w:hAnsi="Arial" w:cs="Arial"/>
          <w:b/>
          <w:bCs/>
          <w:sz w:val="24"/>
          <w:szCs w:val="24"/>
        </w:rPr>
      </w:pPr>
    </w:p>
    <w:p w14:paraId="1D8822BF" w14:textId="77777777" w:rsidR="009A4832" w:rsidRDefault="009A4832" w:rsidP="00DC54F7">
      <w:pPr>
        <w:spacing w:after="0" w:line="240" w:lineRule="auto"/>
        <w:contextualSpacing/>
        <w:jc w:val="both"/>
        <w:rPr>
          <w:rFonts w:ascii="Arial" w:hAnsi="Arial" w:cs="Arial"/>
          <w:b/>
          <w:bCs/>
          <w:sz w:val="24"/>
          <w:szCs w:val="24"/>
        </w:rPr>
      </w:pPr>
    </w:p>
    <w:p w14:paraId="2A6D8B0E" w14:textId="77777777" w:rsidR="009A4832" w:rsidRDefault="009A4832" w:rsidP="00DC54F7">
      <w:pPr>
        <w:spacing w:after="0" w:line="240" w:lineRule="auto"/>
        <w:contextualSpacing/>
        <w:jc w:val="both"/>
        <w:rPr>
          <w:rFonts w:ascii="Arial" w:hAnsi="Arial" w:cs="Arial"/>
          <w:b/>
          <w:bCs/>
          <w:sz w:val="24"/>
          <w:szCs w:val="24"/>
        </w:rPr>
      </w:pPr>
    </w:p>
    <w:p w14:paraId="07C77557" w14:textId="77777777" w:rsidR="009A4832" w:rsidRDefault="009A4832" w:rsidP="00DC54F7">
      <w:pPr>
        <w:spacing w:after="0" w:line="240" w:lineRule="auto"/>
        <w:contextualSpacing/>
        <w:jc w:val="both"/>
        <w:rPr>
          <w:rFonts w:ascii="Arial" w:hAnsi="Arial" w:cs="Arial"/>
          <w:b/>
          <w:bCs/>
          <w:sz w:val="24"/>
          <w:szCs w:val="24"/>
        </w:rPr>
      </w:pPr>
    </w:p>
    <w:p w14:paraId="6D651DF2" w14:textId="77777777" w:rsidR="009A4832" w:rsidRDefault="009A4832" w:rsidP="00DC54F7">
      <w:pPr>
        <w:spacing w:after="0" w:line="240" w:lineRule="auto"/>
        <w:contextualSpacing/>
        <w:jc w:val="both"/>
        <w:rPr>
          <w:rFonts w:ascii="Arial" w:hAnsi="Arial" w:cs="Arial"/>
          <w:b/>
          <w:bCs/>
          <w:sz w:val="24"/>
          <w:szCs w:val="24"/>
        </w:rPr>
      </w:pPr>
    </w:p>
    <w:p w14:paraId="772148FE" w14:textId="77777777" w:rsidR="009A4832" w:rsidRDefault="009A4832" w:rsidP="00DC54F7">
      <w:pPr>
        <w:spacing w:after="0" w:line="240" w:lineRule="auto"/>
        <w:contextualSpacing/>
        <w:jc w:val="both"/>
        <w:rPr>
          <w:rFonts w:ascii="Arial" w:hAnsi="Arial" w:cs="Arial"/>
          <w:b/>
          <w:bCs/>
          <w:sz w:val="24"/>
          <w:szCs w:val="24"/>
        </w:rPr>
      </w:pPr>
    </w:p>
    <w:p w14:paraId="64DC8C10" w14:textId="77777777" w:rsidR="009A4832" w:rsidRDefault="009A4832" w:rsidP="00DC54F7">
      <w:pPr>
        <w:spacing w:after="0" w:line="240" w:lineRule="auto"/>
        <w:contextualSpacing/>
        <w:jc w:val="both"/>
        <w:rPr>
          <w:rFonts w:ascii="Arial" w:hAnsi="Arial" w:cs="Arial"/>
          <w:b/>
          <w:bCs/>
          <w:sz w:val="24"/>
          <w:szCs w:val="24"/>
        </w:rPr>
      </w:pPr>
    </w:p>
    <w:p w14:paraId="2D4D334C" w14:textId="77777777" w:rsidR="009A4832" w:rsidRDefault="009A4832" w:rsidP="00DC54F7">
      <w:pPr>
        <w:spacing w:after="0" w:line="240" w:lineRule="auto"/>
        <w:contextualSpacing/>
        <w:jc w:val="both"/>
        <w:rPr>
          <w:rFonts w:ascii="Arial" w:hAnsi="Arial" w:cs="Arial"/>
          <w:b/>
          <w:bCs/>
          <w:sz w:val="24"/>
          <w:szCs w:val="24"/>
        </w:rPr>
      </w:pPr>
    </w:p>
    <w:p w14:paraId="2572AD2A" w14:textId="77777777" w:rsidR="009A4832" w:rsidRDefault="009A4832" w:rsidP="00DC54F7">
      <w:pPr>
        <w:spacing w:after="0" w:line="240" w:lineRule="auto"/>
        <w:contextualSpacing/>
        <w:jc w:val="both"/>
        <w:rPr>
          <w:rFonts w:ascii="Arial" w:hAnsi="Arial" w:cs="Arial"/>
          <w:b/>
          <w:bCs/>
          <w:sz w:val="24"/>
          <w:szCs w:val="24"/>
        </w:rPr>
      </w:pPr>
    </w:p>
    <w:p w14:paraId="683B054F" w14:textId="77777777" w:rsidR="009A4832" w:rsidRDefault="009A4832" w:rsidP="00DC54F7">
      <w:pPr>
        <w:spacing w:after="0" w:line="240" w:lineRule="auto"/>
        <w:contextualSpacing/>
        <w:jc w:val="both"/>
        <w:rPr>
          <w:rFonts w:ascii="Arial" w:hAnsi="Arial" w:cs="Arial"/>
          <w:b/>
          <w:bCs/>
          <w:sz w:val="24"/>
          <w:szCs w:val="24"/>
        </w:rPr>
      </w:pPr>
    </w:p>
    <w:p w14:paraId="450CF118" w14:textId="77777777" w:rsidR="009A4832" w:rsidRDefault="009A4832" w:rsidP="00DC54F7">
      <w:pPr>
        <w:spacing w:after="0" w:line="240" w:lineRule="auto"/>
        <w:contextualSpacing/>
        <w:jc w:val="both"/>
        <w:rPr>
          <w:rFonts w:ascii="Arial" w:hAnsi="Arial" w:cs="Arial"/>
          <w:b/>
          <w:bCs/>
          <w:sz w:val="24"/>
          <w:szCs w:val="24"/>
        </w:rPr>
      </w:pPr>
    </w:p>
    <w:p w14:paraId="734677D4" w14:textId="03444228" w:rsidR="005C6BB3" w:rsidRDefault="005C6BB3">
      <w:pPr>
        <w:rPr>
          <w:rFonts w:ascii="Arial" w:hAnsi="Arial" w:cs="Arial"/>
          <w:b/>
          <w:bCs/>
          <w:sz w:val="24"/>
          <w:szCs w:val="24"/>
        </w:rPr>
      </w:pPr>
      <w:r>
        <w:rPr>
          <w:rFonts w:ascii="Arial" w:hAnsi="Arial" w:cs="Arial"/>
          <w:b/>
          <w:bCs/>
          <w:sz w:val="24"/>
          <w:szCs w:val="24"/>
        </w:rPr>
        <w:br w:type="page"/>
      </w:r>
    </w:p>
    <w:p w14:paraId="0436DDDD" w14:textId="1CDDFE17" w:rsidR="00867DE0" w:rsidRPr="00F86D48" w:rsidRDefault="00867DE0" w:rsidP="00DC54F7">
      <w:pPr>
        <w:spacing w:after="0" w:line="240" w:lineRule="auto"/>
        <w:contextualSpacing/>
        <w:jc w:val="both"/>
        <w:rPr>
          <w:rFonts w:ascii="Arial" w:hAnsi="Arial" w:cs="Arial"/>
          <w:b/>
          <w:bCs/>
          <w:sz w:val="24"/>
          <w:szCs w:val="24"/>
        </w:rPr>
      </w:pPr>
      <w:r w:rsidRPr="00F86D48">
        <w:rPr>
          <w:rFonts w:ascii="Arial" w:hAnsi="Arial" w:cs="Arial"/>
          <w:b/>
          <w:bCs/>
          <w:sz w:val="24"/>
          <w:szCs w:val="24"/>
        </w:rPr>
        <w:lastRenderedPageBreak/>
        <w:t xml:space="preserve">Map </w:t>
      </w:r>
      <w:r w:rsidR="000816C9" w:rsidRPr="00F86D48">
        <w:rPr>
          <w:rFonts w:ascii="Arial" w:hAnsi="Arial" w:cs="Arial"/>
          <w:b/>
          <w:bCs/>
          <w:sz w:val="24"/>
          <w:szCs w:val="24"/>
        </w:rPr>
        <w:t>14</w:t>
      </w:r>
      <w:r w:rsidRPr="00F86D48">
        <w:rPr>
          <w:rFonts w:ascii="Arial" w:hAnsi="Arial" w:cs="Arial"/>
          <w:b/>
          <w:bCs/>
          <w:sz w:val="24"/>
          <w:szCs w:val="24"/>
        </w:rPr>
        <w:t>.</w:t>
      </w:r>
      <w:r w:rsidR="00FE6A39" w:rsidRPr="00F86D48">
        <w:rPr>
          <w:rFonts w:ascii="Arial" w:hAnsi="Arial" w:cs="Arial"/>
          <w:b/>
          <w:bCs/>
          <w:sz w:val="24"/>
          <w:szCs w:val="24"/>
        </w:rPr>
        <w:t>3</w:t>
      </w:r>
      <w:r w:rsidRPr="00F86D48">
        <w:rPr>
          <w:rFonts w:ascii="Arial" w:hAnsi="Arial" w:cs="Arial"/>
          <w:b/>
          <w:bCs/>
          <w:sz w:val="24"/>
          <w:szCs w:val="24"/>
        </w:rPr>
        <w:t>: Access to pharmacies in the cluster</w:t>
      </w:r>
    </w:p>
    <w:p w14:paraId="47EA0867" w14:textId="18B3AA64" w:rsidR="00867DE0" w:rsidRPr="006E6035" w:rsidRDefault="00CF0E73" w:rsidP="00DC54F7">
      <w:pPr>
        <w:spacing w:after="0" w:line="240" w:lineRule="auto"/>
        <w:contextualSpacing/>
        <w:jc w:val="both"/>
        <w:rPr>
          <w:rFonts w:ascii="Arial" w:hAnsi="Arial" w:cs="Arial"/>
          <w:highlight w:val="yellow"/>
        </w:rPr>
      </w:pPr>
      <w:r>
        <w:rPr>
          <w:noProof/>
          <w:lang w:eastAsia="en-GB"/>
        </w:rPr>
        <w:drawing>
          <wp:inline distT="0" distB="0" distL="0" distR="0" wp14:anchorId="6648369E" wp14:editId="59D429D5">
            <wp:extent cx="5731510" cy="4909185"/>
            <wp:effectExtent l="0" t="0" r="2540" b="5715"/>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731510" cy="4909185"/>
                    </a:xfrm>
                    <a:prstGeom prst="rect">
                      <a:avLst/>
                    </a:prstGeom>
                    <a:noFill/>
                    <a:ln>
                      <a:noFill/>
                    </a:ln>
                  </pic:spPr>
                </pic:pic>
              </a:graphicData>
            </a:graphic>
          </wp:inline>
        </w:drawing>
      </w:r>
    </w:p>
    <w:p w14:paraId="78513C32" w14:textId="77777777" w:rsidR="00867DE0" w:rsidRPr="006E6035" w:rsidRDefault="00867DE0" w:rsidP="00DC54F7">
      <w:pPr>
        <w:spacing w:after="0" w:line="240" w:lineRule="auto"/>
        <w:contextualSpacing/>
        <w:jc w:val="both"/>
        <w:rPr>
          <w:rFonts w:ascii="Arial" w:hAnsi="Arial" w:cs="Arial"/>
          <w:highlight w:val="yellow"/>
        </w:rPr>
      </w:pPr>
    </w:p>
    <w:p w14:paraId="2D5857BC" w14:textId="77777777" w:rsidR="00867DE0" w:rsidRPr="00F86D48" w:rsidRDefault="00867DE0" w:rsidP="00DC54F7">
      <w:pPr>
        <w:spacing w:after="0" w:line="240" w:lineRule="auto"/>
        <w:contextualSpacing/>
        <w:jc w:val="both"/>
        <w:rPr>
          <w:rFonts w:ascii="Arial" w:hAnsi="Arial" w:cs="Arial"/>
          <w:sz w:val="24"/>
          <w:szCs w:val="24"/>
        </w:rPr>
      </w:pPr>
      <w:r w:rsidRPr="00F86D48">
        <w:rPr>
          <w:rFonts w:ascii="Arial" w:hAnsi="Arial" w:cs="Arial"/>
          <w:sz w:val="24"/>
          <w:szCs w:val="24"/>
        </w:rPr>
        <w:t>Looking at the opening hours for the pharmacies:</w:t>
      </w:r>
    </w:p>
    <w:p w14:paraId="312A7F7F" w14:textId="77777777" w:rsidR="00867DE0" w:rsidRPr="00F86D48" w:rsidRDefault="00867DE0" w:rsidP="00DC54F7">
      <w:pPr>
        <w:spacing w:after="0" w:line="240" w:lineRule="auto"/>
        <w:contextualSpacing/>
        <w:jc w:val="both"/>
        <w:rPr>
          <w:rFonts w:ascii="Arial" w:hAnsi="Arial" w:cs="Arial"/>
          <w:sz w:val="24"/>
          <w:szCs w:val="24"/>
        </w:rPr>
      </w:pPr>
    </w:p>
    <w:p w14:paraId="4669E774" w14:textId="0D151073" w:rsidR="00867DE0" w:rsidRPr="00F86D48" w:rsidRDefault="00CF0E73" w:rsidP="00DC54F7">
      <w:pPr>
        <w:pStyle w:val="ListParagraph"/>
        <w:numPr>
          <w:ilvl w:val="0"/>
          <w:numId w:val="141"/>
        </w:numPr>
        <w:spacing w:after="0" w:line="240" w:lineRule="auto"/>
        <w:jc w:val="both"/>
        <w:rPr>
          <w:rFonts w:ascii="Arial" w:hAnsi="Arial" w:cs="Arial"/>
          <w:sz w:val="24"/>
          <w:szCs w:val="24"/>
        </w:rPr>
      </w:pPr>
      <w:r w:rsidRPr="00F86D48">
        <w:rPr>
          <w:rFonts w:ascii="Arial" w:hAnsi="Arial" w:cs="Arial"/>
          <w:sz w:val="24"/>
          <w:szCs w:val="24"/>
        </w:rPr>
        <w:t>Two</w:t>
      </w:r>
      <w:r w:rsidR="00867DE0" w:rsidRPr="00F86D48">
        <w:rPr>
          <w:rFonts w:ascii="Arial" w:hAnsi="Arial" w:cs="Arial"/>
          <w:sz w:val="24"/>
          <w:szCs w:val="24"/>
        </w:rPr>
        <w:t xml:space="preserve"> pharmac</w:t>
      </w:r>
      <w:r w:rsidRPr="00F86D48">
        <w:rPr>
          <w:rFonts w:ascii="Arial" w:hAnsi="Arial" w:cs="Arial"/>
          <w:sz w:val="24"/>
          <w:szCs w:val="24"/>
        </w:rPr>
        <w:t>ies</w:t>
      </w:r>
      <w:r w:rsidR="00867DE0" w:rsidRPr="00F86D48">
        <w:rPr>
          <w:rFonts w:ascii="Arial" w:hAnsi="Arial" w:cs="Arial"/>
          <w:sz w:val="24"/>
          <w:szCs w:val="24"/>
        </w:rPr>
        <w:t xml:space="preserve"> </w:t>
      </w:r>
      <w:r w:rsidRPr="00F86D48">
        <w:rPr>
          <w:rFonts w:ascii="Arial" w:hAnsi="Arial" w:cs="Arial"/>
          <w:sz w:val="24"/>
          <w:szCs w:val="24"/>
        </w:rPr>
        <w:t>are</w:t>
      </w:r>
      <w:r w:rsidR="00867DE0" w:rsidRPr="00F86D48">
        <w:rPr>
          <w:rFonts w:ascii="Arial" w:hAnsi="Arial" w:cs="Arial"/>
          <w:sz w:val="24"/>
          <w:szCs w:val="24"/>
        </w:rPr>
        <w:t xml:space="preserve"> open seven days a week</w:t>
      </w:r>
    </w:p>
    <w:p w14:paraId="67E12F72" w14:textId="77777777" w:rsidR="00867DE0" w:rsidRPr="00F86D48" w:rsidRDefault="00867DE0" w:rsidP="00DC54F7">
      <w:pPr>
        <w:pStyle w:val="ListParagraph"/>
        <w:numPr>
          <w:ilvl w:val="0"/>
          <w:numId w:val="141"/>
        </w:numPr>
        <w:spacing w:after="0" w:line="240" w:lineRule="auto"/>
        <w:jc w:val="both"/>
        <w:rPr>
          <w:rFonts w:ascii="Arial" w:hAnsi="Arial" w:cs="Arial"/>
          <w:sz w:val="24"/>
          <w:szCs w:val="24"/>
        </w:rPr>
      </w:pPr>
      <w:r w:rsidRPr="00F86D48">
        <w:rPr>
          <w:rFonts w:ascii="Arial" w:hAnsi="Arial" w:cs="Arial"/>
          <w:sz w:val="24"/>
          <w:szCs w:val="24"/>
        </w:rPr>
        <w:t>One pharmacy is open Monday to Saturday</w:t>
      </w:r>
    </w:p>
    <w:p w14:paraId="44E60E3E" w14:textId="59470B2A" w:rsidR="00867DE0" w:rsidRPr="00F86D48" w:rsidRDefault="00867DE0" w:rsidP="00DC54F7">
      <w:pPr>
        <w:pStyle w:val="ListParagraph"/>
        <w:numPr>
          <w:ilvl w:val="0"/>
          <w:numId w:val="141"/>
        </w:numPr>
        <w:spacing w:after="0" w:line="240" w:lineRule="auto"/>
        <w:jc w:val="both"/>
        <w:rPr>
          <w:rFonts w:ascii="Arial" w:hAnsi="Arial" w:cs="Arial"/>
          <w:sz w:val="24"/>
          <w:szCs w:val="24"/>
        </w:rPr>
      </w:pPr>
      <w:r w:rsidRPr="00F86D48">
        <w:rPr>
          <w:rFonts w:ascii="Arial" w:hAnsi="Arial" w:cs="Arial"/>
          <w:sz w:val="24"/>
          <w:szCs w:val="24"/>
        </w:rPr>
        <w:t>S</w:t>
      </w:r>
      <w:r w:rsidR="00CF0E73" w:rsidRPr="00F86D48">
        <w:rPr>
          <w:rFonts w:ascii="Arial" w:hAnsi="Arial" w:cs="Arial"/>
          <w:sz w:val="24"/>
          <w:szCs w:val="24"/>
        </w:rPr>
        <w:t>ix</w:t>
      </w:r>
      <w:r w:rsidRPr="00F86D48">
        <w:rPr>
          <w:rFonts w:ascii="Arial" w:hAnsi="Arial" w:cs="Arial"/>
          <w:sz w:val="24"/>
          <w:szCs w:val="24"/>
        </w:rPr>
        <w:t xml:space="preserve"> pharmacies are open Monday to Friday and Saturday morning</w:t>
      </w:r>
    </w:p>
    <w:p w14:paraId="48BD3498" w14:textId="42807AE1" w:rsidR="00867DE0" w:rsidRPr="00F86D48" w:rsidRDefault="00CF0E73" w:rsidP="00DC54F7">
      <w:pPr>
        <w:pStyle w:val="ListParagraph"/>
        <w:numPr>
          <w:ilvl w:val="0"/>
          <w:numId w:val="141"/>
        </w:numPr>
        <w:spacing w:after="0" w:line="240" w:lineRule="auto"/>
        <w:jc w:val="both"/>
        <w:rPr>
          <w:rFonts w:ascii="Arial" w:hAnsi="Arial" w:cs="Arial"/>
          <w:sz w:val="24"/>
          <w:szCs w:val="24"/>
        </w:rPr>
      </w:pPr>
      <w:r w:rsidRPr="00F86D48">
        <w:rPr>
          <w:rFonts w:ascii="Arial" w:hAnsi="Arial" w:cs="Arial"/>
          <w:sz w:val="24"/>
          <w:szCs w:val="24"/>
        </w:rPr>
        <w:t>Five</w:t>
      </w:r>
      <w:r w:rsidR="00867DE0" w:rsidRPr="00F86D48">
        <w:rPr>
          <w:rFonts w:ascii="Arial" w:hAnsi="Arial" w:cs="Arial"/>
          <w:sz w:val="24"/>
          <w:szCs w:val="24"/>
        </w:rPr>
        <w:t xml:space="preserve"> pharmac</w:t>
      </w:r>
      <w:r w:rsidRPr="00F86D48">
        <w:rPr>
          <w:rFonts w:ascii="Arial" w:hAnsi="Arial" w:cs="Arial"/>
          <w:sz w:val="24"/>
          <w:szCs w:val="24"/>
        </w:rPr>
        <w:t>ies</w:t>
      </w:r>
      <w:r w:rsidR="00867DE0" w:rsidRPr="00F86D48">
        <w:rPr>
          <w:rFonts w:ascii="Arial" w:hAnsi="Arial" w:cs="Arial"/>
          <w:sz w:val="24"/>
          <w:szCs w:val="24"/>
        </w:rPr>
        <w:t xml:space="preserve"> </w:t>
      </w:r>
      <w:r w:rsidRPr="00F86D48">
        <w:rPr>
          <w:rFonts w:ascii="Arial" w:hAnsi="Arial" w:cs="Arial"/>
          <w:sz w:val="24"/>
          <w:szCs w:val="24"/>
        </w:rPr>
        <w:t>are</w:t>
      </w:r>
      <w:r w:rsidR="00867DE0" w:rsidRPr="00F86D48">
        <w:rPr>
          <w:rFonts w:ascii="Arial" w:hAnsi="Arial" w:cs="Arial"/>
          <w:sz w:val="24"/>
          <w:szCs w:val="24"/>
        </w:rPr>
        <w:t xml:space="preserve"> open Monday to Friday</w:t>
      </w:r>
    </w:p>
    <w:p w14:paraId="717CB4B0" w14:textId="77777777" w:rsidR="00BA3B03" w:rsidRPr="00F86D48" w:rsidRDefault="00BA3B03" w:rsidP="00DC54F7">
      <w:pPr>
        <w:spacing w:after="0" w:line="240" w:lineRule="auto"/>
        <w:jc w:val="both"/>
        <w:rPr>
          <w:rFonts w:ascii="Arial" w:hAnsi="Arial" w:cs="Arial"/>
          <w:sz w:val="24"/>
          <w:szCs w:val="24"/>
        </w:rPr>
      </w:pPr>
    </w:p>
    <w:p w14:paraId="07E2A9F9" w14:textId="5BF8C3CF" w:rsidR="00BA3B03" w:rsidRPr="00F86D48" w:rsidRDefault="00BA3B03" w:rsidP="00DC54F7">
      <w:pPr>
        <w:spacing w:after="0" w:line="240" w:lineRule="auto"/>
        <w:jc w:val="both"/>
        <w:rPr>
          <w:rFonts w:ascii="Arial" w:hAnsi="Arial" w:cs="Arial"/>
          <w:sz w:val="24"/>
          <w:szCs w:val="24"/>
        </w:rPr>
      </w:pPr>
      <w:r w:rsidRPr="00F86D48">
        <w:rPr>
          <w:rFonts w:ascii="Arial" w:hAnsi="Arial" w:cs="Arial"/>
          <w:sz w:val="24"/>
          <w:szCs w:val="24"/>
        </w:rPr>
        <w:t xml:space="preserve">All pharmacies must open for their core contractual hours, which are 40 hours a week. These can only be amended with approval by the health board. All additional hours or supplementary hours can be amended by the pharmacy following the provision of 90 days’ notice to the health board. Within the cluster, opening hours and closing hours range from: </w:t>
      </w:r>
    </w:p>
    <w:p w14:paraId="590B9836" w14:textId="77777777" w:rsidR="00867DE0" w:rsidRPr="00F86D48" w:rsidRDefault="00867DE0" w:rsidP="00DC54F7">
      <w:pPr>
        <w:spacing w:after="0" w:line="240" w:lineRule="auto"/>
        <w:contextualSpacing/>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867DE0" w:rsidRPr="00F86D48" w14:paraId="0FAED28F" w14:textId="77777777" w:rsidTr="008E78E6">
        <w:tc>
          <w:tcPr>
            <w:tcW w:w="3005" w:type="dxa"/>
          </w:tcPr>
          <w:p w14:paraId="2CDB294F" w14:textId="77777777" w:rsidR="00867DE0" w:rsidRPr="00F86D48" w:rsidRDefault="00867DE0" w:rsidP="00DC54F7">
            <w:pPr>
              <w:contextualSpacing/>
              <w:jc w:val="both"/>
              <w:rPr>
                <w:rFonts w:ascii="Arial" w:hAnsi="Arial" w:cs="Arial"/>
                <w:b/>
                <w:bCs/>
                <w:sz w:val="24"/>
                <w:szCs w:val="24"/>
              </w:rPr>
            </w:pPr>
            <w:r w:rsidRPr="00F86D48">
              <w:rPr>
                <w:rFonts w:ascii="Arial" w:hAnsi="Arial" w:cs="Arial"/>
                <w:b/>
                <w:bCs/>
                <w:sz w:val="24"/>
                <w:szCs w:val="24"/>
              </w:rPr>
              <w:t>Days</w:t>
            </w:r>
          </w:p>
        </w:tc>
        <w:tc>
          <w:tcPr>
            <w:tcW w:w="3005" w:type="dxa"/>
          </w:tcPr>
          <w:p w14:paraId="6ECC7F6F" w14:textId="77777777" w:rsidR="00867DE0" w:rsidRPr="00F86D48" w:rsidRDefault="00867DE0" w:rsidP="00DC54F7">
            <w:pPr>
              <w:contextualSpacing/>
              <w:jc w:val="both"/>
              <w:rPr>
                <w:rFonts w:ascii="Arial" w:hAnsi="Arial" w:cs="Arial"/>
                <w:b/>
                <w:bCs/>
                <w:sz w:val="24"/>
                <w:szCs w:val="24"/>
              </w:rPr>
            </w:pPr>
            <w:r w:rsidRPr="00F86D48">
              <w:rPr>
                <w:rFonts w:ascii="Arial" w:hAnsi="Arial" w:cs="Arial"/>
                <w:b/>
                <w:bCs/>
                <w:sz w:val="24"/>
                <w:szCs w:val="24"/>
              </w:rPr>
              <w:t>Opening hours range</w:t>
            </w:r>
          </w:p>
        </w:tc>
        <w:tc>
          <w:tcPr>
            <w:tcW w:w="3006" w:type="dxa"/>
          </w:tcPr>
          <w:p w14:paraId="3641A6F5" w14:textId="77777777" w:rsidR="00867DE0" w:rsidRPr="00F86D48" w:rsidRDefault="00867DE0" w:rsidP="00DC54F7">
            <w:pPr>
              <w:contextualSpacing/>
              <w:jc w:val="both"/>
              <w:rPr>
                <w:rFonts w:ascii="Arial" w:hAnsi="Arial" w:cs="Arial"/>
                <w:b/>
                <w:bCs/>
                <w:sz w:val="24"/>
                <w:szCs w:val="24"/>
              </w:rPr>
            </w:pPr>
            <w:r w:rsidRPr="00F86D48">
              <w:rPr>
                <w:rFonts w:ascii="Arial" w:hAnsi="Arial" w:cs="Arial"/>
                <w:b/>
                <w:bCs/>
                <w:sz w:val="24"/>
                <w:szCs w:val="24"/>
              </w:rPr>
              <w:t>Closing hours range</w:t>
            </w:r>
          </w:p>
        </w:tc>
      </w:tr>
      <w:tr w:rsidR="00867DE0" w:rsidRPr="00F86D48" w14:paraId="11B72C88" w14:textId="77777777" w:rsidTr="008E78E6">
        <w:tc>
          <w:tcPr>
            <w:tcW w:w="3005" w:type="dxa"/>
          </w:tcPr>
          <w:p w14:paraId="40D06B5A" w14:textId="77777777" w:rsidR="00867DE0" w:rsidRPr="00F86D48" w:rsidRDefault="00867DE0" w:rsidP="00DC54F7">
            <w:pPr>
              <w:contextualSpacing/>
              <w:jc w:val="both"/>
              <w:rPr>
                <w:rFonts w:ascii="Arial" w:hAnsi="Arial" w:cs="Arial"/>
                <w:sz w:val="24"/>
                <w:szCs w:val="24"/>
              </w:rPr>
            </w:pPr>
            <w:r w:rsidRPr="00F86D48">
              <w:rPr>
                <w:rFonts w:ascii="Arial" w:hAnsi="Arial" w:cs="Arial"/>
                <w:sz w:val="24"/>
                <w:szCs w:val="24"/>
              </w:rPr>
              <w:t>Monday to Friday</w:t>
            </w:r>
          </w:p>
        </w:tc>
        <w:tc>
          <w:tcPr>
            <w:tcW w:w="3005" w:type="dxa"/>
          </w:tcPr>
          <w:p w14:paraId="16B32667" w14:textId="30C44CCB" w:rsidR="00867DE0" w:rsidRPr="00F86D48" w:rsidRDefault="00867DE0" w:rsidP="00DC54F7">
            <w:pPr>
              <w:contextualSpacing/>
              <w:jc w:val="both"/>
              <w:rPr>
                <w:rFonts w:ascii="Arial" w:hAnsi="Arial" w:cs="Arial"/>
                <w:sz w:val="24"/>
                <w:szCs w:val="24"/>
              </w:rPr>
            </w:pPr>
            <w:r w:rsidRPr="00F86D48">
              <w:rPr>
                <w:rFonts w:ascii="Arial" w:hAnsi="Arial" w:cs="Arial"/>
                <w:sz w:val="24"/>
                <w:szCs w:val="24"/>
              </w:rPr>
              <w:t>08.</w:t>
            </w:r>
            <w:r w:rsidR="00CF0E73" w:rsidRPr="00F86D48">
              <w:rPr>
                <w:rFonts w:ascii="Arial" w:hAnsi="Arial" w:cs="Arial"/>
                <w:sz w:val="24"/>
                <w:szCs w:val="24"/>
              </w:rPr>
              <w:t>3</w:t>
            </w:r>
            <w:r w:rsidRPr="00F86D48">
              <w:rPr>
                <w:rFonts w:ascii="Arial" w:hAnsi="Arial" w:cs="Arial"/>
                <w:sz w:val="24"/>
                <w:szCs w:val="24"/>
              </w:rPr>
              <w:t>0am to 09.00am</w:t>
            </w:r>
          </w:p>
        </w:tc>
        <w:tc>
          <w:tcPr>
            <w:tcW w:w="3006" w:type="dxa"/>
          </w:tcPr>
          <w:p w14:paraId="71D4F490" w14:textId="48625661" w:rsidR="00867DE0" w:rsidRPr="00F86D48" w:rsidRDefault="00867DE0" w:rsidP="00DC54F7">
            <w:pPr>
              <w:contextualSpacing/>
              <w:jc w:val="both"/>
              <w:rPr>
                <w:rFonts w:ascii="Arial" w:hAnsi="Arial" w:cs="Arial"/>
                <w:sz w:val="24"/>
                <w:szCs w:val="24"/>
              </w:rPr>
            </w:pPr>
            <w:r w:rsidRPr="00F86D48">
              <w:rPr>
                <w:rFonts w:ascii="Arial" w:hAnsi="Arial" w:cs="Arial"/>
                <w:sz w:val="24"/>
                <w:szCs w:val="24"/>
              </w:rPr>
              <w:t>17.</w:t>
            </w:r>
            <w:r w:rsidR="00CF0E73" w:rsidRPr="00F86D48">
              <w:rPr>
                <w:rFonts w:ascii="Arial" w:hAnsi="Arial" w:cs="Arial"/>
                <w:sz w:val="24"/>
                <w:szCs w:val="24"/>
              </w:rPr>
              <w:t>0</w:t>
            </w:r>
            <w:r w:rsidRPr="00F86D48">
              <w:rPr>
                <w:rFonts w:ascii="Arial" w:hAnsi="Arial" w:cs="Arial"/>
                <w:sz w:val="24"/>
                <w:szCs w:val="24"/>
              </w:rPr>
              <w:t>0pm to 19.</w:t>
            </w:r>
            <w:r w:rsidR="00CF0E73" w:rsidRPr="00F86D48">
              <w:rPr>
                <w:rFonts w:ascii="Arial" w:hAnsi="Arial" w:cs="Arial"/>
                <w:sz w:val="24"/>
                <w:szCs w:val="24"/>
              </w:rPr>
              <w:t>0</w:t>
            </w:r>
            <w:r w:rsidRPr="00F86D48">
              <w:rPr>
                <w:rFonts w:ascii="Arial" w:hAnsi="Arial" w:cs="Arial"/>
                <w:sz w:val="24"/>
                <w:szCs w:val="24"/>
              </w:rPr>
              <w:t>0pm</w:t>
            </w:r>
            <w:r w:rsidR="00D16C48" w:rsidRPr="00F86D48">
              <w:rPr>
                <w:rFonts w:ascii="Arial" w:hAnsi="Arial" w:cs="Arial"/>
                <w:sz w:val="24"/>
                <w:szCs w:val="24"/>
              </w:rPr>
              <w:t>*</w:t>
            </w:r>
          </w:p>
        </w:tc>
      </w:tr>
      <w:tr w:rsidR="00867DE0" w:rsidRPr="00F86D48" w14:paraId="5FEC43A0" w14:textId="77777777" w:rsidTr="008E78E6">
        <w:tc>
          <w:tcPr>
            <w:tcW w:w="3005" w:type="dxa"/>
          </w:tcPr>
          <w:p w14:paraId="3B340665" w14:textId="77777777" w:rsidR="00867DE0" w:rsidRPr="00F86D48" w:rsidRDefault="00867DE0" w:rsidP="00DC54F7">
            <w:pPr>
              <w:contextualSpacing/>
              <w:jc w:val="both"/>
              <w:rPr>
                <w:rFonts w:ascii="Arial" w:hAnsi="Arial" w:cs="Arial"/>
                <w:sz w:val="24"/>
                <w:szCs w:val="24"/>
              </w:rPr>
            </w:pPr>
            <w:r w:rsidRPr="00F86D48">
              <w:rPr>
                <w:rFonts w:ascii="Arial" w:hAnsi="Arial" w:cs="Arial"/>
                <w:sz w:val="24"/>
                <w:szCs w:val="24"/>
              </w:rPr>
              <w:t>Saturday</w:t>
            </w:r>
          </w:p>
        </w:tc>
        <w:tc>
          <w:tcPr>
            <w:tcW w:w="3005" w:type="dxa"/>
          </w:tcPr>
          <w:p w14:paraId="55E611E1" w14:textId="7C33AA58" w:rsidR="00867DE0" w:rsidRPr="00F86D48" w:rsidRDefault="00CF0E73" w:rsidP="00DC54F7">
            <w:pPr>
              <w:contextualSpacing/>
              <w:jc w:val="both"/>
              <w:rPr>
                <w:rFonts w:ascii="Arial" w:hAnsi="Arial" w:cs="Arial"/>
                <w:sz w:val="24"/>
                <w:szCs w:val="24"/>
              </w:rPr>
            </w:pPr>
            <w:r w:rsidRPr="00F86D48">
              <w:rPr>
                <w:rFonts w:ascii="Arial" w:hAnsi="Arial" w:cs="Arial"/>
                <w:sz w:val="24"/>
                <w:szCs w:val="24"/>
              </w:rPr>
              <w:t xml:space="preserve">08.30am to </w:t>
            </w:r>
            <w:r w:rsidR="00867DE0" w:rsidRPr="00F86D48">
              <w:rPr>
                <w:rFonts w:ascii="Arial" w:hAnsi="Arial" w:cs="Arial"/>
                <w:sz w:val="24"/>
                <w:szCs w:val="24"/>
              </w:rPr>
              <w:t xml:space="preserve">09.00am </w:t>
            </w:r>
          </w:p>
        </w:tc>
        <w:tc>
          <w:tcPr>
            <w:tcW w:w="3006" w:type="dxa"/>
          </w:tcPr>
          <w:p w14:paraId="7648BFA0" w14:textId="77777777" w:rsidR="00867DE0" w:rsidRPr="00F86D48" w:rsidRDefault="00867DE0" w:rsidP="00DC54F7">
            <w:pPr>
              <w:contextualSpacing/>
              <w:jc w:val="both"/>
              <w:rPr>
                <w:rFonts w:ascii="Arial" w:hAnsi="Arial" w:cs="Arial"/>
                <w:sz w:val="24"/>
                <w:szCs w:val="24"/>
              </w:rPr>
            </w:pPr>
            <w:r w:rsidRPr="00F86D48">
              <w:rPr>
                <w:rFonts w:ascii="Arial" w:hAnsi="Arial" w:cs="Arial"/>
                <w:sz w:val="24"/>
                <w:szCs w:val="24"/>
              </w:rPr>
              <w:t>12.00pm to 17.30pm</w:t>
            </w:r>
          </w:p>
        </w:tc>
      </w:tr>
      <w:tr w:rsidR="00867DE0" w:rsidRPr="00F86D48" w14:paraId="5CD8BCB6" w14:textId="77777777" w:rsidTr="008E78E6">
        <w:tc>
          <w:tcPr>
            <w:tcW w:w="3005" w:type="dxa"/>
          </w:tcPr>
          <w:p w14:paraId="05EB3D8D" w14:textId="77777777" w:rsidR="00867DE0" w:rsidRPr="00F86D48" w:rsidRDefault="00867DE0" w:rsidP="00DC54F7">
            <w:pPr>
              <w:contextualSpacing/>
              <w:jc w:val="both"/>
              <w:rPr>
                <w:rFonts w:ascii="Arial" w:hAnsi="Arial" w:cs="Arial"/>
                <w:sz w:val="24"/>
                <w:szCs w:val="24"/>
              </w:rPr>
            </w:pPr>
            <w:r w:rsidRPr="00F86D48">
              <w:rPr>
                <w:rFonts w:ascii="Arial" w:hAnsi="Arial" w:cs="Arial"/>
                <w:sz w:val="24"/>
                <w:szCs w:val="24"/>
              </w:rPr>
              <w:t>Sunday</w:t>
            </w:r>
          </w:p>
        </w:tc>
        <w:tc>
          <w:tcPr>
            <w:tcW w:w="3005" w:type="dxa"/>
          </w:tcPr>
          <w:p w14:paraId="2CA4F755" w14:textId="77777777" w:rsidR="00867DE0" w:rsidRPr="00F86D48" w:rsidRDefault="00867DE0" w:rsidP="00DC54F7">
            <w:pPr>
              <w:contextualSpacing/>
              <w:jc w:val="both"/>
              <w:rPr>
                <w:rFonts w:ascii="Arial" w:hAnsi="Arial" w:cs="Arial"/>
                <w:sz w:val="24"/>
                <w:szCs w:val="24"/>
              </w:rPr>
            </w:pPr>
            <w:r w:rsidRPr="00F86D48">
              <w:rPr>
                <w:rFonts w:ascii="Arial" w:hAnsi="Arial" w:cs="Arial"/>
                <w:sz w:val="24"/>
                <w:szCs w:val="24"/>
              </w:rPr>
              <w:t xml:space="preserve">10.00am </w:t>
            </w:r>
          </w:p>
        </w:tc>
        <w:tc>
          <w:tcPr>
            <w:tcW w:w="3006" w:type="dxa"/>
          </w:tcPr>
          <w:p w14:paraId="4FB138B1" w14:textId="77777777" w:rsidR="00867DE0" w:rsidRPr="00F86D48" w:rsidRDefault="00867DE0" w:rsidP="00DC54F7">
            <w:pPr>
              <w:contextualSpacing/>
              <w:jc w:val="both"/>
              <w:rPr>
                <w:rFonts w:ascii="Arial" w:hAnsi="Arial" w:cs="Arial"/>
                <w:sz w:val="24"/>
                <w:szCs w:val="24"/>
              </w:rPr>
            </w:pPr>
            <w:r w:rsidRPr="00F86D48">
              <w:rPr>
                <w:rFonts w:ascii="Arial" w:hAnsi="Arial" w:cs="Arial"/>
                <w:sz w:val="24"/>
                <w:szCs w:val="24"/>
              </w:rPr>
              <w:t>16.00pm</w:t>
            </w:r>
          </w:p>
        </w:tc>
      </w:tr>
    </w:tbl>
    <w:p w14:paraId="01CC66DD" w14:textId="77777777" w:rsidR="00867DE0" w:rsidRPr="00F86D48" w:rsidRDefault="00867DE0" w:rsidP="00DC54F7">
      <w:pPr>
        <w:spacing w:after="0" w:line="240" w:lineRule="auto"/>
        <w:contextualSpacing/>
        <w:jc w:val="both"/>
        <w:rPr>
          <w:rFonts w:ascii="Arial" w:hAnsi="Arial" w:cs="Arial"/>
          <w:sz w:val="24"/>
          <w:szCs w:val="24"/>
        </w:rPr>
      </w:pPr>
    </w:p>
    <w:p w14:paraId="1E2BC525" w14:textId="441EA4A6" w:rsidR="00D16C48" w:rsidRPr="00F86D48" w:rsidRDefault="003A4253" w:rsidP="00DC54F7">
      <w:pPr>
        <w:spacing w:after="0" w:line="240" w:lineRule="auto"/>
        <w:jc w:val="both"/>
        <w:rPr>
          <w:rFonts w:ascii="Arial" w:hAnsi="Arial" w:cs="Arial"/>
          <w:sz w:val="24"/>
          <w:szCs w:val="24"/>
        </w:rPr>
      </w:pPr>
      <w:r w:rsidRPr="00F86D48">
        <w:rPr>
          <w:rFonts w:ascii="Arial" w:hAnsi="Arial" w:cs="Arial"/>
          <w:sz w:val="24"/>
          <w:szCs w:val="24"/>
        </w:rPr>
        <w:lastRenderedPageBreak/>
        <w:t>*One pharmacy close at 16</w:t>
      </w:r>
      <w:r w:rsidR="002A10BF" w:rsidRPr="00F86D48">
        <w:rPr>
          <w:rFonts w:ascii="Arial" w:hAnsi="Arial" w:cs="Arial"/>
          <w:sz w:val="24"/>
          <w:szCs w:val="24"/>
        </w:rPr>
        <w:t xml:space="preserve">.30pm on Tuesday and one closes at </w:t>
      </w:r>
      <w:r w:rsidR="001F7BEA" w:rsidRPr="00F86D48">
        <w:rPr>
          <w:rFonts w:ascii="Arial" w:hAnsi="Arial" w:cs="Arial"/>
          <w:sz w:val="24"/>
          <w:szCs w:val="24"/>
        </w:rPr>
        <w:t>12.30pm on Wednesday</w:t>
      </w:r>
    </w:p>
    <w:p w14:paraId="25C70E86" w14:textId="77777777" w:rsidR="00D16C48" w:rsidRPr="00F86D48" w:rsidRDefault="00D16C48" w:rsidP="00DC54F7">
      <w:pPr>
        <w:spacing w:after="0" w:line="240" w:lineRule="auto"/>
        <w:contextualSpacing/>
        <w:jc w:val="both"/>
        <w:rPr>
          <w:rFonts w:ascii="Arial" w:hAnsi="Arial" w:cs="Arial"/>
          <w:sz w:val="24"/>
          <w:szCs w:val="24"/>
        </w:rPr>
      </w:pPr>
    </w:p>
    <w:p w14:paraId="1992F079" w14:textId="1036EA4C" w:rsidR="00867DE0" w:rsidRPr="00F05168" w:rsidRDefault="00867DE0" w:rsidP="00DC54F7">
      <w:pPr>
        <w:spacing w:after="0" w:line="240" w:lineRule="auto"/>
        <w:contextualSpacing/>
        <w:jc w:val="both"/>
        <w:rPr>
          <w:rFonts w:ascii="Arial" w:hAnsi="Arial" w:cs="Arial"/>
          <w:sz w:val="24"/>
          <w:szCs w:val="24"/>
        </w:rPr>
      </w:pPr>
      <w:r w:rsidRPr="00F05168">
        <w:rPr>
          <w:rFonts w:ascii="Arial" w:hAnsi="Arial" w:cs="Arial"/>
          <w:sz w:val="24"/>
          <w:szCs w:val="24"/>
        </w:rPr>
        <w:t>Full details of when the pharmacies are open can be found in Appendix L.</w:t>
      </w:r>
    </w:p>
    <w:p w14:paraId="3161C330" w14:textId="77777777" w:rsidR="0063382E" w:rsidRPr="00F05168" w:rsidRDefault="0063382E" w:rsidP="00DC54F7">
      <w:pPr>
        <w:spacing w:after="0" w:line="240" w:lineRule="auto"/>
        <w:jc w:val="both"/>
        <w:rPr>
          <w:rFonts w:ascii="Arial" w:hAnsi="Arial" w:cs="Arial"/>
          <w:sz w:val="24"/>
          <w:szCs w:val="24"/>
          <w:highlight w:val="cyan"/>
          <w:lang w:val="en-US"/>
        </w:rPr>
      </w:pPr>
    </w:p>
    <w:p w14:paraId="36F448E9" w14:textId="24D5CB92" w:rsidR="005C6B8F" w:rsidRPr="00F05168" w:rsidRDefault="005C6B8F" w:rsidP="00DC54F7">
      <w:pPr>
        <w:spacing w:after="0" w:line="240" w:lineRule="auto"/>
        <w:contextualSpacing/>
        <w:jc w:val="both"/>
        <w:rPr>
          <w:rFonts w:ascii="Arial" w:hAnsi="Arial" w:cs="Arial"/>
          <w:sz w:val="24"/>
          <w:szCs w:val="24"/>
        </w:rPr>
      </w:pPr>
      <w:r w:rsidRPr="00F05168">
        <w:rPr>
          <w:rFonts w:ascii="Arial" w:hAnsi="Arial" w:cs="Arial"/>
          <w:sz w:val="24"/>
          <w:szCs w:val="24"/>
        </w:rPr>
        <w:t>All 1</w:t>
      </w:r>
      <w:r w:rsidR="000B0992" w:rsidRPr="00F05168">
        <w:rPr>
          <w:rFonts w:ascii="Arial" w:hAnsi="Arial" w:cs="Arial"/>
          <w:sz w:val="24"/>
          <w:szCs w:val="24"/>
        </w:rPr>
        <w:t>4</w:t>
      </w:r>
      <w:r w:rsidRPr="00F05168">
        <w:rPr>
          <w:rFonts w:ascii="Arial" w:hAnsi="Arial" w:cs="Arial"/>
          <w:sz w:val="24"/>
          <w:szCs w:val="24"/>
        </w:rPr>
        <w:t xml:space="preserve"> pharmacies responded to the contractor questionnaire, of which 1</w:t>
      </w:r>
      <w:r w:rsidR="00253CB0" w:rsidRPr="00F05168">
        <w:rPr>
          <w:rFonts w:ascii="Arial" w:hAnsi="Arial" w:cs="Arial"/>
          <w:sz w:val="24"/>
          <w:szCs w:val="24"/>
        </w:rPr>
        <w:t>2</w:t>
      </w:r>
      <w:r w:rsidRPr="00F05168">
        <w:rPr>
          <w:rFonts w:ascii="Arial" w:hAnsi="Arial" w:cs="Arial"/>
          <w:sz w:val="24"/>
          <w:szCs w:val="24"/>
        </w:rPr>
        <w:t xml:space="preserve"> </w:t>
      </w:r>
      <w:r w:rsidR="00253CB0" w:rsidRPr="00F05168">
        <w:rPr>
          <w:rFonts w:ascii="Arial" w:hAnsi="Arial" w:cs="Arial"/>
          <w:sz w:val="24"/>
          <w:szCs w:val="24"/>
        </w:rPr>
        <w:t xml:space="preserve">pharmacies </w:t>
      </w:r>
      <w:r w:rsidRPr="00F05168">
        <w:rPr>
          <w:rFonts w:ascii="Arial" w:hAnsi="Arial" w:cs="Arial"/>
          <w:sz w:val="24"/>
          <w:szCs w:val="24"/>
        </w:rPr>
        <w:t xml:space="preserve">dispense all appliances listed in Part IX of the Drug Tariff, </w:t>
      </w:r>
      <w:r w:rsidR="00253CB0" w:rsidRPr="00F05168">
        <w:rPr>
          <w:rFonts w:ascii="Arial" w:hAnsi="Arial" w:cs="Arial"/>
          <w:sz w:val="24"/>
          <w:szCs w:val="24"/>
        </w:rPr>
        <w:t>one pharmacy</w:t>
      </w:r>
      <w:r w:rsidRPr="00F05168">
        <w:rPr>
          <w:rFonts w:ascii="Arial" w:hAnsi="Arial" w:cs="Arial"/>
          <w:sz w:val="24"/>
          <w:szCs w:val="24"/>
        </w:rPr>
        <w:t xml:space="preserve"> just dispenses dressings and one does not dispense any appliances. </w:t>
      </w:r>
    </w:p>
    <w:p w14:paraId="549DF5A0" w14:textId="77777777" w:rsidR="005C6B8F" w:rsidRPr="00F05168" w:rsidRDefault="005C6B8F" w:rsidP="00DC54F7">
      <w:pPr>
        <w:spacing w:after="0" w:line="240" w:lineRule="auto"/>
        <w:jc w:val="both"/>
        <w:rPr>
          <w:rFonts w:ascii="Arial" w:hAnsi="Arial" w:cs="Arial"/>
          <w:b/>
          <w:sz w:val="24"/>
          <w:szCs w:val="24"/>
          <w:lang w:val="en-US"/>
        </w:rPr>
      </w:pPr>
    </w:p>
    <w:p w14:paraId="3C5E784D" w14:textId="3C8C1AB6" w:rsidR="00647341" w:rsidRPr="00F05168" w:rsidRDefault="005C6B8F" w:rsidP="00DC54F7">
      <w:pPr>
        <w:spacing w:after="0" w:line="240" w:lineRule="auto"/>
        <w:jc w:val="both"/>
        <w:rPr>
          <w:rFonts w:ascii="Arial" w:hAnsi="Arial" w:cs="Arial"/>
          <w:sz w:val="24"/>
          <w:szCs w:val="24"/>
        </w:rPr>
      </w:pPr>
      <w:r w:rsidRPr="00F05168">
        <w:rPr>
          <w:rFonts w:ascii="Arial" w:hAnsi="Arial" w:cs="Arial"/>
          <w:sz w:val="24"/>
          <w:szCs w:val="24"/>
        </w:rPr>
        <w:t xml:space="preserve">In 2019 to 2020, </w:t>
      </w:r>
      <w:r w:rsidR="00A65DAD" w:rsidRPr="00F05168">
        <w:rPr>
          <w:rFonts w:ascii="Arial" w:hAnsi="Arial" w:cs="Arial"/>
          <w:sz w:val="24"/>
          <w:szCs w:val="24"/>
        </w:rPr>
        <w:t>13</w:t>
      </w:r>
      <w:r w:rsidRPr="00F05168">
        <w:rPr>
          <w:rFonts w:ascii="Arial" w:hAnsi="Arial" w:cs="Arial"/>
          <w:sz w:val="24"/>
          <w:szCs w:val="24"/>
        </w:rPr>
        <w:t xml:space="preserve"> pharmacies offered the MUR service and a total of </w:t>
      </w:r>
      <w:r w:rsidR="004D709C" w:rsidRPr="00F05168">
        <w:rPr>
          <w:rFonts w:ascii="Arial" w:hAnsi="Arial" w:cs="Arial"/>
          <w:sz w:val="24"/>
          <w:szCs w:val="24"/>
        </w:rPr>
        <w:t>3,518</w:t>
      </w:r>
      <w:r w:rsidRPr="00F05168">
        <w:rPr>
          <w:rFonts w:ascii="Arial" w:hAnsi="Arial" w:cs="Arial"/>
          <w:sz w:val="24"/>
          <w:szCs w:val="24"/>
        </w:rPr>
        <w:t xml:space="preserve"> reviews were provided out of a possible </w:t>
      </w:r>
      <w:r w:rsidR="009F08AE" w:rsidRPr="00F05168">
        <w:rPr>
          <w:rFonts w:ascii="Arial" w:hAnsi="Arial" w:cs="Arial"/>
          <w:sz w:val="24"/>
          <w:szCs w:val="24"/>
        </w:rPr>
        <w:t>5</w:t>
      </w:r>
      <w:r w:rsidRPr="00F05168">
        <w:rPr>
          <w:rFonts w:ascii="Arial" w:hAnsi="Arial" w:cs="Arial"/>
          <w:sz w:val="24"/>
          <w:szCs w:val="24"/>
        </w:rPr>
        <w:t>,</w:t>
      </w:r>
      <w:r w:rsidR="009F08AE" w:rsidRPr="00F05168">
        <w:rPr>
          <w:rFonts w:ascii="Arial" w:hAnsi="Arial" w:cs="Arial"/>
          <w:sz w:val="24"/>
          <w:szCs w:val="24"/>
        </w:rPr>
        <w:t>2</w:t>
      </w:r>
      <w:r w:rsidRPr="00F05168">
        <w:rPr>
          <w:rFonts w:ascii="Arial" w:hAnsi="Arial" w:cs="Arial"/>
          <w:sz w:val="24"/>
          <w:szCs w:val="24"/>
        </w:rPr>
        <w:t>00 reviews. Two pharmacies provided the maximum number of 400 reviews.</w:t>
      </w:r>
      <w:r w:rsidR="00647341" w:rsidRPr="00F05168">
        <w:rPr>
          <w:rFonts w:ascii="Arial" w:hAnsi="Arial" w:cs="Arial"/>
          <w:sz w:val="24"/>
          <w:szCs w:val="24"/>
        </w:rPr>
        <w:t xml:space="preserve"> The Welsh Government formally suspended the MUR service on 13 March 2020.  At the time of writing, </w:t>
      </w:r>
      <w:r w:rsidR="0070331C" w:rsidRPr="00F05168">
        <w:rPr>
          <w:rFonts w:ascii="Arial" w:hAnsi="Arial" w:cs="Arial"/>
          <w:sz w:val="24"/>
          <w:szCs w:val="24"/>
        </w:rPr>
        <w:t>it is not known if the service will re-commence</w:t>
      </w:r>
      <w:r w:rsidR="00647341" w:rsidRPr="00F05168">
        <w:rPr>
          <w:rFonts w:ascii="Arial" w:hAnsi="Arial" w:cs="Arial"/>
          <w:sz w:val="24"/>
          <w:szCs w:val="24"/>
        </w:rPr>
        <w:t>.</w:t>
      </w:r>
    </w:p>
    <w:p w14:paraId="4AE4D2F1" w14:textId="0F39E4E3" w:rsidR="005C6B8F" w:rsidRPr="00F05168" w:rsidRDefault="005C6B8F" w:rsidP="00DC54F7">
      <w:pPr>
        <w:spacing w:after="0" w:line="240" w:lineRule="auto"/>
        <w:jc w:val="both"/>
        <w:rPr>
          <w:rFonts w:ascii="Arial" w:hAnsi="Arial" w:cs="Arial"/>
          <w:sz w:val="24"/>
          <w:szCs w:val="24"/>
        </w:rPr>
      </w:pPr>
    </w:p>
    <w:p w14:paraId="2A95F2C3" w14:textId="0A0A3B99" w:rsidR="005C6B8F" w:rsidRPr="00F05168" w:rsidRDefault="005C6B8F" w:rsidP="00DC54F7">
      <w:pPr>
        <w:spacing w:after="0" w:line="240" w:lineRule="auto"/>
        <w:jc w:val="both"/>
        <w:rPr>
          <w:rFonts w:ascii="Arial" w:hAnsi="Arial" w:cs="Arial"/>
          <w:sz w:val="24"/>
          <w:szCs w:val="24"/>
        </w:rPr>
      </w:pPr>
      <w:r w:rsidRPr="00F05168">
        <w:rPr>
          <w:rFonts w:ascii="Arial" w:hAnsi="Arial" w:cs="Arial"/>
          <w:sz w:val="24"/>
          <w:szCs w:val="24"/>
        </w:rPr>
        <w:t xml:space="preserve">In 2019 to 2020, 10 pharmacies offered the DMR </w:t>
      </w:r>
      <w:r w:rsidR="009F08AE" w:rsidRPr="00F05168">
        <w:rPr>
          <w:rFonts w:ascii="Arial" w:hAnsi="Arial" w:cs="Arial"/>
          <w:sz w:val="24"/>
          <w:szCs w:val="24"/>
        </w:rPr>
        <w:t xml:space="preserve">service </w:t>
      </w:r>
      <w:r w:rsidRPr="00F05168">
        <w:rPr>
          <w:rFonts w:ascii="Arial" w:hAnsi="Arial" w:cs="Arial"/>
          <w:sz w:val="24"/>
          <w:szCs w:val="24"/>
        </w:rPr>
        <w:t xml:space="preserve">and a total of </w:t>
      </w:r>
      <w:r w:rsidR="00BF7448">
        <w:rPr>
          <w:rFonts w:ascii="Arial" w:hAnsi="Arial" w:cs="Arial"/>
          <w:sz w:val="24"/>
          <w:szCs w:val="24"/>
        </w:rPr>
        <w:t>193</w:t>
      </w:r>
      <w:r w:rsidRPr="00F05168">
        <w:rPr>
          <w:rFonts w:ascii="Arial" w:hAnsi="Arial" w:cs="Arial"/>
          <w:sz w:val="24"/>
          <w:szCs w:val="24"/>
        </w:rPr>
        <w:t xml:space="preserve"> reviews were provided out of a possible 1,400 reviews. No pharmacies provided the maximum number of 140 reviews</w:t>
      </w:r>
      <w:r w:rsidR="009F08AE" w:rsidRPr="00F05168">
        <w:rPr>
          <w:rFonts w:ascii="Arial" w:hAnsi="Arial" w:cs="Arial"/>
          <w:sz w:val="24"/>
          <w:szCs w:val="24"/>
        </w:rPr>
        <w:t>.</w:t>
      </w:r>
      <w:r w:rsidR="002A1D5B" w:rsidRPr="00F05168">
        <w:rPr>
          <w:rFonts w:ascii="Arial" w:hAnsi="Arial" w:cs="Arial"/>
          <w:sz w:val="24"/>
          <w:szCs w:val="24"/>
        </w:rPr>
        <w:t xml:space="preserve"> As part of the changes to the Community Pharmacy Contractual Framework for 2021, the cap for the number of paid DMRs has been removed.</w:t>
      </w:r>
    </w:p>
    <w:p w14:paraId="558EE6F3" w14:textId="77777777" w:rsidR="005C6B8F" w:rsidRPr="00F05168" w:rsidRDefault="005C6B8F" w:rsidP="00DC54F7">
      <w:pPr>
        <w:spacing w:after="0" w:line="240" w:lineRule="auto"/>
        <w:jc w:val="both"/>
        <w:rPr>
          <w:rFonts w:ascii="Arial" w:hAnsi="Arial" w:cs="Arial"/>
          <w:sz w:val="24"/>
          <w:szCs w:val="24"/>
          <w:highlight w:val="cyan"/>
          <w:lang w:val="en-US"/>
        </w:rPr>
      </w:pPr>
    </w:p>
    <w:p w14:paraId="663ED663" w14:textId="77777777" w:rsidR="005C6B8F" w:rsidRPr="00F05168" w:rsidRDefault="005C6B8F" w:rsidP="00DC54F7">
      <w:pPr>
        <w:spacing w:after="0" w:line="240" w:lineRule="auto"/>
        <w:contextualSpacing/>
        <w:jc w:val="both"/>
        <w:rPr>
          <w:rFonts w:ascii="Arial" w:hAnsi="Arial" w:cs="Arial"/>
          <w:sz w:val="24"/>
          <w:szCs w:val="24"/>
        </w:rPr>
      </w:pPr>
      <w:r w:rsidRPr="00F05168">
        <w:rPr>
          <w:rFonts w:ascii="Arial" w:hAnsi="Arial" w:cs="Arial"/>
          <w:sz w:val="24"/>
          <w:szCs w:val="24"/>
        </w:rPr>
        <w:t>In 2019 to 2020, the following enhanced services were provided by pharmacies in the cluster area:</w:t>
      </w:r>
    </w:p>
    <w:p w14:paraId="13B37334" w14:textId="77777777" w:rsidR="005C6B8F" w:rsidRPr="00F05168" w:rsidRDefault="005C6B8F" w:rsidP="00DC54F7">
      <w:pPr>
        <w:spacing w:after="0" w:line="240" w:lineRule="auto"/>
        <w:contextualSpacing/>
        <w:jc w:val="both"/>
        <w:rPr>
          <w:rFonts w:ascii="Arial" w:hAnsi="Arial" w:cs="Arial"/>
          <w:sz w:val="24"/>
          <w:szCs w:val="24"/>
        </w:rPr>
      </w:pPr>
    </w:p>
    <w:p w14:paraId="66574032" w14:textId="37883A11" w:rsidR="005C6B8F" w:rsidRPr="00F05168" w:rsidRDefault="003F52E5" w:rsidP="00DC54F7">
      <w:pPr>
        <w:pStyle w:val="ListParagraph"/>
        <w:numPr>
          <w:ilvl w:val="0"/>
          <w:numId w:val="142"/>
        </w:numPr>
        <w:spacing w:after="0" w:line="240" w:lineRule="auto"/>
        <w:jc w:val="both"/>
        <w:rPr>
          <w:rFonts w:ascii="Arial" w:hAnsi="Arial" w:cs="Arial"/>
          <w:sz w:val="24"/>
          <w:szCs w:val="24"/>
        </w:rPr>
      </w:pPr>
      <w:r w:rsidRPr="00F05168">
        <w:rPr>
          <w:rFonts w:ascii="Arial" w:hAnsi="Arial" w:cs="Arial"/>
          <w:sz w:val="24"/>
          <w:szCs w:val="24"/>
        </w:rPr>
        <w:t>Eight</w:t>
      </w:r>
      <w:r w:rsidR="005C6B8F" w:rsidRPr="00F05168">
        <w:rPr>
          <w:rFonts w:ascii="Arial" w:hAnsi="Arial" w:cs="Arial"/>
          <w:sz w:val="24"/>
          <w:szCs w:val="24"/>
        </w:rPr>
        <w:t xml:space="preserve"> pharmacies provided a total of </w:t>
      </w:r>
      <w:r w:rsidRPr="00F05168">
        <w:rPr>
          <w:rFonts w:ascii="Arial" w:hAnsi="Arial" w:cs="Arial"/>
          <w:sz w:val="24"/>
          <w:szCs w:val="24"/>
        </w:rPr>
        <w:t>399</w:t>
      </w:r>
      <w:r w:rsidR="005C6B8F" w:rsidRPr="00F05168">
        <w:rPr>
          <w:rFonts w:ascii="Arial" w:hAnsi="Arial" w:cs="Arial"/>
          <w:sz w:val="24"/>
          <w:szCs w:val="24"/>
        </w:rPr>
        <w:t xml:space="preserve"> emergency contraception consultations, with a range of </w:t>
      </w:r>
      <w:r w:rsidRPr="00F05168">
        <w:rPr>
          <w:rFonts w:ascii="Arial" w:hAnsi="Arial" w:cs="Arial"/>
          <w:sz w:val="24"/>
          <w:szCs w:val="24"/>
        </w:rPr>
        <w:t>three</w:t>
      </w:r>
      <w:r w:rsidR="005C6B8F" w:rsidRPr="00F05168">
        <w:rPr>
          <w:rFonts w:ascii="Arial" w:hAnsi="Arial" w:cs="Arial"/>
          <w:sz w:val="24"/>
          <w:szCs w:val="24"/>
        </w:rPr>
        <w:t xml:space="preserve"> to </w:t>
      </w:r>
      <w:r w:rsidRPr="00F05168">
        <w:rPr>
          <w:rFonts w:ascii="Arial" w:hAnsi="Arial" w:cs="Arial"/>
          <w:sz w:val="24"/>
          <w:szCs w:val="24"/>
        </w:rPr>
        <w:t>183</w:t>
      </w:r>
      <w:r w:rsidR="005C6B8F" w:rsidRPr="00F05168">
        <w:rPr>
          <w:rFonts w:ascii="Arial" w:hAnsi="Arial" w:cs="Arial"/>
          <w:sz w:val="24"/>
          <w:szCs w:val="24"/>
        </w:rPr>
        <w:t xml:space="preserve"> consultations.</w:t>
      </w:r>
    </w:p>
    <w:p w14:paraId="3C46A1BF" w14:textId="0E8854E9" w:rsidR="005C6B8F" w:rsidRPr="00F05168" w:rsidRDefault="003F52E5" w:rsidP="00DC54F7">
      <w:pPr>
        <w:pStyle w:val="ListParagraph"/>
        <w:numPr>
          <w:ilvl w:val="0"/>
          <w:numId w:val="86"/>
        </w:numPr>
        <w:spacing w:after="0" w:line="240" w:lineRule="auto"/>
        <w:jc w:val="both"/>
        <w:rPr>
          <w:rFonts w:ascii="Arial" w:hAnsi="Arial" w:cs="Arial"/>
          <w:sz w:val="24"/>
          <w:szCs w:val="24"/>
        </w:rPr>
      </w:pPr>
      <w:r w:rsidRPr="00F05168">
        <w:rPr>
          <w:rFonts w:ascii="Arial" w:hAnsi="Arial" w:cs="Arial"/>
          <w:sz w:val="24"/>
          <w:szCs w:val="24"/>
        </w:rPr>
        <w:t>Four</w:t>
      </w:r>
      <w:r w:rsidR="005C6B8F" w:rsidRPr="00F05168">
        <w:rPr>
          <w:rFonts w:ascii="Arial" w:hAnsi="Arial" w:cs="Arial"/>
          <w:sz w:val="24"/>
          <w:szCs w:val="24"/>
        </w:rPr>
        <w:t xml:space="preserve"> pharmac</w:t>
      </w:r>
      <w:r w:rsidR="009B2306" w:rsidRPr="00F05168">
        <w:rPr>
          <w:rFonts w:ascii="Arial" w:hAnsi="Arial" w:cs="Arial"/>
          <w:sz w:val="24"/>
          <w:szCs w:val="24"/>
        </w:rPr>
        <w:t>ies</w:t>
      </w:r>
      <w:r w:rsidR="005C6B8F" w:rsidRPr="00F05168">
        <w:rPr>
          <w:rFonts w:ascii="Arial" w:hAnsi="Arial" w:cs="Arial"/>
          <w:sz w:val="24"/>
          <w:szCs w:val="24"/>
        </w:rPr>
        <w:t xml:space="preserve"> provided a total of </w:t>
      </w:r>
      <w:r w:rsidRPr="00F05168">
        <w:rPr>
          <w:rFonts w:ascii="Arial" w:hAnsi="Arial" w:cs="Arial"/>
          <w:sz w:val="24"/>
          <w:szCs w:val="24"/>
        </w:rPr>
        <w:t>146</w:t>
      </w:r>
      <w:r w:rsidR="005C6B8F" w:rsidRPr="00F05168">
        <w:rPr>
          <w:rFonts w:ascii="Arial" w:hAnsi="Arial" w:cs="Arial"/>
          <w:sz w:val="24"/>
          <w:szCs w:val="24"/>
        </w:rPr>
        <w:t xml:space="preserve"> smoking cessation level 3 consultations</w:t>
      </w:r>
      <w:r w:rsidRPr="00F05168">
        <w:rPr>
          <w:rFonts w:ascii="Arial" w:hAnsi="Arial" w:cs="Arial"/>
          <w:sz w:val="24"/>
          <w:szCs w:val="24"/>
        </w:rPr>
        <w:t xml:space="preserve">, with a range of </w:t>
      </w:r>
      <w:r w:rsidR="00DE76BA">
        <w:rPr>
          <w:rFonts w:ascii="Arial" w:hAnsi="Arial" w:cs="Arial"/>
          <w:sz w:val="24"/>
          <w:szCs w:val="24"/>
        </w:rPr>
        <w:t>21</w:t>
      </w:r>
      <w:r w:rsidR="009B2306" w:rsidRPr="00F05168">
        <w:rPr>
          <w:rFonts w:ascii="Arial" w:hAnsi="Arial" w:cs="Arial"/>
          <w:sz w:val="24"/>
          <w:szCs w:val="24"/>
        </w:rPr>
        <w:t xml:space="preserve"> to </w:t>
      </w:r>
      <w:r w:rsidR="00DE76BA">
        <w:rPr>
          <w:rFonts w:ascii="Arial" w:hAnsi="Arial" w:cs="Arial"/>
          <w:sz w:val="24"/>
          <w:szCs w:val="24"/>
        </w:rPr>
        <w:t>54</w:t>
      </w:r>
      <w:r w:rsidR="009B2306" w:rsidRPr="00F05168">
        <w:rPr>
          <w:rFonts w:ascii="Arial" w:hAnsi="Arial" w:cs="Arial"/>
          <w:sz w:val="24"/>
          <w:szCs w:val="24"/>
        </w:rPr>
        <w:t xml:space="preserve"> consultations</w:t>
      </w:r>
      <w:r w:rsidR="005C6B8F" w:rsidRPr="00F05168">
        <w:rPr>
          <w:rFonts w:ascii="Arial" w:hAnsi="Arial" w:cs="Arial"/>
          <w:sz w:val="24"/>
          <w:szCs w:val="24"/>
        </w:rPr>
        <w:t>.</w:t>
      </w:r>
    </w:p>
    <w:p w14:paraId="7CB7DF38" w14:textId="32DF5E0B" w:rsidR="005C6B8F" w:rsidRPr="00F05168" w:rsidRDefault="009B2306" w:rsidP="00DC54F7">
      <w:pPr>
        <w:pStyle w:val="ListParagraph"/>
        <w:numPr>
          <w:ilvl w:val="0"/>
          <w:numId w:val="86"/>
        </w:numPr>
        <w:spacing w:after="0" w:line="240" w:lineRule="auto"/>
        <w:jc w:val="both"/>
        <w:rPr>
          <w:rFonts w:ascii="Arial" w:hAnsi="Arial" w:cs="Arial"/>
          <w:sz w:val="24"/>
          <w:szCs w:val="24"/>
        </w:rPr>
      </w:pPr>
      <w:r w:rsidRPr="00F05168">
        <w:rPr>
          <w:rFonts w:ascii="Arial" w:hAnsi="Arial" w:cs="Arial"/>
          <w:sz w:val="24"/>
          <w:szCs w:val="24"/>
        </w:rPr>
        <w:t>1</w:t>
      </w:r>
      <w:r w:rsidR="000E7107" w:rsidRPr="00F05168">
        <w:rPr>
          <w:rFonts w:ascii="Arial" w:hAnsi="Arial" w:cs="Arial"/>
          <w:sz w:val="24"/>
          <w:szCs w:val="24"/>
        </w:rPr>
        <w:t>2</w:t>
      </w:r>
      <w:r w:rsidR="005C6B8F" w:rsidRPr="00F05168">
        <w:rPr>
          <w:rFonts w:ascii="Arial" w:hAnsi="Arial" w:cs="Arial"/>
          <w:sz w:val="24"/>
          <w:szCs w:val="24"/>
        </w:rPr>
        <w:t xml:space="preserve"> pharmacies provided a total of </w:t>
      </w:r>
      <w:r w:rsidRPr="00F05168">
        <w:rPr>
          <w:rFonts w:ascii="Arial" w:hAnsi="Arial" w:cs="Arial"/>
          <w:sz w:val="24"/>
          <w:szCs w:val="24"/>
        </w:rPr>
        <w:t>892</w:t>
      </w:r>
      <w:r w:rsidR="005C6B8F" w:rsidRPr="00F05168">
        <w:rPr>
          <w:rFonts w:ascii="Arial" w:hAnsi="Arial" w:cs="Arial"/>
          <w:sz w:val="24"/>
          <w:szCs w:val="24"/>
        </w:rPr>
        <w:t xml:space="preserve"> flu vaccinations, with a range of </w:t>
      </w:r>
      <w:r w:rsidR="000E7107" w:rsidRPr="00F05168">
        <w:rPr>
          <w:rFonts w:ascii="Arial" w:hAnsi="Arial" w:cs="Arial"/>
          <w:sz w:val="24"/>
          <w:szCs w:val="24"/>
        </w:rPr>
        <w:t>one</w:t>
      </w:r>
      <w:r w:rsidR="005C6B8F" w:rsidRPr="00F05168">
        <w:rPr>
          <w:rFonts w:ascii="Arial" w:hAnsi="Arial" w:cs="Arial"/>
          <w:sz w:val="24"/>
          <w:szCs w:val="24"/>
        </w:rPr>
        <w:t xml:space="preserve"> to </w:t>
      </w:r>
      <w:r w:rsidR="000E7107" w:rsidRPr="00F05168">
        <w:rPr>
          <w:rFonts w:ascii="Arial" w:hAnsi="Arial" w:cs="Arial"/>
          <w:sz w:val="24"/>
          <w:szCs w:val="24"/>
        </w:rPr>
        <w:t>272</w:t>
      </w:r>
      <w:r w:rsidR="005C6B8F" w:rsidRPr="00F05168">
        <w:rPr>
          <w:rFonts w:ascii="Arial" w:hAnsi="Arial" w:cs="Arial"/>
          <w:sz w:val="24"/>
          <w:szCs w:val="24"/>
        </w:rPr>
        <w:t xml:space="preserve"> vaccinations.</w:t>
      </w:r>
    </w:p>
    <w:p w14:paraId="34FB6872" w14:textId="1769AF41" w:rsidR="005C6B8F" w:rsidRPr="00F05168" w:rsidRDefault="000E7107" w:rsidP="00DC54F7">
      <w:pPr>
        <w:pStyle w:val="ListParagraph"/>
        <w:numPr>
          <w:ilvl w:val="0"/>
          <w:numId w:val="86"/>
        </w:numPr>
        <w:spacing w:after="0" w:line="240" w:lineRule="auto"/>
        <w:jc w:val="both"/>
        <w:rPr>
          <w:rFonts w:ascii="Arial" w:hAnsi="Arial" w:cs="Arial"/>
          <w:sz w:val="24"/>
          <w:szCs w:val="24"/>
        </w:rPr>
      </w:pPr>
      <w:r w:rsidRPr="00F05168">
        <w:rPr>
          <w:rFonts w:ascii="Arial" w:hAnsi="Arial" w:cs="Arial"/>
          <w:sz w:val="24"/>
          <w:szCs w:val="24"/>
        </w:rPr>
        <w:t>13</w:t>
      </w:r>
      <w:r w:rsidR="005C6B8F" w:rsidRPr="00F05168">
        <w:rPr>
          <w:rFonts w:ascii="Arial" w:hAnsi="Arial" w:cs="Arial"/>
          <w:sz w:val="24"/>
          <w:szCs w:val="24"/>
        </w:rPr>
        <w:t xml:space="preserve"> pharmacies provided a total of </w:t>
      </w:r>
      <w:r w:rsidRPr="00F05168">
        <w:rPr>
          <w:rFonts w:ascii="Arial" w:hAnsi="Arial" w:cs="Arial"/>
          <w:sz w:val="24"/>
          <w:szCs w:val="24"/>
        </w:rPr>
        <w:t>1194</w:t>
      </w:r>
      <w:r w:rsidR="005C6B8F" w:rsidRPr="00F05168">
        <w:rPr>
          <w:rFonts w:ascii="Arial" w:hAnsi="Arial" w:cs="Arial"/>
          <w:sz w:val="24"/>
          <w:szCs w:val="24"/>
        </w:rPr>
        <w:t xml:space="preserve"> CAS consultations, with a range of </w:t>
      </w:r>
      <w:r w:rsidRPr="00F05168">
        <w:rPr>
          <w:rFonts w:ascii="Arial" w:hAnsi="Arial" w:cs="Arial"/>
          <w:sz w:val="24"/>
          <w:szCs w:val="24"/>
        </w:rPr>
        <w:t>24</w:t>
      </w:r>
      <w:r w:rsidR="005C6B8F" w:rsidRPr="00F05168">
        <w:rPr>
          <w:rFonts w:ascii="Arial" w:hAnsi="Arial" w:cs="Arial"/>
          <w:sz w:val="24"/>
          <w:szCs w:val="24"/>
        </w:rPr>
        <w:t xml:space="preserve"> to </w:t>
      </w:r>
      <w:r w:rsidR="009B2306" w:rsidRPr="00F05168">
        <w:rPr>
          <w:rFonts w:ascii="Arial" w:hAnsi="Arial" w:cs="Arial"/>
          <w:sz w:val="24"/>
          <w:szCs w:val="24"/>
        </w:rPr>
        <w:t>32</w:t>
      </w:r>
      <w:r w:rsidRPr="00F05168">
        <w:rPr>
          <w:rFonts w:ascii="Arial" w:hAnsi="Arial" w:cs="Arial"/>
          <w:sz w:val="24"/>
          <w:szCs w:val="24"/>
        </w:rPr>
        <w:t>5</w:t>
      </w:r>
      <w:r w:rsidR="005C6B8F" w:rsidRPr="00F05168">
        <w:rPr>
          <w:rFonts w:ascii="Arial" w:hAnsi="Arial" w:cs="Arial"/>
          <w:sz w:val="24"/>
          <w:szCs w:val="24"/>
        </w:rPr>
        <w:t xml:space="preserve"> consultations.</w:t>
      </w:r>
    </w:p>
    <w:p w14:paraId="2BE2B60E" w14:textId="023B2A2A" w:rsidR="005C6B8F" w:rsidRPr="00F05168" w:rsidRDefault="005C6B8F" w:rsidP="00DC54F7">
      <w:pPr>
        <w:pStyle w:val="ListParagraph"/>
        <w:numPr>
          <w:ilvl w:val="0"/>
          <w:numId w:val="86"/>
        </w:numPr>
        <w:spacing w:after="0" w:line="240" w:lineRule="auto"/>
        <w:jc w:val="both"/>
        <w:rPr>
          <w:rFonts w:ascii="Arial" w:hAnsi="Arial" w:cs="Arial"/>
          <w:sz w:val="24"/>
          <w:szCs w:val="24"/>
          <w:lang w:val="en-US"/>
        </w:rPr>
      </w:pPr>
      <w:r w:rsidRPr="00F05168">
        <w:rPr>
          <w:rFonts w:ascii="Arial" w:hAnsi="Arial" w:cs="Arial"/>
          <w:sz w:val="24"/>
          <w:szCs w:val="24"/>
        </w:rPr>
        <w:t>T</w:t>
      </w:r>
      <w:r w:rsidR="000E7107" w:rsidRPr="00F05168">
        <w:rPr>
          <w:rFonts w:ascii="Arial" w:hAnsi="Arial" w:cs="Arial"/>
          <w:sz w:val="24"/>
          <w:szCs w:val="24"/>
        </w:rPr>
        <w:t>wo</w:t>
      </w:r>
      <w:r w:rsidRPr="00F05168">
        <w:rPr>
          <w:rFonts w:ascii="Arial" w:hAnsi="Arial" w:cs="Arial"/>
          <w:sz w:val="24"/>
          <w:szCs w:val="24"/>
        </w:rPr>
        <w:t xml:space="preserve"> pharmacies provided a total of </w:t>
      </w:r>
      <w:r w:rsidR="004E215E" w:rsidRPr="00F05168">
        <w:rPr>
          <w:rFonts w:ascii="Arial" w:hAnsi="Arial" w:cs="Arial"/>
          <w:sz w:val="24"/>
          <w:szCs w:val="24"/>
        </w:rPr>
        <w:t>47</w:t>
      </w:r>
      <w:r w:rsidRPr="00F05168">
        <w:rPr>
          <w:rFonts w:ascii="Arial" w:hAnsi="Arial" w:cs="Arial"/>
          <w:sz w:val="24"/>
          <w:szCs w:val="24"/>
        </w:rPr>
        <w:t xml:space="preserve"> EMS consultations, with a range of </w:t>
      </w:r>
      <w:r w:rsidR="004E215E" w:rsidRPr="00F05168">
        <w:rPr>
          <w:rFonts w:ascii="Arial" w:hAnsi="Arial" w:cs="Arial"/>
          <w:sz w:val="24"/>
          <w:szCs w:val="24"/>
        </w:rPr>
        <w:t>15</w:t>
      </w:r>
      <w:r w:rsidRPr="00F05168">
        <w:rPr>
          <w:rFonts w:ascii="Arial" w:hAnsi="Arial" w:cs="Arial"/>
          <w:sz w:val="24"/>
          <w:szCs w:val="24"/>
        </w:rPr>
        <w:t xml:space="preserve"> to </w:t>
      </w:r>
      <w:r w:rsidR="004E215E" w:rsidRPr="00F05168">
        <w:rPr>
          <w:rFonts w:ascii="Arial" w:hAnsi="Arial" w:cs="Arial"/>
          <w:sz w:val="24"/>
          <w:szCs w:val="24"/>
        </w:rPr>
        <w:t>32</w:t>
      </w:r>
      <w:r w:rsidRPr="00F05168">
        <w:rPr>
          <w:rFonts w:ascii="Arial" w:hAnsi="Arial" w:cs="Arial"/>
          <w:sz w:val="24"/>
          <w:szCs w:val="24"/>
        </w:rPr>
        <w:t xml:space="preserve"> consultations.</w:t>
      </w:r>
    </w:p>
    <w:p w14:paraId="6698C8EE" w14:textId="77777777" w:rsidR="0025153E" w:rsidRDefault="0025153E" w:rsidP="00DC54F7">
      <w:pPr>
        <w:spacing w:after="0" w:line="240" w:lineRule="auto"/>
        <w:jc w:val="both"/>
        <w:rPr>
          <w:rFonts w:ascii="Arial" w:hAnsi="Arial" w:cs="Arial"/>
        </w:rPr>
      </w:pPr>
    </w:p>
    <w:p w14:paraId="0E6149C0" w14:textId="107809EA" w:rsidR="0025153E" w:rsidRPr="00455D94" w:rsidRDefault="0025153E" w:rsidP="00DC54F7">
      <w:pPr>
        <w:spacing w:after="0" w:line="240" w:lineRule="auto"/>
        <w:jc w:val="both"/>
        <w:rPr>
          <w:rFonts w:ascii="Arial" w:hAnsi="Arial" w:cs="Arial"/>
          <w:sz w:val="24"/>
          <w:szCs w:val="24"/>
        </w:rPr>
      </w:pPr>
      <w:r w:rsidRPr="00455D94">
        <w:rPr>
          <w:rFonts w:ascii="Arial" w:hAnsi="Arial" w:cs="Arial"/>
          <w:sz w:val="24"/>
          <w:szCs w:val="24"/>
        </w:rPr>
        <w:t>Other enhanced services included:</w:t>
      </w:r>
    </w:p>
    <w:p w14:paraId="68211F6F" w14:textId="79D38785" w:rsidR="008D44A6" w:rsidRPr="00455D94" w:rsidRDefault="008D44A6" w:rsidP="00DC54F7">
      <w:pPr>
        <w:pStyle w:val="ListParagraph"/>
        <w:numPr>
          <w:ilvl w:val="0"/>
          <w:numId w:val="86"/>
        </w:numPr>
        <w:spacing w:after="0" w:line="240" w:lineRule="auto"/>
        <w:jc w:val="both"/>
        <w:rPr>
          <w:rFonts w:ascii="Arial" w:hAnsi="Arial" w:cs="Arial"/>
          <w:sz w:val="24"/>
          <w:szCs w:val="24"/>
        </w:rPr>
      </w:pPr>
      <w:r w:rsidRPr="00455D94">
        <w:rPr>
          <w:rFonts w:ascii="Arial" w:hAnsi="Arial" w:cs="Arial"/>
          <w:sz w:val="24"/>
          <w:szCs w:val="24"/>
        </w:rPr>
        <w:t xml:space="preserve">Eight pharmacies provided the </w:t>
      </w:r>
      <w:r w:rsidR="00071666">
        <w:rPr>
          <w:rFonts w:ascii="Arial" w:hAnsi="Arial" w:cs="Arial"/>
          <w:sz w:val="24"/>
          <w:szCs w:val="24"/>
        </w:rPr>
        <w:t>S</w:t>
      </w:r>
      <w:r w:rsidRPr="00455D94">
        <w:rPr>
          <w:rFonts w:ascii="Arial" w:hAnsi="Arial" w:cs="Arial"/>
          <w:sz w:val="24"/>
          <w:szCs w:val="24"/>
        </w:rPr>
        <w:t xml:space="preserve">upervised </w:t>
      </w:r>
      <w:r w:rsidR="00071666">
        <w:rPr>
          <w:rFonts w:ascii="Arial" w:hAnsi="Arial" w:cs="Arial"/>
          <w:sz w:val="24"/>
          <w:szCs w:val="24"/>
        </w:rPr>
        <w:t>A</w:t>
      </w:r>
      <w:r w:rsidRPr="00455D94">
        <w:rPr>
          <w:rFonts w:ascii="Arial" w:hAnsi="Arial" w:cs="Arial"/>
          <w:sz w:val="24"/>
          <w:szCs w:val="24"/>
        </w:rPr>
        <w:t xml:space="preserve">dministration </w:t>
      </w:r>
      <w:r w:rsidR="00071666">
        <w:rPr>
          <w:rFonts w:ascii="Arial" w:hAnsi="Arial" w:cs="Arial"/>
          <w:sz w:val="24"/>
          <w:szCs w:val="24"/>
        </w:rPr>
        <w:t>of Medicines Enhanced S</w:t>
      </w:r>
      <w:r w:rsidRPr="00455D94">
        <w:rPr>
          <w:rFonts w:ascii="Arial" w:hAnsi="Arial" w:cs="Arial"/>
          <w:sz w:val="24"/>
          <w:szCs w:val="24"/>
        </w:rPr>
        <w:t>ervice.</w:t>
      </w:r>
    </w:p>
    <w:p w14:paraId="455704D2" w14:textId="0ED9CDCA" w:rsidR="0025153E" w:rsidRPr="00455D94" w:rsidRDefault="00CD7A4D" w:rsidP="00DC54F7">
      <w:pPr>
        <w:pStyle w:val="ListParagraph"/>
        <w:numPr>
          <w:ilvl w:val="0"/>
          <w:numId w:val="154"/>
        </w:numPr>
        <w:spacing w:after="0" w:line="240" w:lineRule="auto"/>
        <w:jc w:val="both"/>
        <w:rPr>
          <w:rFonts w:ascii="Arial" w:hAnsi="Arial" w:cs="Arial"/>
          <w:sz w:val="24"/>
          <w:szCs w:val="24"/>
        </w:rPr>
      </w:pPr>
      <w:r w:rsidRPr="00455D94">
        <w:rPr>
          <w:rFonts w:ascii="Arial" w:hAnsi="Arial" w:cs="Arial"/>
          <w:sz w:val="24"/>
          <w:szCs w:val="24"/>
        </w:rPr>
        <w:t>Two</w:t>
      </w:r>
      <w:r w:rsidR="0025153E" w:rsidRPr="00455D94">
        <w:rPr>
          <w:rFonts w:ascii="Arial" w:hAnsi="Arial" w:cs="Arial"/>
          <w:sz w:val="24"/>
          <w:szCs w:val="24"/>
        </w:rPr>
        <w:t xml:space="preserve"> pharma</w:t>
      </w:r>
      <w:r w:rsidRPr="00455D94">
        <w:rPr>
          <w:rFonts w:ascii="Arial" w:hAnsi="Arial" w:cs="Arial"/>
          <w:sz w:val="24"/>
          <w:szCs w:val="24"/>
        </w:rPr>
        <w:t>cies</w:t>
      </w:r>
      <w:r w:rsidR="0025153E" w:rsidRPr="00455D94">
        <w:rPr>
          <w:rFonts w:ascii="Arial" w:hAnsi="Arial" w:cs="Arial"/>
          <w:sz w:val="24"/>
          <w:szCs w:val="24"/>
        </w:rPr>
        <w:t xml:space="preserve"> provided the </w:t>
      </w:r>
      <w:r w:rsidR="00D65C93" w:rsidRPr="00455D94">
        <w:rPr>
          <w:rFonts w:ascii="Arial" w:hAnsi="Arial" w:cs="Arial"/>
          <w:sz w:val="24"/>
          <w:szCs w:val="24"/>
        </w:rPr>
        <w:t xml:space="preserve">Needle Syringe Provision </w:t>
      </w:r>
      <w:r w:rsidR="00455D94">
        <w:rPr>
          <w:rFonts w:ascii="Arial" w:hAnsi="Arial" w:cs="Arial"/>
          <w:sz w:val="24"/>
          <w:szCs w:val="24"/>
        </w:rPr>
        <w:t>Enhanced S</w:t>
      </w:r>
      <w:r w:rsidR="0025153E" w:rsidRPr="00455D94">
        <w:rPr>
          <w:rFonts w:ascii="Arial" w:hAnsi="Arial" w:cs="Arial"/>
          <w:sz w:val="24"/>
          <w:szCs w:val="24"/>
        </w:rPr>
        <w:t>ervice</w:t>
      </w:r>
      <w:r w:rsidR="00455D94">
        <w:rPr>
          <w:rFonts w:ascii="Arial" w:hAnsi="Arial" w:cs="Arial"/>
          <w:sz w:val="24"/>
          <w:szCs w:val="24"/>
        </w:rPr>
        <w:t>.</w:t>
      </w:r>
    </w:p>
    <w:p w14:paraId="3660BD5D" w14:textId="24C330CE" w:rsidR="0025153E" w:rsidRPr="00455D94" w:rsidRDefault="00CD7A4D" w:rsidP="00DC54F7">
      <w:pPr>
        <w:pStyle w:val="ListParagraph"/>
        <w:numPr>
          <w:ilvl w:val="0"/>
          <w:numId w:val="154"/>
        </w:numPr>
        <w:spacing w:after="0" w:line="240" w:lineRule="auto"/>
        <w:jc w:val="both"/>
        <w:rPr>
          <w:rFonts w:ascii="Arial" w:hAnsi="Arial" w:cs="Arial"/>
          <w:sz w:val="24"/>
          <w:szCs w:val="24"/>
        </w:rPr>
      </w:pPr>
      <w:r w:rsidRPr="00455D94">
        <w:rPr>
          <w:rFonts w:ascii="Arial" w:hAnsi="Arial" w:cs="Arial"/>
          <w:sz w:val="24"/>
          <w:szCs w:val="24"/>
        </w:rPr>
        <w:t>Five</w:t>
      </w:r>
      <w:r w:rsidR="0025153E" w:rsidRPr="00455D94">
        <w:rPr>
          <w:rFonts w:ascii="Arial" w:hAnsi="Arial" w:cs="Arial"/>
          <w:sz w:val="24"/>
          <w:szCs w:val="24"/>
        </w:rPr>
        <w:t xml:space="preserve"> pharmacies provided the </w:t>
      </w:r>
      <w:r w:rsidR="00455D94">
        <w:rPr>
          <w:rFonts w:ascii="Arial" w:hAnsi="Arial" w:cs="Arial"/>
          <w:sz w:val="24"/>
          <w:szCs w:val="24"/>
        </w:rPr>
        <w:t>P</w:t>
      </w:r>
      <w:r w:rsidR="0025153E" w:rsidRPr="00455D94">
        <w:rPr>
          <w:rFonts w:ascii="Arial" w:hAnsi="Arial" w:cs="Arial"/>
          <w:sz w:val="24"/>
          <w:szCs w:val="24"/>
        </w:rPr>
        <w:t xml:space="preserve">alliative </w:t>
      </w:r>
      <w:r w:rsidR="00455D94">
        <w:rPr>
          <w:rFonts w:ascii="Arial" w:hAnsi="Arial" w:cs="Arial"/>
          <w:sz w:val="24"/>
          <w:szCs w:val="24"/>
        </w:rPr>
        <w:t>C</w:t>
      </w:r>
      <w:r w:rsidR="0025153E" w:rsidRPr="00455D94">
        <w:rPr>
          <w:rFonts w:ascii="Arial" w:hAnsi="Arial" w:cs="Arial"/>
          <w:sz w:val="24"/>
          <w:szCs w:val="24"/>
        </w:rPr>
        <w:t xml:space="preserve">are </w:t>
      </w:r>
      <w:r w:rsidR="00455D94">
        <w:rPr>
          <w:rFonts w:ascii="Arial" w:hAnsi="Arial" w:cs="Arial"/>
          <w:sz w:val="24"/>
          <w:szCs w:val="24"/>
        </w:rPr>
        <w:t>Enhanced S</w:t>
      </w:r>
      <w:r w:rsidR="0025153E" w:rsidRPr="00455D94">
        <w:rPr>
          <w:rFonts w:ascii="Arial" w:hAnsi="Arial" w:cs="Arial"/>
          <w:sz w:val="24"/>
          <w:szCs w:val="24"/>
        </w:rPr>
        <w:t>ervice</w:t>
      </w:r>
      <w:r w:rsidR="00455D94">
        <w:rPr>
          <w:rFonts w:ascii="Arial" w:hAnsi="Arial" w:cs="Arial"/>
          <w:sz w:val="24"/>
          <w:szCs w:val="24"/>
        </w:rPr>
        <w:t>.</w:t>
      </w:r>
    </w:p>
    <w:p w14:paraId="0A79CFFB" w14:textId="55CDBA0F" w:rsidR="0063382E" w:rsidRDefault="0063382E" w:rsidP="00DC54F7">
      <w:pPr>
        <w:spacing w:after="0" w:line="240" w:lineRule="auto"/>
        <w:jc w:val="both"/>
        <w:rPr>
          <w:rFonts w:ascii="Arial" w:hAnsi="Arial" w:cs="Arial"/>
        </w:rPr>
      </w:pPr>
    </w:p>
    <w:p w14:paraId="5067B494" w14:textId="35877785" w:rsidR="005C6B8F" w:rsidRDefault="005C6B8F" w:rsidP="00DC54F7">
      <w:pPr>
        <w:spacing w:after="0" w:line="240" w:lineRule="auto"/>
        <w:jc w:val="both"/>
        <w:rPr>
          <w:rFonts w:ascii="Arial" w:hAnsi="Arial" w:cs="Arial"/>
        </w:rPr>
      </w:pPr>
    </w:p>
    <w:p w14:paraId="7E2C8767" w14:textId="0AF5AAB9" w:rsidR="0063382E" w:rsidRPr="00A10850" w:rsidRDefault="00B82E86" w:rsidP="00DC54F7">
      <w:pPr>
        <w:spacing w:after="0" w:line="240" w:lineRule="auto"/>
        <w:jc w:val="both"/>
        <w:rPr>
          <w:rFonts w:ascii="Arial" w:hAnsi="Arial" w:cs="Arial"/>
          <w:b/>
          <w:sz w:val="26"/>
          <w:szCs w:val="26"/>
          <w:lang w:val="en-US"/>
        </w:rPr>
      </w:pPr>
      <w:r>
        <w:rPr>
          <w:rFonts w:ascii="Arial" w:hAnsi="Arial" w:cs="Arial"/>
          <w:b/>
          <w:sz w:val="26"/>
          <w:szCs w:val="26"/>
          <w:lang w:val="en-US"/>
        </w:rPr>
        <w:t>14</w:t>
      </w:r>
      <w:r w:rsidR="0063382E" w:rsidRPr="00A10850">
        <w:rPr>
          <w:rFonts w:ascii="Arial" w:hAnsi="Arial" w:cs="Arial"/>
          <w:b/>
          <w:sz w:val="26"/>
          <w:szCs w:val="26"/>
          <w:lang w:val="en-US"/>
        </w:rPr>
        <w:t xml:space="preserve">.3 </w:t>
      </w:r>
      <w:r w:rsidR="0063382E" w:rsidRPr="00D10889">
        <w:rPr>
          <w:rFonts w:ascii="Arial" w:hAnsi="Arial" w:cs="Arial"/>
          <w:b/>
          <w:sz w:val="24"/>
          <w:szCs w:val="24"/>
          <w:lang w:val="en-US"/>
        </w:rPr>
        <w:t xml:space="preserve">Current provision of pharmaceutical services outside the </w:t>
      </w:r>
      <w:r w:rsidR="00AC15ED" w:rsidRPr="00D10889">
        <w:rPr>
          <w:rFonts w:ascii="Arial" w:hAnsi="Arial" w:cs="Arial"/>
          <w:b/>
          <w:sz w:val="24"/>
          <w:szCs w:val="24"/>
          <w:lang w:val="en-US"/>
        </w:rPr>
        <w:t>cluster</w:t>
      </w:r>
    </w:p>
    <w:p w14:paraId="6703C9FB" w14:textId="17689E7E" w:rsidR="00D70C3A" w:rsidRDefault="00D70C3A" w:rsidP="00DC54F7">
      <w:pPr>
        <w:spacing w:after="0" w:line="240" w:lineRule="auto"/>
        <w:jc w:val="both"/>
        <w:rPr>
          <w:rFonts w:ascii="Arial" w:hAnsi="Arial" w:cs="Arial"/>
          <w:lang w:val="en-US"/>
        </w:rPr>
      </w:pPr>
    </w:p>
    <w:p w14:paraId="434AF756" w14:textId="77777777" w:rsidR="00D70C3A" w:rsidRPr="00071666" w:rsidRDefault="00D70C3A" w:rsidP="00DC54F7">
      <w:pPr>
        <w:spacing w:after="0" w:line="240" w:lineRule="auto"/>
        <w:jc w:val="both"/>
        <w:rPr>
          <w:rFonts w:ascii="Arial" w:hAnsi="Arial" w:cs="Arial"/>
          <w:sz w:val="24"/>
          <w:szCs w:val="24"/>
          <w:lang w:val="en-US"/>
        </w:rPr>
      </w:pPr>
      <w:r w:rsidRPr="00071666">
        <w:rPr>
          <w:rFonts w:ascii="Arial" w:hAnsi="Arial" w:cs="Arial"/>
          <w:sz w:val="24"/>
          <w:szCs w:val="24"/>
          <w:lang w:val="en-US"/>
        </w:rPr>
        <w:t>Some residents choose to access contractors outside both the cluster and the health board’s area in order to access services:</w:t>
      </w:r>
    </w:p>
    <w:p w14:paraId="2DFF6786" w14:textId="77777777" w:rsidR="00D70C3A" w:rsidRPr="00071666" w:rsidRDefault="00D70C3A" w:rsidP="00DC54F7">
      <w:pPr>
        <w:spacing w:after="0" w:line="240" w:lineRule="auto"/>
        <w:jc w:val="both"/>
        <w:rPr>
          <w:rFonts w:ascii="Arial" w:hAnsi="Arial" w:cs="Arial"/>
          <w:sz w:val="24"/>
          <w:szCs w:val="24"/>
          <w:lang w:val="en-US"/>
        </w:rPr>
      </w:pPr>
    </w:p>
    <w:p w14:paraId="3A334BE2" w14:textId="55DB55C3" w:rsidR="00D70C3A" w:rsidRPr="00071666" w:rsidRDefault="00573DCE" w:rsidP="00DC54F7">
      <w:pPr>
        <w:numPr>
          <w:ilvl w:val="0"/>
          <w:numId w:val="49"/>
        </w:numPr>
        <w:spacing w:after="0" w:line="240" w:lineRule="auto"/>
        <w:jc w:val="both"/>
        <w:rPr>
          <w:rFonts w:ascii="Arial" w:hAnsi="Arial" w:cs="Arial"/>
          <w:sz w:val="24"/>
          <w:szCs w:val="24"/>
          <w:lang w:val="en-US"/>
        </w:rPr>
      </w:pPr>
      <w:r w:rsidRPr="00071666">
        <w:rPr>
          <w:rFonts w:ascii="Arial" w:hAnsi="Arial" w:cs="Arial"/>
          <w:sz w:val="24"/>
          <w:szCs w:val="24"/>
          <w:lang w:val="en-US"/>
        </w:rPr>
        <w:t>Offered by dispensing appliance contractors.</w:t>
      </w:r>
    </w:p>
    <w:p w14:paraId="5CF2EC86" w14:textId="77777777" w:rsidR="00D70C3A" w:rsidRPr="00071666" w:rsidRDefault="00D70C3A" w:rsidP="00DC54F7">
      <w:pPr>
        <w:numPr>
          <w:ilvl w:val="0"/>
          <w:numId w:val="49"/>
        </w:numPr>
        <w:spacing w:after="0" w:line="240" w:lineRule="auto"/>
        <w:jc w:val="both"/>
        <w:rPr>
          <w:rFonts w:ascii="Arial" w:hAnsi="Arial" w:cs="Arial"/>
          <w:sz w:val="24"/>
          <w:szCs w:val="24"/>
          <w:lang w:val="en-US"/>
        </w:rPr>
      </w:pPr>
      <w:r w:rsidRPr="00071666">
        <w:rPr>
          <w:rFonts w:ascii="Arial" w:hAnsi="Arial" w:cs="Arial"/>
          <w:sz w:val="24"/>
          <w:szCs w:val="24"/>
          <w:lang w:val="en-US"/>
        </w:rPr>
        <w:lastRenderedPageBreak/>
        <w:t>Which are located near to where they work, shop or visit for leisure or other purposes.</w:t>
      </w:r>
    </w:p>
    <w:p w14:paraId="6E68BF32" w14:textId="77777777" w:rsidR="00D70C3A" w:rsidRPr="00071666" w:rsidRDefault="00D70C3A" w:rsidP="00DC54F7">
      <w:pPr>
        <w:spacing w:after="0" w:line="240" w:lineRule="auto"/>
        <w:jc w:val="both"/>
        <w:rPr>
          <w:rFonts w:ascii="Arial" w:hAnsi="Arial" w:cs="Arial"/>
          <w:sz w:val="24"/>
          <w:szCs w:val="24"/>
          <w:lang w:val="en-US"/>
        </w:rPr>
      </w:pPr>
    </w:p>
    <w:p w14:paraId="437BDE4B" w14:textId="2539CCA2" w:rsidR="00D70C3A" w:rsidRPr="00071666" w:rsidRDefault="00D70C3A" w:rsidP="00DC54F7">
      <w:pPr>
        <w:shd w:val="clear" w:color="auto" w:fill="FFFFFF"/>
        <w:spacing w:after="0"/>
        <w:jc w:val="both"/>
        <w:rPr>
          <w:rFonts w:ascii="Arial" w:hAnsi="Arial" w:cs="Arial"/>
          <w:color w:val="000000" w:themeColor="text1"/>
          <w:sz w:val="24"/>
          <w:szCs w:val="24"/>
        </w:rPr>
      </w:pPr>
      <w:r w:rsidRPr="00071666">
        <w:rPr>
          <w:rFonts w:ascii="Arial" w:hAnsi="Arial" w:cs="Arial"/>
          <w:color w:val="000000" w:themeColor="text1"/>
          <w:sz w:val="24"/>
          <w:szCs w:val="24"/>
        </w:rPr>
        <w:t>Whilst the majority of prescriptions written by the GP practices in 2019 to 2020 were dispensed by the pharmacies in the cluster, around 1</w:t>
      </w:r>
      <w:r w:rsidR="002D2577" w:rsidRPr="00071666">
        <w:rPr>
          <w:rFonts w:ascii="Arial" w:hAnsi="Arial" w:cs="Arial"/>
          <w:color w:val="000000" w:themeColor="text1"/>
          <w:sz w:val="24"/>
          <w:szCs w:val="24"/>
        </w:rPr>
        <w:t>3</w:t>
      </w:r>
      <w:r w:rsidRPr="00071666">
        <w:rPr>
          <w:rFonts w:ascii="Arial" w:hAnsi="Arial" w:cs="Arial"/>
          <w:color w:val="000000" w:themeColor="text1"/>
          <w:sz w:val="24"/>
          <w:szCs w:val="24"/>
        </w:rPr>
        <w:t>.</w:t>
      </w:r>
      <w:r w:rsidR="002D2577" w:rsidRPr="00071666">
        <w:rPr>
          <w:rFonts w:ascii="Arial" w:hAnsi="Arial" w:cs="Arial"/>
          <w:color w:val="000000" w:themeColor="text1"/>
          <w:sz w:val="24"/>
          <w:szCs w:val="24"/>
        </w:rPr>
        <w:t>1</w:t>
      </w:r>
      <w:r w:rsidRPr="00071666">
        <w:rPr>
          <w:rFonts w:ascii="Arial" w:hAnsi="Arial" w:cs="Arial"/>
          <w:color w:val="000000" w:themeColor="text1"/>
          <w:sz w:val="24"/>
          <w:szCs w:val="24"/>
        </w:rPr>
        <w:t>% were dispensed outside the cluster, most notably:</w:t>
      </w:r>
    </w:p>
    <w:p w14:paraId="020BCA47" w14:textId="77777777" w:rsidR="00D70C3A" w:rsidRPr="00071666" w:rsidRDefault="00D70C3A" w:rsidP="00DC54F7">
      <w:pPr>
        <w:shd w:val="clear" w:color="auto" w:fill="FFFFFF"/>
        <w:spacing w:after="0"/>
        <w:jc w:val="both"/>
        <w:rPr>
          <w:rFonts w:ascii="Arial" w:hAnsi="Arial" w:cs="Arial"/>
          <w:color w:val="000000"/>
          <w:sz w:val="24"/>
          <w:szCs w:val="24"/>
        </w:rPr>
      </w:pPr>
    </w:p>
    <w:p w14:paraId="6D780DE7" w14:textId="7FFCB25C" w:rsidR="00D70C3A" w:rsidRPr="00071666" w:rsidRDefault="00160DAB"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071666">
        <w:rPr>
          <w:rFonts w:ascii="Arial" w:hAnsi="Arial" w:cs="Arial"/>
          <w:color w:val="000000" w:themeColor="text1"/>
          <w:sz w:val="24"/>
          <w:szCs w:val="24"/>
        </w:rPr>
        <w:t>0</w:t>
      </w:r>
      <w:r w:rsidR="00D70C3A" w:rsidRPr="00071666">
        <w:rPr>
          <w:rFonts w:ascii="Arial" w:hAnsi="Arial" w:cs="Arial"/>
          <w:color w:val="000000" w:themeColor="text1"/>
          <w:sz w:val="24"/>
          <w:szCs w:val="24"/>
        </w:rPr>
        <w:t>.</w:t>
      </w:r>
      <w:r w:rsidRPr="00071666">
        <w:rPr>
          <w:rFonts w:ascii="Arial" w:hAnsi="Arial" w:cs="Arial"/>
          <w:color w:val="000000" w:themeColor="text1"/>
          <w:sz w:val="24"/>
          <w:szCs w:val="24"/>
        </w:rPr>
        <w:t>5</w:t>
      </w:r>
      <w:r w:rsidR="00D70C3A" w:rsidRPr="00071666">
        <w:rPr>
          <w:rFonts w:ascii="Arial" w:hAnsi="Arial" w:cs="Arial"/>
          <w:color w:val="000000" w:themeColor="text1"/>
          <w:sz w:val="24"/>
          <w:szCs w:val="24"/>
        </w:rPr>
        <w:t xml:space="preserve">% by pharmacies in Cardiff South </w:t>
      </w:r>
      <w:r w:rsidRPr="00071666">
        <w:rPr>
          <w:rFonts w:ascii="Arial" w:hAnsi="Arial" w:cs="Arial"/>
          <w:color w:val="000000" w:themeColor="text1"/>
          <w:sz w:val="24"/>
          <w:szCs w:val="24"/>
        </w:rPr>
        <w:t>West</w:t>
      </w:r>
      <w:r w:rsidR="00D70C3A" w:rsidRPr="00071666">
        <w:rPr>
          <w:rFonts w:ascii="Arial" w:hAnsi="Arial" w:cs="Arial"/>
          <w:color w:val="000000" w:themeColor="text1"/>
          <w:sz w:val="24"/>
          <w:szCs w:val="24"/>
        </w:rPr>
        <w:t xml:space="preserve"> cluster</w:t>
      </w:r>
    </w:p>
    <w:p w14:paraId="1C537CC5" w14:textId="09A2F313" w:rsidR="00160DAB" w:rsidRPr="00071666" w:rsidRDefault="00160DAB"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071666">
        <w:rPr>
          <w:rFonts w:ascii="Arial" w:hAnsi="Arial" w:cs="Arial"/>
          <w:color w:val="000000" w:themeColor="text1"/>
          <w:sz w:val="24"/>
          <w:szCs w:val="24"/>
        </w:rPr>
        <w:t xml:space="preserve">2.1% by pharmacies in </w:t>
      </w:r>
      <w:r w:rsidR="003B663F" w:rsidRPr="00071666">
        <w:rPr>
          <w:rFonts w:ascii="Arial" w:hAnsi="Arial" w:cs="Arial"/>
          <w:color w:val="000000" w:themeColor="text1"/>
          <w:sz w:val="24"/>
          <w:szCs w:val="24"/>
        </w:rPr>
        <w:t>Cardiff City and South cluster</w:t>
      </w:r>
    </w:p>
    <w:p w14:paraId="31BA57B9" w14:textId="48BB5B6C" w:rsidR="00D70C3A" w:rsidRPr="00071666" w:rsidRDefault="00747823"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071666">
        <w:rPr>
          <w:rFonts w:ascii="Arial" w:hAnsi="Arial" w:cs="Arial"/>
          <w:color w:val="000000" w:themeColor="text1"/>
          <w:sz w:val="24"/>
          <w:szCs w:val="24"/>
        </w:rPr>
        <w:t>5</w:t>
      </w:r>
      <w:r w:rsidR="00D70C3A" w:rsidRPr="00071666">
        <w:rPr>
          <w:rFonts w:ascii="Arial" w:hAnsi="Arial" w:cs="Arial"/>
          <w:color w:val="000000" w:themeColor="text1"/>
          <w:sz w:val="24"/>
          <w:szCs w:val="24"/>
        </w:rPr>
        <w:t>.</w:t>
      </w:r>
      <w:r w:rsidRPr="00071666">
        <w:rPr>
          <w:rFonts w:ascii="Arial" w:hAnsi="Arial" w:cs="Arial"/>
          <w:color w:val="000000" w:themeColor="text1"/>
          <w:sz w:val="24"/>
          <w:szCs w:val="24"/>
        </w:rPr>
        <w:t>6</w:t>
      </w:r>
      <w:r w:rsidR="00D70C3A" w:rsidRPr="00071666">
        <w:rPr>
          <w:rFonts w:ascii="Arial" w:hAnsi="Arial" w:cs="Arial"/>
          <w:color w:val="000000" w:themeColor="text1"/>
          <w:sz w:val="24"/>
          <w:szCs w:val="24"/>
        </w:rPr>
        <w:t xml:space="preserve">% by pharmacies in </w:t>
      </w:r>
      <w:r w:rsidRPr="00071666">
        <w:rPr>
          <w:rFonts w:ascii="Arial" w:hAnsi="Arial" w:cs="Arial"/>
          <w:color w:val="000000" w:themeColor="text1"/>
          <w:sz w:val="24"/>
          <w:szCs w:val="24"/>
        </w:rPr>
        <w:t>Western Vale</w:t>
      </w:r>
      <w:r w:rsidR="00D70C3A" w:rsidRPr="00071666">
        <w:rPr>
          <w:rFonts w:ascii="Arial" w:hAnsi="Arial" w:cs="Arial"/>
          <w:color w:val="000000" w:themeColor="text1"/>
          <w:sz w:val="24"/>
          <w:szCs w:val="24"/>
        </w:rPr>
        <w:t xml:space="preserve"> cluster</w:t>
      </w:r>
    </w:p>
    <w:p w14:paraId="00CC0637" w14:textId="7C2035BE" w:rsidR="00D70C3A" w:rsidRPr="00071666" w:rsidRDefault="00747823"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071666">
        <w:rPr>
          <w:rFonts w:ascii="Arial" w:hAnsi="Arial" w:cs="Arial"/>
          <w:color w:val="000000" w:themeColor="text1"/>
          <w:sz w:val="24"/>
          <w:szCs w:val="24"/>
        </w:rPr>
        <w:t>3</w:t>
      </w:r>
      <w:r w:rsidR="00D70C3A" w:rsidRPr="00071666">
        <w:rPr>
          <w:rFonts w:ascii="Arial" w:hAnsi="Arial" w:cs="Arial"/>
          <w:color w:val="000000" w:themeColor="text1"/>
          <w:sz w:val="24"/>
          <w:szCs w:val="24"/>
        </w:rPr>
        <w:t>.</w:t>
      </w:r>
      <w:r w:rsidRPr="00071666">
        <w:rPr>
          <w:rFonts w:ascii="Arial" w:hAnsi="Arial" w:cs="Arial"/>
          <w:color w:val="000000" w:themeColor="text1"/>
          <w:sz w:val="24"/>
          <w:szCs w:val="24"/>
        </w:rPr>
        <w:t>3</w:t>
      </w:r>
      <w:r w:rsidR="00D70C3A" w:rsidRPr="00071666">
        <w:rPr>
          <w:rFonts w:ascii="Arial" w:hAnsi="Arial" w:cs="Arial"/>
          <w:color w:val="000000" w:themeColor="text1"/>
          <w:sz w:val="24"/>
          <w:szCs w:val="24"/>
        </w:rPr>
        <w:t xml:space="preserve">% by pharmacies in </w:t>
      </w:r>
      <w:r w:rsidRPr="00071666">
        <w:rPr>
          <w:rFonts w:ascii="Arial" w:hAnsi="Arial" w:cs="Arial"/>
          <w:color w:val="000000" w:themeColor="text1"/>
          <w:sz w:val="24"/>
          <w:szCs w:val="24"/>
        </w:rPr>
        <w:t xml:space="preserve">Eastern Vale </w:t>
      </w:r>
      <w:r w:rsidR="00D70C3A" w:rsidRPr="00071666">
        <w:rPr>
          <w:rFonts w:ascii="Arial" w:hAnsi="Arial" w:cs="Arial"/>
          <w:color w:val="000000" w:themeColor="text1"/>
          <w:sz w:val="24"/>
          <w:szCs w:val="24"/>
        </w:rPr>
        <w:t>cluster</w:t>
      </w:r>
    </w:p>
    <w:p w14:paraId="2E1712B8" w14:textId="600D4B87" w:rsidR="00D70C3A" w:rsidRPr="00071666" w:rsidRDefault="00E5779B"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071666">
        <w:rPr>
          <w:rFonts w:ascii="Arial" w:hAnsi="Arial" w:cs="Arial"/>
          <w:color w:val="000000" w:themeColor="text1"/>
          <w:sz w:val="24"/>
          <w:szCs w:val="24"/>
        </w:rPr>
        <w:t>0</w:t>
      </w:r>
      <w:r w:rsidR="00D70C3A" w:rsidRPr="00071666">
        <w:rPr>
          <w:rFonts w:ascii="Arial" w:hAnsi="Arial" w:cs="Arial"/>
          <w:color w:val="000000" w:themeColor="text1"/>
          <w:sz w:val="24"/>
          <w:szCs w:val="24"/>
        </w:rPr>
        <w:t>.</w:t>
      </w:r>
      <w:r w:rsidRPr="00071666">
        <w:rPr>
          <w:rFonts w:ascii="Arial" w:hAnsi="Arial" w:cs="Arial"/>
          <w:color w:val="000000" w:themeColor="text1"/>
          <w:sz w:val="24"/>
          <w:szCs w:val="24"/>
        </w:rPr>
        <w:t>5</w:t>
      </w:r>
      <w:r w:rsidR="00D70C3A" w:rsidRPr="00071666">
        <w:rPr>
          <w:rFonts w:ascii="Arial" w:hAnsi="Arial" w:cs="Arial"/>
          <w:color w:val="000000" w:themeColor="text1"/>
          <w:sz w:val="24"/>
          <w:szCs w:val="24"/>
        </w:rPr>
        <w:t>% in Aneurin Bevan University Health Board</w:t>
      </w:r>
    </w:p>
    <w:p w14:paraId="4635F32A" w14:textId="0F922FEC" w:rsidR="00D70C3A" w:rsidRPr="00071666" w:rsidRDefault="00D70C3A" w:rsidP="00DC54F7">
      <w:pPr>
        <w:pStyle w:val="ListParagraph"/>
        <w:numPr>
          <w:ilvl w:val="0"/>
          <w:numId w:val="143"/>
        </w:numPr>
        <w:spacing w:after="0" w:line="240" w:lineRule="auto"/>
        <w:jc w:val="both"/>
        <w:rPr>
          <w:rFonts w:ascii="Arial" w:eastAsia="Times New Roman" w:hAnsi="Arial" w:cs="Arial"/>
          <w:color w:val="000000"/>
          <w:sz w:val="24"/>
          <w:szCs w:val="24"/>
          <w:lang w:eastAsia="en-GB"/>
        </w:rPr>
      </w:pPr>
      <w:r w:rsidRPr="00071666">
        <w:rPr>
          <w:rFonts w:ascii="Arial" w:hAnsi="Arial" w:cs="Arial"/>
          <w:color w:val="000000" w:themeColor="text1"/>
          <w:sz w:val="24"/>
          <w:szCs w:val="24"/>
        </w:rPr>
        <w:t>0.</w:t>
      </w:r>
      <w:r w:rsidR="00E5779B" w:rsidRPr="00071666">
        <w:rPr>
          <w:rFonts w:ascii="Arial" w:hAnsi="Arial" w:cs="Arial"/>
          <w:color w:val="000000" w:themeColor="text1"/>
          <w:sz w:val="24"/>
          <w:szCs w:val="24"/>
        </w:rPr>
        <w:t>3</w:t>
      </w:r>
      <w:r w:rsidRPr="00071666">
        <w:rPr>
          <w:rFonts w:ascii="Arial" w:hAnsi="Arial" w:cs="Arial"/>
          <w:color w:val="000000" w:themeColor="text1"/>
          <w:sz w:val="24"/>
          <w:szCs w:val="24"/>
        </w:rPr>
        <w:t xml:space="preserve">% in </w:t>
      </w:r>
      <w:r w:rsidRPr="00071666">
        <w:rPr>
          <w:rFonts w:ascii="Arial" w:eastAsia="Times New Roman" w:hAnsi="Arial" w:cs="Arial"/>
          <w:color w:val="000000"/>
          <w:sz w:val="24"/>
          <w:szCs w:val="24"/>
          <w:lang w:eastAsia="en-GB"/>
        </w:rPr>
        <w:t>Cwm Taf Morgannwg University Health Board</w:t>
      </w:r>
    </w:p>
    <w:p w14:paraId="07AF3A9B" w14:textId="573FE9A1" w:rsidR="00D70C3A" w:rsidRPr="00071666" w:rsidRDefault="00D70C3A"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071666">
        <w:rPr>
          <w:rFonts w:ascii="Arial" w:hAnsi="Arial" w:cs="Arial"/>
          <w:color w:val="000000" w:themeColor="text1"/>
          <w:sz w:val="24"/>
          <w:szCs w:val="24"/>
        </w:rPr>
        <w:t>0.</w:t>
      </w:r>
      <w:r w:rsidR="00E5779B" w:rsidRPr="00071666">
        <w:rPr>
          <w:rFonts w:ascii="Arial" w:hAnsi="Arial" w:cs="Arial"/>
          <w:color w:val="000000" w:themeColor="text1"/>
          <w:sz w:val="24"/>
          <w:szCs w:val="24"/>
        </w:rPr>
        <w:t>7</w:t>
      </w:r>
      <w:r w:rsidRPr="00071666">
        <w:rPr>
          <w:rFonts w:ascii="Arial" w:hAnsi="Arial" w:cs="Arial"/>
          <w:color w:val="000000" w:themeColor="text1"/>
          <w:sz w:val="24"/>
          <w:szCs w:val="24"/>
        </w:rPr>
        <w:t>% by contractors in England</w:t>
      </w:r>
    </w:p>
    <w:p w14:paraId="6867F9A3" w14:textId="4D15DA44" w:rsidR="00D70C3A" w:rsidRPr="00071666" w:rsidRDefault="00D70C3A" w:rsidP="00DC54F7">
      <w:pPr>
        <w:shd w:val="clear" w:color="auto" w:fill="FFFFFF"/>
        <w:spacing w:after="0" w:line="240" w:lineRule="auto"/>
        <w:jc w:val="both"/>
        <w:rPr>
          <w:rFonts w:ascii="Arial" w:hAnsi="Arial" w:cs="Arial"/>
          <w:color w:val="000000" w:themeColor="text1"/>
          <w:sz w:val="24"/>
          <w:szCs w:val="24"/>
        </w:rPr>
      </w:pPr>
    </w:p>
    <w:p w14:paraId="08BCDBA9" w14:textId="3572EF94" w:rsidR="00D70C3A" w:rsidRPr="00071666" w:rsidRDefault="00D70C3A" w:rsidP="00DC54F7">
      <w:pPr>
        <w:shd w:val="clear" w:color="auto" w:fill="FFFFFF"/>
        <w:spacing w:after="0" w:line="240" w:lineRule="auto"/>
        <w:jc w:val="both"/>
        <w:rPr>
          <w:rFonts w:ascii="Arial" w:hAnsi="Arial" w:cs="Arial"/>
          <w:sz w:val="24"/>
          <w:szCs w:val="24"/>
        </w:rPr>
      </w:pPr>
      <w:r w:rsidRPr="00071666">
        <w:rPr>
          <w:rFonts w:ascii="Arial" w:hAnsi="Arial" w:cs="Arial"/>
          <w:sz w:val="24"/>
          <w:szCs w:val="24"/>
        </w:rPr>
        <w:t>In addition, residents may have accessed one or more pharmaceutical services provided by another pharmacy outside of both the cluster and the health board’s area; however, it is not possible to quantify this activity from the recorded data.</w:t>
      </w:r>
    </w:p>
    <w:p w14:paraId="504391F9" w14:textId="77777777" w:rsidR="00D70C3A" w:rsidRPr="00071666" w:rsidRDefault="00D70C3A" w:rsidP="00DC54F7">
      <w:pPr>
        <w:shd w:val="clear" w:color="auto" w:fill="FFFFFF"/>
        <w:spacing w:after="0" w:line="240" w:lineRule="auto"/>
        <w:jc w:val="both"/>
        <w:rPr>
          <w:rFonts w:ascii="Arial" w:hAnsi="Arial" w:cs="Arial"/>
          <w:sz w:val="24"/>
          <w:szCs w:val="24"/>
        </w:rPr>
      </w:pPr>
      <w:r w:rsidRPr="00071666">
        <w:rPr>
          <w:rFonts w:ascii="Arial" w:hAnsi="Arial" w:cs="Arial"/>
          <w:sz w:val="24"/>
          <w:szCs w:val="24"/>
        </w:rPr>
        <w:t> </w:t>
      </w:r>
    </w:p>
    <w:p w14:paraId="4B43E468" w14:textId="0A5DC61C" w:rsidR="00D70C3A" w:rsidRPr="00071666" w:rsidRDefault="00D70C3A" w:rsidP="00DC54F7">
      <w:pPr>
        <w:spacing w:after="0" w:line="240" w:lineRule="auto"/>
        <w:jc w:val="both"/>
        <w:rPr>
          <w:rFonts w:ascii="Arial" w:hAnsi="Arial" w:cs="Arial"/>
          <w:sz w:val="24"/>
          <w:szCs w:val="24"/>
          <w:lang w:val="en-US"/>
        </w:rPr>
      </w:pPr>
      <w:r w:rsidRPr="00071666">
        <w:rPr>
          <w:rFonts w:ascii="Arial" w:hAnsi="Arial" w:cs="Arial"/>
          <w:sz w:val="24"/>
          <w:szCs w:val="24"/>
          <w:lang w:val="en-US"/>
        </w:rPr>
        <w:t>Taking into account pharmacies in the neighbouring clusters and pharmacies over the border in other health board areas in Wales, all residents in the cluster of C</w:t>
      </w:r>
      <w:r w:rsidR="000C4211" w:rsidRPr="00071666">
        <w:rPr>
          <w:rFonts w:ascii="Arial" w:hAnsi="Arial" w:cs="Arial"/>
          <w:sz w:val="24"/>
          <w:szCs w:val="24"/>
          <w:lang w:val="en-US"/>
        </w:rPr>
        <w:t xml:space="preserve">entral Vale </w:t>
      </w:r>
      <w:r w:rsidRPr="00071666">
        <w:rPr>
          <w:rFonts w:ascii="Arial" w:hAnsi="Arial" w:cs="Arial"/>
          <w:sz w:val="24"/>
          <w:szCs w:val="24"/>
          <w:lang w:val="en-US"/>
        </w:rPr>
        <w:t>can access a pharmacy by car within 1</w:t>
      </w:r>
      <w:r w:rsidR="00744593" w:rsidRPr="00071666">
        <w:rPr>
          <w:rFonts w:ascii="Arial" w:hAnsi="Arial" w:cs="Arial"/>
          <w:sz w:val="24"/>
          <w:szCs w:val="24"/>
          <w:lang w:val="en-US"/>
        </w:rPr>
        <w:t>5</w:t>
      </w:r>
      <w:r w:rsidRPr="00071666">
        <w:rPr>
          <w:rFonts w:ascii="Arial" w:hAnsi="Arial" w:cs="Arial"/>
          <w:sz w:val="24"/>
          <w:szCs w:val="24"/>
          <w:lang w:val="en-US"/>
        </w:rPr>
        <w:t xml:space="preserve"> minutes and the majority can access a pharmacy by car within </w:t>
      </w:r>
      <w:r w:rsidR="00744593" w:rsidRPr="00071666">
        <w:rPr>
          <w:rFonts w:ascii="Arial" w:hAnsi="Arial" w:cs="Arial"/>
          <w:sz w:val="24"/>
          <w:szCs w:val="24"/>
          <w:lang w:val="en-US"/>
        </w:rPr>
        <w:t>10</w:t>
      </w:r>
      <w:r w:rsidRPr="00071666">
        <w:rPr>
          <w:rFonts w:ascii="Arial" w:hAnsi="Arial" w:cs="Arial"/>
          <w:sz w:val="24"/>
          <w:szCs w:val="24"/>
          <w:lang w:val="en-US"/>
        </w:rPr>
        <w:t xml:space="preserve"> minutes. </w:t>
      </w:r>
    </w:p>
    <w:p w14:paraId="2395085D" w14:textId="276EA14B" w:rsidR="00D70C3A" w:rsidRDefault="00D70C3A" w:rsidP="00DC54F7">
      <w:pPr>
        <w:spacing w:after="0" w:line="240" w:lineRule="auto"/>
        <w:jc w:val="both"/>
        <w:rPr>
          <w:rFonts w:ascii="Arial" w:hAnsi="Arial" w:cs="Arial"/>
          <w:lang w:val="en-US"/>
        </w:rPr>
      </w:pPr>
    </w:p>
    <w:p w14:paraId="5A2E74FD" w14:textId="77777777" w:rsidR="00D70C3A" w:rsidRPr="00A10850" w:rsidRDefault="00D70C3A" w:rsidP="00DC54F7">
      <w:pPr>
        <w:spacing w:after="0" w:line="240" w:lineRule="auto"/>
        <w:jc w:val="both"/>
        <w:rPr>
          <w:rFonts w:ascii="Arial" w:hAnsi="Arial" w:cs="Arial"/>
          <w:lang w:val="en-US"/>
        </w:rPr>
      </w:pPr>
    </w:p>
    <w:p w14:paraId="3483A188" w14:textId="137F345D" w:rsidR="0063382E" w:rsidRPr="00A10850" w:rsidRDefault="00B82E86" w:rsidP="00DC54F7">
      <w:pPr>
        <w:spacing w:after="0" w:line="240" w:lineRule="auto"/>
        <w:jc w:val="both"/>
        <w:rPr>
          <w:rFonts w:ascii="Arial" w:hAnsi="Arial" w:cs="Arial"/>
          <w:b/>
          <w:sz w:val="26"/>
          <w:szCs w:val="26"/>
          <w:lang w:val="en-US"/>
        </w:rPr>
      </w:pPr>
      <w:r>
        <w:rPr>
          <w:rFonts w:ascii="Arial" w:hAnsi="Arial" w:cs="Arial"/>
          <w:b/>
          <w:sz w:val="26"/>
          <w:szCs w:val="26"/>
          <w:lang w:val="en-US"/>
        </w:rPr>
        <w:t>14</w:t>
      </w:r>
      <w:r w:rsidR="0063382E" w:rsidRPr="00A10850">
        <w:rPr>
          <w:rFonts w:ascii="Arial" w:hAnsi="Arial" w:cs="Arial"/>
          <w:b/>
          <w:sz w:val="26"/>
          <w:szCs w:val="26"/>
          <w:lang w:val="en-US"/>
        </w:rPr>
        <w:t xml:space="preserve">.4 </w:t>
      </w:r>
      <w:r w:rsidR="0063382E" w:rsidRPr="00D10889">
        <w:rPr>
          <w:rFonts w:ascii="Arial" w:hAnsi="Arial" w:cs="Arial"/>
          <w:b/>
          <w:sz w:val="24"/>
          <w:szCs w:val="24"/>
          <w:lang w:val="en-US"/>
        </w:rPr>
        <w:t>Other NHS services</w:t>
      </w:r>
    </w:p>
    <w:p w14:paraId="38D8B147" w14:textId="77777777" w:rsidR="0063382E" w:rsidRPr="00A10850" w:rsidRDefault="0063382E" w:rsidP="00DC54F7">
      <w:pPr>
        <w:spacing w:after="0" w:line="240" w:lineRule="auto"/>
        <w:jc w:val="both"/>
        <w:rPr>
          <w:rFonts w:ascii="Arial" w:hAnsi="Arial" w:cs="Arial"/>
          <w:lang w:val="en-US"/>
        </w:rPr>
      </w:pPr>
    </w:p>
    <w:p w14:paraId="3E8F2CD1" w14:textId="693C6C3D" w:rsidR="008D7A7E" w:rsidRPr="00842B48" w:rsidRDefault="008D7A7E" w:rsidP="00DC54F7">
      <w:pPr>
        <w:spacing w:after="0" w:line="240" w:lineRule="auto"/>
        <w:jc w:val="both"/>
        <w:rPr>
          <w:rFonts w:ascii="Arial" w:hAnsi="Arial" w:cs="Arial"/>
          <w:bCs/>
          <w:sz w:val="24"/>
          <w:szCs w:val="24"/>
          <w:lang w:val="en-US"/>
        </w:rPr>
      </w:pPr>
      <w:r w:rsidRPr="00842B48">
        <w:rPr>
          <w:rFonts w:ascii="Arial" w:hAnsi="Arial" w:cs="Arial"/>
          <w:bCs/>
          <w:sz w:val="24"/>
          <w:szCs w:val="24"/>
          <w:lang w:val="en-US"/>
        </w:rPr>
        <w:t xml:space="preserve">Barry Hospital </w:t>
      </w:r>
      <w:r w:rsidR="00D20678" w:rsidRPr="00842B48">
        <w:rPr>
          <w:rFonts w:ascii="Arial" w:hAnsi="Arial" w:cs="Arial"/>
          <w:bCs/>
          <w:sz w:val="24"/>
          <w:szCs w:val="24"/>
          <w:lang w:val="en-US"/>
        </w:rPr>
        <w:t xml:space="preserve">and the Minor Injuries Unit </w:t>
      </w:r>
      <w:r w:rsidR="00743B86" w:rsidRPr="00842B48">
        <w:rPr>
          <w:rFonts w:ascii="Arial" w:hAnsi="Arial" w:cs="Arial"/>
          <w:bCs/>
          <w:sz w:val="24"/>
          <w:szCs w:val="24"/>
          <w:lang w:val="en-US"/>
        </w:rPr>
        <w:t xml:space="preserve">are </w:t>
      </w:r>
      <w:r w:rsidRPr="00842B48">
        <w:rPr>
          <w:rFonts w:ascii="Arial" w:hAnsi="Arial" w:cs="Arial"/>
          <w:bCs/>
          <w:sz w:val="24"/>
          <w:szCs w:val="24"/>
          <w:lang w:val="en-US"/>
        </w:rPr>
        <w:t>located within the cluster of Central Vale. However, the hospital serves a much wider population than that of the cluster.</w:t>
      </w:r>
    </w:p>
    <w:p w14:paraId="1C297DB2" w14:textId="485C65F1" w:rsidR="0063382E" w:rsidRDefault="0063382E" w:rsidP="00DC54F7">
      <w:pPr>
        <w:spacing w:after="0" w:line="240" w:lineRule="auto"/>
        <w:jc w:val="both"/>
        <w:rPr>
          <w:rFonts w:ascii="Arial" w:hAnsi="Arial" w:cs="Arial"/>
        </w:rPr>
      </w:pPr>
    </w:p>
    <w:p w14:paraId="1BBF9E80" w14:textId="77777777" w:rsidR="00842B48" w:rsidRPr="00A10850" w:rsidRDefault="00842B48" w:rsidP="00DC54F7">
      <w:pPr>
        <w:spacing w:after="0" w:line="240" w:lineRule="auto"/>
        <w:jc w:val="both"/>
        <w:rPr>
          <w:rFonts w:ascii="Arial" w:hAnsi="Arial" w:cs="Arial"/>
        </w:rPr>
      </w:pPr>
    </w:p>
    <w:p w14:paraId="7EC7D81F" w14:textId="1F9C41E9" w:rsidR="0063382E" w:rsidRPr="00A10850" w:rsidRDefault="00B82E86" w:rsidP="00DC54F7">
      <w:pPr>
        <w:spacing w:after="0" w:line="240" w:lineRule="auto"/>
        <w:jc w:val="both"/>
        <w:rPr>
          <w:rFonts w:ascii="Arial" w:hAnsi="Arial" w:cs="Arial"/>
          <w:b/>
          <w:sz w:val="26"/>
          <w:szCs w:val="26"/>
          <w:lang w:val="en-US"/>
        </w:rPr>
      </w:pPr>
      <w:r>
        <w:rPr>
          <w:rFonts w:ascii="Arial" w:hAnsi="Arial" w:cs="Arial"/>
          <w:b/>
          <w:sz w:val="26"/>
          <w:szCs w:val="26"/>
          <w:lang w:val="en-US"/>
        </w:rPr>
        <w:t>14</w:t>
      </w:r>
      <w:r w:rsidR="0063382E" w:rsidRPr="00A10850">
        <w:rPr>
          <w:rFonts w:ascii="Arial" w:hAnsi="Arial" w:cs="Arial"/>
          <w:b/>
          <w:sz w:val="26"/>
          <w:szCs w:val="26"/>
          <w:lang w:val="en-US"/>
        </w:rPr>
        <w:t xml:space="preserve">.5 </w:t>
      </w:r>
      <w:r w:rsidR="0063382E" w:rsidRPr="00D10889">
        <w:rPr>
          <w:rFonts w:ascii="Arial" w:hAnsi="Arial" w:cs="Arial"/>
          <w:b/>
          <w:sz w:val="24"/>
          <w:szCs w:val="24"/>
          <w:lang w:val="en-US"/>
        </w:rPr>
        <w:t>Choice with regard to obtaining pharmaceutical services</w:t>
      </w:r>
    </w:p>
    <w:p w14:paraId="53BB21E2" w14:textId="77777777" w:rsidR="0063382E" w:rsidRPr="00A10850" w:rsidRDefault="0063382E" w:rsidP="00DC54F7">
      <w:pPr>
        <w:spacing w:after="0" w:line="240" w:lineRule="auto"/>
        <w:jc w:val="both"/>
        <w:rPr>
          <w:rFonts w:ascii="Arial" w:hAnsi="Arial" w:cs="Arial"/>
          <w:lang w:val="en-US"/>
        </w:rPr>
      </w:pPr>
    </w:p>
    <w:p w14:paraId="367F58D1" w14:textId="143AB0B7" w:rsidR="00A40D8A" w:rsidRPr="00842B48" w:rsidRDefault="00A40D8A" w:rsidP="00DC54F7">
      <w:pPr>
        <w:spacing w:after="0" w:line="240" w:lineRule="auto"/>
        <w:jc w:val="both"/>
        <w:rPr>
          <w:rFonts w:ascii="Arial" w:hAnsi="Arial" w:cs="Arial"/>
          <w:sz w:val="24"/>
          <w:szCs w:val="24"/>
          <w:lang w:val="en-US"/>
        </w:rPr>
      </w:pPr>
      <w:r w:rsidRPr="00842B48">
        <w:rPr>
          <w:rFonts w:ascii="Arial" w:hAnsi="Arial" w:cs="Arial"/>
          <w:sz w:val="24"/>
          <w:szCs w:val="24"/>
          <w:lang w:val="en-US"/>
        </w:rPr>
        <w:t xml:space="preserve">As can be seen from sections 14.2 and 14.3, those living within the cluster area and registered with one of the GP practices generally choose to access one of the pharmacies in the cluster in order to have their prescriptions dispensed. Those that look outside the cluster usually do so to access a neighbouring pharmacy within the health board’s area. A minority choose to have their prescription dispensed by a pharmacy or an appliance contractor outside of the health board’s area.  </w:t>
      </w:r>
    </w:p>
    <w:p w14:paraId="4E7F0DE3" w14:textId="77777777" w:rsidR="00A40D8A" w:rsidRPr="00842B48" w:rsidRDefault="00A40D8A" w:rsidP="00DC54F7">
      <w:pPr>
        <w:spacing w:after="0" w:line="240" w:lineRule="auto"/>
        <w:jc w:val="both"/>
        <w:rPr>
          <w:rFonts w:ascii="Arial" w:hAnsi="Arial" w:cs="Arial"/>
          <w:sz w:val="24"/>
          <w:szCs w:val="24"/>
          <w:lang w:val="en-US"/>
        </w:rPr>
      </w:pPr>
    </w:p>
    <w:p w14:paraId="7B448DA3" w14:textId="4BB28899" w:rsidR="00A40D8A" w:rsidRPr="00842B48" w:rsidRDefault="00A40D8A" w:rsidP="00DC54F7">
      <w:pPr>
        <w:spacing w:after="0" w:line="240" w:lineRule="auto"/>
        <w:jc w:val="both"/>
        <w:rPr>
          <w:rFonts w:ascii="Calibri" w:eastAsia="Times New Roman" w:hAnsi="Calibri" w:cs="Calibri"/>
          <w:color w:val="000000"/>
          <w:sz w:val="24"/>
          <w:szCs w:val="24"/>
          <w:lang w:eastAsia="en-GB"/>
        </w:rPr>
      </w:pPr>
      <w:r w:rsidRPr="00842B48">
        <w:rPr>
          <w:rFonts w:ascii="Arial" w:hAnsi="Arial" w:cs="Arial"/>
          <w:sz w:val="24"/>
          <w:szCs w:val="24"/>
          <w:lang w:val="en-US"/>
        </w:rPr>
        <w:t xml:space="preserve">A total of </w:t>
      </w:r>
      <w:r w:rsidR="00381B69" w:rsidRPr="00842B48">
        <w:rPr>
          <w:rFonts w:ascii="Arial" w:hAnsi="Arial" w:cs="Arial"/>
          <w:sz w:val="24"/>
          <w:szCs w:val="24"/>
          <w:lang w:val="en-US"/>
        </w:rPr>
        <w:t>298</w:t>
      </w:r>
      <w:r w:rsidRPr="00842B48">
        <w:rPr>
          <w:rFonts w:ascii="Arial" w:hAnsi="Arial" w:cs="Arial"/>
          <w:sz w:val="24"/>
          <w:szCs w:val="24"/>
          <w:lang w:val="en-US"/>
        </w:rPr>
        <w:t xml:space="preserve"> pharmacy contractors that were trading in Wales during 2019 to 2020, dispensed items written by one of the GP practices in the C</w:t>
      </w:r>
      <w:r w:rsidR="00381B69" w:rsidRPr="00842B48">
        <w:rPr>
          <w:rFonts w:ascii="Arial" w:hAnsi="Arial" w:cs="Arial"/>
          <w:sz w:val="24"/>
          <w:szCs w:val="24"/>
          <w:lang w:val="en-US"/>
        </w:rPr>
        <w:t xml:space="preserve">entral Vale </w:t>
      </w:r>
      <w:r w:rsidRPr="00842B48">
        <w:rPr>
          <w:rFonts w:ascii="Arial" w:hAnsi="Arial" w:cs="Arial"/>
          <w:sz w:val="24"/>
          <w:szCs w:val="24"/>
          <w:lang w:val="en-US"/>
        </w:rPr>
        <w:t xml:space="preserve">cluster, of which </w:t>
      </w:r>
      <w:r w:rsidR="00DF01D0" w:rsidRPr="00842B48">
        <w:rPr>
          <w:rFonts w:ascii="Arial" w:hAnsi="Arial" w:cs="Arial"/>
          <w:sz w:val="24"/>
          <w:szCs w:val="24"/>
          <w:lang w:val="en-US"/>
        </w:rPr>
        <w:t>195</w:t>
      </w:r>
      <w:r w:rsidRPr="00842B48">
        <w:rPr>
          <w:rFonts w:ascii="Arial" w:hAnsi="Arial" w:cs="Arial"/>
          <w:sz w:val="24"/>
          <w:szCs w:val="24"/>
          <w:lang w:val="en-US"/>
        </w:rPr>
        <w:t xml:space="preserve"> were outside of the health board’s area</w:t>
      </w:r>
      <w:r w:rsidRPr="00842B48">
        <w:rPr>
          <w:rFonts w:ascii="Arial" w:hAnsi="Arial" w:cs="Arial"/>
          <w:b/>
          <w:bCs/>
          <w:sz w:val="24"/>
          <w:szCs w:val="24"/>
          <w:lang w:val="en-US"/>
        </w:rPr>
        <w:t xml:space="preserve">. </w:t>
      </w:r>
      <w:r w:rsidR="00F16C30" w:rsidRPr="00842B48">
        <w:rPr>
          <w:rFonts w:ascii="Arial" w:hAnsi="Arial" w:cs="Arial"/>
          <w:sz w:val="24"/>
          <w:szCs w:val="24"/>
          <w:lang w:val="en-US"/>
        </w:rPr>
        <w:t>9,569</w:t>
      </w:r>
      <w:r w:rsidRPr="00842B48">
        <w:rPr>
          <w:rFonts w:ascii="Arial" w:hAnsi="Arial" w:cs="Arial"/>
          <w:sz w:val="24"/>
          <w:szCs w:val="24"/>
          <w:lang w:val="en-US"/>
        </w:rPr>
        <w:t xml:space="preserve"> prescription items were dispensed in England. </w:t>
      </w:r>
    </w:p>
    <w:p w14:paraId="7188B198" w14:textId="77777777" w:rsidR="0063382E" w:rsidRPr="00A10850" w:rsidRDefault="0063382E" w:rsidP="00DC54F7">
      <w:pPr>
        <w:spacing w:after="0" w:line="240" w:lineRule="auto"/>
        <w:jc w:val="both"/>
        <w:rPr>
          <w:rFonts w:ascii="Arial" w:hAnsi="Arial" w:cs="Arial"/>
          <w:lang w:val="en-US"/>
        </w:rPr>
      </w:pPr>
    </w:p>
    <w:p w14:paraId="01B97594" w14:textId="77777777" w:rsidR="005C3249" w:rsidRDefault="005C3249" w:rsidP="00DC54F7">
      <w:pPr>
        <w:spacing w:after="0" w:line="240" w:lineRule="auto"/>
        <w:jc w:val="both"/>
        <w:rPr>
          <w:rFonts w:ascii="Arial" w:hAnsi="Arial" w:cs="Arial"/>
          <w:b/>
          <w:sz w:val="26"/>
          <w:szCs w:val="26"/>
          <w:lang w:val="en-US"/>
        </w:rPr>
      </w:pPr>
    </w:p>
    <w:p w14:paraId="4AAA9228" w14:textId="77777777" w:rsidR="00CD7A5C" w:rsidRDefault="00CD7A5C" w:rsidP="00DC54F7">
      <w:pPr>
        <w:spacing w:after="0" w:line="240" w:lineRule="auto"/>
        <w:jc w:val="both"/>
        <w:rPr>
          <w:rFonts w:ascii="Arial" w:hAnsi="Arial" w:cs="Arial"/>
          <w:b/>
          <w:sz w:val="26"/>
          <w:szCs w:val="26"/>
          <w:lang w:val="en-US"/>
        </w:rPr>
      </w:pPr>
    </w:p>
    <w:p w14:paraId="4735FF67" w14:textId="6BE30B66" w:rsidR="00CD7A5C" w:rsidRDefault="00CD7A5C" w:rsidP="005C6BB3">
      <w:pPr>
        <w:jc w:val="both"/>
        <w:rPr>
          <w:rFonts w:ascii="Arial" w:hAnsi="Arial" w:cs="Arial"/>
          <w:b/>
          <w:sz w:val="26"/>
          <w:szCs w:val="26"/>
          <w:lang w:val="en-US"/>
        </w:rPr>
      </w:pPr>
      <w:r>
        <w:rPr>
          <w:rFonts w:ascii="Arial" w:hAnsi="Arial" w:cs="Arial"/>
          <w:b/>
          <w:sz w:val="26"/>
          <w:szCs w:val="26"/>
          <w:lang w:val="en-US"/>
        </w:rPr>
        <w:br w:type="page"/>
      </w:r>
    </w:p>
    <w:p w14:paraId="45F19A43" w14:textId="745CEB51" w:rsidR="0063382E" w:rsidRPr="00D10889" w:rsidRDefault="00B82E86" w:rsidP="00DC54F7">
      <w:pPr>
        <w:spacing w:after="0" w:line="240" w:lineRule="auto"/>
        <w:jc w:val="both"/>
        <w:rPr>
          <w:rFonts w:ascii="Arial" w:hAnsi="Arial" w:cs="Arial"/>
          <w:b/>
          <w:sz w:val="24"/>
          <w:szCs w:val="24"/>
          <w:lang w:val="en-US"/>
        </w:rPr>
      </w:pPr>
      <w:r>
        <w:rPr>
          <w:rFonts w:ascii="Arial" w:hAnsi="Arial" w:cs="Arial"/>
          <w:b/>
          <w:sz w:val="26"/>
          <w:szCs w:val="26"/>
          <w:lang w:val="en-US"/>
        </w:rPr>
        <w:lastRenderedPageBreak/>
        <w:t>14</w:t>
      </w:r>
      <w:r w:rsidR="0063382E" w:rsidRPr="00A10850">
        <w:rPr>
          <w:rFonts w:ascii="Arial" w:hAnsi="Arial" w:cs="Arial"/>
          <w:b/>
          <w:sz w:val="26"/>
          <w:szCs w:val="26"/>
          <w:lang w:val="en-US"/>
        </w:rPr>
        <w:t xml:space="preserve">.6 </w:t>
      </w:r>
      <w:r w:rsidR="0063382E" w:rsidRPr="00D10889">
        <w:rPr>
          <w:rFonts w:ascii="Arial" w:hAnsi="Arial" w:cs="Arial"/>
          <w:b/>
          <w:sz w:val="24"/>
          <w:szCs w:val="24"/>
          <w:lang w:val="en-US"/>
        </w:rPr>
        <w:t>Gaps in provision</w:t>
      </w:r>
    </w:p>
    <w:p w14:paraId="264F2CFA" w14:textId="467D2CF7" w:rsidR="006E3C35" w:rsidRDefault="006E3C35" w:rsidP="00DC54F7">
      <w:pPr>
        <w:spacing w:after="0" w:line="240" w:lineRule="auto"/>
        <w:jc w:val="both"/>
        <w:rPr>
          <w:rFonts w:ascii="Arial" w:hAnsi="Arial" w:cs="Arial"/>
        </w:rPr>
      </w:pPr>
    </w:p>
    <w:p w14:paraId="04D2C03A" w14:textId="744C0779" w:rsidR="00C76D85" w:rsidRPr="00C76D85" w:rsidRDefault="006E3C35" w:rsidP="00DC54F7">
      <w:pPr>
        <w:spacing w:after="0" w:line="240" w:lineRule="auto"/>
        <w:jc w:val="both"/>
        <w:rPr>
          <w:rFonts w:ascii="Arial" w:hAnsi="Arial" w:cs="Arial"/>
          <w:sz w:val="24"/>
          <w:szCs w:val="24"/>
        </w:rPr>
      </w:pPr>
      <w:r w:rsidRPr="001659EC">
        <w:rPr>
          <w:rFonts w:ascii="Arial" w:hAnsi="Arial" w:cs="Arial"/>
          <w:sz w:val="24"/>
          <w:szCs w:val="24"/>
        </w:rPr>
        <w:t xml:space="preserve">The </w:t>
      </w:r>
      <w:r w:rsidRPr="001659EC">
        <w:rPr>
          <w:rFonts w:ascii="Arial" w:hAnsi="Arial" w:cs="Arial"/>
          <w:color w:val="000000"/>
          <w:sz w:val="24"/>
          <w:szCs w:val="24"/>
        </w:rPr>
        <w:t xml:space="preserve">Cardiff and Vale University Health Board </w:t>
      </w:r>
      <w:r w:rsidRPr="001659EC">
        <w:rPr>
          <w:rFonts w:ascii="Arial" w:hAnsi="Arial" w:cs="Arial"/>
          <w:sz w:val="24"/>
          <w:szCs w:val="24"/>
        </w:rPr>
        <w:t>has noted the locations of pharmacies across the cluster, and the fact that the population can access a pharmacy by car within 1</w:t>
      </w:r>
      <w:r w:rsidR="005C3249" w:rsidRPr="001659EC">
        <w:rPr>
          <w:rFonts w:ascii="Arial" w:hAnsi="Arial" w:cs="Arial"/>
          <w:sz w:val="24"/>
          <w:szCs w:val="24"/>
        </w:rPr>
        <w:t>5</w:t>
      </w:r>
      <w:r w:rsidRPr="001659EC">
        <w:rPr>
          <w:rFonts w:ascii="Arial" w:hAnsi="Arial" w:cs="Arial"/>
          <w:sz w:val="24"/>
          <w:szCs w:val="24"/>
        </w:rPr>
        <w:t xml:space="preserve"> minutes, with the majority within </w:t>
      </w:r>
      <w:r w:rsidR="005C3249" w:rsidRPr="001659EC">
        <w:rPr>
          <w:rFonts w:ascii="Arial" w:hAnsi="Arial" w:cs="Arial"/>
          <w:sz w:val="24"/>
          <w:szCs w:val="24"/>
        </w:rPr>
        <w:t>10</w:t>
      </w:r>
      <w:r w:rsidRPr="001659EC">
        <w:rPr>
          <w:rFonts w:ascii="Arial" w:hAnsi="Arial" w:cs="Arial"/>
          <w:sz w:val="24"/>
          <w:szCs w:val="24"/>
        </w:rPr>
        <w:t xml:space="preserve"> minutes. Whilst noting that not all households have access to a car throughout the day, the nature of the cluster means that walking to a pharmacy will be a realistic option for many residents and regular public transport services are available for those who are unable to undertake the whole journey on foot.</w:t>
      </w:r>
      <w:r w:rsidR="00C76D85" w:rsidRPr="001659EC">
        <w:rPr>
          <w:rFonts w:ascii="Arial" w:hAnsi="Arial" w:cs="Arial"/>
          <w:sz w:val="24"/>
          <w:szCs w:val="24"/>
        </w:rPr>
        <w:t xml:space="preserve"> </w:t>
      </w:r>
      <w:r w:rsidR="00C76D85" w:rsidRPr="001659EC">
        <w:rPr>
          <w:rStyle w:val="x-1565784400x-1896074302size"/>
          <w:rFonts w:ascii="Arial" w:hAnsi="Arial" w:cs="Arial"/>
          <w:color w:val="000000"/>
          <w:sz w:val="24"/>
          <w:szCs w:val="24"/>
        </w:rPr>
        <w:t>However, in the more rural areas of Central Vale cluster, public transport services are limited.  Although car ownership is likely to be high</w:t>
      </w:r>
      <w:r w:rsidR="001F2654" w:rsidRPr="001659EC">
        <w:rPr>
          <w:rStyle w:val="x-1565784400x-1896074302size"/>
          <w:rFonts w:ascii="Arial" w:hAnsi="Arial" w:cs="Arial"/>
          <w:color w:val="000000"/>
          <w:sz w:val="24"/>
          <w:szCs w:val="24"/>
        </w:rPr>
        <w:t xml:space="preserve"> in these areas</w:t>
      </w:r>
      <w:r w:rsidR="00C76D85" w:rsidRPr="001659EC">
        <w:rPr>
          <w:rStyle w:val="x-1565784400x-1896074302size"/>
          <w:rFonts w:ascii="Arial" w:hAnsi="Arial" w:cs="Arial"/>
          <w:color w:val="000000"/>
          <w:sz w:val="24"/>
          <w:szCs w:val="24"/>
        </w:rPr>
        <w:t>, those without a car and in particular the elderly, may find it difficult to access a pharmacy. </w:t>
      </w:r>
      <w:r w:rsidR="00C76D85" w:rsidRPr="001659EC">
        <w:rPr>
          <w:rFonts w:ascii="Arial" w:hAnsi="Arial" w:cs="Arial"/>
          <w:color w:val="000000"/>
          <w:sz w:val="24"/>
          <w:szCs w:val="24"/>
          <w:shd w:val="clear" w:color="auto" w:fill="FFFFFF"/>
        </w:rPr>
        <w:t>The majority of pharmacies will have arrangements in place that enable timely access to medicines to those who are housebound or who may find it difficult to access a pharmacy.</w:t>
      </w:r>
    </w:p>
    <w:p w14:paraId="74694040" w14:textId="77777777" w:rsidR="00C76D85" w:rsidRPr="005C3249" w:rsidRDefault="00C76D85" w:rsidP="00DC54F7">
      <w:pPr>
        <w:spacing w:after="0" w:line="240" w:lineRule="auto"/>
        <w:jc w:val="both"/>
        <w:rPr>
          <w:rFonts w:ascii="Arial" w:hAnsi="Arial" w:cs="Arial"/>
          <w:sz w:val="24"/>
          <w:szCs w:val="24"/>
        </w:rPr>
      </w:pPr>
    </w:p>
    <w:p w14:paraId="5AAA2E75" w14:textId="77777777" w:rsidR="00264E22" w:rsidRPr="005C3249" w:rsidRDefault="00264E22" w:rsidP="00DC54F7">
      <w:pPr>
        <w:spacing w:after="0" w:line="240" w:lineRule="auto"/>
        <w:jc w:val="both"/>
        <w:rPr>
          <w:rFonts w:ascii="Arial" w:hAnsi="Arial" w:cs="Arial"/>
          <w:sz w:val="24"/>
          <w:szCs w:val="24"/>
        </w:rPr>
      </w:pPr>
      <w:r w:rsidRPr="005C3249">
        <w:rPr>
          <w:rFonts w:ascii="Arial" w:hAnsi="Arial" w:cs="Arial"/>
          <w:sz w:val="24"/>
          <w:szCs w:val="24"/>
        </w:rPr>
        <w:t xml:space="preserve">The </w:t>
      </w:r>
      <w:r w:rsidRPr="005C3249">
        <w:rPr>
          <w:rFonts w:ascii="Arial" w:hAnsi="Arial" w:cs="Arial"/>
          <w:color w:val="000000"/>
          <w:sz w:val="24"/>
          <w:szCs w:val="24"/>
        </w:rPr>
        <w:t xml:space="preserve">Cardiff and Vale University Health Board </w:t>
      </w:r>
      <w:r w:rsidRPr="005C3249">
        <w:rPr>
          <w:rFonts w:ascii="Arial" w:hAnsi="Arial" w:cs="Arial"/>
          <w:sz w:val="24"/>
          <w:szCs w:val="24"/>
        </w:rPr>
        <w:t xml:space="preserve">has noted the opening hours of the existing pharmacies and is of the opinion that they are sufficient to meet the likely needs of residents in the cluster. The </w:t>
      </w:r>
      <w:r w:rsidRPr="005C3249">
        <w:rPr>
          <w:rFonts w:ascii="Arial" w:hAnsi="Arial" w:cs="Arial"/>
          <w:color w:val="000000"/>
          <w:sz w:val="24"/>
          <w:szCs w:val="24"/>
        </w:rPr>
        <w:t xml:space="preserve">Cardiff and Vale University Health Board </w:t>
      </w:r>
      <w:r w:rsidRPr="005C3249">
        <w:rPr>
          <w:rFonts w:ascii="Arial" w:hAnsi="Arial" w:cs="Arial"/>
          <w:sz w:val="24"/>
          <w:szCs w:val="24"/>
        </w:rPr>
        <w:t>has therefore concluded that there are no current needs in relation to the provision of essential services by pharmacies in the cluster.</w:t>
      </w:r>
    </w:p>
    <w:p w14:paraId="4DC5180B" w14:textId="77777777" w:rsidR="00264E22" w:rsidRPr="005C3249" w:rsidRDefault="00264E22" w:rsidP="00DC54F7">
      <w:pPr>
        <w:spacing w:after="0" w:line="240" w:lineRule="auto"/>
        <w:jc w:val="both"/>
        <w:rPr>
          <w:rFonts w:ascii="Arial" w:hAnsi="Arial" w:cs="Arial"/>
          <w:sz w:val="24"/>
          <w:szCs w:val="24"/>
        </w:rPr>
      </w:pPr>
    </w:p>
    <w:p w14:paraId="111BFA68" w14:textId="3E449C57" w:rsidR="00264E22" w:rsidRPr="005C3249" w:rsidRDefault="00412AA2" w:rsidP="00DC54F7">
      <w:pPr>
        <w:spacing w:after="0" w:line="240" w:lineRule="auto"/>
        <w:contextualSpacing/>
        <w:jc w:val="both"/>
        <w:rPr>
          <w:rFonts w:ascii="Arial" w:hAnsi="Arial" w:cs="Arial"/>
          <w:sz w:val="24"/>
          <w:szCs w:val="24"/>
        </w:rPr>
      </w:pPr>
      <w:r w:rsidRPr="005C3249">
        <w:rPr>
          <w:rFonts w:ascii="Arial" w:hAnsi="Arial" w:cs="Arial"/>
          <w:sz w:val="24"/>
          <w:szCs w:val="24"/>
        </w:rPr>
        <w:t xml:space="preserve">The </w:t>
      </w:r>
      <w:r w:rsidRPr="005C3249">
        <w:rPr>
          <w:rFonts w:ascii="Arial" w:hAnsi="Arial" w:cs="Arial"/>
          <w:color w:val="000000"/>
          <w:sz w:val="24"/>
          <w:szCs w:val="24"/>
        </w:rPr>
        <w:t xml:space="preserve">Cardiff and Vale University Health Board </w:t>
      </w:r>
      <w:r w:rsidRPr="005C3249">
        <w:rPr>
          <w:rFonts w:ascii="Arial" w:hAnsi="Arial" w:cs="Arial"/>
          <w:sz w:val="24"/>
          <w:szCs w:val="24"/>
        </w:rPr>
        <w:t xml:space="preserve">is also satisfied that there are no current needs in relation to the provision of advanced services.  Whilst none of the pharmacies provide the Appliance Use Review service or the Stoma Appliance Customisation service, it is noted that there are four appliance contractors based in Cardiff and Vale University Health Board who offer these services. One of the reasons why prescriptions are dispensed outside of the cluster is because they have been sent to a dispensing appliance contractor elsewhere in the health board or to England, which provide these services. Patients will therefore be able to access these two services via those contractors. The </w:t>
      </w:r>
      <w:r w:rsidRPr="005C3249">
        <w:rPr>
          <w:rFonts w:ascii="Arial" w:hAnsi="Arial" w:cs="Arial"/>
          <w:color w:val="000000"/>
          <w:sz w:val="24"/>
          <w:szCs w:val="24"/>
        </w:rPr>
        <w:t xml:space="preserve">Cardiff and Vale University Health Board </w:t>
      </w:r>
      <w:r w:rsidRPr="005C3249">
        <w:rPr>
          <w:rFonts w:ascii="Arial" w:hAnsi="Arial" w:cs="Arial"/>
          <w:sz w:val="24"/>
          <w:szCs w:val="24"/>
        </w:rPr>
        <w:t>has therefore not identified any current or future gap or better access in relation to the provision of these two advanced services in the cluster</w:t>
      </w:r>
    </w:p>
    <w:p w14:paraId="01644288" w14:textId="77777777" w:rsidR="002A2F09" w:rsidRPr="005C3249" w:rsidRDefault="002A2F09" w:rsidP="00DC54F7">
      <w:pPr>
        <w:spacing w:after="0" w:line="240" w:lineRule="auto"/>
        <w:contextualSpacing/>
        <w:jc w:val="both"/>
        <w:rPr>
          <w:rFonts w:ascii="Arial" w:hAnsi="Arial" w:cs="Arial"/>
          <w:sz w:val="24"/>
          <w:szCs w:val="24"/>
          <w:highlight w:val="yellow"/>
        </w:rPr>
      </w:pPr>
    </w:p>
    <w:p w14:paraId="79623481" w14:textId="6CC94B8D" w:rsidR="00264E22" w:rsidRPr="009867B4" w:rsidRDefault="00264E22" w:rsidP="00DC54F7">
      <w:pPr>
        <w:spacing w:after="0" w:line="240" w:lineRule="auto"/>
        <w:contextualSpacing/>
        <w:jc w:val="both"/>
        <w:rPr>
          <w:rFonts w:ascii="Arial" w:hAnsi="Arial" w:cs="Arial"/>
          <w:sz w:val="24"/>
          <w:szCs w:val="24"/>
        </w:rPr>
      </w:pPr>
      <w:r w:rsidRPr="009867B4">
        <w:rPr>
          <w:rFonts w:ascii="Arial" w:hAnsi="Arial" w:cs="Arial"/>
          <w:sz w:val="24"/>
          <w:szCs w:val="24"/>
        </w:rPr>
        <w:t xml:space="preserve">All 14 pharmacies responded to the question in the contractor questionnaire regarding capacity to meet demand from any future housing developments in the cluster. Their responses were as follows: </w:t>
      </w:r>
    </w:p>
    <w:p w14:paraId="47853911" w14:textId="77777777" w:rsidR="00264E22" w:rsidRPr="009867B4" w:rsidRDefault="00264E22" w:rsidP="00DC54F7">
      <w:pPr>
        <w:spacing w:after="0" w:line="240" w:lineRule="auto"/>
        <w:jc w:val="both"/>
        <w:rPr>
          <w:rFonts w:ascii="Arial" w:hAnsi="Arial" w:cs="Arial"/>
          <w:sz w:val="24"/>
          <w:szCs w:val="24"/>
        </w:rPr>
      </w:pPr>
    </w:p>
    <w:p w14:paraId="5CEB12EC" w14:textId="42D72E0E" w:rsidR="00264E22" w:rsidRPr="009867B4" w:rsidRDefault="00E6397C" w:rsidP="00DC54F7">
      <w:pPr>
        <w:pStyle w:val="ListParagraph"/>
        <w:numPr>
          <w:ilvl w:val="0"/>
          <w:numId w:val="160"/>
        </w:numPr>
        <w:spacing w:after="0" w:line="240" w:lineRule="auto"/>
        <w:jc w:val="both"/>
        <w:rPr>
          <w:rFonts w:ascii="Arial" w:hAnsi="Arial" w:cs="Arial"/>
          <w:sz w:val="24"/>
          <w:szCs w:val="24"/>
        </w:rPr>
      </w:pPr>
      <w:r w:rsidRPr="009867B4">
        <w:rPr>
          <w:rFonts w:ascii="Arial" w:hAnsi="Arial" w:cs="Arial"/>
          <w:sz w:val="24"/>
          <w:szCs w:val="24"/>
        </w:rPr>
        <w:t>11</w:t>
      </w:r>
      <w:r w:rsidR="00264E22" w:rsidRPr="009867B4">
        <w:rPr>
          <w:rFonts w:ascii="Arial" w:hAnsi="Arial" w:cs="Arial"/>
          <w:sz w:val="24"/>
          <w:szCs w:val="24"/>
        </w:rPr>
        <w:t xml:space="preserve"> pharmacies have sufficient capacity within their existing premises and staffing levels to manage the increase in demand in the area.</w:t>
      </w:r>
    </w:p>
    <w:p w14:paraId="4141C818" w14:textId="72AFB6CE" w:rsidR="00264E22" w:rsidRPr="009867B4" w:rsidRDefault="00E6397C" w:rsidP="00DC54F7">
      <w:pPr>
        <w:pStyle w:val="ListParagraph"/>
        <w:numPr>
          <w:ilvl w:val="0"/>
          <w:numId w:val="160"/>
        </w:numPr>
        <w:spacing w:after="0" w:line="240" w:lineRule="auto"/>
        <w:jc w:val="both"/>
        <w:rPr>
          <w:rFonts w:ascii="Arial" w:hAnsi="Arial" w:cs="Arial"/>
          <w:sz w:val="24"/>
          <w:szCs w:val="24"/>
        </w:rPr>
      </w:pPr>
      <w:r w:rsidRPr="009867B4">
        <w:rPr>
          <w:rFonts w:ascii="Arial" w:hAnsi="Arial" w:cs="Arial"/>
          <w:sz w:val="24"/>
          <w:szCs w:val="24"/>
        </w:rPr>
        <w:t>Two</w:t>
      </w:r>
      <w:r w:rsidR="00264E22" w:rsidRPr="009867B4">
        <w:rPr>
          <w:rFonts w:ascii="Arial" w:hAnsi="Arial" w:cs="Arial"/>
          <w:sz w:val="24"/>
          <w:szCs w:val="24"/>
        </w:rPr>
        <w:t xml:space="preserve"> pharmac</w:t>
      </w:r>
      <w:r w:rsidRPr="009867B4">
        <w:rPr>
          <w:rFonts w:ascii="Arial" w:hAnsi="Arial" w:cs="Arial"/>
          <w:sz w:val="24"/>
          <w:szCs w:val="24"/>
        </w:rPr>
        <w:t>ies</w:t>
      </w:r>
      <w:r w:rsidR="00264E22" w:rsidRPr="009867B4">
        <w:rPr>
          <w:rFonts w:ascii="Arial" w:hAnsi="Arial" w:cs="Arial"/>
          <w:sz w:val="24"/>
          <w:szCs w:val="24"/>
        </w:rPr>
        <w:t xml:space="preserve"> do not have sufficient premises and staffing capacity at present but could make adjustments to manage the increase in demand in the area</w:t>
      </w:r>
    </w:p>
    <w:p w14:paraId="5A04F6D1" w14:textId="09A37538" w:rsidR="00E6397C" w:rsidRPr="009867B4" w:rsidRDefault="00FD241A" w:rsidP="00DC54F7">
      <w:pPr>
        <w:pStyle w:val="ListParagraph"/>
        <w:numPr>
          <w:ilvl w:val="0"/>
          <w:numId w:val="160"/>
        </w:numPr>
        <w:spacing w:after="0" w:line="240" w:lineRule="auto"/>
        <w:jc w:val="both"/>
        <w:rPr>
          <w:rFonts w:ascii="Arial" w:hAnsi="Arial" w:cs="Arial"/>
          <w:sz w:val="24"/>
          <w:szCs w:val="24"/>
        </w:rPr>
      </w:pPr>
      <w:r w:rsidRPr="009867B4">
        <w:rPr>
          <w:rFonts w:ascii="Arial" w:hAnsi="Arial" w:cs="Arial"/>
          <w:sz w:val="24"/>
          <w:szCs w:val="24"/>
        </w:rPr>
        <w:t xml:space="preserve">One pharmacy does not have sufficient </w:t>
      </w:r>
      <w:r w:rsidR="00DE306B" w:rsidRPr="009867B4">
        <w:rPr>
          <w:rFonts w:ascii="Arial" w:hAnsi="Arial" w:cs="Arial"/>
          <w:sz w:val="24"/>
          <w:szCs w:val="24"/>
        </w:rPr>
        <w:t>premises and staffing capacity and would have difficulty in managing the increase in demand.</w:t>
      </w:r>
    </w:p>
    <w:p w14:paraId="13A60AD3" w14:textId="77777777" w:rsidR="00264E22" w:rsidRPr="009867B4" w:rsidRDefault="00264E22" w:rsidP="00DC54F7">
      <w:pPr>
        <w:spacing w:after="0" w:line="240" w:lineRule="auto"/>
        <w:jc w:val="both"/>
        <w:rPr>
          <w:rFonts w:ascii="Arial" w:hAnsi="Arial" w:cs="Arial"/>
          <w:sz w:val="24"/>
          <w:szCs w:val="24"/>
        </w:rPr>
      </w:pPr>
    </w:p>
    <w:p w14:paraId="606EADCF" w14:textId="202D8755" w:rsidR="00264E22" w:rsidRPr="00AF7A7F" w:rsidRDefault="00264E22" w:rsidP="00DC54F7">
      <w:pPr>
        <w:spacing w:after="0" w:line="240" w:lineRule="auto"/>
        <w:jc w:val="both"/>
        <w:rPr>
          <w:rFonts w:ascii="Arial" w:hAnsi="Arial" w:cs="Arial"/>
          <w:color w:val="000000"/>
          <w:sz w:val="24"/>
          <w:szCs w:val="24"/>
        </w:rPr>
      </w:pPr>
      <w:r w:rsidRPr="009867B4">
        <w:rPr>
          <w:rFonts w:ascii="Arial" w:hAnsi="Arial" w:cs="Arial"/>
          <w:sz w:val="24"/>
          <w:szCs w:val="24"/>
        </w:rPr>
        <w:t xml:space="preserve">The </w:t>
      </w:r>
      <w:r w:rsidRPr="009867B4">
        <w:rPr>
          <w:rFonts w:ascii="Arial" w:hAnsi="Arial" w:cs="Arial"/>
          <w:color w:val="000000"/>
          <w:sz w:val="24"/>
          <w:szCs w:val="24"/>
        </w:rPr>
        <w:t xml:space="preserve">Cardiff and Vale University Health Board noted the developments planned for the cluster, </w:t>
      </w:r>
      <w:r w:rsidR="00DE306B" w:rsidRPr="009867B4">
        <w:rPr>
          <w:rFonts w:ascii="Arial" w:hAnsi="Arial" w:cs="Arial"/>
          <w:color w:val="000000"/>
          <w:sz w:val="24"/>
          <w:szCs w:val="24"/>
        </w:rPr>
        <w:t xml:space="preserve">in particular the larger </w:t>
      </w:r>
      <w:r w:rsidR="00D20B69" w:rsidRPr="009867B4">
        <w:rPr>
          <w:rFonts w:ascii="Arial" w:hAnsi="Arial" w:cs="Arial"/>
          <w:color w:val="000000"/>
          <w:sz w:val="24"/>
          <w:szCs w:val="24"/>
        </w:rPr>
        <w:t xml:space="preserve">phase </w:t>
      </w:r>
      <w:r w:rsidR="00DE306B" w:rsidRPr="009867B4">
        <w:rPr>
          <w:rFonts w:ascii="Arial" w:hAnsi="Arial" w:cs="Arial"/>
          <w:sz w:val="24"/>
          <w:szCs w:val="24"/>
        </w:rPr>
        <w:t>2 Barry Waterfront development</w:t>
      </w:r>
      <w:r w:rsidR="00757682">
        <w:rPr>
          <w:rFonts w:ascii="Arial" w:hAnsi="Arial" w:cs="Arial"/>
          <w:sz w:val="24"/>
          <w:szCs w:val="24"/>
        </w:rPr>
        <w:t xml:space="preserve"> and other </w:t>
      </w:r>
      <w:r w:rsidR="00AF7A7F">
        <w:rPr>
          <w:rFonts w:ascii="Arial" w:hAnsi="Arial" w:cs="Arial"/>
          <w:sz w:val="24"/>
          <w:szCs w:val="24"/>
        </w:rPr>
        <w:t xml:space="preserve">smaller </w:t>
      </w:r>
      <w:r w:rsidRPr="009867B4">
        <w:rPr>
          <w:rFonts w:ascii="Arial" w:hAnsi="Arial" w:cs="Arial"/>
          <w:sz w:val="24"/>
          <w:szCs w:val="24"/>
        </w:rPr>
        <w:t xml:space="preserve">units of housing that are due to be built during the lifetime of this document, </w:t>
      </w:r>
      <w:r w:rsidRPr="009867B4">
        <w:rPr>
          <w:rFonts w:ascii="Arial" w:hAnsi="Arial" w:cs="Arial"/>
          <w:color w:val="000000"/>
          <w:sz w:val="24"/>
          <w:szCs w:val="24"/>
        </w:rPr>
        <w:t>Cardiff and Vale University Health Board</w:t>
      </w:r>
      <w:r w:rsidRPr="009867B4">
        <w:rPr>
          <w:rFonts w:ascii="Arial" w:hAnsi="Arial" w:cs="Arial"/>
          <w:sz w:val="24"/>
          <w:szCs w:val="24"/>
        </w:rPr>
        <w:t xml:space="preserve"> is satisfied, based upon the responses to the </w:t>
      </w:r>
      <w:r w:rsidRPr="009867B4">
        <w:rPr>
          <w:rFonts w:ascii="Arial" w:hAnsi="Arial" w:cs="Arial"/>
          <w:sz w:val="24"/>
          <w:szCs w:val="24"/>
        </w:rPr>
        <w:lastRenderedPageBreak/>
        <w:t xml:space="preserve">contractor questionnaire, that the demand that this will create can be met by the existing pharmacies. The </w:t>
      </w:r>
      <w:r w:rsidRPr="009867B4">
        <w:rPr>
          <w:rFonts w:ascii="Arial" w:hAnsi="Arial" w:cs="Arial"/>
          <w:color w:val="000000"/>
          <w:sz w:val="24"/>
          <w:szCs w:val="24"/>
        </w:rPr>
        <w:t xml:space="preserve">Cardiff and Vale University Health Board </w:t>
      </w:r>
      <w:r w:rsidRPr="009867B4">
        <w:rPr>
          <w:rFonts w:ascii="Arial" w:hAnsi="Arial" w:cs="Arial"/>
          <w:sz w:val="24"/>
          <w:szCs w:val="24"/>
        </w:rPr>
        <w:t>has therefore concluded that there are no future needs in relation to the provision of essential services by pharmacies in the cluster</w:t>
      </w:r>
    </w:p>
    <w:p w14:paraId="110EDAF5" w14:textId="77777777" w:rsidR="00264E22" w:rsidRPr="009867B4" w:rsidRDefault="00264E22" w:rsidP="00DC54F7">
      <w:pPr>
        <w:spacing w:after="0" w:line="240" w:lineRule="auto"/>
        <w:jc w:val="both"/>
        <w:rPr>
          <w:rFonts w:ascii="Arial" w:hAnsi="Arial" w:cs="Arial"/>
          <w:sz w:val="24"/>
          <w:szCs w:val="24"/>
        </w:rPr>
      </w:pPr>
    </w:p>
    <w:p w14:paraId="01F2AD0B" w14:textId="77777777" w:rsidR="00264E22" w:rsidRPr="009867B4" w:rsidRDefault="00264E22" w:rsidP="00DC54F7">
      <w:pPr>
        <w:spacing w:after="0" w:line="240" w:lineRule="auto"/>
        <w:jc w:val="both"/>
        <w:rPr>
          <w:rFonts w:ascii="Arial" w:hAnsi="Arial" w:cs="Arial"/>
          <w:sz w:val="24"/>
          <w:szCs w:val="24"/>
        </w:rPr>
      </w:pPr>
    </w:p>
    <w:p w14:paraId="55E52FC6" w14:textId="77777777" w:rsidR="00264E22" w:rsidRPr="009867B4" w:rsidRDefault="00264E22" w:rsidP="00DC54F7">
      <w:pPr>
        <w:spacing w:after="0" w:line="240" w:lineRule="auto"/>
        <w:jc w:val="both"/>
        <w:rPr>
          <w:rFonts w:ascii="Arial" w:hAnsi="Arial" w:cs="Arial"/>
          <w:sz w:val="24"/>
          <w:szCs w:val="24"/>
        </w:rPr>
      </w:pPr>
      <w:r w:rsidRPr="009867B4">
        <w:rPr>
          <w:rFonts w:ascii="Arial" w:hAnsi="Arial" w:cs="Arial"/>
          <w:sz w:val="24"/>
          <w:szCs w:val="24"/>
        </w:rPr>
        <w:t xml:space="preserve">The </w:t>
      </w:r>
      <w:r w:rsidRPr="009867B4">
        <w:rPr>
          <w:rFonts w:ascii="Arial" w:hAnsi="Arial" w:cs="Arial"/>
          <w:color w:val="000000"/>
          <w:sz w:val="24"/>
          <w:szCs w:val="24"/>
        </w:rPr>
        <w:t xml:space="preserve">Cardiff and Vale University Health Board </w:t>
      </w:r>
      <w:r w:rsidRPr="009867B4">
        <w:rPr>
          <w:rFonts w:ascii="Arial" w:hAnsi="Arial" w:cs="Arial"/>
          <w:sz w:val="24"/>
          <w:szCs w:val="24"/>
        </w:rPr>
        <w:t>is also satisfied that, based upon the information contained in the preceding sections, there are no current or future gaps in the provision of advanced services and enhanced services.</w:t>
      </w:r>
    </w:p>
    <w:p w14:paraId="5466A249" w14:textId="77777777" w:rsidR="00264E22" w:rsidRPr="009867B4" w:rsidRDefault="00264E22" w:rsidP="00DC54F7">
      <w:pPr>
        <w:spacing w:after="0" w:line="240" w:lineRule="auto"/>
        <w:jc w:val="both"/>
        <w:rPr>
          <w:rFonts w:ascii="Arial" w:hAnsi="Arial" w:cs="Arial"/>
          <w:sz w:val="24"/>
          <w:szCs w:val="24"/>
        </w:rPr>
      </w:pPr>
    </w:p>
    <w:p w14:paraId="006CB5D2" w14:textId="77777777" w:rsidR="00264E22" w:rsidRPr="005C3249" w:rsidRDefault="00264E22" w:rsidP="00DC54F7">
      <w:pPr>
        <w:spacing w:after="0" w:line="240" w:lineRule="auto"/>
        <w:jc w:val="both"/>
        <w:rPr>
          <w:rFonts w:ascii="Arial" w:hAnsi="Arial" w:cs="Arial"/>
          <w:sz w:val="24"/>
          <w:szCs w:val="24"/>
        </w:rPr>
      </w:pPr>
      <w:r w:rsidRPr="009867B4">
        <w:rPr>
          <w:rFonts w:ascii="Arial" w:hAnsi="Arial" w:cs="Arial"/>
          <w:sz w:val="24"/>
          <w:szCs w:val="24"/>
        </w:rPr>
        <w:t xml:space="preserve">The </w:t>
      </w:r>
      <w:r w:rsidRPr="009867B4">
        <w:rPr>
          <w:rFonts w:ascii="Arial" w:hAnsi="Arial" w:cs="Arial"/>
          <w:color w:val="000000"/>
          <w:sz w:val="24"/>
          <w:szCs w:val="24"/>
        </w:rPr>
        <w:t xml:space="preserve">Cardiff and Vale University Health Board </w:t>
      </w:r>
      <w:r w:rsidRPr="009867B4">
        <w:rPr>
          <w:rFonts w:ascii="Arial" w:hAnsi="Arial" w:cs="Arial"/>
          <w:sz w:val="24"/>
          <w:szCs w:val="24"/>
        </w:rPr>
        <w:t>will keep service provision under review but has concluded that there is no current or future need identified which requires an application for new or additional premises.</w:t>
      </w:r>
    </w:p>
    <w:p w14:paraId="6587F0F5" w14:textId="77777777" w:rsidR="00264E22" w:rsidRDefault="00264E22" w:rsidP="00DC54F7">
      <w:pPr>
        <w:jc w:val="both"/>
      </w:pPr>
    </w:p>
    <w:p w14:paraId="591CDB8D" w14:textId="77777777" w:rsidR="0063382E" w:rsidRPr="00A10850" w:rsidRDefault="0063382E" w:rsidP="00DC54F7">
      <w:pPr>
        <w:spacing w:after="0" w:line="240" w:lineRule="auto"/>
        <w:jc w:val="both"/>
        <w:rPr>
          <w:rFonts w:ascii="Arial" w:hAnsi="Arial" w:cs="Arial"/>
          <w:lang w:val="en-US"/>
        </w:rPr>
      </w:pPr>
    </w:p>
    <w:p w14:paraId="431F8E55" w14:textId="1B7CB8D5" w:rsidR="003B6C47" w:rsidRPr="00A10850" w:rsidRDefault="003B6C47" w:rsidP="00DC54F7">
      <w:pPr>
        <w:spacing w:after="0" w:line="240" w:lineRule="auto"/>
        <w:jc w:val="both"/>
        <w:rPr>
          <w:rFonts w:ascii="Arial" w:hAnsi="Arial" w:cs="Arial"/>
          <w:lang w:val="en-US"/>
        </w:rPr>
      </w:pPr>
    </w:p>
    <w:p w14:paraId="10D54979" w14:textId="77777777" w:rsidR="0063382E" w:rsidRPr="00A10850" w:rsidRDefault="0063382E" w:rsidP="00DC54F7">
      <w:pPr>
        <w:spacing w:after="0" w:line="240" w:lineRule="auto"/>
        <w:jc w:val="both"/>
        <w:rPr>
          <w:rFonts w:ascii="Arial" w:hAnsi="Arial" w:cs="Arial"/>
          <w:lang w:val="en-US"/>
        </w:rPr>
      </w:pPr>
    </w:p>
    <w:p w14:paraId="1E1D52C0" w14:textId="3F947441" w:rsidR="0063382E" w:rsidRPr="00A10850" w:rsidRDefault="0063382E" w:rsidP="00DC54F7">
      <w:pPr>
        <w:pStyle w:val="Heading1"/>
        <w:spacing w:before="0" w:line="240" w:lineRule="auto"/>
        <w:jc w:val="both"/>
        <w:rPr>
          <w:rFonts w:cs="Arial"/>
          <w:color w:val="auto"/>
        </w:rPr>
      </w:pPr>
      <w:r w:rsidRPr="00A10850">
        <w:rPr>
          <w:rFonts w:cs="Arial"/>
          <w:highlight w:val="cyan"/>
        </w:rPr>
        <w:br w:type="page"/>
      </w:r>
      <w:bookmarkStart w:id="51" w:name="_Toc81585109"/>
      <w:r w:rsidR="00B82E86">
        <w:rPr>
          <w:rFonts w:cs="Arial"/>
          <w:color w:val="auto"/>
        </w:rPr>
        <w:lastRenderedPageBreak/>
        <w:t>15</w:t>
      </w:r>
      <w:r w:rsidRPr="00A10850">
        <w:rPr>
          <w:rFonts w:cs="Arial"/>
          <w:color w:val="auto"/>
        </w:rPr>
        <w:t xml:space="preserve"> </w:t>
      </w:r>
      <w:r w:rsidR="00B82E86">
        <w:rPr>
          <w:rFonts w:cs="Arial"/>
          <w:color w:val="auto"/>
        </w:rPr>
        <w:t xml:space="preserve">Eastern Vale </w:t>
      </w:r>
      <w:r w:rsidR="00C64E7E">
        <w:rPr>
          <w:rFonts w:cs="Arial"/>
          <w:color w:val="auto"/>
        </w:rPr>
        <w:t>cluster</w:t>
      </w:r>
      <w:bookmarkEnd w:id="51"/>
    </w:p>
    <w:p w14:paraId="65FC50DC" w14:textId="29C9135C" w:rsidR="0063382E" w:rsidRPr="00D10889" w:rsidRDefault="0063382E" w:rsidP="00DC54F7">
      <w:pPr>
        <w:pStyle w:val="Heading2"/>
        <w:spacing w:before="0" w:line="240" w:lineRule="auto"/>
        <w:jc w:val="both"/>
        <w:rPr>
          <w:rFonts w:cs="Arial"/>
          <w:color w:val="auto"/>
          <w:sz w:val="20"/>
          <w:szCs w:val="20"/>
          <w:highlight w:val="cyan"/>
        </w:rPr>
      </w:pPr>
    </w:p>
    <w:p w14:paraId="21F86E64" w14:textId="77777777" w:rsidR="00762499" w:rsidRPr="00762499" w:rsidRDefault="00762499" w:rsidP="00DC54F7">
      <w:pPr>
        <w:spacing w:after="0" w:line="240" w:lineRule="auto"/>
        <w:jc w:val="both"/>
        <w:rPr>
          <w:highlight w:val="cyan"/>
        </w:rPr>
      </w:pPr>
    </w:p>
    <w:p w14:paraId="1BB70235" w14:textId="16770965" w:rsidR="0063382E" w:rsidRDefault="00B82E86" w:rsidP="00DC54F7">
      <w:pPr>
        <w:spacing w:after="0" w:line="240" w:lineRule="auto"/>
        <w:jc w:val="both"/>
        <w:rPr>
          <w:rFonts w:ascii="Arial" w:hAnsi="Arial" w:cs="Arial"/>
          <w:b/>
          <w:sz w:val="26"/>
          <w:szCs w:val="26"/>
        </w:rPr>
      </w:pPr>
      <w:r>
        <w:rPr>
          <w:rFonts w:ascii="Arial" w:hAnsi="Arial" w:cs="Arial"/>
          <w:b/>
          <w:sz w:val="26"/>
          <w:szCs w:val="26"/>
        </w:rPr>
        <w:t>15</w:t>
      </w:r>
      <w:r w:rsidR="0063382E" w:rsidRPr="00A10850">
        <w:rPr>
          <w:rFonts w:ascii="Arial" w:hAnsi="Arial" w:cs="Arial"/>
          <w:b/>
          <w:sz w:val="26"/>
          <w:szCs w:val="26"/>
        </w:rPr>
        <w:t>.1 Key facts</w:t>
      </w:r>
    </w:p>
    <w:p w14:paraId="6FB03191" w14:textId="556A8BA0" w:rsidR="00762499" w:rsidRDefault="00762499" w:rsidP="00DC54F7">
      <w:pPr>
        <w:spacing w:after="0" w:line="240" w:lineRule="auto"/>
        <w:jc w:val="both"/>
        <w:rPr>
          <w:rFonts w:ascii="Arial" w:hAnsi="Arial" w:cs="Arial"/>
          <w:b/>
          <w:sz w:val="26"/>
          <w:szCs w:val="26"/>
        </w:rPr>
      </w:pPr>
    </w:p>
    <w:p w14:paraId="65340FD1" w14:textId="70CC0A7C" w:rsidR="00A059DD" w:rsidRPr="00E50AE4" w:rsidRDefault="00762499" w:rsidP="00DC54F7">
      <w:pPr>
        <w:jc w:val="both"/>
        <w:rPr>
          <w:rFonts w:ascii="Arial" w:hAnsi="Arial" w:cs="Arial"/>
          <w:b/>
          <w:bCs/>
          <w:sz w:val="24"/>
          <w:szCs w:val="24"/>
        </w:rPr>
      </w:pPr>
      <w:r w:rsidRPr="00E50AE4">
        <w:rPr>
          <w:rFonts w:ascii="Arial" w:hAnsi="Arial" w:cs="Arial"/>
          <w:b/>
          <w:bCs/>
          <w:sz w:val="24"/>
          <w:szCs w:val="24"/>
        </w:rPr>
        <w:t xml:space="preserve">15.1.1 </w:t>
      </w:r>
      <w:r w:rsidR="00A059DD" w:rsidRPr="00E50AE4">
        <w:rPr>
          <w:rFonts w:ascii="Arial" w:hAnsi="Arial" w:cs="Arial"/>
          <w:b/>
          <w:bCs/>
          <w:sz w:val="24"/>
          <w:szCs w:val="24"/>
        </w:rPr>
        <w:t>Population and population projections 2018 to 2028 (2018 based)</w:t>
      </w:r>
    </w:p>
    <w:p w14:paraId="194FB64C" w14:textId="77777777" w:rsidR="00A059DD" w:rsidRPr="00E50AE4" w:rsidRDefault="00A059DD" w:rsidP="00DC54F7">
      <w:pPr>
        <w:spacing w:after="0" w:line="240" w:lineRule="auto"/>
        <w:jc w:val="both"/>
        <w:rPr>
          <w:rFonts w:ascii="Arial" w:hAnsi="Arial" w:cs="Arial"/>
          <w:sz w:val="24"/>
          <w:szCs w:val="24"/>
        </w:rPr>
      </w:pPr>
      <w:r w:rsidRPr="00E50AE4">
        <w:rPr>
          <w:rFonts w:ascii="Arial" w:hAnsi="Arial" w:cs="Arial"/>
          <w:sz w:val="24"/>
          <w:szCs w:val="24"/>
        </w:rPr>
        <w:t xml:space="preserve">As cluster level population data is not routinely collected on an annual basis, </w:t>
      </w:r>
    </w:p>
    <w:p w14:paraId="22112E45" w14:textId="77777777" w:rsidR="00A059DD" w:rsidRPr="00E50AE4" w:rsidRDefault="00A059DD" w:rsidP="00DC54F7">
      <w:pPr>
        <w:spacing w:after="0" w:line="240" w:lineRule="auto"/>
        <w:jc w:val="both"/>
        <w:rPr>
          <w:rFonts w:ascii="Arial" w:hAnsi="Arial" w:cs="Arial"/>
          <w:sz w:val="24"/>
          <w:szCs w:val="24"/>
        </w:rPr>
      </w:pPr>
      <w:r w:rsidRPr="00E50AE4">
        <w:rPr>
          <w:rFonts w:ascii="Arial" w:hAnsi="Arial" w:cs="Arial"/>
          <w:sz w:val="24"/>
          <w:szCs w:val="24"/>
        </w:rPr>
        <w:t>GP registered patient data has been used to provide an indication of cluster population, and local authority based data has been used to provide an indication of population projections.</w:t>
      </w:r>
    </w:p>
    <w:p w14:paraId="0828CA70" w14:textId="77777777" w:rsidR="00A059DD" w:rsidRPr="00E50AE4" w:rsidRDefault="00A059DD" w:rsidP="00DC54F7">
      <w:pPr>
        <w:spacing w:after="0" w:line="240" w:lineRule="auto"/>
        <w:jc w:val="both"/>
        <w:rPr>
          <w:rFonts w:ascii="Arial" w:hAnsi="Arial" w:cs="Arial"/>
          <w:sz w:val="24"/>
          <w:szCs w:val="24"/>
        </w:rPr>
      </w:pPr>
    </w:p>
    <w:p w14:paraId="1FEAD519" w14:textId="77777777" w:rsidR="00A059DD" w:rsidRPr="002861BC" w:rsidRDefault="00A059DD" w:rsidP="00DC54F7">
      <w:pPr>
        <w:spacing w:after="0" w:line="240" w:lineRule="auto"/>
        <w:jc w:val="both"/>
        <w:rPr>
          <w:rFonts w:ascii="Arial" w:hAnsi="Arial" w:cs="Arial"/>
          <w:sz w:val="24"/>
          <w:szCs w:val="24"/>
        </w:rPr>
      </w:pPr>
      <w:r w:rsidRPr="00E50AE4">
        <w:rPr>
          <w:rFonts w:ascii="Arial" w:hAnsi="Arial" w:cs="Arial"/>
          <w:sz w:val="24"/>
          <w:szCs w:val="24"/>
        </w:rPr>
        <w:t>Note that GP registered population data is higher than the corresponding census based mid-year population estimates provided by the Office of National Statistics (ONS) at the local authority and health board level, as outlined in section 2.2. This is most likely due to over registered or ‘ghost patients’ caused by many different factors.</w:t>
      </w:r>
    </w:p>
    <w:p w14:paraId="0EFDF295" w14:textId="77777777" w:rsidR="00A059DD" w:rsidRDefault="00A059DD" w:rsidP="00DC54F7">
      <w:pPr>
        <w:spacing w:after="0" w:line="240" w:lineRule="auto"/>
        <w:jc w:val="both"/>
        <w:rPr>
          <w:rFonts w:ascii="Arial" w:hAnsi="Arial" w:cs="Arial"/>
          <w:b/>
          <w:i/>
          <w:iCs/>
          <w:sz w:val="24"/>
          <w:szCs w:val="24"/>
        </w:rPr>
      </w:pPr>
    </w:p>
    <w:p w14:paraId="3F4FF115" w14:textId="475743B7" w:rsidR="00A059DD" w:rsidRDefault="00A059DD" w:rsidP="00DC54F7">
      <w:pPr>
        <w:spacing w:after="0" w:line="240" w:lineRule="auto"/>
        <w:jc w:val="both"/>
        <w:rPr>
          <w:rFonts w:ascii="Arial" w:hAnsi="Arial" w:cs="Arial"/>
          <w:b/>
          <w:sz w:val="24"/>
          <w:szCs w:val="24"/>
        </w:rPr>
      </w:pPr>
      <w:r w:rsidRPr="00E50AE4">
        <w:rPr>
          <w:rFonts w:ascii="Arial" w:hAnsi="Arial" w:cs="Arial"/>
          <w:b/>
          <w:sz w:val="24"/>
          <w:szCs w:val="24"/>
        </w:rPr>
        <w:t>Table 15: Number of GP registered patients by gender and broad age groups and by cluster, local authority and health board (2019)</w:t>
      </w:r>
    </w:p>
    <w:tbl>
      <w:tblPr>
        <w:tblW w:w="9360" w:type="dxa"/>
        <w:tblLook w:val="04A0" w:firstRow="1" w:lastRow="0" w:firstColumn="1" w:lastColumn="0" w:noHBand="0" w:noVBand="1"/>
      </w:tblPr>
      <w:tblGrid>
        <w:gridCol w:w="2280"/>
        <w:gridCol w:w="1180"/>
        <w:gridCol w:w="1180"/>
        <w:gridCol w:w="1180"/>
        <w:gridCol w:w="1123"/>
        <w:gridCol w:w="997"/>
        <w:gridCol w:w="1420"/>
      </w:tblGrid>
      <w:tr w:rsidR="006445CF" w:rsidRPr="006445CF" w14:paraId="4E72187D" w14:textId="77777777" w:rsidTr="006445CF">
        <w:trPr>
          <w:trHeight w:val="290"/>
        </w:trPr>
        <w:tc>
          <w:tcPr>
            <w:tcW w:w="2280" w:type="dxa"/>
            <w:tcBorders>
              <w:top w:val="single" w:sz="4" w:space="0" w:color="auto"/>
              <w:left w:val="single" w:sz="4" w:space="0" w:color="auto"/>
              <w:bottom w:val="nil"/>
              <w:right w:val="nil"/>
            </w:tcBorders>
            <w:shd w:val="clear" w:color="000000" w:fill="8497B0"/>
            <w:noWrap/>
            <w:vAlign w:val="bottom"/>
            <w:hideMark/>
          </w:tcPr>
          <w:p w14:paraId="017E8BF7"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 </w:t>
            </w:r>
          </w:p>
        </w:tc>
        <w:tc>
          <w:tcPr>
            <w:tcW w:w="1180" w:type="dxa"/>
            <w:tcBorders>
              <w:top w:val="single" w:sz="4" w:space="0" w:color="auto"/>
              <w:left w:val="nil"/>
              <w:bottom w:val="nil"/>
              <w:right w:val="nil"/>
            </w:tcBorders>
            <w:shd w:val="clear" w:color="000000" w:fill="8497B0"/>
            <w:noWrap/>
            <w:vAlign w:val="bottom"/>
            <w:hideMark/>
          </w:tcPr>
          <w:p w14:paraId="6ECC2E09"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Year</w:t>
            </w:r>
          </w:p>
        </w:tc>
        <w:tc>
          <w:tcPr>
            <w:tcW w:w="2360" w:type="dxa"/>
            <w:gridSpan w:val="2"/>
            <w:tcBorders>
              <w:top w:val="single" w:sz="4" w:space="0" w:color="auto"/>
              <w:left w:val="nil"/>
              <w:bottom w:val="nil"/>
              <w:right w:val="nil"/>
            </w:tcBorders>
            <w:shd w:val="clear" w:color="000000" w:fill="8497B0"/>
            <w:noWrap/>
            <w:vAlign w:val="bottom"/>
            <w:hideMark/>
          </w:tcPr>
          <w:p w14:paraId="2A0F0F06"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Gender</w:t>
            </w:r>
          </w:p>
        </w:tc>
        <w:tc>
          <w:tcPr>
            <w:tcW w:w="3540" w:type="dxa"/>
            <w:gridSpan w:val="3"/>
            <w:tcBorders>
              <w:top w:val="single" w:sz="4" w:space="0" w:color="auto"/>
              <w:left w:val="nil"/>
              <w:bottom w:val="nil"/>
              <w:right w:val="single" w:sz="4" w:space="0" w:color="000000"/>
            </w:tcBorders>
            <w:shd w:val="clear" w:color="000000" w:fill="8497B0"/>
            <w:noWrap/>
            <w:vAlign w:val="bottom"/>
            <w:hideMark/>
          </w:tcPr>
          <w:p w14:paraId="1EC03305"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Age range</w:t>
            </w:r>
          </w:p>
        </w:tc>
      </w:tr>
      <w:tr w:rsidR="006445CF" w:rsidRPr="006445CF" w14:paraId="57184090" w14:textId="77777777" w:rsidTr="006445CF">
        <w:trPr>
          <w:trHeight w:val="290"/>
        </w:trPr>
        <w:tc>
          <w:tcPr>
            <w:tcW w:w="2280" w:type="dxa"/>
            <w:tcBorders>
              <w:top w:val="nil"/>
              <w:left w:val="single" w:sz="4" w:space="0" w:color="auto"/>
              <w:bottom w:val="nil"/>
              <w:right w:val="nil"/>
            </w:tcBorders>
            <w:shd w:val="clear" w:color="000000" w:fill="8497B0"/>
            <w:noWrap/>
            <w:vAlign w:val="bottom"/>
            <w:hideMark/>
          </w:tcPr>
          <w:p w14:paraId="0A224CCE"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 </w:t>
            </w:r>
          </w:p>
        </w:tc>
        <w:tc>
          <w:tcPr>
            <w:tcW w:w="1180" w:type="dxa"/>
            <w:tcBorders>
              <w:top w:val="nil"/>
              <w:left w:val="nil"/>
              <w:bottom w:val="nil"/>
              <w:right w:val="nil"/>
            </w:tcBorders>
            <w:shd w:val="clear" w:color="000000" w:fill="8497B0"/>
            <w:noWrap/>
            <w:vAlign w:val="bottom"/>
            <w:hideMark/>
          </w:tcPr>
          <w:p w14:paraId="60E922B2"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2019</w:t>
            </w:r>
          </w:p>
        </w:tc>
        <w:tc>
          <w:tcPr>
            <w:tcW w:w="1180" w:type="dxa"/>
            <w:tcBorders>
              <w:top w:val="nil"/>
              <w:left w:val="nil"/>
              <w:bottom w:val="nil"/>
              <w:right w:val="nil"/>
            </w:tcBorders>
            <w:shd w:val="clear" w:color="000000" w:fill="8497B0"/>
            <w:noWrap/>
            <w:vAlign w:val="bottom"/>
            <w:hideMark/>
          </w:tcPr>
          <w:p w14:paraId="6AE4F8C7"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Female</w:t>
            </w:r>
          </w:p>
        </w:tc>
        <w:tc>
          <w:tcPr>
            <w:tcW w:w="1180" w:type="dxa"/>
            <w:tcBorders>
              <w:top w:val="nil"/>
              <w:left w:val="nil"/>
              <w:bottom w:val="nil"/>
              <w:right w:val="nil"/>
            </w:tcBorders>
            <w:shd w:val="clear" w:color="000000" w:fill="8497B0"/>
            <w:noWrap/>
            <w:vAlign w:val="bottom"/>
            <w:hideMark/>
          </w:tcPr>
          <w:p w14:paraId="6D28DCA2"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Male</w:t>
            </w:r>
          </w:p>
        </w:tc>
        <w:tc>
          <w:tcPr>
            <w:tcW w:w="1123" w:type="dxa"/>
            <w:tcBorders>
              <w:top w:val="nil"/>
              <w:left w:val="nil"/>
              <w:bottom w:val="nil"/>
              <w:right w:val="nil"/>
            </w:tcBorders>
            <w:shd w:val="clear" w:color="000000" w:fill="8497B0"/>
            <w:noWrap/>
            <w:vAlign w:val="bottom"/>
            <w:hideMark/>
          </w:tcPr>
          <w:p w14:paraId="53A513E2"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Under 65</w:t>
            </w:r>
          </w:p>
        </w:tc>
        <w:tc>
          <w:tcPr>
            <w:tcW w:w="997" w:type="dxa"/>
            <w:tcBorders>
              <w:top w:val="nil"/>
              <w:left w:val="nil"/>
              <w:bottom w:val="nil"/>
              <w:right w:val="nil"/>
            </w:tcBorders>
            <w:shd w:val="clear" w:color="000000" w:fill="8497B0"/>
            <w:noWrap/>
            <w:vAlign w:val="bottom"/>
            <w:hideMark/>
          </w:tcPr>
          <w:p w14:paraId="7EF8A7A1"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65 to 84</w:t>
            </w:r>
          </w:p>
        </w:tc>
        <w:tc>
          <w:tcPr>
            <w:tcW w:w="1420" w:type="dxa"/>
            <w:tcBorders>
              <w:top w:val="nil"/>
              <w:left w:val="nil"/>
              <w:bottom w:val="nil"/>
              <w:right w:val="single" w:sz="4" w:space="0" w:color="auto"/>
            </w:tcBorders>
            <w:shd w:val="clear" w:color="000000" w:fill="8497B0"/>
            <w:noWrap/>
            <w:vAlign w:val="bottom"/>
            <w:hideMark/>
          </w:tcPr>
          <w:p w14:paraId="2443C639"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85 and over</w:t>
            </w:r>
          </w:p>
        </w:tc>
      </w:tr>
      <w:tr w:rsidR="006445CF" w:rsidRPr="006445CF" w14:paraId="09915EFF" w14:textId="77777777" w:rsidTr="006445CF">
        <w:trPr>
          <w:trHeight w:val="290"/>
        </w:trPr>
        <w:tc>
          <w:tcPr>
            <w:tcW w:w="2280" w:type="dxa"/>
            <w:tcBorders>
              <w:top w:val="nil"/>
              <w:left w:val="single" w:sz="4" w:space="0" w:color="auto"/>
              <w:bottom w:val="nil"/>
              <w:right w:val="nil"/>
            </w:tcBorders>
            <w:shd w:val="clear" w:color="000000" w:fill="F2F2F2"/>
            <w:noWrap/>
            <w:vAlign w:val="bottom"/>
            <w:hideMark/>
          </w:tcPr>
          <w:p w14:paraId="5871B591"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Eastern Vale</w:t>
            </w:r>
          </w:p>
        </w:tc>
        <w:tc>
          <w:tcPr>
            <w:tcW w:w="1180" w:type="dxa"/>
            <w:tcBorders>
              <w:top w:val="nil"/>
              <w:left w:val="nil"/>
              <w:bottom w:val="nil"/>
              <w:right w:val="nil"/>
            </w:tcBorders>
            <w:shd w:val="clear" w:color="000000" w:fill="F2F2F2"/>
            <w:noWrap/>
            <w:vAlign w:val="bottom"/>
            <w:hideMark/>
          </w:tcPr>
          <w:p w14:paraId="1D4F730A"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36727</w:t>
            </w:r>
          </w:p>
        </w:tc>
        <w:tc>
          <w:tcPr>
            <w:tcW w:w="1180" w:type="dxa"/>
            <w:tcBorders>
              <w:top w:val="nil"/>
              <w:left w:val="nil"/>
              <w:bottom w:val="nil"/>
              <w:right w:val="nil"/>
            </w:tcBorders>
            <w:shd w:val="clear" w:color="000000" w:fill="F2F2F2"/>
            <w:noWrap/>
            <w:vAlign w:val="bottom"/>
            <w:hideMark/>
          </w:tcPr>
          <w:p w14:paraId="0BFD07AD"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18817</w:t>
            </w:r>
          </w:p>
        </w:tc>
        <w:tc>
          <w:tcPr>
            <w:tcW w:w="1180" w:type="dxa"/>
            <w:tcBorders>
              <w:top w:val="nil"/>
              <w:left w:val="nil"/>
              <w:bottom w:val="nil"/>
              <w:right w:val="nil"/>
            </w:tcBorders>
            <w:shd w:val="clear" w:color="000000" w:fill="F2F2F2"/>
            <w:noWrap/>
            <w:vAlign w:val="bottom"/>
            <w:hideMark/>
          </w:tcPr>
          <w:p w14:paraId="051C1E71"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17910</w:t>
            </w:r>
          </w:p>
        </w:tc>
        <w:tc>
          <w:tcPr>
            <w:tcW w:w="1123" w:type="dxa"/>
            <w:tcBorders>
              <w:top w:val="nil"/>
              <w:left w:val="nil"/>
              <w:bottom w:val="nil"/>
              <w:right w:val="nil"/>
            </w:tcBorders>
            <w:shd w:val="clear" w:color="000000" w:fill="F2F2F2"/>
            <w:noWrap/>
            <w:vAlign w:val="bottom"/>
            <w:hideMark/>
          </w:tcPr>
          <w:p w14:paraId="22C87712"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28231</w:t>
            </w:r>
          </w:p>
        </w:tc>
        <w:tc>
          <w:tcPr>
            <w:tcW w:w="997" w:type="dxa"/>
            <w:tcBorders>
              <w:top w:val="nil"/>
              <w:left w:val="nil"/>
              <w:bottom w:val="nil"/>
              <w:right w:val="nil"/>
            </w:tcBorders>
            <w:shd w:val="clear" w:color="000000" w:fill="F2F2F2"/>
            <w:noWrap/>
            <w:vAlign w:val="bottom"/>
            <w:hideMark/>
          </w:tcPr>
          <w:p w14:paraId="7F8CB2D8"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7208</w:t>
            </w:r>
          </w:p>
        </w:tc>
        <w:tc>
          <w:tcPr>
            <w:tcW w:w="1420" w:type="dxa"/>
            <w:tcBorders>
              <w:top w:val="nil"/>
              <w:left w:val="nil"/>
              <w:bottom w:val="nil"/>
              <w:right w:val="single" w:sz="4" w:space="0" w:color="auto"/>
            </w:tcBorders>
            <w:shd w:val="clear" w:color="000000" w:fill="F2F2F2"/>
            <w:noWrap/>
            <w:vAlign w:val="bottom"/>
            <w:hideMark/>
          </w:tcPr>
          <w:p w14:paraId="53B60958"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1288</w:t>
            </w:r>
          </w:p>
        </w:tc>
      </w:tr>
      <w:tr w:rsidR="006445CF" w:rsidRPr="006445CF" w14:paraId="06C90F44" w14:textId="77777777" w:rsidTr="006445CF">
        <w:trPr>
          <w:trHeight w:val="290"/>
        </w:trPr>
        <w:tc>
          <w:tcPr>
            <w:tcW w:w="2280" w:type="dxa"/>
            <w:tcBorders>
              <w:top w:val="nil"/>
              <w:left w:val="single" w:sz="4" w:space="0" w:color="auto"/>
              <w:bottom w:val="nil"/>
              <w:right w:val="nil"/>
            </w:tcBorders>
            <w:shd w:val="clear" w:color="auto" w:fill="auto"/>
            <w:noWrap/>
            <w:vAlign w:val="bottom"/>
            <w:hideMark/>
          </w:tcPr>
          <w:p w14:paraId="28F610F0"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Vale of Glamorgan</w:t>
            </w:r>
          </w:p>
        </w:tc>
        <w:tc>
          <w:tcPr>
            <w:tcW w:w="1180" w:type="dxa"/>
            <w:tcBorders>
              <w:top w:val="nil"/>
              <w:left w:val="nil"/>
              <w:bottom w:val="nil"/>
              <w:right w:val="nil"/>
            </w:tcBorders>
            <w:shd w:val="clear" w:color="auto" w:fill="auto"/>
            <w:noWrap/>
            <w:vAlign w:val="bottom"/>
            <w:hideMark/>
          </w:tcPr>
          <w:p w14:paraId="02F498CA"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131558</w:t>
            </w:r>
          </w:p>
        </w:tc>
        <w:tc>
          <w:tcPr>
            <w:tcW w:w="1180" w:type="dxa"/>
            <w:tcBorders>
              <w:top w:val="nil"/>
              <w:left w:val="nil"/>
              <w:bottom w:val="nil"/>
              <w:right w:val="nil"/>
            </w:tcBorders>
            <w:shd w:val="clear" w:color="auto" w:fill="auto"/>
            <w:noWrap/>
            <w:vAlign w:val="bottom"/>
            <w:hideMark/>
          </w:tcPr>
          <w:p w14:paraId="7C962970"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66983</w:t>
            </w:r>
          </w:p>
        </w:tc>
        <w:tc>
          <w:tcPr>
            <w:tcW w:w="1180" w:type="dxa"/>
            <w:tcBorders>
              <w:top w:val="nil"/>
              <w:left w:val="nil"/>
              <w:bottom w:val="nil"/>
              <w:right w:val="nil"/>
            </w:tcBorders>
            <w:shd w:val="clear" w:color="auto" w:fill="auto"/>
            <w:noWrap/>
            <w:vAlign w:val="bottom"/>
            <w:hideMark/>
          </w:tcPr>
          <w:p w14:paraId="27C0A667"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64575</w:t>
            </w:r>
          </w:p>
        </w:tc>
        <w:tc>
          <w:tcPr>
            <w:tcW w:w="1123" w:type="dxa"/>
            <w:tcBorders>
              <w:top w:val="nil"/>
              <w:left w:val="nil"/>
              <w:bottom w:val="nil"/>
              <w:right w:val="nil"/>
            </w:tcBorders>
            <w:shd w:val="clear" w:color="auto" w:fill="auto"/>
            <w:noWrap/>
            <w:vAlign w:val="bottom"/>
            <w:hideMark/>
          </w:tcPr>
          <w:p w14:paraId="24BC7970"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104113</w:t>
            </w:r>
          </w:p>
        </w:tc>
        <w:tc>
          <w:tcPr>
            <w:tcW w:w="997" w:type="dxa"/>
            <w:tcBorders>
              <w:top w:val="nil"/>
              <w:left w:val="nil"/>
              <w:bottom w:val="nil"/>
              <w:right w:val="nil"/>
            </w:tcBorders>
            <w:shd w:val="clear" w:color="auto" w:fill="auto"/>
            <w:noWrap/>
            <w:vAlign w:val="bottom"/>
            <w:hideMark/>
          </w:tcPr>
          <w:p w14:paraId="6D8B841E"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23813</w:t>
            </w:r>
          </w:p>
        </w:tc>
        <w:tc>
          <w:tcPr>
            <w:tcW w:w="1420" w:type="dxa"/>
            <w:tcBorders>
              <w:top w:val="nil"/>
              <w:left w:val="nil"/>
              <w:bottom w:val="nil"/>
              <w:right w:val="single" w:sz="4" w:space="0" w:color="auto"/>
            </w:tcBorders>
            <w:shd w:val="clear" w:color="auto" w:fill="auto"/>
            <w:noWrap/>
            <w:vAlign w:val="bottom"/>
            <w:hideMark/>
          </w:tcPr>
          <w:p w14:paraId="1C586936"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3632</w:t>
            </w:r>
          </w:p>
        </w:tc>
      </w:tr>
      <w:tr w:rsidR="006445CF" w:rsidRPr="006445CF" w14:paraId="344B6F6A" w14:textId="77777777" w:rsidTr="006445CF">
        <w:trPr>
          <w:trHeight w:val="290"/>
        </w:trPr>
        <w:tc>
          <w:tcPr>
            <w:tcW w:w="2280" w:type="dxa"/>
            <w:tcBorders>
              <w:top w:val="nil"/>
              <w:left w:val="single" w:sz="4" w:space="0" w:color="auto"/>
              <w:bottom w:val="single" w:sz="4" w:space="0" w:color="auto"/>
              <w:right w:val="nil"/>
            </w:tcBorders>
            <w:shd w:val="clear" w:color="000000" w:fill="F2F2F2"/>
            <w:noWrap/>
            <w:vAlign w:val="bottom"/>
            <w:hideMark/>
          </w:tcPr>
          <w:p w14:paraId="6A5B6497"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Cardiff and Vale UHB</w:t>
            </w:r>
          </w:p>
        </w:tc>
        <w:tc>
          <w:tcPr>
            <w:tcW w:w="1180" w:type="dxa"/>
            <w:tcBorders>
              <w:top w:val="nil"/>
              <w:left w:val="nil"/>
              <w:bottom w:val="single" w:sz="4" w:space="0" w:color="auto"/>
              <w:right w:val="nil"/>
            </w:tcBorders>
            <w:shd w:val="clear" w:color="000000" w:fill="F2F2F2"/>
            <w:noWrap/>
            <w:vAlign w:val="bottom"/>
            <w:hideMark/>
          </w:tcPr>
          <w:p w14:paraId="4F2EDA3C"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521177</w:t>
            </w:r>
          </w:p>
        </w:tc>
        <w:tc>
          <w:tcPr>
            <w:tcW w:w="1180" w:type="dxa"/>
            <w:tcBorders>
              <w:top w:val="nil"/>
              <w:left w:val="nil"/>
              <w:bottom w:val="single" w:sz="4" w:space="0" w:color="auto"/>
              <w:right w:val="nil"/>
            </w:tcBorders>
            <w:shd w:val="clear" w:color="000000" w:fill="F2F2F2"/>
            <w:noWrap/>
            <w:vAlign w:val="bottom"/>
            <w:hideMark/>
          </w:tcPr>
          <w:p w14:paraId="5377006B"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260027</w:t>
            </w:r>
          </w:p>
        </w:tc>
        <w:tc>
          <w:tcPr>
            <w:tcW w:w="1180" w:type="dxa"/>
            <w:tcBorders>
              <w:top w:val="nil"/>
              <w:left w:val="nil"/>
              <w:bottom w:val="single" w:sz="4" w:space="0" w:color="auto"/>
              <w:right w:val="nil"/>
            </w:tcBorders>
            <w:shd w:val="clear" w:color="000000" w:fill="F2F2F2"/>
            <w:noWrap/>
            <w:vAlign w:val="bottom"/>
            <w:hideMark/>
          </w:tcPr>
          <w:p w14:paraId="1757F3CC"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261150</w:t>
            </w:r>
          </w:p>
        </w:tc>
        <w:tc>
          <w:tcPr>
            <w:tcW w:w="1123" w:type="dxa"/>
            <w:tcBorders>
              <w:top w:val="nil"/>
              <w:left w:val="nil"/>
              <w:bottom w:val="single" w:sz="4" w:space="0" w:color="auto"/>
              <w:right w:val="nil"/>
            </w:tcBorders>
            <w:shd w:val="clear" w:color="000000" w:fill="F2F2F2"/>
            <w:noWrap/>
            <w:vAlign w:val="bottom"/>
            <w:hideMark/>
          </w:tcPr>
          <w:p w14:paraId="2430944E"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439365</w:t>
            </w:r>
          </w:p>
        </w:tc>
        <w:tc>
          <w:tcPr>
            <w:tcW w:w="997" w:type="dxa"/>
            <w:tcBorders>
              <w:top w:val="nil"/>
              <w:left w:val="nil"/>
              <w:bottom w:val="single" w:sz="4" w:space="0" w:color="auto"/>
              <w:right w:val="nil"/>
            </w:tcBorders>
            <w:shd w:val="clear" w:color="000000" w:fill="F2F2F2"/>
            <w:noWrap/>
            <w:vAlign w:val="bottom"/>
            <w:hideMark/>
          </w:tcPr>
          <w:p w14:paraId="76B63AD7"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70412</w:t>
            </w:r>
          </w:p>
        </w:tc>
        <w:tc>
          <w:tcPr>
            <w:tcW w:w="1420" w:type="dxa"/>
            <w:tcBorders>
              <w:top w:val="nil"/>
              <w:left w:val="nil"/>
              <w:bottom w:val="single" w:sz="4" w:space="0" w:color="auto"/>
              <w:right w:val="single" w:sz="4" w:space="0" w:color="auto"/>
            </w:tcBorders>
            <w:shd w:val="clear" w:color="000000" w:fill="F2F2F2"/>
            <w:noWrap/>
            <w:vAlign w:val="bottom"/>
            <w:hideMark/>
          </w:tcPr>
          <w:p w14:paraId="47FC4763" w14:textId="77777777" w:rsidR="006445CF" w:rsidRPr="006445CF" w:rsidRDefault="006445CF" w:rsidP="00DC54F7">
            <w:pPr>
              <w:spacing w:after="0" w:line="240" w:lineRule="auto"/>
              <w:jc w:val="both"/>
              <w:rPr>
                <w:rFonts w:ascii="Calibri" w:eastAsia="Times New Roman" w:hAnsi="Calibri" w:cs="Calibri"/>
                <w:color w:val="000000"/>
                <w:lang w:eastAsia="en-GB"/>
              </w:rPr>
            </w:pPr>
            <w:r w:rsidRPr="006445CF">
              <w:rPr>
                <w:rFonts w:ascii="Calibri" w:eastAsia="Times New Roman" w:hAnsi="Calibri" w:cs="Calibri"/>
                <w:color w:val="000000"/>
                <w:lang w:eastAsia="en-GB"/>
              </w:rPr>
              <w:t>11400</w:t>
            </w:r>
          </w:p>
        </w:tc>
      </w:tr>
    </w:tbl>
    <w:p w14:paraId="6A269521" w14:textId="0256395C" w:rsidR="00A059DD" w:rsidRPr="00111A01" w:rsidRDefault="00111A01" w:rsidP="00DC54F7">
      <w:pPr>
        <w:jc w:val="both"/>
        <w:rPr>
          <w:rFonts w:ascii="Arial" w:hAnsi="Arial" w:cs="Arial"/>
          <w:sz w:val="20"/>
          <w:szCs w:val="20"/>
        </w:rPr>
      </w:pPr>
      <w:r w:rsidRPr="00111A01">
        <w:rPr>
          <w:rFonts w:ascii="Arial" w:hAnsi="Arial" w:cs="Arial"/>
          <w:sz w:val="20"/>
          <w:szCs w:val="20"/>
        </w:rPr>
        <w:t>Source: StatsWales - NHS Wales Shared Services Partnership.</w:t>
      </w:r>
    </w:p>
    <w:p w14:paraId="5A72C1E1" w14:textId="77777777" w:rsidR="0008459A" w:rsidRPr="00762499" w:rsidRDefault="0008459A" w:rsidP="00DC54F7">
      <w:pPr>
        <w:spacing w:after="0" w:line="240" w:lineRule="auto"/>
        <w:jc w:val="both"/>
        <w:rPr>
          <w:rFonts w:ascii="Arial" w:hAnsi="Arial" w:cs="Arial"/>
          <w:sz w:val="24"/>
          <w:szCs w:val="24"/>
        </w:rPr>
      </w:pPr>
      <w:r w:rsidRPr="00762499">
        <w:rPr>
          <w:rFonts w:ascii="Arial" w:hAnsi="Arial" w:cs="Arial"/>
          <w:sz w:val="24"/>
          <w:szCs w:val="24"/>
        </w:rPr>
        <w:t>Between 2018 to 2028, the population of the Vale of Glamorgan is projected to increase by up to 6%, the second largest percentage increase of all the local authorities within Wales. It is expected to have a population of around 140,000 by 2028, making it the tenth largest local authority in Wales. The increase in population will mainly be driven by net migration i.e. more people moving into the area than out. The number of births is expected to increase over this period as is the number of deaths, resulting in a negative natural change (more deaths than births). The population is expected to increase across all broad age groups. Overall, there will be a small increase in the number of children and young people aged 0 to 15 years old and in the working-age population aged 16 to 64 years old. The largest population increases will be in the over 65 age group, where the Vale of Glamorgan is expected to have the largest increase of all local authorities at up to 20.5%. This is followed by the 75 or over age group. The population is projected to continue to age in the local authority.</w:t>
      </w:r>
    </w:p>
    <w:p w14:paraId="7F84C4AD" w14:textId="4AE53F1C" w:rsidR="0008459A" w:rsidRDefault="0008459A" w:rsidP="00DC54F7">
      <w:pPr>
        <w:spacing w:after="0" w:line="240" w:lineRule="auto"/>
        <w:jc w:val="both"/>
        <w:rPr>
          <w:rFonts w:ascii="Arial" w:hAnsi="Arial" w:cs="Arial"/>
          <w:b/>
        </w:rPr>
      </w:pPr>
    </w:p>
    <w:p w14:paraId="57B2F6F4" w14:textId="77777777" w:rsidR="00762499" w:rsidRDefault="00762499" w:rsidP="00DC54F7">
      <w:pPr>
        <w:spacing w:after="0" w:line="240" w:lineRule="auto"/>
        <w:jc w:val="both"/>
        <w:rPr>
          <w:rFonts w:ascii="Arial" w:hAnsi="Arial" w:cs="Arial"/>
          <w:b/>
        </w:rPr>
      </w:pPr>
    </w:p>
    <w:p w14:paraId="02949187" w14:textId="0263D4BE" w:rsidR="00FF1EE9" w:rsidRPr="00D20B69" w:rsidRDefault="00762499" w:rsidP="00DC54F7">
      <w:pPr>
        <w:spacing w:after="0" w:line="240" w:lineRule="auto"/>
        <w:jc w:val="both"/>
        <w:rPr>
          <w:rFonts w:ascii="Arial" w:hAnsi="Arial" w:cs="Arial"/>
          <w:b/>
          <w:bCs/>
          <w:sz w:val="24"/>
          <w:szCs w:val="24"/>
        </w:rPr>
      </w:pPr>
      <w:r>
        <w:rPr>
          <w:rFonts w:ascii="Arial" w:hAnsi="Arial" w:cs="Arial"/>
          <w:b/>
          <w:bCs/>
          <w:sz w:val="24"/>
          <w:szCs w:val="24"/>
        </w:rPr>
        <w:t xml:space="preserve">15.1.2 </w:t>
      </w:r>
      <w:r w:rsidR="00FF1EE9" w:rsidRPr="00D20B69">
        <w:rPr>
          <w:rFonts w:ascii="Arial" w:hAnsi="Arial" w:cs="Arial"/>
          <w:b/>
          <w:bCs/>
          <w:sz w:val="24"/>
          <w:szCs w:val="24"/>
        </w:rPr>
        <w:t>Life expectancy, healthy life expectancy and the ‘inequality gap’</w:t>
      </w:r>
    </w:p>
    <w:p w14:paraId="189F9DC5" w14:textId="77777777" w:rsidR="00FF1EE9" w:rsidRPr="00DB7FBC" w:rsidRDefault="00FF1EE9" w:rsidP="00DC54F7">
      <w:pPr>
        <w:spacing w:after="0" w:line="240" w:lineRule="auto"/>
        <w:jc w:val="both"/>
        <w:rPr>
          <w:rFonts w:ascii="Arial" w:hAnsi="Arial" w:cs="Arial"/>
          <w:b/>
          <w:bCs/>
        </w:rPr>
      </w:pPr>
      <w:r>
        <w:rPr>
          <w:rFonts w:ascii="Arial" w:hAnsi="Arial" w:cs="Arial"/>
          <w:b/>
          <w:bCs/>
        </w:rPr>
        <w:t xml:space="preserve"> </w:t>
      </w:r>
    </w:p>
    <w:p w14:paraId="3E744B1C" w14:textId="77777777" w:rsidR="00FF1EE9" w:rsidRPr="00762499" w:rsidRDefault="00FF1EE9" w:rsidP="00DC54F7">
      <w:pPr>
        <w:spacing w:after="0" w:line="240" w:lineRule="auto"/>
        <w:jc w:val="both"/>
        <w:rPr>
          <w:rFonts w:ascii="Arial" w:hAnsi="Arial" w:cs="Arial"/>
          <w:sz w:val="24"/>
          <w:szCs w:val="24"/>
        </w:rPr>
      </w:pPr>
      <w:r w:rsidRPr="00762499">
        <w:rPr>
          <w:rFonts w:ascii="Arial" w:hAnsi="Arial" w:cs="Arial"/>
          <w:sz w:val="24"/>
          <w:szCs w:val="24"/>
        </w:rPr>
        <w:t xml:space="preserve">Life expectancy at birth in the Vale of Glamorgan is higher than the average for Wales and the health board for both females and males, for 2015 to 2017. The difference in life expectancy that exists across an area between the most and least deprived areas is referred to as the ‘inequality gap’. The inequality gap in life expectancy at birth between the most and least deprived fifth, for the Vale of Glamorgan is narrower than </w:t>
      </w:r>
      <w:r w:rsidRPr="00762499">
        <w:rPr>
          <w:rFonts w:ascii="Arial" w:hAnsi="Arial" w:cs="Arial"/>
          <w:sz w:val="24"/>
          <w:szCs w:val="24"/>
        </w:rPr>
        <w:lastRenderedPageBreak/>
        <w:t>the average for Wales and the health board for both females and males. The healthy life expectancy (the number of years a person can expect to live in good health) in the Vale of Glamorgan is also higher than the average for Wales and the health board for both females and males.</w:t>
      </w:r>
    </w:p>
    <w:p w14:paraId="0E725907" w14:textId="77777777" w:rsidR="00FF1EE9" w:rsidRDefault="00FF1EE9" w:rsidP="00DC54F7">
      <w:pPr>
        <w:spacing w:after="0" w:line="240" w:lineRule="auto"/>
        <w:jc w:val="both"/>
        <w:rPr>
          <w:rFonts w:ascii="Arial" w:hAnsi="Arial" w:cs="Arial"/>
          <w:b/>
          <w:bCs/>
        </w:rPr>
      </w:pPr>
    </w:p>
    <w:p w14:paraId="53CE0B94" w14:textId="3267609C" w:rsidR="00FF1EE9" w:rsidRPr="00762499" w:rsidRDefault="00FF1EE9" w:rsidP="00DC54F7">
      <w:pPr>
        <w:spacing w:after="0" w:line="240" w:lineRule="auto"/>
        <w:jc w:val="both"/>
        <w:rPr>
          <w:rFonts w:ascii="Arial" w:hAnsi="Arial" w:cs="Arial"/>
          <w:b/>
          <w:bCs/>
          <w:sz w:val="24"/>
          <w:szCs w:val="24"/>
        </w:rPr>
      </w:pPr>
      <w:r w:rsidRPr="00762499">
        <w:rPr>
          <w:rFonts w:ascii="Arial" w:hAnsi="Arial" w:cs="Arial"/>
          <w:b/>
          <w:bCs/>
          <w:sz w:val="24"/>
          <w:szCs w:val="24"/>
        </w:rPr>
        <w:t xml:space="preserve">Table 15.1: Life expectancy, healthy life expectancy and the ‘inequality gap’ (2015 to 2017) </w:t>
      </w:r>
    </w:p>
    <w:tbl>
      <w:tblPr>
        <w:tblW w:w="954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263"/>
        <w:gridCol w:w="1017"/>
        <w:gridCol w:w="1253"/>
        <w:gridCol w:w="158"/>
        <w:gridCol w:w="1096"/>
        <w:gridCol w:w="1253"/>
        <w:gridCol w:w="79"/>
        <w:gridCol w:w="1175"/>
        <w:gridCol w:w="1254"/>
      </w:tblGrid>
      <w:tr w:rsidR="004C1C6A" w:rsidRPr="00847226" w14:paraId="318165F4" w14:textId="77777777" w:rsidTr="00AA572E">
        <w:trPr>
          <w:trHeight w:val="397"/>
        </w:trPr>
        <w:tc>
          <w:tcPr>
            <w:tcW w:w="2263" w:type="dxa"/>
            <w:shd w:val="clear" w:color="000000" w:fill="8497B0"/>
            <w:noWrap/>
            <w:vAlign w:val="bottom"/>
            <w:hideMark/>
          </w:tcPr>
          <w:p w14:paraId="59F347A9" w14:textId="77777777" w:rsidR="004C1C6A" w:rsidRPr="00762499" w:rsidRDefault="004C1C6A" w:rsidP="00DC54F7">
            <w:pPr>
              <w:spacing w:after="0" w:line="240" w:lineRule="auto"/>
              <w:jc w:val="both"/>
              <w:rPr>
                <w:rFonts w:eastAsia="Times New Roman" w:cstheme="minorHAnsi"/>
                <w:lang w:eastAsia="en-GB"/>
              </w:rPr>
            </w:pPr>
            <w:r w:rsidRPr="00762499">
              <w:rPr>
                <w:rFonts w:eastAsia="Times New Roman" w:cstheme="minorHAnsi"/>
                <w:lang w:eastAsia="en-GB"/>
              </w:rPr>
              <w:t> </w:t>
            </w:r>
          </w:p>
        </w:tc>
        <w:tc>
          <w:tcPr>
            <w:tcW w:w="2428" w:type="dxa"/>
            <w:gridSpan w:val="3"/>
            <w:shd w:val="clear" w:color="000000" w:fill="8497B0"/>
            <w:noWrap/>
            <w:vAlign w:val="bottom"/>
            <w:hideMark/>
          </w:tcPr>
          <w:p w14:paraId="65110DD0" w14:textId="77777777" w:rsidR="004C1C6A" w:rsidRPr="00762499" w:rsidRDefault="004C1C6A" w:rsidP="00DC54F7">
            <w:pPr>
              <w:spacing w:after="0" w:line="240" w:lineRule="auto"/>
              <w:jc w:val="both"/>
              <w:rPr>
                <w:rFonts w:eastAsia="Times New Roman" w:cstheme="minorHAnsi"/>
                <w:b/>
                <w:bCs/>
                <w:color w:val="FFFFFF"/>
                <w:lang w:eastAsia="en-GB"/>
              </w:rPr>
            </w:pPr>
            <w:r w:rsidRPr="00762499">
              <w:rPr>
                <w:rFonts w:eastAsia="Times New Roman" w:cstheme="minorHAnsi"/>
                <w:b/>
                <w:bCs/>
                <w:color w:val="FFFFFF"/>
                <w:lang w:eastAsia="en-GB"/>
              </w:rPr>
              <w:t>Life expectancy at birth (years)</w:t>
            </w:r>
          </w:p>
        </w:tc>
        <w:tc>
          <w:tcPr>
            <w:tcW w:w="2428" w:type="dxa"/>
            <w:gridSpan w:val="3"/>
            <w:shd w:val="clear" w:color="000000" w:fill="8497B0"/>
            <w:noWrap/>
            <w:vAlign w:val="bottom"/>
            <w:hideMark/>
          </w:tcPr>
          <w:p w14:paraId="5A4BC239" w14:textId="77777777" w:rsidR="004C1C6A" w:rsidRPr="00762499" w:rsidRDefault="004C1C6A" w:rsidP="00DC54F7">
            <w:pPr>
              <w:spacing w:after="0" w:line="240" w:lineRule="auto"/>
              <w:jc w:val="both"/>
              <w:rPr>
                <w:rFonts w:eastAsia="Times New Roman" w:cstheme="minorHAnsi"/>
                <w:b/>
                <w:bCs/>
                <w:color w:val="FFFFFF"/>
                <w:lang w:eastAsia="en-GB"/>
              </w:rPr>
            </w:pPr>
            <w:r w:rsidRPr="00762499">
              <w:rPr>
                <w:rFonts w:eastAsia="Times New Roman" w:cstheme="minorHAnsi"/>
                <w:b/>
                <w:bCs/>
                <w:color w:val="FFFFFF"/>
                <w:lang w:eastAsia="en-GB"/>
              </w:rPr>
              <w:t>Healthy life expectancy (years)</w:t>
            </w:r>
          </w:p>
        </w:tc>
        <w:tc>
          <w:tcPr>
            <w:tcW w:w="2429" w:type="dxa"/>
            <w:gridSpan w:val="2"/>
            <w:shd w:val="clear" w:color="000000" w:fill="8497B0"/>
            <w:noWrap/>
            <w:vAlign w:val="bottom"/>
            <w:hideMark/>
          </w:tcPr>
          <w:p w14:paraId="2766E07F" w14:textId="77777777" w:rsidR="004C1C6A" w:rsidRPr="00762499" w:rsidRDefault="004C1C6A" w:rsidP="00DC54F7">
            <w:pPr>
              <w:spacing w:after="0" w:line="240" w:lineRule="auto"/>
              <w:jc w:val="both"/>
              <w:rPr>
                <w:rFonts w:eastAsia="Times New Roman" w:cstheme="minorHAnsi"/>
                <w:b/>
                <w:bCs/>
                <w:color w:val="FFFFFF"/>
                <w:lang w:eastAsia="en-GB"/>
              </w:rPr>
            </w:pPr>
            <w:r w:rsidRPr="00762499">
              <w:rPr>
                <w:rFonts w:eastAsia="Times New Roman" w:cstheme="minorHAnsi"/>
                <w:b/>
                <w:bCs/>
                <w:color w:val="FFFFFF"/>
                <w:lang w:eastAsia="en-GB"/>
              </w:rPr>
              <w:t>Inequality gap</w:t>
            </w:r>
          </w:p>
          <w:p w14:paraId="30BF2F2C" w14:textId="77777777" w:rsidR="004C1C6A" w:rsidRPr="00762499" w:rsidRDefault="004C1C6A" w:rsidP="00DC54F7">
            <w:pPr>
              <w:spacing w:after="0" w:line="240" w:lineRule="auto"/>
              <w:jc w:val="both"/>
              <w:rPr>
                <w:rFonts w:eastAsia="Times New Roman" w:cstheme="minorHAnsi"/>
                <w:b/>
                <w:bCs/>
                <w:color w:val="FFFFFF"/>
                <w:lang w:eastAsia="en-GB"/>
              </w:rPr>
            </w:pPr>
            <w:r w:rsidRPr="00762499">
              <w:rPr>
                <w:rFonts w:eastAsia="Times New Roman" w:cstheme="minorHAnsi"/>
                <w:b/>
                <w:bCs/>
                <w:color w:val="FFFFFF"/>
                <w:lang w:eastAsia="en-GB"/>
              </w:rPr>
              <w:t xml:space="preserve"> (years)</w:t>
            </w:r>
          </w:p>
        </w:tc>
      </w:tr>
      <w:tr w:rsidR="004C1C6A" w:rsidRPr="00847226" w14:paraId="5D6A806B" w14:textId="77777777" w:rsidTr="00AA572E">
        <w:trPr>
          <w:trHeight w:val="397"/>
        </w:trPr>
        <w:tc>
          <w:tcPr>
            <w:tcW w:w="2263" w:type="dxa"/>
            <w:shd w:val="clear" w:color="000000" w:fill="8497B0"/>
            <w:noWrap/>
            <w:vAlign w:val="bottom"/>
            <w:hideMark/>
          </w:tcPr>
          <w:p w14:paraId="4C31199B" w14:textId="77777777" w:rsidR="004C1C6A" w:rsidRPr="00762499" w:rsidRDefault="004C1C6A" w:rsidP="00DC54F7">
            <w:pPr>
              <w:spacing w:after="0" w:line="240" w:lineRule="auto"/>
              <w:jc w:val="both"/>
              <w:rPr>
                <w:rFonts w:eastAsia="Times New Roman" w:cstheme="minorHAnsi"/>
                <w:b/>
                <w:bCs/>
                <w:color w:val="FFFFFF"/>
                <w:lang w:eastAsia="en-GB"/>
              </w:rPr>
            </w:pPr>
            <w:r w:rsidRPr="00762499">
              <w:rPr>
                <w:rFonts w:eastAsia="Times New Roman" w:cstheme="minorHAnsi"/>
                <w:b/>
                <w:bCs/>
                <w:color w:val="FFFFFF"/>
                <w:lang w:eastAsia="en-GB"/>
              </w:rPr>
              <w:t> </w:t>
            </w:r>
          </w:p>
        </w:tc>
        <w:tc>
          <w:tcPr>
            <w:tcW w:w="1017" w:type="dxa"/>
            <w:shd w:val="clear" w:color="000000" w:fill="8497B0"/>
            <w:vAlign w:val="center"/>
            <w:hideMark/>
          </w:tcPr>
          <w:p w14:paraId="12B03297" w14:textId="77777777" w:rsidR="004C1C6A" w:rsidRPr="00762499" w:rsidRDefault="004C1C6A" w:rsidP="00DC54F7">
            <w:pPr>
              <w:spacing w:after="0" w:line="240" w:lineRule="auto"/>
              <w:jc w:val="both"/>
              <w:rPr>
                <w:rFonts w:eastAsia="Times New Roman" w:cstheme="minorHAnsi"/>
                <w:b/>
                <w:bCs/>
                <w:color w:val="FFFFFF"/>
                <w:lang w:eastAsia="en-GB"/>
              </w:rPr>
            </w:pPr>
            <w:r w:rsidRPr="00762499">
              <w:rPr>
                <w:rFonts w:eastAsia="Times New Roman" w:cstheme="minorHAnsi"/>
                <w:b/>
                <w:bCs/>
                <w:color w:val="FFFFFF"/>
                <w:lang w:eastAsia="en-GB"/>
              </w:rPr>
              <w:t>Females</w:t>
            </w:r>
          </w:p>
        </w:tc>
        <w:tc>
          <w:tcPr>
            <w:tcW w:w="1253" w:type="dxa"/>
            <w:shd w:val="clear" w:color="000000" w:fill="8497B0"/>
            <w:vAlign w:val="center"/>
            <w:hideMark/>
          </w:tcPr>
          <w:p w14:paraId="0C91982F" w14:textId="77777777" w:rsidR="004C1C6A" w:rsidRPr="00762499" w:rsidRDefault="004C1C6A" w:rsidP="00DC54F7">
            <w:pPr>
              <w:spacing w:after="0" w:line="240" w:lineRule="auto"/>
              <w:jc w:val="both"/>
              <w:rPr>
                <w:rFonts w:eastAsia="Times New Roman" w:cstheme="minorHAnsi"/>
                <w:b/>
                <w:bCs/>
                <w:color w:val="FFFFFF"/>
                <w:lang w:eastAsia="en-GB"/>
              </w:rPr>
            </w:pPr>
            <w:r w:rsidRPr="00762499">
              <w:rPr>
                <w:rFonts w:eastAsia="Times New Roman" w:cstheme="minorHAnsi"/>
                <w:b/>
                <w:bCs/>
                <w:color w:val="FFFFFF"/>
                <w:lang w:eastAsia="en-GB"/>
              </w:rPr>
              <w:t>Males</w:t>
            </w:r>
          </w:p>
        </w:tc>
        <w:tc>
          <w:tcPr>
            <w:tcW w:w="1254" w:type="dxa"/>
            <w:gridSpan w:val="2"/>
            <w:shd w:val="clear" w:color="000000" w:fill="8497B0"/>
            <w:vAlign w:val="center"/>
            <w:hideMark/>
          </w:tcPr>
          <w:p w14:paraId="488807EF" w14:textId="77777777" w:rsidR="004C1C6A" w:rsidRPr="00762499" w:rsidRDefault="004C1C6A" w:rsidP="00DC54F7">
            <w:pPr>
              <w:spacing w:after="0" w:line="240" w:lineRule="auto"/>
              <w:jc w:val="both"/>
              <w:rPr>
                <w:rFonts w:eastAsia="Times New Roman" w:cstheme="minorHAnsi"/>
                <w:b/>
                <w:bCs/>
                <w:color w:val="FFFFFF"/>
                <w:lang w:eastAsia="en-GB"/>
              </w:rPr>
            </w:pPr>
            <w:r w:rsidRPr="00762499">
              <w:rPr>
                <w:rFonts w:eastAsia="Times New Roman" w:cstheme="minorHAnsi"/>
                <w:b/>
                <w:bCs/>
                <w:color w:val="FFFFFF"/>
                <w:lang w:eastAsia="en-GB"/>
              </w:rPr>
              <w:t>Females</w:t>
            </w:r>
          </w:p>
        </w:tc>
        <w:tc>
          <w:tcPr>
            <w:tcW w:w="1253" w:type="dxa"/>
            <w:shd w:val="clear" w:color="000000" w:fill="8497B0"/>
            <w:vAlign w:val="center"/>
            <w:hideMark/>
          </w:tcPr>
          <w:p w14:paraId="25A532E5" w14:textId="77777777" w:rsidR="004C1C6A" w:rsidRPr="00762499" w:rsidRDefault="004C1C6A" w:rsidP="00DC54F7">
            <w:pPr>
              <w:spacing w:after="0" w:line="240" w:lineRule="auto"/>
              <w:jc w:val="both"/>
              <w:rPr>
                <w:rFonts w:eastAsia="Times New Roman" w:cstheme="minorHAnsi"/>
                <w:b/>
                <w:bCs/>
                <w:color w:val="FFFFFF"/>
                <w:lang w:eastAsia="en-GB"/>
              </w:rPr>
            </w:pPr>
            <w:r w:rsidRPr="00762499">
              <w:rPr>
                <w:rFonts w:eastAsia="Times New Roman" w:cstheme="minorHAnsi"/>
                <w:b/>
                <w:bCs/>
                <w:color w:val="FFFFFF"/>
                <w:lang w:eastAsia="en-GB"/>
              </w:rPr>
              <w:t>Males</w:t>
            </w:r>
          </w:p>
        </w:tc>
        <w:tc>
          <w:tcPr>
            <w:tcW w:w="1254" w:type="dxa"/>
            <w:gridSpan w:val="2"/>
            <w:shd w:val="clear" w:color="000000" w:fill="8497B0"/>
            <w:vAlign w:val="center"/>
            <w:hideMark/>
          </w:tcPr>
          <w:p w14:paraId="4D9E3137" w14:textId="77777777" w:rsidR="004C1C6A" w:rsidRPr="00762499" w:rsidRDefault="004C1C6A" w:rsidP="00DC54F7">
            <w:pPr>
              <w:spacing w:after="0" w:line="240" w:lineRule="auto"/>
              <w:jc w:val="both"/>
              <w:rPr>
                <w:rFonts w:eastAsia="Times New Roman" w:cstheme="minorHAnsi"/>
                <w:b/>
                <w:bCs/>
                <w:color w:val="FFFFFF"/>
                <w:lang w:eastAsia="en-GB"/>
              </w:rPr>
            </w:pPr>
            <w:r w:rsidRPr="00762499">
              <w:rPr>
                <w:rFonts w:eastAsia="Times New Roman" w:cstheme="minorHAnsi"/>
                <w:b/>
                <w:bCs/>
                <w:color w:val="FFFFFF"/>
                <w:lang w:eastAsia="en-GB"/>
              </w:rPr>
              <w:t>Females</w:t>
            </w:r>
          </w:p>
        </w:tc>
        <w:tc>
          <w:tcPr>
            <w:tcW w:w="1254" w:type="dxa"/>
            <w:shd w:val="clear" w:color="000000" w:fill="8497B0"/>
            <w:vAlign w:val="center"/>
            <w:hideMark/>
          </w:tcPr>
          <w:p w14:paraId="48D2E365" w14:textId="77777777" w:rsidR="004C1C6A" w:rsidRPr="00762499" w:rsidRDefault="004C1C6A" w:rsidP="00DC54F7">
            <w:pPr>
              <w:spacing w:after="0" w:line="240" w:lineRule="auto"/>
              <w:jc w:val="both"/>
              <w:rPr>
                <w:rFonts w:eastAsia="Times New Roman" w:cstheme="minorHAnsi"/>
                <w:b/>
                <w:bCs/>
                <w:color w:val="FFFFFF"/>
                <w:lang w:eastAsia="en-GB"/>
              </w:rPr>
            </w:pPr>
            <w:r w:rsidRPr="00762499">
              <w:rPr>
                <w:rFonts w:eastAsia="Times New Roman" w:cstheme="minorHAnsi"/>
                <w:b/>
                <w:bCs/>
                <w:color w:val="FFFFFF"/>
                <w:lang w:eastAsia="en-GB"/>
              </w:rPr>
              <w:t>Males</w:t>
            </w:r>
          </w:p>
        </w:tc>
      </w:tr>
      <w:tr w:rsidR="004C1C6A" w:rsidRPr="00847226" w14:paraId="002A9230" w14:textId="77777777" w:rsidTr="004F75F8">
        <w:trPr>
          <w:trHeight w:val="283"/>
        </w:trPr>
        <w:tc>
          <w:tcPr>
            <w:tcW w:w="2263" w:type="dxa"/>
            <w:shd w:val="clear" w:color="000000" w:fill="F2F2F2"/>
            <w:noWrap/>
            <w:vAlign w:val="bottom"/>
            <w:hideMark/>
          </w:tcPr>
          <w:p w14:paraId="59CD63D5" w14:textId="77777777" w:rsidR="004C1C6A" w:rsidRPr="00762499" w:rsidRDefault="004C1C6A" w:rsidP="00DC54F7">
            <w:pPr>
              <w:spacing w:after="0" w:line="240" w:lineRule="auto"/>
              <w:jc w:val="both"/>
              <w:rPr>
                <w:rFonts w:eastAsia="Times New Roman" w:cstheme="minorHAnsi"/>
                <w:color w:val="000000"/>
                <w:lang w:eastAsia="en-GB"/>
              </w:rPr>
            </w:pPr>
            <w:r w:rsidRPr="00762499">
              <w:rPr>
                <w:rFonts w:eastAsia="Times New Roman" w:cstheme="minorHAnsi"/>
                <w:color w:val="000000"/>
                <w:lang w:eastAsia="en-GB"/>
              </w:rPr>
              <w:t>Vale of Glamorgan</w:t>
            </w:r>
          </w:p>
        </w:tc>
        <w:tc>
          <w:tcPr>
            <w:tcW w:w="1017" w:type="dxa"/>
            <w:shd w:val="clear" w:color="000000" w:fill="F2F2F2"/>
            <w:noWrap/>
            <w:vAlign w:val="bottom"/>
            <w:hideMark/>
          </w:tcPr>
          <w:p w14:paraId="377BCFDA" w14:textId="77777777" w:rsidR="004C1C6A" w:rsidRPr="00762499" w:rsidRDefault="004C1C6A" w:rsidP="00DC54F7">
            <w:pPr>
              <w:spacing w:after="0" w:line="240" w:lineRule="auto"/>
              <w:jc w:val="both"/>
              <w:rPr>
                <w:rFonts w:eastAsia="Times New Roman" w:cstheme="minorHAnsi"/>
                <w:color w:val="000000"/>
                <w:lang w:eastAsia="en-GB"/>
              </w:rPr>
            </w:pPr>
            <w:r w:rsidRPr="00762499">
              <w:rPr>
                <w:rFonts w:eastAsia="Times New Roman" w:cstheme="minorHAnsi"/>
                <w:color w:val="000000"/>
                <w:lang w:eastAsia="en-GB"/>
              </w:rPr>
              <w:t>83.4</w:t>
            </w:r>
          </w:p>
        </w:tc>
        <w:tc>
          <w:tcPr>
            <w:tcW w:w="1253" w:type="dxa"/>
            <w:shd w:val="clear" w:color="000000" w:fill="F2F2F2"/>
            <w:noWrap/>
            <w:vAlign w:val="bottom"/>
            <w:hideMark/>
          </w:tcPr>
          <w:p w14:paraId="23E1A022" w14:textId="77777777" w:rsidR="004C1C6A" w:rsidRPr="00762499" w:rsidRDefault="004C1C6A" w:rsidP="00DC54F7">
            <w:pPr>
              <w:spacing w:after="0" w:line="240" w:lineRule="auto"/>
              <w:jc w:val="both"/>
              <w:rPr>
                <w:rFonts w:eastAsia="Times New Roman" w:cstheme="minorHAnsi"/>
                <w:color w:val="000000"/>
                <w:lang w:eastAsia="en-GB"/>
              </w:rPr>
            </w:pPr>
            <w:r w:rsidRPr="00762499">
              <w:rPr>
                <w:rFonts w:eastAsia="Times New Roman" w:cstheme="minorHAnsi"/>
                <w:color w:val="000000"/>
                <w:lang w:eastAsia="en-GB"/>
              </w:rPr>
              <w:t>78.9</w:t>
            </w:r>
          </w:p>
        </w:tc>
        <w:tc>
          <w:tcPr>
            <w:tcW w:w="1254" w:type="dxa"/>
            <w:gridSpan w:val="2"/>
            <w:shd w:val="clear" w:color="000000" w:fill="F2F2F2"/>
            <w:noWrap/>
            <w:vAlign w:val="bottom"/>
            <w:hideMark/>
          </w:tcPr>
          <w:p w14:paraId="21C90C33" w14:textId="77777777" w:rsidR="004C1C6A" w:rsidRPr="00762499" w:rsidRDefault="004C1C6A" w:rsidP="00DC54F7">
            <w:pPr>
              <w:spacing w:after="0" w:line="240" w:lineRule="auto"/>
              <w:jc w:val="both"/>
              <w:rPr>
                <w:rFonts w:eastAsia="Times New Roman" w:cstheme="minorHAnsi"/>
                <w:color w:val="000000"/>
                <w:lang w:eastAsia="en-GB"/>
              </w:rPr>
            </w:pPr>
            <w:r w:rsidRPr="00762499">
              <w:rPr>
                <w:rFonts w:eastAsia="Times New Roman" w:cstheme="minorHAnsi"/>
                <w:color w:val="000000"/>
                <w:lang w:eastAsia="en-GB"/>
              </w:rPr>
              <w:t>64.2</w:t>
            </w:r>
          </w:p>
        </w:tc>
        <w:tc>
          <w:tcPr>
            <w:tcW w:w="1253" w:type="dxa"/>
            <w:shd w:val="clear" w:color="000000" w:fill="F2F2F2"/>
            <w:noWrap/>
            <w:vAlign w:val="bottom"/>
            <w:hideMark/>
          </w:tcPr>
          <w:p w14:paraId="38E5BDD2" w14:textId="77777777" w:rsidR="004C1C6A" w:rsidRPr="00762499" w:rsidRDefault="004C1C6A" w:rsidP="00DC54F7">
            <w:pPr>
              <w:spacing w:after="0" w:line="240" w:lineRule="auto"/>
              <w:jc w:val="both"/>
              <w:rPr>
                <w:rFonts w:eastAsia="Times New Roman" w:cstheme="minorHAnsi"/>
                <w:color w:val="000000"/>
                <w:lang w:eastAsia="en-GB"/>
              </w:rPr>
            </w:pPr>
            <w:r w:rsidRPr="00762499">
              <w:rPr>
                <w:rFonts w:eastAsia="Times New Roman" w:cstheme="minorHAnsi"/>
                <w:color w:val="000000"/>
                <w:lang w:eastAsia="en-GB"/>
              </w:rPr>
              <w:t>63.1</w:t>
            </w:r>
          </w:p>
        </w:tc>
        <w:tc>
          <w:tcPr>
            <w:tcW w:w="1254" w:type="dxa"/>
            <w:gridSpan w:val="2"/>
            <w:shd w:val="clear" w:color="000000" w:fill="F2F2F2"/>
            <w:noWrap/>
            <w:vAlign w:val="bottom"/>
            <w:hideMark/>
          </w:tcPr>
          <w:p w14:paraId="60AFEB17" w14:textId="77777777" w:rsidR="004C1C6A" w:rsidRPr="00762499" w:rsidRDefault="004C1C6A" w:rsidP="00DC54F7">
            <w:pPr>
              <w:spacing w:after="0" w:line="240" w:lineRule="auto"/>
              <w:jc w:val="both"/>
              <w:rPr>
                <w:rFonts w:eastAsia="Times New Roman" w:cstheme="minorHAnsi"/>
                <w:color w:val="000000"/>
                <w:lang w:eastAsia="en-GB"/>
              </w:rPr>
            </w:pPr>
            <w:r w:rsidRPr="00762499">
              <w:rPr>
                <w:rFonts w:eastAsia="Times New Roman" w:cstheme="minorHAnsi"/>
                <w:color w:val="000000"/>
                <w:lang w:eastAsia="en-GB"/>
              </w:rPr>
              <w:t>6.0</w:t>
            </w:r>
          </w:p>
        </w:tc>
        <w:tc>
          <w:tcPr>
            <w:tcW w:w="1254" w:type="dxa"/>
            <w:shd w:val="clear" w:color="000000" w:fill="F2F2F2"/>
            <w:noWrap/>
            <w:vAlign w:val="bottom"/>
            <w:hideMark/>
          </w:tcPr>
          <w:p w14:paraId="57DACE56" w14:textId="77777777" w:rsidR="004C1C6A" w:rsidRPr="00762499" w:rsidRDefault="004C1C6A" w:rsidP="00DC54F7">
            <w:pPr>
              <w:spacing w:after="0" w:line="240" w:lineRule="auto"/>
              <w:jc w:val="both"/>
              <w:rPr>
                <w:rFonts w:eastAsia="Times New Roman" w:cstheme="minorHAnsi"/>
                <w:color w:val="000000"/>
                <w:lang w:eastAsia="en-GB"/>
              </w:rPr>
            </w:pPr>
            <w:r w:rsidRPr="00762499">
              <w:rPr>
                <w:rFonts w:eastAsia="Times New Roman" w:cstheme="minorHAnsi"/>
                <w:color w:val="000000"/>
                <w:lang w:eastAsia="en-GB"/>
              </w:rPr>
              <w:t>7.0</w:t>
            </w:r>
          </w:p>
        </w:tc>
      </w:tr>
      <w:tr w:rsidR="004C1C6A" w:rsidRPr="00847226" w14:paraId="013C11E5" w14:textId="77777777" w:rsidTr="004F75F8">
        <w:trPr>
          <w:trHeight w:val="283"/>
        </w:trPr>
        <w:tc>
          <w:tcPr>
            <w:tcW w:w="2263" w:type="dxa"/>
            <w:shd w:val="clear" w:color="auto" w:fill="auto"/>
            <w:noWrap/>
            <w:vAlign w:val="bottom"/>
            <w:hideMark/>
          </w:tcPr>
          <w:p w14:paraId="7C36DFD9" w14:textId="77777777" w:rsidR="004C1C6A" w:rsidRPr="00762499" w:rsidRDefault="004C1C6A" w:rsidP="00DC54F7">
            <w:pPr>
              <w:spacing w:after="0" w:line="240" w:lineRule="auto"/>
              <w:jc w:val="both"/>
              <w:rPr>
                <w:rFonts w:eastAsia="Times New Roman" w:cstheme="minorHAnsi"/>
                <w:color w:val="000000"/>
                <w:lang w:eastAsia="en-GB"/>
              </w:rPr>
            </w:pPr>
            <w:r w:rsidRPr="00762499">
              <w:rPr>
                <w:rFonts w:eastAsia="Times New Roman" w:cstheme="minorHAnsi"/>
                <w:color w:val="000000"/>
                <w:lang w:eastAsia="en-GB"/>
              </w:rPr>
              <w:t>Cardiff and Vale UHB</w:t>
            </w:r>
          </w:p>
        </w:tc>
        <w:tc>
          <w:tcPr>
            <w:tcW w:w="1017" w:type="dxa"/>
            <w:shd w:val="clear" w:color="auto" w:fill="auto"/>
            <w:noWrap/>
            <w:vAlign w:val="bottom"/>
            <w:hideMark/>
          </w:tcPr>
          <w:p w14:paraId="603692AD" w14:textId="77777777" w:rsidR="004C1C6A" w:rsidRPr="00762499" w:rsidRDefault="004C1C6A" w:rsidP="00DC54F7">
            <w:pPr>
              <w:spacing w:after="0" w:line="240" w:lineRule="auto"/>
              <w:jc w:val="both"/>
              <w:rPr>
                <w:rFonts w:eastAsia="Times New Roman" w:cstheme="minorHAnsi"/>
                <w:color w:val="000000"/>
                <w:lang w:eastAsia="en-GB"/>
              </w:rPr>
            </w:pPr>
            <w:r w:rsidRPr="00762499">
              <w:rPr>
                <w:rFonts w:eastAsia="Times New Roman" w:cstheme="minorHAnsi"/>
                <w:color w:val="000000"/>
                <w:lang w:eastAsia="en-GB"/>
              </w:rPr>
              <w:t>83.0</w:t>
            </w:r>
          </w:p>
        </w:tc>
        <w:tc>
          <w:tcPr>
            <w:tcW w:w="1253" w:type="dxa"/>
            <w:shd w:val="clear" w:color="auto" w:fill="auto"/>
            <w:noWrap/>
            <w:vAlign w:val="bottom"/>
            <w:hideMark/>
          </w:tcPr>
          <w:p w14:paraId="28A5CF0A" w14:textId="77777777" w:rsidR="004C1C6A" w:rsidRPr="00762499" w:rsidRDefault="004C1C6A" w:rsidP="00DC54F7">
            <w:pPr>
              <w:spacing w:after="0" w:line="240" w:lineRule="auto"/>
              <w:jc w:val="both"/>
              <w:rPr>
                <w:rFonts w:eastAsia="Times New Roman" w:cstheme="minorHAnsi"/>
                <w:color w:val="000000"/>
                <w:lang w:eastAsia="en-GB"/>
              </w:rPr>
            </w:pPr>
            <w:r w:rsidRPr="00762499">
              <w:rPr>
                <w:rFonts w:eastAsia="Times New Roman" w:cstheme="minorHAnsi"/>
                <w:color w:val="000000"/>
                <w:lang w:eastAsia="en-GB"/>
              </w:rPr>
              <w:t>78.7</w:t>
            </w:r>
          </w:p>
        </w:tc>
        <w:tc>
          <w:tcPr>
            <w:tcW w:w="1254" w:type="dxa"/>
            <w:gridSpan w:val="2"/>
            <w:shd w:val="clear" w:color="auto" w:fill="auto"/>
            <w:noWrap/>
            <w:vAlign w:val="bottom"/>
            <w:hideMark/>
          </w:tcPr>
          <w:p w14:paraId="7C048473" w14:textId="77777777" w:rsidR="004C1C6A" w:rsidRPr="00762499" w:rsidRDefault="004C1C6A" w:rsidP="00DC54F7">
            <w:pPr>
              <w:spacing w:after="0" w:line="240" w:lineRule="auto"/>
              <w:jc w:val="both"/>
              <w:rPr>
                <w:rFonts w:eastAsia="Times New Roman" w:cstheme="minorHAnsi"/>
                <w:color w:val="000000"/>
                <w:lang w:eastAsia="en-GB"/>
              </w:rPr>
            </w:pPr>
            <w:r w:rsidRPr="00762499">
              <w:rPr>
                <w:rFonts w:eastAsia="Times New Roman" w:cstheme="minorHAnsi"/>
                <w:color w:val="000000"/>
                <w:lang w:eastAsia="en-GB"/>
              </w:rPr>
              <w:t>62.0</w:t>
            </w:r>
          </w:p>
        </w:tc>
        <w:tc>
          <w:tcPr>
            <w:tcW w:w="1253" w:type="dxa"/>
            <w:shd w:val="clear" w:color="auto" w:fill="auto"/>
            <w:noWrap/>
            <w:vAlign w:val="bottom"/>
            <w:hideMark/>
          </w:tcPr>
          <w:p w14:paraId="545A3D77" w14:textId="77777777" w:rsidR="004C1C6A" w:rsidRPr="00762499" w:rsidRDefault="004C1C6A" w:rsidP="00DC54F7">
            <w:pPr>
              <w:spacing w:after="0" w:line="240" w:lineRule="auto"/>
              <w:jc w:val="both"/>
              <w:rPr>
                <w:rFonts w:eastAsia="Times New Roman" w:cstheme="minorHAnsi"/>
                <w:color w:val="000000"/>
                <w:lang w:eastAsia="en-GB"/>
              </w:rPr>
            </w:pPr>
            <w:r w:rsidRPr="00762499">
              <w:rPr>
                <w:rFonts w:eastAsia="Times New Roman" w:cstheme="minorHAnsi"/>
                <w:color w:val="000000"/>
                <w:lang w:eastAsia="en-GB"/>
              </w:rPr>
              <w:t>61.9</w:t>
            </w:r>
          </w:p>
        </w:tc>
        <w:tc>
          <w:tcPr>
            <w:tcW w:w="1254" w:type="dxa"/>
            <w:gridSpan w:val="2"/>
            <w:shd w:val="clear" w:color="auto" w:fill="auto"/>
            <w:noWrap/>
            <w:vAlign w:val="bottom"/>
            <w:hideMark/>
          </w:tcPr>
          <w:p w14:paraId="24F4EAA7" w14:textId="77777777" w:rsidR="004C1C6A" w:rsidRPr="00762499" w:rsidRDefault="004C1C6A" w:rsidP="00DC54F7">
            <w:pPr>
              <w:spacing w:after="0" w:line="240" w:lineRule="auto"/>
              <w:jc w:val="both"/>
              <w:rPr>
                <w:rFonts w:eastAsia="Times New Roman" w:cstheme="minorHAnsi"/>
                <w:color w:val="000000"/>
                <w:lang w:eastAsia="en-GB"/>
              </w:rPr>
            </w:pPr>
            <w:r w:rsidRPr="00762499">
              <w:rPr>
                <w:rFonts w:eastAsia="Times New Roman" w:cstheme="minorHAnsi"/>
                <w:color w:val="000000"/>
                <w:lang w:eastAsia="en-GB"/>
              </w:rPr>
              <w:t>6.6</w:t>
            </w:r>
          </w:p>
        </w:tc>
        <w:tc>
          <w:tcPr>
            <w:tcW w:w="1254" w:type="dxa"/>
            <w:shd w:val="clear" w:color="auto" w:fill="auto"/>
            <w:noWrap/>
            <w:vAlign w:val="bottom"/>
            <w:hideMark/>
          </w:tcPr>
          <w:p w14:paraId="62DADC23" w14:textId="77777777" w:rsidR="004C1C6A" w:rsidRPr="00762499" w:rsidRDefault="004C1C6A" w:rsidP="00DC54F7">
            <w:pPr>
              <w:spacing w:after="0" w:line="240" w:lineRule="auto"/>
              <w:jc w:val="both"/>
              <w:rPr>
                <w:rFonts w:eastAsia="Times New Roman" w:cstheme="minorHAnsi"/>
                <w:color w:val="000000"/>
                <w:lang w:eastAsia="en-GB"/>
              </w:rPr>
            </w:pPr>
            <w:r w:rsidRPr="00762499">
              <w:rPr>
                <w:rFonts w:eastAsia="Times New Roman" w:cstheme="minorHAnsi"/>
                <w:color w:val="000000"/>
                <w:lang w:eastAsia="en-GB"/>
              </w:rPr>
              <w:t>8.6</w:t>
            </w:r>
          </w:p>
        </w:tc>
      </w:tr>
      <w:tr w:rsidR="004C1C6A" w:rsidRPr="00A428C6" w14:paraId="706EE3CF" w14:textId="77777777" w:rsidTr="004F75F8">
        <w:trPr>
          <w:trHeight w:val="283"/>
        </w:trPr>
        <w:tc>
          <w:tcPr>
            <w:tcW w:w="2263" w:type="dxa"/>
            <w:shd w:val="clear" w:color="000000" w:fill="F2F2F2"/>
            <w:noWrap/>
            <w:vAlign w:val="bottom"/>
            <w:hideMark/>
          </w:tcPr>
          <w:p w14:paraId="7887363C" w14:textId="77777777" w:rsidR="004C1C6A" w:rsidRPr="00A428C6" w:rsidRDefault="004C1C6A" w:rsidP="00DC54F7">
            <w:pPr>
              <w:spacing w:after="0" w:line="240" w:lineRule="auto"/>
              <w:jc w:val="both"/>
              <w:rPr>
                <w:rFonts w:eastAsia="Times New Roman" w:cstheme="minorHAnsi"/>
                <w:color w:val="000000"/>
                <w:sz w:val="20"/>
                <w:szCs w:val="20"/>
                <w:lang w:eastAsia="en-GB"/>
              </w:rPr>
            </w:pPr>
            <w:r w:rsidRPr="00A428C6">
              <w:rPr>
                <w:rFonts w:eastAsia="Times New Roman" w:cstheme="minorHAnsi"/>
                <w:color w:val="000000"/>
                <w:sz w:val="20"/>
                <w:szCs w:val="20"/>
                <w:lang w:eastAsia="en-GB"/>
              </w:rPr>
              <w:t>Wales</w:t>
            </w:r>
          </w:p>
        </w:tc>
        <w:tc>
          <w:tcPr>
            <w:tcW w:w="1017" w:type="dxa"/>
            <w:shd w:val="clear" w:color="000000" w:fill="F2F2F2"/>
            <w:noWrap/>
            <w:vAlign w:val="bottom"/>
            <w:hideMark/>
          </w:tcPr>
          <w:p w14:paraId="763896E7" w14:textId="77777777" w:rsidR="004C1C6A" w:rsidRPr="00A428C6" w:rsidRDefault="004C1C6A" w:rsidP="00DC54F7">
            <w:pPr>
              <w:spacing w:after="0" w:line="240" w:lineRule="auto"/>
              <w:jc w:val="both"/>
              <w:rPr>
                <w:rFonts w:eastAsia="Times New Roman" w:cstheme="minorHAnsi"/>
                <w:color w:val="000000"/>
                <w:sz w:val="20"/>
                <w:szCs w:val="20"/>
                <w:lang w:eastAsia="en-GB"/>
              </w:rPr>
            </w:pPr>
            <w:r w:rsidRPr="00A428C6">
              <w:rPr>
                <w:rFonts w:eastAsia="Times New Roman" w:cstheme="minorHAnsi"/>
                <w:color w:val="000000"/>
                <w:sz w:val="20"/>
                <w:szCs w:val="20"/>
                <w:lang w:eastAsia="en-GB"/>
              </w:rPr>
              <w:t>82.3</w:t>
            </w:r>
          </w:p>
        </w:tc>
        <w:tc>
          <w:tcPr>
            <w:tcW w:w="1253" w:type="dxa"/>
            <w:shd w:val="clear" w:color="000000" w:fill="F2F2F2"/>
            <w:noWrap/>
            <w:vAlign w:val="bottom"/>
            <w:hideMark/>
          </w:tcPr>
          <w:p w14:paraId="74021214" w14:textId="77777777" w:rsidR="004C1C6A" w:rsidRPr="00A428C6" w:rsidRDefault="004C1C6A" w:rsidP="00DC54F7">
            <w:pPr>
              <w:spacing w:after="0" w:line="240" w:lineRule="auto"/>
              <w:jc w:val="both"/>
              <w:rPr>
                <w:rFonts w:eastAsia="Times New Roman" w:cstheme="minorHAnsi"/>
                <w:color w:val="000000"/>
                <w:sz w:val="20"/>
                <w:szCs w:val="20"/>
                <w:lang w:eastAsia="en-GB"/>
              </w:rPr>
            </w:pPr>
            <w:r w:rsidRPr="00A428C6">
              <w:rPr>
                <w:rFonts w:eastAsia="Times New Roman" w:cstheme="minorHAnsi"/>
                <w:color w:val="000000"/>
                <w:sz w:val="20"/>
                <w:szCs w:val="20"/>
                <w:lang w:eastAsia="en-GB"/>
              </w:rPr>
              <w:t>78.3</w:t>
            </w:r>
          </w:p>
        </w:tc>
        <w:tc>
          <w:tcPr>
            <w:tcW w:w="1254" w:type="dxa"/>
            <w:gridSpan w:val="2"/>
            <w:shd w:val="clear" w:color="000000" w:fill="F2F2F2"/>
            <w:noWrap/>
            <w:vAlign w:val="bottom"/>
            <w:hideMark/>
          </w:tcPr>
          <w:p w14:paraId="0E7C7457" w14:textId="77777777" w:rsidR="004C1C6A" w:rsidRPr="00A428C6" w:rsidRDefault="004C1C6A" w:rsidP="00DC54F7">
            <w:pPr>
              <w:spacing w:after="0" w:line="240" w:lineRule="auto"/>
              <w:jc w:val="both"/>
              <w:rPr>
                <w:rFonts w:eastAsia="Times New Roman" w:cstheme="minorHAnsi"/>
                <w:color w:val="000000"/>
                <w:sz w:val="20"/>
                <w:szCs w:val="20"/>
                <w:lang w:eastAsia="en-GB"/>
              </w:rPr>
            </w:pPr>
            <w:r w:rsidRPr="00A428C6">
              <w:rPr>
                <w:rFonts w:eastAsia="Times New Roman" w:cstheme="minorHAnsi"/>
                <w:color w:val="000000"/>
                <w:sz w:val="20"/>
                <w:szCs w:val="20"/>
                <w:lang w:eastAsia="en-GB"/>
              </w:rPr>
              <w:t>62.0</w:t>
            </w:r>
          </w:p>
        </w:tc>
        <w:tc>
          <w:tcPr>
            <w:tcW w:w="1253" w:type="dxa"/>
            <w:shd w:val="clear" w:color="000000" w:fill="F2F2F2"/>
            <w:noWrap/>
            <w:vAlign w:val="bottom"/>
            <w:hideMark/>
          </w:tcPr>
          <w:p w14:paraId="5787F6CF" w14:textId="77777777" w:rsidR="004C1C6A" w:rsidRPr="00A428C6" w:rsidRDefault="004C1C6A" w:rsidP="00DC54F7">
            <w:pPr>
              <w:spacing w:after="0" w:line="240" w:lineRule="auto"/>
              <w:jc w:val="both"/>
              <w:rPr>
                <w:rFonts w:eastAsia="Times New Roman" w:cstheme="minorHAnsi"/>
                <w:color w:val="000000"/>
                <w:sz w:val="20"/>
                <w:szCs w:val="20"/>
                <w:lang w:eastAsia="en-GB"/>
              </w:rPr>
            </w:pPr>
            <w:r w:rsidRPr="00A428C6">
              <w:rPr>
                <w:rFonts w:eastAsia="Times New Roman" w:cstheme="minorHAnsi"/>
                <w:color w:val="000000"/>
                <w:sz w:val="20"/>
                <w:szCs w:val="20"/>
                <w:lang w:eastAsia="en-GB"/>
              </w:rPr>
              <w:t>61.4</w:t>
            </w:r>
          </w:p>
        </w:tc>
        <w:tc>
          <w:tcPr>
            <w:tcW w:w="1254" w:type="dxa"/>
            <w:gridSpan w:val="2"/>
            <w:shd w:val="clear" w:color="000000" w:fill="F2F2F2"/>
            <w:noWrap/>
            <w:vAlign w:val="bottom"/>
            <w:hideMark/>
          </w:tcPr>
          <w:p w14:paraId="16144ECD" w14:textId="77777777" w:rsidR="004C1C6A" w:rsidRPr="00A428C6" w:rsidRDefault="004C1C6A" w:rsidP="00DC54F7">
            <w:pPr>
              <w:spacing w:after="0" w:line="240" w:lineRule="auto"/>
              <w:jc w:val="both"/>
              <w:rPr>
                <w:rFonts w:eastAsia="Times New Roman" w:cstheme="minorHAnsi"/>
                <w:color w:val="000000"/>
                <w:sz w:val="20"/>
                <w:szCs w:val="20"/>
                <w:lang w:eastAsia="en-GB"/>
              </w:rPr>
            </w:pPr>
            <w:r w:rsidRPr="00A428C6">
              <w:rPr>
                <w:rFonts w:eastAsia="Times New Roman" w:cstheme="minorHAnsi"/>
                <w:color w:val="000000"/>
                <w:sz w:val="20"/>
                <w:szCs w:val="20"/>
                <w:lang w:eastAsia="en-GB"/>
              </w:rPr>
              <w:t>6.1</w:t>
            </w:r>
          </w:p>
        </w:tc>
        <w:tc>
          <w:tcPr>
            <w:tcW w:w="1254" w:type="dxa"/>
            <w:shd w:val="clear" w:color="000000" w:fill="F2F2F2"/>
            <w:noWrap/>
            <w:vAlign w:val="bottom"/>
            <w:hideMark/>
          </w:tcPr>
          <w:p w14:paraId="241FBBA8" w14:textId="77777777" w:rsidR="004C1C6A" w:rsidRPr="00A428C6" w:rsidRDefault="004C1C6A" w:rsidP="00DC54F7">
            <w:pPr>
              <w:spacing w:after="0" w:line="240" w:lineRule="auto"/>
              <w:jc w:val="both"/>
              <w:rPr>
                <w:rFonts w:eastAsia="Times New Roman" w:cstheme="minorHAnsi"/>
                <w:color w:val="000000"/>
                <w:sz w:val="20"/>
                <w:szCs w:val="20"/>
                <w:lang w:eastAsia="en-GB"/>
              </w:rPr>
            </w:pPr>
            <w:r w:rsidRPr="00A428C6">
              <w:rPr>
                <w:rFonts w:eastAsia="Times New Roman" w:cstheme="minorHAnsi"/>
                <w:color w:val="000000"/>
                <w:sz w:val="20"/>
                <w:szCs w:val="20"/>
                <w:lang w:eastAsia="en-GB"/>
              </w:rPr>
              <w:t>7.4</w:t>
            </w:r>
          </w:p>
        </w:tc>
      </w:tr>
    </w:tbl>
    <w:p w14:paraId="1C4A5C7D" w14:textId="77777777" w:rsidR="00FF1EE9" w:rsidRPr="00A428C6" w:rsidRDefault="00FF1EE9" w:rsidP="00DC54F7">
      <w:pPr>
        <w:spacing w:after="0" w:line="240" w:lineRule="auto"/>
        <w:jc w:val="both"/>
        <w:rPr>
          <w:rFonts w:ascii="Arial" w:hAnsi="Arial" w:cs="Arial"/>
          <w:sz w:val="20"/>
          <w:szCs w:val="20"/>
        </w:rPr>
      </w:pPr>
      <w:r w:rsidRPr="00A428C6">
        <w:rPr>
          <w:rFonts w:ascii="Arial" w:hAnsi="Arial" w:cs="Arial"/>
          <w:sz w:val="20"/>
          <w:szCs w:val="20"/>
        </w:rPr>
        <w:t>Source: Public Health Wales Observatory PHOF Tool (2017) using ONS and WG data</w:t>
      </w:r>
    </w:p>
    <w:p w14:paraId="6BCAF389" w14:textId="003926D8" w:rsidR="00FF1EE9" w:rsidRDefault="00FF1EE9" w:rsidP="00DC54F7">
      <w:pPr>
        <w:spacing w:after="0" w:line="240" w:lineRule="auto"/>
        <w:jc w:val="both"/>
        <w:rPr>
          <w:rFonts w:ascii="Arial" w:hAnsi="Arial" w:cs="Arial"/>
        </w:rPr>
      </w:pPr>
    </w:p>
    <w:p w14:paraId="2B93D767" w14:textId="77777777" w:rsidR="005C6BB3" w:rsidRDefault="005C6BB3" w:rsidP="00DC54F7">
      <w:pPr>
        <w:spacing w:after="0" w:line="240" w:lineRule="auto"/>
        <w:jc w:val="both"/>
        <w:rPr>
          <w:rFonts w:ascii="Arial" w:hAnsi="Arial" w:cs="Arial"/>
        </w:rPr>
      </w:pPr>
    </w:p>
    <w:p w14:paraId="63EDBD96" w14:textId="15FB0A0C" w:rsidR="00FF1EE9" w:rsidRPr="00D20B69" w:rsidRDefault="001A0094" w:rsidP="00DC54F7">
      <w:pPr>
        <w:spacing w:after="0" w:line="240" w:lineRule="auto"/>
        <w:jc w:val="both"/>
        <w:rPr>
          <w:rFonts w:ascii="Arial" w:hAnsi="Arial" w:cs="Arial"/>
          <w:b/>
          <w:bCs/>
          <w:sz w:val="24"/>
          <w:szCs w:val="24"/>
        </w:rPr>
      </w:pPr>
      <w:r>
        <w:rPr>
          <w:rFonts w:ascii="Arial" w:hAnsi="Arial" w:cs="Arial"/>
          <w:b/>
          <w:bCs/>
          <w:sz w:val="24"/>
          <w:szCs w:val="24"/>
        </w:rPr>
        <w:t xml:space="preserve">15.1.3 </w:t>
      </w:r>
      <w:r w:rsidR="00FF1EE9" w:rsidRPr="00D20B69">
        <w:rPr>
          <w:rFonts w:ascii="Arial" w:hAnsi="Arial" w:cs="Arial"/>
          <w:b/>
          <w:bCs/>
          <w:sz w:val="24"/>
          <w:szCs w:val="24"/>
        </w:rPr>
        <w:t>Deprivation</w:t>
      </w:r>
    </w:p>
    <w:p w14:paraId="328F1635" w14:textId="77777777" w:rsidR="00FF1EE9" w:rsidRDefault="00FF1EE9" w:rsidP="00DC54F7">
      <w:pPr>
        <w:spacing w:after="0" w:line="240" w:lineRule="auto"/>
        <w:jc w:val="both"/>
        <w:rPr>
          <w:rFonts w:ascii="Arial" w:hAnsi="Arial" w:cs="Arial"/>
        </w:rPr>
      </w:pPr>
    </w:p>
    <w:p w14:paraId="3653CC9E" w14:textId="77777777" w:rsidR="00FF1EE9" w:rsidRPr="001A0094" w:rsidRDefault="00FF1EE9" w:rsidP="00DC54F7">
      <w:pPr>
        <w:spacing w:after="0" w:line="240" w:lineRule="auto"/>
        <w:jc w:val="both"/>
        <w:rPr>
          <w:rFonts w:ascii="Arial" w:hAnsi="Arial" w:cs="Arial"/>
          <w:sz w:val="24"/>
          <w:szCs w:val="24"/>
        </w:rPr>
      </w:pPr>
      <w:r w:rsidRPr="001A0094">
        <w:rPr>
          <w:rFonts w:ascii="Arial" w:hAnsi="Arial" w:cs="Arial"/>
          <w:sz w:val="24"/>
          <w:szCs w:val="24"/>
        </w:rPr>
        <w:t xml:space="preserve">Deprivation is the lack of access to opportunities and resources which might be expected in society. The Welsh Index of Multiple Deprivation (WIMD) allows for the ranking of small areas, called Lower layer Super Output Areas (LSOAs) in Wales to determine whether an area is more or less deprived compared to all other small areas in Wales.  </w:t>
      </w:r>
    </w:p>
    <w:p w14:paraId="47DD8950" w14:textId="77777777" w:rsidR="00FF1EE9" w:rsidRPr="001A0094" w:rsidRDefault="00FF1EE9" w:rsidP="00DC54F7">
      <w:pPr>
        <w:spacing w:after="0" w:line="240" w:lineRule="auto"/>
        <w:jc w:val="both"/>
        <w:rPr>
          <w:rFonts w:ascii="Arial" w:hAnsi="Arial" w:cs="Arial"/>
          <w:sz w:val="24"/>
          <w:szCs w:val="24"/>
        </w:rPr>
      </w:pPr>
    </w:p>
    <w:p w14:paraId="18E99995" w14:textId="5414D430" w:rsidR="00FF1EE9" w:rsidRPr="001A0094" w:rsidRDefault="00FF1EE9" w:rsidP="00DC54F7">
      <w:pPr>
        <w:spacing w:after="0" w:line="240" w:lineRule="auto"/>
        <w:jc w:val="both"/>
        <w:rPr>
          <w:rFonts w:ascii="Arial" w:hAnsi="Arial" w:cs="Arial"/>
          <w:sz w:val="24"/>
          <w:szCs w:val="24"/>
        </w:rPr>
      </w:pPr>
      <w:r w:rsidRPr="001A0094">
        <w:rPr>
          <w:rFonts w:ascii="Arial" w:hAnsi="Arial" w:cs="Arial"/>
          <w:sz w:val="24"/>
          <w:szCs w:val="24"/>
        </w:rPr>
        <w:t xml:space="preserve">Overall, the Vale of Glamorgan (13%) has a lower percentage of LSOAs in the most deprived 10% and 20% of LSOAs in Wales relative to Cardiff and Vale University Health Board (24%). When considering the domains for income, </w:t>
      </w:r>
      <w:r w:rsidR="00C16CC7" w:rsidRPr="001A0094">
        <w:rPr>
          <w:rFonts w:ascii="Arial" w:hAnsi="Arial" w:cs="Arial"/>
          <w:sz w:val="24"/>
          <w:szCs w:val="24"/>
        </w:rPr>
        <w:t>health,</w:t>
      </w:r>
      <w:r w:rsidR="00C64E7E" w:rsidRPr="001A0094">
        <w:rPr>
          <w:rFonts w:ascii="Arial" w:hAnsi="Arial" w:cs="Arial"/>
          <w:sz w:val="24"/>
          <w:szCs w:val="24"/>
        </w:rPr>
        <w:t xml:space="preserve"> </w:t>
      </w:r>
      <w:r w:rsidR="001A2CEA">
        <w:rPr>
          <w:rFonts w:ascii="Arial" w:hAnsi="Arial" w:cs="Arial"/>
          <w:sz w:val="24"/>
          <w:szCs w:val="24"/>
        </w:rPr>
        <w:t xml:space="preserve">employment </w:t>
      </w:r>
      <w:r w:rsidR="00C64E7E" w:rsidRPr="001A0094">
        <w:rPr>
          <w:rFonts w:ascii="Arial" w:hAnsi="Arial" w:cs="Arial"/>
          <w:sz w:val="24"/>
          <w:szCs w:val="24"/>
        </w:rPr>
        <w:t xml:space="preserve">and access to services at the cluster level, </w:t>
      </w:r>
      <w:r w:rsidR="009C28B5" w:rsidRPr="001A0094">
        <w:rPr>
          <w:rFonts w:ascii="Arial" w:hAnsi="Arial" w:cs="Arial"/>
          <w:sz w:val="24"/>
          <w:szCs w:val="24"/>
        </w:rPr>
        <w:t xml:space="preserve">Eastern Vale cluster has none of its </w:t>
      </w:r>
      <w:r w:rsidR="001C24EE" w:rsidRPr="001A0094">
        <w:rPr>
          <w:rFonts w:ascii="Arial" w:hAnsi="Arial" w:cs="Arial"/>
          <w:sz w:val="24"/>
          <w:szCs w:val="24"/>
        </w:rPr>
        <w:t>LSOAs in the most deprived 10% and 20% of LSOAs in Wales, making it one of the least deprived areas in the health board</w:t>
      </w:r>
      <w:r w:rsidR="005B2792" w:rsidRPr="001A0094">
        <w:rPr>
          <w:rFonts w:ascii="Arial" w:hAnsi="Arial" w:cs="Arial"/>
          <w:sz w:val="24"/>
          <w:szCs w:val="24"/>
        </w:rPr>
        <w:t xml:space="preserve"> and Wales.</w:t>
      </w:r>
    </w:p>
    <w:p w14:paraId="54B5A299" w14:textId="77777777" w:rsidR="00FF1EE9" w:rsidRDefault="00FF1EE9" w:rsidP="00DC54F7">
      <w:pPr>
        <w:spacing w:after="0" w:line="240" w:lineRule="auto"/>
        <w:jc w:val="both"/>
        <w:rPr>
          <w:rFonts w:ascii="Arial" w:hAnsi="Arial" w:cs="Arial"/>
        </w:rPr>
      </w:pPr>
    </w:p>
    <w:p w14:paraId="14CEAD05" w14:textId="0330117B" w:rsidR="00FF1EE9" w:rsidRDefault="00FF1EE9" w:rsidP="00DC54F7">
      <w:pPr>
        <w:spacing w:after="0" w:line="240" w:lineRule="auto"/>
        <w:contextualSpacing/>
        <w:jc w:val="both"/>
        <w:rPr>
          <w:rFonts w:ascii="Arial" w:hAnsi="Arial" w:cs="Arial"/>
          <w:b/>
          <w:bCs/>
        </w:rPr>
      </w:pPr>
      <w:r>
        <w:rPr>
          <w:rFonts w:ascii="Arial" w:hAnsi="Arial" w:cs="Arial"/>
          <w:b/>
          <w:bCs/>
        </w:rPr>
        <w:t xml:space="preserve">Table 15.2: Number </w:t>
      </w:r>
      <w:r w:rsidRPr="001A1A2C">
        <w:rPr>
          <w:rFonts w:ascii="Arial" w:hAnsi="Arial" w:cs="Arial"/>
          <w:b/>
          <w:bCs/>
        </w:rPr>
        <w:t xml:space="preserve">of LSOAs </w:t>
      </w:r>
      <w:r>
        <w:rPr>
          <w:rFonts w:ascii="Arial" w:hAnsi="Arial" w:cs="Arial"/>
          <w:b/>
          <w:bCs/>
        </w:rPr>
        <w:t xml:space="preserve">within the 10% and 20% most deprived LSOAs in Wales </w:t>
      </w:r>
      <w:r w:rsidRPr="001A1A2C">
        <w:rPr>
          <w:rFonts w:ascii="Arial" w:hAnsi="Arial" w:cs="Arial"/>
          <w:b/>
          <w:bCs/>
        </w:rPr>
        <w:t xml:space="preserve">by </w:t>
      </w:r>
      <w:r>
        <w:rPr>
          <w:rFonts w:ascii="Arial" w:hAnsi="Arial" w:cs="Arial"/>
          <w:b/>
          <w:bCs/>
        </w:rPr>
        <w:t>cluster, local</w:t>
      </w:r>
      <w:r w:rsidRPr="001A1A2C">
        <w:rPr>
          <w:rFonts w:ascii="Arial" w:hAnsi="Arial" w:cs="Arial"/>
          <w:b/>
          <w:bCs/>
        </w:rPr>
        <w:t xml:space="preserve"> authority </w:t>
      </w:r>
      <w:r>
        <w:rPr>
          <w:rFonts w:ascii="Arial" w:hAnsi="Arial" w:cs="Arial"/>
          <w:b/>
          <w:bCs/>
        </w:rPr>
        <w:t xml:space="preserve">and health board for the domains of income, </w:t>
      </w:r>
      <w:r w:rsidR="009D0EDD">
        <w:rPr>
          <w:rFonts w:ascii="Arial" w:hAnsi="Arial" w:cs="Arial"/>
          <w:b/>
          <w:bCs/>
        </w:rPr>
        <w:t xml:space="preserve">health, </w:t>
      </w:r>
      <w:r>
        <w:rPr>
          <w:rFonts w:ascii="Arial" w:hAnsi="Arial" w:cs="Arial"/>
          <w:b/>
          <w:bCs/>
        </w:rPr>
        <w:t>employment</w:t>
      </w:r>
      <w:r w:rsidR="00DF12B8">
        <w:rPr>
          <w:rFonts w:ascii="Arial" w:hAnsi="Arial" w:cs="Arial"/>
          <w:b/>
          <w:bCs/>
        </w:rPr>
        <w:t xml:space="preserve">, </w:t>
      </w:r>
      <w:r>
        <w:rPr>
          <w:rFonts w:ascii="Arial" w:hAnsi="Arial" w:cs="Arial"/>
          <w:b/>
          <w:bCs/>
        </w:rPr>
        <w:t>and access to services, Welsh Index of Multiple Deprivation 2019</w:t>
      </w:r>
    </w:p>
    <w:tbl>
      <w:tblPr>
        <w:tblW w:w="9330"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328"/>
        <w:gridCol w:w="875"/>
        <w:gridCol w:w="875"/>
        <w:gridCol w:w="875"/>
        <w:gridCol w:w="875"/>
        <w:gridCol w:w="875"/>
        <w:gridCol w:w="875"/>
        <w:gridCol w:w="875"/>
        <w:gridCol w:w="877"/>
      </w:tblGrid>
      <w:tr w:rsidR="001A2CEA" w:rsidRPr="001A2CEA" w14:paraId="5C76DFAC" w14:textId="77777777" w:rsidTr="001A2CEA">
        <w:trPr>
          <w:trHeight w:val="270"/>
        </w:trPr>
        <w:tc>
          <w:tcPr>
            <w:tcW w:w="2328" w:type="dxa"/>
            <w:shd w:val="clear" w:color="000000" w:fill="8497B0"/>
            <w:noWrap/>
            <w:vAlign w:val="bottom"/>
            <w:hideMark/>
          </w:tcPr>
          <w:p w14:paraId="4B7D7A1A"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 </w:t>
            </w:r>
          </w:p>
        </w:tc>
        <w:tc>
          <w:tcPr>
            <w:tcW w:w="7002" w:type="dxa"/>
            <w:gridSpan w:val="8"/>
            <w:shd w:val="clear" w:color="000000" w:fill="8497B0"/>
            <w:noWrap/>
            <w:vAlign w:val="bottom"/>
            <w:hideMark/>
          </w:tcPr>
          <w:p w14:paraId="27C21A47" w14:textId="5FD72D77" w:rsidR="001A2CEA" w:rsidRPr="001A2CEA" w:rsidRDefault="001A2CEA" w:rsidP="00DC54F7">
            <w:pPr>
              <w:spacing w:after="0" w:line="240" w:lineRule="auto"/>
              <w:jc w:val="both"/>
              <w:rPr>
                <w:rFonts w:eastAsia="Times New Roman" w:cstheme="minorHAnsi"/>
                <w:b/>
                <w:bCs/>
                <w:color w:val="FFFFFF"/>
                <w:lang w:eastAsia="en-GB"/>
              </w:rPr>
            </w:pPr>
            <w:r w:rsidRPr="001A2CEA">
              <w:rPr>
                <w:rFonts w:eastAsia="Times New Roman" w:cstheme="minorHAnsi"/>
                <w:b/>
                <w:bCs/>
                <w:color w:val="FFFFFF"/>
                <w:lang w:eastAsia="en-GB"/>
              </w:rPr>
              <w:t>Number of LSOAs within the 10% and 20% most deprived LSOAs in Wales</w:t>
            </w:r>
          </w:p>
        </w:tc>
      </w:tr>
      <w:tr w:rsidR="001A2CEA" w:rsidRPr="001A2CEA" w14:paraId="735377ED" w14:textId="77777777" w:rsidTr="001A2CEA">
        <w:trPr>
          <w:trHeight w:val="270"/>
        </w:trPr>
        <w:tc>
          <w:tcPr>
            <w:tcW w:w="2328" w:type="dxa"/>
            <w:shd w:val="clear" w:color="000000" w:fill="8497B0"/>
            <w:noWrap/>
            <w:vAlign w:val="bottom"/>
            <w:hideMark/>
          </w:tcPr>
          <w:p w14:paraId="576FA712"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 </w:t>
            </w:r>
          </w:p>
        </w:tc>
        <w:tc>
          <w:tcPr>
            <w:tcW w:w="1750" w:type="dxa"/>
            <w:gridSpan w:val="2"/>
            <w:shd w:val="clear" w:color="000000" w:fill="8497B0"/>
            <w:noWrap/>
            <w:vAlign w:val="bottom"/>
            <w:hideMark/>
          </w:tcPr>
          <w:p w14:paraId="7169325B" w14:textId="77777777" w:rsidR="001A2CEA" w:rsidRPr="001A2CEA" w:rsidRDefault="001A2CEA" w:rsidP="00DC54F7">
            <w:pPr>
              <w:spacing w:after="0" w:line="240" w:lineRule="auto"/>
              <w:jc w:val="both"/>
              <w:rPr>
                <w:rFonts w:eastAsia="Times New Roman" w:cstheme="minorHAnsi"/>
                <w:b/>
                <w:bCs/>
                <w:color w:val="FFFFFF"/>
                <w:lang w:eastAsia="en-GB"/>
              </w:rPr>
            </w:pPr>
            <w:r w:rsidRPr="001A2CEA">
              <w:rPr>
                <w:rFonts w:eastAsia="Times New Roman" w:cstheme="minorHAnsi"/>
                <w:b/>
                <w:bCs/>
                <w:color w:val="FFFFFF"/>
                <w:lang w:eastAsia="en-GB"/>
              </w:rPr>
              <w:t>Income</w:t>
            </w:r>
          </w:p>
        </w:tc>
        <w:tc>
          <w:tcPr>
            <w:tcW w:w="1750" w:type="dxa"/>
            <w:gridSpan w:val="2"/>
            <w:shd w:val="clear" w:color="000000" w:fill="8497B0"/>
            <w:noWrap/>
            <w:vAlign w:val="bottom"/>
            <w:hideMark/>
          </w:tcPr>
          <w:p w14:paraId="6BBDBE93" w14:textId="77777777" w:rsidR="001A2CEA" w:rsidRPr="001A2CEA" w:rsidRDefault="001A2CEA" w:rsidP="00DC54F7">
            <w:pPr>
              <w:spacing w:after="0" w:line="240" w:lineRule="auto"/>
              <w:jc w:val="both"/>
              <w:rPr>
                <w:rFonts w:eastAsia="Times New Roman" w:cstheme="minorHAnsi"/>
                <w:b/>
                <w:bCs/>
                <w:color w:val="FFFFFF"/>
                <w:lang w:eastAsia="en-GB"/>
              </w:rPr>
            </w:pPr>
            <w:r w:rsidRPr="001A2CEA">
              <w:rPr>
                <w:rFonts w:eastAsia="Times New Roman" w:cstheme="minorHAnsi"/>
                <w:b/>
                <w:bCs/>
                <w:color w:val="FFFFFF"/>
                <w:lang w:eastAsia="en-GB"/>
              </w:rPr>
              <w:t>Health</w:t>
            </w:r>
          </w:p>
        </w:tc>
        <w:tc>
          <w:tcPr>
            <w:tcW w:w="1750" w:type="dxa"/>
            <w:gridSpan w:val="2"/>
            <w:shd w:val="clear" w:color="000000" w:fill="8497B0"/>
            <w:noWrap/>
            <w:vAlign w:val="bottom"/>
            <w:hideMark/>
          </w:tcPr>
          <w:p w14:paraId="6944EE6F" w14:textId="77777777" w:rsidR="001A2CEA" w:rsidRPr="001A2CEA" w:rsidRDefault="001A2CEA" w:rsidP="00DC54F7">
            <w:pPr>
              <w:spacing w:after="0" w:line="240" w:lineRule="auto"/>
              <w:jc w:val="both"/>
              <w:rPr>
                <w:rFonts w:eastAsia="Times New Roman" w:cstheme="minorHAnsi"/>
                <w:b/>
                <w:bCs/>
                <w:color w:val="FFFFFF"/>
                <w:lang w:eastAsia="en-GB"/>
              </w:rPr>
            </w:pPr>
            <w:r w:rsidRPr="001A2CEA">
              <w:rPr>
                <w:rFonts w:eastAsia="Times New Roman" w:cstheme="minorHAnsi"/>
                <w:b/>
                <w:bCs/>
                <w:color w:val="FFFFFF"/>
                <w:lang w:eastAsia="en-GB"/>
              </w:rPr>
              <w:t>Employment</w:t>
            </w:r>
          </w:p>
        </w:tc>
        <w:tc>
          <w:tcPr>
            <w:tcW w:w="1750" w:type="dxa"/>
            <w:gridSpan w:val="2"/>
            <w:shd w:val="clear" w:color="000000" w:fill="8497B0"/>
            <w:noWrap/>
            <w:vAlign w:val="bottom"/>
            <w:hideMark/>
          </w:tcPr>
          <w:p w14:paraId="147BFADC" w14:textId="77777777" w:rsidR="001A2CEA" w:rsidRPr="001A2CEA" w:rsidRDefault="001A2CEA" w:rsidP="00DC54F7">
            <w:pPr>
              <w:spacing w:after="0" w:line="240" w:lineRule="auto"/>
              <w:jc w:val="both"/>
              <w:rPr>
                <w:rFonts w:eastAsia="Times New Roman" w:cstheme="minorHAnsi"/>
                <w:b/>
                <w:bCs/>
                <w:color w:val="FFFFFF"/>
                <w:lang w:eastAsia="en-GB"/>
              </w:rPr>
            </w:pPr>
            <w:r w:rsidRPr="001A2CEA">
              <w:rPr>
                <w:rFonts w:eastAsia="Times New Roman" w:cstheme="minorHAnsi"/>
                <w:b/>
                <w:bCs/>
                <w:color w:val="FFFFFF"/>
                <w:lang w:eastAsia="en-GB"/>
              </w:rPr>
              <w:t>Access to services</w:t>
            </w:r>
          </w:p>
        </w:tc>
      </w:tr>
      <w:tr w:rsidR="001A2CEA" w:rsidRPr="001A2CEA" w14:paraId="261461CF" w14:textId="77777777" w:rsidTr="001A2CEA">
        <w:trPr>
          <w:trHeight w:val="270"/>
        </w:trPr>
        <w:tc>
          <w:tcPr>
            <w:tcW w:w="2328" w:type="dxa"/>
            <w:shd w:val="clear" w:color="000000" w:fill="8497B0"/>
            <w:noWrap/>
            <w:vAlign w:val="bottom"/>
            <w:hideMark/>
          </w:tcPr>
          <w:p w14:paraId="642CAD2A"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 </w:t>
            </w:r>
          </w:p>
        </w:tc>
        <w:tc>
          <w:tcPr>
            <w:tcW w:w="875" w:type="dxa"/>
            <w:shd w:val="clear" w:color="000000" w:fill="8497B0"/>
            <w:vAlign w:val="center"/>
            <w:hideMark/>
          </w:tcPr>
          <w:p w14:paraId="20FC1E05" w14:textId="77777777" w:rsidR="001A2CEA" w:rsidRPr="001A2CEA" w:rsidRDefault="001A2CEA" w:rsidP="00DC54F7">
            <w:pPr>
              <w:spacing w:after="0" w:line="240" w:lineRule="auto"/>
              <w:jc w:val="both"/>
              <w:rPr>
                <w:rFonts w:eastAsia="Times New Roman" w:cstheme="minorHAnsi"/>
                <w:b/>
                <w:bCs/>
                <w:color w:val="FFFFFF"/>
                <w:lang w:eastAsia="en-GB"/>
              </w:rPr>
            </w:pPr>
            <w:r w:rsidRPr="001A2CEA">
              <w:rPr>
                <w:rFonts w:eastAsia="Times New Roman" w:cstheme="minorHAnsi"/>
                <w:b/>
                <w:bCs/>
                <w:color w:val="FFFFFF"/>
                <w:lang w:eastAsia="en-GB"/>
              </w:rPr>
              <w:t>10%</w:t>
            </w:r>
          </w:p>
        </w:tc>
        <w:tc>
          <w:tcPr>
            <w:tcW w:w="875" w:type="dxa"/>
            <w:shd w:val="clear" w:color="000000" w:fill="8497B0"/>
            <w:vAlign w:val="center"/>
            <w:hideMark/>
          </w:tcPr>
          <w:p w14:paraId="03185FAA" w14:textId="77777777" w:rsidR="001A2CEA" w:rsidRPr="001A2CEA" w:rsidRDefault="001A2CEA" w:rsidP="00DC54F7">
            <w:pPr>
              <w:spacing w:after="0" w:line="240" w:lineRule="auto"/>
              <w:jc w:val="both"/>
              <w:rPr>
                <w:rFonts w:eastAsia="Times New Roman" w:cstheme="minorHAnsi"/>
                <w:b/>
                <w:bCs/>
                <w:color w:val="FFFFFF"/>
                <w:lang w:eastAsia="en-GB"/>
              </w:rPr>
            </w:pPr>
            <w:r w:rsidRPr="001A2CEA">
              <w:rPr>
                <w:rFonts w:eastAsia="Times New Roman" w:cstheme="minorHAnsi"/>
                <w:b/>
                <w:bCs/>
                <w:color w:val="FFFFFF"/>
                <w:lang w:eastAsia="en-GB"/>
              </w:rPr>
              <w:t>20%</w:t>
            </w:r>
          </w:p>
        </w:tc>
        <w:tc>
          <w:tcPr>
            <w:tcW w:w="875" w:type="dxa"/>
            <w:shd w:val="clear" w:color="000000" w:fill="8497B0"/>
            <w:vAlign w:val="center"/>
            <w:hideMark/>
          </w:tcPr>
          <w:p w14:paraId="591AB8ED" w14:textId="77777777" w:rsidR="001A2CEA" w:rsidRPr="001A2CEA" w:rsidRDefault="001A2CEA" w:rsidP="00DC54F7">
            <w:pPr>
              <w:spacing w:after="0" w:line="240" w:lineRule="auto"/>
              <w:jc w:val="both"/>
              <w:rPr>
                <w:rFonts w:eastAsia="Times New Roman" w:cstheme="minorHAnsi"/>
                <w:b/>
                <w:bCs/>
                <w:color w:val="FFFFFF"/>
                <w:lang w:eastAsia="en-GB"/>
              </w:rPr>
            </w:pPr>
            <w:r w:rsidRPr="001A2CEA">
              <w:rPr>
                <w:rFonts w:eastAsia="Times New Roman" w:cstheme="minorHAnsi"/>
                <w:b/>
                <w:bCs/>
                <w:color w:val="FFFFFF"/>
                <w:lang w:eastAsia="en-GB"/>
              </w:rPr>
              <w:t>10%</w:t>
            </w:r>
          </w:p>
        </w:tc>
        <w:tc>
          <w:tcPr>
            <w:tcW w:w="875" w:type="dxa"/>
            <w:shd w:val="clear" w:color="000000" w:fill="8497B0"/>
            <w:vAlign w:val="center"/>
            <w:hideMark/>
          </w:tcPr>
          <w:p w14:paraId="71353077" w14:textId="77777777" w:rsidR="001A2CEA" w:rsidRPr="001A2CEA" w:rsidRDefault="001A2CEA" w:rsidP="00DC54F7">
            <w:pPr>
              <w:spacing w:after="0" w:line="240" w:lineRule="auto"/>
              <w:jc w:val="both"/>
              <w:rPr>
                <w:rFonts w:eastAsia="Times New Roman" w:cstheme="minorHAnsi"/>
                <w:b/>
                <w:bCs/>
                <w:color w:val="FFFFFF"/>
                <w:lang w:eastAsia="en-GB"/>
              </w:rPr>
            </w:pPr>
            <w:r w:rsidRPr="001A2CEA">
              <w:rPr>
                <w:rFonts w:eastAsia="Times New Roman" w:cstheme="minorHAnsi"/>
                <w:b/>
                <w:bCs/>
                <w:color w:val="FFFFFF"/>
                <w:lang w:eastAsia="en-GB"/>
              </w:rPr>
              <w:t>20%</w:t>
            </w:r>
          </w:p>
        </w:tc>
        <w:tc>
          <w:tcPr>
            <w:tcW w:w="875" w:type="dxa"/>
            <w:shd w:val="clear" w:color="000000" w:fill="8497B0"/>
            <w:vAlign w:val="center"/>
            <w:hideMark/>
          </w:tcPr>
          <w:p w14:paraId="20914A4E" w14:textId="77777777" w:rsidR="001A2CEA" w:rsidRPr="001A2CEA" w:rsidRDefault="001A2CEA" w:rsidP="00DC54F7">
            <w:pPr>
              <w:spacing w:after="0" w:line="240" w:lineRule="auto"/>
              <w:jc w:val="both"/>
              <w:rPr>
                <w:rFonts w:eastAsia="Times New Roman" w:cstheme="minorHAnsi"/>
                <w:b/>
                <w:bCs/>
                <w:color w:val="FFFFFF"/>
                <w:lang w:eastAsia="en-GB"/>
              </w:rPr>
            </w:pPr>
            <w:r w:rsidRPr="001A2CEA">
              <w:rPr>
                <w:rFonts w:eastAsia="Times New Roman" w:cstheme="minorHAnsi"/>
                <w:b/>
                <w:bCs/>
                <w:color w:val="FFFFFF"/>
                <w:lang w:eastAsia="en-GB"/>
              </w:rPr>
              <w:t>10%</w:t>
            </w:r>
          </w:p>
        </w:tc>
        <w:tc>
          <w:tcPr>
            <w:tcW w:w="875" w:type="dxa"/>
            <w:shd w:val="clear" w:color="000000" w:fill="8497B0"/>
            <w:vAlign w:val="center"/>
            <w:hideMark/>
          </w:tcPr>
          <w:p w14:paraId="00DC5C98" w14:textId="77777777" w:rsidR="001A2CEA" w:rsidRPr="001A2CEA" w:rsidRDefault="001A2CEA" w:rsidP="00DC54F7">
            <w:pPr>
              <w:spacing w:after="0" w:line="240" w:lineRule="auto"/>
              <w:jc w:val="both"/>
              <w:rPr>
                <w:rFonts w:eastAsia="Times New Roman" w:cstheme="minorHAnsi"/>
                <w:b/>
                <w:bCs/>
                <w:color w:val="FFFFFF"/>
                <w:lang w:eastAsia="en-GB"/>
              </w:rPr>
            </w:pPr>
            <w:r w:rsidRPr="001A2CEA">
              <w:rPr>
                <w:rFonts w:eastAsia="Times New Roman" w:cstheme="minorHAnsi"/>
                <w:b/>
                <w:bCs/>
                <w:color w:val="FFFFFF"/>
                <w:lang w:eastAsia="en-GB"/>
              </w:rPr>
              <w:t>20%</w:t>
            </w:r>
          </w:p>
        </w:tc>
        <w:tc>
          <w:tcPr>
            <w:tcW w:w="875" w:type="dxa"/>
            <w:shd w:val="clear" w:color="000000" w:fill="8497B0"/>
            <w:vAlign w:val="center"/>
            <w:hideMark/>
          </w:tcPr>
          <w:p w14:paraId="20D8E6EC" w14:textId="77777777" w:rsidR="001A2CEA" w:rsidRPr="001A2CEA" w:rsidRDefault="001A2CEA" w:rsidP="00DC54F7">
            <w:pPr>
              <w:spacing w:after="0" w:line="240" w:lineRule="auto"/>
              <w:jc w:val="both"/>
              <w:rPr>
                <w:rFonts w:eastAsia="Times New Roman" w:cstheme="minorHAnsi"/>
                <w:b/>
                <w:bCs/>
                <w:color w:val="FFFFFF"/>
                <w:lang w:eastAsia="en-GB"/>
              </w:rPr>
            </w:pPr>
            <w:r w:rsidRPr="001A2CEA">
              <w:rPr>
                <w:rFonts w:eastAsia="Times New Roman" w:cstheme="minorHAnsi"/>
                <w:b/>
                <w:bCs/>
                <w:color w:val="FFFFFF"/>
                <w:lang w:eastAsia="en-GB"/>
              </w:rPr>
              <w:t>10%</w:t>
            </w:r>
          </w:p>
        </w:tc>
        <w:tc>
          <w:tcPr>
            <w:tcW w:w="875" w:type="dxa"/>
            <w:shd w:val="clear" w:color="000000" w:fill="8497B0"/>
            <w:vAlign w:val="center"/>
            <w:hideMark/>
          </w:tcPr>
          <w:p w14:paraId="3C1FABF3" w14:textId="77777777" w:rsidR="001A2CEA" w:rsidRPr="001A2CEA" w:rsidRDefault="001A2CEA" w:rsidP="00DC54F7">
            <w:pPr>
              <w:spacing w:after="0" w:line="240" w:lineRule="auto"/>
              <w:jc w:val="both"/>
              <w:rPr>
                <w:rFonts w:eastAsia="Times New Roman" w:cstheme="minorHAnsi"/>
                <w:b/>
                <w:bCs/>
                <w:color w:val="FFFFFF"/>
                <w:lang w:eastAsia="en-GB"/>
              </w:rPr>
            </w:pPr>
            <w:r w:rsidRPr="001A2CEA">
              <w:rPr>
                <w:rFonts w:eastAsia="Times New Roman" w:cstheme="minorHAnsi"/>
                <w:b/>
                <w:bCs/>
                <w:color w:val="FFFFFF"/>
                <w:lang w:eastAsia="en-GB"/>
              </w:rPr>
              <w:t>20%</w:t>
            </w:r>
          </w:p>
        </w:tc>
      </w:tr>
      <w:tr w:rsidR="001A2CEA" w:rsidRPr="001A2CEA" w14:paraId="72A57496" w14:textId="77777777" w:rsidTr="001A2CEA">
        <w:trPr>
          <w:trHeight w:val="270"/>
        </w:trPr>
        <w:tc>
          <w:tcPr>
            <w:tcW w:w="2328" w:type="dxa"/>
            <w:shd w:val="clear" w:color="000000" w:fill="F2F2F2"/>
            <w:noWrap/>
            <w:vAlign w:val="bottom"/>
            <w:hideMark/>
          </w:tcPr>
          <w:p w14:paraId="76F8F9CB"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Central Vale</w:t>
            </w:r>
          </w:p>
        </w:tc>
        <w:tc>
          <w:tcPr>
            <w:tcW w:w="875" w:type="dxa"/>
            <w:shd w:val="clear" w:color="000000" w:fill="F2F2F2"/>
            <w:noWrap/>
            <w:vAlign w:val="bottom"/>
            <w:hideMark/>
          </w:tcPr>
          <w:p w14:paraId="4893D868"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5</w:t>
            </w:r>
          </w:p>
        </w:tc>
        <w:tc>
          <w:tcPr>
            <w:tcW w:w="875" w:type="dxa"/>
            <w:shd w:val="clear" w:color="000000" w:fill="F2F2F2"/>
            <w:noWrap/>
            <w:vAlign w:val="bottom"/>
            <w:hideMark/>
          </w:tcPr>
          <w:p w14:paraId="6AE1EAC4"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13</w:t>
            </w:r>
          </w:p>
        </w:tc>
        <w:tc>
          <w:tcPr>
            <w:tcW w:w="875" w:type="dxa"/>
            <w:shd w:val="clear" w:color="000000" w:fill="F2F2F2"/>
            <w:noWrap/>
            <w:vAlign w:val="bottom"/>
            <w:hideMark/>
          </w:tcPr>
          <w:p w14:paraId="77F84B00"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4</w:t>
            </w:r>
          </w:p>
        </w:tc>
        <w:tc>
          <w:tcPr>
            <w:tcW w:w="875" w:type="dxa"/>
            <w:shd w:val="clear" w:color="000000" w:fill="F2F2F2"/>
            <w:noWrap/>
            <w:vAlign w:val="bottom"/>
            <w:hideMark/>
          </w:tcPr>
          <w:p w14:paraId="0B622B20"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8</w:t>
            </w:r>
          </w:p>
        </w:tc>
        <w:tc>
          <w:tcPr>
            <w:tcW w:w="875" w:type="dxa"/>
            <w:shd w:val="clear" w:color="000000" w:fill="F2F2F2"/>
            <w:noWrap/>
            <w:vAlign w:val="bottom"/>
            <w:hideMark/>
          </w:tcPr>
          <w:p w14:paraId="501D224C"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4</w:t>
            </w:r>
          </w:p>
        </w:tc>
        <w:tc>
          <w:tcPr>
            <w:tcW w:w="875" w:type="dxa"/>
            <w:shd w:val="clear" w:color="000000" w:fill="F2F2F2"/>
            <w:noWrap/>
            <w:vAlign w:val="bottom"/>
            <w:hideMark/>
          </w:tcPr>
          <w:p w14:paraId="08B995E1"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11</w:t>
            </w:r>
          </w:p>
        </w:tc>
        <w:tc>
          <w:tcPr>
            <w:tcW w:w="875" w:type="dxa"/>
            <w:shd w:val="clear" w:color="000000" w:fill="F2F2F2"/>
            <w:noWrap/>
            <w:vAlign w:val="bottom"/>
            <w:hideMark/>
          </w:tcPr>
          <w:p w14:paraId="52B78B2A"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0</w:t>
            </w:r>
          </w:p>
        </w:tc>
        <w:tc>
          <w:tcPr>
            <w:tcW w:w="875" w:type="dxa"/>
            <w:shd w:val="clear" w:color="000000" w:fill="F2F2F2"/>
            <w:noWrap/>
            <w:vAlign w:val="bottom"/>
            <w:hideMark/>
          </w:tcPr>
          <w:p w14:paraId="6662AD76"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0</w:t>
            </w:r>
          </w:p>
        </w:tc>
      </w:tr>
      <w:tr w:rsidR="001A2CEA" w:rsidRPr="001A2CEA" w14:paraId="021E16AE" w14:textId="77777777" w:rsidTr="001A2CEA">
        <w:trPr>
          <w:trHeight w:val="270"/>
        </w:trPr>
        <w:tc>
          <w:tcPr>
            <w:tcW w:w="2328" w:type="dxa"/>
            <w:shd w:val="clear" w:color="auto" w:fill="auto"/>
            <w:noWrap/>
            <w:vAlign w:val="bottom"/>
            <w:hideMark/>
          </w:tcPr>
          <w:p w14:paraId="50768DD6"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Eastern Vale</w:t>
            </w:r>
          </w:p>
        </w:tc>
        <w:tc>
          <w:tcPr>
            <w:tcW w:w="875" w:type="dxa"/>
            <w:shd w:val="clear" w:color="auto" w:fill="auto"/>
            <w:noWrap/>
            <w:vAlign w:val="bottom"/>
            <w:hideMark/>
          </w:tcPr>
          <w:p w14:paraId="6F2C2195"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0</w:t>
            </w:r>
          </w:p>
        </w:tc>
        <w:tc>
          <w:tcPr>
            <w:tcW w:w="875" w:type="dxa"/>
            <w:shd w:val="clear" w:color="auto" w:fill="auto"/>
            <w:noWrap/>
            <w:vAlign w:val="bottom"/>
            <w:hideMark/>
          </w:tcPr>
          <w:p w14:paraId="0B113EFA"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0</w:t>
            </w:r>
          </w:p>
        </w:tc>
        <w:tc>
          <w:tcPr>
            <w:tcW w:w="875" w:type="dxa"/>
            <w:shd w:val="clear" w:color="auto" w:fill="auto"/>
            <w:noWrap/>
            <w:vAlign w:val="bottom"/>
            <w:hideMark/>
          </w:tcPr>
          <w:p w14:paraId="2FA9BB63"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0</w:t>
            </w:r>
          </w:p>
        </w:tc>
        <w:tc>
          <w:tcPr>
            <w:tcW w:w="875" w:type="dxa"/>
            <w:shd w:val="clear" w:color="auto" w:fill="auto"/>
            <w:noWrap/>
            <w:vAlign w:val="bottom"/>
            <w:hideMark/>
          </w:tcPr>
          <w:p w14:paraId="1D869225"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0</w:t>
            </w:r>
          </w:p>
        </w:tc>
        <w:tc>
          <w:tcPr>
            <w:tcW w:w="875" w:type="dxa"/>
            <w:shd w:val="clear" w:color="auto" w:fill="auto"/>
            <w:noWrap/>
            <w:vAlign w:val="bottom"/>
            <w:hideMark/>
          </w:tcPr>
          <w:p w14:paraId="4EA14C5D"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0</w:t>
            </w:r>
          </w:p>
        </w:tc>
        <w:tc>
          <w:tcPr>
            <w:tcW w:w="875" w:type="dxa"/>
            <w:shd w:val="clear" w:color="auto" w:fill="auto"/>
            <w:noWrap/>
            <w:vAlign w:val="bottom"/>
            <w:hideMark/>
          </w:tcPr>
          <w:p w14:paraId="1CFB6B19"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0</w:t>
            </w:r>
          </w:p>
        </w:tc>
        <w:tc>
          <w:tcPr>
            <w:tcW w:w="875" w:type="dxa"/>
            <w:shd w:val="clear" w:color="auto" w:fill="auto"/>
            <w:noWrap/>
            <w:vAlign w:val="bottom"/>
            <w:hideMark/>
          </w:tcPr>
          <w:p w14:paraId="7448535A"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0</w:t>
            </w:r>
          </w:p>
        </w:tc>
        <w:tc>
          <w:tcPr>
            <w:tcW w:w="875" w:type="dxa"/>
            <w:shd w:val="clear" w:color="auto" w:fill="auto"/>
            <w:noWrap/>
            <w:vAlign w:val="bottom"/>
            <w:hideMark/>
          </w:tcPr>
          <w:p w14:paraId="15B2A985"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0</w:t>
            </w:r>
          </w:p>
        </w:tc>
      </w:tr>
      <w:tr w:rsidR="001A2CEA" w:rsidRPr="001A2CEA" w14:paraId="498743AF" w14:textId="77777777" w:rsidTr="001A2CEA">
        <w:trPr>
          <w:trHeight w:val="270"/>
        </w:trPr>
        <w:tc>
          <w:tcPr>
            <w:tcW w:w="2328" w:type="dxa"/>
            <w:shd w:val="clear" w:color="000000" w:fill="F2F2F2"/>
            <w:noWrap/>
            <w:vAlign w:val="bottom"/>
            <w:hideMark/>
          </w:tcPr>
          <w:p w14:paraId="5758D000"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Western Vale</w:t>
            </w:r>
          </w:p>
        </w:tc>
        <w:tc>
          <w:tcPr>
            <w:tcW w:w="875" w:type="dxa"/>
            <w:shd w:val="clear" w:color="000000" w:fill="F2F2F2"/>
            <w:noWrap/>
            <w:vAlign w:val="bottom"/>
            <w:hideMark/>
          </w:tcPr>
          <w:p w14:paraId="05307216"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0</w:t>
            </w:r>
          </w:p>
        </w:tc>
        <w:tc>
          <w:tcPr>
            <w:tcW w:w="875" w:type="dxa"/>
            <w:shd w:val="clear" w:color="000000" w:fill="F2F2F2"/>
            <w:noWrap/>
            <w:vAlign w:val="bottom"/>
            <w:hideMark/>
          </w:tcPr>
          <w:p w14:paraId="2E95778E"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0</w:t>
            </w:r>
          </w:p>
        </w:tc>
        <w:tc>
          <w:tcPr>
            <w:tcW w:w="875" w:type="dxa"/>
            <w:shd w:val="clear" w:color="000000" w:fill="F2F2F2"/>
            <w:noWrap/>
            <w:vAlign w:val="bottom"/>
            <w:hideMark/>
          </w:tcPr>
          <w:p w14:paraId="371859F4"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0</w:t>
            </w:r>
          </w:p>
        </w:tc>
        <w:tc>
          <w:tcPr>
            <w:tcW w:w="875" w:type="dxa"/>
            <w:shd w:val="clear" w:color="000000" w:fill="F2F2F2"/>
            <w:noWrap/>
            <w:vAlign w:val="bottom"/>
            <w:hideMark/>
          </w:tcPr>
          <w:p w14:paraId="3C3FB78A"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0</w:t>
            </w:r>
          </w:p>
        </w:tc>
        <w:tc>
          <w:tcPr>
            <w:tcW w:w="875" w:type="dxa"/>
            <w:shd w:val="clear" w:color="000000" w:fill="F2F2F2"/>
            <w:noWrap/>
            <w:vAlign w:val="bottom"/>
            <w:hideMark/>
          </w:tcPr>
          <w:p w14:paraId="7370F110"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0</w:t>
            </w:r>
          </w:p>
        </w:tc>
        <w:tc>
          <w:tcPr>
            <w:tcW w:w="875" w:type="dxa"/>
            <w:shd w:val="clear" w:color="000000" w:fill="F2F2F2"/>
            <w:noWrap/>
            <w:vAlign w:val="bottom"/>
            <w:hideMark/>
          </w:tcPr>
          <w:p w14:paraId="4EDCDB0A"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0</w:t>
            </w:r>
          </w:p>
        </w:tc>
        <w:tc>
          <w:tcPr>
            <w:tcW w:w="875" w:type="dxa"/>
            <w:shd w:val="clear" w:color="000000" w:fill="F2F2F2"/>
            <w:noWrap/>
            <w:vAlign w:val="bottom"/>
            <w:hideMark/>
          </w:tcPr>
          <w:p w14:paraId="09CBDB96"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3</w:t>
            </w:r>
          </w:p>
        </w:tc>
        <w:tc>
          <w:tcPr>
            <w:tcW w:w="875" w:type="dxa"/>
            <w:shd w:val="clear" w:color="000000" w:fill="F2F2F2"/>
            <w:noWrap/>
            <w:vAlign w:val="bottom"/>
            <w:hideMark/>
          </w:tcPr>
          <w:p w14:paraId="6CB3D1DF"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6</w:t>
            </w:r>
          </w:p>
        </w:tc>
      </w:tr>
      <w:tr w:rsidR="001A2CEA" w:rsidRPr="001A2CEA" w14:paraId="5E713730" w14:textId="77777777" w:rsidTr="001A2CEA">
        <w:trPr>
          <w:trHeight w:val="270"/>
        </w:trPr>
        <w:tc>
          <w:tcPr>
            <w:tcW w:w="2328" w:type="dxa"/>
            <w:shd w:val="clear" w:color="auto" w:fill="auto"/>
            <w:noWrap/>
            <w:vAlign w:val="bottom"/>
            <w:hideMark/>
          </w:tcPr>
          <w:p w14:paraId="653C6B29"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Vale of Glamorgan</w:t>
            </w:r>
          </w:p>
        </w:tc>
        <w:tc>
          <w:tcPr>
            <w:tcW w:w="875" w:type="dxa"/>
            <w:shd w:val="clear" w:color="auto" w:fill="auto"/>
            <w:noWrap/>
            <w:vAlign w:val="bottom"/>
            <w:hideMark/>
          </w:tcPr>
          <w:p w14:paraId="59E7F4E3"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5</w:t>
            </w:r>
          </w:p>
        </w:tc>
        <w:tc>
          <w:tcPr>
            <w:tcW w:w="875" w:type="dxa"/>
            <w:shd w:val="clear" w:color="auto" w:fill="auto"/>
            <w:noWrap/>
            <w:vAlign w:val="bottom"/>
            <w:hideMark/>
          </w:tcPr>
          <w:p w14:paraId="32AA7F02"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13</w:t>
            </w:r>
          </w:p>
        </w:tc>
        <w:tc>
          <w:tcPr>
            <w:tcW w:w="875" w:type="dxa"/>
            <w:shd w:val="clear" w:color="auto" w:fill="auto"/>
            <w:noWrap/>
            <w:vAlign w:val="bottom"/>
            <w:hideMark/>
          </w:tcPr>
          <w:p w14:paraId="51D741B3"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4</w:t>
            </w:r>
          </w:p>
        </w:tc>
        <w:tc>
          <w:tcPr>
            <w:tcW w:w="875" w:type="dxa"/>
            <w:shd w:val="clear" w:color="auto" w:fill="auto"/>
            <w:noWrap/>
            <w:vAlign w:val="bottom"/>
            <w:hideMark/>
          </w:tcPr>
          <w:p w14:paraId="4A003EED"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8</w:t>
            </w:r>
          </w:p>
        </w:tc>
        <w:tc>
          <w:tcPr>
            <w:tcW w:w="875" w:type="dxa"/>
            <w:shd w:val="clear" w:color="auto" w:fill="auto"/>
            <w:noWrap/>
            <w:vAlign w:val="bottom"/>
            <w:hideMark/>
          </w:tcPr>
          <w:p w14:paraId="067AEE35"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4</w:t>
            </w:r>
          </w:p>
        </w:tc>
        <w:tc>
          <w:tcPr>
            <w:tcW w:w="875" w:type="dxa"/>
            <w:shd w:val="clear" w:color="auto" w:fill="auto"/>
            <w:noWrap/>
            <w:vAlign w:val="bottom"/>
            <w:hideMark/>
          </w:tcPr>
          <w:p w14:paraId="35110E25"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11</w:t>
            </w:r>
          </w:p>
        </w:tc>
        <w:tc>
          <w:tcPr>
            <w:tcW w:w="875" w:type="dxa"/>
            <w:shd w:val="clear" w:color="auto" w:fill="auto"/>
            <w:noWrap/>
            <w:vAlign w:val="bottom"/>
            <w:hideMark/>
          </w:tcPr>
          <w:p w14:paraId="6A585F54"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3</w:t>
            </w:r>
          </w:p>
        </w:tc>
        <w:tc>
          <w:tcPr>
            <w:tcW w:w="875" w:type="dxa"/>
            <w:shd w:val="clear" w:color="auto" w:fill="auto"/>
            <w:noWrap/>
            <w:vAlign w:val="bottom"/>
            <w:hideMark/>
          </w:tcPr>
          <w:p w14:paraId="5B4E1B11"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6</w:t>
            </w:r>
          </w:p>
        </w:tc>
      </w:tr>
      <w:tr w:rsidR="001A2CEA" w:rsidRPr="001A2CEA" w14:paraId="5595EAA7" w14:textId="77777777" w:rsidTr="001A2CEA">
        <w:trPr>
          <w:trHeight w:val="270"/>
        </w:trPr>
        <w:tc>
          <w:tcPr>
            <w:tcW w:w="2328" w:type="dxa"/>
            <w:shd w:val="clear" w:color="000000" w:fill="F2F2F2"/>
            <w:noWrap/>
            <w:vAlign w:val="bottom"/>
            <w:hideMark/>
          </w:tcPr>
          <w:p w14:paraId="385F0860"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Cardiff and Vale UHB</w:t>
            </w:r>
          </w:p>
        </w:tc>
        <w:tc>
          <w:tcPr>
            <w:tcW w:w="875" w:type="dxa"/>
            <w:shd w:val="clear" w:color="000000" w:fill="F2F2F2"/>
            <w:noWrap/>
            <w:vAlign w:val="bottom"/>
            <w:hideMark/>
          </w:tcPr>
          <w:p w14:paraId="30D11FD8"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46</w:t>
            </w:r>
          </w:p>
        </w:tc>
        <w:tc>
          <w:tcPr>
            <w:tcW w:w="875" w:type="dxa"/>
            <w:shd w:val="clear" w:color="000000" w:fill="F2F2F2"/>
            <w:noWrap/>
            <w:vAlign w:val="bottom"/>
            <w:hideMark/>
          </w:tcPr>
          <w:p w14:paraId="61BF7A8F"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72</w:t>
            </w:r>
          </w:p>
        </w:tc>
        <w:tc>
          <w:tcPr>
            <w:tcW w:w="875" w:type="dxa"/>
            <w:shd w:val="clear" w:color="000000" w:fill="F2F2F2"/>
            <w:noWrap/>
            <w:vAlign w:val="bottom"/>
            <w:hideMark/>
          </w:tcPr>
          <w:p w14:paraId="09CD98AB"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38</w:t>
            </w:r>
          </w:p>
        </w:tc>
        <w:tc>
          <w:tcPr>
            <w:tcW w:w="875" w:type="dxa"/>
            <w:shd w:val="clear" w:color="000000" w:fill="F2F2F2"/>
            <w:noWrap/>
            <w:vAlign w:val="bottom"/>
            <w:hideMark/>
          </w:tcPr>
          <w:p w14:paraId="2F668DFF"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64</w:t>
            </w:r>
          </w:p>
        </w:tc>
        <w:tc>
          <w:tcPr>
            <w:tcW w:w="875" w:type="dxa"/>
            <w:shd w:val="clear" w:color="000000" w:fill="F2F2F2"/>
            <w:noWrap/>
            <w:vAlign w:val="bottom"/>
            <w:hideMark/>
          </w:tcPr>
          <w:p w14:paraId="0C623A1E"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34</w:t>
            </w:r>
          </w:p>
        </w:tc>
        <w:tc>
          <w:tcPr>
            <w:tcW w:w="875" w:type="dxa"/>
            <w:shd w:val="clear" w:color="000000" w:fill="F2F2F2"/>
            <w:noWrap/>
            <w:vAlign w:val="bottom"/>
            <w:hideMark/>
          </w:tcPr>
          <w:p w14:paraId="2F5C5981"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51</w:t>
            </w:r>
          </w:p>
        </w:tc>
        <w:tc>
          <w:tcPr>
            <w:tcW w:w="875" w:type="dxa"/>
            <w:shd w:val="clear" w:color="000000" w:fill="F2F2F2"/>
            <w:noWrap/>
            <w:vAlign w:val="bottom"/>
            <w:hideMark/>
          </w:tcPr>
          <w:p w14:paraId="04E28415"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3</w:t>
            </w:r>
          </w:p>
        </w:tc>
        <w:tc>
          <w:tcPr>
            <w:tcW w:w="875" w:type="dxa"/>
            <w:shd w:val="clear" w:color="000000" w:fill="F2F2F2"/>
            <w:noWrap/>
            <w:vAlign w:val="bottom"/>
            <w:hideMark/>
          </w:tcPr>
          <w:p w14:paraId="00F1C16C" w14:textId="77777777" w:rsidR="001A2CEA" w:rsidRPr="001A2CEA" w:rsidRDefault="001A2CEA" w:rsidP="00DC54F7">
            <w:pPr>
              <w:spacing w:after="0" w:line="240" w:lineRule="auto"/>
              <w:jc w:val="both"/>
              <w:rPr>
                <w:rFonts w:eastAsia="Times New Roman" w:cstheme="minorHAnsi"/>
                <w:color w:val="000000"/>
                <w:lang w:eastAsia="en-GB"/>
              </w:rPr>
            </w:pPr>
            <w:r w:rsidRPr="001A2CEA">
              <w:rPr>
                <w:rFonts w:eastAsia="Times New Roman" w:cstheme="minorHAnsi"/>
                <w:color w:val="000000"/>
                <w:lang w:eastAsia="en-GB"/>
              </w:rPr>
              <w:t>15</w:t>
            </w:r>
          </w:p>
        </w:tc>
      </w:tr>
    </w:tbl>
    <w:p w14:paraId="01417C98" w14:textId="66BABEF1" w:rsidR="00FF1EE9" w:rsidRPr="00FF1EE9" w:rsidRDefault="00FF1EE9" w:rsidP="00DC54F7">
      <w:pPr>
        <w:spacing w:after="0" w:line="240" w:lineRule="auto"/>
        <w:jc w:val="both"/>
        <w:rPr>
          <w:rFonts w:ascii="Arial" w:hAnsi="Arial" w:cs="Arial"/>
          <w:b/>
          <w:bCs/>
          <w:sz w:val="20"/>
          <w:szCs w:val="20"/>
        </w:rPr>
      </w:pPr>
      <w:r w:rsidRPr="00FF1EE9">
        <w:rPr>
          <w:rFonts w:ascii="Arial" w:hAnsi="Arial" w:cs="Arial"/>
          <w:sz w:val="20"/>
          <w:szCs w:val="20"/>
        </w:rPr>
        <w:t>Source: Welsh Index of Multiple Deprivation 201</w:t>
      </w:r>
      <w:r w:rsidR="00DF12B8">
        <w:rPr>
          <w:rFonts w:ascii="Arial" w:hAnsi="Arial" w:cs="Arial"/>
          <w:sz w:val="20"/>
          <w:szCs w:val="20"/>
        </w:rPr>
        <w:t>9</w:t>
      </w:r>
      <w:r w:rsidRPr="00FF1EE9">
        <w:rPr>
          <w:rFonts w:ascii="Arial" w:hAnsi="Arial" w:cs="Arial"/>
          <w:sz w:val="20"/>
          <w:szCs w:val="20"/>
        </w:rPr>
        <w:t>, Welsh Government</w:t>
      </w:r>
    </w:p>
    <w:p w14:paraId="48559322" w14:textId="77777777" w:rsidR="00FF1EE9" w:rsidRDefault="00FF1EE9" w:rsidP="00DC54F7">
      <w:pPr>
        <w:spacing w:after="0"/>
        <w:jc w:val="both"/>
        <w:rPr>
          <w:rFonts w:ascii="Arial" w:hAnsi="Arial" w:cs="Arial"/>
        </w:rPr>
      </w:pPr>
    </w:p>
    <w:p w14:paraId="15FA56DF" w14:textId="6958CE52" w:rsidR="00FF1EE9" w:rsidRPr="00A80022" w:rsidRDefault="008F7D65" w:rsidP="00DC54F7">
      <w:pPr>
        <w:spacing w:after="0" w:line="240" w:lineRule="auto"/>
        <w:jc w:val="both"/>
        <w:rPr>
          <w:rFonts w:ascii="Arial" w:hAnsi="Arial" w:cs="Arial"/>
        </w:rPr>
      </w:pPr>
      <w:r w:rsidRPr="000B5550">
        <w:rPr>
          <w:rFonts w:ascii="Arial" w:hAnsi="Arial" w:cs="Arial"/>
          <w:sz w:val="24"/>
          <w:szCs w:val="24"/>
        </w:rPr>
        <w:t xml:space="preserve">The map below provides an indication of the overall levels of deprivation within the cluster. </w:t>
      </w:r>
      <w:r w:rsidR="00FF1EE9" w:rsidRPr="000B5550">
        <w:rPr>
          <w:rFonts w:ascii="Arial" w:hAnsi="Arial" w:cs="Arial"/>
          <w:sz w:val="24"/>
          <w:szCs w:val="24"/>
        </w:rPr>
        <w:t>As can be seen from the map,</w:t>
      </w:r>
      <w:r w:rsidR="003D2931" w:rsidRPr="000B5550">
        <w:rPr>
          <w:rFonts w:ascii="Arial" w:hAnsi="Arial" w:cs="Arial"/>
          <w:sz w:val="24"/>
          <w:szCs w:val="24"/>
        </w:rPr>
        <w:t xml:space="preserve"> </w:t>
      </w:r>
      <w:r w:rsidR="00E40C72" w:rsidRPr="000B5550">
        <w:rPr>
          <w:rFonts w:ascii="Arial" w:hAnsi="Arial" w:cs="Arial"/>
          <w:sz w:val="24"/>
          <w:szCs w:val="24"/>
        </w:rPr>
        <w:t xml:space="preserve">Eastern Vale cluster has relatively low levels of deprivation. </w:t>
      </w:r>
      <w:r w:rsidR="00FF1EE9" w:rsidRPr="000B5550">
        <w:rPr>
          <w:rFonts w:ascii="Arial" w:hAnsi="Arial" w:cs="Arial"/>
          <w:sz w:val="24"/>
          <w:szCs w:val="24"/>
        </w:rPr>
        <w:t xml:space="preserve"> </w:t>
      </w:r>
      <w:r w:rsidR="00E40C72" w:rsidRPr="000B5550">
        <w:rPr>
          <w:rFonts w:ascii="Arial" w:hAnsi="Arial" w:cs="Arial"/>
          <w:sz w:val="24"/>
          <w:szCs w:val="24"/>
        </w:rPr>
        <w:t>T</w:t>
      </w:r>
      <w:r w:rsidR="00FF1EE9" w:rsidRPr="000B5550">
        <w:rPr>
          <w:rFonts w:ascii="Arial" w:hAnsi="Arial" w:cs="Arial"/>
          <w:sz w:val="24"/>
          <w:szCs w:val="24"/>
        </w:rPr>
        <w:t>he majority of pharmacies are located within or near areas of higher deprivation</w:t>
      </w:r>
      <w:r w:rsidR="00FF1EE9">
        <w:rPr>
          <w:rFonts w:ascii="Arial" w:hAnsi="Arial" w:cs="Arial"/>
        </w:rPr>
        <w:t>.</w:t>
      </w:r>
    </w:p>
    <w:p w14:paraId="302D18A0" w14:textId="4D1681D9" w:rsidR="00CD7A5C" w:rsidRDefault="00CD7A5C" w:rsidP="00DC54F7">
      <w:pPr>
        <w:jc w:val="both"/>
        <w:rPr>
          <w:rFonts w:ascii="Arial" w:hAnsi="Arial" w:cs="Arial"/>
          <w:b/>
          <w:bCs/>
        </w:rPr>
      </w:pPr>
      <w:r>
        <w:rPr>
          <w:rFonts w:ascii="Arial" w:hAnsi="Arial" w:cs="Arial"/>
          <w:b/>
          <w:bCs/>
        </w:rPr>
        <w:br w:type="page"/>
      </w:r>
    </w:p>
    <w:p w14:paraId="733F8EC9" w14:textId="55762317" w:rsidR="009A4832" w:rsidRDefault="003D2931" w:rsidP="00DC54F7">
      <w:pPr>
        <w:spacing w:after="0" w:line="240" w:lineRule="auto"/>
        <w:jc w:val="both"/>
        <w:rPr>
          <w:rFonts w:ascii="Arial" w:hAnsi="Arial" w:cs="Arial"/>
          <w:b/>
        </w:rPr>
      </w:pPr>
      <w:r w:rsidRPr="005008F3">
        <w:rPr>
          <w:rFonts w:ascii="Arial" w:hAnsi="Arial" w:cs="Arial"/>
          <w:b/>
        </w:rPr>
        <w:lastRenderedPageBreak/>
        <w:t xml:space="preserve">Map </w:t>
      </w:r>
      <w:r>
        <w:rPr>
          <w:rFonts w:ascii="Arial" w:hAnsi="Arial" w:cs="Arial"/>
          <w:b/>
        </w:rPr>
        <w:t>15</w:t>
      </w:r>
      <w:r w:rsidRPr="005008F3">
        <w:rPr>
          <w:rFonts w:ascii="Arial" w:hAnsi="Arial" w:cs="Arial"/>
          <w:b/>
        </w:rPr>
        <w:t xml:space="preserve">.1: Lower Super Output Areas (LSOAs) in </w:t>
      </w:r>
      <w:r>
        <w:rPr>
          <w:rFonts w:ascii="Arial" w:hAnsi="Arial" w:cs="Arial"/>
          <w:b/>
        </w:rPr>
        <w:t xml:space="preserve">Eastern Vale </w:t>
      </w:r>
      <w:r w:rsidRPr="005008F3">
        <w:rPr>
          <w:rFonts w:ascii="Arial" w:hAnsi="Arial" w:cs="Arial"/>
          <w:b/>
        </w:rPr>
        <w:t xml:space="preserve">cluster, grouped into </w:t>
      </w:r>
    </w:p>
    <w:p w14:paraId="17F0BF8E" w14:textId="37026DEB" w:rsidR="00052A76" w:rsidRPr="003D2931" w:rsidRDefault="003D2931" w:rsidP="00DC54F7">
      <w:pPr>
        <w:spacing w:after="0" w:line="240" w:lineRule="auto"/>
        <w:jc w:val="both"/>
        <w:rPr>
          <w:rFonts w:ascii="Arial" w:hAnsi="Arial" w:cs="Arial"/>
          <w:b/>
        </w:rPr>
      </w:pPr>
      <w:r w:rsidRPr="005008F3">
        <w:rPr>
          <w:rFonts w:ascii="Arial" w:hAnsi="Arial" w:cs="Arial"/>
          <w:b/>
        </w:rPr>
        <w:t>quintiles by Welsh index of Multiple Deprivation 2019</w:t>
      </w:r>
    </w:p>
    <w:p w14:paraId="15F31A5E" w14:textId="37FE36DF" w:rsidR="00DA529F" w:rsidRDefault="00DA529F" w:rsidP="00DC54F7">
      <w:pPr>
        <w:spacing w:after="0" w:line="240" w:lineRule="auto"/>
        <w:jc w:val="both"/>
        <w:rPr>
          <w:rFonts w:ascii="Arial" w:hAnsi="Arial" w:cs="Arial"/>
          <w:b/>
          <w:sz w:val="26"/>
          <w:szCs w:val="26"/>
        </w:rPr>
      </w:pPr>
      <w:r>
        <w:rPr>
          <w:noProof/>
          <w:lang w:eastAsia="en-GB"/>
        </w:rPr>
        <w:drawing>
          <wp:inline distT="0" distB="0" distL="0" distR="0" wp14:anchorId="49861B2E" wp14:editId="65778556">
            <wp:extent cx="5731510" cy="3759200"/>
            <wp:effectExtent l="0" t="0" r="2540" b="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731510" cy="3759200"/>
                    </a:xfrm>
                    <a:prstGeom prst="rect">
                      <a:avLst/>
                    </a:prstGeom>
                    <a:noFill/>
                    <a:ln>
                      <a:noFill/>
                    </a:ln>
                  </pic:spPr>
                </pic:pic>
              </a:graphicData>
            </a:graphic>
          </wp:inline>
        </w:drawing>
      </w:r>
    </w:p>
    <w:p w14:paraId="7C9F70A4" w14:textId="38669FF6" w:rsidR="00C74D5C" w:rsidRDefault="00C74D5C" w:rsidP="00DC54F7">
      <w:pPr>
        <w:spacing w:after="0" w:line="240" w:lineRule="auto"/>
        <w:jc w:val="both"/>
        <w:rPr>
          <w:rFonts w:ascii="Arial" w:hAnsi="Arial" w:cs="Arial"/>
          <w:b/>
          <w:sz w:val="26"/>
          <w:szCs w:val="26"/>
        </w:rPr>
      </w:pPr>
    </w:p>
    <w:p w14:paraId="54136CB8" w14:textId="41A44CA5" w:rsidR="004C1C6A" w:rsidRPr="00EF4834" w:rsidRDefault="00EF4834" w:rsidP="00DC54F7">
      <w:pPr>
        <w:spacing w:after="0" w:line="240" w:lineRule="auto"/>
        <w:jc w:val="both"/>
        <w:rPr>
          <w:rFonts w:ascii="Arial" w:hAnsi="Arial" w:cs="Arial"/>
          <w:b/>
          <w:sz w:val="24"/>
          <w:szCs w:val="24"/>
        </w:rPr>
      </w:pPr>
      <w:r>
        <w:rPr>
          <w:rFonts w:ascii="Arial" w:hAnsi="Arial" w:cs="Arial"/>
          <w:b/>
          <w:sz w:val="24"/>
          <w:szCs w:val="24"/>
        </w:rPr>
        <w:t xml:space="preserve">15.1.4 </w:t>
      </w:r>
      <w:r w:rsidR="004C1C6A" w:rsidRPr="00EF4834">
        <w:rPr>
          <w:rFonts w:ascii="Arial" w:hAnsi="Arial" w:cs="Arial"/>
          <w:b/>
          <w:sz w:val="24"/>
          <w:szCs w:val="24"/>
        </w:rPr>
        <w:t xml:space="preserve">Health </w:t>
      </w:r>
      <w:r w:rsidR="00D011D6" w:rsidRPr="00EF4834">
        <w:rPr>
          <w:rFonts w:ascii="Arial" w:hAnsi="Arial" w:cs="Arial"/>
          <w:b/>
          <w:sz w:val="24"/>
          <w:szCs w:val="24"/>
        </w:rPr>
        <w:t>profile</w:t>
      </w:r>
    </w:p>
    <w:p w14:paraId="2224EAE8" w14:textId="77777777" w:rsidR="00D011D6" w:rsidRDefault="00D011D6" w:rsidP="00DC54F7">
      <w:pPr>
        <w:spacing w:after="0" w:line="240" w:lineRule="auto"/>
        <w:jc w:val="both"/>
        <w:rPr>
          <w:rFonts w:ascii="Arial" w:hAnsi="Arial" w:cs="Arial"/>
          <w:b/>
          <w:sz w:val="26"/>
          <w:szCs w:val="26"/>
        </w:rPr>
      </w:pPr>
    </w:p>
    <w:p w14:paraId="0A6D1C6F" w14:textId="02C18363" w:rsidR="00EE48D4" w:rsidRPr="00EF4834" w:rsidRDefault="00EE48D4" w:rsidP="00DC54F7">
      <w:pPr>
        <w:spacing w:after="0" w:line="240" w:lineRule="auto"/>
        <w:jc w:val="both"/>
        <w:rPr>
          <w:rFonts w:ascii="Arial" w:hAnsi="Arial" w:cs="Arial"/>
          <w:b/>
          <w:sz w:val="24"/>
          <w:szCs w:val="24"/>
        </w:rPr>
      </w:pPr>
      <w:r w:rsidRPr="00EF4834">
        <w:rPr>
          <w:rFonts w:ascii="Arial" w:hAnsi="Arial" w:cs="Arial"/>
          <w:bCs/>
          <w:sz w:val="24"/>
          <w:szCs w:val="24"/>
        </w:rPr>
        <w:t xml:space="preserve">Overall, the estimated prevalence of chronic disease in </w:t>
      </w:r>
      <w:r w:rsidR="00BE60F0" w:rsidRPr="00EF4834">
        <w:rPr>
          <w:rFonts w:ascii="Arial" w:hAnsi="Arial" w:cs="Arial"/>
          <w:bCs/>
          <w:sz w:val="24"/>
          <w:szCs w:val="24"/>
        </w:rPr>
        <w:t>Eastern</w:t>
      </w:r>
      <w:r w:rsidRPr="00EF4834">
        <w:rPr>
          <w:rFonts w:ascii="Arial" w:hAnsi="Arial" w:cs="Arial"/>
          <w:bCs/>
          <w:sz w:val="24"/>
          <w:szCs w:val="24"/>
        </w:rPr>
        <w:t xml:space="preserve"> Vale cluster is lower than the average for Wales</w:t>
      </w:r>
      <w:r w:rsidR="004A0C09" w:rsidRPr="00EF4834">
        <w:rPr>
          <w:rFonts w:ascii="Arial" w:hAnsi="Arial" w:cs="Arial"/>
          <w:bCs/>
          <w:sz w:val="24"/>
          <w:szCs w:val="24"/>
        </w:rPr>
        <w:t>, except for stroke and transient isch</w:t>
      </w:r>
      <w:r w:rsidR="00CE1C95" w:rsidRPr="00EF4834">
        <w:rPr>
          <w:rFonts w:ascii="Arial" w:hAnsi="Arial" w:cs="Arial"/>
          <w:bCs/>
          <w:sz w:val="24"/>
          <w:szCs w:val="24"/>
        </w:rPr>
        <w:t>a</w:t>
      </w:r>
      <w:r w:rsidR="004A0C09" w:rsidRPr="00EF4834">
        <w:rPr>
          <w:rFonts w:ascii="Arial" w:hAnsi="Arial" w:cs="Arial"/>
          <w:bCs/>
          <w:sz w:val="24"/>
          <w:szCs w:val="24"/>
        </w:rPr>
        <w:t>emic</w:t>
      </w:r>
      <w:r w:rsidR="00CE1C95" w:rsidRPr="00EF4834">
        <w:rPr>
          <w:rFonts w:ascii="Arial" w:hAnsi="Arial" w:cs="Arial"/>
          <w:bCs/>
          <w:sz w:val="24"/>
          <w:szCs w:val="24"/>
        </w:rPr>
        <w:t xml:space="preserve"> attacks </w:t>
      </w:r>
      <w:r w:rsidR="00660084" w:rsidRPr="00EF4834">
        <w:rPr>
          <w:rFonts w:ascii="Arial" w:hAnsi="Arial" w:cs="Arial"/>
          <w:bCs/>
          <w:sz w:val="24"/>
          <w:szCs w:val="24"/>
        </w:rPr>
        <w:t xml:space="preserve">where it is the same. </w:t>
      </w:r>
      <w:r w:rsidRPr="00EF4834">
        <w:rPr>
          <w:rFonts w:ascii="Arial" w:hAnsi="Arial" w:cs="Arial"/>
          <w:bCs/>
          <w:sz w:val="24"/>
          <w:szCs w:val="24"/>
        </w:rPr>
        <w:t xml:space="preserve">When compared to the health board, the estimated prevalence of chronic disease is </w:t>
      </w:r>
      <w:r w:rsidR="00B838F9" w:rsidRPr="00EF4834">
        <w:rPr>
          <w:rFonts w:ascii="Arial" w:hAnsi="Arial" w:cs="Arial"/>
          <w:bCs/>
          <w:sz w:val="24"/>
          <w:szCs w:val="24"/>
        </w:rPr>
        <w:t xml:space="preserve">in general </w:t>
      </w:r>
      <w:r w:rsidRPr="00EF4834">
        <w:rPr>
          <w:rFonts w:ascii="Arial" w:hAnsi="Arial" w:cs="Arial"/>
          <w:bCs/>
          <w:sz w:val="24"/>
          <w:szCs w:val="24"/>
        </w:rPr>
        <w:t>higher</w:t>
      </w:r>
      <w:r w:rsidR="00B46F1D" w:rsidRPr="00EF4834">
        <w:rPr>
          <w:rFonts w:ascii="Arial" w:hAnsi="Arial" w:cs="Arial"/>
          <w:bCs/>
          <w:sz w:val="24"/>
          <w:szCs w:val="24"/>
        </w:rPr>
        <w:t>, except for chronic obstructive pulmonary disease (COPD)</w:t>
      </w:r>
      <w:r w:rsidRPr="00EF4834">
        <w:rPr>
          <w:rFonts w:ascii="Arial" w:hAnsi="Arial" w:cs="Arial"/>
          <w:bCs/>
          <w:sz w:val="24"/>
          <w:szCs w:val="24"/>
        </w:rPr>
        <w:t>.</w:t>
      </w:r>
      <w:r w:rsidR="00671355" w:rsidRPr="00EF4834">
        <w:rPr>
          <w:rFonts w:ascii="Arial" w:hAnsi="Arial" w:cs="Arial"/>
          <w:bCs/>
          <w:sz w:val="24"/>
          <w:szCs w:val="24"/>
        </w:rPr>
        <w:t xml:space="preserve"> </w:t>
      </w:r>
      <w:r w:rsidR="00660084" w:rsidRPr="00EF4834">
        <w:rPr>
          <w:rFonts w:ascii="Arial" w:hAnsi="Arial" w:cs="Arial"/>
          <w:bCs/>
          <w:sz w:val="24"/>
          <w:szCs w:val="24"/>
        </w:rPr>
        <w:t xml:space="preserve">Eastern </w:t>
      </w:r>
      <w:r w:rsidRPr="00EF4834">
        <w:rPr>
          <w:rFonts w:ascii="Arial" w:hAnsi="Arial" w:cs="Arial"/>
          <w:bCs/>
          <w:sz w:val="24"/>
          <w:szCs w:val="24"/>
        </w:rPr>
        <w:t>Vale cluster has the joint highest estimated prevalence for coronary heart disease out of all the clusters in the health board</w:t>
      </w:r>
      <w:r w:rsidR="00EA7289" w:rsidRPr="00EF4834">
        <w:rPr>
          <w:rFonts w:ascii="Arial" w:hAnsi="Arial" w:cs="Arial"/>
          <w:bCs/>
          <w:sz w:val="24"/>
          <w:szCs w:val="24"/>
        </w:rPr>
        <w:t xml:space="preserve"> and </w:t>
      </w:r>
      <w:r w:rsidR="00F73D15" w:rsidRPr="00EF4834">
        <w:rPr>
          <w:rFonts w:ascii="Arial" w:hAnsi="Arial" w:cs="Arial"/>
          <w:bCs/>
          <w:sz w:val="24"/>
          <w:szCs w:val="24"/>
        </w:rPr>
        <w:t>the second highest estimated prevalence of stroke and transient ischaemic attacks.</w:t>
      </w:r>
    </w:p>
    <w:p w14:paraId="6EF3DC39" w14:textId="77777777" w:rsidR="00EE48D4" w:rsidRDefault="00EE48D4" w:rsidP="00DC54F7">
      <w:pPr>
        <w:spacing w:after="0" w:line="240" w:lineRule="auto"/>
        <w:jc w:val="both"/>
        <w:rPr>
          <w:rFonts w:ascii="Arial" w:hAnsi="Arial" w:cs="Arial"/>
          <w:b/>
          <w:sz w:val="26"/>
          <w:szCs w:val="26"/>
        </w:rPr>
      </w:pPr>
    </w:p>
    <w:p w14:paraId="2F1ED74C" w14:textId="4358150D" w:rsidR="00442714" w:rsidRPr="00EF4834" w:rsidRDefault="00C05345" w:rsidP="00DC54F7">
      <w:pPr>
        <w:pStyle w:val="Caption"/>
        <w:spacing w:before="0" w:after="0"/>
        <w:jc w:val="both"/>
        <w:rPr>
          <w:rFonts w:ascii="Arial" w:hAnsi="Arial" w:cs="Arial"/>
          <w:szCs w:val="24"/>
        </w:rPr>
      </w:pPr>
      <w:r w:rsidRPr="00EF4834">
        <w:rPr>
          <w:rFonts w:ascii="Arial" w:hAnsi="Arial" w:cs="Arial"/>
          <w:szCs w:val="24"/>
        </w:rPr>
        <w:t>Table 1</w:t>
      </w:r>
      <w:r w:rsidR="002204E4" w:rsidRPr="00EF4834">
        <w:rPr>
          <w:rFonts w:ascii="Arial" w:hAnsi="Arial" w:cs="Arial"/>
          <w:szCs w:val="24"/>
        </w:rPr>
        <w:t>5</w:t>
      </w:r>
      <w:r w:rsidRPr="00EF4834">
        <w:rPr>
          <w:rFonts w:ascii="Arial" w:hAnsi="Arial" w:cs="Arial"/>
          <w:szCs w:val="24"/>
        </w:rPr>
        <w:t>.</w:t>
      </w:r>
      <w:r w:rsidR="00FF1EE9" w:rsidRPr="00EF4834">
        <w:rPr>
          <w:rFonts w:ascii="Arial" w:hAnsi="Arial" w:cs="Arial"/>
          <w:szCs w:val="24"/>
        </w:rPr>
        <w:t>3</w:t>
      </w:r>
      <w:r w:rsidRPr="00EF4834">
        <w:rPr>
          <w:rFonts w:ascii="Arial" w:hAnsi="Arial" w:cs="Arial"/>
          <w:szCs w:val="24"/>
        </w:rPr>
        <w:t xml:space="preserve">: Estimated percentage </w:t>
      </w:r>
      <w:r w:rsidR="00027872" w:rsidRPr="00EF4834">
        <w:rPr>
          <w:rFonts w:ascii="Arial" w:hAnsi="Arial" w:cs="Arial"/>
          <w:szCs w:val="24"/>
        </w:rPr>
        <w:t>prevalence of chronic conditions</w:t>
      </w:r>
      <w:r w:rsidRPr="00EF4834">
        <w:rPr>
          <w:rFonts w:ascii="Arial" w:hAnsi="Arial" w:cs="Arial"/>
          <w:szCs w:val="24"/>
        </w:rPr>
        <w:t xml:space="preserve"> based on patients on GP practice registers by cluster, local authority, health board and Wales, 2019</w:t>
      </w:r>
    </w:p>
    <w:tbl>
      <w:tblPr>
        <w:tblW w:w="9351" w:type="dxa"/>
        <w:tblLook w:val="04A0" w:firstRow="1" w:lastRow="0" w:firstColumn="1" w:lastColumn="0" w:noHBand="0" w:noVBand="1"/>
      </w:tblPr>
      <w:tblGrid>
        <w:gridCol w:w="1911"/>
        <w:gridCol w:w="1239"/>
        <w:gridCol w:w="1239"/>
        <w:gridCol w:w="1239"/>
        <w:gridCol w:w="1239"/>
        <w:gridCol w:w="1239"/>
        <w:gridCol w:w="1245"/>
      </w:tblGrid>
      <w:tr w:rsidR="0006776E" w:rsidRPr="0006776E" w14:paraId="22B1DA83" w14:textId="77777777" w:rsidTr="00E40C72">
        <w:trPr>
          <w:trHeight w:val="279"/>
        </w:trPr>
        <w:tc>
          <w:tcPr>
            <w:tcW w:w="1911" w:type="dxa"/>
            <w:tcBorders>
              <w:top w:val="single" w:sz="4" w:space="0" w:color="auto"/>
              <w:left w:val="single" w:sz="4" w:space="0" w:color="auto"/>
              <w:bottom w:val="nil"/>
              <w:right w:val="nil"/>
            </w:tcBorders>
            <w:shd w:val="clear" w:color="auto" w:fill="8497B0"/>
            <w:noWrap/>
            <w:vAlign w:val="bottom"/>
            <w:hideMark/>
          </w:tcPr>
          <w:p w14:paraId="1A483994" w14:textId="77777777"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 </w:t>
            </w:r>
          </w:p>
        </w:tc>
        <w:tc>
          <w:tcPr>
            <w:tcW w:w="7440" w:type="dxa"/>
            <w:gridSpan w:val="6"/>
            <w:tcBorders>
              <w:top w:val="single" w:sz="4" w:space="0" w:color="auto"/>
              <w:left w:val="nil"/>
              <w:bottom w:val="single" w:sz="4" w:space="0" w:color="FFFFFF"/>
              <w:right w:val="single" w:sz="4" w:space="0" w:color="auto"/>
            </w:tcBorders>
            <w:shd w:val="clear" w:color="auto" w:fill="8497B0"/>
            <w:noWrap/>
            <w:vAlign w:val="bottom"/>
            <w:hideMark/>
          </w:tcPr>
          <w:p w14:paraId="5FD5A899" w14:textId="77777777" w:rsidR="0006776E" w:rsidRPr="00EF4834" w:rsidRDefault="0006776E" w:rsidP="00DC54F7">
            <w:pPr>
              <w:spacing w:after="0" w:line="240" w:lineRule="auto"/>
              <w:jc w:val="both"/>
              <w:rPr>
                <w:rFonts w:ascii="Calibri" w:eastAsia="Times New Roman" w:hAnsi="Calibri" w:cs="Times New Roman"/>
                <w:b/>
                <w:bCs/>
                <w:color w:val="FFFFFF"/>
                <w:lang w:eastAsia="en-GB"/>
              </w:rPr>
            </w:pPr>
            <w:r w:rsidRPr="00EF4834">
              <w:rPr>
                <w:rFonts w:ascii="Calibri" w:eastAsia="Times New Roman" w:hAnsi="Calibri" w:cs="Times New Roman"/>
                <w:b/>
                <w:bCs/>
                <w:color w:val="FFFFFF"/>
                <w:lang w:eastAsia="en-GB"/>
              </w:rPr>
              <w:t>Percentage</w:t>
            </w:r>
          </w:p>
        </w:tc>
      </w:tr>
      <w:tr w:rsidR="0006776E" w:rsidRPr="0006776E" w14:paraId="0D22316E" w14:textId="77777777" w:rsidTr="00E40C72">
        <w:trPr>
          <w:trHeight w:val="1014"/>
        </w:trPr>
        <w:tc>
          <w:tcPr>
            <w:tcW w:w="1911" w:type="dxa"/>
            <w:tcBorders>
              <w:top w:val="nil"/>
              <w:left w:val="single" w:sz="4" w:space="0" w:color="auto"/>
              <w:right w:val="nil"/>
            </w:tcBorders>
            <w:shd w:val="clear" w:color="auto" w:fill="8497B0"/>
            <w:noWrap/>
            <w:vAlign w:val="bottom"/>
            <w:hideMark/>
          </w:tcPr>
          <w:p w14:paraId="1C18A0C5" w14:textId="77777777" w:rsidR="0006776E" w:rsidRPr="00EF4834" w:rsidRDefault="0006776E" w:rsidP="00DC54F7">
            <w:pPr>
              <w:spacing w:after="0" w:line="240" w:lineRule="auto"/>
              <w:jc w:val="both"/>
              <w:rPr>
                <w:rFonts w:ascii="Calibri" w:eastAsia="Times New Roman" w:hAnsi="Calibri" w:cs="Times New Roman"/>
                <w:b/>
                <w:bCs/>
                <w:color w:val="FFFFFF"/>
                <w:lang w:eastAsia="en-GB"/>
              </w:rPr>
            </w:pPr>
            <w:r w:rsidRPr="00EF4834">
              <w:rPr>
                <w:rFonts w:ascii="Calibri" w:eastAsia="Times New Roman" w:hAnsi="Calibri" w:cs="Times New Roman"/>
                <w:b/>
                <w:bCs/>
                <w:color w:val="FFFFFF"/>
                <w:lang w:eastAsia="en-GB"/>
              </w:rPr>
              <w:t> </w:t>
            </w:r>
          </w:p>
        </w:tc>
        <w:tc>
          <w:tcPr>
            <w:tcW w:w="1239" w:type="dxa"/>
            <w:tcBorders>
              <w:top w:val="nil"/>
              <w:left w:val="nil"/>
              <w:right w:val="nil"/>
            </w:tcBorders>
            <w:shd w:val="clear" w:color="auto" w:fill="8497B0"/>
            <w:vAlign w:val="bottom"/>
            <w:hideMark/>
          </w:tcPr>
          <w:p w14:paraId="77DC5C7C" w14:textId="77777777" w:rsidR="0006776E" w:rsidRPr="00EF4834" w:rsidRDefault="0006776E" w:rsidP="00DC54F7">
            <w:pPr>
              <w:spacing w:after="0" w:line="240" w:lineRule="auto"/>
              <w:jc w:val="both"/>
              <w:rPr>
                <w:rFonts w:ascii="Calibri" w:eastAsia="Times New Roman" w:hAnsi="Calibri" w:cs="Times New Roman"/>
                <w:b/>
                <w:bCs/>
                <w:color w:val="FFFFFF"/>
                <w:lang w:eastAsia="en-GB"/>
              </w:rPr>
            </w:pPr>
            <w:r w:rsidRPr="00EF4834">
              <w:rPr>
                <w:rFonts w:ascii="Calibri" w:eastAsia="Times New Roman" w:hAnsi="Calibri" w:cs="Times New Roman"/>
                <w:b/>
                <w:bCs/>
                <w:color w:val="FFFFFF"/>
                <w:lang w:eastAsia="en-GB"/>
              </w:rPr>
              <w:t>Asthma</w:t>
            </w:r>
          </w:p>
        </w:tc>
        <w:tc>
          <w:tcPr>
            <w:tcW w:w="1239" w:type="dxa"/>
            <w:tcBorders>
              <w:top w:val="nil"/>
              <w:left w:val="nil"/>
              <w:right w:val="nil"/>
            </w:tcBorders>
            <w:shd w:val="clear" w:color="auto" w:fill="8497B0"/>
            <w:vAlign w:val="bottom"/>
            <w:hideMark/>
          </w:tcPr>
          <w:p w14:paraId="5BD506B8" w14:textId="77777777" w:rsidR="0006776E" w:rsidRPr="00EF4834" w:rsidRDefault="0006776E" w:rsidP="00DC54F7">
            <w:pPr>
              <w:spacing w:after="0" w:line="240" w:lineRule="auto"/>
              <w:jc w:val="both"/>
              <w:rPr>
                <w:rFonts w:ascii="Calibri" w:eastAsia="Times New Roman" w:hAnsi="Calibri" w:cs="Times New Roman"/>
                <w:b/>
                <w:bCs/>
                <w:color w:val="FFFFFF"/>
                <w:lang w:eastAsia="en-GB"/>
              </w:rPr>
            </w:pPr>
            <w:r w:rsidRPr="00EF4834">
              <w:rPr>
                <w:rFonts w:ascii="Calibri" w:eastAsia="Times New Roman" w:hAnsi="Calibri" w:cs="Times New Roman"/>
                <w:b/>
                <w:bCs/>
                <w:color w:val="FFFFFF"/>
                <w:lang w:eastAsia="en-GB"/>
              </w:rPr>
              <w:t>Coronary heart disease</w:t>
            </w:r>
          </w:p>
        </w:tc>
        <w:tc>
          <w:tcPr>
            <w:tcW w:w="1239" w:type="dxa"/>
            <w:tcBorders>
              <w:top w:val="nil"/>
              <w:left w:val="nil"/>
              <w:right w:val="nil"/>
            </w:tcBorders>
            <w:shd w:val="clear" w:color="auto" w:fill="8497B0"/>
            <w:vAlign w:val="bottom"/>
            <w:hideMark/>
          </w:tcPr>
          <w:p w14:paraId="166F9C7C" w14:textId="77777777" w:rsidR="0006776E" w:rsidRPr="00EF4834" w:rsidRDefault="0006776E" w:rsidP="00DC54F7">
            <w:pPr>
              <w:spacing w:after="0" w:line="240" w:lineRule="auto"/>
              <w:jc w:val="both"/>
              <w:rPr>
                <w:rFonts w:ascii="Calibri" w:eastAsia="Times New Roman" w:hAnsi="Calibri" w:cs="Times New Roman"/>
                <w:b/>
                <w:bCs/>
                <w:color w:val="FFFFFF"/>
                <w:lang w:eastAsia="en-GB"/>
              </w:rPr>
            </w:pPr>
            <w:r w:rsidRPr="00EF4834">
              <w:rPr>
                <w:rFonts w:ascii="Calibri" w:eastAsia="Times New Roman" w:hAnsi="Calibri" w:cs="Times New Roman"/>
                <w:b/>
                <w:bCs/>
                <w:color w:val="FFFFFF"/>
                <w:lang w:eastAsia="en-GB"/>
              </w:rPr>
              <w:t>COPD</w:t>
            </w:r>
          </w:p>
        </w:tc>
        <w:tc>
          <w:tcPr>
            <w:tcW w:w="1239" w:type="dxa"/>
            <w:tcBorders>
              <w:top w:val="nil"/>
              <w:left w:val="nil"/>
              <w:right w:val="nil"/>
            </w:tcBorders>
            <w:shd w:val="clear" w:color="auto" w:fill="8497B0"/>
            <w:vAlign w:val="bottom"/>
            <w:hideMark/>
          </w:tcPr>
          <w:p w14:paraId="52D2FA24" w14:textId="77777777" w:rsidR="0006776E" w:rsidRPr="00EF4834" w:rsidRDefault="0006776E" w:rsidP="00DC54F7">
            <w:pPr>
              <w:spacing w:after="0" w:line="240" w:lineRule="auto"/>
              <w:jc w:val="both"/>
              <w:rPr>
                <w:rFonts w:ascii="Calibri" w:eastAsia="Times New Roman" w:hAnsi="Calibri" w:cs="Times New Roman"/>
                <w:b/>
                <w:bCs/>
                <w:color w:val="FFFFFF"/>
                <w:lang w:eastAsia="en-GB"/>
              </w:rPr>
            </w:pPr>
            <w:r w:rsidRPr="00EF4834">
              <w:rPr>
                <w:rFonts w:ascii="Calibri" w:eastAsia="Times New Roman" w:hAnsi="Calibri" w:cs="Times New Roman"/>
                <w:b/>
                <w:bCs/>
                <w:color w:val="FFFFFF"/>
                <w:lang w:eastAsia="en-GB"/>
              </w:rPr>
              <w:t>Diabetes</w:t>
            </w:r>
          </w:p>
        </w:tc>
        <w:tc>
          <w:tcPr>
            <w:tcW w:w="1239" w:type="dxa"/>
            <w:tcBorders>
              <w:top w:val="nil"/>
              <w:left w:val="nil"/>
              <w:right w:val="nil"/>
            </w:tcBorders>
            <w:shd w:val="clear" w:color="auto" w:fill="8497B0"/>
            <w:vAlign w:val="bottom"/>
            <w:hideMark/>
          </w:tcPr>
          <w:p w14:paraId="02D320A8" w14:textId="77777777" w:rsidR="0006776E" w:rsidRPr="00EF4834" w:rsidRDefault="0006776E" w:rsidP="00DC54F7">
            <w:pPr>
              <w:spacing w:after="0" w:line="240" w:lineRule="auto"/>
              <w:jc w:val="both"/>
              <w:rPr>
                <w:rFonts w:ascii="Calibri" w:eastAsia="Times New Roman" w:hAnsi="Calibri" w:cs="Times New Roman"/>
                <w:b/>
                <w:bCs/>
                <w:color w:val="FFFFFF"/>
                <w:lang w:eastAsia="en-GB"/>
              </w:rPr>
            </w:pPr>
            <w:r w:rsidRPr="00EF4834">
              <w:rPr>
                <w:rFonts w:ascii="Calibri" w:eastAsia="Times New Roman" w:hAnsi="Calibri" w:cs="Times New Roman"/>
                <w:b/>
                <w:bCs/>
                <w:color w:val="FFFFFF"/>
                <w:lang w:eastAsia="en-GB"/>
              </w:rPr>
              <w:t>Heart failure</w:t>
            </w:r>
          </w:p>
        </w:tc>
        <w:tc>
          <w:tcPr>
            <w:tcW w:w="1242" w:type="dxa"/>
            <w:tcBorders>
              <w:top w:val="nil"/>
              <w:left w:val="nil"/>
              <w:right w:val="single" w:sz="4" w:space="0" w:color="auto"/>
            </w:tcBorders>
            <w:shd w:val="clear" w:color="auto" w:fill="8497B0"/>
            <w:vAlign w:val="bottom"/>
            <w:hideMark/>
          </w:tcPr>
          <w:p w14:paraId="78987DE2" w14:textId="77777777" w:rsidR="0006776E" w:rsidRPr="00EF4834" w:rsidRDefault="0006776E" w:rsidP="00DC54F7">
            <w:pPr>
              <w:spacing w:after="0" w:line="240" w:lineRule="auto"/>
              <w:jc w:val="both"/>
              <w:rPr>
                <w:rFonts w:ascii="Calibri" w:eastAsia="Times New Roman" w:hAnsi="Calibri" w:cs="Times New Roman"/>
                <w:b/>
                <w:bCs/>
                <w:color w:val="FFFFFF"/>
                <w:lang w:eastAsia="en-GB"/>
              </w:rPr>
            </w:pPr>
            <w:r w:rsidRPr="00EF4834">
              <w:rPr>
                <w:rFonts w:ascii="Calibri" w:eastAsia="Times New Roman" w:hAnsi="Calibri" w:cs="Times New Roman"/>
                <w:b/>
                <w:bCs/>
                <w:color w:val="FFFFFF"/>
                <w:lang w:eastAsia="en-GB"/>
              </w:rPr>
              <w:t>Stroke and transient ischaemic attacks</w:t>
            </w:r>
          </w:p>
        </w:tc>
      </w:tr>
      <w:tr w:rsidR="0006776E" w:rsidRPr="0006776E" w14:paraId="12B7AEFC" w14:textId="77777777" w:rsidTr="00E40C72">
        <w:trPr>
          <w:trHeight w:val="279"/>
        </w:trPr>
        <w:tc>
          <w:tcPr>
            <w:tcW w:w="1911" w:type="dxa"/>
            <w:tcBorders>
              <w:top w:val="nil"/>
              <w:left w:val="single" w:sz="4" w:space="0" w:color="auto"/>
              <w:right w:val="nil"/>
            </w:tcBorders>
            <w:shd w:val="clear" w:color="E2EFDA" w:fill="F2F2F2"/>
            <w:noWrap/>
            <w:vAlign w:val="bottom"/>
            <w:hideMark/>
          </w:tcPr>
          <w:p w14:paraId="73CF09C5" w14:textId="77777777"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Eastern Vale</w:t>
            </w:r>
          </w:p>
        </w:tc>
        <w:tc>
          <w:tcPr>
            <w:tcW w:w="1239" w:type="dxa"/>
            <w:tcBorders>
              <w:top w:val="nil"/>
              <w:left w:val="nil"/>
              <w:right w:val="nil"/>
            </w:tcBorders>
            <w:shd w:val="clear" w:color="E2EFDA" w:fill="F2F2F2"/>
            <w:noWrap/>
            <w:vAlign w:val="bottom"/>
            <w:hideMark/>
          </w:tcPr>
          <w:p w14:paraId="68B6CF56" w14:textId="3839F701"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6.8</w:t>
            </w:r>
          </w:p>
        </w:tc>
        <w:tc>
          <w:tcPr>
            <w:tcW w:w="1239" w:type="dxa"/>
            <w:tcBorders>
              <w:top w:val="nil"/>
              <w:left w:val="nil"/>
              <w:right w:val="nil"/>
            </w:tcBorders>
            <w:shd w:val="clear" w:color="E2EFDA" w:fill="F2F2F2"/>
            <w:noWrap/>
            <w:vAlign w:val="bottom"/>
            <w:hideMark/>
          </w:tcPr>
          <w:p w14:paraId="483D1159" w14:textId="6DAB170B"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3.3</w:t>
            </w:r>
          </w:p>
        </w:tc>
        <w:tc>
          <w:tcPr>
            <w:tcW w:w="1239" w:type="dxa"/>
            <w:tcBorders>
              <w:top w:val="nil"/>
              <w:left w:val="nil"/>
              <w:right w:val="nil"/>
            </w:tcBorders>
            <w:shd w:val="clear" w:color="E2EFDA" w:fill="F2F2F2"/>
            <w:noWrap/>
            <w:vAlign w:val="bottom"/>
            <w:hideMark/>
          </w:tcPr>
          <w:p w14:paraId="69CF6DE1" w14:textId="67681D54"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1.5</w:t>
            </w:r>
          </w:p>
        </w:tc>
        <w:tc>
          <w:tcPr>
            <w:tcW w:w="1239" w:type="dxa"/>
            <w:tcBorders>
              <w:top w:val="nil"/>
              <w:left w:val="nil"/>
              <w:right w:val="nil"/>
            </w:tcBorders>
            <w:shd w:val="clear" w:color="E2EFDA" w:fill="F2F2F2"/>
            <w:noWrap/>
            <w:vAlign w:val="bottom"/>
            <w:hideMark/>
          </w:tcPr>
          <w:p w14:paraId="55B735D1" w14:textId="36D40C5A"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5.2</w:t>
            </w:r>
          </w:p>
        </w:tc>
        <w:tc>
          <w:tcPr>
            <w:tcW w:w="1239" w:type="dxa"/>
            <w:tcBorders>
              <w:top w:val="nil"/>
              <w:left w:val="nil"/>
              <w:right w:val="nil"/>
            </w:tcBorders>
            <w:shd w:val="clear" w:color="E2EFDA" w:fill="F2F2F2"/>
            <w:noWrap/>
            <w:vAlign w:val="bottom"/>
            <w:hideMark/>
          </w:tcPr>
          <w:p w14:paraId="70986E09" w14:textId="582399E5"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1.0</w:t>
            </w:r>
          </w:p>
        </w:tc>
        <w:tc>
          <w:tcPr>
            <w:tcW w:w="1242" w:type="dxa"/>
            <w:tcBorders>
              <w:top w:val="nil"/>
              <w:left w:val="nil"/>
              <w:right w:val="single" w:sz="4" w:space="0" w:color="auto"/>
            </w:tcBorders>
            <w:shd w:val="clear" w:color="E2EFDA" w:fill="F2F2F2"/>
            <w:noWrap/>
            <w:vAlign w:val="bottom"/>
            <w:hideMark/>
          </w:tcPr>
          <w:p w14:paraId="22C24AAE" w14:textId="72AB4251"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2.1</w:t>
            </w:r>
          </w:p>
        </w:tc>
      </w:tr>
      <w:tr w:rsidR="0006776E" w:rsidRPr="0006776E" w14:paraId="1D8BC222" w14:textId="77777777" w:rsidTr="00E40C72">
        <w:trPr>
          <w:trHeight w:val="279"/>
        </w:trPr>
        <w:tc>
          <w:tcPr>
            <w:tcW w:w="1911" w:type="dxa"/>
            <w:tcBorders>
              <w:top w:val="nil"/>
              <w:left w:val="single" w:sz="4" w:space="0" w:color="auto"/>
              <w:right w:val="nil"/>
            </w:tcBorders>
            <w:shd w:val="clear" w:color="E2EFDA" w:fill="FFFFFF"/>
            <w:noWrap/>
            <w:vAlign w:val="bottom"/>
            <w:hideMark/>
          </w:tcPr>
          <w:p w14:paraId="2BC0AEBF" w14:textId="77777777"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Vale of Glamorgan</w:t>
            </w:r>
          </w:p>
        </w:tc>
        <w:tc>
          <w:tcPr>
            <w:tcW w:w="1239" w:type="dxa"/>
            <w:tcBorders>
              <w:top w:val="nil"/>
              <w:left w:val="nil"/>
              <w:right w:val="nil"/>
            </w:tcBorders>
            <w:shd w:val="clear" w:color="E2EFDA" w:fill="FFFFFF"/>
            <w:noWrap/>
            <w:vAlign w:val="bottom"/>
            <w:hideMark/>
          </w:tcPr>
          <w:p w14:paraId="19FCADE1" w14:textId="22C5B68F"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6.8</w:t>
            </w:r>
          </w:p>
        </w:tc>
        <w:tc>
          <w:tcPr>
            <w:tcW w:w="1239" w:type="dxa"/>
            <w:tcBorders>
              <w:top w:val="nil"/>
              <w:left w:val="nil"/>
              <w:right w:val="nil"/>
            </w:tcBorders>
            <w:shd w:val="clear" w:color="E2EFDA" w:fill="FFFFFF"/>
            <w:noWrap/>
            <w:vAlign w:val="bottom"/>
            <w:hideMark/>
          </w:tcPr>
          <w:p w14:paraId="0DA75813" w14:textId="579FE746"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3.3</w:t>
            </w:r>
          </w:p>
        </w:tc>
        <w:tc>
          <w:tcPr>
            <w:tcW w:w="1239" w:type="dxa"/>
            <w:tcBorders>
              <w:top w:val="nil"/>
              <w:left w:val="nil"/>
              <w:right w:val="nil"/>
            </w:tcBorders>
            <w:shd w:val="clear" w:color="E2EFDA" w:fill="FFFFFF"/>
            <w:noWrap/>
            <w:vAlign w:val="bottom"/>
            <w:hideMark/>
          </w:tcPr>
          <w:p w14:paraId="67EA8161" w14:textId="203A08DE"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1.9</w:t>
            </w:r>
          </w:p>
        </w:tc>
        <w:tc>
          <w:tcPr>
            <w:tcW w:w="1239" w:type="dxa"/>
            <w:tcBorders>
              <w:top w:val="nil"/>
              <w:left w:val="nil"/>
              <w:right w:val="nil"/>
            </w:tcBorders>
            <w:shd w:val="clear" w:color="E2EFDA" w:fill="FFFFFF"/>
            <w:noWrap/>
            <w:vAlign w:val="bottom"/>
            <w:hideMark/>
          </w:tcPr>
          <w:p w14:paraId="2A725416" w14:textId="7FEAA472"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5.5</w:t>
            </w:r>
          </w:p>
        </w:tc>
        <w:tc>
          <w:tcPr>
            <w:tcW w:w="1239" w:type="dxa"/>
            <w:tcBorders>
              <w:top w:val="nil"/>
              <w:left w:val="nil"/>
              <w:right w:val="nil"/>
            </w:tcBorders>
            <w:shd w:val="clear" w:color="E2EFDA" w:fill="FFFFFF"/>
            <w:noWrap/>
            <w:vAlign w:val="bottom"/>
            <w:hideMark/>
          </w:tcPr>
          <w:p w14:paraId="7F108E67" w14:textId="68D3DA1A"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1.1</w:t>
            </w:r>
          </w:p>
        </w:tc>
        <w:tc>
          <w:tcPr>
            <w:tcW w:w="1242" w:type="dxa"/>
            <w:tcBorders>
              <w:top w:val="nil"/>
              <w:left w:val="nil"/>
              <w:right w:val="single" w:sz="4" w:space="0" w:color="auto"/>
            </w:tcBorders>
            <w:shd w:val="clear" w:color="E2EFDA" w:fill="FFFFFF"/>
            <w:noWrap/>
            <w:vAlign w:val="bottom"/>
            <w:hideMark/>
          </w:tcPr>
          <w:p w14:paraId="39341162" w14:textId="2F1C11A4"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2.1</w:t>
            </w:r>
          </w:p>
        </w:tc>
      </w:tr>
      <w:tr w:rsidR="0006776E" w:rsidRPr="0006776E" w14:paraId="59BCE1F3" w14:textId="77777777" w:rsidTr="00E40C72">
        <w:trPr>
          <w:trHeight w:val="279"/>
        </w:trPr>
        <w:tc>
          <w:tcPr>
            <w:tcW w:w="1911" w:type="dxa"/>
            <w:tcBorders>
              <w:top w:val="nil"/>
              <w:left w:val="single" w:sz="4" w:space="0" w:color="auto"/>
              <w:right w:val="nil"/>
            </w:tcBorders>
            <w:shd w:val="clear" w:color="000000" w:fill="F2F2F2"/>
            <w:noWrap/>
            <w:vAlign w:val="bottom"/>
            <w:hideMark/>
          </w:tcPr>
          <w:p w14:paraId="15A34A8D" w14:textId="77777777"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Cardiff &amp; Vale UHB</w:t>
            </w:r>
          </w:p>
        </w:tc>
        <w:tc>
          <w:tcPr>
            <w:tcW w:w="1239" w:type="dxa"/>
            <w:tcBorders>
              <w:top w:val="nil"/>
              <w:left w:val="nil"/>
              <w:right w:val="nil"/>
            </w:tcBorders>
            <w:shd w:val="clear" w:color="000000" w:fill="F2F2F2"/>
            <w:noWrap/>
            <w:vAlign w:val="bottom"/>
            <w:hideMark/>
          </w:tcPr>
          <w:p w14:paraId="346FBF8A" w14:textId="15F95395"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6.7</w:t>
            </w:r>
          </w:p>
        </w:tc>
        <w:tc>
          <w:tcPr>
            <w:tcW w:w="1239" w:type="dxa"/>
            <w:tcBorders>
              <w:top w:val="nil"/>
              <w:left w:val="nil"/>
              <w:right w:val="nil"/>
            </w:tcBorders>
            <w:shd w:val="clear" w:color="000000" w:fill="F2F2F2"/>
            <w:noWrap/>
            <w:vAlign w:val="bottom"/>
            <w:hideMark/>
          </w:tcPr>
          <w:p w14:paraId="3E13F370" w14:textId="2C784006"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2.7</w:t>
            </w:r>
          </w:p>
        </w:tc>
        <w:tc>
          <w:tcPr>
            <w:tcW w:w="1239" w:type="dxa"/>
            <w:tcBorders>
              <w:top w:val="nil"/>
              <w:left w:val="nil"/>
              <w:right w:val="nil"/>
            </w:tcBorders>
            <w:shd w:val="clear" w:color="000000" w:fill="F2F2F2"/>
            <w:noWrap/>
            <w:vAlign w:val="bottom"/>
            <w:hideMark/>
          </w:tcPr>
          <w:p w14:paraId="1E6EF584" w14:textId="6D72EEF5"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1.7</w:t>
            </w:r>
          </w:p>
        </w:tc>
        <w:tc>
          <w:tcPr>
            <w:tcW w:w="1239" w:type="dxa"/>
            <w:tcBorders>
              <w:top w:val="nil"/>
              <w:left w:val="nil"/>
              <w:right w:val="nil"/>
            </w:tcBorders>
            <w:shd w:val="clear" w:color="000000" w:fill="F2F2F2"/>
            <w:noWrap/>
            <w:vAlign w:val="bottom"/>
            <w:hideMark/>
          </w:tcPr>
          <w:p w14:paraId="21CD9D06" w14:textId="67B39BC1"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5.0</w:t>
            </w:r>
          </w:p>
        </w:tc>
        <w:tc>
          <w:tcPr>
            <w:tcW w:w="1239" w:type="dxa"/>
            <w:tcBorders>
              <w:top w:val="nil"/>
              <w:left w:val="nil"/>
              <w:right w:val="nil"/>
            </w:tcBorders>
            <w:shd w:val="clear" w:color="000000" w:fill="F2F2F2"/>
            <w:noWrap/>
            <w:vAlign w:val="bottom"/>
            <w:hideMark/>
          </w:tcPr>
          <w:p w14:paraId="680DC160" w14:textId="22631793"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0.9</w:t>
            </w:r>
          </w:p>
        </w:tc>
        <w:tc>
          <w:tcPr>
            <w:tcW w:w="1242" w:type="dxa"/>
            <w:tcBorders>
              <w:top w:val="nil"/>
              <w:left w:val="nil"/>
              <w:right w:val="single" w:sz="4" w:space="0" w:color="auto"/>
            </w:tcBorders>
            <w:shd w:val="clear" w:color="000000" w:fill="F2F2F2"/>
            <w:noWrap/>
            <w:vAlign w:val="bottom"/>
            <w:hideMark/>
          </w:tcPr>
          <w:p w14:paraId="72C063AD" w14:textId="62DD8FED"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1.7</w:t>
            </w:r>
          </w:p>
        </w:tc>
      </w:tr>
      <w:tr w:rsidR="0006776E" w:rsidRPr="0006776E" w14:paraId="28F31D14" w14:textId="77777777" w:rsidTr="00E40C72">
        <w:trPr>
          <w:trHeight w:val="279"/>
        </w:trPr>
        <w:tc>
          <w:tcPr>
            <w:tcW w:w="1911" w:type="dxa"/>
            <w:tcBorders>
              <w:top w:val="nil"/>
              <w:left w:val="single" w:sz="4" w:space="0" w:color="auto"/>
              <w:bottom w:val="single" w:sz="4" w:space="0" w:color="auto"/>
              <w:right w:val="nil"/>
            </w:tcBorders>
            <w:shd w:val="clear" w:color="E2EFDA" w:fill="FFFFFF"/>
            <w:noWrap/>
            <w:vAlign w:val="bottom"/>
            <w:hideMark/>
          </w:tcPr>
          <w:p w14:paraId="3E351C17" w14:textId="77777777"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Wales</w:t>
            </w:r>
          </w:p>
        </w:tc>
        <w:tc>
          <w:tcPr>
            <w:tcW w:w="1239" w:type="dxa"/>
            <w:tcBorders>
              <w:top w:val="nil"/>
              <w:left w:val="nil"/>
              <w:bottom w:val="single" w:sz="4" w:space="0" w:color="auto"/>
              <w:right w:val="nil"/>
            </w:tcBorders>
            <w:shd w:val="clear" w:color="E2EFDA" w:fill="FFFFFF"/>
            <w:noWrap/>
            <w:vAlign w:val="bottom"/>
            <w:hideMark/>
          </w:tcPr>
          <w:p w14:paraId="16837F04" w14:textId="1908477C"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7.1</w:t>
            </w:r>
          </w:p>
        </w:tc>
        <w:tc>
          <w:tcPr>
            <w:tcW w:w="1239" w:type="dxa"/>
            <w:tcBorders>
              <w:top w:val="nil"/>
              <w:left w:val="nil"/>
              <w:bottom w:val="single" w:sz="4" w:space="0" w:color="auto"/>
              <w:right w:val="nil"/>
            </w:tcBorders>
            <w:shd w:val="clear" w:color="E2EFDA" w:fill="FFFFFF"/>
            <w:noWrap/>
            <w:vAlign w:val="bottom"/>
            <w:hideMark/>
          </w:tcPr>
          <w:p w14:paraId="4DAC7C11" w14:textId="1C3CE69F"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3.6</w:t>
            </w:r>
          </w:p>
        </w:tc>
        <w:tc>
          <w:tcPr>
            <w:tcW w:w="1239" w:type="dxa"/>
            <w:tcBorders>
              <w:top w:val="nil"/>
              <w:left w:val="nil"/>
              <w:bottom w:val="single" w:sz="4" w:space="0" w:color="auto"/>
              <w:right w:val="nil"/>
            </w:tcBorders>
            <w:shd w:val="clear" w:color="E2EFDA" w:fill="FFFFFF"/>
            <w:noWrap/>
            <w:vAlign w:val="bottom"/>
            <w:hideMark/>
          </w:tcPr>
          <w:p w14:paraId="6D207A2E" w14:textId="6D4623B0"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2.4</w:t>
            </w:r>
          </w:p>
        </w:tc>
        <w:tc>
          <w:tcPr>
            <w:tcW w:w="1239" w:type="dxa"/>
            <w:tcBorders>
              <w:top w:val="nil"/>
              <w:left w:val="nil"/>
              <w:bottom w:val="single" w:sz="4" w:space="0" w:color="auto"/>
              <w:right w:val="nil"/>
            </w:tcBorders>
            <w:shd w:val="clear" w:color="E2EFDA" w:fill="FFFFFF"/>
            <w:noWrap/>
            <w:vAlign w:val="bottom"/>
            <w:hideMark/>
          </w:tcPr>
          <w:p w14:paraId="11FC2708" w14:textId="706B1C25"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6.1</w:t>
            </w:r>
          </w:p>
        </w:tc>
        <w:tc>
          <w:tcPr>
            <w:tcW w:w="1239" w:type="dxa"/>
            <w:tcBorders>
              <w:top w:val="nil"/>
              <w:left w:val="nil"/>
              <w:bottom w:val="single" w:sz="4" w:space="0" w:color="auto"/>
              <w:right w:val="nil"/>
            </w:tcBorders>
            <w:shd w:val="clear" w:color="E2EFDA" w:fill="FFFFFF"/>
            <w:noWrap/>
            <w:vAlign w:val="bottom"/>
            <w:hideMark/>
          </w:tcPr>
          <w:p w14:paraId="11721C2D" w14:textId="4E8C2D1B"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1.1</w:t>
            </w:r>
          </w:p>
        </w:tc>
        <w:tc>
          <w:tcPr>
            <w:tcW w:w="1242" w:type="dxa"/>
            <w:tcBorders>
              <w:top w:val="nil"/>
              <w:left w:val="nil"/>
              <w:bottom w:val="single" w:sz="4" w:space="0" w:color="auto"/>
              <w:right w:val="single" w:sz="4" w:space="0" w:color="auto"/>
            </w:tcBorders>
            <w:shd w:val="clear" w:color="E2EFDA" w:fill="FFFFFF"/>
            <w:noWrap/>
            <w:vAlign w:val="bottom"/>
            <w:hideMark/>
          </w:tcPr>
          <w:p w14:paraId="61AF9BA6" w14:textId="68E75EA5" w:rsidR="0006776E" w:rsidRPr="00EF4834" w:rsidRDefault="0006776E" w:rsidP="00DC54F7">
            <w:pPr>
              <w:spacing w:after="0" w:line="240" w:lineRule="auto"/>
              <w:jc w:val="both"/>
              <w:rPr>
                <w:rFonts w:ascii="Calibri" w:eastAsia="Times New Roman" w:hAnsi="Calibri" w:cs="Times New Roman"/>
                <w:color w:val="000000"/>
                <w:lang w:eastAsia="en-GB"/>
              </w:rPr>
            </w:pPr>
            <w:r w:rsidRPr="00EF4834">
              <w:rPr>
                <w:rFonts w:ascii="Calibri" w:eastAsia="Times New Roman" w:hAnsi="Calibri" w:cs="Times New Roman"/>
                <w:color w:val="000000"/>
                <w:lang w:eastAsia="en-GB"/>
              </w:rPr>
              <w:t>2.1</w:t>
            </w:r>
          </w:p>
        </w:tc>
      </w:tr>
    </w:tbl>
    <w:p w14:paraId="6A5E169B" w14:textId="0E21DE69" w:rsidR="005A6EA8" w:rsidRPr="00EF4834" w:rsidRDefault="00E62DB7" w:rsidP="00DC54F7">
      <w:pPr>
        <w:jc w:val="both"/>
        <w:rPr>
          <w:rFonts w:ascii="Arial" w:hAnsi="Arial" w:cs="Arial"/>
          <w:sz w:val="20"/>
          <w:szCs w:val="20"/>
        </w:rPr>
      </w:pPr>
      <w:r w:rsidRPr="00EF4834">
        <w:rPr>
          <w:rFonts w:ascii="Arial" w:hAnsi="Arial" w:cs="Arial"/>
          <w:sz w:val="20"/>
          <w:szCs w:val="20"/>
        </w:rPr>
        <w:t>Source: QOF 2019</w:t>
      </w:r>
    </w:p>
    <w:p w14:paraId="6AC281A5" w14:textId="05CAEBCA" w:rsidR="008152E4" w:rsidRPr="00C55557" w:rsidRDefault="008152E4" w:rsidP="00DC54F7">
      <w:pPr>
        <w:spacing w:after="0" w:line="240" w:lineRule="auto"/>
        <w:jc w:val="both"/>
        <w:rPr>
          <w:rFonts w:ascii="Arial" w:hAnsi="Arial" w:cs="Arial"/>
          <w:sz w:val="24"/>
          <w:szCs w:val="24"/>
        </w:rPr>
      </w:pPr>
      <w:r w:rsidRPr="00C55557">
        <w:rPr>
          <w:rFonts w:ascii="Arial" w:hAnsi="Arial" w:cs="Arial"/>
          <w:sz w:val="24"/>
          <w:szCs w:val="24"/>
        </w:rPr>
        <w:lastRenderedPageBreak/>
        <w:t>The estimated prevalence of dementia in Eastern Vale</w:t>
      </w:r>
      <w:r w:rsidR="00EF0067" w:rsidRPr="00C55557">
        <w:rPr>
          <w:rFonts w:ascii="Arial" w:hAnsi="Arial" w:cs="Arial"/>
          <w:sz w:val="24"/>
          <w:szCs w:val="24"/>
        </w:rPr>
        <w:t xml:space="preserve"> cluster</w:t>
      </w:r>
      <w:r w:rsidRPr="00C55557">
        <w:rPr>
          <w:rFonts w:ascii="Arial" w:hAnsi="Arial" w:cs="Arial"/>
          <w:sz w:val="24"/>
          <w:szCs w:val="24"/>
        </w:rPr>
        <w:t xml:space="preserve"> </w:t>
      </w:r>
      <w:r w:rsidR="00EF48A2" w:rsidRPr="00C55557">
        <w:rPr>
          <w:rFonts w:ascii="Arial" w:hAnsi="Arial" w:cs="Arial"/>
          <w:sz w:val="24"/>
          <w:szCs w:val="24"/>
        </w:rPr>
        <w:t xml:space="preserve">is </w:t>
      </w:r>
      <w:r w:rsidR="00690EA7" w:rsidRPr="00C55557">
        <w:rPr>
          <w:rFonts w:ascii="Arial" w:hAnsi="Arial" w:cs="Arial"/>
          <w:sz w:val="24"/>
          <w:szCs w:val="24"/>
        </w:rPr>
        <w:t xml:space="preserve">higher than the average for Wales and the highest of all the clusters in the health board. </w:t>
      </w:r>
      <w:r w:rsidR="00A33B45" w:rsidRPr="00C55557">
        <w:rPr>
          <w:rFonts w:ascii="Arial" w:hAnsi="Arial" w:cs="Arial"/>
          <w:sz w:val="24"/>
          <w:szCs w:val="24"/>
        </w:rPr>
        <w:t xml:space="preserve">The estimated prevalence for mental health is lower than the average for Wales and the </w:t>
      </w:r>
      <w:r w:rsidR="007C0148" w:rsidRPr="00C55557">
        <w:rPr>
          <w:rFonts w:ascii="Arial" w:hAnsi="Arial" w:cs="Arial"/>
          <w:sz w:val="24"/>
          <w:szCs w:val="24"/>
        </w:rPr>
        <w:t xml:space="preserve">health board average. </w:t>
      </w:r>
    </w:p>
    <w:p w14:paraId="3696205A" w14:textId="4ABE73AB" w:rsidR="00442714" w:rsidRDefault="00442714" w:rsidP="00DC54F7">
      <w:pPr>
        <w:spacing w:after="0" w:line="240" w:lineRule="auto"/>
        <w:jc w:val="both"/>
        <w:rPr>
          <w:rFonts w:ascii="Arial" w:hAnsi="Arial" w:cs="Arial"/>
          <w:b/>
          <w:sz w:val="26"/>
          <w:szCs w:val="26"/>
        </w:rPr>
      </w:pPr>
    </w:p>
    <w:p w14:paraId="07684802" w14:textId="69194DAC" w:rsidR="00C34859" w:rsidRPr="00C55557" w:rsidRDefault="00C05345" w:rsidP="00DC54F7">
      <w:pPr>
        <w:spacing w:after="0" w:line="240" w:lineRule="auto"/>
        <w:jc w:val="both"/>
        <w:rPr>
          <w:sz w:val="24"/>
          <w:szCs w:val="24"/>
        </w:rPr>
      </w:pPr>
      <w:r w:rsidRPr="00C55557">
        <w:rPr>
          <w:rFonts w:ascii="Arial" w:hAnsi="Arial" w:cs="Arial"/>
          <w:b/>
          <w:bCs/>
          <w:sz w:val="24"/>
          <w:szCs w:val="24"/>
        </w:rPr>
        <w:t>Table 1</w:t>
      </w:r>
      <w:r w:rsidR="002204E4" w:rsidRPr="00C55557">
        <w:rPr>
          <w:rFonts w:ascii="Arial" w:hAnsi="Arial" w:cs="Arial"/>
          <w:b/>
          <w:bCs/>
          <w:sz w:val="24"/>
          <w:szCs w:val="24"/>
        </w:rPr>
        <w:t>5</w:t>
      </w:r>
      <w:r w:rsidRPr="00C55557">
        <w:rPr>
          <w:rFonts w:ascii="Arial" w:hAnsi="Arial" w:cs="Arial"/>
          <w:b/>
          <w:bCs/>
          <w:sz w:val="24"/>
          <w:szCs w:val="24"/>
        </w:rPr>
        <w:t>.</w:t>
      </w:r>
      <w:r w:rsidR="00FF1EE9" w:rsidRPr="00C55557">
        <w:rPr>
          <w:rFonts w:ascii="Arial" w:hAnsi="Arial" w:cs="Arial"/>
          <w:b/>
          <w:bCs/>
          <w:sz w:val="24"/>
          <w:szCs w:val="24"/>
        </w:rPr>
        <w:t>4</w:t>
      </w:r>
      <w:r w:rsidRPr="00C55557">
        <w:rPr>
          <w:rFonts w:ascii="Arial" w:hAnsi="Arial" w:cs="Arial"/>
          <w:b/>
          <w:bCs/>
          <w:sz w:val="24"/>
          <w:szCs w:val="24"/>
        </w:rPr>
        <w:t>: Percentage of patients registered as having a mental health condition</w:t>
      </w:r>
      <w:r w:rsidR="00703C3C" w:rsidRPr="00C55557">
        <w:rPr>
          <w:rFonts w:ascii="Arial" w:hAnsi="Arial" w:cs="Arial"/>
          <w:b/>
          <w:bCs/>
          <w:sz w:val="24"/>
          <w:szCs w:val="24"/>
        </w:rPr>
        <w:t>, and dem</w:t>
      </w:r>
      <w:r w:rsidR="00594669" w:rsidRPr="00C55557">
        <w:rPr>
          <w:rFonts w:ascii="Arial" w:hAnsi="Arial" w:cs="Arial"/>
          <w:b/>
          <w:bCs/>
          <w:sz w:val="24"/>
          <w:szCs w:val="24"/>
        </w:rPr>
        <w:t>entia</w:t>
      </w:r>
      <w:r w:rsidRPr="00C55557">
        <w:rPr>
          <w:rFonts w:ascii="Arial" w:hAnsi="Arial" w:cs="Arial"/>
          <w:b/>
          <w:bCs/>
          <w:sz w:val="24"/>
          <w:szCs w:val="24"/>
        </w:rPr>
        <w:t xml:space="preserve"> by cluster, local authority, health board and Wales, 2019</w:t>
      </w:r>
    </w:p>
    <w:tbl>
      <w:tblPr>
        <w:tblW w:w="936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123"/>
        <w:gridCol w:w="3123"/>
        <w:gridCol w:w="3123"/>
      </w:tblGrid>
      <w:tr w:rsidR="00C34859" w:rsidRPr="00C34859" w14:paraId="12CAA5C0" w14:textId="77777777" w:rsidTr="00E40C72">
        <w:trPr>
          <w:trHeight w:val="271"/>
        </w:trPr>
        <w:tc>
          <w:tcPr>
            <w:tcW w:w="3123" w:type="dxa"/>
            <w:shd w:val="clear" w:color="auto" w:fill="8497B0"/>
            <w:noWrap/>
            <w:vAlign w:val="bottom"/>
            <w:hideMark/>
          </w:tcPr>
          <w:p w14:paraId="43B5E5B6" w14:textId="77777777" w:rsidR="00C34859" w:rsidRPr="00C55557" w:rsidRDefault="00C34859" w:rsidP="00DC54F7">
            <w:pPr>
              <w:spacing w:after="0" w:line="240" w:lineRule="auto"/>
              <w:jc w:val="both"/>
              <w:rPr>
                <w:rFonts w:ascii="Calibri" w:eastAsia="Times New Roman" w:hAnsi="Calibri" w:cs="Calibri"/>
                <w:b/>
                <w:bCs/>
                <w:color w:val="FFFFFF"/>
                <w:lang w:eastAsia="en-GB"/>
              </w:rPr>
            </w:pPr>
            <w:r w:rsidRPr="00C55557">
              <w:rPr>
                <w:rFonts w:ascii="Calibri" w:eastAsia="Times New Roman" w:hAnsi="Calibri" w:cs="Calibri"/>
                <w:b/>
                <w:bCs/>
                <w:color w:val="FFFFFF"/>
                <w:lang w:eastAsia="en-GB"/>
              </w:rPr>
              <w:t> </w:t>
            </w:r>
          </w:p>
        </w:tc>
        <w:tc>
          <w:tcPr>
            <w:tcW w:w="3123" w:type="dxa"/>
            <w:shd w:val="clear" w:color="auto" w:fill="8497B0"/>
            <w:noWrap/>
            <w:vAlign w:val="bottom"/>
            <w:hideMark/>
          </w:tcPr>
          <w:p w14:paraId="343A61BE" w14:textId="77777777" w:rsidR="00C34859" w:rsidRPr="00C55557" w:rsidRDefault="00C34859" w:rsidP="00DC54F7">
            <w:pPr>
              <w:spacing w:after="0" w:line="240" w:lineRule="auto"/>
              <w:jc w:val="both"/>
              <w:rPr>
                <w:rFonts w:ascii="Calibri" w:eastAsia="Times New Roman" w:hAnsi="Calibri" w:cs="Calibri"/>
                <w:b/>
                <w:bCs/>
                <w:color w:val="FFFFFF"/>
                <w:lang w:eastAsia="en-GB"/>
              </w:rPr>
            </w:pPr>
            <w:r w:rsidRPr="00C55557">
              <w:rPr>
                <w:rFonts w:ascii="Calibri" w:eastAsia="Times New Roman" w:hAnsi="Calibri" w:cs="Calibri"/>
                <w:b/>
                <w:bCs/>
                <w:color w:val="FFFFFF"/>
                <w:lang w:eastAsia="en-GB"/>
              </w:rPr>
              <w:t>Dementia (percentage)</w:t>
            </w:r>
          </w:p>
        </w:tc>
        <w:tc>
          <w:tcPr>
            <w:tcW w:w="3123" w:type="dxa"/>
            <w:shd w:val="clear" w:color="auto" w:fill="8497B0"/>
            <w:vAlign w:val="bottom"/>
            <w:hideMark/>
          </w:tcPr>
          <w:p w14:paraId="3EC47BB5" w14:textId="77777777" w:rsidR="00C34859" w:rsidRPr="00C55557" w:rsidRDefault="00C34859" w:rsidP="00DC54F7">
            <w:pPr>
              <w:spacing w:after="0" w:line="240" w:lineRule="auto"/>
              <w:jc w:val="both"/>
              <w:rPr>
                <w:rFonts w:ascii="Calibri" w:eastAsia="Times New Roman" w:hAnsi="Calibri" w:cs="Calibri"/>
                <w:b/>
                <w:bCs/>
                <w:color w:val="FFFFFF"/>
                <w:lang w:eastAsia="en-GB"/>
              </w:rPr>
            </w:pPr>
            <w:r w:rsidRPr="00C55557">
              <w:rPr>
                <w:rFonts w:ascii="Calibri" w:eastAsia="Times New Roman" w:hAnsi="Calibri" w:cs="Calibri"/>
                <w:b/>
                <w:bCs/>
                <w:color w:val="FFFFFF"/>
                <w:lang w:eastAsia="en-GB"/>
              </w:rPr>
              <w:t>Mental Health (percentage)</w:t>
            </w:r>
          </w:p>
        </w:tc>
      </w:tr>
      <w:tr w:rsidR="00C34859" w:rsidRPr="00C34859" w14:paraId="24BD39C6" w14:textId="77777777" w:rsidTr="00E40C72">
        <w:trPr>
          <w:trHeight w:val="271"/>
        </w:trPr>
        <w:tc>
          <w:tcPr>
            <w:tcW w:w="3123" w:type="dxa"/>
            <w:shd w:val="clear" w:color="000000" w:fill="F2F2F2"/>
            <w:noWrap/>
            <w:vAlign w:val="bottom"/>
            <w:hideMark/>
          </w:tcPr>
          <w:p w14:paraId="034565CF" w14:textId="77777777" w:rsidR="00C34859" w:rsidRPr="00C55557" w:rsidRDefault="00C34859" w:rsidP="00DC54F7">
            <w:pPr>
              <w:spacing w:after="0" w:line="240" w:lineRule="auto"/>
              <w:jc w:val="both"/>
              <w:rPr>
                <w:rFonts w:ascii="Calibri" w:eastAsia="Times New Roman" w:hAnsi="Calibri" w:cs="Calibri"/>
                <w:color w:val="000000"/>
                <w:lang w:eastAsia="en-GB"/>
              </w:rPr>
            </w:pPr>
            <w:r w:rsidRPr="00C55557">
              <w:rPr>
                <w:rFonts w:ascii="Calibri" w:eastAsia="Times New Roman" w:hAnsi="Calibri" w:cs="Calibri"/>
                <w:color w:val="000000"/>
                <w:lang w:eastAsia="en-GB"/>
              </w:rPr>
              <w:t>Eastern Vale</w:t>
            </w:r>
          </w:p>
        </w:tc>
        <w:tc>
          <w:tcPr>
            <w:tcW w:w="3123" w:type="dxa"/>
            <w:shd w:val="clear" w:color="000000" w:fill="F2F2F2"/>
            <w:noWrap/>
            <w:vAlign w:val="bottom"/>
            <w:hideMark/>
          </w:tcPr>
          <w:p w14:paraId="185F6C60" w14:textId="541F6031" w:rsidR="00C34859" w:rsidRPr="00C55557" w:rsidRDefault="00C34859" w:rsidP="00DC54F7">
            <w:pPr>
              <w:spacing w:after="0" w:line="240" w:lineRule="auto"/>
              <w:jc w:val="both"/>
              <w:rPr>
                <w:rFonts w:ascii="Calibri" w:eastAsia="Times New Roman" w:hAnsi="Calibri" w:cs="Calibri"/>
                <w:color w:val="000000"/>
                <w:lang w:eastAsia="en-GB"/>
              </w:rPr>
            </w:pPr>
            <w:r w:rsidRPr="00C55557">
              <w:rPr>
                <w:rFonts w:ascii="Calibri" w:eastAsia="Times New Roman" w:hAnsi="Calibri" w:cs="Calibri"/>
                <w:color w:val="000000"/>
                <w:lang w:eastAsia="en-GB"/>
              </w:rPr>
              <w:t>0.9</w:t>
            </w:r>
          </w:p>
        </w:tc>
        <w:tc>
          <w:tcPr>
            <w:tcW w:w="3123" w:type="dxa"/>
            <w:shd w:val="clear" w:color="000000" w:fill="F2F2F2"/>
            <w:noWrap/>
            <w:vAlign w:val="bottom"/>
            <w:hideMark/>
          </w:tcPr>
          <w:p w14:paraId="1FCD5EDE" w14:textId="5912C255" w:rsidR="00C34859" w:rsidRPr="00C55557" w:rsidRDefault="00C34859" w:rsidP="00DC54F7">
            <w:pPr>
              <w:spacing w:after="0" w:line="240" w:lineRule="auto"/>
              <w:jc w:val="both"/>
              <w:rPr>
                <w:rFonts w:ascii="Calibri" w:eastAsia="Times New Roman" w:hAnsi="Calibri" w:cs="Calibri"/>
                <w:color w:val="000000"/>
                <w:lang w:eastAsia="en-GB"/>
              </w:rPr>
            </w:pPr>
            <w:r w:rsidRPr="00C55557">
              <w:rPr>
                <w:rFonts w:ascii="Calibri" w:eastAsia="Times New Roman" w:hAnsi="Calibri" w:cs="Calibri"/>
                <w:color w:val="000000"/>
                <w:lang w:eastAsia="en-GB"/>
              </w:rPr>
              <w:t>0.8</w:t>
            </w:r>
          </w:p>
        </w:tc>
      </w:tr>
      <w:tr w:rsidR="00C34859" w:rsidRPr="00C34859" w14:paraId="17AF35FC" w14:textId="77777777" w:rsidTr="00E40C72">
        <w:trPr>
          <w:trHeight w:val="271"/>
        </w:trPr>
        <w:tc>
          <w:tcPr>
            <w:tcW w:w="3123" w:type="dxa"/>
            <w:shd w:val="clear" w:color="E2EFDA" w:fill="FFFFFF"/>
            <w:noWrap/>
            <w:vAlign w:val="bottom"/>
            <w:hideMark/>
          </w:tcPr>
          <w:p w14:paraId="0A5E3394" w14:textId="77777777" w:rsidR="00C34859" w:rsidRPr="00C55557" w:rsidRDefault="00C34859" w:rsidP="00DC54F7">
            <w:pPr>
              <w:spacing w:after="0" w:line="240" w:lineRule="auto"/>
              <w:jc w:val="both"/>
              <w:rPr>
                <w:rFonts w:ascii="Calibri" w:eastAsia="Times New Roman" w:hAnsi="Calibri" w:cs="Calibri"/>
                <w:color w:val="000000"/>
                <w:lang w:eastAsia="en-GB"/>
              </w:rPr>
            </w:pPr>
            <w:r w:rsidRPr="00C55557">
              <w:rPr>
                <w:rFonts w:ascii="Calibri" w:eastAsia="Times New Roman" w:hAnsi="Calibri" w:cs="Calibri"/>
                <w:color w:val="000000"/>
                <w:lang w:eastAsia="en-GB"/>
              </w:rPr>
              <w:t>Vale of Glamorgan</w:t>
            </w:r>
          </w:p>
        </w:tc>
        <w:tc>
          <w:tcPr>
            <w:tcW w:w="3123" w:type="dxa"/>
            <w:shd w:val="clear" w:color="auto" w:fill="auto"/>
            <w:noWrap/>
            <w:vAlign w:val="bottom"/>
            <w:hideMark/>
          </w:tcPr>
          <w:p w14:paraId="5AED75A7" w14:textId="3EA62FBA" w:rsidR="00C34859" w:rsidRPr="00C55557" w:rsidRDefault="00C34859" w:rsidP="00DC54F7">
            <w:pPr>
              <w:spacing w:after="0" w:line="240" w:lineRule="auto"/>
              <w:jc w:val="both"/>
              <w:rPr>
                <w:rFonts w:ascii="Calibri" w:eastAsia="Times New Roman" w:hAnsi="Calibri" w:cs="Calibri"/>
                <w:color w:val="000000"/>
                <w:lang w:eastAsia="en-GB"/>
              </w:rPr>
            </w:pPr>
            <w:r w:rsidRPr="00C55557">
              <w:rPr>
                <w:rFonts w:ascii="Calibri" w:eastAsia="Times New Roman" w:hAnsi="Calibri" w:cs="Calibri"/>
                <w:color w:val="000000"/>
                <w:lang w:eastAsia="en-GB"/>
              </w:rPr>
              <w:t>0.7</w:t>
            </w:r>
          </w:p>
        </w:tc>
        <w:tc>
          <w:tcPr>
            <w:tcW w:w="3123" w:type="dxa"/>
            <w:shd w:val="clear" w:color="E2EFDA" w:fill="FFFFFF"/>
            <w:noWrap/>
            <w:vAlign w:val="bottom"/>
            <w:hideMark/>
          </w:tcPr>
          <w:p w14:paraId="62C76D0B" w14:textId="3FB6209A" w:rsidR="00C34859" w:rsidRPr="00C55557" w:rsidRDefault="00C34859" w:rsidP="00DC54F7">
            <w:pPr>
              <w:spacing w:after="0" w:line="240" w:lineRule="auto"/>
              <w:jc w:val="both"/>
              <w:rPr>
                <w:rFonts w:ascii="Calibri" w:eastAsia="Times New Roman" w:hAnsi="Calibri" w:cs="Calibri"/>
                <w:color w:val="000000"/>
                <w:lang w:eastAsia="en-GB"/>
              </w:rPr>
            </w:pPr>
            <w:r w:rsidRPr="00C55557">
              <w:rPr>
                <w:rFonts w:ascii="Calibri" w:eastAsia="Times New Roman" w:hAnsi="Calibri" w:cs="Calibri"/>
                <w:color w:val="000000"/>
                <w:lang w:eastAsia="en-GB"/>
              </w:rPr>
              <w:t>0.9</w:t>
            </w:r>
          </w:p>
        </w:tc>
      </w:tr>
      <w:tr w:rsidR="00C34859" w:rsidRPr="00C34859" w14:paraId="116CF207" w14:textId="77777777" w:rsidTr="00E40C72">
        <w:trPr>
          <w:trHeight w:val="271"/>
        </w:trPr>
        <w:tc>
          <w:tcPr>
            <w:tcW w:w="3123" w:type="dxa"/>
            <w:shd w:val="clear" w:color="000000" w:fill="F2F2F2"/>
            <w:noWrap/>
            <w:vAlign w:val="bottom"/>
            <w:hideMark/>
          </w:tcPr>
          <w:p w14:paraId="37B6C91B" w14:textId="77777777" w:rsidR="00C34859" w:rsidRPr="00C55557" w:rsidRDefault="00C34859" w:rsidP="00DC54F7">
            <w:pPr>
              <w:spacing w:after="0" w:line="240" w:lineRule="auto"/>
              <w:jc w:val="both"/>
              <w:rPr>
                <w:rFonts w:ascii="Calibri" w:eastAsia="Times New Roman" w:hAnsi="Calibri" w:cs="Calibri"/>
                <w:color w:val="000000"/>
                <w:lang w:eastAsia="en-GB"/>
              </w:rPr>
            </w:pPr>
            <w:r w:rsidRPr="00C55557">
              <w:rPr>
                <w:rFonts w:ascii="Calibri" w:eastAsia="Times New Roman" w:hAnsi="Calibri" w:cs="Calibri"/>
                <w:color w:val="000000"/>
                <w:lang w:eastAsia="en-GB"/>
              </w:rPr>
              <w:t>Cardiff &amp; Vale UHB</w:t>
            </w:r>
          </w:p>
        </w:tc>
        <w:tc>
          <w:tcPr>
            <w:tcW w:w="3123" w:type="dxa"/>
            <w:shd w:val="clear" w:color="000000" w:fill="F2F2F2"/>
            <w:noWrap/>
            <w:vAlign w:val="bottom"/>
            <w:hideMark/>
          </w:tcPr>
          <w:p w14:paraId="7A4DF25D" w14:textId="0881D1E2" w:rsidR="00C34859" w:rsidRPr="00C55557" w:rsidRDefault="00C34859" w:rsidP="00DC54F7">
            <w:pPr>
              <w:spacing w:after="0" w:line="240" w:lineRule="auto"/>
              <w:jc w:val="both"/>
              <w:rPr>
                <w:rFonts w:ascii="Calibri" w:eastAsia="Times New Roman" w:hAnsi="Calibri" w:cs="Calibri"/>
                <w:color w:val="000000"/>
                <w:lang w:eastAsia="en-GB"/>
              </w:rPr>
            </w:pPr>
            <w:r w:rsidRPr="00C55557">
              <w:rPr>
                <w:rFonts w:ascii="Calibri" w:eastAsia="Times New Roman" w:hAnsi="Calibri" w:cs="Calibri"/>
                <w:color w:val="000000"/>
                <w:lang w:eastAsia="en-GB"/>
              </w:rPr>
              <w:t>0.7</w:t>
            </w:r>
          </w:p>
        </w:tc>
        <w:tc>
          <w:tcPr>
            <w:tcW w:w="3123" w:type="dxa"/>
            <w:shd w:val="clear" w:color="000000" w:fill="F2F2F2"/>
            <w:noWrap/>
            <w:vAlign w:val="bottom"/>
            <w:hideMark/>
          </w:tcPr>
          <w:p w14:paraId="1B57C6A9" w14:textId="490D9919" w:rsidR="00C34859" w:rsidRPr="00C55557" w:rsidRDefault="00C34859" w:rsidP="00DC54F7">
            <w:pPr>
              <w:spacing w:after="0" w:line="240" w:lineRule="auto"/>
              <w:jc w:val="both"/>
              <w:rPr>
                <w:rFonts w:ascii="Calibri" w:eastAsia="Times New Roman" w:hAnsi="Calibri" w:cs="Calibri"/>
                <w:color w:val="000000"/>
                <w:lang w:eastAsia="en-GB"/>
              </w:rPr>
            </w:pPr>
            <w:r w:rsidRPr="00C55557">
              <w:rPr>
                <w:rFonts w:ascii="Calibri" w:eastAsia="Times New Roman" w:hAnsi="Calibri" w:cs="Calibri"/>
                <w:color w:val="000000"/>
                <w:lang w:eastAsia="en-GB"/>
              </w:rPr>
              <w:t>0.9</w:t>
            </w:r>
          </w:p>
        </w:tc>
      </w:tr>
      <w:tr w:rsidR="00C34859" w:rsidRPr="00C34859" w14:paraId="284DF9BD" w14:textId="77777777" w:rsidTr="00E40C72">
        <w:trPr>
          <w:trHeight w:val="271"/>
        </w:trPr>
        <w:tc>
          <w:tcPr>
            <w:tcW w:w="3123" w:type="dxa"/>
            <w:shd w:val="clear" w:color="E2EFDA" w:fill="FFFFFF"/>
            <w:noWrap/>
            <w:vAlign w:val="bottom"/>
            <w:hideMark/>
          </w:tcPr>
          <w:p w14:paraId="1B8DA59A" w14:textId="77777777" w:rsidR="00C34859" w:rsidRPr="00C55557" w:rsidRDefault="00C34859" w:rsidP="00DC54F7">
            <w:pPr>
              <w:spacing w:after="0" w:line="240" w:lineRule="auto"/>
              <w:jc w:val="both"/>
              <w:rPr>
                <w:rFonts w:ascii="Calibri" w:eastAsia="Times New Roman" w:hAnsi="Calibri" w:cs="Calibri"/>
                <w:color w:val="000000"/>
                <w:lang w:eastAsia="en-GB"/>
              </w:rPr>
            </w:pPr>
            <w:r w:rsidRPr="00C55557">
              <w:rPr>
                <w:rFonts w:ascii="Calibri" w:eastAsia="Times New Roman" w:hAnsi="Calibri" w:cs="Calibri"/>
                <w:color w:val="000000"/>
                <w:lang w:eastAsia="en-GB"/>
              </w:rPr>
              <w:t>Wales</w:t>
            </w:r>
          </w:p>
        </w:tc>
        <w:tc>
          <w:tcPr>
            <w:tcW w:w="3123" w:type="dxa"/>
            <w:shd w:val="clear" w:color="auto" w:fill="auto"/>
            <w:noWrap/>
            <w:vAlign w:val="bottom"/>
            <w:hideMark/>
          </w:tcPr>
          <w:p w14:paraId="2416BB1F" w14:textId="775D805F" w:rsidR="00C34859" w:rsidRPr="00C55557" w:rsidRDefault="00C34859" w:rsidP="00DC54F7">
            <w:pPr>
              <w:spacing w:after="0" w:line="240" w:lineRule="auto"/>
              <w:jc w:val="both"/>
              <w:rPr>
                <w:rFonts w:ascii="Calibri" w:eastAsia="Times New Roman" w:hAnsi="Calibri" w:cs="Calibri"/>
                <w:color w:val="000000"/>
                <w:lang w:eastAsia="en-GB"/>
              </w:rPr>
            </w:pPr>
            <w:r w:rsidRPr="00C55557">
              <w:rPr>
                <w:rFonts w:ascii="Calibri" w:eastAsia="Times New Roman" w:hAnsi="Calibri" w:cs="Calibri"/>
                <w:color w:val="000000"/>
                <w:lang w:eastAsia="en-GB"/>
              </w:rPr>
              <w:t>0.7</w:t>
            </w:r>
          </w:p>
        </w:tc>
        <w:tc>
          <w:tcPr>
            <w:tcW w:w="3123" w:type="dxa"/>
            <w:shd w:val="clear" w:color="E2EFDA" w:fill="FFFFFF"/>
            <w:noWrap/>
            <w:vAlign w:val="bottom"/>
            <w:hideMark/>
          </w:tcPr>
          <w:p w14:paraId="17155441" w14:textId="29B7362A" w:rsidR="00C34859" w:rsidRPr="00C55557" w:rsidRDefault="00C34859" w:rsidP="00DC54F7">
            <w:pPr>
              <w:spacing w:after="0" w:line="240" w:lineRule="auto"/>
              <w:jc w:val="both"/>
              <w:rPr>
                <w:rFonts w:ascii="Calibri" w:eastAsia="Times New Roman" w:hAnsi="Calibri" w:cs="Calibri"/>
                <w:color w:val="000000"/>
                <w:lang w:eastAsia="en-GB"/>
              </w:rPr>
            </w:pPr>
            <w:r w:rsidRPr="00C55557">
              <w:rPr>
                <w:rFonts w:ascii="Calibri" w:eastAsia="Times New Roman" w:hAnsi="Calibri" w:cs="Calibri"/>
                <w:color w:val="000000"/>
                <w:lang w:eastAsia="en-GB"/>
              </w:rPr>
              <w:t>1.0</w:t>
            </w:r>
          </w:p>
        </w:tc>
      </w:tr>
    </w:tbl>
    <w:p w14:paraId="7DFC027D" w14:textId="77777777" w:rsidR="00E62DB7" w:rsidRPr="00C55557" w:rsidRDefault="00E62DB7" w:rsidP="00DC54F7">
      <w:pPr>
        <w:jc w:val="both"/>
        <w:rPr>
          <w:rFonts w:ascii="Arial" w:hAnsi="Arial" w:cs="Arial"/>
          <w:sz w:val="20"/>
          <w:szCs w:val="20"/>
        </w:rPr>
      </w:pPr>
      <w:r w:rsidRPr="00C55557">
        <w:rPr>
          <w:rFonts w:ascii="Arial" w:hAnsi="Arial" w:cs="Arial"/>
          <w:sz w:val="20"/>
          <w:szCs w:val="20"/>
        </w:rPr>
        <w:t>Source: QOF 2019</w:t>
      </w:r>
    </w:p>
    <w:p w14:paraId="0342AF11" w14:textId="107B4B4F" w:rsidR="00BF42B9" w:rsidRPr="00C55557" w:rsidRDefault="00BF42B9" w:rsidP="00DC54F7">
      <w:pPr>
        <w:spacing w:after="0" w:line="240" w:lineRule="auto"/>
        <w:jc w:val="both"/>
        <w:rPr>
          <w:rFonts w:ascii="Arial" w:hAnsi="Arial" w:cs="Arial"/>
          <w:sz w:val="24"/>
          <w:szCs w:val="24"/>
        </w:rPr>
      </w:pPr>
      <w:r w:rsidRPr="00C55557">
        <w:rPr>
          <w:rFonts w:ascii="Arial" w:hAnsi="Arial" w:cs="Arial"/>
          <w:sz w:val="24"/>
          <w:szCs w:val="24"/>
        </w:rPr>
        <w:t>The estimated prevalence of atrial fibrillation in Eastern Vale</w:t>
      </w:r>
      <w:r w:rsidR="00FC31DF" w:rsidRPr="00C55557">
        <w:rPr>
          <w:rFonts w:ascii="Arial" w:hAnsi="Arial" w:cs="Arial"/>
          <w:sz w:val="24"/>
          <w:szCs w:val="24"/>
        </w:rPr>
        <w:t xml:space="preserve"> cluster</w:t>
      </w:r>
      <w:r w:rsidRPr="00C55557">
        <w:rPr>
          <w:rFonts w:ascii="Arial" w:hAnsi="Arial" w:cs="Arial"/>
          <w:sz w:val="24"/>
          <w:szCs w:val="24"/>
        </w:rPr>
        <w:t xml:space="preserve"> is higher than the average for Wales and the </w:t>
      </w:r>
      <w:r w:rsidR="00130C04" w:rsidRPr="00C55557">
        <w:rPr>
          <w:rFonts w:ascii="Arial" w:hAnsi="Arial" w:cs="Arial"/>
          <w:sz w:val="24"/>
          <w:szCs w:val="24"/>
        </w:rPr>
        <w:t xml:space="preserve">second </w:t>
      </w:r>
      <w:r w:rsidRPr="00C55557">
        <w:rPr>
          <w:rFonts w:ascii="Arial" w:hAnsi="Arial" w:cs="Arial"/>
          <w:sz w:val="24"/>
          <w:szCs w:val="24"/>
        </w:rPr>
        <w:t xml:space="preserve">highest of all the clusters in the health board. The estimated prevalence </w:t>
      </w:r>
      <w:r w:rsidR="00275E56" w:rsidRPr="00C55557">
        <w:rPr>
          <w:rFonts w:ascii="Arial" w:hAnsi="Arial" w:cs="Arial"/>
          <w:sz w:val="24"/>
          <w:szCs w:val="24"/>
        </w:rPr>
        <w:t>of hypertension</w:t>
      </w:r>
      <w:r w:rsidRPr="00C55557">
        <w:rPr>
          <w:rFonts w:ascii="Arial" w:hAnsi="Arial" w:cs="Arial"/>
          <w:sz w:val="24"/>
          <w:szCs w:val="24"/>
        </w:rPr>
        <w:t xml:space="preserve"> is lower than the average for Wales </w:t>
      </w:r>
      <w:r w:rsidR="00BE64F4" w:rsidRPr="00C55557">
        <w:rPr>
          <w:rFonts w:ascii="Arial" w:hAnsi="Arial" w:cs="Arial"/>
          <w:sz w:val="24"/>
          <w:szCs w:val="24"/>
        </w:rPr>
        <w:t xml:space="preserve">and </w:t>
      </w:r>
      <w:r w:rsidR="005C72FC" w:rsidRPr="00C55557">
        <w:rPr>
          <w:rFonts w:ascii="Arial" w:hAnsi="Arial" w:cs="Arial"/>
          <w:sz w:val="24"/>
          <w:szCs w:val="24"/>
        </w:rPr>
        <w:t xml:space="preserve">the second highest of all the clusters in the health board. </w:t>
      </w:r>
    </w:p>
    <w:p w14:paraId="620A0DBE" w14:textId="77777777" w:rsidR="00C34859" w:rsidRDefault="00C34859" w:rsidP="00DC54F7">
      <w:pPr>
        <w:spacing w:after="0" w:line="240" w:lineRule="auto"/>
        <w:jc w:val="both"/>
        <w:rPr>
          <w:rFonts w:ascii="Arial" w:hAnsi="Arial" w:cs="Arial"/>
          <w:b/>
          <w:sz w:val="26"/>
          <w:szCs w:val="26"/>
        </w:rPr>
      </w:pPr>
    </w:p>
    <w:p w14:paraId="14D76641" w14:textId="5B3B83F1" w:rsidR="005200B0" w:rsidRPr="00C55557" w:rsidRDefault="00594669" w:rsidP="00DC54F7">
      <w:pPr>
        <w:pStyle w:val="Caption"/>
        <w:spacing w:before="0" w:after="0"/>
        <w:jc w:val="both"/>
        <w:rPr>
          <w:rFonts w:ascii="Arial" w:hAnsi="Arial" w:cs="Arial"/>
          <w:szCs w:val="24"/>
        </w:rPr>
      </w:pPr>
      <w:r w:rsidRPr="00C55557">
        <w:rPr>
          <w:rFonts w:ascii="Arial" w:hAnsi="Arial" w:cs="Arial"/>
          <w:szCs w:val="24"/>
        </w:rPr>
        <w:t>Table 1</w:t>
      </w:r>
      <w:r w:rsidR="002204E4" w:rsidRPr="00C55557">
        <w:rPr>
          <w:rFonts w:ascii="Arial" w:hAnsi="Arial" w:cs="Arial"/>
          <w:szCs w:val="24"/>
        </w:rPr>
        <w:t>5</w:t>
      </w:r>
      <w:r w:rsidRPr="00C55557">
        <w:rPr>
          <w:rFonts w:ascii="Arial" w:hAnsi="Arial" w:cs="Arial"/>
          <w:szCs w:val="24"/>
        </w:rPr>
        <w:t>.</w:t>
      </w:r>
      <w:r w:rsidR="00FF1EE9" w:rsidRPr="00C55557">
        <w:rPr>
          <w:rFonts w:ascii="Arial" w:hAnsi="Arial" w:cs="Arial"/>
          <w:szCs w:val="24"/>
        </w:rPr>
        <w:t>5</w:t>
      </w:r>
      <w:r w:rsidRPr="00C55557">
        <w:rPr>
          <w:rFonts w:ascii="Arial" w:hAnsi="Arial" w:cs="Arial"/>
          <w:szCs w:val="24"/>
        </w:rPr>
        <w:t>: Estimated percentage prevalence of hypertension and atrial fibrillation based on patients on GP practice registers by cluster, local authority, health board and Wales, 2019</w:t>
      </w:r>
    </w:p>
    <w:tbl>
      <w:tblPr>
        <w:tblW w:w="953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178"/>
        <w:gridCol w:w="3178"/>
        <w:gridCol w:w="3178"/>
      </w:tblGrid>
      <w:tr w:rsidR="00CC5C22" w:rsidRPr="00CC5C22" w14:paraId="77B97CAC" w14:textId="77777777" w:rsidTr="00E40C72">
        <w:trPr>
          <w:trHeight w:val="278"/>
        </w:trPr>
        <w:tc>
          <w:tcPr>
            <w:tcW w:w="3178" w:type="dxa"/>
            <w:shd w:val="clear" w:color="auto" w:fill="8497B0"/>
            <w:noWrap/>
            <w:vAlign w:val="bottom"/>
            <w:hideMark/>
          </w:tcPr>
          <w:p w14:paraId="6E941E65" w14:textId="77777777" w:rsidR="00CC5C22" w:rsidRPr="00F212A2" w:rsidRDefault="00CC5C22" w:rsidP="00DC54F7">
            <w:pPr>
              <w:spacing w:after="0" w:line="240" w:lineRule="auto"/>
              <w:jc w:val="both"/>
              <w:rPr>
                <w:rFonts w:ascii="Calibri" w:eastAsia="Times New Roman" w:hAnsi="Calibri" w:cs="Calibri"/>
                <w:b/>
                <w:bCs/>
                <w:color w:val="FFFFFF"/>
                <w:lang w:eastAsia="en-GB"/>
              </w:rPr>
            </w:pPr>
            <w:r w:rsidRPr="00F212A2">
              <w:rPr>
                <w:rFonts w:ascii="Calibri" w:eastAsia="Times New Roman" w:hAnsi="Calibri" w:cs="Calibri"/>
                <w:b/>
                <w:bCs/>
                <w:color w:val="FFFFFF"/>
                <w:lang w:eastAsia="en-GB"/>
              </w:rPr>
              <w:t> </w:t>
            </w:r>
          </w:p>
        </w:tc>
        <w:tc>
          <w:tcPr>
            <w:tcW w:w="3178" w:type="dxa"/>
            <w:shd w:val="clear" w:color="auto" w:fill="8497B0"/>
            <w:noWrap/>
            <w:vAlign w:val="bottom"/>
            <w:hideMark/>
          </w:tcPr>
          <w:p w14:paraId="435EECCC" w14:textId="77777777" w:rsidR="00CC5C22" w:rsidRPr="00F212A2" w:rsidRDefault="00CC5C22" w:rsidP="00DC54F7">
            <w:pPr>
              <w:spacing w:after="0" w:line="240" w:lineRule="auto"/>
              <w:jc w:val="both"/>
              <w:rPr>
                <w:rFonts w:ascii="Calibri" w:eastAsia="Times New Roman" w:hAnsi="Calibri" w:cs="Calibri"/>
                <w:b/>
                <w:bCs/>
                <w:color w:val="FFFFFF"/>
                <w:lang w:eastAsia="en-GB"/>
              </w:rPr>
            </w:pPr>
            <w:r w:rsidRPr="00F212A2">
              <w:rPr>
                <w:rFonts w:ascii="Calibri" w:eastAsia="Times New Roman" w:hAnsi="Calibri" w:cs="Calibri"/>
                <w:b/>
                <w:bCs/>
                <w:color w:val="FFFFFF"/>
                <w:lang w:eastAsia="en-GB"/>
              </w:rPr>
              <w:t>Atrial Fibrillation (percentage)</w:t>
            </w:r>
          </w:p>
        </w:tc>
        <w:tc>
          <w:tcPr>
            <w:tcW w:w="3178" w:type="dxa"/>
            <w:shd w:val="clear" w:color="auto" w:fill="8497B0"/>
            <w:vAlign w:val="bottom"/>
            <w:hideMark/>
          </w:tcPr>
          <w:p w14:paraId="2BAF1B5D" w14:textId="77777777" w:rsidR="00CC5C22" w:rsidRPr="00F212A2" w:rsidRDefault="00CC5C22" w:rsidP="00DC54F7">
            <w:pPr>
              <w:spacing w:after="0" w:line="240" w:lineRule="auto"/>
              <w:jc w:val="both"/>
              <w:rPr>
                <w:rFonts w:ascii="Calibri" w:eastAsia="Times New Roman" w:hAnsi="Calibri" w:cs="Calibri"/>
                <w:b/>
                <w:bCs/>
                <w:color w:val="FFFFFF"/>
                <w:lang w:eastAsia="en-GB"/>
              </w:rPr>
            </w:pPr>
            <w:r w:rsidRPr="00F212A2">
              <w:rPr>
                <w:rFonts w:ascii="Calibri" w:eastAsia="Times New Roman" w:hAnsi="Calibri" w:cs="Calibri"/>
                <w:b/>
                <w:bCs/>
                <w:color w:val="FFFFFF"/>
                <w:lang w:eastAsia="en-GB"/>
              </w:rPr>
              <w:t>Hypertension (percentage)</w:t>
            </w:r>
          </w:p>
        </w:tc>
      </w:tr>
      <w:tr w:rsidR="00CC5C22" w:rsidRPr="00CC5C22" w14:paraId="352EE694" w14:textId="77777777" w:rsidTr="00E40C72">
        <w:trPr>
          <w:trHeight w:val="278"/>
        </w:trPr>
        <w:tc>
          <w:tcPr>
            <w:tcW w:w="3178" w:type="dxa"/>
            <w:shd w:val="clear" w:color="E2EFDA" w:fill="F2F2F2"/>
            <w:noWrap/>
            <w:vAlign w:val="bottom"/>
            <w:hideMark/>
          </w:tcPr>
          <w:p w14:paraId="21F0D40A" w14:textId="77777777" w:rsidR="00CC5C22" w:rsidRPr="00F212A2" w:rsidRDefault="00CC5C22" w:rsidP="00DC54F7">
            <w:pPr>
              <w:spacing w:after="0" w:line="240" w:lineRule="auto"/>
              <w:jc w:val="both"/>
              <w:rPr>
                <w:rFonts w:ascii="Calibri" w:eastAsia="Times New Roman" w:hAnsi="Calibri" w:cs="Calibri"/>
                <w:color w:val="000000"/>
                <w:lang w:eastAsia="en-GB"/>
              </w:rPr>
            </w:pPr>
            <w:r w:rsidRPr="00F212A2">
              <w:rPr>
                <w:rFonts w:ascii="Calibri" w:eastAsia="Times New Roman" w:hAnsi="Calibri" w:cs="Calibri"/>
                <w:color w:val="000000"/>
                <w:lang w:eastAsia="en-GB"/>
              </w:rPr>
              <w:t>Eastern Vale</w:t>
            </w:r>
          </w:p>
        </w:tc>
        <w:tc>
          <w:tcPr>
            <w:tcW w:w="3178" w:type="dxa"/>
            <w:shd w:val="clear" w:color="000000" w:fill="F2F2F2"/>
            <w:noWrap/>
            <w:vAlign w:val="bottom"/>
            <w:hideMark/>
          </w:tcPr>
          <w:p w14:paraId="2F03395C" w14:textId="74A5BA2D" w:rsidR="00CC5C22" w:rsidRPr="00F212A2" w:rsidRDefault="00CC5C22" w:rsidP="00DC54F7">
            <w:pPr>
              <w:spacing w:after="0" w:line="240" w:lineRule="auto"/>
              <w:jc w:val="both"/>
              <w:rPr>
                <w:rFonts w:ascii="Calibri" w:eastAsia="Times New Roman" w:hAnsi="Calibri" w:cs="Calibri"/>
                <w:color w:val="000000"/>
                <w:lang w:eastAsia="en-GB"/>
              </w:rPr>
            </w:pPr>
            <w:r w:rsidRPr="00F212A2">
              <w:rPr>
                <w:rFonts w:ascii="Calibri" w:eastAsia="Times New Roman" w:hAnsi="Calibri" w:cs="Calibri"/>
                <w:color w:val="000000"/>
                <w:lang w:eastAsia="en-GB"/>
              </w:rPr>
              <w:t>2.4</w:t>
            </w:r>
          </w:p>
        </w:tc>
        <w:tc>
          <w:tcPr>
            <w:tcW w:w="3178" w:type="dxa"/>
            <w:shd w:val="clear" w:color="E2EFDA" w:fill="F2F2F2"/>
            <w:noWrap/>
            <w:vAlign w:val="bottom"/>
            <w:hideMark/>
          </w:tcPr>
          <w:p w14:paraId="29BC3AF7" w14:textId="2AD080F0" w:rsidR="00CC5C22" w:rsidRPr="00F212A2" w:rsidRDefault="00CC5C22" w:rsidP="00DC54F7">
            <w:pPr>
              <w:spacing w:after="0" w:line="240" w:lineRule="auto"/>
              <w:jc w:val="both"/>
              <w:rPr>
                <w:rFonts w:ascii="Calibri" w:eastAsia="Times New Roman" w:hAnsi="Calibri" w:cs="Calibri"/>
                <w:color w:val="000000"/>
                <w:lang w:eastAsia="en-GB"/>
              </w:rPr>
            </w:pPr>
            <w:r w:rsidRPr="00F212A2">
              <w:rPr>
                <w:rFonts w:ascii="Calibri" w:eastAsia="Times New Roman" w:hAnsi="Calibri" w:cs="Calibri"/>
                <w:color w:val="000000"/>
                <w:lang w:eastAsia="en-GB"/>
              </w:rPr>
              <w:t>14.7</w:t>
            </w:r>
          </w:p>
        </w:tc>
      </w:tr>
      <w:tr w:rsidR="00CC5C22" w:rsidRPr="00CC5C22" w14:paraId="3DE4AE9D" w14:textId="77777777" w:rsidTr="00E40C72">
        <w:trPr>
          <w:trHeight w:val="278"/>
        </w:trPr>
        <w:tc>
          <w:tcPr>
            <w:tcW w:w="3178" w:type="dxa"/>
            <w:shd w:val="clear" w:color="E2EFDA" w:fill="FFFFFF"/>
            <w:noWrap/>
            <w:vAlign w:val="bottom"/>
            <w:hideMark/>
          </w:tcPr>
          <w:p w14:paraId="6350953A" w14:textId="77777777" w:rsidR="00CC5C22" w:rsidRPr="00F212A2" w:rsidRDefault="00CC5C22" w:rsidP="00DC54F7">
            <w:pPr>
              <w:spacing w:after="0" w:line="240" w:lineRule="auto"/>
              <w:jc w:val="both"/>
              <w:rPr>
                <w:rFonts w:ascii="Calibri" w:eastAsia="Times New Roman" w:hAnsi="Calibri" w:cs="Calibri"/>
                <w:color w:val="000000"/>
                <w:lang w:eastAsia="en-GB"/>
              </w:rPr>
            </w:pPr>
            <w:r w:rsidRPr="00F212A2">
              <w:rPr>
                <w:rFonts w:ascii="Calibri" w:eastAsia="Times New Roman" w:hAnsi="Calibri" w:cs="Calibri"/>
                <w:color w:val="000000"/>
                <w:lang w:eastAsia="en-GB"/>
              </w:rPr>
              <w:t>Vale of Glamorgan</w:t>
            </w:r>
          </w:p>
        </w:tc>
        <w:tc>
          <w:tcPr>
            <w:tcW w:w="3178" w:type="dxa"/>
            <w:shd w:val="clear" w:color="auto" w:fill="auto"/>
            <w:noWrap/>
            <w:vAlign w:val="bottom"/>
            <w:hideMark/>
          </w:tcPr>
          <w:p w14:paraId="2579CDA1" w14:textId="14E45726" w:rsidR="00CC5C22" w:rsidRPr="00F212A2" w:rsidRDefault="00CC5C22" w:rsidP="00DC54F7">
            <w:pPr>
              <w:spacing w:after="0" w:line="240" w:lineRule="auto"/>
              <w:jc w:val="both"/>
              <w:rPr>
                <w:rFonts w:ascii="Calibri" w:eastAsia="Times New Roman" w:hAnsi="Calibri" w:cs="Calibri"/>
                <w:color w:val="000000"/>
                <w:lang w:eastAsia="en-GB"/>
              </w:rPr>
            </w:pPr>
            <w:r w:rsidRPr="00F212A2">
              <w:rPr>
                <w:rFonts w:ascii="Calibri" w:eastAsia="Times New Roman" w:hAnsi="Calibri" w:cs="Calibri"/>
                <w:color w:val="000000"/>
                <w:lang w:eastAsia="en-GB"/>
              </w:rPr>
              <w:t>2.3</w:t>
            </w:r>
          </w:p>
        </w:tc>
        <w:tc>
          <w:tcPr>
            <w:tcW w:w="3178" w:type="dxa"/>
            <w:shd w:val="clear" w:color="E2EFDA" w:fill="FFFFFF"/>
            <w:noWrap/>
            <w:vAlign w:val="bottom"/>
            <w:hideMark/>
          </w:tcPr>
          <w:p w14:paraId="4CD2611F" w14:textId="1BEF3ADA" w:rsidR="00CC5C22" w:rsidRPr="00F212A2" w:rsidRDefault="00CC5C22" w:rsidP="00DC54F7">
            <w:pPr>
              <w:spacing w:after="0" w:line="240" w:lineRule="auto"/>
              <w:jc w:val="both"/>
              <w:rPr>
                <w:rFonts w:ascii="Calibri" w:eastAsia="Times New Roman" w:hAnsi="Calibri" w:cs="Calibri"/>
                <w:color w:val="000000"/>
                <w:lang w:eastAsia="en-GB"/>
              </w:rPr>
            </w:pPr>
            <w:r w:rsidRPr="00F212A2">
              <w:rPr>
                <w:rFonts w:ascii="Calibri" w:eastAsia="Times New Roman" w:hAnsi="Calibri" w:cs="Calibri"/>
                <w:color w:val="000000"/>
                <w:lang w:eastAsia="en-GB"/>
              </w:rPr>
              <w:t>14.9</w:t>
            </w:r>
          </w:p>
        </w:tc>
      </w:tr>
      <w:tr w:rsidR="00CC5C22" w:rsidRPr="00CC5C22" w14:paraId="06E8E782" w14:textId="77777777" w:rsidTr="00E40C72">
        <w:trPr>
          <w:trHeight w:val="278"/>
        </w:trPr>
        <w:tc>
          <w:tcPr>
            <w:tcW w:w="3178" w:type="dxa"/>
            <w:shd w:val="clear" w:color="000000" w:fill="F2F2F2"/>
            <w:noWrap/>
            <w:vAlign w:val="bottom"/>
            <w:hideMark/>
          </w:tcPr>
          <w:p w14:paraId="090B9A66" w14:textId="77777777" w:rsidR="00CC5C22" w:rsidRPr="00F212A2" w:rsidRDefault="00CC5C22" w:rsidP="00DC54F7">
            <w:pPr>
              <w:spacing w:after="0" w:line="240" w:lineRule="auto"/>
              <w:jc w:val="both"/>
              <w:rPr>
                <w:rFonts w:ascii="Calibri" w:eastAsia="Times New Roman" w:hAnsi="Calibri" w:cs="Calibri"/>
                <w:color w:val="000000"/>
                <w:lang w:eastAsia="en-GB"/>
              </w:rPr>
            </w:pPr>
            <w:r w:rsidRPr="00F212A2">
              <w:rPr>
                <w:rFonts w:ascii="Calibri" w:eastAsia="Times New Roman" w:hAnsi="Calibri" w:cs="Calibri"/>
                <w:color w:val="000000"/>
                <w:lang w:eastAsia="en-GB"/>
              </w:rPr>
              <w:t>Cardiff &amp; Vale UHB</w:t>
            </w:r>
          </w:p>
        </w:tc>
        <w:tc>
          <w:tcPr>
            <w:tcW w:w="3178" w:type="dxa"/>
            <w:shd w:val="clear" w:color="000000" w:fill="F2F2F2"/>
            <w:noWrap/>
            <w:vAlign w:val="bottom"/>
            <w:hideMark/>
          </w:tcPr>
          <w:p w14:paraId="1D2EFAF9" w14:textId="16EFF797" w:rsidR="00CC5C22" w:rsidRPr="00F212A2" w:rsidRDefault="00CC5C22" w:rsidP="00DC54F7">
            <w:pPr>
              <w:spacing w:after="0" w:line="240" w:lineRule="auto"/>
              <w:jc w:val="both"/>
              <w:rPr>
                <w:rFonts w:ascii="Calibri" w:eastAsia="Times New Roman" w:hAnsi="Calibri" w:cs="Calibri"/>
                <w:color w:val="000000"/>
                <w:lang w:eastAsia="en-GB"/>
              </w:rPr>
            </w:pPr>
            <w:r w:rsidRPr="00F212A2">
              <w:rPr>
                <w:rFonts w:ascii="Calibri" w:eastAsia="Times New Roman" w:hAnsi="Calibri" w:cs="Calibri"/>
                <w:color w:val="000000"/>
                <w:lang w:eastAsia="en-GB"/>
              </w:rPr>
              <w:t>1.8</w:t>
            </w:r>
          </w:p>
        </w:tc>
        <w:tc>
          <w:tcPr>
            <w:tcW w:w="3178" w:type="dxa"/>
            <w:shd w:val="clear" w:color="000000" w:fill="F2F2F2"/>
            <w:noWrap/>
            <w:vAlign w:val="bottom"/>
            <w:hideMark/>
          </w:tcPr>
          <w:p w14:paraId="2E5ED39D" w14:textId="43B1717F" w:rsidR="00CC5C22" w:rsidRPr="00F212A2" w:rsidRDefault="00CC5C22" w:rsidP="00DC54F7">
            <w:pPr>
              <w:spacing w:after="0" w:line="240" w:lineRule="auto"/>
              <w:jc w:val="both"/>
              <w:rPr>
                <w:rFonts w:ascii="Calibri" w:eastAsia="Times New Roman" w:hAnsi="Calibri" w:cs="Calibri"/>
                <w:color w:val="000000"/>
                <w:lang w:eastAsia="en-GB"/>
              </w:rPr>
            </w:pPr>
            <w:r w:rsidRPr="00F212A2">
              <w:rPr>
                <w:rFonts w:ascii="Calibri" w:eastAsia="Times New Roman" w:hAnsi="Calibri" w:cs="Calibri"/>
                <w:color w:val="000000"/>
                <w:lang w:eastAsia="en-GB"/>
              </w:rPr>
              <w:t>12.6</w:t>
            </w:r>
          </w:p>
        </w:tc>
      </w:tr>
      <w:tr w:rsidR="00CC5C22" w:rsidRPr="00CC5C22" w14:paraId="43536D2B" w14:textId="77777777" w:rsidTr="00E40C72">
        <w:trPr>
          <w:trHeight w:val="278"/>
        </w:trPr>
        <w:tc>
          <w:tcPr>
            <w:tcW w:w="3178" w:type="dxa"/>
            <w:shd w:val="clear" w:color="E2EFDA" w:fill="FFFFFF"/>
            <w:noWrap/>
            <w:vAlign w:val="bottom"/>
            <w:hideMark/>
          </w:tcPr>
          <w:p w14:paraId="300625EB" w14:textId="77777777" w:rsidR="00CC5C22" w:rsidRPr="00F212A2" w:rsidRDefault="00CC5C22" w:rsidP="00DC54F7">
            <w:pPr>
              <w:spacing w:after="0" w:line="240" w:lineRule="auto"/>
              <w:jc w:val="both"/>
              <w:rPr>
                <w:rFonts w:ascii="Calibri" w:eastAsia="Times New Roman" w:hAnsi="Calibri" w:cs="Calibri"/>
                <w:color w:val="000000"/>
                <w:lang w:eastAsia="en-GB"/>
              </w:rPr>
            </w:pPr>
            <w:r w:rsidRPr="00F212A2">
              <w:rPr>
                <w:rFonts w:ascii="Calibri" w:eastAsia="Times New Roman" w:hAnsi="Calibri" w:cs="Calibri"/>
                <w:color w:val="000000"/>
                <w:lang w:eastAsia="en-GB"/>
              </w:rPr>
              <w:t>Wales</w:t>
            </w:r>
          </w:p>
        </w:tc>
        <w:tc>
          <w:tcPr>
            <w:tcW w:w="3178" w:type="dxa"/>
            <w:shd w:val="clear" w:color="auto" w:fill="auto"/>
            <w:noWrap/>
            <w:vAlign w:val="bottom"/>
            <w:hideMark/>
          </w:tcPr>
          <w:p w14:paraId="76E96AFB" w14:textId="0EFA2AD5" w:rsidR="00CC5C22" w:rsidRPr="00F212A2" w:rsidRDefault="00CC5C22" w:rsidP="00DC54F7">
            <w:pPr>
              <w:spacing w:after="0" w:line="240" w:lineRule="auto"/>
              <w:jc w:val="both"/>
              <w:rPr>
                <w:rFonts w:ascii="Calibri" w:eastAsia="Times New Roman" w:hAnsi="Calibri" w:cs="Calibri"/>
                <w:color w:val="000000"/>
                <w:lang w:eastAsia="en-GB"/>
              </w:rPr>
            </w:pPr>
            <w:r w:rsidRPr="00F212A2">
              <w:rPr>
                <w:rFonts w:ascii="Calibri" w:eastAsia="Times New Roman" w:hAnsi="Calibri" w:cs="Calibri"/>
                <w:color w:val="000000"/>
                <w:lang w:eastAsia="en-GB"/>
              </w:rPr>
              <w:t>2.3</w:t>
            </w:r>
          </w:p>
        </w:tc>
        <w:tc>
          <w:tcPr>
            <w:tcW w:w="3178" w:type="dxa"/>
            <w:shd w:val="clear" w:color="E2EFDA" w:fill="FFFFFF"/>
            <w:noWrap/>
            <w:vAlign w:val="bottom"/>
            <w:hideMark/>
          </w:tcPr>
          <w:p w14:paraId="73BA0B61" w14:textId="095BE6BD" w:rsidR="00CC5C22" w:rsidRPr="00F212A2" w:rsidRDefault="00CC5C22" w:rsidP="00DC54F7">
            <w:pPr>
              <w:spacing w:after="0" w:line="240" w:lineRule="auto"/>
              <w:jc w:val="both"/>
              <w:rPr>
                <w:rFonts w:ascii="Calibri" w:eastAsia="Times New Roman" w:hAnsi="Calibri" w:cs="Calibri"/>
                <w:color w:val="000000"/>
                <w:lang w:eastAsia="en-GB"/>
              </w:rPr>
            </w:pPr>
            <w:r w:rsidRPr="00F212A2">
              <w:rPr>
                <w:rFonts w:ascii="Calibri" w:eastAsia="Times New Roman" w:hAnsi="Calibri" w:cs="Calibri"/>
                <w:color w:val="000000"/>
                <w:lang w:eastAsia="en-GB"/>
              </w:rPr>
              <w:t>15.8</w:t>
            </w:r>
          </w:p>
        </w:tc>
      </w:tr>
    </w:tbl>
    <w:p w14:paraId="78220CAF" w14:textId="77777777" w:rsidR="00E62DB7" w:rsidRPr="00F212A2" w:rsidRDefault="00E62DB7" w:rsidP="00DC54F7">
      <w:pPr>
        <w:jc w:val="both"/>
        <w:rPr>
          <w:rFonts w:ascii="Arial" w:hAnsi="Arial" w:cs="Arial"/>
          <w:sz w:val="20"/>
          <w:szCs w:val="20"/>
        </w:rPr>
      </w:pPr>
      <w:r w:rsidRPr="00F212A2">
        <w:rPr>
          <w:rFonts w:ascii="Arial" w:hAnsi="Arial" w:cs="Arial"/>
          <w:sz w:val="20"/>
          <w:szCs w:val="20"/>
        </w:rPr>
        <w:t>Source: QOF 2019</w:t>
      </w:r>
    </w:p>
    <w:p w14:paraId="037B60C6" w14:textId="70A4450A" w:rsidR="00FD6000" w:rsidRPr="00F212A2" w:rsidRDefault="00FD6000" w:rsidP="00DC54F7">
      <w:pPr>
        <w:spacing w:after="0" w:line="240" w:lineRule="auto"/>
        <w:jc w:val="both"/>
        <w:rPr>
          <w:rFonts w:ascii="Arial" w:hAnsi="Arial" w:cs="Arial"/>
          <w:sz w:val="24"/>
          <w:szCs w:val="24"/>
        </w:rPr>
      </w:pPr>
      <w:r w:rsidRPr="00F212A2">
        <w:rPr>
          <w:rFonts w:ascii="Arial" w:hAnsi="Arial" w:cs="Arial"/>
          <w:sz w:val="24"/>
          <w:szCs w:val="24"/>
        </w:rPr>
        <w:t xml:space="preserve">Many of the factors that contribute to the inequalities in health and well-being are preventable. Table </w:t>
      </w:r>
      <w:r w:rsidR="007F5DC9" w:rsidRPr="00F212A2">
        <w:rPr>
          <w:rFonts w:ascii="Arial" w:hAnsi="Arial" w:cs="Arial"/>
          <w:sz w:val="24"/>
          <w:szCs w:val="24"/>
        </w:rPr>
        <w:t>15</w:t>
      </w:r>
      <w:r w:rsidRPr="00F212A2">
        <w:rPr>
          <w:rFonts w:ascii="Arial" w:hAnsi="Arial" w:cs="Arial"/>
          <w:sz w:val="24"/>
          <w:szCs w:val="24"/>
        </w:rPr>
        <w:t>.</w:t>
      </w:r>
      <w:r w:rsidR="005B2792" w:rsidRPr="00F212A2">
        <w:rPr>
          <w:rFonts w:ascii="Arial" w:hAnsi="Arial" w:cs="Arial"/>
          <w:sz w:val="24"/>
          <w:szCs w:val="24"/>
        </w:rPr>
        <w:t>6</w:t>
      </w:r>
      <w:r w:rsidRPr="00F212A2">
        <w:rPr>
          <w:rFonts w:ascii="Arial" w:hAnsi="Arial" w:cs="Arial"/>
          <w:sz w:val="24"/>
          <w:szCs w:val="24"/>
        </w:rPr>
        <w:t xml:space="preserve"> shows the percentage of adults self-reporting fiv</w:t>
      </w:r>
      <w:r w:rsidR="009D0245" w:rsidRPr="00F212A2">
        <w:rPr>
          <w:rFonts w:ascii="Arial" w:hAnsi="Arial" w:cs="Arial"/>
          <w:sz w:val="24"/>
          <w:szCs w:val="24"/>
        </w:rPr>
        <w:t>e</w:t>
      </w:r>
      <w:r w:rsidRPr="00F212A2">
        <w:rPr>
          <w:rFonts w:ascii="Arial" w:hAnsi="Arial" w:cs="Arial"/>
          <w:sz w:val="24"/>
          <w:szCs w:val="24"/>
        </w:rPr>
        <w:t xml:space="preserve"> behaviours, where a lower percentage for smoking and drinking above the guidelines is seen as more beneficial </w:t>
      </w:r>
      <w:r w:rsidR="00CA4761" w:rsidRPr="00F212A2">
        <w:rPr>
          <w:rFonts w:ascii="Arial" w:hAnsi="Arial" w:cs="Arial"/>
          <w:sz w:val="24"/>
          <w:szCs w:val="24"/>
        </w:rPr>
        <w:t xml:space="preserve">to health and well-being </w:t>
      </w:r>
      <w:r w:rsidRPr="00F212A2">
        <w:rPr>
          <w:rFonts w:ascii="Arial" w:hAnsi="Arial" w:cs="Arial"/>
          <w:sz w:val="24"/>
          <w:szCs w:val="24"/>
        </w:rPr>
        <w:t xml:space="preserve">as is a higher percentage for working age adults of healthy weight, meeting the physical activity guidelines and consuming </w:t>
      </w:r>
      <w:r w:rsidR="001A092A" w:rsidRPr="00F212A2">
        <w:rPr>
          <w:rFonts w:ascii="Arial" w:hAnsi="Arial" w:cs="Arial"/>
          <w:sz w:val="24"/>
          <w:szCs w:val="24"/>
        </w:rPr>
        <w:t>five</w:t>
      </w:r>
      <w:r w:rsidRPr="00F212A2">
        <w:rPr>
          <w:rFonts w:ascii="Arial" w:hAnsi="Arial" w:cs="Arial"/>
          <w:sz w:val="24"/>
          <w:szCs w:val="24"/>
        </w:rPr>
        <w:t xml:space="preserve"> a day. </w:t>
      </w:r>
    </w:p>
    <w:p w14:paraId="282B3A0A" w14:textId="77777777" w:rsidR="007F5DC9" w:rsidRPr="00F212A2" w:rsidRDefault="007F5DC9" w:rsidP="00DC54F7">
      <w:pPr>
        <w:spacing w:after="0" w:line="240" w:lineRule="auto"/>
        <w:jc w:val="both"/>
        <w:rPr>
          <w:rFonts w:ascii="Arial" w:hAnsi="Arial" w:cs="Arial"/>
          <w:sz w:val="24"/>
          <w:szCs w:val="24"/>
        </w:rPr>
      </w:pPr>
    </w:p>
    <w:p w14:paraId="23E12AE1" w14:textId="2543958D" w:rsidR="00EA5797" w:rsidRDefault="00FD6000" w:rsidP="00DC54F7">
      <w:pPr>
        <w:spacing w:after="0" w:line="240" w:lineRule="auto"/>
        <w:jc w:val="both"/>
        <w:rPr>
          <w:rFonts w:ascii="Arial" w:hAnsi="Arial" w:cs="Arial"/>
          <w:sz w:val="24"/>
          <w:szCs w:val="24"/>
        </w:rPr>
      </w:pPr>
      <w:r w:rsidRPr="00F212A2">
        <w:rPr>
          <w:rFonts w:ascii="Arial" w:hAnsi="Arial" w:cs="Arial"/>
          <w:sz w:val="24"/>
          <w:szCs w:val="24"/>
        </w:rPr>
        <w:t xml:space="preserve">Overall, the percentage of adults reporting behaviours which support healthy outcomes in </w:t>
      </w:r>
      <w:r w:rsidR="00CA4761" w:rsidRPr="00F212A2">
        <w:rPr>
          <w:rFonts w:ascii="Arial" w:hAnsi="Arial" w:cs="Arial"/>
          <w:sz w:val="24"/>
          <w:szCs w:val="24"/>
        </w:rPr>
        <w:t xml:space="preserve">Eastern Vale </w:t>
      </w:r>
      <w:r w:rsidRPr="00F212A2">
        <w:rPr>
          <w:rFonts w:ascii="Arial" w:hAnsi="Arial" w:cs="Arial"/>
          <w:sz w:val="24"/>
          <w:szCs w:val="24"/>
        </w:rPr>
        <w:t xml:space="preserve">cluster is </w:t>
      </w:r>
      <w:r w:rsidR="00BC7DEC" w:rsidRPr="00F212A2">
        <w:rPr>
          <w:rFonts w:ascii="Arial" w:hAnsi="Arial" w:cs="Arial"/>
          <w:sz w:val="24"/>
          <w:szCs w:val="24"/>
        </w:rPr>
        <w:t>highe</w:t>
      </w:r>
      <w:r w:rsidRPr="00F212A2">
        <w:rPr>
          <w:rFonts w:ascii="Arial" w:hAnsi="Arial" w:cs="Arial"/>
          <w:sz w:val="24"/>
          <w:szCs w:val="24"/>
        </w:rPr>
        <w:t>r than</w:t>
      </w:r>
      <w:r w:rsidRPr="00F212A2">
        <w:rPr>
          <w:rFonts w:ascii="Arial" w:hAnsi="Arial" w:cs="Arial"/>
          <w:color w:val="000000"/>
          <w:sz w:val="24"/>
          <w:szCs w:val="24"/>
        </w:rPr>
        <w:t xml:space="preserve"> Cardiff and Vale University </w:t>
      </w:r>
      <w:r w:rsidRPr="00F212A2">
        <w:rPr>
          <w:rFonts w:ascii="Arial" w:hAnsi="Arial" w:cs="Arial"/>
          <w:sz w:val="24"/>
          <w:szCs w:val="24"/>
        </w:rPr>
        <w:t>Health Board and the average for Wales, except for drinking above the guidelines.</w:t>
      </w:r>
    </w:p>
    <w:p w14:paraId="2CCCF5C6" w14:textId="4DFD8592" w:rsidR="00EA5797" w:rsidRDefault="00EA5797" w:rsidP="00DC54F7">
      <w:pPr>
        <w:spacing w:after="0" w:line="240" w:lineRule="auto"/>
        <w:jc w:val="both"/>
        <w:rPr>
          <w:rFonts w:ascii="Arial" w:hAnsi="Arial" w:cs="Arial"/>
          <w:sz w:val="24"/>
          <w:szCs w:val="24"/>
        </w:rPr>
      </w:pPr>
    </w:p>
    <w:p w14:paraId="11FA0750" w14:textId="3FF7304D" w:rsidR="00EA5797" w:rsidRDefault="00EA5797" w:rsidP="00DC54F7">
      <w:pPr>
        <w:spacing w:after="0" w:line="240" w:lineRule="auto"/>
        <w:jc w:val="both"/>
        <w:rPr>
          <w:rFonts w:ascii="Arial" w:hAnsi="Arial" w:cs="Arial"/>
          <w:sz w:val="24"/>
          <w:szCs w:val="24"/>
        </w:rPr>
      </w:pPr>
    </w:p>
    <w:p w14:paraId="0904C235" w14:textId="169B22A1" w:rsidR="00EA5797" w:rsidRDefault="00EA5797" w:rsidP="00DC54F7">
      <w:pPr>
        <w:spacing w:after="0" w:line="240" w:lineRule="auto"/>
        <w:jc w:val="both"/>
        <w:rPr>
          <w:rFonts w:ascii="Arial" w:hAnsi="Arial" w:cs="Arial"/>
          <w:sz w:val="24"/>
          <w:szCs w:val="24"/>
        </w:rPr>
      </w:pPr>
    </w:p>
    <w:p w14:paraId="588C36E1" w14:textId="16223F04" w:rsidR="00EA5797" w:rsidRDefault="00EA5797" w:rsidP="00DC54F7">
      <w:pPr>
        <w:spacing w:after="0" w:line="240" w:lineRule="auto"/>
        <w:jc w:val="both"/>
        <w:rPr>
          <w:rFonts w:ascii="Arial" w:hAnsi="Arial" w:cs="Arial"/>
          <w:sz w:val="24"/>
          <w:szCs w:val="24"/>
        </w:rPr>
      </w:pPr>
    </w:p>
    <w:p w14:paraId="3AD837CC" w14:textId="13E1618E" w:rsidR="00EA5797" w:rsidRDefault="00EA5797" w:rsidP="00DC54F7">
      <w:pPr>
        <w:spacing w:after="0" w:line="240" w:lineRule="auto"/>
        <w:jc w:val="both"/>
        <w:rPr>
          <w:rFonts w:ascii="Arial" w:hAnsi="Arial" w:cs="Arial"/>
          <w:sz w:val="24"/>
          <w:szCs w:val="24"/>
        </w:rPr>
      </w:pPr>
    </w:p>
    <w:p w14:paraId="48685343" w14:textId="654F0089" w:rsidR="00EA5797" w:rsidRDefault="00EA5797" w:rsidP="00DC54F7">
      <w:pPr>
        <w:spacing w:after="0" w:line="240" w:lineRule="auto"/>
        <w:jc w:val="both"/>
        <w:rPr>
          <w:rFonts w:ascii="Arial" w:hAnsi="Arial" w:cs="Arial"/>
          <w:sz w:val="24"/>
          <w:szCs w:val="24"/>
        </w:rPr>
      </w:pPr>
    </w:p>
    <w:p w14:paraId="22D487C0" w14:textId="77777777" w:rsidR="00EA5797" w:rsidRDefault="00EA5797" w:rsidP="00DC54F7">
      <w:pPr>
        <w:spacing w:after="0" w:line="240" w:lineRule="auto"/>
        <w:jc w:val="both"/>
        <w:rPr>
          <w:rFonts w:ascii="Arial" w:hAnsi="Arial" w:cs="Arial"/>
          <w:szCs w:val="24"/>
        </w:rPr>
      </w:pPr>
    </w:p>
    <w:p w14:paraId="72ACA3F0" w14:textId="20276F2F" w:rsidR="005200B0" w:rsidRPr="00F212A2" w:rsidRDefault="00594669" w:rsidP="00DC54F7">
      <w:pPr>
        <w:pStyle w:val="Caption"/>
        <w:spacing w:before="0" w:after="0"/>
        <w:jc w:val="both"/>
        <w:rPr>
          <w:rFonts w:ascii="Arial" w:hAnsi="Arial" w:cs="Arial"/>
          <w:szCs w:val="24"/>
        </w:rPr>
      </w:pPr>
      <w:r w:rsidRPr="00F212A2">
        <w:rPr>
          <w:rFonts w:ascii="Arial" w:hAnsi="Arial" w:cs="Arial"/>
          <w:szCs w:val="24"/>
        </w:rPr>
        <w:lastRenderedPageBreak/>
        <w:t>Table 1</w:t>
      </w:r>
      <w:r w:rsidR="002204E4" w:rsidRPr="00F212A2">
        <w:rPr>
          <w:rFonts w:ascii="Arial" w:hAnsi="Arial" w:cs="Arial"/>
          <w:szCs w:val="24"/>
        </w:rPr>
        <w:t>5</w:t>
      </w:r>
      <w:r w:rsidRPr="00F212A2">
        <w:rPr>
          <w:rFonts w:ascii="Arial" w:hAnsi="Arial" w:cs="Arial"/>
          <w:szCs w:val="24"/>
        </w:rPr>
        <w:t>.</w:t>
      </w:r>
      <w:r w:rsidR="00FF1EE9" w:rsidRPr="00F212A2">
        <w:rPr>
          <w:rFonts w:ascii="Arial" w:hAnsi="Arial" w:cs="Arial"/>
          <w:szCs w:val="24"/>
        </w:rPr>
        <w:t>6</w:t>
      </w:r>
      <w:r w:rsidRPr="00F212A2">
        <w:rPr>
          <w:rFonts w:ascii="Arial" w:hAnsi="Arial" w:cs="Arial"/>
          <w:szCs w:val="24"/>
        </w:rPr>
        <w:t>: Percentage of adults (aged 16 years and over) reporting behaviours by cluster, health board and Wales, 2016 to 2018</w:t>
      </w:r>
    </w:p>
    <w:tbl>
      <w:tblPr>
        <w:tblW w:w="955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122"/>
        <w:gridCol w:w="1239"/>
        <w:gridCol w:w="248"/>
        <w:gridCol w:w="991"/>
        <w:gridCol w:w="496"/>
        <w:gridCol w:w="744"/>
        <w:gridCol w:w="743"/>
        <w:gridCol w:w="496"/>
        <w:gridCol w:w="991"/>
        <w:gridCol w:w="248"/>
        <w:gridCol w:w="1240"/>
      </w:tblGrid>
      <w:tr w:rsidR="00561903" w:rsidRPr="00F212A2" w14:paraId="4C571E7C" w14:textId="77777777" w:rsidTr="00EA5797">
        <w:trPr>
          <w:trHeight w:val="313"/>
        </w:trPr>
        <w:tc>
          <w:tcPr>
            <w:tcW w:w="2122" w:type="dxa"/>
            <w:shd w:val="clear" w:color="auto" w:fill="8497B0"/>
            <w:noWrap/>
            <w:vAlign w:val="center"/>
            <w:hideMark/>
          </w:tcPr>
          <w:p w14:paraId="729E4C4B" w14:textId="77777777" w:rsidR="00561903" w:rsidRPr="00F212A2" w:rsidRDefault="00561903" w:rsidP="00DC54F7">
            <w:pPr>
              <w:spacing w:after="0" w:line="240" w:lineRule="auto"/>
              <w:jc w:val="both"/>
              <w:rPr>
                <w:rFonts w:eastAsia="Times New Roman" w:cstheme="minorHAnsi"/>
                <w:b/>
                <w:bCs/>
                <w:color w:val="FFFFFF"/>
                <w:lang w:eastAsia="en-GB"/>
              </w:rPr>
            </w:pPr>
            <w:r w:rsidRPr="00F212A2">
              <w:rPr>
                <w:rFonts w:eastAsia="Times New Roman" w:cstheme="minorHAnsi"/>
                <w:b/>
                <w:bCs/>
                <w:color w:val="FFFFFF"/>
                <w:lang w:eastAsia="en-GB"/>
              </w:rPr>
              <w:t> </w:t>
            </w:r>
          </w:p>
        </w:tc>
        <w:tc>
          <w:tcPr>
            <w:tcW w:w="1487" w:type="dxa"/>
            <w:gridSpan w:val="2"/>
            <w:shd w:val="clear" w:color="auto" w:fill="8497B0"/>
            <w:noWrap/>
            <w:vAlign w:val="center"/>
            <w:hideMark/>
          </w:tcPr>
          <w:p w14:paraId="3DE1D3D4" w14:textId="77777777" w:rsidR="00561903" w:rsidRPr="00F212A2" w:rsidRDefault="00561903" w:rsidP="00DC54F7">
            <w:pPr>
              <w:spacing w:after="0" w:line="240" w:lineRule="auto"/>
              <w:jc w:val="both"/>
              <w:rPr>
                <w:rFonts w:eastAsia="Times New Roman" w:cstheme="minorHAnsi"/>
                <w:b/>
                <w:bCs/>
                <w:color w:val="FFFFFF"/>
                <w:lang w:eastAsia="en-GB"/>
              </w:rPr>
            </w:pPr>
            <w:r w:rsidRPr="00F212A2">
              <w:rPr>
                <w:rFonts w:eastAsia="Times New Roman" w:cstheme="minorHAnsi"/>
                <w:b/>
                <w:bCs/>
                <w:color w:val="FFFFFF"/>
                <w:lang w:eastAsia="en-GB"/>
              </w:rPr>
              <w:t>Count</w:t>
            </w:r>
          </w:p>
        </w:tc>
        <w:tc>
          <w:tcPr>
            <w:tcW w:w="1487" w:type="dxa"/>
            <w:gridSpan w:val="2"/>
            <w:shd w:val="clear" w:color="auto" w:fill="8497B0"/>
            <w:noWrap/>
            <w:vAlign w:val="center"/>
            <w:hideMark/>
          </w:tcPr>
          <w:p w14:paraId="1B884C27" w14:textId="77777777" w:rsidR="00561903" w:rsidRPr="00F212A2" w:rsidRDefault="00561903" w:rsidP="00DC54F7">
            <w:pPr>
              <w:spacing w:after="0" w:line="240" w:lineRule="auto"/>
              <w:jc w:val="both"/>
              <w:rPr>
                <w:rFonts w:eastAsia="Times New Roman" w:cstheme="minorHAnsi"/>
                <w:b/>
                <w:bCs/>
                <w:color w:val="FFFFFF"/>
                <w:lang w:eastAsia="en-GB"/>
              </w:rPr>
            </w:pPr>
            <w:r w:rsidRPr="00F212A2">
              <w:rPr>
                <w:rFonts w:eastAsia="Times New Roman" w:cstheme="minorHAnsi"/>
                <w:b/>
                <w:bCs/>
                <w:color w:val="FFFFFF"/>
                <w:lang w:eastAsia="en-GB"/>
              </w:rPr>
              <w:t> </w:t>
            </w:r>
          </w:p>
        </w:tc>
        <w:tc>
          <w:tcPr>
            <w:tcW w:w="1487" w:type="dxa"/>
            <w:gridSpan w:val="2"/>
            <w:shd w:val="clear" w:color="auto" w:fill="8497B0"/>
            <w:noWrap/>
            <w:vAlign w:val="center"/>
            <w:hideMark/>
          </w:tcPr>
          <w:p w14:paraId="56DE295E" w14:textId="77777777" w:rsidR="00561903" w:rsidRPr="00F212A2" w:rsidRDefault="00561903" w:rsidP="00DC54F7">
            <w:pPr>
              <w:spacing w:after="0" w:line="240" w:lineRule="auto"/>
              <w:jc w:val="both"/>
              <w:rPr>
                <w:rFonts w:eastAsia="Times New Roman" w:cstheme="minorHAnsi"/>
                <w:b/>
                <w:bCs/>
                <w:color w:val="FFFFFF"/>
                <w:lang w:eastAsia="en-GB"/>
              </w:rPr>
            </w:pPr>
            <w:r w:rsidRPr="00F212A2">
              <w:rPr>
                <w:rFonts w:eastAsia="Times New Roman" w:cstheme="minorHAnsi"/>
                <w:b/>
                <w:bCs/>
                <w:color w:val="FFFFFF"/>
                <w:lang w:eastAsia="en-GB"/>
              </w:rPr>
              <w:t> </w:t>
            </w:r>
          </w:p>
        </w:tc>
        <w:tc>
          <w:tcPr>
            <w:tcW w:w="1487" w:type="dxa"/>
            <w:gridSpan w:val="2"/>
            <w:shd w:val="clear" w:color="auto" w:fill="8497B0"/>
            <w:noWrap/>
            <w:vAlign w:val="center"/>
            <w:hideMark/>
          </w:tcPr>
          <w:p w14:paraId="23E5D3A4" w14:textId="77777777" w:rsidR="00561903" w:rsidRPr="00F212A2" w:rsidRDefault="00561903" w:rsidP="00DC54F7">
            <w:pPr>
              <w:spacing w:after="0" w:line="240" w:lineRule="auto"/>
              <w:jc w:val="both"/>
              <w:rPr>
                <w:rFonts w:eastAsia="Times New Roman" w:cstheme="minorHAnsi"/>
                <w:b/>
                <w:bCs/>
                <w:color w:val="FFFFFF"/>
                <w:lang w:eastAsia="en-GB"/>
              </w:rPr>
            </w:pPr>
            <w:r w:rsidRPr="00F212A2">
              <w:rPr>
                <w:rFonts w:eastAsia="Times New Roman" w:cstheme="minorHAnsi"/>
                <w:b/>
                <w:bCs/>
                <w:color w:val="FFFFFF"/>
                <w:lang w:eastAsia="en-GB"/>
              </w:rPr>
              <w:t>Prevalence</w:t>
            </w:r>
          </w:p>
        </w:tc>
        <w:tc>
          <w:tcPr>
            <w:tcW w:w="1488" w:type="dxa"/>
            <w:gridSpan w:val="2"/>
            <w:shd w:val="clear" w:color="auto" w:fill="8497B0"/>
            <w:noWrap/>
            <w:vAlign w:val="center"/>
            <w:hideMark/>
          </w:tcPr>
          <w:p w14:paraId="42F501E9" w14:textId="77777777" w:rsidR="00561903" w:rsidRPr="00F212A2" w:rsidRDefault="00561903" w:rsidP="00DC54F7">
            <w:pPr>
              <w:spacing w:after="0" w:line="240" w:lineRule="auto"/>
              <w:jc w:val="both"/>
              <w:rPr>
                <w:rFonts w:eastAsia="Times New Roman" w:cstheme="minorHAnsi"/>
                <w:b/>
                <w:bCs/>
                <w:color w:val="FFFFFF"/>
                <w:lang w:eastAsia="en-GB"/>
              </w:rPr>
            </w:pPr>
            <w:r w:rsidRPr="00F212A2">
              <w:rPr>
                <w:rFonts w:eastAsia="Times New Roman" w:cstheme="minorHAnsi"/>
                <w:b/>
                <w:bCs/>
                <w:color w:val="FFFFFF"/>
                <w:lang w:eastAsia="en-GB"/>
              </w:rPr>
              <w:t> </w:t>
            </w:r>
          </w:p>
        </w:tc>
      </w:tr>
      <w:tr w:rsidR="00EA5797" w:rsidRPr="00F212A2" w14:paraId="4EB26B5E" w14:textId="77777777" w:rsidTr="00EA5797">
        <w:trPr>
          <w:trHeight w:val="1418"/>
        </w:trPr>
        <w:tc>
          <w:tcPr>
            <w:tcW w:w="2122" w:type="dxa"/>
            <w:shd w:val="clear" w:color="auto" w:fill="8497B0"/>
            <w:vAlign w:val="center"/>
            <w:hideMark/>
          </w:tcPr>
          <w:p w14:paraId="453968E4" w14:textId="77777777" w:rsidR="00561903" w:rsidRPr="00F212A2" w:rsidRDefault="00561903" w:rsidP="00DC54F7">
            <w:pPr>
              <w:spacing w:after="0" w:line="240" w:lineRule="auto"/>
              <w:jc w:val="both"/>
              <w:rPr>
                <w:rFonts w:eastAsia="Times New Roman" w:cstheme="minorHAnsi"/>
                <w:b/>
                <w:bCs/>
                <w:color w:val="FFFFFF"/>
                <w:lang w:eastAsia="en-GB"/>
              </w:rPr>
            </w:pPr>
            <w:r w:rsidRPr="00F212A2">
              <w:rPr>
                <w:rFonts w:eastAsia="Times New Roman" w:cstheme="minorHAnsi"/>
                <w:b/>
                <w:bCs/>
                <w:color w:val="FFFFFF"/>
                <w:lang w:eastAsia="en-GB"/>
              </w:rPr>
              <w:t>GP Cluster Name</w:t>
            </w:r>
          </w:p>
        </w:tc>
        <w:tc>
          <w:tcPr>
            <w:tcW w:w="1239" w:type="dxa"/>
            <w:shd w:val="clear" w:color="auto" w:fill="8497B0"/>
            <w:vAlign w:val="center"/>
            <w:hideMark/>
          </w:tcPr>
          <w:p w14:paraId="4679D79B" w14:textId="77777777" w:rsidR="00561903" w:rsidRPr="00F212A2" w:rsidRDefault="00561903" w:rsidP="00DC54F7">
            <w:pPr>
              <w:spacing w:after="0" w:line="240" w:lineRule="auto"/>
              <w:jc w:val="both"/>
              <w:rPr>
                <w:rFonts w:eastAsia="Times New Roman" w:cstheme="minorHAnsi"/>
                <w:b/>
                <w:bCs/>
                <w:color w:val="FFFFFF"/>
                <w:lang w:eastAsia="en-GB"/>
              </w:rPr>
            </w:pPr>
            <w:r w:rsidRPr="00F212A2">
              <w:rPr>
                <w:rFonts w:eastAsia="Times New Roman" w:cstheme="minorHAnsi"/>
                <w:b/>
                <w:bCs/>
                <w:color w:val="FFFFFF"/>
                <w:lang w:eastAsia="en-GB"/>
              </w:rPr>
              <w:t>GP cluster population aged 16+</w:t>
            </w:r>
          </w:p>
        </w:tc>
        <w:tc>
          <w:tcPr>
            <w:tcW w:w="1239" w:type="dxa"/>
            <w:gridSpan w:val="2"/>
            <w:shd w:val="clear" w:color="auto" w:fill="8497B0"/>
            <w:vAlign w:val="center"/>
            <w:hideMark/>
          </w:tcPr>
          <w:p w14:paraId="4B513AE9" w14:textId="77777777" w:rsidR="00561903" w:rsidRPr="00F212A2" w:rsidRDefault="00561903" w:rsidP="00DC54F7">
            <w:pPr>
              <w:spacing w:after="0" w:line="240" w:lineRule="auto"/>
              <w:jc w:val="both"/>
              <w:rPr>
                <w:rFonts w:eastAsia="Times New Roman" w:cstheme="minorHAnsi"/>
                <w:b/>
                <w:bCs/>
                <w:color w:val="FFFFFF"/>
                <w:lang w:eastAsia="en-GB"/>
              </w:rPr>
            </w:pPr>
            <w:r w:rsidRPr="00F212A2">
              <w:rPr>
                <w:rFonts w:eastAsia="Times New Roman" w:cstheme="minorHAnsi"/>
                <w:b/>
                <w:bCs/>
                <w:color w:val="FFFFFF"/>
                <w:lang w:eastAsia="en-GB"/>
              </w:rPr>
              <w:t>Smoking</w:t>
            </w:r>
          </w:p>
        </w:tc>
        <w:tc>
          <w:tcPr>
            <w:tcW w:w="1240" w:type="dxa"/>
            <w:gridSpan w:val="2"/>
            <w:shd w:val="clear" w:color="auto" w:fill="8497B0"/>
            <w:vAlign w:val="center"/>
            <w:hideMark/>
          </w:tcPr>
          <w:p w14:paraId="064DE22D" w14:textId="77777777" w:rsidR="00561903" w:rsidRPr="00F212A2" w:rsidRDefault="00561903" w:rsidP="00DC54F7">
            <w:pPr>
              <w:spacing w:after="0" w:line="240" w:lineRule="auto"/>
              <w:jc w:val="both"/>
              <w:rPr>
                <w:rFonts w:eastAsia="Times New Roman" w:cstheme="minorHAnsi"/>
                <w:b/>
                <w:bCs/>
                <w:color w:val="FFFFFF"/>
                <w:lang w:eastAsia="en-GB"/>
              </w:rPr>
            </w:pPr>
            <w:r w:rsidRPr="00F212A2">
              <w:rPr>
                <w:rFonts w:eastAsia="Times New Roman" w:cstheme="minorHAnsi"/>
                <w:b/>
                <w:bCs/>
                <w:color w:val="FFFFFF"/>
                <w:lang w:eastAsia="en-GB"/>
              </w:rPr>
              <w:t>Drinking the above guidelines</w:t>
            </w:r>
          </w:p>
        </w:tc>
        <w:tc>
          <w:tcPr>
            <w:tcW w:w="1239" w:type="dxa"/>
            <w:gridSpan w:val="2"/>
            <w:shd w:val="clear" w:color="auto" w:fill="8497B0"/>
            <w:vAlign w:val="center"/>
            <w:hideMark/>
          </w:tcPr>
          <w:p w14:paraId="74EA908A" w14:textId="77777777" w:rsidR="00561903" w:rsidRPr="00F212A2" w:rsidRDefault="00561903" w:rsidP="00DC54F7">
            <w:pPr>
              <w:spacing w:after="0" w:line="240" w:lineRule="auto"/>
              <w:jc w:val="both"/>
              <w:rPr>
                <w:rFonts w:eastAsia="Times New Roman" w:cstheme="minorHAnsi"/>
                <w:b/>
                <w:bCs/>
                <w:color w:val="FFFFFF"/>
                <w:lang w:eastAsia="en-GB"/>
              </w:rPr>
            </w:pPr>
            <w:r w:rsidRPr="00F212A2">
              <w:rPr>
                <w:rFonts w:eastAsia="Times New Roman" w:cstheme="minorHAnsi"/>
                <w:b/>
                <w:bCs/>
                <w:color w:val="FFFFFF"/>
                <w:lang w:eastAsia="en-GB"/>
              </w:rPr>
              <w:t>Working age adults of healthy weight</w:t>
            </w:r>
          </w:p>
        </w:tc>
        <w:tc>
          <w:tcPr>
            <w:tcW w:w="1239" w:type="dxa"/>
            <w:gridSpan w:val="2"/>
            <w:shd w:val="clear" w:color="auto" w:fill="8497B0"/>
            <w:vAlign w:val="center"/>
            <w:hideMark/>
          </w:tcPr>
          <w:p w14:paraId="65B8072D" w14:textId="77777777" w:rsidR="00561903" w:rsidRPr="00F212A2" w:rsidRDefault="00561903" w:rsidP="00DC54F7">
            <w:pPr>
              <w:spacing w:after="0" w:line="240" w:lineRule="auto"/>
              <w:jc w:val="both"/>
              <w:rPr>
                <w:rFonts w:eastAsia="Times New Roman" w:cstheme="minorHAnsi"/>
                <w:b/>
                <w:bCs/>
                <w:color w:val="FFFFFF"/>
                <w:lang w:eastAsia="en-GB"/>
              </w:rPr>
            </w:pPr>
            <w:r w:rsidRPr="00F212A2">
              <w:rPr>
                <w:rFonts w:eastAsia="Times New Roman" w:cstheme="minorHAnsi"/>
                <w:b/>
                <w:bCs/>
                <w:color w:val="FFFFFF"/>
                <w:lang w:eastAsia="en-GB"/>
              </w:rPr>
              <w:t>Meeting physical activity guidelines</w:t>
            </w:r>
          </w:p>
        </w:tc>
        <w:tc>
          <w:tcPr>
            <w:tcW w:w="1240" w:type="dxa"/>
            <w:shd w:val="clear" w:color="auto" w:fill="8497B0"/>
            <w:vAlign w:val="center"/>
            <w:hideMark/>
          </w:tcPr>
          <w:p w14:paraId="5FF82BBA" w14:textId="77777777" w:rsidR="00561903" w:rsidRPr="00F212A2" w:rsidRDefault="00561903" w:rsidP="00DC54F7">
            <w:pPr>
              <w:spacing w:after="0" w:line="240" w:lineRule="auto"/>
              <w:jc w:val="both"/>
              <w:rPr>
                <w:rFonts w:eastAsia="Times New Roman" w:cstheme="minorHAnsi"/>
                <w:b/>
                <w:bCs/>
                <w:color w:val="FFFFFF"/>
                <w:lang w:eastAsia="en-GB"/>
              </w:rPr>
            </w:pPr>
            <w:r w:rsidRPr="00F212A2">
              <w:rPr>
                <w:rFonts w:eastAsia="Times New Roman" w:cstheme="minorHAnsi"/>
                <w:b/>
                <w:bCs/>
                <w:color w:val="FFFFFF"/>
                <w:lang w:eastAsia="en-GB"/>
              </w:rPr>
              <w:t>Consuming 5 a day</w:t>
            </w:r>
          </w:p>
        </w:tc>
      </w:tr>
      <w:tr w:rsidR="00EA5797" w:rsidRPr="00F212A2" w14:paraId="6E22D10D" w14:textId="77777777" w:rsidTr="00EA5797">
        <w:trPr>
          <w:trHeight w:val="324"/>
        </w:trPr>
        <w:tc>
          <w:tcPr>
            <w:tcW w:w="2122" w:type="dxa"/>
            <w:shd w:val="clear" w:color="000000" w:fill="F2F2F2"/>
            <w:noWrap/>
            <w:vAlign w:val="center"/>
            <w:hideMark/>
          </w:tcPr>
          <w:p w14:paraId="2DCDC519"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Eastern Vale</w:t>
            </w:r>
          </w:p>
        </w:tc>
        <w:tc>
          <w:tcPr>
            <w:tcW w:w="1239" w:type="dxa"/>
            <w:shd w:val="clear" w:color="000000" w:fill="F2F2F2"/>
            <w:noWrap/>
            <w:vAlign w:val="center"/>
            <w:hideMark/>
          </w:tcPr>
          <w:p w14:paraId="4A0F22A7"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30,400</w:t>
            </w:r>
          </w:p>
        </w:tc>
        <w:tc>
          <w:tcPr>
            <w:tcW w:w="1239" w:type="dxa"/>
            <w:gridSpan w:val="2"/>
            <w:shd w:val="clear" w:color="000000" w:fill="F2F2F2"/>
            <w:noWrap/>
            <w:vAlign w:val="center"/>
            <w:hideMark/>
          </w:tcPr>
          <w:p w14:paraId="41B140F3"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12.8</w:t>
            </w:r>
          </w:p>
        </w:tc>
        <w:tc>
          <w:tcPr>
            <w:tcW w:w="1240" w:type="dxa"/>
            <w:gridSpan w:val="2"/>
            <w:shd w:val="clear" w:color="000000" w:fill="F2F2F2"/>
            <w:noWrap/>
            <w:vAlign w:val="center"/>
            <w:hideMark/>
          </w:tcPr>
          <w:p w14:paraId="481593C7"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21.3</w:t>
            </w:r>
          </w:p>
        </w:tc>
        <w:tc>
          <w:tcPr>
            <w:tcW w:w="1239" w:type="dxa"/>
            <w:gridSpan w:val="2"/>
            <w:shd w:val="clear" w:color="000000" w:fill="F2F2F2"/>
            <w:noWrap/>
            <w:vAlign w:val="center"/>
            <w:hideMark/>
          </w:tcPr>
          <w:p w14:paraId="7ED3098A"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42.8</w:t>
            </w:r>
          </w:p>
        </w:tc>
        <w:tc>
          <w:tcPr>
            <w:tcW w:w="1239" w:type="dxa"/>
            <w:gridSpan w:val="2"/>
            <w:shd w:val="clear" w:color="000000" w:fill="F2F2F2"/>
            <w:noWrap/>
            <w:vAlign w:val="center"/>
            <w:hideMark/>
          </w:tcPr>
          <w:p w14:paraId="0121E195"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57.6</w:t>
            </w:r>
          </w:p>
        </w:tc>
        <w:tc>
          <w:tcPr>
            <w:tcW w:w="1240" w:type="dxa"/>
            <w:shd w:val="clear" w:color="000000" w:fill="F2F2F2"/>
            <w:noWrap/>
            <w:vAlign w:val="center"/>
            <w:hideMark/>
          </w:tcPr>
          <w:p w14:paraId="0BD7BAB8"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27.3</w:t>
            </w:r>
          </w:p>
        </w:tc>
      </w:tr>
      <w:tr w:rsidR="00EA5797" w:rsidRPr="00F212A2" w14:paraId="7A4E3D88" w14:textId="77777777" w:rsidTr="00EA5797">
        <w:trPr>
          <w:trHeight w:val="324"/>
        </w:trPr>
        <w:tc>
          <w:tcPr>
            <w:tcW w:w="2122" w:type="dxa"/>
            <w:shd w:val="clear" w:color="000000" w:fill="FFFFFF"/>
            <w:noWrap/>
            <w:vAlign w:val="center"/>
            <w:hideMark/>
          </w:tcPr>
          <w:p w14:paraId="48BACB82"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Cardiff and Vale UHB</w:t>
            </w:r>
          </w:p>
        </w:tc>
        <w:tc>
          <w:tcPr>
            <w:tcW w:w="1239" w:type="dxa"/>
            <w:shd w:val="clear" w:color="000000" w:fill="FFFFFF"/>
            <w:noWrap/>
            <w:vAlign w:val="center"/>
            <w:hideMark/>
          </w:tcPr>
          <w:p w14:paraId="411E0C20"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420,119</w:t>
            </w:r>
          </w:p>
        </w:tc>
        <w:tc>
          <w:tcPr>
            <w:tcW w:w="1239" w:type="dxa"/>
            <w:gridSpan w:val="2"/>
            <w:shd w:val="clear" w:color="000000" w:fill="FFFFFF"/>
            <w:noWrap/>
            <w:vAlign w:val="center"/>
            <w:hideMark/>
          </w:tcPr>
          <w:p w14:paraId="38C3EF8F"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19.3</w:t>
            </w:r>
          </w:p>
        </w:tc>
        <w:tc>
          <w:tcPr>
            <w:tcW w:w="1240" w:type="dxa"/>
            <w:gridSpan w:val="2"/>
            <w:shd w:val="clear" w:color="000000" w:fill="FFFFFF"/>
            <w:noWrap/>
            <w:vAlign w:val="center"/>
            <w:hideMark/>
          </w:tcPr>
          <w:p w14:paraId="4FCA02D0"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18.9</w:t>
            </w:r>
          </w:p>
        </w:tc>
        <w:tc>
          <w:tcPr>
            <w:tcW w:w="1239" w:type="dxa"/>
            <w:gridSpan w:val="2"/>
            <w:shd w:val="clear" w:color="000000" w:fill="FFFFFF"/>
            <w:noWrap/>
            <w:vAlign w:val="center"/>
            <w:hideMark/>
          </w:tcPr>
          <w:p w14:paraId="13DAB271"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40.8</w:t>
            </w:r>
          </w:p>
        </w:tc>
        <w:tc>
          <w:tcPr>
            <w:tcW w:w="1239" w:type="dxa"/>
            <w:gridSpan w:val="2"/>
            <w:shd w:val="clear" w:color="000000" w:fill="FFFFFF"/>
            <w:noWrap/>
            <w:vAlign w:val="center"/>
            <w:hideMark/>
          </w:tcPr>
          <w:p w14:paraId="47FC5A77"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55.1</w:t>
            </w:r>
          </w:p>
        </w:tc>
        <w:tc>
          <w:tcPr>
            <w:tcW w:w="1240" w:type="dxa"/>
            <w:shd w:val="clear" w:color="000000" w:fill="FFFFFF"/>
            <w:noWrap/>
            <w:vAlign w:val="center"/>
            <w:hideMark/>
          </w:tcPr>
          <w:p w14:paraId="372750A9"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24.2</w:t>
            </w:r>
          </w:p>
        </w:tc>
      </w:tr>
      <w:tr w:rsidR="00EA5797" w:rsidRPr="00F212A2" w14:paraId="4262FEA9" w14:textId="77777777" w:rsidTr="00EA5797">
        <w:trPr>
          <w:trHeight w:val="324"/>
        </w:trPr>
        <w:tc>
          <w:tcPr>
            <w:tcW w:w="2122" w:type="dxa"/>
            <w:shd w:val="clear" w:color="000000" w:fill="F2F2F2"/>
            <w:noWrap/>
            <w:vAlign w:val="center"/>
            <w:hideMark/>
          </w:tcPr>
          <w:p w14:paraId="269B77F4"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Wales</w:t>
            </w:r>
          </w:p>
        </w:tc>
        <w:tc>
          <w:tcPr>
            <w:tcW w:w="1239" w:type="dxa"/>
            <w:shd w:val="clear" w:color="000000" w:fill="F2F2F2"/>
            <w:noWrap/>
            <w:vAlign w:val="center"/>
            <w:hideMark/>
          </w:tcPr>
          <w:p w14:paraId="355594B2"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2,642,152</w:t>
            </w:r>
          </w:p>
        </w:tc>
        <w:tc>
          <w:tcPr>
            <w:tcW w:w="1239" w:type="dxa"/>
            <w:gridSpan w:val="2"/>
            <w:shd w:val="clear" w:color="000000" w:fill="F2F2F2"/>
            <w:noWrap/>
            <w:vAlign w:val="center"/>
            <w:hideMark/>
          </w:tcPr>
          <w:p w14:paraId="2F364E53"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19.2</w:t>
            </w:r>
          </w:p>
        </w:tc>
        <w:tc>
          <w:tcPr>
            <w:tcW w:w="1240" w:type="dxa"/>
            <w:gridSpan w:val="2"/>
            <w:shd w:val="clear" w:color="000000" w:fill="F2F2F2"/>
            <w:noWrap/>
            <w:vAlign w:val="center"/>
            <w:hideMark/>
          </w:tcPr>
          <w:p w14:paraId="5167A1F0"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18.9</w:t>
            </w:r>
          </w:p>
        </w:tc>
        <w:tc>
          <w:tcPr>
            <w:tcW w:w="1239" w:type="dxa"/>
            <w:gridSpan w:val="2"/>
            <w:shd w:val="clear" w:color="000000" w:fill="F2F2F2"/>
            <w:noWrap/>
            <w:vAlign w:val="center"/>
            <w:hideMark/>
          </w:tcPr>
          <w:p w14:paraId="0FBC6196"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39.1</w:t>
            </w:r>
          </w:p>
        </w:tc>
        <w:tc>
          <w:tcPr>
            <w:tcW w:w="1239" w:type="dxa"/>
            <w:gridSpan w:val="2"/>
            <w:shd w:val="clear" w:color="000000" w:fill="F2F2F2"/>
            <w:noWrap/>
            <w:vAlign w:val="center"/>
            <w:hideMark/>
          </w:tcPr>
          <w:p w14:paraId="48F87276"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52.8</w:t>
            </w:r>
          </w:p>
        </w:tc>
        <w:tc>
          <w:tcPr>
            <w:tcW w:w="1240" w:type="dxa"/>
            <w:shd w:val="clear" w:color="000000" w:fill="F2F2F2"/>
            <w:noWrap/>
            <w:vAlign w:val="center"/>
            <w:hideMark/>
          </w:tcPr>
          <w:p w14:paraId="7E4BF0D4" w14:textId="77777777" w:rsidR="00561903" w:rsidRPr="00F212A2" w:rsidRDefault="00561903" w:rsidP="00DC54F7">
            <w:pPr>
              <w:spacing w:after="0" w:line="240" w:lineRule="auto"/>
              <w:jc w:val="both"/>
              <w:rPr>
                <w:rFonts w:eastAsia="Times New Roman" w:cstheme="minorHAnsi"/>
                <w:color w:val="000000"/>
                <w:lang w:eastAsia="en-GB"/>
              </w:rPr>
            </w:pPr>
            <w:r w:rsidRPr="00F212A2">
              <w:rPr>
                <w:rFonts w:eastAsia="Times New Roman" w:cstheme="minorHAnsi"/>
                <w:color w:val="000000"/>
                <w:lang w:eastAsia="en-GB"/>
              </w:rPr>
              <w:t>23.4</w:t>
            </w:r>
          </w:p>
        </w:tc>
      </w:tr>
    </w:tbl>
    <w:p w14:paraId="19A634A4" w14:textId="31EC1B62" w:rsidR="007F5DC9" w:rsidRDefault="007F5DC9" w:rsidP="005C6BB3">
      <w:pPr>
        <w:spacing w:after="0" w:line="240" w:lineRule="auto"/>
        <w:jc w:val="both"/>
        <w:rPr>
          <w:rFonts w:ascii="Arial" w:hAnsi="Arial" w:cs="Arial"/>
          <w:sz w:val="20"/>
          <w:szCs w:val="20"/>
        </w:rPr>
      </w:pPr>
      <w:r w:rsidRPr="00DD3817">
        <w:rPr>
          <w:rFonts w:ascii="Arial" w:hAnsi="Arial" w:cs="Arial"/>
          <w:sz w:val="20"/>
          <w:szCs w:val="20"/>
        </w:rPr>
        <w:t>Source: Public Health Wales Observatory, using NSW (WG), WDS (NWIS) and WIMD 2014 (WG). Please note, the calculation of the healthy weight indicator only accounts for working age adults (aged 16-64)</w:t>
      </w:r>
    </w:p>
    <w:p w14:paraId="49E34FE6" w14:textId="307D0778" w:rsidR="005C6BB3" w:rsidRDefault="005C6BB3" w:rsidP="005C6BB3">
      <w:pPr>
        <w:spacing w:after="0" w:line="240" w:lineRule="auto"/>
        <w:jc w:val="both"/>
        <w:rPr>
          <w:rFonts w:ascii="Arial" w:hAnsi="Arial" w:cs="Arial"/>
          <w:sz w:val="20"/>
          <w:szCs w:val="20"/>
        </w:rPr>
      </w:pPr>
    </w:p>
    <w:p w14:paraId="47944310" w14:textId="77777777" w:rsidR="005C6BB3" w:rsidRDefault="005C6BB3" w:rsidP="005C6BB3">
      <w:pPr>
        <w:spacing w:after="0" w:line="240" w:lineRule="auto"/>
        <w:jc w:val="both"/>
        <w:rPr>
          <w:rFonts w:ascii="Arial" w:hAnsi="Arial" w:cs="Arial"/>
          <w:sz w:val="20"/>
          <w:szCs w:val="20"/>
        </w:rPr>
      </w:pPr>
    </w:p>
    <w:p w14:paraId="70434BE6" w14:textId="44C8B6CE" w:rsidR="00944DAE" w:rsidRPr="00E40C72" w:rsidRDefault="00F212A2" w:rsidP="005C6BB3">
      <w:pPr>
        <w:spacing w:after="0" w:line="240" w:lineRule="auto"/>
        <w:jc w:val="both"/>
        <w:rPr>
          <w:rFonts w:ascii="Arial" w:hAnsi="Arial" w:cs="Arial"/>
          <w:b/>
          <w:bCs/>
          <w:sz w:val="24"/>
          <w:szCs w:val="24"/>
        </w:rPr>
      </w:pPr>
      <w:r>
        <w:rPr>
          <w:rFonts w:ascii="Arial" w:hAnsi="Arial" w:cs="Arial"/>
          <w:b/>
          <w:bCs/>
          <w:sz w:val="24"/>
          <w:szCs w:val="24"/>
        </w:rPr>
        <w:t xml:space="preserve">15.1.5 </w:t>
      </w:r>
      <w:r w:rsidR="00944DAE" w:rsidRPr="00E40C72">
        <w:rPr>
          <w:rFonts w:ascii="Arial" w:hAnsi="Arial" w:cs="Arial"/>
          <w:b/>
          <w:bCs/>
          <w:sz w:val="24"/>
          <w:szCs w:val="24"/>
        </w:rPr>
        <w:t>Cluster developments</w:t>
      </w:r>
    </w:p>
    <w:p w14:paraId="54F47397" w14:textId="075FC3CE" w:rsidR="00371366" w:rsidRPr="00F212A2" w:rsidRDefault="001C06CC" w:rsidP="00DC54F7">
      <w:pPr>
        <w:spacing w:after="0" w:line="240" w:lineRule="auto"/>
        <w:jc w:val="both"/>
        <w:rPr>
          <w:rFonts w:ascii="Arial" w:hAnsi="Arial" w:cs="Arial"/>
          <w:sz w:val="24"/>
          <w:szCs w:val="24"/>
        </w:rPr>
      </w:pPr>
      <w:r w:rsidRPr="00F212A2">
        <w:rPr>
          <w:rFonts w:ascii="Arial" w:hAnsi="Arial" w:cs="Arial"/>
          <w:sz w:val="24"/>
          <w:szCs w:val="24"/>
        </w:rPr>
        <w:t xml:space="preserve">There are several </w:t>
      </w:r>
      <w:r w:rsidR="002D35EC" w:rsidRPr="00F212A2">
        <w:rPr>
          <w:rFonts w:ascii="Arial" w:hAnsi="Arial" w:cs="Arial"/>
          <w:sz w:val="24"/>
          <w:szCs w:val="24"/>
        </w:rPr>
        <w:t xml:space="preserve">housing developments </w:t>
      </w:r>
      <w:r w:rsidR="002C3521" w:rsidRPr="00F212A2">
        <w:rPr>
          <w:rFonts w:ascii="Arial" w:hAnsi="Arial" w:cs="Arial"/>
          <w:sz w:val="24"/>
          <w:szCs w:val="24"/>
        </w:rPr>
        <w:t xml:space="preserve">planned </w:t>
      </w:r>
      <w:r w:rsidR="002D35EC" w:rsidRPr="00F212A2">
        <w:rPr>
          <w:rFonts w:ascii="Arial" w:hAnsi="Arial" w:cs="Arial"/>
          <w:sz w:val="24"/>
          <w:szCs w:val="24"/>
        </w:rPr>
        <w:t xml:space="preserve">within the </w:t>
      </w:r>
      <w:r w:rsidR="00E54181" w:rsidRPr="00F212A2">
        <w:rPr>
          <w:rFonts w:ascii="Arial" w:hAnsi="Arial" w:cs="Arial"/>
          <w:sz w:val="24"/>
          <w:szCs w:val="24"/>
        </w:rPr>
        <w:t xml:space="preserve">cluster to meet the </w:t>
      </w:r>
      <w:r w:rsidR="00411CC1" w:rsidRPr="00F212A2">
        <w:rPr>
          <w:rFonts w:ascii="Arial" w:hAnsi="Arial" w:cs="Arial"/>
          <w:sz w:val="24"/>
          <w:szCs w:val="24"/>
        </w:rPr>
        <w:t xml:space="preserve">housing needs </w:t>
      </w:r>
      <w:r w:rsidR="006164E4" w:rsidRPr="00F212A2">
        <w:rPr>
          <w:rFonts w:ascii="Arial" w:hAnsi="Arial" w:cs="Arial"/>
          <w:sz w:val="24"/>
          <w:szCs w:val="24"/>
        </w:rPr>
        <w:t xml:space="preserve">of </w:t>
      </w:r>
      <w:r w:rsidR="00411CC1" w:rsidRPr="00F212A2">
        <w:rPr>
          <w:rFonts w:ascii="Arial" w:hAnsi="Arial" w:cs="Arial"/>
          <w:sz w:val="24"/>
          <w:szCs w:val="24"/>
        </w:rPr>
        <w:t xml:space="preserve">the </w:t>
      </w:r>
      <w:r w:rsidR="00E54181" w:rsidRPr="00F212A2">
        <w:rPr>
          <w:rFonts w:ascii="Arial" w:hAnsi="Arial" w:cs="Arial"/>
          <w:sz w:val="24"/>
          <w:szCs w:val="24"/>
        </w:rPr>
        <w:t xml:space="preserve">predicted </w:t>
      </w:r>
      <w:r w:rsidR="00411CC1" w:rsidRPr="00F212A2">
        <w:rPr>
          <w:rFonts w:ascii="Arial" w:hAnsi="Arial" w:cs="Arial"/>
          <w:sz w:val="24"/>
          <w:szCs w:val="24"/>
        </w:rPr>
        <w:t>growth in population in the Vale of Glamorgan</w:t>
      </w:r>
      <w:r w:rsidR="00E54181" w:rsidRPr="00F212A2">
        <w:rPr>
          <w:rFonts w:ascii="Arial" w:hAnsi="Arial" w:cs="Arial"/>
          <w:sz w:val="24"/>
          <w:szCs w:val="24"/>
        </w:rPr>
        <w:t xml:space="preserve">. </w:t>
      </w:r>
      <w:r w:rsidR="00371366" w:rsidRPr="00F212A2">
        <w:rPr>
          <w:rFonts w:ascii="Arial" w:hAnsi="Arial" w:cs="Arial"/>
          <w:sz w:val="24"/>
          <w:szCs w:val="24"/>
        </w:rPr>
        <w:t xml:space="preserve">The biggest housing development </w:t>
      </w:r>
      <w:r w:rsidR="000855DB" w:rsidRPr="00F212A2">
        <w:rPr>
          <w:rFonts w:ascii="Arial" w:hAnsi="Arial" w:cs="Arial"/>
          <w:sz w:val="24"/>
          <w:szCs w:val="24"/>
        </w:rPr>
        <w:t xml:space="preserve">is </w:t>
      </w:r>
      <w:r w:rsidR="00C87087" w:rsidRPr="00F212A2">
        <w:rPr>
          <w:rFonts w:ascii="Arial" w:hAnsi="Arial" w:cs="Arial"/>
          <w:sz w:val="24"/>
          <w:szCs w:val="24"/>
        </w:rPr>
        <w:t xml:space="preserve">on land on the </w:t>
      </w:r>
      <w:r w:rsidR="00C30CB1" w:rsidRPr="00F212A2">
        <w:rPr>
          <w:rFonts w:ascii="Arial" w:hAnsi="Arial" w:cs="Arial"/>
          <w:sz w:val="24"/>
          <w:szCs w:val="24"/>
        </w:rPr>
        <w:t>Upper Cosmeston Farm in Lavernock</w:t>
      </w:r>
      <w:r w:rsidR="009D1545" w:rsidRPr="00F212A2">
        <w:rPr>
          <w:rFonts w:ascii="Arial" w:hAnsi="Arial" w:cs="Arial"/>
          <w:sz w:val="24"/>
          <w:szCs w:val="24"/>
        </w:rPr>
        <w:t xml:space="preserve">, which </w:t>
      </w:r>
      <w:r w:rsidR="000855DB" w:rsidRPr="00F212A2">
        <w:rPr>
          <w:rFonts w:ascii="Arial" w:hAnsi="Arial" w:cs="Arial"/>
          <w:sz w:val="24"/>
          <w:szCs w:val="24"/>
        </w:rPr>
        <w:t xml:space="preserve">is </w:t>
      </w:r>
      <w:r w:rsidR="00371366" w:rsidRPr="00F212A2">
        <w:rPr>
          <w:rFonts w:ascii="Arial" w:hAnsi="Arial" w:cs="Arial"/>
          <w:sz w:val="24"/>
          <w:szCs w:val="24"/>
        </w:rPr>
        <w:t xml:space="preserve">expected to be completed within the lifetime of this PNA. Other housing developments in the cluster </w:t>
      </w:r>
      <w:r w:rsidR="009D1545" w:rsidRPr="00F212A2">
        <w:rPr>
          <w:rFonts w:ascii="Arial" w:hAnsi="Arial" w:cs="Arial"/>
          <w:sz w:val="24"/>
          <w:szCs w:val="24"/>
        </w:rPr>
        <w:t xml:space="preserve">are smaller and </w:t>
      </w:r>
      <w:r w:rsidR="00371366" w:rsidRPr="00F212A2">
        <w:rPr>
          <w:rFonts w:ascii="Arial" w:hAnsi="Arial" w:cs="Arial"/>
          <w:sz w:val="24"/>
          <w:szCs w:val="24"/>
        </w:rPr>
        <w:t>include:</w:t>
      </w:r>
    </w:p>
    <w:p w14:paraId="7472E43F" w14:textId="77777777" w:rsidR="00EA5797" w:rsidRDefault="00EA5797" w:rsidP="00DC54F7">
      <w:pPr>
        <w:spacing w:after="0" w:line="240" w:lineRule="auto"/>
        <w:jc w:val="both"/>
        <w:rPr>
          <w:rFonts w:ascii="Arial" w:hAnsi="Arial" w:cs="Arial"/>
          <w:b/>
          <w:bCs/>
          <w:sz w:val="20"/>
          <w:szCs w:val="20"/>
        </w:rPr>
      </w:pPr>
    </w:p>
    <w:p w14:paraId="7FA973FC" w14:textId="60B0A9E7" w:rsidR="00BB2CEE" w:rsidRPr="00B3225B" w:rsidRDefault="00900232" w:rsidP="00DC54F7">
      <w:pPr>
        <w:spacing w:after="0" w:line="240" w:lineRule="auto"/>
        <w:jc w:val="both"/>
        <w:rPr>
          <w:rFonts w:ascii="Arial" w:hAnsi="Arial" w:cs="Arial"/>
          <w:b/>
          <w:bCs/>
        </w:rPr>
      </w:pPr>
      <w:r>
        <w:rPr>
          <w:rFonts w:ascii="Arial" w:hAnsi="Arial" w:cs="Arial"/>
          <w:b/>
          <w:bCs/>
        </w:rPr>
        <w:t xml:space="preserve">Key settlement: </w:t>
      </w:r>
      <w:r w:rsidR="00D21FC0" w:rsidRPr="00B3225B">
        <w:rPr>
          <w:rFonts w:ascii="Arial" w:hAnsi="Arial" w:cs="Arial"/>
          <w:b/>
          <w:bCs/>
        </w:rPr>
        <w:t xml:space="preserve">Penarth </w:t>
      </w:r>
    </w:p>
    <w:tbl>
      <w:tblPr>
        <w:tblStyle w:val="TableGrid"/>
        <w:tblW w:w="9356" w:type="dxa"/>
        <w:tblInd w:w="-5" w:type="dxa"/>
        <w:tblLook w:val="04A0" w:firstRow="1" w:lastRow="0" w:firstColumn="1" w:lastColumn="0" w:noHBand="0" w:noVBand="1"/>
      </w:tblPr>
      <w:tblGrid>
        <w:gridCol w:w="5387"/>
        <w:gridCol w:w="1276"/>
        <w:gridCol w:w="2693"/>
      </w:tblGrid>
      <w:tr w:rsidR="00142836" w14:paraId="45CE1DA8" w14:textId="7C7E38BD" w:rsidTr="00EA5797">
        <w:trPr>
          <w:trHeight w:val="290"/>
        </w:trPr>
        <w:tc>
          <w:tcPr>
            <w:tcW w:w="5387" w:type="dxa"/>
            <w:shd w:val="clear" w:color="auto" w:fill="8497B0"/>
          </w:tcPr>
          <w:p w14:paraId="1DE3AA19" w14:textId="774C2D71" w:rsidR="00142836" w:rsidRPr="000B1A6A" w:rsidRDefault="00142836" w:rsidP="00DC54F7">
            <w:pPr>
              <w:pStyle w:val="ListParagraph"/>
              <w:ind w:left="0"/>
              <w:jc w:val="both"/>
              <w:rPr>
                <w:rFonts w:ascii="Arial" w:hAnsi="Arial" w:cs="Arial"/>
                <w:color w:val="FFFFFF" w:themeColor="background1"/>
              </w:rPr>
            </w:pPr>
            <w:bookmarkStart w:id="52" w:name="_Hlk68450733"/>
            <w:r w:rsidRPr="000B1A6A">
              <w:rPr>
                <w:rFonts w:ascii="Arial" w:hAnsi="Arial" w:cs="Arial"/>
                <w:b/>
                <w:bCs/>
                <w:color w:val="FFFFFF" w:themeColor="background1"/>
              </w:rPr>
              <w:t xml:space="preserve">Housing site </w:t>
            </w:r>
          </w:p>
        </w:tc>
        <w:tc>
          <w:tcPr>
            <w:tcW w:w="1276" w:type="dxa"/>
            <w:shd w:val="clear" w:color="auto" w:fill="8497B0"/>
          </w:tcPr>
          <w:p w14:paraId="42014558" w14:textId="5D7C4532" w:rsidR="00142836" w:rsidRPr="000B1A6A" w:rsidRDefault="00142836" w:rsidP="00DC54F7">
            <w:pPr>
              <w:pStyle w:val="ListParagraph"/>
              <w:ind w:left="0"/>
              <w:jc w:val="both"/>
              <w:rPr>
                <w:rFonts w:ascii="Arial" w:hAnsi="Arial" w:cs="Arial"/>
                <w:color w:val="FFFFFF" w:themeColor="background1"/>
              </w:rPr>
            </w:pPr>
            <w:r w:rsidRPr="000B1A6A">
              <w:rPr>
                <w:rFonts w:ascii="Arial" w:hAnsi="Arial" w:cs="Arial"/>
                <w:b/>
                <w:bCs/>
                <w:color w:val="FFFFFF" w:themeColor="background1"/>
              </w:rPr>
              <w:t>Number</w:t>
            </w:r>
          </w:p>
        </w:tc>
        <w:tc>
          <w:tcPr>
            <w:tcW w:w="2693" w:type="dxa"/>
            <w:shd w:val="clear" w:color="auto" w:fill="8497B0"/>
          </w:tcPr>
          <w:p w14:paraId="11539D4E" w14:textId="03776DBA" w:rsidR="00142836" w:rsidRPr="000B1A6A" w:rsidRDefault="00142836" w:rsidP="00DC54F7">
            <w:pPr>
              <w:pStyle w:val="ListParagraph"/>
              <w:ind w:left="0"/>
              <w:jc w:val="both"/>
              <w:rPr>
                <w:rFonts w:ascii="Arial" w:hAnsi="Arial" w:cs="Arial"/>
                <w:color w:val="FFFFFF" w:themeColor="background1"/>
              </w:rPr>
            </w:pPr>
            <w:r w:rsidRPr="000B1A6A">
              <w:rPr>
                <w:rFonts w:ascii="Arial" w:hAnsi="Arial" w:cs="Arial"/>
                <w:b/>
                <w:bCs/>
                <w:color w:val="FFFFFF" w:themeColor="background1"/>
              </w:rPr>
              <w:t>Complete at April 2020</w:t>
            </w:r>
          </w:p>
        </w:tc>
      </w:tr>
      <w:tr w:rsidR="00142836" w14:paraId="54034154" w14:textId="420B58FF" w:rsidTr="00EA5797">
        <w:trPr>
          <w:trHeight w:val="290"/>
        </w:trPr>
        <w:tc>
          <w:tcPr>
            <w:tcW w:w="5387" w:type="dxa"/>
          </w:tcPr>
          <w:p w14:paraId="32B60AED" w14:textId="00BFA90A" w:rsidR="00142836" w:rsidRDefault="00142836" w:rsidP="00DC54F7">
            <w:pPr>
              <w:pStyle w:val="ListParagraph"/>
              <w:ind w:left="0"/>
              <w:jc w:val="both"/>
              <w:rPr>
                <w:rFonts w:ascii="Arial" w:hAnsi="Arial" w:cs="Arial"/>
              </w:rPr>
            </w:pPr>
            <w:bookmarkStart w:id="53" w:name="_Hlk68449853"/>
            <w:bookmarkEnd w:id="52"/>
            <w:r w:rsidRPr="00BB2CEE">
              <w:rPr>
                <w:rFonts w:ascii="Arial" w:hAnsi="Arial" w:cs="Arial"/>
              </w:rPr>
              <w:t xml:space="preserve">Land at Upper Cosmeston Farm, Lavernock  </w:t>
            </w:r>
          </w:p>
        </w:tc>
        <w:tc>
          <w:tcPr>
            <w:tcW w:w="1276" w:type="dxa"/>
          </w:tcPr>
          <w:p w14:paraId="0CCDF381" w14:textId="2363F95D" w:rsidR="00142836" w:rsidRDefault="00142836" w:rsidP="00DC54F7">
            <w:pPr>
              <w:pStyle w:val="ListParagraph"/>
              <w:ind w:left="0"/>
              <w:jc w:val="both"/>
              <w:rPr>
                <w:rFonts w:ascii="Arial" w:hAnsi="Arial" w:cs="Arial"/>
              </w:rPr>
            </w:pPr>
            <w:r>
              <w:rPr>
                <w:rFonts w:ascii="Arial" w:hAnsi="Arial" w:cs="Arial"/>
              </w:rPr>
              <w:t>576</w:t>
            </w:r>
          </w:p>
        </w:tc>
        <w:tc>
          <w:tcPr>
            <w:tcW w:w="2693" w:type="dxa"/>
          </w:tcPr>
          <w:p w14:paraId="486212BE" w14:textId="138C8F9D" w:rsidR="00142836" w:rsidRDefault="00BC52C2" w:rsidP="00DC54F7">
            <w:pPr>
              <w:pStyle w:val="ListParagraph"/>
              <w:ind w:left="0"/>
              <w:jc w:val="both"/>
              <w:rPr>
                <w:rFonts w:ascii="Arial" w:hAnsi="Arial" w:cs="Arial"/>
              </w:rPr>
            </w:pPr>
            <w:r>
              <w:rPr>
                <w:rFonts w:ascii="Arial" w:hAnsi="Arial" w:cs="Arial"/>
              </w:rPr>
              <w:t>0</w:t>
            </w:r>
          </w:p>
        </w:tc>
      </w:tr>
      <w:tr w:rsidR="00142836" w14:paraId="20302A62" w14:textId="4F1BA1E9" w:rsidTr="00EA5797">
        <w:trPr>
          <w:trHeight w:val="290"/>
        </w:trPr>
        <w:tc>
          <w:tcPr>
            <w:tcW w:w="5387" w:type="dxa"/>
          </w:tcPr>
          <w:p w14:paraId="1BEE0677" w14:textId="3FA37144" w:rsidR="00142836" w:rsidRDefault="00142836" w:rsidP="00DC54F7">
            <w:pPr>
              <w:pStyle w:val="ListParagraph"/>
              <w:ind w:left="0"/>
              <w:jc w:val="both"/>
              <w:rPr>
                <w:rFonts w:ascii="Arial" w:hAnsi="Arial" w:cs="Arial"/>
              </w:rPr>
            </w:pPr>
            <w:r w:rsidRPr="00BB2CEE">
              <w:rPr>
                <w:rFonts w:ascii="Arial" w:hAnsi="Arial" w:cs="Arial"/>
              </w:rPr>
              <w:t>Land adjoining St. Josephs School, Sully Road</w:t>
            </w:r>
          </w:p>
        </w:tc>
        <w:tc>
          <w:tcPr>
            <w:tcW w:w="1276" w:type="dxa"/>
          </w:tcPr>
          <w:p w14:paraId="157AB9A2" w14:textId="4BF1415F" w:rsidR="00142836" w:rsidRDefault="00142836" w:rsidP="00DC54F7">
            <w:pPr>
              <w:pStyle w:val="ListParagraph"/>
              <w:ind w:left="0"/>
              <w:jc w:val="both"/>
              <w:rPr>
                <w:rFonts w:ascii="Arial" w:hAnsi="Arial" w:cs="Arial"/>
              </w:rPr>
            </w:pPr>
            <w:r>
              <w:rPr>
                <w:rFonts w:ascii="Arial" w:hAnsi="Arial" w:cs="Arial"/>
              </w:rPr>
              <w:t>74</w:t>
            </w:r>
          </w:p>
        </w:tc>
        <w:tc>
          <w:tcPr>
            <w:tcW w:w="2693" w:type="dxa"/>
          </w:tcPr>
          <w:p w14:paraId="721F5197" w14:textId="68B56FBD" w:rsidR="00142836" w:rsidRDefault="00BC52C2" w:rsidP="00DC54F7">
            <w:pPr>
              <w:pStyle w:val="ListParagraph"/>
              <w:ind w:left="0"/>
              <w:jc w:val="both"/>
              <w:rPr>
                <w:rFonts w:ascii="Arial" w:hAnsi="Arial" w:cs="Arial"/>
              </w:rPr>
            </w:pPr>
            <w:r>
              <w:rPr>
                <w:rFonts w:ascii="Arial" w:hAnsi="Arial" w:cs="Arial"/>
              </w:rPr>
              <w:t>74</w:t>
            </w:r>
          </w:p>
        </w:tc>
      </w:tr>
      <w:tr w:rsidR="00142836" w14:paraId="34A71AEF" w14:textId="0A409E7E" w:rsidTr="00EA5797">
        <w:trPr>
          <w:trHeight w:val="290"/>
        </w:trPr>
        <w:tc>
          <w:tcPr>
            <w:tcW w:w="5387" w:type="dxa"/>
          </w:tcPr>
          <w:p w14:paraId="72D6C3B8" w14:textId="21D40B66" w:rsidR="00142836" w:rsidRDefault="00142836" w:rsidP="00DC54F7">
            <w:pPr>
              <w:pStyle w:val="ListParagraph"/>
              <w:ind w:left="0"/>
              <w:jc w:val="both"/>
              <w:rPr>
                <w:rFonts w:ascii="Arial" w:hAnsi="Arial" w:cs="Arial"/>
              </w:rPr>
            </w:pPr>
            <w:r w:rsidRPr="00BB2CEE">
              <w:rPr>
                <w:rFonts w:ascii="Arial" w:hAnsi="Arial" w:cs="Arial"/>
              </w:rPr>
              <w:t>Headlands School, St. Augustine’s Road</w:t>
            </w:r>
          </w:p>
        </w:tc>
        <w:tc>
          <w:tcPr>
            <w:tcW w:w="1276" w:type="dxa"/>
          </w:tcPr>
          <w:p w14:paraId="341F6D0B" w14:textId="6E85A899" w:rsidR="00142836" w:rsidRDefault="00142836" w:rsidP="00DC54F7">
            <w:pPr>
              <w:pStyle w:val="ListParagraph"/>
              <w:ind w:left="0"/>
              <w:jc w:val="both"/>
              <w:rPr>
                <w:rFonts w:ascii="Arial" w:hAnsi="Arial" w:cs="Arial"/>
              </w:rPr>
            </w:pPr>
            <w:r>
              <w:rPr>
                <w:rFonts w:ascii="Arial" w:hAnsi="Arial" w:cs="Arial"/>
              </w:rPr>
              <w:t>65</w:t>
            </w:r>
          </w:p>
        </w:tc>
        <w:tc>
          <w:tcPr>
            <w:tcW w:w="2693" w:type="dxa"/>
          </w:tcPr>
          <w:p w14:paraId="6C0CF328" w14:textId="126E275F" w:rsidR="00142836" w:rsidRDefault="00BC52C2" w:rsidP="00DC54F7">
            <w:pPr>
              <w:pStyle w:val="ListParagraph"/>
              <w:ind w:left="0"/>
              <w:jc w:val="both"/>
              <w:rPr>
                <w:rFonts w:ascii="Arial" w:hAnsi="Arial" w:cs="Arial"/>
              </w:rPr>
            </w:pPr>
            <w:r>
              <w:rPr>
                <w:rFonts w:ascii="Arial" w:hAnsi="Arial" w:cs="Arial"/>
              </w:rPr>
              <w:t>0</w:t>
            </w:r>
          </w:p>
        </w:tc>
      </w:tr>
      <w:tr w:rsidR="00142836" w14:paraId="4592AD75" w14:textId="484C0DB1" w:rsidTr="00EA5797">
        <w:trPr>
          <w:trHeight w:val="290"/>
        </w:trPr>
        <w:tc>
          <w:tcPr>
            <w:tcW w:w="5387" w:type="dxa"/>
          </w:tcPr>
          <w:p w14:paraId="09C117CC" w14:textId="78948CC1" w:rsidR="00142836" w:rsidRDefault="00142836" w:rsidP="00DC54F7">
            <w:pPr>
              <w:pStyle w:val="ListParagraph"/>
              <w:ind w:left="0"/>
              <w:jc w:val="both"/>
              <w:rPr>
                <w:rFonts w:ascii="Arial" w:hAnsi="Arial" w:cs="Arial"/>
              </w:rPr>
            </w:pPr>
            <w:r w:rsidRPr="00BB2CEE">
              <w:rPr>
                <w:rFonts w:ascii="Arial" w:hAnsi="Arial" w:cs="Arial"/>
              </w:rPr>
              <w:t>Land adjacent to Oak Court, Penarth</w:t>
            </w:r>
          </w:p>
        </w:tc>
        <w:tc>
          <w:tcPr>
            <w:tcW w:w="1276" w:type="dxa"/>
          </w:tcPr>
          <w:p w14:paraId="4FBA9FD6" w14:textId="3635B789" w:rsidR="00142836" w:rsidRDefault="00142836" w:rsidP="00DC54F7">
            <w:pPr>
              <w:pStyle w:val="ListParagraph"/>
              <w:ind w:left="0"/>
              <w:jc w:val="both"/>
              <w:rPr>
                <w:rFonts w:ascii="Arial" w:hAnsi="Arial" w:cs="Arial"/>
              </w:rPr>
            </w:pPr>
            <w:r>
              <w:rPr>
                <w:rFonts w:ascii="Arial" w:hAnsi="Arial" w:cs="Arial"/>
              </w:rPr>
              <w:t>145</w:t>
            </w:r>
          </w:p>
        </w:tc>
        <w:tc>
          <w:tcPr>
            <w:tcW w:w="2693" w:type="dxa"/>
          </w:tcPr>
          <w:p w14:paraId="28B62607" w14:textId="3B855CE1" w:rsidR="00142836" w:rsidRDefault="00B3225B" w:rsidP="00DC54F7">
            <w:pPr>
              <w:pStyle w:val="ListParagraph"/>
              <w:ind w:left="0"/>
              <w:jc w:val="both"/>
              <w:rPr>
                <w:rFonts w:ascii="Arial" w:hAnsi="Arial" w:cs="Arial"/>
              </w:rPr>
            </w:pPr>
            <w:r>
              <w:rPr>
                <w:rFonts w:ascii="Arial" w:hAnsi="Arial" w:cs="Arial"/>
              </w:rPr>
              <w:t>0</w:t>
            </w:r>
          </w:p>
        </w:tc>
      </w:tr>
      <w:tr w:rsidR="00142836" w14:paraId="79C55977" w14:textId="0551BC42" w:rsidTr="00EA5797">
        <w:trPr>
          <w:trHeight w:val="290"/>
        </w:trPr>
        <w:tc>
          <w:tcPr>
            <w:tcW w:w="5387" w:type="dxa"/>
          </w:tcPr>
          <w:p w14:paraId="27153DBE" w14:textId="1E31F46E" w:rsidR="00142836" w:rsidRDefault="00142836" w:rsidP="00DC54F7">
            <w:pPr>
              <w:pStyle w:val="ListParagraph"/>
              <w:ind w:left="0"/>
              <w:jc w:val="both"/>
              <w:rPr>
                <w:rFonts w:ascii="Arial" w:hAnsi="Arial" w:cs="Arial"/>
              </w:rPr>
            </w:pPr>
            <w:r>
              <w:rPr>
                <w:rFonts w:ascii="Arial" w:hAnsi="Arial" w:cs="Arial"/>
              </w:rPr>
              <w:t>Total</w:t>
            </w:r>
          </w:p>
        </w:tc>
        <w:tc>
          <w:tcPr>
            <w:tcW w:w="1276" w:type="dxa"/>
          </w:tcPr>
          <w:p w14:paraId="74EE6C80" w14:textId="5BF185B8" w:rsidR="00142836" w:rsidRDefault="00142836" w:rsidP="00DC54F7">
            <w:pPr>
              <w:pStyle w:val="ListParagraph"/>
              <w:ind w:left="0"/>
              <w:jc w:val="both"/>
              <w:rPr>
                <w:rFonts w:ascii="Arial" w:hAnsi="Arial" w:cs="Arial"/>
              </w:rPr>
            </w:pPr>
            <w:r>
              <w:rPr>
                <w:rFonts w:ascii="Arial" w:hAnsi="Arial" w:cs="Arial"/>
              </w:rPr>
              <w:t>860</w:t>
            </w:r>
          </w:p>
        </w:tc>
        <w:tc>
          <w:tcPr>
            <w:tcW w:w="2693" w:type="dxa"/>
          </w:tcPr>
          <w:p w14:paraId="2BAFE46E" w14:textId="38323414" w:rsidR="00142836" w:rsidRDefault="00B3225B" w:rsidP="00DC54F7">
            <w:pPr>
              <w:pStyle w:val="ListParagraph"/>
              <w:ind w:left="0"/>
              <w:jc w:val="both"/>
              <w:rPr>
                <w:rFonts w:ascii="Arial" w:hAnsi="Arial" w:cs="Arial"/>
              </w:rPr>
            </w:pPr>
            <w:r>
              <w:rPr>
                <w:rFonts w:ascii="Arial" w:hAnsi="Arial" w:cs="Arial"/>
              </w:rPr>
              <w:t>74</w:t>
            </w:r>
          </w:p>
        </w:tc>
      </w:tr>
      <w:bookmarkEnd w:id="53"/>
    </w:tbl>
    <w:p w14:paraId="0030C062" w14:textId="77777777" w:rsidR="00934630" w:rsidRDefault="00934630" w:rsidP="00DC54F7">
      <w:pPr>
        <w:spacing w:after="0" w:line="240" w:lineRule="auto"/>
        <w:jc w:val="both"/>
      </w:pPr>
    </w:p>
    <w:p w14:paraId="3A693795" w14:textId="158ABBC2" w:rsidR="00331153" w:rsidRPr="00B3225B" w:rsidRDefault="00900232" w:rsidP="00DC54F7">
      <w:pPr>
        <w:spacing w:after="0" w:line="240" w:lineRule="auto"/>
        <w:jc w:val="both"/>
        <w:rPr>
          <w:rFonts w:ascii="Arial" w:hAnsi="Arial" w:cs="Arial"/>
          <w:b/>
          <w:bCs/>
        </w:rPr>
      </w:pPr>
      <w:r>
        <w:rPr>
          <w:rFonts w:ascii="Arial" w:hAnsi="Arial" w:cs="Arial"/>
          <w:b/>
          <w:bCs/>
        </w:rPr>
        <w:t xml:space="preserve">Key settlement: </w:t>
      </w:r>
      <w:r w:rsidR="00D21FC0" w:rsidRPr="00B3225B">
        <w:rPr>
          <w:rFonts w:ascii="Arial" w:hAnsi="Arial" w:cs="Arial"/>
          <w:b/>
          <w:bCs/>
        </w:rPr>
        <w:t xml:space="preserve">Dinas Powys </w:t>
      </w:r>
    </w:p>
    <w:tbl>
      <w:tblPr>
        <w:tblStyle w:val="TableGrid"/>
        <w:tblW w:w="9356" w:type="dxa"/>
        <w:tblInd w:w="-5" w:type="dxa"/>
        <w:tblLook w:val="04A0" w:firstRow="1" w:lastRow="0" w:firstColumn="1" w:lastColumn="0" w:noHBand="0" w:noVBand="1"/>
      </w:tblPr>
      <w:tblGrid>
        <w:gridCol w:w="5387"/>
        <w:gridCol w:w="1276"/>
        <w:gridCol w:w="2693"/>
      </w:tblGrid>
      <w:tr w:rsidR="00142836" w14:paraId="21C57375" w14:textId="3AD86970" w:rsidTr="00EA5797">
        <w:trPr>
          <w:trHeight w:val="283"/>
        </w:trPr>
        <w:tc>
          <w:tcPr>
            <w:tcW w:w="5387" w:type="dxa"/>
            <w:shd w:val="clear" w:color="auto" w:fill="8497B0"/>
          </w:tcPr>
          <w:p w14:paraId="4CF5054E" w14:textId="20F13F63" w:rsidR="00142836" w:rsidRPr="000B1A6A" w:rsidRDefault="00142836" w:rsidP="00DC54F7">
            <w:pPr>
              <w:pStyle w:val="ListParagraph"/>
              <w:ind w:left="0"/>
              <w:jc w:val="both"/>
              <w:rPr>
                <w:rFonts w:ascii="Arial" w:hAnsi="Arial" w:cs="Arial"/>
                <w:color w:val="FFFFFF" w:themeColor="background1"/>
              </w:rPr>
            </w:pPr>
            <w:bookmarkStart w:id="54" w:name="_Hlk68456370"/>
            <w:r w:rsidRPr="000B1A6A">
              <w:rPr>
                <w:rFonts w:ascii="Arial" w:hAnsi="Arial" w:cs="Arial"/>
                <w:b/>
                <w:bCs/>
                <w:color w:val="FFFFFF" w:themeColor="background1"/>
              </w:rPr>
              <w:t xml:space="preserve">Housing site </w:t>
            </w:r>
          </w:p>
        </w:tc>
        <w:tc>
          <w:tcPr>
            <w:tcW w:w="1276" w:type="dxa"/>
            <w:shd w:val="clear" w:color="auto" w:fill="8497B0"/>
          </w:tcPr>
          <w:p w14:paraId="6ED94F55" w14:textId="07C615AC" w:rsidR="00142836" w:rsidRPr="000B1A6A" w:rsidRDefault="00142836" w:rsidP="00DC54F7">
            <w:pPr>
              <w:pStyle w:val="ListParagraph"/>
              <w:ind w:left="0"/>
              <w:jc w:val="both"/>
              <w:rPr>
                <w:rFonts w:ascii="Arial" w:hAnsi="Arial" w:cs="Arial"/>
                <w:color w:val="FFFFFF" w:themeColor="background1"/>
              </w:rPr>
            </w:pPr>
            <w:r w:rsidRPr="000B1A6A">
              <w:rPr>
                <w:rFonts w:ascii="Arial" w:hAnsi="Arial" w:cs="Arial"/>
                <w:b/>
                <w:bCs/>
                <w:color w:val="FFFFFF" w:themeColor="background1"/>
              </w:rPr>
              <w:t>Number</w:t>
            </w:r>
          </w:p>
        </w:tc>
        <w:tc>
          <w:tcPr>
            <w:tcW w:w="2693" w:type="dxa"/>
            <w:shd w:val="clear" w:color="auto" w:fill="8497B0"/>
          </w:tcPr>
          <w:p w14:paraId="1B51C295" w14:textId="553A0993" w:rsidR="00142836" w:rsidRPr="000B1A6A" w:rsidRDefault="00142836" w:rsidP="00DC54F7">
            <w:pPr>
              <w:pStyle w:val="ListParagraph"/>
              <w:ind w:left="0"/>
              <w:jc w:val="both"/>
              <w:rPr>
                <w:rFonts w:ascii="Arial" w:hAnsi="Arial" w:cs="Arial"/>
                <w:color w:val="FFFFFF" w:themeColor="background1"/>
              </w:rPr>
            </w:pPr>
            <w:r w:rsidRPr="000B1A6A">
              <w:rPr>
                <w:rFonts w:ascii="Arial" w:hAnsi="Arial" w:cs="Arial"/>
                <w:b/>
                <w:bCs/>
                <w:color w:val="FFFFFF" w:themeColor="background1"/>
              </w:rPr>
              <w:t>Complete at April 2020</w:t>
            </w:r>
          </w:p>
        </w:tc>
      </w:tr>
      <w:tr w:rsidR="00142836" w:rsidRPr="00696571" w14:paraId="507B06F0" w14:textId="313FEBDB" w:rsidTr="00EA5797">
        <w:trPr>
          <w:trHeight w:val="304"/>
        </w:trPr>
        <w:tc>
          <w:tcPr>
            <w:tcW w:w="5387" w:type="dxa"/>
          </w:tcPr>
          <w:p w14:paraId="6DD588E3" w14:textId="797EA16C" w:rsidR="00142836" w:rsidRPr="00696571" w:rsidRDefault="00142836" w:rsidP="00DC54F7">
            <w:pPr>
              <w:pStyle w:val="ListParagraph"/>
              <w:ind w:left="0"/>
              <w:jc w:val="both"/>
              <w:rPr>
                <w:rFonts w:ascii="Arial" w:hAnsi="Arial" w:cs="Arial"/>
              </w:rPr>
            </w:pPr>
            <w:bookmarkStart w:id="55" w:name="_Hlk68450187"/>
            <w:bookmarkEnd w:id="54"/>
            <w:r w:rsidRPr="00696571">
              <w:rPr>
                <w:rFonts w:ascii="Arial" w:hAnsi="Arial" w:cs="Arial"/>
              </w:rPr>
              <w:t>Land at and adjoining St. Cyres School, Murch Road</w:t>
            </w:r>
          </w:p>
        </w:tc>
        <w:tc>
          <w:tcPr>
            <w:tcW w:w="1276" w:type="dxa"/>
          </w:tcPr>
          <w:p w14:paraId="33F170A4" w14:textId="46EB9E47" w:rsidR="00142836" w:rsidRPr="00696571" w:rsidRDefault="00142836" w:rsidP="00DC54F7">
            <w:pPr>
              <w:pStyle w:val="ListParagraph"/>
              <w:ind w:left="0"/>
              <w:jc w:val="both"/>
              <w:rPr>
                <w:rFonts w:ascii="Arial" w:hAnsi="Arial" w:cs="Arial"/>
              </w:rPr>
            </w:pPr>
            <w:r w:rsidRPr="00696571">
              <w:rPr>
                <w:rFonts w:ascii="Arial" w:hAnsi="Arial" w:cs="Arial"/>
              </w:rPr>
              <w:t>300</w:t>
            </w:r>
          </w:p>
        </w:tc>
        <w:tc>
          <w:tcPr>
            <w:tcW w:w="2693" w:type="dxa"/>
          </w:tcPr>
          <w:p w14:paraId="7C47FE8E" w14:textId="56A2D147" w:rsidR="00142836" w:rsidRPr="00696571" w:rsidRDefault="009A64E6" w:rsidP="00DC54F7">
            <w:pPr>
              <w:pStyle w:val="ListParagraph"/>
              <w:ind w:left="0"/>
              <w:jc w:val="both"/>
              <w:rPr>
                <w:rFonts w:ascii="Arial" w:hAnsi="Arial" w:cs="Arial"/>
              </w:rPr>
            </w:pPr>
            <w:r>
              <w:rPr>
                <w:rFonts w:ascii="Arial" w:hAnsi="Arial" w:cs="Arial"/>
              </w:rPr>
              <w:t>103</w:t>
            </w:r>
          </w:p>
        </w:tc>
      </w:tr>
      <w:tr w:rsidR="00142836" w:rsidRPr="00696571" w14:paraId="7D5369DB" w14:textId="5CAD9FA1" w:rsidTr="00EA5797">
        <w:trPr>
          <w:trHeight w:val="304"/>
        </w:trPr>
        <w:tc>
          <w:tcPr>
            <w:tcW w:w="5387" w:type="dxa"/>
          </w:tcPr>
          <w:p w14:paraId="1AC60A58" w14:textId="68DEEE5B" w:rsidR="00142836" w:rsidRPr="00696571" w:rsidRDefault="00142836" w:rsidP="00DC54F7">
            <w:pPr>
              <w:pStyle w:val="ListParagraph"/>
              <w:ind w:left="0"/>
              <w:jc w:val="both"/>
              <w:rPr>
                <w:rFonts w:ascii="Arial" w:hAnsi="Arial" w:cs="Arial"/>
              </w:rPr>
            </w:pPr>
            <w:r w:rsidRPr="00696571">
              <w:rPr>
                <w:rFonts w:ascii="Arial" w:hAnsi="Arial" w:cs="Arial"/>
              </w:rPr>
              <w:t>Land off Caerleon Road, Dinas Powys</w:t>
            </w:r>
          </w:p>
        </w:tc>
        <w:tc>
          <w:tcPr>
            <w:tcW w:w="1276" w:type="dxa"/>
          </w:tcPr>
          <w:p w14:paraId="3A878DB0" w14:textId="61768D68" w:rsidR="00142836" w:rsidRPr="00696571" w:rsidRDefault="00142836" w:rsidP="00DC54F7">
            <w:pPr>
              <w:pStyle w:val="ListParagraph"/>
              <w:ind w:left="0"/>
              <w:jc w:val="both"/>
              <w:rPr>
                <w:rFonts w:ascii="Arial" w:hAnsi="Arial" w:cs="Arial"/>
              </w:rPr>
            </w:pPr>
            <w:r w:rsidRPr="00696571">
              <w:rPr>
                <w:rFonts w:ascii="Arial" w:hAnsi="Arial" w:cs="Arial"/>
              </w:rPr>
              <w:t>70</w:t>
            </w:r>
          </w:p>
        </w:tc>
        <w:tc>
          <w:tcPr>
            <w:tcW w:w="2693" w:type="dxa"/>
          </w:tcPr>
          <w:p w14:paraId="0BD1C98B" w14:textId="1947700D" w:rsidR="00142836" w:rsidRPr="00696571" w:rsidRDefault="009A64E6" w:rsidP="00DC54F7">
            <w:pPr>
              <w:pStyle w:val="ListParagraph"/>
              <w:ind w:left="0"/>
              <w:jc w:val="both"/>
              <w:rPr>
                <w:rFonts w:ascii="Arial" w:hAnsi="Arial" w:cs="Arial"/>
              </w:rPr>
            </w:pPr>
            <w:r>
              <w:rPr>
                <w:rFonts w:ascii="Arial" w:hAnsi="Arial" w:cs="Arial"/>
              </w:rPr>
              <w:t>64</w:t>
            </w:r>
          </w:p>
        </w:tc>
      </w:tr>
      <w:tr w:rsidR="00142836" w:rsidRPr="00696571" w14:paraId="6008893A" w14:textId="03029F4C" w:rsidTr="00EA5797">
        <w:trPr>
          <w:trHeight w:val="304"/>
        </w:trPr>
        <w:tc>
          <w:tcPr>
            <w:tcW w:w="5387" w:type="dxa"/>
          </w:tcPr>
          <w:p w14:paraId="0410FD5C" w14:textId="3049E306" w:rsidR="00142836" w:rsidRPr="00696571" w:rsidRDefault="00142836" w:rsidP="00DC54F7">
            <w:pPr>
              <w:pStyle w:val="ListParagraph"/>
              <w:ind w:left="0"/>
              <w:jc w:val="both"/>
              <w:rPr>
                <w:rFonts w:ascii="Arial" w:hAnsi="Arial" w:cs="Arial"/>
              </w:rPr>
            </w:pPr>
            <w:r w:rsidRPr="00696571">
              <w:rPr>
                <w:rFonts w:ascii="Arial" w:hAnsi="Arial" w:cs="Arial"/>
              </w:rPr>
              <w:t>Land at Ardwyn, Pen-y-Turnpike</w:t>
            </w:r>
          </w:p>
        </w:tc>
        <w:tc>
          <w:tcPr>
            <w:tcW w:w="1276" w:type="dxa"/>
          </w:tcPr>
          <w:p w14:paraId="1AD45D35" w14:textId="4A1E6F68" w:rsidR="00142836" w:rsidRPr="00696571" w:rsidRDefault="00142836" w:rsidP="00DC54F7">
            <w:pPr>
              <w:pStyle w:val="ListParagraph"/>
              <w:ind w:left="0"/>
              <w:jc w:val="both"/>
              <w:rPr>
                <w:rFonts w:ascii="Arial" w:hAnsi="Arial" w:cs="Arial"/>
              </w:rPr>
            </w:pPr>
            <w:r w:rsidRPr="00696571">
              <w:rPr>
                <w:rFonts w:ascii="Arial" w:hAnsi="Arial" w:cs="Arial"/>
              </w:rPr>
              <w:t>18</w:t>
            </w:r>
          </w:p>
        </w:tc>
        <w:tc>
          <w:tcPr>
            <w:tcW w:w="2693" w:type="dxa"/>
          </w:tcPr>
          <w:p w14:paraId="16A5CD6D" w14:textId="44784130" w:rsidR="00142836" w:rsidRPr="00696571" w:rsidRDefault="009A64E6" w:rsidP="00DC54F7">
            <w:pPr>
              <w:pStyle w:val="ListParagraph"/>
              <w:ind w:left="0"/>
              <w:jc w:val="both"/>
              <w:rPr>
                <w:rFonts w:ascii="Arial" w:hAnsi="Arial" w:cs="Arial"/>
              </w:rPr>
            </w:pPr>
            <w:r>
              <w:rPr>
                <w:rFonts w:ascii="Arial" w:hAnsi="Arial" w:cs="Arial"/>
              </w:rPr>
              <w:t>18</w:t>
            </w:r>
          </w:p>
        </w:tc>
      </w:tr>
      <w:tr w:rsidR="00142836" w:rsidRPr="00696571" w14:paraId="3B9972AB" w14:textId="77FF3422" w:rsidTr="00EA5797">
        <w:trPr>
          <w:trHeight w:val="304"/>
        </w:trPr>
        <w:tc>
          <w:tcPr>
            <w:tcW w:w="5387" w:type="dxa"/>
          </w:tcPr>
          <w:p w14:paraId="42856125" w14:textId="47BDC6E3" w:rsidR="00142836" w:rsidRPr="00696571" w:rsidRDefault="00142836" w:rsidP="00DC54F7">
            <w:pPr>
              <w:pStyle w:val="ListParagraph"/>
              <w:ind w:left="0"/>
              <w:jc w:val="both"/>
              <w:rPr>
                <w:rFonts w:ascii="Arial" w:hAnsi="Arial" w:cs="Arial"/>
              </w:rPr>
            </w:pPr>
            <w:r w:rsidRPr="00696571">
              <w:rPr>
                <w:rFonts w:ascii="Arial" w:hAnsi="Arial" w:cs="Arial"/>
              </w:rPr>
              <w:t>Land at Cross Common Road</w:t>
            </w:r>
          </w:p>
        </w:tc>
        <w:tc>
          <w:tcPr>
            <w:tcW w:w="1276" w:type="dxa"/>
          </w:tcPr>
          <w:p w14:paraId="11EC9193" w14:textId="384AF326" w:rsidR="00142836" w:rsidRPr="00696571" w:rsidRDefault="00142836" w:rsidP="00DC54F7">
            <w:pPr>
              <w:pStyle w:val="ListParagraph"/>
              <w:ind w:left="0"/>
              <w:jc w:val="both"/>
              <w:rPr>
                <w:rFonts w:ascii="Arial" w:hAnsi="Arial" w:cs="Arial"/>
              </w:rPr>
            </w:pPr>
            <w:r w:rsidRPr="00696571">
              <w:rPr>
                <w:rFonts w:ascii="Arial" w:hAnsi="Arial" w:cs="Arial"/>
              </w:rPr>
              <w:t>50</w:t>
            </w:r>
          </w:p>
        </w:tc>
        <w:tc>
          <w:tcPr>
            <w:tcW w:w="2693" w:type="dxa"/>
          </w:tcPr>
          <w:p w14:paraId="147FE39B" w14:textId="758BD066" w:rsidR="00142836" w:rsidRPr="00696571" w:rsidRDefault="009A64E6" w:rsidP="00DC54F7">
            <w:pPr>
              <w:pStyle w:val="ListParagraph"/>
              <w:ind w:left="0"/>
              <w:jc w:val="both"/>
              <w:rPr>
                <w:rFonts w:ascii="Arial" w:hAnsi="Arial" w:cs="Arial"/>
              </w:rPr>
            </w:pPr>
            <w:r>
              <w:rPr>
                <w:rFonts w:ascii="Arial" w:hAnsi="Arial" w:cs="Arial"/>
              </w:rPr>
              <w:t>49</w:t>
            </w:r>
          </w:p>
        </w:tc>
      </w:tr>
      <w:tr w:rsidR="00142836" w:rsidRPr="00696571" w14:paraId="5EB42831" w14:textId="1D4E9AA3" w:rsidTr="00EA5797">
        <w:trPr>
          <w:trHeight w:val="304"/>
        </w:trPr>
        <w:tc>
          <w:tcPr>
            <w:tcW w:w="5387" w:type="dxa"/>
          </w:tcPr>
          <w:p w14:paraId="08D0E1CA" w14:textId="77777777" w:rsidR="00142836" w:rsidRPr="00696571" w:rsidRDefault="00142836" w:rsidP="00DC54F7">
            <w:pPr>
              <w:pStyle w:val="ListParagraph"/>
              <w:ind w:left="0"/>
              <w:jc w:val="both"/>
              <w:rPr>
                <w:rFonts w:ascii="Arial" w:hAnsi="Arial" w:cs="Arial"/>
              </w:rPr>
            </w:pPr>
            <w:r w:rsidRPr="00696571">
              <w:rPr>
                <w:rFonts w:ascii="Arial" w:hAnsi="Arial" w:cs="Arial"/>
              </w:rPr>
              <w:t>Total</w:t>
            </w:r>
          </w:p>
        </w:tc>
        <w:tc>
          <w:tcPr>
            <w:tcW w:w="1276" w:type="dxa"/>
          </w:tcPr>
          <w:p w14:paraId="5072C9CA" w14:textId="27E9229F" w:rsidR="00142836" w:rsidRPr="00696571" w:rsidRDefault="00142836" w:rsidP="00DC54F7">
            <w:pPr>
              <w:pStyle w:val="ListParagraph"/>
              <w:ind w:left="0"/>
              <w:jc w:val="both"/>
              <w:rPr>
                <w:rFonts w:ascii="Arial" w:hAnsi="Arial" w:cs="Arial"/>
              </w:rPr>
            </w:pPr>
            <w:r w:rsidRPr="00696571">
              <w:rPr>
                <w:rFonts w:ascii="Arial" w:hAnsi="Arial" w:cs="Arial"/>
              </w:rPr>
              <w:t>438</w:t>
            </w:r>
          </w:p>
        </w:tc>
        <w:tc>
          <w:tcPr>
            <w:tcW w:w="2693" w:type="dxa"/>
          </w:tcPr>
          <w:p w14:paraId="6B8F1B28" w14:textId="27430845" w:rsidR="00142836" w:rsidRPr="00696571" w:rsidRDefault="002A52AF" w:rsidP="00DC54F7">
            <w:pPr>
              <w:pStyle w:val="ListParagraph"/>
              <w:ind w:left="0"/>
              <w:jc w:val="both"/>
              <w:rPr>
                <w:rFonts w:ascii="Arial" w:hAnsi="Arial" w:cs="Arial"/>
              </w:rPr>
            </w:pPr>
            <w:r>
              <w:rPr>
                <w:rFonts w:ascii="Arial" w:hAnsi="Arial" w:cs="Arial"/>
              </w:rPr>
              <w:t>234</w:t>
            </w:r>
          </w:p>
        </w:tc>
      </w:tr>
      <w:bookmarkEnd w:id="55"/>
    </w:tbl>
    <w:p w14:paraId="6F692869" w14:textId="77777777" w:rsidR="00EA5797" w:rsidRDefault="00EA5797" w:rsidP="00DC54F7">
      <w:pPr>
        <w:spacing w:after="0" w:line="240" w:lineRule="auto"/>
        <w:jc w:val="both"/>
        <w:rPr>
          <w:rFonts w:ascii="Arial" w:hAnsi="Arial" w:cs="Arial"/>
          <w:b/>
          <w:bCs/>
        </w:rPr>
      </w:pPr>
    </w:p>
    <w:p w14:paraId="33A3C40C" w14:textId="55758DD8" w:rsidR="00331153" w:rsidRPr="000B1A6A" w:rsidRDefault="00900232" w:rsidP="00DC54F7">
      <w:pPr>
        <w:spacing w:after="0" w:line="240" w:lineRule="auto"/>
        <w:jc w:val="both"/>
        <w:rPr>
          <w:rFonts w:ascii="Arial" w:hAnsi="Arial" w:cs="Arial"/>
          <w:b/>
          <w:bCs/>
        </w:rPr>
      </w:pPr>
      <w:r>
        <w:rPr>
          <w:rFonts w:ascii="Arial" w:hAnsi="Arial" w:cs="Arial"/>
          <w:b/>
          <w:bCs/>
        </w:rPr>
        <w:t xml:space="preserve">Key settlement: </w:t>
      </w:r>
      <w:r w:rsidR="00D21FC0" w:rsidRPr="000B1A6A">
        <w:rPr>
          <w:rFonts w:ascii="Arial" w:hAnsi="Arial" w:cs="Arial"/>
          <w:b/>
          <w:bCs/>
        </w:rPr>
        <w:t xml:space="preserve">Llandough (Penarth) </w:t>
      </w:r>
    </w:p>
    <w:tbl>
      <w:tblPr>
        <w:tblStyle w:val="TableGrid"/>
        <w:tblW w:w="9356" w:type="dxa"/>
        <w:tblInd w:w="-5" w:type="dxa"/>
        <w:tblLook w:val="04A0" w:firstRow="1" w:lastRow="0" w:firstColumn="1" w:lastColumn="0" w:noHBand="0" w:noVBand="1"/>
      </w:tblPr>
      <w:tblGrid>
        <w:gridCol w:w="5387"/>
        <w:gridCol w:w="1276"/>
        <w:gridCol w:w="2693"/>
      </w:tblGrid>
      <w:tr w:rsidR="00142836" w14:paraId="192983B2" w14:textId="12E3407F" w:rsidTr="00EA5797">
        <w:trPr>
          <w:trHeight w:val="283"/>
        </w:trPr>
        <w:tc>
          <w:tcPr>
            <w:tcW w:w="5387" w:type="dxa"/>
            <w:shd w:val="clear" w:color="auto" w:fill="8497B0"/>
          </w:tcPr>
          <w:p w14:paraId="542D20DD" w14:textId="55E6AF6F" w:rsidR="00142836" w:rsidRPr="000B1A6A" w:rsidRDefault="00142836" w:rsidP="00DC54F7">
            <w:pPr>
              <w:pStyle w:val="ListParagraph"/>
              <w:ind w:left="0"/>
              <w:jc w:val="both"/>
              <w:rPr>
                <w:rFonts w:ascii="Arial" w:hAnsi="Arial" w:cs="Arial"/>
                <w:color w:val="FFFFFF" w:themeColor="background1"/>
              </w:rPr>
            </w:pPr>
            <w:r w:rsidRPr="000B1A6A">
              <w:rPr>
                <w:rFonts w:ascii="Arial" w:hAnsi="Arial" w:cs="Arial"/>
                <w:b/>
                <w:bCs/>
                <w:color w:val="FFFFFF" w:themeColor="background1"/>
              </w:rPr>
              <w:t xml:space="preserve">Housing site </w:t>
            </w:r>
          </w:p>
        </w:tc>
        <w:tc>
          <w:tcPr>
            <w:tcW w:w="1276" w:type="dxa"/>
            <w:shd w:val="clear" w:color="auto" w:fill="8497B0"/>
          </w:tcPr>
          <w:p w14:paraId="6252AFA7" w14:textId="26ABF9A2" w:rsidR="00142836" w:rsidRPr="000B1A6A" w:rsidRDefault="00142836" w:rsidP="00DC54F7">
            <w:pPr>
              <w:pStyle w:val="ListParagraph"/>
              <w:ind w:left="0"/>
              <w:jc w:val="both"/>
              <w:rPr>
                <w:rFonts w:ascii="Arial" w:hAnsi="Arial" w:cs="Arial"/>
                <w:color w:val="FFFFFF" w:themeColor="background1"/>
              </w:rPr>
            </w:pPr>
            <w:r w:rsidRPr="000B1A6A">
              <w:rPr>
                <w:rFonts w:ascii="Arial" w:hAnsi="Arial" w:cs="Arial"/>
                <w:b/>
                <w:bCs/>
                <w:color w:val="FFFFFF" w:themeColor="background1"/>
              </w:rPr>
              <w:t>Number</w:t>
            </w:r>
          </w:p>
        </w:tc>
        <w:tc>
          <w:tcPr>
            <w:tcW w:w="2693" w:type="dxa"/>
            <w:shd w:val="clear" w:color="auto" w:fill="8497B0"/>
          </w:tcPr>
          <w:p w14:paraId="332DFAF0" w14:textId="2E94710D" w:rsidR="00142836" w:rsidRPr="000B1A6A" w:rsidRDefault="00142836" w:rsidP="00DC54F7">
            <w:pPr>
              <w:pStyle w:val="ListParagraph"/>
              <w:ind w:left="0"/>
              <w:jc w:val="both"/>
              <w:rPr>
                <w:rFonts w:ascii="Arial" w:hAnsi="Arial" w:cs="Arial"/>
                <w:color w:val="FFFFFF" w:themeColor="background1"/>
              </w:rPr>
            </w:pPr>
            <w:r w:rsidRPr="000B1A6A">
              <w:rPr>
                <w:rFonts w:ascii="Arial" w:hAnsi="Arial" w:cs="Arial"/>
                <w:b/>
                <w:bCs/>
                <w:color w:val="FFFFFF" w:themeColor="background1"/>
              </w:rPr>
              <w:t>Complete at April 2020</w:t>
            </w:r>
          </w:p>
        </w:tc>
      </w:tr>
      <w:tr w:rsidR="00142836" w:rsidRPr="00BB5014" w14:paraId="0846AA9E" w14:textId="635DFBD7" w:rsidTr="00EA5797">
        <w:trPr>
          <w:trHeight w:val="297"/>
        </w:trPr>
        <w:tc>
          <w:tcPr>
            <w:tcW w:w="5387" w:type="dxa"/>
          </w:tcPr>
          <w:p w14:paraId="5015C10B" w14:textId="71FE7C60" w:rsidR="00142836" w:rsidRPr="00BB5014" w:rsidRDefault="00142836" w:rsidP="00DC54F7">
            <w:pPr>
              <w:pStyle w:val="ListParagraph"/>
              <w:ind w:left="0"/>
              <w:jc w:val="both"/>
              <w:rPr>
                <w:rFonts w:ascii="Arial" w:hAnsi="Arial" w:cs="Arial"/>
              </w:rPr>
            </w:pPr>
            <w:bookmarkStart w:id="56" w:name="_Hlk68450427"/>
            <w:r w:rsidRPr="00BB5014">
              <w:rPr>
                <w:rFonts w:ascii="Arial" w:hAnsi="Arial" w:cs="Arial"/>
              </w:rPr>
              <w:t>Land south of Llandough Hill / Penarth Road</w:t>
            </w:r>
          </w:p>
        </w:tc>
        <w:tc>
          <w:tcPr>
            <w:tcW w:w="1276" w:type="dxa"/>
          </w:tcPr>
          <w:p w14:paraId="6D9BACF2" w14:textId="65894018" w:rsidR="00142836" w:rsidRPr="00BB5014" w:rsidRDefault="00142836" w:rsidP="00DC54F7">
            <w:pPr>
              <w:pStyle w:val="ListParagraph"/>
              <w:ind w:left="0"/>
              <w:jc w:val="both"/>
              <w:rPr>
                <w:rFonts w:ascii="Arial" w:hAnsi="Arial" w:cs="Arial"/>
              </w:rPr>
            </w:pPr>
            <w:r w:rsidRPr="00BB5014">
              <w:rPr>
                <w:rFonts w:ascii="Arial" w:hAnsi="Arial" w:cs="Arial"/>
              </w:rPr>
              <w:t>130</w:t>
            </w:r>
          </w:p>
        </w:tc>
        <w:tc>
          <w:tcPr>
            <w:tcW w:w="2693" w:type="dxa"/>
          </w:tcPr>
          <w:p w14:paraId="2793528E" w14:textId="7C22079D" w:rsidR="00142836" w:rsidRPr="00BB5014" w:rsidRDefault="008F0551" w:rsidP="00DC54F7">
            <w:pPr>
              <w:pStyle w:val="ListParagraph"/>
              <w:ind w:left="0"/>
              <w:jc w:val="both"/>
              <w:rPr>
                <w:rFonts w:ascii="Arial" w:hAnsi="Arial" w:cs="Arial"/>
              </w:rPr>
            </w:pPr>
            <w:r>
              <w:rPr>
                <w:rFonts w:ascii="Arial" w:hAnsi="Arial" w:cs="Arial"/>
              </w:rPr>
              <w:t>0</w:t>
            </w:r>
          </w:p>
        </w:tc>
      </w:tr>
      <w:tr w:rsidR="00142836" w:rsidRPr="00BB5014" w14:paraId="53D281FE" w14:textId="0D4E2FFB" w:rsidTr="00EA5797">
        <w:trPr>
          <w:trHeight w:val="297"/>
        </w:trPr>
        <w:tc>
          <w:tcPr>
            <w:tcW w:w="5387" w:type="dxa"/>
          </w:tcPr>
          <w:p w14:paraId="1A0C15B0" w14:textId="0C8393EF" w:rsidR="00142836" w:rsidRPr="00BB5014" w:rsidRDefault="00142836" w:rsidP="00DC54F7">
            <w:pPr>
              <w:pStyle w:val="ListParagraph"/>
              <w:ind w:left="0"/>
              <w:jc w:val="both"/>
              <w:rPr>
                <w:rFonts w:ascii="Arial" w:hAnsi="Arial" w:cs="Arial"/>
              </w:rPr>
            </w:pPr>
            <w:r w:rsidRPr="00BB5014">
              <w:rPr>
                <w:rFonts w:ascii="Arial" w:hAnsi="Arial" w:cs="Arial"/>
              </w:rPr>
              <w:t>Land north of Leckwith Road</w:t>
            </w:r>
          </w:p>
        </w:tc>
        <w:tc>
          <w:tcPr>
            <w:tcW w:w="1276" w:type="dxa"/>
          </w:tcPr>
          <w:p w14:paraId="5CA8D3CF" w14:textId="5D6CCAAF" w:rsidR="00142836" w:rsidRPr="00BB5014" w:rsidRDefault="00142836" w:rsidP="00DC54F7">
            <w:pPr>
              <w:pStyle w:val="ListParagraph"/>
              <w:ind w:left="0"/>
              <w:jc w:val="both"/>
              <w:rPr>
                <w:rFonts w:ascii="Arial" w:hAnsi="Arial" w:cs="Arial"/>
              </w:rPr>
            </w:pPr>
            <w:r w:rsidRPr="00BB5014">
              <w:rPr>
                <w:rFonts w:ascii="Arial" w:hAnsi="Arial" w:cs="Arial"/>
              </w:rPr>
              <w:t>8</w:t>
            </w:r>
          </w:p>
        </w:tc>
        <w:tc>
          <w:tcPr>
            <w:tcW w:w="2693" w:type="dxa"/>
          </w:tcPr>
          <w:p w14:paraId="0B9365FC" w14:textId="23EC469A" w:rsidR="00142836" w:rsidRPr="00BB5014" w:rsidRDefault="008F0551" w:rsidP="00DC54F7">
            <w:pPr>
              <w:pStyle w:val="ListParagraph"/>
              <w:ind w:left="0"/>
              <w:jc w:val="both"/>
              <w:rPr>
                <w:rFonts w:ascii="Arial" w:hAnsi="Arial" w:cs="Arial"/>
              </w:rPr>
            </w:pPr>
            <w:r>
              <w:rPr>
                <w:rFonts w:ascii="Arial" w:hAnsi="Arial" w:cs="Arial"/>
              </w:rPr>
              <w:t>0</w:t>
            </w:r>
          </w:p>
        </w:tc>
      </w:tr>
      <w:tr w:rsidR="00142836" w:rsidRPr="00BB5014" w14:paraId="3226BED9" w14:textId="2C72EC30" w:rsidTr="00EA5797">
        <w:trPr>
          <w:trHeight w:val="297"/>
        </w:trPr>
        <w:tc>
          <w:tcPr>
            <w:tcW w:w="5387" w:type="dxa"/>
          </w:tcPr>
          <w:p w14:paraId="4DD1C64A" w14:textId="7D5C9A6B" w:rsidR="00142836" w:rsidRPr="00BB5014" w:rsidRDefault="00142836" w:rsidP="00DC54F7">
            <w:pPr>
              <w:pStyle w:val="ListParagraph"/>
              <w:ind w:left="0"/>
              <w:jc w:val="both"/>
              <w:rPr>
                <w:rFonts w:ascii="Arial" w:hAnsi="Arial" w:cs="Arial"/>
              </w:rPr>
            </w:pPr>
            <w:r w:rsidRPr="00BB5014">
              <w:rPr>
                <w:rFonts w:ascii="Arial" w:hAnsi="Arial" w:cs="Arial"/>
              </w:rPr>
              <w:t>Llandough Landings</w:t>
            </w:r>
          </w:p>
        </w:tc>
        <w:tc>
          <w:tcPr>
            <w:tcW w:w="1276" w:type="dxa"/>
          </w:tcPr>
          <w:p w14:paraId="03B0D6A2" w14:textId="14BA4218" w:rsidR="00142836" w:rsidRPr="00BB5014" w:rsidRDefault="00142836" w:rsidP="00DC54F7">
            <w:pPr>
              <w:pStyle w:val="ListParagraph"/>
              <w:ind w:left="0"/>
              <w:jc w:val="both"/>
              <w:rPr>
                <w:rFonts w:ascii="Arial" w:hAnsi="Arial" w:cs="Arial"/>
              </w:rPr>
            </w:pPr>
            <w:r w:rsidRPr="00BB5014">
              <w:rPr>
                <w:rFonts w:ascii="Arial" w:hAnsi="Arial" w:cs="Arial"/>
              </w:rPr>
              <w:t>120</w:t>
            </w:r>
          </w:p>
        </w:tc>
        <w:tc>
          <w:tcPr>
            <w:tcW w:w="2693" w:type="dxa"/>
          </w:tcPr>
          <w:p w14:paraId="4FDBBF1C" w14:textId="3A5D5843" w:rsidR="00142836" w:rsidRPr="00BB5014" w:rsidRDefault="008F0551" w:rsidP="00DC54F7">
            <w:pPr>
              <w:pStyle w:val="ListParagraph"/>
              <w:ind w:left="0"/>
              <w:jc w:val="both"/>
              <w:rPr>
                <w:rFonts w:ascii="Arial" w:hAnsi="Arial" w:cs="Arial"/>
              </w:rPr>
            </w:pPr>
            <w:r>
              <w:rPr>
                <w:rFonts w:ascii="Arial" w:hAnsi="Arial" w:cs="Arial"/>
              </w:rPr>
              <w:t>0</w:t>
            </w:r>
          </w:p>
        </w:tc>
      </w:tr>
      <w:tr w:rsidR="00142836" w:rsidRPr="00BB5014" w14:paraId="7D56FFEC" w14:textId="452E71E3" w:rsidTr="00EA5797">
        <w:trPr>
          <w:trHeight w:val="297"/>
        </w:trPr>
        <w:tc>
          <w:tcPr>
            <w:tcW w:w="5387" w:type="dxa"/>
          </w:tcPr>
          <w:p w14:paraId="7B43C873" w14:textId="77777777" w:rsidR="00142836" w:rsidRPr="00BB5014" w:rsidRDefault="00142836" w:rsidP="00DC54F7">
            <w:pPr>
              <w:pStyle w:val="ListParagraph"/>
              <w:ind w:left="0"/>
              <w:jc w:val="both"/>
              <w:rPr>
                <w:rFonts w:ascii="Arial" w:hAnsi="Arial" w:cs="Arial"/>
              </w:rPr>
            </w:pPr>
            <w:r w:rsidRPr="00BB5014">
              <w:rPr>
                <w:rFonts w:ascii="Arial" w:hAnsi="Arial" w:cs="Arial"/>
              </w:rPr>
              <w:t>Total</w:t>
            </w:r>
          </w:p>
        </w:tc>
        <w:tc>
          <w:tcPr>
            <w:tcW w:w="1276" w:type="dxa"/>
          </w:tcPr>
          <w:p w14:paraId="726DE780" w14:textId="55677CC5" w:rsidR="00142836" w:rsidRPr="00BB5014" w:rsidRDefault="00142836" w:rsidP="00DC54F7">
            <w:pPr>
              <w:pStyle w:val="ListParagraph"/>
              <w:ind w:left="0"/>
              <w:jc w:val="both"/>
              <w:rPr>
                <w:rFonts w:ascii="Arial" w:hAnsi="Arial" w:cs="Arial"/>
              </w:rPr>
            </w:pPr>
            <w:r w:rsidRPr="00BB5014">
              <w:rPr>
                <w:rFonts w:ascii="Arial" w:hAnsi="Arial" w:cs="Arial"/>
              </w:rPr>
              <w:t>258</w:t>
            </w:r>
          </w:p>
        </w:tc>
        <w:tc>
          <w:tcPr>
            <w:tcW w:w="2693" w:type="dxa"/>
          </w:tcPr>
          <w:p w14:paraId="21D3DD72" w14:textId="103ED35A" w:rsidR="00142836" w:rsidRPr="00BB5014" w:rsidRDefault="008F0551" w:rsidP="00DC54F7">
            <w:pPr>
              <w:pStyle w:val="ListParagraph"/>
              <w:ind w:left="0"/>
              <w:jc w:val="both"/>
              <w:rPr>
                <w:rFonts w:ascii="Arial" w:hAnsi="Arial" w:cs="Arial"/>
              </w:rPr>
            </w:pPr>
            <w:r>
              <w:rPr>
                <w:rFonts w:ascii="Arial" w:hAnsi="Arial" w:cs="Arial"/>
              </w:rPr>
              <w:t>258</w:t>
            </w:r>
          </w:p>
        </w:tc>
      </w:tr>
      <w:bookmarkEnd w:id="56"/>
    </w:tbl>
    <w:p w14:paraId="7CB74D52" w14:textId="77777777" w:rsidR="00337787" w:rsidRDefault="00337787" w:rsidP="00DC54F7">
      <w:pPr>
        <w:spacing w:after="0" w:line="240" w:lineRule="auto"/>
        <w:jc w:val="both"/>
        <w:rPr>
          <w:rFonts w:ascii="Arial" w:hAnsi="Arial" w:cs="Arial"/>
          <w:bCs/>
          <w:sz w:val="24"/>
          <w:szCs w:val="24"/>
          <w:lang w:val="en-US"/>
        </w:rPr>
      </w:pPr>
    </w:p>
    <w:p w14:paraId="59155AE2" w14:textId="05C8A039" w:rsidR="003E2B53" w:rsidRPr="00337787" w:rsidRDefault="003E2B53" w:rsidP="00DC54F7">
      <w:pPr>
        <w:spacing w:after="0" w:line="240" w:lineRule="auto"/>
        <w:jc w:val="both"/>
        <w:rPr>
          <w:rFonts w:ascii="Arial" w:hAnsi="Arial" w:cs="Arial"/>
          <w:bCs/>
          <w:sz w:val="24"/>
          <w:szCs w:val="24"/>
          <w:lang w:val="en-US"/>
        </w:rPr>
      </w:pPr>
      <w:r w:rsidRPr="00337787">
        <w:rPr>
          <w:rFonts w:ascii="Arial" w:hAnsi="Arial" w:cs="Arial"/>
          <w:bCs/>
          <w:sz w:val="24"/>
          <w:szCs w:val="24"/>
          <w:lang w:val="en-US"/>
        </w:rPr>
        <w:t xml:space="preserve">There are plans for a Wellbeing Hub in Cogan, which will house some other community services as well as current Penarth GP practice. </w:t>
      </w:r>
    </w:p>
    <w:p w14:paraId="6D645AAB" w14:textId="72B12D2B" w:rsidR="0063382E" w:rsidRDefault="00B82E86" w:rsidP="00DC54F7">
      <w:pPr>
        <w:spacing w:after="0" w:line="240" w:lineRule="auto"/>
        <w:jc w:val="both"/>
        <w:rPr>
          <w:rFonts w:ascii="Arial" w:hAnsi="Arial" w:cs="Arial"/>
          <w:b/>
          <w:sz w:val="26"/>
          <w:szCs w:val="26"/>
          <w:lang w:val="en-US"/>
        </w:rPr>
      </w:pPr>
      <w:r>
        <w:rPr>
          <w:rFonts w:ascii="Arial" w:hAnsi="Arial" w:cs="Arial"/>
          <w:b/>
          <w:sz w:val="26"/>
          <w:szCs w:val="26"/>
        </w:rPr>
        <w:lastRenderedPageBreak/>
        <w:t>15</w:t>
      </w:r>
      <w:r w:rsidR="0063382E" w:rsidRPr="00A10850">
        <w:rPr>
          <w:rFonts w:ascii="Arial" w:hAnsi="Arial" w:cs="Arial"/>
          <w:b/>
          <w:sz w:val="26"/>
          <w:szCs w:val="26"/>
        </w:rPr>
        <w:t xml:space="preserve">.2 </w:t>
      </w:r>
      <w:r w:rsidR="0063382E" w:rsidRPr="00D10889">
        <w:rPr>
          <w:rFonts w:ascii="Arial" w:hAnsi="Arial" w:cs="Arial"/>
          <w:b/>
          <w:sz w:val="24"/>
          <w:szCs w:val="24"/>
        </w:rPr>
        <w:t>Current</w:t>
      </w:r>
      <w:r w:rsidR="0063382E" w:rsidRPr="00D10889">
        <w:rPr>
          <w:rFonts w:ascii="Arial" w:hAnsi="Arial" w:cs="Arial"/>
          <w:b/>
          <w:sz w:val="24"/>
          <w:szCs w:val="24"/>
          <w:lang w:val="en-US"/>
        </w:rPr>
        <w:t xml:space="preserve"> provision of pharmaceutical services within the </w:t>
      </w:r>
      <w:r w:rsidR="00CF0E73" w:rsidRPr="00D10889">
        <w:rPr>
          <w:rFonts w:ascii="Arial" w:hAnsi="Arial" w:cs="Arial"/>
          <w:b/>
          <w:sz w:val="24"/>
          <w:szCs w:val="24"/>
          <w:lang w:val="en-US"/>
        </w:rPr>
        <w:t>cluster</w:t>
      </w:r>
    </w:p>
    <w:p w14:paraId="7195B005" w14:textId="168EAC93" w:rsidR="00CF0E73" w:rsidRDefault="00CF0E73" w:rsidP="00DC54F7">
      <w:pPr>
        <w:spacing w:after="0" w:line="240" w:lineRule="auto"/>
        <w:jc w:val="both"/>
        <w:rPr>
          <w:rFonts w:ascii="Arial" w:hAnsi="Arial" w:cs="Arial"/>
          <w:b/>
          <w:sz w:val="26"/>
          <w:szCs w:val="26"/>
          <w:lang w:val="en-US"/>
        </w:rPr>
      </w:pPr>
    </w:p>
    <w:p w14:paraId="7E529DDA" w14:textId="12761CE6" w:rsidR="007E542B" w:rsidRPr="00337787" w:rsidRDefault="007E542B" w:rsidP="00DC54F7">
      <w:pPr>
        <w:spacing w:after="0" w:line="240" w:lineRule="auto"/>
        <w:jc w:val="both"/>
        <w:rPr>
          <w:rFonts w:ascii="Arial" w:hAnsi="Arial" w:cs="Arial"/>
          <w:bCs/>
          <w:sz w:val="24"/>
          <w:szCs w:val="24"/>
          <w:lang w:val="en-US"/>
        </w:rPr>
      </w:pPr>
      <w:r w:rsidRPr="00337787">
        <w:rPr>
          <w:rFonts w:ascii="Arial" w:hAnsi="Arial" w:cs="Arial"/>
          <w:bCs/>
          <w:sz w:val="24"/>
          <w:szCs w:val="24"/>
          <w:lang w:val="en-US"/>
        </w:rPr>
        <w:t xml:space="preserve">There are nine pharmacies in Eastern Vale. </w:t>
      </w:r>
      <w:r w:rsidR="00372B45" w:rsidRPr="00337787">
        <w:rPr>
          <w:rFonts w:ascii="Arial" w:hAnsi="Arial" w:cs="Arial"/>
          <w:bCs/>
          <w:sz w:val="24"/>
          <w:szCs w:val="24"/>
          <w:lang w:val="en-US"/>
        </w:rPr>
        <w:t>There is also one appliance contractor.</w:t>
      </w:r>
    </w:p>
    <w:p w14:paraId="61EBC068" w14:textId="2C414CEB" w:rsidR="00D46991" w:rsidRDefault="00D46991" w:rsidP="00DC54F7">
      <w:pPr>
        <w:spacing w:after="0" w:line="240" w:lineRule="auto"/>
        <w:jc w:val="both"/>
        <w:rPr>
          <w:rFonts w:ascii="Arial" w:hAnsi="Arial" w:cs="Arial"/>
          <w:bCs/>
          <w:lang w:val="en-US"/>
        </w:rPr>
      </w:pPr>
    </w:p>
    <w:p w14:paraId="025E14E8" w14:textId="3311FCC2" w:rsidR="00FD4864" w:rsidRPr="00EA5797" w:rsidRDefault="00D46991" w:rsidP="00DC54F7">
      <w:pPr>
        <w:spacing w:after="0" w:line="240" w:lineRule="auto"/>
        <w:jc w:val="both"/>
        <w:rPr>
          <w:rFonts w:ascii="Arial" w:hAnsi="Arial" w:cs="Arial"/>
          <w:b/>
          <w:sz w:val="24"/>
          <w:szCs w:val="24"/>
          <w:lang w:val="en-US"/>
        </w:rPr>
      </w:pPr>
      <w:r w:rsidRPr="00EA5797">
        <w:rPr>
          <w:rFonts w:ascii="Arial" w:hAnsi="Arial" w:cs="Arial"/>
          <w:b/>
          <w:sz w:val="24"/>
          <w:szCs w:val="24"/>
          <w:lang w:val="en-US"/>
        </w:rPr>
        <w:t>Table 15.7: Pharmacies in Eastern Vale cluster</w:t>
      </w:r>
    </w:p>
    <w:tbl>
      <w:tblPr>
        <w:tblW w:w="953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256"/>
        <w:gridCol w:w="655"/>
        <w:gridCol w:w="2605"/>
        <w:gridCol w:w="1714"/>
        <w:gridCol w:w="1308"/>
      </w:tblGrid>
      <w:tr w:rsidR="00FA26B5" w:rsidRPr="00FA26B5" w14:paraId="4412DA43" w14:textId="77777777" w:rsidTr="00EA5797">
        <w:trPr>
          <w:trHeight w:val="280"/>
        </w:trPr>
        <w:tc>
          <w:tcPr>
            <w:tcW w:w="3911" w:type="dxa"/>
            <w:gridSpan w:val="2"/>
            <w:tcBorders>
              <w:bottom w:val="single" w:sz="4" w:space="0" w:color="auto"/>
            </w:tcBorders>
            <w:shd w:val="clear" w:color="auto" w:fill="8497B0"/>
            <w:noWrap/>
            <w:vAlign w:val="bottom"/>
            <w:hideMark/>
          </w:tcPr>
          <w:p w14:paraId="5190041A" w14:textId="77777777" w:rsidR="00FA26B5" w:rsidRPr="00EA5797" w:rsidRDefault="00FA26B5" w:rsidP="00DC54F7">
            <w:pPr>
              <w:spacing w:after="0" w:line="240" w:lineRule="auto"/>
              <w:jc w:val="both"/>
              <w:rPr>
                <w:rFonts w:ascii="Arial" w:eastAsia="Times New Roman" w:hAnsi="Arial" w:cs="Arial"/>
                <w:b/>
                <w:bCs/>
                <w:color w:val="FFFFFF"/>
                <w:sz w:val="20"/>
                <w:szCs w:val="20"/>
                <w:lang w:eastAsia="en-GB"/>
              </w:rPr>
            </w:pPr>
            <w:r w:rsidRPr="00EA5797">
              <w:rPr>
                <w:rFonts w:ascii="Arial" w:eastAsia="Times New Roman" w:hAnsi="Arial" w:cs="Arial"/>
                <w:b/>
                <w:bCs/>
                <w:color w:val="FFFFFF"/>
                <w:sz w:val="20"/>
                <w:szCs w:val="20"/>
                <w:lang w:eastAsia="en-GB"/>
              </w:rPr>
              <w:t>Pharmacy</w:t>
            </w:r>
          </w:p>
        </w:tc>
        <w:tc>
          <w:tcPr>
            <w:tcW w:w="5627" w:type="dxa"/>
            <w:gridSpan w:val="3"/>
            <w:tcBorders>
              <w:bottom w:val="single" w:sz="4" w:space="0" w:color="auto"/>
            </w:tcBorders>
            <w:shd w:val="clear" w:color="auto" w:fill="8497B0"/>
            <w:noWrap/>
            <w:vAlign w:val="bottom"/>
            <w:hideMark/>
          </w:tcPr>
          <w:p w14:paraId="1CFA2965" w14:textId="77777777" w:rsidR="00FA26B5" w:rsidRPr="00EA5797" w:rsidRDefault="00FA26B5" w:rsidP="00DC54F7">
            <w:pPr>
              <w:spacing w:after="0" w:line="240" w:lineRule="auto"/>
              <w:jc w:val="both"/>
              <w:rPr>
                <w:rFonts w:ascii="Arial" w:eastAsia="Times New Roman" w:hAnsi="Arial" w:cs="Arial"/>
                <w:b/>
                <w:bCs/>
                <w:color w:val="FFFFFF"/>
                <w:sz w:val="20"/>
                <w:szCs w:val="20"/>
                <w:lang w:eastAsia="en-GB"/>
              </w:rPr>
            </w:pPr>
            <w:r w:rsidRPr="00EA5797">
              <w:rPr>
                <w:rFonts w:ascii="Arial" w:eastAsia="Times New Roman" w:hAnsi="Arial" w:cs="Arial"/>
                <w:b/>
                <w:bCs/>
                <w:color w:val="FFFFFF"/>
                <w:sz w:val="20"/>
                <w:szCs w:val="20"/>
                <w:lang w:eastAsia="en-GB"/>
              </w:rPr>
              <w:t>Address</w:t>
            </w:r>
          </w:p>
        </w:tc>
      </w:tr>
      <w:tr w:rsidR="00FA26B5" w:rsidRPr="00FA26B5" w14:paraId="24274623" w14:textId="77777777" w:rsidTr="00EA5797">
        <w:trPr>
          <w:trHeight w:val="312"/>
        </w:trPr>
        <w:tc>
          <w:tcPr>
            <w:tcW w:w="3256" w:type="dxa"/>
            <w:tcBorders>
              <w:top w:val="single" w:sz="4" w:space="0" w:color="auto"/>
              <w:left w:val="single" w:sz="4" w:space="0" w:color="auto"/>
              <w:bottom w:val="nil"/>
              <w:right w:val="nil"/>
            </w:tcBorders>
            <w:shd w:val="clear" w:color="000000" w:fill="F2F2F2"/>
            <w:noWrap/>
            <w:vAlign w:val="bottom"/>
            <w:hideMark/>
          </w:tcPr>
          <w:p w14:paraId="224C1CA0"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Boots UK Limited</w:t>
            </w:r>
          </w:p>
        </w:tc>
        <w:tc>
          <w:tcPr>
            <w:tcW w:w="3260" w:type="dxa"/>
            <w:gridSpan w:val="2"/>
            <w:tcBorders>
              <w:top w:val="single" w:sz="4" w:space="0" w:color="auto"/>
              <w:left w:val="nil"/>
              <w:bottom w:val="nil"/>
              <w:right w:val="nil"/>
            </w:tcBorders>
            <w:shd w:val="clear" w:color="000000" w:fill="F2F2F2"/>
            <w:vAlign w:val="bottom"/>
            <w:hideMark/>
          </w:tcPr>
          <w:p w14:paraId="5CF2E942"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24 Winsdor Road</w:t>
            </w:r>
          </w:p>
        </w:tc>
        <w:tc>
          <w:tcPr>
            <w:tcW w:w="1714" w:type="dxa"/>
            <w:tcBorders>
              <w:top w:val="single" w:sz="4" w:space="0" w:color="auto"/>
              <w:left w:val="nil"/>
              <w:bottom w:val="nil"/>
              <w:right w:val="nil"/>
            </w:tcBorders>
            <w:shd w:val="clear" w:color="000000" w:fill="F2F2F2"/>
            <w:vAlign w:val="bottom"/>
            <w:hideMark/>
          </w:tcPr>
          <w:p w14:paraId="6DEB7F96"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Penarth</w:t>
            </w:r>
          </w:p>
        </w:tc>
        <w:tc>
          <w:tcPr>
            <w:tcW w:w="1308" w:type="dxa"/>
            <w:tcBorders>
              <w:top w:val="single" w:sz="4" w:space="0" w:color="auto"/>
              <w:left w:val="nil"/>
              <w:bottom w:val="nil"/>
              <w:right w:val="single" w:sz="4" w:space="0" w:color="auto"/>
            </w:tcBorders>
            <w:shd w:val="clear" w:color="000000" w:fill="F2F2F2"/>
            <w:vAlign w:val="bottom"/>
            <w:hideMark/>
          </w:tcPr>
          <w:p w14:paraId="7E8A8BEF"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CF64 1YJ</w:t>
            </w:r>
          </w:p>
        </w:tc>
      </w:tr>
      <w:tr w:rsidR="00FA26B5" w:rsidRPr="00FA26B5" w14:paraId="122E8735" w14:textId="77777777" w:rsidTr="00EA5797">
        <w:trPr>
          <w:trHeight w:val="312"/>
        </w:trPr>
        <w:tc>
          <w:tcPr>
            <w:tcW w:w="3256" w:type="dxa"/>
            <w:tcBorders>
              <w:top w:val="nil"/>
              <w:left w:val="single" w:sz="4" w:space="0" w:color="auto"/>
              <w:bottom w:val="nil"/>
              <w:right w:val="nil"/>
            </w:tcBorders>
            <w:shd w:val="clear" w:color="000000" w:fill="FFFFFF"/>
            <w:noWrap/>
            <w:vAlign w:val="bottom"/>
            <w:hideMark/>
          </w:tcPr>
          <w:p w14:paraId="11BA7F5D"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Tesco Stores Limited</w:t>
            </w:r>
          </w:p>
        </w:tc>
        <w:tc>
          <w:tcPr>
            <w:tcW w:w="3260" w:type="dxa"/>
            <w:gridSpan w:val="2"/>
            <w:tcBorders>
              <w:top w:val="nil"/>
              <w:left w:val="nil"/>
              <w:bottom w:val="nil"/>
              <w:right w:val="nil"/>
            </w:tcBorders>
            <w:shd w:val="clear" w:color="000000" w:fill="FFFFFF"/>
            <w:vAlign w:val="bottom"/>
            <w:hideMark/>
          </w:tcPr>
          <w:p w14:paraId="3AB4D3AC"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Tesco Instore Pharmacy Penarth Haven</w:t>
            </w:r>
          </w:p>
        </w:tc>
        <w:tc>
          <w:tcPr>
            <w:tcW w:w="1714" w:type="dxa"/>
            <w:tcBorders>
              <w:top w:val="nil"/>
              <w:left w:val="nil"/>
              <w:bottom w:val="nil"/>
              <w:right w:val="nil"/>
            </w:tcBorders>
            <w:shd w:val="clear" w:color="000000" w:fill="FFFFFF"/>
            <w:vAlign w:val="bottom"/>
            <w:hideMark/>
          </w:tcPr>
          <w:p w14:paraId="462952DD"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Penarth</w:t>
            </w:r>
          </w:p>
        </w:tc>
        <w:tc>
          <w:tcPr>
            <w:tcW w:w="1308" w:type="dxa"/>
            <w:tcBorders>
              <w:top w:val="nil"/>
              <w:left w:val="nil"/>
              <w:bottom w:val="nil"/>
              <w:right w:val="single" w:sz="4" w:space="0" w:color="auto"/>
            </w:tcBorders>
            <w:shd w:val="clear" w:color="000000" w:fill="FFFFFF"/>
            <w:vAlign w:val="bottom"/>
            <w:hideMark/>
          </w:tcPr>
          <w:p w14:paraId="3A5CB8E9"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CF64 1SA</w:t>
            </w:r>
          </w:p>
        </w:tc>
      </w:tr>
      <w:tr w:rsidR="00FA26B5" w:rsidRPr="00FA26B5" w14:paraId="7443AA5F" w14:textId="77777777" w:rsidTr="00EA5797">
        <w:trPr>
          <w:trHeight w:val="312"/>
        </w:trPr>
        <w:tc>
          <w:tcPr>
            <w:tcW w:w="3256" w:type="dxa"/>
            <w:tcBorders>
              <w:top w:val="nil"/>
              <w:left w:val="single" w:sz="4" w:space="0" w:color="auto"/>
              <w:bottom w:val="nil"/>
              <w:right w:val="nil"/>
            </w:tcBorders>
            <w:shd w:val="clear" w:color="000000" w:fill="F2F2F2"/>
            <w:noWrap/>
            <w:vAlign w:val="bottom"/>
            <w:hideMark/>
          </w:tcPr>
          <w:p w14:paraId="1E05B773"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Pearns Pharmacies Ltd T/A Ivor Owen Pharmacy</w:t>
            </w:r>
          </w:p>
        </w:tc>
        <w:tc>
          <w:tcPr>
            <w:tcW w:w="3260" w:type="dxa"/>
            <w:gridSpan w:val="2"/>
            <w:tcBorders>
              <w:top w:val="nil"/>
              <w:left w:val="nil"/>
              <w:bottom w:val="nil"/>
              <w:right w:val="nil"/>
            </w:tcBorders>
            <w:shd w:val="clear" w:color="000000" w:fill="F2F2F2"/>
            <w:vAlign w:val="bottom"/>
            <w:hideMark/>
          </w:tcPr>
          <w:p w14:paraId="5C5B7D49"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5a Cornerswell Road</w:t>
            </w:r>
          </w:p>
        </w:tc>
        <w:tc>
          <w:tcPr>
            <w:tcW w:w="1714" w:type="dxa"/>
            <w:tcBorders>
              <w:top w:val="nil"/>
              <w:left w:val="nil"/>
              <w:bottom w:val="nil"/>
              <w:right w:val="nil"/>
            </w:tcBorders>
            <w:shd w:val="clear" w:color="000000" w:fill="F2F2F2"/>
            <w:vAlign w:val="bottom"/>
            <w:hideMark/>
          </w:tcPr>
          <w:p w14:paraId="3CE23070"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Penarth</w:t>
            </w:r>
          </w:p>
        </w:tc>
        <w:tc>
          <w:tcPr>
            <w:tcW w:w="1308" w:type="dxa"/>
            <w:tcBorders>
              <w:top w:val="nil"/>
              <w:left w:val="nil"/>
              <w:bottom w:val="nil"/>
              <w:right w:val="single" w:sz="4" w:space="0" w:color="auto"/>
            </w:tcBorders>
            <w:shd w:val="clear" w:color="000000" w:fill="F2F2F2"/>
            <w:vAlign w:val="bottom"/>
            <w:hideMark/>
          </w:tcPr>
          <w:p w14:paraId="4C690723"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CF64 2UW</w:t>
            </w:r>
          </w:p>
        </w:tc>
      </w:tr>
      <w:tr w:rsidR="00FA26B5" w:rsidRPr="00FA26B5" w14:paraId="2440C028" w14:textId="77777777" w:rsidTr="00EA5797">
        <w:trPr>
          <w:trHeight w:val="312"/>
        </w:trPr>
        <w:tc>
          <w:tcPr>
            <w:tcW w:w="3256" w:type="dxa"/>
            <w:tcBorders>
              <w:top w:val="nil"/>
              <w:left w:val="single" w:sz="4" w:space="0" w:color="auto"/>
              <w:bottom w:val="nil"/>
              <w:right w:val="nil"/>
            </w:tcBorders>
            <w:shd w:val="clear" w:color="000000" w:fill="FFFFFF"/>
            <w:noWrap/>
            <w:vAlign w:val="bottom"/>
            <w:hideMark/>
          </w:tcPr>
          <w:p w14:paraId="62EBE47D"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Pearn's Pharmacies Ltd</w:t>
            </w:r>
          </w:p>
        </w:tc>
        <w:tc>
          <w:tcPr>
            <w:tcW w:w="3260" w:type="dxa"/>
            <w:gridSpan w:val="2"/>
            <w:tcBorders>
              <w:top w:val="nil"/>
              <w:left w:val="nil"/>
              <w:bottom w:val="nil"/>
              <w:right w:val="nil"/>
            </w:tcBorders>
            <w:shd w:val="clear" w:color="000000" w:fill="FFFFFF"/>
            <w:vAlign w:val="bottom"/>
            <w:hideMark/>
          </w:tcPr>
          <w:p w14:paraId="0EA9717F"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36 Windsor Road</w:t>
            </w:r>
          </w:p>
        </w:tc>
        <w:tc>
          <w:tcPr>
            <w:tcW w:w="1714" w:type="dxa"/>
            <w:tcBorders>
              <w:top w:val="nil"/>
              <w:left w:val="nil"/>
              <w:bottom w:val="nil"/>
              <w:right w:val="nil"/>
            </w:tcBorders>
            <w:shd w:val="clear" w:color="000000" w:fill="FFFFFF"/>
            <w:vAlign w:val="bottom"/>
            <w:hideMark/>
          </w:tcPr>
          <w:p w14:paraId="1573BFB3"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Penarth</w:t>
            </w:r>
          </w:p>
        </w:tc>
        <w:tc>
          <w:tcPr>
            <w:tcW w:w="1308" w:type="dxa"/>
            <w:tcBorders>
              <w:top w:val="nil"/>
              <w:left w:val="nil"/>
              <w:bottom w:val="nil"/>
              <w:right w:val="single" w:sz="4" w:space="0" w:color="auto"/>
            </w:tcBorders>
            <w:shd w:val="clear" w:color="000000" w:fill="FFFFFF"/>
            <w:vAlign w:val="bottom"/>
            <w:hideMark/>
          </w:tcPr>
          <w:p w14:paraId="148DF01A"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CF64 1YD</w:t>
            </w:r>
          </w:p>
        </w:tc>
      </w:tr>
      <w:tr w:rsidR="00FA26B5" w:rsidRPr="00FA26B5" w14:paraId="668EB36F" w14:textId="77777777" w:rsidTr="00EA5797">
        <w:trPr>
          <w:trHeight w:val="312"/>
        </w:trPr>
        <w:tc>
          <w:tcPr>
            <w:tcW w:w="3256" w:type="dxa"/>
            <w:tcBorders>
              <w:top w:val="nil"/>
              <w:left w:val="single" w:sz="4" w:space="0" w:color="auto"/>
              <w:bottom w:val="nil"/>
              <w:right w:val="nil"/>
            </w:tcBorders>
            <w:shd w:val="clear" w:color="000000" w:fill="F2F2F2"/>
            <w:noWrap/>
            <w:vAlign w:val="bottom"/>
            <w:hideMark/>
          </w:tcPr>
          <w:p w14:paraId="63188689"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Mayberry Pharmacy</w:t>
            </w:r>
          </w:p>
        </w:tc>
        <w:tc>
          <w:tcPr>
            <w:tcW w:w="3260" w:type="dxa"/>
            <w:gridSpan w:val="2"/>
            <w:tcBorders>
              <w:top w:val="nil"/>
              <w:left w:val="nil"/>
              <w:bottom w:val="nil"/>
              <w:right w:val="nil"/>
            </w:tcBorders>
            <w:shd w:val="clear" w:color="000000" w:fill="F2F2F2"/>
            <w:vAlign w:val="bottom"/>
            <w:hideMark/>
          </w:tcPr>
          <w:p w14:paraId="3EEE24F7"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Mayberry pharmacy 3 Royal Buildings Stanwell Road</w:t>
            </w:r>
          </w:p>
        </w:tc>
        <w:tc>
          <w:tcPr>
            <w:tcW w:w="1714" w:type="dxa"/>
            <w:tcBorders>
              <w:top w:val="nil"/>
              <w:left w:val="nil"/>
              <w:bottom w:val="nil"/>
              <w:right w:val="nil"/>
            </w:tcBorders>
            <w:shd w:val="clear" w:color="000000" w:fill="F2F2F2"/>
            <w:vAlign w:val="bottom"/>
            <w:hideMark/>
          </w:tcPr>
          <w:p w14:paraId="510CE07C"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Penarth</w:t>
            </w:r>
          </w:p>
        </w:tc>
        <w:tc>
          <w:tcPr>
            <w:tcW w:w="1308" w:type="dxa"/>
            <w:tcBorders>
              <w:top w:val="nil"/>
              <w:left w:val="nil"/>
              <w:bottom w:val="nil"/>
              <w:right w:val="single" w:sz="4" w:space="0" w:color="auto"/>
            </w:tcBorders>
            <w:shd w:val="clear" w:color="000000" w:fill="F2F2F2"/>
            <w:vAlign w:val="bottom"/>
            <w:hideMark/>
          </w:tcPr>
          <w:p w14:paraId="760CDD32"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CF64 3EB</w:t>
            </w:r>
          </w:p>
        </w:tc>
      </w:tr>
      <w:tr w:rsidR="00FA26B5" w:rsidRPr="00FA26B5" w14:paraId="5636E148" w14:textId="77777777" w:rsidTr="00EA5797">
        <w:trPr>
          <w:trHeight w:val="312"/>
        </w:trPr>
        <w:tc>
          <w:tcPr>
            <w:tcW w:w="3256" w:type="dxa"/>
            <w:tcBorders>
              <w:top w:val="nil"/>
              <w:left w:val="single" w:sz="4" w:space="0" w:color="auto"/>
              <w:bottom w:val="nil"/>
              <w:right w:val="nil"/>
            </w:tcBorders>
            <w:shd w:val="clear" w:color="000000" w:fill="FFFFFF"/>
            <w:noWrap/>
            <w:vAlign w:val="bottom"/>
            <w:hideMark/>
          </w:tcPr>
          <w:p w14:paraId="0B86954D"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TH &amp; L Jones</w:t>
            </w:r>
          </w:p>
        </w:tc>
        <w:tc>
          <w:tcPr>
            <w:tcW w:w="3260" w:type="dxa"/>
            <w:gridSpan w:val="2"/>
            <w:tcBorders>
              <w:top w:val="nil"/>
              <w:left w:val="nil"/>
              <w:bottom w:val="nil"/>
              <w:right w:val="nil"/>
            </w:tcBorders>
            <w:shd w:val="clear" w:color="000000" w:fill="FFFFFF"/>
            <w:vAlign w:val="bottom"/>
            <w:hideMark/>
          </w:tcPr>
          <w:p w14:paraId="451A54A2"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26 Cardiff Road</w:t>
            </w:r>
          </w:p>
        </w:tc>
        <w:tc>
          <w:tcPr>
            <w:tcW w:w="1714" w:type="dxa"/>
            <w:tcBorders>
              <w:top w:val="nil"/>
              <w:left w:val="nil"/>
              <w:bottom w:val="nil"/>
              <w:right w:val="nil"/>
            </w:tcBorders>
            <w:shd w:val="clear" w:color="000000" w:fill="FFFFFF"/>
            <w:vAlign w:val="bottom"/>
            <w:hideMark/>
          </w:tcPr>
          <w:p w14:paraId="1E2DA465"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Dinas Powys</w:t>
            </w:r>
          </w:p>
        </w:tc>
        <w:tc>
          <w:tcPr>
            <w:tcW w:w="1308" w:type="dxa"/>
            <w:tcBorders>
              <w:top w:val="nil"/>
              <w:left w:val="nil"/>
              <w:bottom w:val="nil"/>
              <w:right w:val="single" w:sz="4" w:space="0" w:color="auto"/>
            </w:tcBorders>
            <w:shd w:val="clear" w:color="000000" w:fill="FFFFFF"/>
            <w:vAlign w:val="bottom"/>
            <w:hideMark/>
          </w:tcPr>
          <w:p w14:paraId="58086C7D"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CF64 4JS</w:t>
            </w:r>
          </w:p>
        </w:tc>
      </w:tr>
      <w:tr w:rsidR="00FA26B5" w:rsidRPr="00FA26B5" w14:paraId="6EC29B3B" w14:textId="77777777" w:rsidTr="00EA5797">
        <w:trPr>
          <w:trHeight w:val="312"/>
        </w:trPr>
        <w:tc>
          <w:tcPr>
            <w:tcW w:w="3256" w:type="dxa"/>
            <w:tcBorders>
              <w:top w:val="nil"/>
              <w:left w:val="single" w:sz="4" w:space="0" w:color="auto"/>
              <w:bottom w:val="nil"/>
              <w:right w:val="nil"/>
            </w:tcBorders>
            <w:shd w:val="clear" w:color="000000" w:fill="F2F2F2"/>
            <w:noWrap/>
            <w:vAlign w:val="bottom"/>
            <w:hideMark/>
          </w:tcPr>
          <w:p w14:paraId="126D7A40"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TH &amp; L Jones</w:t>
            </w:r>
          </w:p>
        </w:tc>
        <w:tc>
          <w:tcPr>
            <w:tcW w:w="3260" w:type="dxa"/>
            <w:gridSpan w:val="2"/>
            <w:tcBorders>
              <w:top w:val="nil"/>
              <w:left w:val="nil"/>
              <w:bottom w:val="nil"/>
              <w:right w:val="nil"/>
            </w:tcBorders>
            <w:shd w:val="clear" w:color="000000" w:fill="F2F2F2"/>
            <w:vAlign w:val="bottom"/>
            <w:hideMark/>
          </w:tcPr>
          <w:p w14:paraId="0CF79CBB"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The Murch Pharmacy Dinas Powys Medical Ctre Murch Rd</w:t>
            </w:r>
          </w:p>
        </w:tc>
        <w:tc>
          <w:tcPr>
            <w:tcW w:w="1714" w:type="dxa"/>
            <w:tcBorders>
              <w:top w:val="nil"/>
              <w:left w:val="nil"/>
              <w:bottom w:val="nil"/>
              <w:right w:val="nil"/>
            </w:tcBorders>
            <w:shd w:val="clear" w:color="000000" w:fill="F2F2F2"/>
            <w:noWrap/>
            <w:vAlign w:val="bottom"/>
            <w:hideMark/>
          </w:tcPr>
          <w:p w14:paraId="12445D3F"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Dinas Powys</w:t>
            </w:r>
          </w:p>
        </w:tc>
        <w:tc>
          <w:tcPr>
            <w:tcW w:w="1308" w:type="dxa"/>
            <w:tcBorders>
              <w:top w:val="nil"/>
              <w:left w:val="nil"/>
              <w:bottom w:val="nil"/>
              <w:right w:val="single" w:sz="4" w:space="0" w:color="auto"/>
            </w:tcBorders>
            <w:shd w:val="clear" w:color="000000" w:fill="F2F2F2"/>
            <w:vAlign w:val="bottom"/>
            <w:hideMark/>
          </w:tcPr>
          <w:p w14:paraId="63B9ECE9"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CF64 4RE</w:t>
            </w:r>
          </w:p>
        </w:tc>
      </w:tr>
      <w:tr w:rsidR="00FA26B5" w:rsidRPr="00FA26B5" w14:paraId="07FD5559" w14:textId="77777777" w:rsidTr="00EA5797">
        <w:trPr>
          <w:trHeight w:val="312"/>
        </w:trPr>
        <w:tc>
          <w:tcPr>
            <w:tcW w:w="3256" w:type="dxa"/>
            <w:tcBorders>
              <w:top w:val="nil"/>
              <w:left w:val="single" w:sz="4" w:space="0" w:color="auto"/>
              <w:bottom w:val="nil"/>
              <w:right w:val="nil"/>
            </w:tcBorders>
            <w:shd w:val="clear" w:color="000000" w:fill="FFFFFF"/>
            <w:noWrap/>
            <w:vAlign w:val="bottom"/>
            <w:hideMark/>
          </w:tcPr>
          <w:p w14:paraId="3ACA188D"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Pearns Pharmacies T/A Varus Pharmacy</w:t>
            </w:r>
          </w:p>
        </w:tc>
        <w:tc>
          <w:tcPr>
            <w:tcW w:w="3260" w:type="dxa"/>
            <w:gridSpan w:val="2"/>
            <w:tcBorders>
              <w:top w:val="nil"/>
              <w:left w:val="nil"/>
              <w:bottom w:val="nil"/>
              <w:right w:val="nil"/>
            </w:tcBorders>
            <w:shd w:val="clear" w:color="000000" w:fill="FFFFFF"/>
            <w:vAlign w:val="bottom"/>
            <w:hideMark/>
          </w:tcPr>
          <w:p w14:paraId="761CA546"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The Health Centre Stanwell Road</w:t>
            </w:r>
          </w:p>
        </w:tc>
        <w:tc>
          <w:tcPr>
            <w:tcW w:w="1714" w:type="dxa"/>
            <w:tcBorders>
              <w:top w:val="nil"/>
              <w:left w:val="nil"/>
              <w:bottom w:val="nil"/>
              <w:right w:val="nil"/>
            </w:tcBorders>
            <w:shd w:val="clear" w:color="000000" w:fill="FFFFFF"/>
            <w:vAlign w:val="bottom"/>
            <w:hideMark/>
          </w:tcPr>
          <w:p w14:paraId="43FD5648"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Penarth</w:t>
            </w:r>
          </w:p>
        </w:tc>
        <w:tc>
          <w:tcPr>
            <w:tcW w:w="1308" w:type="dxa"/>
            <w:tcBorders>
              <w:top w:val="nil"/>
              <w:left w:val="nil"/>
              <w:bottom w:val="nil"/>
              <w:right w:val="single" w:sz="4" w:space="0" w:color="auto"/>
            </w:tcBorders>
            <w:shd w:val="clear" w:color="000000" w:fill="FFFFFF"/>
            <w:vAlign w:val="bottom"/>
            <w:hideMark/>
          </w:tcPr>
          <w:p w14:paraId="68E3D8B4"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CF64 3XE</w:t>
            </w:r>
          </w:p>
        </w:tc>
      </w:tr>
      <w:tr w:rsidR="00FA26B5" w:rsidRPr="00FA26B5" w14:paraId="11213700" w14:textId="77777777" w:rsidTr="00EA5797">
        <w:trPr>
          <w:trHeight w:val="312"/>
        </w:trPr>
        <w:tc>
          <w:tcPr>
            <w:tcW w:w="3256" w:type="dxa"/>
            <w:tcBorders>
              <w:top w:val="nil"/>
              <w:left w:val="single" w:sz="4" w:space="0" w:color="auto"/>
              <w:bottom w:val="single" w:sz="4" w:space="0" w:color="auto"/>
              <w:right w:val="nil"/>
            </w:tcBorders>
            <w:shd w:val="clear" w:color="000000" w:fill="F2F2F2"/>
            <w:noWrap/>
            <w:vAlign w:val="bottom"/>
            <w:hideMark/>
          </w:tcPr>
          <w:p w14:paraId="1CBFF6A6"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Pearns Pharmacies T/A Washington Pharmacy</w:t>
            </w:r>
          </w:p>
        </w:tc>
        <w:tc>
          <w:tcPr>
            <w:tcW w:w="3260" w:type="dxa"/>
            <w:gridSpan w:val="2"/>
            <w:tcBorders>
              <w:top w:val="nil"/>
              <w:left w:val="nil"/>
              <w:bottom w:val="single" w:sz="4" w:space="0" w:color="auto"/>
              <w:right w:val="nil"/>
            </w:tcBorders>
            <w:shd w:val="clear" w:color="000000" w:fill="F2F2F2"/>
            <w:vAlign w:val="bottom"/>
            <w:hideMark/>
          </w:tcPr>
          <w:p w14:paraId="0B660471"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Stanwell Road</w:t>
            </w:r>
          </w:p>
        </w:tc>
        <w:tc>
          <w:tcPr>
            <w:tcW w:w="1714" w:type="dxa"/>
            <w:tcBorders>
              <w:top w:val="nil"/>
              <w:left w:val="nil"/>
              <w:bottom w:val="single" w:sz="4" w:space="0" w:color="auto"/>
              <w:right w:val="nil"/>
            </w:tcBorders>
            <w:shd w:val="clear" w:color="000000" w:fill="F2F2F2"/>
            <w:vAlign w:val="bottom"/>
            <w:hideMark/>
          </w:tcPr>
          <w:p w14:paraId="63C51720"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Penarth</w:t>
            </w:r>
          </w:p>
        </w:tc>
        <w:tc>
          <w:tcPr>
            <w:tcW w:w="1308" w:type="dxa"/>
            <w:tcBorders>
              <w:top w:val="nil"/>
              <w:left w:val="nil"/>
              <w:bottom w:val="single" w:sz="4" w:space="0" w:color="auto"/>
              <w:right w:val="single" w:sz="4" w:space="0" w:color="auto"/>
            </w:tcBorders>
            <w:shd w:val="clear" w:color="000000" w:fill="F2F2F2"/>
            <w:vAlign w:val="bottom"/>
            <w:hideMark/>
          </w:tcPr>
          <w:p w14:paraId="1B1509AF" w14:textId="77777777" w:rsidR="00FA26B5" w:rsidRPr="00EA5797" w:rsidRDefault="00FA26B5" w:rsidP="00DC54F7">
            <w:pPr>
              <w:spacing w:after="0" w:line="240" w:lineRule="auto"/>
              <w:jc w:val="both"/>
              <w:rPr>
                <w:rFonts w:ascii="Arial" w:eastAsia="Times New Roman" w:hAnsi="Arial" w:cs="Arial"/>
                <w:sz w:val="20"/>
                <w:szCs w:val="20"/>
                <w:lang w:eastAsia="en-GB"/>
              </w:rPr>
            </w:pPr>
            <w:r w:rsidRPr="00EA5797">
              <w:rPr>
                <w:rFonts w:ascii="Arial" w:eastAsia="Times New Roman" w:hAnsi="Arial" w:cs="Arial"/>
                <w:sz w:val="20"/>
                <w:szCs w:val="20"/>
                <w:lang w:eastAsia="en-GB"/>
              </w:rPr>
              <w:t>CF64 2AD</w:t>
            </w:r>
          </w:p>
        </w:tc>
      </w:tr>
    </w:tbl>
    <w:p w14:paraId="4146EF16" w14:textId="594EF0E3" w:rsidR="00FD4864" w:rsidRDefault="00FD4864" w:rsidP="00DC54F7">
      <w:pPr>
        <w:spacing w:after="0" w:line="240" w:lineRule="auto"/>
        <w:jc w:val="both"/>
        <w:rPr>
          <w:rFonts w:ascii="Arial" w:hAnsi="Arial" w:cs="Arial"/>
          <w:bCs/>
          <w:lang w:val="en-US"/>
        </w:rPr>
      </w:pPr>
    </w:p>
    <w:p w14:paraId="0B857637" w14:textId="42B07473" w:rsidR="0049672D" w:rsidRPr="00337787" w:rsidRDefault="0049672D" w:rsidP="00DC54F7">
      <w:pPr>
        <w:spacing w:after="0" w:line="240" w:lineRule="auto"/>
        <w:jc w:val="both"/>
        <w:rPr>
          <w:rFonts w:ascii="Arial" w:hAnsi="Arial" w:cs="Arial"/>
          <w:sz w:val="24"/>
          <w:szCs w:val="24"/>
        </w:rPr>
      </w:pPr>
      <w:r w:rsidRPr="00337787">
        <w:rPr>
          <w:rFonts w:ascii="Arial" w:hAnsi="Arial" w:cs="Arial"/>
          <w:sz w:val="24"/>
          <w:szCs w:val="24"/>
        </w:rPr>
        <w:t xml:space="preserve">In 2019 to 2020, </w:t>
      </w:r>
      <w:r w:rsidR="004252DD" w:rsidRPr="00337787">
        <w:rPr>
          <w:rFonts w:ascii="Arial" w:hAnsi="Arial" w:cs="Arial"/>
          <w:sz w:val="24"/>
          <w:szCs w:val="24"/>
        </w:rPr>
        <w:t>9</w:t>
      </w:r>
      <w:r w:rsidR="008964CA" w:rsidRPr="00337787">
        <w:rPr>
          <w:rFonts w:ascii="Arial" w:hAnsi="Arial" w:cs="Arial"/>
          <w:sz w:val="24"/>
          <w:szCs w:val="24"/>
        </w:rPr>
        <w:t>0</w:t>
      </w:r>
      <w:r w:rsidRPr="00337787">
        <w:rPr>
          <w:rFonts w:ascii="Arial" w:hAnsi="Arial" w:cs="Arial"/>
          <w:sz w:val="24"/>
          <w:szCs w:val="24"/>
        </w:rPr>
        <w:t>.</w:t>
      </w:r>
      <w:r w:rsidR="008964CA" w:rsidRPr="00337787">
        <w:rPr>
          <w:rFonts w:ascii="Arial" w:hAnsi="Arial" w:cs="Arial"/>
          <w:sz w:val="24"/>
          <w:szCs w:val="24"/>
        </w:rPr>
        <w:t>6</w:t>
      </w:r>
      <w:r w:rsidRPr="00337787">
        <w:rPr>
          <w:rFonts w:ascii="Arial" w:hAnsi="Arial" w:cs="Arial"/>
          <w:sz w:val="24"/>
          <w:szCs w:val="24"/>
        </w:rPr>
        <w:t>% of items on prescriptions written by the four GP practices in East</w:t>
      </w:r>
      <w:r w:rsidR="00A06144" w:rsidRPr="00337787">
        <w:rPr>
          <w:rFonts w:ascii="Arial" w:hAnsi="Arial" w:cs="Arial"/>
          <w:sz w:val="24"/>
          <w:szCs w:val="24"/>
        </w:rPr>
        <w:t>ern Vale</w:t>
      </w:r>
      <w:r w:rsidRPr="00337787">
        <w:rPr>
          <w:rFonts w:ascii="Arial" w:hAnsi="Arial" w:cs="Arial"/>
          <w:sz w:val="24"/>
          <w:szCs w:val="24"/>
        </w:rPr>
        <w:t xml:space="preserve"> cluster were dispensed by one of the pharmacies within the cluster and 1.8% were personally administered items. </w:t>
      </w:r>
    </w:p>
    <w:p w14:paraId="1306715B" w14:textId="77777777" w:rsidR="007E542B" w:rsidRPr="00337787" w:rsidRDefault="007E542B" w:rsidP="00DC54F7">
      <w:pPr>
        <w:spacing w:after="0" w:line="240" w:lineRule="auto"/>
        <w:jc w:val="both"/>
        <w:rPr>
          <w:rFonts w:ascii="Arial" w:hAnsi="Arial" w:cs="Arial"/>
          <w:bCs/>
          <w:sz w:val="24"/>
          <w:szCs w:val="24"/>
          <w:lang w:val="en-US"/>
        </w:rPr>
      </w:pPr>
    </w:p>
    <w:p w14:paraId="70D707B5" w14:textId="77777777" w:rsidR="007E542B" w:rsidRPr="00337787" w:rsidRDefault="007E542B" w:rsidP="00DC54F7">
      <w:pPr>
        <w:spacing w:after="0" w:line="240" w:lineRule="auto"/>
        <w:jc w:val="both"/>
        <w:rPr>
          <w:rFonts w:ascii="Arial" w:hAnsi="Arial" w:cs="Arial"/>
          <w:bCs/>
          <w:sz w:val="24"/>
          <w:szCs w:val="24"/>
          <w:lang w:val="en-US"/>
        </w:rPr>
      </w:pPr>
      <w:r w:rsidRPr="00337787">
        <w:rPr>
          <w:rFonts w:ascii="Arial" w:hAnsi="Arial" w:cs="Arial"/>
          <w:bCs/>
          <w:sz w:val="24"/>
          <w:szCs w:val="24"/>
          <w:lang w:val="en-US"/>
        </w:rPr>
        <w:t xml:space="preserve">The pharmacies are located in areas of greater population density as shown by the darker shaded areas in the map below. </w:t>
      </w:r>
    </w:p>
    <w:p w14:paraId="044F9EAC" w14:textId="77777777" w:rsidR="007E542B" w:rsidRPr="006E6035" w:rsidRDefault="007E542B" w:rsidP="00DC54F7">
      <w:pPr>
        <w:spacing w:after="0" w:line="240" w:lineRule="auto"/>
        <w:jc w:val="both"/>
        <w:rPr>
          <w:rFonts w:ascii="Arial" w:hAnsi="Arial" w:cs="Arial"/>
          <w:b/>
          <w:lang w:val="en-US"/>
        </w:rPr>
      </w:pPr>
    </w:p>
    <w:p w14:paraId="7D86DFF5" w14:textId="1B3541A6" w:rsidR="007E542B" w:rsidRPr="00EA5797" w:rsidRDefault="007E542B" w:rsidP="00DC54F7">
      <w:pPr>
        <w:spacing w:after="0" w:line="240" w:lineRule="auto"/>
        <w:jc w:val="both"/>
        <w:rPr>
          <w:rFonts w:ascii="Arial" w:hAnsi="Arial" w:cs="Arial"/>
          <w:b/>
          <w:sz w:val="24"/>
          <w:szCs w:val="24"/>
          <w:lang w:val="en-US"/>
        </w:rPr>
      </w:pPr>
      <w:r w:rsidRPr="00EA5797">
        <w:rPr>
          <w:rFonts w:ascii="Arial" w:hAnsi="Arial" w:cs="Arial"/>
          <w:b/>
          <w:sz w:val="24"/>
          <w:szCs w:val="24"/>
          <w:lang w:val="en-US"/>
        </w:rPr>
        <w:t xml:space="preserve">Map </w:t>
      </w:r>
      <w:r w:rsidR="0022747E" w:rsidRPr="00EA5797">
        <w:rPr>
          <w:rFonts w:ascii="Arial" w:hAnsi="Arial" w:cs="Arial"/>
          <w:b/>
          <w:sz w:val="24"/>
          <w:szCs w:val="24"/>
          <w:lang w:val="en-US"/>
        </w:rPr>
        <w:t>15</w:t>
      </w:r>
      <w:r w:rsidRPr="00EA5797">
        <w:rPr>
          <w:rFonts w:ascii="Arial" w:hAnsi="Arial" w:cs="Arial"/>
          <w:b/>
          <w:sz w:val="24"/>
          <w:szCs w:val="24"/>
          <w:lang w:val="en-US"/>
        </w:rPr>
        <w:t>.</w:t>
      </w:r>
      <w:r w:rsidR="001D4097" w:rsidRPr="00EA5797">
        <w:rPr>
          <w:rFonts w:ascii="Arial" w:hAnsi="Arial" w:cs="Arial"/>
          <w:b/>
          <w:sz w:val="24"/>
          <w:szCs w:val="24"/>
          <w:lang w:val="en-US"/>
        </w:rPr>
        <w:t>2</w:t>
      </w:r>
      <w:r w:rsidRPr="00EA5797">
        <w:rPr>
          <w:rFonts w:ascii="Arial" w:hAnsi="Arial" w:cs="Arial"/>
          <w:b/>
          <w:sz w:val="24"/>
          <w:szCs w:val="24"/>
          <w:lang w:val="en-US"/>
        </w:rPr>
        <w:t xml:space="preserve">: Location of </w:t>
      </w:r>
      <w:r w:rsidR="0067503A" w:rsidRPr="00EA5797">
        <w:rPr>
          <w:rFonts w:ascii="Arial" w:hAnsi="Arial" w:cs="Arial"/>
          <w:b/>
          <w:sz w:val="24"/>
          <w:szCs w:val="24"/>
          <w:lang w:val="en-US"/>
        </w:rPr>
        <w:t xml:space="preserve">pharmacy </w:t>
      </w:r>
      <w:r w:rsidR="00D252CD" w:rsidRPr="00EA5797">
        <w:rPr>
          <w:rFonts w:ascii="Arial" w:hAnsi="Arial" w:cs="Arial"/>
          <w:b/>
          <w:sz w:val="24"/>
          <w:szCs w:val="24"/>
          <w:lang w:val="en-US"/>
        </w:rPr>
        <w:t xml:space="preserve">and appliance contractor </w:t>
      </w:r>
      <w:r w:rsidR="0067503A" w:rsidRPr="00EA5797">
        <w:rPr>
          <w:rFonts w:ascii="Arial" w:hAnsi="Arial" w:cs="Arial"/>
          <w:b/>
          <w:sz w:val="24"/>
          <w:szCs w:val="24"/>
          <w:lang w:val="en-US"/>
        </w:rPr>
        <w:t>premises</w:t>
      </w:r>
      <w:r w:rsidRPr="00EA5797">
        <w:rPr>
          <w:rFonts w:ascii="Arial" w:hAnsi="Arial" w:cs="Arial"/>
          <w:b/>
          <w:sz w:val="24"/>
          <w:szCs w:val="24"/>
          <w:lang w:val="en-US"/>
        </w:rPr>
        <w:t xml:space="preserve"> compared to population density</w:t>
      </w:r>
    </w:p>
    <w:p w14:paraId="3A4AB20A" w14:textId="702DB2E3" w:rsidR="007E542B" w:rsidRPr="006E6035" w:rsidRDefault="0025536B" w:rsidP="00DC54F7">
      <w:pPr>
        <w:spacing w:after="0" w:line="240" w:lineRule="auto"/>
        <w:jc w:val="both"/>
        <w:rPr>
          <w:rFonts w:ascii="Arial" w:hAnsi="Arial" w:cs="Arial"/>
          <w:b/>
          <w:lang w:val="en-US"/>
        </w:rPr>
      </w:pPr>
      <w:r>
        <w:rPr>
          <w:noProof/>
          <w:lang w:eastAsia="en-GB"/>
        </w:rPr>
        <w:drawing>
          <wp:inline distT="0" distB="0" distL="0" distR="0" wp14:anchorId="5E83696E" wp14:editId="63D7F0CA">
            <wp:extent cx="5729906" cy="2881423"/>
            <wp:effectExtent l="0" t="0" r="4445" b="0"/>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5774105" cy="2903649"/>
                    </a:xfrm>
                    <a:prstGeom prst="rect">
                      <a:avLst/>
                    </a:prstGeom>
                    <a:noFill/>
                    <a:ln>
                      <a:noFill/>
                    </a:ln>
                  </pic:spPr>
                </pic:pic>
              </a:graphicData>
            </a:graphic>
          </wp:inline>
        </w:drawing>
      </w:r>
    </w:p>
    <w:p w14:paraId="488F8B25" w14:textId="78466073" w:rsidR="007E542B" w:rsidRPr="00EA5797" w:rsidRDefault="007E542B" w:rsidP="00DC54F7">
      <w:pPr>
        <w:spacing w:after="0" w:line="240" w:lineRule="auto"/>
        <w:contextualSpacing/>
        <w:jc w:val="both"/>
        <w:rPr>
          <w:rFonts w:ascii="Arial" w:hAnsi="Arial" w:cs="Arial"/>
          <w:sz w:val="24"/>
          <w:szCs w:val="24"/>
        </w:rPr>
      </w:pPr>
      <w:r w:rsidRPr="00EA5797">
        <w:rPr>
          <w:rFonts w:ascii="Arial" w:hAnsi="Arial" w:cs="Arial"/>
          <w:sz w:val="24"/>
          <w:szCs w:val="24"/>
        </w:rPr>
        <w:t xml:space="preserve">All residents of the cluster can access one of the pharmacies by car within </w:t>
      </w:r>
      <w:r w:rsidR="0077296C" w:rsidRPr="00EA5797">
        <w:rPr>
          <w:rFonts w:ascii="Arial" w:hAnsi="Arial" w:cs="Arial"/>
          <w:sz w:val="24"/>
          <w:szCs w:val="24"/>
        </w:rPr>
        <w:t>1</w:t>
      </w:r>
      <w:r w:rsidRPr="00EA5797">
        <w:rPr>
          <w:rFonts w:ascii="Arial" w:hAnsi="Arial" w:cs="Arial"/>
          <w:sz w:val="24"/>
          <w:szCs w:val="24"/>
        </w:rPr>
        <w:t xml:space="preserve">0 minutes. The majority can access a pharmacy within </w:t>
      </w:r>
      <w:r w:rsidR="0077296C" w:rsidRPr="00EA5797">
        <w:rPr>
          <w:rFonts w:ascii="Arial" w:hAnsi="Arial" w:cs="Arial"/>
          <w:sz w:val="24"/>
          <w:szCs w:val="24"/>
        </w:rPr>
        <w:t xml:space="preserve">five </w:t>
      </w:r>
      <w:r w:rsidRPr="00EA5797">
        <w:rPr>
          <w:rFonts w:ascii="Arial" w:hAnsi="Arial" w:cs="Arial"/>
          <w:sz w:val="24"/>
          <w:szCs w:val="24"/>
        </w:rPr>
        <w:t xml:space="preserve">minutes, as shown in map </w:t>
      </w:r>
      <w:r w:rsidR="0022747E" w:rsidRPr="00EA5797">
        <w:rPr>
          <w:rFonts w:ascii="Arial" w:hAnsi="Arial" w:cs="Arial"/>
          <w:sz w:val="24"/>
          <w:szCs w:val="24"/>
        </w:rPr>
        <w:t>15</w:t>
      </w:r>
      <w:r w:rsidRPr="00EA5797">
        <w:rPr>
          <w:rFonts w:ascii="Arial" w:hAnsi="Arial" w:cs="Arial"/>
          <w:sz w:val="24"/>
          <w:szCs w:val="24"/>
        </w:rPr>
        <w:t>.</w:t>
      </w:r>
      <w:r w:rsidR="00EA5797">
        <w:rPr>
          <w:rFonts w:ascii="Arial" w:hAnsi="Arial" w:cs="Arial"/>
          <w:sz w:val="24"/>
          <w:szCs w:val="24"/>
        </w:rPr>
        <w:t>3</w:t>
      </w:r>
      <w:r w:rsidRPr="00EA5797">
        <w:rPr>
          <w:rFonts w:ascii="Arial" w:hAnsi="Arial" w:cs="Arial"/>
          <w:sz w:val="24"/>
          <w:szCs w:val="24"/>
        </w:rPr>
        <w:t>.</w:t>
      </w:r>
    </w:p>
    <w:p w14:paraId="45D9F451" w14:textId="77777777" w:rsidR="007E542B" w:rsidRPr="006E6035" w:rsidRDefault="007E542B" w:rsidP="00DC54F7">
      <w:pPr>
        <w:spacing w:after="0" w:line="240" w:lineRule="auto"/>
        <w:contextualSpacing/>
        <w:jc w:val="both"/>
        <w:rPr>
          <w:rFonts w:ascii="Arial" w:hAnsi="Arial" w:cs="Arial"/>
          <w:highlight w:val="yellow"/>
        </w:rPr>
      </w:pPr>
    </w:p>
    <w:p w14:paraId="557E9427" w14:textId="64EF4EDB" w:rsidR="007E542B" w:rsidRPr="00EA5797" w:rsidRDefault="007E542B" w:rsidP="00DC54F7">
      <w:pPr>
        <w:spacing w:after="0" w:line="240" w:lineRule="auto"/>
        <w:contextualSpacing/>
        <w:jc w:val="both"/>
        <w:rPr>
          <w:rFonts w:ascii="Arial" w:hAnsi="Arial" w:cs="Arial"/>
          <w:b/>
          <w:bCs/>
          <w:sz w:val="24"/>
          <w:szCs w:val="24"/>
        </w:rPr>
      </w:pPr>
      <w:r w:rsidRPr="00EA5797">
        <w:rPr>
          <w:rFonts w:ascii="Arial" w:hAnsi="Arial" w:cs="Arial"/>
          <w:b/>
          <w:bCs/>
          <w:sz w:val="24"/>
          <w:szCs w:val="24"/>
        </w:rPr>
        <w:lastRenderedPageBreak/>
        <w:t xml:space="preserve">Map </w:t>
      </w:r>
      <w:r w:rsidR="0022747E" w:rsidRPr="00EA5797">
        <w:rPr>
          <w:rFonts w:ascii="Arial" w:hAnsi="Arial" w:cs="Arial"/>
          <w:b/>
          <w:bCs/>
          <w:sz w:val="24"/>
          <w:szCs w:val="24"/>
        </w:rPr>
        <w:t>15</w:t>
      </w:r>
      <w:r w:rsidRPr="00EA5797">
        <w:rPr>
          <w:rFonts w:ascii="Arial" w:hAnsi="Arial" w:cs="Arial"/>
          <w:b/>
          <w:bCs/>
          <w:sz w:val="24"/>
          <w:szCs w:val="24"/>
        </w:rPr>
        <w:t>.</w:t>
      </w:r>
      <w:r w:rsidR="00EA5797" w:rsidRPr="00EA5797">
        <w:rPr>
          <w:rFonts w:ascii="Arial" w:hAnsi="Arial" w:cs="Arial"/>
          <w:b/>
          <w:bCs/>
          <w:sz w:val="24"/>
          <w:szCs w:val="24"/>
        </w:rPr>
        <w:t>3</w:t>
      </w:r>
      <w:r w:rsidRPr="00EA5797">
        <w:rPr>
          <w:rFonts w:ascii="Arial" w:hAnsi="Arial" w:cs="Arial"/>
          <w:b/>
          <w:bCs/>
          <w:sz w:val="24"/>
          <w:szCs w:val="24"/>
        </w:rPr>
        <w:t xml:space="preserve">: Access to pharmacies </w:t>
      </w:r>
      <w:r w:rsidR="00D252CD" w:rsidRPr="00EA5797">
        <w:rPr>
          <w:rFonts w:ascii="Arial" w:hAnsi="Arial" w:cs="Arial"/>
          <w:b/>
          <w:bCs/>
          <w:sz w:val="24"/>
          <w:szCs w:val="24"/>
        </w:rPr>
        <w:t xml:space="preserve">and appliance contractor </w:t>
      </w:r>
      <w:r w:rsidRPr="00EA5797">
        <w:rPr>
          <w:rFonts w:ascii="Arial" w:hAnsi="Arial" w:cs="Arial"/>
          <w:b/>
          <w:bCs/>
          <w:sz w:val="24"/>
          <w:szCs w:val="24"/>
        </w:rPr>
        <w:t>in the cluster</w:t>
      </w:r>
    </w:p>
    <w:p w14:paraId="74067601" w14:textId="6653AC4B" w:rsidR="007E542B" w:rsidRPr="006E6035" w:rsidRDefault="00DC230E" w:rsidP="00DC54F7">
      <w:pPr>
        <w:spacing w:after="0" w:line="240" w:lineRule="auto"/>
        <w:contextualSpacing/>
        <w:jc w:val="both"/>
        <w:rPr>
          <w:rFonts w:ascii="Arial" w:hAnsi="Arial" w:cs="Arial"/>
          <w:highlight w:val="yellow"/>
        </w:rPr>
      </w:pPr>
      <w:r>
        <w:rPr>
          <w:noProof/>
          <w:lang w:eastAsia="en-GB"/>
        </w:rPr>
        <w:drawing>
          <wp:inline distT="0" distB="0" distL="0" distR="0" wp14:anchorId="644A5EB1" wp14:editId="21B4E8CE">
            <wp:extent cx="5731510" cy="4921250"/>
            <wp:effectExtent l="0" t="0" r="2540" b="0"/>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731510" cy="4921250"/>
                    </a:xfrm>
                    <a:prstGeom prst="rect">
                      <a:avLst/>
                    </a:prstGeom>
                    <a:noFill/>
                    <a:ln>
                      <a:noFill/>
                    </a:ln>
                  </pic:spPr>
                </pic:pic>
              </a:graphicData>
            </a:graphic>
          </wp:inline>
        </w:drawing>
      </w:r>
    </w:p>
    <w:p w14:paraId="4984AE98" w14:textId="77777777" w:rsidR="007E542B" w:rsidRPr="006E6035" w:rsidRDefault="007E542B" w:rsidP="00DC54F7">
      <w:pPr>
        <w:spacing w:after="0" w:line="240" w:lineRule="auto"/>
        <w:contextualSpacing/>
        <w:jc w:val="both"/>
        <w:rPr>
          <w:rFonts w:ascii="Arial" w:hAnsi="Arial" w:cs="Arial"/>
          <w:highlight w:val="yellow"/>
        </w:rPr>
      </w:pPr>
    </w:p>
    <w:p w14:paraId="022AD962" w14:textId="77777777" w:rsidR="007E542B" w:rsidRPr="00EA5797" w:rsidRDefault="007E542B" w:rsidP="00DC54F7">
      <w:pPr>
        <w:spacing w:after="0" w:line="240" w:lineRule="auto"/>
        <w:contextualSpacing/>
        <w:jc w:val="both"/>
        <w:rPr>
          <w:rFonts w:ascii="Arial" w:hAnsi="Arial" w:cs="Arial"/>
          <w:sz w:val="24"/>
          <w:szCs w:val="24"/>
        </w:rPr>
      </w:pPr>
      <w:r w:rsidRPr="00EA5797">
        <w:rPr>
          <w:rFonts w:ascii="Arial" w:hAnsi="Arial" w:cs="Arial"/>
          <w:sz w:val="24"/>
          <w:szCs w:val="24"/>
        </w:rPr>
        <w:t>Looking at the opening hours for the pharmacies:</w:t>
      </w:r>
    </w:p>
    <w:p w14:paraId="40E2481D" w14:textId="77777777" w:rsidR="007E542B" w:rsidRPr="00EA5797" w:rsidRDefault="007E542B" w:rsidP="00DC54F7">
      <w:pPr>
        <w:spacing w:after="0" w:line="240" w:lineRule="auto"/>
        <w:contextualSpacing/>
        <w:jc w:val="both"/>
        <w:rPr>
          <w:rFonts w:ascii="Arial" w:hAnsi="Arial" w:cs="Arial"/>
          <w:sz w:val="24"/>
          <w:szCs w:val="24"/>
        </w:rPr>
      </w:pPr>
    </w:p>
    <w:p w14:paraId="43F54D44" w14:textId="1458D692" w:rsidR="007E542B" w:rsidRPr="00EA5797" w:rsidRDefault="003F3785" w:rsidP="00DC54F7">
      <w:pPr>
        <w:pStyle w:val="ListParagraph"/>
        <w:numPr>
          <w:ilvl w:val="0"/>
          <w:numId w:val="141"/>
        </w:numPr>
        <w:spacing w:after="0" w:line="240" w:lineRule="auto"/>
        <w:jc w:val="both"/>
        <w:rPr>
          <w:rFonts w:ascii="Arial" w:hAnsi="Arial" w:cs="Arial"/>
          <w:sz w:val="24"/>
          <w:szCs w:val="24"/>
        </w:rPr>
      </w:pPr>
      <w:r w:rsidRPr="00EA5797">
        <w:rPr>
          <w:rFonts w:ascii="Arial" w:hAnsi="Arial" w:cs="Arial"/>
          <w:sz w:val="24"/>
          <w:szCs w:val="24"/>
        </w:rPr>
        <w:t>Two</w:t>
      </w:r>
      <w:r w:rsidR="007E542B" w:rsidRPr="00EA5797">
        <w:rPr>
          <w:rFonts w:ascii="Arial" w:hAnsi="Arial" w:cs="Arial"/>
          <w:sz w:val="24"/>
          <w:szCs w:val="24"/>
        </w:rPr>
        <w:t xml:space="preserve"> pharmac</w:t>
      </w:r>
      <w:r w:rsidRPr="00EA5797">
        <w:rPr>
          <w:rFonts w:ascii="Arial" w:hAnsi="Arial" w:cs="Arial"/>
          <w:sz w:val="24"/>
          <w:szCs w:val="24"/>
        </w:rPr>
        <w:t>ies</w:t>
      </w:r>
      <w:r w:rsidR="007E542B" w:rsidRPr="00EA5797">
        <w:rPr>
          <w:rFonts w:ascii="Arial" w:hAnsi="Arial" w:cs="Arial"/>
          <w:sz w:val="24"/>
          <w:szCs w:val="24"/>
        </w:rPr>
        <w:t xml:space="preserve"> </w:t>
      </w:r>
      <w:r w:rsidRPr="00EA5797">
        <w:rPr>
          <w:rFonts w:ascii="Arial" w:hAnsi="Arial" w:cs="Arial"/>
          <w:sz w:val="24"/>
          <w:szCs w:val="24"/>
        </w:rPr>
        <w:t>are</w:t>
      </w:r>
      <w:r w:rsidR="007E542B" w:rsidRPr="00EA5797">
        <w:rPr>
          <w:rFonts w:ascii="Arial" w:hAnsi="Arial" w:cs="Arial"/>
          <w:sz w:val="24"/>
          <w:szCs w:val="24"/>
        </w:rPr>
        <w:t xml:space="preserve"> open seven days a week</w:t>
      </w:r>
    </w:p>
    <w:p w14:paraId="34A1F42F" w14:textId="4D8E45D3" w:rsidR="007E542B" w:rsidRPr="00EA5797" w:rsidRDefault="003F3785" w:rsidP="00DC54F7">
      <w:pPr>
        <w:pStyle w:val="ListParagraph"/>
        <w:numPr>
          <w:ilvl w:val="0"/>
          <w:numId w:val="141"/>
        </w:numPr>
        <w:spacing w:after="0" w:line="240" w:lineRule="auto"/>
        <w:jc w:val="both"/>
        <w:rPr>
          <w:rFonts w:ascii="Arial" w:hAnsi="Arial" w:cs="Arial"/>
          <w:sz w:val="24"/>
          <w:szCs w:val="24"/>
        </w:rPr>
      </w:pPr>
      <w:r w:rsidRPr="00EA5797">
        <w:rPr>
          <w:rFonts w:ascii="Arial" w:hAnsi="Arial" w:cs="Arial"/>
          <w:sz w:val="24"/>
          <w:szCs w:val="24"/>
        </w:rPr>
        <w:t>Two</w:t>
      </w:r>
      <w:r w:rsidR="007E542B" w:rsidRPr="00EA5797">
        <w:rPr>
          <w:rFonts w:ascii="Arial" w:hAnsi="Arial" w:cs="Arial"/>
          <w:sz w:val="24"/>
          <w:szCs w:val="24"/>
        </w:rPr>
        <w:t xml:space="preserve"> pharmac</w:t>
      </w:r>
      <w:r w:rsidRPr="00EA5797">
        <w:rPr>
          <w:rFonts w:ascii="Arial" w:hAnsi="Arial" w:cs="Arial"/>
          <w:sz w:val="24"/>
          <w:szCs w:val="24"/>
        </w:rPr>
        <w:t>ies</w:t>
      </w:r>
      <w:r w:rsidR="007E542B" w:rsidRPr="00EA5797">
        <w:rPr>
          <w:rFonts w:ascii="Arial" w:hAnsi="Arial" w:cs="Arial"/>
          <w:sz w:val="24"/>
          <w:szCs w:val="24"/>
        </w:rPr>
        <w:t xml:space="preserve"> </w:t>
      </w:r>
      <w:r w:rsidRPr="00EA5797">
        <w:rPr>
          <w:rFonts w:ascii="Arial" w:hAnsi="Arial" w:cs="Arial"/>
          <w:sz w:val="24"/>
          <w:szCs w:val="24"/>
        </w:rPr>
        <w:t>are</w:t>
      </w:r>
      <w:r w:rsidR="007E542B" w:rsidRPr="00EA5797">
        <w:rPr>
          <w:rFonts w:ascii="Arial" w:hAnsi="Arial" w:cs="Arial"/>
          <w:sz w:val="24"/>
          <w:szCs w:val="24"/>
        </w:rPr>
        <w:t xml:space="preserve"> open Monday to Saturday</w:t>
      </w:r>
    </w:p>
    <w:p w14:paraId="442177AE" w14:textId="1574E28D" w:rsidR="007E542B" w:rsidRPr="00EA5797" w:rsidRDefault="003F3785" w:rsidP="00DC54F7">
      <w:pPr>
        <w:pStyle w:val="ListParagraph"/>
        <w:numPr>
          <w:ilvl w:val="0"/>
          <w:numId w:val="141"/>
        </w:numPr>
        <w:spacing w:after="0" w:line="240" w:lineRule="auto"/>
        <w:jc w:val="both"/>
        <w:rPr>
          <w:rFonts w:ascii="Arial" w:hAnsi="Arial" w:cs="Arial"/>
          <w:sz w:val="24"/>
          <w:szCs w:val="24"/>
        </w:rPr>
      </w:pPr>
      <w:r w:rsidRPr="00EA5797">
        <w:rPr>
          <w:rFonts w:ascii="Arial" w:hAnsi="Arial" w:cs="Arial"/>
          <w:sz w:val="24"/>
          <w:szCs w:val="24"/>
        </w:rPr>
        <w:t>Three</w:t>
      </w:r>
      <w:r w:rsidR="007E542B" w:rsidRPr="00EA5797">
        <w:rPr>
          <w:rFonts w:ascii="Arial" w:hAnsi="Arial" w:cs="Arial"/>
          <w:sz w:val="24"/>
          <w:szCs w:val="24"/>
        </w:rPr>
        <w:t xml:space="preserve"> pharmacies are open Monday to Friday and Saturday morning</w:t>
      </w:r>
    </w:p>
    <w:p w14:paraId="52F9286C" w14:textId="6841A27F" w:rsidR="007E542B" w:rsidRPr="00EA5797" w:rsidRDefault="003F3785" w:rsidP="00DC54F7">
      <w:pPr>
        <w:pStyle w:val="ListParagraph"/>
        <w:numPr>
          <w:ilvl w:val="0"/>
          <w:numId w:val="141"/>
        </w:numPr>
        <w:spacing w:after="0" w:line="240" w:lineRule="auto"/>
        <w:jc w:val="both"/>
        <w:rPr>
          <w:rFonts w:ascii="Arial" w:hAnsi="Arial" w:cs="Arial"/>
          <w:sz w:val="24"/>
          <w:szCs w:val="24"/>
        </w:rPr>
      </w:pPr>
      <w:r w:rsidRPr="00EA5797">
        <w:rPr>
          <w:rFonts w:ascii="Arial" w:hAnsi="Arial" w:cs="Arial"/>
          <w:sz w:val="24"/>
          <w:szCs w:val="24"/>
        </w:rPr>
        <w:t>Two</w:t>
      </w:r>
      <w:r w:rsidR="007E542B" w:rsidRPr="00EA5797">
        <w:rPr>
          <w:rFonts w:ascii="Arial" w:hAnsi="Arial" w:cs="Arial"/>
          <w:sz w:val="24"/>
          <w:szCs w:val="24"/>
        </w:rPr>
        <w:t xml:space="preserve"> pharmac</w:t>
      </w:r>
      <w:r w:rsidRPr="00EA5797">
        <w:rPr>
          <w:rFonts w:ascii="Arial" w:hAnsi="Arial" w:cs="Arial"/>
          <w:sz w:val="24"/>
          <w:szCs w:val="24"/>
        </w:rPr>
        <w:t>ies</w:t>
      </w:r>
      <w:r w:rsidR="007E542B" w:rsidRPr="00EA5797">
        <w:rPr>
          <w:rFonts w:ascii="Arial" w:hAnsi="Arial" w:cs="Arial"/>
          <w:sz w:val="24"/>
          <w:szCs w:val="24"/>
        </w:rPr>
        <w:t xml:space="preserve"> </w:t>
      </w:r>
      <w:r w:rsidRPr="00EA5797">
        <w:rPr>
          <w:rFonts w:ascii="Arial" w:hAnsi="Arial" w:cs="Arial"/>
          <w:sz w:val="24"/>
          <w:szCs w:val="24"/>
        </w:rPr>
        <w:t>are</w:t>
      </w:r>
      <w:r w:rsidR="007E542B" w:rsidRPr="00EA5797">
        <w:rPr>
          <w:rFonts w:ascii="Arial" w:hAnsi="Arial" w:cs="Arial"/>
          <w:sz w:val="24"/>
          <w:szCs w:val="24"/>
        </w:rPr>
        <w:t xml:space="preserve"> open Monday to Friday</w:t>
      </w:r>
    </w:p>
    <w:p w14:paraId="3B90ABC0" w14:textId="77777777" w:rsidR="007E542B" w:rsidRPr="00EA5797" w:rsidRDefault="007E542B" w:rsidP="00DC54F7">
      <w:pPr>
        <w:spacing w:after="0" w:line="240" w:lineRule="auto"/>
        <w:contextualSpacing/>
        <w:jc w:val="both"/>
        <w:rPr>
          <w:rFonts w:ascii="Arial" w:hAnsi="Arial" w:cs="Arial"/>
          <w:sz w:val="24"/>
          <w:szCs w:val="24"/>
        </w:rPr>
      </w:pPr>
    </w:p>
    <w:p w14:paraId="08EBBCB3" w14:textId="4D8F668A" w:rsidR="00B04090" w:rsidRDefault="00EC12CE" w:rsidP="00DC54F7">
      <w:pPr>
        <w:spacing w:after="0" w:line="240" w:lineRule="auto"/>
        <w:contextualSpacing/>
        <w:jc w:val="both"/>
        <w:rPr>
          <w:rFonts w:ascii="Arial" w:hAnsi="Arial" w:cs="Arial"/>
          <w:sz w:val="24"/>
          <w:szCs w:val="24"/>
        </w:rPr>
      </w:pPr>
      <w:r w:rsidRPr="00EA5797">
        <w:rPr>
          <w:rFonts w:ascii="Arial" w:hAnsi="Arial" w:cs="Arial"/>
          <w:sz w:val="24"/>
          <w:szCs w:val="24"/>
        </w:rPr>
        <w:t xml:space="preserve">All pharmacies must open for their core contractual hours, which are 40 hours a week. These can only be amended with approval by the health board. All additional hours or supplementary hours can be amended by the pharmacy following the provision of 90 days’ notice to the health board. Within the cluster, opening hours and closing hours range from: </w:t>
      </w:r>
    </w:p>
    <w:p w14:paraId="6F8DA267" w14:textId="77777777" w:rsidR="005C6BB3" w:rsidRPr="00EA5797" w:rsidRDefault="005C6BB3" w:rsidP="00DC54F7">
      <w:pPr>
        <w:spacing w:after="0" w:line="240" w:lineRule="auto"/>
        <w:contextualSpacing/>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7E542B" w:rsidRPr="00EA5797" w14:paraId="3E23D37B" w14:textId="77777777" w:rsidTr="008E78E6">
        <w:tc>
          <w:tcPr>
            <w:tcW w:w="3005" w:type="dxa"/>
          </w:tcPr>
          <w:p w14:paraId="1744E393" w14:textId="77777777" w:rsidR="007E542B" w:rsidRPr="00EA5797" w:rsidRDefault="007E542B" w:rsidP="00DC54F7">
            <w:pPr>
              <w:contextualSpacing/>
              <w:jc w:val="both"/>
              <w:rPr>
                <w:rFonts w:ascii="Arial" w:hAnsi="Arial" w:cs="Arial"/>
                <w:b/>
                <w:bCs/>
                <w:sz w:val="24"/>
                <w:szCs w:val="24"/>
              </w:rPr>
            </w:pPr>
            <w:r w:rsidRPr="00EA5797">
              <w:rPr>
                <w:rFonts w:ascii="Arial" w:hAnsi="Arial" w:cs="Arial"/>
                <w:b/>
                <w:bCs/>
                <w:sz w:val="24"/>
                <w:szCs w:val="24"/>
              </w:rPr>
              <w:t>Days</w:t>
            </w:r>
          </w:p>
        </w:tc>
        <w:tc>
          <w:tcPr>
            <w:tcW w:w="3005" w:type="dxa"/>
          </w:tcPr>
          <w:p w14:paraId="48DB425D" w14:textId="77777777" w:rsidR="007E542B" w:rsidRPr="00EA5797" w:rsidRDefault="007E542B" w:rsidP="00DC54F7">
            <w:pPr>
              <w:contextualSpacing/>
              <w:jc w:val="both"/>
              <w:rPr>
                <w:rFonts w:ascii="Arial" w:hAnsi="Arial" w:cs="Arial"/>
                <w:b/>
                <w:bCs/>
                <w:sz w:val="24"/>
                <w:szCs w:val="24"/>
              </w:rPr>
            </w:pPr>
            <w:r w:rsidRPr="00EA5797">
              <w:rPr>
                <w:rFonts w:ascii="Arial" w:hAnsi="Arial" w:cs="Arial"/>
                <w:b/>
                <w:bCs/>
                <w:sz w:val="24"/>
                <w:szCs w:val="24"/>
              </w:rPr>
              <w:t>Opening hours range</w:t>
            </w:r>
          </w:p>
        </w:tc>
        <w:tc>
          <w:tcPr>
            <w:tcW w:w="3006" w:type="dxa"/>
          </w:tcPr>
          <w:p w14:paraId="1E8DB9F6" w14:textId="77777777" w:rsidR="007E542B" w:rsidRPr="00EA5797" w:rsidRDefault="007E542B" w:rsidP="00DC54F7">
            <w:pPr>
              <w:contextualSpacing/>
              <w:jc w:val="both"/>
              <w:rPr>
                <w:rFonts w:ascii="Arial" w:hAnsi="Arial" w:cs="Arial"/>
                <w:b/>
                <w:bCs/>
                <w:sz w:val="24"/>
                <w:szCs w:val="24"/>
              </w:rPr>
            </w:pPr>
            <w:r w:rsidRPr="00EA5797">
              <w:rPr>
                <w:rFonts w:ascii="Arial" w:hAnsi="Arial" w:cs="Arial"/>
                <w:b/>
                <w:bCs/>
                <w:sz w:val="24"/>
                <w:szCs w:val="24"/>
              </w:rPr>
              <w:t>Closing hours range</w:t>
            </w:r>
          </w:p>
        </w:tc>
      </w:tr>
      <w:tr w:rsidR="007E542B" w:rsidRPr="00EA5797" w14:paraId="5D7EB911" w14:textId="77777777" w:rsidTr="008E78E6">
        <w:tc>
          <w:tcPr>
            <w:tcW w:w="3005" w:type="dxa"/>
          </w:tcPr>
          <w:p w14:paraId="7F74E99A" w14:textId="77777777" w:rsidR="007E542B" w:rsidRPr="00EA5797" w:rsidRDefault="007E542B" w:rsidP="00DC54F7">
            <w:pPr>
              <w:contextualSpacing/>
              <w:jc w:val="both"/>
              <w:rPr>
                <w:rFonts w:ascii="Arial" w:hAnsi="Arial" w:cs="Arial"/>
                <w:sz w:val="24"/>
                <w:szCs w:val="24"/>
              </w:rPr>
            </w:pPr>
            <w:r w:rsidRPr="00EA5797">
              <w:rPr>
                <w:rFonts w:ascii="Arial" w:hAnsi="Arial" w:cs="Arial"/>
                <w:sz w:val="24"/>
                <w:szCs w:val="24"/>
              </w:rPr>
              <w:t>Monday to Friday</w:t>
            </w:r>
          </w:p>
        </w:tc>
        <w:tc>
          <w:tcPr>
            <w:tcW w:w="3005" w:type="dxa"/>
          </w:tcPr>
          <w:p w14:paraId="4332A392" w14:textId="77777777" w:rsidR="007E542B" w:rsidRPr="00EA5797" w:rsidRDefault="007E542B" w:rsidP="00DC54F7">
            <w:pPr>
              <w:contextualSpacing/>
              <w:jc w:val="both"/>
              <w:rPr>
                <w:rFonts w:ascii="Arial" w:hAnsi="Arial" w:cs="Arial"/>
                <w:sz w:val="24"/>
                <w:szCs w:val="24"/>
              </w:rPr>
            </w:pPr>
            <w:r w:rsidRPr="00EA5797">
              <w:rPr>
                <w:rFonts w:ascii="Arial" w:hAnsi="Arial" w:cs="Arial"/>
                <w:sz w:val="24"/>
                <w:szCs w:val="24"/>
              </w:rPr>
              <w:t>08.00am to 09.00am</w:t>
            </w:r>
          </w:p>
        </w:tc>
        <w:tc>
          <w:tcPr>
            <w:tcW w:w="3006" w:type="dxa"/>
          </w:tcPr>
          <w:p w14:paraId="08B9DDCD" w14:textId="658A2F59" w:rsidR="007E542B" w:rsidRPr="00EA5797" w:rsidRDefault="007E542B" w:rsidP="00DC54F7">
            <w:pPr>
              <w:contextualSpacing/>
              <w:jc w:val="both"/>
              <w:rPr>
                <w:rFonts w:ascii="Arial" w:hAnsi="Arial" w:cs="Arial"/>
                <w:sz w:val="24"/>
                <w:szCs w:val="24"/>
              </w:rPr>
            </w:pPr>
            <w:r w:rsidRPr="00EA5797">
              <w:rPr>
                <w:rFonts w:ascii="Arial" w:hAnsi="Arial" w:cs="Arial"/>
                <w:sz w:val="24"/>
                <w:szCs w:val="24"/>
              </w:rPr>
              <w:t xml:space="preserve">17.30pm to </w:t>
            </w:r>
            <w:r w:rsidR="003F3785" w:rsidRPr="00EA5797">
              <w:rPr>
                <w:rFonts w:ascii="Arial" w:hAnsi="Arial" w:cs="Arial"/>
                <w:sz w:val="24"/>
                <w:szCs w:val="24"/>
              </w:rPr>
              <w:t>20</w:t>
            </w:r>
            <w:r w:rsidRPr="00EA5797">
              <w:rPr>
                <w:rFonts w:ascii="Arial" w:hAnsi="Arial" w:cs="Arial"/>
                <w:sz w:val="24"/>
                <w:szCs w:val="24"/>
              </w:rPr>
              <w:t>.</w:t>
            </w:r>
            <w:r w:rsidR="003F3785" w:rsidRPr="00EA5797">
              <w:rPr>
                <w:rFonts w:ascii="Arial" w:hAnsi="Arial" w:cs="Arial"/>
                <w:sz w:val="24"/>
                <w:szCs w:val="24"/>
              </w:rPr>
              <w:t>0</w:t>
            </w:r>
            <w:r w:rsidRPr="00EA5797">
              <w:rPr>
                <w:rFonts w:ascii="Arial" w:hAnsi="Arial" w:cs="Arial"/>
                <w:sz w:val="24"/>
                <w:szCs w:val="24"/>
              </w:rPr>
              <w:t>0pm</w:t>
            </w:r>
          </w:p>
        </w:tc>
      </w:tr>
      <w:tr w:rsidR="007E542B" w:rsidRPr="00EA5797" w14:paraId="3C021361" w14:textId="77777777" w:rsidTr="008E78E6">
        <w:tc>
          <w:tcPr>
            <w:tcW w:w="3005" w:type="dxa"/>
          </w:tcPr>
          <w:p w14:paraId="618EB8D6" w14:textId="77777777" w:rsidR="007E542B" w:rsidRPr="00EA5797" w:rsidRDefault="007E542B" w:rsidP="00DC54F7">
            <w:pPr>
              <w:contextualSpacing/>
              <w:jc w:val="both"/>
              <w:rPr>
                <w:rFonts w:ascii="Arial" w:hAnsi="Arial" w:cs="Arial"/>
                <w:sz w:val="24"/>
                <w:szCs w:val="24"/>
              </w:rPr>
            </w:pPr>
            <w:r w:rsidRPr="00EA5797">
              <w:rPr>
                <w:rFonts w:ascii="Arial" w:hAnsi="Arial" w:cs="Arial"/>
                <w:sz w:val="24"/>
                <w:szCs w:val="24"/>
              </w:rPr>
              <w:t>Saturday</w:t>
            </w:r>
          </w:p>
        </w:tc>
        <w:tc>
          <w:tcPr>
            <w:tcW w:w="3005" w:type="dxa"/>
          </w:tcPr>
          <w:p w14:paraId="3B55C6A7" w14:textId="78758CB1" w:rsidR="007E542B" w:rsidRPr="00EA5797" w:rsidRDefault="003F3785" w:rsidP="00DC54F7">
            <w:pPr>
              <w:contextualSpacing/>
              <w:jc w:val="both"/>
              <w:rPr>
                <w:rFonts w:ascii="Arial" w:hAnsi="Arial" w:cs="Arial"/>
                <w:sz w:val="24"/>
                <w:szCs w:val="24"/>
              </w:rPr>
            </w:pPr>
            <w:r w:rsidRPr="00EA5797">
              <w:rPr>
                <w:rFonts w:ascii="Arial" w:hAnsi="Arial" w:cs="Arial"/>
                <w:sz w:val="24"/>
                <w:szCs w:val="24"/>
              </w:rPr>
              <w:t>0</w:t>
            </w:r>
            <w:r w:rsidR="00ED2E74" w:rsidRPr="00EA5797">
              <w:rPr>
                <w:rFonts w:ascii="Arial" w:hAnsi="Arial" w:cs="Arial"/>
                <w:sz w:val="24"/>
                <w:szCs w:val="24"/>
              </w:rPr>
              <w:t xml:space="preserve">8.00am to </w:t>
            </w:r>
            <w:r w:rsidR="007E542B" w:rsidRPr="00EA5797">
              <w:rPr>
                <w:rFonts w:ascii="Arial" w:hAnsi="Arial" w:cs="Arial"/>
                <w:sz w:val="24"/>
                <w:szCs w:val="24"/>
              </w:rPr>
              <w:t xml:space="preserve">09.00am </w:t>
            </w:r>
          </w:p>
        </w:tc>
        <w:tc>
          <w:tcPr>
            <w:tcW w:w="3006" w:type="dxa"/>
          </w:tcPr>
          <w:p w14:paraId="64B2D77F" w14:textId="0CF35EAE" w:rsidR="007E542B" w:rsidRPr="00EA5797" w:rsidRDefault="007E542B" w:rsidP="00DC54F7">
            <w:pPr>
              <w:contextualSpacing/>
              <w:jc w:val="both"/>
              <w:rPr>
                <w:rFonts w:ascii="Arial" w:hAnsi="Arial" w:cs="Arial"/>
                <w:sz w:val="24"/>
                <w:szCs w:val="24"/>
              </w:rPr>
            </w:pPr>
            <w:r w:rsidRPr="00EA5797">
              <w:rPr>
                <w:rFonts w:ascii="Arial" w:hAnsi="Arial" w:cs="Arial"/>
                <w:sz w:val="24"/>
                <w:szCs w:val="24"/>
              </w:rPr>
              <w:t>1</w:t>
            </w:r>
            <w:r w:rsidR="00ED2E74" w:rsidRPr="00EA5797">
              <w:rPr>
                <w:rFonts w:ascii="Arial" w:hAnsi="Arial" w:cs="Arial"/>
                <w:sz w:val="24"/>
                <w:szCs w:val="24"/>
              </w:rPr>
              <w:t>3</w:t>
            </w:r>
            <w:r w:rsidRPr="00EA5797">
              <w:rPr>
                <w:rFonts w:ascii="Arial" w:hAnsi="Arial" w:cs="Arial"/>
                <w:sz w:val="24"/>
                <w:szCs w:val="24"/>
              </w:rPr>
              <w:t xml:space="preserve">.00pm to </w:t>
            </w:r>
            <w:r w:rsidR="00ED2E74" w:rsidRPr="00EA5797">
              <w:rPr>
                <w:rFonts w:ascii="Arial" w:hAnsi="Arial" w:cs="Arial"/>
                <w:sz w:val="24"/>
                <w:szCs w:val="24"/>
              </w:rPr>
              <w:t>20</w:t>
            </w:r>
            <w:r w:rsidRPr="00EA5797">
              <w:rPr>
                <w:rFonts w:ascii="Arial" w:hAnsi="Arial" w:cs="Arial"/>
                <w:sz w:val="24"/>
                <w:szCs w:val="24"/>
              </w:rPr>
              <w:t>.</w:t>
            </w:r>
            <w:r w:rsidR="00ED2E74" w:rsidRPr="00EA5797">
              <w:rPr>
                <w:rFonts w:ascii="Arial" w:hAnsi="Arial" w:cs="Arial"/>
                <w:sz w:val="24"/>
                <w:szCs w:val="24"/>
              </w:rPr>
              <w:t>0</w:t>
            </w:r>
            <w:r w:rsidRPr="00EA5797">
              <w:rPr>
                <w:rFonts w:ascii="Arial" w:hAnsi="Arial" w:cs="Arial"/>
                <w:sz w:val="24"/>
                <w:szCs w:val="24"/>
              </w:rPr>
              <w:t>0pm</w:t>
            </w:r>
          </w:p>
        </w:tc>
      </w:tr>
      <w:tr w:rsidR="007E542B" w:rsidRPr="00EA5797" w14:paraId="34D7F821" w14:textId="77777777" w:rsidTr="008E78E6">
        <w:tc>
          <w:tcPr>
            <w:tcW w:w="3005" w:type="dxa"/>
          </w:tcPr>
          <w:p w14:paraId="36AE4DD3" w14:textId="77777777" w:rsidR="007E542B" w:rsidRPr="00EA5797" w:rsidRDefault="007E542B" w:rsidP="00DC54F7">
            <w:pPr>
              <w:contextualSpacing/>
              <w:jc w:val="both"/>
              <w:rPr>
                <w:rFonts w:ascii="Arial" w:hAnsi="Arial" w:cs="Arial"/>
                <w:sz w:val="24"/>
                <w:szCs w:val="24"/>
              </w:rPr>
            </w:pPr>
            <w:r w:rsidRPr="00EA5797">
              <w:rPr>
                <w:rFonts w:ascii="Arial" w:hAnsi="Arial" w:cs="Arial"/>
                <w:sz w:val="24"/>
                <w:szCs w:val="24"/>
              </w:rPr>
              <w:t>Sunday</w:t>
            </w:r>
          </w:p>
        </w:tc>
        <w:tc>
          <w:tcPr>
            <w:tcW w:w="3005" w:type="dxa"/>
          </w:tcPr>
          <w:p w14:paraId="57EC6C78" w14:textId="77777777" w:rsidR="007E542B" w:rsidRPr="00EA5797" w:rsidRDefault="007E542B" w:rsidP="00DC54F7">
            <w:pPr>
              <w:contextualSpacing/>
              <w:jc w:val="both"/>
              <w:rPr>
                <w:rFonts w:ascii="Arial" w:hAnsi="Arial" w:cs="Arial"/>
                <w:sz w:val="24"/>
                <w:szCs w:val="24"/>
              </w:rPr>
            </w:pPr>
            <w:r w:rsidRPr="00EA5797">
              <w:rPr>
                <w:rFonts w:ascii="Arial" w:hAnsi="Arial" w:cs="Arial"/>
                <w:sz w:val="24"/>
                <w:szCs w:val="24"/>
              </w:rPr>
              <w:t xml:space="preserve">10.00am </w:t>
            </w:r>
          </w:p>
        </w:tc>
        <w:tc>
          <w:tcPr>
            <w:tcW w:w="3006" w:type="dxa"/>
          </w:tcPr>
          <w:p w14:paraId="240A291D" w14:textId="77777777" w:rsidR="007E542B" w:rsidRPr="00EA5797" w:rsidRDefault="007E542B" w:rsidP="00DC54F7">
            <w:pPr>
              <w:contextualSpacing/>
              <w:jc w:val="both"/>
              <w:rPr>
                <w:rFonts w:ascii="Arial" w:hAnsi="Arial" w:cs="Arial"/>
                <w:sz w:val="24"/>
                <w:szCs w:val="24"/>
              </w:rPr>
            </w:pPr>
            <w:r w:rsidRPr="00EA5797">
              <w:rPr>
                <w:rFonts w:ascii="Arial" w:hAnsi="Arial" w:cs="Arial"/>
                <w:sz w:val="24"/>
                <w:szCs w:val="24"/>
              </w:rPr>
              <w:t>16.00pm</w:t>
            </w:r>
          </w:p>
        </w:tc>
      </w:tr>
    </w:tbl>
    <w:p w14:paraId="5C56E579" w14:textId="77777777" w:rsidR="007E542B" w:rsidRPr="006E6035" w:rsidRDefault="007E542B" w:rsidP="00DC54F7">
      <w:pPr>
        <w:spacing w:after="0" w:line="240" w:lineRule="auto"/>
        <w:contextualSpacing/>
        <w:jc w:val="both"/>
        <w:rPr>
          <w:rFonts w:ascii="Arial" w:hAnsi="Arial" w:cs="Arial"/>
        </w:rPr>
      </w:pPr>
    </w:p>
    <w:p w14:paraId="0CAE4AD9" w14:textId="77777777" w:rsidR="007E542B" w:rsidRPr="00C12ABE" w:rsidRDefault="007E542B" w:rsidP="00DC54F7">
      <w:pPr>
        <w:spacing w:after="0" w:line="240" w:lineRule="auto"/>
        <w:contextualSpacing/>
        <w:jc w:val="both"/>
        <w:rPr>
          <w:rFonts w:ascii="Arial" w:hAnsi="Arial" w:cs="Arial"/>
          <w:sz w:val="24"/>
          <w:szCs w:val="24"/>
        </w:rPr>
      </w:pPr>
      <w:r w:rsidRPr="00C12ABE">
        <w:rPr>
          <w:rFonts w:ascii="Arial" w:hAnsi="Arial" w:cs="Arial"/>
          <w:sz w:val="24"/>
          <w:szCs w:val="24"/>
        </w:rPr>
        <w:t>Full details of when the pharmacies are open can be found in Appendix L.</w:t>
      </w:r>
    </w:p>
    <w:p w14:paraId="7A7F4782" w14:textId="7FE74AB2" w:rsidR="00CF0E73" w:rsidRPr="00C12ABE" w:rsidRDefault="00CF0E73" w:rsidP="00DC54F7">
      <w:pPr>
        <w:spacing w:after="0" w:line="240" w:lineRule="auto"/>
        <w:jc w:val="both"/>
        <w:rPr>
          <w:rFonts w:ascii="Arial" w:hAnsi="Arial" w:cs="Arial"/>
          <w:b/>
          <w:sz w:val="24"/>
          <w:szCs w:val="24"/>
          <w:lang w:val="en-US"/>
        </w:rPr>
      </w:pPr>
    </w:p>
    <w:p w14:paraId="735B20ED" w14:textId="045E5B4D" w:rsidR="005B3CB3" w:rsidRPr="00C12ABE" w:rsidRDefault="005B3CB3" w:rsidP="00DC54F7">
      <w:pPr>
        <w:spacing w:after="0" w:line="240" w:lineRule="auto"/>
        <w:contextualSpacing/>
        <w:jc w:val="both"/>
        <w:rPr>
          <w:rFonts w:ascii="Arial" w:hAnsi="Arial" w:cs="Arial"/>
          <w:sz w:val="24"/>
          <w:szCs w:val="24"/>
          <w:highlight w:val="yellow"/>
        </w:rPr>
      </w:pPr>
      <w:r w:rsidRPr="00C12ABE">
        <w:rPr>
          <w:rFonts w:ascii="Arial" w:hAnsi="Arial" w:cs="Arial"/>
          <w:sz w:val="24"/>
          <w:szCs w:val="24"/>
        </w:rPr>
        <w:t xml:space="preserve">All </w:t>
      </w:r>
      <w:r w:rsidR="005230E6" w:rsidRPr="00C12ABE">
        <w:rPr>
          <w:rFonts w:ascii="Arial" w:hAnsi="Arial" w:cs="Arial"/>
          <w:sz w:val="24"/>
          <w:szCs w:val="24"/>
        </w:rPr>
        <w:t>nine</w:t>
      </w:r>
      <w:r w:rsidRPr="00C12ABE">
        <w:rPr>
          <w:rFonts w:ascii="Arial" w:hAnsi="Arial" w:cs="Arial"/>
          <w:sz w:val="24"/>
          <w:szCs w:val="24"/>
        </w:rPr>
        <w:t xml:space="preserve"> pharmacies responded to the contractor questionnaire, of which </w:t>
      </w:r>
      <w:r w:rsidR="005230E6" w:rsidRPr="00C12ABE">
        <w:rPr>
          <w:rFonts w:ascii="Arial" w:hAnsi="Arial" w:cs="Arial"/>
          <w:sz w:val="24"/>
          <w:szCs w:val="24"/>
        </w:rPr>
        <w:t>six</w:t>
      </w:r>
      <w:r w:rsidRPr="00C12ABE">
        <w:rPr>
          <w:rFonts w:ascii="Arial" w:hAnsi="Arial" w:cs="Arial"/>
          <w:sz w:val="24"/>
          <w:szCs w:val="24"/>
        </w:rPr>
        <w:t xml:space="preserve"> dispense all appliances listed in Part IX of the Drug Tariff and </w:t>
      </w:r>
      <w:r w:rsidR="005230E6" w:rsidRPr="00C12ABE">
        <w:rPr>
          <w:rFonts w:ascii="Arial" w:hAnsi="Arial" w:cs="Arial"/>
          <w:sz w:val="24"/>
          <w:szCs w:val="24"/>
        </w:rPr>
        <w:t>three</w:t>
      </w:r>
      <w:r w:rsidRPr="00C12ABE">
        <w:rPr>
          <w:rFonts w:ascii="Arial" w:hAnsi="Arial" w:cs="Arial"/>
          <w:sz w:val="24"/>
          <w:szCs w:val="24"/>
        </w:rPr>
        <w:t xml:space="preserve"> just dispense dressings. </w:t>
      </w:r>
    </w:p>
    <w:p w14:paraId="0A0B29A0" w14:textId="77777777" w:rsidR="005B3CB3" w:rsidRPr="00C12ABE" w:rsidRDefault="005B3CB3" w:rsidP="00DC54F7">
      <w:pPr>
        <w:spacing w:after="0" w:line="240" w:lineRule="auto"/>
        <w:jc w:val="both"/>
        <w:rPr>
          <w:rFonts w:ascii="Arial" w:hAnsi="Arial" w:cs="Arial"/>
          <w:b/>
          <w:sz w:val="24"/>
          <w:szCs w:val="24"/>
          <w:lang w:val="en-US"/>
        </w:rPr>
      </w:pPr>
    </w:p>
    <w:p w14:paraId="18CCC170" w14:textId="4C1E3AD9" w:rsidR="005457B4" w:rsidRPr="00C12ABE" w:rsidRDefault="005B3CB3" w:rsidP="00DC54F7">
      <w:pPr>
        <w:spacing w:after="0" w:line="240" w:lineRule="auto"/>
        <w:jc w:val="both"/>
        <w:rPr>
          <w:rFonts w:ascii="Arial" w:hAnsi="Arial" w:cs="Arial"/>
          <w:sz w:val="24"/>
          <w:szCs w:val="24"/>
        </w:rPr>
      </w:pPr>
      <w:r w:rsidRPr="00C12ABE">
        <w:rPr>
          <w:rFonts w:ascii="Arial" w:hAnsi="Arial" w:cs="Arial"/>
          <w:sz w:val="24"/>
          <w:szCs w:val="24"/>
        </w:rPr>
        <w:t xml:space="preserve">In 2019 to 2020, </w:t>
      </w:r>
      <w:r w:rsidR="005974DC" w:rsidRPr="00C12ABE">
        <w:rPr>
          <w:rFonts w:ascii="Arial" w:hAnsi="Arial" w:cs="Arial"/>
          <w:sz w:val="24"/>
          <w:szCs w:val="24"/>
        </w:rPr>
        <w:t>eight</w:t>
      </w:r>
      <w:r w:rsidRPr="00C12ABE">
        <w:rPr>
          <w:rFonts w:ascii="Arial" w:hAnsi="Arial" w:cs="Arial"/>
          <w:sz w:val="24"/>
          <w:szCs w:val="24"/>
        </w:rPr>
        <w:t xml:space="preserve"> pharmacies offered the MUR service and a total of 1,</w:t>
      </w:r>
      <w:r w:rsidR="005974DC" w:rsidRPr="00C12ABE">
        <w:rPr>
          <w:rFonts w:ascii="Arial" w:hAnsi="Arial" w:cs="Arial"/>
          <w:sz w:val="24"/>
          <w:szCs w:val="24"/>
        </w:rPr>
        <w:t>546</w:t>
      </w:r>
      <w:r w:rsidRPr="00C12ABE">
        <w:rPr>
          <w:rFonts w:ascii="Arial" w:hAnsi="Arial" w:cs="Arial"/>
          <w:sz w:val="24"/>
          <w:szCs w:val="24"/>
        </w:rPr>
        <w:t xml:space="preserve"> reviews were provided out of a possible </w:t>
      </w:r>
      <w:r w:rsidR="00F54BE1" w:rsidRPr="00C12ABE">
        <w:rPr>
          <w:rFonts w:ascii="Arial" w:hAnsi="Arial" w:cs="Arial"/>
          <w:sz w:val="24"/>
          <w:szCs w:val="24"/>
        </w:rPr>
        <w:t>3</w:t>
      </w:r>
      <w:r w:rsidRPr="00C12ABE">
        <w:rPr>
          <w:rFonts w:ascii="Arial" w:hAnsi="Arial" w:cs="Arial"/>
          <w:sz w:val="24"/>
          <w:szCs w:val="24"/>
        </w:rPr>
        <w:t>,</w:t>
      </w:r>
      <w:r w:rsidR="00F54BE1" w:rsidRPr="00C12ABE">
        <w:rPr>
          <w:rFonts w:ascii="Arial" w:hAnsi="Arial" w:cs="Arial"/>
          <w:sz w:val="24"/>
          <w:szCs w:val="24"/>
        </w:rPr>
        <w:t>2</w:t>
      </w:r>
      <w:r w:rsidRPr="00C12ABE">
        <w:rPr>
          <w:rFonts w:ascii="Arial" w:hAnsi="Arial" w:cs="Arial"/>
          <w:sz w:val="24"/>
          <w:szCs w:val="24"/>
        </w:rPr>
        <w:t>00 reviews. One pharmacy provided the maximum number of 400 reviews.</w:t>
      </w:r>
      <w:r w:rsidR="005457B4" w:rsidRPr="00C12ABE">
        <w:rPr>
          <w:rFonts w:ascii="Arial" w:hAnsi="Arial" w:cs="Arial"/>
          <w:sz w:val="24"/>
          <w:szCs w:val="24"/>
        </w:rPr>
        <w:t xml:space="preserve"> The Welsh Government formally suspended the MUR service on 13 March 2020.  At the time of writing, </w:t>
      </w:r>
      <w:r w:rsidR="0070331C" w:rsidRPr="00C12ABE">
        <w:rPr>
          <w:rFonts w:ascii="Arial" w:hAnsi="Arial" w:cs="Arial"/>
          <w:sz w:val="24"/>
          <w:szCs w:val="24"/>
        </w:rPr>
        <w:t>it is not known if the service will re-commence</w:t>
      </w:r>
      <w:r w:rsidR="005457B4" w:rsidRPr="00C12ABE">
        <w:rPr>
          <w:rFonts w:ascii="Arial" w:hAnsi="Arial" w:cs="Arial"/>
          <w:sz w:val="24"/>
          <w:szCs w:val="24"/>
        </w:rPr>
        <w:t>.</w:t>
      </w:r>
    </w:p>
    <w:p w14:paraId="0225A3CF" w14:textId="77777777" w:rsidR="005457B4" w:rsidRPr="00C12ABE" w:rsidRDefault="005457B4" w:rsidP="00DC54F7">
      <w:pPr>
        <w:spacing w:after="0" w:line="240" w:lineRule="auto"/>
        <w:jc w:val="both"/>
        <w:rPr>
          <w:rFonts w:ascii="Arial" w:hAnsi="Arial" w:cs="Arial"/>
          <w:sz w:val="24"/>
          <w:szCs w:val="24"/>
        </w:rPr>
      </w:pPr>
    </w:p>
    <w:p w14:paraId="5AEC66BF" w14:textId="77777777" w:rsidR="00B14CF9" w:rsidRPr="00C12ABE" w:rsidRDefault="005B3CB3" w:rsidP="00DC54F7">
      <w:pPr>
        <w:spacing w:after="0" w:line="240" w:lineRule="auto"/>
        <w:jc w:val="both"/>
        <w:rPr>
          <w:rFonts w:ascii="Arial" w:hAnsi="Arial" w:cs="Arial"/>
          <w:sz w:val="24"/>
          <w:szCs w:val="24"/>
        </w:rPr>
      </w:pPr>
      <w:r w:rsidRPr="00C12ABE">
        <w:rPr>
          <w:rFonts w:ascii="Arial" w:hAnsi="Arial" w:cs="Arial"/>
          <w:sz w:val="24"/>
          <w:szCs w:val="24"/>
        </w:rPr>
        <w:t xml:space="preserve">In 2019 to 2020, </w:t>
      </w:r>
      <w:r w:rsidR="00FC211A" w:rsidRPr="00C12ABE">
        <w:rPr>
          <w:rFonts w:ascii="Arial" w:hAnsi="Arial" w:cs="Arial"/>
          <w:sz w:val="24"/>
          <w:szCs w:val="24"/>
        </w:rPr>
        <w:t xml:space="preserve">six </w:t>
      </w:r>
      <w:r w:rsidRPr="00C12ABE">
        <w:rPr>
          <w:rFonts w:ascii="Arial" w:hAnsi="Arial" w:cs="Arial"/>
          <w:sz w:val="24"/>
          <w:szCs w:val="24"/>
        </w:rPr>
        <w:t xml:space="preserve">pharmacies offered the DMR </w:t>
      </w:r>
      <w:r w:rsidR="00FC211A" w:rsidRPr="00C12ABE">
        <w:rPr>
          <w:rFonts w:ascii="Arial" w:hAnsi="Arial" w:cs="Arial"/>
          <w:sz w:val="24"/>
          <w:szCs w:val="24"/>
        </w:rPr>
        <w:t xml:space="preserve">service </w:t>
      </w:r>
      <w:r w:rsidRPr="00C12ABE">
        <w:rPr>
          <w:rFonts w:ascii="Arial" w:hAnsi="Arial" w:cs="Arial"/>
          <w:sz w:val="24"/>
          <w:szCs w:val="24"/>
        </w:rPr>
        <w:t xml:space="preserve">and a total of </w:t>
      </w:r>
      <w:r w:rsidR="00FC211A" w:rsidRPr="00C12ABE">
        <w:rPr>
          <w:rFonts w:ascii="Arial" w:hAnsi="Arial" w:cs="Arial"/>
          <w:sz w:val="24"/>
          <w:szCs w:val="24"/>
        </w:rPr>
        <w:t>323</w:t>
      </w:r>
      <w:r w:rsidRPr="00C12ABE">
        <w:rPr>
          <w:rFonts w:ascii="Arial" w:hAnsi="Arial" w:cs="Arial"/>
          <w:sz w:val="24"/>
          <w:szCs w:val="24"/>
        </w:rPr>
        <w:t xml:space="preserve"> reviews were provided out of a possible </w:t>
      </w:r>
      <w:r w:rsidR="00E5024C" w:rsidRPr="00C12ABE">
        <w:rPr>
          <w:rFonts w:ascii="Arial" w:hAnsi="Arial" w:cs="Arial"/>
          <w:sz w:val="24"/>
          <w:szCs w:val="24"/>
        </w:rPr>
        <w:t>840</w:t>
      </w:r>
      <w:r w:rsidRPr="00C12ABE">
        <w:rPr>
          <w:rFonts w:ascii="Arial" w:hAnsi="Arial" w:cs="Arial"/>
          <w:sz w:val="24"/>
          <w:szCs w:val="24"/>
        </w:rPr>
        <w:t xml:space="preserve"> reviews. No pharmacies provided the maximum number of reviews.</w:t>
      </w:r>
      <w:r w:rsidR="00B14CF9" w:rsidRPr="00C12ABE">
        <w:rPr>
          <w:rFonts w:ascii="Arial" w:hAnsi="Arial" w:cs="Arial"/>
          <w:sz w:val="24"/>
          <w:szCs w:val="24"/>
        </w:rPr>
        <w:t xml:space="preserve"> As part of the changes to the Community Pharmacy Contractual Framework for 2021, the cap for the number of paid DMRs has been removed.</w:t>
      </w:r>
    </w:p>
    <w:p w14:paraId="0AEF2B49" w14:textId="3A2E9F47" w:rsidR="005B3CB3" w:rsidRPr="00C12ABE" w:rsidRDefault="005B3CB3" w:rsidP="00DC54F7">
      <w:pPr>
        <w:spacing w:after="0" w:line="240" w:lineRule="auto"/>
        <w:jc w:val="both"/>
        <w:rPr>
          <w:rFonts w:ascii="Arial" w:hAnsi="Arial" w:cs="Arial"/>
          <w:sz w:val="24"/>
          <w:szCs w:val="24"/>
        </w:rPr>
      </w:pPr>
    </w:p>
    <w:p w14:paraId="33495963" w14:textId="77777777" w:rsidR="005B3CB3" w:rsidRPr="007A35A7" w:rsidRDefault="005B3CB3" w:rsidP="00DC54F7">
      <w:pPr>
        <w:spacing w:after="0" w:line="240" w:lineRule="auto"/>
        <w:contextualSpacing/>
        <w:jc w:val="both"/>
        <w:rPr>
          <w:rFonts w:ascii="Arial" w:hAnsi="Arial" w:cs="Arial"/>
          <w:sz w:val="24"/>
          <w:szCs w:val="24"/>
        </w:rPr>
      </w:pPr>
      <w:r w:rsidRPr="007A35A7">
        <w:rPr>
          <w:rFonts w:ascii="Arial" w:hAnsi="Arial" w:cs="Arial"/>
          <w:sz w:val="24"/>
          <w:szCs w:val="24"/>
        </w:rPr>
        <w:t>In 2019 to 2020, the following enhanced services were provided by pharmacies in the cluster area:</w:t>
      </w:r>
    </w:p>
    <w:p w14:paraId="1FF6F48C" w14:textId="77777777" w:rsidR="005B3CB3" w:rsidRPr="007A35A7" w:rsidRDefault="005B3CB3" w:rsidP="00DC54F7">
      <w:pPr>
        <w:spacing w:after="0" w:line="240" w:lineRule="auto"/>
        <w:contextualSpacing/>
        <w:jc w:val="both"/>
        <w:rPr>
          <w:rFonts w:ascii="Arial" w:hAnsi="Arial" w:cs="Arial"/>
          <w:sz w:val="24"/>
          <w:szCs w:val="24"/>
        </w:rPr>
      </w:pPr>
    </w:p>
    <w:p w14:paraId="60106092" w14:textId="3DB03F0F" w:rsidR="005B3CB3" w:rsidRPr="007A35A7" w:rsidRDefault="00D606B9" w:rsidP="00DC54F7">
      <w:pPr>
        <w:pStyle w:val="ListParagraph"/>
        <w:numPr>
          <w:ilvl w:val="0"/>
          <w:numId w:val="161"/>
        </w:numPr>
        <w:spacing w:after="0" w:line="240" w:lineRule="auto"/>
        <w:jc w:val="both"/>
        <w:rPr>
          <w:rFonts w:ascii="Arial" w:hAnsi="Arial" w:cs="Arial"/>
          <w:sz w:val="24"/>
          <w:szCs w:val="24"/>
        </w:rPr>
      </w:pPr>
      <w:r w:rsidRPr="007A35A7">
        <w:rPr>
          <w:rFonts w:ascii="Arial" w:hAnsi="Arial" w:cs="Arial"/>
          <w:sz w:val="24"/>
          <w:szCs w:val="24"/>
        </w:rPr>
        <w:t xml:space="preserve">Five </w:t>
      </w:r>
      <w:r w:rsidR="005B3CB3" w:rsidRPr="007A35A7">
        <w:rPr>
          <w:rFonts w:ascii="Arial" w:hAnsi="Arial" w:cs="Arial"/>
          <w:sz w:val="24"/>
          <w:szCs w:val="24"/>
        </w:rPr>
        <w:t xml:space="preserve">pharmacies provided a total of </w:t>
      </w:r>
      <w:r w:rsidRPr="007A35A7">
        <w:rPr>
          <w:rFonts w:ascii="Arial" w:hAnsi="Arial" w:cs="Arial"/>
          <w:sz w:val="24"/>
          <w:szCs w:val="24"/>
        </w:rPr>
        <w:t>254</w:t>
      </w:r>
      <w:r w:rsidR="005B3CB3" w:rsidRPr="007A35A7">
        <w:rPr>
          <w:rFonts w:ascii="Arial" w:hAnsi="Arial" w:cs="Arial"/>
          <w:sz w:val="24"/>
          <w:szCs w:val="24"/>
        </w:rPr>
        <w:t xml:space="preserve"> emergency contraception consultations, with a range of </w:t>
      </w:r>
      <w:r w:rsidRPr="007A35A7">
        <w:rPr>
          <w:rFonts w:ascii="Arial" w:hAnsi="Arial" w:cs="Arial"/>
          <w:sz w:val="24"/>
          <w:szCs w:val="24"/>
        </w:rPr>
        <w:t>eight</w:t>
      </w:r>
      <w:r w:rsidR="005B3CB3" w:rsidRPr="007A35A7">
        <w:rPr>
          <w:rFonts w:ascii="Arial" w:hAnsi="Arial" w:cs="Arial"/>
          <w:sz w:val="24"/>
          <w:szCs w:val="24"/>
        </w:rPr>
        <w:t xml:space="preserve"> to 1</w:t>
      </w:r>
      <w:r w:rsidRPr="007A35A7">
        <w:rPr>
          <w:rFonts w:ascii="Arial" w:hAnsi="Arial" w:cs="Arial"/>
          <w:sz w:val="24"/>
          <w:szCs w:val="24"/>
        </w:rPr>
        <w:t>76</w:t>
      </w:r>
      <w:r w:rsidR="005B3CB3" w:rsidRPr="007A35A7">
        <w:rPr>
          <w:rFonts w:ascii="Arial" w:hAnsi="Arial" w:cs="Arial"/>
          <w:sz w:val="24"/>
          <w:szCs w:val="24"/>
        </w:rPr>
        <w:t xml:space="preserve"> consultations.</w:t>
      </w:r>
    </w:p>
    <w:p w14:paraId="6F55A657" w14:textId="20C570A4" w:rsidR="005B3CB3" w:rsidRPr="007A35A7" w:rsidRDefault="00D606B9" w:rsidP="00DC54F7">
      <w:pPr>
        <w:pStyle w:val="ListParagraph"/>
        <w:numPr>
          <w:ilvl w:val="0"/>
          <w:numId w:val="86"/>
        </w:numPr>
        <w:spacing w:after="0" w:line="240" w:lineRule="auto"/>
        <w:jc w:val="both"/>
        <w:rPr>
          <w:rFonts w:ascii="Arial" w:hAnsi="Arial" w:cs="Arial"/>
          <w:sz w:val="24"/>
          <w:szCs w:val="24"/>
        </w:rPr>
      </w:pPr>
      <w:r w:rsidRPr="007A35A7">
        <w:rPr>
          <w:rFonts w:ascii="Arial" w:hAnsi="Arial" w:cs="Arial"/>
          <w:sz w:val="24"/>
          <w:szCs w:val="24"/>
        </w:rPr>
        <w:t>Two</w:t>
      </w:r>
      <w:r w:rsidR="005B3CB3" w:rsidRPr="007A35A7">
        <w:rPr>
          <w:rFonts w:ascii="Arial" w:hAnsi="Arial" w:cs="Arial"/>
          <w:sz w:val="24"/>
          <w:szCs w:val="24"/>
        </w:rPr>
        <w:t xml:space="preserve"> pharmacies provided a total of </w:t>
      </w:r>
      <w:r w:rsidRPr="007A35A7">
        <w:rPr>
          <w:rFonts w:ascii="Arial" w:hAnsi="Arial" w:cs="Arial"/>
          <w:sz w:val="24"/>
          <w:szCs w:val="24"/>
        </w:rPr>
        <w:t>22</w:t>
      </w:r>
      <w:r w:rsidR="005B3CB3" w:rsidRPr="007A35A7">
        <w:rPr>
          <w:rFonts w:ascii="Arial" w:hAnsi="Arial" w:cs="Arial"/>
          <w:sz w:val="24"/>
          <w:szCs w:val="24"/>
        </w:rPr>
        <w:t xml:space="preserve"> smoking cessation level </w:t>
      </w:r>
      <w:r w:rsidRPr="007A35A7">
        <w:rPr>
          <w:rFonts w:ascii="Arial" w:hAnsi="Arial" w:cs="Arial"/>
          <w:sz w:val="24"/>
          <w:szCs w:val="24"/>
        </w:rPr>
        <w:t>3</w:t>
      </w:r>
      <w:r w:rsidR="005B3CB3" w:rsidRPr="007A35A7">
        <w:rPr>
          <w:rFonts w:ascii="Arial" w:hAnsi="Arial" w:cs="Arial"/>
          <w:sz w:val="24"/>
          <w:szCs w:val="24"/>
        </w:rPr>
        <w:t xml:space="preserve"> consultations, with a range of </w:t>
      </w:r>
      <w:r w:rsidRPr="007A35A7">
        <w:rPr>
          <w:rFonts w:ascii="Arial" w:hAnsi="Arial" w:cs="Arial"/>
          <w:sz w:val="24"/>
          <w:szCs w:val="24"/>
        </w:rPr>
        <w:t>seven</w:t>
      </w:r>
      <w:r w:rsidR="005B3CB3" w:rsidRPr="007A35A7">
        <w:rPr>
          <w:rFonts w:ascii="Arial" w:hAnsi="Arial" w:cs="Arial"/>
          <w:sz w:val="24"/>
          <w:szCs w:val="24"/>
        </w:rPr>
        <w:t xml:space="preserve"> to </w:t>
      </w:r>
      <w:r w:rsidRPr="007A35A7">
        <w:rPr>
          <w:rFonts w:ascii="Arial" w:hAnsi="Arial" w:cs="Arial"/>
          <w:sz w:val="24"/>
          <w:szCs w:val="24"/>
        </w:rPr>
        <w:t>15</w:t>
      </w:r>
      <w:r w:rsidR="005B3CB3" w:rsidRPr="007A35A7">
        <w:rPr>
          <w:rFonts w:ascii="Arial" w:hAnsi="Arial" w:cs="Arial"/>
          <w:sz w:val="24"/>
          <w:szCs w:val="24"/>
        </w:rPr>
        <w:t xml:space="preserve"> consultations.</w:t>
      </w:r>
    </w:p>
    <w:p w14:paraId="4E578DE1" w14:textId="5A5A67FD" w:rsidR="005B3CB3" w:rsidRPr="007A35A7" w:rsidRDefault="00ED1C03" w:rsidP="00DC54F7">
      <w:pPr>
        <w:pStyle w:val="ListParagraph"/>
        <w:numPr>
          <w:ilvl w:val="0"/>
          <w:numId w:val="86"/>
        </w:numPr>
        <w:spacing w:after="0" w:line="240" w:lineRule="auto"/>
        <w:jc w:val="both"/>
        <w:rPr>
          <w:rFonts w:ascii="Arial" w:hAnsi="Arial" w:cs="Arial"/>
          <w:sz w:val="24"/>
          <w:szCs w:val="24"/>
        </w:rPr>
      </w:pPr>
      <w:r w:rsidRPr="007A35A7">
        <w:rPr>
          <w:rFonts w:ascii="Arial" w:hAnsi="Arial" w:cs="Arial"/>
          <w:sz w:val="24"/>
          <w:szCs w:val="24"/>
        </w:rPr>
        <w:t>Seven</w:t>
      </w:r>
      <w:r w:rsidR="005B3CB3" w:rsidRPr="007A35A7">
        <w:rPr>
          <w:rFonts w:ascii="Arial" w:hAnsi="Arial" w:cs="Arial"/>
          <w:sz w:val="24"/>
          <w:szCs w:val="24"/>
        </w:rPr>
        <w:t xml:space="preserve"> pharmacies provided a total of </w:t>
      </w:r>
      <w:r w:rsidRPr="007A35A7">
        <w:rPr>
          <w:rFonts w:ascii="Arial" w:hAnsi="Arial" w:cs="Arial"/>
          <w:sz w:val="24"/>
          <w:szCs w:val="24"/>
        </w:rPr>
        <w:t>1307</w:t>
      </w:r>
      <w:r w:rsidR="005B3CB3" w:rsidRPr="007A35A7">
        <w:rPr>
          <w:rFonts w:ascii="Arial" w:hAnsi="Arial" w:cs="Arial"/>
          <w:sz w:val="24"/>
          <w:szCs w:val="24"/>
        </w:rPr>
        <w:t xml:space="preserve"> flu vaccinations, with a range of 2</w:t>
      </w:r>
      <w:r w:rsidRPr="007A35A7">
        <w:rPr>
          <w:rFonts w:ascii="Arial" w:hAnsi="Arial" w:cs="Arial"/>
          <w:sz w:val="24"/>
          <w:szCs w:val="24"/>
        </w:rPr>
        <w:t>3</w:t>
      </w:r>
      <w:r w:rsidR="005B3CB3" w:rsidRPr="007A35A7">
        <w:rPr>
          <w:rFonts w:ascii="Arial" w:hAnsi="Arial" w:cs="Arial"/>
          <w:sz w:val="24"/>
          <w:szCs w:val="24"/>
        </w:rPr>
        <w:t xml:space="preserve"> to </w:t>
      </w:r>
      <w:r w:rsidRPr="007A35A7">
        <w:rPr>
          <w:rFonts w:ascii="Arial" w:hAnsi="Arial" w:cs="Arial"/>
          <w:sz w:val="24"/>
          <w:szCs w:val="24"/>
        </w:rPr>
        <w:t>596</w:t>
      </w:r>
      <w:r w:rsidR="005B3CB3" w:rsidRPr="007A35A7">
        <w:rPr>
          <w:rFonts w:ascii="Arial" w:hAnsi="Arial" w:cs="Arial"/>
          <w:sz w:val="24"/>
          <w:szCs w:val="24"/>
        </w:rPr>
        <w:t xml:space="preserve"> vaccinations.</w:t>
      </w:r>
    </w:p>
    <w:p w14:paraId="0FEAD8E4" w14:textId="656FA38B" w:rsidR="005B3CB3" w:rsidRPr="007A35A7" w:rsidRDefault="00ED1C03" w:rsidP="00DC54F7">
      <w:pPr>
        <w:pStyle w:val="ListParagraph"/>
        <w:numPr>
          <w:ilvl w:val="0"/>
          <w:numId w:val="86"/>
        </w:numPr>
        <w:spacing w:after="0" w:line="240" w:lineRule="auto"/>
        <w:jc w:val="both"/>
        <w:rPr>
          <w:rFonts w:ascii="Arial" w:hAnsi="Arial" w:cs="Arial"/>
          <w:sz w:val="24"/>
          <w:szCs w:val="24"/>
        </w:rPr>
      </w:pPr>
      <w:r w:rsidRPr="007A35A7">
        <w:rPr>
          <w:rFonts w:ascii="Arial" w:hAnsi="Arial" w:cs="Arial"/>
          <w:sz w:val="24"/>
          <w:szCs w:val="24"/>
        </w:rPr>
        <w:t>Eight</w:t>
      </w:r>
      <w:r w:rsidR="005B3CB3" w:rsidRPr="007A35A7">
        <w:rPr>
          <w:rFonts w:ascii="Arial" w:hAnsi="Arial" w:cs="Arial"/>
          <w:sz w:val="24"/>
          <w:szCs w:val="24"/>
        </w:rPr>
        <w:t xml:space="preserve"> pharmacies provided a total of </w:t>
      </w:r>
      <w:r w:rsidRPr="007A35A7">
        <w:rPr>
          <w:rFonts w:ascii="Arial" w:hAnsi="Arial" w:cs="Arial"/>
          <w:sz w:val="24"/>
          <w:szCs w:val="24"/>
        </w:rPr>
        <w:t>259</w:t>
      </w:r>
      <w:r w:rsidR="005B3CB3" w:rsidRPr="007A35A7">
        <w:rPr>
          <w:rFonts w:ascii="Arial" w:hAnsi="Arial" w:cs="Arial"/>
          <w:sz w:val="24"/>
          <w:szCs w:val="24"/>
        </w:rPr>
        <w:t xml:space="preserve"> </w:t>
      </w:r>
      <w:r w:rsidR="00997325" w:rsidRPr="007A35A7">
        <w:rPr>
          <w:rFonts w:ascii="Arial" w:hAnsi="Arial" w:cs="Arial"/>
          <w:sz w:val="24"/>
          <w:szCs w:val="24"/>
        </w:rPr>
        <w:t>CAS</w:t>
      </w:r>
      <w:r w:rsidR="005B3CB3" w:rsidRPr="007A35A7">
        <w:rPr>
          <w:rFonts w:ascii="Arial" w:hAnsi="Arial" w:cs="Arial"/>
          <w:sz w:val="24"/>
          <w:szCs w:val="24"/>
        </w:rPr>
        <w:t xml:space="preserve"> consultations, with a range of </w:t>
      </w:r>
      <w:r w:rsidRPr="007A35A7">
        <w:rPr>
          <w:rFonts w:ascii="Arial" w:hAnsi="Arial" w:cs="Arial"/>
          <w:sz w:val="24"/>
          <w:szCs w:val="24"/>
        </w:rPr>
        <w:t>four</w:t>
      </w:r>
      <w:r w:rsidR="005B3CB3" w:rsidRPr="007A35A7">
        <w:rPr>
          <w:rFonts w:ascii="Arial" w:hAnsi="Arial" w:cs="Arial"/>
          <w:sz w:val="24"/>
          <w:szCs w:val="24"/>
        </w:rPr>
        <w:t xml:space="preserve"> to </w:t>
      </w:r>
      <w:r w:rsidRPr="007A35A7">
        <w:rPr>
          <w:rFonts w:ascii="Arial" w:hAnsi="Arial" w:cs="Arial"/>
          <w:sz w:val="24"/>
          <w:szCs w:val="24"/>
        </w:rPr>
        <w:t>77</w:t>
      </w:r>
      <w:r w:rsidR="005B3CB3" w:rsidRPr="007A35A7">
        <w:rPr>
          <w:rFonts w:ascii="Arial" w:hAnsi="Arial" w:cs="Arial"/>
          <w:sz w:val="24"/>
          <w:szCs w:val="24"/>
        </w:rPr>
        <w:t xml:space="preserve"> consultations.</w:t>
      </w:r>
    </w:p>
    <w:p w14:paraId="46956BD2" w14:textId="5049D506" w:rsidR="00ED1C03" w:rsidRPr="007A35A7" w:rsidRDefault="00ED1C03" w:rsidP="00DC54F7">
      <w:pPr>
        <w:pStyle w:val="ListParagraph"/>
        <w:numPr>
          <w:ilvl w:val="0"/>
          <w:numId w:val="86"/>
        </w:numPr>
        <w:spacing w:after="0" w:line="240" w:lineRule="auto"/>
        <w:jc w:val="both"/>
        <w:rPr>
          <w:rFonts w:ascii="Arial" w:hAnsi="Arial" w:cs="Arial"/>
          <w:sz w:val="24"/>
          <w:szCs w:val="24"/>
        </w:rPr>
      </w:pPr>
      <w:r w:rsidRPr="007A35A7">
        <w:rPr>
          <w:rFonts w:ascii="Arial" w:hAnsi="Arial" w:cs="Arial"/>
          <w:sz w:val="24"/>
          <w:szCs w:val="24"/>
        </w:rPr>
        <w:t>Five pharmacies provided a total of 39 EMS consultations, with a range of two to 23 consultations</w:t>
      </w:r>
    </w:p>
    <w:p w14:paraId="2216AAE5" w14:textId="77777777" w:rsidR="00B04BF2" w:rsidRDefault="00B04BF2" w:rsidP="00DC54F7">
      <w:pPr>
        <w:spacing w:after="0" w:line="240" w:lineRule="auto"/>
        <w:jc w:val="both"/>
        <w:rPr>
          <w:rFonts w:ascii="Arial" w:hAnsi="Arial" w:cs="Arial"/>
        </w:rPr>
      </w:pPr>
    </w:p>
    <w:p w14:paraId="5AA6E65C" w14:textId="5325961A" w:rsidR="00B04BF2" w:rsidRPr="004F75F8" w:rsidRDefault="00B04BF2" w:rsidP="00DC54F7">
      <w:pPr>
        <w:spacing w:after="0" w:line="240" w:lineRule="auto"/>
        <w:jc w:val="both"/>
        <w:rPr>
          <w:rFonts w:ascii="Arial" w:hAnsi="Arial" w:cs="Arial"/>
          <w:sz w:val="24"/>
          <w:szCs w:val="24"/>
        </w:rPr>
      </w:pPr>
      <w:r w:rsidRPr="004F75F8">
        <w:rPr>
          <w:rFonts w:ascii="Arial" w:hAnsi="Arial" w:cs="Arial"/>
          <w:sz w:val="24"/>
          <w:szCs w:val="24"/>
        </w:rPr>
        <w:t>Other enhanced services include</w:t>
      </w:r>
      <w:r w:rsidR="004F75F8">
        <w:rPr>
          <w:rFonts w:ascii="Arial" w:hAnsi="Arial" w:cs="Arial"/>
          <w:sz w:val="24"/>
          <w:szCs w:val="24"/>
        </w:rPr>
        <w:t>d</w:t>
      </w:r>
      <w:r w:rsidRPr="004F75F8">
        <w:rPr>
          <w:rFonts w:ascii="Arial" w:hAnsi="Arial" w:cs="Arial"/>
          <w:sz w:val="24"/>
          <w:szCs w:val="24"/>
        </w:rPr>
        <w:t>:</w:t>
      </w:r>
    </w:p>
    <w:p w14:paraId="3AC9D09D" w14:textId="19D2FFE2" w:rsidR="004F75F8" w:rsidRPr="004F75F8" w:rsidRDefault="004F75F8" w:rsidP="00DC54F7">
      <w:pPr>
        <w:pStyle w:val="ListParagraph"/>
        <w:numPr>
          <w:ilvl w:val="0"/>
          <w:numId w:val="86"/>
        </w:numPr>
        <w:spacing w:after="0" w:line="240" w:lineRule="auto"/>
        <w:jc w:val="both"/>
        <w:rPr>
          <w:rFonts w:ascii="Arial" w:hAnsi="Arial" w:cs="Arial"/>
          <w:sz w:val="24"/>
          <w:szCs w:val="24"/>
        </w:rPr>
      </w:pPr>
      <w:r w:rsidRPr="004F75F8">
        <w:rPr>
          <w:rFonts w:ascii="Arial" w:hAnsi="Arial" w:cs="Arial"/>
          <w:sz w:val="24"/>
          <w:szCs w:val="24"/>
        </w:rPr>
        <w:t xml:space="preserve">Four pharmacies provided the </w:t>
      </w:r>
      <w:r>
        <w:rPr>
          <w:rFonts w:ascii="Arial" w:hAnsi="Arial" w:cs="Arial"/>
          <w:sz w:val="24"/>
          <w:szCs w:val="24"/>
        </w:rPr>
        <w:t>S</w:t>
      </w:r>
      <w:r w:rsidRPr="004F75F8">
        <w:rPr>
          <w:rFonts w:ascii="Arial" w:hAnsi="Arial" w:cs="Arial"/>
          <w:sz w:val="24"/>
          <w:szCs w:val="24"/>
        </w:rPr>
        <w:t xml:space="preserve">upervised </w:t>
      </w:r>
      <w:r>
        <w:rPr>
          <w:rFonts w:ascii="Arial" w:hAnsi="Arial" w:cs="Arial"/>
          <w:sz w:val="24"/>
          <w:szCs w:val="24"/>
        </w:rPr>
        <w:t>A</w:t>
      </w:r>
      <w:r w:rsidRPr="004F75F8">
        <w:rPr>
          <w:rFonts w:ascii="Arial" w:hAnsi="Arial" w:cs="Arial"/>
          <w:sz w:val="24"/>
          <w:szCs w:val="24"/>
        </w:rPr>
        <w:t xml:space="preserve">dministration </w:t>
      </w:r>
      <w:r>
        <w:rPr>
          <w:rFonts w:ascii="Arial" w:hAnsi="Arial" w:cs="Arial"/>
          <w:sz w:val="24"/>
          <w:szCs w:val="24"/>
        </w:rPr>
        <w:t>of Medicines Enhanced S</w:t>
      </w:r>
      <w:r w:rsidRPr="004F75F8">
        <w:rPr>
          <w:rFonts w:ascii="Arial" w:hAnsi="Arial" w:cs="Arial"/>
          <w:sz w:val="24"/>
          <w:szCs w:val="24"/>
        </w:rPr>
        <w:t>ervice.</w:t>
      </w:r>
    </w:p>
    <w:p w14:paraId="4FE04916" w14:textId="754ED5AB" w:rsidR="00B04BF2" w:rsidRPr="004F75F8" w:rsidRDefault="00B04BF2" w:rsidP="00DC54F7">
      <w:pPr>
        <w:pStyle w:val="ListParagraph"/>
        <w:numPr>
          <w:ilvl w:val="0"/>
          <w:numId w:val="154"/>
        </w:numPr>
        <w:spacing w:after="0" w:line="240" w:lineRule="auto"/>
        <w:jc w:val="both"/>
        <w:rPr>
          <w:rFonts w:ascii="Arial" w:hAnsi="Arial" w:cs="Arial"/>
          <w:sz w:val="24"/>
          <w:szCs w:val="24"/>
        </w:rPr>
      </w:pPr>
      <w:r w:rsidRPr="004F75F8">
        <w:rPr>
          <w:rFonts w:ascii="Arial" w:hAnsi="Arial" w:cs="Arial"/>
          <w:sz w:val="24"/>
          <w:szCs w:val="24"/>
        </w:rPr>
        <w:t xml:space="preserve">Two pharmacies provided the </w:t>
      </w:r>
      <w:r w:rsidR="00D65C93" w:rsidRPr="004F75F8">
        <w:rPr>
          <w:rFonts w:ascii="Arial" w:hAnsi="Arial" w:cs="Arial"/>
          <w:sz w:val="24"/>
          <w:szCs w:val="24"/>
        </w:rPr>
        <w:t xml:space="preserve">Needle Syringe Provision </w:t>
      </w:r>
      <w:r w:rsidR="004F75F8">
        <w:rPr>
          <w:rFonts w:ascii="Arial" w:hAnsi="Arial" w:cs="Arial"/>
          <w:sz w:val="24"/>
          <w:szCs w:val="24"/>
        </w:rPr>
        <w:t>Enhanced S</w:t>
      </w:r>
      <w:r w:rsidRPr="004F75F8">
        <w:rPr>
          <w:rFonts w:ascii="Arial" w:hAnsi="Arial" w:cs="Arial"/>
          <w:sz w:val="24"/>
          <w:szCs w:val="24"/>
        </w:rPr>
        <w:t>ervice</w:t>
      </w:r>
      <w:r w:rsidR="004F75F8">
        <w:rPr>
          <w:rFonts w:ascii="Arial" w:hAnsi="Arial" w:cs="Arial"/>
          <w:sz w:val="24"/>
          <w:szCs w:val="24"/>
        </w:rPr>
        <w:t>.</w:t>
      </w:r>
    </w:p>
    <w:p w14:paraId="6A60BFE2" w14:textId="6C67FD33" w:rsidR="00B04BF2" w:rsidRPr="00C2620B" w:rsidRDefault="00B04BF2" w:rsidP="00DC54F7">
      <w:pPr>
        <w:pStyle w:val="ListParagraph"/>
        <w:numPr>
          <w:ilvl w:val="0"/>
          <w:numId w:val="154"/>
        </w:numPr>
        <w:spacing w:after="0" w:line="240" w:lineRule="auto"/>
        <w:jc w:val="both"/>
        <w:rPr>
          <w:rFonts w:ascii="Arial" w:hAnsi="Arial" w:cs="Arial"/>
        </w:rPr>
      </w:pPr>
      <w:r w:rsidRPr="004F75F8">
        <w:rPr>
          <w:rFonts w:ascii="Arial" w:hAnsi="Arial" w:cs="Arial"/>
          <w:sz w:val="24"/>
          <w:szCs w:val="24"/>
        </w:rPr>
        <w:t xml:space="preserve">Two pharmacies provided the </w:t>
      </w:r>
      <w:r w:rsidR="004F75F8">
        <w:rPr>
          <w:rFonts w:ascii="Arial" w:hAnsi="Arial" w:cs="Arial"/>
          <w:sz w:val="24"/>
          <w:szCs w:val="24"/>
        </w:rPr>
        <w:t>P</w:t>
      </w:r>
      <w:r w:rsidRPr="004F75F8">
        <w:rPr>
          <w:rFonts w:ascii="Arial" w:hAnsi="Arial" w:cs="Arial"/>
          <w:sz w:val="24"/>
          <w:szCs w:val="24"/>
        </w:rPr>
        <w:t xml:space="preserve">alliative </w:t>
      </w:r>
      <w:r w:rsidR="004F75F8">
        <w:rPr>
          <w:rFonts w:ascii="Arial" w:hAnsi="Arial" w:cs="Arial"/>
          <w:sz w:val="24"/>
          <w:szCs w:val="24"/>
        </w:rPr>
        <w:t>C</w:t>
      </w:r>
      <w:r w:rsidRPr="004F75F8">
        <w:rPr>
          <w:rFonts w:ascii="Arial" w:hAnsi="Arial" w:cs="Arial"/>
          <w:sz w:val="24"/>
          <w:szCs w:val="24"/>
        </w:rPr>
        <w:t xml:space="preserve">are </w:t>
      </w:r>
      <w:r w:rsidR="004F75F8">
        <w:rPr>
          <w:rFonts w:ascii="Arial" w:hAnsi="Arial" w:cs="Arial"/>
          <w:sz w:val="24"/>
          <w:szCs w:val="24"/>
        </w:rPr>
        <w:t>Enhanced S</w:t>
      </w:r>
      <w:r w:rsidRPr="004F75F8">
        <w:rPr>
          <w:rFonts w:ascii="Arial" w:hAnsi="Arial" w:cs="Arial"/>
          <w:sz w:val="24"/>
          <w:szCs w:val="24"/>
        </w:rPr>
        <w:t>ervice</w:t>
      </w:r>
      <w:r w:rsidR="004F75F8">
        <w:rPr>
          <w:rFonts w:ascii="Arial" w:hAnsi="Arial" w:cs="Arial"/>
          <w:sz w:val="24"/>
          <w:szCs w:val="24"/>
        </w:rPr>
        <w:t>.</w:t>
      </w:r>
    </w:p>
    <w:p w14:paraId="3B7E27B0" w14:textId="77777777" w:rsidR="00B04BF2" w:rsidRPr="00B04BF2" w:rsidRDefault="00B04BF2" w:rsidP="00DC54F7">
      <w:pPr>
        <w:spacing w:after="0" w:line="240" w:lineRule="auto"/>
        <w:jc w:val="both"/>
        <w:rPr>
          <w:rFonts w:ascii="Arial" w:hAnsi="Arial" w:cs="Arial"/>
        </w:rPr>
      </w:pPr>
    </w:p>
    <w:p w14:paraId="1BA9E66A" w14:textId="77777777" w:rsidR="004F75F8" w:rsidRDefault="004F75F8" w:rsidP="00DC54F7">
      <w:pPr>
        <w:spacing w:after="0" w:line="240" w:lineRule="auto"/>
        <w:jc w:val="both"/>
        <w:rPr>
          <w:rFonts w:ascii="Arial" w:hAnsi="Arial" w:cs="Arial"/>
          <w:sz w:val="24"/>
          <w:szCs w:val="24"/>
        </w:rPr>
      </w:pPr>
    </w:p>
    <w:p w14:paraId="5D0F4BA4" w14:textId="2C498617" w:rsidR="0063382E" w:rsidRPr="00A10850" w:rsidRDefault="00B82E86" w:rsidP="00DC54F7">
      <w:pPr>
        <w:spacing w:after="0" w:line="240" w:lineRule="auto"/>
        <w:jc w:val="both"/>
        <w:rPr>
          <w:rFonts w:ascii="Arial" w:hAnsi="Arial" w:cs="Arial"/>
          <w:b/>
          <w:sz w:val="26"/>
          <w:szCs w:val="26"/>
          <w:lang w:val="en-US"/>
        </w:rPr>
      </w:pPr>
      <w:r>
        <w:rPr>
          <w:rFonts w:ascii="Arial" w:hAnsi="Arial" w:cs="Arial"/>
          <w:b/>
          <w:sz w:val="26"/>
          <w:szCs w:val="26"/>
          <w:lang w:val="en-US"/>
        </w:rPr>
        <w:t>15</w:t>
      </w:r>
      <w:r w:rsidR="0063382E" w:rsidRPr="00A10850">
        <w:rPr>
          <w:rFonts w:ascii="Arial" w:hAnsi="Arial" w:cs="Arial"/>
          <w:b/>
          <w:sz w:val="26"/>
          <w:szCs w:val="26"/>
          <w:lang w:val="en-US"/>
        </w:rPr>
        <w:t xml:space="preserve">.3 </w:t>
      </w:r>
      <w:r w:rsidR="0063382E" w:rsidRPr="00D10889">
        <w:rPr>
          <w:rFonts w:ascii="Arial" w:hAnsi="Arial" w:cs="Arial"/>
          <w:b/>
          <w:sz w:val="24"/>
          <w:szCs w:val="24"/>
          <w:lang w:val="en-US"/>
        </w:rPr>
        <w:t xml:space="preserve">Current provision of pharmaceutical services outside the </w:t>
      </w:r>
      <w:r w:rsidR="00D252CD" w:rsidRPr="00D10889">
        <w:rPr>
          <w:rFonts w:ascii="Arial" w:hAnsi="Arial" w:cs="Arial"/>
          <w:b/>
          <w:sz w:val="24"/>
          <w:szCs w:val="24"/>
          <w:lang w:val="en-US"/>
        </w:rPr>
        <w:t>cluster</w:t>
      </w:r>
    </w:p>
    <w:p w14:paraId="12E8ACE8" w14:textId="77777777" w:rsidR="00987DCB" w:rsidRDefault="00987DCB" w:rsidP="00DC54F7">
      <w:pPr>
        <w:spacing w:after="0" w:line="240" w:lineRule="auto"/>
        <w:jc w:val="both"/>
        <w:rPr>
          <w:rFonts w:ascii="Arial" w:hAnsi="Arial" w:cs="Arial"/>
        </w:rPr>
      </w:pPr>
    </w:p>
    <w:p w14:paraId="033DFBDA" w14:textId="77777777" w:rsidR="00987DCB" w:rsidRPr="00AB43CE" w:rsidRDefault="00987DCB" w:rsidP="00DC54F7">
      <w:pPr>
        <w:spacing w:after="0" w:line="240" w:lineRule="auto"/>
        <w:jc w:val="both"/>
        <w:rPr>
          <w:rFonts w:ascii="Arial" w:hAnsi="Arial" w:cs="Arial"/>
          <w:sz w:val="24"/>
          <w:szCs w:val="24"/>
          <w:lang w:val="en-US"/>
        </w:rPr>
      </w:pPr>
      <w:r w:rsidRPr="00AB43CE">
        <w:rPr>
          <w:rFonts w:ascii="Arial" w:hAnsi="Arial" w:cs="Arial"/>
          <w:sz w:val="24"/>
          <w:szCs w:val="24"/>
          <w:lang w:val="en-US"/>
        </w:rPr>
        <w:t>Some residents choose to access contractors outside both the cluster and the health board’s area in order to access services:</w:t>
      </w:r>
    </w:p>
    <w:p w14:paraId="7BF39D2E" w14:textId="77777777" w:rsidR="00987DCB" w:rsidRPr="00AB43CE" w:rsidRDefault="00987DCB" w:rsidP="00DC54F7">
      <w:pPr>
        <w:spacing w:after="0" w:line="240" w:lineRule="auto"/>
        <w:jc w:val="both"/>
        <w:rPr>
          <w:rFonts w:ascii="Arial" w:hAnsi="Arial" w:cs="Arial"/>
          <w:sz w:val="24"/>
          <w:szCs w:val="24"/>
          <w:lang w:val="en-US"/>
        </w:rPr>
      </w:pPr>
    </w:p>
    <w:p w14:paraId="4BE1D663" w14:textId="7AA1E56A" w:rsidR="00987DCB" w:rsidRPr="00AB43CE" w:rsidRDefault="00573DCE" w:rsidP="00DC54F7">
      <w:pPr>
        <w:numPr>
          <w:ilvl w:val="0"/>
          <w:numId w:val="49"/>
        </w:numPr>
        <w:spacing w:after="0" w:line="240" w:lineRule="auto"/>
        <w:jc w:val="both"/>
        <w:rPr>
          <w:rFonts w:ascii="Arial" w:hAnsi="Arial" w:cs="Arial"/>
          <w:sz w:val="24"/>
          <w:szCs w:val="24"/>
          <w:lang w:val="en-US"/>
        </w:rPr>
      </w:pPr>
      <w:r w:rsidRPr="00AB43CE">
        <w:rPr>
          <w:rFonts w:ascii="Arial" w:hAnsi="Arial" w:cs="Arial"/>
          <w:sz w:val="24"/>
          <w:szCs w:val="24"/>
          <w:lang w:val="en-US"/>
        </w:rPr>
        <w:t>Offered by dispensing appliance contractors.</w:t>
      </w:r>
    </w:p>
    <w:p w14:paraId="31EA7B4B" w14:textId="77777777" w:rsidR="00987DCB" w:rsidRPr="00AB43CE" w:rsidRDefault="00987DCB" w:rsidP="00DC54F7">
      <w:pPr>
        <w:numPr>
          <w:ilvl w:val="0"/>
          <w:numId w:val="49"/>
        </w:numPr>
        <w:spacing w:after="0" w:line="240" w:lineRule="auto"/>
        <w:jc w:val="both"/>
        <w:rPr>
          <w:rFonts w:ascii="Arial" w:hAnsi="Arial" w:cs="Arial"/>
          <w:sz w:val="24"/>
          <w:szCs w:val="24"/>
          <w:lang w:val="en-US"/>
        </w:rPr>
      </w:pPr>
      <w:r w:rsidRPr="00AB43CE">
        <w:rPr>
          <w:rFonts w:ascii="Arial" w:hAnsi="Arial" w:cs="Arial"/>
          <w:sz w:val="24"/>
          <w:szCs w:val="24"/>
          <w:lang w:val="en-US"/>
        </w:rPr>
        <w:t>Which are located near to where they work, shop or visit for leisure or other purposes.</w:t>
      </w:r>
    </w:p>
    <w:p w14:paraId="0B88B23C" w14:textId="77777777" w:rsidR="00987DCB" w:rsidRPr="00AB43CE" w:rsidRDefault="00987DCB" w:rsidP="00DC54F7">
      <w:pPr>
        <w:spacing w:after="0" w:line="240" w:lineRule="auto"/>
        <w:jc w:val="both"/>
        <w:rPr>
          <w:rFonts w:ascii="Arial" w:hAnsi="Arial" w:cs="Arial"/>
          <w:sz w:val="24"/>
          <w:szCs w:val="24"/>
          <w:lang w:val="en-US"/>
        </w:rPr>
      </w:pPr>
    </w:p>
    <w:p w14:paraId="162A4DF0" w14:textId="6774786E" w:rsidR="00987DCB" w:rsidRPr="00AB43CE" w:rsidRDefault="00987DCB" w:rsidP="00DC54F7">
      <w:pPr>
        <w:shd w:val="clear" w:color="auto" w:fill="FFFFFF"/>
        <w:spacing w:after="0"/>
        <w:jc w:val="both"/>
        <w:rPr>
          <w:rFonts w:ascii="Arial" w:hAnsi="Arial" w:cs="Arial"/>
          <w:color w:val="000000" w:themeColor="text1"/>
          <w:sz w:val="24"/>
          <w:szCs w:val="24"/>
        </w:rPr>
      </w:pPr>
      <w:r w:rsidRPr="00AB43CE">
        <w:rPr>
          <w:rFonts w:ascii="Arial" w:hAnsi="Arial" w:cs="Arial"/>
          <w:color w:val="000000" w:themeColor="text1"/>
          <w:sz w:val="24"/>
          <w:szCs w:val="24"/>
        </w:rPr>
        <w:t xml:space="preserve">Whilst the majority of prescriptions written by the GP practices in 2019 to 2020 were dispensed by the pharmacies in the cluster, around </w:t>
      </w:r>
      <w:r w:rsidR="00850B1F" w:rsidRPr="00AB43CE">
        <w:rPr>
          <w:rFonts w:ascii="Arial" w:hAnsi="Arial" w:cs="Arial"/>
          <w:color w:val="000000" w:themeColor="text1"/>
          <w:sz w:val="24"/>
          <w:szCs w:val="24"/>
        </w:rPr>
        <w:t>7</w:t>
      </w:r>
      <w:r w:rsidRPr="00AB43CE">
        <w:rPr>
          <w:rFonts w:ascii="Arial" w:hAnsi="Arial" w:cs="Arial"/>
          <w:color w:val="000000" w:themeColor="text1"/>
          <w:sz w:val="24"/>
          <w:szCs w:val="24"/>
        </w:rPr>
        <w:t>.</w:t>
      </w:r>
      <w:r w:rsidR="00850B1F" w:rsidRPr="00AB43CE">
        <w:rPr>
          <w:rFonts w:ascii="Arial" w:hAnsi="Arial" w:cs="Arial"/>
          <w:color w:val="000000" w:themeColor="text1"/>
          <w:sz w:val="24"/>
          <w:szCs w:val="24"/>
        </w:rPr>
        <w:t>6</w:t>
      </w:r>
      <w:r w:rsidRPr="00AB43CE">
        <w:rPr>
          <w:rFonts w:ascii="Arial" w:hAnsi="Arial" w:cs="Arial"/>
          <w:color w:val="000000" w:themeColor="text1"/>
          <w:sz w:val="24"/>
          <w:szCs w:val="24"/>
        </w:rPr>
        <w:t>% were dispensed outside the cluster, most notably:</w:t>
      </w:r>
    </w:p>
    <w:p w14:paraId="5A220987" w14:textId="77777777" w:rsidR="00640FAF" w:rsidRPr="00AB43CE" w:rsidRDefault="00640FAF" w:rsidP="00DC54F7">
      <w:pPr>
        <w:shd w:val="clear" w:color="auto" w:fill="FFFFFF"/>
        <w:spacing w:after="0" w:line="240" w:lineRule="auto"/>
        <w:ind w:left="720"/>
        <w:jc w:val="both"/>
        <w:rPr>
          <w:rFonts w:ascii="Arial" w:hAnsi="Arial" w:cs="Arial"/>
          <w:color w:val="000000" w:themeColor="text1"/>
          <w:sz w:val="24"/>
          <w:szCs w:val="24"/>
        </w:rPr>
      </w:pPr>
    </w:p>
    <w:p w14:paraId="438F1D09" w14:textId="36BF0B52" w:rsidR="00987DCB" w:rsidRPr="00AB43CE" w:rsidRDefault="00725F72"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AB43CE">
        <w:rPr>
          <w:rFonts w:ascii="Arial" w:hAnsi="Arial" w:cs="Arial"/>
          <w:color w:val="000000" w:themeColor="text1"/>
          <w:sz w:val="24"/>
          <w:szCs w:val="24"/>
        </w:rPr>
        <w:t>4</w:t>
      </w:r>
      <w:r w:rsidR="00987DCB" w:rsidRPr="00AB43CE">
        <w:rPr>
          <w:rFonts w:ascii="Arial" w:hAnsi="Arial" w:cs="Arial"/>
          <w:color w:val="000000" w:themeColor="text1"/>
          <w:sz w:val="24"/>
          <w:szCs w:val="24"/>
        </w:rPr>
        <w:t>.</w:t>
      </w:r>
      <w:r w:rsidRPr="00AB43CE">
        <w:rPr>
          <w:rFonts w:ascii="Arial" w:hAnsi="Arial" w:cs="Arial"/>
          <w:color w:val="000000" w:themeColor="text1"/>
          <w:sz w:val="24"/>
          <w:szCs w:val="24"/>
        </w:rPr>
        <w:t>5</w:t>
      </w:r>
      <w:r w:rsidR="00987DCB" w:rsidRPr="00AB43CE">
        <w:rPr>
          <w:rFonts w:ascii="Arial" w:hAnsi="Arial" w:cs="Arial"/>
          <w:color w:val="000000" w:themeColor="text1"/>
          <w:sz w:val="24"/>
          <w:szCs w:val="24"/>
        </w:rPr>
        <w:t>% by pharmacies in Cardiff City &amp; South cluster</w:t>
      </w:r>
    </w:p>
    <w:p w14:paraId="625B86CA" w14:textId="7749B2CD" w:rsidR="00987DCB" w:rsidRPr="00AB43CE" w:rsidRDefault="00987DCB"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AB43CE">
        <w:rPr>
          <w:rFonts w:ascii="Arial" w:hAnsi="Arial" w:cs="Arial"/>
          <w:color w:val="000000" w:themeColor="text1"/>
          <w:sz w:val="24"/>
          <w:szCs w:val="24"/>
        </w:rPr>
        <w:t>0.1% by pharmacies in Cardiff South West cluster</w:t>
      </w:r>
    </w:p>
    <w:p w14:paraId="615D5DE1" w14:textId="5206B787" w:rsidR="00725F72" w:rsidRPr="00AB43CE" w:rsidRDefault="007707CD"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AB43CE">
        <w:rPr>
          <w:rFonts w:ascii="Arial" w:hAnsi="Arial" w:cs="Arial"/>
          <w:color w:val="000000" w:themeColor="text1"/>
          <w:sz w:val="24"/>
          <w:szCs w:val="24"/>
        </w:rPr>
        <w:t>1.9% by pharmacies in Central Vale cluster</w:t>
      </w:r>
    </w:p>
    <w:p w14:paraId="6C4EDF34" w14:textId="786E670D" w:rsidR="00987DCB" w:rsidRPr="00AB43CE" w:rsidRDefault="001F429C"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AB43CE">
        <w:rPr>
          <w:rFonts w:ascii="Arial" w:hAnsi="Arial" w:cs="Arial"/>
          <w:color w:val="000000" w:themeColor="text1"/>
          <w:sz w:val="24"/>
          <w:szCs w:val="24"/>
        </w:rPr>
        <w:t>0.1</w:t>
      </w:r>
      <w:r w:rsidR="00987DCB" w:rsidRPr="00AB43CE">
        <w:rPr>
          <w:rFonts w:ascii="Arial" w:hAnsi="Arial" w:cs="Arial"/>
          <w:color w:val="000000" w:themeColor="text1"/>
          <w:sz w:val="24"/>
          <w:szCs w:val="24"/>
        </w:rPr>
        <w:t>% in Aneurin Bevan University Health Board</w:t>
      </w:r>
    </w:p>
    <w:p w14:paraId="28D5B658" w14:textId="704F5B31" w:rsidR="00987DCB" w:rsidRPr="00AB43CE" w:rsidRDefault="00987DCB" w:rsidP="00DC54F7">
      <w:pPr>
        <w:pStyle w:val="ListParagraph"/>
        <w:numPr>
          <w:ilvl w:val="0"/>
          <w:numId w:val="143"/>
        </w:numPr>
        <w:spacing w:after="0" w:line="240" w:lineRule="auto"/>
        <w:jc w:val="both"/>
        <w:rPr>
          <w:rFonts w:ascii="Arial" w:eastAsia="Times New Roman" w:hAnsi="Arial" w:cs="Arial"/>
          <w:color w:val="000000"/>
          <w:sz w:val="24"/>
          <w:szCs w:val="24"/>
          <w:lang w:eastAsia="en-GB"/>
        </w:rPr>
      </w:pPr>
      <w:r w:rsidRPr="00AB43CE">
        <w:rPr>
          <w:rFonts w:ascii="Arial" w:hAnsi="Arial" w:cs="Arial"/>
          <w:color w:val="000000" w:themeColor="text1"/>
          <w:sz w:val="24"/>
          <w:szCs w:val="24"/>
        </w:rPr>
        <w:t>0.</w:t>
      </w:r>
      <w:r w:rsidR="001E0F49" w:rsidRPr="00AB43CE">
        <w:rPr>
          <w:rFonts w:ascii="Arial" w:hAnsi="Arial" w:cs="Arial"/>
          <w:color w:val="000000" w:themeColor="text1"/>
          <w:sz w:val="24"/>
          <w:szCs w:val="24"/>
        </w:rPr>
        <w:t>1</w:t>
      </w:r>
      <w:r w:rsidRPr="00AB43CE">
        <w:rPr>
          <w:rFonts w:ascii="Arial" w:hAnsi="Arial" w:cs="Arial"/>
          <w:color w:val="000000" w:themeColor="text1"/>
          <w:sz w:val="24"/>
          <w:szCs w:val="24"/>
        </w:rPr>
        <w:t xml:space="preserve">% in </w:t>
      </w:r>
      <w:r w:rsidRPr="00AB43CE">
        <w:rPr>
          <w:rFonts w:ascii="Arial" w:eastAsia="Times New Roman" w:hAnsi="Arial" w:cs="Arial"/>
          <w:color w:val="000000"/>
          <w:sz w:val="24"/>
          <w:szCs w:val="24"/>
          <w:lang w:eastAsia="en-GB"/>
        </w:rPr>
        <w:t>Cwm Taf Morgannwg University Health Board</w:t>
      </w:r>
    </w:p>
    <w:p w14:paraId="6D97B61E" w14:textId="0D4A8CA1" w:rsidR="00987DCB" w:rsidRPr="00AB43CE" w:rsidRDefault="00987DCB"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AB43CE">
        <w:rPr>
          <w:rFonts w:ascii="Arial" w:hAnsi="Arial" w:cs="Arial"/>
          <w:color w:val="000000" w:themeColor="text1"/>
          <w:sz w:val="24"/>
          <w:szCs w:val="24"/>
        </w:rPr>
        <w:t>0.</w:t>
      </w:r>
      <w:r w:rsidR="001F429C" w:rsidRPr="00AB43CE">
        <w:rPr>
          <w:rFonts w:ascii="Arial" w:hAnsi="Arial" w:cs="Arial"/>
          <w:color w:val="000000" w:themeColor="text1"/>
          <w:sz w:val="24"/>
          <w:szCs w:val="24"/>
        </w:rPr>
        <w:t>7</w:t>
      </w:r>
      <w:r w:rsidRPr="00AB43CE">
        <w:rPr>
          <w:rFonts w:ascii="Arial" w:hAnsi="Arial" w:cs="Arial"/>
          <w:color w:val="000000" w:themeColor="text1"/>
          <w:sz w:val="24"/>
          <w:szCs w:val="24"/>
        </w:rPr>
        <w:t>% by contractors in England</w:t>
      </w:r>
    </w:p>
    <w:p w14:paraId="70328592" w14:textId="77777777" w:rsidR="00987DCB" w:rsidRPr="00AB43CE" w:rsidRDefault="00987DCB" w:rsidP="00DC54F7">
      <w:pPr>
        <w:shd w:val="clear" w:color="auto" w:fill="FFFFFF"/>
        <w:spacing w:after="0" w:line="240" w:lineRule="auto"/>
        <w:jc w:val="both"/>
        <w:rPr>
          <w:rFonts w:ascii="Arial" w:hAnsi="Arial" w:cs="Arial"/>
          <w:color w:val="000000" w:themeColor="text1"/>
          <w:sz w:val="24"/>
          <w:szCs w:val="24"/>
        </w:rPr>
      </w:pPr>
    </w:p>
    <w:p w14:paraId="42946BE0" w14:textId="0653BE19" w:rsidR="006C1FE0" w:rsidRPr="00AB43CE" w:rsidRDefault="006C1FE0" w:rsidP="00DC54F7">
      <w:pPr>
        <w:shd w:val="clear" w:color="auto" w:fill="FFFFFF"/>
        <w:spacing w:after="0" w:line="240" w:lineRule="auto"/>
        <w:jc w:val="both"/>
        <w:rPr>
          <w:rFonts w:ascii="Arial" w:hAnsi="Arial" w:cs="Arial"/>
          <w:color w:val="000000" w:themeColor="text1"/>
          <w:sz w:val="24"/>
          <w:szCs w:val="24"/>
        </w:rPr>
      </w:pPr>
    </w:p>
    <w:p w14:paraId="41991691" w14:textId="4DE041EF" w:rsidR="00987DCB" w:rsidRPr="00AB43CE" w:rsidRDefault="00EE1D0B" w:rsidP="00DC54F7">
      <w:pPr>
        <w:shd w:val="clear" w:color="auto" w:fill="FFFFFF"/>
        <w:spacing w:after="0" w:line="240" w:lineRule="auto"/>
        <w:jc w:val="both"/>
        <w:rPr>
          <w:rFonts w:ascii="Arial" w:hAnsi="Arial" w:cs="Arial"/>
          <w:sz w:val="24"/>
          <w:szCs w:val="24"/>
        </w:rPr>
      </w:pPr>
      <w:r w:rsidRPr="00AB43CE">
        <w:rPr>
          <w:rFonts w:ascii="Arial" w:hAnsi="Arial" w:cs="Arial"/>
          <w:sz w:val="24"/>
          <w:szCs w:val="24"/>
        </w:rPr>
        <w:t xml:space="preserve">In </w:t>
      </w:r>
      <w:r w:rsidR="00987DCB" w:rsidRPr="00AB43CE">
        <w:rPr>
          <w:rFonts w:ascii="Arial" w:hAnsi="Arial" w:cs="Arial"/>
          <w:sz w:val="24"/>
          <w:szCs w:val="24"/>
        </w:rPr>
        <w:t>addition, residents may have accessed one or more pharmaceutical services provided by another pharmacy outside of both the cluster and the health board’s area; however, it is not possible to quantify this activity from the recorded data.</w:t>
      </w:r>
    </w:p>
    <w:p w14:paraId="29038734" w14:textId="77777777" w:rsidR="00987DCB" w:rsidRPr="00AB43CE" w:rsidRDefault="00987DCB" w:rsidP="00DC54F7">
      <w:pPr>
        <w:shd w:val="clear" w:color="auto" w:fill="FFFFFF"/>
        <w:spacing w:after="0" w:line="240" w:lineRule="auto"/>
        <w:jc w:val="both"/>
        <w:rPr>
          <w:rFonts w:ascii="Arial" w:hAnsi="Arial" w:cs="Arial"/>
          <w:sz w:val="24"/>
          <w:szCs w:val="24"/>
        </w:rPr>
      </w:pPr>
      <w:r w:rsidRPr="00AB43CE">
        <w:rPr>
          <w:rFonts w:ascii="Arial" w:hAnsi="Arial" w:cs="Arial"/>
          <w:sz w:val="24"/>
          <w:szCs w:val="24"/>
        </w:rPr>
        <w:t> </w:t>
      </w:r>
    </w:p>
    <w:p w14:paraId="07669728" w14:textId="5A66F534" w:rsidR="00987DCB" w:rsidRPr="00AB43CE" w:rsidRDefault="00987DCB" w:rsidP="00DC54F7">
      <w:pPr>
        <w:spacing w:after="0" w:line="240" w:lineRule="auto"/>
        <w:jc w:val="both"/>
        <w:rPr>
          <w:rFonts w:ascii="Arial" w:hAnsi="Arial" w:cs="Arial"/>
          <w:sz w:val="24"/>
          <w:szCs w:val="24"/>
          <w:lang w:val="en-US"/>
        </w:rPr>
      </w:pPr>
      <w:r w:rsidRPr="00AB43CE">
        <w:rPr>
          <w:rFonts w:ascii="Arial" w:hAnsi="Arial" w:cs="Arial"/>
          <w:sz w:val="24"/>
          <w:szCs w:val="24"/>
          <w:lang w:val="en-US"/>
        </w:rPr>
        <w:t>Taking into account pharmacies in the neighbouring clusters and pharmacies over the border in other health board areas in Wales, all residents in the cluster of East</w:t>
      </w:r>
      <w:r w:rsidR="004D2BC9" w:rsidRPr="00AB43CE">
        <w:rPr>
          <w:rFonts w:ascii="Arial" w:hAnsi="Arial" w:cs="Arial"/>
          <w:sz w:val="24"/>
          <w:szCs w:val="24"/>
          <w:lang w:val="en-US"/>
        </w:rPr>
        <w:t>ern Vale</w:t>
      </w:r>
      <w:r w:rsidRPr="00AB43CE">
        <w:rPr>
          <w:rFonts w:ascii="Arial" w:hAnsi="Arial" w:cs="Arial"/>
          <w:sz w:val="24"/>
          <w:szCs w:val="24"/>
          <w:lang w:val="en-US"/>
        </w:rPr>
        <w:t xml:space="preserve"> can access a pharmacy by car within 10 minutes and the majority can access a pharmacy by car within five minutes. </w:t>
      </w:r>
    </w:p>
    <w:p w14:paraId="5D78132B" w14:textId="77777777" w:rsidR="0063382E" w:rsidRPr="00AB43CE" w:rsidRDefault="0063382E" w:rsidP="00DC54F7">
      <w:pPr>
        <w:spacing w:after="0" w:line="240" w:lineRule="auto"/>
        <w:jc w:val="both"/>
        <w:rPr>
          <w:rFonts w:ascii="Arial" w:hAnsi="Arial" w:cs="Arial"/>
          <w:sz w:val="24"/>
          <w:szCs w:val="24"/>
          <w:lang w:val="en-US"/>
        </w:rPr>
      </w:pPr>
    </w:p>
    <w:p w14:paraId="70916E86" w14:textId="77777777" w:rsidR="0063382E" w:rsidRPr="00A10850" w:rsidRDefault="0063382E" w:rsidP="00DC54F7">
      <w:pPr>
        <w:spacing w:after="0" w:line="240" w:lineRule="auto"/>
        <w:jc w:val="both"/>
        <w:rPr>
          <w:rFonts w:ascii="Arial" w:hAnsi="Arial" w:cs="Arial"/>
          <w:lang w:val="en-US"/>
        </w:rPr>
      </w:pPr>
    </w:p>
    <w:p w14:paraId="164A020B" w14:textId="770418E0" w:rsidR="0063382E" w:rsidRDefault="00B82E86" w:rsidP="00DC54F7">
      <w:pPr>
        <w:spacing w:after="0" w:line="240" w:lineRule="auto"/>
        <w:jc w:val="both"/>
        <w:rPr>
          <w:rFonts w:ascii="Arial" w:hAnsi="Arial" w:cs="Arial"/>
          <w:b/>
          <w:sz w:val="26"/>
          <w:szCs w:val="26"/>
          <w:lang w:val="en-US"/>
        </w:rPr>
      </w:pPr>
      <w:r>
        <w:rPr>
          <w:rFonts w:ascii="Arial" w:hAnsi="Arial" w:cs="Arial"/>
          <w:b/>
          <w:sz w:val="26"/>
          <w:szCs w:val="26"/>
          <w:lang w:val="en-US"/>
        </w:rPr>
        <w:t>15</w:t>
      </w:r>
      <w:r w:rsidR="0063382E" w:rsidRPr="00A10850">
        <w:rPr>
          <w:rFonts w:ascii="Arial" w:hAnsi="Arial" w:cs="Arial"/>
          <w:b/>
          <w:sz w:val="26"/>
          <w:szCs w:val="26"/>
          <w:lang w:val="en-US"/>
        </w:rPr>
        <w:t xml:space="preserve">.4 </w:t>
      </w:r>
      <w:r w:rsidR="0063382E" w:rsidRPr="00D10889">
        <w:rPr>
          <w:rFonts w:ascii="Arial" w:hAnsi="Arial" w:cs="Arial"/>
          <w:b/>
          <w:sz w:val="24"/>
          <w:szCs w:val="24"/>
          <w:lang w:val="en-US"/>
        </w:rPr>
        <w:t>Other NHS services</w:t>
      </w:r>
    </w:p>
    <w:p w14:paraId="733B3DA9" w14:textId="42B97900" w:rsidR="000731C0" w:rsidRDefault="000731C0" w:rsidP="00DC54F7">
      <w:pPr>
        <w:spacing w:after="0" w:line="240" w:lineRule="auto"/>
        <w:jc w:val="both"/>
        <w:rPr>
          <w:rFonts w:ascii="Arial" w:hAnsi="Arial" w:cs="Arial"/>
          <w:b/>
          <w:sz w:val="26"/>
          <w:szCs w:val="26"/>
          <w:lang w:val="en-US"/>
        </w:rPr>
      </w:pPr>
    </w:p>
    <w:p w14:paraId="706A5B1E" w14:textId="77777777" w:rsidR="000731C0" w:rsidRPr="001562B4" w:rsidRDefault="000731C0" w:rsidP="00DC54F7">
      <w:pPr>
        <w:spacing w:after="0" w:line="240" w:lineRule="auto"/>
        <w:jc w:val="both"/>
        <w:rPr>
          <w:rFonts w:ascii="Arial" w:hAnsi="Arial" w:cs="Arial"/>
          <w:bCs/>
          <w:sz w:val="24"/>
          <w:szCs w:val="24"/>
          <w:lang w:val="en-US"/>
        </w:rPr>
      </w:pPr>
      <w:r w:rsidRPr="001562B4">
        <w:rPr>
          <w:rFonts w:ascii="Arial" w:hAnsi="Arial" w:cs="Arial"/>
          <w:bCs/>
          <w:sz w:val="24"/>
          <w:szCs w:val="24"/>
          <w:lang w:val="en-US"/>
        </w:rPr>
        <w:t>Llandough Hospital is located within the cluster of Eastern Vale. However, the hospital serves a much wider population than that of the cluster.</w:t>
      </w:r>
    </w:p>
    <w:p w14:paraId="303D211C" w14:textId="3242EEBE" w:rsidR="0063382E" w:rsidRDefault="0063382E" w:rsidP="00DC54F7">
      <w:pPr>
        <w:spacing w:after="0" w:line="240" w:lineRule="auto"/>
        <w:jc w:val="both"/>
        <w:rPr>
          <w:rFonts w:ascii="Arial" w:hAnsi="Arial" w:cs="Arial"/>
          <w:lang w:val="en-US"/>
        </w:rPr>
      </w:pPr>
    </w:p>
    <w:p w14:paraId="4CCDCA83" w14:textId="77777777" w:rsidR="001562B4" w:rsidRPr="00A10850" w:rsidRDefault="001562B4" w:rsidP="00DC54F7">
      <w:pPr>
        <w:spacing w:after="0" w:line="240" w:lineRule="auto"/>
        <w:jc w:val="both"/>
        <w:rPr>
          <w:rFonts w:ascii="Arial" w:hAnsi="Arial" w:cs="Arial"/>
          <w:lang w:val="en-US"/>
        </w:rPr>
      </w:pPr>
    </w:p>
    <w:p w14:paraId="0F9129DF" w14:textId="5E442E8B" w:rsidR="0063382E" w:rsidRPr="00A10850" w:rsidRDefault="00B82E86" w:rsidP="00DC54F7">
      <w:pPr>
        <w:spacing w:after="0" w:line="240" w:lineRule="auto"/>
        <w:jc w:val="both"/>
        <w:rPr>
          <w:rFonts w:ascii="Arial" w:hAnsi="Arial" w:cs="Arial"/>
          <w:b/>
          <w:sz w:val="26"/>
          <w:szCs w:val="26"/>
          <w:lang w:val="en-US"/>
        </w:rPr>
      </w:pPr>
      <w:r>
        <w:rPr>
          <w:rFonts w:ascii="Arial" w:hAnsi="Arial" w:cs="Arial"/>
          <w:b/>
          <w:sz w:val="26"/>
          <w:szCs w:val="26"/>
          <w:lang w:val="en-US"/>
        </w:rPr>
        <w:t>15</w:t>
      </w:r>
      <w:r w:rsidR="0063382E" w:rsidRPr="00A10850">
        <w:rPr>
          <w:rFonts w:ascii="Arial" w:hAnsi="Arial" w:cs="Arial"/>
          <w:b/>
          <w:sz w:val="26"/>
          <w:szCs w:val="26"/>
          <w:lang w:val="en-US"/>
        </w:rPr>
        <w:t xml:space="preserve">.5 </w:t>
      </w:r>
      <w:r w:rsidR="0063382E" w:rsidRPr="00D10889">
        <w:rPr>
          <w:rFonts w:ascii="Arial" w:hAnsi="Arial" w:cs="Arial"/>
          <w:b/>
          <w:sz w:val="24"/>
          <w:szCs w:val="24"/>
          <w:lang w:val="en-US"/>
        </w:rPr>
        <w:t>Choice with regard to obtaining pharmaceutical services</w:t>
      </w:r>
    </w:p>
    <w:p w14:paraId="4F0000A4" w14:textId="77777777" w:rsidR="0063382E" w:rsidRPr="00A10850" w:rsidRDefault="0063382E" w:rsidP="00DC54F7">
      <w:pPr>
        <w:spacing w:after="0" w:line="240" w:lineRule="auto"/>
        <w:jc w:val="both"/>
        <w:rPr>
          <w:rFonts w:ascii="Arial" w:hAnsi="Arial" w:cs="Arial"/>
          <w:lang w:val="en-US"/>
        </w:rPr>
      </w:pPr>
    </w:p>
    <w:p w14:paraId="1C2B63B6" w14:textId="0866B1B7" w:rsidR="00E3511A" w:rsidRPr="001562B4" w:rsidRDefault="00E3511A" w:rsidP="00DC54F7">
      <w:pPr>
        <w:spacing w:after="0" w:line="240" w:lineRule="auto"/>
        <w:jc w:val="both"/>
        <w:rPr>
          <w:rFonts w:ascii="Arial" w:hAnsi="Arial" w:cs="Arial"/>
          <w:sz w:val="24"/>
          <w:szCs w:val="24"/>
          <w:lang w:val="en-US"/>
        </w:rPr>
      </w:pPr>
      <w:r w:rsidRPr="001562B4">
        <w:rPr>
          <w:rFonts w:ascii="Arial" w:hAnsi="Arial" w:cs="Arial"/>
          <w:sz w:val="24"/>
          <w:szCs w:val="24"/>
          <w:lang w:val="en-US"/>
        </w:rPr>
        <w:t xml:space="preserve">As can be seen from sections 15.2 and 15.3, those living within the cluster area and registered with one of the GP practices generally choose to access one of the pharmacies in the cluster in order to have their prescriptions dispensed. Those that look outside the cluster usually do so to access a neighbouring pharmacy within the health board’s area. A minority choose to have their prescription dispensed by a pharmacy or an appliance contractor outside of the health board’s area.  </w:t>
      </w:r>
    </w:p>
    <w:p w14:paraId="479CF23E" w14:textId="77777777" w:rsidR="00E3511A" w:rsidRPr="001562B4" w:rsidRDefault="00E3511A" w:rsidP="00DC54F7">
      <w:pPr>
        <w:spacing w:after="0" w:line="240" w:lineRule="auto"/>
        <w:jc w:val="both"/>
        <w:rPr>
          <w:rFonts w:ascii="Arial" w:hAnsi="Arial" w:cs="Arial"/>
          <w:sz w:val="24"/>
          <w:szCs w:val="24"/>
          <w:lang w:val="en-US"/>
        </w:rPr>
      </w:pPr>
    </w:p>
    <w:p w14:paraId="6B06060B" w14:textId="26797D2B" w:rsidR="00E3511A" w:rsidRPr="001562B4" w:rsidRDefault="00E3511A" w:rsidP="00DC54F7">
      <w:pPr>
        <w:spacing w:after="0" w:line="240" w:lineRule="auto"/>
        <w:jc w:val="both"/>
        <w:rPr>
          <w:rFonts w:ascii="Calibri" w:eastAsia="Times New Roman" w:hAnsi="Calibri" w:cs="Calibri"/>
          <w:color w:val="000000"/>
          <w:sz w:val="24"/>
          <w:szCs w:val="24"/>
          <w:lang w:eastAsia="en-GB"/>
        </w:rPr>
      </w:pPr>
      <w:r w:rsidRPr="001562B4">
        <w:rPr>
          <w:rFonts w:ascii="Arial" w:hAnsi="Arial" w:cs="Arial"/>
          <w:sz w:val="24"/>
          <w:szCs w:val="24"/>
          <w:lang w:val="en-US"/>
        </w:rPr>
        <w:t xml:space="preserve">A total of </w:t>
      </w:r>
      <w:r w:rsidR="00E51321" w:rsidRPr="001562B4">
        <w:rPr>
          <w:rFonts w:ascii="Arial" w:hAnsi="Arial" w:cs="Arial"/>
          <w:sz w:val="24"/>
          <w:szCs w:val="24"/>
          <w:lang w:val="en-US"/>
        </w:rPr>
        <w:t>212</w:t>
      </w:r>
      <w:r w:rsidRPr="001562B4">
        <w:rPr>
          <w:rFonts w:ascii="Arial" w:hAnsi="Arial" w:cs="Arial"/>
          <w:sz w:val="24"/>
          <w:szCs w:val="24"/>
          <w:lang w:val="en-US"/>
        </w:rPr>
        <w:t xml:space="preserve"> pharmacy contractors that were trading in Wales during 2019 to 2020, dispensed items written by one of the GP practices in the </w:t>
      </w:r>
      <w:r w:rsidR="0080711D" w:rsidRPr="001562B4">
        <w:rPr>
          <w:rFonts w:ascii="Arial" w:hAnsi="Arial" w:cs="Arial"/>
          <w:sz w:val="24"/>
          <w:szCs w:val="24"/>
          <w:lang w:val="en-US"/>
        </w:rPr>
        <w:t xml:space="preserve">Eastern Vale </w:t>
      </w:r>
      <w:r w:rsidRPr="001562B4">
        <w:rPr>
          <w:rFonts w:ascii="Arial" w:hAnsi="Arial" w:cs="Arial"/>
          <w:sz w:val="24"/>
          <w:szCs w:val="24"/>
          <w:lang w:val="en-US"/>
        </w:rPr>
        <w:t xml:space="preserve">cluster, of which </w:t>
      </w:r>
      <w:r w:rsidR="00E1565D" w:rsidRPr="001562B4">
        <w:rPr>
          <w:rFonts w:ascii="Arial" w:hAnsi="Arial" w:cs="Arial"/>
          <w:sz w:val="24"/>
          <w:szCs w:val="24"/>
          <w:lang w:val="en-US"/>
        </w:rPr>
        <w:t>109</w:t>
      </w:r>
      <w:r w:rsidRPr="001562B4">
        <w:rPr>
          <w:rFonts w:ascii="Arial" w:hAnsi="Arial" w:cs="Arial"/>
          <w:sz w:val="24"/>
          <w:szCs w:val="24"/>
          <w:lang w:val="en-US"/>
        </w:rPr>
        <w:t xml:space="preserve"> were outside of the health board’s area</w:t>
      </w:r>
      <w:r w:rsidRPr="001562B4">
        <w:rPr>
          <w:rFonts w:ascii="Arial" w:hAnsi="Arial" w:cs="Arial"/>
          <w:b/>
          <w:bCs/>
          <w:sz w:val="24"/>
          <w:szCs w:val="24"/>
          <w:lang w:val="en-US"/>
        </w:rPr>
        <w:t>.</w:t>
      </w:r>
      <w:r w:rsidR="00E1565D" w:rsidRPr="001562B4">
        <w:rPr>
          <w:rFonts w:ascii="Arial" w:hAnsi="Arial" w:cs="Arial"/>
          <w:b/>
          <w:bCs/>
          <w:sz w:val="24"/>
          <w:szCs w:val="24"/>
          <w:lang w:val="en-US"/>
        </w:rPr>
        <w:t xml:space="preserve"> </w:t>
      </w:r>
      <w:r w:rsidR="005A649A" w:rsidRPr="001562B4">
        <w:rPr>
          <w:rFonts w:ascii="Arial" w:hAnsi="Arial" w:cs="Arial"/>
          <w:sz w:val="24"/>
          <w:szCs w:val="24"/>
          <w:lang w:val="en-US"/>
        </w:rPr>
        <w:t>5,416</w:t>
      </w:r>
      <w:r w:rsidR="00E1565D" w:rsidRPr="001562B4">
        <w:rPr>
          <w:rFonts w:ascii="Arial" w:hAnsi="Arial" w:cs="Arial"/>
          <w:b/>
          <w:bCs/>
          <w:sz w:val="24"/>
          <w:szCs w:val="24"/>
          <w:lang w:val="en-US"/>
        </w:rPr>
        <w:t xml:space="preserve"> </w:t>
      </w:r>
      <w:r w:rsidRPr="001562B4">
        <w:rPr>
          <w:rFonts w:ascii="Arial" w:hAnsi="Arial" w:cs="Arial"/>
          <w:sz w:val="24"/>
          <w:szCs w:val="24"/>
          <w:lang w:val="en-US"/>
        </w:rPr>
        <w:t xml:space="preserve">prescription items were dispensed in England. </w:t>
      </w:r>
    </w:p>
    <w:p w14:paraId="0AFE7ABB" w14:textId="3FF363E5" w:rsidR="0063382E" w:rsidRPr="00D10889" w:rsidRDefault="0063382E" w:rsidP="00DC54F7">
      <w:pPr>
        <w:spacing w:after="0" w:line="240" w:lineRule="auto"/>
        <w:jc w:val="both"/>
        <w:rPr>
          <w:rFonts w:ascii="Arial" w:hAnsi="Arial" w:cs="Arial"/>
          <w:b/>
          <w:lang w:val="en-US"/>
        </w:rPr>
      </w:pPr>
    </w:p>
    <w:p w14:paraId="27E1D048" w14:textId="1D002875" w:rsidR="00E94B5B" w:rsidRPr="00D10889" w:rsidRDefault="00E94B5B" w:rsidP="00DC54F7">
      <w:pPr>
        <w:spacing w:after="0" w:line="240" w:lineRule="auto"/>
        <w:jc w:val="both"/>
        <w:rPr>
          <w:rFonts w:ascii="Arial" w:hAnsi="Arial" w:cs="Arial"/>
          <w:b/>
          <w:lang w:val="en-US"/>
        </w:rPr>
      </w:pPr>
    </w:p>
    <w:p w14:paraId="5FB70D48" w14:textId="65174DA2" w:rsidR="0063382E" w:rsidRPr="00A10850" w:rsidRDefault="00B82E86" w:rsidP="00DC54F7">
      <w:pPr>
        <w:spacing w:after="0" w:line="240" w:lineRule="auto"/>
        <w:jc w:val="both"/>
        <w:rPr>
          <w:rFonts w:ascii="Arial" w:hAnsi="Arial" w:cs="Arial"/>
          <w:b/>
          <w:sz w:val="26"/>
          <w:szCs w:val="26"/>
          <w:lang w:val="en-US"/>
        </w:rPr>
      </w:pPr>
      <w:r>
        <w:rPr>
          <w:rFonts w:ascii="Arial" w:hAnsi="Arial" w:cs="Arial"/>
          <w:b/>
          <w:sz w:val="26"/>
          <w:szCs w:val="26"/>
          <w:lang w:val="en-US"/>
        </w:rPr>
        <w:t>15</w:t>
      </w:r>
      <w:r w:rsidR="0063382E" w:rsidRPr="00A10850">
        <w:rPr>
          <w:rFonts w:ascii="Arial" w:hAnsi="Arial" w:cs="Arial"/>
          <w:b/>
          <w:sz w:val="26"/>
          <w:szCs w:val="26"/>
          <w:lang w:val="en-US"/>
        </w:rPr>
        <w:t xml:space="preserve">.6 </w:t>
      </w:r>
      <w:r w:rsidR="0063382E" w:rsidRPr="00D10889">
        <w:rPr>
          <w:rFonts w:ascii="Arial" w:hAnsi="Arial" w:cs="Arial"/>
          <w:b/>
          <w:sz w:val="24"/>
          <w:szCs w:val="24"/>
          <w:lang w:val="en-US"/>
        </w:rPr>
        <w:t>Gaps in provision</w:t>
      </w:r>
    </w:p>
    <w:p w14:paraId="6FA19A50" w14:textId="77777777" w:rsidR="006D194C" w:rsidRDefault="006D194C" w:rsidP="00DC54F7">
      <w:pPr>
        <w:spacing w:after="0" w:line="240" w:lineRule="auto"/>
        <w:jc w:val="both"/>
        <w:rPr>
          <w:rFonts w:ascii="Arial" w:hAnsi="Arial" w:cs="Arial"/>
        </w:rPr>
      </w:pPr>
    </w:p>
    <w:p w14:paraId="0B1354CA" w14:textId="4ED76B26" w:rsidR="006D194C" w:rsidRPr="00E94B5B" w:rsidRDefault="006D194C" w:rsidP="00DC54F7">
      <w:pPr>
        <w:spacing w:after="0" w:line="240" w:lineRule="auto"/>
        <w:jc w:val="both"/>
        <w:rPr>
          <w:rFonts w:ascii="Arial" w:eastAsia="Calibri" w:hAnsi="Arial" w:cs="Arial"/>
          <w:sz w:val="24"/>
          <w:szCs w:val="24"/>
        </w:rPr>
      </w:pPr>
      <w:r w:rsidRPr="00E94B5B">
        <w:rPr>
          <w:rFonts w:ascii="Arial" w:eastAsia="Calibri" w:hAnsi="Arial" w:cs="Arial"/>
          <w:sz w:val="24"/>
          <w:szCs w:val="24"/>
        </w:rPr>
        <w:t xml:space="preserve">The </w:t>
      </w:r>
      <w:r w:rsidRPr="00E94B5B">
        <w:rPr>
          <w:rFonts w:ascii="Arial" w:eastAsia="Calibri" w:hAnsi="Arial" w:cs="Arial"/>
          <w:color w:val="000000"/>
          <w:sz w:val="24"/>
          <w:szCs w:val="24"/>
        </w:rPr>
        <w:t xml:space="preserve">Cardiff and Vale University Health Board </w:t>
      </w:r>
      <w:r w:rsidRPr="00E94B5B">
        <w:rPr>
          <w:rFonts w:ascii="Arial" w:eastAsia="Calibri" w:hAnsi="Arial" w:cs="Arial"/>
          <w:sz w:val="24"/>
          <w:szCs w:val="24"/>
        </w:rPr>
        <w:t xml:space="preserve">has noted the locations of pharmacies across the cluster, and the fact that the population can access a pharmacy by car within 10 minutes, with the majority within five minutes. Whilst noting that not all households have access to a car throughout the day, the nature of the cluster means that walking to a pharmacy will be a realistic option for many residents and regular public transport services are available for those who are unable to undertake the whole journey on foot. </w:t>
      </w:r>
    </w:p>
    <w:p w14:paraId="7FA88911" w14:textId="77777777" w:rsidR="006D194C" w:rsidRPr="00E94B5B" w:rsidRDefault="006D194C" w:rsidP="00DC54F7">
      <w:pPr>
        <w:spacing w:after="0" w:line="240" w:lineRule="auto"/>
        <w:jc w:val="both"/>
        <w:rPr>
          <w:rFonts w:ascii="Arial" w:eastAsia="Calibri" w:hAnsi="Arial" w:cs="Arial"/>
          <w:sz w:val="24"/>
          <w:szCs w:val="24"/>
        </w:rPr>
      </w:pPr>
    </w:p>
    <w:p w14:paraId="7F9F6083" w14:textId="794169F3" w:rsidR="006D194C" w:rsidRPr="00E94B5B" w:rsidRDefault="006D194C" w:rsidP="00DC54F7">
      <w:pPr>
        <w:spacing w:after="0" w:line="240" w:lineRule="auto"/>
        <w:jc w:val="both"/>
        <w:rPr>
          <w:rFonts w:ascii="Arial" w:eastAsia="Calibri" w:hAnsi="Arial" w:cs="Arial"/>
          <w:sz w:val="24"/>
          <w:szCs w:val="24"/>
        </w:rPr>
      </w:pPr>
      <w:r w:rsidRPr="00E94B5B">
        <w:rPr>
          <w:rFonts w:ascii="Arial" w:eastAsia="Calibri" w:hAnsi="Arial" w:cs="Arial"/>
          <w:sz w:val="24"/>
          <w:szCs w:val="24"/>
        </w:rPr>
        <w:t xml:space="preserve">The </w:t>
      </w:r>
      <w:r w:rsidRPr="00E94B5B">
        <w:rPr>
          <w:rFonts w:ascii="Arial" w:eastAsia="Calibri" w:hAnsi="Arial" w:cs="Arial"/>
          <w:color w:val="000000"/>
          <w:sz w:val="24"/>
          <w:szCs w:val="24"/>
        </w:rPr>
        <w:t xml:space="preserve">Cardiff and Vale University Health Board </w:t>
      </w:r>
      <w:r w:rsidRPr="00E94B5B">
        <w:rPr>
          <w:rFonts w:ascii="Arial" w:eastAsia="Calibri" w:hAnsi="Arial" w:cs="Arial"/>
          <w:sz w:val="24"/>
          <w:szCs w:val="24"/>
        </w:rPr>
        <w:t xml:space="preserve">has noted the opening hours of the existing pharmacies and is of the opinion that they are sufficient to meet the likely needs of residents in the cluster. The </w:t>
      </w:r>
      <w:r w:rsidRPr="00E94B5B">
        <w:rPr>
          <w:rFonts w:ascii="Arial" w:eastAsia="Calibri" w:hAnsi="Arial" w:cs="Arial"/>
          <w:color w:val="000000"/>
          <w:sz w:val="24"/>
          <w:szCs w:val="24"/>
        </w:rPr>
        <w:t xml:space="preserve">Cardiff and Vale University Health Board </w:t>
      </w:r>
      <w:r w:rsidRPr="00E94B5B">
        <w:rPr>
          <w:rFonts w:ascii="Arial" w:eastAsia="Calibri" w:hAnsi="Arial" w:cs="Arial"/>
          <w:sz w:val="24"/>
          <w:szCs w:val="24"/>
        </w:rPr>
        <w:t>has therefore concluded that there are no current needs in relation to the provision of essential services by pharmacies in the cluster.</w:t>
      </w:r>
    </w:p>
    <w:p w14:paraId="5D8A8091" w14:textId="25732D18" w:rsidR="00412AA2" w:rsidRPr="00E94B5B" w:rsidRDefault="00412AA2" w:rsidP="00DC54F7">
      <w:pPr>
        <w:spacing w:after="0" w:line="240" w:lineRule="auto"/>
        <w:jc w:val="both"/>
        <w:rPr>
          <w:rFonts w:ascii="Arial" w:eastAsia="Calibri" w:hAnsi="Arial" w:cs="Arial"/>
          <w:sz w:val="24"/>
          <w:szCs w:val="24"/>
        </w:rPr>
      </w:pPr>
    </w:p>
    <w:p w14:paraId="4E95B335" w14:textId="20A8BA5A" w:rsidR="00412AA2" w:rsidRPr="00E94B5B" w:rsidRDefault="00412AA2" w:rsidP="00DC54F7">
      <w:pPr>
        <w:spacing w:after="0" w:line="240" w:lineRule="auto"/>
        <w:jc w:val="both"/>
        <w:rPr>
          <w:rFonts w:ascii="Arial" w:eastAsia="Calibri" w:hAnsi="Arial" w:cs="Arial"/>
          <w:sz w:val="24"/>
          <w:szCs w:val="24"/>
        </w:rPr>
      </w:pPr>
      <w:r w:rsidRPr="00E94B5B">
        <w:rPr>
          <w:rFonts w:ascii="Arial" w:hAnsi="Arial" w:cs="Arial"/>
          <w:sz w:val="24"/>
          <w:szCs w:val="24"/>
        </w:rPr>
        <w:t xml:space="preserve">The </w:t>
      </w:r>
      <w:r w:rsidRPr="00E94B5B">
        <w:rPr>
          <w:rFonts w:ascii="Arial" w:hAnsi="Arial" w:cs="Arial"/>
          <w:color w:val="000000"/>
          <w:sz w:val="24"/>
          <w:szCs w:val="24"/>
        </w:rPr>
        <w:t xml:space="preserve">Cardiff and Vale University Health Board </w:t>
      </w:r>
      <w:r w:rsidRPr="00E94B5B">
        <w:rPr>
          <w:rFonts w:ascii="Arial" w:hAnsi="Arial" w:cs="Arial"/>
          <w:sz w:val="24"/>
          <w:szCs w:val="24"/>
        </w:rPr>
        <w:t xml:space="preserve">is also satisfied that there are no current needs in relation to the provision of advanced services.  Whilst none of the pharmacies provide the Appliance Use Review service or the Stoma Appliance Customisation service, it is noted that there are four appliance contractors based in Cardiff and Vale University Health Board, one of which is based within the cluster, who offer these services. One of the reasons why prescriptions are dispensed outside of the cluster is because they have been sent to a dispensing appliance contractor elsewhere in the health board or to England, which provide these services. Patients will therefore be able to access these two services via those contractors. The </w:t>
      </w:r>
      <w:r w:rsidRPr="00E94B5B">
        <w:rPr>
          <w:rFonts w:ascii="Arial" w:hAnsi="Arial" w:cs="Arial"/>
          <w:color w:val="000000"/>
          <w:sz w:val="24"/>
          <w:szCs w:val="24"/>
        </w:rPr>
        <w:t xml:space="preserve">Cardiff and Vale University Health Board </w:t>
      </w:r>
      <w:r w:rsidRPr="00E94B5B">
        <w:rPr>
          <w:rFonts w:ascii="Arial" w:hAnsi="Arial" w:cs="Arial"/>
          <w:sz w:val="24"/>
          <w:szCs w:val="24"/>
        </w:rPr>
        <w:t>has therefore not identified any current or future gap or better access in relation to the provision of these two advanced services in the cluster</w:t>
      </w:r>
    </w:p>
    <w:p w14:paraId="20466DDD" w14:textId="77777777" w:rsidR="006D194C" w:rsidRPr="00E94B5B" w:rsidRDefault="006D194C" w:rsidP="00DC54F7">
      <w:pPr>
        <w:spacing w:after="0" w:line="240" w:lineRule="auto"/>
        <w:jc w:val="both"/>
        <w:rPr>
          <w:rFonts w:ascii="Arial" w:eastAsia="Calibri" w:hAnsi="Arial" w:cs="Arial"/>
          <w:sz w:val="24"/>
          <w:szCs w:val="24"/>
        </w:rPr>
      </w:pPr>
    </w:p>
    <w:p w14:paraId="154F6411" w14:textId="154528A0" w:rsidR="006D194C" w:rsidRPr="00E94B5B" w:rsidRDefault="006D194C" w:rsidP="00DC54F7">
      <w:pPr>
        <w:spacing w:after="0" w:line="240" w:lineRule="auto"/>
        <w:contextualSpacing/>
        <w:jc w:val="both"/>
        <w:rPr>
          <w:rFonts w:ascii="Arial" w:eastAsia="Calibri" w:hAnsi="Arial" w:cs="Arial"/>
          <w:sz w:val="24"/>
          <w:szCs w:val="24"/>
        </w:rPr>
      </w:pPr>
      <w:r w:rsidRPr="00E94B5B">
        <w:rPr>
          <w:rFonts w:ascii="Arial" w:eastAsia="Calibri" w:hAnsi="Arial" w:cs="Arial"/>
          <w:sz w:val="24"/>
          <w:szCs w:val="24"/>
        </w:rPr>
        <w:t xml:space="preserve">All </w:t>
      </w:r>
      <w:r w:rsidR="00682F52" w:rsidRPr="00E94B5B">
        <w:rPr>
          <w:rFonts w:ascii="Arial" w:eastAsia="Calibri" w:hAnsi="Arial" w:cs="Arial"/>
          <w:sz w:val="24"/>
          <w:szCs w:val="24"/>
        </w:rPr>
        <w:t>nine</w:t>
      </w:r>
      <w:r w:rsidRPr="00E94B5B">
        <w:rPr>
          <w:rFonts w:ascii="Arial" w:eastAsia="Calibri" w:hAnsi="Arial" w:cs="Arial"/>
          <w:sz w:val="24"/>
          <w:szCs w:val="24"/>
        </w:rPr>
        <w:t xml:space="preserve"> pharmacies responded to the question in the contractor questionnaire regarding capacity to meet demand from any future housing developments in the cluster. </w:t>
      </w:r>
      <w:r w:rsidR="00B36C33" w:rsidRPr="00E94B5B">
        <w:rPr>
          <w:rFonts w:ascii="Arial" w:eastAsia="Calibri" w:hAnsi="Arial" w:cs="Arial"/>
          <w:sz w:val="24"/>
          <w:szCs w:val="24"/>
        </w:rPr>
        <w:t>All ni</w:t>
      </w:r>
      <w:r w:rsidRPr="00E94B5B">
        <w:rPr>
          <w:rFonts w:ascii="Arial" w:eastAsia="Calibri" w:hAnsi="Arial" w:cs="Arial"/>
          <w:sz w:val="24"/>
          <w:szCs w:val="24"/>
        </w:rPr>
        <w:t>ne pharmacies have sufficient capacity within their existing premises and staffing levels to manage the increase in demand in the area.</w:t>
      </w:r>
    </w:p>
    <w:p w14:paraId="2A5DDADF" w14:textId="77777777" w:rsidR="006D194C" w:rsidRPr="00E94B5B" w:rsidRDefault="006D194C" w:rsidP="00DC54F7">
      <w:pPr>
        <w:spacing w:after="0" w:line="240" w:lineRule="auto"/>
        <w:jc w:val="both"/>
        <w:rPr>
          <w:rFonts w:ascii="Arial" w:eastAsia="Calibri" w:hAnsi="Arial" w:cs="Arial"/>
          <w:sz w:val="24"/>
          <w:szCs w:val="24"/>
        </w:rPr>
      </w:pPr>
    </w:p>
    <w:p w14:paraId="17E0493F" w14:textId="7AED6FA6" w:rsidR="006D194C" w:rsidRPr="00E94B5B" w:rsidRDefault="006D194C" w:rsidP="00DC54F7">
      <w:pPr>
        <w:spacing w:after="0" w:line="240" w:lineRule="auto"/>
        <w:jc w:val="both"/>
        <w:rPr>
          <w:rFonts w:ascii="Arial" w:eastAsia="Calibri" w:hAnsi="Arial" w:cs="Arial"/>
          <w:sz w:val="24"/>
          <w:szCs w:val="24"/>
        </w:rPr>
      </w:pPr>
      <w:r w:rsidRPr="00E94B5B">
        <w:rPr>
          <w:rFonts w:ascii="Arial" w:eastAsia="Calibri" w:hAnsi="Arial" w:cs="Arial"/>
          <w:sz w:val="24"/>
          <w:szCs w:val="24"/>
        </w:rPr>
        <w:t xml:space="preserve">The </w:t>
      </w:r>
      <w:r w:rsidRPr="00E94B5B">
        <w:rPr>
          <w:rFonts w:ascii="Arial" w:eastAsia="Calibri" w:hAnsi="Arial" w:cs="Arial"/>
          <w:color w:val="000000"/>
          <w:sz w:val="24"/>
          <w:szCs w:val="24"/>
        </w:rPr>
        <w:t xml:space="preserve">Cardiff and Vale University Health Board noted the developments planned for the cluster, </w:t>
      </w:r>
      <w:r w:rsidR="00B36C33" w:rsidRPr="00E94B5B">
        <w:rPr>
          <w:rFonts w:ascii="Arial" w:eastAsia="Calibri" w:hAnsi="Arial" w:cs="Arial"/>
          <w:color w:val="000000"/>
          <w:sz w:val="24"/>
          <w:szCs w:val="24"/>
        </w:rPr>
        <w:t xml:space="preserve">in </w:t>
      </w:r>
      <w:r w:rsidR="00333094" w:rsidRPr="00E94B5B">
        <w:rPr>
          <w:rFonts w:ascii="Arial" w:eastAsia="Calibri" w:hAnsi="Arial" w:cs="Arial"/>
          <w:color w:val="000000"/>
          <w:sz w:val="24"/>
          <w:szCs w:val="24"/>
        </w:rPr>
        <w:t>particular the bigger</w:t>
      </w:r>
      <w:r w:rsidR="00B36C33" w:rsidRPr="00E94B5B">
        <w:rPr>
          <w:rFonts w:ascii="Arial" w:hAnsi="Arial" w:cs="Arial"/>
          <w:sz w:val="24"/>
          <w:szCs w:val="24"/>
        </w:rPr>
        <w:t xml:space="preserve"> housing developments on land on the </w:t>
      </w:r>
      <w:r w:rsidR="00B36C33" w:rsidRPr="001659EC">
        <w:rPr>
          <w:rFonts w:ascii="Arial" w:hAnsi="Arial" w:cs="Arial"/>
          <w:sz w:val="24"/>
          <w:szCs w:val="24"/>
        </w:rPr>
        <w:t>Upper Cosmeston Farm in Lavernock,</w:t>
      </w:r>
      <w:r w:rsidR="001659EC">
        <w:rPr>
          <w:rFonts w:ascii="Arial" w:hAnsi="Arial" w:cs="Arial"/>
          <w:sz w:val="24"/>
          <w:szCs w:val="24"/>
        </w:rPr>
        <w:t xml:space="preserve"> </w:t>
      </w:r>
      <w:r w:rsidR="00AF7A7F">
        <w:rPr>
          <w:rFonts w:ascii="Arial" w:hAnsi="Arial" w:cs="Arial"/>
          <w:sz w:val="24"/>
          <w:szCs w:val="24"/>
        </w:rPr>
        <w:t xml:space="preserve">and other </w:t>
      </w:r>
      <w:r w:rsidRPr="00E94B5B">
        <w:rPr>
          <w:rFonts w:ascii="Arial" w:eastAsia="Calibri" w:hAnsi="Arial" w:cs="Arial"/>
          <w:sz w:val="24"/>
          <w:szCs w:val="24"/>
        </w:rPr>
        <w:t>smal</w:t>
      </w:r>
      <w:r w:rsidR="00EE1D0B" w:rsidRPr="00E94B5B">
        <w:rPr>
          <w:rFonts w:ascii="Arial" w:eastAsia="Calibri" w:hAnsi="Arial" w:cs="Arial"/>
          <w:sz w:val="24"/>
          <w:szCs w:val="24"/>
        </w:rPr>
        <w:t>l</w:t>
      </w:r>
      <w:r w:rsidR="00950C68" w:rsidRPr="00E94B5B">
        <w:rPr>
          <w:rFonts w:ascii="Arial" w:eastAsia="Calibri" w:hAnsi="Arial" w:cs="Arial"/>
          <w:sz w:val="24"/>
          <w:szCs w:val="24"/>
        </w:rPr>
        <w:t>er</w:t>
      </w:r>
      <w:r w:rsidRPr="00E94B5B">
        <w:rPr>
          <w:rFonts w:ascii="Arial" w:eastAsia="Calibri" w:hAnsi="Arial" w:cs="Arial"/>
          <w:sz w:val="24"/>
          <w:szCs w:val="24"/>
        </w:rPr>
        <w:t xml:space="preserve"> units of housing that are due to be built during the lifetime of this document</w:t>
      </w:r>
      <w:r w:rsidR="005622D8">
        <w:rPr>
          <w:rFonts w:ascii="Arial" w:eastAsia="Calibri" w:hAnsi="Arial" w:cs="Arial"/>
          <w:sz w:val="24"/>
          <w:szCs w:val="24"/>
        </w:rPr>
        <w:t xml:space="preserve">. </w:t>
      </w:r>
      <w:r w:rsidRPr="00E94B5B">
        <w:rPr>
          <w:rFonts w:ascii="Arial" w:eastAsia="Calibri" w:hAnsi="Arial" w:cs="Arial"/>
          <w:color w:val="000000"/>
          <w:sz w:val="24"/>
          <w:szCs w:val="24"/>
        </w:rPr>
        <w:t>Cardiff and Vale University Health Board</w:t>
      </w:r>
      <w:r w:rsidRPr="00E94B5B">
        <w:rPr>
          <w:rFonts w:ascii="Arial" w:eastAsia="Calibri" w:hAnsi="Arial" w:cs="Arial"/>
          <w:sz w:val="24"/>
          <w:szCs w:val="24"/>
        </w:rPr>
        <w:t xml:space="preserve"> is satisfied, based upon the responses to the contractor questionnaire, that the demand that this will create can be met by the existing pharmacies. The </w:t>
      </w:r>
      <w:r w:rsidRPr="00E94B5B">
        <w:rPr>
          <w:rFonts w:ascii="Arial" w:eastAsia="Calibri" w:hAnsi="Arial" w:cs="Arial"/>
          <w:color w:val="000000"/>
          <w:sz w:val="24"/>
          <w:szCs w:val="24"/>
        </w:rPr>
        <w:t xml:space="preserve">Cardiff and Vale University Health Board </w:t>
      </w:r>
      <w:r w:rsidRPr="00E94B5B">
        <w:rPr>
          <w:rFonts w:ascii="Arial" w:eastAsia="Calibri" w:hAnsi="Arial" w:cs="Arial"/>
          <w:sz w:val="24"/>
          <w:szCs w:val="24"/>
        </w:rPr>
        <w:t>has therefore concluded that there are no future needs in relation to the provision of essential services by pharmacies in the cluster</w:t>
      </w:r>
    </w:p>
    <w:p w14:paraId="1266BDF9" w14:textId="77777777" w:rsidR="006D194C" w:rsidRPr="00E94B5B" w:rsidRDefault="006D194C" w:rsidP="00DC54F7">
      <w:pPr>
        <w:spacing w:after="0" w:line="240" w:lineRule="auto"/>
        <w:jc w:val="both"/>
        <w:rPr>
          <w:rFonts w:ascii="Arial" w:eastAsia="Calibri" w:hAnsi="Arial" w:cs="Arial"/>
          <w:sz w:val="24"/>
          <w:szCs w:val="24"/>
        </w:rPr>
      </w:pPr>
    </w:p>
    <w:p w14:paraId="367FEFD4" w14:textId="77777777" w:rsidR="006D194C" w:rsidRPr="00E94B5B" w:rsidRDefault="006D194C" w:rsidP="00DC54F7">
      <w:pPr>
        <w:spacing w:after="0" w:line="240" w:lineRule="auto"/>
        <w:jc w:val="both"/>
        <w:rPr>
          <w:rFonts w:ascii="Arial" w:eastAsia="Calibri" w:hAnsi="Arial" w:cs="Arial"/>
          <w:sz w:val="24"/>
          <w:szCs w:val="24"/>
        </w:rPr>
      </w:pPr>
      <w:r w:rsidRPr="00E94B5B">
        <w:rPr>
          <w:rFonts w:ascii="Arial" w:eastAsia="Calibri" w:hAnsi="Arial" w:cs="Arial"/>
          <w:sz w:val="24"/>
          <w:szCs w:val="24"/>
        </w:rPr>
        <w:t xml:space="preserve">The </w:t>
      </w:r>
      <w:r w:rsidRPr="00E94B5B">
        <w:rPr>
          <w:rFonts w:ascii="Arial" w:eastAsia="Calibri" w:hAnsi="Arial" w:cs="Arial"/>
          <w:color w:val="000000"/>
          <w:sz w:val="24"/>
          <w:szCs w:val="24"/>
        </w:rPr>
        <w:t xml:space="preserve">Cardiff and Vale University Health Board </w:t>
      </w:r>
      <w:r w:rsidRPr="00E94B5B">
        <w:rPr>
          <w:rFonts w:ascii="Arial" w:eastAsia="Calibri" w:hAnsi="Arial" w:cs="Arial"/>
          <w:sz w:val="24"/>
          <w:szCs w:val="24"/>
        </w:rPr>
        <w:t>is also satisfied that, based upon the information contained in the preceding sections, there are no current or future gaps in the provision of advanced services and enhanced services.</w:t>
      </w:r>
    </w:p>
    <w:p w14:paraId="65205A2D" w14:textId="77777777" w:rsidR="006D194C" w:rsidRPr="00E94B5B" w:rsidRDefault="006D194C" w:rsidP="00DC54F7">
      <w:pPr>
        <w:spacing w:after="0" w:line="240" w:lineRule="auto"/>
        <w:jc w:val="both"/>
        <w:rPr>
          <w:rFonts w:ascii="Arial" w:eastAsia="Calibri" w:hAnsi="Arial" w:cs="Arial"/>
          <w:sz w:val="24"/>
          <w:szCs w:val="24"/>
        </w:rPr>
      </w:pPr>
    </w:p>
    <w:p w14:paraId="68ED8890" w14:textId="261AAD8F" w:rsidR="00AF7A7F" w:rsidRDefault="006D194C" w:rsidP="00DC54F7">
      <w:pPr>
        <w:pStyle w:val="Heading1"/>
        <w:spacing w:before="0" w:line="240" w:lineRule="auto"/>
        <w:jc w:val="both"/>
        <w:rPr>
          <w:rFonts w:eastAsia="Calibri" w:cs="Arial"/>
          <w:b w:val="0"/>
          <w:bCs w:val="0"/>
          <w:color w:val="auto"/>
          <w:sz w:val="24"/>
          <w:szCs w:val="24"/>
        </w:rPr>
      </w:pPr>
      <w:bookmarkStart w:id="57" w:name="_Toc81582676"/>
      <w:bookmarkStart w:id="58" w:name="_Toc81584918"/>
      <w:bookmarkStart w:id="59" w:name="_Toc81585110"/>
      <w:r w:rsidRPr="00E94B5B">
        <w:rPr>
          <w:rFonts w:eastAsia="Calibri" w:cs="Arial"/>
          <w:b w:val="0"/>
          <w:bCs w:val="0"/>
          <w:color w:val="auto"/>
          <w:sz w:val="24"/>
          <w:szCs w:val="24"/>
        </w:rPr>
        <w:t xml:space="preserve">The </w:t>
      </w:r>
      <w:r w:rsidRPr="00E94B5B">
        <w:rPr>
          <w:rFonts w:eastAsia="Calibri" w:cs="Arial"/>
          <w:b w:val="0"/>
          <w:bCs w:val="0"/>
          <w:color w:val="000000"/>
          <w:sz w:val="24"/>
          <w:szCs w:val="24"/>
        </w:rPr>
        <w:t xml:space="preserve">Cardiff and Vale University Health Board </w:t>
      </w:r>
      <w:r w:rsidRPr="00E94B5B">
        <w:rPr>
          <w:rFonts w:eastAsia="Calibri" w:cs="Arial"/>
          <w:b w:val="0"/>
          <w:bCs w:val="0"/>
          <w:color w:val="auto"/>
          <w:sz w:val="24"/>
          <w:szCs w:val="24"/>
        </w:rPr>
        <w:t>will keep service provision under review but has concluded that there is no current or future need identified which requires an application for new or additional premises.</w:t>
      </w:r>
      <w:bookmarkEnd w:id="57"/>
      <w:bookmarkEnd w:id="58"/>
      <w:bookmarkEnd w:id="59"/>
    </w:p>
    <w:p w14:paraId="6880FB66" w14:textId="37395797" w:rsidR="00AF7A7F" w:rsidRDefault="00AF7A7F" w:rsidP="00DC54F7">
      <w:pPr>
        <w:jc w:val="both"/>
      </w:pPr>
    </w:p>
    <w:p w14:paraId="2DE20609" w14:textId="77777777" w:rsidR="00AF7A7F" w:rsidRPr="00AF7A7F" w:rsidRDefault="00AF7A7F" w:rsidP="00DC54F7">
      <w:pPr>
        <w:jc w:val="both"/>
      </w:pPr>
    </w:p>
    <w:p w14:paraId="360EA7FB" w14:textId="7BCC5C45" w:rsidR="0063382E" w:rsidRPr="00A10850" w:rsidRDefault="0063382E" w:rsidP="00DC54F7">
      <w:pPr>
        <w:pStyle w:val="Heading1"/>
        <w:spacing w:before="0" w:line="240" w:lineRule="auto"/>
        <w:jc w:val="both"/>
        <w:rPr>
          <w:rFonts w:cs="Arial"/>
          <w:color w:val="auto"/>
        </w:rPr>
      </w:pPr>
      <w:r w:rsidRPr="00A10850">
        <w:rPr>
          <w:rFonts w:cs="Arial"/>
          <w:highlight w:val="cyan"/>
        </w:rPr>
        <w:br w:type="page"/>
      </w:r>
      <w:bookmarkStart w:id="60" w:name="_Toc81585111"/>
      <w:r w:rsidR="00B82E86">
        <w:rPr>
          <w:rFonts w:cs="Arial"/>
          <w:color w:val="auto"/>
        </w:rPr>
        <w:lastRenderedPageBreak/>
        <w:t>16</w:t>
      </w:r>
      <w:r w:rsidRPr="00A10850">
        <w:rPr>
          <w:rFonts w:cs="Arial"/>
          <w:color w:val="auto"/>
        </w:rPr>
        <w:t xml:space="preserve"> </w:t>
      </w:r>
      <w:r w:rsidR="00B82E86">
        <w:rPr>
          <w:rFonts w:cs="Arial"/>
          <w:color w:val="auto"/>
        </w:rPr>
        <w:t>Western Vale</w:t>
      </w:r>
      <w:r w:rsidRPr="00A10850">
        <w:rPr>
          <w:rFonts w:cs="Arial"/>
          <w:color w:val="auto"/>
        </w:rPr>
        <w:t xml:space="preserve"> </w:t>
      </w:r>
      <w:r w:rsidR="00982327" w:rsidRPr="005C6BB3">
        <w:rPr>
          <w:rFonts w:cs="Arial"/>
          <w:color w:val="auto"/>
        </w:rPr>
        <w:t>cluster</w:t>
      </w:r>
      <w:bookmarkEnd w:id="60"/>
    </w:p>
    <w:p w14:paraId="6B4F1848" w14:textId="01A18D01" w:rsidR="0063382E" w:rsidRPr="00D10889" w:rsidRDefault="0063382E" w:rsidP="00DC54F7">
      <w:pPr>
        <w:pStyle w:val="Heading2"/>
        <w:spacing w:before="0" w:line="240" w:lineRule="auto"/>
        <w:jc w:val="both"/>
        <w:rPr>
          <w:rFonts w:cs="Arial"/>
          <w:color w:val="auto"/>
          <w:sz w:val="20"/>
          <w:szCs w:val="20"/>
          <w:highlight w:val="cyan"/>
        </w:rPr>
      </w:pPr>
    </w:p>
    <w:p w14:paraId="2DAB0F18" w14:textId="77777777" w:rsidR="001767AC" w:rsidRPr="001767AC" w:rsidRDefault="001767AC" w:rsidP="00DC54F7">
      <w:pPr>
        <w:spacing w:after="0" w:line="240" w:lineRule="auto"/>
        <w:jc w:val="both"/>
        <w:rPr>
          <w:highlight w:val="cyan"/>
        </w:rPr>
      </w:pPr>
    </w:p>
    <w:p w14:paraId="546362AA" w14:textId="76C9F5C9" w:rsidR="0063382E" w:rsidRDefault="00B82E86" w:rsidP="00DC54F7">
      <w:pPr>
        <w:spacing w:after="0" w:line="240" w:lineRule="auto"/>
        <w:jc w:val="both"/>
        <w:rPr>
          <w:rFonts w:ascii="Arial" w:hAnsi="Arial" w:cs="Arial"/>
          <w:b/>
          <w:sz w:val="26"/>
          <w:szCs w:val="26"/>
        </w:rPr>
      </w:pPr>
      <w:r>
        <w:rPr>
          <w:rFonts w:ascii="Arial" w:hAnsi="Arial" w:cs="Arial"/>
          <w:b/>
          <w:sz w:val="26"/>
          <w:szCs w:val="26"/>
        </w:rPr>
        <w:t>16</w:t>
      </w:r>
      <w:r w:rsidR="0063382E" w:rsidRPr="00A10850">
        <w:rPr>
          <w:rFonts w:ascii="Arial" w:hAnsi="Arial" w:cs="Arial"/>
          <w:b/>
          <w:sz w:val="26"/>
          <w:szCs w:val="26"/>
        </w:rPr>
        <w:t>.1 Key facts</w:t>
      </w:r>
    </w:p>
    <w:p w14:paraId="3CE721CC" w14:textId="1DBBF166" w:rsidR="001767AC" w:rsidRDefault="001767AC" w:rsidP="00DC54F7">
      <w:pPr>
        <w:spacing w:after="0" w:line="240" w:lineRule="auto"/>
        <w:jc w:val="both"/>
        <w:rPr>
          <w:rFonts w:ascii="Arial" w:hAnsi="Arial" w:cs="Arial"/>
          <w:b/>
          <w:sz w:val="26"/>
          <w:szCs w:val="26"/>
        </w:rPr>
      </w:pPr>
    </w:p>
    <w:p w14:paraId="40A8CA64" w14:textId="3C278D0C" w:rsidR="007B31C4" w:rsidRPr="00224D44" w:rsidRDefault="00EC5FA6" w:rsidP="00DC54F7">
      <w:pPr>
        <w:jc w:val="both"/>
        <w:rPr>
          <w:rFonts w:ascii="Arial" w:hAnsi="Arial" w:cs="Arial"/>
          <w:b/>
          <w:bCs/>
          <w:sz w:val="24"/>
          <w:szCs w:val="24"/>
        </w:rPr>
      </w:pPr>
      <w:r w:rsidRPr="00224D44">
        <w:rPr>
          <w:rFonts w:ascii="Arial" w:hAnsi="Arial" w:cs="Arial"/>
          <w:b/>
          <w:bCs/>
          <w:sz w:val="24"/>
          <w:szCs w:val="24"/>
        </w:rPr>
        <w:t xml:space="preserve">16.1.1 </w:t>
      </w:r>
      <w:r w:rsidR="007B31C4" w:rsidRPr="00224D44">
        <w:rPr>
          <w:rFonts w:ascii="Arial" w:hAnsi="Arial" w:cs="Arial"/>
          <w:b/>
          <w:bCs/>
          <w:sz w:val="24"/>
          <w:szCs w:val="24"/>
        </w:rPr>
        <w:t>Population and population projections 2018 to 2028 (2018 based)</w:t>
      </w:r>
    </w:p>
    <w:p w14:paraId="266932A0" w14:textId="77777777" w:rsidR="007B31C4" w:rsidRPr="00224D44" w:rsidRDefault="007B31C4" w:rsidP="00DC54F7">
      <w:pPr>
        <w:spacing w:after="0" w:line="240" w:lineRule="auto"/>
        <w:jc w:val="both"/>
        <w:rPr>
          <w:rFonts w:ascii="Arial" w:hAnsi="Arial" w:cs="Arial"/>
          <w:sz w:val="24"/>
          <w:szCs w:val="24"/>
        </w:rPr>
      </w:pPr>
      <w:r w:rsidRPr="00224D44">
        <w:rPr>
          <w:rFonts w:ascii="Arial" w:hAnsi="Arial" w:cs="Arial"/>
          <w:sz w:val="24"/>
          <w:szCs w:val="24"/>
        </w:rPr>
        <w:t xml:space="preserve">As cluster level population data is not routinely collected on an annual basis, </w:t>
      </w:r>
    </w:p>
    <w:p w14:paraId="2CC7E4DD" w14:textId="77777777" w:rsidR="007B31C4" w:rsidRPr="00224D44" w:rsidRDefault="007B31C4" w:rsidP="00DC54F7">
      <w:pPr>
        <w:spacing w:after="0" w:line="240" w:lineRule="auto"/>
        <w:jc w:val="both"/>
        <w:rPr>
          <w:rFonts w:ascii="Arial" w:hAnsi="Arial" w:cs="Arial"/>
          <w:sz w:val="24"/>
          <w:szCs w:val="24"/>
        </w:rPr>
      </w:pPr>
      <w:r w:rsidRPr="00224D44">
        <w:rPr>
          <w:rFonts w:ascii="Arial" w:hAnsi="Arial" w:cs="Arial"/>
          <w:sz w:val="24"/>
          <w:szCs w:val="24"/>
        </w:rPr>
        <w:t>GP registered patient data has been used to provide an indication of cluster population, and local authority based data has been used to provide an indication of population projections.</w:t>
      </w:r>
    </w:p>
    <w:p w14:paraId="0BA3C9BB" w14:textId="77777777" w:rsidR="007B31C4" w:rsidRPr="00224D44" w:rsidRDefault="007B31C4" w:rsidP="00DC54F7">
      <w:pPr>
        <w:spacing w:after="0" w:line="240" w:lineRule="auto"/>
        <w:jc w:val="both"/>
        <w:rPr>
          <w:rFonts w:ascii="Arial" w:hAnsi="Arial" w:cs="Arial"/>
          <w:sz w:val="24"/>
          <w:szCs w:val="24"/>
        </w:rPr>
      </w:pPr>
    </w:p>
    <w:p w14:paraId="257EBD70" w14:textId="77777777" w:rsidR="007B31C4" w:rsidRPr="002861BC" w:rsidRDefault="007B31C4" w:rsidP="00DC54F7">
      <w:pPr>
        <w:spacing w:after="0" w:line="240" w:lineRule="auto"/>
        <w:jc w:val="both"/>
        <w:rPr>
          <w:rFonts w:ascii="Arial" w:hAnsi="Arial" w:cs="Arial"/>
          <w:sz w:val="24"/>
          <w:szCs w:val="24"/>
        </w:rPr>
      </w:pPr>
      <w:r w:rsidRPr="00224D44">
        <w:rPr>
          <w:rFonts w:ascii="Arial" w:hAnsi="Arial" w:cs="Arial"/>
          <w:sz w:val="24"/>
          <w:szCs w:val="24"/>
        </w:rPr>
        <w:t>Note that GP registered population data is higher than the corresponding census based mid-year population estimates provided by the Office of National Statistics (ONS) at the local authority and health board level, as outlined in section 2.2. This is most likely due to over registered or ‘ghost patients’ caused by many different factors.</w:t>
      </w:r>
    </w:p>
    <w:p w14:paraId="0A363580" w14:textId="77777777" w:rsidR="007B31C4" w:rsidRDefault="007B31C4" w:rsidP="00DC54F7">
      <w:pPr>
        <w:spacing w:after="0" w:line="240" w:lineRule="auto"/>
        <w:jc w:val="both"/>
        <w:rPr>
          <w:rFonts w:ascii="Arial" w:hAnsi="Arial" w:cs="Arial"/>
          <w:b/>
          <w:i/>
          <w:iCs/>
          <w:sz w:val="24"/>
          <w:szCs w:val="24"/>
        </w:rPr>
      </w:pPr>
    </w:p>
    <w:p w14:paraId="5CAF31BC" w14:textId="3DC6F27A" w:rsidR="007B31C4" w:rsidRDefault="007B31C4" w:rsidP="00DC54F7">
      <w:pPr>
        <w:spacing w:after="0" w:line="240" w:lineRule="auto"/>
        <w:jc w:val="both"/>
        <w:rPr>
          <w:rFonts w:ascii="Arial" w:hAnsi="Arial" w:cs="Arial"/>
          <w:b/>
          <w:sz w:val="24"/>
          <w:szCs w:val="24"/>
        </w:rPr>
      </w:pPr>
      <w:r w:rsidRPr="00224D44">
        <w:rPr>
          <w:rFonts w:ascii="Arial" w:hAnsi="Arial" w:cs="Arial"/>
          <w:b/>
          <w:sz w:val="24"/>
          <w:szCs w:val="24"/>
        </w:rPr>
        <w:t>Table 16: Number of GP registered patients by gender and broad age groups and by cluster, local authority and health board (2019)</w:t>
      </w:r>
    </w:p>
    <w:tbl>
      <w:tblPr>
        <w:tblW w:w="9360" w:type="dxa"/>
        <w:tblLook w:val="04A0" w:firstRow="1" w:lastRow="0" w:firstColumn="1" w:lastColumn="0" w:noHBand="0" w:noVBand="1"/>
      </w:tblPr>
      <w:tblGrid>
        <w:gridCol w:w="2280"/>
        <w:gridCol w:w="1180"/>
        <w:gridCol w:w="1180"/>
        <w:gridCol w:w="1180"/>
        <w:gridCol w:w="1123"/>
        <w:gridCol w:w="997"/>
        <w:gridCol w:w="1420"/>
      </w:tblGrid>
      <w:tr w:rsidR="007164F7" w:rsidRPr="007164F7" w14:paraId="4EBD954F" w14:textId="77777777" w:rsidTr="007164F7">
        <w:trPr>
          <w:trHeight w:val="290"/>
        </w:trPr>
        <w:tc>
          <w:tcPr>
            <w:tcW w:w="2280" w:type="dxa"/>
            <w:tcBorders>
              <w:top w:val="single" w:sz="4" w:space="0" w:color="auto"/>
              <w:left w:val="single" w:sz="4" w:space="0" w:color="auto"/>
              <w:bottom w:val="nil"/>
              <w:right w:val="nil"/>
            </w:tcBorders>
            <w:shd w:val="clear" w:color="000000" w:fill="8497B0"/>
            <w:noWrap/>
            <w:vAlign w:val="bottom"/>
            <w:hideMark/>
          </w:tcPr>
          <w:p w14:paraId="672187DF"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 </w:t>
            </w:r>
          </w:p>
        </w:tc>
        <w:tc>
          <w:tcPr>
            <w:tcW w:w="1180" w:type="dxa"/>
            <w:tcBorders>
              <w:top w:val="single" w:sz="4" w:space="0" w:color="auto"/>
              <w:left w:val="nil"/>
              <w:bottom w:val="nil"/>
              <w:right w:val="nil"/>
            </w:tcBorders>
            <w:shd w:val="clear" w:color="000000" w:fill="8497B0"/>
            <w:noWrap/>
            <w:vAlign w:val="bottom"/>
            <w:hideMark/>
          </w:tcPr>
          <w:p w14:paraId="0C667731"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Year</w:t>
            </w:r>
          </w:p>
        </w:tc>
        <w:tc>
          <w:tcPr>
            <w:tcW w:w="2360" w:type="dxa"/>
            <w:gridSpan w:val="2"/>
            <w:tcBorders>
              <w:top w:val="single" w:sz="4" w:space="0" w:color="auto"/>
              <w:left w:val="nil"/>
              <w:bottom w:val="nil"/>
              <w:right w:val="nil"/>
            </w:tcBorders>
            <w:shd w:val="clear" w:color="000000" w:fill="8497B0"/>
            <w:noWrap/>
            <w:vAlign w:val="bottom"/>
            <w:hideMark/>
          </w:tcPr>
          <w:p w14:paraId="51F74BF8"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Gender</w:t>
            </w:r>
          </w:p>
        </w:tc>
        <w:tc>
          <w:tcPr>
            <w:tcW w:w="3540" w:type="dxa"/>
            <w:gridSpan w:val="3"/>
            <w:tcBorders>
              <w:top w:val="single" w:sz="4" w:space="0" w:color="auto"/>
              <w:left w:val="nil"/>
              <w:bottom w:val="nil"/>
              <w:right w:val="single" w:sz="4" w:space="0" w:color="000000"/>
            </w:tcBorders>
            <w:shd w:val="clear" w:color="000000" w:fill="8497B0"/>
            <w:noWrap/>
            <w:vAlign w:val="bottom"/>
            <w:hideMark/>
          </w:tcPr>
          <w:p w14:paraId="172A59A4"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Age range</w:t>
            </w:r>
          </w:p>
        </w:tc>
      </w:tr>
      <w:tr w:rsidR="007164F7" w:rsidRPr="007164F7" w14:paraId="512AEF6C" w14:textId="77777777" w:rsidTr="007164F7">
        <w:trPr>
          <w:trHeight w:val="290"/>
        </w:trPr>
        <w:tc>
          <w:tcPr>
            <w:tcW w:w="2280" w:type="dxa"/>
            <w:tcBorders>
              <w:top w:val="nil"/>
              <w:left w:val="single" w:sz="4" w:space="0" w:color="auto"/>
              <w:bottom w:val="nil"/>
              <w:right w:val="nil"/>
            </w:tcBorders>
            <w:shd w:val="clear" w:color="000000" w:fill="8497B0"/>
            <w:noWrap/>
            <w:vAlign w:val="bottom"/>
            <w:hideMark/>
          </w:tcPr>
          <w:p w14:paraId="5A15E265"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 </w:t>
            </w:r>
          </w:p>
        </w:tc>
        <w:tc>
          <w:tcPr>
            <w:tcW w:w="1180" w:type="dxa"/>
            <w:tcBorders>
              <w:top w:val="nil"/>
              <w:left w:val="nil"/>
              <w:bottom w:val="nil"/>
              <w:right w:val="nil"/>
            </w:tcBorders>
            <w:shd w:val="clear" w:color="000000" w:fill="8497B0"/>
            <w:noWrap/>
            <w:vAlign w:val="bottom"/>
            <w:hideMark/>
          </w:tcPr>
          <w:p w14:paraId="149B2FB6"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2019</w:t>
            </w:r>
          </w:p>
        </w:tc>
        <w:tc>
          <w:tcPr>
            <w:tcW w:w="1180" w:type="dxa"/>
            <w:tcBorders>
              <w:top w:val="nil"/>
              <w:left w:val="nil"/>
              <w:bottom w:val="nil"/>
              <w:right w:val="nil"/>
            </w:tcBorders>
            <w:shd w:val="clear" w:color="000000" w:fill="8497B0"/>
            <w:noWrap/>
            <w:vAlign w:val="bottom"/>
            <w:hideMark/>
          </w:tcPr>
          <w:p w14:paraId="208205A0"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Female</w:t>
            </w:r>
          </w:p>
        </w:tc>
        <w:tc>
          <w:tcPr>
            <w:tcW w:w="1180" w:type="dxa"/>
            <w:tcBorders>
              <w:top w:val="nil"/>
              <w:left w:val="nil"/>
              <w:bottom w:val="nil"/>
              <w:right w:val="nil"/>
            </w:tcBorders>
            <w:shd w:val="clear" w:color="000000" w:fill="8497B0"/>
            <w:noWrap/>
            <w:vAlign w:val="bottom"/>
            <w:hideMark/>
          </w:tcPr>
          <w:p w14:paraId="371EA0EB"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Male</w:t>
            </w:r>
          </w:p>
        </w:tc>
        <w:tc>
          <w:tcPr>
            <w:tcW w:w="1123" w:type="dxa"/>
            <w:tcBorders>
              <w:top w:val="nil"/>
              <w:left w:val="nil"/>
              <w:bottom w:val="nil"/>
              <w:right w:val="nil"/>
            </w:tcBorders>
            <w:shd w:val="clear" w:color="000000" w:fill="8497B0"/>
            <w:noWrap/>
            <w:vAlign w:val="bottom"/>
            <w:hideMark/>
          </w:tcPr>
          <w:p w14:paraId="2D103063"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Under 65</w:t>
            </w:r>
          </w:p>
        </w:tc>
        <w:tc>
          <w:tcPr>
            <w:tcW w:w="997" w:type="dxa"/>
            <w:tcBorders>
              <w:top w:val="nil"/>
              <w:left w:val="nil"/>
              <w:bottom w:val="nil"/>
              <w:right w:val="nil"/>
            </w:tcBorders>
            <w:shd w:val="clear" w:color="000000" w:fill="8497B0"/>
            <w:noWrap/>
            <w:vAlign w:val="bottom"/>
            <w:hideMark/>
          </w:tcPr>
          <w:p w14:paraId="611D17B6"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65 to 84</w:t>
            </w:r>
          </w:p>
        </w:tc>
        <w:tc>
          <w:tcPr>
            <w:tcW w:w="1420" w:type="dxa"/>
            <w:tcBorders>
              <w:top w:val="nil"/>
              <w:left w:val="nil"/>
              <w:bottom w:val="nil"/>
              <w:right w:val="single" w:sz="4" w:space="0" w:color="auto"/>
            </w:tcBorders>
            <w:shd w:val="clear" w:color="000000" w:fill="8497B0"/>
            <w:noWrap/>
            <w:vAlign w:val="bottom"/>
            <w:hideMark/>
          </w:tcPr>
          <w:p w14:paraId="3423817A"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85 and over</w:t>
            </w:r>
          </w:p>
        </w:tc>
      </w:tr>
      <w:tr w:rsidR="007164F7" w:rsidRPr="007164F7" w14:paraId="39D29693" w14:textId="77777777" w:rsidTr="007164F7">
        <w:trPr>
          <w:trHeight w:val="290"/>
        </w:trPr>
        <w:tc>
          <w:tcPr>
            <w:tcW w:w="2280" w:type="dxa"/>
            <w:tcBorders>
              <w:top w:val="nil"/>
              <w:left w:val="single" w:sz="4" w:space="0" w:color="auto"/>
              <w:bottom w:val="nil"/>
              <w:right w:val="nil"/>
            </w:tcBorders>
            <w:shd w:val="clear" w:color="000000" w:fill="F2F2F2"/>
            <w:noWrap/>
            <w:vAlign w:val="bottom"/>
            <w:hideMark/>
          </w:tcPr>
          <w:p w14:paraId="772FF4B9"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Western Vale</w:t>
            </w:r>
          </w:p>
        </w:tc>
        <w:tc>
          <w:tcPr>
            <w:tcW w:w="1180" w:type="dxa"/>
            <w:tcBorders>
              <w:top w:val="nil"/>
              <w:left w:val="nil"/>
              <w:bottom w:val="nil"/>
              <w:right w:val="nil"/>
            </w:tcBorders>
            <w:shd w:val="clear" w:color="000000" w:fill="F2F2F2"/>
            <w:noWrap/>
            <w:vAlign w:val="bottom"/>
            <w:hideMark/>
          </w:tcPr>
          <w:p w14:paraId="05CC4C08"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29063</w:t>
            </w:r>
          </w:p>
        </w:tc>
        <w:tc>
          <w:tcPr>
            <w:tcW w:w="1180" w:type="dxa"/>
            <w:tcBorders>
              <w:top w:val="nil"/>
              <w:left w:val="nil"/>
              <w:bottom w:val="nil"/>
              <w:right w:val="nil"/>
            </w:tcBorders>
            <w:shd w:val="clear" w:color="000000" w:fill="F2F2F2"/>
            <w:noWrap/>
            <w:vAlign w:val="bottom"/>
            <w:hideMark/>
          </w:tcPr>
          <w:p w14:paraId="098D74E6"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14869</w:t>
            </w:r>
          </w:p>
        </w:tc>
        <w:tc>
          <w:tcPr>
            <w:tcW w:w="1180" w:type="dxa"/>
            <w:tcBorders>
              <w:top w:val="nil"/>
              <w:left w:val="nil"/>
              <w:bottom w:val="nil"/>
              <w:right w:val="nil"/>
            </w:tcBorders>
            <w:shd w:val="clear" w:color="000000" w:fill="F2F2F2"/>
            <w:noWrap/>
            <w:vAlign w:val="bottom"/>
            <w:hideMark/>
          </w:tcPr>
          <w:p w14:paraId="12CA528E"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14194</w:t>
            </w:r>
          </w:p>
        </w:tc>
        <w:tc>
          <w:tcPr>
            <w:tcW w:w="1123" w:type="dxa"/>
            <w:tcBorders>
              <w:top w:val="nil"/>
              <w:left w:val="nil"/>
              <w:bottom w:val="nil"/>
              <w:right w:val="nil"/>
            </w:tcBorders>
            <w:shd w:val="clear" w:color="000000" w:fill="F2F2F2"/>
            <w:noWrap/>
            <w:vAlign w:val="bottom"/>
            <w:hideMark/>
          </w:tcPr>
          <w:p w14:paraId="76CDD17F"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22160</w:t>
            </w:r>
          </w:p>
        </w:tc>
        <w:tc>
          <w:tcPr>
            <w:tcW w:w="997" w:type="dxa"/>
            <w:tcBorders>
              <w:top w:val="nil"/>
              <w:left w:val="nil"/>
              <w:bottom w:val="nil"/>
              <w:right w:val="nil"/>
            </w:tcBorders>
            <w:shd w:val="clear" w:color="000000" w:fill="F2F2F2"/>
            <w:noWrap/>
            <w:vAlign w:val="bottom"/>
            <w:hideMark/>
          </w:tcPr>
          <w:p w14:paraId="50EAF304"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6064</w:t>
            </w:r>
          </w:p>
        </w:tc>
        <w:tc>
          <w:tcPr>
            <w:tcW w:w="1420" w:type="dxa"/>
            <w:tcBorders>
              <w:top w:val="nil"/>
              <w:left w:val="nil"/>
              <w:bottom w:val="nil"/>
              <w:right w:val="single" w:sz="4" w:space="0" w:color="auto"/>
            </w:tcBorders>
            <w:shd w:val="clear" w:color="000000" w:fill="F2F2F2"/>
            <w:noWrap/>
            <w:vAlign w:val="bottom"/>
            <w:hideMark/>
          </w:tcPr>
          <w:p w14:paraId="6079C049"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839</w:t>
            </w:r>
          </w:p>
        </w:tc>
      </w:tr>
      <w:tr w:rsidR="007164F7" w:rsidRPr="007164F7" w14:paraId="3153D055" w14:textId="77777777" w:rsidTr="007164F7">
        <w:trPr>
          <w:trHeight w:val="290"/>
        </w:trPr>
        <w:tc>
          <w:tcPr>
            <w:tcW w:w="2280" w:type="dxa"/>
            <w:tcBorders>
              <w:top w:val="nil"/>
              <w:left w:val="single" w:sz="4" w:space="0" w:color="auto"/>
              <w:bottom w:val="nil"/>
              <w:right w:val="nil"/>
            </w:tcBorders>
            <w:shd w:val="clear" w:color="auto" w:fill="auto"/>
            <w:noWrap/>
            <w:vAlign w:val="bottom"/>
            <w:hideMark/>
          </w:tcPr>
          <w:p w14:paraId="5EE74803"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Vale of Glamorgan</w:t>
            </w:r>
          </w:p>
        </w:tc>
        <w:tc>
          <w:tcPr>
            <w:tcW w:w="1180" w:type="dxa"/>
            <w:tcBorders>
              <w:top w:val="nil"/>
              <w:left w:val="nil"/>
              <w:bottom w:val="nil"/>
              <w:right w:val="nil"/>
            </w:tcBorders>
            <w:shd w:val="clear" w:color="auto" w:fill="auto"/>
            <w:noWrap/>
            <w:vAlign w:val="bottom"/>
            <w:hideMark/>
          </w:tcPr>
          <w:p w14:paraId="69C28749"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131558</w:t>
            </w:r>
          </w:p>
        </w:tc>
        <w:tc>
          <w:tcPr>
            <w:tcW w:w="1180" w:type="dxa"/>
            <w:tcBorders>
              <w:top w:val="nil"/>
              <w:left w:val="nil"/>
              <w:bottom w:val="nil"/>
              <w:right w:val="nil"/>
            </w:tcBorders>
            <w:shd w:val="clear" w:color="auto" w:fill="auto"/>
            <w:noWrap/>
            <w:vAlign w:val="bottom"/>
            <w:hideMark/>
          </w:tcPr>
          <w:p w14:paraId="66CCE072"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66983</w:t>
            </w:r>
          </w:p>
        </w:tc>
        <w:tc>
          <w:tcPr>
            <w:tcW w:w="1180" w:type="dxa"/>
            <w:tcBorders>
              <w:top w:val="nil"/>
              <w:left w:val="nil"/>
              <w:bottom w:val="nil"/>
              <w:right w:val="nil"/>
            </w:tcBorders>
            <w:shd w:val="clear" w:color="auto" w:fill="auto"/>
            <w:noWrap/>
            <w:vAlign w:val="bottom"/>
            <w:hideMark/>
          </w:tcPr>
          <w:p w14:paraId="5CCB68F4"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64575</w:t>
            </w:r>
          </w:p>
        </w:tc>
        <w:tc>
          <w:tcPr>
            <w:tcW w:w="1123" w:type="dxa"/>
            <w:tcBorders>
              <w:top w:val="nil"/>
              <w:left w:val="nil"/>
              <w:bottom w:val="nil"/>
              <w:right w:val="nil"/>
            </w:tcBorders>
            <w:shd w:val="clear" w:color="auto" w:fill="auto"/>
            <w:noWrap/>
            <w:vAlign w:val="bottom"/>
            <w:hideMark/>
          </w:tcPr>
          <w:p w14:paraId="028635EE"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104113</w:t>
            </w:r>
          </w:p>
        </w:tc>
        <w:tc>
          <w:tcPr>
            <w:tcW w:w="997" w:type="dxa"/>
            <w:tcBorders>
              <w:top w:val="nil"/>
              <w:left w:val="nil"/>
              <w:bottom w:val="nil"/>
              <w:right w:val="nil"/>
            </w:tcBorders>
            <w:shd w:val="clear" w:color="auto" w:fill="auto"/>
            <w:noWrap/>
            <w:vAlign w:val="bottom"/>
            <w:hideMark/>
          </w:tcPr>
          <w:p w14:paraId="71CFA467"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23813</w:t>
            </w:r>
          </w:p>
        </w:tc>
        <w:tc>
          <w:tcPr>
            <w:tcW w:w="1420" w:type="dxa"/>
            <w:tcBorders>
              <w:top w:val="nil"/>
              <w:left w:val="nil"/>
              <w:bottom w:val="nil"/>
              <w:right w:val="single" w:sz="4" w:space="0" w:color="auto"/>
            </w:tcBorders>
            <w:shd w:val="clear" w:color="auto" w:fill="auto"/>
            <w:noWrap/>
            <w:vAlign w:val="bottom"/>
            <w:hideMark/>
          </w:tcPr>
          <w:p w14:paraId="45E3056C"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3632</w:t>
            </w:r>
          </w:p>
        </w:tc>
      </w:tr>
      <w:tr w:rsidR="007164F7" w:rsidRPr="007164F7" w14:paraId="3A9B8390" w14:textId="77777777" w:rsidTr="007164F7">
        <w:trPr>
          <w:trHeight w:val="290"/>
        </w:trPr>
        <w:tc>
          <w:tcPr>
            <w:tcW w:w="2280" w:type="dxa"/>
            <w:tcBorders>
              <w:top w:val="nil"/>
              <w:left w:val="single" w:sz="4" w:space="0" w:color="auto"/>
              <w:bottom w:val="single" w:sz="4" w:space="0" w:color="auto"/>
              <w:right w:val="nil"/>
            </w:tcBorders>
            <w:shd w:val="clear" w:color="000000" w:fill="F2F2F2"/>
            <w:noWrap/>
            <w:vAlign w:val="bottom"/>
            <w:hideMark/>
          </w:tcPr>
          <w:p w14:paraId="776C2D62"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Cardiff and Vale UHB</w:t>
            </w:r>
          </w:p>
        </w:tc>
        <w:tc>
          <w:tcPr>
            <w:tcW w:w="1180" w:type="dxa"/>
            <w:tcBorders>
              <w:top w:val="nil"/>
              <w:left w:val="nil"/>
              <w:bottom w:val="single" w:sz="4" w:space="0" w:color="auto"/>
              <w:right w:val="nil"/>
            </w:tcBorders>
            <w:shd w:val="clear" w:color="000000" w:fill="F2F2F2"/>
            <w:noWrap/>
            <w:vAlign w:val="bottom"/>
            <w:hideMark/>
          </w:tcPr>
          <w:p w14:paraId="0C160702"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521177</w:t>
            </w:r>
          </w:p>
        </w:tc>
        <w:tc>
          <w:tcPr>
            <w:tcW w:w="1180" w:type="dxa"/>
            <w:tcBorders>
              <w:top w:val="nil"/>
              <w:left w:val="nil"/>
              <w:bottom w:val="single" w:sz="4" w:space="0" w:color="auto"/>
              <w:right w:val="nil"/>
            </w:tcBorders>
            <w:shd w:val="clear" w:color="000000" w:fill="F2F2F2"/>
            <w:noWrap/>
            <w:vAlign w:val="bottom"/>
            <w:hideMark/>
          </w:tcPr>
          <w:p w14:paraId="44179BB0"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260027</w:t>
            </w:r>
          </w:p>
        </w:tc>
        <w:tc>
          <w:tcPr>
            <w:tcW w:w="1180" w:type="dxa"/>
            <w:tcBorders>
              <w:top w:val="nil"/>
              <w:left w:val="nil"/>
              <w:bottom w:val="single" w:sz="4" w:space="0" w:color="auto"/>
              <w:right w:val="nil"/>
            </w:tcBorders>
            <w:shd w:val="clear" w:color="000000" w:fill="F2F2F2"/>
            <w:noWrap/>
            <w:vAlign w:val="bottom"/>
            <w:hideMark/>
          </w:tcPr>
          <w:p w14:paraId="58BC7F1C"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261150</w:t>
            </w:r>
          </w:p>
        </w:tc>
        <w:tc>
          <w:tcPr>
            <w:tcW w:w="1123" w:type="dxa"/>
            <w:tcBorders>
              <w:top w:val="nil"/>
              <w:left w:val="nil"/>
              <w:bottom w:val="single" w:sz="4" w:space="0" w:color="auto"/>
              <w:right w:val="nil"/>
            </w:tcBorders>
            <w:shd w:val="clear" w:color="000000" w:fill="F2F2F2"/>
            <w:noWrap/>
            <w:vAlign w:val="bottom"/>
            <w:hideMark/>
          </w:tcPr>
          <w:p w14:paraId="52653CA6"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439365</w:t>
            </w:r>
          </w:p>
        </w:tc>
        <w:tc>
          <w:tcPr>
            <w:tcW w:w="997" w:type="dxa"/>
            <w:tcBorders>
              <w:top w:val="nil"/>
              <w:left w:val="nil"/>
              <w:bottom w:val="single" w:sz="4" w:space="0" w:color="auto"/>
              <w:right w:val="nil"/>
            </w:tcBorders>
            <w:shd w:val="clear" w:color="000000" w:fill="F2F2F2"/>
            <w:noWrap/>
            <w:vAlign w:val="bottom"/>
            <w:hideMark/>
          </w:tcPr>
          <w:p w14:paraId="10D4803A"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70412</w:t>
            </w:r>
          </w:p>
        </w:tc>
        <w:tc>
          <w:tcPr>
            <w:tcW w:w="1420" w:type="dxa"/>
            <w:tcBorders>
              <w:top w:val="nil"/>
              <w:left w:val="nil"/>
              <w:bottom w:val="single" w:sz="4" w:space="0" w:color="auto"/>
              <w:right w:val="single" w:sz="4" w:space="0" w:color="auto"/>
            </w:tcBorders>
            <w:shd w:val="clear" w:color="000000" w:fill="F2F2F2"/>
            <w:noWrap/>
            <w:vAlign w:val="bottom"/>
            <w:hideMark/>
          </w:tcPr>
          <w:p w14:paraId="4347F555" w14:textId="77777777" w:rsidR="007164F7" w:rsidRPr="007164F7" w:rsidRDefault="007164F7" w:rsidP="00DC54F7">
            <w:pPr>
              <w:spacing w:after="0" w:line="240" w:lineRule="auto"/>
              <w:jc w:val="both"/>
              <w:rPr>
                <w:rFonts w:ascii="Calibri" w:eastAsia="Times New Roman" w:hAnsi="Calibri" w:cs="Calibri"/>
                <w:color w:val="000000"/>
                <w:lang w:eastAsia="en-GB"/>
              </w:rPr>
            </w:pPr>
            <w:r w:rsidRPr="007164F7">
              <w:rPr>
                <w:rFonts w:ascii="Calibri" w:eastAsia="Times New Roman" w:hAnsi="Calibri" w:cs="Calibri"/>
                <w:color w:val="000000"/>
                <w:lang w:eastAsia="en-GB"/>
              </w:rPr>
              <w:t>11400</w:t>
            </w:r>
          </w:p>
        </w:tc>
      </w:tr>
    </w:tbl>
    <w:p w14:paraId="6B65EFAE" w14:textId="2F63E5A8" w:rsidR="007B31C4" w:rsidRPr="007164F7" w:rsidRDefault="007164F7" w:rsidP="00DC54F7">
      <w:pPr>
        <w:jc w:val="both"/>
        <w:rPr>
          <w:rFonts w:ascii="Arial" w:hAnsi="Arial" w:cs="Arial"/>
          <w:sz w:val="20"/>
          <w:szCs w:val="20"/>
        </w:rPr>
      </w:pPr>
      <w:r w:rsidRPr="007164F7">
        <w:rPr>
          <w:rFonts w:ascii="Arial" w:hAnsi="Arial" w:cs="Arial"/>
          <w:sz w:val="20"/>
          <w:szCs w:val="20"/>
        </w:rPr>
        <w:t>Source: StatsWales - NHS Wales Shared Services Partnership.</w:t>
      </w:r>
    </w:p>
    <w:p w14:paraId="237A2F4A" w14:textId="77777777" w:rsidR="0008459A" w:rsidRPr="00EC5FA6" w:rsidRDefault="0008459A" w:rsidP="00DC54F7">
      <w:pPr>
        <w:spacing w:after="0" w:line="240" w:lineRule="auto"/>
        <w:jc w:val="both"/>
        <w:rPr>
          <w:rFonts w:ascii="Arial" w:hAnsi="Arial" w:cs="Arial"/>
          <w:sz w:val="24"/>
          <w:szCs w:val="24"/>
        </w:rPr>
      </w:pPr>
      <w:r w:rsidRPr="00EC5FA6">
        <w:rPr>
          <w:rFonts w:ascii="Arial" w:hAnsi="Arial" w:cs="Arial"/>
          <w:sz w:val="24"/>
          <w:szCs w:val="24"/>
        </w:rPr>
        <w:t>Between 2018 to 2028, the population of the Vale of Glamorgan is projected to increase by up to 6%, the second largest percentage increase of all the local authorities within Wales. It is expected to have a population of around 140,000 by 2028, making it the tenth largest local authority in Wales. The increase in population will mainly be driven by net migration i.e. more people moving into the area than out. The number of births is expected to increase over this period as is the number of deaths, resulting in a negative natural change (more deaths than births). The population is expected to increase across all broad age groups. Overall, there will be a small increase in the number of children and young people aged 0 to 15 years old and in the working-age population aged 16 to 64 years old. The largest population increases will be in the over 65 age group, where the Vale of Glamorgan is expected to have the largest increase of all local authorities at up to 20.5%. This is followed by the 75 or over age group. The population is projected to continue to age in the local authority.</w:t>
      </w:r>
    </w:p>
    <w:p w14:paraId="50DB4FF2" w14:textId="42DEE3F6" w:rsidR="00DB3F20" w:rsidRDefault="00DB3F20" w:rsidP="00DC54F7">
      <w:pPr>
        <w:spacing w:after="0" w:line="240" w:lineRule="auto"/>
        <w:jc w:val="both"/>
        <w:rPr>
          <w:rFonts w:ascii="Arial" w:hAnsi="Arial" w:cs="Arial"/>
          <w:b/>
        </w:rPr>
      </w:pPr>
    </w:p>
    <w:p w14:paraId="7BDC2AAE" w14:textId="77777777" w:rsidR="00EC5FA6" w:rsidRDefault="00EC5FA6" w:rsidP="00DC54F7">
      <w:pPr>
        <w:spacing w:after="0" w:line="240" w:lineRule="auto"/>
        <w:jc w:val="both"/>
        <w:rPr>
          <w:rFonts w:ascii="Arial" w:hAnsi="Arial" w:cs="Arial"/>
          <w:b/>
        </w:rPr>
      </w:pPr>
    </w:p>
    <w:p w14:paraId="3C57CE1C" w14:textId="0ACC7F23" w:rsidR="00D011D6" w:rsidRPr="0011115F" w:rsidRDefault="00EC5FA6" w:rsidP="00DC54F7">
      <w:pPr>
        <w:spacing w:after="0" w:line="240" w:lineRule="auto"/>
        <w:jc w:val="both"/>
        <w:rPr>
          <w:rFonts w:ascii="Arial" w:hAnsi="Arial" w:cs="Arial"/>
          <w:b/>
          <w:bCs/>
          <w:sz w:val="24"/>
          <w:szCs w:val="24"/>
        </w:rPr>
      </w:pPr>
      <w:r w:rsidRPr="0011115F">
        <w:rPr>
          <w:rFonts w:ascii="Arial" w:hAnsi="Arial" w:cs="Arial"/>
          <w:b/>
          <w:bCs/>
          <w:sz w:val="24"/>
          <w:szCs w:val="24"/>
        </w:rPr>
        <w:t xml:space="preserve">16.1.2 </w:t>
      </w:r>
      <w:r w:rsidR="00D011D6" w:rsidRPr="0011115F">
        <w:rPr>
          <w:rFonts w:ascii="Arial" w:hAnsi="Arial" w:cs="Arial"/>
          <w:b/>
          <w:bCs/>
          <w:sz w:val="24"/>
          <w:szCs w:val="24"/>
        </w:rPr>
        <w:t>Life expectancy, healthy life expectancy and the ‘inequality gap’</w:t>
      </w:r>
    </w:p>
    <w:p w14:paraId="0F8AE217" w14:textId="77777777" w:rsidR="00D011D6" w:rsidRPr="0011115F" w:rsidRDefault="00D011D6" w:rsidP="00DC54F7">
      <w:pPr>
        <w:spacing w:after="0" w:line="240" w:lineRule="auto"/>
        <w:jc w:val="both"/>
        <w:rPr>
          <w:rFonts w:ascii="Arial" w:hAnsi="Arial" w:cs="Arial"/>
          <w:b/>
          <w:bCs/>
          <w:sz w:val="24"/>
          <w:szCs w:val="24"/>
        </w:rPr>
      </w:pPr>
      <w:r w:rsidRPr="0011115F">
        <w:rPr>
          <w:rFonts w:ascii="Arial" w:hAnsi="Arial" w:cs="Arial"/>
          <w:b/>
          <w:bCs/>
          <w:sz w:val="24"/>
          <w:szCs w:val="24"/>
        </w:rPr>
        <w:t xml:space="preserve"> </w:t>
      </w:r>
    </w:p>
    <w:p w14:paraId="5E103EA1" w14:textId="77777777" w:rsidR="00D011D6" w:rsidRPr="0011115F" w:rsidRDefault="00D011D6" w:rsidP="00DC54F7">
      <w:pPr>
        <w:spacing w:after="0" w:line="240" w:lineRule="auto"/>
        <w:jc w:val="both"/>
        <w:rPr>
          <w:rFonts w:ascii="Arial" w:hAnsi="Arial" w:cs="Arial"/>
          <w:sz w:val="24"/>
          <w:szCs w:val="24"/>
        </w:rPr>
      </w:pPr>
      <w:r w:rsidRPr="0011115F">
        <w:rPr>
          <w:rFonts w:ascii="Arial" w:hAnsi="Arial" w:cs="Arial"/>
          <w:sz w:val="24"/>
          <w:szCs w:val="24"/>
        </w:rPr>
        <w:t xml:space="preserve">Life expectancy at birth in the Vale of Glamorgan is higher than the average for Wales and the health board for both females and males, for 2015 to 2017. The difference in life expectancy that exists across an area between the most and least deprived areas is referred to as the ‘inequality gap’. The inequality gap in life expectancy at birth between the most and least deprived fifth, for the Vale of Glamorgan is narrower than </w:t>
      </w:r>
      <w:r w:rsidRPr="0011115F">
        <w:rPr>
          <w:rFonts w:ascii="Arial" w:hAnsi="Arial" w:cs="Arial"/>
          <w:sz w:val="24"/>
          <w:szCs w:val="24"/>
        </w:rPr>
        <w:lastRenderedPageBreak/>
        <w:t>the average for Wales and the health board for both females and males. The healthy life expectancy (the number of years a person can expect to live in good health) in the Vale of Glamorgan is also higher than the average for Wales and the health board for both females and males.</w:t>
      </w:r>
    </w:p>
    <w:p w14:paraId="303FA21F" w14:textId="77777777" w:rsidR="00D011D6" w:rsidRPr="0011115F" w:rsidRDefault="00D011D6" w:rsidP="00DC54F7">
      <w:pPr>
        <w:spacing w:after="0" w:line="240" w:lineRule="auto"/>
        <w:jc w:val="both"/>
        <w:rPr>
          <w:rFonts w:ascii="Arial" w:hAnsi="Arial" w:cs="Arial"/>
          <w:b/>
          <w:bCs/>
          <w:sz w:val="24"/>
          <w:szCs w:val="24"/>
        </w:rPr>
      </w:pPr>
    </w:p>
    <w:p w14:paraId="143B4DDD" w14:textId="463603BF" w:rsidR="00D011D6" w:rsidRPr="0011115F" w:rsidRDefault="00D011D6" w:rsidP="00DC54F7">
      <w:pPr>
        <w:spacing w:after="0" w:line="240" w:lineRule="auto"/>
        <w:jc w:val="both"/>
        <w:rPr>
          <w:rFonts w:ascii="Arial" w:hAnsi="Arial" w:cs="Arial"/>
          <w:b/>
          <w:bCs/>
          <w:sz w:val="24"/>
          <w:szCs w:val="24"/>
        </w:rPr>
      </w:pPr>
      <w:r w:rsidRPr="0011115F">
        <w:rPr>
          <w:rFonts w:ascii="Arial" w:hAnsi="Arial" w:cs="Arial"/>
          <w:b/>
          <w:bCs/>
          <w:sz w:val="24"/>
          <w:szCs w:val="24"/>
        </w:rPr>
        <w:t xml:space="preserve">Table 16.1: Life expectancy, healthy life expectancy and the ‘inequality gap’ (2015 to 2017) </w:t>
      </w:r>
    </w:p>
    <w:tbl>
      <w:tblPr>
        <w:tblW w:w="954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263"/>
        <w:gridCol w:w="1017"/>
        <w:gridCol w:w="1253"/>
        <w:gridCol w:w="158"/>
        <w:gridCol w:w="1096"/>
        <w:gridCol w:w="1253"/>
        <w:gridCol w:w="79"/>
        <w:gridCol w:w="1175"/>
        <w:gridCol w:w="1254"/>
      </w:tblGrid>
      <w:tr w:rsidR="00D011D6" w:rsidRPr="00847226" w14:paraId="425D449E" w14:textId="77777777" w:rsidTr="00AA572E">
        <w:trPr>
          <w:trHeight w:val="397"/>
        </w:trPr>
        <w:tc>
          <w:tcPr>
            <w:tcW w:w="2263" w:type="dxa"/>
            <w:shd w:val="clear" w:color="000000" w:fill="8497B0"/>
            <w:noWrap/>
            <w:vAlign w:val="bottom"/>
            <w:hideMark/>
          </w:tcPr>
          <w:p w14:paraId="4226DF84" w14:textId="77777777" w:rsidR="00D011D6" w:rsidRPr="0011115F" w:rsidRDefault="00D011D6" w:rsidP="00DC54F7">
            <w:pPr>
              <w:spacing w:after="0" w:line="240" w:lineRule="auto"/>
              <w:jc w:val="both"/>
              <w:rPr>
                <w:rFonts w:eastAsia="Times New Roman" w:cstheme="minorHAnsi"/>
                <w:lang w:eastAsia="en-GB"/>
              </w:rPr>
            </w:pPr>
            <w:r w:rsidRPr="0011115F">
              <w:rPr>
                <w:rFonts w:eastAsia="Times New Roman" w:cstheme="minorHAnsi"/>
                <w:lang w:eastAsia="en-GB"/>
              </w:rPr>
              <w:t> </w:t>
            </w:r>
          </w:p>
        </w:tc>
        <w:tc>
          <w:tcPr>
            <w:tcW w:w="2428" w:type="dxa"/>
            <w:gridSpan w:val="3"/>
            <w:shd w:val="clear" w:color="000000" w:fill="8497B0"/>
            <w:noWrap/>
            <w:vAlign w:val="bottom"/>
            <w:hideMark/>
          </w:tcPr>
          <w:p w14:paraId="6859A8B0" w14:textId="77777777" w:rsidR="00D011D6" w:rsidRPr="0011115F" w:rsidRDefault="00D011D6" w:rsidP="00DC54F7">
            <w:pPr>
              <w:spacing w:after="0" w:line="240" w:lineRule="auto"/>
              <w:jc w:val="both"/>
              <w:rPr>
                <w:rFonts w:eastAsia="Times New Roman" w:cstheme="minorHAnsi"/>
                <w:b/>
                <w:bCs/>
                <w:color w:val="FFFFFF"/>
                <w:lang w:eastAsia="en-GB"/>
              </w:rPr>
            </w:pPr>
            <w:r w:rsidRPr="0011115F">
              <w:rPr>
                <w:rFonts w:eastAsia="Times New Roman" w:cstheme="minorHAnsi"/>
                <w:b/>
                <w:bCs/>
                <w:color w:val="FFFFFF"/>
                <w:lang w:eastAsia="en-GB"/>
              </w:rPr>
              <w:t>Life expectancy at birth (years)</w:t>
            </w:r>
          </w:p>
        </w:tc>
        <w:tc>
          <w:tcPr>
            <w:tcW w:w="2428" w:type="dxa"/>
            <w:gridSpan w:val="3"/>
            <w:shd w:val="clear" w:color="000000" w:fill="8497B0"/>
            <w:noWrap/>
            <w:vAlign w:val="bottom"/>
            <w:hideMark/>
          </w:tcPr>
          <w:p w14:paraId="52A94AB1" w14:textId="77777777" w:rsidR="00D011D6" w:rsidRPr="0011115F" w:rsidRDefault="00D011D6" w:rsidP="00DC54F7">
            <w:pPr>
              <w:spacing w:after="0" w:line="240" w:lineRule="auto"/>
              <w:jc w:val="both"/>
              <w:rPr>
                <w:rFonts w:eastAsia="Times New Roman" w:cstheme="minorHAnsi"/>
                <w:b/>
                <w:bCs/>
                <w:color w:val="FFFFFF"/>
                <w:lang w:eastAsia="en-GB"/>
              </w:rPr>
            </w:pPr>
            <w:r w:rsidRPr="0011115F">
              <w:rPr>
                <w:rFonts w:eastAsia="Times New Roman" w:cstheme="minorHAnsi"/>
                <w:b/>
                <w:bCs/>
                <w:color w:val="FFFFFF"/>
                <w:lang w:eastAsia="en-GB"/>
              </w:rPr>
              <w:t>Healthy life expectancy (years)</w:t>
            </w:r>
          </w:p>
        </w:tc>
        <w:tc>
          <w:tcPr>
            <w:tcW w:w="2429" w:type="dxa"/>
            <w:gridSpan w:val="2"/>
            <w:shd w:val="clear" w:color="000000" w:fill="8497B0"/>
            <w:noWrap/>
            <w:vAlign w:val="bottom"/>
            <w:hideMark/>
          </w:tcPr>
          <w:p w14:paraId="43A35193" w14:textId="77777777" w:rsidR="00D011D6" w:rsidRPr="0011115F" w:rsidRDefault="00D011D6" w:rsidP="00DC54F7">
            <w:pPr>
              <w:spacing w:after="0" w:line="240" w:lineRule="auto"/>
              <w:jc w:val="both"/>
              <w:rPr>
                <w:rFonts w:eastAsia="Times New Roman" w:cstheme="minorHAnsi"/>
                <w:b/>
                <w:bCs/>
                <w:color w:val="FFFFFF"/>
                <w:lang w:eastAsia="en-GB"/>
              </w:rPr>
            </w:pPr>
            <w:r w:rsidRPr="0011115F">
              <w:rPr>
                <w:rFonts w:eastAsia="Times New Roman" w:cstheme="minorHAnsi"/>
                <w:b/>
                <w:bCs/>
                <w:color w:val="FFFFFF"/>
                <w:lang w:eastAsia="en-GB"/>
              </w:rPr>
              <w:t>Inequality gap</w:t>
            </w:r>
          </w:p>
          <w:p w14:paraId="6B7D561B" w14:textId="77777777" w:rsidR="00D011D6" w:rsidRPr="0011115F" w:rsidRDefault="00D011D6" w:rsidP="00DC54F7">
            <w:pPr>
              <w:spacing w:after="0" w:line="240" w:lineRule="auto"/>
              <w:jc w:val="both"/>
              <w:rPr>
                <w:rFonts w:eastAsia="Times New Roman" w:cstheme="minorHAnsi"/>
                <w:b/>
                <w:bCs/>
                <w:color w:val="FFFFFF"/>
                <w:lang w:eastAsia="en-GB"/>
              </w:rPr>
            </w:pPr>
            <w:r w:rsidRPr="0011115F">
              <w:rPr>
                <w:rFonts w:eastAsia="Times New Roman" w:cstheme="minorHAnsi"/>
                <w:b/>
                <w:bCs/>
                <w:color w:val="FFFFFF"/>
                <w:lang w:eastAsia="en-GB"/>
              </w:rPr>
              <w:t xml:space="preserve"> (years)</w:t>
            </w:r>
          </w:p>
        </w:tc>
      </w:tr>
      <w:tr w:rsidR="00D011D6" w:rsidRPr="00847226" w14:paraId="6A22E3DD" w14:textId="77777777" w:rsidTr="00AA572E">
        <w:trPr>
          <w:trHeight w:val="397"/>
        </w:trPr>
        <w:tc>
          <w:tcPr>
            <w:tcW w:w="2263" w:type="dxa"/>
            <w:shd w:val="clear" w:color="000000" w:fill="8497B0"/>
            <w:noWrap/>
            <w:vAlign w:val="bottom"/>
            <w:hideMark/>
          </w:tcPr>
          <w:p w14:paraId="0F1E3027" w14:textId="77777777" w:rsidR="00D011D6" w:rsidRPr="0011115F" w:rsidRDefault="00D011D6" w:rsidP="00DC54F7">
            <w:pPr>
              <w:spacing w:after="0" w:line="240" w:lineRule="auto"/>
              <w:jc w:val="both"/>
              <w:rPr>
                <w:rFonts w:eastAsia="Times New Roman" w:cstheme="minorHAnsi"/>
                <w:b/>
                <w:bCs/>
                <w:color w:val="FFFFFF"/>
                <w:lang w:eastAsia="en-GB"/>
              </w:rPr>
            </w:pPr>
            <w:r w:rsidRPr="0011115F">
              <w:rPr>
                <w:rFonts w:eastAsia="Times New Roman" w:cstheme="minorHAnsi"/>
                <w:b/>
                <w:bCs/>
                <w:color w:val="FFFFFF"/>
                <w:lang w:eastAsia="en-GB"/>
              </w:rPr>
              <w:t> </w:t>
            </w:r>
          </w:p>
        </w:tc>
        <w:tc>
          <w:tcPr>
            <w:tcW w:w="1017" w:type="dxa"/>
            <w:shd w:val="clear" w:color="000000" w:fill="8497B0"/>
            <w:vAlign w:val="center"/>
            <w:hideMark/>
          </w:tcPr>
          <w:p w14:paraId="1429F7FA" w14:textId="77777777" w:rsidR="00D011D6" w:rsidRPr="0011115F" w:rsidRDefault="00D011D6" w:rsidP="00DC54F7">
            <w:pPr>
              <w:spacing w:after="0" w:line="240" w:lineRule="auto"/>
              <w:jc w:val="both"/>
              <w:rPr>
                <w:rFonts w:eastAsia="Times New Roman" w:cstheme="minorHAnsi"/>
                <w:b/>
                <w:bCs/>
                <w:color w:val="FFFFFF"/>
                <w:lang w:eastAsia="en-GB"/>
              </w:rPr>
            </w:pPr>
            <w:r w:rsidRPr="0011115F">
              <w:rPr>
                <w:rFonts w:eastAsia="Times New Roman" w:cstheme="minorHAnsi"/>
                <w:b/>
                <w:bCs/>
                <w:color w:val="FFFFFF"/>
                <w:lang w:eastAsia="en-GB"/>
              </w:rPr>
              <w:t>Females</w:t>
            </w:r>
          </w:p>
        </w:tc>
        <w:tc>
          <w:tcPr>
            <w:tcW w:w="1253" w:type="dxa"/>
            <w:shd w:val="clear" w:color="000000" w:fill="8497B0"/>
            <w:vAlign w:val="center"/>
            <w:hideMark/>
          </w:tcPr>
          <w:p w14:paraId="291AE0F4" w14:textId="77777777" w:rsidR="00D011D6" w:rsidRPr="0011115F" w:rsidRDefault="00D011D6" w:rsidP="00DC54F7">
            <w:pPr>
              <w:spacing w:after="0" w:line="240" w:lineRule="auto"/>
              <w:jc w:val="both"/>
              <w:rPr>
                <w:rFonts w:eastAsia="Times New Roman" w:cstheme="minorHAnsi"/>
                <w:b/>
                <w:bCs/>
                <w:color w:val="FFFFFF"/>
                <w:lang w:eastAsia="en-GB"/>
              </w:rPr>
            </w:pPr>
            <w:r w:rsidRPr="0011115F">
              <w:rPr>
                <w:rFonts w:eastAsia="Times New Roman" w:cstheme="minorHAnsi"/>
                <w:b/>
                <w:bCs/>
                <w:color w:val="FFFFFF"/>
                <w:lang w:eastAsia="en-GB"/>
              </w:rPr>
              <w:t>Males</w:t>
            </w:r>
          </w:p>
        </w:tc>
        <w:tc>
          <w:tcPr>
            <w:tcW w:w="1254" w:type="dxa"/>
            <w:gridSpan w:val="2"/>
            <w:shd w:val="clear" w:color="000000" w:fill="8497B0"/>
            <w:vAlign w:val="center"/>
            <w:hideMark/>
          </w:tcPr>
          <w:p w14:paraId="0734ADC9" w14:textId="77777777" w:rsidR="00D011D6" w:rsidRPr="0011115F" w:rsidRDefault="00D011D6" w:rsidP="00DC54F7">
            <w:pPr>
              <w:spacing w:after="0" w:line="240" w:lineRule="auto"/>
              <w:jc w:val="both"/>
              <w:rPr>
                <w:rFonts w:eastAsia="Times New Roman" w:cstheme="minorHAnsi"/>
                <w:b/>
                <w:bCs/>
                <w:color w:val="FFFFFF"/>
                <w:lang w:eastAsia="en-GB"/>
              </w:rPr>
            </w:pPr>
            <w:r w:rsidRPr="0011115F">
              <w:rPr>
                <w:rFonts w:eastAsia="Times New Roman" w:cstheme="minorHAnsi"/>
                <w:b/>
                <w:bCs/>
                <w:color w:val="FFFFFF"/>
                <w:lang w:eastAsia="en-GB"/>
              </w:rPr>
              <w:t>Females</w:t>
            </w:r>
          </w:p>
        </w:tc>
        <w:tc>
          <w:tcPr>
            <w:tcW w:w="1253" w:type="dxa"/>
            <w:shd w:val="clear" w:color="000000" w:fill="8497B0"/>
            <w:vAlign w:val="center"/>
            <w:hideMark/>
          </w:tcPr>
          <w:p w14:paraId="0AFBB3E4" w14:textId="77777777" w:rsidR="00D011D6" w:rsidRPr="0011115F" w:rsidRDefault="00D011D6" w:rsidP="00DC54F7">
            <w:pPr>
              <w:spacing w:after="0" w:line="240" w:lineRule="auto"/>
              <w:jc w:val="both"/>
              <w:rPr>
                <w:rFonts w:eastAsia="Times New Roman" w:cstheme="minorHAnsi"/>
                <w:b/>
                <w:bCs/>
                <w:color w:val="FFFFFF"/>
                <w:lang w:eastAsia="en-GB"/>
              </w:rPr>
            </w:pPr>
            <w:r w:rsidRPr="0011115F">
              <w:rPr>
                <w:rFonts w:eastAsia="Times New Roman" w:cstheme="minorHAnsi"/>
                <w:b/>
                <w:bCs/>
                <w:color w:val="FFFFFF"/>
                <w:lang w:eastAsia="en-GB"/>
              </w:rPr>
              <w:t>Males</w:t>
            </w:r>
          </w:p>
        </w:tc>
        <w:tc>
          <w:tcPr>
            <w:tcW w:w="1254" w:type="dxa"/>
            <w:gridSpan w:val="2"/>
            <w:shd w:val="clear" w:color="000000" w:fill="8497B0"/>
            <w:vAlign w:val="center"/>
            <w:hideMark/>
          </w:tcPr>
          <w:p w14:paraId="7530EA52" w14:textId="77777777" w:rsidR="00D011D6" w:rsidRPr="0011115F" w:rsidRDefault="00D011D6" w:rsidP="00DC54F7">
            <w:pPr>
              <w:spacing w:after="0" w:line="240" w:lineRule="auto"/>
              <w:jc w:val="both"/>
              <w:rPr>
                <w:rFonts w:eastAsia="Times New Roman" w:cstheme="minorHAnsi"/>
                <w:b/>
                <w:bCs/>
                <w:color w:val="FFFFFF"/>
                <w:lang w:eastAsia="en-GB"/>
              </w:rPr>
            </w:pPr>
            <w:r w:rsidRPr="0011115F">
              <w:rPr>
                <w:rFonts w:eastAsia="Times New Roman" w:cstheme="minorHAnsi"/>
                <w:b/>
                <w:bCs/>
                <w:color w:val="FFFFFF"/>
                <w:lang w:eastAsia="en-GB"/>
              </w:rPr>
              <w:t>Females</w:t>
            </w:r>
          </w:p>
        </w:tc>
        <w:tc>
          <w:tcPr>
            <w:tcW w:w="1254" w:type="dxa"/>
            <w:shd w:val="clear" w:color="000000" w:fill="8497B0"/>
            <w:vAlign w:val="center"/>
            <w:hideMark/>
          </w:tcPr>
          <w:p w14:paraId="709A4A57" w14:textId="77777777" w:rsidR="00D011D6" w:rsidRPr="0011115F" w:rsidRDefault="00D011D6" w:rsidP="00DC54F7">
            <w:pPr>
              <w:spacing w:after="0" w:line="240" w:lineRule="auto"/>
              <w:jc w:val="both"/>
              <w:rPr>
                <w:rFonts w:eastAsia="Times New Roman" w:cstheme="minorHAnsi"/>
                <w:b/>
                <w:bCs/>
                <w:color w:val="FFFFFF"/>
                <w:lang w:eastAsia="en-GB"/>
              </w:rPr>
            </w:pPr>
            <w:r w:rsidRPr="0011115F">
              <w:rPr>
                <w:rFonts w:eastAsia="Times New Roman" w:cstheme="minorHAnsi"/>
                <w:b/>
                <w:bCs/>
                <w:color w:val="FFFFFF"/>
                <w:lang w:eastAsia="en-GB"/>
              </w:rPr>
              <w:t>Males</w:t>
            </w:r>
          </w:p>
        </w:tc>
      </w:tr>
      <w:tr w:rsidR="00D011D6" w:rsidRPr="00847226" w14:paraId="65873FF6" w14:textId="77777777" w:rsidTr="00E0196D">
        <w:trPr>
          <w:trHeight w:val="283"/>
        </w:trPr>
        <w:tc>
          <w:tcPr>
            <w:tcW w:w="2263" w:type="dxa"/>
            <w:shd w:val="clear" w:color="000000" w:fill="F2F2F2"/>
            <w:noWrap/>
            <w:vAlign w:val="bottom"/>
            <w:hideMark/>
          </w:tcPr>
          <w:p w14:paraId="578C83A7"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Vale of Glamorgan</w:t>
            </w:r>
          </w:p>
        </w:tc>
        <w:tc>
          <w:tcPr>
            <w:tcW w:w="1017" w:type="dxa"/>
            <w:shd w:val="clear" w:color="000000" w:fill="F2F2F2"/>
            <w:noWrap/>
            <w:vAlign w:val="bottom"/>
            <w:hideMark/>
          </w:tcPr>
          <w:p w14:paraId="44A38CDD"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83.4</w:t>
            </w:r>
          </w:p>
        </w:tc>
        <w:tc>
          <w:tcPr>
            <w:tcW w:w="1253" w:type="dxa"/>
            <w:shd w:val="clear" w:color="000000" w:fill="F2F2F2"/>
            <w:noWrap/>
            <w:vAlign w:val="bottom"/>
            <w:hideMark/>
          </w:tcPr>
          <w:p w14:paraId="515FC30A"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78.9</w:t>
            </w:r>
          </w:p>
        </w:tc>
        <w:tc>
          <w:tcPr>
            <w:tcW w:w="1254" w:type="dxa"/>
            <w:gridSpan w:val="2"/>
            <w:shd w:val="clear" w:color="000000" w:fill="F2F2F2"/>
            <w:noWrap/>
            <w:vAlign w:val="bottom"/>
            <w:hideMark/>
          </w:tcPr>
          <w:p w14:paraId="61CA3EC8"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64.2</w:t>
            </w:r>
          </w:p>
        </w:tc>
        <w:tc>
          <w:tcPr>
            <w:tcW w:w="1253" w:type="dxa"/>
            <w:shd w:val="clear" w:color="000000" w:fill="F2F2F2"/>
            <w:noWrap/>
            <w:vAlign w:val="bottom"/>
            <w:hideMark/>
          </w:tcPr>
          <w:p w14:paraId="26D76AEE"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63.1</w:t>
            </w:r>
          </w:p>
        </w:tc>
        <w:tc>
          <w:tcPr>
            <w:tcW w:w="1254" w:type="dxa"/>
            <w:gridSpan w:val="2"/>
            <w:shd w:val="clear" w:color="000000" w:fill="F2F2F2"/>
            <w:noWrap/>
            <w:vAlign w:val="bottom"/>
            <w:hideMark/>
          </w:tcPr>
          <w:p w14:paraId="312DF1FF"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6.0</w:t>
            </w:r>
          </w:p>
        </w:tc>
        <w:tc>
          <w:tcPr>
            <w:tcW w:w="1254" w:type="dxa"/>
            <w:shd w:val="clear" w:color="000000" w:fill="F2F2F2"/>
            <w:noWrap/>
            <w:vAlign w:val="bottom"/>
            <w:hideMark/>
          </w:tcPr>
          <w:p w14:paraId="4AA98CB1"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7.0</w:t>
            </w:r>
          </w:p>
        </w:tc>
      </w:tr>
      <w:tr w:rsidR="00D011D6" w:rsidRPr="00847226" w14:paraId="087C9620" w14:textId="77777777" w:rsidTr="00E0196D">
        <w:trPr>
          <w:trHeight w:val="283"/>
        </w:trPr>
        <w:tc>
          <w:tcPr>
            <w:tcW w:w="2263" w:type="dxa"/>
            <w:shd w:val="clear" w:color="auto" w:fill="auto"/>
            <w:noWrap/>
            <w:vAlign w:val="bottom"/>
            <w:hideMark/>
          </w:tcPr>
          <w:p w14:paraId="10AD9C28"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Cardiff and Vale UHB</w:t>
            </w:r>
          </w:p>
        </w:tc>
        <w:tc>
          <w:tcPr>
            <w:tcW w:w="1017" w:type="dxa"/>
            <w:shd w:val="clear" w:color="auto" w:fill="auto"/>
            <w:noWrap/>
            <w:vAlign w:val="bottom"/>
            <w:hideMark/>
          </w:tcPr>
          <w:p w14:paraId="6F4C7190"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83.0</w:t>
            </w:r>
          </w:p>
        </w:tc>
        <w:tc>
          <w:tcPr>
            <w:tcW w:w="1253" w:type="dxa"/>
            <w:shd w:val="clear" w:color="auto" w:fill="auto"/>
            <w:noWrap/>
            <w:vAlign w:val="bottom"/>
            <w:hideMark/>
          </w:tcPr>
          <w:p w14:paraId="62AD82A4"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78.7</w:t>
            </w:r>
          </w:p>
        </w:tc>
        <w:tc>
          <w:tcPr>
            <w:tcW w:w="1254" w:type="dxa"/>
            <w:gridSpan w:val="2"/>
            <w:shd w:val="clear" w:color="auto" w:fill="auto"/>
            <w:noWrap/>
            <w:vAlign w:val="bottom"/>
            <w:hideMark/>
          </w:tcPr>
          <w:p w14:paraId="3579CBFC"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62.0</w:t>
            </w:r>
          </w:p>
        </w:tc>
        <w:tc>
          <w:tcPr>
            <w:tcW w:w="1253" w:type="dxa"/>
            <w:shd w:val="clear" w:color="auto" w:fill="auto"/>
            <w:noWrap/>
            <w:vAlign w:val="bottom"/>
            <w:hideMark/>
          </w:tcPr>
          <w:p w14:paraId="1C93466F"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61.9</w:t>
            </w:r>
          </w:p>
        </w:tc>
        <w:tc>
          <w:tcPr>
            <w:tcW w:w="1254" w:type="dxa"/>
            <w:gridSpan w:val="2"/>
            <w:shd w:val="clear" w:color="auto" w:fill="auto"/>
            <w:noWrap/>
            <w:vAlign w:val="bottom"/>
            <w:hideMark/>
          </w:tcPr>
          <w:p w14:paraId="5901D987"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6.6</w:t>
            </w:r>
          </w:p>
        </w:tc>
        <w:tc>
          <w:tcPr>
            <w:tcW w:w="1254" w:type="dxa"/>
            <w:shd w:val="clear" w:color="auto" w:fill="auto"/>
            <w:noWrap/>
            <w:vAlign w:val="bottom"/>
            <w:hideMark/>
          </w:tcPr>
          <w:p w14:paraId="3702FBA4"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8.6</w:t>
            </w:r>
          </w:p>
        </w:tc>
      </w:tr>
      <w:tr w:rsidR="00D011D6" w:rsidRPr="00847226" w14:paraId="401DE492" w14:textId="77777777" w:rsidTr="00E0196D">
        <w:trPr>
          <w:trHeight w:val="283"/>
        </w:trPr>
        <w:tc>
          <w:tcPr>
            <w:tcW w:w="2263" w:type="dxa"/>
            <w:shd w:val="clear" w:color="000000" w:fill="F2F2F2"/>
            <w:noWrap/>
            <w:vAlign w:val="bottom"/>
            <w:hideMark/>
          </w:tcPr>
          <w:p w14:paraId="2E981168"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Wales</w:t>
            </w:r>
          </w:p>
        </w:tc>
        <w:tc>
          <w:tcPr>
            <w:tcW w:w="1017" w:type="dxa"/>
            <w:shd w:val="clear" w:color="000000" w:fill="F2F2F2"/>
            <w:noWrap/>
            <w:vAlign w:val="bottom"/>
            <w:hideMark/>
          </w:tcPr>
          <w:p w14:paraId="1AE09D13"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82.3</w:t>
            </w:r>
          </w:p>
        </w:tc>
        <w:tc>
          <w:tcPr>
            <w:tcW w:w="1253" w:type="dxa"/>
            <w:shd w:val="clear" w:color="000000" w:fill="F2F2F2"/>
            <w:noWrap/>
            <w:vAlign w:val="bottom"/>
            <w:hideMark/>
          </w:tcPr>
          <w:p w14:paraId="35F690A9"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78.3</w:t>
            </w:r>
          </w:p>
        </w:tc>
        <w:tc>
          <w:tcPr>
            <w:tcW w:w="1254" w:type="dxa"/>
            <w:gridSpan w:val="2"/>
            <w:shd w:val="clear" w:color="000000" w:fill="F2F2F2"/>
            <w:noWrap/>
            <w:vAlign w:val="bottom"/>
            <w:hideMark/>
          </w:tcPr>
          <w:p w14:paraId="4F18640F"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62.0</w:t>
            </w:r>
          </w:p>
        </w:tc>
        <w:tc>
          <w:tcPr>
            <w:tcW w:w="1253" w:type="dxa"/>
            <w:shd w:val="clear" w:color="000000" w:fill="F2F2F2"/>
            <w:noWrap/>
            <w:vAlign w:val="bottom"/>
            <w:hideMark/>
          </w:tcPr>
          <w:p w14:paraId="75C363EB"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61.4</w:t>
            </w:r>
          </w:p>
        </w:tc>
        <w:tc>
          <w:tcPr>
            <w:tcW w:w="1254" w:type="dxa"/>
            <w:gridSpan w:val="2"/>
            <w:shd w:val="clear" w:color="000000" w:fill="F2F2F2"/>
            <w:noWrap/>
            <w:vAlign w:val="bottom"/>
            <w:hideMark/>
          </w:tcPr>
          <w:p w14:paraId="63DD31B8"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6.1</w:t>
            </w:r>
          </w:p>
        </w:tc>
        <w:tc>
          <w:tcPr>
            <w:tcW w:w="1254" w:type="dxa"/>
            <w:shd w:val="clear" w:color="000000" w:fill="F2F2F2"/>
            <w:noWrap/>
            <w:vAlign w:val="bottom"/>
            <w:hideMark/>
          </w:tcPr>
          <w:p w14:paraId="37C949B8" w14:textId="77777777" w:rsidR="00D011D6" w:rsidRPr="0011115F" w:rsidRDefault="00D011D6" w:rsidP="00DC54F7">
            <w:pPr>
              <w:spacing w:after="0" w:line="240" w:lineRule="auto"/>
              <w:jc w:val="both"/>
              <w:rPr>
                <w:rFonts w:eastAsia="Times New Roman" w:cstheme="minorHAnsi"/>
                <w:color w:val="000000"/>
                <w:lang w:eastAsia="en-GB"/>
              </w:rPr>
            </w:pPr>
            <w:r w:rsidRPr="0011115F">
              <w:rPr>
                <w:rFonts w:eastAsia="Times New Roman" w:cstheme="minorHAnsi"/>
                <w:color w:val="000000"/>
                <w:lang w:eastAsia="en-GB"/>
              </w:rPr>
              <w:t>7.4</w:t>
            </w:r>
          </w:p>
        </w:tc>
      </w:tr>
    </w:tbl>
    <w:p w14:paraId="55D68EE1" w14:textId="77777777" w:rsidR="00D011D6" w:rsidRPr="0011115F" w:rsidRDefault="00D011D6" w:rsidP="00DC54F7">
      <w:pPr>
        <w:spacing w:after="0" w:line="240" w:lineRule="auto"/>
        <w:jc w:val="both"/>
        <w:rPr>
          <w:rFonts w:ascii="Arial" w:hAnsi="Arial" w:cs="Arial"/>
          <w:sz w:val="20"/>
          <w:szCs w:val="20"/>
        </w:rPr>
      </w:pPr>
      <w:r w:rsidRPr="0011115F">
        <w:rPr>
          <w:rFonts w:ascii="Arial" w:hAnsi="Arial" w:cs="Arial"/>
          <w:sz w:val="20"/>
          <w:szCs w:val="20"/>
        </w:rPr>
        <w:t>Source: Public Health Wales Observatory PHOF Tool (2017) using ONS and WG data</w:t>
      </w:r>
    </w:p>
    <w:p w14:paraId="23341F6A" w14:textId="4B41A4B2" w:rsidR="00D011D6" w:rsidRDefault="00D011D6" w:rsidP="00DC54F7">
      <w:pPr>
        <w:spacing w:after="0" w:line="240" w:lineRule="auto"/>
        <w:jc w:val="both"/>
        <w:rPr>
          <w:rFonts w:ascii="Arial" w:hAnsi="Arial" w:cs="Arial"/>
        </w:rPr>
      </w:pPr>
    </w:p>
    <w:p w14:paraId="30581F00" w14:textId="77777777" w:rsidR="005C6BB3" w:rsidRDefault="005C6BB3" w:rsidP="00DC54F7">
      <w:pPr>
        <w:spacing w:after="0" w:line="240" w:lineRule="auto"/>
        <w:jc w:val="both"/>
        <w:rPr>
          <w:rFonts w:ascii="Arial" w:hAnsi="Arial" w:cs="Arial"/>
        </w:rPr>
      </w:pPr>
    </w:p>
    <w:p w14:paraId="21A5D889" w14:textId="270B6974" w:rsidR="00D011D6" w:rsidRPr="0011115F" w:rsidRDefault="0011115F" w:rsidP="00DC54F7">
      <w:pPr>
        <w:spacing w:after="0" w:line="240" w:lineRule="auto"/>
        <w:jc w:val="both"/>
        <w:rPr>
          <w:rFonts w:ascii="Arial" w:hAnsi="Arial" w:cs="Arial"/>
          <w:b/>
          <w:bCs/>
          <w:sz w:val="24"/>
          <w:szCs w:val="24"/>
        </w:rPr>
      </w:pPr>
      <w:r>
        <w:rPr>
          <w:rFonts w:ascii="Arial" w:hAnsi="Arial" w:cs="Arial"/>
          <w:b/>
          <w:bCs/>
          <w:sz w:val="24"/>
          <w:szCs w:val="24"/>
        </w:rPr>
        <w:t xml:space="preserve">16.1.3 </w:t>
      </w:r>
      <w:r w:rsidR="00D011D6" w:rsidRPr="0011115F">
        <w:rPr>
          <w:rFonts w:ascii="Arial" w:hAnsi="Arial" w:cs="Arial"/>
          <w:b/>
          <w:bCs/>
          <w:sz w:val="24"/>
          <w:szCs w:val="24"/>
        </w:rPr>
        <w:t>Deprivation</w:t>
      </w:r>
    </w:p>
    <w:p w14:paraId="7270CDFE" w14:textId="77777777" w:rsidR="00D011D6" w:rsidRPr="0011115F" w:rsidRDefault="00D011D6" w:rsidP="00DC54F7">
      <w:pPr>
        <w:spacing w:after="0" w:line="240" w:lineRule="auto"/>
        <w:jc w:val="both"/>
        <w:rPr>
          <w:rFonts w:ascii="Arial" w:hAnsi="Arial" w:cs="Arial"/>
          <w:sz w:val="24"/>
          <w:szCs w:val="24"/>
        </w:rPr>
      </w:pPr>
    </w:p>
    <w:p w14:paraId="6C9B7B63" w14:textId="77777777" w:rsidR="00D011D6" w:rsidRPr="0011115F" w:rsidRDefault="00D011D6" w:rsidP="00DC54F7">
      <w:pPr>
        <w:spacing w:after="0" w:line="240" w:lineRule="auto"/>
        <w:jc w:val="both"/>
        <w:rPr>
          <w:rFonts w:ascii="Arial" w:hAnsi="Arial" w:cs="Arial"/>
          <w:sz w:val="24"/>
          <w:szCs w:val="24"/>
        </w:rPr>
      </w:pPr>
      <w:r w:rsidRPr="0011115F">
        <w:rPr>
          <w:rFonts w:ascii="Arial" w:hAnsi="Arial" w:cs="Arial"/>
          <w:sz w:val="24"/>
          <w:szCs w:val="24"/>
        </w:rPr>
        <w:t xml:space="preserve">Deprivation is the lack of access to opportunities and resources which might be expected in society. The Welsh Index of Multiple Deprivation (WIMD) allows for the ranking of small areas, called Lower layer Super Output Areas (LSOAs) in Wales to determine whether an area is more or less deprived compared to all other small areas in Wales.  </w:t>
      </w:r>
    </w:p>
    <w:p w14:paraId="23D97762" w14:textId="77777777" w:rsidR="00D011D6" w:rsidRPr="0011115F" w:rsidRDefault="00D011D6" w:rsidP="00DC54F7">
      <w:pPr>
        <w:spacing w:after="0" w:line="240" w:lineRule="auto"/>
        <w:jc w:val="both"/>
        <w:rPr>
          <w:rFonts w:ascii="Arial" w:hAnsi="Arial" w:cs="Arial"/>
          <w:sz w:val="24"/>
          <w:szCs w:val="24"/>
        </w:rPr>
      </w:pPr>
    </w:p>
    <w:p w14:paraId="68C5AC29" w14:textId="53A8AF8C" w:rsidR="00D011D6" w:rsidRPr="0011115F" w:rsidRDefault="00D011D6" w:rsidP="00DC54F7">
      <w:pPr>
        <w:spacing w:after="0" w:line="240" w:lineRule="auto"/>
        <w:jc w:val="both"/>
        <w:rPr>
          <w:rFonts w:ascii="Arial" w:hAnsi="Arial" w:cs="Arial"/>
          <w:sz w:val="24"/>
          <w:szCs w:val="24"/>
        </w:rPr>
      </w:pPr>
      <w:r w:rsidRPr="0011115F">
        <w:rPr>
          <w:rFonts w:ascii="Arial" w:hAnsi="Arial" w:cs="Arial"/>
          <w:sz w:val="24"/>
          <w:szCs w:val="24"/>
        </w:rPr>
        <w:t xml:space="preserve">Overall, the Vale of Glamorgan (13%) has a lower percentage of LSOAs in the most deprived 10% and 20% of LSOAs in Wales relative to Cardiff and Vale University Health Board (24%). When considering the domains for </w:t>
      </w:r>
      <w:r w:rsidR="001A092A" w:rsidRPr="0011115F">
        <w:rPr>
          <w:rFonts w:ascii="Arial" w:hAnsi="Arial" w:cs="Arial"/>
          <w:sz w:val="24"/>
          <w:szCs w:val="24"/>
        </w:rPr>
        <w:t xml:space="preserve">income, </w:t>
      </w:r>
      <w:r w:rsidR="00712F07">
        <w:rPr>
          <w:rFonts w:ascii="Arial" w:hAnsi="Arial" w:cs="Arial"/>
          <w:sz w:val="24"/>
          <w:szCs w:val="24"/>
        </w:rPr>
        <w:t xml:space="preserve">health and </w:t>
      </w:r>
      <w:r w:rsidR="001A092A" w:rsidRPr="0011115F">
        <w:rPr>
          <w:rFonts w:ascii="Arial" w:hAnsi="Arial" w:cs="Arial"/>
          <w:sz w:val="24"/>
          <w:szCs w:val="24"/>
        </w:rPr>
        <w:t>employment</w:t>
      </w:r>
      <w:r w:rsidR="00712F07">
        <w:rPr>
          <w:rFonts w:ascii="Arial" w:hAnsi="Arial" w:cs="Arial"/>
          <w:sz w:val="24"/>
          <w:szCs w:val="24"/>
        </w:rPr>
        <w:t xml:space="preserve"> </w:t>
      </w:r>
      <w:r w:rsidR="00E71E73" w:rsidRPr="0011115F">
        <w:rPr>
          <w:rFonts w:ascii="Arial" w:hAnsi="Arial" w:cs="Arial"/>
          <w:sz w:val="24"/>
          <w:szCs w:val="24"/>
        </w:rPr>
        <w:t xml:space="preserve">at the cluster level, Western Vale cluster has none of its LSOAs in the </w:t>
      </w:r>
      <w:r w:rsidR="00CE5589" w:rsidRPr="0011115F">
        <w:rPr>
          <w:rFonts w:ascii="Arial" w:hAnsi="Arial" w:cs="Arial"/>
          <w:sz w:val="24"/>
          <w:szCs w:val="24"/>
        </w:rPr>
        <w:t xml:space="preserve">most deprived 10% and 20% of LSOAs in Wales. When </w:t>
      </w:r>
      <w:r w:rsidR="00EB4B98" w:rsidRPr="0011115F">
        <w:rPr>
          <w:rFonts w:ascii="Arial" w:hAnsi="Arial" w:cs="Arial"/>
          <w:sz w:val="24"/>
          <w:szCs w:val="24"/>
        </w:rPr>
        <w:t xml:space="preserve">considering </w:t>
      </w:r>
      <w:r w:rsidR="00704735" w:rsidRPr="0011115F">
        <w:rPr>
          <w:rFonts w:ascii="Arial" w:hAnsi="Arial" w:cs="Arial"/>
          <w:sz w:val="24"/>
          <w:szCs w:val="24"/>
        </w:rPr>
        <w:t xml:space="preserve">the domain for </w:t>
      </w:r>
      <w:r w:rsidRPr="0011115F">
        <w:rPr>
          <w:rFonts w:ascii="Arial" w:hAnsi="Arial" w:cs="Arial"/>
          <w:sz w:val="24"/>
          <w:szCs w:val="24"/>
        </w:rPr>
        <w:t xml:space="preserve">access to services at the cluster level, </w:t>
      </w:r>
      <w:r w:rsidR="000D7C8E" w:rsidRPr="0011115F">
        <w:rPr>
          <w:rFonts w:ascii="Arial" w:hAnsi="Arial" w:cs="Arial"/>
          <w:sz w:val="24"/>
          <w:szCs w:val="24"/>
        </w:rPr>
        <w:t xml:space="preserve">all the LSOAs in </w:t>
      </w:r>
      <w:r w:rsidR="00A27D7D" w:rsidRPr="0011115F">
        <w:rPr>
          <w:rFonts w:ascii="Arial" w:hAnsi="Arial" w:cs="Arial"/>
          <w:sz w:val="24"/>
          <w:szCs w:val="24"/>
        </w:rPr>
        <w:t xml:space="preserve">the Vale of Glamorgan </w:t>
      </w:r>
      <w:r w:rsidRPr="0011115F">
        <w:rPr>
          <w:rFonts w:ascii="Arial" w:hAnsi="Arial" w:cs="Arial"/>
          <w:sz w:val="24"/>
          <w:szCs w:val="24"/>
        </w:rPr>
        <w:t>in the most deprived 10% and 20% of LSOAs in Wales</w:t>
      </w:r>
      <w:r w:rsidR="00E23878" w:rsidRPr="0011115F">
        <w:rPr>
          <w:rFonts w:ascii="Arial" w:hAnsi="Arial" w:cs="Arial"/>
          <w:sz w:val="24"/>
          <w:szCs w:val="24"/>
        </w:rPr>
        <w:t xml:space="preserve"> </w:t>
      </w:r>
      <w:r w:rsidR="00A27D7D" w:rsidRPr="0011115F">
        <w:rPr>
          <w:rFonts w:ascii="Arial" w:hAnsi="Arial" w:cs="Arial"/>
          <w:sz w:val="24"/>
          <w:szCs w:val="24"/>
        </w:rPr>
        <w:t>are within Western Vale cluster</w:t>
      </w:r>
      <w:r w:rsidR="00B8075A" w:rsidRPr="0011115F">
        <w:rPr>
          <w:rFonts w:ascii="Arial" w:hAnsi="Arial" w:cs="Arial"/>
          <w:sz w:val="24"/>
          <w:szCs w:val="24"/>
        </w:rPr>
        <w:t xml:space="preserve"> and </w:t>
      </w:r>
      <w:r w:rsidR="00E54A0E" w:rsidRPr="0011115F">
        <w:rPr>
          <w:rFonts w:ascii="Arial" w:hAnsi="Arial" w:cs="Arial"/>
          <w:sz w:val="24"/>
          <w:szCs w:val="24"/>
        </w:rPr>
        <w:t xml:space="preserve">can be found around </w:t>
      </w:r>
      <w:r w:rsidR="008E7CE4" w:rsidRPr="0011115F">
        <w:rPr>
          <w:rFonts w:ascii="Arial" w:hAnsi="Arial" w:cs="Arial"/>
          <w:sz w:val="24"/>
          <w:szCs w:val="24"/>
        </w:rPr>
        <w:t>Cowbridge, Wales St Donats</w:t>
      </w:r>
      <w:r w:rsidR="000A0C23" w:rsidRPr="0011115F">
        <w:rPr>
          <w:rFonts w:ascii="Arial" w:hAnsi="Arial" w:cs="Arial"/>
          <w:sz w:val="24"/>
          <w:szCs w:val="24"/>
        </w:rPr>
        <w:t>, Rhoose</w:t>
      </w:r>
      <w:r w:rsidR="008E7CE4" w:rsidRPr="0011115F">
        <w:rPr>
          <w:rFonts w:ascii="Arial" w:hAnsi="Arial" w:cs="Arial"/>
          <w:sz w:val="24"/>
          <w:szCs w:val="24"/>
        </w:rPr>
        <w:t xml:space="preserve"> and Ogmore by Sea. </w:t>
      </w:r>
      <w:r w:rsidR="00A109F7" w:rsidRPr="0011115F">
        <w:rPr>
          <w:rFonts w:ascii="Arial" w:hAnsi="Arial" w:cs="Arial"/>
          <w:sz w:val="24"/>
          <w:szCs w:val="24"/>
        </w:rPr>
        <w:t xml:space="preserve">Overall, Western Vale </w:t>
      </w:r>
      <w:r w:rsidR="003A5DF6" w:rsidRPr="0011115F">
        <w:rPr>
          <w:rFonts w:ascii="Arial" w:hAnsi="Arial" w:cs="Arial"/>
          <w:sz w:val="24"/>
          <w:szCs w:val="24"/>
        </w:rPr>
        <w:t xml:space="preserve">is </w:t>
      </w:r>
      <w:r w:rsidRPr="0011115F">
        <w:rPr>
          <w:rFonts w:ascii="Arial" w:hAnsi="Arial" w:cs="Arial"/>
          <w:sz w:val="24"/>
          <w:szCs w:val="24"/>
        </w:rPr>
        <w:t xml:space="preserve">one of the least deprived areas in the </w:t>
      </w:r>
      <w:r w:rsidR="008E7CE4" w:rsidRPr="0011115F">
        <w:rPr>
          <w:rFonts w:ascii="Arial" w:hAnsi="Arial" w:cs="Arial"/>
          <w:sz w:val="24"/>
          <w:szCs w:val="24"/>
        </w:rPr>
        <w:t>Vale of Glamorg</w:t>
      </w:r>
      <w:r w:rsidR="00855E39" w:rsidRPr="0011115F">
        <w:rPr>
          <w:rFonts w:ascii="Arial" w:hAnsi="Arial" w:cs="Arial"/>
          <w:sz w:val="24"/>
          <w:szCs w:val="24"/>
        </w:rPr>
        <w:t xml:space="preserve">an, </w:t>
      </w:r>
      <w:r w:rsidRPr="0011115F">
        <w:rPr>
          <w:rFonts w:ascii="Arial" w:hAnsi="Arial" w:cs="Arial"/>
          <w:sz w:val="24"/>
          <w:szCs w:val="24"/>
        </w:rPr>
        <w:t>health board</w:t>
      </w:r>
      <w:r w:rsidR="00855E39" w:rsidRPr="0011115F">
        <w:rPr>
          <w:rFonts w:ascii="Arial" w:hAnsi="Arial" w:cs="Arial"/>
          <w:sz w:val="24"/>
          <w:szCs w:val="24"/>
        </w:rPr>
        <w:t xml:space="preserve"> and Wales.</w:t>
      </w:r>
    </w:p>
    <w:p w14:paraId="468172BB" w14:textId="6F1B52FC" w:rsidR="001A092A" w:rsidRPr="0011115F" w:rsidRDefault="001A092A" w:rsidP="00DC54F7">
      <w:pPr>
        <w:spacing w:after="0" w:line="240" w:lineRule="auto"/>
        <w:jc w:val="both"/>
        <w:rPr>
          <w:rFonts w:ascii="Arial" w:hAnsi="Arial" w:cs="Arial"/>
          <w:sz w:val="24"/>
          <w:szCs w:val="24"/>
        </w:rPr>
      </w:pPr>
    </w:p>
    <w:p w14:paraId="4F543205" w14:textId="63D3D077" w:rsidR="00D011D6" w:rsidRDefault="00D011D6" w:rsidP="00DC54F7">
      <w:pPr>
        <w:spacing w:after="0" w:line="240" w:lineRule="auto"/>
        <w:contextualSpacing/>
        <w:jc w:val="both"/>
        <w:rPr>
          <w:rFonts w:ascii="Arial" w:hAnsi="Arial" w:cs="Arial"/>
          <w:b/>
          <w:bCs/>
          <w:sz w:val="24"/>
          <w:szCs w:val="24"/>
        </w:rPr>
      </w:pPr>
      <w:r w:rsidRPr="0011115F">
        <w:rPr>
          <w:rFonts w:ascii="Arial" w:hAnsi="Arial" w:cs="Arial"/>
          <w:b/>
          <w:bCs/>
          <w:sz w:val="24"/>
          <w:szCs w:val="24"/>
        </w:rPr>
        <w:t xml:space="preserve">Table 16.2: Number of LSOAs within the 10% and 20% most deprived LSOAs in Wales by cluster, local authority and health board for the domains of income, </w:t>
      </w:r>
      <w:r w:rsidR="00712F07">
        <w:rPr>
          <w:rFonts w:ascii="Arial" w:hAnsi="Arial" w:cs="Arial"/>
          <w:b/>
          <w:bCs/>
          <w:sz w:val="24"/>
          <w:szCs w:val="24"/>
        </w:rPr>
        <w:t xml:space="preserve">health, </w:t>
      </w:r>
      <w:r w:rsidRPr="0011115F">
        <w:rPr>
          <w:rFonts w:ascii="Arial" w:hAnsi="Arial" w:cs="Arial"/>
          <w:b/>
          <w:bCs/>
          <w:sz w:val="24"/>
          <w:szCs w:val="24"/>
        </w:rPr>
        <w:t>employment</w:t>
      </w:r>
      <w:r w:rsidR="00712F07">
        <w:rPr>
          <w:rFonts w:ascii="Arial" w:hAnsi="Arial" w:cs="Arial"/>
          <w:b/>
          <w:bCs/>
          <w:sz w:val="24"/>
          <w:szCs w:val="24"/>
        </w:rPr>
        <w:t xml:space="preserve"> </w:t>
      </w:r>
      <w:r w:rsidRPr="0011115F">
        <w:rPr>
          <w:rFonts w:ascii="Arial" w:hAnsi="Arial" w:cs="Arial"/>
          <w:b/>
          <w:bCs/>
          <w:sz w:val="24"/>
          <w:szCs w:val="24"/>
        </w:rPr>
        <w:t>and access to services, Welsh Index of Multiple Deprivation 2019</w:t>
      </w:r>
    </w:p>
    <w:tbl>
      <w:tblPr>
        <w:tblW w:w="925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309"/>
        <w:gridCol w:w="867"/>
        <w:gridCol w:w="869"/>
        <w:gridCol w:w="867"/>
        <w:gridCol w:w="869"/>
        <w:gridCol w:w="867"/>
        <w:gridCol w:w="869"/>
        <w:gridCol w:w="867"/>
        <w:gridCol w:w="869"/>
      </w:tblGrid>
      <w:tr w:rsidR="00E13389" w:rsidRPr="00E13389" w14:paraId="75D49D79" w14:textId="77777777" w:rsidTr="00E13389">
        <w:trPr>
          <w:trHeight w:val="284"/>
        </w:trPr>
        <w:tc>
          <w:tcPr>
            <w:tcW w:w="2309" w:type="dxa"/>
            <w:shd w:val="clear" w:color="000000" w:fill="8497B0"/>
            <w:noWrap/>
            <w:vAlign w:val="bottom"/>
            <w:hideMark/>
          </w:tcPr>
          <w:p w14:paraId="64081B2A"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 </w:t>
            </w:r>
          </w:p>
        </w:tc>
        <w:tc>
          <w:tcPr>
            <w:tcW w:w="6944" w:type="dxa"/>
            <w:gridSpan w:val="8"/>
            <w:shd w:val="clear" w:color="000000" w:fill="8497B0"/>
            <w:noWrap/>
            <w:vAlign w:val="bottom"/>
            <w:hideMark/>
          </w:tcPr>
          <w:p w14:paraId="26070196" w14:textId="6C39A54E" w:rsidR="00E13389" w:rsidRPr="00E13389" w:rsidRDefault="00E13389" w:rsidP="00DC54F7">
            <w:pPr>
              <w:spacing w:after="0" w:line="240" w:lineRule="auto"/>
              <w:jc w:val="both"/>
              <w:rPr>
                <w:rFonts w:eastAsia="Times New Roman" w:cstheme="minorHAnsi"/>
                <w:b/>
                <w:bCs/>
                <w:color w:val="FFFFFF"/>
                <w:lang w:eastAsia="en-GB"/>
              </w:rPr>
            </w:pPr>
            <w:r w:rsidRPr="00E13389">
              <w:rPr>
                <w:rFonts w:eastAsia="Times New Roman" w:cstheme="minorHAnsi"/>
                <w:b/>
                <w:bCs/>
                <w:color w:val="FFFFFF"/>
                <w:lang w:eastAsia="en-GB"/>
              </w:rPr>
              <w:t>Number of LSOAs within the 10% and 20% most deprived LSOAs in Wales</w:t>
            </w:r>
          </w:p>
        </w:tc>
      </w:tr>
      <w:tr w:rsidR="00E13389" w:rsidRPr="00E13389" w14:paraId="7C48A82F" w14:textId="77777777" w:rsidTr="00E13389">
        <w:trPr>
          <w:trHeight w:val="284"/>
        </w:trPr>
        <w:tc>
          <w:tcPr>
            <w:tcW w:w="2309" w:type="dxa"/>
            <w:shd w:val="clear" w:color="000000" w:fill="8497B0"/>
            <w:noWrap/>
            <w:vAlign w:val="bottom"/>
            <w:hideMark/>
          </w:tcPr>
          <w:p w14:paraId="78AA1DD2"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 </w:t>
            </w:r>
          </w:p>
        </w:tc>
        <w:tc>
          <w:tcPr>
            <w:tcW w:w="1736" w:type="dxa"/>
            <w:gridSpan w:val="2"/>
            <w:shd w:val="clear" w:color="000000" w:fill="8497B0"/>
            <w:noWrap/>
            <w:vAlign w:val="bottom"/>
            <w:hideMark/>
          </w:tcPr>
          <w:p w14:paraId="3146ECAA" w14:textId="77777777" w:rsidR="00E13389" w:rsidRPr="00E13389" w:rsidRDefault="00E13389" w:rsidP="00DC54F7">
            <w:pPr>
              <w:spacing w:after="0" w:line="240" w:lineRule="auto"/>
              <w:jc w:val="both"/>
              <w:rPr>
                <w:rFonts w:eastAsia="Times New Roman" w:cstheme="minorHAnsi"/>
                <w:b/>
                <w:bCs/>
                <w:color w:val="FFFFFF"/>
                <w:lang w:eastAsia="en-GB"/>
              </w:rPr>
            </w:pPr>
            <w:r w:rsidRPr="00E13389">
              <w:rPr>
                <w:rFonts w:eastAsia="Times New Roman" w:cstheme="minorHAnsi"/>
                <w:b/>
                <w:bCs/>
                <w:color w:val="FFFFFF"/>
                <w:lang w:eastAsia="en-GB"/>
              </w:rPr>
              <w:t>Income</w:t>
            </w:r>
          </w:p>
        </w:tc>
        <w:tc>
          <w:tcPr>
            <w:tcW w:w="1736" w:type="dxa"/>
            <w:gridSpan w:val="2"/>
            <w:shd w:val="clear" w:color="000000" w:fill="8497B0"/>
            <w:noWrap/>
            <w:vAlign w:val="bottom"/>
            <w:hideMark/>
          </w:tcPr>
          <w:p w14:paraId="08F1F47A" w14:textId="77777777" w:rsidR="00E13389" w:rsidRPr="00E13389" w:rsidRDefault="00E13389" w:rsidP="00DC54F7">
            <w:pPr>
              <w:spacing w:after="0" w:line="240" w:lineRule="auto"/>
              <w:jc w:val="both"/>
              <w:rPr>
                <w:rFonts w:eastAsia="Times New Roman" w:cstheme="minorHAnsi"/>
                <w:b/>
                <w:bCs/>
                <w:color w:val="FFFFFF"/>
                <w:lang w:eastAsia="en-GB"/>
              </w:rPr>
            </w:pPr>
            <w:r w:rsidRPr="00E13389">
              <w:rPr>
                <w:rFonts w:eastAsia="Times New Roman" w:cstheme="minorHAnsi"/>
                <w:b/>
                <w:bCs/>
                <w:color w:val="FFFFFF"/>
                <w:lang w:eastAsia="en-GB"/>
              </w:rPr>
              <w:t>Health</w:t>
            </w:r>
          </w:p>
        </w:tc>
        <w:tc>
          <w:tcPr>
            <w:tcW w:w="1736" w:type="dxa"/>
            <w:gridSpan w:val="2"/>
            <w:shd w:val="clear" w:color="000000" w:fill="8497B0"/>
            <w:noWrap/>
            <w:vAlign w:val="bottom"/>
            <w:hideMark/>
          </w:tcPr>
          <w:p w14:paraId="453CA112" w14:textId="77777777" w:rsidR="00E13389" w:rsidRPr="00E13389" w:rsidRDefault="00E13389" w:rsidP="00DC54F7">
            <w:pPr>
              <w:spacing w:after="0" w:line="240" w:lineRule="auto"/>
              <w:jc w:val="both"/>
              <w:rPr>
                <w:rFonts w:eastAsia="Times New Roman" w:cstheme="minorHAnsi"/>
                <w:b/>
                <w:bCs/>
                <w:color w:val="FFFFFF"/>
                <w:lang w:eastAsia="en-GB"/>
              </w:rPr>
            </w:pPr>
            <w:r w:rsidRPr="00E13389">
              <w:rPr>
                <w:rFonts w:eastAsia="Times New Roman" w:cstheme="minorHAnsi"/>
                <w:b/>
                <w:bCs/>
                <w:color w:val="FFFFFF"/>
                <w:lang w:eastAsia="en-GB"/>
              </w:rPr>
              <w:t>Employment</w:t>
            </w:r>
          </w:p>
        </w:tc>
        <w:tc>
          <w:tcPr>
            <w:tcW w:w="1736" w:type="dxa"/>
            <w:gridSpan w:val="2"/>
            <w:shd w:val="clear" w:color="000000" w:fill="8497B0"/>
            <w:noWrap/>
            <w:vAlign w:val="bottom"/>
            <w:hideMark/>
          </w:tcPr>
          <w:p w14:paraId="41FC0495" w14:textId="77777777" w:rsidR="00E13389" w:rsidRPr="00E13389" w:rsidRDefault="00E13389" w:rsidP="00DC54F7">
            <w:pPr>
              <w:spacing w:after="0" w:line="240" w:lineRule="auto"/>
              <w:jc w:val="both"/>
              <w:rPr>
                <w:rFonts w:eastAsia="Times New Roman" w:cstheme="minorHAnsi"/>
                <w:b/>
                <w:bCs/>
                <w:color w:val="FFFFFF"/>
                <w:lang w:eastAsia="en-GB"/>
              </w:rPr>
            </w:pPr>
            <w:r w:rsidRPr="00E13389">
              <w:rPr>
                <w:rFonts w:eastAsia="Times New Roman" w:cstheme="minorHAnsi"/>
                <w:b/>
                <w:bCs/>
                <w:color w:val="FFFFFF"/>
                <w:lang w:eastAsia="en-GB"/>
              </w:rPr>
              <w:t>Access to services</w:t>
            </w:r>
          </w:p>
        </w:tc>
      </w:tr>
      <w:tr w:rsidR="00E13389" w:rsidRPr="00E13389" w14:paraId="096EE2DE" w14:textId="77777777" w:rsidTr="00E13389">
        <w:trPr>
          <w:trHeight w:val="284"/>
        </w:trPr>
        <w:tc>
          <w:tcPr>
            <w:tcW w:w="2309" w:type="dxa"/>
            <w:shd w:val="clear" w:color="000000" w:fill="8497B0"/>
            <w:noWrap/>
            <w:vAlign w:val="bottom"/>
            <w:hideMark/>
          </w:tcPr>
          <w:p w14:paraId="0A690E09"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 </w:t>
            </w:r>
          </w:p>
        </w:tc>
        <w:tc>
          <w:tcPr>
            <w:tcW w:w="867" w:type="dxa"/>
            <w:shd w:val="clear" w:color="000000" w:fill="8497B0"/>
            <w:vAlign w:val="center"/>
            <w:hideMark/>
          </w:tcPr>
          <w:p w14:paraId="7B4C2597" w14:textId="77777777" w:rsidR="00E13389" w:rsidRPr="00E13389" w:rsidRDefault="00E13389" w:rsidP="00DC54F7">
            <w:pPr>
              <w:spacing w:after="0" w:line="240" w:lineRule="auto"/>
              <w:jc w:val="both"/>
              <w:rPr>
                <w:rFonts w:eastAsia="Times New Roman" w:cstheme="minorHAnsi"/>
                <w:b/>
                <w:bCs/>
                <w:color w:val="FFFFFF"/>
                <w:lang w:eastAsia="en-GB"/>
              </w:rPr>
            </w:pPr>
            <w:r w:rsidRPr="00E13389">
              <w:rPr>
                <w:rFonts w:eastAsia="Times New Roman" w:cstheme="minorHAnsi"/>
                <w:b/>
                <w:bCs/>
                <w:color w:val="FFFFFF"/>
                <w:lang w:eastAsia="en-GB"/>
              </w:rPr>
              <w:t>10%</w:t>
            </w:r>
          </w:p>
        </w:tc>
        <w:tc>
          <w:tcPr>
            <w:tcW w:w="868" w:type="dxa"/>
            <w:shd w:val="clear" w:color="000000" w:fill="8497B0"/>
            <w:vAlign w:val="center"/>
            <w:hideMark/>
          </w:tcPr>
          <w:p w14:paraId="334B0625" w14:textId="77777777" w:rsidR="00E13389" w:rsidRPr="00E13389" w:rsidRDefault="00E13389" w:rsidP="00DC54F7">
            <w:pPr>
              <w:spacing w:after="0" w:line="240" w:lineRule="auto"/>
              <w:jc w:val="both"/>
              <w:rPr>
                <w:rFonts w:eastAsia="Times New Roman" w:cstheme="minorHAnsi"/>
                <w:b/>
                <w:bCs/>
                <w:color w:val="FFFFFF"/>
                <w:lang w:eastAsia="en-GB"/>
              </w:rPr>
            </w:pPr>
            <w:r w:rsidRPr="00E13389">
              <w:rPr>
                <w:rFonts w:eastAsia="Times New Roman" w:cstheme="minorHAnsi"/>
                <w:b/>
                <w:bCs/>
                <w:color w:val="FFFFFF"/>
                <w:lang w:eastAsia="en-GB"/>
              </w:rPr>
              <w:t>20%</w:t>
            </w:r>
          </w:p>
        </w:tc>
        <w:tc>
          <w:tcPr>
            <w:tcW w:w="867" w:type="dxa"/>
            <w:shd w:val="clear" w:color="000000" w:fill="8497B0"/>
            <w:vAlign w:val="center"/>
            <w:hideMark/>
          </w:tcPr>
          <w:p w14:paraId="60378FAF" w14:textId="77777777" w:rsidR="00E13389" w:rsidRPr="00E13389" w:rsidRDefault="00E13389" w:rsidP="00DC54F7">
            <w:pPr>
              <w:spacing w:after="0" w:line="240" w:lineRule="auto"/>
              <w:jc w:val="both"/>
              <w:rPr>
                <w:rFonts w:eastAsia="Times New Roman" w:cstheme="minorHAnsi"/>
                <w:b/>
                <w:bCs/>
                <w:color w:val="FFFFFF"/>
                <w:lang w:eastAsia="en-GB"/>
              </w:rPr>
            </w:pPr>
            <w:r w:rsidRPr="00E13389">
              <w:rPr>
                <w:rFonts w:eastAsia="Times New Roman" w:cstheme="minorHAnsi"/>
                <w:b/>
                <w:bCs/>
                <w:color w:val="FFFFFF"/>
                <w:lang w:eastAsia="en-GB"/>
              </w:rPr>
              <w:t>10%</w:t>
            </w:r>
          </w:p>
        </w:tc>
        <w:tc>
          <w:tcPr>
            <w:tcW w:w="868" w:type="dxa"/>
            <w:shd w:val="clear" w:color="000000" w:fill="8497B0"/>
            <w:vAlign w:val="center"/>
            <w:hideMark/>
          </w:tcPr>
          <w:p w14:paraId="4E900909" w14:textId="77777777" w:rsidR="00E13389" w:rsidRPr="00E13389" w:rsidRDefault="00E13389" w:rsidP="00DC54F7">
            <w:pPr>
              <w:spacing w:after="0" w:line="240" w:lineRule="auto"/>
              <w:jc w:val="both"/>
              <w:rPr>
                <w:rFonts w:eastAsia="Times New Roman" w:cstheme="minorHAnsi"/>
                <w:b/>
                <w:bCs/>
                <w:color w:val="FFFFFF"/>
                <w:lang w:eastAsia="en-GB"/>
              </w:rPr>
            </w:pPr>
            <w:r w:rsidRPr="00E13389">
              <w:rPr>
                <w:rFonts w:eastAsia="Times New Roman" w:cstheme="minorHAnsi"/>
                <w:b/>
                <w:bCs/>
                <w:color w:val="FFFFFF"/>
                <w:lang w:eastAsia="en-GB"/>
              </w:rPr>
              <w:t>20%</w:t>
            </w:r>
          </w:p>
        </w:tc>
        <w:tc>
          <w:tcPr>
            <w:tcW w:w="867" w:type="dxa"/>
            <w:shd w:val="clear" w:color="000000" w:fill="8497B0"/>
            <w:vAlign w:val="center"/>
            <w:hideMark/>
          </w:tcPr>
          <w:p w14:paraId="06B77DA8" w14:textId="77777777" w:rsidR="00E13389" w:rsidRPr="00E13389" w:rsidRDefault="00E13389" w:rsidP="00DC54F7">
            <w:pPr>
              <w:spacing w:after="0" w:line="240" w:lineRule="auto"/>
              <w:jc w:val="both"/>
              <w:rPr>
                <w:rFonts w:eastAsia="Times New Roman" w:cstheme="minorHAnsi"/>
                <w:b/>
                <w:bCs/>
                <w:color w:val="FFFFFF"/>
                <w:lang w:eastAsia="en-GB"/>
              </w:rPr>
            </w:pPr>
            <w:r w:rsidRPr="00E13389">
              <w:rPr>
                <w:rFonts w:eastAsia="Times New Roman" w:cstheme="minorHAnsi"/>
                <w:b/>
                <w:bCs/>
                <w:color w:val="FFFFFF"/>
                <w:lang w:eastAsia="en-GB"/>
              </w:rPr>
              <w:t>10%</w:t>
            </w:r>
          </w:p>
        </w:tc>
        <w:tc>
          <w:tcPr>
            <w:tcW w:w="868" w:type="dxa"/>
            <w:shd w:val="clear" w:color="000000" w:fill="8497B0"/>
            <w:vAlign w:val="center"/>
            <w:hideMark/>
          </w:tcPr>
          <w:p w14:paraId="485C5246" w14:textId="77777777" w:rsidR="00E13389" w:rsidRPr="00E13389" w:rsidRDefault="00E13389" w:rsidP="00DC54F7">
            <w:pPr>
              <w:spacing w:after="0" w:line="240" w:lineRule="auto"/>
              <w:jc w:val="both"/>
              <w:rPr>
                <w:rFonts w:eastAsia="Times New Roman" w:cstheme="minorHAnsi"/>
                <w:b/>
                <w:bCs/>
                <w:color w:val="FFFFFF"/>
                <w:lang w:eastAsia="en-GB"/>
              </w:rPr>
            </w:pPr>
            <w:r w:rsidRPr="00E13389">
              <w:rPr>
                <w:rFonts w:eastAsia="Times New Roman" w:cstheme="minorHAnsi"/>
                <w:b/>
                <w:bCs/>
                <w:color w:val="FFFFFF"/>
                <w:lang w:eastAsia="en-GB"/>
              </w:rPr>
              <w:t>20%</w:t>
            </w:r>
          </w:p>
        </w:tc>
        <w:tc>
          <w:tcPr>
            <w:tcW w:w="867" w:type="dxa"/>
            <w:shd w:val="clear" w:color="000000" w:fill="8497B0"/>
            <w:vAlign w:val="center"/>
            <w:hideMark/>
          </w:tcPr>
          <w:p w14:paraId="18CD22C5" w14:textId="77777777" w:rsidR="00E13389" w:rsidRPr="00E13389" w:rsidRDefault="00E13389" w:rsidP="00DC54F7">
            <w:pPr>
              <w:spacing w:after="0" w:line="240" w:lineRule="auto"/>
              <w:jc w:val="both"/>
              <w:rPr>
                <w:rFonts w:eastAsia="Times New Roman" w:cstheme="minorHAnsi"/>
                <w:b/>
                <w:bCs/>
                <w:color w:val="FFFFFF"/>
                <w:lang w:eastAsia="en-GB"/>
              </w:rPr>
            </w:pPr>
            <w:r w:rsidRPr="00E13389">
              <w:rPr>
                <w:rFonts w:eastAsia="Times New Roman" w:cstheme="minorHAnsi"/>
                <w:b/>
                <w:bCs/>
                <w:color w:val="FFFFFF"/>
                <w:lang w:eastAsia="en-GB"/>
              </w:rPr>
              <w:t>10%</w:t>
            </w:r>
          </w:p>
        </w:tc>
        <w:tc>
          <w:tcPr>
            <w:tcW w:w="868" w:type="dxa"/>
            <w:shd w:val="clear" w:color="000000" w:fill="8497B0"/>
            <w:vAlign w:val="center"/>
            <w:hideMark/>
          </w:tcPr>
          <w:p w14:paraId="10BBA328" w14:textId="77777777" w:rsidR="00E13389" w:rsidRPr="00E13389" w:rsidRDefault="00E13389" w:rsidP="00DC54F7">
            <w:pPr>
              <w:spacing w:after="0" w:line="240" w:lineRule="auto"/>
              <w:jc w:val="both"/>
              <w:rPr>
                <w:rFonts w:eastAsia="Times New Roman" w:cstheme="minorHAnsi"/>
                <w:b/>
                <w:bCs/>
                <w:color w:val="FFFFFF"/>
                <w:lang w:eastAsia="en-GB"/>
              </w:rPr>
            </w:pPr>
            <w:r w:rsidRPr="00E13389">
              <w:rPr>
                <w:rFonts w:eastAsia="Times New Roman" w:cstheme="minorHAnsi"/>
                <w:b/>
                <w:bCs/>
                <w:color w:val="FFFFFF"/>
                <w:lang w:eastAsia="en-GB"/>
              </w:rPr>
              <w:t>20%</w:t>
            </w:r>
          </w:p>
        </w:tc>
      </w:tr>
      <w:tr w:rsidR="00E13389" w:rsidRPr="00E13389" w14:paraId="746156F7" w14:textId="77777777" w:rsidTr="00E13389">
        <w:trPr>
          <w:trHeight w:val="284"/>
        </w:trPr>
        <w:tc>
          <w:tcPr>
            <w:tcW w:w="2309" w:type="dxa"/>
            <w:shd w:val="clear" w:color="000000" w:fill="F2F2F2"/>
            <w:noWrap/>
            <w:vAlign w:val="bottom"/>
            <w:hideMark/>
          </w:tcPr>
          <w:p w14:paraId="7E020E00"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Central Vale</w:t>
            </w:r>
          </w:p>
        </w:tc>
        <w:tc>
          <w:tcPr>
            <w:tcW w:w="867" w:type="dxa"/>
            <w:shd w:val="clear" w:color="000000" w:fill="F2F2F2"/>
            <w:noWrap/>
            <w:vAlign w:val="bottom"/>
            <w:hideMark/>
          </w:tcPr>
          <w:p w14:paraId="2FE00E69"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5</w:t>
            </w:r>
          </w:p>
        </w:tc>
        <w:tc>
          <w:tcPr>
            <w:tcW w:w="868" w:type="dxa"/>
            <w:shd w:val="clear" w:color="000000" w:fill="F2F2F2"/>
            <w:noWrap/>
            <w:vAlign w:val="bottom"/>
            <w:hideMark/>
          </w:tcPr>
          <w:p w14:paraId="4195A816"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13</w:t>
            </w:r>
          </w:p>
        </w:tc>
        <w:tc>
          <w:tcPr>
            <w:tcW w:w="867" w:type="dxa"/>
            <w:shd w:val="clear" w:color="000000" w:fill="F2F2F2"/>
            <w:noWrap/>
            <w:vAlign w:val="bottom"/>
            <w:hideMark/>
          </w:tcPr>
          <w:p w14:paraId="255E3AF2"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4</w:t>
            </w:r>
          </w:p>
        </w:tc>
        <w:tc>
          <w:tcPr>
            <w:tcW w:w="868" w:type="dxa"/>
            <w:shd w:val="clear" w:color="000000" w:fill="F2F2F2"/>
            <w:noWrap/>
            <w:vAlign w:val="bottom"/>
            <w:hideMark/>
          </w:tcPr>
          <w:p w14:paraId="2B081F6C"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8</w:t>
            </w:r>
          </w:p>
        </w:tc>
        <w:tc>
          <w:tcPr>
            <w:tcW w:w="867" w:type="dxa"/>
            <w:shd w:val="clear" w:color="000000" w:fill="F2F2F2"/>
            <w:noWrap/>
            <w:vAlign w:val="bottom"/>
            <w:hideMark/>
          </w:tcPr>
          <w:p w14:paraId="71AA2CFA"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4</w:t>
            </w:r>
          </w:p>
        </w:tc>
        <w:tc>
          <w:tcPr>
            <w:tcW w:w="868" w:type="dxa"/>
            <w:shd w:val="clear" w:color="000000" w:fill="F2F2F2"/>
            <w:noWrap/>
            <w:vAlign w:val="bottom"/>
            <w:hideMark/>
          </w:tcPr>
          <w:p w14:paraId="288C5C3F"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11</w:t>
            </w:r>
          </w:p>
        </w:tc>
        <w:tc>
          <w:tcPr>
            <w:tcW w:w="867" w:type="dxa"/>
            <w:shd w:val="clear" w:color="000000" w:fill="F2F2F2"/>
            <w:noWrap/>
            <w:vAlign w:val="bottom"/>
            <w:hideMark/>
          </w:tcPr>
          <w:p w14:paraId="2BBBA63E"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0</w:t>
            </w:r>
          </w:p>
        </w:tc>
        <w:tc>
          <w:tcPr>
            <w:tcW w:w="868" w:type="dxa"/>
            <w:shd w:val="clear" w:color="000000" w:fill="F2F2F2"/>
            <w:noWrap/>
            <w:vAlign w:val="bottom"/>
            <w:hideMark/>
          </w:tcPr>
          <w:p w14:paraId="58E56BB1"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0</w:t>
            </w:r>
          </w:p>
        </w:tc>
      </w:tr>
      <w:tr w:rsidR="00E13389" w:rsidRPr="00E13389" w14:paraId="7F5832BF" w14:textId="77777777" w:rsidTr="00E13389">
        <w:trPr>
          <w:trHeight w:val="284"/>
        </w:trPr>
        <w:tc>
          <w:tcPr>
            <w:tcW w:w="2309" w:type="dxa"/>
            <w:shd w:val="clear" w:color="auto" w:fill="auto"/>
            <w:noWrap/>
            <w:vAlign w:val="bottom"/>
            <w:hideMark/>
          </w:tcPr>
          <w:p w14:paraId="555230A0"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Eastern Vale</w:t>
            </w:r>
          </w:p>
        </w:tc>
        <w:tc>
          <w:tcPr>
            <w:tcW w:w="867" w:type="dxa"/>
            <w:shd w:val="clear" w:color="auto" w:fill="auto"/>
            <w:noWrap/>
            <w:vAlign w:val="bottom"/>
            <w:hideMark/>
          </w:tcPr>
          <w:p w14:paraId="4D203D5F"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0</w:t>
            </w:r>
          </w:p>
        </w:tc>
        <w:tc>
          <w:tcPr>
            <w:tcW w:w="868" w:type="dxa"/>
            <w:shd w:val="clear" w:color="auto" w:fill="auto"/>
            <w:noWrap/>
            <w:vAlign w:val="bottom"/>
            <w:hideMark/>
          </w:tcPr>
          <w:p w14:paraId="68DF37C8"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0</w:t>
            </w:r>
          </w:p>
        </w:tc>
        <w:tc>
          <w:tcPr>
            <w:tcW w:w="867" w:type="dxa"/>
            <w:shd w:val="clear" w:color="auto" w:fill="auto"/>
            <w:noWrap/>
            <w:vAlign w:val="bottom"/>
            <w:hideMark/>
          </w:tcPr>
          <w:p w14:paraId="566BDE6E"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0</w:t>
            </w:r>
          </w:p>
        </w:tc>
        <w:tc>
          <w:tcPr>
            <w:tcW w:w="868" w:type="dxa"/>
            <w:shd w:val="clear" w:color="auto" w:fill="auto"/>
            <w:noWrap/>
            <w:vAlign w:val="bottom"/>
            <w:hideMark/>
          </w:tcPr>
          <w:p w14:paraId="0340F596"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0</w:t>
            </w:r>
          </w:p>
        </w:tc>
        <w:tc>
          <w:tcPr>
            <w:tcW w:w="867" w:type="dxa"/>
            <w:shd w:val="clear" w:color="auto" w:fill="auto"/>
            <w:noWrap/>
            <w:vAlign w:val="bottom"/>
            <w:hideMark/>
          </w:tcPr>
          <w:p w14:paraId="6E1A23E0"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0</w:t>
            </w:r>
          </w:p>
        </w:tc>
        <w:tc>
          <w:tcPr>
            <w:tcW w:w="868" w:type="dxa"/>
            <w:shd w:val="clear" w:color="auto" w:fill="auto"/>
            <w:noWrap/>
            <w:vAlign w:val="bottom"/>
            <w:hideMark/>
          </w:tcPr>
          <w:p w14:paraId="7BDF44E8"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0</w:t>
            </w:r>
          </w:p>
        </w:tc>
        <w:tc>
          <w:tcPr>
            <w:tcW w:w="867" w:type="dxa"/>
            <w:shd w:val="clear" w:color="auto" w:fill="auto"/>
            <w:noWrap/>
            <w:vAlign w:val="bottom"/>
            <w:hideMark/>
          </w:tcPr>
          <w:p w14:paraId="3F6364DA"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0</w:t>
            </w:r>
          </w:p>
        </w:tc>
        <w:tc>
          <w:tcPr>
            <w:tcW w:w="868" w:type="dxa"/>
            <w:shd w:val="clear" w:color="auto" w:fill="auto"/>
            <w:noWrap/>
            <w:vAlign w:val="bottom"/>
            <w:hideMark/>
          </w:tcPr>
          <w:p w14:paraId="6320E0AD"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0</w:t>
            </w:r>
          </w:p>
        </w:tc>
      </w:tr>
      <w:tr w:rsidR="00E13389" w:rsidRPr="00E13389" w14:paraId="17BBC5BD" w14:textId="77777777" w:rsidTr="00E13389">
        <w:trPr>
          <w:trHeight w:val="284"/>
        </w:trPr>
        <w:tc>
          <w:tcPr>
            <w:tcW w:w="2309" w:type="dxa"/>
            <w:shd w:val="clear" w:color="000000" w:fill="F2F2F2"/>
            <w:noWrap/>
            <w:vAlign w:val="bottom"/>
            <w:hideMark/>
          </w:tcPr>
          <w:p w14:paraId="759FCAC9"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Western Vale</w:t>
            </w:r>
          </w:p>
        </w:tc>
        <w:tc>
          <w:tcPr>
            <w:tcW w:w="867" w:type="dxa"/>
            <w:shd w:val="clear" w:color="000000" w:fill="F2F2F2"/>
            <w:noWrap/>
            <w:vAlign w:val="bottom"/>
            <w:hideMark/>
          </w:tcPr>
          <w:p w14:paraId="0E337589"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0</w:t>
            </w:r>
          </w:p>
        </w:tc>
        <w:tc>
          <w:tcPr>
            <w:tcW w:w="868" w:type="dxa"/>
            <w:shd w:val="clear" w:color="000000" w:fill="F2F2F2"/>
            <w:noWrap/>
            <w:vAlign w:val="bottom"/>
            <w:hideMark/>
          </w:tcPr>
          <w:p w14:paraId="6730CDA0"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0</w:t>
            </w:r>
          </w:p>
        </w:tc>
        <w:tc>
          <w:tcPr>
            <w:tcW w:w="867" w:type="dxa"/>
            <w:shd w:val="clear" w:color="000000" w:fill="F2F2F2"/>
            <w:noWrap/>
            <w:vAlign w:val="bottom"/>
            <w:hideMark/>
          </w:tcPr>
          <w:p w14:paraId="564D708E"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0</w:t>
            </w:r>
          </w:p>
        </w:tc>
        <w:tc>
          <w:tcPr>
            <w:tcW w:w="868" w:type="dxa"/>
            <w:shd w:val="clear" w:color="000000" w:fill="F2F2F2"/>
            <w:noWrap/>
            <w:vAlign w:val="bottom"/>
            <w:hideMark/>
          </w:tcPr>
          <w:p w14:paraId="73E3D3F8"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0</w:t>
            </w:r>
          </w:p>
        </w:tc>
        <w:tc>
          <w:tcPr>
            <w:tcW w:w="867" w:type="dxa"/>
            <w:shd w:val="clear" w:color="000000" w:fill="F2F2F2"/>
            <w:noWrap/>
            <w:vAlign w:val="bottom"/>
            <w:hideMark/>
          </w:tcPr>
          <w:p w14:paraId="0647CFE0"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0</w:t>
            </w:r>
          </w:p>
        </w:tc>
        <w:tc>
          <w:tcPr>
            <w:tcW w:w="868" w:type="dxa"/>
            <w:shd w:val="clear" w:color="000000" w:fill="F2F2F2"/>
            <w:noWrap/>
            <w:vAlign w:val="bottom"/>
            <w:hideMark/>
          </w:tcPr>
          <w:p w14:paraId="0BFE84BE"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0</w:t>
            </w:r>
          </w:p>
        </w:tc>
        <w:tc>
          <w:tcPr>
            <w:tcW w:w="867" w:type="dxa"/>
            <w:shd w:val="clear" w:color="000000" w:fill="F2F2F2"/>
            <w:noWrap/>
            <w:vAlign w:val="bottom"/>
            <w:hideMark/>
          </w:tcPr>
          <w:p w14:paraId="3E3721A0"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3</w:t>
            </w:r>
          </w:p>
        </w:tc>
        <w:tc>
          <w:tcPr>
            <w:tcW w:w="868" w:type="dxa"/>
            <w:shd w:val="clear" w:color="000000" w:fill="F2F2F2"/>
            <w:noWrap/>
            <w:vAlign w:val="bottom"/>
            <w:hideMark/>
          </w:tcPr>
          <w:p w14:paraId="6411BE3B"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6</w:t>
            </w:r>
          </w:p>
        </w:tc>
      </w:tr>
      <w:tr w:rsidR="00E13389" w:rsidRPr="00E13389" w14:paraId="30DF02BC" w14:textId="77777777" w:rsidTr="00E13389">
        <w:trPr>
          <w:trHeight w:val="284"/>
        </w:trPr>
        <w:tc>
          <w:tcPr>
            <w:tcW w:w="2309" w:type="dxa"/>
            <w:shd w:val="clear" w:color="auto" w:fill="auto"/>
            <w:noWrap/>
            <w:vAlign w:val="bottom"/>
            <w:hideMark/>
          </w:tcPr>
          <w:p w14:paraId="199D9125"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Vale of Glamorgan</w:t>
            </w:r>
          </w:p>
        </w:tc>
        <w:tc>
          <w:tcPr>
            <w:tcW w:w="867" w:type="dxa"/>
            <w:shd w:val="clear" w:color="auto" w:fill="auto"/>
            <w:noWrap/>
            <w:vAlign w:val="bottom"/>
            <w:hideMark/>
          </w:tcPr>
          <w:p w14:paraId="4CD5F5BB"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5</w:t>
            </w:r>
          </w:p>
        </w:tc>
        <w:tc>
          <w:tcPr>
            <w:tcW w:w="868" w:type="dxa"/>
            <w:shd w:val="clear" w:color="auto" w:fill="auto"/>
            <w:noWrap/>
            <w:vAlign w:val="bottom"/>
            <w:hideMark/>
          </w:tcPr>
          <w:p w14:paraId="4740F71A"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13</w:t>
            </w:r>
          </w:p>
        </w:tc>
        <w:tc>
          <w:tcPr>
            <w:tcW w:w="867" w:type="dxa"/>
            <w:shd w:val="clear" w:color="auto" w:fill="auto"/>
            <w:noWrap/>
            <w:vAlign w:val="bottom"/>
            <w:hideMark/>
          </w:tcPr>
          <w:p w14:paraId="22547711"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4</w:t>
            </w:r>
          </w:p>
        </w:tc>
        <w:tc>
          <w:tcPr>
            <w:tcW w:w="868" w:type="dxa"/>
            <w:shd w:val="clear" w:color="auto" w:fill="auto"/>
            <w:noWrap/>
            <w:vAlign w:val="bottom"/>
            <w:hideMark/>
          </w:tcPr>
          <w:p w14:paraId="1D6879C1"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8</w:t>
            </w:r>
          </w:p>
        </w:tc>
        <w:tc>
          <w:tcPr>
            <w:tcW w:w="867" w:type="dxa"/>
            <w:shd w:val="clear" w:color="auto" w:fill="auto"/>
            <w:noWrap/>
            <w:vAlign w:val="bottom"/>
            <w:hideMark/>
          </w:tcPr>
          <w:p w14:paraId="4C13ABE4"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4</w:t>
            </w:r>
          </w:p>
        </w:tc>
        <w:tc>
          <w:tcPr>
            <w:tcW w:w="868" w:type="dxa"/>
            <w:shd w:val="clear" w:color="auto" w:fill="auto"/>
            <w:noWrap/>
            <w:vAlign w:val="bottom"/>
            <w:hideMark/>
          </w:tcPr>
          <w:p w14:paraId="29B62E4F"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11</w:t>
            </w:r>
          </w:p>
        </w:tc>
        <w:tc>
          <w:tcPr>
            <w:tcW w:w="867" w:type="dxa"/>
            <w:shd w:val="clear" w:color="auto" w:fill="auto"/>
            <w:noWrap/>
            <w:vAlign w:val="bottom"/>
            <w:hideMark/>
          </w:tcPr>
          <w:p w14:paraId="4D1B566E"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3</w:t>
            </w:r>
          </w:p>
        </w:tc>
        <w:tc>
          <w:tcPr>
            <w:tcW w:w="868" w:type="dxa"/>
            <w:shd w:val="clear" w:color="auto" w:fill="auto"/>
            <w:noWrap/>
            <w:vAlign w:val="bottom"/>
            <w:hideMark/>
          </w:tcPr>
          <w:p w14:paraId="2CCF899C"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6</w:t>
            </w:r>
          </w:p>
        </w:tc>
      </w:tr>
      <w:tr w:rsidR="00E13389" w:rsidRPr="00E13389" w14:paraId="7351CDB8" w14:textId="77777777" w:rsidTr="00E13389">
        <w:trPr>
          <w:trHeight w:val="284"/>
        </w:trPr>
        <w:tc>
          <w:tcPr>
            <w:tcW w:w="2309" w:type="dxa"/>
            <w:shd w:val="clear" w:color="000000" w:fill="F2F2F2"/>
            <w:noWrap/>
            <w:vAlign w:val="bottom"/>
            <w:hideMark/>
          </w:tcPr>
          <w:p w14:paraId="7678B0B3"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Cardiff and Vale UHB</w:t>
            </w:r>
          </w:p>
        </w:tc>
        <w:tc>
          <w:tcPr>
            <w:tcW w:w="867" w:type="dxa"/>
            <w:shd w:val="clear" w:color="000000" w:fill="F2F2F2"/>
            <w:noWrap/>
            <w:vAlign w:val="bottom"/>
            <w:hideMark/>
          </w:tcPr>
          <w:p w14:paraId="0F1FAB08"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46</w:t>
            </w:r>
          </w:p>
        </w:tc>
        <w:tc>
          <w:tcPr>
            <w:tcW w:w="868" w:type="dxa"/>
            <w:shd w:val="clear" w:color="000000" w:fill="F2F2F2"/>
            <w:noWrap/>
            <w:vAlign w:val="bottom"/>
            <w:hideMark/>
          </w:tcPr>
          <w:p w14:paraId="4CF109E1"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72</w:t>
            </w:r>
          </w:p>
        </w:tc>
        <w:tc>
          <w:tcPr>
            <w:tcW w:w="867" w:type="dxa"/>
            <w:shd w:val="clear" w:color="000000" w:fill="F2F2F2"/>
            <w:noWrap/>
            <w:vAlign w:val="bottom"/>
            <w:hideMark/>
          </w:tcPr>
          <w:p w14:paraId="5614CA83"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38</w:t>
            </w:r>
          </w:p>
        </w:tc>
        <w:tc>
          <w:tcPr>
            <w:tcW w:w="868" w:type="dxa"/>
            <w:shd w:val="clear" w:color="000000" w:fill="F2F2F2"/>
            <w:noWrap/>
            <w:vAlign w:val="bottom"/>
            <w:hideMark/>
          </w:tcPr>
          <w:p w14:paraId="76A9F242"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64</w:t>
            </w:r>
          </w:p>
        </w:tc>
        <w:tc>
          <w:tcPr>
            <w:tcW w:w="867" w:type="dxa"/>
            <w:shd w:val="clear" w:color="000000" w:fill="F2F2F2"/>
            <w:noWrap/>
            <w:vAlign w:val="bottom"/>
            <w:hideMark/>
          </w:tcPr>
          <w:p w14:paraId="70BFB2AD"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34</w:t>
            </w:r>
          </w:p>
        </w:tc>
        <w:tc>
          <w:tcPr>
            <w:tcW w:w="868" w:type="dxa"/>
            <w:shd w:val="clear" w:color="000000" w:fill="F2F2F2"/>
            <w:noWrap/>
            <w:vAlign w:val="bottom"/>
            <w:hideMark/>
          </w:tcPr>
          <w:p w14:paraId="05369BD9"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51</w:t>
            </w:r>
          </w:p>
        </w:tc>
        <w:tc>
          <w:tcPr>
            <w:tcW w:w="867" w:type="dxa"/>
            <w:shd w:val="clear" w:color="000000" w:fill="F2F2F2"/>
            <w:noWrap/>
            <w:vAlign w:val="bottom"/>
            <w:hideMark/>
          </w:tcPr>
          <w:p w14:paraId="1B059732"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3</w:t>
            </w:r>
          </w:p>
        </w:tc>
        <w:tc>
          <w:tcPr>
            <w:tcW w:w="868" w:type="dxa"/>
            <w:shd w:val="clear" w:color="000000" w:fill="F2F2F2"/>
            <w:noWrap/>
            <w:vAlign w:val="bottom"/>
            <w:hideMark/>
          </w:tcPr>
          <w:p w14:paraId="408617F4" w14:textId="77777777" w:rsidR="00E13389" w:rsidRPr="00E13389" w:rsidRDefault="00E13389" w:rsidP="00DC54F7">
            <w:pPr>
              <w:spacing w:after="0" w:line="240" w:lineRule="auto"/>
              <w:jc w:val="both"/>
              <w:rPr>
                <w:rFonts w:eastAsia="Times New Roman" w:cstheme="minorHAnsi"/>
                <w:color w:val="000000"/>
                <w:lang w:eastAsia="en-GB"/>
              </w:rPr>
            </w:pPr>
            <w:r w:rsidRPr="00E13389">
              <w:rPr>
                <w:rFonts w:eastAsia="Times New Roman" w:cstheme="minorHAnsi"/>
                <w:color w:val="000000"/>
                <w:lang w:eastAsia="en-GB"/>
              </w:rPr>
              <w:t>15</w:t>
            </w:r>
          </w:p>
        </w:tc>
      </w:tr>
    </w:tbl>
    <w:p w14:paraId="1A0FEAF3" w14:textId="6A05FCF8" w:rsidR="00CD7A5C" w:rsidRDefault="00D011D6" w:rsidP="00DC54F7">
      <w:pPr>
        <w:spacing w:after="0" w:line="240" w:lineRule="auto"/>
        <w:jc w:val="both"/>
        <w:rPr>
          <w:rFonts w:ascii="Arial" w:hAnsi="Arial" w:cs="Arial"/>
          <w:sz w:val="20"/>
          <w:szCs w:val="20"/>
        </w:rPr>
      </w:pPr>
      <w:r w:rsidRPr="00FF1EE9">
        <w:rPr>
          <w:rFonts w:ascii="Arial" w:hAnsi="Arial" w:cs="Arial"/>
          <w:sz w:val="20"/>
          <w:szCs w:val="20"/>
        </w:rPr>
        <w:t>Source: Welsh Index of Multiple Deprivation 201</w:t>
      </w:r>
      <w:r w:rsidR="00DF12B8">
        <w:rPr>
          <w:rFonts w:ascii="Arial" w:hAnsi="Arial" w:cs="Arial"/>
          <w:sz w:val="20"/>
          <w:szCs w:val="20"/>
        </w:rPr>
        <w:t>9</w:t>
      </w:r>
      <w:r w:rsidRPr="00FF1EE9">
        <w:rPr>
          <w:rFonts w:ascii="Arial" w:hAnsi="Arial" w:cs="Arial"/>
          <w:sz w:val="20"/>
          <w:szCs w:val="20"/>
        </w:rPr>
        <w:t>, Welsh Government</w:t>
      </w:r>
    </w:p>
    <w:p w14:paraId="1225A593" w14:textId="29003360" w:rsidR="00D011D6" w:rsidRPr="00712F07" w:rsidRDefault="008F7D65" w:rsidP="00DC54F7">
      <w:pPr>
        <w:spacing w:after="0" w:line="240" w:lineRule="auto"/>
        <w:jc w:val="both"/>
        <w:rPr>
          <w:rFonts w:ascii="Arial" w:hAnsi="Arial" w:cs="Arial"/>
          <w:sz w:val="24"/>
          <w:szCs w:val="24"/>
        </w:rPr>
      </w:pPr>
      <w:r w:rsidRPr="00712F07">
        <w:rPr>
          <w:rFonts w:ascii="Arial" w:hAnsi="Arial" w:cs="Arial"/>
          <w:sz w:val="24"/>
          <w:szCs w:val="24"/>
        </w:rPr>
        <w:lastRenderedPageBreak/>
        <w:t xml:space="preserve">The map below provides an indication of the overall levels of deprivation within the cluster. </w:t>
      </w:r>
      <w:r w:rsidR="00D011D6" w:rsidRPr="00712F07">
        <w:rPr>
          <w:rFonts w:ascii="Arial" w:hAnsi="Arial" w:cs="Arial"/>
          <w:sz w:val="24"/>
          <w:szCs w:val="24"/>
        </w:rPr>
        <w:t xml:space="preserve">As can be seen from the map, </w:t>
      </w:r>
      <w:r w:rsidR="006E5FAD" w:rsidRPr="00712F07">
        <w:rPr>
          <w:rFonts w:ascii="Arial" w:hAnsi="Arial" w:cs="Arial"/>
          <w:sz w:val="24"/>
          <w:szCs w:val="24"/>
        </w:rPr>
        <w:t>Western</w:t>
      </w:r>
      <w:r w:rsidR="00F47535" w:rsidRPr="00712F07">
        <w:rPr>
          <w:rFonts w:ascii="Arial" w:hAnsi="Arial" w:cs="Arial"/>
          <w:sz w:val="24"/>
          <w:szCs w:val="24"/>
        </w:rPr>
        <w:t xml:space="preserve"> Vale has relatively low levels of deprivation. </w:t>
      </w:r>
    </w:p>
    <w:p w14:paraId="2DA3DB47" w14:textId="021FF422" w:rsidR="00D332DF" w:rsidRDefault="00D332DF" w:rsidP="00DC54F7">
      <w:pPr>
        <w:spacing w:after="0" w:line="240" w:lineRule="auto"/>
        <w:jc w:val="both"/>
        <w:rPr>
          <w:rFonts w:ascii="Arial" w:hAnsi="Arial" w:cs="Arial"/>
        </w:rPr>
      </w:pPr>
    </w:p>
    <w:p w14:paraId="2B35D702" w14:textId="7D7587E9" w:rsidR="000127E3" w:rsidRPr="00712F07" w:rsidRDefault="00D332DF" w:rsidP="00DC54F7">
      <w:pPr>
        <w:spacing w:after="0" w:line="240" w:lineRule="auto"/>
        <w:jc w:val="both"/>
        <w:rPr>
          <w:rFonts w:ascii="Arial" w:hAnsi="Arial" w:cs="Arial"/>
          <w:b/>
          <w:sz w:val="24"/>
          <w:szCs w:val="24"/>
        </w:rPr>
      </w:pPr>
      <w:r w:rsidRPr="00712F07">
        <w:rPr>
          <w:rFonts w:ascii="Arial" w:hAnsi="Arial" w:cs="Arial"/>
          <w:b/>
          <w:sz w:val="24"/>
          <w:szCs w:val="24"/>
        </w:rPr>
        <w:t>Map 16.1: Lower Super Output Areas (LSOAs) in Western Vale cluster, grouped into quintiles by Welsh index of Multiple Deprivation 2019</w:t>
      </w:r>
    </w:p>
    <w:p w14:paraId="3B04B247" w14:textId="339C22DB" w:rsidR="000127E3" w:rsidRPr="00D332DF" w:rsidRDefault="000127E3" w:rsidP="00DC54F7">
      <w:pPr>
        <w:spacing w:after="0" w:line="240" w:lineRule="auto"/>
        <w:jc w:val="both"/>
        <w:rPr>
          <w:rFonts w:ascii="Arial" w:hAnsi="Arial" w:cs="Arial"/>
          <w:b/>
        </w:rPr>
      </w:pPr>
      <w:r>
        <w:rPr>
          <w:noProof/>
          <w:lang w:eastAsia="en-GB"/>
        </w:rPr>
        <w:drawing>
          <wp:inline distT="0" distB="0" distL="0" distR="0" wp14:anchorId="67CFC9C8" wp14:editId="791DE33F">
            <wp:extent cx="5731510" cy="4965404"/>
            <wp:effectExtent l="0" t="0" r="2540" b="6985"/>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739359" cy="4972203"/>
                    </a:xfrm>
                    <a:prstGeom prst="rect">
                      <a:avLst/>
                    </a:prstGeom>
                    <a:noFill/>
                    <a:ln>
                      <a:noFill/>
                    </a:ln>
                  </pic:spPr>
                </pic:pic>
              </a:graphicData>
            </a:graphic>
          </wp:inline>
        </w:drawing>
      </w:r>
    </w:p>
    <w:p w14:paraId="49C9F19B" w14:textId="77777777" w:rsidR="003667D6" w:rsidRDefault="003667D6" w:rsidP="00DC54F7">
      <w:pPr>
        <w:spacing w:after="0" w:line="240" w:lineRule="auto"/>
        <w:jc w:val="both"/>
        <w:rPr>
          <w:rFonts w:ascii="Arial" w:hAnsi="Arial" w:cs="Arial"/>
          <w:bCs/>
          <w:sz w:val="24"/>
          <w:szCs w:val="24"/>
        </w:rPr>
      </w:pPr>
    </w:p>
    <w:p w14:paraId="3DFB210C" w14:textId="0AA3D25D" w:rsidR="002E4E6B" w:rsidRPr="00712F07" w:rsidRDefault="00915D6B" w:rsidP="00DC54F7">
      <w:pPr>
        <w:spacing w:after="0" w:line="240" w:lineRule="auto"/>
        <w:jc w:val="both"/>
        <w:rPr>
          <w:rFonts w:ascii="Arial" w:hAnsi="Arial" w:cs="Arial"/>
          <w:bCs/>
          <w:sz w:val="24"/>
          <w:szCs w:val="24"/>
        </w:rPr>
      </w:pPr>
      <w:r w:rsidRPr="00712F07">
        <w:rPr>
          <w:rFonts w:ascii="Arial" w:hAnsi="Arial" w:cs="Arial"/>
          <w:bCs/>
          <w:sz w:val="24"/>
          <w:szCs w:val="24"/>
        </w:rPr>
        <w:t>Overall, the estimated prevalence of chronic disease in Western Vale cluster is lower than the average for Wales, except for stroke and transient ischaemic attacks</w:t>
      </w:r>
      <w:r w:rsidR="002E0CE8" w:rsidRPr="00712F07">
        <w:rPr>
          <w:rFonts w:ascii="Arial" w:hAnsi="Arial" w:cs="Arial"/>
          <w:bCs/>
          <w:sz w:val="24"/>
          <w:szCs w:val="24"/>
        </w:rPr>
        <w:t>,</w:t>
      </w:r>
      <w:r w:rsidRPr="00712F07">
        <w:rPr>
          <w:rFonts w:ascii="Arial" w:hAnsi="Arial" w:cs="Arial"/>
          <w:bCs/>
          <w:sz w:val="24"/>
          <w:szCs w:val="24"/>
        </w:rPr>
        <w:t xml:space="preserve"> </w:t>
      </w:r>
      <w:r w:rsidR="002E4E6B" w:rsidRPr="00712F07">
        <w:rPr>
          <w:rFonts w:ascii="Arial" w:hAnsi="Arial" w:cs="Arial"/>
          <w:bCs/>
          <w:sz w:val="24"/>
          <w:szCs w:val="24"/>
        </w:rPr>
        <w:t>and heart failure</w:t>
      </w:r>
      <w:r w:rsidR="00AD4FC0" w:rsidRPr="00712F07">
        <w:rPr>
          <w:rFonts w:ascii="Arial" w:hAnsi="Arial" w:cs="Arial"/>
          <w:bCs/>
          <w:sz w:val="24"/>
          <w:szCs w:val="24"/>
        </w:rPr>
        <w:t>.</w:t>
      </w:r>
    </w:p>
    <w:p w14:paraId="4D5B0446" w14:textId="77777777" w:rsidR="002E4E6B" w:rsidRPr="00712F07" w:rsidRDefault="002E4E6B" w:rsidP="00DC54F7">
      <w:pPr>
        <w:spacing w:after="0" w:line="240" w:lineRule="auto"/>
        <w:jc w:val="both"/>
        <w:rPr>
          <w:rFonts w:ascii="Arial" w:hAnsi="Arial" w:cs="Arial"/>
          <w:bCs/>
          <w:sz w:val="24"/>
          <w:szCs w:val="24"/>
        </w:rPr>
      </w:pPr>
    </w:p>
    <w:p w14:paraId="65418BBC" w14:textId="4C3A9C53" w:rsidR="00915D6B" w:rsidRPr="00712F07" w:rsidRDefault="00915D6B" w:rsidP="00DC54F7">
      <w:pPr>
        <w:spacing w:after="0" w:line="240" w:lineRule="auto"/>
        <w:jc w:val="both"/>
        <w:rPr>
          <w:rFonts w:ascii="Arial" w:hAnsi="Arial" w:cs="Arial"/>
          <w:b/>
          <w:sz w:val="24"/>
          <w:szCs w:val="24"/>
        </w:rPr>
      </w:pPr>
      <w:r w:rsidRPr="00712F07">
        <w:rPr>
          <w:rFonts w:ascii="Arial" w:hAnsi="Arial" w:cs="Arial"/>
          <w:bCs/>
          <w:sz w:val="24"/>
          <w:szCs w:val="24"/>
        </w:rPr>
        <w:t xml:space="preserve">When compared to the health board, the estimated prevalence of chronic disease is in general higher, </w:t>
      </w:r>
      <w:r w:rsidR="00AD4FC0" w:rsidRPr="00712F07">
        <w:rPr>
          <w:rFonts w:ascii="Arial" w:hAnsi="Arial" w:cs="Arial"/>
          <w:bCs/>
          <w:sz w:val="24"/>
          <w:szCs w:val="24"/>
        </w:rPr>
        <w:t>except for asthma</w:t>
      </w:r>
      <w:r w:rsidR="007A1F28" w:rsidRPr="00712F07">
        <w:rPr>
          <w:rFonts w:ascii="Arial" w:hAnsi="Arial" w:cs="Arial"/>
          <w:bCs/>
          <w:sz w:val="24"/>
          <w:szCs w:val="24"/>
        </w:rPr>
        <w:t xml:space="preserve"> and </w:t>
      </w:r>
      <w:r w:rsidR="00D95839" w:rsidRPr="00712F07">
        <w:rPr>
          <w:rFonts w:ascii="Arial" w:hAnsi="Arial" w:cs="Arial"/>
          <w:bCs/>
          <w:sz w:val="24"/>
          <w:szCs w:val="24"/>
        </w:rPr>
        <w:t>chronic obstructive</w:t>
      </w:r>
      <w:r w:rsidR="007A1F28" w:rsidRPr="00712F07">
        <w:rPr>
          <w:rFonts w:ascii="Arial" w:hAnsi="Arial" w:cs="Arial"/>
          <w:bCs/>
          <w:sz w:val="24"/>
          <w:szCs w:val="24"/>
        </w:rPr>
        <w:t xml:space="preserve"> </w:t>
      </w:r>
      <w:r w:rsidR="00D95839" w:rsidRPr="00712F07">
        <w:rPr>
          <w:rFonts w:ascii="Arial" w:hAnsi="Arial" w:cs="Arial"/>
          <w:bCs/>
          <w:sz w:val="24"/>
          <w:szCs w:val="24"/>
        </w:rPr>
        <w:t>pul</w:t>
      </w:r>
      <w:r w:rsidR="007A1F28" w:rsidRPr="00712F07">
        <w:rPr>
          <w:rFonts w:ascii="Arial" w:hAnsi="Arial" w:cs="Arial"/>
          <w:bCs/>
          <w:sz w:val="24"/>
          <w:szCs w:val="24"/>
        </w:rPr>
        <w:t>mon</w:t>
      </w:r>
      <w:r w:rsidR="00D95839" w:rsidRPr="00712F07">
        <w:rPr>
          <w:rFonts w:ascii="Arial" w:hAnsi="Arial" w:cs="Arial"/>
          <w:bCs/>
          <w:sz w:val="24"/>
          <w:szCs w:val="24"/>
        </w:rPr>
        <w:t>ary disease (COPD)</w:t>
      </w:r>
      <w:r w:rsidR="007A1F28" w:rsidRPr="00712F07">
        <w:rPr>
          <w:rFonts w:ascii="Arial" w:hAnsi="Arial" w:cs="Arial"/>
          <w:bCs/>
          <w:sz w:val="24"/>
          <w:szCs w:val="24"/>
        </w:rPr>
        <w:t xml:space="preserve">. </w:t>
      </w:r>
      <w:r w:rsidR="00957E64" w:rsidRPr="00712F07">
        <w:rPr>
          <w:rFonts w:ascii="Arial" w:hAnsi="Arial" w:cs="Arial"/>
          <w:bCs/>
          <w:sz w:val="24"/>
          <w:szCs w:val="24"/>
        </w:rPr>
        <w:t>The estimated prevalence of coronary heart disease</w:t>
      </w:r>
      <w:r w:rsidR="00BC5A95" w:rsidRPr="00712F07">
        <w:rPr>
          <w:rFonts w:ascii="Arial" w:hAnsi="Arial" w:cs="Arial"/>
          <w:bCs/>
          <w:sz w:val="24"/>
          <w:szCs w:val="24"/>
        </w:rPr>
        <w:t xml:space="preserve"> is the joint highest</w:t>
      </w:r>
      <w:r w:rsidR="00040FEE" w:rsidRPr="00712F07">
        <w:rPr>
          <w:rFonts w:ascii="Arial" w:hAnsi="Arial" w:cs="Arial"/>
          <w:bCs/>
          <w:sz w:val="24"/>
          <w:szCs w:val="24"/>
        </w:rPr>
        <w:t>,</w:t>
      </w:r>
      <w:r w:rsidR="00BC5A95" w:rsidRPr="00712F07">
        <w:rPr>
          <w:rFonts w:ascii="Arial" w:hAnsi="Arial" w:cs="Arial"/>
          <w:bCs/>
          <w:sz w:val="24"/>
          <w:szCs w:val="24"/>
        </w:rPr>
        <w:t xml:space="preserve"> and the estimated prevalence of </w:t>
      </w:r>
      <w:r w:rsidR="00550A57" w:rsidRPr="00712F07">
        <w:rPr>
          <w:rFonts w:ascii="Arial" w:hAnsi="Arial" w:cs="Arial"/>
          <w:bCs/>
          <w:sz w:val="24"/>
          <w:szCs w:val="24"/>
        </w:rPr>
        <w:t xml:space="preserve">heart failure and stroke and transient ischaemic attacks </w:t>
      </w:r>
      <w:r w:rsidR="00BC5A95" w:rsidRPr="00712F07">
        <w:rPr>
          <w:rFonts w:ascii="Arial" w:hAnsi="Arial" w:cs="Arial"/>
          <w:bCs/>
          <w:sz w:val="24"/>
          <w:szCs w:val="24"/>
        </w:rPr>
        <w:t>is the highest</w:t>
      </w:r>
      <w:r w:rsidR="00040FEE" w:rsidRPr="00712F07">
        <w:rPr>
          <w:rFonts w:ascii="Arial" w:hAnsi="Arial" w:cs="Arial"/>
          <w:bCs/>
          <w:sz w:val="24"/>
          <w:szCs w:val="24"/>
        </w:rPr>
        <w:t>,</w:t>
      </w:r>
      <w:r w:rsidR="00BC5A95" w:rsidRPr="00712F07">
        <w:rPr>
          <w:rFonts w:ascii="Arial" w:hAnsi="Arial" w:cs="Arial"/>
          <w:bCs/>
          <w:sz w:val="24"/>
          <w:szCs w:val="24"/>
        </w:rPr>
        <w:t xml:space="preserve"> of all the clusters in the health board.</w:t>
      </w:r>
    </w:p>
    <w:p w14:paraId="61250BC6" w14:textId="11769AC4" w:rsidR="00915D6B" w:rsidRDefault="00915D6B" w:rsidP="00DC54F7">
      <w:pPr>
        <w:spacing w:after="0" w:line="240" w:lineRule="auto"/>
        <w:jc w:val="both"/>
        <w:rPr>
          <w:rFonts w:ascii="Arial" w:hAnsi="Arial" w:cs="Arial"/>
          <w:b/>
          <w:sz w:val="26"/>
          <w:szCs w:val="26"/>
        </w:rPr>
      </w:pPr>
    </w:p>
    <w:p w14:paraId="5DF4AD0B" w14:textId="77777777" w:rsidR="00CD7A5C" w:rsidRDefault="00CD7A5C" w:rsidP="00DC54F7">
      <w:pPr>
        <w:spacing w:after="0" w:line="240" w:lineRule="auto"/>
        <w:jc w:val="both"/>
        <w:rPr>
          <w:rFonts w:ascii="Arial" w:hAnsi="Arial" w:cs="Arial"/>
          <w:b/>
          <w:bCs/>
          <w:sz w:val="24"/>
          <w:szCs w:val="24"/>
        </w:rPr>
      </w:pPr>
    </w:p>
    <w:p w14:paraId="14E5DB79" w14:textId="50280134" w:rsidR="003667D6" w:rsidRDefault="003667D6" w:rsidP="00DC54F7">
      <w:pPr>
        <w:jc w:val="both"/>
        <w:rPr>
          <w:rFonts w:ascii="Arial" w:hAnsi="Arial" w:cs="Arial"/>
          <w:b/>
          <w:bCs/>
          <w:sz w:val="24"/>
          <w:szCs w:val="24"/>
        </w:rPr>
      </w:pPr>
      <w:r>
        <w:rPr>
          <w:rFonts w:ascii="Arial" w:hAnsi="Arial" w:cs="Arial"/>
          <w:b/>
          <w:bCs/>
          <w:sz w:val="24"/>
          <w:szCs w:val="24"/>
        </w:rPr>
        <w:br w:type="page"/>
      </w:r>
    </w:p>
    <w:p w14:paraId="0E1C147E" w14:textId="72D30A0B" w:rsidR="00C7269A" w:rsidRPr="00F675DD" w:rsidRDefault="00C86EEE" w:rsidP="00DC54F7">
      <w:pPr>
        <w:spacing w:after="0" w:line="240" w:lineRule="auto"/>
        <w:jc w:val="both"/>
        <w:rPr>
          <w:rFonts w:ascii="Arial" w:hAnsi="Arial" w:cs="Arial"/>
          <w:b/>
          <w:bCs/>
          <w:sz w:val="24"/>
          <w:szCs w:val="24"/>
        </w:rPr>
      </w:pPr>
      <w:r w:rsidRPr="00F675DD">
        <w:rPr>
          <w:rFonts w:ascii="Arial" w:hAnsi="Arial" w:cs="Arial"/>
          <w:b/>
          <w:bCs/>
          <w:sz w:val="24"/>
          <w:szCs w:val="24"/>
        </w:rPr>
        <w:lastRenderedPageBreak/>
        <w:t>Table 1</w:t>
      </w:r>
      <w:r w:rsidR="00040FEE" w:rsidRPr="00F675DD">
        <w:rPr>
          <w:rFonts w:ascii="Arial" w:hAnsi="Arial" w:cs="Arial"/>
          <w:b/>
          <w:bCs/>
          <w:sz w:val="24"/>
          <w:szCs w:val="24"/>
        </w:rPr>
        <w:t>6</w:t>
      </w:r>
      <w:r w:rsidRPr="00F675DD">
        <w:rPr>
          <w:rFonts w:ascii="Arial" w:hAnsi="Arial" w:cs="Arial"/>
          <w:b/>
          <w:bCs/>
          <w:sz w:val="24"/>
          <w:szCs w:val="24"/>
        </w:rPr>
        <w:t>.</w:t>
      </w:r>
      <w:r w:rsidR="00855E39" w:rsidRPr="00F675DD">
        <w:rPr>
          <w:rFonts w:ascii="Arial" w:hAnsi="Arial" w:cs="Arial"/>
          <w:b/>
          <w:bCs/>
          <w:sz w:val="24"/>
          <w:szCs w:val="24"/>
        </w:rPr>
        <w:t>3</w:t>
      </w:r>
      <w:r w:rsidRPr="00F675DD">
        <w:rPr>
          <w:rFonts w:ascii="Arial" w:hAnsi="Arial" w:cs="Arial"/>
          <w:b/>
          <w:bCs/>
          <w:sz w:val="24"/>
          <w:szCs w:val="24"/>
        </w:rPr>
        <w:t xml:space="preserve">: Estimated percentage </w:t>
      </w:r>
      <w:r w:rsidR="00027872" w:rsidRPr="00F675DD">
        <w:rPr>
          <w:rFonts w:ascii="Arial" w:hAnsi="Arial" w:cs="Arial"/>
          <w:b/>
          <w:bCs/>
          <w:sz w:val="24"/>
          <w:szCs w:val="24"/>
        </w:rPr>
        <w:t>prevalence of chronic conditions</w:t>
      </w:r>
      <w:r w:rsidRPr="00F675DD">
        <w:rPr>
          <w:rFonts w:ascii="Arial" w:hAnsi="Arial" w:cs="Arial"/>
          <w:b/>
          <w:bCs/>
          <w:sz w:val="24"/>
          <w:szCs w:val="24"/>
        </w:rPr>
        <w:t xml:space="preserve"> based on patients on GP practice registers by cluster, local authority, health board and Wales, 2019</w:t>
      </w:r>
    </w:p>
    <w:tbl>
      <w:tblPr>
        <w:tblW w:w="9177"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876"/>
        <w:gridCol w:w="104"/>
        <w:gridCol w:w="1112"/>
        <w:gridCol w:w="1216"/>
        <w:gridCol w:w="1216"/>
        <w:gridCol w:w="1216"/>
        <w:gridCol w:w="1216"/>
        <w:gridCol w:w="1221"/>
      </w:tblGrid>
      <w:tr w:rsidR="00C7269A" w:rsidRPr="00C7269A" w14:paraId="6970688C" w14:textId="77777777" w:rsidTr="00220656">
        <w:trPr>
          <w:trHeight w:val="296"/>
        </w:trPr>
        <w:tc>
          <w:tcPr>
            <w:tcW w:w="1876" w:type="dxa"/>
            <w:shd w:val="clear" w:color="auto" w:fill="8497B0"/>
            <w:noWrap/>
            <w:vAlign w:val="bottom"/>
            <w:hideMark/>
          </w:tcPr>
          <w:p w14:paraId="43A3F2C3" w14:textId="77777777"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 </w:t>
            </w:r>
          </w:p>
        </w:tc>
        <w:tc>
          <w:tcPr>
            <w:tcW w:w="7301" w:type="dxa"/>
            <w:gridSpan w:val="7"/>
            <w:shd w:val="clear" w:color="auto" w:fill="8497B0"/>
            <w:noWrap/>
            <w:vAlign w:val="bottom"/>
            <w:hideMark/>
          </w:tcPr>
          <w:p w14:paraId="03A4EEF9" w14:textId="77777777" w:rsidR="00C7269A" w:rsidRPr="00220656" w:rsidRDefault="00C7269A" w:rsidP="00DC54F7">
            <w:pPr>
              <w:spacing w:after="0" w:line="240" w:lineRule="auto"/>
              <w:jc w:val="both"/>
              <w:rPr>
                <w:rFonts w:ascii="Calibri" w:eastAsia="Times New Roman" w:hAnsi="Calibri" w:cs="Times New Roman"/>
                <w:b/>
                <w:bCs/>
                <w:color w:val="FFFFFF"/>
                <w:lang w:eastAsia="en-GB"/>
              </w:rPr>
            </w:pPr>
            <w:r w:rsidRPr="00220656">
              <w:rPr>
                <w:rFonts w:ascii="Calibri" w:eastAsia="Times New Roman" w:hAnsi="Calibri" w:cs="Times New Roman"/>
                <w:b/>
                <w:bCs/>
                <w:color w:val="FFFFFF"/>
                <w:lang w:eastAsia="en-GB"/>
              </w:rPr>
              <w:t>Percentage</w:t>
            </w:r>
          </w:p>
        </w:tc>
      </w:tr>
      <w:tr w:rsidR="00C7269A" w:rsidRPr="00C7269A" w14:paraId="68DC2AD6" w14:textId="77777777" w:rsidTr="00220656">
        <w:trPr>
          <w:trHeight w:val="1076"/>
        </w:trPr>
        <w:tc>
          <w:tcPr>
            <w:tcW w:w="1980" w:type="dxa"/>
            <w:gridSpan w:val="2"/>
            <w:shd w:val="clear" w:color="auto" w:fill="8497B0"/>
            <w:noWrap/>
            <w:vAlign w:val="bottom"/>
            <w:hideMark/>
          </w:tcPr>
          <w:p w14:paraId="1867B581" w14:textId="77777777" w:rsidR="00C7269A" w:rsidRPr="00220656" w:rsidRDefault="00C7269A" w:rsidP="00DC54F7">
            <w:pPr>
              <w:spacing w:after="0" w:line="240" w:lineRule="auto"/>
              <w:jc w:val="both"/>
              <w:rPr>
                <w:rFonts w:ascii="Calibri" w:eastAsia="Times New Roman" w:hAnsi="Calibri" w:cs="Times New Roman"/>
                <w:b/>
                <w:bCs/>
                <w:color w:val="FFFFFF"/>
                <w:lang w:eastAsia="en-GB"/>
              </w:rPr>
            </w:pPr>
            <w:r w:rsidRPr="00220656">
              <w:rPr>
                <w:rFonts w:ascii="Calibri" w:eastAsia="Times New Roman" w:hAnsi="Calibri" w:cs="Times New Roman"/>
                <w:b/>
                <w:bCs/>
                <w:color w:val="FFFFFF"/>
                <w:lang w:eastAsia="en-GB"/>
              </w:rPr>
              <w:t> </w:t>
            </w:r>
          </w:p>
        </w:tc>
        <w:tc>
          <w:tcPr>
            <w:tcW w:w="1112" w:type="dxa"/>
            <w:shd w:val="clear" w:color="auto" w:fill="8497B0"/>
            <w:vAlign w:val="bottom"/>
            <w:hideMark/>
          </w:tcPr>
          <w:p w14:paraId="5DAAC5E4" w14:textId="77777777" w:rsidR="00C7269A" w:rsidRPr="00220656" w:rsidRDefault="00C7269A" w:rsidP="00DC54F7">
            <w:pPr>
              <w:spacing w:after="0" w:line="240" w:lineRule="auto"/>
              <w:jc w:val="both"/>
              <w:rPr>
                <w:rFonts w:ascii="Calibri" w:eastAsia="Times New Roman" w:hAnsi="Calibri" w:cs="Times New Roman"/>
                <w:b/>
                <w:bCs/>
                <w:color w:val="FFFFFF"/>
                <w:lang w:eastAsia="en-GB"/>
              </w:rPr>
            </w:pPr>
            <w:r w:rsidRPr="00220656">
              <w:rPr>
                <w:rFonts w:ascii="Calibri" w:eastAsia="Times New Roman" w:hAnsi="Calibri" w:cs="Times New Roman"/>
                <w:b/>
                <w:bCs/>
                <w:color w:val="FFFFFF"/>
                <w:lang w:eastAsia="en-GB"/>
              </w:rPr>
              <w:t>Asthma</w:t>
            </w:r>
          </w:p>
        </w:tc>
        <w:tc>
          <w:tcPr>
            <w:tcW w:w="1216" w:type="dxa"/>
            <w:shd w:val="clear" w:color="auto" w:fill="8497B0"/>
            <w:vAlign w:val="bottom"/>
            <w:hideMark/>
          </w:tcPr>
          <w:p w14:paraId="7B76A639" w14:textId="77777777" w:rsidR="00C7269A" w:rsidRPr="00220656" w:rsidRDefault="00C7269A" w:rsidP="00DC54F7">
            <w:pPr>
              <w:spacing w:after="0" w:line="240" w:lineRule="auto"/>
              <w:jc w:val="both"/>
              <w:rPr>
                <w:rFonts w:ascii="Calibri" w:eastAsia="Times New Roman" w:hAnsi="Calibri" w:cs="Times New Roman"/>
                <w:b/>
                <w:bCs/>
                <w:color w:val="FFFFFF"/>
                <w:lang w:eastAsia="en-GB"/>
              </w:rPr>
            </w:pPr>
            <w:r w:rsidRPr="00220656">
              <w:rPr>
                <w:rFonts w:ascii="Calibri" w:eastAsia="Times New Roman" w:hAnsi="Calibri" w:cs="Times New Roman"/>
                <w:b/>
                <w:bCs/>
                <w:color w:val="FFFFFF"/>
                <w:lang w:eastAsia="en-GB"/>
              </w:rPr>
              <w:t>Coronary heart disease</w:t>
            </w:r>
          </w:p>
        </w:tc>
        <w:tc>
          <w:tcPr>
            <w:tcW w:w="1216" w:type="dxa"/>
            <w:shd w:val="clear" w:color="auto" w:fill="8497B0"/>
            <w:vAlign w:val="bottom"/>
            <w:hideMark/>
          </w:tcPr>
          <w:p w14:paraId="11D3D637" w14:textId="77777777" w:rsidR="00C7269A" w:rsidRPr="00220656" w:rsidRDefault="00C7269A" w:rsidP="00DC54F7">
            <w:pPr>
              <w:spacing w:after="0" w:line="240" w:lineRule="auto"/>
              <w:jc w:val="both"/>
              <w:rPr>
                <w:rFonts w:ascii="Calibri" w:eastAsia="Times New Roman" w:hAnsi="Calibri" w:cs="Times New Roman"/>
                <w:b/>
                <w:bCs/>
                <w:color w:val="FFFFFF"/>
                <w:lang w:eastAsia="en-GB"/>
              </w:rPr>
            </w:pPr>
            <w:r w:rsidRPr="00220656">
              <w:rPr>
                <w:rFonts w:ascii="Calibri" w:eastAsia="Times New Roman" w:hAnsi="Calibri" w:cs="Times New Roman"/>
                <w:b/>
                <w:bCs/>
                <w:color w:val="FFFFFF"/>
                <w:lang w:eastAsia="en-GB"/>
              </w:rPr>
              <w:t>COPD</w:t>
            </w:r>
          </w:p>
        </w:tc>
        <w:tc>
          <w:tcPr>
            <w:tcW w:w="1216" w:type="dxa"/>
            <w:shd w:val="clear" w:color="auto" w:fill="8497B0"/>
            <w:vAlign w:val="bottom"/>
            <w:hideMark/>
          </w:tcPr>
          <w:p w14:paraId="06CDB90D" w14:textId="77777777" w:rsidR="00C7269A" w:rsidRPr="00220656" w:rsidRDefault="00C7269A" w:rsidP="00DC54F7">
            <w:pPr>
              <w:spacing w:after="0" w:line="240" w:lineRule="auto"/>
              <w:jc w:val="both"/>
              <w:rPr>
                <w:rFonts w:ascii="Calibri" w:eastAsia="Times New Roman" w:hAnsi="Calibri" w:cs="Times New Roman"/>
                <w:b/>
                <w:bCs/>
                <w:color w:val="FFFFFF"/>
                <w:lang w:eastAsia="en-GB"/>
              </w:rPr>
            </w:pPr>
            <w:r w:rsidRPr="00220656">
              <w:rPr>
                <w:rFonts w:ascii="Calibri" w:eastAsia="Times New Roman" w:hAnsi="Calibri" w:cs="Times New Roman"/>
                <w:b/>
                <w:bCs/>
                <w:color w:val="FFFFFF"/>
                <w:lang w:eastAsia="en-GB"/>
              </w:rPr>
              <w:t>Diabetes</w:t>
            </w:r>
          </w:p>
        </w:tc>
        <w:tc>
          <w:tcPr>
            <w:tcW w:w="1216" w:type="dxa"/>
            <w:shd w:val="clear" w:color="auto" w:fill="8497B0"/>
            <w:vAlign w:val="bottom"/>
            <w:hideMark/>
          </w:tcPr>
          <w:p w14:paraId="1D40DCA0" w14:textId="77777777" w:rsidR="00C7269A" w:rsidRPr="00220656" w:rsidRDefault="00C7269A" w:rsidP="00DC54F7">
            <w:pPr>
              <w:spacing w:after="0" w:line="240" w:lineRule="auto"/>
              <w:jc w:val="both"/>
              <w:rPr>
                <w:rFonts w:ascii="Calibri" w:eastAsia="Times New Roman" w:hAnsi="Calibri" w:cs="Times New Roman"/>
                <w:b/>
                <w:bCs/>
                <w:color w:val="FFFFFF"/>
                <w:lang w:eastAsia="en-GB"/>
              </w:rPr>
            </w:pPr>
            <w:r w:rsidRPr="00220656">
              <w:rPr>
                <w:rFonts w:ascii="Calibri" w:eastAsia="Times New Roman" w:hAnsi="Calibri" w:cs="Times New Roman"/>
                <w:b/>
                <w:bCs/>
                <w:color w:val="FFFFFF"/>
                <w:lang w:eastAsia="en-GB"/>
              </w:rPr>
              <w:t>Heart failure</w:t>
            </w:r>
          </w:p>
        </w:tc>
        <w:tc>
          <w:tcPr>
            <w:tcW w:w="1221" w:type="dxa"/>
            <w:shd w:val="clear" w:color="auto" w:fill="8497B0"/>
            <w:vAlign w:val="bottom"/>
            <w:hideMark/>
          </w:tcPr>
          <w:p w14:paraId="5C5CA2BE" w14:textId="77777777" w:rsidR="00C7269A" w:rsidRPr="00220656" w:rsidRDefault="00C7269A" w:rsidP="00DC54F7">
            <w:pPr>
              <w:spacing w:after="0" w:line="240" w:lineRule="auto"/>
              <w:jc w:val="both"/>
              <w:rPr>
                <w:rFonts w:ascii="Calibri" w:eastAsia="Times New Roman" w:hAnsi="Calibri" w:cs="Times New Roman"/>
                <w:b/>
                <w:bCs/>
                <w:color w:val="FFFFFF"/>
                <w:lang w:eastAsia="en-GB"/>
              </w:rPr>
            </w:pPr>
            <w:r w:rsidRPr="00220656">
              <w:rPr>
                <w:rFonts w:ascii="Calibri" w:eastAsia="Times New Roman" w:hAnsi="Calibri" w:cs="Times New Roman"/>
                <w:b/>
                <w:bCs/>
                <w:color w:val="FFFFFF"/>
                <w:lang w:eastAsia="en-GB"/>
              </w:rPr>
              <w:t>Stroke and transient ischaemic attacks</w:t>
            </w:r>
          </w:p>
        </w:tc>
      </w:tr>
      <w:tr w:rsidR="00C7269A" w:rsidRPr="00C7269A" w14:paraId="706636DE" w14:textId="77777777" w:rsidTr="00220656">
        <w:trPr>
          <w:trHeight w:val="296"/>
        </w:trPr>
        <w:tc>
          <w:tcPr>
            <w:tcW w:w="1980" w:type="dxa"/>
            <w:gridSpan w:val="2"/>
            <w:shd w:val="clear" w:color="000000" w:fill="F2F2F2"/>
            <w:noWrap/>
            <w:vAlign w:val="bottom"/>
            <w:hideMark/>
          </w:tcPr>
          <w:p w14:paraId="61644F72" w14:textId="77777777"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Western Vale</w:t>
            </w:r>
          </w:p>
        </w:tc>
        <w:tc>
          <w:tcPr>
            <w:tcW w:w="1112" w:type="dxa"/>
            <w:shd w:val="clear" w:color="000000" w:fill="F2F2F2"/>
            <w:noWrap/>
            <w:vAlign w:val="bottom"/>
            <w:hideMark/>
          </w:tcPr>
          <w:p w14:paraId="6048C458" w14:textId="2E167E2F"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6.3</w:t>
            </w:r>
          </w:p>
        </w:tc>
        <w:tc>
          <w:tcPr>
            <w:tcW w:w="1216" w:type="dxa"/>
            <w:shd w:val="clear" w:color="000000" w:fill="F2F2F2"/>
            <w:noWrap/>
            <w:vAlign w:val="bottom"/>
            <w:hideMark/>
          </w:tcPr>
          <w:p w14:paraId="62A14E71" w14:textId="7867CE9D"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3.3</w:t>
            </w:r>
          </w:p>
        </w:tc>
        <w:tc>
          <w:tcPr>
            <w:tcW w:w="1216" w:type="dxa"/>
            <w:shd w:val="clear" w:color="000000" w:fill="F2F2F2"/>
            <w:noWrap/>
            <w:vAlign w:val="bottom"/>
            <w:hideMark/>
          </w:tcPr>
          <w:p w14:paraId="614B2329" w14:textId="026ED7AF"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1.4</w:t>
            </w:r>
          </w:p>
        </w:tc>
        <w:tc>
          <w:tcPr>
            <w:tcW w:w="1216" w:type="dxa"/>
            <w:shd w:val="clear" w:color="000000" w:fill="F2F2F2"/>
            <w:noWrap/>
            <w:vAlign w:val="bottom"/>
            <w:hideMark/>
          </w:tcPr>
          <w:p w14:paraId="1A90BB22" w14:textId="0D3CF998"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5.2</w:t>
            </w:r>
          </w:p>
        </w:tc>
        <w:tc>
          <w:tcPr>
            <w:tcW w:w="1216" w:type="dxa"/>
            <w:shd w:val="clear" w:color="000000" w:fill="F2F2F2"/>
            <w:noWrap/>
            <w:vAlign w:val="bottom"/>
            <w:hideMark/>
          </w:tcPr>
          <w:p w14:paraId="3D67B5A8" w14:textId="68885890"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1.4</w:t>
            </w:r>
          </w:p>
        </w:tc>
        <w:tc>
          <w:tcPr>
            <w:tcW w:w="1221" w:type="dxa"/>
            <w:shd w:val="clear" w:color="000000" w:fill="F2F2F2"/>
            <w:noWrap/>
            <w:vAlign w:val="bottom"/>
            <w:hideMark/>
          </w:tcPr>
          <w:p w14:paraId="4EB0D19C" w14:textId="32E88382"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2.5</w:t>
            </w:r>
          </w:p>
        </w:tc>
      </w:tr>
      <w:tr w:rsidR="00C7269A" w:rsidRPr="00C7269A" w14:paraId="66A3EA85" w14:textId="77777777" w:rsidTr="00220656">
        <w:trPr>
          <w:trHeight w:val="296"/>
        </w:trPr>
        <w:tc>
          <w:tcPr>
            <w:tcW w:w="1980" w:type="dxa"/>
            <w:gridSpan w:val="2"/>
            <w:shd w:val="clear" w:color="E2EFDA" w:fill="FFFFFF"/>
            <w:noWrap/>
            <w:vAlign w:val="bottom"/>
            <w:hideMark/>
          </w:tcPr>
          <w:p w14:paraId="1C53E3C1" w14:textId="77777777"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Vale of Glamorgan</w:t>
            </w:r>
          </w:p>
        </w:tc>
        <w:tc>
          <w:tcPr>
            <w:tcW w:w="1112" w:type="dxa"/>
            <w:shd w:val="clear" w:color="E2EFDA" w:fill="FFFFFF"/>
            <w:noWrap/>
            <w:vAlign w:val="bottom"/>
            <w:hideMark/>
          </w:tcPr>
          <w:p w14:paraId="59551564" w14:textId="2FF39436"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6.8</w:t>
            </w:r>
          </w:p>
        </w:tc>
        <w:tc>
          <w:tcPr>
            <w:tcW w:w="1216" w:type="dxa"/>
            <w:shd w:val="clear" w:color="E2EFDA" w:fill="FFFFFF"/>
            <w:noWrap/>
            <w:vAlign w:val="bottom"/>
            <w:hideMark/>
          </w:tcPr>
          <w:p w14:paraId="30227299" w14:textId="07229E6E"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3.3</w:t>
            </w:r>
          </w:p>
        </w:tc>
        <w:tc>
          <w:tcPr>
            <w:tcW w:w="1216" w:type="dxa"/>
            <w:shd w:val="clear" w:color="E2EFDA" w:fill="FFFFFF"/>
            <w:noWrap/>
            <w:vAlign w:val="bottom"/>
            <w:hideMark/>
          </w:tcPr>
          <w:p w14:paraId="3493262F" w14:textId="7154FE3B"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1.9</w:t>
            </w:r>
          </w:p>
        </w:tc>
        <w:tc>
          <w:tcPr>
            <w:tcW w:w="1216" w:type="dxa"/>
            <w:shd w:val="clear" w:color="E2EFDA" w:fill="FFFFFF"/>
            <w:noWrap/>
            <w:vAlign w:val="bottom"/>
            <w:hideMark/>
          </w:tcPr>
          <w:p w14:paraId="0C2CA14F" w14:textId="773FE367"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5.5</w:t>
            </w:r>
          </w:p>
        </w:tc>
        <w:tc>
          <w:tcPr>
            <w:tcW w:w="1216" w:type="dxa"/>
            <w:shd w:val="clear" w:color="E2EFDA" w:fill="FFFFFF"/>
            <w:noWrap/>
            <w:vAlign w:val="bottom"/>
            <w:hideMark/>
          </w:tcPr>
          <w:p w14:paraId="27350B13" w14:textId="51BA7849"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1.1</w:t>
            </w:r>
          </w:p>
        </w:tc>
        <w:tc>
          <w:tcPr>
            <w:tcW w:w="1221" w:type="dxa"/>
            <w:shd w:val="clear" w:color="E2EFDA" w:fill="FFFFFF"/>
            <w:noWrap/>
            <w:vAlign w:val="bottom"/>
            <w:hideMark/>
          </w:tcPr>
          <w:p w14:paraId="38F6944C" w14:textId="1D09DCB5"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2.1</w:t>
            </w:r>
          </w:p>
        </w:tc>
      </w:tr>
      <w:tr w:rsidR="00C7269A" w:rsidRPr="00C7269A" w14:paraId="2B5BE77C" w14:textId="77777777" w:rsidTr="00220656">
        <w:trPr>
          <w:trHeight w:val="296"/>
        </w:trPr>
        <w:tc>
          <w:tcPr>
            <w:tcW w:w="1980" w:type="dxa"/>
            <w:gridSpan w:val="2"/>
            <w:shd w:val="clear" w:color="000000" w:fill="F2F2F2"/>
            <w:noWrap/>
            <w:vAlign w:val="bottom"/>
            <w:hideMark/>
          </w:tcPr>
          <w:p w14:paraId="3968D206" w14:textId="77777777"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Cardiff &amp; Vale UHB</w:t>
            </w:r>
          </w:p>
        </w:tc>
        <w:tc>
          <w:tcPr>
            <w:tcW w:w="1112" w:type="dxa"/>
            <w:shd w:val="clear" w:color="000000" w:fill="F2F2F2"/>
            <w:noWrap/>
            <w:vAlign w:val="bottom"/>
            <w:hideMark/>
          </w:tcPr>
          <w:p w14:paraId="054E04A1" w14:textId="2E89ABDE"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6.7</w:t>
            </w:r>
          </w:p>
        </w:tc>
        <w:tc>
          <w:tcPr>
            <w:tcW w:w="1216" w:type="dxa"/>
            <w:shd w:val="clear" w:color="000000" w:fill="F2F2F2"/>
            <w:noWrap/>
            <w:vAlign w:val="bottom"/>
            <w:hideMark/>
          </w:tcPr>
          <w:p w14:paraId="1D143CCD" w14:textId="56248673"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2.7</w:t>
            </w:r>
          </w:p>
        </w:tc>
        <w:tc>
          <w:tcPr>
            <w:tcW w:w="1216" w:type="dxa"/>
            <w:shd w:val="clear" w:color="000000" w:fill="F2F2F2"/>
            <w:noWrap/>
            <w:vAlign w:val="bottom"/>
            <w:hideMark/>
          </w:tcPr>
          <w:p w14:paraId="2C6D53AC" w14:textId="64AA1D56"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1.7</w:t>
            </w:r>
          </w:p>
        </w:tc>
        <w:tc>
          <w:tcPr>
            <w:tcW w:w="1216" w:type="dxa"/>
            <w:shd w:val="clear" w:color="000000" w:fill="F2F2F2"/>
            <w:noWrap/>
            <w:vAlign w:val="bottom"/>
            <w:hideMark/>
          </w:tcPr>
          <w:p w14:paraId="792FC718" w14:textId="6903E68B"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5.0</w:t>
            </w:r>
          </w:p>
        </w:tc>
        <w:tc>
          <w:tcPr>
            <w:tcW w:w="1216" w:type="dxa"/>
            <w:shd w:val="clear" w:color="000000" w:fill="F2F2F2"/>
            <w:noWrap/>
            <w:vAlign w:val="bottom"/>
            <w:hideMark/>
          </w:tcPr>
          <w:p w14:paraId="38F5ED37" w14:textId="79A5588A"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0.9</w:t>
            </w:r>
          </w:p>
        </w:tc>
        <w:tc>
          <w:tcPr>
            <w:tcW w:w="1221" w:type="dxa"/>
            <w:shd w:val="clear" w:color="000000" w:fill="F2F2F2"/>
            <w:noWrap/>
            <w:vAlign w:val="bottom"/>
            <w:hideMark/>
          </w:tcPr>
          <w:p w14:paraId="4D9A1672" w14:textId="539268EC"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1.7</w:t>
            </w:r>
          </w:p>
        </w:tc>
      </w:tr>
      <w:tr w:rsidR="00C7269A" w:rsidRPr="00C7269A" w14:paraId="49B1C242" w14:textId="77777777" w:rsidTr="00220656">
        <w:trPr>
          <w:trHeight w:val="296"/>
        </w:trPr>
        <w:tc>
          <w:tcPr>
            <w:tcW w:w="1980" w:type="dxa"/>
            <w:gridSpan w:val="2"/>
            <w:shd w:val="clear" w:color="E2EFDA" w:fill="FFFFFF"/>
            <w:noWrap/>
            <w:vAlign w:val="bottom"/>
            <w:hideMark/>
          </w:tcPr>
          <w:p w14:paraId="7FCC523D" w14:textId="77777777"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Wales</w:t>
            </w:r>
          </w:p>
        </w:tc>
        <w:tc>
          <w:tcPr>
            <w:tcW w:w="1112" w:type="dxa"/>
            <w:shd w:val="clear" w:color="E2EFDA" w:fill="FFFFFF"/>
            <w:noWrap/>
            <w:vAlign w:val="bottom"/>
            <w:hideMark/>
          </w:tcPr>
          <w:p w14:paraId="5C7BF854" w14:textId="72932BBA"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7.1</w:t>
            </w:r>
          </w:p>
        </w:tc>
        <w:tc>
          <w:tcPr>
            <w:tcW w:w="1216" w:type="dxa"/>
            <w:shd w:val="clear" w:color="E2EFDA" w:fill="FFFFFF"/>
            <w:noWrap/>
            <w:vAlign w:val="bottom"/>
            <w:hideMark/>
          </w:tcPr>
          <w:p w14:paraId="1AF28642" w14:textId="5246D539"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3.6</w:t>
            </w:r>
          </w:p>
        </w:tc>
        <w:tc>
          <w:tcPr>
            <w:tcW w:w="1216" w:type="dxa"/>
            <w:shd w:val="clear" w:color="E2EFDA" w:fill="FFFFFF"/>
            <w:noWrap/>
            <w:vAlign w:val="bottom"/>
            <w:hideMark/>
          </w:tcPr>
          <w:p w14:paraId="6515605A" w14:textId="6D345F68"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2.4</w:t>
            </w:r>
          </w:p>
        </w:tc>
        <w:tc>
          <w:tcPr>
            <w:tcW w:w="1216" w:type="dxa"/>
            <w:shd w:val="clear" w:color="E2EFDA" w:fill="FFFFFF"/>
            <w:noWrap/>
            <w:vAlign w:val="bottom"/>
            <w:hideMark/>
          </w:tcPr>
          <w:p w14:paraId="001E3664" w14:textId="55B053B6"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6.1</w:t>
            </w:r>
          </w:p>
        </w:tc>
        <w:tc>
          <w:tcPr>
            <w:tcW w:w="1216" w:type="dxa"/>
            <w:shd w:val="clear" w:color="E2EFDA" w:fill="FFFFFF"/>
            <w:noWrap/>
            <w:vAlign w:val="bottom"/>
            <w:hideMark/>
          </w:tcPr>
          <w:p w14:paraId="221937B4" w14:textId="5742A609"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1.1</w:t>
            </w:r>
          </w:p>
        </w:tc>
        <w:tc>
          <w:tcPr>
            <w:tcW w:w="1221" w:type="dxa"/>
            <w:shd w:val="clear" w:color="E2EFDA" w:fill="FFFFFF"/>
            <w:noWrap/>
            <w:vAlign w:val="bottom"/>
            <w:hideMark/>
          </w:tcPr>
          <w:p w14:paraId="3C7AAFA9" w14:textId="32D0063E" w:rsidR="00C7269A" w:rsidRPr="00220656" w:rsidRDefault="00C7269A" w:rsidP="00DC54F7">
            <w:pPr>
              <w:spacing w:after="0" w:line="240" w:lineRule="auto"/>
              <w:jc w:val="both"/>
              <w:rPr>
                <w:rFonts w:ascii="Calibri" w:eastAsia="Times New Roman" w:hAnsi="Calibri" w:cs="Times New Roman"/>
                <w:color w:val="000000"/>
                <w:lang w:eastAsia="en-GB"/>
              </w:rPr>
            </w:pPr>
            <w:r w:rsidRPr="00220656">
              <w:rPr>
                <w:rFonts w:ascii="Calibri" w:eastAsia="Times New Roman" w:hAnsi="Calibri" w:cs="Times New Roman"/>
                <w:color w:val="000000"/>
                <w:lang w:eastAsia="en-GB"/>
              </w:rPr>
              <w:t>2.1</w:t>
            </w:r>
          </w:p>
        </w:tc>
      </w:tr>
    </w:tbl>
    <w:p w14:paraId="124F2B47" w14:textId="77777777" w:rsidR="00E62DB7" w:rsidRPr="00220656" w:rsidRDefault="00E62DB7" w:rsidP="00DC54F7">
      <w:pPr>
        <w:jc w:val="both"/>
        <w:rPr>
          <w:rFonts w:ascii="Arial" w:hAnsi="Arial" w:cs="Arial"/>
          <w:sz w:val="20"/>
          <w:szCs w:val="20"/>
        </w:rPr>
      </w:pPr>
      <w:r w:rsidRPr="00220656">
        <w:rPr>
          <w:rFonts w:ascii="Arial" w:hAnsi="Arial" w:cs="Arial"/>
          <w:sz w:val="20"/>
          <w:szCs w:val="20"/>
        </w:rPr>
        <w:t>Source: QOF 2019</w:t>
      </w:r>
    </w:p>
    <w:p w14:paraId="7EDBF92C" w14:textId="1E405366" w:rsidR="00040FEE" w:rsidRPr="00220656" w:rsidRDefault="00040FEE" w:rsidP="00DC54F7">
      <w:pPr>
        <w:spacing w:after="0" w:line="240" w:lineRule="auto"/>
        <w:jc w:val="both"/>
        <w:rPr>
          <w:rFonts w:ascii="Arial" w:hAnsi="Arial" w:cs="Arial"/>
          <w:b/>
          <w:sz w:val="24"/>
          <w:szCs w:val="24"/>
        </w:rPr>
      </w:pPr>
      <w:r w:rsidRPr="00220656">
        <w:rPr>
          <w:rFonts w:ascii="Arial" w:hAnsi="Arial" w:cs="Arial"/>
          <w:sz w:val="24"/>
          <w:szCs w:val="24"/>
        </w:rPr>
        <w:t xml:space="preserve">The estimated prevalence of dementia in Western Vale </w:t>
      </w:r>
      <w:r w:rsidR="008B6A66">
        <w:rPr>
          <w:rFonts w:ascii="Arial" w:hAnsi="Arial" w:cs="Arial"/>
          <w:sz w:val="24"/>
          <w:szCs w:val="24"/>
        </w:rPr>
        <w:t xml:space="preserve">cluster </w:t>
      </w:r>
      <w:r w:rsidRPr="00220656">
        <w:rPr>
          <w:rFonts w:ascii="Arial" w:hAnsi="Arial" w:cs="Arial"/>
          <w:sz w:val="24"/>
          <w:szCs w:val="24"/>
        </w:rPr>
        <w:t xml:space="preserve">is higher than the average for Wales and the </w:t>
      </w:r>
      <w:r w:rsidR="000957C1" w:rsidRPr="00220656">
        <w:rPr>
          <w:rFonts w:ascii="Arial" w:hAnsi="Arial" w:cs="Arial"/>
          <w:sz w:val="24"/>
          <w:szCs w:val="24"/>
        </w:rPr>
        <w:t xml:space="preserve">joint second </w:t>
      </w:r>
      <w:r w:rsidRPr="00220656">
        <w:rPr>
          <w:rFonts w:ascii="Arial" w:hAnsi="Arial" w:cs="Arial"/>
          <w:sz w:val="24"/>
          <w:szCs w:val="24"/>
        </w:rPr>
        <w:t xml:space="preserve">highest of all the clusters in the health board. The estimated prevalence for mental health is lower than the average for Wales and the </w:t>
      </w:r>
      <w:r w:rsidR="00CA1F61">
        <w:rPr>
          <w:rFonts w:ascii="Arial" w:hAnsi="Arial" w:cs="Arial"/>
          <w:sz w:val="24"/>
          <w:szCs w:val="24"/>
        </w:rPr>
        <w:t xml:space="preserve">joint </w:t>
      </w:r>
      <w:r w:rsidR="00B06839" w:rsidRPr="00220656">
        <w:rPr>
          <w:rFonts w:ascii="Arial" w:hAnsi="Arial" w:cs="Arial"/>
          <w:sz w:val="24"/>
          <w:szCs w:val="24"/>
        </w:rPr>
        <w:t xml:space="preserve">lowest within the </w:t>
      </w:r>
      <w:r w:rsidRPr="00220656">
        <w:rPr>
          <w:rFonts w:ascii="Arial" w:hAnsi="Arial" w:cs="Arial"/>
          <w:sz w:val="24"/>
          <w:szCs w:val="24"/>
        </w:rPr>
        <w:t>health boar</w:t>
      </w:r>
      <w:r w:rsidR="00B06839" w:rsidRPr="00220656">
        <w:rPr>
          <w:rFonts w:ascii="Arial" w:hAnsi="Arial" w:cs="Arial"/>
          <w:sz w:val="24"/>
          <w:szCs w:val="24"/>
        </w:rPr>
        <w:t>d.</w:t>
      </w:r>
    </w:p>
    <w:p w14:paraId="2195C477" w14:textId="77777777" w:rsidR="00040FEE" w:rsidRPr="00220656" w:rsidRDefault="00040FEE" w:rsidP="00DC54F7">
      <w:pPr>
        <w:spacing w:after="0" w:line="240" w:lineRule="auto"/>
        <w:jc w:val="both"/>
        <w:rPr>
          <w:rFonts w:ascii="Arial" w:hAnsi="Arial" w:cs="Arial"/>
          <w:b/>
          <w:sz w:val="24"/>
          <w:szCs w:val="24"/>
        </w:rPr>
      </w:pPr>
    </w:p>
    <w:p w14:paraId="7723931F" w14:textId="789FF93D" w:rsidR="002C262A" w:rsidRPr="00220656" w:rsidRDefault="00040FEE" w:rsidP="00DC54F7">
      <w:pPr>
        <w:spacing w:after="0" w:line="240" w:lineRule="auto"/>
        <w:jc w:val="both"/>
        <w:rPr>
          <w:sz w:val="24"/>
          <w:szCs w:val="24"/>
        </w:rPr>
      </w:pPr>
      <w:r w:rsidRPr="00220656">
        <w:rPr>
          <w:rFonts w:ascii="Arial" w:hAnsi="Arial" w:cs="Arial"/>
          <w:b/>
          <w:bCs/>
          <w:sz w:val="24"/>
          <w:szCs w:val="24"/>
        </w:rPr>
        <w:t>Table 16.</w:t>
      </w:r>
      <w:r w:rsidR="00855E39" w:rsidRPr="00220656">
        <w:rPr>
          <w:rFonts w:ascii="Arial" w:hAnsi="Arial" w:cs="Arial"/>
          <w:b/>
          <w:bCs/>
          <w:sz w:val="24"/>
          <w:szCs w:val="24"/>
        </w:rPr>
        <w:t>4</w:t>
      </w:r>
      <w:r w:rsidRPr="00220656">
        <w:rPr>
          <w:rFonts w:ascii="Arial" w:hAnsi="Arial" w:cs="Arial"/>
          <w:b/>
          <w:bCs/>
          <w:sz w:val="24"/>
          <w:szCs w:val="24"/>
        </w:rPr>
        <w:t>: Percentage of patients registered as having a mental health condition, and dementia by cluster, local authority, health board and Wales, 2019</w:t>
      </w:r>
    </w:p>
    <w:tbl>
      <w:tblPr>
        <w:tblW w:w="9051"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017"/>
        <w:gridCol w:w="3017"/>
        <w:gridCol w:w="3017"/>
      </w:tblGrid>
      <w:tr w:rsidR="002C262A" w:rsidRPr="002C262A" w14:paraId="695C08AF" w14:textId="77777777" w:rsidTr="00855E39">
        <w:trPr>
          <w:trHeight w:val="283"/>
        </w:trPr>
        <w:tc>
          <w:tcPr>
            <w:tcW w:w="3017" w:type="dxa"/>
            <w:shd w:val="clear" w:color="auto" w:fill="8497B0"/>
            <w:noWrap/>
            <w:vAlign w:val="bottom"/>
            <w:hideMark/>
          </w:tcPr>
          <w:p w14:paraId="67922563" w14:textId="77777777" w:rsidR="002C262A" w:rsidRPr="00220656" w:rsidRDefault="002C262A" w:rsidP="00DC54F7">
            <w:pPr>
              <w:spacing w:after="0" w:line="240" w:lineRule="auto"/>
              <w:jc w:val="both"/>
              <w:rPr>
                <w:rFonts w:eastAsia="Times New Roman" w:cstheme="minorHAnsi"/>
                <w:b/>
                <w:bCs/>
                <w:color w:val="FFFFFF"/>
                <w:lang w:eastAsia="en-GB"/>
              </w:rPr>
            </w:pPr>
            <w:r w:rsidRPr="00220656">
              <w:rPr>
                <w:rFonts w:eastAsia="Times New Roman" w:cstheme="minorHAnsi"/>
                <w:b/>
                <w:bCs/>
                <w:color w:val="FFFFFF"/>
                <w:lang w:eastAsia="en-GB"/>
              </w:rPr>
              <w:t> </w:t>
            </w:r>
          </w:p>
        </w:tc>
        <w:tc>
          <w:tcPr>
            <w:tcW w:w="3017" w:type="dxa"/>
            <w:shd w:val="clear" w:color="auto" w:fill="8497B0"/>
            <w:noWrap/>
            <w:vAlign w:val="bottom"/>
            <w:hideMark/>
          </w:tcPr>
          <w:p w14:paraId="6CB1381B" w14:textId="77777777" w:rsidR="002C262A" w:rsidRPr="00220656" w:rsidRDefault="002C262A" w:rsidP="00DC54F7">
            <w:pPr>
              <w:spacing w:after="0" w:line="240" w:lineRule="auto"/>
              <w:jc w:val="both"/>
              <w:rPr>
                <w:rFonts w:eastAsia="Times New Roman" w:cstheme="minorHAnsi"/>
                <w:b/>
                <w:bCs/>
                <w:color w:val="FFFFFF"/>
                <w:lang w:eastAsia="en-GB"/>
              </w:rPr>
            </w:pPr>
            <w:r w:rsidRPr="00220656">
              <w:rPr>
                <w:rFonts w:eastAsia="Times New Roman" w:cstheme="minorHAnsi"/>
                <w:b/>
                <w:bCs/>
                <w:color w:val="FFFFFF"/>
                <w:lang w:eastAsia="en-GB"/>
              </w:rPr>
              <w:t>Dementia (percentage)</w:t>
            </w:r>
          </w:p>
        </w:tc>
        <w:tc>
          <w:tcPr>
            <w:tcW w:w="3017" w:type="dxa"/>
            <w:shd w:val="clear" w:color="auto" w:fill="8497B0"/>
            <w:vAlign w:val="bottom"/>
            <w:hideMark/>
          </w:tcPr>
          <w:p w14:paraId="65C24849" w14:textId="77777777" w:rsidR="002C262A" w:rsidRPr="00220656" w:rsidRDefault="002C262A" w:rsidP="00DC54F7">
            <w:pPr>
              <w:spacing w:after="0" w:line="240" w:lineRule="auto"/>
              <w:jc w:val="both"/>
              <w:rPr>
                <w:rFonts w:eastAsia="Times New Roman" w:cstheme="minorHAnsi"/>
                <w:b/>
                <w:bCs/>
                <w:color w:val="FFFFFF"/>
                <w:lang w:eastAsia="en-GB"/>
              </w:rPr>
            </w:pPr>
            <w:r w:rsidRPr="00220656">
              <w:rPr>
                <w:rFonts w:eastAsia="Times New Roman" w:cstheme="minorHAnsi"/>
                <w:b/>
                <w:bCs/>
                <w:color w:val="FFFFFF"/>
                <w:lang w:eastAsia="en-GB"/>
              </w:rPr>
              <w:t>Mental Health (percentage)</w:t>
            </w:r>
          </w:p>
        </w:tc>
      </w:tr>
      <w:tr w:rsidR="002C262A" w:rsidRPr="002C262A" w14:paraId="73A2E3EA" w14:textId="77777777" w:rsidTr="00855E39">
        <w:trPr>
          <w:trHeight w:val="283"/>
        </w:trPr>
        <w:tc>
          <w:tcPr>
            <w:tcW w:w="3017" w:type="dxa"/>
            <w:shd w:val="clear" w:color="000000" w:fill="F2F2F2"/>
            <w:noWrap/>
            <w:vAlign w:val="bottom"/>
            <w:hideMark/>
          </w:tcPr>
          <w:p w14:paraId="0AC61E8F" w14:textId="77777777" w:rsidR="002C262A" w:rsidRPr="00220656" w:rsidRDefault="002C262A" w:rsidP="00DC54F7">
            <w:pPr>
              <w:spacing w:after="0" w:line="240" w:lineRule="auto"/>
              <w:jc w:val="both"/>
              <w:rPr>
                <w:rFonts w:eastAsia="Times New Roman" w:cstheme="minorHAnsi"/>
                <w:color w:val="000000"/>
                <w:lang w:eastAsia="en-GB"/>
              </w:rPr>
            </w:pPr>
            <w:r w:rsidRPr="00220656">
              <w:rPr>
                <w:rFonts w:eastAsia="Times New Roman" w:cstheme="minorHAnsi"/>
                <w:color w:val="000000"/>
                <w:lang w:eastAsia="en-GB"/>
              </w:rPr>
              <w:t>Western Vale</w:t>
            </w:r>
          </w:p>
        </w:tc>
        <w:tc>
          <w:tcPr>
            <w:tcW w:w="3017" w:type="dxa"/>
            <w:shd w:val="clear" w:color="000000" w:fill="F2F2F2"/>
            <w:noWrap/>
            <w:vAlign w:val="bottom"/>
            <w:hideMark/>
          </w:tcPr>
          <w:p w14:paraId="6D8F0686" w14:textId="75776E57" w:rsidR="002C262A" w:rsidRPr="00220656" w:rsidRDefault="002C262A" w:rsidP="00DC54F7">
            <w:pPr>
              <w:spacing w:after="0" w:line="240" w:lineRule="auto"/>
              <w:jc w:val="both"/>
              <w:rPr>
                <w:rFonts w:eastAsia="Times New Roman" w:cstheme="minorHAnsi"/>
                <w:color w:val="000000"/>
                <w:lang w:eastAsia="en-GB"/>
              </w:rPr>
            </w:pPr>
            <w:r w:rsidRPr="00220656">
              <w:rPr>
                <w:rFonts w:eastAsia="Times New Roman" w:cstheme="minorHAnsi"/>
                <w:color w:val="000000"/>
                <w:lang w:eastAsia="en-GB"/>
              </w:rPr>
              <w:t>0.8</w:t>
            </w:r>
          </w:p>
        </w:tc>
        <w:tc>
          <w:tcPr>
            <w:tcW w:w="3017" w:type="dxa"/>
            <w:shd w:val="clear" w:color="000000" w:fill="F2F2F2"/>
            <w:noWrap/>
            <w:vAlign w:val="bottom"/>
            <w:hideMark/>
          </w:tcPr>
          <w:p w14:paraId="22FA33D3" w14:textId="55C00C0F" w:rsidR="002C262A" w:rsidRPr="00220656" w:rsidRDefault="002C262A" w:rsidP="00DC54F7">
            <w:pPr>
              <w:spacing w:after="0" w:line="240" w:lineRule="auto"/>
              <w:jc w:val="both"/>
              <w:rPr>
                <w:rFonts w:eastAsia="Times New Roman" w:cstheme="minorHAnsi"/>
                <w:color w:val="000000"/>
                <w:lang w:eastAsia="en-GB"/>
              </w:rPr>
            </w:pPr>
            <w:r w:rsidRPr="00220656">
              <w:rPr>
                <w:rFonts w:eastAsia="Times New Roman" w:cstheme="minorHAnsi"/>
                <w:color w:val="000000"/>
                <w:lang w:eastAsia="en-GB"/>
              </w:rPr>
              <w:t>0.7</w:t>
            </w:r>
          </w:p>
        </w:tc>
      </w:tr>
      <w:tr w:rsidR="002C262A" w:rsidRPr="002C262A" w14:paraId="7149D28E" w14:textId="77777777" w:rsidTr="00855E39">
        <w:trPr>
          <w:trHeight w:val="283"/>
        </w:trPr>
        <w:tc>
          <w:tcPr>
            <w:tcW w:w="3017" w:type="dxa"/>
            <w:shd w:val="clear" w:color="E2EFDA" w:fill="FFFFFF"/>
            <w:noWrap/>
            <w:vAlign w:val="bottom"/>
            <w:hideMark/>
          </w:tcPr>
          <w:p w14:paraId="4B0E8609" w14:textId="77777777" w:rsidR="002C262A" w:rsidRPr="00220656" w:rsidRDefault="002C262A" w:rsidP="00DC54F7">
            <w:pPr>
              <w:spacing w:after="0" w:line="240" w:lineRule="auto"/>
              <w:jc w:val="both"/>
              <w:rPr>
                <w:rFonts w:eastAsia="Times New Roman" w:cstheme="minorHAnsi"/>
                <w:color w:val="000000"/>
                <w:lang w:eastAsia="en-GB"/>
              </w:rPr>
            </w:pPr>
            <w:r w:rsidRPr="00220656">
              <w:rPr>
                <w:rFonts w:eastAsia="Times New Roman" w:cstheme="minorHAnsi"/>
                <w:color w:val="000000"/>
                <w:lang w:eastAsia="en-GB"/>
              </w:rPr>
              <w:t>Vale of Glamorgan</w:t>
            </w:r>
          </w:p>
        </w:tc>
        <w:tc>
          <w:tcPr>
            <w:tcW w:w="3017" w:type="dxa"/>
            <w:shd w:val="clear" w:color="auto" w:fill="auto"/>
            <w:noWrap/>
            <w:vAlign w:val="bottom"/>
            <w:hideMark/>
          </w:tcPr>
          <w:p w14:paraId="0738F531" w14:textId="01D0FACB" w:rsidR="002C262A" w:rsidRPr="00220656" w:rsidRDefault="002C262A" w:rsidP="00DC54F7">
            <w:pPr>
              <w:spacing w:after="0" w:line="240" w:lineRule="auto"/>
              <w:jc w:val="both"/>
              <w:rPr>
                <w:rFonts w:eastAsia="Times New Roman" w:cstheme="minorHAnsi"/>
                <w:color w:val="000000"/>
                <w:lang w:eastAsia="en-GB"/>
              </w:rPr>
            </w:pPr>
            <w:r w:rsidRPr="00220656">
              <w:rPr>
                <w:rFonts w:eastAsia="Times New Roman" w:cstheme="minorHAnsi"/>
                <w:color w:val="000000"/>
                <w:lang w:eastAsia="en-GB"/>
              </w:rPr>
              <w:t>0.7</w:t>
            </w:r>
          </w:p>
        </w:tc>
        <w:tc>
          <w:tcPr>
            <w:tcW w:w="3017" w:type="dxa"/>
            <w:shd w:val="clear" w:color="E2EFDA" w:fill="FFFFFF"/>
            <w:noWrap/>
            <w:vAlign w:val="bottom"/>
            <w:hideMark/>
          </w:tcPr>
          <w:p w14:paraId="2F231E30" w14:textId="439B8A45" w:rsidR="002C262A" w:rsidRPr="00220656" w:rsidRDefault="002C262A" w:rsidP="00DC54F7">
            <w:pPr>
              <w:spacing w:after="0" w:line="240" w:lineRule="auto"/>
              <w:jc w:val="both"/>
              <w:rPr>
                <w:rFonts w:eastAsia="Times New Roman" w:cstheme="minorHAnsi"/>
                <w:color w:val="000000"/>
                <w:lang w:eastAsia="en-GB"/>
              </w:rPr>
            </w:pPr>
            <w:r w:rsidRPr="00220656">
              <w:rPr>
                <w:rFonts w:eastAsia="Times New Roman" w:cstheme="minorHAnsi"/>
                <w:color w:val="000000"/>
                <w:lang w:eastAsia="en-GB"/>
              </w:rPr>
              <w:t>0.9</w:t>
            </w:r>
          </w:p>
        </w:tc>
      </w:tr>
      <w:tr w:rsidR="002C262A" w:rsidRPr="002C262A" w14:paraId="348CED60" w14:textId="77777777" w:rsidTr="00855E39">
        <w:trPr>
          <w:trHeight w:val="283"/>
        </w:trPr>
        <w:tc>
          <w:tcPr>
            <w:tcW w:w="3017" w:type="dxa"/>
            <w:shd w:val="clear" w:color="000000" w:fill="F2F2F2"/>
            <w:noWrap/>
            <w:vAlign w:val="bottom"/>
            <w:hideMark/>
          </w:tcPr>
          <w:p w14:paraId="381F777D" w14:textId="77777777" w:rsidR="002C262A" w:rsidRPr="00220656" w:rsidRDefault="002C262A" w:rsidP="00DC54F7">
            <w:pPr>
              <w:spacing w:after="0" w:line="240" w:lineRule="auto"/>
              <w:jc w:val="both"/>
              <w:rPr>
                <w:rFonts w:eastAsia="Times New Roman" w:cstheme="minorHAnsi"/>
                <w:color w:val="000000"/>
                <w:lang w:eastAsia="en-GB"/>
              </w:rPr>
            </w:pPr>
            <w:r w:rsidRPr="00220656">
              <w:rPr>
                <w:rFonts w:eastAsia="Times New Roman" w:cstheme="minorHAnsi"/>
                <w:color w:val="000000"/>
                <w:lang w:eastAsia="en-GB"/>
              </w:rPr>
              <w:t>Cardiff &amp; Vale UHB</w:t>
            </w:r>
          </w:p>
        </w:tc>
        <w:tc>
          <w:tcPr>
            <w:tcW w:w="3017" w:type="dxa"/>
            <w:shd w:val="clear" w:color="000000" w:fill="F2F2F2"/>
            <w:noWrap/>
            <w:vAlign w:val="bottom"/>
            <w:hideMark/>
          </w:tcPr>
          <w:p w14:paraId="2A37D173" w14:textId="4931E289" w:rsidR="002C262A" w:rsidRPr="00220656" w:rsidRDefault="002C262A" w:rsidP="00DC54F7">
            <w:pPr>
              <w:spacing w:after="0" w:line="240" w:lineRule="auto"/>
              <w:jc w:val="both"/>
              <w:rPr>
                <w:rFonts w:eastAsia="Times New Roman" w:cstheme="minorHAnsi"/>
                <w:color w:val="000000"/>
                <w:lang w:eastAsia="en-GB"/>
              </w:rPr>
            </w:pPr>
            <w:r w:rsidRPr="00220656">
              <w:rPr>
                <w:rFonts w:eastAsia="Times New Roman" w:cstheme="minorHAnsi"/>
                <w:color w:val="000000"/>
                <w:lang w:eastAsia="en-GB"/>
              </w:rPr>
              <w:t>0.7</w:t>
            </w:r>
          </w:p>
        </w:tc>
        <w:tc>
          <w:tcPr>
            <w:tcW w:w="3017" w:type="dxa"/>
            <w:shd w:val="clear" w:color="000000" w:fill="F2F2F2"/>
            <w:noWrap/>
            <w:vAlign w:val="bottom"/>
            <w:hideMark/>
          </w:tcPr>
          <w:p w14:paraId="3A6AF6DA" w14:textId="41144558" w:rsidR="002C262A" w:rsidRPr="00220656" w:rsidRDefault="002C262A" w:rsidP="00DC54F7">
            <w:pPr>
              <w:spacing w:after="0" w:line="240" w:lineRule="auto"/>
              <w:jc w:val="both"/>
              <w:rPr>
                <w:rFonts w:eastAsia="Times New Roman" w:cstheme="minorHAnsi"/>
                <w:color w:val="000000"/>
                <w:lang w:eastAsia="en-GB"/>
              </w:rPr>
            </w:pPr>
            <w:r w:rsidRPr="00220656">
              <w:rPr>
                <w:rFonts w:eastAsia="Times New Roman" w:cstheme="minorHAnsi"/>
                <w:color w:val="000000"/>
                <w:lang w:eastAsia="en-GB"/>
              </w:rPr>
              <w:t>0.9</w:t>
            </w:r>
          </w:p>
        </w:tc>
      </w:tr>
      <w:tr w:rsidR="002C262A" w:rsidRPr="002C262A" w14:paraId="070660F8" w14:textId="77777777" w:rsidTr="00855E39">
        <w:trPr>
          <w:trHeight w:val="283"/>
        </w:trPr>
        <w:tc>
          <w:tcPr>
            <w:tcW w:w="3017" w:type="dxa"/>
            <w:shd w:val="clear" w:color="E2EFDA" w:fill="FFFFFF"/>
            <w:noWrap/>
            <w:vAlign w:val="bottom"/>
            <w:hideMark/>
          </w:tcPr>
          <w:p w14:paraId="1D7B5019" w14:textId="77777777" w:rsidR="002C262A" w:rsidRPr="00220656" w:rsidRDefault="002C262A" w:rsidP="00DC54F7">
            <w:pPr>
              <w:spacing w:after="0" w:line="240" w:lineRule="auto"/>
              <w:jc w:val="both"/>
              <w:rPr>
                <w:rFonts w:eastAsia="Times New Roman" w:cstheme="minorHAnsi"/>
                <w:color w:val="000000"/>
                <w:lang w:eastAsia="en-GB"/>
              </w:rPr>
            </w:pPr>
            <w:r w:rsidRPr="00220656">
              <w:rPr>
                <w:rFonts w:eastAsia="Times New Roman" w:cstheme="minorHAnsi"/>
                <w:color w:val="000000"/>
                <w:lang w:eastAsia="en-GB"/>
              </w:rPr>
              <w:t>Wales</w:t>
            </w:r>
          </w:p>
        </w:tc>
        <w:tc>
          <w:tcPr>
            <w:tcW w:w="3017" w:type="dxa"/>
            <w:shd w:val="clear" w:color="auto" w:fill="auto"/>
            <w:noWrap/>
            <w:vAlign w:val="bottom"/>
            <w:hideMark/>
          </w:tcPr>
          <w:p w14:paraId="1EBC88DB" w14:textId="19CC82BB" w:rsidR="002C262A" w:rsidRPr="00220656" w:rsidRDefault="002C262A" w:rsidP="00DC54F7">
            <w:pPr>
              <w:spacing w:after="0" w:line="240" w:lineRule="auto"/>
              <w:jc w:val="both"/>
              <w:rPr>
                <w:rFonts w:eastAsia="Times New Roman" w:cstheme="minorHAnsi"/>
                <w:color w:val="000000"/>
                <w:lang w:eastAsia="en-GB"/>
              </w:rPr>
            </w:pPr>
            <w:r w:rsidRPr="00220656">
              <w:rPr>
                <w:rFonts w:eastAsia="Times New Roman" w:cstheme="minorHAnsi"/>
                <w:color w:val="000000"/>
                <w:lang w:eastAsia="en-GB"/>
              </w:rPr>
              <w:t>0.7</w:t>
            </w:r>
          </w:p>
        </w:tc>
        <w:tc>
          <w:tcPr>
            <w:tcW w:w="3017" w:type="dxa"/>
            <w:shd w:val="clear" w:color="E2EFDA" w:fill="FFFFFF"/>
            <w:noWrap/>
            <w:vAlign w:val="bottom"/>
            <w:hideMark/>
          </w:tcPr>
          <w:p w14:paraId="41DAEEC2" w14:textId="41B5175C" w:rsidR="002C262A" w:rsidRPr="00220656" w:rsidRDefault="002C262A" w:rsidP="00DC54F7">
            <w:pPr>
              <w:spacing w:after="0" w:line="240" w:lineRule="auto"/>
              <w:jc w:val="both"/>
              <w:rPr>
                <w:rFonts w:eastAsia="Times New Roman" w:cstheme="minorHAnsi"/>
                <w:color w:val="000000"/>
                <w:lang w:eastAsia="en-GB"/>
              </w:rPr>
            </w:pPr>
            <w:r w:rsidRPr="00220656">
              <w:rPr>
                <w:rFonts w:eastAsia="Times New Roman" w:cstheme="minorHAnsi"/>
                <w:color w:val="000000"/>
                <w:lang w:eastAsia="en-GB"/>
              </w:rPr>
              <w:t>1.0</w:t>
            </w:r>
          </w:p>
        </w:tc>
      </w:tr>
    </w:tbl>
    <w:p w14:paraId="2AB2F015" w14:textId="77777777" w:rsidR="00E62DB7" w:rsidRPr="00220656" w:rsidRDefault="00E62DB7" w:rsidP="00DC54F7">
      <w:pPr>
        <w:jc w:val="both"/>
        <w:rPr>
          <w:rFonts w:ascii="Arial" w:hAnsi="Arial" w:cs="Arial"/>
          <w:sz w:val="20"/>
          <w:szCs w:val="20"/>
        </w:rPr>
      </w:pPr>
      <w:r w:rsidRPr="00220656">
        <w:rPr>
          <w:rFonts w:ascii="Arial" w:hAnsi="Arial" w:cs="Arial"/>
          <w:sz w:val="20"/>
          <w:szCs w:val="20"/>
        </w:rPr>
        <w:t>Source: QOF 2019</w:t>
      </w:r>
    </w:p>
    <w:p w14:paraId="49832D92" w14:textId="50A1DD68" w:rsidR="005D13CC" w:rsidRPr="00CA1F61" w:rsidRDefault="005D13CC" w:rsidP="00DC54F7">
      <w:pPr>
        <w:spacing w:after="0" w:line="240" w:lineRule="auto"/>
        <w:jc w:val="both"/>
        <w:rPr>
          <w:rFonts w:ascii="Arial" w:hAnsi="Arial" w:cs="Arial"/>
          <w:sz w:val="24"/>
          <w:szCs w:val="24"/>
        </w:rPr>
      </w:pPr>
      <w:r w:rsidRPr="00CA1F61">
        <w:rPr>
          <w:rFonts w:ascii="Arial" w:hAnsi="Arial" w:cs="Arial"/>
          <w:sz w:val="24"/>
          <w:szCs w:val="24"/>
        </w:rPr>
        <w:t xml:space="preserve">The estimated prevalence of atrial fibrillation in Western Vale </w:t>
      </w:r>
      <w:r w:rsidR="00421889">
        <w:rPr>
          <w:rFonts w:ascii="Arial" w:hAnsi="Arial" w:cs="Arial"/>
          <w:sz w:val="24"/>
          <w:szCs w:val="24"/>
        </w:rPr>
        <w:t xml:space="preserve">cluster </w:t>
      </w:r>
      <w:r w:rsidRPr="00CA1F61">
        <w:rPr>
          <w:rFonts w:ascii="Arial" w:hAnsi="Arial" w:cs="Arial"/>
          <w:sz w:val="24"/>
          <w:szCs w:val="24"/>
        </w:rPr>
        <w:t xml:space="preserve">is higher than the average for Wales and the highest of all the clusters in the health board. The estimated prevalence of hypertension is lower than the average for Wales and </w:t>
      </w:r>
      <w:r w:rsidR="00004869" w:rsidRPr="00CA1F61">
        <w:rPr>
          <w:rFonts w:ascii="Arial" w:hAnsi="Arial" w:cs="Arial"/>
          <w:sz w:val="24"/>
          <w:szCs w:val="24"/>
        </w:rPr>
        <w:t xml:space="preserve">is the </w:t>
      </w:r>
      <w:r w:rsidR="00250D82" w:rsidRPr="00CA1F61">
        <w:rPr>
          <w:rFonts w:ascii="Arial" w:hAnsi="Arial" w:cs="Arial"/>
          <w:sz w:val="24"/>
          <w:szCs w:val="24"/>
        </w:rPr>
        <w:t>third</w:t>
      </w:r>
      <w:r w:rsidR="00B658A3" w:rsidRPr="00CA1F61">
        <w:rPr>
          <w:rFonts w:ascii="Arial" w:hAnsi="Arial" w:cs="Arial"/>
          <w:sz w:val="24"/>
          <w:szCs w:val="24"/>
        </w:rPr>
        <w:t xml:space="preserve"> highest in</w:t>
      </w:r>
      <w:r w:rsidRPr="00CA1F61">
        <w:rPr>
          <w:rFonts w:ascii="Arial" w:hAnsi="Arial" w:cs="Arial"/>
          <w:sz w:val="24"/>
          <w:szCs w:val="24"/>
        </w:rPr>
        <w:t xml:space="preserve"> the health board. </w:t>
      </w:r>
    </w:p>
    <w:p w14:paraId="48781560" w14:textId="77777777" w:rsidR="005D13CC" w:rsidRDefault="005D13CC" w:rsidP="00DC54F7">
      <w:pPr>
        <w:spacing w:after="0" w:line="240" w:lineRule="auto"/>
        <w:jc w:val="both"/>
        <w:rPr>
          <w:rFonts w:ascii="Arial" w:hAnsi="Arial" w:cs="Arial"/>
          <w:b/>
          <w:sz w:val="26"/>
          <w:szCs w:val="26"/>
        </w:rPr>
      </w:pPr>
    </w:p>
    <w:p w14:paraId="016A0530" w14:textId="7780ED8E" w:rsidR="002C262A" w:rsidRPr="00CA1F61" w:rsidRDefault="005D13CC" w:rsidP="00DC54F7">
      <w:pPr>
        <w:pStyle w:val="Caption"/>
        <w:spacing w:before="0" w:after="0"/>
        <w:jc w:val="both"/>
        <w:rPr>
          <w:rFonts w:ascii="Arial" w:hAnsi="Arial" w:cs="Arial"/>
          <w:szCs w:val="24"/>
        </w:rPr>
      </w:pPr>
      <w:r w:rsidRPr="00CA1F61">
        <w:rPr>
          <w:rFonts w:ascii="Arial" w:hAnsi="Arial" w:cs="Arial"/>
          <w:szCs w:val="24"/>
        </w:rPr>
        <w:t>Table 1</w:t>
      </w:r>
      <w:r w:rsidR="00EE7A38" w:rsidRPr="00CA1F61">
        <w:rPr>
          <w:rFonts w:ascii="Arial" w:hAnsi="Arial" w:cs="Arial"/>
          <w:szCs w:val="24"/>
        </w:rPr>
        <w:t>6</w:t>
      </w:r>
      <w:r w:rsidRPr="00CA1F61">
        <w:rPr>
          <w:rFonts w:ascii="Arial" w:hAnsi="Arial" w:cs="Arial"/>
          <w:szCs w:val="24"/>
        </w:rPr>
        <w:t>.</w:t>
      </w:r>
      <w:r w:rsidR="00855E39" w:rsidRPr="00CA1F61">
        <w:rPr>
          <w:rFonts w:ascii="Arial" w:hAnsi="Arial" w:cs="Arial"/>
          <w:szCs w:val="24"/>
        </w:rPr>
        <w:t>5</w:t>
      </w:r>
      <w:r w:rsidRPr="00CA1F61">
        <w:rPr>
          <w:rFonts w:ascii="Arial" w:hAnsi="Arial" w:cs="Arial"/>
          <w:szCs w:val="24"/>
        </w:rPr>
        <w:t>: Estimated percentage prevalence of hypertension and atrial fibrillation based on patients on GP practice registers by cluster, local authority, health board and Wales, 2019</w:t>
      </w:r>
    </w:p>
    <w:tbl>
      <w:tblPr>
        <w:tblW w:w="930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101"/>
        <w:gridCol w:w="3101"/>
        <w:gridCol w:w="3101"/>
      </w:tblGrid>
      <w:tr w:rsidR="00406218" w:rsidRPr="00406218" w14:paraId="4506050F" w14:textId="77777777" w:rsidTr="00855E39">
        <w:trPr>
          <w:trHeight w:val="285"/>
        </w:trPr>
        <w:tc>
          <w:tcPr>
            <w:tcW w:w="3101" w:type="dxa"/>
            <w:shd w:val="clear" w:color="auto" w:fill="8497B0"/>
            <w:noWrap/>
            <w:vAlign w:val="bottom"/>
            <w:hideMark/>
          </w:tcPr>
          <w:p w14:paraId="4D5C15B9" w14:textId="77777777" w:rsidR="00406218" w:rsidRPr="00CA1F61" w:rsidRDefault="00406218" w:rsidP="00DC54F7">
            <w:pPr>
              <w:spacing w:after="0" w:line="240" w:lineRule="auto"/>
              <w:jc w:val="both"/>
              <w:rPr>
                <w:rFonts w:eastAsia="Times New Roman" w:cstheme="minorHAnsi"/>
                <w:b/>
                <w:bCs/>
                <w:color w:val="FFFFFF"/>
                <w:lang w:eastAsia="en-GB"/>
              </w:rPr>
            </w:pPr>
            <w:r w:rsidRPr="00CA1F61">
              <w:rPr>
                <w:rFonts w:eastAsia="Times New Roman" w:cstheme="minorHAnsi"/>
                <w:b/>
                <w:bCs/>
                <w:color w:val="FFFFFF"/>
                <w:lang w:eastAsia="en-GB"/>
              </w:rPr>
              <w:t> </w:t>
            </w:r>
          </w:p>
        </w:tc>
        <w:tc>
          <w:tcPr>
            <w:tcW w:w="3101" w:type="dxa"/>
            <w:shd w:val="clear" w:color="auto" w:fill="8497B0"/>
            <w:noWrap/>
            <w:vAlign w:val="bottom"/>
            <w:hideMark/>
          </w:tcPr>
          <w:p w14:paraId="60BA4AD3" w14:textId="77777777" w:rsidR="00406218" w:rsidRPr="00CA1F61" w:rsidRDefault="00406218" w:rsidP="00DC54F7">
            <w:pPr>
              <w:spacing w:after="0" w:line="240" w:lineRule="auto"/>
              <w:jc w:val="both"/>
              <w:rPr>
                <w:rFonts w:eastAsia="Times New Roman" w:cstheme="minorHAnsi"/>
                <w:b/>
                <w:bCs/>
                <w:color w:val="FFFFFF"/>
                <w:lang w:eastAsia="en-GB"/>
              </w:rPr>
            </w:pPr>
            <w:r w:rsidRPr="00CA1F61">
              <w:rPr>
                <w:rFonts w:eastAsia="Times New Roman" w:cstheme="minorHAnsi"/>
                <w:b/>
                <w:bCs/>
                <w:color w:val="FFFFFF"/>
                <w:lang w:eastAsia="en-GB"/>
              </w:rPr>
              <w:t>Atrial Fibrillation (percentage)</w:t>
            </w:r>
          </w:p>
        </w:tc>
        <w:tc>
          <w:tcPr>
            <w:tcW w:w="3101" w:type="dxa"/>
            <w:shd w:val="clear" w:color="auto" w:fill="8497B0"/>
            <w:vAlign w:val="bottom"/>
            <w:hideMark/>
          </w:tcPr>
          <w:p w14:paraId="65D55AB7" w14:textId="77777777" w:rsidR="00406218" w:rsidRPr="00CA1F61" w:rsidRDefault="00406218" w:rsidP="00DC54F7">
            <w:pPr>
              <w:spacing w:after="0" w:line="240" w:lineRule="auto"/>
              <w:jc w:val="both"/>
              <w:rPr>
                <w:rFonts w:eastAsia="Times New Roman" w:cstheme="minorHAnsi"/>
                <w:b/>
                <w:bCs/>
                <w:color w:val="FFFFFF"/>
                <w:lang w:eastAsia="en-GB"/>
              </w:rPr>
            </w:pPr>
            <w:r w:rsidRPr="00CA1F61">
              <w:rPr>
                <w:rFonts w:eastAsia="Times New Roman" w:cstheme="minorHAnsi"/>
                <w:b/>
                <w:bCs/>
                <w:color w:val="FFFFFF"/>
                <w:lang w:eastAsia="en-GB"/>
              </w:rPr>
              <w:t>Hypertension (percentage)</w:t>
            </w:r>
          </w:p>
        </w:tc>
      </w:tr>
      <w:tr w:rsidR="00406218" w:rsidRPr="00406218" w14:paraId="2B2C0C60" w14:textId="77777777" w:rsidTr="00855E39">
        <w:trPr>
          <w:trHeight w:val="285"/>
        </w:trPr>
        <w:tc>
          <w:tcPr>
            <w:tcW w:w="3101" w:type="dxa"/>
            <w:shd w:val="clear" w:color="000000" w:fill="F2F2F2"/>
            <w:noWrap/>
            <w:vAlign w:val="bottom"/>
            <w:hideMark/>
          </w:tcPr>
          <w:p w14:paraId="12FCDD7B" w14:textId="77777777" w:rsidR="00406218" w:rsidRPr="00CA1F61" w:rsidRDefault="00406218" w:rsidP="00DC54F7">
            <w:pPr>
              <w:spacing w:after="0" w:line="240" w:lineRule="auto"/>
              <w:jc w:val="both"/>
              <w:rPr>
                <w:rFonts w:eastAsia="Times New Roman" w:cstheme="minorHAnsi"/>
                <w:color w:val="000000"/>
                <w:lang w:eastAsia="en-GB"/>
              </w:rPr>
            </w:pPr>
            <w:r w:rsidRPr="00CA1F61">
              <w:rPr>
                <w:rFonts w:eastAsia="Times New Roman" w:cstheme="minorHAnsi"/>
                <w:color w:val="000000"/>
                <w:lang w:eastAsia="en-GB"/>
              </w:rPr>
              <w:t>Western Vale</w:t>
            </w:r>
          </w:p>
        </w:tc>
        <w:tc>
          <w:tcPr>
            <w:tcW w:w="3101" w:type="dxa"/>
            <w:shd w:val="clear" w:color="000000" w:fill="F2F2F2"/>
            <w:noWrap/>
            <w:vAlign w:val="bottom"/>
            <w:hideMark/>
          </w:tcPr>
          <w:p w14:paraId="09C960AC" w14:textId="2E49F217" w:rsidR="00406218" w:rsidRPr="00CA1F61" w:rsidRDefault="00406218" w:rsidP="00DC54F7">
            <w:pPr>
              <w:spacing w:after="0" w:line="240" w:lineRule="auto"/>
              <w:jc w:val="both"/>
              <w:rPr>
                <w:rFonts w:eastAsia="Times New Roman" w:cstheme="minorHAnsi"/>
                <w:color w:val="000000"/>
                <w:lang w:eastAsia="en-GB"/>
              </w:rPr>
            </w:pPr>
            <w:r w:rsidRPr="00CA1F61">
              <w:rPr>
                <w:rFonts w:eastAsia="Times New Roman" w:cstheme="minorHAnsi"/>
                <w:color w:val="000000"/>
                <w:lang w:eastAsia="en-GB"/>
              </w:rPr>
              <w:t>2.8</w:t>
            </w:r>
          </w:p>
        </w:tc>
        <w:tc>
          <w:tcPr>
            <w:tcW w:w="3101" w:type="dxa"/>
            <w:shd w:val="clear" w:color="000000" w:fill="F2F2F2"/>
            <w:noWrap/>
            <w:vAlign w:val="bottom"/>
            <w:hideMark/>
          </w:tcPr>
          <w:p w14:paraId="0D8E67AD" w14:textId="7D1E3AB3" w:rsidR="00406218" w:rsidRPr="00CA1F61" w:rsidRDefault="00406218" w:rsidP="00DC54F7">
            <w:pPr>
              <w:spacing w:after="0" w:line="240" w:lineRule="auto"/>
              <w:jc w:val="both"/>
              <w:rPr>
                <w:rFonts w:eastAsia="Times New Roman" w:cstheme="minorHAnsi"/>
                <w:color w:val="000000"/>
                <w:lang w:eastAsia="en-GB"/>
              </w:rPr>
            </w:pPr>
            <w:r w:rsidRPr="00CA1F61">
              <w:rPr>
                <w:rFonts w:eastAsia="Times New Roman" w:cstheme="minorHAnsi"/>
                <w:color w:val="000000"/>
                <w:lang w:eastAsia="en-GB"/>
              </w:rPr>
              <w:t>14.3</w:t>
            </w:r>
          </w:p>
        </w:tc>
      </w:tr>
      <w:tr w:rsidR="00406218" w:rsidRPr="00406218" w14:paraId="5083B9A0" w14:textId="77777777" w:rsidTr="00855E39">
        <w:trPr>
          <w:trHeight w:val="285"/>
        </w:trPr>
        <w:tc>
          <w:tcPr>
            <w:tcW w:w="3101" w:type="dxa"/>
            <w:shd w:val="clear" w:color="E2EFDA" w:fill="FFFFFF"/>
            <w:noWrap/>
            <w:vAlign w:val="bottom"/>
            <w:hideMark/>
          </w:tcPr>
          <w:p w14:paraId="53E37F03" w14:textId="77777777" w:rsidR="00406218" w:rsidRPr="00CA1F61" w:rsidRDefault="00406218" w:rsidP="00DC54F7">
            <w:pPr>
              <w:spacing w:after="0" w:line="240" w:lineRule="auto"/>
              <w:jc w:val="both"/>
              <w:rPr>
                <w:rFonts w:eastAsia="Times New Roman" w:cstheme="minorHAnsi"/>
                <w:color w:val="000000"/>
                <w:lang w:eastAsia="en-GB"/>
              </w:rPr>
            </w:pPr>
            <w:r w:rsidRPr="00CA1F61">
              <w:rPr>
                <w:rFonts w:eastAsia="Times New Roman" w:cstheme="minorHAnsi"/>
                <w:color w:val="000000"/>
                <w:lang w:eastAsia="en-GB"/>
              </w:rPr>
              <w:t>Vale of Glamorgan</w:t>
            </w:r>
          </w:p>
        </w:tc>
        <w:tc>
          <w:tcPr>
            <w:tcW w:w="3101" w:type="dxa"/>
            <w:shd w:val="clear" w:color="auto" w:fill="auto"/>
            <w:noWrap/>
            <w:vAlign w:val="bottom"/>
            <w:hideMark/>
          </w:tcPr>
          <w:p w14:paraId="598C8283" w14:textId="65D9257C" w:rsidR="00406218" w:rsidRPr="00CA1F61" w:rsidRDefault="00406218" w:rsidP="00DC54F7">
            <w:pPr>
              <w:spacing w:after="0" w:line="240" w:lineRule="auto"/>
              <w:jc w:val="both"/>
              <w:rPr>
                <w:rFonts w:eastAsia="Times New Roman" w:cstheme="minorHAnsi"/>
                <w:color w:val="000000"/>
                <w:lang w:eastAsia="en-GB"/>
              </w:rPr>
            </w:pPr>
            <w:r w:rsidRPr="00CA1F61">
              <w:rPr>
                <w:rFonts w:eastAsia="Times New Roman" w:cstheme="minorHAnsi"/>
                <w:color w:val="000000"/>
                <w:lang w:eastAsia="en-GB"/>
              </w:rPr>
              <w:t>2.3</w:t>
            </w:r>
          </w:p>
        </w:tc>
        <w:tc>
          <w:tcPr>
            <w:tcW w:w="3101" w:type="dxa"/>
            <w:shd w:val="clear" w:color="E2EFDA" w:fill="FFFFFF"/>
            <w:noWrap/>
            <w:vAlign w:val="bottom"/>
            <w:hideMark/>
          </w:tcPr>
          <w:p w14:paraId="7E77AF0E" w14:textId="0BBEF053" w:rsidR="00406218" w:rsidRPr="00CA1F61" w:rsidRDefault="00406218" w:rsidP="00DC54F7">
            <w:pPr>
              <w:spacing w:after="0" w:line="240" w:lineRule="auto"/>
              <w:jc w:val="both"/>
              <w:rPr>
                <w:rFonts w:eastAsia="Times New Roman" w:cstheme="minorHAnsi"/>
                <w:color w:val="000000"/>
                <w:lang w:eastAsia="en-GB"/>
              </w:rPr>
            </w:pPr>
            <w:r w:rsidRPr="00CA1F61">
              <w:rPr>
                <w:rFonts w:eastAsia="Times New Roman" w:cstheme="minorHAnsi"/>
                <w:color w:val="000000"/>
                <w:lang w:eastAsia="en-GB"/>
              </w:rPr>
              <w:t>14.9</w:t>
            </w:r>
          </w:p>
        </w:tc>
      </w:tr>
      <w:tr w:rsidR="00406218" w:rsidRPr="00406218" w14:paraId="1387CD13" w14:textId="77777777" w:rsidTr="00855E39">
        <w:trPr>
          <w:trHeight w:val="285"/>
        </w:trPr>
        <w:tc>
          <w:tcPr>
            <w:tcW w:w="3101" w:type="dxa"/>
            <w:shd w:val="clear" w:color="000000" w:fill="F2F2F2"/>
            <w:noWrap/>
            <w:vAlign w:val="bottom"/>
            <w:hideMark/>
          </w:tcPr>
          <w:p w14:paraId="68750D9C" w14:textId="77777777" w:rsidR="00406218" w:rsidRPr="00CA1F61" w:rsidRDefault="00406218" w:rsidP="00DC54F7">
            <w:pPr>
              <w:spacing w:after="0" w:line="240" w:lineRule="auto"/>
              <w:jc w:val="both"/>
              <w:rPr>
                <w:rFonts w:eastAsia="Times New Roman" w:cstheme="minorHAnsi"/>
                <w:color w:val="000000"/>
                <w:lang w:eastAsia="en-GB"/>
              </w:rPr>
            </w:pPr>
            <w:r w:rsidRPr="00CA1F61">
              <w:rPr>
                <w:rFonts w:eastAsia="Times New Roman" w:cstheme="minorHAnsi"/>
                <w:color w:val="000000"/>
                <w:lang w:eastAsia="en-GB"/>
              </w:rPr>
              <w:t>Cardiff &amp; Vale UHB</w:t>
            </w:r>
          </w:p>
        </w:tc>
        <w:tc>
          <w:tcPr>
            <w:tcW w:w="3101" w:type="dxa"/>
            <w:shd w:val="clear" w:color="000000" w:fill="F2F2F2"/>
            <w:noWrap/>
            <w:vAlign w:val="bottom"/>
            <w:hideMark/>
          </w:tcPr>
          <w:p w14:paraId="6D97F562" w14:textId="567FEAAD" w:rsidR="00406218" w:rsidRPr="00CA1F61" w:rsidRDefault="00406218" w:rsidP="00DC54F7">
            <w:pPr>
              <w:spacing w:after="0" w:line="240" w:lineRule="auto"/>
              <w:jc w:val="both"/>
              <w:rPr>
                <w:rFonts w:eastAsia="Times New Roman" w:cstheme="minorHAnsi"/>
                <w:color w:val="000000"/>
                <w:lang w:eastAsia="en-GB"/>
              </w:rPr>
            </w:pPr>
            <w:r w:rsidRPr="00CA1F61">
              <w:rPr>
                <w:rFonts w:eastAsia="Times New Roman" w:cstheme="minorHAnsi"/>
                <w:color w:val="000000"/>
                <w:lang w:eastAsia="en-GB"/>
              </w:rPr>
              <w:t>1.8</w:t>
            </w:r>
          </w:p>
        </w:tc>
        <w:tc>
          <w:tcPr>
            <w:tcW w:w="3101" w:type="dxa"/>
            <w:shd w:val="clear" w:color="000000" w:fill="F2F2F2"/>
            <w:noWrap/>
            <w:vAlign w:val="bottom"/>
            <w:hideMark/>
          </w:tcPr>
          <w:p w14:paraId="79AD9706" w14:textId="3716470A" w:rsidR="00406218" w:rsidRPr="00CA1F61" w:rsidRDefault="00406218" w:rsidP="00DC54F7">
            <w:pPr>
              <w:spacing w:after="0" w:line="240" w:lineRule="auto"/>
              <w:jc w:val="both"/>
              <w:rPr>
                <w:rFonts w:eastAsia="Times New Roman" w:cstheme="minorHAnsi"/>
                <w:color w:val="000000"/>
                <w:lang w:eastAsia="en-GB"/>
              </w:rPr>
            </w:pPr>
            <w:r w:rsidRPr="00CA1F61">
              <w:rPr>
                <w:rFonts w:eastAsia="Times New Roman" w:cstheme="minorHAnsi"/>
                <w:color w:val="000000"/>
                <w:lang w:eastAsia="en-GB"/>
              </w:rPr>
              <w:t>12.6</w:t>
            </w:r>
          </w:p>
        </w:tc>
      </w:tr>
      <w:tr w:rsidR="00406218" w:rsidRPr="00406218" w14:paraId="4B872B79" w14:textId="77777777" w:rsidTr="00855E39">
        <w:trPr>
          <w:trHeight w:val="285"/>
        </w:trPr>
        <w:tc>
          <w:tcPr>
            <w:tcW w:w="3101" w:type="dxa"/>
            <w:shd w:val="clear" w:color="E2EFDA" w:fill="FFFFFF"/>
            <w:noWrap/>
            <w:vAlign w:val="bottom"/>
            <w:hideMark/>
          </w:tcPr>
          <w:p w14:paraId="5BD30A2C" w14:textId="77777777" w:rsidR="00406218" w:rsidRPr="00CA1F61" w:rsidRDefault="00406218" w:rsidP="00DC54F7">
            <w:pPr>
              <w:spacing w:after="0" w:line="240" w:lineRule="auto"/>
              <w:jc w:val="both"/>
              <w:rPr>
                <w:rFonts w:eastAsia="Times New Roman" w:cstheme="minorHAnsi"/>
                <w:color w:val="000000"/>
                <w:lang w:eastAsia="en-GB"/>
              </w:rPr>
            </w:pPr>
            <w:r w:rsidRPr="00CA1F61">
              <w:rPr>
                <w:rFonts w:eastAsia="Times New Roman" w:cstheme="minorHAnsi"/>
                <w:color w:val="000000"/>
                <w:lang w:eastAsia="en-GB"/>
              </w:rPr>
              <w:t>Wales</w:t>
            </w:r>
          </w:p>
        </w:tc>
        <w:tc>
          <w:tcPr>
            <w:tcW w:w="3101" w:type="dxa"/>
            <w:shd w:val="clear" w:color="auto" w:fill="auto"/>
            <w:noWrap/>
            <w:vAlign w:val="bottom"/>
            <w:hideMark/>
          </w:tcPr>
          <w:p w14:paraId="4A3A23A2" w14:textId="045AC685" w:rsidR="00406218" w:rsidRPr="00CA1F61" w:rsidRDefault="00406218" w:rsidP="00DC54F7">
            <w:pPr>
              <w:spacing w:after="0" w:line="240" w:lineRule="auto"/>
              <w:jc w:val="both"/>
              <w:rPr>
                <w:rFonts w:eastAsia="Times New Roman" w:cstheme="minorHAnsi"/>
                <w:color w:val="000000"/>
                <w:lang w:eastAsia="en-GB"/>
              </w:rPr>
            </w:pPr>
            <w:r w:rsidRPr="00CA1F61">
              <w:rPr>
                <w:rFonts w:eastAsia="Times New Roman" w:cstheme="minorHAnsi"/>
                <w:color w:val="000000"/>
                <w:lang w:eastAsia="en-GB"/>
              </w:rPr>
              <w:t>2.3</w:t>
            </w:r>
          </w:p>
        </w:tc>
        <w:tc>
          <w:tcPr>
            <w:tcW w:w="3101" w:type="dxa"/>
            <w:shd w:val="clear" w:color="E2EFDA" w:fill="FFFFFF"/>
            <w:noWrap/>
            <w:vAlign w:val="bottom"/>
            <w:hideMark/>
          </w:tcPr>
          <w:p w14:paraId="3375DC0A" w14:textId="6CB02EE2" w:rsidR="00406218" w:rsidRPr="00CA1F61" w:rsidRDefault="00406218" w:rsidP="00DC54F7">
            <w:pPr>
              <w:spacing w:after="0" w:line="240" w:lineRule="auto"/>
              <w:jc w:val="both"/>
              <w:rPr>
                <w:rFonts w:eastAsia="Times New Roman" w:cstheme="minorHAnsi"/>
                <w:color w:val="000000"/>
                <w:lang w:eastAsia="en-GB"/>
              </w:rPr>
            </w:pPr>
            <w:r w:rsidRPr="00CA1F61">
              <w:rPr>
                <w:rFonts w:eastAsia="Times New Roman" w:cstheme="minorHAnsi"/>
                <w:color w:val="000000"/>
                <w:lang w:eastAsia="en-GB"/>
              </w:rPr>
              <w:t>15.8</w:t>
            </w:r>
          </w:p>
        </w:tc>
      </w:tr>
    </w:tbl>
    <w:p w14:paraId="297C978A" w14:textId="77777777" w:rsidR="00E62DB7" w:rsidRPr="00CA1F61" w:rsidRDefault="00E62DB7" w:rsidP="00DC54F7">
      <w:pPr>
        <w:jc w:val="both"/>
        <w:rPr>
          <w:rFonts w:ascii="Arial" w:hAnsi="Arial" w:cs="Arial"/>
          <w:sz w:val="20"/>
          <w:szCs w:val="20"/>
        </w:rPr>
      </w:pPr>
      <w:r w:rsidRPr="00CA1F61">
        <w:rPr>
          <w:rFonts w:ascii="Arial" w:hAnsi="Arial" w:cs="Arial"/>
          <w:sz w:val="20"/>
          <w:szCs w:val="20"/>
        </w:rPr>
        <w:t>Source: QOF 2019</w:t>
      </w:r>
    </w:p>
    <w:p w14:paraId="3675DDA7" w14:textId="5A8C31E1" w:rsidR="00FD6000" w:rsidRPr="009045A0" w:rsidRDefault="00FD6000" w:rsidP="00DC54F7">
      <w:pPr>
        <w:spacing w:after="0" w:line="240" w:lineRule="auto"/>
        <w:jc w:val="both"/>
        <w:rPr>
          <w:rFonts w:ascii="Arial" w:hAnsi="Arial" w:cs="Arial"/>
          <w:sz w:val="24"/>
          <w:szCs w:val="24"/>
        </w:rPr>
      </w:pPr>
      <w:r w:rsidRPr="009045A0">
        <w:rPr>
          <w:rFonts w:ascii="Arial" w:hAnsi="Arial" w:cs="Arial"/>
          <w:sz w:val="24"/>
          <w:szCs w:val="24"/>
        </w:rPr>
        <w:t xml:space="preserve">Many of the factors that contribute to the inequalities in health and well-being are preventable. Table </w:t>
      </w:r>
      <w:r w:rsidR="00EE7A38" w:rsidRPr="009045A0">
        <w:rPr>
          <w:rFonts w:ascii="Arial" w:hAnsi="Arial" w:cs="Arial"/>
          <w:sz w:val="24"/>
          <w:szCs w:val="24"/>
        </w:rPr>
        <w:t>16</w:t>
      </w:r>
      <w:r w:rsidRPr="009045A0">
        <w:rPr>
          <w:rFonts w:ascii="Arial" w:hAnsi="Arial" w:cs="Arial"/>
          <w:sz w:val="24"/>
          <w:szCs w:val="24"/>
        </w:rPr>
        <w:t>.</w:t>
      </w:r>
      <w:r w:rsidR="00855E39" w:rsidRPr="009045A0">
        <w:rPr>
          <w:rFonts w:ascii="Arial" w:hAnsi="Arial" w:cs="Arial"/>
          <w:sz w:val="24"/>
          <w:szCs w:val="24"/>
        </w:rPr>
        <w:t>6</w:t>
      </w:r>
      <w:r w:rsidRPr="009045A0">
        <w:rPr>
          <w:rFonts w:ascii="Arial" w:hAnsi="Arial" w:cs="Arial"/>
          <w:sz w:val="24"/>
          <w:szCs w:val="24"/>
        </w:rPr>
        <w:t xml:space="preserve"> shows the percentage of adults self-reporting five behaviours, where a lower percentage for smoking and drinking above the guidelines is seen as more beneficial as is a higher percentage for working age adults of healthy weight, meeting the physical activity guidelines and consuming </w:t>
      </w:r>
      <w:r w:rsidR="009045A0">
        <w:rPr>
          <w:rFonts w:ascii="Arial" w:hAnsi="Arial" w:cs="Arial"/>
          <w:sz w:val="24"/>
          <w:szCs w:val="24"/>
        </w:rPr>
        <w:t>five</w:t>
      </w:r>
      <w:r w:rsidRPr="009045A0">
        <w:rPr>
          <w:rFonts w:ascii="Arial" w:hAnsi="Arial" w:cs="Arial"/>
          <w:sz w:val="24"/>
          <w:szCs w:val="24"/>
        </w:rPr>
        <w:t xml:space="preserve"> a day. </w:t>
      </w:r>
    </w:p>
    <w:p w14:paraId="29ED1E79" w14:textId="77777777" w:rsidR="00B658A3" w:rsidRPr="009045A0" w:rsidRDefault="00B658A3" w:rsidP="00DC54F7">
      <w:pPr>
        <w:spacing w:after="0" w:line="240" w:lineRule="auto"/>
        <w:jc w:val="both"/>
        <w:rPr>
          <w:rFonts w:ascii="Arial" w:hAnsi="Arial" w:cs="Arial"/>
          <w:sz w:val="24"/>
          <w:szCs w:val="24"/>
        </w:rPr>
      </w:pPr>
    </w:p>
    <w:p w14:paraId="35758A67" w14:textId="417E7D15" w:rsidR="008036D3" w:rsidRDefault="00FD6000" w:rsidP="00DC54F7">
      <w:pPr>
        <w:spacing w:after="0" w:line="240" w:lineRule="auto"/>
        <w:jc w:val="both"/>
        <w:rPr>
          <w:rFonts w:ascii="Arial" w:hAnsi="Arial" w:cs="Arial"/>
          <w:szCs w:val="24"/>
        </w:rPr>
      </w:pPr>
      <w:r w:rsidRPr="009045A0">
        <w:rPr>
          <w:rFonts w:ascii="Arial" w:hAnsi="Arial" w:cs="Arial"/>
          <w:sz w:val="24"/>
          <w:szCs w:val="24"/>
        </w:rPr>
        <w:t xml:space="preserve">Overall, the percentage of adults reporting behaviours which support healthy outcomes in </w:t>
      </w:r>
      <w:r w:rsidR="00B658A3" w:rsidRPr="009045A0">
        <w:rPr>
          <w:rFonts w:ascii="Arial" w:hAnsi="Arial" w:cs="Arial"/>
          <w:sz w:val="24"/>
          <w:szCs w:val="24"/>
        </w:rPr>
        <w:t>Western Vale</w:t>
      </w:r>
      <w:r w:rsidRPr="009045A0">
        <w:rPr>
          <w:rFonts w:ascii="Arial" w:hAnsi="Arial" w:cs="Arial"/>
          <w:sz w:val="24"/>
          <w:szCs w:val="24"/>
        </w:rPr>
        <w:t xml:space="preserve"> cluster is </w:t>
      </w:r>
      <w:r w:rsidR="0030324B" w:rsidRPr="009045A0">
        <w:rPr>
          <w:rFonts w:ascii="Arial" w:hAnsi="Arial" w:cs="Arial"/>
          <w:sz w:val="24"/>
          <w:szCs w:val="24"/>
        </w:rPr>
        <w:t>higher</w:t>
      </w:r>
      <w:r w:rsidRPr="009045A0">
        <w:rPr>
          <w:rFonts w:ascii="Arial" w:hAnsi="Arial" w:cs="Arial"/>
          <w:sz w:val="24"/>
          <w:szCs w:val="24"/>
        </w:rPr>
        <w:t xml:space="preserve"> than</w:t>
      </w:r>
      <w:r w:rsidRPr="009045A0">
        <w:rPr>
          <w:rFonts w:ascii="Arial" w:hAnsi="Arial" w:cs="Arial"/>
          <w:color w:val="000000"/>
          <w:sz w:val="24"/>
          <w:szCs w:val="24"/>
        </w:rPr>
        <w:t xml:space="preserve"> Cardiff and Vale University </w:t>
      </w:r>
      <w:r w:rsidRPr="009045A0">
        <w:rPr>
          <w:rFonts w:ascii="Arial" w:hAnsi="Arial" w:cs="Arial"/>
          <w:sz w:val="24"/>
          <w:szCs w:val="24"/>
        </w:rPr>
        <w:t xml:space="preserve">Health Board and the average for Wales, except for drinking above the guidelines. </w:t>
      </w:r>
    </w:p>
    <w:p w14:paraId="596DA20A" w14:textId="77777777" w:rsidR="008036D3" w:rsidRDefault="008036D3" w:rsidP="00DC54F7">
      <w:pPr>
        <w:pStyle w:val="Caption"/>
        <w:spacing w:before="0" w:after="0"/>
        <w:jc w:val="both"/>
        <w:rPr>
          <w:rFonts w:ascii="Arial" w:hAnsi="Arial" w:cs="Arial"/>
          <w:szCs w:val="24"/>
        </w:rPr>
      </w:pPr>
    </w:p>
    <w:p w14:paraId="6C4059DE" w14:textId="58D84BA2" w:rsidR="008F1F27" w:rsidRPr="008036D3" w:rsidRDefault="00EE7A38" w:rsidP="00DC54F7">
      <w:pPr>
        <w:pStyle w:val="Caption"/>
        <w:spacing w:before="0" w:after="0"/>
        <w:jc w:val="both"/>
        <w:rPr>
          <w:rFonts w:ascii="Arial" w:hAnsi="Arial" w:cs="Arial"/>
          <w:szCs w:val="24"/>
        </w:rPr>
      </w:pPr>
      <w:r w:rsidRPr="008036D3">
        <w:rPr>
          <w:rFonts w:ascii="Arial" w:hAnsi="Arial" w:cs="Arial"/>
          <w:szCs w:val="24"/>
        </w:rPr>
        <w:t>Table 16.</w:t>
      </w:r>
      <w:r w:rsidR="009045A0" w:rsidRPr="008036D3">
        <w:rPr>
          <w:rFonts w:ascii="Arial" w:hAnsi="Arial" w:cs="Arial"/>
          <w:szCs w:val="24"/>
        </w:rPr>
        <w:t>6</w:t>
      </w:r>
      <w:r w:rsidRPr="008036D3">
        <w:rPr>
          <w:rFonts w:ascii="Arial" w:hAnsi="Arial" w:cs="Arial"/>
          <w:szCs w:val="24"/>
        </w:rPr>
        <w:t>: Percentage of adults (aged 16 years and over) reporting behaviours by cluster, health board and Wales, 2016 to 2018</w:t>
      </w:r>
    </w:p>
    <w:tbl>
      <w:tblPr>
        <w:tblW w:w="9740"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205"/>
        <w:gridCol w:w="1255"/>
        <w:gridCol w:w="252"/>
        <w:gridCol w:w="1004"/>
        <w:gridCol w:w="503"/>
        <w:gridCol w:w="753"/>
        <w:gridCol w:w="754"/>
        <w:gridCol w:w="502"/>
        <w:gridCol w:w="1005"/>
        <w:gridCol w:w="251"/>
        <w:gridCol w:w="1256"/>
      </w:tblGrid>
      <w:tr w:rsidR="008F1F27" w:rsidRPr="008F1F27" w14:paraId="2E329B61" w14:textId="77777777" w:rsidTr="008036D3">
        <w:trPr>
          <w:trHeight w:val="321"/>
        </w:trPr>
        <w:tc>
          <w:tcPr>
            <w:tcW w:w="2205" w:type="dxa"/>
            <w:shd w:val="clear" w:color="auto" w:fill="8497B0"/>
            <w:noWrap/>
            <w:vAlign w:val="center"/>
            <w:hideMark/>
          </w:tcPr>
          <w:p w14:paraId="1E3515D7" w14:textId="77777777" w:rsidR="008F1F27" w:rsidRPr="008036D3" w:rsidRDefault="008F1F27" w:rsidP="00DC54F7">
            <w:pPr>
              <w:spacing w:after="0" w:line="240" w:lineRule="auto"/>
              <w:jc w:val="both"/>
              <w:rPr>
                <w:rFonts w:eastAsia="Times New Roman" w:cstheme="minorHAnsi"/>
                <w:b/>
                <w:bCs/>
                <w:color w:val="FFFFFF"/>
                <w:lang w:eastAsia="en-GB"/>
              </w:rPr>
            </w:pPr>
            <w:r w:rsidRPr="008036D3">
              <w:rPr>
                <w:rFonts w:eastAsia="Times New Roman" w:cstheme="minorHAnsi"/>
                <w:b/>
                <w:bCs/>
                <w:color w:val="FFFFFF"/>
                <w:lang w:eastAsia="en-GB"/>
              </w:rPr>
              <w:t> </w:t>
            </w:r>
          </w:p>
        </w:tc>
        <w:tc>
          <w:tcPr>
            <w:tcW w:w="1507" w:type="dxa"/>
            <w:gridSpan w:val="2"/>
            <w:shd w:val="clear" w:color="auto" w:fill="8497B0"/>
            <w:noWrap/>
            <w:vAlign w:val="center"/>
            <w:hideMark/>
          </w:tcPr>
          <w:p w14:paraId="7593962B" w14:textId="77777777" w:rsidR="008F1F27" w:rsidRPr="008036D3" w:rsidRDefault="008F1F27" w:rsidP="00DC54F7">
            <w:pPr>
              <w:spacing w:after="0" w:line="240" w:lineRule="auto"/>
              <w:jc w:val="both"/>
              <w:rPr>
                <w:rFonts w:eastAsia="Times New Roman" w:cstheme="minorHAnsi"/>
                <w:b/>
                <w:bCs/>
                <w:color w:val="FFFFFF"/>
                <w:lang w:eastAsia="en-GB"/>
              </w:rPr>
            </w:pPr>
            <w:r w:rsidRPr="008036D3">
              <w:rPr>
                <w:rFonts w:eastAsia="Times New Roman" w:cstheme="minorHAnsi"/>
                <w:b/>
                <w:bCs/>
                <w:color w:val="FFFFFF"/>
                <w:lang w:eastAsia="en-GB"/>
              </w:rPr>
              <w:t>Count</w:t>
            </w:r>
          </w:p>
        </w:tc>
        <w:tc>
          <w:tcPr>
            <w:tcW w:w="1507" w:type="dxa"/>
            <w:gridSpan w:val="2"/>
            <w:shd w:val="clear" w:color="auto" w:fill="8497B0"/>
            <w:noWrap/>
            <w:vAlign w:val="center"/>
            <w:hideMark/>
          </w:tcPr>
          <w:p w14:paraId="39F4F13F" w14:textId="77777777" w:rsidR="008F1F27" w:rsidRPr="008036D3" w:rsidRDefault="008F1F27" w:rsidP="00DC54F7">
            <w:pPr>
              <w:spacing w:after="0" w:line="240" w:lineRule="auto"/>
              <w:jc w:val="both"/>
              <w:rPr>
                <w:rFonts w:eastAsia="Times New Roman" w:cstheme="minorHAnsi"/>
                <w:b/>
                <w:bCs/>
                <w:color w:val="FFFFFF"/>
                <w:lang w:eastAsia="en-GB"/>
              </w:rPr>
            </w:pPr>
            <w:r w:rsidRPr="008036D3">
              <w:rPr>
                <w:rFonts w:eastAsia="Times New Roman" w:cstheme="minorHAnsi"/>
                <w:b/>
                <w:bCs/>
                <w:color w:val="FFFFFF"/>
                <w:lang w:eastAsia="en-GB"/>
              </w:rPr>
              <w:t> </w:t>
            </w:r>
          </w:p>
        </w:tc>
        <w:tc>
          <w:tcPr>
            <w:tcW w:w="1507" w:type="dxa"/>
            <w:gridSpan w:val="2"/>
            <w:shd w:val="clear" w:color="auto" w:fill="8497B0"/>
            <w:noWrap/>
            <w:vAlign w:val="center"/>
            <w:hideMark/>
          </w:tcPr>
          <w:p w14:paraId="04D7E105" w14:textId="77777777" w:rsidR="008F1F27" w:rsidRPr="008036D3" w:rsidRDefault="008F1F27" w:rsidP="00DC54F7">
            <w:pPr>
              <w:spacing w:after="0" w:line="240" w:lineRule="auto"/>
              <w:jc w:val="both"/>
              <w:rPr>
                <w:rFonts w:eastAsia="Times New Roman" w:cstheme="minorHAnsi"/>
                <w:b/>
                <w:bCs/>
                <w:color w:val="FFFFFF"/>
                <w:lang w:eastAsia="en-GB"/>
              </w:rPr>
            </w:pPr>
            <w:r w:rsidRPr="008036D3">
              <w:rPr>
                <w:rFonts w:eastAsia="Times New Roman" w:cstheme="minorHAnsi"/>
                <w:b/>
                <w:bCs/>
                <w:color w:val="FFFFFF"/>
                <w:lang w:eastAsia="en-GB"/>
              </w:rPr>
              <w:t> </w:t>
            </w:r>
          </w:p>
        </w:tc>
        <w:tc>
          <w:tcPr>
            <w:tcW w:w="1507" w:type="dxa"/>
            <w:gridSpan w:val="2"/>
            <w:shd w:val="clear" w:color="auto" w:fill="8497B0"/>
            <w:noWrap/>
            <w:vAlign w:val="center"/>
            <w:hideMark/>
          </w:tcPr>
          <w:p w14:paraId="68E03C34" w14:textId="77777777" w:rsidR="008F1F27" w:rsidRPr="008036D3" w:rsidRDefault="008F1F27" w:rsidP="00DC54F7">
            <w:pPr>
              <w:spacing w:after="0" w:line="240" w:lineRule="auto"/>
              <w:jc w:val="both"/>
              <w:rPr>
                <w:rFonts w:eastAsia="Times New Roman" w:cstheme="minorHAnsi"/>
                <w:b/>
                <w:bCs/>
                <w:color w:val="FFFFFF"/>
                <w:lang w:eastAsia="en-GB"/>
              </w:rPr>
            </w:pPr>
            <w:r w:rsidRPr="008036D3">
              <w:rPr>
                <w:rFonts w:eastAsia="Times New Roman" w:cstheme="minorHAnsi"/>
                <w:b/>
                <w:bCs/>
                <w:color w:val="FFFFFF"/>
                <w:lang w:eastAsia="en-GB"/>
              </w:rPr>
              <w:t>Prevalence</w:t>
            </w:r>
          </w:p>
        </w:tc>
        <w:tc>
          <w:tcPr>
            <w:tcW w:w="1507" w:type="dxa"/>
            <w:gridSpan w:val="2"/>
            <w:shd w:val="clear" w:color="auto" w:fill="8497B0"/>
            <w:noWrap/>
            <w:vAlign w:val="center"/>
            <w:hideMark/>
          </w:tcPr>
          <w:p w14:paraId="7D728A5A" w14:textId="77777777" w:rsidR="008F1F27" w:rsidRPr="008036D3" w:rsidRDefault="008F1F27" w:rsidP="00DC54F7">
            <w:pPr>
              <w:spacing w:after="0" w:line="240" w:lineRule="auto"/>
              <w:jc w:val="both"/>
              <w:rPr>
                <w:rFonts w:eastAsia="Times New Roman" w:cstheme="minorHAnsi"/>
                <w:b/>
                <w:bCs/>
                <w:color w:val="FFFFFF"/>
                <w:lang w:eastAsia="en-GB"/>
              </w:rPr>
            </w:pPr>
            <w:r w:rsidRPr="008036D3">
              <w:rPr>
                <w:rFonts w:eastAsia="Times New Roman" w:cstheme="minorHAnsi"/>
                <w:b/>
                <w:bCs/>
                <w:color w:val="FFFFFF"/>
                <w:lang w:eastAsia="en-GB"/>
              </w:rPr>
              <w:t> </w:t>
            </w:r>
          </w:p>
        </w:tc>
      </w:tr>
      <w:tr w:rsidR="008F1F27" w:rsidRPr="008F1F27" w14:paraId="50DA9293" w14:textId="77777777" w:rsidTr="008036D3">
        <w:trPr>
          <w:trHeight w:val="1462"/>
        </w:trPr>
        <w:tc>
          <w:tcPr>
            <w:tcW w:w="2205" w:type="dxa"/>
            <w:shd w:val="clear" w:color="auto" w:fill="8497B0"/>
            <w:vAlign w:val="center"/>
            <w:hideMark/>
          </w:tcPr>
          <w:p w14:paraId="667F954E" w14:textId="77777777" w:rsidR="008F1F27" w:rsidRPr="008036D3" w:rsidRDefault="008F1F27" w:rsidP="00DC54F7">
            <w:pPr>
              <w:spacing w:after="0" w:line="240" w:lineRule="auto"/>
              <w:jc w:val="both"/>
              <w:rPr>
                <w:rFonts w:eastAsia="Times New Roman" w:cstheme="minorHAnsi"/>
                <w:b/>
                <w:bCs/>
                <w:color w:val="FFFFFF"/>
                <w:lang w:eastAsia="en-GB"/>
              </w:rPr>
            </w:pPr>
            <w:r w:rsidRPr="008036D3">
              <w:rPr>
                <w:rFonts w:eastAsia="Times New Roman" w:cstheme="minorHAnsi"/>
                <w:b/>
                <w:bCs/>
                <w:color w:val="FFFFFF"/>
                <w:lang w:eastAsia="en-GB"/>
              </w:rPr>
              <w:t>GP Cluster Name</w:t>
            </w:r>
          </w:p>
        </w:tc>
        <w:tc>
          <w:tcPr>
            <w:tcW w:w="1255" w:type="dxa"/>
            <w:shd w:val="clear" w:color="auto" w:fill="8497B0"/>
            <w:vAlign w:val="center"/>
            <w:hideMark/>
          </w:tcPr>
          <w:p w14:paraId="478FAC99" w14:textId="77777777" w:rsidR="008F1F27" w:rsidRPr="008036D3" w:rsidRDefault="008F1F27" w:rsidP="00DC54F7">
            <w:pPr>
              <w:spacing w:after="0" w:line="240" w:lineRule="auto"/>
              <w:jc w:val="both"/>
              <w:rPr>
                <w:rFonts w:eastAsia="Times New Roman" w:cstheme="minorHAnsi"/>
                <w:b/>
                <w:bCs/>
                <w:color w:val="FFFFFF"/>
                <w:lang w:eastAsia="en-GB"/>
              </w:rPr>
            </w:pPr>
            <w:r w:rsidRPr="008036D3">
              <w:rPr>
                <w:rFonts w:eastAsia="Times New Roman" w:cstheme="minorHAnsi"/>
                <w:b/>
                <w:bCs/>
                <w:color w:val="FFFFFF"/>
                <w:lang w:eastAsia="en-GB"/>
              </w:rPr>
              <w:t>GP cluster population aged 16+</w:t>
            </w:r>
          </w:p>
        </w:tc>
        <w:tc>
          <w:tcPr>
            <w:tcW w:w="1256" w:type="dxa"/>
            <w:gridSpan w:val="2"/>
            <w:shd w:val="clear" w:color="auto" w:fill="8497B0"/>
            <w:vAlign w:val="center"/>
            <w:hideMark/>
          </w:tcPr>
          <w:p w14:paraId="6DDD4C8F" w14:textId="77777777" w:rsidR="008F1F27" w:rsidRPr="008036D3" w:rsidRDefault="008F1F27" w:rsidP="00DC54F7">
            <w:pPr>
              <w:spacing w:after="0" w:line="240" w:lineRule="auto"/>
              <w:jc w:val="both"/>
              <w:rPr>
                <w:rFonts w:eastAsia="Times New Roman" w:cstheme="minorHAnsi"/>
                <w:b/>
                <w:bCs/>
                <w:color w:val="FFFFFF"/>
                <w:lang w:eastAsia="en-GB"/>
              </w:rPr>
            </w:pPr>
            <w:r w:rsidRPr="008036D3">
              <w:rPr>
                <w:rFonts w:eastAsia="Times New Roman" w:cstheme="minorHAnsi"/>
                <w:b/>
                <w:bCs/>
                <w:color w:val="FFFFFF"/>
                <w:lang w:eastAsia="en-GB"/>
              </w:rPr>
              <w:t>Smoking</w:t>
            </w:r>
          </w:p>
        </w:tc>
        <w:tc>
          <w:tcPr>
            <w:tcW w:w="1256" w:type="dxa"/>
            <w:gridSpan w:val="2"/>
            <w:shd w:val="clear" w:color="auto" w:fill="8497B0"/>
            <w:vAlign w:val="center"/>
            <w:hideMark/>
          </w:tcPr>
          <w:p w14:paraId="5DCF0821" w14:textId="77777777" w:rsidR="008F1F27" w:rsidRPr="008036D3" w:rsidRDefault="008F1F27" w:rsidP="00DC54F7">
            <w:pPr>
              <w:spacing w:after="0" w:line="240" w:lineRule="auto"/>
              <w:jc w:val="both"/>
              <w:rPr>
                <w:rFonts w:eastAsia="Times New Roman" w:cstheme="minorHAnsi"/>
                <w:b/>
                <w:bCs/>
                <w:color w:val="FFFFFF"/>
                <w:lang w:eastAsia="en-GB"/>
              </w:rPr>
            </w:pPr>
            <w:r w:rsidRPr="008036D3">
              <w:rPr>
                <w:rFonts w:eastAsia="Times New Roman" w:cstheme="minorHAnsi"/>
                <w:b/>
                <w:bCs/>
                <w:color w:val="FFFFFF"/>
                <w:lang w:eastAsia="en-GB"/>
              </w:rPr>
              <w:t>Drinking the above guidelines</w:t>
            </w:r>
          </w:p>
        </w:tc>
        <w:tc>
          <w:tcPr>
            <w:tcW w:w="1256" w:type="dxa"/>
            <w:gridSpan w:val="2"/>
            <w:shd w:val="clear" w:color="auto" w:fill="8497B0"/>
            <w:vAlign w:val="center"/>
            <w:hideMark/>
          </w:tcPr>
          <w:p w14:paraId="6A77AF54" w14:textId="77777777" w:rsidR="008F1F27" w:rsidRPr="008036D3" w:rsidRDefault="008F1F27" w:rsidP="00DC54F7">
            <w:pPr>
              <w:spacing w:after="0" w:line="240" w:lineRule="auto"/>
              <w:jc w:val="both"/>
              <w:rPr>
                <w:rFonts w:eastAsia="Times New Roman" w:cstheme="minorHAnsi"/>
                <w:b/>
                <w:bCs/>
                <w:color w:val="FFFFFF"/>
                <w:lang w:eastAsia="en-GB"/>
              </w:rPr>
            </w:pPr>
            <w:r w:rsidRPr="008036D3">
              <w:rPr>
                <w:rFonts w:eastAsia="Times New Roman" w:cstheme="minorHAnsi"/>
                <w:b/>
                <w:bCs/>
                <w:color w:val="FFFFFF"/>
                <w:lang w:eastAsia="en-GB"/>
              </w:rPr>
              <w:t>Working age adults of healthy weight</w:t>
            </w:r>
          </w:p>
        </w:tc>
        <w:tc>
          <w:tcPr>
            <w:tcW w:w="1256" w:type="dxa"/>
            <w:gridSpan w:val="2"/>
            <w:shd w:val="clear" w:color="auto" w:fill="8497B0"/>
            <w:vAlign w:val="center"/>
            <w:hideMark/>
          </w:tcPr>
          <w:p w14:paraId="0C8E2573" w14:textId="77777777" w:rsidR="008F1F27" w:rsidRPr="008036D3" w:rsidRDefault="008F1F27" w:rsidP="00DC54F7">
            <w:pPr>
              <w:spacing w:after="0" w:line="240" w:lineRule="auto"/>
              <w:jc w:val="both"/>
              <w:rPr>
                <w:rFonts w:eastAsia="Times New Roman" w:cstheme="minorHAnsi"/>
                <w:b/>
                <w:bCs/>
                <w:color w:val="FFFFFF"/>
                <w:lang w:eastAsia="en-GB"/>
              </w:rPr>
            </w:pPr>
            <w:r w:rsidRPr="008036D3">
              <w:rPr>
                <w:rFonts w:eastAsia="Times New Roman" w:cstheme="minorHAnsi"/>
                <w:b/>
                <w:bCs/>
                <w:color w:val="FFFFFF"/>
                <w:lang w:eastAsia="en-GB"/>
              </w:rPr>
              <w:t>Meeting physical activity guidelines</w:t>
            </w:r>
          </w:p>
        </w:tc>
        <w:tc>
          <w:tcPr>
            <w:tcW w:w="1256" w:type="dxa"/>
            <w:shd w:val="clear" w:color="auto" w:fill="8497B0"/>
            <w:vAlign w:val="center"/>
            <w:hideMark/>
          </w:tcPr>
          <w:p w14:paraId="443F70E3" w14:textId="77777777" w:rsidR="008F1F27" w:rsidRPr="008036D3" w:rsidRDefault="008F1F27" w:rsidP="00DC54F7">
            <w:pPr>
              <w:spacing w:after="0" w:line="240" w:lineRule="auto"/>
              <w:jc w:val="both"/>
              <w:rPr>
                <w:rFonts w:eastAsia="Times New Roman" w:cstheme="minorHAnsi"/>
                <w:b/>
                <w:bCs/>
                <w:color w:val="FFFFFF"/>
                <w:lang w:eastAsia="en-GB"/>
              </w:rPr>
            </w:pPr>
            <w:r w:rsidRPr="008036D3">
              <w:rPr>
                <w:rFonts w:eastAsia="Times New Roman" w:cstheme="minorHAnsi"/>
                <w:b/>
                <w:bCs/>
                <w:color w:val="FFFFFF"/>
                <w:lang w:eastAsia="en-GB"/>
              </w:rPr>
              <w:t>Consuming 5 a day</w:t>
            </w:r>
          </w:p>
        </w:tc>
      </w:tr>
      <w:tr w:rsidR="008F1F27" w:rsidRPr="008F1F27" w14:paraId="1ECA9B24" w14:textId="77777777" w:rsidTr="008036D3">
        <w:trPr>
          <w:trHeight w:val="332"/>
        </w:trPr>
        <w:tc>
          <w:tcPr>
            <w:tcW w:w="2205" w:type="dxa"/>
            <w:shd w:val="clear" w:color="000000" w:fill="F2F2F2"/>
            <w:noWrap/>
            <w:vAlign w:val="center"/>
            <w:hideMark/>
          </w:tcPr>
          <w:p w14:paraId="6C35F0A2"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Western Vale</w:t>
            </w:r>
          </w:p>
        </w:tc>
        <w:tc>
          <w:tcPr>
            <w:tcW w:w="1255" w:type="dxa"/>
            <w:shd w:val="clear" w:color="000000" w:fill="F2F2F2"/>
            <w:noWrap/>
            <w:vAlign w:val="center"/>
            <w:hideMark/>
          </w:tcPr>
          <w:p w14:paraId="6C5D71E2"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23,410</w:t>
            </w:r>
          </w:p>
        </w:tc>
        <w:tc>
          <w:tcPr>
            <w:tcW w:w="1256" w:type="dxa"/>
            <w:gridSpan w:val="2"/>
            <w:shd w:val="clear" w:color="000000" w:fill="F2F2F2"/>
            <w:noWrap/>
            <w:vAlign w:val="center"/>
            <w:hideMark/>
          </w:tcPr>
          <w:p w14:paraId="57E6CED4"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13.2</w:t>
            </w:r>
          </w:p>
        </w:tc>
        <w:tc>
          <w:tcPr>
            <w:tcW w:w="1256" w:type="dxa"/>
            <w:gridSpan w:val="2"/>
            <w:shd w:val="clear" w:color="000000" w:fill="F2F2F2"/>
            <w:noWrap/>
            <w:vAlign w:val="center"/>
            <w:hideMark/>
          </w:tcPr>
          <w:p w14:paraId="4C99923A"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21.4</w:t>
            </w:r>
          </w:p>
        </w:tc>
        <w:tc>
          <w:tcPr>
            <w:tcW w:w="1256" w:type="dxa"/>
            <w:gridSpan w:val="2"/>
            <w:shd w:val="clear" w:color="000000" w:fill="F2F2F2"/>
            <w:noWrap/>
            <w:vAlign w:val="center"/>
            <w:hideMark/>
          </w:tcPr>
          <w:p w14:paraId="3A8B9489"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43.3</w:t>
            </w:r>
          </w:p>
        </w:tc>
        <w:tc>
          <w:tcPr>
            <w:tcW w:w="1256" w:type="dxa"/>
            <w:gridSpan w:val="2"/>
            <w:shd w:val="clear" w:color="000000" w:fill="F2F2F2"/>
            <w:noWrap/>
            <w:vAlign w:val="center"/>
            <w:hideMark/>
          </w:tcPr>
          <w:p w14:paraId="17CE20F7"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57.3</w:t>
            </w:r>
          </w:p>
        </w:tc>
        <w:tc>
          <w:tcPr>
            <w:tcW w:w="1256" w:type="dxa"/>
            <w:shd w:val="clear" w:color="000000" w:fill="F2F2F2"/>
            <w:noWrap/>
            <w:vAlign w:val="center"/>
            <w:hideMark/>
          </w:tcPr>
          <w:p w14:paraId="59D36B5C"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27.3</w:t>
            </w:r>
          </w:p>
        </w:tc>
      </w:tr>
      <w:tr w:rsidR="008F1F27" w:rsidRPr="008F1F27" w14:paraId="2B608DA5" w14:textId="77777777" w:rsidTr="008036D3">
        <w:trPr>
          <w:trHeight w:val="332"/>
        </w:trPr>
        <w:tc>
          <w:tcPr>
            <w:tcW w:w="2205" w:type="dxa"/>
            <w:shd w:val="clear" w:color="000000" w:fill="FFFFFF"/>
            <w:noWrap/>
            <w:vAlign w:val="center"/>
            <w:hideMark/>
          </w:tcPr>
          <w:p w14:paraId="5DAE6B13"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Cardiff and Vale UHB</w:t>
            </w:r>
          </w:p>
        </w:tc>
        <w:tc>
          <w:tcPr>
            <w:tcW w:w="1255" w:type="dxa"/>
            <w:shd w:val="clear" w:color="000000" w:fill="FFFFFF"/>
            <w:noWrap/>
            <w:vAlign w:val="center"/>
            <w:hideMark/>
          </w:tcPr>
          <w:p w14:paraId="074E9E2F"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420,119</w:t>
            </w:r>
          </w:p>
        </w:tc>
        <w:tc>
          <w:tcPr>
            <w:tcW w:w="1256" w:type="dxa"/>
            <w:gridSpan w:val="2"/>
            <w:shd w:val="clear" w:color="000000" w:fill="FFFFFF"/>
            <w:noWrap/>
            <w:vAlign w:val="center"/>
            <w:hideMark/>
          </w:tcPr>
          <w:p w14:paraId="6E17223A"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19.3</w:t>
            </w:r>
          </w:p>
        </w:tc>
        <w:tc>
          <w:tcPr>
            <w:tcW w:w="1256" w:type="dxa"/>
            <w:gridSpan w:val="2"/>
            <w:shd w:val="clear" w:color="000000" w:fill="FFFFFF"/>
            <w:noWrap/>
            <w:vAlign w:val="center"/>
            <w:hideMark/>
          </w:tcPr>
          <w:p w14:paraId="0888EAE8"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18.9</w:t>
            </w:r>
          </w:p>
        </w:tc>
        <w:tc>
          <w:tcPr>
            <w:tcW w:w="1256" w:type="dxa"/>
            <w:gridSpan w:val="2"/>
            <w:shd w:val="clear" w:color="000000" w:fill="FFFFFF"/>
            <w:noWrap/>
            <w:vAlign w:val="center"/>
            <w:hideMark/>
          </w:tcPr>
          <w:p w14:paraId="07A8860D"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40.8</w:t>
            </w:r>
          </w:p>
        </w:tc>
        <w:tc>
          <w:tcPr>
            <w:tcW w:w="1256" w:type="dxa"/>
            <w:gridSpan w:val="2"/>
            <w:shd w:val="clear" w:color="000000" w:fill="FFFFFF"/>
            <w:noWrap/>
            <w:vAlign w:val="center"/>
            <w:hideMark/>
          </w:tcPr>
          <w:p w14:paraId="672B43F0"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55.1</w:t>
            </w:r>
          </w:p>
        </w:tc>
        <w:tc>
          <w:tcPr>
            <w:tcW w:w="1256" w:type="dxa"/>
            <w:shd w:val="clear" w:color="000000" w:fill="FFFFFF"/>
            <w:noWrap/>
            <w:vAlign w:val="center"/>
            <w:hideMark/>
          </w:tcPr>
          <w:p w14:paraId="01DA3644"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24.2</w:t>
            </w:r>
          </w:p>
        </w:tc>
      </w:tr>
      <w:tr w:rsidR="008F1F27" w:rsidRPr="008F1F27" w14:paraId="20F939D8" w14:textId="77777777" w:rsidTr="008036D3">
        <w:trPr>
          <w:trHeight w:val="332"/>
        </w:trPr>
        <w:tc>
          <w:tcPr>
            <w:tcW w:w="2205" w:type="dxa"/>
            <w:shd w:val="clear" w:color="000000" w:fill="F2F2F2"/>
            <w:noWrap/>
            <w:vAlign w:val="center"/>
            <w:hideMark/>
          </w:tcPr>
          <w:p w14:paraId="3226BC99"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Wales</w:t>
            </w:r>
          </w:p>
        </w:tc>
        <w:tc>
          <w:tcPr>
            <w:tcW w:w="1255" w:type="dxa"/>
            <w:shd w:val="clear" w:color="000000" w:fill="F2F2F2"/>
            <w:noWrap/>
            <w:vAlign w:val="center"/>
            <w:hideMark/>
          </w:tcPr>
          <w:p w14:paraId="131E1945"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2,642,152</w:t>
            </w:r>
          </w:p>
        </w:tc>
        <w:tc>
          <w:tcPr>
            <w:tcW w:w="1256" w:type="dxa"/>
            <w:gridSpan w:val="2"/>
            <w:shd w:val="clear" w:color="000000" w:fill="F2F2F2"/>
            <w:noWrap/>
            <w:vAlign w:val="center"/>
            <w:hideMark/>
          </w:tcPr>
          <w:p w14:paraId="04BC1DD3"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19.2</w:t>
            </w:r>
          </w:p>
        </w:tc>
        <w:tc>
          <w:tcPr>
            <w:tcW w:w="1256" w:type="dxa"/>
            <w:gridSpan w:val="2"/>
            <w:shd w:val="clear" w:color="000000" w:fill="F2F2F2"/>
            <w:noWrap/>
            <w:vAlign w:val="center"/>
            <w:hideMark/>
          </w:tcPr>
          <w:p w14:paraId="3FD0CC25"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18.9</w:t>
            </w:r>
          </w:p>
        </w:tc>
        <w:tc>
          <w:tcPr>
            <w:tcW w:w="1256" w:type="dxa"/>
            <w:gridSpan w:val="2"/>
            <w:shd w:val="clear" w:color="000000" w:fill="F2F2F2"/>
            <w:noWrap/>
            <w:vAlign w:val="center"/>
            <w:hideMark/>
          </w:tcPr>
          <w:p w14:paraId="48346C86"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39.1</w:t>
            </w:r>
          </w:p>
        </w:tc>
        <w:tc>
          <w:tcPr>
            <w:tcW w:w="1256" w:type="dxa"/>
            <w:gridSpan w:val="2"/>
            <w:shd w:val="clear" w:color="000000" w:fill="F2F2F2"/>
            <w:noWrap/>
            <w:vAlign w:val="center"/>
            <w:hideMark/>
          </w:tcPr>
          <w:p w14:paraId="1E343CA7"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52.8</w:t>
            </w:r>
          </w:p>
        </w:tc>
        <w:tc>
          <w:tcPr>
            <w:tcW w:w="1256" w:type="dxa"/>
            <w:shd w:val="clear" w:color="000000" w:fill="F2F2F2"/>
            <w:noWrap/>
            <w:vAlign w:val="center"/>
            <w:hideMark/>
          </w:tcPr>
          <w:p w14:paraId="5507A2B1" w14:textId="77777777" w:rsidR="008F1F27" w:rsidRPr="008036D3" w:rsidRDefault="008F1F27" w:rsidP="00DC54F7">
            <w:pPr>
              <w:spacing w:after="0" w:line="240" w:lineRule="auto"/>
              <w:jc w:val="both"/>
              <w:rPr>
                <w:rFonts w:eastAsia="Times New Roman" w:cstheme="minorHAnsi"/>
                <w:color w:val="000000"/>
                <w:lang w:eastAsia="en-GB"/>
              </w:rPr>
            </w:pPr>
            <w:r w:rsidRPr="008036D3">
              <w:rPr>
                <w:rFonts w:eastAsia="Times New Roman" w:cstheme="minorHAnsi"/>
                <w:color w:val="000000"/>
                <w:lang w:eastAsia="en-GB"/>
              </w:rPr>
              <w:t>23.4</w:t>
            </w:r>
          </w:p>
        </w:tc>
      </w:tr>
    </w:tbl>
    <w:p w14:paraId="190D9504" w14:textId="77777777" w:rsidR="00B658A3" w:rsidRDefault="00B658A3" w:rsidP="00DC54F7">
      <w:pPr>
        <w:spacing w:after="0" w:line="240" w:lineRule="auto"/>
        <w:jc w:val="both"/>
        <w:rPr>
          <w:rFonts w:ascii="Arial" w:hAnsi="Arial" w:cs="Arial"/>
          <w:sz w:val="20"/>
          <w:szCs w:val="20"/>
        </w:rPr>
      </w:pPr>
      <w:r w:rsidRPr="00DD3817">
        <w:rPr>
          <w:rFonts w:ascii="Arial" w:hAnsi="Arial" w:cs="Arial"/>
          <w:sz w:val="20"/>
          <w:szCs w:val="20"/>
        </w:rPr>
        <w:t>Source: Public Health Wales Observatory, using NSW (WG), WDS (NWIS) and WIMD 2014 (WG). Please note, the calculation of the healthy weight indicator only accounts for working age adults (aged 16-64)</w:t>
      </w:r>
    </w:p>
    <w:p w14:paraId="121A834F" w14:textId="77777777" w:rsidR="008036D3" w:rsidRDefault="008036D3" w:rsidP="00DC54F7">
      <w:pPr>
        <w:spacing w:after="0" w:line="240" w:lineRule="auto"/>
        <w:jc w:val="both"/>
        <w:rPr>
          <w:rFonts w:ascii="Arial" w:hAnsi="Arial" w:cs="Arial"/>
          <w:b/>
          <w:sz w:val="26"/>
          <w:szCs w:val="26"/>
        </w:rPr>
      </w:pPr>
    </w:p>
    <w:p w14:paraId="1E82E734" w14:textId="77777777" w:rsidR="008036D3" w:rsidRDefault="008036D3" w:rsidP="00DC54F7">
      <w:pPr>
        <w:spacing w:after="0" w:line="240" w:lineRule="auto"/>
        <w:jc w:val="both"/>
        <w:rPr>
          <w:rFonts w:ascii="Arial" w:hAnsi="Arial" w:cs="Arial"/>
          <w:b/>
          <w:sz w:val="26"/>
          <w:szCs w:val="26"/>
        </w:rPr>
      </w:pPr>
    </w:p>
    <w:p w14:paraId="5765BA65" w14:textId="6715CCEB" w:rsidR="00ED1276" w:rsidRPr="00C52080" w:rsidRDefault="00C52080" w:rsidP="00DC54F7">
      <w:pPr>
        <w:spacing w:after="0" w:line="240" w:lineRule="auto"/>
        <w:jc w:val="both"/>
        <w:rPr>
          <w:rFonts w:ascii="Arial" w:hAnsi="Arial" w:cs="Arial"/>
          <w:b/>
          <w:sz w:val="24"/>
          <w:szCs w:val="24"/>
        </w:rPr>
      </w:pPr>
      <w:r w:rsidRPr="00C52080">
        <w:rPr>
          <w:rFonts w:ascii="Arial" w:hAnsi="Arial" w:cs="Arial"/>
          <w:b/>
          <w:sz w:val="24"/>
          <w:szCs w:val="24"/>
        </w:rPr>
        <w:t xml:space="preserve">16.1.5 </w:t>
      </w:r>
      <w:r w:rsidR="007277D0" w:rsidRPr="00C52080">
        <w:rPr>
          <w:rFonts w:ascii="Arial" w:hAnsi="Arial" w:cs="Arial"/>
          <w:b/>
          <w:sz w:val="24"/>
          <w:szCs w:val="24"/>
        </w:rPr>
        <w:t>Cluster</w:t>
      </w:r>
      <w:r w:rsidR="00855E39" w:rsidRPr="00C52080">
        <w:rPr>
          <w:rFonts w:ascii="Arial" w:hAnsi="Arial" w:cs="Arial"/>
          <w:b/>
          <w:sz w:val="24"/>
          <w:szCs w:val="24"/>
        </w:rPr>
        <w:t xml:space="preserve"> </w:t>
      </w:r>
      <w:r w:rsidR="007277D0" w:rsidRPr="00C52080">
        <w:rPr>
          <w:rFonts w:ascii="Arial" w:hAnsi="Arial" w:cs="Arial"/>
          <w:b/>
          <w:sz w:val="24"/>
          <w:szCs w:val="24"/>
        </w:rPr>
        <w:t>developments</w:t>
      </w:r>
    </w:p>
    <w:p w14:paraId="446A380B" w14:textId="77777777" w:rsidR="00EA144A" w:rsidRPr="00C52080" w:rsidRDefault="00EA144A" w:rsidP="00DC54F7">
      <w:pPr>
        <w:spacing w:after="0" w:line="240" w:lineRule="auto"/>
        <w:jc w:val="both"/>
        <w:rPr>
          <w:rFonts w:ascii="Arial" w:hAnsi="Arial" w:cs="Arial"/>
          <w:b/>
          <w:sz w:val="24"/>
          <w:szCs w:val="24"/>
        </w:rPr>
      </w:pPr>
    </w:p>
    <w:p w14:paraId="5DC2B1BE" w14:textId="1EA32BEA" w:rsidR="003C12B6" w:rsidRPr="00C52080" w:rsidRDefault="003C12B6" w:rsidP="00DC54F7">
      <w:pPr>
        <w:spacing w:after="0" w:line="240" w:lineRule="auto"/>
        <w:jc w:val="both"/>
        <w:rPr>
          <w:rFonts w:ascii="Arial" w:hAnsi="Arial" w:cs="Arial"/>
          <w:sz w:val="24"/>
          <w:szCs w:val="24"/>
        </w:rPr>
      </w:pPr>
      <w:bookmarkStart w:id="61" w:name="_Hlk68454964"/>
      <w:r w:rsidRPr="00C52080">
        <w:rPr>
          <w:rFonts w:ascii="Arial" w:hAnsi="Arial" w:cs="Arial"/>
          <w:sz w:val="24"/>
          <w:szCs w:val="24"/>
        </w:rPr>
        <w:t>The biggest housing development</w:t>
      </w:r>
      <w:r w:rsidR="00881AD5" w:rsidRPr="00C52080">
        <w:rPr>
          <w:rFonts w:ascii="Arial" w:hAnsi="Arial" w:cs="Arial"/>
          <w:sz w:val="24"/>
          <w:szCs w:val="24"/>
        </w:rPr>
        <w:t>s</w:t>
      </w:r>
      <w:r w:rsidRPr="00C52080">
        <w:rPr>
          <w:rFonts w:ascii="Arial" w:hAnsi="Arial" w:cs="Arial"/>
          <w:sz w:val="24"/>
          <w:szCs w:val="24"/>
        </w:rPr>
        <w:t xml:space="preserve"> in the </w:t>
      </w:r>
      <w:r w:rsidR="002D26B4" w:rsidRPr="00C52080">
        <w:rPr>
          <w:rFonts w:ascii="Arial" w:hAnsi="Arial" w:cs="Arial"/>
          <w:sz w:val="24"/>
          <w:szCs w:val="24"/>
        </w:rPr>
        <w:t xml:space="preserve">Western Vale cluster </w:t>
      </w:r>
      <w:r w:rsidR="00881AD5" w:rsidRPr="00C52080">
        <w:rPr>
          <w:rFonts w:ascii="Arial" w:hAnsi="Arial" w:cs="Arial"/>
          <w:sz w:val="24"/>
          <w:szCs w:val="24"/>
        </w:rPr>
        <w:t xml:space="preserve">are </w:t>
      </w:r>
      <w:r w:rsidR="002D26B4" w:rsidRPr="00C52080">
        <w:rPr>
          <w:rFonts w:ascii="Arial" w:hAnsi="Arial" w:cs="Arial"/>
          <w:sz w:val="24"/>
          <w:szCs w:val="24"/>
        </w:rPr>
        <w:t xml:space="preserve">on land </w:t>
      </w:r>
      <w:r w:rsidR="0050254D" w:rsidRPr="00C52080">
        <w:rPr>
          <w:rFonts w:ascii="Arial" w:hAnsi="Arial" w:cs="Arial"/>
          <w:sz w:val="24"/>
          <w:szCs w:val="24"/>
        </w:rPr>
        <w:t xml:space="preserve">to the north and west of Darren Close, </w:t>
      </w:r>
      <w:r w:rsidR="00622651" w:rsidRPr="00C52080">
        <w:rPr>
          <w:rFonts w:ascii="Arial" w:hAnsi="Arial" w:cs="Arial"/>
          <w:sz w:val="24"/>
          <w:szCs w:val="24"/>
        </w:rPr>
        <w:t xml:space="preserve">Cowbridge </w:t>
      </w:r>
      <w:r w:rsidR="00881AD5" w:rsidRPr="00C52080">
        <w:rPr>
          <w:rFonts w:ascii="Arial" w:hAnsi="Arial" w:cs="Arial"/>
          <w:sz w:val="24"/>
          <w:szCs w:val="24"/>
        </w:rPr>
        <w:t xml:space="preserve">and land north of the Railway Line, Rhoose. </w:t>
      </w:r>
      <w:r w:rsidR="0014325C" w:rsidRPr="00C52080">
        <w:rPr>
          <w:rFonts w:ascii="Arial" w:hAnsi="Arial" w:cs="Arial"/>
          <w:sz w:val="24"/>
          <w:szCs w:val="24"/>
        </w:rPr>
        <w:t>As of 1</w:t>
      </w:r>
      <w:r w:rsidR="0014325C" w:rsidRPr="00C52080">
        <w:rPr>
          <w:rFonts w:ascii="Arial" w:hAnsi="Arial" w:cs="Arial"/>
          <w:sz w:val="24"/>
          <w:szCs w:val="24"/>
          <w:vertAlign w:val="superscript"/>
        </w:rPr>
        <w:t>st</w:t>
      </w:r>
      <w:r w:rsidR="0014325C" w:rsidRPr="00C52080">
        <w:rPr>
          <w:rFonts w:ascii="Arial" w:hAnsi="Arial" w:cs="Arial"/>
          <w:sz w:val="24"/>
          <w:szCs w:val="24"/>
        </w:rPr>
        <w:t xml:space="preserve"> April 2020, </w:t>
      </w:r>
      <w:r w:rsidR="00622651" w:rsidRPr="00C52080">
        <w:rPr>
          <w:rFonts w:ascii="Arial" w:hAnsi="Arial" w:cs="Arial"/>
          <w:sz w:val="24"/>
          <w:szCs w:val="24"/>
        </w:rPr>
        <w:t>work had started on both sites with t</w:t>
      </w:r>
      <w:r w:rsidR="0014325C" w:rsidRPr="00C52080">
        <w:rPr>
          <w:rFonts w:ascii="Arial" w:hAnsi="Arial" w:cs="Arial"/>
          <w:sz w:val="24"/>
          <w:szCs w:val="24"/>
        </w:rPr>
        <w:t xml:space="preserve">he remainder expected to be completed within the lifetime of this PNA. </w:t>
      </w:r>
      <w:r w:rsidR="00097318" w:rsidRPr="00C52080">
        <w:rPr>
          <w:rFonts w:ascii="Arial" w:hAnsi="Arial" w:cs="Arial"/>
          <w:sz w:val="24"/>
          <w:szCs w:val="24"/>
        </w:rPr>
        <w:t>Other h</w:t>
      </w:r>
      <w:r w:rsidRPr="00C52080">
        <w:rPr>
          <w:rFonts w:ascii="Arial" w:hAnsi="Arial" w:cs="Arial"/>
          <w:sz w:val="24"/>
          <w:szCs w:val="24"/>
        </w:rPr>
        <w:t>ousing developments in the cluster include:</w:t>
      </w:r>
    </w:p>
    <w:p w14:paraId="0BEB6D0D" w14:textId="61C3493D" w:rsidR="00DE5496" w:rsidRDefault="00DE5496" w:rsidP="00DC54F7">
      <w:pPr>
        <w:spacing w:after="0" w:line="240" w:lineRule="auto"/>
        <w:jc w:val="both"/>
        <w:rPr>
          <w:rFonts w:ascii="Arial" w:hAnsi="Arial" w:cs="Arial"/>
        </w:rPr>
      </w:pPr>
    </w:p>
    <w:p w14:paraId="1CB24045" w14:textId="77777777" w:rsidR="00DE5496" w:rsidRPr="00C52080" w:rsidRDefault="00DE5496" w:rsidP="00DC54F7">
      <w:pPr>
        <w:spacing w:after="0" w:line="240" w:lineRule="auto"/>
        <w:jc w:val="both"/>
        <w:rPr>
          <w:rFonts w:ascii="Arial" w:hAnsi="Arial" w:cs="Arial"/>
          <w:b/>
          <w:sz w:val="24"/>
          <w:szCs w:val="24"/>
        </w:rPr>
      </w:pPr>
      <w:r w:rsidRPr="00C52080">
        <w:rPr>
          <w:rFonts w:ascii="Arial" w:hAnsi="Arial" w:cs="Arial"/>
          <w:b/>
          <w:sz w:val="24"/>
          <w:szCs w:val="24"/>
        </w:rPr>
        <w:t>Strategic housing sites</w:t>
      </w:r>
    </w:p>
    <w:tbl>
      <w:tblPr>
        <w:tblStyle w:val="TableGrid"/>
        <w:tblW w:w="9776" w:type="dxa"/>
        <w:tblLook w:val="04A0" w:firstRow="1" w:lastRow="0" w:firstColumn="1" w:lastColumn="0" w:noHBand="0" w:noVBand="1"/>
      </w:tblPr>
      <w:tblGrid>
        <w:gridCol w:w="5949"/>
        <w:gridCol w:w="1134"/>
        <w:gridCol w:w="2693"/>
      </w:tblGrid>
      <w:tr w:rsidR="00DE5496" w14:paraId="419C18CB" w14:textId="77777777" w:rsidTr="00C52080">
        <w:tc>
          <w:tcPr>
            <w:tcW w:w="5949" w:type="dxa"/>
            <w:shd w:val="clear" w:color="auto" w:fill="8497B0"/>
          </w:tcPr>
          <w:p w14:paraId="7D584AC3" w14:textId="77777777" w:rsidR="00DE5496" w:rsidRPr="002A5F84" w:rsidRDefault="00DE5496" w:rsidP="00DC54F7">
            <w:pPr>
              <w:jc w:val="both"/>
              <w:rPr>
                <w:rFonts w:ascii="Arial" w:hAnsi="Arial" w:cs="Arial"/>
              </w:rPr>
            </w:pPr>
            <w:r w:rsidRPr="002A5F84">
              <w:rPr>
                <w:rFonts w:ascii="Arial" w:hAnsi="Arial" w:cs="Arial"/>
                <w:b/>
                <w:bCs/>
                <w:color w:val="FFFFFF" w:themeColor="background1"/>
              </w:rPr>
              <w:t>Housing site</w:t>
            </w:r>
          </w:p>
        </w:tc>
        <w:tc>
          <w:tcPr>
            <w:tcW w:w="1134" w:type="dxa"/>
            <w:shd w:val="clear" w:color="auto" w:fill="8497B0"/>
          </w:tcPr>
          <w:p w14:paraId="3F3927C8" w14:textId="77777777" w:rsidR="00DE5496" w:rsidRPr="002A5F84" w:rsidRDefault="00DE5496" w:rsidP="00DC54F7">
            <w:pPr>
              <w:jc w:val="both"/>
              <w:rPr>
                <w:rFonts w:ascii="Arial" w:hAnsi="Arial" w:cs="Arial"/>
              </w:rPr>
            </w:pPr>
            <w:r w:rsidRPr="002A5F84">
              <w:rPr>
                <w:rFonts w:ascii="Arial" w:hAnsi="Arial" w:cs="Arial"/>
                <w:b/>
                <w:bCs/>
                <w:color w:val="FFFFFF" w:themeColor="background1"/>
              </w:rPr>
              <w:t>Number</w:t>
            </w:r>
          </w:p>
        </w:tc>
        <w:tc>
          <w:tcPr>
            <w:tcW w:w="2693" w:type="dxa"/>
            <w:shd w:val="clear" w:color="auto" w:fill="8497B0"/>
          </w:tcPr>
          <w:p w14:paraId="0EB7F0C3" w14:textId="77777777" w:rsidR="00DE5496" w:rsidRPr="002A5F84" w:rsidRDefault="00DE5496" w:rsidP="00DC54F7">
            <w:pPr>
              <w:jc w:val="both"/>
              <w:rPr>
                <w:rFonts w:ascii="Arial" w:hAnsi="Arial" w:cs="Arial"/>
                <w:bCs/>
              </w:rPr>
            </w:pPr>
            <w:r w:rsidRPr="002A5F84">
              <w:rPr>
                <w:rFonts w:ascii="Arial" w:hAnsi="Arial" w:cs="Arial"/>
                <w:b/>
                <w:bCs/>
                <w:color w:val="FFFFFF" w:themeColor="background1"/>
              </w:rPr>
              <w:t>Complete at April 2020</w:t>
            </w:r>
          </w:p>
        </w:tc>
      </w:tr>
      <w:tr w:rsidR="00DE5496" w14:paraId="1737BADF" w14:textId="77777777" w:rsidTr="00C52080">
        <w:tc>
          <w:tcPr>
            <w:tcW w:w="5949" w:type="dxa"/>
          </w:tcPr>
          <w:p w14:paraId="44F55F64" w14:textId="77777777" w:rsidR="00DE5496" w:rsidRPr="00C52080" w:rsidRDefault="00DE5496" w:rsidP="00DC54F7">
            <w:pPr>
              <w:jc w:val="both"/>
              <w:rPr>
                <w:rFonts w:ascii="Arial" w:hAnsi="Arial" w:cs="Arial"/>
                <w:b/>
              </w:rPr>
            </w:pPr>
            <w:r w:rsidRPr="00C52080">
              <w:rPr>
                <w:rFonts w:ascii="Arial" w:hAnsi="Arial" w:cs="Arial"/>
              </w:rPr>
              <w:t>Land at Higher End, St. Athan</w:t>
            </w:r>
          </w:p>
        </w:tc>
        <w:tc>
          <w:tcPr>
            <w:tcW w:w="1134" w:type="dxa"/>
          </w:tcPr>
          <w:p w14:paraId="145954E6" w14:textId="77777777" w:rsidR="00DE5496" w:rsidRPr="00C52080" w:rsidRDefault="00DE5496" w:rsidP="00DC54F7">
            <w:pPr>
              <w:jc w:val="both"/>
              <w:rPr>
                <w:rFonts w:ascii="Arial" w:hAnsi="Arial" w:cs="Arial"/>
                <w:bCs/>
              </w:rPr>
            </w:pPr>
            <w:r w:rsidRPr="00C52080">
              <w:rPr>
                <w:rFonts w:ascii="Arial" w:hAnsi="Arial" w:cs="Arial"/>
                <w:bCs/>
              </w:rPr>
              <w:t>220</w:t>
            </w:r>
          </w:p>
        </w:tc>
        <w:tc>
          <w:tcPr>
            <w:tcW w:w="2693" w:type="dxa"/>
          </w:tcPr>
          <w:p w14:paraId="421ABFAA" w14:textId="77777777" w:rsidR="00DE5496" w:rsidRPr="00C52080" w:rsidRDefault="00DE5496" w:rsidP="00DC54F7">
            <w:pPr>
              <w:jc w:val="both"/>
              <w:rPr>
                <w:rFonts w:ascii="Arial" w:hAnsi="Arial" w:cs="Arial"/>
                <w:bCs/>
              </w:rPr>
            </w:pPr>
            <w:r w:rsidRPr="00C52080">
              <w:rPr>
                <w:rFonts w:ascii="Arial" w:hAnsi="Arial" w:cs="Arial"/>
                <w:bCs/>
              </w:rPr>
              <w:t>100</w:t>
            </w:r>
          </w:p>
        </w:tc>
      </w:tr>
      <w:tr w:rsidR="00DE5496" w14:paraId="70B7E4B7" w14:textId="77777777" w:rsidTr="00C52080">
        <w:tc>
          <w:tcPr>
            <w:tcW w:w="5949" w:type="dxa"/>
          </w:tcPr>
          <w:p w14:paraId="5008B5E2" w14:textId="77777777" w:rsidR="00DE5496" w:rsidRPr="00C52080" w:rsidRDefault="00DE5496" w:rsidP="00DC54F7">
            <w:pPr>
              <w:jc w:val="both"/>
              <w:rPr>
                <w:rFonts w:ascii="Arial" w:hAnsi="Arial" w:cs="Arial"/>
                <w:b/>
              </w:rPr>
            </w:pPr>
            <w:r w:rsidRPr="00C52080">
              <w:rPr>
                <w:rFonts w:ascii="Arial" w:hAnsi="Arial" w:cs="Arial"/>
              </w:rPr>
              <w:t>Land at Church Farm, St. Athan</w:t>
            </w:r>
          </w:p>
        </w:tc>
        <w:tc>
          <w:tcPr>
            <w:tcW w:w="1134" w:type="dxa"/>
          </w:tcPr>
          <w:p w14:paraId="793673C4" w14:textId="77777777" w:rsidR="00DE5496" w:rsidRPr="00C52080" w:rsidRDefault="00DE5496" w:rsidP="00DC54F7">
            <w:pPr>
              <w:jc w:val="both"/>
              <w:rPr>
                <w:rFonts w:ascii="Arial" w:hAnsi="Arial" w:cs="Arial"/>
                <w:bCs/>
              </w:rPr>
            </w:pPr>
            <w:r w:rsidRPr="00C52080">
              <w:rPr>
                <w:rFonts w:ascii="Arial" w:hAnsi="Arial" w:cs="Arial"/>
                <w:bCs/>
              </w:rPr>
              <w:t>250</w:t>
            </w:r>
          </w:p>
        </w:tc>
        <w:tc>
          <w:tcPr>
            <w:tcW w:w="2693" w:type="dxa"/>
          </w:tcPr>
          <w:p w14:paraId="39043026" w14:textId="77777777" w:rsidR="00DE5496" w:rsidRPr="00C52080" w:rsidRDefault="00DE5496" w:rsidP="00DC54F7">
            <w:pPr>
              <w:jc w:val="both"/>
              <w:rPr>
                <w:rFonts w:ascii="Arial" w:hAnsi="Arial" w:cs="Arial"/>
                <w:bCs/>
              </w:rPr>
            </w:pPr>
            <w:r w:rsidRPr="00C52080">
              <w:rPr>
                <w:rFonts w:ascii="Arial" w:hAnsi="Arial" w:cs="Arial"/>
                <w:bCs/>
              </w:rPr>
              <w:t>0</w:t>
            </w:r>
          </w:p>
        </w:tc>
      </w:tr>
      <w:tr w:rsidR="00DE5496" w14:paraId="7FA6B47D" w14:textId="77777777" w:rsidTr="00C52080">
        <w:tc>
          <w:tcPr>
            <w:tcW w:w="5949" w:type="dxa"/>
          </w:tcPr>
          <w:p w14:paraId="59CE2230" w14:textId="77777777" w:rsidR="00DE5496" w:rsidRPr="00C52080" w:rsidRDefault="00DE5496" w:rsidP="00DC54F7">
            <w:pPr>
              <w:jc w:val="both"/>
              <w:rPr>
                <w:rFonts w:ascii="Arial" w:hAnsi="Arial" w:cs="Arial"/>
                <w:b/>
              </w:rPr>
            </w:pPr>
            <w:r w:rsidRPr="00C52080">
              <w:rPr>
                <w:rFonts w:ascii="Arial" w:hAnsi="Arial" w:cs="Arial"/>
              </w:rPr>
              <w:t>Former Stadium Site / Land adjacent to Burley Place, St. Athan</w:t>
            </w:r>
          </w:p>
        </w:tc>
        <w:tc>
          <w:tcPr>
            <w:tcW w:w="1134" w:type="dxa"/>
          </w:tcPr>
          <w:p w14:paraId="54025FE1" w14:textId="77777777" w:rsidR="00DE5496" w:rsidRPr="00C52080" w:rsidRDefault="00DE5496" w:rsidP="00DC54F7">
            <w:pPr>
              <w:jc w:val="both"/>
              <w:rPr>
                <w:rFonts w:ascii="Arial" w:hAnsi="Arial" w:cs="Arial"/>
                <w:bCs/>
              </w:rPr>
            </w:pPr>
            <w:r w:rsidRPr="00C52080">
              <w:rPr>
                <w:rFonts w:ascii="Arial" w:hAnsi="Arial" w:cs="Arial"/>
                <w:bCs/>
              </w:rPr>
              <w:t>65</w:t>
            </w:r>
          </w:p>
        </w:tc>
        <w:tc>
          <w:tcPr>
            <w:tcW w:w="2693" w:type="dxa"/>
          </w:tcPr>
          <w:p w14:paraId="7A252FC6" w14:textId="77777777" w:rsidR="00DE5496" w:rsidRPr="00C52080" w:rsidRDefault="00DE5496" w:rsidP="00DC54F7">
            <w:pPr>
              <w:jc w:val="both"/>
              <w:rPr>
                <w:rFonts w:ascii="Arial" w:hAnsi="Arial" w:cs="Arial"/>
                <w:bCs/>
              </w:rPr>
            </w:pPr>
            <w:r w:rsidRPr="00C52080">
              <w:rPr>
                <w:rFonts w:ascii="Arial" w:hAnsi="Arial" w:cs="Arial"/>
                <w:bCs/>
              </w:rPr>
              <w:t>0</w:t>
            </w:r>
          </w:p>
        </w:tc>
      </w:tr>
      <w:tr w:rsidR="00DE5496" w14:paraId="57F84B27" w14:textId="77777777" w:rsidTr="00C52080">
        <w:tc>
          <w:tcPr>
            <w:tcW w:w="5949" w:type="dxa"/>
          </w:tcPr>
          <w:p w14:paraId="39671F77" w14:textId="77777777" w:rsidR="00DE5496" w:rsidRPr="00C52080" w:rsidRDefault="00DE5496" w:rsidP="00DC54F7">
            <w:pPr>
              <w:jc w:val="both"/>
              <w:rPr>
                <w:rFonts w:ascii="Arial" w:hAnsi="Arial" w:cs="Arial"/>
              </w:rPr>
            </w:pPr>
            <w:r w:rsidRPr="00C52080">
              <w:rPr>
                <w:rFonts w:ascii="Arial" w:hAnsi="Arial" w:cs="Arial"/>
              </w:rPr>
              <w:t>Land to the east of Eglwys Brewis, St Athan</w:t>
            </w:r>
          </w:p>
        </w:tc>
        <w:tc>
          <w:tcPr>
            <w:tcW w:w="1134" w:type="dxa"/>
          </w:tcPr>
          <w:p w14:paraId="442EDC0A" w14:textId="77777777" w:rsidR="00DE5496" w:rsidRPr="00C52080" w:rsidRDefault="00DE5496" w:rsidP="00DC54F7">
            <w:pPr>
              <w:jc w:val="both"/>
              <w:rPr>
                <w:rFonts w:ascii="Arial" w:hAnsi="Arial" w:cs="Arial"/>
                <w:bCs/>
              </w:rPr>
            </w:pPr>
            <w:r w:rsidRPr="00C52080">
              <w:rPr>
                <w:rFonts w:ascii="Arial" w:hAnsi="Arial" w:cs="Arial"/>
                <w:bCs/>
              </w:rPr>
              <w:t>255</w:t>
            </w:r>
          </w:p>
        </w:tc>
        <w:tc>
          <w:tcPr>
            <w:tcW w:w="2693" w:type="dxa"/>
          </w:tcPr>
          <w:p w14:paraId="54BC543B" w14:textId="77777777" w:rsidR="00DE5496" w:rsidRPr="00C52080" w:rsidRDefault="00DE5496" w:rsidP="00DC54F7">
            <w:pPr>
              <w:jc w:val="both"/>
              <w:rPr>
                <w:rFonts w:ascii="Arial" w:hAnsi="Arial" w:cs="Arial"/>
                <w:bCs/>
              </w:rPr>
            </w:pPr>
            <w:r w:rsidRPr="00C52080">
              <w:rPr>
                <w:rFonts w:ascii="Arial" w:hAnsi="Arial" w:cs="Arial"/>
                <w:bCs/>
              </w:rPr>
              <w:t>0</w:t>
            </w:r>
          </w:p>
        </w:tc>
      </w:tr>
      <w:tr w:rsidR="00AC402E" w14:paraId="0E352A5D" w14:textId="77777777" w:rsidTr="00C52080">
        <w:tc>
          <w:tcPr>
            <w:tcW w:w="5949" w:type="dxa"/>
          </w:tcPr>
          <w:p w14:paraId="12B1B874" w14:textId="27F4BD32" w:rsidR="00AC402E" w:rsidRPr="00C52080" w:rsidRDefault="00AC402E" w:rsidP="00DC54F7">
            <w:pPr>
              <w:jc w:val="both"/>
              <w:rPr>
                <w:rFonts w:ascii="Arial" w:hAnsi="Arial" w:cs="Arial"/>
              </w:rPr>
            </w:pPr>
            <w:r w:rsidRPr="00C52080">
              <w:rPr>
                <w:rFonts w:ascii="Arial" w:hAnsi="Arial" w:cs="Arial"/>
              </w:rPr>
              <w:t>Land adjacent to Froglands Farm, Llantwit Major</w:t>
            </w:r>
          </w:p>
        </w:tc>
        <w:tc>
          <w:tcPr>
            <w:tcW w:w="1134" w:type="dxa"/>
          </w:tcPr>
          <w:p w14:paraId="46FDE3BA" w14:textId="730ADD1C" w:rsidR="00AC402E" w:rsidRPr="00C52080" w:rsidRDefault="00AC402E" w:rsidP="00DC54F7">
            <w:pPr>
              <w:jc w:val="both"/>
              <w:rPr>
                <w:rFonts w:ascii="Arial" w:hAnsi="Arial" w:cs="Arial"/>
                <w:bCs/>
              </w:rPr>
            </w:pPr>
            <w:r w:rsidRPr="00C52080">
              <w:rPr>
                <w:rFonts w:ascii="Arial" w:hAnsi="Arial" w:cs="Arial"/>
                <w:bCs/>
              </w:rPr>
              <w:t>90</w:t>
            </w:r>
          </w:p>
        </w:tc>
        <w:tc>
          <w:tcPr>
            <w:tcW w:w="2693" w:type="dxa"/>
          </w:tcPr>
          <w:p w14:paraId="15162925" w14:textId="02D172FC" w:rsidR="00AC402E" w:rsidRPr="00C52080" w:rsidRDefault="00AC402E" w:rsidP="00DC54F7">
            <w:pPr>
              <w:jc w:val="both"/>
              <w:rPr>
                <w:rFonts w:ascii="Arial" w:hAnsi="Arial" w:cs="Arial"/>
                <w:bCs/>
              </w:rPr>
            </w:pPr>
            <w:r w:rsidRPr="00C52080">
              <w:rPr>
                <w:rFonts w:ascii="Arial" w:hAnsi="Arial" w:cs="Arial"/>
                <w:bCs/>
              </w:rPr>
              <w:t>0</w:t>
            </w:r>
          </w:p>
        </w:tc>
      </w:tr>
      <w:tr w:rsidR="00AC402E" w14:paraId="61415360" w14:textId="77777777" w:rsidTr="00C52080">
        <w:tc>
          <w:tcPr>
            <w:tcW w:w="5949" w:type="dxa"/>
          </w:tcPr>
          <w:p w14:paraId="1C0FB7F9" w14:textId="3834F21B" w:rsidR="00AC402E" w:rsidRPr="00C52080" w:rsidRDefault="00AC402E" w:rsidP="00DC54F7">
            <w:pPr>
              <w:jc w:val="both"/>
              <w:rPr>
                <w:rFonts w:ascii="Arial" w:hAnsi="Arial" w:cs="Arial"/>
                <w:highlight w:val="yellow"/>
              </w:rPr>
            </w:pPr>
            <w:r w:rsidRPr="00C52080">
              <w:rPr>
                <w:rFonts w:ascii="Arial" w:hAnsi="Arial" w:cs="Arial"/>
              </w:rPr>
              <w:t>Land between new Northern Access Road and Eglwys Brewis Road, Llantwit Major</w:t>
            </w:r>
          </w:p>
        </w:tc>
        <w:tc>
          <w:tcPr>
            <w:tcW w:w="1134" w:type="dxa"/>
          </w:tcPr>
          <w:p w14:paraId="22118B5F" w14:textId="6238D75E" w:rsidR="00AC402E" w:rsidRPr="00C52080" w:rsidRDefault="00AC402E" w:rsidP="00DC54F7">
            <w:pPr>
              <w:jc w:val="both"/>
              <w:rPr>
                <w:rFonts w:ascii="Arial" w:hAnsi="Arial" w:cs="Arial"/>
                <w:bCs/>
                <w:highlight w:val="yellow"/>
              </w:rPr>
            </w:pPr>
            <w:r w:rsidRPr="00C52080">
              <w:rPr>
                <w:rFonts w:ascii="Arial" w:hAnsi="Arial" w:cs="Arial"/>
                <w:bCs/>
              </w:rPr>
              <w:t>375</w:t>
            </w:r>
          </w:p>
        </w:tc>
        <w:tc>
          <w:tcPr>
            <w:tcW w:w="2693" w:type="dxa"/>
          </w:tcPr>
          <w:p w14:paraId="161C9308" w14:textId="39AB0EA9" w:rsidR="00AC402E" w:rsidRPr="00C52080" w:rsidRDefault="00AC402E" w:rsidP="00DC54F7">
            <w:pPr>
              <w:jc w:val="both"/>
              <w:rPr>
                <w:rFonts w:ascii="Arial" w:hAnsi="Arial" w:cs="Arial"/>
                <w:bCs/>
                <w:highlight w:val="yellow"/>
              </w:rPr>
            </w:pPr>
            <w:r w:rsidRPr="00C52080">
              <w:rPr>
                <w:rFonts w:ascii="Arial" w:hAnsi="Arial" w:cs="Arial"/>
                <w:bCs/>
              </w:rPr>
              <w:t>0</w:t>
            </w:r>
          </w:p>
        </w:tc>
      </w:tr>
      <w:tr w:rsidR="00AC402E" w14:paraId="3A9F7E77" w14:textId="77777777" w:rsidTr="00C52080">
        <w:tc>
          <w:tcPr>
            <w:tcW w:w="5949" w:type="dxa"/>
          </w:tcPr>
          <w:p w14:paraId="6B67EA56" w14:textId="77777777" w:rsidR="00AC402E" w:rsidRPr="00C52080" w:rsidRDefault="00AC402E" w:rsidP="00DC54F7">
            <w:pPr>
              <w:jc w:val="both"/>
              <w:rPr>
                <w:rFonts w:ascii="Arial" w:hAnsi="Arial" w:cs="Arial"/>
              </w:rPr>
            </w:pPr>
            <w:r w:rsidRPr="00C52080">
              <w:rPr>
                <w:rFonts w:ascii="Arial" w:hAnsi="Arial" w:cs="Arial"/>
              </w:rPr>
              <w:t>Total</w:t>
            </w:r>
          </w:p>
        </w:tc>
        <w:tc>
          <w:tcPr>
            <w:tcW w:w="1134" w:type="dxa"/>
          </w:tcPr>
          <w:p w14:paraId="0C95D6E9" w14:textId="699A6B27" w:rsidR="00AC402E" w:rsidRPr="00C52080" w:rsidRDefault="0097653E" w:rsidP="00DC54F7">
            <w:pPr>
              <w:jc w:val="both"/>
              <w:rPr>
                <w:rFonts w:ascii="Arial" w:hAnsi="Arial" w:cs="Arial"/>
              </w:rPr>
            </w:pPr>
            <w:r w:rsidRPr="00C52080">
              <w:rPr>
                <w:rFonts w:ascii="Arial" w:hAnsi="Arial" w:cs="Arial"/>
              </w:rPr>
              <w:t>1,255</w:t>
            </w:r>
          </w:p>
        </w:tc>
        <w:tc>
          <w:tcPr>
            <w:tcW w:w="2693" w:type="dxa"/>
          </w:tcPr>
          <w:p w14:paraId="6B62713F" w14:textId="73D59328" w:rsidR="00AC402E" w:rsidRPr="00C52080" w:rsidRDefault="00AC402E" w:rsidP="00DC54F7">
            <w:pPr>
              <w:jc w:val="both"/>
              <w:rPr>
                <w:rFonts w:ascii="Arial" w:hAnsi="Arial" w:cs="Arial"/>
              </w:rPr>
            </w:pPr>
            <w:r w:rsidRPr="00C52080">
              <w:rPr>
                <w:rFonts w:ascii="Arial" w:hAnsi="Arial" w:cs="Arial"/>
              </w:rPr>
              <w:t>100</w:t>
            </w:r>
          </w:p>
        </w:tc>
      </w:tr>
    </w:tbl>
    <w:p w14:paraId="6DEA16FB" w14:textId="77777777" w:rsidR="00DE5496" w:rsidRPr="00B536D8" w:rsidRDefault="00DE5496" w:rsidP="00DC54F7">
      <w:pPr>
        <w:spacing w:after="0" w:line="240" w:lineRule="auto"/>
        <w:jc w:val="both"/>
        <w:rPr>
          <w:rFonts w:ascii="Arial" w:hAnsi="Arial" w:cs="Arial"/>
          <w:b/>
        </w:rPr>
      </w:pPr>
    </w:p>
    <w:bookmarkEnd w:id="61"/>
    <w:p w14:paraId="2F505B89" w14:textId="574524BD" w:rsidR="008F1F27" w:rsidRPr="00C52080" w:rsidRDefault="00381414" w:rsidP="00DC54F7">
      <w:pPr>
        <w:spacing w:after="0" w:line="240" w:lineRule="auto"/>
        <w:jc w:val="both"/>
        <w:rPr>
          <w:rFonts w:ascii="Arial" w:hAnsi="Arial" w:cs="Arial"/>
          <w:b/>
          <w:bCs/>
          <w:sz w:val="24"/>
          <w:szCs w:val="24"/>
        </w:rPr>
      </w:pPr>
      <w:r w:rsidRPr="00C52080">
        <w:rPr>
          <w:rFonts w:ascii="Arial" w:hAnsi="Arial" w:cs="Arial"/>
          <w:b/>
          <w:bCs/>
          <w:sz w:val="24"/>
          <w:szCs w:val="24"/>
        </w:rPr>
        <w:t xml:space="preserve">Key settlement: </w:t>
      </w:r>
      <w:r w:rsidR="001C25DC" w:rsidRPr="00C52080">
        <w:rPr>
          <w:rFonts w:ascii="Arial" w:hAnsi="Arial" w:cs="Arial"/>
          <w:b/>
          <w:bCs/>
          <w:sz w:val="24"/>
          <w:szCs w:val="24"/>
        </w:rPr>
        <w:t>Cowbridge</w:t>
      </w:r>
    </w:p>
    <w:tbl>
      <w:tblPr>
        <w:tblStyle w:val="TableGrid"/>
        <w:tblW w:w="9781" w:type="dxa"/>
        <w:tblInd w:w="-5" w:type="dxa"/>
        <w:tblLook w:val="04A0" w:firstRow="1" w:lastRow="0" w:firstColumn="1" w:lastColumn="0" w:noHBand="0" w:noVBand="1"/>
      </w:tblPr>
      <w:tblGrid>
        <w:gridCol w:w="5954"/>
        <w:gridCol w:w="1134"/>
        <w:gridCol w:w="2693"/>
      </w:tblGrid>
      <w:tr w:rsidR="00BE3CCF" w:rsidRPr="00CB7A49" w14:paraId="03E1627A" w14:textId="27D2F0E4" w:rsidTr="00C52080">
        <w:trPr>
          <w:trHeight w:val="268"/>
        </w:trPr>
        <w:tc>
          <w:tcPr>
            <w:tcW w:w="5954" w:type="dxa"/>
            <w:shd w:val="clear" w:color="auto" w:fill="8497B0"/>
          </w:tcPr>
          <w:p w14:paraId="7F9F4D97" w14:textId="77777777" w:rsidR="00BE3CCF" w:rsidRPr="00C52080" w:rsidRDefault="00BE3CCF" w:rsidP="00DC54F7">
            <w:pPr>
              <w:pStyle w:val="ListParagraph"/>
              <w:ind w:left="0"/>
              <w:jc w:val="both"/>
              <w:rPr>
                <w:rFonts w:ascii="Arial" w:hAnsi="Arial" w:cs="Arial"/>
                <w:b/>
                <w:bCs/>
                <w:color w:val="FFFFFF" w:themeColor="background1"/>
              </w:rPr>
            </w:pPr>
            <w:r w:rsidRPr="00C52080">
              <w:rPr>
                <w:rFonts w:ascii="Arial" w:hAnsi="Arial" w:cs="Arial"/>
                <w:b/>
                <w:bCs/>
                <w:color w:val="FFFFFF" w:themeColor="background1"/>
              </w:rPr>
              <w:t xml:space="preserve">Housing site </w:t>
            </w:r>
          </w:p>
        </w:tc>
        <w:tc>
          <w:tcPr>
            <w:tcW w:w="1134" w:type="dxa"/>
            <w:shd w:val="clear" w:color="auto" w:fill="8497B0"/>
          </w:tcPr>
          <w:p w14:paraId="1D709A6F" w14:textId="77777777" w:rsidR="00BE3CCF" w:rsidRPr="00C52080" w:rsidRDefault="00BE3CCF" w:rsidP="00DC54F7">
            <w:pPr>
              <w:pStyle w:val="ListParagraph"/>
              <w:ind w:left="0"/>
              <w:jc w:val="both"/>
              <w:rPr>
                <w:rFonts w:ascii="Arial" w:hAnsi="Arial" w:cs="Arial"/>
                <w:b/>
                <w:bCs/>
                <w:color w:val="FFFFFF" w:themeColor="background1"/>
              </w:rPr>
            </w:pPr>
            <w:r w:rsidRPr="00C52080">
              <w:rPr>
                <w:rFonts w:ascii="Arial" w:hAnsi="Arial" w:cs="Arial"/>
                <w:b/>
                <w:bCs/>
                <w:color w:val="FFFFFF" w:themeColor="background1"/>
              </w:rPr>
              <w:t>Number</w:t>
            </w:r>
          </w:p>
        </w:tc>
        <w:tc>
          <w:tcPr>
            <w:tcW w:w="2693" w:type="dxa"/>
            <w:shd w:val="clear" w:color="auto" w:fill="8497B0"/>
          </w:tcPr>
          <w:p w14:paraId="627019C4" w14:textId="18A195FA" w:rsidR="00BE3CCF" w:rsidRPr="00C52080" w:rsidRDefault="00F67C88" w:rsidP="00DC54F7">
            <w:pPr>
              <w:pStyle w:val="ListParagraph"/>
              <w:ind w:left="0"/>
              <w:jc w:val="both"/>
              <w:rPr>
                <w:rFonts w:ascii="Arial" w:hAnsi="Arial" w:cs="Arial"/>
                <w:b/>
                <w:bCs/>
                <w:color w:val="FFFFFF" w:themeColor="background1"/>
              </w:rPr>
            </w:pPr>
            <w:r w:rsidRPr="00C52080">
              <w:rPr>
                <w:rFonts w:ascii="Arial" w:hAnsi="Arial" w:cs="Arial"/>
                <w:b/>
                <w:bCs/>
                <w:color w:val="FFFFFF" w:themeColor="background1"/>
              </w:rPr>
              <w:t>Complete at April</w:t>
            </w:r>
            <w:r w:rsidR="00F60979" w:rsidRPr="00C52080">
              <w:rPr>
                <w:rFonts w:ascii="Arial" w:hAnsi="Arial" w:cs="Arial"/>
                <w:b/>
                <w:bCs/>
                <w:color w:val="FFFFFF" w:themeColor="background1"/>
              </w:rPr>
              <w:t xml:space="preserve"> 2020</w:t>
            </w:r>
          </w:p>
        </w:tc>
      </w:tr>
      <w:tr w:rsidR="00BE3CCF" w:rsidRPr="00CB7A49" w14:paraId="49C252DD" w14:textId="38706226" w:rsidTr="00C52080">
        <w:trPr>
          <w:trHeight w:val="282"/>
        </w:trPr>
        <w:tc>
          <w:tcPr>
            <w:tcW w:w="5954" w:type="dxa"/>
          </w:tcPr>
          <w:p w14:paraId="788BA71A" w14:textId="47B582B9" w:rsidR="00BE3CCF" w:rsidRPr="00C52080" w:rsidRDefault="00BE3CCF" w:rsidP="00DC54F7">
            <w:pPr>
              <w:pStyle w:val="ListParagraph"/>
              <w:ind w:left="0"/>
              <w:jc w:val="both"/>
              <w:rPr>
                <w:rFonts w:ascii="Arial" w:hAnsi="Arial" w:cs="Arial"/>
              </w:rPr>
            </w:pPr>
            <w:r w:rsidRPr="00C52080">
              <w:rPr>
                <w:rFonts w:ascii="Arial" w:hAnsi="Arial" w:cs="Arial"/>
              </w:rPr>
              <w:t>Cowbridge Comprehensive Lower School</w:t>
            </w:r>
          </w:p>
        </w:tc>
        <w:tc>
          <w:tcPr>
            <w:tcW w:w="1134" w:type="dxa"/>
          </w:tcPr>
          <w:p w14:paraId="209686E9" w14:textId="14981623" w:rsidR="00BE3CCF" w:rsidRPr="00C52080" w:rsidRDefault="00BE3CCF" w:rsidP="00DC54F7">
            <w:pPr>
              <w:pStyle w:val="ListParagraph"/>
              <w:ind w:left="0"/>
              <w:jc w:val="both"/>
              <w:rPr>
                <w:rFonts w:ascii="Arial" w:hAnsi="Arial" w:cs="Arial"/>
              </w:rPr>
            </w:pPr>
            <w:r w:rsidRPr="00C52080">
              <w:rPr>
                <w:rFonts w:ascii="Arial" w:hAnsi="Arial" w:cs="Arial"/>
              </w:rPr>
              <w:t>21</w:t>
            </w:r>
          </w:p>
        </w:tc>
        <w:tc>
          <w:tcPr>
            <w:tcW w:w="2693" w:type="dxa"/>
          </w:tcPr>
          <w:p w14:paraId="4A722173" w14:textId="00067DB8" w:rsidR="00BE3CCF" w:rsidRPr="00C52080" w:rsidRDefault="00862D04" w:rsidP="00DC54F7">
            <w:pPr>
              <w:pStyle w:val="ListParagraph"/>
              <w:ind w:left="0"/>
              <w:jc w:val="both"/>
              <w:rPr>
                <w:rFonts w:ascii="Arial" w:hAnsi="Arial" w:cs="Arial"/>
              </w:rPr>
            </w:pPr>
            <w:r w:rsidRPr="00C52080">
              <w:rPr>
                <w:rFonts w:ascii="Arial" w:hAnsi="Arial" w:cs="Arial"/>
              </w:rPr>
              <w:t>21</w:t>
            </w:r>
          </w:p>
        </w:tc>
      </w:tr>
      <w:tr w:rsidR="00BE3CCF" w:rsidRPr="00CB7A49" w14:paraId="6CD22274" w14:textId="5848BEDD" w:rsidTr="00C52080">
        <w:trPr>
          <w:trHeight w:val="282"/>
        </w:trPr>
        <w:tc>
          <w:tcPr>
            <w:tcW w:w="5954" w:type="dxa"/>
          </w:tcPr>
          <w:p w14:paraId="3EF1C74B" w14:textId="44C46DD1" w:rsidR="00BE3CCF" w:rsidRPr="00C52080" w:rsidRDefault="00BE3CCF" w:rsidP="00DC54F7">
            <w:pPr>
              <w:pStyle w:val="ListParagraph"/>
              <w:ind w:left="0"/>
              <w:jc w:val="both"/>
              <w:rPr>
                <w:rFonts w:ascii="Arial" w:hAnsi="Arial" w:cs="Arial"/>
              </w:rPr>
            </w:pPr>
            <w:r w:rsidRPr="00C52080">
              <w:rPr>
                <w:rFonts w:ascii="Arial" w:hAnsi="Arial" w:cs="Arial"/>
              </w:rPr>
              <w:t>Cowbridge Comprehensive 6th Form Block, Aberthin Road</w:t>
            </w:r>
          </w:p>
        </w:tc>
        <w:tc>
          <w:tcPr>
            <w:tcW w:w="1134" w:type="dxa"/>
          </w:tcPr>
          <w:p w14:paraId="5C776E5F" w14:textId="7979CA78" w:rsidR="00BE3CCF" w:rsidRPr="00C52080" w:rsidRDefault="00BE3CCF" w:rsidP="00DC54F7">
            <w:pPr>
              <w:pStyle w:val="ListParagraph"/>
              <w:ind w:left="0"/>
              <w:jc w:val="both"/>
              <w:rPr>
                <w:rFonts w:ascii="Arial" w:hAnsi="Arial" w:cs="Arial"/>
              </w:rPr>
            </w:pPr>
            <w:r w:rsidRPr="00C52080">
              <w:rPr>
                <w:rFonts w:ascii="Arial" w:hAnsi="Arial" w:cs="Arial"/>
              </w:rPr>
              <w:t>20</w:t>
            </w:r>
          </w:p>
        </w:tc>
        <w:tc>
          <w:tcPr>
            <w:tcW w:w="2693" w:type="dxa"/>
          </w:tcPr>
          <w:p w14:paraId="79CEFC3F" w14:textId="1411B83D" w:rsidR="00BE3CCF" w:rsidRPr="00C52080" w:rsidRDefault="00862D04" w:rsidP="00DC54F7">
            <w:pPr>
              <w:pStyle w:val="ListParagraph"/>
              <w:ind w:left="0"/>
              <w:jc w:val="both"/>
              <w:rPr>
                <w:rFonts w:ascii="Arial" w:hAnsi="Arial" w:cs="Arial"/>
              </w:rPr>
            </w:pPr>
            <w:r w:rsidRPr="00C52080">
              <w:rPr>
                <w:rFonts w:ascii="Arial" w:hAnsi="Arial" w:cs="Arial"/>
              </w:rPr>
              <w:t>0</w:t>
            </w:r>
          </w:p>
        </w:tc>
      </w:tr>
      <w:tr w:rsidR="00BE3CCF" w:rsidRPr="00CB7A49" w14:paraId="430F150B" w14:textId="0FB03D08" w:rsidTr="00C52080">
        <w:trPr>
          <w:trHeight w:val="295"/>
        </w:trPr>
        <w:tc>
          <w:tcPr>
            <w:tcW w:w="5954" w:type="dxa"/>
          </w:tcPr>
          <w:p w14:paraId="5480A437" w14:textId="747C1851" w:rsidR="00BE3CCF" w:rsidRPr="00C52080" w:rsidRDefault="00BE3CCF" w:rsidP="00DC54F7">
            <w:pPr>
              <w:pStyle w:val="ListParagraph"/>
              <w:ind w:left="0"/>
              <w:jc w:val="both"/>
              <w:rPr>
                <w:rFonts w:ascii="Arial" w:hAnsi="Arial" w:cs="Arial"/>
              </w:rPr>
            </w:pPr>
            <w:r w:rsidRPr="00C52080">
              <w:rPr>
                <w:rFonts w:ascii="Arial" w:hAnsi="Arial" w:cs="Arial"/>
              </w:rPr>
              <w:t>Land adjoining St. Athan Road, Cowbridge</w:t>
            </w:r>
          </w:p>
        </w:tc>
        <w:tc>
          <w:tcPr>
            <w:tcW w:w="1134" w:type="dxa"/>
          </w:tcPr>
          <w:p w14:paraId="6628B75B" w14:textId="5C55FFD8" w:rsidR="00BE3CCF" w:rsidRPr="00C52080" w:rsidRDefault="00BE3CCF" w:rsidP="00DC54F7">
            <w:pPr>
              <w:pStyle w:val="ListParagraph"/>
              <w:ind w:left="0"/>
              <w:jc w:val="both"/>
              <w:rPr>
                <w:rFonts w:ascii="Arial" w:hAnsi="Arial" w:cs="Arial"/>
              </w:rPr>
            </w:pPr>
            <w:r w:rsidRPr="00C52080">
              <w:rPr>
                <w:rFonts w:ascii="Arial" w:hAnsi="Arial" w:cs="Arial"/>
              </w:rPr>
              <w:t>130</w:t>
            </w:r>
          </w:p>
        </w:tc>
        <w:tc>
          <w:tcPr>
            <w:tcW w:w="2693" w:type="dxa"/>
          </w:tcPr>
          <w:p w14:paraId="7722087C" w14:textId="49666FB7" w:rsidR="00BE3CCF" w:rsidRPr="00C52080" w:rsidRDefault="00F67C88" w:rsidP="00DC54F7">
            <w:pPr>
              <w:pStyle w:val="ListParagraph"/>
              <w:ind w:left="0"/>
              <w:jc w:val="both"/>
              <w:rPr>
                <w:rFonts w:ascii="Arial" w:hAnsi="Arial" w:cs="Arial"/>
              </w:rPr>
            </w:pPr>
            <w:r w:rsidRPr="00C52080">
              <w:rPr>
                <w:rFonts w:ascii="Arial" w:hAnsi="Arial" w:cs="Arial"/>
              </w:rPr>
              <w:t>0</w:t>
            </w:r>
          </w:p>
        </w:tc>
      </w:tr>
      <w:tr w:rsidR="00BE3CCF" w:rsidRPr="00CB7A49" w14:paraId="74ABA1F7" w14:textId="5C3B05AD" w:rsidTr="00C52080">
        <w:trPr>
          <w:trHeight w:val="282"/>
        </w:trPr>
        <w:tc>
          <w:tcPr>
            <w:tcW w:w="5954" w:type="dxa"/>
          </w:tcPr>
          <w:p w14:paraId="34A731EB" w14:textId="5F146830" w:rsidR="00BE3CCF" w:rsidRPr="00C52080" w:rsidRDefault="00BE3CCF" w:rsidP="00DC54F7">
            <w:pPr>
              <w:pStyle w:val="ListParagraph"/>
              <w:ind w:left="0"/>
              <w:jc w:val="both"/>
              <w:rPr>
                <w:rFonts w:ascii="Arial" w:hAnsi="Arial" w:cs="Arial"/>
              </w:rPr>
            </w:pPr>
            <w:r w:rsidRPr="00C52080">
              <w:rPr>
                <w:rFonts w:ascii="Arial" w:hAnsi="Arial" w:cs="Arial"/>
              </w:rPr>
              <w:t>Land to the north and west of Darren Close, Cowbridge</w:t>
            </w:r>
          </w:p>
        </w:tc>
        <w:tc>
          <w:tcPr>
            <w:tcW w:w="1134" w:type="dxa"/>
          </w:tcPr>
          <w:p w14:paraId="0D32E5EE" w14:textId="1AB76B93" w:rsidR="00BE3CCF" w:rsidRPr="00C52080" w:rsidRDefault="00BE3CCF" w:rsidP="00DC54F7">
            <w:pPr>
              <w:pStyle w:val="ListParagraph"/>
              <w:ind w:left="0"/>
              <w:jc w:val="both"/>
              <w:rPr>
                <w:rFonts w:ascii="Arial" w:hAnsi="Arial" w:cs="Arial"/>
              </w:rPr>
            </w:pPr>
            <w:r w:rsidRPr="00C52080">
              <w:rPr>
                <w:rFonts w:ascii="Arial" w:hAnsi="Arial" w:cs="Arial"/>
              </w:rPr>
              <w:t>475</w:t>
            </w:r>
          </w:p>
        </w:tc>
        <w:tc>
          <w:tcPr>
            <w:tcW w:w="2693" w:type="dxa"/>
          </w:tcPr>
          <w:p w14:paraId="5F559969" w14:textId="041A4080" w:rsidR="00BE3CCF" w:rsidRPr="00C52080" w:rsidRDefault="00F67C88" w:rsidP="00DC54F7">
            <w:pPr>
              <w:pStyle w:val="ListParagraph"/>
              <w:ind w:left="0"/>
              <w:jc w:val="both"/>
              <w:rPr>
                <w:rFonts w:ascii="Arial" w:hAnsi="Arial" w:cs="Arial"/>
              </w:rPr>
            </w:pPr>
            <w:r w:rsidRPr="00C52080">
              <w:rPr>
                <w:rFonts w:ascii="Arial" w:hAnsi="Arial" w:cs="Arial"/>
              </w:rPr>
              <w:t>43</w:t>
            </w:r>
          </w:p>
        </w:tc>
      </w:tr>
      <w:tr w:rsidR="00BE3CCF" w:rsidRPr="00CB7A49" w14:paraId="7ABA19DD" w14:textId="2345E6B4" w:rsidTr="00C52080">
        <w:trPr>
          <w:trHeight w:val="268"/>
        </w:trPr>
        <w:tc>
          <w:tcPr>
            <w:tcW w:w="5954" w:type="dxa"/>
          </w:tcPr>
          <w:p w14:paraId="77717E02" w14:textId="77777777" w:rsidR="00BE3CCF" w:rsidRPr="00C52080" w:rsidRDefault="00BE3CCF" w:rsidP="00DC54F7">
            <w:pPr>
              <w:pStyle w:val="ListParagraph"/>
              <w:ind w:left="0"/>
              <w:jc w:val="both"/>
              <w:rPr>
                <w:rFonts w:ascii="Arial" w:hAnsi="Arial" w:cs="Arial"/>
              </w:rPr>
            </w:pPr>
            <w:r w:rsidRPr="00C52080">
              <w:rPr>
                <w:rFonts w:ascii="Arial" w:hAnsi="Arial" w:cs="Arial"/>
              </w:rPr>
              <w:t>Total</w:t>
            </w:r>
          </w:p>
        </w:tc>
        <w:tc>
          <w:tcPr>
            <w:tcW w:w="1134" w:type="dxa"/>
          </w:tcPr>
          <w:p w14:paraId="57FC078A" w14:textId="442035AB" w:rsidR="00BE3CCF" w:rsidRPr="00C52080" w:rsidRDefault="00BE3CCF" w:rsidP="00DC54F7">
            <w:pPr>
              <w:pStyle w:val="ListParagraph"/>
              <w:ind w:left="0"/>
              <w:jc w:val="both"/>
              <w:rPr>
                <w:rFonts w:ascii="Arial" w:hAnsi="Arial" w:cs="Arial"/>
              </w:rPr>
            </w:pPr>
            <w:r w:rsidRPr="00C52080">
              <w:rPr>
                <w:rFonts w:ascii="Arial" w:hAnsi="Arial" w:cs="Arial"/>
              </w:rPr>
              <w:t>646</w:t>
            </w:r>
          </w:p>
        </w:tc>
        <w:tc>
          <w:tcPr>
            <w:tcW w:w="2693" w:type="dxa"/>
          </w:tcPr>
          <w:p w14:paraId="4BB04EDF" w14:textId="48AC5059" w:rsidR="00BE3CCF" w:rsidRPr="00C52080" w:rsidRDefault="00F60979" w:rsidP="00DC54F7">
            <w:pPr>
              <w:pStyle w:val="ListParagraph"/>
              <w:ind w:left="0"/>
              <w:jc w:val="both"/>
              <w:rPr>
                <w:rFonts w:ascii="Arial" w:hAnsi="Arial" w:cs="Arial"/>
              </w:rPr>
            </w:pPr>
            <w:r w:rsidRPr="00C52080">
              <w:rPr>
                <w:rFonts w:ascii="Arial" w:hAnsi="Arial" w:cs="Arial"/>
              </w:rPr>
              <w:t>63</w:t>
            </w:r>
          </w:p>
        </w:tc>
      </w:tr>
    </w:tbl>
    <w:p w14:paraId="1A778DFF" w14:textId="77777777" w:rsidR="00ED1276" w:rsidRPr="00CB7A49" w:rsidRDefault="00ED1276" w:rsidP="00DC54F7">
      <w:pPr>
        <w:spacing w:after="0" w:line="240" w:lineRule="auto"/>
        <w:jc w:val="both"/>
        <w:rPr>
          <w:rFonts w:ascii="Arial" w:hAnsi="Arial" w:cs="Arial"/>
          <w:b/>
        </w:rPr>
      </w:pPr>
    </w:p>
    <w:p w14:paraId="1DD04C7B" w14:textId="77777777" w:rsidR="00A03E9B" w:rsidRDefault="00A03E9B" w:rsidP="00DC54F7">
      <w:pPr>
        <w:spacing w:after="0" w:line="240" w:lineRule="auto"/>
        <w:jc w:val="both"/>
        <w:rPr>
          <w:rFonts w:ascii="Arial" w:hAnsi="Arial" w:cs="Arial"/>
          <w:b/>
          <w:bCs/>
          <w:sz w:val="24"/>
          <w:szCs w:val="24"/>
        </w:rPr>
      </w:pPr>
    </w:p>
    <w:p w14:paraId="08B221A1" w14:textId="29366B23" w:rsidR="0063382E" w:rsidRPr="00A03E9B" w:rsidRDefault="00381414" w:rsidP="00DC54F7">
      <w:pPr>
        <w:spacing w:after="0" w:line="240" w:lineRule="auto"/>
        <w:jc w:val="both"/>
        <w:rPr>
          <w:rFonts w:ascii="Arial" w:hAnsi="Arial" w:cs="Arial"/>
          <w:b/>
          <w:bCs/>
          <w:sz w:val="24"/>
          <w:szCs w:val="24"/>
        </w:rPr>
      </w:pPr>
      <w:r w:rsidRPr="00A03E9B">
        <w:rPr>
          <w:rFonts w:ascii="Arial" w:hAnsi="Arial" w:cs="Arial"/>
          <w:b/>
          <w:bCs/>
          <w:sz w:val="24"/>
          <w:szCs w:val="24"/>
        </w:rPr>
        <w:t xml:space="preserve">Key settlement: </w:t>
      </w:r>
      <w:r w:rsidR="00CB7A49" w:rsidRPr="00A03E9B">
        <w:rPr>
          <w:rFonts w:ascii="Arial" w:hAnsi="Arial" w:cs="Arial"/>
          <w:b/>
          <w:bCs/>
          <w:sz w:val="24"/>
          <w:szCs w:val="24"/>
        </w:rPr>
        <w:t>Llantwit Major</w:t>
      </w:r>
    </w:p>
    <w:tbl>
      <w:tblPr>
        <w:tblStyle w:val="TableGrid"/>
        <w:tblW w:w="9781" w:type="dxa"/>
        <w:tblInd w:w="-5" w:type="dxa"/>
        <w:tblLook w:val="04A0" w:firstRow="1" w:lastRow="0" w:firstColumn="1" w:lastColumn="0" w:noHBand="0" w:noVBand="1"/>
      </w:tblPr>
      <w:tblGrid>
        <w:gridCol w:w="5913"/>
        <w:gridCol w:w="1048"/>
        <w:gridCol w:w="2820"/>
      </w:tblGrid>
      <w:tr w:rsidR="0045435A" w:rsidRPr="00CB7A49" w14:paraId="590D491A" w14:textId="77777777" w:rsidTr="00A03E9B">
        <w:trPr>
          <w:trHeight w:val="283"/>
        </w:trPr>
        <w:tc>
          <w:tcPr>
            <w:tcW w:w="5913" w:type="dxa"/>
            <w:shd w:val="clear" w:color="auto" w:fill="8497B0"/>
          </w:tcPr>
          <w:p w14:paraId="4C2B80CC" w14:textId="77777777" w:rsidR="0045435A" w:rsidRPr="00371366" w:rsidRDefault="0045435A" w:rsidP="00DC54F7">
            <w:pPr>
              <w:pStyle w:val="ListParagraph"/>
              <w:ind w:left="0"/>
              <w:jc w:val="both"/>
              <w:rPr>
                <w:rFonts w:ascii="Arial" w:hAnsi="Arial" w:cs="Arial"/>
                <w:b/>
                <w:bCs/>
                <w:color w:val="FFFFFF" w:themeColor="background1"/>
              </w:rPr>
            </w:pPr>
            <w:r w:rsidRPr="00371366">
              <w:rPr>
                <w:rFonts w:ascii="Arial" w:hAnsi="Arial" w:cs="Arial"/>
                <w:b/>
                <w:bCs/>
                <w:color w:val="FFFFFF" w:themeColor="background1"/>
              </w:rPr>
              <w:t xml:space="preserve">Housing site </w:t>
            </w:r>
          </w:p>
        </w:tc>
        <w:tc>
          <w:tcPr>
            <w:tcW w:w="1048" w:type="dxa"/>
            <w:shd w:val="clear" w:color="auto" w:fill="8497B0"/>
          </w:tcPr>
          <w:p w14:paraId="7764EC26" w14:textId="5CCABB98" w:rsidR="0045435A" w:rsidRPr="00371366" w:rsidRDefault="0045435A" w:rsidP="00DC54F7">
            <w:pPr>
              <w:pStyle w:val="ListParagraph"/>
              <w:ind w:left="0"/>
              <w:jc w:val="both"/>
              <w:rPr>
                <w:rFonts w:ascii="Arial" w:hAnsi="Arial" w:cs="Arial"/>
                <w:b/>
                <w:bCs/>
                <w:color w:val="FFFFFF" w:themeColor="background1"/>
              </w:rPr>
            </w:pPr>
            <w:r w:rsidRPr="00371366">
              <w:rPr>
                <w:rFonts w:ascii="Arial" w:hAnsi="Arial" w:cs="Arial"/>
                <w:b/>
                <w:bCs/>
                <w:color w:val="FFFFFF" w:themeColor="background1"/>
              </w:rPr>
              <w:t>Number</w:t>
            </w:r>
          </w:p>
        </w:tc>
        <w:tc>
          <w:tcPr>
            <w:tcW w:w="2820" w:type="dxa"/>
            <w:shd w:val="clear" w:color="auto" w:fill="8497B0"/>
          </w:tcPr>
          <w:p w14:paraId="3BF8F64A" w14:textId="1B22DF31" w:rsidR="0045435A" w:rsidRPr="00371366" w:rsidRDefault="0045435A" w:rsidP="00DC54F7">
            <w:pPr>
              <w:pStyle w:val="ListParagraph"/>
              <w:ind w:left="0"/>
              <w:jc w:val="both"/>
              <w:rPr>
                <w:rFonts w:ascii="Arial" w:hAnsi="Arial" w:cs="Arial"/>
                <w:b/>
                <w:bCs/>
                <w:color w:val="FFFFFF" w:themeColor="background1"/>
              </w:rPr>
            </w:pPr>
            <w:r w:rsidRPr="00371366">
              <w:rPr>
                <w:rFonts w:ascii="Arial" w:hAnsi="Arial" w:cs="Arial"/>
                <w:b/>
                <w:bCs/>
                <w:color w:val="FFFFFF" w:themeColor="background1"/>
              </w:rPr>
              <w:t>Complete at April 2020</w:t>
            </w:r>
          </w:p>
        </w:tc>
      </w:tr>
      <w:tr w:rsidR="0045435A" w:rsidRPr="00CB7A49" w14:paraId="100FCE29" w14:textId="77777777" w:rsidTr="00C52080">
        <w:trPr>
          <w:trHeight w:val="304"/>
        </w:trPr>
        <w:tc>
          <w:tcPr>
            <w:tcW w:w="5913" w:type="dxa"/>
          </w:tcPr>
          <w:p w14:paraId="6DBA4A93" w14:textId="19FD6EFE" w:rsidR="0045435A" w:rsidRPr="00CB7A49" w:rsidRDefault="0045435A" w:rsidP="00DC54F7">
            <w:pPr>
              <w:pStyle w:val="ListParagraph"/>
              <w:ind w:left="0"/>
              <w:jc w:val="both"/>
              <w:rPr>
                <w:rFonts w:ascii="Arial" w:hAnsi="Arial" w:cs="Arial"/>
              </w:rPr>
            </w:pPr>
            <w:r w:rsidRPr="00CB7A49">
              <w:rPr>
                <w:rFonts w:ascii="Arial" w:hAnsi="Arial" w:cs="Arial"/>
              </w:rPr>
              <w:t>Llantwit Major 21 Plasnewydd Farm, Llantwit Major</w:t>
            </w:r>
          </w:p>
        </w:tc>
        <w:tc>
          <w:tcPr>
            <w:tcW w:w="1048" w:type="dxa"/>
          </w:tcPr>
          <w:p w14:paraId="6C0F00CF" w14:textId="1B15731C" w:rsidR="0045435A" w:rsidRPr="00CB7A49" w:rsidRDefault="0045435A" w:rsidP="00DC54F7">
            <w:pPr>
              <w:pStyle w:val="ListParagraph"/>
              <w:ind w:left="0"/>
              <w:jc w:val="both"/>
              <w:rPr>
                <w:rFonts w:ascii="Arial" w:hAnsi="Arial" w:cs="Arial"/>
              </w:rPr>
            </w:pPr>
            <w:r w:rsidRPr="00CB7A49">
              <w:rPr>
                <w:rFonts w:ascii="Arial" w:hAnsi="Arial" w:cs="Arial"/>
              </w:rPr>
              <w:t>149</w:t>
            </w:r>
          </w:p>
        </w:tc>
        <w:tc>
          <w:tcPr>
            <w:tcW w:w="2820" w:type="dxa"/>
          </w:tcPr>
          <w:p w14:paraId="1ECBEB55" w14:textId="46DEF99D" w:rsidR="0045435A" w:rsidRPr="00CB7A49" w:rsidRDefault="009A0ED0" w:rsidP="00DC54F7">
            <w:pPr>
              <w:pStyle w:val="ListParagraph"/>
              <w:ind w:left="0"/>
              <w:jc w:val="both"/>
              <w:rPr>
                <w:rFonts w:ascii="Arial" w:hAnsi="Arial" w:cs="Arial"/>
              </w:rPr>
            </w:pPr>
            <w:r w:rsidRPr="00CB7A49">
              <w:rPr>
                <w:rFonts w:ascii="Arial" w:hAnsi="Arial" w:cs="Arial"/>
              </w:rPr>
              <w:t>136</w:t>
            </w:r>
          </w:p>
        </w:tc>
      </w:tr>
      <w:tr w:rsidR="0045435A" w:rsidRPr="00CB7A49" w14:paraId="77B75D21" w14:textId="77777777" w:rsidTr="00C52080">
        <w:trPr>
          <w:trHeight w:val="290"/>
        </w:trPr>
        <w:tc>
          <w:tcPr>
            <w:tcW w:w="5913" w:type="dxa"/>
          </w:tcPr>
          <w:p w14:paraId="4964A9CD" w14:textId="657B8CB2" w:rsidR="0045435A" w:rsidRPr="00CB7A49" w:rsidRDefault="0045435A" w:rsidP="00DC54F7">
            <w:pPr>
              <w:pStyle w:val="ListParagraph"/>
              <w:ind w:left="0"/>
              <w:jc w:val="both"/>
              <w:rPr>
                <w:rFonts w:ascii="Arial" w:hAnsi="Arial" w:cs="Arial"/>
              </w:rPr>
            </w:pPr>
            <w:r w:rsidRPr="00CB7A49">
              <w:rPr>
                <w:rFonts w:ascii="Arial" w:hAnsi="Arial" w:cs="Arial"/>
              </w:rPr>
              <w:t>Land adjacent to Llantwit Major Bypass</w:t>
            </w:r>
          </w:p>
        </w:tc>
        <w:tc>
          <w:tcPr>
            <w:tcW w:w="1048" w:type="dxa"/>
          </w:tcPr>
          <w:p w14:paraId="0A3F6600" w14:textId="2237A0E0" w:rsidR="0045435A" w:rsidRPr="00CB7A49" w:rsidRDefault="00B81387" w:rsidP="00DC54F7">
            <w:pPr>
              <w:pStyle w:val="ListParagraph"/>
              <w:ind w:left="0"/>
              <w:jc w:val="both"/>
              <w:rPr>
                <w:rFonts w:ascii="Arial" w:hAnsi="Arial" w:cs="Arial"/>
              </w:rPr>
            </w:pPr>
            <w:r w:rsidRPr="00CB7A49">
              <w:rPr>
                <w:rFonts w:ascii="Arial" w:hAnsi="Arial" w:cs="Arial"/>
              </w:rPr>
              <w:t>89</w:t>
            </w:r>
          </w:p>
        </w:tc>
        <w:tc>
          <w:tcPr>
            <w:tcW w:w="2820" w:type="dxa"/>
          </w:tcPr>
          <w:p w14:paraId="35D2EC13" w14:textId="2FE821DA" w:rsidR="0045435A" w:rsidRPr="00CB7A49" w:rsidRDefault="00B81387" w:rsidP="00DC54F7">
            <w:pPr>
              <w:pStyle w:val="ListParagraph"/>
              <w:ind w:left="0"/>
              <w:jc w:val="both"/>
              <w:rPr>
                <w:rFonts w:ascii="Arial" w:hAnsi="Arial" w:cs="Arial"/>
              </w:rPr>
            </w:pPr>
            <w:r w:rsidRPr="00CB7A49">
              <w:rPr>
                <w:rFonts w:ascii="Arial" w:hAnsi="Arial" w:cs="Arial"/>
              </w:rPr>
              <w:t>63</w:t>
            </w:r>
          </w:p>
        </w:tc>
      </w:tr>
      <w:tr w:rsidR="0045435A" w:rsidRPr="00CB7A49" w14:paraId="22D61589" w14:textId="77777777" w:rsidTr="00C52080">
        <w:trPr>
          <w:trHeight w:val="290"/>
        </w:trPr>
        <w:tc>
          <w:tcPr>
            <w:tcW w:w="5913" w:type="dxa"/>
          </w:tcPr>
          <w:p w14:paraId="507CBF16" w14:textId="3D8B9645" w:rsidR="0045435A" w:rsidRPr="00CB7A49" w:rsidRDefault="0059464C" w:rsidP="00DC54F7">
            <w:pPr>
              <w:pStyle w:val="ListParagraph"/>
              <w:ind w:left="0"/>
              <w:jc w:val="both"/>
              <w:rPr>
                <w:rFonts w:ascii="Arial" w:hAnsi="Arial" w:cs="Arial"/>
              </w:rPr>
            </w:pPr>
            <w:r w:rsidRPr="00CB7A49">
              <w:rPr>
                <w:rFonts w:ascii="Arial" w:hAnsi="Arial" w:cs="Arial"/>
              </w:rPr>
              <w:t xml:space="preserve">Former Eagleswell Primary School </w:t>
            </w:r>
          </w:p>
        </w:tc>
        <w:tc>
          <w:tcPr>
            <w:tcW w:w="1048" w:type="dxa"/>
          </w:tcPr>
          <w:p w14:paraId="08DAB1D3" w14:textId="5B25E578" w:rsidR="0045435A" w:rsidRPr="00CB7A49" w:rsidRDefault="0045435A" w:rsidP="00DC54F7">
            <w:pPr>
              <w:pStyle w:val="ListParagraph"/>
              <w:ind w:left="0"/>
              <w:jc w:val="both"/>
              <w:rPr>
                <w:rFonts w:ascii="Arial" w:hAnsi="Arial" w:cs="Arial"/>
              </w:rPr>
            </w:pPr>
            <w:r w:rsidRPr="00CB7A49">
              <w:rPr>
                <w:rFonts w:ascii="Arial" w:hAnsi="Arial" w:cs="Arial"/>
              </w:rPr>
              <w:t>72</w:t>
            </w:r>
          </w:p>
        </w:tc>
        <w:tc>
          <w:tcPr>
            <w:tcW w:w="2820" w:type="dxa"/>
          </w:tcPr>
          <w:p w14:paraId="5CBB91D2" w14:textId="6745BA82" w:rsidR="0045435A" w:rsidRPr="00CB7A49" w:rsidRDefault="0059464C" w:rsidP="00DC54F7">
            <w:pPr>
              <w:pStyle w:val="ListParagraph"/>
              <w:ind w:left="0"/>
              <w:jc w:val="both"/>
              <w:rPr>
                <w:rFonts w:ascii="Arial" w:hAnsi="Arial" w:cs="Arial"/>
              </w:rPr>
            </w:pPr>
            <w:r w:rsidRPr="00CB7A49">
              <w:rPr>
                <w:rFonts w:ascii="Arial" w:hAnsi="Arial" w:cs="Arial"/>
              </w:rPr>
              <w:t>0</w:t>
            </w:r>
          </w:p>
        </w:tc>
      </w:tr>
      <w:tr w:rsidR="0045435A" w:rsidRPr="00CB7A49" w14:paraId="79AB9AB0" w14:textId="77777777" w:rsidTr="00C52080">
        <w:trPr>
          <w:trHeight w:val="276"/>
        </w:trPr>
        <w:tc>
          <w:tcPr>
            <w:tcW w:w="5913" w:type="dxa"/>
          </w:tcPr>
          <w:p w14:paraId="752B6B0A" w14:textId="77777777" w:rsidR="0045435A" w:rsidRPr="00CB7A49" w:rsidRDefault="0045435A" w:rsidP="00DC54F7">
            <w:pPr>
              <w:pStyle w:val="ListParagraph"/>
              <w:ind w:left="0"/>
              <w:jc w:val="both"/>
              <w:rPr>
                <w:rFonts w:ascii="Arial" w:hAnsi="Arial" w:cs="Arial"/>
              </w:rPr>
            </w:pPr>
            <w:r w:rsidRPr="00CB7A49">
              <w:rPr>
                <w:rFonts w:ascii="Arial" w:hAnsi="Arial" w:cs="Arial"/>
              </w:rPr>
              <w:t>Total</w:t>
            </w:r>
          </w:p>
        </w:tc>
        <w:tc>
          <w:tcPr>
            <w:tcW w:w="1048" w:type="dxa"/>
          </w:tcPr>
          <w:p w14:paraId="71B55845" w14:textId="3D2119D7" w:rsidR="0045435A" w:rsidRPr="00CB7A49" w:rsidRDefault="00746C0C" w:rsidP="00DC54F7">
            <w:pPr>
              <w:pStyle w:val="ListParagraph"/>
              <w:ind w:left="0"/>
              <w:jc w:val="both"/>
              <w:rPr>
                <w:rFonts w:ascii="Arial" w:hAnsi="Arial" w:cs="Arial"/>
              </w:rPr>
            </w:pPr>
            <w:r w:rsidRPr="00CB7A49">
              <w:rPr>
                <w:rFonts w:ascii="Arial" w:hAnsi="Arial" w:cs="Arial"/>
              </w:rPr>
              <w:t>310</w:t>
            </w:r>
          </w:p>
        </w:tc>
        <w:tc>
          <w:tcPr>
            <w:tcW w:w="2820" w:type="dxa"/>
          </w:tcPr>
          <w:p w14:paraId="1DB66774" w14:textId="788D6099" w:rsidR="0045435A" w:rsidRPr="00CB7A49" w:rsidRDefault="00261E94" w:rsidP="00DC54F7">
            <w:pPr>
              <w:pStyle w:val="ListParagraph"/>
              <w:ind w:left="0"/>
              <w:jc w:val="both"/>
              <w:rPr>
                <w:rFonts w:ascii="Arial" w:hAnsi="Arial" w:cs="Arial"/>
              </w:rPr>
            </w:pPr>
            <w:r w:rsidRPr="00CB7A49">
              <w:rPr>
                <w:rFonts w:ascii="Arial" w:hAnsi="Arial" w:cs="Arial"/>
              </w:rPr>
              <w:t>199</w:t>
            </w:r>
          </w:p>
        </w:tc>
      </w:tr>
    </w:tbl>
    <w:p w14:paraId="1FE039C9" w14:textId="3251D3C3" w:rsidR="00630D45" w:rsidRDefault="00630D45" w:rsidP="00DC54F7">
      <w:pPr>
        <w:spacing w:after="0" w:line="240" w:lineRule="auto"/>
        <w:jc w:val="both"/>
        <w:rPr>
          <w:rFonts w:ascii="Arial" w:hAnsi="Arial" w:cs="Arial"/>
          <w:highlight w:val="cyan"/>
        </w:rPr>
      </w:pPr>
    </w:p>
    <w:p w14:paraId="0835AEAB" w14:textId="75AFCAF0" w:rsidR="007462EA" w:rsidRPr="00A03E9B" w:rsidRDefault="007462EA" w:rsidP="00DC54F7">
      <w:pPr>
        <w:spacing w:after="0" w:line="240" w:lineRule="auto"/>
        <w:jc w:val="both"/>
        <w:rPr>
          <w:rFonts w:ascii="Arial" w:hAnsi="Arial" w:cs="Arial"/>
          <w:b/>
          <w:sz w:val="24"/>
          <w:szCs w:val="24"/>
        </w:rPr>
      </w:pPr>
      <w:r w:rsidRPr="00A03E9B">
        <w:rPr>
          <w:rFonts w:ascii="Arial" w:hAnsi="Arial" w:cs="Arial"/>
          <w:b/>
          <w:sz w:val="24"/>
          <w:szCs w:val="24"/>
        </w:rPr>
        <w:t>Key settlement: Rhoose</w:t>
      </w:r>
    </w:p>
    <w:tbl>
      <w:tblPr>
        <w:tblStyle w:val="TableGrid"/>
        <w:tblW w:w="9776" w:type="dxa"/>
        <w:tblLook w:val="04A0" w:firstRow="1" w:lastRow="0" w:firstColumn="1" w:lastColumn="0" w:noHBand="0" w:noVBand="1"/>
      </w:tblPr>
      <w:tblGrid>
        <w:gridCol w:w="5907"/>
        <w:gridCol w:w="1048"/>
        <w:gridCol w:w="2821"/>
      </w:tblGrid>
      <w:tr w:rsidR="007462EA" w:rsidRPr="00B536D8" w14:paraId="3FC02D2D" w14:textId="77777777" w:rsidTr="00A03E9B">
        <w:tc>
          <w:tcPr>
            <w:tcW w:w="5949" w:type="dxa"/>
            <w:shd w:val="clear" w:color="auto" w:fill="8497B0"/>
          </w:tcPr>
          <w:p w14:paraId="1A0E8EB5" w14:textId="77777777" w:rsidR="007462EA" w:rsidRPr="00B536D8" w:rsidRDefault="007462EA" w:rsidP="00DC54F7">
            <w:pPr>
              <w:jc w:val="both"/>
              <w:rPr>
                <w:rFonts w:ascii="Arial" w:hAnsi="Arial" w:cs="Arial"/>
                <w:b/>
              </w:rPr>
            </w:pPr>
            <w:r w:rsidRPr="00B536D8">
              <w:rPr>
                <w:rFonts w:ascii="Arial" w:hAnsi="Arial" w:cs="Arial"/>
                <w:b/>
                <w:bCs/>
                <w:color w:val="FFFFFF" w:themeColor="background1"/>
              </w:rPr>
              <w:t>Housing site</w:t>
            </w:r>
          </w:p>
        </w:tc>
        <w:tc>
          <w:tcPr>
            <w:tcW w:w="992" w:type="dxa"/>
            <w:shd w:val="clear" w:color="auto" w:fill="8497B0"/>
          </w:tcPr>
          <w:p w14:paraId="3B857B10" w14:textId="77777777" w:rsidR="007462EA" w:rsidRPr="00B536D8" w:rsidRDefault="007462EA" w:rsidP="00DC54F7">
            <w:pPr>
              <w:jc w:val="both"/>
              <w:rPr>
                <w:rFonts w:ascii="Arial" w:hAnsi="Arial" w:cs="Arial"/>
                <w:b/>
              </w:rPr>
            </w:pPr>
            <w:r w:rsidRPr="00B536D8">
              <w:rPr>
                <w:rFonts w:ascii="Arial" w:hAnsi="Arial" w:cs="Arial"/>
                <w:b/>
                <w:bCs/>
                <w:color w:val="FFFFFF" w:themeColor="background1"/>
              </w:rPr>
              <w:t>Number</w:t>
            </w:r>
          </w:p>
        </w:tc>
        <w:tc>
          <w:tcPr>
            <w:tcW w:w="2835" w:type="dxa"/>
            <w:shd w:val="clear" w:color="auto" w:fill="8497B0"/>
          </w:tcPr>
          <w:p w14:paraId="0ACEEF54" w14:textId="77777777" w:rsidR="007462EA" w:rsidRPr="00B536D8" w:rsidRDefault="007462EA" w:rsidP="00DC54F7">
            <w:pPr>
              <w:jc w:val="both"/>
              <w:rPr>
                <w:rFonts w:ascii="Arial" w:hAnsi="Arial" w:cs="Arial"/>
                <w:b/>
              </w:rPr>
            </w:pPr>
            <w:r w:rsidRPr="00B536D8">
              <w:rPr>
                <w:rFonts w:ascii="Arial" w:hAnsi="Arial" w:cs="Arial"/>
                <w:b/>
                <w:bCs/>
                <w:color w:val="FFFFFF" w:themeColor="background1"/>
              </w:rPr>
              <w:t>Complete at April 2020</w:t>
            </w:r>
          </w:p>
        </w:tc>
      </w:tr>
      <w:tr w:rsidR="007462EA" w:rsidRPr="00B536D8" w14:paraId="7E4BE3C4" w14:textId="77777777" w:rsidTr="00A03E9B">
        <w:tc>
          <w:tcPr>
            <w:tcW w:w="5949" w:type="dxa"/>
          </w:tcPr>
          <w:p w14:paraId="4A91F203" w14:textId="3C7F7D15" w:rsidR="007462EA" w:rsidRPr="009B5A30" w:rsidRDefault="007462EA" w:rsidP="00DC54F7">
            <w:pPr>
              <w:jc w:val="both"/>
              <w:rPr>
                <w:rFonts w:ascii="Arial" w:hAnsi="Arial" w:cs="Arial"/>
                <w:b/>
              </w:rPr>
            </w:pPr>
            <w:r w:rsidRPr="009B5A30">
              <w:rPr>
                <w:rFonts w:ascii="Arial" w:hAnsi="Arial" w:cs="Arial"/>
              </w:rPr>
              <w:t>Land north of the Railway Line, Rhoose</w:t>
            </w:r>
          </w:p>
        </w:tc>
        <w:tc>
          <w:tcPr>
            <w:tcW w:w="992" w:type="dxa"/>
          </w:tcPr>
          <w:p w14:paraId="5BFE2EAF" w14:textId="77777777" w:rsidR="007462EA" w:rsidRPr="009B5A30" w:rsidRDefault="007462EA" w:rsidP="00DC54F7">
            <w:pPr>
              <w:jc w:val="both"/>
              <w:rPr>
                <w:rFonts w:ascii="Arial" w:hAnsi="Arial" w:cs="Arial"/>
                <w:bCs/>
              </w:rPr>
            </w:pPr>
            <w:r w:rsidRPr="009B5A30">
              <w:rPr>
                <w:rFonts w:ascii="Arial" w:hAnsi="Arial" w:cs="Arial"/>
                <w:bCs/>
              </w:rPr>
              <w:t>700</w:t>
            </w:r>
          </w:p>
        </w:tc>
        <w:tc>
          <w:tcPr>
            <w:tcW w:w="2835" w:type="dxa"/>
          </w:tcPr>
          <w:p w14:paraId="4151E85C" w14:textId="77777777" w:rsidR="007462EA" w:rsidRPr="009B5A30" w:rsidRDefault="007462EA" w:rsidP="00DC54F7">
            <w:pPr>
              <w:jc w:val="both"/>
              <w:rPr>
                <w:rFonts w:ascii="Arial" w:hAnsi="Arial" w:cs="Arial"/>
                <w:bCs/>
              </w:rPr>
            </w:pPr>
            <w:r w:rsidRPr="009B5A30">
              <w:rPr>
                <w:rFonts w:ascii="Arial" w:hAnsi="Arial" w:cs="Arial"/>
                <w:bCs/>
              </w:rPr>
              <w:t>223</w:t>
            </w:r>
          </w:p>
        </w:tc>
      </w:tr>
      <w:tr w:rsidR="007462EA" w:rsidRPr="00B536D8" w14:paraId="5F900847" w14:textId="77777777" w:rsidTr="00A03E9B">
        <w:tc>
          <w:tcPr>
            <w:tcW w:w="5949" w:type="dxa"/>
          </w:tcPr>
          <w:p w14:paraId="406DC7F2" w14:textId="77777777" w:rsidR="007462EA" w:rsidRPr="009B5A30" w:rsidRDefault="007462EA" w:rsidP="00DC54F7">
            <w:pPr>
              <w:jc w:val="both"/>
              <w:rPr>
                <w:rFonts w:ascii="Arial" w:hAnsi="Arial" w:cs="Arial"/>
                <w:b/>
              </w:rPr>
            </w:pPr>
            <w:r w:rsidRPr="009B5A30">
              <w:rPr>
                <w:rFonts w:ascii="Arial" w:hAnsi="Arial" w:cs="Arial"/>
              </w:rPr>
              <w:t>Land south of the Railway Line, Rhoose</w:t>
            </w:r>
          </w:p>
        </w:tc>
        <w:tc>
          <w:tcPr>
            <w:tcW w:w="992" w:type="dxa"/>
          </w:tcPr>
          <w:p w14:paraId="4E9C5E90" w14:textId="77777777" w:rsidR="007462EA" w:rsidRPr="009B5A30" w:rsidRDefault="007462EA" w:rsidP="00DC54F7">
            <w:pPr>
              <w:jc w:val="both"/>
              <w:rPr>
                <w:rFonts w:ascii="Arial" w:hAnsi="Arial" w:cs="Arial"/>
                <w:bCs/>
              </w:rPr>
            </w:pPr>
            <w:r w:rsidRPr="009B5A30">
              <w:rPr>
                <w:rFonts w:ascii="Arial" w:hAnsi="Arial" w:cs="Arial"/>
                <w:bCs/>
              </w:rPr>
              <w:t>87</w:t>
            </w:r>
          </w:p>
        </w:tc>
        <w:tc>
          <w:tcPr>
            <w:tcW w:w="2835" w:type="dxa"/>
          </w:tcPr>
          <w:p w14:paraId="5FE4975F" w14:textId="77777777" w:rsidR="007462EA" w:rsidRPr="009B5A30" w:rsidRDefault="007462EA" w:rsidP="00DC54F7">
            <w:pPr>
              <w:jc w:val="both"/>
              <w:rPr>
                <w:rFonts w:ascii="Arial" w:hAnsi="Arial" w:cs="Arial"/>
                <w:bCs/>
              </w:rPr>
            </w:pPr>
            <w:r w:rsidRPr="009B5A30">
              <w:rPr>
                <w:rFonts w:ascii="Arial" w:hAnsi="Arial" w:cs="Arial"/>
                <w:bCs/>
              </w:rPr>
              <w:t>97</w:t>
            </w:r>
          </w:p>
        </w:tc>
      </w:tr>
      <w:tr w:rsidR="007462EA" w:rsidRPr="00B536D8" w14:paraId="4374FE16" w14:textId="77777777" w:rsidTr="00A03E9B">
        <w:tc>
          <w:tcPr>
            <w:tcW w:w="5949" w:type="dxa"/>
          </w:tcPr>
          <w:p w14:paraId="339A73CB" w14:textId="77777777" w:rsidR="007462EA" w:rsidRPr="009B5A30" w:rsidRDefault="007462EA" w:rsidP="00DC54F7">
            <w:pPr>
              <w:jc w:val="both"/>
              <w:rPr>
                <w:rFonts w:ascii="Arial" w:hAnsi="Arial" w:cs="Arial"/>
                <w:bCs/>
              </w:rPr>
            </w:pPr>
            <w:r w:rsidRPr="009B5A30">
              <w:rPr>
                <w:rFonts w:ascii="Arial" w:hAnsi="Arial" w:cs="Arial"/>
                <w:bCs/>
              </w:rPr>
              <w:t>Total</w:t>
            </w:r>
          </w:p>
        </w:tc>
        <w:tc>
          <w:tcPr>
            <w:tcW w:w="992" w:type="dxa"/>
          </w:tcPr>
          <w:p w14:paraId="47591115" w14:textId="77777777" w:rsidR="007462EA" w:rsidRPr="009B5A30" w:rsidRDefault="007462EA" w:rsidP="00DC54F7">
            <w:pPr>
              <w:jc w:val="both"/>
              <w:rPr>
                <w:rFonts w:ascii="Arial" w:hAnsi="Arial" w:cs="Arial"/>
                <w:bCs/>
              </w:rPr>
            </w:pPr>
            <w:r w:rsidRPr="009B5A30">
              <w:rPr>
                <w:rFonts w:ascii="Arial" w:hAnsi="Arial" w:cs="Arial"/>
                <w:bCs/>
              </w:rPr>
              <w:t>787</w:t>
            </w:r>
          </w:p>
        </w:tc>
        <w:tc>
          <w:tcPr>
            <w:tcW w:w="2835" w:type="dxa"/>
          </w:tcPr>
          <w:p w14:paraId="3EF12068" w14:textId="77777777" w:rsidR="007462EA" w:rsidRPr="009B5A30" w:rsidRDefault="007462EA" w:rsidP="00DC54F7">
            <w:pPr>
              <w:jc w:val="both"/>
              <w:rPr>
                <w:rFonts w:ascii="Arial" w:hAnsi="Arial" w:cs="Arial"/>
                <w:bCs/>
              </w:rPr>
            </w:pPr>
            <w:r w:rsidRPr="009B5A30">
              <w:rPr>
                <w:rFonts w:ascii="Arial" w:hAnsi="Arial" w:cs="Arial"/>
                <w:bCs/>
              </w:rPr>
              <w:t>320</w:t>
            </w:r>
          </w:p>
        </w:tc>
      </w:tr>
    </w:tbl>
    <w:p w14:paraId="1243C00D" w14:textId="77777777" w:rsidR="00630D45" w:rsidRPr="00A10850" w:rsidRDefault="00630D45" w:rsidP="00DC54F7">
      <w:pPr>
        <w:spacing w:after="0" w:line="240" w:lineRule="auto"/>
        <w:jc w:val="both"/>
        <w:rPr>
          <w:rFonts w:ascii="Arial" w:hAnsi="Arial" w:cs="Arial"/>
          <w:highlight w:val="cyan"/>
        </w:rPr>
      </w:pPr>
    </w:p>
    <w:p w14:paraId="537D151B" w14:textId="77777777" w:rsidR="00EE7A38" w:rsidRDefault="00EE7A38" w:rsidP="00DC54F7">
      <w:pPr>
        <w:spacing w:after="0" w:line="240" w:lineRule="auto"/>
        <w:jc w:val="both"/>
        <w:rPr>
          <w:rFonts w:ascii="Arial" w:hAnsi="Arial" w:cs="Arial"/>
          <w:b/>
          <w:sz w:val="26"/>
          <w:szCs w:val="26"/>
        </w:rPr>
      </w:pPr>
    </w:p>
    <w:p w14:paraId="34C0E2B9" w14:textId="0C2C4A30" w:rsidR="0063382E" w:rsidRDefault="00B82E86" w:rsidP="00DC54F7">
      <w:pPr>
        <w:spacing w:after="0" w:line="240" w:lineRule="auto"/>
        <w:jc w:val="both"/>
        <w:rPr>
          <w:rFonts w:ascii="Arial" w:hAnsi="Arial" w:cs="Arial"/>
          <w:b/>
          <w:sz w:val="26"/>
          <w:szCs w:val="26"/>
          <w:lang w:val="en-US"/>
        </w:rPr>
      </w:pPr>
      <w:r>
        <w:rPr>
          <w:rFonts w:ascii="Arial" w:hAnsi="Arial" w:cs="Arial"/>
          <w:b/>
          <w:sz w:val="26"/>
          <w:szCs w:val="26"/>
        </w:rPr>
        <w:t>16</w:t>
      </w:r>
      <w:r w:rsidR="0063382E" w:rsidRPr="00A10850">
        <w:rPr>
          <w:rFonts w:ascii="Arial" w:hAnsi="Arial" w:cs="Arial"/>
          <w:b/>
          <w:sz w:val="26"/>
          <w:szCs w:val="26"/>
        </w:rPr>
        <w:t xml:space="preserve">.2 </w:t>
      </w:r>
      <w:r w:rsidR="0063382E" w:rsidRPr="00E602AE">
        <w:rPr>
          <w:rFonts w:ascii="Arial" w:hAnsi="Arial" w:cs="Arial"/>
          <w:b/>
          <w:sz w:val="24"/>
          <w:szCs w:val="24"/>
        </w:rPr>
        <w:t>Current</w:t>
      </w:r>
      <w:r w:rsidR="0063382E" w:rsidRPr="00E602AE">
        <w:rPr>
          <w:rFonts w:ascii="Arial" w:hAnsi="Arial" w:cs="Arial"/>
          <w:b/>
          <w:sz w:val="24"/>
          <w:szCs w:val="24"/>
          <w:lang w:val="en-US"/>
        </w:rPr>
        <w:t xml:space="preserve"> provision of pharmaceutical services within the </w:t>
      </w:r>
      <w:r w:rsidR="00EB6754" w:rsidRPr="00E602AE">
        <w:rPr>
          <w:rFonts w:ascii="Arial" w:hAnsi="Arial" w:cs="Arial"/>
          <w:b/>
          <w:sz w:val="24"/>
          <w:szCs w:val="24"/>
          <w:lang w:val="en-US"/>
        </w:rPr>
        <w:t>cluster</w:t>
      </w:r>
    </w:p>
    <w:p w14:paraId="1A26B9A7" w14:textId="5AAD0792" w:rsidR="00781C74" w:rsidRDefault="00781C74" w:rsidP="00DC54F7">
      <w:pPr>
        <w:spacing w:after="0" w:line="240" w:lineRule="auto"/>
        <w:jc w:val="both"/>
        <w:rPr>
          <w:rFonts w:ascii="Arial" w:hAnsi="Arial" w:cs="Arial"/>
          <w:b/>
          <w:sz w:val="26"/>
          <w:szCs w:val="26"/>
          <w:lang w:val="en-US"/>
        </w:rPr>
      </w:pPr>
    </w:p>
    <w:p w14:paraId="3B0845F4" w14:textId="5E5E4C79" w:rsidR="00781C74" w:rsidRPr="00A03E9B" w:rsidRDefault="00781C74" w:rsidP="00DC54F7">
      <w:pPr>
        <w:spacing w:after="0" w:line="240" w:lineRule="auto"/>
        <w:jc w:val="both"/>
        <w:rPr>
          <w:rFonts w:ascii="Arial" w:hAnsi="Arial" w:cs="Arial"/>
          <w:b/>
          <w:sz w:val="24"/>
          <w:szCs w:val="24"/>
          <w:lang w:val="en-US"/>
        </w:rPr>
      </w:pPr>
      <w:r w:rsidRPr="00A03E9B">
        <w:rPr>
          <w:rFonts w:ascii="Arial" w:hAnsi="Arial" w:cs="Arial"/>
          <w:sz w:val="24"/>
          <w:szCs w:val="24"/>
        </w:rPr>
        <w:t xml:space="preserve">For the purposes of the PNA the pharmacies at Rhoose and St Athan will be considered in the Western Vale </w:t>
      </w:r>
      <w:r w:rsidR="000F1A43">
        <w:rPr>
          <w:rFonts w:ascii="Arial" w:hAnsi="Arial" w:cs="Arial"/>
          <w:sz w:val="24"/>
          <w:szCs w:val="24"/>
        </w:rPr>
        <w:t>c</w:t>
      </w:r>
      <w:r w:rsidRPr="00A03E9B">
        <w:rPr>
          <w:rFonts w:ascii="Arial" w:hAnsi="Arial" w:cs="Arial"/>
          <w:sz w:val="24"/>
          <w:szCs w:val="24"/>
        </w:rPr>
        <w:t>luster chapter as historically this is how they have been allocated as all are rural in area and share GP practices</w:t>
      </w:r>
      <w:r w:rsidR="00D568B6">
        <w:rPr>
          <w:rFonts w:ascii="Arial" w:hAnsi="Arial" w:cs="Arial"/>
          <w:sz w:val="24"/>
          <w:szCs w:val="24"/>
        </w:rPr>
        <w:t>.</w:t>
      </w:r>
    </w:p>
    <w:p w14:paraId="4EE956D5" w14:textId="68B4FA00" w:rsidR="00EB6754" w:rsidRPr="00A03E9B" w:rsidRDefault="00EB6754" w:rsidP="00DC54F7">
      <w:pPr>
        <w:spacing w:after="0" w:line="240" w:lineRule="auto"/>
        <w:jc w:val="both"/>
        <w:rPr>
          <w:rFonts w:ascii="Arial" w:hAnsi="Arial" w:cs="Arial"/>
          <w:b/>
          <w:sz w:val="24"/>
          <w:szCs w:val="24"/>
          <w:lang w:val="en-US"/>
        </w:rPr>
      </w:pPr>
    </w:p>
    <w:p w14:paraId="7DB782C1" w14:textId="44BEFFDC" w:rsidR="00EB6754" w:rsidRPr="00A03E9B" w:rsidRDefault="00EB6754" w:rsidP="00DC54F7">
      <w:pPr>
        <w:spacing w:after="0" w:line="240" w:lineRule="auto"/>
        <w:jc w:val="both"/>
        <w:rPr>
          <w:rFonts w:ascii="Arial" w:hAnsi="Arial" w:cs="Arial"/>
          <w:bCs/>
          <w:sz w:val="24"/>
          <w:szCs w:val="24"/>
          <w:lang w:val="en-US"/>
        </w:rPr>
      </w:pPr>
      <w:r w:rsidRPr="00A03E9B">
        <w:rPr>
          <w:rFonts w:ascii="Arial" w:hAnsi="Arial" w:cs="Arial"/>
          <w:bCs/>
          <w:sz w:val="24"/>
          <w:szCs w:val="24"/>
          <w:lang w:val="en-US"/>
        </w:rPr>
        <w:t xml:space="preserve">There are </w:t>
      </w:r>
      <w:r w:rsidR="005230E6" w:rsidRPr="00A03E9B">
        <w:rPr>
          <w:rFonts w:ascii="Arial" w:hAnsi="Arial" w:cs="Arial"/>
          <w:bCs/>
          <w:sz w:val="24"/>
          <w:szCs w:val="24"/>
          <w:lang w:val="en-US"/>
        </w:rPr>
        <w:t>six</w:t>
      </w:r>
      <w:r w:rsidRPr="00A03E9B">
        <w:rPr>
          <w:rFonts w:ascii="Arial" w:hAnsi="Arial" w:cs="Arial"/>
          <w:bCs/>
          <w:sz w:val="24"/>
          <w:szCs w:val="24"/>
          <w:lang w:val="en-US"/>
        </w:rPr>
        <w:t xml:space="preserve"> pharmacies in </w:t>
      </w:r>
      <w:r w:rsidR="00AB4A78" w:rsidRPr="00A03E9B">
        <w:rPr>
          <w:rFonts w:ascii="Arial" w:hAnsi="Arial" w:cs="Arial"/>
          <w:bCs/>
          <w:sz w:val="24"/>
          <w:szCs w:val="24"/>
          <w:lang w:val="en-US"/>
        </w:rPr>
        <w:t xml:space="preserve">Western Vale </w:t>
      </w:r>
      <w:r w:rsidRPr="00A03E9B">
        <w:rPr>
          <w:rFonts w:ascii="Arial" w:hAnsi="Arial" w:cs="Arial"/>
          <w:bCs/>
          <w:sz w:val="24"/>
          <w:szCs w:val="24"/>
          <w:lang w:val="en-US"/>
        </w:rPr>
        <w:t xml:space="preserve">cluster. </w:t>
      </w:r>
      <w:r w:rsidR="00B94AE3" w:rsidRPr="00A03E9B">
        <w:rPr>
          <w:rFonts w:ascii="Arial" w:hAnsi="Arial" w:cs="Arial"/>
          <w:bCs/>
          <w:sz w:val="24"/>
          <w:szCs w:val="24"/>
          <w:lang w:val="en-US"/>
        </w:rPr>
        <w:t>There is also one dispensing doctor practice in the cluster.</w:t>
      </w:r>
      <w:r w:rsidR="003D331E" w:rsidRPr="00A03E9B">
        <w:rPr>
          <w:rFonts w:ascii="Arial" w:hAnsi="Arial" w:cs="Arial"/>
          <w:bCs/>
          <w:sz w:val="24"/>
          <w:szCs w:val="24"/>
          <w:lang w:val="en-US"/>
        </w:rPr>
        <w:t xml:space="preserve"> </w:t>
      </w:r>
    </w:p>
    <w:p w14:paraId="14A3C6BD" w14:textId="5DBAEB89" w:rsidR="00004DAD" w:rsidRDefault="00004DAD" w:rsidP="00DC54F7">
      <w:pPr>
        <w:spacing w:after="0" w:line="240" w:lineRule="auto"/>
        <w:jc w:val="both"/>
        <w:rPr>
          <w:rFonts w:ascii="Arial" w:hAnsi="Arial" w:cs="Arial"/>
          <w:bCs/>
          <w:lang w:val="en-US"/>
        </w:rPr>
      </w:pPr>
    </w:p>
    <w:p w14:paraId="6A92D280" w14:textId="707B19CB" w:rsidR="00004DAD" w:rsidRPr="00D46991" w:rsidRDefault="00D46991" w:rsidP="00DC54F7">
      <w:pPr>
        <w:spacing w:after="0" w:line="240" w:lineRule="auto"/>
        <w:jc w:val="both"/>
        <w:rPr>
          <w:rFonts w:ascii="Arial" w:hAnsi="Arial" w:cs="Arial"/>
          <w:b/>
          <w:lang w:val="en-US"/>
        </w:rPr>
      </w:pPr>
      <w:r w:rsidRPr="00FE4F31">
        <w:rPr>
          <w:rFonts w:ascii="Arial" w:hAnsi="Arial" w:cs="Arial"/>
          <w:b/>
          <w:lang w:val="en-US"/>
        </w:rPr>
        <w:t>Ta</w:t>
      </w:r>
      <w:r w:rsidRPr="00D568B6">
        <w:rPr>
          <w:rFonts w:ascii="Arial" w:hAnsi="Arial" w:cs="Arial"/>
          <w:b/>
          <w:sz w:val="24"/>
          <w:szCs w:val="24"/>
          <w:lang w:val="en-US"/>
        </w:rPr>
        <w:t>ble 16.7: Pharmacies in Western Vale cluster</w:t>
      </w:r>
    </w:p>
    <w:tbl>
      <w:tblPr>
        <w:tblW w:w="959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396"/>
        <w:gridCol w:w="3106"/>
        <w:gridCol w:w="1715"/>
        <w:gridCol w:w="1375"/>
      </w:tblGrid>
      <w:tr w:rsidR="00D46991" w:rsidRPr="00D46991" w14:paraId="37C77346" w14:textId="77777777" w:rsidTr="00D46991">
        <w:trPr>
          <w:trHeight w:val="260"/>
        </w:trPr>
        <w:tc>
          <w:tcPr>
            <w:tcW w:w="3396" w:type="dxa"/>
            <w:shd w:val="clear" w:color="auto" w:fill="8497B0"/>
            <w:noWrap/>
            <w:vAlign w:val="bottom"/>
            <w:hideMark/>
          </w:tcPr>
          <w:p w14:paraId="5C7474D4" w14:textId="77777777" w:rsidR="00D46991" w:rsidRPr="00D568B6" w:rsidRDefault="00D46991" w:rsidP="00DC54F7">
            <w:pPr>
              <w:spacing w:after="0" w:line="240" w:lineRule="auto"/>
              <w:jc w:val="both"/>
              <w:rPr>
                <w:rFonts w:ascii="Arial" w:eastAsia="Times New Roman" w:hAnsi="Arial" w:cs="Arial"/>
                <w:b/>
                <w:bCs/>
                <w:color w:val="FFFFFF"/>
                <w:lang w:eastAsia="en-GB"/>
              </w:rPr>
            </w:pPr>
            <w:r w:rsidRPr="00D568B6">
              <w:rPr>
                <w:rFonts w:ascii="Arial" w:eastAsia="Times New Roman" w:hAnsi="Arial" w:cs="Arial"/>
                <w:b/>
                <w:bCs/>
                <w:color w:val="FFFFFF"/>
                <w:lang w:eastAsia="en-GB"/>
              </w:rPr>
              <w:t>Pharmacy</w:t>
            </w:r>
          </w:p>
        </w:tc>
        <w:tc>
          <w:tcPr>
            <w:tcW w:w="6196" w:type="dxa"/>
            <w:gridSpan w:val="3"/>
            <w:shd w:val="clear" w:color="auto" w:fill="8497B0"/>
            <w:noWrap/>
            <w:vAlign w:val="bottom"/>
            <w:hideMark/>
          </w:tcPr>
          <w:p w14:paraId="7AB2C89F" w14:textId="77777777" w:rsidR="00D46991" w:rsidRPr="00D568B6" w:rsidRDefault="00D46991" w:rsidP="00DC54F7">
            <w:pPr>
              <w:spacing w:after="0" w:line="240" w:lineRule="auto"/>
              <w:jc w:val="both"/>
              <w:rPr>
                <w:rFonts w:ascii="Arial" w:eastAsia="Times New Roman" w:hAnsi="Arial" w:cs="Arial"/>
                <w:b/>
                <w:bCs/>
                <w:color w:val="FFFFFF"/>
                <w:lang w:eastAsia="en-GB"/>
              </w:rPr>
            </w:pPr>
            <w:r w:rsidRPr="00D568B6">
              <w:rPr>
                <w:rFonts w:ascii="Arial" w:eastAsia="Times New Roman" w:hAnsi="Arial" w:cs="Arial"/>
                <w:b/>
                <w:bCs/>
                <w:color w:val="FFFFFF"/>
                <w:lang w:eastAsia="en-GB"/>
              </w:rPr>
              <w:t>Address</w:t>
            </w:r>
          </w:p>
        </w:tc>
      </w:tr>
      <w:tr w:rsidR="00D46991" w:rsidRPr="00D46991" w14:paraId="0DCC76D4" w14:textId="77777777" w:rsidTr="00D46991">
        <w:trPr>
          <w:trHeight w:val="290"/>
        </w:trPr>
        <w:tc>
          <w:tcPr>
            <w:tcW w:w="3396" w:type="dxa"/>
            <w:shd w:val="clear" w:color="000000" w:fill="F2F2F2"/>
            <w:vAlign w:val="bottom"/>
            <w:hideMark/>
          </w:tcPr>
          <w:p w14:paraId="799E137A"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Byrom (South Wales) Ltd T/A Rhoose Pharmacy</w:t>
            </w:r>
          </w:p>
        </w:tc>
        <w:tc>
          <w:tcPr>
            <w:tcW w:w="3106" w:type="dxa"/>
            <w:shd w:val="clear" w:color="000000" w:fill="F2F2F2"/>
            <w:vAlign w:val="bottom"/>
            <w:hideMark/>
          </w:tcPr>
          <w:p w14:paraId="405E215D"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53 Fontygary Road</w:t>
            </w:r>
          </w:p>
        </w:tc>
        <w:tc>
          <w:tcPr>
            <w:tcW w:w="1715" w:type="dxa"/>
            <w:shd w:val="clear" w:color="000000" w:fill="F2F2F2"/>
            <w:vAlign w:val="bottom"/>
            <w:hideMark/>
          </w:tcPr>
          <w:p w14:paraId="7632B1F1"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Rhoose</w:t>
            </w:r>
          </w:p>
        </w:tc>
        <w:tc>
          <w:tcPr>
            <w:tcW w:w="1375" w:type="dxa"/>
            <w:shd w:val="clear" w:color="000000" w:fill="F2F2F2"/>
            <w:vAlign w:val="bottom"/>
            <w:hideMark/>
          </w:tcPr>
          <w:p w14:paraId="11E15D7E"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CF62 3DT</w:t>
            </w:r>
          </w:p>
        </w:tc>
      </w:tr>
      <w:tr w:rsidR="00D46991" w:rsidRPr="00D46991" w14:paraId="39925975" w14:textId="77777777" w:rsidTr="00D46991">
        <w:trPr>
          <w:trHeight w:val="290"/>
        </w:trPr>
        <w:tc>
          <w:tcPr>
            <w:tcW w:w="3396" w:type="dxa"/>
            <w:shd w:val="clear" w:color="000000" w:fill="FFFFFF"/>
            <w:vAlign w:val="bottom"/>
            <w:hideMark/>
          </w:tcPr>
          <w:p w14:paraId="77F76480"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Lloyds Pharmacy Limited T/A Lloydspharmacy</w:t>
            </w:r>
          </w:p>
        </w:tc>
        <w:tc>
          <w:tcPr>
            <w:tcW w:w="3106" w:type="dxa"/>
            <w:shd w:val="clear" w:color="000000" w:fill="FFFFFF"/>
            <w:vAlign w:val="bottom"/>
            <w:hideMark/>
          </w:tcPr>
          <w:p w14:paraId="68D77942"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The Broad Shoard</w:t>
            </w:r>
          </w:p>
        </w:tc>
        <w:tc>
          <w:tcPr>
            <w:tcW w:w="1715" w:type="dxa"/>
            <w:shd w:val="clear" w:color="000000" w:fill="FFFFFF"/>
            <w:vAlign w:val="bottom"/>
            <w:hideMark/>
          </w:tcPr>
          <w:p w14:paraId="2D53D56F"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Cowbridge</w:t>
            </w:r>
          </w:p>
        </w:tc>
        <w:tc>
          <w:tcPr>
            <w:tcW w:w="1375" w:type="dxa"/>
            <w:shd w:val="clear" w:color="000000" w:fill="FFFFFF"/>
            <w:vAlign w:val="bottom"/>
            <w:hideMark/>
          </w:tcPr>
          <w:p w14:paraId="042FD1DA"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CF71 7DA</w:t>
            </w:r>
          </w:p>
        </w:tc>
      </w:tr>
      <w:tr w:rsidR="00D46991" w:rsidRPr="00D46991" w14:paraId="3DC66A06" w14:textId="77777777" w:rsidTr="00D46991">
        <w:trPr>
          <w:trHeight w:val="290"/>
        </w:trPr>
        <w:tc>
          <w:tcPr>
            <w:tcW w:w="3396" w:type="dxa"/>
            <w:shd w:val="clear" w:color="000000" w:fill="F2F2F2"/>
            <w:vAlign w:val="bottom"/>
            <w:hideMark/>
          </w:tcPr>
          <w:p w14:paraId="3E7EBF5C"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National Co-Operative Chemists Ltd T/A The Co-operative Pharmacy</w:t>
            </w:r>
          </w:p>
        </w:tc>
        <w:tc>
          <w:tcPr>
            <w:tcW w:w="3106" w:type="dxa"/>
            <w:shd w:val="clear" w:color="000000" w:fill="F2F2F2"/>
            <w:vAlign w:val="bottom"/>
            <w:hideMark/>
          </w:tcPr>
          <w:p w14:paraId="1F800ECE"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5 Boverton Road</w:t>
            </w:r>
          </w:p>
        </w:tc>
        <w:tc>
          <w:tcPr>
            <w:tcW w:w="1715" w:type="dxa"/>
            <w:shd w:val="clear" w:color="000000" w:fill="F2F2F2"/>
            <w:vAlign w:val="bottom"/>
            <w:hideMark/>
          </w:tcPr>
          <w:p w14:paraId="0EC4BB46"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Llantwit Major</w:t>
            </w:r>
          </w:p>
        </w:tc>
        <w:tc>
          <w:tcPr>
            <w:tcW w:w="1375" w:type="dxa"/>
            <w:shd w:val="clear" w:color="000000" w:fill="F2F2F2"/>
            <w:vAlign w:val="bottom"/>
            <w:hideMark/>
          </w:tcPr>
          <w:p w14:paraId="2C511604"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CF61 1TX</w:t>
            </w:r>
          </w:p>
        </w:tc>
      </w:tr>
      <w:tr w:rsidR="00D46991" w:rsidRPr="00D46991" w14:paraId="66809183" w14:textId="77777777" w:rsidTr="00D46991">
        <w:trPr>
          <w:trHeight w:val="290"/>
        </w:trPr>
        <w:tc>
          <w:tcPr>
            <w:tcW w:w="3396" w:type="dxa"/>
            <w:shd w:val="clear" w:color="000000" w:fill="FFFFFF"/>
            <w:vAlign w:val="bottom"/>
            <w:hideMark/>
          </w:tcPr>
          <w:p w14:paraId="7FDE4875"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Boots UK Limited T/A Your Local Boots Pharmacy</w:t>
            </w:r>
          </w:p>
        </w:tc>
        <w:tc>
          <w:tcPr>
            <w:tcW w:w="3106" w:type="dxa"/>
            <w:shd w:val="clear" w:color="000000" w:fill="FFFFFF"/>
            <w:vAlign w:val="bottom"/>
            <w:hideMark/>
          </w:tcPr>
          <w:p w14:paraId="0D8EC05F"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7 Boverton Road</w:t>
            </w:r>
          </w:p>
        </w:tc>
        <w:tc>
          <w:tcPr>
            <w:tcW w:w="1715" w:type="dxa"/>
            <w:shd w:val="clear" w:color="000000" w:fill="FFFFFF"/>
            <w:vAlign w:val="bottom"/>
            <w:hideMark/>
          </w:tcPr>
          <w:p w14:paraId="3876A666"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Llantwit Major</w:t>
            </w:r>
          </w:p>
        </w:tc>
        <w:tc>
          <w:tcPr>
            <w:tcW w:w="1375" w:type="dxa"/>
            <w:shd w:val="clear" w:color="000000" w:fill="FFFFFF"/>
            <w:vAlign w:val="bottom"/>
            <w:hideMark/>
          </w:tcPr>
          <w:p w14:paraId="3ADA5F23"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CF61 1XZ</w:t>
            </w:r>
          </w:p>
        </w:tc>
      </w:tr>
      <w:tr w:rsidR="00D46991" w:rsidRPr="00D46991" w14:paraId="05EBA40C" w14:textId="77777777" w:rsidTr="00D46991">
        <w:trPr>
          <w:trHeight w:val="290"/>
        </w:trPr>
        <w:tc>
          <w:tcPr>
            <w:tcW w:w="3396" w:type="dxa"/>
            <w:shd w:val="clear" w:color="000000" w:fill="F2F2F2"/>
            <w:vAlign w:val="bottom"/>
            <w:hideMark/>
          </w:tcPr>
          <w:p w14:paraId="6D5B3996"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DJ &amp; RA Griffiths Ltd.,T/A St Athan Pharmacy</w:t>
            </w:r>
          </w:p>
        </w:tc>
        <w:tc>
          <w:tcPr>
            <w:tcW w:w="3106" w:type="dxa"/>
            <w:shd w:val="clear" w:color="000000" w:fill="F2F2F2"/>
            <w:vAlign w:val="bottom"/>
            <w:hideMark/>
          </w:tcPr>
          <w:p w14:paraId="5FBD1804"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The Square</w:t>
            </w:r>
          </w:p>
        </w:tc>
        <w:tc>
          <w:tcPr>
            <w:tcW w:w="1715" w:type="dxa"/>
            <w:shd w:val="clear" w:color="000000" w:fill="F2F2F2"/>
            <w:vAlign w:val="bottom"/>
            <w:hideMark/>
          </w:tcPr>
          <w:p w14:paraId="744F3A46"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St Athan</w:t>
            </w:r>
          </w:p>
        </w:tc>
        <w:tc>
          <w:tcPr>
            <w:tcW w:w="1375" w:type="dxa"/>
            <w:shd w:val="clear" w:color="000000" w:fill="F2F2F2"/>
            <w:vAlign w:val="bottom"/>
            <w:hideMark/>
          </w:tcPr>
          <w:p w14:paraId="1E7B940E"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CF62 4PF</w:t>
            </w:r>
          </w:p>
        </w:tc>
      </w:tr>
      <w:tr w:rsidR="00D46991" w:rsidRPr="00D46991" w14:paraId="30567DFE" w14:textId="77777777" w:rsidTr="00D46991">
        <w:trPr>
          <w:trHeight w:val="290"/>
        </w:trPr>
        <w:tc>
          <w:tcPr>
            <w:tcW w:w="3396" w:type="dxa"/>
            <w:shd w:val="clear" w:color="000000" w:fill="FFFFFF"/>
            <w:vAlign w:val="bottom"/>
            <w:hideMark/>
          </w:tcPr>
          <w:p w14:paraId="3C01145C"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Sylvia Williams</w:t>
            </w:r>
          </w:p>
        </w:tc>
        <w:tc>
          <w:tcPr>
            <w:tcW w:w="3106" w:type="dxa"/>
            <w:shd w:val="clear" w:color="000000" w:fill="FFFFFF"/>
            <w:vAlign w:val="bottom"/>
            <w:hideMark/>
          </w:tcPr>
          <w:p w14:paraId="1076E983"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34 High Street</w:t>
            </w:r>
          </w:p>
        </w:tc>
        <w:tc>
          <w:tcPr>
            <w:tcW w:w="1715" w:type="dxa"/>
            <w:shd w:val="clear" w:color="000000" w:fill="FFFFFF"/>
            <w:vAlign w:val="bottom"/>
            <w:hideMark/>
          </w:tcPr>
          <w:p w14:paraId="3CE90322"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Cowbridge</w:t>
            </w:r>
          </w:p>
        </w:tc>
        <w:tc>
          <w:tcPr>
            <w:tcW w:w="1375" w:type="dxa"/>
            <w:shd w:val="clear" w:color="000000" w:fill="FFFFFF"/>
            <w:vAlign w:val="bottom"/>
            <w:hideMark/>
          </w:tcPr>
          <w:p w14:paraId="522A0033" w14:textId="77777777" w:rsidR="00D46991" w:rsidRPr="00D568B6" w:rsidRDefault="00D46991" w:rsidP="00DC54F7">
            <w:pPr>
              <w:spacing w:after="0" w:line="240" w:lineRule="auto"/>
              <w:jc w:val="both"/>
              <w:rPr>
                <w:rFonts w:ascii="Arial" w:eastAsia="Times New Roman" w:hAnsi="Arial" w:cs="Arial"/>
                <w:lang w:eastAsia="en-GB"/>
              </w:rPr>
            </w:pPr>
            <w:r w:rsidRPr="00D568B6">
              <w:rPr>
                <w:rFonts w:ascii="Arial" w:eastAsia="Times New Roman" w:hAnsi="Arial" w:cs="Arial"/>
                <w:lang w:eastAsia="en-GB"/>
              </w:rPr>
              <w:t>CF71 7AG</w:t>
            </w:r>
          </w:p>
        </w:tc>
      </w:tr>
    </w:tbl>
    <w:p w14:paraId="3D2926F8" w14:textId="77777777" w:rsidR="00004DAD" w:rsidRDefault="00004DAD" w:rsidP="00DC54F7">
      <w:pPr>
        <w:spacing w:after="0" w:line="240" w:lineRule="auto"/>
        <w:jc w:val="both"/>
        <w:rPr>
          <w:rFonts w:ascii="Arial" w:hAnsi="Arial" w:cs="Arial"/>
          <w:bCs/>
          <w:lang w:val="en-US"/>
        </w:rPr>
      </w:pPr>
    </w:p>
    <w:p w14:paraId="2DB25147" w14:textId="768EEBB4" w:rsidR="00AC47AF" w:rsidRPr="00D568B6" w:rsidRDefault="00AC47AF" w:rsidP="00DC54F7">
      <w:pPr>
        <w:spacing w:after="0" w:line="240" w:lineRule="auto"/>
        <w:jc w:val="both"/>
        <w:rPr>
          <w:rFonts w:ascii="Arial" w:hAnsi="Arial" w:cs="Arial"/>
          <w:bCs/>
          <w:sz w:val="24"/>
          <w:szCs w:val="24"/>
          <w:lang w:val="en-US"/>
        </w:rPr>
      </w:pPr>
      <w:r w:rsidRPr="00D568B6">
        <w:rPr>
          <w:rFonts w:ascii="Arial" w:hAnsi="Arial" w:cs="Arial"/>
          <w:bCs/>
          <w:sz w:val="24"/>
          <w:szCs w:val="24"/>
          <w:lang w:val="en-US"/>
        </w:rPr>
        <w:t xml:space="preserve">In 2019 to 2020, </w:t>
      </w:r>
      <w:r w:rsidR="00CA5994" w:rsidRPr="00D568B6">
        <w:rPr>
          <w:rFonts w:ascii="Arial" w:hAnsi="Arial" w:cs="Arial"/>
          <w:bCs/>
          <w:sz w:val="24"/>
          <w:szCs w:val="24"/>
          <w:lang w:val="en-US"/>
        </w:rPr>
        <w:t>95.4</w:t>
      </w:r>
      <w:r w:rsidRPr="00D568B6">
        <w:rPr>
          <w:rFonts w:ascii="Arial" w:hAnsi="Arial" w:cs="Arial"/>
          <w:bCs/>
          <w:sz w:val="24"/>
          <w:szCs w:val="24"/>
          <w:lang w:val="en-US"/>
        </w:rPr>
        <w:t xml:space="preserve">% of items on prescriptions written by the </w:t>
      </w:r>
      <w:r w:rsidR="005A5C4B" w:rsidRPr="00D568B6">
        <w:rPr>
          <w:rFonts w:ascii="Arial" w:hAnsi="Arial" w:cs="Arial"/>
          <w:bCs/>
          <w:sz w:val="24"/>
          <w:szCs w:val="24"/>
          <w:lang w:val="en-US"/>
        </w:rPr>
        <w:t>three</w:t>
      </w:r>
      <w:r w:rsidRPr="00D568B6">
        <w:rPr>
          <w:rFonts w:ascii="Arial" w:hAnsi="Arial" w:cs="Arial"/>
          <w:bCs/>
          <w:sz w:val="24"/>
          <w:szCs w:val="24"/>
          <w:lang w:val="en-US"/>
        </w:rPr>
        <w:t xml:space="preserve"> GP practices in </w:t>
      </w:r>
      <w:r w:rsidR="005A5C4B" w:rsidRPr="00D568B6">
        <w:rPr>
          <w:rFonts w:ascii="Arial" w:hAnsi="Arial" w:cs="Arial"/>
          <w:bCs/>
          <w:sz w:val="24"/>
          <w:szCs w:val="24"/>
          <w:lang w:val="en-US"/>
        </w:rPr>
        <w:t>Western</w:t>
      </w:r>
      <w:r w:rsidR="001F624A" w:rsidRPr="00D568B6">
        <w:rPr>
          <w:rFonts w:ascii="Arial" w:hAnsi="Arial" w:cs="Arial"/>
          <w:bCs/>
          <w:sz w:val="24"/>
          <w:szCs w:val="24"/>
          <w:lang w:val="en-US"/>
        </w:rPr>
        <w:t xml:space="preserve"> Vale</w:t>
      </w:r>
      <w:r w:rsidRPr="00D568B6">
        <w:rPr>
          <w:rFonts w:ascii="Arial" w:hAnsi="Arial" w:cs="Arial"/>
          <w:bCs/>
          <w:sz w:val="24"/>
          <w:szCs w:val="24"/>
          <w:lang w:val="en-US"/>
        </w:rPr>
        <w:t xml:space="preserve"> cluster were dispensed by one of the pharmacies within the cluster</w:t>
      </w:r>
      <w:r w:rsidR="00525F08" w:rsidRPr="00D568B6">
        <w:rPr>
          <w:rFonts w:ascii="Arial" w:hAnsi="Arial" w:cs="Arial"/>
          <w:bCs/>
          <w:sz w:val="24"/>
          <w:szCs w:val="24"/>
          <w:lang w:val="en-US"/>
        </w:rPr>
        <w:t xml:space="preserve">. The one dispensing </w:t>
      </w:r>
      <w:r w:rsidR="0099393B" w:rsidRPr="00D568B6">
        <w:rPr>
          <w:rFonts w:ascii="Arial" w:hAnsi="Arial" w:cs="Arial"/>
          <w:bCs/>
          <w:sz w:val="24"/>
          <w:szCs w:val="24"/>
          <w:lang w:val="en-US"/>
        </w:rPr>
        <w:t xml:space="preserve">doctor practice in the cluster dispensed and personally administered </w:t>
      </w:r>
      <w:r w:rsidR="00526D23" w:rsidRPr="00D568B6">
        <w:rPr>
          <w:rFonts w:ascii="Arial" w:hAnsi="Arial" w:cs="Arial"/>
          <w:bCs/>
          <w:sz w:val="24"/>
          <w:szCs w:val="24"/>
          <w:lang w:val="en-US"/>
        </w:rPr>
        <w:t>0.5%</w:t>
      </w:r>
      <w:r w:rsidRPr="00D568B6">
        <w:rPr>
          <w:rFonts w:ascii="Arial" w:hAnsi="Arial" w:cs="Arial"/>
          <w:bCs/>
          <w:sz w:val="24"/>
          <w:szCs w:val="24"/>
          <w:lang w:val="en-US"/>
        </w:rPr>
        <w:t xml:space="preserve"> and </w:t>
      </w:r>
      <w:r w:rsidR="00526D23" w:rsidRPr="00D568B6">
        <w:rPr>
          <w:rFonts w:ascii="Arial" w:hAnsi="Arial" w:cs="Arial"/>
          <w:bCs/>
          <w:sz w:val="24"/>
          <w:szCs w:val="24"/>
          <w:lang w:val="en-US"/>
        </w:rPr>
        <w:t xml:space="preserve">the non-dispensing practices </w:t>
      </w:r>
      <w:r w:rsidRPr="00D568B6">
        <w:rPr>
          <w:rFonts w:ascii="Arial" w:hAnsi="Arial" w:cs="Arial"/>
          <w:bCs/>
          <w:sz w:val="24"/>
          <w:szCs w:val="24"/>
          <w:lang w:val="en-US"/>
        </w:rPr>
        <w:t xml:space="preserve">personally administered </w:t>
      </w:r>
      <w:r w:rsidR="00526D23" w:rsidRPr="00D568B6">
        <w:rPr>
          <w:rFonts w:ascii="Arial" w:hAnsi="Arial" w:cs="Arial"/>
          <w:bCs/>
          <w:sz w:val="24"/>
          <w:szCs w:val="24"/>
          <w:lang w:val="en-US"/>
        </w:rPr>
        <w:t xml:space="preserve">1.7% </w:t>
      </w:r>
      <w:r w:rsidR="00043D1E" w:rsidRPr="00D568B6">
        <w:rPr>
          <w:rFonts w:ascii="Arial" w:hAnsi="Arial" w:cs="Arial"/>
          <w:bCs/>
          <w:sz w:val="24"/>
          <w:szCs w:val="24"/>
          <w:lang w:val="en-US"/>
        </w:rPr>
        <w:t xml:space="preserve">of </w:t>
      </w:r>
      <w:r w:rsidRPr="00D568B6">
        <w:rPr>
          <w:rFonts w:ascii="Arial" w:hAnsi="Arial" w:cs="Arial"/>
          <w:bCs/>
          <w:sz w:val="24"/>
          <w:szCs w:val="24"/>
          <w:lang w:val="en-US"/>
        </w:rPr>
        <w:t>items.</w:t>
      </w:r>
    </w:p>
    <w:p w14:paraId="04201409" w14:textId="77777777" w:rsidR="00EB6754" w:rsidRPr="00D568B6" w:rsidRDefault="00EB6754" w:rsidP="00DC54F7">
      <w:pPr>
        <w:spacing w:after="0" w:line="240" w:lineRule="auto"/>
        <w:jc w:val="both"/>
        <w:rPr>
          <w:rFonts w:ascii="Arial" w:hAnsi="Arial" w:cs="Arial"/>
          <w:bCs/>
          <w:sz w:val="24"/>
          <w:szCs w:val="24"/>
          <w:lang w:val="en-US"/>
        </w:rPr>
      </w:pPr>
    </w:p>
    <w:p w14:paraId="5A4A9B5C" w14:textId="5020A740" w:rsidR="00EB6754" w:rsidRPr="00D568B6" w:rsidRDefault="00EB6754" w:rsidP="00DC54F7">
      <w:pPr>
        <w:spacing w:after="0" w:line="240" w:lineRule="auto"/>
        <w:jc w:val="both"/>
        <w:rPr>
          <w:rFonts w:ascii="Arial" w:hAnsi="Arial" w:cs="Arial"/>
          <w:bCs/>
          <w:sz w:val="24"/>
          <w:szCs w:val="24"/>
          <w:lang w:val="en-US"/>
        </w:rPr>
      </w:pPr>
      <w:r w:rsidRPr="00D568B6">
        <w:rPr>
          <w:rFonts w:ascii="Arial" w:hAnsi="Arial" w:cs="Arial"/>
          <w:bCs/>
          <w:sz w:val="24"/>
          <w:szCs w:val="24"/>
          <w:lang w:val="en-US"/>
        </w:rPr>
        <w:t xml:space="preserve">The pharmacies </w:t>
      </w:r>
      <w:r w:rsidR="00B15EEE" w:rsidRPr="00D568B6">
        <w:rPr>
          <w:rFonts w:ascii="Arial" w:hAnsi="Arial" w:cs="Arial"/>
          <w:bCs/>
          <w:sz w:val="24"/>
          <w:szCs w:val="24"/>
          <w:lang w:val="en-US"/>
        </w:rPr>
        <w:t xml:space="preserve">and dispensing doctor practice </w:t>
      </w:r>
      <w:r w:rsidRPr="00D568B6">
        <w:rPr>
          <w:rFonts w:ascii="Arial" w:hAnsi="Arial" w:cs="Arial"/>
          <w:bCs/>
          <w:sz w:val="24"/>
          <w:szCs w:val="24"/>
          <w:lang w:val="en-US"/>
        </w:rPr>
        <w:t xml:space="preserve">are located in areas of greater population density as shown by the darker shaded areas in the map below. </w:t>
      </w:r>
    </w:p>
    <w:p w14:paraId="7B36F7CD" w14:textId="77777777" w:rsidR="00EB6754" w:rsidRPr="00D568B6" w:rsidRDefault="00EB6754" w:rsidP="00DC54F7">
      <w:pPr>
        <w:spacing w:after="0" w:line="240" w:lineRule="auto"/>
        <w:jc w:val="both"/>
        <w:rPr>
          <w:rFonts w:ascii="Arial" w:hAnsi="Arial" w:cs="Arial"/>
          <w:b/>
          <w:sz w:val="24"/>
          <w:szCs w:val="24"/>
          <w:lang w:val="en-US"/>
        </w:rPr>
      </w:pPr>
    </w:p>
    <w:p w14:paraId="680E8297" w14:textId="77777777" w:rsidR="00E0196D" w:rsidRDefault="00E0196D" w:rsidP="00DC54F7">
      <w:pPr>
        <w:spacing w:after="0" w:line="240" w:lineRule="auto"/>
        <w:jc w:val="both"/>
        <w:rPr>
          <w:rFonts w:ascii="Arial" w:hAnsi="Arial" w:cs="Arial"/>
          <w:b/>
          <w:lang w:val="en-US"/>
        </w:rPr>
      </w:pPr>
    </w:p>
    <w:p w14:paraId="24BB28DC" w14:textId="77777777" w:rsidR="00E0196D" w:rsidRDefault="00E0196D" w:rsidP="00DC54F7">
      <w:pPr>
        <w:spacing w:after="0" w:line="240" w:lineRule="auto"/>
        <w:jc w:val="both"/>
        <w:rPr>
          <w:rFonts w:ascii="Arial" w:hAnsi="Arial" w:cs="Arial"/>
          <w:b/>
          <w:lang w:val="en-US"/>
        </w:rPr>
      </w:pPr>
    </w:p>
    <w:p w14:paraId="0EE97E6F" w14:textId="1197DF98" w:rsidR="00D82C04" w:rsidRPr="00E0196D" w:rsidRDefault="00EB6754" w:rsidP="00DC54F7">
      <w:pPr>
        <w:spacing w:after="0" w:line="240" w:lineRule="auto"/>
        <w:jc w:val="both"/>
        <w:rPr>
          <w:rFonts w:ascii="Arial" w:hAnsi="Arial" w:cs="Arial"/>
          <w:b/>
          <w:sz w:val="24"/>
          <w:szCs w:val="24"/>
          <w:lang w:val="en-US"/>
        </w:rPr>
      </w:pPr>
      <w:r w:rsidRPr="00E0196D">
        <w:rPr>
          <w:rFonts w:ascii="Arial" w:hAnsi="Arial" w:cs="Arial"/>
          <w:b/>
          <w:sz w:val="24"/>
          <w:szCs w:val="24"/>
          <w:lang w:val="en-US"/>
        </w:rPr>
        <w:lastRenderedPageBreak/>
        <w:t>Map 16.</w:t>
      </w:r>
      <w:r w:rsidR="00310644">
        <w:rPr>
          <w:rFonts w:ascii="Arial" w:hAnsi="Arial" w:cs="Arial"/>
          <w:b/>
          <w:sz w:val="24"/>
          <w:szCs w:val="24"/>
          <w:lang w:val="en-US"/>
        </w:rPr>
        <w:t>2</w:t>
      </w:r>
      <w:r w:rsidRPr="00E0196D">
        <w:rPr>
          <w:rFonts w:ascii="Arial" w:hAnsi="Arial" w:cs="Arial"/>
          <w:b/>
          <w:sz w:val="24"/>
          <w:szCs w:val="24"/>
          <w:lang w:val="en-US"/>
        </w:rPr>
        <w:t xml:space="preserve">: Location of </w:t>
      </w:r>
      <w:r w:rsidR="0067503A" w:rsidRPr="00E0196D">
        <w:rPr>
          <w:rFonts w:ascii="Arial" w:hAnsi="Arial" w:cs="Arial"/>
          <w:b/>
          <w:sz w:val="24"/>
          <w:szCs w:val="24"/>
          <w:lang w:val="en-US"/>
        </w:rPr>
        <w:t xml:space="preserve">pharmacy </w:t>
      </w:r>
      <w:r w:rsidR="00526D23" w:rsidRPr="00E0196D">
        <w:rPr>
          <w:rFonts w:ascii="Arial" w:hAnsi="Arial" w:cs="Arial"/>
          <w:b/>
          <w:sz w:val="24"/>
          <w:szCs w:val="24"/>
          <w:lang w:val="en-US"/>
        </w:rPr>
        <w:t xml:space="preserve">and dispensing doctor </w:t>
      </w:r>
      <w:r w:rsidR="0067503A" w:rsidRPr="00E0196D">
        <w:rPr>
          <w:rFonts w:ascii="Arial" w:hAnsi="Arial" w:cs="Arial"/>
          <w:b/>
          <w:sz w:val="24"/>
          <w:szCs w:val="24"/>
          <w:lang w:val="en-US"/>
        </w:rPr>
        <w:t>premises</w:t>
      </w:r>
      <w:r w:rsidRPr="00E0196D">
        <w:rPr>
          <w:rFonts w:ascii="Arial" w:hAnsi="Arial" w:cs="Arial"/>
          <w:b/>
          <w:sz w:val="24"/>
          <w:szCs w:val="24"/>
          <w:lang w:val="en-US"/>
        </w:rPr>
        <w:t xml:space="preserve"> in </w:t>
      </w:r>
      <w:r w:rsidR="00526D23" w:rsidRPr="00E0196D">
        <w:rPr>
          <w:rFonts w:ascii="Arial" w:hAnsi="Arial" w:cs="Arial"/>
          <w:b/>
          <w:sz w:val="24"/>
          <w:szCs w:val="24"/>
          <w:lang w:val="en-US"/>
        </w:rPr>
        <w:t xml:space="preserve">the </w:t>
      </w:r>
      <w:r w:rsidRPr="00E0196D">
        <w:rPr>
          <w:rFonts w:ascii="Arial" w:hAnsi="Arial" w:cs="Arial"/>
          <w:b/>
          <w:sz w:val="24"/>
          <w:szCs w:val="24"/>
          <w:lang w:val="en-US"/>
        </w:rPr>
        <w:t>cluster compared to population density</w:t>
      </w:r>
    </w:p>
    <w:p w14:paraId="54BD9BFC" w14:textId="67504407" w:rsidR="00D82C04" w:rsidRPr="006E6035" w:rsidRDefault="00D82C04" w:rsidP="00DC54F7">
      <w:pPr>
        <w:spacing w:after="0" w:line="240" w:lineRule="auto"/>
        <w:jc w:val="both"/>
        <w:rPr>
          <w:rFonts w:ascii="Arial" w:hAnsi="Arial" w:cs="Arial"/>
          <w:b/>
          <w:lang w:val="en-US"/>
        </w:rPr>
      </w:pPr>
      <w:r>
        <w:rPr>
          <w:noProof/>
          <w:lang w:eastAsia="en-GB"/>
        </w:rPr>
        <w:drawing>
          <wp:inline distT="0" distB="0" distL="0" distR="0" wp14:anchorId="194AD976" wp14:editId="2A3A3888">
            <wp:extent cx="5731510" cy="4066540"/>
            <wp:effectExtent l="0" t="0" r="2540" b="0"/>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731510" cy="4066540"/>
                    </a:xfrm>
                    <a:prstGeom prst="rect">
                      <a:avLst/>
                    </a:prstGeom>
                    <a:noFill/>
                    <a:ln>
                      <a:noFill/>
                    </a:ln>
                  </pic:spPr>
                </pic:pic>
              </a:graphicData>
            </a:graphic>
          </wp:inline>
        </w:drawing>
      </w:r>
    </w:p>
    <w:p w14:paraId="142BD664" w14:textId="4AED51D2" w:rsidR="00EB6754" w:rsidRPr="006E6035" w:rsidRDefault="00EB6754" w:rsidP="00DC54F7">
      <w:pPr>
        <w:spacing w:after="0" w:line="240" w:lineRule="auto"/>
        <w:jc w:val="both"/>
        <w:rPr>
          <w:rFonts w:ascii="Arial" w:hAnsi="Arial" w:cs="Arial"/>
          <w:b/>
          <w:lang w:val="en-US"/>
        </w:rPr>
      </w:pPr>
    </w:p>
    <w:p w14:paraId="70074DB3" w14:textId="40BF14E4" w:rsidR="00EB6754" w:rsidRPr="00310644" w:rsidRDefault="00EB6754" w:rsidP="00DC54F7">
      <w:pPr>
        <w:spacing w:after="0" w:line="240" w:lineRule="auto"/>
        <w:contextualSpacing/>
        <w:jc w:val="both"/>
        <w:rPr>
          <w:rFonts w:ascii="Arial" w:hAnsi="Arial" w:cs="Arial"/>
          <w:sz w:val="24"/>
          <w:szCs w:val="24"/>
        </w:rPr>
      </w:pPr>
      <w:r w:rsidRPr="00310644">
        <w:rPr>
          <w:rFonts w:ascii="Arial" w:hAnsi="Arial" w:cs="Arial"/>
          <w:sz w:val="24"/>
          <w:szCs w:val="24"/>
        </w:rPr>
        <w:t xml:space="preserve">All residents of the cluster can access one of the pharmacies </w:t>
      </w:r>
      <w:r w:rsidR="007D04C5" w:rsidRPr="00310644">
        <w:rPr>
          <w:rFonts w:ascii="Arial" w:hAnsi="Arial" w:cs="Arial"/>
          <w:sz w:val="24"/>
          <w:szCs w:val="24"/>
        </w:rPr>
        <w:t xml:space="preserve">and </w:t>
      </w:r>
      <w:r w:rsidR="00B23209" w:rsidRPr="00310644">
        <w:rPr>
          <w:rFonts w:ascii="Arial" w:hAnsi="Arial" w:cs="Arial"/>
          <w:sz w:val="24"/>
          <w:szCs w:val="24"/>
        </w:rPr>
        <w:t xml:space="preserve">the </w:t>
      </w:r>
      <w:r w:rsidR="007D04C5" w:rsidRPr="00310644">
        <w:rPr>
          <w:rFonts w:ascii="Arial" w:hAnsi="Arial" w:cs="Arial"/>
          <w:sz w:val="24"/>
          <w:szCs w:val="24"/>
        </w:rPr>
        <w:t>dispensing doctor p</w:t>
      </w:r>
      <w:r w:rsidR="00007BD3" w:rsidRPr="00310644">
        <w:rPr>
          <w:rFonts w:ascii="Arial" w:hAnsi="Arial" w:cs="Arial"/>
          <w:sz w:val="24"/>
          <w:szCs w:val="24"/>
        </w:rPr>
        <w:t xml:space="preserve">ractice </w:t>
      </w:r>
      <w:r w:rsidRPr="00310644">
        <w:rPr>
          <w:rFonts w:ascii="Arial" w:hAnsi="Arial" w:cs="Arial"/>
          <w:sz w:val="24"/>
          <w:szCs w:val="24"/>
        </w:rPr>
        <w:t>by car within 20 minutes. The majority can access a pharmacy within 10 minutes, as shown in map 16.</w:t>
      </w:r>
      <w:r w:rsidR="00310644">
        <w:rPr>
          <w:rFonts w:ascii="Arial" w:hAnsi="Arial" w:cs="Arial"/>
          <w:sz w:val="24"/>
          <w:szCs w:val="24"/>
        </w:rPr>
        <w:t>3</w:t>
      </w:r>
      <w:r w:rsidRPr="00310644">
        <w:rPr>
          <w:rFonts w:ascii="Arial" w:hAnsi="Arial" w:cs="Arial"/>
          <w:sz w:val="24"/>
          <w:szCs w:val="24"/>
        </w:rPr>
        <w:t>.</w:t>
      </w:r>
      <w:r w:rsidR="00422D12">
        <w:rPr>
          <w:rFonts w:ascii="Arial" w:hAnsi="Arial" w:cs="Arial"/>
          <w:sz w:val="24"/>
          <w:szCs w:val="24"/>
        </w:rPr>
        <w:t xml:space="preserve"> </w:t>
      </w:r>
    </w:p>
    <w:p w14:paraId="633CC82F" w14:textId="77777777" w:rsidR="00EB6754" w:rsidRPr="006E6035" w:rsidRDefault="00EB6754" w:rsidP="00DC54F7">
      <w:pPr>
        <w:spacing w:after="0" w:line="240" w:lineRule="auto"/>
        <w:contextualSpacing/>
        <w:jc w:val="both"/>
        <w:rPr>
          <w:rFonts w:ascii="Arial" w:hAnsi="Arial" w:cs="Arial"/>
          <w:highlight w:val="yellow"/>
        </w:rPr>
      </w:pPr>
    </w:p>
    <w:p w14:paraId="2DD88C2A" w14:textId="4B90053D" w:rsidR="00EB6754" w:rsidRPr="00310644" w:rsidRDefault="00EB6754" w:rsidP="00DC54F7">
      <w:pPr>
        <w:spacing w:after="0" w:line="240" w:lineRule="auto"/>
        <w:contextualSpacing/>
        <w:jc w:val="both"/>
        <w:rPr>
          <w:rFonts w:ascii="Arial" w:hAnsi="Arial" w:cs="Arial"/>
          <w:b/>
          <w:bCs/>
          <w:sz w:val="24"/>
          <w:szCs w:val="24"/>
        </w:rPr>
      </w:pPr>
      <w:r w:rsidRPr="00310644">
        <w:rPr>
          <w:rFonts w:ascii="Arial" w:hAnsi="Arial" w:cs="Arial"/>
          <w:b/>
          <w:bCs/>
          <w:sz w:val="24"/>
          <w:szCs w:val="24"/>
        </w:rPr>
        <w:t xml:space="preserve">Map </w:t>
      </w:r>
      <w:r w:rsidR="002B1A06" w:rsidRPr="00310644">
        <w:rPr>
          <w:rFonts w:ascii="Arial" w:hAnsi="Arial" w:cs="Arial"/>
          <w:b/>
          <w:bCs/>
          <w:sz w:val="24"/>
          <w:szCs w:val="24"/>
        </w:rPr>
        <w:t>16</w:t>
      </w:r>
      <w:r w:rsidRPr="00310644">
        <w:rPr>
          <w:rFonts w:ascii="Arial" w:hAnsi="Arial" w:cs="Arial"/>
          <w:b/>
          <w:bCs/>
          <w:sz w:val="24"/>
          <w:szCs w:val="24"/>
        </w:rPr>
        <w:t>.</w:t>
      </w:r>
      <w:r w:rsidR="00FE6A39" w:rsidRPr="00310644">
        <w:rPr>
          <w:rFonts w:ascii="Arial" w:hAnsi="Arial" w:cs="Arial"/>
          <w:b/>
          <w:bCs/>
          <w:sz w:val="24"/>
          <w:szCs w:val="24"/>
        </w:rPr>
        <w:t>3</w:t>
      </w:r>
      <w:r w:rsidRPr="00310644">
        <w:rPr>
          <w:rFonts w:ascii="Arial" w:hAnsi="Arial" w:cs="Arial"/>
          <w:b/>
          <w:bCs/>
          <w:sz w:val="24"/>
          <w:szCs w:val="24"/>
        </w:rPr>
        <w:t>: Access to pharmacies in the cluster</w:t>
      </w:r>
    </w:p>
    <w:p w14:paraId="1CEF5B89" w14:textId="36FC56DF" w:rsidR="00256383" w:rsidRPr="006E6035" w:rsidRDefault="009B5A30" w:rsidP="00DC54F7">
      <w:pPr>
        <w:spacing w:after="0" w:line="240" w:lineRule="auto"/>
        <w:contextualSpacing/>
        <w:jc w:val="both"/>
        <w:rPr>
          <w:rFonts w:ascii="Arial" w:hAnsi="Arial" w:cs="Arial"/>
          <w:b/>
          <w:bCs/>
        </w:rPr>
      </w:pPr>
      <w:r>
        <w:rPr>
          <w:noProof/>
          <w:lang w:eastAsia="en-GB"/>
        </w:rPr>
        <w:drawing>
          <wp:inline distT="0" distB="0" distL="0" distR="0" wp14:anchorId="49F9D221" wp14:editId="6973D849">
            <wp:extent cx="5729086" cy="3242930"/>
            <wp:effectExtent l="0" t="0" r="5080" b="0"/>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5802811" cy="3284662"/>
                    </a:xfrm>
                    <a:prstGeom prst="rect">
                      <a:avLst/>
                    </a:prstGeom>
                    <a:noFill/>
                    <a:ln>
                      <a:noFill/>
                    </a:ln>
                  </pic:spPr>
                </pic:pic>
              </a:graphicData>
            </a:graphic>
          </wp:inline>
        </w:drawing>
      </w:r>
    </w:p>
    <w:p w14:paraId="6EC9160B" w14:textId="77777777" w:rsidR="00EB6754" w:rsidRPr="00310644" w:rsidRDefault="00EB6754" w:rsidP="00DC54F7">
      <w:pPr>
        <w:spacing w:after="0" w:line="240" w:lineRule="auto"/>
        <w:contextualSpacing/>
        <w:jc w:val="both"/>
        <w:rPr>
          <w:rFonts w:ascii="Arial" w:hAnsi="Arial" w:cs="Arial"/>
          <w:sz w:val="24"/>
          <w:szCs w:val="24"/>
        </w:rPr>
      </w:pPr>
      <w:r w:rsidRPr="00310644">
        <w:rPr>
          <w:rFonts w:ascii="Arial" w:hAnsi="Arial" w:cs="Arial"/>
          <w:sz w:val="24"/>
          <w:szCs w:val="24"/>
        </w:rPr>
        <w:lastRenderedPageBreak/>
        <w:t>Looking at the opening hours for the pharmacies:</w:t>
      </w:r>
    </w:p>
    <w:p w14:paraId="335FA493" w14:textId="77777777" w:rsidR="00EB6754" w:rsidRPr="00310644" w:rsidRDefault="00EB6754" w:rsidP="00DC54F7">
      <w:pPr>
        <w:spacing w:after="0" w:line="240" w:lineRule="auto"/>
        <w:contextualSpacing/>
        <w:jc w:val="both"/>
        <w:rPr>
          <w:rFonts w:ascii="Arial" w:hAnsi="Arial" w:cs="Arial"/>
          <w:sz w:val="24"/>
          <w:szCs w:val="24"/>
        </w:rPr>
      </w:pPr>
    </w:p>
    <w:p w14:paraId="10E6070E" w14:textId="77777777" w:rsidR="00982327" w:rsidRPr="006578F8" w:rsidRDefault="00982327" w:rsidP="00DC54F7">
      <w:pPr>
        <w:numPr>
          <w:ilvl w:val="0"/>
          <w:numId w:val="141"/>
        </w:numPr>
        <w:spacing w:after="0" w:line="240" w:lineRule="auto"/>
        <w:contextualSpacing/>
        <w:jc w:val="both"/>
        <w:rPr>
          <w:rFonts w:ascii="Arial" w:eastAsia="Calibri" w:hAnsi="Arial" w:cs="Arial"/>
          <w:sz w:val="24"/>
          <w:szCs w:val="24"/>
        </w:rPr>
      </w:pPr>
      <w:r w:rsidRPr="006578F8">
        <w:rPr>
          <w:rFonts w:ascii="Arial" w:eastAsia="Calibri" w:hAnsi="Arial" w:cs="Arial"/>
          <w:sz w:val="24"/>
          <w:szCs w:val="24"/>
        </w:rPr>
        <w:t>No pharmacies are open seven days a week</w:t>
      </w:r>
    </w:p>
    <w:p w14:paraId="63A95F21" w14:textId="4B4D9423" w:rsidR="00982327" w:rsidRPr="00224D44" w:rsidRDefault="00982327" w:rsidP="00DC54F7">
      <w:pPr>
        <w:numPr>
          <w:ilvl w:val="0"/>
          <w:numId w:val="141"/>
        </w:numPr>
        <w:spacing w:after="0" w:line="240" w:lineRule="auto"/>
        <w:contextualSpacing/>
        <w:jc w:val="both"/>
        <w:rPr>
          <w:rFonts w:ascii="Arial" w:eastAsia="Calibri" w:hAnsi="Arial" w:cs="Arial"/>
          <w:sz w:val="24"/>
          <w:szCs w:val="24"/>
        </w:rPr>
      </w:pPr>
      <w:r w:rsidRPr="00224D44">
        <w:rPr>
          <w:rFonts w:ascii="Arial" w:eastAsia="Calibri" w:hAnsi="Arial" w:cs="Arial"/>
          <w:sz w:val="24"/>
          <w:szCs w:val="24"/>
        </w:rPr>
        <w:t>Three pharmacies are open Monday to Saturday</w:t>
      </w:r>
    </w:p>
    <w:p w14:paraId="73B353EB" w14:textId="3E103357" w:rsidR="00982327" w:rsidRPr="00224D44" w:rsidRDefault="00982327" w:rsidP="00DC54F7">
      <w:pPr>
        <w:numPr>
          <w:ilvl w:val="0"/>
          <w:numId w:val="141"/>
        </w:numPr>
        <w:spacing w:after="0" w:line="240" w:lineRule="auto"/>
        <w:contextualSpacing/>
        <w:jc w:val="both"/>
        <w:rPr>
          <w:rFonts w:ascii="Arial" w:eastAsia="Calibri" w:hAnsi="Arial" w:cs="Arial"/>
          <w:sz w:val="24"/>
          <w:szCs w:val="24"/>
        </w:rPr>
      </w:pPr>
      <w:r w:rsidRPr="00224D44">
        <w:rPr>
          <w:rFonts w:ascii="Arial" w:eastAsia="Calibri" w:hAnsi="Arial" w:cs="Arial"/>
          <w:sz w:val="24"/>
          <w:szCs w:val="24"/>
        </w:rPr>
        <w:t>Three</w:t>
      </w:r>
      <w:r w:rsidRPr="00224D44">
        <w:rPr>
          <w:rFonts w:ascii="Arial" w:eastAsia="Calibri" w:hAnsi="Arial" w:cs="Arial"/>
          <w:i/>
          <w:iCs/>
          <w:sz w:val="24"/>
          <w:szCs w:val="24"/>
        </w:rPr>
        <w:t xml:space="preserve"> </w:t>
      </w:r>
      <w:r w:rsidRPr="00224D44">
        <w:rPr>
          <w:rFonts w:ascii="Arial" w:eastAsia="Calibri" w:hAnsi="Arial" w:cs="Arial"/>
          <w:sz w:val="24"/>
          <w:szCs w:val="24"/>
        </w:rPr>
        <w:t>pharmacies are open Monday to Friday and Saturday morning</w:t>
      </w:r>
    </w:p>
    <w:p w14:paraId="1583D600" w14:textId="7E8B25E6" w:rsidR="00EB6754" w:rsidRPr="00310644" w:rsidRDefault="00EB6754" w:rsidP="00DC54F7">
      <w:pPr>
        <w:spacing w:after="0" w:line="240" w:lineRule="auto"/>
        <w:ind w:left="360"/>
        <w:jc w:val="both"/>
        <w:rPr>
          <w:rFonts w:ascii="Arial" w:hAnsi="Arial" w:cs="Arial"/>
          <w:sz w:val="24"/>
          <w:szCs w:val="24"/>
          <w:highlight w:val="yellow"/>
        </w:rPr>
      </w:pPr>
    </w:p>
    <w:p w14:paraId="11F1F4F2" w14:textId="77777777" w:rsidR="008645F3" w:rsidRPr="00310644" w:rsidRDefault="008645F3" w:rsidP="00DC54F7">
      <w:pPr>
        <w:spacing w:after="0" w:line="240" w:lineRule="auto"/>
        <w:contextualSpacing/>
        <w:jc w:val="both"/>
        <w:rPr>
          <w:rFonts w:ascii="Arial" w:hAnsi="Arial" w:cs="Arial"/>
          <w:sz w:val="24"/>
          <w:szCs w:val="24"/>
        </w:rPr>
      </w:pPr>
      <w:r w:rsidRPr="00310644">
        <w:rPr>
          <w:rFonts w:ascii="Arial" w:hAnsi="Arial" w:cs="Arial"/>
          <w:sz w:val="24"/>
          <w:szCs w:val="24"/>
        </w:rPr>
        <w:t xml:space="preserve">All pharmacies must open for their core contractual hours, which are 40 hours a week. These can only be amended with approval by the health board. All additional hours or supplementary hours can be amended by the pharmacy following the provision of 90 days’ notice to the health board. Within the cluster, opening hours and closing hours range from: </w:t>
      </w:r>
    </w:p>
    <w:p w14:paraId="43B7CA8A" w14:textId="77777777" w:rsidR="00EB6754" w:rsidRPr="006E6035" w:rsidRDefault="00EB6754" w:rsidP="00DC54F7">
      <w:pPr>
        <w:spacing w:after="0" w:line="240" w:lineRule="auto"/>
        <w:contextualSpacing/>
        <w:jc w:val="both"/>
        <w:rPr>
          <w:rFonts w:ascii="Arial" w:hAnsi="Arial" w:cs="Arial"/>
        </w:rPr>
      </w:pPr>
    </w:p>
    <w:tbl>
      <w:tblPr>
        <w:tblStyle w:val="TableGrid"/>
        <w:tblW w:w="0" w:type="auto"/>
        <w:tblLook w:val="04A0" w:firstRow="1" w:lastRow="0" w:firstColumn="1" w:lastColumn="0" w:noHBand="0" w:noVBand="1"/>
      </w:tblPr>
      <w:tblGrid>
        <w:gridCol w:w="3005"/>
        <w:gridCol w:w="3005"/>
        <w:gridCol w:w="3006"/>
      </w:tblGrid>
      <w:tr w:rsidR="00EB6754" w:rsidRPr="006E6035" w14:paraId="31C07337" w14:textId="77777777" w:rsidTr="008E78E6">
        <w:tc>
          <w:tcPr>
            <w:tcW w:w="3005" w:type="dxa"/>
          </w:tcPr>
          <w:p w14:paraId="7CE1F50F" w14:textId="77777777" w:rsidR="00EB6754" w:rsidRPr="00FF5B63" w:rsidRDefault="00EB6754" w:rsidP="00DC54F7">
            <w:pPr>
              <w:contextualSpacing/>
              <w:jc w:val="both"/>
              <w:rPr>
                <w:rFonts w:ascii="Arial" w:hAnsi="Arial" w:cs="Arial"/>
                <w:b/>
                <w:bCs/>
                <w:sz w:val="24"/>
                <w:szCs w:val="24"/>
              </w:rPr>
            </w:pPr>
            <w:r w:rsidRPr="00FF5B63">
              <w:rPr>
                <w:rFonts w:ascii="Arial" w:hAnsi="Arial" w:cs="Arial"/>
                <w:b/>
                <w:bCs/>
                <w:sz w:val="24"/>
                <w:szCs w:val="24"/>
              </w:rPr>
              <w:t>Days</w:t>
            </w:r>
          </w:p>
        </w:tc>
        <w:tc>
          <w:tcPr>
            <w:tcW w:w="3005" w:type="dxa"/>
          </w:tcPr>
          <w:p w14:paraId="038333FE" w14:textId="77777777" w:rsidR="00EB6754" w:rsidRPr="00FF5B63" w:rsidRDefault="00EB6754" w:rsidP="00DC54F7">
            <w:pPr>
              <w:contextualSpacing/>
              <w:jc w:val="both"/>
              <w:rPr>
                <w:rFonts w:ascii="Arial" w:hAnsi="Arial" w:cs="Arial"/>
                <w:b/>
                <w:bCs/>
                <w:sz w:val="24"/>
                <w:szCs w:val="24"/>
              </w:rPr>
            </w:pPr>
            <w:r w:rsidRPr="00FF5B63">
              <w:rPr>
                <w:rFonts w:ascii="Arial" w:hAnsi="Arial" w:cs="Arial"/>
                <w:b/>
                <w:bCs/>
                <w:sz w:val="24"/>
                <w:szCs w:val="24"/>
              </w:rPr>
              <w:t>Opening hours range</w:t>
            </w:r>
          </w:p>
        </w:tc>
        <w:tc>
          <w:tcPr>
            <w:tcW w:w="3006" w:type="dxa"/>
          </w:tcPr>
          <w:p w14:paraId="5B6E4E58" w14:textId="77777777" w:rsidR="00EB6754" w:rsidRPr="00FF5B63" w:rsidRDefault="00EB6754" w:rsidP="00DC54F7">
            <w:pPr>
              <w:contextualSpacing/>
              <w:jc w:val="both"/>
              <w:rPr>
                <w:rFonts w:ascii="Arial" w:hAnsi="Arial" w:cs="Arial"/>
                <w:b/>
                <w:bCs/>
                <w:sz w:val="24"/>
                <w:szCs w:val="24"/>
              </w:rPr>
            </w:pPr>
            <w:r w:rsidRPr="00FF5B63">
              <w:rPr>
                <w:rFonts w:ascii="Arial" w:hAnsi="Arial" w:cs="Arial"/>
                <w:b/>
                <w:bCs/>
                <w:sz w:val="24"/>
                <w:szCs w:val="24"/>
              </w:rPr>
              <w:t>Closing hours range</w:t>
            </w:r>
          </w:p>
        </w:tc>
      </w:tr>
      <w:tr w:rsidR="00EB6754" w:rsidRPr="006E6035" w14:paraId="2308B444" w14:textId="77777777" w:rsidTr="008E78E6">
        <w:tc>
          <w:tcPr>
            <w:tcW w:w="3005" w:type="dxa"/>
          </w:tcPr>
          <w:p w14:paraId="3F10D860" w14:textId="77777777" w:rsidR="00EB6754" w:rsidRPr="00FF5B63" w:rsidRDefault="00EB6754" w:rsidP="00DC54F7">
            <w:pPr>
              <w:contextualSpacing/>
              <w:jc w:val="both"/>
              <w:rPr>
                <w:rFonts w:ascii="Arial" w:hAnsi="Arial" w:cs="Arial"/>
                <w:sz w:val="24"/>
                <w:szCs w:val="24"/>
              </w:rPr>
            </w:pPr>
            <w:r w:rsidRPr="00FF5B63">
              <w:rPr>
                <w:rFonts w:ascii="Arial" w:hAnsi="Arial" w:cs="Arial"/>
                <w:sz w:val="24"/>
                <w:szCs w:val="24"/>
              </w:rPr>
              <w:t>Monday to Friday</w:t>
            </w:r>
          </w:p>
        </w:tc>
        <w:tc>
          <w:tcPr>
            <w:tcW w:w="3005" w:type="dxa"/>
          </w:tcPr>
          <w:p w14:paraId="0449BB16" w14:textId="72327EB4" w:rsidR="00EB6754" w:rsidRPr="00FF5B63" w:rsidRDefault="00EB6754" w:rsidP="00DC54F7">
            <w:pPr>
              <w:contextualSpacing/>
              <w:jc w:val="both"/>
              <w:rPr>
                <w:rFonts w:ascii="Arial" w:hAnsi="Arial" w:cs="Arial"/>
                <w:sz w:val="24"/>
                <w:szCs w:val="24"/>
              </w:rPr>
            </w:pPr>
            <w:r w:rsidRPr="00FF5B63">
              <w:rPr>
                <w:rFonts w:ascii="Arial" w:hAnsi="Arial" w:cs="Arial"/>
                <w:sz w:val="24"/>
                <w:szCs w:val="24"/>
              </w:rPr>
              <w:t>08.</w:t>
            </w:r>
            <w:r w:rsidR="005251A9" w:rsidRPr="00FF5B63">
              <w:rPr>
                <w:rFonts w:ascii="Arial" w:hAnsi="Arial" w:cs="Arial"/>
                <w:sz w:val="24"/>
                <w:szCs w:val="24"/>
              </w:rPr>
              <w:t>3</w:t>
            </w:r>
            <w:r w:rsidRPr="00FF5B63">
              <w:rPr>
                <w:rFonts w:ascii="Arial" w:hAnsi="Arial" w:cs="Arial"/>
                <w:sz w:val="24"/>
                <w:szCs w:val="24"/>
              </w:rPr>
              <w:t>0am to 09.00am</w:t>
            </w:r>
          </w:p>
        </w:tc>
        <w:tc>
          <w:tcPr>
            <w:tcW w:w="3006" w:type="dxa"/>
          </w:tcPr>
          <w:p w14:paraId="1B9AF72A" w14:textId="473B4D90" w:rsidR="00EB6754" w:rsidRPr="00FF5B63" w:rsidRDefault="00EB6754" w:rsidP="00DC54F7">
            <w:pPr>
              <w:contextualSpacing/>
              <w:jc w:val="both"/>
              <w:rPr>
                <w:rFonts w:ascii="Arial" w:hAnsi="Arial" w:cs="Arial"/>
                <w:sz w:val="24"/>
                <w:szCs w:val="24"/>
              </w:rPr>
            </w:pPr>
            <w:r w:rsidRPr="00FF5B63">
              <w:rPr>
                <w:rFonts w:ascii="Arial" w:hAnsi="Arial" w:cs="Arial"/>
                <w:sz w:val="24"/>
                <w:szCs w:val="24"/>
              </w:rPr>
              <w:t>17.</w:t>
            </w:r>
            <w:r w:rsidR="005251A9" w:rsidRPr="00FF5B63">
              <w:rPr>
                <w:rFonts w:ascii="Arial" w:hAnsi="Arial" w:cs="Arial"/>
                <w:sz w:val="24"/>
                <w:szCs w:val="24"/>
              </w:rPr>
              <w:t>0</w:t>
            </w:r>
            <w:r w:rsidRPr="00FF5B63">
              <w:rPr>
                <w:rFonts w:ascii="Arial" w:hAnsi="Arial" w:cs="Arial"/>
                <w:sz w:val="24"/>
                <w:szCs w:val="24"/>
              </w:rPr>
              <w:t>0pm to 1</w:t>
            </w:r>
            <w:r w:rsidR="005251A9" w:rsidRPr="00FF5B63">
              <w:rPr>
                <w:rFonts w:ascii="Arial" w:hAnsi="Arial" w:cs="Arial"/>
                <w:sz w:val="24"/>
                <w:szCs w:val="24"/>
              </w:rPr>
              <w:t>8</w:t>
            </w:r>
            <w:r w:rsidRPr="00FF5B63">
              <w:rPr>
                <w:rFonts w:ascii="Arial" w:hAnsi="Arial" w:cs="Arial"/>
                <w:sz w:val="24"/>
                <w:szCs w:val="24"/>
              </w:rPr>
              <w:t>.30pm</w:t>
            </w:r>
          </w:p>
        </w:tc>
      </w:tr>
      <w:tr w:rsidR="00EB6754" w:rsidRPr="006E6035" w14:paraId="0ED12B40" w14:textId="77777777" w:rsidTr="008E78E6">
        <w:tc>
          <w:tcPr>
            <w:tcW w:w="3005" w:type="dxa"/>
          </w:tcPr>
          <w:p w14:paraId="1FF85C69" w14:textId="77777777" w:rsidR="00EB6754" w:rsidRPr="00FF5B63" w:rsidRDefault="00EB6754" w:rsidP="00DC54F7">
            <w:pPr>
              <w:contextualSpacing/>
              <w:jc w:val="both"/>
              <w:rPr>
                <w:rFonts w:ascii="Arial" w:hAnsi="Arial" w:cs="Arial"/>
                <w:sz w:val="24"/>
                <w:szCs w:val="24"/>
              </w:rPr>
            </w:pPr>
            <w:r w:rsidRPr="00FF5B63">
              <w:rPr>
                <w:rFonts w:ascii="Arial" w:hAnsi="Arial" w:cs="Arial"/>
                <w:sz w:val="24"/>
                <w:szCs w:val="24"/>
              </w:rPr>
              <w:t>Saturday</w:t>
            </w:r>
          </w:p>
        </w:tc>
        <w:tc>
          <w:tcPr>
            <w:tcW w:w="3005" w:type="dxa"/>
          </w:tcPr>
          <w:p w14:paraId="15FDFB78" w14:textId="18C9D688" w:rsidR="00EB6754" w:rsidRPr="00FF5B63" w:rsidRDefault="005251A9" w:rsidP="00DC54F7">
            <w:pPr>
              <w:contextualSpacing/>
              <w:jc w:val="both"/>
              <w:rPr>
                <w:rFonts w:ascii="Arial" w:hAnsi="Arial" w:cs="Arial"/>
                <w:sz w:val="24"/>
                <w:szCs w:val="24"/>
              </w:rPr>
            </w:pPr>
            <w:r w:rsidRPr="00FF5B63">
              <w:rPr>
                <w:rFonts w:ascii="Arial" w:hAnsi="Arial" w:cs="Arial"/>
                <w:sz w:val="24"/>
                <w:szCs w:val="24"/>
              </w:rPr>
              <w:t xml:space="preserve">08.30am to </w:t>
            </w:r>
            <w:r w:rsidR="00EB6754" w:rsidRPr="00FF5B63">
              <w:rPr>
                <w:rFonts w:ascii="Arial" w:hAnsi="Arial" w:cs="Arial"/>
                <w:sz w:val="24"/>
                <w:szCs w:val="24"/>
              </w:rPr>
              <w:t xml:space="preserve">09.00am </w:t>
            </w:r>
          </w:p>
        </w:tc>
        <w:tc>
          <w:tcPr>
            <w:tcW w:w="3006" w:type="dxa"/>
          </w:tcPr>
          <w:p w14:paraId="4BA4DD78" w14:textId="77777777" w:rsidR="00EB6754" w:rsidRPr="00FF5B63" w:rsidRDefault="00EB6754" w:rsidP="00DC54F7">
            <w:pPr>
              <w:contextualSpacing/>
              <w:jc w:val="both"/>
              <w:rPr>
                <w:rFonts w:ascii="Arial" w:hAnsi="Arial" w:cs="Arial"/>
                <w:sz w:val="24"/>
                <w:szCs w:val="24"/>
              </w:rPr>
            </w:pPr>
            <w:r w:rsidRPr="00FF5B63">
              <w:rPr>
                <w:rFonts w:ascii="Arial" w:hAnsi="Arial" w:cs="Arial"/>
                <w:sz w:val="24"/>
                <w:szCs w:val="24"/>
              </w:rPr>
              <w:t>12.00pm to 17.30pm</w:t>
            </w:r>
          </w:p>
        </w:tc>
      </w:tr>
      <w:tr w:rsidR="00EB6754" w:rsidRPr="006E6035" w14:paraId="371CAC6B" w14:textId="77777777" w:rsidTr="008E78E6">
        <w:tc>
          <w:tcPr>
            <w:tcW w:w="3005" w:type="dxa"/>
          </w:tcPr>
          <w:p w14:paraId="0974E3E3" w14:textId="77777777" w:rsidR="00EB6754" w:rsidRPr="00FF5B63" w:rsidRDefault="00EB6754" w:rsidP="00DC54F7">
            <w:pPr>
              <w:contextualSpacing/>
              <w:jc w:val="both"/>
              <w:rPr>
                <w:rFonts w:ascii="Arial" w:hAnsi="Arial" w:cs="Arial"/>
                <w:sz w:val="24"/>
                <w:szCs w:val="24"/>
              </w:rPr>
            </w:pPr>
            <w:r w:rsidRPr="00FF5B63">
              <w:rPr>
                <w:rFonts w:ascii="Arial" w:hAnsi="Arial" w:cs="Arial"/>
                <w:sz w:val="24"/>
                <w:szCs w:val="24"/>
              </w:rPr>
              <w:t>Sunday</w:t>
            </w:r>
          </w:p>
        </w:tc>
        <w:tc>
          <w:tcPr>
            <w:tcW w:w="3005" w:type="dxa"/>
          </w:tcPr>
          <w:p w14:paraId="64572054" w14:textId="53B36692" w:rsidR="00EB6754" w:rsidRPr="00FF5B63" w:rsidRDefault="00FD2691" w:rsidP="00DC54F7">
            <w:pPr>
              <w:contextualSpacing/>
              <w:jc w:val="both"/>
              <w:rPr>
                <w:rFonts w:ascii="Arial" w:hAnsi="Arial" w:cs="Arial"/>
                <w:sz w:val="24"/>
                <w:szCs w:val="24"/>
              </w:rPr>
            </w:pPr>
            <w:r w:rsidRPr="00FF5B63">
              <w:rPr>
                <w:rFonts w:ascii="Arial" w:hAnsi="Arial" w:cs="Arial"/>
                <w:sz w:val="24"/>
                <w:szCs w:val="24"/>
              </w:rPr>
              <w:t>Closed</w:t>
            </w:r>
            <w:r w:rsidR="00EB6754" w:rsidRPr="00FF5B63">
              <w:rPr>
                <w:rFonts w:ascii="Arial" w:hAnsi="Arial" w:cs="Arial"/>
                <w:sz w:val="24"/>
                <w:szCs w:val="24"/>
              </w:rPr>
              <w:t xml:space="preserve"> </w:t>
            </w:r>
          </w:p>
        </w:tc>
        <w:tc>
          <w:tcPr>
            <w:tcW w:w="3006" w:type="dxa"/>
          </w:tcPr>
          <w:p w14:paraId="7D801E70" w14:textId="4D47F316" w:rsidR="00EB6754" w:rsidRPr="00FF5B63" w:rsidRDefault="00FD2691" w:rsidP="00DC54F7">
            <w:pPr>
              <w:contextualSpacing/>
              <w:jc w:val="both"/>
              <w:rPr>
                <w:rFonts w:ascii="Arial" w:hAnsi="Arial" w:cs="Arial"/>
                <w:sz w:val="24"/>
                <w:szCs w:val="24"/>
              </w:rPr>
            </w:pPr>
            <w:r w:rsidRPr="00FF5B63">
              <w:rPr>
                <w:rFonts w:ascii="Arial" w:hAnsi="Arial" w:cs="Arial"/>
                <w:sz w:val="24"/>
                <w:szCs w:val="24"/>
              </w:rPr>
              <w:t>Closed</w:t>
            </w:r>
          </w:p>
        </w:tc>
      </w:tr>
    </w:tbl>
    <w:p w14:paraId="620F56EA" w14:textId="77777777" w:rsidR="00EB6754" w:rsidRPr="006E6035" w:rsidRDefault="00EB6754" w:rsidP="00DC54F7">
      <w:pPr>
        <w:spacing w:after="0" w:line="240" w:lineRule="auto"/>
        <w:contextualSpacing/>
        <w:jc w:val="both"/>
        <w:rPr>
          <w:rFonts w:ascii="Arial" w:hAnsi="Arial" w:cs="Arial"/>
        </w:rPr>
      </w:pPr>
    </w:p>
    <w:p w14:paraId="01864B3E" w14:textId="553EB8CD" w:rsidR="00EB6754" w:rsidRPr="00FF5B63" w:rsidRDefault="00EB6754" w:rsidP="00DC54F7">
      <w:pPr>
        <w:spacing w:after="0" w:line="240" w:lineRule="auto"/>
        <w:contextualSpacing/>
        <w:jc w:val="both"/>
        <w:rPr>
          <w:rFonts w:ascii="Arial" w:hAnsi="Arial" w:cs="Arial"/>
          <w:sz w:val="24"/>
          <w:szCs w:val="24"/>
        </w:rPr>
      </w:pPr>
      <w:r w:rsidRPr="00FF5B63">
        <w:rPr>
          <w:rFonts w:ascii="Arial" w:hAnsi="Arial" w:cs="Arial"/>
          <w:sz w:val="24"/>
          <w:szCs w:val="24"/>
        </w:rPr>
        <w:t>Full details of when the pharmacies are open can be found in Appendix L.</w:t>
      </w:r>
    </w:p>
    <w:p w14:paraId="6244801D" w14:textId="78F3CB19" w:rsidR="002F68F2" w:rsidRPr="00FF5B63" w:rsidRDefault="002F68F2" w:rsidP="00DC54F7">
      <w:pPr>
        <w:spacing w:after="0" w:line="240" w:lineRule="auto"/>
        <w:contextualSpacing/>
        <w:jc w:val="both"/>
        <w:rPr>
          <w:rFonts w:ascii="Arial" w:hAnsi="Arial" w:cs="Arial"/>
          <w:sz w:val="24"/>
          <w:szCs w:val="24"/>
        </w:rPr>
      </w:pPr>
    </w:p>
    <w:p w14:paraId="3BC373DF" w14:textId="6B689015" w:rsidR="002F68F2" w:rsidRPr="00FF5B63" w:rsidRDefault="002F68F2" w:rsidP="00DC54F7">
      <w:pPr>
        <w:spacing w:after="0" w:line="240" w:lineRule="auto"/>
        <w:contextualSpacing/>
        <w:jc w:val="both"/>
        <w:rPr>
          <w:rFonts w:ascii="Arial" w:hAnsi="Arial" w:cs="Arial"/>
          <w:sz w:val="24"/>
          <w:szCs w:val="24"/>
        </w:rPr>
      </w:pPr>
      <w:r w:rsidRPr="00FF5B63">
        <w:rPr>
          <w:rFonts w:ascii="Arial" w:hAnsi="Arial" w:cs="Arial"/>
          <w:sz w:val="24"/>
          <w:szCs w:val="24"/>
        </w:rPr>
        <w:t>Residents of Western Vale cluster can acce</w:t>
      </w:r>
      <w:r w:rsidR="00417668" w:rsidRPr="00FF5B63">
        <w:rPr>
          <w:rFonts w:ascii="Arial" w:hAnsi="Arial" w:cs="Arial"/>
          <w:sz w:val="24"/>
          <w:szCs w:val="24"/>
        </w:rPr>
        <w:t xml:space="preserve">ss pharmacy services </w:t>
      </w:r>
      <w:r w:rsidR="00774EC1" w:rsidRPr="00FF5B63">
        <w:rPr>
          <w:rFonts w:ascii="Arial" w:hAnsi="Arial" w:cs="Arial"/>
          <w:sz w:val="24"/>
          <w:szCs w:val="24"/>
        </w:rPr>
        <w:t xml:space="preserve">that are open seven days a week </w:t>
      </w:r>
      <w:r w:rsidR="00417668" w:rsidRPr="00FF5B63">
        <w:rPr>
          <w:rFonts w:ascii="Arial" w:hAnsi="Arial" w:cs="Arial"/>
          <w:sz w:val="24"/>
          <w:szCs w:val="24"/>
        </w:rPr>
        <w:t xml:space="preserve">in </w:t>
      </w:r>
      <w:r w:rsidR="0091661E" w:rsidRPr="00FF5B63">
        <w:rPr>
          <w:rFonts w:ascii="Arial" w:hAnsi="Arial" w:cs="Arial"/>
          <w:sz w:val="24"/>
          <w:szCs w:val="24"/>
        </w:rPr>
        <w:t xml:space="preserve">neighbouring areas such as </w:t>
      </w:r>
      <w:r w:rsidR="004C05DA" w:rsidRPr="00FF5B63">
        <w:rPr>
          <w:rFonts w:ascii="Arial" w:hAnsi="Arial" w:cs="Arial"/>
          <w:sz w:val="24"/>
          <w:szCs w:val="24"/>
        </w:rPr>
        <w:t>Barry in Central Vale cluster</w:t>
      </w:r>
      <w:r w:rsidR="0036632A" w:rsidRPr="00FF5B63">
        <w:rPr>
          <w:rFonts w:ascii="Arial" w:hAnsi="Arial" w:cs="Arial"/>
          <w:sz w:val="24"/>
          <w:szCs w:val="24"/>
        </w:rPr>
        <w:t xml:space="preserve"> and </w:t>
      </w:r>
      <w:r w:rsidR="009309DA" w:rsidRPr="00FF5B63">
        <w:rPr>
          <w:rFonts w:ascii="Arial" w:hAnsi="Arial" w:cs="Arial"/>
          <w:sz w:val="24"/>
          <w:szCs w:val="24"/>
        </w:rPr>
        <w:t>Bridgend</w:t>
      </w:r>
      <w:r w:rsidR="004C05DA" w:rsidRPr="00FF5B63">
        <w:rPr>
          <w:rFonts w:ascii="Arial" w:hAnsi="Arial" w:cs="Arial"/>
          <w:sz w:val="24"/>
          <w:szCs w:val="24"/>
        </w:rPr>
        <w:t xml:space="preserve"> in </w:t>
      </w:r>
      <w:r w:rsidR="00C15935" w:rsidRPr="00FF5B63">
        <w:rPr>
          <w:rFonts w:ascii="Arial" w:hAnsi="Arial" w:cs="Arial"/>
          <w:sz w:val="24"/>
          <w:szCs w:val="24"/>
        </w:rPr>
        <w:t>Cwm Taf Morgannwg University Health Board.</w:t>
      </w:r>
    </w:p>
    <w:p w14:paraId="01E7BCED" w14:textId="77777777" w:rsidR="00EB6754" w:rsidRPr="00FF5B63" w:rsidRDefault="00EB6754" w:rsidP="00DC54F7">
      <w:pPr>
        <w:spacing w:after="0" w:line="240" w:lineRule="auto"/>
        <w:jc w:val="both"/>
        <w:rPr>
          <w:rFonts w:ascii="Arial" w:hAnsi="Arial" w:cs="Arial"/>
          <w:b/>
          <w:sz w:val="24"/>
          <w:szCs w:val="24"/>
          <w:lang w:val="en-US"/>
        </w:rPr>
      </w:pPr>
    </w:p>
    <w:p w14:paraId="12DDDF74" w14:textId="77777777" w:rsidR="003D2083" w:rsidRPr="00FF5B63" w:rsidRDefault="003D2083" w:rsidP="00DC54F7">
      <w:pPr>
        <w:spacing w:after="0" w:line="240" w:lineRule="auto"/>
        <w:jc w:val="both"/>
        <w:rPr>
          <w:rFonts w:ascii="Arial" w:hAnsi="Arial" w:cs="Arial"/>
          <w:sz w:val="24"/>
          <w:szCs w:val="24"/>
        </w:rPr>
      </w:pPr>
      <w:r w:rsidRPr="00FF5B63">
        <w:rPr>
          <w:rFonts w:ascii="Arial" w:hAnsi="Arial" w:cs="Arial"/>
          <w:sz w:val="24"/>
          <w:szCs w:val="24"/>
        </w:rPr>
        <w:t>The dispensing GP practice’s opening hours are limited to Monday and Thursday only.</w:t>
      </w:r>
      <w:r w:rsidRPr="00FF5B63">
        <w:rPr>
          <w:rFonts w:ascii="Arial" w:eastAsia="Times New Roman" w:hAnsi="Arial" w:cs="Arial"/>
          <w:b/>
          <w:bCs/>
          <w:color w:val="333333"/>
          <w:sz w:val="24"/>
          <w:szCs w:val="24"/>
        </w:rPr>
        <w:t xml:space="preserve"> </w:t>
      </w:r>
      <w:r w:rsidRPr="00FF5B63">
        <w:rPr>
          <w:rFonts w:ascii="Arial" w:hAnsi="Arial" w:cs="Arial"/>
          <w:sz w:val="24"/>
          <w:szCs w:val="24"/>
        </w:rPr>
        <w:t xml:space="preserve">They dispense for residents of Atlantic College only. </w:t>
      </w:r>
    </w:p>
    <w:p w14:paraId="64D21637" w14:textId="77777777" w:rsidR="003D2083" w:rsidRPr="00FF5B63" w:rsidRDefault="003D2083" w:rsidP="00DC54F7">
      <w:pPr>
        <w:spacing w:after="0" w:line="240" w:lineRule="auto"/>
        <w:contextualSpacing/>
        <w:jc w:val="both"/>
        <w:rPr>
          <w:rFonts w:ascii="Arial" w:hAnsi="Arial" w:cs="Arial"/>
          <w:sz w:val="24"/>
          <w:szCs w:val="24"/>
        </w:rPr>
      </w:pPr>
    </w:p>
    <w:p w14:paraId="5481ADCA" w14:textId="642AB7F2" w:rsidR="000974FC" w:rsidRPr="00FF5B63" w:rsidRDefault="000974FC" w:rsidP="00DC54F7">
      <w:pPr>
        <w:spacing w:after="0" w:line="240" w:lineRule="auto"/>
        <w:contextualSpacing/>
        <w:jc w:val="both"/>
        <w:rPr>
          <w:rFonts w:ascii="Arial" w:hAnsi="Arial" w:cs="Arial"/>
          <w:sz w:val="24"/>
          <w:szCs w:val="24"/>
          <w:highlight w:val="yellow"/>
        </w:rPr>
      </w:pPr>
      <w:r w:rsidRPr="00FF5B63">
        <w:rPr>
          <w:rFonts w:ascii="Arial" w:hAnsi="Arial" w:cs="Arial"/>
          <w:sz w:val="24"/>
          <w:szCs w:val="24"/>
        </w:rPr>
        <w:t xml:space="preserve">All </w:t>
      </w:r>
      <w:r w:rsidR="004536D9" w:rsidRPr="00FF5B63">
        <w:rPr>
          <w:rFonts w:ascii="Arial" w:hAnsi="Arial" w:cs="Arial"/>
          <w:sz w:val="24"/>
          <w:szCs w:val="24"/>
        </w:rPr>
        <w:t>six</w:t>
      </w:r>
      <w:r w:rsidRPr="00FF5B63">
        <w:rPr>
          <w:rFonts w:ascii="Arial" w:hAnsi="Arial" w:cs="Arial"/>
          <w:sz w:val="24"/>
          <w:szCs w:val="24"/>
        </w:rPr>
        <w:t xml:space="preserve"> pharmacies responded to the contractor questionnaire, of which </w:t>
      </w:r>
      <w:r w:rsidR="004536D9" w:rsidRPr="00FF5B63">
        <w:rPr>
          <w:rFonts w:ascii="Arial" w:hAnsi="Arial" w:cs="Arial"/>
          <w:sz w:val="24"/>
          <w:szCs w:val="24"/>
        </w:rPr>
        <w:t xml:space="preserve">all six </w:t>
      </w:r>
      <w:r w:rsidRPr="00FF5B63">
        <w:rPr>
          <w:rFonts w:ascii="Arial" w:hAnsi="Arial" w:cs="Arial"/>
          <w:sz w:val="24"/>
          <w:szCs w:val="24"/>
        </w:rPr>
        <w:t xml:space="preserve">dispense all appliances listed in Part IX of the Drug Tariff and one just dispenses dressings. </w:t>
      </w:r>
    </w:p>
    <w:p w14:paraId="0DF508B6" w14:textId="77777777" w:rsidR="000974FC" w:rsidRPr="00FF5B63" w:rsidRDefault="000974FC" w:rsidP="00DC54F7">
      <w:pPr>
        <w:spacing w:after="0" w:line="240" w:lineRule="auto"/>
        <w:jc w:val="both"/>
        <w:rPr>
          <w:rFonts w:ascii="Arial" w:hAnsi="Arial" w:cs="Arial"/>
          <w:b/>
          <w:sz w:val="24"/>
          <w:szCs w:val="24"/>
          <w:lang w:val="en-US"/>
        </w:rPr>
      </w:pPr>
    </w:p>
    <w:p w14:paraId="0C5BD7EE" w14:textId="293FBA3E" w:rsidR="000974FC" w:rsidRPr="00FF5B63" w:rsidRDefault="000974FC" w:rsidP="00DC54F7">
      <w:pPr>
        <w:spacing w:after="0" w:line="240" w:lineRule="auto"/>
        <w:jc w:val="both"/>
        <w:rPr>
          <w:rFonts w:ascii="Arial" w:hAnsi="Arial" w:cs="Arial"/>
          <w:sz w:val="24"/>
          <w:szCs w:val="24"/>
        </w:rPr>
      </w:pPr>
      <w:r w:rsidRPr="00FF5B63">
        <w:rPr>
          <w:rFonts w:ascii="Arial" w:hAnsi="Arial" w:cs="Arial"/>
          <w:sz w:val="24"/>
          <w:szCs w:val="24"/>
        </w:rPr>
        <w:t xml:space="preserve">In 2019 to 2020, </w:t>
      </w:r>
      <w:r w:rsidR="007C51D1">
        <w:rPr>
          <w:rFonts w:ascii="Arial" w:hAnsi="Arial" w:cs="Arial"/>
          <w:sz w:val="24"/>
          <w:szCs w:val="24"/>
        </w:rPr>
        <w:t xml:space="preserve">five </w:t>
      </w:r>
      <w:r w:rsidRPr="00FF5B63">
        <w:rPr>
          <w:rFonts w:ascii="Arial" w:hAnsi="Arial" w:cs="Arial"/>
          <w:sz w:val="24"/>
          <w:szCs w:val="24"/>
        </w:rPr>
        <w:t xml:space="preserve">pharmacies offered the MUR service and a total of </w:t>
      </w:r>
      <w:r w:rsidR="00E91188" w:rsidRPr="00FF5B63">
        <w:rPr>
          <w:rFonts w:ascii="Arial" w:hAnsi="Arial" w:cs="Arial"/>
          <w:sz w:val="24"/>
          <w:szCs w:val="24"/>
        </w:rPr>
        <w:t>1</w:t>
      </w:r>
      <w:r w:rsidR="00F676BB" w:rsidRPr="00FF5B63">
        <w:rPr>
          <w:rFonts w:ascii="Arial" w:hAnsi="Arial" w:cs="Arial"/>
          <w:sz w:val="24"/>
          <w:szCs w:val="24"/>
        </w:rPr>
        <w:t>,447</w:t>
      </w:r>
      <w:r w:rsidRPr="00FF5B63">
        <w:rPr>
          <w:rFonts w:ascii="Arial" w:hAnsi="Arial" w:cs="Arial"/>
          <w:sz w:val="24"/>
          <w:szCs w:val="24"/>
        </w:rPr>
        <w:t xml:space="preserve"> reviews were provided out of a possible </w:t>
      </w:r>
      <w:r w:rsidR="00F676BB" w:rsidRPr="00FF5B63">
        <w:rPr>
          <w:rFonts w:ascii="Arial" w:hAnsi="Arial" w:cs="Arial"/>
          <w:sz w:val="24"/>
          <w:szCs w:val="24"/>
        </w:rPr>
        <w:t>2</w:t>
      </w:r>
      <w:r w:rsidRPr="00FF5B63">
        <w:rPr>
          <w:rFonts w:ascii="Arial" w:hAnsi="Arial" w:cs="Arial"/>
          <w:sz w:val="24"/>
          <w:szCs w:val="24"/>
        </w:rPr>
        <w:t xml:space="preserve">,000 reviews. </w:t>
      </w:r>
      <w:r w:rsidR="006957BE" w:rsidRPr="00FF5B63">
        <w:rPr>
          <w:rFonts w:ascii="Arial" w:hAnsi="Arial" w:cs="Arial"/>
          <w:sz w:val="24"/>
          <w:szCs w:val="24"/>
        </w:rPr>
        <w:t>One</w:t>
      </w:r>
      <w:r w:rsidRPr="00FF5B63">
        <w:rPr>
          <w:rFonts w:ascii="Arial" w:hAnsi="Arial" w:cs="Arial"/>
          <w:sz w:val="24"/>
          <w:szCs w:val="24"/>
        </w:rPr>
        <w:t xml:space="preserve"> pharmac</w:t>
      </w:r>
      <w:r w:rsidR="006957BE" w:rsidRPr="00FF5B63">
        <w:rPr>
          <w:rFonts w:ascii="Arial" w:hAnsi="Arial" w:cs="Arial"/>
          <w:sz w:val="24"/>
          <w:szCs w:val="24"/>
        </w:rPr>
        <w:t>y</w:t>
      </w:r>
      <w:r w:rsidRPr="00FF5B63">
        <w:rPr>
          <w:rFonts w:ascii="Arial" w:hAnsi="Arial" w:cs="Arial"/>
          <w:sz w:val="24"/>
          <w:szCs w:val="24"/>
        </w:rPr>
        <w:t xml:space="preserve"> provided the maximum number of </w:t>
      </w:r>
      <w:r w:rsidR="006957BE" w:rsidRPr="00FF5B63">
        <w:rPr>
          <w:rFonts w:ascii="Arial" w:hAnsi="Arial" w:cs="Arial"/>
          <w:sz w:val="24"/>
          <w:szCs w:val="24"/>
        </w:rPr>
        <w:t xml:space="preserve">400 </w:t>
      </w:r>
      <w:r w:rsidRPr="00FF5B63">
        <w:rPr>
          <w:rFonts w:ascii="Arial" w:hAnsi="Arial" w:cs="Arial"/>
          <w:sz w:val="24"/>
          <w:szCs w:val="24"/>
        </w:rPr>
        <w:t>reviews.</w:t>
      </w:r>
      <w:r w:rsidR="0002196E" w:rsidRPr="00FF5B63">
        <w:rPr>
          <w:rFonts w:ascii="Arial" w:hAnsi="Arial" w:cs="Arial"/>
          <w:sz w:val="24"/>
          <w:szCs w:val="24"/>
        </w:rPr>
        <w:t xml:space="preserve"> The Welsh Government formally suspended the MUR service on 13 March 2020.  At the time of writing, </w:t>
      </w:r>
      <w:r w:rsidR="0070331C" w:rsidRPr="00FF5B63">
        <w:rPr>
          <w:rFonts w:ascii="Arial" w:hAnsi="Arial" w:cs="Arial"/>
          <w:sz w:val="24"/>
          <w:szCs w:val="24"/>
        </w:rPr>
        <w:t>it is not known if the service will re-commence</w:t>
      </w:r>
      <w:r w:rsidR="0002196E" w:rsidRPr="00FF5B63">
        <w:rPr>
          <w:rFonts w:ascii="Arial" w:hAnsi="Arial" w:cs="Arial"/>
          <w:sz w:val="24"/>
          <w:szCs w:val="24"/>
        </w:rPr>
        <w:t>.</w:t>
      </w:r>
    </w:p>
    <w:p w14:paraId="3A778693" w14:textId="77777777" w:rsidR="000974FC" w:rsidRPr="00FF5B63" w:rsidRDefault="000974FC" w:rsidP="00DC54F7">
      <w:pPr>
        <w:spacing w:after="0" w:line="240" w:lineRule="auto"/>
        <w:jc w:val="both"/>
        <w:rPr>
          <w:rFonts w:ascii="Arial" w:hAnsi="Arial" w:cs="Arial"/>
          <w:sz w:val="24"/>
          <w:szCs w:val="24"/>
        </w:rPr>
      </w:pPr>
    </w:p>
    <w:p w14:paraId="14B86202" w14:textId="575355B2" w:rsidR="00F84ED4" w:rsidRPr="00FF5B63" w:rsidRDefault="000974FC" w:rsidP="00DC54F7">
      <w:pPr>
        <w:spacing w:after="0" w:line="240" w:lineRule="auto"/>
        <w:jc w:val="both"/>
        <w:rPr>
          <w:rFonts w:ascii="Arial" w:hAnsi="Arial" w:cs="Arial"/>
          <w:sz w:val="24"/>
          <w:szCs w:val="24"/>
        </w:rPr>
      </w:pPr>
      <w:r w:rsidRPr="00FF5B63">
        <w:rPr>
          <w:rFonts w:ascii="Arial" w:hAnsi="Arial" w:cs="Arial"/>
          <w:sz w:val="24"/>
          <w:szCs w:val="24"/>
        </w:rPr>
        <w:t xml:space="preserve">In 2019 to 2020, </w:t>
      </w:r>
      <w:r w:rsidR="00FE58A5">
        <w:rPr>
          <w:rFonts w:ascii="Arial" w:hAnsi="Arial" w:cs="Arial"/>
          <w:sz w:val="24"/>
          <w:szCs w:val="24"/>
        </w:rPr>
        <w:t xml:space="preserve">five </w:t>
      </w:r>
      <w:r w:rsidRPr="00FF5B63">
        <w:rPr>
          <w:rFonts w:ascii="Arial" w:hAnsi="Arial" w:cs="Arial"/>
          <w:sz w:val="24"/>
          <w:szCs w:val="24"/>
        </w:rPr>
        <w:t xml:space="preserve">pharmacies offered the </w:t>
      </w:r>
      <w:r w:rsidR="00805C6B" w:rsidRPr="00FF5B63">
        <w:rPr>
          <w:rFonts w:ascii="Arial" w:hAnsi="Arial" w:cs="Arial"/>
          <w:sz w:val="24"/>
          <w:szCs w:val="24"/>
        </w:rPr>
        <w:t>DMR service</w:t>
      </w:r>
      <w:r w:rsidRPr="00FF5B63">
        <w:rPr>
          <w:rFonts w:ascii="Arial" w:hAnsi="Arial" w:cs="Arial"/>
          <w:sz w:val="24"/>
          <w:szCs w:val="24"/>
        </w:rPr>
        <w:t xml:space="preserve"> and a total of 2</w:t>
      </w:r>
      <w:r w:rsidR="00161C91" w:rsidRPr="00FF5B63">
        <w:rPr>
          <w:rFonts w:ascii="Arial" w:hAnsi="Arial" w:cs="Arial"/>
          <w:sz w:val="24"/>
          <w:szCs w:val="24"/>
        </w:rPr>
        <w:t>41</w:t>
      </w:r>
      <w:r w:rsidRPr="00FF5B63">
        <w:rPr>
          <w:rFonts w:ascii="Arial" w:hAnsi="Arial" w:cs="Arial"/>
          <w:sz w:val="24"/>
          <w:szCs w:val="24"/>
        </w:rPr>
        <w:t xml:space="preserve"> reviews were provided out of a possible </w:t>
      </w:r>
      <w:r w:rsidR="00B6241F" w:rsidRPr="00FF5B63">
        <w:rPr>
          <w:rFonts w:ascii="Arial" w:hAnsi="Arial" w:cs="Arial"/>
          <w:sz w:val="24"/>
          <w:szCs w:val="24"/>
        </w:rPr>
        <w:t xml:space="preserve">700 </w:t>
      </w:r>
      <w:r w:rsidRPr="00FF5B63">
        <w:rPr>
          <w:rFonts w:ascii="Arial" w:hAnsi="Arial" w:cs="Arial"/>
          <w:sz w:val="24"/>
          <w:szCs w:val="24"/>
        </w:rPr>
        <w:t xml:space="preserve">reviews. </w:t>
      </w:r>
      <w:r w:rsidR="00B6241F" w:rsidRPr="00FF5B63">
        <w:rPr>
          <w:rFonts w:ascii="Arial" w:hAnsi="Arial" w:cs="Arial"/>
          <w:sz w:val="24"/>
          <w:szCs w:val="24"/>
        </w:rPr>
        <w:t>No</w:t>
      </w:r>
      <w:r w:rsidRPr="00FF5B63">
        <w:rPr>
          <w:rFonts w:ascii="Arial" w:hAnsi="Arial" w:cs="Arial"/>
          <w:sz w:val="24"/>
          <w:szCs w:val="24"/>
        </w:rPr>
        <w:t xml:space="preserve"> pharmac</w:t>
      </w:r>
      <w:r w:rsidR="00B6241F" w:rsidRPr="00FF5B63">
        <w:rPr>
          <w:rFonts w:ascii="Arial" w:hAnsi="Arial" w:cs="Arial"/>
          <w:sz w:val="24"/>
          <w:szCs w:val="24"/>
        </w:rPr>
        <w:t>ies</w:t>
      </w:r>
      <w:r w:rsidRPr="00FF5B63">
        <w:rPr>
          <w:rFonts w:ascii="Arial" w:hAnsi="Arial" w:cs="Arial"/>
          <w:sz w:val="24"/>
          <w:szCs w:val="24"/>
        </w:rPr>
        <w:t xml:space="preserve"> provided the maximum number of reviews.</w:t>
      </w:r>
      <w:r w:rsidR="00F84ED4" w:rsidRPr="00FF5B63">
        <w:rPr>
          <w:rFonts w:ascii="Arial" w:hAnsi="Arial" w:cs="Arial"/>
          <w:sz w:val="24"/>
          <w:szCs w:val="24"/>
        </w:rPr>
        <w:t xml:space="preserve"> As part of the changes to the Community Pharmacy Contractual Framework for 2021, the cap for the number of paid DMRs has been removed.</w:t>
      </w:r>
    </w:p>
    <w:p w14:paraId="16728953" w14:textId="0094A7C5" w:rsidR="000974FC" w:rsidRPr="00FF5B63" w:rsidRDefault="000974FC" w:rsidP="00DC54F7">
      <w:pPr>
        <w:spacing w:after="0" w:line="240" w:lineRule="auto"/>
        <w:jc w:val="both"/>
        <w:rPr>
          <w:rFonts w:ascii="Arial" w:hAnsi="Arial" w:cs="Arial"/>
          <w:sz w:val="24"/>
          <w:szCs w:val="24"/>
        </w:rPr>
      </w:pPr>
    </w:p>
    <w:p w14:paraId="170F1D32" w14:textId="77777777" w:rsidR="000974FC" w:rsidRPr="00FF5B63" w:rsidRDefault="000974FC" w:rsidP="00DC54F7">
      <w:pPr>
        <w:spacing w:after="0" w:line="240" w:lineRule="auto"/>
        <w:contextualSpacing/>
        <w:jc w:val="both"/>
        <w:rPr>
          <w:rFonts w:ascii="Arial" w:hAnsi="Arial" w:cs="Arial"/>
          <w:sz w:val="24"/>
          <w:szCs w:val="24"/>
        </w:rPr>
      </w:pPr>
      <w:r w:rsidRPr="00FF5B63">
        <w:rPr>
          <w:rFonts w:ascii="Arial" w:hAnsi="Arial" w:cs="Arial"/>
          <w:sz w:val="24"/>
          <w:szCs w:val="24"/>
        </w:rPr>
        <w:t>In 2019 to 2020, the following enhanced services were provided by pharmacies in the cluster area:</w:t>
      </w:r>
    </w:p>
    <w:p w14:paraId="39DFB7CB" w14:textId="77777777" w:rsidR="000974FC" w:rsidRPr="00FF5B63" w:rsidRDefault="000974FC" w:rsidP="00DC54F7">
      <w:pPr>
        <w:spacing w:after="0" w:line="240" w:lineRule="auto"/>
        <w:contextualSpacing/>
        <w:jc w:val="both"/>
        <w:rPr>
          <w:rFonts w:ascii="Arial" w:hAnsi="Arial" w:cs="Arial"/>
          <w:sz w:val="24"/>
          <w:szCs w:val="24"/>
        </w:rPr>
      </w:pPr>
    </w:p>
    <w:p w14:paraId="569ABC2A" w14:textId="5AEB702E" w:rsidR="000974FC" w:rsidRPr="00FF5B63" w:rsidRDefault="008605BF" w:rsidP="00DC54F7">
      <w:pPr>
        <w:pStyle w:val="ListParagraph"/>
        <w:numPr>
          <w:ilvl w:val="0"/>
          <w:numId w:val="152"/>
        </w:numPr>
        <w:spacing w:after="0" w:line="240" w:lineRule="auto"/>
        <w:jc w:val="both"/>
        <w:rPr>
          <w:rFonts w:ascii="Arial" w:hAnsi="Arial" w:cs="Arial"/>
          <w:sz w:val="24"/>
          <w:szCs w:val="24"/>
        </w:rPr>
      </w:pPr>
      <w:r w:rsidRPr="00FF5B63">
        <w:rPr>
          <w:rFonts w:ascii="Arial" w:hAnsi="Arial" w:cs="Arial"/>
          <w:sz w:val="24"/>
          <w:szCs w:val="24"/>
        </w:rPr>
        <w:t>Three</w:t>
      </w:r>
      <w:r w:rsidR="000974FC" w:rsidRPr="00FF5B63">
        <w:rPr>
          <w:rFonts w:ascii="Arial" w:hAnsi="Arial" w:cs="Arial"/>
          <w:sz w:val="24"/>
          <w:szCs w:val="24"/>
        </w:rPr>
        <w:t xml:space="preserve"> pharmacies provided a total of </w:t>
      </w:r>
      <w:r w:rsidRPr="00FF5B63">
        <w:rPr>
          <w:rFonts w:ascii="Arial" w:hAnsi="Arial" w:cs="Arial"/>
          <w:sz w:val="24"/>
          <w:szCs w:val="24"/>
        </w:rPr>
        <w:t>132</w:t>
      </w:r>
      <w:r w:rsidR="000974FC" w:rsidRPr="00FF5B63">
        <w:rPr>
          <w:rFonts w:ascii="Arial" w:hAnsi="Arial" w:cs="Arial"/>
          <w:sz w:val="24"/>
          <w:szCs w:val="24"/>
        </w:rPr>
        <w:t xml:space="preserve"> emergency contraception consultations, with a range of </w:t>
      </w:r>
      <w:r w:rsidRPr="00FF5B63">
        <w:rPr>
          <w:rFonts w:ascii="Arial" w:hAnsi="Arial" w:cs="Arial"/>
          <w:sz w:val="24"/>
          <w:szCs w:val="24"/>
        </w:rPr>
        <w:t>23</w:t>
      </w:r>
      <w:r w:rsidR="000974FC" w:rsidRPr="00FF5B63">
        <w:rPr>
          <w:rFonts w:ascii="Arial" w:hAnsi="Arial" w:cs="Arial"/>
          <w:sz w:val="24"/>
          <w:szCs w:val="24"/>
        </w:rPr>
        <w:t xml:space="preserve"> to </w:t>
      </w:r>
      <w:r w:rsidRPr="00FF5B63">
        <w:rPr>
          <w:rFonts w:ascii="Arial" w:hAnsi="Arial" w:cs="Arial"/>
          <w:sz w:val="24"/>
          <w:szCs w:val="24"/>
        </w:rPr>
        <w:t>65</w:t>
      </w:r>
      <w:r w:rsidR="000974FC" w:rsidRPr="00FF5B63">
        <w:rPr>
          <w:rFonts w:ascii="Arial" w:hAnsi="Arial" w:cs="Arial"/>
          <w:sz w:val="24"/>
          <w:szCs w:val="24"/>
        </w:rPr>
        <w:t xml:space="preserve"> consultations.</w:t>
      </w:r>
    </w:p>
    <w:p w14:paraId="093173CC" w14:textId="503A9832" w:rsidR="000974FC" w:rsidRPr="00FF5B63" w:rsidRDefault="008605BF" w:rsidP="00DC54F7">
      <w:pPr>
        <w:pStyle w:val="ListParagraph"/>
        <w:numPr>
          <w:ilvl w:val="0"/>
          <w:numId w:val="86"/>
        </w:numPr>
        <w:spacing w:after="0" w:line="240" w:lineRule="auto"/>
        <w:jc w:val="both"/>
        <w:rPr>
          <w:rFonts w:ascii="Arial" w:hAnsi="Arial" w:cs="Arial"/>
          <w:sz w:val="24"/>
          <w:szCs w:val="24"/>
        </w:rPr>
      </w:pPr>
      <w:r w:rsidRPr="00FF5B63">
        <w:rPr>
          <w:rFonts w:ascii="Arial" w:hAnsi="Arial" w:cs="Arial"/>
          <w:sz w:val="24"/>
          <w:szCs w:val="24"/>
        </w:rPr>
        <w:t>One</w:t>
      </w:r>
      <w:r w:rsidR="000974FC" w:rsidRPr="00FF5B63">
        <w:rPr>
          <w:rFonts w:ascii="Arial" w:hAnsi="Arial" w:cs="Arial"/>
          <w:sz w:val="24"/>
          <w:szCs w:val="24"/>
        </w:rPr>
        <w:t xml:space="preserve"> pharmac</w:t>
      </w:r>
      <w:r w:rsidRPr="00FF5B63">
        <w:rPr>
          <w:rFonts w:ascii="Arial" w:hAnsi="Arial" w:cs="Arial"/>
          <w:sz w:val="24"/>
          <w:szCs w:val="24"/>
        </w:rPr>
        <w:t>y</w:t>
      </w:r>
      <w:r w:rsidR="000974FC" w:rsidRPr="00FF5B63">
        <w:rPr>
          <w:rFonts w:ascii="Arial" w:hAnsi="Arial" w:cs="Arial"/>
          <w:sz w:val="24"/>
          <w:szCs w:val="24"/>
        </w:rPr>
        <w:t xml:space="preserve"> provided a total of </w:t>
      </w:r>
      <w:r w:rsidRPr="00FF5B63">
        <w:rPr>
          <w:rFonts w:ascii="Arial" w:hAnsi="Arial" w:cs="Arial"/>
          <w:sz w:val="24"/>
          <w:szCs w:val="24"/>
        </w:rPr>
        <w:t>one</w:t>
      </w:r>
      <w:r w:rsidR="000974FC" w:rsidRPr="00FF5B63">
        <w:rPr>
          <w:rFonts w:ascii="Arial" w:hAnsi="Arial" w:cs="Arial"/>
          <w:sz w:val="24"/>
          <w:szCs w:val="24"/>
        </w:rPr>
        <w:t xml:space="preserve"> smoking cessation level </w:t>
      </w:r>
      <w:r w:rsidRPr="00FF5B63">
        <w:rPr>
          <w:rFonts w:ascii="Arial" w:hAnsi="Arial" w:cs="Arial"/>
          <w:sz w:val="24"/>
          <w:szCs w:val="24"/>
        </w:rPr>
        <w:t>3</w:t>
      </w:r>
      <w:r w:rsidR="000974FC" w:rsidRPr="00FF5B63">
        <w:rPr>
          <w:rFonts w:ascii="Arial" w:hAnsi="Arial" w:cs="Arial"/>
          <w:sz w:val="24"/>
          <w:szCs w:val="24"/>
        </w:rPr>
        <w:t xml:space="preserve"> consultations</w:t>
      </w:r>
      <w:r w:rsidRPr="00FF5B63">
        <w:rPr>
          <w:rFonts w:ascii="Arial" w:hAnsi="Arial" w:cs="Arial"/>
          <w:sz w:val="24"/>
          <w:szCs w:val="24"/>
        </w:rPr>
        <w:t>.</w:t>
      </w:r>
    </w:p>
    <w:p w14:paraId="6EB3B290" w14:textId="01CC44C5" w:rsidR="000974FC" w:rsidRPr="00FF5B63" w:rsidRDefault="00C80DE8" w:rsidP="00DC54F7">
      <w:pPr>
        <w:pStyle w:val="ListParagraph"/>
        <w:numPr>
          <w:ilvl w:val="0"/>
          <w:numId w:val="86"/>
        </w:numPr>
        <w:spacing w:after="0" w:line="240" w:lineRule="auto"/>
        <w:jc w:val="both"/>
        <w:rPr>
          <w:rFonts w:ascii="Arial" w:hAnsi="Arial" w:cs="Arial"/>
          <w:sz w:val="24"/>
          <w:szCs w:val="24"/>
        </w:rPr>
      </w:pPr>
      <w:r w:rsidRPr="00FF5B63">
        <w:rPr>
          <w:rFonts w:ascii="Arial" w:hAnsi="Arial" w:cs="Arial"/>
          <w:sz w:val="24"/>
          <w:szCs w:val="24"/>
        </w:rPr>
        <w:t>Three</w:t>
      </w:r>
      <w:r w:rsidR="000974FC" w:rsidRPr="00FF5B63">
        <w:rPr>
          <w:rFonts w:ascii="Arial" w:hAnsi="Arial" w:cs="Arial"/>
          <w:sz w:val="24"/>
          <w:szCs w:val="24"/>
        </w:rPr>
        <w:t xml:space="preserve"> pharmacies provided a total of </w:t>
      </w:r>
      <w:r w:rsidRPr="00FF5B63">
        <w:rPr>
          <w:rFonts w:ascii="Arial" w:hAnsi="Arial" w:cs="Arial"/>
          <w:sz w:val="24"/>
          <w:szCs w:val="24"/>
        </w:rPr>
        <w:t>378</w:t>
      </w:r>
      <w:r w:rsidR="000974FC" w:rsidRPr="00FF5B63">
        <w:rPr>
          <w:rFonts w:ascii="Arial" w:hAnsi="Arial" w:cs="Arial"/>
          <w:sz w:val="24"/>
          <w:szCs w:val="24"/>
        </w:rPr>
        <w:t xml:space="preserve"> flu vaccinations, with a range of </w:t>
      </w:r>
      <w:r w:rsidRPr="00FF5B63">
        <w:rPr>
          <w:rFonts w:ascii="Arial" w:hAnsi="Arial" w:cs="Arial"/>
          <w:sz w:val="24"/>
          <w:szCs w:val="24"/>
        </w:rPr>
        <w:t>51</w:t>
      </w:r>
      <w:r w:rsidR="000974FC" w:rsidRPr="00FF5B63">
        <w:rPr>
          <w:rFonts w:ascii="Arial" w:hAnsi="Arial" w:cs="Arial"/>
          <w:sz w:val="24"/>
          <w:szCs w:val="24"/>
        </w:rPr>
        <w:t xml:space="preserve"> to </w:t>
      </w:r>
      <w:r w:rsidRPr="00FF5B63">
        <w:rPr>
          <w:rFonts w:ascii="Arial" w:hAnsi="Arial" w:cs="Arial"/>
          <w:sz w:val="24"/>
          <w:szCs w:val="24"/>
        </w:rPr>
        <w:t xml:space="preserve">237 </w:t>
      </w:r>
      <w:r w:rsidR="000974FC" w:rsidRPr="00FF5B63">
        <w:rPr>
          <w:rFonts w:ascii="Arial" w:hAnsi="Arial" w:cs="Arial"/>
          <w:sz w:val="24"/>
          <w:szCs w:val="24"/>
        </w:rPr>
        <w:t>vaccinations.</w:t>
      </w:r>
    </w:p>
    <w:p w14:paraId="7ED64062" w14:textId="194B3220" w:rsidR="000974FC" w:rsidRPr="00FF5B63" w:rsidRDefault="00C80DE8" w:rsidP="00DC54F7">
      <w:pPr>
        <w:pStyle w:val="ListParagraph"/>
        <w:numPr>
          <w:ilvl w:val="0"/>
          <w:numId w:val="86"/>
        </w:numPr>
        <w:spacing w:after="0" w:line="240" w:lineRule="auto"/>
        <w:jc w:val="both"/>
        <w:rPr>
          <w:rFonts w:ascii="Arial" w:hAnsi="Arial" w:cs="Arial"/>
          <w:sz w:val="24"/>
          <w:szCs w:val="24"/>
        </w:rPr>
      </w:pPr>
      <w:r w:rsidRPr="00FF5B63">
        <w:rPr>
          <w:rFonts w:ascii="Arial" w:hAnsi="Arial" w:cs="Arial"/>
          <w:sz w:val="24"/>
          <w:szCs w:val="24"/>
        </w:rPr>
        <w:lastRenderedPageBreak/>
        <w:t>Five</w:t>
      </w:r>
      <w:r w:rsidR="000974FC" w:rsidRPr="00FF5B63">
        <w:rPr>
          <w:rFonts w:ascii="Arial" w:hAnsi="Arial" w:cs="Arial"/>
          <w:sz w:val="24"/>
          <w:szCs w:val="24"/>
        </w:rPr>
        <w:t xml:space="preserve"> pharmacies provided a total of 3</w:t>
      </w:r>
      <w:r w:rsidRPr="00FF5B63">
        <w:rPr>
          <w:rFonts w:ascii="Arial" w:hAnsi="Arial" w:cs="Arial"/>
          <w:sz w:val="24"/>
          <w:szCs w:val="24"/>
        </w:rPr>
        <w:t>56</w:t>
      </w:r>
      <w:r w:rsidR="000974FC" w:rsidRPr="00FF5B63">
        <w:rPr>
          <w:rFonts w:ascii="Arial" w:hAnsi="Arial" w:cs="Arial"/>
          <w:sz w:val="24"/>
          <w:szCs w:val="24"/>
        </w:rPr>
        <w:t xml:space="preserve"> </w:t>
      </w:r>
      <w:r w:rsidRPr="00FF5B63">
        <w:rPr>
          <w:rFonts w:ascii="Arial" w:hAnsi="Arial" w:cs="Arial"/>
          <w:sz w:val="24"/>
          <w:szCs w:val="24"/>
        </w:rPr>
        <w:t>CA</w:t>
      </w:r>
      <w:r w:rsidR="000974FC" w:rsidRPr="00FF5B63">
        <w:rPr>
          <w:rFonts w:ascii="Arial" w:hAnsi="Arial" w:cs="Arial"/>
          <w:sz w:val="24"/>
          <w:szCs w:val="24"/>
        </w:rPr>
        <w:t xml:space="preserve">S consultations, with a range of </w:t>
      </w:r>
      <w:r w:rsidRPr="00FF5B63">
        <w:rPr>
          <w:rFonts w:ascii="Arial" w:hAnsi="Arial" w:cs="Arial"/>
          <w:sz w:val="24"/>
          <w:szCs w:val="24"/>
        </w:rPr>
        <w:t>18</w:t>
      </w:r>
      <w:r w:rsidR="000974FC" w:rsidRPr="00FF5B63">
        <w:rPr>
          <w:rFonts w:ascii="Arial" w:hAnsi="Arial" w:cs="Arial"/>
          <w:sz w:val="24"/>
          <w:szCs w:val="24"/>
        </w:rPr>
        <w:t xml:space="preserve"> to </w:t>
      </w:r>
      <w:r w:rsidRPr="00FF5B63">
        <w:rPr>
          <w:rFonts w:ascii="Arial" w:hAnsi="Arial" w:cs="Arial"/>
          <w:sz w:val="24"/>
          <w:szCs w:val="24"/>
        </w:rPr>
        <w:t>227</w:t>
      </w:r>
      <w:r w:rsidR="000974FC" w:rsidRPr="00FF5B63">
        <w:rPr>
          <w:rFonts w:ascii="Arial" w:hAnsi="Arial" w:cs="Arial"/>
          <w:sz w:val="24"/>
          <w:szCs w:val="24"/>
        </w:rPr>
        <w:t xml:space="preserve"> consultations.</w:t>
      </w:r>
    </w:p>
    <w:p w14:paraId="771750BF" w14:textId="68D16FEA" w:rsidR="000974FC" w:rsidRPr="00FF5B63" w:rsidRDefault="005C6B8F" w:rsidP="00DC54F7">
      <w:pPr>
        <w:pStyle w:val="ListParagraph"/>
        <w:numPr>
          <w:ilvl w:val="0"/>
          <w:numId w:val="86"/>
        </w:numPr>
        <w:spacing w:after="0" w:line="240" w:lineRule="auto"/>
        <w:jc w:val="both"/>
        <w:rPr>
          <w:rFonts w:ascii="Arial" w:hAnsi="Arial" w:cs="Arial"/>
          <w:sz w:val="24"/>
          <w:szCs w:val="24"/>
        </w:rPr>
      </w:pPr>
      <w:r w:rsidRPr="00FF5B63">
        <w:rPr>
          <w:rFonts w:ascii="Arial" w:hAnsi="Arial" w:cs="Arial"/>
          <w:sz w:val="24"/>
          <w:szCs w:val="24"/>
        </w:rPr>
        <w:t xml:space="preserve">Two pharmacies provided a total of 26 </w:t>
      </w:r>
      <w:r w:rsidR="00987F62" w:rsidRPr="00FF5B63">
        <w:rPr>
          <w:rFonts w:ascii="Arial" w:hAnsi="Arial" w:cs="Arial"/>
          <w:sz w:val="24"/>
          <w:szCs w:val="24"/>
        </w:rPr>
        <w:t>EMS</w:t>
      </w:r>
      <w:r w:rsidRPr="00FF5B63">
        <w:rPr>
          <w:rFonts w:ascii="Arial" w:hAnsi="Arial" w:cs="Arial"/>
          <w:sz w:val="24"/>
          <w:szCs w:val="24"/>
        </w:rPr>
        <w:t xml:space="preserve"> consultations, with a range of one to 25 consultations.</w:t>
      </w:r>
    </w:p>
    <w:p w14:paraId="6C202DC9" w14:textId="588A7D17" w:rsidR="004254FD" w:rsidRPr="00BA3B55" w:rsidRDefault="004254FD" w:rsidP="00DC54F7">
      <w:pPr>
        <w:spacing w:after="0" w:line="240" w:lineRule="auto"/>
        <w:jc w:val="both"/>
        <w:rPr>
          <w:rFonts w:ascii="Arial" w:hAnsi="Arial" w:cs="Arial"/>
          <w:sz w:val="24"/>
          <w:szCs w:val="24"/>
        </w:rPr>
      </w:pPr>
    </w:p>
    <w:p w14:paraId="2AA7A55F" w14:textId="5718CCCB" w:rsidR="004254FD" w:rsidRDefault="004254FD" w:rsidP="00DC54F7">
      <w:pPr>
        <w:spacing w:after="0" w:line="240" w:lineRule="auto"/>
        <w:jc w:val="both"/>
        <w:rPr>
          <w:rFonts w:ascii="Arial" w:hAnsi="Arial" w:cs="Arial"/>
          <w:sz w:val="24"/>
          <w:szCs w:val="24"/>
        </w:rPr>
      </w:pPr>
      <w:r w:rsidRPr="00FF5B63">
        <w:rPr>
          <w:rFonts w:ascii="Arial" w:hAnsi="Arial" w:cs="Arial"/>
          <w:sz w:val="24"/>
          <w:szCs w:val="24"/>
        </w:rPr>
        <w:t>Other enhanced services included:</w:t>
      </w:r>
    </w:p>
    <w:p w14:paraId="79B92205" w14:textId="77777777" w:rsidR="00BF4857" w:rsidRDefault="00BA3B55" w:rsidP="00DC54F7">
      <w:pPr>
        <w:pStyle w:val="ListParagraph"/>
        <w:numPr>
          <w:ilvl w:val="0"/>
          <w:numId w:val="195"/>
        </w:numPr>
        <w:spacing w:after="0" w:line="240" w:lineRule="auto"/>
        <w:jc w:val="both"/>
        <w:rPr>
          <w:rFonts w:ascii="Arial" w:hAnsi="Arial" w:cs="Arial"/>
          <w:color w:val="000000"/>
          <w:sz w:val="24"/>
          <w:szCs w:val="24"/>
        </w:rPr>
      </w:pPr>
      <w:r w:rsidRPr="00FF5B63">
        <w:rPr>
          <w:rFonts w:ascii="Arial" w:hAnsi="Arial" w:cs="Arial"/>
          <w:sz w:val="24"/>
          <w:szCs w:val="24"/>
        </w:rPr>
        <w:t xml:space="preserve">Three pharmacies provided the </w:t>
      </w:r>
      <w:r w:rsidR="00BF4857" w:rsidRPr="00752236">
        <w:rPr>
          <w:rFonts w:ascii="Arial" w:hAnsi="Arial" w:cs="Arial"/>
          <w:color w:val="000000"/>
          <w:sz w:val="24"/>
          <w:szCs w:val="24"/>
        </w:rPr>
        <w:t>Supervised Administration of Medicines Enhanced Service.</w:t>
      </w:r>
    </w:p>
    <w:p w14:paraId="7C7FEB06" w14:textId="3A8E21F2" w:rsidR="004254FD" w:rsidRPr="00BF4857" w:rsidRDefault="004254FD" w:rsidP="00DC54F7">
      <w:pPr>
        <w:pStyle w:val="ListParagraph"/>
        <w:numPr>
          <w:ilvl w:val="0"/>
          <w:numId w:val="195"/>
        </w:numPr>
        <w:spacing w:after="0" w:line="240" w:lineRule="auto"/>
        <w:jc w:val="both"/>
        <w:rPr>
          <w:rFonts w:ascii="Arial" w:hAnsi="Arial" w:cs="Arial"/>
          <w:color w:val="000000"/>
          <w:sz w:val="24"/>
          <w:szCs w:val="24"/>
        </w:rPr>
      </w:pPr>
      <w:r w:rsidRPr="00BF4857">
        <w:rPr>
          <w:rFonts w:ascii="Arial" w:hAnsi="Arial" w:cs="Arial"/>
          <w:sz w:val="24"/>
          <w:szCs w:val="24"/>
        </w:rPr>
        <w:t xml:space="preserve">Two pharmacies provided the </w:t>
      </w:r>
      <w:r w:rsidR="00D65C93" w:rsidRPr="00BF4857">
        <w:rPr>
          <w:rFonts w:ascii="Arial" w:hAnsi="Arial" w:cs="Arial"/>
          <w:sz w:val="24"/>
          <w:szCs w:val="24"/>
        </w:rPr>
        <w:t xml:space="preserve">Needle Syringe Provision </w:t>
      </w:r>
      <w:r w:rsidR="000B3C31" w:rsidRPr="00BF4857">
        <w:rPr>
          <w:rFonts w:ascii="Arial" w:hAnsi="Arial" w:cs="Arial"/>
          <w:sz w:val="24"/>
          <w:szCs w:val="24"/>
        </w:rPr>
        <w:t>Enhanced S</w:t>
      </w:r>
      <w:r w:rsidRPr="00BF4857">
        <w:rPr>
          <w:rFonts w:ascii="Arial" w:hAnsi="Arial" w:cs="Arial"/>
          <w:sz w:val="24"/>
          <w:szCs w:val="24"/>
        </w:rPr>
        <w:t>ervice</w:t>
      </w:r>
      <w:r w:rsidR="000B3C31" w:rsidRPr="00BF4857">
        <w:rPr>
          <w:rFonts w:ascii="Arial" w:hAnsi="Arial" w:cs="Arial"/>
          <w:sz w:val="24"/>
          <w:szCs w:val="24"/>
        </w:rPr>
        <w:t>.</w:t>
      </w:r>
    </w:p>
    <w:p w14:paraId="52684A40" w14:textId="26561F71" w:rsidR="004254FD" w:rsidRPr="00FF5B63" w:rsidRDefault="00F468E3" w:rsidP="00DC54F7">
      <w:pPr>
        <w:pStyle w:val="ListParagraph"/>
        <w:numPr>
          <w:ilvl w:val="0"/>
          <w:numId w:val="154"/>
        </w:numPr>
        <w:spacing w:after="0" w:line="240" w:lineRule="auto"/>
        <w:jc w:val="both"/>
        <w:rPr>
          <w:rFonts w:ascii="Arial" w:hAnsi="Arial" w:cs="Arial"/>
          <w:sz w:val="24"/>
          <w:szCs w:val="24"/>
        </w:rPr>
      </w:pPr>
      <w:r w:rsidRPr="00FF5B63">
        <w:rPr>
          <w:rFonts w:ascii="Arial" w:hAnsi="Arial" w:cs="Arial"/>
          <w:sz w:val="24"/>
          <w:szCs w:val="24"/>
        </w:rPr>
        <w:t>Five</w:t>
      </w:r>
      <w:r w:rsidR="004254FD" w:rsidRPr="00FF5B63">
        <w:rPr>
          <w:rFonts w:ascii="Arial" w:hAnsi="Arial" w:cs="Arial"/>
          <w:sz w:val="24"/>
          <w:szCs w:val="24"/>
        </w:rPr>
        <w:t xml:space="preserve"> pharmacies provided the </w:t>
      </w:r>
      <w:r w:rsidR="003166E1">
        <w:rPr>
          <w:rFonts w:ascii="Arial" w:hAnsi="Arial" w:cs="Arial"/>
          <w:sz w:val="24"/>
          <w:szCs w:val="24"/>
        </w:rPr>
        <w:t>P</w:t>
      </w:r>
      <w:r w:rsidR="004254FD" w:rsidRPr="00FF5B63">
        <w:rPr>
          <w:rFonts w:ascii="Arial" w:hAnsi="Arial" w:cs="Arial"/>
          <w:sz w:val="24"/>
          <w:szCs w:val="24"/>
        </w:rPr>
        <w:t xml:space="preserve">alliative </w:t>
      </w:r>
      <w:r w:rsidR="003166E1">
        <w:rPr>
          <w:rFonts w:ascii="Arial" w:hAnsi="Arial" w:cs="Arial"/>
          <w:sz w:val="24"/>
          <w:szCs w:val="24"/>
        </w:rPr>
        <w:t>C</w:t>
      </w:r>
      <w:r w:rsidR="004254FD" w:rsidRPr="00FF5B63">
        <w:rPr>
          <w:rFonts w:ascii="Arial" w:hAnsi="Arial" w:cs="Arial"/>
          <w:sz w:val="24"/>
          <w:szCs w:val="24"/>
        </w:rPr>
        <w:t xml:space="preserve">are </w:t>
      </w:r>
      <w:r w:rsidR="003166E1">
        <w:rPr>
          <w:rFonts w:ascii="Arial" w:hAnsi="Arial" w:cs="Arial"/>
          <w:sz w:val="24"/>
          <w:szCs w:val="24"/>
        </w:rPr>
        <w:t>Enhanced S</w:t>
      </w:r>
      <w:r w:rsidR="004254FD" w:rsidRPr="00FF5B63">
        <w:rPr>
          <w:rFonts w:ascii="Arial" w:hAnsi="Arial" w:cs="Arial"/>
          <w:sz w:val="24"/>
          <w:szCs w:val="24"/>
        </w:rPr>
        <w:t>ervice</w:t>
      </w:r>
      <w:r w:rsidR="003166E1">
        <w:rPr>
          <w:rFonts w:ascii="Arial" w:hAnsi="Arial" w:cs="Arial"/>
          <w:sz w:val="24"/>
          <w:szCs w:val="24"/>
        </w:rPr>
        <w:t>.</w:t>
      </w:r>
    </w:p>
    <w:p w14:paraId="66C6A6C0" w14:textId="77777777" w:rsidR="0063382E" w:rsidRPr="00A10850" w:rsidRDefault="0063382E" w:rsidP="00DC54F7">
      <w:pPr>
        <w:spacing w:after="0" w:line="240" w:lineRule="auto"/>
        <w:jc w:val="both"/>
        <w:rPr>
          <w:rFonts w:ascii="Arial" w:hAnsi="Arial" w:cs="Arial"/>
          <w:highlight w:val="cyan"/>
          <w:lang w:val="en-US"/>
        </w:rPr>
      </w:pPr>
    </w:p>
    <w:p w14:paraId="315E5774" w14:textId="77777777" w:rsidR="0063382E" w:rsidRPr="00A10850" w:rsidRDefault="0063382E" w:rsidP="00DC54F7">
      <w:pPr>
        <w:spacing w:after="0" w:line="240" w:lineRule="auto"/>
        <w:jc w:val="both"/>
        <w:rPr>
          <w:rFonts w:ascii="Arial" w:hAnsi="Arial" w:cs="Arial"/>
        </w:rPr>
      </w:pPr>
    </w:p>
    <w:p w14:paraId="0B4DD363" w14:textId="5CD53038" w:rsidR="0063382E" w:rsidRPr="00E602AE" w:rsidRDefault="00B82E86" w:rsidP="00DC54F7">
      <w:pPr>
        <w:spacing w:after="0" w:line="240" w:lineRule="auto"/>
        <w:jc w:val="both"/>
        <w:rPr>
          <w:rFonts w:ascii="Arial" w:hAnsi="Arial" w:cs="Arial"/>
          <w:b/>
          <w:sz w:val="24"/>
          <w:szCs w:val="24"/>
          <w:lang w:val="en-US"/>
        </w:rPr>
      </w:pPr>
      <w:r>
        <w:rPr>
          <w:rFonts w:ascii="Arial" w:hAnsi="Arial" w:cs="Arial"/>
          <w:b/>
          <w:sz w:val="26"/>
          <w:szCs w:val="26"/>
          <w:lang w:val="en-US"/>
        </w:rPr>
        <w:t>16</w:t>
      </w:r>
      <w:r w:rsidR="0063382E" w:rsidRPr="00A10850">
        <w:rPr>
          <w:rFonts w:ascii="Arial" w:hAnsi="Arial" w:cs="Arial"/>
          <w:b/>
          <w:sz w:val="26"/>
          <w:szCs w:val="26"/>
          <w:lang w:val="en-US"/>
        </w:rPr>
        <w:t xml:space="preserve">.3 </w:t>
      </w:r>
      <w:r w:rsidR="0063382E" w:rsidRPr="00E602AE">
        <w:rPr>
          <w:rFonts w:ascii="Arial" w:hAnsi="Arial" w:cs="Arial"/>
          <w:b/>
          <w:sz w:val="24"/>
          <w:szCs w:val="24"/>
          <w:lang w:val="en-US"/>
        </w:rPr>
        <w:t>Current provision of pharmaceutical services outside the locality’s area</w:t>
      </w:r>
    </w:p>
    <w:p w14:paraId="259BEF58" w14:textId="77777777" w:rsidR="0063382E" w:rsidRPr="00A10850" w:rsidRDefault="0063382E" w:rsidP="00DC54F7">
      <w:pPr>
        <w:spacing w:after="0" w:line="240" w:lineRule="auto"/>
        <w:jc w:val="both"/>
        <w:rPr>
          <w:rFonts w:ascii="Arial" w:hAnsi="Arial" w:cs="Arial"/>
          <w:lang w:val="en-US"/>
        </w:rPr>
      </w:pPr>
    </w:p>
    <w:p w14:paraId="1A8CE1B6" w14:textId="77777777" w:rsidR="00D55CCC" w:rsidRPr="00B7029F" w:rsidRDefault="00D55CCC" w:rsidP="00DC54F7">
      <w:pPr>
        <w:spacing w:after="0" w:line="240" w:lineRule="auto"/>
        <w:jc w:val="both"/>
        <w:rPr>
          <w:rFonts w:ascii="Arial" w:hAnsi="Arial" w:cs="Arial"/>
          <w:sz w:val="24"/>
          <w:szCs w:val="24"/>
          <w:lang w:val="en-US"/>
        </w:rPr>
      </w:pPr>
      <w:r w:rsidRPr="00B7029F">
        <w:rPr>
          <w:rFonts w:ascii="Arial" w:hAnsi="Arial" w:cs="Arial"/>
          <w:sz w:val="24"/>
          <w:szCs w:val="24"/>
          <w:lang w:val="en-US"/>
        </w:rPr>
        <w:t>Some residents choose to access contractors outside both the cluster and the health board’s area in order to access services:</w:t>
      </w:r>
    </w:p>
    <w:p w14:paraId="29BBB971" w14:textId="77777777" w:rsidR="00D55CCC" w:rsidRPr="00B7029F" w:rsidRDefault="00D55CCC" w:rsidP="00DC54F7">
      <w:pPr>
        <w:spacing w:after="0" w:line="240" w:lineRule="auto"/>
        <w:jc w:val="both"/>
        <w:rPr>
          <w:rFonts w:ascii="Arial" w:hAnsi="Arial" w:cs="Arial"/>
          <w:sz w:val="24"/>
          <w:szCs w:val="24"/>
          <w:lang w:val="en-US"/>
        </w:rPr>
      </w:pPr>
    </w:p>
    <w:p w14:paraId="21C5F1FA" w14:textId="662C9836" w:rsidR="00D55CCC" w:rsidRPr="00B7029F" w:rsidRDefault="00573DCE" w:rsidP="00DC54F7">
      <w:pPr>
        <w:numPr>
          <w:ilvl w:val="0"/>
          <w:numId w:val="49"/>
        </w:numPr>
        <w:spacing w:after="0" w:line="240" w:lineRule="auto"/>
        <w:jc w:val="both"/>
        <w:rPr>
          <w:rFonts w:ascii="Arial" w:hAnsi="Arial" w:cs="Arial"/>
          <w:sz w:val="24"/>
          <w:szCs w:val="24"/>
          <w:lang w:val="en-US"/>
        </w:rPr>
      </w:pPr>
      <w:r w:rsidRPr="00B7029F">
        <w:rPr>
          <w:rFonts w:ascii="Arial" w:hAnsi="Arial" w:cs="Arial"/>
          <w:sz w:val="24"/>
          <w:szCs w:val="24"/>
          <w:lang w:val="en-US"/>
        </w:rPr>
        <w:t>Offered by dispensing appliance contractors.</w:t>
      </w:r>
    </w:p>
    <w:p w14:paraId="41E0DA10" w14:textId="77777777" w:rsidR="00D55CCC" w:rsidRPr="00B7029F" w:rsidRDefault="00D55CCC" w:rsidP="00DC54F7">
      <w:pPr>
        <w:numPr>
          <w:ilvl w:val="0"/>
          <w:numId w:val="49"/>
        </w:numPr>
        <w:spacing w:after="0" w:line="240" w:lineRule="auto"/>
        <w:jc w:val="both"/>
        <w:rPr>
          <w:rFonts w:ascii="Arial" w:hAnsi="Arial" w:cs="Arial"/>
          <w:sz w:val="24"/>
          <w:szCs w:val="24"/>
          <w:lang w:val="en-US"/>
        </w:rPr>
      </w:pPr>
      <w:r w:rsidRPr="00B7029F">
        <w:rPr>
          <w:rFonts w:ascii="Arial" w:hAnsi="Arial" w:cs="Arial"/>
          <w:sz w:val="24"/>
          <w:szCs w:val="24"/>
          <w:lang w:val="en-US"/>
        </w:rPr>
        <w:t>Which are located near to where they work, shop or visit for leisure or other purposes.</w:t>
      </w:r>
    </w:p>
    <w:p w14:paraId="6A1A7446" w14:textId="77777777" w:rsidR="00D55CCC" w:rsidRPr="00B7029F" w:rsidRDefault="00D55CCC" w:rsidP="00DC54F7">
      <w:pPr>
        <w:spacing w:after="0" w:line="240" w:lineRule="auto"/>
        <w:jc w:val="both"/>
        <w:rPr>
          <w:rFonts w:ascii="Arial" w:hAnsi="Arial" w:cs="Arial"/>
          <w:sz w:val="24"/>
          <w:szCs w:val="24"/>
          <w:lang w:val="en-US"/>
        </w:rPr>
      </w:pPr>
    </w:p>
    <w:p w14:paraId="13EB80D1" w14:textId="25DC3519" w:rsidR="00D55CCC" w:rsidRPr="00B7029F" w:rsidRDefault="00D55CCC" w:rsidP="00DC54F7">
      <w:pPr>
        <w:shd w:val="clear" w:color="auto" w:fill="FFFFFF"/>
        <w:spacing w:after="0"/>
        <w:jc w:val="both"/>
        <w:rPr>
          <w:rFonts w:ascii="Arial" w:hAnsi="Arial" w:cs="Arial"/>
          <w:color w:val="000000" w:themeColor="text1"/>
          <w:sz w:val="24"/>
          <w:szCs w:val="24"/>
        </w:rPr>
      </w:pPr>
      <w:r w:rsidRPr="00B7029F">
        <w:rPr>
          <w:rFonts w:ascii="Arial" w:hAnsi="Arial" w:cs="Arial"/>
          <w:color w:val="000000" w:themeColor="text1"/>
          <w:sz w:val="24"/>
          <w:szCs w:val="24"/>
        </w:rPr>
        <w:t xml:space="preserve">Whilst the majority of prescriptions written by the GP practices in 2019 to 2020 were dispensed by the pharmacies in the cluster, around </w:t>
      </w:r>
      <w:r w:rsidR="00063DE1" w:rsidRPr="00B7029F">
        <w:rPr>
          <w:rFonts w:ascii="Arial" w:hAnsi="Arial" w:cs="Arial"/>
          <w:color w:val="000000" w:themeColor="text1"/>
          <w:sz w:val="24"/>
          <w:szCs w:val="24"/>
        </w:rPr>
        <w:t>2</w:t>
      </w:r>
      <w:r w:rsidRPr="00B7029F">
        <w:rPr>
          <w:rFonts w:ascii="Arial" w:hAnsi="Arial" w:cs="Arial"/>
          <w:color w:val="000000" w:themeColor="text1"/>
          <w:sz w:val="24"/>
          <w:szCs w:val="24"/>
        </w:rPr>
        <w:t>.</w:t>
      </w:r>
      <w:r w:rsidR="00063DE1" w:rsidRPr="00B7029F">
        <w:rPr>
          <w:rFonts w:ascii="Arial" w:hAnsi="Arial" w:cs="Arial"/>
          <w:color w:val="000000" w:themeColor="text1"/>
          <w:sz w:val="24"/>
          <w:szCs w:val="24"/>
        </w:rPr>
        <w:t>4</w:t>
      </w:r>
      <w:r w:rsidRPr="00B7029F">
        <w:rPr>
          <w:rFonts w:ascii="Arial" w:hAnsi="Arial" w:cs="Arial"/>
          <w:color w:val="000000" w:themeColor="text1"/>
          <w:sz w:val="24"/>
          <w:szCs w:val="24"/>
        </w:rPr>
        <w:t>% were dispensed outside the cluster, most notably:</w:t>
      </w:r>
    </w:p>
    <w:p w14:paraId="4CB98E2B" w14:textId="77777777" w:rsidR="00D55CCC" w:rsidRPr="00B7029F" w:rsidRDefault="00D55CCC" w:rsidP="00DC54F7">
      <w:pPr>
        <w:shd w:val="clear" w:color="auto" w:fill="FFFFFF"/>
        <w:spacing w:after="0"/>
        <w:jc w:val="both"/>
        <w:rPr>
          <w:rFonts w:ascii="Arial" w:hAnsi="Arial" w:cs="Arial"/>
          <w:color w:val="000000"/>
          <w:sz w:val="24"/>
          <w:szCs w:val="24"/>
        </w:rPr>
      </w:pPr>
    </w:p>
    <w:p w14:paraId="7C02BAF3" w14:textId="64ECDF89" w:rsidR="00D55CCC" w:rsidRPr="00B7029F" w:rsidRDefault="00AC064C"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B7029F">
        <w:rPr>
          <w:rFonts w:ascii="Arial" w:hAnsi="Arial" w:cs="Arial"/>
          <w:color w:val="000000" w:themeColor="text1"/>
          <w:sz w:val="24"/>
          <w:szCs w:val="24"/>
        </w:rPr>
        <w:t>0</w:t>
      </w:r>
      <w:r w:rsidR="00D55CCC" w:rsidRPr="00B7029F">
        <w:rPr>
          <w:rFonts w:ascii="Arial" w:hAnsi="Arial" w:cs="Arial"/>
          <w:color w:val="000000" w:themeColor="text1"/>
          <w:sz w:val="24"/>
          <w:szCs w:val="24"/>
        </w:rPr>
        <w:t>.</w:t>
      </w:r>
      <w:r w:rsidRPr="00B7029F">
        <w:rPr>
          <w:rFonts w:ascii="Arial" w:hAnsi="Arial" w:cs="Arial"/>
          <w:color w:val="000000" w:themeColor="text1"/>
          <w:sz w:val="24"/>
          <w:szCs w:val="24"/>
        </w:rPr>
        <w:t>1</w:t>
      </w:r>
      <w:r w:rsidR="00D55CCC" w:rsidRPr="00B7029F">
        <w:rPr>
          <w:rFonts w:ascii="Arial" w:hAnsi="Arial" w:cs="Arial"/>
          <w:color w:val="000000" w:themeColor="text1"/>
          <w:sz w:val="24"/>
          <w:szCs w:val="24"/>
        </w:rPr>
        <w:t>% by pharmacies in Cardiff North cluster</w:t>
      </w:r>
    </w:p>
    <w:p w14:paraId="6E48644E" w14:textId="1048E7FD" w:rsidR="00A5589E" w:rsidRPr="00B7029F" w:rsidRDefault="00A5589E"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B7029F">
        <w:rPr>
          <w:rFonts w:ascii="Arial" w:hAnsi="Arial" w:cs="Arial"/>
          <w:color w:val="000000" w:themeColor="text1"/>
          <w:sz w:val="24"/>
          <w:szCs w:val="24"/>
        </w:rPr>
        <w:t xml:space="preserve">0.2% by pharmacies in </w:t>
      </w:r>
      <w:r w:rsidR="00480E51" w:rsidRPr="00B7029F">
        <w:rPr>
          <w:rFonts w:ascii="Arial" w:hAnsi="Arial" w:cs="Arial"/>
          <w:color w:val="000000" w:themeColor="text1"/>
          <w:sz w:val="24"/>
          <w:szCs w:val="24"/>
        </w:rPr>
        <w:t>Cardiff South West cluster</w:t>
      </w:r>
    </w:p>
    <w:p w14:paraId="0FCAF657" w14:textId="0E0DE65B" w:rsidR="00D55CCC" w:rsidRPr="00B7029F" w:rsidRDefault="00AC064C"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B7029F">
        <w:rPr>
          <w:rFonts w:ascii="Arial" w:hAnsi="Arial" w:cs="Arial"/>
          <w:color w:val="000000" w:themeColor="text1"/>
          <w:sz w:val="24"/>
          <w:szCs w:val="24"/>
        </w:rPr>
        <w:t>0</w:t>
      </w:r>
      <w:r w:rsidR="00D55CCC" w:rsidRPr="00B7029F">
        <w:rPr>
          <w:rFonts w:ascii="Arial" w:hAnsi="Arial" w:cs="Arial"/>
          <w:color w:val="000000" w:themeColor="text1"/>
          <w:sz w:val="24"/>
          <w:szCs w:val="24"/>
        </w:rPr>
        <w:t>.</w:t>
      </w:r>
      <w:r w:rsidRPr="00B7029F">
        <w:rPr>
          <w:rFonts w:ascii="Arial" w:hAnsi="Arial" w:cs="Arial"/>
          <w:color w:val="000000" w:themeColor="text1"/>
          <w:sz w:val="24"/>
          <w:szCs w:val="24"/>
        </w:rPr>
        <w:t>2</w:t>
      </w:r>
      <w:r w:rsidR="00D55CCC" w:rsidRPr="00B7029F">
        <w:rPr>
          <w:rFonts w:ascii="Arial" w:hAnsi="Arial" w:cs="Arial"/>
          <w:color w:val="000000" w:themeColor="text1"/>
          <w:sz w:val="24"/>
          <w:szCs w:val="24"/>
        </w:rPr>
        <w:t>% by pharmacies in Cardiff City &amp; South cluster</w:t>
      </w:r>
    </w:p>
    <w:p w14:paraId="464ADB2B" w14:textId="2432FDC6" w:rsidR="00AC064C" w:rsidRPr="00B7029F" w:rsidRDefault="00AC064C"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B7029F">
        <w:rPr>
          <w:rFonts w:ascii="Arial" w:hAnsi="Arial" w:cs="Arial"/>
          <w:color w:val="000000" w:themeColor="text1"/>
          <w:sz w:val="24"/>
          <w:szCs w:val="24"/>
        </w:rPr>
        <w:t>0.2% by pharmacies in Central Vale cluster</w:t>
      </w:r>
    </w:p>
    <w:p w14:paraId="6949400F" w14:textId="1EC2D25C" w:rsidR="00D55CCC" w:rsidRPr="00B7029F" w:rsidRDefault="00BC56FE" w:rsidP="00DC54F7">
      <w:pPr>
        <w:pStyle w:val="ListParagraph"/>
        <w:numPr>
          <w:ilvl w:val="0"/>
          <w:numId w:val="143"/>
        </w:numPr>
        <w:spacing w:after="0" w:line="240" w:lineRule="auto"/>
        <w:jc w:val="both"/>
        <w:rPr>
          <w:rFonts w:ascii="Arial" w:eastAsia="Times New Roman" w:hAnsi="Arial" w:cs="Arial"/>
          <w:color w:val="000000"/>
          <w:sz w:val="24"/>
          <w:szCs w:val="24"/>
          <w:lang w:eastAsia="en-GB"/>
        </w:rPr>
      </w:pPr>
      <w:r w:rsidRPr="00B7029F">
        <w:rPr>
          <w:rFonts w:ascii="Arial" w:hAnsi="Arial" w:cs="Arial"/>
          <w:color w:val="000000" w:themeColor="text1"/>
          <w:sz w:val="24"/>
          <w:szCs w:val="24"/>
        </w:rPr>
        <w:t>1</w:t>
      </w:r>
      <w:r w:rsidR="00D55CCC" w:rsidRPr="00B7029F">
        <w:rPr>
          <w:rFonts w:ascii="Arial" w:hAnsi="Arial" w:cs="Arial"/>
          <w:color w:val="000000" w:themeColor="text1"/>
          <w:sz w:val="24"/>
          <w:szCs w:val="24"/>
        </w:rPr>
        <w:t>.</w:t>
      </w:r>
      <w:r w:rsidRPr="00B7029F">
        <w:rPr>
          <w:rFonts w:ascii="Arial" w:hAnsi="Arial" w:cs="Arial"/>
          <w:color w:val="000000" w:themeColor="text1"/>
          <w:sz w:val="24"/>
          <w:szCs w:val="24"/>
        </w:rPr>
        <w:t>1</w:t>
      </w:r>
      <w:r w:rsidR="00D55CCC" w:rsidRPr="00B7029F">
        <w:rPr>
          <w:rFonts w:ascii="Arial" w:hAnsi="Arial" w:cs="Arial"/>
          <w:color w:val="000000" w:themeColor="text1"/>
          <w:sz w:val="24"/>
          <w:szCs w:val="24"/>
        </w:rPr>
        <w:t xml:space="preserve">% in </w:t>
      </w:r>
      <w:r w:rsidR="00D55CCC" w:rsidRPr="00B7029F">
        <w:rPr>
          <w:rFonts w:ascii="Arial" w:eastAsia="Times New Roman" w:hAnsi="Arial" w:cs="Arial"/>
          <w:color w:val="000000"/>
          <w:sz w:val="24"/>
          <w:szCs w:val="24"/>
          <w:lang w:eastAsia="en-GB"/>
        </w:rPr>
        <w:t>Cwm Taf Morgannwg University Health Board</w:t>
      </w:r>
    </w:p>
    <w:p w14:paraId="2F77163E" w14:textId="0EE35873" w:rsidR="00D55CCC" w:rsidRPr="00B7029F" w:rsidRDefault="00D55CCC" w:rsidP="00DC54F7">
      <w:pPr>
        <w:numPr>
          <w:ilvl w:val="0"/>
          <w:numId w:val="143"/>
        </w:numPr>
        <w:shd w:val="clear" w:color="auto" w:fill="FFFFFF"/>
        <w:spacing w:after="0" w:line="240" w:lineRule="auto"/>
        <w:jc w:val="both"/>
        <w:rPr>
          <w:rFonts w:ascii="Arial" w:hAnsi="Arial" w:cs="Arial"/>
          <w:color w:val="000000" w:themeColor="text1"/>
          <w:sz w:val="24"/>
          <w:szCs w:val="24"/>
        </w:rPr>
      </w:pPr>
      <w:r w:rsidRPr="00B7029F">
        <w:rPr>
          <w:rFonts w:ascii="Arial" w:hAnsi="Arial" w:cs="Arial"/>
          <w:color w:val="000000" w:themeColor="text1"/>
          <w:sz w:val="24"/>
          <w:szCs w:val="24"/>
        </w:rPr>
        <w:t>0.</w:t>
      </w:r>
      <w:r w:rsidR="00BC56FE" w:rsidRPr="00B7029F">
        <w:rPr>
          <w:rFonts w:ascii="Arial" w:hAnsi="Arial" w:cs="Arial"/>
          <w:color w:val="000000" w:themeColor="text1"/>
          <w:sz w:val="24"/>
          <w:szCs w:val="24"/>
        </w:rPr>
        <w:t>5</w:t>
      </w:r>
      <w:r w:rsidRPr="00B7029F">
        <w:rPr>
          <w:rFonts w:ascii="Arial" w:hAnsi="Arial" w:cs="Arial"/>
          <w:color w:val="000000" w:themeColor="text1"/>
          <w:sz w:val="24"/>
          <w:szCs w:val="24"/>
        </w:rPr>
        <w:t>% by contractors in England</w:t>
      </w:r>
    </w:p>
    <w:p w14:paraId="069D08BE" w14:textId="68DD3370" w:rsidR="00D55CCC" w:rsidRPr="00B7029F" w:rsidRDefault="00D55CCC" w:rsidP="00DC54F7">
      <w:pPr>
        <w:shd w:val="clear" w:color="auto" w:fill="FFFFFF"/>
        <w:spacing w:after="0" w:line="240" w:lineRule="auto"/>
        <w:jc w:val="both"/>
        <w:rPr>
          <w:rFonts w:ascii="Arial" w:hAnsi="Arial" w:cs="Arial"/>
          <w:color w:val="000000" w:themeColor="text1"/>
          <w:sz w:val="24"/>
          <w:szCs w:val="24"/>
        </w:rPr>
      </w:pPr>
    </w:p>
    <w:p w14:paraId="2BE4BA4A" w14:textId="23519582" w:rsidR="00D55CCC" w:rsidRPr="00B7029F" w:rsidRDefault="00D55CCC" w:rsidP="00DC54F7">
      <w:pPr>
        <w:shd w:val="clear" w:color="auto" w:fill="FFFFFF"/>
        <w:spacing w:after="0" w:line="240" w:lineRule="auto"/>
        <w:jc w:val="both"/>
        <w:rPr>
          <w:rFonts w:ascii="Arial" w:hAnsi="Arial" w:cs="Arial"/>
          <w:sz w:val="24"/>
          <w:szCs w:val="24"/>
        </w:rPr>
      </w:pPr>
      <w:r w:rsidRPr="00B7029F">
        <w:rPr>
          <w:rFonts w:ascii="Arial" w:hAnsi="Arial" w:cs="Arial"/>
          <w:sz w:val="24"/>
          <w:szCs w:val="24"/>
        </w:rPr>
        <w:t>In addition, residents may have accessed one or more pharmaceutical services provided by another pharmacy outside of both the cluster and the health board’s area; however, it is not possible to quantify this activity from the recorded data.</w:t>
      </w:r>
    </w:p>
    <w:p w14:paraId="00CB6A13" w14:textId="77777777" w:rsidR="00D55CCC" w:rsidRPr="00B7029F" w:rsidRDefault="00D55CCC" w:rsidP="00DC54F7">
      <w:pPr>
        <w:shd w:val="clear" w:color="auto" w:fill="FFFFFF"/>
        <w:spacing w:after="0" w:line="240" w:lineRule="auto"/>
        <w:jc w:val="both"/>
        <w:rPr>
          <w:rFonts w:ascii="Arial" w:hAnsi="Arial" w:cs="Arial"/>
          <w:sz w:val="24"/>
          <w:szCs w:val="24"/>
        </w:rPr>
      </w:pPr>
      <w:r w:rsidRPr="00B7029F">
        <w:rPr>
          <w:rFonts w:ascii="Arial" w:hAnsi="Arial" w:cs="Arial"/>
          <w:sz w:val="24"/>
          <w:szCs w:val="24"/>
        </w:rPr>
        <w:t> </w:t>
      </w:r>
    </w:p>
    <w:p w14:paraId="16B10F6E" w14:textId="4C830DC2" w:rsidR="00D55CCC" w:rsidRPr="00B7029F" w:rsidRDefault="00D55CCC" w:rsidP="00DC54F7">
      <w:pPr>
        <w:spacing w:after="0" w:line="240" w:lineRule="auto"/>
        <w:jc w:val="both"/>
        <w:rPr>
          <w:rFonts w:ascii="Arial" w:hAnsi="Arial" w:cs="Arial"/>
          <w:sz w:val="24"/>
          <w:szCs w:val="24"/>
          <w:lang w:val="en-US"/>
        </w:rPr>
      </w:pPr>
      <w:r w:rsidRPr="00B7029F">
        <w:rPr>
          <w:rFonts w:ascii="Arial" w:hAnsi="Arial" w:cs="Arial"/>
          <w:sz w:val="24"/>
          <w:szCs w:val="24"/>
          <w:lang w:val="en-US"/>
        </w:rPr>
        <w:t xml:space="preserve">Taking into account pharmacies in the neighbouring clusters and pharmacies over the border in other health board areas in Wales, all residents in the cluster of </w:t>
      </w:r>
      <w:r w:rsidR="00BE0793" w:rsidRPr="00B7029F">
        <w:rPr>
          <w:rFonts w:ascii="Arial" w:hAnsi="Arial" w:cs="Arial"/>
          <w:sz w:val="24"/>
          <w:szCs w:val="24"/>
          <w:lang w:val="en-US"/>
        </w:rPr>
        <w:t>Western Vale</w:t>
      </w:r>
      <w:r w:rsidRPr="00B7029F">
        <w:rPr>
          <w:rFonts w:ascii="Arial" w:hAnsi="Arial" w:cs="Arial"/>
          <w:sz w:val="24"/>
          <w:szCs w:val="24"/>
          <w:lang w:val="en-US"/>
        </w:rPr>
        <w:t xml:space="preserve"> can access a pharmacy by car within </w:t>
      </w:r>
      <w:r w:rsidR="00BE0793" w:rsidRPr="00B7029F">
        <w:rPr>
          <w:rFonts w:ascii="Arial" w:hAnsi="Arial" w:cs="Arial"/>
          <w:sz w:val="24"/>
          <w:szCs w:val="24"/>
          <w:lang w:val="en-US"/>
        </w:rPr>
        <w:t>2</w:t>
      </w:r>
      <w:r w:rsidRPr="00B7029F">
        <w:rPr>
          <w:rFonts w:ascii="Arial" w:hAnsi="Arial" w:cs="Arial"/>
          <w:sz w:val="24"/>
          <w:szCs w:val="24"/>
          <w:lang w:val="en-US"/>
        </w:rPr>
        <w:t xml:space="preserve">0 minutes and the majority can access a pharmacy by car within </w:t>
      </w:r>
      <w:r w:rsidR="00BE0793" w:rsidRPr="00B7029F">
        <w:rPr>
          <w:rFonts w:ascii="Arial" w:hAnsi="Arial" w:cs="Arial"/>
          <w:sz w:val="24"/>
          <w:szCs w:val="24"/>
          <w:lang w:val="en-US"/>
        </w:rPr>
        <w:t>10</w:t>
      </w:r>
      <w:r w:rsidRPr="00B7029F">
        <w:rPr>
          <w:rFonts w:ascii="Arial" w:hAnsi="Arial" w:cs="Arial"/>
          <w:sz w:val="24"/>
          <w:szCs w:val="24"/>
          <w:lang w:val="en-US"/>
        </w:rPr>
        <w:t xml:space="preserve"> minutes. </w:t>
      </w:r>
    </w:p>
    <w:p w14:paraId="21A9AF1A" w14:textId="77777777" w:rsidR="00D55CCC" w:rsidRPr="00B7029F" w:rsidRDefault="00D55CCC" w:rsidP="00DC54F7">
      <w:pPr>
        <w:spacing w:after="0" w:line="240" w:lineRule="auto"/>
        <w:jc w:val="both"/>
        <w:rPr>
          <w:rFonts w:ascii="Arial" w:hAnsi="Arial" w:cs="Arial"/>
          <w:sz w:val="24"/>
          <w:szCs w:val="24"/>
          <w:lang w:val="en-US"/>
        </w:rPr>
      </w:pPr>
    </w:p>
    <w:p w14:paraId="1B08087E" w14:textId="77777777" w:rsidR="0063382E" w:rsidRPr="00A10850" w:rsidRDefault="0063382E" w:rsidP="00DC54F7">
      <w:pPr>
        <w:spacing w:after="0" w:line="240" w:lineRule="auto"/>
        <w:jc w:val="both"/>
        <w:rPr>
          <w:rFonts w:ascii="Arial" w:hAnsi="Arial" w:cs="Arial"/>
          <w:lang w:val="en-US"/>
        </w:rPr>
      </w:pPr>
    </w:p>
    <w:p w14:paraId="1E3A9767" w14:textId="522575F2" w:rsidR="0063382E" w:rsidRPr="00A10850" w:rsidRDefault="00B82E86" w:rsidP="00DC54F7">
      <w:pPr>
        <w:spacing w:after="0" w:line="240" w:lineRule="auto"/>
        <w:jc w:val="both"/>
        <w:rPr>
          <w:rFonts w:ascii="Arial" w:hAnsi="Arial" w:cs="Arial"/>
          <w:b/>
          <w:sz w:val="26"/>
          <w:szCs w:val="26"/>
          <w:lang w:val="en-US"/>
        </w:rPr>
      </w:pPr>
      <w:r>
        <w:rPr>
          <w:rFonts w:ascii="Arial" w:hAnsi="Arial" w:cs="Arial"/>
          <w:b/>
          <w:sz w:val="26"/>
          <w:szCs w:val="26"/>
          <w:lang w:val="en-US"/>
        </w:rPr>
        <w:t>16</w:t>
      </w:r>
      <w:r w:rsidR="0063382E" w:rsidRPr="00A10850">
        <w:rPr>
          <w:rFonts w:ascii="Arial" w:hAnsi="Arial" w:cs="Arial"/>
          <w:b/>
          <w:sz w:val="26"/>
          <w:szCs w:val="26"/>
          <w:lang w:val="en-US"/>
        </w:rPr>
        <w:t xml:space="preserve">.4 </w:t>
      </w:r>
      <w:r w:rsidR="0063382E" w:rsidRPr="00E602AE">
        <w:rPr>
          <w:rFonts w:ascii="Arial" w:hAnsi="Arial" w:cs="Arial"/>
          <w:b/>
          <w:sz w:val="24"/>
          <w:szCs w:val="24"/>
          <w:lang w:val="en-US"/>
        </w:rPr>
        <w:t>Other NHS services</w:t>
      </w:r>
    </w:p>
    <w:p w14:paraId="48CF04C9" w14:textId="3F487BF7" w:rsidR="0063382E" w:rsidRDefault="0063382E" w:rsidP="00DC54F7">
      <w:pPr>
        <w:spacing w:after="0" w:line="240" w:lineRule="auto"/>
        <w:jc w:val="both"/>
        <w:rPr>
          <w:rFonts w:ascii="Arial" w:hAnsi="Arial" w:cs="Arial"/>
          <w:lang w:val="en-US"/>
        </w:rPr>
      </w:pPr>
    </w:p>
    <w:p w14:paraId="594FDF86" w14:textId="77777777" w:rsidR="006A03EB" w:rsidRPr="007D7C72" w:rsidRDefault="006A03EB" w:rsidP="00DC54F7">
      <w:pPr>
        <w:spacing w:after="0" w:line="240" w:lineRule="auto"/>
        <w:jc w:val="both"/>
        <w:rPr>
          <w:rFonts w:ascii="Arial" w:hAnsi="Arial" w:cs="Arial"/>
          <w:sz w:val="24"/>
          <w:szCs w:val="24"/>
        </w:rPr>
      </w:pPr>
      <w:r w:rsidRPr="007D7C72">
        <w:rPr>
          <w:rFonts w:ascii="Arial" w:hAnsi="Arial" w:cs="Arial"/>
          <w:sz w:val="24"/>
          <w:szCs w:val="24"/>
        </w:rPr>
        <w:t>No key other NHS services are located within this cluster.</w:t>
      </w:r>
    </w:p>
    <w:p w14:paraId="5AC882D4" w14:textId="77777777" w:rsidR="006A03EB" w:rsidRPr="00A10850" w:rsidRDefault="006A03EB" w:rsidP="00DC54F7">
      <w:pPr>
        <w:spacing w:after="0" w:line="240" w:lineRule="auto"/>
        <w:jc w:val="both"/>
        <w:rPr>
          <w:rFonts w:ascii="Arial" w:hAnsi="Arial" w:cs="Arial"/>
          <w:lang w:val="en-US"/>
        </w:rPr>
      </w:pPr>
    </w:p>
    <w:p w14:paraId="59F5049D" w14:textId="77777777" w:rsidR="0063382E" w:rsidRDefault="0063382E" w:rsidP="00DC54F7">
      <w:pPr>
        <w:spacing w:after="0" w:line="240" w:lineRule="auto"/>
        <w:jc w:val="both"/>
        <w:rPr>
          <w:rFonts w:ascii="Arial" w:hAnsi="Arial" w:cs="Arial"/>
        </w:rPr>
      </w:pPr>
    </w:p>
    <w:p w14:paraId="0D4F407F" w14:textId="77777777" w:rsidR="00E602AE" w:rsidRPr="00A10850" w:rsidRDefault="00E602AE" w:rsidP="00DC54F7">
      <w:pPr>
        <w:spacing w:after="0" w:line="240" w:lineRule="auto"/>
        <w:jc w:val="both"/>
        <w:rPr>
          <w:rFonts w:ascii="Arial" w:hAnsi="Arial" w:cs="Arial"/>
        </w:rPr>
      </w:pPr>
    </w:p>
    <w:p w14:paraId="27BEEBBB" w14:textId="4B1F2996" w:rsidR="0063382E" w:rsidRPr="00A10850" w:rsidRDefault="00B82E86" w:rsidP="00DC54F7">
      <w:pPr>
        <w:spacing w:after="0" w:line="240" w:lineRule="auto"/>
        <w:jc w:val="both"/>
        <w:rPr>
          <w:rFonts w:ascii="Arial" w:hAnsi="Arial" w:cs="Arial"/>
          <w:b/>
          <w:sz w:val="26"/>
          <w:szCs w:val="26"/>
          <w:lang w:val="en-US"/>
        </w:rPr>
      </w:pPr>
      <w:r>
        <w:rPr>
          <w:rFonts w:ascii="Arial" w:hAnsi="Arial" w:cs="Arial"/>
          <w:b/>
          <w:sz w:val="26"/>
          <w:szCs w:val="26"/>
          <w:lang w:val="en-US"/>
        </w:rPr>
        <w:lastRenderedPageBreak/>
        <w:t>16</w:t>
      </w:r>
      <w:r w:rsidR="0063382E" w:rsidRPr="00A10850">
        <w:rPr>
          <w:rFonts w:ascii="Arial" w:hAnsi="Arial" w:cs="Arial"/>
          <w:b/>
          <w:sz w:val="26"/>
          <w:szCs w:val="26"/>
          <w:lang w:val="en-US"/>
        </w:rPr>
        <w:t xml:space="preserve">.5 </w:t>
      </w:r>
      <w:r w:rsidR="0063382E" w:rsidRPr="00E602AE">
        <w:rPr>
          <w:rFonts w:ascii="Arial" w:hAnsi="Arial" w:cs="Arial"/>
          <w:b/>
          <w:sz w:val="24"/>
          <w:szCs w:val="24"/>
          <w:lang w:val="en-US"/>
        </w:rPr>
        <w:t>Choice with regard to obtaining pharmaceutical services</w:t>
      </w:r>
    </w:p>
    <w:p w14:paraId="62661F9A" w14:textId="77777777" w:rsidR="0063382E" w:rsidRPr="00A10850" w:rsidRDefault="0063382E" w:rsidP="00DC54F7">
      <w:pPr>
        <w:spacing w:after="0" w:line="240" w:lineRule="auto"/>
        <w:jc w:val="both"/>
        <w:rPr>
          <w:rFonts w:ascii="Arial" w:hAnsi="Arial" w:cs="Arial"/>
          <w:lang w:val="en-US"/>
        </w:rPr>
      </w:pPr>
    </w:p>
    <w:p w14:paraId="628F990A" w14:textId="6F4EFD16" w:rsidR="00B21BE3" w:rsidRPr="00750D9D" w:rsidRDefault="00B21BE3" w:rsidP="00DC54F7">
      <w:pPr>
        <w:spacing w:after="0" w:line="240" w:lineRule="auto"/>
        <w:jc w:val="both"/>
        <w:rPr>
          <w:rFonts w:ascii="Arial" w:hAnsi="Arial" w:cs="Arial"/>
          <w:sz w:val="24"/>
          <w:szCs w:val="24"/>
          <w:lang w:val="en-US"/>
        </w:rPr>
      </w:pPr>
      <w:r w:rsidRPr="00750D9D">
        <w:rPr>
          <w:rFonts w:ascii="Arial" w:hAnsi="Arial" w:cs="Arial"/>
          <w:sz w:val="24"/>
          <w:szCs w:val="24"/>
          <w:lang w:val="en-US"/>
        </w:rPr>
        <w:t xml:space="preserve">As can be seen from sections 16.2 and 16.3, those living within the cluster area and registered with one of the GP practices generally choose to access one of the pharmacies in the cluster in order to have their prescriptions dispensed. Those that look outside the cluster usually do so to access a neighbouring pharmacy within the health board’s area. A minority choose to have their prescription dispensed by a pharmacy or an appliance contractor outside of the health board’s area.  </w:t>
      </w:r>
    </w:p>
    <w:p w14:paraId="39EF0699" w14:textId="77777777" w:rsidR="00B21BE3" w:rsidRPr="00750D9D" w:rsidRDefault="00B21BE3" w:rsidP="00DC54F7">
      <w:pPr>
        <w:spacing w:after="0" w:line="240" w:lineRule="auto"/>
        <w:jc w:val="both"/>
        <w:rPr>
          <w:rFonts w:ascii="Arial" w:hAnsi="Arial" w:cs="Arial"/>
          <w:sz w:val="24"/>
          <w:szCs w:val="24"/>
          <w:lang w:val="en-US"/>
        </w:rPr>
      </w:pPr>
    </w:p>
    <w:p w14:paraId="21DCFFFD" w14:textId="782BCA0A" w:rsidR="00B21BE3" w:rsidRPr="00750D9D" w:rsidRDefault="00B21BE3" w:rsidP="00DC54F7">
      <w:pPr>
        <w:spacing w:after="0" w:line="240" w:lineRule="auto"/>
        <w:jc w:val="both"/>
        <w:rPr>
          <w:rFonts w:ascii="Calibri" w:eastAsia="Times New Roman" w:hAnsi="Calibri" w:cs="Calibri"/>
          <w:color w:val="000000"/>
          <w:sz w:val="24"/>
          <w:szCs w:val="24"/>
          <w:lang w:eastAsia="en-GB"/>
        </w:rPr>
      </w:pPr>
      <w:r w:rsidRPr="00750D9D">
        <w:rPr>
          <w:rFonts w:ascii="Arial" w:hAnsi="Arial" w:cs="Arial"/>
          <w:sz w:val="24"/>
          <w:szCs w:val="24"/>
          <w:lang w:val="en-US"/>
        </w:rPr>
        <w:t xml:space="preserve">A total of </w:t>
      </w:r>
      <w:r w:rsidR="00EA1D7E" w:rsidRPr="00750D9D">
        <w:rPr>
          <w:rFonts w:ascii="Arial" w:hAnsi="Arial" w:cs="Arial"/>
          <w:sz w:val="24"/>
          <w:szCs w:val="24"/>
          <w:lang w:val="en-US"/>
        </w:rPr>
        <w:t>198</w:t>
      </w:r>
      <w:r w:rsidRPr="00750D9D">
        <w:rPr>
          <w:rFonts w:ascii="Arial" w:hAnsi="Arial" w:cs="Arial"/>
          <w:sz w:val="24"/>
          <w:szCs w:val="24"/>
          <w:lang w:val="en-US"/>
        </w:rPr>
        <w:t xml:space="preserve"> pharmacy contractors that were trading in Wales during 2019 to 2020, dispensed items written by one of the GP practices in the </w:t>
      </w:r>
      <w:r w:rsidR="00630D73" w:rsidRPr="00750D9D">
        <w:rPr>
          <w:rFonts w:ascii="Arial" w:hAnsi="Arial" w:cs="Arial"/>
          <w:sz w:val="24"/>
          <w:szCs w:val="24"/>
          <w:lang w:val="en-US"/>
        </w:rPr>
        <w:t xml:space="preserve">Western Vale </w:t>
      </w:r>
      <w:r w:rsidRPr="00750D9D">
        <w:rPr>
          <w:rFonts w:ascii="Arial" w:hAnsi="Arial" w:cs="Arial"/>
          <w:sz w:val="24"/>
          <w:szCs w:val="24"/>
          <w:lang w:val="en-US"/>
        </w:rPr>
        <w:t xml:space="preserve">cluster, of which </w:t>
      </w:r>
      <w:r w:rsidR="00C70892" w:rsidRPr="00750D9D">
        <w:rPr>
          <w:rFonts w:ascii="Arial" w:hAnsi="Arial" w:cs="Arial"/>
          <w:sz w:val="24"/>
          <w:szCs w:val="24"/>
          <w:lang w:val="en-US"/>
        </w:rPr>
        <w:t>115</w:t>
      </w:r>
      <w:r w:rsidRPr="00750D9D">
        <w:rPr>
          <w:rFonts w:ascii="Arial" w:hAnsi="Arial" w:cs="Arial"/>
          <w:sz w:val="24"/>
          <w:szCs w:val="24"/>
          <w:lang w:val="en-US"/>
        </w:rPr>
        <w:t xml:space="preserve"> were outside of the health board’s area. </w:t>
      </w:r>
      <w:r w:rsidR="00262E8B" w:rsidRPr="00750D9D">
        <w:rPr>
          <w:rFonts w:ascii="Arial" w:hAnsi="Arial" w:cs="Arial"/>
          <w:sz w:val="24"/>
          <w:szCs w:val="24"/>
          <w:lang w:val="en-US"/>
        </w:rPr>
        <w:t>3,503</w:t>
      </w:r>
      <w:r w:rsidRPr="00750D9D">
        <w:rPr>
          <w:rFonts w:ascii="Arial" w:hAnsi="Arial" w:cs="Arial"/>
          <w:sz w:val="24"/>
          <w:szCs w:val="24"/>
          <w:lang w:val="en-US"/>
        </w:rPr>
        <w:t xml:space="preserve"> prescription items were dispensed in England. </w:t>
      </w:r>
    </w:p>
    <w:p w14:paraId="15C1F1D2" w14:textId="77777777" w:rsidR="0063382E" w:rsidRPr="00E602AE" w:rsidRDefault="0063382E" w:rsidP="00DC54F7">
      <w:pPr>
        <w:spacing w:after="0" w:line="240" w:lineRule="auto"/>
        <w:jc w:val="both"/>
        <w:rPr>
          <w:rFonts w:ascii="Arial" w:hAnsi="Arial" w:cs="Arial"/>
          <w:lang w:val="en-US"/>
        </w:rPr>
      </w:pPr>
    </w:p>
    <w:p w14:paraId="1F7155D9" w14:textId="77777777" w:rsidR="0063382E" w:rsidRPr="00E602AE" w:rsidRDefault="0063382E" w:rsidP="00DC54F7">
      <w:pPr>
        <w:spacing w:after="0" w:line="240" w:lineRule="auto"/>
        <w:jc w:val="both"/>
        <w:rPr>
          <w:rFonts w:ascii="Arial" w:hAnsi="Arial" w:cs="Arial"/>
          <w:b/>
          <w:lang w:val="en-US"/>
        </w:rPr>
      </w:pPr>
    </w:p>
    <w:p w14:paraId="59F73987" w14:textId="3800CBD7" w:rsidR="0063382E" w:rsidRPr="00A10850" w:rsidRDefault="00B82E86" w:rsidP="00DC54F7">
      <w:pPr>
        <w:spacing w:after="0" w:line="240" w:lineRule="auto"/>
        <w:jc w:val="both"/>
        <w:rPr>
          <w:rFonts w:ascii="Arial" w:hAnsi="Arial" w:cs="Arial"/>
          <w:b/>
          <w:sz w:val="26"/>
          <w:szCs w:val="26"/>
          <w:lang w:val="en-US"/>
        </w:rPr>
      </w:pPr>
      <w:r>
        <w:rPr>
          <w:rFonts w:ascii="Arial" w:hAnsi="Arial" w:cs="Arial"/>
          <w:b/>
          <w:sz w:val="26"/>
          <w:szCs w:val="26"/>
          <w:lang w:val="en-US"/>
        </w:rPr>
        <w:t>16</w:t>
      </w:r>
      <w:r w:rsidR="0063382E" w:rsidRPr="00A10850">
        <w:rPr>
          <w:rFonts w:ascii="Arial" w:hAnsi="Arial" w:cs="Arial"/>
          <w:b/>
          <w:sz w:val="26"/>
          <w:szCs w:val="26"/>
          <w:lang w:val="en-US"/>
        </w:rPr>
        <w:t xml:space="preserve">.6 </w:t>
      </w:r>
      <w:r w:rsidR="0063382E" w:rsidRPr="00E602AE">
        <w:rPr>
          <w:rFonts w:ascii="Arial" w:hAnsi="Arial" w:cs="Arial"/>
          <w:b/>
          <w:sz w:val="24"/>
          <w:szCs w:val="24"/>
          <w:lang w:val="en-US"/>
        </w:rPr>
        <w:t>Gaps in provision</w:t>
      </w:r>
    </w:p>
    <w:p w14:paraId="10454F80" w14:textId="512143B0" w:rsidR="00D7301F" w:rsidRDefault="00D7301F" w:rsidP="00DC54F7">
      <w:pPr>
        <w:spacing w:after="0" w:line="240" w:lineRule="auto"/>
        <w:jc w:val="both"/>
        <w:rPr>
          <w:rFonts w:ascii="Arial" w:hAnsi="Arial" w:cs="Arial"/>
          <w:highlight w:val="yellow"/>
        </w:rPr>
      </w:pPr>
    </w:p>
    <w:p w14:paraId="50CFE4C1" w14:textId="0B0AC5B6" w:rsidR="000029D0" w:rsidRPr="001659EC" w:rsidRDefault="00687B87" w:rsidP="00DC54F7">
      <w:pPr>
        <w:spacing w:after="0" w:line="240" w:lineRule="auto"/>
        <w:jc w:val="both"/>
        <w:rPr>
          <w:rFonts w:ascii="Arial" w:hAnsi="Arial" w:cs="Arial"/>
          <w:sz w:val="24"/>
          <w:szCs w:val="24"/>
        </w:rPr>
      </w:pPr>
      <w:r w:rsidRPr="001659EC">
        <w:rPr>
          <w:rFonts w:ascii="Arial" w:hAnsi="Arial" w:cs="Arial"/>
          <w:sz w:val="24"/>
          <w:szCs w:val="24"/>
        </w:rPr>
        <w:t xml:space="preserve">The </w:t>
      </w:r>
      <w:r w:rsidRPr="001659EC">
        <w:rPr>
          <w:rFonts w:ascii="Arial" w:hAnsi="Arial" w:cs="Arial"/>
          <w:color w:val="000000"/>
          <w:sz w:val="24"/>
          <w:szCs w:val="24"/>
        </w:rPr>
        <w:t xml:space="preserve">Cardiff and Vale University Health Board </w:t>
      </w:r>
      <w:r w:rsidRPr="001659EC">
        <w:rPr>
          <w:rFonts w:ascii="Arial" w:hAnsi="Arial" w:cs="Arial"/>
          <w:sz w:val="24"/>
          <w:szCs w:val="24"/>
        </w:rPr>
        <w:t>has noted the locations of the pharmacies across the cluster and the dispensing doctor practice, and the fact that the population can access a pharmacy by car within 20 minutes, with the majority within 10 minutes. Whilst noting that not all households have access to a car throughout the day, the nature of the cluster means that walking to a pharmacy will be a realistic option for many residents and regular public transport services are available for those who are unable to undertake the whole journey on foot.</w:t>
      </w:r>
      <w:r w:rsidR="00690D72" w:rsidRPr="001659EC">
        <w:rPr>
          <w:rFonts w:ascii="Arial" w:hAnsi="Arial" w:cs="Arial"/>
          <w:sz w:val="24"/>
          <w:szCs w:val="24"/>
        </w:rPr>
        <w:t xml:space="preserve"> </w:t>
      </w:r>
      <w:r w:rsidR="000029D0" w:rsidRPr="001659EC">
        <w:rPr>
          <w:rStyle w:val="x-1565784400x-1896074302size"/>
          <w:rFonts w:ascii="Arial" w:hAnsi="Arial" w:cs="Arial"/>
          <w:color w:val="000000"/>
          <w:sz w:val="24"/>
          <w:szCs w:val="24"/>
        </w:rPr>
        <w:t>However, in the very rural areas of Western Vale cluster, public transport services are limited.  Although car ownership is likely to be high</w:t>
      </w:r>
      <w:r w:rsidR="00D617CE" w:rsidRPr="001659EC">
        <w:rPr>
          <w:rStyle w:val="x-1565784400x-1896074302size"/>
          <w:rFonts w:ascii="Arial" w:hAnsi="Arial" w:cs="Arial"/>
          <w:color w:val="000000"/>
          <w:sz w:val="24"/>
          <w:szCs w:val="24"/>
        </w:rPr>
        <w:t xml:space="preserve"> in these areas</w:t>
      </w:r>
      <w:r w:rsidR="000029D0" w:rsidRPr="001659EC">
        <w:rPr>
          <w:rStyle w:val="x-1565784400x-1896074302size"/>
          <w:rFonts w:ascii="Arial" w:hAnsi="Arial" w:cs="Arial"/>
          <w:color w:val="000000"/>
          <w:sz w:val="24"/>
          <w:szCs w:val="24"/>
        </w:rPr>
        <w:t>, those without a car and in particular the elderly, may find it difficult to access a pharmacy. </w:t>
      </w:r>
      <w:r w:rsidR="000029D0" w:rsidRPr="001659EC">
        <w:rPr>
          <w:rFonts w:ascii="Arial" w:hAnsi="Arial" w:cs="Arial"/>
          <w:color w:val="000000"/>
          <w:sz w:val="24"/>
          <w:szCs w:val="24"/>
          <w:shd w:val="clear" w:color="auto" w:fill="FFFFFF"/>
        </w:rPr>
        <w:t>The majority of pharmacies will have arrangements in place that enable timely access to medicines to those who are housebound or who may find it difficult to access a pharmacy.</w:t>
      </w:r>
    </w:p>
    <w:p w14:paraId="330E90A5" w14:textId="77777777" w:rsidR="000029D0" w:rsidRPr="00263C2B" w:rsidRDefault="000029D0" w:rsidP="00DC54F7">
      <w:pPr>
        <w:spacing w:after="0" w:line="240" w:lineRule="auto"/>
        <w:jc w:val="both"/>
        <w:rPr>
          <w:rFonts w:ascii="Arial" w:hAnsi="Arial" w:cs="Arial"/>
          <w:sz w:val="24"/>
          <w:szCs w:val="24"/>
          <w:highlight w:val="yellow"/>
        </w:rPr>
      </w:pPr>
    </w:p>
    <w:p w14:paraId="4E07A84F" w14:textId="094DF5BF" w:rsidR="00D7301F" w:rsidRPr="00A16F5C" w:rsidRDefault="00D7301F" w:rsidP="00DC54F7">
      <w:pPr>
        <w:spacing w:after="0" w:line="240" w:lineRule="auto"/>
        <w:jc w:val="both"/>
        <w:rPr>
          <w:rFonts w:ascii="Arial" w:hAnsi="Arial" w:cs="Arial"/>
          <w:sz w:val="24"/>
          <w:szCs w:val="24"/>
        </w:rPr>
      </w:pPr>
      <w:r w:rsidRPr="00A16F5C">
        <w:rPr>
          <w:rFonts w:ascii="Arial" w:hAnsi="Arial" w:cs="Arial"/>
          <w:sz w:val="24"/>
          <w:szCs w:val="24"/>
        </w:rPr>
        <w:t xml:space="preserve">The </w:t>
      </w:r>
      <w:r w:rsidRPr="00A16F5C">
        <w:rPr>
          <w:rFonts w:ascii="Arial" w:hAnsi="Arial" w:cs="Arial"/>
          <w:color w:val="000000"/>
          <w:sz w:val="24"/>
          <w:szCs w:val="24"/>
        </w:rPr>
        <w:t xml:space="preserve">Cardiff and Vale University Health Board </w:t>
      </w:r>
      <w:r w:rsidRPr="00A16F5C">
        <w:rPr>
          <w:rFonts w:ascii="Arial" w:hAnsi="Arial" w:cs="Arial"/>
          <w:sz w:val="24"/>
          <w:szCs w:val="24"/>
        </w:rPr>
        <w:t xml:space="preserve">has noted the opening hours of the existing pharmacies and is of the opinion that they are sufficient to meet the likely needs of residents in the cluster. The </w:t>
      </w:r>
      <w:r w:rsidRPr="00A16F5C">
        <w:rPr>
          <w:rFonts w:ascii="Arial" w:hAnsi="Arial" w:cs="Arial"/>
          <w:color w:val="000000"/>
          <w:sz w:val="24"/>
          <w:szCs w:val="24"/>
        </w:rPr>
        <w:t xml:space="preserve">Cardiff and Vale University Health Board </w:t>
      </w:r>
      <w:r w:rsidRPr="00A16F5C">
        <w:rPr>
          <w:rFonts w:ascii="Arial" w:hAnsi="Arial" w:cs="Arial"/>
          <w:sz w:val="24"/>
          <w:szCs w:val="24"/>
        </w:rPr>
        <w:t>has therefore concluded that there are no current needs in relation to the provision of essential services by pharmacies in the cluster.</w:t>
      </w:r>
    </w:p>
    <w:p w14:paraId="0ED944F4" w14:textId="403710B1" w:rsidR="004218AC" w:rsidRPr="00A16F5C" w:rsidRDefault="004218AC" w:rsidP="00DC54F7">
      <w:pPr>
        <w:spacing w:after="0" w:line="240" w:lineRule="auto"/>
        <w:jc w:val="both"/>
        <w:rPr>
          <w:rFonts w:ascii="Arial" w:hAnsi="Arial" w:cs="Arial"/>
          <w:sz w:val="24"/>
          <w:szCs w:val="24"/>
        </w:rPr>
      </w:pPr>
    </w:p>
    <w:p w14:paraId="1B883E27" w14:textId="54C52E91" w:rsidR="004218AC" w:rsidRPr="00A16F5C" w:rsidRDefault="004218AC" w:rsidP="00DC54F7">
      <w:pPr>
        <w:spacing w:after="0" w:line="240" w:lineRule="auto"/>
        <w:jc w:val="both"/>
        <w:rPr>
          <w:rFonts w:ascii="Arial" w:hAnsi="Arial" w:cs="Arial"/>
          <w:sz w:val="24"/>
          <w:szCs w:val="24"/>
        </w:rPr>
      </w:pPr>
      <w:r w:rsidRPr="00A16F5C">
        <w:rPr>
          <w:rFonts w:ascii="Arial" w:hAnsi="Arial" w:cs="Arial"/>
          <w:sz w:val="24"/>
          <w:szCs w:val="24"/>
        </w:rPr>
        <w:t xml:space="preserve">The </w:t>
      </w:r>
      <w:r w:rsidRPr="00A16F5C">
        <w:rPr>
          <w:rFonts w:ascii="Arial" w:hAnsi="Arial" w:cs="Arial"/>
          <w:color w:val="000000"/>
          <w:sz w:val="24"/>
          <w:szCs w:val="24"/>
        </w:rPr>
        <w:t xml:space="preserve">Cardiff and Vale University Health Board </w:t>
      </w:r>
      <w:r w:rsidRPr="00A16F5C">
        <w:rPr>
          <w:rFonts w:ascii="Arial" w:hAnsi="Arial" w:cs="Arial"/>
          <w:sz w:val="24"/>
          <w:szCs w:val="24"/>
        </w:rPr>
        <w:t xml:space="preserve">is also satisfied that there are no current needs in relation to the provision of advanced services.  Whilst none of the pharmacies provide the Appliance Use Review service or the Stoma Appliance Customisation service, it is noted that there are four appliance contractors based in Cardiff and Vale University Health Board who offer these services. One of the reasons why prescriptions are dispensed outside of the cluster is because they have been sent to a dispensing appliance contractor elsewhere in the health board or to England, which provide these services. Patients will therefore be able to access these two services via those contractors. The </w:t>
      </w:r>
      <w:r w:rsidRPr="00A16F5C">
        <w:rPr>
          <w:rFonts w:ascii="Arial" w:hAnsi="Arial" w:cs="Arial"/>
          <w:color w:val="000000"/>
          <w:sz w:val="24"/>
          <w:szCs w:val="24"/>
        </w:rPr>
        <w:t xml:space="preserve">Cardiff and Vale University Health Board </w:t>
      </w:r>
      <w:r w:rsidRPr="00A16F5C">
        <w:rPr>
          <w:rFonts w:ascii="Arial" w:hAnsi="Arial" w:cs="Arial"/>
          <w:sz w:val="24"/>
          <w:szCs w:val="24"/>
        </w:rPr>
        <w:t>has therefore not identified any current or future gap or better access in relation to the provision of these two advanced services in the cluster</w:t>
      </w:r>
    </w:p>
    <w:p w14:paraId="16D0AB21" w14:textId="77777777" w:rsidR="00D7301F" w:rsidRPr="00A16F5C" w:rsidRDefault="00D7301F" w:rsidP="00DC54F7">
      <w:pPr>
        <w:spacing w:after="0" w:line="240" w:lineRule="auto"/>
        <w:jc w:val="both"/>
        <w:rPr>
          <w:rFonts w:ascii="Arial" w:hAnsi="Arial" w:cs="Arial"/>
          <w:sz w:val="24"/>
          <w:szCs w:val="24"/>
        </w:rPr>
      </w:pPr>
    </w:p>
    <w:p w14:paraId="1BCE9201" w14:textId="11B1657F" w:rsidR="00D7301F" w:rsidRPr="00A16F5C" w:rsidRDefault="00D7301F" w:rsidP="00DC54F7">
      <w:pPr>
        <w:spacing w:after="0" w:line="240" w:lineRule="auto"/>
        <w:contextualSpacing/>
        <w:jc w:val="both"/>
        <w:rPr>
          <w:rFonts w:ascii="Arial" w:hAnsi="Arial" w:cs="Arial"/>
          <w:sz w:val="24"/>
          <w:szCs w:val="24"/>
        </w:rPr>
      </w:pPr>
      <w:r w:rsidRPr="00A16F5C">
        <w:rPr>
          <w:rFonts w:ascii="Arial" w:hAnsi="Arial" w:cs="Arial"/>
          <w:sz w:val="24"/>
          <w:szCs w:val="24"/>
        </w:rPr>
        <w:lastRenderedPageBreak/>
        <w:t xml:space="preserve">All </w:t>
      </w:r>
      <w:r w:rsidR="00900F8B" w:rsidRPr="00A16F5C">
        <w:rPr>
          <w:rFonts w:ascii="Arial" w:hAnsi="Arial" w:cs="Arial"/>
          <w:sz w:val="24"/>
          <w:szCs w:val="24"/>
        </w:rPr>
        <w:t>six</w:t>
      </w:r>
      <w:r w:rsidRPr="00A16F5C">
        <w:rPr>
          <w:rFonts w:ascii="Arial" w:hAnsi="Arial" w:cs="Arial"/>
          <w:sz w:val="24"/>
          <w:szCs w:val="24"/>
        </w:rPr>
        <w:t xml:space="preserve"> pharmacies responded to the question in the contractor questionnaire regarding capacity to meet demand from any future housing developments in the cluster. Their responses were as follows: </w:t>
      </w:r>
    </w:p>
    <w:p w14:paraId="5EC3E64F" w14:textId="77777777" w:rsidR="00D7301F" w:rsidRPr="00A16F5C" w:rsidRDefault="00D7301F" w:rsidP="00DC54F7">
      <w:pPr>
        <w:spacing w:after="0" w:line="240" w:lineRule="auto"/>
        <w:jc w:val="both"/>
        <w:rPr>
          <w:rFonts w:ascii="Arial" w:hAnsi="Arial" w:cs="Arial"/>
          <w:sz w:val="24"/>
          <w:szCs w:val="24"/>
        </w:rPr>
      </w:pPr>
    </w:p>
    <w:p w14:paraId="1C675C83" w14:textId="5EAB0931" w:rsidR="00D7301F" w:rsidRPr="00A16F5C" w:rsidRDefault="00A176A4" w:rsidP="00DC54F7">
      <w:pPr>
        <w:pStyle w:val="ListParagraph"/>
        <w:numPr>
          <w:ilvl w:val="0"/>
          <w:numId w:val="162"/>
        </w:numPr>
        <w:spacing w:after="0" w:line="240" w:lineRule="auto"/>
        <w:jc w:val="both"/>
        <w:rPr>
          <w:rFonts w:ascii="Arial" w:hAnsi="Arial" w:cs="Arial"/>
          <w:sz w:val="24"/>
          <w:szCs w:val="24"/>
        </w:rPr>
      </w:pPr>
      <w:r w:rsidRPr="00A16F5C">
        <w:rPr>
          <w:rFonts w:ascii="Arial" w:hAnsi="Arial" w:cs="Arial"/>
          <w:sz w:val="24"/>
          <w:szCs w:val="24"/>
        </w:rPr>
        <w:t>Five</w:t>
      </w:r>
      <w:r w:rsidR="00D7301F" w:rsidRPr="00A16F5C">
        <w:rPr>
          <w:rFonts w:ascii="Arial" w:hAnsi="Arial" w:cs="Arial"/>
          <w:sz w:val="24"/>
          <w:szCs w:val="24"/>
        </w:rPr>
        <w:t xml:space="preserve"> pharmacies have sufficient capacity within their existing premises and staffing levels to manage the increase in demand in the area.</w:t>
      </w:r>
    </w:p>
    <w:p w14:paraId="4454D213" w14:textId="7449A103" w:rsidR="00D7301F" w:rsidRPr="00A16F5C" w:rsidRDefault="00D7301F" w:rsidP="00DC54F7">
      <w:pPr>
        <w:pStyle w:val="ListParagraph"/>
        <w:numPr>
          <w:ilvl w:val="0"/>
          <w:numId w:val="162"/>
        </w:numPr>
        <w:spacing w:after="0" w:line="240" w:lineRule="auto"/>
        <w:jc w:val="both"/>
        <w:rPr>
          <w:rFonts w:ascii="Arial" w:hAnsi="Arial" w:cs="Arial"/>
          <w:sz w:val="24"/>
          <w:szCs w:val="24"/>
        </w:rPr>
      </w:pPr>
      <w:r w:rsidRPr="00A16F5C">
        <w:rPr>
          <w:rFonts w:ascii="Arial" w:hAnsi="Arial" w:cs="Arial"/>
          <w:sz w:val="24"/>
          <w:szCs w:val="24"/>
        </w:rPr>
        <w:t>One pharmacy does not have sufficient premises and staffing capacity at present but could make adjustments to manage the increase in demand in the area</w:t>
      </w:r>
      <w:r w:rsidR="00A176A4" w:rsidRPr="00A16F5C">
        <w:rPr>
          <w:rFonts w:ascii="Arial" w:hAnsi="Arial" w:cs="Arial"/>
          <w:sz w:val="24"/>
          <w:szCs w:val="24"/>
        </w:rPr>
        <w:t>.</w:t>
      </w:r>
    </w:p>
    <w:p w14:paraId="050BFD7F" w14:textId="77777777" w:rsidR="00D7301F" w:rsidRPr="00A16F5C" w:rsidRDefault="00D7301F" w:rsidP="00DC54F7">
      <w:pPr>
        <w:spacing w:after="0" w:line="240" w:lineRule="auto"/>
        <w:jc w:val="both"/>
        <w:rPr>
          <w:rFonts w:ascii="Arial" w:hAnsi="Arial" w:cs="Arial"/>
          <w:sz w:val="24"/>
          <w:szCs w:val="24"/>
        </w:rPr>
      </w:pPr>
    </w:p>
    <w:p w14:paraId="2672BD57" w14:textId="327E1745" w:rsidR="00D7301F" w:rsidRPr="004278C9" w:rsidRDefault="00D7301F" w:rsidP="00DC54F7">
      <w:pPr>
        <w:spacing w:after="0" w:line="240" w:lineRule="auto"/>
        <w:jc w:val="both"/>
        <w:rPr>
          <w:rFonts w:ascii="Arial" w:hAnsi="Arial" w:cs="Arial"/>
          <w:color w:val="000000"/>
          <w:sz w:val="24"/>
          <w:szCs w:val="24"/>
        </w:rPr>
      </w:pPr>
      <w:r w:rsidRPr="00A16F5C">
        <w:rPr>
          <w:rFonts w:ascii="Arial" w:hAnsi="Arial" w:cs="Arial"/>
          <w:sz w:val="24"/>
          <w:szCs w:val="24"/>
        </w:rPr>
        <w:t xml:space="preserve">The </w:t>
      </w:r>
      <w:r w:rsidRPr="00A16F5C">
        <w:rPr>
          <w:rFonts w:ascii="Arial" w:hAnsi="Arial" w:cs="Arial"/>
          <w:color w:val="000000"/>
          <w:sz w:val="24"/>
          <w:szCs w:val="24"/>
        </w:rPr>
        <w:t xml:space="preserve">Cardiff and Vale University Health Board noted the </w:t>
      </w:r>
      <w:r w:rsidR="004278C9">
        <w:rPr>
          <w:rFonts w:ascii="Arial" w:hAnsi="Arial" w:cs="Arial"/>
          <w:color w:val="000000"/>
          <w:sz w:val="24"/>
          <w:szCs w:val="24"/>
        </w:rPr>
        <w:t xml:space="preserve">housing </w:t>
      </w:r>
      <w:r w:rsidRPr="00A16F5C">
        <w:rPr>
          <w:rFonts w:ascii="Arial" w:hAnsi="Arial" w:cs="Arial"/>
          <w:color w:val="000000"/>
          <w:sz w:val="24"/>
          <w:szCs w:val="24"/>
        </w:rPr>
        <w:t xml:space="preserve">developments planned for the cluster, </w:t>
      </w:r>
      <w:r w:rsidR="006C59F3" w:rsidRPr="00A16F5C">
        <w:rPr>
          <w:rFonts w:ascii="Arial" w:hAnsi="Arial" w:cs="Arial"/>
          <w:color w:val="000000"/>
          <w:sz w:val="24"/>
          <w:szCs w:val="24"/>
        </w:rPr>
        <w:t xml:space="preserve">in particular </w:t>
      </w:r>
      <w:r w:rsidR="006C59F3" w:rsidRPr="00A16F5C">
        <w:rPr>
          <w:rFonts w:ascii="Arial" w:hAnsi="Arial" w:cs="Arial"/>
          <w:sz w:val="24"/>
          <w:szCs w:val="24"/>
        </w:rPr>
        <w:t>on land to the north and west of Darren Close, Cowbridge</w:t>
      </w:r>
      <w:r w:rsidR="004222A8" w:rsidRPr="00A16F5C">
        <w:rPr>
          <w:rFonts w:ascii="Arial" w:hAnsi="Arial" w:cs="Arial"/>
          <w:sz w:val="24"/>
          <w:szCs w:val="24"/>
        </w:rPr>
        <w:t xml:space="preserve"> and land north of the Railway Line, Rhoose</w:t>
      </w:r>
      <w:r w:rsidR="00B64286">
        <w:rPr>
          <w:rFonts w:ascii="Arial" w:hAnsi="Arial" w:cs="Arial"/>
          <w:sz w:val="24"/>
          <w:szCs w:val="24"/>
        </w:rPr>
        <w:t>,</w:t>
      </w:r>
      <w:r w:rsidR="00A16F5C">
        <w:rPr>
          <w:rFonts w:ascii="Arial" w:hAnsi="Arial" w:cs="Arial"/>
          <w:sz w:val="24"/>
          <w:szCs w:val="24"/>
        </w:rPr>
        <w:t>.</w:t>
      </w:r>
      <w:r w:rsidR="004278C9">
        <w:rPr>
          <w:rFonts w:ascii="Arial" w:hAnsi="Arial" w:cs="Arial"/>
          <w:color w:val="000000"/>
          <w:sz w:val="24"/>
          <w:szCs w:val="24"/>
        </w:rPr>
        <w:t xml:space="preserve">and other </w:t>
      </w:r>
      <w:r w:rsidRPr="00A16F5C">
        <w:rPr>
          <w:rFonts w:ascii="Arial" w:hAnsi="Arial" w:cs="Arial"/>
          <w:sz w:val="24"/>
          <w:szCs w:val="24"/>
        </w:rPr>
        <w:t>small</w:t>
      </w:r>
      <w:r w:rsidR="00324883" w:rsidRPr="00A16F5C">
        <w:rPr>
          <w:rFonts w:ascii="Arial" w:hAnsi="Arial" w:cs="Arial"/>
          <w:sz w:val="24"/>
          <w:szCs w:val="24"/>
        </w:rPr>
        <w:t>er</w:t>
      </w:r>
      <w:r w:rsidRPr="00A16F5C">
        <w:rPr>
          <w:rFonts w:ascii="Arial" w:hAnsi="Arial" w:cs="Arial"/>
          <w:sz w:val="24"/>
          <w:szCs w:val="24"/>
        </w:rPr>
        <w:t xml:space="preserve"> units of housing that are due to be built during the lifetime of this document, </w:t>
      </w:r>
      <w:r w:rsidRPr="00A16F5C">
        <w:rPr>
          <w:rFonts w:ascii="Arial" w:hAnsi="Arial" w:cs="Arial"/>
          <w:color w:val="000000"/>
          <w:sz w:val="24"/>
          <w:szCs w:val="24"/>
        </w:rPr>
        <w:t>Cardiff and Vale University Health Board</w:t>
      </w:r>
      <w:r w:rsidRPr="00A16F5C">
        <w:rPr>
          <w:rFonts w:ascii="Arial" w:hAnsi="Arial" w:cs="Arial"/>
          <w:sz w:val="24"/>
          <w:szCs w:val="24"/>
        </w:rPr>
        <w:t xml:space="preserve"> is satisfied, based upon the responses to the contractor questionnaire, that the demand that this will create can be met by the existing pharmacies. The </w:t>
      </w:r>
      <w:r w:rsidRPr="00A16F5C">
        <w:rPr>
          <w:rFonts w:ascii="Arial" w:hAnsi="Arial" w:cs="Arial"/>
          <w:color w:val="000000"/>
          <w:sz w:val="24"/>
          <w:szCs w:val="24"/>
        </w:rPr>
        <w:t xml:space="preserve">Cardiff and Vale University Health Board </w:t>
      </w:r>
      <w:r w:rsidRPr="00A16F5C">
        <w:rPr>
          <w:rFonts w:ascii="Arial" w:hAnsi="Arial" w:cs="Arial"/>
          <w:sz w:val="24"/>
          <w:szCs w:val="24"/>
        </w:rPr>
        <w:t>has therefore concluded that there are no future needs in relation to the provision of essential services by pharmacies in the cluster</w:t>
      </w:r>
      <w:r w:rsidR="00B64286">
        <w:rPr>
          <w:rFonts w:ascii="Arial" w:hAnsi="Arial" w:cs="Arial"/>
          <w:sz w:val="24"/>
          <w:szCs w:val="24"/>
        </w:rPr>
        <w:t>.</w:t>
      </w:r>
    </w:p>
    <w:p w14:paraId="1AD68182" w14:textId="77777777" w:rsidR="00D7301F" w:rsidRPr="00263C2B" w:rsidRDefault="00D7301F" w:rsidP="00DC54F7">
      <w:pPr>
        <w:spacing w:after="0" w:line="240" w:lineRule="auto"/>
        <w:jc w:val="both"/>
        <w:rPr>
          <w:rFonts w:ascii="Arial" w:hAnsi="Arial" w:cs="Arial"/>
          <w:sz w:val="24"/>
          <w:szCs w:val="24"/>
          <w:highlight w:val="yellow"/>
        </w:rPr>
      </w:pPr>
    </w:p>
    <w:p w14:paraId="6CDE9858" w14:textId="77777777" w:rsidR="00D7301F" w:rsidRPr="00A16F5C" w:rsidRDefault="00D7301F" w:rsidP="00DC54F7">
      <w:pPr>
        <w:spacing w:after="0" w:line="240" w:lineRule="auto"/>
        <w:jc w:val="both"/>
        <w:rPr>
          <w:rFonts w:ascii="Arial" w:hAnsi="Arial" w:cs="Arial"/>
          <w:sz w:val="24"/>
          <w:szCs w:val="24"/>
        </w:rPr>
      </w:pPr>
      <w:r w:rsidRPr="00A16F5C">
        <w:rPr>
          <w:rFonts w:ascii="Arial" w:hAnsi="Arial" w:cs="Arial"/>
          <w:sz w:val="24"/>
          <w:szCs w:val="24"/>
        </w:rPr>
        <w:t xml:space="preserve">The </w:t>
      </w:r>
      <w:r w:rsidRPr="00A16F5C">
        <w:rPr>
          <w:rFonts w:ascii="Arial" w:hAnsi="Arial" w:cs="Arial"/>
          <w:color w:val="000000"/>
          <w:sz w:val="24"/>
          <w:szCs w:val="24"/>
        </w:rPr>
        <w:t xml:space="preserve">Cardiff and Vale University Health Board </w:t>
      </w:r>
      <w:r w:rsidRPr="00A16F5C">
        <w:rPr>
          <w:rFonts w:ascii="Arial" w:hAnsi="Arial" w:cs="Arial"/>
          <w:sz w:val="24"/>
          <w:szCs w:val="24"/>
        </w:rPr>
        <w:t>is also satisfied that, based upon the information contained in the preceding sections, there are no current or future gaps in the provision of advanced services and enhanced services.</w:t>
      </w:r>
    </w:p>
    <w:p w14:paraId="32874C39" w14:textId="77777777" w:rsidR="00D7301F" w:rsidRPr="00A16F5C" w:rsidRDefault="00D7301F" w:rsidP="00DC54F7">
      <w:pPr>
        <w:spacing w:after="0" w:line="240" w:lineRule="auto"/>
        <w:jc w:val="both"/>
        <w:rPr>
          <w:rFonts w:ascii="Arial" w:hAnsi="Arial" w:cs="Arial"/>
          <w:sz w:val="24"/>
          <w:szCs w:val="24"/>
        </w:rPr>
      </w:pPr>
    </w:p>
    <w:p w14:paraId="0B84020C" w14:textId="7A3A1F04" w:rsidR="00D7301F" w:rsidRPr="00263C2B" w:rsidRDefault="00D7301F" w:rsidP="00DC54F7">
      <w:pPr>
        <w:spacing w:after="0" w:line="240" w:lineRule="auto"/>
        <w:jc w:val="both"/>
        <w:rPr>
          <w:rFonts w:ascii="Arial" w:hAnsi="Arial" w:cs="Arial"/>
          <w:sz w:val="24"/>
          <w:szCs w:val="24"/>
        </w:rPr>
      </w:pPr>
      <w:r w:rsidRPr="00A16F5C">
        <w:rPr>
          <w:rFonts w:ascii="Arial" w:hAnsi="Arial" w:cs="Arial"/>
          <w:sz w:val="24"/>
          <w:szCs w:val="24"/>
        </w:rPr>
        <w:t xml:space="preserve">The </w:t>
      </w:r>
      <w:r w:rsidRPr="00A16F5C">
        <w:rPr>
          <w:rFonts w:ascii="Arial" w:hAnsi="Arial" w:cs="Arial"/>
          <w:color w:val="000000"/>
          <w:sz w:val="24"/>
          <w:szCs w:val="24"/>
        </w:rPr>
        <w:t xml:space="preserve">Cardiff and Vale University Health Board </w:t>
      </w:r>
      <w:r w:rsidRPr="00A16F5C">
        <w:rPr>
          <w:rFonts w:ascii="Arial" w:hAnsi="Arial" w:cs="Arial"/>
          <w:sz w:val="24"/>
          <w:szCs w:val="24"/>
        </w:rPr>
        <w:t>will keep service provision under review but has concluded that there is no current or future need identified which requires an application for new or additional premises.</w:t>
      </w:r>
    </w:p>
    <w:p w14:paraId="22C4C7C1" w14:textId="77777777" w:rsidR="0045089F" w:rsidRPr="00263C2B" w:rsidRDefault="0045089F" w:rsidP="00DC54F7">
      <w:pPr>
        <w:spacing w:after="0" w:line="240" w:lineRule="auto"/>
        <w:jc w:val="both"/>
        <w:rPr>
          <w:rFonts w:ascii="Arial" w:hAnsi="Arial" w:cs="Arial"/>
          <w:sz w:val="24"/>
          <w:szCs w:val="24"/>
        </w:rPr>
      </w:pPr>
    </w:p>
    <w:p w14:paraId="624F49F1" w14:textId="77777777" w:rsidR="00D7301F" w:rsidRDefault="00D7301F" w:rsidP="00DC54F7">
      <w:pPr>
        <w:jc w:val="both"/>
      </w:pPr>
    </w:p>
    <w:p w14:paraId="4877C8E6" w14:textId="77777777" w:rsidR="00D7301F" w:rsidRPr="00A10850" w:rsidRDefault="00D7301F" w:rsidP="00DC54F7">
      <w:pPr>
        <w:spacing w:after="0" w:line="240" w:lineRule="auto"/>
        <w:jc w:val="both"/>
        <w:rPr>
          <w:rFonts w:ascii="Arial" w:hAnsi="Arial" w:cs="Arial"/>
          <w:lang w:val="en-US"/>
        </w:rPr>
      </w:pPr>
    </w:p>
    <w:p w14:paraId="1BCE7939" w14:textId="5FEDEA58" w:rsidR="009C1352" w:rsidRPr="00A10850" w:rsidRDefault="0063382E" w:rsidP="00DC54F7">
      <w:pPr>
        <w:pStyle w:val="Heading1"/>
        <w:spacing w:before="0" w:line="240" w:lineRule="auto"/>
        <w:jc w:val="both"/>
        <w:rPr>
          <w:rFonts w:cs="Arial"/>
          <w:color w:val="auto"/>
        </w:rPr>
      </w:pPr>
      <w:r w:rsidRPr="00A10850">
        <w:rPr>
          <w:rFonts w:cs="Arial"/>
          <w:highlight w:val="cyan"/>
        </w:rPr>
        <w:br w:type="page"/>
      </w:r>
      <w:r w:rsidRPr="00A10850">
        <w:rPr>
          <w:rFonts w:cs="Arial"/>
          <w:color w:val="auto"/>
        </w:rPr>
        <w:lastRenderedPageBreak/>
        <w:t xml:space="preserve"> </w:t>
      </w:r>
      <w:bookmarkStart w:id="62" w:name="_Toc81585112"/>
      <w:r w:rsidR="00732F0B">
        <w:rPr>
          <w:rFonts w:cs="Arial"/>
          <w:color w:val="auto"/>
        </w:rPr>
        <w:t>17</w:t>
      </w:r>
      <w:r w:rsidR="00377431" w:rsidRPr="00A10850">
        <w:rPr>
          <w:rFonts w:cs="Arial"/>
          <w:color w:val="auto"/>
        </w:rPr>
        <w:t xml:space="preserve"> </w:t>
      </w:r>
      <w:r w:rsidR="009C1352" w:rsidRPr="00A10850">
        <w:rPr>
          <w:rFonts w:cs="Arial"/>
          <w:color w:val="auto"/>
        </w:rPr>
        <w:t>Conclusions</w:t>
      </w:r>
      <w:r w:rsidR="00CA4F1F" w:rsidRPr="00A10850">
        <w:rPr>
          <w:rFonts w:cs="Arial"/>
          <w:color w:val="auto"/>
        </w:rPr>
        <w:t xml:space="preserve"> </w:t>
      </w:r>
      <w:r w:rsidR="006C71D1" w:rsidRPr="00A10850">
        <w:rPr>
          <w:rFonts w:cs="Arial"/>
          <w:color w:val="auto"/>
        </w:rPr>
        <w:t xml:space="preserve">for the purpose of </w:t>
      </w:r>
      <w:r w:rsidR="00CA4F1F" w:rsidRPr="00A10850">
        <w:rPr>
          <w:rFonts w:cs="Arial"/>
          <w:color w:val="auto"/>
        </w:rPr>
        <w:t>s</w:t>
      </w:r>
      <w:r w:rsidR="006C71D1" w:rsidRPr="00A10850">
        <w:rPr>
          <w:rFonts w:cs="Arial"/>
          <w:color w:val="auto"/>
        </w:rPr>
        <w:t xml:space="preserve">chedule 1 </w:t>
      </w:r>
      <w:r w:rsidR="00F937AF" w:rsidRPr="00A10850">
        <w:rPr>
          <w:rFonts w:cs="Arial"/>
          <w:color w:val="auto"/>
        </w:rPr>
        <w:t>of the NHS (Pharmaceutical Services) (Wales) Regulations 2020</w:t>
      </w:r>
      <w:bookmarkEnd w:id="62"/>
    </w:p>
    <w:p w14:paraId="5B0D31AF" w14:textId="77777777" w:rsidR="00702DED" w:rsidRPr="00A10850" w:rsidRDefault="00702DED" w:rsidP="00DC54F7">
      <w:pPr>
        <w:spacing w:after="0" w:line="240" w:lineRule="auto"/>
        <w:jc w:val="both"/>
        <w:rPr>
          <w:rFonts w:ascii="Arial" w:eastAsia="Times New Roman" w:hAnsi="Arial" w:cs="Arial"/>
          <w:lang w:eastAsia="en-GB"/>
        </w:rPr>
      </w:pPr>
    </w:p>
    <w:p w14:paraId="2437E656" w14:textId="49CFF139" w:rsidR="002D0C4F" w:rsidRPr="003769F5" w:rsidRDefault="002D0C4F" w:rsidP="00DC54F7">
      <w:pPr>
        <w:spacing w:after="0" w:line="240" w:lineRule="auto"/>
        <w:jc w:val="both"/>
        <w:rPr>
          <w:rFonts w:ascii="Arial" w:hAnsi="Arial" w:cs="Arial"/>
          <w:sz w:val="24"/>
          <w:szCs w:val="24"/>
          <w:lang w:val="x-none" w:eastAsia="en-GB"/>
        </w:rPr>
      </w:pPr>
      <w:r w:rsidRPr="003769F5">
        <w:rPr>
          <w:rFonts w:ascii="Arial" w:hAnsi="Arial" w:cs="Arial"/>
          <w:sz w:val="24"/>
          <w:szCs w:val="24"/>
          <w:lang w:val="x-none" w:eastAsia="en-GB"/>
        </w:rPr>
        <w:t xml:space="preserve">The </w:t>
      </w:r>
      <w:r w:rsidR="00F937AF" w:rsidRPr="003769F5">
        <w:rPr>
          <w:rFonts w:ascii="Arial" w:hAnsi="Arial" w:cs="Arial"/>
          <w:sz w:val="24"/>
          <w:szCs w:val="24"/>
          <w:lang w:eastAsia="en-GB"/>
        </w:rPr>
        <w:t>PNA</w:t>
      </w:r>
      <w:r w:rsidRPr="003769F5">
        <w:rPr>
          <w:rFonts w:ascii="Arial" w:hAnsi="Arial" w:cs="Arial"/>
          <w:sz w:val="24"/>
          <w:szCs w:val="24"/>
          <w:lang w:eastAsia="en-GB"/>
        </w:rPr>
        <w:t xml:space="preserve"> has</w:t>
      </w:r>
      <w:r w:rsidRPr="003769F5">
        <w:rPr>
          <w:rFonts w:ascii="Arial" w:hAnsi="Arial" w:cs="Arial"/>
          <w:sz w:val="24"/>
          <w:szCs w:val="24"/>
          <w:lang w:val="x-none" w:eastAsia="en-GB"/>
        </w:rPr>
        <w:t xml:space="preserve"> considered</w:t>
      </w:r>
      <w:r w:rsidRPr="003769F5">
        <w:rPr>
          <w:rFonts w:ascii="Arial" w:hAnsi="Arial" w:cs="Arial"/>
          <w:sz w:val="24"/>
          <w:szCs w:val="24"/>
          <w:lang w:eastAsia="en-GB"/>
        </w:rPr>
        <w:t xml:space="preserve"> the</w:t>
      </w:r>
      <w:r w:rsidRPr="003769F5">
        <w:rPr>
          <w:rFonts w:ascii="Arial" w:hAnsi="Arial" w:cs="Arial"/>
          <w:sz w:val="24"/>
          <w:szCs w:val="24"/>
          <w:lang w:val="x-none" w:eastAsia="en-GB"/>
        </w:rPr>
        <w:t xml:space="preserve"> current</w:t>
      </w:r>
      <w:r w:rsidRPr="003769F5">
        <w:rPr>
          <w:rFonts w:ascii="Arial" w:hAnsi="Arial" w:cs="Arial"/>
          <w:spacing w:val="60"/>
          <w:sz w:val="24"/>
          <w:szCs w:val="24"/>
          <w:lang w:val="x-none" w:eastAsia="en-GB"/>
        </w:rPr>
        <w:t xml:space="preserve"> </w:t>
      </w:r>
      <w:r w:rsidRPr="003769F5">
        <w:rPr>
          <w:rFonts w:ascii="Arial" w:hAnsi="Arial" w:cs="Arial"/>
          <w:spacing w:val="-2"/>
          <w:sz w:val="24"/>
          <w:szCs w:val="24"/>
          <w:lang w:val="x-none" w:eastAsia="en-GB"/>
        </w:rPr>
        <w:t>provision</w:t>
      </w:r>
      <w:r w:rsidRPr="003769F5">
        <w:rPr>
          <w:rFonts w:ascii="Arial" w:hAnsi="Arial" w:cs="Arial"/>
          <w:spacing w:val="56"/>
          <w:sz w:val="24"/>
          <w:szCs w:val="24"/>
          <w:lang w:val="x-none" w:eastAsia="en-GB"/>
        </w:rPr>
        <w:t xml:space="preserve"> </w:t>
      </w:r>
      <w:r w:rsidRPr="003769F5">
        <w:rPr>
          <w:rFonts w:ascii="Arial" w:hAnsi="Arial" w:cs="Arial"/>
          <w:spacing w:val="-2"/>
          <w:sz w:val="24"/>
          <w:szCs w:val="24"/>
          <w:lang w:val="x-none" w:eastAsia="en-GB"/>
        </w:rPr>
        <w:t>of</w:t>
      </w:r>
      <w:r w:rsidRPr="003769F5">
        <w:rPr>
          <w:rFonts w:ascii="Arial" w:hAnsi="Arial" w:cs="Arial"/>
          <w:spacing w:val="51"/>
          <w:sz w:val="24"/>
          <w:szCs w:val="24"/>
          <w:lang w:val="x-none" w:eastAsia="en-GB"/>
        </w:rPr>
        <w:t xml:space="preserve"> </w:t>
      </w:r>
      <w:r w:rsidRPr="003769F5">
        <w:rPr>
          <w:rFonts w:ascii="Arial" w:hAnsi="Arial" w:cs="Arial"/>
          <w:sz w:val="24"/>
          <w:szCs w:val="24"/>
          <w:lang w:val="x-none" w:eastAsia="en-GB"/>
        </w:rPr>
        <w:t>pharmaceutical</w:t>
      </w:r>
      <w:r w:rsidRPr="003769F5">
        <w:rPr>
          <w:rFonts w:ascii="Arial" w:hAnsi="Arial" w:cs="Arial"/>
          <w:spacing w:val="1"/>
          <w:sz w:val="24"/>
          <w:szCs w:val="24"/>
          <w:lang w:val="x-none" w:eastAsia="en-GB"/>
        </w:rPr>
        <w:t xml:space="preserve"> </w:t>
      </w:r>
      <w:r w:rsidRPr="003769F5">
        <w:rPr>
          <w:rFonts w:ascii="Arial" w:hAnsi="Arial" w:cs="Arial"/>
          <w:sz w:val="24"/>
          <w:szCs w:val="24"/>
          <w:lang w:val="x-none" w:eastAsia="en-GB"/>
        </w:rPr>
        <w:t>services</w:t>
      </w:r>
      <w:r w:rsidRPr="003769F5">
        <w:rPr>
          <w:rFonts w:ascii="Arial" w:hAnsi="Arial" w:cs="Arial"/>
          <w:spacing w:val="3"/>
          <w:sz w:val="24"/>
          <w:szCs w:val="24"/>
          <w:lang w:val="x-none" w:eastAsia="en-GB"/>
        </w:rPr>
        <w:t xml:space="preserve"> </w:t>
      </w:r>
      <w:r w:rsidRPr="003769F5">
        <w:rPr>
          <w:rFonts w:ascii="Arial" w:hAnsi="Arial" w:cs="Arial"/>
          <w:sz w:val="24"/>
          <w:szCs w:val="24"/>
          <w:lang w:val="x-none" w:eastAsia="en-GB"/>
        </w:rPr>
        <w:t>across</w:t>
      </w:r>
      <w:r w:rsidRPr="003769F5">
        <w:rPr>
          <w:rFonts w:ascii="Arial" w:hAnsi="Arial" w:cs="Arial"/>
          <w:spacing w:val="3"/>
          <w:sz w:val="24"/>
          <w:szCs w:val="24"/>
          <w:lang w:val="x-none" w:eastAsia="en-GB"/>
        </w:rPr>
        <w:t xml:space="preserve"> the </w:t>
      </w:r>
      <w:r w:rsidR="00F937AF" w:rsidRPr="003769F5">
        <w:rPr>
          <w:rFonts w:ascii="Arial" w:hAnsi="Arial" w:cs="Arial"/>
          <w:sz w:val="24"/>
          <w:szCs w:val="24"/>
          <w:lang w:eastAsia="en-GB"/>
        </w:rPr>
        <w:t>health board</w:t>
      </w:r>
      <w:r w:rsidRPr="003769F5">
        <w:rPr>
          <w:rFonts w:ascii="Arial" w:hAnsi="Arial" w:cs="Arial"/>
          <w:spacing w:val="3"/>
          <w:sz w:val="24"/>
          <w:szCs w:val="24"/>
          <w:lang w:val="x-none" w:eastAsia="en-GB"/>
        </w:rPr>
        <w:t xml:space="preserve"> and specifically </w:t>
      </w:r>
      <w:r w:rsidRPr="003769F5">
        <w:rPr>
          <w:rFonts w:ascii="Arial" w:hAnsi="Arial" w:cs="Arial"/>
          <w:spacing w:val="3"/>
          <w:sz w:val="24"/>
          <w:szCs w:val="24"/>
          <w:lang w:eastAsia="en-GB"/>
        </w:rPr>
        <w:t>the demography and health needs of the population</w:t>
      </w:r>
      <w:r w:rsidRPr="003769F5">
        <w:rPr>
          <w:rFonts w:ascii="Arial" w:hAnsi="Arial" w:cs="Arial"/>
          <w:sz w:val="24"/>
          <w:szCs w:val="24"/>
          <w:lang w:val="x-none" w:eastAsia="en-GB"/>
        </w:rPr>
        <w:t xml:space="preserve">. </w:t>
      </w:r>
      <w:r w:rsidRPr="003769F5">
        <w:rPr>
          <w:rFonts w:ascii="Arial" w:hAnsi="Arial" w:cs="Arial"/>
          <w:sz w:val="24"/>
          <w:szCs w:val="24"/>
          <w:lang w:eastAsia="en-GB"/>
        </w:rPr>
        <w:t xml:space="preserve">It </w:t>
      </w:r>
      <w:r w:rsidRPr="003769F5">
        <w:rPr>
          <w:rFonts w:ascii="Arial" w:hAnsi="Arial" w:cs="Arial"/>
          <w:sz w:val="24"/>
          <w:szCs w:val="24"/>
          <w:lang w:val="x-none" w:eastAsia="en-GB"/>
        </w:rPr>
        <w:t>has analysed whether current provision</w:t>
      </w:r>
      <w:r w:rsidRPr="003769F5">
        <w:rPr>
          <w:rFonts w:ascii="Arial" w:hAnsi="Arial" w:cs="Arial"/>
          <w:spacing w:val="8"/>
          <w:sz w:val="24"/>
          <w:szCs w:val="24"/>
          <w:lang w:val="x-none" w:eastAsia="en-GB"/>
        </w:rPr>
        <w:t xml:space="preserve"> </w:t>
      </w:r>
      <w:r w:rsidRPr="003769F5">
        <w:rPr>
          <w:rFonts w:ascii="Arial" w:hAnsi="Arial" w:cs="Arial"/>
          <w:sz w:val="24"/>
          <w:szCs w:val="24"/>
          <w:lang w:val="x-none" w:eastAsia="en-GB"/>
        </w:rPr>
        <w:t>meets</w:t>
      </w:r>
      <w:r w:rsidRPr="003769F5">
        <w:rPr>
          <w:rFonts w:ascii="Arial" w:hAnsi="Arial" w:cs="Arial"/>
          <w:spacing w:val="8"/>
          <w:sz w:val="24"/>
          <w:szCs w:val="24"/>
          <w:lang w:val="x-none" w:eastAsia="en-GB"/>
        </w:rPr>
        <w:t xml:space="preserve"> </w:t>
      </w:r>
      <w:r w:rsidRPr="003769F5">
        <w:rPr>
          <w:rFonts w:ascii="Arial" w:hAnsi="Arial" w:cs="Arial"/>
          <w:sz w:val="24"/>
          <w:szCs w:val="24"/>
          <w:lang w:val="x-none" w:eastAsia="en-GB"/>
        </w:rPr>
        <w:t>the</w:t>
      </w:r>
      <w:r w:rsidRPr="003769F5">
        <w:rPr>
          <w:rFonts w:ascii="Arial" w:hAnsi="Arial" w:cs="Arial"/>
          <w:spacing w:val="9"/>
          <w:sz w:val="24"/>
          <w:szCs w:val="24"/>
          <w:lang w:val="x-none" w:eastAsia="en-GB"/>
        </w:rPr>
        <w:t xml:space="preserve"> </w:t>
      </w:r>
      <w:r w:rsidRPr="003769F5">
        <w:rPr>
          <w:rFonts w:ascii="Arial" w:hAnsi="Arial" w:cs="Arial"/>
          <w:sz w:val="24"/>
          <w:szCs w:val="24"/>
          <w:lang w:val="x-none" w:eastAsia="en-GB"/>
        </w:rPr>
        <w:t>needs</w:t>
      </w:r>
      <w:r w:rsidRPr="003769F5">
        <w:rPr>
          <w:rFonts w:ascii="Arial" w:hAnsi="Arial" w:cs="Arial"/>
          <w:spacing w:val="12"/>
          <w:sz w:val="24"/>
          <w:szCs w:val="24"/>
          <w:lang w:val="x-none" w:eastAsia="en-GB"/>
        </w:rPr>
        <w:t xml:space="preserve"> </w:t>
      </w:r>
      <w:r w:rsidRPr="003769F5">
        <w:rPr>
          <w:rFonts w:ascii="Arial" w:hAnsi="Arial" w:cs="Arial"/>
          <w:spacing w:val="-2"/>
          <w:sz w:val="24"/>
          <w:szCs w:val="24"/>
          <w:lang w:val="x-none" w:eastAsia="en-GB"/>
        </w:rPr>
        <w:t>of</w:t>
      </w:r>
      <w:r w:rsidRPr="003769F5">
        <w:rPr>
          <w:rFonts w:ascii="Arial" w:hAnsi="Arial" w:cs="Arial"/>
          <w:spacing w:val="11"/>
          <w:sz w:val="24"/>
          <w:szCs w:val="24"/>
          <w:lang w:val="x-none" w:eastAsia="en-GB"/>
        </w:rPr>
        <w:t xml:space="preserve"> </w:t>
      </w:r>
      <w:r w:rsidRPr="003769F5">
        <w:rPr>
          <w:rFonts w:ascii="Arial" w:hAnsi="Arial" w:cs="Arial"/>
          <w:sz w:val="24"/>
          <w:szCs w:val="24"/>
          <w:lang w:val="x-none" w:eastAsia="en-GB"/>
        </w:rPr>
        <w:t>the</w:t>
      </w:r>
      <w:r w:rsidRPr="003769F5">
        <w:rPr>
          <w:rFonts w:ascii="Arial" w:hAnsi="Arial" w:cs="Arial"/>
          <w:spacing w:val="9"/>
          <w:sz w:val="24"/>
          <w:szCs w:val="24"/>
          <w:lang w:val="x-none" w:eastAsia="en-GB"/>
        </w:rPr>
        <w:t xml:space="preserve"> </w:t>
      </w:r>
      <w:r w:rsidRPr="003769F5">
        <w:rPr>
          <w:rFonts w:ascii="Arial" w:hAnsi="Arial" w:cs="Arial"/>
          <w:sz w:val="24"/>
          <w:szCs w:val="24"/>
          <w:lang w:val="x-none" w:eastAsia="en-GB"/>
        </w:rPr>
        <w:t>population</w:t>
      </w:r>
      <w:r w:rsidRPr="003769F5">
        <w:rPr>
          <w:rFonts w:ascii="Arial" w:hAnsi="Arial" w:cs="Arial"/>
          <w:spacing w:val="10"/>
          <w:sz w:val="24"/>
          <w:szCs w:val="24"/>
          <w:lang w:val="x-none" w:eastAsia="en-GB"/>
        </w:rPr>
        <w:t xml:space="preserve"> of </w:t>
      </w:r>
      <w:r w:rsidR="00732F0B" w:rsidRPr="003769F5">
        <w:rPr>
          <w:rFonts w:ascii="Arial" w:hAnsi="Arial" w:cs="Arial"/>
          <w:bCs/>
          <w:sz w:val="24"/>
          <w:szCs w:val="24"/>
        </w:rPr>
        <w:t>Cardiff and Vale University Health Board</w:t>
      </w:r>
      <w:r w:rsidRPr="003769F5">
        <w:rPr>
          <w:rFonts w:ascii="Arial" w:hAnsi="Arial" w:cs="Arial"/>
          <w:spacing w:val="10"/>
          <w:sz w:val="24"/>
          <w:szCs w:val="24"/>
          <w:lang w:val="x-none" w:eastAsia="en-GB"/>
        </w:rPr>
        <w:t xml:space="preserve"> and </w:t>
      </w:r>
      <w:r w:rsidRPr="003769F5">
        <w:rPr>
          <w:rFonts w:ascii="Arial" w:hAnsi="Arial" w:cs="Arial"/>
          <w:spacing w:val="10"/>
          <w:sz w:val="24"/>
          <w:szCs w:val="24"/>
          <w:lang w:eastAsia="en-GB"/>
        </w:rPr>
        <w:t>whether there are</w:t>
      </w:r>
      <w:r w:rsidRPr="003769F5">
        <w:rPr>
          <w:rFonts w:ascii="Arial" w:hAnsi="Arial" w:cs="Arial"/>
          <w:spacing w:val="10"/>
          <w:sz w:val="24"/>
          <w:szCs w:val="24"/>
          <w:lang w:val="x-none" w:eastAsia="en-GB"/>
        </w:rPr>
        <w:t xml:space="preserve"> </w:t>
      </w:r>
      <w:r w:rsidRPr="003769F5">
        <w:rPr>
          <w:rFonts w:ascii="Arial" w:hAnsi="Arial" w:cs="Arial"/>
          <w:sz w:val="24"/>
          <w:szCs w:val="24"/>
          <w:lang w:val="x-none" w:eastAsia="en-GB"/>
        </w:rPr>
        <w:t>any</w:t>
      </w:r>
      <w:r w:rsidRPr="003769F5">
        <w:rPr>
          <w:rFonts w:ascii="Arial" w:hAnsi="Arial" w:cs="Arial"/>
          <w:spacing w:val="10"/>
          <w:sz w:val="24"/>
          <w:szCs w:val="24"/>
          <w:lang w:val="x-none" w:eastAsia="en-GB"/>
        </w:rPr>
        <w:t xml:space="preserve"> </w:t>
      </w:r>
      <w:r w:rsidRPr="003769F5">
        <w:rPr>
          <w:rFonts w:ascii="Arial" w:hAnsi="Arial" w:cs="Arial"/>
          <w:sz w:val="24"/>
          <w:szCs w:val="24"/>
          <w:lang w:val="x-none" w:eastAsia="en-GB"/>
        </w:rPr>
        <w:t>potential</w:t>
      </w:r>
      <w:r w:rsidRPr="003769F5">
        <w:rPr>
          <w:rFonts w:ascii="Arial" w:hAnsi="Arial" w:cs="Arial"/>
          <w:spacing w:val="9"/>
          <w:sz w:val="24"/>
          <w:szCs w:val="24"/>
          <w:lang w:val="x-none" w:eastAsia="en-GB"/>
        </w:rPr>
        <w:t xml:space="preserve"> </w:t>
      </w:r>
      <w:r w:rsidRPr="003769F5">
        <w:rPr>
          <w:rFonts w:ascii="Arial" w:hAnsi="Arial" w:cs="Arial"/>
          <w:sz w:val="24"/>
          <w:szCs w:val="24"/>
          <w:lang w:val="x-none" w:eastAsia="en-GB"/>
        </w:rPr>
        <w:t>gaps in pharmaceutical service provision</w:t>
      </w:r>
      <w:r w:rsidRPr="003769F5">
        <w:rPr>
          <w:rFonts w:ascii="Arial" w:hAnsi="Arial" w:cs="Arial"/>
          <w:sz w:val="24"/>
          <w:szCs w:val="24"/>
          <w:lang w:eastAsia="en-GB"/>
        </w:rPr>
        <w:t xml:space="preserve"> either now or within the lifetime of the document</w:t>
      </w:r>
      <w:r w:rsidRPr="003769F5">
        <w:rPr>
          <w:rFonts w:ascii="Arial" w:hAnsi="Arial" w:cs="Arial"/>
          <w:sz w:val="24"/>
          <w:szCs w:val="24"/>
          <w:lang w:val="x-none" w:eastAsia="en-GB"/>
        </w:rPr>
        <w:t xml:space="preserve">. </w:t>
      </w:r>
    </w:p>
    <w:p w14:paraId="0F8C29F7" w14:textId="1F98B255" w:rsidR="002D0C4F" w:rsidRDefault="002D0C4F" w:rsidP="00DC54F7">
      <w:pPr>
        <w:spacing w:after="0" w:line="240" w:lineRule="auto"/>
        <w:jc w:val="both"/>
        <w:rPr>
          <w:rFonts w:ascii="Arial" w:hAnsi="Arial" w:cs="Arial"/>
          <w:lang w:val="x-none" w:eastAsia="en-GB"/>
        </w:rPr>
      </w:pPr>
    </w:p>
    <w:p w14:paraId="3FFE1BDB" w14:textId="77777777" w:rsidR="00AE758E" w:rsidRPr="00A10850" w:rsidRDefault="00AE758E" w:rsidP="00DC54F7">
      <w:pPr>
        <w:spacing w:after="0" w:line="240" w:lineRule="auto"/>
        <w:jc w:val="both"/>
        <w:rPr>
          <w:rFonts w:ascii="Arial" w:hAnsi="Arial" w:cs="Arial"/>
          <w:lang w:val="x-none" w:eastAsia="en-GB"/>
        </w:rPr>
      </w:pPr>
    </w:p>
    <w:p w14:paraId="0F32AF77" w14:textId="0EF365C2" w:rsidR="002D0C4F" w:rsidRPr="00A10850" w:rsidRDefault="00732F0B" w:rsidP="00DC54F7">
      <w:pPr>
        <w:widowControl w:val="0"/>
        <w:autoSpaceDE w:val="0"/>
        <w:autoSpaceDN w:val="0"/>
        <w:adjustRightInd w:val="0"/>
        <w:spacing w:after="0" w:line="240" w:lineRule="auto"/>
        <w:jc w:val="both"/>
        <w:rPr>
          <w:rFonts w:ascii="Arial" w:eastAsia="Times New Roman" w:hAnsi="Arial" w:cs="Arial"/>
          <w:b/>
          <w:sz w:val="26"/>
          <w:szCs w:val="26"/>
          <w:lang w:val="en-US" w:eastAsia="en-GB"/>
        </w:rPr>
      </w:pPr>
      <w:bookmarkStart w:id="63" w:name="_Toc414447147"/>
      <w:r>
        <w:rPr>
          <w:rFonts w:ascii="Arial" w:eastAsia="Times New Roman" w:hAnsi="Arial" w:cs="Arial"/>
          <w:b/>
          <w:sz w:val="26"/>
          <w:szCs w:val="26"/>
          <w:lang w:val="en-US" w:eastAsia="en-GB"/>
        </w:rPr>
        <w:t>17</w:t>
      </w:r>
      <w:r w:rsidR="00704E2F" w:rsidRPr="00A10850">
        <w:rPr>
          <w:rFonts w:ascii="Arial" w:eastAsia="Times New Roman" w:hAnsi="Arial" w:cs="Arial"/>
          <w:b/>
          <w:sz w:val="26"/>
          <w:szCs w:val="26"/>
          <w:lang w:val="en-US" w:eastAsia="en-GB"/>
        </w:rPr>
        <w:t xml:space="preserve">.1 </w:t>
      </w:r>
      <w:r w:rsidR="002D0C4F" w:rsidRPr="00E602AE">
        <w:rPr>
          <w:rFonts w:ascii="Arial" w:eastAsia="Times New Roman" w:hAnsi="Arial" w:cs="Arial"/>
          <w:b/>
          <w:sz w:val="24"/>
          <w:szCs w:val="24"/>
          <w:lang w:val="en-US" w:eastAsia="en-GB"/>
        </w:rPr>
        <w:t>Current provision</w:t>
      </w:r>
      <w:r w:rsidR="002D0C4F" w:rsidRPr="00A10850">
        <w:rPr>
          <w:rFonts w:ascii="Arial" w:eastAsia="Times New Roman" w:hAnsi="Arial" w:cs="Arial"/>
          <w:b/>
          <w:sz w:val="26"/>
          <w:szCs w:val="26"/>
          <w:lang w:val="en-US" w:eastAsia="en-GB"/>
        </w:rPr>
        <w:t xml:space="preserve"> </w:t>
      </w:r>
      <w:bookmarkEnd w:id="63"/>
    </w:p>
    <w:p w14:paraId="26822DB1" w14:textId="77777777" w:rsidR="002D0C4F" w:rsidRPr="00A10850" w:rsidRDefault="002D0C4F" w:rsidP="00DC54F7">
      <w:pPr>
        <w:widowControl w:val="0"/>
        <w:autoSpaceDE w:val="0"/>
        <w:autoSpaceDN w:val="0"/>
        <w:adjustRightInd w:val="0"/>
        <w:spacing w:after="0" w:line="240" w:lineRule="auto"/>
        <w:jc w:val="both"/>
        <w:rPr>
          <w:rFonts w:ascii="Arial" w:eastAsia="Times New Roman" w:hAnsi="Arial" w:cs="Arial"/>
          <w:lang w:eastAsia="en-GB"/>
        </w:rPr>
      </w:pPr>
    </w:p>
    <w:p w14:paraId="6B1FA163" w14:textId="0D66A2AE" w:rsidR="00A40B36" w:rsidRPr="003769F5" w:rsidRDefault="00732F0B" w:rsidP="00DC54F7">
      <w:pPr>
        <w:spacing w:after="0" w:line="240" w:lineRule="auto"/>
        <w:jc w:val="both"/>
        <w:rPr>
          <w:rFonts w:ascii="Arial" w:hAnsi="Arial" w:cs="Arial"/>
          <w:sz w:val="24"/>
          <w:szCs w:val="24"/>
          <w:lang w:eastAsia="en-GB"/>
        </w:rPr>
      </w:pPr>
      <w:r w:rsidRPr="003769F5">
        <w:rPr>
          <w:rFonts w:ascii="Arial" w:hAnsi="Arial" w:cs="Arial"/>
          <w:bCs/>
          <w:sz w:val="24"/>
          <w:szCs w:val="24"/>
        </w:rPr>
        <w:t>Cardiff and Vale University Health Board</w:t>
      </w:r>
      <w:r w:rsidR="00F937AF" w:rsidRPr="003769F5">
        <w:rPr>
          <w:rFonts w:ascii="Arial" w:hAnsi="Arial" w:cs="Arial"/>
          <w:sz w:val="24"/>
          <w:szCs w:val="24"/>
          <w:lang w:eastAsia="en-GB"/>
        </w:rPr>
        <w:t xml:space="preserve"> </w:t>
      </w:r>
      <w:r w:rsidR="002D0C4F" w:rsidRPr="003769F5">
        <w:rPr>
          <w:rFonts w:ascii="Arial" w:hAnsi="Arial" w:cs="Arial"/>
          <w:sz w:val="24"/>
          <w:szCs w:val="24"/>
          <w:lang w:eastAsia="en-GB"/>
        </w:rPr>
        <w:t xml:space="preserve">has </w:t>
      </w:r>
      <w:r w:rsidR="00F937AF" w:rsidRPr="003769F5">
        <w:rPr>
          <w:rFonts w:ascii="Arial" w:hAnsi="Arial" w:cs="Arial"/>
          <w:sz w:val="24"/>
          <w:szCs w:val="24"/>
          <w:lang w:eastAsia="en-GB"/>
        </w:rPr>
        <w:t>identified the following services as those that are necessary to meet the need for pharmaceutical services in its area</w:t>
      </w:r>
      <w:r w:rsidR="00A40B36" w:rsidRPr="003769F5">
        <w:rPr>
          <w:rFonts w:ascii="Arial" w:hAnsi="Arial" w:cs="Arial"/>
          <w:sz w:val="24"/>
          <w:szCs w:val="24"/>
          <w:lang w:eastAsia="en-GB"/>
        </w:rPr>
        <w:t>:</w:t>
      </w:r>
    </w:p>
    <w:p w14:paraId="377F34BF" w14:textId="77777777" w:rsidR="00A40B36" w:rsidRPr="003769F5" w:rsidRDefault="00A40B36" w:rsidP="00DC54F7">
      <w:pPr>
        <w:spacing w:after="0" w:line="240" w:lineRule="auto"/>
        <w:jc w:val="both"/>
        <w:rPr>
          <w:rFonts w:ascii="Arial" w:hAnsi="Arial" w:cs="Arial"/>
          <w:sz w:val="24"/>
          <w:szCs w:val="24"/>
          <w:lang w:eastAsia="en-GB"/>
        </w:rPr>
      </w:pPr>
    </w:p>
    <w:p w14:paraId="26175EE0" w14:textId="77777777" w:rsidR="00A40B36" w:rsidRPr="003769F5" w:rsidRDefault="00A40B36" w:rsidP="00DC54F7">
      <w:pPr>
        <w:pStyle w:val="ListParagraph"/>
        <w:numPr>
          <w:ilvl w:val="0"/>
          <w:numId w:val="24"/>
        </w:numPr>
        <w:spacing w:after="0" w:line="240" w:lineRule="auto"/>
        <w:jc w:val="both"/>
        <w:rPr>
          <w:rFonts w:ascii="Arial" w:hAnsi="Arial" w:cs="Arial"/>
          <w:sz w:val="24"/>
          <w:szCs w:val="24"/>
        </w:rPr>
      </w:pPr>
      <w:r w:rsidRPr="003769F5">
        <w:rPr>
          <w:rFonts w:ascii="Arial" w:hAnsi="Arial" w:cs="Arial"/>
          <w:sz w:val="24"/>
          <w:szCs w:val="24"/>
        </w:rPr>
        <w:t>Essential</w:t>
      </w:r>
      <w:r w:rsidR="00F937AF" w:rsidRPr="003769F5">
        <w:rPr>
          <w:rFonts w:ascii="Arial" w:hAnsi="Arial" w:cs="Arial"/>
          <w:sz w:val="24"/>
          <w:szCs w:val="24"/>
        </w:rPr>
        <w:t>, advanced and enhanced</w:t>
      </w:r>
      <w:r w:rsidRPr="003769F5">
        <w:rPr>
          <w:rFonts w:ascii="Arial" w:hAnsi="Arial" w:cs="Arial"/>
          <w:sz w:val="24"/>
          <w:szCs w:val="24"/>
        </w:rPr>
        <w:t xml:space="preserve"> services provided at all premises included in the pharmaceutical lists</w:t>
      </w:r>
    </w:p>
    <w:p w14:paraId="699F88E5" w14:textId="77777777" w:rsidR="00A40B36" w:rsidRPr="003769F5" w:rsidRDefault="00A40B36" w:rsidP="00DC54F7">
      <w:pPr>
        <w:pStyle w:val="ListParagraph"/>
        <w:numPr>
          <w:ilvl w:val="0"/>
          <w:numId w:val="24"/>
        </w:numPr>
        <w:spacing w:after="0" w:line="240" w:lineRule="auto"/>
        <w:jc w:val="both"/>
        <w:rPr>
          <w:rFonts w:ascii="Arial" w:hAnsi="Arial" w:cs="Arial"/>
          <w:sz w:val="24"/>
          <w:szCs w:val="24"/>
        </w:rPr>
      </w:pPr>
      <w:r w:rsidRPr="003769F5">
        <w:rPr>
          <w:rFonts w:ascii="Arial" w:hAnsi="Arial" w:cs="Arial"/>
          <w:sz w:val="24"/>
          <w:szCs w:val="24"/>
        </w:rPr>
        <w:t>The dispensing service provided by</w:t>
      </w:r>
      <w:r w:rsidR="009D3923" w:rsidRPr="003769F5">
        <w:rPr>
          <w:rFonts w:ascii="Arial" w:hAnsi="Arial" w:cs="Arial"/>
          <w:sz w:val="24"/>
          <w:szCs w:val="24"/>
        </w:rPr>
        <w:t xml:space="preserve"> those</w:t>
      </w:r>
      <w:r w:rsidRPr="003769F5">
        <w:rPr>
          <w:rFonts w:ascii="Arial" w:hAnsi="Arial" w:cs="Arial"/>
          <w:sz w:val="24"/>
          <w:szCs w:val="24"/>
        </w:rPr>
        <w:t xml:space="preserve"> GP practices</w:t>
      </w:r>
      <w:r w:rsidR="009D3923" w:rsidRPr="003769F5">
        <w:rPr>
          <w:rFonts w:ascii="Arial" w:hAnsi="Arial" w:cs="Arial"/>
          <w:sz w:val="24"/>
          <w:szCs w:val="24"/>
        </w:rPr>
        <w:t xml:space="preserve"> included in the dispensing doctor list</w:t>
      </w:r>
      <w:r w:rsidRPr="003769F5">
        <w:rPr>
          <w:rFonts w:ascii="Arial" w:hAnsi="Arial" w:cs="Arial"/>
          <w:sz w:val="24"/>
          <w:szCs w:val="24"/>
        </w:rPr>
        <w:t>.</w:t>
      </w:r>
    </w:p>
    <w:p w14:paraId="2853AB02" w14:textId="77777777" w:rsidR="00A40B36" w:rsidRPr="003769F5" w:rsidRDefault="00A40B36" w:rsidP="00DC54F7">
      <w:pPr>
        <w:spacing w:after="0" w:line="240" w:lineRule="auto"/>
        <w:jc w:val="both"/>
        <w:rPr>
          <w:rFonts w:ascii="Arial" w:hAnsi="Arial" w:cs="Arial"/>
          <w:sz w:val="24"/>
          <w:szCs w:val="24"/>
          <w:lang w:eastAsia="en-GB"/>
        </w:rPr>
      </w:pPr>
    </w:p>
    <w:p w14:paraId="2CD44232" w14:textId="77777777" w:rsidR="00704E2F" w:rsidRPr="003769F5" w:rsidRDefault="00A40B36" w:rsidP="00DC54F7">
      <w:pPr>
        <w:spacing w:after="0" w:line="240" w:lineRule="auto"/>
        <w:jc w:val="both"/>
        <w:rPr>
          <w:rFonts w:ascii="Arial" w:hAnsi="Arial" w:cs="Arial"/>
          <w:sz w:val="24"/>
          <w:szCs w:val="24"/>
          <w:lang w:eastAsia="en-GB"/>
        </w:rPr>
      </w:pPr>
      <w:r w:rsidRPr="003769F5">
        <w:rPr>
          <w:rFonts w:ascii="Arial" w:hAnsi="Arial" w:cs="Arial"/>
          <w:sz w:val="24"/>
          <w:szCs w:val="24"/>
          <w:lang w:eastAsia="en-GB"/>
        </w:rPr>
        <w:t xml:space="preserve">Preceding sections </w:t>
      </w:r>
      <w:r w:rsidR="00133660" w:rsidRPr="003769F5">
        <w:rPr>
          <w:rFonts w:ascii="Arial" w:hAnsi="Arial" w:cs="Arial"/>
          <w:sz w:val="24"/>
          <w:szCs w:val="24"/>
          <w:lang w:eastAsia="en-GB"/>
        </w:rPr>
        <w:t xml:space="preserve">of this document </w:t>
      </w:r>
      <w:r w:rsidRPr="003769F5">
        <w:rPr>
          <w:rFonts w:ascii="Arial" w:hAnsi="Arial" w:cs="Arial"/>
          <w:sz w:val="24"/>
          <w:szCs w:val="24"/>
          <w:lang w:eastAsia="en-GB"/>
        </w:rPr>
        <w:t xml:space="preserve">have set out the provision of these services in </w:t>
      </w:r>
      <w:r w:rsidR="00F937AF" w:rsidRPr="003769F5">
        <w:rPr>
          <w:rFonts w:ascii="Arial" w:hAnsi="Arial" w:cs="Arial"/>
          <w:sz w:val="24"/>
          <w:szCs w:val="24"/>
          <w:lang w:eastAsia="en-GB"/>
        </w:rPr>
        <w:t>each locality.</w:t>
      </w:r>
    </w:p>
    <w:p w14:paraId="65FC432A" w14:textId="77777777" w:rsidR="00F937AF" w:rsidRPr="003769F5" w:rsidRDefault="00F937AF" w:rsidP="00DC54F7">
      <w:pPr>
        <w:spacing w:after="0" w:line="240" w:lineRule="auto"/>
        <w:jc w:val="both"/>
        <w:rPr>
          <w:rFonts w:ascii="Arial" w:hAnsi="Arial" w:cs="Arial"/>
          <w:sz w:val="24"/>
          <w:szCs w:val="24"/>
          <w:lang w:eastAsia="en-GB"/>
        </w:rPr>
      </w:pPr>
    </w:p>
    <w:p w14:paraId="19A99BA5" w14:textId="77777777" w:rsidR="00F937AF" w:rsidRPr="00A10850" w:rsidRDefault="00F937AF" w:rsidP="00DC54F7">
      <w:pPr>
        <w:spacing w:after="0" w:line="240" w:lineRule="auto"/>
        <w:jc w:val="both"/>
        <w:rPr>
          <w:rFonts w:ascii="Arial" w:hAnsi="Arial" w:cs="Arial"/>
          <w:lang w:eastAsia="en-GB"/>
        </w:rPr>
      </w:pPr>
      <w:r w:rsidRPr="003769F5">
        <w:rPr>
          <w:rFonts w:ascii="Arial" w:hAnsi="Arial" w:cs="Arial"/>
          <w:sz w:val="24"/>
          <w:szCs w:val="24"/>
          <w:lang w:eastAsia="en-GB"/>
        </w:rPr>
        <w:t>It has also identified the provision of the above services by contractors outside of its area, whether that is in Wales or England, as contributing towards meeting the need for pharmaceutical services in its area</w:t>
      </w:r>
      <w:r w:rsidRPr="00A10850">
        <w:rPr>
          <w:rFonts w:ascii="Arial" w:hAnsi="Arial" w:cs="Arial"/>
          <w:lang w:eastAsia="en-GB"/>
        </w:rPr>
        <w:t>.</w:t>
      </w:r>
    </w:p>
    <w:p w14:paraId="1AC4C64F" w14:textId="3CDB5AFA" w:rsidR="004F20D1" w:rsidRDefault="004F20D1" w:rsidP="00DC54F7">
      <w:pPr>
        <w:spacing w:after="0" w:line="240" w:lineRule="auto"/>
        <w:jc w:val="both"/>
        <w:rPr>
          <w:rFonts w:ascii="Arial" w:eastAsia="Times New Roman" w:hAnsi="Arial" w:cs="Arial"/>
          <w:lang w:eastAsia="en-GB"/>
        </w:rPr>
      </w:pPr>
    </w:p>
    <w:p w14:paraId="463DF1F3" w14:textId="77777777" w:rsidR="003E5031" w:rsidRPr="00A10850" w:rsidRDefault="003E5031" w:rsidP="00DC54F7">
      <w:pPr>
        <w:spacing w:after="0" w:line="240" w:lineRule="auto"/>
        <w:jc w:val="both"/>
        <w:rPr>
          <w:rFonts w:ascii="Arial" w:eastAsia="Times New Roman" w:hAnsi="Arial" w:cs="Arial"/>
          <w:lang w:eastAsia="en-GB"/>
        </w:rPr>
      </w:pPr>
    </w:p>
    <w:p w14:paraId="09F8957A" w14:textId="4A0D94E8" w:rsidR="00F937AF" w:rsidRPr="00A10850" w:rsidRDefault="00732F0B" w:rsidP="00DC54F7">
      <w:pPr>
        <w:widowControl w:val="0"/>
        <w:autoSpaceDE w:val="0"/>
        <w:autoSpaceDN w:val="0"/>
        <w:adjustRightInd w:val="0"/>
        <w:spacing w:after="0" w:line="240" w:lineRule="auto"/>
        <w:jc w:val="both"/>
        <w:rPr>
          <w:rFonts w:ascii="Arial" w:eastAsia="Times New Roman" w:hAnsi="Arial" w:cs="Arial"/>
          <w:b/>
          <w:sz w:val="26"/>
          <w:szCs w:val="26"/>
          <w:lang w:val="en-US" w:eastAsia="en-GB"/>
        </w:rPr>
      </w:pPr>
      <w:bookmarkStart w:id="64" w:name="_Toc414447148"/>
      <w:r>
        <w:rPr>
          <w:rFonts w:ascii="Arial" w:eastAsia="Times New Roman" w:hAnsi="Arial" w:cs="Arial"/>
          <w:b/>
          <w:sz w:val="26"/>
          <w:szCs w:val="26"/>
          <w:lang w:val="en-US" w:eastAsia="en-GB"/>
        </w:rPr>
        <w:t>17</w:t>
      </w:r>
      <w:r w:rsidR="0081575F" w:rsidRPr="00A10850">
        <w:rPr>
          <w:rFonts w:ascii="Arial" w:eastAsia="Times New Roman" w:hAnsi="Arial" w:cs="Arial"/>
          <w:b/>
          <w:sz w:val="26"/>
          <w:szCs w:val="26"/>
          <w:lang w:val="en-US" w:eastAsia="en-GB"/>
        </w:rPr>
        <w:t>.</w:t>
      </w:r>
      <w:r w:rsidR="00704E2F" w:rsidRPr="00A10850">
        <w:rPr>
          <w:rFonts w:ascii="Arial" w:eastAsia="Times New Roman" w:hAnsi="Arial" w:cs="Arial"/>
          <w:b/>
          <w:sz w:val="26"/>
          <w:szCs w:val="26"/>
          <w:lang w:val="en-US" w:eastAsia="en-GB"/>
        </w:rPr>
        <w:t xml:space="preserve">2 </w:t>
      </w:r>
      <w:r w:rsidR="00F937AF" w:rsidRPr="00CC01B4">
        <w:rPr>
          <w:rFonts w:ascii="Arial" w:eastAsia="Times New Roman" w:hAnsi="Arial" w:cs="Arial"/>
          <w:b/>
          <w:sz w:val="24"/>
          <w:szCs w:val="24"/>
          <w:lang w:val="en-US" w:eastAsia="en-GB"/>
        </w:rPr>
        <w:t>Other NHS services</w:t>
      </w:r>
    </w:p>
    <w:p w14:paraId="208B1575" w14:textId="77777777" w:rsidR="00F937AF" w:rsidRPr="00A10850" w:rsidRDefault="00F937AF" w:rsidP="00DC54F7">
      <w:pPr>
        <w:widowControl w:val="0"/>
        <w:autoSpaceDE w:val="0"/>
        <w:autoSpaceDN w:val="0"/>
        <w:adjustRightInd w:val="0"/>
        <w:spacing w:after="0" w:line="240" w:lineRule="auto"/>
        <w:jc w:val="both"/>
        <w:rPr>
          <w:rFonts w:ascii="Arial" w:eastAsia="Times New Roman" w:hAnsi="Arial" w:cs="Arial"/>
          <w:lang w:val="en-US" w:eastAsia="en-GB"/>
        </w:rPr>
      </w:pPr>
    </w:p>
    <w:p w14:paraId="12C2DC75" w14:textId="26CD1F78" w:rsidR="00FD256D" w:rsidRPr="003E5031" w:rsidRDefault="00FD256D" w:rsidP="00DC54F7">
      <w:pPr>
        <w:widowControl w:val="0"/>
        <w:autoSpaceDE w:val="0"/>
        <w:autoSpaceDN w:val="0"/>
        <w:adjustRightInd w:val="0"/>
        <w:spacing w:after="0" w:line="240" w:lineRule="auto"/>
        <w:jc w:val="both"/>
        <w:rPr>
          <w:rFonts w:ascii="Arial" w:eastAsia="Times New Roman" w:hAnsi="Arial" w:cs="Arial"/>
          <w:sz w:val="24"/>
          <w:szCs w:val="24"/>
          <w:lang w:val="en-US" w:eastAsia="en-GB"/>
        </w:rPr>
      </w:pPr>
      <w:r w:rsidRPr="003E5031">
        <w:rPr>
          <w:rFonts w:ascii="Arial" w:eastAsia="Times New Roman" w:hAnsi="Arial" w:cs="Arial"/>
          <w:sz w:val="24"/>
          <w:szCs w:val="24"/>
          <w:lang w:val="en-US" w:eastAsia="en-GB"/>
        </w:rPr>
        <w:t xml:space="preserve">In undertaking this PNA the </w:t>
      </w:r>
      <w:r w:rsidR="00732F0B" w:rsidRPr="003E5031">
        <w:rPr>
          <w:rFonts w:ascii="Arial" w:hAnsi="Arial" w:cs="Arial"/>
          <w:bCs/>
          <w:sz w:val="24"/>
          <w:szCs w:val="24"/>
        </w:rPr>
        <w:t>Cardiff and Vale University Health Board</w:t>
      </w:r>
      <w:r w:rsidRPr="003E5031">
        <w:rPr>
          <w:rFonts w:ascii="Arial" w:eastAsia="Times New Roman" w:hAnsi="Arial" w:cs="Arial"/>
          <w:sz w:val="24"/>
          <w:szCs w:val="24"/>
          <w:lang w:val="en-US" w:eastAsia="en-GB"/>
        </w:rPr>
        <w:t xml:space="preserve"> considers the following other NHS services as affecting the need for pharmaceutical services and has taken them into account:</w:t>
      </w:r>
    </w:p>
    <w:p w14:paraId="263D1091" w14:textId="0FB15994" w:rsidR="00075C55" w:rsidRPr="003E5031" w:rsidRDefault="00075C55" w:rsidP="00DC54F7">
      <w:pPr>
        <w:widowControl w:val="0"/>
        <w:autoSpaceDE w:val="0"/>
        <w:autoSpaceDN w:val="0"/>
        <w:adjustRightInd w:val="0"/>
        <w:spacing w:after="0" w:line="240" w:lineRule="auto"/>
        <w:jc w:val="both"/>
        <w:rPr>
          <w:rFonts w:ascii="Arial" w:eastAsia="Times New Roman" w:hAnsi="Arial" w:cs="Arial"/>
          <w:sz w:val="24"/>
          <w:szCs w:val="24"/>
          <w:lang w:val="en-US" w:eastAsia="en-GB"/>
        </w:rPr>
      </w:pPr>
    </w:p>
    <w:p w14:paraId="4DA5887A" w14:textId="77777777" w:rsidR="00075C55" w:rsidRPr="003E5031" w:rsidRDefault="00075C55" w:rsidP="00DC54F7">
      <w:pPr>
        <w:numPr>
          <w:ilvl w:val="0"/>
          <w:numId w:val="42"/>
        </w:numPr>
        <w:spacing w:after="0" w:line="240" w:lineRule="auto"/>
        <w:contextualSpacing/>
        <w:jc w:val="both"/>
        <w:rPr>
          <w:rFonts w:ascii="Arial" w:hAnsi="Arial" w:cs="Arial"/>
          <w:sz w:val="24"/>
          <w:szCs w:val="24"/>
        </w:rPr>
      </w:pPr>
      <w:r w:rsidRPr="003E5031">
        <w:rPr>
          <w:rFonts w:ascii="Arial" w:hAnsi="Arial" w:cs="Arial"/>
          <w:sz w:val="24"/>
          <w:szCs w:val="24"/>
        </w:rPr>
        <w:t>Hospital pharmacies – reduce the demand for the dispensing essential service as prescriptions written in hospitals are dispensed by the hospital pharmacy service.</w:t>
      </w:r>
    </w:p>
    <w:p w14:paraId="62719493" w14:textId="77777777" w:rsidR="00075C55" w:rsidRPr="003E5031" w:rsidRDefault="00075C55" w:rsidP="00DC54F7">
      <w:pPr>
        <w:numPr>
          <w:ilvl w:val="0"/>
          <w:numId w:val="42"/>
        </w:numPr>
        <w:spacing w:after="0" w:line="240" w:lineRule="auto"/>
        <w:contextualSpacing/>
        <w:jc w:val="both"/>
        <w:rPr>
          <w:rFonts w:ascii="Arial" w:hAnsi="Arial" w:cs="Arial"/>
          <w:sz w:val="24"/>
          <w:szCs w:val="24"/>
        </w:rPr>
      </w:pPr>
      <w:r w:rsidRPr="003E5031">
        <w:rPr>
          <w:rFonts w:ascii="Arial" w:hAnsi="Arial" w:cs="Arial"/>
          <w:sz w:val="24"/>
          <w:szCs w:val="24"/>
        </w:rPr>
        <w:t>Personal administration of items by GPs – similar to hospital pharmacies, this also reduces the demand for the dispensing essential service.  Items are sourced and personally administered by GPs and other clinicians at the practice thus saving patients having to take a prescription to a pharmacy, for example for a vaccination, in order to then return with the vaccine to the practice so that it may be administered.</w:t>
      </w:r>
    </w:p>
    <w:p w14:paraId="3A5DA697" w14:textId="5C4A44A0" w:rsidR="00075C55" w:rsidRPr="003E5031" w:rsidRDefault="00075C55" w:rsidP="00DC54F7">
      <w:pPr>
        <w:numPr>
          <w:ilvl w:val="0"/>
          <w:numId w:val="42"/>
        </w:numPr>
        <w:spacing w:after="0" w:line="240" w:lineRule="auto"/>
        <w:contextualSpacing/>
        <w:jc w:val="both"/>
        <w:rPr>
          <w:rFonts w:ascii="Arial" w:hAnsi="Arial" w:cs="Arial"/>
          <w:sz w:val="24"/>
          <w:szCs w:val="24"/>
        </w:rPr>
      </w:pPr>
      <w:r w:rsidRPr="003E5031">
        <w:rPr>
          <w:rFonts w:ascii="Arial" w:hAnsi="Arial" w:cs="Arial"/>
          <w:sz w:val="24"/>
          <w:szCs w:val="24"/>
        </w:rPr>
        <w:t>Urgent Primary Care - Out of Hours Service (CAV24/7) – whether a patient is given a full or part course of treatment after being seen by the Out of Hours Service or the Minor Injuries Unit at Barry Hospital, will depend on the nature of their condition.  This service will therefore affect the need for pharmaceutical services, in particular the essential service of dispensing. Furthermore, a</w:t>
      </w:r>
      <w:r w:rsidRPr="003E5031">
        <w:rPr>
          <w:rFonts w:ascii="Arial" w:hAnsi="Arial" w:cs="Arial"/>
          <w:sz w:val="24"/>
          <w:szCs w:val="24"/>
          <w:lang w:val="en"/>
        </w:rPr>
        <w:t>s patients are directed to the right services through the one call system, this also has the potential to increase the need for all pharmaceutical services.</w:t>
      </w:r>
    </w:p>
    <w:p w14:paraId="35CCCADE" w14:textId="77777777" w:rsidR="00075C55" w:rsidRPr="003E5031" w:rsidRDefault="00075C55" w:rsidP="00DC54F7">
      <w:pPr>
        <w:numPr>
          <w:ilvl w:val="0"/>
          <w:numId w:val="42"/>
        </w:numPr>
        <w:spacing w:after="0" w:line="240" w:lineRule="auto"/>
        <w:contextualSpacing/>
        <w:jc w:val="both"/>
        <w:rPr>
          <w:rFonts w:ascii="Arial" w:hAnsi="Arial" w:cs="Arial"/>
          <w:sz w:val="24"/>
          <w:szCs w:val="24"/>
        </w:rPr>
      </w:pPr>
      <w:r w:rsidRPr="003E5031">
        <w:rPr>
          <w:rFonts w:ascii="Arial" w:hAnsi="Arial" w:cs="Arial"/>
          <w:sz w:val="24"/>
          <w:szCs w:val="24"/>
        </w:rPr>
        <w:lastRenderedPageBreak/>
        <w:t xml:space="preserve">Prison pharmacies - reduce the demand for the dispensing of essential service as prescriptions written in </w:t>
      </w:r>
      <w:r w:rsidRPr="003E5031">
        <w:rPr>
          <w:rFonts w:ascii="Arial" w:hAnsi="Arial" w:cs="Arial"/>
          <w:sz w:val="24"/>
          <w:szCs w:val="24"/>
          <w:shd w:val="clear" w:color="auto" w:fill="FFFFFF"/>
        </w:rPr>
        <w:t xml:space="preserve">HMP Cardiff </w:t>
      </w:r>
      <w:r w:rsidRPr="003E5031">
        <w:rPr>
          <w:rFonts w:ascii="Arial" w:hAnsi="Arial" w:cs="Arial"/>
          <w:sz w:val="24"/>
          <w:szCs w:val="24"/>
        </w:rPr>
        <w:t>prison are not dispensed by community pharmacies or dispensing appliance contractors.</w:t>
      </w:r>
    </w:p>
    <w:p w14:paraId="0C8F8297" w14:textId="77777777" w:rsidR="00075C55" w:rsidRPr="003E5031" w:rsidRDefault="00075C55" w:rsidP="00DC54F7">
      <w:pPr>
        <w:pStyle w:val="ListParagraph"/>
        <w:numPr>
          <w:ilvl w:val="0"/>
          <w:numId w:val="42"/>
        </w:numPr>
        <w:spacing w:after="0" w:line="240" w:lineRule="auto"/>
        <w:jc w:val="both"/>
        <w:rPr>
          <w:rFonts w:ascii="Arial" w:hAnsi="Arial" w:cs="Arial"/>
          <w:sz w:val="24"/>
          <w:szCs w:val="24"/>
        </w:rPr>
      </w:pPr>
      <w:r w:rsidRPr="003E5031">
        <w:rPr>
          <w:rFonts w:ascii="Arial" w:hAnsi="Arial" w:cs="Arial"/>
          <w:sz w:val="24"/>
          <w:szCs w:val="24"/>
        </w:rPr>
        <w:t xml:space="preserve">Independent prescribers – are likely to increase in number over the next five years, which may have a subsequent effect on the need for pharmaceutical services, in particular the essential service of dispensing, as more patients are treated. </w:t>
      </w:r>
    </w:p>
    <w:p w14:paraId="78918975" w14:textId="77777777" w:rsidR="00075C55" w:rsidRPr="003E5031" w:rsidRDefault="00075C55" w:rsidP="00DC54F7">
      <w:pPr>
        <w:pStyle w:val="ListParagraph"/>
        <w:numPr>
          <w:ilvl w:val="0"/>
          <w:numId w:val="42"/>
        </w:numPr>
        <w:spacing w:after="0" w:line="240" w:lineRule="auto"/>
        <w:jc w:val="both"/>
        <w:rPr>
          <w:rFonts w:ascii="Arial" w:hAnsi="Arial" w:cs="Arial"/>
          <w:sz w:val="24"/>
          <w:szCs w:val="24"/>
        </w:rPr>
      </w:pPr>
      <w:r w:rsidRPr="003E5031">
        <w:rPr>
          <w:rFonts w:ascii="Arial" w:hAnsi="Arial" w:cs="Arial"/>
          <w:sz w:val="24"/>
          <w:szCs w:val="24"/>
        </w:rPr>
        <w:t xml:space="preserve">The </w:t>
      </w:r>
      <w:r w:rsidRPr="003E5031">
        <w:rPr>
          <w:rStyle w:val="Strong"/>
          <w:rFonts w:ascii="Arial" w:hAnsi="Arial" w:cs="Arial"/>
          <w:b w:val="0"/>
          <w:bCs w:val="0"/>
          <w:sz w:val="24"/>
          <w:szCs w:val="24"/>
          <w:shd w:val="clear" w:color="auto" w:fill="FFFFFF"/>
        </w:rPr>
        <w:t>Online Non Prescription Ordering Service</w:t>
      </w:r>
      <w:r w:rsidRPr="003E5031">
        <w:rPr>
          <w:rStyle w:val="Strong"/>
          <w:rFonts w:ascii="Arial" w:hAnsi="Arial" w:cs="Arial"/>
          <w:sz w:val="24"/>
          <w:szCs w:val="24"/>
          <w:shd w:val="clear" w:color="auto" w:fill="FFFFFF"/>
        </w:rPr>
        <w:t xml:space="preserve"> </w:t>
      </w:r>
      <w:r w:rsidRPr="003E5031">
        <w:rPr>
          <w:rStyle w:val="Strong"/>
          <w:rFonts w:ascii="Arial" w:hAnsi="Arial" w:cs="Arial"/>
          <w:color w:val="111111"/>
          <w:sz w:val="24"/>
          <w:szCs w:val="24"/>
          <w:shd w:val="clear" w:color="auto" w:fill="FFFFFF"/>
        </w:rPr>
        <w:t>(</w:t>
      </w:r>
      <w:r w:rsidRPr="003E5031">
        <w:rPr>
          <w:rFonts w:ascii="Arial" w:hAnsi="Arial" w:cs="Arial"/>
          <w:sz w:val="24"/>
          <w:szCs w:val="24"/>
          <w:lang w:val="en"/>
        </w:rPr>
        <w:t xml:space="preserve">ONPOS) dressings system – this will reduce the need for dressings on prescriptions for many patients and therefore the demand for the dispensing essential service. However, non-formulary dressings will still need to be prescribed. </w:t>
      </w:r>
    </w:p>
    <w:p w14:paraId="21C64082" w14:textId="77777777" w:rsidR="00075C55" w:rsidRPr="00A10850" w:rsidRDefault="00075C55" w:rsidP="00DC54F7">
      <w:pPr>
        <w:widowControl w:val="0"/>
        <w:autoSpaceDE w:val="0"/>
        <w:autoSpaceDN w:val="0"/>
        <w:adjustRightInd w:val="0"/>
        <w:spacing w:after="0" w:line="240" w:lineRule="auto"/>
        <w:jc w:val="both"/>
        <w:rPr>
          <w:rFonts w:ascii="Arial" w:eastAsia="Times New Roman" w:hAnsi="Arial" w:cs="Arial"/>
          <w:lang w:val="en-US" w:eastAsia="en-GB"/>
        </w:rPr>
      </w:pPr>
    </w:p>
    <w:p w14:paraId="58903BC2" w14:textId="77777777" w:rsidR="00FD256D" w:rsidRPr="00A10850" w:rsidRDefault="00FD256D" w:rsidP="00DC54F7">
      <w:pPr>
        <w:widowControl w:val="0"/>
        <w:autoSpaceDE w:val="0"/>
        <w:autoSpaceDN w:val="0"/>
        <w:adjustRightInd w:val="0"/>
        <w:spacing w:after="0" w:line="240" w:lineRule="auto"/>
        <w:jc w:val="both"/>
        <w:rPr>
          <w:rFonts w:ascii="Arial" w:eastAsia="Times New Roman" w:hAnsi="Arial" w:cs="Arial"/>
          <w:lang w:val="en-US" w:eastAsia="en-GB"/>
        </w:rPr>
      </w:pPr>
    </w:p>
    <w:p w14:paraId="4ECDD108" w14:textId="746A4DD9" w:rsidR="002D0C4F" w:rsidRPr="00831F42" w:rsidRDefault="00BB579A" w:rsidP="00DC54F7">
      <w:pPr>
        <w:widowControl w:val="0"/>
        <w:autoSpaceDE w:val="0"/>
        <w:autoSpaceDN w:val="0"/>
        <w:adjustRightInd w:val="0"/>
        <w:spacing w:after="0" w:line="240" w:lineRule="auto"/>
        <w:jc w:val="both"/>
        <w:rPr>
          <w:rFonts w:ascii="Arial" w:eastAsia="Times New Roman" w:hAnsi="Arial" w:cs="Arial"/>
          <w:b/>
          <w:sz w:val="26"/>
          <w:szCs w:val="26"/>
          <w:lang w:val="en-US" w:eastAsia="en-GB"/>
        </w:rPr>
      </w:pPr>
      <w:r w:rsidRPr="00831F42">
        <w:rPr>
          <w:rFonts w:ascii="Arial" w:eastAsia="Times New Roman" w:hAnsi="Arial" w:cs="Arial"/>
          <w:b/>
          <w:sz w:val="26"/>
          <w:szCs w:val="26"/>
          <w:lang w:val="en-US" w:eastAsia="en-GB"/>
        </w:rPr>
        <w:t>17</w:t>
      </w:r>
      <w:r w:rsidR="0081575F" w:rsidRPr="00831F42">
        <w:rPr>
          <w:rFonts w:ascii="Arial" w:eastAsia="Times New Roman" w:hAnsi="Arial" w:cs="Arial"/>
          <w:b/>
          <w:sz w:val="26"/>
          <w:szCs w:val="26"/>
          <w:lang w:val="en-US" w:eastAsia="en-GB"/>
        </w:rPr>
        <w:t>.</w:t>
      </w:r>
      <w:r w:rsidR="00FD256D" w:rsidRPr="00831F42">
        <w:rPr>
          <w:rFonts w:ascii="Arial" w:eastAsia="Times New Roman" w:hAnsi="Arial" w:cs="Arial"/>
          <w:b/>
          <w:sz w:val="26"/>
          <w:szCs w:val="26"/>
          <w:lang w:val="en-US" w:eastAsia="en-GB"/>
        </w:rPr>
        <w:t xml:space="preserve">3 </w:t>
      </w:r>
      <w:r w:rsidR="0081575F" w:rsidRPr="00CC01B4">
        <w:rPr>
          <w:rFonts w:ascii="Arial" w:eastAsia="Times New Roman" w:hAnsi="Arial" w:cs="Arial"/>
          <w:b/>
          <w:sz w:val="24"/>
          <w:szCs w:val="24"/>
          <w:lang w:val="en-US" w:eastAsia="en-GB"/>
        </w:rPr>
        <w:t>Current g</w:t>
      </w:r>
      <w:r w:rsidR="002D0C4F" w:rsidRPr="00CC01B4">
        <w:rPr>
          <w:rFonts w:ascii="Arial" w:eastAsia="Times New Roman" w:hAnsi="Arial" w:cs="Arial"/>
          <w:b/>
          <w:sz w:val="24"/>
          <w:szCs w:val="24"/>
          <w:lang w:val="en-US" w:eastAsia="en-GB"/>
        </w:rPr>
        <w:t>aps in provision</w:t>
      </w:r>
      <w:bookmarkEnd w:id="64"/>
    </w:p>
    <w:p w14:paraId="48D90908" w14:textId="77777777" w:rsidR="002D0C4F" w:rsidRPr="00831F42" w:rsidRDefault="002D0C4F" w:rsidP="00DC54F7">
      <w:pPr>
        <w:widowControl w:val="0"/>
        <w:autoSpaceDE w:val="0"/>
        <w:autoSpaceDN w:val="0"/>
        <w:adjustRightInd w:val="0"/>
        <w:spacing w:after="0" w:line="240" w:lineRule="auto"/>
        <w:jc w:val="both"/>
        <w:rPr>
          <w:rFonts w:ascii="Arial" w:eastAsia="Times New Roman" w:hAnsi="Arial" w:cs="Arial"/>
          <w:lang w:eastAsia="en-GB"/>
        </w:rPr>
      </w:pPr>
    </w:p>
    <w:p w14:paraId="493C4BAD" w14:textId="11152BFD" w:rsidR="002D0C4F" w:rsidRPr="0045721A" w:rsidRDefault="00BB579A" w:rsidP="00DC54F7">
      <w:pPr>
        <w:widowControl w:val="0"/>
        <w:autoSpaceDE w:val="0"/>
        <w:autoSpaceDN w:val="0"/>
        <w:adjustRightInd w:val="0"/>
        <w:spacing w:after="0" w:line="240" w:lineRule="auto"/>
        <w:jc w:val="both"/>
        <w:rPr>
          <w:rFonts w:ascii="Arial" w:eastAsia="Times New Roman" w:hAnsi="Arial" w:cs="Arial"/>
          <w:b/>
          <w:sz w:val="24"/>
          <w:szCs w:val="24"/>
          <w:lang w:eastAsia="en-GB"/>
        </w:rPr>
      </w:pPr>
      <w:r w:rsidRPr="0045721A">
        <w:rPr>
          <w:rFonts w:ascii="Arial" w:eastAsia="Times New Roman" w:hAnsi="Arial" w:cs="Arial"/>
          <w:b/>
          <w:sz w:val="24"/>
          <w:szCs w:val="24"/>
          <w:lang w:val="en-US" w:eastAsia="en-GB"/>
        </w:rPr>
        <w:t>17</w:t>
      </w:r>
      <w:r w:rsidR="0081575F" w:rsidRPr="0045721A">
        <w:rPr>
          <w:rFonts w:ascii="Arial" w:eastAsia="Times New Roman" w:hAnsi="Arial" w:cs="Arial"/>
          <w:b/>
          <w:sz w:val="24"/>
          <w:szCs w:val="24"/>
          <w:lang w:val="en-US" w:eastAsia="en-GB"/>
        </w:rPr>
        <w:t>.3</w:t>
      </w:r>
      <w:r w:rsidR="00704E2F" w:rsidRPr="0045721A">
        <w:rPr>
          <w:rFonts w:ascii="Arial" w:eastAsia="Times New Roman" w:hAnsi="Arial" w:cs="Arial"/>
          <w:b/>
          <w:sz w:val="24"/>
          <w:szCs w:val="24"/>
          <w:lang w:eastAsia="en-GB"/>
        </w:rPr>
        <w:t xml:space="preserve">.1 </w:t>
      </w:r>
      <w:r w:rsidR="0081575F" w:rsidRPr="0045721A">
        <w:rPr>
          <w:rFonts w:ascii="Arial" w:eastAsia="Times New Roman" w:hAnsi="Arial" w:cs="Arial"/>
          <w:b/>
          <w:sz w:val="24"/>
          <w:szCs w:val="24"/>
          <w:lang w:eastAsia="en-GB"/>
        </w:rPr>
        <w:t>Current a</w:t>
      </w:r>
      <w:r w:rsidR="002D0C4F" w:rsidRPr="0045721A">
        <w:rPr>
          <w:rFonts w:ascii="Arial" w:eastAsia="Times New Roman" w:hAnsi="Arial" w:cs="Arial"/>
          <w:b/>
          <w:sz w:val="24"/>
          <w:szCs w:val="24"/>
          <w:lang w:eastAsia="en-GB"/>
        </w:rPr>
        <w:t>ccess to essential services</w:t>
      </w:r>
    </w:p>
    <w:p w14:paraId="29300889" w14:textId="77777777" w:rsidR="002D0C4F" w:rsidRPr="0045721A" w:rsidRDefault="002D0C4F" w:rsidP="00DC54F7">
      <w:pPr>
        <w:widowControl w:val="0"/>
        <w:autoSpaceDE w:val="0"/>
        <w:autoSpaceDN w:val="0"/>
        <w:adjustRightInd w:val="0"/>
        <w:spacing w:after="0" w:line="240" w:lineRule="auto"/>
        <w:jc w:val="both"/>
        <w:rPr>
          <w:rFonts w:ascii="Arial" w:eastAsia="Times New Roman" w:hAnsi="Arial" w:cs="Arial"/>
          <w:sz w:val="24"/>
          <w:szCs w:val="24"/>
          <w:lang w:eastAsia="en-GB"/>
        </w:rPr>
      </w:pPr>
    </w:p>
    <w:p w14:paraId="32C43DB2" w14:textId="0AC6D44A" w:rsidR="002D0C4F" w:rsidRPr="0045721A" w:rsidRDefault="002D0C4F" w:rsidP="00DC54F7">
      <w:pPr>
        <w:widowControl w:val="0"/>
        <w:autoSpaceDE w:val="0"/>
        <w:autoSpaceDN w:val="0"/>
        <w:adjustRightInd w:val="0"/>
        <w:spacing w:after="0" w:line="240" w:lineRule="auto"/>
        <w:jc w:val="both"/>
        <w:rPr>
          <w:rFonts w:ascii="Arial" w:eastAsia="Times New Roman" w:hAnsi="Arial" w:cs="Arial"/>
          <w:b/>
          <w:sz w:val="24"/>
          <w:szCs w:val="24"/>
          <w:lang w:eastAsia="en-GB"/>
        </w:rPr>
      </w:pPr>
      <w:r w:rsidRPr="0045721A">
        <w:rPr>
          <w:rFonts w:ascii="Arial" w:eastAsia="Times New Roman" w:hAnsi="Arial" w:cs="Arial"/>
          <w:sz w:val="24"/>
          <w:szCs w:val="24"/>
          <w:lang w:eastAsia="en-GB"/>
        </w:rPr>
        <w:t>In order to assess the provision of essential services aga</w:t>
      </w:r>
      <w:r w:rsidR="009D3923" w:rsidRPr="0045721A">
        <w:rPr>
          <w:rFonts w:ascii="Arial" w:eastAsia="Times New Roman" w:hAnsi="Arial" w:cs="Arial"/>
          <w:sz w:val="24"/>
          <w:szCs w:val="24"/>
          <w:lang w:eastAsia="en-GB"/>
        </w:rPr>
        <w:t>inst the needs of the population</w:t>
      </w:r>
      <w:r w:rsidR="0045721A">
        <w:rPr>
          <w:rFonts w:ascii="Arial" w:eastAsia="Times New Roman" w:hAnsi="Arial" w:cs="Arial"/>
          <w:sz w:val="24"/>
          <w:szCs w:val="24"/>
          <w:lang w:eastAsia="en-GB"/>
        </w:rPr>
        <w:t>,</w:t>
      </w:r>
      <w:r w:rsidRPr="0045721A">
        <w:rPr>
          <w:rFonts w:ascii="Arial" w:eastAsia="Times New Roman" w:hAnsi="Arial" w:cs="Arial"/>
          <w:sz w:val="24"/>
          <w:szCs w:val="24"/>
          <w:lang w:eastAsia="en-GB"/>
        </w:rPr>
        <w:t xml:space="preserve"> </w:t>
      </w:r>
      <w:r w:rsidR="00BB579A" w:rsidRPr="0045721A">
        <w:rPr>
          <w:rFonts w:ascii="Arial" w:hAnsi="Arial" w:cs="Arial"/>
          <w:bCs/>
          <w:sz w:val="24"/>
          <w:szCs w:val="24"/>
        </w:rPr>
        <w:t>Cardiff and Vale University Health Board</w:t>
      </w:r>
      <w:r w:rsidR="00FD256D" w:rsidRPr="0045721A">
        <w:rPr>
          <w:rFonts w:ascii="Arial" w:hAnsi="Arial" w:cs="Arial"/>
          <w:sz w:val="24"/>
          <w:szCs w:val="24"/>
          <w:lang w:eastAsia="en-GB"/>
        </w:rPr>
        <w:t xml:space="preserve"> </w:t>
      </w:r>
      <w:r w:rsidRPr="0045721A">
        <w:rPr>
          <w:rFonts w:ascii="Arial" w:eastAsia="Times New Roman" w:hAnsi="Arial" w:cs="Arial"/>
          <w:sz w:val="24"/>
          <w:szCs w:val="24"/>
          <w:lang w:eastAsia="en-GB"/>
        </w:rPr>
        <w:t>considered access (travelling times and opening hours) as the most important factor in determining the extent to which the current provision of essential services meets the needs of the population.</w:t>
      </w:r>
    </w:p>
    <w:p w14:paraId="2D7FABE8" w14:textId="77777777" w:rsidR="002D0C4F" w:rsidRPr="00831F42" w:rsidRDefault="002D0C4F" w:rsidP="00DC54F7">
      <w:pPr>
        <w:widowControl w:val="0"/>
        <w:autoSpaceDE w:val="0"/>
        <w:autoSpaceDN w:val="0"/>
        <w:adjustRightInd w:val="0"/>
        <w:spacing w:after="0" w:line="240" w:lineRule="auto"/>
        <w:jc w:val="both"/>
        <w:rPr>
          <w:rFonts w:ascii="Arial" w:eastAsia="Times New Roman" w:hAnsi="Arial" w:cs="Arial"/>
          <w:b/>
          <w:lang w:eastAsia="en-GB"/>
        </w:rPr>
      </w:pPr>
    </w:p>
    <w:p w14:paraId="15F2BFBF" w14:textId="41FE8C72" w:rsidR="002D0C4F" w:rsidRPr="0045721A" w:rsidRDefault="005C1FC5" w:rsidP="00DC54F7">
      <w:pPr>
        <w:spacing w:after="0" w:line="240" w:lineRule="auto"/>
        <w:jc w:val="both"/>
        <w:rPr>
          <w:rFonts w:ascii="Arial" w:hAnsi="Arial" w:cs="Arial"/>
          <w:b/>
          <w:sz w:val="24"/>
          <w:szCs w:val="24"/>
          <w:lang w:eastAsia="en-GB"/>
        </w:rPr>
      </w:pPr>
      <w:r w:rsidRPr="0045721A">
        <w:rPr>
          <w:rFonts w:ascii="Arial" w:hAnsi="Arial" w:cs="Arial"/>
          <w:b/>
          <w:sz w:val="24"/>
          <w:szCs w:val="24"/>
          <w:lang w:val="en-US" w:eastAsia="en-GB"/>
        </w:rPr>
        <w:t>17</w:t>
      </w:r>
      <w:r w:rsidR="0081575F" w:rsidRPr="0045721A">
        <w:rPr>
          <w:rFonts w:ascii="Arial" w:hAnsi="Arial" w:cs="Arial"/>
          <w:b/>
          <w:sz w:val="24"/>
          <w:szCs w:val="24"/>
          <w:lang w:val="en-US" w:eastAsia="en-GB"/>
        </w:rPr>
        <w:t>.</w:t>
      </w:r>
      <w:r w:rsidR="0081575F" w:rsidRPr="0045721A">
        <w:rPr>
          <w:rFonts w:ascii="Arial" w:hAnsi="Arial" w:cs="Arial"/>
          <w:b/>
          <w:sz w:val="24"/>
          <w:szCs w:val="24"/>
          <w:lang w:eastAsia="en-GB"/>
        </w:rPr>
        <w:t>3</w:t>
      </w:r>
      <w:r w:rsidR="002D0C4F" w:rsidRPr="0045721A">
        <w:rPr>
          <w:rFonts w:ascii="Arial" w:hAnsi="Arial" w:cs="Arial"/>
          <w:b/>
          <w:sz w:val="24"/>
          <w:szCs w:val="24"/>
          <w:lang w:eastAsia="en-GB"/>
        </w:rPr>
        <w:t>.1.1 Access to essential services during normal working hours</w:t>
      </w:r>
    </w:p>
    <w:p w14:paraId="4CF787F2" w14:textId="77777777" w:rsidR="00BE6536" w:rsidRDefault="00BE6536" w:rsidP="00DC54F7">
      <w:pPr>
        <w:spacing w:after="0" w:line="240" w:lineRule="auto"/>
        <w:jc w:val="both"/>
        <w:rPr>
          <w:rFonts w:ascii="Arial" w:hAnsi="Arial" w:cs="Arial"/>
          <w:highlight w:val="yellow"/>
        </w:rPr>
      </w:pPr>
    </w:p>
    <w:p w14:paraId="4B5170F5" w14:textId="7EC2F1FC" w:rsidR="00AD4555" w:rsidRPr="009014DA" w:rsidRDefault="00BE6536" w:rsidP="00DC54F7">
      <w:pPr>
        <w:spacing w:after="0" w:line="240" w:lineRule="auto"/>
        <w:jc w:val="both"/>
        <w:rPr>
          <w:rFonts w:ascii="Arial" w:hAnsi="Arial" w:cs="Arial"/>
        </w:rPr>
      </w:pPr>
      <w:r w:rsidRPr="009014DA">
        <w:rPr>
          <w:rFonts w:ascii="Arial" w:hAnsi="Arial" w:cs="Arial"/>
          <w:sz w:val="24"/>
          <w:szCs w:val="24"/>
          <w:lang w:val="en-US"/>
        </w:rPr>
        <w:t xml:space="preserve">Cardiff and Vale University Health Board has identified </w:t>
      </w:r>
      <w:r w:rsidRPr="009014DA">
        <w:rPr>
          <w:rFonts w:ascii="Arial" w:hAnsi="Arial" w:cs="Arial"/>
          <w:sz w:val="24"/>
          <w:szCs w:val="24"/>
        </w:rPr>
        <w:t xml:space="preserve">that the overwhelming majority of the population is able to access a pharmacy during normal working hours within 20 minutes. </w:t>
      </w:r>
      <w:r w:rsidR="003331EB" w:rsidRPr="009014DA">
        <w:rPr>
          <w:rFonts w:ascii="Arial" w:hAnsi="Arial" w:cs="Arial"/>
          <w:sz w:val="24"/>
          <w:szCs w:val="24"/>
        </w:rPr>
        <w:t>The majority can access a pharmacy within five to 10 minutes</w:t>
      </w:r>
      <w:r w:rsidR="001C32AC" w:rsidRPr="009014DA">
        <w:rPr>
          <w:rFonts w:ascii="Arial" w:hAnsi="Arial" w:cs="Arial"/>
          <w:sz w:val="24"/>
          <w:szCs w:val="24"/>
        </w:rPr>
        <w:t xml:space="preserve"> by car</w:t>
      </w:r>
      <w:r w:rsidR="003331EB" w:rsidRPr="009014DA">
        <w:rPr>
          <w:rFonts w:ascii="Arial" w:hAnsi="Arial" w:cs="Arial"/>
          <w:sz w:val="24"/>
          <w:szCs w:val="24"/>
        </w:rPr>
        <w:t>.</w:t>
      </w:r>
      <w:r w:rsidR="003331EB" w:rsidRPr="009014DA">
        <w:rPr>
          <w:rFonts w:ascii="Arial" w:hAnsi="Arial" w:cs="Arial"/>
        </w:rPr>
        <w:t xml:space="preserve"> </w:t>
      </w:r>
      <w:r w:rsidR="00AD4555" w:rsidRPr="009014DA">
        <w:rPr>
          <w:rFonts w:ascii="Arial" w:hAnsi="Arial" w:cs="Arial"/>
          <w:sz w:val="24"/>
          <w:szCs w:val="24"/>
        </w:rPr>
        <w:t>Whilst noting that not all households have access to a car</w:t>
      </w:r>
      <w:r w:rsidR="0074622E" w:rsidRPr="009014DA">
        <w:rPr>
          <w:rFonts w:ascii="Arial" w:hAnsi="Arial" w:cs="Arial"/>
          <w:sz w:val="24"/>
          <w:szCs w:val="24"/>
        </w:rPr>
        <w:t>,</w:t>
      </w:r>
      <w:r w:rsidR="00AD4555" w:rsidRPr="009014DA">
        <w:rPr>
          <w:rFonts w:ascii="Arial" w:hAnsi="Arial" w:cs="Arial"/>
          <w:sz w:val="24"/>
          <w:szCs w:val="24"/>
        </w:rPr>
        <w:t xml:space="preserve"> the nature of the cluster</w:t>
      </w:r>
      <w:r w:rsidR="006647A2" w:rsidRPr="009014DA">
        <w:rPr>
          <w:rFonts w:ascii="Arial" w:hAnsi="Arial" w:cs="Arial"/>
          <w:sz w:val="24"/>
          <w:szCs w:val="24"/>
        </w:rPr>
        <w:t>s</w:t>
      </w:r>
      <w:r w:rsidR="00AD4555" w:rsidRPr="009014DA">
        <w:rPr>
          <w:rFonts w:ascii="Arial" w:hAnsi="Arial" w:cs="Arial"/>
          <w:sz w:val="24"/>
          <w:szCs w:val="24"/>
        </w:rPr>
        <w:t xml:space="preserve"> means that walking to a pharmacy will be a realistic option for many residents and regular public transport services are available for those who are unable to undertake the whole journey on foot. </w:t>
      </w:r>
      <w:r w:rsidR="00AD4555" w:rsidRPr="009014DA">
        <w:rPr>
          <w:rStyle w:val="x-1565784400x-1896074302size"/>
          <w:rFonts w:ascii="Arial" w:hAnsi="Arial" w:cs="Arial"/>
          <w:color w:val="000000"/>
          <w:sz w:val="24"/>
          <w:szCs w:val="24"/>
        </w:rPr>
        <w:t>However, </w:t>
      </w:r>
      <w:r w:rsidR="00021456" w:rsidRPr="009014DA">
        <w:rPr>
          <w:rStyle w:val="x-1565784400x-1896074302size"/>
          <w:rFonts w:ascii="Arial" w:hAnsi="Arial" w:cs="Arial"/>
          <w:color w:val="000000"/>
          <w:sz w:val="24"/>
          <w:szCs w:val="24"/>
        </w:rPr>
        <w:t xml:space="preserve">in the </w:t>
      </w:r>
      <w:r w:rsidR="003811E5" w:rsidRPr="009014DA">
        <w:rPr>
          <w:rStyle w:val="x-1565784400x-1896074302size"/>
          <w:rFonts w:ascii="Arial" w:hAnsi="Arial" w:cs="Arial"/>
          <w:color w:val="000000"/>
          <w:sz w:val="24"/>
          <w:szCs w:val="24"/>
        </w:rPr>
        <w:t xml:space="preserve">very </w:t>
      </w:r>
      <w:r w:rsidR="00021456" w:rsidRPr="009014DA">
        <w:rPr>
          <w:rStyle w:val="x-1565784400x-1896074302size"/>
          <w:rFonts w:ascii="Arial" w:hAnsi="Arial" w:cs="Arial"/>
          <w:color w:val="000000"/>
          <w:sz w:val="24"/>
          <w:szCs w:val="24"/>
        </w:rPr>
        <w:t xml:space="preserve">rural areas of </w:t>
      </w:r>
      <w:r w:rsidR="00AD4555" w:rsidRPr="009014DA">
        <w:rPr>
          <w:rStyle w:val="x-1565784400x-1896074302size"/>
          <w:rFonts w:ascii="Arial" w:hAnsi="Arial" w:cs="Arial"/>
          <w:color w:val="000000"/>
          <w:sz w:val="24"/>
          <w:szCs w:val="24"/>
        </w:rPr>
        <w:t xml:space="preserve">Western Vale cluster </w:t>
      </w:r>
      <w:r w:rsidR="00021456" w:rsidRPr="009014DA">
        <w:rPr>
          <w:rStyle w:val="x-1565784400x-1896074302size"/>
          <w:rFonts w:ascii="Arial" w:hAnsi="Arial" w:cs="Arial"/>
          <w:color w:val="000000"/>
          <w:sz w:val="24"/>
          <w:szCs w:val="24"/>
        </w:rPr>
        <w:t xml:space="preserve">and Central Vale cluster, public transport </w:t>
      </w:r>
      <w:r w:rsidR="003331EB" w:rsidRPr="009014DA">
        <w:rPr>
          <w:rStyle w:val="x-1565784400x-1896074302size"/>
          <w:rFonts w:ascii="Arial" w:hAnsi="Arial" w:cs="Arial"/>
          <w:color w:val="000000"/>
          <w:sz w:val="24"/>
          <w:szCs w:val="24"/>
        </w:rPr>
        <w:t>services are</w:t>
      </w:r>
      <w:r w:rsidR="009E048B" w:rsidRPr="009014DA">
        <w:rPr>
          <w:rStyle w:val="x-1565784400x-1896074302size"/>
          <w:rFonts w:ascii="Arial" w:hAnsi="Arial" w:cs="Arial"/>
          <w:color w:val="000000"/>
          <w:sz w:val="24"/>
          <w:szCs w:val="24"/>
        </w:rPr>
        <w:t xml:space="preserve"> limited.  </w:t>
      </w:r>
      <w:r w:rsidR="00AD4555" w:rsidRPr="009014DA">
        <w:rPr>
          <w:rStyle w:val="x-1565784400x-1896074302size"/>
          <w:rFonts w:ascii="Arial" w:hAnsi="Arial" w:cs="Arial"/>
          <w:color w:val="000000"/>
          <w:sz w:val="24"/>
          <w:szCs w:val="24"/>
        </w:rPr>
        <w:t>Although car ownership is likely to be high, those without a car and in particular the elderly, may find it difficult to access a pharmacy. </w:t>
      </w:r>
      <w:r w:rsidR="002F2ED4" w:rsidRPr="009014DA">
        <w:rPr>
          <w:rFonts w:ascii="Arial" w:hAnsi="Arial" w:cs="Arial"/>
          <w:color w:val="000000"/>
          <w:sz w:val="24"/>
          <w:szCs w:val="24"/>
          <w:shd w:val="clear" w:color="auto" w:fill="FFFFFF"/>
        </w:rPr>
        <w:t>The majority of pharmacies in these clusters will have arrangements in place that enable timely access to medicines to those who are housebound or who may find it difficult to access a pharmacy.</w:t>
      </w:r>
    </w:p>
    <w:p w14:paraId="69B09CE9" w14:textId="77777777" w:rsidR="008F189D" w:rsidRPr="002F2ED4" w:rsidRDefault="008F189D" w:rsidP="00DC54F7">
      <w:pPr>
        <w:spacing w:after="0" w:line="240" w:lineRule="auto"/>
        <w:jc w:val="both"/>
        <w:rPr>
          <w:rFonts w:ascii="Arial" w:hAnsi="Arial" w:cs="Arial"/>
          <w:highlight w:val="yellow"/>
        </w:rPr>
      </w:pPr>
    </w:p>
    <w:p w14:paraId="37808B89" w14:textId="162FE0C2" w:rsidR="008F189D" w:rsidRPr="0045721A" w:rsidRDefault="00B40525" w:rsidP="00DC54F7">
      <w:pPr>
        <w:spacing w:after="0" w:line="240" w:lineRule="auto"/>
        <w:jc w:val="both"/>
        <w:rPr>
          <w:rFonts w:ascii="Arial" w:hAnsi="Arial" w:cs="Arial"/>
          <w:sz w:val="24"/>
          <w:szCs w:val="24"/>
        </w:rPr>
      </w:pPr>
      <w:r w:rsidRPr="0045721A">
        <w:rPr>
          <w:rFonts w:ascii="Arial" w:hAnsi="Arial" w:cs="Arial"/>
          <w:sz w:val="24"/>
          <w:szCs w:val="24"/>
        </w:rPr>
        <w:t xml:space="preserve">With regards to opening hours, all </w:t>
      </w:r>
      <w:r w:rsidR="008F189D" w:rsidRPr="0045721A">
        <w:rPr>
          <w:rFonts w:ascii="Arial" w:hAnsi="Arial" w:cs="Arial"/>
          <w:sz w:val="24"/>
          <w:szCs w:val="24"/>
        </w:rPr>
        <w:t>pharmac</w:t>
      </w:r>
      <w:r w:rsidR="005C2F34" w:rsidRPr="0045721A">
        <w:rPr>
          <w:rFonts w:ascii="Arial" w:hAnsi="Arial" w:cs="Arial"/>
          <w:sz w:val="24"/>
          <w:szCs w:val="24"/>
        </w:rPr>
        <w:t>ies</w:t>
      </w:r>
      <w:r w:rsidR="008F189D" w:rsidRPr="0045721A">
        <w:rPr>
          <w:rFonts w:ascii="Arial" w:hAnsi="Arial" w:cs="Arial"/>
          <w:sz w:val="24"/>
          <w:szCs w:val="24"/>
        </w:rPr>
        <w:t xml:space="preserve"> must open for a minimum of 40 hours to meet their contractual obligation. In general, these core hours fall within normal working hours.</w:t>
      </w:r>
    </w:p>
    <w:p w14:paraId="2FA71C4E" w14:textId="5975C808" w:rsidR="002D0C4F" w:rsidRPr="00077CD3" w:rsidRDefault="002D0C4F" w:rsidP="00DC54F7">
      <w:pPr>
        <w:spacing w:after="0" w:line="240" w:lineRule="auto"/>
        <w:jc w:val="both"/>
        <w:rPr>
          <w:rFonts w:ascii="Arial" w:hAnsi="Arial" w:cs="Arial"/>
          <w:lang w:eastAsia="en-GB"/>
        </w:rPr>
      </w:pPr>
    </w:p>
    <w:p w14:paraId="38F59FEC" w14:textId="0491C2D2" w:rsidR="002D0C4F" w:rsidRPr="00A63B08" w:rsidRDefault="002D0C4F" w:rsidP="00A63B08">
      <w:pPr>
        <w:widowControl w:val="0"/>
        <w:pBdr>
          <w:top w:val="single" w:sz="4" w:space="1" w:color="auto"/>
          <w:left w:val="single" w:sz="4" w:space="4" w:color="auto"/>
          <w:bottom w:val="single" w:sz="4" w:space="1" w:color="auto"/>
          <w:right w:val="single" w:sz="4" w:space="4" w:color="auto"/>
        </w:pBdr>
        <w:shd w:val="clear" w:color="auto" w:fill="B3B3B3"/>
        <w:autoSpaceDE w:val="0"/>
        <w:autoSpaceDN w:val="0"/>
        <w:adjustRightInd w:val="0"/>
        <w:spacing w:after="0" w:line="240" w:lineRule="auto"/>
        <w:jc w:val="both"/>
        <w:rPr>
          <w:rFonts w:ascii="Arial" w:eastAsia="Times New Roman" w:hAnsi="Arial" w:cs="Arial"/>
          <w:b/>
          <w:sz w:val="24"/>
          <w:szCs w:val="24"/>
          <w:lang w:eastAsia="en-GB"/>
        </w:rPr>
      </w:pPr>
      <w:r w:rsidRPr="00A63B08">
        <w:rPr>
          <w:rFonts w:ascii="Arial" w:eastAsia="Times New Roman" w:hAnsi="Arial" w:cs="Arial"/>
          <w:b/>
          <w:sz w:val="24"/>
          <w:szCs w:val="24"/>
          <w:lang w:eastAsia="en-GB"/>
        </w:rPr>
        <w:t xml:space="preserve">Based on the information available at the time of developing this </w:t>
      </w:r>
      <w:r w:rsidR="00FD256D" w:rsidRPr="00A63B08">
        <w:rPr>
          <w:rFonts w:ascii="Arial" w:eastAsia="Times New Roman" w:hAnsi="Arial" w:cs="Arial"/>
          <w:b/>
          <w:sz w:val="24"/>
          <w:szCs w:val="24"/>
          <w:lang w:eastAsia="en-GB"/>
        </w:rPr>
        <w:t>PNA</w:t>
      </w:r>
      <w:r w:rsidRPr="00A63B08">
        <w:rPr>
          <w:rFonts w:ascii="Arial" w:eastAsia="Times New Roman" w:hAnsi="Arial" w:cs="Arial"/>
          <w:b/>
          <w:sz w:val="24"/>
          <w:szCs w:val="24"/>
          <w:lang w:eastAsia="en-GB"/>
        </w:rPr>
        <w:t xml:space="preserve"> no current gaps in the provision of essential services during normal working hours have been identified in any of the </w:t>
      </w:r>
      <w:r w:rsidR="000F5A1E" w:rsidRPr="00A63B08">
        <w:rPr>
          <w:rFonts w:ascii="Arial" w:eastAsia="Times New Roman" w:hAnsi="Arial" w:cs="Arial"/>
          <w:b/>
          <w:sz w:val="24"/>
          <w:szCs w:val="24"/>
          <w:lang w:eastAsia="en-GB"/>
        </w:rPr>
        <w:t>nine</w:t>
      </w:r>
      <w:r w:rsidRPr="00A63B08">
        <w:rPr>
          <w:rFonts w:ascii="Arial" w:eastAsia="Times New Roman" w:hAnsi="Arial" w:cs="Arial"/>
          <w:b/>
          <w:sz w:val="24"/>
          <w:szCs w:val="24"/>
          <w:lang w:eastAsia="en-GB"/>
        </w:rPr>
        <w:t xml:space="preserve"> </w:t>
      </w:r>
      <w:r w:rsidR="0067503A" w:rsidRPr="00A63B08">
        <w:rPr>
          <w:rFonts w:ascii="Arial" w:eastAsia="Times New Roman" w:hAnsi="Arial" w:cs="Arial"/>
          <w:b/>
          <w:sz w:val="24"/>
          <w:szCs w:val="24"/>
          <w:lang w:eastAsia="en-GB"/>
        </w:rPr>
        <w:t>clusters</w:t>
      </w:r>
      <w:r w:rsidR="00AF301C" w:rsidRPr="00A63B08">
        <w:rPr>
          <w:rFonts w:ascii="Arial" w:eastAsia="Times New Roman" w:hAnsi="Arial" w:cs="Arial"/>
          <w:b/>
          <w:sz w:val="24"/>
          <w:szCs w:val="24"/>
          <w:lang w:eastAsia="en-GB"/>
        </w:rPr>
        <w:t xml:space="preserve"> (PNA localities)</w:t>
      </w:r>
      <w:r w:rsidRPr="00A63B08">
        <w:rPr>
          <w:rFonts w:ascii="Arial" w:eastAsia="Times New Roman" w:hAnsi="Arial" w:cs="Arial"/>
          <w:b/>
          <w:sz w:val="24"/>
          <w:szCs w:val="24"/>
          <w:lang w:eastAsia="en-GB"/>
        </w:rPr>
        <w:t>.</w:t>
      </w:r>
    </w:p>
    <w:p w14:paraId="4204F46E" w14:textId="77777777" w:rsidR="002D0C4F" w:rsidRPr="00077CD3" w:rsidRDefault="002D0C4F" w:rsidP="00DC54F7">
      <w:pPr>
        <w:widowControl w:val="0"/>
        <w:autoSpaceDE w:val="0"/>
        <w:autoSpaceDN w:val="0"/>
        <w:adjustRightInd w:val="0"/>
        <w:spacing w:after="0" w:line="240" w:lineRule="auto"/>
        <w:jc w:val="both"/>
        <w:rPr>
          <w:rFonts w:ascii="Arial" w:eastAsia="Times New Roman" w:hAnsi="Arial" w:cs="Arial"/>
          <w:lang w:eastAsia="en-GB"/>
        </w:rPr>
      </w:pPr>
    </w:p>
    <w:p w14:paraId="2C58799A" w14:textId="77777777" w:rsidR="00B90A6C" w:rsidRDefault="00B90A6C" w:rsidP="00DC54F7">
      <w:pPr>
        <w:spacing w:after="0" w:line="240" w:lineRule="auto"/>
        <w:jc w:val="both"/>
        <w:rPr>
          <w:rFonts w:ascii="Arial" w:hAnsi="Arial" w:cs="Arial"/>
          <w:b/>
          <w:sz w:val="24"/>
          <w:szCs w:val="24"/>
          <w:lang w:val="en-US" w:eastAsia="en-GB"/>
        </w:rPr>
      </w:pPr>
    </w:p>
    <w:p w14:paraId="338029BB" w14:textId="127F6426" w:rsidR="00B90A6C" w:rsidRDefault="00B90A6C" w:rsidP="00DC54F7">
      <w:pPr>
        <w:spacing w:after="0" w:line="240" w:lineRule="auto"/>
        <w:jc w:val="both"/>
        <w:rPr>
          <w:rFonts w:ascii="Arial" w:hAnsi="Arial" w:cs="Arial"/>
          <w:b/>
          <w:sz w:val="24"/>
          <w:szCs w:val="24"/>
          <w:lang w:val="en-US" w:eastAsia="en-GB"/>
        </w:rPr>
      </w:pPr>
    </w:p>
    <w:p w14:paraId="3C31B323" w14:textId="63CC6961" w:rsidR="00AE758E" w:rsidRDefault="00AE758E" w:rsidP="00DC54F7">
      <w:pPr>
        <w:spacing w:after="0" w:line="240" w:lineRule="auto"/>
        <w:jc w:val="both"/>
        <w:rPr>
          <w:rFonts w:ascii="Arial" w:hAnsi="Arial" w:cs="Arial"/>
          <w:b/>
          <w:sz w:val="24"/>
          <w:szCs w:val="24"/>
          <w:lang w:val="en-US" w:eastAsia="en-GB"/>
        </w:rPr>
      </w:pPr>
    </w:p>
    <w:p w14:paraId="28FB139D" w14:textId="432C349E" w:rsidR="00AE758E" w:rsidRDefault="00AE758E" w:rsidP="00AE758E">
      <w:pPr>
        <w:rPr>
          <w:rFonts w:ascii="Arial" w:hAnsi="Arial" w:cs="Arial"/>
          <w:b/>
          <w:sz w:val="24"/>
          <w:szCs w:val="24"/>
          <w:lang w:val="en-US" w:eastAsia="en-GB"/>
        </w:rPr>
      </w:pPr>
      <w:r>
        <w:rPr>
          <w:rFonts w:ascii="Arial" w:hAnsi="Arial" w:cs="Arial"/>
          <w:b/>
          <w:sz w:val="24"/>
          <w:szCs w:val="24"/>
          <w:lang w:val="en-US" w:eastAsia="en-GB"/>
        </w:rPr>
        <w:br w:type="page"/>
      </w:r>
    </w:p>
    <w:p w14:paraId="5321F5AE" w14:textId="56CDBBEE" w:rsidR="002D0C4F" w:rsidRPr="0045721A" w:rsidRDefault="005C1FC5" w:rsidP="00DC54F7">
      <w:pPr>
        <w:spacing w:after="0" w:line="240" w:lineRule="auto"/>
        <w:jc w:val="both"/>
        <w:rPr>
          <w:rFonts w:ascii="Arial" w:hAnsi="Arial" w:cs="Arial"/>
          <w:b/>
          <w:sz w:val="24"/>
          <w:szCs w:val="24"/>
          <w:lang w:eastAsia="en-GB"/>
        </w:rPr>
      </w:pPr>
      <w:r w:rsidRPr="0045721A">
        <w:rPr>
          <w:rFonts w:ascii="Arial" w:hAnsi="Arial" w:cs="Arial"/>
          <w:b/>
          <w:sz w:val="24"/>
          <w:szCs w:val="24"/>
          <w:lang w:val="en-US" w:eastAsia="en-GB"/>
        </w:rPr>
        <w:lastRenderedPageBreak/>
        <w:t>17</w:t>
      </w:r>
      <w:r w:rsidR="0081575F" w:rsidRPr="0045721A">
        <w:rPr>
          <w:rFonts w:ascii="Arial" w:hAnsi="Arial" w:cs="Arial"/>
          <w:b/>
          <w:sz w:val="24"/>
          <w:szCs w:val="24"/>
          <w:lang w:val="en-US" w:eastAsia="en-GB"/>
        </w:rPr>
        <w:t>.</w:t>
      </w:r>
      <w:r w:rsidR="0081575F" w:rsidRPr="0045721A">
        <w:rPr>
          <w:rFonts w:ascii="Arial" w:hAnsi="Arial" w:cs="Arial"/>
          <w:b/>
          <w:sz w:val="24"/>
          <w:szCs w:val="24"/>
          <w:lang w:eastAsia="en-GB"/>
        </w:rPr>
        <w:t>3</w:t>
      </w:r>
      <w:r w:rsidR="002D0C4F" w:rsidRPr="0045721A">
        <w:rPr>
          <w:rFonts w:ascii="Arial" w:hAnsi="Arial" w:cs="Arial"/>
          <w:b/>
          <w:sz w:val="24"/>
          <w:szCs w:val="24"/>
          <w:lang w:eastAsia="en-GB"/>
        </w:rPr>
        <w:t>.1.2 Access to essential services outside normal working hours</w:t>
      </w:r>
    </w:p>
    <w:p w14:paraId="0A074C45" w14:textId="77777777" w:rsidR="00C97B2E" w:rsidRPr="0045721A" w:rsidRDefault="00C97B2E" w:rsidP="00DC54F7">
      <w:pPr>
        <w:spacing w:after="0" w:line="240" w:lineRule="auto"/>
        <w:jc w:val="both"/>
        <w:rPr>
          <w:rFonts w:ascii="Arial" w:hAnsi="Arial" w:cs="Arial"/>
          <w:sz w:val="24"/>
          <w:szCs w:val="24"/>
        </w:rPr>
      </w:pPr>
    </w:p>
    <w:p w14:paraId="5E456988" w14:textId="34DB5D47" w:rsidR="00C97B2E" w:rsidRPr="00C978A5" w:rsidRDefault="00C97B2E" w:rsidP="00DC54F7">
      <w:pPr>
        <w:spacing w:after="0" w:line="240" w:lineRule="auto"/>
        <w:jc w:val="both"/>
        <w:rPr>
          <w:rFonts w:ascii="Arial" w:hAnsi="Arial" w:cs="Arial"/>
          <w:sz w:val="24"/>
          <w:szCs w:val="24"/>
        </w:rPr>
      </w:pPr>
      <w:r w:rsidRPr="00C978A5">
        <w:rPr>
          <w:rFonts w:ascii="Arial" w:hAnsi="Arial" w:cs="Arial"/>
          <w:sz w:val="24"/>
          <w:szCs w:val="24"/>
        </w:rPr>
        <w:t>There is good access to essential services outside normal working hours through the provision of extended evening and weekend opening hours offered by pharmacies</w:t>
      </w:r>
      <w:r w:rsidR="00D24B28" w:rsidRPr="00C978A5">
        <w:rPr>
          <w:rFonts w:ascii="Arial" w:hAnsi="Arial" w:cs="Arial"/>
          <w:sz w:val="24"/>
          <w:szCs w:val="24"/>
        </w:rPr>
        <w:t>:</w:t>
      </w:r>
      <w:r w:rsidRPr="00C978A5">
        <w:rPr>
          <w:rFonts w:ascii="Arial" w:hAnsi="Arial" w:cs="Arial"/>
          <w:sz w:val="24"/>
          <w:szCs w:val="24"/>
        </w:rPr>
        <w:t xml:space="preserve"> </w:t>
      </w:r>
    </w:p>
    <w:p w14:paraId="27EE7886" w14:textId="77777777" w:rsidR="00C97B2E" w:rsidRPr="00C978A5" w:rsidRDefault="00C97B2E" w:rsidP="00DC54F7">
      <w:pPr>
        <w:spacing w:after="0" w:line="240" w:lineRule="auto"/>
        <w:jc w:val="both"/>
        <w:rPr>
          <w:rFonts w:ascii="Arial" w:hAnsi="Arial" w:cs="Arial"/>
          <w:sz w:val="24"/>
          <w:szCs w:val="24"/>
        </w:rPr>
      </w:pPr>
    </w:p>
    <w:p w14:paraId="287BB008" w14:textId="77777777" w:rsidR="00C4754E" w:rsidRPr="00224D44" w:rsidRDefault="00C4754E" w:rsidP="00DC54F7">
      <w:pPr>
        <w:numPr>
          <w:ilvl w:val="0"/>
          <w:numId w:val="163"/>
        </w:numPr>
        <w:spacing w:after="0" w:line="240" w:lineRule="auto"/>
        <w:jc w:val="both"/>
        <w:rPr>
          <w:rFonts w:ascii="Arial" w:hAnsi="Arial" w:cs="Arial"/>
          <w:sz w:val="24"/>
          <w:szCs w:val="24"/>
        </w:rPr>
      </w:pPr>
      <w:r w:rsidRPr="00224D44">
        <w:rPr>
          <w:rFonts w:ascii="Arial" w:hAnsi="Arial" w:cs="Arial"/>
          <w:sz w:val="24"/>
          <w:szCs w:val="24"/>
        </w:rPr>
        <w:t xml:space="preserve">15 pharmacies open seven days a week </w:t>
      </w:r>
    </w:p>
    <w:p w14:paraId="2C1CE0E0" w14:textId="57F5BA40" w:rsidR="00C4754E" w:rsidRPr="00224D44" w:rsidRDefault="00C4754E" w:rsidP="00DC54F7">
      <w:pPr>
        <w:numPr>
          <w:ilvl w:val="0"/>
          <w:numId w:val="163"/>
        </w:numPr>
        <w:spacing w:after="0" w:line="240" w:lineRule="auto"/>
        <w:jc w:val="both"/>
        <w:rPr>
          <w:rFonts w:ascii="Arial" w:hAnsi="Arial" w:cs="Arial"/>
          <w:sz w:val="24"/>
          <w:szCs w:val="24"/>
        </w:rPr>
      </w:pPr>
      <w:r w:rsidRPr="00224D44">
        <w:rPr>
          <w:rFonts w:ascii="Arial" w:hAnsi="Arial" w:cs="Arial"/>
          <w:sz w:val="24"/>
          <w:szCs w:val="24"/>
        </w:rPr>
        <w:t>19 pharmacies open Monday to Saturday</w:t>
      </w:r>
    </w:p>
    <w:p w14:paraId="6AEBAD2A" w14:textId="172EC3FB" w:rsidR="00C4754E" w:rsidRPr="00224D44" w:rsidRDefault="00C4754E" w:rsidP="00DC54F7">
      <w:pPr>
        <w:numPr>
          <w:ilvl w:val="0"/>
          <w:numId w:val="163"/>
        </w:numPr>
        <w:spacing w:after="0" w:line="240" w:lineRule="auto"/>
        <w:jc w:val="both"/>
        <w:rPr>
          <w:rFonts w:ascii="Arial" w:hAnsi="Arial" w:cs="Arial"/>
          <w:sz w:val="24"/>
          <w:szCs w:val="24"/>
        </w:rPr>
      </w:pPr>
      <w:r w:rsidRPr="00224D44">
        <w:rPr>
          <w:rFonts w:ascii="Arial" w:hAnsi="Arial" w:cs="Arial"/>
          <w:sz w:val="24"/>
          <w:szCs w:val="24"/>
        </w:rPr>
        <w:t>33 pharmacies open Monday to Friday, and part of Saturday</w:t>
      </w:r>
    </w:p>
    <w:p w14:paraId="6E5F2282" w14:textId="17F50BC1" w:rsidR="00C4754E" w:rsidRPr="00224D44" w:rsidRDefault="00C4754E" w:rsidP="00DC54F7">
      <w:pPr>
        <w:pStyle w:val="ListParagraph"/>
        <w:numPr>
          <w:ilvl w:val="0"/>
          <w:numId w:val="163"/>
        </w:numPr>
        <w:spacing w:after="0" w:line="240" w:lineRule="auto"/>
        <w:jc w:val="both"/>
        <w:rPr>
          <w:rFonts w:ascii="Arial" w:hAnsi="Arial" w:cs="Arial"/>
          <w:sz w:val="24"/>
          <w:szCs w:val="24"/>
        </w:rPr>
      </w:pPr>
      <w:r w:rsidRPr="00224D44">
        <w:rPr>
          <w:rFonts w:ascii="Arial" w:hAnsi="Arial" w:cs="Arial"/>
          <w:sz w:val="24"/>
          <w:szCs w:val="24"/>
        </w:rPr>
        <w:t>39 pharmacies that open Monday to Friday</w:t>
      </w:r>
    </w:p>
    <w:p w14:paraId="726A794F" w14:textId="77777777" w:rsidR="00C97B2E" w:rsidRPr="00224D44" w:rsidRDefault="00C97B2E" w:rsidP="00DC54F7">
      <w:pPr>
        <w:spacing w:after="0" w:line="240" w:lineRule="auto"/>
        <w:jc w:val="both"/>
        <w:rPr>
          <w:rFonts w:ascii="Arial" w:hAnsi="Arial" w:cs="Arial"/>
          <w:sz w:val="24"/>
          <w:szCs w:val="24"/>
        </w:rPr>
      </w:pPr>
    </w:p>
    <w:p w14:paraId="25D55A58" w14:textId="77777777" w:rsidR="004D29EC" w:rsidRDefault="004D29EC" w:rsidP="00DC54F7">
      <w:pPr>
        <w:spacing w:after="0" w:line="240" w:lineRule="auto"/>
        <w:jc w:val="both"/>
        <w:rPr>
          <w:rFonts w:ascii="Arial" w:hAnsi="Arial" w:cs="Arial"/>
          <w:sz w:val="24"/>
          <w:szCs w:val="24"/>
        </w:rPr>
      </w:pPr>
      <w:r w:rsidRPr="00224D44">
        <w:rPr>
          <w:rFonts w:ascii="Arial" w:hAnsi="Arial" w:cs="Arial"/>
          <w:sz w:val="24"/>
          <w:szCs w:val="24"/>
        </w:rPr>
        <w:t>The table below identifies the number of pharmacies by cluster where pharmaceutical services are provided.</w:t>
      </w:r>
    </w:p>
    <w:p w14:paraId="04F7B5D1" w14:textId="77777777" w:rsidR="004D29EC" w:rsidRDefault="004D29EC" w:rsidP="00DC54F7">
      <w:pPr>
        <w:spacing w:after="0" w:line="240" w:lineRule="auto"/>
        <w:jc w:val="both"/>
        <w:rPr>
          <w:rFonts w:ascii="Arial" w:hAnsi="Arial" w:cs="Arial"/>
          <w:sz w:val="24"/>
          <w:szCs w:val="24"/>
        </w:rPr>
      </w:pPr>
    </w:p>
    <w:tbl>
      <w:tblPr>
        <w:tblW w:w="9415"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405"/>
        <w:gridCol w:w="1752"/>
        <w:gridCol w:w="1753"/>
        <w:gridCol w:w="1752"/>
        <w:gridCol w:w="1753"/>
      </w:tblGrid>
      <w:tr w:rsidR="004D29EC" w:rsidRPr="0025562E" w14:paraId="00AE62FB" w14:textId="77777777" w:rsidTr="00D939CF">
        <w:trPr>
          <w:trHeight w:val="292"/>
        </w:trPr>
        <w:tc>
          <w:tcPr>
            <w:tcW w:w="2405" w:type="dxa"/>
            <w:shd w:val="clear" w:color="000000" w:fill="94B1DC"/>
            <w:noWrap/>
            <w:vAlign w:val="center"/>
            <w:hideMark/>
          </w:tcPr>
          <w:p w14:paraId="2E06D038" w14:textId="77777777" w:rsidR="004D29EC" w:rsidRPr="0025562E" w:rsidRDefault="004D29EC" w:rsidP="00DC54F7">
            <w:pPr>
              <w:spacing w:after="0" w:line="240" w:lineRule="auto"/>
              <w:jc w:val="both"/>
              <w:rPr>
                <w:rFonts w:ascii="Calibri" w:eastAsia="Times New Roman" w:hAnsi="Calibri" w:cs="Calibri"/>
                <w:b/>
                <w:bCs/>
                <w:color w:val="FFFFFF"/>
                <w:lang w:eastAsia="en-GB"/>
              </w:rPr>
            </w:pPr>
            <w:r w:rsidRPr="0025562E">
              <w:rPr>
                <w:rFonts w:ascii="Calibri" w:eastAsia="Times New Roman" w:hAnsi="Calibri" w:cs="Calibri"/>
                <w:b/>
                <w:bCs/>
                <w:color w:val="FFFFFF"/>
                <w:lang w:eastAsia="en-GB"/>
              </w:rPr>
              <w:t>Cluster</w:t>
            </w:r>
          </w:p>
        </w:tc>
        <w:tc>
          <w:tcPr>
            <w:tcW w:w="1752" w:type="dxa"/>
            <w:shd w:val="clear" w:color="000000" w:fill="94B1DC"/>
            <w:noWrap/>
            <w:vAlign w:val="center"/>
            <w:hideMark/>
          </w:tcPr>
          <w:p w14:paraId="566EBE26" w14:textId="77777777" w:rsidR="004D29EC" w:rsidRPr="0025562E" w:rsidRDefault="004D29EC" w:rsidP="00DC54F7">
            <w:pPr>
              <w:spacing w:after="0" w:line="240" w:lineRule="auto"/>
              <w:jc w:val="both"/>
              <w:rPr>
                <w:rFonts w:ascii="Calibri" w:eastAsia="Times New Roman" w:hAnsi="Calibri" w:cs="Calibri"/>
                <w:b/>
                <w:bCs/>
                <w:color w:val="FFFFFF"/>
                <w:lang w:eastAsia="en-GB"/>
              </w:rPr>
            </w:pPr>
            <w:r w:rsidRPr="0025562E">
              <w:rPr>
                <w:rFonts w:ascii="Calibri" w:eastAsia="Times New Roman" w:hAnsi="Calibri" w:cs="Calibri"/>
                <w:b/>
                <w:bCs/>
                <w:color w:val="FFFFFF"/>
                <w:lang w:eastAsia="en-GB"/>
              </w:rPr>
              <w:t>Open 7 days</w:t>
            </w:r>
          </w:p>
        </w:tc>
        <w:tc>
          <w:tcPr>
            <w:tcW w:w="1753" w:type="dxa"/>
            <w:shd w:val="clear" w:color="000000" w:fill="94B1DC"/>
            <w:noWrap/>
            <w:vAlign w:val="center"/>
            <w:hideMark/>
          </w:tcPr>
          <w:p w14:paraId="71818E6B" w14:textId="77777777" w:rsidR="004D29EC" w:rsidRPr="0025562E" w:rsidRDefault="004D29EC" w:rsidP="00DC54F7">
            <w:pPr>
              <w:spacing w:after="0" w:line="240" w:lineRule="auto"/>
              <w:jc w:val="both"/>
              <w:rPr>
                <w:rFonts w:ascii="Calibri" w:eastAsia="Times New Roman" w:hAnsi="Calibri" w:cs="Calibri"/>
                <w:b/>
                <w:bCs/>
                <w:color w:val="FFFFFF"/>
                <w:lang w:eastAsia="en-GB"/>
              </w:rPr>
            </w:pPr>
            <w:r w:rsidRPr="0025562E">
              <w:rPr>
                <w:rFonts w:ascii="Calibri" w:eastAsia="Times New Roman" w:hAnsi="Calibri" w:cs="Calibri"/>
                <w:b/>
                <w:bCs/>
                <w:color w:val="FFFFFF"/>
                <w:lang w:eastAsia="en-GB"/>
              </w:rPr>
              <w:t>Open Mon-Sat</w:t>
            </w:r>
          </w:p>
        </w:tc>
        <w:tc>
          <w:tcPr>
            <w:tcW w:w="1752" w:type="dxa"/>
            <w:shd w:val="clear" w:color="000000" w:fill="94B1DC"/>
            <w:noWrap/>
            <w:vAlign w:val="center"/>
            <w:hideMark/>
          </w:tcPr>
          <w:p w14:paraId="12419E2D" w14:textId="77777777" w:rsidR="004D29EC" w:rsidRPr="0025562E" w:rsidRDefault="004D29EC" w:rsidP="00DC54F7">
            <w:pPr>
              <w:spacing w:after="0" w:line="240" w:lineRule="auto"/>
              <w:jc w:val="both"/>
              <w:rPr>
                <w:rFonts w:ascii="Calibri" w:eastAsia="Times New Roman" w:hAnsi="Calibri" w:cs="Calibri"/>
                <w:b/>
                <w:bCs/>
                <w:color w:val="FFFFFF"/>
                <w:lang w:eastAsia="en-GB"/>
              </w:rPr>
            </w:pPr>
            <w:r w:rsidRPr="0025562E">
              <w:rPr>
                <w:rFonts w:ascii="Calibri" w:eastAsia="Times New Roman" w:hAnsi="Calibri" w:cs="Calibri"/>
                <w:b/>
                <w:bCs/>
                <w:color w:val="FFFFFF"/>
                <w:lang w:eastAsia="en-GB"/>
              </w:rPr>
              <w:t>Open Mon-Fri, part Sat</w:t>
            </w:r>
          </w:p>
        </w:tc>
        <w:tc>
          <w:tcPr>
            <w:tcW w:w="1753" w:type="dxa"/>
            <w:shd w:val="clear" w:color="000000" w:fill="94B1DC"/>
            <w:noWrap/>
            <w:vAlign w:val="center"/>
            <w:hideMark/>
          </w:tcPr>
          <w:p w14:paraId="7A5DEF33" w14:textId="77777777" w:rsidR="004D29EC" w:rsidRPr="0025562E" w:rsidRDefault="004D29EC" w:rsidP="00DC54F7">
            <w:pPr>
              <w:spacing w:after="0" w:line="240" w:lineRule="auto"/>
              <w:jc w:val="both"/>
              <w:rPr>
                <w:rFonts w:ascii="Calibri" w:eastAsia="Times New Roman" w:hAnsi="Calibri" w:cs="Calibri"/>
                <w:b/>
                <w:bCs/>
                <w:color w:val="FFFFFF"/>
                <w:lang w:eastAsia="en-GB"/>
              </w:rPr>
            </w:pPr>
            <w:r w:rsidRPr="0025562E">
              <w:rPr>
                <w:rFonts w:ascii="Calibri" w:eastAsia="Times New Roman" w:hAnsi="Calibri" w:cs="Calibri"/>
                <w:b/>
                <w:bCs/>
                <w:color w:val="FFFFFF"/>
                <w:lang w:eastAsia="en-GB"/>
              </w:rPr>
              <w:t>Open Mon-Fri</w:t>
            </w:r>
          </w:p>
        </w:tc>
      </w:tr>
      <w:tr w:rsidR="004D29EC" w:rsidRPr="0025562E" w14:paraId="12403390" w14:textId="77777777" w:rsidTr="00D939CF">
        <w:trPr>
          <w:trHeight w:val="292"/>
        </w:trPr>
        <w:tc>
          <w:tcPr>
            <w:tcW w:w="2405" w:type="dxa"/>
            <w:shd w:val="clear" w:color="000000" w:fill="F2F2F2"/>
            <w:noWrap/>
            <w:vAlign w:val="center"/>
            <w:hideMark/>
          </w:tcPr>
          <w:p w14:paraId="3D17D694"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Cardiff North</w:t>
            </w:r>
          </w:p>
        </w:tc>
        <w:tc>
          <w:tcPr>
            <w:tcW w:w="1752" w:type="dxa"/>
            <w:shd w:val="clear" w:color="000000" w:fill="F2F2F2"/>
            <w:noWrap/>
            <w:vAlign w:val="center"/>
            <w:hideMark/>
          </w:tcPr>
          <w:p w14:paraId="568FC9BA"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3</w:t>
            </w:r>
          </w:p>
        </w:tc>
        <w:tc>
          <w:tcPr>
            <w:tcW w:w="1753" w:type="dxa"/>
            <w:shd w:val="clear" w:color="000000" w:fill="F2F2F2"/>
            <w:noWrap/>
            <w:vAlign w:val="center"/>
            <w:hideMark/>
          </w:tcPr>
          <w:p w14:paraId="653AC154"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3</w:t>
            </w:r>
          </w:p>
        </w:tc>
        <w:tc>
          <w:tcPr>
            <w:tcW w:w="1752" w:type="dxa"/>
            <w:shd w:val="clear" w:color="000000" w:fill="F2F2F2"/>
            <w:noWrap/>
            <w:vAlign w:val="center"/>
            <w:hideMark/>
          </w:tcPr>
          <w:p w14:paraId="1A17AEC6"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2</w:t>
            </w:r>
          </w:p>
        </w:tc>
        <w:tc>
          <w:tcPr>
            <w:tcW w:w="1753" w:type="dxa"/>
            <w:shd w:val="clear" w:color="000000" w:fill="F2F2F2"/>
            <w:noWrap/>
            <w:vAlign w:val="center"/>
            <w:hideMark/>
          </w:tcPr>
          <w:p w14:paraId="1998B40E"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10</w:t>
            </w:r>
          </w:p>
        </w:tc>
      </w:tr>
      <w:tr w:rsidR="004D29EC" w:rsidRPr="0025562E" w14:paraId="519ACC7C" w14:textId="77777777" w:rsidTr="00D939CF">
        <w:trPr>
          <w:trHeight w:val="292"/>
        </w:trPr>
        <w:tc>
          <w:tcPr>
            <w:tcW w:w="2405" w:type="dxa"/>
            <w:shd w:val="clear" w:color="auto" w:fill="auto"/>
            <w:noWrap/>
            <w:vAlign w:val="center"/>
            <w:hideMark/>
          </w:tcPr>
          <w:p w14:paraId="4406D0D0"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Cardiff East</w:t>
            </w:r>
          </w:p>
        </w:tc>
        <w:tc>
          <w:tcPr>
            <w:tcW w:w="1752" w:type="dxa"/>
            <w:shd w:val="clear" w:color="auto" w:fill="auto"/>
            <w:noWrap/>
            <w:vAlign w:val="center"/>
            <w:hideMark/>
          </w:tcPr>
          <w:p w14:paraId="54858990"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1</w:t>
            </w:r>
          </w:p>
        </w:tc>
        <w:tc>
          <w:tcPr>
            <w:tcW w:w="1753" w:type="dxa"/>
            <w:shd w:val="clear" w:color="auto" w:fill="auto"/>
            <w:noWrap/>
            <w:vAlign w:val="center"/>
            <w:hideMark/>
          </w:tcPr>
          <w:p w14:paraId="21FB3687"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1</w:t>
            </w:r>
          </w:p>
        </w:tc>
        <w:tc>
          <w:tcPr>
            <w:tcW w:w="1752" w:type="dxa"/>
            <w:shd w:val="clear" w:color="auto" w:fill="auto"/>
            <w:noWrap/>
            <w:vAlign w:val="center"/>
            <w:hideMark/>
          </w:tcPr>
          <w:p w14:paraId="3D678B05"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5</w:t>
            </w:r>
          </w:p>
        </w:tc>
        <w:tc>
          <w:tcPr>
            <w:tcW w:w="1753" w:type="dxa"/>
            <w:shd w:val="clear" w:color="auto" w:fill="auto"/>
            <w:noWrap/>
            <w:vAlign w:val="center"/>
            <w:hideMark/>
          </w:tcPr>
          <w:p w14:paraId="484D1E93"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3</w:t>
            </w:r>
          </w:p>
        </w:tc>
      </w:tr>
      <w:tr w:rsidR="004D29EC" w:rsidRPr="0025562E" w14:paraId="78B5681C" w14:textId="77777777" w:rsidTr="00D939CF">
        <w:trPr>
          <w:trHeight w:val="292"/>
        </w:trPr>
        <w:tc>
          <w:tcPr>
            <w:tcW w:w="2405" w:type="dxa"/>
            <w:shd w:val="clear" w:color="000000" w:fill="F2F2F2"/>
            <w:noWrap/>
            <w:vAlign w:val="center"/>
            <w:hideMark/>
          </w:tcPr>
          <w:p w14:paraId="3AA39E25"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Cardiff West</w:t>
            </w:r>
          </w:p>
        </w:tc>
        <w:tc>
          <w:tcPr>
            <w:tcW w:w="1752" w:type="dxa"/>
            <w:shd w:val="clear" w:color="000000" w:fill="F2F2F2"/>
            <w:noWrap/>
            <w:vAlign w:val="center"/>
            <w:hideMark/>
          </w:tcPr>
          <w:p w14:paraId="31F6B6E7"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1</w:t>
            </w:r>
          </w:p>
        </w:tc>
        <w:tc>
          <w:tcPr>
            <w:tcW w:w="1753" w:type="dxa"/>
            <w:shd w:val="clear" w:color="000000" w:fill="F2F2F2"/>
            <w:noWrap/>
            <w:vAlign w:val="center"/>
            <w:hideMark/>
          </w:tcPr>
          <w:p w14:paraId="60D37E01"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3</w:t>
            </w:r>
          </w:p>
        </w:tc>
        <w:tc>
          <w:tcPr>
            <w:tcW w:w="1752" w:type="dxa"/>
            <w:shd w:val="clear" w:color="000000" w:fill="F2F2F2"/>
            <w:noWrap/>
            <w:vAlign w:val="center"/>
            <w:hideMark/>
          </w:tcPr>
          <w:p w14:paraId="2C95CE25"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6</w:t>
            </w:r>
          </w:p>
        </w:tc>
        <w:tc>
          <w:tcPr>
            <w:tcW w:w="1753" w:type="dxa"/>
            <w:shd w:val="clear" w:color="000000" w:fill="F2F2F2"/>
            <w:noWrap/>
            <w:vAlign w:val="center"/>
            <w:hideMark/>
          </w:tcPr>
          <w:p w14:paraId="0A123CDC"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3</w:t>
            </w:r>
          </w:p>
        </w:tc>
      </w:tr>
      <w:tr w:rsidR="004D29EC" w:rsidRPr="0025562E" w14:paraId="2F452070" w14:textId="77777777" w:rsidTr="00D939CF">
        <w:trPr>
          <w:trHeight w:val="292"/>
        </w:trPr>
        <w:tc>
          <w:tcPr>
            <w:tcW w:w="2405" w:type="dxa"/>
            <w:shd w:val="clear" w:color="auto" w:fill="auto"/>
            <w:noWrap/>
            <w:vAlign w:val="center"/>
            <w:hideMark/>
          </w:tcPr>
          <w:p w14:paraId="6267F01B"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Cardiff South West</w:t>
            </w:r>
          </w:p>
        </w:tc>
        <w:tc>
          <w:tcPr>
            <w:tcW w:w="1752" w:type="dxa"/>
            <w:shd w:val="clear" w:color="auto" w:fill="auto"/>
            <w:noWrap/>
            <w:vAlign w:val="center"/>
            <w:hideMark/>
          </w:tcPr>
          <w:p w14:paraId="4873386A"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1</w:t>
            </w:r>
          </w:p>
        </w:tc>
        <w:tc>
          <w:tcPr>
            <w:tcW w:w="1753" w:type="dxa"/>
            <w:shd w:val="clear" w:color="auto" w:fill="auto"/>
            <w:noWrap/>
            <w:vAlign w:val="center"/>
            <w:hideMark/>
          </w:tcPr>
          <w:p w14:paraId="074816F9"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2</w:t>
            </w:r>
          </w:p>
        </w:tc>
        <w:tc>
          <w:tcPr>
            <w:tcW w:w="1752" w:type="dxa"/>
            <w:shd w:val="clear" w:color="auto" w:fill="auto"/>
            <w:noWrap/>
            <w:vAlign w:val="center"/>
            <w:hideMark/>
          </w:tcPr>
          <w:p w14:paraId="73A6077A"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2</w:t>
            </w:r>
          </w:p>
        </w:tc>
        <w:tc>
          <w:tcPr>
            <w:tcW w:w="1753" w:type="dxa"/>
            <w:shd w:val="clear" w:color="auto" w:fill="auto"/>
            <w:noWrap/>
            <w:vAlign w:val="center"/>
            <w:hideMark/>
          </w:tcPr>
          <w:p w14:paraId="4379B5ED"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5</w:t>
            </w:r>
          </w:p>
        </w:tc>
      </w:tr>
      <w:tr w:rsidR="004D29EC" w:rsidRPr="0025562E" w14:paraId="630510C5" w14:textId="77777777" w:rsidTr="00D939CF">
        <w:trPr>
          <w:trHeight w:val="292"/>
        </w:trPr>
        <w:tc>
          <w:tcPr>
            <w:tcW w:w="2405" w:type="dxa"/>
            <w:shd w:val="clear" w:color="000000" w:fill="F2F2F2"/>
            <w:noWrap/>
            <w:vAlign w:val="center"/>
            <w:hideMark/>
          </w:tcPr>
          <w:p w14:paraId="09FA2C47"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Cardiff South East</w:t>
            </w:r>
          </w:p>
        </w:tc>
        <w:tc>
          <w:tcPr>
            <w:tcW w:w="1752" w:type="dxa"/>
            <w:shd w:val="clear" w:color="000000" w:fill="F2F2F2"/>
            <w:noWrap/>
            <w:vAlign w:val="center"/>
            <w:hideMark/>
          </w:tcPr>
          <w:p w14:paraId="5D814D20"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2</w:t>
            </w:r>
          </w:p>
        </w:tc>
        <w:tc>
          <w:tcPr>
            <w:tcW w:w="1753" w:type="dxa"/>
            <w:shd w:val="clear" w:color="000000" w:fill="F2F2F2"/>
            <w:noWrap/>
            <w:vAlign w:val="center"/>
            <w:hideMark/>
          </w:tcPr>
          <w:p w14:paraId="44789A58"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3</w:t>
            </w:r>
          </w:p>
        </w:tc>
        <w:tc>
          <w:tcPr>
            <w:tcW w:w="1752" w:type="dxa"/>
            <w:shd w:val="clear" w:color="000000" w:fill="F2F2F2"/>
            <w:noWrap/>
            <w:vAlign w:val="center"/>
            <w:hideMark/>
          </w:tcPr>
          <w:p w14:paraId="61C5F403"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5</w:t>
            </w:r>
          </w:p>
        </w:tc>
        <w:tc>
          <w:tcPr>
            <w:tcW w:w="1753" w:type="dxa"/>
            <w:shd w:val="clear" w:color="000000" w:fill="F2F2F2"/>
            <w:noWrap/>
            <w:vAlign w:val="center"/>
            <w:hideMark/>
          </w:tcPr>
          <w:p w14:paraId="022F1353"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6</w:t>
            </w:r>
          </w:p>
        </w:tc>
      </w:tr>
      <w:tr w:rsidR="004D29EC" w:rsidRPr="0025562E" w14:paraId="2120B4EB" w14:textId="77777777" w:rsidTr="00D939CF">
        <w:trPr>
          <w:trHeight w:val="292"/>
        </w:trPr>
        <w:tc>
          <w:tcPr>
            <w:tcW w:w="2405" w:type="dxa"/>
            <w:shd w:val="clear" w:color="auto" w:fill="auto"/>
            <w:noWrap/>
            <w:vAlign w:val="center"/>
            <w:hideMark/>
          </w:tcPr>
          <w:p w14:paraId="5461498F"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Cardiff City and South</w:t>
            </w:r>
          </w:p>
        </w:tc>
        <w:tc>
          <w:tcPr>
            <w:tcW w:w="1752" w:type="dxa"/>
            <w:shd w:val="clear" w:color="auto" w:fill="auto"/>
            <w:noWrap/>
            <w:vAlign w:val="center"/>
            <w:hideMark/>
          </w:tcPr>
          <w:p w14:paraId="334FC453"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3</w:t>
            </w:r>
          </w:p>
        </w:tc>
        <w:tc>
          <w:tcPr>
            <w:tcW w:w="1753" w:type="dxa"/>
            <w:shd w:val="clear" w:color="auto" w:fill="auto"/>
            <w:noWrap/>
            <w:vAlign w:val="center"/>
            <w:hideMark/>
          </w:tcPr>
          <w:p w14:paraId="162B61AC"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1</w:t>
            </w:r>
          </w:p>
        </w:tc>
        <w:tc>
          <w:tcPr>
            <w:tcW w:w="1752" w:type="dxa"/>
            <w:shd w:val="clear" w:color="auto" w:fill="auto"/>
            <w:noWrap/>
            <w:vAlign w:val="center"/>
            <w:hideMark/>
          </w:tcPr>
          <w:p w14:paraId="194EBBD5"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1</w:t>
            </w:r>
          </w:p>
        </w:tc>
        <w:tc>
          <w:tcPr>
            <w:tcW w:w="1753" w:type="dxa"/>
            <w:shd w:val="clear" w:color="auto" w:fill="auto"/>
            <w:noWrap/>
            <w:vAlign w:val="center"/>
            <w:hideMark/>
          </w:tcPr>
          <w:p w14:paraId="7C88A4A1"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5</w:t>
            </w:r>
          </w:p>
        </w:tc>
      </w:tr>
      <w:tr w:rsidR="004D29EC" w:rsidRPr="0025562E" w14:paraId="6F6CE449" w14:textId="77777777" w:rsidTr="00D939CF">
        <w:trPr>
          <w:trHeight w:val="292"/>
        </w:trPr>
        <w:tc>
          <w:tcPr>
            <w:tcW w:w="2405" w:type="dxa"/>
            <w:shd w:val="clear" w:color="000000" w:fill="F2F2F2"/>
            <w:noWrap/>
            <w:vAlign w:val="center"/>
            <w:hideMark/>
          </w:tcPr>
          <w:p w14:paraId="7EC95BBB"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Central Vale</w:t>
            </w:r>
          </w:p>
        </w:tc>
        <w:tc>
          <w:tcPr>
            <w:tcW w:w="1752" w:type="dxa"/>
            <w:shd w:val="clear" w:color="000000" w:fill="F2F2F2"/>
            <w:noWrap/>
            <w:vAlign w:val="center"/>
            <w:hideMark/>
          </w:tcPr>
          <w:p w14:paraId="0DD11643"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2</w:t>
            </w:r>
          </w:p>
        </w:tc>
        <w:tc>
          <w:tcPr>
            <w:tcW w:w="1753" w:type="dxa"/>
            <w:shd w:val="clear" w:color="000000" w:fill="F2F2F2"/>
            <w:noWrap/>
            <w:vAlign w:val="center"/>
            <w:hideMark/>
          </w:tcPr>
          <w:p w14:paraId="294FCF99"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1</w:t>
            </w:r>
          </w:p>
        </w:tc>
        <w:tc>
          <w:tcPr>
            <w:tcW w:w="1752" w:type="dxa"/>
            <w:shd w:val="clear" w:color="000000" w:fill="F2F2F2"/>
            <w:noWrap/>
            <w:vAlign w:val="center"/>
            <w:hideMark/>
          </w:tcPr>
          <w:p w14:paraId="75DBF074"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6</w:t>
            </w:r>
          </w:p>
        </w:tc>
        <w:tc>
          <w:tcPr>
            <w:tcW w:w="1753" w:type="dxa"/>
            <w:shd w:val="clear" w:color="000000" w:fill="F2F2F2"/>
            <w:noWrap/>
            <w:vAlign w:val="center"/>
            <w:hideMark/>
          </w:tcPr>
          <w:p w14:paraId="11A4841C"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5</w:t>
            </w:r>
          </w:p>
        </w:tc>
      </w:tr>
      <w:tr w:rsidR="004D29EC" w:rsidRPr="0025562E" w14:paraId="7B98932B" w14:textId="77777777" w:rsidTr="00D939CF">
        <w:trPr>
          <w:trHeight w:val="292"/>
        </w:trPr>
        <w:tc>
          <w:tcPr>
            <w:tcW w:w="2405" w:type="dxa"/>
            <w:shd w:val="clear" w:color="auto" w:fill="auto"/>
            <w:noWrap/>
            <w:vAlign w:val="center"/>
            <w:hideMark/>
          </w:tcPr>
          <w:p w14:paraId="3F7EB49D"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Eastern vale</w:t>
            </w:r>
          </w:p>
        </w:tc>
        <w:tc>
          <w:tcPr>
            <w:tcW w:w="1752" w:type="dxa"/>
            <w:shd w:val="clear" w:color="auto" w:fill="auto"/>
            <w:noWrap/>
            <w:vAlign w:val="center"/>
            <w:hideMark/>
          </w:tcPr>
          <w:p w14:paraId="7AE3BAAE"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2</w:t>
            </w:r>
          </w:p>
        </w:tc>
        <w:tc>
          <w:tcPr>
            <w:tcW w:w="1753" w:type="dxa"/>
            <w:shd w:val="clear" w:color="auto" w:fill="auto"/>
            <w:noWrap/>
            <w:vAlign w:val="center"/>
            <w:hideMark/>
          </w:tcPr>
          <w:p w14:paraId="0D7DA8A3"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2</w:t>
            </w:r>
          </w:p>
        </w:tc>
        <w:tc>
          <w:tcPr>
            <w:tcW w:w="1752" w:type="dxa"/>
            <w:shd w:val="clear" w:color="auto" w:fill="auto"/>
            <w:noWrap/>
            <w:vAlign w:val="center"/>
            <w:hideMark/>
          </w:tcPr>
          <w:p w14:paraId="28BB3FC5"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3</w:t>
            </w:r>
          </w:p>
        </w:tc>
        <w:tc>
          <w:tcPr>
            <w:tcW w:w="1753" w:type="dxa"/>
            <w:shd w:val="clear" w:color="auto" w:fill="auto"/>
            <w:noWrap/>
            <w:vAlign w:val="center"/>
            <w:hideMark/>
          </w:tcPr>
          <w:p w14:paraId="328A3824"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2</w:t>
            </w:r>
          </w:p>
        </w:tc>
      </w:tr>
      <w:tr w:rsidR="004D29EC" w:rsidRPr="0025562E" w14:paraId="5A622D78" w14:textId="77777777" w:rsidTr="00D939CF">
        <w:trPr>
          <w:trHeight w:val="303"/>
        </w:trPr>
        <w:tc>
          <w:tcPr>
            <w:tcW w:w="2405" w:type="dxa"/>
            <w:shd w:val="clear" w:color="000000" w:fill="F2F2F2"/>
            <w:noWrap/>
            <w:vAlign w:val="center"/>
            <w:hideMark/>
          </w:tcPr>
          <w:p w14:paraId="2752CD83"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Western Vale</w:t>
            </w:r>
          </w:p>
        </w:tc>
        <w:tc>
          <w:tcPr>
            <w:tcW w:w="1752" w:type="dxa"/>
            <w:shd w:val="clear" w:color="000000" w:fill="F2F2F2"/>
            <w:noWrap/>
            <w:vAlign w:val="center"/>
            <w:hideMark/>
          </w:tcPr>
          <w:p w14:paraId="2EA2DBDB"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0</w:t>
            </w:r>
          </w:p>
        </w:tc>
        <w:tc>
          <w:tcPr>
            <w:tcW w:w="1753" w:type="dxa"/>
            <w:shd w:val="clear" w:color="000000" w:fill="F2F2F2"/>
            <w:noWrap/>
            <w:vAlign w:val="center"/>
            <w:hideMark/>
          </w:tcPr>
          <w:p w14:paraId="38D91C0D"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3</w:t>
            </w:r>
          </w:p>
        </w:tc>
        <w:tc>
          <w:tcPr>
            <w:tcW w:w="1752" w:type="dxa"/>
            <w:shd w:val="clear" w:color="000000" w:fill="F2F2F2"/>
            <w:noWrap/>
            <w:vAlign w:val="center"/>
            <w:hideMark/>
          </w:tcPr>
          <w:p w14:paraId="7C16011A"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3</w:t>
            </w:r>
          </w:p>
        </w:tc>
        <w:tc>
          <w:tcPr>
            <w:tcW w:w="1753" w:type="dxa"/>
            <w:shd w:val="clear" w:color="000000" w:fill="F2F2F2"/>
            <w:noWrap/>
            <w:vAlign w:val="center"/>
            <w:hideMark/>
          </w:tcPr>
          <w:p w14:paraId="73352F3D" w14:textId="77777777" w:rsidR="004D29EC" w:rsidRPr="0025562E" w:rsidRDefault="004D29EC" w:rsidP="00DC54F7">
            <w:pPr>
              <w:spacing w:after="0" w:line="240" w:lineRule="auto"/>
              <w:jc w:val="both"/>
              <w:rPr>
                <w:rFonts w:ascii="Calibri" w:eastAsia="Times New Roman" w:hAnsi="Calibri" w:cs="Calibri"/>
                <w:color w:val="000000"/>
                <w:lang w:eastAsia="en-GB"/>
              </w:rPr>
            </w:pPr>
            <w:r w:rsidRPr="0025562E">
              <w:rPr>
                <w:rFonts w:ascii="Calibri" w:eastAsia="Times New Roman" w:hAnsi="Calibri" w:cs="Calibri"/>
                <w:color w:val="000000"/>
                <w:lang w:eastAsia="en-GB"/>
              </w:rPr>
              <w:t>0</w:t>
            </w:r>
          </w:p>
        </w:tc>
      </w:tr>
    </w:tbl>
    <w:p w14:paraId="439C9732" w14:textId="7D6A2ED8" w:rsidR="002E13D7" w:rsidRDefault="002E13D7" w:rsidP="00DC54F7">
      <w:pPr>
        <w:spacing w:after="0" w:line="240" w:lineRule="auto"/>
        <w:jc w:val="both"/>
        <w:rPr>
          <w:rFonts w:ascii="Arial" w:hAnsi="Arial" w:cs="Arial"/>
          <w:sz w:val="24"/>
          <w:szCs w:val="24"/>
        </w:rPr>
      </w:pPr>
    </w:p>
    <w:p w14:paraId="6D940156" w14:textId="77777777" w:rsidR="004D29EC" w:rsidRDefault="004D29EC" w:rsidP="00DC54F7">
      <w:pPr>
        <w:spacing w:after="0" w:line="240" w:lineRule="auto"/>
        <w:jc w:val="both"/>
        <w:rPr>
          <w:rFonts w:ascii="Arial" w:hAnsi="Arial" w:cs="Arial"/>
        </w:rPr>
      </w:pPr>
    </w:p>
    <w:p w14:paraId="7A51DFF6" w14:textId="47B9F298" w:rsidR="00C97B2E" w:rsidRDefault="00C97B2E" w:rsidP="00DC54F7">
      <w:pPr>
        <w:spacing w:after="0" w:line="240" w:lineRule="auto"/>
        <w:jc w:val="both"/>
        <w:rPr>
          <w:rFonts w:ascii="Arial" w:hAnsi="Arial" w:cs="Arial"/>
          <w:sz w:val="24"/>
          <w:szCs w:val="24"/>
        </w:rPr>
      </w:pPr>
      <w:r w:rsidRPr="009E6421">
        <w:rPr>
          <w:rFonts w:ascii="Arial" w:hAnsi="Arial" w:cs="Arial"/>
          <w:sz w:val="24"/>
          <w:szCs w:val="24"/>
        </w:rPr>
        <w:t xml:space="preserve">Outside normal working hours the </w:t>
      </w:r>
      <w:r w:rsidR="00AD0650" w:rsidRPr="009E6421">
        <w:rPr>
          <w:rFonts w:ascii="Arial" w:hAnsi="Arial" w:cs="Arial"/>
          <w:sz w:val="24"/>
          <w:szCs w:val="24"/>
        </w:rPr>
        <w:t>O</w:t>
      </w:r>
      <w:r w:rsidRPr="009E6421">
        <w:rPr>
          <w:rFonts w:ascii="Arial" w:hAnsi="Arial" w:cs="Arial"/>
          <w:sz w:val="24"/>
          <w:szCs w:val="24"/>
        </w:rPr>
        <w:t xml:space="preserve">ut of </w:t>
      </w:r>
      <w:r w:rsidR="00AD0650" w:rsidRPr="009E6421">
        <w:rPr>
          <w:rFonts w:ascii="Arial" w:hAnsi="Arial" w:cs="Arial"/>
          <w:sz w:val="24"/>
          <w:szCs w:val="24"/>
        </w:rPr>
        <w:t>H</w:t>
      </w:r>
      <w:r w:rsidRPr="009E6421">
        <w:rPr>
          <w:rFonts w:ascii="Arial" w:hAnsi="Arial" w:cs="Arial"/>
          <w:sz w:val="24"/>
          <w:szCs w:val="24"/>
        </w:rPr>
        <w:t xml:space="preserve">ours </w:t>
      </w:r>
      <w:r w:rsidR="00AD0650" w:rsidRPr="009E6421">
        <w:rPr>
          <w:rFonts w:ascii="Arial" w:hAnsi="Arial" w:cs="Arial"/>
          <w:sz w:val="24"/>
          <w:szCs w:val="24"/>
        </w:rPr>
        <w:t xml:space="preserve">and CAV 24/7 </w:t>
      </w:r>
      <w:r w:rsidRPr="009E6421">
        <w:rPr>
          <w:rFonts w:ascii="Arial" w:hAnsi="Arial" w:cs="Arial"/>
          <w:sz w:val="24"/>
          <w:szCs w:val="24"/>
        </w:rPr>
        <w:t xml:space="preserve">service will provide courses of treatment where appropriate. </w:t>
      </w:r>
    </w:p>
    <w:p w14:paraId="5017D203" w14:textId="77777777" w:rsidR="009E6421" w:rsidRPr="009E6421" w:rsidRDefault="009E6421" w:rsidP="00DC54F7">
      <w:pPr>
        <w:spacing w:after="0" w:line="240" w:lineRule="auto"/>
        <w:jc w:val="both"/>
        <w:rPr>
          <w:rFonts w:ascii="Arial" w:hAnsi="Arial" w:cs="Arial"/>
          <w:sz w:val="24"/>
          <w:szCs w:val="24"/>
        </w:rPr>
      </w:pPr>
    </w:p>
    <w:p w14:paraId="45F5E7B8" w14:textId="77777777" w:rsidR="00096775" w:rsidRPr="00CC01B4" w:rsidRDefault="00096775" w:rsidP="00DC54F7">
      <w:pPr>
        <w:spacing w:after="0" w:line="240" w:lineRule="auto"/>
        <w:jc w:val="both"/>
        <w:rPr>
          <w:rFonts w:ascii="Arial" w:hAnsi="Arial" w:cs="Arial"/>
          <w:bCs/>
          <w:sz w:val="24"/>
          <w:szCs w:val="24"/>
        </w:rPr>
      </w:pPr>
      <w:r w:rsidRPr="009E6421">
        <w:rPr>
          <w:rFonts w:ascii="Arial" w:hAnsi="Arial" w:cs="Arial"/>
          <w:sz w:val="24"/>
          <w:szCs w:val="24"/>
        </w:rPr>
        <w:t xml:space="preserve">The patient and public engagement questionnaire showed that most respondents do not have a preference about when is the best time (37%) or day (52%) to use a pharmacy. </w:t>
      </w:r>
      <w:r w:rsidRPr="009E6421">
        <w:rPr>
          <w:rFonts w:ascii="Arial" w:hAnsi="Arial" w:cs="Arial"/>
          <w:bCs/>
          <w:sz w:val="24"/>
          <w:szCs w:val="24"/>
        </w:rPr>
        <w:t xml:space="preserve">Of the remaining responses, 42% preferred to use a pharmacy between 9am and 6pm, with 2pm to 6pm being the most popular choice (21%), followed by 6pm to 9pm (17%). </w:t>
      </w:r>
      <w:r w:rsidRPr="009E6421">
        <w:rPr>
          <w:rFonts w:ascii="Arial" w:hAnsi="Arial" w:cs="Arial"/>
          <w:sz w:val="24"/>
          <w:szCs w:val="24"/>
        </w:rPr>
        <w:t xml:space="preserve">Where a day was indicated, the weekdays was the most convenient time for respondents to visit a pharmacy (19%), followed by the weekends in general (11%) rather than a specific day. </w:t>
      </w:r>
      <w:r w:rsidRPr="009E6421">
        <w:rPr>
          <w:rFonts w:ascii="Arial" w:hAnsi="Arial" w:cs="Arial"/>
          <w:bCs/>
          <w:sz w:val="24"/>
          <w:szCs w:val="24"/>
        </w:rPr>
        <w:t>Other respondents preferred a specific day of the week, with Saturday being the most popular choice (6%).</w:t>
      </w:r>
    </w:p>
    <w:p w14:paraId="4B910974" w14:textId="77777777" w:rsidR="00A40B36" w:rsidRPr="00077CD3" w:rsidRDefault="00A40B36" w:rsidP="00DC54F7">
      <w:pPr>
        <w:spacing w:after="0" w:line="240" w:lineRule="auto"/>
        <w:jc w:val="both"/>
        <w:rPr>
          <w:rFonts w:ascii="Arial" w:hAnsi="Arial" w:cs="Arial"/>
          <w:color w:val="000000"/>
          <w:lang w:eastAsia="en-GB"/>
        </w:rPr>
      </w:pPr>
    </w:p>
    <w:p w14:paraId="162474C5" w14:textId="78B121EC" w:rsidR="00077451" w:rsidRPr="00A63B08" w:rsidRDefault="008F4029" w:rsidP="00A63B08">
      <w:pPr>
        <w:widowControl w:val="0"/>
        <w:pBdr>
          <w:top w:val="single" w:sz="4" w:space="1" w:color="auto"/>
          <w:left w:val="single" w:sz="4" w:space="4" w:color="auto"/>
          <w:bottom w:val="single" w:sz="4" w:space="1" w:color="auto"/>
          <w:right w:val="single" w:sz="4" w:space="4" w:color="auto"/>
        </w:pBdr>
        <w:shd w:val="clear" w:color="auto" w:fill="B3B3B3"/>
        <w:autoSpaceDE w:val="0"/>
        <w:autoSpaceDN w:val="0"/>
        <w:adjustRightInd w:val="0"/>
        <w:spacing w:after="0" w:line="240" w:lineRule="auto"/>
        <w:jc w:val="both"/>
        <w:rPr>
          <w:rFonts w:ascii="Arial" w:hAnsi="Arial" w:cs="Arial"/>
          <w:b/>
          <w:bCs/>
          <w:sz w:val="24"/>
          <w:szCs w:val="24"/>
        </w:rPr>
      </w:pPr>
      <w:r w:rsidRPr="00A63B08">
        <w:rPr>
          <w:rFonts w:ascii="Arial" w:hAnsi="Arial" w:cs="Arial"/>
          <w:b/>
          <w:bCs/>
          <w:sz w:val="24"/>
          <w:szCs w:val="24"/>
        </w:rPr>
        <w:t>Based on the information available at the time of developing this pharmaceutical needs assessment, no current gaps in the provision of essential services outside normal working hours have been identified in any of the nine clusters (PNA localities).</w:t>
      </w:r>
    </w:p>
    <w:p w14:paraId="0FA063F0" w14:textId="11EB6F49" w:rsidR="002D0C4F" w:rsidRDefault="002D0C4F" w:rsidP="00DC54F7">
      <w:pPr>
        <w:widowControl w:val="0"/>
        <w:autoSpaceDE w:val="0"/>
        <w:autoSpaceDN w:val="0"/>
        <w:adjustRightInd w:val="0"/>
        <w:spacing w:after="0" w:line="240" w:lineRule="auto"/>
        <w:jc w:val="both"/>
        <w:rPr>
          <w:rFonts w:ascii="Arial" w:eastAsia="Times New Roman" w:hAnsi="Arial" w:cs="Arial"/>
          <w:b/>
          <w:highlight w:val="yellow"/>
          <w:lang w:eastAsia="en-GB"/>
        </w:rPr>
      </w:pPr>
    </w:p>
    <w:p w14:paraId="10190DDA" w14:textId="2C351EDE" w:rsidR="00AE758E" w:rsidRDefault="00AE758E" w:rsidP="00DC54F7">
      <w:pPr>
        <w:widowControl w:val="0"/>
        <w:autoSpaceDE w:val="0"/>
        <w:autoSpaceDN w:val="0"/>
        <w:adjustRightInd w:val="0"/>
        <w:spacing w:after="0" w:line="240" w:lineRule="auto"/>
        <w:jc w:val="both"/>
        <w:rPr>
          <w:rFonts w:ascii="Arial" w:eastAsia="Times New Roman" w:hAnsi="Arial" w:cs="Arial"/>
          <w:b/>
          <w:highlight w:val="yellow"/>
          <w:lang w:eastAsia="en-GB"/>
        </w:rPr>
      </w:pPr>
    </w:p>
    <w:p w14:paraId="0CEDE6BF" w14:textId="246506D1" w:rsidR="00AE758E" w:rsidRDefault="00AE758E">
      <w:pPr>
        <w:rPr>
          <w:rFonts w:ascii="Arial" w:eastAsia="Times New Roman" w:hAnsi="Arial" w:cs="Arial"/>
          <w:b/>
          <w:highlight w:val="yellow"/>
          <w:lang w:eastAsia="en-GB"/>
        </w:rPr>
      </w:pPr>
      <w:r>
        <w:rPr>
          <w:rFonts w:ascii="Arial" w:eastAsia="Times New Roman" w:hAnsi="Arial" w:cs="Arial"/>
          <w:b/>
          <w:highlight w:val="yellow"/>
          <w:lang w:eastAsia="en-GB"/>
        </w:rPr>
        <w:br w:type="page"/>
      </w:r>
    </w:p>
    <w:p w14:paraId="1726B4C6" w14:textId="16471D0D" w:rsidR="002D0C4F" w:rsidRPr="00077CD3" w:rsidRDefault="005C1FC5" w:rsidP="00DC54F7">
      <w:pPr>
        <w:spacing w:after="0" w:line="240" w:lineRule="auto"/>
        <w:jc w:val="both"/>
        <w:rPr>
          <w:rFonts w:ascii="Arial" w:hAnsi="Arial" w:cs="Arial"/>
          <w:b/>
          <w:sz w:val="24"/>
          <w:szCs w:val="24"/>
          <w:lang w:eastAsia="en-GB"/>
        </w:rPr>
      </w:pPr>
      <w:r w:rsidRPr="00077CD3">
        <w:rPr>
          <w:rFonts w:ascii="Arial" w:hAnsi="Arial" w:cs="Arial"/>
          <w:b/>
          <w:sz w:val="24"/>
          <w:szCs w:val="24"/>
          <w:lang w:val="en-US" w:eastAsia="en-GB"/>
        </w:rPr>
        <w:lastRenderedPageBreak/>
        <w:t>17</w:t>
      </w:r>
      <w:r w:rsidR="0081575F" w:rsidRPr="00077CD3">
        <w:rPr>
          <w:rFonts w:ascii="Arial" w:hAnsi="Arial" w:cs="Arial"/>
          <w:b/>
          <w:sz w:val="24"/>
          <w:szCs w:val="24"/>
          <w:lang w:val="en-US" w:eastAsia="en-GB"/>
        </w:rPr>
        <w:t>.3</w:t>
      </w:r>
      <w:r w:rsidR="002D0C4F" w:rsidRPr="00077CD3">
        <w:rPr>
          <w:rFonts w:ascii="Arial" w:hAnsi="Arial" w:cs="Arial"/>
          <w:b/>
          <w:sz w:val="24"/>
          <w:szCs w:val="24"/>
          <w:lang w:eastAsia="en-GB"/>
        </w:rPr>
        <w:t xml:space="preserve">.2 </w:t>
      </w:r>
      <w:r w:rsidR="0081575F" w:rsidRPr="00077CD3">
        <w:rPr>
          <w:rFonts w:ascii="Arial" w:hAnsi="Arial" w:cs="Arial"/>
          <w:b/>
          <w:sz w:val="24"/>
          <w:szCs w:val="24"/>
          <w:lang w:eastAsia="en-GB"/>
        </w:rPr>
        <w:t>Current a</w:t>
      </w:r>
      <w:r w:rsidR="002D0C4F" w:rsidRPr="00077CD3">
        <w:rPr>
          <w:rFonts w:ascii="Arial" w:hAnsi="Arial" w:cs="Arial"/>
          <w:b/>
          <w:sz w:val="24"/>
          <w:szCs w:val="24"/>
          <w:lang w:eastAsia="en-GB"/>
        </w:rPr>
        <w:t>ccess to advanced services</w:t>
      </w:r>
    </w:p>
    <w:p w14:paraId="41322F33" w14:textId="3D498933" w:rsidR="00A97F26" w:rsidRPr="00077CD3" w:rsidRDefault="00A97F26" w:rsidP="00DC54F7">
      <w:pPr>
        <w:spacing w:after="0" w:line="240" w:lineRule="auto"/>
        <w:jc w:val="both"/>
        <w:rPr>
          <w:rFonts w:ascii="Arial" w:hAnsi="Arial" w:cs="Arial"/>
          <w:b/>
          <w:sz w:val="24"/>
          <w:szCs w:val="24"/>
          <w:lang w:eastAsia="en-GB"/>
        </w:rPr>
      </w:pPr>
    </w:p>
    <w:p w14:paraId="1C10FF99" w14:textId="7DF19910" w:rsidR="00A97F26" w:rsidRPr="002E13D7" w:rsidRDefault="00A97F26" w:rsidP="00DC54F7">
      <w:pPr>
        <w:spacing w:after="0" w:line="240" w:lineRule="auto"/>
        <w:jc w:val="both"/>
        <w:rPr>
          <w:rFonts w:ascii="Arial" w:hAnsi="Arial" w:cs="Arial"/>
          <w:sz w:val="24"/>
          <w:szCs w:val="24"/>
        </w:rPr>
      </w:pPr>
      <w:r w:rsidRPr="002E13D7">
        <w:rPr>
          <w:rFonts w:ascii="Arial" w:hAnsi="Arial" w:cs="Arial"/>
          <w:sz w:val="24"/>
          <w:szCs w:val="24"/>
        </w:rPr>
        <w:t xml:space="preserve">Cardiff and Vale University Health Board deemed the following advanced services to be necessary: </w:t>
      </w:r>
    </w:p>
    <w:p w14:paraId="532A5C55" w14:textId="77777777" w:rsidR="00A97F26" w:rsidRPr="002E13D7" w:rsidRDefault="00A97F26" w:rsidP="00DC54F7">
      <w:pPr>
        <w:spacing w:after="0" w:line="240" w:lineRule="auto"/>
        <w:jc w:val="both"/>
        <w:rPr>
          <w:rFonts w:ascii="Arial" w:hAnsi="Arial" w:cs="Arial"/>
          <w:sz w:val="24"/>
          <w:szCs w:val="24"/>
        </w:rPr>
      </w:pPr>
    </w:p>
    <w:p w14:paraId="1B251B39" w14:textId="77777777" w:rsidR="00A97F26" w:rsidRPr="002E13D7" w:rsidRDefault="00A97F26" w:rsidP="00DC54F7">
      <w:pPr>
        <w:spacing w:after="0" w:line="240" w:lineRule="auto"/>
        <w:jc w:val="both"/>
        <w:rPr>
          <w:rFonts w:ascii="Arial" w:hAnsi="Arial" w:cs="Arial"/>
          <w:sz w:val="24"/>
          <w:szCs w:val="24"/>
        </w:rPr>
      </w:pPr>
      <w:r w:rsidRPr="002E13D7">
        <w:rPr>
          <w:rFonts w:ascii="Arial" w:hAnsi="Arial" w:cs="Arial"/>
          <w:sz w:val="24"/>
          <w:szCs w:val="24"/>
        </w:rPr>
        <w:t xml:space="preserve">• Medicines Use Reviews </w:t>
      </w:r>
    </w:p>
    <w:p w14:paraId="79921439" w14:textId="77777777" w:rsidR="00A97F26" w:rsidRPr="002E13D7" w:rsidRDefault="00A97F26" w:rsidP="00DC54F7">
      <w:pPr>
        <w:spacing w:after="0" w:line="240" w:lineRule="auto"/>
        <w:jc w:val="both"/>
        <w:rPr>
          <w:rFonts w:ascii="Arial" w:hAnsi="Arial" w:cs="Arial"/>
          <w:sz w:val="24"/>
          <w:szCs w:val="24"/>
        </w:rPr>
      </w:pPr>
      <w:r w:rsidRPr="002E13D7">
        <w:rPr>
          <w:rFonts w:ascii="Arial" w:hAnsi="Arial" w:cs="Arial"/>
          <w:sz w:val="24"/>
          <w:szCs w:val="24"/>
        </w:rPr>
        <w:t>• Discharge Medicines Review service</w:t>
      </w:r>
    </w:p>
    <w:p w14:paraId="741EC996" w14:textId="77777777" w:rsidR="00A97F26" w:rsidRPr="002E13D7" w:rsidRDefault="00A97F26" w:rsidP="00DC54F7">
      <w:pPr>
        <w:spacing w:after="0" w:line="240" w:lineRule="auto"/>
        <w:jc w:val="both"/>
        <w:rPr>
          <w:rFonts w:ascii="Arial" w:hAnsi="Arial" w:cs="Arial"/>
          <w:sz w:val="24"/>
          <w:szCs w:val="24"/>
        </w:rPr>
      </w:pPr>
    </w:p>
    <w:p w14:paraId="5C287B7F" w14:textId="6C09C624" w:rsidR="00A97F26" w:rsidRPr="002E13D7" w:rsidRDefault="00A97F26" w:rsidP="00DC54F7">
      <w:pPr>
        <w:spacing w:after="0" w:line="240" w:lineRule="auto"/>
        <w:jc w:val="both"/>
        <w:rPr>
          <w:rFonts w:ascii="Arial" w:hAnsi="Arial" w:cs="Arial"/>
          <w:sz w:val="24"/>
          <w:szCs w:val="24"/>
        </w:rPr>
      </w:pPr>
      <w:r w:rsidRPr="002E13D7">
        <w:rPr>
          <w:rFonts w:ascii="Arial" w:hAnsi="Arial" w:cs="Arial"/>
          <w:sz w:val="24"/>
          <w:szCs w:val="24"/>
        </w:rPr>
        <w:t xml:space="preserve">Cardiff and Vale University Health Board noted that at the time of drafting the pharmaceutical needs assessment, the MUR service had been suspended by the Welsh Government due to Coronavirus (COVID-19) pandemic and it was still unclear </w:t>
      </w:r>
      <w:r w:rsidR="008E5B65">
        <w:rPr>
          <w:rFonts w:ascii="Arial" w:hAnsi="Arial" w:cs="Arial"/>
          <w:sz w:val="24"/>
          <w:szCs w:val="24"/>
        </w:rPr>
        <w:t xml:space="preserve">if </w:t>
      </w:r>
      <w:r w:rsidRPr="002E13D7">
        <w:rPr>
          <w:rFonts w:ascii="Arial" w:hAnsi="Arial" w:cs="Arial"/>
          <w:sz w:val="24"/>
          <w:szCs w:val="24"/>
        </w:rPr>
        <w:t xml:space="preserve">the service would re-commence. Although the DMR service had not been suspended, Cardiff and Vale University Health Board noted that service provision </w:t>
      </w:r>
      <w:r w:rsidR="00835D3D" w:rsidRPr="002E13D7">
        <w:rPr>
          <w:rFonts w:ascii="Arial" w:hAnsi="Arial" w:cs="Arial"/>
          <w:sz w:val="24"/>
          <w:szCs w:val="24"/>
        </w:rPr>
        <w:t xml:space="preserve">and need for </w:t>
      </w:r>
      <w:r w:rsidRPr="002E13D7">
        <w:rPr>
          <w:rFonts w:ascii="Arial" w:hAnsi="Arial" w:cs="Arial"/>
          <w:sz w:val="24"/>
          <w:szCs w:val="24"/>
        </w:rPr>
        <w:t xml:space="preserve">this advanced service would have been affected by the Coronavirus (COVID-19) pandemic. </w:t>
      </w:r>
    </w:p>
    <w:p w14:paraId="1816A8A8" w14:textId="77777777" w:rsidR="00A97F26" w:rsidRPr="002E13D7" w:rsidRDefault="00A97F26" w:rsidP="00DC54F7">
      <w:pPr>
        <w:spacing w:after="0" w:line="240" w:lineRule="auto"/>
        <w:jc w:val="both"/>
        <w:rPr>
          <w:rFonts w:ascii="Arial" w:hAnsi="Arial" w:cs="Arial"/>
          <w:sz w:val="24"/>
          <w:szCs w:val="24"/>
        </w:rPr>
      </w:pPr>
    </w:p>
    <w:p w14:paraId="3850EFA0" w14:textId="1024B4FB" w:rsidR="00A97F26" w:rsidRPr="002E13D7" w:rsidRDefault="00A97F26" w:rsidP="00DC54F7">
      <w:pPr>
        <w:spacing w:after="0" w:line="240" w:lineRule="auto"/>
        <w:jc w:val="both"/>
        <w:rPr>
          <w:rFonts w:ascii="Arial" w:hAnsi="Arial" w:cs="Arial"/>
          <w:sz w:val="24"/>
          <w:szCs w:val="24"/>
        </w:rPr>
      </w:pPr>
      <w:r w:rsidRPr="002E13D7">
        <w:rPr>
          <w:rFonts w:ascii="Arial" w:hAnsi="Arial" w:cs="Arial"/>
          <w:sz w:val="24"/>
          <w:szCs w:val="24"/>
        </w:rPr>
        <w:t xml:space="preserve">Demand for the Appliance Use Review advanced service and Stoma Appliance Customisation advanced services will be lower than for the other advanced services due to the much smaller proportion of the population that may require these services. Further to this, these services are generally being provided by appliance contractors based in Cardiff </w:t>
      </w:r>
      <w:r w:rsidR="00D16577" w:rsidRPr="002E13D7">
        <w:rPr>
          <w:rFonts w:ascii="Arial" w:hAnsi="Arial" w:cs="Arial"/>
          <w:sz w:val="24"/>
          <w:szCs w:val="24"/>
        </w:rPr>
        <w:t xml:space="preserve">and Vale University Health Board </w:t>
      </w:r>
      <w:r w:rsidRPr="002E13D7">
        <w:rPr>
          <w:rFonts w:ascii="Arial" w:hAnsi="Arial" w:cs="Arial"/>
          <w:sz w:val="24"/>
          <w:szCs w:val="24"/>
        </w:rPr>
        <w:t>or England.</w:t>
      </w:r>
    </w:p>
    <w:p w14:paraId="730B3D1B" w14:textId="77777777" w:rsidR="006D5D57" w:rsidRPr="002E13D7" w:rsidRDefault="006D5D57" w:rsidP="00DC54F7">
      <w:pPr>
        <w:spacing w:after="0" w:line="240" w:lineRule="auto"/>
        <w:jc w:val="both"/>
        <w:rPr>
          <w:rFonts w:ascii="Arial" w:hAnsi="Arial" w:cs="Arial"/>
          <w:sz w:val="24"/>
          <w:szCs w:val="24"/>
        </w:rPr>
      </w:pPr>
    </w:p>
    <w:p w14:paraId="492142EB" w14:textId="267F0C65" w:rsidR="00A97F26" w:rsidRPr="002E13D7" w:rsidRDefault="00A97F26" w:rsidP="00DC54F7">
      <w:pPr>
        <w:spacing w:after="0" w:line="240" w:lineRule="auto"/>
        <w:jc w:val="both"/>
        <w:rPr>
          <w:rFonts w:ascii="Arial" w:hAnsi="Arial" w:cs="Arial"/>
          <w:b/>
          <w:sz w:val="24"/>
          <w:szCs w:val="24"/>
          <w:lang w:eastAsia="en-GB"/>
        </w:rPr>
      </w:pPr>
      <w:r w:rsidRPr="002E13D7">
        <w:rPr>
          <w:rFonts w:ascii="Arial" w:hAnsi="Arial" w:cs="Arial"/>
          <w:sz w:val="24"/>
          <w:szCs w:val="24"/>
        </w:rPr>
        <w:t>Based on the data available</w:t>
      </w:r>
      <w:r w:rsidR="00A17E78" w:rsidRPr="002E13D7">
        <w:rPr>
          <w:rFonts w:ascii="Arial" w:hAnsi="Arial" w:cs="Arial"/>
          <w:sz w:val="24"/>
          <w:szCs w:val="24"/>
        </w:rPr>
        <w:t xml:space="preserve">, </w:t>
      </w:r>
      <w:r w:rsidRPr="002E13D7">
        <w:rPr>
          <w:rFonts w:ascii="Arial" w:hAnsi="Arial" w:cs="Arial"/>
          <w:sz w:val="24"/>
          <w:szCs w:val="24"/>
        </w:rPr>
        <w:t>the C</w:t>
      </w:r>
      <w:r w:rsidR="00A17E78" w:rsidRPr="002E13D7">
        <w:rPr>
          <w:rFonts w:ascii="Arial" w:hAnsi="Arial" w:cs="Arial"/>
          <w:sz w:val="24"/>
          <w:szCs w:val="24"/>
        </w:rPr>
        <w:t xml:space="preserve">ardiff and Vale </w:t>
      </w:r>
      <w:r w:rsidRPr="002E13D7">
        <w:rPr>
          <w:rFonts w:ascii="Arial" w:hAnsi="Arial" w:cs="Arial"/>
          <w:sz w:val="24"/>
          <w:szCs w:val="24"/>
        </w:rPr>
        <w:t>University Health Board Health is satisfied that there is sufficient capacity to meet the demand for advanced services</w:t>
      </w:r>
    </w:p>
    <w:p w14:paraId="785D179F" w14:textId="77777777" w:rsidR="00EF642E" w:rsidRPr="002E13D7" w:rsidRDefault="00EF642E" w:rsidP="00DC54F7">
      <w:pPr>
        <w:spacing w:after="0" w:line="240" w:lineRule="auto"/>
        <w:jc w:val="both"/>
        <w:rPr>
          <w:rFonts w:ascii="Arial" w:hAnsi="Arial" w:cs="Arial"/>
          <w:color w:val="000000"/>
          <w:sz w:val="24"/>
          <w:szCs w:val="24"/>
          <w:lang w:eastAsia="en-GB"/>
        </w:rPr>
      </w:pPr>
    </w:p>
    <w:p w14:paraId="26603795" w14:textId="4D4CE51E" w:rsidR="00077451" w:rsidRPr="00A63B08" w:rsidRDefault="00D91E12" w:rsidP="00A63B08">
      <w:pPr>
        <w:widowControl w:val="0"/>
        <w:pBdr>
          <w:top w:val="single" w:sz="4" w:space="1" w:color="auto"/>
          <w:left w:val="single" w:sz="4" w:space="4" w:color="auto"/>
          <w:bottom w:val="single" w:sz="4" w:space="1" w:color="auto"/>
          <w:right w:val="single" w:sz="4" w:space="4" w:color="auto"/>
        </w:pBdr>
        <w:shd w:val="clear" w:color="auto" w:fill="B3B3B3"/>
        <w:autoSpaceDE w:val="0"/>
        <w:autoSpaceDN w:val="0"/>
        <w:adjustRightInd w:val="0"/>
        <w:spacing w:after="0" w:line="240" w:lineRule="auto"/>
        <w:jc w:val="both"/>
        <w:rPr>
          <w:rFonts w:ascii="Arial" w:hAnsi="Arial" w:cs="Arial"/>
          <w:b/>
          <w:bCs/>
          <w:sz w:val="24"/>
          <w:szCs w:val="24"/>
        </w:rPr>
      </w:pPr>
      <w:r w:rsidRPr="00A63B08">
        <w:rPr>
          <w:rFonts w:ascii="Arial" w:hAnsi="Arial" w:cs="Arial"/>
          <w:b/>
          <w:bCs/>
          <w:sz w:val="24"/>
          <w:szCs w:val="24"/>
        </w:rPr>
        <w:t>Based on the information available at the time of developing this pharmaceutical needs assessment no current gaps in the provision of the Medicines Use Review and Discharge Medicines Review advanced services have been identified in any of the nine clusters (PNA localities).</w:t>
      </w:r>
    </w:p>
    <w:p w14:paraId="54411CAE" w14:textId="2A9CAE48" w:rsidR="00BD0B90" w:rsidRDefault="00BD0B90" w:rsidP="00DC54F7">
      <w:pPr>
        <w:spacing w:after="0" w:line="240" w:lineRule="auto"/>
        <w:jc w:val="both"/>
        <w:rPr>
          <w:rFonts w:ascii="Arial" w:hAnsi="Arial" w:cs="Arial"/>
          <w:color w:val="942D83"/>
          <w:highlight w:val="yellow"/>
          <w:lang w:eastAsia="en-GB"/>
        </w:rPr>
      </w:pPr>
    </w:p>
    <w:p w14:paraId="57D6D8DF" w14:textId="77777777" w:rsidR="00AE758E" w:rsidRPr="0008476B" w:rsidRDefault="00AE758E" w:rsidP="00DC54F7">
      <w:pPr>
        <w:spacing w:after="0" w:line="240" w:lineRule="auto"/>
        <w:jc w:val="both"/>
        <w:rPr>
          <w:rFonts w:ascii="Arial" w:hAnsi="Arial" w:cs="Arial"/>
          <w:color w:val="942D83"/>
          <w:highlight w:val="yellow"/>
          <w:lang w:eastAsia="en-GB"/>
        </w:rPr>
      </w:pPr>
    </w:p>
    <w:p w14:paraId="60F618F9" w14:textId="50CB08CC" w:rsidR="00077451" w:rsidRPr="00BC3FA2" w:rsidRDefault="005C1FC5" w:rsidP="00DC54F7">
      <w:pPr>
        <w:spacing w:after="0" w:line="240" w:lineRule="auto"/>
        <w:jc w:val="both"/>
        <w:rPr>
          <w:rFonts w:ascii="Arial" w:hAnsi="Arial" w:cs="Arial"/>
          <w:b/>
          <w:sz w:val="24"/>
          <w:szCs w:val="24"/>
          <w:lang w:eastAsia="en-GB"/>
        </w:rPr>
      </w:pPr>
      <w:r w:rsidRPr="00BC3FA2">
        <w:rPr>
          <w:rFonts w:ascii="Arial" w:hAnsi="Arial" w:cs="Arial"/>
          <w:b/>
          <w:sz w:val="24"/>
          <w:szCs w:val="24"/>
          <w:lang w:val="en-US" w:eastAsia="en-GB"/>
        </w:rPr>
        <w:t>17</w:t>
      </w:r>
      <w:r w:rsidR="0081575F" w:rsidRPr="00BC3FA2">
        <w:rPr>
          <w:rFonts w:ascii="Arial" w:hAnsi="Arial" w:cs="Arial"/>
          <w:b/>
          <w:sz w:val="24"/>
          <w:szCs w:val="24"/>
          <w:lang w:val="en-US" w:eastAsia="en-GB"/>
        </w:rPr>
        <w:t>.3</w:t>
      </w:r>
      <w:r w:rsidR="0081575F" w:rsidRPr="00BC3FA2">
        <w:rPr>
          <w:rFonts w:ascii="Arial" w:hAnsi="Arial" w:cs="Arial"/>
          <w:b/>
          <w:sz w:val="24"/>
          <w:szCs w:val="24"/>
          <w:lang w:eastAsia="en-GB"/>
        </w:rPr>
        <w:t>.3 Current a</w:t>
      </w:r>
      <w:r w:rsidR="00077451" w:rsidRPr="00BC3FA2">
        <w:rPr>
          <w:rFonts w:ascii="Arial" w:hAnsi="Arial" w:cs="Arial"/>
          <w:b/>
          <w:sz w:val="24"/>
          <w:szCs w:val="24"/>
          <w:lang w:eastAsia="en-GB"/>
        </w:rPr>
        <w:t>ccess to enhanced services</w:t>
      </w:r>
    </w:p>
    <w:p w14:paraId="181D614A" w14:textId="3A2A0BEE" w:rsidR="002B60BA" w:rsidRPr="00BC3FA2" w:rsidRDefault="002B60BA" w:rsidP="00DC54F7">
      <w:pPr>
        <w:spacing w:after="0" w:line="240" w:lineRule="auto"/>
        <w:jc w:val="both"/>
        <w:rPr>
          <w:rFonts w:ascii="Arial" w:hAnsi="Arial" w:cs="Arial"/>
          <w:b/>
          <w:sz w:val="24"/>
          <w:szCs w:val="24"/>
          <w:lang w:eastAsia="en-GB"/>
        </w:rPr>
      </w:pPr>
    </w:p>
    <w:p w14:paraId="18AE7B71" w14:textId="5E74A637" w:rsidR="002B60BA" w:rsidRDefault="002B60BA" w:rsidP="00DC54F7">
      <w:pPr>
        <w:spacing w:after="0" w:line="240" w:lineRule="auto"/>
        <w:jc w:val="both"/>
        <w:rPr>
          <w:rFonts w:ascii="Arial" w:hAnsi="Arial" w:cs="Arial"/>
          <w:sz w:val="24"/>
          <w:szCs w:val="24"/>
        </w:rPr>
      </w:pPr>
      <w:r w:rsidRPr="00BC3FA2">
        <w:rPr>
          <w:rFonts w:ascii="Arial" w:hAnsi="Arial" w:cs="Arial"/>
          <w:sz w:val="24"/>
          <w:szCs w:val="24"/>
        </w:rPr>
        <w:t xml:space="preserve">The Cardiff and Vale University Health Board noted that at the time of drafting the pharmaceutical needs assessment, the provision of </w:t>
      </w:r>
      <w:r w:rsidR="00224D44">
        <w:rPr>
          <w:rFonts w:ascii="Arial" w:hAnsi="Arial" w:cs="Arial"/>
          <w:sz w:val="24"/>
          <w:szCs w:val="24"/>
        </w:rPr>
        <w:t>some</w:t>
      </w:r>
      <w:r w:rsidRPr="00BC3FA2">
        <w:rPr>
          <w:rFonts w:ascii="Arial" w:hAnsi="Arial" w:cs="Arial"/>
          <w:sz w:val="24"/>
          <w:szCs w:val="24"/>
        </w:rPr>
        <w:t xml:space="preserve"> enhanced services had been suspended due to Coronavirus (COVID-19) pandemic. Based on the data available, Cardiff and Vale University Health Board Health is satisfied that there is sufficient capacity to meet the demand for enhanced services.</w:t>
      </w:r>
    </w:p>
    <w:p w14:paraId="62B0520E" w14:textId="77777777" w:rsidR="00BC3FA2" w:rsidRPr="00BC3FA2" w:rsidRDefault="00BC3FA2" w:rsidP="00DC54F7">
      <w:pPr>
        <w:spacing w:after="0" w:line="240" w:lineRule="auto"/>
        <w:jc w:val="both"/>
        <w:rPr>
          <w:rFonts w:ascii="Arial" w:hAnsi="Arial" w:cs="Arial"/>
          <w:sz w:val="24"/>
          <w:szCs w:val="24"/>
        </w:rPr>
      </w:pPr>
    </w:p>
    <w:p w14:paraId="5373660E" w14:textId="164AA536" w:rsidR="002B60BA" w:rsidRPr="00A63B08" w:rsidRDefault="002B60BA" w:rsidP="00A63B08">
      <w:pPr>
        <w:widowControl w:val="0"/>
        <w:pBdr>
          <w:top w:val="single" w:sz="4" w:space="1" w:color="auto"/>
          <w:left w:val="single" w:sz="4" w:space="4" w:color="auto"/>
          <w:bottom w:val="single" w:sz="4" w:space="1" w:color="auto"/>
          <w:right w:val="single" w:sz="4" w:space="4" w:color="auto"/>
        </w:pBdr>
        <w:shd w:val="clear" w:color="auto" w:fill="B3B3B3"/>
        <w:autoSpaceDE w:val="0"/>
        <w:autoSpaceDN w:val="0"/>
        <w:adjustRightInd w:val="0"/>
        <w:spacing w:after="0" w:line="240" w:lineRule="auto"/>
        <w:jc w:val="both"/>
        <w:rPr>
          <w:rFonts w:ascii="Arial" w:hAnsi="Arial" w:cs="Arial"/>
          <w:b/>
          <w:bCs/>
          <w:sz w:val="24"/>
          <w:szCs w:val="24"/>
        </w:rPr>
      </w:pPr>
      <w:r w:rsidRPr="00A63B08">
        <w:rPr>
          <w:rFonts w:ascii="Arial" w:hAnsi="Arial" w:cs="Arial"/>
          <w:b/>
          <w:bCs/>
          <w:sz w:val="24"/>
          <w:szCs w:val="24"/>
        </w:rPr>
        <w:t>Based on the information available at the time of developing this pharmaceutical needs assessment no current gaps in the provision of enhanced services have been identified in any of the nine clusters (PNA localities).</w:t>
      </w:r>
    </w:p>
    <w:p w14:paraId="67066F22" w14:textId="684ABF3F" w:rsidR="00077451" w:rsidRDefault="00077451" w:rsidP="00DC54F7">
      <w:pPr>
        <w:spacing w:after="0" w:line="240" w:lineRule="auto"/>
        <w:jc w:val="both"/>
        <w:rPr>
          <w:rFonts w:ascii="Arial" w:hAnsi="Arial" w:cs="Arial"/>
          <w:color w:val="942D83"/>
          <w:lang w:eastAsia="en-GB"/>
        </w:rPr>
      </w:pPr>
    </w:p>
    <w:p w14:paraId="41158A56" w14:textId="7268CE72" w:rsidR="00AE758E" w:rsidRDefault="00AE758E" w:rsidP="00AE758E">
      <w:pPr>
        <w:rPr>
          <w:rFonts w:ascii="Arial" w:hAnsi="Arial" w:cs="Arial"/>
          <w:color w:val="942D83"/>
          <w:lang w:eastAsia="en-GB"/>
        </w:rPr>
      </w:pPr>
      <w:r>
        <w:rPr>
          <w:rFonts w:ascii="Arial" w:hAnsi="Arial" w:cs="Arial"/>
          <w:color w:val="942D83"/>
          <w:lang w:eastAsia="en-GB"/>
        </w:rPr>
        <w:br w:type="page"/>
      </w:r>
    </w:p>
    <w:p w14:paraId="7CE24A5B" w14:textId="431C1B2B" w:rsidR="00776725" w:rsidRPr="00BC3FA2" w:rsidRDefault="005C1FC5" w:rsidP="00DC54F7">
      <w:pPr>
        <w:spacing w:after="0" w:line="240" w:lineRule="auto"/>
        <w:jc w:val="both"/>
        <w:rPr>
          <w:rFonts w:ascii="Arial" w:hAnsi="Arial" w:cs="Arial"/>
          <w:b/>
          <w:sz w:val="24"/>
          <w:szCs w:val="24"/>
          <w:lang w:eastAsia="en-GB"/>
        </w:rPr>
      </w:pPr>
      <w:r w:rsidRPr="00BC3FA2">
        <w:rPr>
          <w:rFonts w:ascii="Arial" w:hAnsi="Arial" w:cs="Arial"/>
          <w:b/>
          <w:sz w:val="24"/>
          <w:szCs w:val="24"/>
          <w:lang w:val="en-US" w:eastAsia="en-GB"/>
        </w:rPr>
        <w:lastRenderedPageBreak/>
        <w:t>17</w:t>
      </w:r>
      <w:r w:rsidR="00776725" w:rsidRPr="00BC3FA2">
        <w:rPr>
          <w:rFonts w:ascii="Arial" w:hAnsi="Arial" w:cs="Arial"/>
          <w:b/>
          <w:sz w:val="24"/>
          <w:szCs w:val="24"/>
          <w:lang w:val="en-US" w:eastAsia="en-GB"/>
        </w:rPr>
        <w:t>.3</w:t>
      </w:r>
      <w:r w:rsidR="00776725" w:rsidRPr="00BC3FA2">
        <w:rPr>
          <w:rFonts w:ascii="Arial" w:hAnsi="Arial" w:cs="Arial"/>
          <w:b/>
          <w:sz w:val="24"/>
          <w:szCs w:val="24"/>
          <w:lang w:eastAsia="en-GB"/>
        </w:rPr>
        <w:t>.4 Current access to the GP dispensing service</w:t>
      </w:r>
    </w:p>
    <w:p w14:paraId="284B20FB" w14:textId="653D0749" w:rsidR="000C05E1" w:rsidRPr="00BC3FA2" w:rsidRDefault="000C05E1" w:rsidP="00DC54F7">
      <w:pPr>
        <w:spacing w:after="0" w:line="240" w:lineRule="auto"/>
        <w:jc w:val="both"/>
        <w:rPr>
          <w:rFonts w:ascii="Arial" w:hAnsi="Arial" w:cs="Arial"/>
          <w:b/>
          <w:sz w:val="24"/>
          <w:szCs w:val="24"/>
          <w:lang w:eastAsia="en-GB"/>
        </w:rPr>
      </w:pPr>
    </w:p>
    <w:p w14:paraId="6BBF11D0" w14:textId="23F59D86" w:rsidR="00A94B25" w:rsidRPr="00BC3FA2" w:rsidRDefault="00A94B25" w:rsidP="00DC54F7">
      <w:pPr>
        <w:spacing w:after="0" w:line="240" w:lineRule="auto"/>
        <w:jc w:val="both"/>
        <w:rPr>
          <w:rFonts w:ascii="Arial" w:hAnsi="Arial" w:cs="Arial"/>
          <w:sz w:val="24"/>
          <w:szCs w:val="24"/>
        </w:rPr>
      </w:pPr>
      <w:r w:rsidRPr="00BC3FA2">
        <w:rPr>
          <w:rFonts w:ascii="Arial" w:hAnsi="Arial" w:cs="Arial"/>
          <w:sz w:val="24"/>
          <w:szCs w:val="24"/>
        </w:rPr>
        <w:t>The Cardiff and Vale Health Board noted that NHS (Pharmaceutical Services) (Wales) Regulations 2020 allow doctors to dispense to eligible patients in certain circumstances:</w:t>
      </w:r>
    </w:p>
    <w:p w14:paraId="1C1B4F7A" w14:textId="77777777" w:rsidR="00A94B25" w:rsidRPr="00BC3FA2" w:rsidRDefault="00A94B25" w:rsidP="00DC54F7">
      <w:pPr>
        <w:spacing w:after="0" w:line="240" w:lineRule="auto"/>
        <w:jc w:val="both"/>
        <w:rPr>
          <w:rFonts w:ascii="Arial" w:hAnsi="Arial" w:cs="Arial"/>
          <w:sz w:val="24"/>
          <w:szCs w:val="24"/>
        </w:rPr>
      </w:pPr>
    </w:p>
    <w:p w14:paraId="5EC4B8FC" w14:textId="77777777" w:rsidR="00A94B25" w:rsidRPr="00BC3FA2" w:rsidRDefault="00A94B25" w:rsidP="00DC54F7">
      <w:pPr>
        <w:pStyle w:val="ListParagraph"/>
        <w:numPr>
          <w:ilvl w:val="0"/>
          <w:numId w:val="29"/>
        </w:numPr>
        <w:spacing w:after="0" w:line="240" w:lineRule="auto"/>
        <w:jc w:val="both"/>
        <w:rPr>
          <w:rFonts w:ascii="Arial" w:hAnsi="Arial" w:cs="Arial"/>
          <w:sz w:val="24"/>
          <w:szCs w:val="24"/>
        </w:rPr>
      </w:pPr>
      <w:r w:rsidRPr="00BC3FA2">
        <w:rPr>
          <w:rFonts w:ascii="Arial" w:hAnsi="Arial" w:cs="Arial"/>
          <w:sz w:val="24"/>
          <w:szCs w:val="24"/>
        </w:rPr>
        <w:t>Patients must live in a ‘controlled locality’ (an area which has been determined by the health board or a preceding organisation as rural in character, or on appeal by the Welsh Ministers), more than 1.6km (measured in a straight line) from a pharmacy, and</w:t>
      </w:r>
    </w:p>
    <w:p w14:paraId="3BF98832" w14:textId="77777777" w:rsidR="00A94B25" w:rsidRPr="00BC3FA2" w:rsidRDefault="00A94B25" w:rsidP="00DC54F7">
      <w:pPr>
        <w:pStyle w:val="ListParagraph"/>
        <w:numPr>
          <w:ilvl w:val="0"/>
          <w:numId w:val="29"/>
        </w:numPr>
        <w:spacing w:after="0" w:line="240" w:lineRule="auto"/>
        <w:jc w:val="both"/>
        <w:rPr>
          <w:rFonts w:ascii="Arial" w:hAnsi="Arial" w:cs="Arial"/>
          <w:sz w:val="24"/>
          <w:szCs w:val="24"/>
        </w:rPr>
      </w:pPr>
      <w:r w:rsidRPr="00BC3FA2">
        <w:rPr>
          <w:rFonts w:ascii="Arial" w:hAnsi="Arial" w:cs="Arial"/>
          <w:sz w:val="24"/>
          <w:szCs w:val="24"/>
        </w:rPr>
        <w:t>Their practice must have premises approval and outline consent to dispense to that area.</w:t>
      </w:r>
    </w:p>
    <w:p w14:paraId="6EEAA82C" w14:textId="77777777" w:rsidR="00A94B25" w:rsidRPr="00BC3FA2" w:rsidRDefault="00A94B25" w:rsidP="00DC54F7">
      <w:pPr>
        <w:spacing w:after="0" w:line="240" w:lineRule="auto"/>
        <w:jc w:val="both"/>
        <w:rPr>
          <w:rFonts w:ascii="Arial" w:hAnsi="Arial" w:cs="Arial"/>
          <w:sz w:val="24"/>
          <w:szCs w:val="24"/>
        </w:rPr>
      </w:pPr>
    </w:p>
    <w:p w14:paraId="25C1374E" w14:textId="1028E32B" w:rsidR="00583465" w:rsidRPr="00051639" w:rsidRDefault="00A94B25" w:rsidP="00DC54F7">
      <w:pPr>
        <w:spacing w:after="0" w:line="240" w:lineRule="auto"/>
        <w:jc w:val="both"/>
        <w:rPr>
          <w:rFonts w:ascii="Arial" w:hAnsi="Arial" w:cs="Arial"/>
          <w:sz w:val="24"/>
          <w:szCs w:val="24"/>
        </w:rPr>
      </w:pPr>
      <w:r w:rsidRPr="00051639">
        <w:rPr>
          <w:rFonts w:ascii="Arial" w:hAnsi="Arial" w:cs="Arial"/>
          <w:sz w:val="24"/>
          <w:szCs w:val="24"/>
        </w:rPr>
        <w:t xml:space="preserve">It noted that the one dispensing doctor practice dispensed to 372 of their registered patients (5% of the total list size of the practice) and provided a </w:t>
      </w:r>
      <w:r w:rsidR="00583465" w:rsidRPr="00051639">
        <w:rPr>
          <w:rFonts w:ascii="Arial" w:hAnsi="Arial" w:cs="Arial"/>
          <w:sz w:val="24"/>
          <w:szCs w:val="24"/>
        </w:rPr>
        <w:t xml:space="preserve">specific </w:t>
      </w:r>
      <w:r w:rsidRPr="00051639">
        <w:rPr>
          <w:rFonts w:ascii="Arial" w:hAnsi="Arial" w:cs="Arial"/>
          <w:sz w:val="24"/>
          <w:szCs w:val="24"/>
        </w:rPr>
        <w:t>dispensing service to students</w:t>
      </w:r>
      <w:r w:rsidR="001D260B" w:rsidRPr="00051639">
        <w:rPr>
          <w:rFonts w:ascii="Arial" w:hAnsi="Arial" w:cs="Arial"/>
          <w:sz w:val="24"/>
          <w:szCs w:val="24"/>
        </w:rPr>
        <w:t xml:space="preserve"> </w:t>
      </w:r>
      <w:r w:rsidR="00583465" w:rsidRPr="00051639">
        <w:rPr>
          <w:rFonts w:ascii="Arial" w:hAnsi="Arial" w:cs="Arial"/>
          <w:sz w:val="24"/>
          <w:szCs w:val="24"/>
        </w:rPr>
        <w:t xml:space="preserve">living in </w:t>
      </w:r>
      <w:r w:rsidR="00583465" w:rsidRPr="00051639">
        <w:rPr>
          <w:rFonts w:ascii="Arial" w:eastAsia="Times New Roman" w:hAnsi="Arial" w:cs="Arial"/>
          <w:sz w:val="24"/>
          <w:szCs w:val="24"/>
        </w:rPr>
        <w:t xml:space="preserve">Atlantic College, St. Donats. </w:t>
      </w:r>
      <w:r w:rsidR="00583465" w:rsidRPr="00CC01B4">
        <w:rPr>
          <w:rFonts w:ascii="Arial" w:eastAsia="Times New Roman" w:hAnsi="Arial" w:cs="Arial"/>
          <w:sz w:val="24"/>
          <w:szCs w:val="24"/>
        </w:rPr>
        <w:t>The practice confirmed that it has sufficient capacity within its existing premises and staffing levels to manage an increase in demand in its area if required</w:t>
      </w:r>
      <w:r w:rsidR="00583465" w:rsidRPr="00051639">
        <w:rPr>
          <w:rFonts w:ascii="Arial" w:eastAsia="Times New Roman" w:hAnsi="Arial" w:cs="Arial"/>
          <w:sz w:val="24"/>
          <w:szCs w:val="24"/>
        </w:rPr>
        <w:t xml:space="preserve">. However, this would be dependent upon the terms set out in the </w:t>
      </w:r>
      <w:r w:rsidR="00583465" w:rsidRPr="00051639">
        <w:rPr>
          <w:rFonts w:ascii="Arial" w:hAnsi="Arial" w:cs="Arial"/>
          <w:sz w:val="24"/>
          <w:szCs w:val="24"/>
        </w:rPr>
        <w:t>NHS (Pharmaceutical Services) (Wales) Regulations 2020.</w:t>
      </w:r>
    </w:p>
    <w:p w14:paraId="062D816F" w14:textId="77777777" w:rsidR="00A94B25" w:rsidRPr="00077CD3" w:rsidRDefault="00A94B25" w:rsidP="00DC54F7">
      <w:pPr>
        <w:spacing w:after="0" w:line="240" w:lineRule="auto"/>
        <w:jc w:val="both"/>
        <w:rPr>
          <w:rFonts w:ascii="Arial" w:hAnsi="Arial" w:cs="Arial"/>
        </w:rPr>
      </w:pPr>
    </w:p>
    <w:p w14:paraId="1ACB2324" w14:textId="77777777" w:rsidR="00A94B25" w:rsidRPr="00A63B08" w:rsidRDefault="00A94B25" w:rsidP="00A63B08">
      <w:pPr>
        <w:widowControl w:val="0"/>
        <w:pBdr>
          <w:top w:val="single" w:sz="4" w:space="1" w:color="auto"/>
          <w:left w:val="single" w:sz="4" w:space="4" w:color="auto"/>
          <w:bottom w:val="single" w:sz="4" w:space="1" w:color="auto"/>
          <w:right w:val="single" w:sz="4" w:space="4" w:color="auto"/>
        </w:pBdr>
        <w:shd w:val="clear" w:color="auto" w:fill="B3B3B3"/>
        <w:autoSpaceDE w:val="0"/>
        <w:autoSpaceDN w:val="0"/>
        <w:adjustRightInd w:val="0"/>
        <w:spacing w:after="0" w:line="240" w:lineRule="auto"/>
        <w:jc w:val="both"/>
        <w:rPr>
          <w:rFonts w:ascii="Arial" w:hAnsi="Arial" w:cs="Arial"/>
          <w:b/>
          <w:bCs/>
          <w:sz w:val="24"/>
          <w:szCs w:val="24"/>
        </w:rPr>
      </w:pPr>
      <w:r w:rsidRPr="00A63B08">
        <w:rPr>
          <w:rFonts w:ascii="Arial" w:hAnsi="Arial" w:cs="Arial"/>
          <w:b/>
          <w:bCs/>
          <w:sz w:val="24"/>
          <w:szCs w:val="24"/>
        </w:rPr>
        <w:t>Based on the information available at the time of developing this pharmaceutical needs assessment no current gaps in the provision of GP dispensing services have been identified.</w:t>
      </w:r>
    </w:p>
    <w:p w14:paraId="67D13C0E" w14:textId="7EA371FE" w:rsidR="00776725" w:rsidRDefault="00776725" w:rsidP="00DC54F7">
      <w:pPr>
        <w:spacing w:after="0" w:line="240" w:lineRule="auto"/>
        <w:jc w:val="both"/>
        <w:rPr>
          <w:rFonts w:ascii="Arial" w:hAnsi="Arial" w:cs="Arial"/>
          <w:color w:val="942D83"/>
          <w:highlight w:val="yellow"/>
          <w:lang w:eastAsia="en-GB"/>
        </w:rPr>
      </w:pPr>
    </w:p>
    <w:p w14:paraId="5F591DEC" w14:textId="78DDE24A" w:rsidR="00AE758E" w:rsidRDefault="00AE758E" w:rsidP="00DC54F7">
      <w:pPr>
        <w:spacing w:after="0" w:line="240" w:lineRule="auto"/>
        <w:jc w:val="both"/>
        <w:rPr>
          <w:rFonts w:ascii="Arial" w:hAnsi="Arial" w:cs="Arial"/>
          <w:color w:val="942D83"/>
          <w:highlight w:val="yellow"/>
          <w:lang w:eastAsia="en-GB"/>
        </w:rPr>
      </w:pPr>
    </w:p>
    <w:p w14:paraId="733F1EE0" w14:textId="77777777" w:rsidR="00AE758E" w:rsidRPr="0008476B" w:rsidRDefault="00AE758E" w:rsidP="00DC54F7">
      <w:pPr>
        <w:spacing w:after="0" w:line="240" w:lineRule="auto"/>
        <w:jc w:val="both"/>
        <w:rPr>
          <w:rFonts w:ascii="Arial" w:hAnsi="Arial" w:cs="Arial"/>
          <w:color w:val="942D83"/>
          <w:highlight w:val="yellow"/>
          <w:lang w:eastAsia="en-GB"/>
        </w:rPr>
      </w:pPr>
    </w:p>
    <w:p w14:paraId="60F9D806" w14:textId="527EA84C" w:rsidR="0081575F" w:rsidRPr="00F0780D" w:rsidRDefault="00797742" w:rsidP="00DC54F7">
      <w:pPr>
        <w:widowControl w:val="0"/>
        <w:autoSpaceDE w:val="0"/>
        <w:autoSpaceDN w:val="0"/>
        <w:adjustRightInd w:val="0"/>
        <w:spacing w:after="0" w:line="240" w:lineRule="auto"/>
        <w:jc w:val="both"/>
        <w:rPr>
          <w:rFonts w:ascii="Arial" w:eastAsia="Times New Roman" w:hAnsi="Arial" w:cs="Arial"/>
          <w:b/>
          <w:sz w:val="24"/>
          <w:szCs w:val="24"/>
          <w:lang w:val="en-US" w:eastAsia="en-GB"/>
        </w:rPr>
      </w:pPr>
      <w:r w:rsidRPr="00F0780D">
        <w:rPr>
          <w:rFonts w:ascii="Arial" w:eastAsia="Times New Roman" w:hAnsi="Arial" w:cs="Arial"/>
          <w:b/>
          <w:sz w:val="24"/>
          <w:szCs w:val="24"/>
          <w:lang w:val="en-US" w:eastAsia="en-GB"/>
        </w:rPr>
        <w:t>17</w:t>
      </w:r>
      <w:r w:rsidR="0081575F" w:rsidRPr="00F0780D">
        <w:rPr>
          <w:rFonts w:ascii="Arial" w:eastAsia="Times New Roman" w:hAnsi="Arial" w:cs="Arial"/>
          <w:b/>
          <w:sz w:val="24"/>
          <w:szCs w:val="24"/>
          <w:lang w:val="en-US" w:eastAsia="en-GB"/>
        </w:rPr>
        <w:t>.4 Future gaps in provision</w:t>
      </w:r>
    </w:p>
    <w:p w14:paraId="6BE15071" w14:textId="77777777" w:rsidR="002D0C4F" w:rsidRPr="00F0780D" w:rsidRDefault="002D0C4F" w:rsidP="00DC54F7">
      <w:pPr>
        <w:spacing w:after="0" w:line="240" w:lineRule="auto"/>
        <w:jc w:val="both"/>
        <w:rPr>
          <w:rFonts w:ascii="Arial" w:hAnsi="Arial" w:cs="Arial"/>
          <w:sz w:val="24"/>
          <w:szCs w:val="24"/>
          <w:lang w:eastAsia="en-GB"/>
        </w:rPr>
      </w:pPr>
    </w:p>
    <w:p w14:paraId="3DD7FF54" w14:textId="7C64245C" w:rsidR="002D0C4F" w:rsidRPr="00F0780D" w:rsidRDefault="00797742" w:rsidP="00DC54F7">
      <w:pPr>
        <w:spacing w:after="0" w:line="240" w:lineRule="auto"/>
        <w:jc w:val="both"/>
        <w:rPr>
          <w:rFonts w:ascii="Arial" w:hAnsi="Arial" w:cs="Arial"/>
          <w:sz w:val="24"/>
          <w:szCs w:val="24"/>
          <w:lang w:eastAsia="en-GB"/>
        </w:rPr>
      </w:pPr>
      <w:r w:rsidRPr="00F0780D">
        <w:rPr>
          <w:rFonts w:ascii="Arial" w:hAnsi="Arial" w:cs="Arial"/>
          <w:bCs/>
          <w:sz w:val="24"/>
          <w:szCs w:val="24"/>
        </w:rPr>
        <w:t>Cardiff and Vale University Health Board</w:t>
      </w:r>
      <w:r w:rsidR="002D0C4F" w:rsidRPr="00F0780D">
        <w:rPr>
          <w:rFonts w:ascii="Arial" w:hAnsi="Arial" w:cs="Arial"/>
          <w:sz w:val="24"/>
          <w:szCs w:val="24"/>
          <w:lang w:eastAsia="en-GB"/>
        </w:rPr>
        <w:t xml:space="preserve"> has taken into account the following known future developments:</w:t>
      </w:r>
    </w:p>
    <w:p w14:paraId="226B1228" w14:textId="77777777" w:rsidR="002D0C4F" w:rsidRPr="00F0780D" w:rsidRDefault="002D0C4F" w:rsidP="00DC54F7">
      <w:pPr>
        <w:spacing w:after="0" w:line="240" w:lineRule="auto"/>
        <w:jc w:val="both"/>
        <w:rPr>
          <w:rFonts w:ascii="Arial" w:hAnsi="Arial" w:cs="Arial"/>
          <w:sz w:val="24"/>
          <w:szCs w:val="24"/>
          <w:lang w:eastAsia="en-GB"/>
        </w:rPr>
      </w:pPr>
    </w:p>
    <w:p w14:paraId="00A45DCE" w14:textId="77777777" w:rsidR="002D0C4F" w:rsidRPr="00F0780D" w:rsidRDefault="002D0C4F" w:rsidP="00DC54F7">
      <w:pPr>
        <w:numPr>
          <w:ilvl w:val="0"/>
          <w:numId w:val="52"/>
        </w:numPr>
        <w:spacing w:after="0" w:line="240" w:lineRule="auto"/>
        <w:jc w:val="both"/>
        <w:rPr>
          <w:rFonts w:ascii="Arial" w:hAnsi="Arial" w:cs="Arial"/>
          <w:sz w:val="24"/>
          <w:szCs w:val="24"/>
          <w:lang w:eastAsia="en-GB"/>
        </w:rPr>
      </w:pPr>
      <w:r w:rsidRPr="00F0780D">
        <w:rPr>
          <w:rFonts w:ascii="Arial" w:hAnsi="Arial" w:cs="Arial"/>
          <w:sz w:val="24"/>
          <w:szCs w:val="24"/>
          <w:lang w:eastAsia="en-GB"/>
        </w:rPr>
        <w:t>Forecast</w:t>
      </w:r>
      <w:r w:rsidR="006D5231" w:rsidRPr="00F0780D">
        <w:rPr>
          <w:rFonts w:ascii="Arial" w:hAnsi="Arial" w:cs="Arial"/>
          <w:sz w:val="24"/>
          <w:szCs w:val="24"/>
          <w:lang w:eastAsia="en-GB"/>
        </w:rPr>
        <w:t>ed</w:t>
      </w:r>
      <w:r w:rsidRPr="00F0780D">
        <w:rPr>
          <w:rFonts w:ascii="Arial" w:hAnsi="Arial" w:cs="Arial"/>
          <w:sz w:val="24"/>
          <w:szCs w:val="24"/>
          <w:lang w:eastAsia="en-GB"/>
        </w:rPr>
        <w:t xml:space="preserve"> population growth</w:t>
      </w:r>
    </w:p>
    <w:p w14:paraId="3CAF5013" w14:textId="2E343E8B" w:rsidR="002D0C4F" w:rsidRPr="00F0780D" w:rsidRDefault="001D260B" w:rsidP="00DC54F7">
      <w:pPr>
        <w:numPr>
          <w:ilvl w:val="0"/>
          <w:numId w:val="52"/>
        </w:numPr>
        <w:spacing w:after="0" w:line="240" w:lineRule="auto"/>
        <w:jc w:val="both"/>
        <w:rPr>
          <w:rFonts w:ascii="Arial" w:hAnsi="Arial" w:cs="Arial"/>
          <w:sz w:val="24"/>
          <w:szCs w:val="24"/>
          <w:lang w:eastAsia="en-GB"/>
        </w:rPr>
      </w:pPr>
      <w:r w:rsidRPr="00F0780D">
        <w:rPr>
          <w:rFonts w:ascii="Arial" w:hAnsi="Arial" w:cs="Arial"/>
          <w:sz w:val="24"/>
          <w:szCs w:val="24"/>
          <w:lang w:eastAsia="en-GB"/>
        </w:rPr>
        <w:t xml:space="preserve">Cluster developments such as housing </w:t>
      </w:r>
    </w:p>
    <w:p w14:paraId="2C9FB123" w14:textId="57906A17" w:rsidR="002D0C4F" w:rsidRDefault="002D0C4F" w:rsidP="00DC54F7">
      <w:pPr>
        <w:spacing w:after="0" w:line="240" w:lineRule="auto"/>
        <w:ind w:left="720"/>
        <w:jc w:val="both"/>
        <w:rPr>
          <w:rFonts w:ascii="Arial" w:hAnsi="Arial" w:cs="Arial"/>
          <w:sz w:val="24"/>
          <w:szCs w:val="24"/>
          <w:lang w:eastAsia="en-GB"/>
        </w:rPr>
      </w:pPr>
    </w:p>
    <w:p w14:paraId="050536E3" w14:textId="77777777" w:rsidR="00AE758E" w:rsidRPr="00F0780D" w:rsidRDefault="00AE758E" w:rsidP="00DC54F7">
      <w:pPr>
        <w:spacing w:after="0" w:line="240" w:lineRule="auto"/>
        <w:ind w:left="720"/>
        <w:jc w:val="both"/>
        <w:rPr>
          <w:rFonts w:ascii="Arial" w:hAnsi="Arial" w:cs="Arial"/>
          <w:sz w:val="24"/>
          <w:szCs w:val="24"/>
          <w:lang w:eastAsia="en-GB"/>
        </w:rPr>
      </w:pPr>
    </w:p>
    <w:p w14:paraId="055B4E8E" w14:textId="04AAF6B7" w:rsidR="0081575F" w:rsidRPr="00F0780D" w:rsidRDefault="00797742" w:rsidP="00DC54F7">
      <w:pPr>
        <w:widowControl w:val="0"/>
        <w:autoSpaceDE w:val="0"/>
        <w:autoSpaceDN w:val="0"/>
        <w:adjustRightInd w:val="0"/>
        <w:spacing w:after="0" w:line="240" w:lineRule="auto"/>
        <w:jc w:val="both"/>
        <w:rPr>
          <w:rFonts w:ascii="Arial" w:eastAsia="Times New Roman" w:hAnsi="Arial" w:cs="Arial"/>
          <w:b/>
          <w:sz w:val="24"/>
          <w:szCs w:val="24"/>
          <w:lang w:eastAsia="en-GB"/>
        </w:rPr>
      </w:pPr>
      <w:r w:rsidRPr="00F0780D">
        <w:rPr>
          <w:rFonts w:ascii="Arial" w:eastAsia="Times New Roman" w:hAnsi="Arial" w:cs="Arial"/>
          <w:b/>
          <w:sz w:val="24"/>
          <w:szCs w:val="24"/>
          <w:lang w:val="en-US" w:eastAsia="en-GB"/>
        </w:rPr>
        <w:t>17</w:t>
      </w:r>
      <w:r w:rsidR="0081575F" w:rsidRPr="00F0780D">
        <w:rPr>
          <w:rFonts w:ascii="Arial" w:eastAsia="Times New Roman" w:hAnsi="Arial" w:cs="Arial"/>
          <w:b/>
          <w:sz w:val="24"/>
          <w:szCs w:val="24"/>
          <w:lang w:val="en-US" w:eastAsia="en-GB"/>
        </w:rPr>
        <w:t>.4</w:t>
      </w:r>
      <w:r w:rsidR="0081575F" w:rsidRPr="00F0780D">
        <w:rPr>
          <w:rFonts w:ascii="Arial" w:eastAsia="Times New Roman" w:hAnsi="Arial" w:cs="Arial"/>
          <w:b/>
          <w:sz w:val="24"/>
          <w:szCs w:val="24"/>
          <w:lang w:eastAsia="en-GB"/>
        </w:rPr>
        <w:t>.1 Future access to essential services</w:t>
      </w:r>
    </w:p>
    <w:p w14:paraId="1AE151F7" w14:textId="77777777" w:rsidR="0081575F" w:rsidRPr="00F0780D" w:rsidRDefault="0081575F" w:rsidP="00DC54F7">
      <w:pPr>
        <w:widowControl w:val="0"/>
        <w:autoSpaceDE w:val="0"/>
        <w:autoSpaceDN w:val="0"/>
        <w:adjustRightInd w:val="0"/>
        <w:spacing w:after="0" w:line="240" w:lineRule="auto"/>
        <w:jc w:val="both"/>
        <w:rPr>
          <w:rFonts w:ascii="Arial" w:eastAsia="Times New Roman" w:hAnsi="Arial" w:cs="Arial"/>
          <w:sz w:val="24"/>
          <w:szCs w:val="24"/>
          <w:lang w:eastAsia="en-GB"/>
        </w:rPr>
      </w:pPr>
    </w:p>
    <w:p w14:paraId="2E307DF7" w14:textId="559CB8A1" w:rsidR="00B7766B" w:rsidRPr="00F0780D" w:rsidRDefault="00797742" w:rsidP="00DC54F7">
      <w:pPr>
        <w:spacing w:after="0" w:line="240" w:lineRule="auto"/>
        <w:jc w:val="both"/>
        <w:rPr>
          <w:rFonts w:ascii="Arial" w:hAnsi="Arial" w:cs="Arial"/>
          <w:b/>
          <w:sz w:val="24"/>
          <w:szCs w:val="24"/>
          <w:lang w:eastAsia="en-GB"/>
        </w:rPr>
      </w:pPr>
      <w:r w:rsidRPr="00F0780D">
        <w:rPr>
          <w:rFonts w:ascii="Arial" w:hAnsi="Arial" w:cs="Arial"/>
          <w:b/>
          <w:sz w:val="24"/>
          <w:szCs w:val="24"/>
          <w:lang w:val="en-US" w:eastAsia="en-GB"/>
        </w:rPr>
        <w:t>17</w:t>
      </w:r>
      <w:r w:rsidR="0081575F" w:rsidRPr="00F0780D">
        <w:rPr>
          <w:rFonts w:ascii="Arial" w:hAnsi="Arial" w:cs="Arial"/>
          <w:b/>
          <w:sz w:val="24"/>
          <w:szCs w:val="24"/>
          <w:lang w:val="en-US" w:eastAsia="en-GB"/>
        </w:rPr>
        <w:t>.4</w:t>
      </w:r>
      <w:r w:rsidR="0081575F" w:rsidRPr="00F0780D">
        <w:rPr>
          <w:rFonts w:ascii="Arial" w:hAnsi="Arial" w:cs="Arial"/>
          <w:b/>
          <w:sz w:val="24"/>
          <w:szCs w:val="24"/>
          <w:lang w:eastAsia="en-GB"/>
        </w:rPr>
        <w:t>.1.1 Access to essential services during normal working hours</w:t>
      </w:r>
    </w:p>
    <w:p w14:paraId="199344E4" w14:textId="41C6A7A9" w:rsidR="007C4BCA" w:rsidRDefault="007C4BCA" w:rsidP="00DC54F7">
      <w:pPr>
        <w:spacing w:after="0" w:line="240" w:lineRule="auto"/>
        <w:jc w:val="both"/>
        <w:rPr>
          <w:rFonts w:ascii="Arial" w:hAnsi="Arial" w:cs="Arial"/>
          <w:highlight w:val="yellow"/>
        </w:rPr>
      </w:pPr>
    </w:p>
    <w:p w14:paraId="155D3809" w14:textId="0C89A190" w:rsidR="00B7766B" w:rsidRPr="009821AD" w:rsidRDefault="007C4BCA" w:rsidP="00DC54F7">
      <w:pPr>
        <w:spacing w:after="0" w:line="240" w:lineRule="auto"/>
        <w:jc w:val="both"/>
        <w:rPr>
          <w:rFonts w:ascii="Arial" w:hAnsi="Arial" w:cs="Arial"/>
          <w:sz w:val="24"/>
          <w:szCs w:val="24"/>
        </w:rPr>
      </w:pPr>
      <w:bookmarkStart w:id="65" w:name="_Hlk70277468"/>
      <w:r w:rsidRPr="009821AD">
        <w:rPr>
          <w:rFonts w:ascii="Arial" w:hAnsi="Arial" w:cs="Arial"/>
          <w:sz w:val="24"/>
          <w:szCs w:val="24"/>
        </w:rPr>
        <w:t xml:space="preserve">The </w:t>
      </w:r>
      <w:r w:rsidRPr="009821AD">
        <w:rPr>
          <w:rFonts w:ascii="Arial" w:hAnsi="Arial" w:cs="Arial"/>
          <w:color w:val="000000"/>
          <w:sz w:val="24"/>
          <w:szCs w:val="24"/>
        </w:rPr>
        <w:t>Cardiff and Vale University Health Board noted the strategic employment and housing developments planned within the health board</w:t>
      </w:r>
      <w:r w:rsidR="00050E44" w:rsidRPr="009821AD">
        <w:rPr>
          <w:rFonts w:ascii="Arial" w:hAnsi="Arial" w:cs="Arial"/>
          <w:color w:val="000000"/>
          <w:sz w:val="24"/>
          <w:szCs w:val="24"/>
        </w:rPr>
        <w:t xml:space="preserve">’s </w:t>
      </w:r>
      <w:r w:rsidR="005D4D6F" w:rsidRPr="009821AD">
        <w:rPr>
          <w:rFonts w:ascii="Arial" w:hAnsi="Arial" w:cs="Arial"/>
          <w:color w:val="000000"/>
          <w:sz w:val="24"/>
          <w:szCs w:val="24"/>
        </w:rPr>
        <w:t>clusters</w:t>
      </w:r>
      <w:r w:rsidR="00050E44" w:rsidRPr="009821AD">
        <w:rPr>
          <w:rFonts w:ascii="Arial" w:hAnsi="Arial" w:cs="Arial"/>
          <w:color w:val="000000"/>
          <w:sz w:val="24"/>
          <w:szCs w:val="24"/>
        </w:rPr>
        <w:t xml:space="preserve"> and</w:t>
      </w:r>
      <w:r w:rsidR="002B60C1" w:rsidRPr="009821AD">
        <w:rPr>
          <w:rFonts w:ascii="Arial" w:hAnsi="Arial" w:cs="Arial"/>
          <w:color w:val="000000"/>
          <w:sz w:val="24"/>
          <w:szCs w:val="24"/>
        </w:rPr>
        <w:t xml:space="preserve"> </w:t>
      </w:r>
      <w:r w:rsidR="00D40DE5" w:rsidRPr="009821AD">
        <w:rPr>
          <w:rFonts w:ascii="Arial" w:hAnsi="Arial" w:cs="Arial"/>
          <w:color w:val="000000"/>
          <w:sz w:val="24"/>
          <w:szCs w:val="24"/>
        </w:rPr>
        <w:t xml:space="preserve">respective </w:t>
      </w:r>
      <w:r w:rsidR="00970288" w:rsidRPr="009821AD">
        <w:rPr>
          <w:rFonts w:ascii="Arial" w:hAnsi="Arial" w:cs="Arial"/>
          <w:color w:val="000000"/>
          <w:sz w:val="24"/>
          <w:szCs w:val="24"/>
        </w:rPr>
        <w:t>mon</w:t>
      </w:r>
      <w:r w:rsidR="009A55E2" w:rsidRPr="009821AD">
        <w:rPr>
          <w:rFonts w:ascii="Arial" w:hAnsi="Arial" w:cs="Arial"/>
          <w:color w:val="000000"/>
          <w:sz w:val="24"/>
          <w:szCs w:val="24"/>
        </w:rPr>
        <w:t xml:space="preserve">itoring </w:t>
      </w:r>
      <w:r w:rsidR="00523466" w:rsidRPr="009821AD">
        <w:rPr>
          <w:rFonts w:ascii="Arial" w:hAnsi="Arial" w:cs="Arial"/>
          <w:color w:val="000000"/>
          <w:sz w:val="24"/>
          <w:szCs w:val="24"/>
        </w:rPr>
        <w:t>information</w:t>
      </w:r>
      <w:r w:rsidRPr="009821AD">
        <w:rPr>
          <w:rFonts w:ascii="Arial" w:hAnsi="Arial" w:cs="Arial"/>
          <w:color w:val="000000"/>
          <w:sz w:val="24"/>
          <w:szCs w:val="24"/>
        </w:rPr>
        <w:t xml:space="preserve">. </w:t>
      </w:r>
      <w:r w:rsidR="000B4534" w:rsidRPr="009821AD">
        <w:rPr>
          <w:rFonts w:ascii="Arial" w:hAnsi="Arial" w:cs="Arial"/>
          <w:color w:val="000000"/>
          <w:sz w:val="24"/>
          <w:szCs w:val="24"/>
        </w:rPr>
        <w:t>Cardiff and Vale University Health Board</w:t>
      </w:r>
      <w:r w:rsidR="000B4534" w:rsidRPr="009821AD">
        <w:rPr>
          <w:rFonts w:ascii="Arial" w:hAnsi="Arial" w:cs="Arial"/>
          <w:sz w:val="24"/>
          <w:szCs w:val="24"/>
        </w:rPr>
        <w:t xml:space="preserve"> is satisfied</w:t>
      </w:r>
      <w:r w:rsidR="000B4534" w:rsidRPr="009821AD">
        <w:rPr>
          <w:rFonts w:ascii="Arial" w:hAnsi="Arial" w:cs="Arial"/>
          <w:color w:val="000000"/>
          <w:sz w:val="24"/>
          <w:szCs w:val="24"/>
        </w:rPr>
        <w:t xml:space="preserve"> that a</w:t>
      </w:r>
      <w:r w:rsidRPr="009821AD">
        <w:rPr>
          <w:rFonts w:ascii="Arial" w:hAnsi="Arial" w:cs="Arial"/>
          <w:color w:val="000000"/>
          <w:sz w:val="24"/>
          <w:szCs w:val="24"/>
        </w:rPr>
        <w:t xml:space="preserve">t this time </w:t>
      </w:r>
      <w:r w:rsidR="000B4534" w:rsidRPr="009821AD">
        <w:rPr>
          <w:rFonts w:ascii="Arial" w:hAnsi="Arial" w:cs="Arial"/>
          <w:color w:val="000000"/>
          <w:sz w:val="24"/>
          <w:szCs w:val="24"/>
        </w:rPr>
        <w:t xml:space="preserve">there is </w:t>
      </w:r>
      <w:r w:rsidRPr="009821AD">
        <w:rPr>
          <w:rFonts w:ascii="Arial" w:hAnsi="Arial" w:cs="Arial"/>
          <w:color w:val="000000"/>
          <w:sz w:val="24"/>
          <w:szCs w:val="24"/>
        </w:rPr>
        <w:t>no information or reason to conclude</w:t>
      </w:r>
      <w:r w:rsidR="00041EEC" w:rsidRPr="009821AD">
        <w:rPr>
          <w:rFonts w:ascii="Arial" w:hAnsi="Arial" w:cs="Arial"/>
          <w:color w:val="000000"/>
          <w:sz w:val="24"/>
          <w:szCs w:val="24"/>
        </w:rPr>
        <w:t xml:space="preserve">, </w:t>
      </w:r>
      <w:r w:rsidRPr="009821AD">
        <w:rPr>
          <w:rFonts w:ascii="Arial" w:hAnsi="Arial" w:cs="Arial"/>
          <w:color w:val="000000"/>
          <w:sz w:val="24"/>
          <w:szCs w:val="24"/>
        </w:rPr>
        <w:t>during the lifetime of this PNA</w:t>
      </w:r>
      <w:r w:rsidR="00DC6A41" w:rsidRPr="009821AD">
        <w:rPr>
          <w:rFonts w:ascii="Arial" w:hAnsi="Arial" w:cs="Arial"/>
          <w:color w:val="000000"/>
          <w:sz w:val="24"/>
          <w:szCs w:val="24"/>
        </w:rPr>
        <w:t xml:space="preserve"> and developments</w:t>
      </w:r>
      <w:r w:rsidR="00837E0D" w:rsidRPr="009821AD">
        <w:rPr>
          <w:rFonts w:ascii="Arial" w:hAnsi="Arial" w:cs="Arial"/>
          <w:color w:val="000000"/>
          <w:sz w:val="24"/>
          <w:szCs w:val="24"/>
        </w:rPr>
        <w:t>,</w:t>
      </w:r>
      <w:r w:rsidRPr="009821AD">
        <w:rPr>
          <w:rFonts w:ascii="Arial" w:hAnsi="Arial" w:cs="Arial"/>
          <w:color w:val="000000"/>
          <w:sz w:val="24"/>
          <w:szCs w:val="24"/>
        </w:rPr>
        <w:t xml:space="preserve"> </w:t>
      </w:r>
      <w:r w:rsidR="00B64286" w:rsidRPr="009821AD">
        <w:rPr>
          <w:rFonts w:ascii="Arial" w:hAnsi="Arial" w:cs="Arial"/>
          <w:color w:val="000000"/>
          <w:sz w:val="24"/>
          <w:szCs w:val="24"/>
        </w:rPr>
        <w:t xml:space="preserve">that </w:t>
      </w:r>
      <w:r w:rsidRPr="009821AD">
        <w:rPr>
          <w:rFonts w:ascii="Arial" w:hAnsi="Arial" w:cs="Arial"/>
          <w:color w:val="000000"/>
          <w:sz w:val="24"/>
          <w:szCs w:val="24"/>
        </w:rPr>
        <w:t>there would be an unmet need so as to require additional pharmaceutical service</w:t>
      </w:r>
      <w:r w:rsidR="000B4534" w:rsidRPr="009821AD">
        <w:rPr>
          <w:rFonts w:ascii="Arial" w:hAnsi="Arial" w:cs="Arial"/>
          <w:color w:val="000000"/>
          <w:sz w:val="24"/>
          <w:szCs w:val="24"/>
        </w:rPr>
        <w:t>s.</w:t>
      </w:r>
      <w:r w:rsidRPr="009821AD">
        <w:rPr>
          <w:rFonts w:ascii="Arial" w:hAnsi="Arial" w:cs="Arial"/>
          <w:color w:val="000000"/>
          <w:sz w:val="24"/>
          <w:szCs w:val="24"/>
        </w:rPr>
        <w:t xml:space="preserve"> </w:t>
      </w:r>
      <w:bookmarkEnd w:id="65"/>
      <w:r w:rsidR="000B4534" w:rsidRPr="009821AD">
        <w:rPr>
          <w:rFonts w:ascii="Arial" w:hAnsi="Arial" w:cs="Arial"/>
          <w:sz w:val="24"/>
          <w:szCs w:val="24"/>
        </w:rPr>
        <w:t xml:space="preserve">Further to this, </w:t>
      </w:r>
      <w:r w:rsidR="00050E44" w:rsidRPr="009821AD">
        <w:rPr>
          <w:rFonts w:ascii="Arial" w:hAnsi="Arial" w:cs="Arial"/>
          <w:color w:val="000000"/>
          <w:sz w:val="24"/>
          <w:szCs w:val="24"/>
        </w:rPr>
        <w:t>Cardiff and Vale University Health Board</w:t>
      </w:r>
      <w:r w:rsidR="00050E44" w:rsidRPr="009821AD">
        <w:rPr>
          <w:rFonts w:ascii="Arial" w:hAnsi="Arial" w:cs="Arial"/>
          <w:sz w:val="24"/>
          <w:szCs w:val="24"/>
        </w:rPr>
        <w:t xml:space="preserve"> is satisfied, based upon the responses to the contractor questionnaire, that the demand that this </w:t>
      </w:r>
      <w:r w:rsidR="000B4534" w:rsidRPr="009821AD">
        <w:rPr>
          <w:rFonts w:ascii="Arial" w:hAnsi="Arial" w:cs="Arial"/>
          <w:sz w:val="24"/>
          <w:szCs w:val="24"/>
        </w:rPr>
        <w:t xml:space="preserve">may </w:t>
      </w:r>
      <w:r w:rsidR="00050E44" w:rsidRPr="009821AD">
        <w:rPr>
          <w:rFonts w:ascii="Arial" w:hAnsi="Arial" w:cs="Arial"/>
          <w:sz w:val="24"/>
          <w:szCs w:val="24"/>
        </w:rPr>
        <w:t xml:space="preserve">create can be met by the existing pharmacies. The </w:t>
      </w:r>
      <w:r w:rsidR="00050E44" w:rsidRPr="009821AD">
        <w:rPr>
          <w:rFonts w:ascii="Arial" w:hAnsi="Arial" w:cs="Arial"/>
          <w:color w:val="000000"/>
          <w:sz w:val="24"/>
          <w:szCs w:val="24"/>
        </w:rPr>
        <w:t xml:space="preserve">Cardiff and Vale University Health Board </w:t>
      </w:r>
      <w:r w:rsidR="00050E44" w:rsidRPr="009821AD">
        <w:rPr>
          <w:rFonts w:ascii="Arial" w:hAnsi="Arial" w:cs="Arial"/>
          <w:sz w:val="24"/>
          <w:szCs w:val="24"/>
        </w:rPr>
        <w:t xml:space="preserve">has therefore concluded that there are no future needs in relation to the provision of essential services by pharmacies </w:t>
      </w:r>
      <w:r w:rsidR="003811E5" w:rsidRPr="009821AD">
        <w:rPr>
          <w:rFonts w:ascii="Arial" w:hAnsi="Arial" w:cs="Arial"/>
          <w:sz w:val="24"/>
          <w:szCs w:val="24"/>
        </w:rPr>
        <w:t>with</w:t>
      </w:r>
      <w:r w:rsidR="00050E44" w:rsidRPr="009821AD">
        <w:rPr>
          <w:rFonts w:ascii="Arial" w:hAnsi="Arial" w:cs="Arial"/>
          <w:sz w:val="24"/>
          <w:szCs w:val="24"/>
        </w:rPr>
        <w:t xml:space="preserve">in the </w:t>
      </w:r>
      <w:r w:rsidR="00041EEC" w:rsidRPr="009821AD">
        <w:rPr>
          <w:rFonts w:ascii="Arial" w:hAnsi="Arial" w:cs="Arial"/>
          <w:sz w:val="24"/>
          <w:szCs w:val="24"/>
        </w:rPr>
        <w:t>health board</w:t>
      </w:r>
      <w:r w:rsidR="00050E44" w:rsidRPr="009821AD">
        <w:rPr>
          <w:rFonts w:ascii="Arial" w:hAnsi="Arial" w:cs="Arial"/>
          <w:sz w:val="24"/>
          <w:szCs w:val="24"/>
        </w:rPr>
        <w:t>.</w:t>
      </w:r>
    </w:p>
    <w:p w14:paraId="0DD320D7" w14:textId="77777777" w:rsidR="002B0131" w:rsidRPr="002B0131" w:rsidRDefault="002B0131" w:rsidP="00DC54F7">
      <w:pPr>
        <w:spacing w:after="0" w:line="240" w:lineRule="auto"/>
        <w:jc w:val="both"/>
        <w:rPr>
          <w:rFonts w:ascii="Arial" w:hAnsi="Arial" w:cs="Arial"/>
          <w:sz w:val="24"/>
          <w:szCs w:val="24"/>
          <w:highlight w:val="yellow"/>
        </w:rPr>
      </w:pPr>
    </w:p>
    <w:p w14:paraId="343B79CD" w14:textId="04CD471F" w:rsidR="00B7766B" w:rsidRPr="00A63B08" w:rsidRDefault="00B7766B" w:rsidP="00A63B08">
      <w:pPr>
        <w:widowControl w:val="0"/>
        <w:pBdr>
          <w:top w:val="single" w:sz="4" w:space="1" w:color="auto"/>
          <w:left w:val="single" w:sz="4" w:space="4" w:color="auto"/>
          <w:bottom w:val="single" w:sz="4" w:space="1" w:color="auto"/>
          <w:right w:val="single" w:sz="4" w:space="4" w:color="auto"/>
        </w:pBdr>
        <w:shd w:val="clear" w:color="auto" w:fill="B3B3B3"/>
        <w:autoSpaceDE w:val="0"/>
        <w:autoSpaceDN w:val="0"/>
        <w:adjustRightInd w:val="0"/>
        <w:spacing w:after="0" w:line="240" w:lineRule="auto"/>
        <w:jc w:val="both"/>
        <w:rPr>
          <w:rFonts w:ascii="Arial" w:hAnsi="Arial" w:cs="Arial"/>
          <w:b/>
          <w:sz w:val="24"/>
          <w:szCs w:val="24"/>
        </w:rPr>
      </w:pPr>
      <w:r w:rsidRPr="00A63B08">
        <w:rPr>
          <w:rFonts w:ascii="Arial" w:hAnsi="Arial" w:cs="Arial"/>
          <w:b/>
          <w:sz w:val="24"/>
          <w:szCs w:val="24"/>
        </w:rPr>
        <w:t xml:space="preserve">Based on the information available at the time of developing this PNA no future gaps in the provision of essential services during normal working hours have been identified in any of the </w:t>
      </w:r>
      <w:r w:rsidR="00F21392" w:rsidRPr="00A63B08">
        <w:rPr>
          <w:rFonts w:ascii="Arial" w:hAnsi="Arial" w:cs="Arial"/>
          <w:b/>
          <w:sz w:val="24"/>
          <w:szCs w:val="24"/>
        </w:rPr>
        <w:t>nine</w:t>
      </w:r>
      <w:r w:rsidRPr="00A63B08">
        <w:rPr>
          <w:rFonts w:ascii="Arial" w:hAnsi="Arial" w:cs="Arial"/>
          <w:b/>
          <w:sz w:val="24"/>
          <w:szCs w:val="24"/>
        </w:rPr>
        <w:t xml:space="preserve"> clusters (PNA localities).</w:t>
      </w:r>
    </w:p>
    <w:p w14:paraId="7FF9F4A8" w14:textId="67CA1CCD" w:rsidR="0081575F" w:rsidRDefault="0081575F" w:rsidP="00DC54F7">
      <w:pPr>
        <w:widowControl w:val="0"/>
        <w:autoSpaceDE w:val="0"/>
        <w:autoSpaceDN w:val="0"/>
        <w:adjustRightInd w:val="0"/>
        <w:spacing w:after="0" w:line="240" w:lineRule="auto"/>
        <w:jc w:val="both"/>
        <w:rPr>
          <w:rFonts w:ascii="Arial" w:eastAsia="Times New Roman" w:hAnsi="Arial" w:cs="Arial"/>
          <w:lang w:eastAsia="en-GB"/>
        </w:rPr>
      </w:pPr>
    </w:p>
    <w:p w14:paraId="4FBFD2B1" w14:textId="77777777" w:rsidR="00AE758E" w:rsidRPr="00DC453A" w:rsidRDefault="00AE758E" w:rsidP="00DC54F7">
      <w:pPr>
        <w:widowControl w:val="0"/>
        <w:autoSpaceDE w:val="0"/>
        <w:autoSpaceDN w:val="0"/>
        <w:adjustRightInd w:val="0"/>
        <w:spacing w:after="0" w:line="240" w:lineRule="auto"/>
        <w:jc w:val="both"/>
        <w:rPr>
          <w:rFonts w:ascii="Arial" w:eastAsia="Times New Roman" w:hAnsi="Arial" w:cs="Arial"/>
          <w:lang w:eastAsia="en-GB"/>
        </w:rPr>
      </w:pPr>
    </w:p>
    <w:p w14:paraId="332BDECC" w14:textId="27C67836" w:rsidR="0081575F" w:rsidRPr="00106536" w:rsidRDefault="00797742" w:rsidP="00DC54F7">
      <w:pPr>
        <w:spacing w:after="0" w:line="240" w:lineRule="auto"/>
        <w:jc w:val="both"/>
        <w:rPr>
          <w:rFonts w:ascii="Arial" w:hAnsi="Arial" w:cs="Arial"/>
          <w:b/>
          <w:sz w:val="24"/>
          <w:szCs w:val="24"/>
          <w:lang w:eastAsia="en-GB"/>
        </w:rPr>
      </w:pPr>
      <w:r w:rsidRPr="00106536">
        <w:rPr>
          <w:rFonts w:ascii="Arial" w:hAnsi="Arial" w:cs="Arial"/>
          <w:b/>
          <w:sz w:val="24"/>
          <w:szCs w:val="24"/>
          <w:lang w:val="en-US" w:eastAsia="en-GB"/>
        </w:rPr>
        <w:t>17</w:t>
      </w:r>
      <w:r w:rsidR="0081575F" w:rsidRPr="00106536">
        <w:rPr>
          <w:rFonts w:ascii="Arial" w:hAnsi="Arial" w:cs="Arial"/>
          <w:b/>
          <w:sz w:val="24"/>
          <w:szCs w:val="24"/>
          <w:lang w:val="en-US" w:eastAsia="en-GB"/>
        </w:rPr>
        <w:t>.</w:t>
      </w:r>
      <w:r w:rsidR="0081575F" w:rsidRPr="00106536">
        <w:rPr>
          <w:rFonts w:ascii="Arial" w:hAnsi="Arial" w:cs="Arial"/>
          <w:b/>
          <w:sz w:val="24"/>
          <w:szCs w:val="24"/>
          <w:lang w:eastAsia="en-GB"/>
        </w:rPr>
        <w:t>4.1.2 Access to essential services outside normal working hours</w:t>
      </w:r>
    </w:p>
    <w:p w14:paraId="350F0510" w14:textId="77777777" w:rsidR="0081575F" w:rsidRPr="00106536" w:rsidRDefault="0081575F" w:rsidP="00DC54F7">
      <w:pPr>
        <w:spacing w:after="0" w:line="240" w:lineRule="auto"/>
        <w:jc w:val="both"/>
        <w:rPr>
          <w:rFonts w:ascii="Arial" w:hAnsi="Arial" w:cs="Arial"/>
          <w:sz w:val="24"/>
          <w:szCs w:val="24"/>
          <w:lang w:eastAsia="en-GB"/>
        </w:rPr>
      </w:pPr>
    </w:p>
    <w:p w14:paraId="246AB98E" w14:textId="3203FE83" w:rsidR="00EF470D" w:rsidRPr="00106536" w:rsidRDefault="00EF470D" w:rsidP="00DC54F7">
      <w:pPr>
        <w:spacing w:after="0" w:line="240" w:lineRule="auto"/>
        <w:jc w:val="both"/>
        <w:rPr>
          <w:rFonts w:ascii="Arial" w:hAnsi="Arial" w:cs="Arial"/>
          <w:sz w:val="24"/>
          <w:szCs w:val="24"/>
        </w:rPr>
      </w:pPr>
      <w:bookmarkStart w:id="66" w:name="_Hlk66987625"/>
      <w:r w:rsidRPr="00106536">
        <w:rPr>
          <w:rFonts w:ascii="Arial" w:hAnsi="Arial" w:cs="Arial"/>
          <w:sz w:val="24"/>
          <w:szCs w:val="24"/>
        </w:rPr>
        <w:t xml:space="preserve">Cardiff and Vale University Health Board </w:t>
      </w:r>
      <w:bookmarkEnd w:id="66"/>
      <w:r w:rsidRPr="00106536">
        <w:rPr>
          <w:rFonts w:ascii="Arial" w:hAnsi="Arial" w:cs="Arial"/>
          <w:sz w:val="24"/>
          <w:szCs w:val="24"/>
        </w:rPr>
        <w:t>considered the current provision as set out in this document and has not identified services that would, if provided either now or in future specified circumstances, secure improvements to or better access to essential services</w:t>
      </w:r>
    </w:p>
    <w:p w14:paraId="47443590" w14:textId="077B8442" w:rsidR="00D86AC4" w:rsidRPr="00106536" w:rsidRDefault="00D86AC4" w:rsidP="00DC54F7">
      <w:pPr>
        <w:shd w:val="clear" w:color="auto" w:fill="FFFFFF"/>
        <w:spacing w:after="0" w:line="240" w:lineRule="auto"/>
        <w:jc w:val="both"/>
        <w:rPr>
          <w:rFonts w:ascii="Arial" w:eastAsia="Times New Roman" w:hAnsi="Arial" w:cs="Arial"/>
          <w:color w:val="000000"/>
          <w:sz w:val="24"/>
          <w:szCs w:val="24"/>
          <w:lang w:eastAsia="en-GB"/>
        </w:rPr>
      </w:pPr>
    </w:p>
    <w:p w14:paraId="6B5576D5" w14:textId="7AA9A333" w:rsidR="00D86AC4" w:rsidRDefault="00D86AC4" w:rsidP="00DC54F7">
      <w:pPr>
        <w:shd w:val="clear" w:color="auto" w:fill="FFFFFF"/>
        <w:spacing w:after="0" w:line="240" w:lineRule="auto"/>
        <w:jc w:val="both"/>
        <w:rPr>
          <w:rFonts w:ascii="Arial" w:eastAsia="Times New Roman" w:hAnsi="Arial" w:cs="Arial"/>
          <w:color w:val="000000"/>
          <w:sz w:val="24"/>
          <w:szCs w:val="24"/>
          <w:lang w:eastAsia="en-GB"/>
        </w:rPr>
      </w:pPr>
      <w:r w:rsidRPr="00106536">
        <w:rPr>
          <w:rFonts w:ascii="Arial" w:eastAsia="Times New Roman" w:hAnsi="Arial" w:cs="Arial"/>
          <w:color w:val="000000"/>
          <w:sz w:val="24"/>
          <w:szCs w:val="24"/>
          <w:lang w:eastAsia="en-GB"/>
        </w:rPr>
        <w:t>With regards to opening times, the Health Board retains the right to invite and/or direct existing pharmaceutical contractors to adjust their opening hours to meet any future access requirements.</w:t>
      </w:r>
    </w:p>
    <w:p w14:paraId="62D33C27" w14:textId="32574FB9" w:rsidR="00B853BF" w:rsidRPr="00106536" w:rsidRDefault="00B853BF" w:rsidP="00DC54F7">
      <w:pPr>
        <w:shd w:val="clear" w:color="auto" w:fill="FFFFFF"/>
        <w:spacing w:after="0" w:line="240" w:lineRule="auto"/>
        <w:jc w:val="both"/>
        <w:rPr>
          <w:rFonts w:ascii="Arial" w:eastAsia="Times New Roman" w:hAnsi="Arial" w:cs="Arial"/>
          <w:color w:val="000000"/>
          <w:sz w:val="24"/>
          <w:szCs w:val="24"/>
          <w:lang w:eastAsia="en-GB"/>
        </w:rPr>
      </w:pPr>
    </w:p>
    <w:p w14:paraId="5CB788A5" w14:textId="353F9BF5" w:rsidR="00B853BF" w:rsidRPr="00A63B08" w:rsidRDefault="00B853BF" w:rsidP="00A63B08">
      <w:pPr>
        <w:widowControl w:val="0"/>
        <w:pBdr>
          <w:top w:val="single" w:sz="4" w:space="1" w:color="auto"/>
          <w:left w:val="single" w:sz="4" w:space="4" w:color="auto"/>
          <w:bottom w:val="single" w:sz="4" w:space="1" w:color="auto"/>
          <w:right w:val="single" w:sz="4" w:space="4" w:color="auto"/>
        </w:pBdr>
        <w:shd w:val="clear" w:color="auto" w:fill="B3B3B3"/>
        <w:autoSpaceDE w:val="0"/>
        <w:autoSpaceDN w:val="0"/>
        <w:adjustRightInd w:val="0"/>
        <w:spacing w:after="0" w:line="240" w:lineRule="auto"/>
        <w:jc w:val="both"/>
        <w:rPr>
          <w:rFonts w:ascii="Arial" w:hAnsi="Arial" w:cs="Arial"/>
          <w:b/>
          <w:sz w:val="24"/>
          <w:szCs w:val="24"/>
        </w:rPr>
      </w:pPr>
      <w:r w:rsidRPr="00A63B08">
        <w:rPr>
          <w:rFonts w:ascii="Arial" w:hAnsi="Arial" w:cs="Arial"/>
          <w:b/>
          <w:sz w:val="24"/>
          <w:szCs w:val="24"/>
        </w:rPr>
        <w:t>Based on the information available at the time of developing this PNA no future gaps in the provision of essential services outside of normal working hours have been identified in any of the nine clusters (PNA localities).</w:t>
      </w:r>
    </w:p>
    <w:p w14:paraId="0DAA079F" w14:textId="77777777" w:rsidR="0081575F" w:rsidRPr="0008476B" w:rsidRDefault="0081575F" w:rsidP="00DC54F7">
      <w:pPr>
        <w:widowControl w:val="0"/>
        <w:autoSpaceDE w:val="0"/>
        <w:autoSpaceDN w:val="0"/>
        <w:adjustRightInd w:val="0"/>
        <w:spacing w:after="0" w:line="240" w:lineRule="auto"/>
        <w:jc w:val="both"/>
        <w:rPr>
          <w:rFonts w:ascii="Arial" w:eastAsia="Times New Roman" w:hAnsi="Arial" w:cs="Arial"/>
          <w:b/>
          <w:highlight w:val="yellow"/>
          <w:lang w:eastAsia="en-GB"/>
        </w:rPr>
      </w:pPr>
    </w:p>
    <w:p w14:paraId="7F3D253A" w14:textId="77777777" w:rsidR="00AE758E" w:rsidRDefault="00AE758E" w:rsidP="00DC54F7">
      <w:pPr>
        <w:spacing w:after="0" w:line="240" w:lineRule="auto"/>
        <w:jc w:val="both"/>
        <w:rPr>
          <w:rFonts w:ascii="Arial" w:hAnsi="Arial" w:cs="Arial"/>
          <w:b/>
          <w:sz w:val="24"/>
          <w:szCs w:val="24"/>
          <w:lang w:val="en-US" w:eastAsia="en-GB"/>
        </w:rPr>
      </w:pPr>
    </w:p>
    <w:p w14:paraId="4EF31310" w14:textId="34175C4F" w:rsidR="0081575F" w:rsidRPr="00106536" w:rsidRDefault="00797742" w:rsidP="00DC54F7">
      <w:pPr>
        <w:spacing w:after="0" w:line="240" w:lineRule="auto"/>
        <w:jc w:val="both"/>
        <w:rPr>
          <w:rFonts w:ascii="Arial" w:hAnsi="Arial" w:cs="Arial"/>
          <w:b/>
          <w:sz w:val="24"/>
          <w:szCs w:val="24"/>
          <w:lang w:eastAsia="en-GB"/>
        </w:rPr>
      </w:pPr>
      <w:r w:rsidRPr="00106536">
        <w:rPr>
          <w:rFonts w:ascii="Arial" w:hAnsi="Arial" w:cs="Arial"/>
          <w:b/>
          <w:sz w:val="24"/>
          <w:szCs w:val="24"/>
          <w:lang w:val="en-US" w:eastAsia="en-GB"/>
        </w:rPr>
        <w:t>17</w:t>
      </w:r>
      <w:r w:rsidR="0081575F" w:rsidRPr="00106536">
        <w:rPr>
          <w:rFonts w:ascii="Arial" w:hAnsi="Arial" w:cs="Arial"/>
          <w:b/>
          <w:sz w:val="24"/>
          <w:szCs w:val="24"/>
          <w:lang w:val="en-US" w:eastAsia="en-GB"/>
        </w:rPr>
        <w:t>.</w:t>
      </w:r>
      <w:r w:rsidR="009D3923" w:rsidRPr="00106536">
        <w:rPr>
          <w:rFonts w:ascii="Arial" w:hAnsi="Arial" w:cs="Arial"/>
          <w:b/>
          <w:sz w:val="24"/>
          <w:szCs w:val="24"/>
          <w:lang w:val="en-US" w:eastAsia="en-GB"/>
        </w:rPr>
        <w:t>4</w:t>
      </w:r>
      <w:r w:rsidR="0081575F" w:rsidRPr="00106536">
        <w:rPr>
          <w:rFonts w:ascii="Arial" w:hAnsi="Arial" w:cs="Arial"/>
          <w:b/>
          <w:sz w:val="24"/>
          <w:szCs w:val="24"/>
          <w:lang w:eastAsia="en-GB"/>
        </w:rPr>
        <w:t>.2 Future access to advanced services</w:t>
      </w:r>
    </w:p>
    <w:p w14:paraId="5E2F1E68" w14:textId="77777777" w:rsidR="0081575F" w:rsidRPr="00106536" w:rsidRDefault="0081575F" w:rsidP="00DC54F7">
      <w:pPr>
        <w:spacing w:after="0" w:line="240" w:lineRule="auto"/>
        <w:jc w:val="both"/>
        <w:rPr>
          <w:rFonts w:ascii="Arial" w:hAnsi="Arial" w:cs="Arial"/>
          <w:color w:val="000000"/>
          <w:sz w:val="24"/>
          <w:szCs w:val="24"/>
          <w:lang w:eastAsia="en-GB"/>
        </w:rPr>
      </w:pPr>
    </w:p>
    <w:p w14:paraId="5EF9C6AA" w14:textId="7EE706CF" w:rsidR="002400D6" w:rsidRPr="00106536" w:rsidRDefault="002400D6" w:rsidP="00DC54F7">
      <w:pPr>
        <w:spacing w:after="0" w:line="240" w:lineRule="auto"/>
        <w:jc w:val="both"/>
        <w:rPr>
          <w:rFonts w:ascii="Arial" w:eastAsia="Times New Roman" w:hAnsi="Arial" w:cs="Arial"/>
          <w:sz w:val="24"/>
          <w:szCs w:val="24"/>
          <w:lang w:eastAsia="en-GB"/>
        </w:rPr>
      </w:pPr>
      <w:r w:rsidRPr="00106536">
        <w:rPr>
          <w:rFonts w:ascii="Arial" w:eastAsia="Times New Roman" w:hAnsi="Arial" w:cs="Arial"/>
          <w:sz w:val="24"/>
          <w:szCs w:val="24"/>
          <w:lang w:eastAsia="en-GB"/>
        </w:rPr>
        <w:t xml:space="preserve">From the data available not all pharmacies are providing all the advanced services. Furthermore, of those currently providing the advanced services, not all pharmacies are completing the maximum amount that they may do each year. </w:t>
      </w:r>
      <w:r w:rsidR="00DA2AD6" w:rsidRPr="00106536">
        <w:rPr>
          <w:rFonts w:ascii="Arial" w:eastAsia="Times New Roman" w:hAnsi="Arial" w:cs="Arial"/>
          <w:sz w:val="24"/>
          <w:szCs w:val="24"/>
          <w:lang w:eastAsia="en-GB"/>
        </w:rPr>
        <w:t xml:space="preserve">In addition, </w:t>
      </w:r>
      <w:r w:rsidR="00DA2AD6" w:rsidRPr="00106536">
        <w:rPr>
          <w:rFonts w:ascii="Arial" w:hAnsi="Arial" w:cs="Arial"/>
          <w:sz w:val="24"/>
          <w:szCs w:val="24"/>
        </w:rPr>
        <w:t xml:space="preserve">as part of the changes to the Community Pharmacy Contractual Framework for 2021, the cap for the number of paid DMRs has been removed allowing for more </w:t>
      </w:r>
      <w:r w:rsidR="002F3A2E" w:rsidRPr="00106536">
        <w:rPr>
          <w:rFonts w:ascii="Arial" w:hAnsi="Arial" w:cs="Arial"/>
          <w:sz w:val="24"/>
          <w:szCs w:val="24"/>
        </w:rPr>
        <w:t>DMRs to be undertaken each year.</w:t>
      </w:r>
    </w:p>
    <w:p w14:paraId="2F4756E1" w14:textId="77777777" w:rsidR="002400D6" w:rsidRPr="00106536" w:rsidRDefault="002400D6" w:rsidP="00DC54F7">
      <w:pPr>
        <w:spacing w:after="0" w:line="240" w:lineRule="auto"/>
        <w:jc w:val="both"/>
        <w:rPr>
          <w:rFonts w:ascii="Arial" w:eastAsia="Times New Roman" w:hAnsi="Arial" w:cs="Arial"/>
          <w:sz w:val="24"/>
          <w:szCs w:val="24"/>
          <w:lang w:eastAsia="en-GB"/>
        </w:rPr>
      </w:pPr>
    </w:p>
    <w:p w14:paraId="5EDCB786" w14:textId="09BEA9B6" w:rsidR="002400D6" w:rsidRPr="00106536" w:rsidRDefault="002400D6" w:rsidP="00DC54F7">
      <w:pPr>
        <w:spacing w:after="0" w:line="240" w:lineRule="auto"/>
        <w:jc w:val="both"/>
        <w:rPr>
          <w:rFonts w:ascii="Arial" w:eastAsia="Times New Roman" w:hAnsi="Arial" w:cs="Arial"/>
          <w:sz w:val="24"/>
          <w:szCs w:val="24"/>
          <w:lang w:eastAsia="en-GB"/>
        </w:rPr>
      </w:pPr>
      <w:r w:rsidRPr="00106536">
        <w:rPr>
          <w:rFonts w:ascii="Arial" w:eastAsia="Times New Roman" w:hAnsi="Arial" w:cs="Arial"/>
          <w:sz w:val="24"/>
          <w:szCs w:val="24"/>
          <w:lang w:eastAsia="en-GB"/>
        </w:rPr>
        <w:t xml:space="preserve">Demand for the Appliance Use Review advanced service and Stoma Appliance Customisation advanced services will be lower than for the other advanced services due to the much smaller proportion of the population that may require these services. Further to this, these services are generally being provided by appliance contractors based in Cardiff </w:t>
      </w:r>
      <w:r w:rsidR="00767AC5" w:rsidRPr="00106536">
        <w:rPr>
          <w:rFonts w:ascii="Arial" w:eastAsia="Times New Roman" w:hAnsi="Arial" w:cs="Arial"/>
          <w:sz w:val="24"/>
          <w:szCs w:val="24"/>
          <w:lang w:eastAsia="en-GB"/>
        </w:rPr>
        <w:t>and Vale University Health Board</w:t>
      </w:r>
      <w:r w:rsidRPr="00106536">
        <w:rPr>
          <w:rFonts w:ascii="Arial" w:eastAsia="Times New Roman" w:hAnsi="Arial" w:cs="Arial"/>
          <w:sz w:val="24"/>
          <w:szCs w:val="24"/>
          <w:lang w:eastAsia="en-GB"/>
        </w:rPr>
        <w:t xml:space="preserve"> or England.</w:t>
      </w:r>
    </w:p>
    <w:p w14:paraId="5395052C" w14:textId="77777777" w:rsidR="002400D6" w:rsidRPr="00106536" w:rsidRDefault="002400D6" w:rsidP="00DC54F7">
      <w:pPr>
        <w:spacing w:after="0" w:line="240" w:lineRule="auto"/>
        <w:jc w:val="both"/>
        <w:rPr>
          <w:rFonts w:ascii="Arial" w:eastAsia="Times New Roman" w:hAnsi="Arial" w:cs="Arial"/>
          <w:color w:val="000000"/>
          <w:sz w:val="24"/>
          <w:szCs w:val="24"/>
          <w:lang w:eastAsia="en-GB"/>
        </w:rPr>
      </w:pPr>
    </w:p>
    <w:p w14:paraId="16F45868" w14:textId="06702CF4" w:rsidR="002400D6" w:rsidRPr="00A63B08" w:rsidRDefault="002400D6" w:rsidP="00A63B08">
      <w:pPr>
        <w:widowControl w:val="0"/>
        <w:pBdr>
          <w:top w:val="single" w:sz="4" w:space="1" w:color="auto"/>
          <w:left w:val="single" w:sz="4" w:space="4" w:color="auto"/>
          <w:bottom w:val="single" w:sz="4" w:space="1" w:color="auto"/>
          <w:right w:val="single" w:sz="4" w:space="4" w:color="auto"/>
        </w:pBdr>
        <w:shd w:val="clear" w:color="auto" w:fill="B3B3B3"/>
        <w:autoSpaceDE w:val="0"/>
        <w:autoSpaceDN w:val="0"/>
        <w:adjustRightInd w:val="0"/>
        <w:spacing w:after="0" w:line="240" w:lineRule="auto"/>
        <w:jc w:val="both"/>
        <w:rPr>
          <w:rFonts w:ascii="Arial" w:eastAsia="Times New Roman" w:hAnsi="Arial" w:cs="Arial"/>
          <w:b/>
          <w:bCs/>
          <w:sz w:val="24"/>
          <w:szCs w:val="24"/>
          <w:lang w:eastAsia="en-GB"/>
        </w:rPr>
      </w:pPr>
      <w:r w:rsidRPr="00A63B08">
        <w:rPr>
          <w:rFonts w:ascii="Arial" w:eastAsia="Times New Roman" w:hAnsi="Arial" w:cs="Arial"/>
          <w:b/>
          <w:bCs/>
          <w:sz w:val="24"/>
          <w:szCs w:val="24"/>
          <w:lang w:eastAsia="en-GB"/>
        </w:rPr>
        <w:t xml:space="preserve">Based on the information available at the time of developing this pharmaceutical needs assessment no </w:t>
      </w:r>
      <w:r w:rsidR="00E16236" w:rsidRPr="00A63B08">
        <w:rPr>
          <w:rFonts w:ascii="Arial" w:eastAsia="Times New Roman" w:hAnsi="Arial" w:cs="Arial"/>
          <w:b/>
          <w:bCs/>
          <w:sz w:val="24"/>
          <w:szCs w:val="24"/>
          <w:lang w:eastAsia="en-GB"/>
        </w:rPr>
        <w:t>future</w:t>
      </w:r>
      <w:r w:rsidRPr="00A63B08">
        <w:rPr>
          <w:rFonts w:ascii="Arial" w:eastAsia="Times New Roman" w:hAnsi="Arial" w:cs="Arial"/>
          <w:b/>
          <w:bCs/>
          <w:sz w:val="24"/>
          <w:szCs w:val="24"/>
          <w:lang w:eastAsia="en-GB"/>
        </w:rPr>
        <w:t xml:space="preserve"> gaps in the provision of the Medicines Use Reviews and Discharge Medicines Review service advanced services have been identified in any of the </w:t>
      </w:r>
      <w:r w:rsidR="002F3A2E" w:rsidRPr="00A63B08">
        <w:rPr>
          <w:rFonts w:ascii="Arial" w:eastAsia="Times New Roman" w:hAnsi="Arial" w:cs="Arial"/>
          <w:b/>
          <w:bCs/>
          <w:sz w:val="24"/>
          <w:szCs w:val="24"/>
          <w:lang w:eastAsia="en-GB"/>
        </w:rPr>
        <w:t>nine</w:t>
      </w:r>
      <w:r w:rsidRPr="00A63B08">
        <w:rPr>
          <w:rFonts w:ascii="Arial" w:eastAsia="Times New Roman" w:hAnsi="Arial" w:cs="Arial"/>
          <w:b/>
          <w:bCs/>
          <w:sz w:val="24"/>
          <w:szCs w:val="24"/>
          <w:lang w:eastAsia="en-GB"/>
        </w:rPr>
        <w:t xml:space="preserve"> clusters (PNA localities).</w:t>
      </w:r>
    </w:p>
    <w:p w14:paraId="74A38372" w14:textId="4E9FAA51" w:rsidR="0081575F" w:rsidRPr="00CC01B4" w:rsidRDefault="0081575F" w:rsidP="00DC54F7">
      <w:pPr>
        <w:spacing w:after="0" w:line="240" w:lineRule="auto"/>
        <w:jc w:val="both"/>
        <w:rPr>
          <w:rFonts w:ascii="Arial" w:hAnsi="Arial" w:cs="Arial"/>
          <w:sz w:val="24"/>
          <w:szCs w:val="24"/>
          <w:highlight w:val="yellow"/>
          <w:lang w:eastAsia="en-GB"/>
        </w:rPr>
      </w:pPr>
    </w:p>
    <w:p w14:paraId="25C9C813" w14:textId="490D350D" w:rsidR="00AE758E" w:rsidRPr="00CC01B4" w:rsidRDefault="00AE758E" w:rsidP="00DC54F7">
      <w:pPr>
        <w:spacing w:after="0" w:line="240" w:lineRule="auto"/>
        <w:jc w:val="both"/>
        <w:rPr>
          <w:rFonts w:ascii="Arial" w:hAnsi="Arial" w:cs="Arial"/>
          <w:sz w:val="24"/>
          <w:szCs w:val="24"/>
          <w:highlight w:val="yellow"/>
          <w:lang w:eastAsia="en-GB"/>
        </w:rPr>
      </w:pPr>
    </w:p>
    <w:p w14:paraId="3FF6A1E7" w14:textId="14D3BAB5" w:rsidR="0081575F" w:rsidRPr="00106536" w:rsidRDefault="00797742" w:rsidP="00DC54F7">
      <w:pPr>
        <w:spacing w:after="0" w:line="240" w:lineRule="auto"/>
        <w:jc w:val="both"/>
        <w:rPr>
          <w:rFonts w:ascii="Arial" w:hAnsi="Arial" w:cs="Arial"/>
          <w:b/>
          <w:sz w:val="24"/>
          <w:szCs w:val="24"/>
          <w:lang w:eastAsia="en-GB"/>
        </w:rPr>
      </w:pPr>
      <w:r w:rsidRPr="00106536">
        <w:rPr>
          <w:rFonts w:ascii="Arial" w:hAnsi="Arial" w:cs="Arial"/>
          <w:b/>
          <w:sz w:val="24"/>
          <w:szCs w:val="24"/>
          <w:lang w:val="en-US" w:eastAsia="en-GB"/>
        </w:rPr>
        <w:t>17</w:t>
      </w:r>
      <w:r w:rsidR="0081575F" w:rsidRPr="00106536">
        <w:rPr>
          <w:rFonts w:ascii="Arial" w:hAnsi="Arial" w:cs="Arial"/>
          <w:b/>
          <w:sz w:val="24"/>
          <w:szCs w:val="24"/>
          <w:lang w:val="en-US" w:eastAsia="en-GB"/>
        </w:rPr>
        <w:t>.</w:t>
      </w:r>
      <w:r w:rsidR="009D3923" w:rsidRPr="00106536">
        <w:rPr>
          <w:rFonts w:ascii="Arial" w:hAnsi="Arial" w:cs="Arial"/>
          <w:b/>
          <w:sz w:val="24"/>
          <w:szCs w:val="24"/>
          <w:lang w:val="en-US" w:eastAsia="en-GB"/>
        </w:rPr>
        <w:t>4</w:t>
      </w:r>
      <w:r w:rsidR="0081575F" w:rsidRPr="00106536">
        <w:rPr>
          <w:rFonts w:ascii="Arial" w:hAnsi="Arial" w:cs="Arial"/>
          <w:b/>
          <w:sz w:val="24"/>
          <w:szCs w:val="24"/>
          <w:lang w:eastAsia="en-GB"/>
        </w:rPr>
        <w:t>.3 Future access to enhanced services</w:t>
      </w:r>
    </w:p>
    <w:p w14:paraId="73ADED90" w14:textId="77777777" w:rsidR="0081575F" w:rsidRPr="00CC01B4" w:rsidRDefault="0081575F" w:rsidP="00DC54F7">
      <w:pPr>
        <w:spacing w:after="0" w:line="240" w:lineRule="auto"/>
        <w:jc w:val="both"/>
        <w:rPr>
          <w:rFonts w:ascii="Arial" w:hAnsi="Arial" w:cs="Arial"/>
          <w:sz w:val="24"/>
          <w:szCs w:val="24"/>
          <w:lang w:eastAsia="en-GB"/>
        </w:rPr>
      </w:pPr>
    </w:p>
    <w:p w14:paraId="1F4CE3F4" w14:textId="090B3039" w:rsidR="0066562F" w:rsidRDefault="0066562F" w:rsidP="00DC54F7">
      <w:pPr>
        <w:spacing w:after="0" w:line="240" w:lineRule="auto"/>
        <w:jc w:val="both"/>
        <w:rPr>
          <w:rFonts w:ascii="Arial" w:hAnsi="Arial" w:cs="Arial"/>
          <w:sz w:val="24"/>
          <w:szCs w:val="24"/>
        </w:rPr>
      </w:pPr>
      <w:r w:rsidRPr="00106536">
        <w:rPr>
          <w:rFonts w:ascii="Arial" w:hAnsi="Arial" w:cs="Arial"/>
          <w:sz w:val="24"/>
          <w:szCs w:val="24"/>
        </w:rPr>
        <w:t>C</w:t>
      </w:r>
      <w:r w:rsidR="00EA30DE" w:rsidRPr="00106536">
        <w:rPr>
          <w:rFonts w:ascii="Arial" w:hAnsi="Arial" w:cs="Arial"/>
          <w:sz w:val="24"/>
          <w:szCs w:val="24"/>
        </w:rPr>
        <w:t>ardiff and Vale</w:t>
      </w:r>
      <w:r w:rsidRPr="00106536">
        <w:rPr>
          <w:rFonts w:ascii="Arial" w:hAnsi="Arial" w:cs="Arial"/>
          <w:sz w:val="24"/>
          <w:szCs w:val="24"/>
        </w:rPr>
        <w:t xml:space="preserve"> University Health Board has not identified any enhanced services that are not currently provided but that will, in specified future circumstances, need to be provided in order to secure improvements or better access to pharmaceutical services. </w:t>
      </w:r>
    </w:p>
    <w:p w14:paraId="0D45A040" w14:textId="77777777" w:rsidR="001F0BA5" w:rsidRPr="001F0BA5" w:rsidRDefault="001F0BA5" w:rsidP="00DC54F7">
      <w:pPr>
        <w:spacing w:after="0" w:line="240" w:lineRule="auto"/>
        <w:jc w:val="both"/>
        <w:rPr>
          <w:rFonts w:ascii="Arial" w:hAnsi="Arial" w:cs="Arial"/>
          <w:sz w:val="24"/>
          <w:szCs w:val="24"/>
        </w:rPr>
      </w:pPr>
    </w:p>
    <w:p w14:paraId="63D1CBE6" w14:textId="69984289" w:rsidR="0066562F" w:rsidRPr="00A63B08" w:rsidRDefault="0066562F" w:rsidP="00A63B08">
      <w:pPr>
        <w:widowControl w:val="0"/>
        <w:pBdr>
          <w:top w:val="single" w:sz="4" w:space="1" w:color="auto"/>
          <w:left w:val="single" w:sz="4" w:space="4" w:color="auto"/>
          <w:bottom w:val="single" w:sz="4" w:space="1" w:color="auto"/>
          <w:right w:val="single" w:sz="4" w:space="4" w:color="auto"/>
        </w:pBdr>
        <w:shd w:val="clear" w:color="auto" w:fill="B3B3B3"/>
        <w:autoSpaceDE w:val="0"/>
        <w:autoSpaceDN w:val="0"/>
        <w:adjustRightInd w:val="0"/>
        <w:spacing w:after="0" w:line="240" w:lineRule="auto"/>
        <w:jc w:val="both"/>
        <w:rPr>
          <w:rFonts w:ascii="Arial" w:hAnsi="Arial" w:cs="Arial"/>
          <w:b/>
          <w:bCs/>
          <w:sz w:val="24"/>
          <w:szCs w:val="24"/>
        </w:rPr>
      </w:pPr>
      <w:r w:rsidRPr="00A63B08">
        <w:rPr>
          <w:rFonts w:ascii="Arial" w:hAnsi="Arial" w:cs="Arial"/>
          <w:b/>
          <w:bCs/>
          <w:sz w:val="24"/>
          <w:szCs w:val="24"/>
        </w:rPr>
        <w:lastRenderedPageBreak/>
        <w:t>Based on the information available at the time of developing this pharmaceutical needs assessment, no gaps in respect of securing improvements, or better access, to enhanced services in specified future circumstances have been identified in any of the nine clusters (PNA localities).</w:t>
      </w:r>
    </w:p>
    <w:p w14:paraId="18521F50" w14:textId="7405C54E" w:rsidR="0081575F" w:rsidRPr="00CC01B4" w:rsidRDefault="0081575F" w:rsidP="00DC54F7">
      <w:pPr>
        <w:spacing w:after="0" w:line="240" w:lineRule="auto"/>
        <w:jc w:val="both"/>
        <w:rPr>
          <w:rFonts w:ascii="Arial" w:hAnsi="Arial" w:cs="Arial"/>
          <w:sz w:val="24"/>
          <w:szCs w:val="24"/>
          <w:highlight w:val="yellow"/>
          <w:lang w:eastAsia="en-GB"/>
        </w:rPr>
      </w:pPr>
    </w:p>
    <w:p w14:paraId="1C6F3986" w14:textId="77777777" w:rsidR="009B59F3" w:rsidRPr="00CC01B4" w:rsidRDefault="009B59F3" w:rsidP="00DC54F7">
      <w:pPr>
        <w:spacing w:after="0" w:line="240" w:lineRule="auto"/>
        <w:jc w:val="both"/>
        <w:rPr>
          <w:rFonts w:ascii="Arial" w:hAnsi="Arial" w:cs="Arial"/>
          <w:sz w:val="24"/>
          <w:szCs w:val="24"/>
          <w:highlight w:val="yellow"/>
          <w:lang w:eastAsia="en-GB"/>
        </w:rPr>
      </w:pPr>
    </w:p>
    <w:p w14:paraId="2187F7E3" w14:textId="2DD98B5F" w:rsidR="00776725" w:rsidRPr="00106536" w:rsidRDefault="007F2A28" w:rsidP="00DC54F7">
      <w:pPr>
        <w:spacing w:after="0" w:line="240" w:lineRule="auto"/>
        <w:jc w:val="both"/>
        <w:rPr>
          <w:rFonts w:ascii="Arial" w:hAnsi="Arial" w:cs="Arial"/>
          <w:b/>
          <w:sz w:val="24"/>
          <w:szCs w:val="24"/>
          <w:lang w:eastAsia="en-GB"/>
        </w:rPr>
      </w:pPr>
      <w:r w:rsidRPr="00106536">
        <w:rPr>
          <w:rFonts w:ascii="Arial" w:hAnsi="Arial" w:cs="Arial"/>
          <w:b/>
          <w:sz w:val="24"/>
          <w:szCs w:val="24"/>
          <w:lang w:val="en-US" w:eastAsia="en-GB"/>
        </w:rPr>
        <w:t>17</w:t>
      </w:r>
      <w:r w:rsidR="00776725" w:rsidRPr="00106536">
        <w:rPr>
          <w:rFonts w:ascii="Arial" w:hAnsi="Arial" w:cs="Arial"/>
          <w:b/>
          <w:sz w:val="24"/>
          <w:szCs w:val="24"/>
          <w:lang w:val="en-US" w:eastAsia="en-GB"/>
        </w:rPr>
        <w:t>.4</w:t>
      </w:r>
      <w:r w:rsidR="00776725" w:rsidRPr="00106536">
        <w:rPr>
          <w:rFonts w:ascii="Arial" w:hAnsi="Arial" w:cs="Arial"/>
          <w:b/>
          <w:sz w:val="24"/>
          <w:szCs w:val="24"/>
          <w:lang w:eastAsia="en-GB"/>
        </w:rPr>
        <w:t>.4 Future access to the GP dispensing service</w:t>
      </w:r>
    </w:p>
    <w:p w14:paraId="0DC49401" w14:textId="496EB1B2" w:rsidR="001A688A" w:rsidRPr="00106536" w:rsidRDefault="001A688A" w:rsidP="00DC54F7">
      <w:pPr>
        <w:spacing w:after="0" w:line="240" w:lineRule="auto"/>
        <w:jc w:val="both"/>
        <w:rPr>
          <w:rFonts w:ascii="Arial" w:hAnsi="Arial" w:cs="Arial"/>
          <w:b/>
          <w:sz w:val="24"/>
          <w:szCs w:val="24"/>
          <w:lang w:eastAsia="en-GB"/>
        </w:rPr>
      </w:pPr>
    </w:p>
    <w:p w14:paraId="0FB8C416" w14:textId="0B73DDAA" w:rsidR="001A688A" w:rsidRDefault="00631427" w:rsidP="00DC54F7">
      <w:pPr>
        <w:spacing w:after="0" w:line="240" w:lineRule="auto"/>
        <w:jc w:val="both"/>
        <w:rPr>
          <w:rFonts w:ascii="Arial" w:hAnsi="Arial" w:cs="Arial"/>
          <w:sz w:val="24"/>
          <w:szCs w:val="24"/>
        </w:rPr>
      </w:pPr>
      <w:r w:rsidRPr="00106536">
        <w:rPr>
          <w:rFonts w:ascii="Arial" w:hAnsi="Arial" w:cs="Arial"/>
          <w:sz w:val="24"/>
          <w:szCs w:val="24"/>
        </w:rPr>
        <w:t xml:space="preserve">Cardiff and Vale University Health Board considered </w:t>
      </w:r>
      <w:r w:rsidR="00655743" w:rsidRPr="00106536">
        <w:rPr>
          <w:rFonts w:ascii="Arial" w:hAnsi="Arial" w:cs="Arial"/>
          <w:sz w:val="24"/>
          <w:szCs w:val="24"/>
        </w:rPr>
        <w:t xml:space="preserve">the current provision </w:t>
      </w:r>
      <w:r w:rsidR="00A335CD" w:rsidRPr="00106536">
        <w:rPr>
          <w:rFonts w:ascii="Arial" w:hAnsi="Arial" w:cs="Arial"/>
          <w:sz w:val="24"/>
          <w:szCs w:val="24"/>
        </w:rPr>
        <w:t xml:space="preserve">as set out in </w:t>
      </w:r>
      <w:r w:rsidR="001A688A" w:rsidRPr="00106536">
        <w:rPr>
          <w:rFonts w:ascii="Arial" w:hAnsi="Arial" w:cs="Arial"/>
          <w:sz w:val="24"/>
          <w:szCs w:val="24"/>
        </w:rPr>
        <w:t>this document and has not identified services that would, if provided either now or in future specified circumstances, secure improvements to or better access to essential services.</w:t>
      </w:r>
    </w:p>
    <w:p w14:paraId="770B7209" w14:textId="77777777" w:rsidR="001F0BA5" w:rsidRPr="00106536" w:rsidRDefault="001F0BA5" w:rsidP="00DC54F7">
      <w:pPr>
        <w:spacing w:after="0" w:line="240" w:lineRule="auto"/>
        <w:jc w:val="both"/>
        <w:rPr>
          <w:rFonts w:ascii="Arial" w:hAnsi="Arial" w:cs="Arial"/>
          <w:sz w:val="24"/>
          <w:szCs w:val="24"/>
        </w:rPr>
      </w:pPr>
    </w:p>
    <w:p w14:paraId="3E4729CD" w14:textId="7AFB0479" w:rsidR="001A688A" w:rsidRPr="00A63B08" w:rsidRDefault="001A688A" w:rsidP="00A63B08">
      <w:pPr>
        <w:widowControl w:val="0"/>
        <w:pBdr>
          <w:top w:val="single" w:sz="4" w:space="1" w:color="auto"/>
          <w:left w:val="single" w:sz="4" w:space="4" w:color="auto"/>
          <w:bottom w:val="single" w:sz="4" w:space="1" w:color="auto"/>
          <w:right w:val="single" w:sz="4" w:space="4" w:color="auto"/>
        </w:pBdr>
        <w:shd w:val="clear" w:color="auto" w:fill="B3B3B3"/>
        <w:autoSpaceDE w:val="0"/>
        <w:autoSpaceDN w:val="0"/>
        <w:adjustRightInd w:val="0"/>
        <w:spacing w:after="0" w:line="240" w:lineRule="auto"/>
        <w:jc w:val="both"/>
        <w:rPr>
          <w:rFonts w:ascii="Arial" w:hAnsi="Arial" w:cs="Arial"/>
          <w:b/>
          <w:bCs/>
          <w:sz w:val="24"/>
          <w:szCs w:val="24"/>
        </w:rPr>
      </w:pPr>
      <w:r w:rsidRPr="00A63B08">
        <w:rPr>
          <w:rFonts w:ascii="Arial" w:hAnsi="Arial" w:cs="Arial"/>
          <w:b/>
          <w:bCs/>
          <w:sz w:val="24"/>
          <w:szCs w:val="24"/>
        </w:rPr>
        <w:t xml:space="preserve">Based on the information available at the time of developing this pharmaceutical needs assessment, no gaps in respect to future access of the GP dispensing service have been identified in any of the </w:t>
      </w:r>
      <w:r w:rsidR="00A335CD" w:rsidRPr="00A63B08">
        <w:rPr>
          <w:rFonts w:ascii="Arial" w:hAnsi="Arial" w:cs="Arial"/>
          <w:b/>
          <w:bCs/>
          <w:sz w:val="24"/>
          <w:szCs w:val="24"/>
        </w:rPr>
        <w:t>nine</w:t>
      </w:r>
      <w:r w:rsidRPr="00A63B08">
        <w:rPr>
          <w:rFonts w:ascii="Arial" w:hAnsi="Arial" w:cs="Arial"/>
          <w:b/>
          <w:bCs/>
          <w:sz w:val="24"/>
          <w:szCs w:val="24"/>
        </w:rPr>
        <w:t xml:space="preserve"> clusters (PNA localities).</w:t>
      </w:r>
    </w:p>
    <w:p w14:paraId="36A3D082" w14:textId="77777777" w:rsidR="001A688A" w:rsidRPr="00106536" w:rsidRDefault="001A688A" w:rsidP="00DC54F7">
      <w:pPr>
        <w:spacing w:after="0" w:line="240" w:lineRule="auto"/>
        <w:jc w:val="both"/>
        <w:rPr>
          <w:rFonts w:ascii="Arial" w:hAnsi="Arial" w:cs="Arial"/>
          <w:b/>
          <w:sz w:val="24"/>
          <w:szCs w:val="24"/>
          <w:lang w:eastAsia="en-GB"/>
        </w:rPr>
      </w:pPr>
    </w:p>
    <w:p w14:paraId="1FA84988" w14:textId="72850A68" w:rsidR="00A335CD" w:rsidRPr="009A4832" w:rsidRDefault="009A4832" w:rsidP="00DC54F7">
      <w:pPr>
        <w:jc w:val="both"/>
        <w:rPr>
          <w:rFonts w:ascii="Arial" w:hAnsi="Arial" w:cs="Arial"/>
          <w:color w:val="942D83"/>
          <w:lang w:eastAsia="en-GB"/>
        </w:rPr>
      </w:pPr>
      <w:r>
        <w:rPr>
          <w:rFonts w:ascii="Arial" w:hAnsi="Arial" w:cs="Arial"/>
          <w:color w:val="942D83"/>
          <w:lang w:eastAsia="en-GB"/>
        </w:rPr>
        <w:br w:type="page"/>
      </w:r>
    </w:p>
    <w:p w14:paraId="756CC2A2" w14:textId="182C2161" w:rsidR="00390434" w:rsidRPr="00A10850" w:rsidRDefault="002F22A1" w:rsidP="00DC54F7">
      <w:pPr>
        <w:pStyle w:val="Heading1"/>
        <w:spacing w:before="0" w:line="240" w:lineRule="auto"/>
        <w:jc w:val="both"/>
        <w:rPr>
          <w:rFonts w:cs="Arial"/>
          <w:color w:val="auto"/>
        </w:rPr>
      </w:pPr>
      <w:bookmarkStart w:id="67" w:name="_Toc81585113"/>
      <w:r w:rsidRPr="00A10850">
        <w:rPr>
          <w:rFonts w:cs="Arial"/>
          <w:color w:val="auto"/>
        </w:rPr>
        <w:lastRenderedPageBreak/>
        <w:t>Appendix</w:t>
      </w:r>
      <w:r w:rsidR="00962298" w:rsidRPr="00A10850">
        <w:rPr>
          <w:rFonts w:cs="Arial"/>
          <w:color w:val="auto"/>
        </w:rPr>
        <w:t xml:space="preserve"> A</w:t>
      </w:r>
      <w:r w:rsidR="00680C0F" w:rsidRPr="00A10850">
        <w:rPr>
          <w:rFonts w:cs="Arial"/>
          <w:color w:val="auto"/>
        </w:rPr>
        <w:t xml:space="preserve"> – policy context and background papers</w:t>
      </w:r>
      <w:bookmarkEnd w:id="67"/>
    </w:p>
    <w:p w14:paraId="6873B164" w14:textId="77777777" w:rsidR="00390434" w:rsidRPr="00A10850" w:rsidRDefault="00390434" w:rsidP="00DC54F7">
      <w:pPr>
        <w:spacing w:after="0" w:line="240" w:lineRule="auto"/>
        <w:contextualSpacing/>
        <w:jc w:val="both"/>
        <w:rPr>
          <w:rFonts w:ascii="Arial" w:hAnsi="Arial" w:cs="Arial"/>
          <w:highlight w:val="cyan"/>
        </w:rPr>
      </w:pPr>
    </w:p>
    <w:p w14:paraId="396942F0" w14:textId="77777777" w:rsidR="00591DFE" w:rsidRPr="00A10850" w:rsidRDefault="00591DFE" w:rsidP="00DC54F7">
      <w:pPr>
        <w:spacing w:after="0" w:line="240" w:lineRule="auto"/>
        <w:contextualSpacing/>
        <w:jc w:val="both"/>
        <w:rPr>
          <w:rFonts w:ascii="Arial" w:hAnsi="Arial" w:cs="Arial"/>
        </w:rPr>
      </w:pPr>
      <w:r w:rsidRPr="00A10850">
        <w:rPr>
          <w:rFonts w:ascii="Arial" w:hAnsi="Arial" w:cs="Arial"/>
        </w:rPr>
        <w:t>Welsh Government establishes the overall structure in which community pharmacies</w:t>
      </w:r>
      <w:r w:rsidR="00735A4C" w:rsidRPr="00A10850">
        <w:rPr>
          <w:rFonts w:ascii="Arial" w:hAnsi="Arial" w:cs="Arial"/>
        </w:rPr>
        <w:t>, dispensing appliance contractors and dispensing doctors</w:t>
      </w:r>
      <w:r w:rsidRPr="00A10850">
        <w:rPr>
          <w:rFonts w:ascii="Arial" w:hAnsi="Arial" w:cs="Arial"/>
        </w:rPr>
        <w:t xml:space="preserve"> operate by providing the legislative and policy framework. Within the framework, the responsibility for planning and providing pharmaceutical services is vested in health boards who must plan health services to meet the needs of their resident populations. This includes determining the number and location of pharmacies</w:t>
      </w:r>
      <w:r w:rsidR="00735A4C" w:rsidRPr="00A10850">
        <w:rPr>
          <w:rFonts w:ascii="Arial" w:hAnsi="Arial" w:cs="Arial"/>
        </w:rPr>
        <w:t xml:space="preserve"> and dispensing appliance contractors</w:t>
      </w:r>
      <w:r w:rsidRPr="00A10850">
        <w:rPr>
          <w:rFonts w:ascii="Arial" w:hAnsi="Arial" w:cs="Arial"/>
        </w:rPr>
        <w:t xml:space="preserve"> in their areas.</w:t>
      </w:r>
    </w:p>
    <w:p w14:paraId="1639C376" w14:textId="77777777" w:rsidR="00591DFE" w:rsidRPr="00A10850" w:rsidRDefault="00591DFE" w:rsidP="00DC54F7">
      <w:pPr>
        <w:spacing w:after="0" w:line="240" w:lineRule="auto"/>
        <w:contextualSpacing/>
        <w:jc w:val="both"/>
        <w:rPr>
          <w:rFonts w:ascii="Arial" w:hAnsi="Arial" w:cs="Arial"/>
        </w:rPr>
      </w:pPr>
    </w:p>
    <w:p w14:paraId="410C4A47" w14:textId="77777777" w:rsidR="00591DFE" w:rsidRPr="00A10850" w:rsidRDefault="00591DFE" w:rsidP="00DC54F7">
      <w:pPr>
        <w:spacing w:after="0" w:line="240" w:lineRule="auto"/>
        <w:contextualSpacing/>
        <w:jc w:val="both"/>
        <w:rPr>
          <w:rFonts w:ascii="Arial" w:hAnsi="Arial" w:cs="Arial"/>
        </w:rPr>
      </w:pPr>
      <w:r w:rsidRPr="00A10850">
        <w:rPr>
          <w:rFonts w:ascii="Arial" w:hAnsi="Arial" w:cs="Arial"/>
        </w:rPr>
        <w:t xml:space="preserve">The general duty to </w:t>
      </w:r>
      <w:r w:rsidR="008E58F8" w:rsidRPr="00A10850">
        <w:rPr>
          <w:rFonts w:ascii="Arial" w:hAnsi="Arial" w:cs="Arial"/>
        </w:rPr>
        <w:t>ensure the provision of</w:t>
      </w:r>
      <w:r w:rsidRPr="00A10850">
        <w:rPr>
          <w:rFonts w:ascii="Arial" w:hAnsi="Arial" w:cs="Arial"/>
        </w:rPr>
        <w:t xml:space="preserve"> pharmaceutical services, as with other aspects of NHS primary care services, is conferred directly on health boards under the NHS (Wales) Act 2006 (the 2006 Act). Health boards manage local lists of approved providers, referred to as pharmaceutical lists, and the inclusion of pharmacy </w:t>
      </w:r>
      <w:r w:rsidR="008E58F8" w:rsidRPr="00A10850">
        <w:rPr>
          <w:rFonts w:ascii="Arial" w:hAnsi="Arial" w:cs="Arial"/>
        </w:rPr>
        <w:t xml:space="preserve">and dispensing appliance contractor </w:t>
      </w:r>
      <w:r w:rsidRPr="00A10850">
        <w:rPr>
          <w:rFonts w:ascii="Arial" w:hAnsi="Arial" w:cs="Arial"/>
        </w:rPr>
        <w:t xml:space="preserve">premises on pharmaceutical lists entitles </w:t>
      </w:r>
      <w:r w:rsidR="008E58F8" w:rsidRPr="00A10850">
        <w:rPr>
          <w:rFonts w:ascii="Arial" w:hAnsi="Arial" w:cs="Arial"/>
        </w:rPr>
        <w:t>contractors</w:t>
      </w:r>
      <w:r w:rsidRPr="00A10850">
        <w:rPr>
          <w:rFonts w:ascii="Arial" w:hAnsi="Arial" w:cs="Arial"/>
        </w:rPr>
        <w:t xml:space="preserve"> to provide NHS pharmaceutical services at those premises. </w:t>
      </w:r>
    </w:p>
    <w:p w14:paraId="0F8A596B" w14:textId="77777777" w:rsidR="00591DFE" w:rsidRPr="00A10850" w:rsidRDefault="00591DFE" w:rsidP="00DC54F7">
      <w:pPr>
        <w:spacing w:after="0" w:line="240" w:lineRule="auto"/>
        <w:contextualSpacing/>
        <w:jc w:val="both"/>
        <w:rPr>
          <w:rFonts w:ascii="Arial" w:hAnsi="Arial" w:cs="Arial"/>
        </w:rPr>
      </w:pPr>
    </w:p>
    <w:p w14:paraId="49950642" w14:textId="77777777" w:rsidR="00591DFE" w:rsidRPr="00A10850" w:rsidRDefault="00591DFE" w:rsidP="00DC54F7">
      <w:pPr>
        <w:spacing w:after="0" w:line="240" w:lineRule="auto"/>
        <w:contextualSpacing/>
        <w:jc w:val="both"/>
        <w:rPr>
          <w:rFonts w:ascii="Arial" w:hAnsi="Arial" w:cs="Arial"/>
        </w:rPr>
      </w:pPr>
      <w:r w:rsidRPr="00A10850">
        <w:rPr>
          <w:rFonts w:ascii="Arial" w:hAnsi="Arial" w:cs="Arial"/>
        </w:rPr>
        <w:t xml:space="preserve">These arrangements govern </w:t>
      </w:r>
      <w:r w:rsidR="008E58F8" w:rsidRPr="00A10850">
        <w:rPr>
          <w:rFonts w:ascii="Arial" w:hAnsi="Arial" w:cs="Arial"/>
        </w:rPr>
        <w:t>the provision of</w:t>
      </w:r>
      <w:r w:rsidRPr="00A10850">
        <w:rPr>
          <w:rFonts w:ascii="Arial" w:hAnsi="Arial" w:cs="Arial"/>
        </w:rPr>
        <w:t xml:space="preserve"> pharmaceutical services and not the right to open and conduct a pharmacy business in Wales. That is dealt with under separate UK-wide legislation, the Medicines Act 1968.</w:t>
      </w:r>
    </w:p>
    <w:p w14:paraId="751DE824" w14:textId="77777777" w:rsidR="00591DFE" w:rsidRPr="00A10850" w:rsidRDefault="00591DFE" w:rsidP="00DC54F7">
      <w:pPr>
        <w:spacing w:after="0" w:line="240" w:lineRule="auto"/>
        <w:contextualSpacing/>
        <w:jc w:val="both"/>
        <w:rPr>
          <w:rFonts w:ascii="Arial" w:hAnsi="Arial" w:cs="Arial"/>
        </w:rPr>
      </w:pPr>
    </w:p>
    <w:p w14:paraId="175FA8F0" w14:textId="77777777" w:rsidR="00591DFE" w:rsidRPr="00A10850" w:rsidRDefault="00591DFE" w:rsidP="00DC54F7">
      <w:pPr>
        <w:spacing w:after="0" w:line="240" w:lineRule="auto"/>
        <w:contextualSpacing/>
        <w:jc w:val="both"/>
        <w:rPr>
          <w:rFonts w:ascii="Arial" w:hAnsi="Arial" w:cs="Arial"/>
        </w:rPr>
      </w:pPr>
      <w:r w:rsidRPr="00A10850">
        <w:rPr>
          <w:rFonts w:ascii="Arial" w:hAnsi="Arial" w:cs="Arial"/>
        </w:rPr>
        <w:t>The Welsh Ministers have extensive powers and duties to make regulations and to issue directions to health boards, wh</w:t>
      </w:r>
      <w:r w:rsidR="008E58F8" w:rsidRPr="00A10850">
        <w:rPr>
          <w:rFonts w:ascii="Arial" w:hAnsi="Arial" w:cs="Arial"/>
        </w:rPr>
        <w:t>ich govern the detail of the</w:t>
      </w:r>
      <w:r w:rsidRPr="00A10850">
        <w:rPr>
          <w:rFonts w:ascii="Arial" w:hAnsi="Arial" w:cs="Arial"/>
        </w:rPr>
        <w:t xml:space="preserve"> pharmaceutical services system in Wales. This includes specifying the terms of service for </w:t>
      </w:r>
      <w:r w:rsidR="008E58F8" w:rsidRPr="00A10850">
        <w:rPr>
          <w:rFonts w:ascii="Arial" w:hAnsi="Arial" w:cs="Arial"/>
        </w:rPr>
        <w:t>pharmacies and dispensing appliance contractors</w:t>
      </w:r>
      <w:r w:rsidRPr="00A10850">
        <w:rPr>
          <w:rFonts w:ascii="Arial" w:hAnsi="Arial" w:cs="Arial"/>
        </w:rPr>
        <w:t xml:space="preserve"> and the application of the control of entry test, which is the test that </w:t>
      </w:r>
      <w:r w:rsidR="008E58F8" w:rsidRPr="00A10850">
        <w:rPr>
          <w:rFonts w:ascii="Arial" w:hAnsi="Arial" w:cs="Arial"/>
        </w:rPr>
        <w:t xml:space="preserve">until </w:t>
      </w:r>
      <w:r w:rsidRPr="00A10850">
        <w:rPr>
          <w:rFonts w:ascii="Arial" w:hAnsi="Arial" w:cs="Arial"/>
        </w:rPr>
        <w:t xml:space="preserve">1 </w:t>
      </w:r>
      <w:r w:rsidR="00C34301">
        <w:rPr>
          <w:rFonts w:ascii="Arial" w:hAnsi="Arial" w:cs="Arial"/>
        </w:rPr>
        <w:t>October</w:t>
      </w:r>
      <w:r w:rsidR="008E58F8" w:rsidRPr="00A10850">
        <w:rPr>
          <w:rFonts w:ascii="Arial" w:hAnsi="Arial" w:cs="Arial"/>
        </w:rPr>
        <w:t xml:space="preserve"> 2021</w:t>
      </w:r>
      <w:r w:rsidRPr="00A10850">
        <w:rPr>
          <w:rFonts w:ascii="Arial" w:hAnsi="Arial" w:cs="Arial"/>
        </w:rPr>
        <w:t xml:space="preserve"> had to be satisfied before a health board would grant an application for entry, or amend an entry, on the pharmaceutical list.</w:t>
      </w:r>
    </w:p>
    <w:p w14:paraId="4BE0BC67" w14:textId="77777777" w:rsidR="00591DFE" w:rsidRPr="00A10850" w:rsidRDefault="00591DFE" w:rsidP="00DC54F7">
      <w:pPr>
        <w:spacing w:after="0" w:line="240" w:lineRule="auto"/>
        <w:contextualSpacing/>
        <w:jc w:val="both"/>
        <w:rPr>
          <w:rFonts w:ascii="Arial" w:hAnsi="Arial" w:cs="Arial"/>
        </w:rPr>
      </w:pPr>
    </w:p>
    <w:p w14:paraId="07A8A49F" w14:textId="77777777" w:rsidR="00591DFE" w:rsidRPr="00A10850" w:rsidRDefault="00591DFE" w:rsidP="00DC54F7">
      <w:pPr>
        <w:spacing w:after="0" w:line="240" w:lineRule="auto"/>
        <w:contextualSpacing/>
        <w:jc w:val="both"/>
        <w:rPr>
          <w:rFonts w:ascii="Arial" w:hAnsi="Arial" w:cs="Arial"/>
        </w:rPr>
      </w:pPr>
      <w:r w:rsidRPr="00A10850">
        <w:rPr>
          <w:rFonts w:ascii="Arial" w:hAnsi="Arial" w:cs="Arial"/>
        </w:rPr>
        <w:t>Under the NHS (Pharmaceutical Services) (Wales) Regulations 2013 (the 2013 Regulations), and preceding regulations, those persons wishing to provide pharmaceutical services submitted an application to the health board in accordance with the 2013 Regulations. The health board then decided whether or not the application satisfied the relevant test. The 2013 Regulations allowed for the health board’s decision to be challenged by lodging an appeal with the Welsh Ministers.</w:t>
      </w:r>
    </w:p>
    <w:p w14:paraId="6BC01C22" w14:textId="77777777" w:rsidR="00591DFE" w:rsidRPr="00A10850" w:rsidRDefault="00591DFE" w:rsidP="00DC54F7">
      <w:pPr>
        <w:spacing w:after="0" w:line="240" w:lineRule="auto"/>
        <w:contextualSpacing/>
        <w:jc w:val="both"/>
        <w:rPr>
          <w:rFonts w:ascii="Arial" w:hAnsi="Arial" w:cs="Arial"/>
        </w:rPr>
      </w:pPr>
    </w:p>
    <w:p w14:paraId="44044348" w14:textId="77777777" w:rsidR="00591DFE" w:rsidRPr="00A10850" w:rsidRDefault="00591DFE" w:rsidP="00DC54F7">
      <w:pPr>
        <w:spacing w:after="0" w:line="240" w:lineRule="auto"/>
        <w:contextualSpacing/>
        <w:jc w:val="both"/>
        <w:rPr>
          <w:rFonts w:ascii="Arial" w:hAnsi="Arial" w:cs="Arial"/>
        </w:rPr>
      </w:pPr>
      <w:r w:rsidRPr="00A10850">
        <w:rPr>
          <w:rFonts w:ascii="Arial" w:hAnsi="Arial" w:cs="Arial"/>
        </w:rPr>
        <w:t>The previous</w:t>
      </w:r>
      <w:r w:rsidR="008E58F8" w:rsidRPr="00A10850">
        <w:rPr>
          <w:rFonts w:ascii="Arial" w:hAnsi="Arial" w:cs="Arial"/>
        </w:rPr>
        <w:t xml:space="preserve"> system of</w:t>
      </w:r>
      <w:r w:rsidRPr="00A10850">
        <w:rPr>
          <w:rFonts w:ascii="Arial" w:hAnsi="Arial" w:cs="Arial"/>
        </w:rPr>
        <w:t xml:space="preserve"> pharmaceutical services delivery was therefore driven by those who wished</w:t>
      </w:r>
      <w:r w:rsidR="008E58F8" w:rsidRPr="00A10850">
        <w:rPr>
          <w:rFonts w:ascii="Arial" w:hAnsi="Arial" w:cs="Arial"/>
        </w:rPr>
        <w:t xml:space="preserve"> to provide</w:t>
      </w:r>
      <w:r w:rsidRPr="00A10850">
        <w:rPr>
          <w:rFonts w:ascii="Arial" w:hAnsi="Arial" w:cs="Arial"/>
        </w:rPr>
        <w:t xml:space="preserve"> pharmaceutical services. It is they who decided which services they wished to provide and from what location.</w:t>
      </w:r>
    </w:p>
    <w:p w14:paraId="7295EF9A" w14:textId="77777777" w:rsidR="00591DFE" w:rsidRPr="00A10850" w:rsidRDefault="00591DFE" w:rsidP="00DC54F7">
      <w:pPr>
        <w:spacing w:after="0" w:line="240" w:lineRule="auto"/>
        <w:contextualSpacing/>
        <w:jc w:val="both"/>
        <w:rPr>
          <w:rFonts w:ascii="Arial" w:hAnsi="Arial" w:cs="Arial"/>
        </w:rPr>
      </w:pPr>
    </w:p>
    <w:p w14:paraId="7D15EDF6" w14:textId="77777777" w:rsidR="001C54D0" w:rsidRPr="00A10850" w:rsidRDefault="008E58F8" w:rsidP="00DC54F7">
      <w:pPr>
        <w:spacing w:after="0" w:line="240" w:lineRule="auto"/>
        <w:contextualSpacing/>
        <w:jc w:val="both"/>
        <w:rPr>
          <w:rFonts w:ascii="Arial" w:hAnsi="Arial" w:cs="Arial"/>
        </w:rPr>
      </w:pPr>
      <w:r w:rsidRPr="00A10850">
        <w:rPr>
          <w:rFonts w:ascii="Arial" w:hAnsi="Arial" w:cs="Arial"/>
        </w:rPr>
        <w:t xml:space="preserve">That meant that the </w:t>
      </w:r>
      <w:r w:rsidR="00591DFE" w:rsidRPr="00A10850">
        <w:rPr>
          <w:rFonts w:ascii="Arial" w:hAnsi="Arial" w:cs="Arial"/>
        </w:rPr>
        <w:t xml:space="preserve">system was reactive to applications and health boards were not able to plan where pharmacies </w:t>
      </w:r>
      <w:r w:rsidRPr="00A10850">
        <w:rPr>
          <w:rFonts w:ascii="Arial" w:hAnsi="Arial" w:cs="Arial"/>
        </w:rPr>
        <w:t xml:space="preserve">or dispensing appliance contractors </w:t>
      </w:r>
      <w:r w:rsidR="00591DFE" w:rsidRPr="00A10850">
        <w:rPr>
          <w:rFonts w:ascii="Arial" w:hAnsi="Arial" w:cs="Arial"/>
        </w:rPr>
        <w:t>were located or direct which services must be provided from those locations.</w:t>
      </w:r>
    </w:p>
    <w:p w14:paraId="4D5702DB" w14:textId="77777777" w:rsidR="00591DFE" w:rsidRPr="00A10850" w:rsidRDefault="00591DFE" w:rsidP="00DC54F7">
      <w:pPr>
        <w:spacing w:after="0" w:line="240" w:lineRule="auto"/>
        <w:contextualSpacing/>
        <w:jc w:val="both"/>
        <w:rPr>
          <w:rFonts w:ascii="Arial" w:hAnsi="Arial" w:cs="Arial"/>
          <w:highlight w:val="cyan"/>
        </w:rPr>
      </w:pPr>
    </w:p>
    <w:p w14:paraId="1E157B94" w14:textId="77777777" w:rsidR="00591DFE" w:rsidRPr="00A10850" w:rsidRDefault="00591DFE" w:rsidP="00DC54F7">
      <w:pPr>
        <w:spacing w:after="0" w:line="240" w:lineRule="auto"/>
        <w:contextualSpacing/>
        <w:jc w:val="both"/>
        <w:rPr>
          <w:rFonts w:ascii="Arial" w:hAnsi="Arial" w:cs="Arial"/>
          <w:b/>
        </w:rPr>
      </w:pPr>
      <w:r w:rsidRPr="00A10850">
        <w:rPr>
          <w:rFonts w:ascii="Arial" w:hAnsi="Arial" w:cs="Arial"/>
          <w:b/>
        </w:rPr>
        <w:t>Rationale for change</w:t>
      </w:r>
    </w:p>
    <w:p w14:paraId="3932A572" w14:textId="77777777" w:rsidR="00591DFE" w:rsidRPr="00A10850" w:rsidRDefault="00591DFE" w:rsidP="00DC54F7">
      <w:pPr>
        <w:spacing w:after="0" w:line="240" w:lineRule="auto"/>
        <w:contextualSpacing/>
        <w:jc w:val="both"/>
        <w:rPr>
          <w:rFonts w:ascii="Arial" w:hAnsi="Arial" w:cs="Arial"/>
        </w:rPr>
      </w:pPr>
    </w:p>
    <w:p w14:paraId="6701E798" w14:textId="77777777" w:rsidR="00591DFE" w:rsidRPr="00A10850" w:rsidRDefault="00591DFE" w:rsidP="00DC54F7">
      <w:pPr>
        <w:spacing w:after="0" w:line="240" w:lineRule="auto"/>
        <w:contextualSpacing/>
        <w:jc w:val="both"/>
        <w:rPr>
          <w:rFonts w:ascii="Arial" w:hAnsi="Arial" w:cs="Arial"/>
        </w:rPr>
      </w:pPr>
      <w:r w:rsidRPr="00A10850">
        <w:rPr>
          <w:rFonts w:ascii="Arial" w:hAnsi="Arial" w:cs="Arial"/>
        </w:rPr>
        <w:t>In 2010 the then Minister for Health and Social Services established a Task and Finish Group to review the regulatory framework, to consider Welsh Government policy on control of entry and the provision of pharmaceutical services by health professions other than pharmacists (e.g. doctors) and to make recommendations for changes to legislation, if appropriate, to bring about a long term, cost effective and sustainable system which would afford patients appropriate access to pharmaceutical services.</w:t>
      </w:r>
    </w:p>
    <w:p w14:paraId="4F1EA29C" w14:textId="77777777" w:rsidR="00591DFE" w:rsidRPr="00A10850" w:rsidRDefault="00591DFE" w:rsidP="00DC54F7">
      <w:pPr>
        <w:spacing w:after="0" w:line="240" w:lineRule="auto"/>
        <w:contextualSpacing/>
        <w:jc w:val="both"/>
        <w:rPr>
          <w:rFonts w:ascii="Arial" w:hAnsi="Arial" w:cs="Arial"/>
        </w:rPr>
      </w:pPr>
    </w:p>
    <w:p w14:paraId="65512631" w14:textId="581D0974" w:rsidR="00591DFE" w:rsidRPr="00A10850" w:rsidRDefault="008E58F8" w:rsidP="00DC54F7">
      <w:pPr>
        <w:spacing w:after="0" w:line="240" w:lineRule="auto"/>
        <w:contextualSpacing/>
        <w:jc w:val="both"/>
        <w:rPr>
          <w:rFonts w:ascii="Arial" w:hAnsi="Arial" w:cs="Arial"/>
        </w:rPr>
      </w:pPr>
      <w:r w:rsidRPr="00A10850">
        <w:rPr>
          <w:rFonts w:ascii="Arial" w:hAnsi="Arial" w:cs="Arial"/>
        </w:rPr>
        <w:t>In 2011</w:t>
      </w:r>
      <w:r w:rsidR="00591DFE" w:rsidRPr="00A10850">
        <w:rPr>
          <w:rFonts w:ascii="Arial" w:hAnsi="Arial" w:cs="Arial"/>
        </w:rPr>
        <w:t xml:space="preserve"> Welsh Government consulted on the recommendations of the Task and Finish group. The consultation “Proposals to reform and modernise the National Health Service </w:t>
      </w:r>
      <w:r w:rsidR="00591DFE" w:rsidRPr="00A10850">
        <w:rPr>
          <w:rFonts w:ascii="Arial" w:hAnsi="Arial" w:cs="Arial"/>
        </w:rPr>
        <w:lastRenderedPageBreak/>
        <w:t>(Pharmaceutical Services) Regulations 1992” sought views on proposals to deliver a new approach for determi</w:t>
      </w:r>
      <w:r w:rsidRPr="00A10850">
        <w:rPr>
          <w:rFonts w:ascii="Arial" w:hAnsi="Arial" w:cs="Arial"/>
        </w:rPr>
        <w:t>ning applications to provide</w:t>
      </w:r>
      <w:r w:rsidR="00591DFE" w:rsidRPr="00A10850">
        <w:rPr>
          <w:rFonts w:ascii="Arial" w:hAnsi="Arial" w:cs="Arial"/>
        </w:rPr>
        <w:t xml:space="preserve"> pharmaceutical services in Wales based more on an assessment of local needs by health boards. </w:t>
      </w:r>
      <w:r w:rsidR="00F56E8C" w:rsidRPr="00A10850">
        <w:rPr>
          <w:rFonts w:ascii="Arial" w:hAnsi="Arial" w:cs="Arial"/>
        </w:rPr>
        <w:t>However,</w:t>
      </w:r>
      <w:r w:rsidR="00591DFE" w:rsidRPr="00A10850">
        <w:rPr>
          <w:rFonts w:ascii="Arial" w:hAnsi="Arial" w:cs="Arial"/>
        </w:rPr>
        <w:t xml:space="preserve"> it was recognised that to make such a change required the creation and inclusion of appropriate powers in the 2006 Act.</w:t>
      </w:r>
    </w:p>
    <w:p w14:paraId="753318BD" w14:textId="77777777" w:rsidR="00591DFE" w:rsidRPr="00A10850" w:rsidRDefault="00591DFE" w:rsidP="00DC54F7">
      <w:pPr>
        <w:spacing w:after="0" w:line="240" w:lineRule="auto"/>
        <w:contextualSpacing/>
        <w:jc w:val="both"/>
        <w:rPr>
          <w:rFonts w:ascii="Arial" w:hAnsi="Arial" w:cs="Arial"/>
        </w:rPr>
      </w:pPr>
      <w:r w:rsidRPr="00A10850">
        <w:rPr>
          <w:rFonts w:ascii="Arial" w:hAnsi="Arial" w:cs="Arial"/>
        </w:rPr>
        <w:t xml:space="preserve"> </w:t>
      </w:r>
    </w:p>
    <w:p w14:paraId="4448FCED" w14:textId="77777777" w:rsidR="00591DFE" w:rsidRPr="00A10850" w:rsidRDefault="00591DFE" w:rsidP="00DC54F7">
      <w:pPr>
        <w:spacing w:after="0" w:line="240" w:lineRule="auto"/>
        <w:contextualSpacing/>
        <w:jc w:val="both"/>
        <w:rPr>
          <w:rFonts w:ascii="Arial" w:hAnsi="Arial" w:cs="Arial"/>
        </w:rPr>
      </w:pPr>
      <w:r w:rsidRPr="00A10850">
        <w:rPr>
          <w:rFonts w:ascii="Arial" w:hAnsi="Arial" w:cs="Arial"/>
        </w:rPr>
        <w:t xml:space="preserve">Following the consultation, the 2013 Regulations came into force on 10 May 2013 but did not contain provisions to introduce </w:t>
      </w:r>
      <w:r w:rsidR="006C2F60" w:rsidRPr="00A10850">
        <w:rPr>
          <w:rFonts w:ascii="Arial" w:hAnsi="Arial" w:cs="Arial"/>
        </w:rPr>
        <w:t>PNAs</w:t>
      </w:r>
      <w:r w:rsidRPr="00A10850">
        <w:rPr>
          <w:rFonts w:ascii="Arial" w:hAnsi="Arial" w:cs="Arial"/>
        </w:rPr>
        <w:t xml:space="preserve">.  </w:t>
      </w:r>
    </w:p>
    <w:p w14:paraId="3F1BEA16" w14:textId="77777777" w:rsidR="00591DFE" w:rsidRPr="00A10850" w:rsidRDefault="00591DFE" w:rsidP="00DC54F7">
      <w:pPr>
        <w:spacing w:after="0" w:line="240" w:lineRule="auto"/>
        <w:contextualSpacing/>
        <w:jc w:val="both"/>
        <w:rPr>
          <w:rFonts w:ascii="Arial" w:hAnsi="Arial" w:cs="Arial"/>
        </w:rPr>
      </w:pPr>
    </w:p>
    <w:p w14:paraId="2CF02D9A" w14:textId="77777777" w:rsidR="00591DFE" w:rsidRPr="00A10850" w:rsidRDefault="00591DFE" w:rsidP="00DC54F7">
      <w:pPr>
        <w:spacing w:after="0" w:line="240" w:lineRule="auto"/>
        <w:contextualSpacing/>
        <w:jc w:val="both"/>
        <w:rPr>
          <w:rFonts w:ascii="Arial" w:hAnsi="Arial" w:cs="Arial"/>
        </w:rPr>
      </w:pPr>
      <w:r w:rsidRPr="00A10850">
        <w:rPr>
          <w:rFonts w:ascii="Arial" w:hAnsi="Arial" w:cs="Arial"/>
        </w:rPr>
        <w:t>The Public Health (Wales) Act 2017 (the 2017 Act) inserted section 82A into the 2006 Act which makes provision for a new duty for health boards in Wales to prepare and publish an assessment of need for pharmaceutical services. Section 82A gave the Welsh Ministers powers to make regulations setting</w:t>
      </w:r>
      <w:r w:rsidR="008E58F8" w:rsidRPr="00A10850">
        <w:rPr>
          <w:rFonts w:ascii="Arial" w:hAnsi="Arial" w:cs="Arial"/>
        </w:rPr>
        <w:t xml:space="preserve"> out the requirements for</w:t>
      </w:r>
      <w:r w:rsidRPr="00A10850">
        <w:rPr>
          <w:rFonts w:ascii="Arial" w:hAnsi="Arial" w:cs="Arial"/>
        </w:rPr>
        <w:t xml:space="preserve"> </w:t>
      </w:r>
      <w:r w:rsidR="006C2F60" w:rsidRPr="00A10850">
        <w:rPr>
          <w:rFonts w:ascii="Arial" w:hAnsi="Arial" w:cs="Arial"/>
        </w:rPr>
        <w:t>PNAs</w:t>
      </w:r>
      <w:r w:rsidRPr="00A10850">
        <w:rPr>
          <w:rFonts w:ascii="Arial" w:hAnsi="Arial" w:cs="Arial"/>
        </w:rPr>
        <w:t xml:space="preserve"> in Wales.  </w:t>
      </w:r>
    </w:p>
    <w:p w14:paraId="15123E18" w14:textId="77777777" w:rsidR="00591DFE" w:rsidRPr="00A10850" w:rsidRDefault="00591DFE" w:rsidP="00DC54F7">
      <w:pPr>
        <w:spacing w:after="0" w:line="240" w:lineRule="auto"/>
        <w:contextualSpacing/>
        <w:jc w:val="both"/>
        <w:rPr>
          <w:rFonts w:ascii="Arial" w:hAnsi="Arial" w:cs="Arial"/>
        </w:rPr>
      </w:pPr>
    </w:p>
    <w:p w14:paraId="77E4EDB1" w14:textId="77777777" w:rsidR="00591DFE" w:rsidRPr="00A10850" w:rsidRDefault="00591DFE" w:rsidP="00DC54F7">
      <w:pPr>
        <w:spacing w:after="0" w:line="240" w:lineRule="auto"/>
        <w:contextualSpacing/>
        <w:jc w:val="both"/>
        <w:rPr>
          <w:rFonts w:ascii="Arial" w:hAnsi="Arial" w:cs="Arial"/>
          <w:b/>
        </w:rPr>
      </w:pPr>
      <w:r w:rsidRPr="00A10850">
        <w:rPr>
          <w:rFonts w:ascii="Arial" w:hAnsi="Arial" w:cs="Arial"/>
          <w:b/>
        </w:rPr>
        <w:t>Intended effect and beneficial outcomes</w:t>
      </w:r>
    </w:p>
    <w:p w14:paraId="247F8A60" w14:textId="77777777" w:rsidR="00591DFE" w:rsidRPr="00A10850" w:rsidRDefault="00591DFE" w:rsidP="00DC54F7">
      <w:pPr>
        <w:spacing w:after="0" w:line="240" w:lineRule="auto"/>
        <w:contextualSpacing/>
        <w:jc w:val="both"/>
        <w:rPr>
          <w:rFonts w:ascii="Arial" w:hAnsi="Arial" w:cs="Arial"/>
        </w:rPr>
      </w:pPr>
    </w:p>
    <w:p w14:paraId="4BEC4E14" w14:textId="3547233D" w:rsidR="00591DFE" w:rsidRPr="00A10850" w:rsidRDefault="00591DFE" w:rsidP="00DC54F7">
      <w:pPr>
        <w:spacing w:after="0" w:line="240" w:lineRule="auto"/>
        <w:contextualSpacing/>
        <w:jc w:val="both"/>
        <w:rPr>
          <w:rFonts w:ascii="Arial" w:hAnsi="Arial" w:cs="Arial"/>
        </w:rPr>
      </w:pPr>
      <w:r w:rsidRPr="00A10850">
        <w:rPr>
          <w:rFonts w:ascii="Arial" w:hAnsi="Arial" w:cs="Arial"/>
        </w:rPr>
        <w:t>The intended effect of introducing PNAs is to improve the planning and delivery of pharmaceutical services by ensuring the health boards robustly consider the pharmaceutical needs of their populations and align services more closely with them. This will require health boards to take a more integrated approach to identifying the pharmaceutical needs of populations, including considering the contribution of all pharmaceutical services providers (</w:t>
      </w:r>
      <w:r w:rsidR="00F56E8C" w:rsidRPr="00A10850">
        <w:rPr>
          <w:rFonts w:ascii="Arial" w:hAnsi="Arial" w:cs="Arial"/>
        </w:rPr>
        <w:t>e.g.,</w:t>
      </w:r>
      <w:r w:rsidRPr="00A10850">
        <w:rPr>
          <w:rFonts w:ascii="Arial" w:hAnsi="Arial" w:cs="Arial"/>
        </w:rPr>
        <w:t xml:space="preserve"> pharmacies and dispensing doctors). Health boards will use these assessments to identify where additional p</w:t>
      </w:r>
      <w:r w:rsidR="008E58F8" w:rsidRPr="00A10850">
        <w:rPr>
          <w:rFonts w:ascii="Arial" w:hAnsi="Arial" w:cs="Arial"/>
        </w:rPr>
        <w:t>remises are required,</w:t>
      </w:r>
      <w:r w:rsidRPr="00A10850">
        <w:rPr>
          <w:rFonts w:ascii="Arial" w:hAnsi="Arial" w:cs="Arial"/>
        </w:rPr>
        <w:t xml:space="preserve"> where existing providers are adequately </w:t>
      </w:r>
      <w:r w:rsidR="008E58F8" w:rsidRPr="00A10850">
        <w:rPr>
          <w:rFonts w:ascii="Arial" w:hAnsi="Arial" w:cs="Arial"/>
        </w:rPr>
        <w:t>addressing pharmaceutical needs,</w:t>
      </w:r>
      <w:r w:rsidRPr="00A10850">
        <w:rPr>
          <w:rFonts w:ascii="Arial" w:hAnsi="Arial" w:cs="Arial"/>
        </w:rPr>
        <w:t xml:space="preserve"> and where additional services are required from existing </w:t>
      </w:r>
      <w:r w:rsidR="008E58F8" w:rsidRPr="00A10850">
        <w:rPr>
          <w:rFonts w:ascii="Arial" w:hAnsi="Arial" w:cs="Arial"/>
        </w:rPr>
        <w:t>premise</w:t>
      </w:r>
      <w:r w:rsidRPr="00A10850">
        <w:rPr>
          <w:rFonts w:ascii="Arial" w:hAnsi="Arial" w:cs="Arial"/>
        </w:rPr>
        <w:t>s.</w:t>
      </w:r>
    </w:p>
    <w:p w14:paraId="437C40DD" w14:textId="77777777" w:rsidR="00591DFE" w:rsidRPr="00A10850" w:rsidRDefault="00591DFE" w:rsidP="00DC54F7">
      <w:pPr>
        <w:spacing w:after="0" w:line="240" w:lineRule="auto"/>
        <w:contextualSpacing/>
        <w:jc w:val="both"/>
        <w:rPr>
          <w:rFonts w:ascii="Arial" w:hAnsi="Arial" w:cs="Arial"/>
        </w:rPr>
      </w:pPr>
    </w:p>
    <w:p w14:paraId="10D131D5" w14:textId="284AE265" w:rsidR="00591DFE" w:rsidRPr="00A10850" w:rsidRDefault="00591DFE" w:rsidP="00DC54F7">
      <w:pPr>
        <w:spacing w:after="0" w:line="240" w:lineRule="auto"/>
        <w:contextualSpacing/>
        <w:jc w:val="both"/>
        <w:rPr>
          <w:rFonts w:ascii="Arial" w:hAnsi="Arial" w:cs="Arial"/>
        </w:rPr>
      </w:pPr>
      <w:r w:rsidRPr="00A10850">
        <w:rPr>
          <w:rFonts w:ascii="Arial" w:hAnsi="Arial" w:cs="Arial"/>
        </w:rPr>
        <w:t xml:space="preserve">The change will provide contractors with increased certainty, reducing business risk and allowing them to invest in the delivery of wider services than they do currently.  Importantly, pharmacies </w:t>
      </w:r>
      <w:r w:rsidR="008E58F8" w:rsidRPr="00A10850">
        <w:rPr>
          <w:rFonts w:ascii="Arial" w:hAnsi="Arial" w:cs="Arial"/>
        </w:rPr>
        <w:t xml:space="preserve">in particular </w:t>
      </w:r>
      <w:r w:rsidRPr="00A10850">
        <w:rPr>
          <w:rFonts w:ascii="Arial" w:hAnsi="Arial" w:cs="Arial"/>
        </w:rPr>
        <w:t xml:space="preserve">will also become more responsive to the needs of the populations they </w:t>
      </w:r>
      <w:r w:rsidR="00F56E8C" w:rsidRPr="00A10850">
        <w:rPr>
          <w:rFonts w:ascii="Arial" w:hAnsi="Arial" w:cs="Arial"/>
        </w:rPr>
        <w:t>serve and</w:t>
      </w:r>
      <w:r w:rsidRPr="00A10850">
        <w:rPr>
          <w:rFonts w:ascii="Arial" w:hAnsi="Arial" w:cs="Arial"/>
        </w:rPr>
        <w:t xml:space="preserve"> provide services effectively to address identified pharmaceutical needs. </w:t>
      </w:r>
    </w:p>
    <w:p w14:paraId="44718029" w14:textId="77777777" w:rsidR="00591DFE" w:rsidRPr="00A10850" w:rsidRDefault="00591DFE" w:rsidP="00DC54F7">
      <w:pPr>
        <w:spacing w:after="0" w:line="240" w:lineRule="auto"/>
        <w:contextualSpacing/>
        <w:jc w:val="both"/>
        <w:rPr>
          <w:rFonts w:ascii="Arial" w:hAnsi="Arial" w:cs="Arial"/>
        </w:rPr>
      </w:pPr>
    </w:p>
    <w:p w14:paraId="514E7F2F" w14:textId="77777777" w:rsidR="00591DFE" w:rsidRPr="00A10850" w:rsidRDefault="00591DFE" w:rsidP="00DC54F7">
      <w:pPr>
        <w:spacing w:after="0" w:line="240" w:lineRule="auto"/>
        <w:contextualSpacing/>
        <w:jc w:val="both"/>
        <w:rPr>
          <w:rFonts w:ascii="Arial" w:hAnsi="Arial" w:cs="Arial"/>
          <w:b/>
        </w:rPr>
      </w:pPr>
      <w:bookmarkStart w:id="68" w:name="_Toc16515758"/>
      <w:r w:rsidRPr="00A10850">
        <w:rPr>
          <w:rFonts w:ascii="Arial" w:hAnsi="Arial" w:cs="Arial"/>
          <w:b/>
        </w:rPr>
        <w:t>Policy, legislative framework and regulation</w:t>
      </w:r>
      <w:bookmarkEnd w:id="68"/>
    </w:p>
    <w:p w14:paraId="4B720331" w14:textId="77777777" w:rsidR="00591DFE" w:rsidRPr="00A10850" w:rsidRDefault="00591DFE" w:rsidP="00DC54F7">
      <w:pPr>
        <w:spacing w:after="0" w:line="240" w:lineRule="auto"/>
        <w:contextualSpacing/>
        <w:jc w:val="both"/>
        <w:rPr>
          <w:rFonts w:ascii="Arial" w:hAnsi="Arial" w:cs="Arial"/>
        </w:rPr>
      </w:pPr>
    </w:p>
    <w:p w14:paraId="6FF155D3" w14:textId="77777777" w:rsidR="00591DFE" w:rsidRPr="00A10850" w:rsidRDefault="00591DFE" w:rsidP="00DC54F7">
      <w:pPr>
        <w:spacing w:after="0" w:line="240" w:lineRule="auto"/>
        <w:contextualSpacing/>
        <w:jc w:val="both"/>
        <w:rPr>
          <w:rFonts w:ascii="Arial" w:hAnsi="Arial" w:cs="Arial"/>
        </w:rPr>
      </w:pPr>
      <w:r w:rsidRPr="00A10850">
        <w:rPr>
          <w:rFonts w:ascii="Arial" w:hAnsi="Arial" w:cs="Arial"/>
        </w:rPr>
        <w:t xml:space="preserve">Section 80 of the 2006 Act places a duty on health boards to make arrangements for the provision of the pharmaceutical services that are set out in subsections 80(3)(a) to (d). These core pharmaceutical services are essentially dispensing services. There is a duty on Welsh Ministers to make regulations governing the way in which health boards make these arrangements. </w:t>
      </w:r>
    </w:p>
    <w:p w14:paraId="1876767E" w14:textId="77777777" w:rsidR="00591DFE" w:rsidRPr="00A10850" w:rsidRDefault="00591DFE" w:rsidP="00DC54F7">
      <w:pPr>
        <w:spacing w:after="0" w:line="240" w:lineRule="auto"/>
        <w:contextualSpacing/>
        <w:jc w:val="both"/>
        <w:rPr>
          <w:rFonts w:ascii="Arial" w:hAnsi="Arial" w:cs="Arial"/>
        </w:rPr>
      </w:pPr>
    </w:p>
    <w:p w14:paraId="13AC768D" w14:textId="2333A48A" w:rsidR="008A07C7" w:rsidRDefault="00591DFE" w:rsidP="00DC54F7">
      <w:pPr>
        <w:spacing w:after="0" w:line="240" w:lineRule="auto"/>
        <w:contextualSpacing/>
        <w:jc w:val="both"/>
        <w:rPr>
          <w:rFonts w:ascii="Arial" w:hAnsi="Arial" w:cs="Arial"/>
        </w:rPr>
      </w:pPr>
      <w:r w:rsidRPr="00A10850">
        <w:rPr>
          <w:rFonts w:ascii="Arial" w:hAnsi="Arial" w:cs="Arial"/>
        </w:rPr>
        <w:t xml:space="preserve">Section 81 of the 2006 Act sets out </w:t>
      </w:r>
      <w:r w:rsidR="008E58F8" w:rsidRPr="00A10850">
        <w:rPr>
          <w:rFonts w:ascii="Arial" w:hAnsi="Arial" w:cs="Arial"/>
        </w:rPr>
        <w:t xml:space="preserve">the </w:t>
      </w:r>
      <w:r w:rsidRPr="00A10850">
        <w:rPr>
          <w:rFonts w:ascii="Arial" w:hAnsi="Arial" w:cs="Arial"/>
        </w:rPr>
        <w:t xml:space="preserve">arrangements that Welsh Ministers may make for the provision of additional pharmaceutical services. </w:t>
      </w:r>
      <w:r w:rsidR="008E58F8" w:rsidRPr="00A10850">
        <w:rPr>
          <w:rFonts w:ascii="Arial" w:hAnsi="Arial" w:cs="Arial"/>
        </w:rPr>
        <w:t>‘</w:t>
      </w:r>
      <w:r w:rsidRPr="00A10850">
        <w:rPr>
          <w:rFonts w:ascii="Arial" w:hAnsi="Arial" w:cs="Arial"/>
        </w:rPr>
        <w:t>Additional pharmaceutical services</w:t>
      </w:r>
      <w:r w:rsidR="008E58F8" w:rsidRPr="00A10850">
        <w:rPr>
          <w:rFonts w:ascii="Arial" w:hAnsi="Arial" w:cs="Arial"/>
        </w:rPr>
        <w:t>’</w:t>
      </w:r>
      <w:r w:rsidRPr="00A10850">
        <w:rPr>
          <w:rFonts w:ascii="Arial" w:hAnsi="Arial" w:cs="Arial"/>
        </w:rPr>
        <w:t xml:space="preserve"> are defined as services of a kind that do not fall within section 80</w:t>
      </w:r>
      <w:r w:rsidR="008E58F8" w:rsidRPr="00A10850">
        <w:rPr>
          <w:rFonts w:ascii="Arial" w:hAnsi="Arial" w:cs="Arial"/>
        </w:rPr>
        <w:t xml:space="preserve"> </w:t>
      </w:r>
      <w:r w:rsidR="00F56E8C" w:rsidRPr="00A10850">
        <w:rPr>
          <w:rFonts w:ascii="Arial" w:hAnsi="Arial" w:cs="Arial"/>
        </w:rPr>
        <w:t>i.e.,</w:t>
      </w:r>
      <w:r w:rsidR="008E58F8" w:rsidRPr="00A10850">
        <w:rPr>
          <w:rFonts w:ascii="Arial" w:hAnsi="Arial" w:cs="Arial"/>
        </w:rPr>
        <w:t xml:space="preserve"> advanced and enhanced services</w:t>
      </w:r>
      <w:r w:rsidRPr="00A10850">
        <w:rPr>
          <w:rFonts w:ascii="Arial" w:hAnsi="Arial" w:cs="Arial"/>
        </w:rPr>
        <w:t>. Section 81 gives Welsh Ministers the power to give directions to a health board</w:t>
      </w:r>
      <w:r w:rsidR="008A07C7">
        <w:rPr>
          <w:rFonts w:ascii="Arial" w:hAnsi="Arial" w:cs="Arial"/>
        </w:rPr>
        <w:t>:</w:t>
      </w:r>
    </w:p>
    <w:p w14:paraId="5A4CAA3B" w14:textId="77777777" w:rsidR="008A07C7" w:rsidRDefault="008A07C7" w:rsidP="00DC54F7">
      <w:pPr>
        <w:spacing w:after="0" w:line="240" w:lineRule="auto"/>
        <w:contextualSpacing/>
        <w:jc w:val="both"/>
        <w:rPr>
          <w:rFonts w:ascii="Arial" w:hAnsi="Arial" w:cs="Arial"/>
        </w:rPr>
      </w:pPr>
    </w:p>
    <w:p w14:paraId="4A2B7D50" w14:textId="77777777" w:rsidR="008A07C7" w:rsidRPr="008A07C7" w:rsidRDefault="00591DFE" w:rsidP="00DC54F7">
      <w:pPr>
        <w:pStyle w:val="ListParagraph"/>
        <w:numPr>
          <w:ilvl w:val="0"/>
          <w:numId w:val="57"/>
        </w:numPr>
        <w:spacing w:after="0" w:line="240" w:lineRule="auto"/>
        <w:jc w:val="both"/>
        <w:rPr>
          <w:rFonts w:ascii="Arial" w:hAnsi="Arial" w:cs="Arial"/>
        </w:rPr>
      </w:pPr>
      <w:r w:rsidRPr="008A07C7">
        <w:rPr>
          <w:rFonts w:ascii="Arial" w:hAnsi="Arial" w:cs="Arial"/>
        </w:rPr>
        <w:t xml:space="preserve">requiring it to arrange for the provision of additional pharmaceutical services, or </w:t>
      </w:r>
    </w:p>
    <w:p w14:paraId="017344C7" w14:textId="77777777" w:rsidR="00591DFE" w:rsidRPr="008A07C7" w:rsidRDefault="00591DFE" w:rsidP="00DC54F7">
      <w:pPr>
        <w:pStyle w:val="ListParagraph"/>
        <w:numPr>
          <w:ilvl w:val="0"/>
          <w:numId w:val="57"/>
        </w:numPr>
        <w:spacing w:after="0" w:line="240" w:lineRule="auto"/>
        <w:jc w:val="both"/>
        <w:rPr>
          <w:rFonts w:ascii="Arial" w:hAnsi="Arial" w:cs="Arial"/>
        </w:rPr>
      </w:pPr>
      <w:r w:rsidRPr="008A07C7">
        <w:rPr>
          <w:rFonts w:ascii="Arial" w:hAnsi="Arial" w:cs="Arial"/>
        </w:rPr>
        <w:t>authorising the health board to arrange for the provision of pharmaceutical services if it wishes.</w:t>
      </w:r>
    </w:p>
    <w:p w14:paraId="3E222A2F" w14:textId="77777777" w:rsidR="00591DFE" w:rsidRPr="00A10850" w:rsidRDefault="00591DFE" w:rsidP="00DC54F7">
      <w:pPr>
        <w:spacing w:after="0" w:line="240" w:lineRule="auto"/>
        <w:contextualSpacing/>
        <w:jc w:val="both"/>
        <w:rPr>
          <w:rFonts w:ascii="Arial" w:hAnsi="Arial" w:cs="Arial"/>
        </w:rPr>
      </w:pPr>
    </w:p>
    <w:p w14:paraId="3FB92724" w14:textId="77777777" w:rsidR="00591DFE" w:rsidRPr="00A10850" w:rsidRDefault="00591DFE" w:rsidP="00DC54F7">
      <w:pPr>
        <w:spacing w:after="0" w:line="240" w:lineRule="auto"/>
        <w:contextualSpacing/>
        <w:jc w:val="both"/>
        <w:rPr>
          <w:rFonts w:ascii="Arial" w:hAnsi="Arial" w:cs="Arial"/>
        </w:rPr>
      </w:pPr>
      <w:r w:rsidRPr="00A10850">
        <w:rPr>
          <w:rFonts w:ascii="Arial" w:hAnsi="Arial" w:cs="Arial"/>
        </w:rPr>
        <w:t>Section 83 of the 2006 Act contains the core of the Welsh Ministers’ regulation making powers in relation to the provision of the pharmaceutical services and, amongst other things, sets out the requirement for regulations to require a health board to prepare and publish a pharmaceutical list, and sets out the tests which those persons wishing to provide pharmaceutical services must pass in order to do so (known as the ‘control of entry test’).</w:t>
      </w:r>
    </w:p>
    <w:p w14:paraId="3D1F5BC2" w14:textId="77777777" w:rsidR="00591DFE" w:rsidRPr="00A10850" w:rsidRDefault="00591DFE" w:rsidP="00DC54F7">
      <w:pPr>
        <w:spacing w:after="0" w:line="240" w:lineRule="auto"/>
        <w:contextualSpacing/>
        <w:jc w:val="both"/>
        <w:rPr>
          <w:rFonts w:ascii="Arial" w:hAnsi="Arial" w:cs="Arial"/>
        </w:rPr>
      </w:pPr>
    </w:p>
    <w:p w14:paraId="770FE67C" w14:textId="77777777" w:rsidR="00591DFE" w:rsidRPr="00A10850" w:rsidRDefault="00591DFE" w:rsidP="00DC54F7">
      <w:pPr>
        <w:spacing w:after="0" w:line="240" w:lineRule="auto"/>
        <w:contextualSpacing/>
        <w:jc w:val="both"/>
        <w:rPr>
          <w:rFonts w:ascii="Arial" w:hAnsi="Arial" w:cs="Arial"/>
        </w:rPr>
      </w:pPr>
      <w:r w:rsidRPr="00A10850">
        <w:rPr>
          <w:rFonts w:ascii="Arial" w:hAnsi="Arial" w:cs="Arial"/>
        </w:rPr>
        <w:lastRenderedPageBreak/>
        <w:t>Section 84 sets out a requirement for Welsh Ministers to provide for rights of appeal against decisions that are made by health boards in exercise of powers conferred upon them by regulations made under section 83.</w:t>
      </w:r>
    </w:p>
    <w:p w14:paraId="380A080D" w14:textId="77777777" w:rsidR="00591DFE" w:rsidRPr="00A10850" w:rsidRDefault="00591DFE" w:rsidP="00DC54F7">
      <w:pPr>
        <w:spacing w:after="0" w:line="240" w:lineRule="auto"/>
        <w:contextualSpacing/>
        <w:jc w:val="both"/>
        <w:rPr>
          <w:rFonts w:ascii="Arial" w:hAnsi="Arial" w:cs="Arial"/>
        </w:rPr>
      </w:pPr>
    </w:p>
    <w:p w14:paraId="73E3AEDD" w14:textId="77777777" w:rsidR="00591DFE" w:rsidRPr="00A10850" w:rsidRDefault="00591DFE" w:rsidP="00DC54F7">
      <w:pPr>
        <w:spacing w:after="0" w:line="240" w:lineRule="auto"/>
        <w:contextualSpacing/>
        <w:jc w:val="both"/>
        <w:rPr>
          <w:rFonts w:ascii="Arial" w:hAnsi="Arial" w:cs="Arial"/>
        </w:rPr>
      </w:pPr>
      <w:r w:rsidRPr="00A10850">
        <w:rPr>
          <w:rFonts w:ascii="Arial" w:hAnsi="Arial" w:cs="Arial"/>
        </w:rPr>
        <w:t>Part 7 of the 2017 Act made provision to amend the 2006 Act in respect of pharmaceutical services.  Section 111 of the 2017 Act inserted a new section 82A in to the 2006 Act conferring powers on the Welsh Ministers to make regulations in respect of PNAs.  The Public Health (Wales) Act 2017 (Commencement No.4) Order 2019 brought Part 7 of the 2017 Act into force on 1 April 2019. As a result, the Welsh Ministers have now made subordinate legislation setting out requirements for PNAs in Wales.</w:t>
      </w:r>
    </w:p>
    <w:p w14:paraId="00B853D1" w14:textId="77777777" w:rsidR="00591DFE" w:rsidRPr="00A10850" w:rsidRDefault="00591DFE" w:rsidP="00DC54F7">
      <w:pPr>
        <w:spacing w:after="0" w:line="240" w:lineRule="auto"/>
        <w:contextualSpacing/>
        <w:jc w:val="both"/>
        <w:rPr>
          <w:rFonts w:ascii="Arial" w:hAnsi="Arial" w:cs="Arial"/>
        </w:rPr>
      </w:pPr>
    </w:p>
    <w:p w14:paraId="3A743265" w14:textId="77777777" w:rsidR="00591DFE" w:rsidRPr="00A10850" w:rsidRDefault="00591DFE" w:rsidP="00DC54F7">
      <w:pPr>
        <w:spacing w:after="0" w:line="240" w:lineRule="auto"/>
        <w:contextualSpacing/>
        <w:jc w:val="both"/>
        <w:rPr>
          <w:rFonts w:ascii="Arial" w:hAnsi="Arial" w:cs="Arial"/>
        </w:rPr>
      </w:pPr>
      <w:r w:rsidRPr="00A10850">
        <w:rPr>
          <w:rFonts w:ascii="Arial" w:hAnsi="Arial" w:cs="Arial"/>
        </w:rPr>
        <w:t xml:space="preserve">The 2013 Regulations were revoked and replaced by </w:t>
      </w:r>
      <w:r w:rsidR="008E58F8" w:rsidRPr="00A10850">
        <w:rPr>
          <w:rFonts w:ascii="Arial" w:hAnsi="Arial" w:cs="Arial"/>
        </w:rPr>
        <w:t>the NHS (Pharmaceutical Services) (Wales) Regulations 2020</w:t>
      </w:r>
      <w:r w:rsidRPr="00A10850">
        <w:rPr>
          <w:rFonts w:ascii="Arial" w:hAnsi="Arial" w:cs="Arial"/>
        </w:rPr>
        <w:t xml:space="preserve">. Part 2 of </w:t>
      </w:r>
      <w:r w:rsidR="003575A4">
        <w:rPr>
          <w:rFonts w:ascii="Arial" w:hAnsi="Arial" w:cs="Arial"/>
        </w:rPr>
        <w:t>the NHS (Pharmaceutical Services) (Wales) Regulations 2020</w:t>
      </w:r>
      <w:r w:rsidR="00F136E4">
        <w:rPr>
          <w:rFonts w:ascii="Arial" w:hAnsi="Arial" w:cs="Arial"/>
        </w:rPr>
        <w:t xml:space="preserve"> </w:t>
      </w:r>
      <w:r w:rsidRPr="00A10850">
        <w:rPr>
          <w:rFonts w:ascii="Arial" w:hAnsi="Arial" w:cs="Arial"/>
        </w:rPr>
        <w:t xml:space="preserve">imposes the legal requirements on health boards to complete </w:t>
      </w:r>
      <w:r w:rsidR="006C2F60" w:rsidRPr="00A10850">
        <w:rPr>
          <w:rFonts w:ascii="Arial" w:hAnsi="Arial" w:cs="Arial"/>
        </w:rPr>
        <w:t>PNAs</w:t>
      </w:r>
      <w:r w:rsidRPr="00A10850">
        <w:rPr>
          <w:rFonts w:ascii="Arial" w:hAnsi="Arial" w:cs="Arial"/>
        </w:rPr>
        <w:t>.</w:t>
      </w:r>
    </w:p>
    <w:p w14:paraId="16BE32BF" w14:textId="77777777" w:rsidR="00591DFE" w:rsidRPr="00A10850" w:rsidRDefault="00591DFE" w:rsidP="00DC54F7">
      <w:pPr>
        <w:spacing w:after="0" w:line="240" w:lineRule="auto"/>
        <w:contextualSpacing/>
        <w:jc w:val="both"/>
        <w:rPr>
          <w:rFonts w:ascii="Arial" w:hAnsi="Arial" w:cs="Arial"/>
        </w:rPr>
      </w:pPr>
    </w:p>
    <w:p w14:paraId="19AD9777" w14:textId="77777777" w:rsidR="00591DFE" w:rsidRPr="00A10850" w:rsidRDefault="003575A4" w:rsidP="00DC54F7">
      <w:pPr>
        <w:spacing w:after="0" w:line="240" w:lineRule="auto"/>
        <w:contextualSpacing/>
        <w:jc w:val="both"/>
        <w:rPr>
          <w:rFonts w:ascii="Arial" w:hAnsi="Arial" w:cs="Arial"/>
        </w:rPr>
      </w:pPr>
      <w:r>
        <w:rPr>
          <w:rFonts w:ascii="Arial" w:hAnsi="Arial" w:cs="Arial"/>
        </w:rPr>
        <w:t>The NHS (Pharmaceutical Services) (Wales) Regulations 2020</w:t>
      </w:r>
      <w:r w:rsidR="006E68DE">
        <w:rPr>
          <w:rFonts w:ascii="Arial" w:hAnsi="Arial" w:cs="Arial"/>
        </w:rPr>
        <w:t xml:space="preserve"> came into force on 1st October</w:t>
      </w:r>
      <w:r w:rsidR="00591DFE" w:rsidRPr="00A10850">
        <w:rPr>
          <w:rFonts w:ascii="Arial" w:hAnsi="Arial" w:cs="Arial"/>
        </w:rPr>
        <w:t xml:space="preserve"> 2020 and health boards have until 1 </w:t>
      </w:r>
      <w:r w:rsidR="006E68DE">
        <w:rPr>
          <w:rFonts w:ascii="Arial" w:hAnsi="Arial" w:cs="Arial"/>
        </w:rPr>
        <w:t>October</w:t>
      </w:r>
      <w:r w:rsidR="00667322" w:rsidRPr="00A10850">
        <w:rPr>
          <w:rFonts w:ascii="Arial" w:hAnsi="Arial" w:cs="Arial"/>
        </w:rPr>
        <w:t xml:space="preserve"> 202</w:t>
      </w:r>
      <w:r w:rsidR="008E58F8" w:rsidRPr="00A10850">
        <w:rPr>
          <w:rFonts w:ascii="Arial" w:hAnsi="Arial" w:cs="Arial"/>
        </w:rPr>
        <w:t>1</w:t>
      </w:r>
      <w:r w:rsidR="00591DFE" w:rsidRPr="00A10850">
        <w:rPr>
          <w:rFonts w:ascii="Arial" w:hAnsi="Arial" w:cs="Arial"/>
        </w:rPr>
        <w:t xml:space="preserve"> to publish their first PNA.  </w:t>
      </w:r>
    </w:p>
    <w:p w14:paraId="33986E0C" w14:textId="77777777" w:rsidR="00591DFE" w:rsidRPr="00A10850" w:rsidRDefault="00591DFE" w:rsidP="00DC54F7">
      <w:pPr>
        <w:spacing w:after="0" w:line="240" w:lineRule="auto"/>
        <w:contextualSpacing/>
        <w:jc w:val="both"/>
        <w:rPr>
          <w:rFonts w:ascii="Arial" w:hAnsi="Arial" w:cs="Arial"/>
        </w:rPr>
      </w:pPr>
    </w:p>
    <w:p w14:paraId="79C29693" w14:textId="77777777" w:rsidR="00F22838" w:rsidRPr="00A10850" w:rsidRDefault="00F22838" w:rsidP="00DC54F7">
      <w:pPr>
        <w:spacing w:after="0" w:line="240" w:lineRule="auto"/>
        <w:contextualSpacing/>
        <w:jc w:val="both"/>
        <w:rPr>
          <w:rFonts w:ascii="Arial" w:hAnsi="Arial" w:cs="Arial"/>
          <w:lang w:val="en-US"/>
        </w:rPr>
      </w:pPr>
      <w:r w:rsidRPr="00A10850">
        <w:rPr>
          <w:rFonts w:ascii="Arial" w:hAnsi="Arial" w:cs="Arial"/>
          <w:lang w:val="en-US"/>
        </w:rPr>
        <w:t xml:space="preserve">In summary the </w:t>
      </w:r>
      <w:r w:rsidR="00F136E4" w:rsidRPr="00F136E4">
        <w:rPr>
          <w:rFonts w:ascii="Arial" w:hAnsi="Arial" w:cs="Arial"/>
          <w:lang w:val="en-US"/>
        </w:rPr>
        <w:t>NHS (Pharmaceutical Services)</w:t>
      </w:r>
      <w:r w:rsidR="006E68DE">
        <w:rPr>
          <w:rFonts w:ascii="Arial" w:hAnsi="Arial" w:cs="Arial"/>
          <w:lang w:val="en-US"/>
        </w:rPr>
        <w:t xml:space="preserve"> (Wales)</w:t>
      </w:r>
      <w:r w:rsidR="00F136E4" w:rsidRPr="00F136E4">
        <w:rPr>
          <w:rFonts w:ascii="Arial" w:hAnsi="Arial" w:cs="Arial"/>
          <w:lang w:val="en-US"/>
        </w:rPr>
        <w:t xml:space="preserve"> Regulations 2020</w:t>
      </w:r>
      <w:r w:rsidR="00F136E4">
        <w:rPr>
          <w:rFonts w:ascii="Arial" w:hAnsi="Arial" w:cs="Arial"/>
          <w:lang w:val="en-US"/>
        </w:rPr>
        <w:t xml:space="preserve"> </w:t>
      </w:r>
      <w:r w:rsidRPr="00A10850">
        <w:rPr>
          <w:rFonts w:ascii="Arial" w:hAnsi="Arial" w:cs="Arial"/>
          <w:lang w:val="en-US"/>
        </w:rPr>
        <w:t>set out the:</w:t>
      </w:r>
    </w:p>
    <w:p w14:paraId="39178BE6" w14:textId="77777777" w:rsidR="00F22838" w:rsidRPr="00A10850" w:rsidRDefault="00F22838" w:rsidP="00DC54F7">
      <w:pPr>
        <w:spacing w:after="0" w:line="240" w:lineRule="auto"/>
        <w:contextualSpacing/>
        <w:jc w:val="both"/>
        <w:rPr>
          <w:rFonts w:ascii="Arial" w:hAnsi="Arial" w:cs="Arial"/>
          <w:lang w:val="en-US"/>
        </w:rPr>
      </w:pPr>
    </w:p>
    <w:p w14:paraId="575ED231" w14:textId="77777777" w:rsidR="00F22838" w:rsidRPr="00A10850" w:rsidRDefault="00F22838" w:rsidP="00DC54F7">
      <w:pPr>
        <w:pStyle w:val="ListParagraph"/>
        <w:numPr>
          <w:ilvl w:val="0"/>
          <w:numId w:val="2"/>
        </w:numPr>
        <w:spacing w:after="0" w:line="240" w:lineRule="auto"/>
        <w:jc w:val="both"/>
        <w:rPr>
          <w:rFonts w:ascii="Arial" w:hAnsi="Arial" w:cs="Arial"/>
          <w:lang w:val="en-US"/>
        </w:rPr>
      </w:pPr>
      <w:r w:rsidRPr="00A10850">
        <w:rPr>
          <w:rFonts w:ascii="Arial" w:hAnsi="Arial" w:cs="Arial"/>
          <w:lang w:val="en-US"/>
        </w:rPr>
        <w:t xml:space="preserve">Services that are to be covered by the </w:t>
      </w:r>
      <w:r w:rsidR="006C2F60" w:rsidRPr="00A10850">
        <w:rPr>
          <w:rFonts w:ascii="Arial" w:hAnsi="Arial" w:cs="Arial"/>
          <w:lang w:val="en-US"/>
        </w:rPr>
        <w:t>PNA</w:t>
      </w:r>
    </w:p>
    <w:p w14:paraId="6BB28142" w14:textId="77777777" w:rsidR="00F22838" w:rsidRPr="00A10850" w:rsidRDefault="00F22838" w:rsidP="00DC54F7">
      <w:pPr>
        <w:pStyle w:val="ListParagraph"/>
        <w:numPr>
          <w:ilvl w:val="0"/>
          <w:numId w:val="2"/>
        </w:numPr>
        <w:spacing w:after="0" w:line="240" w:lineRule="auto"/>
        <w:jc w:val="both"/>
        <w:rPr>
          <w:rFonts w:ascii="Arial" w:hAnsi="Arial" w:cs="Arial"/>
          <w:lang w:val="en-US"/>
        </w:rPr>
      </w:pPr>
      <w:r w:rsidRPr="00A10850">
        <w:rPr>
          <w:rFonts w:ascii="Arial" w:hAnsi="Arial" w:cs="Arial"/>
          <w:lang w:val="en-US"/>
        </w:rPr>
        <w:t xml:space="preserve">Information that must be included in the </w:t>
      </w:r>
      <w:r w:rsidR="006C2F60" w:rsidRPr="00A10850">
        <w:rPr>
          <w:rFonts w:ascii="Arial" w:hAnsi="Arial" w:cs="Arial"/>
          <w:lang w:val="en-US"/>
        </w:rPr>
        <w:t>PNA</w:t>
      </w:r>
      <w:r w:rsidRPr="00A10850">
        <w:rPr>
          <w:rFonts w:ascii="Arial" w:hAnsi="Arial" w:cs="Arial"/>
          <w:lang w:val="en-US"/>
        </w:rPr>
        <w:t xml:space="preserve"> (it should be noted that </w:t>
      </w:r>
      <w:r w:rsidR="00591DFE" w:rsidRPr="00A10850">
        <w:rPr>
          <w:rFonts w:ascii="Arial" w:hAnsi="Arial" w:cs="Arial"/>
          <w:lang w:val="en-US"/>
        </w:rPr>
        <w:t>health b</w:t>
      </w:r>
      <w:r w:rsidR="007F6811" w:rsidRPr="00A10850">
        <w:rPr>
          <w:rFonts w:ascii="Arial" w:hAnsi="Arial" w:cs="Arial"/>
          <w:lang w:val="en-US"/>
        </w:rPr>
        <w:t>oard</w:t>
      </w:r>
      <w:r w:rsidRPr="00A10850">
        <w:rPr>
          <w:rFonts w:ascii="Arial" w:hAnsi="Arial" w:cs="Arial"/>
          <w:lang w:val="en-US"/>
        </w:rPr>
        <w:t>s are free to include any other informat</w:t>
      </w:r>
      <w:r w:rsidR="00A931C2" w:rsidRPr="00A10850">
        <w:rPr>
          <w:rFonts w:ascii="Arial" w:hAnsi="Arial" w:cs="Arial"/>
          <w:lang w:val="en-US"/>
        </w:rPr>
        <w:t>ion that they feel is relevant)</w:t>
      </w:r>
    </w:p>
    <w:p w14:paraId="3A15AA8D" w14:textId="77777777" w:rsidR="00F22838" w:rsidRPr="00A10850" w:rsidRDefault="00167A1C" w:rsidP="00DC54F7">
      <w:pPr>
        <w:pStyle w:val="ListParagraph"/>
        <w:numPr>
          <w:ilvl w:val="0"/>
          <w:numId w:val="2"/>
        </w:numPr>
        <w:spacing w:after="0" w:line="240" w:lineRule="auto"/>
        <w:jc w:val="both"/>
        <w:rPr>
          <w:rFonts w:ascii="Arial" w:hAnsi="Arial" w:cs="Arial"/>
          <w:lang w:val="en-US"/>
        </w:rPr>
      </w:pPr>
      <w:r w:rsidRPr="00A10850">
        <w:rPr>
          <w:rFonts w:ascii="Arial" w:hAnsi="Arial" w:cs="Arial"/>
          <w:lang w:val="en-US"/>
        </w:rPr>
        <w:t>D</w:t>
      </w:r>
      <w:r w:rsidR="00F22838" w:rsidRPr="00A10850">
        <w:rPr>
          <w:rFonts w:ascii="Arial" w:hAnsi="Arial" w:cs="Arial"/>
          <w:lang w:val="en-US"/>
        </w:rPr>
        <w:t xml:space="preserve">ate by which </w:t>
      </w:r>
      <w:r w:rsidR="00591DFE" w:rsidRPr="00A10850">
        <w:rPr>
          <w:rFonts w:ascii="Arial" w:hAnsi="Arial" w:cs="Arial"/>
          <w:lang w:val="en-US"/>
        </w:rPr>
        <w:t>health b</w:t>
      </w:r>
      <w:r w:rsidR="007F6811" w:rsidRPr="00A10850">
        <w:rPr>
          <w:rFonts w:ascii="Arial" w:hAnsi="Arial" w:cs="Arial"/>
          <w:lang w:val="en-US"/>
        </w:rPr>
        <w:t>oard</w:t>
      </w:r>
      <w:r w:rsidR="00F22838" w:rsidRPr="00A10850">
        <w:rPr>
          <w:rFonts w:ascii="Arial" w:hAnsi="Arial" w:cs="Arial"/>
          <w:lang w:val="en-US"/>
        </w:rPr>
        <w:t xml:space="preserve">s must publish their first </w:t>
      </w:r>
      <w:r w:rsidR="006C2F60" w:rsidRPr="00A10850">
        <w:rPr>
          <w:rFonts w:ascii="Arial" w:hAnsi="Arial" w:cs="Arial"/>
          <w:lang w:val="en-US"/>
        </w:rPr>
        <w:t>PNA</w:t>
      </w:r>
    </w:p>
    <w:p w14:paraId="6C3CBA83" w14:textId="77777777" w:rsidR="00F22838" w:rsidRPr="00A10850" w:rsidRDefault="00F22838" w:rsidP="00DC54F7">
      <w:pPr>
        <w:pStyle w:val="ListParagraph"/>
        <w:numPr>
          <w:ilvl w:val="0"/>
          <w:numId w:val="2"/>
        </w:numPr>
        <w:spacing w:after="0" w:line="240" w:lineRule="auto"/>
        <w:jc w:val="both"/>
        <w:rPr>
          <w:rFonts w:ascii="Arial" w:hAnsi="Arial" w:cs="Arial"/>
          <w:lang w:val="en-US"/>
        </w:rPr>
      </w:pPr>
      <w:r w:rsidRPr="00A10850">
        <w:rPr>
          <w:rFonts w:ascii="Arial" w:hAnsi="Arial" w:cs="Arial"/>
          <w:lang w:val="en-US"/>
        </w:rPr>
        <w:t xml:space="preserve">Requirement on </w:t>
      </w:r>
      <w:r w:rsidR="00591DFE" w:rsidRPr="00A10850">
        <w:rPr>
          <w:rFonts w:ascii="Arial" w:hAnsi="Arial" w:cs="Arial"/>
          <w:lang w:val="en-US"/>
        </w:rPr>
        <w:t>health b</w:t>
      </w:r>
      <w:r w:rsidR="007F6811" w:rsidRPr="00A10850">
        <w:rPr>
          <w:rFonts w:ascii="Arial" w:hAnsi="Arial" w:cs="Arial"/>
          <w:lang w:val="en-US"/>
        </w:rPr>
        <w:t>oard</w:t>
      </w:r>
      <w:r w:rsidRPr="00A10850">
        <w:rPr>
          <w:rFonts w:ascii="Arial" w:hAnsi="Arial" w:cs="Arial"/>
          <w:lang w:val="en-US"/>
        </w:rPr>
        <w:t xml:space="preserve">s to publish further </w:t>
      </w:r>
      <w:r w:rsidR="006C2F60" w:rsidRPr="00A10850">
        <w:rPr>
          <w:rFonts w:ascii="Arial" w:hAnsi="Arial" w:cs="Arial"/>
          <w:lang w:val="en-US"/>
        </w:rPr>
        <w:t>PNAs</w:t>
      </w:r>
      <w:r w:rsidR="00667322" w:rsidRPr="00A10850">
        <w:rPr>
          <w:rFonts w:ascii="Arial" w:hAnsi="Arial" w:cs="Arial"/>
          <w:lang w:val="en-US"/>
        </w:rPr>
        <w:t xml:space="preserve"> on a </w:t>
      </w:r>
      <w:r w:rsidR="00591DFE" w:rsidRPr="00A10850">
        <w:rPr>
          <w:rFonts w:ascii="Arial" w:hAnsi="Arial" w:cs="Arial"/>
          <w:lang w:val="en-US"/>
        </w:rPr>
        <w:t>five</w:t>
      </w:r>
      <w:r w:rsidR="00A931C2" w:rsidRPr="00A10850">
        <w:rPr>
          <w:rFonts w:ascii="Arial" w:hAnsi="Arial" w:cs="Arial"/>
          <w:lang w:val="en-US"/>
        </w:rPr>
        <w:t xml:space="preserve"> yearly basis</w:t>
      </w:r>
    </w:p>
    <w:p w14:paraId="70CC24E1" w14:textId="77777777" w:rsidR="00F22838" w:rsidRPr="00A10850" w:rsidRDefault="00F22838" w:rsidP="00DC54F7">
      <w:pPr>
        <w:pStyle w:val="ListParagraph"/>
        <w:numPr>
          <w:ilvl w:val="0"/>
          <w:numId w:val="2"/>
        </w:numPr>
        <w:spacing w:after="0" w:line="240" w:lineRule="auto"/>
        <w:jc w:val="both"/>
        <w:rPr>
          <w:rFonts w:ascii="Arial" w:hAnsi="Arial" w:cs="Arial"/>
          <w:lang w:val="en-US"/>
        </w:rPr>
      </w:pPr>
      <w:r w:rsidRPr="00A10850">
        <w:rPr>
          <w:rFonts w:ascii="Arial" w:hAnsi="Arial" w:cs="Arial"/>
          <w:lang w:val="en-US"/>
        </w:rPr>
        <w:t xml:space="preserve">Requirement to publish a revised assessment sooner than on a </w:t>
      </w:r>
      <w:r w:rsidR="00591DFE" w:rsidRPr="00A10850">
        <w:rPr>
          <w:rFonts w:ascii="Arial" w:hAnsi="Arial" w:cs="Arial"/>
          <w:lang w:val="en-US"/>
        </w:rPr>
        <w:t>five</w:t>
      </w:r>
      <w:r w:rsidRPr="00A10850">
        <w:rPr>
          <w:rFonts w:ascii="Arial" w:hAnsi="Arial" w:cs="Arial"/>
          <w:lang w:val="en-US"/>
        </w:rPr>
        <w:t xml:space="preserve"> yearly</w:t>
      </w:r>
      <w:r w:rsidR="00A931C2" w:rsidRPr="00A10850">
        <w:rPr>
          <w:rFonts w:ascii="Arial" w:hAnsi="Arial" w:cs="Arial"/>
          <w:lang w:val="en-US"/>
        </w:rPr>
        <w:t xml:space="preserve"> basis in certain circumstances</w:t>
      </w:r>
    </w:p>
    <w:p w14:paraId="62AFBE27" w14:textId="77777777" w:rsidR="00F22838" w:rsidRPr="00A10850" w:rsidRDefault="00F22838" w:rsidP="00DC54F7">
      <w:pPr>
        <w:pStyle w:val="ListParagraph"/>
        <w:numPr>
          <w:ilvl w:val="0"/>
          <w:numId w:val="2"/>
        </w:numPr>
        <w:spacing w:after="0" w:line="240" w:lineRule="auto"/>
        <w:jc w:val="both"/>
        <w:rPr>
          <w:rFonts w:ascii="Arial" w:hAnsi="Arial" w:cs="Arial"/>
          <w:lang w:val="en-US"/>
        </w:rPr>
      </w:pPr>
      <w:r w:rsidRPr="00A10850">
        <w:rPr>
          <w:rFonts w:ascii="Arial" w:hAnsi="Arial" w:cs="Arial"/>
          <w:lang w:val="en-US"/>
        </w:rPr>
        <w:t>Requirement to publish supplementary stat</w:t>
      </w:r>
      <w:r w:rsidR="00A931C2" w:rsidRPr="00A10850">
        <w:rPr>
          <w:rFonts w:ascii="Arial" w:hAnsi="Arial" w:cs="Arial"/>
          <w:lang w:val="en-US"/>
        </w:rPr>
        <w:t>ements in certain circumstances</w:t>
      </w:r>
      <w:r w:rsidRPr="00A10850">
        <w:rPr>
          <w:rFonts w:ascii="Arial" w:hAnsi="Arial" w:cs="Arial"/>
          <w:lang w:val="en-US"/>
        </w:rPr>
        <w:t xml:space="preserve"> </w:t>
      </w:r>
    </w:p>
    <w:p w14:paraId="0B1EC619" w14:textId="77777777" w:rsidR="00F22838" w:rsidRPr="00A10850" w:rsidRDefault="00F22838" w:rsidP="00DC54F7">
      <w:pPr>
        <w:pStyle w:val="ListParagraph"/>
        <w:numPr>
          <w:ilvl w:val="0"/>
          <w:numId w:val="2"/>
        </w:numPr>
        <w:spacing w:after="0" w:line="240" w:lineRule="auto"/>
        <w:jc w:val="both"/>
        <w:rPr>
          <w:rFonts w:ascii="Arial" w:hAnsi="Arial" w:cs="Arial"/>
          <w:lang w:val="en-US"/>
        </w:rPr>
      </w:pPr>
      <w:r w:rsidRPr="00A10850">
        <w:rPr>
          <w:rFonts w:ascii="Arial" w:hAnsi="Arial" w:cs="Arial"/>
          <w:lang w:val="en-US"/>
        </w:rPr>
        <w:t xml:space="preserve">Requirement to consult with certain people and organisations at least once during the production of the </w:t>
      </w:r>
      <w:r w:rsidR="006C2F60" w:rsidRPr="00A10850">
        <w:rPr>
          <w:rFonts w:ascii="Arial" w:hAnsi="Arial" w:cs="Arial"/>
          <w:lang w:val="en-US"/>
        </w:rPr>
        <w:t>PNA</w:t>
      </w:r>
      <w:r w:rsidRPr="00A10850">
        <w:rPr>
          <w:rFonts w:ascii="Arial" w:hAnsi="Arial" w:cs="Arial"/>
          <w:lang w:val="en-US"/>
        </w:rPr>
        <w:t>, for at least 60 days; and</w:t>
      </w:r>
    </w:p>
    <w:p w14:paraId="36A25E16" w14:textId="77777777" w:rsidR="00F22838" w:rsidRPr="00A10850" w:rsidRDefault="00F22838" w:rsidP="00DC54F7">
      <w:pPr>
        <w:pStyle w:val="ListParagraph"/>
        <w:numPr>
          <w:ilvl w:val="0"/>
          <w:numId w:val="2"/>
        </w:numPr>
        <w:spacing w:after="0" w:line="240" w:lineRule="auto"/>
        <w:jc w:val="both"/>
        <w:rPr>
          <w:rFonts w:ascii="Arial" w:hAnsi="Arial" w:cs="Arial"/>
          <w:lang w:val="en-US"/>
        </w:rPr>
      </w:pPr>
      <w:r w:rsidRPr="00A10850">
        <w:rPr>
          <w:rFonts w:ascii="Arial" w:hAnsi="Arial" w:cs="Arial"/>
          <w:lang w:val="en-US"/>
        </w:rPr>
        <w:t xml:space="preserve">Matters the </w:t>
      </w:r>
      <w:r w:rsidR="00591DFE" w:rsidRPr="00A10850">
        <w:rPr>
          <w:rFonts w:ascii="Arial" w:hAnsi="Arial" w:cs="Arial"/>
          <w:lang w:val="en-US"/>
        </w:rPr>
        <w:t>health b</w:t>
      </w:r>
      <w:r w:rsidR="00735FB3" w:rsidRPr="00A10850">
        <w:rPr>
          <w:rFonts w:ascii="Arial" w:hAnsi="Arial" w:cs="Arial"/>
          <w:lang w:val="en-US"/>
        </w:rPr>
        <w:t xml:space="preserve">oard </w:t>
      </w:r>
      <w:r w:rsidRPr="00A10850">
        <w:rPr>
          <w:rFonts w:ascii="Arial" w:hAnsi="Arial" w:cs="Arial"/>
          <w:lang w:val="en-US"/>
        </w:rPr>
        <w:t xml:space="preserve">is to have regard to when producing its </w:t>
      </w:r>
      <w:r w:rsidR="00591DFE" w:rsidRPr="00A10850">
        <w:rPr>
          <w:rFonts w:ascii="Arial" w:hAnsi="Arial" w:cs="Arial"/>
          <w:lang w:val="en-US"/>
        </w:rPr>
        <w:t>PNA</w:t>
      </w:r>
      <w:r w:rsidRPr="00A10850">
        <w:rPr>
          <w:rFonts w:ascii="Arial" w:hAnsi="Arial" w:cs="Arial"/>
          <w:lang w:val="en-US"/>
        </w:rPr>
        <w:t>.</w:t>
      </w:r>
    </w:p>
    <w:p w14:paraId="0E0043E4" w14:textId="77777777" w:rsidR="00E93CC2" w:rsidRPr="00A10850" w:rsidRDefault="00E93CC2" w:rsidP="00DC54F7">
      <w:pPr>
        <w:spacing w:after="0" w:line="240" w:lineRule="auto"/>
        <w:contextualSpacing/>
        <w:jc w:val="both"/>
        <w:rPr>
          <w:rFonts w:ascii="Arial" w:hAnsi="Arial" w:cs="Arial"/>
        </w:rPr>
      </w:pPr>
    </w:p>
    <w:p w14:paraId="3B3949C3" w14:textId="77777777" w:rsidR="00E93CC2" w:rsidRPr="00A10850" w:rsidRDefault="00E93CC2" w:rsidP="00DC54F7">
      <w:pPr>
        <w:spacing w:after="0" w:line="240" w:lineRule="auto"/>
        <w:contextualSpacing/>
        <w:jc w:val="both"/>
        <w:rPr>
          <w:rFonts w:ascii="Arial" w:hAnsi="Arial" w:cs="Arial"/>
        </w:rPr>
      </w:pPr>
      <w:r w:rsidRPr="00A10850">
        <w:rPr>
          <w:rFonts w:ascii="Arial" w:hAnsi="Arial" w:cs="Arial"/>
        </w:rPr>
        <w:t xml:space="preserve">Once a </w:t>
      </w:r>
      <w:r w:rsidR="00591DFE" w:rsidRPr="00A10850">
        <w:rPr>
          <w:rFonts w:ascii="Arial" w:hAnsi="Arial" w:cs="Arial"/>
        </w:rPr>
        <w:t>health b</w:t>
      </w:r>
      <w:r w:rsidR="00735FB3" w:rsidRPr="00A10850">
        <w:rPr>
          <w:rFonts w:ascii="Arial" w:hAnsi="Arial" w:cs="Arial"/>
        </w:rPr>
        <w:t xml:space="preserve">oard </w:t>
      </w:r>
      <w:r w:rsidRPr="00A10850">
        <w:rPr>
          <w:rFonts w:ascii="Arial" w:hAnsi="Arial" w:cs="Arial"/>
        </w:rPr>
        <w:t xml:space="preserve">has published its first </w:t>
      </w:r>
      <w:r w:rsidR="00591DFE" w:rsidRPr="00A10850">
        <w:rPr>
          <w:rFonts w:ascii="Arial" w:hAnsi="Arial" w:cs="Arial"/>
        </w:rPr>
        <w:t>PNA</w:t>
      </w:r>
      <w:r w:rsidRPr="00A10850">
        <w:rPr>
          <w:rFonts w:ascii="Arial" w:hAnsi="Arial" w:cs="Arial"/>
        </w:rPr>
        <w:t xml:space="preserve"> it is required to produce a revised </w:t>
      </w:r>
      <w:r w:rsidR="00591DFE" w:rsidRPr="00A10850">
        <w:rPr>
          <w:rFonts w:ascii="Arial" w:hAnsi="Arial" w:cs="Arial"/>
        </w:rPr>
        <w:t>PNA</w:t>
      </w:r>
      <w:r w:rsidRPr="00A10850">
        <w:rPr>
          <w:rFonts w:ascii="Arial" w:hAnsi="Arial" w:cs="Arial"/>
        </w:rPr>
        <w:t xml:space="preserve"> within </w:t>
      </w:r>
      <w:r w:rsidR="00591DFE" w:rsidRPr="00A10850">
        <w:rPr>
          <w:rFonts w:ascii="Arial" w:hAnsi="Arial" w:cs="Arial"/>
        </w:rPr>
        <w:t>five</w:t>
      </w:r>
      <w:r w:rsidRPr="00A10850">
        <w:rPr>
          <w:rFonts w:ascii="Arial" w:hAnsi="Arial" w:cs="Arial"/>
        </w:rPr>
        <w:t xml:space="preserve"> </w:t>
      </w:r>
      <w:r w:rsidR="00FE3179" w:rsidRPr="00A10850">
        <w:rPr>
          <w:rFonts w:ascii="Arial" w:hAnsi="Arial" w:cs="Arial"/>
        </w:rPr>
        <w:t>years</w:t>
      </w:r>
      <w:r w:rsidRPr="00A10850">
        <w:rPr>
          <w:rFonts w:ascii="Arial" w:hAnsi="Arial" w:cs="Arial"/>
        </w:rPr>
        <w:t xml:space="preserve"> or sooner if it identifies changes to the need for pharmaceutical services which are of a significant extent.</w:t>
      </w:r>
      <w:r w:rsidR="00980EC8" w:rsidRPr="00A10850">
        <w:rPr>
          <w:rFonts w:ascii="Arial" w:hAnsi="Arial" w:cs="Arial"/>
        </w:rPr>
        <w:t xml:space="preserve"> </w:t>
      </w:r>
      <w:r w:rsidRPr="00A10850">
        <w:rPr>
          <w:rFonts w:ascii="Arial" w:hAnsi="Arial" w:cs="Arial"/>
        </w:rPr>
        <w:t xml:space="preserve">The only exception to this is where the </w:t>
      </w:r>
      <w:r w:rsidR="00591DFE" w:rsidRPr="00A10850">
        <w:rPr>
          <w:rFonts w:ascii="Arial" w:hAnsi="Arial" w:cs="Arial"/>
        </w:rPr>
        <w:t>health b</w:t>
      </w:r>
      <w:r w:rsidR="00735FB3" w:rsidRPr="00A10850">
        <w:rPr>
          <w:rFonts w:ascii="Arial" w:hAnsi="Arial" w:cs="Arial"/>
        </w:rPr>
        <w:t xml:space="preserve">oard </w:t>
      </w:r>
      <w:r w:rsidRPr="00A10850">
        <w:rPr>
          <w:rFonts w:ascii="Arial" w:hAnsi="Arial" w:cs="Arial"/>
        </w:rPr>
        <w:t xml:space="preserve">is satisfied that producing a revised </w:t>
      </w:r>
      <w:r w:rsidR="006C2F60" w:rsidRPr="00A10850">
        <w:rPr>
          <w:rFonts w:ascii="Arial" w:hAnsi="Arial" w:cs="Arial"/>
        </w:rPr>
        <w:t>PNA</w:t>
      </w:r>
      <w:r w:rsidRPr="00A10850">
        <w:rPr>
          <w:rFonts w:ascii="Arial" w:hAnsi="Arial" w:cs="Arial"/>
        </w:rPr>
        <w:t xml:space="preserve"> would be a disproportionate response to those changes.</w:t>
      </w:r>
    </w:p>
    <w:p w14:paraId="1FCF7FB4" w14:textId="77777777" w:rsidR="00FE3179" w:rsidRPr="00A10850" w:rsidRDefault="00FE3179" w:rsidP="00DC54F7">
      <w:pPr>
        <w:spacing w:after="0" w:line="240" w:lineRule="auto"/>
        <w:contextualSpacing/>
        <w:jc w:val="both"/>
        <w:rPr>
          <w:rFonts w:ascii="Arial" w:hAnsi="Arial" w:cs="Arial"/>
        </w:rPr>
      </w:pPr>
    </w:p>
    <w:p w14:paraId="7662E944" w14:textId="5CCCC5C7" w:rsidR="00591DFE" w:rsidRPr="00A10850" w:rsidRDefault="00FE3179" w:rsidP="00DC54F7">
      <w:pPr>
        <w:spacing w:after="0" w:line="240" w:lineRule="auto"/>
        <w:contextualSpacing/>
        <w:jc w:val="both"/>
        <w:rPr>
          <w:rFonts w:ascii="Arial" w:hAnsi="Arial" w:cs="Arial"/>
        </w:rPr>
      </w:pPr>
      <w:r w:rsidRPr="00A10850">
        <w:rPr>
          <w:rFonts w:ascii="Arial" w:hAnsi="Arial" w:cs="Arial"/>
        </w:rPr>
        <w:t xml:space="preserve">In </w:t>
      </w:r>
      <w:r w:rsidR="00F56E8C" w:rsidRPr="00A10850">
        <w:rPr>
          <w:rFonts w:ascii="Arial" w:hAnsi="Arial" w:cs="Arial"/>
        </w:rPr>
        <w:t>addition,</w:t>
      </w:r>
      <w:r w:rsidRPr="00A10850">
        <w:rPr>
          <w:rFonts w:ascii="Arial" w:hAnsi="Arial" w:cs="Arial"/>
        </w:rPr>
        <w:t xml:space="preserve"> a </w:t>
      </w:r>
      <w:r w:rsidR="00591DFE" w:rsidRPr="00A10850">
        <w:rPr>
          <w:rFonts w:ascii="Arial" w:hAnsi="Arial" w:cs="Arial"/>
        </w:rPr>
        <w:t>health b</w:t>
      </w:r>
      <w:r w:rsidR="00735FB3" w:rsidRPr="00A10850">
        <w:rPr>
          <w:rFonts w:ascii="Arial" w:hAnsi="Arial" w:cs="Arial"/>
        </w:rPr>
        <w:t xml:space="preserve">oard </w:t>
      </w:r>
      <w:r w:rsidRPr="00A10850">
        <w:rPr>
          <w:rFonts w:ascii="Arial" w:hAnsi="Arial" w:cs="Arial"/>
        </w:rPr>
        <w:t>may publish a supplementary stateme</w:t>
      </w:r>
      <w:r w:rsidR="00C30793" w:rsidRPr="00A10850">
        <w:rPr>
          <w:rFonts w:ascii="Arial" w:hAnsi="Arial" w:cs="Arial"/>
        </w:rPr>
        <w:t>nt</w:t>
      </w:r>
      <w:r w:rsidR="00591DFE" w:rsidRPr="00A10850">
        <w:rPr>
          <w:rFonts w:ascii="Arial" w:hAnsi="Arial" w:cs="Arial"/>
        </w:rPr>
        <w:t xml:space="preserve"> where it</w:t>
      </w:r>
      <w:r w:rsidR="00735FB3" w:rsidRPr="00A10850">
        <w:rPr>
          <w:rFonts w:ascii="Arial" w:hAnsi="Arial" w:cs="Arial"/>
        </w:rPr>
        <w:t xml:space="preserve"> </w:t>
      </w:r>
      <w:r w:rsidRPr="00A10850">
        <w:rPr>
          <w:rFonts w:ascii="Arial" w:hAnsi="Arial" w:cs="Arial"/>
        </w:rPr>
        <w:t xml:space="preserve">identifies changes to the availability of pharmaceutical services which are relevant to the granting of applications </w:t>
      </w:r>
      <w:r w:rsidR="00591DFE" w:rsidRPr="00A10850">
        <w:rPr>
          <w:rFonts w:ascii="Arial" w:hAnsi="Arial" w:cs="Arial"/>
        </w:rPr>
        <w:t>referred to in Section 83 of the 2006 Act</w:t>
      </w:r>
      <w:r w:rsidRPr="00A10850">
        <w:rPr>
          <w:rFonts w:ascii="Arial" w:hAnsi="Arial" w:cs="Arial"/>
        </w:rPr>
        <w:t xml:space="preserve">, </w:t>
      </w:r>
      <w:r w:rsidR="00591DFE" w:rsidRPr="00A10850">
        <w:rPr>
          <w:rFonts w:ascii="Arial" w:hAnsi="Arial" w:cs="Arial"/>
        </w:rPr>
        <w:t xml:space="preserve">and </w:t>
      </w:r>
    </w:p>
    <w:p w14:paraId="4B9BBD7A" w14:textId="77777777" w:rsidR="00667322" w:rsidRPr="00A10850" w:rsidRDefault="00667322" w:rsidP="00DC54F7">
      <w:pPr>
        <w:spacing w:after="0" w:line="240" w:lineRule="auto"/>
        <w:contextualSpacing/>
        <w:jc w:val="both"/>
        <w:rPr>
          <w:rFonts w:ascii="Arial" w:hAnsi="Arial" w:cs="Arial"/>
        </w:rPr>
      </w:pPr>
    </w:p>
    <w:p w14:paraId="30C0E131" w14:textId="77777777" w:rsidR="00591DFE" w:rsidRPr="00A10850" w:rsidRDefault="00591DFE" w:rsidP="00DC54F7">
      <w:pPr>
        <w:pStyle w:val="ListParagraph"/>
        <w:numPr>
          <w:ilvl w:val="0"/>
          <w:numId w:val="56"/>
        </w:numPr>
        <w:spacing w:after="0" w:line="240" w:lineRule="auto"/>
        <w:jc w:val="both"/>
        <w:rPr>
          <w:rFonts w:ascii="Arial" w:hAnsi="Arial" w:cs="Arial"/>
        </w:rPr>
      </w:pPr>
      <w:r w:rsidRPr="00A10850">
        <w:rPr>
          <w:rFonts w:ascii="Arial" w:hAnsi="Arial" w:cs="Arial"/>
        </w:rPr>
        <w:t>It is satisfied that making a revised assessment would be a disproportionate response to those changes, or</w:t>
      </w:r>
    </w:p>
    <w:p w14:paraId="728BCF8B" w14:textId="77777777" w:rsidR="00C30793" w:rsidRPr="00A10850" w:rsidRDefault="00591DFE" w:rsidP="00DC54F7">
      <w:pPr>
        <w:pStyle w:val="ListParagraph"/>
        <w:numPr>
          <w:ilvl w:val="0"/>
          <w:numId w:val="56"/>
        </w:numPr>
        <w:spacing w:after="0" w:line="240" w:lineRule="auto"/>
        <w:jc w:val="both"/>
        <w:rPr>
          <w:rFonts w:ascii="Arial" w:hAnsi="Arial" w:cs="Arial"/>
        </w:rPr>
      </w:pPr>
      <w:r w:rsidRPr="00A10850">
        <w:rPr>
          <w:rFonts w:ascii="Arial" w:hAnsi="Arial" w:cs="Arial"/>
        </w:rPr>
        <w:t>It is in the course of making a revised assessment and is satisfied that immediate modification of its PNA is essential in order to prevent detriment to the provision of pharmaceutical services in its area.</w:t>
      </w:r>
    </w:p>
    <w:p w14:paraId="78A5F0EB" w14:textId="77777777" w:rsidR="00591DFE" w:rsidRPr="00A10850" w:rsidRDefault="00591DFE" w:rsidP="00DC54F7">
      <w:pPr>
        <w:spacing w:after="0" w:line="240" w:lineRule="auto"/>
        <w:jc w:val="both"/>
        <w:rPr>
          <w:rFonts w:ascii="Arial" w:hAnsi="Arial" w:cs="Arial"/>
          <w:b/>
        </w:rPr>
      </w:pPr>
      <w:bookmarkStart w:id="69" w:name="_Toc16515760"/>
    </w:p>
    <w:p w14:paraId="11185718" w14:textId="77777777" w:rsidR="00591DFE" w:rsidRPr="00A10850" w:rsidRDefault="00591DFE" w:rsidP="00DC54F7">
      <w:pPr>
        <w:spacing w:after="0" w:line="240" w:lineRule="auto"/>
        <w:jc w:val="both"/>
        <w:rPr>
          <w:rFonts w:ascii="Arial" w:hAnsi="Arial" w:cs="Arial"/>
          <w:b/>
        </w:rPr>
      </w:pPr>
      <w:r w:rsidRPr="00A10850">
        <w:rPr>
          <w:rFonts w:ascii="Arial" w:hAnsi="Arial" w:cs="Arial"/>
          <w:b/>
        </w:rPr>
        <w:t>Developing the detailed requirements</w:t>
      </w:r>
      <w:bookmarkEnd w:id="69"/>
      <w:r w:rsidRPr="00A10850">
        <w:rPr>
          <w:rFonts w:ascii="Arial" w:hAnsi="Arial" w:cs="Arial"/>
          <w:b/>
        </w:rPr>
        <w:t xml:space="preserve"> </w:t>
      </w:r>
    </w:p>
    <w:p w14:paraId="6DD1E099" w14:textId="77777777" w:rsidR="00591DFE" w:rsidRPr="00A10850" w:rsidRDefault="00591DFE" w:rsidP="00DC54F7">
      <w:pPr>
        <w:spacing w:after="0" w:line="240" w:lineRule="auto"/>
        <w:jc w:val="both"/>
        <w:rPr>
          <w:rFonts w:ascii="Arial" w:hAnsi="Arial" w:cs="Arial"/>
          <w:b/>
        </w:rPr>
      </w:pPr>
    </w:p>
    <w:p w14:paraId="27A24638" w14:textId="77777777" w:rsidR="00667322" w:rsidRPr="00A10850" w:rsidRDefault="00591DFE" w:rsidP="00DC54F7">
      <w:pPr>
        <w:spacing w:after="0" w:line="240" w:lineRule="auto"/>
        <w:jc w:val="both"/>
        <w:rPr>
          <w:rFonts w:ascii="Arial" w:hAnsi="Arial" w:cs="Arial"/>
        </w:rPr>
      </w:pPr>
      <w:r w:rsidRPr="00A10850">
        <w:rPr>
          <w:rFonts w:ascii="Arial" w:hAnsi="Arial" w:cs="Arial"/>
        </w:rPr>
        <w:t>A working group was established in November 2015 to develop the detailed requirements for conducting a PNA and to review and amend the tests and procedures as they apply to the provision of NHS pharmaceutical services. The group, which met on a number of occasions, consist</w:t>
      </w:r>
      <w:r w:rsidR="00667322" w:rsidRPr="00A10850">
        <w:rPr>
          <w:rFonts w:ascii="Arial" w:hAnsi="Arial" w:cs="Arial"/>
        </w:rPr>
        <w:t>ed</w:t>
      </w:r>
      <w:r w:rsidRPr="00A10850">
        <w:rPr>
          <w:rFonts w:ascii="Arial" w:hAnsi="Arial" w:cs="Arial"/>
        </w:rPr>
        <w:t xml:space="preserve"> health board pharmacy leads with knowledge of the </w:t>
      </w:r>
      <w:r w:rsidR="00667322" w:rsidRPr="00A10850">
        <w:rPr>
          <w:rFonts w:ascii="Arial" w:hAnsi="Arial" w:cs="Arial"/>
        </w:rPr>
        <w:t>previous</w:t>
      </w:r>
      <w:r w:rsidRPr="00A10850">
        <w:rPr>
          <w:rFonts w:ascii="Arial" w:hAnsi="Arial" w:cs="Arial"/>
        </w:rPr>
        <w:t xml:space="preserve"> control of entry system </w:t>
      </w:r>
      <w:r w:rsidRPr="00A10850">
        <w:rPr>
          <w:rFonts w:ascii="Arial" w:hAnsi="Arial" w:cs="Arial"/>
        </w:rPr>
        <w:lastRenderedPageBreak/>
        <w:t>and expertise in community pharmacy, NHS Shared Services Partnership primary care (pharmacy) leads, who have expertise in the process of determining control of entry applications, and Welsh Government staff.  The group has made a significant contrib</w:t>
      </w:r>
      <w:r w:rsidR="006E68DE">
        <w:rPr>
          <w:rFonts w:ascii="Arial" w:hAnsi="Arial" w:cs="Arial"/>
        </w:rPr>
        <w:t xml:space="preserve">ution to the development of </w:t>
      </w:r>
      <w:r w:rsidRPr="00A10850">
        <w:rPr>
          <w:rFonts w:ascii="Arial" w:hAnsi="Arial" w:cs="Arial"/>
        </w:rPr>
        <w:t xml:space="preserve">Welsh Government’s policy on </w:t>
      </w:r>
      <w:r w:rsidR="006C2F60" w:rsidRPr="00A10850">
        <w:rPr>
          <w:rFonts w:ascii="Arial" w:hAnsi="Arial" w:cs="Arial"/>
        </w:rPr>
        <w:t>PNAs</w:t>
      </w:r>
      <w:r w:rsidRPr="00A10850">
        <w:rPr>
          <w:rFonts w:ascii="Arial" w:hAnsi="Arial" w:cs="Arial"/>
        </w:rPr>
        <w:t xml:space="preserve">, including the resultant proposals contained within the </w:t>
      </w:r>
      <w:r w:rsidR="00F136E4" w:rsidRPr="00F136E4">
        <w:rPr>
          <w:rFonts w:ascii="Arial" w:hAnsi="Arial" w:cs="Arial"/>
        </w:rPr>
        <w:t xml:space="preserve">NHS (Pharmaceutical Services) </w:t>
      </w:r>
      <w:r w:rsidR="006E68DE">
        <w:rPr>
          <w:rFonts w:ascii="Arial" w:hAnsi="Arial" w:cs="Arial"/>
        </w:rPr>
        <w:t xml:space="preserve">(Wales) </w:t>
      </w:r>
      <w:r w:rsidR="00F136E4" w:rsidRPr="00F136E4">
        <w:rPr>
          <w:rFonts w:ascii="Arial" w:hAnsi="Arial" w:cs="Arial"/>
        </w:rPr>
        <w:t>Regulations 2020</w:t>
      </w:r>
      <w:r w:rsidRPr="00A10850">
        <w:rPr>
          <w:rFonts w:ascii="Arial" w:hAnsi="Arial" w:cs="Arial"/>
        </w:rPr>
        <w:t>.</w:t>
      </w:r>
    </w:p>
    <w:p w14:paraId="176C96E8" w14:textId="77777777" w:rsidR="00667322" w:rsidRPr="00A10850" w:rsidRDefault="00667322" w:rsidP="00DC54F7">
      <w:pPr>
        <w:jc w:val="both"/>
        <w:rPr>
          <w:rFonts w:ascii="Arial" w:hAnsi="Arial" w:cs="Arial"/>
        </w:rPr>
      </w:pPr>
      <w:r w:rsidRPr="00A10850">
        <w:rPr>
          <w:rFonts w:ascii="Arial" w:hAnsi="Arial" w:cs="Arial"/>
        </w:rPr>
        <w:br w:type="page"/>
      </w:r>
    </w:p>
    <w:p w14:paraId="3BE5FD7A" w14:textId="236E5622" w:rsidR="00582A02" w:rsidRPr="00A10850" w:rsidRDefault="00582A02" w:rsidP="00DC54F7">
      <w:pPr>
        <w:pStyle w:val="Heading1"/>
        <w:jc w:val="both"/>
        <w:rPr>
          <w:rFonts w:cs="Arial"/>
          <w:color w:val="auto"/>
        </w:rPr>
      </w:pPr>
      <w:bookmarkStart w:id="70" w:name="_Toc81585114"/>
      <w:r w:rsidRPr="00A10850">
        <w:rPr>
          <w:rFonts w:cs="Arial"/>
          <w:color w:val="auto"/>
        </w:rPr>
        <w:lastRenderedPageBreak/>
        <w:t>Appendix</w:t>
      </w:r>
      <w:r w:rsidR="00962298" w:rsidRPr="00A10850">
        <w:rPr>
          <w:rFonts w:cs="Arial"/>
          <w:color w:val="auto"/>
        </w:rPr>
        <w:t xml:space="preserve"> B</w:t>
      </w:r>
      <w:r w:rsidRPr="00A10850">
        <w:rPr>
          <w:rFonts w:cs="Arial"/>
          <w:color w:val="auto"/>
        </w:rPr>
        <w:t xml:space="preserve"> – essential services</w:t>
      </w:r>
      <w:bookmarkEnd w:id="70"/>
    </w:p>
    <w:p w14:paraId="0139F7D5" w14:textId="4AB7030D" w:rsidR="00582A02" w:rsidRDefault="00582A02" w:rsidP="00DC54F7">
      <w:pPr>
        <w:spacing w:after="0" w:line="240" w:lineRule="auto"/>
        <w:jc w:val="both"/>
        <w:rPr>
          <w:rFonts w:ascii="Arial" w:hAnsi="Arial" w:cs="Arial"/>
          <w:sz w:val="20"/>
          <w:szCs w:val="20"/>
        </w:rPr>
      </w:pPr>
    </w:p>
    <w:p w14:paraId="69FCDB51" w14:textId="77777777" w:rsidR="00AE758E" w:rsidRPr="00A10850" w:rsidRDefault="00AE758E" w:rsidP="00DC54F7">
      <w:pPr>
        <w:spacing w:after="0" w:line="240" w:lineRule="auto"/>
        <w:jc w:val="both"/>
        <w:rPr>
          <w:rFonts w:ascii="Arial" w:hAnsi="Arial" w:cs="Arial"/>
          <w:sz w:val="20"/>
          <w:szCs w:val="20"/>
        </w:rPr>
      </w:pPr>
    </w:p>
    <w:p w14:paraId="27E556EF" w14:textId="77777777" w:rsidR="00582A02" w:rsidRPr="00A10850" w:rsidRDefault="00582A02" w:rsidP="00DC54F7">
      <w:pPr>
        <w:pStyle w:val="ListParagraph"/>
        <w:numPr>
          <w:ilvl w:val="0"/>
          <w:numId w:val="8"/>
        </w:numPr>
        <w:spacing w:after="0" w:line="240" w:lineRule="auto"/>
        <w:ind w:left="284" w:hanging="284"/>
        <w:jc w:val="both"/>
        <w:rPr>
          <w:rFonts w:ascii="Arial" w:hAnsi="Arial" w:cs="Arial"/>
          <w:b/>
          <w:sz w:val="24"/>
          <w:szCs w:val="24"/>
        </w:rPr>
      </w:pPr>
      <w:r w:rsidRPr="00A10850">
        <w:rPr>
          <w:rFonts w:ascii="Arial" w:hAnsi="Arial" w:cs="Arial"/>
          <w:b/>
          <w:sz w:val="24"/>
          <w:szCs w:val="24"/>
        </w:rPr>
        <w:t>Dispensing</w:t>
      </w:r>
      <w:r w:rsidR="00805733" w:rsidRPr="00A10850">
        <w:rPr>
          <w:rFonts w:ascii="Arial" w:hAnsi="Arial" w:cs="Arial"/>
          <w:b/>
          <w:sz w:val="24"/>
          <w:szCs w:val="24"/>
        </w:rPr>
        <w:t xml:space="preserve"> of prescriptions</w:t>
      </w:r>
    </w:p>
    <w:p w14:paraId="2444DD47" w14:textId="2476AB36" w:rsidR="00582A02" w:rsidRDefault="00582A02" w:rsidP="00DC54F7">
      <w:pPr>
        <w:pStyle w:val="ListParagraph"/>
        <w:spacing w:after="0" w:line="240" w:lineRule="auto"/>
        <w:ind w:left="284"/>
        <w:jc w:val="both"/>
        <w:rPr>
          <w:rFonts w:ascii="Arial" w:hAnsi="Arial" w:cs="Arial"/>
          <w:b/>
        </w:rPr>
      </w:pPr>
    </w:p>
    <w:p w14:paraId="779308F6" w14:textId="77777777" w:rsidR="00AE758E" w:rsidRPr="00A10850" w:rsidRDefault="00AE758E" w:rsidP="00DC54F7">
      <w:pPr>
        <w:pStyle w:val="ListParagraph"/>
        <w:spacing w:after="0" w:line="240" w:lineRule="auto"/>
        <w:ind w:left="284"/>
        <w:jc w:val="both"/>
        <w:rPr>
          <w:rFonts w:ascii="Arial" w:hAnsi="Arial" w:cs="Arial"/>
          <w:b/>
        </w:rPr>
      </w:pPr>
    </w:p>
    <w:p w14:paraId="00E9B298" w14:textId="77777777" w:rsidR="00582A02" w:rsidRPr="00A10850" w:rsidRDefault="00582A02" w:rsidP="00DC54F7">
      <w:pPr>
        <w:spacing w:after="0" w:line="240" w:lineRule="auto"/>
        <w:jc w:val="both"/>
        <w:rPr>
          <w:rFonts w:ascii="Arial" w:hAnsi="Arial" w:cs="Arial"/>
          <w:b/>
          <w:bCs/>
          <w:lang w:val="en-US"/>
        </w:rPr>
      </w:pPr>
      <w:r w:rsidRPr="00A10850">
        <w:rPr>
          <w:rFonts w:ascii="Arial" w:hAnsi="Arial" w:cs="Arial"/>
          <w:b/>
          <w:bCs/>
          <w:lang w:val="en-US"/>
        </w:rPr>
        <w:t>Service description</w:t>
      </w:r>
    </w:p>
    <w:p w14:paraId="2075191F" w14:textId="77777777" w:rsidR="00582A02" w:rsidRPr="00A10850" w:rsidRDefault="00582A02" w:rsidP="00DC54F7">
      <w:pPr>
        <w:spacing w:after="0" w:line="240" w:lineRule="auto"/>
        <w:jc w:val="both"/>
        <w:rPr>
          <w:rFonts w:ascii="Arial" w:hAnsi="Arial" w:cs="Arial"/>
          <w:b/>
          <w:bCs/>
          <w:lang w:val="en-US"/>
        </w:rPr>
      </w:pPr>
    </w:p>
    <w:p w14:paraId="47517651" w14:textId="77777777" w:rsidR="00582A02" w:rsidRPr="00A10850" w:rsidRDefault="00582A02" w:rsidP="00DC54F7">
      <w:pPr>
        <w:spacing w:after="0" w:line="240" w:lineRule="auto"/>
        <w:jc w:val="both"/>
        <w:rPr>
          <w:rFonts w:ascii="Arial" w:hAnsi="Arial" w:cs="Arial"/>
          <w:lang w:val="en-US"/>
        </w:rPr>
      </w:pPr>
      <w:r w:rsidRPr="00A10850">
        <w:rPr>
          <w:rFonts w:ascii="Arial" w:hAnsi="Arial" w:cs="Arial"/>
          <w:lang w:val="en-US"/>
        </w:rPr>
        <w:t>The supply of medicines and appliances</w:t>
      </w:r>
      <w:r w:rsidRPr="00A10850">
        <w:rPr>
          <w:rFonts w:ascii="Arial" w:hAnsi="Arial" w:cs="Arial"/>
          <w:vertAlign w:val="superscript"/>
          <w:lang w:val="en-US"/>
        </w:rPr>
        <w:t xml:space="preserve"> </w:t>
      </w:r>
      <w:r w:rsidRPr="00A10850">
        <w:rPr>
          <w:rFonts w:ascii="Arial" w:hAnsi="Arial" w:cs="Arial"/>
          <w:lang w:val="en-US"/>
        </w:rPr>
        <w:t xml:space="preserve">ordered on NHS prescriptions, together with information and advice, to enable safe and effective use by patients, and maintenance of appropriate records. </w:t>
      </w:r>
    </w:p>
    <w:p w14:paraId="1B34EA07" w14:textId="77777777" w:rsidR="00582A02" w:rsidRPr="00A10850" w:rsidRDefault="00582A02" w:rsidP="00DC54F7">
      <w:pPr>
        <w:spacing w:after="0" w:line="240" w:lineRule="auto"/>
        <w:jc w:val="both"/>
        <w:rPr>
          <w:rFonts w:ascii="Arial" w:hAnsi="Arial" w:cs="Arial"/>
          <w:lang w:val="en-US"/>
        </w:rPr>
      </w:pPr>
    </w:p>
    <w:p w14:paraId="5802D7E6" w14:textId="77777777" w:rsidR="00582A02" w:rsidRPr="00A10850" w:rsidRDefault="00582A02" w:rsidP="00DC54F7">
      <w:pPr>
        <w:spacing w:after="0" w:line="240" w:lineRule="auto"/>
        <w:jc w:val="both"/>
        <w:rPr>
          <w:rFonts w:ascii="Arial" w:hAnsi="Arial" w:cs="Arial"/>
          <w:b/>
          <w:bCs/>
          <w:lang w:val="en-US"/>
        </w:rPr>
      </w:pPr>
      <w:r w:rsidRPr="00A10850">
        <w:rPr>
          <w:rFonts w:ascii="Arial" w:hAnsi="Arial" w:cs="Arial"/>
          <w:b/>
          <w:bCs/>
          <w:lang w:val="en-US"/>
        </w:rPr>
        <w:t>Aims and intended outcomes</w:t>
      </w:r>
    </w:p>
    <w:p w14:paraId="002165BB" w14:textId="77777777" w:rsidR="00582A02" w:rsidRPr="00A10850" w:rsidRDefault="00582A02" w:rsidP="00DC54F7">
      <w:pPr>
        <w:spacing w:after="0" w:line="240" w:lineRule="auto"/>
        <w:jc w:val="both"/>
        <w:rPr>
          <w:rFonts w:ascii="Arial" w:hAnsi="Arial" w:cs="Arial"/>
          <w:b/>
          <w:bCs/>
          <w:lang w:val="en-US"/>
        </w:rPr>
      </w:pPr>
    </w:p>
    <w:p w14:paraId="1C485BE0" w14:textId="77777777" w:rsidR="00582A02" w:rsidRPr="00A10850" w:rsidRDefault="00582A02" w:rsidP="00DC54F7">
      <w:pPr>
        <w:spacing w:after="0" w:line="240" w:lineRule="auto"/>
        <w:jc w:val="both"/>
        <w:rPr>
          <w:rFonts w:ascii="Arial" w:hAnsi="Arial" w:cs="Arial"/>
          <w:lang w:val="en-US"/>
        </w:rPr>
      </w:pPr>
      <w:r w:rsidRPr="00A10850">
        <w:rPr>
          <w:rFonts w:ascii="Arial" w:hAnsi="Arial" w:cs="Arial"/>
          <w:lang w:val="en-US"/>
        </w:rPr>
        <w:t>To ensure patients receive ordered medicines and appliances safely and appropriately by the pharmacy:</w:t>
      </w:r>
    </w:p>
    <w:p w14:paraId="1EF968E9" w14:textId="77777777" w:rsidR="00582A02" w:rsidRPr="00A10850" w:rsidRDefault="00582A02" w:rsidP="00DC54F7">
      <w:pPr>
        <w:spacing w:after="0" w:line="240" w:lineRule="auto"/>
        <w:jc w:val="both"/>
        <w:rPr>
          <w:rFonts w:ascii="Arial" w:hAnsi="Arial" w:cs="Arial"/>
          <w:lang w:val="en-US"/>
        </w:rPr>
      </w:pPr>
    </w:p>
    <w:p w14:paraId="613A6DE9" w14:textId="77777777" w:rsidR="00582A02" w:rsidRPr="00A10850" w:rsidRDefault="00A931C2" w:rsidP="00DC54F7">
      <w:pPr>
        <w:numPr>
          <w:ilvl w:val="0"/>
          <w:numId w:val="6"/>
        </w:numPr>
        <w:spacing w:after="0" w:line="240" w:lineRule="auto"/>
        <w:jc w:val="both"/>
        <w:rPr>
          <w:rFonts w:ascii="Arial" w:hAnsi="Arial" w:cs="Arial"/>
          <w:lang w:val="en-US"/>
        </w:rPr>
      </w:pPr>
      <w:r w:rsidRPr="00A10850">
        <w:rPr>
          <w:rFonts w:ascii="Arial" w:hAnsi="Arial" w:cs="Arial"/>
          <w:lang w:val="en-US"/>
        </w:rPr>
        <w:t>P</w:t>
      </w:r>
      <w:r w:rsidR="00582A02" w:rsidRPr="00A10850">
        <w:rPr>
          <w:rFonts w:ascii="Arial" w:hAnsi="Arial" w:cs="Arial"/>
          <w:lang w:val="en-US"/>
        </w:rPr>
        <w:t>erforming appropriate legal, clinical and accuracy checks</w:t>
      </w:r>
    </w:p>
    <w:p w14:paraId="1997777D" w14:textId="77777777" w:rsidR="00582A02" w:rsidRPr="00A10850" w:rsidRDefault="00A931C2" w:rsidP="00DC54F7">
      <w:pPr>
        <w:numPr>
          <w:ilvl w:val="0"/>
          <w:numId w:val="6"/>
        </w:numPr>
        <w:spacing w:after="0" w:line="240" w:lineRule="auto"/>
        <w:jc w:val="both"/>
        <w:rPr>
          <w:rFonts w:ascii="Arial" w:hAnsi="Arial" w:cs="Arial"/>
          <w:lang w:val="en-US"/>
        </w:rPr>
      </w:pPr>
      <w:r w:rsidRPr="00A10850">
        <w:rPr>
          <w:rFonts w:ascii="Arial" w:hAnsi="Arial" w:cs="Arial"/>
          <w:lang w:val="en-US"/>
        </w:rPr>
        <w:t>H</w:t>
      </w:r>
      <w:r w:rsidR="00582A02" w:rsidRPr="00A10850">
        <w:rPr>
          <w:rFonts w:ascii="Arial" w:hAnsi="Arial" w:cs="Arial"/>
          <w:lang w:val="en-US"/>
        </w:rPr>
        <w:t>aving safe systems of operation, in line with clinical governance requirements</w:t>
      </w:r>
    </w:p>
    <w:p w14:paraId="62CFA2D7" w14:textId="77777777" w:rsidR="00582A02" w:rsidRPr="00A10850" w:rsidRDefault="00A931C2" w:rsidP="00DC54F7">
      <w:pPr>
        <w:numPr>
          <w:ilvl w:val="0"/>
          <w:numId w:val="6"/>
        </w:numPr>
        <w:spacing w:after="0" w:line="240" w:lineRule="auto"/>
        <w:jc w:val="both"/>
        <w:rPr>
          <w:rFonts w:ascii="Arial" w:hAnsi="Arial" w:cs="Arial"/>
          <w:lang w:val="en-US"/>
        </w:rPr>
      </w:pPr>
      <w:r w:rsidRPr="00A10850">
        <w:rPr>
          <w:rFonts w:ascii="Arial" w:hAnsi="Arial" w:cs="Arial"/>
          <w:lang w:val="en-US"/>
        </w:rPr>
        <w:t>H</w:t>
      </w:r>
      <w:r w:rsidR="00582A02" w:rsidRPr="00A10850">
        <w:rPr>
          <w:rFonts w:ascii="Arial" w:hAnsi="Arial" w:cs="Arial"/>
          <w:lang w:val="en-US"/>
        </w:rPr>
        <w:t>aving systems in place to guarantee the integrity of products supplied</w:t>
      </w:r>
    </w:p>
    <w:p w14:paraId="52A7074B" w14:textId="77777777" w:rsidR="00582A02" w:rsidRPr="00A10850" w:rsidRDefault="00A931C2" w:rsidP="00DC54F7">
      <w:pPr>
        <w:numPr>
          <w:ilvl w:val="0"/>
          <w:numId w:val="6"/>
        </w:numPr>
        <w:spacing w:after="0" w:line="240" w:lineRule="auto"/>
        <w:jc w:val="both"/>
        <w:rPr>
          <w:rFonts w:ascii="Arial" w:hAnsi="Arial" w:cs="Arial"/>
          <w:lang w:val="en-US"/>
        </w:rPr>
      </w:pPr>
      <w:r w:rsidRPr="00A10850">
        <w:rPr>
          <w:rFonts w:ascii="Arial" w:hAnsi="Arial" w:cs="Arial"/>
          <w:lang w:val="en-US"/>
        </w:rPr>
        <w:t>M</w:t>
      </w:r>
      <w:r w:rsidR="00582A02" w:rsidRPr="00A10850">
        <w:rPr>
          <w:rFonts w:ascii="Arial" w:hAnsi="Arial" w:cs="Arial"/>
          <w:lang w:val="en-US"/>
        </w:rPr>
        <w:t>aintaining a record of all medicines and appliances supplied which can be used to assist future patient care</w:t>
      </w:r>
    </w:p>
    <w:p w14:paraId="6CCFA561" w14:textId="77777777" w:rsidR="00582A02" w:rsidRPr="00A10850" w:rsidRDefault="00A931C2" w:rsidP="00DC54F7">
      <w:pPr>
        <w:numPr>
          <w:ilvl w:val="0"/>
          <w:numId w:val="6"/>
        </w:numPr>
        <w:spacing w:after="0" w:line="240" w:lineRule="auto"/>
        <w:jc w:val="both"/>
        <w:rPr>
          <w:rFonts w:ascii="Arial" w:hAnsi="Arial" w:cs="Arial"/>
          <w:lang w:val="en-US"/>
        </w:rPr>
      </w:pPr>
      <w:r w:rsidRPr="00A10850">
        <w:rPr>
          <w:rFonts w:ascii="Arial" w:hAnsi="Arial" w:cs="Arial"/>
          <w:lang w:val="en-US"/>
        </w:rPr>
        <w:t>M</w:t>
      </w:r>
      <w:r w:rsidR="00582A02" w:rsidRPr="00A10850">
        <w:rPr>
          <w:rFonts w:ascii="Arial" w:hAnsi="Arial" w:cs="Arial"/>
          <w:lang w:val="en-US"/>
        </w:rPr>
        <w:t>aintaining a record of advice given, and interventions and referrals made, where the pharmacist judges it to be clinically appropriate.</w:t>
      </w:r>
    </w:p>
    <w:p w14:paraId="750871F9" w14:textId="77777777" w:rsidR="00582A02" w:rsidRPr="00A10850" w:rsidRDefault="00582A02" w:rsidP="00DC54F7">
      <w:pPr>
        <w:spacing w:after="0" w:line="240" w:lineRule="auto"/>
        <w:jc w:val="both"/>
        <w:rPr>
          <w:rFonts w:ascii="Arial" w:hAnsi="Arial" w:cs="Arial"/>
          <w:lang w:val="en-US"/>
        </w:rPr>
      </w:pPr>
    </w:p>
    <w:p w14:paraId="6009417C" w14:textId="77777777" w:rsidR="00582A02" w:rsidRPr="00A10850" w:rsidRDefault="00582A02" w:rsidP="00DC54F7">
      <w:pPr>
        <w:spacing w:after="0" w:line="240" w:lineRule="auto"/>
        <w:jc w:val="both"/>
        <w:rPr>
          <w:rFonts w:ascii="Arial" w:hAnsi="Arial" w:cs="Arial"/>
          <w:lang w:val="en-US"/>
        </w:rPr>
      </w:pPr>
      <w:r w:rsidRPr="00A10850">
        <w:rPr>
          <w:rFonts w:ascii="Arial" w:hAnsi="Arial" w:cs="Arial"/>
          <w:lang w:val="en-US"/>
        </w:rPr>
        <w:t>To ensure patients are able to use their medicines and appliances effectively by pharmacy staff:</w:t>
      </w:r>
    </w:p>
    <w:p w14:paraId="5E221EC4" w14:textId="77777777" w:rsidR="00582A02" w:rsidRPr="00A10850" w:rsidRDefault="00582A02" w:rsidP="00DC54F7">
      <w:pPr>
        <w:spacing w:after="0" w:line="240" w:lineRule="auto"/>
        <w:jc w:val="both"/>
        <w:rPr>
          <w:rFonts w:ascii="Arial" w:hAnsi="Arial" w:cs="Arial"/>
          <w:lang w:val="en-US"/>
        </w:rPr>
      </w:pPr>
    </w:p>
    <w:p w14:paraId="5E03348C" w14:textId="77777777" w:rsidR="00582A02" w:rsidRPr="00A10850" w:rsidRDefault="00A931C2" w:rsidP="00DC54F7">
      <w:pPr>
        <w:numPr>
          <w:ilvl w:val="0"/>
          <w:numId w:val="7"/>
        </w:numPr>
        <w:spacing w:after="0" w:line="240" w:lineRule="auto"/>
        <w:jc w:val="both"/>
        <w:rPr>
          <w:rFonts w:ascii="Arial" w:hAnsi="Arial" w:cs="Arial"/>
          <w:lang w:val="en-US"/>
        </w:rPr>
      </w:pPr>
      <w:r w:rsidRPr="00A10850">
        <w:rPr>
          <w:rFonts w:ascii="Arial" w:hAnsi="Arial" w:cs="Arial"/>
          <w:lang w:val="en-US"/>
        </w:rPr>
        <w:t>P</w:t>
      </w:r>
      <w:r w:rsidR="00582A02" w:rsidRPr="00A10850">
        <w:rPr>
          <w:rFonts w:ascii="Arial" w:hAnsi="Arial" w:cs="Arial"/>
          <w:lang w:val="en-US"/>
        </w:rPr>
        <w:t xml:space="preserve">roviding information and advice to the patient or </w:t>
      </w:r>
      <w:r w:rsidR="00CB6B25" w:rsidRPr="00A10850">
        <w:rPr>
          <w:rFonts w:ascii="Arial" w:hAnsi="Arial" w:cs="Arial"/>
          <w:lang w:val="en-US"/>
        </w:rPr>
        <w:t>their representative</w:t>
      </w:r>
      <w:r w:rsidR="00582A02" w:rsidRPr="00A10850">
        <w:rPr>
          <w:rFonts w:ascii="Arial" w:hAnsi="Arial" w:cs="Arial"/>
          <w:lang w:val="en-US"/>
        </w:rPr>
        <w:t xml:space="preserve"> on the safe use of their medicine or appliance</w:t>
      </w:r>
    </w:p>
    <w:p w14:paraId="3C03B58D" w14:textId="77777777" w:rsidR="00582A02" w:rsidRPr="00A10850" w:rsidRDefault="00A931C2" w:rsidP="00DC54F7">
      <w:pPr>
        <w:numPr>
          <w:ilvl w:val="0"/>
          <w:numId w:val="7"/>
        </w:numPr>
        <w:spacing w:after="0" w:line="240" w:lineRule="auto"/>
        <w:jc w:val="both"/>
        <w:rPr>
          <w:rFonts w:ascii="Arial" w:hAnsi="Arial" w:cs="Arial"/>
          <w:lang w:val="en-US"/>
        </w:rPr>
      </w:pPr>
      <w:r w:rsidRPr="00A10850">
        <w:rPr>
          <w:rFonts w:ascii="Arial" w:hAnsi="Arial" w:cs="Arial"/>
          <w:lang w:val="en-US"/>
        </w:rPr>
        <w:t>P</w:t>
      </w:r>
      <w:r w:rsidR="00582A02" w:rsidRPr="00A10850">
        <w:rPr>
          <w:rFonts w:ascii="Arial" w:hAnsi="Arial" w:cs="Arial"/>
          <w:lang w:val="en-US"/>
        </w:rPr>
        <w:t>roviding when appropriate broader advice to the patient on the medicine, for example its possible side effects and significant interactions with other substances.</w:t>
      </w:r>
    </w:p>
    <w:p w14:paraId="7558C221" w14:textId="5ECBB71B" w:rsidR="00582A02" w:rsidRDefault="00582A02" w:rsidP="00DC54F7">
      <w:pPr>
        <w:spacing w:after="0" w:line="240" w:lineRule="auto"/>
        <w:jc w:val="both"/>
        <w:rPr>
          <w:rFonts w:ascii="Arial" w:hAnsi="Arial" w:cs="Arial"/>
        </w:rPr>
      </w:pPr>
    </w:p>
    <w:p w14:paraId="483C7CD2" w14:textId="77777777" w:rsidR="00AE758E" w:rsidRPr="00A10850" w:rsidRDefault="00AE758E" w:rsidP="00DC54F7">
      <w:pPr>
        <w:spacing w:after="0" w:line="240" w:lineRule="auto"/>
        <w:jc w:val="both"/>
        <w:rPr>
          <w:rFonts w:ascii="Arial" w:hAnsi="Arial" w:cs="Arial"/>
        </w:rPr>
      </w:pPr>
    </w:p>
    <w:p w14:paraId="691C5902" w14:textId="77777777" w:rsidR="00582A02" w:rsidRPr="00A10850" w:rsidRDefault="00805733" w:rsidP="00DC54F7">
      <w:pPr>
        <w:pStyle w:val="ListParagraph"/>
        <w:numPr>
          <w:ilvl w:val="0"/>
          <w:numId w:val="8"/>
        </w:numPr>
        <w:spacing w:after="0" w:line="240" w:lineRule="auto"/>
        <w:ind w:left="284" w:hanging="284"/>
        <w:jc w:val="both"/>
        <w:rPr>
          <w:rFonts w:ascii="Arial" w:hAnsi="Arial" w:cs="Arial"/>
          <w:b/>
          <w:sz w:val="24"/>
          <w:szCs w:val="24"/>
        </w:rPr>
      </w:pPr>
      <w:r w:rsidRPr="00A10850">
        <w:rPr>
          <w:rFonts w:ascii="Arial" w:hAnsi="Arial" w:cs="Arial"/>
          <w:b/>
          <w:sz w:val="24"/>
          <w:szCs w:val="24"/>
        </w:rPr>
        <w:t>Dispensing of repeatable</w:t>
      </w:r>
      <w:r w:rsidR="002E50F6" w:rsidRPr="00A10850">
        <w:rPr>
          <w:rFonts w:ascii="Arial" w:hAnsi="Arial" w:cs="Arial"/>
          <w:b/>
          <w:sz w:val="24"/>
          <w:szCs w:val="24"/>
        </w:rPr>
        <w:t xml:space="preserve"> presc</w:t>
      </w:r>
      <w:r w:rsidR="00775CFA" w:rsidRPr="00A10850">
        <w:rPr>
          <w:rFonts w:ascii="Arial" w:hAnsi="Arial" w:cs="Arial"/>
          <w:b/>
          <w:sz w:val="24"/>
          <w:szCs w:val="24"/>
        </w:rPr>
        <w:t>r</w:t>
      </w:r>
      <w:r w:rsidR="002E50F6" w:rsidRPr="00A10850">
        <w:rPr>
          <w:rFonts w:ascii="Arial" w:hAnsi="Arial" w:cs="Arial"/>
          <w:b/>
          <w:sz w:val="24"/>
          <w:szCs w:val="24"/>
        </w:rPr>
        <w:t>iptions</w:t>
      </w:r>
    </w:p>
    <w:p w14:paraId="7F8F86A7" w14:textId="77777777" w:rsidR="00582A02" w:rsidRPr="00A10850" w:rsidRDefault="00582A02" w:rsidP="00DC54F7">
      <w:pPr>
        <w:spacing w:after="0" w:line="240" w:lineRule="auto"/>
        <w:jc w:val="both"/>
        <w:rPr>
          <w:rFonts w:ascii="Arial" w:hAnsi="Arial" w:cs="Arial"/>
          <w:b/>
        </w:rPr>
      </w:pPr>
    </w:p>
    <w:p w14:paraId="402DA835" w14:textId="77777777" w:rsidR="00582A02" w:rsidRPr="00A10850" w:rsidRDefault="00582A02" w:rsidP="00DC54F7">
      <w:pPr>
        <w:spacing w:after="0" w:line="240" w:lineRule="auto"/>
        <w:jc w:val="both"/>
        <w:rPr>
          <w:rFonts w:ascii="Arial" w:hAnsi="Arial" w:cs="Arial"/>
          <w:b/>
          <w:bCs/>
          <w:lang w:val="en-US"/>
        </w:rPr>
      </w:pPr>
      <w:r w:rsidRPr="00A10850">
        <w:rPr>
          <w:rFonts w:ascii="Arial" w:hAnsi="Arial" w:cs="Arial"/>
          <w:b/>
          <w:bCs/>
          <w:lang w:val="en-US"/>
        </w:rPr>
        <w:t>Service description</w:t>
      </w:r>
    </w:p>
    <w:p w14:paraId="329AD6B1" w14:textId="77777777" w:rsidR="00582A02" w:rsidRPr="00A10850" w:rsidRDefault="00582A02" w:rsidP="00DC54F7">
      <w:pPr>
        <w:spacing w:after="0" w:line="240" w:lineRule="auto"/>
        <w:jc w:val="both"/>
        <w:rPr>
          <w:rFonts w:ascii="Arial" w:hAnsi="Arial" w:cs="Arial"/>
          <w:b/>
          <w:bCs/>
          <w:lang w:val="en-US"/>
        </w:rPr>
      </w:pPr>
    </w:p>
    <w:p w14:paraId="792B0B2E" w14:textId="77777777" w:rsidR="00582A02" w:rsidRPr="00A10850" w:rsidRDefault="00582A02" w:rsidP="00DC54F7">
      <w:pPr>
        <w:spacing w:after="0" w:line="240" w:lineRule="auto"/>
        <w:jc w:val="both"/>
        <w:rPr>
          <w:rFonts w:ascii="Arial" w:hAnsi="Arial" w:cs="Arial"/>
          <w:lang w:val="en-US"/>
        </w:rPr>
      </w:pPr>
      <w:r w:rsidRPr="00A10850">
        <w:rPr>
          <w:rFonts w:ascii="Arial" w:hAnsi="Arial" w:cs="Arial"/>
          <w:lang w:val="en-US"/>
        </w:rPr>
        <w:t>The management and dispensing of repeatable NHS prescriptions for medicines and appliances in partnership with the patient and the prescriber.</w:t>
      </w:r>
    </w:p>
    <w:p w14:paraId="0358DD79" w14:textId="77777777" w:rsidR="00582A02" w:rsidRPr="00A10850" w:rsidRDefault="00582A02" w:rsidP="00DC54F7">
      <w:pPr>
        <w:spacing w:after="0" w:line="240" w:lineRule="auto"/>
        <w:jc w:val="both"/>
        <w:rPr>
          <w:rFonts w:ascii="Arial" w:hAnsi="Arial" w:cs="Arial"/>
          <w:b/>
          <w:lang w:val="en-US"/>
        </w:rPr>
      </w:pPr>
    </w:p>
    <w:p w14:paraId="033524E1" w14:textId="77777777" w:rsidR="00582A02" w:rsidRPr="00A10850" w:rsidRDefault="00582A02" w:rsidP="00DC54F7">
      <w:pPr>
        <w:spacing w:after="0" w:line="240" w:lineRule="auto"/>
        <w:jc w:val="both"/>
        <w:rPr>
          <w:rFonts w:ascii="Arial" w:hAnsi="Arial" w:cs="Arial"/>
          <w:lang w:val="en-US"/>
        </w:rPr>
      </w:pPr>
      <w:r w:rsidRPr="00A10850">
        <w:rPr>
          <w:rFonts w:ascii="Arial" w:hAnsi="Arial" w:cs="Arial"/>
          <w:lang w:val="en-US"/>
        </w:rPr>
        <w:t xml:space="preserve">This service </w:t>
      </w:r>
      <w:r w:rsidR="00CB6B25" w:rsidRPr="00A10850">
        <w:rPr>
          <w:rFonts w:ascii="Arial" w:hAnsi="Arial" w:cs="Arial"/>
          <w:lang w:val="en-US"/>
        </w:rPr>
        <w:t>includes</w:t>
      </w:r>
      <w:r w:rsidRPr="00A10850">
        <w:rPr>
          <w:rFonts w:ascii="Arial" w:hAnsi="Arial" w:cs="Arial"/>
          <w:lang w:val="en-US"/>
        </w:rPr>
        <w:t xml:space="preserve"> requirements additional to those for dispensing, such that the pharmacist ascertains the patient’s need for a repeat supply and communicates any clinically significant issues to the prescriber.</w:t>
      </w:r>
    </w:p>
    <w:p w14:paraId="28D48EE0" w14:textId="77777777" w:rsidR="00582A02" w:rsidRPr="00A10850" w:rsidRDefault="00582A02" w:rsidP="00DC54F7">
      <w:pPr>
        <w:spacing w:after="0" w:line="240" w:lineRule="auto"/>
        <w:jc w:val="both"/>
        <w:rPr>
          <w:rFonts w:ascii="Arial" w:hAnsi="Arial" w:cs="Arial"/>
          <w:lang w:val="en-US"/>
        </w:rPr>
      </w:pPr>
    </w:p>
    <w:p w14:paraId="7D79F79F" w14:textId="77777777" w:rsidR="00582A02" w:rsidRPr="00A10850" w:rsidRDefault="00582A02" w:rsidP="009B59F3">
      <w:pPr>
        <w:spacing w:after="0" w:line="240" w:lineRule="auto"/>
        <w:rPr>
          <w:rFonts w:ascii="Arial" w:hAnsi="Arial" w:cs="Arial"/>
          <w:bCs/>
          <w:lang w:val="en-US"/>
        </w:rPr>
      </w:pPr>
      <w:r w:rsidRPr="00A10850">
        <w:rPr>
          <w:rFonts w:ascii="Arial" w:hAnsi="Arial" w:cs="Arial"/>
          <w:b/>
          <w:bCs/>
          <w:lang w:val="en-US"/>
        </w:rPr>
        <w:t>Aims and intended outcomes</w:t>
      </w:r>
      <w:r w:rsidRPr="00A10850">
        <w:rPr>
          <w:rFonts w:ascii="Arial" w:hAnsi="Arial" w:cs="Arial"/>
          <w:b/>
          <w:bCs/>
          <w:lang w:val="en-US"/>
        </w:rPr>
        <w:br/>
      </w:r>
    </w:p>
    <w:p w14:paraId="4B1D9435" w14:textId="77777777" w:rsidR="00582A02" w:rsidRPr="00A10850" w:rsidRDefault="00582A02" w:rsidP="00DC54F7">
      <w:pPr>
        <w:numPr>
          <w:ilvl w:val="0"/>
          <w:numId w:val="9"/>
        </w:numPr>
        <w:spacing w:after="0" w:line="240" w:lineRule="auto"/>
        <w:jc w:val="both"/>
        <w:rPr>
          <w:rFonts w:ascii="Arial" w:hAnsi="Arial" w:cs="Arial"/>
          <w:lang w:val="en-US"/>
        </w:rPr>
      </w:pPr>
      <w:r w:rsidRPr="00A10850">
        <w:rPr>
          <w:rFonts w:ascii="Arial" w:hAnsi="Arial" w:cs="Arial"/>
          <w:lang w:val="en-US"/>
        </w:rPr>
        <w:t>To increase patient choice and convenience, by allowing them to obtain their regular prescribed medicines and appliances directly from a community pharmacy for a period agreed by the prescriber</w:t>
      </w:r>
    </w:p>
    <w:p w14:paraId="48CBA26D" w14:textId="77777777" w:rsidR="00582A02" w:rsidRPr="00A10850" w:rsidRDefault="00582A02" w:rsidP="00DC54F7">
      <w:pPr>
        <w:numPr>
          <w:ilvl w:val="0"/>
          <w:numId w:val="9"/>
        </w:numPr>
        <w:spacing w:after="0" w:line="240" w:lineRule="auto"/>
        <w:jc w:val="both"/>
        <w:rPr>
          <w:rFonts w:ascii="Arial" w:hAnsi="Arial" w:cs="Arial"/>
          <w:lang w:val="en-US"/>
        </w:rPr>
      </w:pPr>
      <w:r w:rsidRPr="00A10850">
        <w:rPr>
          <w:rFonts w:ascii="Arial" w:hAnsi="Arial" w:cs="Arial"/>
          <w:lang w:val="en-US"/>
        </w:rPr>
        <w:t>To minimise wastage by reducing the number of medicines and appliances dispensed which are not required by the patient</w:t>
      </w:r>
    </w:p>
    <w:p w14:paraId="4722FC06" w14:textId="77777777" w:rsidR="00582A02" w:rsidRPr="00A10850" w:rsidRDefault="00582A02" w:rsidP="00DC54F7">
      <w:pPr>
        <w:numPr>
          <w:ilvl w:val="0"/>
          <w:numId w:val="9"/>
        </w:numPr>
        <w:spacing w:after="0" w:line="240" w:lineRule="auto"/>
        <w:jc w:val="both"/>
        <w:rPr>
          <w:rFonts w:ascii="Arial" w:hAnsi="Arial" w:cs="Arial"/>
          <w:lang w:val="en-US"/>
        </w:rPr>
      </w:pPr>
      <w:r w:rsidRPr="00A10850">
        <w:rPr>
          <w:rFonts w:ascii="Arial" w:hAnsi="Arial" w:cs="Arial"/>
          <w:lang w:val="en-US"/>
        </w:rPr>
        <w:lastRenderedPageBreak/>
        <w:t>To reduce the workload of general medical practices, by lowering the burden of managing repeat prescriptions.</w:t>
      </w:r>
    </w:p>
    <w:p w14:paraId="242B5683" w14:textId="538D6159" w:rsidR="009D1FF2" w:rsidRDefault="009D1FF2" w:rsidP="00DC54F7">
      <w:pPr>
        <w:spacing w:after="0" w:line="240" w:lineRule="auto"/>
        <w:jc w:val="both"/>
        <w:rPr>
          <w:rFonts w:ascii="Arial" w:hAnsi="Arial" w:cs="Arial"/>
          <w:lang w:val="en-US"/>
        </w:rPr>
      </w:pPr>
    </w:p>
    <w:p w14:paraId="71DC8419" w14:textId="77777777" w:rsidR="00AE758E" w:rsidRPr="00A10850" w:rsidRDefault="00AE758E" w:rsidP="00DC54F7">
      <w:pPr>
        <w:spacing w:after="0" w:line="240" w:lineRule="auto"/>
        <w:jc w:val="both"/>
        <w:rPr>
          <w:rFonts w:ascii="Arial" w:hAnsi="Arial" w:cs="Arial"/>
          <w:lang w:val="en-US"/>
        </w:rPr>
      </w:pPr>
    </w:p>
    <w:p w14:paraId="2DA29B62" w14:textId="77777777" w:rsidR="00D7589C" w:rsidRPr="00A10850" w:rsidRDefault="00980EC8" w:rsidP="00DC54F7">
      <w:pPr>
        <w:pStyle w:val="ListParagraph"/>
        <w:numPr>
          <w:ilvl w:val="0"/>
          <w:numId w:val="8"/>
        </w:numPr>
        <w:spacing w:after="0" w:line="240" w:lineRule="auto"/>
        <w:ind w:left="284" w:hanging="284"/>
        <w:jc w:val="both"/>
        <w:rPr>
          <w:rFonts w:ascii="Arial" w:hAnsi="Arial" w:cs="Arial"/>
          <w:b/>
          <w:sz w:val="24"/>
          <w:szCs w:val="24"/>
          <w:lang w:val="en-US"/>
        </w:rPr>
      </w:pPr>
      <w:r w:rsidRPr="00A10850">
        <w:rPr>
          <w:rFonts w:ascii="Arial" w:hAnsi="Arial" w:cs="Arial"/>
          <w:b/>
          <w:sz w:val="24"/>
          <w:szCs w:val="24"/>
          <w:lang w:val="en-US"/>
        </w:rPr>
        <w:t xml:space="preserve">  </w:t>
      </w:r>
      <w:r w:rsidR="00D7589C" w:rsidRPr="00A10850">
        <w:rPr>
          <w:rFonts w:ascii="Arial" w:hAnsi="Arial" w:cs="Arial"/>
          <w:b/>
          <w:sz w:val="24"/>
          <w:szCs w:val="24"/>
          <w:lang w:val="en-US"/>
        </w:rPr>
        <w:t xml:space="preserve">Disposal of unwanted </w:t>
      </w:r>
      <w:r w:rsidR="00805733" w:rsidRPr="00A10850">
        <w:rPr>
          <w:rFonts w:ascii="Arial" w:hAnsi="Arial" w:cs="Arial"/>
          <w:b/>
          <w:sz w:val="24"/>
          <w:szCs w:val="24"/>
          <w:lang w:val="en-US"/>
        </w:rPr>
        <w:t>drugs</w:t>
      </w:r>
    </w:p>
    <w:p w14:paraId="522FD67E" w14:textId="77777777" w:rsidR="00D7589C" w:rsidRPr="00A10850" w:rsidRDefault="00D7589C" w:rsidP="00DC54F7">
      <w:pPr>
        <w:spacing w:after="0" w:line="240" w:lineRule="auto"/>
        <w:jc w:val="both"/>
        <w:rPr>
          <w:rFonts w:ascii="Arial" w:hAnsi="Arial" w:cs="Arial"/>
          <w:lang w:val="en-US"/>
        </w:rPr>
      </w:pPr>
    </w:p>
    <w:p w14:paraId="10447C17" w14:textId="77777777" w:rsidR="00D7589C" w:rsidRPr="00A10850" w:rsidRDefault="00D7589C" w:rsidP="00DC54F7">
      <w:pPr>
        <w:spacing w:after="0" w:line="240" w:lineRule="auto"/>
        <w:jc w:val="both"/>
        <w:rPr>
          <w:rFonts w:ascii="Arial" w:hAnsi="Arial" w:cs="Arial"/>
          <w:b/>
          <w:lang w:val="en-US"/>
        </w:rPr>
      </w:pPr>
      <w:r w:rsidRPr="00A10850">
        <w:rPr>
          <w:rFonts w:ascii="Arial" w:hAnsi="Arial" w:cs="Arial"/>
          <w:b/>
          <w:lang w:val="en-US"/>
        </w:rPr>
        <w:t>Service description</w:t>
      </w:r>
    </w:p>
    <w:p w14:paraId="2E592971" w14:textId="77777777" w:rsidR="00D7589C" w:rsidRPr="00A10850" w:rsidRDefault="00D7589C" w:rsidP="00DC54F7">
      <w:pPr>
        <w:spacing w:after="0" w:line="240" w:lineRule="auto"/>
        <w:jc w:val="both"/>
        <w:rPr>
          <w:rFonts w:ascii="Arial" w:hAnsi="Arial" w:cs="Arial"/>
          <w:b/>
          <w:lang w:val="en-US"/>
        </w:rPr>
      </w:pPr>
    </w:p>
    <w:p w14:paraId="2D979889" w14:textId="77777777" w:rsidR="00D7589C" w:rsidRPr="00A10850" w:rsidRDefault="00D7589C" w:rsidP="00DC54F7">
      <w:pPr>
        <w:spacing w:after="0" w:line="240" w:lineRule="auto"/>
        <w:jc w:val="both"/>
        <w:rPr>
          <w:rFonts w:ascii="Arial" w:hAnsi="Arial" w:cs="Arial"/>
          <w:lang w:val="en-US"/>
        </w:rPr>
      </w:pPr>
      <w:r w:rsidRPr="00A10850">
        <w:rPr>
          <w:rFonts w:ascii="Arial" w:hAnsi="Arial" w:cs="Arial"/>
          <w:lang w:val="en-US"/>
        </w:rPr>
        <w:t>Acceptance by community pharmacies, of unwanted medicines which require safe disposal from</w:t>
      </w:r>
      <w:r w:rsidR="00930FC1" w:rsidRPr="00A10850">
        <w:rPr>
          <w:rFonts w:ascii="Arial" w:hAnsi="Arial" w:cs="Arial"/>
          <w:lang w:val="en-US"/>
        </w:rPr>
        <w:t xml:space="preserve"> private</w:t>
      </w:r>
      <w:r w:rsidRPr="00A10850">
        <w:rPr>
          <w:rFonts w:ascii="Arial" w:hAnsi="Arial" w:cs="Arial"/>
          <w:lang w:val="en-US"/>
        </w:rPr>
        <w:t xml:space="preserve"> households and </w:t>
      </w:r>
      <w:r w:rsidR="00930FC1" w:rsidRPr="00A10850">
        <w:rPr>
          <w:rFonts w:ascii="Arial" w:hAnsi="Arial" w:cs="Arial"/>
          <w:lang w:val="en-US"/>
        </w:rPr>
        <w:t>people living in a residential care home</w:t>
      </w:r>
      <w:r w:rsidRPr="00A10850">
        <w:rPr>
          <w:rFonts w:ascii="Arial" w:hAnsi="Arial" w:cs="Arial"/>
          <w:lang w:val="en-US"/>
        </w:rPr>
        <w:t>.</w:t>
      </w:r>
      <w:r w:rsidR="00980EC8" w:rsidRPr="00A10850">
        <w:rPr>
          <w:rFonts w:ascii="Arial" w:hAnsi="Arial" w:cs="Arial"/>
          <w:lang w:val="en-US"/>
        </w:rPr>
        <w:t xml:space="preserve">  </w:t>
      </w:r>
      <w:r w:rsidR="00930FC1" w:rsidRPr="00A10850">
        <w:rPr>
          <w:rFonts w:ascii="Arial" w:hAnsi="Arial" w:cs="Arial"/>
          <w:lang w:val="en-US"/>
        </w:rPr>
        <w:t>The health board</w:t>
      </w:r>
      <w:r w:rsidRPr="00A10850">
        <w:rPr>
          <w:rFonts w:ascii="Arial" w:hAnsi="Arial" w:cs="Arial"/>
          <w:lang w:val="en-US"/>
        </w:rPr>
        <w:t xml:space="preserve"> is required to arrange for the collection and disposal of waste medicines from pharmacies.</w:t>
      </w:r>
    </w:p>
    <w:p w14:paraId="2BC39A5C" w14:textId="77777777" w:rsidR="00D7589C" w:rsidRPr="00A10850" w:rsidRDefault="00D7589C" w:rsidP="00DC54F7">
      <w:pPr>
        <w:spacing w:after="0" w:line="240" w:lineRule="auto"/>
        <w:jc w:val="both"/>
        <w:rPr>
          <w:rFonts w:ascii="Arial" w:hAnsi="Arial" w:cs="Arial"/>
          <w:lang w:val="en-US"/>
        </w:rPr>
      </w:pPr>
    </w:p>
    <w:p w14:paraId="0A05860E" w14:textId="77777777" w:rsidR="00D7589C" w:rsidRPr="00A10850" w:rsidRDefault="00D7589C" w:rsidP="00DC54F7">
      <w:pPr>
        <w:spacing w:after="0" w:line="240" w:lineRule="auto"/>
        <w:jc w:val="both"/>
        <w:rPr>
          <w:rFonts w:ascii="Arial" w:hAnsi="Arial" w:cs="Arial"/>
          <w:b/>
          <w:lang w:val="en-US"/>
        </w:rPr>
      </w:pPr>
      <w:r w:rsidRPr="00A10850">
        <w:rPr>
          <w:rFonts w:ascii="Arial" w:hAnsi="Arial" w:cs="Arial"/>
          <w:b/>
          <w:lang w:val="en-US"/>
        </w:rPr>
        <w:t>Aims and intended outcomes</w:t>
      </w:r>
    </w:p>
    <w:p w14:paraId="10F47745" w14:textId="77777777" w:rsidR="00D7589C" w:rsidRPr="00A10850" w:rsidRDefault="00D7589C" w:rsidP="00DC54F7">
      <w:pPr>
        <w:spacing w:after="0" w:line="240" w:lineRule="auto"/>
        <w:jc w:val="both"/>
        <w:rPr>
          <w:rFonts w:ascii="Arial" w:hAnsi="Arial" w:cs="Arial"/>
          <w:b/>
          <w:lang w:val="en-US"/>
        </w:rPr>
      </w:pPr>
    </w:p>
    <w:p w14:paraId="0D903DAE" w14:textId="77777777" w:rsidR="00D7589C" w:rsidRPr="00A10850" w:rsidRDefault="00D7589C" w:rsidP="00DC54F7">
      <w:pPr>
        <w:numPr>
          <w:ilvl w:val="0"/>
          <w:numId w:val="10"/>
        </w:numPr>
        <w:spacing w:after="0" w:line="240" w:lineRule="auto"/>
        <w:jc w:val="both"/>
        <w:rPr>
          <w:rFonts w:ascii="Arial" w:hAnsi="Arial" w:cs="Arial"/>
          <w:lang w:val="en-US"/>
        </w:rPr>
      </w:pPr>
      <w:r w:rsidRPr="00A10850">
        <w:rPr>
          <w:rFonts w:ascii="Arial" w:hAnsi="Arial" w:cs="Arial"/>
          <w:lang w:val="en-US"/>
        </w:rPr>
        <w:t>To ensure the public has an easy method of safely disposing of unwanted medicines</w:t>
      </w:r>
    </w:p>
    <w:p w14:paraId="719AE4BF" w14:textId="77777777" w:rsidR="00D7589C" w:rsidRPr="00A10850" w:rsidRDefault="00D7589C" w:rsidP="00DC54F7">
      <w:pPr>
        <w:numPr>
          <w:ilvl w:val="0"/>
          <w:numId w:val="10"/>
        </w:numPr>
        <w:spacing w:after="0" w:line="240" w:lineRule="auto"/>
        <w:jc w:val="both"/>
        <w:rPr>
          <w:rFonts w:ascii="Arial" w:hAnsi="Arial" w:cs="Arial"/>
          <w:lang w:val="en-US"/>
        </w:rPr>
      </w:pPr>
      <w:r w:rsidRPr="00A10850">
        <w:rPr>
          <w:rFonts w:ascii="Arial" w:hAnsi="Arial" w:cs="Arial"/>
          <w:lang w:val="en-US"/>
        </w:rPr>
        <w:t>To reduce the volume of stored unwanted medicines in people’s homes by providing a route for disposal thus reducing the risk of accidental poisonings in the home and diversion of medicines to other people not authorised to possess them</w:t>
      </w:r>
    </w:p>
    <w:p w14:paraId="5E46577D" w14:textId="77777777" w:rsidR="00D7589C" w:rsidRPr="00A10850" w:rsidRDefault="00D7589C" w:rsidP="00DC54F7">
      <w:pPr>
        <w:numPr>
          <w:ilvl w:val="0"/>
          <w:numId w:val="10"/>
        </w:numPr>
        <w:spacing w:after="0" w:line="240" w:lineRule="auto"/>
        <w:jc w:val="both"/>
        <w:rPr>
          <w:rFonts w:ascii="Arial" w:hAnsi="Arial" w:cs="Arial"/>
          <w:lang w:val="en-US"/>
        </w:rPr>
      </w:pPr>
      <w:r w:rsidRPr="00A10850">
        <w:rPr>
          <w:rFonts w:ascii="Arial" w:hAnsi="Arial" w:cs="Arial"/>
          <w:lang w:val="en-US"/>
        </w:rPr>
        <w:t>To reduce the risk of exposing the public to unwanted medicines which have been disposed of by non-secure methods</w:t>
      </w:r>
    </w:p>
    <w:p w14:paraId="4B974A06" w14:textId="77777777" w:rsidR="00D7589C" w:rsidRPr="00A10850" w:rsidRDefault="00D7589C" w:rsidP="00DC54F7">
      <w:pPr>
        <w:numPr>
          <w:ilvl w:val="0"/>
          <w:numId w:val="10"/>
        </w:numPr>
        <w:spacing w:after="0" w:line="240" w:lineRule="auto"/>
        <w:jc w:val="both"/>
        <w:rPr>
          <w:rFonts w:ascii="Arial" w:hAnsi="Arial" w:cs="Arial"/>
          <w:lang w:val="en-US"/>
        </w:rPr>
      </w:pPr>
      <w:r w:rsidRPr="00A10850">
        <w:rPr>
          <w:rFonts w:ascii="Arial" w:hAnsi="Arial" w:cs="Arial"/>
          <w:lang w:val="en-US"/>
        </w:rPr>
        <w:t>To reduce environmental damage caused by the inappropriate disposal methods for unwanted medicines.</w:t>
      </w:r>
    </w:p>
    <w:p w14:paraId="05FFAC70" w14:textId="33C49B15" w:rsidR="00805733" w:rsidRDefault="00805733" w:rsidP="00DC54F7">
      <w:pPr>
        <w:spacing w:after="0" w:line="240" w:lineRule="auto"/>
        <w:jc w:val="both"/>
        <w:rPr>
          <w:rFonts w:ascii="Arial" w:hAnsi="Arial" w:cs="Arial"/>
          <w:lang w:val="en-US"/>
        </w:rPr>
      </w:pPr>
    </w:p>
    <w:p w14:paraId="187E52F7" w14:textId="77777777" w:rsidR="00AE758E" w:rsidRPr="00A10850" w:rsidRDefault="00AE758E" w:rsidP="00DC54F7">
      <w:pPr>
        <w:spacing w:after="0" w:line="240" w:lineRule="auto"/>
        <w:jc w:val="both"/>
        <w:rPr>
          <w:rFonts w:ascii="Arial" w:hAnsi="Arial" w:cs="Arial"/>
          <w:lang w:val="en-US"/>
        </w:rPr>
      </w:pPr>
    </w:p>
    <w:p w14:paraId="3C86F983" w14:textId="77777777" w:rsidR="00805733" w:rsidRPr="00A10850" w:rsidRDefault="00805733" w:rsidP="00DC54F7">
      <w:pPr>
        <w:pStyle w:val="ListParagraph"/>
        <w:numPr>
          <w:ilvl w:val="0"/>
          <w:numId w:val="8"/>
        </w:numPr>
        <w:spacing w:after="0" w:line="240" w:lineRule="auto"/>
        <w:ind w:left="284" w:hanging="284"/>
        <w:jc w:val="both"/>
        <w:rPr>
          <w:rFonts w:ascii="Arial" w:hAnsi="Arial" w:cs="Arial"/>
          <w:b/>
          <w:sz w:val="24"/>
          <w:szCs w:val="24"/>
          <w:lang w:val="en-US"/>
        </w:rPr>
      </w:pPr>
      <w:r w:rsidRPr="00A10850">
        <w:rPr>
          <w:rFonts w:ascii="Arial" w:hAnsi="Arial" w:cs="Arial"/>
          <w:b/>
          <w:sz w:val="24"/>
          <w:szCs w:val="24"/>
          <w:lang w:val="en-US"/>
        </w:rPr>
        <w:t>Promotion of healthy lifestyles</w:t>
      </w:r>
    </w:p>
    <w:p w14:paraId="211EF29B" w14:textId="77777777" w:rsidR="00805733" w:rsidRPr="00A10850" w:rsidRDefault="00805733" w:rsidP="00DC54F7">
      <w:pPr>
        <w:spacing w:after="0" w:line="240" w:lineRule="auto"/>
        <w:jc w:val="both"/>
        <w:rPr>
          <w:rFonts w:ascii="Arial" w:hAnsi="Arial" w:cs="Arial"/>
          <w:lang w:val="en-US"/>
        </w:rPr>
      </w:pPr>
    </w:p>
    <w:p w14:paraId="3B4DD9E2" w14:textId="77777777" w:rsidR="00805733" w:rsidRPr="00A10850" w:rsidRDefault="00805733" w:rsidP="00DC54F7">
      <w:pPr>
        <w:spacing w:after="0" w:line="240" w:lineRule="auto"/>
        <w:jc w:val="both"/>
        <w:rPr>
          <w:rFonts w:ascii="Arial" w:hAnsi="Arial" w:cs="Arial"/>
          <w:b/>
          <w:bCs/>
          <w:lang w:val="en-US"/>
        </w:rPr>
      </w:pPr>
      <w:r w:rsidRPr="00A10850">
        <w:rPr>
          <w:rFonts w:ascii="Arial" w:hAnsi="Arial" w:cs="Arial"/>
          <w:b/>
          <w:bCs/>
          <w:lang w:val="en-US"/>
        </w:rPr>
        <w:t>Service description</w:t>
      </w:r>
    </w:p>
    <w:p w14:paraId="34AC8812" w14:textId="77777777" w:rsidR="00805733" w:rsidRPr="00A10850" w:rsidRDefault="00805733" w:rsidP="00DC54F7">
      <w:pPr>
        <w:spacing w:after="0" w:line="240" w:lineRule="auto"/>
        <w:jc w:val="both"/>
        <w:rPr>
          <w:rFonts w:ascii="Arial" w:hAnsi="Arial" w:cs="Arial"/>
          <w:b/>
          <w:bCs/>
          <w:lang w:val="en-US"/>
        </w:rPr>
      </w:pPr>
    </w:p>
    <w:p w14:paraId="59ECF3A1" w14:textId="77777777" w:rsidR="00805733" w:rsidRPr="00A10850" w:rsidRDefault="00805733" w:rsidP="00DC54F7">
      <w:pPr>
        <w:spacing w:after="0" w:line="240" w:lineRule="auto"/>
        <w:jc w:val="both"/>
        <w:rPr>
          <w:rFonts w:ascii="Arial" w:hAnsi="Arial" w:cs="Arial"/>
          <w:lang w:val="en-US"/>
        </w:rPr>
      </w:pPr>
      <w:r w:rsidRPr="00A10850">
        <w:rPr>
          <w:rFonts w:ascii="Arial" w:hAnsi="Arial" w:cs="Arial"/>
          <w:lang w:val="en-US"/>
        </w:rPr>
        <w:t>The provision of opportunistic healthy lifestyle and public health advice to patients receiving prescriptions who appear to:</w:t>
      </w:r>
    </w:p>
    <w:p w14:paraId="724B4033" w14:textId="77777777" w:rsidR="00805733" w:rsidRPr="00A10850" w:rsidRDefault="00805733" w:rsidP="00DC54F7">
      <w:pPr>
        <w:spacing w:after="0" w:line="240" w:lineRule="auto"/>
        <w:jc w:val="both"/>
        <w:rPr>
          <w:rFonts w:ascii="Arial" w:hAnsi="Arial" w:cs="Arial"/>
          <w:lang w:val="en-US"/>
        </w:rPr>
      </w:pPr>
    </w:p>
    <w:p w14:paraId="4BEAE721" w14:textId="77777777" w:rsidR="00805733" w:rsidRPr="00A10850" w:rsidRDefault="00A931C2" w:rsidP="00DC54F7">
      <w:pPr>
        <w:numPr>
          <w:ilvl w:val="0"/>
          <w:numId w:val="12"/>
        </w:numPr>
        <w:spacing w:after="0" w:line="240" w:lineRule="auto"/>
        <w:jc w:val="both"/>
        <w:rPr>
          <w:rFonts w:ascii="Arial" w:hAnsi="Arial" w:cs="Arial"/>
          <w:lang w:val="en-US"/>
        </w:rPr>
      </w:pPr>
      <w:r w:rsidRPr="00A10850">
        <w:rPr>
          <w:rFonts w:ascii="Arial" w:hAnsi="Arial" w:cs="Arial"/>
          <w:lang w:val="en-US"/>
        </w:rPr>
        <w:t>H</w:t>
      </w:r>
      <w:r w:rsidR="00805733" w:rsidRPr="00A10850">
        <w:rPr>
          <w:rFonts w:ascii="Arial" w:hAnsi="Arial" w:cs="Arial"/>
          <w:lang w:val="en-US"/>
        </w:rPr>
        <w:t>ave diabetes; or</w:t>
      </w:r>
    </w:p>
    <w:p w14:paraId="0DB1A78C" w14:textId="77777777" w:rsidR="00805733" w:rsidRPr="00A10850" w:rsidRDefault="00A931C2" w:rsidP="00DC54F7">
      <w:pPr>
        <w:numPr>
          <w:ilvl w:val="0"/>
          <w:numId w:val="12"/>
        </w:numPr>
        <w:spacing w:after="0" w:line="240" w:lineRule="auto"/>
        <w:jc w:val="both"/>
        <w:rPr>
          <w:rFonts w:ascii="Arial" w:hAnsi="Arial" w:cs="Arial"/>
          <w:lang w:val="en-US"/>
        </w:rPr>
      </w:pPr>
      <w:r w:rsidRPr="00A10850">
        <w:rPr>
          <w:rFonts w:ascii="Arial" w:hAnsi="Arial" w:cs="Arial"/>
          <w:lang w:val="en-US"/>
        </w:rPr>
        <w:t>B</w:t>
      </w:r>
      <w:r w:rsidR="00805733" w:rsidRPr="00A10850">
        <w:rPr>
          <w:rFonts w:ascii="Arial" w:hAnsi="Arial" w:cs="Arial"/>
          <w:lang w:val="en-US"/>
        </w:rPr>
        <w:t>e at risk of coronary heart disease, especially those with high blood pressure; or</w:t>
      </w:r>
    </w:p>
    <w:p w14:paraId="73754F11" w14:textId="77777777" w:rsidR="00805733" w:rsidRPr="00A10850" w:rsidRDefault="00A931C2" w:rsidP="00DC54F7">
      <w:pPr>
        <w:numPr>
          <w:ilvl w:val="0"/>
          <w:numId w:val="12"/>
        </w:numPr>
        <w:spacing w:after="0" w:line="240" w:lineRule="auto"/>
        <w:jc w:val="both"/>
        <w:rPr>
          <w:rFonts w:ascii="Arial" w:hAnsi="Arial" w:cs="Arial"/>
          <w:lang w:val="en-US"/>
        </w:rPr>
      </w:pPr>
      <w:r w:rsidRPr="00A10850">
        <w:rPr>
          <w:rFonts w:ascii="Arial" w:hAnsi="Arial" w:cs="Arial"/>
          <w:lang w:val="en-US"/>
        </w:rPr>
        <w:t>W</w:t>
      </w:r>
      <w:r w:rsidR="00805733" w:rsidRPr="00A10850">
        <w:rPr>
          <w:rFonts w:ascii="Arial" w:hAnsi="Arial" w:cs="Arial"/>
          <w:lang w:val="en-US"/>
        </w:rPr>
        <w:t>ho smoke; or</w:t>
      </w:r>
    </w:p>
    <w:p w14:paraId="76673BA1" w14:textId="77777777" w:rsidR="00805733" w:rsidRPr="00A10850" w:rsidRDefault="00A931C2" w:rsidP="00DC54F7">
      <w:pPr>
        <w:numPr>
          <w:ilvl w:val="0"/>
          <w:numId w:val="12"/>
        </w:numPr>
        <w:spacing w:after="0" w:line="240" w:lineRule="auto"/>
        <w:jc w:val="both"/>
        <w:rPr>
          <w:rFonts w:ascii="Arial" w:hAnsi="Arial" w:cs="Arial"/>
          <w:lang w:val="en-US"/>
        </w:rPr>
      </w:pPr>
      <w:r w:rsidRPr="00A10850">
        <w:rPr>
          <w:rFonts w:ascii="Arial" w:hAnsi="Arial" w:cs="Arial"/>
          <w:lang w:val="en-US"/>
        </w:rPr>
        <w:t>A</w:t>
      </w:r>
      <w:r w:rsidR="00805733" w:rsidRPr="00A10850">
        <w:rPr>
          <w:rFonts w:ascii="Arial" w:hAnsi="Arial" w:cs="Arial"/>
          <w:lang w:val="en-US"/>
        </w:rPr>
        <w:t>re overweight,</w:t>
      </w:r>
    </w:p>
    <w:p w14:paraId="71678473" w14:textId="77777777" w:rsidR="00805733" w:rsidRPr="00A10850" w:rsidRDefault="00805733" w:rsidP="00DC54F7">
      <w:pPr>
        <w:spacing w:after="0" w:line="240" w:lineRule="auto"/>
        <w:ind w:left="794"/>
        <w:jc w:val="both"/>
        <w:rPr>
          <w:rFonts w:ascii="Arial" w:hAnsi="Arial" w:cs="Arial"/>
          <w:lang w:val="en-US"/>
        </w:rPr>
      </w:pPr>
    </w:p>
    <w:p w14:paraId="2B511E73" w14:textId="77777777" w:rsidR="00805733" w:rsidRPr="00A10850" w:rsidRDefault="00805733" w:rsidP="00DC54F7">
      <w:pPr>
        <w:spacing w:after="0" w:line="240" w:lineRule="auto"/>
        <w:jc w:val="both"/>
        <w:rPr>
          <w:rFonts w:ascii="Arial" w:hAnsi="Arial" w:cs="Arial"/>
          <w:lang w:val="en-US"/>
        </w:rPr>
      </w:pPr>
      <w:r w:rsidRPr="00A10850">
        <w:rPr>
          <w:rFonts w:ascii="Arial" w:hAnsi="Arial" w:cs="Arial"/>
          <w:lang w:val="en-US"/>
        </w:rPr>
        <w:t>and pro-active participation in national/local campaigns, to promote public health messages to general pharmacy visitors during specific targeted campaign periods</w:t>
      </w:r>
    </w:p>
    <w:p w14:paraId="6209E031" w14:textId="77777777" w:rsidR="00805733" w:rsidRPr="00A10850" w:rsidRDefault="00805733" w:rsidP="00DC54F7">
      <w:pPr>
        <w:spacing w:after="0" w:line="240" w:lineRule="auto"/>
        <w:jc w:val="both"/>
        <w:rPr>
          <w:rFonts w:ascii="Arial" w:hAnsi="Arial" w:cs="Arial"/>
          <w:lang w:val="en-US"/>
        </w:rPr>
      </w:pPr>
    </w:p>
    <w:p w14:paraId="2FEA9D68" w14:textId="77777777" w:rsidR="00805733" w:rsidRPr="00A10850" w:rsidRDefault="00805733" w:rsidP="00DC54F7">
      <w:pPr>
        <w:spacing w:after="0" w:line="240" w:lineRule="auto"/>
        <w:jc w:val="both"/>
        <w:rPr>
          <w:rFonts w:ascii="Arial" w:hAnsi="Arial" w:cs="Arial"/>
          <w:b/>
          <w:bCs/>
          <w:lang w:val="en-US"/>
        </w:rPr>
      </w:pPr>
      <w:r w:rsidRPr="00A10850">
        <w:rPr>
          <w:rFonts w:ascii="Arial" w:hAnsi="Arial" w:cs="Arial"/>
          <w:b/>
          <w:bCs/>
          <w:lang w:val="en-US"/>
        </w:rPr>
        <w:t>Aims and intended outcomes</w:t>
      </w:r>
    </w:p>
    <w:p w14:paraId="56A55DF2" w14:textId="77777777" w:rsidR="00805733" w:rsidRPr="00A10850" w:rsidRDefault="00805733" w:rsidP="00DC54F7">
      <w:pPr>
        <w:spacing w:after="0" w:line="240" w:lineRule="auto"/>
        <w:jc w:val="both"/>
        <w:rPr>
          <w:rFonts w:ascii="Arial" w:hAnsi="Arial" w:cs="Arial"/>
          <w:b/>
          <w:bCs/>
          <w:lang w:val="en-US"/>
        </w:rPr>
      </w:pPr>
    </w:p>
    <w:p w14:paraId="2111EB7A" w14:textId="77777777" w:rsidR="00805733" w:rsidRPr="00A10850" w:rsidRDefault="00805733" w:rsidP="00DC54F7">
      <w:pPr>
        <w:numPr>
          <w:ilvl w:val="0"/>
          <w:numId w:val="11"/>
        </w:numPr>
        <w:spacing w:after="0" w:line="240" w:lineRule="auto"/>
        <w:jc w:val="both"/>
        <w:rPr>
          <w:rFonts w:ascii="Arial" w:hAnsi="Arial" w:cs="Arial"/>
          <w:lang w:val="en-US"/>
        </w:rPr>
      </w:pPr>
      <w:r w:rsidRPr="00A10850">
        <w:rPr>
          <w:rFonts w:ascii="Arial" w:hAnsi="Arial" w:cs="Arial"/>
          <w:lang w:val="en-US"/>
        </w:rPr>
        <w:t>To increase patient and public knowledge and understanding of key healthy lifestyle and public health messages so they are empowered to take actions which will improve their health.</w:t>
      </w:r>
    </w:p>
    <w:p w14:paraId="478363A3" w14:textId="77777777" w:rsidR="00805733" w:rsidRPr="00A10850" w:rsidRDefault="00805733" w:rsidP="00DC54F7">
      <w:pPr>
        <w:numPr>
          <w:ilvl w:val="0"/>
          <w:numId w:val="11"/>
        </w:numPr>
        <w:spacing w:after="0" w:line="240" w:lineRule="auto"/>
        <w:jc w:val="both"/>
        <w:rPr>
          <w:rFonts w:ascii="Arial" w:hAnsi="Arial" w:cs="Arial"/>
          <w:lang w:val="en-US"/>
        </w:rPr>
      </w:pPr>
      <w:r w:rsidRPr="00A10850">
        <w:rPr>
          <w:rFonts w:ascii="Arial" w:hAnsi="Arial" w:cs="Arial"/>
          <w:lang w:val="en-US"/>
        </w:rPr>
        <w:t xml:space="preserve">To target the </w:t>
      </w:r>
      <w:r w:rsidRPr="00A10850">
        <w:rPr>
          <w:rFonts w:ascii="Arial" w:hAnsi="Arial" w:cs="Arial"/>
          <w:vertAlign w:val="superscript"/>
          <w:lang w:val="en-US"/>
        </w:rPr>
        <w:t>‘</w:t>
      </w:r>
      <w:r w:rsidRPr="00A10850">
        <w:rPr>
          <w:rFonts w:ascii="Arial" w:hAnsi="Arial" w:cs="Arial"/>
          <w:lang w:val="en-US"/>
        </w:rPr>
        <w:t>hard to reach’ sectors of the population who are not frequently exposed to health promotion activities in other parts of the health or social care sector.</w:t>
      </w:r>
    </w:p>
    <w:p w14:paraId="16924686" w14:textId="41419B82" w:rsidR="00805733" w:rsidRDefault="00805733" w:rsidP="00DC54F7">
      <w:pPr>
        <w:spacing w:after="0" w:line="240" w:lineRule="auto"/>
        <w:jc w:val="both"/>
        <w:rPr>
          <w:rFonts w:ascii="Arial" w:hAnsi="Arial" w:cs="Arial"/>
          <w:lang w:val="en-US"/>
        </w:rPr>
      </w:pPr>
    </w:p>
    <w:p w14:paraId="0CF79289" w14:textId="093CAF93" w:rsidR="00AE758E" w:rsidRDefault="00AE758E" w:rsidP="00DC54F7">
      <w:pPr>
        <w:spacing w:after="0" w:line="240" w:lineRule="auto"/>
        <w:jc w:val="both"/>
        <w:rPr>
          <w:rFonts w:ascii="Arial" w:hAnsi="Arial" w:cs="Arial"/>
          <w:lang w:val="en-US"/>
        </w:rPr>
      </w:pPr>
    </w:p>
    <w:p w14:paraId="78284230" w14:textId="3B801696" w:rsidR="00AE758E" w:rsidRDefault="00AE758E" w:rsidP="00DC54F7">
      <w:pPr>
        <w:spacing w:after="0" w:line="240" w:lineRule="auto"/>
        <w:jc w:val="both"/>
        <w:rPr>
          <w:rFonts w:ascii="Arial" w:hAnsi="Arial" w:cs="Arial"/>
          <w:lang w:val="en-US"/>
        </w:rPr>
      </w:pPr>
    </w:p>
    <w:p w14:paraId="3BEF48BE" w14:textId="65C6691A" w:rsidR="00AE758E" w:rsidRDefault="00AE758E" w:rsidP="00DC54F7">
      <w:pPr>
        <w:spacing w:after="0" w:line="240" w:lineRule="auto"/>
        <w:jc w:val="both"/>
        <w:rPr>
          <w:rFonts w:ascii="Arial" w:hAnsi="Arial" w:cs="Arial"/>
          <w:lang w:val="en-US"/>
        </w:rPr>
      </w:pPr>
    </w:p>
    <w:p w14:paraId="07BB009C" w14:textId="2C13254F" w:rsidR="00AE758E" w:rsidRDefault="00AE758E" w:rsidP="00DC54F7">
      <w:pPr>
        <w:spacing w:after="0" w:line="240" w:lineRule="auto"/>
        <w:jc w:val="both"/>
        <w:rPr>
          <w:rFonts w:ascii="Arial" w:hAnsi="Arial" w:cs="Arial"/>
          <w:lang w:val="en-US"/>
        </w:rPr>
      </w:pPr>
    </w:p>
    <w:p w14:paraId="758B09DC" w14:textId="720625AB" w:rsidR="00AE758E" w:rsidRDefault="00AE758E" w:rsidP="00DC54F7">
      <w:pPr>
        <w:spacing w:after="0" w:line="240" w:lineRule="auto"/>
        <w:jc w:val="both"/>
        <w:rPr>
          <w:rFonts w:ascii="Arial" w:hAnsi="Arial" w:cs="Arial"/>
          <w:lang w:val="en-US"/>
        </w:rPr>
      </w:pPr>
    </w:p>
    <w:p w14:paraId="70E00EEC" w14:textId="77777777" w:rsidR="00AE758E" w:rsidRPr="00A10850" w:rsidRDefault="00AE758E" w:rsidP="00DC54F7">
      <w:pPr>
        <w:spacing w:after="0" w:line="240" w:lineRule="auto"/>
        <w:jc w:val="both"/>
        <w:rPr>
          <w:rFonts w:ascii="Arial" w:hAnsi="Arial" w:cs="Arial"/>
          <w:lang w:val="en-US"/>
        </w:rPr>
      </w:pPr>
    </w:p>
    <w:p w14:paraId="04A84226" w14:textId="77777777" w:rsidR="00805733" w:rsidRPr="00A10850" w:rsidRDefault="00805733" w:rsidP="00DC54F7">
      <w:pPr>
        <w:pStyle w:val="ListParagraph"/>
        <w:numPr>
          <w:ilvl w:val="0"/>
          <w:numId w:val="8"/>
        </w:numPr>
        <w:spacing w:after="0" w:line="240" w:lineRule="auto"/>
        <w:ind w:left="284" w:hanging="284"/>
        <w:jc w:val="both"/>
        <w:rPr>
          <w:rFonts w:ascii="Arial" w:hAnsi="Arial" w:cs="Arial"/>
          <w:b/>
          <w:sz w:val="24"/>
          <w:szCs w:val="24"/>
          <w:lang w:val="en-US"/>
        </w:rPr>
      </w:pPr>
      <w:r w:rsidRPr="00A10850">
        <w:rPr>
          <w:rFonts w:ascii="Arial" w:hAnsi="Arial" w:cs="Arial"/>
          <w:b/>
          <w:sz w:val="24"/>
          <w:szCs w:val="24"/>
          <w:lang w:val="en-US"/>
        </w:rPr>
        <w:lastRenderedPageBreak/>
        <w:t xml:space="preserve">Signposting </w:t>
      </w:r>
    </w:p>
    <w:p w14:paraId="45FE5983" w14:textId="77777777" w:rsidR="00805733" w:rsidRPr="00A10850" w:rsidRDefault="00805733" w:rsidP="00DC54F7">
      <w:pPr>
        <w:spacing w:after="0" w:line="240" w:lineRule="auto"/>
        <w:jc w:val="both"/>
        <w:rPr>
          <w:rFonts w:ascii="Arial" w:hAnsi="Arial" w:cs="Arial"/>
          <w:lang w:val="en-US"/>
        </w:rPr>
      </w:pPr>
    </w:p>
    <w:p w14:paraId="49BCC8C9" w14:textId="77777777" w:rsidR="00805733" w:rsidRPr="00A10850" w:rsidRDefault="00805733" w:rsidP="00DC54F7">
      <w:pPr>
        <w:spacing w:after="0" w:line="240" w:lineRule="auto"/>
        <w:jc w:val="both"/>
        <w:rPr>
          <w:rFonts w:ascii="Arial" w:hAnsi="Arial" w:cs="Arial"/>
          <w:b/>
          <w:bCs/>
          <w:lang w:val="en-US"/>
        </w:rPr>
      </w:pPr>
      <w:r w:rsidRPr="00A10850">
        <w:rPr>
          <w:rFonts w:ascii="Arial" w:hAnsi="Arial" w:cs="Arial"/>
          <w:b/>
          <w:bCs/>
          <w:lang w:val="en-US"/>
        </w:rPr>
        <w:t>Service description</w:t>
      </w:r>
    </w:p>
    <w:p w14:paraId="6A6FAAD2" w14:textId="77777777" w:rsidR="00805733" w:rsidRPr="00A10850" w:rsidRDefault="00805733" w:rsidP="00DC54F7">
      <w:pPr>
        <w:spacing w:after="0" w:line="240" w:lineRule="auto"/>
        <w:jc w:val="both"/>
        <w:rPr>
          <w:rFonts w:ascii="Arial" w:hAnsi="Arial" w:cs="Arial"/>
          <w:b/>
          <w:bCs/>
          <w:lang w:val="en-US"/>
        </w:rPr>
      </w:pPr>
    </w:p>
    <w:p w14:paraId="58F93864" w14:textId="77777777" w:rsidR="00805733" w:rsidRPr="00A10850" w:rsidRDefault="00805733" w:rsidP="00DC54F7">
      <w:pPr>
        <w:spacing w:after="0" w:line="240" w:lineRule="auto"/>
        <w:jc w:val="both"/>
        <w:rPr>
          <w:rFonts w:ascii="Arial" w:hAnsi="Arial" w:cs="Arial"/>
          <w:lang w:val="en-US"/>
        </w:rPr>
      </w:pPr>
      <w:r w:rsidRPr="00A10850">
        <w:rPr>
          <w:rFonts w:ascii="Arial" w:hAnsi="Arial" w:cs="Arial"/>
          <w:lang w:val="en-US"/>
        </w:rPr>
        <w:t xml:space="preserve">The provision of information to people visiting the pharmacy, who require further support, advice or treatment which cannot be provided by the pharmacy, </w:t>
      </w:r>
      <w:r w:rsidR="00AA0ABD" w:rsidRPr="00A10850">
        <w:rPr>
          <w:rFonts w:ascii="Arial" w:hAnsi="Arial" w:cs="Arial"/>
          <w:lang w:val="en-US"/>
        </w:rPr>
        <w:t xml:space="preserve">but is available </w:t>
      </w:r>
      <w:r w:rsidR="005E0184" w:rsidRPr="00A10850">
        <w:rPr>
          <w:rFonts w:ascii="Arial" w:hAnsi="Arial" w:cs="Arial"/>
          <w:lang w:val="en-US"/>
        </w:rPr>
        <w:t>from</w:t>
      </w:r>
      <w:r w:rsidR="00980EC8" w:rsidRPr="00A10850">
        <w:rPr>
          <w:rFonts w:ascii="Arial" w:hAnsi="Arial" w:cs="Arial"/>
          <w:lang w:val="en-US"/>
        </w:rPr>
        <w:t xml:space="preserve">  </w:t>
      </w:r>
      <w:r w:rsidRPr="00A10850">
        <w:rPr>
          <w:rFonts w:ascii="Arial" w:hAnsi="Arial" w:cs="Arial"/>
          <w:lang w:val="en-US"/>
        </w:rPr>
        <w:t>other health and social care providers or support organisations who may be able to assist the person. Where appropriate, this may take the form of a referral.</w:t>
      </w:r>
    </w:p>
    <w:p w14:paraId="6BF54910" w14:textId="77777777" w:rsidR="00805733" w:rsidRPr="00A10850" w:rsidRDefault="00805733" w:rsidP="00DC54F7">
      <w:pPr>
        <w:spacing w:after="0" w:line="240" w:lineRule="auto"/>
        <w:jc w:val="both"/>
        <w:rPr>
          <w:rFonts w:ascii="Arial" w:hAnsi="Arial" w:cs="Arial"/>
          <w:lang w:val="en-US"/>
        </w:rPr>
      </w:pPr>
    </w:p>
    <w:p w14:paraId="3C00EADE" w14:textId="77777777" w:rsidR="00A931C2" w:rsidRPr="00A10850" w:rsidRDefault="00A931C2" w:rsidP="00DC54F7">
      <w:pPr>
        <w:spacing w:after="0" w:line="240" w:lineRule="auto"/>
        <w:jc w:val="both"/>
        <w:rPr>
          <w:rFonts w:ascii="Arial" w:hAnsi="Arial" w:cs="Arial"/>
          <w:lang w:val="en-US"/>
        </w:rPr>
      </w:pPr>
    </w:p>
    <w:p w14:paraId="0A3F0A76" w14:textId="77777777" w:rsidR="00805733" w:rsidRPr="00A10850" w:rsidRDefault="00805733" w:rsidP="00DC54F7">
      <w:pPr>
        <w:spacing w:after="0" w:line="240" w:lineRule="auto"/>
        <w:jc w:val="both"/>
        <w:rPr>
          <w:rFonts w:ascii="Arial" w:hAnsi="Arial" w:cs="Arial"/>
          <w:b/>
          <w:bCs/>
          <w:lang w:val="en-US"/>
        </w:rPr>
      </w:pPr>
      <w:r w:rsidRPr="00A10850">
        <w:rPr>
          <w:rFonts w:ascii="Arial" w:hAnsi="Arial" w:cs="Arial"/>
          <w:b/>
          <w:bCs/>
          <w:lang w:val="en-US"/>
        </w:rPr>
        <w:t>Aims and intended outcomes</w:t>
      </w:r>
    </w:p>
    <w:p w14:paraId="2F81131B" w14:textId="77777777" w:rsidR="00805733" w:rsidRPr="00A10850" w:rsidRDefault="00805733" w:rsidP="00DC54F7">
      <w:pPr>
        <w:spacing w:after="0" w:line="240" w:lineRule="auto"/>
        <w:jc w:val="both"/>
        <w:rPr>
          <w:rFonts w:ascii="Arial" w:hAnsi="Arial" w:cs="Arial"/>
          <w:b/>
          <w:bCs/>
          <w:lang w:val="en-US"/>
        </w:rPr>
      </w:pPr>
    </w:p>
    <w:p w14:paraId="05C6BC2B" w14:textId="77777777" w:rsidR="00805733" w:rsidRPr="00A10850" w:rsidRDefault="00805733" w:rsidP="00DC54F7">
      <w:pPr>
        <w:numPr>
          <w:ilvl w:val="0"/>
          <w:numId w:val="13"/>
        </w:numPr>
        <w:spacing w:after="0" w:line="240" w:lineRule="auto"/>
        <w:jc w:val="both"/>
        <w:rPr>
          <w:rFonts w:ascii="Arial" w:hAnsi="Arial" w:cs="Arial"/>
          <w:lang w:val="en-US"/>
        </w:rPr>
      </w:pPr>
      <w:r w:rsidRPr="00A10850">
        <w:rPr>
          <w:rFonts w:ascii="Arial" w:hAnsi="Arial" w:cs="Arial"/>
          <w:lang w:val="en-US"/>
        </w:rPr>
        <w:t>To inform or advise people who require assistance, which cannot be provided by the pharmacy, of other appropriate health and social care providers or support organisations</w:t>
      </w:r>
    </w:p>
    <w:p w14:paraId="342D6A6E" w14:textId="77777777" w:rsidR="00805733" w:rsidRPr="00A10850" w:rsidRDefault="00805733" w:rsidP="00DC54F7">
      <w:pPr>
        <w:numPr>
          <w:ilvl w:val="0"/>
          <w:numId w:val="13"/>
        </w:numPr>
        <w:spacing w:after="0" w:line="240" w:lineRule="auto"/>
        <w:jc w:val="both"/>
        <w:rPr>
          <w:rFonts w:ascii="Arial" w:hAnsi="Arial" w:cs="Arial"/>
          <w:lang w:val="en-US"/>
        </w:rPr>
      </w:pPr>
      <w:r w:rsidRPr="00A10850">
        <w:rPr>
          <w:rFonts w:ascii="Arial" w:hAnsi="Arial" w:cs="Arial"/>
          <w:lang w:val="en-US"/>
        </w:rPr>
        <w:t>To enable people to contact and/or access further care and support appropriate to their needs</w:t>
      </w:r>
    </w:p>
    <w:p w14:paraId="4D58C943" w14:textId="4013BD69" w:rsidR="00805733" w:rsidRDefault="00805733" w:rsidP="00DC54F7">
      <w:pPr>
        <w:numPr>
          <w:ilvl w:val="0"/>
          <w:numId w:val="13"/>
        </w:numPr>
        <w:spacing w:after="0" w:line="240" w:lineRule="auto"/>
        <w:jc w:val="both"/>
        <w:rPr>
          <w:rFonts w:ascii="Arial" w:hAnsi="Arial" w:cs="Arial"/>
          <w:lang w:val="en-US"/>
        </w:rPr>
      </w:pPr>
      <w:r w:rsidRPr="00A10850">
        <w:rPr>
          <w:rFonts w:ascii="Arial" w:hAnsi="Arial" w:cs="Arial"/>
          <w:lang w:val="en-US"/>
        </w:rPr>
        <w:t>To minimise inappropriate use of health and social care services.</w:t>
      </w:r>
    </w:p>
    <w:p w14:paraId="50563EAF" w14:textId="77777777" w:rsidR="00AE758E" w:rsidRPr="00A10850" w:rsidRDefault="00AE758E" w:rsidP="00AE758E">
      <w:pPr>
        <w:spacing w:after="0" w:line="240" w:lineRule="auto"/>
        <w:ind w:left="417"/>
        <w:jc w:val="both"/>
        <w:rPr>
          <w:rFonts w:ascii="Arial" w:hAnsi="Arial" w:cs="Arial"/>
          <w:lang w:val="en-US"/>
        </w:rPr>
      </w:pPr>
    </w:p>
    <w:p w14:paraId="622DFE3B" w14:textId="77777777" w:rsidR="00805733" w:rsidRPr="00A10850" w:rsidRDefault="00805733" w:rsidP="00DC54F7">
      <w:pPr>
        <w:spacing w:after="0" w:line="240" w:lineRule="auto"/>
        <w:jc w:val="both"/>
        <w:rPr>
          <w:rFonts w:ascii="Arial" w:hAnsi="Arial" w:cs="Arial"/>
          <w:lang w:val="en-US"/>
        </w:rPr>
      </w:pPr>
    </w:p>
    <w:p w14:paraId="197F170B" w14:textId="77777777" w:rsidR="00805733" w:rsidRPr="00A10850" w:rsidRDefault="00805733" w:rsidP="00DC54F7">
      <w:pPr>
        <w:pStyle w:val="ListParagraph"/>
        <w:numPr>
          <w:ilvl w:val="0"/>
          <w:numId w:val="8"/>
        </w:numPr>
        <w:spacing w:after="0" w:line="240" w:lineRule="auto"/>
        <w:ind w:left="284" w:hanging="284"/>
        <w:jc w:val="both"/>
        <w:rPr>
          <w:rFonts w:ascii="Arial" w:hAnsi="Arial" w:cs="Arial"/>
          <w:b/>
          <w:sz w:val="24"/>
          <w:szCs w:val="24"/>
          <w:lang w:val="en-US"/>
        </w:rPr>
      </w:pPr>
      <w:r w:rsidRPr="00A10850">
        <w:rPr>
          <w:rFonts w:ascii="Arial" w:hAnsi="Arial" w:cs="Arial"/>
          <w:b/>
          <w:sz w:val="24"/>
          <w:szCs w:val="24"/>
          <w:lang w:val="en-US"/>
        </w:rPr>
        <w:t>Support for self-care</w:t>
      </w:r>
    </w:p>
    <w:p w14:paraId="3BA3D345" w14:textId="77777777" w:rsidR="00805733" w:rsidRPr="00A10850" w:rsidRDefault="00805733" w:rsidP="00DC54F7">
      <w:pPr>
        <w:spacing w:after="0" w:line="240" w:lineRule="auto"/>
        <w:jc w:val="both"/>
        <w:rPr>
          <w:rFonts w:ascii="Arial" w:hAnsi="Arial" w:cs="Arial"/>
          <w:b/>
          <w:lang w:val="en-US"/>
        </w:rPr>
      </w:pPr>
    </w:p>
    <w:p w14:paraId="16ECC27B" w14:textId="77777777" w:rsidR="00AB5A86" w:rsidRPr="00A10850" w:rsidRDefault="00AB5A86" w:rsidP="00DC54F7">
      <w:pPr>
        <w:spacing w:after="0" w:line="240" w:lineRule="auto"/>
        <w:jc w:val="both"/>
        <w:rPr>
          <w:rFonts w:ascii="Arial" w:hAnsi="Arial" w:cs="Arial"/>
          <w:b/>
          <w:bCs/>
          <w:lang w:val="en-US"/>
        </w:rPr>
      </w:pPr>
      <w:r w:rsidRPr="00A10850">
        <w:rPr>
          <w:rFonts w:ascii="Arial" w:hAnsi="Arial" w:cs="Arial"/>
          <w:b/>
          <w:bCs/>
          <w:lang w:val="en-US"/>
        </w:rPr>
        <w:t>Service description</w:t>
      </w:r>
    </w:p>
    <w:p w14:paraId="13ED95F1" w14:textId="77777777" w:rsidR="00AB5A86" w:rsidRPr="00A10850" w:rsidRDefault="00AB5A86" w:rsidP="00DC54F7">
      <w:pPr>
        <w:spacing w:after="0" w:line="240" w:lineRule="auto"/>
        <w:jc w:val="both"/>
        <w:rPr>
          <w:rFonts w:ascii="Arial" w:hAnsi="Arial" w:cs="Arial"/>
          <w:b/>
          <w:bCs/>
          <w:lang w:val="en-US"/>
        </w:rPr>
      </w:pPr>
    </w:p>
    <w:p w14:paraId="1C9E0D4E" w14:textId="77777777" w:rsidR="00AB5A86" w:rsidRPr="00A10850" w:rsidRDefault="00AB5A86" w:rsidP="00DC54F7">
      <w:pPr>
        <w:spacing w:after="0" w:line="240" w:lineRule="auto"/>
        <w:jc w:val="both"/>
        <w:rPr>
          <w:rFonts w:ascii="Arial" w:hAnsi="Arial" w:cs="Arial"/>
          <w:lang w:val="en-US"/>
        </w:rPr>
      </w:pPr>
      <w:r w:rsidRPr="00A10850">
        <w:rPr>
          <w:rFonts w:ascii="Arial" w:hAnsi="Arial" w:cs="Arial"/>
          <w:lang w:val="en-US"/>
        </w:rPr>
        <w:t>The provision of advice and support by pharmacy staff to enable people to derive maximum benefit from caring for themselves or their families.</w:t>
      </w:r>
    </w:p>
    <w:p w14:paraId="76711923" w14:textId="77777777" w:rsidR="00AB5A86" w:rsidRPr="00A10850" w:rsidRDefault="00AB5A86" w:rsidP="00DC54F7">
      <w:pPr>
        <w:spacing w:after="0" w:line="240" w:lineRule="auto"/>
        <w:jc w:val="both"/>
        <w:rPr>
          <w:rFonts w:ascii="Arial" w:hAnsi="Arial" w:cs="Arial"/>
          <w:b/>
          <w:bCs/>
          <w:lang w:val="en-US"/>
        </w:rPr>
      </w:pPr>
    </w:p>
    <w:p w14:paraId="6BDE4F92" w14:textId="77777777" w:rsidR="00AB5A86" w:rsidRPr="00A10850" w:rsidRDefault="00AB5A86" w:rsidP="00DC54F7">
      <w:pPr>
        <w:spacing w:after="0" w:line="240" w:lineRule="auto"/>
        <w:jc w:val="both"/>
        <w:rPr>
          <w:rFonts w:ascii="Arial" w:hAnsi="Arial" w:cs="Arial"/>
          <w:b/>
          <w:bCs/>
          <w:lang w:val="en-US"/>
        </w:rPr>
      </w:pPr>
      <w:r w:rsidRPr="00A10850">
        <w:rPr>
          <w:rFonts w:ascii="Arial" w:hAnsi="Arial" w:cs="Arial"/>
          <w:b/>
          <w:bCs/>
          <w:lang w:val="en-US"/>
        </w:rPr>
        <w:t>Aims and intended outcomes</w:t>
      </w:r>
      <w:r w:rsidR="00F8328E" w:rsidRPr="00A10850">
        <w:rPr>
          <w:rFonts w:ascii="Arial" w:hAnsi="Arial" w:cs="Arial"/>
          <w:b/>
          <w:bCs/>
          <w:lang w:val="en-US"/>
        </w:rPr>
        <w:t xml:space="preserve"> </w:t>
      </w:r>
    </w:p>
    <w:p w14:paraId="4A9F779E" w14:textId="77777777" w:rsidR="00AB5A86" w:rsidRPr="00A10850" w:rsidRDefault="00AB5A86" w:rsidP="00DC54F7">
      <w:pPr>
        <w:numPr>
          <w:ilvl w:val="0"/>
          <w:numId w:val="14"/>
        </w:numPr>
        <w:spacing w:after="0" w:line="240" w:lineRule="auto"/>
        <w:jc w:val="both"/>
        <w:rPr>
          <w:rFonts w:ascii="Arial" w:hAnsi="Arial" w:cs="Arial"/>
          <w:lang w:val="en-US"/>
        </w:rPr>
      </w:pPr>
      <w:r w:rsidRPr="00A10850">
        <w:rPr>
          <w:rFonts w:ascii="Arial" w:hAnsi="Arial" w:cs="Arial"/>
          <w:lang w:val="en-US"/>
        </w:rPr>
        <w:t>To enhance access and choice for people who wish to care for themselves or their families</w:t>
      </w:r>
    </w:p>
    <w:p w14:paraId="62BCD1AC" w14:textId="77777777" w:rsidR="00AB5A86" w:rsidRPr="00A10850" w:rsidRDefault="00AB5A86" w:rsidP="00DC54F7">
      <w:pPr>
        <w:numPr>
          <w:ilvl w:val="0"/>
          <w:numId w:val="14"/>
        </w:numPr>
        <w:spacing w:after="0" w:line="240" w:lineRule="auto"/>
        <w:jc w:val="both"/>
        <w:rPr>
          <w:rFonts w:ascii="Arial" w:hAnsi="Arial" w:cs="Arial"/>
          <w:lang w:val="en-US"/>
        </w:rPr>
      </w:pPr>
      <w:r w:rsidRPr="00A10850">
        <w:rPr>
          <w:rFonts w:ascii="Arial" w:hAnsi="Arial" w:cs="Arial"/>
          <w:lang w:val="en-US"/>
        </w:rPr>
        <w:t>People, including carers, are provided with appropriate advice to help them self-manage a self-limiting or long-term condition, including advice on the selection and use of any appropriate medicines</w:t>
      </w:r>
    </w:p>
    <w:p w14:paraId="00C49532" w14:textId="77777777" w:rsidR="00AB5A86" w:rsidRPr="00A10850" w:rsidRDefault="00AB5A86" w:rsidP="00DC54F7">
      <w:pPr>
        <w:numPr>
          <w:ilvl w:val="0"/>
          <w:numId w:val="14"/>
        </w:numPr>
        <w:spacing w:after="0" w:line="240" w:lineRule="auto"/>
        <w:jc w:val="both"/>
        <w:rPr>
          <w:rFonts w:ascii="Arial" w:hAnsi="Arial" w:cs="Arial"/>
          <w:lang w:val="en-US"/>
        </w:rPr>
      </w:pPr>
      <w:r w:rsidRPr="00A10850">
        <w:rPr>
          <w:rFonts w:ascii="Arial" w:hAnsi="Arial" w:cs="Arial"/>
          <w:lang w:val="en-US"/>
        </w:rPr>
        <w:t>People, including carers, are opportunistically provided with health promotion advice when appropriate, in line with the advice provided in essential service – promotion of healthy lifestyles service</w:t>
      </w:r>
    </w:p>
    <w:p w14:paraId="109C4D40" w14:textId="77777777" w:rsidR="00AB5A86" w:rsidRPr="00A10850" w:rsidRDefault="00AB5A86" w:rsidP="00DC54F7">
      <w:pPr>
        <w:numPr>
          <w:ilvl w:val="0"/>
          <w:numId w:val="14"/>
        </w:numPr>
        <w:spacing w:after="0" w:line="240" w:lineRule="auto"/>
        <w:jc w:val="both"/>
        <w:rPr>
          <w:rFonts w:ascii="Arial" w:hAnsi="Arial" w:cs="Arial"/>
          <w:lang w:val="en-US"/>
        </w:rPr>
      </w:pPr>
      <w:r w:rsidRPr="00A10850">
        <w:rPr>
          <w:rFonts w:ascii="Arial" w:hAnsi="Arial" w:cs="Arial"/>
          <w:lang w:val="en-US"/>
        </w:rPr>
        <w:t>People, including carers, are better able to care for themselves or manage a condition both immediately and in the future, by being more knowledgeable about the treatment options they have, including non-pharmacological ones</w:t>
      </w:r>
    </w:p>
    <w:p w14:paraId="574C3890" w14:textId="77777777" w:rsidR="00AB5A86" w:rsidRPr="00A10850" w:rsidRDefault="00AB5A86" w:rsidP="00DC54F7">
      <w:pPr>
        <w:numPr>
          <w:ilvl w:val="0"/>
          <w:numId w:val="14"/>
        </w:numPr>
        <w:spacing w:after="0" w:line="240" w:lineRule="auto"/>
        <w:jc w:val="both"/>
        <w:rPr>
          <w:rFonts w:ascii="Arial" w:hAnsi="Arial" w:cs="Arial"/>
          <w:lang w:val="en-US"/>
        </w:rPr>
      </w:pPr>
      <w:r w:rsidRPr="00A10850">
        <w:rPr>
          <w:rFonts w:ascii="Arial" w:hAnsi="Arial" w:cs="Arial"/>
          <w:lang w:val="en-US"/>
        </w:rPr>
        <w:t>To minimise inappropriate use of health and social care services.</w:t>
      </w:r>
    </w:p>
    <w:p w14:paraId="2222C704" w14:textId="77777777" w:rsidR="00485C9B" w:rsidRPr="00A10850" w:rsidRDefault="00485C9B" w:rsidP="00DC54F7">
      <w:pPr>
        <w:spacing w:after="0" w:line="240" w:lineRule="auto"/>
        <w:jc w:val="both"/>
        <w:rPr>
          <w:rFonts w:ascii="Arial" w:hAnsi="Arial" w:cs="Arial"/>
          <w:lang w:val="en-US"/>
        </w:rPr>
      </w:pPr>
    </w:p>
    <w:p w14:paraId="2B39A664" w14:textId="77777777" w:rsidR="00485C9B" w:rsidRPr="00A10850" w:rsidRDefault="00485C9B" w:rsidP="00DC54F7">
      <w:pPr>
        <w:spacing w:after="0" w:line="240" w:lineRule="auto"/>
        <w:jc w:val="both"/>
        <w:rPr>
          <w:rFonts w:ascii="Arial" w:hAnsi="Arial" w:cs="Arial"/>
          <w:sz w:val="20"/>
          <w:szCs w:val="20"/>
          <w:lang w:val="en-US"/>
        </w:rPr>
      </w:pPr>
      <w:r w:rsidRPr="00A10850">
        <w:rPr>
          <w:rFonts w:ascii="Arial" w:hAnsi="Arial" w:cs="Arial"/>
          <w:sz w:val="20"/>
          <w:szCs w:val="20"/>
          <w:lang w:val="en-US"/>
        </w:rPr>
        <w:br w:type="page"/>
      </w:r>
    </w:p>
    <w:p w14:paraId="5DB11E2C" w14:textId="75C346B8" w:rsidR="00485C9B" w:rsidRPr="00A10850" w:rsidRDefault="00485C9B" w:rsidP="00DC54F7">
      <w:pPr>
        <w:pStyle w:val="Heading1"/>
        <w:spacing w:before="0" w:line="240" w:lineRule="auto"/>
        <w:jc w:val="both"/>
        <w:rPr>
          <w:rFonts w:cs="Arial"/>
          <w:color w:val="auto"/>
        </w:rPr>
      </w:pPr>
      <w:bookmarkStart w:id="71" w:name="_Toc81585115"/>
      <w:r w:rsidRPr="00A10850">
        <w:rPr>
          <w:rFonts w:cs="Arial"/>
          <w:color w:val="auto"/>
        </w:rPr>
        <w:lastRenderedPageBreak/>
        <w:t>Appendix</w:t>
      </w:r>
      <w:r w:rsidR="00962298" w:rsidRPr="00A10850">
        <w:rPr>
          <w:rFonts w:cs="Arial"/>
          <w:color w:val="auto"/>
        </w:rPr>
        <w:t xml:space="preserve"> C</w:t>
      </w:r>
      <w:r w:rsidRPr="00A10850">
        <w:rPr>
          <w:rFonts w:cs="Arial"/>
          <w:color w:val="auto"/>
        </w:rPr>
        <w:t xml:space="preserve"> – advanced services</w:t>
      </w:r>
      <w:bookmarkEnd w:id="71"/>
    </w:p>
    <w:p w14:paraId="6EDF61A3" w14:textId="77777777" w:rsidR="00D7589C" w:rsidRPr="00A10850" w:rsidRDefault="00D7589C" w:rsidP="00DC54F7">
      <w:pPr>
        <w:spacing w:after="0" w:line="240" w:lineRule="auto"/>
        <w:jc w:val="both"/>
        <w:rPr>
          <w:rFonts w:ascii="Arial" w:hAnsi="Arial" w:cs="Arial"/>
          <w:sz w:val="20"/>
          <w:szCs w:val="20"/>
          <w:lang w:val="en-US"/>
        </w:rPr>
      </w:pPr>
    </w:p>
    <w:p w14:paraId="0AB19A63" w14:textId="77777777" w:rsidR="00A26D6C" w:rsidRPr="00A10850" w:rsidRDefault="00A26D6C" w:rsidP="00DC54F7">
      <w:pPr>
        <w:pStyle w:val="ListParagraph"/>
        <w:numPr>
          <w:ilvl w:val="0"/>
          <w:numId w:val="15"/>
        </w:numPr>
        <w:spacing w:after="0" w:line="240" w:lineRule="auto"/>
        <w:ind w:left="284" w:hanging="284"/>
        <w:jc w:val="both"/>
        <w:rPr>
          <w:rFonts w:ascii="Arial" w:hAnsi="Arial" w:cs="Arial"/>
          <w:b/>
          <w:sz w:val="24"/>
          <w:szCs w:val="24"/>
          <w:lang w:val="en-US"/>
        </w:rPr>
      </w:pPr>
      <w:r w:rsidRPr="00A10850">
        <w:rPr>
          <w:rFonts w:ascii="Arial" w:hAnsi="Arial" w:cs="Arial"/>
          <w:b/>
          <w:sz w:val="24"/>
          <w:szCs w:val="24"/>
          <w:lang w:val="en-US"/>
        </w:rPr>
        <w:t>Medicines use review and prescription intervention service</w:t>
      </w:r>
    </w:p>
    <w:p w14:paraId="5A7C784B" w14:textId="77777777" w:rsidR="00A26D6C" w:rsidRPr="00A10850" w:rsidRDefault="00A26D6C" w:rsidP="00DC54F7">
      <w:pPr>
        <w:spacing w:after="0" w:line="240" w:lineRule="auto"/>
        <w:jc w:val="both"/>
        <w:rPr>
          <w:rFonts w:ascii="Arial" w:hAnsi="Arial" w:cs="Arial"/>
          <w:lang w:val="en-US"/>
        </w:rPr>
      </w:pPr>
    </w:p>
    <w:p w14:paraId="741FB527" w14:textId="77777777" w:rsidR="00A26D6C" w:rsidRPr="00A10850" w:rsidRDefault="00A26D6C" w:rsidP="00DC54F7">
      <w:pPr>
        <w:spacing w:after="0" w:line="240" w:lineRule="auto"/>
        <w:jc w:val="both"/>
        <w:rPr>
          <w:rFonts w:ascii="Arial" w:hAnsi="Arial" w:cs="Arial"/>
          <w:b/>
          <w:lang w:val="en-US"/>
        </w:rPr>
      </w:pPr>
      <w:r w:rsidRPr="00A10850">
        <w:rPr>
          <w:rFonts w:ascii="Arial" w:hAnsi="Arial" w:cs="Arial"/>
          <w:b/>
          <w:lang w:val="en-US"/>
        </w:rPr>
        <w:t>Service description</w:t>
      </w:r>
    </w:p>
    <w:p w14:paraId="7F75862F" w14:textId="77777777" w:rsidR="00A26D6C" w:rsidRPr="00A10850" w:rsidRDefault="00A26D6C" w:rsidP="00DC54F7">
      <w:pPr>
        <w:spacing w:after="0" w:line="240" w:lineRule="auto"/>
        <w:jc w:val="both"/>
        <w:rPr>
          <w:rFonts w:ascii="Arial" w:hAnsi="Arial" w:cs="Arial"/>
          <w:b/>
          <w:lang w:val="en-US"/>
        </w:rPr>
      </w:pPr>
    </w:p>
    <w:p w14:paraId="5AA9C45D" w14:textId="77777777" w:rsidR="00A26D6C" w:rsidRPr="00A10850" w:rsidRDefault="00A26D6C" w:rsidP="00DC54F7">
      <w:pPr>
        <w:spacing w:after="0" w:line="240" w:lineRule="auto"/>
        <w:jc w:val="both"/>
        <w:rPr>
          <w:rFonts w:ascii="Arial" w:hAnsi="Arial" w:cs="Arial"/>
          <w:lang w:val="en-US"/>
        </w:rPr>
      </w:pPr>
      <w:r w:rsidRPr="00A10850">
        <w:rPr>
          <w:rFonts w:ascii="Arial" w:hAnsi="Arial" w:cs="Arial"/>
          <w:lang w:val="en-US"/>
        </w:rPr>
        <w:t xml:space="preserve">This service includes </w:t>
      </w:r>
      <w:r w:rsidR="000B38E9" w:rsidRPr="00A10850">
        <w:rPr>
          <w:rFonts w:ascii="Arial" w:hAnsi="Arial" w:cs="Arial"/>
          <w:lang w:val="en-US"/>
        </w:rPr>
        <w:t>MURs</w:t>
      </w:r>
      <w:r w:rsidRPr="00A10850">
        <w:rPr>
          <w:rFonts w:ascii="Arial" w:hAnsi="Arial" w:cs="Arial"/>
          <w:lang w:val="en-US"/>
        </w:rPr>
        <w:t xml:space="preserve"> undertaken periodically, as well as those arising in response to the need to make a significant prescription intervention during the dispensing process. A </w:t>
      </w:r>
      <w:r w:rsidR="000B38E9" w:rsidRPr="00A10850">
        <w:rPr>
          <w:rFonts w:ascii="Arial" w:hAnsi="Arial" w:cs="Arial"/>
          <w:lang w:val="en-US"/>
        </w:rPr>
        <w:t>MUR</w:t>
      </w:r>
      <w:r w:rsidRPr="00A10850">
        <w:rPr>
          <w:rFonts w:ascii="Arial" w:hAnsi="Arial" w:cs="Arial"/>
          <w:lang w:val="en-US"/>
        </w:rPr>
        <w:t xml:space="preserve"> is about helping patients use their medicines more effectively. </w:t>
      </w:r>
    </w:p>
    <w:p w14:paraId="3DDF1766" w14:textId="77777777" w:rsidR="00A26D6C" w:rsidRPr="00A10850" w:rsidRDefault="00A26D6C" w:rsidP="00DC54F7">
      <w:pPr>
        <w:spacing w:after="0" w:line="240" w:lineRule="auto"/>
        <w:jc w:val="both"/>
        <w:rPr>
          <w:rFonts w:ascii="Arial" w:hAnsi="Arial" w:cs="Arial"/>
          <w:lang w:val="en-US"/>
        </w:rPr>
      </w:pPr>
    </w:p>
    <w:p w14:paraId="3291884F" w14:textId="77777777" w:rsidR="00A26D6C" w:rsidRPr="00A10850" w:rsidRDefault="00A26D6C" w:rsidP="00DC54F7">
      <w:pPr>
        <w:spacing w:after="0" w:line="240" w:lineRule="auto"/>
        <w:jc w:val="both"/>
        <w:rPr>
          <w:rFonts w:ascii="Arial" w:hAnsi="Arial" w:cs="Arial"/>
          <w:lang w:val="en-US"/>
        </w:rPr>
      </w:pPr>
      <w:r w:rsidRPr="00A10850">
        <w:rPr>
          <w:rFonts w:ascii="Arial" w:hAnsi="Arial" w:cs="Arial"/>
          <w:lang w:val="en-US"/>
        </w:rPr>
        <w:t>Recommendations made to prescribers may also relate to the clinical or cost effectiveness of treatment.</w:t>
      </w:r>
    </w:p>
    <w:p w14:paraId="142719E4" w14:textId="77777777" w:rsidR="00A26D6C" w:rsidRPr="00A10850" w:rsidRDefault="00A26D6C" w:rsidP="00DC54F7">
      <w:pPr>
        <w:spacing w:after="0" w:line="240" w:lineRule="auto"/>
        <w:jc w:val="both"/>
        <w:rPr>
          <w:rFonts w:ascii="Arial" w:hAnsi="Arial" w:cs="Arial"/>
          <w:lang w:val="en-US"/>
        </w:rPr>
      </w:pPr>
    </w:p>
    <w:p w14:paraId="3B18F57A" w14:textId="77777777" w:rsidR="00A26D6C" w:rsidRPr="00A10850" w:rsidRDefault="00A26D6C" w:rsidP="00DC54F7">
      <w:pPr>
        <w:spacing w:after="0" w:line="240" w:lineRule="auto"/>
        <w:jc w:val="both"/>
        <w:rPr>
          <w:rFonts w:ascii="Arial" w:hAnsi="Arial" w:cs="Arial"/>
          <w:b/>
          <w:lang w:val="en-US"/>
        </w:rPr>
      </w:pPr>
      <w:r w:rsidRPr="00A10850">
        <w:rPr>
          <w:rFonts w:ascii="Arial" w:hAnsi="Arial" w:cs="Arial"/>
          <w:b/>
          <w:lang w:val="en-US"/>
        </w:rPr>
        <w:t>Aims and intended outcomes</w:t>
      </w:r>
    </w:p>
    <w:p w14:paraId="478E2542" w14:textId="77777777" w:rsidR="00A26D6C" w:rsidRPr="00A10850" w:rsidRDefault="00A26D6C" w:rsidP="00DC54F7">
      <w:pPr>
        <w:spacing w:after="0" w:line="240" w:lineRule="auto"/>
        <w:jc w:val="both"/>
        <w:rPr>
          <w:rFonts w:ascii="Arial" w:hAnsi="Arial" w:cs="Arial"/>
          <w:b/>
          <w:lang w:val="en-US"/>
        </w:rPr>
      </w:pPr>
    </w:p>
    <w:p w14:paraId="333829F2" w14:textId="77777777" w:rsidR="00A26D6C" w:rsidRPr="00A10850" w:rsidRDefault="00A26D6C" w:rsidP="00DC54F7">
      <w:pPr>
        <w:spacing w:after="0" w:line="240" w:lineRule="auto"/>
        <w:jc w:val="both"/>
        <w:rPr>
          <w:rFonts w:ascii="Arial" w:hAnsi="Arial" w:cs="Arial"/>
          <w:lang w:val="en-US"/>
        </w:rPr>
      </w:pPr>
      <w:r w:rsidRPr="00A10850">
        <w:rPr>
          <w:rFonts w:ascii="Arial" w:hAnsi="Arial" w:cs="Arial"/>
          <w:lang w:val="en-US"/>
        </w:rPr>
        <w:t>To improve patient knowledge</w:t>
      </w:r>
      <w:r w:rsidR="006C15D2" w:rsidRPr="00A10850">
        <w:rPr>
          <w:rFonts w:ascii="Arial" w:hAnsi="Arial" w:cs="Arial"/>
          <w:lang w:val="en-US"/>
        </w:rPr>
        <w:t xml:space="preserve"> </w:t>
      </w:r>
      <w:r w:rsidRPr="00A10850">
        <w:rPr>
          <w:rFonts w:ascii="Arial" w:hAnsi="Arial" w:cs="Arial"/>
          <w:lang w:val="en-US"/>
        </w:rPr>
        <w:t>and use of medicines by:</w:t>
      </w:r>
    </w:p>
    <w:p w14:paraId="0CAE0202" w14:textId="77777777" w:rsidR="00A931C2" w:rsidRPr="00A10850" w:rsidRDefault="00A931C2" w:rsidP="00DC54F7">
      <w:pPr>
        <w:spacing w:after="0" w:line="240" w:lineRule="auto"/>
        <w:jc w:val="both"/>
        <w:rPr>
          <w:rFonts w:ascii="Arial" w:hAnsi="Arial" w:cs="Arial"/>
          <w:lang w:val="en-US"/>
        </w:rPr>
      </w:pPr>
    </w:p>
    <w:p w14:paraId="0A8FB915" w14:textId="77777777" w:rsidR="00A26D6C" w:rsidRPr="00A10850" w:rsidRDefault="00A931C2" w:rsidP="00DC54F7">
      <w:pPr>
        <w:pStyle w:val="ListParagraph"/>
        <w:numPr>
          <w:ilvl w:val="0"/>
          <w:numId w:val="16"/>
        </w:numPr>
        <w:spacing w:after="0" w:line="240" w:lineRule="auto"/>
        <w:jc w:val="both"/>
        <w:rPr>
          <w:rFonts w:ascii="Arial" w:hAnsi="Arial" w:cs="Arial"/>
          <w:lang w:val="en-US"/>
        </w:rPr>
      </w:pPr>
      <w:r w:rsidRPr="00A10850">
        <w:rPr>
          <w:rFonts w:ascii="Arial" w:hAnsi="Arial" w:cs="Arial"/>
          <w:lang w:val="en-US"/>
        </w:rPr>
        <w:t>E</w:t>
      </w:r>
      <w:r w:rsidR="00A26D6C" w:rsidRPr="00A10850">
        <w:rPr>
          <w:rFonts w:ascii="Arial" w:hAnsi="Arial" w:cs="Arial"/>
          <w:lang w:val="en-US"/>
        </w:rPr>
        <w:t>stablishing the patient’s actual use, understanding and experience of taking their medicines;</w:t>
      </w:r>
    </w:p>
    <w:p w14:paraId="46BC1081" w14:textId="77777777" w:rsidR="00A26D6C" w:rsidRPr="00A10850" w:rsidRDefault="00A931C2" w:rsidP="00DC54F7">
      <w:pPr>
        <w:pStyle w:val="ListParagraph"/>
        <w:numPr>
          <w:ilvl w:val="0"/>
          <w:numId w:val="16"/>
        </w:numPr>
        <w:spacing w:after="0" w:line="240" w:lineRule="auto"/>
        <w:jc w:val="both"/>
        <w:rPr>
          <w:rFonts w:ascii="Arial" w:hAnsi="Arial" w:cs="Arial"/>
          <w:lang w:val="en-US"/>
        </w:rPr>
      </w:pPr>
      <w:r w:rsidRPr="00A10850">
        <w:rPr>
          <w:rFonts w:ascii="Arial" w:hAnsi="Arial" w:cs="Arial"/>
          <w:lang w:val="en-US"/>
        </w:rPr>
        <w:t>I</w:t>
      </w:r>
      <w:r w:rsidR="00A26D6C" w:rsidRPr="00A10850">
        <w:rPr>
          <w:rFonts w:ascii="Arial" w:hAnsi="Arial" w:cs="Arial"/>
          <w:lang w:val="en-US"/>
        </w:rPr>
        <w:t>dentifying, discussing and assisting in resolving poor or ineffective use of their medicines;</w:t>
      </w:r>
    </w:p>
    <w:p w14:paraId="37D1EF58" w14:textId="77777777" w:rsidR="00A26D6C" w:rsidRPr="00A10850" w:rsidRDefault="00A931C2" w:rsidP="00DC54F7">
      <w:pPr>
        <w:pStyle w:val="ListParagraph"/>
        <w:numPr>
          <w:ilvl w:val="0"/>
          <w:numId w:val="16"/>
        </w:numPr>
        <w:spacing w:after="0" w:line="240" w:lineRule="auto"/>
        <w:jc w:val="both"/>
        <w:rPr>
          <w:rFonts w:ascii="Arial" w:hAnsi="Arial" w:cs="Arial"/>
          <w:lang w:val="en-US"/>
        </w:rPr>
      </w:pPr>
      <w:r w:rsidRPr="00A10850">
        <w:rPr>
          <w:rFonts w:ascii="Arial" w:hAnsi="Arial" w:cs="Arial"/>
          <w:lang w:val="en-US"/>
        </w:rPr>
        <w:t>I</w:t>
      </w:r>
      <w:r w:rsidR="00A26D6C" w:rsidRPr="00A10850">
        <w:rPr>
          <w:rFonts w:ascii="Arial" w:hAnsi="Arial" w:cs="Arial"/>
          <w:lang w:val="en-US"/>
        </w:rPr>
        <w:t>dentifying side effects and drug interactions that may affect patient compliance;</w:t>
      </w:r>
    </w:p>
    <w:p w14:paraId="0BD7CB94" w14:textId="77777777" w:rsidR="00A26D6C" w:rsidRPr="00A10850" w:rsidRDefault="00A931C2" w:rsidP="00DC54F7">
      <w:pPr>
        <w:pStyle w:val="ListParagraph"/>
        <w:numPr>
          <w:ilvl w:val="0"/>
          <w:numId w:val="16"/>
        </w:numPr>
        <w:spacing w:after="0" w:line="240" w:lineRule="auto"/>
        <w:jc w:val="both"/>
        <w:rPr>
          <w:rFonts w:ascii="Arial" w:hAnsi="Arial" w:cs="Arial"/>
          <w:lang w:val="en-US"/>
        </w:rPr>
      </w:pPr>
      <w:r w:rsidRPr="00A10850">
        <w:rPr>
          <w:rFonts w:ascii="Arial" w:hAnsi="Arial" w:cs="Arial"/>
          <w:lang w:val="en-US"/>
        </w:rPr>
        <w:t>I</w:t>
      </w:r>
      <w:r w:rsidR="00A26D6C" w:rsidRPr="00A10850">
        <w:rPr>
          <w:rFonts w:ascii="Arial" w:hAnsi="Arial" w:cs="Arial"/>
          <w:lang w:val="en-US"/>
        </w:rPr>
        <w:t xml:space="preserve">mproving the clinical and cost effectiveness of prescribed medicines </w:t>
      </w:r>
      <w:r w:rsidR="006C15D2" w:rsidRPr="00A10850">
        <w:rPr>
          <w:rFonts w:ascii="Arial" w:hAnsi="Arial" w:cs="Arial"/>
          <w:lang w:val="en-US"/>
        </w:rPr>
        <w:t>thereby</w:t>
      </w:r>
      <w:r w:rsidR="00A26D6C" w:rsidRPr="00A10850">
        <w:rPr>
          <w:rFonts w:ascii="Arial" w:hAnsi="Arial" w:cs="Arial"/>
          <w:lang w:val="en-US"/>
        </w:rPr>
        <w:t xml:space="preserve"> reducing medicine wastage.</w:t>
      </w:r>
    </w:p>
    <w:p w14:paraId="70A9A09D" w14:textId="77777777" w:rsidR="00485C9B" w:rsidRDefault="00485C9B" w:rsidP="00DC54F7">
      <w:pPr>
        <w:spacing w:after="0" w:line="240" w:lineRule="auto"/>
        <w:jc w:val="both"/>
        <w:rPr>
          <w:rFonts w:ascii="Arial" w:hAnsi="Arial" w:cs="Arial"/>
          <w:lang w:val="en-US"/>
        </w:rPr>
      </w:pPr>
    </w:p>
    <w:p w14:paraId="36839B8D" w14:textId="77777777" w:rsidR="006E68DE" w:rsidRDefault="006E68DE" w:rsidP="00DC54F7">
      <w:pPr>
        <w:spacing w:after="0" w:line="240" w:lineRule="auto"/>
        <w:jc w:val="both"/>
        <w:rPr>
          <w:rFonts w:ascii="Arial" w:hAnsi="Arial" w:cs="Arial"/>
          <w:lang w:val="en-US"/>
        </w:rPr>
      </w:pPr>
      <w:r>
        <w:rPr>
          <w:rFonts w:ascii="Arial" w:hAnsi="Arial" w:cs="Arial"/>
          <w:lang w:val="en-US"/>
        </w:rPr>
        <w:t>As of November 2020 this service is currently suspended until further notice.</w:t>
      </w:r>
    </w:p>
    <w:p w14:paraId="71F33514" w14:textId="77777777" w:rsidR="006E68DE" w:rsidRPr="00A10850" w:rsidRDefault="006E68DE" w:rsidP="00DC54F7">
      <w:pPr>
        <w:spacing w:after="0" w:line="240" w:lineRule="auto"/>
        <w:jc w:val="both"/>
        <w:rPr>
          <w:rFonts w:ascii="Arial" w:hAnsi="Arial" w:cs="Arial"/>
          <w:lang w:val="en-US"/>
        </w:rPr>
      </w:pPr>
    </w:p>
    <w:p w14:paraId="1A483DB3" w14:textId="77777777" w:rsidR="00805733" w:rsidRPr="00A10850" w:rsidRDefault="00F3677A" w:rsidP="00DC54F7">
      <w:pPr>
        <w:pStyle w:val="ListParagraph"/>
        <w:numPr>
          <w:ilvl w:val="0"/>
          <w:numId w:val="15"/>
        </w:numPr>
        <w:spacing w:after="0" w:line="240" w:lineRule="auto"/>
        <w:ind w:left="284" w:hanging="284"/>
        <w:jc w:val="both"/>
        <w:rPr>
          <w:rFonts w:ascii="Arial" w:hAnsi="Arial" w:cs="Arial"/>
          <w:b/>
          <w:sz w:val="24"/>
          <w:szCs w:val="24"/>
          <w:lang w:val="en-US"/>
        </w:rPr>
      </w:pPr>
      <w:r w:rsidRPr="00A10850">
        <w:rPr>
          <w:rFonts w:ascii="Arial" w:hAnsi="Arial" w:cs="Arial"/>
          <w:b/>
          <w:bCs/>
          <w:sz w:val="24"/>
          <w:szCs w:val="24"/>
        </w:rPr>
        <w:t>Discharge medicines review service</w:t>
      </w:r>
    </w:p>
    <w:p w14:paraId="6073B233" w14:textId="77777777" w:rsidR="00A26D6C" w:rsidRPr="00A10850" w:rsidRDefault="00A26D6C" w:rsidP="00DC54F7">
      <w:pPr>
        <w:spacing w:after="0" w:line="240" w:lineRule="auto"/>
        <w:jc w:val="both"/>
        <w:rPr>
          <w:rFonts w:ascii="Arial" w:hAnsi="Arial" w:cs="Arial"/>
          <w:lang w:val="en-US"/>
        </w:rPr>
      </w:pPr>
    </w:p>
    <w:p w14:paraId="518834E1" w14:textId="77777777" w:rsidR="00A26D6C" w:rsidRPr="00A10850" w:rsidRDefault="00A26D6C" w:rsidP="00DC54F7">
      <w:pPr>
        <w:spacing w:after="0" w:line="240" w:lineRule="auto"/>
        <w:jc w:val="both"/>
        <w:rPr>
          <w:rFonts w:ascii="Arial" w:hAnsi="Arial" w:cs="Arial"/>
          <w:b/>
          <w:bCs/>
        </w:rPr>
      </w:pPr>
      <w:r w:rsidRPr="00A10850">
        <w:rPr>
          <w:rFonts w:ascii="Arial" w:hAnsi="Arial" w:cs="Arial"/>
          <w:b/>
          <w:bCs/>
        </w:rPr>
        <w:t>Service description</w:t>
      </w:r>
    </w:p>
    <w:p w14:paraId="71617A38" w14:textId="77777777" w:rsidR="00A26D6C" w:rsidRPr="00A10850" w:rsidRDefault="00A26D6C" w:rsidP="00DC54F7">
      <w:pPr>
        <w:spacing w:after="0" w:line="240" w:lineRule="auto"/>
        <w:jc w:val="both"/>
        <w:rPr>
          <w:rFonts w:ascii="Arial" w:hAnsi="Arial" w:cs="Arial"/>
          <w:b/>
          <w:bCs/>
        </w:rPr>
      </w:pPr>
    </w:p>
    <w:p w14:paraId="439AB86B" w14:textId="1AD08648" w:rsidR="00A26D6C" w:rsidRPr="00A10850" w:rsidRDefault="00F725B0" w:rsidP="00DC54F7">
      <w:pPr>
        <w:spacing w:after="0" w:line="240" w:lineRule="auto"/>
        <w:ind w:right="504"/>
        <w:jc w:val="both"/>
        <w:rPr>
          <w:rFonts w:ascii="Arial" w:hAnsi="Arial" w:cs="Arial"/>
          <w:highlight w:val="cyan"/>
        </w:rPr>
      </w:pPr>
      <w:r w:rsidRPr="00A10850">
        <w:rPr>
          <w:rFonts w:ascii="Arial" w:hAnsi="Arial" w:cs="Arial"/>
        </w:rPr>
        <w:t xml:space="preserve">The </w:t>
      </w:r>
      <w:r w:rsidR="00C94FC7" w:rsidRPr="00A10850">
        <w:rPr>
          <w:rFonts w:ascii="Arial" w:hAnsi="Arial" w:cs="Arial"/>
        </w:rPr>
        <w:t>DMR</w:t>
      </w:r>
      <w:r w:rsidRPr="00A10850">
        <w:rPr>
          <w:rFonts w:ascii="Arial" w:hAnsi="Arial" w:cs="Arial"/>
        </w:rPr>
        <w:t xml:space="preserve"> service will provide support to patients recently discharged between care settings by ensuring that changes to patients’ medicines made in one care setting (</w:t>
      </w:r>
      <w:r w:rsidR="00F56E8C" w:rsidRPr="00A10850">
        <w:rPr>
          <w:rFonts w:ascii="Arial" w:hAnsi="Arial" w:cs="Arial"/>
        </w:rPr>
        <w:t>e.g.,</w:t>
      </w:r>
      <w:r w:rsidR="000B38E9" w:rsidRPr="00A10850">
        <w:rPr>
          <w:rFonts w:ascii="Arial" w:hAnsi="Arial" w:cs="Arial"/>
        </w:rPr>
        <w:t xml:space="preserve"> </w:t>
      </w:r>
      <w:r w:rsidRPr="00A10850">
        <w:rPr>
          <w:rFonts w:ascii="Arial" w:hAnsi="Arial" w:cs="Arial"/>
        </w:rPr>
        <w:t xml:space="preserve">during a hospital admission) are enacted as intended in the community helping to reduce the risk of preventable medicines related problems and supporting adherence with newly prescribed medication. The service, which builds on the existing </w:t>
      </w:r>
      <w:r w:rsidR="000B38E9" w:rsidRPr="00A10850">
        <w:rPr>
          <w:rFonts w:ascii="Arial" w:hAnsi="Arial" w:cs="Arial"/>
        </w:rPr>
        <w:t>MUR</w:t>
      </w:r>
      <w:r w:rsidRPr="00A10850">
        <w:rPr>
          <w:rFonts w:ascii="Arial" w:hAnsi="Arial" w:cs="Arial"/>
        </w:rPr>
        <w:t xml:space="preserve"> service, will provide an opportunity to support patients to improve their knowledge and use of drugs. </w:t>
      </w:r>
      <w:r w:rsidR="00AC0DD2" w:rsidRPr="00A10850">
        <w:rPr>
          <w:rFonts w:ascii="Arial" w:hAnsi="Arial" w:cs="Arial"/>
          <w:highlight w:val="cyan"/>
        </w:rPr>
        <w:t xml:space="preserve"> </w:t>
      </w:r>
      <w:r w:rsidR="00980EC8" w:rsidRPr="00A10850">
        <w:rPr>
          <w:rFonts w:ascii="Arial" w:hAnsi="Arial" w:cs="Arial"/>
          <w:highlight w:val="cyan"/>
        </w:rPr>
        <w:t xml:space="preserve"> </w:t>
      </w:r>
    </w:p>
    <w:p w14:paraId="21A1C74D" w14:textId="77777777" w:rsidR="00A26D6C" w:rsidRPr="00A10850" w:rsidRDefault="00A26D6C" w:rsidP="00DC54F7">
      <w:pPr>
        <w:spacing w:after="0" w:line="240" w:lineRule="auto"/>
        <w:ind w:right="504"/>
        <w:jc w:val="both"/>
        <w:rPr>
          <w:rFonts w:ascii="Arial" w:hAnsi="Arial" w:cs="Arial"/>
        </w:rPr>
      </w:pPr>
    </w:p>
    <w:p w14:paraId="56679410" w14:textId="77777777" w:rsidR="00A26D6C" w:rsidRPr="00A10850" w:rsidRDefault="00A26D6C" w:rsidP="00DC54F7">
      <w:pPr>
        <w:spacing w:after="0" w:line="240" w:lineRule="auto"/>
        <w:jc w:val="both"/>
        <w:rPr>
          <w:rFonts w:ascii="Arial" w:hAnsi="Arial" w:cs="Arial"/>
          <w:b/>
          <w:bCs/>
        </w:rPr>
      </w:pPr>
      <w:r w:rsidRPr="00A10850">
        <w:rPr>
          <w:rFonts w:ascii="Arial" w:hAnsi="Arial" w:cs="Arial"/>
          <w:b/>
          <w:bCs/>
        </w:rPr>
        <w:t>Aims and intended outcomes</w:t>
      </w:r>
    </w:p>
    <w:p w14:paraId="5EA80167" w14:textId="77777777" w:rsidR="00A26D6C" w:rsidRPr="00A10850" w:rsidRDefault="00A26D6C" w:rsidP="00DC54F7">
      <w:pPr>
        <w:spacing w:after="0" w:line="240" w:lineRule="auto"/>
        <w:jc w:val="both"/>
        <w:rPr>
          <w:rFonts w:ascii="Arial" w:hAnsi="Arial" w:cs="Arial"/>
        </w:rPr>
      </w:pPr>
    </w:p>
    <w:p w14:paraId="6E4AB338" w14:textId="77777777" w:rsidR="00F725B0" w:rsidRPr="00A10850" w:rsidRDefault="00F725B0" w:rsidP="00DC54F7">
      <w:pPr>
        <w:spacing w:after="0" w:line="240" w:lineRule="auto"/>
        <w:jc w:val="both"/>
        <w:rPr>
          <w:rFonts w:ascii="Arial" w:hAnsi="Arial" w:cs="Arial"/>
        </w:rPr>
      </w:pPr>
      <w:r w:rsidRPr="00A10850">
        <w:rPr>
          <w:rFonts w:ascii="Arial" w:hAnsi="Arial" w:cs="Arial"/>
        </w:rPr>
        <w:t xml:space="preserve">The underlying purpose of this service is, with the patient’s agreement, to contribute to a reduction in risk of medication errors and adverse drug events by, in particular – </w:t>
      </w:r>
    </w:p>
    <w:p w14:paraId="42CA4D46" w14:textId="77777777" w:rsidR="00F725B0" w:rsidRPr="00A10850" w:rsidRDefault="00F725B0" w:rsidP="00DC54F7">
      <w:pPr>
        <w:spacing w:after="0" w:line="240" w:lineRule="auto"/>
        <w:jc w:val="both"/>
        <w:rPr>
          <w:rFonts w:ascii="Arial" w:hAnsi="Arial" w:cs="Arial"/>
        </w:rPr>
      </w:pPr>
    </w:p>
    <w:p w14:paraId="66035FDA" w14:textId="77777777" w:rsidR="00F725B0" w:rsidRPr="00A10850" w:rsidRDefault="00F725B0" w:rsidP="00DC54F7">
      <w:pPr>
        <w:pStyle w:val="ListParagraph"/>
        <w:numPr>
          <w:ilvl w:val="0"/>
          <w:numId w:val="55"/>
        </w:numPr>
        <w:spacing w:after="0" w:line="240" w:lineRule="auto"/>
        <w:jc w:val="both"/>
        <w:rPr>
          <w:rFonts w:ascii="Arial" w:hAnsi="Arial" w:cs="Arial"/>
        </w:rPr>
      </w:pPr>
      <w:r w:rsidRPr="00A10850">
        <w:rPr>
          <w:rFonts w:ascii="Arial" w:hAnsi="Arial" w:cs="Arial"/>
        </w:rPr>
        <w:t xml:space="preserve">Increasing the availability of accurate information about a patient’s medicines, </w:t>
      </w:r>
    </w:p>
    <w:p w14:paraId="2A811DD7" w14:textId="77777777" w:rsidR="00F725B0" w:rsidRPr="00A10850" w:rsidRDefault="00F725B0" w:rsidP="00DC54F7">
      <w:pPr>
        <w:pStyle w:val="ListParagraph"/>
        <w:numPr>
          <w:ilvl w:val="0"/>
          <w:numId w:val="55"/>
        </w:numPr>
        <w:spacing w:after="0" w:line="240" w:lineRule="auto"/>
        <w:jc w:val="both"/>
        <w:rPr>
          <w:rFonts w:ascii="Arial" w:hAnsi="Arial" w:cs="Arial"/>
        </w:rPr>
      </w:pPr>
      <w:r w:rsidRPr="00A10850">
        <w:rPr>
          <w:rFonts w:ascii="Arial" w:hAnsi="Arial" w:cs="Arial"/>
        </w:rPr>
        <w:t>Improving communication between healthcare professionals and others involved in the transfer of patient care, and patients and their carers,</w:t>
      </w:r>
    </w:p>
    <w:p w14:paraId="36628D4F" w14:textId="77777777" w:rsidR="00F725B0" w:rsidRPr="00A10850" w:rsidRDefault="00F725B0" w:rsidP="00DC54F7">
      <w:pPr>
        <w:pStyle w:val="ListParagraph"/>
        <w:numPr>
          <w:ilvl w:val="0"/>
          <w:numId w:val="55"/>
        </w:numPr>
        <w:spacing w:after="0" w:line="240" w:lineRule="auto"/>
        <w:jc w:val="both"/>
        <w:rPr>
          <w:rFonts w:ascii="Arial" w:hAnsi="Arial" w:cs="Arial"/>
        </w:rPr>
      </w:pPr>
      <w:r w:rsidRPr="00A10850">
        <w:rPr>
          <w:rFonts w:ascii="Arial" w:hAnsi="Arial" w:cs="Arial"/>
        </w:rPr>
        <w:t>Increasing patient involvement in their own care by helping them to develop a better understanding of their medicines, and</w:t>
      </w:r>
    </w:p>
    <w:p w14:paraId="7DD3DF1F" w14:textId="77777777" w:rsidR="00F725B0" w:rsidRPr="00A10850" w:rsidRDefault="00F725B0" w:rsidP="00DC54F7">
      <w:pPr>
        <w:pStyle w:val="ListParagraph"/>
        <w:numPr>
          <w:ilvl w:val="0"/>
          <w:numId w:val="55"/>
        </w:numPr>
        <w:spacing w:after="0" w:line="240" w:lineRule="auto"/>
        <w:jc w:val="both"/>
        <w:rPr>
          <w:rFonts w:ascii="Arial" w:hAnsi="Arial" w:cs="Arial"/>
        </w:rPr>
      </w:pPr>
      <w:r w:rsidRPr="00A10850">
        <w:rPr>
          <w:rFonts w:ascii="Arial" w:hAnsi="Arial" w:cs="Arial"/>
        </w:rPr>
        <w:t>Reducing the likelihood of unnecessary or duplicated prescriptions being dispensed thereby reducing wastage of medicines.</w:t>
      </w:r>
    </w:p>
    <w:p w14:paraId="442396C8" w14:textId="77777777" w:rsidR="00F725B0" w:rsidRPr="00A10850" w:rsidRDefault="00F725B0" w:rsidP="00DC54F7">
      <w:pPr>
        <w:spacing w:after="0" w:line="240" w:lineRule="auto"/>
        <w:jc w:val="both"/>
        <w:rPr>
          <w:rFonts w:ascii="Arial" w:hAnsi="Arial" w:cs="Arial"/>
        </w:rPr>
      </w:pPr>
    </w:p>
    <w:p w14:paraId="245C4D80" w14:textId="77777777" w:rsidR="000B38E9" w:rsidRPr="00A10850" w:rsidRDefault="009D2F81" w:rsidP="00DC54F7">
      <w:pPr>
        <w:spacing w:after="0" w:line="240" w:lineRule="auto"/>
        <w:jc w:val="both"/>
        <w:rPr>
          <w:rFonts w:ascii="Arial" w:hAnsi="Arial" w:cs="Arial"/>
        </w:rPr>
      </w:pPr>
      <w:r>
        <w:rPr>
          <w:rFonts w:ascii="Arial" w:hAnsi="Arial" w:cs="Arial"/>
        </w:rPr>
        <w:t xml:space="preserve">Pharmacy contractors may claim a </w:t>
      </w:r>
      <w:r w:rsidRPr="009D2F81">
        <w:rPr>
          <w:rFonts w:ascii="Arial" w:hAnsi="Arial" w:cs="Arial"/>
        </w:rPr>
        <w:t xml:space="preserve">maximum of 140 </w:t>
      </w:r>
      <w:r>
        <w:rPr>
          <w:rFonts w:ascii="Arial" w:hAnsi="Arial" w:cs="Arial"/>
        </w:rPr>
        <w:t>discharge medicines reviews</w:t>
      </w:r>
      <w:r w:rsidRPr="009D2F81">
        <w:rPr>
          <w:rFonts w:ascii="Arial" w:hAnsi="Arial" w:cs="Arial"/>
        </w:rPr>
        <w:t xml:space="preserve"> per pharmacy for the period commencing 1 April and ending 31 March of any financial year.</w:t>
      </w:r>
    </w:p>
    <w:p w14:paraId="0415EEFC" w14:textId="77777777" w:rsidR="000B38E9" w:rsidRPr="00A10850" w:rsidRDefault="000B38E9" w:rsidP="00DC54F7">
      <w:pPr>
        <w:spacing w:after="0" w:line="240" w:lineRule="auto"/>
        <w:jc w:val="both"/>
        <w:rPr>
          <w:rFonts w:ascii="Arial" w:hAnsi="Arial" w:cs="Arial"/>
        </w:rPr>
      </w:pPr>
    </w:p>
    <w:p w14:paraId="587DF7F6" w14:textId="77777777" w:rsidR="00A26D6C" w:rsidRPr="00A10850" w:rsidRDefault="00A26D6C" w:rsidP="00DC54F7">
      <w:pPr>
        <w:pStyle w:val="ListParagraph"/>
        <w:numPr>
          <w:ilvl w:val="0"/>
          <w:numId w:val="15"/>
        </w:numPr>
        <w:spacing w:after="0" w:line="240" w:lineRule="auto"/>
        <w:ind w:left="284" w:hanging="284"/>
        <w:jc w:val="both"/>
        <w:rPr>
          <w:rFonts w:ascii="Arial" w:hAnsi="Arial" w:cs="Arial"/>
          <w:b/>
          <w:sz w:val="24"/>
          <w:szCs w:val="24"/>
          <w:lang w:eastAsia="en-GB"/>
        </w:rPr>
      </w:pPr>
      <w:r w:rsidRPr="00A10850">
        <w:rPr>
          <w:rFonts w:ascii="Arial" w:hAnsi="Arial" w:cs="Arial"/>
          <w:b/>
          <w:sz w:val="24"/>
          <w:szCs w:val="24"/>
        </w:rPr>
        <w:t>Stoma appliance customisation</w:t>
      </w:r>
    </w:p>
    <w:p w14:paraId="739E7DF8" w14:textId="77777777" w:rsidR="00A26D6C" w:rsidRPr="00A10850" w:rsidRDefault="00A26D6C" w:rsidP="00DC54F7">
      <w:pPr>
        <w:spacing w:after="0" w:line="240" w:lineRule="auto"/>
        <w:jc w:val="both"/>
        <w:rPr>
          <w:rFonts w:ascii="Arial" w:hAnsi="Arial" w:cs="Arial"/>
          <w:b/>
        </w:rPr>
      </w:pPr>
    </w:p>
    <w:p w14:paraId="225378A0" w14:textId="77777777" w:rsidR="00A26D6C" w:rsidRPr="00A10850" w:rsidRDefault="00A26D6C" w:rsidP="00DC54F7">
      <w:pPr>
        <w:spacing w:after="0" w:line="240" w:lineRule="auto"/>
        <w:jc w:val="both"/>
        <w:rPr>
          <w:rFonts w:ascii="Arial" w:hAnsi="Arial" w:cs="Arial"/>
          <w:b/>
          <w:bCs/>
          <w:lang w:val="en-US"/>
        </w:rPr>
      </w:pPr>
      <w:r w:rsidRPr="00A10850">
        <w:rPr>
          <w:rFonts w:ascii="Arial" w:hAnsi="Arial" w:cs="Arial"/>
          <w:b/>
          <w:bCs/>
          <w:lang w:val="en-US"/>
        </w:rPr>
        <w:t>Service description</w:t>
      </w:r>
    </w:p>
    <w:p w14:paraId="77474A65" w14:textId="77777777" w:rsidR="00A26D6C" w:rsidRPr="00A10850" w:rsidRDefault="00A26D6C" w:rsidP="00DC54F7">
      <w:pPr>
        <w:spacing w:after="0" w:line="240" w:lineRule="auto"/>
        <w:jc w:val="both"/>
        <w:rPr>
          <w:rFonts w:ascii="Arial" w:hAnsi="Arial" w:cs="Arial"/>
          <w:b/>
          <w:lang w:val="en-US"/>
        </w:rPr>
      </w:pPr>
    </w:p>
    <w:p w14:paraId="04FDEE58" w14:textId="77777777" w:rsidR="00A26D6C" w:rsidRPr="00A10850" w:rsidRDefault="00A26D6C" w:rsidP="00DC54F7">
      <w:pPr>
        <w:spacing w:after="0" w:line="240" w:lineRule="auto"/>
        <w:jc w:val="both"/>
        <w:rPr>
          <w:rFonts w:ascii="Arial" w:hAnsi="Arial" w:cs="Arial"/>
          <w:lang w:val="en-US"/>
        </w:rPr>
      </w:pPr>
      <w:r w:rsidRPr="00A10850">
        <w:rPr>
          <w:rFonts w:ascii="Arial" w:hAnsi="Arial" w:cs="Arial"/>
          <w:lang w:val="en-US"/>
        </w:rPr>
        <w:t>Stoma appliance customisation is the customisation of a quantity of more than one stoma appliance, where:</w:t>
      </w:r>
    </w:p>
    <w:p w14:paraId="1CAD5DF1" w14:textId="77777777" w:rsidR="00A26D6C" w:rsidRPr="00A10850" w:rsidRDefault="00A26D6C" w:rsidP="00DC54F7">
      <w:pPr>
        <w:spacing w:after="0" w:line="240" w:lineRule="auto"/>
        <w:jc w:val="both"/>
        <w:rPr>
          <w:rFonts w:ascii="Arial" w:hAnsi="Arial" w:cs="Arial"/>
          <w:lang w:val="en-US"/>
        </w:rPr>
      </w:pPr>
    </w:p>
    <w:p w14:paraId="41F9B454" w14:textId="77777777" w:rsidR="00A26D6C" w:rsidRPr="00A10850" w:rsidRDefault="00A931C2" w:rsidP="00DC54F7">
      <w:pPr>
        <w:numPr>
          <w:ilvl w:val="0"/>
          <w:numId w:val="18"/>
        </w:numPr>
        <w:spacing w:after="0" w:line="240" w:lineRule="auto"/>
        <w:jc w:val="both"/>
        <w:rPr>
          <w:rFonts w:ascii="Arial" w:hAnsi="Arial" w:cs="Arial"/>
          <w:lang w:val="en-US"/>
        </w:rPr>
      </w:pPr>
      <w:r w:rsidRPr="00A10850">
        <w:rPr>
          <w:rFonts w:ascii="Arial" w:hAnsi="Arial" w:cs="Arial"/>
          <w:lang w:val="en-US"/>
        </w:rPr>
        <w:t>T</w:t>
      </w:r>
      <w:r w:rsidR="00A26D6C" w:rsidRPr="00A10850">
        <w:rPr>
          <w:rFonts w:ascii="Arial" w:hAnsi="Arial" w:cs="Arial"/>
          <w:lang w:val="en-US"/>
        </w:rPr>
        <w:t>he stoma appliance to be customised is listed</w:t>
      </w:r>
      <w:r w:rsidRPr="00A10850">
        <w:rPr>
          <w:rFonts w:ascii="Arial" w:hAnsi="Arial" w:cs="Arial"/>
          <w:lang w:val="en-US"/>
        </w:rPr>
        <w:t xml:space="preserve"> in Part IXC of the Drug Tariff</w:t>
      </w:r>
    </w:p>
    <w:p w14:paraId="2387C2D3" w14:textId="77777777" w:rsidR="00A26D6C" w:rsidRPr="00A10850" w:rsidRDefault="00A931C2" w:rsidP="00DC54F7">
      <w:pPr>
        <w:numPr>
          <w:ilvl w:val="0"/>
          <w:numId w:val="18"/>
        </w:numPr>
        <w:spacing w:after="0" w:line="240" w:lineRule="auto"/>
        <w:jc w:val="both"/>
        <w:rPr>
          <w:rFonts w:ascii="Arial" w:hAnsi="Arial" w:cs="Arial"/>
          <w:lang w:val="en-US"/>
        </w:rPr>
      </w:pPr>
      <w:r w:rsidRPr="00A10850">
        <w:rPr>
          <w:rFonts w:ascii="Arial" w:hAnsi="Arial" w:cs="Arial"/>
          <w:lang w:val="en-US"/>
        </w:rPr>
        <w:t>T</w:t>
      </w:r>
      <w:r w:rsidR="00A26D6C" w:rsidRPr="00A10850">
        <w:rPr>
          <w:rFonts w:ascii="Arial" w:hAnsi="Arial" w:cs="Arial"/>
          <w:lang w:val="en-US"/>
        </w:rPr>
        <w:t>he customisation involves modification to the same specification of multiple identical parts for use with an appliance; and</w:t>
      </w:r>
    </w:p>
    <w:p w14:paraId="2A49D6FF" w14:textId="77777777" w:rsidR="00A26D6C" w:rsidRPr="00A10850" w:rsidRDefault="00A931C2" w:rsidP="00DC54F7">
      <w:pPr>
        <w:numPr>
          <w:ilvl w:val="0"/>
          <w:numId w:val="18"/>
        </w:numPr>
        <w:spacing w:after="0" w:line="240" w:lineRule="auto"/>
        <w:jc w:val="both"/>
        <w:rPr>
          <w:rFonts w:ascii="Arial" w:hAnsi="Arial" w:cs="Arial"/>
          <w:lang w:val="en-US"/>
        </w:rPr>
      </w:pPr>
      <w:r w:rsidRPr="00A10850">
        <w:rPr>
          <w:rFonts w:ascii="Arial" w:hAnsi="Arial" w:cs="Arial"/>
          <w:lang w:val="en-US"/>
        </w:rPr>
        <w:t>M</w:t>
      </w:r>
      <w:r w:rsidR="00A26D6C" w:rsidRPr="00A10850">
        <w:rPr>
          <w:rFonts w:ascii="Arial" w:hAnsi="Arial" w:cs="Arial"/>
          <w:lang w:val="en-US"/>
        </w:rPr>
        <w:t>odification is based on the patient’s measurement or record of those measurements and if applicable, a template.</w:t>
      </w:r>
    </w:p>
    <w:p w14:paraId="6DC9ACE8" w14:textId="77777777" w:rsidR="00A26D6C" w:rsidRPr="00A10850" w:rsidRDefault="00A26D6C" w:rsidP="00DC54F7">
      <w:pPr>
        <w:spacing w:after="0" w:line="240" w:lineRule="auto"/>
        <w:jc w:val="both"/>
        <w:rPr>
          <w:rFonts w:ascii="Arial" w:hAnsi="Arial" w:cs="Arial"/>
          <w:b/>
          <w:lang w:val="en-US"/>
        </w:rPr>
      </w:pPr>
    </w:p>
    <w:p w14:paraId="6CFB29EE" w14:textId="77777777" w:rsidR="00A26D6C" w:rsidRPr="00A10850" w:rsidRDefault="00A26D6C" w:rsidP="00DC54F7">
      <w:pPr>
        <w:spacing w:after="0" w:line="240" w:lineRule="auto"/>
        <w:jc w:val="both"/>
        <w:rPr>
          <w:rFonts w:ascii="Arial" w:hAnsi="Arial" w:cs="Arial"/>
          <w:b/>
          <w:bCs/>
          <w:lang w:val="en-US"/>
        </w:rPr>
      </w:pPr>
      <w:r w:rsidRPr="00A10850">
        <w:rPr>
          <w:rFonts w:ascii="Arial" w:hAnsi="Arial" w:cs="Arial"/>
          <w:b/>
          <w:bCs/>
          <w:lang w:val="en-US"/>
        </w:rPr>
        <w:t xml:space="preserve">Aims </w:t>
      </w:r>
      <w:r w:rsidRPr="00A10850">
        <w:rPr>
          <w:rFonts w:ascii="Arial" w:hAnsi="Arial" w:cs="Arial"/>
          <w:b/>
          <w:bCs/>
        </w:rPr>
        <w:t>and intended outcomes</w:t>
      </w:r>
    </w:p>
    <w:p w14:paraId="7A846DCB" w14:textId="77777777" w:rsidR="00A26D6C" w:rsidRPr="00A10850" w:rsidRDefault="00A26D6C" w:rsidP="00DC54F7">
      <w:pPr>
        <w:spacing w:after="0" w:line="240" w:lineRule="auto"/>
        <w:jc w:val="both"/>
        <w:rPr>
          <w:rFonts w:ascii="Arial" w:hAnsi="Arial" w:cs="Arial"/>
          <w:b/>
          <w:lang w:val="en-US"/>
        </w:rPr>
      </w:pPr>
    </w:p>
    <w:p w14:paraId="4574F8F6" w14:textId="77777777" w:rsidR="00A26D6C" w:rsidRPr="00A10850" w:rsidRDefault="00A26D6C" w:rsidP="00DC54F7">
      <w:pPr>
        <w:spacing w:after="0" w:line="240" w:lineRule="auto"/>
        <w:jc w:val="both"/>
        <w:rPr>
          <w:rFonts w:ascii="Arial" w:hAnsi="Arial" w:cs="Arial"/>
          <w:lang w:val="en-US"/>
        </w:rPr>
      </w:pPr>
      <w:r w:rsidRPr="00A10850">
        <w:rPr>
          <w:rFonts w:ascii="Arial" w:hAnsi="Arial" w:cs="Arial"/>
          <w:lang w:val="en-US"/>
        </w:rPr>
        <w:t>The underlying purpose of the service is to:</w:t>
      </w:r>
    </w:p>
    <w:p w14:paraId="337FC4B8" w14:textId="77777777" w:rsidR="00A26D6C" w:rsidRPr="00A10850" w:rsidRDefault="00A26D6C" w:rsidP="00DC54F7">
      <w:pPr>
        <w:spacing w:after="0" w:line="240" w:lineRule="auto"/>
        <w:jc w:val="both"/>
        <w:rPr>
          <w:rFonts w:ascii="Arial" w:hAnsi="Arial" w:cs="Arial"/>
          <w:lang w:val="en-US"/>
        </w:rPr>
      </w:pPr>
    </w:p>
    <w:p w14:paraId="47AA8808" w14:textId="77777777" w:rsidR="00A26D6C" w:rsidRPr="00A10850" w:rsidRDefault="00A931C2" w:rsidP="00DC54F7">
      <w:pPr>
        <w:pStyle w:val="ListParagraph"/>
        <w:numPr>
          <w:ilvl w:val="0"/>
          <w:numId w:val="30"/>
        </w:numPr>
        <w:spacing w:after="0" w:line="240" w:lineRule="auto"/>
        <w:jc w:val="both"/>
        <w:rPr>
          <w:rFonts w:ascii="Arial" w:hAnsi="Arial" w:cs="Arial"/>
          <w:lang w:val="en-US"/>
        </w:rPr>
      </w:pPr>
      <w:r w:rsidRPr="00A10850">
        <w:rPr>
          <w:rFonts w:ascii="Arial" w:hAnsi="Arial" w:cs="Arial"/>
          <w:lang w:val="en-US"/>
        </w:rPr>
        <w:t>E</w:t>
      </w:r>
      <w:r w:rsidR="00A26D6C" w:rsidRPr="00A10850">
        <w:rPr>
          <w:rFonts w:ascii="Arial" w:hAnsi="Arial" w:cs="Arial"/>
          <w:lang w:val="en-US"/>
        </w:rPr>
        <w:t xml:space="preserve">nsure the proper use and comfortable fitting of the stoma appliance by a patient; and </w:t>
      </w:r>
    </w:p>
    <w:p w14:paraId="743175CB" w14:textId="77777777" w:rsidR="00A26D6C" w:rsidRPr="00A10850" w:rsidRDefault="00A931C2" w:rsidP="00DC54F7">
      <w:pPr>
        <w:pStyle w:val="ListParagraph"/>
        <w:numPr>
          <w:ilvl w:val="0"/>
          <w:numId w:val="30"/>
        </w:numPr>
        <w:spacing w:after="0" w:line="240" w:lineRule="auto"/>
        <w:jc w:val="both"/>
        <w:rPr>
          <w:rFonts w:ascii="Arial" w:hAnsi="Arial" w:cs="Arial"/>
          <w:lang w:val="en-US"/>
        </w:rPr>
      </w:pPr>
      <w:r w:rsidRPr="00A10850">
        <w:rPr>
          <w:rFonts w:ascii="Arial" w:hAnsi="Arial" w:cs="Arial"/>
          <w:lang w:val="en-US"/>
        </w:rPr>
        <w:t>I</w:t>
      </w:r>
      <w:r w:rsidR="00A26D6C" w:rsidRPr="00A10850">
        <w:rPr>
          <w:rFonts w:ascii="Arial" w:hAnsi="Arial" w:cs="Arial"/>
          <w:lang w:val="en-US"/>
        </w:rPr>
        <w:t>mprove the duration of usage of the appliance, thereby reducing wastage of such appliances.</w:t>
      </w:r>
    </w:p>
    <w:p w14:paraId="2880D340" w14:textId="77777777" w:rsidR="00A26D6C" w:rsidRPr="00A10850" w:rsidRDefault="00A26D6C" w:rsidP="00DC54F7">
      <w:pPr>
        <w:spacing w:after="0" w:line="240" w:lineRule="auto"/>
        <w:jc w:val="both"/>
        <w:rPr>
          <w:rFonts w:ascii="Arial" w:hAnsi="Arial" w:cs="Arial"/>
          <w:b/>
        </w:rPr>
      </w:pPr>
    </w:p>
    <w:p w14:paraId="7135044E" w14:textId="77777777" w:rsidR="00A26D6C" w:rsidRPr="00A10850" w:rsidRDefault="00A26D6C" w:rsidP="00DC54F7">
      <w:pPr>
        <w:pStyle w:val="ListParagraph"/>
        <w:numPr>
          <w:ilvl w:val="0"/>
          <w:numId w:val="15"/>
        </w:numPr>
        <w:spacing w:after="0" w:line="240" w:lineRule="auto"/>
        <w:ind w:left="284" w:hanging="284"/>
        <w:jc w:val="both"/>
        <w:rPr>
          <w:rFonts w:ascii="Arial" w:hAnsi="Arial" w:cs="Arial"/>
          <w:b/>
          <w:sz w:val="24"/>
          <w:szCs w:val="24"/>
          <w:lang w:eastAsia="en-GB"/>
        </w:rPr>
      </w:pPr>
      <w:r w:rsidRPr="00A10850">
        <w:rPr>
          <w:rFonts w:ascii="Arial" w:hAnsi="Arial" w:cs="Arial"/>
          <w:b/>
          <w:sz w:val="24"/>
          <w:szCs w:val="24"/>
          <w:lang w:eastAsia="en-GB"/>
        </w:rPr>
        <w:t>Appliance use review</w:t>
      </w:r>
    </w:p>
    <w:p w14:paraId="19F31E2C" w14:textId="77777777" w:rsidR="00A26D6C" w:rsidRPr="00A10850" w:rsidRDefault="00A26D6C" w:rsidP="00DC54F7">
      <w:pPr>
        <w:spacing w:after="0" w:line="240" w:lineRule="auto"/>
        <w:ind w:left="360"/>
        <w:jc w:val="both"/>
        <w:rPr>
          <w:rFonts w:ascii="Arial" w:hAnsi="Arial" w:cs="Arial"/>
          <w:b/>
          <w:lang w:eastAsia="en-GB"/>
        </w:rPr>
      </w:pPr>
    </w:p>
    <w:p w14:paraId="1ED93EF3" w14:textId="77777777" w:rsidR="00A26D6C" w:rsidRPr="00A10850" w:rsidRDefault="00A26D6C" w:rsidP="00DC54F7">
      <w:pPr>
        <w:spacing w:after="0" w:line="240" w:lineRule="auto"/>
        <w:jc w:val="both"/>
        <w:rPr>
          <w:rFonts w:ascii="Arial" w:hAnsi="Arial" w:cs="Arial"/>
          <w:b/>
          <w:lang w:val="en-US" w:eastAsia="en-GB"/>
        </w:rPr>
      </w:pPr>
      <w:r w:rsidRPr="00A10850">
        <w:rPr>
          <w:rFonts w:ascii="Arial" w:hAnsi="Arial" w:cs="Arial"/>
          <w:b/>
          <w:bCs/>
          <w:lang w:val="en-US" w:eastAsia="en-GB"/>
        </w:rPr>
        <w:t>Service description</w:t>
      </w:r>
    </w:p>
    <w:p w14:paraId="0F50B643" w14:textId="77777777" w:rsidR="00A26D6C" w:rsidRPr="00A10850" w:rsidRDefault="00A26D6C" w:rsidP="00DC54F7">
      <w:pPr>
        <w:spacing w:after="0" w:line="240" w:lineRule="auto"/>
        <w:jc w:val="both"/>
        <w:rPr>
          <w:rFonts w:ascii="Arial" w:hAnsi="Arial" w:cs="Arial"/>
          <w:b/>
          <w:lang w:val="en-US" w:eastAsia="en-GB"/>
        </w:rPr>
      </w:pPr>
    </w:p>
    <w:p w14:paraId="266CF4D8" w14:textId="77777777" w:rsidR="00A26D6C" w:rsidRPr="00A10850" w:rsidRDefault="00A26D6C" w:rsidP="00DC54F7">
      <w:pPr>
        <w:spacing w:after="0" w:line="240" w:lineRule="auto"/>
        <w:jc w:val="both"/>
        <w:rPr>
          <w:rFonts w:ascii="Arial" w:hAnsi="Arial" w:cs="Arial"/>
          <w:lang w:val="en-US" w:eastAsia="en-GB"/>
        </w:rPr>
      </w:pPr>
      <w:r w:rsidRPr="00A10850">
        <w:rPr>
          <w:rFonts w:ascii="Arial" w:hAnsi="Arial" w:cs="Arial"/>
          <w:lang w:val="en-US" w:eastAsia="en-GB"/>
        </w:rPr>
        <w:t xml:space="preserve">An </w:t>
      </w:r>
      <w:r w:rsidR="009D2F81">
        <w:rPr>
          <w:rFonts w:ascii="Arial" w:hAnsi="Arial" w:cs="Arial"/>
          <w:lang w:val="en-US" w:eastAsia="en-GB"/>
        </w:rPr>
        <w:t>appliance use review</w:t>
      </w:r>
      <w:r w:rsidRPr="00A10850">
        <w:rPr>
          <w:rFonts w:ascii="Arial" w:hAnsi="Arial" w:cs="Arial"/>
          <w:lang w:val="en-US" w:eastAsia="en-GB"/>
        </w:rPr>
        <w:t xml:space="preserve"> is about helping patients use their appliances more effectively. Recommendations made to prescribers may also relate to the clinical or cost effectiveness of treatment.</w:t>
      </w:r>
    </w:p>
    <w:p w14:paraId="3CF9C767" w14:textId="77777777" w:rsidR="00A26D6C" w:rsidRPr="00A10850" w:rsidRDefault="00A26D6C" w:rsidP="00DC54F7">
      <w:pPr>
        <w:spacing w:after="0" w:line="240" w:lineRule="auto"/>
        <w:jc w:val="both"/>
        <w:rPr>
          <w:rFonts w:ascii="Arial" w:hAnsi="Arial" w:cs="Arial"/>
          <w:b/>
          <w:bCs/>
          <w:lang w:val="en-US" w:eastAsia="en-GB"/>
        </w:rPr>
      </w:pPr>
    </w:p>
    <w:p w14:paraId="55639874" w14:textId="77777777" w:rsidR="00A26D6C" w:rsidRPr="00A10850" w:rsidRDefault="00A26D6C" w:rsidP="00DC54F7">
      <w:pPr>
        <w:spacing w:after="0" w:line="240" w:lineRule="auto"/>
        <w:jc w:val="both"/>
        <w:rPr>
          <w:rFonts w:ascii="Arial" w:hAnsi="Arial" w:cs="Arial"/>
          <w:b/>
          <w:bCs/>
          <w:lang w:val="en-US" w:eastAsia="en-GB"/>
        </w:rPr>
      </w:pPr>
      <w:r w:rsidRPr="00A10850">
        <w:rPr>
          <w:rFonts w:ascii="Arial" w:hAnsi="Arial" w:cs="Arial"/>
          <w:b/>
          <w:bCs/>
          <w:lang w:val="en-US" w:eastAsia="en-GB"/>
        </w:rPr>
        <w:t>Aims and intended outcomes</w:t>
      </w:r>
    </w:p>
    <w:p w14:paraId="68DC7267" w14:textId="77777777" w:rsidR="00A26D6C" w:rsidRPr="00A10850" w:rsidRDefault="00A26D6C" w:rsidP="00DC54F7">
      <w:pPr>
        <w:spacing w:after="0" w:line="240" w:lineRule="auto"/>
        <w:jc w:val="both"/>
        <w:rPr>
          <w:rFonts w:ascii="Arial" w:hAnsi="Arial" w:cs="Arial"/>
          <w:b/>
          <w:bCs/>
          <w:lang w:val="en-US" w:eastAsia="en-GB"/>
        </w:rPr>
      </w:pPr>
    </w:p>
    <w:p w14:paraId="6C1DD892" w14:textId="77777777" w:rsidR="00A26D6C" w:rsidRPr="00A10850" w:rsidRDefault="00A26D6C" w:rsidP="00DC54F7">
      <w:pPr>
        <w:spacing w:after="0" w:line="240" w:lineRule="auto"/>
        <w:jc w:val="both"/>
        <w:rPr>
          <w:rFonts w:ascii="Arial" w:hAnsi="Arial" w:cs="Arial"/>
          <w:lang w:val="en-US" w:eastAsia="en-GB"/>
        </w:rPr>
      </w:pPr>
      <w:r w:rsidRPr="00A10850">
        <w:rPr>
          <w:rFonts w:ascii="Arial" w:hAnsi="Arial" w:cs="Arial"/>
          <w:lang w:val="en-US" w:eastAsia="en-GB"/>
        </w:rPr>
        <w:t>The underlying purpose of the service is, with the patient’s agreement, to improve the patient’s knowledge and use of any specified appliance by</w:t>
      </w:r>
      <w:r w:rsidR="00E73A7F" w:rsidRPr="00A10850">
        <w:rPr>
          <w:rFonts w:ascii="Arial" w:hAnsi="Arial" w:cs="Arial"/>
          <w:lang w:val="en-US" w:eastAsia="en-GB"/>
        </w:rPr>
        <w:t>, in particular</w:t>
      </w:r>
      <w:r w:rsidRPr="00A10850">
        <w:rPr>
          <w:rFonts w:ascii="Arial" w:hAnsi="Arial" w:cs="Arial"/>
          <w:lang w:val="en-US" w:eastAsia="en-GB"/>
        </w:rPr>
        <w:t>:</w:t>
      </w:r>
    </w:p>
    <w:p w14:paraId="500A3C3E" w14:textId="77777777" w:rsidR="00A26D6C" w:rsidRPr="00A10850" w:rsidRDefault="00A26D6C" w:rsidP="00DC54F7">
      <w:pPr>
        <w:spacing w:after="0" w:line="240" w:lineRule="auto"/>
        <w:jc w:val="both"/>
        <w:rPr>
          <w:rFonts w:ascii="Arial" w:hAnsi="Arial" w:cs="Arial"/>
          <w:lang w:val="en-US" w:eastAsia="en-GB"/>
        </w:rPr>
      </w:pPr>
    </w:p>
    <w:p w14:paraId="33B6033F" w14:textId="77777777" w:rsidR="00A26D6C" w:rsidRPr="00A10850" w:rsidRDefault="00A931C2" w:rsidP="00DC54F7">
      <w:pPr>
        <w:numPr>
          <w:ilvl w:val="0"/>
          <w:numId w:val="17"/>
        </w:numPr>
        <w:spacing w:after="0" w:line="240" w:lineRule="auto"/>
        <w:jc w:val="both"/>
        <w:rPr>
          <w:rFonts w:ascii="Arial" w:hAnsi="Arial" w:cs="Arial"/>
          <w:lang w:val="en-US" w:eastAsia="en-GB"/>
        </w:rPr>
      </w:pPr>
      <w:r w:rsidRPr="00A10850">
        <w:rPr>
          <w:rFonts w:ascii="Arial" w:hAnsi="Arial" w:cs="Arial"/>
          <w:lang w:val="en-US" w:eastAsia="en-GB"/>
        </w:rPr>
        <w:t>E</w:t>
      </w:r>
      <w:r w:rsidR="00A26D6C" w:rsidRPr="00A10850">
        <w:rPr>
          <w:rFonts w:ascii="Arial" w:hAnsi="Arial" w:cs="Arial"/>
          <w:lang w:val="en-US" w:eastAsia="en-GB"/>
        </w:rPr>
        <w:t>stablishing the way the patient uses the specified appliance and the p</w:t>
      </w:r>
      <w:r w:rsidRPr="00A10850">
        <w:rPr>
          <w:rFonts w:ascii="Arial" w:hAnsi="Arial" w:cs="Arial"/>
          <w:lang w:val="en-US" w:eastAsia="en-GB"/>
        </w:rPr>
        <w:t>atient’s experience of such use</w:t>
      </w:r>
    </w:p>
    <w:p w14:paraId="68A750DD" w14:textId="77777777" w:rsidR="00A26D6C" w:rsidRPr="00A10850" w:rsidRDefault="00A931C2" w:rsidP="00DC54F7">
      <w:pPr>
        <w:numPr>
          <w:ilvl w:val="0"/>
          <w:numId w:val="17"/>
        </w:numPr>
        <w:spacing w:after="0" w:line="240" w:lineRule="auto"/>
        <w:jc w:val="both"/>
        <w:rPr>
          <w:rFonts w:ascii="Arial" w:hAnsi="Arial" w:cs="Arial"/>
          <w:lang w:val="en-US" w:eastAsia="en-GB"/>
        </w:rPr>
      </w:pPr>
      <w:r w:rsidRPr="00A10850">
        <w:rPr>
          <w:rFonts w:ascii="Arial" w:hAnsi="Arial" w:cs="Arial"/>
          <w:lang w:val="en-US" w:eastAsia="en-GB"/>
        </w:rPr>
        <w:t>I</w:t>
      </w:r>
      <w:r w:rsidR="00A26D6C" w:rsidRPr="00A10850">
        <w:rPr>
          <w:rFonts w:ascii="Arial" w:hAnsi="Arial" w:cs="Arial"/>
          <w:lang w:val="en-US" w:eastAsia="en-GB"/>
        </w:rPr>
        <w:t>dentifying, discussing and assisting in the resolution of poor or ineffective use of the spe</w:t>
      </w:r>
      <w:r w:rsidRPr="00A10850">
        <w:rPr>
          <w:rFonts w:ascii="Arial" w:hAnsi="Arial" w:cs="Arial"/>
          <w:lang w:val="en-US" w:eastAsia="en-GB"/>
        </w:rPr>
        <w:t>cified appliance by the patient</w:t>
      </w:r>
    </w:p>
    <w:p w14:paraId="75D62B56" w14:textId="77777777" w:rsidR="00A26D6C" w:rsidRPr="00A10850" w:rsidRDefault="00A931C2" w:rsidP="00DC54F7">
      <w:pPr>
        <w:numPr>
          <w:ilvl w:val="0"/>
          <w:numId w:val="17"/>
        </w:numPr>
        <w:spacing w:after="0" w:line="240" w:lineRule="auto"/>
        <w:jc w:val="both"/>
        <w:rPr>
          <w:rFonts w:ascii="Arial" w:hAnsi="Arial" w:cs="Arial"/>
          <w:lang w:val="en-US" w:eastAsia="en-GB"/>
        </w:rPr>
      </w:pPr>
      <w:r w:rsidRPr="00A10850">
        <w:rPr>
          <w:rFonts w:ascii="Arial" w:hAnsi="Arial" w:cs="Arial"/>
          <w:lang w:val="en-US" w:eastAsia="en-GB"/>
        </w:rPr>
        <w:t>A</w:t>
      </w:r>
      <w:r w:rsidR="00A26D6C" w:rsidRPr="00A10850">
        <w:rPr>
          <w:rFonts w:ascii="Arial" w:hAnsi="Arial" w:cs="Arial"/>
          <w:lang w:val="en-US" w:eastAsia="en-GB"/>
        </w:rPr>
        <w:t>dvising the patient on the safe and appropriate sto</w:t>
      </w:r>
      <w:r w:rsidRPr="00A10850">
        <w:rPr>
          <w:rFonts w:ascii="Arial" w:hAnsi="Arial" w:cs="Arial"/>
          <w:lang w:val="en-US" w:eastAsia="en-GB"/>
        </w:rPr>
        <w:t>rage of the specified appliance</w:t>
      </w:r>
    </w:p>
    <w:p w14:paraId="34498884" w14:textId="77777777" w:rsidR="00A26D6C" w:rsidRPr="00A10850" w:rsidRDefault="00A931C2" w:rsidP="00DC54F7">
      <w:pPr>
        <w:numPr>
          <w:ilvl w:val="0"/>
          <w:numId w:val="17"/>
        </w:numPr>
        <w:spacing w:after="0" w:line="240" w:lineRule="auto"/>
        <w:jc w:val="both"/>
        <w:rPr>
          <w:rFonts w:ascii="Arial" w:hAnsi="Arial" w:cs="Arial"/>
          <w:lang w:val="en-US" w:eastAsia="en-GB"/>
        </w:rPr>
      </w:pPr>
      <w:r w:rsidRPr="00A10850">
        <w:rPr>
          <w:rFonts w:ascii="Arial" w:hAnsi="Arial" w:cs="Arial"/>
          <w:lang w:val="en-US" w:eastAsia="en-GB"/>
        </w:rPr>
        <w:t>A</w:t>
      </w:r>
      <w:r w:rsidR="00A26D6C" w:rsidRPr="00A10850">
        <w:rPr>
          <w:rFonts w:ascii="Arial" w:hAnsi="Arial" w:cs="Arial"/>
          <w:lang w:val="en-US" w:eastAsia="en-GB"/>
        </w:rPr>
        <w:t>dvising the patient on the safe and proper disposal of the specified appliances that are used or unwanted.</w:t>
      </w:r>
    </w:p>
    <w:p w14:paraId="0406F69D" w14:textId="77777777" w:rsidR="009D2F81" w:rsidRDefault="009D2F81" w:rsidP="00DC54F7">
      <w:pPr>
        <w:spacing w:after="0" w:line="240" w:lineRule="auto"/>
        <w:jc w:val="both"/>
        <w:rPr>
          <w:rFonts w:ascii="Arial" w:hAnsi="Arial" w:cs="Arial"/>
          <w:color w:val="942D83"/>
        </w:rPr>
      </w:pPr>
    </w:p>
    <w:p w14:paraId="1A2FA387" w14:textId="77777777" w:rsidR="00F3677A" w:rsidRPr="009D2F81" w:rsidRDefault="009D2F81" w:rsidP="00DC54F7">
      <w:pPr>
        <w:spacing w:after="0" w:line="240" w:lineRule="auto"/>
        <w:jc w:val="both"/>
        <w:rPr>
          <w:rFonts w:ascii="Arial" w:eastAsiaTheme="majorEastAsia" w:hAnsi="Arial" w:cs="Arial"/>
          <w:b/>
          <w:bCs/>
          <w:sz w:val="28"/>
          <w:szCs w:val="28"/>
        </w:rPr>
      </w:pPr>
      <w:r w:rsidRPr="009D2F81">
        <w:rPr>
          <w:rFonts w:ascii="Arial" w:hAnsi="Arial" w:cs="Arial"/>
        </w:rPr>
        <w:t xml:space="preserve">The total number of </w:t>
      </w:r>
      <w:r>
        <w:rPr>
          <w:rFonts w:ascii="Arial" w:hAnsi="Arial" w:cs="Arial"/>
        </w:rPr>
        <w:t>a</w:t>
      </w:r>
      <w:r w:rsidRPr="009D2F81">
        <w:rPr>
          <w:rFonts w:ascii="Arial" w:hAnsi="Arial" w:cs="Arial"/>
        </w:rPr>
        <w:t xml:space="preserve">ppliance </w:t>
      </w:r>
      <w:r>
        <w:rPr>
          <w:rFonts w:ascii="Arial" w:hAnsi="Arial" w:cs="Arial"/>
        </w:rPr>
        <w:t>u</w:t>
      </w:r>
      <w:r w:rsidRPr="009D2F81">
        <w:rPr>
          <w:rFonts w:ascii="Arial" w:hAnsi="Arial" w:cs="Arial"/>
        </w:rPr>
        <w:t xml:space="preserve">se </w:t>
      </w:r>
      <w:r>
        <w:rPr>
          <w:rFonts w:ascii="Arial" w:hAnsi="Arial" w:cs="Arial"/>
        </w:rPr>
        <w:t>r</w:t>
      </w:r>
      <w:r w:rsidRPr="009D2F81">
        <w:rPr>
          <w:rFonts w:ascii="Arial" w:hAnsi="Arial" w:cs="Arial"/>
        </w:rPr>
        <w:t xml:space="preserve">eviews that an appliance or pharmacy contractor may claim fees for </w:t>
      </w:r>
      <w:r>
        <w:rPr>
          <w:rFonts w:ascii="Arial" w:hAnsi="Arial" w:cs="Arial"/>
        </w:rPr>
        <w:t>is</w:t>
      </w:r>
      <w:r w:rsidRPr="009D2F81">
        <w:rPr>
          <w:rFonts w:ascii="Arial" w:hAnsi="Arial" w:cs="Arial"/>
        </w:rPr>
        <w:t xml:space="preserve"> limited to one for every 35 Part IXA (qualifying items), Part IXB and Part IXC prescription items dispensed for the period commencing on 1 April and endi</w:t>
      </w:r>
      <w:r>
        <w:rPr>
          <w:rFonts w:ascii="Arial" w:hAnsi="Arial" w:cs="Arial"/>
        </w:rPr>
        <w:t>ng on 31 March in any one year.</w:t>
      </w:r>
      <w:r w:rsidR="00F3677A" w:rsidRPr="009D2F81">
        <w:rPr>
          <w:rFonts w:ascii="Arial" w:hAnsi="Arial" w:cs="Arial"/>
        </w:rPr>
        <w:br w:type="page"/>
      </w:r>
    </w:p>
    <w:p w14:paraId="30A13841" w14:textId="784B5921" w:rsidR="00666C5E" w:rsidRPr="00A10850" w:rsidRDefault="00666C5E" w:rsidP="00DC54F7">
      <w:pPr>
        <w:pStyle w:val="Heading1"/>
        <w:spacing w:before="0" w:line="240" w:lineRule="auto"/>
        <w:jc w:val="both"/>
        <w:rPr>
          <w:rFonts w:cs="Arial"/>
          <w:color w:val="auto"/>
        </w:rPr>
      </w:pPr>
      <w:bookmarkStart w:id="72" w:name="_Toc81585116"/>
      <w:r w:rsidRPr="00A10850">
        <w:rPr>
          <w:rFonts w:cs="Arial"/>
          <w:color w:val="auto"/>
        </w:rPr>
        <w:lastRenderedPageBreak/>
        <w:t>Appendix</w:t>
      </w:r>
      <w:r w:rsidR="00962298" w:rsidRPr="00A10850">
        <w:rPr>
          <w:rFonts w:cs="Arial"/>
          <w:color w:val="auto"/>
        </w:rPr>
        <w:t xml:space="preserve"> D</w:t>
      </w:r>
      <w:r w:rsidRPr="00A10850">
        <w:rPr>
          <w:rFonts w:cs="Arial"/>
          <w:color w:val="auto"/>
        </w:rPr>
        <w:t xml:space="preserve"> – enhanced services</w:t>
      </w:r>
      <w:bookmarkEnd w:id="72"/>
    </w:p>
    <w:p w14:paraId="33F7D0A8" w14:textId="77777777" w:rsidR="00666C5E" w:rsidRPr="00A10850" w:rsidRDefault="00666C5E" w:rsidP="00DC54F7">
      <w:pPr>
        <w:spacing w:after="0" w:line="240" w:lineRule="auto"/>
        <w:contextualSpacing/>
        <w:jc w:val="both"/>
        <w:rPr>
          <w:rFonts w:ascii="Arial" w:hAnsi="Arial" w:cs="Arial"/>
          <w:b/>
        </w:rPr>
      </w:pPr>
    </w:p>
    <w:p w14:paraId="450C9BF7" w14:textId="77777777" w:rsidR="00666C5E" w:rsidRPr="00A10850" w:rsidRDefault="00666C5E"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An anticoagulant monitoring service, the underlying purpose of which is for the pharmacy contractor to test the patient’s blood clotting time, review the results and adjust (or recommend adjustment to) the anticoagulant dose accordingly.</w:t>
      </w:r>
    </w:p>
    <w:p w14:paraId="0FC831E5" w14:textId="77777777" w:rsidR="001612B1" w:rsidRPr="00A10850" w:rsidRDefault="001612B1" w:rsidP="00DC54F7">
      <w:pPr>
        <w:pStyle w:val="ListParagraph"/>
        <w:spacing w:after="0" w:line="240" w:lineRule="auto"/>
        <w:ind w:left="284"/>
        <w:jc w:val="both"/>
        <w:rPr>
          <w:rFonts w:ascii="Arial" w:hAnsi="Arial" w:cs="Arial"/>
          <w:highlight w:val="cyan"/>
        </w:rPr>
      </w:pPr>
    </w:p>
    <w:p w14:paraId="0E2EC588" w14:textId="77777777" w:rsidR="00666C5E" w:rsidRPr="00A10850" w:rsidRDefault="00666C5E"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 xml:space="preserve">A care home service, the underlying purpose of which is for the pharmacy contractor to provide advice and support to residents and staff in a care home relating to— </w:t>
      </w:r>
    </w:p>
    <w:p w14:paraId="335CB3BF" w14:textId="77777777" w:rsidR="00666C5E" w:rsidRPr="00A10850" w:rsidRDefault="00666C5E" w:rsidP="00DC54F7">
      <w:pPr>
        <w:spacing w:after="0" w:line="240" w:lineRule="auto"/>
        <w:jc w:val="both"/>
        <w:rPr>
          <w:rFonts w:ascii="Arial" w:hAnsi="Arial" w:cs="Arial"/>
        </w:rPr>
      </w:pPr>
    </w:p>
    <w:p w14:paraId="066868DA" w14:textId="77777777" w:rsidR="00666C5E" w:rsidRPr="00A10850" w:rsidRDefault="00A931C2" w:rsidP="00DC54F7">
      <w:pPr>
        <w:pStyle w:val="ListParagraph"/>
        <w:numPr>
          <w:ilvl w:val="0"/>
          <w:numId w:val="31"/>
        </w:numPr>
        <w:spacing w:after="0" w:line="240" w:lineRule="auto"/>
        <w:jc w:val="both"/>
        <w:rPr>
          <w:rFonts w:ascii="Arial" w:hAnsi="Arial" w:cs="Arial"/>
        </w:rPr>
      </w:pPr>
      <w:r w:rsidRPr="00A10850">
        <w:rPr>
          <w:rFonts w:ascii="Arial" w:hAnsi="Arial" w:cs="Arial"/>
        </w:rPr>
        <w:t>T</w:t>
      </w:r>
      <w:r w:rsidR="00666C5E" w:rsidRPr="00A10850">
        <w:rPr>
          <w:rFonts w:ascii="Arial" w:hAnsi="Arial" w:cs="Arial"/>
        </w:rPr>
        <w:t>he proper and effective ordering of drugs and appliances for the benefi</w:t>
      </w:r>
      <w:r w:rsidRPr="00A10850">
        <w:rPr>
          <w:rFonts w:ascii="Arial" w:hAnsi="Arial" w:cs="Arial"/>
        </w:rPr>
        <w:t>t of residents in the care home</w:t>
      </w:r>
      <w:r w:rsidR="00666C5E" w:rsidRPr="00A10850">
        <w:rPr>
          <w:rFonts w:ascii="Arial" w:hAnsi="Arial" w:cs="Arial"/>
        </w:rPr>
        <w:t xml:space="preserve"> </w:t>
      </w:r>
    </w:p>
    <w:p w14:paraId="6E8B2B17" w14:textId="77777777" w:rsidR="00666C5E" w:rsidRPr="00A10850" w:rsidRDefault="00A931C2" w:rsidP="00DC54F7">
      <w:pPr>
        <w:pStyle w:val="ListParagraph"/>
        <w:numPr>
          <w:ilvl w:val="0"/>
          <w:numId w:val="31"/>
        </w:numPr>
        <w:spacing w:after="0" w:line="240" w:lineRule="auto"/>
        <w:jc w:val="both"/>
        <w:rPr>
          <w:rFonts w:ascii="Arial" w:hAnsi="Arial" w:cs="Arial"/>
        </w:rPr>
      </w:pPr>
      <w:r w:rsidRPr="00A10850">
        <w:rPr>
          <w:rFonts w:ascii="Arial" w:hAnsi="Arial" w:cs="Arial"/>
        </w:rPr>
        <w:t>T</w:t>
      </w:r>
      <w:r w:rsidR="00666C5E" w:rsidRPr="00A10850">
        <w:rPr>
          <w:rFonts w:ascii="Arial" w:hAnsi="Arial" w:cs="Arial"/>
        </w:rPr>
        <w:t xml:space="preserve">he clinical </w:t>
      </w:r>
      <w:r w:rsidRPr="00A10850">
        <w:rPr>
          <w:rFonts w:ascii="Arial" w:hAnsi="Arial" w:cs="Arial"/>
        </w:rPr>
        <w:t>and cost effective use of drugs</w:t>
      </w:r>
      <w:r w:rsidR="00666C5E" w:rsidRPr="00A10850">
        <w:rPr>
          <w:rFonts w:ascii="Arial" w:hAnsi="Arial" w:cs="Arial"/>
        </w:rPr>
        <w:t xml:space="preserve"> </w:t>
      </w:r>
    </w:p>
    <w:p w14:paraId="6C00FE86" w14:textId="77777777" w:rsidR="00666C5E" w:rsidRPr="00A10850" w:rsidRDefault="00A931C2" w:rsidP="00DC54F7">
      <w:pPr>
        <w:pStyle w:val="ListParagraph"/>
        <w:numPr>
          <w:ilvl w:val="0"/>
          <w:numId w:val="31"/>
        </w:numPr>
        <w:spacing w:after="0" w:line="240" w:lineRule="auto"/>
        <w:jc w:val="both"/>
        <w:rPr>
          <w:rFonts w:ascii="Arial" w:hAnsi="Arial" w:cs="Arial"/>
        </w:rPr>
      </w:pPr>
      <w:r w:rsidRPr="00A10850">
        <w:rPr>
          <w:rFonts w:ascii="Arial" w:hAnsi="Arial" w:cs="Arial"/>
        </w:rPr>
        <w:t>T</w:t>
      </w:r>
      <w:r w:rsidR="00666C5E" w:rsidRPr="00A10850">
        <w:rPr>
          <w:rFonts w:ascii="Arial" w:hAnsi="Arial" w:cs="Arial"/>
        </w:rPr>
        <w:t>he proper and effective administration of drugs a</w:t>
      </w:r>
      <w:r w:rsidRPr="00A10850">
        <w:rPr>
          <w:rFonts w:ascii="Arial" w:hAnsi="Arial" w:cs="Arial"/>
        </w:rPr>
        <w:t>nd appliances in the care home</w:t>
      </w:r>
    </w:p>
    <w:p w14:paraId="7D314D8B" w14:textId="77777777" w:rsidR="00666C5E" w:rsidRPr="00A10850" w:rsidRDefault="00A931C2" w:rsidP="00DC54F7">
      <w:pPr>
        <w:pStyle w:val="ListParagraph"/>
        <w:numPr>
          <w:ilvl w:val="0"/>
          <w:numId w:val="31"/>
        </w:numPr>
        <w:spacing w:after="0" w:line="240" w:lineRule="auto"/>
        <w:jc w:val="both"/>
        <w:rPr>
          <w:rFonts w:ascii="Arial" w:hAnsi="Arial" w:cs="Arial"/>
        </w:rPr>
      </w:pPr>
      <w:r w:rsidRPr="00A10850">
        <w:rPr>
          <w:rFonts w:ascii="Arial" w:hAnsi="Arial" w:cs="Arial"/>
        </w:rPr>
        <w:t>T</w:t>
      </w:r>
      <w:r w:rsidR="00666C5E" w:rsidRPr="00A10850">
        <w:rPr>
          <w:rFonts w:ascii="Arial" w:hAnsi="Arial" w:cs="Arial"/>
        </w:rPr>
        <w:t xml:space="preserve">he safe and appropriate storage and handling of drugs and appliances, and </w:t>
      </w:r>
    </w:p>
    <w:p w14:paraId="6778B8DE" w14:textId="77777777" w:rsidR="00666C5E" w:rsidRPr="00A10850" w:rsidRDefault="00A931C2" w:rsidP="00DC54F7">
      <w:pPr>
        <w:pStyle w:val="ListParagraph"/>
        <w:numPr>
          <w:ilvl w:val="0"/>
          <w:numId w:val="31"/>
        </w:numPr>
        <w:spacing w:after="0" w:line="240" w:lineRule="auto"/>
        <w:jc w:val="both"/>
        <w:rPr>
          <w:rFonts w:ascii="Arial" w:hAnsi="Arial" w:cs="Arial"/>
        </w:rPr>
      </w:pPr>
      <w:r w:rsidRPr="00A10850">
        <w:rPr>
          <w:rFonts w:ascii="Arial" w:hAnsi="Arial" w:cs="Arial"/>
        </w:rPr>
        <w:t>T</w:t>
      </w:r>
      <w:r w:rsidR="00666C5E" w:rsidRPr="00A10850">
        <w:rPr>
          <w:rFonts w:ascii="Arial" w:hAnsi="Arial" w:cs="Arial"/>
        </w:rPr>
        <w:t>he recording of drugs and appliances ordered, handled, administered, stored or disposed of.</w:t>
      </w:r>
    </w:p>
    <w:p w14:paraId="1D5901BB" w14:textId="77777777" w:rsidR="00666C5E" w:rsidRPr="00A10850" w:rsidRDefault="00666C5E" w:rsidP="00DC54F7">
      <w:pPr>
        <w:spacing w:after="0" w:line="240" w:lineRule="auto"/>
        <w:jc w:val="both"/>
        <w:rPr>
          <w:rFonts w:ascii="Arial" w:hAnsi="Arial" w:cs="Arial"/>
        </w:rPr>
      </w:pPr>
    </w:p>
    <w:p w14:paraId="7AA417AE" w14:textId="77777777" w:rsidR="00666C5E" w:rsidRPr="00A10850" w:rsidRDefault="00666C5E"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A disease specific management service, the under</w:t>
      </w:r>
      <w:r w:rsidR="00F3677A" w:rsidRPr="00A10850">
        <w:rPr>
          <w:rFonts w:ascii="Arial" w:hAnsi="Arial" w:cs="Arial"/>
        </w:rPr>
        <w:t>lying purpose of which is for the pharmacy contractor</w:t>
      </w:r>
      <w:r w:rsidRPr="00A10850">
        <w:rPr>
          <w:rFonts w:ascii="Arial" w:hAnsi="Arial" w:cs="Arial"/>
        </w:rPr>
        <w:t xml:space="preserve"> to advise on, support and monitor the treatment of patients with specified conditions, and where appropriate to refer the patient to another health care professional.</w:t>
      </w:r>
    </w:p>
    <w:p w14:paraId="042D699F" w14:textId="77777777" w:rsidR="00666C5E" w:rsidRPr="00A10850" w:rsidRDefault="00666C5E" w:rsidP="00DC54F7">
      <w:pPr>
        <w:spacing w:after="0" w:line="240" w:lineRule="auto"/>
        <w:ind w:left="284" w:hanging="284"/>
        <w:jc w:val="both"/>
        <w:rPr>
          <w:rFonts w:ascii="Arial" w:hAnsi="Arial" w:cs="Arial"/>
        </w:rPr>
      </w:pPr>
    </w:p>
    <w:p w14:paraId="5D39B288" w14:textId="77777777" w:rsidR="00666C5E" w:rsidRPr="00A10850" w:rsidRDefault="00666C5E"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A gluten free food supply service, the underlying purpose of which is for the pharmacy contractor to supply gluten free foods to patients.</w:t>
      </w:r>
    </w:p>
    <w:p w14:paraId="0982E6F9" w14:textId="77777777" w:rsidR="00A305E5" w:rsidRPr="00A10850" w:rsidRDefault="00A305E5" w:rsidP="00DC54F7">
      <w:pPr>
        <w:pStyle w:val="ListParagraph"/>
        <w:spacing w:after="0" w:line="240" w:lineRule="auto"/>
        <w:ind w:left="284"/>
        <w:jc w:val="both"/>
        <w:rPr>
          <w:rFonts w:ascii="Arial" w:hAnsi="Arial" w:cs="Arial"/>
        </w:rPr>
      </w:pPr>
    </w:p>
    <w:p w14:paraId="7DE39095" w14:textId="77777777" w:rsidR="00666C5E" w:rsidRPr="00A10850" w:rsidRDefault="00666C5E"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A home delivery service, the underlying purpose of which is for the pharmacy contractor t</w:t>
      </w:r>
      <w:r w:rsidR="001612B1" w:rsidRPr="00A10850">
        <w:rPr>
          <w:rFonts w:ascii="Arial" w:hAnsi="Arial" w:cs="Arial"/>
        </w:rPr>
        <w:t xml:space="preserve">o deliver </w:t>
      </w:r>
      <w:r w:rsidR="00F3677A" w:rsidRPr="00A10850">
        <w:rPr>
          <w:rFonts w:ascii="Arial" w:hAnsi="Arial" w:cs="Arial"/>
        </w:rPr>
        <w:t>drugs</w:t>
      </w:r>
      <w:r w:rsidRPr="00A10850">
        <w:rPr>
          <w:rFonts w:ascii="Arial" w:hAnsi="Arial" w:cs="Arial"/>
        </w:rPr>
        <w:t xml:space="preserve"> and appliances</w:t>
      </w:r>
      <w:r w:rsidR="00D32CF7">
        <w:rPr>
          <w:rFonts w:ascii="Arial" w:hAnsi="Arial" w:cs="Arial"/>
        </w:rPr>
        <w:t xml:space="preserve"> (other than ‘specified appliances’)</w:t>
      </w:r>
      <w:r w:rsidRPr="00A10850">
        <w:rPr>
          <w:rFonts w:ascii="Arial" w:hAnsi="Arial" w:cs="Arial"/>
        </w:rPr>
        <w:t xml:space="preserve"> </w:t>
      </w:r>
      <w:r w:rsidR="00F3677A" w:rsidRPr="00A10850">
        <w:rPr>
          <w:rFonts w:ascii="Arial" w:hAnsi="Arial" w:cs="Arial"/>
        </w:rPr>
        <w:t>to patients at their home</w:t>
      </w:r>
      <w:r w:rsidR="001612B1" w:rsidRPr="00A10850">
        <w:rPr>
          <w:rFonts w:ascii="Arial" w:hAnsi="Arial" w:cs="Arial"/>
        </w:rPr>
        <w:t>.</w:t>
      </w:r>
      <w:r w:rsidRPr="00A10850">
        <w:rPr>
          <w:rFonts w:ascii="Arial" w:hAnsi="Arial" w:cs="Arial"/>
        </w:rPr>
        <w:t xml:space="preserve"> </w:t>
      </w:r>
    </w:p>
    <w:p w14:paraId="1E2E91D4" w14:textId="77777777" w:rsidR="00666C5E" w:rsidRPr="00A10850" w:rsidRDefault="00666C5E" w:rsidP="00DC54F7">
      <w:pPr>
        <w:spacing w:after="0" w:line="240" w:lineRule="auto"/>
        <w:jc w:val="both"/>
        <w:rPr>
          <w:rFonts w:ascii="Arial" w:hAnsi="Arial" w:cs="Arial"/>
        </w:rPr>
      </w:pPr>
    </w:p>
    <w:p w14:paraId="7B9D227E" w14:textId="77777777" w:rsidR="00666C5E" w:rsidRPr="00A10850" w:rsidRDefault="00666C5E"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 xml:space="preserve">A language access service, the underlying purpose of which is for </w:t>
      </w:r>
      <w:r w:rsidR="00F3677A" w:rsidRPr="00A10850">
        <w:rPr>
          <w:rFonts w:ascii="Arial" w:hAnsi="Arial" w:cs="Arial"/>
        </w:rPr>
        <w:t>the pharmacy contractor</w:t>
      </w:r>
      <w:r w:rsidRPr="00A10850">
        <w:rPr>
          <w:rFonts w:ascii="Arial" w:hAnsi="Arial" w:cs="Arial"/>
        </w:rPr>
        <w:t xml:space="preserve"> to provide, either orally or in writing, advice and support to patients in a language understood by them relating to— </w:t>
      </w:r>
    </w:p>
    <w:p w14:paraId="5641299E" w14:textId="77777777" w:rsidR="00666C5E" w:rsidRPr="00A10850" w:rsidRDefault="00666C5E" w:rsidP="00DC54F7">
      <w:pPr>
        <w:spacing w:after="0" w:line="240" w:lineRule="auto"/>
        <w:jc w:val="both"/>
        <w:rPr>
          <w:rFonts w:ascii="Arial" w:hAnsi="Arial" w:cs="Arial"/>
        </w:rPr>
      </w:pPr>
    </w:p>
    <w:p w14:paraId="1CE67754" w14:textId="77777777" w:rsidR="00666C5E" w:rsidRPr="00A10850" w:rsidRDefault="00A931C2" w:rsidP="00DC54F7">
      <w:pPr>
        <w:pStyle w:val="ListParagraph"/>
        <w:numPr>
          <w:ilvl w:val="0"/>
          <w:numId w:val="32"/>
        </w:numPr>
        <w:spacing w:after="0" w:line="240" w:lineRule="auto"/>
        <w:jc w:val="both"/>
        <w:rPr>
          <w:rFonts w:ascii="Arial" w:hAnsi="Arial" w:cs="Arial"/>
        </w:rPr>
      </w:pPr>
      <w:r w:rsidRPr="00A10850">
        <w:rPr>
          <w:rFonts w:ascii="Arial" w:hAnsi="Arial" w:cs="Arial"/>
        </w:rPr>
        <w:t>Drugs which they are using</w:t>
      </w:r>
    </w:p>
    <w:p w14:paraId="507C9EB1" w14:textId="77777777" w:rsidR="001612B1" w:rsidRPr="00A10850" w:rsidRDefault="00A931C2" w:rsidP="00DC54F7">
      <w:pPr>
        <w:pStyle w:val="ListParagraph"/>
        <w:numPr>
          <w:ilvl w:val="0"/>
          <w:numId w:val="32"/>
        </w:numPr>
        <w:spacing w:after="0" w:line="240" w:lineRule="auto"/>
        <w:jc w:val="both"/>
        <w:rPr>
          <w:rFonts w:ascii="Arial" w:hAnsi="Arial" w:cs="Arial"/>
        </w:rPr>
      </w:pPr>
      <w:r w:rsidRPr="00A10850">
        <w:rPr>
          <w:rFonts w:ascii="Arial" w:hAnsi="Arial" w:cs="Arial"/>
        </w:rPr>
        <w:t>T</w:t>
      </w:r>
      <w:r w:rsidR="00666C5E" w:rsidRPr="00A10850">
        <w:rPr>
          <w:rFonts w:ascii="Arial" w:hAnsi="Arial" w:cs="Arial"/>
        </w:rPr>
        <w:t xml:space="preserve">heir health, and </w:t>
      </w:r>
    </w:p>
    <w:p w14:paraId="57E0C996" w14:textId="77777777" w:rsidR="00F3677A" w:rsidRPr="00A10850" w:rsidRDefault="00A931C2" w:rsidP="00DC54F7">
      <w:pPr>
        <w:pStyle w:val="ListParagraph"/>
        <w:numPr>
          <w:ilvl w:val="0"/>
          <w:numId w:val="32"/>
        </w:numPr>
        <w:spacing w:after="0" w:line="240" w:lineRule="auto"/>
        <w:jc w:val="both"/>
        <w:rPr>
          <w:rFonts w:ascii="Arial" w:hAnsi="Arial" w:cs="Arial"/>
        </w:rPr>
      </w:pPr>
      <w:r w:rsidRPr="00A10850">
        <w:rPr>
          <w:rFonts w:ascii="Arial" w:hAnsi="Arial" w:cs="Arial"/>
        </w:rPr>
        <w:t>G</w:t>
      </w:r>
      <w:r w:rsidR="00666C5E" w:rsidRPr="00A10850">
        <w:rPr>
          <w:rFonts w:ascii="Arial" w:hAnsi="Arial" w:cs="Arial"/>
        </w:rPr>
        <w:t xml:space="preserve">eneral health matters relevant to them, </w:t>
      </w:r>
    </w:p>
    <w:p w14:paraId="65A25ECD" w14:textId="77777777" w:rsidR="00F3677A" w:rsidRPr="00A10850" w:rsidRDefault="00F3677A" w:rsidP="00DC54F7">
      <w:pPr>
        <w:spacing w:after="0" w:line="240" w:lineRule="auto"/>
        <w:ind w:left="360"/>
        <w:jc w:val="both"/>
        <w:rPr>
          <w:rFonts w:ascii="Arial" w:hAnsi="Arial" w:cs="Arial"/>
        </w:rPr>
      </w:pPr>
    </w:p>
    <w:p w14:paraId="211BBA1D" w14:textId="77777777" w:rsidR="00666C5E" w:rsidRPr="00A10850" w:rsidRDefault="00666C5E" w:rsidP="00DC54F7">
      <w:pPr>
        <w:spacing w:after="0" w:line="240" w:lineRule="auto"/>
        <w:ind w:left="360"/>
        <w:jc w:val="both"/>
        <w:rPr>
          <w:rFonts w:ascii="Arial" w:hAnsi="Arial" w:cs="Arial"/>
        </w:rPr>
      </w:pPr>
      <w:r w:rsidRPr="00A10850">
        <w:rPr>
          <w:rFonts w:ascii="Arial" w:hAnsi="Arial" w:cs="Arial"/>
        </w:rPr>
        <w:t>and where appropriate referral to another health care professional.</w:t>
      </w:r>
    </w:p>
    <w:p w14:paraId="3FBFA3A2" w14:textId="77777777" w:rsidR="00666C5E" w:rsidRPr="00A10850" w:rsidRDefault="00666C5E" w:rsidP="00DC54F7">
      <w:pPr>
        <w:spacing w:after="0" w:line="240" w:lineRule="auto"/>
        <w:jc w:val="both"/>
        <w:rPr>
          <w:rFonts w:ascii="Arial" w:hAnsi="Arial" w:cs="Arial"/>
        </w:rPr>
      </w:pPr>
    </w:p>
    <w:p w14:paraId="35F54110" w14:textId="77777777" w:rsidR="00666C5E" w:rsidRPr="00A10850" w:rsidRDefault="00666C5E"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 xml:space="preserve">A medication review service, the underlying purpose of which is for </w:t>
      </w:r>
      <w:r w:rsidR="00F3677A" w:rsidRPr="00A10850">
        <w:rPr>
          <w:rFonts w:ascii="Arial" w:hAnsi="Arial" w:cs="Arial"/>
        </w:rPr>
        <w:t xml:space="preserve">the pharmacy contractor to </w:t>
      </w:r>
      <w:r w:rsidRPr="00A10850">
        <w:rPr>
          <w:rFonts w:ascii="Arial" w:hAnsi="Arial" w:cs="Arial"/>
        </w:rPr>
        <w:t xml:space="preserve">— </w:t>
      </w:r>
    </w:p>
    <w:p w14:paraId="1CCDDA08" w14:textId="77777777" w:rsidR="00666C5E" w:rsidRPr="00A10850" w:rsidRDefault="00666C5E" w:rsidP="00DC54F7">
      <w:pPr>
        <w:spacing w:after="0" w:line="240" w:lineRule="auto"/>
        <w:jc w:val="both"/>
        <w:rPr>
          <w:rFonts w:ascii="Arial" w:hAnsi="Arial" w:cs="Arial"/>
        </w:rPr>
      </w:pPr>
    </w:p>
    <w:p w14:paraId="203228DE" w14:textId="77777777" w:rsidR="00666C5E" w:rsidRPr="00A10850" w:rsidRDefault="00F3677A" w:rsidP="00DC54F7">
      <w:pPr>
        <w:pStyle w:val="ListParagraph"/>
        <w:numPr>
          <w:ilvl w:val="0"/>
          <w:numId w:val="33"/>
        </w:numPr>
        <w:spacing w:after="0" w:line="240" w:lineRule="auto"/>
        <w:jc w:val="both"/>
        <w:rPr>
          <w:rFonts w:ascii="Arial" w:hAnsi="Arial" w:cs="Arial"/>
        </w:rPr>
      </w:pPr>
      <w:r w:rsidRPr="00A10850">
        <w:rPr>
          <w:rFonts w:ascii="Arial" w:hAnsi="Arial" w:cs="Arial"/>
        </w:rPr>
        <w:t>C</w:t>
      </w:r>
      <w:r w:rsidR="00666C5E" w:rsidRPr="00A10850">
        <w:rPr>
          <w:rFonts w:ascii="Arial" w:hAnsi="Arial" w:cs="Arial"/>
        </w:rPr>
        <w:t>onduct a review of the drugs used by a patient on the basis of information and test results includ</w:t>
      </w:r>
      <w:r w:rsidRPr="00A10850">
        <w:rPr>
          <w:rFonts w:ascii="Arial" w:hAnsi="Arial" w:cs="Arial"/>
        </w:rPr>
        <w:t xml:space="preserve">ed in the patient’s care record, with </w:t>
      </w:r>
      <w:r w:rsidR="00666C5E" w:rsidRPr="00A10850">
        <w:rPr>
          <w:rFonts w:ascii="Arial" w:hAnsi="Arial" w:cs="Arial"/>
        </w:rPr>
        <w:t xml:space="preserve">the objective of considering the continued appropriateness and effectiveness of the drugs for the patient, </w:t>
      </w:r>
    </w:p>
    <w:p w14:paraId="3F569CD2" w14:textId="77777777" w:rsidR="00666C5E" w:rsidRPr="00A10850" w:rsidRDefault="00F3677A" w:rsidP="00DC54F7">
      <w:pPr>
        <w:pStyle w:val="ListParagraph"/>
        <w:numPr>
          <w:ilvl w:val="0"/>
          <w:numId w:val="33"/>
        </w:numPr>
        <w:spacing w:after="0" w:line="240" w:lineRule="auto"/>
        <w:jc w:val="both"/>
        <w:rPr>
          <w:rFonts w:ascii="Arial" w:hAnsi="Arial" w:cs="Arial"/>
        </w:rPr>
      </w:pPr>
      <w:r w:rsidRPr="00A10850">
        <w:rPr>
          <w:rFonts w:ascii="Arial" w:hAnsi="Arial" w:cs="Arial"/>
        </w:rPr>
        <w:t>A</w:t>
      </w:r>
      <w:r w:rsidR="00666C5E" w:rsidRPr="00A10850">
        <w:rPr>
          <w:rFonts w:ascii="Arial" w:hAnsi="Arial" w:cs="Arial"/>
        </w:rPr>
        <w:t xml:space="preserve">dvise and support the patient regarding their use of drugs, including encouraging the active participation of the patient in decision making relating to their use of drugs, and </w:t>
      </w:r>
    </w:p>
    <w:p w14:paraId="78CB0BC3" w14:textId="77777777" w:rsidR="00666C5E" w:rsidRPr="00A10850" w:rsidRDefault="00A931C2" w:rsidP="00DC54F7">
      <w:pPr>
        <w:pStyle w:val="ListParagraph"/>
        <w:numPr>
          <w:ilvl w:val="0"/>
          <w:numId w:val="33"/>
        </w:numPr>
        <w:spacing w:after="0" w:line="240" w:lineRule="auto"/>
        <w:jc w:val="both"/>
        <w:rPr>
          <w:rFonts w:ascii="Arial" w:hAnsi="Arial" w:cs="Arial"/>
        </w:rPr>
      </w:pPr>
      <w:r w:rsidRPr="00A10850">
        <w:rPr>
          <w:rFonts w:ascii="Arial" w:hAnsi="Arial" w:cs="Arial"/>
        </w:rPr>
        <w:t>W</w:t>
      </w:r>
      <w:r w:rsidR="00666C5E" w:rsidRPr="00A10850">
        <w:rPr>
          <w:rFonts w:ascii="Arial" w:hAnsi="Arial" w:cs="Arial"/>
        </w:rPr>
        <w:t>here appropriate, to refer the patient to another health care professional.</w:t>
      </w:r>
    </w:p>
    <w:p w14:paraId="208F3220" w14:textId="77777777" w:rsidR="00666C5E" w:rsidRPr="00A10850" w:rsidRDefault="00666C5E" w:rsidP="00DC54F7">
      <w:pPr>
        <w:spacing w:after="0" w:line="240" w:lineRule="auto"/>
        <w:jc w:val="both"/>
        <w:rPr>
          <w:rFonts w:ascii="Arial" w:hAnsi="Arial" w:cs="Arial"/>
        </w:rPr>
      </w:pPr>
    </w:p>
    <w:p w14:paraId="3082B9E3" w14:textId="77777777" w:rsidR="00666C5E" w:rsidRPr="00A10850" w:rsidRDefault="00666C5E"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 xml:space="preserve">A medicines assessment and compliance support service, the underlying purpose of which is for the pharmacy contractor </w:t>
      </w:r>
      <w:r w:rsidR="00A43AF4" w:rsidRPr="00A10850">
        <w:rPr>
          <w:rFonts w:ascii="Arial" w:hAnsi="Arial" w:cs="Arial"/>
        </w:rPr>
        <w:t xml:space="preserve">to </w:t>
      </w:r>
      <w:r w:rsidRPr="00A10850">
        <w:rPr>
          <w:rFonts w:ascii="Arial" w:hAnsi="Arial" w:cs="Arial"/>
        </w:rPr>
        <w:t xml:space="preserve">— </w:t>
      </w:r>
    </w:p>
    <w:p w14:paraId="2221FF26" w14:textId="77777777" w:rsidR="00666C5E" w:rsidRPr="00A10850" w:rsidRDefault="00666C5E" w:rsidP="00DC54F7">
      <w:pPr>
        <w:spacing w:after="0" w:line="240" w:lineRule="auto"/>
        <w:jc w:val="both"/>
        <w:rPr>
          <w:rFonts w:ascii="Arial" w:hAnsi="Arial" w:cs="Arial"/>
        </w:rPr>
      </w:pPr>
    </w:p>
    <w:p w14:paraId="0D462BCD" w14:textId="6BCE4168" w:rsidR="00666C5E" w:rsidRPr="00A10850" w:rsidRDefault="00A43AF4" w:rsidP="00DC54F7">
      <w:pPr>
        <w:pStyle w:val="ListParagraph"/>
        <w:numPr>
          <w:ilvl w:val="0"/>
          <w:numId w:val="34"/>
        </w:numPr>
        <w:spacing w:after="0" w:line="240" w:lineRule="auto"/>
        <w:jc w:val="both"/>
        <w:rPr>
          <w:rFonts w:ascii="Arial" w:hAnsi="Arial" w:cs="Arial"/>
        </w:rPr>
      </w:pPr>
      <w:r w:rsidRPr="00A10850">
        <w:rPr>
          <w:rFonts w:ascii="Arial" w:hAnsi="Arial" w:cs="Arial"/>
        </w:rPr>
        <w:t>A</w:t>
      </w:r>
      <w:r w:rsidR="00666C5E" w:rsidRPr="00A10850">
        <w:rPr>
          <w:rFonts w:ascii="Arial" w:hAnsi="Arial" w:cs="Arial"/>
        </w:rPr>
        <w:t xml:space="preserve">ssess the knowledge </w:t>
      </w:r>
      <w:r w:rsidR="00F56E8C" w:rsidRPr="00A10850">
        <w:rPr>
          <w:rFonts w:ascii="Arial" w:hAnsi="Arial" w:cs="Arial"/>
        </w:rPr>
        <w:t>of</w:t>
      </w:r>
      <w:r w:rsidRPr="00A10850">
        <w:rPr>
          <w:rFonts w:ascii="Arial" w:hAnsi="Arial" w:cs="Arial"/>
        </w:rPr>
        <w:t xml:space="preserve"> compliance with and use of,</w:t>
      </w:r>
      <w:r w:rsidR="00666C5E" w:rsidRPr="00A10850">
        <w:rPr>
          <w:rFonts w:ascii="Arial" w:hAnsi="Arial" w:cs="Arial"/>
        </w:rPr>
        <w:t xml:space="preserve"> drugs</w:t>
      </w:r>
      <w:r w:rsidRPr="00A10850">
        <w:rPr>
          <w:rFonts w:ascii="Arial" w:hAnsi="Arial" w:cs="Arial"/>
        </w:rPr>
        <w:t xml:space="preserve"> by</w:t>
      </w:r>
      <w:r w:rsidR="00666C5E" w:rsidRPr="00A10850">
        <w:rPr>
          <w:rFonts w:ascii="Arial" w:hAnsi="Arial" w:cs="Arial"/>
        </w:rPr>
        <w:t xml:space="preserve"> vulnerable patients and patients with special needs, and </w:t>
      </w:r>
    </w:p>
    <w:p w14:paraId="580B0687" w14:textId="1A703871" w:rsidR="00666C5E" w:rsidRPr="00A10850" w:rsidRDefault="00A43AF4" w:rsidP="00DC54F7">
      <w:pPr>
        <w:pStyle w:val="ListParagraph"/>
        <w:numPr>
          <w:ilvl w:val="0"/>
          <w:numId w:val="34"/>
        </w:numPr>
        <w:spacing w:after="0" w:line="240" w:lineRule="auto"/>
        <w:jc w:val="both"/>
        <w:rPr>
          <w:rFonts w:ascii="Arial" w:hAnsi="Arial" w:cs="Arial"/>
        </w:rPr>
      </w:pPr>
      <w:r w:rsidRPr="00A10850">
        <w:rPr>
          <w:rFonts w:ascii="Arial" w:hAnsi="Arial" w:cs="Arial"/>
        </w:rPr>
        <w:lastRenderedPageBreak/>
        <w:t>O</w:t>
      </w:r>
      <w:r w:rsidR="00666C5E" w:rsidRPr="00A10850">
        <w:rPr>
          <w:rFonts w:ascii="Arial" w:hAnsi="Arial" w:cs="Arial"/>
        </w:rPr>
        <w:t>ffer advice, support and assistance to vulnerable patients and patients with special ne</w:t>
      </w:r>
      <w:r w:rsidRPr="00A10850">
        <w:rPr>
          <w:rFonts w:ascii="Arial" w:hAnsi="Arial" w:cs="Arial"/>
        </w:rPr>
        <w:t xml:space="preserve">eds regarding the use of drugs </w:t>
      </w:r>
      <w:r w:rsidR="00666C5E" w:rsidRPr="00A10850">
        <w:rPr>
          <w:rFonts w:ascii="Arial" w:hAnsi="Arial" w:cs="Arial"/>
        </w:rPr>
        <w:t>with a view to improving their knowledge</w:t>
      </w:r>
      <w:r w:rsidRPr="00A10850">
        <w:rPr>
          <w:rFonts w:ascii="Arial" w:hAnsi="Arial" w:cs="Arial"/>
        </w:rPr>
        <w:t xml:space="preserve"> </w:t>
      </w:r>
      <w:r w:rsidR="00F56E8C" w:rsidRPr="00A10850">
        <w:rPr>
          <w:rFonts w:ascii="Arial" w:hAnsi="Arial" w:cs="Arial"/>
        </w:rPr>
        <w:t>of</w:t>
      </w:r>
      <w:r w:rsidRPr="00A10850">
        <w:rPr>
          <w:rFonts w:ascii="Arial" w:hAnsi="Arial" w:cs="Arial"/>
        </w:rPr>
        <w:t xml:space="preserve"> compliance with and use of, such drugs</w:t>
      </w:r>
      <w:r w:rsidR="00666C5E" w:rsidRPr="00A10850">
        <w:rPr>
          <w:rFonts w:ascii="Arial" w:hAnsi="Arial" w:cs="Arial"/>
        </w:rPr>
        <w:t>.</w:t>
      </w:r>
    </w:p>
    <w:p w14:paraId="3A064595" w14:textId="77777777" w:rsidR="00666C5E" w:rsidRPr="00A10850" w:rsidRDefault="00666C5E" w:rsidP="00DC54F7">
      <w:pPr>
        <w:spacing w:after="0" w:line="240" w:lineRule="auto"/>
        <w:jc w:val="both"/>
        <w:rPr>
          <w:rFonts w:ascii="Arial" w:hAnsi="Arial" w:cs="Arial"/>
        </w:rPr>
      </w:pPr>
    </w:p>
    <w:p w14:paraId="1DA8251F" w14:textId="77777777" w:rsidR="00666C5E" w:rsidRPr="00A10850" w:rsidRDefault="00666C5E"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 xml:space="preserve">A minor ailment scheme, the underlying purpose of which is for the pharmacy contractor to provide advice and support to eligible patients </w:t>
      </w:r>
      <w:r w:rsidR="00A43AF4" w:rsidRPr="00A10850">
        <w:rPr>
          <w:rFonts w:ascii="Arial" w:hAnsi="Arial" w:cs="Arial"/>
        </w:rPr>
        <w:t xml:space="preserve">complaining of </w:t>
      </w:r>
      <w:r w:rsidRPr="00A10850">
        <w:rPr>
          <w:rFonts w:ascii="Arial" w:hAnsi="Arial" w:cs="Arial"/>
        </w:rPr>
        <w:t>a minor ailment, and where appropriate to supply drugs to the patient for the treatment of the minor ailment.</w:t>
      </w:r>
    </w:p>
    <w:p w14:paraId="56A4CE62" w14:textId="77777777" w:rsidR="00666C5E" w:rsidRPr="00A10850" w:rsidRDefault="00666C5E" w:rsidP="00DC54F7">
      <w:pPr>
        <w:spacing w:after="0" w:line="240" w:lineRule="auto"/>
        <w:ind w:left="284" w:hanging="284"/>
        <w:jc w:val="both"/>
        <w:rPr>
          <w:rFonts w:ascii="Arial" w:hAnsi="Arial" w:cs="Arial"/>
        </w:rPr>
      </w:pPr>
    </w:p>
    <w:p w14:paraId="0B8E6151" w14:textId="77777777" w:rsidR="00666C5E" w:rsidRPr="00A10850" w:rsidRDefault="00666C5E"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 xml:space="preserve">A needle and syringe exchange service, the underlying purpose of which is for </w:t>
      </w:r>
      <w:r w:rsidR="00A43AF4" w:rsidRPr="00A10850">
        <w:rPr>
          <w:rFonts w:ascii="Arial" w:hAnsi="Arial" w:cs="Arial"/>
        </w:rPr>
        <w:t xml:space="preserve">the pharmacy contractor to </w:t>
      </w:r>
      <w:r w:rsidRPr="00A10850">
        <w:rPr>
          <w:rFonts w:ascii="Arial" w:hAnsi="Arial" w:cs="Arial"/>
        </w:rPr>
        <w:t xml:space="preserve">— </w:t>
      </w:r>
    </w:p>
    <w:p w14:paraId="7038207D" w14:textId="77777777" w:rsidR="00666C5E" w:rsidRPr="00A10850" w:rsidRDefault="00666C5E" w:rsidP="00DC54F7">
      <w:pPr>
        <w:spacing w:after="0" w:line="240" w:lineRule="auto"/>
        <w:ind w:hanging="284"/>
        <w:jc w:val="both"/>
        <w:rPr>
          <w:rFonts w:ascii="Arial" w:hAnsi="Arial" w:cs="Arial"/>
        </w:rPr>
      </w:pPr>
    </w:p>
    <w:p w14:paraId="344340DD" w14:textId="77777777" w:rsidR="00666C5E" w:rsidRPr="00A10850" w:rsidRDefault="00A43AF4" w:rsidP="00DC54F7">
      <w:pPr>
        <w:pStyle w:val="ListParagraph"/>
        <w:numPr>
          <w:ilvl w:val="0"/>
          <w:numId w:val="35"/>
        </w:numPr>
        <w:spacing w:after="0" w:line="240" w:lineRule="auto"/>
        <w:ind w:hanging="284"/>
        <w:jc w:val="both"/>
        <w:rPr>
          <w:rFonts w:ascii="Arial" w:hAnsi="Arial" w:cs="Arial"/>
        </w:rPr>
      </w:pPr>
      <w:r w:rsidRPr="00A10850">
        <w:rPr>
          <w:rFonts w:ascii="Arial" w:hAnsi="Arial" w:cs="Arial"/>
        </w:rPr>
        <w:t>P</w:t>
      </w:r>
      <w:r w:rsidR="00666C5E" w:rsidRPr="00A10850">
        <w:rPr>
          <w:rFonts w:ascii="Arial" w:hAnsi="Arial" w:cs="Arial"/>
        </w:rPr>
        <w:t>rovide sterile needles, syringes and associ</w:t>
      </w:r>
      <w:r w:rsidR="00A931C2" w:rsidRPr="00A10850">
        <w:rPr>
          <w:rFonts w:ascii="Arial" w:hAnsi="Arial" w:cs="Arial"/>
        </w:rPr>
        <w:t>ated materials to drug misusers</w:t>
      </w:r>
      <w:r w:rsidR="00666C5E" w:rsidRPr="00A10850">
        <w:rPr>
          <w:rFonts w:ascii="Arial" w:hAnsi="Arial" w:cs="Arial"/>
        </w:rPr>
        <w:t xml:space="preserve"> </w:t>
      </w:r>
    </w:p>
    <w:p w14:paraId="131C3607" w14:textId="77777777" w:rsidR="00666C5E" w:rsidRPr="00A10850" w:rsidRDefault="00A43AF4" w:rsidP="00DC54F7">
      <w:pPr>
        <w:pStyle w:val="ListParagraph"/>
        <w:numPr>
          <w:ilvl w:val="0"/>
          <w:numId w:val="35"/>
        </w:numPr>
        <w:spacing w:after="0" w:line="240" w:lineRule="auto"/>
        <w:ind w:hanging="284"/>
        <w:jc w:val="both"/>
        <w:rPr>
          <w:rFonts w:ascii="Arial" w:hAnsi="Arial" w:cs="Arial"/>
        </w:rPr>
      </w:pPr>
      <w:r w:rsidRPr="00A10850">
        <w:rPr>
          <w:rFonts w:ascii="Arial" w:hAnsi="Arial" w:cs="Arial"/>
        </w:rPr>
        <w:t>R</w:t>
      </w:r>
      <w:r w:rsidR="00666C5E" w:rsidRPr="00A10850">
        <w:rPr>
          <w:rFonts w:ascii="Arial" w:hAnsi="Arial" w:cs="Arial"/>
        </w:rPr>
        <w:t xml:space="preserve">eceive from drug misusers used needles, syringes and associated materials, and </w:t>
      </w:r>
    </w:p>
    <w:p w14:paraId="3C5178EB" w14:textId="77777777" w:rsidR="00666C5E" w:rsidRPr="00A10850" w:rsidRDefault="00A43AF4" w:rsidP="00DC54F7">
      <w:pPr>
        <w:pStyle w:val="ListParagraph"/>
        <w:numPr>
          <w:ilvl w:val="0"/>
          <w:numId w:val="35"/>
        </w:numPr>
        <w:spacing w:after="0" w:line="240" w:lineRule="auto"/>
        <w:ind w:hanging="284"/>
        <w:jc w:val="both"/>
        <w:rPr>
          <w:rFonts w:ascii="Arial" w:hAnsi="Arial" w:cs="Arial"/>
        </w:rPr>
      </w:pPr>
      <w:r w:rsidRPr="00A10850">
        <w:rPr>
          <w:rFonts w:ascii="Arial" w:hAnsi="Arial" w:cs="Arial"/>
        </w:rPr>
        <w:t>O</w:t>
      </w:r>
      <w:r w:rsidR="00666C5E" w:rsidRPr="00A10850">
        <w:rPr>
          <w:rFonts w:ascii="Arial" w:hAnsi="Arial" w:cs="Arial"/>
        </w:rPr>
        <w:t>ffer advice to drug misusers and where appropriate refe</w:t>
      </w:r>
      <w:r w:rsidRPr="00A10850">
        <w:rPr>
          <w:rFonts w:ascii="Arial" w:hAnsi="Arial" w:cs="Arial"/>
        </w:rPr>
        <w:t>r</w:t>
      </w:r>
      <w:r w:rsidR="00666C5E" w:rsidRPr="00A10850">
        <w:rPr>
          <w:rFonts w:ascii="Arial" w:hAnsi="Arial" w:cs="Arial"/>
        </w:rPr>
        <w:t>r</w:t>
      </w:r>
      <w:r w:rsidRPr="00A10850">
        <w:rPr>
          <w:rFonts w:ascii="Arial" w:hAnsi="Arial" w:cs="Arial"/>
        </w:rPr>
        <w:t xml:space="preserve">al </w:t>
      </w:r>
      <w:r w:rsidR="00666C5E" w:rsidRPr="00A10850">
        <w:rPr>
          <w:rFonts w:ascii="Arial" w:hAnsi="Arial" w:cs="Arial"/>
        </w:rPr>
        <w:t>to another health care professional or a s</w:t>
      </w:r>
      <w:r w:rsidR="001612B1" w:rsidRPr="00A10850">
        <w:rPr>
          <w:rFonts w:ascii="Arial" w:hAnsi="Arial" w:cs="Arial"/>
        </w:rPr>
        <w:t>pecialist drug treatment centre.</w:t>
      </w:r>
      <w:r w:rsidR="00666C5E" w:rsidRPr="00A10850">
        <w:rPr>
          <w:rFonts w:ascii="Arial" w:hAnsi="Arial" w:cs="Arial"/>
        </w:rPr>
        <w:t xml:space="preserve"> </w:t>
      </w:r>
    </w:p>
    <w:p w14:paraId="1C98A910" w14:textId="77777777" w:rsidR="00666C5E" w:rsidRPr="00A10850" w:rsidRDefault="00666C5E" w:rsidP="00DC54F7">
      <w:pPr>
        <w:spacing w:after="0" w:line="240" w:lineRule="auto"/>
        <w:ind w:hanging="284"/>
        <w:jc w:val="both"/>
        <w:rPr>
          <w:rFonts w:ascii="Arial" w:hAnsi="Arial" w:cs="Arial"/>
        </w:rPr>
      </w:pPr>
    </w:p>
    <w:p w14:paraId="279A8E8D" w14:textId="77777777" w:rsidR="00666C5E" w:rsidRPr="00A10850" w:rsidRDefault="00666C5E"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An on demand availability of specialist drugs service, the underlying purpose of which is for the pharmacy contractor to ensure that patients or health care professionals have prompt access to specialist drugs.</w:t>
      </w:r>
    </w:p>
    <w:p w14:paraId="6F5B727D" w14:textId="77777777" w:rsidR="00666C5E" w:rsidRPr="00A10850" w:rsidRDefault="00666C5E" w:rsidP="00DC54F7">
      <w:pPr>
        <w:spacing w:after="0" w:line="240" w:lineRule="auto"/>
        <w:ind w:left="284" w:hanging="284"/>
        <w:jc w:val="both"/>
        <w:rPr>
          <w:rFonts w:ascii="Arial" w:hAnsi="Arial" w:cs="Arial"/>
        </w:rPr>
      </w:pPr>
    </w:p>
    <w:p w14:paraId="22441940" w14:textId="77777777" w:rsidR="00666C5E" w:rsidRPr="00A10850" w:rsidRDefault="00666C5E"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Out of hours services, the underlying purpose of which is for the pharmacy contractor to dispense drugs and appliances in the out of hours period (whether or not for the whole of the out of hours period).</w:t>
      </w:r>
    </w:p>
    <w:p w14:paraId="29897F33" w14:textId="77777777" w:rsidR="00666C5E" w:rsidRPr="00A10850" w:rsidRDefault="00666C5E" w:rsidP="00DC54F7">
      <w:pPr>
        <w:spacing w:after="0" w:line="240" w:lineRule="auto"/>
        <w:ind w:left="284" w:hanging="284"/>
        <w:jc w:val="both"/>
        <w:rPr>
          <w:rFonts w:ascii="Arial" w:hAnsi="Arial" w:cs="Arial"/>
        </w:rPr>
      </w:pPr>
    </w:p>
    <w:p w14:paraId="1AE17DEE" w14:textId="77777777" w:rsidR="00666C5E" w:rsidRPr="00A10850" w:rsidRDefault="00666C5E"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 xml:space="preserve">A patient group direction service, the underlying purpose of which is for </w:t>
      </w:r>
      <w:r w:rsidR="00B106AB" w:rsidRPr="00A10850">
        <w:rPr>
          <w:rFonts w:ascii="Arial" w:hAnsi="Arial" w:cs="Arial"/>
        </w:rPr>
        <w:t>the pharmacy contractor</w:t>
      </w:r>
      <w:r w:rsidRPr="00A10850">
        <w:rPr>
          <w:rFonts w:ascii="Arial" w:hAnsi="Arial" w:cs="Arial"/>
        </w:rPr>
        <w:t xml:space="preserve"> to supply </w:t>
      </w:r>
      <w:r w:rsidR="00A43AF4" w:rsidRPr="00A10850">
        <w:rPr>
          <w:rFonts w:ascii="Arial" w:hAnsi="Arial" w:cs="Arial"/>
        </w:rPr>
        <w:t>a prescription only medicine</w:t>
      </w:r>
      <w:r w:rsidRPr="00A10850">
        <w:rPr>
          <w:rFonts w:ascii="Arial" w:hAnsi="Arial" w:cs="Arial"/>
        </w:rPr>
        <w:t xml:space="preserve"> to </w:t>
      </w:r>
      <w:r w:rsidR="00A43AF4" w:rsidRPr="00A10850">
        <w:rPr>
          <w:rFonts w:ascii="Arial" w:hAnsi="Arial" w:cs="Arial"/>
        </w:rPr>
        <w:t>a patient</w:t>
      </w:r>
      <w:r w:rsidRPr="00A10850">
        <w:rPr>
          <w:rFonts w:ascii="Arial" w:hAnsi="Arial" w:cs="Arial"/>
        </w:rPr>
        <w:t xml:space="preserve"> </w:t>
      </w:r>
      <w:r w:rsidR="00B106AB" w:rsidRPr="00A10850">
        <w:rPr>
          <w:rFonts w:ascii="Arial" w:hAnsi="Arial" w:cs="Arial"/>
        </w:rPr>
        <w:t xml:space="preserve">under </w:t>
      </w:r>
      <w:r w:rsidR="00A43AF4" w:rsidRPr="00A10850">
        <w:rPr>
          <w:rFonts w:ascii="Arial" w:hAnsi="Arial" w:cs="Arial"/>
        </w:rPr>
        <w:t xml:space="preserve">a </w:t>
      </w:r>
      <w:r w:rsidR="00B106AB" w:rsidRPr="00A10850">
        <w:rPr>
          <w:rFonts w:ascii="Arial" w:hAnsi="Arial" w:cs="Arial"/>
        </w:rPr>
        <w:t>patient group direction.</w:t>
      </w:r>
    </w:p>
    <w:p w14:paraId="57A8C1FE" w14:textId="77777777" w:rsidR="00B106AB" w:rsidRPr="00A10850" w:rsidRDefault="00B106AB" w:rsidP="00DC54F7">
      <w:pPr>
        <w:spacing w:after="0" w:line="240" w:lineRule="auto"/>
        <w:ind w:left="284" w:hanging="284"/>
        <w:jc w:val="both"/>
        <w:rPr>
          <w:rFonts w:ascii="Arial" w:hAnsi="Arial" w:cs="Arial"/>
        </w:rPr>
      </w:pPr>
    </w:p>
    <w:p w14:paraId="0026FF66" w14:textId="77777777" w:rsidR="00666C5E" w:rsidRPr="00A10850" w:rsidRDefault="00B106AB"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A p</w:t>
      </w:r>
      <w:r w:rsidR="00666C5E" w:rsidRPr="00A10850">
        <w:rPr>
          <w:rFonts w:ascii="Arial" w:hAnsi="Arial" w:cs="Arial"/>
        </w:rPr>
        <w:t xml:space="preserve">rescriber </w:t>
      </w:r>
      <w:r w:rsidRPr="00A10850">
        <w:rPr>
          <w:rFonts w:ascii="Arial" w:hAnsi="Arial" w:cs="Arial"/>
        </w:rPr>
        <w:t>s</w:t>
      </w:r>
      <w:r w:rsidR="00666C5E" w:rsidRPr="00A10850">
        <w:rPr>
          <w:rFonts w:ascii="Arial" w:hAnsi="Arial" w:cs="Arial"/>
        </w:rPr>
        <w:t xml:space="preserve">upport </w:t>
      </w:r>
      <w:r w:rsidRPr="00A10850">
        <w:rPr>
          <w:rFonts w:ascii="Arial" w:hAnsi="Arial" w:cs="Arial"/>
        </w:rPr>
        <w:t>s</w:t>
      </w:r>
      <w:r w:rsidR="00666C5E" w:rsidRPr="00A10850">
        <w:rPr>
          <w:rFonts w:ascii="Arial" w:hAnsi="Arial" w:cs="Arial"/>
        </w:rPr>
        <w:t xml:space="preserve">ervice, the underlying purpose of which is for </w:t>
      </w:r>
      <w:r w:rsidRPr="00A10850">
        <w:rPr>
          <w:rFonts w:ascii="Arial" w:hAnsi="Arial" w:cs="Arial"/>
        </w:rPr>
        <w:t xml:space="preserve">the pharmacy contractor </w:t>
      </w:r>
      <w:r w:rsidR="00666C5E" w:rsidRPr="00A10850">
        <w:rPr>
          <w:rFonts w:ascii="Arial" w:hAnsi="Arial" w:cs="Arial"/>
        </w:rPr>
        <w:t xml:space="preserve">to support health care professionals who prescribe drugs, and in particular to offer advice on— </w:t>
      </w:r>
    </w:p>
    <w:p w14:paraId="7320A286" w14:textId="77777777" w:rsidR="00B106AB" w:rsidRPr="00A10850" w:rsidRDefault="00B106AB" w:rsidP="00DC54F7">
      <w:pPr>
        <w:spacing w:after="0" w:line="240" w:lineRule="auto"/>
        <w:ind w:hanging="284"/>
        <w:jc w:val="both"/>
        <w:rPr>
          <w:rFonts w:ascii="Arial" w:hAnsi="Arial" w:cs="Arial"/>
        </w:rPr>
      </w:pPr>
    </w:p>
    <w:p w14:paraId="4607F0E8" w14:textId="77777777" w:rsidR="00666C5E" w:rsidRPr="00A10850" w:rsidRDefault="00A931C2" w:rsidP="00DC54F7">
      <w:pPr>
        <w:pStyle w:val="ListParagraph"/>
        <w:numPr>
          <w:ilvl w:val="0"/>
          <w:numId w:val="36"/>
        </w:numPr>
        <w:spacing w:after="0" w:line="240" w:lineRule="auto"/>
        <w:ind w:hanging="284"/>
        <w:jc w:val="both"/>
        <w:rPr>
          <w:rFonts w:ascii="Arial" w:hAnsi="Arial" w:cs="Arial"/>
        </w:rPr>
      </w:pPr>
      <w:r w:rsidRPr="00A10850">
        <w:rPr>
          <w:rFonts w:ascii="Arial" w:hAnsi="Arial" w:cs="Arial"/>
        </w:rPr>
        <w:t>T</w:t>
      </w:r>
      <w:r w:rsidR="00666C5E" w:rsidRPr="00A10850">
        <w:rPr>
          <w:rFonts w:ascii="Arial" w:hAnsi="Arial" w:cs="Arial"/>
        </w:rPr>
        <w:t xml:space="preserve">he clinical and cost </w:t>
      </w:r>
      <w:r w:rsidRPr="00A10850">
        <w:rPr>
          <w:rFonts w:ascii="Arial" w:hAnsi="Arial" w:cs="Arial"/>
        </w:rPr>
        <w:t>effective use of drugs</w:t>
      </w:r>
    </w:p>
    <w:p w14:paraId="39B1D0AB" w14:textId="77777777" w:rsidR="00666C5E" w:rsidRPr="00A10850" w:rsidRDefault="00A931C2" w:rsidP="00DC54F7">
      <w:pPr>
        <w:pStyle w:val="ListParagraph"/>
        <w:numPr>
          <w:ilvl w:val="0"/>
          <w:numId w:val="36"/>
        </w:numPr>
        <w:spacing w:after="0" w:line="240" w:lineRule="auto"/>
        <w:ind w:hanging="284"/>
        <w:jc w:val="both"/>
        <w:rPr>
          <w:rFonts w:ascii="Arial" w:hAnsi="Arial" w:cs="Arial"/>
        </w:rPr>
      </w:pPr>
      <w:r w:rsidRPr="00A10850">
        <w:rPr>
          <w:rFonts w:ascii="Arial" w:hAnsi="Arial" w:cs="Arial"/>
        </w:rPr>
        <w:t>P</w:t>
      </w:r>
      <w:r w:rsidR="00666C5E" w:rsidRPr="00A10850">
        <w:rPr>
          <w:rFonts w:ascii="Arial" w:hAnsi="Arial" w:cs="Arial"/>
        </w:rPr>
        <w:t xml:space="preserve">rescribing policies and guidelines, and </w:t>
      </w:r>
    </w:p>
    <w:p w14:paraId="759F0889" w14:textId="77777777" w:rsidR="00666C5E" w:rsidRPr="00A10850" w:rsidRDefault="00A931C2" w:rsidP="00DC54F7">
      <w:pPr>
        <w:pStyle w:val="ListParagraph"/>
        <w:numPr>
          <w:ilvl w:val="0"/>
          <w:numId w:val="36"/>
        </w:numPr>
        <w:spacing w:after="0" w:line="240" w:lineRule="auto"/>
        <w:ind w:hanging="284"/>
        <w:jc w:val="both"/>
        <w:rPr>
          <w:rFonts w:ascii="Arial" w:hAnsi="Arial" w:cs="Arial"/>
        </w:rPr>
      </w:pPr>
      <w:r w:rsidRPr="00A10850">
        <w:rPr>
          <w:rFonts w:ascii="Arial" w:hAnsi="Arial" w:cs="Arial"/>
        </w:rPr>
        <w:t>R</w:t>
      </w:r>
      <w:r w:rsidR="00B106AB" w:rsidRPr="00A10850">
        <w:rPr>
          <w:rFonts w:ascii="Arial" w:hAnsi="Arial" w:cs="Arial"/>
        </w:rPr>
        <w:t>epeat prescribing.</w:t>
      </w:r>
    </w:p>
    <w:p w14:paraId="7117567E" w14:textId="77777777" w:rsidR="00B106AB" w:rsidRPr="00A10850" w:rsidRDefault="00B106AB" w:rsidP="00DC54F7">
      <w:pPr>
        <w:spacing w:after="0" w:line="240" w:lineRule="auto"/>
        <w:ind w:left="360" w:hanging="284"/>
        <w:jc w:val="both"/>
        <w:rPr>
          <w:rFonts w:ascii="Arial" w:hAnsi="Arial" w:cs="Arial"/>
        </w:rPr>
      </w:pPr>
    </w:p>
    <w:p w14:paraId="275E212D" w14:textId="77777777" w:rsidR="00666C5E" w:rsidRPr="00A10850" w:rsidRDefault="00B106AB"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A s</w:t>
      </w:r>
      <w:r w:rsidR="00666C5E" w:rsidRPr="00A10850">
        <w:rPr>
          <w:rFonts w:ascii="Arial" w:hAnsi="Arial" w:cs="Arial"/>
        </w:rPr>
        <w:t xml:space="preserve">chools </w:t>
      </w:r>
      <w:r w:rsidRPr="00A10850">
        <w:rPr>
          <w:rFonts w:ascii="Arial" w:hAnsi="Arial" w:cs="Arial"/>
        </w:rPr>
        <w:t>s</w:t>
      </w:r>
      <w:r w:rsidR="00666C5E" w:rsidRPr="00A10850">
        <w:rPr>
          <w:rFonts w:ascii="Arial" w:hAnsi="Arial" w:cs="Arial"/>
        </w:rPr>
        <w:t>ervice, the unde</w:t>
      </w:r>
      <w:r w:rsidRPr="00A10850">
        <w:rPr>
          <w:rFonts w:ascii="Arial" w:hAnsi="Arial" w:cs="Arial"/>
        </w:rPr>
        <w:t>rlying purpose of which is for the pharmacy contractor</w:t>
      </w:r>
      <w:r w:rsidR="00666C5E" w:rsidRPr="00A10850">
        <w:rPr>
          <w:rFonts w:ascii="Arial" w:hAnsi="Arial" w:cs="Arial"/>
        </w:rPr>
        <w:t xml:space="preserve"> to provide advice and support to children and staff in schools relating to— </w:t>
      </w:r>
    </w:p>
    <w:p w14:paraId="612B897F" w14:textId="77777777" w:rsidR="00B106AB" w:rsidRPr="00A10850" w:rsidRDefault="00B106AB" w:rsidP="00DC54F7">
      <w:pPr>
        <w:spacing w:after="0" w:line="240" w:lineRule="auto"/>
        <w:ind w:hanging="284"/>
        <w:jc w:val="both"/>
        <w:rPr>
          <w:rFonts w:ascii="Arial" w:hAnsi="Arial" w:cs="Arial"/>
        </w:rPr>
      </w:pPr>
    </w:p>
    <w:p w14:paraId="5E46B848" w14:textId="77777777" w:rsidR="00666C5E" w:rsidRPr="00A10850" w:rsidRDefault="00A931C2" w:rsidP="00DC54F7">
      <w:pPr>
        <w:pStyle w:val="ListParagraph"/>
        <w:numPr>
          <w:ilvl w:val="0"/>
          <w:numId w:val="37"/>
        </w:numPr>
        <w:spacing w:after="0" w:line="240" w:lineRule="auto"/>
        <w:ind w:hanging="284"/>
        <w:jc w:val="both"/>
        <w:rPr>
          <w:rFonts w:ascii="Arial" w:hAnsi="Arial" w:cs="Arial"/>
        </w:rPr>
      </w:pPr>
      <w:r w:rsidRPr="00A10850">
        <w:rPr>
          <w:rFonts w:ascii="Arial" w:hAnsi="Arial" w:cs="Arial"/>
        </w:rPr>
        <w:t>T</w:t>
      </w:r>
      <w:r w:rsidR="00666C5E" w:rsidRPr="00A10850">
        <w:rPr>
          <w:rFonts w:ascii="Arial" w:hAnsi="Arial" w:cs="Arial"/>
        </w:rPr>
        <w:t>he clinical and cost effect</w:t>
      </w:r>
      <w:r w:rsidRPr="00A10850">
        <w:rPr>
          <w:rFonts w:ascii="Arial" w:hAnsi="Arial" w:cs="Arial"/>
        </w:rPr>
        <w:t>ive use of drugs in the school</w:t>
      </w:r>
    </w:p>
    <w:p w14:paraId="5A18989E" w14:textId="77777777" w:rsidR="00666C5E" w:rsidRPr="00A10850" w:rsidRDefault="00A931C2" w:rsidP="00DC54F7">
      <w:pPr>
        <w:pStyle w:val="ListParagraph"/>
        <w:numPr>
          <w:ilvl w:val="0"/>
          <w:numId w:val="37"/>
        </w:numPr>
        <w:spacing w:after="0" w:line="240" w:lineRule="auto"/>
        <w:ind w:hanging="284"/>
        <w:jc w:val="both"/>
        <w:rPr>
          <w:rFonts w:ascii="Arial" w:hAnsi="Arial" w:cs="Arial"/>
        </w:rPr>
      </w:pPr>
      <w:r w:rsidRPr="00A10850">
        <w:rPr>
          <w:rFonts w:ascii="Arial" w:hAnsi="Arial" w:cs="Arial"/>
        </w:rPr>
        <w:t>T</w:t>
      </w:r>
      <w:r w:rsidR="00666C5E" w:rsidRPr="00A10850">
        <w:rPr>
          <w:rFonts w:ascii="Arial" w:hAnsi="Arial" w:cs="Arial"/>
        </w:rPr>
        <w:t>he proper and effective administration and use of drug</w:t>
      </w:r>
      <w:r w:rsidRPr="00A10850">
        <w:rPr>
          <w:rFonts w:ascii="Arial" w:hAnsi="Arial" w:cs="Arial"/>
        </w:rPr>
        <w:t>s and appliances in the school</w:t>
      </w:r>
    </w:p>
    <w:p w14:paraId="7CA3C5E7" w14:textId="77777777" w:rsidR="00666C5E" w:rsidRPr="00A10850" w:rsidRDefault="00A931C2" w:rsidP="00DC54F7">
      <w:pPr>
        <w:pStyle w:val="ListParagraph"/>
        <w:numPr>
          <w:ilvl w:val="0"/>
          <w:numId w:val="37"/>
        </w:numPr>
        <w:spacing w:after="0" w:line="240" w:lineRule="auto"/>
        <w:ind w:hanging="284"/>
        <w:jc w:val="both"/>
        <w:rPr>
          <w:rFonts w:ascii="Arial" w:hAnsi="Arial" w:cs="Arial"/>
        </w:rPr>
      </w:pPr>
      <w:r w:rsidRPr="00A10850">
        <w:rPr>
          <w:rFonts w:ascii="Arial" w:hAnsi="Arial" w:cs="Arial"/>
        </w:rPr>
        <w:t>T</w:t>
      </w:r>
      <w:r w:rsidR="00666C5E" w:rsidRPr="00A10850">
        <w:rPr>
          <w:rFonts w:ascii="Arial" w:hAnsi="Arial" w:cs="Arial"/>
        </w:rPr>
        <w:t xml:space="preserve">he safe and appropriate storage and handling of drugs and appliances, and </w:t>
      </w:r>
    </w:p>
    <w:p w14:paraId="31EC2D53" w14:textId="77777777" w:rsidR="00666C5E" w:rsidRPr="00A10850" w:rsidRDefault="00A931C2" w:rsidP="00DC54F7">
      <w:pPr>
        <w:pStyle w:val="ListParagraph"/>
        <w:numPr>
          <w:ilvl w:val="0"/>
          <w:numId w:val="37"/>
        </w:numPr>
        <w:spacing w:after="0" w:line="240" w:lineRule="auto"/>
        <w:ind w:hanging="284"/>
        <w:jc w:val="both"/>
        <w:rPr>
          <w:rFonts w:ascii="Arial" w:hAnsi="Arial" w:cs="Arial"/>
        </w:rPr>
      </w:pPr>
      <w:r w:rsidRPr="00A10850">
        <w:rPr>
          <w:rFonts w:ascii="Arial" w:hAnsi="Arial" w:cs="Arial"/>
        </w:rPr>
        <w:t>T</w:t>
      </w:r>
      <w:r w:rsidR="00666C5E" w:rsidRPr="00A10850">
        <w:rPr>
          <w:rFonts w:ascii="Arial" w:hAnsi="Arial" w:cs="Arial"/>
        </w:rPr>
        <w:t>he recording of drugs and appliances ordered, handled, admin</w:t>
      </w:r>
      <w:r w:rsidR="00B106AB" w:rsidRPr="00A10850">
        <w:rPr>
          <w:rFonts w:ascii="Arial" w:hAnsi="Arial" w:cs="Arial"/>
        </w:rPr>
        <w:t>istered, stored or disposed of.</w:t>
      </w:r>
    </w:p>
    <w:p w14:paraId="4C938D1D" w14:textId="77777777" w:rsidR="00B106AB" w:rsidRPr="00A10850" w:rsidRDefault="00B106AB" w:rsidP="00DC54F7">
      <w:pPr>
        <w:spacing w:after="0" w:line="240" w:lineRule="auto"/>
        <w:ind w:hanging="284"/>
        <w:jc w:val="both"/>
        <w:rPr>
          <w:rFonts w:ascii="Arial" w:hAnsi="Arial" w:cs="Arial"/>
        </w:rPr>
      </w:pPr>
    </w:p>
    <w:p w14:paraId="539961B5" w14:textId="77777777" w:rsidR="00666C5E" w:rsidRPr="00A10850" w:rsidRDefault="00954334"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A screening s</w:t>
      </w:r>
      <w:r w:rsidR="00666C5E" w:rsidRPr="00A10850">
        <w:rPr>
          <w:rFonts w:ascii="Arial" w:hAnsi="Arial" w:cs="Arial"/>
        </w:rPr>
        <w:t xml:space="preserve">ervice, the underlying purpose of which is for </w:t>
      </w:r>
      <w:r w:rsidR="00A43AF4" w:rsidRPr="00A10850">
        <w:rPr>
          <w:rFonts w:ascii="Arial" w:hAnsi="Arial" w:cs="Arial"/>
        </w:rPr>
        <w:t xml:space="preserve">the pharmacy contractor to </w:t>
      </w:r>
      <w:r w:rsidR="00666C5E" w:rsidRPr="00A10850">
        <w:rPr>
          <w:rFonts w:ascii="Arial" w:hAnsi="Arial" w:cs="Arial"/>
        </w:rPr>
        <w:t xml:space="preserve">— </w:t>
      </w:r>
    </w:p>
    <w:p w14:paraId="3E46443B" w14:textId="77777777" w:rsidR="00954334" w:rsidRPr="00A10850" w:rsidRDefault="00954334" w:rsidP="00DC54F7">
      <w:pPr>
        <w:spacing w:after="0" w:line="240" w:lineRule="auto"/>
        <w:ind w:hanging="284"/>
        <w:jc w:val="both"/>
        <w:rPr>
          <w:rFonts w:ascii="Arial" w:hAnsi="Arial" w:cs="Arial"/>
        </w:rPr>
      </w:pPr>
    </w:p>
    <w:p w14:paraId="28B45F5B" w14:textId="77777777" w:rsidR="00666C5E" w:rsidRPr="00A10850" w:rsidRDefault="00A43AF4" w:rsidP="00DC54F7">
      <w:pPr>
        <w:pStyle w:val="ListParagraph"/>
        <w:numPr>
          <w:ilvl w:val="0"/>
          <w:numId w:val="38"/>
        </w:numPr>
        <w:spacing w:after="0" w:line="240" w:lineRule="auto"/>
        <w:ind w:hanging="284"/>
        <w:jc w:val="both"/>
        <w:rPr>
          <w:rFonts w:ascii="Arial" w:hAnsi="Arial" w:cs="Arial"/>
        </w:rPr>
      </w:pPr>
      <w:r w:rsidRPr="00A10850">
        <w:rPr>
          <w:rFonts w:ascii="Arial" w:hAnsi="Arial" w:cs="Arial"/>
        </w:rPr>
        <w:t>I</w:t>
      </w:r>
      <w:r w:rsidR="00666C5E" w:rsidRPr="00A10850">
        <w:rPr>
          <w:rFonts w:ascii="Arial" w:hAnsi="Arial" w:cs="Arial"/>
        </w:rPr>
        <w:t>dentify patients at risk of developing a</w:t>
      </w:r>
      <w:r w:rsidR="00A931C2" w:rsidRPr="00A10850">
        <w:rPr>
          <w:rFonts w:ascii="Arial" w:hAnsi="Arial" w:cs="Arial"/>
        </w:rPr>
        <w:t xml:space="preserve"> specified disease or condition</w:t>
      </w:r>
      <w:r w:rsidR="00666C5E" w:rsidRPr="00A10850">
        <w:rPr>
          <w:rFonts w:ascii="Arial" w:hAnsi="Arial" w:cs="Arial"/>
        </w:rPr>
        <w:t xml:space="preserve"> </w:t>
      </w:r>
    </w:p>
    <w:p w14:paraId="2ABAEA52" w14:textId="77777777" w:rsidR="00666C5E" w:rsidRPr="00A10850" w:rsidRDefault="00A43AF4" w:rsidP="00DC54F7">
      <w:pPr>
        <w:pStyle w:val="ListParagraph"/>
        <w:numPr>
          <w:ilvl w:val="0"/>
          <w:numId w:val="38"/>
        </w:numPr>
        <w:spacing w:after="0" w:line="240" w:lineRule="auto"/>
        <w:ind w:hanging="284"/>
        <w:jc w:val="both"/>
        <w:rPr>
          <w:rFonts w:ascii="Arial" w:hAnsi="Arial" w:cs="Arial"/>
        </w:rPr>
      </w:pPr>
      <w:r w:rsidRPr="00A10850">
        <w:rPr>
          <w:rFonts w:ascii="Arial" w:hAnsi="Arial" w:cs="Arial"/>
        </w:rPr>
        <w:t>O</w:t>
      </w:r>
      <w:r w:rsidR="00666C5E" w:rsidRPr="00A10850">
        <w:rPr>
          <w:rFonts w:ascii="Arial" w:hAnsi="Arial" w:cs="Arial"/>
        </w:rPr>
        <w:t>ffer advice regarding testing for a</w:t>
      </w:r>
      <w:r w:rsidR="00A931C2" w:rsidRPr="00A10850">
        <w:rPr>
          <w:rFonts w:ascii="Arial" w:hAnsi="Arial" w:cs="Arial"/>
        </w:rPr>
        <w:t xml:space="preserve"> specified disease or condition</w:t>
      </w:r>
      <w:r w:rsidR="00666C5E" w:rsidRPr="00A10850">
        <w:rPr>
          <w:rFonts w:ascii="Arial" w:hAnsi="Arial" w:cs="Arial"/>
        </w:rPr>
        <w:t xml:space="preserve"> </w:t>
      </w:r>
    </w:p>
    <w:p w14:paraId="5FBC1179" w14:textId="77777777" w:rsidR="00666C5E" w:rsidRPr="00A10850" w:rsidRDefault="00A43AF4" w:rsidP="00DC54F7">
      <w:pPr>
        <w:pStyle w:val="ListParagraph"/>
        <w:numPr>
          <w:ilvl w:val="0"/>
          <w:numId w:val="38"/>
        </w:numPr>
        <w:spacing w:after="0" w:line="240" w:lineRule="auto"/>
        <w:ind w:hanging="284"/>
        <w:jc w:val="both"/>
        <w:rPr>
          <w:rFonts w:ascii="Arial" w:hAnsi="Arial" w:cs="Arial"/>
        </w:rPr>
      </w:pPr>
      <w:r w:rsidRPr="00A10850">
        <w:rPr>
          <w:rFonts w:ascii="Arial" w:hAnsi="Arial" w:cs="Arial"/>
        </w:rPr>
        <w:t>C</w:t>
      </w:r>
      <w:r w:rsidR="00666C5E" w:rsidRPr="00A10850">
        <w:rPr>
          <w:rFonts w:ascii="Arial" w:hAnsi="Arial" w:cs="Arial"/>
        </w:rPr>
        <w:t xml:space="preserve">arry out such a test with the patient’s consent, and </w:t>
      </w:r>
    </w:p>
    <w:p w14:paraId="4CF725F3" w14:textId="77777777" w:rsidR="00666C5E" w:rsidRPr="00A10850" w:rsidRDefault="00A43AF4" w:rsidP="00DC54F7">
      <w:pPr>
        <w:pStyle w:val="ListParagraph"/>
        <w:numPr>
          <w:ilvl w:val="0"/>
          <w:numId w:val="38"/>
        </w:numPr>
        <w:spacing w:after="0" w:line="240" w:lineRule="auto"/>
        <w:ind w:hanging="284"/>
        <w:jc w:val="both"/>
        <w:rPr>
          <w:rFonts w:ascii="Arial" w:hAnsi="Arial" w:cs="Arial"/>
        </w:rPr>
      </w:pPr>
      <w:r w:rsidRPr="00A10850">
        <w:rPr>
          <w:rFonts w:ascii="Arial" w:hAnsi="Arial" w:cs="Arial"/>
        </w:rPr>
        <w:t>O</w:t>
      </w:r>
      <w:r w:rsidR="00666C5E" w:rsidRPr="00A10850">
        <w:rPr>
          <w:rFonts w:ascii="Arial" w:hAnsi="Arial" w:cs="Arial"/>
        </w:rPr>
        <w:t>ffer advice following a test and refer to another health ca</w:t>
      </w:r>
      <w:r w:rsidR="00954334" w:rsidRPr="00A10850">
        <w:rPr>
          <w:rFonts w:ascii="Arial" w:hAnsi="Arial" w:cs="Arial"/>
        </w:rPr>
        <w:t>re professional as appropriate.</w:t>
      </w:r>
    </w:p>
    <w:p w14:paraId="4077B0B2" w14:textId="77777777" w:rsidR="00954334" w:rsidRPr="00A10850" w:rsidRDefault="00954334" w:rsidP="00DC54F7">
      <w:pPr>
        <w:pStyle w:val="ListParagraph"/>
        <w:spacing w:after="0" w:line="240" w:lineRule="auto"/>
        <w:ind w:hanging="284"/>
        <w:jc w:val="both"/>
        <w:rPr>
          <w:rFonts w:ascii="Arial" w:hAnsi="Arial" w:cs="Arial"/>
        </w:rPr>
      </w:pPr>
    </w:p>
    <w:p w14:paraId="4AC27933" w14:textId="77777777" w:rsidR="00954334" w:rsidRPr="00A10850" w:rsidRDefault="00954334"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A stop s</w:t>
      </w:r>
      <w:r w:rsidR="00666C5E" w:rsidRPr="00A10850">
        <w:rPr>
          <w:rFonts w:ascii="Arial" w:hAnsi="Arial" w:cs="Arial"/>
        </w:rPr>
        <w:t xml:space="preserve">moking </w:t>
      </w:r>
      <w:r w:rsidRPr="00A10850">
        <w:rPr>
          <w:rFonts w:ascii="Arial" w:hAnsi="Arial" w:cs="Arial"/>
        </w:rPr>
        <w:t>s</w:t>
      </w:r>
      <w:r w:rsidR="00D35633" w:rsidRPr="00A10850">
        <w:rPr>
          <w:rFonts w:ascii="Arial" w:hAnsi="Arial" w:cs="Arial"/>
        </w:rPr>
        <w:t>e</w:t>
      </w:r>
      <w:r w:rsidR="00666C5E" w:rsidRPr="00A10850">
        <w:rPr>
          <w:rFonts w:ascii="Arial" w:hAnsi="Arial" w:cs="Arial"/>
        </w:rPr>
        <w:t>rvice, the underlyi</w:t>
      </w:r>
      <w:r w:rsidRPr="00A10850">
        <w:rPr>
          <w:rFonts w:ascii="Arial" w:hAnsi="Arial" w:cs="Arial"/>
        </w:rPr>
        <w:t xml:space="preserve">ng purpose of which is for the pharmacy contractor </w:t>
      </w:r>
      <w:r w:rsidR="00A43AF4" w:rsidRPr="00A10850">
        <w:rPr>
          <w:rFonts w:ascii="Arial" w:hAnsi="Arial" w:cs="Arial"/>
        </w:rPr>
        <w:t xml:space="preserve">to </w:t>
      </w:r>
      <w:r w:rsidR="00666C5E" w:rsidRPr="00A10850">
        <w:rPr>
          <w:rFonts w:ascii="Arial" w:hAnsi="Arial" w:cs="Arial"/>
        </w:rPr>
        <w:t>—</w:t>
      </w:r>
    </w:p>
    <w:p w14:paraId="21B07FE2" w14:textId="77777777" w:rsidR="00666C5E" w:rsidRPr="00A10850" w:rsidRDefault="00666C5E" w:rsidP="00DC54F7">
      <w:pPr>
        <w:spacing w:after="0" w:line="240" w:lineRule="auto"/>
        <w:ind w:hanging="284"/>
        <w:jc w:val="both"/>
        <w:rPr>
          <w:rFonts w:ascii="Arial" w:hAnsi="Arial" w:cs="Arial"/>
        </w:rPr>
      </w:pPr>
      <w:r w:rsidRPr="00A10850">
        <w:rPr>
          <w:rFonts w:ascii="Arial" w:hAnsi="Arial" w:cs="Arial"/>
        </w:rPr>
        <w:t xml:space="preserve"> </w:t>
      </w:r>
    </w:p>
    <w:p w14:paraId="0B26B93A" w14:textId="77777777" w:rsidR="00666C5E" w:rsidRPr="00A10850" w:rsidRDefault="00A43AF4" w:rsidP="00DC54F7">
      <w:pPr>
        <w:pStyle w:val="ListParagraph"/>
        <w:numPr>
          <w:ilvl w:val="0"/>
          <w:numId w:val="39"/>
        </w:numPr>
        <w:spacing w:after="0" w:line="240" w:lineRule="auto"/>
        <w:ind w:hanging="284"/>
        <w:jc w:val="both"/>
        <w:rPr>
          <w:rFonts w:ascii="Arial" w:hAnsi="Arial" w:cs="Arial"/>
        </w:rPr>
      </w:pPr>
      <w:r w:rsidRPr="00A10850">
        <w:rPr>
          <w:rFonts w:ascii="Arial" w:hAnsi="Arial" w:cs="Arial"/>
        </w:rPr>
        <w:t>A</w:t>
      </w:r>
      <w:r w:rsidR="00666C5E" w:rsidRPr="00A10850">
        <w:rPr>
          <w:rFonts w:ascii="Arial" w:hAnsi="Arial" w:cs="Arial"/>
        </w:rPr>
        <w:t xml:space="preserve">dvise and support patients wishing to give up smoking, and </w:t>
      </w:r>
    </w:p>
    <w:p w14:paraId="679C9B6B" w14:textId="77777777" w:rsidR="00666C5E" w:rsidRPr="00A10850" w:rsidRDefault="00A931C2" w:rsidP="00DC54F7">
      <w:pPr>
        <w:pStyle w:val="ListParagraph"/>
        <w:numPr>
          <w:ilvl w:val="0"/>
          <w:numId w:val="39"/>
        </w:numPr>
        <w:spacing w:after="0" w:line="240" w:lineRule="auto"/>
        <w:ind w:hanging="284"/>
        <w:jc w:val="both"/>
        <w:rPr>
          <w:rFonts w:ascii="Arial" w:hAnsi="Arial" w:cs="Arial"/>
        </w:rPr>
      </w:pPr>
      <w:r w:rsidRPr="00A10850">
        <w:rPr>
          <w:rFonts w:ascii="Arial" w:hAnsi="Arial" w:cs="Arial"/>
        </w:rPr>
        <w:t>Wh</w:t>
      </w:r>
      <w:r w:rsidR="00666C5E" w:rsidRPr="00A10850">
        <w:rPr>
          <w:rFonts w:ascii="Arial" w:hAnsi="Arial" w:cs="Arial"/>
        </w:rPr>
        <w:t>ere appropriate, to sup</w:t>
      </w:r>
      <w:r w:rsidR="00954334" w:rsidRPr="00A10850">
        <w:rPr>
          <w:rFonts w:ascii="Arial" w:hAnsi="Arial" w:cs="Arial"/>
        </w:rPr>
        <w:t>ply appropriate drugs and aids.</w:t>
      </w:r>
    </w:p>
    <w:p w14:paraId="7E033E4B" w14:textId="77777777" w:rsidR="00954334" w:rsidRPr="00A10850" w:rsidRDefault="00954334" w:rsidP="00DC54F7">
      <w:pPr>
        <w:spacing w:after="0" w:line="240" w:lineRule="auto"/>
        <w:ind w:hanging="284"/>
        <w:jc w:val="both"/>
        <w:rPr>
          <w:rFonts w:ascii="Arial" w:hAnsi="Arial" w:cs="Arial"/>
        </w:rPr>
      </w:pPr>
    </w:p>
    <w:p w14:paraId="5D79CF10" w14:textId="77777777" w:rsidR="00666C5E" w:rsidRPr="00A10850" w:rsidRDefault="00954334"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A supervised administration s</w:t>
      </w:r>
      <w:r w:rsidR="00666C5E" w:rsidRPr="00A10850">
        <w:rPr>
          <w:rFonts w:ascii="Arial" w:hAnsi="Arial" w:cs="Arial"/>
        </w:rPr>
        <w:t xml:space="preserve">ervice, the underlying purpose of which is for </w:t>
      </w:r>
      <w:r w:rsidR="00A43AF4" w:rsidRPr="00A10850">
        <w:rPr>
          <w:rFonts w:ascii="Arial" w:hAnsi="Arial" w:cs="Arial"/>
        </w:rPr>
        <w:t>the pharmacy contractor</w:t>
      </w:r>
      <w:r w:rsidR="00666C5E" w:rsidRPr="00A10850">
        <w:rPr>
          <w:rFonts w:ascii="Arial" w:hAnsi="Arial" w:cs="Arial"/>
        </w:rPr>
        <w:t xml:space="preserve"> to supervise the administration of prescribed medicines at </w:t>
      </w:r>
      <w:r w:rsidRPr="00A10850">
        <w:rPr>
          <w:rFonts w:ascii="Arial" w:hAnsi="Arial" w:cs="Arial"/>
        </w:rPr>
        <w:t>the</w:t>
      </w:r>
      <w:r w:rsidR="00A43AF4" w:rsidRPr="00A10850">
        <w:rPr>
          <w:rFonts w:ascii="Arial" w:hAnsi="Arial" w:cs="Arial"/>
        </w:rPr>
        <w:t>ir</w:t>
      </w:r>
      <w:r w:rsidRPr="00A10850">
        <w:rPr>
          <w:rFonts w:ascii="Arial" w:hAnsi="Arial" w:cs="Arial"/>
        </w:rPr>
        <w:t xml:space="preserve"> premises.</w:t>
      </w:r>
    </w:p>
    <w:p w14:paraId="2509708E" w14:textId="77777777" w:rsidR="00954334" w:rsidRPr="00A10850" w:rsidRDefault="00954334" w:rsidP="00DC54F7">
      <w:pPr>
        <w:spacing w:after="0" w:line="240" w:lineRule="auto"/>
        <w:ind w:left="284" w:hanging="284"/>
        <w:jc w:val="both"/>
        <w:rPr>
          <w:rFonts w:ascii="Arial" w:hAnsi="Arial" w:cs="Arial"/>
        </w:rPr>
      </w:pPr>
    </w:p>
    <w:p w14:paraId="0F90329E" w14:textId="77777777" w:rsidR="00953021" w:rsidRDefault="00A305E5" w:rsidP="00DC54F7">
      <w:pPr>
        <w:pStyle w:val="ListParagraph"/>
        <w:numPr>
          <w:ilvl w:val="0"/>
          <w:numId w:val="22"/>
        </w:numPr>
        <w:spacing w:after="0" w:line="240" w:lineRule="auto"/>
        <w:ind w:left="284" w:hanging="284"/>
        <w:jc w:val="both"/>
        <w:rPr>
          <w:rFonts w:ascii="Arial" w:hAnsi="Arial" w:cs="Arial"/>
        </w:rPr>
      </w:pPr>
      <w:r w:rsidRPr="00A10850">
        <w:rPr>
          <w:rFonts w:ascii="Arial" w:hAnsi="Arial" w:cs="Arial"/>
        </w:rPr>
        <w:t>A</w:t>
      </w:r>
      <w:r w:rsidR="00666C5E" w:rsidRPr="00A10850">
        <w:rPr>
          <w:rFonts w:ascii="Arial" w:hAnsi="Arial" w:cs="Arial"/>
        </w:rPr>
        <w:t xml:space="preserve"> </w:t>
      </w:r>
      <w:r w:rsidR="009D2F81">
        <w:rPr>
          <w:rFonts w:ascii="Arial" w:hAnsi="Arial" w:cs="Arial"/>
        </w:rPr>
        <w:t xml:space="preserve">supplementary </w:t>
      </w:r>
      <w:r w:rsidR="00954334" w:rsidRPr="00A10850">
        <w:rPr>
          <w:rFonts w:ascii="Arial" w:hAnsi="Arial" w:cs="Arial"/>
        </w:rPr>
        <w:t>p</w:t>
      </w:r>
      <w:r w:rsidR="00666C5E" w:rsidRPr="00A10850">
        <w:rPr>
          <w:rFonts w:ascii="Arial" w:hAnsi="Arial" w:cs="Arial"/>
        </w:rPr>
        <w:t xml:space="preserve">rescribing </w:t>
      </w:r>
      <w:r w:rsidR="00954334" w:rsidRPr="00A10850">
        <w:rPr>
          <w:rFonts w:ascii="Arial" w:hAnsi="Arial" w:cs="Arial"/>
        </w:rPr>
        <w:t>s</w:t>
      </w:r>
      <w:r w:rsidR="00666C5E" w:rsidRPr="00A10850">
        <w:rPr>
          <w:rFonts w:ascii="Arial" w:hAnsi="Arial" w:cs="Arial"/>
        </w:rPr>
        <w:t xml:space="preserve">ervice, the underlying purpose of which is </w:t>
      </w:r>
      <w:r w:rsidR="0013699A" w:rsidRPr="00A10850">
        <w:rPr>
          <w:rFonts w:ascii="Arial" w:hAnsi="Arial" w:cs="Arial"/>
        </w:rPr>
        <w:t xml:space="preserve">for </w:t>
      </w:r>
      <w:r w:rsidR="00A43AF4" w:rsidRPr="00A10850">
        <w:rPr>
          <w:rFonts w:ascii="Arial" w:hAnsi="Arial" w:cs="Arial"/>
        </w:rPr>
        <w:t>the pharmacy contractor</w:t>
      </w:r>
      <w:r w:rsidR="0013699A" w:rsidRPr="00A10850">
        <w:rPr>
          <w:rFonts w:ascii="Arial" w:hAnsi="Arial" w:cs="Arial"/>
        </w:rPr>
        <w:t xml:space="preserve"> </w:t>
      </w:r>
      <w:r w:rsidRPr="00A10850">
        <w:rPr>
          <w:rFonts w:ascii="Arial" w:hAnsi="Arial" w:cs="Arial"/>
        </w:rPr>
        <w:t>to prescribe medicines in circumstances specified by the relevant local health board</w:t>
      </w:r>
      <w:r w:rsidR="00666C5E" w:rsidRPr="00A10850">
        <w:rPr>
          <w:rFonts w:ascii="Arial" w:hAnsi="Arial" w:cs="Arial"/>
        </w:rPr>
        <w:t>.</w:t>
      </w:r>
    </w:p>
    <w:p w14:paraId="29F28A80" w14:textId="77777777" w:rsidR="00953021" w:rsidRPr="00953021" w:rsidRDefault="00953021" w:rsidP="00DC54F7">
      <w:pPr>
        <w:pStyle w:val="ListParagraph"/>
        <w:jc w:val="both"/>
        <w:rPr>
          <w:rFonts w:ascii="Arial" w:hAnsi="Arial" w:cs="Arial"/>
        </w:rPr>
      </w:pPr>
    </w:p>
    <w:p w14:paraId="43FE555B" w14:textId="77777777" w:rsidR="00953021" w:rsidRDefault="00953021" w:rsidP="00DC54F7">
      <w:pPr>
        <w:pStyle w:val="ListParagraph"/>
        <w:numPr>
          <w:ilvl w:val="0"/>
          <w:numId w:val="22"/>
        </w:numPr>
        <w:spacing w:after="0" w:line="240" w:lineRule="auto"/>
        <w:ind w:left="284" w:hanging="284"/>
        <w:jc w:val="both"/>
        <w:rPr>
          <w:rFonts w:ascii="Arial" w:hAnsi="Arial" w:cs="Arial"/>
        </w:rPr>
      </w:pPr>
      <w:r w:rsidRPr="00953021">
        <w:rPr>
          <w:rFonts w:ascii="Arial" w:hAnsi="Arial" w:cs="Arial"/>
        </w:rPr>
        <w:t>An anti-viral collection service, the underlying purpose of which is for the chemist to supply anti-viral medicines, in accordance with regulation 247 of the Human Medicines Regulations 2012 (Exemption for supply in event of or in anticipation of Pandemic disease), to patients for treatment or prophylaxis.</w:t>
      </w:r>
    </w:p>
    <w:p w14:paraId="0F1D5BCE" w14:textId="77777777" w:rsidR="00953021" w:rsidRPr="00953021" w:rsidRDefault="00953021" w:rsidP="00DC54F7">
      <w:pPr>
        <w:pStyle w:val="ListParagraph"/>
        <w:jc w:val="both"/>
        <w:rPr>
          <w:rFonts w:ascii="Arial" w:hAnsi="Arial" w:cs="Arial"/>
        </w:rPr>
      </w:pPr>
    </w:p>
    <w:p w14:paraId="155C5075" w14:textId="220564F2" w:rsidR="00953021" w:rsidRPr="00953021" w:rsidRDefault="00953021" w:rsidP="00DC54F7">
      <w:pPr>
        <w:pStyle w:val="ListParagraph"/>
        <w:numPr>
          <w:ilvl w:val="0"/>
          <w:numId w:val="22"/>
        </w:numPr>
        <w:spacing w:after="0" w:line="240" w:lineRule="auto"/>
        <w:ind w:left="284" w:hanging="284"/>
        <w:jc w:val="both"/>
        <w:rPr>
          <w:rFonts w:ascii="Arial" w:hAnsi="Arial" w:cs="Arial"/>
        </w:rPr>
      </w:pPr>
      <w:r w:rsidRPr="00953021">
        <w:rPr>
          <w:rFonts w:ascii="Arial" w:hAnsi="Arial" w:cs="Arial"/>
        </w:rPr>
        <w:t>An emergency supply service, the underlying purpose of which is to ensure that in cases of urgency, patients, at their request have prompt access to drugs or appliances –</w:t>
      </w:r>
    </w:p>
    <w:p w14:paraId="11875E6A" w14:textId="77777777" w:rsidR="00953021" w:rsidRPr="00953021" w:rsidRDefault="00953021" w:rsidP="00DC54F7">
      <w:pPr>
        <w:pStyle w:val="ListParagraph"/>
        <w:spacing w:after="0" w:line="240" w:lineRule="auto"/>
        <w:jc w:val="both"/>
        <w:rPr>
          <w:rFonts w:ascii="Arial" w:hAnsi="Arial" w:cs="Arial"/>
        </w:rPr>
      </w:pPr>
    </w:p>
    <w:p w14:paraId="0B16450E" w14:textId="15CF11D5" w:rsidR="00953021" w:rsidRPr="00953021" w:rsidRDefault="00953021" w:rsidP="00DC54F7">
      <w:pPr>
        <w:pStyle w:val="ListParagraph"/>
        <w:numPr>
          <w:ilvl w:val="0"/>
          <w:numId w:val="153"/>
        </w:numPr>
        <w:spacing w:after="0" w:line="240" w:lineRule="auto"/>
        <w:jc w:val="both"/>
        <w:rPr>
          <w:rFonts w:ascii="Arial" w:hAnsi="Arial" w:cs="Arial"/>
        </w:rPr>
      </w:pPr>
      <w:r w:rsidRPr="00953021">
        <w:rPr>
          <w:rFonts w:ascii="Arial" w:hAnsi="Arial" w:cs="Arial"/>
        </w:rPr>
        <w:t>which have previously been prescribed for them in an NHS prescription but for which they do not have an NHS prescription, and</w:t>
      </w:r>
    </w:p>
    <w:p w14:paraId="7063E161" w14:textId="6979AD1F" w:rsidR="00953021" w:rsidRPr="00953021" w:rsidRDefault="00953021" w:rsidP="00DC54F7">
      <w:pPr>
        <w:pStyle w:val="ListParagraph"/>
        <w:numPr>
          <w:ilvl w:val="0"/>
          <w:numId w:val="153"/>
        </w:numPr>
        <w:spacing w:after="0" w:line="240" w:lineRule="auto"/>
        <w:jc w:val="both"/>
        <w:rPr>
          <w:rFonts w:ascii="Arial" w:hAnsi="Arial" w:cs="Arial"/>
        </w:rPr>
      </w:pPr>
      <w:r w:rsidRPr="00953021">
        <w:rPr>
          <w:rFonts w:ascii="Arial" w:hAnsi="Arial" w:cs="Arial"/>
        </w:rPr>
        <w:t>where in the case of prescription only medicines the requirements of regulation 225(1) of the Human Medicines Regulations 2012 (emergency sale etc by Pharmacist: at patient’s request), are satisfied.</w:t>
      </w:r>
    </w:p>
    <w:p w14:paraId="3554777D" w14:textId="77777777" w:rsidR="00953021" w:rsidRPr="00A10850" w:rsidRDefault="00953021" w:rsidP="00DC54F7">
      <w:pPr>
        <w:pStyle w:val="ListParagraph"/>
        <w:spacing w:after="0" w:line="240" w:lineRule="auto"/>
        <w:ind w:left="284"/>
        <w:jc w:val="both"/>
        <w:rPr>
          <w:rFonts w:ascii="Arial" w:hAnsi="Arial" w:cs="Arial"/>
        </w:rPr>
      </w:pPr>
    </w:p>
    <w:p w14:paraId="21CA480F" w14:textId="77777777" w:rsidR="00A305E5" w:rsidRPr="00A10850" w:rsidRDefault="00A305E5" w:rsidP="00DC54F7">
      <w:pPr>
        <w:pStyle w:val="ListParagraph"/>
        <w:ind w:hanging="284"/>
        <w:jc w:val="both"/>
        <w:rPr>
          <w:rFonts w:ascii="Arial" w:hAnsi="Arial" w:cs="Arial"/>
        </w:rPr>
      </w:pPr>
    </w:p>
    <w:p w14:paraId="683B2B42" w14:textId="77777777" w:rsidR="00A305E5" w:rsidRPr="00A10850" w:rsidRDefault="00A305E5" w:rsidP="00DC54F7">
      <w:pPr>
        <w:spacing w:after="0" w:line="240" w:lineRule="auto"/>
        <w:jc w:val="both"/>
        <w:rPr>
          <w:rFonts w:ascii="Arial" w:hAnsi="Arial" w:cs="Arial"/>
        </w:rPr>
      </w:pPr>
    </w:p>
    <w:p w14:paraId="40F76B94" w14:textId="77777777" w:rsidR="00666C5E" w:rsidRPr="00A10850" w:rsidRDefault="00666C5E" w:rsidP="00DC54F7">
      <w:pPr>
        <w:spacing w:after="0" w:line="240" w:lineRule="auto"/>
        <w:jc w:val="both"/>
        <w:rPr>
          <w:rFonts w:ascii="Arial" w:hAnsi="Arial" w:cs="Arial"/>
        </w:rPr>
      </w:pPr>
      <w:r w:rsidRPr="00A10850">
        <w:rPr>
          <w:rFonts w:ascii="Arial" w:hAnsi="Arial" w:cs="Arial"/>
        </w:rPr>
        <w:t xml:space="preserve"> </w:t>
      </w:r>
      <w:r w:rsidRPr="00A10850">
        <w:rPr>
          <w:rFonts w:ascii="Arial" w:hAnsi="Arial" w:cs="Arial"/>
        </w:rPr>
        <w:br w:type="page"/>
      </w:r>
    </w:p>
    <w:p w14:paraId="6EE6D61E" w14:textId="78EF62EC" w:rsidR="001074EC" w:rsidRPr="00A10850" w:rsidRDefault="001074EC" w:rsidP="00DC54F7">
      <w:pPr>
        <w:pStyle w:val="Heading1"/>
        <w:spacing w:before="0" w:line="240" w:lineRule="auto"/>
        <w:jc w:val="both"/>
        <w:rPr>
          <w:rFonts w:cs="Arial"/>
          <w:color w:val="auto"/>
        </w:rPr>
      </w:pPr>
      <w:bookmarkStart w:id="73" w:name="_Toc81585117"/>
      <w:r w:rsidRPr="00A10850">
        <w:rPr>
          <w:rFonts w:cs="Arial"/>
          <w:color w:val="auto"/>
        </w:rPr>
        <w:lastRenderedPageBreak/>
        <w:t>Appendix</w:t>
      </w:r>
      <w:r w:rsidR="00962298" w:rsidRPr="00A10850">
        <w:rPr>
          <w:rFonts w:cs="Arial"/>
          <w:color w:val="auto"/>
        </w:rPr>
        <w:t xml:space="preserve"> E</w:t>
      </w:r>
      <w:r w:rsidRPr="00A10850">
        <w:rPr>
          <w:rFonts w:cs="Arial"/>
          <w:color w:val="auto"/>
        </w:rPr>
        <w:t xml:space="preserve"> – terms of service for </w:t>
      </w:r>
      <w:r w:rsidR="00CA4A2D" w:rsidRPr="00A10850">
        <w:rPr>
          <w:rFonts w:cs="Arial"/>
          <w:color w:val="auto"/>
        </w:rPr>
        <w:t>dispensing appliance contractors</w:t>
      </w:r>
      <w:bookmarkEnd w:id="73"/>
    </w:p>
    <w:p w14:paraId="28B1366F" w14:textId="77777777" w:rsidR="00D7589C" w:rsidRPr="00A10850" w:rsidRDefault="00D7589C" w:rsidP="00DC54F7">
      <w:pPr>
        <w:spacing w:after="0" w:line="240" w:lineRule="auto"/>
        <w:jc w:val="both"/>
        <w:rPr>
          <w:rFonts w:ascii="Arial" w:hAnsi="Arial" w:cs="Arial"/>
          <w:b/>
          <w:sz w:val="20"/>
          <w:szCs w:val="20"/>
        </w:rPr>
      </w:pPr>
    </w:p>
    <w:p w14:paraId="31820BC7" w14:textId="77777777" w:rsidR="00E0362B" w:rsidRPr="00A10850" w:rsidRDefault="00E0362B" w:rsidP="00DC54F7">
      <w:pPr>
        <w:pStyle w:val="ListParagraph"/>
        <w:numPr>
          <w:ilvl w:val="0"/>
          <w:numId w:val="19"/>
        </w:numPr>
        <w:spacing w:after="0" w:line="240" w:lineRule="auto"/>
        <w:ind w:left="284" w:hanging="284"/>
        <w:jc w:val="both"/>
        <w:rPr>
          <w:rFonts w:ascii="Arial" w:hAnsi="Arial" w:cs="Arial"/>
          <w:b/>
          <w:sz w:val="24"/>
          <w:szCs w:val="24"/>
        </w:rPr>
      </w:pPr>
      <w:r w:rsidRPr="00A10850">
        <w:rPr>
          <w:rFonts w:ascii="Arial" w:hAnsi="Arial" w:cs="Arial"/>
          <w:b/>
          <w:sz w:val="24"/>
          <w:szCs w:val="24"/>
        </w:rPr>
        <w:t>Dispensing of prescriptions</w:t>
      </w:r>
    </w:p>
    <w:p w14:paraId="650AA7C2" w14:textId="77777777" w:rsidR="00497634" w:rsidRPr="00A10850" w:rsidRDefault="00497634" w:rsidP="00DC54F7">
      <w:pPr>
        <w:pStyle w:val="ListParagraph"/>
        <w:spacing w:after="0" w:line="240" w:lineRule="auto"/>
        <w:ind w:left="284"/>
        <w:jc w:val="both"/>
        <w:rPr>
          <w:rFonts w:ascii="Arial" w:hAnsi="Arial" w:cs="Arial"/>
          <w:b/>
        </w:rPr>
      </w:pPr>
    </w:p>
    <w:p w14:paraId="64D2AED7" w14:textId="77777777" w:rsidR="00E0362B" w:rsidRPr="00A10850" w:rsidRDefault="00E0362B" w:rsidP="00DC54F7">
      <w:pPr>
        <w:spacing w:after="0" w:line="240" w:lineRule="auto"/>
        <w:jc w:val="both"/>
        <w:rPr>
          <w:rFonts w:ascii="Arial" w:hAnsi="Arial" w:cs="Arial"/>
          <w:b/>
          <w:bCs/>
        </w:rPr>
      </w:pPr>
      <w:r w:rsidRPr="00A10850">
        <w:rPr>
          <w:rFonts w:ascii="Arial" w:hAnsi="Arial" w:cs="Arial"/>
          <w:b/>
          <w:bCs/>
        </w:rPr>
        <w:t>Service description</w:t>
      </w:r>
    </w:p>
    <w:p w14:paraId="018A677E" w14:textId="77777777" w:rsidR="00E0362B" w:rsidRPr="00A10850" w:rsidRDefault="00E0362B" w:rsidP="00DC54F7">
      <w:pPr>
        <w:spacing w:after="0" w:line="240" w:lineRule="auto"/>
        <w:jc w:val="both"/>
        <w:rPr>
          <w:rFonts w:ascii="Arial" w:hAnsi="Arial" w:cs="Arial"/>
          <w:bCs/>
        </w:rPr>
      </w:pPr>
    </w:p>
    <w:p w14:paraId="35B10A24" w14:textId="77777777" w:rsidR="00E0362B" w:rsidRPr="00A10850" w:rsidRDefault="00E0362B" w:rsidP="00DC54F7">
      <w:pPr>
        <w:spacing w:after="0" w:line="240" w:lineRule="auto"/>
        <w:jc w:val="both"/>
        <w:rPr>
          <w:rFonts w:ascii="Arial" w:hAnsi="Arial" w:cs="Arial"/>
        </w:rPr>
      </w:pPr>
      <w:r w:rsidRPr="00A10850">
        <w:rPr>
          <w:rFonts w:ascii="Arial" w:hAnsi="Arial" w:cs="Arial"/>
        </w:rPr>
        <w:t>The supply of appliances</w:t>
      </w:r>
      <w:r w:rsidRPr="00A10850">
        <w:rPr>
          <w:rFonts w:ascii="Arial" w:hAnsi="Arial" w:cs="Arial"/>
          <w:vertAlign w:val="superscript"/>
        </w:rPr>
        <w:t xml:space="preserve"> </w:t>
      </w:r>
      <w:r w:rsidRPr="00A10850">
        <w:rPr>
          <w:rFonts w:ascii="Arial" w:hAnsi="Arial" w:cs="Arial"/>
        </w:rPr>
        <w:t>ordered on NHS prescriptions, together with information and advice and appropriate referral arrangements in the event of a supply being unable to be made, to enable safe and effective use by patients, and maintenance of appropriate records.</w:t>
      </w:r>
    </w:p>
    <w:p w14:paraId="63DED7DA" w14:textId="77777777" w:rsidR="00E0362B" w:rsidRPr="00A10850" w:rsidRDefault="00E0362B" w:rsidP="00DC54F7">
      <w:pPr>
        <w:spacing w:after="0" w:line="240" w:lineRule="auto"/>
        <w:jc w:val="both"/>
        <w:rPr>
          <w:rFonts w:ascii="Arial" w:hAnsi="Arial" w:cs="Arial"/>
        </w:rPr>
      </w:pPr>
    </w:p>
    <w:p w14:paraId="770BA427" w14:textId="77777777" w:rsidR="00E0362B" w:rsidRPr="00A10850" w:rsidRDefault="00E0362B" w:rsidP="00DC54F7">
      <w:pPr>
        <w:spacing w:after="0" w:line="240" w:lineRule="auto"/>
        <w:jc w:val="both"/>
        <w:rPr>
          <w:rFonts w:ascii="Arial" w:hAnsi="Arial" w:cs="Arial"/>
          <w:b/>
          <w:bCs/>
          <w:lang w:val="en-US" w:eastAsia="en-GB"/>
        </w:rPr>
      </w:pPr>
      <w:r w:rsidRPr="00A10850">
        <w:rPr>
          <w:rFonts w:ascii="Arial" w:hAnsi="Arial" w:cs="Arial"/>
          <w:b/>
          <w:bCs/>
          <w:lang w:val="en-US" w:eastAsia="en-GB"/>
        </w:rPr>
        <w:t>Aims and intended outcomes</w:t>
      </w:r>
    </w:p>
    <w:p w14:paraId="14A563D5" w14:textId="77777777" w:rsidR="00E0362B" w:rsidRPr="00A10850" w:rsidRDefault="00E0362B" w:rsidP="00DC54F7">
      <w:pPr>
        <w:spacing w:after="0" w:line="240" w:lineRule="auto"/>
        <w:jc w:val="both"/>
        <w:rPr>
          <w:rFonts w:ascii="Arial" w:hAnsi="Arial" w:cs="Arial"/>
          <w:b/>
          <w:bCs/>
          <w:lang w:val="en-US" w:eastAsia="en-GB"/>
        </w:rPr>
      </w:pPr>
    </w:p>
    <w:p w14:paraId="27F39901" w14:textId="77777777" w:rsidR="00E0362B" w:rsidRPr="00A10850" w:rsidRDefault="00E0362B" w:rsidP="00DC54F7">
      <w:pPr>
        <w:spacing w:after="0" w:line="240" w:lineRule="auto"/>
        <w:jc w:val="both"/>
        <w:rPr>
          <w:rFonts w:ascii="Arial" w:hAnsi="Arial" w:cs="Arial"/>
        </w:rPr>
      </w:pPr>
      <w:r w:rsidRPr="00A10850">
        <w:rPr>
          <w:rFonts w:ascii="Arial" w:hAnsi="Arial" w:cs="Arial"/>
        </w:rPr>
        <w:t xml:space="preserve">To ensure patients receive ordered appliances safely and appropriately by the </w:t>
      </w:r>
      <w:r w:rsidR="00CA4A2D" w:rsidRPr="00A10850">
        <w:rPr>
          <w:rFonts w:ascii="Arial" w:hAnsi="Arial" w:cs="Arial"/>
        </w:rPr>
        <w:t>dispensing appliance contractor</w:t>
      </w:r>
      <w:r w:rsidRPr="00A10850">
        <w:rPr>
          <w:rFonts w:ascii="Arial" w:hAnsi="Arial" w:cs="Arial"/>
        </w:rPr>
        <w:t>:</w:t>
      </w:r>
    </w:p>
    <w:p w14:paraId="47417ECC" w14:textId="77777777" w:rsidR="00E0362B" w:rsidRPr="00A10850" w:rsidRDefault="00E0362B" w:rsidP="00DC54F7">
      <w:pPr>
        <w:spacing w:after="0" w:line="240" w:lineRule="auto"/>
        <w:jc w:val="both"/>
        <w:rPr>
          <w:rFonts w:ascii="Arial" w:hAnsi="Arial" w:cs="Arial"/>
        </w:rPr>
      </w:pPr>
    </w:p>
    <w:p w14:paraId="36AA443B" w14:textId="77777777" w:rsidR="00E0362B" w:rsidRPr="00A10850" w:rsidRDefault="00E0362B" w:rsidP="00DC54F7">
      <w:pPr>
        <w:numPr>
          <w:ilvl w:val="0"/>
          <w:numId w:val="6"/>
        </w:numPr>
        <w:spacing w:after="0" w:line="240" w:lineRule="auto"/>
        <w:jc w:val="both"/>
        <w:rPr>
          <w:rFonts w:ascii="Arial" w:hAnsi="Arial" w:cs="Arial"/>
        </w:rPr>
      </w:pPr>
      <w:r w:rsidRPr="00A10850">
        <w:rPr>
          <w:rFonts w:ascii="Arial" w:hAnsi="Arial" w:cs="Arial"/>
        </w:rPr>
        <w:t>Performing appropriate legal, clinical and accuracy checks</w:t>
      </w:r>
    </w:p>
    <w:p w14:paraId="3D086965" w14:textId="77777777" w:rsidR="00E0362B" w:rsidRPr="00A10850" w:rsidRDefault="00E0362B" w:rsidP="00DC54F7">
      <w:pPr>
        <w:numPr>
          <w:ilvl w:val="0"/>
          <w:numId w:val="6"/>
        </w:numPr>
        <w:spacing w:after="0" w:line="240" w:lineRule="auto"/>
        <w:jc w:val="both"/>
        <w:rPr>
          <w:rFonts w:ascii="Arial" w:hAnsi="Arial" w:cs="Arial"/>
        </w:rPr>
      </w:pPr>
      <w:r w:rsidRPr="00A10850">
        <w:rPr>
          <w:rFonts w:ascii="Arial" w:hAnsi="Arial" w:cs="Arial"/>
        </w:rPr>
        <w:t>Having safe systems of operation, in line with clinical governance requirements</w:t>
      </w:r>
    </w:p>
    <w:p w14:paraId="06C018FE" w14:textId="77777777" w:rsidR="00E0362B" w:rsidRPr="00A10850" w:rsidRDefault="00E0362B" w:rsidP="00DC54F7">
      <w:pPr>
        <w:numPr>
          <w:ilvl w:val="0"/>
          <w:numId w:val="6"/>
        </w:numPr>
        <w:spacing w:after="0" w:line="240" w:lineRule="auto"/>
        <w:jc w:val="both"/>
        <w:rPr>
          <w:rFonts w:ascii="Arial" w:hAnsi="Arial" w:cs="Arial"/>
        </w:rPr>
      </w:pPr>
      <w:r w:rsidRPr="00A10850">
        <w:rPr>
          <w:rFonts w:ascii="Arial" w:hAnsi="Arial" w:cs="Arial"/>
        </w:rPr>
        <w:t>Having systems in place to guarantee the integrity of products supplied</w:t>
      </w:r>
    </w:p>
    <w:p w14:paraId="128B7ED3" w14:textId="77777777" w:rsidR="00E0362B" w:rsidRPr="00A10850" w:rsidRDefault="00E0362B" w:rsidP="00DC54F7">
      <w:pPr>
        <w:numPr>
          <w:ilvl w:val="0"/>
          <w:numId w:val="6"/>
        </w:numPr>
        <w:spacing w:after="0" w:line="240" w:lineRule="auto"/>
        <w:jc w:val="both"/>
        <w:rPr>
          <w:rFonts w:ascii="Arial" w:hAnsi="Arial" w:cs="Arial"/>
        </w:rPr>
      </w:pPr>
      <w:r w:rsidRPr="00A10850">
        <w:rPr>
          <w:rFonts w:ascii="Arial" w:hAnsi="Arial" w:cs="Arial"/>
        </w:rPr>
        <w:t>Maintaining a record of all appliances supplied which can be used to assist future patient care</w:t>
      </w:r>
    </w:p>
    <w:p w14:paraId="0C8D211F" w14:textId="77777777" w:rsidR="00E0362B" w:rsidRPr="00A10850" w:rsidRDefault="00E0362B" w:rsidP="00DC54F7">
      <w:pPr>
        <w:numPr>
          <w:ilvl w:val="0"/>
          <w:numId w:val="6"/>
        </w:numPr>
        <w:spacing w:after="0" w:line="240" w:lineRule="auto"/>
        <w:jc w:val="both"/>
        <w:rPr>
          <w:rFonts w:ascii="Arial" w:hAnsi="Arial" w:cs="Arial"/>
        </w:rPr>
      </w:pPr>
      <w:r w:rsidRPr="00A10850">
        <w:rPr>
          <w:rFonts w:ascii="Arial" w:hAnsi="Arial" w:cs="Arial"/>
        </w:rPr>
        <w:t>Maintaining a record of advice given, and interventions a</w:t>
      </w:r>
      <w:r w:rsidR="00CA4A2D" w:rsidRPr="00A10850">
        <w:rPr>
          <w:rFonts w:ascii="Arial" w:hAnsi="Arial" w:cs="Arial"/>
        </w:rPr>
        <w:t>nd referrals made, where the dispensing appliance contractor</w:t>
      </w:r>
      <w:r w:rsidRPr="00A10850">
        <w:rPr>
          <w:rFonts w:ascii="Arial" w:hAnsi="Arial" w:cs="Arial"/>
        </w:rPr>
        <w:t xml:space="preserve"> judges it to be clinically appropriate</w:t>
      </w:r>
    </w:p>
    <w:p w14:paraId="1D3C6C25" w14:textId="77777777" w:rsidR="00E0362B" w:rsidRPr="00A10850" w:rsidRDefault="00E0362B" w:rsidP="00DC54F7">
      <w:pPr>
        <w:numPr>
          <w:ilvl w:val="0"/>
          <w:numId w:val="6"/>
        </w:numPr>
        <w:spacing w:after="0" w:line="240" w:lineRule="auto"/>
        <w:jc w:val="both"/>
        <w:rPr>
          <w:rFonts w:ascii="Arial" w:hAnsi="Arial" w:cs="Arial"/>
        </w:rPr>
      </w:pPr>
      <w:r w:rsidRPr="00A10850">
        <w:rPr>
          <w:rFonts w:ascii="Arial" w:hAnsi="Arial" w:cs="Arial"/>
        </w:rPr>
        <w:t>Providing the appropriate additional items such as disposable bags and wipes</w:t>
      </w:r>
    </w:p>
    <w:p w14:paraId="320D7EAA" w14:textId="77777777" w:rsidR="00E0362B" w:rsidRPr="00A10850" w:rsidRDefault="00E0362B" w:rsidP="00DC54F7">
      <w:pPr>
        <w:numPr>
          <w:ilvl w:val="0"/>
          <w:numId w:val="6"/>
        </w:numPr>
        <w:spacing w:after="0" w:line="240" w:lineRule="auto"/>
        <w:jc w:val="both"/>
        <w:rPr>
          <w:rFonts w:ascii="Arial" w:hAnsi="Arial" w:cs="Arial"/>
        </w:rPr>
      </w:pPr>
      <w:r w:rsidRPr="00A10850">
        <w:rPr>
          <w:rFonts w:ascii="Arial" w:hAnsi="Arial" w:cs="Arial"/>
        </w:rPr>
        <w:t>Delivering the appropriate items if required to do so in a timely manner and in suitable packaging that is discreet.</w:t>
      </w:r>
    </w:p>
    <w:p w14:paraId="4AC11494" w14:textId="77777777" w:rsidR="00E0362B" w:rsidRPr="00A10850" w:rsidRDefault="00E0362B" w:rsidP="00DC54F7">
      <w:pPr>
        <w:spacing w:after="0" w:line="240" w:lineRule="auto"/>
        <w:jc w:val="both"/>
        <w:rPr>
          <w:rFonts w:ascii="Arial" w:hAnsi="Arial" w:cs="Arial"/>
        </w:rPr>
      </w:pPr>
    </w:p>
    <w:p w14:paraId="6C3F3CEB" w14:textId="77777777" w:rsidR="00E0362B" w:rsidRPr="00A10850" w:rsidRDefault="00E0362B" w:rsidP="00DC54F7">
      <w:pPr>
        <w:spacing w:after="0" w:line="240" w:lineRule="auto"/>
        <w:jc w:val="both"/>
        <w:rPr>
          <w:rFonts w:ascii="Arial" w:hAnsi="Arial" w:cs="Arial"/>
        </w:rPr>
      </w:pPr>
      <w:r w:rsidRPr="00A10850">
        <w:rPr>
          <w:rFonts w:ascii="Arial" w:hAnsi="Arial" w:cs="Arial"/>
        </w:rPr>
        <w:t>To ensure patients are able to use their appliances effectively by staff providing information and advice to the patient or carer on the safe use of their appliance(s).</w:t>
      </w:r>
    </w:p>
    <w:p w14:paraId="5110E454" w14:textId="77777777" w:rsidR="00E0362B" w:rsidRPr="00A10850" w:rsidRDefault="00E0362B" w:rsidP="00DC54F7">
      <w:pPr>
        <w:spacing w:after="0" w:line="240" w:lineRule="auto"/>
        <w:ind w:left="720"/>
        <w:jc w:val="both"/>
        <w:rPr>
          <w:rFonts w:ascii="Arial" w:hAnsi="Arial" w:cs="Arial"/>
        </w:rPr>
      </w:pPr>
    </w:p>
    <w:p w14:paraId="10144628" w14:textId="77777777" w:rsidR="00E0362B" w:rsidRPr="00A10850" w:rsidRDefault="00E0362B" w:rsidP="00DC54F7">
      <w:pPr>
        <w:pStyle w:val="ListParagraph"/>
        <w:numPr>
          <w:ilvl w:val="0"/>
          <w:numId w:val="19"/>
        </w:numPr>
        <w:spacing w:after="0" w:line="240" w:lineRule="auto"/>
        <w:ind w:left="284" w:hanging="284"/>
        <w:jc w:val="both"/>
        <w:rPr>
          <w:rFonts w:ascii="Arial" w:hAnsi="Arial" w:cs="Arial"/>
          <w:b/>
          <w:sz w:val="24"/>
          <w:szCs w:val="24"/>
        </w:rPr>
      </w:pPr>
      <w:r w:rsidRPr="00A10850">
        <w:rPr>
          <w:rFonts w:ascii="Arial" w:hAnsi="Arial" w:cs="Arial"/>
          <w:b/>
          <w:sz w:val="24"/>
          <w:szCs w:val="24"/>
        </w:rPr>
        <w:t>Dispensing of repeatable prescriptions</w:t>
      </w:r>
    </w:p>
    <w:p w14:paraId="74D425A0" w14:textId="77777777" w:rsidR="00E0362B" w:rsidRPr="00A10850" w:rsidRDefault="00E0362B" w:rsidP="00DC54F7">
      <w:pPr>
        <w:spacing w:after="0" w:line="240" w:lineRule="auto"/>
        <w:jc w:val="both"/>
        <w:rPr>
          <w:rFonts w:ascii="Arial" w:hAnsi="Arial" w:cs="Arial"/>
        </w:rPr>
      </w:pPr>
    </w:p>
    <w:p w14:paraId="09B454B4" w14:textId="77777777" w:rsidR="00E0362B" w:rsidRPr="00A10850" w:rsidRDefault="00026762" w:rsidP="00DC54F7">
      <w:pPr>
        <w:spacing w:after="0" w:line="240" w:lineRule="auto"/>
        <w:jc w:val="both"/>
        <w:rPr>
          <w:rFonts w:ascii="Arial" w:hAnsi="Arial" w:cs="Arial"/>
          <w:b/>
          <w:bCs/>
        </w:rPr>
      </w:pPr>
      <w:r w:rsidRPr="00A10850">
        <w:rPr>
          <w:rFonts w:ascii="Arial" w:hAnsi="Arial" w:cs="Arial"/>
          <w:b/>
          <w:bCs/>
        </w:rPr>
        <w:t>Service d</w:t>
      </w:r>
      <w:r w:rsidR="00E0362B" w:rsidRPr="00A10850">
        <w:rPr>
          <w:rFonts w:ascii="Arial" w:hAnsi="Arial" w:cs="Arial"/>
          <w:b/>
          <w:bCs/>
        </w:rPr>
        <w:t>escription</w:t>
      </w:r>
    </w:p>
    <w:p w14:paraId="66222E51" w14:textId="77777777" w:rsidR="00E0362B" w:rsidRPr="00A10850" w:rsidRDefault="00E0362B" w:rsidP="00DC54F7">
      <w:pPr>
        <w:spacing w:after="0" w:line="240" w:lineRule="auto"/>
        <w:jc w:val="both"/>
        <w:rPr>
          <w:rFonts w:ascii="Arial" w:hAnsi="Arial" w:cs="Arial"/>
          <w:b/>
          <w:bCs/>
        </w:rPr>
      </w:pPr>
    </w:p>
    <w:p w14:paraId="4857CAB8" w14:textId="77777777" w:rsidR="00E0362B" w:rsidRPr="00A10850" w:rsidRDefault="00E0362B" w:rsidP="00DC54F7">
      <w:pPr>
        <w:spacing w:after="0" w:line="240" w:lineRule="auto"/>
        <w:jc w:val="both"/>
        <w:rPr>
          <w:rFonts w:ascii="Arial" w:hAnsi="Arial" w:cs="Arial"/>
        </w:rPr>
      </w:pPr>
      <w:r w:rsidRPr="00A10850">
        <w:rPr>
          <w:rFonts w:ascii="Arial" w:hAnsi="Arial" w:cs="Arial"/>
        </w:rPr>
        <w:t>The management and dispensing of repeatable NHS prescriptions appliances in partnership with the patient and the prescriber.</w:t>
      </w:r>
    </w:p>
    <w:p w14:paraId="6B08C0E5" w14:textId="77777777" w:rsidR="00E0362B" w:rsidRPr="00A10850" w:rsidRDefault="00E0362B" w:rsidP="00DC54F7">
      <w:pPr>
        <w:spacing w:after="0" w:line="240" w:lineRule="auto"/>
        <w:jc w:val="both"/>
        <w:rPr>
          <w:rFonts w:ascii="Arial" w:hAnsi="Arial" w:cs="Arial"/>
        </w:rPr>
      </w:pPr>
    </w:p>
    <w:p w14:paraId="49DCF90B" w14:textId="77777777" w:rsidR="00E0362B" w:rsidRPr="00A10850" w:rsidRDefault="00E0362B" w:rsidP="00DC54F7">
      <w:pPr>
        <w:spacing w:after="0" w:line="240" w:lineRule="auto"/>
        <w:jc w:val="both"/>
        <w:rPr>
          <w:rFonts w:ascii="Arial" w:hAnsi="Arial" w:cs="Arial"/>
        </w:rPr>
      </w:pPr>
      <w:r w:rsidRPr="00A10850">
        <w:rPr>
          <w:rFonts w:ascii="Arial" w:hAnsi="Arial" w:cs="Arial"/>
        </w:rPr>
        <w:t xml:space="preserve">This service </w:t>
      </w:r>
      <w:r w:rsidR="008F0B12" w:rsidRPr="00A10850">
        <w:rPr>
          <w:rFonts w:ascii="Arial" w:hAnsi="Arial" w:cs="Arial"/>
        </w:rPr>
        <w:t>includes</w:t>
      </w:r>
      <w:r w:rsidRPr="00A10850">
        <w:rPr>
          <w:rFonts w:ascii="Arial" w:hAnsi="Arial" w:cs="Arial"/>
        </w:rPr>
        <w:t xml:space="preserve"> the requirements </w:t>
      </w:r>
      <w:r w:rsidR="008F0B12" w:rsidRPr="00A10850">
        <w:rPr>
          <w:rFonts w:ascii="Arial" w:hAnsi="Arial" w:cs="Arial"/>
        </w:rPr>
        <w:t xml:space="preserve">that are </w:t>
      </w:r>
      <w:r w:rsidRPr="00A10850">
        <w:rPr>
          <w:rFonts w:ascii="Arial" w:hAnsi="Arial" w:cs="Arial"/>
        </w:rPr>
        <w:t xml:space="preserve">additional to those for dispensing, such that the </w:t>
      </w:r>
      <w:r w:rsidR="00CA4A2D" w:rsidRPr="00A10850">
        <w:rPr>
          <w:rFonts w:ascii="Arial" w:hAnsi="Arial" w:cs="Arial"/>
        </w:rPr>
        <w:t>dispensing appliance contractor</w:t>
      </w:r>
      <w:r w:rsidRPr="00A10850">
        <w:rPr>
          <w:rFonts w:ascii="Arial" w:hAnsi="Arial" w:cs="Arial"/>
        </w:rPr>
        <w:t xml:space="preserve"> ascertains the patient’s need for a repeat supply and communicates any clinically significant issues to the prescriber.</w:t>
      </w:r>
    </w:p>
    <w:p w14:paraId="3D4AEB8B" w14:textId="77777777" w:rsidR="00E0362B" w:rsidRPr="00A10850" w:rsidRDefault="00E0362B" w:rsidP="00DC54F7">
      <w:pPr>
        <w:spacing w:after="0" w:line="240" w:lineRule="auto"/>
        <w:jc w:val="both"/>
        <w:rPr>
          <w:rFonts w:ascii="Arial" w:hAnsi="Arial" w:cs="Arial"/>
        </w:rPr>
      </w:pPr>
    </w:p>
    <w:p w14:paraId="7E3B1772" w14:textId="77777777" w:rsidR="00E0362B" w:rsidRPr="00A10850" w:rsidRDefault="00E0362B" w:rsidP="00DC54F7">
      <w:pPr>
        <w:spacing w:after="0" w:line="240" w:lineRule="auto"/>
        <w:jc w:val="both"/>
        <w:rPr>
          <w:rFonts w:ascii="Arial" w:hAnsi="Arial" w:cs="Arial"/>
          <w:b/>
          <w:bCs/>
        </w:rPr>
      </w:pPr>
      <w:r w:rsidRPr="00A10850">
        <w:rPr>
          <w:rFonts w:ascii="Arial" w:hAnsi="Arial" w:cs="Arial"/>
          <w:b/>
          <w:bCs/>
        </w:rPr>
        <w:t>Aims and intended outcomes</w:t>
      </w:r>
    </w:p>
    <w:p w14:paraId="3BFF7C75" w14:textId="77777777" w:rsidR="00E0362B" w:rsidRPr="00A10850" w:rsidRDefault="00E0362B" w:rsidP="00DC54F7">
      <w:pPr>
        <w:spacing w:after="0" w:line="240" w:lineRule="auto"/>
        <w:jc w:val="both"/>
        <w:rPr>
          <w:rFonts w:ascii="Arial" w:hAnsi="Arial" w:cs="Arial"/>
          <w:b/>
          <w:bCs/>
        </w:rPr>
      </w:pPr>
    </w:p>
    <w:p w14:paraId="53565AB6" w14:textId="77777777" w:rsidR="00E0362B" w:rsidRPr="00A10850" w:rsidRDefault="00E0362B" w:rsidP="00DC54F7">
      <w:pPr>
        <w:numPr>
          <w:ilvl w:val="0"/>
          <w:numId w:val="9"/>
        </w:numPr>
        <w:spacing w:after="0" w:line="240" w:lineRule="auto"/>
        <w:jc w:val="both"/>
        <w:rPr>
          <w:rFonts w:ascii="Arial" w:hAnsi="Arial" w:cs="Arial"/>
        </w:rPr>
      </w:pPr>
      <w:r w:rsidRPr="00A10850">
        <w:rPr>
          <w:rFonts w:ascii="Arial" w:hAnsi="Arial" w:cs="Arial"/>
        </w:rPr>
        <w:t xml:space="preserve">To increase patient choice and convenience, by allowing them to obtain their regular prescribed appliances directly from a </w:t>
      </w:r>
      <w:r w:rsidR="006A0A74" w:rsidRPr="00A10850">
        <w:rPr>
          <w:rFonts w:ascii="Arial" w:hAnsi="Arial" w:cs="Arial"/>
        </w:rPr>
        <w:t xml:space="preserve">dispensing appliance contractor </w:t>
      </w:r>
      <w:r w:rsidRPr="00A10850">
        <w:rPr>
          <w:rFonts w:ascii="Arial" w:hAnsi="Arial" w:cs="Arial"/>
        </w:rPr>
        <w:t xml:space="preserve">for a </w:t>
      </w:r>
      <w:r w:rsidR="00A931C2" w:rsidRPr="00A10850">
        <w:rPr>
          <w:rFonts w:ascii="Arial" w:hAnsi="Arial" w:cs="Arial"/>
        </w:rPr>
        <w:t>period agreed by the prescriber</w:t>
      </w:r>
    </w:p>
    <w:p w14:paraId="32E2D986" w14:textId="77777777" w:rsidR="00E0362B" w:rsidRPr="00A10850" w:rsidRDefault="00E0362B" w:rsidP="00DC54F7">
      <w:pPr>
        <w:numPr>
          <w:ilvl w:val="0"/>
          <w:numId w:val="9"/>
        </w:numPr>
        <w:spacing w:after="0" w:line="240" w:lineRule="auto"/>
        <w:jc w:val="both"/>
        <w:rPr>
          <w:rFonts w:ascii="Arial" w:hAnsi="Arial" w:cs="Arial"/>
        </w:rPr>
      </w:pPr>
      <w:r w:rsidRPr="00A10850">
        <w:rPr>
          <w:rFonts w:ascii="Arial" w:hAnsi="Arial" w:cs="Arial"/>
        </w:rPr>
        <w:t xml:space="preserve">To minimise wastage by reducing the number of appliances dispensed which </w:t>
      </w:r>
      <w:r w:rsidR="00A931C2" w:rsidRPr="00A10850">
        <w:rPr>
          <w:rFonts w:ascii="Arial" w:hAnsi="Arial" w:cs="Arial"/>
        </w:rPr>
        <w:t>are not required by the patient</w:t>
      </w:r>
    </w:p>
    <w:p w14:paraId="43BFC89D" w14:textId="77777777" w:rsidR="00E0362B" w:rsidRPr="00A10850" w:rsidRDefault="00E0362B" w:rsidP="00DC54F7">
      <w:pPr>
        <w:numPr>
          <w:ilvl w:val="0"/>
          <w:numId w:val="9"/>
        </w:numPr>
        <w:spacing w:after="0" w:line="240" w:lineRule="auto"/>
        <w:jc w:val="both"/>
        <w:rPr>
          <w:rFonts w:ascii="Arial" w:hAnsi="Arial" w:cs="Arial"/>
        </w:rPr>
      </w:pPr>
      <w:r w:rsidRPr="00A10850">
        <w:rPr>
          <w:rFonts w:ascii="Arial" w:hAnsi="Arial" w:cs="Arial"/>
        </w:rPr>
        <w:t>To reduce the workload of GP practices, by lowering the burden of managing repeat prescriptions.</w:t>
      </w:r>
    </w:p>
    <w:p w14:paraId="2F800E32" w14:textId="77777777" w:rsidR="00E0362B" w:rsidRPr="00A10850" w:rsidRDefault="00E0362B" w:rsidP="00DC54F7">
      <w:pPr>
        <w:spacing w:after="0" w:line="240" w:lineRule="auto"/>
        <w:jc w:val="both"/>
        <w:rPr>
          <w:rFonts w:ascii="Arial" w:hAnsi="Arial" w:cs="Arial"/>
        </w:rPr>
      </w:pPr>
    </w:p>
    <w:p w14:paraId="5EAD61DD" w14:textId="77777777" w:rsidR="00986CD8" w:rsidRPr="00A10850" w:rsidRDefault="00986CD8" w:rsidP="00DC54F7">
      <w:pPr>
        <w:spacing w:after="0" w:line="240" w:lineRule="auto"/>
        <w:jc w:val="both"/>
        <w:rPr>
          <w:rFonts w:ascii="Arial" w:hAnsi="Arial" w:cs="Arial"/>
          <w:highlight w:val="cyan"/>
        </w:rPr>
      </w:pPr>
    </w:p>
    <w:p w14:paraId="3C9042FD" w14:textId="77777777" w:rsidR="008F0B12" w:rsidRPr="00A10850" w:rsidRDefault="008F0B12" w:rsidP="00DC54F7">
      <w:pPr>
        <w:spacing w:after="0" w:line="240" w:lineRule="auto"/>
        <w:jc w:val="both"/>
        <w:rPr>
          <w:rFonts w:ascii="Arial" w:hAnsi="Arial" w:cs="Arial"/>
          <w:highlight w:val="cyan"/>
        </w:rPr>
      </w:pPr>
    </w:p>
    <w:p w14:paraId="0566A660" w14:textId="77777777" w:rsidR="008F0B12" w:rsidRPr="00A10850" w:rsidRDefault="008F0B12" w:rsidP="00DC54F7">
      <w:pPr>
        <w:spacing w:after="0" w:line="240" w:lineRule="auto"/>
        <w:jc w:val="both"/>
        <w:rPr>
          <w:rFonts w:ascii="Arial" w:hAnsi="Arial" w:cs="Arial"/>
          <w:highlight w:val="cyan"/>
        </w:rPr>
      </w:pPr>
    </w:p>
    <w:p w14:paraId="4E0968C5" w14:textId="77777777" w:rsidR="00E0362B" w:rsidRPr="00A10850" w:rsidRDefault="00E0362B" w:rsidP="00DC54F7">
      <w:pPr>
        <w:pStyle w:val="ListParagraph"/>
        <w:numPr>
          <w:ilvl w:val="0"/>
          <w:numId w:val="19"/>
        </w:numPr>
        <w:spacing w:after="0" w:line="240" w:lineRule="auto"/>
        <w:ind w:left="284" w:hanging="284"/>
        <w:jc w:val="both"/>
        <w:rPr>
          <w:rFonts w:ascii="Arial" w:hAnsi="Arial" w:cs="Arial"/>
          <w:b/>
          <w:sz w:val="24"/>
          <w:szCs w:val="24"/>
        </w:rPr>
      </w:pPr>
      <w:r w:rsidRPr="00A10850">
        <w:rPr>
          <w:rFonts w:ascii="Arial" w:hAnsi="Arial" w:cs="Arial"/>
          <w:b/>
          <w:sz w:val="24"/>
          <w:szCs w:val="24"/>
        </w:rPr>
        <w:lastRenderedPageBreak/>
        <w:t>Home delivery service</w:t>
      </w:r>
    </w:p>
    <w:p w14:paraId="5A053ABC" w14:textId="77777777" w:rsidR="00026762" w:rsidRPr="00A10850" w:rsidRDefault="00026762" w:rsidP="00DC54F7">
      <w:pPr>
        <w:pStyle w:val="ListParagraph"/>
        <w:spacing w:after="0" w:line="240" w:lineRule="auto"/>
        <w:ind w:left="284"/>
        <w:jc w:val="both"/>
        <w:rPr>
          <w:rFonts w:ascii="Arial" w:hAnsi="Arial" w:cs="Arial"/>
        </w:rPr>
      </w:pPr>
    </w:p>
    <w:p w14:paraId="15AB3117" w14:textId="77777777" w:rsidR="00026762" w:rsidRPr="00A10850" w:rsidRDefault="00026762" w:rsidP="00DC54F7">
      <w:pPr>
        <w:spacing w:after="0" w:line="240" w:lineRule="auto"/>
        <w:jc w:val="both"/>
        <w:rPr>
          <w:rFonts w:ascii="Arial" w:hAnsi="Arial" w:cs="Arial"/>
          <w:b/>
        </w:rPr>
      </w:pPr>
      <w:r w:rsidRPr="00A10850">
        <w:rPr>
          <w:rFonts w:ascii="Arial" w:hAnsi="Arial" w:cs="Arial"/>
          <w:b/>
        </w:rPr>
        <w:t>Service description</w:t>
      </w:r>
    </w:p>
    <w:p w14:paraId="6386FD52" w14:textId="77777777" w:rsidR="00026762" w:rsidRPr="00A10850" w:rsidRDefault="00026762" w:rsidP="00DC54F7">
      <w:pPr>
        <w:spacing w:after="0" w:line="240" w:lineRule="auto"/>
        <w:jc w:val="both"/>
        <w:rPr>
          <w:rFonts w:ascii="Arial" w:hAnsi="Arial" w:cs="Arial"/>
        </w:rPr>
      </w:pPr>
    </w:p>
    <w:p w14:paraId="4CB114F2" w14:textId="77777777" w:rsidR="00254A9A" w:rsidRPr="00A10850" w:rsidRDefault="00254A9A" w:rsidP="00DC54F7">
      <w:pPr>
        <w:spacing w:after="0" w:line="240" w:lineRule="auto"/>
        <w:jc w:val="both"/>
        <w:rPr>
          <w:rFonts w:ascii="Arial" w:hAnsi="Arial" w:cs="Arial"/>
        </w:rPr>
      </w:pPr>
      <w:r w:rsidRPr="00A10850">
        <w:rPr>
          <w:rFonts w:ascii="Arial" w:hAnsi="Arial" w:cs="Arial"/>
        </w:rPr>
        <w:t>T</w:t>
      </w:r>
      <w:r w:rsidR="007921AD" w:rsidRPr="00A10850">
        <w:rPr>
          <w:rFonts w:ascii="Arial" w:hAnsi="Arial" w:cs="Arial"/>
        </w:rPr>
        <w:t>o provide a home delivery service in respect of certain appliances</w:t>
      </w:r>
      <w:r w:rsidRPr="00A10850">
        <w:rPr>
          <w:rFonts w:ascii="Arial" w:hAnsi="Arial" w:cs="Arial"/>
        </w:rPr>
        <w:t>.</w:t>
      </w:r>
    </w:p>
    <w:p w14:paraId="407D5FCE" w14:textId="77777777" w:rsidR="00254A9A" w:rsidRPr="00A10850" w:rsidRDefault="00254A9A" w:rsidP="00DC54F7">
      <w:pPr>
        <w:spacing w:after="0" w:line="240" w:lineRule="auto"/>
        <w:jc w:val="both"/>
        <w:rPr>
          <w:rFonts w:ascii="Arial" w:hAnsi="Arial" w:cs="Arial"/>
        </w:rPr>
      </w:pPr>
    </w:p>
    <w:p w14:paraId="24D13E26" w14:textId="77777777" w:rsidR="00E0362B" w:rsidRPr="00A10850" w:rsidRDefault="00026762" w:rsidP="00DC54F7">
      <w:pPr>
        <w:spacing w:after="0" w:line="240" w:lineRule="auto"/>
        <w:jc w:val="both"/>
        <w:rPr>
          <w:rFonts w:ascii="Arial" w:hAnsi="Arial" w:cs="Arial"/>
          <w:b/>
        </w:rPr>
      </w:pPr>
      <w:r w:rsidRPr="00A10850">
        <w:rPr>
          <w:rFonts w:ascii="Arial" w:hAnsi="Arial" w:cs="Arial"/>
          <w:b/>
        </w:rPr>
        <w:t>Aims and intended outcomes</w:t>
      </w:r>
    </w:p>
    <w:p w14:paraId="0A4A0941" w14:textId="77777777" w:rsidR="00026762" w:rsidRPr="00A10850" w:rsidRDefault="00026762" w:rsidP="00DC54F7">
      <w:pPr>
        <w:spacing w:after="0" w:line="240" w:lineRule="auto"/>
        <w:jc w:val="both"/>
        <w:rPr>
          <w:rFonts w:ascii="Arial" w:hAnsi="Arial" w:cs="Arial"/>
        </w:rPr>
      </w:pPr>
    </w:p>
    <w:p w14:paraId="5551C719" w14:textId="77777777" w:rsidR="00254A9A" w:rsidRPr="00A10850" w:rsidRDefault="00254A9A" w:rsidP="00DC54F7">
      <w:pPr>
        <w:spacing w:after="0" w:line="240" w:lineRule="auto"/>
        <w:jc w:val="both"/>
        <w:rPr>
          <w:rFonts w:ascii="Arial" w:hAnsi="Arial" w:cs="Arial"/>
        </w:rPr>
      </w:pPr>
      <w:r w:rsidRPr="00A10850">
        <w:rPr>
          <w:rFonts w:ascii="Arial" w:hAnsi="Arial" w:cs="Arial"/>
        </w:rPr>
        <w:t xml:space="preserve">To </w:t>
      </w:r>
      <w:r w:rsidR="00670382" w:rsidRPr="00A10850">
        <w:rPr>
          <w:rFonts w:ascii="Arial" w:hAnsi="Arial" w:cs="Arial"/>
        </w:rPr>
        <w:t xml:space="preserve">preserve the dignity of patients by </w:t>
      </w:r>
      <w:r w:rsidRPr="00A10850">
        <w:rPr>
          <w:rFonts w:ascii="Arial" w:hAnsi="Arial" w:cs="Arial"/>
        </w:rPr>
        <w:t>ensur</w:t>
      </w:r>
      <w:r w:rsidR="00670382" w:rsidRPr="00A10850">
        <w:rPr>
          <w:rFonts w:ascii="Arial" w:hAnsi="Arial" w:cs="Arial"/>
        </w:rPr>
        <w:t>ing</w:t>
      </w:r>
      <w:r w:rsidRPr="00A10850">
        <w:rPr>
          <w:rFonts w:ascii="Arial" w:hAnsi="Arial" w:cs="Arial"/>
        </w:rPr>
        <w:t xml:space="preserve"> that certain appliances are delivered:</w:t>
      </w:r>
    </w:p>
    <w:p w14:paraId="3D4FE4AC" w14:textId="77777777" w:rsidR="00254A9A" w:rsidRPr="00A10850" w:rsidRDefault="00254A9A" w:rsidP="00DC54F7">
      <w:pPr>
        <w:spacing w:after="0" w:line="240" w:lineRule="auto"/>
        <w:jc w:val="both"/>
        <w:rPr>
          <w:rFonts w:ascii="Arial" w:hAnsi="Arial" w:cs="Arial"/>
        </w:rPr>
      </w:pPr>
    </w:p>
    <w:p w14:paraId="3D04651D" w14:textId="77777777" w:rsidR="00254A9A" w:rsidRPr="00A10850" w:rsidRDefault="00254A9A" w:rsidP="00DC54F7">
      <w:pPr>
        <w:pStyle w:val="ListParagraph"/>
        <w:numPr>
          <w:ilvl w:val="0"/>
          <w:numId w:val="20"/>
        </w:numPr>
        <w:spacing w:after="0" w:line="240" w:lineRule="auto"/>
        <w:jc w:val="both"/>
        <w:rPr>
          <w:rFonts w:ascii="Arial" w:hAnsi="Arial" w:cs="Arial"/>
        </w:rPr>
      </w:pPr>
      <w:r w:rsidRPr="00A10850">
        <w:rPr>
          <w:rFonts w:ascii="Arial" w:hAnsi="Arial" w:cs="Arial"/>
        </w:rPr>
        <w:t>With reasonable promptness, a</w:t>
      </w:r>
      <w:r w:rsidR="00A931C2" w:rsidRPr="00A10850">
        <w:rPr>
          <w:rFonts w:ascii="Arial" w:hAnsi="Arial" w:cs="Arial"/>
        </w:rPr>
        <w:t>t a time agree with the patient</w:t>
      </w:r>
    </w:p>
    <w:p w14:paraId="6CA7E013" w14:textId="77777777" w:rsidR="00254A9A" w:rsidRPr="00A10850" w:rsidRDefault="00254A9A" w:rsidP="00DC54F7">
      <w:pPr>
        <w:pStyle w:val="ListParagraph"/>
        <w:numPr>
          <w:ilvl w:val="0"/>
          <w:numId w:val="20"/>
        </w:numPr>
        <w:spacing w:after="0" w:line="240" w:lineRule="auto"/>
        <w:jc w:val="both"/>
        <w:rPr>
          <w:rFonts w:ascii="Arial" w:hAnsi="Arial" w:cs="Arial"/>
        </w:rPr>
      </w:pPr>
      <w:r w:rsidRPr="00A10850">
        <w:rPr>
          <w:rFonts w:ascii="Arial" w:hAnsi="Arial" w:cs="Arial"/>
        </w:rPr>
        <w:t>In a package that displays no writing or other markings which could indicate its content; and</w:t>
      </w:r>
    </w:p>
    <w:p w14:paraId="7F4C313C" w14:textId="77777777" w:rsidR="00254A9A" w:rsidRPr="00A10850" w:rsidRDefault="00254A9A" w:rsidP="00DC54F7">
      <w:pPr>
        <w:pStyle w:val="ListParagraph"/>
        <w:numPr>
          <w:ilvl w:val="0"/>
          <w:numId w:val="20"/>
        </w:numPr>
        <w:spacing w:after="0" w:line="240" w:lineRule="auto"/>
        <w:jc w:val="both"/>
        <w:rPr>
          <w:rFonts w:ascii="Arial" w:hAnsi="Arial" w:cs="Arial"/>
        </w:rPr>
      </w:pPr>
      <w:r w:rsidRPr="00A10850">
        <w:rPr>
          <w:rFonts w:ascii="Arial" w:hAnsi="Arial" w:cs="Arial"/>
        </w:rPr>
        <w:t xml:space="preserve">In such a way that it is not possible to identify the type of appliance that is being delivered. </w:t>
      </w:r>
    </w:p>
    <w:p w14:paraId="2909C036" w14:textId="77777777" w:rsidR="00254A9A" w:rsidRPr="00A10850" w:rsidRDefault="00254A9A" w:rsidP="00DC54F7">
      <w:pPr>
        <w:pStyle w:val="ListParagraph"/>
        <w:spacing w:after="0" w:line="240" w:lineRule="auto"/>
        <w:jc w:val="both"/>
        <w:rPr>
          <w:rFonts w:ascii="Arial" w:hAnsi="Arial" w:cs="Arial"/>
        </w:rPr>
      </w:pPr>
    </w:p>
    <w:p w14:paraId="761FA35E" w14:textId="77777777" w:rsidR="00E0362B" w:rsidRPr="00A10850" w:rsidRDefault="00E0362B" w:rsidP="00DC54F7">
      <w:pPr>
        <w:pStyle w:val="ListParagraph"/>
        <w:numPr>
          <w:ilvl w:val="0"/>
          <w:numId w:val="19"/>
        </w:numPr>
        <w:spacing w:after="0" w:line="240" w:lineRule="auto"/>
        <w:ind w:left="284" w:hanging="284"/>
        <w:jc w:val="both"/>
        <w:rPr>
          <w:rFonts w:ascii="Arial" w:hAnsi="Arial" w:cs="Arial"/>
          <w:b/>
          <w:sz w:val="24"/>
          <w:szCs w:val="24"/>
        </w:rPr>
      </w:pPr>
      <w:r w:rsidRPr="00A10850">
        <w:rPr>
          <w:rFonts w:ascii="Arial" w:hAnsi="Arial" w:cs="Arial"/>
          <w:b/>
          <w:sz w:val="24"/>
          <w:szCs w:val="24"/>
        </w:rPr>
        <w:t>Supply of appropriate supplementary items</w:t>
      </w:r>
    </w:p>
    <w:p w14:paraId="36CB3F7D" w14:textId="77777777" w:rsidR="00E0362B" w:rsidRPr="00A10850" w:rsidRDefault="00E0362B" w:rsidP="00DC54F7">
      <w:pPr>
        <w:spacing w:after="0" w:line="240" w:lineRule="auto"/>
        <w:jc w:val="both"/>
        <w:rPr>
          <w:rFonts w:ascii="Arial" w:hAnsi="Arial" w:cs="Arial"/>
          <w:b/>
        </w:rPr>
      </w:pPr>
    </w:p>
    <w:p w14:paraId="2E4F7F72" w14:textId="77777777" w:rsidR="00026762" w:rsidRPr="00A10850" w:rsidRDefault="00026762" w:rsidP="00DC54F7">
      <w:pPr>
        <w:spacing w:after="0" w:line="240" w:lineRule="auto"/>
        <w:jc w:val="both"/>
        <w:rPr>
          <w:rFonts w:ascii="Arial" w:hAnsi="Arial" w:cs="Arial"/>
          <w:b/>
        </w:rPr>
      </w:pPr>
      <w:r w:rsidRPr="00A10850">
        <w:rPr>
          <w:rFonts w:ascii="Arial" w:hAnsi="Arial" w:cs="Arial"/>
          <w:b/>
        </w:rPr>
        <w:t>Service description</w:t>
      </w:r>
    </w:p>
    <w:p w14:paraId="3AD8F482" w14:textId="77777777" w:rsidR="00026762" w:rsidRPr="00A10850" w:rsidRDefault="00026762" w:rsidP="00DC54F7">
      <w:pPr>
        <w:spacing w:after="0" w:line="240" w:lineRule="auto"/>
        <w:jc w:val="both"/>
        <w:rPr>
          <w:rFonts w:ascii="Arial" w:hAnsi="Arial" w:cs="Arial"/>
        </w:rPr>
      </w:pPr>
    </w:p>
    <w:p w14:paraId="3028ECA1" w14:textId="77777777" w:rsidR="00D35561" w:rsidRPr="00A10850" w:rsidRDefault="00670382" w:rsidP="00DC54F7">
      <w:pPr>
        <w:spacing w:after="0" w:line="240" w:lineRule="auto"/>
        <w:jc w:val="both"/>
        <w:rPr>
          <w:rFonts w:ascii="Arial" w:hAnsi="Arial" w:cs="Arial"/>
        </w:rPr>
      </w:pPr>
      <w:r w:rsidRPr="00A10850">
        <w:rPr>
          <w:rFonts w:ascii="Arial" w:hAnsi="Arial" w:cs="Arial"/>
        </w:rPr>
        <w:t>The provision of additional items such as disposable wipes and disposal bags in connection with certain appliances.</w:t>
      </w:r>
    </w:p>
    <w:p w14:paraId="2D0AA851" w14:textId="77777777" w:rsidR="00670382" w:rsidRPr="00A10850" w:rsidRDefault="00670382" w:rsidP="00DC54F7">
      <w:pPr>
        <w:spacing w:after="0" w:line="240" w:lineRule="auto"/>
        <w:jc w:val="both"/>
        <w:rPr>
          <w:rFonts w:ascii="Arial" w:hAnsi="Arial" w:cs="Arial"/>
        </w:rPr>
      </w:pPr>
    </w:p>
    <w:p w14:paraId="0CE7FE60" w14:textId="77777777" w:rsidR="00026762" w:rsidRPr="00A10850" w:rsidRDefault="00026762" w:rsidP="00DC54F7">
      <w:pPr>
        <w:spacing w:after="0" w:line="240" w:lineRule="auto"/>
        <w:jc w:val="both"/>
        <w:rPr>
          <w:rFonts w:ascii="Arial" w:hAnsi="Arial" w:cs="Arial"/>
          <w:b/>
        </w:rPr>
      </w:pPr>
      <w:r w:rsidRPr="00A10850">
        <w:rPr>
          <w:rFonts w:ascii="Arial" w:hAnsi="Arial" w:cs="Arial"/>
          <w:b/>
        </w:rPr>
        <w:t>Aims and intended outcomes</w:t>
      </w:r>
    </w:p>
    <w:p w14:paraId="3B165F46" w14:textId="77777777" w:rsidR="00026762" w:rsidRPr="00A10850" w:rsidRDefault="00026762" w:rsidP="00DC54F7">
      <w:pPr>
        <w:spacing w:after="0" w:line="240" w:lineRule="auto"/>
        <w:jc w:val="both"/>
        <w:rPr>
          <w:rFonts w:ascii="Arial" w:hAnsi="Arial" w:cs="Arial"/>
        </w:rPr>
      </w:pPr>
    </w:p>
    <w:p w14:paraId="6451D552" w14:textId="3E0602FC" w:rsidR="00026762" w:rsidRPr="00A10850" w:rsidRDefault="00670382" w:rsidP="00DC54F7">
      <w:pPr>
        <w:spacing w:after="0" w:line="240" w:lineRule="auto"/>
        <w:jc w:val="both"/>
        <w:rPr>
          <w:rFonts w:ascii="Arial" w:hAnsi="Arial" w:cs="Arial"/>
        </w:rPr>
      </w:pPr>
      <w:r w:rsidRPr="00A10850">
        <w:rPr>
          <w:rFonts w:ascii="Arial" w:hAnsi="Arial" w:cs="Arial"/>
        </w:rPr>
        <w:t xml:space="preserve">To ensure that patients have a sufficient supply of wipes for use with their </w:t>
      </w:r>
      <w:r w:rsidR="00F56E8C" w:rsidRPr="00A10850">
        <w:rPr>
          <w:rFonts w:ascii="Arial" w:hAnsi="Arial" w:cs="Arial"/>
        </w:rPr>
        <w:t>appliance and</w:t>
      </w:r>
      <w:r w:rsidRPr="00A10850">
        <w:rPr>
          <w:rFonts w:ascii="Arial" w:hAnsi="Arial" w:cs="Arial"/>
        </w:rPr>
        <w:t xml:space="preserve"> are able to dispose of them in a safe and hygienic way.</w:t>
      </w:r>
    </w:p>
    <w:p w14:paraId="3271A346" w14:textId="77777777" w:rsidR="00670382" w:rsidRPr="00A10850" w:rsidRDefault="00670382" w:rsidP="00DC54F7">
      <w:pPr>
        <w:spacing w:after="0" w:line="240" w:lineRule="auto"/>
        <w:jc w:val="both"/>
        <w:rPr>
          <w:rFonts w:ascii="Arial" w:hAnsi="Arial" w:cs="Arial"/>
        </w:rPr>
      </w:pPr>
    </w:p>
    <w:p w14:paraId="4C919144" w14:textId="77777777" w:rsidR="00E0362B" w:rsidRPr="00A10850" w:rsidRDefault="00E0362B" w:rsidP="00DC54F7">
      <w:pPr>
        <w:pStyle w:val="ListParagraph"/>
        <w:numPr>
          <w:ilvl w:val="0"/>
          <w:numId w:val="19"/>
        </w:numPr>
        <w:spacing w:after="0" w:line="240" w:lineRule="auto"/>
        <w:ind w:left="284" w:hanging="284"/>
        <w:jc w:val="both"/>
        <w:rPr>
          <w:rFonts w:ascii="Arial" w:hAnsi="Arial" w:cs="Arial"/>
          <w:b/>
          <w:sz w:val="24"/>
          <w:szCs w:val="24"/>
        </w:rPr>
      </w:pPr>
      <w:r w:rsidRPr="00A10850">
        <w:rPr>
          <w:rFonts w:ascii="Arial" w:hAnsi="Arial" w:cs="Arial"/>
          <w:b/>
          <w:sz w:val="24"/>
          <w:szCs w:val="24"/>
        </w:rPr>
        <w:t>Provide expert clinical advice regarding the appliances</w:t>
      </w:r>
    </w:p>
    <w:p w14:paraId="077EB992" w14:textId="77777777" w:rsidR="00E0362B" w:rsidRPr="00A10850" w:rsidRDefault="00E0362B" w:rsidP="00DC54F7">
      <w:pPr>
        <w:spacing w:after="0" w:line="240" w:lineRule="auto"/>
        <w:jc w:val="both"/>
        <w:rPr>
          <w:rFonts w:ascii="Arial" w:hAnsi="Arial" w:cs="Arial"/>
        </w:rPr>
      </w:pPr>
    </w:p>
    <w:p w14:paraId="23A1BDAE" w14:textId="77777777" w:rsidR="00026762" w:rsidRPr="00A10850" w:rsidRDefault="00026762" w:rsidP="00DC54F7">
      <w:pPr>
        <w:spacing w:after="0" w:line="240" w:lineRule="auto"/>
        <w:jc w:val="both"/>
        <w:rPr>
          <w:rFonts w:ascii="Arial" w:hAnsi="Arial" w:cs="Arial"/>
          <w:b/>
        </w:rPr>
      </w:pPr>
      <w:r w:rsidRPr="00A10850">
        <w:rPr>
          <w:rFonts w:ascii="Arial" w:hAnsi="Arial" w:cs="Arial"/>
          <w:b/>
        </w:rPr>
        <w:t>Service description</w:t>
      </w:r>
    </w:p>
    <w:p w14:paraId="0EF67310" w14:textId="77777777" w:rsidR="00026762" w:rsidRPr="00A10850" w:rsidRDefault="00026762" w:rsidP="00DC54F7">
      <w:pPr>
        <w:spacing w:after="0" w:line="240" w:lineRule="auto"/>
        <w:jc w:val="both"/>
        <w:rPr>
          <w:rFonts w:ascii="Arial" w:hAnsi="Arial" w:cs="Arial"/>
        </w:rPr>
      </w:pPr>
    </w:p>
    <w:p w14:paraId="1FA8DECB" w14:textId="77777777" w:rsidR="009A3862" w:rsidRPr="00A10850" w:rsidRDefault="009A3862" w:rsidP="00DC54F7">
      <w:pPr>
        <w:spacing w:after="0" w:line="240" w:lineRule="auto"/>
        <w:jc w:val="both"/>
        <w:rPr>
          <w:rFonts w:ascii="Arial" w:hAnsi="Arial" w:cs="Arial"/>
        </w:rPr>
      </w:pPr>
      <w:r w:rsidRPr="00A10850">
        <w:rPr>
          <w:rFonts w:ascii="Arial" w:hAnsi="Arial" w:cs="Arial"/>
        </w:rPr>
        <w:t xml:space="preserve">The provision of expert clinical advice </w:t>
      </w:r>
      <w:r w:rsidR="007921AD" w:rsidRPr="00A10850">
        <w:rPr>
          <w:rFonts w:ascii="Arial" w:hAnsi="Arial" w:cs="Arial"/>
        </w:rPr>
        <w:t>by</w:t>
      </w:r>
      <w:r w:rsidRPr="00A10850">
        <w:rPr>
          <w:rFonts w:ascii="Arial" w:hAnsi="Arial" w:cs="Arial"/>
        </w:rPr>
        <w:t xml:space="preserve"> a suitably trained person who has relevant experience in respect of certain appliances.</w:t>
      </w:r>
    </w:p>
    <w:p w14:paraId="2C77CB25" w14:textId="77777777" w:rsidR="00670382" w:rsidRPr="00A10850" w:rsidRDefault="00670382" w:rsidP="00DC54F7">
      <w:pPr>
        <w:spacing w:after="0" w:line="240" w:lineRule="auto"/>
        <w:jc w:val="both"/>
        <w:rPr>
          <w:rFonts w:ascii="Arial" w:hAnsi="Arial" w:cs="Arial"/>
        </w:rPr>
      </w:pPr>
    </w:p>
    <w:p w14:paraId="0AB9032A" w14:textId="77777777" w:rsidR="009A3862" w:rsidRPr="00A10850" w:rsidRDefault="009A3862" w:rsidP="00DC54F7">
      <w:pPr>
        <w:spacing w:after="0" w:line="240" w:lineRule="auto"/>
        <w:jc w:val="both"/>
        <w:rPr>
          <w:rFonts w:ascii="Arial" w:hAnsi="Arial" w:cs="Arial"/>
          <w:b/>
        </w:rPr>
      </w:pPr>
      <w:r w:rsidRPr="00A10850">
        <w:rPr>
          <w:rFonts w:ascii="Arial" w:hAnsi="Arial" w:cs="Arial"/>
          <w:b/>
        </w:rPr>
        <w:t>Aims and intended outcomes</w:t>
      </w:r>
    </w:p>
    <w:p w14:paraId="76BB28FD" w14:textId="77777777" w:rsidR="009A3862" w:rsidRPr="00A10850" w:rsidRDefault="009A3862" w:rsidP="00DC54F7">
      <w:pPr>
        <w:spacing w:after="0" w:line="240" w:lineRule="auto"/>
        <w:jc w:val="both"/>
        <w:rPr>
          <w:rFonts w:ascii="Arial" w:hAnsi="Arial" w:cs="Arial"/>
        </w:rPr>
      </w:pPr>
    </w:p>
    <w:p w14:paraId="05205DBC" w14:textId="77777777" w:rsidR="009A3862" w:rsidRPr="00A10850" w:rsidRDefault="009A3862" w:rsidP="00DC54F7">
      <w:pPr>
        <w:spacing w:after="0" w:line="240" w:lineRule="auto"/>
        <w:jc w:val="both"/>
        <w:rPr>
          <w:rFonts w:ascii="Arial" w:hAnsi="Arial" w:cs="Arial"/>
        </w:rPr>
      </w:pPr>
      <w:r w:rsidRPr="00A10850">
        <w:rPr>
          <w:rFonts w:ascii="Arial" w:hAnsi="Arial" w:cs="Arial"/>
        </w:rPr>
        <w:t>To ensure that patients are able to seek appropriate advice on their appliance to increase their confidence in choosing an appliance that suits their needs as well as gaining confidence to adjust to the changes in their life and learning to manage an appliance.</w:t>
      </w:r>
    </w:p>
    <w:p w14:paraId="45B8B775" w14:textId="77777777" w:rsidR="009A3862" w:rsidRPr="00A10850" w:rsidRDefault="009A3862" w:rsidP="00DC54F7">
      <w:pPr>
        <w:spacing w:after="0" w:line="240" w:lineRule="auto"/>
        <w:jc w:val="both"/>
        <w:rPr>
          <w:rFonts w:ascii="Arial" w:hAnsi="Arial" w:cs="Arial"/>
        </w:rPr>
      </w:pPr>
    </w:p>
    <w:p w14:paraId="5A62EC41" w14:textId="77777777" w:rsidR="00E0362B" w:rsidRPr="00A10850" w:rsidRDefault="00E0362B" w:rsidP="00DC54F7">
      <w:pPr>
        <w:pStyle w:val="ListParagraph"/>
        <w:numPr>
          <w:ilvl w:val="0"/>
          <w:numId w:val="19"/>
        </w:numPr>
        <w:spacing w:after="0" w:line="240" w:lineRule="auto"/>
        <w:ind w:left="284" w:hanging="284"/>
        <w:jc w:val="both"/>
        <w:rPr>
          <w:rFonts w:ascii="Arial" w:hAnsi="Arial" w:cs="Arial"/>
          <w:b/>
          <w:sz w:val="24"/>
          <w:szCs w:val="24"/>
        </w:rPr>
      </w:pPr>
      <w:r w:rsidRPr="00A10850">
        <w:rPr>
          <w:rFonts w:ascii="Arial" w:hAnsi="Arial" w:cs="Arial"/>
          <w:b/>
          <w:sz w:val="24"/>
          <w:szCs w:val="24"/>
        </w:rPr>
        <w:t xml:space="preserve">Where a telephone care line is provided, during the period when the </w:t>
      </w:r>
      <w:r w:rsidR="006A0A74" w:rsidRPr="00A10850">
        <w:rPr>
          <w:rFonts w:ascii="Arial" w:hAnsi="Arial" w:cs="Arial"/>
          <w:b/>
          <w:sz w:val="24"/>
          <w:szCs w:val="24"/>
        </w:rPr>
        <w:t>dispensing appliance contractor</w:t>
      </w:r>
      <w:r w:rsidRPr="00A10850">
        <w:rPr>
          <w:rFonts w:ascii="Arial" w:hAnsi="Arial" w:cs="Arial"/>
          <w:b/>
          <w:sz w:val="24"/>
          <w:szCs w:val="24"/>
        </w:rPr>
        <w:t xml:space="preserve"> is closed advice is either to be provided via the care line or callers are directed to </w:t>
      </w:r>
      <w:r w:rsidR="007921AD" w:rsidRPr="00A10850">
        <w:rPr>
          <w:rFonts w:ascii="Arial" w:hAnsi="Arial" w:cs="Arial"/>
          <w:b/>
          <w:sz w:val="24"/>
          <w:szCs w:val="24"/>
        </w:rPr>
        <w:t>NHS Direct Wales</w:t>
      </w:r>
    </w:p>
    <w:p w14:paraId="200E50E8" w14:textId="77777777" w:rsidR="00E0362B" w:rsidRPr="00A10850" w:rsidRDefault="00E0362B" w:rsidP="00DC54F7">
      <w:pPr>
        <w:spacing w:after="0" w:line="240" w:lineRule="auto"/>
        <w:jc w:val="both"/>
        <w:rPr>
          <w:rFonts w:ascii="Arial" w:hAnsi="Arial" w:cs="Arial"/>
        </w:rPr>
      </w:pPr>
    </w:p>
    <w:p w14:paraId="60429F35" w14:textId="77777777" w:rsidR="00026762" w:rsidRPr="00A10850" w:rsidRDefault="00026762" w:rsidP="00DC54F7">
      <w:pPr>
        <w:spacing w:after="0" w:line="240" w:lineRule="auto"/>
        <w:jc w:val="both"/>
        <w:rPr>
          <w:rFonts w:ascii="Arial" w:hAnsi="Arial" w:cs="Arial"/>
          <w:b/>
        </w:rPr>
      </w:pPr>
      <w:r w:rsidRPr="00A10850">
        <w:rPr>
          <w:rFonts w:ascii="Arial" w:hAnsi="Arial" w:cs="Arial"/>
          <w:b/>
        </w:rPr>
        <w:t>Service description</w:t>
      </w:r>
    </w:p>
    <w:p w14:paraId="76E2A6AB" w14:textId="77777777" w:rsidR="00026762" w:rsidRPr="00A10850" w:rsidRDefault="00026762" w:rsidP="00DC54F7">
      <w:pPr>
        <w:spacing w:after="0" w:line="240" w:lineRule="auto"/>
        <w:jc w:val="both"/>
        <w:rPr>
          <w:rFonts w:ascii="Arial" w:hAnsi="Arial" w:cs="Arial"/>
        </w:rPr>
      </w:pPr>
    </w:p>
    <w:p w14:paraId="7020D5F8" w14:textId="77777777" w:rsidR="009A3862" w:rsidRPr="00A10850" w:rsidRDefault="009A3862" w:rsidP="00DC54F7">
      <w:pPr>
        <w:spacing w:after="0" w:line="240" w:lineRule="auto"/>
        <w:jc w:val="both"/>
        <w:rPr>
          <w:rFonts w:ascii="Arial" w:hAnsi="Arial" w:cs="Arial"/>
        </w:rPr>
      </w:pPr>
      <w:r w:rsidRPr="00A10850">
        <w:rPr>
          <w:rFonts w:ascii="Arial" w:hAnsi="Arial" w:cs="Arial"/>
        </w:rPr>
        <w:t xml:space="preserve">Provision of advice on certain appliances via a telephone care line outside of the </w:t>
      </w:r>
      <w:r w:rsidR="006A0A74" w:rsidRPr="00A10850">
        <w:rPr>
          <w:rFonts w:ascii="Arial" w:hAnsi="Arial" w:cs="Arial"/>
        </w:rPr>
        <w:t>dispensing appliance contractor</w:t>
      </w:r>
      <w:r w:rsidRPr="00A10850">
        <w:rPr>
          <w:rFonts w:ascii="Arial" w:hAnsi="Arial" w:cs="Arial"/>
        </w:rPr>
        <w:t>’s contracted opening hours.</w:t>
      </w:r>
      <w:r w:rsidR="00197F0B" w:rsidRPr="00A10850">
        <w:rPr>
          <w:rFonts w:ascii="Arial" w:hAnsi="Arial" w:cs="Arial"/>
        </w:rPr>
        <w:t xml:space="preserve">     </w:t>
      </w:r>
      <w:r w:rsidR="00336759" w:rsidRPr="00A10850">
        <w:rPr>
          <w:rFonts w:ascii="Arial" w:hAnsi="Arial" w:cs="Arial"/>
        </w:rPr>
        <w:t xml:space="preserve">The </w:t>
      </w:r>
      <w:r w:rsidR="006A0A74" w:rsidRPr="00A10850">
        <w:rPr>
          <w:rFonts w:ascii="Arial" w:hAnsi="Arial" w:cs="Arial"/>
        </w:rPr>
        <w:t>dispensing appliance contractor</w:t>
      </w:r>
      <w:r w:rsidR="00336759" w:rsidRPr="00A10850">
        <w:rPr>
          <w:rFonts w:ascii="Arial" w:hAnsi="Arial" w:cs="Arial"/>
        </w:rPr>
        <w:t xml:space="preserve"> is not required to staff </w:t>
      </w:r>
      <w:r w:rsidR="0026067A" w:rsidRPr="00A10850">
        <w:rPr>
          <w:rFonts w:ascii="Arial" w:hAnsi="Arial" w:cs="Arial"/>
        </w:rPr>
        <w:t xml:space="preserve">the care line </w:t>
      </w:r>
      <w:r w:rsidR="00336759" w:rsidRPr="00A10850">
        <w:rPr>
          <w:rFonts w:ascii="Arial" w:hAnsi="Arial" w:cs="Arial"/>
        </w:rPr>
        <w:t xml:space="preserve">all day, every day, but when it is not </w:t>
      </w:r>
      <w:r w:rsidR="007921AD" w:rsidRPr="00A10850">
        <w:rPr>
          <w:rFonts w:ascii="Arial" w:hAnsi="Arial" w:cs="Arial"/>
        </w:rPr>
        <w:t xml:space="preserve">staffed </w:t>
      </w:r>
      <w:r w:rsidR="00336759" w:rsidRPr="00A10850">
        <w:rPr>
          <w:rFonts w:ascii="Arial" w:hAnsi="Arial" w:cs="Arial"/>
        </w:rPr>
        <w:t xml:space="preserve">callers must be given a telephone number or website contact details for </w:t>
      </w:r>
      <w:r w:rsidR="007921AD" w:rsidRPr="00A10850">
        <w:rPr>
          <w:rFonts w:ascii="Arial" w:hAnsi="Arial" w:cs="Arial"/>
        </w:rPr>
        <w:t>NHS Direct Wales</w:t>
      </w:r>
      <w:r w:rsidR="00336759" w:rsidRPr="00A10850">
        <w:rPr>
          <w:rFonts w:ascii="Arial" w:hAnsi="Arial" w:cs="Arial"/>
        </w:rPr>
        <w:t xml:space="preserve"> who may be consulted for advice.</w:t>
      </w:r>
    </w:p>
    <w:p w14:paraId="36BD8201" w14:textId="77777777" w:rsidR="007921AD" w:rsidRPr="00A10850" w:rsidRDefault="007921AD" w:rsidP="00DC54F7">
      <w:pPr>
        <w:spacing w:after="0" w:line="240" w:lineRule="auto"/>
        <w:jc w:val="both"/>
        <w:rPr>
          <w:rFonts w:ascii="Arial" w:hAnsi="Arial" w:cs="Arial"/>
        </w:rPr>
      </w:pPr>
    </w:p>
    <w:p w14:paraId="1F314465" w14:textId="77777777" w:rsidR="00026762" w:rsidRPr="00A10850" w:rsidRDefault="00026762" w:rsidP="00DC54F7">
      <w:pPr>
        <w:spacing w:after="0" w:line="240" w:lineRule="auto"/>
        <w:jc w:val="both"/>
        <w:rPr>
          <w:rFonts w:ascii="Arial" w:hAnsi="Arial" w:cs="Arial"/>
          <w:b/>
        </w:rPr>
      </w:pPr>
      <w:r w:rsidRPr="00A10850">
        <w:rPr>
          <w:rFonts w:ascii="Arial" w:hAnsi="Arial" w:cs="Arial"/>
          <w:b/>
        </w:rPr>
        <w:lastRenderedPageBreak/>
        <w:t>Aims and intended outcomes</w:t>
      </w:r>
    </w:p>
    <w:p w14:paraId="40199CF9" w14:textId="77777777" w:rsidR="00026762" w:rsidRPr="00A10850" w:rsidRDefault="00026762" w:rsidP="00DC54F7">
      <w:pPr>
        <w:spacing w:after="0" w:line="240" w:lineRule="auto"/>
        <w:jc w:val="both"/>
        <w:rPr>
          <w:rFonts w:ascii="Arial" w:hAnsi="Arial" w:cs="Arial"/>
        </w:rPr>
      </w:pPr>
    </w:p>
    <w:p w14:paraId="31A7E4D5" w14:textId="77777777" w:rsidR="009A3862" w:rsidRPr="00A10850" w:rsidRDefault="009A3862" w:rsidP="00DC54F7">
      <w:pPr>
        <w:spacing w:after="0" w:line="240" w:lineRule="auto"/>
        <w:jc w:val="both"/>
        <w:rPr>
          <w:rFonts w:ascii="Arial" w:hAnsi="Arial" w:cs="Arial"/>
        </w:rPr>
      </w:pPr>
      <w:r w:rsidRPr="00A10850">
        <w:rPr>
          <w:rFonts w:ascii="Arial" w:hAnsi="Arial" w:cs="Arial"/>
        </w:rPr>
        <w:t>Callers to the telephone care line are able to access advice 24 hours a day, seven days a week</w:t>
      </w:r>
      <w:r w:rsidR="00336759" w:rsidRPr="00A10850">
        <w:rPr>
          <w:rFonts w:ascii="Arial" w:hAnsi="Arial" w:cs="Arial"/>
        </w:rPr>
        <w:t xml:space="preserve"> on certain appliances in order to manage their appliance. </w:t>
      </w:r>
    </w:p>
    <w:p w14:paraId="11029A32" w14:textId="77777777" w:rsidR="009A3862" w:rsidRPr="00A10850" w:rsidRDefault="009A3862" w:rsidP="00DC54F7">
      <w:pPr>
        <w:spacing w:after="0" w:line="240" w:lineRule="auto"/>
        <w:jc w:val="both"/>
        <w:rPr>
          <w:rFonts w:ascii="Arial" w:hAnsi="Arial" w:cs="Arial"/>
        </w:rPr>
      </w:pPr>
    </w:p>
    <w:p w14:paraId="2BE22956" w14:textId="77777777" w:rsidR="00E0362B" w:rsidRPr="00A10850" w:rsidRDefault="00E0362B" w:rsidP="00DC54F7">
      <w:pPr>
        <w:pStyle w:val="ListParagraph"/>
        <w:numPr>
          <w:ilvl w:val="0"/>
          <w:numId w:val="19"/>
        </w:numPr>
        <w:spacing w:after="0" w:line="240" w:lineRule="auto"/>
        <w:ind w:left="284" w:hanging="284"/>
        <w:jc w:val="both"/>
        <w:rPr>
          <w:rFonts w:ascii="Arial" w:hAnsi="Arial" w:cs="Arial"/>
          <w:b/>
          <w:sz w:val="24"/>
          <w:szCs w:val="24"/>
        </w:rPr>
      </w:pPr>
      <w:r w:rsidRPr="00A10850">
        <w:rPr>
          <w:rFonts w:ascii="Arial" w:hAnsi="Arial" w:cs="Arial"/>
          <w:b/>
          <w:sz w:val="24"/>
          <w:szCs w:val="24"/>
        </w:rPr>
        <w:t xml:space="preserve">Signposting </w:t>
      </w:r>
    </w:p>
    <w:p w14:paraId="1E58926C" w14:textId="77777777" w:rsidR="00026762" w:rsidRPr="00A10850" w:rsidRDefault="00026762" w:rsidP="00DC54F7">
      <w:pPr>
        <w:spacing w:after="0" w:line="240" w:lineRule="auto"/>
        <w:jc w:val="both"/>
        <w:rPr>
          <w:rFonts w:ascii="Arial" w:hAnsi="Arial" w:cs="Arial"/>
        </w:rPr>
      </w:pPr>
    </w:p>
    <w:p w14:paraId="46F60C54" w14:textId="77777777" w:rsidR="00026762" w:rsidRPr="00A10850" w:rsidRDefault="00026762" w:rsidP="00DC54F7">
      <w:pPr>
        <w:spacing w:after="0" w:line="240" w:lineRule="auto"/>
        <w:jc w:val="both"/>
        <w:rPr>
          <w:rFonts w:ascii="Arial" w:hAnsi="Arial" w:cs="Arial"/>
          <w:b/>
        </w:rPr>
      </w:pPr>
      <w:r w:rsidRPr="00A10850">
        <w:rPr>
          <w:rFonts w:ascii="Arial" w:hAnsi="Arial" w:cs="Arial"/>
          <w:b/>
        </w:rPr>
        <w:t>Service description</w:t>
      </w:r>
    </w:p>
    <w:p w14:paraId="6843DD36" w14:textId="77777777" w:rsidR="00026762" w:rsidRPr="00A10850" w:rsidRDefault="00026762" w:rsidP="00DC54F7">
      <w:pPr>
        <w:spacing w:after="0" w:line="240" w:lineRule="auto"/>
        <w:jc w:val="both"/>
        <w:rPr>
          <w:rFonts w:ascii="Arial" w:hAnsi="Arial" w:cs="Arial"/>
        </w:rPr>
      </w:pPr>
    </w:p>
    <w:p w14:paraId="0E8A53A3" w14:textId="77777777" w:rsidR="00336759" w:rsidRPr="00A10850" w:rsidRDefault="0030412A" w:rsidP="00DC54F7">
      <w:pPr>
        <w:spacing w:after="0" w:line="240" w:lineRule="auto"/>
        <w:jc w:val="both"/>
        <w:rPr>
          <w:rFonts w:ascii="Arial" w:hAnsi="Arial" w:cs="Arial"/>
        </w:rPr>
      </w:pPr>
      <w:r w:rsidRPr="00A10850">
        <w:rPr>
          <w:rFonts w:ascii="Arial" w:hAnsi="Arial" w:cs="Arial"/>
        </w:rPr>
        <w:t xml:space="preserve">Where a patient presents a prescription for an appliance which the </w:t>
      </w:r>
      <w:r w:rsidR="006A0A74" w:rsidRPr="00A10850">
        <w:rPr>
          <w:rFonts w:ascii="Arial" w:hAnsi="Arial" w:cs="Arial"/>
        </w:rPr>
        <w:t>dispensing appliance contractor</w:t>
      </w:r>
      <w:r w:rsidRPr="00A10850">
        <w:rPr>
          <w:rFonts w:ascii="Arial" w:hAnsi="Arial" w:cs="Arial"/>
        </w:rPr>
        <w:t xml:space="preserve"> does not supply </w:t>
      </w:r>
      <w:r w:rsidR="00336759" w:rsidRPr="00A10850">
        <w:rPr>
          <w:rFonts w:ascii="Arial" w:hAnsi="Arial" w:cs="Arial"/>
        </w:rPr>
        <w:t>the prescription is either:</w:t>
      </w:r>
    </w:p>
    <w:p w14:paraId="6BB740B8" w14:textId="77777777" w:rsidR="00336759" w:rsidRPr="00A10850" w:rsidRDefault="00336759" w:rsidP="00DC54F7">
      <w:pPr>
        <w:spacing w:after="0" w:line="240" w:lineRule="auto"/>
        <w:jc w:val="both"/>
        <w:rPr>
          <w:rFonts w:ascii="Arial" w:hAnsi="Arial" w:cs="Arial"/>
        </w:rPr>
      </w:pPr>
    </w:p>
    <w:p w14:paraId="703ACEFF" w14:textId="77777777" w:rsidR="00336759" w:rsidRPr="00A10850" w:rsidRDefault="00A931C2" w:rsidP="00DC54F7">
      <w:pPr>
        <w:pStyle w:val="ListParagraph"/>
        <w:numPr>
          <w:ilvl w:val="0"/>
          <w:numId w:val="21"/>
        </w:numPr>
        <w:spacing w:after="0" w:line="240" w:lineRule="auto"/>
        <w:jc w:val="both"/>
        <w:rPr>
          <w:rFonts w:ascii="Arial" w:hAnsi="Arial" w:cs="Arial"/>
        </w:rPr>
      </w:pPr>
      <w:r w:rsidRPr="00A10850">
        <w:rPr>
          <w:rFonts w:ascii="Arial" w:hAnsi="Arial" w:cs="Arial"/>
        </w:rPr>
        <w:t>W</w:t>
      </w:r>
      <w:r w:rsidR="00336759" w:rsidRPr="00A10850">
        <w:rPr>
          <w:rFonts w:ascii="Arial" w:hAnsi="Arial" w:cs="Arial"/>
        </w:rPr>
        <w:t xml:space="preserve">ith the consent of the patient, passed to another provider of appliances, or </w:t>
      </w:r>
    </w:p>
    <w:p w14:paraId="1B240C18" w14:textId="77777777" w:rsidR="0030412A" w:rsidRPr="00A10850" w:rsidRDefault="00A931C2" w:rsidP="00DC54F7">
      <w:pPr>
        <w:pStyle w:val="ListParagraph"/>
        <w:numPr>
          <w:ilvl w:val="0"/>
          <w:numId w:val="21"/>
        </w:numPr>
        <w:spacing w:after="0" w:line="240" w:lineRule="auto"/>
        <w:jc w:val="both"/>
        <w:rPr>
          <w:rFonts w:ascii="Arial" w:hAnsi="Arial" w:cs="Arial"/>
        </w:rPr>
      </w:pPr>
      <w:r w:rsidRPr="00A10850">
        <w:rPr>
          <w:rFonts w:ascii="Arial" w:hAnsi="Arial" w:cs="Arial"/>
        </w:rPr>
        <w:t>I</w:t>
      </w:r>
      <w:r w:rsidR="00336759" w:rsidRPr="00A10850">
        <w:rPr>
          <w:rFonts w:ascii="Arial" w:hAnsi="Arial" w:cs="Arial"/>
        </w:rPr>
        <w:t>f the patient does not consent, they are given contact details for at least two other contractors who are able to dispense it.</w:t>
      </w:r>
    </w:p>
    <w:p w14:paraId="50F0A725" w14:textId="77777777" w:rsidR="00336759" w:rsidRPr="00A10850" w:rsidRDefault="00336759" w:rsidP="00DC54F7">
      <w:pPr>
        <w:spacing w:after="0" w:line="240" w:lineRule="auto"/>
        <w:jc w:val="both"/>
        <w:rPr>
          <w:rFonts w:ascii="Arial" w:hAnsi="Arial" w:cs="Arial"/>
        </w:rPr>
      </w:pPr>
    </w:p>
    <w:p w14:paraId="3B4919A6" w14:textId="77777777" w:rsidR="009D1FF2" w:rsidRPr="00A10850" w:rsidRDefault="009D1FF2" w:rsidP="00DC54F7">
      <w:pPr>
        <w:spacing w:after="0" w:line="240" w:lineRule="auto"/>
        <w:jc w:val="both"/>
        <w:rPr>
          <w:rFonts w:ascii="Arial" w:hAnsi="Arial" w:cs="Arial"/>
        </w:rPr>
      </w:pPr>
    </w:p>
    <w:p w14:paraId="7E69BBA9" w14:textId="77777777" w:rsidR="00026762" w:rsidRPr="00A10850" w:rsidRDefault="00026762" w:rsidP="00DC54F7">
      <w:pPr>
        <w:spacing w:after="0" w:line="240" w:lineRule="auto"/>
        <w:jc w:val="both"/>
        <w:rPr>
          <w:rFonts w:ascii="Arial" w:hAnsi="Arial" w:cs="Arial"/>
          <w:b/>
        </w:rPr>
      </w:pPr>
      <w:r w:rsidRPr="00A10850">
        <w:rPr>
          <w:rFonts w:ascii="Arial" w:hAnsi="Arial" w:cs="Arial"/>
          <w:b/>
        </w:rPr>
        <w:t>Aims and intended outcomes</w:t>
      </w:r>
    </w:p>
    <w:p w14:paraId="395131BD" w14:textId="77777777" w:rsidR="00026762" w:rsidRPr="00A10850" w:rsidRDefault="00026762" w:rsidP="00DC54F7">
      <w:pPr>
        <w:spacing w:after="0" w:line="240" w:lineRule="auto"/>
        <w:jc w:val="both"/>
        <w:rPr>
          <w:rFonts w:ascii="Arial" w:hAnsi="Arial" w:cs="Arial"/>
        </w:rPr>
      </w:pPr>
    </w:p>
    <w:p w14:paraId="7AEDF680" w14:textId="77777777" w:rsidR="00336759" w:rsidRPr="00A10850" w:rsidRDefault="00336759" w:rsidP="00DC54F7">
      <w:pPr>
        <w:spacing w:after="0" w:line="240" w:lineRule="auto"/>
        <w:jc w:val="both"/>
        <w:rPr>
          <w:rFonts w:ascii="Arial" w:hAnsi="Arial" w:cs="Arial"/>
        </w:rPr>
      </w:pPr>
      <w:r w:rsidRPr="00A10850">
        <w:rPr>
          <w:rFonts w:ascii="Arial" w:hAnsi="Arial" w:cs="Arial"/>
        </w:rPr>
        <w:t>To ensure that patients are able to have their prescription dispensed</w:t>
      </w:r>
      <w:r w:rsidR="00BD4347" w:rsidRPr="00A10850">
        <w:rPr>
          <w:rFonts w:ascii="Arial" w:hAnsi="Arial" w:cs="Arial"/>
        </w:rPr>
        <w:t>.</w:t>
      </w:r>
    </w:p>
    <w:p w14:paraId="16167A59" w14:textId="77777777" w:rsidR="001074EC" w:rsidRPr="00A10850" w:rsidRDefault="001074EC" w:rsidP="00DC54F7">
      <w:pPr>
        <w:spacing w:after="0" w:line="240" w:lineRule="auto"/>
        <w:jc w:val="both"/>
        <w:rPr>
          <w:rFonts w:ascii="Arial" w:hAnsi="Arial" w:cs="Arial"/>
          <w:b/>
        </w:rPr>
      </w:pPr>
      <w:r w:rsidRPr="00A10850">
        <w:rPr>
          <w:rFonts w:ascii="Arial" w:hAnsi="Arial" w:cs="Arial"/>
          <w:b/>
        </w:rPr>
        <w:br w:type="page"/>
      </w:r>
    </w:p>
    <w:p w14:paraId="776066E5" w14:textId="2EECAF1F" w:rsidR="002D5F1D" w:rsidRPr="00A10850" w:rsidRDefault="002D5F1D" w:rsidP="00DC54F7">
      <w:pPr>
        <w:pStyle w:val="Heading1"/>
        <w:jc w:val="both"/>
        <w:rPr>
          <w:rFonts w:cs="Arial"/>
          <w:color w:val="auto"/>
        </w:rPr>
      </w:pPr>
      <w:bookmarkStart w:id="74" w:name="_Toc81585118"/>
      <w:r w:rsidRPr="00A10850">
        <w:rPr>
          <w:rFonts w:cs="Arial"/>
          <w:color w:val="auto"/>
        </w:rPr>
        <w:lastRenderedPageBreak/>
        <w:t>Appendix</w:t>
      </w:r>
      <w:r w:rsidR="00962298" w:rsidRPr="00A10850">
        <w:rPr>
          <w:rFonts w:cs="Arial"/>
          <w:color w:val="auto"/>
        </w:rPr>
        <w:t xml:space="preserve"> F</w:t>
      </w:r>
      <w:r w:rsidRPr="00A10850">
        <w:rPr>
          <w:rFonts w:cs="Arial"/>
          <w:color w:val="auto"/>
        </w:rPr>
        <w:t xml:space="preserve"> – </w:t>
      </w:r>
      <w:r w:rsidR="00405EA1" w:rsidRPr="00A10850">
        <w:rPr>
          <w:rFonts w:cs="Arial"/>
          <w:color w:val="auto"/>
        </w:rPr>
        <w:t>PNA steering</w:t>
      </w:r>
      <w:r w:rsidRPr="00A10850">
        <w:rPr>
          <w:rFonts w:cs="Arial"/>
          <w:color w:val="auto"/>
        </w:rPr>
        <w:t xml:space="preserve"> group </w:t>
      </w:r>
      <w:r w:rsidR="0079176B" w:rsidRPr="00A10850">
        <w:rPr>
          <w:rFonts w:cs="Arial"/>
          <w:color w:val="auto"/>
        </w:rPr>
        <w:t>membership</w:t>
      </w:r>
      <w:bookmarkEnd w:id="74"/>
    </w:p>
    <w:p w14:paraId="485852BB" w14:textId="77777777" w:rsidR="0079176B" w:rsidRPr="00A10850" w:rsidRDefault="0079176B" w:rsidP="00DC54F7">
      <w:pPr>
        <w:spacing w:after="0"/>
        <w:contextualSpacing/>
        <w:jc w:val="both"/>
        <w:rPr>
          <w:rFonts w:ascii="Arial" w:hAnsi="Arial" w:cs="Arial"/>
          <w:b/>
        </w:rPr>
      </w:pPr>
    </w:p>
    <w:tbl>
      <w:tblPr>
        <w:tblStyle w:val="TableGrid"/>
        <w:tblW w:w="9884" w:type="dxa"/>
        <w:tblLook w:val="04A0" w:firstRow="1" w:lastRow="0" w:firstColumn="1" w:lastColumn="0" w:noHBand="0" w:noVBand="1"/>
      </w:tblPr>
      <w:tblGrid>
        <w:gridCol w:w="1766"/>
        <w:gridCol w:w="4608"/>
        <w:gridCol w:w="3510"/>
      </w:tblGrid>
      <w:tr w:rsidR="00763428" w:rsidRPr="00A10850" w14:paraId="7C6C05F0" w14:textId="77777777" w:rsidTr="000035D7">
        <w:trPr>
          <w:trHeight w:val="260"/>
        </w:trPr>
        <w:tc>
          <w:tcPr>
            <w:tcW w:w="1766" w:type="dxa"/>
            <w:tcBorders>
              <w:bottom w:val="single" w:sz="4" w:space="0" w:color="auto"/>
            </w:tcBorders>
          </w:tcPr>
          <w:p w14:paraId="7F6AAD5E" w14:textId="77777777" w:rsidR="00763428" w:rsidRPr="00A10850" w:rsidRDefault="00763428" w:rsidP="00DC54F7">
            <w:pPr>
              <w:jc w:val="both"/>
              <w:rPr>
                <w:rFonts w:ascii="Arial" w:hAnsi="Arial" w:cs="Arial"/>
                <w:b/>
              </w:rPr>
            </w:pPr>
            <w:r w:rsidRPr="00A10850">
              <w:rPr>
                <w:rFonts w:ascii="Arial" w:hAnsi="Arial" w:cs="Arial"/>
                <w:b/>
              </w:rPr>
              <w:t>Name</w:t>
            </w:r>
          </w:p>
        </w:tc>
        <w:tc>
          <w:tcPr>
            <w:tcW w:w="4608" w:type="dxa"/>
            <w:tcBorders>
              <w:bottom w:val="single" w:sz="4" w:space="0" w:color="auto"/>
            </w:tcBorders>
          </w:tcPr>
          <w:p w14:paraId="3A89DC65" w14:textId="77777777" w:rsidR="00763428" w:rsidRPr="00A10850" w:rsidRDefault="00763428" w:rsidP="00DC54F7">
            <w:pPr>
              <w:jc w:val="both"/>
              <w:rPr>
                <w:rFonts w:ascii="Arial" w:hAnsi="Arial" w:cs="Arial"/>
                <w:b/>
              </w:rPr>
            </w:pPr>
            <w:r w:rsidRPr="00A10850">
              <w:rPr>
                <w:rFonts w:ascii="Arial" w:hAnsi="Arial" w:cs="Arial"/>
                <w:b/>
              </w:rPr>
              <w:t>Role</w:t>
            </w:r>
          </w:p>
        </w:tc>
        <w:tc>
          <w:tcPr>
            <w:tcW w:w="3510" w:type="dxa"/>
            <w:tcBorders>
              <w:bottom w:val="single" w:sz="4" w:space="0" w:color="auto"/>
            </w:tcBorders>
          </w:tcPr>
          <w:p w14:paraId="55D8E23C" w14:textId="77777777" w:rsidR="00763428" w:rsidRPr="00A10850" w:rsidRDefault="00763428" w:rsidP="00DC54F7">
            <w:pPr>
              <w:jc w:val="both"/>
              <w:rPr>
                <w:rFonts w:ascii="Arial" w:hAnsi="Arial" w:cs="Arial"/>
                <w:b/>
              </w:rPr>
            </w:pPr>
            <w:r w:rsidRPr="00A10850">
              <w:rPr>
                <w:rFonts w:ascii="Arial" w:hAnsi="Arial" w:cs="Arial"/>
                <w:b/>
              </w:rPr>
              <w:t>Organisation</w:t>
            </w:r>
          </w:p>
        </w:tc>
      </w:tr>
      <w:tr w:rsidR="00D65E31" w:rsidRPr="00A10850" w14:paraId="45E6474D" w14:textId="77777777" w:rsidTr="000035D7">
        <w:trPr>
          <w:trHeight w:val="260"/>
        </w:trPr>
        <w:tc>
          <w:tcPr>
            <w:tcW w:w="1766" w:type="dxa"/>
            <w:shd w:val="clear" w:color="auto" w:fill="FFFFFF" w:themeFill="background1"/>
          </w:tcPr>
          <w:p w14:paraId="1A1580C2" w14:textId="4DAE0FDF" w:rsidR="00D65E31" w:rsidRPr="00A10850" w:rsidRDefault="00D65E31" w:rsidP="00DC54F7">
            <w:pPr>
              <w:jc w:val="both"/>
              <w:rPr>
                <w:rFonts w:ascii="Arial" w:hAnsi="Arial" w:cs="Arial"/>
              </w:rPr>
            </w:pPr>
            <w:r>
              <w:rPr>
                <w:rFonts w:ascii="Arial" w:hAnsi="Arial" w:cs="Arial"/>
              </w:rPr>
              <w:t>Lisa Dunsford</w:t>
            </w:r>
          </w:p>
        </w:tc>
        <w:tc>
          <w:tcPr>
            <w:tcW w:w="4608" w:type="dxa"/>
            <w:shd w:val="clear" w:color="auto" w:fill="FFFFFF" w:themeFill="background1"/>
          </w:tcPr>
          <w:p w14:paraId="45F95264" w14:textId="1CFB1881" w:rsidR="00D65E31" w:rsidRPr="00A10850" w:rsidRDefault="00D65E31" w:rsidP="00DC54F7">
            <w:pPr>
              <w:jc w:val="both"/>
              <w:rPr>
                <w:rFonts w:ascii="Arial" w:hAnsi="Arial" w:cs="Arial"/>
              </w:rPr>
            </w:pPr>
            <w:r>
              <w:rPr>
                <w:rFonts w:ascii="Arial" w:hAnsi="Arial" w:cs="Arial"/>
              </w:rPr>
              <w:t xml:space="preserve">Director of Primary Care </w:t>
            </w:r>
          </w:p>
        </w:tc>
        <w:tc>
          <w:tcPr>
            <w:tcW w:w="3510" w:type="dxa"/>
            <w:shd w:val="clear" w:color="auto" w:fill="FFFFFF" w:themeFill="background1"/>
          </w:tcPr>
          <w:p w14:paraId="08DA9DD9" w14:textId="08555D6F" w:rsidR="00D65E31" w:rsidRPr="00A10850" w:rsidRDefault="00D65E31" w:rsidP="00DC54F7">
            <w:pPr>
              <w:jc w:val="both"/>
              <w:rPr>
                <w:rFonts w:ascii="Arial" w:hAnsi="Arial" w:cs="Arial"/>
              </w:rPr>
            </w:pPr>
            <w:r>
              <w:rPr>
                <w:rFonts w:ascii="Arial" w:hAnsi="Arial" w:cs="Arial"/>
              </w:rPr>
              <w:t>Cardiff &amp; Vale UHB</w:t>
            </w:r>
          </w:p>
        </w:tc>
      </w:tr>
      <w:tr w:rsidR="00D65E31" w:rsidRPr="00A10850" w14:paraId="2139B6B7" w14:textId="77777777" w:rsidTr="000035D7">
        <w:trPr>
          <w:trHeight w:val="522"/>
        </w:trPr>
        <w:tc>
          <w:tcPr>
            <w:tcW w:w="1766" w:type="dxa"/>
            <w:shd w:val="clear" w:color="auto" w:fill="FFFFFF" w:themeFill="background1"/>
          </w:tcPr>
          <w:p w14:paraId="2E4A3B07" w14:textId="4DEE0FBD" w:rsidR="00D65E31" w:rsidRPr="00A10850" w:rsidRDefault="00D65E31" w:rsidP="00DC54F7">
            <w:pPr>
              <w:jc w:val="both"/>
              <w:rPr>
                <w:rFonts w:ascii="Arial" w:hAnsi="Arial" w:cs="Arial"/>
              </w:rPr>
            </w:pPr>
            <w:r>
              <w:rPr>
                <w:rFonts w:ascii="Arial" w:hAnsi="Arial" w:cs="Arial"/>
              </w:rPr>
              <w:t>Darrell Baker</w:t>
            </w:r>
          </w:p>
        </w:tc>
        <w:tc>
          <w:tcPr>
            <w:tcW w:w="4608" w:type="dxa"/>
            <w:shd w:val="clear" w:color="auto" w:fill="FFFFFF" w:themeFill="background1"/>
          </w:tcPr>
          <w:p w14:paraId="70C73E27" w14:textId="40DEAA24" w:rsidR="00D65E31" w:rsidRPr="00A10850" w:rsidRDefault="00D65E31" w:rsidP="00DC54F7">
            <w:pPr>
              <w:jc w:val="both"/>
              <w:rPr>
                <w:rFonts w:ascii="Arial" w:hAnsi="Arial" w:cs="Arial"/>
              </w:rPr>
            </w:pPr>
            <w:r>
              <w:rPr>
                <w:rFonts w:ascii="Arial" w:hAnsi="Arial" w:cs="Arial"/>
              </w:rPr>
              <w:t>Director of Pharmacy &amp; Medicines Management</w:t>
            </w:r>
          </w:p>
        </w:tc>
        <w:tc>
          <w:tcPr>
            <w:tcW w:w="3510" w:type="dxa"/>
            <w:shd w:val="clear" w:color="auto" w:fill="FFFFFF" w:themeFill="background1"/>
          </w:tcPr>
          <w:p w14:paraId="26A84A5E" w14:textId="3931F0CF" w:rsidR="00D65E31" w:rsidRPr="00A10850" w:rsidRDefault="00D65E31" w:rsidP="00DC54F7">
            <w:pPr>
              <w:jc w:val="both"/>
              <w:rPr>
                <w:rFonts w:ascii="Arial" w:hAnsi="Arial" w:cs="Arial"/>
              </w:rPr>
            </w:pPr>
            <w:r>
              <w:rPr>
                <w:rFonts w:ascii="Arial" w:hAnsi="Arial" w:cs="Arial"/>
              </w:rPr>
              <w:t>Cardiff &amp; Vale UHB</w:t>
            </w:r>
          </w:p>
        </w:tc>
      </w:tr>
      <w:tr w:rsidR="00D65E31" w:rsidRPr="00A10850" w14:paraId="0D734EF0" w14:textId="77777777" w:rsidTr="000035D7">
        <w:trPr>
          <w:trHeight w:val="522"/>
        </w:trPr>
        <w:tc>
          <w:tcPr>
            <w:tcW w:w="1766" w:type="dxa"/>
            <w:shd w:val="clear" w:color="auto" w:fill="FFFFFF" w:themeFill="background1"/>
          </w:tcPr>
          <w:p w14:paraId="3E2357A8" w14:textId="4BF004D9" w:rsidR="00D65E31" w:rsidRPr="00A10850" w:rsidRDefault="00D65E31" w:rsidP="00DC54F7">
            <w:pPr>
              <w:jc w:val="both"/>
              <w:rPr>
                <w:rFonts w:ascii="Arial" w:hAnsi="Arial" w:cs="Arial"/>
              </w:rPr>
            </w:pPr>
            <w:r>
              <w:rPr>
                <w:rFonts w:ascii="Arial" w:hAnsi="Arial" w:cs="Arial"/>
              </w:rPr>
              <w:t>Jenna Llewellyn</w:t>
            </w:r>
          </w:p>
        </w:tc>
        <w:tc>
          <w:tcPr>
            <w:tcW w:w="4608" w:type="dxa"/>
            <w:shd w:val="clear" w:color="auto" w:fill="FFFFFF" w:themeFill="background1"/>
          </w:tcPr>
          <w:p w14:paraId="6CE6A551" w14:textId="38A9C377" w:rsidR="00D65E31" w:rsidRPr="00A10850" w:rsidRDefault="0057406D" w:rsidP="00DC54F7">
            <w:pPr>
              <w:jc w:val="both"/>
              <w:rPr>
                <w:rFonts w:ascii="Arial" w:hAnsi="Arial" w:cs="Arial"/>
              </w:rPr>
            </w:pPr>
            <w:r>
              <w:rPr>
                <w:rFonts w:ascii="Arial" w:hAnsi="Arial" w:cs="Arial"/>
              </w:rPr>
              <w:t xml:space="preserve">Senior </w:t>
            </w:r>
            <w:r w:rsidR="00D65E31">
              <w:rPr>
                <w:rFonts w:ascii="Arial" w:hAnsi="Arial" w:cs="Arial"/>
              </w:rPr>
              <w:t>Comm</w:t>
            </w:r>
            <w:r w:rsidR="003D377B">
              <w:rPr>
                <w:rFonts w:ascii="Arial" w:hAnsi="Arial" w:cs="Arial"/>
              </w:rPr>
              <w:t xml:space="preserve">unication </w:t>
            </w:r>
            <w:r>
              <w:rPr>
                <w:rFonts w:ascii="Arial" w:hAnsi="Arial" w:cs="Arial"/>
              </w:rPr>
              <w:t>&amp;</w:t>
            </w:r>
            <w:r w:rsidR="003D377B">
              <w:rPr>
                <w:rFonts w:ascii="Arial" w:hAnsi="Arial" w:cs="Arial"/>
              </w:rPr>
              <w:t xml:space="preserve"> Engag</w:t>
            </w:r>
            <w:r w:rsidR="00543CCA">
              <w:rPr>
                <w:rFonts w:ascii="Arial" w:hAnsi="Arial" w:cs="Arial"/>
              </w:rPr>
              <w:t xml:space="preserve">ement </w:t>
            </w:r>
            <w:r w:rsidR="000035D7">
              <w:rPr>
                <w:rFonts w:ascii="Arial" w:hAnsi="Arial" w:cs="Arial"/>
              </w:rPr>
              <w:t>Officer</w:t>
            </w:r>
          </w:p>
        </w:tc>
        <w:tc>
          <w:tcPr>
            <w:tcW w:w="3510" w:type="dxa"/>
            <w:shd w:val="clear" w:color="auto" w:fill="FFFFFF" w:themeFill="background1"/>
          </w:tcPr>
          <w:p w14:paraId="6760F3BC" w14:textId="05787C99" w:rsidR="00D65E31" w:rsidRPr="00A10850" w:rsidRDefault="00D65E31" w:rsidP="00DC54F7">
            <w:pPr>
              <w:jc w:val="both"/>
              <w:rPr>
                <w:rFonts w:ascii="Arial" w:hAnsi="Arial" w:cs="Arial"/>
              </w:rPr>
            </w:pPr>
            <w:r>
              <w:rPr>
                <w:rFonts w:ascii="Arial" w:hAnsi="Arial" w:cs="Arial"/>
              </w:rPr>
              <w:t>Cardiff &amp; Vale UHB</w:t>
            </w:r>
          </w:p>
        </w:tc>
      </w:tr>
      <w:tr w:rsidR="00D65E31" w:rsidRPr="00A10850" w14:paraId="1C738E21" w14:textId="77777777" w:rsidTr="000035D7">
        <w:trPr>
          <w:trHeight w:val="260"/>
        </w:trPr>
        <w:tc>
          <w:tcPr>
            <w:tcW w:w="1766" w:type="dxa"/>
            <w:shd w:val="clear" w:color="auto" w:fill="FFFFFF" w:themeFill="background1"/>
          </w:tcPr>
          <w:p w14:paraId="1BA80649" w14:textId="7A50BB37" w:rsidR="00D65E31" w:rsidRPr="00A10850" w:rsidRDefault="00D65E31" w:rsidP="00DC54F7">
            <w:pPr>
              <w:jc w:val="both"/>
              <w:rPr>
                <w:rFonts w:ascii="Arial" w:hAnsi="Arial" w:cs="Arial"/>
              </w:rPr>
            </w:pPr>
            <w:r>
              <w:rPr>
                <w:rFonts w:ascii="Arial" w:hAnsi="Arial" w:cs="Arial"/>
              </w:rPr>
              <w:t>Tom Porter</w:t>
            </w:r>
          </w:p>
        </w:tc>
        <w:tc>
          <w:tcPr>
            <w:tcW w:w="4608" w:type="dxa"/>
            <w:shd w:val="clear" w:color="auto" w:fill="FFFFFF" w:themeFill="background1"/>
          </w:tcPr>
          <w:p w14:paraId="1805E1BC" w14:textId="062B31AF" w:rsidR="00D65E31" w:rsidRPr="00A10850" w:rsidRDefault="00D65E31" w:rsidP="00DC54F7">
            <w:pPr>
              <w:jc w:val="both"/>
              <w:rPr>
                <w:rFonts w:ascii="Arial" w:hAnsi="Arial" w:cs="Arial"/>
              </w:rPr>
            </w:pPr>
            <w:r>
              <w:rPr>
                <w:rFonts w:ascii="Arial" w:hAnsi="Arial" w:cs="Arial"/>
              </w:rPr>
              <w:t>Consultant in Public Health</w:t>
            </w:r>
          </w:p>
        </w:tc>
        <w:tc>
          <w:tcPr>
            <w:tcW w:w="3510" w:type="dxa"/>
            <w:shd w:val="clear" w:color="auto" w:fill="FFFFFF" w:themeFill="background1"/>
          </w:tcPr>
          <w:p w14:paraId="34B19A27" w14:textId="421DAE10" w:rsidR="00D65E31" w:rsidRPr="00A10850" w:rsidRDefault="00D65E31" w:rsidP="00DC54F7">
            <w:pPr>
              <w:jc w:val="both"/>
              <w:rPr>
                <w:rFonts w:ascii="Arial" w:hAnsi="Arial" w:cs="Arial"/>
              </w:rPr>
            </w:pPr>
            <w:r>
              <w:rPr>
                <w:rFonts w:ascii="Arial" w:hAnsi="Arial" w:cs="Arial"/>
              </w:rPr>
              <w:t>Cardiff &amp; Vale UHB</w:t>
            </w:r>
          </w:p>
        </w:tc>
      </w:tr>
      <w:tr w:rsidR="00D65E31" w:rsidRPr="00A10850" w14:paraId="03845A97" w14:textId="77777777" w:rsidTr="000035D7">
        <w:trPr>
          <w:trHeight w:val="260"/>
        </w:trPr>
        <w:tc>
          <w:tcPr>
            <w:tcW w:w="1766" w:type="dxa"/>
            <w:shd w:val="clear" w:color="auto" w:fill="FFFFFF" w:themeFill="background1"/>
          </w:tcPr>
          <w:p w14:paraId="1820582A" w14:textId="07AB6B17" w:rsidR="00D65E31" w:rsidRPr="00A10850" w:rsidRDefault="00D65E31" w:rsidP="00DC54F7">
            <w:pPr>
              <w:jc w:val="both"/>
              <w:rPr>
                <w:rFonts w:ascii="Arial" w:hAnsi="Arial" w:cs="Arial"/>
              </w:rPr>
            </w:pPr>
            <w:r>
              <w:rPr>
                <w:rFonts w:ascii="Arial" w:hAnsi="Arial" w:cs="Arial"/>
              </w:rPr>
              <w:t>Steve Watkins</w:t>
            </w:r>
          </w:p>
        </w:tc>
        <w:tc>
          <w:tcPr>
            <w:tcW w:w="4608" w:type="dxa"/>
            <w:shd w:val="clear" w:color="auto" w:fill="FFFFFF" w:themeFill="background1"/>
          </w:tcPr>
          <w:p w14:paraId="2BE3045F" w14:textId="56380B93" w:rsidR="00D65E31" w:rsidRPr="00A10850" w:rsidRDefault="00D65E31" w:rsidP="00DC54F7">
            <w:pPr>
              <w:jc w:val="both"/>
              <w:rPr>
                <w:rFonts w:ascii="Arial" w:hAnsi="Arial" w:cs="Arial"/>
              </w:rPr>
            </w:pPr>
            <w:r>
              <w:rPr>
                <w:rFonts w:ascii="Arial" w:hAnsi="Arial" w:cs="Arial"/>
              </w:rPr>
              <w:t>Finance representative</w:t>
            </w:r>
          </w:p>
        </w:tc>
        <w:tc>
          <w:tcPr>
            <w:tcW w:w="3510" w:type="dxa"/>
            <w:shd w:val="clear" w:color="auto" w:fill="FFFFFF" w:themeFill="background1"/>
          </w:tcPr>
          <w:p w14:paraId="3F2B846F" w14:textId="3F20E569" w:rsidR="00D65E31" w:rsidRPr="00A10850" w:rsidRDefault="00D65E31" w:rsidP="00DC54F7">
            <w:pPr>
              <w:jc w:val="both"/>
              <w:rPr>
                <w:rFonts w:ascii="Arial" w:hAnsi="Arial" w:cs="Arial"/>
              </w:rPr>
            </w:pPr>
            <w:r>
              <w:rPr>
                <w:rFonts w:ascii="Arial" w:hAnsi="Arial" w:cs="Arial"/>
              </w:rPr>
              <w:t>Cardiff &amp; Vale UHB</w:t>
            </w:r>
          </w:p>
        </w:tc>
      </w:tr>
      <w:tr w:rsidR="00D65E31" w:rsidRPr="00A10850" w14:paraId="5DE27CB7" w14:textId="77777777" w:rsidTr="000035D7">
        <w:trPr>
          <w:trHeight w:val="534"/>
        </w:trPr>
        <w:tc>
          <w:tcPr>
            <w:tcW w:w="1766" w:type="dxa"/>
            <w:shd w:val="clear" w:color="auto" w:fill="FFFFFF" w:themeFill="background1"/>
          </w:tcPr>
          <w:p w14:paraId="0793F22E" w14:textId="6C0DD345" w:rsidR="00D65E31" w:rsidRPr="00A10850" w:rsidRDefault="00D65E31" w:rsidP="00DC54F7">
            <w:pPr>
              <w:jc w:val="both"/>
              <w:rPr>
                <w:rFonts w:ascii="Arial" w:hAnsi="Arial" w:cs="Arial"/>
              </w:rPr>
            </w:pPr>
            <w:r>
              <w:rPr>
                <w:rFonts w:ascii="Arial" w:hAnsi="Arial" w:cs="Arial"/>
              </w:rPr>
              <w:t>Jonathan Watts</w:t>
            </w:r>
          </w:p>
        </w:tc>
        <w:tc>
          <w:tcPr>
            <w:tcW w:w="4608" w:type="dxa"/>
            <w:shd w:val="clear" w:color="auto" w:fill="FFFFFF" w:themeFill="background1"/>
          </w:tcPr>
          <w:p w14:paraId="51BE7F57" w14:textId="696EEE02" w:rsidR="00D65E31" w:rsidRPr="00A10850" w:rsidRDefault="00D65E31" w:rsidP="00DC54F7">
            <w:pPr>
              <w:jc w:val="both"/>
              <w:rPr>
                <w:rFonts w:ascii="Arial" w:hAnsi="Arial" w:cs="Arial"/>
              </w:rPr>
            </w:pPr>
            <w:r>
              <w:rPr>
                <w:rFonts w:ascii="Arial" w:hAnsi="Arial" w:cs="Arial"/>
              </w:rPr>
              <w:t>Assistant Director of Planning</w:t>
            </w:r>
          </w:p>
        </w:tc>
        <w:tc>
          <w:tcPr>
            <w:tcW w:w="3510" w:type="dxa"/>
            <w:shd w:val="clear" w:color="auto" w:fill="FFFFFF" w:themeFill="background1"/>
          </w:tcPr>
          <w:p w14:paraId="14280207" w14:textId="5FADAAF3" w:rsidR="00D65E31" w:rsidRPr="00A10850" w:rsidRDefault="00D65E31" w:rsidP="00DC54F7">
            <w:pPr>
              <w:jc w:val="both"/>
              <w:rPr>
                <w:rFonts w:ascii="Arial" w:hAnsi="Arial" w:cs="Arial"/>
              </w:rPr>
            </w:pPr>
            <w:r>
              <w:rPr>
                <w:rFonts w:ascii="Arial" w:hAnsi="Arial" w:cs="Arial"/>
              </w:rPr>
              <w:t>Cardiff &amp; Vale UHB</w:t>
            </w:r>
          </w:p>
        </w:tc>
      </w:tr>
      <w:tr w:rsidR="00D65E31" w:rsidRPr="00A10850" w14:paraId="0F103911" w14:textId="77777777" w:rsidTr="000035D7">
        <w:trPr>
          <w:trHeight w:val="522"/>
        </w:trPr>
        <w:tc>
          <w:tcPr>
            <w:tcW w:w="1766" w:type="dxa"/>
            <w:shd w:val="clear" w:color="auto" w:fill="FFFFFF" w:themeFill="background1"/>
          </w:tcPr>
          <w:p w14:paraId="54D75ED5" w14:textId="24841F85" w:rsidR="00D65E31" w:rsidRPr="00A10850" w:rsidRDefault="00D65E31" w:rsidP="00DC54F7">
            <w:pPr>
              <w:jc w:val="both"/>
              <w:rPr>
                <w:rFonts w:ascii="Arial" w:hAnsi="Arial" w:cs="Arial"/>
              </w:rPr>
            </w:pPr>
            <w:r>
              <w:rPr>
                <w:rFonts w:ascii="Arial" w:hAnsi="Arial" w:cs="Arial"/>
              </w:rPr>
              <w:t>Karen May</w:t>
            </w:r>
          </w:p>
        </w:tc>
        <w:tc>
          <w:tcPr>
            <w:tcW w:w="4608" w:type="dxa"/>
            <w:shd w:val="clear" w:color="auto" w:fill="FFFFFF" w:themeFill="background1"/>
          </w:tcPr>
          <w:p w14:paraId="655DEFDD" w14:textId="7BB9F2BA" w:rsidR="00D65E31" w:rsidRPr="00A10850" w:rsidRDefault="00D65E31" w:rsidP="00DC54F7">
            <w:pPr>
              <w:jc w:val="both"/>
              <w:rPr>
                <w:rFonts w:ascii="Arial" w:hAnsi="Arial" w:cs="Arial"/>
              </w:rPr>
            </w:pPr>
            <w:r>
              <w:rPr>
                <w:rFonts w:ascii="Arial" w:hAnsi="Arial" w:cs="Arial"/>
              </w:rPr>
              <w:t xml:space="preserve">Head of Medicines Management Primary Care </w:t>
            </w:r>
          </w:p>
        </w:tc>
        <w:tc>
          <w:tcPr>
            <w:tcW w:w="3510" w:type="dxa"/>
            <w:shd w:val="clear" w:color="auto" w:fill="FFFFFF" w:themeFill="background1"/>
          </w:tcPr>
          <w:p w14:paraId="5FC7CCFF" w14:textId="27A1B95D" w:rsidR="00D65E31" w:rsidRPr="00A10850" w:rsidRDefault="00D65E31" w:rsidP="00DC54F7">
            <w:pPr>
              <w:jc w:val="both"/>
              <w:rPr>
                <w:rFonts w:ascii="Arial" w:hAnsi="Arial" w:cs="Arial"/>
              </w:rPr>
            </w:pPr>
            <w:r>
              <w:rPr>
                <w:rFonts w:ascii="Arial" w:hAnsi="Arial" w:cs="Arial"/>
              </w:rPr>
              <w:t>Cardiff &amp; Vale UHB</w:t>
            </w:r>
          </w:p>
        </w:tc>
      </w:tr>
      <w:tr w:rsidR="00D65E31" w:rsidRPr="00A10850" w14:paraId="043DEA2A" w14:textId="77777777" w:rsidTr="000035D7">
        <w:trPr>
          <w:trHeight w:val="260"/>
        </w:trPr>
        <w:tc>
          <w:tcPr>
            <w:tcW w:w="1766" w:type="dxa"/>
            <w:shd w:val="clear" w:color="auto" w:fill="FFFFFF" w:themeFill="background1"/>
          </w:tcPr>
          <w:p w14:paraId="7C6A0043" w14:textId="0250FEEE" w:rsidR="00D65E31" w:rsidRPr="00A10850" w:rsidRDefault="00D65E31" w:rsidP="00DC54F7">
            <w:pPr>
              <w:jc w:val="both"/>
              <w:rPr>
                <w:rFonts w:ascii="Arial" w:hAnsi="Arial" w:cs="Arial"/>
              </w:rPr>
            </w:pPr>
            <w:r>
              <w:rPr>
                <w:rFonts w:ascii="Arial" w:hAnsi="Arial" w:cs="Arial"/>
              </w:rPr>
              <w:t>Louise Allen</w:t>
            </w:r>
          </w:p>
        </w:tc>
        <w:tc>
          <w:tcPr>
            <w:tcW w:w="4608" w:type="dxa"/>
            <w:shd w:val="clear" w:color="auto" w:fill="FFFFFF" w:themeFill="background1"/>
          </w:tcPr>
          <w:p w14:paraId="0999084C" w14:textId="78509147" w:rsidR="00D65E31" w:rsidRPr="00A10850" w:rsidRDefault="00D65E31" w:rsidP="00DC54F7">
            <w:pPr>
              <w:jc w:val="both"/>
              <w:rPr>
                <w:rFonts w:ascii="Arial" w:hAnsi="Arial" w:cs="Arial"/>
              </w:rPr>
            </w:pPr>
            <w:r>
              <w:rPr>
                <w:rFonts w:ascii="Arial" w:hAnsi="Arial" w:cs="Arial"/>
              </w:rPr>
              <w:t>Community Pharmacy Advisor</w:t>
            </w:r>
          </w:p>
        </w:tc>
        <w:tc>
          <w:tcPr>
            <w:tcW w:w="3510" w:type="dxa"/>
            <w:shd w:val="clear" w:color="auto" w:fill="FFFFFF" w:themeFill="background1"/>
          </w:tcPr>
          <w:p w14:paraId="4EE00C1F" w14:textId="45E24010" w:rsidR="00D65E31" w:rsidRPr="00A10850" w:rsidRDefault="00D65E31" w:rsidP="00DC54F7">
            <w:pPr>
              <w:jc w:val="both"/>
              <w:rPr>
                <w:rFonts w:ascii="Arial" w:hAnsi="Arial" w:cs="Arial"/>
              </w:rPr>
            </w:pPr>
            <w:r>
              <w:rPr>
                <w:rFonts w:ascii="Arial" w:hAnsi="Arial" w:cs="Arial"/>
              </w:rPr>
              <w:t>Cardiff &amp; Vale UHB</w:t>
            </w:r>
          </w:p>
        </w:tc>
      </w:tr>
      <w:tr w:rsidR="00D65E31" w:rsidRPr="00A10850" w14:paraId="0E84BE19" w14:textId="77777777" w:rsidTr="000035D7">
        <w:trPr>
          <w:trHeight w:val="522"/>
        </w:trPr>
        <w:tc>
          <w:tcPr>
            <w:tcW w:w="1766" w:type="dxa"/>
            <w:shd w:val="clear" w:color="auto" w:fill="FFFFFF" w:themeFill="background1"/>
          </w:tcPr>
          <w:p w14:paraId="564D0C1F" w14:textId="13C08C8B" w:rsidR="00D65E31" w:rsidRPr="00A10850" w:rsidRDefault="00D65E31" w:rsidP="00DC54F7">
            <w:pPr>
              <w:jc w:val="both"/>
              <w:rPr>
                <w:rFonts w:ascii="Arial" w:hAnsi="Arial" w:cs="Arial"/>
              </w:rPr>
            </w:pPr>
            <w:r>
              <w:rPr>
                <w:rFonts w:ascii="Arial" w:hAnsi="Arial" w:cs="Arial"/>
              </w:rPr>
              <w:t>Jayne Howard</w:t>
            </w:r>
          </w:p>
        </w:tc>
        <w:tc>
          <w:tcPr>
            <w:tcW w:w="4608" w:type="dxa"/>
            <w:shd w:val="clear" w:color="auto" w:fill="FFFFFF" w:themeFill="background1"/>
          </w:tcPr>
          <w:p w14:paraId="64D6EA4F" w14:textId="5CDC6518" w:rsidR="00D65E31" w:rsidRPr="00A10850" w:rsidRDefault="00D65E31" w:rsidP="00DC54F7">
            <w:pPr>
              <w:jc w:val="both"/>
              <w:rPr>
                <w:rFonts w:ascii="Arial" w:hAnsi="Arial" w:cs="Arial"/>
              </w:rPr>
            </w:pPr>
            <w:r>
              <w:rPr>
                <w:rFonts w:ascii="Arial" w:hAnsi="Arial" w:cs="Arial"/>
              </w:rPr>
              <w:t>Community Pharmacy Wales representative</w:t>
            </w:r>
          </w:p>
        </w:tc>
        <w:tc>
          <w:tcPr>
            <w:tcW w:w="3510" w:type="dxa"/>
            <w:shd w:val="clear" w:color="auto" w:fill="FFFFFF" w:themeFill="background1"/>
          </w:tcPr>
          <w:p w14:paraId="23E7CBDE" w14:textId="0E1F3731" w:rsidR="00D65E31" w:rsidRPr="00A10850" w:rsidRDefault="00D65E31" w:rsidP="00DC54F7">
            <w:pPr>
              <w:jc w:val="both"/>
              <w:rPr>
                <w:rFonts w:ascii="Arial" w:hAnsi="Arial" w:cs="Arial"/>
              </w:rPr>
            </w:pPr>
            <w:r>
              <w:rPr>
                <w:rFonts w:ascii="Arial" w:hAnsi="Arial" w:cs="Arial"/>
              </w:rPr>
              <w:t>Community Pharmacy Wales</w:t>
            </w:r>
          </w:p>
        </w:tc>
      </w:tr>
      <w:tr w:rsidR="00D65E31" w:rsidRPr="00A10850" w14:paraId="3CC9ED24" w14:textId="77777777" w:rsidTr="000035D7">
        <w:trPr>
          <w:trHeight w:val="260"/>
        </w:trPr>
        <w:tc>
          <w:tcPr>
            <w:tcW w:w="1766" w:type="dxa"/>
            <w:shd w:val="clear" w:color="auto" w:fill="FFFFFF" w:themeFill="background1"/>
          </w:tcPr>
          <w:p w14:paraId="157D6C46" w14:textId="5E9514BC" w:rsidR="00D65E31" w:rsidRPr="00A10850" w:rsidRDefault="00D65E31" w:rsidP="00DC54F7">
            <w:pPr>
              <w:jc w:val="both"/>
              <w:rPr>
                <w:rFonts w:ascii="Arial" w:hAnsi="Arial" w:cs="Arial"/>
              </w:rPr>
            </w:pPr>
            <w:r>
              <w:rPr>
                <w:rFonts w:ascii="Arial" w:hAnsi="Arial" w:cs="Arial"/>
              </w:rPr>
              <w:t>Kevin Thomas</w:t>
            </w:r>
          </w:p>
        </w:tc>
        <w:tc>
          <w:tcPr>
            <w:tcW w:w="4608" w:type="dxa"/>
            <w:shd w:val="clear" w:color="auto" w:fill="FFFFFF" w:themeFill="background1"/>
          </w:tcPr>
          <w:p w14:paraId="07AF6CD6" w14:textId="18496A82" w:rsidR="00D65E31" w:rsidRPr="00A10850" w:rsidRDefault="00D65E31" w:rsidP="00DC54F7">
            <w:pPr>
              <w:jc w:val="both"/>
              <w:rPr>
                <w:rFonts w:ascii="Arial" w:hAnsi="Arial" w:cs="Arial"/>
              </w:rPr>
            </w:pPr>
            <w:r>
              <w:rPr>
                <w:rFonts w:ascii="Arial" w:hAnsi="Arial" w:cs="Arial"/>
              </w:rPr>
              <w:t>Bro Taf LMC representative</w:t>
            </w:r>
          </w:p>
        </w:tc>
        <w:tc>
          <w:tcPr>
            <w:tcW w:w="3510" w:type="dxa"/>
            <w:shd w:val="clear" w:color="auto" w:fill="FFFFFF" w:themeFill="background1"/>
          </w:tcPr>
          <w:p w14:paraId="6FEEF214" w14:textId="2843F463" w:rsidR="00D65E31" w:rsidRPr="00A10850" w:rsidRDefault="00A760D3" w:rsidP="00DC54F7">
            <w:pPr>
              <w:jc w:val="both"/>
              <w:rPr>
                <w:rFonts w:ascii="Arial" w:hAnsi="Arial" w:cs="Arial"/>
              </w:rPr>
            </w:pPr>
            <w:r>
              <w:rPr>
                <w:rFonts w:ascii="Arial" w:hAnsi="Arial" w:cs="Arial"/>
              </w:rPr>
              <w:t>Local Medical Committee (</w:t>
            </w:r>
            <w:r w:rsidR="00D65E31">
              <w:rPr>
                <w:rFonts w:ascii="Arial" w:hAnsi="Arial" w:cs="Arial"/>
              </w:rPr>
              <w:t>LMC</w:t>
            </w:r>
            <w:r>
              <w:rPr>
                <w:rFonts w:ascii="Arial" w:hAnsi="Arial" w:cs="Arial"/>
              </w:rPr>
              <w:t>)</w:t>
            </w:r>
          </w:p>
        </w:tc>
      </w:tr>
      <w:tr w:rsidR="00D65E31" w:rsidRPr="00A10850" w14:paraId="6DE46ABF" w14:textId="77777777" w:rsidTr="000035D7">
        <w:trPr>
          <w:trHeight w:val="260"/>
        </w:trPr>
        <w:tc>
          <w:tcPr>
            <w:tcW w:w="1766" w:type="dxa"/>
            <w:shd w:val="clear" w:color="auto" w:fill="FFFFFF" w:themeFill="background1"/>
          </w:tcPr>
          <w:p w14:paraId="299B4BEE" w14:textId="7D802EE8" w:rsidR="00D65E31" w:rsidRPr="00A10850" w:rsidRDefault="00E44A0D" w:rsidP="00DC54F7">
            <w:pPr>
              <w:jc w:val="both"/>
              <w:rPr>
                <w:rFonts w:ascii="Arial" w:hAnsi="Arial" w:cs="Arial"/>
              </w:rPr>
            </w:pPr>
            <w:r>
              <w:rPr>
                <w:rFonts w:ascii="Arial" w:hAnsi="Arial" w:cs="Arial"/>
              </w:rPr>
              <w:t>Stephen Allen</w:t>
            </w:r>
          </w:p>
        </w:tc>
        <w:tc>
          <w:tcPr>
            <w:tcW w:w="4608" w:type="dxa"/>
            <w:shd w:val="clear" w:color="auto" w:fill="FFFFFF" w:themeFill="background1"/>
          </w:tcPr>
          <w:p w14:paraId="45BCB8BC" w14:textId="61275DE1" w:rsidR="00D65E31" w:rsidRPr="00A10850" w:rsidRDefault="00D65E31" w:rsidP="00DC54F7">
            <w:pPr>
              <w:jc w:val="both"/>
              <w:rPr>
                <w:rFonts w:ascii="Arial" w:hAnsi="Arial" w:cs="Arial"/>
              </w:rPr>
            </w:pPr>
            <w:r>
              <w:rPr>
                <w:rFonts w:ascii="Arial" w:hAnsi="Arial" w:cs="Arial"/>
              </w:rPr>
              <w:t>South Glamorgan CHC representative</w:t>
            </w:r>
          </w:p>
        </w:tc>
        <w:tc>
          <w:tcPr>
            <w:tcW w:w="3510" w:type="dxa"/>
            <w:shd w:val="clear" w:color="auto" w:fill="FFFFFF" w:themeFill="background1"/>
          </w:tcPr>
          <w:p w14:paraId="7407E4E0" w14:textId="50E008E7" w:rsidR="00D65E31" w:rsidRPr="00A10850" w:rsidRDefault="00D65E31" w:rsidP="00DC54F7">
            <w:pPr>
              <w:jc w:val="both"/>
              <w:rPr>
                <w:rFonts w:ascii="Arial" w:hAnsi="Arial" w:cs="Arial"/>
              </w:rPr>
            </w:pPr>
            <w:r>
              <w:rPr>
                <w:rFonts w:ascii="Arial" w:hAnsi="Arial" w:cs="Arial"/>
              </w:rPr>
              <w:t>C</w:t>
            </w:r>
            <w:r w:rsidR="00CC684C">
              <w:rPr>
                <w:rFonts w:ascii="Arial" w:hAnsi="Arial" w:cs="Arial"/>
              </w:rPr>
              <w:t>ommunity Health Council (CHC)</w:t>
            </w:r>
          </w:p>
        </w:tc>
      </w:tr>
      <w:tr w:rsidR="00D65E31" w:rsidRPr="00A10850" w14:paraId="43B2D5EE" w14:textId="77777777" w:rsidTr="000035D7">
        <w:trPr>
          <w:trHeight w:val="260"/>
        </w:trPr>
        <w:tc>
          <w:tcPr>
            <w:tcW w:w="1766" w:type="dxa"/>
            <w:shd w:val="clear" w:color="auto" w:fill="FFFFFF" w:themeFill="background1"/>
          </w:tcPr>
          <w:p w14:paraId="25965D25" w14:textId="3EC5D93D" w:rsidR="00D65E31" w:rsidRDefault="00D65E31" w:rsidP="00DC54F7">
            <w:pPr>
              <w:jc w:val="both"/>
              <w:rPr>
                <w:rFonts w:ascii="Arial" w:hAnsi="Arial" w:cs="Arial"/>
              </w:rPr>
            </w:pPr>
            <w:r>
              <w:rPr>
                <w:rFonts w:ascii="Arial" w:hAnsi="Arial" w:cs="Arial"/>
              </w:rPr>
              <w:t>Elaine Lewis</w:t>
            </w:r>
          </w:p>
        </w:tc>
        <w:tc>
          <w:tcPr>
            <w:tcW w:w="4608" w:type="dxa"/>
            <w:shd w:val="clear" w:color="auto" w:fill="FFFFFF" w:themeFill="background1"/>
          </w:tcPr>
          <w:p w14:paraId="14801ED9" w14:textId="472BC177" w:rsidR="00D65E31" w:rsidRDefault="00D65E31" w:rsidP="00DC54F7">
            <w:pPr>
              <w:jc w:val="both"/>
              <w:rPr>
                <w:rFonts w:ascii="Arial" w:hAnsi="Arial" w:cs="Arial"/>
              </w:rPr>
            </w:pPr>
            <w:r>
              <w:rPr>
                <w:rFonts w:ascii="Arial" w:hAnsi="Arial" w:cs="Arial"/>
              </w:rPr>
              <w:t>Project Support</w:t>
            </w:r>
          </w:p>
        </w:tc>
        <w:tc>
          <w:tcPr>
            <w:tcW w:w="3510" w:type="dxa"/>
            <w:shd w:val="clear" w:color="auto" w:fill="FFFFFF" w:themeFill="background1"/>
          </w:tcPr>
          <w:p w14:paraId="122C2C79" w14:textId="74A9D6EE" w:rsidR="00D65E31" w:rsidRDefault="00D65E31" w:rsidP="00DC54F7">
            <w:pPr>
              <w:jc w:val="both"/>
              <w:rPr>
                <w:rFonts w:ascii="Arial" w:hAnsi="Arial" w:cs="Arial"/>
              </w:rPr>
            </w:pPr>
            <w:r>
              <w:rPr>
                <w:rFonts w:ascii="Arial" w:hAnsi="Arial" w:cs="Arial"/>
              </w:rPr>
              <w:t>Cardiff &amp; Vale UHB</w:t>
            </w:r>
          </w:p>
        </w:tc>
      </w:tr>
    </w:tbl>
    <w:p w14:paraId="2A6EC5C6" w14:textId="77777777" w:rsidR="000035D7" w:rsidRDefault="000035D7" w:rsidP="00DC54F7">
      <w:pPr>
        <w:jc w:val="both"/>
        <w:rPr>
          <w:rFonts w:ascii="Arial" w:hAnsi="Arial" w:cs="Arial"/>
          <w:color w:val="000000"/>
          <w:shd w:val="clear" w:color="auto" w:fill="FFFFFF"/>
        </w:rPr>
      </w:pPr>
    </w:p>
    <w:p w14:paraId="238D1C9C" w14:textId="77A23BFA" w:rsidR="00962298" w:rsidRPr="0050607A" w:rsidRDefault="001501DD" w:rsidP="00DC54F7">
      <w:pPr>
        <w:jc w:val="both"/>
        <w:rPr>
          <w:rFonts w:ascii="Arial" w:hAnsi="Arial" w:cs="Arial"/>
        </w:rPr>
      </w:pPr>
      <w:r>
        <w:rPr>
          <w:rFonts w:ascii="Arial" w:hAnsi="Arial" w:cs="Arial"/>
          <w:color w:val="000000"/>
          <w:shd w:val="clear" w:color="auto" w:fill="FFFFFF"/>
        </w:rPr>
        <w:t xml:space="preserve">Fiona McGonigle Associate PCC and </w:t>
      </w:r>
      <w:r w:rsidR="00ED3187" w:rsidRPr="0050607A">
        <w:rPr>
          <w:rFonts w:ascii="Arial" w:hAnsi="Arial" w:cs="Arial"/>
          <w:color w:val="000000"/>
          <w:shd w:val="clear" w:color="auto" w:fill="FFFFFF"/>
        </w:rPr>
        <w:t>Paul Burns Adviser PCC - Primary Care Commissioning Community Interest Company - provided support and advice to the Steering Group and PNA project overall.</w:t>
      </w:r>
    </w:p>
    <w:p w14:paraId="778F556D" w14:textId="77777777" w:rsidR="002D5F1D" w:rsidRPr="00A10850" w:rsidRDefault="002D5F1D" w:rsidP="00DC54F7">
      <w:pPr>
        <w:spacing w:after="0"/>
        <w:jc w:val="both"/>
        <w:rPr>
          <w:rFonts w:ascii="Arial" w:hAnsi="Arial" w:cs="Arial"/>
          <w:b/>
          <w:sz w:val="24"/>
          <w:szCs w:val="24"/>
        </w:rPr>
      </w:pPr>
      <w:r w:rsidRPr="00A10850">
        <w:rPr>
          <w:rFonts w:ascii="Arial" w:hAnsi="Arial" w:cs="Arial"/>
          <w:b/>
          <w:sz w:val="24"/>
          <w:szCs w:val="24"/>
        </w:rPr>
        <w:br w:type="page"/>
      </w:r>
    </w:p>
    <w:p w14:paraId="50CD1EBF" w14:textId="61886EBF" w:rsidR="002D5F1D" w:rsidRPr="00A10850" w:rsidRDefault="009D1FF2" w:rsidP="00DC54F7">
      <w:pPr>
        <w:pStyle w:val="Heading1"/>
        <w:jc w:val="both"/>
        <w:rPr>
          <w:rFonts w:cs="Arial"/>
          <w:color w:val="auto"/>
        </w:rPr>
      </w:pPr>
      <w:bookmarkStart w:id="75" w:name="_Toc81585119"/>
      <w:r w:rsidRPr="00A10850">
        <w:rPr>
          <w:rFonts w:cs="Arial"/>
          <w:color w:val="auto"/>
        </w:rPr>
        <w:lastRenderedPageBreak/>
        <w:t>A</w:t>
      </w:r>
      <w:r w:rsidR="002D5F1D" w:rsidRPr="00A10850">
        <w:rPr>
          <w:rFonts w:cs="Arial"/>
          <w:color w:val="auto"/>
        </w:rPr>
        <w:t>ppendix</w:t>
      </w:r>
      <w:r w:rsidR="00460FE4" w:rsidRPr="00A10850">
        <w:rPr>
          <w:rFonts w:cs="Arial"/>
          <w:color w:val="auto"/>
        </w:rPr>
        <w:t xml:space="preserve"> G</w:t>
      </w:r>
      <w:r w:rsidR="002D5F1D" w:rsidRPr="00A10850">
        <w:rPr>
          <w:rFonts w:cs="Arial"/>
          <w:color w:val="auto"/>
        </w:rPr>
        <w:t xml:space="preserve"> – patient and public engagement </w:t>
      </w:r>
      <w:r w:rsidR="00A3017F" w:rsidRPr="00A10850">
        <w:rPr>
          <w:rFonts w:cs="Arial"/>
          <w:color w:val="auto"/>
        </w:rPr>
        <w:t>survey</w:t>
      </w:r>
      <w:bookmarkEnd w:id="75"/>
    </w:p>
    <w:p w14:paraId="682171CE" w14:textId="77777777" w:rsidR="0005656E" w:rsidRPr="00A10850" w:rsidRDefault="0005656E" w:rsidP="00DC54F7">
      <w:pPr>
        <w:spacing w:after="0"/>
        <w:contextualSpacing/>
        <w:jc w:val="both"/>
        <w:rPr>
          <w:rFonts w:ascii="Arial" w:hAnsi="Arial" w:cs="Arial"/>
          <w:b/>
        </w:rPr>
      </w:pPr>
    </w:p>
    <w:p w14:paraId="3964E8EB" w14:textId="77777777" w:rsidR="008A1FE5" w:rsidRPr="00ED25E6" w:rsidRDefault="008A1FE5" w:rsidP="00DC54F7">
      <w:pPr>
        <w:spacing w:after="0" w:line="240" w:lineRule="auto"/>
        <w:jc w:val="both"/>
        <w:rPr>
          <w:rFonts w:ascii="Arial" w:eastAsia="Calibri" w:hAnsi="Arial" w:cs="Arial"/>
          <w:b/>
        </w:rPr>
      </w:pPr>
      <w:r w:rsidRPr="00ED25E6">
        <w:rPr>
          <w:rFonts w:ascii="Arial" w:eastAsia="Calibri" w:hAnsi="Arial" w:cs="Arial"/>
          <w:b/>
        </w:rPr>
        <w:t xml:space="preserve">Patient and public survey for </w:t>
      </w:r>
      <w:bookmarkStart w:id="76" w:name="_Hlk57981030"/>
      <w:bookmarkStart w:id="77" w:name="_Hlk57981293"/>
      <w:r w:rsidRPr="00ED25E6">
        <w:rPr>
          <w:rFonts w:ascii="Arial" w:eastAsia="Calibri" w:hAnsi="Arial" w:cs="Arial"/>
          <w:b/>
        </w:rPr>
        <w:t>C</w:t>
      </w:r>
      <w:r>
        <w:rPr>
          <w:rFonts w:ascii="Arial" w:eastAsia="Calibri" w:hAnsi="Arial" w:cs="Arial"/>
          <w:b/>
        </w:rPr>
        <w:t xml:space="preserve">ardiff and Vale </w:t>
      </w:r>
      <w:r w:rsidRPr="00ED25E6">
        <w:rPr>
          <w:rFonts w:ascii="Arial" w:eastAsia="Calibri" w:hAnsi="Arial" w:cs="Arial"/>
          <w:b/>
        </w:rPr>
        <w:t xml:space="preserve">University Health Board </w:t>
      </w:r>
      <w:bookmarkEnd w:id="76"/>
      <w:r w:rsidRPr="00ED25E6">
        <w:rPr>
          <w:rFonts w:ascii="Arial" w:eastAsia="Calibri" w:hAnsi="Arial" w:cs="Arial"/>
          <w:b/>
        </w:rPr>
        <w:t>pharmaceutical needs assessment (PNA)</w:t>
      </w:r>
      <w:bookmarkEnd w:id="77"/>
    </w:p>
    <w:p w14:paraId="6F484101" w14:textId="77777777" w:rsidR="008A1FE5" w:rsidRDefault="008A1FE5" w:rsidP="00DC54F7">
      <w:pPr>
        <w:shd w:val="clear" w:color="auto" w:fill="FFFFFF"/>
        <w:jc w:val="both"/>
        <w:rPr>
          <w:rFonts w:ascii="Arial" w:eastAsia="Times New Roman" w:hAnsi="Arial" w:cs="Arial"/>
          <w:color w:val="000000"/>
          <w:lang w:eastAsia="en-GB"/>
        </w:rPr>
      </w:pPr>
    </w:p>
    <w:p w14:paraId="41F2C810" w14:textId="77777777" w:rsidR="008A1FE5" w:rsidRDefault="008A1FE5" w:rsidP="00DC54F7">
      <w:pPr>
        <w:shd w:val="clear" w:color="auto" w:fill="FFFFFF"/>
        <w:jc w:val="both"/>
        <w:rPr>
          <w:rFonts w:ascii="Arial" w:eastAsia="Times New Roman" w:hAnsi="Arial" w:cs="Arial"/>
          <w:color w:val="000000"/>
          <w:lang w:eastAsia="en-GB"/>
        </w:rPr>
      </w:pPr>
      <w:r w:rsidRPr="00E07D1C">
        <w:rPr>
          <w:rFonts w:ascii="Arial" w:eastAsia="Times New Roman" w:hAnsi="Arial" w:cs="Arial"/>
          <w:color w:val="000000"/>
          <w:lang w:eastAsia="en-GB"/>
        </w:rPr>
        <w:t>We are inviting you to tell us about pharmacy services in your area. This is to help us plan for services for our patients</w:t>
      </w:r>
      <w:r>
        <w:rPr>
          <w:rFonts w:ascii="Arial" w:eastAsia="Times New Roman" w:hAnsi="Arial" w:cs="Arial"/>
          <w:color w:val="000000"/>
          <w:lang w:eastAsia="en-GB"/>
        </w:rPr>
        <w:t xml:space="preserve"> now and</w:t>
      </w:r>
      <w:r w:rsidRPr="00E07D1C">
        <w:rPr>
          <w:rFonts w:ascii="Arial" w:eastAsia="Times New Roman" w:hAnsi="Arial" w:cs="Arial"/>
          <w:color w:val="000000"/>
          <w:lang w:eastAsia="en-GB"/>
        </w:rPr>
        <w:t xml:space="preserve"> in the future to make sure they meet your needs</w:t>
      </w:r>
      <w:r>
        <w:rPr>
          <w:rFonts w:ascii="Arial" w:eastAsia="Times New Roman" w:hAnsi="Arial" w:cs="Arial"/>
          <w:color w:val="000000"/>
          <w:lang w:eastAsia="en-GB"/>
        </w:rPr>
        <w:t>, using a process called a ‘pharmaceutical needs assessment’.</w:t>
      </w:r>
    </w:p>
    <w:p w14:paraId="19F1DBAA" w14:textId="77777777" w:rsidR="008A1FE5" w:rsidRDefault="008A1FE5" w:rsidP="00DC54F7">
      <w:pPr>
        <w:shd w:val="clear" w:color="auto" w:fill="FFFFFF"/>
        <w:jc w:val="both"/>
        <w:rPr>
          <w:rFonts w:ascii="Arial" w:eastAsia="Times New Roman" w:hAnsi="Arial" w:cs="Arial"/>
          <w:color w:val="000000"/>
          <w:shd w:val="clear" w:color="auto" w:fill="FFFFFF"/>
          <w:lang w:eastAsia="en-GB"/>
        </w:rPr>
      </w:pPr>
      <w:r w:rsidRPr="00397174">
        <w:rPr>
          <w:rFonts w:ascii="Arial" w:eastAsia="Times New Roman" w:hAnsi="Arial" w:cs="Arial"/>
          <w:color w:val="000000"/>
          <w:shd w:val="clear" w:color="auto" w:fill="FFFFFF"/>
          <w:lang w:eastAsia="en-GB"/>
        </w:rPr>
        <w:t xml:space="preserve">Your answers will help us identify if there are any </w:t>
      </w:r>
      <w:r>
        <w:rPr>
          <w:rFonts w:ascii="Arial" w:eastAsia="Times New Roman" w:hAnsi="Arial" w:cs="Arial"/>
          <w:color w:val="000000"/>
          <w:shd w:val="clear" w:color="auto" w:fill="FFFFFF"/>
          <w:lang w:eastAsia="en-GB"/>
        </w:rPr>
        <w:t xml:space="preserve">service </w:t>
      </w:r>
      <w:r w:rsidRPr="00397174">
        <w:rPr>
          <w:rFonts w:ascii="Arial" w:eastAsia="Times New Roman" w:hAnsi="Arial" w:cs="Arial"/>
          <w:color w:val="000000"/>
          <w:shd w:val="clear" w:color="auto" w:fill="FFFFFF"/>
          <w:lang w:eastAsia="en-GB"/>
        </w:rPr>
        <w:t xml:space="preserve">gaps, for example whether a pharmacy </w:t>
      </w:r>
      <w:r>
        <w:rPr>
          <w:rFonts w:ascii="Arial" w:eastAsia="Times New Roman" w:hAnsi="Arial" w:cs="Arial"/>
          <w:color w:val="000000"/>
          <w:shd w:val="clear" w:color="auto" w:fill="FFFFFF"/>
          <w:lang w:eastAsia="en-GB"/>
        </w:rPr>
        <w:t xml:space="preserve">(also called a ‘chemist’) </w:t>
      </w:r>
      <w:r w:rsidRPr="00397174">
        <w:rPr>
          <w:rFonts w:ascii="Arial" w:eastAsia="Times New Roman" w:hAnsi="Arial" w:cs="Arial"/>
          <w:color w:val="000000"/>
          <w:shd w:val="clear" w:color="auto" w:fill="FFFFFF"/>
          <w:lang w:eastAsia="en-GB"/>
        </w:rPr>
        <w:t>is needed in a particular area, or whether more pharmacies need to provide a particular</w:t>
      </w:r>
      <w:r>
        <w:rPr>
          <w:rFonts w:ascii="Arial" w:eastAsia="Times New Roman" w:hAnsi="Arial" w:cs="Arial"/>
          <w:color w:val="000000"/>
          <w:shd w:val="clear" w:color="auto" w:fill="FFFFFF"/>
          <w:lang w:eastAsia="en-GB"/>
        </w:rPr>
        <w:t xml:space="preserve"> service. </w:t>
      </w:r>
    </w:p>
    <w:p w14:paraId="6E84D808" w14:textId="77777777" w:rsidR="008A1FE5" w:rsidRPr="00D85846" w:rsidRDefault="008A1FE5" w:rsidP="00DC54F7">
      <w:pPr>
        <w:shd w:val="clear" w:color="auto" w:fill="FFFFFF"/>
        <w:jc w:val="both"/>
        <w:rPr>
          <w:rFonts w:ascii="Arial" w:eastAsia="Times New Roman" w:hAnsi="Arial" w:cs="Arial"/>
          <w:color w:val="000000"/>
          <w:lang w:eastAsia="en-GB"/>
        </w:rPr>
      </w:pPr>
      <w:r>
        <w:rPr>
          <w:rFonts w:ascii="Arial" w:eastAsia="Times New Roman" w:hAnsi="Arial" w:cs="Arial"/>
          <w:color w:val="000000"/>
          <w:shd w:val="clear" w:color="auto" w:fill="FFFFFF"/>
          <w:lang w:eastAsia="en-GB"/>
        </w:rPr>
        <w:t xml:space="preserve">Looking to the future, we will </w:t>
      </w:r>
      <w:r w:rsidRPr="006A6928">
        <w:rPr>
          <w:rFonts w:ascii="Arial" w:eastAsia="Times New Roman" w:hAnsi="Arial" w:cs="Arial"/>
          <w:shd w:val="clear" w:color="auto" w:fill="FFFFFF"/>
          <w:lang w:eastAsia="en-GB"/>
        </w:rPr>
        <w:t>look</w:t>
      </w:r>
      <w:r>
        <w:rPr>
          <w:rFonts w:ascii="Arial" w:eastAsia="Times New Roman" w:hAnsi="Arial" w:cs="Arial"/>
          <w:color w:val="000000"/>
          <w:shd w:val="clear" w:color="auto" w:fill="FFFFFF"/>
          <w:lang w:eastAsia="en-GB"/>
        </w:rPr>
        <w:t xml:space="preserve"> at what may change over the next five years and whether there will be enough pharmacies in the right places, providing the services that people need as, for example, more houses are built. </w:t>
      </w:r>
    </w:p>
    <w:p w14:paraId="79608B7C" w14:textId="77777777" w:rsidR="008A1FE5" w:rsidRDefault="008A1FE5" w:rsidP="00DC54F7">
      <w:pPr>
        <w:shd w:val="clear" w:color="auto" w:fill="FFFFFF"/>
        <w:jc w:val="both"/>
        <w:rPr>
          <w:rFonts w:ascii="Arial" w:eastAsia="Times New Roman" w:hAnsi="Arial" w:cs="Arial"/>
          <w:color w:val="000000"/>
          <w:shd w:val="clear" w:color="auto" w:fill="FFFFFF"/>
          <w:lang w:eastAsia="en-GB"/>
        </w:rPr>
      </w:pPr>
      <w:r w:rsidRPr="00397174">
        <w:rPr>
          <w:rFonts w:ascii="Arial" w:eastAsia="Times New Roman" w:hAnsi="Arial" w:cs="Arial"/>
          <w:color w:val="000000"/>
          <w:lang w:eastAsia="en-GB"/>
        </w:rPr>
        <w:t xml:space="preserve">Your views are important to us so please spare a few minutes to complete this questionnaire. We estimate it will take you about </w:t>
      </w:r>
      <w:r w:rsidRPr="006A6928">
        <w:rPr>
          <w:rFonts w:ascii="Arial" w:eastAsia="Times New Roman" w:hAnsi="Arial" w:cs="Arial"/>
          <w:color w:val="000000"/>
          <w:lang w:eastAsia="en-GB"/>
        </w:rPr>
        <w:t>10 to 15</w:t>
      </w:r>
      <w:r w:rsidRPr="00397174">
        <w:rPr>
          <w:rFonts w:ascii="Arial" w:eastAsia="Times New Roman" w:hAnsi="Arial" w:cs="Arial"/>
          <w:color w:val="000000"/>
          <w:lang w:eastAsia="en-GB"/>
        </w:rPr>
        <w:t xml:space="preserve"> minutes to complete.</w:t>
      </w:r>
      <w:r>
        <w:rPr>
          <w:rFonts w:ascii="Arial" w:eastAsia="Times New Roman" w:hAnsi="Arial" w:cs="Arial"/>
          <w:color w:val="000000"/>
          <w:lang w:eastAsia="en-GB"/>
        </w:rPr>
        <w:t xml:space="preserve"> </w:t>
      </w:r>
    </w:p>
    <w:p w14:paraId="07D4197F" w14:textId="77777777" w:rsidR="008A1FE5" w:rsidRPr="00E07D1C" w:rsidRDefault="008A1FE5" w:rsidP="00DC54F7">
      <w:pPr>
        <w:shd w:val="clear" w:color="auto" w:fill="FFFFFF"/>
        <w:jc w:val="both"/>
        <w:rPr>
          <w:rFonts w:ascii="Arial" w:eastAsia="Times New Roman" w:hAnsi="Arial" w:cs="Arial"/>
          <w:color w:val="000000"/>
          <w:shd w:val="clear" w:color="auto" w:fill="FFFFFF"/>
          <w:lang w:eastAsia="en-GB"/>
        </w:rPr>
      </w:pPr>
      <w:r w:rsidRPr="00E07D1C">
        <w:rPr>
          <w:rFonts w:ascii="Arial" w:eastAsia="Times New Roman" w:hAnsi="Arial" w:cs="Arial"/>
          <w:color w:val="000000"/>
          <w:shd w:val="clear" w:color="auto" w:fill="FFFFFF"/>
          <w:lang w:eastAsia="en-GB"/>
        </w:rPr>
        <w:t>The questionnaire is anonymous and any information you give will not be linked to you</w:t>
      </w:r>
      <w:r>
        <w:rPr>
          <w:rFonts w:ascii="Arial" w:eastAsia="Times New Roman" w:hAnsi="Arial" w:cs="Arial"/>
          <w:color w:val="000000"/>
          <w:shd w:val="clear" w:color="auto" w:fill="FFFFFF"/>
          <w:lang w:eastAsia="en-GB"/>
        </w:rPr>
        <w:t>.</w:t>
      </w:r>
    </w:p>
    <w:p w14:paraId="6EE2E3F1" w14:textId="77777777" w:rsidR="008A1FE5" w:rsidRPr="008A2563" w:rsidRDefault="008A1FE5" w:rsidP="00DC54F7">
      <w:pPr>
        <w:shd w:val="clear" w:color="auto" w:fill="FFFFFF"/>
        <w:spacing w:after="0" w:line="240" w:lineRule="auto"/>
        <w:jc w:val="both"/>
        <w:rPr>
          <w:rFonts w:ascii="Arial" w:eastAsia="Times New Roman" w:hAnsi="Arial" w:cs="Arial"/>
          <w:shd w:val="clear" w:color="auto" w:fill="FFFFFF"/>
          <w:lang w:eastAsia="en-GB"/>
        </w:rPr>
      </w:pPr>
      <w:r w:rsidRPr="00E07D1C">
        <w:rPr>
          <w:rFonts w:ascii="Arial" w:eastAsia="Times New Roman" w:hAnsi="Arial" w:cs="Arial"/>
          <w:color w:val="000000"/>
          <w:shd w:val="clear" w:color="auto" w:fill="FFFFFF"/>
          <w:lang w:eastAsia="en-GB"/>
        </w:rPr>
        <w:t>If you would like more information about the questionnaire or have questions on how to complete the questionnaire, please contact</w:t>
      </w:r>
      <w:r>
        <w:rPr>
          <w:rFonts w:ascii="Arial" w:eastAsia="Times New Roman" w:hAnsi="Arial" w:cs="Arial"/>
          <w:color w:val="000000"/>
          <w:shd w:val="clear" w:color="auto" w:fill="FFFFFF"/>
          <w:lang w:eastAsia="en-GB"/>
        </w:rPr>
        <w:t xml:space="preserve"> </w:t>
      </w:r>
      <w:hyperlink r:id="rId106" w:tgtFrame="_blank" w:history="1">
        <w:r w:rsidRPr="008A1D49">
          <w:rPr>
            <w:rFonts w:ascii="Arial" w:hAnsi="Arial" w:cs="Arial"/>
            <w:color w:val="598FDE"/>
            <w:u w:val="single"/>
            <w:shd w:val="clear" w:color="auto" w:fill="FFFFFF"/>
          </w:rPr>
          <w:t>Cav.Justintime@wales.nhs.uk</w:t>
        </w:r>
      </w:hyperlink>
      <w:r w:rsidRPr="008A2563">
        <w:rPr>
          <w:rFonts w:ascii="Arial" w:eastAsia="Times New Roman" w:hAnsi="Arial" w:cs="Arial"/>
          <w:color w:val="000000"/>
          <w:shd w:val="clear" w:color="auto" w:fill="FFFFFF"/>
          <w:lang w:eastAsia="en-GB"/>
        </w:rPr>
        <w:t xml:space="preserve"> </w:t>
      </w:r>
      <w:r w:rsidRPr="008A2563">
        <w:rPr>
          <w:rFonts w:ascii="Arial" w:eastAsia="Times New Roman" w:hAnsi="Arial" w:cs="Arial"/>
          <w:color w:val="0000FF"/>
          <w:shd w:val="clear" w:color="auto" w:fill="FFFFFF"/>
          <w:lang w:eastAsia="en-GB"/>
        </w:rPr>
        <w:t xml:space="preserve"> </w:t>
      </w:r>
      <w:r w:rsidRPr="008A2563">
        <w:rPr>
          <w:rFonts w:ascii="Arial" w:eastAsia="Times New Roman" w:hAnsi="Arial" w:cs="Arial"/>
          <w:shd w:val="clear" w:color="auto" w:fill="FFFFFF"/>
          <w:lang w:eastAsia="en-GB"/>
        </w:rPr>
        <w:t>with “PNA questionnaire” in the subject header.</w:t>
      </w:r>
    </w:p>
    <w:p w14:paraId="114F8758" w14:textId="77777777" w:rsidR="008A1FE5" w:rsidRDefault="008A1FE5" w:rsidP="00DC54F7">
      <w:pPr>
        <w:spacing w:after="0" w:line="240" w:lineRule="auto"/>
        <w:jc w:val="both"/>
        <w:rPr>
          <w:rFonts w:ascii="Arial" w:hAnsi="Arial" w:cs="Arial"/>
          <w:color w:val="1F497D"/>
          <w:sz w:val="20"/>
          <w:szCs w:val="20"/>
          <w:shd w:val="clear" w:color="auto" w:fill="FFFFFF"/>
        </w:rPr>
      </w:pPr>
    </w:p>
    <w:p w14:paraId="3307F8F0" w14:textId="77777777" w:rsidR="008A1FE5" w:rsidRPr="00FD2690" w:rsidRDefault="008A1FE5" w:rsidP="00DC54F7">
      <w:pPr>
        <w:spacing w:after="0" w:line="240" w:lineRule="auto"/>
        <w:jc w:val="both"/>
        <w:rPr>
          <w:rFonts w:ascii="Arial" w:eastAsia="Calibri" w:hAnsi="Arial" w:cs="Arial"/>
          <w:b/>
          <w:color w:val="000000" w:themeColor="text1"/>
        </w:rPr>
      </w:pPr>
      <w:r w:rsidRPr="00FD2690">
        <w:rPr>
          <w:rFonts w:ascii="Arial" w:hAnsi="Arial" w:cs="Arial"/>
          <w:color w:val="000000" w:themeColor="text1"/>
          <w:shd w:val="clear" w:color="auto" w:fill="FFFFFF"/>
        </w:rPr>
        <w:t xml:space="preserve">If you would like to complete this questionnaire in </w:t>
      </w:r>
      <w:r>
        <w:rPr>
          <w:rFonts w:ascii="Arial" w:hAnsi="Arial" w:cs="Arial"/>
          <w:color w:val="000000" w:themeColor="text1"/>
          <w:shd w:val="clear" w:color="auto" w:fill="FFFFFF"/>
        </w:rPr>
        <w:t>W</w:t>
      </w:r>
      <w:r w:rsidRPr="00FD2690">
        <w:rPr>
          <w:rFonts w:ascii="Arial" w:hAnsi="Arial" w:cs="Arial"/>
          <w:color w:val="000000" w:themeColor="text1"/>
          <w:shd w:val="clear" w:color="auto" w:fill="FFFFFF"/>
        </w:rPr>
        <w:t xml:space="preserve">elsh please click </w:t>
      </w:r>
      <w:r>
        <w:rPr>
          <w:rFonts w:ascii="Arial" w:hAnsi="Arial" w:cs="Arial"/>
          <w:color w:val="000000" w:themeColor="text1"/>
          <w:shd w:val="clear" w:color="auto" w:fill="FFFFFF"/>
        </w:rPr>
        <w:t>here</w:t>
      </w:r>
    </w:p>
    <w:p w14:paraId="53E5CAFB" w14:textId="77777777" w:rsidR="008A1FE5" w:rsidRDefault="008A1FE5" w:rsidP="00DC54F7">
      <w:pPr>
        <w:spacing w:after="0" w:line="240" w:lineRule="auto"/>
        <w:jc w:val="both"/>
        <w:rPr>
          <w:rFonts w:ascii="Arial" w:eastAsia="Times New Roman" w:hAnsi="Arial" w:cs="Arial"/>
          <w:shd w:val="clear" w:color="auto" w:fill="FFFFFF"/>
          <w:lang w:eastAsia="en-GB"/>
        </w:rPr>
      </w:pPr>
      <w:bookmarkStart w:id="78" w:name="_Hlk57836089"/>
    </w:p>
    <w:p w14:paraId="31A8D713" w14:textId="77777777" w:rsidR="008A1FE5" w:rsidRDefault="008A1FE5" w:rsidP="00DC54F7">
      <w:pPr>
        <w:spacing w:after="0" w:line="240" w:lineRule="auto"/>
        <w:jc w:val="both"/>
        <w:rPr>
          <w:rFonts w:ascii="Arial" w:eastAsia="Times New Roman" w:hAnsi="Arial" w:cs="Arial"/>
          <w:shd w:val="clear" w:color="auto" w:fill="FFFFFF"/>
          <w:lang w:eastAsia="en-GB"/>
        </w:rPr>
      </w:pPr>
      <w:r>
        <w:rPr>
          <w:rFonts w:ascii="Arial" w:eastAsia="Times New Roman" w:hAnsi="Arial" w:cs="Arial"/>
          <w:shd w:val="clear" w:color="auto" w:fill="FFFFFF"/>
          <w:lang w:eastAsia="en-GB"/>
        </w:rPr>
        <w:t xml:space="preserve"> </w:t>
      </w:r>
      <w:bookmarkEnd w:id="78"/>
    </w:p>
    <w:p w14:paraId="354FD037" w14:textId="77777777" w:rsidR="008A1FE5" w:rsidRDefault="008A1FE5" w:rsidP="00DC54F7">
      <w:pPr>
        <w:spacing w:after="0" w:line="240" w:lineRule="auto"/>
        <w:jc w:val="both"/>
        <w:rPr>
          <w:rFonts w:ascii="Arial" w:eastAsia="Times New Roman" w:hAnsi="Arial" w:cs="Arial"/>
          <w:shd w:val="clear" w:color="auto" w:fill="FFFFFF"/>
          <w:lang w:eastAsia="en-GB"/>
        </w:rPr>
      </w:pPr>
    </w:p>
    <w:p w14:paraId="51F39F6D" w14:textId="77777777" w:rsidR="008A1FE5" w:rsidRDefault="008A1FE5" w:rsidP="00DC54F7">
      <w:pPr>
        <w:spacing w:after="0" w:line="240" w:lineRule="auto"/>
        <w:jc w:val="both"/>
        <w:rPr>
          <w:rFonts w:ascii="Arial" w:eastAsia="Times New Roman" w:hAnsi="Arial" w:cs="Arial"/>
          <w:shd w:val="clear" w:color="auto" w:fill="FFFFFF"/>
          <w:lang w:eastAsia="en-GB"/>
        </w:rPr>
      </w:pPr>
    </w:p>
    <w:p w14:paraId="0A380373" w14:textId="77777777" w:rsidR="008A1FE5" w:rsidRDefault="008A1FE5" w:rsidP="00DC54F7">
      <w:pPr>
        <w:spacing w:after="0" w:line="240" w:lineRule="auto"/>
        <w:jc w:val="both"/>
        <w:rPr>
          <w:rFonts w:ascii="Arial" w:eastAsia="Times New Roman" w:hAnsi="Arial" w:cs="Arial"/>
          <w:shd w:val="clear" w:color="auto" w:fill="FFFFFF"/>
          <w:lang w:eastAsia="en-GB"/>
        </w:rPr>
      </w:pPr>
    </w:p>
    <w:p w14:paraId="21E90701" w14:textId="77777777" w:rsidR="008A1FE5" w:rsidRDefault="008A1FE5" w:rsidP="00DC54F7">
      <w:pPr>
        <w:spacing w:after="0" w:line="240" w:lineRule="auto"/>
        <w:jc w:val="both"/>
        <w:rPr>
          <w:rFonts w:ascii="Arial" w:eastAsia="Times New Roman" w:hAnsi="Arial" w:cs="Arial"/>
          <w:shd w:val="clear" w:color="auto" w:fill="FFFFFF"/>
          <w:lang w:eastAsia="en-GB"/>
        </w:rPr>
      </w:pPr>
    </w:p>
    <w:p w14:paraId="03BE7BFF" w14:textId="77777777" w:rsidR="008A1FE5" w:rsidRDefault="008A1FE5" w:rsidP="00DC54F7">
      <w:pPr>
        <w:spacing w:after="0" w:line="240" w:lineRule="auto"/>
        <w:jc w:val="both"/>
        <w:rPr>
          <w:rFonts w:ascii="Arial" w:eastAsia="Times New Roman" w:hAnsi="Arial" w:cs="Arial"/>
          <w:shd w:val="clear" w:color="auto" w:fill="FFFFFF"/>
          <w:lang w:eastAsia="en-GB"/>
        </w:rPr>
      </w:pPr>
    </w:p>
    <w:p w14:paraId="3DA795D1" w14:textId="77777777" w:rsidR="008A1FE5" w:rsidRDefault="008A1FE5" w:rsidP="00DC54F7">
      <w:pPr>
        <w:spacing w:after="0" w:line="240" w:lineRule="auto"/>
        <w:jc w:val="both"/>
        <w:rPr>
          <w:rFonts w:ascii="Arial" w:eastAsia="Times New Roman" w:hAnsi="Arial" w:cs="Arial"/>
          <w:shd w:val="clear" w:color="auto" w:fill="FFFFFF"/>
          <w:lang w:eastAsia="en-GB"/>
        </w:rPr>
      </w:pPr>
    </w:p>
    <w:p w14:paraId="612B44E5" w14:textId="77777777" w:rsidR="008A1FE5" w:rsidRDefault="008A1FE5" w:rsidP="00DC54F7">
      <w:pPr>
        <w:spacing w:after="0" w:line="240" w:lineRule="auto"/>
        <w:jc w:val="both"/>
        <w:rPr>
          <w:rFonts w:ascii="Arial" w:eastAsia="Times New Roman" w:hAnsi="Arial" w:cs="Arial"/>
          <w:shd w:val="clear" w:color="auto" w:fill="FFFFFF"/>
          <w:lang w:eastAsia="en-GB"/>
        </w:rPr>
      </w:pPr>
    </w:p>
    <w:p w14:paraId="53FEFA74" w14:textId="77777777" w:rsidR="008A1FE5" w:rsidRDefault="008A1FE5" w:rsidP="00DC54F7">
      <w:pPr>
        <w:spacing w:after="0" w:line="240" w:lineRule="auto"/>
        <w:jc w:val="both"/>
        <w:rPr>
          <w:rFonts w:ascii="Arial" w:eastAsia="Times New Roman" w:hAnsi="Arial" w:cs="Arial"/>
          <w:shd w:val="clear" w:color="auto" w:fill="FFFFFF"/>
          <w:lang w:eastAsia="en-GB"/>
        </w:rPr>
      </w:pPr>
    </w:p>
    <w:p w14:paraId="77DB183E" w14:textId="77777777" w:rsidR="008A1FE5" w:rsidRDefault="008A1FE5" w:rsidP="00DC54F7">
      <w:pPr>
        <w:spacing w:after="0" w:line="240" w:lineRule="auto"/>
        <w:jc w:val="both"/>
        <w:rPr>
          <w:rFonts w:ascii="Arial" w:eastAsia="Times New Roman" w:hAnsi="Arial" w:cs="Arial"/>
          <w:shd w:val="clear" w:color="auto" w:fill="FFFFFF"/>
          <w:lang w:eastAsia="en-GB"/>
        </w:rPr>
      </w:pPr>
    </w:p>
    <w:p w14:paraId="2B3DF624" w14:textId="77777777" w:rsidR="008A1FE5" w:rsidRDefault="008A1FE5" w:rsidP="00DC54F7">
      <w:pPr>
        <w:spacing w:after="0" w:line="240" w:lineRule="auto"/>
        <w:jc w:val="both"/>
        <w:rPr>
          <w:rFonts w:ascii="Arial" w:eastAsia="Times New Roman" w:hAnsi="Arial" w:cs="Arial"/>
          <w:shd w:val="clear" w:color="auto" w:fill="FFFFFF"/>
          <w:lang w:eastAsia="en-GB"/>
        </w:rPr>
      </w:pPr>
    </w:p>
    <w:p w14:paraId="0318810C" w14:textId="77777777" w:rsidR="008A1FE5" w:rsidRDefault="008A1FE5" w:rsidP="00DC54F7">
      <w:pPr>
        <w:spacing w:after="0" w:line="240" w:lineRule="auto"/>
        <w:jc w:val="both"/>
        <w:rPr>
          <w:rFonts w:ascii="Arial" w:eastAsia="Times New Roman" w:hAnsi="Arial" w:cs="Arial"/>
          <w:shd w:val="clear" w:color="auto" w:fill="FFFFFF"/>
          <w:lang w:eastAsia="en-GB"/>
        </w:rPr>
      </w:pPr>
    </w:p>
    <w:p w14:paraId="5E1B6527" w14:textId="77777777" w:rsidR="008A1FE5" w:rsidRDefault="008A1FE5" w:rsidP="00DC54F7">
      <w:pPr>
        <w:spacing w:after="0" w:line="240" w:lineRule="auto"/>
        <w:jc w:val="both"/>
        <w:rPr>
          <w:rFonts w:ascii="Arial" w:eastAsia="Times New Roman" w:hAnsi="Arial" w:cs="Arial"/>
          <w:shd w:val="clear" w:color="auto" w:fill="FFFFFF"/>
          <w:lang w:eastAsia="en-GB"/>
        </w:rPr>
      </w:pPr>
    </w:p>
    <w:p w14:paraId="5C04610F" w14:textId="77777777" w:rsidR="008A1FE5" w:rsidRDefault="008A1FE5" w:rsidP="00DC54F7">
      <w:pPr>
        <w:spacing w:after="0" w:line="240" w:lineRule="auto"/>
        <w:jc w:val="both"/>
        <w:rPr>
          <w:rFonts w:ascii="Arial" w:eastAsia="Times New Roman" w:hAnsi="Arial" w:cs="Arial"/>
          <w:shd w:val="clear" w:color="auto" w:fill="FFFFFF"/>
          <w:lang w:eastAsia="en-GB"/>
        </w:rPr>
      </w:pPr>
    </w:p>
    <w:p w14:paraId="2F0C6FC4" w14:textId="77777777" w:rsidR="008A1FE5" w:rsidRDefault="008A1FE5" w:rsidP="00DC54F7">
      <w:pPr>
        <w:spacing w:after="0" w:line="240" w:lineRule="auto"/>
        <w:jc w:val="both"/>
        <w:rPr>
          <w:rFonts w:ascii="Arial" w:eastAsia="Times New Roman" w:hAnsi="Arial" w:cs="Arial"/>
          <w:shd w:val="clear" w:color="auto" w:fill="FFFFFF"/>
          <w:lang w:eastAsia="en-GB"/>
        </w:rPr>
      </w:pPr>
    </w:p>
    <w:p w14:paraId="0B287A96" w14:textId="77777777" w:rsidR="008A1FE5" w:rsidRDefault="008A1FE5" w:rsidP="00DC54F7">
      <w:pPr>
        <w:spacing w:after="0" w:line="240" w:lineRule="auto"/>
        <w:jc w:val="both"/>
        <w:rPr>
          <w:rFonts w:ascii="Arial" w:eastAsia="Calibri" w:hAnsi="Arial" w:cs="Arial"/>
          <w:b/>
          <w:color w:val="333333"/>
          <w:sz w:val="28"/>
          <w:szCs w:val="28"/>
          <w:shd w:val="clear" w:color="auto" w:fill="FFFFFF"/>
        </w:rPr>
      </w:pPr>
    </w:p>
    <w:p w14:paraId="2AF391CD" w14:textId="77777777" w:rsidR="008A1FE5" w:rsidRDefault="008A1FE5" w:rsidP="00DC54F7">
      <w:pPr>
        <w:spacing w:after="0" w:line="240" w:lineRule="auto"/>
        <w:jc w:val="both"/>
        <w:rPr>
          <w:rFonts w:ascii="Arial" w:eastAsia="Calibri" w:hAnsi="Arial" w:cs="Arial"/>
          <w:b/>
          <w:color w:val="333333"/>
          <w:sz w:val="28"/>
          <w:szCs w:val="28"/>
          <w:shd w:val="clear" w:color="auto" w:fill="FFFFFF"/>
        </w:rPr>
      </w:pPr>
    </w:p>
    <w:p w14:paraId="5D2D3FFC" w14:textId="77777777" w:rsidR="008A1FE5" w:rsidRDefault="008A1FE5" w:rsidP="00DC54F7">
      <w:pPr>
        <w:spacing w:after="0" w:line="240" w:lineRule="auto"/>
        <w:jc w:val="both"/>
        <w:rPr>
          <w:rFonts w:ascii="Arial" w:eastAsia="Calibri" w:hAnsi="Arial" w:cs="Arial"/>
          <w:b/>
          <w:color w:val="333333"/>
          <w:sz w:val="28"/>
          <w:szCs w:val="28"/>
          <w:shd w:val="clear" w:color="auto" w:fill="FFFFFF"/>
        </w:rPr>
      </w:pPr>
    </w:p>
    <w:p w14:paraId="2BFC9092" w14:textId="77777777" w:rsidR="008A1FE5" w:rsidRDefault="008A1FE5" w:rsidP="00DC54F7">
      <w:pPr>
        <w:spacing w:after="0" w:line="240" w:lineRule="auto"/>
        <w:jc w:val="both"/>
        <w:rPr>
          <w:rFonts w:ascii="Arial" w:eastAsia="Calibri" w:hAnsi="Arial" w:cs="Arial"/>
          <w:b/>
          <w:color w:val="333333"/>
          <w:sz w:val="28"/>
          <w:szCs w:val="28"/>
          <w:shd w:val="clear" w:color="auto" w:fill="FFFFFF"/>
        </w:rPr>
      </w:pPr>
    </w:p>
    <w:p w14:paraId="56370B85" w14:textId="77777777" w:rsidR="00FB1048" w:rsidRDefault="00FB1048" w:rsidP="00DC54F7">
      <w:pPr>
        <w:spacing w:after="0" w:line="240" w:lineRule="auto"/>
        <w:jc w:val="both"/>
        <w:rPr>
          <w:rFonts w:ascii="Arial" w:eastAsia="Calibri" w:hAnsi="Arial" w:cs="Arial"/>
          <w:b/>
          <w:color w:val="333333"/>
          <w:sz w:val="28"/>
          <w:szCs w:val="28"/>
          <w:shd w:val="clear" w:color="auto" w:fill="FFFFFF"/>
        </w:rPr>
      </w:pPr>
    </w:p>
    <w:p w14:paraId="5D44383A" w14:textId="77777777" w:rsidR="00FB1048" w:rsidRDefault="00FB1048" w:rsidP="00DC54F7">
      <w:pPr>
        <w:spacing w:after="0" w:line="240" w:lineRule="auto"/>
        <w:jc w:val="both"/>
        <w:rPr>
          <w:rFonts w:ascii="Arial" w:eastAsia="Calibri" w:hAnsi="Arial" w:cs="Arial"/>
          <w:b/>
          <w:color w:val="333333"/>
          <w:sz w:val="28"/>
          <w:szCs w:val="28"/>
          <w:shd w:val="clear" w:color="auto" w:fill="FFFFFF"/>
        </w:rPr>
      </w:pPr>
    </w:p>
    <w:p w14:paraId="13430BB5" w14:textId="18C1C8E2" w:rsidR="008A1FE5" w:rsidRPr="00A62392" w:rsidRDefault="008A1FE5" w:rsidP="00DC54F7">
      <w:pPr>
        <w:spacing w:after="0" w:line="240" w:lineRule="auto"/>
        <w:jc w:val="both"/>
        <w:rPr>
          <w:rFonts w:ascii="Arial" w:eastAsia="Calibri" w:hAnsi="Arial" w:cs="Arial"/>
          <w:b/>
          <w:color w:val="333333"/>
          <w:sz w:val="28"/>
          <w:szCs w:val="28"/>
          <w:shd w:val="clear" w:color="auto" w:fill="FFFFFF"/>
        </w:rPr>
      </w:pPr>
      <w:r w:rsidRPr="00A62392">
        <w:rPr>
          <w:rFonts w:ascii="Arial" w:eastAsia="Calibri" w:hAnsi="Arial" w:cs="Arial"/>
          <w:b/>
          <w:color w:val="333333"/>
          <w:sz w:val="28"/>
          <w:szCs w:val="28"/>
          <w:shd w:val="clear" w:color="auto" w:fill="FFFFFF"/>
        </w:rPr>
        <w:lastRenderedPageBreak/>
        <w:t>About you</w:t>
      </w:r>
    </w:p>
    <w:p w14:paraId="0E24C9FE" w14:textId="77777777" w:rsidR="008A1FE5" w:rsidRDefault="008A1FE5" w:rsidP="00DC54F7">
      <w:pPr>
        <w:spacing w:after="0" w:line="240" w:lineRule="auto"/>
        <w:jc w:val="both"/>
        <w:rPr>
          <w:rFonts w:ascii="Arial" w:eastAsia="Calibri" w:hAnsi="Arial" w:cs="Arial"/>
          <w:b/>
          <w:color w:val="333333"/>
          <w:shd w:val="clear" w:color="auto" w:fill="FFFFFF"/>
        </w:rPr>
      </w:pPr>
    </w:p>
    <w:p w14:paraId="3465C155" w14:textId="77777777" w:rsidR="008A1FE5" w:rsidRPr="00E66CC1" w:rsidRDefault="008A1FE5" w:rsidP="00DC54F7">
      <w:pPr>
        <w:spacing w:after="0" w:line="240" w:lineRule="auto"/>
        <w:jc w:val="both"/>
        <w:rPr>
          <w:rFonts w:ascii="Arial" w:eastAsia="Calibri" w:hAnsi="Arial" w:cs="Arial"/>
          <w:b/>
          <w:color w:val="333333"/>
          <w:shd w:val="clear" w:color="auto" w:fill="FFFFFF"/>
        </w:rPr>
      </w:pPr>
      <w:r w:rsidRPr="00E66CC1">
        <w:rPr>
          <w:rFonts w:ascii="Arial" w:eastAsia="Calibri" w:hAnsi="Arial" w:cs="Arial"/>
          <w:b/>
          <w:color w:val="333333"/>
          <w:shd w:val="clear" w:color="auto" w:fill="FFFFFF"/>
        </w:rPr>
        <w:t>Please tell us your postcode</w:t>
      </w:r>
    </w:p>
    <w:p w14:paraId="3EB6AC3A" w14:textId="77777777" w:rsidR="008A1FE5" w:rsidRPr="00E66CC1" w:rsidRDefault="008A1FE5" w:rsidP="00DC54F7">
      <w:pPr>
        <w:spacing w:after="0" w:line="240" w:lineRule="auto"/>
        <w:jc w:val="both"/>
        <w:rPr>
          <w:rFonts w:ascii="Arial" w:eastAsia="Calibri" w:hAnsi="Arial" w:cs="Arial"/>
          <w:b/>
          <w:color w:val="333333"/>
          <w:shd w:val="clear" w:color="auto" w:fill="FFFFFF"/>
        </w:rPr>
      </w:pPr>
    </w:p>
    <w:p w14:paraId="00F9F874" w14:textId="77777777" w:rsidR="008A1FE5" w:rsidRDefault="008A1FE5" w:rsidP="00DC54F7">
      <w:pPr>
        <w:spacing w:after="0" w:line="240" w:lineRule="auto"/>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 xml:space="preserve">By providing us with </w:t>
      </w:r>
      <w:r>
        <w:rPr>
          <w:rFonts w:ascii="Arial" w:eastAsia="Calibri" w:hAnsi="Arial" w:cs="Arial"/>
          <w:color w:val="333333"/>
          <w:shd w:val="clear" w:color="auto" w:fill="FFFFFF"/>
        </w:rPr>
        <w:t xml:space="preserve">the first four digits of </w:t>
      </w:r>
      <w:r w:rsidRPr="00E66CC1">
        <w:rPr>
          <w:rFonts w:ascii="Arial" w:eastAsia="Calibri" w:hAnsi="Arial" w:cs="Arial"/>
          <w:color w:val="333333"/>
          <w:shd w:val="clear" w:color="auto" w:fill="FFFFFF"/>
        </w:rPr>
        <w:t xml:space="preserve">your postcode, you are consenting for us to use this information to understand </w:t>
      </w:r>
      <w:r>
        <w:rPr>
          <w:rFonts w:ascii="Arial" w:eastAsia="Calibri" w:hAnsi="Arial" w:cs="Arial"/>
          <w:color w:val="333333"/>
          <w:shd w:val="clear" w:color="auto" w:fill="FFFFFF"/>
        </w:rPr>
        <w:t xml:space="preserve">which part of Cardiff and Vale University Health Board area you usually live in. </w:t>
      </w:r>
      <w:r w:rsidRPr="00695614">
        <w:rPr>
          <w:rFonts w:ascii="Arial" w:eastAsia="Calibri" w:hAnsi="Arial" w:cs="Arial"/>
          <w:color w:val="333333"/>
          <w:shd w:val="clear" w:color="auto" w:fill="FFFFFF"/>
        </w:rPr>
        <w:t xml:space="preserve">This information will only be used for the purposes of this questionnaire so that we can identify whether we have received responses from across </w:t>
      </w:r>
      <w:r>
        <w:rPr>
          <w:rFonts w:ascii="Arial" w:eastAsia="Calibri" w:hAnsi="Arial" w:cs="Arial"/>
          <w:color w:val="333333"/>
          <w:shd w:val="clear" w:color="auto" w:fill="FFFFFF"/>
        </w:rPr>
        <w:t>the health board area</w:t>
      </w:r>
      <w:r w:rsidRPr="00695614">
        <w:rPr>
          <w:rFonts w:ascii="Arial" w:eastAsia="Calibri" w:hAnsi="Arial" w:cs="Arial"/>
          <w:color w:val="333333"/>
          <w:shd w:val="clear" w:color="auto" w:fill="FFFFFF"/>
        </w:rPr>
        <w:t xml:space="preserve"> or from particular areas.  Please do not provide us with your full postcode.</w:t>
      </w:r>
      <w:r>
        <w:rPr>
          <w:rFonts w:ascii="Arial" w:eastAsia="Calibri" w:hAnsi="Arial" w:cs="Arial"/>
          <w:color w:val="333333"/>
          <w:shd w:val="clear" w:color="auto" w:fill="FFFFFF"/>
        </w:rPr>
        <w:t xml:space="preserve"> </w:t>
      </w:r>
    </w:p>
    <w:p w14:paraId="10BD2348" w14:textId="77777777" w:rsidR="008A1FE5" w:rsidRPr="00E66CC1" w:rsidRDefault="008A1FE5" w:rsidP="00DC54F7">
      <w:pPr>
        <w:spacing w:after="0" w:line="240" w:lineRule="auto"/>
        <w:jc w:val="both"/>
        <w:rPr>
          <w:rFonts w:ascii="Arial" w:eastAsia="Calibri" w:hAnsi="Arial" w:cs="Arial"/>
          <w:b/>
          <w:color w:val="333333"/>
          <w:shd w:val="clear" w:color="auto" w:fill="FFFFFF"/>
        </w:rPr>
      </w:pPr>
    </w:p>
    <w:p w14:paraId="42FF29EB" w14:textId="77777777" w:rsidR="008A1FE5" w:rsidRPr="00DE7A3C" w:rsidRDefault="008A1FE5" w:rsidP="00DC54F7">
      <w:pPr>
        <w:spacing w:after="0" w:line="240" w:lineRule="auto"/>
        <w:jc w:val="both"/>
        <w:rPr>
          <w:rFonts w:ascii="Arial" w:eastAsia="Calibri" w:hAnsi="Arial" w:cs="Arial"/>
          <w:shd w:val="clear" w:color="auto" w:fill="FFFFFF"/>
        </w:rPr>
      </w:pPr>
      <w:r w:rsidRPr="00DE7A3C">
        <w:rPr>
          <w:rFonts w:ascii="Arial" w:eastAsia="Calibri" w:hAnsi="Arial" w:cs="Arial"/>
          <w:shd w:val="clear" w:color="auto" w:fill="FFFFFF"/>
        </w:rPr>
        <w:t xml:space="preserve">For example, if your postcode is </w:t>
      </w:r>
      <w:r w:rsidRPr="00DE7A3C">
        <w:rPr>
          <w:rFonts w:ascii="Arial" w:hAnsi="Arial" w:cs="Arial"/>
          <w:shd w:val="clear" w:color="auto" w:fill="FFFFFF"/>
        </w:rPr>
        <w:t>CF14 4HH</w:t>
      </w:r>
      <w:r w:rsidRPr="00DE7A3C">
        <w:rPr>
          <w:rFonts w:ascii="Arial" w:eastAsia="Calibri" w:hAnsi="Arial" w:cs="Arial"/>
          <w:shd w:val="clear" w:color="auto" w:fill="FFFFFF"/>
        </w:rPr>
        <w:t xml:space="preserve"> just type CF</w:t>
      </w:r>
      <w:r>
        <w:rPr>
          <w:rFonts w:ascii="Arial" w:eastAsia="Calibri" w:hAnsi="Arial" w:cs="Arial"/>
          <w:shd w:val="clear" w:color="auto" w:fill="FFFFFF"/>
        </w:rPr>
        <w:t xml:space="preserve">14 </w:t>
      </w:r>
      <w:r w:rsidRPr="00DE7A3C">
        <w:rPr>
          <w:rFonts w:ascii="Arial" w:eastAsia="Calibri" w:hAnsi="Arial" w:cs="Arial"/>
          <w:shd w:val="clear" w:color="auto" w:fill="FFFFFF"/>
        </w:rPr>
        <w:t xml:space="preserve">in the box below. </w:t>
      </w:r>
    </w:p>
    <w:p w14:paraId="51F7FA85" w14:textId="77777777" w:rsidR="008A1FE5" w:rsidRPr="00E66CC1" w:rsidRDefault="008A1FE5" w:rsidP="00DC54F7">
      <w:pPr>
        <w:spacing w:after="0" w:line="240" w:lineRule="auto"/>
        <w:jc w:val="both"/>
        <w:rPr>
          <w:rFonts w:ascii="Arial" w:eastAsia="Calibri" w:hAnsi="Arial" w:cs="Arial"/>
          <w:shd w:val="clear" w:color="auto" w:fill="FFFFFF"/>
        </w:rPr>
      </w:pPr>
    </w:p>
    <w:tbl>
      <w:tblPr>
        <w:tblStyle w:val="TableGrid"/>
        <w:tblW w:w="0" w:type="auto"/>
        <w:tblLook w:val="04A0" w:firstRow="1" w:lastRow="0" w:firstColumn="1" w:lastColumn="0" w:noHBand="0" w:noVBand="1"/>
      </w:tblPr>
      <w:tblGrid>
        <w:gridCol w:w="9016"/>
      </w:tblGrid>
      <w:tr w:rsidR="008A1FE5" w:rsidRPr="00E66CC1" w14:paraId="4766F3EC" w14:textId="77777777" w:rsidTr="00AA572E">
        <w:tc>
          <w:tcPr>
            <w:tcW w:w="9062" w:type="dxa"/>
          </w:tcPr>
          <w:p w14:paraId="31528FE4" w14:textId="77777777" w:rsidR="008A1FE5" w:rsidRPr="00E66CC1" w:rsidRDefault="008A1FE5" w:rsidP="00DC54F7">
            <w:pPr>
              <w:jc w:val="both"/>
              <w:rPr>
                <w:color w:val="FF0000"/>
                <w:shd w:val="clear" w:color="auto" w:fill="FFFFFF"/>
              </w:rPr>
            </w:pPr>
          </w:p>
        </w:tc>
      </w:tr>
    </w:tbl>
    <w:p w14:paraId="53A87342" w14:textId="77777777" w:rsidR="008A1FE5" w:rsidRDefault="008A1FE5" w:rsidP="00DC54F7">
      <w:pPr>
        <w:spacing w:after="0" w:line="240" w:lineRule="auto"/>
        <w:jc w:val="both"/>
        <w:rPr>
          <w:rFonts w:ascii="Arial" w:eastAsia="Calibri" w:hAnsi="Arial" w:cs="Arial"/>
          <w:b/>
        </w:rPr>
      </w:pPr>
    </w:p>
    <w:p w14:paraId="005A929B" w14:textId="77777777" w:rsidR="008A1FE5" w:rsidRPr="0028203C" w:rsidRDefault="008A1FE5" w:rsidP="00DC54F7">
      <w:pPr>
        <w:spacing w:after="0" w:line="240" w:lineRule="auto"/>
        <w:jc w:val="both"/>
        <w:rPr>
          <w:rFonts w:ascii="Arial" w:eastAsia="Calibri" w:hAnsi="Arial" w:cs="Arial"/>
          <w:b/>
          <w:sz w:val="28"/>
          <w:szCs w:val="28"/>
        </w:rPr>
      </w:pPr>
      <w:r w:rsidRPr="006A6928">
        <w:rPr>
          <w:rFonts w:ascii="Arial" w:eastAsia="Calibri" w:hAnsi="Arial" w:cs="Arial"/>
          <w:b/>
          <w:sz w:val="28"/>
          <w:szCs w:val="28"/>
        </w:rPr>
        <w:t>Preferred language</w:t>
      </w:r>
    </w:p>
    <w:p w14:paraId="2DB6FFCE" w14:textId="77777777" w:rsidR="008A1FE5" w:rsidRPr="00663B0C" w:rsidRDefault="008A1FE5" w:rsidP="00DC54F7">
      <w:pPr>
        <w:spacing w:after="0" w:line="240" w:lineRule="auto"/>
        <w:jc w:val="both"/>
        <w:rPr>
          <w:rFonts w:ascii="Arial" w:eastAsia="Calibri" w:hAnsi="Arial" w:cs="Arial"/>
        </w:rPr>
      </w:pPr>
    </w:p>
    <w:p w14:paraId="60803DDA" w14:textId="77777777" w:rsidR="008A1FE5" w:rsidRDefault="008A1FE5" w:rsidP="00DC54F7">
      <w:pPr>
        <w:spacing w:after="0" w:line="240" w:lineRule="auto"/>
        <w:jc w:val="both"/>
        <w:rPr>
          <w:rFonts w:ascii="Arial" w:eastAsia="Calibri" w:hAnsi="Arial" w:cs="Arial"/>
        </w:rPr>
      </w:pPr>
    </w:p>
    <w:p w14:paraId="32D1CF61" w14:textId="77777777" w:rsidR="008A1FE5" w:rsidRPr="00E07D1C" w:rsidRDefault="008A1FE5" w:rsidP="00DC54F7">
      <w:pPr>
        <w:spacing w:after="0" w:line="240" w:lineRule="auto"/>
        <w:jc w:val="both"/>
        <w:rPr>
          <w:rFonts w:ascii="Arial" w:eastAsia="Calibri" w:hAnsi="Arial" w:cs="Arial"/>
          <w:b/>
          <w:bCs/>
        </w:rPr>
      </w:pPr>
      <w:r w:rsidRPr="00E07D1C">
        <w:rPr>
          <w:rFonts w:ascii="Arial" w:eastAsia="Calibri" w:hAnsi="Arial" w:cs="Arial"/>
          <w:b/>
          <w:bCs/>
        </w:rPr>
        <w:t>1. Please could you tell us your preferred language when you access services at a pharmacy?</w:t>
      </w:r>
      <w:r>
        <w:rPr>
          <w:rFonts w:ascii="Arial" w:eastAsia="Calibri" w:hAnsi="Arial" w:cs="Arial"/>
          <w:b/>
          <w:bCs/>
        </w:rPr>
        <w:t xml:space="preserve"> Please tick one.</w:t>
      </w:r>
    </w:p>
    <w:p w14:paraId="360D8764" w14:textId="77777777" w:rsidR="008A1FE5" w:rsidRPr="00663B0C" w:rsidRDefault="008A1FE5" w:rsidP="00DC54F7">
      <w:pPr>
        <w:spacing w:after="0" w:line="240" w:lineRule="auto"/>
        <w:jc w:val="both"/>
        <w:rPr>
          <w:rFonts w:ascii="Arial" w:eastAsia="Calibri" w:hAnsi="Arial" w:cs="Arial"/>
        </w:rPr>
      </w:pPr>
    </w:p>
    <w:p w14:paraId="400FE849" w14:textId="77777777" w:rsidR="008A1FE5" w:rsidRPr="00663B0C" w:rsidRDefault="008A1FE5" w:rsidP="00DC54F7">
      <w:pPr>
        <w:pStyle w:val="ListParagraph"/>
        <w:numPr>
          <w:ilvl w:val="0"/>
          <w:numId w:val="192"/>
        </w:numPr>
        <w:spacing w:after="0" w:line="240" w:lineRule="auto"/>
        <w:jc w:val="both"/>
        <w:rPr>
          <w:rFonts w:ascii="Arial" w:eastAsia="Calibri" w:hAnsi="Arial" w:cs="Arial"/>
        </w:rPr>
      </w:pPr>
      <w:r w:rsidRPr="00663B0C">
        <w:rPr>
          <w:rFonts w:ascii="Arial" w:eastAsia="Calibri" w:hAnsi="Arial" w:cs="Arial"/>
        </w:rPr>
        <w:t>Welsh</w:t>
      </w:r>
    </w:p>
    <w:p w14:paraId="3D4F1402" w14:textId="77777777" w:rsidR="008A1FE5" w:rsidRPr="00663B0C" w:rsidRDefault="008A1FE5" w:rsidP="00DC54F7">
      <w:pPr>
        <w:pStyle w:val="ListParagraph"/>
        <w:numPr>
          <w:ilvl w:val="0"/>
          <w:numId w:val="192"/>
        </w:numPr>
        <w:spacing w:after="0" w:line="240" w:lineRule="auto"/>
        <w:jc w:val="both"/>
        <w:rPr>
          <w:rFonts w:ascii="Arial" w:eastAsia="Calibri" w:hAnsi="Arial" w:cs="Arial"/>
        </w:rPr>
      </w:pPr>
      <w:r w:rsidRPr="00663B0C">
        <w:rPr>
          <w:rFonts w:ascii="Arial" w:eastAsia="Calibri" w:hAnsi="Arial" w:cs="Arial"/>
        </w:rPr>
        <w:t>English</w:t>
      </w:r>
    </w:p>
    <w:p w14:paraId="1DBF6240" w14:textId="77777777" w:rsidR="008A1FE5" w:rsidRDefault="008A1FE5" w:rsidP="00DC54F7">
      <w:pPr>
        <w:pStyle w:val="ListParagraph"/>
        <w:numPr>
          <w:ilvl w:val="0"/>
          <w:numId w:val="192"/>
        </w:numPr>
        <w:spacing w:after="0" w:line="240" w:lineRule="auto"/>
        <w:jc w:val="both"/>
        <w:rPr>
          <w:rFonts w:ascii="Arial" w:eastAsia="Calibri" w:hAnsi="Arial" w:cs="Arial"/>
        </w:rPr>
      </w:pPr>
      <w:r w:rsidRPr="00663B0C">
        <w:rPr>
          <w:rFonts w:ascii="Arial" w:eastAsia="Calibri" w:hAnsi="Arial" w:cs="Arial"/>
        </w:rPr>
        <w:t>Other [text box]</w:t>
      </w:r>
    </w:p>
    <w:p w14:paraId="5228FCB4" w14:textId="77777777" w:rsidR="008A1FE5" w:rsidRDefault="008A1FE5" w:rsidP="00DC54F7">
      <w:pPr>
        <w:spacing w:after="0" w:line="240" w:lineRule="auto"/>
        <w:jc w:val="both"/>
        <w:rPr>
          <w:rFonts w:ascii="Arial" w:eastAsia="Calibri" w:hAnsi="Arial" w:cs="Arial"/>
          <w:b/>
          <w:sz w:val="28"/>
          <w:szCs w:val="28"/>
        </w:rPr>
      </w:pPr>
    </w:p>
    <w:p w14:paraId="09735BDD" w14:textId="77777777" w:rsidR="008A1FE5" w:rsidRPr="00E66CC1" w:rsidRDefault="008A1FE5" w:rsidP="00DC54F7">
      <w:pPr>
        <w:spacing w:after="0" w:line="240" w:lineRule="auto"/>
        <w:jc w:val="both"/>
        <w:rPr>
          <w:rFonts w:ascii="Arial" w:eastAsia="Calibri" w:hAnsi="Arial" w:cs="Arial"/>
          <w:b/>
          <w:sz w:val="28"/>
          <w:szCs w:val="28"/>
        </w:rPr>
      </w:pPr>
    </w:p>
    <w:p w14:paraId="2997D1ED" w14:textId="77777777" w:rsidR="008A1FE5" w:rsidRPr="00E66CC1" w:rsidRDefault="008A1FE5" w:rsidP="00DC54F7">
      <w:pPr>
        <w:spacing w:after="0" w:line="240" w:lineRule="auto"/>
        <w:jc w:val="both"/>
        <w:rPr>
          <w:rFonts w:ascii="Arial" w:eastAsia="Calibri" w:hAnsi="Arial" w:cs="Arial"/>
          <w:b/>
          <w:sz w:val="28"/>
          <w:szCs w:val="28"/>
        </w:rPr>
      </w:pPr>
      <w:r w:rsidRPr="00E66CC1">
        <w:rPr>
          <w:rFonts w:ascii="Arial" w:eastAsia="Calibri" w:hAnsi="Arial" w:cs="Arial"/>
          <w:b/>
          <w:sz w:val="28"/>
          <w:szCs w:val="28"/>
        </w:rPr>
        <w:t>How you use your pharmacy - either in person or by having someone else go there for you</w:t>
      </w:r>
    </w:p>
    <w:p w14:paraId="405D441E" w14:textId="77777777" w:rsidR="008A1FE5" w:rsidRPr="00E66CC1" w:rsidRDefault="008A1FE5" w:rsidP="00DC54F7">
      <w:pPr>
        <w:spacing w:after="0" w:line="240" w:lineRule="auto"/>
        <w:jc w:val="both"/>
        <w:rPr>
          <w:rFonts w:ascii="Arial" w:eastAsia="Calibri" w:hAnsi="Arial" w:cs="Arial"/>
          <w:b/>
        </w:rPr>
      </w:pPr>
    </w:p>
    <w:p w14:paraId="550B16A1" w14:textId="77777777" w:rsidR="008A1FE5" w:rsidRPr="0044270B" w:rsidRDefault="008A1FE5" w:rsidP="00DC54F7">
      <w:pPr>
        <w:pStyle w:val="ListParagraph"/>
        <w:numPr>
          <w:ilvl w:val="0"/>
          <w:numId w:val="193"/>
        </w:numPr>
        <w:spacing w:after="0" w:line="240" w:lineRule="auto"/>
        <w:jc w:val="both"/>
        <w:rPr>
          <w:rFonts w:ascii="Arial" w:eastAsia="Calibri" w:hAnsi="Arial" w:cs="Arial"/>
          <w:b/>
        </w:rPr>
      </w:pPr>
      <w:r w:rsidRPr="0044270B">
        <w:rPr>
          <w:rFonts w:ascii="Arial" w:eastAsia="Calibri" w:hAnsi="Arial" w:cs="Arial"/>
          <w:b/>
        </w:rPr>
        <w:t>Why do you usually visit a pharmacy? Please tick any or all that apply.</w:t>
      </w:r>
    </w:p>
    <w:p w14:paraId="256FEF43" w14:textId="77777777" w:rsidR="008A1FE5" w:rsidRPr="00E66CC1" w:rsidRDefault="008A1FE5" w:rsidP="00DC54F7">
      <w:pPr>
        <w:spacing w:after="0" w:line="240" w:lineRule="auto"/>
        <w:contextualSpacing/>
        <w:jc w:val="both"/>
        <w:rPr>
          <w:rFonts w:ascii="Arial" w:eastAsia="Calibri" w:hAnsi="Arial" w:cs="Arial"/>
          <w:b/>
        </w:rPr>
      </w:pPr>
    </w:p>
    <w:p w14:paraId="523AAFD6" w14:textId="77777777" w:rsidR="008A1FE5" w:rsidRPr="00E66CC1" w:rsidRDefault="008A1FE5" w:rsidP="00DC54F7">
      <w:pPr>
        <w:numPr>
          <w:ilvl w:val="0"/>
          <w:numId w:val="175"/>
        </w:numPr>
        <w:spacing w:after="0" w:line="240" w:lineRule="auto"/>
        <w:contextualSpacing/>
        <w:jc w:val="both"/>
        <w:rPr>
          <w:rFonts w:ascii="Arial" w:eastAsia="Calibri" w:hAnsi="Arial" w:cs="Arial"/>
        </w:rPr>
      </w:pPr>
      <w:r w:rsidRPr="00E66CC1">
        <w:rPr>
          <w:rFonts w:ascii="Arial" w:eastAsia="Calibri" w:hAnsi="Arial" w:cs="Arial"/>
        </w:rPr>
        <w:t xml:space="preserve">To get </w:t>
      </w:r>
      <w:r>
        <w:rPr>
          <w:rFonts w:ascii="Arial" w:eastAsia="Calibri" w:hAnsi="Arial" w:cs="Arial"/>
        </w:rPr>
        <w:t xml:space="preserve">or collect </w:t>
      </w:r>
      <w:r w:rsidRPr="00E66CC1">
        <w:rPr>
          <w:rFonts w:ascii="Arial" w:eastAsia="Calibri" w:hAnsi="Arial" w:cs="Arial"/>
        </w:rPr>
        <w:t>a prescription f</w:t>
      </w:r>
      <w:r>
        <w:rPr>
          <w:rFonts w:ascii="Arial" w:eastAsia="Calibri" w:hAnsi="Arial" w:cs="Arial"/>
        </w:rPr>
        <w:t>or</w:t>
      </w:r>
      <w:r w:rsidRPr="00E66CC1">
        <w:rPr>
          <w:rFonts w:ascii="Arial" w:eastAsia="Calibri" w:hAnsi="Arial" w:cs="Arial"/>
        </w:rPr>
        <w:t xml:space="preserve"> myself</w:t>
      </w:r>
    </w:p>
    <w:p w14:paraId="30787E0F" w14:textId="77777777" w:rsidR="008A1FE5" w:rsidRPr="00E66CC1" w:rsidRDefault="008A1FE5" w:rsidP="00DC54F7">
      <w:pPr>
        <w:numPr>
          <w:ilvl w:val="0"/>
          <w:numId w:val="175"/>
        </w:numPr>
        <w:spacing w:after="0" w:line="240" w:lineRule="auto"/>
        <w:contextualSpacing/>
        <w:jc w:val="both"/>
        <w:rPr>
          <w:rFonts w:ascii="Arial" w:eastAsia="Calibri" w:hAnsi="Arial" w:cs="Arial"/>
        </w:rPr>
      </w:pPr>
      <w:r w:rsidRPr="00E66CC1">
        <w:rPr>
          <w:rFonts w:ascii="Arial" w:eastAsia="Calibri" w:hAnsi="Arial" w:cs="Arial"/>
        </w:rPr>
        <w:t>To buy medicines for myself</w:t>
      </w:r>
    </w:p>
    <w:p w14:paraId="1988CCB5" w14:textId="77777777" w:rsidR="008A1FE5" w:rsidRDefault="008A1FE5" w:rsidP="00DC54F7">
      <w:pPr>
        <w:numPr>
          <w:ilvl w:val="0"/>
          <w:numId w:val="175"/>
        </w:numPr>
        <w:spacing w:after="0" w:line="240" w:lineRule="auto"/>
        <w:contextualSpacing/>
        <w:jc w:val="both"/>
        <w:rPr>
          <w:rFonts w:ascii="Arial" w:eastAsia="Calibri" w:hAnsi="Arial" w:cs="Arial"/>
        </w:rPr>
      </w:pPr>
      <w:r w:rsidRPr="00E66CC1">
        <w:rPr>
          <w:rFonts w:ascii="Arial" w:eastAsia="Calibri" w:hAnsi="Arial" w:cs="Arial"/>
        </w:rPr>
        <w:t>To get advice for myself</w:t>
      </w:r>
    </w:p>
    <w:p w14:paraId="30220BA1" w14:textId="77777777" w:rsidR="008A1FE5" w:rsidRPr="00E66CC1" w:rsidRDefault="008A1FE5" w:rsidP="00DC54F7">
      <w:pPr>
        <w:numPr>
          <w:ilvl w:val="0"/>
          <w:numId w:val="175"/>
        </w:numPr>
        <w:spacing w:after="0" w:line="240" w:lineRule="auto"/>
        <w:contextualSpacing/>
        <w:jc w:val="both"/>
        <w:rPr>
          <w:rFonts w:ascii="Arial" w:eastAsia="Calibri" w:hAnsi="Arial" w:cs="Arial"/>
        </w:rPr>
      </w:pPr>
      <w:r>
        <w:rPr>
          <w:rFonts w:ascii="Arial" w:eastAsia="Calibri" w:hAnsi="Arial" w:cs="Arial"/>
        </w:rPr>
        <w:t>For other services such as flu vaccination</w:t>
      </w:r>
    </w:p>
    <w:p w14:paraId="2524EB18" w14:textId="77777777" w:rsidR="008A1FE5" w:rsidRPr="00E66CC1" w:rsidRDefault="008A1FE5" w:rsidP="00DC54F7">
      <w:pPr>
        <w:numPr>
          <w:ilvl w:val="0"/>
          <w:numId w:val="175"/>
        </w:numPr>
        <w:spacing w:line="288" w:lineRule="auto"/>
        <w:contextualSpacing/>
        <w:jc w:val="both"/>
        <w:rPr>
          <w:rFonts w:ascii="Arial" w:eastAsia="Calibri" w:hAnsi="Arial" w:cs="Arial"/>
        </w:rPr>
      </w:pPr>
      <w:r w:rsidRPr="00E66CC1">
        <w:rPr>
          <w:rFonts w:ascii="Arial" w:eastAsia="Calibri" w:hAnsi="Arial" w:cs="Arial"/>
        </w:rPr>
        <w:t xml:space="preserve">To get </w:t>
      </w:r>
      <w:r>
        <w:rPr>
          <w:rFonts w:ascii="Arial" w:eastAsia="Calibri" w:hAnsi="Arial" w:cs="Arial"/>
        </w:rPr>
        <w:t xml:space="preserve">or collect </w:t>
      </w:r>
      <w:r w:rsidRPr="00E66CC1">
        <w:rPr>
          <w:rFonts w:ascii="Arial" w:eastAsia="Calibri" w:hAnsi="Arial" w:cs="Arial"/>
        </w:rPr>
        <w:t>a prescription for someone else</w:t>
      </w:r>
    </w:p>
    <w:p w14:paraId="145BB5C3" w14:textId="77777777" w:rsidR="008A1FE5" w:rsidRPr="00E66CC1" w:rsidRDefault="008A1FE5" w:rsidP="00DC54F7">
      <w:pPr>
        <w:numPr>
          <w:ilvl w:val="0"/>
          <w:numId w:val="175"/>
        </w:numPr>
        <w:spacing w:line="288" w:lineRule="auto"/>
        <w:contextualSpacing/>
        <w:jc w:val="both"/>
        <w:rPr>
          <w:rFonts w:ascii="Arial" w:eastAsia="Calibri" w:hAnsi="Arial" w:cs="Arial"/>
        </w:rPr>
      </w:pPr>
      <w:r w:rsidRPr="00E66CC1">
        <w:rPr>
          <w:rFonts w:ascii="Arial" w:eastAsia="Calibri" w:hAnsi="Arial" w:cs="Arial"/>
        </w:rPr>
        <w:t>To buy medicines for someone else</w:t>
      </w:r>
    </w:p>
    <w:p w14:paraId="1D58BC9A" w14:textId="77777777" w:rsidR="008A1FE5" w:rsidRPr="00E66CC1" w:rsidRDefault="008A1FE5" w:rsidP="00DC54F7">
      <w:pPr>
        <w:numPr>
          <w:ilvl w:val="0"/>
          <w:numId w:val="175"/>
        </w:numPr>
        <w:spacing w:after="0" w:line="240" w:lineRule="auto"/>
        <w:contextualSpacing/>
        <w:jc w:val="both"/>
        <w:rPr>
          <w:rFonts w:ascii="Arial" w:eastAsia="Calibri" w:hAnsi="Arial" w:cs="Arial"/>
        </w:rPr>
      </w:pPr>
      <w:r w:rsidRPr="00E66CC1">
        <w:rPr>
          <w:rFonts w:ascii="Arial" w:eastAsia="Calibri" w:hAnsi="Arial" w:cs="Arial"/>
        </w:rPr>
        <w:t>To get advice for someone else</w:t>
      </w:r>
    </w:p>
    <w:p w14:paraId="704833B6" w14:textId="77777777" w:rsidR="008A1FE5" w:rsidRPr="00E07D1C" w:rsidRDefault="008A1FE5" w:rsidP="00DC54F7">
      <w:pPr>
        <w:numPr>
          <w:ilvl w:val="0"/>
          <w:numId w:val="175"/>
        </w:numPr>
        <w:spacing w:after="0" w:line="240" w:lineRule="auto"/>
        <w:contextualSpacing/>
        <w:jc w:val="both"/>
        <w:rPr>
          <w:rFonts w:ascii="Arial" w:eastAsia="Calibri" w:hAnsi="Arial" w:cs="Arial"/>
        </w:rPr>
      </w:pPr>
      <w:r w:rsidRPr="00E07D1C">
        <w:rPr>
          <w:rFonts w:ascii="Arial" w:eastAsia="Calibri" w:hAnsi="Arial" w:cs="Arial"/>
        </w:rPr>
        <w:t xml:space="preserve">I don’t visit a pharmacy as I use an online/internet pharmacy (go to </w:t>
      </w:r>
      <w:r>
        <w:rPr>
          <w:rFonts w:ascii="Arial" w:eastAsia="Calibri" w:hAnsi="Arial" w:cs="Arial"/>
        </w:rPr>
        <w:t>question 22</w:t>
      </w:r>
      <w:r w:rsidRPr="00E07D1C">
        <w:rPr>
          <w:rFonts w:ascii="Arial" w:eastAsia="Calibri" w:hAnsi="Arial" w:cs="Arial"/>
        </w:rPr>
        <w:t>)</w:t>
      </w:r>
    </w:p>
    <w:p w14:paraId="1CF4D02B" w14:textId="77777777" w:rsidR="008A1FE5" w:rsidRPr="00E07D1C" w:rsidRDefault="008A1FE5" w:rsidP="00DC54F7">
      <w:pPr>
        <w:numPr>
          <w:ilvl w:val="0"/>
          <w:numId w:val="175"/>
        </w:numPr>
        <w:spacing w:after="0" w:line="240" w:lineRule="auto"/>
        <w:contextualSpacing/>
        <w:jc w:val="both"/>
        <w:rPr>
          <w:rFonts w:ascii="Arial" w:eastAsia="Calibri" w:hAnsi="Arial" w:cs="Arial"/>
        </w:rPr>
      </w:pPr>
      <w:r w:rsidRPr="00E07D1C">
        <w:rPr>
          <w:rFonts w:ascii="Arial" w:eastAsia="Calibri" w:hAnsi="Arial" w:cs="Arial"/>
        </w:rPr>
        <w:t xml:space="preserve">I don’t visit a pharmacy as I use a dispensing doctor (go to question </w:t>
      </w:r>
      <w:r>
        <w:rPr>
          <w:rFonts w:ascii="Arial" w:eastAsia="Calibri" w:hAnsi="Arial" w:cs="Arial"/>
        </w:rPr>
        <w:t>22)</w:t>
      </w:r>
    </w:p>
    <w:p w14:paraId="76E2CF9E" w14:textId="77777777" w:rsidR="008A1FE5" w:rsidRPr="00E07D1C" w:rsidRDefault="008A1FE5" w:rsidP="00DC54F7">
      <w:pPr>
        <w:numPr>
          <w:ilvl w:val="0"/>
          <w:numId w:val="175"/>
        </w:numPr>
        <w:spacing w:after="0" w:line="240" w:lineRule="auto"/>
        <w:contextualSpacing/>
        <w:jc w:val="both"/>
        <w:rPr>
          <w:rFonts w:ascii="Arial" w:eastAsia="Calibri" w:hAnsi="Arial" w:cs="Arial"/>
        </w:rPr>
      </w:pPr>
      <w:r w:rsidRPr="00E07D1C">
        <w:rPr>
          <w:rFonts w:ascii="Arial" w:eastAsia="Calibri" w:hAnsi="Arial" w:cs="Arial"/>
        </w:rPr>
        <w:t xml:space="preserve">I don’t visit a pharmacy as I use an appliance contractor (go to </w:t>
      </w:r>
      <w:r>
        <w:rPr>
          <w:rFonts w:ascii="Arial" w:eastAsia="Calibri" w:hAnsi="Arial" w:cs="Arial"/>
        </w:rPr>
        <w:t>question 22</w:t>
      </w:r>
      <w:r w:rsidRPr="00E07D1C">
        <w:rPr>
          <w:rFonts w:ascii="Arial" w:eastAsia="Calibri" w:hAnsi="Arial" w:cs="Arial"/>
        </w:rPr>
        <w:t>)</w:t>
      </w:r>
    </w:p>
    <w:p w14:paraId="7643E3F8" w14:textId="77777777" w:rsidR="008A1FE5" w:rsidRPr="007E5CF6" w:rsidRDefault="008A1FE5" w:rsidP="00DC54F7">
      <w:pPr>
        <w:numPr>
          <w:ilvl w:val="0"/>
          <w:numId w:val="175"/>
        </w:numPr>
        <w:spacing w:after="0" w:line="240" w:lineRule="auto"/>
        <w:contextualSpacing/>
        <w:jc w:val="both"/>
        <w:rPr>
          <w:rFonts w:ascii="Arial" w:eastAsia="Calibri" w:hAnsi="Arial" w:cs="Arial"/>
        </w:rPr>
      </w:pPr>
      <w:r w:rsidRPr="007E5CF6">
        <w:rPr>
          <w:rFonts w:ascii="Arial" w:eastAsia="Calibri" w:hAnsi="Arial" w:cs="Arial"/>
        </w:rPr>
        <w:t xml:space="preserve">I don’t visit a pharmacy as my medicines are delivered to me </w:t>
      </w:r>
    </w:p>
    <w:p w14:paraId="258D9FCD" w14:textId="77777777" w:rsidR="008A1FE5" w:rsidRPr="007E5CF6" w:rsidRDefault="008A1FE5" w:rsidP="00DC54F7">
      <w:pPr>
        <w:numPr>
          <w:ilvl w:val="0"/>
          <w:numId w:val="175"/>
        </w:numPr>
        <w:spacing w:after="0" w:line="240" w:lineRule="auto"/>
        <w:contextualSpacing/>
        <w:jc w:val="both"/>
        <w:rPr>
          <w:rFonts w:ascii="Arial" w:eastAsia="Calibri" w:hAnsi="Arial" w:cs="Arial"/>
        </w:rPr>
      </w:pPr>
      <w:r w:rsidRPr="007E5CF6">
        <w:rPr>
          <w:rFonts w:ascii="Arial" w:eastAsia="Calibri" w:hAnsi="Arial" w:cs="Arial"/>
        </w:rPr>
        <w:t xml:space="preserve">I don’t go to a pharmacy; someone goes on my behalf </w:t>
      </w:r>
    </w:p>
    <w:p w14:paraId="453834F1" w14:textId="77777777" w:rsidR="008A1FE5" w:rsidRDefault="008A1FE5" w:rsidP="00DC54F7">
      <w:pPr>
        <w:numPr>
          <w:ilvl w:val="0"/>
          <w:numId w:val="175"/>
        </w:numPr>
        <w:spacing w:after="0" w:line="240" w:lineRule="auto"/>
        <w:contextualSpacing/>
        <w:jc w:val="both"/>
        <w:rPr>
          <w:rFonts w:ascii="Arial" w:eastAsia="Calibri" w:hAnsi="Arial" w:cs="Arial"/>
        </w:rPr>
      </w:pPr>
      <w:r w:rsidRPr="00E66CC1">
        <w:rPr>
          <w:rFonts w:ascii="Arial" w:eastAsia="Calibri" w:hAnsi="Arial" w:cs="Arial"/>
        </w:rPr>
        <w:t>Other [text box]</w:t>
      </w:r>
    </w:p>
    <w:p w14:paraId="1853E79B" w14:textId="77777777" w:rsidR="008A1FE5" w:rsidRDefault="008A1FE5" w:rsidP="00DC54F7">
      <w:pPr>
        <w:spacing w:after="0" w:line="240" w:lineRule="auto"/>
        <w:contextualSpacing/>
        <w:jc w:val="both"/>
        <w:rPr>
          <w:rFonts w:ascii="Arial" w:eastAsia="Calibri" w:hAnsi="Arial" w:cs="Arial"/>
        </w:rPr>
      </w:pPr>
    </w:p>
    <w:p w14:paraId="65E8E7EB" w14:textId="77777777" w:rsidR="008A1FE5" w:rsidRDefault="008A1FE5" w:rsidP="00DC54F7">
      <w:pPr>
        <w:spacing w:after="0" w:line="240" w:lineRule="auto"/>
        <w:contextualSpacing/>
        <w:jc w:val="both"/>
        <w:rPr>
          <w:rFonts w:ascii="Arial" w:eastAsia="Calibri" w:hAnsi="Arial" w:cs="Arial"/>
        </w:rPr>
      </w:pPr>
    </w:p>
    <w:p w14:paraId="33160E92" w14:textId="77777777" w:rsidR="008A1FE5" w:rsidRPr="00E66CC1" w:rsidRDefault="008A1FE5" w:rsidP="00DC54F7">
      <w:pPr>
        <w:spacing w:after="0" w:line="240" w:lineRule="auto"/>
        <w:ind w:left="720"/>
        <w:contextualSpacing/>
        <w:jc w:val="both"/>
        <w:rPr>
          <w:rFonts w:ascii="Arial" w:eastAsia="Calibri" w:hAnsi="Arial" w:cs="Arial"/>
        </w:rPr>
      </w:pPr>
    </w:p>
    <w:p w14:paraId="7039B59A" w14:textId="17AF9BBD" w:rsidR="008A1FE5" w:rsidRDefault="008A1FE5" w:rsidP="00DC54F7">
      <w:pPr>
        <w:spacing w:after="0" w:line="240" w:lineRule="auto"/>
        <w:jc w:val="both"/>
        <w:rPr>
          <w:rFonts w:ascii="Arial" w:eastAsia="Calibri" w:hAnsi="Arial" w:cs="Arial"/>
          <w:b/>
        </w:rPr>
      </w:pPr>
    </w:p>
    <w:p w14:paraId="46F6652C" w14:textId="759415B5" w:rsidR="00AE758E" w:rsidRDefault="00AE758E" w:rsidP="00DC54F7">
      <w:pPr>
        <w:spacing w:after="0" w:line="240" w:lineRule="auto"/>
        <w:jc w:val="both"/>
        <w:rPr>
          <w:rFonts w:ascii="Arial" w:eastAsia="Calibri" w:hAnsi="Arial" w:cs="Arial"/>
          <w:b/>
        </w:rPr>
      </w:pPr>
    </w:p>
    <w:p w14:paraId="4D11C0F5" w14:textId="3D2448C0" w:rsidR="00AE758E" w:rsidRDefault="00AE758E">
      <w:pPr>
        <w:rPr>
          <w:rFonts w:ascii="Arial" w:eastAsia="Calibri" w:hAnsi="Arial" w:cs="Arial"/>
          <w:b/>
        </w:rPr>
      </w:pPr>
      <w:r>
        <w:rPr>
          <w:rFonts w:ascii="Arial" w:eastAsia="Calibri" w:hAnsi="Arial" w:cs="Arial"/>
          <w:b/>
        </w:rPr>
        <w:br w:type="page"/>
      </w:r>
    </w:p>
    <w:p w14:paraId="3407CE1C" w14:textId="77777777" w:rsidR="00AE758E" w:rsidRDefault="00AE758E" w:rsidP="00DC54F7">
      <w:pPr>
        <w:spacing w:after="0" w:line="240" w:lineRule="auto"/>
        <w:jc w:val="both"/>
        <w:rPr>
          <w:rFonts w:ascii="Arial" w:eastAsia="Calibri" w:hAnsi="Arial" w:cs="Arial"/>
          <w:b/>
        </w:rPr>
      </w:pPr>
    </w:p>
    <w:p w14:paraId="13301A7C" w14:textId="77777777" w:rsidR="008A1FE5" w:rsidRPr="00E66CC1" w:rsidRDefault="008A1FE5" w:rsidP="00DC54F7">
      <w:pPr>
        <w:spacing w:after="0" w:line="240" w:lineRule="auto"/>
        <w:jc w:val="both"/>
        <w:rPr>
          <w:rFonts w:ascii="Arial" w:eastAsia="Calibri" w:hAnsi="Arial" w:cs="Arial"/>
          <w:b/>
        </w:rPr>
      </w:pPr>
      <w:r>
        <w:rPr>
          <w:rFonts w:ascii="Arial" w:eastAsia="Calibri" w:hAnsi="Arial" w:cs="Arial"/>
          <w:b/>
        </w:rPr>
        <w:t>3</w:t>
      </w:r>
      <w:r w:rsidRPr="00E66CC1">
        <w:rPr>
          <w:rFonts w:ascii="Arial" w:eastAsia="Calibri" w:hAnsi="Arial" w:cs="Arial"/>
          <w:b/>
        </w:rPr>
        <w:t>. How often do you use a pharmacy?</w:t>
      </w:r>
      <w:r>
        <w:rPr>
          <w:rFonts w:ascii="Arial" w:eastAsia="Calibri" w:hAnsi="Arial" w:cs="Arial"/>
          <w:b/>
        </w:rPr>
        <w:t xml:space="preserve"> Please tick one.</w:t>
      </w:r>
    </w:p>
    <w:p w14:paraId="3774CE01" w14:textId="77777777" w:rsidR="008A1FE5" w:rsidRPr="00E66CC1" w:rsidRDefault="008A1FE5" w:rsidP="00DC54F7">
      <w:pPr>
        <w:spacing w:after="0" w:line="240" w:lineRule="auto"/>
        <w:jc w:val="both"/>
        <w:rPr>
          <w:rFonts w:ascii="Arial" w:eastAsia="Calibri" w:hAnsi="Arial" w:cs="Arial"/>
          <w:b/>
        </w:rPr>
      </w:pPr>
    </w:p>
    <w:p w14:paraId="170FD6BB" w14:textId="77777777" w:rsidR="008A1FE5" w:rsidRPr="00E66CC1" w:rsidRDefault="008A1FE5" w:rsidP="00DC54F7">
      <w:pPr>
        <w:numPr>
          <w:ilvl w:val="0"/>
          <w:numId w:val="182"/>
        </w:numPr>
        <w:spacing w:after="0" w:line="240" w:lineRule="auto"/>
        <w:contextualSpacing/>
        <w:jc w:val="both"/>
        <w:rPr>
          <w:rFonts w:ascii="Arial" w:eastAsia="Calibri" w:hAnsi="Arial" w:cs="Arial"/>
        </w:rPr>
      </w:pPr>
      <w:r w:rsidRPr="00E66CC1">
        <w:rPr>
          <w:rFonts w:ascii="Arial" w:eastAsia="Calibri" w:hAnsi="Arial" w:cs="Arial"/>
        </w:rPr>
        <w:t>Daily</w:t>
      </w:r>
    </w:p>
    <w:p w14:paraId="55AD79A8" w14:textId="77777777" w:rsidR="008A1FE5" w:rsidRPr="00E66CC1" w:rsidRDefault="008A1FE5" w:rsidP="00DC54F7">
      <w:pPr>
        <w:numPr>
          <w:ilvl w:val="0"/>
          <w:numId w:val="182"/>
        </w:numPr>
        <w:spacing w:after="0" w:line="240" w:lineRule="auto"/>
        <w:contextualSpacing/>
        <w:jc w:val="both"/>
        <w:rPr>
          <w:rFonts w:ascii="Arial" w:eastAsia="Calibri" w:hAnsi="Arial" w:cs="Arial"/>
        </w:rPr>
      </w:pPr>
      <w:r w:rsidRPr="00E66CC1">
        <w:rPr>
          <w:rFonts w:ascii="Arial" w:eastAsia="Calibri" w:hAnsi="Arial" w:cs="Arial"/>
        </w:rPr>
        <w:t>Weekly</w:t>
      </w:r>
    </w:p>
    <w:p w14:paraId="7B2104EF" w14:textId="77777777" w:rsidR="008A1FE5" w:rsidRPr="00E66CC1" w:rsidRDefault="008A1FE5" w:rsidP="00DC54F7">
      <w:pPr>
        <w:numPr>
          <w:ilvl w:val="0"/>
          <w:numId w:val="182"/>
        </w:numPr>
        <w:spacing w:after="0" w:line="240" w:lineRule="auto"/>
        <w:contextualSpacing/>
        <w:jc w:val="both"/>
        <w:rPr>
          <w:rFonts w:ascii="Arial" w:eastAsia="Calibri" w:hAnsi="Arial" w:cs="Arial"/>
        </w:rPr>
      </w:pPr>
      <w:r w:rsidRPr="00E66CC1">
        <w:rPr>
          <w:rFonts w:ascii="Arial" w:eastAsia="Calibri" w:hAnsi="Arial" w:cs="Arial"/>
        </w:rPr>
        <w:t>Fortnightly</w:t>
      </w:r>
    </w:p>
    <w:p w14:paraId="3CC73C09" w14:textId="77777777" w:rsidR="008A1FE5" w:rsidRPr="00E66CC1" w:rsidRDefault="008A1FE5" w:rsidP="00DC54F7">
      <w:pPr>
        <w:numPr>
          <w:ilvl w:val="0"/>
          <w:numId w:val="182"/>
        </w:numPr>
        <w:spacing w:after="0" w:line="240" w:lineRule="auto"/>
        <w:contextualSpacing/>
        <w:jc w:val="both"/>
        <w:rPr>
          <w:rFonts w:ascii="Arial" w:eastAsia="Calibri" w:hAnsi="Arial" w:cs="Arial"/>
        </w:rPr>
      </w:pPr>
      <w:r w:rsidRPr="00E66CC1">
        <w:rPr>
          <w:rFonts w:ascii="Arial" w:eastAsia="Calibri" w:hAnsi="Arial" w:cs="Arial"/>
        </w:rPr>
        <w:t>Monthly</w:t>
      </w:r>
    </w:p>
    <w:p w14:paraId="4256FECF" w14:textId="77777777" w:rsidR="008A1FE5" w:rsidRPr="00E66CC1" w:rsidRDefault="008A1FE5" w:rsidP="00DC54F7">
      <w:pPr>
        <w:numPr>
          <w:ilvl w:val="0"/>
          <w:numId w:val="182"/>
        </w:numPr>
        <w:spacing w:after="0" w:line="240" w:lineRule="auto"/>
        <w:contextualSpacing/>
        <w:jc w:val="both"/>
        <w:rPr>
          <w:rFonts w:ascii="Arial" w:eastAsia="Calibri" w:hAnsi="Arial" w:cs="Arial"/>
        </w:rPr>
      </w:pPr>
      <w:r w:rsidRPr="00E66CC1">
        <w:rPr>
          <w:rFonts w:ascii="Arial" w:eastAsia="Calibri" w:hAnsi="Arial" w:cs="Arial"/>
        </w:rPr>
        <w:t>Quarterly</w:t>
      </w:r>
    </w:p>
    <w:p w14:paraId="1E7A275D" w14:textId="77777777" w:rsidR="008A1FE5" w:rsidRPr="00E66CC1" w:rsidRDefault="008A1FE5" w:rsidP="00DC54F7">
      <w:pPr>
        <w:numPr>
          <w:ilvl w:val="0"/>
          <w:numId w:val="182"/>
        </w:numPr>
        <w:spacing w:after="0" w:line="240" w:lineRule="auto"/>
        <w:contextualSpacing/>
        <w:jc w:val="both"/>
        <w:rPr>
          <w:rFonts w:ascii="Arial" w:eastAsia="Calibri" w:hAnsi="Arial" w:cs="Arial"/>
        </w:rPr>
      </w:pPr>
      <w:r w:rsidRPr="00E66CC1">
        <w:rPr>
          <w:rFonts w:ascii="Arial" w:eastAsia="Calibri" w:hAnsi="Arial" w:cs="Arial"/>
        </w:rPr>
        <w:t>I don’t use a pharmacy</w:t>
      </w:r>
    </w:p>
    <w:p w14:paraId="4F44DE4C" w14:textId="77777777" w:rsidR="008A1FE5" w:rsidRDefault="008A1FE5" w:rsidP="00DC54F7">
      <w:pPr>
        <w:numPr>
          <w:ilvl w:val="0"/>
          <w:numId w:val="182"/>
        </w:numPr>
        <w:spacing w:after="0" w:line="240" w:lineRule="auto"/>
        <w:contextualSpacing/>
        <w:jc w:val="both"/>
        <w:rPr>
          <w:rFonts w:ascii="Arial" w:eastAsia="Calibri" w:hAnsi="Arial" w:cs="Arial"/>
        </w:rPr>
      </w:pPr>
      <w:r w:rsidRPr="00E66CC1">
        <w:rPr>
          <w:rFonts w:ascii="Arial" w:eastAsia="Calibri" w:hAnsi="Arial" w:cs="Arial"/>
        </w:rPr>
        <w:t>Other [text box]</w:t>
      </w:r>
    </w:p>
    <w:p w14:paraId="2010D657" w14:textId="77777777" w:rsidR="008A1FE5" w:rsidRPr="00E66CC1" w:rsidRDefault="008A1FE5" w:rsidP="00DC54F7">
      <w:pPr>
        <w:spacing w:after="0" w:line="240" w:lineRule="auto"/>
        <w:ind w:left="720"/>
        <w:contextualSpacing/>
        <w:jc w:val="both"/>
        <w:rPr>
          <w:rFonts w:ascii="Arial" w:eastAsia="Calibri" w:hAnsi="Arial" w:cs="Arial"/>
        </w:rPr>
      </w:pPr>
    </w:p>
    <w:p w14:paraId="40FB7B15" w14:textId="77777777" w:rsidR="008A1FE5" w:rsidRPr="00E66CC1" w:rsidRDefault="008A1FE5" w:rsidP="00DC54F7">
      <w:pPr>
        <w:spacing w:after="0" w:line="240" w:lineRule="auto"/>
        <w:jc w:val="both"/>
        <w:rPr>
          <w:rFonts w:ascii="Arial" w:eastAsia="Calibri" w:hAnsi="Arial" w:cs="Arial"/>
          <w:b/>
          <w:color w:val="333333"/>
          <w:shd w:val="clear" w:color="auto" w:fill="FFFFFF"/>
        </w:rPr>
      </w:pPr>
      <w:r>
        <w:rPr>
          <w:rFonts w:ascii="Arial" w:eastAsia="Calibri" w:hAnsi="Arial" w:cs="Arial"/>
          <w:b/>
          <w:color w:val="333333"/>
          <w:shd w:val="clear" w:color="auto" w:fill="FFFFFF"/>
        </w:rPr>
        <w:t xml:space="preserve">4. </w:t>
      </w:r>
      <w:r w:rsidRPr="00E66CC1">
        <w:rPr>
          <w:rFonts w:ascii="Arial" w:eastAsia="Calibri" w:hAnsi="Arial" w:cs="Arial"/>
          <w:b/>
          <w:color w:val="333333"/>
          <w:shd w:val="clear" w:color="auto" w:fill="FFFFFF"/>
        </w:rPr>
        <w:t xml:space="preserve">What time is the most convenient for you to use a pharmacy? </w:t>
      </w:r>
      <w:r>
        <w:rPr>
          <w:rFonts w:ascii="Arial" w:eastAsia="Calibri" w:hAnsi="Arial" w:cs="Arial"/>
          <w:b/>
          <w:color w:val="333333"/>
          <w:shd w:val="clear" w:color="auto" w:fill="FFFFFF"/>
        </w:rPr>
        <w:t>Please tick one.</w:t>
      </w:r>
    </w:p>
    <w:p w14:paraId="0AADA64E" w14:textId="77777777" w:rsidR="008A1FE5" w:rsidRPr="00E66CC1" w:rsidRDefault="008A1FE5" w:rsidP="00DC54F7">
      <w:pPr>
        <w:spacing w:after="0" w:line="240" w:lineRule="auto"/>
        <w:jc w:val="both"/>
        <w:rPr>
          <w:rFonts w:ascii="Arial" w:eastAsia="Calibri" w:hAnsi="Arial" w:cs="Arial"/>
          <w:b/>
          <w:color w:val="333333"/>
          <w:shd w:val="clear" w:color="auto" w:fill="FFFFFF"/>
        </w:rPr>
      </w:pPr>
    </w:p>
    <w:p w14:paraId="42D1B15D" w14:textId="77777777" w:rsidR="008A1FE5" w:rsidRPr="00E66CC1"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7am to 9am</w:t>
      </w:r>
    </w:p>
    <w:p w14:paraId="018E0B04" w14:textId="77777777" w:rsidR="008A1FE5" w:rsidRPr="00E66CC1"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9am to 12 noon</w:t>
      </w:r>
    </w:p>
    <w:p w14:paraId="41493DD8" w14:textId="77777777" w:rsidR="008A1FE5" w:rsidRPr="00E66CC1"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 xml:space="preserve">12 noon to </w:t>
      </w:r>
      <w:r>
        <w:rPr>
          <w:rFonts w:ascii="Arial" w:eastAsia="Calibri" w:hAnsi="Arial" w:cs="Arial"/>
          <w:color w:val="333333"/>
          <w:shd w:val="clear" w:color="auto" w:fill="FFFFFF"/>
        </w:rPr>
        <w:t>2</w:t>
      </w:r>
      <w:r w:rsidRPr="00E66CC1">
        <w:rPr>
          <w:rFonts w:ascii="Arial" w:eastAsia="Calibri" w:hAnsi="Arial" w:cs="Arial"/>
          <w:color w:val="333333"/>
          <w:shd w:val="clear" w:color="auto" w:fill="FFFFFF"/>
        </w:rPr>
        <w:t>pm</w:t>
      </w:r>
    </w:p>
    <w:p w14:paraId="31D65373" w14:textId="77777777" w:rsidR="008A1FE5" w:rsidRPr="00E66CC1"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Pr>
          <w:rFonts w:ascii="Arial" w:eastAsia="Calibri" w:hAnsi="Arial" w:cs="Arial"/>
          <w:color w:val="333333"/>
          <w:shd w:val="clear" w:color="auto" w:fill="FFFFFF"/>
        </w:rPr>
        <w:t>2</w:t>
      </w:r>
      <w:r w:rsidRPr="00E66CC1">
        <w:rPr>
          <w:rFonts w:ascii="Arial" w:eastAsia="Calibri" w:hAnsi="Arial" w:cs="Arial"/>
          <w:color w:val="333333"/>
          <w:shd w:val="clear" w:color="auto" w:fill="FFFFFF"/>
        </w:rPr>
        <w:t>pm to 6pm</w:t>
      </w:r>
    </w:p>
    <w:p w14:paraId="064C28C4" w14:textId="77777777" w:rsidR="008A1FE5" w:rsidRPr="00E66CC1"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6pm to 9pm</w:t>
      </w:r>
    </w:p>
    <w:p w14:paraId="32C48D58" w14:textId="77777777" w:rsidR="008A1FE5" w:rsidRPr="00E66CC1"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9pm to midnight</w:t>
      </w:r>
    </w:p>
    <w:p w14:paraId="396F2DE7" w14:textId="77777777" w:rsidR="008A1FE5" w:rsidRPr="00E66CC1"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I don’t have a preference</w:t>
      </w:r>
    </w:p>
    <w:p w14:paraId="7940D4F3" w14:textId="77777777" w:rsidR="008A1FE5" w:rsidRPr="00E66CC1" w:rsidRDefault="008A1FE5" w:rsidP="00DC54F7">
      <w:pPr>
        <w:spacing w:after="0" w:line="240" w:lineRule="auto"/>
        <w:ind w:left="720"/>
        <w:contextualSpacing/>
        <w:jc w:val="both"/>
        <w:rPr>
          <w:rFonts w:ascii="Arial" w:eastAsia="Calibri" w:hAnsi="Arial" w:cs="Arial"/>
          <w:color w:val="333333"/>
          <w:shd w:val="clear" w:color="auto" w:fill="FFFFFF"/>
        </w:rPr>
      </w:pPr>
    </w:p>
    <w:p w14:paraId="47366CE8" w14:textId="77777777" w:rsidR="008A1FE5" w:rsidRPr="00E66CC1" w:rsidRDefault="008A1FE5" w:rsidP="00DC54F7">
      <w:pPr>
        <w:spacing w:after="0" w:line="240" w:lineRule="auto"/>
        <w:jc w:val="both"/>
        <w:rPr>
          <w:rFonts w:ascii="Arial" w:eastAsia="Calibri" w:hAnsi="Arial" w:cs="Arial"/>
          <w:b/>
          <w:color w:val="333333"/>
          <w:shd w:val="clear" w:color="auto" w:fill="FFFFFF"/>
        </w:rPr>
      </w:pPr>
      <w:r>
        <w:rPr>
          <w:rFonts w:ascii="Arial" w:eastAsia="Calibri" w:hAnsi="Arial" w:cs="Arial"/>
          <w:b/>
          <w:color w:val="333333"/>
          <w:shd w:val="clear" w:color="auto" w:fill="FFFFFF"/>
        </w:rPr>
        <w:t>5</w:t>
      </w:r>
      <w:r w:rsidRPr="00E66CC1">
        <w:rPr>
          <w:rFonts w:ascii="Arial" w:eastAsia="Calibri" w:hAnsi="Arial" w:cs="Arial"/>
          <w:b/>
          <w:color w:val="333333"/>
          <w:shd w:val="clear" w:color="auto" w:fill="FFFFFF"/>
        </w:rPr>
        <w:t xml:space="preserve">. What day is the most convenient for you to use a pharmacy? </w:t>
      </w:r>
      <w:r>
        <w:rPr>
          <w:rFonts w:ascii="Arial" w:eastAsia="Calibri" w:hAnsi="Arial" w:cs="Arial"/>
          <w:b/>
          <w:color w:val="333333"/>
          <w:shd w:val="clear" w:color="auto" w:fill="FFFFFF"/>
        </w:rPr>
        <w:t>Please tick one.</w:t>
      </w:r>
    </w:p>
    <w:p w14:paraId="0DFCD939" w14:textId="77777777" w:rsidR="008A1FE5" w:rsidRPr="00E66CC1" w:rsidRDefault="008A1FE5" w:rsidP="00DC54F7">
      <w:pPr>
        <w:spacing w:after="0" w:line="240" w:lineRule="auto"/>
        <w:jc w:val="both"/>
        <w:rPr>
          <w:rFonts w:ascii="Arial" w:eastAsia="Calibri" w:hAnsi="Arial" w:cs="Arial"/>
          <w:b/>
          <w:color w:val="333333"/>
          <w:shd w:val="clear" w:color="auto" w:fill="FFFFFF"/>
        </w:rPr>
      </w:pPr>
    </w:p>
    <w:p w14:paraId="38262A7C" w14:textId="77777777" w:rsidR="008A1FE5" w:rsidRPr="00E66CC1"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Monday</w:t>
      </w:r>
    </w:p>
    <w:p w14:paraId="2B38BB87" w14:textId="77777777" w:rsidR="008A1FE5" w:rsidRPr="00E66CC1"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Tuesday</w:t>
      </w:r>
    </w:p>
    <w:p w14:paraId="3A7EF3C6" w14:textId="77777777" w:rsidR="008A1FE5" w:rsidRPr="00E66CC1"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Wednesday</w:t>
      </w:r>
    </w:p>
    <w:p w14:paraId="335AC294" w14:textId="77777777" w:rsidR="008A1FE5" w:rsidRPr="00E66CC1"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Thursday</w:t>
      </w:r>
    </w:p>
    <w:p w14:paraId="3BE784D4" w14:textId="77777777" w:rsidR="008A1FE5" w:rsidRPr="00E66CC1"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Friday</w:t>
      </w:r>
    </w:p>
    <w:p w14:paraId="3BDF836C" w14:textId="77777777" w:rsidR="008A1FE5" w:rsidRPr="00E66CC1"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Saturday</w:t>
      </w:r>
    </w:p>
    <w:p w14:paraId="08C187E0" w14:textId="77777777" w:rsidR="008A1FE5" w:rsidRPr="00E66CC1"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Sunday</w:t>
      </w:r>
    </w:p>
    <w:p w14:paraId="0386545A" w14:textId="77777777" w:rsidR="008A1FE5" w:rsidRPr="00E66CC1"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Weekdays in general</w:t>
      </w:r>
    </w:p>
    <w:p w14:paraId="535EA81B" w14:textId="77777777" w:rsidR="008A1FE5" w:rsidRPr="00E66CC1"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Weekends in general</w:t>
      </w:r>
    </w:p>
    <w:p w14:paraId="710EAFD0" w14:textId="6C40836D" w:rsidR="008A1FE5" w:rsidRPr="00AE758E" w:rsidRDefault="008A1FE5" w:rsidP="00DC54F7">
      <w:pPr>
        <w:numPr>
          <w:ilvl w:val="0"/>
          <w:numId w:val="187"/>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I don’t have a preference</w:t>
      </w:r>
    </w:p>
    <w:p w14:paraId="5B7BA836" w14:textId="77777777" w:rsidR="008A1FE5" w:rsidRDefault="008A1FE5" w:rsidP="00DC54F7">
      <w:pPr>
        <w:spacing w:after="0" w:line="240" w:lineRule="auto"/>
        <w:jc w:val="both"/>
        <w:rPr>
          <w:rFonts w:ascii="Arial" w:eastAsia="Calibri" w:hAnsi="Arial" w:cs="Arial"/>
          <w:b/>
          <w:color w:val="333333"/>
          <w:shd w:val="clear" w:color="auto" w:fill="FFFFFF"/>
        </w:rPr>
      </w:pPr>
    </w:p>
    <w:p w14:paraId="31F0FDF4" w14:textId="77777777" w:rsidR="008A1FE5" w:rsidRPr="00E66CC1" w:rsidRDefault="008A1FE5" w:rsidP="00DC54F7">
      <w:pPr>
        <w:spacing w:after="0" w:line="240" w:lineRule="auto"/>
        <w:jc w:val="both"/>
        <w:rPr>
          <w:rFonts w:ascii="Arial" w:eastAsia="Calibri" w:hAnsi="Arial" w:cs="Arial"/>
          <w:b/>
          <w:color w:val="333333"/>
          <w:shd w:val="clear" w:color="auto" w:fill="FFFFFF"/>
        </w:rPr>
      </w:pPr>
      <w:r>
        <w:rPr>
          <w:rFonts w:ascii="Arial" w:eastAsia="Calibri" w:hAnsi="Arial" w:cs="Arial"/>
          <w:b/>
          <w:color w:val="333333"/>
          <w:shd w:val="clear" w:color="auto" w:fill="FFFFFF"/>
        </w:rPr>
        <w:t>6</w:t>
      </w:r>
      <w:r w:rsidRPr="00E66CC1">
        <w:rPr>
          <w:rFonts w:ascii="Arial" w:eastAsia="Calibri" w:hAnsi="Arial" w:cs="Arial"/>
          <w:b/>
          <w:color w:val="333333"/>
          <w:shd w:val="clear" w:color="auto" w:fill="FFFFFF"/>
        </w:rPr>
        <w:t>. Has there been a time recently when you</w:t>
      </w:r>
      <w:r>
        <w:rPr>
          <w:rFonts w:ascii="Arial" w:eastAsia="Calibri" w:hAnsi="Arial" w:cs="Arial"/>
          <w:b/>
          <w:color w:val="333333"/>
          <w:shd w:val="clear" w:color="auto" w:fill="FFFFFF"/>
        </w:rPr>
        <w:t>,</w:t>
      </w:r>
      <w:r w:rsidRPr="00E66CC1">
        <w:rPr>
          <w:rFonts w:ascii="Arial" w:eastAsia="Calibri" w:hAnsi="Arial" w:cs="Arial"/>
          <w:b/>
          <w:color w:val="333333"/>
          <w:shd w:val="clear" w:color="auto" w:fill="FFFFFF"/>
        </w:rPr>
        <w:t xml:space="preserve"> </w:t>
      </w:r>
      <w:r>
        <w:rPr>
          <w:rFonts w:ascii="Arial" w:eastAsia="Calibri" w:hAnsi="Arial" w:cs="Arial"/>
          <w:b/>
          <w:color w:val="333333"/>
          <w:shd w:val="clear" w:color="auto" w:fill="FFFFFF"/>
        </w:rPr>
        <w:t xml:space="preserve">or a person on your behalf, </w:t>
      </w:r>
      <w:r w:rsidRPr="00E66CC1">
        <w:rPr>
          <w:rFonts w:ascii="Arial" w:eastAsia="Calibri" w:hAnsi="Arial" w:cs="Arial"/>
          <w:b/>
          <w:color w:val="333333"/>
          <w:shd w:val="clear" w:color="auto" w:fill="FFFFFF"/>
        </w:rPr>
        <w:t>were</w:t>
      </w:r>
      <w:r>
        <w:rPr>
          <w:rFonts w:ascii="Arial" w:eastAsia="Calibri" w:hAnsi="Arial" w:cs="Arial"/>
          <w:b/>
          <w:color w:val="333333"/>
          <w:shd w:val="clear" w:color="auto" w:fill="FFFFFF"/>
        </w:rPr>
        <w:t xml:space="preserve"> </w:t>
      </w:r>
      <w:r w:rsidRPr="00E66CC1">
        <w:rPr>
          <w:rFonts w:ascii="Arial" w:eastAsia="Calibri" w:hAnsi="Arial" w:cs="Arial"/>
          <w:b/>
          <w:color w:val="333333"/>
          <w:shd w:val="clear" w:color="auto" w:fill="FFFFFF"/>
        </w:rPr>
        <w:t>n</w:t>
      </w:r>
      <w:r>
        <w:rPr>
          <w:rFonts w:ascii="Arial" w:eastAsia="Calibri" w:hAnsi="Arial" w:cs="Arial"/>
          <w:b/>
          <w:color w:val="333333"/>
          <w:shd w:val="clear" w:color="auto" w:fill="FFFFFF"/>
        </w:rPr>
        <w:t>o</w:t>
      </w:r>
      <w:r w:rsidRPr="00E66CC1">
        <w:rPr>
          <w:rFonts w:ascii="Arial" w:eastAsia="Calibri" w:hAnsi="Arial" w:cs="Arial"/>
          <w:b/>
          <w:color w:val="333333"/>
          <w:shd w:val="clear" w:color="auto" w:fill="FFFFFF"/>
        </w:rPr>
        <w:t xml:space="preserve">t able to use your </w:t>
      </w:r>
      <w:r>
        <w:rPr>
          <w:rFonts w:ascii="Arial" w:eastAsia="Calibri" w:hAnsi="Arial" w:cs="Arial"/>
          <w:b/>
          <w:color w:val="333333"/>
          <w:shd w:val="clear" w:color="auto" w:fill="FFFFFF"/>
        </w:rPr>
        <w:t xml:space="preserve">usual </w:t>
      </w:r>
      <w:r w:rsidRPr="00E66CC1">
        <w:rPr>
          <w:rFonts w:ascii="Arial" w:eastAsia="Calibri" w:hAnsi="Arial" w:cs="Arial"/>
          <w:b/>
          <w:color w:val="333333"/>
          <w:shd w:val="clear" w:color="auto" w:fill="FFFFFF"/>
        </w:rPr>
        <w:t xml:space="preserve">pharmacy? </w:t>
      </w:r>
      <w:r>
        <w:rPr>
          <w:rFonts w:ascii="Arial" w:eastAsia="Calibri" w:hAnsi="Arial" w:cs="Arial"/>
          <w:b/>
          <w:color w:val="333333"/>
          <w:shd w:val="clear" w:color="auto" w:fill="FFFFFF"/>
        </w:rPr>
        <w:t>Please tick one.</w:t>
      </w:r>
    </w:p>
    <w:p w14:paraId="054B476C" w14:textId="77777777" w:rsidR="008A1FE5" w:rsidRPr="00E66CC1" w:rsidRDefault="008A1FE5" w:rsidP="00DC54F7">
      <w:pPr>
        <w:spacing w:after="0" w:line="240" w:lineRule="auto"/>
        <w:jc w:val="both"/>
        <w:rPr>
          <w:rFonts w:ascii="Arial" w:eastAsia="Calibri" w:hAnsi="Arial" w:cs="Arial"/>
          <w:b/>
          <w:color w:val="333333"/>
          <w:shd w:val="clear" w:color="auto" w:fill="FFFFFF"/>
        </w:rPr>
      </w:pPr>
    </w:p>
    <w:p w14:paraId="33FF9C2E" w14:textId="77777777" w:rsidR="008A1FE5" w:rsidRPr="00E66CC1" w:rsidRDefault="008A1FE5" w:rsidP="00DC54F7">
      <w:pPr>
        <w:numPr>
          <w:ilvl w:val="0"/>
          <w:numId w:val="189"/>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Yes</w:t>
      </w:r>
    </w:p>
    <w:p w14:paraId="70174F0C" w14:textId="77777777" w:rsidR="008A1FE5" w:rsidRPr="00E66CC1" w:rsidRDefault="008A1FE5" w:rsidP="00DC54F7">
      <w:pPr>
        <w:numPr>
          <w:ilvl w:val="0"/>
          <w:numId w:val="189"/>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No</w:t>
      </w:r>
      <w:r>
        <w:rPr>
          <w:rFonts w:ascii="Arial" w:eastAsia="Calibri" w:hAnsi="Arial" w:cs="Arial"/>
          <w:color w:val="333333"/>
          <w:shd w:val="clear" w:color="auto" w:fill="FFFFFF"/>
        </w:rPr>
        <w:t xml:space="preserve"> (go to question 8)</w:t>
      </w:r>
    </w:p>
    <w:p w14:paraId="4940845B" w14:textId="77777777" w:rsidR="008A1FE5" w:rsidRPr="00E66CC1" w:rsidRDefault="008A1FE5" w:rsidP="00DC54F7">
      <w:pPr>
        <w:numPr>
          <w:ilvl w:val="0"/>
          <w:numId w:val="189"/>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Not applicable</w:t>
      </w:r>
      <w:r>
        <w:rPr>
          <w:rFonts w:ascii="Arial" w:eastAsia="Calibri" w:hAnsi="Arial" w:cs="Arial"/>
          <w:color w:val="333333"/>
          <w:shd w:val="clear" w:color="auto" w:fill="FFFFFF"/>
        </w:rPr>
        <w:t xml:space="preserve"> (go to question 8)</w:t>
      </w:r>
    </w:p>
    <w:p w14:paraId="4B2280C8" w14:textId="77777777" w:rsidR="008A1FE5" w:rsidRPr="00E66CC1" w:rsidRDefault="008A1FE5" w:rsidP="00DC54F7">
      <w:pPr>
        <w:spacing w:after="0" w:line="240" w:lineRule="auto"/>
        <w:jc w:val="both"/>
        <w:rPr>
          <w:rFonts w:ascii="Arial" w:eastAsia="Calibri" w:hAnsi="Arial" w:cs="Arial"/>
          <w:b/>
          <w:color w:val="333333"/>
          <w:shd w:val="clear" w:color="auto" w:fill="FFFFFF"/>
        </w:rPr>
      </w:pPr>
    </w:p>
    <w:p w14:paraId="05B35DD0" w14:textId="77777777" w:rsidR="008A1FE5" w:rsidRPr="00E66CC1" w:rsidRDefault="008A1FE5" w:rsidP="00DC54F7">
      <w:pPr>
        <w:spacing w:after="0" w:line="240" w:lineRule="auto"/>
        <w:jc w:val="both"/>
        <w:rPr>
          <w:rFonts w:ascii="Arial" w:eastAsia="Calibri" w:hAnsi="Arial" w:cs="Arial"/>
          <w:b/>
          <w:color w:val="333333"/>
          <w:shd w:val="clear" w:color="auto" w:fill="FFFFFF"/>
        </w:rPr>
      </w:pPr>
      <w:r>
        <w:rPr>
          <w:rFonts w:ascii="Arial" w:eastAsia="Calibri" w:hAnsi="Arial" w:cs="Arial"/>
          <w:b/>
          <w:color w:val="333333"/>
          <w:shd w:val="clear" w:color="auto" w:fill="FFFFFF"/>
        </w:rPr>
        <w:t>7</w:t>
      </w:r>
      <w:r w:rsidRPr="00E66CC1">
        <w:rPr>
          <w:rFonts w:ascii="Arial" w:eastAsia="Calibri" w:hAnsi="Arial" w:cs="Arial"/>
          <w:b/>
          <w:color w:val="333333"/>
          <w:shd w:val="clear" w:color="auto" w:fill="FFFFFF"/>
        </w:rPr>
        <w:t xml:space="preserve">. If you answered ‘yes’ to question </w:t>
      </w:r>
      <w:r>
        <w:rPr>
          <w:rFonts w:ascii="Arial" w:eastAsia="Calibri" w:hAnsi="Arial" w:cs="Arial"/>
          <w:b/>
          <w:color w:val="333333"/>
          <w:shd w:val="clear" w:color="auto" w:fill="FFFFFF"/>
        </w:rPr>
        <w:t>6</w:t>
      </w:r>
      <w:r w:rsidRPr="00E66CC1">
        <w:rPr>
          <w:rFonts w:ascii="Arial" w:eastAsia="Calibri" w:hAnsi="Arial" w:cs="Arial"/>
          <w:b/>
          <w:color w:val="333333"/>
          <w:shd w:val="clear" w:color="auto" w:fill="FFFFFF"/>
        </w:rPr>
        <w:t xml:space="preserve"> can you tell us what you</w:t>
      </w:r>
      <w:r>
        <w:rPr>
          <w:rFonts w:ascii="Arial" w:eastAsia="Calibri" w:hAnsi="Arial" w:cs="Arial"/>
          <w:b/>
          <w:color w:val="333333"/>
          <w:shd w:val="clear" w:color="auto" w:fill="FFFFFF"/>
        </w:rPr>
        <w:t xml:space="preserve"> / they</w:t>
      </w:r>
      <w:r w:rsidRPr="00E66CC1">
        <w:rPr>
          <w:rFonts w:ascii="Arial" w:eastAsia="Calibri" w:hAnsi="Arial" w:cs="Arial"/>
          <w:b/>
          <w:color w:val="333333"/>
          <w:shd w:val="clear" w:color="auto" w:fill="FFFFFF"/>
        </w:rPr>
        <w:t xml:space="preserve"> did? Please tick all statements that apply.</w:t>
      </w:r>
    </w:p>
    <w:p w14:paraId="4D22B048" w14:textId="77777777" w:rsidR="008A1FE5" w:rsidRPr="00E66CC1" w:rsidRDefault="008A1FE5" w:rsidP="00DC54F7">
      <w:pPr>
        <w:spacing w:after="0" w:line="240" w:lineRule="auto"/>
        <w:jc w:val="both"/>
        <w:rPr>
          <w:rFonts w:ascii="Arial" w:eastAsia="Calibri" w:hAnsi="Arial" w:cs="Arial"/>
          <w:b/>
          <w:color w:val="333333"/>
          <w:shd w:val="clear" w:color="auto" w:fill="FFFFFF"/>
        </w:rPr>
      </w:pPr>
    </w:p>
    <w:p w14:paraId="46D18B14" w14:textId="77777777" w:rsidR="008A1FE5" w:rsidRPr="00E66CC1" w:rsidRDefault="008A1FE5" w:rsidP="00DC54F7">
      <w:pPr>
        <w:numPr>
          <w:ilvl w:val="0"/>
          <w:numId w:val="181"/>
        </w:numPr>
        <w:spacing w:after="0" w:line="240" w:lineRule="auto"/>
        <w:contextualSpacing/>
        <w:jc w:val="both"/>
        <w:rPr>
          <w:rFonts w:ascii="Arial" w:eastAsia="Calibri" w:hAnsi="Arial" w:cs="Arial"/>
          <w:color w:val="333333"/>
          <w:shd w:val="clear" w:color="auto" w:fill="FFFFFF"/>
        </w:rPr>
      </w:pPr>
      <w:r>
        <w:rPr>
          <w:rFonts w:ascii="Arial" w:eastAsia="Calibri" w:hAnsi="Arial" w:cs="Arial"/>
          <w:color w:val="333333"/>
          <w:shd w:val="clear" w:color="auto" w:fill="FFFFFF"/>
        </w:rPr>
        <w:t>W</w:t>
      </w:r>
      <w:r w:rsidRPr="00E66CC1">
        <w:rPr>
          <w:rFonts w:ascii="Arial" w:eastAsia="Calibri" w:hAnsi="Arial" w:cs="Arial"/>
          <w:color w:val="333333"/>
          <w:shd w:val="clear" w:color="auto" w:fill="FFFFFF"/>
        </w:rPr>
        <w:t>ent to another pharmacy</w:t>
      </w:r>
    </w:p>
    <w:p w14:paraId="6FD15EB2" w14:textId="77777777" w:rsidR="008A1FE5" w:rsidRPr="00E66CC1" w:rsidRDefault="008A1FE5" w:rsidP="00DC54F7">
      <w:pPr>
        <w:numPr>
          <w:ilvl w:val="0"/>
          <w:numId w:val="181"/>
        </w:numPr>
        <w:spacing w:after="0" w:line="240" w:lineRule="auto"/>
        <w:contextualSpacing/>
        <w:jc w:val="both"/>
        <w:rPr>
          <w:rFonts w:ascii="Arial" w:eastAsia="Calibri" w:hAnsi="Arial" w:cs="Arial"/>
          <w:color w:val="333333"/>
          <w:shd w:val="clear" w:color="auto" w:fill="FFFFFF"/>
        </w:rPr>
      </w:pPr>
      <w:r>
        <w:rPr>
          <w:rFonts w:ascii="Arial" w:eastAsia="Calibri" w:hAnsi="Arial" w:cs="Arial"/>
          <w:color w:val="333333"/>
          <w:shd w:val="clear" w:color="auto" w:fill="FFFFFF"/>
        </w:rPr>
        <w:t>W</w:t>
      </w:r>
      <w:r w:rsidRPr="00E66CC1">
        <w:rPr>
          <w:rFonts w:ascii="Arial" w:eastAsia="Calibri" w:hAnsi="Arial" w:cs="Arial"/>
          <w:color w:val="333333"/>
          <w:shd w:val="clear" w:color="auto" w:fill="FFFFFF"/>
        </w:rPr>
        <w:t>aited until the pharmacy was open</w:t>
      </w:r>
    </w:p>
    <w:p w14:paraId="4E2ACA19" w14:textId="77777777" w:rsidR="008A1FE5" w:rsidRPr="00E66CC1" w:rsidRDefault="008A1FE5" w:rsidP="00DC54F7">
      <w:pPr>
        <w:numPr>
          <w:ilvl w:val="0"/>
          <w:numId w:val="181"/>
        </w:numPr>
        <w:spacing w:after="0" w:line="240" w:lineRule="auto"/>
        <w:contextualSpacing/>
        <w:jc w:val="both"/>
        <w:rPr>
          <w:rFonts w:ascii="Arial" w:eastAsia="Calibri" w:hAnsi="Arial" w:cs="Arial"/>
          <w:color w:val="333333"/>
          <w:shd w:val="clear" w:color="auto" w:fill="FFFFFF"/>
        </w:rPr>
      </w:pPr>
      <w:r>
        <w:rPr>
          <w:rFonts w:ascii="Arial" w:eastAsia="Calibri" w:hAnsi="Arial" w:cs="Arial"/>
          <w:color w:val="333333"/>
          <w:shd w:val="clear" w:color="auto" w:fill="FFFFFF"/>
        </w:rPr>
        <w:t>W</w:t>
      </w:r>
      <w:r w:rsidRPr="00E66CC1">
        <w:rPr>
          <w:rFonts w:ascii="Arial" w:eastAsia="Calibri" w:hAnsi="Arial" w:cs="Arial"/>
          <w:color w:val="333333"/>
          <w:shd w:val="clear" w:color="auto" w:fill="FFFFFF"/>
        </w:rPr>
        <w:t>ent to my GP</w:t>
      </w:r>
    </w:p>
    <w:p w14:paraId="5A980F9A" w14:textId="77777777" w:rsidR="008A1FE5" w:rsidRPr="00E66CC1" w:rsidRDefault="008A1FE5" w:rsidP="00DC54F7">
      <w:pPr>
        <w:numPr>
          <w:ilvl w:val="0"/>
          <w:numId w:val="181"/>
        </w:numPr>
        <w:spacing w:after="0" w:line="240" w:lineRule="auto"/>
        <w:contextualSpacing/>
        <w:jc w:val="both"/>
        <w:rPr>
          <w:rFonts w:ascii="Arial" w:eastAsia="Calibri" w:hAnsi="Arial" w:cs="Arial"/>
          <w:color w:val="333333"/>
          <w:shd w:val="clear" w:color="auto" w:fill="FFFFFF"/>
        </w:rPr>
      </w:pPr>
      <w:r>
        <w:rPr>
          <w:rFonts w:ascii="Arial" w:eastAsia="Calibri" w:hAnsi="Arial" w:cs="Arial"/>
          <w:color w:val="333333"/>
          <w:shd w:val="clear" w:color="auto" w:fill="FFFFFF"/>
        </w:rPr>
        <w:t>W</w:t>
      </w:r>
      <w:r w:rsidRPr="00E66CC1">
        <w:rPr>
          <w:rFonts w:ascii="Arial" w:eastAsia="Calibri" w:hAnsi="Arial" w:cs="Arial"/>
          <w:color w:val="333333"/>
          <w:shd w:val="clear" w:color="auto" w:fill="FFFFFF"/>
        </w:rPr>
        <w:t xml:space="preserve">ent to the </w:t>
      </w:r>
      <w:r>
        <w:rPr>
          <w:rFonts w:ascii="Arial" w:eastAsia="Calibri" w:hAnsi="Arial" w:cs="Arial"/>
          <w:color w:val="333333"/>
          <w:shd w:val="clear" w:color="auto" w:fill="FFFFFF"/>
        </w:rPr>
        <w:t>A&amp;E / casualty</w:t>
      </w:r>
    </w:p>
    <w:p w14:paraId="169B5DB7" w14:textId="77777777" w:rsidR="008A1FE5" w:rsidRDefault="008A1FE5" w:rsidP="00DC54F7">
      <w:pPr>
        <w:numPr>
          <w:ilvl w:val="0"/>
          <w:numId w:val="181"/>
        </w:numPr>
        <w:spacing w:after="0" w:line="240" w:lineRule="auto"/>
        <w:contextualSpacing/>
        <w:jc w:val="both"/>
        <w:rPr>
          <w:rFonts w:ascii="Arial" w:eastAsia="Calibri" w:hAnsi="Arial" w:cs="Arial"/>
          <w:color w:val="333333"/>
          <w:shd w:val="clear" w:color="auto" w:fill="FFFFFF"/>
        </w:rPr>
      </w:pPr>
      <w:r>
        <w:rPr>
          <w:rFonts w:ascii="Arial" w:eastAsia="Calibri" w:hAnsi="Arial" w:cs="Arial"/>
          <w:color w:val="333333"/>
          <w:shd w:val="clear" w:color="auto" w:fill="FFFFFF"/>
        </w:rPr>
        <w:t>W</w:t>
      </w:r>
      <w:r w:rsidRPr="00E66CC1">
        <w:rPr>
          <w:rFonts w:ascii="Arial" w:eastAsia="Calibri" w:hAnsi="Arial" w:cs="Arial"/>
          <w:color w:val="333333"/>
          <w:shd w:val="clear" w:color="auto" w:fill="FFFFFF"/>
        </w:rPr>
        <w:t xml:space="preserve">ent to a </w:t>
      </w:r>
      <w:r>
        <w:rPr>
          <w:rFonts w:ascii="Arial" w:eastAsia="Calibri" w:hAnsi="Arial" w:cs="Arial"/>
          <w:color w:val="333333"/>
          <w:shd w:val="clear" w:color="auto" w:fill="FFFFFF"/>
        </w:rPr>
        <w:t>minor injury unit</w:t>
      </w:r>
    </w:p>
    <w:p w14:paraId="6166F5FE" w14:textId="77777777" w:rsidR="008A1FE5" w:rsidRPr="00E66CC1" w:rsidRDefault="008A1FE5" w:rsidP="00DC54F7">
      <w:pPr>
        <w:numPr>
          <w:ilvl w:val="0"/>
          <w:numId w:val="181"/>
        </w:numPr>
        <w:spacing w:after="0" w:line="240" w:lineRule="auto"/>
        <w:contextualSpacing/>
        <w:jc w:val="both"/>
        <w:rPr>
          <w:rFonts w:ascii="Arial" w:eastAsia="Calibri" w:hAnsi="Arial" w:cs="Arial"/>
          <w:color w:val="333333"/>
          <w:shd w:val="clear" w:color="auto" w:fill="FFFFFF"/>
        </w:rPr>
      </w:pPr>
      <w:r>
        <w:rPr>
          <w:rFonts w:ascii="Arial" w:eastAsia="Calibri" w:hAnsi="Arial" w:cs="Arial"/>
          <w:color w:val="333333"/>
          <w:shd w:val="clear" w:color="auto" w:fill="FFFFFF"/>
        </w:rPr>
        <w:t xml:space="preserve">Contacted the </w:t>
      </w:r>
      <w:r w:rsidRPr="003F3F45">
        <w:rPr>
          <w:rFonts w:ascii="Arial" w:eastAsia="Calibri" w:hAnsi="Arial" w:cs="Arial"/>
          <w:color w:val="333333"/>
          <w:shd w:val="clear" w:color="auto" w:fill="FFFFFF"/>
        </w:rPr>
        <w:t xml:space="preserve">GP Out of Hours (OOH) </w:t>
      </w:r>
      <w:r>
        <w:rPr>
          <w:rFonts w:ascii="Arial" w:eastAsia="Calibri" w:hAnsi="Arial" w:cs="Arial"/>
          <w:color w:val="333333"/>
          <w:shd w:val="clear" w:color="auto" w:fill="FFFFFF"/>
        </w:rPr>
        <w:t>s</w:t>
      </w:r>
      <w:r w:rsidRPr="003F3F45">
        <w:rPr>
          <w:rFonts w:ascii="Arial" w:eastAsia="Calibri" w:hAnsi="Arial" w:cs="Arial"/>
          <w:color w:val="333333"/>
          <w:shd w:val="clear" w:color="auto" w:fill="FFFFFF"/>
        </w:rPr>
        <w:t>ervice</w:t>
      </w:r>
    </w:p>
    <w:p w14:paraId="45F7FA2C" w14:textId="77777777" w:rsidR="008A1FE5" w:rsidRDefault="008A1FE5" w:rsidP="00DC54F7">
      <w:pPr>
        <w:numPr>
          <w:ilvl w:val="0"/>
          <w:numId w:val="181"/>
        </w:numPr>
        <w:spacing w:after="0" w:line="240" w:lineRule="auto"/>
        <w:contextualSpacing/>
        <w:jc w:val="both"/>
        <w:rPr>
          <w:rFonts w:ascii="Arial" w:eastAsia="Calibri" w:hAnsi="Arial" w:cs="Arial"/>
          <w:color w:val="333333"/>
          <w:shd w:val="clear" w:color="auto" w:fill="FFFFFF"/>
        </w:rPr>
      </w:pPr>
      <w:r>
        <w:rPr>
          <w:rFonts w:ascii="Arial" w:eastAsia="Calibri" w:hAnsi="Arial" w:cs="Arial"/>
          <w:color w:val="333333"/>
          <w:shd w:val="clear" w:color="auto" w:fill="FFFFFF"/>
        </w:rPr>
        <w:t>C</w:t>
      </w:r>
      <w:r w:rsidRPr="00E66CC1">
        <w:rPr>
          <w:rFonts w:ascii="Arial" w:eastAsia="Calibri" w:hAnsi="Arial" w:cs="Arial"/>
          <w:color w:val="333333"/>
          <w:shd w:val="clear" w:color="auto" w:fill="FFFFFF"/>
        </w:rPr>
        <w:t xml:space="preserve">alled </w:t>
      </w:r>
      <w:r>
        <w:rPr>
          <w:rFonts w:ascii="Arial" w:eastAsia="Calibri" w:hAnsi="Arial" w:cs="Arial"/>
          <w:color w:val="333333"/>
          <w:shd w:val="clear" w:color="auto" w:fill="FFFFFF"/>
        </w:rPr>
        <w:t>NHS 111 Wales</w:t>
      </w:r>
    </w:p>
    <w:p w14:paraId="55454F36" w14:textId="77777777" w:rsidR="008A1FE5" w:rsidRPr="00E66CC1" w:rsidRDefault="008A1FE5" w:rsidP="00DC54F7">
      <w:pPr>
        <w:numPr>
          <w:ilvl w:val="0"/>
          <w:numId w:val="181"/>
        </w:numPr>
        <w:spacing w:after="0" w:line="240" w:lineRule="auto"/>
        <w:contextualSpacing/>
        <w:jc w:val="both"/>
        <w:rPr>
          <w:rFonts w:ascii="Arial" w:eastAsia="Calibri" w:hAnsi="Arial" w:cs="Arial"/>
          <w:color w:val="333333"/>
          <w:shd w:val="clear" w:color="auto" w:fill="FFFFFF"/>
        </w:rPr>
      </w:pPr>
      <w:r>
        <w:rPr>
          <w:rFonts w:ascii="Arial" w:eastAsia="Calibri" w:hAnsi="Arial" w:cs="Arial"/>
          <w:color w:val="333333"/>
          <w:shd w:val="clear" w:color="auto" w:fill="FFFFFF"/>
        </w:rPr>
        <w:t>Called CAV 24/7</w:t>
      </w:r>
    </w:p>
    <w:p w14:paraId="5EFCB3AA" w14:textId="77777777" w:rsidR="008A1FE5" w:rsidRDefault="008A1FE5" w:rsidP="00DC54F7">
      <w:pPr>
        <w:numPr>
          <w:ilvl w:val="0"/>
          <w:numId w:val="181"/>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lastRenderedPageBreak/>
        <w:t>Other [text box]</w:t>
      </w:r>
    </w:p>
    <w:p w14:paraId="1F8573ED" w14:textId="77777777" w:rsidR="008A1FE5" w:rsidRDefault="008A1FE5" w:rsidP="00DC54F7">
      <w:pPr>
        <w:spacing w:after="0" w:line="240" w:lineRule="auto"/>
        <w:contextualSpacing/>
        <w:jc w:val="both"/>
        <w:rPr>
          <w:rFonts w:ascii="Arial" w:eastAsia="Calibri" w:hAnsi="Arial" w:cs="Arial"/>
          <w:color w:val="333333"/>
          <w:shd w:val="clear" w:color="auto" w:fill="FFFFFF"/>
        </w:rPr>
      </w:pPr>
    </w:p>
    <w:p w14:paraId="5DBD058A" w14:textId="77777777" w:rsidR="008A1FE5" w:rsidRPr="00E66CC1" w:rsidRDefault="008A1FE5" w:rsidP="00DC54F7">
      <w:pPr>
        <w:spacing w:after="0" w:line="240" w:lineRule="auto"/>
        <w:contextualSpacing/>
        <w:jc w:val="both"/>
        <w:rPr>
          <w:rFonts w:ascii="Arial" w:eastAsia="Calibri" w:hAnsi="Arial" w:cs="Arial"/>
          <w:color w:val="333333"/>
          <w:shd w:val="clear" w:color="auto" w:fill="FFFFFF"/>
        </w:rPr>
      </w:pPr>
    </w:p>
    <w:p w14:paraId="378A730C" w14:textId="77777777" w:rsidR="008A1FE5" w:rsidRPr="00E66CC1" w:rsidRDefault="008A1FE5" w:rsidP="00DC54F7">
      <w:pPr>
        <w:spacing w:after="0" w:line="240" w:lineRule="auto"/>
        <w:jc w:val="both"/>
        <w:rPr>
          <w:rFonts w:ascii="Arial" w:eastAsia="Calibri" w:hAnsi="Arial" w:cs="Arial"/>
          <w:b/>
          <w:sz w:val="28"/>
          <w:szCs w:val="28"/>
        </w:rPr>
      </w:pPr>
      <w:r w:rsidRPr="00E66CC1">
        <w:rPr>
          <w:rFonts w:ascii="Arial" w:eastAsia="Calibri" w:hAnsi="Arial" w:cs="Arial"/>
          <w:b/>
          <w:sz w:val="28"/>
          <w:szCs w:val="28"/>
        </w:rPr>
        <w:t>Your choice of pharmacy</w:t>
      </w:r>
    </w:p>
    <w:p w14:paraId="556C6D1F" w14:textId="77777777" w:rsidR="008A1FE5" w:rsidRPr="00E66CC1" w:rsidRDefault="008A1FE5" w:rsidP="00DC54F7">
      <w:pPr>
        <w:spacing w:after="0" w:line="240" w:lineRule="auto"/>
        <w:jc w:val="both"/>
        <w:rPr>
          <w:rFonts w:ascii="Arial" w:eastAsia="Calibri" w:hAnsi="Arial"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799"/>
      </w:tblGrid>
      <w:tr w:rsidR="008A1FE5" w:rsidRPr="00E66CC1" w14:paraId="76351E2E" w14:textId="77777777" w:rsidTr="00AA572E">
        <w:tc>
          <w:tcPr>
            <w:tcW w:w="8217" w:type="dxa"/>
          </w:tcPr>
          <w:p w14:paraId="3BA32F54" w14:textId="77777777" w:rsidR="008A1FE5" w:rsidRPr="00E66CC1" w:rsidRDefault="008A1FE5" w:rsidP="00DC54F7">
            <w:pPr>
              <w:jc w:val="both"/>
              <w:rPr>
                <w:rFonts w:ascii="Arial" w:hAnsi="Arial" w:cs="Arial"/>
                <w:b/>
              </w:rPr>
            </w:pPr>
            <w:r>
              <w:rPr>
                <w:rFonts w:ascii="Arial" w:hAnsi="Arial" w:cs="Arial"/>
                <w:b/>
              </w:rPr>
              <w:t>8</w:t>
            </w:r>
            <w:r w:rsidRPr="00E66CC1">
              <w:rPr>
                <w:rFonts w:ascii="Arial" w:hAnsi="Arial" w:cs="Arial"/>
                <w:b/>
              </w:rPr>
              <w:t>. Please could you tell us whether you</w:t>
            </w:r>
            <w:r>
              <w:rPr>
                <w:rFonts w:ascii="Arial" w:hAnsi="Arial" w:cs="Arial"/>
                <w:b/>
              </w:rPr>
              <w:t xml:space="preserve"> (please tick one)</w:t>
            </w:r>
            <w:r w:rsidRPr="00E66CC1">
              <w:rPr>
                <w:rFonts w:ascii="Arial" w:hAnsi="Arial" w:cs="Arial"/>
                <w:b/>
              </w:rPr>
              <w:t>:</w:t>
            </w:r>
          </w:p>
          <w:p w14:paraId="7E5B8706" w14:textId="77777777" w:rsidR="008A1FE5" w:rsidRPr="00E66CC1" w:rsidRDefault="008A1FE5" w:rsidP="00DC54F7">
            <w:pPr>
              <w:jc w:val="both"/>
              <w:rPr>
                <w:rFonts w:ascii="Arial" w:hAnsi="Arial" w:cs="Arial"/>
              </w:rPr>
            </w:pPr>
          </w:p>
          <w:p w14:paraId="1857E565" w14:textId="77777777" w:rsidR="008A1FE5" w:rsidRPr="00E66CC1" w:rsidRDefault="008A1FE5" w:rsidP="00DC54F7">
            <w:pPr>
              <w:numPr>
                <w:ilvl w:val="0"/>
                <w:numId w:val="184"/>
              </w:numPr>
              <w:contextualSpacing/>
              <w:jc w:val="both"/>
              <w:rPr>
                <w:rFonts w:ascii="Arial" w:hAnsi="Arial" w:cs="Arial"/>
              </w:rPr>
            </w:pPr>
            <w:r>
              <w:rPr>
                <w:rFonts w:ascii="Arial" w:hAnsi="Arial" w:cs="Arial"/>
              </w:rPr>
              <w:t>Always use the same pharmacy?</w:t>
            </w:r>
          </w:p>
        </w:tc>
        <w:tc>
          <w:tcPr>
            <w:tcW w:w="799" w:type="dxa"/>
          </w:tcPr>
          <w:p w14:paraId="7F082309" w14:textId="77777777" w:rsidR="008A1FE5" w:rsidRPr="00E66CC1" w:rsidRDefault="008A1FE5" w:rsidP="00DC54F7">
            <w:pPr>
              <w:jc w:val="both"/>
              <w:rPr>
                <w:rFonts w:ascii="Arial" w:hAnsi="Arial" w:cs="Arial"/>
                <w:b/>
              </w:rPr>
            </w:pPr>
          </w:p>
        </w:tc>
      </w:tr>
      <w:tr w:rsidR="008A1FE5" w:rsidRPr="00E66CC1" w14:paraId="11ED1ECD" w14:textId="77777777" w:rsidTr="00AA572E">
        <w:tc>
          <w:tcPr>
            <w:tcW w:w="8217" w:type="dxa"/>
          </w:tcPr>
          <w:p w14:paraId="6ED3CC1C" w14:textId="77777777" w:rsidR="008A1FE5" w:rsidRPr="00E66CC1" w:rsidRDefault="008A1FE5" w:rsidP="00DC54F7">
            <w:pPr>
              <w:numPr>
                <w:ilvl w:val="0"/>
                <w:numId w:val="183"/>
              </w:numPr>
              <w:contextualSpacing/>
              <w:jc w:val="both"/>
              <w:rPr>
                <w:rFonts w:ascii="Arial" w:hAnsi="Arial" w:cs="Arial"/>
              </w:rPr>
            </w:pPr>
            <w:r w:rsidRPr="00E66CC1">
              <w:rPr>
                <w:rFonts w:ascii="Arial" w:hAnsi="Arial" w:cs="Arial"/>
              </w:rPr>
              <w:t>Use different pharmacies but I prefer to visit one most often</w:t>
            </w:r>
            <w:r>
              <w:rPr>
                <w:rFonts w:ascii="Arial" w:hAnsi="Arial" w:cs="Arial"/>
              </w:rPr>
              <w:t>?</w:t>
            </w:r>
          </w:p>
        </w:tc>
        <w:tc>
          <w:tcPr>
            <w:tcW w:w="799" w:type="dxa"/>
          </w:tcPr>
          <w:p w14:paraId="4E4A42AF" w14:textId="77777777" w:rsidR="008A1FE5" w:rsidRPr="00E66CC1" w:rsidRDefault="008A1FE5" w:rsidP="00DC54F7">
            <w:pPr>
              <w:jc w:val="both"/>
              <w:rPr>
                <w:rFonts w:ascii="Arial" w:hAnsi="Arial" w:cs="Arial"/>
                <w:b/>
              </w:rPr>
            </w:pPr>
          </w:p>
        </w:tc>
      </w:tr>
      <w:tr w:rsidR="008A1FE5" w:rsidRPr="00E66CC1" w14:paraId="774515D7" w14:textId="77777777" w:rsidTr="00AA572E">
        <w:tc>
          <w:tcPr>
            <w:tcW w:w="8217" w:type="dxa"/>
          </w:tcPr>
          <w:p w14:paraId="50C34F2D" w14:textId="77777777" w:rsidR="008A1FE5" w:rsidRPr="00E66CC1" w:rsidRDefault="008A1FE5" w:rsidP="00DC54F7">
            <w:pPr>
              <w:numPr>
                <w:ilvl w:val="0"/>
                <w:numId w:val="183"/>
              </w:numPr>
              <w:contextualSpacing/>
              <w:jc w:val="both"/>
              <w:rPr>
                <w:rFonts w:ascii="Arial" w:hAnsi="Arial" w:cs="Arial"/>
              </w:rPr>
            </w:pPr>
            <w:r>
              <w:rPr>
                <w:rFonts w:ascii="Arial" w:hAnsi="Arial" w:cs="Arial"/>
              </w:rPr>
              <w:t>Always use different pharmacies?</w:t>
            </w:r>
          </w:p>
          <w:p w14:paraId="6FC14DBB" w14:textId="77777777" w:rsidR="008A1FE5" w:rsidRPr="00E66CC1" w:rsidRDefault="008A1FE5" w:rsidP="00DC54F7">
            <w:pPr>
              <w:numPr>
                <w:ilvl w:val="0"/>
                <w:numId w:val="183"/>
              </w:numPr>
              <w:contextualSpacing/>
              <w:jc w:val="both"/>
              <w:rPr>
                <w:rFonts w:ascii="Arial" w:hAnsi="Arial" w:cs="Arial"/>
              </w:rPr>
            </w:pPr>
            <w:r w:rsidRPr="00E66CC1">
              <w:rPr>
                <w:rFonts w:ascii="Arial" w:hAnsi="Arial" w:cs="Arial"/>
              </w:rPr>
              <w:t>Rarely use a pharmacy</w:t>
            </w:r>
            <w:r>
              <w:rPr>
                <w:rFonts w:ascii="Arial" w:hAnsi="Arial" w:cs="Arial"/>
              </w:rPr>
              <w:t>?</w:t>
            </w:r>
          </w:p>
        </w:tc>
        <w:tc>
          <w:tcPr>
            <w:tcW w:w="799" w:type="dxa"/>
          </w:tcPr>
          <w:p w14:paraId="65CFFDB6" w14:textId="77777777" w:rsidR="008A1FE5" w:rsidRPr="00E66CC1" w:rsidRDefault="008A1FE5" w:rsidP="00DC54F7">
            <w:pPr>
              <w:jc w:val="both"/>
              <w:rPr>
                <w:rFonts w:ascii="Arial" w:hAnsi="Arial" w:cs="Arial"/>
                <w:b/>
              </w:rPr>
            </w:pPr>
          </w:p>
        </w:tc>
      </w:tr>
      <w:tr w:rsidR="008A1FE5" w:rsidRPr="00E66CC1" w14:paraId="2EC07301" w14:textId="77777777" w:rsidTr="00AA572E">
        <w:tc>
          <w:tcPr>
            <w:tcW w:w="8217" w:type="dxa"/>
          </w:tcPr>
          <w:p w14:paraId="3063DA6F" w14:textId="77777777" w:rsidR="008A1FE5" w:rsidRPr="00E66CC1" w:rsidRDefault="008A1FE5" w:rsidP="00DC54F7">
            <w:pPr>
              <w:numPr>
                <w:ilvl w:val="0"/>
                <w:numId w:val="183"/>
              </w:numPr>
              <w:contextualSpacing/>
              <w:jc w:val="both"/>
              <w:rPr>
                <w:rFonts w:ascii="Arial" w:hAnsi="Arial" w:cs="Arial"/>
              </w:rPr>
            </w:pPr>
            <w:r w:rsidRPr="00E66CC1">
              <w:rPr>
                <w:rFonts w:ascii="Arial" w:hAnsi="Arial" w:cs="Arial"/>
              </w:rPr>
              <w:t>Never use a pharmacy</w:t>
            </w:r>
            <w:r>
              <w:rPr>
                <w:rFonts w:ascii="Arial" w:hAnsi="Arial" w:cs="Arial"/>
              </w:rPr>
              <w:t>?</w:t>
            </w:r>
          </w:p>
        </w:tc>
        <w:tc>
          <w:tcPr>
            <w:tcW w:w="799" w:type="dxa"/>
          </w:tcPr>
          <w:p w14:paraId="01BF9B96" w14:textId="77777777" w:rsidR="008A1FE5" w:rsidRPr="00E66CC1" w:rsidRDefault="008A1FE5" w:rsidP="00DC54F7">
            <w:pPr>
              <w:jc w:val="both"/>
              <w:rPr>
                <w:rFonts w:ascii="Arial" w:hAnsi="Arial" w:cs="Arial"/>
                <w:b/>
              </w:rPr>
            </w:pPr>
          </w:p>
        </w:tc>
      </w:tr>
      <w:tr w:rsidR="008A1FE5" w:rsidRPr="00E66CC1" w14:paraId="0EC639C7" w14:textId="77777777" w:rsidTr="00AA572E">
        <w:tc>
          <w:tcPr>
            <w:tcW w:w="8217" w:type="dxa"/>
          </w:tcPr>
          <w:p w14:paraId="2808B8F8" w14:textId="77777777" w:rsidR="008A1FE5" w:rsidRPr="00E66CC1" w:rsidRDefault="008A1FE5" w:rsidP="00DC54F7">
            <w:pPr>
              <w:jc w:val="both"/>
              <w:rPr>
                <w:b/>
              </w:rPr>
            </w:pPr>
          </w:p>
        </w:tc>
        <w:tc>
          <w:tcPr>
            <w:tcW w:w="799" w:type="dxa"/>
          </w:tcPr>
          <w:p w14:paraId="71ACD722" w14:textId="77777777" w:rsidR="008A1FE5" w:rsidRPr="00E66CC1" w:rsidRDefault="008A1FE5" w:rsidP="00DC54F7">
            <w:pPr>
              <w:jc w:val="both"/>
              <w:rPr>
                <w:b/>
              </w:rPr>
            </w:pPr>
          </w:p>
        </w:tc>
      </w:tr>
    </w:tbl>
    <w:p w14:paraId="65A335AC" w14:textId="77777777" w:rsidR="008A1FE5" w:rsidRPr="00E66CC1" w:rsidRDefault="008A1FE5" w:rsidP="00DC54F7">
      <w:pPr>
        <w:spacing w:after="0" w:line="240" w:lineRule="auto"/>
        <w:jc w:val="both"/>
        <w:rPr>
          <w:rFonts w:ascii="Arial" w:eastAsia="Calibri" w:hAnsi="Arial" w:cs="Arial"/>
          <w:b/>
        </w:rPr>
      </w:pPr>
      <w:r>
        <w:rPr>
          <w:rFonts w:ascii="Arial" w:eastAsia="Calibri" w:hAnsi="Arial" w:cs="Arial"/>
          <w:b/>
        </w:rPr>
        <w:t>9</w:t>
      </w:r>
      <w:r w:rsidRPr="00E66CC1">
        <w:rPr>
          <w:rFonts w:ascii="Arial" w:eastAsia="Calibri" w:hAnsi="Arial" w:cs="Arial"/>
          <w:b/>
        </w:rPr>
        <w:t>. We would like to know what influences your choice of pharmacy. Please could you tell us why you use this pharmacy? Please tick all the statements that apply to you.</w:t>
      </w:r>
    </w:p>
    <w:p w14:paraId="414EF208" w14:textId="77777777" w:rsidR="008A1FE5" w:rsidRPr="00E66CC1" w:rsidRDefault="008A1FE5" w:rsidP="00DC54F7">
      <w:pPr>
        <w:spacing w:after="0" w:line="240" w:lineRule="auto"/>
        <w:jc w:val="both"/>
        <w:rPr>
          <w:rFonts w:ascii="Arial" w:eastAsia="Calibri" w:hAnsi="Arial" w:cs="Arial"/>
          <w:b/>
        </w:rPr>
      </w:pPr>
    </w:p>
    <w:p w14:paraId="0CA801FD"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Close to my home</w:t>
      </w:r>
    </w:p>
    <w:p w14:paraId="2460FBA9"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Close to work</w:t>
      </w:r>
    </w:p>
    <w:p w14:paraId="37A35770"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Close to my doctor</w:t>
      </w:r>
    </w:p>
    <w:p w14:paraId="105E43C0"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Close to children’s school or nursery</w:t>
      </w:r>
    </w:p>
    <w:p w14:paraId="0B59CAFC"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Close to other shops</w:t>
      </w:r>
    </w:p>
    <w:p w14:paraId="0ECCDBCC"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The location of the pharmacy is easy to get to</w:t>
      </w:r>
    </w:p>
    <w:p w14:paraId="6418E811" w14:textId="77777777" w:rsidR="008A1FE5" w:rsidRPr="005E5F26"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It is easy to park at the pharmacy</w:t>
      </w:r>
    </w:p>
    <w:p w14:paraId="2A8BAE8A"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Pr>
          <w:rFonts w:ascii="Arial" w:eastAsia="Calibri" w:hAnsi="Arial" w:cs="Arial"/>
        </w:rPr>
        <w:t>I can speak to the staff in my preferred language</w:t>
      </w:r>
    </w:p>
    <w:p w14:paraId="4BB3C038"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 xml:space="preserve">I </w:t>
      </w:r>
      <w:r>
        <w:rPr>
          <w:rFonts w:ascii="Arial" w:eastAsia="Calibri" w:hAnsi="Arial" w:cs="Arial"/>
        </w:rPr>
        <w:t xml:space="preserve">like and </w:t>
      </w:r>
      <w:r w:rsidRPr="00E66CC1">
        <w:rPr>
          <w:rFonts w:ascii="Arial" w:eastAsia="Calibri" w:hAnsi="Arial" w:cs="Arial"/>
        </w:rPr>
        <w:t>trust the staff who work there</w:t>
      </w:r>
    </w:p>
    <w:p w14:paraId="49E20740"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The staff know me and look after me</w:t>
      </w:r>
    </w:p>
    <w:p w14:paraId="7F3CF318"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 xml:space="preserve">The staff don’t know me </w:t>
      </w:r>
    </w:p>
    <w:p w14:paraId="6046DF8B"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I’ve always used this pharmacy</w:t>
      </w:r>
    </w:p>
    <w:p w14:paraId="19FAD335"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The service is quick</w:t>
      </w:r>
    </w:p>
    <w:p w14:paraId="46854775"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They usually have what I need in stock</w:t>
      </w:r>
    </w:p>
    <w:p w14:paraId="02133DFB"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The pharmacy has good opening hours</w:t>
      </w:r>
    </w:p>
    <w:p w14:paraId="373D7DEE"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The pharmacy collects my prescription and delivers my medicines</w:t>
      </w:r>
    </w:p>
    <w:p w14:paraId="4D14F2B2"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The pharmacy was recommended to me</w:t>
      </w:r>
    </w:p>
    <w:p w14:paraId="37AF8256"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The pharmacy provide good advice &amp; information</w:t>
      </w:r>
    </w:p>
    <w:p w14:paraId="6327F7C1"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The customer service</w:t>
      </w:r>
    </w:p>
    <w:p w14:paraId="0F589124" w14:textId="77777777" w:rsidR="008A1FE5" w:rsidRPr="00610B1B" w:rsidRDefault="008A1FE5" w:rsidP="00DC54F7">
      <w:pPr>
        <w:numPr>
          <w:ilvl w:val="0"/>
          <w:numId w:val="176"/>
        </w:numPr>
        <w:spacing w:after="0" w:line="240" w:lineRule="auto"/>
        <w:contextualSpacing/>
        <w:jc w:val="both"/>
        <w:rPr>
          <w:rFonts w:ascii="Arial" w:eastAsia="Calibri" w:hAnsi="Arial" w:cs="Arial"/>
        </w:rPr>
      </w:pPr>
      <w:r w:rsidRPr="00610B1B">
        <w:rPr>
          <w:rFonts w:ascii="Arial" w:eastAsia="Calibri" w:hAnsi="Arial" w:cs="Arial"/>
        </w:rPr>
        <w:t xml:space="preserve">It is very accessible i.e. </w:t>
      </w:r>
      <w:r w:rsidRPr="00610B1B">
        <w:rPr>
          <w:rFonts w:ascii="Arial" w:eastAsia="Calibri" w:hAnsi="Arial" w:cs="Arial"/>
          <w:shd w:val="clear" w:color="auto" w:fill="FFFFFF"/>
        </w:rPr>
        <w:t>wheelchair/baby buggy friendly</w:t>
      </w:r>
    </w:p>
    <w:p w14:paraId="53C4C661"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It’s a well-known big chain</w:t>
      </w:r>
    </w:p>
    <w:p w14:paraId="3EFB48D6"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It’s not one of the big chains</w:t>
      </w:r>
    </w:p>
    <w:p w14:paraId="49260C2A"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There is a private area if I need to talk to the pharmacist</w:t>
      </w:r>
    </w:p>
    <w:p w14:paraId="53AD799A" w14:textId="77777777" w:rsidR="008A1FE5" w:rsidRPr="00E66CC1"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 xml:space="preserve">I can order my repeat medicines </w:t>
      </w:r>
      <w:r>
        <w:rPr>
          <w:rFonts w:ascii="Arial" w:eastAsia="Calibri" w:hAnsi="Arial" w:cs="Arial"/>
        </w:rPr>
        <w:t xml:space="preserve">online or by </w:t>
      </w:r>
      <w:r w:rsidRPr="00E66CC1">
        <w:rPr>
          <w:rFonts w:ascii="Arial" w:eastAsia="Calibri" w:hAnsi="Arial" w:cs="Arial"/>
        </w:rPr>
        <w:t>using their app</w:t>
      </w:r>
    </w:p>
    <w:p w14:paraId="411EFAB0" w14:textId="77777777" w:rsidR="008A1FE5" w:rsidRDefault="008A1FE5" w:rsidP="00DC54F7">
      <w:pPr>
        <w:numPr>
          <w:ilvl w:val="0"/>
          <w:numId w:val="176"/>
        </w:numPr>
        <w:spacing w:after="0" w:line="240" w:lineRule="auto"/>
        <w:contextualSpacing/>
        <w:jc w:val="both"/>
        <w:rPr>
          <w:rFonts w:ascii="Arial" w:eastAsia="Calibri" w:hAnsi="Arial" w:cs="Arial"/>
        </w:rPr>
      </w:pPr>
      <w:r w:rsidRPr="00E66CC1">
        <w:rPr>
          <w:rFonts w:ascii="Arial" w:eastAsia="Calibri" w:hAnsi="Arial" w:cs="Arial"/>
        </w:rPr>
        <w:t>Other [text box]</w:t>
      </w:r>
    </w:p>
    <w:p w14:paraId="5C84016F" w14:textId="77777777" w:rsidR="008A1FE5" w:rsidRPr="00E66CC1" w:rsidRDefault="008A1FE5" w:rsidP="00DC54F7">
      <w:pPr>
        <w:spacing w:after="0" w:line="240" w:lineRule="auto"/>
        <w:ind w:left="720"/>
        <w:contextualSpacing/>
        <w:jc w:val="both"/>
        <w:rPr>
          <w:rFonts w:ascii="Arial" w:eastAsia="Calibri" w:hAnsi="Arial" w:cs="Arial"/>
        </w:rPr>
      </w:pPr>
    </w:p>
    <w:p w14:paraId="4F37F4D0" w14:textId="77777777" w:rsidR="008A1FE5" w:rsidRPr="00E66CC1" w:rsidRDefault="008A1FE5" w:rsidP="00DC54F7">
      <w:pPr>
        <w:spacing w:after="0" w:line="240" w:lineRule="auto"/>
        <w:ind w:left="720"/>
        <w:contextualSpacing/>
        <w:jc w:val="both"/>
        <w:rPr>
          <w:rFonts w:ascii="Arial" w:eastAsia="Calibri" w:hAnsi="Arial" w:cs="Arial"/>
        </w:rPr>
      </w:pPr>
    </w:p>
    <w:p w14:paraId="30B7A236" w14:textId="77777777" w:rsidR="008A1FE5" w:rsidRPr="00E66CC1" w:rsidRDefault="008A1FE5" w:rsidP="00DC54F7">
      <w:pPr>
        <w:spacing w:after="0" w:line="240" w:lineRule="auto"/>
        <w:jc w:val="both"/>
        <w:rPr>
          <w:rFonts w:ascii="Arial" w:eastAsia="Calibri" w:hAnsi="Arial" w:cs="Arial"/>
          <w:b/>
          <w:color w:val="333333"/>
          <w:shd w:val="clear" w:color="auto" w:fill="FFFFFF"/>
        </w:rPr>
      </w:pPr>
      <w:r>
        <w:rPr>
          <w:rFonts w:ascii="Arial" w:eastAsia="Calibri" w:hAnsi="Arial" w:cs="Arial"/>
          <w:b/>
        </w:rPr>
        <w:t>10</w:t>
      </w:r>
      <w:r w:rsidRPr="00E66CC1">
        <w:rPr>
          <w:rFonts w:ascii="Arial" w:eastAsia="Calibri" w:hAnsi="Arial" w:cs="Arial"/>
          <w:b/>
        </w:rPr>
        <w:t xml:space="preserve">. </w:t>
      </w:r>
      <w:r w:rsidRPr="00E66CC1">
        <w:rPr>
          <w:rFonts w:ascii="Arial" w:eastAsia="Calibri" w:hAnsi="Arial" w:cs="Arial"/>
          <w:b/>
          <w:color w:val="333333"/>
          <w:shd w:val="clear" w:color="auto" w:fill="FFFFFF"/>
        </w:rPr>
        <w:t>Is there a more convenient and/or closer pharmacy that you don’t use?</w:t>
      </w:r>
      <w:r>
        <w:rPr>
          <w:rFonts w:ascii="Arial" w:eastAsia="Calibri" w:hAnsi="Arial" w:cs="Arial"/>
          <w:b/>
          <w:color w:val="333333"/>
          <w:shd w:val="clear" w:color="auto" w:fill="FFFFFF"/>
        </w:rPr>
        <w:t xml:space="preserve"> Please tick one.</w:t>
      </w:r>
    </w:p>
    <w:p w14:paraId="0FD6B282" w14:textId="77777777" w:rsidR="008A1FE5" w:rsidRPr="00E66CC1" w:rsidRDefault="008A1FE5" w:rsidP="00DC54F7">
      <w:pPr>
        <w:spacing w:after="0" w:line="240" w:lineRule="auto"/>
        <w:jc w:val="both"/>
        <w:rPr>
          <w:rFonts w:ascii="Arial" w:eastAsia="Calibri" w:hAnsi="Arial" w:cs="Arial"/>
          <w:b/>
          <w:color w:val="333333"/>
          <w:shd w:val="clear" w:color="auto" w:fill="FFFFFF"/>
        </w:rPr>
      </w:pPr>
    </w:p>
    <w:p w14:paraId="3A8AE43E" w14:textId="77777777" w:rsidR="008A1FE5" w:rsidRPr="00E66CC1" w:rsidRDefault="008A1FE5" w:rsidP="00DC54F7">
      <w:pPr>
        <w:numPr>
          <w:ilvl w:val="0"/>
          <w:numId w:val="188"/>
        </w:numPr>
        <w:spacing w:after="0" w:line="240" w:lineRule="auto"/>
        <w:ind w:left="709" w:hanging="283"/>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Yes</w:t>
      </w:r>
    </w:p>
    <w:p w14:paraId="7D62EF25" w14:textId="77777777" w:rsidR="008A1FE5" w:rsidRPr="00E66CC1" w:rsidRDefault="008A1FE5" w:rsidP="00DC54F7">
      <w:pPr>
        <w:numPr>
          <w:ilvl w:val="0"/>
          <w:numId w:val="188"/>
        </w:numPr>
        <w:spacing w:after="0" w:line="240" w:lineRule="auto"/>
        <w:ind w:left="709" w:hanging="283"/>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No</w:t>
      </w:r>
      <w:r>
        <w:rPr>
          <w:rFonts w:ascii="Arial" w:eastAsia="Calibri" w:hAnsi="Arial" w:cs="Arial"/>
          <w:color w:val="333333"/>
          <w:shd w:val="clear" w:color="auto" w:fill="FFFFFF"/>
        </w:rPr>
        <w:t xml:space="preserve"> (go to question 12)</w:t>
      </w:r>
    </w:p>
    <w:p w14:paraId="577D495D" w14:textId="77777777" w:rsidR="008A1FE5" w:rsidRPr="00E66CC1" w:rsidRDefault="008A1FE5" w:rsidP="00DC54F7">
      <w:pPr>
        <w:numPr>
          <w:ilvl w:val="0"/>
          <w:numId w:val="185"/>
        </w:numPr>
        <w:spacing w:after="0" w:line="240" w:lineRule="auto"/>
        <w:ind w:left="709" w:hanging="283"/>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Don’t know</w:t>
      </w:r>
      <w:r>
        <w:rPr>
          <w:rFonts w:ascii="Arial" w:eastAsia="Calibri" w:hAnsi="Arial" w:cs="Arial"/>
          <w:color w:val="333333"/>
          <w:shd w:val="clear" w:color="auto" w:fill="FFFFFF"/>
        </w:rPr>
        <w:t xml:space="preserve"> (go to question 12)</w:t>
      </w:r>
    </w:p>
    <w:p w14:paraId="7C74566A" w14:textId="77777777" w:rsidR="008A1FE5" w:rsidRPr="00E66CC1" w:rsidRDefault="008A1FE5" w:rsidP="00DC54F7">
      <w:pPr>
        <w:spacing w:after="0" w:line="240" w:lineRule="auto"/>
        <w:jc w:val="both"/>
        <w:rPr>
          <w:rFonts w:ascii="Arial" w:eastAsia="Calibri" w:hAnsi="Arial" w:cs="Arial"/>
          <w:color w:val="333333"/>
          <w:shd w:val="clear" w:color="auto" w:fill="FFFFFF"/>
        </w:rPr>
      </w:pPr>
    </w:p>
    <w:p w14:paraId="1624145A" w14:textId="77777777" w:rsidR="008A1FE5" w:rsidRPr="00E66CC1" w:rsidRDefault="008A1FE5" w:rsidP="00DC54F7">
      <w:pPr>
        <w:spacing w:after="0" w:line="240" w:lineRule="auto"/>
        <w:jc w:val="both"/>
        <w:rPr>
          <w:rFonts w:ascii="Arial" w:eastAsia="Calibri" w:hAnsi="Arial" w:cs="Arial"/>
          <w:b/>
          <w:color w:val="333333"/>
          <w:shd w:val="clear" w:color="auto" w:fill="FFFFFF"/>
        </w:rPr>
      </w:pPr>
      <w:r w:rsidRPr="00E66CC1">
        <w:rPr>
          <w:rFonts w:ascii="Arial" w:eastAsia="Calibri" w:hAnsi="Arial" w:cs="Arial"/>
          <w:b/>
          <w:color w:val="333333"/>
          <w:shd w:val="clear" w:color="auto" w:fill="FFFFFF"/>
        </w:rPr>
        <w:lastRenderedPageBreak/>
        <w:t>1</w:t>
      </w:r>
      <w:r>
        <w:rPr>
          <w:rFonts w:ascii="Arial" w:eastAsia="Calibri" w:hAnsi="Arial" w:cs="Arial"/>
          <w:b/>
          <w:color w:val="333333"/>
          <w:shd w:val="clear" w:color="auto" w:fill="FFFFFF"/>
        </w:rPr>
        <w:t>1</w:t>
      </w:r>
      <w:r w:rsidRPr="00E66CC1">
        <w:rPr>
          <w:rFonts w:ascii="Arial" w:eastAsia="Calibri" w:hAnsi="Arial" w:cs="Arial"/>
          <w:b/>
          <w:color w:val="333333"/>
          <w:shd w:val="clear" w:color="auto" w:fill="FFFFFF"/>
        </w:rPr>
        <w:t xml:space="preserve">. ...and if you have answered yes to question </w:t>
      </w:r>
      <w:r>
        <w:rPr>
          <w:rFonts w:ascii="Arial" w:eastAsia="Calibri" w:hAnsi="Arial" w:cs="Arial"/>
          <w:b/>
          <w:color w:val="333333"/>
          <w:shd w:val="clear" w:color="auto" w:fill="FFFFFF"/>
        </w:rPr>
        <w:t>10</w:t>
      </w:r>
      <w:r w:rsidRPr="00E66CC1">
        <w:rPr>
          <w:rFonts w:ascii="Arial" w:eastAsia="Calibri" w:hAnsi="Arial" w:cs="Arial"/>
          <w:b/>
          <w:color w:val="333333"/>
          <w:shd w:val="clear" w:color="auto" w:fill="FFFFFF"/>
        </w:rPr>
        <w:t>, please could you tell us why you do not use that pharmacy?</w:t>
      </w:r>
      <w:r>
        <w:rPr>
          <w:rFonts w:ascii="Arial" w:eastAsia="Calibri" w:hAnsi="Arial" w:cs="Arial"/>
          <w:b/>
          <w:color w:val="333333"/>
          <w:shd w:val="clear" w:color="auto" w:fill="FFFFFF"/>
        </w:rPr>
        <w:t xml:space="preserve"> Please tick all that apply.</w:t>
      </w:r>
    </w:p>
    <w:p w14:paraId="012D6D48" w14:textId="77777777" w:rsidR="008A1FE5" w:rsidRPr="00E66CC1" w:rsidRDefault="008A1FE5" w:rsidP="00DC54F7">
      <w:pPr>
        <w:spacing w:after="0" w:line="240" w:lineRule="auto"/>
        <w:jc w:val="both"/>
        <w:rPr>
          <w:rFonts w:ascii="Arial" w:eastAsia="Calibri" w:hAnsi="Arial" w:cs="Arial"/>
          <w:b/>
          <w:color w:val="333333"/>
          <w:shd w:val="clear" w:color="auto" w:fill="FFFFFF"/>
        </w:rPr>
      </w:pPr>
    </w:p>
    <w:p w14:paraId="46C6198E" w14:textId="77777777" w:rsidR="008A1FE5" w:rsidRPr="00E66CC1" w:rsidRDefault="008A1FE5" w:rsidP="00DC54F7">
      <w:pPr>
        <w:numPr>
          <w:ilvl w:val="0"/>
          <w:numId w:val="177"/>
        </w:numPr>
        <w:spacing w:after="0" w:line="240" w:lineRule="auto"/>
        <w:contextualSpacing/>
        <w:jc w:val="both"/>
        <w:rPr>
          <w:rFonts w:ascii="Calibri" w:eastAsia="Calibri" w:hAnsi="Calibri" w:cs="Times New Roman"/>
        </w:rPr>
      </w:pPr>
      <w:r w:rsidRPr="00E66CC1">
        <w:rPr>
          <w:rFonts w:ascii="Arial" w:eastAsia="Calibri" w:hAnsi="Arial" w:cs="Arial"/>
          <w:color w:val="333333"/>
          <w:sz w:val="21"/>
          <w:szCs w:val="21"/>
          <w:shd w:val="clear" w:color="auto" w:fill="FFFFFF"/>
        </w:rPr>
        <w:t>It is not easy to park at the pharmacy</w:t>
      </w:r>
    </w:p>
    <w:p w14:paraId="38CF317B" w14:textId="77777777" w:rsidR="008A1FE5" w:rsidRPr="00E66CC1" w:rsidRDefault="008A1FE5" w:rsidP="00DC54F7">
      <w:pPr>
        <w:numPr>
          <w:ilvl w:val="0"/>
          <w:numId w:val="177"/>
        </w:numPr>
        <w:spacing w:after="0" w:line="240" w:lineRule="auto"/>
        <w:contextualSpacing/>
        <w:jc w:val="both"/>
        <w:rPr>
          <w:rFonts w:ascii="Calibri" w:eastAsia="Calibri" w:hAnsi="Calibri" w:cs="Times New Roman"/>
        </w:rPr>
      </w:pPr>
      <w:r w:rsidRPr="00E66CC1">
        <w:rPr>
          <w:rFonts w:ascii="Arial" w:eastAsia="Calibri" w:hAnsi="Arial" w:cs="Arial"/>
          <w:color w:val="333333"/>
          <w:sz w:val="21"/>
          <w:szCs w:val="21"/>
          <w:shd w:val="clear" w:color="auto" w:fill="FFFFFF"/>
        </w:rPr>
        <w:t>I have had a bad experience in the past</w:t>
      </w:r>
    </w:p>
    <w:p w14:paraId="7FAA1944" w14:textId="77777777" w:rsidR="008A1FE5" w:rsidRPr="00E66CC1" w:rsidRDefault="008A1FE5" w:rsidP="00DC54F7">
      <w:pPr>
        <w:numPr>
          <w:ilvl w:val="0"/>
          <w:numId w:val="177"/>
        </w:numPr>
        <w:spacing w:after="0" w:line="240" w:lineRule="auto"/>
        <w:contextualSpacing/>
        <w:jc w:val="both"/>
        <w:rPr>
          <w:rFonts w:ascii="Calibri" w:eastAsia="Calibri" w:hAnsi="Calibri" w:cs="Times New Roman"/>
        </w:rPr>
      </w:pPr>
      <w:r w:rsidRPr="00E66CC1">
        <w:rPr>
          <w:rFonts w:ascii="Arial" w:eastAsia="Calibri" w:hAnsi="Arial" w:cs="Arial"/>
          <w:color w:val="333333"/>
          <w:sz w:val="21"/>
          <w:szCs w:val="21"/>
          <w:shd w:val="clear" w:color="auto" w:fill="FFFFFF"/>
        </w:rPr>
        <w:t>The service is too slow</w:t>
      </w:r>
    </w:p>
    <w:p w14:paraId="3B9840E3" w14:textId="77777777" w:rsidR="008A1FE5" w:rsidRPr="00E66CC1" w:rsidRDefault="008A1FE5" w:rsidP="00DC54F7">
      <w:pPr>
        <w:numPr>
          <w:ilvl w:val="0"/>
          <w:numId w:val="177"/>
        </w:numPr>
        <w:spacing w:after="0" w:line="240" w:lineRule="auto"/>
        <w:contextualSpacing/>
        <w:jc w:val="both"/>
        <w:rPr>
          <w:rFonts w:ascii="Calibri" w:eastAsia="Calibri" w:hAnsi="Calibri" w:cs="Times New Roman"/>
        </w:rPr>
      </w:pPr>
      <w:r w:rsidRPr="00E66CC1">
        <w:rPr>
          <w:rFonts w:ascii="Arial" w:eastAsia="Calibri" w:hAnsi="Arial" w:cs="Arial"/>
          <w:color w:val="333333"/>
          <w:sz w:val="21"/>
          <w:szCs w:val="21"/>
          <w:shd w:val="clear" w:color="auto" w:fill="FFFFFF"/>
        </w:rPr>
        <w:t>The staff are always changing</w:t>
      </w:r>
    </w:p>
    <w:p w14:paraId="5AFE0F9E" w14:textId="77777777" w:rsidR="008A1FE5" w:rsidRPr="00E66CC1" w:rsidRDefault="008A1FE5" w:rsidP="00DC54F7">
      <w:pPr>
        <w:numPr>
          <w:ilvl w:val="0"/>
          <w:numId w:val="177"/>
        </w:numPr>
        <w:spacing w:after="0" w:line="240" w:lineRule="auto"/>
        <w:contextualSpacing/>
        <w:jc w:val="both"/>
        <w:rPr>
          <w:rFonts w:ascii="Calibri" w:eastAsia="Calibri" w:hAnsi="Calibri" w:cs="Times New Roman"/>
        </w:rPr>
      </w:pPr>
      <w:r w:rsidRPr="00E66CC1">
        <w:rPr>
          <w:rFonts w:ascii="Arial" w:eastAsia="Calibri" w:hAnsi="Arial" w:cs="Arial"/>
          <w:color w:val="333333"/>
          <w:sz w:val="21"/>
          <w:szCs w:val="21"/>
          <w:shd w:val="clear" w:color="auto" w:fill="FFFFFF"/>
        </w:rPr>
        <w:t>The staff don’t know me</w:t>
      </w:r>
    </w:p>
    <w:p w14:paraId="5FAA015B" w14:textId="77777777" w:rsidR="008A1FE5" w:rsidRPr="00E66CC1" w:rsidRDefault="008A1FE5" w:rsidP="00DC54F7">
      <w:pPr>
        <w:numPr>
          <w:ilvl w:val="0"/>
          <w:numId w:val="177"/>
        </w:numPr>
        <w:spacing w:after="0" w:line="240" w:lineRule="auto"/>
        <w:contextualSpacing/>
        <w:jc w:val="both"/>
        <w:rPr>
          <w:rFonts w:ascii="Calibri" w:eastAsia="Calibri" w:hAnsi="Calibri" w:cs="Times New Roman"/>
        </w:rPr>
      </w:pPr>
      <w:r w:rsidRPr="00E66CC1">
        <w:rPr>
          <w:rFonts w:ascii="Arial" w:eastAsia="Calibri" w:hAnsi="Arial" w:cs="Arial"/>
          <w:color w:val="333333"/>
          <w:sz w:val="21"/>
          <w:szCs w:val="21"/>
          <w:shd w:val="clear" w:color="auto" w:fill="FFFFFF"/>
        </w:rPr>
        <w:t>I know the staff and would prefer them not to know what medicines I am taking</w:t>
      </w:r>
    </w:p>
    <w:p w14:paraId="1802DB8C" w14:textId="77777777" w:rsidR="008A1FE5" w:rsidRPr="00E66CC1" w:rsidRDefault="008A1FE5" w:rsidP="00DC54F7">
      <w:pPr>
        <w:numPr>
          <w:ilvl w:val="0"/>
          <w:numId w:val="177"/>
        </w:numPr>
        <w:spacing w:after="0" w:line="240" w:lineRule="auto"/>
        <w:contextualSpacing/>
        <w:jc w:val="both"/>
        <w:rPr>
          <w:rFonts w:ascii="Calibri" w:eastAsia="Calibri" w:hAnsi="Calibri" w:cs="Times New Roman"/>
        </w:rPr>
      </w:pPr>
      <w:r w:rsidRPr="00E66CC1">
        <w:rPr>
          <w:rFonts w:ascii="Arial" w:eastAsia="Calibri" w:hAnsi="Arial" w:cs="Arial"/>
          <w:color w:val="333333"/>
          <w:sz w:val="21"/>
          <w:szCs w:val="21"/>
          <w:shd w:val="clear" w:color="auto" w:fill="FFFFFF"/>
        </w:rPr>
        <w:t>They don’t have what I need in stock</w:t>
      </w:r>
    </w:p>
    <w:p w14:paraId="40AD5B62" w14:textId="77777777" w:rsidR="008A1FE5" w:rsidRPr="00E66CC1" w:rsidRDefault="008A1FE5" w:rsidP="00DC54F7">
      <w:pPr>
        <w:numPr>
          <w:ilvl w:val="0"/>
          <w:numId w:val="177"/>
        </w:numPr>
        <w:spacing w:after="0" w:line="240" w:lineRule="auto"/>
        <w:contextualSpacing/>
        <w:jc w:val="both"/>
        <w:rPr>
          <w:rFonts w:ascii="Calibri" w:eastAsia="Calibri" w:hAnsi="Calibri" w:cs="Times New Roman"/>
        </w:rPr>
      </w:pPr>
      <w:r w:rsidRPr="00E66CC1">
        <w:rPr>
          <w:rFonts w:ascii="Arial" w:eastAsia="Calibri" w:hAnsi="Arial" w:cs="Arial"/>
          <w:color w:val="333333"/>
          <w:sz w:val="21"/>
          <w:szCs w:val="21"/>
          <w:shd w:val="clear" w:color="auto" w:fill="FFFFFF"/>
        </w:rPr>
        <w:t>The pharmacy does</w:t>
      </w:r>
      <w:r>
        <w:rPr>
          <w:rFonts w:ascii="Arial" w:eastAsia="Calibri" w:hAnsi="Arial" w:cs="Arial"/>
          <w:color w:val="333333"/>
          <w:sz w:val="21"/>
          <w:szCs w:val="21"/>
          <w:shd w:val="clear" w:color="auto" w:fill="FFFFFF"/>
        </w:rPr>
        <w:t xml:space="preserve"> </w:t>
      </w:r>
      <w:r w:rsidRPr="00E66CC1">
        <w:rPr>
          <w:rFonts w:ascii="Arial" w:eastAsia="Calibri" w:hAnsi="Arial" w:cs="Arial"/>
          <w:color w:val="333333"/>
          <w:sz w:val="21"/>
          <w:szCs w:val="21"/>
          <w:shd w:val="clear" w:color="auto" w:fill="FFFFFF"/>
        </w:rPr>
        <w:t>n</w:t>
      </w:r>
      <w:r>
        <w:rPr>
          <w:rFonts w:ascii="Arial" w:eastAsia="Calibri" w:hAnsi="Arial" w:cs="Arial"/>
          <w:color w:val="333333"/>
          <w:sz w:val="21"/>
          <w:szCs w:val="21"/>
          <w:shd w:val="clear" w:color="auto" w:fill="FFFFFF"/>
        </w:rPr>
        <w:t>o</w:t>
      </w:r>
      <w:r w:rsidRPr="00E66CC1">
        <w:rPr>
          <w:rFonts w:ascii="Arial" w:eastAsia="Calibri" w:hAnsi="Arial" w:cs="Arial"/>
          <w:color w:val="333333"/>
          <w:sz w:val="21"/>
          <w:szCs w:val="21"/>
          <w:shd w:val="clear" w:color="auto" w:fill="FFFFFF"/>
        </w:rPr>
        <w:t>t deliver medicines</w:t>
      </w:r>
    </w:p>
    <w:p w14:paraId="55978A0E" w14:textId="77777777" w:rsidR="008A1FE5" w:rsidRPr="00E66CC1" w:rsidRDefault="008A1FE5" w:rsidP="00DC54F7">
      <w:pPr>
        <w:numPr>
          <w:ilvl w:val="0"/>
          <w:numId w:val="177"/>
        </w:numPr>
        <w:spacing w:after="0" w:line="240" w:lineRule="auto"/>
        <w:contextualSpacing/>
        <w:jc w:val="both"/>
        <w:rPr>
          <w:rFonts w:ascii="Calibri" w:eastAsia="Calibri" w:hAnsi="Calibri" w:cs="Times New Roman"/>
        </w:rPr>
      </w:pPr>
      <w:r w:rsidRPr="00E66CC1">
        <w:rPr>
          <w:rFonts w:ascii="Arial" w:eastAsia="Calibri" w:hAnsi="Arial" w:cs="Arial"/>
          <w:color w:val="333333"/>
          <w:sz w:val="21"/>
          <w:szCs w:val="21"/>
          <w:shd w:val="clear" w:color="auto" w:fill="FFFFFF"/>
        </w:rPr>
        <w:t>There is not enough privacy</w:t>
      </w:r>
    </w:p>
    <w:p w14:paraId="3198118E" w14:textId="77777777" w:rsidR="008A1FE5" w:rsidRPr="00E66CC1" w:rsidRDefault="008A1FE5" w:rsidP="00DC54F7">
      <w:pPr>
        <w:numPr>
          <w:ilvl w:val="0"/>
          <w:numId w:val="177"/>
        </w:numPr>
        <w:spacing w:after="0" w:line="240" w:lineRule="auto"/>
        <w:contextualSpacing/>
        <w:jc w:val="both"/>
        <w:rPr>
          <w:rFonts w:ascii="Calibri" w:eastAsia="Calibri" w:hAnsi="Calibri" w:cs="Times New Roman"/>
        </w:rPr>
      </w:pPr>
      <w:r w:rsidRPr="00E66CC1">
        <w:rPr>
          <w:rFonts w:ascii="Arial" w:eastAsia="Calibri" w:hAnsi="Arial" w:cs="Arial"/>
          <w:color w:val="333333"/>
          <w:sz w:val="21"/>
          <w:szCs w:val="21"/>
          <w:shd w:val="clear" w:color="auto" w:fill="FFFFFF"/>
        </w:rPr>
        <w:t>It’s not open when I need it</w:t>
      </w:r>
    </w:p>
    <w:p w14:paraId="31E63F97" w14:textId="77777777" w:rsidR="008A1FE5" w:rsidRPr="00E66CC1" w:rsidRDefault="008A1FE5" w:rsidP="00DC54F7">
      <w:pPr>
        <w:numPr>
          <w:ilvl w:val="0"/>
          <w:numId w:val="177"/>
        </w:numPr>
        <w:spacing w:after="0" w:line="240" w:lineRule="auto"/>
        <w:contextualSpacing/>
        <w:jc w:val="both"/>
        <w:rPr>
          <w:rFonts w:ascii="Calibri" w:eastAsia="Calibri" w:hAnsi="Calibri" w:cs="Times New Roman"/>
        </w:rPr>
      </w:pPr>
      <w:r w:rsidRPr="00E66CC1">
        <w:rPr>
          <w:rFonts w:ascii="Arial" w:eastAsia="Calibri" w:hAnsi="Arial" w:cs="Arial"/>
          <w:color w:val="333333"/>
          <w:sz w:val="21"/>
          <w:szCs w:val="21"/>
          <w:shd w:val="clear" w:color="auto" w:fill="FFFFFF"/>
        </w:rPr>
        <w:t>It’s not wheelchair/baby buggy friendly</w:t>
      </w:r>
    </w:p>
    <w:p w14:paraId="692256E0" w14:textId="77777777" w:rsidR="008A1FE5" w:rsidRPr="00E66CC1" w:rsidRDefault="008A1FE5" w:rsidP="00DC54F7">
      <w:pPr>
        <w:numPr>
          <w:ilvl w:val="0"/>
          <w:numId w:val="177"/>
        </w:numPr>
        <w:spacing w:after="0" w:line="240" w:lineRule="auto"/>
        <w:contextualSpacing/>
        <w:jc w:val="both"/>
        <w:rPr>
          <w:rFonts w:ascii="Calibri" w:eastAsia="Calibri" w:hAnsi="Calibri" w:cs="Times New Roman"/>
        </w:rPr>
      </w:pPr>
      <w:r w:rsidRPr="00E66CC1">
        <w:rPr>
          <w:rFonts w:ascii="Arial" w:eastAsia="Calibri" w:hAnsi="Arial" w:cs="Arial"/>
          <w:color w:val="333333"/>
          <w:sz w:val="21"/>
          <w:szCs w:val="21"/>
          <w:shd w:val="clear" w:color="auto" w:fill="FFFFFF"/>
        </w:rPr>
        <w:t>Other [text box]</w:t>
      </w:r>
    </w:p>
    <w:p w14:paraId="656BB31A" w14:textId="77777777" w:rsidR="008A1FE5" w:rsidRDefault="008A1FE5" w:rsidP="00DC54F7">
      <w:pPr>
        <w:spacing w:after="0" w:line="240" w:lineRule="auto"/>
        <w:jc w:val="both"/>
        <w:rPr>
          <w:rFonts w:ascii="Calibri" w:eastAsia="Calibri" w:hAnsi="Calibri" w:cs="Times New Roman"/>
        </w:rPr>
      </w:pPr>
    </w:p>
    <w:p w14:paraId="6FC2E394" w14:textId="77777777" w:rsidR="008A1FE5" w:rsidRPr="00E66CC1" w:rsidRDefault="008A1FE5" w:rsidP="00DC54F7">
      <w:pPr>
        <w:spacing w:after="0" w:line="240" w:lineRule="auto"/>
        <w:jc w:val="both"/>
        <w:rPr>
          <w:rFonts w:ascii="Calibri" w:eastAsia="Calibri" w:hAnsi="Calibri" w:cs="Times New Roman"/>
        </w:rPr>
      </w:pPr>
    </w:p>
    <w:p w14:paraId="22A19DA1" w14:textId="77777777" w:rsidR="008A1FE5" w:rsidRPr="00E66CC1" w:rsidRDefault="008A1FE5" w:rsidP="00DC54F7">
      <w:pPr>
        <w:spacing w:after="0" w:line="240" w:lineRule="auto"/>
        <w:jc w:val="both"/>
        <w:rPr>
          <w:rFonts w:ascii="Arial" w:eastAsia="Calibri" w:hAnsi="Arial" w:cs="Arial"/>
          <w:b/>
          <w:sz w:val="28"/>
          <w:szCs w:val="28"/>
        </w:rPr>
      </w:pPr>
      <w:r w:rsidRPr="00E66CC1">
        <w:rPr>
          <w:rFonts w:ascii="Arial" w:eastAsia="Calibri" w:hAnsi="Arial" w:cs="Arial"/>
          <w:b/>
          <w:sz w:val="28"/>
          <w:szCs w:val="28"/>
        </w:rPr>
        <w:t>Travelling to a pharmacy</w:t>
      </w:r>
    </w:p>
    <w:p w14:paraId="2D28DC84" w14:textId="77777777" w:rsidR="008A1FE5" w:rsidRPr="00E66CC1" w:rsidRDefault="008A1FE5" w:rsidP="00DC54F7">
      <w:pPr>
        <w:spacing w:after="0" w:line="240" w:lineRule="auto"/>
        <w:jc w:val="both"/>
        <w:rPr>
          <w:rFonts w:ascii="Calibri" w:eastAsia="Calibri" w:hAnsi="Calibri" w:cs="Times New Roman"/>
        </w:rPr>
      </w:pPr>
    </w:p>
    <w:p w14:paraId="13A0822E" w14:textId="77777777" w:rsidR="008A1FE5" w:rsidRPr="00E66CC1" w:rsidRDefault="008A1FE5" w:rsidP="00DC54F7">
      <w:pPr>
        <w:spacing w:after="0" w:line="240" w:lineRule="auto"/>
        <w:jc w:val="both"/>
        <w:rPr>
          <w:rFonts w:ascii="Arial" w:eastAsia="Calibri" w:hAnsi="Arial" w:cs="Arial"/>
          <w:b/>
          <w:color w:val="333333"/>
          <w:shd w:val="clear" w:color="auto" w:fill="FFFFFF"/>
        </w:rPr>
      </w:pPr>
      <w:r w:rsidRPr="00E66CC1">
        <w:rPr>
          <w:rFonts w:ascii="Arial" w:eastAsia="Calibri" w:hAnsi="Arial" w:cs="Arial"/>
          <w:b/>
        </w:rPr>
        <w:t>1</w:t>
      </w:r>
      <w:r>
        <w:rPr>
          <w:rFonts w:ascii="Arial" w:eastAsia="Calibri" w:hAnsi="Arial" w:cs="Arial"/>
          <w:b/>
        </w:rPr>
        <w:t>2</w:t>
      </w:r>
      <w:r w:rsidRPr="00E66CC1">
        <w:rPr>
          <w:rFonts w:ascii="Arial" w:eastAsia="Calibri" w:hAnsi="Arial" w:cs="Arial"/>
          <w:b/>
        </w:rPr>
        <w:t xml:space="preserve">. </w:t>
      </w:r>
      <w:r w:rsidRPr="00E66CC1">
        <w:rPr>
          <w:rFonts w:ascii="Arial" w:eastAsia="Calibri" w:hAnsi="Arial" w:cs="Arial"/>
          <w:b/>
          <w:color w:val="333333"/>
          <w:shd w:val="clear" w:color="auto" w:fill="FFFFFF"/>
        </w:rPr>
        <w:t>If you go to the pharmacy by yourself or with someone, how do you usually get there?</w:t>
      </w:r>
      <w:r>
        <w:rPr>
          <w:rFonts w:ascii="Arial" w:eastAsia="Calibri" w:hAnsi="Arial" w:cs="Arial"/>
          <w:b/>
          <w:color w:val="333333"/>
          <w:shd w:val="clear" w:color="auto" w:fill="FFFFFF"/>
        </w:rPr>
        <w:t xml:space="preserve"> Please tick one.</w:t>
      </w:r>
    </w:p>
    <w:p w14:paraId="0FAEEA77" w14:textId="77777777" w:rsidR="008A1FE5" w:rsidRPr="00E66CC1" w:rsidRDefault="008A1FE5" w:rsidP="00DC54F7">
      <w:pPr>
        <w:spacing w:after="0" w:line="240" w:lineRule="auto"/>
        <w:jc w:val="both"/>
        <w:rPr>
          <w:rFonts w:ascii="Arial" w:eastAsia="Calibri" w:hAnsi="Arial" w:cs="Arial"/>
          <w:b/>
          <w:color w:val="333333"/>
          <w:shd w:val="clear" w:color="auto" w:fill="FFFFFF"/>
        </w:rPr>
      </w:pPr>
    </w:p>
    <w:p w14:paraId="4465A335" w14:textId="77777777" w:rsidR="008A1FE5" w:rsidRPr="00E66CC1" w:rsidRDefault="008A1FE5" w:rsidP="00DC54F7">
      <w:pPr>
        <w:numPr>
          <w:ilvl w:val="0"/>
          <w:numId w:val="178"/>
        </w:numPr>
        <w:spacing w:after="0" w:line="240" w:lineRule="auto"/>
        <w:contextualSpacing/>
        <w:jc w:val="both"/>
        <w:rPr>
          <w:rFonts w:ascii="Arial" w:eastAsia="Calibri" w:hAnsi="Arial" w:cs="Arial"/>
        </w:rPr>
      </w:pPr>
      <w:r w:rsidRPr="00E66CC1">
        <w:rPr>
          <w:rFonts w:ascii="Arial" w:eastAsia="Calibri" w:hAnsi="Arial" w:cs="Arial"/>
        </w:rPr>
        <w:t>On foot</w:t>
      </w:r>
      <w:r>
        <w:rPr>
          <w:rFonts w:ascii="Arial" w:eastAsia="Calibri" w:hAnsi="Arial" w:cs="Arial"/>
        </w:rPr>
        <w:t>/wheelchair</w:t>
      </w:r>
    </w:p>
    <w:p w14:paraId="0A330924" w14:textId="77777777" w:rsidR="008A1FE5" w:rsidRPr="00E66CC1" w:rsidRDefault="008A1FE5" w:rsidP="00DC54F7">
      <w:pPr>
        <w:numPr>
          <w:ilvl w:val="0"/>
          <w:numId w:val="178"/>
        </w:numPr>
        <w:spacing w:after="0" w:line="240" w:lineRule="auto"/>
        <w:contextualSpacing/>
        <w:jc w:val="both"/>
        <w:rPr>
          <w:rFonts w:ascii="Arial" w:eastAsia="Calibri" w:hAnsi="Arial" w:cs="Arial"/>
        </w:rPr>
      </w:pPr>
      <w:r w:rsidRPr="00E66CC1">
        <w:rPr>
          <w:rFonts w:ascii="Arial" w:eastAsia="Calibri" w:hAnsi="Arial" w:cs="Arial"/>
        </w:rPr>
        <w:t>By bus</w:t>
      </w:r>
    </w:p>
    <w:p w14:paraId="62F2583B" w14:textId="77777777" w:rsidR="008A1FE5" w:rsidRPr="00E66CC1" w:rsidRDefault="008A1FE5" w:rsidP="00DC54F7">
      <w:pPr>
        <w:numPr>
          <w:ilvl w:val="0"/>
          <w:numId w:val="178"/>
        </w:numPr>
        <w:spacing w:after="0" w:line="240" w:lineRule="auto"/>
        <w:contextualSpacing/>
        <w:jc w:val="both"/>
        <w:rPr>
          <w:rFonts w:ascii="Arial" w:eastAsia="Calibri" w:hAnsi="Arial" w:cs="Arial"/>
        </w:rPr>
      </w:pPr>
      <w:r w:rsidRPr="00E66CC1">
        <w:rPr>
          <w:rFonts w:ascii="Arial" w:eastAsia="Calibri" w:hAnsi="Arial" w:cs="Arial"/>
        </w:rPr>
        <w:t>By car</w:t>
      </w:r>
    </w:p>
    <w:p w14:paraId="062FCB72" w14:textId="77777777" w:rsidR="008A1FE5" w:rsidRPr="00E66CC1" w:rsidRDefault="008A1FE5" w:rsidP="00DC54F7">
      <w:pPr>
        <w:numPr>
          <w:ilvl w:val="0"/>
          <w:numId w:val="178"/>
        </w:numPr>
        <w:spacing w:after="0" w:line="240" w:lineRule="auto"/>
        <w:contextualSpacing/>
        <w:jc w:val="both"/>
        <w:rPr>
          <w:rFonts w:ascii="Arial" w:eastAsia="Calibri" w:hAnsi="Arial" w:cs="Arial"/>
        </w:rPr>
      </w:pPr>
      <w:r w:rsidRPr="00E66CC1">
        <w:rPr>
          <w:rFonts w:ascii="Arial" w:eastAsia="Calibri" w:hAnsi="Arial" w:cs="Arial"/>
        </w:rPr>
        <w:t>By bike</w:t>
      </w:r>
    </w:p>
    <w:p w14:paraId="729C7920" w14:textId="77777777" w:rsidR="008A1FE5" w:rsidRPr="00E66CC1" w:rsidRDefault="008A1FE5" w:rsidP="00DC54F7">
      <w:pPr>
        <w:numPr>
          <w:ilvl w:val="0"/>
          <w:numId w:val="178"/>
        </w:numPr>
        <w:spacing w:after="0" w:line="240" w:lineRule="auto"/>
        <w:contextualSpacing/>
        <w:jc w:val="both"/>
        <w:rPr>
          <w:rFonts w:ascii="Arial" w:eastAsia="Calibri" w:hAnsi="Arial" w:cs="Arial"/>
        </w:rPr>
      </w:pPr>
      <w:r w:rsidRPr="00E66CC1">
        <w:rPr>
          <w:rFonts w:ascii="Arial" w:eastAsia="Calibri" w:hAnsi="Arial" w:cs="Arial"/>
        </w:rPr>
        <w:t>By taxi</w:t>
      </w:r>
    </w:p>
    <w:p w14:paraId="77DFC0F9" w14:textId="77777777" w:rsidR="008A1FE5" w:rsidRPr="00E66CC1" w:rsidRDefault="008A1FE5" w:rsidP="00DC54F7">
      <w:pPr>
        <w:numPr>
          <w:ilvl w:val="0"/>
          <w:numId w:val="178"/>
        </w:numPr>
        <w:spacing w:after="0" w:line="240" w:lineRule="auto"/>
        <w:contextualSpacing/>
        <w:jc w:val="both"/>
        <w:rPr>
          <w:rFonts w:ascii="Arial" w:eastAsia="Calibri" w:hAnsi="Arial" w:cs="Arial"/>
        </w:rPr>
      </w:pPr>
      <w:r>
        <w:rPr>
          <w:rFonts w:ascii="Arial" w:eastAsia="Calibri" w:hAnsi="Arial" w:cs="Arial"/>
        </w:rPr>
        <w:t>Other [</w:t>
      </w:r>
      <w:r w:rsidRPr="00E66CC1">
        <w:rPr>
          <w:rFonts w:ascii="Arial" w:eastAsia="Calibri" w:hAnsi="Arial" w:cs="Arial"/>
        </w:rPr>
        <w:t>text box]</w:t>
      </w:r>
    </w:p>
    <w:p w14:paraId="5DFB1681" w14:textId="77777777" w:rsidR="008A1FE5" w:rsidRPr="00593738" w:rsidRDefault="008A1FE5" w:rsidP="00DC54F7">
      <w:pPr>
        <w:pStyle w:val="ListParagraph"/>
        <w:numPr>
          <w:ilvl w:val="0"/>
          <w:numId w:val="178"/>
        </w:numPr>
        <w:spacing w:after="0" w:line="240" w:lineRule="auto"/>
        <w:jc w:val="both"/>
        <w:rPr>
          <w:rFonts w:ascii="Arial" w:eastAsia="Calibri" w:hAnsi="Arial" w:cs="Arial"/>
        </w:rPr>
      </w:pPr>
      <w:r w:rsidRPr="00593738">
        <w:rPr>
          <w:rFonts w:ascii="Arial" w:eastAsia="Calibri" w:hAnsi="Arial" w:cs="Arial"/>
        </w:rPr>
        <w:t>Not applicable (go to question 14)</w:t>
      </w:r>
    </w:p>
    <w:p w14:paraId="049B2B0F" w14:textId="77777777" w:rsidR="008A1FE5" w:rsidRPr="00E07D1C" w:rsidRDefault="008A1FE5" w:rsidP="00DC54F7">
      <w:pPr>
        <w:spacing w:after="0" w:line="240" w:lineRule="auto"/>
        <w:ind w:left="720"/>
        <w:contextualSpacing/>
        <w:jc w:val="both"/>
        <w:rPr>
          <w:rFonts w:ascii="Arial" w:eastAsia="Calibri" w:hAnsi="Arial" w:cs="Arial"/>
          <w:highlight w:val="yellow"/>
        </w:rPr>
      </w:pPr>
    </w:p>
    <w:p w14:paraId="4FCF89E8" w14:textId="77777777" w:rsidR="008A1FE5" w:rsidRPr="00E66CC1" w:rsidRDefault="008A1FE5" w:rsidP="00DC54F7">
      <w:pPr>
        <w:spacing w:after="0" w:line="240" w:lineRule="auto"/>
        <w:jc w:val="both"/>
        <w:rPr>
          <w:rFonts w:ascii="Arial" w:eastAsia="Calibri" w:hAnsi="Arial" w:cs="Arial"/>
          <w:b/>
          <w:color w:val="333333"/>
          <w:shd w:val="clear" w:color="auto" w:fill="FFFFFF"/>
        </w:rPr>
      </w:pPr>
      <w:r w:rsidRPr="00E66CC1">
        <w:rPr>
          <w:rFonts w:ascii="Arial" w:eastAsia="Calibri" w:hAnsi="Arial" w:cs="Arial"/>
          <w:b/>
          <w:color w:val="333333"/>
          <w:shd w:val="clear" w:color="auto" w:fill="FFFFFF"/>
        </w:rPr>
        <w:t>1</w:t>
      </w:r>
      <w:r>
        <w:rPr>
          <w:rFonts w:ascii="Arial" w:eastAsia="Calibri" w:hAnsi="Arial" w:cs="Arial"/>
          <w:b/>
          <w:color w:val="333333"/>
          <w:shd w:val="clear" w:color="auto" w:fill="FFFFFF"/>
        </w:rPr>
        <w:t>3</w:t>
      </w:r>
      <w:r w:rsidRPr="00E66CC1">
        <w:rPr>
          <w:rFonts w:ascii="Arial" w:eastAsia="Calibri" w:hAnsi="Arial" w:cs="Arial"/>
          <w:b/>
          <w:color w:val="333333"/>
          <w:shd w:val="clear" w:color="auto" w:fill="FFFFFF"/>
        </w:rPr>
        <w:t>. ...and how long does it usually take to get there?</w:t>
      </w:r>
      <w:r>
        <w:rPr>
          <w:rFonts w:ascii="Arial" w:eastAsia="Calibri" w:hAnsi="Arial" w:cs="Arial"/>
          <w:b/>
          <w:color w:val="333333"/>
          <w:shd w:val="clear" w:color="auto" w:fill="FFFFFF"/>
        </w:rPr>
        <w:t xml:space="preserve"> Please tick one.</w:t>
      </w:r>
    </w:p>
    <w:p w14:paraId="67EA709B" w14:textId="77777777" w:rsidR="008A1FE5" w:rsidRPr="00E66CC1" w:rsidRDefault="008A1FE5" w:rsidP="00DC54F7">
      <w:pPr>
        <w:spacing w:after="0" w:line="240" w:lineRule="auto"/>
        <w:jc w:val="both"/>
        <w:rPr>
          <w:rFonts w:ascii="Arial" w:eastAsia="Calibri" w:hAnsi="Arial" w:cs="Arial"/>
          <w:b/>
          <w:color w:val="333333"/>
          <w:shd w:val="clear" w:color="auto" w:fill="FFFFFF"/>
        </w:rPr>
      </w:pPr>
    </w:p>
    <w:p w14:paraId="27EED6A8" w14:textId="77777777" w:rsidR="008A1FE5" w:rsidRPr="00E66CC1" w:rsidRDefault="008A1FE5" w:rsidP="00DC54F7">
      <w:pPr>
        <w:numPr>
          <w:ilvl w:val="0"/>
          <w:numId w:val="179"/>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Less than 5 minutes</w:t>
      </w:r>
    </w:p>
    <w:p w14:paraId="10ADB789" w14:textId="77777777" w:rsidR="008A1FE5" w:rsidRPr="00E66CC1" w:rsidRDefault="008A1FE5" w:rsidP="00DC54F7">
      <w:pPr>
        <w:numPr>
          <w:ilvl w:val="0"/>
          <w:numId w:val="179"/>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 xml:space="preserve">Between </w:t>
      </w:r>
      <w:r>
        <w:rPr>
          <w:rFonts w:ascii="Arial" w:eastAsia="Calibri" w:hAnsi="Arial" w:cs="Arial"/>
          <w:color w:val="333333"/>
          <w:shd w:val="clear" w:color="auto" w:fill="FFFFFF"/>
        </w:rPr>
        <w:t>5</w:t>
      </w:r>
      <w:r w:rsidRPr="00E66CC1">
        <w:rPr>
          <w:rFonts w:ascii="Arial" w:eastAsia="Calibri" w:hAnsi="Arial" w:cs="Arial"/>
          <w:color w:val="333333"/>
          <w:shd w:val="clear" w:color="auto" w:fill="FFFFFF"/>
        </w:rPr>
        <w:t xml:space="preserve"> and 15 minutes</w:t>
      </w:r>
    </w:p>
    <w:p w14:paraId="7366C7B3" w14:textId="77777777" w:rsidR="008A1FE5" w:rsidRPr="00E66CC1" w:rsidRDefault="008A1FE5" w:rsidP="00DC54F7">
      <w:pPr>
        <w:numPr>
          <w:ilvl w:val="0"/>
          <w:numId w:val="179"/>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More than 15 minutes but less than 20 minutes</w:t>
      </w:r>
    </w:p>
    <w:p w14:paraId="4908226D" w14:textId="77777777" w:rsidR="008A1FE5" w:rsidRPr="00E66CC1" w:rsidRDefault="008A1FE5" w:rsidP="00DC54F7">
      <w:pPr>
        <w:numPr>
          <w:ilvl w:val="0"/>
          <w:numId w:val="179"/>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More than 20 minutes</w:t>
      </w:r>
    </w:p>
    <w:p w14:paraId="581D87F0" w14:textId="77777777" w:rsidR="008A1FE5" w:rsidRDefault="008A1FE5" w:rsidP="00DC54F7">
      <w:pPr>
        <w:spacing w:after="0" w:line="240" w:lineRule="auto"/>
        <w:jc w:val="both"/>
        <w:rPr>
          <w:rFonts w:ascii="Arial" w:eastAsia="Calibri" w:hAnsi="Arial" w:cs="Arial"/>
          <w:color w:val="333333"/>
          <w:shd w:val="clear" w:color="auto" w:fill="FFFFFF"/>
        </w:rPr>
      </w:pPr>
    </w:p>
    <w:p w14:paraId="7FF4E1F1" w14:textId="77777777" w:rsidR="008A1FE5" w:rsidRPr="008B4282" w:rsidRDefault="008A1FE5" w:rsidP="00DC54F7">
      <w:pPr>
        <w:spacing w:after="0" w:line="240" w:lineRule="auto"/>
        <w:jc w:val="both"/>
        <w:rPr>
          <w:rFonts w:ascii="Arial" w:eastAsia="Calibri" w:hAnsi="Arial" w:cs="Arial"/>
          <w:b/>
          <w:color w:val="333333"/>
          <w:shd w:val="clear" w:color="auto" w:fill="FFFFFF"/>
        </w:rPr>
      </w:pPr>
      <w:r w:rsidRPr="008B4282">
        <w:rPr>
          <w:rFonts w:ascii="Arial" w:eastAsia="Calibri" w:hAnsi="Arial" w:cs="Arial"/>
          <w:b/>
          <w:color w:val="333333"/>
          <w:shd w:val="clear" w:color="auto" w:fill="FFFFFF"/>
        </w:rPr>
        <w:t>1</w:t>
      </w:r>
      <w:r>
        <w:rPr>
          <w:rFonts w:ascii="Arial" w:eastAsia="Calibri" w:hAnsi="Arial" w:cs="Arial"/>
          <w:b/>
          <w:color w:val="333333"/>
          <w:shd w:val="clear" w:color="auto" w:fill="FFFFFF"/>
        </w:rPr>
        <w:t>4</w:t>
      </w:r>
      <w:r w:rsidRPr="008B4282">
        <w:rPr>
          <w:rFonts w:ascii="Arial" w:eastAsia="Calibri" w:hAnsi="Arial" w:cs="Arial"/>
          <w:b/>
          <w:color w:val="333333"/>
          <w:shd w:val="clear" w:color="auto" w:fill="FFFFFF"/>
        </w:rPr>
        <w:t xml:space="preserve">. Would you say that you </w:t>
      </w:r>
      <w:r>
        <w:rPr>
          <w:rFonts w:ascii="Arial" w:eastAsia="Calibri" w:hAnsi="Arial" w:cs="Arial"/>
          <w:b/>
          <w:color w:val="333333"/>
          <w:shd w:val="clear" w:color="auto" w:fill="FFFFFF"/>
        </w:rPr>
        <w:t xml:space="preserve">usually </w:t>
      </w:r>
      <w:r w:rsidRPr="008B4282">
        <w:rPr>
          <w:rFonts w:ascii="Arial" w:eastAsia="Calibri" w:hAnsi="Arial" w:cs="Arial"/>
          <w:b/>
          <w:color w:val="333333"/>
          <w:shd w:val="clear" w:color="auto" w:fill="FFFFFF"/>
        </w:rPr>
        <w:t>have difficulty in getting to a pharmacy?</w:t>
      </w:r>
      <w:r>
        <w:rPr>
          <w:rFonts w:ascii="Arial" w:eastAsia="Calibri" w:hAnsi="Arial" w:cs="Arial"/>
          <w:b/>
          <w:color w:val="333333"/>
          <w:shd w:val="clear" w:color="auto" w:fill="FFFFFF"/>
        </w:rPr>
        <w:t xml:space="preserve"> Please tick one.</w:t>
      </w:r>
    </w:p>
    <w:p w14:paraId="708CDFFF" w14:textId="77777777" w:rsidR="008A1FE5" w:rsidRDefault="008A1FE5" w:rsidP="00DC54F7">
      <w:pPr>
        <w:spacing w:after="0" w:line="240" w:lineRule="auto"/>
        <w:jc w:val="both"/>
        <w:rPr>
          <w:rFonts w:ascii="Arial" w:eastAsia="Calibri" w:hAnsi="Arial" w:cs="Arial"/>
          <w:color w:val="333333"/>
          <w:shd w:val="clear" w:color="auto" w:fill="FFFFFF"/>
        </w:rPr>
      </w:pPr>
    </w:p>
    <w:p w14:paraId="677A26CE" w14:textId="77777777" w:rsidR="008A1FE5" w:rsidRDefault="008A1FE5" w:rsidP="00DC54F7">
      <w:pPr>
        <w:pStyle w:val="ListParagraph"/>
        <w:numPr>
          <w:ilvl w:val="0"/>
          <w:numId w:val="190"/>
        </w:numPr>
        <w:spacing w:after="0" w:line="240" w:lineRule="auto"/>
        <w:jc w:val="both"/>
        <w:rPr>
          <w:rFonts w:ascii="Arial" w:eastAsia="Calibri" w:hAnsi="Arial" w:cs="Arial"/>
          <w:color w:val="333333"/>
          <w:shd w:val="clear" w:color="auto" w:fill="FFFFFF"/>
        </w:rPr>
      </w:pPr>
      <w:r>
        <w:rPr>
          <w:rFonts w:ascii="Arial" w:eastAsia="Calibri" w:hAnsi="Arial" w:cs="Arial"/>
          <w:color w:val="333333"/>
          <w:shd w:val="clear" w:color="auto" w:fill="FFFFFF"/>
        </w:rPr>
        <w:t>Yes</w:t>
      </w:r>
    </w:p>
    <w:p w14:paraId="542F9FB3" w14:textId="77777777" w:rsidR="008A1FE5" w:rsidRDefault="008A1FE5" w:rsidP="00DC54F7">
      <w:pPr>
        <w:pStyle w:val="ListParagraph"/>
        <w:numPr>
          <w:ilvl w:val="0"/>
          <w:numId w:val="190"/>
        </w:numPr>
        <w:spacing w:after="0" w:line="240" w:lineRule="auto"/>
        <w:jc w:val="both"/>
        <w:rPr>
          <w:rFonts w:ascii="Arial" w:eastAsia="Calibri" w:hAnsi="Arial" w:cs="Arial"/>
          <w:color w:val="333333"/>
          <w:shd w:val="clear" w:color="auto" w:fill="FFFFFF"/>
        </w:rPr>
      </w:pPr>
      <w:r>
        <w:rPr>
          <w:rFonts w:ascii="Arial" w:eastAsia="Calibri" w:hAnsi="Arial" w:cs="Arial"/>
          <w:color w:val="333333"/>
          <w:shd w:val="clear" w:color="auto" w:fill="FFFFFF"/>
        </w:rPr>
        <w:t>No</w:t>
      </w:r>
    </w:p>
    <w:p w14:paraId="420E8153" w14:textId="77777777" w:rsidR="008A1FE5" w:rsidRDefault="008A1FE5" w:rsidP="00DC54F7">
      <w:pPr>
        <w:pStyle w:val="ListParagraph"/>
        <w:numPr>
          <w:ilvl w:val="0"/>
          <w:numId w:val="190"/>
        </w:numPr>
        <w:spacing w:after="0" w:line="240" w:lineRule="auto"/>
        <w:jc w:val="both"/>
        <w:rPr>
          <w:rFonts w:ascii="Arial" w:eastAsia="Calibri" w:hAnsi="Arial" w:cs="Arial"/>
          <w:color w:val="333333"/>
          <w:shd w:val="clear" w:color="auto" w:fill="FFFFFF"/>
        </w:rPr>
      </w:pPr>
      <w:r>
        <w:rPr>
          <w:rFonts w:ascii="Arial" w:eastAsia="Calibri" w:hAnsi="Arial" w:cs="Arial"/>
          <w:color w:val="333333"/>
          <w:shd w:val="clear" w:color="auto" w:fill="FFFFFF"/>
        </w:rPr>
        <w:t>Not applicable</w:t>
      </w:r>
    </w:p>
    <w:p w14:paraId="41842B30" w14:textId="77777777" w:rsidR="008A1FE5" w:rsidRDefault="008A1FE5" w:rsidP="00DC54F7">
      <w:pPr>
        <w:spacing w:after="0" w:line="240" w:lineRule="auto"/>
        <w:jc w:val="both"/>
        <w:rPr>
          <w:rFonts w:ascii="Arial" w:eastAsia="Calibri" w:hAnsi="Arial" w:cs="Arial"/>
          <w:color w:val="333333"/>
          <w:shd w:val="clear" w:color="auto" w:fill="FFFFFF"/>
        </w:rPr>
      </w:pPr>
    </w:p>
    <w:p w14:paraId="0679A8B5" w14:textId="77777777" w:rsidR="008A1FE5" w:rsidRPr="008B4282" w:rsidRDefault="008A1FE5" w:rsidP="00DC54F7">
      <w:pPr>
        <w:spacing w:after="0" w:line="240" w:lineRule="auto"/>
        <w:jc w:val="both"/>
        <w:rPr>
          <w:rFonts w:ascii="Arial" w:eastAsia="Calibri" w:hAnsi="Arial" w:cs="Arial"/>
          <w:b/>
          <w:color w:val="333333"/>
          <w:shd w:val="clear" w:color="auto" w:fill="FFFFFF"/>
        </w:rPr>
      </w:pPr>
      <w:r w:rsidRPr="008B4282">
        <w:rPr>
          <w:rFonts w:ascii="Arial" w:eastAsia="Calibri" w:hAnsi="Arial" w:cs="Arial"/>
          <w:b/>
          <w:color w:val="333333"/>
          <w:shd w:val="clear" w:color="auto" w:fill="FFFFFF"/>
        </w:rPr>
        <w:t>1</w:t>
      </w:r>
      <w:r>
        <w:rPr>
          <w:rFonts w:ascii="Arial" w:eastAsia="Calibri" w:hAnsi="Arial" w:cs="Arial"/>
          <w:b/>
          <w:color w:val="333333"/>
          <w:shd w:val="clear" w:color="auto" w:fill="FFFFFF"/>
        </w:rPr>
        <w:t>5</w:t>
      </w:r>
      <w:r w:rsidRPr="008B4282">
        <w:rPr>
          <w:rFonts w:ascii="Arial" w:eastAsia="Calibri" w:hAnsi="Arial" w:cs="Arial"/>
          <w:b/>
          <w:color w:val="333333"/>
          <w:shd w:val="clear" w:color="auto" w:fill="FFFFFF"/>
        </w:rPr>
        <w:t xml:space="preserve">.  If you </w:t>
      </w:r>
      <w:r>
        <w:rPr>
          <w:rFonts w:ascii="Arial" w:eastAsia="Calibri" w:hAnsi="Arial" w:cs="Arial"/>
          <w:b/>
          <w:color w:val="333333"/>
          <w:shd w:val="clear" w:color="auto" w:fill="FFFFFF"/>
        </w:rPr>
        <w:t>have difficulty getting to a pharmacy please tell us why</w:t>
      </w:r>
      <w:r w:rsidRPr="008B4282">
        <w:rPr>
          <w:rFonts w:ascii="Arial" w:eastAsia="Calibri" w:hAnsi="Arial" w:cs="Arial"/>
          <w:b/>
          <w:color w:val="333333"/>
          <w:shd w:val="clear" w:color="auto" w:fill="FFFFFF"/>
        </w:rPr>
        <w:t>.</w:t>
      </w:r>
    </w:p>
    <w:p w14:paraId="0449DA2F" w14:textId="77777777" w:rsidR="008A1FE5" w:rsidRDefault="008A1FE5" w:rsidP="00DC54F7">
      <w:pPr>
        <w:spacing w:after="0" w:line="240" w:lineRule="auto"/>
        <w:jc w:val="both"/>
        <w:rPr>
          <w:rFonts w:ascii="Arial" w:eastAsia="Calibri" w:hAnsi="Arial" w:cs="Arial"/>
          <w:color w:val="333333"/>
          <w:shd w:val="clear" w:color="auto" w:fill="FFFFFF"/>
        </w:rPr>
      </w:pPr>
    </w:p>
    <w:p w14:paraId="2043F9EB" w14:textId="77777777" w:rsidR="008A1FE5" w:rsidRDefault="008A1FE5" w:rsidP="00DC54F7">
      <w:pPr>
        <w:spacing w:after="0" w:line="240" w:lineRule="auto"/>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[Text box]</w:t>
      </w:r>
    </w:p>
    <w:p w14:paraId="6AD772BA" w14:textId="01FEEA1B" w:rsidR="008A1FE5" w:rsidRDefault="008A1FE5" w:rsidP="00DC54F7">
      <w:pPr>
        <w:spacing w:after="0" w:line="240" w:lineRule="auto"/>
        <w:jc w:val="both"/>
        <w:rPr>
          <w:rFonts w:ascii="Arial" w:eastAsia="Calibri" w:hAnsi="Arial" w:cs="Arial"/>
          <w:b/>
          <w:color w:val="333333"/>
          <w:sz w:val="28"/>
          <w:szCs w:val="28"/>
          <w:shd w:val="clear" w:color="auto" w:fill="FFFFFF"/>
        </w:rPr>
      </w:pPr>
    </w:p>
    <w:p w14:paraId="2B67CAE0" w14:textId="47DECEA4" w:rsidR="00AE758E" w:rsidRDefault="00AE758E" w:rsidP="00DC54F7">
      <w:pPr>
        <w:spacing w:after="0" w:line="240" w:lineRule="auto"/>
        <w:jc w:val="both"/>
        <w:rPr>
          <w:rFonts w:ascii="Arial" w:eastAsia="Calibri" w:hAnsi="Arial" w:cs="Arial"/>
          <w:b/>
          <w:color w:val="333333"/>
          <w:sz w:val="28"/>
          <w:szCs w:val="28"/>
          <w:shd w:val="clear" w:color="auto" w:fill="FFFFFF"/>
        </w:rPr>
      </w:pPr>
    </w:p>
    <w:p w14:paraId="49AA3D33" w14:textId="4E9F23DC" w:rsidR="00AE758E" w:rsidRDefault="00AE758E">
      <w:pPr>
        <w:rPr>
          <w:rFonts w:ascii="Arial" w:eastAsia="Calibri" w:hAnsi="Arial" w:cs="Arial"/>
          <w:b/>
          <w:color w:val="333333"/>
          <w:sz w:val="28"/>
          <w:szCs w:val="28"/>
          <w:shd w:val="clear" w:color="auto" w:fill="FFFFFF"/>
        </w:rPr>
      </w:pPr>
      <w:r>
        <w:rPr>
          <w:rFonts w:ascii="Arial" w:eastAsia="Calibri" w:hAnsi="Arial" w:cs="Arial"/>
          <w:b/>
          <w:color w:val="333333"/>
          <w:sz w:val="28"/>
          <w:szCs w:val="28"/>
          <w:shd w:val="clear" w:color="auto" w:fill="FFFFFF"/>
        </w:rPr>
        <w:br w:type="page"/>
      </w:r>
    </w:p>
    <w:p w14:paraId="665938E9" w14:textId="77777777" w:rsidR="008A1FE5" w:rsidRPr="00E66CC1" w:rsidRDefault="008A1FE5" w:rsidP="00DC54F7">
      <w:pPr>
        <w:spacing w:after="0" w:line="240" w:lineRule="auto"/>
        <w:jc w:val="both"/>
        <w:rPr>
          <w:rFonts w:ascii="Arial" w:eastAsia="Calibri" w:hAnsi="Arial" w:cs="Arial"/>
          <w:b/>
          <w:color w:val="333333"/>
          <w:sz w:val="28"/>
          <w:szCs w:val="28"/>
          <w:shd w:val="clear" w:color="auto" w:fill="FFFFFF"/>
        </w:rPr>
      </w:pPr>
      <w:r w:rsidRPr="00E66CC1">
        <w:rPr>
          <w:rFonts w:ascii="Arial" w:eastAsia="Calibri" w:hAnsi="Arial" w:cs="Arial"/>
          <w:b/>
          <w:color w:val="333333"/>
          <w:sz w:val="28"/>
          <w:szCs w:val="28"/>
          <w:shd w:val="clear" w:color="auto" w:fill="FFFFFF"/>
        </w:rPr>
        <w:lastRenderedPageBreak/>
        <w:t>Pharmacy services in general</w:t>
      </w:r>
    </w:p>
    <w:p w14:paraId="07E93FDA" w14:textId="77777777" w:rsidR="008A1FE5" w:rsidRPr="00E66CC1" w:rsidRDefault="008A1FE5" w:rsidP="00DC54F7">
      <w:pPr>
        <w:spacing w:after="0" w:line="240" w:lineRule="auto"/>
        <w:jc w:val="both"/>
        <w:rPr>
          <w:rFonts w:ascii="Arial" w:eastAsia="Calibri" w:hAnsi="Arial" w:cs="Arial"/>
          <w:color w:val="333333"/>
          <w:shd w:val="clear" w:color="auto" w:fill="FFFFFF"/>
        </w:rPr>
      </w:pPr>
    </w:p>
    <w:p w14:paraId="1A4355AE" w14:textId="77777777" w:rsidR="008A1FE5" w:rsidRPr="00E66CC1" w:rsidRDefault="008A1FE5" w:rsidP="00DC54F7">
      <w:pPr>
        <w:spacing w:after="0" w:line="240" w:lineRule="auto"/>
        <w:jc w:val="both"/>
        <w:rPr>
          <w:rFonts w:ascii="Arial" w:eastAsia="Calibri" w:hAnsi="Arial" w:cs="Arial"/>
          <w:b/>
          <w:color w:val="333333"/>
          <w:shd w:val="clear" w:color="auto" w:fill="FFFFFF"/>
        </w:rPr>
      </w:pPr>
      <w:r>
        <w:rPr>
          <w:rFonts w:ascii="Arial" w:eastAsia="Calibri" w:hAnsi="Arial" w:cs="Arial"/>
          <w:b/>
        </w:rPr>
        <w:t>16</w:t>
      </w:r>
      <w:r w:rsidRPr="00E66CC1">
        <w:rPr>
          <w:rFonts w:ascii="Arial" w:eastAsia="Calibri" w:hAnsi="Arial" w:cs="Arial"/>
          <w:b/>
        </w:rPr>
        <w:t>. We would like to know how you find out information about a pharmacy such as opening times or the service being offered.</w:t>
      </w:r>
      <w:r w:rsidRPr="00E66CC1">
        <w:rPr>
          <w:rFonts w:ascii="Arial" w:eastAsia="Calibri" w:hAnsi="Arial" w:cs="Arial"/>
          <w:b/>
          <w:color w:val="333333"/>
          <w:shd w:val="clear" w:color="auto" w:fill="FFFFFF"/>
        </w:rPr>
        <w:t xml:space="preserve"> Please tick any or all that apply.</w:t>
      </w:r>
    </w:p>
    <w:p w14:paraId="243AB2A1" w14:textId="77777777" w:rsidR="008A1FE5" w:rsidRPr="00E66CC1" w:rsidRDefault="008A1FE5" w:rsidP="00DC54F7">
      <w:pPr>
        <w:spacing w:after="0" w:line="240" w:lineRule="auto"/>
        <w:jc w:val="both"/>
        <w:rPr>
          <w:rFonts w:ascii="Arial" w:eastAsia="Calibri" w:hAnsi="Arial" w:cs="Arial"/>
        </w:rPr>
      </w:pPr>
    </w:p>
    <w:p w14:paraId="7AE389B9" w14:textId="77777777" w:rsidR="008A1FE5" w:rsidRPr="00E66CC1" w:rsidRDefault="008A1FE5" w:rsidP="00DC54F7">
      <w:pPr>
        <w:numPr>
          <w:ilvl w:val="0"/>
          <w:numId w:val="180"/>
        </w:numPr>
        <w:spacing w:after="0" w:line="240" w:lineRule="auto"/>
        <w:contextualSpacing/>
        <w:jc w:val="both"/>
        <w:rPr>
          <w:rFonts w:ascii="Arial" w:eastAsia="Calibri" w:hAnsi="Arial" w:cs="Arial"/>
        </w:rPr>
      </w:pPr>
      <w:r w:rsidRPr="00E66CC1">
        <w:rPr>
          <w:rFonts w:ascii="Arial" w:eastAsia="Calibri" w:hAnsi="Arial" w:cs="Arial"/>
          <w:color w:val="333333"/>
          <w:shd w:val="clear" w:color="auto" w:fill="FFFFFF"/>
        </w:rPr>
        <w:t>I would call them</w:t>
      </w:r>
    </w:p>
    <w:p w14:paraId="06278A1A" w14:textId="77777777" w:rsidR="008A1FE5" w:rsidRPr="005B6289" w:rsidRDefault="008A1FE5" w:rsidP="00DC54F7">
      <w:pPr>
        <w:numPr>
          <w:ilvl w:val="0"/>
          <w:numId w:val="180"/>
        </w:numPr>
        <w:spacing w:after="0" w:line="240" w:lineRule="auto"/>
        <w:contextualSpacing/>
        <w:jc w:val="both"/>
        <w:rPr>
          <w:rFonts w:ascii="Arial" w:eastAsia="Calibri" w:hAnsi="Arial" w:cs="Arial"/>
        </w:rPr>
      </w:pPr>
      <w:r w:rsidRPr="00E66CC1">
        <w:rPr>
          <w:rFonts w:ascii="Arial" w:eastAsia="Calibri" w:hAnsi="Arial" w:cs="Arial"/>
          <w:color w:val="333333"/>
          <w:shd w:val="clear" w:color="auto" w:fill="FFFFFF"/>
        </w:rPr>
        <w:t xml:space="preserve">I would call </w:t>
      </w:r>
      <w:r>
        <w:rPr>
          <w:rFonts w:ascii="Arial" w:eastAsia="Calibri" w:hAnsi="Arial" w:cs="Arial"/>
          <w:color w:val="333333"/>
          <w:shd w:val="clear" w:color="auto" w:fill="FFFFFF"/>
        </w:rPr>
        <w:t>NHS 111 Wales or use their website</w:t>
      </w:r>
    </w:p>
    <w:p w14:paraId="35E9BFB8" w14:textId="77777777" w:rsidR="008A1FE5" w:rsidRPr="004D53EA" w:rsidRDefault="008A1FE5" w:rsidP="00DC54F7">
      <w:pPr>
        <w:numPr>
          <w:ilvl w:val="0"/>
          <w:numId w:val="180"/>
        </w:numPr>
        <w:spacing w:after="0" w:line="240" w:lineRule="auto"/>
        <w:contextualSpacing/>
        <w:jc w:val="both"/>
        <w:rPr>
          <w:rFonts w:ascii="Arial" w:eastAsia="Calibri" w:hAnsi="Arial" w:cs="Arial"/>
        </w:rPr>
      </w:pPr>
      <w:r>
        <w:rPr>
          <w:rFonts w:ascii="Arial" w:eastAsia="Calibri" w:hAnsi="Arial" w:cs="Arial"/>
          <w:color w:val="333333"/>
          <w:shd w:val="clear" w:color="auto" w:fill="FFFFFF"/>
        </w:rPr>
        <w:t>I would call CAV 24/7</w:t>
      </w:r>
    </w:p>
    <w:p w14:paraId="636CB921" w14:textId="77777777" w:rsidR="008A1FE5" w:rsidRPr="00E66CC1" w:rsidRDefault="008A1FE5" w:rsidP="00DC54F7">
      <w:pPr>
        <w:numPr>
          <w:ilvl w:val="0"/>
          <w:numId w:val="180"/>
        </w:numPr>
        <w:spacing w:after="0" w:line="240" w:lineRule="auto"/>
        <w:contextualSpacing/>
        <w:jc w:val="both"/>
        <w:rPr>
          <w:rFonts w:ascii="Arial" w:eastAsia="Calibri" w:hAnsi="Arial" w:cs="Arial"/>
        </w:rPr>
      </w:pPr>
      <w:r>
        <w:rPr>
          <w:rFonts w:ascii="Arial" w:eastAsia="Calibri" w:hAnsi="Arial" w:cs="Arial"/>
          <w:color w:val="333333"/>
          <w:shd w:val="clear" w:color="auto" w:fill="FFFFFF"/>
        </w:rPr>
        <w:t>I would search the Cardiff and Vale University Health Board website</w:t>
      </w:r>
    </w:p>
    <w:p w14:paraId="5D07052C" w14:textId="77777777" w:rsidR="008A1FE5" w:rsidRPr="00E66CC1" w:rsidRDefault="008A1FE5" w:rsidP="00DC54F7">
      <w:pPr>
        <w:numPr>
          <w:ilvl w:val="0"/>
          <w:numId w:val="180"/>
        </w:numPr>
        <w:spacing w:after="0" w:line="240" w:lineRule="auto"/>
        <w:contextualSpacing/>
        <w:jc w:val="both"/>
        <w:rPr>
          <w:rFonts w:ascii="Arial" w:eastAsia="Calibri" w:hAnsi="Arial" w:cs="Arial"/>
        </w:rPr>
      </w:pPr>
      <w:r w:rsidRPr="00E66CC1">
        <w:rPr>
          <w:rFonts w:ascii="Arial" w:eastAsia="Calibri" w:hAnsi="Arial" w:cs="Arial"/>
          <w:color w:val="333333"/>
          <w:shd w:val="clear" w:color="auto" w:fill="FFFFFF"/>
        </w:rPr>
        <w:t>I would search the internet</w:t>
      </w:r>
      <w:r>
        <w:rPr>
          <w:rFonts w:ascii="Arial" w:eastAsia="Calibri" w:hAnsi="Arial" w:cs="Arial"/>
          <w:color w:val="333333"/>
          <w:shd w:val="clear" w:color="auto" w:fill="FFFFFF"/>
        </w:rPr>
        <w:t xml:space="preserve"> or use a smartphone app e.g. Google Maps or Facebook</w:t>
      </w:r>
    </w:p>
    <w:p w14:paraId="715E4F2F" w14:textId="77777777" w:rsidR="008A1FE5" w:rsidRPr="00E66CC1" w:rsidRDefault="008A1FE5" w:rsidP="00DC54F7">
      <w:pPr>
        <w:numPr>
          <w:ilvl w:val="0"/>
          <w:numId w:val="180"/>
        </w:numPr>
        <w:spacing w:after="0" w:line="240" w:lineRule="auto"/>
        <w:contextualSpacing/>
        <w:jc w:val="both"/>
        <w:rPr>
          <w:rFonts w:ascii="Arial" w:eastAsia="Calibri" w:hAnsi="Arial" w:cs="Arial"/>
        </w:rPr>
      </w:pPr>
      <w:r w:rsidRPr="00E66CC1">
        <w:rPr>
          <w:rFonts w:ascii="Arial" w:eastAsia="Calibri" w:hAnsi="Arial" w:cs="Arial"/>
          <w:color w:val="333333"/>
          <w:shd w:val="clear" w:color="auto" w:fill="FFFFFF"/>
        </w:rPr>
        <w:t>I would use social media</w:t>
      </w:r>
    </w:p>
    <w:p w14:paraId="4A10B4FC" w14:textId="77777777" w:rsidR="008A1FE5" w:rsidRPr="00E66CC1" w:rsidRDefault="008A1FE5" w:rsidP="00DC54F7">
      <w:pPr>
        <w:numPr>
          <w:ilvl w:val="0"/>
          <w:numId w:val="180"/>
        </w:numPr>
        <w:spacing w:after="0" w:line="240" w:lineRule="auto"/>
        <w:contextualSpacing/>
        <w:jc w:val="both"/>
        <w:rPr>
          <w:rFonts w:ascii="Arial" w:eastAsia="Calibri" w:hAnsi="Arial" w:cs="Arial"/>
        </w:rPr>
      </w:pPr>
      <w:r w:rsidRPr="00E66CC1">
        <w:rPr>
          <w:rFonts w:ascii="Arial" w:eastAsia="Calibri" w:hAnsi="Arial" w:cs="Arial"/>
          <w:color w:val="333333"/>
          <w:shd w:val="clear" w:color="auto" w:fill="FFFFFF"/>
        </w:rPr>
        <w:t>I would ask a friend</w:t>
      </w:r>
    </w:p>
    <w:p w14:paraId="7DFC0B93" w14:textId="77777777" w:rsidR="008A1FE5" w:rsidRPr="00E66CC1" w:rsidRDefault="008A1FE5" w:rsidP="00DC54F7">
      <w:pPr>
        <w:numPr>
          <w:ilvl w:val="0"/>
          <w:numId w:val="180"/>
        </w:numPr>
        <w:spacing w:after="0" w:line="240" w:lineRule="auto"/>
        <w:contextualSpacing/>
        <w:jc w:val="both"/>
        <w:rPr>
          <w:rFonts w:ascii="Arial" w:eastAsia="Calibri" w:hAnsi="Arial" w:cs="Arial"/>
        </w:rPr>
      </w:pPr>
      <w:r w:rsidRPr="00E66CC1">
        <w:rPr>
          <w:rFonts w:ascii="Arial" w:eastAsia="Calibri" w:hAnsi="Arial" w:cs="Arial"/>
          <w:color w:val="333333"/>
          <w:shd w:val="clear" w:color="auto" w:fill="FFFFFF"/>
        </w:rPr>
        <w:t xml:space="preserve">I would just pop in and ask them </w:t>
      </w:r>
    </w:p>
    <w:p w14:paraId="4954F30C" w14:textId="77777777" w:rsidR="008A1FE5" w:rsidRPr="00E66CC1" w:rsidRDefault="008A1FE5" w:rsidP="00DC54F7">
      <w:pPr>
        <w:numPr>
          <w:ilvl w:val="0"/>
          <w:numId w:val="180"/>
        </w:numPr>
        <w:spacing w:after="0" w:line="240" w:lineRule="auto"/>
        <w:contextualSpacing/>
        <w:jc w:val="both"/>
        <w:rPr>
          <w:rFonts w:ascii="Arial" w:eastAsia="Calibri" w:hAnsi="Arial" w:cs="Arial"/>
        </w:rPr>
      </w:pPr>
      <w:r w:rsidRPr="00E66CC1">
        <w:rPr>
          <w:rFonts w:ascii="Arial" w:eastAsia="Calibri" w:hAnsi="Arial" w:cs="Arial"/>
          <w:color w:val="333333"/>
          <w:shd w:val="clear" w:color="auto" w:fill="FFFFFF"/>
        </w:rPr>
        <w:t xml:space="preserve">Look in the window </w:t>
      </w:r>
    </w:p>
    <w:p w14:paraId="5AFCFBE2" w14:textId="77777777" w:rsidR="008A1FE5" w:rsidRPr="00E66CC1" w:rsidRDefault="008A1FE5" w:rsidP="00DC54F7">
      <w:pPr>
        <w:numPr>
          <w:ilvl w:val="0"/>
          <w:numId w:val="180"/>
        </w:numPr>
        <w:spacing w:after="0" w:line="240" w:lineRule="auto"/>
        <w:contextualSpacing/>
        <w:jc w:val="both"/>
        <w:rPr>
          <w:rFonts w:ascii="Arial" w:eastAsia="Calibri" w:hAnsi="Arial" w:cs="Arial"/>
        </w:rPr>
      </w:pPr>
      <w:r w:rsidRPr="00E66CC1">
        <w:rPr>
          <w:rFonts w:ascii="Arial" w:eastAsia="Calibri" w:hAnsi="Arial" w:cs="Arial"/>
          <w:color w:val="333333"/>
          <w:shd w:val="clear" w:color="auto" w:fill="FFFFFF"/>
        </w:rPr>
        <w:t>I would find out from reading the local newspaper or magazine</w:t>
      </w:r>
    </w:p>
    <w:p w14:paraId="3657F5DA" w14:textId="77777777" w:rsidR="008A1FE5" w:rsidRPr="00E66CC1" w:rsidRDefault="008A1FE5" w:rsidP="00DC54F7">
      <w:pPr>
        <w:numPr>
          <w:ilvl w:val="0"/>
          <w:numId w:val="180"/>
        </w:numPr>
        <w:spacing w:after="0" w:line="240" w:lineRule="auto"/>
        <w:contextualSpacing/>
        <w:jc w:val="both"/>
        <w:rPr>
          <w:rFonts w:ascii="Arial" w:eastAsia="Calibri" w:hAnsi="Arial" w:cs="Arial"/>
        </w:rPr>
      </w:pPr>
      <w:r w:rsidRPr="00E66CC1">
        <w:rPr>
          <w:rFonts w:ascii="Arial" w:eastAsia="Calibri" w:hAnsi="Arial" w:cs="Arial"/>
          <w:color w:val="333333"/>
          <w:shd w:val="clear" w:color="auto" w:fill="FFFFFF"/>
        </w:rPr>
        <w:t>Not applicable</w:t>
      </w:r>
    </w:p>
    <w:p w14:paraId="677F837C" w14:textId="77777777" w:rsidR="008A1FE5" w:rsidRPr="00E66CC1" w:rsidRDefault="008A1FE5" w:rsidP="00DC54F7">
      <w:pPr>
        <w:numPr>
          <w:ilvl w:val="0"/>
          <w:numId w:val="180"/>
        </w:numPr>
        <w:spacing w:after="0" w:line="240" w:lineRule="auto"/>
        <w:contextualSpacing/>
        <w:jc w:val="both"/>
        <w:rPr>
          <w:rFonts w:ascii="Arial" w:eastAsia="Calibri" w:hAnsi="Arial" w:cs="Arial"/>
        </w:rPr>
      </w:pPr>
      <w:r w:rsidRPr="00E66CC1">
        <w:rPr>
          <w:rFonts w:ascii="Arial" w:eastAsia="Calibri" w:hAnsi="Arial" w:cs="Arial"/>
          <w:color w:val="333333"/>
          <w:shd w:val="clear" w:color="auto" w:fill="FFFFFF"/>
        </w:rPr>
        <w:t>Other [text box]</w:t>
      </w:r>
    </w:p>
    <w:p w14:paraId="21E41D57" w14:textId="77777777" w:rsidR="008A1FE5" w:rsidRPr="00E66CC1" w:rsidRDefault="008A1FE5" w:rsidP="00DC54F7">
      <w:pPr>
        <w:spacing w:after="0" w:line="240" w:lineRule="auto"/>
        <w:jc w:val="both"/>
        <w:rPr>
          <w:rFonts w:ascii="Arial" w:eastAsia="Calibri" w:hAnsi="Arial" w:cs="Arial"/>
          <w:color w:val="333333"/>
          <w:shd w:val="clear" w:color="auto" w:fill="FFFFFF"/>
        </w:rPr>
      </w:pPr>
    </w:p>
    <w:p w14:paraId="47465EA8" w14:textId="77777777" w:rsidR="008A1FE5" w:rsidRPr="00E66CC1" w:rsidRDefault="008A1FE5" w:rsidP="00DC54F7">
      <w:pPr>
        <w:spacing w:after="0" w:line="240" w:lineRule="auto"/>
        <w:jc w:val="both"/>
        <w:rPr>
          <w:rFonts w:ascii="Arial" w:eastAsia="Calibri" w:hAnsi="Arial" w:cs="Arial"/>
          <w:b/>
          <w:color w:val="333333"/>
          <w:shd w:val="clear" w:color="auto" w:fill="FFFFFF"/>
        </w:rPr>
      </w:pPr>
      <w:r>
        <w:rPr>
          <w:rFonts w:ascii="Arial" w:eastAsia="Calibri" w:hAnsi="Arial" w:cs="Arial"/>
          <w:b/>
        </w:rPr>
        <w:t>17.</w:t>
      </w:r>
      <w:r w:rsidRPr="00E66CC1">
        <w:rPr>
          <w:rFonts w:ascii="Arial" w:eastAsia="Calibri" w:hAnsi="Arial" w:cs="Arial"/>
          <w:b/>
        </w:rPr>
        <w:t xml:space="preserve"> </w:t>
      </w:r>
      <w:r w:rsidRPr="00E66CC1">
        <w:rPr>
          <w:rFonts w:ascii="Arial" w:eastAsia="Calibri" w:hAnsi="Arial" w:cs="Arial"/>
          <w:b/>
          <w:color w:val="333333"/>
          <w:shd w:val="clear" w:color="auto" w:fill="FFFFFF"/>
        </w:rPr>
        <w:t>Do you feel able to discuss something private with your pharmacist?</w:t>
      </w:r>
      <w:r>
        <w:rPr>
          <w:rFonts w:ascii="Arial" w:eastAsia="Calibri" w:hAnsi="Arial" w:cs="Arial"/>
          <w:b/>
          <w:color w:val="333333"/>
          <w:shd w:val="clear" w:color="auto" w:fill="FFFFFF"/>
        </w:rPr>
        <w:t xml:space="preserve"> Please tick one.</w:t>
      </w:r>
    </w:p>
    <w:p w14:paraId="71AA3AE1" w14:textId="77777777" w:rsidR="008A1FE5" w:rsidRPr="00E66CC1" w:rsidRDefault="008A1FE5" w:rsidP="00DC54F7">
      <w:pPr>
        <w:spacing w:after="0" w:line="240" w:lineRule="auto"/>
        <w:jc w:val="both"/>
        <w:rPr>
          <w:rFonts w:ascii="Arial" w:eastAsia="Calibri" w:hAnsi="Arial" w:cs="Arial"/>
          <w:b/>
          <w:color w:val="333333"/>
          <w:shd w:val="clear" w:color="auto" w:fill="FFFFFF"/>
        </w:rPr>
      </w:pPr>
    </w:p>
    <w:p w14:paraId="2AA1C080" w14:textId="77777777" w:rsidR="008A1FE5" w:rsidRPr="00E66CC1" w:rsidRDefault="008A1FE5" w:rsidP="00DC54F7">
      <w:pPr>
        <w:numPr>
          <w:ilvl w:val="0"/>
          <w:numId w:val="186"/>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Yes</w:t>
      </w:r>
    </w:p>
    <w:p w14:paraId="1A62C498" w14:textId="77777777" w:rsidR="008A1FE5" w:rsidRPr="00E66CC1" w:rsidRDefault="008A1FE5" w:rsidP="00DC54F7">
      <w:pPr>
        <w:numPr>
          <w:ilvl w:val="0"/>
          <w:numId w:val="186"/>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No</w:t>
      </w:r>
    </w:p>
    <w:p w14:paraId="5A1CC9BE" w14:textId="77777777" w:rsidR="008A1FE5" w:rsidRPr="00E66CC1" w:rsidRDefault="008A1FE5" w:rsidP="00DC54F7">
      <w:pPr>
        <w:numPr>
          <w:ilvl w:val="0"/>
          <w:numId w:val="186"/>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Never needed to</w:t>
      </w:r>
    </w:p>
    <w:p w14:paraId="1D7465A7" w14:textId="77777777" w:rsidR="008A1FE5" w:rsidRPr="00E66CC1" w:rsidRDefault="008A1FE5" w:rsidP="00DC54F7">
      <w:pPr>
        <w:numPr>
          <w:ilvl w:val="0"/>
          <w:numId w:val="186"/>
        </w:numPr>
        <w:spacing w:after="0" w:line="240" w:lineRule="auto"/>
        <w:contextualSpacing/>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Don’t know</w:t>
      </w:r>
    </w:p>
    <w:p w14:paraId="156C732A" w14:textId="77777777" w:rsidR="008A1FE5" w:rsidRPr="00E66CC1" w:rsidRDefault="008A1FE5" w:rsidP="00DC54F7">
      <w:pPr>
        <w:spacing w:after="0" w:line="240" w:lineRule="auto"/>
        <w:ind w:left="720"/>
        <w:contextualSpacing/>
        <w:jc w:val="both"/>
        <w:rPr>
          <w:rFonts w:ascii="Arial" w:eastAsia="Calibri" w:hAnsi="Arial" w:cs="Arial"/>
          <w:color w:val="333333"/>
          <w:shd w:val="clear" w:color="auto" w:fill="FFFFFF"/>
        </w:rPr>
      </w:pPr>
    </w:p>
    <w:p w14:paraId="7C8ACE46" w14:textId="77777777" w:rsidR="008A1FE5" w:rsidRPr="008B4282" w:rsidRDefault="008A1FE5" w:rsidP="00DC54F7">
      <w:pPr>
        <w:spacing w:after="0" w:line="240" w:lineRule="auto"/>
        <w:jc w:val="both"/>
        <w:rPr>
          <w:rFonts w:ascii="Arial" w:eastAsia="Calibri" w:hAnsi="Arial" w:cs="Arial"/>
          <w:color w:val="333333"/>
          <w:shd w:val="clear" w:color="auto" w:fill="FFFFFF"/>
        </w:rPr>
      </w:pPr>
      <w:r>
        <w:rPr>
          <w:rFonts w:ascii="Arial" w:eastAsia="Calibri" w:hAnsi="Arial" w:cs="Arial"/>
          <w:b/>
          <w:color w:val="333333"/>
          <w:shd w:val="clear" w:color="auto" w:fill="FFFFFF"/>
        </w:rPr>
        <w:t>18. Are you aware that you may be able to access the following services from pharmacies as part of the NHS? Please select those that you are aware of.</w:t>
      </w:r>
    </w:p>
    <w:p w14:paraId="74184039" w14:textId="77777777" w:rsidR="008A1FE5" w:rsidRDefault="008A1FE5" w:rsidP="00DC54F7">
      <w:pPr>
        <w:spacing w:after="0" w:line="240" w:lineRule="auto"/>
        <w:jc w:val="both"/>
        <w:rPr>
          <w:rFonts w:ascii="Arial" w:eastAsia="Calibri" w:hAnsi="Arial" w:cs="Arial"/>
          <w:b/>
          <w:color w:val="333333"/>
          <w:shd w:val="clear" w:color="auto" w:fill="FFFFFF"/>
        </w:rPr>
      </w:pPr>
    </w:p>
    <w:p w14:paraId="6164C104" w14:textId="77777777" w:rsidR="008A1FE5" w:rsidRPr="008B4282" w:rsidRDefault="008A1FE5" w:rsidP="00DC54F7">
      <w:pPr>
        <w:pStyle w:val="ListParagraph"/>
        <w:numPr>
          <w:ilvl w:val="0"/>
          <w:numId w:val="191"/>
        </w:numPr>
        <w:spacing w:after="0" w:line="240" w:lineRule="auto"/>
        <w:jc w:val="both"/>
        <w:rPr>
          <w:rFonts w:ascii="Arial" w:eastAsia="Calibri" w:hAnsi="Arial" w:cs="Arial"/>
          <w:b/>
          <w:color w:val="333333"/>
          <w:shd w:val="clear" w:color="auto" w:fill="FFFFFF"/>
        </w:rPr>
      </w:pPr>
      <w:r>
        <w:rPr>
          <w:rFonts w:ascii="Arial" w:eastAsia="Calibri" w:hAnsi="Arial" w:cs="Arial"/>
          <w:color w:val="333333"/>
          <w:shd w:val="clear" w:color="auto" w:fill="FFFFFF"/>
        </w:rPr>
        <w:t xml:space="preserve">Flu vaccinations (for those who are in one of the at risk groups) </w:t>
      </w:r>
    </w:p>
    <w:p w14:paraId="714DAF76" w14:textId="77777777" w:rsidR="008A1FE5" w:rsidRPr="008B4282" w:rsidRDefault="008A1FE5" w:rsidP="00DC54F7">
      <w:pPr>
        <w:pStyle w:val="ListParagraph"/>
        <w:numPr>
          <w:ilvl w:val="0"/>
          <w:numId w:val="191"/>
        </w:numPr>
        <w:spacing w:after="0" w:line="240" w:lineRule="auto"/>
        <w:jc w:val="both"/>
        <w:rPr>
          <w:rFonts w:ascii="Arial" w:eastAsia="Calibri" w:hAnsi="Arial" w:cs="Arial"/>
          <w:b/>
          <w:color w:val="333333"/>
          <w:shd w:val="clear" w:color="auto" w:fill="FFFFFF"/>
        </w:rPr>
      </w:pPr>
      <w:r>
        <w:rPr>
          <w:rFonts w:ascii="Arial" w:eastAsia="Calibri" w:hAnsi="Arial" w:cs="Arial"/>
          <w:color w:val="333333"/>
          <w:shd w:val="clear" w:color="auto" w:fill="FFFFFF"/>
        </w:rPr>
        <w:t>Medicines use review service – this is an opportunity for you to sit down with the pharmacist and discuss all the medicines you are taking to help you get the maximum benefit from them.</w:t>
      </w:r>
    </w:p>
    <w:p w14:paraId="4C51291E" w14:textId="77777777" w:rsidR="008A1FE5" w:rsidRPr="00284D9A" w:rsidRDefault="008A1FE5" w:rsidP="00DC54F7">
      <w:pPr>
        <w:pStyle w:val="ListParagraph"/>
        <w:numPr>
          <w:ilvl w:val="0"/>
          <w:numId w:val="191"/>
        </w:numPr>
        <w:spacing w:after="0" w:line="240" w:lineRule="auto"/>
        <w:jc w:val="both"/>
        <w:rPr>
          <w:rFonts w:ascii="Arial" w:eastAsia="Calibri" w:hAnsi="Arial" w:cs="Arial"/>
          <w:color w:val="333333"/>
          <w:shd w:val="clear" w:color="auto" w:fill="FFFFFF"/>
        </w:rPr>
      </w:pPr>
      <w:r>
        <w:rPr>
          <w:rFonts w:ascii="Arial" w:eastAsia="Calibri" w:hAnsi="Arial" w:cs="Arial"/>
          <w:color w:val="333333"/>
          <w:shd w:val="clear" w:color="auto" w:fill="FFFFFF"/>
        </w:rPr>
        <w:t>Discharge m</w:t>
      </w:r>
      <w:r w:rsidRPr="008B4282">
        <w:rPr>
          <w:rFonts w:ascii="Arial" w:eastAsia="Calibri" w:hAnsi="Arial" w:cs="Arial"/>
          <w:color w:val="333333"/>
          <w:shd w:val="clear" w:color="auto" w:fill="FFFFFF"/>
        </w:rPr>
        <w:t xml:space="preserve">edicines </w:t>
      </w:r>
      <w:r>
        <w:rPr>
          <w:rFonts w:ascii="Arial" w:eastAsia="Calibri" w:hAnsi="Arial" w:cs="Arial"/>
          <w:color w:val="333333"/>
          <w:shd w:val="clear" w:color="auto" w:fill="FFFFFF"/>
        </w:rPr>
        <w:t>review s</w:t>
      </w:r>
      <w:r w:rsidRPr="008B4282">
        <w:rPr>
          <w:rFonts w:ascii="Arial" w:eastAsia="Calibri" w:hAnsi="Arial" w:cs="Arial"/>
          <w:color w:val="333333"/>
          <w:shd w:val="clear" w:color="auto" w:fill="FFFFFF"/>
        </w:rPr>
        <w:t>ervice</w:t>
      </w:r>
      <w:r>
        <w:rPr>
          <w:rFonts w:ascii="Arial" w:eastAsia="Calibri" w:hAnsi="Arial" w:cs="Arial"/>
          <w:color w:val="333333"/>
          <w:shd w:val="clear" w:color="auto" w:fill="FFFFFF"/>
        </w:rPr>
        <w:t xml:space="preserve"> – </w:t>
      </w:r>
      <w:r w:rsidRPr="00284D9A">
        <w:rPr>
          <w:rFonts w:ascii="Arial" w:eastAsia="Calibri" w:hAnsi="Arial" w:cs="Arial"/>
          <w:color w:val="333333"/>
          <w:shd w:val="clear" w:color="auto" w:fill="FFFFFF"/>
        </w:rPr>
        <w:t>this service is for people whose medicines have changed during a hospital stay, to help them understand the changes that have been made and to make sure future prescriptions are for the right medicines.</w:t>
      </w:r>
    </w:p>
    <w:p w14:paraId="60A3496D" w14:textId="77777777" w:rsidR="008A1FE5" w:rsidRPr="008B4282" w:rsidRDefault="008A1FE5" w:rsidP="00DC54F7">
      <w:pPr>
        <w:pStyle w:val="ListParagraph"/>
        <w:numPr>
          <w:ilvl w:val="0"/>
          <w:numId w:val="191"/>
        </w:numPr>
        <w:spacing w:after="0" w:line="240" w:lineRule="auto"/>
        <w:jc w:val="both"/>
        <w:rPr>
          <w:rFonts w:ascii="Arial" w:eastAsia="Calibri" w:hAnsi="Arial" w:cs="Arial"/>
          <w:b/>
          <w:color w:val="333333"/>
          <w:shd w:val="clear" w:color="auto" w:fill="FFFFFF"/>
        </w:rPr>
      </w:pPr>
      <w:r>
        <w:rPr>
          <w:rFonts w:ascii="Arial" w:eastAsia="Calibri" w:hAnsi="Arial" w:cs="Arial"/>
          <w:color w:val="333333"/>
          <w:shd w:val="clear" w:color="auto" w:fill="FFFFFF"/>
        </w:rPr>
        <w:t>Appliance use review service - this is an opportunity to discuss appliances such as those for stomas and colostomies with a pharmacist or a specialist nurse to ensure your appliances are doing what you need them to do.</w:t>
      </w:r>
    </w:p>
    <w:p w14:paraId="7344B928" w14:textId="77777777" w:rsidR="008A1FE5" w:rsidRPr="008B4282" w:rsidRDefault="008A1FE5" w:rsidP="00DC54F7">
      <w:pPr>
        <w:pStyle w:val="ListParagraph"/>
        <w:numPr>
          <w:ilvl w:val="0"/>
          <w:numId w:val="191"/>
        </w:numPr>
        <w:spacing w:after="0" w:line="240" w:lineRule="auto"/>
        <w:jc w:val="both"/>
        <w:rPr>
          <w:rFonts w:ascii="Arial" w:eastAsia="Calibri" w:hAnsi="Arial" w:cs="Arial"/>
          <w:b/>
          <w:color w:val="333333"/>
          <w:shd w:val="clear" w:color="auto" w:fill="FFFFFF"/>
        </w:rPr>
      </w:pPr>
      <w:r>
        <w:rPr>
          <w:rFonts w:ascii="Arial" w:eastAsia="Calibri" w:hAnsi="Arial" w:cs="Arial"/>
          <w:color w:val="333333"/>
          <w:shd w:val="clear" w:color="auto" w:fill="FFFFFF"/>
        </w:rPr>
        <w:t>Emergency contraception, also referred to as the ‘morning after pill’</w:t>
      </w:r>
    </w:p>
    <w:p w14:paraId="2E801637" w14:textId="77777777" w:rsidR="008A1FE5" w:rsidRDefault="008A1FE5" w:rsidP="00DC54F7">
      <w:pPr>
        <w:pStyle w:val="ListParagraph"/>
        <w:numPr>
          <w:ilvl w:val="0"/>
          <w:numId w:val="191"/>
        </w:numPr>
        <w:spacing w:after="0" w:line="240" w:lineRule="auto"/>
        <w:jc w:val="both"/>
        <w:rPr>
          <w:rFonts w:ascii="Arial" w:eastAsia="Calibri" w:hAnsi="Arial" w:cs="Arial"/>
          <w:color w:val="333333"/>
          <w:shd w:val="clear" w:color="auto" w:fill="FFFFFF"/>
        </w:rPr>
      </w:pPr>
      <w:r w:rsidRPr="008B4282">
        <w:rPr>
          <w:rFonts w:ascii="Arial" w:eastAsia="Calibri" w:hAnsi="Arial" w:cs="Arial"/>
          <w:color w:val="333333"/>
          <w:shd w:val="clear" w:color="auto" w:fill="FFFFFF"/>
        </w:rPr>
        <w:t>Help to stop smoking</w:t>
      </w:r>
    </w:p>
    <w:p w14:paraId="02E0F801" w14:textId="77777777" w:rsidR="008A1FE5" w:rsidRDefault="008A1FE5" w:rsidP="00DC54F7">
      <w:pPr>
        <w:pStyle w:val="ListParagraph"/>
        <w:numPr>
          <w:ilvl w:val="0"/>
          <w:numId w:val="191"/>
        </w:numPr>
        <w:spacing w:after="0" w:line="240" w:lineRule="auto"/>
        <w:jc w:val="both"/>
        <w:rPr>
          <w:rFonts w:ascii="Arial" w:eastAsia="Calibri" w:hAnsi="Arial" w:cs="Arial"/>
          <w:color w:val="333333"/>
          <w:shd w:val="clear" w:color="auto" w:fill="FFFFFF"/>
        </w:rPr>
      </w:pPr>
      <w:r w:rsidRPr="00022CAF">
        <w:rPr>
          <w:rFonts w:ascii="Arial" w:eastAsia="Calibri" w:hAnsi="Arial" w:cs="Arial"/>
          <w:color w:val="333333"/>
          <w:shd w:val="clear" w:color="auto" w:fill="FFFFFF"/>
        </w:rPr>
        <w:t>Common ailments scheme – pharmacists can provide you with advice and free treatment for common minor illnesses and ailments</w:t>
      </w:r>
      <w:r>
        <w:rPr>
          <w:rFonts w:ascii="Arial" w:eastAsia="Calibri" w:hAnsi="Arial" w:cs="Arial"/>
          <w:color w:val="333333"/>
          <w:shd w:val="clear" w:color="auto" w:fill="FFFFFF"/>
        </w:rPr>
        <w:t xml:space="preserve"> so that you do not need to see a GP.</w:t>
      </w:r>
    </w:p>
    <w:p w14:paraId="0B96DE70" w14:textId="77777777" w:rsidR="008A1FE5" w:rsidRDefault="008A1FE5" w:rsidP="00DC54F7">
      <w:pPr>
        <w:pStyle w:val="ListParagraph"/>
        <w:numPr>
          <w:ilvl w:val="0"/>
          <w:numId w:val="191"/>
        </w:numPr>
        <w:spacing w:after="0" w:line="240" w:lineRule="auto"/>
        <w:jc w:val="both"/>
        <w:rPr>
          <w:rFonts w:ascii="Arial" w:eastAsia="Calibri" w:hAnsi="Arial" w:cs="Arial"/>
          <w:color w:val="333333"/>
          <w:shd w:val="clear" w:color="auto" w:fill="FFFFFF"/>
        </w:rPr>
      </w:pPr>
      <w:bookmarkStart w:id="79" w:name="_Hlk57978601"/>
      <w:r>
        <w:rPr>
          <w:rFonts w:ascii="Arial" w:eastAsia="Calibri" w:hAnsi="Arial" w:cs="Arial"/>
          <w:color w:val="333333"/>
          <w:shd w:val="clear" w:color="auto" w:fill="FFFFFF"/>
        </w:rPr>
        <w:t xml:space="preserve">Needle and syringe exchange – this is a substance misuse harm reduction service where pharmacists can supply sterile injecting equipment packs and dispose of used equipment </w:t>
      </w:r>
    </w:p>
    <w:p w14:paraId="35E01847" w14:textId="77777777" w:rsidR="008A1FE5" w:rsidRPr="003F405E" w:rsidRDefault="008A1FE5" w:rsidP="00DC54F7">
      <w:pPr>
        <w:pStyle w:val="ListParagraph"/>
        <w:numPr>
          <w:ilvl w:val="0"/>
          <w:numId w:val="191"/>
        </w:numPr>
        <w:spacing w:after="0" w:line="240" w:lineRule="auto"/>
        <w:jc w:val="both"/>
        <w:rPr>
          <w:rFonts w:ascii="Arial" w:eastAsia="Calibri" w:hAnsi="Arial" w:cs="Arial"/>
          <w:color w:val="333333"/>
          <w:shd w:val="clear" w:color="auto" w:fill="FFFFFF"/>
        </w:rPr>
      </w:pPr>
      <w:r>
        <w:rPr>
          <w:rFonts w:ascii="Arial" w:eastAsia="Calibri" w:hAnsi="Arial" w:cs="Arial"/>
          <w:color w:val="333333"/>
          <w:shd w:val="clear" w:color="auto" w:fill="FFFFFF"/>
        </w:rPr>
        <w:t>Supervised administration of medicines - – this service is to support people receiving treatment for substance misuse</w:t>
      </w:r>
    </w:p>
    <w:p w14:paraId="71101EFE" w14:textId="77777777" w:rsidR="008A1FE5" w:rsidRDefault="008A1FE5" w:rsidP="00DC54F7">
      <w:pPr>
        <w:pStyle w:val="ListParagraph"/>
        <w:numPr>
          <w:ilvl w:val="0"/>
          <w:numId w:val="191"/>
        </w:numPr>
        <w:spacing w:after="0" w:line="240" w:lineRule="auto"/>
        <w:jc w:val="both"/>
        <w:rPr>
          <w:rFonts w:ascii="Arial" w:eastAsia="Calibri" w:hAnsi="Arial" w:cs="Arial"/>
          <w:color w:val="333333"/>
          <w:shd w:val="clear" w:color="auto" w:fill="FFFFFF"/>
        </w:rPr>
      </w:pPr>
      <w:r>
        <w:rPr>
          <w:rFonts w:ascii="Arial" w:eastAsia="Calibri" w:hAnsi="Arial" w:cs="Arial"/>
          <w:color w:val="333333"/>
          <w:shd w:val="clear" w:color="auto" w:fill="FFFFFF"/>
        </w:rPr>
        <w:t>Emergency medicines supply – this service enables people to access emergency supplies of their medication through their pharmacy</w:t>
      </w:r>
    </w:p>
    <w:p w14:paraId="1C2A76E7" w14:textId="52FBE37D" w:rsidR="008A1FE5" w:rsidRPr="00AE758E" w:rsidRDefault="008A1FE5" w:rsidP="00DC54F7">
      <w:pPr>
        <w:pStyle w:val="ListParagraph"/>
        <w:numPr>
          <w:ilvl w:val="0"/>
          <w:numId w:val="191"/>
        </w:numPr>
        <w:spacing w:after="0" w:line="240" w:lineRule="auto"/>
        <w:jc w:val="both"/>
        <w:rPr>
          <w:rFonts w:ascii="Arial" w:eastAsia="Calibri" w:hAnsi="Arial" w:cs="Arial"/>
          <w:color w:val="333333"/>
          <w:shd w:val="clear" w:color="auto" w:fill="FFFFFF"/>
        </w:rPr>
      </w:pPr>
      <w:r>
        <w:rPr>
          <w:rFonts w:ascii="Arial" w:eastAsia="Calibri" w:hAnsi="Arial" w:cs="Arial"/>
          <w:color w:val="333333"/>
          <w:shd w:val="clear" w:color="auto" w:fill="FFFFFF"/>
        </w:rPr>
        <w:t>No (go to question 20)</w:t>
      </w:r>
      <w:bookmarkEnd w:id="79"/>
    </w:p>
    <w:p w14:paraId="242048CC" w14:textId="77777777" w:rsidR="008A1FE5" w:rsidRDefault="008A1FE5" w:rsidP="00DC54F7">
      <w:pPr>
        <w:spacing w:after="0" w:line="240" w:lineRule="auto"/>
        <w:jc w:val="both"/>
        <w:rPr>
          <w:rFonts w:ascii="Arial" w:eastAsia="Calibri" w:hAnsi="Arial" w:cs="Arial"/>
          <w:b/>
          <w:color w:val="333333"/>
          <w:shd w:val="clear" w:color="auto" w:fill="FFFFFF"/>
        </w:rPr>
      </w:pPr>
      <w:r>
        <w:rPr>
          <w:rFonts w:ascii="Arial" w:eastAsia="Calibri" w:hAnsi="Arial" w:cs="Arial"/>
          <w:b/>
          <w:color w:val="333333"/>
          <w:shd w:val="clear" w:color="auto" w:fill="FFFFFF"/>
        </w:rPr>
        <w:lastRenderedPageBreak/>
        <w:t>19</w:t>
      </w:r>
      <w:r w:rsidRPr="00E66CC1">
        <w:rPr>
          <w:rFonts w:ascii="Arial" w:eastAsia="Calibri" w:hAnsi="Arial" w:cs="Arial"/>
          <w:b/>
          <w:color w:val="333333"/>
          <w:shd w:val="clear" w:color="auto" w:fill="FFFFFF"/>
        </w:rPr>
        <w:t xml:space="preserve">. </w:t>
      </w:r>
      <w:r>
        <w:rPr>
          <w:rFonts w:ascii="Arial" w:eastAsia="Calibri" w:hAnsi="Arial" w:cs="Arial"/>
          <w:b/>
          <w:color w:val="333333"/>
          <w:shd w:val="clear" w:color="auto" w:fill="FFFFFF"/>
        </w:rPr>
        <w:t>Have you used any of the services listed in question 18? Please tick all that apply.</w:t>
      </w:r>
    </w:p>
    <w:p w14:paraId="05957B87" w14:textId="77777777" w:rsidR="008A1FE5" w:rsidRDefault="008A1FE5" w:rsidP="00DC54F7">
      <w:pPr>
        <w:spacing w:after="0" w:line="240" w:lineRule="auto"/>
        <w:jc w:val="both"/>
        <w:rPr>
          <w:rFonts w:ascii="Arial" w:eastAsia="Calibri" w:hAnsi="Arial" w:cs="Arial"/>
          <w:b/>
          <w:color w:val="333333"/>
          <w:shd w:val="clear" w:color="auto" w:fill="FFFFFF"/>
        </w:rPr>
      </w:pPr>
    </w:p>
    <w:p w14:paraId="52B08D1C" w14:textId="77777777" w:rsidR="008A1FE5" w:rsidRPr="008B4282" w:rsidRDefault="008A1FE5" w:rsidP="00DC54F7">
      <w:pPr>
        <w:pStyle w:val="ListParagraph"/>
        <w:numPr>
          <w:ilvl w:val="0"/>
          <w:numId w:val="191"/>
        </w:numPr>
        <w:spacing w:after="0" w:line="240" w:lineRule="auto"/>
        <w:jc w:val="both"/>
        <w:rPr>
          <w:rFonts w:ascii="Arial" w:eastAsia="Calibri" w:hAnsi="Arial" w:cs="Arial"/>
          <w:b/>
          <w:color w:val="333333"/>
          <w:shd w:val="clear" w:color="auto" w:fill="FFFFFF"/>
        </w:rPr>
      </w:pPr>
      <w:r>
        <w:rPr>
          <w:rFonts w:ascii="Arial" w:eastAsia="Calibri" w:hAnsi="Arial" w:cs="Arial"/>
          <w:color w:val="333333"/>
          <w:shd w:val="clear" w:color="auto" w:fill="FFFFFF"/>
        </w:rPr>
        <w:t xml:space="preserve">Flu vaccinations (for those who are in one of the at risk groups) </w:t>
      </w:r>
    </w:p>
    <w:p w14:paraId="5A22454F" w14:textId="77777777" w:rsidR="008A1FE5" w:rsidRPr="008B4282" w:rsidRDefault="008A1FE5" w:rsidP="00DC54F7">
      <w:pPr>
        <w:pStyle w:val="ListParagraph"/>
        <w:numPr>
          <w:ilvl w:val="0"/>
          <w:numId w:val="191"/>
        </w:numPr>
        <w:spacing w:after="0" w:line="240" w:lineRule="auto"/>
        <w:jc w:val="both"/>
        <w:rPr>
          <w:rFonts w:ascii="Arial" w:eastAsia="Calibri" w:hAnsi="Arial" w:cs="Arial"/>
          <w:b/>
          <w:color w:val="333333"/>
          <w:shd w:val="clear" w:color="auto" w:fill="FFFFFF"/>
        </w:rPr>
      </w:pPr>
      <w:r>
        <w:rPr>
          <w:rFonts w:ascii="Arial" w:eastAsia="Calibri" w:hAnsi="Arial" w:cs="Arial"/>
          <w:color w:val="333333"/>
          <w:shd w:val="clear" w:color="auto" w:fill="FFFFFF"/>
        </w:rPr>
        <w:t>Medicines use review service</w:t>
      </w:r>
    </w:p>
    <w:p w14:paraId="6FC9D53E" w14:textId="77777777" w:rsidR="008A1FE5" w:rsidRPr="008B4282" w:rsidRDefault="008A1FE5" w:rsidP="00DC54F7">
      <w:pPr>
        <w:pStyle w:val="ListParagraph"/>
        <w:numPr>
          <w:ilvl w:val="0"/>
          <w:numId w:val="191"/>
        </w:numPr>
        <w:spacing w:after="0" w:line="240" w:lineRule="auto"/>
        <w:jc w:val="both"/>
        <w:rPr>
          <w:rFonts w:ascii="Arial" w:eastAsia="Calibri" w:hAnsi="Arial" w:cs="Arial"/>
          <w:b/>
          <w:color w:val="333333"/>
          <w:shd w:val="clear" w:color="auto" w:fill="FFFFFF"/>
        </w:rPr>
      </w:pPr>
      <w:r>
        <w:rPr>
          <w:rFonts w:ascii="Arial" w:eastAsia="Calibri" w:hAnsi="Arial" w:cs="Arial"/>
          <w:color w:val="333333"/>
          <w:shd w:val="clear" w:color="auto" w:fill="FFFFFF"/>
        </w:rPr>
        <w:t>Discharge m</w:t>
      </w:r>
      <w:r w:rsidRPr="008B4282">
        <w:rPr>
          <w:rFonts w:ascii="Arial" w:eastAsia="Calibri" w:hAnsi="Arial" w:cs="Arial"/>
          <w:color w:val="333333"/>
          <w:shd w:val="clear" w:color="auto" w:fill="FFFFFF"/>
        </w:rPr>
        <w:t xml:space="preserve">edicines </w:t>
      </w:r>
      <w:r>
        <w:rPr>
          <w:rFonts w:ascii="Arial" w:eastAsia="Calibri" w:hAnsi="Arial" w:cs="Arial"/>
          <w:color w:val="333333"/>
          <w:shd w:val="clear" w:color="auto" w:fill="FFFFFF"/>
        </w:rPr>
        <w:t>review s</w:t>
      </w:r>
      <w:r w:rsidRPr="008B4282">
        <w:rPr>
          <w:rFonts w:ascii="Arial" w:eastAsia="Calibri" w:hAnsi="Arial" w:cs="Arial"/>
          <w:color w:val="333333"/>
          <w:shd w:val="clear" w:color="auto" w:fill="FFFFFF"/>
        </w:rPr>
        <w:t>ervice</w:t>
      </w:r>
    </w:p>
    <w:p w14:paraId="2D069ACB" w14:textId="77777777" w:rsidR="008A1FE5" w:rsidRPr="008B4282" w:rsidRDefault="008A1FE5" w:rsidP="00DC54F7">
      <w:pPr>
        <w:pStyle w:val="ListParagraph"/>
        <w:numPr>
          <w:ilvl w:val="0"/>
          <w:numId w:val="191"/>
        </w:numPr>
        <w:spacing w:after="0" w:line="240" w:lineRule="auto"/>
        <w:jc w:val="both"/>
        <w:rPr>
          <w:rFonts w:ascii="Arial" w:eastAsia="Calibri" w:hAnsi="Arial" w:cs="Arial"/>
          <w:b/>
          <w:color w:val="333333"/>
          <w:shd w:val="clear" w:color="auto" w:fill="FFFFFF"/>
        </w:rPr>
      </w:pPr>
      <w:r>
        <w:rPr>
          <w:rFonts w:ascii="Arial" w:eastAsia="Calibri" w:hAnsi="Arial" w:cs="Arial"/>
          <w:color w:val="333333"/>
          <w:shd w:val="clear" w:color="auto" w:fill="FFFFFF"/>
        </w:rPr>
        <w:t xml:space="preserve">Appliance use review service </w:t>
      </w:r>
    </w:p>
    <w:p w14:paraId="716D2D8B" w14:textId="77777777" w:rsidR="008A1FE5" w:rsidRPr="008B4282" w:rsidRDefault="008A1FE5" w:rsidP="00DC54F7">
      <w:pPr>
        <w:pStyle w:val="ListParagraph"/>
        <w:numPr>
          <w:ilvl w:val="0"/>
          <w:numId w:val="191"/>
        </w:numPr>
        <w:spacing w:after="0" w:line="240" w:lineRule="auto"/>
        <w:jc w:val="both"/>
        <w:rPr>
          <w:rFonts w:ascii="Arial" w:eastAsia="Calibri" w:hAnsi="Arial" w:cs="Arial"/>
          <w:b/>
          <w:color w:val="333333"/>
          <w:shd w:val="clear" w:color="auto" w:fill="FFFFFF"/>
        </w:rPr>
      </w:pPr>
      <w:r>
        <w:rPr>
          <w:rFonts w:ascii="Arial" w:eastAsia="Calibri" w:hAnsi="Arial" w:cs="Arial"/>
          <w:color w:val="333333"/>
          <w:shd w:val="clear" w:color="auto" w:fill="FFFFFF"/>
        </w:rPr>
        <w:t>Emergency contraception, also referred to as the ‘morning after pill’</w:t>
      </w:r>
    </w:p>
    <w:p w14:paraId="0479187F" w14:textId="77777777" w:rsidR="008A1FE5" w:rsidRDefault="008A1FE5" w:rsidP="00DC54F7">
      <w:pPr>
        <w:pStyle w:val="ListParagraph"/>
        <w:numPr>
          <w:ilvl w:val="0"/>
          <w:numId w:val="191"/>
        </w:numPr>
        <w:spacing w:after="0" w:line="240" w:lineRule="auto"/>
        <w:jc w:val="both"/>
        <w:rPr>
          <w:rFonts w:ascii="Arial" w:eastAsia="Calibri" w:hAnsi="Arial" w:cs="Arial"/>
          <w:color w:val="333333"/>
          <w:shd w:val="clear" w:color="auto" w:fill="FFFFFF"/>
        </w:rPr>
      </w:pPr>
      <w:r w:rsidRPr="008B4282">
        <w:rPr>
          <w:rFonts w:ascii="Arial" w:eastAsia="Calibri" w:hAnsi="Arial" w:cs="Arial"/>
          <w:color w:val="333333"/>
          <w:shd w:val="clear" w:color="auto" w:fill="FFFFFF"/>
        </w:rPr>
        <w:t>Help to stop smoking</w:t>
      </w:r>
    </w:p>
    <w:p w14:paraId="34AD824D" w14:textId="77777777" w:rsidR="008A1FE5" w:rsidRPr="003F405E" w:rsidRDefault="008A1FE5" w:rsidP="00DC54F7">
      <w:pPr>
        <w:pStyle w:val="ListParagraph"/>
        <w:numPr>
          <w:ilvl w:val="0"/>
          <w:numId w:val="191"/>
        </w:numPr>
        <w:spacing w:after="0" w:line="240" w:lineRule="auto"/>
        <w:jc w:val="both"/>
        <w:rPr>
          <w:rFonts w:ascii="Arial" w:eastAsia="Calibri" w:hAnsi="Arial" w:cs="Arial"/>
          <w:b/>
          <w:color w:val="333333"/>
          <w:shd w:val="clear" w:color="auto" w:fill="FFFFFF"/>
        </w:rPr>
      </w:pPr>
      <w:r w:rsidRPr="00566D58">
        <w:rPr>
          <w:rFonts w:ascii="Arial" w:eastAsia="Calibri" w:hAnsi="Arial" w:cs="Arial"/>
          <w:color w:val="333333"/>
          <w:shd w:val="clear" w:color="auto" w:fill="FFFFFF"/>
        </w:rPr>
        <w:t>Common ailments scheme</w:t>
      </w:r>
    </w:p>
    <w:p w14:paraId="7F6C865B" w14:textId="77777777" w:rsidR="008A1FE5" w:rsidRDefault="008A1FE5" w:rsidP="00DC54F7">
      <w:pPr>
        <w:pStyle w:val="ListParagraph"/>
        <w:numPr>
          <w:ilvl w:val="0"/>
          <w:numId w:val="191"/>
        </w:numPr>
        <w:spacing w:after="0" w:line="240" w:lineRule="auto"/>
        <w:jc w:val="both"/>
        <w:rPr>
          <w:rFonts w:ascii="Arial" w:eastAsia="Calibri" w:hAnsi="Arial" w:cs="Arial"/>
          <w:color w:val="333333"/>
          <w:shd w:val="clear" w:color="auto" w:fill="FFFFFF"/>
        </w:rPr>
      </w:pPr>
      <w:r>
        <w:rPr>
          <w:rFonts w:ascii="Arial" w:eastAsia="Calibri" w:hAnsi="Arial" w:cs="Arial"/>
          <w:color w:val="333333"/>
          <w:shd w:val="clear" w:color="auto" w:fill="FFFFFF"/>
        </w:rPr>
        <w:t xml:space="preserve">Needle and syringe exchange </w:t>
      </w:r>
    </w:p>
    <w:p w14:paraId="016B4EB8" w14:textId="77777777" w:rsidR="008A1FE5" w:rsidRDefault="008A1FE5" w:rsidP="00DC54F7">
      <w:pPr>
        <w:pStyle w:val="ListParagraph"/>
        <w:numPr>
          <w:ilvl w:val="0"/>
          <w:numId w:val="191"/>
        </w:numPr>
        <w:spacing w:after="0" w:line="240" w:lineRule="auto"/>
        <w:jc w:val="both"/>
        <w:rPr>
          <w:rFonts w:ascii="Arial" w:eastAsia="Calibri" w:hAnsi="Arial" w:cs="Arial"/>
          <w:color w:val="333333"/>
          <w:shd w:val="clear" w:color="auto" w:fill="FFFFFF"/>
        </w:rPr>
      </w:pPr>
      <w:r>
        <w:rPr>
          <w:rFonts w:ascii="Arial" w:eastAsia="Calibri" w:hAnsi="Arial" w:cs="Arial"/>
          <w:color w:val="333333"/>
          <w:shd w:val="clear" w:color="auto" w:fill="FFFFFF"/>
        </w:rPr>
        <w:t xml:space="preserve">Supervised administration of medicines </w:t>
      </w:r>
    </w:p>
    <w:p w14:paraId="0CB78D7D" w14:textId="77777777" w:rsidR="008A1FE5" w:rsidRDefault="008A1FE5" w:rsidP="00DC54F7">
      <w:pPr>
        <w:pStyle w:val="ListParagraph"/>
        <w:numPr>
          <w:ilvl w:val="0"/>
          <w:numId w:val="191"/>
        </w:numPr>
        <w:spacing w:after="0" w:line="240" w:lineRule="auto"/>
        <w:jc w:val="both"/>
        <w:rPr>
          <w:rFonts w:ascii="Arial" w:eastAsia="Calibri" w:hAnsi="Arial" w:cs="Arial"/>
          <w:color w:val="333333"/>
          <w:shd w:val="clear" w:color="auto" w:fill="FFFFFF"/>
        </w:rPr>
      </w:pPr>
      <w:r>
        <w:rPr>
          <w:rFonts w:ascii="Arial" w:eastAsia="Calibri" w:hAnsi="Arial" w:cs="Arial"/>
          <w:color w:val="333333"/>
          <w:shd w:val="clear" w:color="auto" w:fill="FFFFFF"/>
        </w:rPr>
        <w:t xml:space="preserve">Emergency medicines supply </w:t>
      </w:r>
    </w:p>
    <w:p w14:paraId="78BBA111" w14:textId="77777777" w:rsidR="008A1FE5" w:rsidRPr="00022CAF" w:rsidRDefault="008A1FE5" w:rsidP="00DC54F7">
      <w:pPr>
        <w:pStyle w:val="ListParagraph"/>
        <w:numPr>
          <w:ilvl w:val="0"/>
          <w:numId w:val="191"/>
        </w:numPr>
        <w:spacing w:after="0" w:line="240" w:lineRule="auto"/>
        <w:jc w:val="both"/>
        <w:rPr>
          <w:rFonts w:ascii="Arial" w:eastAsia="Calibri" w:hAnsi="Arial" w:cs="Arial"/>
          <w:color w:val="333333"/>
          <w:shd w:val="clear" w:color="auto" w:fill="FFFFFF"/>
        </w:rPr>
      </w:pPr>
      <w:r>
        <w:rPr>
          <w:rFonts w:ascii="Arial" w:eastAsia="Calibri" w:hAnsi="Arial" w:cs="Arial"/>
          <w:color w:val="333333"/>
          <w:shd w:val="clear" w:color="auto" w:fill="FFFFFF"/>
        </w:rPr>
        <w:t>No</w:t>
      </w:r>
    </w:p>
    <w:p w14:paraId="511EF868" w14:textId="77777777" w:rsidR="008A1FE5" w:rsidRPr="00566D58" w:rsidRDefault="008A1FE5" w:rsidP="00DC54F7">
      <w:pPr>
        <w:pStyle w:val="ListParagraph"/>
        <w:spacing w:after="0" w:line="240" w:lineRule="auto"/>
        <w:jc w:val="both"/>
        <w:rPr>
          <w:rFonts w:ascii="Arial" w:eastAsia="Calibri" w:hAnsi="Arial" w:cs="Arial"/>
          <w:b/>
          <w:color w:val="333333"/>
          <w:shd w:val="clear" w:color="auto" w:fill="FFFFFF"/>
        </w:rPr>
      </w:pPr>
    </w:p>
    <w:p w14:paraId="2C2C8D51" w14:textId="77777777" w:rsidR="008A1FE5" w:rsidRDefault="008A1FE5" w:rsidP="00DC54F7">
      <w:pPr>
        <w:spacing w:after="0" w:line="240" w:lineRule="auto"/>
        <w:jc w:val="both"/>
        <w:rPr>
          <w:rFonts w:ascii="Arial" w:eastAsia="Calibri" w:hAnsi="Arial" w:cs="Arial"/>
          <w:b/>
          <w:color w:val="333333"/>
          <w:shd w:val="clear" w:color="auto" w:fill="FFFFFF"/>
        </w:rPr>
      </w:pPr>
    </w:p>
    <w:p w14:paraId="4436269B" w14:textId="77777777" w:rsidR="008A1FE5" w:rsidRPr="00E66CC1" w:rsidRDefault="008A1FE5" w:rsidP="00DC54F7">
      <w:pPr>
        <w:spacing w:after="0" w:line="240" w:lineRule="auto"/>
        <w:jc w:val="both"/>
        <w:rPr>
          <w:rFonts w:ascii="Arial" w:eastAsia="Calibri" w:hAnsi="Arial" w:cs="Arial"/>
          <w:b/>
          <w:color w:val="333333"/>
          <w:shd w:val="clear" w:color="auto" w:fill="FFFFFF"/>
        </w:rPr>
      </w:pPr>
      <w:r>
        <w:rPr>
          <w:rFonts w:ascii="Arial" w:eastAsia="Calibri" w:hAnsi="Arial" w:cs="Arial"/>
          <w:b/>
          <w:color w:val="333333"/>
          <w:shd w:val="clear" w:color="auto" w:fill="FFFFFF"/>
        </w:rPr>
        <w:t xml:space="preserve">20. </w:t>
      </w:r>
      <w:r w:rsidRPr="00E66CC1">
        <w:rPr>
          <w:rFonts w:ascii="Arial" w:eastAsia="Calibri" w:hAnsi="Arial" w:cs="Arial"/>
          <w:b/>
          <w:color w:val="333333"/>
          <w:shd w:val="clear" w:color="auto" w:fill="FFFFFF"/>
        </w:rPr>
        <w:t xml:space="preserve">Is there anything else you would like to tell us about your </w:t>
      </w:r>
      <w:r>
        <w:rPr>
          <w:rFonts w:ascii="Arial" w:eastAsia="Calibri" w:hAnsi="Arial" w:cs="Arial"/>
          <w:b/>
          <w:color w:val="333333"/>
          <w:shd w:val="clear" w:color="auto" w:fill="FFFFFF"/>
        </w:rPr>
        <w:t xml:space="preserve">experience of your </w:t>
      </w:r>
      <w:r w:rsidRPr="00E66CC1">
        <w:rPr>
          <w:rFonts w:ascii="Arial" w:eastAsia="Calibri" w:hAnsi="Arial" w:cs="Arial"/>
          <w:b/>
          <w:color w:val="333333"/>
          <w:shd w:val="clear" w:color="auto" w:fill="FFFFFF"/>
        </w:rPr>
        <w:t>local pharmacy?</w:t>
      </w:r>
    </w:p>
    <w:p w14:paraId="6C73DB67" w14:textId="77777777" w:rsidR="008A1FE5" w:rsidRPr="00E66CC1" w:rsidRDefault="008A1FE5" w:rsidP="00DC54F7">
      <w:pPr>
        <w:spacing w:after="0" w:line="240" w:lineRule="auto"/>
        <w:jc w:val="both"/>
        <w:rPr>
          <w:rFonts w:ascii="Arial" w:eastAsia="Calibri" w:hAnsi="Arial" w:cs="Arial"/>
          <w:b/>
          <w:color w:val="333333"/>
          <w:shd w:val="clear" w:color="auto" w:fill="FFFFFF"/>
        </w:rPr>
      </w:pPr>
    </w:p>
    <w:p w14:paraId="33B4E91E" w14:textId="77777777" w:rsidR="008A1FE5" w:rsidRPr="00E66CC1" w:rsidRDefault="008A1FE5" w:rsidP="00DC54F7">
      <w:pPr>
        <w:spacing w:after="0" w:line="240" w:lineRule="auto"/>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[Text box]</w:t>
      </w:r>
    </w:p>
    <w:p w14:paraId="3E5FF08D" w14:textId="77777777" w:rsidR="008A1FE5" w:rsidRPr="00E66CC1" w:rsidRDefault="008A1FE5" w:rsidP="00DC54F7">
      <w:pPr>
        <w:spacing w:after="0" w:line="240" w:lineRule="auto"/>
        <w:jc w:val="both"/>
        <w:rPr>
          <w:rFonts w:ascii="Arial" w:eastAsia="Calibri" w:hAnsi="Arial" w:cs="Arial"/>
          <w:b/>
          <w:color w:val="333333"/>
          <w:shd w:val="clear" w:color="auto" w:fill="FFFFFF"/>
        </w:rPr>
      </w:pPr>
    </w:p>
    <w:p w14:paraId="019C2419" w14:textId="77777777" w:rsidR="008A1FE5" w:rsidRDefault="008A1FE5" w:rsidP="00DC54F7">
      <w:pPr>
        <w:spacing w:after="0" w:line="240" w:lineRule="auto"/>
        <w:jc w:val="both"/>
        <w:rPr>
          <w:rFonts w:ascii="Arial" w:eastAsia="Calibri" w:hAnsi="Arial" w:cs="Arial"/>
          <w:b/>
          <w:color w:val="333333"/>
          <w:shd w:val="clear" w:color="auto" w:fill="FFFFFF"/>
        </w:rPr>
      </w:pPr>
      <w:r>
        <w:rPr>
          <w:rFonts w:ascii="Arial" w:eastAsia="Calibri" w:hAnsi="Arial" w:cs="Arial"/>
          <w:b/>
          <w:color w:val="333333"/>
          <w:shd w:val="clear" w:color="auto" w:fill="FFFFFF"/>
        </w:rPr>
        <w:t>21. Are there any barriers to you accessing services at your pharmacy that you have not mentioned?</w:t>
      </w:r>
    </w:p>
    <w:p w14:paraId="5E218283" w14:textId="77777777" w:rsidR="008A1FE5" w:rsidRDefault="008A1FE5" w:rsidP="00DC54F7">
      <w:pPr>
        <w:spacing w:after="0" w:line="240" w:lineRule="auto"/>
        <w:jc w:val="both"/>
        <w:rPr>
          <w:rFonts w:ascii="Arial" w:eastAsia="Calibri" w:hAnsi="Arial" w:cs="Arial"/>
          <w:b/>
          <w:color w:val="333333"/>
          <w:shd w:val="clear" w:color="auto" w:fill="FFFFFF"/>
        </w:rPr>
      </w:pPr>
    </w:p>
    <w:p w14:paraId="4698B49B" w14:textId="77777777" w:rsidR="008A1FE5" w:rsidRPr="00E66CC1" w:rsidRDefault="008A1FE5" w:rsidP="00DC54F7">
      <w:pPr>
        <w:spacing w:after="0" w:line="240" w:lineRule="auto"/>
        <w:jc w:val="both"/>
        <w:rPr>
          <w:rFonts w:ascii="Arial" w:eastAsia="Calibri" w:hAnsi="Arial" w:cs="Arial"/>
          <w:color w:val="333333"/>
          <w:shd w:val="clear" w:color="auto" w:fill="FFFFFF"/>
        </w:rPr>
      </w:pPr>
      <w:r w:rsidRPr="00E66CC1">
        <w:rPr>
          <w:rFonts w:ascii="Arial" w:eastAsia="Calibri" w:hAnsi="Arial" w:cs="Arial"/>
          <w:color w:val="333333"/>
          <w:shd w:val="clear" w:color="auto" w:fill="FFFFFF"/>
        </w:rPr>
        <w:t>[Text box]</w:t>
      </w:r>
    </w:p>
    <w:p w14:paraId="6B557B84" w14:textId="77777777" w:rsidR="008A1FE5" w:rsidRDefault="008A1FE5" w:rsidP="00DC54F7">
      <w:pPr>
        <w:spacing w:after="0" w:line="240" w:lineRule="auto"/>
        <w:jc w:val="both"/>
        <w:rPr>
          <w:rFonts w:ascii="Arial" w:eastAsia="Calibri" w:hAnsi="Arial" w:cs="Arial"/>
          <w:b/>
          <w:color w:val="333333"/>
          <w:shd w:val="clear" w:color="auto" w:fill="FFFFFF"/>
        </w:rPr>
      </w:pPr>
    </w:p>
    <w:p w14:paraId="64BEF55D" w14:textId="245324E7" w:rsidR="008A1FE5" w:rsidRPr="00AE758E" w:rsidRDefault="008A1FE5" w:rsidP="00DC54F7">
      <w:pPr>
        <w:jc w:val="both"/>
        <w:rPr>
          <w:rFonts w:ascii="Arial" w:eastAsia="Calibri" w:hAnsi="Arial" w:cs="Arial"/>
          <w:b/>
          <w:color w:val="333333"/>
          <w:shd w:val="clear" w:color="auto" w:fill="FFFFFF"/>
        </w:rPr>
      </w:pPr>
      <w:r>
        <w:rPr>
          <w:rFonts w:ascii="Arial" w:eastAsia="Calibri" w:hAnsi="Arial" w:cs="Arial"/>
          <w:b/>
          <w:color w:val="333333"/>
          <w:shd w:val="clear" w:color="auto" w:fill="FFFFFF"/>
        </w:rPr>
        <w:br w:type="page"/>
      </w:r>
      <w:r>
        <w:rPr>
          <w:rFonts w:cs="Arial"/>
          <w:b/>
          <w:sz w:val="28"/>
          <w:szCs w:val="24"/>
        </w:rPr>
        <w:lastRenderedPageBreak/>
        <w:t>Cardiff and Vale University Health Board Equality Questions</w:t>
      </w:r>
    </w:p>
    <w:p w14:paraId="0CD7EAEC" w14:textId="77777777" w:rsidR="008A1FE5" w:rsidRPr="00C34D24" w:rsidRDefault="008A1FE5" w:rsidP="00DC54F7">
      <w:pPr>
        <w:jc w:val="both"/>
        <w:rPr>
          <w:rFonts w:cs="Arial"/>
          <w:caps/>
          <w:sz w:val="24"/>
          <w:szCs w:val="24"/>
        </w:rPr>
      </w:pPr>
      <w:r w:rsidRPr="00C34D24">
        <w:rPr>
          <w:rFonts w:cs="Arial"/>
          <w:sz w:val="24"/>
          <w:szCs w:val="24"/>
          <w:lang w:bidi="en-US"/>
        </w:rPr>
        <w:t>We are committed to ensuring all our service users and staff are treated fairly and with dignity and respect.  We can only achieve this if we know more about the people who work for us and/or use the services we provide.  W</w:t>
      </w:r>
      <w:r w:rsidRPr="00C34D24">
        <w:rPr>
          <w:rFonts w:cs="Arial"/>
          <w:sz w:val="24"/>
          <w:szCs w:val="24"/>
        </w:rPr>
        <w:t>e would be grateful if you completed the following questionnaire</w:t>
      </w:r>
      <w:r w:rsidRPr="00C34D24">
        <w:rPr>
          <w:rFonts w:cs="Arial"/>
          <w:sz w:val="24"/>
          <w:szCs w:val="24"/>
          <w:lang w:bidi="en-US"/>
        </w:rPr>
        <w:t xml:space="preserve">. Your background information will be used for monitoring purposes only and held in strictest confidence.  </w:t>
      </w:r>
    </w:p>
    <w:tbl>
      <w:tblPr>
        <w:tblStyle w:val="TableGrid"/>
        <w:tblW w:w="0" w:type="auto"/>
        <w:tblLook w:val="04A0" w:firstRow="1" w:lastRow="0" w:firstColumn="1" w:lastColumn="0" w:noHBand="0" w:noVBand="1"/>
      </w:tblPr>
      <w:tblGrid>
        <w:gridCol w:w="2254"/>
        <w:gridCol w:w="2254"/>
        <w:gridCol w:w="2254"/>
        <w:gridCol w:w="2254"/>
      </w:tblGrid>
      <w:tr w:rsidR="008A1FE5" w:rsidRPr="00BA3FBA" w14:paraId="31C70B60" w14:textId="77777777" w:rsidTr="00AA572E">
        <w:tc>
          <w:tcPr>
            <w:tcW w:w="9016" w:type="dxa"/>
            <w:gridSpan w:val="4"/>
            <w:shd w:val="clear" w:color="auto" w:fill="EEECE1" w:themeFill="background2"/>
          </w:tcPr>
          <w:p w14:paraId="525C160E" w14:textId="77777777" w:rsidR="008A1FE5" w:rsidRPr="0027570B" w:rsidRDefault="008A1FE5" w:rsidP="00DC54F7">
            <w:pPr>
              <w:pStyle w:val="ListParagraph"/>
              <w:numPr>
                <w:ilvl w:val="0"/>
                <w:numId w:val="194"/>
              </w:numPr>
              <w:jc w:val="both"/>
              <w:rPr>
                <w:rFonts w:cs="Arial"/>
                <w:b/>
                <w:szCs w:val="24"/>
              </w:rPr>
            </w:pPr>
            <w:r w:rsidRPr="0027570B">
              <w:rPr>
                <w:rFonts w:cs="Arial"/>
                <w:b/>
                <w:szCs w:val="24"/>
              </w:rPr>
              <w:t>What was your age on your last birthday? Please tick one box</w:t>
            </w:r>
          </w:p>
        </w:tc>
      </w:tr>
      <w:tr w:rsidR="008A1FE5" w:rsidRPr="00BA3FBA" w14:paraId="4E8F4E63" w14:textId="77777777" w:rsidTr="00AA572E">
        <w:tc>
          <w:tcPr>
            <w:tcW w:w="2254" w:type="dxa"/>
            <w:shd w:val="clear" w:color="auto" w:fill="EEECE1" w:themeFill="background2"/>
          </w:tcPr>
          <w:p w14:paraId="3C0C381E" w14:textId="77777777" w:rsidR="008A1FE5" w:rsidRPr="00BA3FBA" w:rsidRDefault="008A1FE5" w:rsidP="00DC54F7">
            <w:pPr>
              <w:jc w:val="both"/>
              <w:rPr>
                <w:rFonts w:cs="Arial"/>
                <w:szCs w:val="24"/>
              </w:rPr>
            </w:pPr>
            <w:r w:rsidRPr="00BA3FBA">
              <w:rPr>
                <w:rFonts w:cs="Arial"/>
                <w:szCs w:val="24"/>
              </w:rPr>
              <w:t>Under 16</w:t>
            </w:r>
          </w:p>
        </w:tc>
        <w:sdt>
          <w:sdtPr>
            <w:rPr>
              <w:rFonts w:cs="Arial"/>
              <w:szCs w:val="24"/>
            </w:rPr>
            <w:id w:val="1797635717"/>
            <w14:checkbox>
              <w14:checked w14:val="0"/>
              <w14:checkedState w14:val="2612" w14:font="MS Gothic"/>
              <w14:uncheckedState w14:val="2610" w14:font="MS Gothic"/>
            </w14:checkbox>
          </w:sdtPr>
          <w:sdtContent>
            <w:tc>
              <w:tcPr>
                <w:tcW w:w="2254" w:type="dxa"/>
              </w:tcPr>
              <w:p w14:paraId="3BD1B35C" w14:textId="77777777" w:rsidR="008A1FE5" w:rsidRPr="00BA3FBA" w:rsidRDefault="008A1FE5" w:rsidP="00DC54F7">
                <w:pPr>
                  <w:jc w:val="both"/>
                  <w:rPr>
                    <w:rFonts w:cs="Arial"/>
                    <w:szCs w:val="24"/>
                  </w:rPr>
                </w:pPr>
                <w:r>
                  <w:rPr>
                    <w:rFonts w:ascii="MS Gothic" w:eastAsia="MS Gothic" w:hAnsi="MS Gothic" w:cs="Arial" w:hint="eastAsia"/>
                    <w:szCs w:val="24"/>
                  </w:rPr>
                  <w:t>☐</w:t>
                </w:r>
              </w:p>
            </w:tc>
          </w:sdtContent>
        </w:sdt>
        <w:tc>
          <w:tcPr>
            <w:tcW w:w="2254" w:type="dxa"/>
            <w:shd w:val="clear" w:color="auto" w:fill="EEECE1" w:themeFill="background2"/>
          </w:tcPr>
          <w:p w14:paraId="76DAAFCD" w14:textId="77777777" w:rsidR="008A1FE5" w:rsidRPr="00BA3FBA" w:rsidRDefault="008A1FE5" w:rsidP="00DC54F7">
            <w:pPr>
              <w:jc w:val="both"/>
              <w:rPr>
                <w:rFonts w:cs="Arial"/>
                <w:szCs w:val="24"/>
              </w:rPr>
            </w:pPr>
            <w:r w:rsidRPr="00BA3FBA">
              <w:rPr>
                <w:rFonts w:cs="Arial"/>
                <w:szCs w:val="24"/>
              </w:rPr>
              <w:t>45-54</w:t>
            </w:r>
          </w:p>
        </w:tc>
        <w:sdt>
          <w:sdtPr>
            <w:rPr>
              <w:rFonts w:cs="Arial"/>
              <w:szCs w:val="24"/>
            </w:rPr>
            <w:id w:val="-986087533"/>
            <w14:checkbox>
              <w14:checked w14:val="0"/>
              <w14:checkedState w14:val="2612" w14:font="MS Gothic"/>
              <w14:uncheckedState w14:val="2610" w14:font="MS Gothic"/>
            </w14:checkbox>
          </w:sdtPr>
          <w:sdtContent>
            <w:tc>
              <w:tcPr>
                <w:tcW w:w="2254" w:type="dxa"/>
              </w:tcPr>
              <w:p w14:paraId="3E975471" w14:textId="77777777" w:rsidR="008A1FE5" w:rsidRPr="00BA3FBA" w:rsidRDefault="008A1FE5" w:rsidP="00DC54F7">
                <w:pPr>
                  <w:jc w:val="both"/>
                  <w:rPr>
                    <w:rFonts w:cs="Arial"/>
                    <w:szCs w:val="24"/>
                  </w:rPr>
                </w:pPr>
                <w:r>
                  <w:rPr>
                    <w:rFonts w:ascii="MS Gothic" w:eastAsia="MS Gothic" w:hAnsi="MS Gothic" w:cs="Arial" w:hint="eastAsia"/>
                    <w:szCs w:val="24"/>
                  </w:rPr>
                  <w:t>☐</w:t>
                </w:r>
              </w:p>
            </w:tc>
          </w:sdtContent>
        </w:sdt>
      </w:tr>
      <w:tr w:rsidR="008A1FE5" w:rsidRPr="00BA3FBA" w14:paraId="2372CE37" w14:textId="77777777" w:rsidTr="00AA572E">
        <w:tc>
          <w:tcPr>
            <w:tcW w:w="2254" w:type="dxa"/>
            <w:shd w:val="clear" w:color="auto" w:fill="EEECE1" w:themeFill="background2"/>
          </w:tcPr>
          <w:p w14:paraId="6ABF15E9" w14:textId="77777777" w:rsidR="008A1FE5" w:rsidRPr="00BA3FBA" w:rsidRDefault="008A1FE5" w:rsidP="00DC54F7">
            <w:pPr>
              <w:jc w:val="both"/>
              <w:rPr>
                <w:rFonts w:cs="Arial"/>
                <w:szCs w:val="24"/>
              </w:rPr>
            </w:pPr>
            <w:r w:rsidRPr="00BA3FBA">
              <w:rPr>
                <w:rFonts w:cs="Arial"/>
                <w:szCs w:val="24"/>
              </w:rPr>
              <w:t>16-24</w:t>
            </w:r>
          </w:p>
        </w:tc>
        <w:sdt>
          <w:sdtPr>
            <w:rPr>
              <w:rFonts w:cs="Arial"/>
              <w:szCs w:val="24"/>
            </w:rPr>
            <w:id w:val="1563207319"/>
            <w14:checkbox>
              <w14:checked w14:val="0"/>
              <w14:checkedState w14:val="2612" w14:font="MS Gothic"/>
              <w14:uncheckedState w14:val="2610" w14:font="MS Gothic"/>
            </w14:checkbox>
          </w:sdtPr>
          <w:sdtContent>
            <w:tc>
              <w:tcPr>
                <w:tcW w:w="2254" w:type="dxa"/>
              </w:tcPr>
              <w:p w14:paraId="3FB885B4" w14:textId="77777777" w:rsidR="008A1FE5" w:rsidRPr="00BA3FBA" w:rsidRDefault="008A1FE5" w:rsidP="00DC54F7">
                <w:pPr>
                  <w:jc w:val="both"/>
                  <w:rPr>
                    <w:rFonts w:cs="Arial"/>
                    <w:szCs w:val="24"/>
                  </w:rPr>
                </w:pPr>
                <w:r>
                  <w:rPr>
                    <w:rFonts w:ascii="MS Gothic" w:eastAsia="MS Gothic" w:hAnsi="MS Gothic" w:cs="Arial" w:hint="eastAsia"/>
                    <w:szCs w:val="24"/>
                  </w:rPr>
                  <w:t>☐</w:t>
                </w:r>
              </w:p>
            </w:tc>
          </w:sdtContent>
        </w:sdt>
        <w:tc>
          <w:tcPr>
            <w:tcW w:w="2254" w:type="dxa"/>
            <w:shd w:val="clear" w:color="auto" w:fill="EEECE1" w:themeFill="background2"/>
          </w:tcPr>
          <w:p w14:paraId="24EE201C" w14:textId="77777777" w:rsidR="008A1FE5" w:rsidRPr="00BA3FBA" w:rsidRDefault="008A1FE5" w:rsidP="00DC54F7">
            <w:pPr>
              <w:jc w:val="both"/>
              <w:rPr>
                <w:rFonts w:cs="Arial"/>
                <w:szCs w:val="24"/>
              </w:rPr>
            </w:pPr>
            <w:r w:rsidRPr="00BA3FBA">
              <w:rPr>
                <w:rFonts w:cs="Arial"/>
                <w:szCs w:val="24"/>
              </w:rPr>
              <w:t>55-64</w:t>
            </w:r>
          </w:p>
        </w:tc>
        <w:sdt>
          <w:sdtPr>
            <w:rPr>
              <w:rFonts w:cs="Arial"/>
              <w:szCs w:val="24"/>
            </w:rPr>
            <w:id w:val="2053413254"/>
            <w14:checkbox>
              <w14:checked w14:val="0"/>
              <w14:checkedState w14:val="2612" w14:font="MS Gothic"/>
              <w14:uncheckedState w14:val="2610" w14:font="MS Gothic"/>
            </w14:checkbox>
          </w:sdtPr>
          <w:sdtContent>
            <w:tc>
              <w:tcPr>
                <w:tcW w:w="2254" w:type="dxa"/>
              </w:tcPr>
              <w:p w14:paraId="5E52A438" w14:textId="77777777" w:rsidR="008A1FE5" w:rsidRPr="00BA3FBA" w:rsidRDefault="008A1FE5" w:rsidP="00DC54F7">
                <w:pPr>
                  <w:jc w:val="both"/>
                  <w:rPr>
                    <w:rFonts w:cs="Arial"/>
                    <w:szCs w:val="24"/>
                  </w:rPr>
                </w:pPr>
                <w:r>
                  <w:rPr>
                    <w:rFonts w:ascii="MS Gothic" w:eastAsia="MS Gothic" w:hAnsi="MS Gothic" w:cs="Arial" w:hint="eastAsia"/>
                    <w:szCs w:val="24"/>
                  </w:rPr>
                  <w:t>☐</w:t>
                </w:r>
              </w:p>
            </w:tc>
          </w:sdtContent>
        </w:sdt>
      </w:tr>
      <w:tr w:rsidR="008A1FE5" w:rsidRPr="00BA3FBA" w14:paraId="4EC934A0" w14:textId="77777777" w:rsidTr="00AA572E">
        <w:tc>
          <w:tcPr>
            <w:tcW w:w="2254" w:type="dxa"/>
            <w:shd w:val="clear" w:color="auto" w:fill="EEECE1" w:themeFill="background2"/>
          </w:tcPr>
          <w:p w14:paraId="065DCD9B" w14:textId="77777777" w:rsidR="008A1FE5" w:rsidRPr="00BA3FBA" w:rsidRDefault="008A1FE5" w:rsidP="00DC54F7">
            <w:pPr>
              <w:jc w:val="both"/>
              <w:rPr>
                <w:rFonts w:cs="Arial"/>
                <w:szCs w:val="24"/>
              </w:rPr>
            </w:pPr>
            <w:r w:rsidRPr="00BA3FBA">
              <w:rPr>
                <w:rFonts w:cs="Arial"/>
                <w:szCs w:val="24"/>
              </w:rPr>
              <w:t>25-34</w:t>
            </w:r>
          </w:p>
        </w:tc>
        <w:sdt>
          <w:sdtPr>
            <w:rPr>
              <w:rFonts w:cs="Arial"/>
              <w:szCs w:val="24"/>
            </w:rPr>
            <w:id w:val="1051887891"/>
            <w14:checkbox>
              <w14:checked w14:val="0"/>
              <w14:checkedState w14:val="2612" w14:font="MS Gothic"/>
              <w14:uncheckedState w14:val="2610" w14:font="MS Gothic"/>
            </w14:checkbox>
          </w:sdtPr>
          <w:sdtContent>
            <w:tc>
              <w:tcPr>
                <w:tcW w:w="2254" w:type="dxa"/>
              </w:tcPr>
              <w:p w14:paraId="57A55A92" w14:textId="77777777" w:rsidR="008A1FE5" w:rsidRPr="00BA3FBA" w:rsidRDefault="008A1FE5" w:rsidP="00DC54F7">
                <w:pPr>
                  <w:jc w:val="both"/>
                  <w:rPr>
                    <w:rFonts w:cs="Arial"/>
                    <w:szCs w:val="24"/>
                  </w:rPr>
                </w:pPr>
                <w:r>
                  <w:rPr>
                    <w:rFonts w:ascii="MS Gothic" w:eastAsia="MS Gothic" w:hAnsi="MS Gothic" w:cs="Arial" w:hint="eastAsia"/>
                    <w:szCs w:val="24"/>
                  </w:rPr>
                  <w:t>☐</w:t>
                </w:r>
              </w:p>
            </w:tc>
          </w:sdtContent>
        </w:sdt>
        <w:tc>
          <w:tcPr>
            <w:tcW w:w="2254" w:type="dxa"/>
            <w:shd w:val="clear" w:color="auto" w:fill="EEECE1" w:themeFill="background2"/>
          </w:tcPr>
          <w:p w14:paraId="7D9073C5" w14:textId="77777777" w:rsidR="008A1FE5" w:rsidRPr="00BA3FBA" w:rsidRDefault="008A1FE5" w:rsidP="00DC54F7">
            <w:pPr>
              <w:jc w:val="both"/>
              <w:rPr>
                <w:rFonts w:cs="Arial"/>
                <w:szCs w:val="24"/>
              </w:rPr>
            </w:pPr>
            <w:r w:rsidRPr="00BA3FBA">
              <w:rPr>
                <w:rFonts w:cs="Arial"/>
                <w:szCs w:val="24"/>
              </w:rPr>
              <w:t>65+</w:t>
            </w:r>
          </w:p>
        </w:tc>
        <w:sdt>
          <w:sdtPr>
            <w:rPr>
              <w:rFonts w:cs="Arial"/>
              <w:szCs w:val="24"/>
            </w:rPr>
            <w:id w:val="-150757410"/>
            <w14:checkbox>
              <w14:checked w14:val="0"/>
              <w14:checkedState w14:val="2612" w14:font="MS Gothic"/>
              <w14:uncheckedState w14:val="2610" w14:font="MS Gothic"/>
            </w14:checkbox>
          </w:sdtPr>
          <w:sdtContent>
            <w:tc>
              <w:tcPr>
                <w:tcW w:w="2254" w:type="dxa"/>
              </w:tcPr>
              <w:p w14:paraId="29B63984" w14:textId="77777777" w:rsidR="008A1FE5" w:rsidRPr="00BA3FBA" w:rsidRDefault="008A1FE5" w:rsidP="00DC54F7">
                <w:pPr>
                  <w:jc w:val="both"/>
                  <w:rPr>
                    <w:rFonts w:cs="Arial"/>
                    <w:szCs w:val="24"/>
                  </w:rPr>
                </w:pPr>
                <w:r>
                  <w:rPr>
                    <w:rFonts w:ascii="MS Gothic" w:eastAsia="MS Gothic" w:hAnsi="MS Gothic" w:cs="Arial" w:hint="eastAsia"/>
                    <w:szCs w:val="24"/>
                  </w:rPr>
                  <w:t>☐</w:t>
                </w:r>
              </w:p>
            </w:tc>
          </w:sdtContent>
        </w:sdt>
      </w:tr>
      <w:tr w:rsidR="008A1FE5" w:rsidRPr="00BA3FBA" w14:paraId="3C51359A" w14:textId="77777777" w:rsidTr="00AA572E">
        <w:tc>
          <w:tcPr>
            <w:tcW w:w="2254" w:type="dxa"/>
            <w:shd w:val="clear" w:color="auto" w:fill="EEECE1" w:themeFill="background2"/>
          </w:tcPr>
          <w:p w14:paraId="17F4B665" w14:textId="77777777" w:rsidR="008A1FE5" w:rsidRPr="00BA3FBA" w:rsidRDefault="008A1FE5" w:rsidP="00DC54F7">
            <w:pPr>
              <w:jc w:val="both"/>
              <w:rPr>
                <w:rFonts w:cs="Arial"/>
                <w:szCs w:val="24"/>
              </w:rPr>
            </w:pPr>
            <w:r w:rsidRPr="00BA3FBA">
              <w:rPr>
                <w:rFonts w:cs="Arial"/>
                <w:szCs w:val="24"/>
              </w:rPr>
              <w:t>35-44</w:t>
            </w:r>
          </w:p>
        </w:tc>
        <w:sdt>
          <w:sdtPr>
            <w:rPr>
              <w:rFonts w:cs="Arial"/>
              <w:szCs w:val="24"/>
            </w:rPr>
            <w:id w:val="-294760072"/>
            <w14:checkbox>
              <w14:checked w14:val="0"/>
              <w14:checkedState w14:val="2612" w14:font="MS Gothic"/>
              <w14:uncheckedState w14:val="2610" w14:font="MS Gothic"/>
            </w14:checkbox>
          </w:sdtPr>
          <w:sdtContent>
            <w:tc>
              <w:tcPr>
                <w:tcW w:w="2254" w:type="dxa"/>
              </w:tcPr>
              <w:p w14:paraId="2205F31F" w14:textId="77777777" w:rsidR="008A1FE5" w:rsidRPr="00BA3FBA" w:rsidRDefault="008A1FE5" w:rsidP="00DC54F7">
                <w:pPr>
                  <w:jc w:val="both"/>
                  <w:rPr>
                    <w:rFonts w:cs="Arial"/>
                    <w:szCs w:val="24"/>
                  </w:rPr>
                </w:pPr>
                <w:r>
                  <w:rPr>
                    <w:rFonts w:ascii="MS Gothic" w:eastAsia="MS Gothic" w:hAnsi="MS Gothic" w:cs="Arial" w:hint="eastAsia"/>
                    <w:szCs w:val="24"/>
                  </w:rPr>
                  <w:t>☐</w:t>
                </w:r>
              </w:p>
            </w:tc>
          </w:sdtContent>
        </w:sdt>
        <w:tc>
          <w:tcPr>
            <w:tcW w:w="2254" w:type="dxa"/>
            <w:shd w:val="clear" w:color="auto" w:fill="EEECE1" w:themeFill="background2"/>
          </w:tcPr>
          <w:p w14:paraId="594CA91A" w14:textId="77777777" w:rsidR="008A1FE5" w:rsidRPr="00BA3FBA" w:rsidRDefault="008A1FE5" w:rsidP="00DC54F7">
            <w:pPr>
              <w:jc w:val="both"/>
              <w:rPr>
                <w:rFonts w:cs="Arial"/>
                <w:szCs w:val="24"/>
              </w:rPr>
            </w:pPr>
            <w:r w:rsidRPr="00BA3FBA">
              <w:rPr>
                <w:rFonts w:cs="Arial"/>
                <w:szCs w:val="24"/>
              </w:rPr>
              <w:t>Prefer not to say</w:t>
            </w:r>
          </w:p>
        </w:tc>
        <w:sdt>
          <w:sdtPr>
            <w:rPr>
              <w:rFonts w:cs="Arial"/>
              <w:szCs w:val="24"/>
            </w:rPr>
            <w:id w:val="1709602613"/>
            <w14:checkbox>
              <w14:checked w14:val="0"/>
              <w14:checkedState w14:val="2612" w14:font="MS Gothic"/>
              <w14:uncheckedState w14:val="2610" w14:font="MS Gothic"/>
            </w14:checkbox>
          </w:sdtPr>
          <w:sdtContent>
            <w:tc>
              <w:tcPr>
                <w:tcW w:w="2254" w:type="dxa"/>
              </w:tcPr>
              <w:p w14:paraId="6D00372A" w14:textId="77777777" w:rsidR="008A1FE5" w:rsidRPr="00BA3FBA" w:rsidRDefault="008A1FE5" w:rsidP="00DC54F7">
                <w:pPr>
                  <w:jc w:val="both"/>
                  <w:rPr>
                    <w:rFonts w:cs="Arial"/>
                    <w:szCs w:val="24"/>
                  </w:rPr>
                </w:pPr>
                <w:r>
                  <w:rPr>
                    <w:rFonts w:ascii="MS Gothic" w:eastAsia="MS Gothic" w:hAnsi="MS Gothic" w:cs="Arial" w:hint="eastAsia"/>
                    <w:szCs w:val="24"/>
                  </w:rPr>
                  <w:t>☐</w:t>
                </w:r>
              </w:p>
            </w:tc>
          </w:sdtContent>
        </w:sdt>
      </w:tr>
    </w:tbl>
    <w:p w14:paraId="12822BCA" w14:textId="77777777" w:rsidR="008A1FE5" w:rsidRDefault="008A1FE5" w:rsidP="00DC54F7">
      <w:pPr>
        <w:jc w:val="both"/>
        <w:rPr>
          <w:rFonts w:ascii="Arial" w:hAnsi="Arial" w:cs="Arial"/>
          <w:sz w:val="24"/>
          <w:szCs w:val="24"/>
        </w:rPr>
      </w:pPr>
    </w:p>
    <w:tbl>
      <w:tblPr>
        <w:tblStyle w:val="TableGrid"/>
        <w:tblW w:w="0" w:type="auto"/>
        <w:tblLook w:val="04A0" w:firstRow="1" w:lastRow="0" w:firstColumn="1" w:lastColumn="0" w:noHBand="0" w:noVBand="1"/>
      </w:tblPr>
      <w:tblGrid>
        <w:gridCol w:w="2254"/>
        <w:gridCol w:w="2254"/>
        <w:gridCol w:w="2254"/>
        <w:gridCol w:w="2254"/>
      </w:tblGrid>
      <w:tr w:rsidR="008A1FE5" w:rsidRPr="00BA3FBA" w14:paraId="148C2211" w14:textId="77777777" w:rsidTr="00AA572E">
        <w:tc>
          <w:tcPr>
            <w:tcW w:w="9016" w:type="dxa"/>
            <w:gridSpan w:val="4"/>
            <w:shd w:val="clear" w:color="auto" w:fill="EEECE1" w:themeFill="background2"/>
          </w:tcPr>
          <w:p w14:paraId="26D6ABDE" w14:textId="77777777" w:rsidR="008A1FE5" w:rsidRPr="0027570B" w:rsidRDefault="008A1FE5" w:rsidP="00DC54F7">
            <w:pPr>
              <w:pStyle w:val="ListParagraph"/>
              <w:numPr>
                <w:ilvl w:val="0"/>
                <w:numId w:val="194"/>
              </w:numPr>
              <w:jc w:val="both"/>
              <w:rPr>
                <w:b/>
              </w:rPr>
            </w:pPr>
            <w:r w:rsidRPr="0027570B">
              <w:rPr>
                <w:b/>
              </w:rPr>
              <w:t>Which term best describes your gender? Please tick one box</w:t>
            </w:r>
          </w:p>
        </w:tc>
      </w:tr>
      <w:tr w:rsidR="008A1FE5" w:rsidRPr="00BA3FBA" w14:paraId="661B05F8" w14:textId="77777777" w:rsidTr="00AA572E">
        <w:tc>
          <w:tcPr>
            <w:tcW w:w="2254" w:type="dxa"/>
            <w:shd w:val="clear" w:color="auto" w:fill="EEECE1" w:themeFill="background2"/>
          </w:tcPr>
          <w:p w14:paraId="5F03A56A" w14:textId="77777777" w:rsidR="008A1FE5" w:rsidRPr="00BA3FBA" w:rsidRDefault="008A1FE5" w:rsidP="00DC54F7">
            <w:pPr>
              <w:jc w:val="both"/>
            </w:pPr>
            <w:r w:rsidRPr="00BA3FBA">
              <w:t>Female</w:t>
            </w:r>
          </w:p>
        </w:tc>
        <w:sdt>
          <w:sdtPr>
            <w:rPr>
              <w:rFonts w:cs="Arial"/>
              <w:szCs w:val="24"/>
            </w:rPr>
            <w:id w:val="-1695762142"/>
            <w14:checkbox>
              <w14:checked w14:val="0"/>
              <w14:checkedState w14:val="2612" w14:font="MS Gothic"/>
              <w14:uncheckedState w14:val="2610" w14:font="MS Gothic"/>
            </w14:checkbox>
          </w:sdtPr>
          <w:sdtContent>
            <w:tc>
              <w:tcPr>
                <w:tcW w:w="2254" w:type="dxa"/>
                <w:vAlign w:val="center"/>
              </w:tcPr>
              <w:p w14:paraId="29EDB90A" w14:textId="77777777" w:rsidR="008A1FE5" w:rsidRDefault="008A1FE5" w:rsidP="00DC54F7">
                <w:pPr>
                  <w:jc w:val="both"/>
                </w:pPr>
                <w:r w:rsidRPr="00AC610E">
                  <w:rPr>
                    <w:rFonts w:ascii="MS Gothic" w:eastAsia="MS Gothic" w:hAnsi="MS Gothic" w:cs="Arial" w:hint="eastAsia"/>
                    <w:szCs w:val="24"/>
                  </w:rPr>
                  <w:t>☐</w:t>
                </w:r>
              </w:p>
            </w:tc>
          </w:sdtContent>
        </w:sdt>
        <w:tc>
          <w:tcPr>
            <w:tcW w:w="2254" w:type="dxa"/>
            <w:shd w:val="clear" w:color="auto" w:fill="EEECE1" w:themeFill="background2"/>
          </w:tcPr>
          <w:p w14:paraId="1FE06CD5" w14:textId="77777777" w:rsidR="008A1FE5" w:rsidRPr="00BA3FBA" w:rsidRDefault="008A1FE5" w:rsidP="00DC54F7">
            <w:pPr>
              <w:jc w:val="both"/>
            </w:pPr>
            <w:r w:rsidRPr="00BA3FBA">
              <w:t>Male</w:t>
            </w:r>
          </w:p>
        </w:tc>
        <w:sdt>
          <w:sdtPr>
            <w:rPr>
              <w:rFonts w:cs="Arial"/>
              <w:szCs w:val="24"/>
            </w:rPr>
            <w:id w:val="1679701639"/>
            <w14:checkbox>
              <w14:checked w14:val="0"/>
              <w14:checkedState w14:val="2612" w14:font="MS Gothic"/>
              <w14:uncheckedState w14:val="2610" w14:font="MS Gothic"/>
            </w14:checkbox>
          </w:sdtPr>
          <w:sdtContent>
            <w:tc>
              <w:tcPr>
                <w:tcW w:w="2254" w:type="dxa"/>
                <w:vAlign w:val="center"/>
              </w:tcPr>
              <w:p w14:paraId="7FBBE3B1" w14:textId="77777777" w:rsidR="008A1FE5" w:rsidRDefault="008A1FE5" w:rsidP="00DC54F7">
                <w:pPr>
                  <w:jc w:val="both"/>
                </w:pPr>
                <w:r w:rsidRPr="005821A8">
                  <w:rPr>
                    <w:rFonts w:ascii="MS Gothic" w:eastAsia="MS Gothic" w:hAnsi="MS Gothic" w:cs="Arial" w:hint="eastAsia"/>
                    <w:szCs w:val="24"/>
                  </w:rPr>
                  <w:t>☐</w:t>
                </w:r>
              </w:p>
            </w:tc>
          </w:sdtContent>
        </w:sdt>
      </w:tr>
      <w:tr w:rsidR="008A1FE5" w:rsidRPr="00BA3FBA" w14:paraId="3A54E9DC" w14:textId="77777777" w:rsidTr="00AA572E">
        <w:tc>
          <w:tcPr>
            <w:tcW w:w="2254" w:type="dxa"/>
            <w:shd w:val="clear" w:color="auto" w:fill="EEECE1" w:themeFill="background2"/>
          </w:tcPr>
          <w:p w14:paraId="35C0E0EC" w14:textId="77777777" w:rsidR="008A1FE5" w:rsidRPr="00BA3FBA" w:rsidRDefault="008A1FE5" w:rsidP="00DC54F7">
            <w:pPr>
              <w:jc w:val="both"/>
            </w:pPr>
            <w:r w:rsidRPr="00BA3FBA">
              <w:t>Non-binary</w:t>
            </w:r>
          </w:p>
        </w:tc>
        <w:sdt>
          <w:sdtPr>
            <w:rPr>
              <w:rFonts w:cs="Arial"/>
              <w:szCs w:val="24"/>
            </w:rPr>
            <w:id w:val="1645074296"/>
            <w14:checkbox>
              <w14:checked w14:val="0"/>
              <w14:checkedState w14:val="2612" w14:font="MS Gothic"/>
              <w14:uncheckedState w14:val="2610" w14:font="MS Gothic"/>
            </w14:checkbox>
          </w:sdtPr>
          <w:sdtContent>
            <w:tc>
              <w:tcPr>
                <w:tcW w:w="2254" w:type="dxa"/>
                <w:vAlign w:val="center"/>
              </w:tcPr>
              <w:p w14:paraId="438191CE" w14:textId="77777777" w:rsidR="008A1FE5" w:rsidRDefault="008A1FE5" w:rsidP="00DC54F7">
                <w:pPr>
                  <w:jc w:val="both"/>
                </w:pPr>
                <w:r w:rsidRPr="00AC610E">
                  <w:rPr>
                    <w:rFonts w:ascii="MS Gothic" w:eastAsia="MS Gothic" w:hAnsi="MS Gothic" w:cs="Arial" w:hint="eastAsia"/>
                    <w:szCs w:val="24"/>
                  </w:rPr>
                  <w:t>☐</w:t>
                </w:r>
              </w:p>
            </w:tc>
          </w:sdtContent>
        </w:sdt>
        <w:tc>
          <w:tcPr>
            <w:tcW w:w="2254" w:type="dxa"/>
            <w:shd w:val="clear" w:color="auto" w:fill="EEECE1" w:themeFill="background2"/>
          </w:tcPr>
          <w:p w14:paraId="5CC35E08" w14:textId="77777777" w:rsidR="008A1FE5" w:rsidRPr="00BA3FBA" w:rsidRDefault="008A1FE5" w:rsidP="00DC54F7">
            <w:pPr>
              <w:jc w:val="both"/>
            </w:pPr>
            <w:r w:rsidRPr="00BA3FBA">
              <w:t>Prefer not to say</w:t>
            </w:r>
          </w:p>
        </w:tc>
        <w:sdt>
          <w:sdtPr>
            <w:rPr>
              <w:rFonts w:cs="Arial"/>
              <w:szCs w:val="24"/>
            </w:rPr>
            <w:id w:val="-1329212158"/>
            <w14:checkbox>
              <w14:checked w14:val="0"/>
              <w14:checkedState w14:val="2612" w14:font="MS Gothic"/>
              <w14:uncheckedState w14:val="2610" w14:font="MS Gothic"/>
            </w14:checkbox>
          </w:sdtPr>
          <w:sdtContent>
            <w:tc>
              <w:tcPr>
                <w:tcW w:w="2254" w:type="dxa"/>
                <w:vAlign w:val="center"/>
              </w:tcPr>
              <w:p w14:paraId="4DFB3CB6" w14:textId="77777777" w:rsidR="008A1FE5" w:rsidRDefault="008A1FE5" w:rsidP="00DC54F7">
                <w:pPr>
                  <w:jc w:val="both"/>
                </w:pPr>
                <w:r w:rsidRPr="005821A8">
                  <w:rPr>
                    <w:rFonts w:ascii="MS Gothic" w:eastAsia="MS Gothic" w:hAnsi="MS Gothic" w:cs="Arial" w:hint="eastAsia"/>
                    <w:szCs w:val="24"/>
                  </w:rPr>
                  <w:t>☐</w:t>
                </w:r>
              </w:p>
            </w:tc>
          </w:sdtContent>
        </w:sdt>
      </w:tr>
      <w:tr w:rsidR="008A1FE5" w:rsidRPr="00BA3FBA" w14:paraId="6CC379B5" w14:textId="77777777" w:rsidTr="00AA572E">
        <w:tc>
          <w:tcPr>
            <w:tcW w:w="2254" w:type="dxa"/>
            <w:shd w:val="clear" w:color="auto" w:fill="EEECE1" w:themeFill="background2"/>
          </w:tcPr>
          <w:p w14:paraId="669C6B4B" w14:textId="77777777" w:rsidR="008A1FE5" w:rsidRPr="00BA3FBA" w:rsidRDefault="008A1FE5" w:rsidP="00DC54F7">
            <w:pPr>
              <w:jc w:val="both"/>
            </w:pPr>
            <w:r w:rsidRPr="00BA3FBA">
              <w:t>Other (specify if you wish)</w:t>
            </w:r>
          </w:p>
        </w:tc>
        <w:tc>
          <w:tcPr>
            <w:tcW w:w="6762" w:type="dxa"/>
            <w:gridSpan w:val="3"/>
          </w:tcPr>
          <w:p w14:paraId="19CD1C4D" w14:textId="77777777" w:rsidR="008A1FE5" w:rsidRDefault="008A1FE5" w:rsidP="00DC54F7">
            <w:pPr>
              <w:tabs>
                <w:tab w:val="left" w:pos="2685"/>
              </w:tabs>
              <w:jc w:val="both"/>
            </w:pPr>
            <w:r>
              <w:rPr>
                <w:rFonts w:cs="Arial"/>
                <w:szCs w:val="24"/>
              </w:rPr>
              <w:t xml:space="preserve">                  </w:t>
            </w:r>
            <w:sdt>
              <w:sdtPr>
                <w:rPr>
                  <w:rFonts w:cs="Arial"/>
                  <w:szCs w:val="24"/>
                </w:rPr>
                <w:id w:val="196126545"/>
                <w14:checkbox>
                  <w14:checked w14:val="0"/>
                  <w14:checkedState w14:val="2612" w14:font="MS Gothic"/>
                  <w14:uncheckedState w14:val="2610" w14:font="MS Gothic"/>
                </w14:checkbox>
              </w:sdtPr>
              <w:sdtContent>
                <w:r w:rsidRPr="00AC610E">
                  <w:rPr>
                    <w:rFonts w:ascii="MS Gothic" w:eastAsia="MS Gothic" w:hAnsi="MS Gothic" w:cs="Arial" w:hint="eastAsia"/>
                    <w:szCs w:val="24"/>
                  </w:rPr>
                  <w:t>☐</w:t>
                </w:r>
              </w:sdtContent>
            </w:sdt>
            <w:r>
              <w:rPr>
                <w:rFonts w:cs="Arial"/>
                <w:szCs w:val="24"/>
              </w:rPr>
              <w:t xml:space="preserve">                    ________________</w:t>
            </w:r>
          </w:p>
        </w:tc>
      </w:tr>
    </w:tbl>
    <w:p w14:paraId="2220F663" w14:textId="77777777" w:rsidR="008A1FE5" w:rsidRDefault="008A1FE5" w:rsidP="00DC54F7">
      <w:pPr>
        <w:jc w:val="both"/>
      </w:pPr>
    </w:p>
    <w:tbl>
      <w:tblPr>
        <w:tblStyle w:val="TableGrid"/>
        <w:tblW w:w="0" w:type="auto"/>
        <w:tblLook w:val="04A0" w:firstRow="1" w:lastRow="0" w:firstColumn="1" w:lastColumn="0" w:noHBand="0" w:noVBand="1"/>
      </w:tblPr>
      <w:tblGrid>
        <w:gridCol w:w="2254"/>
        <w:gridCol w:w="2254"/>
        <w:gridCol w:w="2254"/>
        <w:gridCol w:w="2254"/>
      </w:tblGrid>
      <w:tr w:rsidR="008A1FE5" w:rsidRPr="00BA3FBA" w14:paraId="39DBFEB8" w14:textId="77777777" w:rsidTr="00AA572E">
        <w:tc>
          <w:tcPr>
            <w:tcW w:w="9016" w:type="dxa"/>
            <w:gridSpan w:val="4"/>
            <w:shd w:val="clear" w:color="auto" w:fill="EEECE1" w:themeFill="background2"/>
          </w:tcPr>
          <w:p w14:paraId="65990183" w14:textId="77777777" w:rsidR="008A1FE5" w:rsidRPr="0027570B" w:rsidRDefault="008A1FE5" w:rsidP="00DC54F7">
            <w:pPr>
              <w:pStyle w:val="ListParagraph"/>
              <w:numPr>
                <w:ilvl w:val="0"/>
                <w:numId w:val="194"/>
              </w:numPr>
              <w:jc w:val="both"/>
              <w:rPr>
                <w:b/>
              </w:rPr>
            </w:pPr>
            <w:r w:rsidRPr="0027570B">
              <w:rPr>
                <w:b/>
              </w:rPr>
              <w:t>Do you identify as Trans? Please tick one box</w:t>
            </w:r>
          </w:p>
        </w:tc>
      </w:tr>
      <w:tr w:rsidR="008A1FE5" w:rsidRPr="00BA3FBA" w14:paraId="6DB7A808" w14:textId="77777777" w:rsidTr="00AA572E">
        <w:tc>
          <w:tcPr>
            <w:tcW w:w="2254" w:type="dxa"/>
            <w:shd w:val="clear" w:color="auto" w:fill="EEECE1" w:themeFill="background2"/>
          </w:tcPr>
          <w:p w14:paraId="47C7A38C" w14:textId="77777777" w:rsidR="008A1FE5" w:rsidRPr="00BA3FBA" w:rsidRDefault="008A1FE5" w:rsidP="00DC54F7">
            <w:pPr>
              <w:jc w:val="both"/>
            </w:pPr>
            <w:r>
              <w:t>Yes</w:t>
            </w:r>
          </w:p>
        </w:tc>
        <w:sdt>
          <w:sdtPr>
            <w:rPr>
              <w:rFonts w:cs="Arial"/>
              <w:szCs w:val="24"/>
            </w:rPr>
            <w:id w:val="-1638875491"/>
            <w14:checkbox>
              <w14:checked w14:val="0"/>
              <w14:checkedState w14:val="2612" w14:font="MS Gothic"/>
              <w14:uncheckedState w14:val="2610" w14:font="MS Gothic"/>
            </w14:checkbox>
          </w:sdtPr>
          <w:sdtContent>
            <w:tc>
              <w:tcPr>
                <w:tcW w:w="2254" w:type="dxa"/>
              </w:tcPr>
              <w:p w14:paraId="50DA0F5F" w14:textId="77777777" w:rsidR="008A1FE5" w:rsidRPr="00BA3FBA" w:rsidRDefault="008A1FE5" w:rsidP="00DC54F7">
                <w:pPr>
                  <w:jc w:val="both"/>
                </w:pPr>
                <w:r w:rsidRPr="00BA3FBA">
                  <w:rPr>
                    <w:rFonts w:ascii="MS Gothic" w:eastAsia="MS Gothic" w:hAnsi="MS Gothic" w:cs="Arial" w:hint="eastAsia"/>
                    <w:szCs w:val="24"/>
                  </w:rPr>
                  <w:t>☐</w:t>
                </w:r>
              </w:p>
            </w:tc>
          </w:sdtContent>
        </w:sdt>
        <w:tc>
          <w:tcPr>
            <w:tcW w:w="2254" w:type="dxa"/>
            <w:tcBorders>
              <w:bottom w:val="single" w:sz="4" w:space="0" w:color="auto"/>
            </w:tcBorders>
            <w:shd w:val="clear" w:color="auto" w:fill="EEECE1" w:themeFill="background2"/>
          </w:tcPr>
          <w:p w14:paraId="588C7D5C" w14:textId="77777777" w:rsidR="008A1FE5" w:rsidRPr="00BA3FBA" w:rsidRDefault="008A1FE5" w:rsidP="00DC54F7">
            <w:pPr>
              <w:jc w:val="both"/>
            </w:pPr>
            <w:r>
              <w:t>No</w:t>
            </w:r>
          </w:p>
        </w:tc>
        <w:sdt>
          <w:sdtPr>
            <w:rPr>
              <w:rFonts w:cs="Arial"/>
              <w:szCs w:val="24"/>
            </w:rPr>
            <w:id w:val="543643715"/>
            <w14:checkbox>
              <w14:checked w14:val="0"/>
              <w14:checkedState w14:val="2612" w14:font="MS Gothic"/>
              <w14:uncheckedState w14:val="2610" w14:font="MS Gothic"/>
            </w14:checkbox>
          </w:sdtPr>
          <w:sdtContent>
            <w:tc>
              <w:tcPr>
                <w:tcW w:w="2254" w:type="dxa"/>
                <w:tcBorders>
                  <w:bottom w:val="single" w:sz="4" w:space="0" w:color="auto"/>
                </w:tcBorders>
              </w:tcPr>
              <w:p w14:paraId="20B22810" w14:textId="77777777" w:rsidR="008A1FE5" w:rsidRPr="00BA3FBA" w:rsidRDefault="008A1FE5" w:rsidP="00DC54F7">
                <w:pPr>
                  <w:jc w:val="both"/>
                </w:pPr>
                <w:r w:rsidRPr="00BA3FBA">
                  <w:rPr>
                    <w:rFonts w:ascii="MS Gothic" w:eastAsia="MS Gothic" w:hAnsi="MS Gothic" w:cs="Arial" w:hint="eastAsia"/>
                    <w:szCs w:val="24"/>
                  </w:rPr>
                  <w:t>☐</w:t>
                </w:r>
              </w:p>
            </w:tc>
          </w:sdtContent>
        </w:sdt>
      </w:tr>
      <w:tr w:rsidR="008A1FE5" w:rsidRPr="00BA3FBA" w14:paraId="290E2418" w14:textId="77777777" w:rsidTr="00AA572E">
        <w:tc>
          <w:tcPr>
            <w:tcW w:w="2254" w:type="dxa"/>
            <w:shd w:val="clear" w:color="auto" w:fill="EEECE1" w:themeFill="background2"/>
          </w:tcPr>
          <w:p w14:paraId="39B619EB" w14:textId="77777777" w:rsidR="008A1FE5" w:rsidRPr="00BA3FBA" w:rsidRDefault="008A1FE5" w:rsidP="00DC54F7">
            <w:pPr>
              <w:jc w:val="both"/>
            </w:pPr>
            <w:r>
              <w:t>Prefer not to say</w:t>
            </w:r>
          </w:p>
        </w:tc>
        <w:sdt>
          <w:sdtPr>
            <w:rPr>
              <w:rFonts w:cs="Arial"/>
              <w:szCs w:val="24"/>
            </w:rPr>
            <w:id w:val="-187449191"/>
            <w14:checkbox>
              <w14:checked w14:val="0"/>
              <w14:checkedState w14:val="2612" w14:font="MS Gothic"/>
              <w14:uncheckedState w14:val="2610" w14:font="MS Gothic"/>
            </w14:checkbox>
          </w:sdtPr>
          <w:sdtContent>
            <w:tc>
              <w:tcPr>
                <w:tcW w:w="2254" w:type="dxa"/>
              </w:tcPr>
              <w:p w14:paraId="1A0D0C23" w14:textId="77777777" w:rsidR="008A1FE5" w:rsidRPr="00BA3FBA" w:rsidRDefault="008A1FE5" w:rsidP="00DC54F7">
                <w:pPr>
                  <w:jc w:val="both"/>
                </w:pPr>
                <w:r w:rsidRPr="00BA3FBA">
                  <w:rPr>
                    <w:rFonts w:ascii="MS Gothic" w:eastAsia="MS Gothic" w:hAnsi="MS Gothic" w:cs="Arial" w:hint="eastAsia"/>
                    <w:szCs w:val="24"/>
                  </w:rPr>
                  <w:t>☐</w:t>
                </w:r>
              </w:p>
            </w:tc>
          </w:sdtContent>
        </w:sdt>
        <w:tc>
          <w:tcPr>
            <w:tcW w:w="2254" w:type="dxa"/>
            <w:tcBorders>
              <w:bottom w:val="nil"/>
              <w:right w:val="nil"/>
            </w:tcBorders>
          </w:tcPr>
          <w:p w14:paraId="0197644C" w14:textId="77777777" w:rsidR="008A1FE5" w:rsidRPr="00BA3FBA" w:rsidRDefault="008A1FE5" w:rsidP="00DC54F7">
            <w:pPr>
              <w:jc w:val="both"/>
            </w:pPr>
          </w:p>
        </w:tc>
        <w:tc>
          <w:tcPr>
            <w:tcW w:w="2254" w:type="dxa"/>
            <w:tcBorders>
              <w:left w:val="nil"/>
              <w:bottom w:val="nil"/>
              <w:right w:val="nil"/>
            </w:tcBorders>
          </w:tcPr>
          <w:p w14:paraId="27EF7953" w14:textId="77777777" w:rsidR="008A1FE5" w:rsidRPr="00BA3FBA" w:rsidRDefault="008A1FE5" w:rsidP="00DC54F7">
            <w:pPr>
              <w:jc w:val="both"/>
            </w:pPr>
          </w:p>
        </w:tc>
      </w:tr>
    </w:tbl>
    <w:p w14:paraId="1E8B81E1" w14:textId="77777777" w:rsidR="008A1FE5" w:rsidRDefault="008A1FE5" w:rsidP="00DC54F7">
      <w:pPr>
        <w:jc w:val="both"/>
      </w:pPr>
    </w:p>
    <w:tbl>
      <w:tblPr>
        <w:tblStyle w:val="TableGrid"/>
        <w:tblW w:w="0" w:type="auto"/>
        <w:tblLook w:val="04A0" w:firstRow="1" w:lastRow="0" w:firstColumn="1" w:lastColumn="0" w:noHBand="0" w:noVBand="1"/>
      </w:tblPr>
      <w:tblGrid>
        <w:gridCol w:w="2254"/>
        <w:gridCol w:w="2254"/>
        <w:gridCol w:w="2254"/>
        <w:gridCol w:w="2254"/>
      </w:tblGrid>
      <w:tr w:rsidR="008A1FE5" w:rsidRPr="00BA3FBA" w14:paraId="1738EBFD" w14:textId="77777777" w:rsidTr="00AA572E">
        <w:tc>
          <w:tcPr>
            <w:tcW w:w="9016" w:type="dxa"/>
            <w:gridSpan w:val="4"/>
            <w:shd w:val="clear" w:color="auto" w:fill="EEECE1" w:themeFill="background2"/>
          </w:tcPr>
          <w:p w14:paraId="690245B4" w14:textId="77777777" w:rsidR="008A1FE5" w:rsidRPr="0027570B" w:rsidRDefault="008A1FE5" w:rsidP="00DC54F7">
            <w:pPr>
              <w:pStyle w:val="ListParagraph"/>
              <w:numPr>
                <w:ilvl w:val="0"/>
                <w:numId w:val="194"/>
              </w:numPr>
              <w:jc w:val="both"/>
              <w:rPr>
                <w:b/>
              </w:rPr>
            </w:pPr>
            <w:r w:rsidRPr="0027570B">
              <w:rPr>
                <w:b/>
              </w:rPr>
              <w:t>Do you identify as a disabled person? Please tick one box</w:t>
            </w:r>
          </w:p>
        </w:tc>
      </w:tr>
      <w:tr w:rsidR="008A1FE5" w:rsidRPr="00BA3FBA" w14:paraId="76AB7604" w14:textId="77777777" w:rsidTr="00AA572E">
        <w:tc>
          <w:tcPr>
            <w:tcW w:w="2254" w:type="dxa"/>
            <w:shd w:val="clear" w:color="auto" w:fill="EEECE1" w:themeFill="background2"/>
          </w:tcPr>
          <w:p w14:paraId="7DC1FFC1" w14:textId="77777777" w:rsidR="008A1FE5" w:rsidRPr="00BA3FBA" w:rsidRDefault="008A1FE5" w:rsidP="00DC54F7">
            <w:pPr>
              <w:jc w:val="both"/>
            </w:pPr>
            <w:r>
              <w:t>Yes</w:t>
            </w:r>
          </w:p>
        </w:tc>
        <w:sdt>
          <w:sdtPr>
            <w:rPr>
              <w:rFonts w:cs="Arial"/>
              <w:szCs w:val="24"/>
            </w:rPr>
            <w:id w:val="-349646178"/>
            <w14:checkbox>
              <w14:checked w14:val="0"/>
              <w14:checkedState w14:val="2612" w14:font="MS Gothic"/>
              <w14:uncheckedState w14:val="2610" w14:font="MS Gothic"/>
            </w14:checkbox>
          </w:sdtPr>
          <w:sdtContent>
            <w:tc>
              <w:tcPr>
                <w:tcW w:w="2254" w:type="dxa"/>
              </w:tcPr>
              <w:p w14:paraId="167D8DD2" w14:textId="77777777" w:rsidR="008A1FE5" w:rsidRPr="00BA3FBA" w:rsidRDefault="008A1FE5" w:rsidP="00DC54F7">
                <w:pPr>
                  <w:jc w:val="both"/>
                </w:pPr>
                <w:r w:rsidRPr="00BA3FBA">
                  <w:rPr>
                    <w:rFonts w:ascii="MS Gothic" w:eastAsia="MS Gothic" w:hAnsi="MS Gothic" w:cs="Arial" w:hint="eastAsia"/>
                    <w:szCs w:val="24"/>
                  </w:rPr>
                  <w:t>☐</w:t>
                </w:r>
              </w:p>
            </w:tc>
          </w:sdtContent>
        </w:sdt>
        <w:tc>
          <w:tcPr>
            <w:tcW w:w="2254" w:type="dxa"/>
            <w:tcBorders>
              <w:bottom w:val="single" w:sz="4" w:space="0" w:color="auto"/>
            </w:tcBorders>
            <w:shd w:val="clear" w:color="auto" w:fill="EEECE1" w:themeFill="background2"/>
          </w:tcPr>
          <w:p w14:paraId="69B66AC2" w14:textId="77777777" w:rsidR="008A1FE5" w:rsidRPr="00BA3FBA" w:rsidRDefault="008A1FE5" w:rsidP="00DC54F7">
            <w:pPr>
              <w:jc w:val="both"/>
            </w:pPr>
            <w:r>
              <w:t>No</w:t>
            </w:r>
          </w:p>
        </w:tc>
        <w:sdt>
          <w:sdtPr>
            <w:rPr>
              <w:rFonts w:cs="Arial"/>
              <w:szCs w:val="24"/>
            </w:rPr>
            <w:id w:val="1657263963"/>
            <w14:checkbox>
              <w14:checked w14:val="0"/>
              <w14:checkedState w14:val="2612" w14:font="MS Gothic"/>
              <w14:uncheckedState w14:val="2610" w14:font="MS Gothic"/>
            </w14:checkbox>
          </w:sdtPr>
          <w:sdtContent>
            <w:tc>
              <w:tcPr>
                <w:tcW w:w="2254" w:type="dxa"/>
                <w:tcBorders>
                  <w:bottom w:val="single" w:sz="4" w:space="0" w:color="auto"/>
                </w:tcBorders>
              </w:tcPr>
              <w:p w14:paraId="162A7A88" w14:textId="77777777" w:rsidR="008A1FE5" w:rsidRPr="00BA3FBA" w:rsidRDefault="008A1FE5" w:rsidP="00DC54F7">
                <w:pPr>
                  <w:jc w:val="both"/>
                </w:pPr>
                <w:r w:rsidRPr="00BA3FBA">
                  <w:rPr>
                    <w:rFonts w:ascii="MS Gothic" w:eastAsia="MS Gothic" w:hAnsi="MS Gothic" w:cs="Arial" w:hint="eastAsia"/>
                    <w:szCs w:val="24"/>
                  </w:rPr>
                  <w:t>☐</w:t>
                </w:r>
              </w:p>
            </w:tc>
          </w:sdtContent>
        </w:sdt>
      </w:tr>
      <w:tr w:rsidR="008A1FE5" w:rsidRPr="00BA3FBA" w14:paraId="09E4F756" w14:textId="77777777" w:rsidTr="00AA572E">
        <w:tc>
          <w:tcPr>
            <w:tcW w:w="2254" w:type="dxa"/>
            <w:shd w:val="clear" w:color="auto" w:fill="EEECE1" w:themeFill="background2"/>
          </w:tcPr>
          <w:p w14:paraId="2ADB63A7" w14:textId="77777777" w:rsidR="008A1FE5" w:rsidRPr="00BA3FBA" w:rsidRDefault="008A1FE5" w:rsidP="00DC54F7">
            <w:pPr>
              <w:jc w:val="both"/>
            </w:pPr>
            <w:r>
              <w:t>Prefer not to say</w:t>
            </w:r>
          </w:p>
        </w:tc>
        <w:sdt>
          <w:sdtPr>
            <w:rPr>
              <w:rFonts w:cs="Arial"/>
              <w:szCs w:val="24"/>
            </w:rPr>
            <w:id w:val="762104819"/>
            <w14:checkbox>
              <w14:checked w14:val="0"/>
              <w14:checkedState w14:val="2612" w14:font="MS Gothic"/>
              <w14:uncheckedState w14:val="2610" w14:font="MS Gothic"/>
            </w14:checkbox>
          </w:sdtPr>
          <w:sdtContent>
            <w:tc>
              <w:tcPr>
                <w:tcW w:w="2254" w:type="dxa"/>
              </w:tcPr>
              <w:p w14:paraId="3D8ABC3C" w14:textId="77777777" w:rsidR="008A1FE5" w:rsidRPr="00BA3FBA" w:rsidRDefault="008A1FE5" w:rsidP="00DC54F7">
                <w:pPr>
                  <w:jc w:val="both"/>
                </w:pPr>
                <w:r w:rsidRPr="00BA3FBA">
                  <w:rPr>
                    <w:rFonts w:ascii="MS Gothic" w:eastAsia="MS Gothic" w:hAnsi="MS Gothic" w:cs="Arial" w:hint="eastAsia"/>
                    <w:szCs w:val="24"/>
                  </w:rPr>
                  <w:t>☐</w:t>
                </w:r>
              </w:p>
            </w:tc>
          </w:sdtContent>
        </w:sdt>
        <w:tc>
          <w:tcPr>
            <w:tcW w:w="2254" w:type="dxa"/>
            <w:tcBorders>
              <w:bottom w:val="nil"/>
              <w:right w:val="nil"/>
            </w:tcBorders>
          </w:tcPr>
          <w:p w14:paraId="0E6416FA" w14:textId="77777777" w:rsidR="008A1FE5" w:rsidRPr="00BA3FBA" w:rsidRDefault="008A1FE5" w:rsidP="00DC54F7">
            <w:pPr>
              <w:jc w:val="both"/>
            </w:pPr>
          </w:p>
        </w:tc>
        <w:tc>
          <w:tcPr>
            <w:tcW w:w="2254" w:type="dxa"/>
            <w:tcBorders>
              <w:left w:val="nil"/>
              <w:bottom w:val="nil"/>
              <w:right w:val="nil"/>
            </w:tcBorders>
          </w:tcPr>
          <w:p w14:paraId="30D22BBE" w14:textId="77777777" w:rsidR="008A1FE5" w:rsidRPr="00BA3FBA" w:rsidRDefault="008A1FE5" w:rsidP="00DC54F7">
            <w:pPr>
              <w:jc w:val="both"/>
            </w:pPr>
          </w:p>
        </w:tc>
      </w:tr>
    </w:tbl>
    <w:p w14:paraId="2FF15384" w14:textId="77777777" w:rsidR="008A1FE5" w:rsidRDefault="008A1FE5" w:rsidP="00DC54F7">
      <w:pPr>
        <w:jc w:val="both"/>
      </w:pPr>
    </w:p>
    <w:tbl>
      <w:tblPr>
        <w:tblStyle w:val="TableGrid"/>
        <w:tblW w:w="0" w:type="auto"/>
        <w:jc w:val="center"/>
        <w:tblLayout w:type="fixed"/>
        <w:tblLook w:val="04A0" w:firstRow="1" w:lastRow="0" w:firstColumn="1" w:lastColumn="0" w:noHBand="0" w:noVBand="1"/>
      </w:tblPr>
      <w:tblGrid>
        <w:gridCol w:w="2405"/>
        <w:gridCol w:w="600"/>
        <w:gridCol w:w="2519"/>
        <w:gridCol w:w="486"/>
        <w:gridCol w:w="2490"/>
        <w:gridCol w:w="516"/>
      </w:tblGrid>
      <w:tr w:rsidR="008A1FE5" w14:paraId="0A847BB9" w14:textId="77777777" w:rsidTr="00AA572E">
        <w:trPr>
          <w:jc w:val="center"/>
        </w:trPr>
        <w:tc>
          <w:tcPr>
            <w:tcW w:w="9016" w:type="dxa"/>
            <w:gridSpan w:val="6"/>
            <w:shd w:val="clear" w:color="auto" w:fill="EEECE1" w:themeFill="background2"/>
          </w:tcPr>
          <w:p w14:paraId="581DCE69" w14:textId="77777777" w:rsidR="008A1FE5" w:rsidRPr="0027570B" w:rsidRDefault="008A1FE5" w:rsidP="00DC54F7">
            <w:pPr>
              <w:pStyle w:val="ListParagraph"/>
              <w:numPr>
                <w:ilvl w:val="0"/>
                <w:numId w:val="194"/>
              </w:numPr>
              <w:jc w:val="both"/>
              <w:rPr>
                <w:b/>
              </w:rPr>
            </w:pPr>
            <w:r w:rsidRPr="0027570B">
              <w:rPr>
                <w:b/>
              </w:rPr>
              <w:t>Please tick any of the following that apply to you</w:t>
            </w:r>
          </w:p>
        </w:tc>
      </w:tr>
      <w:tr w:rsidR="008A1FE5" w14:paraId="00FBA6EF" w14:textId="77777777" w:rsidTr="00AA572E">
        <w:trPr>
          <w:jc w:val="center"/>
        </w:trPr>
        <w:tc>
          <w:tcPr>
            <w:tcW w:w="2405" w:type="dxa"/>
            <w:shd w:val="clear" w:color="auto" w:fill="EEECE1" w:themeFill="background2"/>
          </w:tcPr>
          <w:p w14:paraId="178B1910" w14:textId="77777777" w:rsidR="008A1FE5" w:rsidRPr="000267FA" w:rsidRDefault="008A1FE5" w:rsidP="00DC54F7">
            <w:pPr>
              <w:jc w:val="both"/>
              <w:rPr>
                <w:rFonts w:cs="Arial"/>
              </w:rPr>
            </w:pPr>
            <w:r w:rsidRPr="000267FA">
              <w:rPr>
                <w:rFonts w:cs="Arial"/>
              </w:rPr>
              <w:t>Deaf/Deafened/ Hard of hearing</w:t>
            </w:r>
          </w:p>
        </w:tc>
        <w:sdt>
          <w:sdtPr>
            <w:id w:val="1224257384"/>
            <w14:checkbox>
              <w14:checked w14:val="0"/>
              <w14:checkedState w14:val="2612" w14:font="MS Gothic"/>
              <w14:uncheckedState w14:val="2610" w14:font="MS Gothic"/>
            </w14:checkbox>
          </w:sdtPr>
          <w:sdtContent>
            <w:tc>
              <w:tcPr>
                <w:tcW w:w="600" w:type="dxa"/>
              </w:tcPr>
              <w:p w14:paraId="4E4D3EC6" w14:textId="77777777" w:rsidR="008A1FE5" w:rsidRPr="000267FA" w:rsidRDefault="008A1FE5" w:rsidP="00DC54F7">
                <w:pPr>
                  <w:jc w:val="both"/>
                </w:pPr>
                <w:r w:rsidRPr="000267FA">
                  <w:rPr>
                    <w:rFonts w:ascii="Segoe UI Symbol" w:eastAsia="MS Gothic" w:hAnsi="Segoe UI Symbol" w:cs="Segoe UI Symbol"/>
                  </w:rPr>
                  <w:t>☐</w:t>
                </w:r>
              </w:p>
            </w:tc>
          </w:sdtContent>
        </w:sdt>
        <w:tc>
          <w:tcPr>
            <w:tcW w:w="2519" w:type="dxa"/>
            <w:shd w:val="clear" w:color="auto" w:fill="EEECE1" w:themeFill="background2"/>
          </w:tcPr>
          <w:p w14:paraId="046E021B" w14:textId="77777777" w:rsidR="008A1FE5" w:rsidRPr="000267FA" w:rsidRDefault="008A1FE5" w:rsidP="00DC54F7">
            <w:pPr>
              <w:jc w:val="both"/>
              <w:rPr>
                <w:rFonts w:cs="Arial"/>
              </w:rPr>
            </w:pPr>
            <w:r w:rsidRPr="000267FA">
              <w:rPr>
                <w:rFonts w:cs="Arial"/>
              </w:rPr>
              <w:t>Mental health difficulties</w:t>
            </w:r>
          </w:p>
        </w:tc>
        <w:sdt>
          <w:sdtPr>
            <w:id w:val="-1641254664"/>
            <w14:checkbox>
              <w14:checked w14:val="0"/>
              <w14:checkedState w14:val="2612" w14:font="MS Gothic"/>
              <w14:uncheckedState w14:val="2610" w14:font="MS Gothic"/>
            </w14:checkbox>
          </w:sdtPr>
          <w:sdtContent>
            <w:tc>
              <w:tcPr>
                <w:tcW w:w="486" w:type="dxa"/>
              </w:tcPr>
              <w:p w14:paraId="0B5386ED" w14:textId="77777777" w:rsidR="008A1FE5" w:rsidRPr="000267FA" w:rsidRDefault="008A1FE5" w:rsidP="00DC54F7">
                <w:pPr>
                  <w:jc w:val="both"/>
                </w:pPr>
                <w:r w:rsidRPr="000267FA">
                  <w:rPr>
                    <w:rFonts w:ascii="Segoe UI Symbol" w:eastAsia="MS Gothic" w:hAnsi="Segoe UI Symbol" w:cs="Segoe UI Symbol"/>
                  </w:rPr>
                  <w:t>☐</w:t>
                </w:r>
              </w:p>
            </w:tc>
          </w:sdtContent>
        </w:sdt>
        <w:tc>
          <w:tcPr>
            <w:tcW w:w="2490" w:type="dxa"/>
            <w:shd w:val="clear" w:color="auto" w:fill="EEECE1" w:themeFill="background2"/>
          </w:tcPr>
          <w:p w14:paraId="1E6BDFA8" w14:textId="77777777" w:rsidR="008A1FE5" w:rsidRPr="000267FA" w:rsidRDefault="008A1FE5" w:rsidP="00DC54F7">
            <w:pPr>
              <w:jc w:val="both"/>
              <w:rPr>
                <w:rFonts w:cs="Arial"/>
              </w:rPr>
            </w:pPr>
            <w:r w:rsidRPr="000267FA">
              <w:rPr>
                <w:rFonts w:cs="Arial"/>
              </w:rPr>
              <w:t>Learning impairment/difficulties</w:t>
            </w:r>
          </w:p>
        </w:tc>
        <w:sdt>
          <w:sdtPr>
            <w:id w:val="857624774"/>
            <w14:checkbox>
              <w14:checked w14:val="0"/>
              <w14:checkedState w14:val="2612" w14:font="MS Gothic"/>
              <w14:uncheckedState w14:val="2610" w14:font="MS Gothic"/>
            </w14:checkbox>
          </w:sdtPr>
          <w:sdtContent>
            <w:tc>
              <w:tcPr>
                <w:tcW w:w="516" w:type="dxa"/>
              </w:tcPr>
              <w:p w14:paraId="2B6FF44B" w14:textId="77777777" w:rsidR="008A1FE5" w:rsidRPr="000267FA" w:rsidRDefault="008A1FE5" w:rsidP="00DC54F7">
                <w:pPr>
                  <w:jc w:val="both"/>
                </w:pPr>
                <w:r w:rsidRPr="000267FA">
                  <w:rPr>
                    <w:rFonts w:ascii="Segoe UI Symbol" w:eastAsia="MS Gothic" w:hAnsi="Segoe UI Symbol" w:cs="Segoe UI Symbol"/>
                  </w:rPr>
                  <w:t>☐</w:t>
                </w:r>
              </w:p>
            </w:tc>
          </w:sdtContent>
        </w:sdt>
      </w:tr>
      <w:tr w:rsidR="008A1FE5" w14:paraId="525C8254" w14:textId="77777777" w:rsidTr="00AA572E">
        <w:trPr>
          <w:jc w:val="center"/>
        </w:trPr>
        <w:tc>
          <w:tcPr>
            <w:tcW w:w="2405" w:type="dxa"/>
            <w:shd w:val="clear" w:color="auto" w:fill="EEECE1" w:themeFill="background2"/>
          </w:tcPr>
          <w:p w14:paraId="513FCF74" w14:textId="77777777" w:rsidR="008A1FE5" w:rsidRPr="000267FA" w:rsidRDefault="008A1FE5" w:rsidP="00DC54F7">
            <w:pPr>
              <w:jc w:val="both"/>
              <w:rPr>
                <w:rFonts w:cs="Arial"/>
              </w:rPr>
            </w:pPr>
            <w:r w:rsidRPr="000267FA">
              <w:rPr>
                <w:rFonts w:cs="Arial"/>
              </w:rPr>
              <w:t>Visual impairment</w:t>
            </w:r>
          </w:p>
          <w:p w14:paraId="18066A90" w14:textId="77777777" w:rsidR="008A1FE5" w:rsidRPr="000267FA" w:rsidRDefault="008A1FE5" w:rsidP="00DC54F7">
            <w:pPr>
              <w:jc w:val="both"/>
              <w:rPr>
                <w:rFonts w:cs="Arial"/>
              </w:rPr>
            </w:pPr>
          </w:p>
        </w:tc>
        <w:sdt>
          <w:sdtPr>
            <w:id w:val="18591831"/>
            <w14:checkbox>
              <w14:checked w14:val="0"/>
              <w14:checkedState w14:val="2612" w14:font="MS Gothic"/>
              <w14:uncheckedState w14:val="2610" w14:font="MS Gothic"/>
            </w14:checkbox>
          </w:sdtPr>
          <w:sdtContent>
            <w:tc>
              <w:tcPr>
                <w:tcW w:w="600" w:type="dxa"/>
              </w:tcPr>
              <w:p w14:paraId="4932D7F3" w14:textId="77777777" w:rsidR="008A1FE5" w:rsidRPr="000267FA" w:rsidRDefault="008A1FE5" w:rsidP="00DC54F7">
                <w:pPr>
                  <w:jc w:val="both"/>
                </w:pPr>
                <w:r w:rsidRPr="000267FA">
                  <w:rPr>
                    <w:rFonts w:ascii="Segoe UI Symbol" w:eastAsia="MS Gothic" w:hAnsi="Segoe UI Symbol" w:cs="Segoe UI Symbol"/>
                  </w:rPr>
                  <w:t>☐</w:t>
                </w:r>
              </w:p>
            </w:tc>
          </w:sdtContent>
        </w:sdt>
        <w:tc>
          <w:tcPr>
            <w:tcW w:w="2519" w:type="dxa"/>
            <w:shd w:val="clear" w:color="auto" w:fill="EEECE1" w:themeFill="background2"/>
          </w:tcPr>
          <w:p w14:paraId="3E93639D" w14:textId="77777777" w:rsidR="008A1FE5" w:rsidRPr="000267FA" w:rsidRDefault="008A1FE5" w:rsidP="00DC54F7">
            <w:pPr>
              <w:jc w:val="both"/>
              <w:rPr>
                <w:rFonts w:cs="Arial"/>
              </w:rPr>
            </w:pPr>
            <w:r w:rsidRPr="000267FA">
              <w:rPr>
                <w:rFonts w:cs="Arial"/>
              </w:rPr>
              <w:t>Wheelchair user</w:t>
            </w:r>
          </w:p>
        </w:tc>
        <w:sdt>
          <w:sdtPr>
            <w:id w:val="1331717449"/>
            <w14:checkbox>
              <w14:checked w14:val="0"/>
              <w14:checkedState w14:val="2612" w14:font="MS Gothic"/>
              <w14:uncheckedState w14:val="2610" w14:font="MS Gothic"/>
            </w14:checkbox>
          </w:sdtPr>
          <w:sdtContent>
            <w:tc>
              <w:tcPr>
                <w:tcW w:w="486" w:type="dxa"/>
              </w:tcPr>
              <w:p w14:paraId="37614BD0" w14:textId="77777777" w:rsidR="008A1FE5" w:rsidRPr="000267FA" w:rsidRDefault="008A1FE5" w:rsidP="00DC54F7">
                <w:pPr>
                  <w:jc w:val="both"/>
                </w:pPr>
                <w:r w:rsidRPr="000267FA">
                  <w:rPr>
                    <w:rFonts w:ascii="Segoe UI Symbol" w:eastAsia="MS Gothic" w:hAnsi="Segoe UI Symbol" w:cs="Segoe UI Symbol"/>
                  </w:rPr>
                  <w:t>☐</w:t>
                </w:r>
              </w:p>
            </w:tc>
          </w:sdtContent>
        </w:sdt>
        <w:tc>
          <w:tcPr>
            <w:tcW w:w="2490" w:type="dxa"/>
            <w:shd w:val="clear" w:color="auto" w:fill="EEECE1" w:themeFill="background2"/>
          </w:tcPr>
          <w:p w14:paraId="2AA632DF" w14:textId="77777777" w:rsidR="008A1FE5" w:rsidRPr="000267FA" w:rsidRDefault="008A1FE5" w:rsidP="00DC54F7">
            <w:pPr>
              <w:jc w:val="both"/>
              <w:rPr>
                <w:rFonts w:cs="Arial"/>
              </w:rPr>
            </w:pPr>
            <w:r w:rsidRPr="000267FA">
              <w:rPr>
                <w:rFonts w:cs="Arial"/>
              </w:rPr>
              <w:t>Mobility impairment</w:t>
            </w:r>
          </w:p>
        </w:tc>
        <w:sdt>
          <w:sdtPr>
            <w:id w:val="-12928775"/>
            <w14:checkbox>
              <w14:checked w14:val="0"/>
              <w14:checkedState w14:val="2612" w14:font="MS Gothic"/>
              <w14:uncheckedState w14:val="2610" w14:font="MS Gothic"/>
            </w14:checkbox>
          </w:sdtPr>
          <w:sdtContent>
            <w:tc>
              <w:tcPr>
                <w:tcW w:w="516" w:type="dxa"/>
              </w:tcPr>
              <w:p w14:paraId="44FA535A" w14:textId="77777777" w:rsidR="008A1FE5" w:rsidRPr="000267FA" w:rsidRDefault="008A1FE5" w:rsidP="00DC54F7">
                <w:pPr>
                  <w:jc w:val="both"/>
                </w:pPr>
                <w:r w:rsidRPr="000267FA">
                  <w:rPr>
                    <w:rFonts w:ascii="Segoe UI Symbol" w:eastAsia="MS Gothic" w:hAnsi="Segoe UI Symbol" w:cs="Segoe UI Symbol"/>
                  </w:rPr>
                  <w:t>☐</w:t>
                </w:r>
              </w:p>
            </w:tc>
          </w:sdtContent>
        </w:sdt>
      </w:tr>
      <w:tr w:rsidR="008A1FE5" w14:paraId="0DF5659E" w14:textId="77777777" w:rsidTr="00AA572E">
        <w:trPr>
          <w:jc w:val="center"/>
        </w:trPr>
        <w:tc>
          <w:tcPr>
            <w:tcW w:w="2405" w:type="dxa"/>
            <w:shd w:val="clear" w:color="auto" w:fill="EEECE1" w:themeFill="background2"/>
          </w:tcPr>
          <w:p w14:paraId="4200BA2A" w14:textId="77777777" w:rsidR="008A1FE5" w:rsidRPr="000267FA" w:rsidRDefault="008A1FE5" w:rsidP="00DC54F7">
            <w:pPr>
              <w:jc w:val="both"/>
              <w:rPr>
                <w:rFonts w:cs="Arial"/>
              </w:rPr>
            </w:pPr>
            <w:r w:rsidRPr="000267FA">
              <w:rPr>
                <w:rFonts w:cs="Arial"/>
              </w:rPr>
              <w:t>Long-standing illness or health condition (e.g. cancer, diabetes or asthma)</w:t>
            </w:r>
          </w:p>
        </w:tc>
        <w:sdt>
          <w:sdtPr>
            <w:id w:val="-1447383961"/>
            <w14:checkbox>
              <w14:checked w14:val="0"/>
              <w14:checkedState w14:val="2612" w14:font="MS Gothic"/>
              <w14:uncheckedState w14:val="2610" w14:font="MS Gothic"/>
            </w14:checkbox>
          </w:sdtPr>
          <w:sdtContent>
            <w:tc>
              <w:tcPr>
                <w:tcW w:w="600" w:type="dxa"/>
              </w:tcPr>
              <w:p w14:paraId="30F2BB72" w14:textId="77777777" w:rsidR="008A1FE5" w:rsidRPr="000267FA" w:rsidRDefault="008A1FE5" w:rsidP="00DC54F7">
                <w:pPr>
                  <w:jc w:val="both"/>
                </w:pPr>
                <w:r w:rsidRPr="000267FA">
                  <w:rPr>
                    <w:rFonts w:ascii="Segoe UI Symbol" w:eastAsia="MS Gothic" w:hAnsi="Segoe UI Symbol" w:cs="Segoe UI Symbol"/>
                  </w:rPr>
                  <w:t>☐</w:t>
                </w:r>
              </w:p>
            </w:tc>
          </w:sdtContent>
        </w:sdt>
        <w:tc>
          <w:tcPr>
            <w:tcW w:w="2519" w:type="dxa"/>
            <w:shd w:val="clear" w:color="auto" w:fill="EEECE1" w:themeFill="background2"/>
          </w:tcPr>
          <w:p w14:paraId="6B0DC440" w14:textId="77777777" w:rsidR="008A1FE5" w:rsidRPr="000267FA" w:rsidRDefault="008A1FE5" w:rsidP="00DC54F7">
            <w:pPr>
              <w:jc w:val="both"/>
              <w:rPr>
                <w:rFonts w:cs="Arial"/>
              </w:rPr>
            </w:pPr>
            <w:r w:rsidRPr="000267FA">
              <w:rPr>
                <w:rFonts w:cs="Arial"/>
              </w:rPr>
              <w:t>Prefer not to say</w:t>
            </w:r>
          </w:p>
        </w:tc>
        <w:sdt>
          <w:sdtPr>
            <w:id w:val="1392774570"/>
            <w14:checkbox>
              <w14:checked w14:val="0"/>
              <w14:checkedState w14:val="2612" w14:font="MS Gothic"/>
              <w14:uncheckedState w14:val="2610" w14:font="MS Gothic"/>
            </w14:checkbox>
          </w:sdtPr>
          <w:sdtContent>
            <w:tc>
              <w:tcPr>
                <w:tcW w:w="486" w:type="dxa"/>
              </w:tcPr>
              <w:p w14:paraId="0A2EC22A" w14:textId="77777777" w:rsidR="008A1FE5" w:rsidRPr="000267FA" w:rsidRDefault="008A1FE5" w:rsidP="00DC54F7">
                <w:pPr>
                  <w:jc w:val="both"/>
                </w:pPr>
                <w:r w:rsidRPr="000267FA">
                  <w:rPr>
                    <w:rFonts w:ascii="Segoe UI Symbol" w:eastAsia="MS Gothic" w:hAnsi="Segoe UI Symbol" w:cs="Segoe UI Symbol"/>
                  </w:rPr>
                  <w:t>☐</w:t>
                </w:r>
              </w:p>
            </w:tc>
          </w:sdtContent>
        </w:sdt>
        <w:tc>
          <w:tcPr>
            <w:tcW w:w="2490" w:type="dxa"/>
            <w:shd w:val="clear" w:color="auto" w:fill="EEECE1" w:themeFill="background2"/>
          </w:tcPr>
          <w:p w14:paraId="3EDB82ED" w14:textId="77777777" w:rsidR="008A1FE5" w:rsidRPr="000267FA" w:rsidRDefault="008A1FE5" w:rsidP="00DC54F7">
            <w:pPr>
              <w:jc w:val="both"/>
              <w:rPr>
                <w:rFonts w:cs="Arial"/>
              </w:rPr>
            </w:pPr>
            <w:r w:rsidRPr="000267FA">
              <w:rPr>
                <w:rFonts w:cs="Arial"/>
              </w:rPr>
              <w:t>Other</w:t>
            </w:r>
          </w:p>
        </w:tc>
        <w:sdt>
          <w:sdtPr>
            <w:id w:val="2144928383"/>
            <w14:checkbox>
              <w14:checked w14:val="0"/>
              <w14:checkedState w14:val="2612" w14:font="MS Gothic"/>
              <w14:uncheckedState w14:val="2610" w14:font="MS Gothic"/>
            </w14:checkbox>
          </w:sdtPr>
          <w:sdtContent>
            <w:tc>
              <w:tcPr>
                <w:tcW w:w="516" w:type="dxa"/>
              </w:tcPr>
              <w:p w14:paraId="063A8462" w14:textId="77777777" w:rsidR="008A1FE5" w:rsidRPr="000267FA" w:rsidRDefault="008A1FE5" w:rsidP="00DC54F7">
                <w:pPr>
                  <w:jc w:val="both"/>
                </w:pPr>
                <w:r w:rsidRPr="000267FA">
                  <w:rPr>
                    <w:rFonts w:ascii="Segoe UI Symbol" w:eastAsia="MS Gothic" w:hAnsi="Segoe UI Symbol" w:cs="Segoe UI Symbol"/>
                  </w:rPr>
                  <w:t>☐</w:t>
                </w:r>
              </w:p>
            </w:tc>
          </w:sdtContent>
        </w:sdt>
      </w:tr>
    </w:tbl>
    <w:p w14:paraId="1A4812DA" w14:textId="77777777" w:rsidR="008A1FE5" w:rsidRDefault="008A1FE5" w:rsidP="00DC54F7">
      <w:pPr>
        <w:jc w:val="both"/>
      </w:pPr>
    </w:p>
    <w:tbl>
      <w:tblPr>
        <w:tblStyle w:val="TableGrid"/>
        <w:tblW w:w="0" w:type="auto"/>
        <w:tblLook w:val="04A0" w:firstRow="1" w:lastRow="0" w:firstColumn="1" w:lastColumn="0" w:noHBand="0" w:noVBand="1"/>
      </w:tblPr>
      <w:tblGrid>
        <w:gridCol w:w="2254"/>
        <w:gridCol w:w="2254"/>
        <w:gridCol w:w="2254"/>
        <w:gridCol w:w="2254"/>
      </w:tblGrid>
      <w:tr w:rsidR="008A1FE5" w:rsidRPr="00BA3FBA" w14:paraId="7D505653" w14:textId="77777777" w:rsidTr="00AA572E">
        <w:tc>
          <w:tcPr>
            <w:tcW w:w="9016" w:type="dxa"/>
            <w:gridSpan w:val="4"/>
            <w:shd w:val="clear" w:color="auto" w:fill="EEECE1" w:themeFill="background2"/>
          </w:tcPr>
          <w:p w14:paraId="5A07EE5D" w14:textId="77777777" w:rsidR="008A1FE5" w:rsidRPr="0027570B" w:rsidRDefault="008A1FE5" w:rsidP="00DC54F7">
            <w:pPr>
              <w:pStyle w:val="ListParagraph"/>
              <w:numPr>
                <w:ilvl w:val="0"/>
                <w:numId w:val="194"/>
              </w:numPr>
              <w:jc w:val="both"/>
              <w:rPr>
                <w:b/>
              </w:rPr>
            </w:pPr>
            <w:r>
              <w:rPr>
                <w:b/>
              </w:rPr>
              <w:t>Are you a carer</w:t>
            </w:r>
            <w:r w:rsidRPr="0027570B">
              <w:rPr>
                <w:b/>
              </w:rPr>
              <w:t xml:space="preserve"> for a friend or family member who due to illness, disability, a mental health problem or </w:t>
            </w:r>
            <w:r>
              <w:rPr>
                <w:b/>
              </w:rPr>
              <w:t>an addiction,</w:t>
            </w:r>
            <w:r w:rsidRPr="0027570B">
              <w:rPr>
                <w:b/>
              </w:rPr>
              <w:t xml:space="preserve"> cannot cope without your support? Please tick one box</w:t>
            </w:r>
          </w:p>
        </w:tc>
      </w:tr>
      <w:tr w:rsidR="008A1FE5" w:rsidRPr="00BA3FBA" w14:paraId="6275DCFB" w14:textId="77777777" w:rsidTr="00AA572E">
        <w:tc>
          <w:tcPr>
            <w:tcW w:w="2254" w:type="dxa"/>
            <w:shd w:val="clear" w:color="auto" w:fill="EEECE1" w:themeFill="background2"/>
          </w:tcPr>
          <w:p w14:paraId="0E0CA79D" w14:textId="77777777" w:rsidR="008A1FE5" w:rsidRPr="00BA3FBA" w:rsidRDefault="008A1FE5" w:rsidP="00DC54F7">
            <w:pPr>
              <w:jc w:val="both"/>
            </w:pPr>
            <w:r>
              <w:t>Yes</w:t>
            </w:r>
          </w:p>
        </w:tc>
        <w:sdt>
          <w:sdtPr>
            <w:rPr>
              <w:rFonts w:cs="Arial"/>
              <w:szCs w:val="24"/>
            </w:rPr>
            <w:id w:val="1120568461"/>
            <w14:checkbox>
              <w14:checked w14:val="0"/>
              <w14:checkedState w14:val="2612" w14:font="MS Gothic"/>
              <w14:uncheckedState w14:val="2610" w14:font="MS Gothic"/>
            </w14:checkbox>
          </w:sdtPr>
          <w:sdtContent>
            <w:tc>
              <w:tcPr>
                <w:tcW w:w="2254" w:type="dxa"/>
              </w:tcPr>
              <w:p w14:paraId="1686F673" w14:textId="77777777" w:rsidR="008A1FE5" w:rsidRPr="00BA3FBA" w:rsidRDefault="008A1FE5" w:rsidP="00DC54F7">
                <w:pPr>
                  <w:jc w:val="both"/>
                </w:pPr>
                <w:r>
                  <w:rPr>
                    <w:rFonts w:ascii="MS Gothic" w:eastAsia="MS Gothic" w:hAnsi="MS Gothic" w:cs="Arial" w:hint="eastAsia"/>
                    <w:szCs w:val="24"/>
                  </w:rPr>
                  <w:t>☐</w:t>
                </w:r>
              </w:p>
            </w:tc>
          </w:sdtContent>
        </w:sdt>
        <w:tc>
          <w:tcPr>
            <w:tcW w:w="2254" w:type="dxa"/>
            <w:tcBorders>
              <w:bottom w:val="single" w:sz="4" w:space="0" w:color="auto"/>
            </w:tcBorders>
            <w:shd w:val="clear" w:color="auto" w:fill="EEECE1" w:themeFill="background2"/>
          </w:tcPr>
          <w:p w14:paraId="52A94709" w14:textId="77777777" w:rsidR="008A1FE5" w:rsidRPr="00BA3FBA" w:rsidRDefault="008A1FE5" w:rsidP="00DC54F7">
            <w:pPr>
              <w:jc w:val="both"/>
            </w:pPr>
            <w:r>
              <w:t>No</w:t>
            </w:r>
          </w:p>
        </w:tc>
        <w:sdt>
          <w:sdtPr>
            <w:rPr>
              <w:rFonts w:cs="Arial"/>
              <w:szCs w:val="24"/>
            </w:rPr>
            <w:id w:val="1978791669"/>
            <w14:checkbox>
              <w14:checked w14:val="0"/>
              <w14:checkedState w14:val="2612" w14:font="MS Gothic"/>
              <w14:uncheckedState w14:val="2610" w14:font="MS Gothic"/>
            </w14:checkbox>
          </w:sdtPr>
          <w:sdtContent>
            <w:tc>
              <w:tcPr>
                <w:tcW w:w="2254" w:type="dxa"/>
                <w:tcBorders>
                  <w:bottom w:val="single" w:sz="4" w:space="0" w:color="auto"/>
                </w:tcBorders>
              </w:tcPr>
              <w:p w14:paraId="4316F305" w14:textId="77777777" w:rsidR="008A1FE5" w:rsidRPr="00BA3FBA" w:rsidRDefault="008A1FE5" w:rsidP="00DC54F7">
                <w:pPr>
                  <w:jc w:val="both"/>
                </w:pPr>
                <w:r>
                  <w:rPr>
                    <w:rFonts w:ascii="MS Gothic" w:eastAsia="MS Gothic" w:hAnsi="MS Gothic" w:cs="Arial" w:hint="eastAsia"/>
                    <w:szCs w:val="24"/>
                  </w:rPr>
                  <w:t>☐</w:t>
                </w:r>
              </w:p>
            </w:tc>
          </w:sdtContent>
        </w:sdt>
      </w:tr>
    </w:tbl>
    <w:p w14:paraId="5EAB850A" w14:textId="77777777" w:rsidR="008A1FE5" w:rsidRDefault="008A1FE5" w:rsidP="00DC54F7">
      <w:pPr>
        <w:jc w:val="both"/>
      </w:pPr>
    </w:p>
    <w:tbl>
      <w:tblPr>
        <w:tblStyle w:val="TableGrid"/>
        <w:tblW w:w="0" w:type="auto"/>
        <w:tblLook w:val="04A0" w:firstRow="1" w:lastRow="0" w:firstColumn="1" w:lastColumn="0" w:noHBand="0" w:noVBand="1"/>
      </w:tblPr>
      <w:tblGrid>
        <w:gridCol w:w="2254"/>
        <w:gridCol w:w="293"/>
        <w:gridCol w:w="458"/>
        <w:gridCol w:w="1503"/>
        <w:gridCol w:w="1866"/>
        <w:gridCol w:w="388"/>
        <w:gridCol w:w="1738"/>
        <w:gridCol w:w="516"/>
      </w:tblGrid>
      <w:tr w:rsidR="008A1FE5" w:rsidRPr="00BA3FBA" w14:paraId="42DA84F2" w14:textId="77777777" w:rsidTr="00AA572E">
        <w:tc>
          <w:tcPr>
            <w:tcW w:w="9016" w:type="dxa"/>
            <w:gridSpan w:val="8"/>
            <w:shd w:val="clear" w:color="auto" w:fill="EEECE1" w:themeFill="background2"/>
          </w:tcPr>
          <w:p w14:paraId="751BB422" w14:textId="77777777" w:rsidR="008A1FE5" w:rsidRPr="0027570B" w:rsidRDefault="008A1FE5" w:rsidP="00DC54F7">
            <w:pPr>
              <w:pStyle w:val="ListParagraph"/>
              <w:numPr>
                <w:ilvl w:val="0"/>
                <w:numId w:val="194"/>
              </w:numPr>
              <w:jc w:val="both"/>
              <w:rPr>
                <w:b/>
              </w:rPr>
            </w:pPr>
            <w:r w:rsidRPr="0027570B">
              <w:rPr>
                <w:b/>
              </w:rPr>
              <w:lastRenderedPageBreak/>
              <w:t>Do you regard yourself as belonging to any particular religion? Please tick one box</w:t>
            </w:r>
          </w:p>
        </w:tc>
      </w:tr>
      <w:tr w:rsidR="008A1FE5" w:rsidRPr="00BA3FBA" w14:paraId="1EFBA95C" w14:textId="77777777" w:rsidTr="00AA572E">
        <w:tc>
          <w:tcPr>
            <w:tcW w:w="2254" w:type="dxa"/>
            <w:shd w:val="clear" w:color="auto" w:fill="EEECE1" w:themeFill="background2"/>
          </w:tcPr>
          <w:p w14:paraId="542B16D9" w14:textId="77777777" w:rsidR="008A1FE5" w:rsidRPr="00BA3FBA" w:rsidRDefault="008A1FE5" w:rsidP="00DC54F7">
            <w:pPr>
              <w:jc w:val="both"/>
            </w:pPr>
            <w:r>
              <w:t>Yes</w:t>
            </w:r>
          </w:p>
        </w:tc>
        <w:sdt>
          <w:sdtPr>
            <w:rPr>
              <w:rFonts w:cs="Arial"/>
              <w:szCs w:val="24"/>
            </w:rPr>
            <w:id w:val="-1596390958"/>
            <w14:checkbox>
              <w14:checked w14:val="0"/>
              <w14:checkedState w14:val="2612" w14:font="MS Gothic"/>
              <w14:uncheckedState w14:val="2610" w14:font="MS Gothic"/>
            </w14:checkbox>
          </w:sdtPr>
          <w:sdtContent>
            <w:tc>
              <w:tcPr>
                <w:tcW w:w="2254" w:type="dxa"/>
                <w:gridSpan w:val="3"/>
              </w:tcPr>
              <w:p w14:paraId="141861FE" w14:textId="77777777" w:rsidR="008A1FE5" w:rsidRPr="00BA3FBA" w:rsidRDefault="008A1FE5" w:rsidP="00DC54F7">
                <w:pPr>
                  <w:jc w:val="both"/>
                </w:pPr>
                <w:r w:rsidRPr="00BA3FBA">
                  <w:rPr>
                    <w:rFonts w:ascii="MS Gothic" w:eastAsia="MS Gothic" w:hAnsi="MS Gothic" w:cs="Arial" w:hint="eastAsia"/>
                    <w:szCs w:val="24"/>
                  </w:rPr>
                  <w:t>☐</w:t>
                </w:r>
              </w:p>
            </w:tc>
          </w:sdtContent>
        </w:sdt>
        <w:tc>
          <w:tcPr>
            <w:tcW w:w="2254" w:type="dxa"/>
            <w:gridSpan w:val="2"/>
            <w:shd w:val="clear" w:color="auto" w:fill="EEECE1" w:themeFill="background2"/>
          </w:tcPr>
          <w:p w14:paraId="06741AFA" w14:textId="77777777" w:rsidR="008A1FE5" w:rsidRPr="00BA3FBA" w:rsidRDefault="008A1FE5" w:rsidP="00DC54F7">
            <w:pPr>
              <w:jc w:val="both"/>
            </w:pPr>
            <w:r>
              <w:t>No</w:t>
            </w:r>
          </w:p>
        </w:tc>
        <w:sdt>
          <w:sdtPr>
            <w:rPr>
              <w:rFonts w:cs="Arial"/>
              <w:szCs w:val="24"/>
            </w:rPr>
            <w:id w:val="497613400"/>
            <w14:checkbox>
              <w14:checked w14:val="0"/>
              <w14:checkedState w14:val="2612" w14:font="MS Gothic"/>
              <w14:uncheckedState w14:val="2610" w14:font="MS Gothic"/>
            </w14:checkbox>
          </w:sdtPr>
          <w:sdtContent>
            <w:tc>
              <w:tcPr>
                <w:tcW w:w="2254" w:type="dxa"/>
                <w:gridSpan w:val="2"/>
              </w:tcPr>
              <w:p w14:paraId="2F3BAA29" w14:textId="77777777" w:rsidR="008A1FE5" w:rsidRPr="00BA3FBA" w:rsidRDefault="008A1FE5" w:rsidP="00DC54F7">
                <w:pPr>
                  <w:jc w:val="both"/>
                </w:pPr>
                <w:r>
                  <w:rPr>
                    <w:rFonts w:ascii="MS Gothic" w:eastAsia="MS Gothic" w:hAnsi="MS Gothic" w:cs="Arial" w:hint="eastAsia"/>
                    <w:szCs w:val="24"/>
                  </w:rPr>
                  <w:t>☐</w:t>
                </w:r>
              </w:p>
            </w:tc>
          </w:sdtContent>
        </w:sdt>
      </w:tr>
      <w:tr w:rsidR="008A1FE5" w:rsidRPr="000267FA" w14:paraId="459D2002" w14:textId="77777777" w:rsidTr="00AA572E">
        <w:tc>
          <w:tcPr>
            <w:tcW w:w="4508" w:type="dxa"/>
            <w:gridSpan w:val="4"/>
            <w:shd w:val="clear" w:color="auto" w:fill="EEECE1" w:themeFill="background2"/>
          </w:tcPr>
          <w:p w14:paraId="379CE652" w14:textId="77777777" w:rsidR="008A1FE5" w:rsidRPr="00045C0F" w:rsidRDefault="008A1FE5" w:rsidP="00DC54F7">
            <w:pPr>
              <w:jc w:val="both"/>
              <w:rPr>
                <w:rFonts w:cs="Arial"/>
                <w:bCs/>
                <w:szCs w:val="24"/>
              </w:rPr>
            </w:pPr>
            <w:r w:rsidRPr="00045C0F">
              <w:rPr>
                <w:rFonts w:cs="Arial"/>
                <w:bCs/>
                <w:szCs w:val="24"/>
              </w:rPr>
              <w:t>Prefer not to answer</w:t>
            </w:r>
          </w:p>
        </w:tc>
        <w:sdt>
          <w:sdtPr>
            <w:rPr>
              <w:rFonts w:cs="Arial"/>
              <w:szCs w:val="24"/>
            </w:rPr>
            <w:id w:val="-1597710658"/>
            <w14:checkbox>
              <w14:checked w14:val="0"/>
              <w14:checkedState w14:val="2612" w14:font="MS Gothic"/>
              <w14:uncheckedState w14:val="2610" w14:font="MS Gothic"/>
            </w14:checkbox>
          </w:sdtPr>
          <w:sdtContent>
            <w:tc>
              <w:tcPr>
                <w:tcW w:w="4508" w:type="dxa"/>
                <w:gridSpan w:val="4"/>
                <w:shd w:val="clear" w:color="auto" w:fill="FFFFFF" w:themeFill="background1"/>
              </w:tcPr>
              <w:p w14:paraId="193C9E99" w14:textId="77777777" w:rsidR="008A1FE5" w:rsidRPr="00045C0F" w:rsidRDefault="008A1FE5" w:rsidP="00DC54F7">
                <w:pPr>
                  <w:jc w:val="both"/>
                  <w:rPr>
                    <w:rFonts w:cs="Arial"/>
                    <w:b/>
                    <w:szCs w:val="24"/>
                  </w:rPr>
                </w:pPr>
                <w:r>
                  <w:rPr>
                    <w:rFonts w:ascii="MS Gothic" w:eastAsia="MS Gothic" w:hAnsi="MS Gothic" w:cs="Arial" w:hint="eastAsia"/>
                    <w:szCs w:val="24"/>
                  </w:rPr>
                  <w:t>☐</w:t>
                </w:r>
              </w:p>
            </w:tc>
          </w:sdtContent>
        </w:sdt>
      </w:tr>
      <w:tr w:rsidR="008A1FE5" w:rsidRPr="000267FA" w14:paraId="6D1DE83D" w14:textId="77777777" w:rsidTr="00AA572E">
        <w:tc>
          <w:tcPr>
            <w:tcW w:w="9016" w:type="dxa"/>
            <w:gridSpan w:val="8"/>
            <w:shd w:val="clear" w:color="auto" w:fill="EEECE1" w:themeFill="background2"/>
          </w:tcPr>
          <w:p w14:paraId="37E1D10E" w14:textId="77777777" w:rsidR="008A1FE5" w:rsidRPr="000267FA" w:rsidRDefault="008A1FE5" w:rsidP="00DC54F7">
            <w:pPr>
              <w:jc w:val="both"/>
              <w:rPr>
                <w:rFonts w:cs="Arial"/>
                <w:b/>
                <w:szCs w:val="24"/>
              </w:rPr>
            </w:pPr>
            <w:r w:rsidRPr="000267FA">
              <w:rPr>
                <w:rFonts w:cs="Arial"/>
                <w:b/>
                <w:szCs w:val="24"/>
              </w:rPr>
              <w:t>If ‘Yes’, please specify</w:t>
            </w:r>
          </w:p>
        </w:tc>
      </w:tr>
      <w:tr w:rsidR="008A1FE5" w:rsidRPr="000267FA" w14:paraId="1A2FA23C" w14:textId="77777777" w:rsidTr="00AA572E">
        <w:tc>
          <w:tcPr>
            <w:tcW w:w="2547" w:type="dxa"/>
            <w:gridSpan w:val="2"/>
            <w:shd w:val="clear" w:color="auto" w:fill="EEECE1" w:themeFill="background2"/>
          </w:tcPr>
          <w:p w14:paraId="2F636A6A" w14:textId="77777777" w:rsidR="008A1FE5" w:rsidRPr="000267FA" w:rsidRDefault="008A1FE5" w:rsidP="00DC54F7">
            <w:pPr>
              <w:jc w:val="both"/>
              <w:rPr>
                <w:rFonts w:cs="Arial"/>
                <w:szCs w:val="24"/>
              </w:rPr>
            </w:pPr>
            <w:r w:rsidRPr="000267FA">
              <w:rPr>
                <w:rFonts w:cs="Arial"/>
                <w:szCs w:val="24"/>
              </w:rPr>
              <w:t>Buddhist</w:t>
            </w:r>
          </w:p>
        </w:tc>
        <w:sdt>
          <w:sdtPr>
            <w:rPr>
              <w:rFonts w:cs="Arial"/>
              <w:szCs w:val="24"/>
            </w:rPr>
            <w:id w:val="-1772385762"/>
            <w14:checkbox>
              <w14:checked w14:val="0"/>
              <w14:checkedState w14:val="2612" w14:font="MS Gothic"/>
              <w14:uncheckedState w14:val="2610" w14:font="MS Gothic"/>
            </w14:checkbox>
          </w:sdtPr>
          <w:sdtContent>
            <w:tc>
              <w:tcPr>
                <w:tcW w:w="458" w:type="dxa"/>
                <w:shd w:val="clear" w:color="auto" w:fill="auto"/>
              </w:tcPr>
              <w:p w14:paraId="13F640E6" w14:textId="77777777" w:rsidR="008A1FE5" w:rsidRPr="000267FA" w:rsidRDefault="008A1FE5" w:rsidP="00DC54F7">
                <w:pPr>
                  <w:jc w:val="both"/>
                  <w:rPr>
                    <w:rFonts w:cs="Arial"/>
                    <w:szCs w:val="24"/>
                  </w:rPr>
                </w:pPr>
                <w:r>
                  <w:rPr>
                    <w:rFonts w:ascii="MS Gothic" w:eastAsia="MS Gothic" w:hAnsi="MS Gothic" w:cs="Arial" w:hint="eastAsia"/>
                    <w:szCs w:val="24"/>
                  </w:rPr>
                  <w:t>☐</w:t>
                </w:r>
              </w:p>
            </w:tc>
          </w:sdtContent>
        </w:sdt>
        <w:tc>
          <w:tcPr>
            <w:tcW w:w="5495" w:type="dxa"/>
            <w:gridSpan w:val="4"/>
            <w:shd w:val="clear" w:color="auto" w:fill="EEECE1" w:themeFill="background2"/>
          </w:tcPr>
          <w:p w14:paraId="6924699B" w14:textId="77777777" w:rsidR="008A1FE5" w:rsidRPr="000267FA" w:rsidRDefault="008A1FE5" w:rsidP="00DC54F7">
            <w:pPr>
              <w:jc w:val="both"/>
              <w:rPr>
                <w:rFonts w:cs="Arial"/>
                <w:szCs w:val="24"/>
              </w:rPr>
            </w:pPr>
            <w:r w:rsidRPr="000267FA">
              <w:rPr>
                <w:rFonts w:cs="Arial"/>
                <w:szCs w:val="24"/>
              </w:rPr>
              <w:t>Christian (including Church in Wales, Catholic, Protestant and all other Christian denominations)</w:t>
            </w:r>
          </w:p>
        </w:tc>
        <w:sdt>
          <w:sdtPr>
            <w:rPr>
              <w:rFonts w:cs="Arial"/>
              <w:szCs w:val="24"/>
            </w:rPr>
            <w:id w:val="-958636571"/>
            <w14:checkbox>
              <w14:checked w14:val="0"/>
              <w14:checkedState w14:val="2612" w14:font="MS Gothic"/>
              <w14:uncheckedState w14:val="2610" w14:font="MS Gothic"/>
            </w14:checkbox>
          </w:sdtPr>
          <w:sdtContent>
            <w:tc>
              <w:tcPr>
                <w:tcW w:w="516" w:type="dxa"/>
                <w:shd w:val="clear" w:color="auto" w:fill="auto"/>
              </w:tcPr>
              <w:p w14:paraId="34F44609" w14:textId="77777777" w:rsidR="008A1FE5" w:rsidRPr="000267FA" w:rsidRDefault="008A1FE5" w:rsidP="00DC54F7">
                <w:pPr>
                  <w:jc w:val="both"/>
                  <w:rPr>
                    <w:rFonts w:cs="Arial"/>
                    <w:b/>
                    <w:szCs w:val="24"/>
                  </w:rPr>
                </w:pPr>
                <w:r>
                  <w:rPr>
                    <w:rFonts w:ascii="MS Gothic" w:eastAsia="MS Gothic" w:hAnsi="MS Gothic" w:cs="Arial" w:hint="eastAsia"/>
                    <w:szCs w:val="24"/>
                  </w:rPr>
                  <w:t>☐</w:t>
                </w:r>
              </w:p>
            </w:tc>
          </w:sdtContent>
        </w:sdt>
      </w:tr>
      <w:tr w:rsidR="008A1FE5" w:rsidRPr="000267FA" w14:paraId="6A1C2E00" w14:textId="77777777" w:rsidTr="00AA572E">
        <w:tc>
          <w:tcPr>
            <w:tcW w:w="2547" w:type="dxa"/>
            <w:gridSpan w:val="2"/>
            <w:shd w:val="clear" w:color="auto" w:fill="EEECE1" w:themeFill="background2"/>
          </w:tcPr>
          <w:p w14:paraId="306F9EE8" w14:textId="77777777" w:rsidR="008A1FE5" w:rsidRDefault="008A1FE5" w:rsidP="00DC54F7">
            <w:pPr>
              <w:jc w:val="both"/>
              <w:rPr>
                <w:rFonts w:cs="Arial"/>
                <w:szCs w:val="24"/>
              </w:rPr>
            </w:pPr>
            <w:r w:rsidRPr="000267FA">
              <w:rPr>
                <w:rFonts w:cs="Arial"/>
                <w:szCs w:val="24"/>
              </w:rPr>
              <w:t>Hindu</w:t>
            </w:r>
          </w:p>
          <w:p w14:paraId="452FEC38" w14:textId="77777777" w:rsidR="008A1FE5" w:rsidRPr="000267FA" w:rsidRDefault="008A1FE5" w:rsidP="00DC54F7">
            <w:pPr>
              <w:jc w:val="both"/>
              <w:rPr>
                <w:rFonts w:cs="Arial"/>
                <w:szCs w:val="24"/>
              </w:rPr>
            </w:pPr>
          </w:p>
        </w:tc>
        <w:sdt>
          <w:sdtPr>
            <w:rPr>
              <w:rFonts w:cs="Arial"/>
              <w:szCs w:val="24"/>
            </w:rPr>
            <w:id w:val="-149596437"/>
            <w14:checkbox>
              <w14:checked w14:val="0"/>
              <w14:checkedState w14:val="2612" w14:font="MS Gothic"/>
              <w14:uncheckedState w14:val="2610" w14:font="MS Gothic"/>
            </w14:checkbox>
          </w:sdtPr>
          <w:sdtContent>
            <w:tc>
              <w:tcPr>
                <w:tcW w:w="458" w:type="dxa"/>
                <w:shd w:val="clear" w:color="auto" w:fill="auto"/>
              </w:tcPr>
              <w:p w14:paraId="5A85F430" w14:textId="77777777" w:rsidR="008A1FE5" w:rsidRPr="000267FA" w:rsidRDefault="008A1FE5" w:rsidP="00DC54F7">
                <w:pPr>
                  <w:jc w:val="both"/>
                  <w:rPr>
                    <w:rFonts w:cs="Arial"/>
                    <w:szCs w:val="24"/>
                  </w:rPr>
                </w:pPr>
                <w:r w:rsidRPr="000267FA">
                  <w:rPr>
                    <w:rFonts w:ascii="MS Gothic" w:eastAsia="MS Gothic" w:hAnsi="MS Gothic" w:cs="Arial" w:hint="eastAsia"/>
                    <w:szCs w:val="24"/>
                  </w:rPr>
                  <w:t>☐</w:t>
                </w:r>
              </w:p>
            </w:tc>
          </w:sdtContent>
        </w:sdt>
        <w:tc>
          <w:tcPr>
            <w:tcW w:w="1503" w:type="dxa"/>
            <w:shd w:val="clear" w:color="auto" w:fill="EEECE1" w:themeFill="background2"/>
          </w:tcPr>
          <w:p w14:paraId="5FF5B917" w14:textId="77777777" w:rsidR="008A1FE5" w:rsidRPr="000267FA" w:rsidRDefault="008A1FE5" w:rsidP="00DC54F7">
            <w:pPr>
              <w:jc w:val="both"/>
              <w:rPr>
                <w:rFonts w:cs="Arial"/>
                <w:szCs w:val="24"/>
              </w:rPr>
            </w:pPr>
            <w:r w:rsidRPr="000267FA">
              <w:rPr>
                <w:rFonts w:cs="Arial"/>
                <w:szCs w:val="24"/>
              </w:rPr>
              <w:t>Jewish</w:t>
            </w:r>
          </w:p>
        </w:tc>
        <w:sdt>
          <w:sdtPr>
            <w:rPr>
              <w:rFonts w:cs="Arial"/>
              <w:szCs w:val="24"/>
            </w:rPr>
            <w:id w:val="-924487953"/>
            <w14:checkbox>
              <w14:checked w14:val="0"/>
              <w14:checkedState w14:val="2612" w14:font="MS Gothic"/>
              <w14:uncheckedState w14:val="2610" w14:font="MS Gothic"/>
            </w14:checkbox>
          </w:sdtPr>
          <w:sdtContent>
            <w:tc>
              <w:tcPr>
                <w:tcW w:w="1866" w:type="dxa"/>
                <w:shd w:val="clear" w:color="auto" w:fill="auto"/>
              </w:tcPr>
              <w:p w14:paraId="70CA9785" w14:textId="77777777" w:rsidR="008A1FE5" w:rsidRPr="000267FA" w:rsidRDefault="008A1FE5" w:rsidP="00DC54F7">
                <w:pPr>
                  <w:jc w:val="both"/>
                  <w:rPr>
                    <w:rFonts w:cs="Arial"/>
                    <w:szCs w:val="24"/>
                  </w:rPr>
                </w:pPr>
                <w:r>
                  <w:rPr>
                    <w:rFonts w:ascii="MS Gothic" w:eastAsia="MS Gothic" w:hAnsi="MS Gothic" w:cs="Arial" w:hint="eastAsia"/>
                    <w:szCs w:val="24"/>
                  </w:rPr>
                  <w:t>☐</w:t>
                </w:r>
              </w:p>
            </w:tc>
          </w:sdtContent>
        </w:sdt>
        <w:tc>
          <w:tcPr>
            <w:tcW w:w="2126" w:type="dxa"/>
            <w:gridSpan w:val="2"/>
            <w:shd w:val="clear" w:color="auto" w:fill="EEECE1" w:themeFill="background2"/>
          </w:tcPr>
          <w:p w14:paraId="2723C64C" w14:textId="77777777" w:rsidR="008A1FE5" w:rsidRPr="000267FA" w:rsidRDefault="008A1FE5" w:rsidP="00DC54F7">
            <w:pPr>
              <w:jc w:val="both"/>
              <w:rPr>
                <w:rFonts w:cs="Arial"/>
                <w:szCs w:val="24"/>
              </w:rPr>
            </w:pPr>
            <w:r w:rsidRPr="000267FA">
              <w:rPr>
                <w:rFonts w:cs="Arial"/>
                <w:szCs w:val="24"/>
              </w:rPr>
              <w:t>Muslim</w:t>
            </w:r>
          </w:p>
        </w:tc>
        <w:sdt>
          <w:sdtPr>
            <w:rPr>
              <w:rFonts w:cs="Arial"/>
              <w:szCs w:val="24"/>
            </w:rPr>
            <w:id w:val="1977716354"/>
            <w14:checkbox>
              <w14:checked w14:val="0"/>
              <w14:checkedState w14:val="2612" w14:font="MS Gothic"/>
              <w14:uncheckedState w14:val="2610" w14:font="MS Gothic"/>
            </w14:checkbox>
          </w:sdtPr>
          <w:sdtContent>
            <w:tc>
              <w:tcPr>
                <w:tcW w:w="516" w:type="dxa"/>
                <w:shd w:val="clear" w:color="auto" w:fill="auto"/>
              </w:tcPr>
              <w:p w14:paraId="227B2A8D" w14:textId="77777777" w:rsidR="008A1FE5" w:rsidRPr="000267FA" w:rsidRDefault="008A1FE5" w:rsidP="00DC54F7">
                <w:pPr>
                  <w:jc w:val="both"/>
                  <w:rPr>
                    <w:rFonts w:cs="Arial"/>
                    <w:b/>
                    <w:szCs w:val="24"/>
                  </w:rPr>
                </w:pPr>
                <w:r w:rsidRPr="00BA3FBA">
                  <w:rPr>
                    <w:rFonts w:ascii="MS Gothic" w:eastAsia="MS Gothic" w:hAnsi="MS Gothic" w:cs="Arial" w:hint="eastAsia"/>
                    <w:szCs w:val="24"/>
                  </w:rPr>
                  <w:t>☐</w:t>
                </w:r>
              </w:p>
            </w:tc>
          </w:sdtContent>
        </w:sdt>
      </w:tr>
      <w:tr w:rsidR="008A1FE5" w:rsidRPr="000267FA" w14:paraId="4A572DF5" w14:textId="77777777" w:rsidTr="00AA572E">
        <w:trPr>
          <w:trHeight w:val="266"/>
        </w:trPr>
        <w:tc>
          <w:tcPr>
            <w:tcW w:w="2547" w:type="dxa"/>
            <w:gridSpan w:val="2"/>
            <w:shd w:val="clear" w:color="auto" w:fill="EEECE1" w:themeFill="background2"/>
          </w:tcPr>
          <w:p w14:paraId="561D9A7A" w14:textId="77777777" w:rsidR="008A1FE5" w:rsidRPr="000267FA" w:rsidRDefault="008A1FE5" w:rsidP="00DC54F7">
            <w:pPr>
              <w:jc w:val="both"/>
              <w:rPr>
                <w:rFonts w:cs="Arial"/>
                <w:szCs w:val="24"/>
              </w:rPr>
            </w:pPr>
            <w:r w:rsidRPr="000267FA">
              <w:rPr>
                <w:rFonts w:cs="Arial"/>
                <w:szCs w:val="24"/>
              </w:rPr>
              <w:t>Sikh</w:t>
            </w:r>
          </w:p>
        </w:tc>
        <w:sdt>
          <w:sdtPr>
            <w:rPr>
              <w:rFonts w:cs="Arial"/>
              <w:szCs w:val="24"/>
            </w:rPr>
            <w:id w:val="-1103878458"/>
            <w14:checkbox>
              <w14:checked w14:val="0"/>
              <w14:checkedState w14:val="2612" w14:font="MS Gothic"/>
              <w14:uncheckedState w14:val="2610" w14:font="MS Gothic"/>
            </w14:checkbox>
          </w:sdtPr>
          <w:sdtContent>
            <w:tc>
              <w:tcPr>
                <w:tcW w:w="458" w:type="dxa"/>
                <w:shd w:val="clear" w:color="auto" w:fill="auto"/>
              </w:tcPr>
              <w:p w14:paraId="48BC2A6A" w14:textId="77777777" w:rsidR="008A1FE5" w:rsidRPr="000267FA" w:rsidRDefault="008A1FE5" w:rsidP="00DC54F7">
                <w:pPr>
                  <w:jc w:val="both"/>
                  <w:rPr>
                    <w:rFonts w:cs="Arial"/>
                    <w:szCs w:val="24"/>
                  </w:rPr>
                </w:pPr>
                <w:r w:rsidRPr="000267FA">
                  <w:rPr>
                    <w:rFonts w:ascii="MS Gothic" w:eastAsia="MS Gothic" w:hAnsi="MS Gothic" w:cs="Arial" w:hint="eastAsia"/>
                    <w:szCs w:val="24"/>
                  </w:rPr>
                  <w:t>☐</w:t>
                </w:r>
              </w:p>
            </w:tc>
          </w:sdtContent>
        </w:sdt>
        <w:tc>
          <w:tcPr>
            <w:tcW w:w="1503" w:type="dxa"/>
            <w:shd w:val="clear" w:color="auto" w:fill="EEECE1" w:themeFill="background2"/>
          </w:tcPr>
          <w:p w14:paraId="75B3F427" w14:textId="77777777" w:rsidR="008A1FE5" w:rsidRPr="000267FA" w:rsidRDefault="008A1FE5" w:rsidP="00DC54F7">
            <w:pPr>
              <w:jc w:val="both"/>
              <w:rPr>
                <w:rFonts w:cs="Arial"/>
                <w:szCs w:val="24"/>
              </w:rPr>
            </w:pPr>
            <w:r w:rsidRPr="000267FA">
              <w:rPr>
                <w:rFonts w:cs="Arial"/>
                <w:szCs w:val="24"/>
              </w:rPr>
              <w:t>Other</w:t>
            </w:r>
          </w:p>
        </w:tc>
        <w:sdt>
          <w:sdtPr>
            <w:rPr>
              <w:rFonts w:cs="Arial"/>
              <w:szCs w:val="24"/>
            </w:rPr>
            <w:id w:val="529077289"/>
            <w14:checkbox>
              <w14:checked w14:val="0"/>
              <w14:checkedState w14:val="2612" w14:font="MS Gothic"/>
              <w14:uncheckedState w14:val="2610" w14:font="MS Gothic"/>
            </w14:checkbox>
          </w:sdtPr>
          <w:sdtContent>
            <w:tc>
              <w:tcPr>
                <w:tcW w:w="1866" w:type="dxa"/>
                <w:shd w:val="clear" w:color="auto" w:fill="auto"/>
              </w:tcPr>
              <w:p w14:paraId="13AA7F98" w14:textId="77777777" w:rsidR="008A1FE5" w:rsidRPr="000267FA" w:rsidRDefault="008A1FE5" w:rsidP="00DC54F7">
                <w:pPr>
                  <w:jc w:val="both"/>
                  <w:rPr>
                    <w:rFonts w:cs="Arial"/>
                    <w:szCs w:val="24"/>
                  </w:rPr>
                </w:pPr>
                <w:r>
                  <w:rPr>
                    <w:rFonts w:ascii="MS Gothic" w:eastAsia="MS Gothic" w:hAnsi="MS Gothic" w:cs="Arial" w:hint="eastAsia"/>
                    <w:szCs w:val="24"/>
                  </w:rPr>
                  <w:t>☐</w:t>
                </w:r>
              </w:p>
            </w:tc>
          </w:sdtContent>
        </w:sdt>
        <w:tc>
          <w:tcPr>
            <w:tcW w:w="2642" w:type="dxa"/>
            <w:gridSpan w:val="3"/>
            <w:shd w:val="clear" w:color="auto" w:fill="EEECE1" w:themeFill="background2"/>
          </w:tcPr>
          <w:p w14:paraId="0EEDB4C7" w14:textId="77777777" w:rsidR="008A1FE5" w:rsidRPr="000267FA" w:rsidRDefault="008A1FE5" w:rsidP="00DC54F7">
            <w:pPr>
              <w:jc w:val="both"/>
              <w:rPr>
                <w:rFonts w:cs="Arial"/>
                <w:szCs w:val="24"/>
              </w:rPr>
            </w:pPr>
          </w:p>
          <w:p w14:paraId="503CDF81" w14:textId="77777777" w:rsidR="008A1FE5" w:rsidRPr="000267FA" w:rsidRDefault="008A1FE5" w:rsidP="00DC54F7">
            <w:pPr>
              <w:jc w:val="both"/>
              <w:rPr>
                <w:rFonts w:cs="Arial"/>
                <w:b/>
                <w:szCs w:val="24"/>
              </w:rPr>
            </w:pPr>
          </w:p>
        </w:tc>
      </w:tr>
      <w:tr w:rsidR="008A1FE5" w:rsidRPr="000267FA" w14:paraId="2B2A29FB" w14:textId="77777777" w:rsidTr="00AA572E">
        <w:tc>
          <w:tcPr>
            <w:tcW w:w="9016" w:type="dxa"/>
            <w:gridSpan w:val="8"/>
            <w:shd w:val="clear" w:color="auto" w:fill="auto"/>
          </w:tcPr>
          <w:p w14:paraId="0D8ADE88" w14:textId="77777777" w:rsidR="008A1FE5" w:rsidRDefault="008A1FE5" w:rsidP="00DC54F7">
            <w:pPr>
              <w:jc w:val="both"/>
              <w:rPr>
                <w:rFonts w:cs="Arial"/>
                <w:b/>
                <w:szCs w:val="24"/>
              </w:rPr>
            </w:pPr>
            <w:r w:rsidRPr="000267FA">
              <w:rPr>
                <w:rFonts w:cs="Arial"/>
                <w:b/>
                <w:szCs w:val="24"/>
              </w:rPr>
              <w:t xml:space="preserve">If ‘Other’ please specify: </w:t>
            </w:r>
          </w:p>
          <w:p w14:paraId="2387C8AC" w14:textId="77777777" w:rsidR="008A1FE5" w:rsidRPr="000267FA" w:rsidRDefault="008A1FE5" w:rsidP="00DC54F7">
            <w:pPr>
              <w:jc w:val="both"/>
              <w:rPr>
                <w:rFonts w:cs="Arial"/>
                <w:b/>
                <w:szCs w:val="24"/>
              </w:rPr>
            </w:pPr>
          </w:p>
        </w:tc>
      </w:tr>
    </w:tbl>
    <w:p w14:paraId="0B993E34" w14:textId="77777777" w:rsidR="008A1FE5" w:rsidRDefault="008A1FE5" w:rsidP="00DC54F7">
      <w:pPr>
        <w:jc w:val="both"/>
      </w:pPr>
    </w:p>
    <w:tbl>
      <w:tblPr>
        <w:tblStyle w:val="TableGrid"/>
        <w:tblW w:w="0" w:type="auto"/>
        <w:jc w:val="center"/>
        <w:tblLook w:val="04A0" w:firstRow="1" w:lastRow="0" w:firstColumn="1" w:lastColumn="0" w:noHBand="0" w:noVBand="1"/>
      </w:tblPr>
      <w:tblGrid>
        <w:gridCol w:w="2405"/>
        <w:gridCol w:w="600"/>
        <w:gridCol w:w="2519"/>
        <w:gridCol w:w="486"/>
        <w:gridCol w:w="2490"/>
        <w:gridCol w:w="516"/>
      </w:tblGrid>
      <w:tr w:rsidR="008A1FE5" w14:paraId="7F2F9B19" w14:textId="77777777" w:rsidTr="00AA572E">
        <w:trPr>
          <w:jc w:val="center"/>
        </w:trPr>
        <w:tc>
          <w:tcPr>
            <w:tcW w:w="9016" w:type="dxa"/>
            <w:gridSpan w:val="6"/>
            <w:shd w:val="clear" w:color="auto" w:fill="EEECE1" w:themeFill="background2"/>
          </w:tcPr>
          <w:p w14:paraId="10F41754" w14:textId="77777777" w:rsidR="008A1FE5" w:rsidRPr="0027570B" w:rsidRDefault="008A1FE5" w:rsidP="00DC54F7">
            <w:pPr>
              <w:pStyle w:val="ListParagraph"/>
              <w:numPr>
                <w:ilvl w:val="0"/>
                <w:numId w:val="194"/>
              </w:numPr>
              <w:jc w:val="both"/>
              <w:rPr>
                <w:b/>
              </w:rPr>
            </w:pPr>
            <w:r w:rsidRPr="0027570B">
              <w:rPr>
                <w:b/>
              </w:rPr>
              <w:t>How would you describe your sexual orientation? Please tick one box</w:t>
            </w:r>
          </w:p>
        </w:tc>
      </w:tr>
      <w:tr w:rsidR="008A1FE5" w14:paraId="067A8B36" w14:textId="77777777" w:rsidTr="00AA572E">
        <w:trPr>
          <w:jc w:val="center"/>
        </w:trPr>
        <w:tc>
          <w:tcPr>
            <w:tcW w:w="2405" w:type="dxa"/>
            <w:shd w:val="clear" w:color="auto" w:fill="EEECE1" w:themeFill="background2"/>
          </w:tcPr>
          <w:p w14:paraId="605E0704" w14:textId="77777777" w:rsidR="008A1FE5" w:rsidRPr="000267FA" w:rsidRDefault="008A1FE5" w:rsidP="00DC54F7">
            <w:pPr>
              <w:jc w:val="both"/>
              <w:rPr>
                <w:rFonts w:cs="Arial"/>
              </w:rPr>
            </w:pPr>
            <w:r>
              <w:rPr>
                <w:rFonts w:cs="Arial"/>
              </w:rPr>
              <w:t>Bisexual</w:t>
            </w:r>
          </w:p>
        </w:tc>
        <w:sdt>
          <w:sdtPr>
            <w:id w:val="-1530788843"/>
            <w14:checkbox>
              <w14:checked w14:val="0"/>
              <w14:checkedState w14:val="2612" w14:font="MS Gothic"/>
              <w14:uncheckedState w14:val="2610" w14:font="MS Gothic"/>
            </w14:checkbox>
          </w:sdtPr>
          <w:sdtContent>
            <w:tc>
              <w:tcPr>
                <w:tcW w:w="600" w:type="dxa"/>
              </w:tcPr>
              <w:p w14:paraId="124004E4" w14:textId="77777777" w:rsidR="008A1FE5" w:rsidRPr="000267FA" w:rsidRDefault="008A1FE5" w:rsidP="00DC54F7">
                <w:pPr>
                  <w:jc w:val="both"/>
                </w:pPr>
                <w:r w:rsidRPr="000267FA">
                  <w:rPr>
                    <w:rFonts w:ascii="Segoe UI Symbol" w:eastAsia="MS Gothic" w:hAnsi="Segoe UI Symbol" w:cs="Segoe UI Symbol"/>
                  </w:rPr>
                  <w:t>☐</w:t>
                </w:r>
              </w:p>
            </w:tc>
          </w:sdtContent>
        </w:sdt>
        <w:tc>
          <w:tcPr>
            <w:tcW w:w="2519" w:type="dxa"/>
            <w:shd w:val="clear" w:color="auto" w:fill="EEECE1" w:themeFill="background2"/>
          </w:tcPr>
          <w:p w14:paraId="3D08498A" w14:textId="77777777" w:rsidR="008A1FE5" w:rsidRPr="000267FA" w:rsidRDefault="008A1FE5" w:rsidP="00DC54F7">
            <w:pPr>
              <w:jc w:val="both"/>
              <w:rPr>
                <w:rFonts w:cs="Arial"/>
              </w:rPr>
            </w:pPr>
            <w:r>
              <w:rPr>
                <w:rFonts w:cs="Arial"/>
              </w:rPr>
              <w:t>Gay woman/ Lesbian</w:t>
            </w:r>
          </w:p>
        </w:tc>
        <w:sdt>
          <w:sdtPr>
            <w:id w:val="-520547086"/>
            <w14:checkbox>
              <w14:checked w14:val="0"/>
              <w14:checkedState w14:val="2612" w14:font="MS Gothic"/>
              <w14:uncheckedState w14:val="2610" w14:font="MS Gothic"/>
            </w14:checkbox>
          </w:sdtPr>
          <w:sdtContent>
            <w:tc>
              <w:tcPr>
                <w:tcW w:w="486" w:type="dxa"/>
              </w:tcPr>
              <w:p w14:paraId="01F9FB25" w14:textId="77777777" w:rsidR="008A1FE5" w:rsidRPr="000267FA" w:rsidRDefault="008A1FE5" w:rsidP="00DC54F7">
                <w:pPr>
                  <w:jc w:val="both"/>
                </w:pPr>
                <w:r w:rsidRPr="000267FA">
                  <w:rPr>
                    <w:rFonts w:ascii="Segoe UI Symbol" w:eastAsia="MS Gothic" w:hAnsi="Segoe UI Symbol" w:cs="Segoe UI Symbol"/>
                  </w:rPr>
                  <w:t>☐</w:t>
                </w:r>
              </w:p>
            </w:tc>
          </w:sdtContent>
        </w:sdt>
        <w:tc>
          <w:tcPr>
            <w:tcW w:w="2490" w:type="dxa"/>
            <w:shd w:val="clear" w:color="auto" w:fill="EEECE1" w:themeFill="background2"/>
          </w:tcPr>
          <w:p w14:paraId="6E245CE8" w14:textId="77777777" w:rsidR="008A1FE5" w:rsidRPr="000267FA" w:rsidRDefault="008A1FE5" w:rsidP="00DC54F7">
            <w:pPr>
              <w:jc w:val="both"/>
              <w:rPr>
                <w:rFonts w:cs="Arial"/>
              </w:rPr>
            </w:pPr>
            <w:r>
              <w:rPr>
                <w:rFonts w:cs="Arial"/>
              </w:rPr>
              <w:t>Gay man</w:t>
            </w:r>
          </w:p>
        </w:tc>
        <w:sdt>
          <w:sdtPr>
            <w:id w:val="-723903409"/>
            <w14:checkbox>
              <w14:checked w14:val="0"/>
              <w14:checkedState w14:val="2612" w14:font="MS Gothic"/>
              <w14:uncheckedState w14:val="2610" w14:font="MS Gothic"/>
            </w14:checkbox>
          </w:sdtPr>
          <w:sdtContent>
            <w:tc>
              <w:tcPr>
                <w:tcW w:w="516" w:type="dxa"/>
              </w:tcPr>
              <w:p w14:paraId="040D1F68" w14:textId="77777777" w:rsidR="008A1FE5" w:rsidRPr="000267FA" w:rsidRDefault="008A1FE5" w:rsidP="00DC54F7">
                <w:pPr>
                  <w:jc w:val="both"/>
                </w:pPr>
                <w:r w:rsidRPr="000267FA">
                  <w:rPr>
                    <w:rFonts w:ascii="Segoe UI Symbol" w:eastAsia="MS Gothic" w:hAnsi="Segoe UI Symbol" w:cs="Segoe UI Symbol"/>
                  </w:rPr>
                  <w:t>☐</w:t>
                </w:r>
              </w:p>
            </w:tc>
          </w:sdtContent>
        </w:sdt>
      </w:tr>
      <w:tr w:rsidR="008A1FE5" w14:paraId="5354F8A2" w14:textId="77777777" w:rsidTr="00AA572E">
        <w:trPr>
          <w:jc w:val="center"/>
        </w:trPr>
        <w:tc>
          <w:tcPr>
            <w:tcW w:w="2405" w:type="dxa"/>
            <w:shd w:val="clear" w:color="auto" w:fill="EEECE1" w:themeFill="background2"/>
          </w:tcPr>
          <w:p w14:paraId="263B5376" w14:textId="77777777" w:rsidR="008A1FE5" w:rsidRPr="000267FA" w:rsidRDefault="008A1FE5" w:rsidP="00DC54F7">
            <w:pPr>
              <w:jc w:val="both"/>
              <w:rPr>
                <w:rFonts w:cs="Arial"/>
              </w:rPr>
            </w:pPr>
            <w:r>
              <w:rPr>
                <w:rFonts w:cs="Arial"/>
              </w:rPr>
              <w:t>Heterosexual/ Straight</w:t>
            </w:r>
          </w:p>
          <w:p w14:paraId="4CFD9C39" w14:textId="77777777" w:rsidR="008A1FE5" w:rsidRPr="000267FA" w:rsidRDefault="008A1FE5" w:rsidP="00DC54F7">
            <w:pPr>
              <w:jc w:val="both"/>
              <w:rPr>
                <w:rFonts w:cs="Arial"/>
              </w:rPr>
            </w:pPr>
          </w:p>
        </w:tc>
        <w:sdt>
          <w:sdtPr>
            <w:id w:val="1649320854"/>
            <w14:checkbox>
              <w14:checked w14:val="0"/>
              <w14:checkedState w14:val="2612" w14:font="MS Gothic"/>
              <w14:uncheckedState w14:val="2610" w14:font="MS Gothic"/>
            </w14:checkbox>
          </w:sdtPr>
          <w:sdtContent>
            <w:tc>
              <w:tcPr>
                <w:tcW w:w="600" w:type="dxa"/>
              </w:tcPr>
              <w:p w14:paraId="385F260D" w14:textId="77777777" w:rsidR="008A1FE5" w:rsidRPr="000267FA" w:rsidRDefault="008A1FE5" w:rsidP="00DC54F7">
                <w:pPr>
                  <w:jc w:val="both"/>
                </w:pPr>
                <w:r w:rsidRPr="000267FA">
                  <w:rPr>
                    <w:rFonts w:ascii="Segoe UI Symbol" w:eastAsia="MS Gothic" w:hAnsi="Segoe UI Symbol" w:cs="Segoe UI Symbol"/>
                  </w:rPr>
                  <w:t>☐</w:t>
                </w:r>
              </w:p>
            </w:tc>
          </w:sdtContent>
        </w:sdt>
        <w:tc>
          <w:tcPr>
            <w:tcW w:w="2519" w:type="dxa"/>
            <w:shd w:val="clear" w:color="auto" w:fill="EEECE1" w:themeFill="background2"/>
          </w:tcPr>
          <w:p w14:paraId="3543976A" w14:textId="77777777" w:rsidR="008A1FE5" w:rsidRPr="000267FA" w:rsidRDefault="008A1FE5" w:rsidP="00DC54F7">
            <w:pPr>
              <w:jc w:val="both"/>
              <w:rPr>
                <w:rFonts w:cs="Arial"/>
              </w:rPr>
            </w:pPr>
            <w:r>
              <w:rPr>
                <w:rFonts w:cs="Arial"/>
              </w:rPr>
              <w:t>Other</w:t>
            </w:r>
          </w:p>
        </w:tc>
        <w:sdt>
          <w:sdtPr>
            <w:id w:val="198133597"/>
            <w14:checkbox>
              <w14:checked w14:val="0"/>
              <w14:checkedState w14:val="2612" w14:font="MS Gothic"/>
              <w14:uncheckedState w14:val="2610" w14:font="MS Gothic"/>
            </w14:checkbox>
          </w:sdtPr>
          <w:sdtContent>
            <w:tc>
              <w:tcPr>
                <w:tcW w:w="486" w:type="dxa"/>
              </w:tcPr>
              <w:p w14:paraId="7D149D6A" w14:textId="77777777" w:rsidR="008A1FE5" w:rsidRPr="000267FA" w:rsidRDefault="008A1FE5" w:rsidP="00DC54F7">
                <w:pPr>
                  <w:jc w:val="both"/>
                </w:pPr>
                <w:r w:rsidRPr="000267FA">
                  <w:rPr>
                    <w:rFonts w:ascii="Segoe UI Symbol" w:eastAsia="MS Gothic" w:hAnsi="Segoe UI Symbol" w:cs="Segoe UI Symbol"/>
                  </w:rPr>
                  <w:t>☐</w:t>
                </w:r>
              </w:p>
            </w:tc>
          </w:sdtContent>
        </w:sdt>
        <w:tc>
          <w:tcPr>
            <w:tcW w:w="2490" w:type="dxa"/>
            <w:shd w:val="clear" w:color="auto" w:fill="EEECE1" w:themeFill="background2"/>
          </w:tcPr>
          <w:p w14:paraId="1AE7D888" w14:textId="77777777" w:rsidR="008A1FE5" w:rsidRPr="000267FA" w:rsidRDefault="008A1FE5" w:rsidP="00DC54F7">
            <w:pPr>
              <w:jc w:val="both"/>
              <w:rPr>
                <w:rFonts w:cs="Arial"/>
              </w:rPr>
            </w:pPr>
            <w:r>
              <w:rPr>
                <w:rFonts w:cs="Arial"/>
              </w:rPr>
              <w:t>Prefer not to answer</w:t>
            </w:r>
          </w:p>
        </w:tc>
        <w:sdt>
          <w:sdtPr>
            <w:id w:val="26691322"/>
            <w14:checkbox>
              <w14:checked w14:val="0"/>
              <w14:checkedState w14:val="2612" w14:font="MS Gothic"/>
              <w14:uncheckedState w14:val="2610" w14:font="MS Gothic"/>
            </w14:checkbox>
          </w:sdtPr>
          <w:sdtContent>
            <w:tc>
              <w:tcPr>
                <w:tcW w:w="516" w:type="dxa"/>
              </w:tcPr>
              <w:p w14:paraId="4B6A97F9" w14:textId="77777777" w:rsidR="008A1FE5" w:rsidRPr="000267FA" w:rsidRDefault="008A1FE5" w:rsidP="00DC54F7">
                <w:pPr>
                  <w:jc w:val="both"/>
                </w:pPr>
                <w:r w:rsidRPr="000267FA">
                  <w:rPr>
                    <w:rFonts w:ascii="Segoe UI Symbol" w:eastAsia="MS Gothic" w:hAnsi="Segoe UI Symbol" w:cs="Segoe UI Symbol"/>
                  </w:rPr>
                  <w:t>☐</w:t>
                </w:r>
              </w:p>
            </w:tc>
          </w:sdtContent>
        </w:sdt>
      </w:tr>
      <w:tr w:rsidR="008A1FE5" w14:paraId="2BB6EA06" w14:textId="77777777" w:rsidTr="00AA572E">
        <w:trPr>
          <w:jc w:val="center"/>
        </w:trPr>
        <w:tc>
          <w:tcPr>
            <w:tcW w:w="9016" w:type="dxa"/>
            <w:gridSpan w:val="6"/>
            <w:shd w:val="clear" w:color="auto" w:fill="auto"/>
          </w:tcPr>
          <w:p w14:paraId="7DD33C22" w14:textId="77777777" w:rsidR="008A1FE5" w:rsidRPr="000267FA" w:rsidRDefault="008A1FE5" w:rsidP="00DC54F7">
            <w:pPr>
              <w:jc w:val="both"/>
              <w:rPr>
                <w:b/>
              </w:rPr>
            </w:pPr>
            <w:r w:rsidRPr="000267FA">
              <w:rPr>
                <w:b/>
              </w:rPr>
              <w:t xml:space="preserve">If ‘Other’ please specify: </w:t>
            </w:r>
          </w:p>
        </w:tc>
      </w:tr>
    </w:tbl>
    <w:p w14:paraId="233CC3D2" w14:textId="77777777" w:rsidR="008A1FE5" w:rsidRDefault="008A1FE5" w:rsidP="00DC54F7">
      <w:pPr>
        <w:jc w:val="both"/>
      </w:pPr>
      <w:r>
        <w:t xml:space="preserve"> </w:t>
      </w:r>
    </w:p>
    <w:tbl>
      <w:tblPr>
        <w:tblStyle w:val="TableGrid"/>
        <w:tblW w:w="0" w:type="auto"/>
        <w:tblLook w:val="04A0" w:firstRow="1" w:lastRow="0" w:firstColumn="1" w:lastColumn="0" w:noHBand="0" w:noVBand="1"/>
      </w:tblPr>
      <w:tblGrid>
        <w:gridCol w:w="2254"/>
        <w:gridCol w:w="2254"/>
        <w:gridCol w:w="2254"/>
        <w:gridCol w:w="2254"/>
      </w:tblGrid>
      <w:tr w:rsidR="008A1FE5" w:rsidRPr="00BA3FBA" w14:paraId="0D1B812E" w14:textId="77777777" w:rsidTr="00AA572E">
        <w:tc>
          <w:tcPr>
            <w:tcW w:w="9016" w:type="dxa"/>
            <w:gridSpan w:val="4"/>
            <w:shd w:val="clear" w:color="auto" w:fill="EEECE1" w:themeFill="background2"/>
          </w:tcPr>
          <w:p w14:paraId="6D310862" w14:textId="77777777" w:rsidR="008A1FE5" w:rsidRPr="0027570B" w:rsidRDefault="008A1FE5" w:rsidP="00DC54F7">
            <w:pPr>
              <w:pStyle w:val="ListParagraph"/>
              <w:numPr>
                <w:ilvl w:val="0"/>
                <w:numId w:val="194"/>
              </w:numPr>
              <w:jc w:val="both"/>
              <w:rPr>
                <w:b/>
              </w:rPr>
            </w:pPr>
            <w:r w:rsidRPr="0027570B">
              <w:rPr>
                <w:b/>
              </w:rPr>
              <w:t>Do you consider yourself to be Welsh? Please tick one box</w:t>
            </w:r>
          </w:p>
        </w:tc>
      </w:tr>
      <w:tr w:rsidR="008A1FE5" w:rsidRPr="00BA3FBA" w14:paraId="5D64B07D" w14:textId="77777777" w:rsidTr="00AA572E">
        <w:tc>
          <w:tcPr>
            <w:tcW w:w="2254" w:type="dxa"/>
            <w:shd w:val="clear" w:color="auto" w:fill="EEECE1" w:themeFill="background2"/>
          </w:tcPr>
          <w:p w14:paraId="733772A3" w14:textId="77777777" w:rsidR="008A1FE5" w:rsidRPr="00BA3FBA" w:rsidRDefault="008A1FE5" w:rsidP="00DC54F7">
            <w:pPr>
              <w:jc w:val="both"/>
            </w:pPr>
            <w:r>
              <w:t>Yes</w:t>
            </w:r>
          </w:p>
        </w:tc>
        <w:sdt>
          <w:sdtPr>
            <w:rPr>
              <w:rFonts w:cs="Arial"/>
              <w:szCs w:val="24"/>
            </w:rPr>
            <w:id w:val="447365434"/>
            <w14:checkbox>
              <w14:checked w14:val="0"/>
              <w14:checkedState w14:val="2612" w14:font="MS Gothic"/>
              <w14:uncheckedState w14:val="2610" w14:font="MS Gothic"/>
            </w14:checkbox>
          </w:sdtPr>
          <w:sdtContent>
            <w:tc>
              <w:tcPr>
                <w:tcW w:w="2254" w:type="dxa"/>
              </w:tcPr>
              <w:p w14:paraId="3135C882" w14:textId="77777777" w:rsidR="008A1FE5" w:rsidRPr="00BA3FBA" w:rsidRDefault="008A1FE5" w:rsidP="00DC54F7">
                <w:pPr>
                  <w:jc w:val="both"/>
                </w:pPr>
                <w:r w:rsidRPr="00BA3FBA">
                  <w:rPr>
                    <w:rFonts w:ascii="MS Gothic" w:eastAsia="MS Gothic" w:hAnsi="MS Gothic" w:cs="Arial" w:hint="eastAsia"/>
                    <w:szCs w:val="24"/>
                  </w:rPr>
                  <w:t>☐</w:t>
                </w:r>
              </w:p>
            </w:tc>
          </w:sdtContent>
        </w:sdt>
        <w:tc>
          <w:tcPr>
            <w:tcW w:w="2254" w:type="dxa"/>
            <w:tcBorders>
              <w:bottom w:val="single" w:sz="4" w:space="0" w:color="auto"/>
            </w:tcBorders>
            <w:shd w:val="clear" w:color="auto" w:fill="EEECE1" w:themeFill="background2"/>
          </w:tcPr>
          <w:p w14:paraId="7759EF47" w14:textId="77777777" w:rsidR="008A1FE5" w:rsidRPr="00BA3FBA" w:rsidRDefault="008A1FE5" w:rsidP="00DC54F7">
            <w:pPr>
              <w:jc w:val="both"/>
            </w:pPr>
            <w:r>
              <w:t>No</w:t>
            </w:r>
          </w:p>
        </w:tc>
        <w:sdt>
          <w:sdtPr>
            <w:rPr>
              <w:rFonts w:cs="Arial"/>
              <w:szCs w:val="24"/>
            </w:rPr>
            <w:id w:val="-1646808128"/>
            <w14:checkbox>
              <w14:checked w14:val="0"/>
              <w14:checkedState w14:val="2612" w14:font="MS Gothic"/>
              <w14:uncheckedState w14:val="2610" w14:font="MS Gothic"/>
            </w14:checkbox>
          </w:sdtPr>
          <w:sdtContent>
            <w:tc>
              <w:tcPr>
                <w:tcW w:w="2254" w:type="dxa"/>
                <w:tcBorders>
                  <w:bottom w:val="single" w:sz="4" w:space="0" w:color="auto"/>
                </w:tcBorders>
              </w:tcPr>
              <w:p w14:paraId="503D5EA5" w14:textId="77777777" w:rsidR="008A1FE5" w:rsidRPr="00BA3FBA" w:rsidRDefault="008A1FE5" w:rsidP="00DC54F7">
                <w:pPr>
                  <w:jc w:val="both"/>
                </w:pPr>
                <w:r w:rsidRPr="00BA3FBA">
                  <w:rPr>
                    <w:rFonts w:ascii="MS Gothic" w:eastAsia="MS Gothic" w:hAnsi="MS Gothic" w:cs="Arial" w:hint="eastAsia"/>
                    <w:szCs w:val="24"/>
                  </w:rPr>
                  <w:t>☐</w:t>
                </w:r>
              </w:p>
            </w:tc>
          </w:sdtContent>
        </w:sdt>
      </w:tr>
    </w:tbl>
    <w:p w14:paraId="7AD38F5C" w14:textId="77777777" w:rsidR="008A1FE5" w:rsidRDefault="008A1FE5" w:rsidP="00DC54F7">
      <w:pPr>
        <w:jc w:val="both"/>
      </w:pPr>
    </w:p>
    <w:tbl>
      <w:tblPr>
        <w:tblStyle w:val="TableGrid"/>
        <w:tblW w:w="0" w:type="auto"/>
        <w:jc w:val="center"/>
        <w:tblLayout w:type="fixed"/>
        <w:tblLook w:val="04A0" w:firstRow="1" w:lastRow="0" w:firstColumn="1" w:lastColumn="0" w:noHBand="0" w:noVBand="1"/>
      </w:tblPr>
      <w:tblGrid>
        <w:gridCol w:w="2405"/>
        <w:gridCol w:w="600"/>
        <w:gridCol w:w="2519"/>
        <w:gridCol w:w="486"/>
        <w:gridCol w:w="2490"/>
        <w:gridCol w:w="516"/>
      </w:tblGrid>
      <w:tr w:rsidR="008A1FE5" w14:paraId="0D6A0119" w14:textId="77777777" w:rsidTr="00AA572E">
        <w:trPr>
          <w:jc w:val="center"/>
        </w:trPr>
        <w:tc>
          <w:tcPr>
            <w:tcW w:w="9016" w:type="dxa"/>
            <w:gridSpan w:val="6"/>
            <w:shd w:val="clear" w:color="auto" w:fill="EEECE1" w:themeFill="background2"/>
          </w:tcPr>
          <w:p w14:paraId="212FC877" w14:textId="77777777" w:rsidR="008A1FE5" w:rsidRPr="0027570B" w:rsidRDefault="008A1FE5" w:rsidP="00DC54F7">
            <w:pPr>
              <w:pStyle w:val="ListParagraph"/>
              <w:numPr>
                <w:ilvl w:val="0"/>
                <w:numId w:val="194"/>
              </w:numPr>
              <w:jc w:val="both"/>
              <w:rPr>
                <w:b/>
              </w:rPr>
            </w:pPr>
            <w:r w:rsidRPr="0027570B">
              <w:rPr>
                <w:b/>
              </w:rPr>
              <w:t>What is your ethnic group? Please tick one box</w:t>
            </w:r>
          </w:p>
          <w:p w14:paraId="412A4370" w14:textId="77777777" w:rsidR="008A1FE5" w:rsidRPr="0027570B" w:rsidRDefault="008A1FE5" w:rsidP="00DC54F7">
            <w:pPr>
              <w:jc w:val="both"/>
            </w:pPr>
            <w:r w:rsidRPr="0027570B">
              <w:t>Where the term ‘British’ is used, this refers to any of the four home nations of Wales, England, Northern Ireland and Scotland, or any combination of these.</w:t>
            </w:r>
          </w:p>
        </w:tc>
      </w:tr>
      <w:tr w:rsidR="008A1FE5" w14:paraId="2A9DD7EB" w14:textId="77777777" w:rsidTr="00AA572E">
        <w:trPr>
          <w:jc w:val="center"/>
        </w:trPr>
        <w:tc>
          <w:tcPr>
            <w:tcW w:w="2405" w:type="dxa"/>
            <w:shd w:val="clear" w:color="auto" w:fill="EEECE1" w:themeFill="background2"/>
          </w:tcPr>
          <w:p w14:paraId="36B8D4A7" w14:textId="77777777" w:rsidR="008A1FE5" w:rsidRPr="0027570B" w:rsidRDefault="008A1FE5" w:rsidP="00DC54F7">
            <w:pPr>
              <w:jc w:val="both"/>
              <w:rPr>
                <w:rFonts w:cs="Arial"/>
                <w:b/>
                <w:sz w:val="18"/>
                <w:szCs w:val="18"/>
              </w:rPr>
            </w:pPr>
            <w:r w:rsidRPr="0027570B">
              <w:rPr>
                <w:rFonts w:cs="Arial"/>
                <w:b/>
                <w:sz w:val="18"/>
                <w:szCs w:val="18"/>
              </w:rPr>
              <w:t>White - Welsh/English/ Scottish/Northern Irish/British</w:t>
            </w:r>
          </w:p>
        </w:tc>
        <w:sdt>
          <w:sdtPr>
            <w:rPr>
              <w:sz w:val="18"/>
              <w:szCs w:val="18"/>
            </w:rPr>
            <w:id w:val="1026142639"/>
            <w14:checkbox>
              <w14:checked w14:val="0"/>
              <w14:checkedState w14:val="2612" w14:font="MS Gothic"/>
              <w14:uncheckedState w14:val="2610" w14:font="MS Gothic"/>
            </w14:checkbox>
          </w:sdtPr>
          <w:sdtContent>
            <w:tc>
              <w:tcPr>
                <w:tcW w:w="600" w:type="dxa"/>
              </w:tcPr>
              <w:p w14:paraId="6BC2E9D3" w14:textId="77777777" w:rsidR="008A1FE5" w:rsidRPr="0027570B" w:rsidRDefault="008A1FE5" w:rsidP="00DC54F7">
                <w:pPr>
                  <w:jc w:val="both"/>
                  <w:rPr>
                    <w:sz w:val="18"/>
                    <w:szCs w:val="18"/>
                  </w:rPr>
                </w:pPr>
                <w:r w:rsidRPr="0027570B">
                  <w:rPr>
                    <w:rFonts w:ascii="Segoe UI Symbol" w:eastAsia="MS Gothic" w:hAnsi="Segoe UI Symbol" w:cs="Segoe UI Symbol"/>
                    <w:sz w:val="18"/>
                    <w:szCs w:val="18"/>
                  </w:rPr>
                  <w:t>☐</w:t>
                </w:r>
              </w:p>
            </w:tc>
          </w:sdtContent>
        </w:sdt>
        <w:tc>
          <w:tcPr>
            <w:tcW w:w="2519" w:type="dxa"/>
            <w:shd w:val="clear" w:color="auto" w:fill="EEECE1" w:themeFill="background2"/>
          </w:tcPr>
          <w:p w14:paraId="2F9137B8" w14:textId="77777777" w:rsidR="008A1FE5" w:rsidRPr="0027570B" w:rsidRDefault="008A1FE5" w:rsidP="00DC54F7">
            <w:pPr>
              <w:jc w:val="both"/>
              <w:rPr>
                <w:rFonts w:cs="Arial"/>
                <w:b/>
                <w:sz w:val="18"/>
                <w:szCs w:val="18"/>
              </w:rPr>
            </w:pPr>
            <w:r w:rsidRPr="0027570B">
              <w:rPr>
                <w:rFonts w:cs="Arial"/>
                <w:b/>
                <w:sz w:val="18"/>
                <w:szCs w:val="18"/>
              </w:rPr>
              <w:t>White - Irish</w:t>
            </w:r>
          </w:p>
        </w:tc>
        <w:sdt>
          <w:sdtPr>
            <w:rPr>
              <w:sz w:val="18"/>
              <w:szCs w:val="18"/>
            </w:rPr>
            <w:id w:val="-541516105"/>
            <w14:checkbox>
              <w14:checked w14:val="0"/>
              <w14:checkedState w14:val="2612" w14:font="MS Gothic"/>
              <w14:uncheckedState w14:val="2610" w14:font="MS Gothic"/>
            </w14:checkbox>
          </w:sdtPr>
          <w:sdtContent>
            <w:tc>
              <w:tcPr>
                <w:tcW w:w="486" w:type="dxa"/>
              </w:tcPr>
              <w:p w14:paraId="71134F41" w14:textId="77777777" w:rsidR="008A1FE5" w:rsidRPr="0027570B" w:rsidRDefault="008A1FE5" w:rsidP="00DC54F7">
                <w:pPr>
                  <w:jc w:val="both"/>
                  <w:rPr>
                    <w:sz w:val="18"/>
                    <w:szCs w:val="18"/>
                  </w:rPr>
                </w:pPr>
                <w:r w:rsidRPr="0027570B">
                  <w:rPr>
                    <w:rFonts w:ascii="Segoe UI Symbol" w:eastAsia="MS Gothic" w:hAnsi="Segoe UI Symbol" w:cs="Segoe UI Symbol"/>
                    <w:sz w:val="18"/>
                    <w:szCs w:val="18"/>
                  </w:rPr>
                  <w:t>☐</w:t>
                </w:r>
              </w:p>
            </w:tc>
          </w:sdtContent>
        </w:sdt>
        <w:tc>
          <w:tcPr>
            <w:tcW w:w="2490" w:type="dxa"/>
            <w:shd w:val="clear" w:color="auto" w:fill="EEECE1" w:themeFill="background2"/>
          </w:tcPr>
          <w:p w14:paraId="0CD46069" w14:textId="77777777" w:rsidR="008A1FE5" w:rsidRPr="0027570B" w:rsidRDefault="008A1FE5" w:rsidP="00DC54F7">
            <w:pPr>
              <w:jc w:val="both"/>
              <w:rPr>
                <w:rFonts w:cs="Arial"/>
                <w:b/>
                <w:sz w:val="18"/>
                <w:szCs w:val="18"/>
              </w:rPr>
            </w:pPr>
            <w:r w:rsidRPr="0027570B">
              <w:rPr>
                <w:rFonts w:cs="Arial"/>
                <w:b/>
                <w:sz w:val="18"/>
                <w:szCs w:val="18"/>
              </w:rPr>
              <w:t>White - Gypsy or Irish Traveller</w:t>
            </w:r>
          </w:p>
        </w:tc>
        <w:sdt>
          <w:sdtPr>
            <w:id w:val="-1618752071"/>
            <w14:checkbox>
              <w14:checked w14:val="0"/>
              <w14:checkedState w14:val="2612" w14:font="MS Gothic"/>
              <w14:uncheckedState w14:val="2610" w14:font="MS Gothic"/>
            </w14:checkbox>
          </w:sdtPr>
          <w:sdtContent>
            <w:tc>
              <w:tcPr>
                <w:tcW w:w="516" w:type="dxa"/>
              </w:tcPr>
              <w:p w14:paraId="4A834FEB" w14:textId="77777777" w:rsidR="008A1FE5" w:rsidRPr="0027570B" w:rsidRDefault="008A1FE5" w:rsidP="00DC54F7">
                <w:pPr>
                  <w:jc w:val="both"/>
                </w:pPr>
                <w:r w:rsidRPr="0027570B">
                  <w:rPr>
                    <w:rFonts w:ascii="Segoe UI Symbol" w:eastAsia="MS Gothic" w:hAnsi="Segoe UI Symbol" w:cs="Segoe UI Symbol"/>
                  </w:rPr>
                  <w:t>☐</w:t>
                </w:r>
              </w:p>
            </w:tc>
          </w:sdtContent>
        </w:sdt>
      </w:tr>
      <w:tr w:rsidR="008A1FE5" w14:paraId="158AFD9E" w14:textId="77777777" w:rsidTr="00AA572E">
        <w:trPr>
          <w:jc w:val="center"/>
        </w:trPr>
        <w:tc>
          <w:tcPr>
            <w:tcW w:w="2405" w:type="dxa"/>
            <w:shd w:val="clear" w:color="auto" w:fill="EEECE1" w:themeFill="background2"/>
          </w:tcPr>
          <w:p w14:paraId="04711B48" w14:textId="77777777" w:rsidR="008A1FE5" w:rsidRPr="0027570B" w:rsidRDefault="008A1FE5" w:rsidP="00DC54F7">
            <w:pPr>
              <w:jc w:val="both"/>
              <w:rPr>
                <w:rFonts w:cs="Arial"/>
                <w:b/>
                <w:sz w:val="18"/>
                <w:szCs w:val="18"/>
              </w:rPr>
            </w:pPr>
            <w:r w:rsidRPr="0027570B">
              <w:rPr>
                <w:rFonts w:cs="Arial"/>
                <w:b/>
                <w:sz w:val="18"/>
                <w:szCs w:val="18"/>
              </w:rPr>
              <w:t xml:space="preserve">White - Any other white background </w:t>
            </w:r>
          </w:p>
          <w:p w14:paraId="02304285" w14:textId="77777777" w:rsidR="008A1FE5" w:rsidRPr="0027570B" w:rsidRDefault="008A1FE5" w:rsidP="00DC54F7">
            <w:pPr>
              <w:jc w:val="both"/>
              <w:rPr>
                <w:rFonts w:cs="Arial"/>
                <w:sz w:val="18"/>
                <w:szCs w:val="18"/>
              </w:rPr>
            </w:pPr>
            <w:r w:rsidRPr="0027570B">
              <w:rPr>
                <w:rFonts w:cs="Arial"/>
                <w:sz w:val="18"/>
                <w:szCs w:val="18"/>
              </w:rPr>
              <w:t xml:space="preserve">(please specify below) </w:t>
            </w:r>
          </w:p>
        </w:tc>
        <w:sdt>
          <w:sdtPr>
            <w:rPr>
              <w:sz w:val="18"/>
              <w:szCs w:val="18"/>
            </w:rPr>
            <w:id w:val="-1684359579"/>
            <w14:checkbox>
              <w14:checked w14:val="0"/>
              <w14:checkedState w14:val="2612" w14:font="MS Gothic"/>
              <w14:uncheckedState w14:val="2610" w14:font="MS Gothic"/>
            </w14:checkbox>
          </w:sdtPr>
          <w:sdtContent>
            <w:tc>
              <w:tcPr>
                <w:tcW w:w="600" w:type="dxa"/>
              </w:tcPr>
              <w:p w14:paraId="1074A5FC" w14:textId="77777777" w:rsidR="008A1FE5" w:rsidRPr="0027570B" w:rsidRDefault="008A1FE5" w:rsidP="00DC54F7">
                <w:pPr>
                  <w:jc w:val="both"/>
                  <w:rPr>
                    <w:sz w:val="18"/>
                    <w:szCs w:val="18"/>
                  </w:rPr>
                </w:pPr>
                <w:r w:rsidRPr="0027570B">
                  <w:rPr>
                    <w:rFonts w:ascii="Segoe UI Symbol" w:eastAsia="MS Gothic" w:hAnsi="Segoe UI Symbol" w:cs="Segoe UI Symbol"/>
                    <w:sz w:val="18"/>
                    <w:szCs w:val="18"/>
                  </w:rPr>
                  <w:t>☐</w:t>
                </w:r>
              </w:p>
            </w:tc>
          </w:sdtContent>
        </w:sdt>
        <w:tc>
          <w:tcPr>
            <w:tcW w:w="2519" w:type="dxa"/>
            <w:shd w:val="clear" w:color="auto" w:fill="EEECE1" w:themeFill="background2"/>
          </w:tcPr>
          <w:p w14:paraId="66107AD4" w14:textId="77777777" w:rsidR="008A1FE5" w:rsidRPr="0027570B" w:rsidRDefault="008A1FE5" w:rsidP="00DC54F7">
            <w:pPr>
              <w:jc w:val="both"/>
              <w:rPr>
                <w:rFonts w:cs="Arial"/>
                <w:b/>
                <w:sz w:val="18"/>
                <w:szCs w:val="18"/>
              </w:rPr>
            </w:pPr>
            <w:r w:rsidRPr="0027570B">
              <w:rPr>
                <w:rFonts w:cs="Arial"/>
                <w:b/>
                <w:sz w:val="18"/>
                <w:szCs w:val="18"/>
              </w:rPr>
              <w:t>Mixed/Multiple Ethnic Groups - White &amp; Asian</w:t>
            </w:r>
          </w:p>
        </w:tc>
        <w:sdt>
          <w:sdtPr>
            <w:rPr>
              <w:sz w:val="18"/>
              <w:szCs w:val="18"/>
            </w:rPr>
            <w:id w:val="-1426255620"/>
            <w14:checkbox>
              <w14:checked w14:val="0"/>
              <w14:checkedState w14:val="2612" w14:font="MS Gothic"/>
              <w14:uncheckedState w14:val="2610" w14:font="MS Gothic"/>
            </w14:checkbox>
          </w:sdtPr>
          <w:sdtContent>
            <w:tc>
              <w:tcPr>
                <w:tcW w:w="486" w:type="dxa"/>
              </w:tcPr>
              <w:p w14:paraId="21451665" w14:textId="77777777" w:rsidR="008A1FE5" w:rsidRPr="0027570B" w:rsidRDefault="008A1FE5" w:rsidP="00DC54F7">
                <w:pPr>
                  <w:jc w:val="both"/>
                  <w:rPr>
                    <w:sz w:val="18"/>
                    <w:szCs w:val="18"/>
                  </w:rPr>
                </w:pPr>
                <w:r w:rsidRPr="0027570B">
                  <w:rPr>
                    <w:rFonts w:ascii="Segoe UI Symbol" w:eastAsia="MS Gothic" w:hAnsi="Segoe UI Symbol" w:cs="Segoe UI Symbol"/>
                    <w:sz w:val="18"/>
                    <w:szCs w:val="18"/>
                  </w:rPr>
                  <w:t>☐</w:t>
                </w:r>
              </w:p>
            </w:tc>
          </w:sdtContent>
        </w:sdt>
        <w:tc>
          <w:tcPr>
            <w:tcW w:w="2490" w:type="dxa"/>
            <w:shd w:val="clear" w:color="auto" w:fill="EEECE1" w:themeFill="background2"/>
          </w:tcPr>
          <w:p w14:paraId="7278F26F" w14:textId="77777777" w:rsidR="008A1FE5" w:rsidRPr="0027570B" w:rsidRDefault="008A1FE5" w:rsidP="00DC54F7">
            <w:pPr>
              <w:jc w:val="both"/>
              <w:rPr>
                <w:rFonts w:cs="Arial"/>
                <w:b/>
                <w:sz w:val="18"/>
                <w:szCs w:val="18"/>
              </w:rPr>
            </w:pPr>
            <w:r w:rsidRPr="0027570B">
              <w:rPr>
                <w:rFonts w:cs="Arial"/>
                <w:b/>
                <w:sz w:val="18"/>
                <w:szCs w:val="18"/>
              </w:rPr>
              <w:t>Mixed/Multiple Ethnic Groups - White and Black Caribbean</w:t>
            </w:r>
          </w:p>
        </w:tc>
        <w:sdt>
          <w:sdtPr>
            <w:id w:val="-678342880"/>
            <w14:checkbox>
              <w14:checked w14:val="0"/>
              <w14:checkedState w14:val="2612" w14:font="MS Gothic"/>
              <w14:uncheckedState w14:val="2610" w14:font="MS Gothic"/>
            </w14:checkbox>
          </w:sdtPr>
          <w:sdtContent>
            <w:tc>
              <w:tcPr>
                <w:tcW w:w="516" w:type="dxa"/>
              </w:tcPr>
              <w:p w14:paraId="24F9930C" w14:textId="77777777" w:rsidR="008A1FE5" w:rsidRPr="0027570B" w:rsidRDefault="008A1FE5" w:rsidP="00DC54F7">
                <w:pPr>
                  <w:jc w:val="both"/>
                </w:pPr>
                <w:r w:rsidRPr="0027570B">
                  <w:rPr>
                    <w:rFonts w:ascii="Segoe UI Symbol" w:eastAsia="MS Gothic" w:hAnsi="Segoe UI Symbol" w:cs="Segoe UI Symbol"/>
                  </w:rPr>
                  <w:t>☐</w:t>
                </w:r>
              </w:p>
            </w:tc>
          </w:sdtContent>
        </w:sdt>
      </w:tr>
      <w:tr w:rsidR="008A1FE5" w14:paraId="44400309" w14:textId="77777777" w:rsidTr="00AA572E">
        <w:trPr>
          <w:jc w:val="center"/>
        </w:trPr>
        <w:tc>
          <w:tcPr>
            <w:tcW w:w="2405" w:type="dxa"/>
            <w:shd w:val="clear" w:color="auto" w:fill="EEECE1" w:themeFill="background2"/>
          </w:tcPr>
          <w:p w14:paraId="10304A1A" w14:textId="77777777" w:rsidR="008A1FE5" w:rsidRPr="0027570B" w:rsidRDefault="008A1FE5" w:rsidP="00DC54F7">
            <w:pPr>
              <w:autoSpaceDE w:val="0"/>
              <w:autoSpaceDN w:val="0"/>
              <w:adjustRightInd w:val="0"/>
              <w:jc w:val="both"/>
              <w:rPr>
                <w:rFonts w:cs="Calibri"/>
                <w:b/>
                <w:sz w:val="18"/>
                <w:szCs w:val="18"/>
              </w:rPr>
            </w:pPr>
            <w:r w:rsidRPr="0027570B">
              <w:rPr>
                <w:rFonts w:cs="Calibri"/>
                <w:b/>
                <w:sz w:val="18"/>
                <w:szCs w:val="18"/>
              </w:rPr>
              <w:t>Mixed/Multiple Ethnic Groups</w:t>
            </w:r>
          </w:p>
          <w:p w14:paraId="279787A9" w14:textId="77777777" w:rsidR="008A1FE5" w:rsidRPr="0027570B" w:rsidRDefault="008A1FE5" w:rsidP="00DC54F7">
            <w:pPr>
              <w:jc w:val="both"/>
              <w:rPr>
                <w:rFonts w:cs="Arial"/>
                <w:sz w:val="18"/>
                <w:szCs w:val="18"/>
              </w:rPr>
            </w:pPr>
            <w:r w:rsidRPr="0027570B">
              <w:rPr>
                <w:rFonts w:cs="Calibri"/>
                <w:b/>
                <w:sz w:val="18"/>
                <w:szCs w:val="18"/>
              </w:rPr>
              <w:t>- White and Black African</w:t>
            </w:r>
          </w:p>
        </w:tc>
        <w:sdt>
          <w:sdtPr>
            <w:rPr>
              <w:sz w:val="18"/>
              <w:szCs w:val="18"/>
            </w:rPr>
            <w:id w:val="347526966"/>
            <w14:checkbox>
              <w14:checked w14:val="0"/>
              <w14:checkedState w14:val="2612" w14:font="MS Gothic"/>
              <w14:uncheckedState w14:val="2610" w14:font="MS Gothic"/>
            </w14:checkbox>
          </w:sdtPr>
          <w:sdtContent>
            <w:tc>
              <w:tcPr>
                <w:tcW w:w="600" w:type="dxa"/>
              </w:tcPr>
              <w:p w14:paraId="7B3C2B6B" w14:textId="77777777" w:rsidR="008A1FE5" w:rsidRPr="0027570B" w:rsidRDefault="008A1FE5" w:rsidP="00DC54F7">
                <w:pPr>
                  <w:jc w:val="both"/>
                  <w:rPr>
                    <w:sz w:val="18"/>
                    <w:szCs w:val="18"/>
                  </w:rPr>
                </w:pPr>
                <w:r>
                  <w:rPr>
                    <w:rFonts w:ascii="MS Gothic" w:eastAsia="MS Gothic" w:hAnsi="MS Gothic" w:hint="eastAsia"/>
                    <w:sz w:val="18"/>
                    <w:szCs w:val="18"/>
                  </w:rPr>
                  <w:t>☐</w:t>
                </w:r>
              </w:p>
            </w:tc>
          </w:sdtContent>
        </w:sdt>
        <w:tc>
          <w:tcPr>
            <w:tcW w:w="2519" w:type="dxa"/>
            <w:shd w:val="clear" w:color="auto" w:fill="EEECE1" w:themeFill="background2"/>
          </w:tcPr>
          <w:p w14:paraId="4E5A9D95" w14:textId="77777777" w:rsidR="008A1FE5" w:rsidRPr="0027570B" w:rsidRDefault="008A1FE5" w:rsidP="00DC54F7">
            <w:pPr>
              <w:autoSpaceDE w:val="0"/>
              <w:autoSpaceDN w:val="0"/>
              <w:adjustRightInd w:val="0"/>
              <w:jc w:val="both"/>
              <w:rPr>
                <w:rFonts w:cs="Calibri"/>
                <w:b/>
                <w:sz w:val="18"/>
                <w:szCs w:val="18"/>
              </w:rPr>
            </w:pPr>
            <w:r w:rsidRPr="0027570B">
              <w:rPr>
                <w:rFonts w:cs="Calibri"/>
                <w:b/>
                <w:sz w:val="18"/>
                <w:szCs w:val="18"/>
              </w:rPr>
              <w:t>Mixed/Multiple Ethnic</w:t>
            </w:r>
          </w:p>
          <w:p w14:paraId="055C44C2" w14:textId="77777777" w:rsidR="008A1FE5" w:rsidRPr="0027570B" w:rsidRDefault="008A1FE5" w:rsidP="00DC54F7">
            <w:pPr>
              <w:autoSpaceDE w:val="0"/>
              <w:autoSpaceDN w:val="0"/>
              <w:adjustRightInd w:val="0"/>
              <w:jc w:val="both"/>
              <w:rPr>
                <w:rFonts w:cs="Calibri"/>
                <w:b/>
                <w:sz w:val="18"/>
                <w:szCs w:val="18"/>
              </w:rPr>
            </w:pPr>
            <w:r w:rsidRPr="0027570B">
              <w:rPr>
                <w:rFonts w:cs="Calibri"/>
                <w:b/>
                <w:sz w:val="18"/>
                <w:szCs w:val="18"/>
              </w:rPr>
              <w:t>Groups - Any other</w:t>
            </w:r>
          </w:p>
          <w:p w14:paraId="3FC681F8" w14:textId="77777777" w:rsidR="008A1FE5" w:rsidRPr="0027570B" w:rsidRDefault="008A1FE5" w:rsidP="00DC54F7">
            <w:pPr>
              <w:jc w:val="both"/>
              <w:rPr>
                <w:rFonts w:cs="Arial"/>
                <w:sz w:val="18"/>
                <w:szCs w:val="18"/>
              </w:rPr>
            </w:pPr>
            <w:r w:rsidRPr="0027570B">
              <w:rPr>
                <w:rFonts w:cs="Calibri"/>
                <w:sz w:val="18"/>
                <w:szCs w:val="18"/>
              </w:rPr>
              <w:t>(please specify below)</w:t>
            </w:r>
          </w:p>
        </w:tc>
        <w:sdt>
          <w:sdtPr>
            <w:rPr>
              <w:sz w:val="18"/>
              <w:szCs w:val="18"/>
            </w:rPr>
            <w:id w:val="-1609956376"/>
            <w14:checkbox>
              <w14:checked w14:val="0"/>
              <w14:checkedState w14:val="2612" w14:font="MS Gothic"/>
              <w14:uncheckedState w14:val="2610" w14:font="MS Gothic"/>
            </w14:checkbox>
          </w:sdtPr>
          <w:sdtContent>
            <w:tc>
              <w:tcPr>
                <w:tcW w:w="486" w:type="dxa"/>
              </w:tcPr>
              <w:p w14:paraId="3D74E97A" w14:textId="77777777" w:rsidR="008A1FE5" w:rsidRPr="0027570B" w:rsidRDefault="008A1FE5" w:rsidP="00DC54F7">
                <w:pPr>
                  <w:jc w:val="both"/>
                  <w:rPr>
                    <w:sz w:val="18"/>
                    <w:szCs w:val="18"/>
                  </w:rPr>
                </w:pPr>
                <w:r>
                  <w:rPr>
                    <w:rFonts w:ascii="MS Gothic" w:eastAsia="MS Gothic" w:hAnsi="MS Gothic" w:hint="eastAsia"/>
                    <w:sz w:val="18"/>
                    <w:szCs w:val="18"/>
                  </w:rPr>
                  <w:t>☐</w:t>
                </w:r>
              </w:p>
            </w:tc>
          </w:sdtContent>
        </w:sdt>
        <w:tc>
          <w:tcPr>
            <w:tcW w:w="2490" w:type="dxa"/>
            <w:shd w:val="clear" w:color="auto" w:fill="EEECE1" w:themeFill="background2"/>
          </w:tcPr>
          <w:p w14:paraId="492DB3C1" w14:textId="77777777" w:rsidR="008A1FE5" w:rsidRPr="0027570B" w:rsidRDefault="008A1FE5" w:rsidP="00DC54F7">
            <w:pPr>
              <w:autoSpaceDE w:val="0"/>
              <w:autoSpaceDN w:val="0"/>
              <w:adjustRightInd w:val="0"/>
              <w:jc w:val="both"/>
              <w:rPr>
                <w:rFonts w:cs="Calibri"/>
                <w:b/>
                <w:sz w:val="18"/>
                <w:szCs w:val="18"/>
              </w:rPr>
            </w:pPr>
            <w:r w:rsidRPr="0027570B">
              <w:rPr>
                <w:rFonts w:cs="Calibri"/>
                <w:b/>
                <w:sz w:val="18"/>
                <w:szCs w:val="18"/>
              </w:rPr>
              <w:t>Asian/Asian Welsh/</w:t>
            </w:r>
          </w:p>
          <w:p w14:paraId="7955C30F" w14:textId="77777777" w:rsidR="008A1FE5" w:rsidRPr="0027570B" w:rsidRDefault="008A1FE5" w:rsidP="00DC54F7">
            <w:pPr>
              <w:jc w:val="both"/>
              <w:rPr>
                <w:rFonts w:cs="Arial"/>
                <w:sz w:val="18"/>
                <w:szCs w:val="18"/>
              </w:rPr>
            </w:pPr>
            <w:r w:rsidRPr="0027570B">
              <w:rPr>
                <w:rFonts w:cs="Calibri"/>
                <w:b/>
                <w:sz w:val="18"/>
                <w:szCs w:val="18"/>
              </w:rPr>
              <w:t>British - Chinese</w:t>
            </w:r>
          </w:p>
        </w:tc>
        <w:sdt>
          <w:sdtPr>
            <w:id w:val="1825698939"/>
            <w14:checkbox>
              <w14:checked w14:val="0"/>
              <w14:checkedState w14:val="2612" w14:font="MS Gothic"/>
              <w14:uncheckedState w14:val="2610" w14:font="MS Gothic"/>
            </w14:checkbox>
          </w:sdtPr>
          <w:sdtContent>
            <w:tc>
              <w:tcPr>
                <w:tcW w:w="516" w:type="dxa"/>
              </w:tcPr>
              <w:p w14:paraId="6A290F62" w14:textId="77777777" w:rsidR="008A1FE5" w:rsidRPr="0027570B" w:rsidRDefault="008A1FE5" w:rsidP="00DC54F7">
                <w:pPr>
                  <w:jc w:val="both"/>
                </w:pPr>
                <w:r>
                  <w:rPr>
                    <w:rFonts w:ascii="MS Gothic" w:eastAsia="MS Gothic" w:hAnsi="MS Gothic" w:hint="eastAsia"/>
                  </w:rPr>
                  <w:t>☐</w:t>
                </w:r>
              </w:p>
            </w:tc>
          </w:sdtContent>
        </w:sdt>
      </w:tr>
      <w:tr w:rsidR="008A1FE5" w14:paraId="3B3FB0BA" w14:textId="77777777" w:rsidTr="00AA572E">
        <w:trPr>
          <w:jc w:val="center"/>
        </w:trPr>
        <w:tc>
          <w:tcPr>
            <w:tcW w:w="2405" w:type="dxa"/>
            <w:shd w:val="clear" w:color="auto" w:fill="EEECE1" w:themeFill="background2"/>
          </w:tcPr>
          <w:p w14:paraId="66C14157" w14:textId="77777777" w:rsidR="008A1FE5" w:rsidRPr="0027570B" w:rsidRDefault="008A1FE5" w:rsidP="00DC54F7">
            <w:pPr>
              <w:autoSpaceDE w:val="0"/>
              <w:autoSpaceDN w:val="0"/>
              <w:adjustRightInd w:val="0"/>
              <w:jc w:val="both"/>
              <w:rPr>
                <w:rFonts w:cs="Calibri"/>
                <w:b/>
                <w:sz w:val="18"/>
                <w:szCs w:val="18"/>
              </w:rPr>
            </w:pPr>
            <w:r w:rsidRPr="0027570B">
              <w:rPr>
                <w:rFonts w:cs="Calibri"/>
                <w:b/>
                <w:sz w:val="18"/>
                <w:szCs w:val="18"/>
              </w:rPr>
              <w:t>Asian/Asian Welsh/</w:t>
            </w:r>
          </w:p>
          <w:p w14:paraId="1EF494FA" w14:textId="77777777" w:rsidR="008A1FE5" w:rsidRPr="0027570B" w:rsidRDefault="008A1FE5" w:rsidP="00DC54F7">
            <w:pPr>
              <w:jc w:val="both"/>
              <w:rPr>
                <w:rFonts w:cs="Arial"/>
                <w:sz w:val="18"/>
                <w:szCs w:val="18"/>
              </w:rPr>
            </w:pPr>
            <w:r w:rsidRPr="0027570B">
              <w:rPr>
                <w:rFonts w:cs="Calibri"/>
                <w:b/>
                <w:sz w:val="18"/>
                <w:szCs w:val="18"/>
              </w:rPr>
              <w:t>British – Pakistani</w:t>
            </w:r>
          </w:p>
        </w:tc>
        <w:sdt>
          <w:sdtPr>
            <w:rPr>
              <w:sz w:val="18"/>
              <w:szCs w:val="18"/>
            </w:rPr>
            <w:id w:val="-1960181987"/>
            <w14:checkbox>
              <w14:checked w14:val="0"/>
              <w14:checkedState w14:val="2612" w14:font="MS Gothic"/>
              <w14:uncheckedState w14:val="2610" w14:font="MS Gothic"/>
            </w14:checkbox>
          </w:sdtPr>
          <w:sdtContent>
            <w:tc>
              <w:tcPr>
                <w:tcW w:w="600" w:type="dxa"/>
              </w:tcPr>
              <w:p w14:paraId="280403A7" w14:textId="77777777" w:rsidR="008A1FE5" w:rsidRPr="0027570B" w:rsidRDefault="008A1FE5" w:rsidP="00DC54F7">
                <w:pPr>
                  <w:jc w:val="both"/>
                  <w:rPr>
                    <w:sz w:val="18"/>
                    <w:szCs w:val="18"/>
                  </w:rPr>
                </w:pPr>
                <w:r>
                  <w:rPr>
                    <w:rFonts w:ascii="MS Gothic" w:eastAsia="MS Gothic" w:hAnsi="MS Gothic" w:hint="eastAsia"/>
                    <w:sz w:val="18"/>
                    <w:szCs w:val="18"/>
                  </w:rPr>
                  <w:t>☐</w:t>
                </w:r>
              </w:p>
            </w:tc>
          </w:sdtContent>
        </w:sdt>
        <w:tc>
          <w:tcPr>
            <w:tcW w:w="2519" w:type="dxa"/>
            <w:shd w:val="clear" w:color="auto" w:fill="EEECE1" w:themeFill="background2"/>
          </w:tcPr>
          <w:p w14:paraId="3D0CE66D" w14:textId="77777777" w:rsidR="008A1FE5" w:rsidRPr="0027570B" w:rsidRDefault="008A1FE5" w:rsidP="00DC54F7">
            <w:pPr>
              <w:autoSpaceDE w:val="0"/>
              <w:autoSpaceDN w:val="0"/>
              <w:adjustRightInd w:val="0"/>
              <w:jc w:val="both"/>
              <w:rPr>
                <w:rFonts w:cs="Calibri"/>
                <w:b/>
                <w:sz w:val="18"/>
                <w:szCs w:val="18"/>
              </w:rPr>
            </w:pPr>
            <w:r w:rsidRPr="0027570B">
              <w:rPr>
                <w:rFonts w:cs="Calibri"/>
                <w:b/>
                <w:sz w:val="18"/>
                <w:szCs w:val="18"/>
              </w:rPr>
              <w:t>Asian/Asian Welsh/</w:t>
            </w:r>
          </w:p>
          <w:p w14:paraId="32F0A563" w14:textId="77777777" w:rsidR="008A1FE5" w:rsidRPr="0027570B" w:rsidRDefault="008A1FE5" w:rsidP="00DC54F7">
            <w:pPr>
              <w:jc w:val="both"/>
              <w:rPr>
                <w:rFonts w:cs="Arial"/>
                <w:sz w:val="18"/>
                <w:szCs w:val="18"/>
              </w:rPr>
            </w:pPr>
            <w:r w:rsidRPr="0027570B">
              <w:rPr>
                <w:rFonts w:cs="Calibri"/>
                <w:b/>
                <w:sz w:val="18"/>
                <w:szCs w:val="18"/>
              </w:rPr>
              <w:t>British - Bangladeshi</w:t>
            </w:r>
          </w:p>
        </w:tc>
        <w:sdt>
          <w:sdtPr>
            <w:rPr>
              <w:sz w:val="18"/>
              <w:szCs w:val="18"/>
            </w:rPr>
            <w:id w:val="908200815"/>
            <w14:checkbox>
              <w14:checked w14:val="0"/>
              <w14:checkedState w14:val="2612" w14:font="MS Gothic"/>
              <w14:uncheckedState w14:val="2610" w14:font="MS Gothic"/>
            </w14:checkbox>
          </w:sdtPr>
          <w:sdtContent>
            <w:tc>
              <w:tcPr>
                <w:tcW w:w="486" w:type="dxa"/>
              </w:tcPr>
              <w:p w14:paraId="55058CDF" w14:textId="77777777" w:rsidR="008A1FE5" w:rsidRPr="0027570B" w:rsidRDefault="008A1FE5" w:rsidP="00DC54F7">
                <w:pPr>
                  <w:jc w:val="both"/>
                  <w:rPr>
                    <w:sz w:val="18"/>
                    <w:szCs w:val="18"/>
                  </w:rPr>
                </w:pPr>
                <w:r>
                  <w:rPr>
                    <w:rFonts w:ascii="MS Gothic" w:eastAsia="MS Gothic" w:hAnsi="MS Gothic" w:hint="eastAsia"/>
                    <w:sz w:val="18"/>
                    <w:szCs w:val="18"/>
                  </w:rPr>
                  <w:t>☐</w:t>
                </w:r>
              </w:p>
            </w:tc>
          </w:sdtContent>
        </w:sdt>
        <w:tc>
          <w:tcPr>
            <w:tcW w:w="2490" w:type="dxa"/>
            <w:shd w:val="clear" w:color="auto" w:fill="EEECE1" w:themeFill="background2"/>
          </w:tcPr>
          <w:p w14:paraId="50FA32E8" w14:textId="77777777" w:rsidR="008A1FE5" w:rsidRPr="0027570B" w:rsidRDefault="008A1FE5" w:rsidP="00DC54F7">
            <w:pPr>
              <w:autoSpaceDE w:val="0"/>
              <w:autoSpaceDN w:val="0"/>
              <w:adjustRightInd w:val="0"/>
              <w:jc w:val="both"/>
              <w:rPr>
                <w:rFonts w:cs="Calibri"/>
                <w:b/>
                <w:sz w:val="18"/>
                <w:szCs w:val="18"/>
              </w:rPr>
            </w:pPr>
            <w:r w:rsidRPr="0027570B">
              <w:rPr>
                <w:rFonts w:cs="Calibri"/>
                <w:b/>
                <w:sz w:val="18"/>
                <w:szCs w:val="18"/>
              </w:rPr>
              <w:t>Asian/Asian Welsh/</w:t>
            </w:r>
          </w:p>
          <w:p w14:paraId="297FDDB4" w14:textId="77777777" w:rsidR="008A1FE5" w:rsidRPr="0027570B" w:rsidRDefault="008A1FE5" w:rsidP="00DC54F7">
            <w:pPr>
              <w:jc w:val="both"/>
              <w:rPr>
                <w:rFonts w:cs="Arial"/>
                <w:sz w:val="18"/>
                <w:szCs w:val="18"/>
              </w:rPr>
            </w:pPr>
            <w:r w:rsidRPr="0027570B">
              <w:rPr>
                <w:rFonts w:cs="Calibri"/>
                <w:b/>
                <w:sz w:val="18"/>
                <w:szCs w:val="18"/>
              </w:rPr>
              <w:t>British - Indian</w:t>
            </w:r>
          </w:p>
        </w:tc>
        <w:sdt>
          <w:sdtPr>
            <w:id w:val="-2044437034"/>
            <w14:checkbox>
              <w14:checked w14:val="0"/>
              <w14:checkedState w14:val="2612" w14:font="MS Gothic"/>
              <w14:uncheckedState w14:val="2610" w14:font="MS Gothic"/>
            </w14:checkbox>
          </w:sdtPr>
          <w:sdtContent>
            <w:tc>
              <w:tcPr>
                <w:tcW w:w="516" w:type="dxa"/>
              </w:tcPr>
              <w:p w14:paraId="2968F9B0" w14:textId="77777777" w:rsidR="008A1FE5" w:rsidRPr="0027570B" w:rsidRDefault="008A1FE5" w:rsidP="00DC54F7">
                <w:pPr>
                  <w:jc w:val="both"/>
                </w:pPr>
                <w:r>
                  <w:rPr>
                    <w:rFonts w:ascii="MS Gothic" w:eastAsia="MS Gothic" w:hAnsi="MS Gothic" w:hint="eastAsia"/>
                  </w:rPr>
                  <w:t>☐</w:t>
                </w:r>
              </w:p>
            </w:tc>
          </w:sdtContent>
        </w:sdt>
      </w:tr>
      <w:tr w:rsidR="008A1FE5" w14:paraId="178A6BEE" w14:textId="77777777" w:rsidTr="00AA572E">
        <w:trPr>
          <w:jc w:val="center"/>
        </w:trPr>
        <w:tc>
          <w:tcPr>
            <w:tcW w:w="2405" w:type="dxa"/>
            <w:shd w:val="clear" w:color="auto" w:fill="EEECE1" w:themeFill="background2"/>
          </w:tcPr>
          <w:p w14:paraId="156B969B" w14:textId="77777777" w:rsidR="008A1FE5" w:rsidRPr="0027570B" w:rsidRDefault="008A1FE5" w:rsidP="00DC54F7">
            <w:pPr>
              <w:autoSpaceDE w:val="0"/>
              <w:autoSpaceDN w:val="0"/>
              <w:adjustRightInd w:val="0"/>
              <w:jc w:val="both"/>
              <w:rPr>
                <w:rFonts w:cs="Calibri"/>
                <w:b/>
                <w:sz w:val="18"/>
                <w:szCs w:val="18"/>
              </w:rPr>
            </w:pPr>
            <w:r w:rsidRPr="0027570B">
              <w:rPr>
                <w:rFonts w:cs="Calibri"/>
                <w:b/>
                <w:sz w:val="18"/>
                <w:szCs w:val="18"/>
              </w:rPr>
              <w:t>Asian/Asian Welsh/British -</w:t>
            </w:r>
          </w:p>
          <w:p w14:paraId="5B7D7347" w14:textId="77777777" w:rsidR="008A1FE5" w:rsidRDefault="008A1FE5" w:rsidP="00DC54F7">
            <w:pPr>
              <w:jc w:val="both"/>
              <w:rPr>
                <w:rFonts w:cs="Calibri"/>
                <w:sz w:val="18"/>
                <w:szCs w:val="18"/>
              </w:rPr>
            </w:pPr>
            <w:r w:rsidRPr="0027570B">
              <w:rPr>
                <w:rFonts w:cs="Calibri"/>
                <w:b/>
                <w:sz w:val="18"/>
                <w:szCs w:val="18"/>
              </w:rPr>
              <w:t>Any other</w:t>
            </w:r>
            <w:r w:rsidRPr="0027570B">
              <w:rPr>
                <w:rFonts w:cs="Calibri"/>
                <w:sz w:val="18"/>
                <w:szCs w:val="18"/>
              </w:rPr>
              <w:t xml:space="preserve"> </w:t>
            </w:r>
          </w:p>
          <w:p w14:paraId="76BC42C1" w14:textId="77777777" w:rsidR="008A1FE5" w:rsidRPr="0027570B" w:rsidRDefault="008A1FE5" w:rsidP="00DC54F7">
            <w:pPr>
              <w:jc w:val="both"/>
              <w:rPr>
                <w:rFonts w:cs="Arial"/>
                <w:sz w:val="18"/>
                <w:szCs w:val="18"/>
              </w:rPr>
            </w:pPr>
            <w:r w:rsidRPr="0027570B">
              <w:rPr>
                <w:rFonts w:cs="Calibri"/>
                <w:sz w:val="18"/>
                <w:szCs w:val="18"/>
              </w:rPr>
              <w:t>(please specify</w:t>
            </w:r>
            <w:r>
              <w:rPr>
                <w:rFonts w:cs="Calibri"/>
                <w:sz w:val="18"/>
                <w:szCs w:val="18"/>
              </w:rPr>
              <w:t xml:space="preserve"> below</w:t>
            </w:r>
            <w:r w:rsidRPr="0027570B">
              <w:rPr>
                <w:rFonts w:cs="Calibri"/>
                <w:sz w:val="18"/>
                <w:szCs w:val="18"/>
              </w:rPr>
              <w:t>)</w:t>
            </w:r>
          </w:p>
        </w:tc>
        <w:sdt>
          <w:sdtPr>
            <w:rPr>
              <w:sz w:val="18"/>
              <w:szCs w:val="18"/>
            </w:rPr>
            <w:id w:val="1608306010"/>
            <w14:checkbox>
              <w14:checked w14:val="0"/>
              <w14:checkedState w14:val="2612" w14:font="MS Gothic"/>
              <w14:uncheckedState w14:val="2610" w14:font="MS Gothic"/>
            </w14:checkbox>
          </w:sdtPr>
          <w:sdtContent>
            <w:tc>
              <w:tcPr>
                <w:tcW w:w="600" w:type="dxa"/>
              </w:tcPr>
              <w:p w14:paraId="2F59EFC2" w14:textId="77777777" w:rsidR="008A1FE5" w:rsidRPr="0027570B" w:rsidRDefault="008A1FE5" w:rsidP="00DC54F7">
                <w:pPr>
                  <w:jc w:val="both"/>
                  <w:rPr>
                    <w:sz w:val="18"/>
                    <w:szCs w:val="18"/>
                  </w:rPr>
                </w:pPr>
                <w:r>
                  <w:rPr>
                    <w:rFonts w:ascii="MS Gothic" w:eastAsia="MS Gothic" w:hAnsi="MS Gothic" w:hint="eastAsia"/>
                    <w:sz w:val="18"/>
                    <w:szCs w:val="18"/>
                  </w:rPr>
                  <w:t>☐</w:t>
                </w:r>
              </w:p>
            </w:tc>
          </w:sdtContent>
        </w:sdt>
        <w:tc>
          <w:tcPr>
            <w:tcW w:w="2519" w:type="dxa"/>
            <w:shd w:val="clear" w:color="auto" w:fill="EEECE1" w:themeFill="background2"/>
          </w:tcPr>
          <w:p w14:paraId="284FB2E1" w14:textId="77777777" w:rsidR="008A1FE5" w:rsidRPr="0027570B" w:rsidRDefault="008A1FE5" w:rsidP="00DC54F7">
            <w:pPr>
              <w:autoSpaceDE w:val="0"/>
              <w:autoSpaceDN w:val="0"/>
              <w:adjustRightInd w:val="0"/>
              <w:jc w:val="both"/>
              <w:rPr>
                <w:rFonts w:cs="Calibri"/>
                <w:b/>
                <w:sz w:val="18"/>
                <w:szCs w:val="18"/>
              </w:rPr>
            </w:pPr>
            <w:r w:rsidRPr="0027570B">
              <w:rPr>
                <w:rFonts w:cs="Calibri"/>
                <w:b/>
                <w:sz w:val="18"/>
                <w:szCs w:val="18"/>
              </w:rPr>
              <w:t>Black/African/Caribbean/</w:t>
            </w:r>
          </w:p>
          <w:p w14:paraId="148E2D92" w14:textId="77777777" w:rsidR="008A1FE5" w:rsidRPr="0027570B" w:rsidRDefault="008A1FE5" w:rsidP="00DC54F7">
            <w:pPr>
              <w:autoSpaceDE w:val="0"/>
              <w:autoSpaceDN w:val="0"/>
              <w:adjustRightInd w:val="0"/>
              <w:jc w:val="both"/>
              <w:rPr>
                <w:rFonts w:cs="Calibri"/>
                <w:b/>
                <w:sz w:val="18"/>
                <w:szCs w:val="18"/>
              </w:rPr>
            </w:pPr>
            <w:r w:rsidRPr="0027570B">
              <w:rPr>
                <w:rFonts w:cs="Calibri"/>
                <w:b/>
                <w:sz w:val="18"/>
                <w:szCs w:val="18"/>
              </w:rPr>
              <w:t>Black Welsh/British -</w:t>
            </w:r>
          </w:p>
          <w:p w14:paraId="2D76E69F" w14:textId="77777777" w:rsidR="008A1FE5" w:rsidRPr="0027570B" w:rsidRDefault="008A1FE5" w:rsidP="00DC54F7">
            <w:pPr>
              <w:jc w:val="both"/>
              <w:rPr>
                <w:rFonts w:cs="Arial"/>
                <w:sz w:val="18"/>
                <w:szCs w:val="18"/>
              </w:rPr>
            </w:pPr>
            <w:r w:rsidRPr="0027570B">
              <w:rPr>
                <w:rFonts w:cs="Calibri"/>
                <w:b/>
                <w:sz w:val="18"/>
                <w:szCs w:val="18"/>
              </w:rPr>
              <w:t>African</w:t>
            </w:r>
          </w:p>
        </w:tc>
        <w:sdt>
          <w:sdtPr>
            <w:rPr>
              <w:sz w:val="18"/>
              <w:szCs w:val="18"/>
            </w:rPr>
            <w:id w:val="-411776799"/>
            <w14:checkbox>
              <w14:checked w14:val="0"/>
              <w14:checkedState w14:val="2612" w14:font="MS Gothic"/>
              <w14:uncheckedState w14:val="2610" w14:font="MS Gothic"/>
            </w14:checkbox>
          </w:sdtPr>
          <w:sdtContent>
            <w:tc>
              <w:tcPr>
                <w:tcW w:w="486" w:type="dxa"/>
              </w:tcPr>
              <w:p w14:paraId="457A3E86" w14:textId="77777777" w:rsidR="008A1FE5" w:rsidRPr="0027570B" w:rsidRDefault="008A1FE5" w:rsidP="00DC54F7">
                <w:pPr>
                  <w:jc w:val="both"/>
                  <w:rPr>
                    <w:sz w:val="18"/>
                    <w:szCs w:val="18"/>
                  </w:rPr>
                </w:pPr>
                <w:r>
                  <w:rPr>
                    <w:rFonts w:ascii="MS Gothic" w:eastAsia="MS Gothic" w:hAnsi="MS Gothic" w:hint="eastAsia"/>
                    <w:sz w:val="18"/>
                    <w:szCs w:val="18"/>
                  </w:rPr>
                  <w:t>☐</w:t>
                </w:r>
              </w:p>
            </w:tc>
          </w:sdtContent>
        </w:sdt>
        <w:tc>
          <w:tcPr>
            <w:tcW w:w="2490" w:type="dxa"/>
            <w:shd w:val="clear" w:color="auto" w:fill="EEECE1" w:themeFill="background2"/>
          </w:tcPr>
          <w:p w14:paraId="7DBD6F92" w14:textId="77777777" w:rsidR="008A1FE5" w:rsidRPr="0027570B" w:rsidRDefault="008A1FE5" w:rsidP="00DC54F7">
            <w:pPr>
              <w:autoSpaceDE w:val="0"/>
              <w:autoSpaceDN w:val="0"/>
              <w:adjustRightInd w:val="0"/>
              <w:jc w:val="both"/>
              <w:rPr>
                <w:rFonts w:cs="Calibri"/>
                <w:b/>
                <w:sz w:val="18"/>
                <w:szCs w:val="18"/>
              </w:rPr>
            </w:pPr>
            <w:r w:rsidRPr="0027570B">
              <w:rPr>
                <w:rFonts w:cs="Calibri"/>
                <w:b/>
                <w:sz w:val="18"/>
                <w:szCs w:val="18"/>
              </w:rPr>
              <w:t>Black/African/Caribbean/</w:t>
            </w:r>
          </w:p>
          <w:p w14:paraId="676E2C86" w14:textId="77777777" w:rsidR="008A1FE5" w:rsidRPr="0027570B" w:rsidRDefault="008A1FE5" w:rsidP="00DC54F7">
            <w:pPr>
              <w:autoSpaceDE w:val="0"/>
              <w:autoSpaceDN w:val="0"/>
              <w:adjustRightInd w:val="0"/>
              <w:jc w:val="both"/>
              <w:rPr>
                <w:rFonts w:cs="Calibri"/>
                <w:b/>
                <w:sz w:val="18"/>
                <w:szCs w:val="18"/>
              </w:rPr>
            </w:pPr>
            <w:r w:rsidRPr="0027570B">
              <w:rPr>
                <w:rFonts w:cs="Calibri"/>
                <w:b/>
                <w:sz w:val="18"/>
                <w:szCs w:val="18"/>
              </w:rPr>
              <w:t>Black Welsh/British –</w:t>
            </w:r>
          </w:p>
          <w:p w14:paraId="08AEED85" w14:textId="77777777" w:rsidR="008A1FE5" w:rsidRPr="0027570B" w:rsidRDefault="008A1FE5" w:rsidP="00DC54F7">
            <w:pPr>
              <w:jc w:val="both"/>
              <w:rPr>
                <w:rFonts w:cs="Arial"/>
                <w:sz w:val="18"/>
                <w:szCs w:val="18"/>
              </w:rPr>
            </w:pPr>
            <w:r w:rsidRPr="0027570B">
              <w:rPr>
                <w:rFonts w:cs="Calibri"/>
                <w:b/>
                <w:sz w:val="18"/>
                <w:szCs w:val="18"/>
              </w:rPr>
              <w:t>Caribbean</w:t>
            </w:r>
          </w:p>
        </w:tc>
        <w:sdt>
          <w:sdtPr>
            <w:id w:val="751013301"/>
            <w14:checkbox>
              <w14:checked w14:val="0"/>
              <w14:checkedState w14:val="2612" w14:font="MS Gothic"/>
              <w14:uncheckedState w14:val="2610" w14:font="MS Gothic"/>
            </w14:checkbox>
          </w:sdtPr>
          <w:sdtContent>
            <w:tc>
              <w:tcPr>
                <w:tcW w:w="516" w:type="dxa"/>
              </w:tcPr>
              <w:p w14:paraId="39DABCD1" w14:textId="77777777" w:rsidR="008A1FE5" w:rsidRPr="0027570B" w:rsidRDefault="008A1FE5" w:rsidP="00DC54F7">
                <w:pPr>
                  <w:jc w:val="both"/>
                </w:pPr>
                <w:r>
                  <w:rPr>
                    <w:rFonts w:ascii="MS Gothic" w:eastAsia="MS Gothic" w:hAnsi="MS Gothic" w:hint="eastAsia"/>
                  </w:rPr>
                  <w:t>☐</w:t>
                </w:r>
              </w:p>
            </w:tc>
          </w:sdtContent>
        </w:sdt>
      </w:tr>
      <w:tr w:rsidR="008A1FE5" w14:paraId="575C3AE8" w14:textId="77777777" w:rsidTr="00AA572E">
        <w:trPr>
          <w:jc w:val="center"/>
        </w:trPr>
        <w:tc>
          <w:tcPr>
            <w:tcW w:w="2405" w:type="dxa"/>
            <w:shd w:val="clear" w:color="auto" w:fill="EEECE1" w:themeFill="background2"/>
          </w:tcPr>
          <w:p w14:paraId="345B404F" w14:textId="77777777" w:rsidR="008A1FE5" w:rsidRPr="0027570B" w:rsidRDefault="008A1FE5" w:rsidP="00DC54F7">
            <w:pPr>
              <w:autoSpaceDE w:val="0"/>
              <w:autoSpaceDN w:val="0"/>
              <w:adjustRightInd w:val="0"/>
              <w:jc w:val="both"/>
              <w:rPr>
                <w:rFonts w:cs="Calibri"/>
                <w:b/>
                <w:sz w:val="18"/>
                <w:szCs w:val="18"/>
              </w:rPr>
            </w:pPr>
            <w:r w:rsidRPr="0027570B">
              <w:rPr>
                <w:rFonts w:cs="Calibri"/>
                <w:b/>
                <w:sz w:val="18"/>
                <w:szCs w:val="18"/>
              </w:rPr>
              <w:t>Black/African/Caribbean/Black</w:t>
            </w:r>
          </w:p>
          <w:p w14:paraId="2BBEEF0B" w14:textId="77777777" w:rsidR="008A1FE5" w:rsidRPr="0027570B" w:rsidRDefault="008A1FE5" w:rsidP="00DC54F7">
            <w:pPr>
              <w:autoSpaceDE w:val="0"/>
              <w:autoSpaceDN w:val="0"/>
              <w:adjustRightInd w:val="0"/>
              <w:jc w:val="both"/>
              <w:rPr>
                <w:rFonts w:cs="Calibri"/>
                <w:b/>
                <w:sz w:val="18"/>
                <w:szCs w:val="18"/>
              </w:rPr>
            </w:pPr>
            <w:r w:rsidRPr="0027570B">
              <w:rPr>
                <w:rFonts w:cs="Calibri"/>
                <w:b/>
                <w:sz w:val="18"/>
                <w:szCs w:val="18"/>
              </w:rPr>
              <w:t>Welsh/British - Any other</w:t>
            </w:r>
          </w:p>
          <w:p w14:paraId="56E53264" w14:textId="77777777" w:rsidR="008A1FE5" w:rsidRPr="0027570B" w:rsidRDefault="008A1FE5" w:rsidP="00DC54F7">
            <w:pPr>
              <w:jc w:val="both"/>
              <w:rPr>
                <w:rFonts w:cs="Arial"/>
                <w:sz w:val="18"/>
                <w:szCs w:val="18"/>
              </w:rPr>
            </w:pPr>
            <w:r w:rsidRPr="0027570B">
              <w:rPr>
                <w:rFonts w:cs="Calibri"/>
                <w:sz w:val="18"/>
                <w:szCs w:val="18"/>
              </w:rPr>
              <w:t>(please specify below)</w:t>
            </w:r>
          </w:p>
        </w:tc>
        <w:sdt>
          <w:sdtPr>
            <w:rPr>
              <w:sz w:val="18"/>
              <w:szCs w:val="18"/>
            </w:rPr>
            <w:id w:val="1699967706"/>
            <w14:checkbox>
              <w14:checked w14:val="0"/>
              <w14:checkedState w14:val="2612" w14:font="MS Gothic"/>
              <w14:uncheckedState w14:val="2610" w14:font="MS Gothic"/>
            </w14:checkbox>
          </w:sdtPr>
          <w:sdtContent>
            <w:tc>
              <w:tcPr>
                <w:tcW w:w="600" w:type="dxa"/>
              </w:tcPr>
              <w:p w14:paraId="31CB056A" w14:textId="77777777" w:rsidR="008A1FE5" w:rsidRPr="0027570B" w:rsidRDefault="008A1FE5" w:rsidP="00DC54F7">
                <w:pPr>
                  <w:jc w:val="both"/>
                  <w:rPr>
                    <w:sz w:val="18"/>
                    <w:szCs w:val="18"/>
                  </w:rPr>
                </w:pPr>
                <w:r>
                  <w:rPr>
                    <w:rFonts w:ascii="MS Gothic" w:eastAsia="MS Gothic" w:hAnsi="MS Gothic" w:hint="eastAsia"/>
                    <w:sz w:val="18"/>
                    <w:szCs w:val="18"/>
                  </w:rPr>
                  <w:t>☐</w:t>
                </w:r>
              </w:p>
            </w:tc>
          </w:sdtContent>
        </w:sdt>
        <w:tc>
          <w:tcPr>
            <w:tcW w:w="2519" w:type="dxa"/>
            <w:shd w:val="clear" w:color="auto" w:fill="EEECE1" w:themeFill="background2"/>
          </w:tcPr>
          <w:p w14:paraId="549B7A3D" w14:textId="77777777" w:rsidR="008A1FE5" w:rsidRPr="0027570B" w:rsidRDefault="008A1FE5" w:rsidP="00DC54F7">
            <w:pPr>
              <w:jc w:val="both"/>
              <w:rPr>
                <w:rFonts w:cs="Arial"/>
                <w:b/>
                <w:sz w:val="18"/>
                <w:szCs w:val="18"/>
              </w:rPr>
            </w:pPr>
            <w:r w:rsidRPr="0027570B">
              <w:rPr>
                <w:rFonts w:cs="Calibri"/>
                <w:b/>
                <w:sz w:val="18"/>
                <w:szCs w:val="18"/>
              </w:rPr>
              <w:t>Arab</w:t>
            </w:r>
          </w:p>
        </w:tc>
        <w:sdt>
          <w:sdtPr>
            <w:rPr>
              <w:sz w:val="18"/>
              <w:szCs w:val="18"/>
            </w:rPr>
            <w:id w:val="-1244412806"/>
            <w14:checkbox>
              <w14:checked w14:val="0"/>
              <w14:checkedState w14:val="2612" w14:font="MS Gothic"/>
              <w14:uncheckedState w14:val="2610" w14:font="MS Gothic"/>
            </w14:checkbox>
          </w:sdtPr>
          <w:sdtContent>
            <w:tc>
              <w:tcPr>
                <w:tcW w:w="486" w:type="dxa"/>
              </w:tcPr>
              <w:p w14:paraId="6BAD61FB" w14:textId="77777777" w:rsidR="008A1FE5" w:rsidRPr="0027570B" w:rsidRDefault="008A1FE5" w:rsidP="00DC54F7">
                <w:pPr>
                  <w:jc w:val="both"/>
                  <w:rPr>
                    <w:sz w:val="18"/>
                    <w:szCs w:val="18"/>
                  </w:rPr>
                </w:pPr>
                <w:r>
                  <w:rPr>
                    <w:rFonts w:ascii="MS Gothic" w:eastAsia="MS Gothic" w:hAnsi="MS Gothic" w:hint="eastAsia"/>
                    <w:sz w:val="18"/>
                    <w:szCs w:val="18"/>
                  </w:rPr>
                  <w:t>☐</w:t>
                </w:r>
              </w:p>
            </w:tc>
          </w:sdtContent>
        </w:sdt>
        <w:tc>
          <w:tcPr>
            <w:tcW w:w="2490" w:type="dxa"/>
            <w:shd w:val="clear" w:color="auto" w:fill="EEECE1" w:themeFill="background2"/>
          </w:tcPr>
          <w:p w14:paraId="7594C2A1" w14:textId="77777777" w:rsidR="008A1FE5" w:rsidRPr="0027570B" w:rsidRDefault="008A1FE5" w:rsidP="00DC54F7">
            <w:pPr>
              <w:autoSpaceDE w:val="0"/>
              <w:autoSpaceDN w:val="0"/>
              <w:adjustRightInd w:val="0"/>
              <w:jc w:val="both"/>
              <w:rPr>
                <w:rFonts w:cs="Calibri"/>
                <w:b/>
                <w:sz w:val="18"/>
                <w:szCs w:val="18"/>
              </w:rPr>
            </w:pPr>
            <w:r w:rsidRPr="0027570B">
              <w:rPr>
                <w:rFonts w:cs="Calibri"/>
                <w:b/>
                <w:sz w:val="18"/>
                <w:szCs w:val="18"/>
              </w:rPr>
              <w:t>Any other ethnic group</w:t>
            </w:r>
          </w:p>
          <w:p w14:paraId="66FBA2C8" w14:textId="77777777" w:rsidR="008A1FE5" w:rsidRPr="0027570B" w:rsidRDefault="008A1FE5" w:rsidP="00DC54F7">
            <w:pPr>
              <w:jc w:val="both"/>
              <w:rPr>
                <w:rFonts w:cs="Arial"/>
                <w:sz w:val="18"/>
                <w:szCs w:val="18"/>
              </w:rPr>
            </w:pPr>
            <w:r w:rsidRPr="0027570B">
              <w:rPr>
                <w:rFonts w:cs="Calibri"/>
                <w:sz w:val="18"/>
                <w:szCs w:val="18"/>
              </w:rPr>
              <w:t>(please specify below)</w:t>
            </w:r>
          </w:p>
        </w:tc>
        <w:sdt>
          <w:sdtPr>
            <w:id w:val="-1111200125"/>
            <w14:checkbox>
              <w14:checked w14:val="0"/>
              <w14:checkedState w14:val="2612" w14:font="MS Gothic"/>
              <w14:uncheckedState w14:val="2610" w14:font="MS Gothic"/>
            </w14:checkbox>
          </w:sdtPr>
          <w:sdtContent>
            <w:tc>
              <w:tcPr>
                <w:tcW w:w="516" w:type="dxa"/>
              </w:tcPr>
              <w:p w14:paraId="5EA0BC14" w14:textId="77777777" w:rsidR="008A1FE5" w:rsidRPr="0027570B" w:rsidRDefault="008A1FE5" w:rsidP="00DC54F7">
                <w:pPr>
                  <w:jc w:val="both"/>
                </w:pPr>
                <w:r>
                  <w:rPr>
                    <w:rFonts w:ascii="MS Gothic" w:eastAsia="MS Gothic" w:hAnsi="MS Gothic" w:hint="eastAsia"/>
                  </w:rPr>
                  <w:t>☐</w:t>
                </w:r>
              </w:p>
            </w:tc>
          </w:sdtContent>
        </w:sdt>
      </w:tr>
      <w:tr w:rsidR="008A1FE5" w14:paraId="27441E3F" w14:textId="77777777" w:rsidTr="00AA572E">
        <w:trPr>
          <w:jc w:val="center"/>
        </w:trPr>
        <w:tc>
          <w:tcPr>
            <w:tcW w:w="2405" w:type="dxa"/>
            <w:shd w:val="clear" w:color="auto" w:fill="EEECE1" w:themeFill="background2"/>
          </w:tcPr>
          <w:p w14:paraId="084CC8DA" w14:textId="77777777" w:rsidR="008A1FE5" w:rsidRPr="0027570B" w:rsidRDefault="008A1FE5" w:rsidP="00DC54F7">
            <w:pPr>
              <w:jc w:val="both"/>
              <w:rPr>
                <w:rFonts w:cs="Arial"/>
                <w:b/>
                <w:sz w:val="18"/>
                <w:szCs w:val="18"/>
              </w:rPr>
            </w:pPr>
            <w:r w:rsidRPr="0027570B">
              <w:rPr>
                <w:rFonts w:cs="Arial"/>
                <w:b/>
                <w:sz w:val="18"/>
                <w:szCs w:val="18"/>
              </w:rPr>
              <w:t>Prefer not to say</w:t>
            </w:r>
          </w:p>
        </w:tc>
        <w:sdt>
          <w:sdtPr>
            <w:rPr>
              <w:sz w:val="18"/>
              <w:szCs w:val="18"/>
            </w:rPr>
            <w:id w:val="1585725200"/>
            <w14:checkbox>
              <w14:checked w14:val="0"/>
              <w14:checkedState w14:val="2612" w14:font="MS Gothic"/>
              <w14:uncheckedState w14:val="2610" w14:font="MS Gothic"/>
            </w14:checkbox>
          </w:sdtPr>
          <w:sdtContent>
            <w:tc>
              <w:tcPr>
                <w:tcW w:w="600" w:type="dxa"/>
              </w:tcPr>
              <w:p w14:paraId="04C1FC43" w14:textId="77777777" w:rsidR="008A1FE5" w:rsidRPr="0027570B" w:rsidRDefault="008A1FE5" w:rsidP="00DC54F7">
                <w:pPr>
                  <w:jc w:val="both"/>
                  <w:rPr>
                    <w:sz w:val="18"/>
                    <w:szCs w:val="18"/>
                  </w:rPr>
                </w:pPr>
                <w:r>
                  <w:rPr>
                    <w:rFonts w:ascii="MS Gothic" w:eastAsia="MS Gothic" w:hAnsi="MS Gothic" w:hint="eastAsia"/>
                    <w:sz w:val="18"/>
                    <w:szCs w:val="18"/>
                  </w:rPr>
                  <w:t>☐</w:t>
                </w:r>
              </w:p>
            </w:tc>
          </w:sdtContent>
        </w:sdt>
        <w:tc>
          <w:tcPr>
            <w:tcW w:w="2519" w:type="dxa"/>
            <w:shd w:val="clear" w:color="auto" w:fill="EEECE1" w:themeFill="background2"/>
          </w:tcPr>
          <w:p w14:paraId="20F73822" w14:textId="77777777" w:rsidR="008A1FE5" w:rsidRPr="0027570B" w:rsidRDefault="008A1FE5" w:rsidP="00DC54F7">
            <w:pPr>
              <w:jc w:val="both"/>
              <w:rPr>
                <w:rFonts w:cs="Arial"/>
                <w:b/>
                <w:sz w:val="18"/>
              </w:rPr>
            </w:pPr>
            <w:r w:rsidRPr="0027570B">
              <w:rPr>
                <w:rFonts w:cs="Arial"/>
                <w:b/>
                <w:sz w:val="18"/>
              </w:rPr>
              <w:t xml:space="preserve">Any other ethnic group </w:t>
            </w:r>
          </w:p>
          <w:p w14:paraId="4731471E" w14:textId="77777777" w:rsidR="008A1FE5" w:rsidRPr="0027570B" w:rsidRDefault="008A1FE5" w:rsidP="00DC54F7">
            <w:pPr>
              <w:jc w:val="both"/>
              <w:rPr>
                <w:rFonts w:cs="Arial"/>
                <w:sz w:val="18"/>
                <w:szCs w:val="18"/>
              </w:rPr>
            </w:pPr>
            <w:r w:rsidRPr="0027570B">
              <w:rPr>
                <w:rFonts w:cs="Arial"/>
                <w:sz w:val="18"/>
              </w:rPr>
              <w:t>(please specify below)</w:t>
            </w:r>
          </w:p>
        </w:tc>
        <w:sdt>
          <w:sdtPr>
            <w:rPr>
              <w:sz w:val="18"/>
              <w:szCs w:val="18"/>
            </w:rPr>
            <w:id w:val="-224303796"/>
            <w14:checkbox>
              <w14:checked w14:val="0"/>
              <w14:checkedState w14:val="2612" w14:font="MS Gothic"/>
              <w14:uncheckedState w14:val="2610" w14:font="MS Gothic"/>
            </w14:checkbox>
          </w:sdtPr>
          <w:sdtContent>
            <w:tc>
              <w:tcPr>
                <w:tcW w:w="486" w:type="dxa"/>
              </w:tcPr>
              <w:p w14:paraId="488230C6" w14:textId="77777777" w:rsidR="008A1FE5" w:rsidRPr="0027570B" w:rsidRDefault="008A1FE5" w:rsidP="00DC54F7">
                <w:pPr>
                  <w:jc w:val="both"/>
                  <w:rPr>
                    <w:sz w:val="18"/>
                    <w:szCs w:val="18"/>
                  </w:rPr>
                </w:pPr>
                <w:r>
                  <w:rPr>
                    <w:rFonts w:ascii="MS Gothic" w:eastAsia="MS Gothic" w:hAnsi="MS Gothic" w:hint="eastAsia"/>
                    <w:sz w:val="18"/>
                    <w:szCs w:val="18"/>
                  </w:rPr>
                  <w:t>☐</w:t>
                </w:r>
              </w:p>
            </w:tc>
          </w:sdtContent>
        </w:sdt>
        <w:tc>
          <w:tcPr>
            <w:tcW w:w="3006" w:type="dxa"/>
            <w:gridSpan w:val="2"/>
            <w:shd w:val="clear" w:color="auto" w:fill="EEECE1" w:themeFill="background2"/>
          </w:tcPr>
          <w:p w14:paraId="459604D4" w14:textId="77777777" w:rsidR="008A1FE5" w:rsidRPr="0027570B" w:rsidRDefault="008A1FE5" w:rsidP="00DC54F7">
            <w:pPr>
              <w:jc w:val="both"/>
            </w:pPr>
          </w:p>
        </w:tc>
      </w:tr>
      <w:tr w:rsidR="008A1FE5" w14:paraId="0D0D50C7" w14:textId="77777777" w:rsidTr="00AA572E">
        <w:trPr>
          <w:jc w:val="center"/>
        </w:trPr>
        <w:tc>
          <w:tcPr>
            <w:tcW w:w="9016" w:type="dxa"/>
            <w:gridSpan w:val="6"/>
            <w:shd w:val="clear" w:color="auto" w:fill="auto"/>
          </w:tcPr>
          <w:p w14:paraId="7B491992" w14:textId="77777777" w:rsidR="008A1FE5" w:rsidRDefault="008A1FE5" w:rsidP="00DC54F7">
            <w:pPr>
              <w:jc w:val="both"/>
              <w:rPr>
                <w:b/>
              </w:rPr>
            </w:pPr>
            <w:r w:rsidRPr="000267FA">
              <w:rPr>
                <w:b/>
              </w:rPr>
              <w:t xml:space="preserve">If ‘Other’ please specify: </w:t>
            </w:r>
          </w:p>
          <w:p w14:paraId="3E66E934" w14:textId="77777777" w:rsidR="008A1FE5" w:rsidRPr="000267FA" w:rsidRDefault="008A1FE5" w:rsidP="00DC54F7">
            <w:pPr>
              <w:jc w:val="both"/>
              <w:rPr>
                <w:b/>
              </w:rPr>
            </w:pPr>
          </w:p>
        </w:tc>
      </w:tr>
    </w:tbl>
    <w:p w14:paraId="52E09073" w14:textId="77777777" w:rsidR="008A1FE5" w:rsidRPr="00CB3AE2" w:rsidRDefault="008A1FE5" w:rsidP="00DC54F7">
      <w:pPr>
        <w:jc w:val="both"/>
      </w:pPr>
    </w:p>
    <w:p w14:paraId="3DD2B84C" w14:textId="4751B2AC" w:rsidR="003A1198" w:rsidRPr="00A10850" w:rsidRDefault="003A1198" w:rsidP="00DC54F7">
      <w:pPr>
        <w:pStyle w:val="Heading1"/>
        <w:jc w:val="both"/>
        <w:rPr>
          <w:rFonts w:cs="Arial"/>
          <w:color w:val="auto"/>
        </w:rPr>
      </w:pPr>
      <w:bookmarkStart w:id="80" w:name="_Toc81585120"/>
      <w:r w:rsidRPr="00A10850">
        <w:rPr>
          <w:rFonts w:cs="Arial"/>
          <w:color w:val="auto"/>
        </w:rPr>
        <w:lastRenderedPageBreak/>
        <w:t>Appendix H – full results of the patient and public questionnaire</w:t>
      </w:r>
      <w:bookmarkEnd w:id="80"/>
    </w:p>
    <w:p w14:paraId="22BF4845" w14:textId="77777777" w:rsidR="00D301A3" w:rsidRPr="00B24DF2" w:rsidRDefault="00D301A3" w:rsidP="00DC54F7">
      <w:pPr>
        <w:spacing w:after="0" w:line="240" w:lineRule="auto"/>
        <w:jc w:val="both"/>
        <w:rPr>
          <w:rFonts w:ascii="Arial" w:eastAsia="Times New Roman" w:hAnsi="Arial" w:cs="Arial"/>
          <w:b/>
          <w:bCs/>
          <w:color w:val="333333"/>
          <w:sz w:val="26"/>
          <w:szCs w:val="26"/>
        </w:rPr>
      </w:pPr>
    </w:p>
    <w:p w14:paraId="1F444CEB" w14:textId="77777777" w:rsidR="00D301A3" w:rsidRPr="001C43D2" w:rsidRDefault="00D301A3" w:rsidP="00DC54F7">
      <w:pPr>
        <w:spacing w:after="0" w:line="240" w:lineRule="auto"/>
        <w:jc w:val="both"/>
      </w:pPr>
      <w:r w:rsidRPr="001C43D2">
        <w:rPr>
          <w:rFonts w:ascii="Arial" w:eastAsia="Times New Roman" w:hAnsi="Arial" w:cs="Arial"/>
          <w:b/>
          <w:bCs/>
          <w:color w:val="333333"/>
        </w:rPr>
        <w:t>1. Please could you tell us your preferred language when you access services at a pharmacy? Please tick one.</w:t>
      </w:r>
    </w:p>
    <w:tbl>
      <w:tblPr>
        <w:tblW w:w="9591" w:type="dxa"/>
        <w:tblLook w:val="04A0" w:firstRow="1" w:lastRow="0" w:firstColumn="1" w:lastColumn="0" w:noHBand="0" w:noVBand="1"/>
      </w:tblPr>
      <w:tblGrid>
        <w:gridCol w:w="998"/>
        <w:gridCol w:w="5028"/>
        <w:gridCol w:w="1207"/>
        <w:gridCol w:w="1206"/>
        <w:gridCol w:w="1152"/>
      </w:tblGrid>
      <w:tr w:rsidR="00D301A3" w:rsidRPr="001C43D2" w14:paraId="6F7E17B0" w14:textId="77777777" w:rsidTr="003667D6">
        <w:trPr>
          <w:trHeight w:val="317"/>
        </w:trPr>
        <w:tc>
          <w:tcPr>
            <w:tcW w:w="7233" w:type="dxa"/>
            <w:gridSpan w:val="3"/>
            <w:tcBorders>
              <w:top w:val="single" w:sz="4" w:space="0" w:color="A6A6A6"/>
              <w:left w:val="single" w:sz="4" w:space="0" w:color="A6A6A6"/>
              <w:bottom w:val="single" w:sz="4" w:space="0" w:color="A6A6A6"/>
              <w:right w:val="nil"/>
            </w:tcBorders>
            <w:shd w:val="clear" w:color="000000" w:fill="8497B0"/>
            <w:noWrap/>
            <w:vAlign w:val="center"/>
            <w:hideMark/>
          </w:tcPr>
          <w:p w14:paraId="1A47A2A6" w14:textId="77777777" w:rsidR="00D301A3" w:rsidRPr="001C43D2" w:rsidRDefault="00D301A3" w:rsidP="00DC54F7">
            <w:pPr>
              <w:spacing w:after="0" w:line="240" w:lineRule="auto"/>
              <w:jc w:val="both"/>
              <w:rPr>
                <w:rFonts w:ascii="Arial" w:eastAsia="Times New Roman" w:hAnsi="Arial" w:cs="Arial"/>
                <w:b/>
                <w:bCs/>
                <w:color w:val="FFFFFF"/>
                <w:sz w:val="21"/>
                <w:szCs w:val="21"/>
                <w:lang w:eastAsia="en-GB"/>
              </w:rPr>
            </w:pPr>
            <w:r w:rsidRPr="001C43D2">
              <w:rPr>
                <w:rFonts w:ascii="Arial" w:eastAsia="Times New Roman" w:hAnsi="Arial" w:cs="Arial"/>
                <w:b/>
                <w:bCs/>
                <w:color w:val="FFFFFF"/>
                <w:sz w:val="21"/>
                <w:szCs w:val="21"/>
                <w:lang w:eastAsia="en-GB"/>
              </w:rPr>
              <w:t> </w:t>
            </w:r>
          </w:p>
        </w:tc>
        <w:tc>
          <w:tcPr>
            <w:tcW w:w="2358" w:type="dxa"/>
            <w:gridSpan w:val="2"/>
            <w:tcBorders>
              <w:top w:val="single" w:sz="4" w:space="0" w:color="A6A6A6"/>
              <w:left w:val="nil"/>
              <w:bottom w:val="single" w:sz="4" w:space="0" w:color="A6A6A6"/>
              <w:right w:val="single" w:sz="4" w:space="0" w:color="A6A6A6"/>
            </w:tcBorders>
            <w:shd w:val="clear" w:color="000000" w:fill="8497B0"/>
            <w:noWrap/>
            <w:vAlign w:val="center"/>
            <w:hideMark/>
          </w:tcPr>
          <w:p w14:paraId="49377486" w14:textId="77777777" w:rsidR="00D301A3" w:rsidRPr="001C43D2" w:rsidRDefault="00D301A3" w:rsidP="00DC54F7">
            <w:pPr>
              <w:spacing w:after="0" w:line="240" w:lineRule="auto"/>
              <w:jc w:val="both"/>
              <w:rPr>
                <w:rFonts w:ascii="Arial" w:eastAsia="Times New Roman" w:hAnsi="Arial" w:cs="Arial"/>
                <w:b/>
                <w:bCs/>
                <w:color w:val="FFFFFF"/>
                <w:sz w:val="21"/>
                <w:szCs w:val="21"/>
                <w:lang w:eastAsia="en-GB"/>
              </w:rPr>
            </w:pPr>
            <w:r w:rsidRPr="001C43D2">
              <w:rPr>
                <w:rFonts w:ascii="Arial" w:eastAsia="Times New Roman" w:hAnsi="Arial" w:cs="Arial"/>
                <w:b/>
                <w:bCs/>
                <w:color w:val="FFFFFF"/>
                <w:sz w:val="21"/>
                <w:szCs w:val="21"/>
                <w:lang w:eastAsia="en-GB"/>
              </w:rPr>
              <w:t>Response</w:t>
            </w:r>
          </w:p>
        </w:tc>
      </w:tr>
      <w:tr w:rsidR="00D301A3" w:rsidRPr="001C43D2" w14:paraId="227566A2" w14:textId="77777777" w:rsidTr="003667D6">
        <w:trPr>
          <w:trHeight w:val="317"/>
        </w:trPr>
        <w:tc>
          <w:tcPr>
            <w:tcW w:w="7233"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535FA110" w14:textId="77777777" w:rsidR="00D301A3" w:rsidRPr="001C43D2" w:rsidRDefault="00D301A3" w:rsidP="00DC54F7">
            <w:pPr>
              <w:spacing w:after="0" w:line="240" w:lineRule="auto"/>
              <w:jc w:val="both"/>
              <w:rPr>
                <w:rFonts w:ascii="Arial" w:eastAsia="Times New Roman" w:hAnsi="Arial" w:cs="Arial"/>
                <w:b/>
                <w:bCs/>
                <w:color w:val="000000"/>
                <w:sz w:val="18"/>
                <w:szCs w:val="18"/>
                <w:lang w:eastAsia="en-GB"/>
              </w:rPr>
            </w:pPr>
            <w:r w:rsidRPr="001C43D2">
              <w:rPr>
                <w:rFonts w:ascii="Arial" w:eastAsia="Times New Roman" w:hAnsi="Arial" w:cs="Arial"/>
                <w:b/>
                <w:bCs/>
                <w:color w:val="000000"/>
                <w:sz w:val="18"/>
                <w:szCs w:val="18"/>
                <w:lang w:eastAsia="en-GB"/>
              </w:rPr>
              <w:t> </w:t>
            </w:r>
          </w:p>
        </w:tc>
        <w:tc>
          <w:tcPr>
            <w:tcW w:w="1206" w:type="dxa"/>
            <w:tcBorders>
              <w:top w:val="nil"/>
              <w:left w:val="nil"/>
              <w:bottom w:val="single" w:sz="4" w:space="0" w:color="A6A6A6"/>
              <w:right w:val="single" w:sz="4" w:space="0" w:color="A6A6A6"/>
            </w:tcBorders>
            <w:shd w:val="clear" w:color="000000" w:fill="F2F2F2"/>
            <w:noWrap/>
            <w:vAlign w:val="center"/>
            <w:hideMark/>
          </w:tcPr>
          <w:p w14:paraId="16B2D2D5" w14:textId="77777777" w:rsidR="00D301A3" w:rsidRPr="001C43D2" w:rsidRDefault="00D301A3" w:rsidP="00DC54F7">
            <w:pPr>
              <w:spacing w:after="0" w:line="240" w:lineRule="auto"/>
              <w:jc w:val="both"/>
              <w:rPr>
                <w:rFonts w:ascii="Arial" w:eastAsia="Times New Roman" w:hAnsi="Arial" w:cs="Arial"/>
                <w:b/>
                <w:bCs/>
                <w:color w:val="000000"/>
                <w:sz w:val="18"/>
                <w:szCs w:val="18"/>
                <w:lang w:eastAsia="en-GB"/>
              </w:rPr>
            </w:pPr>
            <w:r w:rsidRPr="001C43D2">
              <w:rPr>
                <w:rFonts w:ascii="Arial" w:eastAsia="Times New Roman" w:hAnsi="Arial" w:cs="Arial"/>
                <w:b/>
                <w:bCs/>
                <w:color w:val="000000"/>
                <w:sz w:val="18"/>
                <w:szCs w:val="18"/>
                <w:lang w:eastAsia="en-GB"/>
              </w:rPr>
              <w:t>Percent</w:t>
            </w:r>
          </w:p>
        </w:tc>
        <w:tc>
          <w:tcPr>
            <w:tcW w:w="1152" w:type="dxa"/>
            <w:tcBorders>
              <w:top w:val="nil"/>
              <w:left w:val="nil"/>
              <w:bottom w:val="single" w:sz="4" w:space="0" w:color="A6A6A6"/>
              <w:right w:val="single" w:sz="4" w:space="0" w:color="A6A6A6"/>
            </w:tcBorders>
            <w:shd w:val="clear" w:color="000000" w:fill="F2F2F2"/>
            <w:noWrap/>
            <w:vAlign w:val="center"/>
            <w:hideMark/>
          </w:tcPr>
          <w:p w14:paraId="654EFE0F" w14:textId="77777777" w:rsidR="00D301A3" w:rsidRPr="001C43D2" w:rsidRDefault="00D301A3" w:rsidP="00DC54F7">
            <w:pPr>
              <w:spacing w:after="0" w:line="240" w:lineRule="auto"/>
              <w:jc w:val="both"/>
              <w:rPr>
                <w:rFonts w:ascii="Arial" w:eastAsia="Times New Roman" w:hAnsi="Arial" w:cs="Arial"/>
                <w:b/>
                <w:bCs/>
                <w:color w:val="000000"/>
                <w:sz w:val="18"/>
                <w:szCs w:val="18"/>
                <w:lang w:eastAsia="en-GB"/>
              </w:rPr>
            </w:pPr>
            <w:r w:rsidRPr="001C43D2">
              <w:rPr>
                <w:rFonts w:ascii="Arial" w:eastAsia="Times New Roman" w:hAnsi="Arial" w:cs="Arial"/>
                <w:b/>
                <w:bCs/>
                <w:color w:val="000000"/>
                <w:sz w:val="18"/>
                <w:szCs w:val="18"/>
                <w:lang w:eastAsia="en-GB"/>
              </w:rPr>
              <w:t>Total</w:t>
            </w:r>
          </w:p>
        </w:tc>
      </w:tr>
      <w:tr w:rsidR="00D301A3" w:rsidRPr="001C43D2" w14:paraId="3B71216B" w14:textId="77777777" w:rsidTr="003667D6">
        <w:trPr>
          <w:trHeight w:val="317"/>
        </w:trPr>
        <w:tc>
          <w:tcPr>
            <w:tcW w:w="998" w:type="dxa"/>
            <w:tcBorders>
              <w:top w:val="nil"/>
              <w:left w:val="single" w:sz="4" w:space="0" w:color="A6A6A6"/>
              <w:bottom w:val="single" w:sz="4" w:space="0" w:color="A6A6A6"/>
              <w:right w:val="single" w:sz="4" w:space="0" w:color="A6A6A6"/>
            </w:tcBorders>
            <w:shd w:val="clear" w:color="000000" w:fill="F2F2F2"/>
            <w:vAlign w:val="center"/>
            <w:hideMark/>
          </w:tcPr>
          <w:p w14:paraId="0CEF1EE2"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1</w:t>
            </w:r>
          </w:p>
        </w:tc>
        <w:tc>
          <w:tcPr>
            <w:tcW w:w="6234" w:type="dxa"/>
            <w:gridSpan w:val="2"/>
            <w:tcBorders>
              <w:top w:val="single" w:sz="4" w:space="0" w:color="A6A6A6"/>
              <w:left w:val="nil"/>
              <w:bottom w:val="single" w:sz="4" w:space="0" w:color="A6A6A6"/>
              <w:right w:val="single" w:sz="4" w:space="0" w:color="A6A6A6"/>
            </w:tcBorders>
            <w:shd w:val="clear" w:color="auto" w:fill="auto"/>
            <w:vAlign w:val="center"/>
            <w:hideMark/>
          </w:tcPr>
          <w:p w14:paraId="4C808943"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Welsh</w:t>
            </w:r>
          </w:p>
        </w:tc>
        <w:tc>
          <w:tcPr>
            <w:tcW w:w="1206" w:type="dxa"/>
            <w:tcBorders>
              <w:top w:val="nil"/>
              <w:left w:val="nil"/>
              <w:bottom w:val="single" w:sz="4" w:space="0" w:color="A6A6A6"/>
              <w:right w:val="single" w:sz="4" w:space="0" w:color="A6A6A6"/>
            </w:tcBorders>
            <w:shd w:val="clear" w:color="000000" w:fill="F2F2F2"/>
            <w:noWrap/>
            <w:vAlign w:val="bottom"/>
            <w:hideMark/>
          </w:tcPr>
          <w:p w14:paraId="7A1E9BEA"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3.57%</w:t>
            </w:r>
          </w:p>
        </w:tc>
        <w:tc>
          <w:tcPr>
            <w:tcW w:w="1152" w:type="dxa"/>
            <w:tcBorders>
              <w:top w:val="nil"/>
              <w:left w:val="nil"/>
              <w:bottom w:val="single" w:sz="4" w:space="0" w:color="A6A6A6"/>
              <w:right w:val="single" w:sz="4" w:space="0" w:color="A6A6A6"/>
            </w:tcBorders>
            <w:shd w:val="clear" w:color="000000" w:fill="F2F2F2"/>
            <w:noWrap/>
            <w:vAlign w:val="bottom"/>
            <w:hideMark/>
          </w:tcPr>
          <w:p w14:paraId="03505247"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11</w:t>
            </w:r>
          </w:p>
        </w:tc>
      </w:tr>
      <w:tr w:rsidR="00D301A3" w:rsidRPr="001C43D2" w14:paraId="7D49F5B9" w14:textId="77777777" w:rsidTr="003667D6">
        <w:trPr>
          <w:trHeight w:val="317"/>
        </w:trPr>
        <w:tc>
          <w:tcPr>
            <w:tcW w:w="998"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7E1BE57A"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2</w:t>
            </w:r>
          </w:p>
        </w:tc>
        <w:tc>
          <w:tcPr>
            <w:tcW w:w="6234" w:type="dxa"/>
            <w:gridSpan w:val="2"/>
            <w:tcBorders>
              <w:top w:val="single" w:sz="4" w:space="0" w:color="A6A6A6"/>
              <w:left w:val="nil"/>
              <w:bottom w:val="single" w:sz="4" w:space="0" w:color="A6A6A6"/>
              <w:right w:val="single" w:sz="4" w:space="0" w:color="A6A6A6"/>
            </w:tcBorders>
            <w:shd w:val="clear" w:color="auto" w:fill="auto"/>
            <w:vAlign w:val="center"/>
            <w:hideMark/>
          </w:tcPr>
          <w:p w14:paraId="0F3F87D6"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English</w:t>
            </w:r>
          </w:p>
        </w:tc>
        <w:tc>
          <w:tcPr>
            <w:tcW w:w="1206" w:type="dxa"/>
            <w:tcBorders>
              <w:top w:val="nil"/>
              <w:left w:val="nil"/>
              <w:bottom w:val="single" w:sz="4" w:space="0" w:color="A6A6A6"/>
              <w:right w:val="single" w:sz="4" w:space="0" w:color="A6A6A6"/>
            </w:tcBorders>
            <w:shd w:val="clear" w:color="000000" w:fill="F2F2F2"/>
            <w:noWrap/>
            <w:vAlign w:val="bottom"/>
            <w:hideMark/>
          </w:tcPr>
          <w:p w14:paraId="134AE2CE"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96.10%</w:t>
            </w:r>
          </w:p>
        </w:tc>
        <w:tc>
          <w:tcPr>
            <w:tcW w:w="1152" w:type="dxa"/>
            <w:tcBorders>
              <w:top w:val="nil"/>
              <w:left w:val="nil"/>
              <w:bottom w:val="single" w:sz="4" w:space="0" w:color="A6A6A6"/>
              <w:right w:val="single" w:sz="4" w:space="0" w:color="A6A6A6"/>
            </w:tcBorders>
            <w:shd w:val="clear" w:color="000000" w:fill="F2F2F2"/>
            <w:noWrap/>
            <w:vAlign w:val="bottom"/>
            <w:hideMark/>
          </w:tcPr>
          <w:p w14:paraId="3AEBA5F2"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296</w:t>
            </w:r>
          </w:p>
        </w:tc>
      </w:tr>
      <w:tr w:rsidR="00D301A3" w:rsidRPr="001C43D2" w14:paraId="50840EEE" w14:textId="77777777" w:rsidTr="003667D6">
        <w:trPr>
          <w:trHeight w:val="317"/>
        </w:trPr>
        <w:tc>
          <w:tcPr>
            <w:tcW w:w="998"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1964BEFC"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3</w:t>
            </w:r>
          </w:p>
        </w:tc>
        <w:tc>
          <w:tcPr>
            <w:tcW w:w="6234" w:type="dxa"/>
            <w:gridSpan w:val="2"/>
            <w:tcBorders>
              <w:top w:val="single" w:sz="4" w:space="0" w:color="A6A6A6"/>
              <w:left w:val="nil"/>
              <w:bottom w:val="single" w:sz="4" w:space="0" w:color="A6A6A6"/>
              <w:right w:val="single" w:sz="4" w:space="0" w:color="A6A6A6"/>
            </w:tcBorders>
            <w:shd w:val="clear" w:color="auto" w:fill="auto"/>
            <w:vAlign w:val="center"/>
            <w:hideMark/>
          </w:tcPr>
          <w:p w14:paraId="48FF77ED"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Other (please specify):</w:t>
            </w:r>
          </w:p>
        </w:tc>
        <w:tc>
          <w:tcPr>
            <w:tcW w:w="1206" w:type="dxa"/>
            <w:tcBorders>
              <w:top w:val="nil"/>
              <w:left w:val="nil"/>
              <w:bottom w:val="single" w:sz="4" w:space="0" w:color="A6A6A6"/>
              <w:right w:val="single" w:sz="4" w:space="0" w:color="A6A6A6"/>
            </w:tcBorders>
            <w:shd w:val="clear" w:color="000000" w:fill="F2F2F2"/>
            <w:noWrap/>
            <w:vAlign w:val="bottom"/>
            <w:hideMark/>
          </w:tcPr>
          <w:p w14:paraId="0BA8A9A6"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0.32%</w:t>
            </w:r>
          </w:p>
        </w:tc>
        <w:tc>
          <w:tcPr>
            <w:tcW w:w="1152" w:type="dxa"/>
            <w:tcBorders>
              <w:top w:val="nil"/>
              <w:left w:val="nil"/>
              <w:bottom w:val="single" w:sz="4" w:space="0" w:color="A6A6A6"/>
              <w:right w:val="single" w:sz="4" w:space="0" w:color="A6A6A6"/>
            </w:tcBorders>
            <w:shd w:val="clear" w:color="000000" w:fill="F2F2F2"/>
            <w:noWrap/>
            <w:vAlign w:val="bottom"/>
            <w:hideMark/>
          </w:tcPr>
          <w:p w14:paraId="60810405"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1</w:t>
            </w:r>
          </w:p>
        </w:tc>
      </w:tr>
      <w:tr w:rsidR="00D301A3" w:rsidRPr="001C43D2" w14:paraId="7D2B3EE0" w14:textId="77777777" w:rsidTr="003667D6">
        <w:trPr>
          <w:trHeight w:val="317"/>
        </w:trPr>
        <w:tc>
          <w:tcPr>
            <w:tcW w:w="6026"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753D9580" w14:textId="77777777" w:rsidR="00D301A3" w:rsidRPr="001C43D2" w:rsidRDefault="00D301A3" w:rsidP="00DC54F7">
            <w:pPr>
              <w:spacing w:after="0" w:line="240" w:lineRule="auto"/>
              <w:jc w:val="both"/>
              <w:rPr>
                <w:rFonts w:ascii="Arial" w:eastAsia="Times New Roman" w:hAnsi="Arial" w:cs="Arial"/>
                <w:b/>
                <w:bCs/>
                <w:color w:val="000000"/>
                <w:lang w:eastAsia="en-GB"/>
              </w:rPr>
            </w:pPr>
            <w:r w:rsidRPr="001C43D2">
              <w:rPr>
                <w:rFonts w:ascii="Arial" w:eastAsia="Times New Roman" w:hAnsi="Arial" w:cs="Arial"/>
                <w:b/>
                <w:bCs/>
                <w:color w:val="000000"/>
                <w:lang w:eastAsia="en-GB"/>
              </w:rPr>
              <w:t> </w:t>
            </w:r>
          </w:p>
        </w:tc>
        <w:tc>
          <w:tcPr>
            <w:tcW w:w="1206" w:type="dxa"/>
            <w:tcBorders>
              <w:top w:val="nil"/>
              <w:left w:val="nil"/>
              <w:bottom w:val="single" w:sz="4" w:space="0" w:color="A6A6A6"/>
              <w:right w:val="single" w:sz="4" w:space="0" w:color="A6A6A6"/>
            </w:tcBorders>
            <w:shd w:val="clear" w:color="000000" w:fill="F2F2F2"/>
            <w:vAlign w:val="center"/>
            <w:hideMark/>
          </w:tcPr>
          <w:p w14:paraId="569D55EC" w14:textId="77777777" w:rsidR="00D301A3" w:rsidRPr="001C43D2" w:rsidRDefault="00D301A3" w:rsidP="00DC54F7">
            <w:pPr>
              <w:spacing w:after="0" w:line="240" w:lineRule="auto"/>
              <w:jc w:val="both"/>
              <w:rPr>
                <w:rFonts w:ascii="Arial" w:eastAsia="Times New Roman" w:hAnsi="Arial" w:cs="Arial"/>
                <w:b/>
                <w:bCs/>
                <w:color w:val="000000"/>
                <w:sz w:val="18"/>
                <w:szCs w:val="18"/>
                <w:lang w:eastAsia="en-GB"/>
              </w:rPr>
            </w:pPr>
            <w:r w:rsidRPr="001C43D2">
              <w:rPr>
                <w:rFonts w:ascii="Arial" w:eastAsia="Times New Roman" w:hAnsi="Arial" w:cs="Arial"/>
                <w:b/>
                <w:bCs/>
                <w:color w:val="000000"/>
                <w:sz w:val="18"/>
                <w:szCs w:val="18"/>
                <w:lang w:eastAsia="en-GB"/>
              </w:rPr>
              <w:t xml:space="preserve">Total </w:t>
            </w:r>
          </w:p>
        </w:tc>
        <w:tc>
          <w:tcPr>
            <w:tcW w:w="1206" w:type="dxa"/>
            <w:tcBorders>
              <w:top w:val="nil"/>
              <w:left w:val="nil"/>
              <w:bottom w:val="single" w:sz="4" w:space="0" w:color="A6A6A6"/>
              <w:right w:val="single" w:sz="4" w:space="0" w:color="A6A6A6"/>
            </w:tcBorders>
            <w:shd w:val="clear" w:color="000000" w:fill="F2F2F2"/>
            <w:noWrap/>
            <w:vAlign w:val="bottom"/>
            <w:hideMark/>
          </w:tcPr>
          <w:p w14:paraId="6CF6137A"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100.00%</w:t>
            </w:r>
          </w:p>
        </w:tc>
        <w:tc>
          <w:tcPr>
            <w:tcW w:w="1152" w:type="dxa"/>
            <w:tcBorders>
              <w:top w:val="nil"/>
              <w:left w:val="nil"/>
              <w:bottom w:val="single" w:sz="4" w:space="0" w:color="A6A6A6"/>
              <w:right w:val="single" w:sz="4" w:space="0" w:color="A6A6A6"/>
            </w:tcBorders>
            <w:shd w:val="clear" w:color="000000" w:fill="F2F2F2"/>
            <w:noWrap/>
            <w:vAlign w:val="bottom"/>
            <w:hideMark/>
          </w:tcPr>
          <w:p w14:paraId="375619DF"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308</w:t>
            </w:r>
          </w:p>
        </w:tc>
      </w:tr>
      <w:tr w:rsidR="00D301A3" w:rsidRPr="001C43D2" w14:paraId="25B72FCE" w14:textId="77777777" w:rsidTr="003667D6">
        <w:trPr>
          <w:trHeight w:val="317"/>
        </w:trPr>
        <w:tc>
          <w:tcPr>
            <w:tcW w:w="6026" w:type="dxa"/>
            <w:gridSpan w:val="2"/>
            <w:vMerge/>
            <w:tcBorders>
              <w:top w:val="single" w:sz="4" w:space="0" w:color="A6A6A6"/>
              <w:left w:val="single" w:sz="4" w:space="0" w:color="A6A6A6"/>
              <w:bottom w:val="single" w:sz="4" w:space="0" w:color="A6A6A6"/>
              <w:right w:val="single" w:sz="4" w:space="0" w:color="A6A6A6"/>
            </w:tcBorders>
            <w:vAlign w:val="center"/>
            <w:hideMark/>
          </w:tcPr>
          <w:p w14:paraId="7F18006C" w14:textId="77777777" w:rsidR="00D301A3" w:rsidRPr="001C43D2" w:rsidRDefault="00D301A3" w:rsidP="00DC54F7">
            <w:pPr>
              <w:spacing w:after="0" w:line="240" w:lineRule="auto"/>
              <w:jc w:val="both"/>
              <w:rPr>
                <w:rFonts w:ascii="Arial" w:eastAsia="Times New Roman" w:hAnsi="Arial" w:cs="Arial"/>
                <w:b/>
                <w:bCs/>
                <w:color w:val="000000"/>
                <w:lang w:eastAsia="en-GB"/>
              </w:rPr>
            </w:pPr>
          </w:p>
        </w:tc>
        <w:tc>
          <w:tcPr>
            <w:tcW w:w="1206" w:type="dxa"/>
            <w:tcBorders>
              <w:top w:val="nil"/>
              <w:left w:val="nil"/>
              <w:bottom w:val="single" w:sz="4" w:space="0" w:color="A6A6A6"/>
              <w:right w:val="single" w:sz="4" w:space="0" w:color="A6A6A6"/>
            </w:tcBorders>
            <w:shd w:val="clear" w:color="000000" w:fill="F2F2F2"/>
            <w:vAlign w:val="center"/>
            <w:hideMark/>
          </w:tcPr>
          <w:p w14:paraId="56D5228C" w14:textId="77777777" w:rsidR="00D301A3" w:rsidRPr="001C43D2" w:rsidRDefault="00D301A3" w:rsidP="00DC54F7">
            <w:pPr>
              <w:spacing w:after="0" w:line="240" w:lineRule="auto"/>
              <w:jc w:val="both"/>
              <w:rPr>
                <w:rFonts w:ascii="Arial" w:eastAsia="Times New Roman" w:hAnsi="Arial" w:cs="Arial"/>
                <w:b/>
                <w:bCs/>
                <w:color w:val="000000"/>
                <w:sz w:val="18"/>
                <w:szCs w:val="18"/>
                <w:lang w:eastAsia="en-GB"/>
              </w:rPr>
            </w:pPr>
            <w:r w:rsidRPr="001C43D2">
              <w:rPr>
                <w:rFonts w:ascii="Arial" w:eastAsia="Times New Roman" w:hAnsi="Arial" w:cs="Arial"/>
                <w:b/>
                <w:bCs/>
                <w:color w:val="000000"/>
                <w:sz w:val="18"/>
                <w:szCs w:val="18"/>
                <w:lang w:eastAsia="en-GB"/>
              </w:rPr>
              <w:t>Skipped</w:t>
            </w:r>
          </w:p>
        </w:tc>
        <w:tc>
          <w:tcPr>
            <w:tcW w:w="1206" w:type="dxa"/>
            <w:tcBorders>
              <w:top w:val="nil"/>
              <w:left w:val="nil"/>
              <w:bottom w:val="single" w:sz="4" w:space="0" w:color="A6A6A6"/>
              <w:right w:val="single" w:sz="4" w:space="0" w:color="A6A6A6"/>
            </w:tcBorders>
            <w:shd w:val="clear" w:color="000000" w:fill="F2F2F2"/>
            <w:noWrap/>
            <w:vAlign w:val="bottom"/>
            <w:hideMark/>
          </w:tcPr>
          <w:p w14:paraId="499B43AE"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 </w:t>
            </w:r>
          </w:p>
        </w:tc>
        <w:tc>
          <w:tcPr>
            <w:tcW w:w="1152" w:type="dxa"/>
            <w:tcBorders>
              <w:top w:val="nil"/>
              <w:left w:val="nil"/>
              <w:bottom w:val="single" w:sz="4" w:space="0" w:color="A6A6A6"/>
              <w:right w:val="single" w:sz="4" w:space="0" w:color="A6A6A6"/>
            </w:tcBorders>
            <w:shd w:val="clear" w:color="000000" w:fill="F2F2F2"/>
            <w:noWrap/>
            <w:vAlign w:val="bottom"/>
            <w:hideMark/>
          </w:tcPr>
          <w:p w14:paraId="6480367C"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3</w:t>
            </w:r>
          </w:p>
        </w:tc>
      </w:tr>
    </w:tbl>
    <w:p w14:paraId="7FB1B5DE" w14:textId="77777777" w:rsidR="00D301A3" w:rsidRDefault="00D301A3" w:rsidP="00DC54F7">
      <w:pPr>
        <w:jc w:val="both"/>
      </w:pPr>
    </w:p>
    <w:p w14:paraId="5F9B0327" w14:textId="77777777" w:rsidR="00D301A3" w:rsidRPr="00B657F7" w:rsidRDefault="00D301A3" w:rsidP="00DC54F7">
      <w:pPr>
        <w:spacing w:after="0" w:line="240" w:lineRule="auto"/>
        <w:jc w:val="both"/>
        <w:rPr>
          <w:rFonts w:ascii="Arial" w:hAnsi="Arial" w:cs="Arial"/>
          <w:b/>
          <w:bCs/>
        </w:rPr>
      </w:pPr>
      <w:r w:rsidRPr="00B657F7">
        <w:rPr>
          <w:rFonts w:ascii="Arial" w:hAnsi="Arial" w:cs="Arial"/>
          <w:b/>
          <w:bCs/>
        </w:rPr>
        <w:t xml:space="preserve">Total of one comment </w:t>
      </w:r>
      <w:r>
        <w:rPr>
          <w:rFonts w:ascii="Arial" w:hAnsi="Arial" w:cs="Arial"/>
          <w:b/>
          <w:bCs/>
        </w:rPr>
        <w:t xml:space="preserve">was </w:t>
      </w:r>
      <w:r w:rsidRPr="00B657F7">
        <w:rPr>
          <w:rFonts w:ascii="Arial" w:hAnsi="Arial" w:cs="Arial"/>
          <w:b/>
          <w:bCs/>
        </w:rPr>
        <w:t>received:</w:t>
      </w:r>
    </w:p>
    <w:p w14:paraId="58D4D299" w14:textId="77777777" w:rsidR="00D301A3" w:rsidRPr="00B657F7" w:rsidRDefault="00D301A3" w:rsidP="00DC54F7">
      <w:pPr>
        <w:pStyle w:val="ListParagraph"/>
        <w:numPr>
          <w:ilvl w:val="0"/>
          <w:numId w:val="164"/>
        </w:numPr>
        <w:spacing w:after="0" w:line="240" w:lineRule="auto"/>
        <w:jc w:val="both"/>
        <w:rPr>
          <w:rFonts w:ascii="Arial" w:hAnsi="Arial" w:cs="Arial"/>
        </w:rPr>
      </w:pPr>
      <w:r w:rsidRPr="00B657F7">
        <w:rPr>
          <w:rFonts w:ascii="Arial" w:hAnsi="Arial" w:cs="Arial"/>
        </w:rPr>
        <w:t>“Either.”</w:t>
      </w:r>
    </w:p>
    <w:p w14:paraId="77A012D7" w14:textId="77777777" w:rsidR="00D301A3" w:rsidRDefault="00D301A3" w:rsidP="00DC54F7">
      <w:pPr>
        <w:spacing w:after="0" w:line="240" w:lineRule="auto"/>
        <w:jc w:val="both"/>
      </w:pPr>
    </w:p>
    <w:p w14:paraId="52FFCB73" w14:textId="77777777" w:rsidR="00D301A3" w:rsidRDefault="00D301A3" w:rsidP="00DC54F7">
      <w:pPr>
        <w:jc w:val="both"/>
        <w:rPr>
          <w:rFonts w:ascii="Arial" w:eastAsia="Times New Roman" w:hAnsi="Arial" w:cs="Arial"/>
          <w:b/>
          <w:bCs/>
          <w:color w:val="333333"/>
        </w:rPr>
      </w:pPr>
      <w:r w:rsidRPr="00FE14A4">
        <w:rPr>
          <w:rFonts w:ascii="Arial" w:eastAsia="Times New Roman" w:hAnsi="Arial" w:cs="Arial"/>
          <w:b/>
          <w:bCs/>
          <w:color w:val="333333"/>
        </w:rPr>
        <w:t>2. Why do you usually visit a pharmacy? Please tick any or all that apply.</w:t>
      </w:r>
    </w:p>
    <w:p w14:paraId="3A2CD2AB" w14:textId="77777777" w:rsidR="00D301A3" w:rsidRDefault="00D301A3" w:rsidP="00DC54F7">
      <w:pPr>
        <w:spacing w:after="0" w:line="240" w:lineRule="auto"/>
        <w:jc w:val="both"/>
        <w:rPr>
          <w:rFonts w:ascii="Arial" w:eastAsia="Times New Roman" w:hAnsi="Arial" w:cs="Arial"/>
          <w:b/>
          <w:bCs/>
          <w:color w:val="333333"/>
        </w:rPr>
      </w:pPr>
      <w:r>
        <w:rPr>
          <w:rFonts w:ascii="Arial" w:eastAsia="Times New Roman" w:hAnsi="Arial" w:cs="Arial"/>
          <w:b/>
          <w:bCs/>
          <w:color w:val="333333"/>
        </w:rPr>
        <w:t>(</w:t>
      </w:r>
      <w:r w:rsidRPr="007F0913">
        <w:rPr>
          <w:rFonts w:ascii="Arial" w:hAnsi="Arial" w:cs="Arial"/>
        </w:rPr>
        <w:t>Multiple answers could be given to this question</w:t>
      </w:r>
      <w:r>
        <w:t>)</w:t>
      </w:r>
    </w:p>
    <w:tbl>
      <w:tblPr>
        <w:tblW w:w="9480" w:type="dxa"/>
        <w:tblLook w:val="04A0" w:firstRow="1" w:lastRow="0" w:firstColumn="1" w:lastColumn="0" w:noHBand="0" w:noVBand="1"/>
      </w:tblPr>
      <w:tblGrid>
        <w:gridCol w:w="960"/>
        <w:gridCol w:w="1920"/>
        <w:gridCol w:w="3140"/>
        <w:gridCol w:w="1260"/>
        <w:gridCol w:w="1357"/>
        <w:gridCol w:w="960"/>
      </w:tblGrid>
      <w:tr w:rsidR="003032D2" w:rsidRPr="00F47BFE" w14:paraId="053FEBDA" w14:textId="77777777" w:rsidTr="00D939CF">
        <w:trPr>
          <w:trHeight w:val="290"/>
        </w:trPr>
        <w:tc>
          <w:tcPr>
            <w:tcW w:w="6020" w:type="dxa"/>
            <w:gridSpan w:val="3"/>
            <w:tcBorders>
              <w:top w:val="single" w:sz="4" w:space="0" w:color="A6A6A6"/>
              <w:left w:val="single" w:sz="4" w:space="0" w:color="A6A6A6"/>
              <w:bottom w:val="single" w:sz="4" w:space="0" w:color="A6A6A6"/>
              <w:right w:val="nil"/>
            </w:tcBorders>
            <w:shd w:val="clear" w:color="000000" w:fill="8497B0"/>
            <w:noWrap/>
            <w:vAlign w:val="center"/>
            <w:hideMark/>
          </w:tcPr>
          <w:p w14:paraId="7C18A5FD" w14:textId="77777777" w:rsidR="003032D2" w:rsidRPr="00F47BFE" w:rsidRDefault="003032D2" w:rsidP="00DC54F7">
            <w:pPr>
              <w:spacing w:after="0" w:line="240" w:lineRule="auto"/>
              <w:jc w:val="both"/>
              <w:rPr>
                <w:rFonts w:ascii="Arial" w:eastAsia="Times New Roman" w:hAnsi="Arial" w:cs="Arial"/>
                <w:b/>
                <w:bCs/>
                <w:color w:val="FFFFFF"/>
                <w:sz w:val="21"/>
                <w:szCs w:val="21"/>
                <w:lang w:eastAsia="en-GB"/>
              </w:rPr>
            </w:pPr>
            <w:r w:rsidRPr="00F47BFE">
              <w:rPr>
                <w:rFonts w:ascii="Arial" w:eastAsia="Times New Roman" w:hAnsi="Arial" w:cs="Arial"/>
                <w:b/>
                <w:bCs/>
                <w:color w:val="FFFFFF"/>
                <w:sz w:val="21"/>
                <w:szCs w:val="21"/>
                <w:lang w:eastAsia="en-GB"/>
              </w:rPr>
              <w:t> </w:t>
            </w:r>
          </w:p>
        </w:tc>
        <w:tc>
          <w:tcPr>
            <w:tcW w:w="1260" w:type="dxa"/>
            <w:tcBorders>
              <w:top w:val="single" w:sz="4" w:space="0" w:color="A6A6A6"/>
              <w:left w:val="nil"/>
              <w:bottom w:val="single" w:sz="4" w:space="0" w:color="A6A6A6"/>
              <w:right w:val="nil"/>
            </w:tcBorders>
            <w:shd w:val="clear" w:color="000000" w:fill="8497B0"/>
            <w:noWrap/>
            <w:vAlign w:val="center"/>
            <w:hideMark/>
          </w:tcPr>
          <w:p w14:paraId="58A4DF15" w14:textId="77777777" w:rsidR="003032D2" w:rsidRPr="00F47BFE" w:rsidRDefault="003032D2" w:rsidP="00DC54F7">
            <w:pPr>
              <w:spacing w:after="0" w:line="240" w:lineRule="auto"/>
              <w:jc w:val="both"/>
              <w:rPr>
                <w:rFonts w:ascii="Arial" w:eastAsia="Times New Roman" w:hAnsi="Arial" w:cs="Arial"/>
                <w:b/>
                <w:bCs/>
                <w:color w:val="FFFFFF"/>
                <w:sz w:val="21"/>
                <w:szCs w:val="21"/>
                <w:lang w:eastAsia="en-GB"/>
              </w:rPr>
            </w:pPr>
            <w:r w:rsidRPr="00F47BFE">
              <w:rPr>
                <w:rFonts w:ascii="Arial" w:eastAsia="Times New Roman" w:hAnsi="Arial" w:cs="Arial"/>
                <w:b/>
                <w:bCs/>
                <w:color w:val="FFFFFF"/>
                <w:sz w:val="21"/>
                <w:szCs w:val="21"/>
                <w:lang w:eastAsia="en-GB"/>
              </w:rPr>
              <w:t> </w:t>
            </w:r>
          </w:p>
        </w:tc>
        <w:tc>
          <w:tcPr>
            <w:tcW w:w="2200" w:type="dxa"/>
            <w:gridSpan w:val="2"/>
            <w:tcBorders>
              <w:top w:val="single" w:sz="4" w:space="0" w:color="A6A6A6"/>
              <w:left w:val="nil"/>
              <w:bottom w:val="single" w:sz="4" w:space="0" w:color="A6A6A6"/>
              <w:right w:val="single" w:sz="4" w:space="0" w:color="A6A6A6"/>
            </w:tcBorders>
            <w:shd w:val="clear" w:color="000000" w:fill="8497B0"/>
            <w:noWrap/>
            <w:vAlign w:val="center"/>
            <w:hideMark/>
          </w:tcPr>
          <w:p w14:paraId="480F125A" w14:textId="77777777" w:rsidR="003032D2" w:rsidRPr="00F47BFE" w:rsidRDefault="003032D2" w:rsidP="00DC54F7">
            <w:pPr>
              <w:spacing w:after="0" w:line="240" w:lineRule="auto"/>
              <w:jc w:val="both"/>
              <w:rPr>
                <w:rFonts w:ascii="Arial" w:eastAsia="Times New Roman" w:hAnsi="Arial" w:cs="Arial"/>
                <w:b/>
                <w:bCs/>
                <w:color w:val="FFFFFF"/>
                <w:sz w:val="21"/>
                <w:szCs w:val="21"/>
                <w:lang w:eastAsia="en-GB"/>
              </w:rPr>
            </w:pPr>
            <w:r w:rsidRPr="00F47BFE">
              <w:rPr>
                <w:rFonts w:ascii="Arial" w:eastAsia="Times New Roman" w:hAnsi="Arial" w:cs="Arial"/>
                <w:b/>
                <w:bCs/>
                <w:color w:val="FFFFFF"/>
                <w:sz w:val="21"/>
                <w:szCs w:val="21"/>
                <w:lang w:eastAsia="en-GB"/>
              </w:rPr>
              <w:t>Response</w:t>
            </w:r>
          </w:p>
        </w:tc>
      </w:tr>
      <w:tr w:rsidR="003032D2" w:rsidRPr="00F47BFE" w14:paraId="3EFACDE1" w14:textId="77777777" w:rsidTr="00D939CF">
        <w:trPr>
          <w:trHeight w:val="600"/>
        </w:trPr>
        <w:tc>
          <w:tcPr>
            <w:tcW w:w="6020"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0047C5EB" w14:textId="77777777" w:rsidR="003032D2" w:rsidRPr="00F47BFE" w:rsidRDefault="003032D2" w:rsidP="00DC54F7">
            <w:pPr>
              <w:spacing w:after="0" w:line="240" w:lineRule="auto"/>
              <w:jc w:val="both"/>
              <w:rPr>
                <w:rFonts w:ascii="Arial" w:eastAsia="Times New Roman" w:hAnsi="Arial" w:cs="Arial"/>
                <w:b/>
                <w:bCs/>
                <w:color w:val="000000"/>
                <w:sz w:val="18"/>
                <w:szCs w:val="18"/>
                <w:lang w:eastAsia="en-GB"/>
              </w:rPr>
            </w:pPr>
            <w:r w:rsidRPr="00F47BFE">
              <w:rPr>
                <w:rFonts w:ascii="Arial" w:eastAsia="Times New Roman" w:hAnsi="Arial" w:cs="Arial"/>
                <w:b/>
                <w:bCs/>
                <w:color w:val="000000"/>
                <w:sz w:val="18"/>
                <w:szCs w:val="18"/>
                <w:lang w:eastAsia="en-GB"/>
              </w:rPr>
              <w:t> </w:t>
            </w:r>
          </w:p>
        </w:tc>
        <w:tc>
          <w:tcPr>
            <w:tcW w:w="1260" w:type="dxa"/>
            <w:tcBorders>
              <w:top w:val="nil"/>
              <w:left w:val="nil"/>
              <w:bottom w:val="single" w:sz="4" w:space="0" w:color="A6A6A6"/>
              <w:right w:val="single" w:sz="4" w:space="0" w:color="A6A6A6"/>
            </w:tcBorders>
            <w:shd w:val="clear" w:color="000000" w:fill="F2F2F2"/>
            <w:vAlign w:val="center"/>
            <w:hideMark/>
          </w:tcPr>
          <w:p w14:paraId="5C8072EE" w14:textId="77777777" w:rsidR="003032D2" w:rsidRPr="00F47BFE" w:rsidRDefault="003032D2" w:rsidP="00DC54F7">
            <w:pPr>
              <w:spacing w:after="0" w:line="240" w:lineRule="auto"/>
              <w:jc w:val="both"/>
              <w:rPr>
                <w:rFonts w:ascii="Arial" w:eastAsia="Times New Roman" w:hAnsi="Arial" w:cs="Arial"/>
                <w:b/>
                <w:bCs/>
                <w:color w:val="000000"/>
                <w:sz w:val="18"/>
                <w:szCs w:val="18"/>
                <w:lang w:eastAsia="en-GB"/>
              </w:rPr>
            </w:pPr>
            <w:r w:rsidRPr="00F47BFE">
              <w:rPr>
                <w:rFonts w:ascii="Arial" w:eastAsia="Times New Roman" w:hAnsi="Arial" w:cs="Arial"/>
                <w:b/>
                <w:bCs/>
                <w:color w:val="000000"/>
                <w:sz w:val="18"/>
                <w:szCs w:val="18"/>
                <w:lang w:eastAsia="en-GB"/>
              </w:rPr>
              <w:t>Percent Responses</w:t>
            </w:r>
          </w:p>
        </w:tc>
        <w:tc>
          <w:tcPr>
            <w:tcW w:w="1240" w:type="dxa"/>
            <w:tcBorders>
              <w:top w:val="nil"/>
              <w:left w:val="nil"/>
              <w:bottom w:val="single" w:sz="4" w:space="0" w:color="A6A6A6"/>
              <w:right w:val="single" w:sz="4" w:space="0" w:color="A6A6A6"/>
            </w:tcBorders>
            <w:shd w:val="clear" w:color="000000" w:fill="F2F2F2"/>
            <w:vAlign w:val="center"/>
            <w:hideMark/>
          </w:tcPr>
          <w:p w14:paraId="46C5F4E5" w14:textId="77777777" w:rsidR="003032D2" w:rsidRPr="00F47BFE" w:rsidRDefault="003032D2" w:rsidP="00DC54F7">
            <w:pPr>
              <w:spacing w:after="0" w:line="240" w:lineRule="auto"/>
              <w:jc w:val="both"/>
              <w:rPr>
                <w:rFonts w:ascii="Arial" w:eastAsia="Times New Roman" w:hAnsi="Arial" w:cs="Arial"/>
                <w:b/>
                <w:bCs/>
                <w:color w:val="000000"/>
                <w:sz w:val="18"/>
                <w:szCs w:val="18"/>
                <w:lang w:eastAsia="en-GB"/>
              </w:rPr>
            </w:pPr>
            <w:r w:rsidRPr="00F47BFE">
              <w:rPr>
                <w:rFonts w:ascii="Arial" w:eastAsia="Times New Roman" w:hAnsi="Arial" w:cs="Arial"/>
                <w:b/>
                <w:bCs/>
                <w:color w:val="000000"/>
                <w:sz w:val="18"/>
                <w:szCs w:val="18"/>
                <w:lang w:eastAsia="en-GB"/>
              </w:rPr>
              <w:t>Percent Respondents</w:t>
            </w:r>
          </w:p>
        </w:tc>
        <w:tc>
          <w:tcPr>
            <w:tcW w:w="960" w:type="dxa"/>
            <w:tcBorders>
              <w:top w:val="nil"/>
              <w:left w:val="nil"/>
              <w:bottom w:val="single" w:sz="4" w:space="0" w:color="A6A6A6"/>
              <w:right w:val="single" w:sz="4" w:space="0" w:color="A6A6A6"/>
            </w:tcBorders>
            <w:shd w:val="clear" w:color="000000" w:fill="F2F2F2"/>
            <w:noWrap/>
            <w:vAlign w:val="center"/>
            <w:hideMark/>
          </w:tcPr>
          <w:p w14:paraId="3350D4A7" w14:textId="77777777" w:rsidR="003032D2" w:rsidRPr="00F47BFE" w:rsidRDefault="003032D2" w:rsidP="00DC54F7">
            <w:pPr>
              <w:spacing w:after="0" w:line="240" w:lineRule="auto"/>
              <w:jc w:val="both"/>
              <w:rPr>
                <w:rFonts w:ascii="Arial" w:eastAsia="Times New Roman" w:hAnsi="Arial" w:cs="Arial"/>
                <w:b/>
                <w:bCs/>
                <w:color w:val="000000"/>
                <w:sz w:val="18"/>
                <w:szCs w:val="18"/>
                <w:lang w:eastAsia="en-GB"/>
              </w:rPr>
            </w:pPr>
            <w:r w:rsidRPr="00F47BFE">
              <w:rPr>
                <w:rFonts w:ascii="Arial" w:eastAsia="Times New Roman" w:hAnsi="Arial" w:cs="Arial"/>
                <w:b/>
                <w:bCs/>
                <w:color w:val="000000"/>
                <w:sz w:val="18"/>
                <w:szCs w:val="18"/>
                <w:lang w:eastAsia="en-GB"/>
              </w:rPr>
              <w:t>Total</w:t>
            </w:r>
          </w:p>
        </w:tc>
      </w:tr>
      <w:tr w:rsidR="003032D2" w:rsidRPr="00F47BFE" w14:paraId="25991E14"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36B907F5"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1</w:t>
            </w:r>
          </w:p>
        </w:tc>
        <w:tc>
          <w:tcPr>
            <w:tcW w:w="5060" w:type="dxa"/>
            <w:gridSpan w:val="2"/>
            <w:tcBorders>
              <w:top w:val="single" w:sz="4" w:space="0" w:color="A6A6A6"/>
              <w:left w:val="nil"/>
              <w:bottom w:val="single" w:sz="4" w:space="0" w:color="A6A6A6"/>
              <w:right w:val="single" w:sz="4" w:space="0" w:color="A6A6A6"/>
            </w:tcBorders>
            <w:shd w:val="clear" w:color="auto" w:fill="auto"/>
            <w:vAlign w:val="center"/>
            <w:hideMark/>
          </w:tcPr>
          <w:p w14:paraId="737305F6"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To get or collect a prescription for myself</w:t>
            </w:r>
          </w:p>
        </w:tc>
        <w:tc>
          <w:tcPr>
            <w:tcW w:w="1260" w:type="dxa"/>
            <w:tcBorders>
              <w:top w:val="nil"/>
              <w:left w:val="nil"/>
              <w:bottom w:val="single" w:sz="4" w:space="0" w:color="A6A6A6"/>
              <w:right w:val="single" w:sz="4" w:space="0" w:color="A6A6A6"/>
            </w:tcBorders>
            <w:shd w:val="clear" w:color="000000" w:fill="F2F2F2"/>
            <w:noWrap/>
            <w:vAlign w:val="bottom"/>
            <w:hideMark/>
          </w:tcPr>
          <w:p w14:paraId="1EB8A4E8"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31.53%</w:t>
            </w:r>
          </w:p>
        </w:tc>
        <w:tc>
          <w:tcPr>
            <w:tcW w:w="1240" w:type="dxa"/>
            <w:tcBorders>
              <w:top w:val="nil"/>
              <w:left w:val="nil"/>
              <w:bottom w:val="single" w:sz="4" w:space="0" w:color="A6A6A6"/>
              <w:right w:val="single" w:sz="4" w:space="0" w:color="A6A6A6"/>
            </w:tcBorders>
            <w:shd w:val="clear" w:color="000000" w:fill="F2F2F2"/>
            <w:noWrap/>
            <w:vAlign w:val="bottom"/>
            <w:hideMark/>
          </w:tcPr>
          <w:p w14:paraId="2C9B198C"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90.61%</w:t>
            </w:r>
          </w:p>
        </w:tc>
        <w:tc>
          <w:tcPr>
            <w:tcW w:w="960" w:type="dxa"/>
            <w:tcBorders>
              <w:top w:val="nil"/>
              <w:left w:val="nil"/>
              <w:bottom w:val="single" w:sz="4" w:space="0" w:color="A6A6A6"/>
              <w:right w:val="single" w:sz="4" w:space="0" w:color="A6A6A6"/>
            </w:tcBorders>
            <w:shd w:val="clear" w:color="000000" w:fill="F2F2F2"/>
            <w:noWrap/>
            <w:vAlign w:val="bottom"/>
            <w:hideMark/>
          </w:tcPr>
          <w:p w14:paraId="552FCB5A"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280</w:t>
            </w:r>
          </w:p>
        </w:tc>
      </w:tr>
      <w:tr w:rsidR="003032D2" w:rsidRPr="00F47BFE" w14:paraId="67FC546F"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7E23ABB2"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2</w:t>
            </w:r>
          </w:p>
        </w:tc>
        <w:tc>
          <w:tcPr>
            <w:tcW w:w="5060" w:type="dxa"/>
            <w:gridSpan w:val="2"/>
            <w:tcBorders>
              <w:top w:val="single" w:sz="4" w:space="0" w:color="A6A6A6"/>
              <w:left w:val="nil"/>
              <w:bottom w:val="single" w:sz="4" w:space="0" w:color="A6A6A6"/>
              <w:right w:val="single" w:sz="4" w:space="0" w:color="A6A6A6"/>
            </w:tcBorders>
            <w:shd w:val="clear" w:color="auto" w:fill="auto"/>
            <w:vAlign w:val="center"/>
            <w:hideMark/>
          </w:tcPr>
          <w:p w14:paraId="397EC1FA"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To buy medicines for myself</w:t>
            </w:r>
          </w:p>
        </w:tc>
        <w:tc>
          <w:tcPr>
            <w:tcW w:w="1260" w:type="dxa"/>
            <w:tcBorders>
              <w:top w:val="nil"/>
              <w:left w:val="nil"/>
              <w:bottom w:val="single" w:sz="4" w:space="0" w:color="A6A6A6"/>
              <w:right w:val="single" w:sz="4" w:space="0" w:color="A6A6A6"/>
            </w:tcBorders>
            <w:shd w:val="clear" w:color="000000" w:fill="F2F2F2"/>
            <w:noWrap/>
            <w:vAlign w:val="bottom"/>
            <w:hideMark/>
          </w:tcPr>
          <w:p w14:paraId="4EE46677"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17.68%</w:t>
            </w:r>
          </w:p>
        </w:tc>
        <w:tc>
          <w:tcPr>
            <w:tcW w:w="1240" w:type="dxa"/>
            <w:tcBorders>
              <w:top w:val="nil"/>
              <w:left w:val="nil"/>
              <w:bottom w:val="single" w:sz="4" w:space="0" w:color="A6A6A6"/>
              <w:right w:val="single" w:sz="4" w:space="0" w:color="A6A6A6"/>
            </w:tcBorders>
            <w:shd w:val="clear" w:color="000000" w:fill="F2F2F2"/>
            <w:noWrap/>
            <w:vAlign w:val="bottom"/>
            <w:hideMark/>
          </w:tcPr>
          <w:p w14:paraId="2B3BCA7C"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50.81%</w:t>
            </w:r>
          </w:p>
        </w:tc>
        <w:tc>
          <w:tcPr>
            <w:tcW w:w="960" w:type="dxa"/>
            <w:tcBorders>
              <w:top w:val="nil"/>
              <w:left w:val="nil"/>
              <w:bottom w:val="single" w:sz="4" w:space="0" w:color="A6A6A6"/>
              <w:right w:val="single" w:sz="4" w:space="0" w:color="A6A6A6"/>
            </w:tcBorders>
            <w:shd w:val="clear" w:color="000000" w:fill="F2F2F2"/>
            <w:noWrap/>
            <w:vAlign w:val="bottom"/>
            <w:hideMark/>
          </w:tcPr>
          <w:p w14:paraId="2FD3B610"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157</w:t>
            </w:r>
          </w:p>
        </w:tc>
      </w:tr>
      <w:tr w:rsidR="003032D2" w:rsidRPr="00F47BFE" w14:paraId="66A3D451"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5640113F"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3</w:t>
            </w:r>
          </w:p>
        </w:tc>
        <w:tc>
          <w:tcPr>
            <w:tcW w:w="5060" w:type="dxa"/>
            <w:gridSpan w:val="2"/>
            <w:tcBorders>
              <w:top w:val="single" w:sz="4" w:space="0" w:color="A6A6A6"/>
              <w:left w:val="nil"/>
              <w:bottom w:val="single" w:sz="4" w:space="0" w:color="A6A6A6"/>
              <w:right w:val="single" w:sz="4" w:space="0" w:color="A6A6A6"/>
            </w:tcBorders>
            <w:shd w:val="clear" w:color="auto" w:fill="auto"/>
            <w:vAlign w:val="center"/>
            <w:hideMark/>
          </w:tcPr>
          <w:p w14:paraId="72E27F71"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To get advice for myself</w:t>
            </w:r>
          </w:p>
        </w:tc>
        <w:tc>
          <w:tcPr>
            <w:tcW w:w="1260" w:type="dxa"/>
            <w:tcBorders>
              <w:top w:val="nil"/>
              <w:left w:val="nil"/>
              <w:bottom w:val="single" w:sz="4" w:space="0" w:color="A6A6A6"/>
              <w:right w:val="single" w:sz="4" w:space="0" w:color="A6A6A6"/>
            </w:tcBorders>
            <w:shd w:val="clear" w:color="000000" w:fill="F2F2F2"/>
            <w:noWrap/>
            <w:vAlign w:val="bottom"/>
            <w:hideMark/>
          </w:tcPr>
          <w:p w14:paraId="763FFEEB"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12.05%</w:t>
            </w:r>
          </w:p>
        </w:tc>
        <w:tc>
          <w:tcPr>
            <w:tcW w:w="1240" w:type="dxa"/>
            <w:tcBorders>
              <w:top w:val="nil"/>
              <w:left w:val="nil"/>
              <w:bottom w:val="single" w:sz="4" w:space="0" w:color="A6A6A6"/>
              <w:right w:val="single" w:sz="4" w:space="0" w:color="A6A6A6"/>
            </w:tcBorders>
            <w:shd w:val="clear" w:color="000000" w:fill="F2F2F2"/>
            <w:noWrap/>
            <w:vAlign w:val="bottom"/>
            <w:hideMark/>
          </w:tcPr>
          <w:p w14:paraId="10237ABB"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34.63%</w:t>
            </w:r>
          </w:p>
        </w:tc>
        <w:tc>
          <w:tcPr>
            <w:tcW w:w="960" w:type="dxa"/>
            <w:tcBorders>
              <w:top w:val="nil"/>
              <w:left w:val="nil"/>
              <w:bottom w:val="single" w:sz="4" w:space="0" w:color="A6A6A6"/>
              <w:right w:val="single" w:sz="4" w:space="0" w:color="A6A6A6"/>
            </w:tcBorders>
            <w:shd w:val="clear" w:color="000000" w:fill="F2F2F2"/>
            <w:noWrap/>
            <w:vAlign w:val="bottom"/>
            <w:hideMark/>
          </w:tcPr>
          <w:p w14:paraId="3C280710"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107</w:t>
            </w:r>
          </w:p>
        </w:tc>
      </w:tr>
      <w:tr w:rsidR="003032D2" w:rsidRPr="00F47BFE" w14:paraId="28B1568E"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361509A8"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4</w:t>
            </w:r>
          </w:p>
        </w:tc>
        <w:tc>
          <w:tcPr>
            <w:tcW w:w="5060" w:type="dxa"/>
            <w:gridSpan w:val="2"/>
            <w:tcBorders>
              <w:top w:val="single" w:sz="4" w:space="0" w:color="A6A6A6"/>
              <w:left w:val="nil"/>
              <w:bottom w:val="single" w:sz="4" w:space="0" w:color="A6A6A6"/>
              <w:right w:val="single" w:sz="4" w:space="0" w:color="A6A6A6"/>
            </w:tcBorders>
            <w:shd w:val="clear" w:color="auto" w:fill="auto"/>
            <w:vAlign w:val="center"/>
            <w:hideMark/>
          </w:tcPr>
          <w:p w14:paraId="602050E4"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For other services such as flu vaccination</w:t>
            </w:r>
          </w:p>
        </w:tc>
        <w:tc>
          <w:tcPr>
            <w:tcW w:w="1260" w:type="dxa"/>
            <w:tcBorders>
              <w:top w:val="nil"/>
              <w:left w:val="nil"/>
              <w:bottom w:val="single" w:sz="4" w:space="0" w:color="A6A6A6"/>
              <w:right w:val="single" w:sz="4" w:space="0" w:color="A6A6A6"/>
            </w:tcBorders>
            <w:shd w:val="clear" w:color="000000" w:fill="F2F2F2"/>
            <w:noWrap/>
            <w:vAlign w:val="bottom"/>
            <w:hideMark/>
          </w:tcPr>
          <w:p w14:paraId="52CC1305"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4.39%</w:t>
            </w:r>
          </w:p>
        </w:tc>
        <w:tc>
          <w:tcPr>
            <w:tcW w:w="1240" w:type="dxa"/>
            <w:tcBorders>
              <w:top w:val="nil"/>
              <w:left w:val="nil"/>
              <w:bottom w:val="single" w:sz="4" w:space="0" w:color="A6A6A6"/>
              <w:right w:val="single" w:sz="4" w:space="0" w:color="A6A6A6"/>
            </w:tcBorders>
            <w:shd w:val="clear" w:color="000000" w:fill="F2F2F2"/>
            <w:noWrap/>
            <w:vAlign w:val="bottom"/>
            <w:hideMark/>
          </w:tcPr>
          <w:p w14:paraId="7A0278A3"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12.62%</w:t>
            </w:r>
          </w:p>
        </w:tc>
        <w:tc>
          <w:tcPr>
            <w:tcW w:w="960" w:type="dxa"/>
            <w:tcBorders>
              <w:top w:val="nil"/>
              <w:left w:val="nil"/>
              <w:bottom w:val="single" w:sz="4" w:space="0" w:color="A6A6A6"/>
              <w:right w:val="single" w:sz="4" w:space="0" w:color="A6A6A6"/>
            </w:tcBorders>
            <w:shd w:val="clear" w:color="000000" w:fill="F2F2F2"/>
            <w:noWrap/>
            <w:vAlign w:val="bottom"/>
            <w:hideMark/>
          </w:tcPr>
          <w:p w14:paraId="4BDAEC8A"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39</w:t>
            </w:r>
          </w:p>
        </w:tc>
      </w:tr>
      <w:tr w:rsidR="003032D2" w:rsidRPr="00F47BFE" w14:paraId="24D438F2"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3652590F"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5</w:t>
            </w:r>
          </w:p>
        </w:tc>
        <w:tc>
          <w:tcPr>
            <w:tcW w:w="5060" w:type="dxa"/>
            <w:gridSpan w:val="2"/>
            <w:tcBorders>
              <w:top w:val="single" w:sz="4" w:space="0" w:color="A6A6A6"/>
              <w:left w:val="nil"/>
              <w:bottom w:val="single" w:sz="4" w:space="0" w:color="A6A6A6"/>
              <w:right w:val="single" w:sz="4" w:space="0" w:color="A6A6A6"/>
            </w:tcBorders>
            <w:shd w:val="clear" w:color="auto" w:fill="auto"/>
            <w:vAlign w:val="center"/>
            <w:hideMark/>
          </w:tcPr>
          <w:p w14:paraId="102F5544"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To get or collect a prescription for someone else</w:t>
            </w:r>
          </w:p>
        </w:tc>
        <w:tc>
          <w:tcPr>
            <w:tcW w:w="1260" w:type="dxa"/>
            <w:tcBorders>
              <w:top w:val="nil"/>
              <w:left w:val="nil"/>
              <w:bottom w:val="single" w:sz="4" w:space="0" w:color="A6A6A6"/>
              <w:right w:val="single" w:sz="4" w:space="0" w:color="A6A6A6"/>
            </w:tcBorders>
            <w:shd w:val="clear" w:color="000000" w:fill="F2F2F2"/>
            <w:noWrap/>
            <w:vAlign w:val="bottom"/>
            <w:hideMark/>
          </w:tcPr>
          <w:p w14:paraId="02E6C9C1"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19.37%</w:t>
            </w:r>
          </w:p>
        </w:tc>
        <w:tc>
          <w:tcPr>
            <w:tcW w:w="1240" w:type="dxa"/>
            <w:tcBorders>
              <w:top w:val="nil"/>
              <w:left w:val="nil"/>
              <w:bottom w:val="single" w:sz="4" w:space="0" w:color="A6A6A6"/>
              <w:right w:val="single" w:sz="4" w:space="0" w:color="A6A6A6"/>
            </w:tcBorders>
            <w:shd w:val="clear" w:color="000000" w:fill="F2F2F2"/>
            <w:noWrap/>
            <w:vAlign w:val="bottom"/>
            <w:hideMark/>
          </w:tcPr>
          <w:p w14:paraId="6AD69F7E"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55.66%</w:t>
            </w:r>
          </w:p>
        </w:tc>
        <w:tc>
          <w:tcPr>
            <w:tcW w:w="960" w:type="dxa"/>
            <w:tcBorders>
              <w:top w:val="nil"/>
              <w:left w:val="nil"/>
              <w:bottom w:val="single" w:sz="4" w:space="0" w:color="A6A6A6"/>
              <w:right w:val="single" w:sz="4" w:space="0" w:color="A6A6A6"/>
            </w:tcBorders>
            <w:shd w:val="clear" w:color="000000" w:fill="F2F2F2"/>
            <w:noWrap/>
            <w:vAlign w:val="bottom"/>
            <w:hideMark/>
          </w:tcPr>
          <w:p w14:paraId="46B18F53"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172</w:t>
            </w:r>
          </w:p>
        </w:tc>
      </w:tr>
      <w:tr w:rsidR="003032D2" w:rsidRPr="00F47BFE" w14:paraId="5AFD24E9"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7C9974ED"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6</w:t>
            </w:r>
          </w:p>
        </w:tc>
        <w:tc>
          <w:tcPr>
            <w:tcW w:w="5060" w:type="dxa"/>
            <w:gridSpan w:val="2"/>
            <w:tcBorders>
              <w:top w:val="single" w:sz="4" w:space="0" w:color="A6A6A6"/>
              <w:left w:val="nil"/>
              <w:bottom w:val="single" w:sz="4" w:space="0" w:color="A6A6A6"/>
              <w:right w:val="single" w:sz="4" w:space="0" w:color="A6A6A6"/>
            </w:tcBorders>
            <w:shd w:val="clear" w:color="auto" w:fill="auto"/>
            <w:vAlign w:val="center"/>
            <w:hideMark/>
          </w:tcPr>
          <w:p w14:paraId="2627A036"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To buy medicines for someone else</w:t>
            </w:r>
          </w:p>
        </w:tc>
        <w:tc>
          <w:tcPr>
            <w:tcW w:w="1260" w:type="dxa"/>
            <w:tcBorders>
              <w:top w:val="nil"/>
              <w:left w:val="nil"/>
              <w:bottom w:val="single" w:sz="4" w:space="0" w:color="A6A6A6"/>
              <w:right w:val="single" w:sz="4" w:space="0" w:color="A6A6A6"/>
            </w:tcBorders>
            <w:shd w:val="clear" w:color="000000" w:fill="F2F2F2"/>
            <w:noWrap/>
            <w:vAlign w:val="bottom"/>
            <w:hideMark/>
          </w:tcPr>
          <w:p w14:paraId="5939F1AF"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9.01%</w:t>
            </w:r>
          </w:p>
        </w:tc>
        <w:tc>
          <w:tcPr>
            <w:tcW w:w="1240" w:type="dxa"/>
            <w:tcBorders>
              <w:top w:val="nil"/>
              <w:left w:val="nil"/>
              <w:bottom w:val="single" w:sz="4" w:space="0" w:color="A6A6A6"/>
              <w:right w:val="single" w:sz="4" w:space="0" w:color="A6A6A6"/>
            </w:tcBorders>
            <w:shd w:val="clear" w:color="000000" w:fill="F2F2F2"/>
            <w:noWrap/>
            <w:vAlign w:val="bottom"/>
            <w:hideMark/>
          </w:tcPr>
          <w:p w14:paraId="1EF9BE03"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25.89%</w:t>
            </w:r>
          </w:p>
        </w:tc>
        <w:tc>
          <w:tcPr>
            <w:tcW w:w="960" w:type="dxa"/>
            <w:tcBorders>
              <w:top w:val="nil"/>
              <w:left w:val="nil"/>
              <w:bottom w:val="single" w:sz="4" w:space="0" w:color="A6A6A6"/>
              <w:right w:val="single" w:sz="4" w:space="0" w:color="A6A6A6"/>
            </w:tcBorders>
            <w:shd w:val="clear" w:color="000000" w:fill="F2F2F2"/>
            <w:noWrap/>
            <w:vAlign w:val="bottom"/>
            <w:hideMark/>
          </w:tcPr>
          <w:p w14:paraId="6DFB4118"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80</w:t>
            </w:r>
          </w:p>
        </w:tc>
      </w:tr>
      <w:tr w:rsidR="003032D2" w:rsidRPr="00F47BFE" w14:paraId="3A92A93B"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3C7DEDC4"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7</w:t>
            </w:r>
          </w:p>
        </w:tc>
        <w:tc>
          <w:tcPr>
            <w:tcW w:w="5060" w:type="dxa"/>
            <w:gridSpan w:val="2"/>
            <w:tcBorders>
              <w:top w:val="single" w:sz="4" w:space="0" w:color="A6A6A6"/>
              <w:left w:val="nil"/>
              <w:bottom w:val="single" w:sz="4" w:space="0" w:color="A6A6A6"/>
              <w:right w:val="single" w:sz="4" w:space="0" w:color="A6A6A6"/>
            </w:tcBorders>
            <w:shd w:val="clear" w:color="auto" w:fill="auto"/>
            <w:vAlign w:val="center"/>
            <w:hideMark/>
          </w:tcPr>
          <w:p w14:paraId="461739FD"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To get advice for someone else</w:t>
            </w:r>
          </w:p>
        </w:tc>
        <w:tc>
          <w:tcPr>
            <w:tcW w:w="1260" w:type="dxa"/>
            <w:tcBorders>
              <w:top w:val="nil"/>
              <w:left w:val="nil"/>
              <w:bottom w:val="single" w:sz="4" w:space="0" w:color="A6A6A6"/>
              <w:right w:val="single" w:sz="4" w:space="0" w:color="A6A6A6"/>
            </w:tcBorders>
            <w:shd w:val="clear" w:color="000000" w:fill="F2F2F2"/>
            <w:noWrap/>
            <w:vAlign w:val="bottom"/>
            <w:hideMark/>
          </w:tcPr>
          <w:p w14:paraId="04188B2F"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3.83%</w:t>
            </w:r>
          </w:p>
        </w:tc>
        <w:tc>
          <w:tcPr>
            <w:tcW w:w="1240" w:type="dxa"/>
            <w:tcBorders>
              <w:top w:val="nil"/>
              <w:left w:val="nil"/>
              <w:bottom w:val="single" w:sz="4" w:space="0" w:color="A6A6A6"/>
              <w:right w:val="single" w:sz="4" w:space="0" w:color="A6A6A6"/>
            </w:tcBorders>
            <w:shd w:val="clear" w:color="000000" w:fill="F2F2F2"/>
            <w:noWrap/>
            <w:vAlign w:val="bottom"/>
            <w:hideMark/>
          </w:tcPr>
          <w:p w14:paraId="3CA04F9C"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11.00%</w:t>
            </w:r>
          </w:p>
        </w:tc>
        <w:tc>
          <w:tcPr>
            <w:tcW w:w="960" w:type="dxa"/>
            <w:tcBorders>
              <w:top w:val="nil"/>
              <w:left w:val="nil"/>
              <w:bottom w:val="single" w:sz="4" w:space="0" w:color="A6A6A6"/>
              <w:right w:val="single" w:sz="4" w:space="0" w:color="A6A6A6"/>
            </w:tcBorders>
            <w:shd w:val="clear" w:color="000000" w:fill="F2F2F2"/>
            <w:noWrap/>
            <w:vAlign w:val="bottom"/>
            <w:hideMark/>
          </w:tcPr>
          <w:p w14:paraId="6D1ADCB9"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34</w:t>
            </w:r>
          </w:p>
        </w:tc>
      </w:tr>
      <w:tr w:rsidR="003032D2" w:rsidRPr="00F47BFE" w14:paraId="3C064D31"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2773185F"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8</w:t>
            </w:r>
          </w:p>
        </w:tc>
        <w:tc>
          <w:tcPr>
            <w:tcW w:w="5060" w:type="dxa"/>
            <w:gridSpan w:val="2"/>
            <w:tcBorders>
              <w:top w:val="single" w:sz="4" w:space="0" w:color="A6A6A6"/>
              <w:left w:val="nil"/>
              <w:bottom w:val="single" w:sz="4" w:space="0" w:color="A6A6A6"/>
              <w:right w:val="single" w:sz="4" w:space="0" w:color="A6A6A6"/>
            </w:tcBorders>
            <w:shd w:val="clear" w:color="auto" w:fill="auto"/>
            <w:vAlign w:val="center"/>
            <w:hideMark/>
          </w:tcPr>
          <w:p w14:paraId="057AC97C"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 xml:space="preserve">I don’t visit a pharmacy as I use an online/internet pharmacy </w:t>
            </w:r>
          </w:p>
        </w:tc>
        <w:tc>
          <w:tcPr>
            <w:tcW w:w="1260" w:type="dxa"/>
            <w:tcBorders>
              <w:top w:val="nil"/>
              <w:left w:val="nil"/>
              <w:bottom w:val="single" w:sz="4" w:space="0" w:color="A6A6A6"/>
              <w:right w:val="single" w:sz="4" w:space="0" w:color="A6A6A6"/>
            </w:tcBorders>
            <w:shd w:val="clear" w:color="000000" w:fill="F2F2F2"/>
            <w:noWrap/>
            <w:vAlign w:val="bottom"/>
            <w:hideMark/>
          </w:tcPr>
          <w:p w14:paraId="52904CC6"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0.34%</w:t>
            </w:r>
          </w:p>
        </w:tc>
        <w:tc>
          <w:tcPr>
            <w:tcW w:w="1240" w:type="dxa"/>
            <w:tcBorders>
              <w:top w:val="nil"/>
              <w:left w:val="nil"/>
              <w:bottom w:val="single" w:sz="4" w:space="0" w:color="A6A6A6"/>
              <w:right w:val="single" w:sz="4" w:space="0" w:color="A6A6A6"/>
            </w:tcBorders>
            <w:shd w:val="clear" w:color="000000" w:fill="F2F2F2"/>
            <w:noWrap/>
            <w:vAlign w:val="bottom"/>
            <w:hideMark/>
          </w:tcPr>
          <w:p w14:paraId="04DE20A6"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0.97%</w:t>
            </w:r>
          </w:p>
        </w:tc>
        <w:tc>
          <w:tcPr>
            <w:tcW w:w="960" w:type="dxa"/>
            <w:tcBorders>
              <w:top w:val="nil"/>
              <w:left w:val="nil"/>
              <w:bottom w:val="single" w:sz="4" w:space="0" w:color="A6A6A6"/>
              <w:right w:val="single" w:sz="4" w:space="0" w:color="A6A6A6"/>
            </w:tcBorders>
            <w:shd w:val="clear" w:color="000000" w:fill="F2F2F2"/>
            <w:noWrap/>
            <w:vAlign w:val="bottom"/>
            <w:hideMark/>
          </w:tcPr>
          <w:p w14:paraId="5897362D"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3</w:t>
            </w:r>
          </w:p>
        </w:tc>
      </w:tr>
      <w:tr w:rsidR="003032D2" w:rsidRPr="00F47BFE" w14:paraId="1547C26E"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58CC1968"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9</w:t>
            </w:r>
          </w:p>
        </w:tc>
        <w:tc>
          <w:tcPr>
            <w:tcW w:w="5060" w:type="dxa"/>
            <w:gridSpan w:val="2"/>
            <w:tcBorders>
              <w:top w:val="single" w:sz="4" w:space="0" w:color="A6A6A6"/>
              <w:left w:val="nil"/>
              <w:bottom w:val="single" w:sz="4" w:space="0" w:color="A6A6A6"/>
              <w:right w:val="single" w:sz="4" w:space="0" w:color="A6A6A6"/>
            </w:tcBorders>
            <w:shd w:val="clear" w:color="auto" w:fill="auto"/>
            <w:vAlign w:val="center"/>
            <w:hideMark/>
          </w:tcPr>
          <w:p w14:paraId="28F784FF"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 xml:space="preserve">I don’t visit a pharmacy as I use a dispensing doctor </w:t>
            </w:r>
          </w:p>
        </w:tc>
        <w:tc>
          <w:tcPr>
            <w:tcW w:w="1260" w:type="dxa"/>
            <w:tcBorders>
              <w:top w:val="nil"/>
              <w:left w:val="nil"/>
              <w:bottom w:val="single" w:sz="4" w:space="0" w:color="A6A6A6"/>
              <w:right w:val="single" w:sz="4" w:space="0" w:color="A6A6A6"/>
            </w:tcBorders>
            <w:shd w:val="clear" w:color="000000" w:fill="F2F2F2"/>
            <w:noWrap/>
            <w:vAlign w:val="bottom"/>
            <w:hideMark/>
          </w:tcPr>
          <w:p w14:paraId="3AB5F8CA"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0.00%</w:t>
            </w:r>
          </w:p>
        </w:tc>
        <w:tc>
          <w:tcPr>
            <w:tcW w:w="1240" w:type="dxa"/>
            <w:tcBorders>
              <w:top w:val="nil"/>
              <w:left w:val="nil"/>
              <w:bottom w:val="single" w:sz="4" w:space="0" w:color="A6A6A6"/>
              <w:right w:val="single" w:sz="4" w:space="0" w:color="A6A6A6"/>
            </w:tcBorders>
            <w:shd w:val="clear" w:color="000000" w:fill="F2F2F2"/>
            <w:noWrap/>
            <w:vAlign w:val="bottom"/>
            <w:hideMark/>
          </w:tcPr>
          <w:p w14:paraId="7216222A"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0.00%</w:t>
            </w:r>
          </w:p>
        </w:tc>
        <w:tc>
          <w:tcPr>
            <w:tcW w:w="960" w:type="dxa"/>
            <w:tcBorders>
              <w:top w:val="nil"/>
              <w:left w:val="nil"/>
              <w:bottom w:val="single" w:sz="4" w:space="0" w:color="A6A6A6"/>
              <w:right w:val="single" w:sz="4" w:space="0" w:color="A6A6A6"/>
            </w:tcBorders>
            <w:shd w:val="clear" w:color="000000" w:fill="F2F2F2"/>
            <w:noWrap/>
            <w:vAlign w:val="bottom"/>
            <w:hideMark/>
          </w:tcPr>
          <w:p w14:paraId="56299BB8"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0</w:t>
            </w:r>
          </w:p>
        </w:tc>
      </w:tr>
      <w:tr w:rsidR="003032D2" w:rsidRPr="00F47BFE" w14:paraId="46D56A70"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7CFAAE9A"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10</w:t>
            </w:r>
          </w:p>
        </w:tc>
        <w:tc>
          <w:tcPr>
            <w:tcW w:w="5060" w:type="dxa"/>
            <w:gridSpan w:val="2"/>
            <w:tcBorders>
              <w:top w:val="single" w:sz="4" w:space="0" w:color="A6A6A6"/>
              <w:left w:val="nil"/>
              <w:bottom w:val="single" w:sz="4" w:space="0" w:color="A6A6A6"/>
              <w:right w:val="single" w:sz="4" w:space="0" w:color="A6A6A6"/>
            </w:tcBorders>
            <w:shd w:val="clear" w:color="auto" w:fill="auto"/>
            <w:vAlign w:val="center"/>
            <w:hideMark/>
          </w:tcPr>
          <w:p w14:paraId="38095670"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 xml:space="preserve">I don’t visit a pharmacy as I use an appliance contractor </w:t>
            </w:r>
          </w:p>
        </w:tc>
        <w:tc>
          <w:tcPr>
            <w:tcW w:w="1260" w:type="dxa"/>
            <w:tcBorders>
              <w:top w:val="nil"/>
              <w:left w:val="nil"/>
              <w:bottom w:val="single" w:sz="4" w:space="0" w:color="A6A6A6"/>
              <w:right w:val="single" w:sz="4" w:space="0" w:color="A6A6A6"/>
            </w:tcBorders>
            <w:shd w:val="clear" w:color="000000" w:fill="F2F2F2"/>
            <w:noWrap/>
            <w:vAlign w:val="bottom"/>
            <w:hideMark/>
          </w:tcPr>
          <w:p w14:paraId="5945D057"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0.00%</w:t>
            </w:r>
          </w:p>
        </w:tc>
        <w:tc>
          <w:tcPr>
            <w:tcW w:w="1240" w:type="dxa"/>
            <w:tcBorders>
              <w:top w:val="nil"/>
              <w:left w:val="nil"/>
              <w:bottom w:val="single" w:sz="4" w:space="0" w:color="A6A6A6"/>
              <w:right w:val="single" w:sz="4" w:space="0" w:color="A6A6A6"/>
            </w:tcBorders>
            <w:shd w:val="clear" w:color="000000" w:fill="F2F2F2"/>
            <w:noWrap/>
            <w:vAlign w:val="bottom"/>
            <w:hideMark/>
          </w:tcPr>
          <w:p w14:paraId="665688A6"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0.00%</w:t>
            </w:r>
          </w:p>
        </w:tc>
        <w:tc>
          <w:tcPr>
            <w:tcW w:w="960" w:type="dxa"/>
            <w:tcBorders>
              <w:top w:val="nil"/>
              <w:left w:val="nil"/>
              <w:bottom w:val="single" w:sz="4" w:space="0" w:color="A6A6A6"/>
              <w:right w:val="single" w:sz="4" w:space="0" w:color="A6A6A6"/>
            </w:tcBorders>
            <w:shd w:val="clear" w:color="000000" w:fill="F2F2F2"/>
            <w:noWrap/>
            <w:vAlign w:val="bottom"/>
            <w:hideMark/>
          </w:tcPr>
          <w:p w14:paraId="20C5297D"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0</w:t>
            </w:r>
          </w:p>
        </w:tc>
      </w:tr>
      <w:tr w:rsidR="003032D2" w:rsidRPr="00F47BFE" w14:paraId="1B2597E8"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04613637"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11</w:t>
            </w:r>
          </w:p>
        </w:tc>
        <w:tc>
          <w:tcPr>
            <w:tcW w:w="5060" w:type="dxa"/>
            <w:gridSpan w:val="2"/>
            <w:tcBorders>
              <w:top w:val="single" w:sz="4" w:space="0" w:color="A6A6A6"/>
              <w:left w:val="nil"/>
              <w:bottom w:val="single" w:sz="4" w:space="0" w:color="A6A6A6"/>
              <w:right w:val="single" w:sz="4" w:space="0" w:color="A6A6A6"/>
            </w:tcBorders>
            <w:shd w:val="clear" w:color="auto" w:fill="auto"/>
            <w:vAlign w:val="center"/>
            <w:hideMark/>
          </w:tcPr>
          <w:p w14:paraId="20698232"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I don’t visit a pharmacy as my medicines are delivered to me</w:t>
            </w:r>
          </w:p>
        </w:tc>
        <w:tc>
          <w:tcPr>
            <w:tcW w:w="1260" w:type="dxa"/>
            <w:tcBorders>
              <w:top w:val="nil"/>
              <w:left w:val="nil"/>
              <w:bottom w:val="single" w:sz="4" w:space="0" w:color="A6A6A6"/>
              <w:right w:val="single" w:sz="4" w:space="0" w:color="A6A6A6"/>
            </w:tcBorders>
            <w:shd w:val="clear" w:color="000000" w:fill="F2F2F2"/>
            <w:noWrap/>
            <w:vAlign w:val="bottom"/>
            <w:hideMark/>
          </w:tcPr>
          <w:p w14:paraId="0AB48412"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1.01%</w:t>
            </w:r>
          </w:p>
        </w:tc>
        <w:tc>
          <w:tcPr>
            <w:tcW w:w="1240" w:type="dxa"/>
            <w:tcBorders>
              <w:top w:val="nil"/>
              <w:left w:val="nil"/>
              <w:bottom w:val="single" w:sz="4" w:space="0" w:color="A6A6A6"/>
              <w:right w:val="single" w:sz="4" w:space="0" w:color="A6A6A6"/>
            </w:tcBorders>
            <w:shd w:val="clear" w:color="000000" w:fill="F2F2F2"/>
            <w:noWrap/>
            <w:vAlign w:val="bottom"/>
            <w:hideMark/>
          </w:tcPr>
          <w:p w14:paraId="4A3B5A17"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2.91%</w:t>
            </w:r>
          </w:p>
        </w:tc>
        <w:tc>
          <w:tcPr>
            <w:tcW w:w="960" w:type="dxa"/>
            <w:tcBorders>
              <w:top w:val="nil"/>
              <w:left w:val="nil"/>
              <w:bottom w:val="single" w:sz="4" w:space="0" w:color="A6A6A6"/>
              <w:right w:val="single" w:sz="4" w:space="0" w:color="A6A6A6"/>
            </w:tcBorders>
            <w:shd w:val="clear" w:color="000000" w:fill="F2F2F2"/>
            <w:noWrap/>
            <w:vAlign w:val="bottom"/>
            <w:hideMark/>
          </w:tcPr>
          <w:p w14:paraId="61FBFCFE"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9</w:t>
            </w:r>
          </w:p>
        </w:tc>
      </w:tr>
      <w:tr w:rsidR="003032D2" w:rsidRPr="00F47BFE" w14:paraId="1112A6BE"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0C416DE2"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12</w:t>
            </w:r>
          </w:p>
        </w:tc>
        <w:tc>
          <w:tcPr>
            <w:tcW w:w="5060" w:type="dxa"/>
            <w:gridSpan w:val="2"/>
            <w:tcBorders>
              <w:top w:val="single" w:sz="4" w:space="0" w:color="A6A6A6"/>
              <w:left w:val="nil"/>
              <w:bottom w:val="single" w:sz="4" w:space="0" w:color="A6A6A6"/>
              <w:right w:val="single" w:sz="4" w:space="0" w:color="A6A6A6"/>
            </w:tcBorders>
            <w:shd w:val="clear" w:color="auto" w:fill="auto"/>
            <w:vAlign w:val="center"/>
            <w:hideMark/>
          </w:tcPr>
          <w:p w14:paraId="45213F55"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I don’t go to a pharmacy; someone goes on my behalf</w:t>
            </w:r>
          </w:p>
        </w:tc>
        <w:tc>
          <w:tcPr>
            <w:tcW w:w="1260" w:type="dxa"/>
            <w:tcBorders>
              <w:top w:val="nil"/>
              <w:left w:val="nil"/>
              <w:bottom w:val="single" w:sz="4" w:space="0" w:color="A6A6A6"/>
              <w:right w:val="single" w:sz="4" w:space="0" w:color="A6A6A6"/>
            </w:tcBorders>
            <w:shd w:val="clear" w:color="000000" w:fill="F2F2F2"/>
            <w:noWrap/>
            <w:vAlign w:val="bottom"/>
            <w:hideMark/>
          </w:tcPr>
          <w:p w14:paraId="27877D9E"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0.23%</w:t>
            </w:r>
          </w:p>
        </w:tc>
        <w:tc>
          <w:tcPr>
            <w:tcW w:w="1240" w:type="dxa"/>
            <w:tcBorders>
              <w:top w:val="nil"/>
              <w:left w:val="nil"/>
              <w:bottom w:val="single" w:sz="4" w:space="0" w:color="A6A6A6"/>
              <w:right w:val="single" w:sz="4" w:space="0" w:color="A6A6A6"/>
            </w:tcBorders>
            <w:shd w:val="clear" w:color="000000" w:fill="F2F2F2"/>
            <w:noWrap/>
            <w:vAlign w:val="bottom"/>
            <w:hideMark/>
          </w:tcPr>
          <w:p w14:paraId="13EAD2CB"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0.65%</w:t>
            </w:r>
          </w:p>
        </w:tc>
        <w:tc>
          <w:tcPr>
            <w:tcW w:w="960" w:type="dxa"/>
            <w:tcBorders>
              <w:top w:val="nil"/>
              <w:left w:val="nil"/>
              <w:bottom w:val="single" w:sz="4" w:space="0" w:color="A6A6A6"/>
              <w:right w:val="single" w:sz="4" w:space="0" w:color="A6A6A6"/>
            </w:tcBorders>
            <w:shd w:val="clear" w:color="000000" w:fill="F2F2F2"/>
            <w:noWrap/>
            <w:vAlign w:val="bottom"/>
            <w:hideMark/>
          </w:tcPr>
          <w:p w14:paraId="32A578A8"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2</w:t>
            </w:r>
          </w:p>
        </w:tc>
      </w:tr>
      <w:tr w:rsidR="003032D2" w:rsidRPr="00F47BFE" w14:paraId="31178C51" w14:textId="77777777" w:rsidTr="00D939CF">
        <w:trPr>
          <w:trHeight w:val="290"/>
        </w:trPr>
        <w:tc>
          <w:tcPr>
            <w:tcW w:w="960" w:type="dxa"/>
            <w:tcBorders>
              <w:top w:val="nil"/>
              <w:left w:val="single" w:sz="4" w:space="0" w:color="A6A6A6"/>
              <w:bottom w:val="nil"/>
              <w:right w:val="single" w:sz="4" w:space="0" w:color="A6A6A6"/>
            </w:tcBorders>
            <w:shd w:val="clear" w:color="000000" w:fill="F2F2F2"/>
            <w:vAlign w:val="center"/>
            <w:hideMark/>
          </w:tcPr>
          <w:p w14:paraId="1393751B"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13</w:t>
            </w:r>
          </w:p>
        </w:tc>
        <w:tc>
          <w:tcPr>
            <w:tcW w:w="5060" w:type="dxa"/>
            <w:gridSpan w:val="2"/>
            <w:tcBorders>
              <w:top w:val="single" w:sz="4" w:space="0" w:color="A6A6A6"/>
              <w:left w:val="nil"/>
              <w:bottom w:val="single" w:sz="4" w:space="0" w:color="A6A6A6"/>
              <w:right w:val="single" w:sz="4" w:space="0" w:color="A6A6A6"/>
            </w:tcBorders>
            <w:shd w:val="clear" w:color="auto" w:fill="auto"/>
            <w:vAlign w:val="center"/>
            <w:hideMark/>
          </w:tcPr>
          <w:p w14:paraId="1B005B7C"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Other</w:t>
            </w:r>
          </w:p>
        </w:tc>
        <w:tc>
          <w:tcPr>
            <w:tcW w:w="1260" w:type="dxa"/>
            <w:tcBorders>
              <w:top w:val="nil"/>
              <w:left w:val="nil"/>
              <w:bottom w:val="single" w:sz="4" w:space="0" w:color="A6A6A6"/>
              <w:right w:val="single" w:sz="4" w:space="0" w:color="A6A6A6"/>
            </w:tcBorders>
            <w:shd w:val="clear" w:color="000000" w:fill="F2F2F2"/>
            <w:noWrap/>
            <w:vAlign w:val="bottom"/>
            <w:hideMark/>
          </w:tcPr>
          <w:p w14:paraId="77C2733E"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0.56%</w:t>
            </w:r>
          </w:p>
        </w:tc>
        <w:tc>
          <w:tcPr>
            <w:tcW w:w="1240" w:type="dxa"/>
            <w:tcBorders>
              <w:top w:val="nil"/>
              <w:left w:val="nil"/>
              <w:bottom w:val="single" w:sz="4" w:space="0" w:color="A6A6A6"/>
              <w:right w:val="single" w:sz="4" w:space="0" w:color="A6A6A6"/>
            </w:tcBorders>
            <w:shd w:val="clear" w:color="000000" w:fill="F2F2F2"/>
            <w:noWrap/>
            <w:vAlign w:val="bottom"/>
            <w:hideMark/>
          </w:tcPr>
          <w:p w14:paraId="79CC117F"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1.62%</w:t>
            </w:r>
          </w:p>
        </w:tc>
        <w:tc>
          <w:tcPr>
            <w:tcW w:w="960" w:type="dxa"/>
            <w:tcBorders>
              <w:top w:val="nil"/>
              <w:left w:val="nil"/>
              <w:bottom w:val="single" w:sz="4" w:space="0" w:color="A6A6A6"/>
              <w:right w:val="single" w:sz="4" w:space="0" w:color="A6A6A6"/>
            </w:tcBorders>
            <w:shd w:val="clear" w:color="000000" w:fill="F2F2F2"/>
            <w:noWrap/>
            <w:vAlign w:val="bottom"/>
            <w:hideMark/>
          </w:tcPr>
          <w:p w14:paraId="24C83EA2"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5</w:t>
            </w:r>
          </w:p>
        </w:tc>
      </w:tr>
      <w:tr w:rsidR="003032D2" w:rsidRPr="00F47BFE" w14:paraId="1B4B395E" w14:textId="77777777" w:rsidTr="00D939CF">
        <w:trPr>
          <w:trHeight w:val="290"/>
        </w:trPr>
        <w:tc>
          <w:tcPr>
            <w:tcW w:w="2880" w:type="dxa"/>
            <w:gridSpan w:val="2"/>
            <w:vMerge w:val="restart"/>
            <w:tcBorders>
              <w:top w:val="single" w:sz="4" w:space="0" w:color="D9D9D9"/>
              <w:left w:val="single" w:sz="4" w:space="0" w:color="BFBFBF"/>
              <w:bottom w:val="single" w:sz="4" w:space="0" w:color="BFBFBF"/>
              <w:right w:val="single" w:sz="4" w:space="0" w:color="D9D9D9"/>
            </w:tcBorders>
            <w:shd w:val="clear" w:color="000000" w:fill="F2F2F2"/>
            <w:vAlign w:val="center"/>
            <w:hideMark/>
          </w:tcPr>
          <w:p w14:paraId="6F6ED37E"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r w:rsidRPr="00F47BFE">
              <w:rPr>
                <w:rFonts w:ascii="Arial" w:eastAsia="Times New Roman" w:hAnsi="Arial" w:cs="Arial"/>
                <w:color w:val="000000"/>
                <w:sz w:val="18"/>
                <w:szCs w:val="18"/>
                <w:lang w:eastAsia="en-GB"/>
              </w:rPr>
              <w:t> </w:t>
            </w:r>
          </w:p>
        </w:tc>
        <w:tc>
          <w:tcPr>
            <w:tcW w:w="3140" w:type="dxa"/>
            <w:tcBorders>
              <w:top w:val="nil"/>
              <w:left w:val="nil"/>
              <w:bottom w:val="single" w:sz="4" w:space="0" w:color="A6A6A6"/>
              <w:right w:val="single" w:sz="4" w:space="0" w:color="A6A6A6"/>
            </w:tcBorders>
            <w:shd w:val="clear" w:color="000000" w:fill="F2F2F2"/>
            <w:vAlign w:val="center"/>
            <w:hideMark/>
          </w:tcPr>
          <w:p w14:paraId="09B48156" w14:textId="77777777" w:rsidR="003032D2" w:rsidRPr="00F47BFE" w:rsidRDefault="003032D2" w:rsidP="00DC54F7">
            <w:pPr>
              <w:spacing w:after="0" w:line="240" w:lineRule="auto"/>
              <w:jc w:val="both"/>
              <w:rPr>
                <w:rFonts w:ascii="Arial" w:eastAsia="Times New Roman" w:hAnsi="Arial" w:cs="Arial"/>
                <w:b/>
                <w:bCs/>
                <w:color w:val="000000"/>
                <w:sz w:val="18"/>
                <w:szCs w:val="18"/>
                <w:lang w:eastAsia="en-GB"/>
              </w:rPr>
            </w:pPr>
            <w:r w:rsidRPr="00F47BFE">
              <w:rPr>
                <w:rFonts w:ascii="Arial" w:eastAsia="Times New Roman" w:hAnsi="Arial" w:cs="Arial"/>
                <w:b/>
                <w:bCs/>
                <w:color w:val="000000"/>
                <w:sz w:val="18"/>
                <w:szCs w:val="18"/>
                <w:lang w:eastAsia="en-GB"/>
              </w:rPr>
              <w:t>Total Responses</w:t>
            </w:r>
          </w:p>
        </w:tc>
        <w:tc>
          <w:tcPr>
            <w:tcW w:w="1260" w:type="dxa"/>
            <w:tcBorders>
              <w:top w:val="nil"/>
              <w:left w:val="nil"/>
              <w:bottom w:val="single" w:sz="4" w:space="0" w:color="A6A6A6"/>
              <w:right w:val="single" w:sz="4" w:space="0" w:color="A6A6A6"/>
            </w:tcBorders>
            <w:shd w:val="clear" w:color="000000" w:fill="F2F2F2"/>
            <w:noWrap/>
            <w:vAlign w:val="bottom"/>
            <w:hideMark/>
          </w:tcPr>
          <w:p w14:paraId="6CD27DC2"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 </w:t>
            </w:r>
          </w:p>
        </w:tc>
        <w:tc>
          <w:tcPr>
            <w:tcW w:w="1240" w:type="dxa"/>
            <w:tcBorders>
              <w:top w:val="nil"/>
              <w:left w:val="nil"/>
              <w:bottom w:val="single" w:sz="4" w:space="0" w:color="A6A6A6"/>
              <w:right w:val="single" w:sz="4" w:space="0" w:color="A6A6A6"/>
            </w:tcBorders>
            <w:shd w:val="clear" w:color="000000" w:fill="F2F2F2"/>
            <w:noWrap/>
            <w:vAlign w:val="bottom"/>
            <w:hideMark/>
          </w:tcPr>
          <w:p w14:paraId="622F5A2F"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 </w:t>
            </w:r>
          </w:p>
        </w:tc>
        <w:tc>
          <w:tcPr>
            <w:tcW w:w="960" w:type="dxa"/>
            <w:tcBorders>
              <w:top w:val="nil"/>
              <w:left w:val="nil"/>
              <w:bottom w:val="single" w:sz="4" w:space="0" w:color="A6A6A6"/>
              <w:right w:val="single" w:sz="4" w:space="0" w:color="A6A6A6"/>
            </w:tcBorders>
            <w:shd w:val="clear" w:color="000000" w:fill="F2F2F2"/>
            <w:noWrap/>
            <w:vAlign w:val="bottom"/>
            <w:hideMark/>
          </w:tcPr>
          <w:p w14:paraId="4DA3ADB1"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888</w:t>
            </w:r>
          </w:p>
        </w:tc>
      </w:tr>
      <w:tr w:rsidR="003032D2" w:rsidRPr="00F47BFE" w14:paraId="33D466FD" w14:textId="77777777" w:rsidTr="00D939CF">
        <w:trPr>
          <w:trHeight w:val="290"/>
        </w:trPr>
        <w:tc>
          <w:tcPr>
            <w:tcW w:w="2880" w:type="dxa"/>
            <w:gridSpan w:val="2"/>
            <w:vMerge/>
            <w:tcBorders>
              <w:top w:val="single" w:sz="4" w:space="0" w:color="D9D9D9"/>
              <w:left w:val="single" w:sz="4" w:space="0" w:color="BFBFBF"/>
              <w:bottom w:val="single" w:sz="4" w:space="0" w:color="BFBFBF"/>
              <w:right w:val="single" w:sz="4" w:space="0" w:color="D9D9D9"/>
            </w:tcBorders>
            <w:vAlign w:val="center"/>
            <w:hideMark/>
          </w:tcPr>
          <w:p w14:paraId="2FE48B5D"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p>
        </w:tc>
        <w:tc>
          <w:tcPr>
            <w:tcW w:w="3140" w:type="dxa"/>
            <w:tcBorders>
              <w:top w:val="nil"/>
              <w:left w:val="nil"/>
              <w:bottom w:val="single" w:sz="4" w:space="0" w:color="A6A6A6"/>
              <w:right w:val="single" w:sz="4" w:space="0" w:color="A6A6A6"/>
            </w:tcBorders>
            <w:shd w:val="clear" w:color="000000" w:fill="F2F2F2"/>
            <w:vAlign w:val="center"/>
            <w:hideMark/>
          </w:tcPr>
          <w:p w14:paraId="6DC33BCF" w14:textId="77777777" w:rsidR="003032D2" w:rsidRPr="00F47BFE" w:rsidRDefault="003032D2" w:rsidP="00DC54F7">
            <w:pPr>
              <w:spacing w:after="0" w:line="240" w:lineRule="auto"/>
              <w:jc w:val="both"/>
              <w:rPr>
                <w:rFonts w:ascii="Arial" w:eastAsia="Times New Roman" w:hAnsi="Arial" w:cs="Arial"/>
                <w:b/>
                <w:bCs/>
                <w:color w:val="000000"/>
                <w:sz w:val="18"/>
                <w:szCs w:val="18"/>
                <w:lang w:eastAsia="en-GB"/>
              </w:rPr>
            </w:pPr>
            <w:r w:rsidRPr="00F47BFE">
              <w:rPr>
                <w:rFonts w:ascii="Arial" w:eastAsia="Times New Roman" w:hAnsi="Arial" w:cs="Arial"/>
                <w:b/>
                <w:bCs/>
                <w:color w:val="000000"/>
                <w:sz w:val="18"/>
                <w:szCs w:val="18"/>
                <w:lang w:eastAsia="en-GB"/>
              </w:rPr>
              <w:t>Total Respondents</w:t>
            </w:r>
          </w:p>
        </w:tc>
        <w:tc>
          <w:tcPr>
            <w:tcW w:w="1260" w:type="dxa"/>
            <w:tcBorders>
              <w:top w:val="nil"/>
              <w:left w:val="nil"/>
              <w:bottom w:val="single" w:sz="4" w:space="0" w:color="A6A6A6"/>
              <w:right w:val="single" w:sz="4" w:space="0" w:color="A6A6A6"/>
            </w:tcBorders>
            <w:shd w:val="clear" w:color="000000" w:fill="F2F2F2"/>
            <w:vAlign w:val="center"/>
            <w:hideMark/>
          </w:tcPr>
          <w:p w14:paraId="75DA69E9" w14:textId="77777777" w:rsidR="003032D2" w:rsidRPr="00F47BFE" w:rsidRDefault="003032D2" w:rsidP="00DC54F7">
            <w:pPr>
              <w:spacing w:after="0" w:line="240" w:lineRule="auto"/>
              <w:jc w:val="both"/>
              <w:rPr>
                <w:rFonts w:ascii="Arial" w:eastAsia="Times New Roman" w:hAnsi="Arial" w:cs="Arial"/>
                <w:b/>
                <w:bCs/>
                <w:color w:val="000000"/>
                <w:sz w:val="18"/>
                <w:szCs w:val="18"/>
                <w:lang w:eastAsia="en-GB"/>
              </w:rPr>
            </w:pPr>
            <w:r w:rsidRPr="00F47BFE">
              <w:rPr>
                <w:rFonts w:ascii="Arial" w:eastAsia="Times New Roman" w:hAnsi="Arial" w:cs="Arial"/>
                <w:b/>
                <w:bCs/>
                <w:color w:val="000000"/>
                <w:sz w:val="18"/>
                <w:szCs w:val="18"/>
                <w:lang w:eastAsia="en-GB"/>
              </w:rPr>
              <w:t> </w:t>
            </w:r>
          </w:p>
        </w:tc>
        <w:tc>
          <w:tcPr>
            <w:tcW w:w="1240" w:type="dxa"/>
            <w:tcBorders>
              <w:top w:val="nil"/>
              <w:left w:val="nil"/>
              <w:bottom w:val="single" w:sz="4" w:space="0" w:color="A6A6A6"/>
              <w:right w:val="single" w:sz="4" w:space="0" w:color="A6A6A6"/>
            </w:tcBorders>
            <w:shd w:val="clear" w:color="000000" w:fill="F2F2F2"/>
            <w:noWrap/>
            <w:vAlign w:val="bottom"/>
            <w:hideMark/>
          </w:tcPr>
          <w:p w14:paraId="571DF745"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 </w:t>
            </w:r>
          </w:p>
        </w:tc>
        <w:tc>
          <w:tcPr>
            <w:tcW w:w="960" w:type="dxa"/>
            <w:tcBorders>
              <w:top w:val="nil"/>
              <w:left w:val="nil"/>
              <w:bottom w:val="single" w:sz="4" w:space="0" w:color="A6A6A6"/>
              <w:right w:val="single" w:sz="4" w:space="0" w:color="A6A6A6"/>
            </w:tcBorders>
            <w:shd w:val="clear" w:color="000000" w:fill="F2F2F2"/>
            <w:noWrap/>
            <w:vAlign w:val="bottom"/>
            <w:hideMark/>
          </w:tcPr>
          <w:p w14:paraId="33A3F400"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309</w:t>
            </w:r>
          </w:p>
        </w:tc>
      </w:tr>
      <w:tr w:rsidR="003032D2" w:rsidRPr="00F47BFE" w14:paraId="72CC1321" w14:textId="77777777" w:rsidTr="00D939CF">
        <w:trPr>
          <w:trHeight w:val="290"/>
        </w:trPr>
        <w:tc>
          <w:tcPr>
            <w:tcW w:w="2880" w:type="dxa"/>
            <w:gridSpan w:val="2"/>
            <w:vMerge/>
            <w:tcBorders>
              <w:top w:val="single" w:sz="4" w:space="0" w:color="D9D9D9"/>
              <w:left w:val="single" w:sz="4" w:space="0" w:color="BFBFBF"/>
              <w:bottom w:val="single" w:sz="4" w:space="0" w:color="BFBFBF"/>
              <w:right w:val="single" w:sz="4" w:space="0" w:color="D9D9D9"/>
            </w:tcBorders>
            <w:vAlign w:val="center"/>
            <w:hideMark/>
          </w:tcPr>
          <w:p w14:paraId="767FBA38" w14:textId="77777777" w:rsidR="003032D2" w:rsidRPr="00F47BFE" w:rsidRDefault="003032D2" w:rsidP="00DC54F7">
            <w:pPr>
              <w:spacing w:after="0" w:line="240" w:lineRule="auto"/>
              <w:jc w:val="both"/>
              <w:rPr>
                <w:rFonts w:ascii="Arial" w:eastAsia="Times New Roman" w:hAnsi="Arial" w:cs="Arial"/>
                <w:color w:val="000000"/>
                <w:sz w:val="18"/>
                <w:szCs w:val="18"/>
                <w:lang w:eastAsia="en-GB"/>
              </w:rPr>
            </w:pPr>
          </w:p>
        </w:tc>
        <w:tc>
          <w:tcPr>
            <w:tcW w:w="3140" w:type="dxa"/>
            <w:tcBorders>
              <w:top w:val="nil"/>
              <w:left w:val="nil"/>
              <w:bottom w:val="single" w:sz="4" w:space="0" w:color="A6A6A6"/>
              <w:right w:val="single" w:sz="4" w:space="0" w:color="A6A6A6"/>
            </w:tcBorders>
            <w:shd w:val="clear" w:color="000000" w:fill="F2F2F2"/>
            <w:vAlign w:val="center"/>
            <w:hideMark/>
          </w:tcPr>
          <w:p w14:paraId="1D17ED08" w14:textId="77777777" w:rsidR="003032D2" w:rsidRPr="00F47BFE" w:rsidRDefault="003032D2" w:rsidP="00DC54F7">
            <w:pPr>
              <w:spacing w:after="0" w:line="240" w:lineRule="auto"/>
              <w:jc w:val="both"/>
              <w:rPr>
                <w:rFonts w:ascii="Arial" w:eastAsia="Times New Roman" w:hAnsi="Arial" w:cs="Arial"/>
                <w:b/>
                <w:bCs/>
                <w:color w:val="000000"/>
                <w:sz w:val="18"/>
                <w:szCs w:val="18"/>
                <w:lang w:eastAsia="en-GB"/>
              </w:rPr>
            </w:pPr>
            <w:r w:rsidRPr="00F47BFE">
              <w:rPr>
                <w:rFonts w:ascii="Arial" w:eastAsia="Times New Roman" w:hAnsi="Arial" w:cs="Arial"/>
                <w:b/>
                <w:bCs/>
                <w:color w:val="000000"/>
                <w:sz w:val="18"/>
                <w:szCs w:val="18"/>
                <w:lang w:eastAsia="en-GB"/>
              </w:rPr>
              <w:t>Skipped</w:t>
            </w:r>
          </w:p>
        </w:tc>
        <w:tc>
          <w:tcPr>
            <w:tcW w:w="1260" w:type="dxa"/>
            <w:tcBorders>
              <w:top w:val="nil"/>
              <w:left w:val="nil"/>
              <w:bottom w:val="single" w:sz="4" w:space="0" w:color="A6A6A6"/>
              <w:right w:val="single" w:sz="4" w:space="0" w:color="A6A6A6"/>
            </w:tcBorders>
            <w:shd w:val="clear" w:color="000000" w:fill="F2F2F2"/>
            <w:vAlign w:val="center"/>
            <w:hideMark/>
          </w:tcPr>
          <w:p w14:paraId="39ED1AF5" w14:textId="77777777" w:rsidR="003032D2" w:rsidRPr="00F47BFE" w:rsidRDefault="003032D2" w:rsidP="00DC54F7">
            <w:pPr>
              <w:spacing w:after="0" w:line="240" w:lineRule="auto"/>
              <w:jc w:val="both"/>
              <w:rPr>
                <w:rFonts w:ascii="Arial" w:eastAsia="Times New Roman" w:hAnsi="Arial" w:cs="Arial"/>
                <w:b/>
                <w:bCs/>
                <w:color w:val="000000"/>
                <w:sz w:val="18"/>
                <w:szCs w:val="18"/>
                <w:lang w:eastAsia="en-GB"/>
              </w:rPr>
            </w:pPr>
            <w:r w:rsidRPr="00F47BFE">
              <w:rPr>
                <w:rFonts w:ascii="Arial" w:eastAsia="Times New Roman" w:hAnsi="Arial" w:cs="Arial"/>
                <w:b/>
                <w:bCs/>
                <w:color w:val="000000"/>
                <w:sz w:val="18"/>
                <w:szCs w:val="18"/>
                <w:lang w:eastAsia="en-GB"/>
              </w:rPr>
              <w:t> </w:t>
            </w:r>
          </w:p>
        </w:tc>
        <w:tc>
          <w:tcPr>
            <w:tcW w:w="1240" w:type="dxa"/>
            <w:tcBorders>
              <w:top w:val="nil"/>
              <w:left w:val="nil"/>
              <w:bottom w:val="single" w:sz="4" w:space="0" w:color="A6A6A6"/>
              <w:right w:val="single" w:sz="4" w:space="0" w:color="A6A6A6"/>
            </w:tcBorders>
            <w:shd w:val="clear" w:color="000000" w:fill="F2F2F2"/>
            <w:noWrap/>
            <w:vAlign w:val="bottom"/>
            <w:hideMark/>
          </w:tcPr>
          <w:p w14:paraId="582FF4AE"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 </w:t>
            </w:r>
          </w:p>
        </w:tc>
        <w:tc>
          <w:tcPr>
            <w:tcW w:w="960" w:type="dxa"/>
            <w:tcBorders>
              <w:top w:val="nil"/>
              <w:left w:val="nil"/>
              <w:bottom w:val="single" w:sz="4" w:space="0" w:color="A6A6A6"/>
              <w:right w:val="single" w:sz="4" w:space="0" w:color="A6A6A6"/>
            </w:tcBorders>
            <w:shd w:val="clear" w:color="000000" w:fill="F2F2F2"/>
            <w:noWrap/>
            <w:vAlign w:val="bottom"/>
            <w:hideMark/>
          </w:tcPr>
          <w:p w14:paraId="42CAA295" w14:textId="77777777" w:rsidR="003032D2" w:rsidRPr="00F47BFE" w:rsidRDefault="003032D2" w:rsidP="00DC54F7">
            <w:pPr>
              <w:spacing w:after="0" w:line="240" w:lineRule="auto"/>
              <w:jc w:val="both"/>
              <w:rPr>
                <w:rFonts w:ascii="Calibri" w:eastAsia="Times New Roman" w:hAnsi="Calibri" w:cs="Calibri"/>
                <w:color w:val="000000"/>
                <w:lang w:eastAsia="en-GB"/>
              </w:rPr>
            </w:pPr>
            <w:r w:rsidRPr="00F47BFE">
              <w:rPr>
                <w:rFonts w:ascii="Calibri" w:eastAsia="Times New Roman" w:hAnsi="Calibri" w:cs="Calibri"/>
                <w:color w:val="000000"/>
                <w:lang w:eastAsia="en-GB"/>
              </w:rPr>
              <w:t>2</w:t>
            </w:r>
          </w:p>
        </w:tc>
      </w:tr>
    </w:tbl>
    <w:p w14:paraId="4B836658" w14:textId="77777777" w:rsidR="00D301A3" w:rsidRDefault="00D301A3" w:rsidP="00DC54F7">
      <w:pPr>
        <w:jc w:val="both"/>
      </w:pPr>
    </w:p>
    <w:p w14:paraId="0AFA0873" w14:textId="77777777" w:rsidR="00D301A3" w:rsidRPr="009A6E34" w:rsidRDefault="00D301A3" w:rsidP="00DC54F7">
      <w:pPr>
        <w:spacing w:after="0" w:line="240" w:lineRule="auto"/>
        <w:jc w:val="both"/>
        <w:rPr>
          <w:rFonts w:ascii="Arial" w:hAnsi="Arial" w:cs="Arial"/>
          <w:b/>
          <w:bCs/>
        </w:rPr>
      </w:pPr>
      <w:r w:rsidRPr="00B657F7">
        <w:rPr>
          <w:rFonts w:ascii="Arial" w:hAnsi="Arial" w:cs="Arial"/>
          <w:b/>
          <w:bCs/>
        </w:rPr>
        <w:t xml:space="preserve">Total of </w:t>
      </w:r>
      <w:r>
        <w:rPr>
          <w:rFonts w:ascii="Arial" w:hAnsi="Arial" w:cs="Arial"/>
          <w:b/>
          <w:bCs/>
        </w:rPr>
        <w:t>five</w:t>
      </w:r>
      <w:r w:rsidRPr="00B657F7">
        <w:rPr>
          <w:rFonts w:ascii="Arial" w:hAnsi="Arial" w:cs="Arial"/>
          <w:b/>
          <w:bCs/>
        </w:rPr>
        <w:t xml:space="preserve"> comment </w:t>
      </w:r>
      <w:r>
        <w:rPr>
          <w:rFonts w:ascii="Arial" w:hAnsi="Arial" w:cs="Arial"/>
          <w:b/>
          <w:bCs/>
        </w:rPr>
        <w:t xml:space="preserve">were </w:t>
      </w:r>
      <w:r w:rsidRPr="00B657F7">
        <w:rPr>
          <w:rFonts w:ascii="Arial" w:hAnsi="Arial" w:cs="Arial"/>
          <w:b/>
          <w:bCs/>
        </w:rPr>
        <w:t>received:</w:t>
      </w:r>
    </w:p>
    <w:p w14:paraId="3522EC62" w14:textId="77777777" w:rsidR="00D301A3" w:rsidRPr="009A6E34" w:rsidRDefault="00D301A3" w:rsidP="00DC54F7">
      <w:pPr>
        <w:pStyle w:val="ListParagraph"/>
        <w:numPr>
          <w:ilvl w:val="0"/>
          <w:numId w:val="164"/>
        </w:numPr>
        <w:spacing w:after="0" w:line="240" w:lineRule="auto"/>
        <w:jc w:val="both"/>
        <w:rPr>
          <w:rFonts w:ascii="Arial" w:hAnsi="Arial" w:cs="Arial"/>
        </w:rPr>
      </w:pPr>
      <w:r>
        <w:rPr>
          <w:rFonts w:ascii="Arial" w:hAnsi="Arial" w:cs="Arial"/>
        </w:rPr>
        <w:t>“</w:t>
      </w:r>
      <w:r w:rsidRPr="009A6E34">
        <w:rPr>
          <w:rFonts w:ascii="Arial" w:hAnsi="Arial" w:cs="Arial"/>
        </w:rPr>
        <w:t>Shielding so someone collects my prescription. Cannot understand why my internet deliveries from an English GP cannot be used now I've moved to Wales</w:t>
      </w:r>
      <w:r>
        <w:rPr>
          <w:rFonts w:ascii="Arial" w:hAnsi="Arial" w:cs="Arial"/>
        </w:rPr>
        <w:t>.”</w:t>
      </w:r>
    </w:p>
    <w:p w14:paraId="17D345D1" w14:textId="77777777" w:rsidR="00D301A3" w:rsidRPr="009A6E34" w:rsidRDefault="00D301A3" w:rsidP="00DC54F7">
      <w:pPr>
        <w:pStyle w:val="ListParagraph"/>
        <w:numPr>
          <w:ilvl w:val="0"/>
          <w:numId w:val="164"/>
        </w:numPr>
        <w:spacing w:after="0" w:line="240" w:lineRule="auto"/>
        <w:jc w:val="both"/>
        <w:rPr>
          <w:rFonts w:ascii="Arial" w:hAnsi="Arial" w:cs="Arial"/>
        </w:rPr>
      </w:pPr>
      <w:r>
        <w:rPr>
          <w:rFonts w:ascii="Arial" w:hAnsi="Arial" w:cs="Arial"/>
        </w:rPr>
        <w:t>“</w:t>
      </w:r>
      <w:r w:rsidRPr="009A6E34">
        <w:rPr>
          <w:rFonts w:ascii="Arial" w:hAnsi="Arial" w:cs="Arial"/>
        </w:rPr>
        <w:t>To buy other items like cosmetics, shampoo, etc</w:t>
      </w:r>
      <w:r>
        <w:rPr>
          <w:rFonts w:ascii="Arial" w:hAnsi="Arial" w:cs="Arial"/>
        </w:rPr>
        <w:t>.”</w:t>
      </w:r>
      <w:r w:rsidRPr="009A6E34">
        <w:rPr>
          <w:rFonts w:ascii="Arial" w:hAnsi="Arial" w:cs="Arial"/>
        </w:rPr>
        <w:t xml:space="preserve"> </w:t>
      </w:r>
    </w:p>
    <w:p w14:paraId="1F2A3114" w14:textId="77777777" w:rsidR="00D301A3" w:rsidRPr="009A6E34" w:rsidRDefault="00D301A3" w:rsidP="00DC54F7">
      <w:pPr>
        <w:pStyle w:val="ListParagraph"/>
        <w:numPr>
          <w:ilvl w:val="0"/>
          <w:numId w:val="164"/>
        </w:numPr>
        <w:spacing w:after="0" w:line="240" w:lineRule="auto"/>
        <w:jc w:val="both"/>
        <w:rPr>
          <w:rFonts w:ascii="Arial" w:hAnsi="Arial" w:cs="Arial"/>
        </w:rPr>
      </w:pPr>
      <w:r>
        <w:rPr>
          <w:rFonts w:ascii="Arial" w:hAnsi="Arial" w:cs="Arial"/>
        </w:rPr>
        <w:t>“</w:t>
      </w:r>
      <w:r w:rsidRPr="009A6E34">
        <w:rPr>
          <w:rFonts w:ascii="Arial" w:hAnsi="Arial" w:cs="Arial"/>
        </w:rPr>
        <w:t>Currently husband collects medication to allow me to shield</w:t>
      </w:r>
      <w:r>
        <w:rPr>
          <w:rFonts w:ascii="Arial" w:hAnsi="Arial" w:cs="Arial"/>
        </w:rPr>
        <w:t>.”</w:t>
      </w:r>
    </w:p>
    <w:p w14:paraId="30A9910D" w14:textId="77777777" w:rsidR="00D301A3" w:rsidRPr="00594D23" w:rsidRDefault="00D301A3" w:rsidP="00DC54F7">
      <w:pPr>
        <w:pStyle w:val="ListParagraph"/>
        <w:numPr>
          <w:ilvl w:val="0"/>
          <w:numId w:val="164"/>
        </w:numPr>
        <w:spacing w:after="0" w:line="240" w:lineRule="auto"/>
        <w:jc w:val="both"/>
      </w:pPr>
      <w:r>
        <w:rPr>
          <w:rFonts w:ascii="Arial" w:hAnsi="Arial" w:cs="Arial"/>
        </w:rPr>
        <w:t>“T</w:t>
      </w:r>
      <w:r w:rsidRPr="009A6E34">
        <w:rPr>
          <w:rFonts w:ascii="Arial" w:hAnsi="Arial" w:cs="Arial"/>
        </w:rPr>
        <w:t>o get general toiletries</w:t>
      </w:r>
      <w:r>
        <w:rPr>
          <w:rFonts w:ascii="Arial" w:hAnsi="Arial" w:cs="Arial"/>
        </w:rPr>
        <w:t>.”</w:t>
      </w:r>
    </w:p>
    <w:p w14:paraId="7681FF53" w14:textId="1AFD0CAE" w:rsidR="003032D2" w:rsidRPr="00700B17" w:rsidRDefault="00D301A3" w:rsidP="00DC54F7">
      <w:pPr>
        <w:pStyle w:val="ListParagraph"/>
        <w:numPr>
          <w:ilvl w:val="0"/>
          <w:numId w:val="164"/>
        </w:numPr>
        <w:spacing w:after="0" w:line="240" w:lineRule="auto"/>
        <w:jc w:val="both"/>
      </w:pPr>
      <w:r>
        <w:rPr>
          <w:rFonts w:ascii="Arial" w:eastAsia="Times New Roman" w:hAnsi="Arial" w:cs="Arial"/>
        </w:rPr>
        <w:t>“</w:t>
      </w:r>
      <w:r w:rsidRPr="00594D23">
        <w:rPr>
          <w:rFonts w:ascii="Arial" w:eastAsia="Times New Roman" w:hAnsi="Arial" w:cs="Arial"/>
        </w:rPr>
        <w:t>Collect myself until shielding was in place</w:t>
      </w:r>
      <w:r>
        <w:rPr>
          <w:rFonts w:ascii="Arial" w:eastAsia="Times New Roman" w:hAnsi="Arial" w:cs="Arial"/>
          <w:sz w:val="17"/>
          <w:szCs w:val="17"/>
        </w:rPr>
        <w:t>.”</w:t>
      </w:r>
    </w:p>
    <w:p w14:paraId="78DC2B4D" w14:textId="77777777" w:rsidR="00700B17" w:rsidRDefault="00700B17" w:rsidP="00AE758E">
      <w:pPr>
        <w:spacing w:after="0" w:line="240" w:lineRule="auto"/>
        <w:jc w:val="both"/>
      </w:pPr>
    </w:p>
    <w:p w14:paraId="2E68533B" w14:textId="1738B188" w:rsidR="00D301A3" w:rsidRPr="001C43D2" w:rsidRDefault="00D301A3" w:rsidP="00DC54F7">
      <w:pPr>
        <w:spacing w:after="0" w:line="240" w:lineRule="auto"/>
        <w:jc w:val="both"/>
        <w:rPr>
          <w:rFonts w:ascii="Arial" w:eastAsia="Times New Roman" w:hAnsi="Arial" w:cs="Arial"/>
          <w:b/>
          <w:bCs/>
          <w:color w:val="333333"/>
          <w:lang w:eastAsia="en-GB"/>
        </w:rPr>
      </w:pPr>
      <w:r w:rsidRPr="001C43D2">
        <w:rPr>
          <w:rFonts w:ascii="Arial" w:eastAsia="Times New Roman" w:hAnsi="Arial" w:cs="Arial"/>
          <w:b/>
          <w:bCs/>
          <w:color w:val="333333"/>
          <w:lang w:eastAsia="en-GB"/>
        </w:rPr>
        <w:t xml:space="preserve">3. How often do you use a pharmacy? Please tick one. </w:t>
      </w:r>
    </w:p>
    <w:p w14:paraId="734DC649" w14:textId="77777777" w:rsidR="00D301A3" w:rsidRDefault="00D301A3" w:rsidP="00DC54F7">
      <w:pPr>
        <w:spacing w:after="0" w:line="240" w:lineRule="auto"/>
        <w:jc w:val="both"/>
      </w:pPr>
    </w:p>
    <w:tbl>
      <w:tblPr>
        <w:tblW w:w="9067" w:type="dxa"/>
        <w:tblLook w:val="04A0" w:firstRow="1" w:lastRow="0" w:firstColumn="1" w:lastColumn="0" w:noHBand="0" w:noVBand="1"/>
      </w:tblPr>
      <w:tblGrid>
        <w:gridCol w:w="960"/>
        <w:gridCol w:w="960"/>
        <w:gridCol w:w="3745"/>
        <w:gridCol w:w="1134"/>
        <w:gridCol w:w="1134"/>
        <w:gridCol w:w="1134"/>
      </w:tblGrid>
      <w:tr w:rsidR="00D301A3" w:rsidRPr="001C43D2" w14:paraId="7C5190BF" w14:textId="77777777" w:rsidTr="00AA572E">
        <w:trPr>
          <w:trHeight w:val="290"/>
        </w:trPr>
        <w:tc>
          <w:tcPr>
            <w:tcW w:w="960" w:type="dxa"/>
            <w:tcBorders>
              <w:top w:val="single" w:sz="4" w:space="0" w:color="A6A6A6"/>
              <w:left w:val="single" w:sz="4" w:space="0" w:color="A6A6A6"/>
              <w:bottom w:val="single" w:sz="4" w:space="0" w:color="A6A6A6"/>
              <w:right w:val="nil"/>
            </w:tcBorders>
            <w:shd w:val="clear" w:color="000000" w:fill="8497B0"/>
            <w:vAlign w:val="center"/>
            <w:hideMark/>
          </w:tcPr>
          <w:p w14:paraId="09BCE625" w14:textId="77777777" w:rsidR="00D301A3" w:rsidRPr="001C43D2" w:rsidRDefault="00D301A3" w:rsidP="00DC54F7">
            <w:pPr>
              <w:spacing w:after="0" w:line="240" w:lineRule="auto"/>
              <w:jc w:val="both"/>
              <w:rPr>
                <w:rFonts w:ascii="Arial" w:eastAsia="Times New Roman" w:hAnsi="Arial" w:cs="Arial"/>
                <w:b/>
                <w:bCs/>
                <w:color w:val="FFFFFF"/>
                <w:sz w:val="21"/>
                <w:szCs w:val="21"/>
                <w:lang w:eastAsia="en-GB"/>
              </w:rPr>
            </w:pPr>
            <w:r w:rsidRPr="001C43D2">
              <w:rPr>
                <w:rFonts w:ascii="Arial" w:eastAsia="Times New Roman" w:hAnsi="Arial" w:cs="Arial"/>
                <w:b/>
                <w:bCs/>
                <w:color w:val="FFFFFF"/>
                <w:sz w:val="21"/>
                <w:szCs w:val="21"/>
                <w:lang w:eastAsia="en-GB"/>
              </w:rPr>
              <w:t> </w:t>
            </w:r>
          </w:p>
        </w:tc>
        <w:tc>
          <w:tcPr>
            <w:tcW w:w="960" w:type="dxa"/>
            <w:tcBorders>
              <w:top w:val="single" w:sz="4" w:space="0" w:color="A6A6A6"/>
              <w:left w:val="nil"/>
              <w:bottom w:val="single" w:sz="4" w:space="0" w:color="A6A6A6"/>
              <w:right w:val="nil"/>
            </w:tcBorders>
            <w:shd w:val="clear" w:color="000000" w:fill="8497B0"/>
            <w:vAlign w:val="center"/>
            <w:hideMark/>
          </w:tcPr>
          <w:p w14:paraId="2ED5C43A" w14:textId="77777777" w:rsidR="00D301A3" w:rsidRPr="001C43D2" w:rsidRDefault="00D301A3" w:rsidP="00DC54F7">
            <w:pPr>
              <w:spacing w:after="0" w:line="240" w:lineRule="auto"/>
              <w:jc w:val="both"/>
              <w:rPr>
                <w:rFonts w:ascii="Arial" w:eastAsia="Times New Roman" w:hAnsi="Arial" w:cs="Arial"/>
                <w:b/>
                <w:bCs/>
                <w:color w:val="FFFFFF"/>
                <w:sz w:val="21"/>
                <w:szCs w:val="21"/>
                <w:lang w:eastAsia="en-GB"/>
              </w:rPr>
            </w:pPr>
            <w:r w:rsidRPr="001C43D2">
              <w:rPr>
                <w:rFonts w:ascii="Arial" w:eastAsia="Times New Roman" w:hAnsi="Arial" w:cs="Arial"/>
                <w:b/>
                <w:bCs/>
                <w:color w:val="FFFFFF"/>
                <w:sz w:val="21"/>
                <w:szCs w:val="21"/>
                <w:lang w:eastAsia="en-GB"/>
              </w:rPr>
              <w:t> </w:t>
            </w:r>
          </w:p>
        </w:tc>
        <w:tc>
          <w:tcPr>
            <w:tcW w:w="3745" w:type="dxa"/>
            <w:tcBorders>
              <w:top w:val="single" w:sz="4" w:space="0" w:color="A6A6A6"/>
              <w:left w:val="nil"/>
              <w:bottom w:val="single" w:sz="4" w:space="0" w:color="A6A6A6"/>
              <w:right w:val="nil"/>
            </w:tcBorders>
            <w:shd w:val="clear" w:color="000000" w:fill="8497B0"/>
            <w:vAlign w:val="center"/>
            <w:hideMark/>
          </w:tcPr>
          <w:p w14:paraId="59D5B40B" w14:textId="77777777" w:rsidR="00D301A3" w:rsidRPr="001C43D2" w:rsidRDefault="00D301A3" w:rsidP="00DC54F7">
            <w:pPr>
              <w:spacing w:after="0" w:line="240" w:lineRule="auto"/>
              <w:jc w:val="both"/>
              <w:rPr>
                <w:rFonts w:ascii="Arial" w:eastAsia="Times New Roman" w:hAnsi="Arial" w:cs="Arial"/>
                <w:b/>
                <w:bCs/>
                <w:color w:val="FFFFFF"/>
                <w:sz w:val="21"/>
                <w:szCs w:val="21"/>
                <w:lang w:eastAsia="en-GB"/>
              </w:rPr>
            </w:pPr>
            <w:r w:rsidRPr="001C43D2">
              <w:rPr>
                <w:rFonts w:ascii="Arial" w:eastAsia="Times New Roman" w:hAnsi="Arial" w:cs="Arial"/>
                <w:b/>
                <w:bCs/>
                <w:color w:val="FFFFFF"/>
                <w:sz w:val="21"/>
                <w:szCs w:val="21"/>
                <w:lang w:eastAsia="en-GB"/>
              </w:rPr>
              <w:t> </w:t>
            </w:r>
          </w:p>
        </w:tc>
        <w:tc>
          <w:tcPr>
            <w:tcW w:w="1134" w:type="dxa"/>
            <w:tcBorders>
              <w:top w:val="single" w:sz="4" w:space="0" w:color="A6A6A6"/>
              <w:left w:val="nil"/>
              <w:bottom w:val="single" w:sz="4" w:space="0" w:color="A6A6A6"/>
              <w:right w:val="nil"/>
            </w:tcBorders>
            <w:shd w:val="clear" w:color="000000" w:fill="8497B0"/>
            <w:vAlign w:val="center"/>
            <w:hideMark/>
          </w:tcPr>
          <w:p w14:paraId="7668F511" w14:textId="77777777" w:rsidR="00D301A3" w:rsidRPr="001C43D2" w:rsidRDefault="00D301A3" w:rsidP="00DC54F7">
            <w:pPr>
              <w:spacing w:after="0" w:line="240" w:lineRule="auto"/>
              <w:jc w:val="both"/>
              <w:rPr>
                <w:rFonts w:ascii="Arial" w:eastAsia="Times New Roman" w:hAnsi="Arial" w:cs="Arial"/>
                <w:b/>
                <w:bCs/>
                <w:color w:val="FFFFFF"/>
                <w:sz w:val="21"/>
                <w:szCs w:val="21"/>
                <w:lang w:eastAsia="en-GB"/>
              </w:rPr>
            </w:pPr>
            <w:r w:rsidRPr="001C43D2">
              <w:rPr>
                <w:rFonts w:ascii="Arial" w:eastAsia="Times New Roman" w:hAnsi="Arial" w:cs="Arial"/>
                <w:b/>
                <w:bCs/>
                <w:color w:val="FFFFFF"/>
                <w:sz w:val="21"/>
                <w:szCs w:val="21"/>
                <w:lang w:eastAsia="en-GB"/>
              </w:rPr>
              <w:t> </w:t>
            </w:r>
          </w:p>
        </w:tc>
        <w:tc>
          <w:tcPr>
            <w:tcW w:w="2268" w:type="dxa"/>
            <w:gridSpan w:val="2"/>
            <w:tcBorders>
              <w:top w:val="single" w:sz="4" w:space="0" w:color="A6A6A6"/>
              <w:left w:val="nil"/>
              <w:bottom w:val="single" w:sz="4" w:space="0" w:color="A6A6A6"/>
              <w:right w:val="single" w:sz="4" w:space="0" w:color="A6A6A6"/>
            </w:tcBorders>
            <w:shd w:val="clear" w:color="000000" w:fill="8497B0"/>
            <w:vAlign w:val="center"/>
            <w:hideMark/>
          </w:tcPr>
          <w:p w14:paraId="338E7CAC" w14:textId="77777777" w:rsidR="00D301A3" w:rsidRPr="001C43D2" w:rsidRDefault="00D301A3" w:rsidP="00DC54F7">
            <w:pPr>
              <w:spacing w:after="0" w:line="240" w:lineRule="auto"/>
              <w:jc w:val="both"/>
              <w:rPr>
                <w:rFonts w:ascii="Arial" w:eastAsia="Times New Roman" w:hAnsi="Arial" w:cs="Arial"/>
                <w:b/>
                <w:bCs/>
                <w:color w:val="FFFFFF"/>
                <w:sz w:val="21"/>
                <w:szCs w:val="21"/>
                <w:lang w:eastAsia="en-GB"/>
              </w:rPr>
            </w:pPr>
            <w:r w:rsidRPr="001C43D2">
              <w:rPr>
                <w:rFonts w:ascii="Arial" w:eastAsia="Times New Roman" w:hAnsi="Arial" w:cs="Arial"/>
                <w:b/>
                <w:bCs/>
                <w:color w:val="FFFFFF"/>
                <w:sz w:val="21"/>
                <w:szCs w:val="21"/>
                <w:lang w:eastAsia="en-GB"/>
              </w:rPr>
              <w:t>Response</w:t>
            </w:r>
          </w:p>
        </w:tc>
      </w:tr>
      <w:tr w:rsidR="00D301A3" w:rsidRPr="001C43D2" w14:paraId="4C8E9F73" w14:textId="77777777" w:rsidTr="00AA572E">
        <w:trPr>
          <w:trHeight w:val="290"/>
        </w:trPr>
        <w:tc>
          <w:tcPr>
            <w:tcW w:w="6799" w:type="dxa"/>
            <w:gridSpan w:val="4"/>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602AED6A" w14:textId="77777777" w:rsidR="00D301A3" w:rsidRPr="001C43D2" w:rsidRDefault="00D301A3" w:rsidP="00DC54F7">
            <w:pPr>
              <w:spacing w:after="0" w:line="240" w:lineRule="auto"/>
              <w:jc w:val="both"/>
              <w:rPr>
                <w:rFonts w:ascii="Arial" w:eastAsia="Times New Roman" w:hAnsi="Arial" w:cs="Arial"/>
                <w:b/>
                <w:bCs/>
                <w:color w:val="000000"/>
                <w:sz w:val="18"/>
                <w:szCs w:val="18"/>
                <w:lang w:eastAsia="en-GB"/>
              </w:rPr>
            </w:pPr>
            <w:r w:rsidRPr="001C43D2">
              <w:rPr>
                <w:rFonts w:ascii="Arial" w:eastAsia="Times New Roman" w:hAnsi="Arial" w:cs="Arial"/>
                <w:b/>
                <w:bCs/>
                <w:color w:val="000000"/>
                <w:sz w:val="18"/>
                <w:szCs w:val="18"/>
                <w:lang w:eastAsia="en-GB"/>
              </w:rPr>
              <w:t> </w:t>
            </w:r>
          </w:p>
        </w:tc>
        <w:tc>
          <w:tcPr>
            <w:tcW w:w="1134" w:type="dxa"/>
            <w:tcBorders>
              <w:top w:val="nil"/>
              <w:left w:val="nil"/>
              <w:bottom w:val="single" w:sz="4" w:space="0" w:color="A6A6A6"/>
              <w:right w:val="single" w:sz="4" w:space="0" w:color="A6A6A6"/>
            </w:tcBorders>
            <w:shd w:val="clear" w:color="000000" w:fill="F2F2F2"/>
            <w:noWrap/>
            <w:vAlign w:val="center"/>
            <w:hideMark/>
          </w:tcPr>
          <w:p w14:paraId="69E2E96D" w14:textId="77777777" w:rsidR="00D301A3" w:rsidRPr="001C43D2" w:rsidRDefault="00D301A3" w:rsidP="00DC54F7">
            <w:pPr>
              <w:spacing w:after="0" w:line="240" w:lineRule="auto"/>
              <w:jc w:val="both"/>
              <w:rPr>
                <w:rFonts w:ascii="Arial" w:eastAsia="Times New Roman" w:hAnsi="Arial" w:cs="Arial"/>
                <w:b/>
                <w:bCs/>
                <w:color w:val="000000"/>
                <w:sz w:val="18"/>
                <w:szCs w:val="18"/>
                <w:lang w:eastAsia="en-GB"/>
              </w:rPr>
            </w:pPr>
            <w:r w:rsidRPr="001C43D2">
              <w:rPr>
                <w:rFonts w:ascii="Arial" w:eastAsia="Times New Roman" w:hAnsi="Arial" w:cs="Arial"/>
                <w:b/>
                <w:bCs/>
                <w:color w:val="000000"/>
                <w:sz w:val="18"/>
                <w:szCs w:val="18"/>
                <w:lang w:eastAsia="en-GB"/>
              </w:rPr>
              <w:t>Percent</w:t>
            </w:r>
          </w:p>
        </w:tc>
        <w:tc>
          <w:tcPr>
            <w:tcW w:w="1134" w:type="dxa"/>
            <w:tcBorders>
              <w:top w:val="nil"/>
              <w:left w:val="nil"/>
              <w:bottom w:val="single" w:sz="4" w:space="0" w:color="A6A6A6"/>
              <w:right w:val="single" w:sz="4" w:space="0" w:color="A6A6A6"/>
            </w:tcBorders>
            <w:shd w:val="clear" w:color="000000" w:fill="F2F2F2"/>
            <w:noWrap/>
            <w:vAlign w:val="center"/>
            <w:hideMark/>
          </w:tcPr>
          <w:p w14:paraId="4121E658" w14:textId="77777777" w:rsidR="00D301A3" w:rsidRPr="001C43D2" w:rsidRDefault="00D301A3" w:rsidP="00DC54F7">
            <w:pPr>
              <w:spacing w:after="0" w:line="240" w:lineRule="auto"/>
              <w:jc w:val="both"/>
              <w:rPr>
                <w:rFonts w:ascii="Arial" w:eastAsia="Times New Roman" w:hAnsi="Arial" w:cs="Arial"/>
                <w:b/>
                <w:bCs/>
                <w:color w:val="000000"/>
                <w:sz w:val="18"/>
                <w:szCs w:val="18"/>
                <w:lang w:eastAsia="en-GB"/>
              </w:rPr>
            </w:pPr>
            <w:r w:rsidRPr="001C43D2">
              <w:rPr>
                <w:rFonts w:ascii="Arial" w:eastAsia="Times New Roman" w:hAnsi="Arial" w:cs="Arial"/>
                <w:b/>
                <w:bCs/>
                <w:color w:val="000000"/>
                <w:sz w:val="18"/>
                <w:szCs w:val="18"/>
                <w:lang w:eastAsia="en-GB"/>
              </w:rPr>
              <w:t>Total</w:t>
            </w:r>
          </w:p>
        </w:tc>
      </w:tr>
      <w:tr w:rsidR="00D301A3" w:rsidRPr="001C43D2" w14:paraId="0B50EBD8"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687E4AF"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1</w:t>
            </w:r>
          </w:p>
        </w:tc>
        <w:tc>
          <w:tcPr>
            <w:tcW w:w="5839" w:type="dxa"/>
            <w:gridSpan w:val="3"/>
            <w:tcBorders>
              <w:top w:val="single" w:sz="4" w:space="0" w:color="A6A6A6"/>
              <w:left w:val="nil"/>
              <w:bottom w:val="single" w:sz="4" w:space="0" w:color="A6A6A6"/>
              <w:right w:val="single" w:sz="4" w:space="0" w:color="A6A6A6"/>
            </w:tcBorders>
            <w:shd w:val="clear" w:color="auto" w:fill="auto"/>
            <w:vAlign w:val="center"/>
            <w:hideMark/>
          </w:tcPr>
          <w:p w14:paraId="765CC23F"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Daily</w:t>
            </w:r>
          </w:p>
        </w:tc>
        <w:tc>
          <w:tcPr>
            <w:tcW w:w="1134" w:type="dxa"/>
            <w:tcBorders>
              <w:top w:val="nil"/>
              <w:left w:val="nil"/>
              <w:bottom w:val="single" w:sz="4" w:space="0" w:color="A6A6A6"/>
              <w:right w:val="single" w:sz="4" w:space="0" w:color="A6A6A6"/>
            </w:tcBorders>
            <w:shd w:val="clear" w:color="000000" w:fill="F2F2F2"/>
            <w:noWrap/>
            <w:vAlign w:val="bottom"/>
            <w:hideMark/>
          </w:tcPr>
          <w:p w14:paraId="5F94DF53"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0.32%</w:t>
            </w:r>
          </w:p>
        </w:tc>
        <w:tc>
          <w:tcPr>
            <w:tcW w:w="1134" w:type="dxa"/>
            <w:tcBorders>
              <w:top w:val="nil"/>
              <w:left w:val="nil"/>
              <w:bottom w:val="single" w:sz="4" w:space="0" w:color="A6A6A6"/>
              <w:right w:val="single" w:sz="4" w:space="0" w:color="A6A6A6"/>
            </w:tcBorders>
            <w:shd w:val="clear" w:color="000000" w:fill="F2F2F2"/>
            <w:noWrap/>
            <w:vAlign w:val="bottom"/>
            <w:hideMark/>
          </w:tcPr>
          <w:p w14:paraId="6D48577B"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1</w:t>
            </w:r>
          </w:p>
        </w:tc>
      </w:tr>
      <w:tr w:rsidR="00D301A3" w:rsidRPr="001C43D2" w14:paraId="5B01B169"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3A746F26"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2</w:t>
            </w:r>
          </w:p>
        </w:tc>
        <w:tc>
          <w:tcPr>
            <w:tcW w:w="5839" w:type="dxa"/>
            <w:gridSpan w:val="3"/>
            <w:tcBorders>
              <w:top w:val="single" w:sz="4" w:space="0" w:color="A6A6A6"/>
              <w:left w:val="nil"/>
              <w:bottom w:val="single" w:sz="4" w:space="0" w:color="A6A6A6"/>
              <w:right w:val="single" w:sz="4" w:space="0" w:color="A6A6A6"/>
            </w:tcBorders>
            <w:shd w:val="clear" w:color="auto" w:fill="auto"/>
            <w:vAlign w:val="center"/>
            <w:hideMark/>
          </w:tcPr>
          <w:p w14:paraId="1FD8C8B1"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Weekly</w:t>
            </w:r>
          </w:p>
        </w:tc>
        <w:tc>
          <w:tcPr>
            <w:tcW w:w="1134" w:type="dxa"/>
            <w:tcBorders>
              <w:top w:val="nil"/>
              <w:left w:val="nil"/>
              <w:bottom w:val="single" w:sz="4" w:space="0" w:color="A6A6A6"/>
              <w:right w:val="single" w:sz="4" w:space="0" w:color="A6A6A6"/>
            </w:tcBorders>
            <w:shd w:val="clear" w:color="000000" w:fill="F2F2F2"/>
            <w:noWrap/>
            <w:vAlign w:val="bottom"/>
            <w:hideMark/>
          </w:tcPr>
          <w:p w14:paraId="5A97F781"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7.14%</w:t>
            </w:r>
          </w:p>
        </w:tc>
        <w:tc>
          <w:tcPr>
            <w:tcW w:w="1134" w:type="dxa"/>
            <w:tcBorders>
              <w:top w:val="nil"/>
              <w:left w:val="nil"/>
              <w:bottom w:val="single" w:sz="4" w:space="0" w:color="A6A6A6"/>
              <w:right w:val="single" w:sz="4" w:space="0" w:color="A6A6A6"/>
            </w:tcBorders>
            <w:shd w:val="clear" w:color="000000" w:fill="F2F2F2"/>
            <w:noWrap/>
            <w:vAlign w:val="bottom"/>
            <w:hideMark/>
          </w:tcPr>
          <w:p w14:paraId="12FEFB77"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22</w:t>
            </w:r>
          </w:p>
        </w:tc>
      </w:tr>
      <w:tr w:rsidR="00D301A3" w:rsidRPr="001C43D2" w14:paraId="5F9D4931"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6AFFF749"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3</w:t>
            </w:r>
          </w:p>
        </w:tc>
        <w:tc>
          <w:tcPr>
            <w:tcW w:w="5839" w:type="dxa"/>
            <w:gridSpan w:val="3"/>
            <w:tcBorders>
              <w:top w:val="single" w:sz="4" w:space="0" w:color="A6A6A6"/>
              <w:left w:val="nil"/>
              <w:bottom w:val="single" w:sz="4" w:space="0" w:color="A6A6A6"/>
              <w:right w:val="single" w:sz="4" w:space="0" w:color="A6A6A6"/>
            </w:tcBorders>
            <w:shd w:val="clear" w:color="auto" w:fill="auto"/>
            <w:vAlign w:val="center"/>
            <w:hideMark/>
          </w:tcPr>
          <w:p w14:paraId="78BEAC2B"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Fortnightly</w:t>
            </w:r>
          </w:p>
        </w:tc>
        <w:tc>
          <w:tcPr>
            <w:tcW w:w="1134" w:type="dxa"/>
            <w:tcBorders>
              <w:top w:val="nil"/>
              <w:left w:val="nil"/>
              <w:bottom w:val="single" w:sz="4" w:space="0" w:color="A6A6A6"/>
              <w:right w:val="single" w:sz="4" w:space="0" w:color="A6A6A6"/>
            </w:tcBorders>
            <w:shd w:val="clear" w:color="000000" w:fill="F2F2F2"/>
            <w:noWrap/>
            <w:vAlign w:val="bottom"/>
            <w:hideMark/>
          </w:tcPr>
          <w:p w14:paraId="45DFE92E"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12.34%</w:t>
            </w:r>
          </w:p>
        </w:tc>
        <w:tc>
          <w:tcPr>
            <w:tcW w:w="1134" w:type="dxa"/>
            <w:tcBorders>
              <w:top w:val="nil"/>
              <w:left w:val="nil"/>
              <w:bottom w:val="single" w:sz="4" w:space="0" w:color="A6A6A6"/>
              <w:right w:val="single" w:sz="4" w:space="0" w:color="A6A6A6"/>
            </w:tcBorders>
            <w:shd w:val="clear" w:color="000000" w:fill="F2F2F2"/>
            <w:noWrap/>
            <w:vAlign w:val="bottom"/>
            <w:hideMark/>
          </w:tcPr>
          <w:p w14:paraId="3A01516B"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38</w:t>
            </w:r>
          </w:p>
        </w:tc>
      </w:tr>
      <w:tr w:rsidR="00D301A3" w:rsidRPr="001C43D2" w14:paraId="317BABA3"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300DB60B"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4</w:t>
            </w:r>
          </w:p>
        </w:tc>
        <w:tc>
          <w:tcPr>
            <w:tcW w:w="5839" w:type="dxa"/>
            <w:gridSpan w:val="3"/>
            <w:tcBorders>
              <w:top w:val="single" w:sz="4" w:space="0" w:color="A6A6A6"/>
              <w:left w:val="nil"/>
              <w:bottom w:val="single" w:sz="4" w:space="0" w:color="A6A6A6"/>
              <w:right w:val="single" w:sz="4" w:space="0" w:color="A6A6A6"/>
            </w:tcBorders>
            <w:shd w:val="clear" w:color="auto" w:fill="auto"/>
            <w:vAlign w:val="center"/>
            <w:hideMark/>
          </w:tcPr>
          <w:p w14:paraId="190D844A"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Monthly</w:t>
            </w:r>
          </w:p>
        </w:tc>
        <w:tc>
          <w:tcPr>
            <w:tcW w:w="1134" w:type="dxa"/>
            <w:tcBorders>
              <w:top w:val="nil"/>
              <w:left w:val="nil"/>
              <w:bottom w:val="single" w:sz="4" w:space="0" w:color="A6A6A6"/>
              <w:right w:val="single" w:sz="4" w:space="0" w:color="A6A6A6"/>
            </w:tcBorders>
            <w:shd w:val="clear" w:color="000000" w:fill="F2F2F2"/>
            <w:noWrap/>
            <w:vAlign w:val="bottom"/>
            <w:hideMark/>
          </w:tcPr>
          <w:p w14:paraId="3698B884"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62.99%</w:t>
            </w:r>
          </w:p>
        </w:tc>
        <w:tc>
          <w:tcPr>
            <w:tcW w:w="1134" w:type="dxa"/>
            <w:tcBorders>
              <w:top w:val="nil"/>
              <w:left w:val="nil"/>
              <w:bottom w:val="single" w:sz="4" w:space="0" w:color="A6A6A6"/>
              <w:right w:val="single" w:sz="4" w:space="0" w:color="A6A6A6"/>
            </w:tcBorders>
            <w:shd w:val="clear" w:color="000000" w:fill="F2F2F2"/>
            <w:noWrap/>
            <w:vAlign w:val="bottom"/>
            <w:hideMark/>
          </w:tcPr>
          <w:p w14:paraId="1BEB6B2F"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194</w:t>
            </w:r>
          </w:p>
        </w:tc>
      </w:tr>
      <w:tr w:rsidR="00D301A3" w:rsidRPr="001C43D2" w14:paraId="70B5E8D7"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70746394"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5</w:t>
            </w:r>
          </w:p>
        </w:tc>
        <w:tc>
          <w:tcPr>
            <w:tcW w:w="5839" w:type="dxa"/>
            <w:gridSpan w:val="3"/>
            <w:tcBorders>
              <w:top w:val="single" w:sz="4" w:space="0" w:color="A6A6A6"/>
              <w:left w:val="nil"/>
              <w:bottom w:val="single" w:sz="4" w:space="0" w:color="A6A6A6"/>
              <w:right w:val="single" w:sz="4" w:space="0" w:color="A6A6A6"/>
            </w:tcBorders>
            <w:shd w:val="clear" w:color="auto" w:fill="auto"/>
            <w:vAlign w:val="center"/>
            <w:hideMark/>
          </w:tcPr>
          <w:p w14:paraId="3C1D1D07"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Quarterly</w:t>
            </w:r>
          </w:p>
        </w:tc>
        <w:tc>
          <w:tcPr>
            <w:tcW w:w="1134" w:type="dxa"/>
            <w:tcBorders>
              <w:top w:val="nil"/>
              <w:left w:val="nil"/>
              <w:bottom w:val="single" w:sz="4" w:space="0" w:color="A6A6A6"/>
              <w:right w:val="single" w:sz="4" w:space="0" w:color="A6A6A6"/>
            </w:tcBorders>
            <w:shd w:val="clear" w:color="000000" w:fill="F2F2F2"/>
            <w:noWrap/>
            <w:vAlign w:val="bottom"/>
            <w:hideMark/>
          </w:tcPr>
          <w:p w14:paraId="43EF5D8D"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9.74%</w:t>
            </w:r>
          </w:p>
        </w:tc>
        <w:tc>
          <w:tcPr>
            <w:tcW w:w="1134" w:type="dxa"/>
            <w:tcBorders>
              <w:top w:val="nil"/>
              <w:left w:val="nil"/>
              <w:bottom w:val="single" w:sz="4" w:space="0" w:color="A6A6A6"/>
              <w:right w:val="single" w:sz="4" w:space="0" w:color="A6A6A6"/>
            </w:tcBorders>
            <w:shd w:val="clear" w:color="000000" w:fill="F2F2F2"/>
            <w:noWrap/>
            <w:vAlign w:val="bottom"/>
            <w:hideMark/>
          </w:tcPr>
          <w:p w14:paraId="50E4B30D"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30</w:t>
            </w:r>
          </w:p>
        </w:tc>
      </w:tr>
      <w:tr w:rsidR="00D301A3" w:rsidRPr="001C43D2" w14:paraId="70F96B26" w14:textId="77777777" w:rsidTr="00AA572E">
        <w:trPr>
          <w:trHeight w:val="30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0DB26842"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6</w:t>
            </w:r>
          </w:p>
        </w:tc>
        <w:tc>
          <w:tcPr>
            <w:tcW w:w="5839" w:type="dxa"/>
            <w:gridSpan w:val="3"/>
            <w:tcBorders>
              <w:top w:val="single" w:sz="4" w:space="0" w:color="A6A6A6"/>
              <w:left w:val="nil"/>
              <w:bottom w:val="single" w:sz="4" w:space="0" w:color="A6A6A6"/>
              <w:right w:val="single" w:sz="4" w:space="0" w:color="A6A6A6"/>
            </w:tcBorders>
            <w:shd w:val="clear" w:color="auto" w:fill="auto"/>
            <w:vAlign w:val="center"/>
            <w:hideMark/>
          </w:tcPr>
          <w:p w14:paraId="1056720A"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I don’t use a pharmacy</w:t>
            </w:r>
          </w:p>
        </w:tc>
        <w:tc>
          <w:tcPr>
            <w:tcW w:w="1134" w:type="dxa"/>
            <w:tcBorders>
              <w:top w:val="nil"/>
              <w:left w:val="nil"/>
              <w:bottom w:val="single" w:sz="4" w:space="0" w:color="A6A6A6"/>
              <w:right w:val="single" w:sz="4" w:space="0" w:color="A6A6A6"/>
            </w:tcBorders>
            <w:shd w:val="clear" w:color="000000" w:fill="F2F2F2"/>
            <w:noWrap/>
            <w:vAlign w:val="bottom"/>
            <w:hideMark/>
          </w:tcPr>
          <w:p w14:paraId="5F6196BD"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0.00%</w:t>
            </w:r>
          </w:p>
        </w:tc>
        <w:tc>
          <w:tcPr>
            <w:tcW w:w="1134" w:type="dxa"/>
            <w:tcBorders>
              <w:top w:val="nil"/>
              <w:left w:val="nil"/>
              <w:bottom w:val="single" w:sz="4" w:space="0" w:color="A6A6A6"/>
              <w:right w:val="single" w:sz="4" w:space="0" w:color="A6A6A6"/>
            </w:tcBorders>
            <w:shd w:val="clear" w:color="000000" w:fill="F2F2F2"/>
            <w:noWrap/>
            <w:vAlign w:val="bottom"/>
            <w:hideMark/>
          </w:tcPr>
          <w:p w14:paraId="3DE0B7D6"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0</w:t>
            </w:r>
          </w:p>
        </w:tc>
      </w:tr>
      <w:tr w:rsidR="00D301A3" w:rsidRPr="001C43D2" w14:paraId="6D859A70"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2B908BEA"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7</w:t>
            </w:r>
          </w:p>
        </w:tc>
        <w:tc>
          <w:tcPr>
            <w:tcW w:w="5839" w:type="dxa"/>
            <w:gridSpan w:val="3"/>
            <w:tcBorders>
              <w:top w:val="single" w:sz="4" w:space="0" w:color="A6A6A6"/>
              <w:left w:val="nil"/>
              <w:bottom w:val="single" w:sz="4" w:space="0" w:color="A6A6A6"/>
              <w:right w:val="single" w:sz="4" w:space="0" w:color="A6A6A6"/>
            </w:tcBorders>
            <w:shd w:val="clear" w:color="auto" w:fill="auto"/>
            <w:vAlign w:val="center"/>
            <w:hideMark/>
          </w:tcPr>
          <w:p w14:paraId="63545444"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Other</w:t>
            </w:r>
          </w:p>
        </w:tc>
        <w:tc>
          <w:tcPr>
            <w:tcW w:w="1134" w:type="dxa"/>
            <w:tcBorders>
              <w:top w:val="nil"/>
              <w:left w:val="nil"/>
              <w:bottom w:val="single" w:sz="4" w:space="0" w:color="A6A6A6"/>
              <w:right w:val="single" w:sz="4" w:space="0" w:color="A6A6A6"/>
            </w:tcBorders>
            <w:shd w:val="clear" w:color="000000" w:fill="F2F2F2"/>
            <w:noWrap/>
            <w:vAlign w:val="bottom"/>
            <w:hideMark/>
          </w:tcPr>
          <w:p w14:paraId="3531A0C0"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7.47%</w:t>
            </w:r>
          </w:p>
        </w:tc>
        <w:tc>
          <w:tcPr>
            <w:tcW w:w="1134" w:type="dxa"/>
            <w:tcBorders>
              <w:top w:val="nil"/>
              <w:left w:val="nil"/>
              <w:bottom w:val="single" w:sz="4" w:space="0" w:color="A6A6A6"/>
              <w:right w:val="single" w:sz="4" w:space="0" w:color="A6A6A6"/>
            </w:tcBorders>
            <w:shd w:val="clear" w:color="000000" w:fill="F2F2F2"/>
            <w:noWrap/>
            <w:vAlign w:val="bottom"/>
            <w:hideMark/>
          </w:tcPr>
          <w:p w14:paraId="4BF0BCBE"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23</w:t>
            </w:r>
          </w:p>
        </w:tc>
      </w:tr>
      <w:tr w:rsidR="00D301A3" w:rsidRPr="001C43D2" w14:paraId="4DAB3853" w14:textId="77777777" w:rsidTr="00AA572E">
        <w:trPr>
          <w:trHeight w:val="290"/>
        </w:trPr>
        <w:tc>
          <w:tcPr>
            <w:tcW w:w="5665" w:type="dxa"/>
            <w:gridSpan w:val="3"/>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3982BD97" w14:textId="77777777" w:rsidR="00D301A3" w:rsidRPr="001C43D2" w:rsidRDefault="00D301A3" w:rsidP="00DC54F7">
            <w:pPr>
              <w:spacing w:after="0" w:line="240" w:lineRule="auto"/>
              <w:jc w:val="both"/>
              <w:rPr>
                <w:rFonts w:ascii="Arial" w:eastAsia="Times New Roman" w:hAnsi="Arial" w:cs="Arial"/>
                <w:b/>
                <w:bCs/>
                <w:color w:val="000000"/>
                <w:lang w:eastAsia="en-GB"/>
              </w:rPr>
            </w:pPr>
            <w:r w:rsidRPr="001C43D2">
              <w:rPr>
                <w:rFonts w:ascii="Arial" w:eastAsia="Times New Roman" w:hAnsi="Arial" w:cs="Arial"/>
                <w:b/>
                <w:bCs/>
                <w:color w:val="000000"/>
                <w:lang w:eastAsia="en-GB"/>
              </w:rPr>
              <w:t> </w:t>
            </w:r>
          </w:p>
        </w:tc>
        <w:tc>
          <w:tcPr>
            <w:tcW w:w="1134" w:type="dxa"/>
            <w:tcBorders>
              <w:top w:val="nil"/>
              <w:left w:val="nil"/>
              <w:bottom w:val="single" w:sz="4" w:space="0" w:color="A6A6A6"/>
              <w:right w:val="single" w:sz="4" w:space="0" w:color="A6A6A6"/>
            </w:tcBorders>
            <w:shd w:val="clear" w:color="000000" w:fill="F2F2F2"/>
            <w:vAlign w:val="center"/>
            <w:hideMark/>
          </w:tcPr>
          <w:p w14:paraId="67B009EB" w14:textId="77777777" w:rsidR="00D301A3" w:rsidRPr="001C43D2" w:rsidRDefault="00D301A3" w:rsidP="00DC54F7">
            <w:pPr>
              <w:spacing w:after="0" w:line="240" w:lineRule="auto"/>
              <w:jc w:val="both"/>
              <w:rPr>
                <w:rFonts w:ascii="Arial" w:eastAsia="Times New Roman" w:hAnsi="Arial" w:cs="Arial"/>
                <w:b/>
                <w:bCs/>
                <w:color w:val="000000"/>
                <w:sz w:val="18"/>
                <w:szCs w:val="18"/>
                <w:lang w:eastAsia="en-GB"/>
              </w:rPr>
            </w:pPr>
            <w:r w:rsidRPr="001C43D2">
              <w:rPr>
                <w:rFonts w:ascii="Arial" w:eastAsia="Times New Roman" w:hAnsi="Arial" w:cs="Arial"/>
                <w:b/>
                <w:bCs/>
                <w:color w:val="000000"/>
                <w:sz w:val="18"/>
                <w:szCs w:val="18"/>
                <w:lang w:eastAsia="en-GB"/>
              </w:rPr>
              <w:t xml:space="preserve">Total </w:t>
            </w:r>
          </w:p>
        </w:tc>
        <w:tc>
          <w:tcPr>
            <w:tcW w:w="1134" w:type="dxa"/>
            <w:tcBorders>
              <w:top w:val="nil"/>
              <w:left w:val="nil"/>
              <w:bottom w:val="single" w:sz="4" w:space="0" w:color="A6A6A6"/>
              <w:right w:val="single" w:sz="4" w:space="0" w:color="A6A6A6"/>
            </w:tcBorders>
            <w:shd w:val="clear" w:color="000000" w:fill="F2F2F2"/>
            <w:noWrap/>
            <w:vAlign w:val="bottom"/>
            <w:hideMark/>
          </w:tcPr>
          <w:p w14:paraId="677961D2"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100.00%</w:t>
            </w:r>
          </w:p>
        </w:tc>
        <w:tc>
          <w:tcPr>
            <w:tcW w:w="1134" w:type="dxa"/>
            <w:tcBorders>
              <w:top w:val="nil"/>
              <w:left w:val="nil"/>
              <w:bottom w:val="single" w:sz="4" w:space="0" w:color="A6A6A6"/>
              <w:right w:val="single" w:sz="4" w:space="0" w:color="A6A6A6"/>
            </w:tcBorders>
            <w:shd w:val="clear" w:color="000000" w:fill="F2F2F2"/>
            <w:noWrap/>
            <w:vAlign w:val="bottom"/>
            <w:hideMark/>
          </w:tcPr>
          <w:p w14:paraId="36AAB33F"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308</w:t>
            </w:r>
          </w:p>
        </w:tc>
      </w:tr>
      <w:tr w:rsidR="00D301A3" w:rsidRPr="001C43D2" w14:paraId="7BFC9CEA" w14:textId="77777777" w:rsidTr="00AA572E">
        <w:trPr>
          <w:trHeight w:val="290"/>
        </w:trPr>
        <w:tc>
          <w:tcPr>
            <w:tcW w:w="5665" w:type="dxa"/>
            <w:gridSpan w:val="3"/>
            <w:vMerge/>
            <w:tcBorders>
              <w:top w:val="single" w:sz="4" w:space="0" w:color="A6A6A6"/>
              <w:left w:val="single" w:sz="4" w:space="0" w:color="A6A6A6"/>
              <w:bottom w:val="single" w:sz="4" w:space="0" w:color="A6A6A6"/>
              <w:right w:val="single" w:sz="4" w:space="0" w:color="A6A6A6"/>
            </w:tcBorders>
            <w:vAlign w:val="center"/>
            <w:hideMark/>
          </w:tcPr>
          <w:p w14:paraId="3C9CAA16" w14:textId="77777777" w:rsidR="00D301A3" w:rsidRPr="001C43D2" w:rsidRDefault="00D301A3" w:rsidP="00DC54F7">
            <w:pPr>
              <w:spacing w:after="0" w:line="240" w:lineRule="auto"/>
              <w:jc w:val="both"/>
              <w:rPr>
                <w:rFonts w:ascii="Arial" w:eastAsia="Times New Roman" w:hAnsi="Arial" w:cs="Arial"/>
                <w:b/>
                <w:bCs/>
                <w:color w:val="000000"/>
                <w:lang w:eastAsia="en-GB"/>
              </w:rPr>
            </w:pPr>
          </w:p>
        </w:tc>
        <w:tc>
          <w:tcPr>
            <w:tcW w:w="1134" w:type="dxa"/>
            <w:tcBorders>
              <w:top w:val="nil"/>
              <w:left w:val="nil"/>
              <w:bottom w:val="single" w:sz="4" w:space="0" w:color="A6A6A6"/>
              <w:right w:val="single" w:sz="4" w:space="0" w:color="A6A6A6"/>
            </w:tcBorders>
            <w:shd w:val="clear" w:color="000000" w:fill="F2F2F2"/>
            <w:vAlign w:val="center"/>
            <w:hideMark/>
          </w:tcPr>
          <w:p w14:paraId="6135D0FA" w14:textId="77777777" w:rsidR="00D301A3" w:rsidRPr="001C43D2" w:rsidRDefault="00D301A3" w:rsidP="00DC54F7">
            <w:pPr>
              <w:spacing w:after="0" w:line="240" w:lineRule="auto"/>
              <w:jc w:val="both"/>
              <w:rPr>
                <w:rFonts w:ascii="Arial" w:eastAsia="Times New Roman" w:hAnsi="Arial" w:cs="Arial"/>
                <w:b/>
                <w:bCs/>
                <w:color w:val="000000"/>
                <w:sz w:val="18"/>
                <w:szCs w:val="18"/>
                <w:lang w:eastAsia="en-GB"/>
              </w:rPr>
            </w:pPr>
            <w:r w:rsidRPr="001C43D2">
              <w:rPr>
                <w:rFonts w:ascii="Arial" w:eastAsia="Times New Roman" w:hAnsi="Arial" w:cs="Arial"/>
                <w:b/>
                <w:bCs/>
                <w:color w:val="000000"/>
                <w:sz w:val="18"/>
                <w:szCs w:val="18"/>
                <w:lang w:eastAsia="en-GB"/>
              </w:rPr>
              <w:t>Skipped</w:t>
            </w:r>
          </w:p>
        </w:tc>
        <w:tc>
          <w:tcPr>
            <w:tcW w:w="1134" w:type="dxa"/>
            <w:tcBorders>
              <w:top w:val="nil"/>
              <w:left w:val="nil"/>
              <w:bottom w:val="single" w:sz="4" w:space="0" w:color="A6A6A6"/>
              <w:right w:val="single" w:sz="4" w:space="0" w:color="A6A6A6"/>
            </w:tcBorders>
            <w:shd w:val="clear" w:color="000000" w:fill="F2F2F2"/>
            <w:noWrap/>
            <w:vAlign w:val="bottom"/>
            <w:hideMark/>
          </w:tcPr>
          <w:p w14:paraId="689EEF7E"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 </w:t>
            </w:r>
          </w:p>
        </w:tc>
        <w:tc>
          <w:tcPr>
            <w:tcW w:w="1134" w:type="dxa"/>
            <w:tcBorders>
              <w:top w:val="nil"/>
              <w:left w:val="nil"/>
              <w:bottom w:val="single" w:sz="4" w:space="0" w:color="A6A6A6"/>
              <w:right w:val="single" w:sz="4" w:space="0" w:color="A6A6A6"/>
            </w:tcBorders>
            <w:shd w:val="clear" w:color="000000" w:fill="F2F2F2"/>
            <w:noWrap/>
            <w:vAlign w:val="bottom"/>
            <w:hideMark/>
          </w:tcPr>
          <w:p w14:paraId="3456AB76"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3</w:t>
            </w:r>
          </w:p>
        </w:tc>
      </w:tr>
    </w:tbl>
    <w:p w14:paraId="251CAF0D" w14:textId="77777777" w:rsidR="00D301A3" w:rsidRDefault="00D301A3" w:rsidP="00DC54F7">
      <w:pPr>
        <w:jc w:val="both"/>
      </w:pPr>
    </w:p>
    <w:p w14:paraId="58744AE1" w14:textId="77777777" w:rsidR="00D301A3" w:rsidRDefault="00D301A3" w:rsidP="00DC54F7">
      <w:pPr>
        <w:spacing w:after="0"/>
        <w:jc w:val="both"/>
      </w:pPr>
      <w:r w:rsidRPr="005968F8">
        <w:rPr>
          <w:rFonts w:ascii="Arial" w:hAnsi="Arial" w:cs="Arial"/>
          <w:b/>
          <w:bCs/>
        </w:rPr>
        <w:t>Total of twenty</w:t>
      </w:r>
      <w:r>
        <w:rPr>
          <w:rFonts w:ascii="Arial" w:hAnsi="Arial" w:cs="Arial"/>
          <w:b/>
          <w:bCs/>
        </w:rPr>
        <w:t xml:space="preserve"> three</w:t>
      </w:r>
      <w:r w:rsidRPr="005968F8">
        <w:rPr>
          <w:rFonts w:ascii="Arial" w:hAnsi="Arial" w:cs="Arial"/>
          <w:b/>
          <w:bCs/>
        </w:rPr>
        <w:t xml:space="preserve"> comments </w:t>
      </w:r>
      <w:r>
        <w:rPr>
          <w:rFonts w:ascii="Arial" w:hAnsi="Arial" w:cs="Arial"/>
          <w:b/>
          <w:bCs/>
        </w:rPr>
        <w:t xml:space="preserve">were </w:t>
      </w:r>
      <w:r w:rsidRPr="005968F8">
        <w:rPr>
          <w:rFonts w:ascii="Arial" w:hAnsi="Arial" w:cs="Arial"/>
          <w:b/>
          <w:bCs/>
        </w:rPr>
        <w:t>received</w:t>
      </w:r>
      <w:r>
        <w:t>:</w:t>
      </w:r>
    </w:p>
    <w:p w14:paraId="00698CAF"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Every two mo</w:t>
      </w:r>
      <w:r>
        <w:rPr>
          <w:rFonts w:ascii="Arial" w:hAnsi="Arial" w:cs="Arial"/>
        </w:rPr>
        <w:t>n</w:t>
      </w:r>
      <w:r w:rsidRPr="005968F8">
        <w:rPr>
          <w:rFonts w:ascii="Arial" w:hAnsi="Arial" w:cs="Arial"/>
        </w:rPr>
        <w:t>ths</w:t>
      </w:r>
      <w:r>
        <w:rPr>
          <w:rFonts w:ascii="Arial" w:hAnsi="Arial" w:cs="Arial"/>
        </w:rPr>
        <w:t>.”</w:t>
      </w:r>
      <w:r w:rsidRPr="005968F8">
        <w:rPr>
          <w:rFonts w:ascii="Arial" w:hAnsi="Arial" w:cs="Arial"/>
        </w:rPr>
        <w:t xml:space="preserve"> </w:t>
      </w:r>
    </w:p>
    <w:p w14:paraId="6C46BB1C"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Every two months</w:t>
      </w:r>
      <w:r>
        <w:rPr>
          <w:rFonts w:ascii="Arial" w:hAnsi="Arial" w:cs="Arial"/>
        </w:rPr>
        <w:t>.”</w:t>
      </w:r>
      <w:r w:rsidRPr="005968F8">
        <w:rPr>
          <w:rFonts w:ascii="Arial" w:hAnsi="Arial" w:cs="Arial"/>
        </w:rPr>
        <w:t xml:space="preserve"> </w:t>
      </w:r>
    </w:p>
    <w:p w14:paraId="70852173"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Rarely</w:t>
      </w:r>
      <w:r>
        <w:rPr>
          <w:rFonts w:ascii="Arial" w:hAnsi="Arial" w:cs="Arial"/>
        </w:rPr>
        <w:t>.”</w:t>
      </w:r>
    </w:p>
    <w:p w14:paraId="3E611FCE"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Bimonthly</w:t>
      </w:r>
      <w:r>
        <w:rPr>
          <w:rFonts w:ascii="Arial" w:hAnsi="Arial" w:cs="Arial"/>
        </w:rPr>
        <w:t>.”</w:t>
      </w:r>
    </w:p>
    <w:p w14:paraId="2F0DF263"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If needed</w:t>
      </w:r>
      <w:r>
        <w:rPr>
          <w:rFonts w:ascii="Arial" w:hAnsi="Arial" w:cs="Arial"/>
        </w:rPr>
        <w:t>.”</w:t>
      </w:r>
    </w:p>
    <w:p w14:paraId="45187D8E"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Every 2nd month</w:t>
      </w:r>
      <w:r>
        <w:rPr>
          <w:rFonts w:ascii="Arial" w:hAnsi="Arial" w:cs="Arial"/>
        </w:rPr>
        <w:t>.”</w:t>
      </w:r>
    </w:p>
    <w:p w14:paraId="57959643"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Shielding so someone collects my prescription monthly</w:t>
      </w:r>
      <w:r>
        <w:rPr>
          <w:rFonts w:ascii="Arial" w:hAnsi="Arial" w:cs="Arial"/>
        </w:rPr>
        <w:t>.”</w:t>
      </w:r>
    </w:p>
    <w:p w14:paraId="20B274D7"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Annually for flu jab &amp; as when needed</w:t>
      </w:r>
      <w:r>
        <w:rPr>
          <w:rFonts w:ascii="Arial" w:hAnsi="Arial" w:cs="Arial"/>
        </w:rPr>
        <w:t>.”</w:t>
      </w:r>
    </w:p>
    <w:p w14:paraId="7939102D"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Usually monthly but as often a seven times recently (last quarter) due to prescription items not being Avalon time</w:t>
      </w:r>
      <w:r>
        <w:rPr>
          <w:rFonts w:ascii="Arial" w:hAnsi="Arial" w:cs="Arial"/>
        </w:rPr>
        <w:t>.”</w:t>
      </w:r>
      <w:r w:rsidRPr="005968F8">
        <w:rPr>
          <w:rFonts w:ascii="Arial" w:hAnsi="Arial" w:cs="Arial"/>
        </w:rPr>
        <w:t xml:space="preserve"> </w:t>
      </w:r>
    </w:p>
    <w:p w14:paraId="1D2E97C5"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Bi monthly</w:t>
      </w:r>
      <w:r>
        <w:rPr>
          <w:rFonts w:ascii="Arial" w:hAnsi="Arial" w:cs="Arial"/>
        </w:rPr>
        <w:t>.”</w:t>
      </w:r>
    </w:p>
    <w:p w14:paraId="1F811924"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When needed</w:t>
      </w:r>
      <w:r>
        <w:rPr>
          <w:rFonts w:ascii="Arial" w:hAnsi="Arial" w:cs="Arial"/>
        </w:rPr>
        <w:t>.”</w:t>
      </w:r>
    </w:p>
    <w:p w14:paraId="36AE32E0"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When I need to</w:t>
      </w:r>
      <w:r>
        <w:rPr>
          <w:rFonts w:ascii="Arial" w:hAnsi="Arial" w:cs="Arial"/>
        </w:rPr>
        <w:t>.”</w:t>
      </w:r>
    </w:p>
    <w:p w14:paraId="53E28913"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6 weeks</w:t>
      </w:r>
      <w:r>
        <w:rPr>
          <w:rFonts w:ascii="Arial" w:hAnsi="Arial" w:cs="Arial"/>
        </w:rPr>
        <w:t>.”</w:t>
      </w:r>
      <w:r w:rsidRPr="005968F8">
        <w:rPr>
          <w:rFonts w:ascii="Arial" w:hAnsi="Arial" w:cs="Arial"/>
        </w:rPr>
        <w:t xml:space="preserve"> </w:t>
      </w:r>
    </w:p>
    <w:p w14:paraId="34B1859B"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At least every 2 months</w:t>
      </w:r>
      <w:r>
        <w:rPr>
          <w:rFonts w:ascii="Arial" w:hAnsi="Arial" w:cs="Arial"/>
        </w:rPr>
        <w:t>.”</w:t>
      </w:r>
    </w:p>
    <w:p w14:paraId="195F4DC6"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Every 8 weeks</w:t>
      </w:r>
      <w:r>
        <w:rPr>
          <w:rFonts w:ascii="Arial" w:hAnsi="Arial" w:cs="Arial"/>
        </w:rPr>
        <w:t>.”</w:t>
      </w:r>
    </w:p>
    <w:p w14:paraId="78375CD3"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As and when - once a year</w:t>
      </w:r>
      <w:r>
        <w:rPr>
          <w:rFonts w:ascii="Arial" w:hAnsi="Arial" w:cs="Arial"/>
        </w:rPr>
        <w:t>.”</w:t>
      </w:r>
    </w:p>
    <w:p w14:paraId="7EF0F7D2"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Occasionally</w:t>
      </w:r>
      <w:r>
        <w:rPr>
          <w:rFonts w:ascii="Arial" w:hAnsi="Arial" w:cs="Arial"/>
        </w:rPr>
        <w:t>.”</w:t>
      </w:r>
    </w:p>
    <w:p w14:paraId="7D602627"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About once a year.</w:t>
      </w:r>
      <w:r>
        <w:rPr>
          <w:rFonts w:ascii="Arial" w:hAnsi="Arial" w:cs="Arial"/>
        </w:rPr>
        <w:t>”</w:t>
      </w:r>
    </w:p>
    <w:p w14:paraId="6CA4918A"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Occasionally</w:t>
      </w:r>
      <w:r>
        <w:rPr>
          <w:rFonts w:ascii="Arial" w:hAnsi="Arial" w:cs="Arial"/>
        </w:rPr>
        <w:t>.”</w:t>
      </w:r>
      <w:r w:rsidRPr="005968F8">
        <w:rPr>
          <w:rFonts w:ascii="Arial" w:hAnsi="Arial" w:cs="Arial"/>
        </w:rPr>
        <w:t xml:space="preserve"> </w:t>
      </w:r>
    </w:p>
    <w:p w14:paraId="00704037" w14:textId="77777777" w:rsidR="00D301A3" w:rsidRPr="005968F8" w:rsidRDefault="00D301A3" w:rsidP="00DC54F7">
      <w:pPr>
        <w:pStyle w:val="ListParagraph"/>
        <w:numPr>
          <w:ilvl w:val="0"/>
          <w:numId w:val="166"/>
        </w:numPr>
        <w:spacing w:after="0" w:line="240" w:lineRule="auto"/>
        <w:jc w:val="both"/>
        <w:rPr>
          <w:rFonts w:ascii="Arial" w:hAnsi="Arial" w:cs="Arial"/>
        </w:rPr>
      </w:pPr>
      <w:r>
        <w:rPr>
          <w:rFonts w:ascii="Arial" w:hAnsi="Arial" w:cs="Arial"/>
        </w:rPr>
        <w:t>“B</w:t>
      </w:r>
      <w:r w:rsidRPr="005968F8">
        <w:rPr>
          <w:rFonts w:ascii="Arial" w:hAnsi="Arial" w:cs="Arial"/>
        </w:rPr>
        <w:t>i-monthly</w:t>
      </w:r>
      <w:r>
        <w:rPr>
          <w:rFonts w:ascii="Arial" w:hAnsi="Arial" w:cs="Arial"/>
        </w:rPr>
        <w:t>.”</w:t>
      </w:r>
    </w:p>
    <w:p w14:paraId="6D5C32CD" w14:textId="77777777" w:rsidR="00D301A3" w:rsidRDefault="00D301A3" w:rsidP="00DC54F7">
      <w:pPr>
        <w:pStyle w:val="ListParagraph"/>
        <w:numPr>
          <w:ilvl w:val="0"/>
          <w:numId w:val="166"/>
        </w:numPr>
        <w:spacing w:after="0" w:line="240" w:lineRule="auto"/>
        <w:jc w:val="both"/>
        <w:rPr>
          <w:rFonts w:ascii="Arial" w:hAnsi="Arial" w:cs="Arial"/>
        </w:rPr>
      </w:pPr>
      <w:r>
        <w:rPr>
          <w:rFonts w:ascii="Arial" w:hAnsi="Arial" w:cs="Arial"/>
        </w:rPr>
        <w:t>“</w:t>
      </w:r>
      <w:r w:rsidRPr="005968F8">
        <w:rPr>
          <w:rFonts w:ascii="Arial" w:hAnsi="Arial" w:cs="Arial"/>
        </w:rPr>
        <w:t>Every 2months</w:t>
      </w:r>
      <w:r>
        <w:rPr>
          <w:rFonts w:ascii="Arial" w:hAnsi="Arial" w:cs="Arial"/>
        </w:rPr>
        <w:t>.”</w:t>
      </w:r>
    </w:p>
    <w:p w14:paraId="0515E4DA" w14:textId="77777777" w:rsidR="00D301A3" w:rsidRPr="00C342E1" w:rsidRDefault="00D301A3" w:rsidP="00DC54F7">
      <w:pPr>
        <w:pStyle w:val="ListParagraph"/>
        <w:numPr>
          <w:ilvl w:val="0"/>
          <w:numId w:val="166"/>
        </w:numPr>
        <w:spacing w:after="0" w:line="240" w:lineRule="auto"/>
        <w:jc w:val="both"/>
        <w:rPr>
          <w:rFonts w:ascii="Arial" w:hAnsi="Arial" w:cs="Arial"/>
        </w:rPr>
      </w:pPr>
      <w:r w:rsidRPr="00C342E1">
        <w:rPr>
          <w:rFonts w:ascii="Arial" w:eastAsia="Times New Roman" w:hAnsi="Arial" w:cs="Arial"/>
        </w:rPr>
        <w:t>“Varies depending on circumstances.”</w:t>
      </w:r>
    </w:p>
    <w:p w14:paraId="33F9404F" w14:textId="77777777" w:rsidR="00D301A3" w:rsidRPr="00C342E1" w:rsidRDefault="00D301A3" w:rsidP="00DC54F7">
      <w:pPr>
        <w:pStyle w:val="ListParagraph"/>
        <w:numPr>
          <w:ilvl w:val="0"/>
          <w:numId w:val="166"/>
        </w:numPr>
        <w:spacing w:after="0" w:line="240" w:lineRule="auto"/>
        <w:jc w:val="both"/>
        <w:rPr>
          <w:rFonts w:ascii="Arial" w:hAnsi="Arial" w:cs="Arial"/>
        </w:rPr>
      </w:pPr>
      <w:r w:rsidRPr="00C342E1">
        <w:rPr>
          <w:rFonts w:ascii="Arial" w:eastAsia="Times New Roman" w:hAnsi="Arial" w:cs="Arial"/>
        </w:rPr>
        <w:t>“When necessary, depending on levels of illness.  I’m healthy therefore I don’t attend regularly.”</w:t>
      </w:r>
    </w:p>
    <w:p w14:paraId="7C24EA9E" w14:textId="77777777" w:rsidR="00D301A3" w:rsidRPr="00731268" w:rsidRDefault="00D301A3" w:rsidP="00DC54F7">
      <w:pPr>
        <w:spacing w:after="0" w:line="240" w:lineRule="auto"/>
        <w:jc w:val="both"/>
        <w:rPr>
          <w:rFonts w:ascii="Arial" w:hAnsi="Arial" w:cs="Arial"/>
        </w:rPr>
      </w:pPr>
    </w:p>
    <w:p w14:paraId="2F499A06" w14:textId="77777777" w:rsidR="00D301A3" w:rsidRDefault="00D301A3" w:rsidP="00DC54F7">
      <w:pPr>
        <w:spacing w:after="0" w:line="240" w:lineRule="auto"/>
        <w:jc w:val="both"/>
        <w:rPr>
          <w:rFonts w:ascii="Arial" w:hAnsi="Arial" w:cs="Arial"/>
        </w:rPr>
      </w:pPr>
    </w:p>
    <w:p w14:paraId="35A69DF0" w14:textId="77777777" w:rsidR="00D301A3" w:rsidRDefault="00D301A3" w:rsidP="00DC54F7">
      <w:pPr>
        <w:spacing w:after="0" w:line="240" w:lineRule="auto"/>
        <w:jc w:val="both"/>
        <w:rPr>
          <w:rFonts w:ascii="Arial" w:eastAsia="Times New Roman" w:hAnsi="Arial" w:cs="Arial"/>
          <w:b/>
          <w:bCs/>
          <w:color w:val="333333"/>
          <w:lang w:eastAsia="en-GB"/>
        </w:rPr>
      </w:pPr>
    </w:p>
    <w:p w14:paraId="5405DE26" w14:textId="77777777" w:rsidR="00D301A3" w:rsidRDefault="00D301A3" w:rsidP="00DC54F7">
      <w:pPr>
        <w:spacing w:after="0" w:line="240" w:lineRule="auto"/>
        <w:jc w:val="both"/>
        <w:rPr>
          <w:rFonts w:ascii="Arial" w:eastAsia="Times New Roman" w:hAnsi="Arial" w:cs="Arial"/>
          <w:b/>
          <w:bCs/>
          <w:color w:val="333333"/>
          <w:lang w:eastAsia="en-GB"/>
        </w:rPr>
      </w:pPr>
    </w:p>
    <w:p w14:paraId="0028291B" w14:textId="77777777" w:rsidR="00D301A3" w:rsidRDefault="00D301A3" w:rsidP="00DC54F7">
      <w:pPr>
        <w:spacing w:after="0" w:line="240" w:lineRule="auto"/>
        <w:jc w:val="both"/>
        <w:rPr>
          <w:rFonts w:ascii="Arial" w:eastAsia="Times New Roman" w:hAnsi="Arial" w:cs="Arial"/>
          <w:b/>
          <w:bCs/>
          <w:color w:val="333333"/>
          <w:lang w:eastAsia="en-GB"/>
        </w:rPr>
      </w:pPr>
    </w:p>
    <w:p w14:paraId="1FBDA75C" w14:textId="77777777" w:rsidR="00D301A3" w:rsidRDefault="00D301A3" w:rsidP="00DC54F7">
      <w:pPr>
        <w:spacing w:after="0" w:line="240" w:lineRule="auto"/>
        <w:jc w:val="both"/>
        <w:rPr>
          <w:rFonts w:ascii="Arial" w:eastAsia="Times New Roman" w:hAnsi="Arial" w:cs="Arial"/>
          <w:b/>
          <w:bCs/>
          <w:color w:val="333333"/>
          <w:lang w:eastAsia="en-GB"/>
        </w:rPr>
      </w:pPr>
    </w:p>
    <w:p w14:paraId="49CA30E4" w14:textId="77777777" w:rsidR="00D301A3" w:rsidRDefault="00D301A3" w:rsidP="00DC54F7">
      <w:pPr>
        <w:spacing w:after="0" w:line="240" w:lineRule="auto"/>
        <w:jc w:val="both"/>
        <w:rPr>
          <w:rFonts w:ascii="Arial" w:eastAsia="Times New Roman" w:hAnsi="Arial" w:cs="Arial"/>
          <w:b/>
          <w:bCs/>
          <w:color w:val="333333"/>
          <w:lang w:eastAsia="en-GB"/>
        </w:rPr>
      </w:pPr>
    </w:p>
    <w:p w14:paraId="7AC63881" w14:textId="77777777" w:rsidR="00D301A3" w:rsidRDefault="00D301A3" w:rsidP="00DC54F7">
      <w:pPr>
        <w:spacing w:after="0" w:line="240" w:lineRule="auto"/>
        <w:jc w:val="both"/>
        <w:rPr>
          <w:rFonts w:ascii="Arial" w:eastAsia="Times New Roman" w:hAnsi="Arial" w:cs="Arial"/>
          <w:b/>
          <w:bCs/>
          <w:color w:val="333333"/>
          <w:lang w:eastAsia="en-GB"/>
        </w:rPr>
      </w:pPr>
    </w:p>
    <w:p w14:paraId="2172B682" w14:textId="77777777" w:rsidR="00D301A3" w:rsidRDefault="00D301A3" w:rsidP="00DC54F7">
      <w:pPr>
        <w:spacing w:after="0" w:line="240" w:lineRule="auto"/>
        <w:jc w:val="both"/>
        <w:rPr>
          <w:rFonts w:ascii="Arial" w:eastAsia="Times New Roman" w:hAnsi="Arial" w:cs="Arial"/>
          <w:b/>
          <w:bCs/>
          <w:color w:val="333333"/>
          <w:lang w:eastAsia="en-GB"/>
        </w:rPr>
      </w:pPr>
      <w:r w:rsidRPr="001C43D2">
        <w:rPr>
          <w:rFonts w:ascii="Arial" w:eastAsia="Times New Roman" w:hAnsi="Arial" w:cs="Arial"/>
          <w:b/>
          <w:bCs/>
          <w:color w:val="333333"/>
          <w:lang w:eastAsia="en-GB"/>
        </w:rPr>
        <w:lastRenderedPageBreak/>
        <w:t xml:space="preserve">4. What time is the most convenient for you to use a pharmacy? Please tick one. </w:t>
      </w:r>
    </w:p>
    <w:p w14:paraId="48D066A1" w14:textId="77777777" w:rsidR="00D301A3" w:rsidRPr="00F33FE2" w:rsidRDefault="00D301A3" w:rsidP="00DC54F7">
      <w:pPr>
        <w:spacing w:after="0" w:line="240" w:lineRule="auto"/>
        <w:jc w:val="both"/>
        <w:rPr>
          <w:rFonts w:ascii="Arial" w:eastAsia="Times New Roman" w:hAnsi="Arial" w:cs="Arial"/>
          <w:b/>
          <w:bCs/>
          <w:color w:val="333333"/>
          <w:lang w:eastAsia="en-GB"/>
        </w:rPr>
      </w:pPr>
    </w:p>
    <w:tbl>
      <w:tblPr>
        <w:tblW w:w="9067" w:type="dxa"/>
        <w:tblLook w:val="04A0" w:firstRow="1" w:lastRow="0" w:firstColumn="1" w:lastColumn="0" w:noHBand="0" w:noVBand="1"/>
      </w:tblPr>
      <w:tblGrid>
        <w:gridCol w:w="960"/>
        <w:gridCol w:w="960"/>
        <w:gridCol w:w="3745"/>
        <w:gridCol w:w="1134"/>
        <w:gridCol w:w="1134"/>
        <w:gridCol w:w="1134"/>
      </w:tblGrid>
      <w:tr w:rsidR="00D301A3" w:rsidRPr="001C43D2" w14:paraId="2D58CB78" w14:textId="77777777" w:rsidTr="00AA572E">
        <w:trPr>
          <w:trHeight w:val="290"/>
        </w:trPr>
        <w:tc>
          <w:tcPr>
            <w:tcW w:w="960" w:type="dxa"/>
            <w:tcBorders>
              <w:top w:val="single" w:sz="4" w:space="0" w:color="A6A6A6"/>
              <w:left w:val="single" w:sz="4" w:space="0" w:color="A6A6A6"/>
              <w:bottom w:val="single" w:sz="4" w:space="0" w:color="A6A6A6"/>
              <w:right w:val="nil"/>
            </w:tcBorders>
            <w:shd w:val="clear" w:color="000000" w:fill="8497B0"/>
            <w:noWrap/>
            <w:vAlign w:val="center"/>
            <w:hideMark/>
          </w:tcPr>
          <w:p w14:paraId="7DFDFA50" w14:textId="77777777" w:rsidR="00D301A3" w:rsidRPr="001C43D2" w:rsidRDefault="00D301A3" w:rsidP="00DC54F7">
            <w:pPr>
              <w:spacing w:after="0" w:line="240" w:lineRule="auto"/>
              <w:jc w:val="both"/>
              <w:rPr>
                <w:rFonts w:ascii="Arial" w:eastAsia="Times New Roman" w:hAnsi="Arial" w:cs="Arial"/>
                <w:b/>
                <w:bCs/>
                <w:color w:val="FFFFFF"/>
                <w:sz w:val="21"/>
                <w:szCs w:val="21"/>
                <w:lang w:eastAsia="en-GB"/>
              </w:rPr>
            </w:pPr>
            <w:r w:rsidRPr="001C43D2">
              <w:rPr>
                <w:rFonts w:ascii="Arial" w:eastAsia="Times New Roman" w:hAnsi="Arial" w:cs="Arial"/>
                <w:b/>
                <w:bCs/>
                <w:color w:val="FFFFFF"/>
                <w:sz w:val="21"/>
                <w:szCs w:val="21"/>
                <w:lang w:eastAsia="en-GB"/>
              </w:rPr>
              <w:t> </w:t>
            </w:r>
          </w:p>
        </w:tc>
        <w:tc>
          <w:tcPr>
            <w:tcW w:w="960" w:type="dxa"/>
            <w:tcBorders>
              <w:top w:val="single" w:sz="4" w:space="0" w:color="A6A6A6"/>
              <w:left w:val="nil"/>
              <w:bottom w:val="single" w:sz="4" w:space="0" w:color="A6A6A6"/>
              <w:right w:val="nil"/>
            </w:tcBorders>
            <w:shd w:val="clear" w:color="000000" w:fill="8497B0"/>
            <w:noWrap/>
            <w:vAlign w:val="center"/>
            <w:hideMark/>
          </w:tcPr>
          <w:p w14:paraId="1378C860" w14:textId="77777777" w:rsidR="00D301A3" w:rsidRPr="001C43D2" w:rsidRDefault="00D301A3" w:rsidP="00DC54F7">
            <w:pPr>
              <w:spacing w:after="0" w:line="240" w:lineRule="auto"/>
              <w:jc w:val="both"/>
              <w:rPr>
                <w:rFonts w:ascii="Arial" w:eastAsia="Times New Roman" w:hAnsi="Arial" w:cs="Arial"/>
                <w:b/>
                <w:bCs/>
                <w:color w:val="FFFFFF"/>
                <w:sz w:val="21"/>
                <w:szCs w:val="21"/>
                <w:lang w:eastAsia="en-GB"/>
              </w:rPr>
            </w:pPr>
            <w:r w:rsidRPr="001C43D2">
              <w:rPr>
                <w:rFonts w:ascii="Arial" w:eastAsia="Times New Roman" w:hAnsi="Arial" w:cs="Arial"/>
                <w:b/>
                <w:bCs/>
                <w:color w:val="FFFFFF"/>
                <w:sz w:val="21"/>
                <w:szCs w:val="21"/>
                <w:lang w:eastAsia="en-GB"/>
              </w:rPr>
              <w:t> </w:t>
            </w:r>
          </w:p>
        </w:tc>
        <w:tc>
          <w:tcPr>
            <w:tcW w:w="3745" w:type="dxa"/>
            <w:tcBorders>
              <w:top w:val="single" w:sz="4" w:space="0" w:color="A6A6A6"/>
              <w:left w:val="nil"/>
              <w:bottom w:val="single" w:sz="4" w:space="0" w:color="A6A6A6"/>
              <w:right w:val="nil"/>
            </w:tcBorders>
            <w:shd w:val="clear" w:color="000000" w:fill="8497B0"/>
            <w:noWrap/>
            <w:vAlign w:val="center"/>
            <w:hideMark/>
          </w:tcPr>
          <w:p w14:paraId="1BABC15A" w14:textId="77777777" w:rsidR="00D301A3" w:rsidRPr="001C43D2" w:rsidRDefault="00D301A3" w:rsidP="00DC54F7">
            <w:pPr>
              <w:spacing w:after="0" w:line="240" w:lineRule="auto"/>
              <w:jc w:val="both"/>
              <w:rPr>
                <w:rFonts w:ascii="Arial" w:eastAsia="Times New Roman" w:hAnsi="Arial" w:cs="Arial"/>
                <w:b/>
                <w:bCs/>
                <w:color w:val="FFFFFF"/>
                <w:sz w:val="21"/>
                <w:szCs w:val="21"/>
                <w:lang w:eastAsia="en-GB"/>
              </w:rPr>
            </w:pPr>
            <w:r w:rsidRPr="001C43D2">
              <w:rPr>
                <w:rFonts w:ascii="Arial" w:eastAsia="Times New Roman" w:hAnsi="Arial" w:cs="Arial"/>
                <w:b/>
                <w:bCs/>
                <w:color w:val="FFFFFF"/>
                <w:sz w:val="21"/>
                <w:szCs w:val="21"/>
                <w:lang w:eastAsia="en-GB"/>
              </w:rPr>
              <w:t> </w:t>
            </w:r>
          </w:p>
        </w:tc>
        <w:tc>
          <w:tcPr>
            <w:tcW w:w="1134" w:type="dxa"/>
            <w:tcBorders>
              <w:top w:val="single" w:sz="4" w:space="0" w:color="A6A6A6"/>
              <w:left w:val="nil"/>
              <w:bottom w:val="single" w:sz="4" w:space="0" w:color="A6A6A6"/>
              <w:right w:val="nil"/>
            </w:tcBorders>
            <w:shd w:val="clear" w:color="000000" w:fill="8497B0"/>
            <w:noWrap/>
            <w:vAlign w:val="center"/>
            <w:hideMark/>
          </w:tcPr>
          <w:p w14:paraId="27254F32" w14:textId="77777777" w:rsidR="00D301A3" w:rsidRPr="001C43D2" w:rsidRDefault="00D301A3" w:rsidP="00DC54F7">
            <w:pPr>
              <w:spacing w:after="0" w:line="240" w:lineRule="auto"/>
              <w:jc w:val="both"/>
              <w:rPr>
                <w:rFonts w:ascii="Arial" w:eastAsia="Times New Roman" w:hAnsi="Arial" w:cs="Arial"/>
                <w:b/>
                <w:bCs/>
                <w:color w:val="FFFFFF"/>
                <w:sz w:val="21"/>
                <w:szCs w:val="21"/>
                <w:lang w:eastAsia="en-GB"/>
              </w:rPr>
            </w:pPr>
            <w:r w:rsidRPr="001C43D2">
              <w:rPr>
                <w:rFonts w:ascii="Arial" w:eastAsia="Times New Roman" w:hAnsi="Arial" w:cs="Arial"/>
                <w:b/>
                <w:bCs/>
                <w:color w:val="FFFFFF"/>
                <w:sz w:val="21"/>
                <w:szCs w:val="21"/>
                <w:lang w:eastAsia="en-GB"/>
              </w:rPr>
              <w:t> </w:t>
            </w:r>
          </w:p>
        </w:tc>
        <w:tc>
          <w:tcPr>
            <w:tcW w:w="2268" w:type="dxa"/>
            <w:gridSpan w:val="2"/>
            <w:tcBorders>
              <w:top w:val="single" w:sz="4" w:space="0" w:color="A6A6A6"/>
              <w:left w:val="nil"/>
              <w:bottom w:val="single" w:sz="4" w:space="0" w:color="A6A6A6"/>
              <w:right w:val="single" w:sz="4" w:space="0" w:color="A6A6A6"/>
            </w:tcBorders>
            <w:shd w:val="clear" w:color="000000" w:fill="8497B0"/>
            <w:noWrap/>
            <w:vAlign w:val="center"/>
            <w:hideMark/>
          </w:tcPr>
          <w:p w14:paraId="5D5BFF2A" w14:textId="77777777" w:rsidR="00D301A3" w:rsidRPr="001C43D2" w:rsidRDefault="00D301A3" w:rsidP="00DC54F7">
            <w:pPr>
              <w:spacing w:after="0" w:line="240" w:lineRule="auto"/>
              <w:jc w:val="both"/>
              <w:rPr>
                <w:rFonts w:ascii="Arial" w:eastAsia="Times New Roman" w:hAnsi="Arial" w:cs="Arial"/>
                <w:b/>
                <w:bCs/>
                <w:color w:val="FFFFFF"/>
                <w:sz w:val="21"/>
                <w:szCs w:val="21"/>
                <w:lang w:eastAsia="en-GB"/>
              </w:rPr>
            </w:pPr>
            <w:r w:rsidRPr="001C43D2">
              <w:rPr>
                <w:rFonts w:ascii="Arial" w:eastAsia="Times New Roman" w:hAnsi="Arial" w:cs="Arial"/>
                <w:b/>
                <w:bCs/>
                <w:color w:val="FFFFFF"/>
                <w:sz w:val="21"/>
                <w:szCs w:val="21"/>
                <w:lang w:eastAsia="en-GB"/>
              </w:rPr>
              <w:t>Response</w:t>
            </w:r>
          </w:p>
        </w:tc>
      </w:tr>
      <w:tr w:rsidR="00D301A3" w:rsidRPr="001C43D2" w14:paraId="703795B6" w14:textId="77777777" w:rsidTr="00AA572E">
        <w:trPr>
          <w:trHeight w:val="290"/>
        </w:trPr>
        <w:tc>
          <w:tcPr>
            <w:tcW w:w="6799" w:type="dxa"/>
            <w:gridSpan w:val="4"/>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428292EF" w14:textId="77777777" w:rsidR="00D301A3" w:rsidRPr="001C43D2" w:rsidRDefault="00D301A3" w:rsidP="00DC54F7">
            <w:pPr>
              <w:spacing w:after="0" w:line="240" w:lineRule="auto"/>
              <w:jc w:val="both"/>
              <w:rPr>
                <w:rFonts w:ascii="Arial" w:eastAsia="Times New Roman" w:hAnsi="Arial" w:cs="Arial"/>
                <w:b/>
                <w:bCs/>
                <w:color w:val="000000"/>
                <w:sz w:val="18"/>
                <w:szCs w:val="18"/>
                <w:lang w:eastAsia="en-GB"/>
              </w:rPr>
            </w:pPr>
            <w:r w:rsidRPr="001C43D2">
              <w:rPr>
                <w:rFonts w:ascii="Arial" w:eastAsia="Times New Roman" w:hAnsi="Arial" w:cs="Arial"/>
                <w:b/>
                <w:bCs/>
                <w:color w:val="000000"/>
                <w:sz w:val="18"/>
                <w:szCs w:val="18"/>
                <w:lang w:eastAsia="en-GB"/>
              </w:rPr>
              <w:t> </w:t>
            </w:r>
          </w:p>
        </w:tc>
        <w:tc>
          <w:tcPr>
            <w:tcW w:w="1134" w:type="dxa"/>
            <w:tcBorders>
              <w:top w:val="nil"/>
              <w:left w:val="nil"/>
              <w:bottom w:val="single" w:sz="4" w:space="0" w:color="A6A6A6"/>
              <w:right w:val="single" w:sz="4" w:space="0" w:color="A6A6A6"/>
            </w:tcBorders>
            <w:shd w:val="clear" w:color="000000" w:fill="F2F2F2"/>
            <w:noWrap/>
            <w:vAlign w:val="center"/>
            <w:hideMark/>
          </w:tcPr>
          <w:p w14:paraId="264BBA96" w14:textId="77777777" w:rsidR="00D301A3" w:rsidRPr="001C43D2" w:rsidRDefault="00D301A3" w:rsidP="00DC54F7">
            <w:pPr>
              <w:spacing w:after="0" w:line="240" w:lineRule="auto"/>
              <w:jc w:val="both"/>
              <w:rPr>
                <w:rFonts w:ascii="Arial" w:eastAsia="Times New Roman" w:hAnsi="Arial" w:cs="Arial"/>
                <w:b/>
                <w:bCs/>
                <w:color w:val="000000"/>
                <w:sz w:val="18"/>
                <w:szCs w:val="18"/>
                <w:lang w:eastAsia="en-GB"/>
              </w:rPr>
            </w:pPr>
            <w:r w:rsidRPr="001C43D2">
              <w:rPr>
                <w:rFonts w:ascii="Arial" w:eastAsia="Times New Roman" w:hAnsi="Arial" w:cs="Arial"/>
                <w:b/>
                <w:bCs/>
                <w:color w:val="000000"/>
                <w:sz w:val="18"/>
                <w:szCs w:val="18"/>
                <w:lang w:eastAsia="en-GB"/>
              </w:rPr>
              <w:t>Percent</w:t>
            </w:r>
          </w:p>
        </w:tc>
        <w:tc>
          <w:tcPr>
            <w:tcW w:w="1134" w:type="dxa"/>
            <w:tcBorders>
              <w:top w:val="nil"/>
              <w:left w:val="nil"/>
              <w:bottom w:val="single" w:sz="4" w:space="0" w:color="A6A6A6"/>
              <w:right w:val="single" w:sz="4" w:space="0" w:color="A6A6A6"/>
            </w:tcBorders>
            <w:shd w:val="clear" w:color="000000" w:fill="F2F2F2"/>
            <w:noWrap/>
            <w:vAlign w:val="center"/>
            <w:hideMark/>
          </w:tcPr>
          <w:p w14:paraId="4241C537" w14:textId="77777777" w:rsidR="00D301A3" w:rsidRPr="001C43D2" w:rsidRDefault="00D301A3" w:rsidP="00DC54F7">
            <w:pPr>
              <w:spacing w:after="0" w:line="240" w:lineRule="auto"/>
              <w:jc w:val="both"/>
              <w:rPr>
                <w:rFonts w:ascii="Arial" w:eastAsia="Times New Roman" w:hAnsi="Arial" w:cs="Arial"/>
                <w:b/>
                <w:bCs/>
                <w:color w:val="000000"/>
                <w:sz w:val="18"/>
                <w:szCs w:val="18"/>
                <w:lang w:eastAsia="en-GB"/>
              </w:rPr>
            </w:pPr>
            <w:r w:rsidRPr="001C43D2">
              <w:rPr>
                <w:rFonts w:ascii="Arial" w:eastAsia="Times New Roman" w:hAnsi="Arial" w:cs="Arial"/>
                <w:b/>
                <w:bCs/>
                <w:color w:val="000000"/>
                <w:sz w:val="18"/>
                <w:szCs w:val="18"/>
                <w:lang w:eastAsia="en-GB"/>
              </w:rPr>
              <w:t>Total</w:t>
            </w:r>
          </w:p>
        </w:tc>
      </w:tr>
      <w:tr w:rsidR="00D301A3" w:rsidRPr="001C43D2" w14:paraId="1709227B"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F7752F1"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1</w:t>
            </w:r>
          </w:p>
        </w:tc>
        <w:tc>
          <w:tcPr>
            <w:tcW w:w="5839" w:type="dxa"/>
            <w:gridSpan w:val="3"/>
            <w:tcBorders>
              <w:top w:val="single" w:sz="4" w:space="0" w:color="A6A6A6"/>
              <w:left w:val="nil"/>
              <w:bottom w:val="single" w:sz="4" w:space="0" w:color="A6A6A6"/>
              <w:right w:val="single" w:sz="4" w:space="0" w:color="A6A6A6"/>
            </w:tcBorders>
            <w:shd w:val="clear" w:color="auto" w:fill="auto"/>
            <w:vAlign w:val="center"/>
            <w:hideMark/>
          </w:tcPr>
          <w:p w14:paraId="3FB5A9B6"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7am to 9am</w:t>
            </w:r>
          </w:p>
        </w:tc>
        <w:tc>
          <w:tcPr>
            <w:tcW w:w="1134" w:type="dxa"/>
            <w:tcBorders>
              <w:top w:val="nil"/>
              <w:left w:val="nil"/>
              <w:bottom w:val="single" w:sz="4" w:space="0" w:color="A6A6A6"/>
              <w:right w:val="single" w:sz="4" w:space="0" w:color="A6A6A6"/>
            </w:tcBorders>
            <w:shd w:val="clear" w:color="000000" w:fill="F2F2F2"/>
            <w:noWrap/>
            <w:vAlign w:val="bottom"/>
            <w:hideMark/>
          </w:tcPr>
          <w:p w14:paraId="373C93DE"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3.58%</w:t>
            </w:r>
          </w:p>
        </w:tc>
        <w:tc>
          <w:tcPr>
            <w:tcW w:w="1134" w:type="dxa"/>
            <w:tcBorders>
              <w:top w:val="nil"/>
              <w:left w:val="nil"/>
              <w:bottom w:val="single" w:sz="4" w:space="0" w:color="A6A6A6"/>
              <w:right w:val="single" w:sz="4" w:space="0" w:color="A6A6A6"/>
            </w:tcBorders>
            <w:shd w:val="clear" w:color="000000" w:fill="F2F2F2"/>
            <w:noWrap/>
            <w:vAlign w:val="bottom"/>
            <w:hideMark/>
          </w:tcPr>
          <w:p w14:paraId="2A0182F1"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11</w:t>
            </w:r>
          </w:p>
        </w:tc>
      </w:tr>
      <w:tr w:rsidR="00D301A3" w:rsidRPr="001C43D2" w14:paraId="1F9E1C34"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547C94BC"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2</w:t>
            </w:r>
          </w:p>
        </w:tc>
        <w:tc>
          <w:tcPr>
            <w:tcW w:w="5839" w:type="dxa"/>
            <w:gridSpan w:val="3"/>
            <w:tcBorders>
              <w:top w:val="single" w:sz="4" w:space="0" w:color="A6A6A6"/>
              <w:left w:val="nil"/>
              <w:bottom w:val="single" w:sz="4" w:space="0" w:color="A6A6A6"/>
              <w:right w:val="single" w:sz="4" w:space="0" w:color="A6A6A6"/>
            </w:tcBorders>
            <w:shd w:val="clear" w:color="auto" w:fill="auto"/>
            <w:vAlign w:val="center"/>
            <w:hideMark/>
          </w:tcPr>
          <w:p w14:paraId="4A62D826"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9am to 12 noon</w:t>
            </w:r>
          </w:p>
        </w:tc>
        <w:tc>
          <w:tcPr>
            <w:tcW w:w="1134" w:type="dxa"/>
            <w:tcBorders>
              <w:top w:val="nil"/>
              <w:left w:val="nil"/>
              <w:bottom w:val="single" w:sz="4" w:space="0" w:color="A6A6A6"/>
              <w:right w:val="single" w:sz="4" w:space="0" w:color="A6A6A6"/>
            </w:tcBorders>
            <w:shd w:val="clear" w:color="000000" w:fill="F2F2F2"/>
            <w:noWrap/>
            <w:vAlign w:val="bottom"/>
            <w:hideMark/>
          </w:tcPr>
          <w:p w14:paraId="4D0AFA34"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13.03%</w:t>
            </w:r>
          </w:p>
        </w:tc>
        <w:tc>
          <w:tcPr>
            <w:tcW w:w="1134" w:type="dxa"/>
            <w:tcBorders>
              <w:top w:val="nil"/>
              <w:left w:val="nil"/>
              <w:bottom w:val="single" w:sz="4" w:space="0" w:color="A6A6A6"/>
              <w:right w:val="single" w:sz="4" w:space="0" w:color="A6A6A6"/>
            </w:tcBorders>
            <w:shd w:val="clear" w:color="000000" w:fill="F2F2F2"/>
            <w:noWrap/>
            <w:vAlign w:val="bottom"/>
            <w:hideMark/>
          </w:tcPr>
          <w:p w14:paraId="392D72E9"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40</w:t>
            </w:r>
          </w:p>
        </w:tc>
      </w:tr>
      <w:tr w:rsidR="00D301A3" w:rsidRPr="001C43D2" w14:paraId="5FC048A1"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0FACBC47"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3</w:t>
            </w:r>
          </w:p>
        </w:tc>
        <w:tc>
          <w:tcPr>
            <w:tcW w:w="5839" w:type="dxa"/>
            <w:gridSpan w:val="3"/>
            <w:tcBorders>
              <w:top w:val="single" w:sz="4" w:space="0" w:color="A6A6A6"/>
              <w:left w:val="nil"/>
              <w:bottom w:val="single" w:sz="4" w:space="0" w:color="A6A6A6"/>
              <w:right w:val="single" w:sz="4" w:space="0" w:color="A6A6A6"/>
            </w:tcBorders>
            <w:shd w:val="clear" w:color="auto" w:fill="auto"/>
            <w:vAlign w:val="center"/>
            <w:hideMark/>
          </w:tcPr>
          <w:p w14:paraId="70BFAAE9"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12 noon to 2pm</w:t>
            </w:r>
          </w:p>
        </w:tc>
        <w:tc>
          <w:tcPr>
            <w:tcW w:w="1134" w:type="dxa"/>
            <w:tcBorders>
              <w:top w:val="nil"/>
              <w:left w:val="nil"/>
              <w:bottom w:val="single" w:sz="4" w:space="0" w:color="A6A6A6"/>
              <w:right w:val="single" w:sz="4" w:space="0" w:color="A6A6A6"/>
            </w:tcBorders>
            <w:shd w:val="clear" w:color="000000" w:fill="F2F2F2"/>
            <w:noWrap/>
            <w:vAlign w:val="bottom"/>
            <w:hideMark/>
          </w:tcPr>
          <w:p w14:paraId="040C928D"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5.54%</w:t>
            </w:r>
          </w:p>
        </w:tc>
        <w:tc>
          <w:tcPr>
            <w:tcW w:w="1134" w:type="dxa"/>
            <w:tcBorders>
              <w:top w:val="nil"/>
              <w:left w:val="nil"/>
              <w:bottom w:val="single" w:sz="4" w:space="0" w:color="A6A6A6"/>
              <w:right w:val="single" w:sz="4" w:space="0" w:color="A6A6A6"/>
            </w:tcBorders>
            <w:shd w:val="clear" w:color="000000" w:fill="F2F2F2"/>
            <w:noWrap/>
            <w:vAlign w:val="bottom"/>
            <w:hideMark/>
          </w:tcPr>
          <w:p w14:paraId="715EDFE5"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17</w:t>
            </w:r>
          </w:p>
        </w:tc>
      </w:tr>
      <w:tr w:rsidR="00D301A3" w:rsidRPr="001C43D2" w14:paraId="4521BCB7"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6EAF2CD1"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4</w:t>
            </w:r>
          </w:p>
        </w:tc>
        <w:tc>
          <w:tcPr>
            <w:tcW w:w="5839" w:type="dxa"/>
            <w:gridSpan w:val="3"/>
            <w:tcBorders>
              <w:top w:val="single" w:sz="4" w:space="0" w:color="A6A6A6"/>
              <w:left w:val="nil"/>
              <w:bottom w:val="single" w:sz="4" w:space="0" w:color="A6A6A6"/>
              <w:right w:val="single" w:sz="4" w:space="0" w:color="A6A6A6"/>
            </w:tcBorders>
            <w:shd w:val="clear" w:color="auto" w:fill="auto"/>
            <w:vAlign w:val="center"/>
            <w:hideMark/>
          </w:tcPr>
          <w:p w14:paraId="51573015"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2pm to 6pm</w:t>
            </w:r>
          </w:p>
        </w:tc>
        <w:tc>
          <w:tcPr>
            <w:tcW w:w="1134" w:type="dxa"/>
            <w:tcBorders>
              <w:top w:val="nil"/>
              <w:left w:val="nil"/>
              <w:bottom w:val="single" w:sz="4" w:space="0" w:color="A6A6A6"/>
              <w:right w:val="single" w:sz="4" w:space="0" w:color="A6A6A6"/>
            </w:tcBorders>
            <w:shd w:val="clear" w:color="000000" w:fill="F2F2F2"/>
            <w:noWrap/>
            <w:vAlign w:val="bottom"/>
            <w:hideMark/>
          </w:tcPr>
          <w:p w14:paraId="18DC6DAC"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23.78%</w:t>
            </w:r>
          </w:p>
        </w:tc>
        <w:tc>
          <w:tcPr>
            <w:tcW w:w="1134" w:type="dxa"/>
            <w:tcBorders>
              <w:top w:val="nil"/>
              <w:left w:val="nil"/>
              <w:bottom w:val="single" w:sz="4" w:space="0" w:color="A6A6A6"/>
              <w:right w:val="single" w:sz="4" w:space="0" w:color="A6A6A6"/>
            </w:tcBorders>
            <w:shd w:val="clear" w:color="000000" w:fill="F2F2F2"/>
            <w:noWrap/>
            <w:vAlign w:val="bottom"/>
            <w:hideMark/>
          </w:tcPr>
          <w:p w14:paraId="5B68235E"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73</w:t>
            </w:r>
          </w:p>
        </w:tc>
      </w:tr>
      <w:tr w:rsidR="00D301A3" w:rsidRPr="001C43D2" w14:paraId="54F32418" w14:textId="77777777" w:rsidTr="00AA572E">
        <w:trPr>
          <w:trHeight w:val="30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3A51A414"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5</w:t>
            </w:r>
          </w:p>
        </w:tc>
        <w:tc>
          <w:tcPr>
            <w:tcW w:w="5839" w:type="dxa"/>
            <w:gridSpan w:val="3"/>
            <w:tcBorders>
              <w:top w:val="single" w:sz="4" w:space="0" w:color="A6A6A6"/>
              <w:left w:val="nil"/>
              <w:bottom w:val="single" w:sz="4" w:space="0" w:color="A6A6A6"/>
              <w:right w:val="single" w:sz="4" w:space="0" w:color="A6A6A6"/>
            </w:tcBorders>
            <w:shd w:val="clear" w:color="auto" w:fill="auto"/>
            <w:vAlign w:val="center"/>
            <w:hideMark/>
          </w:tcPr>
          <w:p w14:paraId="691066CF"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6pm to 9pm</w:t>
            </w:r>
          </w:p>
        </w:tc>
        <w:tc>
          <w:tcPr>
            <w:tcW w:w="1134" w:type="dxa"/>
            <w:tcBorders>
              <w:top w:val="nil"/>
              <w:left w:val="nil"/>
              <w:bottom w:val="single" w:sz="4" w:space="0" w:color="A6A6A6"/>
              <w:right w:val="single" w:sz="4" w:space="0" w:color="A6A6A6"/>
            </w:tcBorders>
            <w:shd w:val="clear" w:color="000000" w:fill="F2F2F2"/>
            <w:noWrap/>
            <w:vAlign w:val="bottom"/>
            <w:hideMark/>
          </w:tcPr>
          <w:p w14:paraId="35450158"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17.26%</w:t>
            </w:r>
          </w:p>
        </w:tc>
        <w:tc>
          <w:tcPr>
            <w:tcW w:w="1134" w:type="dxa"/>
            <w:tcBorders>
              <w:top w:val="nil"/>
              <w:left w:val="nil"/>
              <w:bottom w:val="single" w:sz="4" w:space="0" w:color="A6A6A6"/>
              <w:right w:val="single" w:sz="4" w:space="0" w:color="A6A6A6"/>
            </w:tcBorders>
            <w:shd w:val="clear" w:color="000000" w:fill="F2F2F2"/>
            <w:noWrap/>
            <w:vAlign w:val="bottom"/>
            <w:hideMark/>
          </w:tcPr>
          <w:p w14:paraId="33516742"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53</w:t>
            </w:r>
          </w:p>
        </w:tc>
      </w:tr>
      <w:tr w:rsidR="00D301A3" w:rsidRPr="001C43D2" w14:paraId="1258A343"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0EBC93C0"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6</w:t>
            </w:r>
          </w:p>
        </w:tc>
        <w:tc>
          <w:tcPr>
            <w:tcW w:w="5839" w:type="dxa"/>
            <w:gridSpan w:val="3"/>
            <w:tcBorders>
              <w:top w:val="single" w:sz="4" w:space="0" w:color="A6A6A6"/>
              <w:left w:val="nil"/>
              <w:bottom w:val="single" w:sz="4" w:space="0" w:color="A6A6A6"/>
              <w:right w:val="single" w:sz="4" w:space="0" w:color="A6A6A6"/>
            </w:tcBorders>
            <w:shd w:val="clear" w:color="auto" w:fill="auto"/>
            <w:vAlign w:val="center"/>
            <w:hideMark/>
          </w:tcPr>
          <w:p w14:paraId="737CD6DB"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9pm to midnight</w:t>
            </w:r>
          </w:p>
        </w:tc>
        <w:tc>
          <w:tcPr>
            <w:tcW w:w="1134" w:type="dxa"/>
            <w:tcBorders>
              <w:top w:val="nil"/>
              <w:left w:val="nil"/>
              <w:bottom w:val="single" w:sz="4" w:space="0" w:color="A6A6A6"/>
              <w:right w:val="single" w:sz="4" w:space="0" w:color="A6A6A6"/>
            </w:tcBorders>
            <w:shd w:val="clear" w:color="000000" w:fill="F2F2F2"/>
            <w:noWrap/>
            <w:vAlign w:val="bottom"/>
            <w:hideMark/>
          </w:tcPr>
          <w:p w14:paraId="174B92E9"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0.00%</w:t>
            </w:r>
          </w:p>
        </w:tc>
        <w:tc>
          <w:tcPr>
            <w:tcW w:w="1134" w:type="dxa"/>
            <w:tcBorders>
              <w:top w:val="nil"/>
              <w:left w:val="nil"/>
              <w:bottom w:val="single" w:sz="4" w:space="0" w:color="A6A6A6"/>
              <w:right w:val="single" w:sz="4" w:space="0" w:color="A6A6A6"/>
            </w:tcBorders>
            <w:shd w:val="clear" w:color="000000" w:fill="F2F2F2"/>
            <w:noWrap/>
            <w:vAlign w:val="bottom"/>
            <w:hideMark/>
          </w:tcPr>
          <w:p w14:paraId="494FB828"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0</w:t>
            </w:r>
          </w:p>
        </w:tc>
      </w:tr>
      <w:tr w:rsidR="00D301A3" w:rsidRPr="001C43D2" w14:paraId="5934181B"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6D7BF4D0"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7</w:t>
            </w:r>
          </w:p>
        </w:tc>
        <w:tc>
          <w:tcPr>
            <w:tcW w:w="5839" w:type="dxa"/>
            <w:gridSpan w:val="3"/>
            <w:tcBorders>
              <w:top w:val="single" w:sz="4" w:space="0" w:color="A6A6A6"/>
              <w:left w:val="nil"/>
              <w:bottom w:val="single" w:sz="4" w:space="0" w:color="A6A6A6"/>
              <w:right w:val="single" w:sz="4" w:space="0" w:color="A6A6A6"/>
            </w:tcBorders>
            <w:shd w:val="clear" w:color="auto" w:fill="auto"/>
            <w:vAlign w:val="center"/>
            <w:hideMark/>
          </w:tcPr>
          <w:p w14:paraId="476BC799" w14:textId="77777777" w:rsidR="00D301A3" w:rsidRPr="001C43D2" w:rsidRDefault="00D301A3" w:rsidP="00DC54F7">
            <w:pPr>
              <w:spacing w:after="0" w:line="240" w:lineRule="auto"/>
              <w:jc w:val="both"/>
              <w:rPr>
                <w:rFonts w:ascii="Arial" w:eastAsia="Times New Roman" w:hAnsi="Arial" w:cs="Arial"/>
                <w:color w:val="000000"/>
                <w:sz w:val="18"/>
                <w:szCs w:val="18"/>
                <w:lang w:eastAsia="en-GB"/>
              </w:rPr>
            </w:pPr>
            <w:r w:rsidRPr="001C43D2">
              <w:rPr>
                <w:rFonts w:ascii="Arial" w:eastAsia="Times New Roman" w:hAnsi="Arial" w:cs="Arial"/>
                <w:color w:val="000000"/>
                <w:sz w:val="18"/>
                <w:szCs w:val="18"/>
                <w:lang w:eastAsia="en-GB"/>
              </w:rPr>
              <w:t>I don’t have a preference</w:t>
            </w:r>
          </w:p>
        </w:tc>
        <w:tc>
          <w:tcPr>
            <w:tcW w:w="1134" w:type="dxa"/>
            <w:tcBorders>
              <w:top w:val="nil"/>
              <w:left w:val="nil"/>
              <w:bottom w:val="single" w:sz="4" w:space="0" w:color="A6A6A6"/>
              <w:right w:val="single" w:sz="4" w:space="0" w:color="A6A6A6"/>
            </w:tcBorders>
            <w:shd w:val="clear" w:color="000000" w:fill="F2F2F2"/>
            <w:noWrap/>
            <w:vAlign w:val="bottom"/>
            <w:hideMark/>
          </w:tcPr>
          <w:p w14:paraId="0CD51220"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36.81%</w:t>
            </w:r>
          </w:p>
        </w:tc>
        <w:tc>
          <w:tcPr>
            <w:tcW w:w="1134" w:type="dxa"/>
            <w:tcBorders>
              <w:top w:val="nil"/>
              <w:left w:val="nil"/>
              <w:bottom w:val="single" w:sz="4" w:space="0" w:color="A6A6A6"/>
              <w:right w:val="single" w:sz="4" w:space="0" w:color="A6A6A6"/>
            </w:tcBorders>
            <w:shd w:val="clear" w:color="000000" w:fill="F2F2F2"/>
            <w:noWrap/>
            <w:vAlign w:val="bottom"/>
            <w:hideMark/>
          </w:tcPr>
          <w:p w14:paraId="65250B6C"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113</w:t>
            </w:r>
          </w:p>
        </w:tc>
      </w:tr>
      <w:tr w:rsidR="00D301A3" w:rsidRPr="001C43D2" w14:paraId="7DDB5092" w14:textId="77777777" w:rsidTr="00AA572E">
        <w:trPr>
          <w:trHeight w:val="290"/>
        </w:trPr>
        <w:tc>
          <w:tcPr>
            <w:tcW w:w="5665" w:type="dxa"/>
            <w:gridSpan w:val="3"/>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3E8DB6E6" w14:textId="77777777" w:rsidR="00D301A3" w:rsidRPr="001C43D2" w:rsidRDefault="00D301A3" w:rsidP="00DC54F7">
            <w:pPr>
              <w:spacing w:after="0" w:line="240" w:lineRule="auto"/>
              <w:jc w:val="both"/>
              <w:rPr>
                <w:rFonts w:ascii="Arial" w:eastAsia="Times New Roman" w:hAnsi="Arial" w:cs="Arial"/>
                <w:b/>
                <w:bCs/>
                <w:color w:val="000000"/>
                <w:lang w:eastAsia="en-GB"/>
              </w:rPr>
            </w:pPr>
            <w:r w:rsidRPr="001C43D2">
              <w:rPr>
                <w:rFonts w:ascii="Arial" w:eastAsia="Times New Roman" w:hAnsi="Arial" w:cs="Arial"/>
                <w:b/>
                <w:bCs/>
                <w:color w:val="000000"/>
                <w:lang w:eastAsia="en-GB"/>
              </w:rPr>
              <w:t> </w:t>
            </w:r>
          </w:p>
        </w:tc>
        <w:tc>
          <w:tcPr>
            <w:tcW w:w="1134" w:type="dxa"/>
            <w:tcBorders>
              <w:top w:val="nil"/>
              <w:left w:val="nil"/>
              <w:bottom w:val="single" w:sz="4" w:space="0" w:color="A6A6A6"/>
              <w:right w:val="single" w:sz="4" w:space="0" w:color="A6A6A6"/>
            </w:tcBorders>
            <w:shd w:val="clear" w:color="000000" w:fill="F2F2F2"/>
            <w:vAlign w:val="center"/>
            <w:hideMark/>
          </w:tcPr>
          <w:p w14:paraId="5DAE6F64" w14:textId="77777777" w:rsidR="00D301A3" w:rsidRPr="001C43D2" w:rsidRDefault="00D301A3" w:rsidP="00DC54F7">
            <w:pPr>
              <w:spacing w:after="0" w:line="240" w:lineRule="auto"/>
              <w:jc w:val="both"/>
              <w:rPr>
                <w:rFonts w:ascii="Arial" w:eastAsia="Times New Roman" w:hAnsi="Arial" w:cs="Arial"/>
                <w:b/>
                <w:bCs/>
                <w:color w:val="000000"/>
                <w:sz w:val="18"/>
                <w:szCs w:val="18"/>
                <w:lang w:eastAsia="en-GB"/>
              </w:rPr>
            </w:pPr>
            <w:r w:rsidRPr="001C43D2">
              <w:rPr>
                <w:rFonts w:ascii="Arial" w:eastAsia="Times New Roman" w:hAnsi="Arial" w:cs="Arial"/>
                <w:b/>
                <w:bCs/>
                <w:color w:val="000000"/>
                <w:sz w:val="18"/>
                <w:szCs w:val="18"/>
                <w:lang w:eastAsia="en-GB"/>
              </w:rPr>
              <w:t xml:space="preserve">Total </w:t>
            </w:r>
          </w:p>
        </w:tc>
        <w:tc>
          <w:tcPr>
            <w:tcW w:w="1134" w:type="dxa"/>
            <w:tcBorders>
              <w:top w:val="nil"/>
              <w:left w:val="nil"/>
              <w:bottom w:val="single" w:sz="4" w:space="0" w:color="A6A6A6"/>
              <w:right w:val="single" w:sz="4" w:space="0" w:color="A6A6A6"/>
            </w:tcBorders>
            <w:shd w:val="clear" w:color="000000" w:fill="F2F2F2"/>
            <w:noWrap/>
            <w:vAlign w:val="bottom"/>
            <w:hideMark/>
          </w:tcPr>
          <w:p w14:paraId="07F4475E"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100.00%</w:t>
            </w:r>
          </w:p>
        </w:tc>
        <w:tc>
          <w:tcPr>
            <w:tcW w:w="1134" w:type="dxa"/>
            <w:tcBorders>
              <w:top w:val="nil"/>
              <w:left w:val="nil"/>
              <w:bottom w:val="single" w:sz="4" w:space="0" w:color="A6A6A6"/>
              <w:right w:val="single" w:sz="4" w:space="0" w:color="A6A6A6"/>
            </w:tcBorders>
            <w:shd w:val="clear" w:color="000000" w:fill="F2F2F2"/>
            <w:noWrap/>
            <w:vAlign w:val="bottom"/>
            <w:hideMark/>
          </w:tcPr>
          <w:p w14:paraId="4162942D"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307</w:t>
            </w:r>
          </w:p>
        </w:tc>
      </w:tr>
      <w:tr w:rsidR="00D301A3" w:rsidRPr="001C43D2" w14:paraId="7F255B25" w14:textId="77777777" w:rsidTr="00AA572E">
        <w:trPr>
          <w:trHeight w:val="290"/>
        </w:trPr>
        <w:tc>
          <w:tcPr>
            <w:tcW w:w="5665" w:type="dxa"/>
            <w:gridSpan w:val="3"/>
            <w:vMerge/>
            <w:tcBorders>
              <w:top w:val="single" w:sz="4" w:space="0" w:color="A6A6A6"/>
              <w:left w:val="single" w:sz="4" w:space="0" w:color="A6A6A6"/>
              <w:bottom w:val="single" w:sz="4" w:space="0" w:color="A6A6A6"/>
              <w:right w:val="single" w:sz="4" w:space="0" w:color="A6A6A6"/>
            </w:tcBorders>
            <w:vAlign w:val="center"/>
            <w:hideMark/>
          </w:tcPr>
          <w:p w14:paraId="61AEE327" w14:textId="77777777" w:rsidR="00D301A3" w:rsidRPr="001C43D2" w:rsidRDefault="00D301A3" w:rsidP="00DC54F7">
            <w:pPr>
              <w:spacing w:after="0" w:line="240" w:lineRule="auto"/>
              <w:jc w:val="both"/>
              <w:rPr>
                <w:rFonts w:ascii="Arial" w:eastAsia="Times New Roman" w:hAnsi="Arial" w:cs="Arial"/>
                <w:b/>
                <w:bCs/>
                <w:color w:val="000000"/>
                <w:lang w:eastAsia="en-GB"/>
              </w:rPr>
            </w:pPr>
          </w:p>
        </w:tc>
        <w:tc>
          <w:tcPr>
            <w:tcW w:w="1134" w:type="dxa"/>
            <w:tcBorders>
              <w:top w:val="nil"/>
              <w:left w:val="nil"/>
              <w:bottom w:val="single" w:sz="4" w:space="0" w:color="A6A6A6"/>
              <w:right w:val="single" w:sz="4" w:space="0" w:color="A6A6A6"/>
            </w:tcBorders>
            <w:shd w:val="clear" w:color="000000" w:fill="F2F2F2"/>
            <w:vAlign w:val="center"/>
            <w:hideMark/>
          </w:tcPr>
          <w:p w14:paraId="0D4D4196" w14:textId="77777777" w:rsidR="00D301A3" w:rsidRPr="001C43D2" w:rsidRDefault="00D301A3" w:rsidP="00DC54F7">
            <w:pPr>
              <w:spacing w:after="0" w:line="240" w:lineRule="auto"/>
              <w:jc w:val="both"/>
              <w:rPr>
                <w:rFonts w:ascii="Arial" w:eastAsia="Times New Roman" w:hAnsi="Arial" w:cs="Arial"/>
                <w:b/>
                <w:bCs/>
                <w:color w:val="000000"/>
                <w:sz w:val="18"/>
                <w:szCs w:val="18"/>
                <w:lang w:eastAsia="en-GB"/>
              </w:rPr>
            </w:pPr>
            <w:r w:rsidRPr="001C43D2">
              <w:rPr>
                <w:rFonts w:ascii="Arial" w:eastAsia="Times New Roman" w:hAnsi="Arial" w:cs="Arial"/>
                <w:b/>
                <w:bCs/>
                <w:color w:val="000000"/>
                <w:sz w:val="18"/>
                <w:szCs w:val="18"/>
                <w:lang w:eastAsia="en-GB"/>
              </w:rPr>
              <w:t>Skipped</w:t>
            </w:r>
          </w:p>
        </w:tc>
        <w:tc>
          <w:tcPr>
            <w:tcW w:w="1134" w:type="dxa"/>
            <w:tcBorders>
              <w:top w:val="nil"/>
              <w:left w:val="nil"/>
              <w:bottom w:val="single" w:sz="4" w:space="0" w:color="A6A6A6"/>
              <w:right w:val="single" w:sz="4" w:space="0" w:color="A6A6A6"/>
            </w:tcBorders>
            <w:shd w:val="clear" w:color="000000" w:fill="F2F2F2"/>
            <w:noWrap/>
            <w:vAlign w:val="bottom"/>
            <w:hideMark/>
          </w:tcPr>
          <w:p w14:paraId="67D9D8FA"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 </w:t>
            </w:r>
          </w:p>
        </w:tc>
        <w:tc>
          <w:tcPr>
            <w:tcW w:w="1134" w:type="dxa"/>
            <w:tcBorders>
              <w:top w:val="nil"/>
              <w:left w:val="nil"/>
              <w:bottom w:val="single" w:sz="4" w:space="0" w:color="A6A6A6"/>
              <w:right w:val="single" w:sz="4" w:space="0" w:color="A6A6A6"/>
            </w:tcBorders>
            <w:shd w:val="clear" w:color="000000" w:fill="F2F2F2"/>
            <w:noWrap/>
            <w:vAlign w:val="bottom"/>
            <w:hideMark/>
          </w:tcPr>
          <w:p w14:paraId="2B65E595" w14:textId="77777777" w:rsidR="00D301A3" w:rsidRPr="001C43D2" w:rsidRDefault="00D301A3" w:rsidP="00DC54F7">
            <w:pPr>
              <w:spacing w:after="0" w:line="240" w:lineRule="auto"/>
              <w:jc w:val="both"/>
              <w:rPr>
                <w:rFonts w:ascii="Calibri" w:eastAsia="Times New Roman" w:hAnsi="Calibri" w:cs="Calibri"/>
                <w:color w:val="000000"/>
                <w:lang w:eastAsia="en-GB"/>
              </w:rPr>
            </w:pPr>
            <w:r w:rsidRPr="001C43D2">
              <w:rPr>
                <w:rFonts w:ascii="Calibri" w:eastAsia="Times New Roman" w:hAnsi="Calibri" w:cs="Calibri"/>
                <w:color w:val="000000"/>
                <w:lang w:eastAsia="en-GB"/>
              </w:rPr>
              <w:t>4</w:t>
            </w:r>
          </w:p>
        </w:tc>
      </w:tr>
    </w:tbl>
    <w:p w14:paraId="5726885C" w14:textId="77777777" w:rsidR="00D301A3" w:rsidRDefault="00D301A3" w:rsidP="00DC54F7">
      <w:pPr>
        <w:jc w:val="both"/>
      </w:pPr>
    </w:p>
    <w:p w14:paraId="7C4A1D3E" w14:textId="77777777" w:rsidR="00D301A3" w:rsidRDefault="00D301A3" w:rsidP="00DC54F7">
      <w:pPr>
        <w:spacing w:after="0" w:line="240" w:lineRule="auto"/>
        <w:jc w:val="both"/>
        <w:rPr>
          <w:rFonts w:ascii="Arial" w:eastAsia="Times New Roman" w:hAnsi="Arial" w:cs="Arial"/>
          <w:b/>
          <w:bCs/>
          <w:color w:val="333333"/>
          <w:sz w:val="21"/>
          <w:szCs w:val="21"/>
          <w:lang w:eastAsia="en-GB"/>
        </w:rPr>
      </w:pPr>
      <w:r w:rsidRPr="005B412A">
        <w:rPr>
          <w:rFonts w:ascii="Arial" w:eastAsia="Times New Roman" w:hAnsi="Arial" w:cs="Arial"/>
          <w:b/>
          <w:bCs/>
          <w:color w:val="333333"/>
          <w:sz w:val="21"/>
          <w:szCs w:val="21"/>
          <w:lang w:eastAsia="en-GB"/>
        </w:rPr>
        <w:t>5</w:t>
      </w:r>
      <w:r w:rsidRPr="005B412A">
        <w:rPr>
          <w:rFonts w:ascii="Arial" w:eastAsia="Times New Roman" w:hAnsi="Arial" w:cs="Arial"/>
          <w:b/>
          <w:bCs/>
          <w:color w:val="333333"/>
          <w:lang w:eastAsia="en-GB"/>
        </w:rPr>
        <w:t>. What day is the most convenient for you to use a pharmacy? Please tick one.</w:t>
      </w:r>
      <w:r w:rsidRPr="005B412A">
        <w:rPr>
          <w:rFonts w:ascii="Arial" w:eastAsia="Times New Roman" w:hAnsi="Arial" w:cs="Arial"/>
          <w:b/>
          <w:bCs/>
          <w:color w:val="333333"/>
          <w:sz w:val="21"/>
          <w:szCs w:val="21"/>
          <w:lang w:eastAsia="en-GB"/>
        </w:rPr>
        <w:t xml:space="preserve"> </w:t>
      </w:r>
    </w:p>
    <w:p w14:paraId="4250BBF9" w14:textId="77777777" w:rsidR="00D301A3" w:rsidRPr="00F33FE2" w:rsidRDefault="00D301A3" w:rsidP="00DC54F7">
      <w:pPr>
        <w:spacing w:after="0" w:line="240" w:lineRule="auto"/>
        <w:jc w:val="both"/>
        <w:rPr>
          <w:rFonts w:ascii="Arial" w:eastAsia="Times New Roman" w:hAnsi="Arial" w:cs="Arial"/>
          <w:b/>
          <w:bCs/>
          <w:color w:val="333333"/>
          <w:sz w:val="21"/>
          <w:szCs w:val="21"/>
          <w:lang w:eastAsia="en-GB"/>
        </w:rPr>
      </w:pPr>
    </w:p>
    <w:tbl>
      <w:tblPr>
        <w:tblW w:w="9067" w:type="dxa"/>
        <w:tblLook w:val="04A0" w:firstRow="1" w:lastRow="0" w:firstColumn="1" w:lastColumn="0" w:noHBand="0" w:noVBand="1"/>
      </w:tblPr>
      <w:tblGrid>
        <w:gridCol w:w="960"/>
        <w:gridCol w:w="4705"/>
        <w:gridCol w:w="1134"/>
        <w:gridCol w:w="1134"/>
        <w:gridCol w:w="1134"/>
      </w:tblGrid>
      <w:tr w:rsidR="00D301A3" w:rsidRPr="005B412A" w14:paraId="488631BD" w14:textId="77777777" w:rsidTr="00AA572E">
        <w:trPr>
          <w:trHeight w:val="290"/>
        </w:trPr>
        <w:tc>
          <w:tcPr>
            <w:tcW w:w="6799" w:type="dxa"/>
            <w:gridSpan w:val="3"/>
            <w:tcBorders>
              <w:top w:val="single" w:sz="4" w:space="0" w:color="A6A6A6"/>
              <w:left w:val="single" w:sz="4" w:space="0" w:color="A6A6A6"/>
              <w:bottom w:val="single" w:sz="4" w:space="0" w:color="A6A6A6"/>
              <w:right w:val="nil"/>
            </w:tcBorders>
            <w:shd w:val="clear" w:color="000000" w:fill="8497B0"/>
            <w:noWrap/>
            <w:vAlign w:val="center"/>
            <w:hideMark/>
          </w:tcPr>
          <w:p w14:paraId="2E482164" w14:textId="77777777" w:rsidR="00D301A3" w:rsidRPr="005B412A" w:rsidRDefault="00D301A3" w:rsidP="00DC54F7">
            <w:pPr>
              <w:spacing w:after="0" w:line="240" w:lineRule="auto"/>
              <w:jc w:val="both"/>
              <w:rPr>
                <w:rFonts w:ascii="Arial" w:eastAsia="Times New Roman" w:hAnsi="Arial" w:cs="Arial"/>
                <w:b/>
                <w:bCs/>
                <w:color w:val="FFFFFF"/>
                <w:sz w:val="21"/>
                <w:szCs w:val="21"/>
                <w:lang w:eastAsia="en-GB"/>
              </w:rPr>
            </w:pPr>
            <w:r w:rsidRPr="005B412A">
              <w:rPr>
                <w:rFonts w:ascii="Arial" w:eastAsia="Times New Roman" w:hAnsi="Arial" w:cs="Arial"/>
                <w:b/>
                <w:bCs/>
                <w:color w:val="FFFFFF"/>
                <w:sz w:val="21"/>
                <w:szCs w:val="21"/>
                <w:lang w:eastAsia="en-GB"/>
              </w:rPr>
              <w:t> </w:t>
            </w:r>
          </w:p>
        </w:tc>
        <w:tc>
          <w:tcPr>
            <w:tcW w:w="2268" w:type="dxa"/>
            <w:gridSpan w:val="2"/>
            <w:tcBorders>
              <w:top w:val="single" w:sz="4" w:space="0" w:color="A6A6A6"/>
              <w:left w:val="nil"/>
              <w:bottom w:val="single" w:sz="4" w:space="0" w:color="A6A6A6"/>
              <w:right w:val="single" w:sz="4" w:space="0" w:color="A6A6A6"/>
            </w:tcBorders>
            <w:shd w:val="clear" w:color="000000" w:fill="8497B0"/>
            <w:noWrap/>
            <w:vAlign w:val="center"/>
            <w:hideMark/>
          </w:tcPr>
          <w:p w14:paraId="2035BC51" w14:textId="77777777" w:rsidR="00D301A3" w:rsidRPr="005B412A" w:rsidRDefault="00D301A3" w:rsidP="00DC54F7">
            <w:pPr>
              <w:spacing w:after="0" w:line="240" w:lineRule="auto"/>
              <w:jc w:val="both"/>
              <w:rPr>
                <w:rFonts w:ascii="Arial" w:eastAsia="Times New Roman" w:hAnsi="Arial" w:cs="Arial"/>
                <w:b/>
                <w:bCs/>
                <w:color w:val="FFFFFF"/>
                <w:sz w:val="21"/>
                <w:szCs w:val="21"/>
                <w:lang w:eastAsia="en-GB"/>
              </w:rPr>
            </w:pPr>
            <w:r w:rsidRPr="005B412A">
              <w:rPr>
                <w:rFonts w:ascii="Arial" w:eastAsia="Times New Roman" w:hAnsi="Arial" w:cs="Arial"/>
                <w:b/>
                <w:bCs/>
                <w:color w:val="FFFFFF"/>
                <w:sz w:val="21"/>
                <w:szCs w:val="21"/>
                <w:lang w:eastAsia="en-GB"/>
              </w:rPr>
              <w:t>Response</w:t>
            </w:r>
          </w:p>
        </w:tc>
      </w:tr>
      <w:tr w:rsidR="00D301A3" w:rsidRPr="005B412A" w14:paraId="66A85159" w14:textId="77777777" w:rsidTr="00AA572E">
        <w:trPr>
          <w:trHeight w:val="290"/>
        </w:trPr>
        <w:tc>
          <w:tcPr>
            <w:tcW w:w="6799"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5F2EEFFB" w14:textId="77777777" w:rsidR="00D301A3" w:rsidRPr="005B412A" w:rsidRDefault="00D301A3" w:rsidP="00DC54F7">
            <w:pPr>
              <w:spacing w:after="0" w:line="240" w:lineRule="auto"/>
              <w:jc w:val="both"/>
              <w:rPr>
                <w:rFonts w:ascii="Arial" w:eastAsia="Times New Roman" w:hAnsi="Arial" w:cs="Arial"/>
                <w:b/>
                <w:bCs/>
                <w:color w:val="000000"/>
                <w:sz w:val="18"/>
                <w:szCs w:val="18"/>
                <w:lang w:eastAsia="en-GB"/>
              </w:rPr>
            </w:pPr>
            <w:r w:rsidRPr="005B412A">
              <w:rPr>
                <w:rFonts w:ascii="Arial" w:eastAsia="Times New Roman" w:hAnsi="Arial" w:cs="Arial"/>
                <w:b/>
                <w:bCs/>
                <w:color w:val="000000"/>
                <w:sz w:val="18"/>
                <w:szCs w:val="18"/>
                <w:lang w:eastAsia="en-GB"/>
              </w:rPr>
              <w:t> </w:t>
            </w:r>
          </w:p>
        </w:tc>
        <w:tc>
          <w:tcPr>
            <w:tcW w:w="1134" w:type="dxa"/>
            <w:tcBorders>
              <w:top w:val="nil"/>
              <w:left w:val="nil"/>
              <w:bottom w:val="single" w:sz="4" w:space="0" w:color="A6A6A6"/>
              <w:right w:val="single" w:sz="4" w:space="0" w:color="A6A6A6"/>
            </w:tcBorders>
            <w:shd w:val="clear" w:color="000000" w:fill="F2F2F2"/>
            <w:noWrap/>
            <w:vAlign w:val="center"/>
            <w:hideMark/>
          </w:tcPr>
          <w:p w14:paraId="26B96599" w14:textId="77777777" w:rsidR="00D301A3" w:rsidRPr="005B412A" w:rsidRDefault="00D301A3" w:rsidP="00DC54F7">
            <w:pPr>
              <w:spacing w:after="0" w:line="240" w:lineRule="auto"/>
              <w:jc w:val="both"/>
              <w:rPr>
                <w:rFonts w:ascii="Arial" w:eastAsia="Times New Roman" w:hAnsi="Arial" w:cs="Arial"/>
                <w:b/>
                <w:bCs/>
                <w:color w:val="000000"/>
                <w:sz w:val="18"/>
                <w:szCs w:val="18"/>
                <w:lang w:eastAsia="en-GB"/>
              </w:rPr>
            </w:pPr>
            <w:r w:rsidRPr="005B412A">
              <w:rPr>
                <w:rFonts w:ascii="Arial" w:eastAsia="Times New Roman" w:hAnsi="Arial" w:cs="Arial"/>
                <w:b/>
                <w:bCs/>
                <w:color w:val="000000"/>
                <w:sz w:val="18"/>
                <w:szCs w:val="18"/>
                <w:lang w:eastAsia="en-GB"/>
              </w:rPr>
              <w:t>Percent</w:t>
            </w:r>
          </w:p>
        </w:tc>
        <w:tc>
          <w:tcPr>
            <w:tcW w:w="1134" w:type="dxa"/>
            <w:tcBorders>
              <w:top w:val="nil"/>
              <w:left w:val="nil"/>
              <w:bottom w:val="single" w:sz="4" w:space="0" w:color="A6A6A6"/>
              <w:right w:val="single" w:sz="4" w:space="0" w:color="A6A6A6"/>
            </w:tcBorders>
            <w:shd w:val="clear" w:color="000000" w:fill="F2F2F2"/>
            <w:noWrap/>
            <w:vAlign w:val="center"/>
            <w:hideMark/>
          </w:tcPr>
          <w:p w14:paraId="317B6A43" w14:textId="77777777" w:rsidR="00D301A3" w:rsidRPr="005B412A" w:rsidRDefault="00D301A3" w:rsidP="00DC54F7">
            <w:pPr>
              <w:spacing w:after="0" w:line="240" w:lineRule="auto"/>
              <w:jc w:val="both"/>
              <w:rPr>
                <w:rFonts w:ascii="Arial" w:eastAsia="Times New Roman" w:hAnsi="Arial" w:cs="Arial"/>
                <w:b/>
                <w:bCs/>
                <w:color w:val="000000"/>
                <w:sz w:val="18"/>
                <w:szCs w:val="18"/>
                <w:lang w:eastAsia="en-GB"/>
              </w:rPr>
            </w:pPr>
            <w:r w:rsidRPr="005B412A">
              <w:rPr>
                <w:rFonts w:ascii="Arial" w:eastAsia="Times New Roman" w:hAnsi="Arial" w:cs="Arial"/>
                <w:b/>
                <w:bCs/>
                <w:color w:val="000000"/>
                <w:sz w:val="18"/>
                <w:szCs w:val="18"/>
                <w:lang w:eastAsia="en-GB"/>
              </w:rPr>
              <w:t>Total</w:t>
            </w:r>
          </w:p>
        </w:tc>
      </w:tr>
      <w:tr w:rsidR="00D301A3" w:rsidRPr="005B412A" w14:paraId="1483AD9A"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6245A855"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1</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2557BF63"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Monday</w:t>
            </w:r>
          </w:p>
        </w:tc>
        <w:tc>
          <w:tcPr>
            <w:tcW w:w="1134" w:type="dxa"/>
            <w:tcBorders>
              <w:top w:val="nil"/>
              <w:left w:val="nil"/>
              <w:bottom w:val="single" w:sz="4" w:space="0" w:color="A6A6A6"/>
              <w:right w:val="single" w:sz="4" w:space="0" w:color="A6A6A6"/>
            </w:tcBorders>
            <w:shd w:val="clear" w:color="000000" w:fill="F2F2F2"/>
            <w:noWrap/>
            <w:vAlign w:val="bottom"/>
            <w:hideMark/>
          </w:tcPr>
          <w:p w14:paraId="32561221"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2.92%</w:t>
            </w:r>
          </w:p>
        </w:tc>
        <w:tc>
          <w:tcPr>
            <w:tcW w:w="1134" w:type="dxa"/>
            <w:tcBorders>
              <w:top w:val="nil"/>
              <w:left w:val="nil"/>
              <w:bottom w:val="single" w:sz="4" w:space="0" w:color="A6A6A6"/>
              <w:right w:val="single" w:sz="4" w:space="0" w:color="A6A6A6"/>
            </w:tcBorders>
            <w:shd w:val="clear" w:color="000000" w:fill="F2F2F2"/>
            <w:noWrap/>
            <w:vAlign w:val="bottom"/>
            <w:hideMark/>
          </w:tcPr>
          <w:p w14:paraId="2B025BAC"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9</w:t>
            </w:r>
          </w:p>
        </w:tc>
      </w:tr>
      <w:tr w:rsidR="00D301A3" w:rsidRPr="005B412A" w14:paraId="4C4035FF"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1AA7B7CD"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2</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2F42F88F"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Tuesday</w:t>
            </w:r>
          </w:p>
        </w:tc>
        <w:tc>
          <w:tcPr>
            <w:tcW w:w="1134" w:type="dxa"/>
            <w:tcBorders>
              <w:top w:val="nil"/>
              <w:left w:val="nil"/>
              <w:bottom w:val="single" w:sz="4" w:space="0" w:color="A6A6A6"/>
              <w:right w:val="single" w:sz="4" w:space="0" w:color="A6A6A6"/>
            </w:tcBorders>
            <w:shd w:val="clear" w:color="000000" w:fill="F2F2F2"/>
            <w:noWrap/>
            <w:vAlign w:val="bottom"/>
            <w:hideMark/>
          </w:tcPr>
          <w:p w14:paraId="37464B8F"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0.65%</w:t>
            </w:r>
          </w:p>
        </w:tc>
        <w:tc>
          <w:tcPr>
            <w:tcW w:w="1134" w:type="dxa"/>
            <w:tcBorders>
              <w:top w:val="nil"/>
              <w:left w:val="nil"/>
              <w:bottom w:val="single" w:sz="4" w:space="0" w:color="A6A6A6"/>
              <w:right w:val="single" w:sz="4" w:space="0" w:color="A6A6A6"/>
            </w:tcBorders>
            <w:shd w:val="clear" w:color="000000" w:fill="F2F2F2"/>
            <w:noWrap/>
            <w:vAlign w:val="bottom"/>
            <w:hideMark/>
          </w:tcPr>
          <w:p w14:paraId="1ECD7CFA"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2</w:t>
            </w:r>
          </w:p>
        </w:tc>
      </w:tr>
      <w:tr w:rsidR="00D301A3" w:rsidRPr="005B412A" w14:paraId="2EBCFDBD"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566453CC"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3</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61EFA2FB"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Wednesday</w:t>
            </w:r>
          </w:p>
        </w:tc>
        <w:tc>
          <w:tcPr>
            <w:tcW w:w="1134" w:type="dxa"/>
            <w:tcBorders>
              <w:top w:val="nil"/>
              <w:left w:val="nil"/>
              <w:bottom w:val="single" w:sz="4" w:space="0" w:color="A6A6A6"/>
              <w:right w:val="single" w:sz="4" w:space="0" w:color="A6A6A6"/>
            </w:tcBorders>
            <w:shd w:val="clear" w:color="000000" w:fill="F2F2F2"/>
            <w:noWrap/>
            <w:vAlign w:val="bottom"/>
            <w:hideMark/>
          </w:tcPr>
          <w:p w14:paraId="414C6A46"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2.27%</w:t>
            </w:r>
          </w:p>
        </w:tc>
        <w:tc>
          <w:tcPr>
            <w:tcW w:w="1134" w:type="dxa"/>
            <w:tcBorders>
              <w:top w:val="nil"/>
              <w:left w:val="nil"/>
              <w:bottom w:val="single" w:sz="4" w:space="0" w:color="A6A6A6"/>
              <w:right w:val="single" w:sz="4" w:space="0" w:color="A6A6A6"/>
            </w:tcBorders>
            <w:shd w:val="clear" w:color="000000" w:fill="F2F2F2"/>
            <w:noWrap/>
            <w:vAlign w:val="bottom"/>
            <w:hideMark/>
          </w:tcPr>
          <w:p w14:paraId="2B95D945"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7</w:t>
            </w:r>
          </w:p>
        </w:tc>
      </w:tr>
      <w:tr w:rsidR="00D301A3" w:rsidRPr="005B412A" w14:paraId="0AD64FFD"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235F150D"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4</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11B761F3"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Thursday</w:t>
            </w:r>
          </w:p>
        </w:tc>
        <w:tc>
          <w:tcPr>
            <w:tcW w:w="1134" w:type="dxa"/>
            <w:tcBorders>
              <w:top w:val="nil"/>
              <w:left w:val="nil"/>
              <w:bottom w:val="single" w:sz="4" w:space="0" w:color="A6A6A6"/>
              <w:right w:val="single" w:sz="4" w:space="0" w:color="A6A6A6"/>
            </w:tcBorders>
            <w:shd w:val="clear" w:color="000000" w:fill="F2F2F2"/>
            <w:noWrap/>
            <w:vAlign w:val="bottom"/>
            <w:hideMark/>
          </w:tcPr>
          <w:p w14:paraId="43357308"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1.30%</w:t>
            </w:r>
          </w:p>
        </w:tc>
        <w:tc>
          <w:tcPr>
            <w:tcW w:w="1134" w:type="dxa"/>
            <w:tcBorders>
              <w:top w:val="nil"/>
              <w:left w:val="nil"/>
              <w:bottom w:val="single" w:sz="4" w:space="0" w:color="A6A6A6"/>
              <w:right w:val="single" w:sz="4" w:space="0" w:color="A6A6A6"/>
            </w:tcBorders>
            <w:shd w:val="clear" w:color="000000" w:fill="F2F2F2"/>
            <w:noWrap/>
            <w:vAlign w:val="bottom"/>
            <w:hideMark/>
          </w:tcPr>
          <w:p w14:paraId="748AC5E1"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4</w:t>
            </w:r>
          </w:p>
        </w:tc>
      </w:tr>
      <w:tr w:rsidR="00D301A3" w:rsidRPr="005B412A" w14:paraId="2449E0B2"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5AC74B24"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5</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2A9A80B1"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Friday</w:t>
            </w:r>
          </w:p>
        </w:tc>
        <w:tc>
          <w:tcPr>
            <w:tcW w:w="1134" w:type="dxa"/>
            <w:tcBorders>
              <w:top w:val="nil"/>
              <w:left w:val="nil"/>
              <w:bottom w:val="single" w:sz="4" w:space="0" w:color="A6A6A6"/>
              <w:right w:val="single" w:sz="4" w:space="0" w:color="A6A6A6"/>
            </w:tcBorders>
            <w:shd w:val="clear" w:color="000000" w:fill="F2F2F2"/>
            <w:noWrap/>
            <w:vAlign w:val="bottom"/>
            <w:hideMark/>
          </w:tcPr>
          <w:p w14:paraId="0447CD43"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3.57%</w:t>
            </w:r>
          </w:p>
        </w:tc>
        <w:tc>
          <w:tcPr>
            <w:tcW w:w="1134" w:type="dxa"/>
            <w:tcBorders>
              <w:top w:val="nil"/>
              <w:left w:val="nil"/>
              <w:bottom w:val="single" w:sz="4" w:space="0" w:color="A6A6A6"/>
              <w:right w:val="single" w:sz="4" w:space="0" w:color="A6A6A6"/>
            </w:tcBorders>
            <w:shd w:val="clear" w:color="000000" w:fill="F2F2F2"/>
            <w:noWrap/>
            <w:vAlign w:val="bottom"/>
            <w:hideMark/>
          </w:tcPr>
          <w:p w14:paraId="519A3757"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11</w:t>
            </w:r>
          </w:p>
        </w:tc>
      </w:tr>
      <w:tr w:rsidR="00D301A3" w:rsidRPr="005B412A" w14:paraId="5498337A"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413DC935"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6</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7A5CC719"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Saturday</w:t>
            </w:r>
          </w:p>
        </w:tc>
        <w:tc>
          <w:tcPr>
            <w:tcW w:w="1134" w:type="dxa"/>
            <w:tcBorders>
              <w:top w:val="nil"/>
              <w:left w:val="nil"/>
              <w:bottom w:val="single" w:sz="4" w:space="0" w:color="A6A6A6"/>
              <w:right w:val="single" w:sz="4" w:space="0" w:color="A6A6A6"/>
            </w:tcBorders>
            <w:shd w:val="clear" w:color="000000" w:fill="F2F2F2"/>
            <w:noWrap/>
            <w:vAlign w:val="bottom"/>
            <w:hideMark/>
          </w:tcPr>
          <w:p w14:paraId="544F09E9"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6.49%</w:t>
            </w:r>
          </w:p>
        </w:tc>
        <w:tc>
          <w:tcPr>
            <w:tcW w:w="1134" w:type="dxa"/>
            <w:tcBorders>
              <w:top w:val="nil"/>
              <w:left w:val="nil"/>
              <w:bottom w:val="single" w:sz="4" w:space="0" w:color="A6A6A6"/>
              <w:right w:val="single" w:sz="4" w:space="0" w:color="A6A6A6"/>
            </w:tcBorders>
            <w:shd w:val="clear" w:color="000000" w:fill="F2F2F2"/>
            <w:noWrap/>
            <w:vAlign w:val="bottom"/>
            <w:hideMark/>
          </w:tcPr>
          <w:p w14:paraId="773C04FC"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20</w:t>
            </w:r>
          </w:p>
        </w:tc>
      </w:tr>
      <w:tr w:rsidR="00D301A3" w:rsidRPr="005B412A" w14:paraId="66C50E8D"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6DFBB9F1"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7</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6D193E98"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Sunday</w:t>
            </w:r>
          </w:p>
        </w:tc>
        <w:tc>
          <w:tcPr>
            <w:tcW w:w="1134" w:type="dxa"/>
            <w:tcBorders>
              <w:top w:val="nil"/>
              <w:left w:val="nil"/>
              <w:bottom w:val="single" w:sz="4" w:space="0" w:color="A6A6A6"/>
              <w:right w:val="single" w:sz="4" w:space="0" w:color="A6A6A6"/>
            </w:tcBorders>
            <w:shd w:val="clear" w:color="000000" w:fill="F2F2F2"/>
            <w:noWrap/>
            <w:vAlign w:val="bottom"/>
            <w:hideMark/>
          </w:tcPr>
          <w:p w14:paraId="7C834AB8"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0.32%</w:t>
            </w:r>
          </w:p>
        </w:tc>
        <w:tc>
          <w:tcPr>
            <w:tcW w:w="1134" w:type="dxa"/>
            <w:tcBorders>
              <w:top w:val="nil"/>
              <w:left w:val="nil"/>
              <w:bottom w:val="single" w:sz="4" w:space="0" w:color="A6A6A6"/>
              <w:right w:val="single" w:sz="4" w:space="0" w:color="A6A6A6"/>
            </w:tcBorders>
            <w:shd w:val="clear" w:color="000000" w:fill="F2F2F2"/>
            <w:noWrap/>
            <w:vAlign w:val="bottom"/>
            <w:hideMark/>
          </w:tcPr>
          <w:p w14:paraId="53D67EA3"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1</w:t>
            </w:r>
          </w:p>
        </w:tc>
      </w:tr>
      <w:tr w:rsidR="00D301A3" w:rsidRPr="005B412A" w14:paraId="4CE08D2B"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30CC212C"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8</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222168AE"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Weekdays in general</w:t>
            </w:r>
          </w:p>
        </w:tc>
        <w:tc>
          <w:tcPr>
            <w:tcW w:w="1134" w:type="dxa"/>
            <w:tcBorders>
              <w:top w:val="nil"/>
              <w:left w:val="nil"/>
              <w:bottom w:val="single" w:sz="4" w:space="0" w:color="A6A6A6"/>
              <w:right w:val="single" w:sz="4" w:space="0" w:color="A6A6A6"/>
            </w:tcBorders>
            <w:shd w:val="clear" w:color="000000" w:fill="F2F2F2"/>
            <w:noWrap/>
            <w:vAlign w:val="bottom"/>
            <w:hideMark/>
          </w:tcPr>
          <w:p w14:paraId="76B9B0ED"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19.16%</w:t>
            </w:r>
          </w:p>
        </w:tc>
        <w:tc>
          <w:tcPr>
            <w:tcW w:w="1134" w:type="dxa"/>
            <w:tcBorders>
              <w:top w:val="nil"/>
              <w:left w:val="nil"/>
              <w:bottom w:val="single" w:sz="4" w:space="0" w:color="A6A6A6"/>
              <w:right w:val="single" w:sz="4" w:space="0" w:color="A6A6A6"/>
            </w:tcBorders>
            <w:shd w:val="clear" w:color="000000" w:fill="F2F2F2"/>
            <w:noWrap/>
            <w:vAlign w:val="bottom"/>
            <w:hideMark/>
          </w:tcPr>
          <w:p w14:paraId="4CC56C82"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59</w:t>
            </w:r>
          </w:p>
        </w:tc>
      </w:tr>
      <w:tr w:rsidR="00D301A3" w:rsidRPr="005B412A" w14:paraId="299326AF"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5D949192"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9</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27A17DE9"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Weekends in general</w:t>
            </w:r>
          </w:p>
        </w:tc>
        <w:tc>
          <w:tcPr>
            <w:tcW w:w="1134" w:type="dxa"/>
            <w:tcBorders>
              <w:top w:val="nil"/>
              <w:left w:val="nil"/>
              <w:bottom w:val="single" w:sz="4" w:space="0" w:color="A6A6A6"/>
              <w:right w:val="single" w:sz="4" w:space="0" w:color="A6A6A6"/>
            </w:tcBorders>
            <w:shd w:val="clear" w:color="000000" w:fill="F2F2F2"/>
            <w:noWrap/>
            <w:vAlign w:val="bottom"/>
            <w:hideMark/>
          </w:tcPr>
          <w:p w14:paraId="79680E63"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11.36%</w:t>
            </w:r>
          </w:p>
        </w:tc>
        <w:tc>
          <w:tcPr>
            <w:tcW w:w="1134" w:type="dxa"/>
            <w:tcBorders>
              <w:top w:val="nil"/>
              <w:left w:val="nil"/>
              <w:bottom w:val="single" w:sz="4" w:space="0" w:color="A6A6A6"/>
              <w:right w:val="single" w:sz="4" w:space="0" w:color="A6A6A6"/>
            </w:tcBorders>
            <w:shd w:val="clear" w:color="000000" w:fill="F2F2F2"/>
            <w:noWrap/>
            <w:vAlign w:val="bottom"/>
            <w:hideMark/>
          </w:tcPr>
          <w:p w14:paraId="27FCD564"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35</w:t>
            </w:r>
          </w:p>
        </w:tc>
      </w:tr>
      <w:tr w:rsidR="00D301A3" w:rsidRPr="005B412A" w14:paraId="29821C66"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0D3FDAC0"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10</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65B79CB0"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I don’t have a preference</w:t>
            </w:r>
          </w:p>
        </w:tc>
        <w:tc>
          <w:tcPr>
            <w:tcW w:w="1134" w:type="dxa"/>
            <w:tcBorders>
              <w:top w:val="nil"/>
              <w:left w:val="nil"/>
              <w:bottom w:val="single" w:sz="4" w:space="0" w:color="A6A6A6"/>
              <w:right w:val="single" w:sz="4" w:space="0" w:color="A6A6A6"/>
            </w:tcBorders>
            <w:shd w:val="clear" w:color="000000" w:fill="F2F2F2"/>
            <w:noWrap/>
            <w:vAlign w:val="bottom"/>
            <w:hideMark/>
          </w:tcPr>
          <w:p w14:paraId="5002FAD5"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51.95%</w:t>
            </w:r>
          </w:p>
        </w:tc>
        <w:tc>
          <w:tcPr>
            <w:tcW w:w="1134" w:type="dxa"/>
            <w:tcBorders>
              <w:top w:val="nil"/>
              <w:left w:val="nil"/>
              <w:bottom w:val="single" w:sz="4" w:space="0" w:color="A6A6A6"/>
              <w:right w:val="single" w:sz="4" w:space="0" w:color="A6A6A6"/>
            </w:tcBorders>
            <w:shd w:val="clear" w:color="000000" w:fill="F2F2F2"/>
            <w:noWrap/>
            <w:vAlign w:val="bottom"/>
            <w:hideMark/>
          </w:tcPr>
          <w:p w14:paraId="1D5D90A0"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160</w:t>
            </w:r>
          </w:p>
        </w:tc>
      </w:tr>
      <w:tr w:rsidR="00D301A3" w:rsidRPr="005B412A" w14:paraId="75CA3F1E" w14:textId="77777777" w:rsidTr="00AA572E">
        <w:trPr>
          <w:trHeight w:val="290"/>
        </w:trPr>
        <w:tc>
          <w:tcPr>
            <w:tcW w:w="5665"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7F883976" w14:textId="77777777" w:rsidR="00D301A3" w:rsidRPr="005B412A" w:rsidRDefault="00D301A3" w:rsidP="00DC54F7">
            <w:pPr>
              <w:spacing w:after="0" w:line="240" w:lineRule="auto"/>
              <w:jc w:val="both"/>
              <w:rPr>
                <w:rFonts w:ascii="Arial" w:eastAsia="Times New Roman" w:hAnsi="Arial" w:cs="Arial"/>
                <w:b/>
                <w:bCs/>
                <w:color w:val="000000"/>
                <w:lang w:eastAsia="en-GB"/>
              </w:rPr>
            </w:pPr>
            <w:r w:rsidRPr="005B412A">
              <w:rPr>
                <w:rFonts w:ascii="Arial" w:eastAsia="Times New Roman" w:hAnsi="Arial" w:cs="Arial"/>
                <w:b/>
                <w:bCs/>
                <w:color w:val="000000"/>
                <w:lang w:eastAsia="en-GB"/>
              </w:rPr>
              <w:t> </w:t>
            </w:r>
          </w:p>
        </w:tc>
        <w:tc>
          <w:tcPr>
            <w:tcW w:w="1134" w:type="dxa"/>
            <w:tcBorders>
              <w:top w:val="nil"/>
              <w:left w:val="nil"/>
              <w:bottom w:val="single" w:sz="4" w:space="0" w:color="A6A6A6"/>
              <w:right w:val="single" w:sz="4" w:space="0" w:color="A6A6A6"/>
            </w:tcBorders>
            <w:shd w:val="clear" w:color="000000" w:fill="F2F2F2"/>
            <w:vAlign w:val="center"/>
            <w:hideMark/>
          </w:tcPr>
          <w:p w14:paraId="28115DDA" w14:textId="77777777" w:rsidR="00D301A3" w:rsidRPr="005B412A" w:rsidRDefault="00D301A3" w:rsidP="00DC54F7">
            <w:pPr>
              <w:spacing w:after="0" w:line="240" w:lineRule="auto"/>
              <w:jc w:val="both"/>
              <w:rPr>
                <w:rFonts w:ascii="Arial" w:eastAsia="Times New Roman" w:hAnsi="Arial" w:cs="Arial"/>
                <w:b/>
                <w:bCs/>
                <w:color w:val="000000"/>
                <w:sz w:val="18"/>
                <w:szCs w:val="18"/>
                <w:lang w:eastAsia="en-GB"/>
              </w:rPr>
            </w:pPr>
            <w:r w:rsidRPr="005B412A">
              <w:rPr>
                <w:rFonts w:ascii="Arial" w:eastAsia="Times New Roman" w:hAnsi="Arial" w:cs="Arial"/>
                <w:b/>
                <w:bCs/>
                <w:color w:val="000000"/>
                <w:sz w:val="18"/>
                <w:szCs w:val="18"/>
                <w:lang w:eastAsia="en-GB"/>
              </w:rPr>
              <w:t xml:space="preserve">Total </w:t>
            </w:r>
          </w:p>
        </w:tc>
        <w:tc>
          <w:tcPr>
            <w:tcW w:w="1134" w:type="dxa"/>
            <w:tcBorders>
              <w:top w:val="nil"/>
              <w:left w:val="nil"/>
              <w:bottom w:val="single" w:sz="4" w:space="0" w:color="A6A6A6"/>
              <w:right w:val="single" w:sz="4" w:space="0" w:color="A6A6A6"/>
            </w:tcBorders>
            <w:shd w:val="clear" w:color="000000" w:fill="F2F2F2"/>
            <w:noWrap/>
            <w:vAlign w:val="bottom"/>
            <w:hideMark/>
          </w:tcPr>
          <w:p w14:paraId="3D4A42F2"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100.00%</w:t>
            </w:r>
          </w:p>
        </w:tc>
        <w:tc>
          <w:tcPr>
            <w:tcW w:w="1134" w:type="dxa"/>
            <w:tcBorders>
              <w:top w:val="nil"/>
              <w:left w:val="nil"/>
              <w:bottom w:val="single" w:sz="4" w:space="0" w:color="A6A6A6"/>
              <w:right w:val="single" w:sz="4" w:space="0" w:color="A6A6A6"/>
            </w:tcBorders>
            <w:shd w:val="clear" w:color="000000" w:fill="F2F2F2"/>
            <w:noWrap/>
            <w:vAlign w:val="bottom"/>
            <w:hideMark/>
          </w:tcPr>
          <w:p w14:paraId="64F71414"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308</w:t>
            </w:r>
          </w:p>
        </w:tc>
      </w:tr>
      <w:tr w:rsidR="00D301A3" w:rsidRPr="005B412A" w14:paraId="4DD3CC6A" w14:textId="77777777" w:rsidTr="00AA572E">
        <w:trPr>
          <w:trHeight w:val="290"/>
        </w:trPr>
        <w:tc>
          <w:tcPr>
            <w:tcW w:w="5665" w:type="dxa"/>
            <w:gridSpan w:val="2"/>
            <w:vMerge/>
            <w:tcBorders>
              <w:top w:val="single" w:sz="4" w:space="0" w:color="A6A6A6"/>
              <w:left w:val="single" w:sz="4" w:space="0" w:color="A6A6A6"/>
              <w:bottom w:val="single" w:sz="4" w:space="0" w:color="A6A6A6"/>
              <w:right w:val="single" w:sz="4" w:space="0" w:color="A6A6A6"/>
            </w:tcBorders>
            <w:vAlign w:val="center"/>
            <w:hideMark/>
          </w:tcPr>
          <w:p w14:paraId="6AE46BC4" w14:textId="77777777" w:rsidR="00D301A3" w:rsidRPr="005B412A" w:rsidRDefault="00D301A3" w:rsidP="00DC54F7">
            <w:pPr>
              <w:spacing w:after="0" w:line="240" w:lineRule="auto"/>
              <w:jc w:val="both"/>
              <w:rPr>
                <w:rFonts w:ascii="Arial" w:eastAsia="Times New Roman" w:hAnsi="Arial" w:cs="Arial"/>
                <w:b/>
                <w:bCs/>
                <w:color w:val="000000"/>
                <w:lang w:eastAsia="en-GB"/>
              </w:rPr>
            </w:pPr>
          </w:p>
        </w:tc>
        <w:tc>
          <w:tcPr>
            <w:tcW w:w="1134" w:type="dxa"/>
            <w:tcBorders>
              <w:top w:val="nil"/>
              <w:left w:val="nil"/>
              <w:bottom w:val="single" w:sz="4" w:space="0" w:color="A6A6A6"/>
              <w:right w:val="single" w:sz="4" w:space="0" w:color="A6A6A6"/>
            </w:tcBorders>
            <w:shd w:val="clear" w:color="000000" w:fill="F2F2F2"/>
            <w:vAlign w:val="center"/>
            <w:hideMark/>
          </w:tcPr>
          <w:p w14:paraId="5807206F" w14:textId="77777777" w:rsidR="00D301A3" w:rsidRPr="005B412A" w:rsidRDefault="00D301A3" w:rsidP="00DC54F7">
            <w:pPr>
              <w:spacing w:after="0" w:line="240" w:lineRule="auto"/>
              <w:jc w:val="both"/>
              <w:rPr>
                <w:rFonts w:ascii="Arial" w:eastAsia="Times New Roman" w:hAnsi="Arial" w:cs="Arial"/>
                <w:b/>
                <w:bCs/>
                <w:color w:val="000000"/>
                <w:sz w:val="18"/>
                <w:szCs w:val="18"/>
                <w:lang w:eastAsia="en-GB"/>
              </w:rPr>
            </w:pPr>
            <w:r w:rsidRPr="005B412A">
              <w:rPr>
                <w:rFonts w:ascii="Arial" w:eastAsia="Times New Roman" w:hAnsi="Arial" w:cs="Arial"/>
                <w:b/>
                <w:bCs/>
                <w:color w:val="000000"/>
                <w:sz w:val="18"/>
                <w:szCs w:val="18"/>
                <w:lang w:eastAsia="en-GB"/>
              </w:rPr>
              <w:t>Skipped</w:t>
            </w:r>
          </w:p>
        </w:tc>
        <w:tc>
          <w:tcPr>
            <w:tcW w:w="1134" w:type="dxa"/>
            <w:tcBorders>
              <w:top w:val="nil"/>
              <w:left w:val="nil"/>
              <w:bottom w:val="single" w:sz="4" w:space="0" w:color="A6A6A6"/>
              <w:right w:val="single" w:sz="4" w:space="0" w:color="A6A6A6"/>
            </w:tcBorders>
            <w:shd w:val="clear" w:color="000000" w:fill="F2F2F2"/>
            <w:noWrap/>
            <w:vAlign w:val="bottom"/>
            <w:hideMark/>
          </w:tcPr>
          <w:p w14:paraId="24742143"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 </w:t>
            </w:r>
          </w:p>
        </w:tc>
        <w:tc>
          <w:tcPr>
            <w:tcW w:w="1134" w:type="dxa"/>
            <w:tcBorders>
              <w:top w:val="nil"/>
              <w:left w:val="nil"/>
              <w:bottom w:val="single" w:sz="4" w:space="0" w:color="A6A6A6"/>
              <w:right w:val="single" w:sz="4" w:space="0" w:color="A6A6A6"/>
            </w:tcBorders>
            <w:shd w:val="clear" w:color="000000" w:fill="F2F2F2"/>
            <w:noWrap/>
            <w:vAlign w:val="bottom"/>
            <w:hideMark/>
          </w:tcPr>
          <w:p w14:paraId="162CC023"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3</w:t>
            </w:r>
          </w:p>
        </w:tc>
      </w:tr>
    </w:tbl>
    <w:p w14:paraId="5155E635" w14:textId="77777777" w:rsidR="00D301A3" w:rsidRDefault="00D301A3" w:rsidP="00DC54F7">
      <w:pPr>
        <w:jc w:val="both"/>
      </w:pPr>
    </w:p>
    <w:p w14:paraId="676D6814" w14:textId="77777777" w:rsidR="00D301A3" w:rsidRDefault="00D301A3" w:rsidP="00DC54F7">
      <w:pPr>
        <w:spacing w:after="0" w:line="240" w:lineRule="auto"/>
        <w:jc w:val="both"/>
        <w:rPr>
          <w:rFonts w:ascii="Arial" w:eastAsia="Times New Roman" w:hAnsi="Arial" w:cs="Arial"/>
          <w:b/>
          <w:bCs/>
          <w:color w:val="333333"/>
          <w:sz w:val="21"/>
          <w:szCs w:val="21"/>
          <w:lang w:eastAsia="en-GB"/>
        </w:rPr>
      </w:pPr>
      <w:r w:rsidRPr="005B412A">
        <w:rPr>
          <w:rFonts w:ascii="Arial" w:eastAsia="Times New Roman" w:hAnsi="Arial" w:cs="Arial"/>
          <w:b/>
          <w:bCs/>
          <w:color w:val="333333"/>
          <w:sz w:val="21"/>
          <w:szCs w:val="21"/>
          <w:lang w:eastAsia="en-GB"/>
        </w:rPr>
        <w:t>6</w:t>
      </w:r>
      <w:r w:rsidRPr="005B412A">
        <w:rPr>
          <w:rFonts w:ascii="Arial" w:eastAsia="Times New Roman" w:hAnsi="Arial" w:cs="Arial"/>
          <w:b/>
          <w:bCs/>
          <w:color w:val="333333"/>
          <w:lang w:eastAsia="en-GB"/>
        </w:rPr>
        <w:t>. Has there been a time recently when you, or a person on your behalf, were not able to use your usual pharmacy? Please tick one.</w:t>
      </w:r>
      <w:r w:rsidRPr="005B412A">
        <w:rPr>
          <w:rFonts w:ascii="Arial" w:eastAsia="Times New Roman" w:hAnsi="Arial" w:cs="Arial"/>
          <w:b/>
          <w:bCs/>
          <w:color w:val="333333"/>
          <w:sz w:val="21"/>
          <w:szCs w:val="21"/>
          <w:lang w:eastAsia="en-GB"/>
        </w:rPr>
        <w:t xml:space="preserve"> </w:t>
      </w:r>
    </w:p>
    <w:p w14:paraId="6B3EA586" w14:textId="77777777" w:rsidR="00D301A3" w:rsidRPr="005B412A" w:rsidRDefault="00D301A3" w:rsidP="00DC54F7">
      <w:pPr>
        <w:spacing w:after="0" w:line="240" w:lineRule="auto"/>
        <w:jc w:val="both"/>
        <w:rPr>
          <w:rFonts w:ascii="Arial" w:eastAsia="Times New Roman" w:hAnsi="Arial" w:cs="Arial"/>
          <w:b/>
          <w:bCs/>
          <w:color w:val="333333"/>
          <w:sz w:val="21"/>
          <w:szCs w:val="21"/>
          <w:lang w:eastAsia="en-GB"/>
        </w:rPr>
      </w:pPr>
    </w:p>
    <w:tbl>
      <w:tblPr>
        <w:tblW w:w="9067" w:type="dxa"/>
        <w:tblLook w:val="04A0" w:firstRow="1" w:lastRow="0" w:firstColumn="1" w:lastColumn="0" w:noHBand="0" w:noVBand="1"/>
      </w:tblPr>
      <w:tblGrid>
        <w:gridCol w:w="960"/>
        <w:gridCol w:w="4705"/>
        <w:gridCol w:w="1134"/>
        <w:gridCol w:w="1134"/>
        <w:gridCol w:w="1134"/>
      </w:tblGrid>
      <w:tr w:rsidR="00D301A3" w:rsidRPr="005B412A" w14:paraId="2C1DD4F7" w14:textId="77777777" w:rsidTr="00AA572E">
        <w:trPr>
          <w:trHeight w:val="290"/>
        </w:trPr>
        <w:tc>
          <w:tcPr>
            <w:tcW w:w="6799" w:type="dxa"/>
            <w:gridSpan w:val="3"/>
            <w:tcBorders>
              <w:top w:val="single" w:sz="4" w:space="0" w:color="A6A6A6"/>
              <w:left w:val="single" w:sz="4" w:space="0" w:color="A6A6A6"/>
              <w:bottom w:val="single" w:sz="4" w:space="0" w:color="A6A6A6"/>
              <w:right w:val="nil"/>
            </w:tcBorders>
            <w:shd w:val="clear" w:color="000000" w:fill="8497B0"/>
            <w:noWrap/>
            <w:vAlign w:val="center"/>
            <w:hideMark/>
          </w:tcPr>
          <w:p w14:paraId="5D60F2D9" w14:textId="77777777" w:rsidR="00D301A3" w:rsidRPr="005B412A" w:rsidRDefault="00D301A3" w:rsidP="00DC54F7">
            <w:pPr>
              <w:spacing w:after="0" w:line="240" w:lineRule="auto"/>
              <w:jc w:val="both"/>
              <w:rPr>
                <w:rFonts w:ascii="Arial" w:eastAsia="Times New Roman" w:hAnsi="Arial" w:cs="Arial"/>
                <w:b/>
                <w:bCs/>
                <w:color w:val="FFFFFF"/>
                <w:sz w:val="21"/>
                <w:szCs w:val="21"/>
                <w:lang w:eastAsia="en-GB"/>
              </w:rPr>
            </w:pPr>
            <w:r w:rsidRPr="005B412A">
              <w:rPr>
                <w:rFonts w:ascii="Arial" w:eastAsia="Times New Roman" w:hAnsi="Arial" w:cs="Arial"/>
                <w:b/>
                <w:bCs/>
                <w:color w:val="FFFFFF"/>
                <w:sz w:val="21"/>
                <w:szCs w:val="21"/>
                <w:lang w:eastAsia="en-GB"/>
              </w:rPr>
              <w:t> </w:t>
            </w:r>
          </w:p>
        </w:tc>
        <w:tc>
          <w:tcPr>
            <w:tcW w:w="2268" w:type="dxa"/>
            <w:gridSpan w:val="2"/>
            <w:tcBorders>
              <w:top w:val="single" w:sz="4" w:space="0" w:color="A6A6A6"/>
              <w:left w:val="nil"/>
              <w:bottom w:val="single" w:sz="4" w:space="0" w:color="A6A6A6"/>
              <w:right w:val="single" w:sz="4" w:space="0" w:color="A6A6A6"/>
            </w:tcBorders>
            <w:shd w:val="clear" w:color="000000" w:fill="8497B0"/>
            <w:noWrap/>
            <w:vAlign w:val="center"/>
            <w:hideMark/>
          </w:tcPr>
          <w:p w14:paraId="6B5161B2" w14:textId="77777777" w:rsidR="00D301A3" w:rsidRPr="005B412A" w:rsidRDefault="00D301A3" w:rsidP="00DC54F7">
            <w:pPr>
              <w:spacing w:after="0" w:line="240" w:lineRule="auto"/>
              <w:jc w:val="both"/>
              <w:rPr>
                <w:rFonts w:ascii="Arial" w:eastAsia="Times New Roman" w:hAnsi="Arial" w:cs="Arial"/>
                <w:b/>
                <w:bCs/>
                <w:color w:val="FFFFFF"/>
                <w:sz w:val="21"/>
                <w:szCs w:val="21"/>
                <w:lang w:eastAsia="en-GB"/>
              </w:rPr>
            </w:pPr>
            <w:r w:rsidRPr="005B412A">
              <w:rPr>
                <w:rFonts w:ascii="Arial" w:eastAsia="Times New Roman" w:hAnsi="Arial" w:cs="Arial"/>
                <w:b/>
                <w:bCs/>
                <w:color w:val="FFFFFF"/>
                <w:sz w:val="21"/>
                <w:szCs w:val="21"/>
                <w:lang w:eastAsia="en-GB"/>
              </w:rPr>
              <w:t>Response</w:t>
            </w:r>
          </w:p>
        </w:tc>
      </w:tr>
      <w:tr w:rsidR="00D301A3" w:rsidRPr="005B412A" w14:paraId="6F4DD6FD" w14:textId="77777777" w:rsidTr="00AA572E">
        <w:trPr>
          <w:trHeight w:val="290"/>
        </w:trPr>
        <w:tc>
          <w:tcPr>
            <w:tcW w:w="6799"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0F7FBF68" w14:textId="77777777" w:rsidR="00D301A3" w:rsidRPr="005B412A" w:rsidRDefault="00D301A3" w:rsidP="00DC54F7">
            <w:pPr>
              <w:spacing w:after="0" w:line="240" w:lineRule="auto"/>
              <w:jc w:val="both"/>
              <w:rPr>
                <w:rFonts w:ascii="Arial" w:eastAsia="Times New Roman" w:hAnsi="Arial" w:cs="Arial"/>
                <w:b/>
                <w:bCs/>
                <w:color w:val="000000"/>
                <w:sz w:val="18"/>
                <w:szCs w:val="18"/>
                <w:lang w:eastAsia="en-GB"/>
              </w:rPr>
            </w:pPr>
            <w:r w:rsidRPr="005B412A">
              <w:rPr>
                <w:rFonts w:ascii="Arial" w:eastAsia="Times New Roman" w:hAnsi="Arial" w:cs="Arial"/>
                <w:b/>
                <w:bCs/>
                <w:color w:val="000000"/>
                <w:sz w:val="18"/>
                <w:szCs w:val="18"/>
                <w:lang w:eastAsia="en-GB"/>
              </w:rPr>
              <w:t> </w:t>
            </w:r>
          </w:p>
        </w:tc>
        <w:tc>
          <w:tcPr>
            <w:tcW w:w="1134" w:type="dxa"/>
            <w:tcBorders>
              <w:top w:val="nil"/>
              <w:left w:val="nil"/>
              <w:bottom w:val="single" w:sz="4" w:space="0" w:color="A6A6A6"/>
              <w:right w:val="single" w:sz="4" w:space="0" w:color="A6A6A6"/>
            </w:tcBorders>
            <w:shd w:val="clear" w:color="000000" w:fill="F2F2F2"/>
            <w:noWrap/>
            <w:vAlign w:val="center"/>
            <w:hideMark/>
          </w:tcPr>
          <w:p w14:paraId="32DEAAAF" w14:textId="77777777" w:rsidR="00D301A3" w:rsidRPr="005B412A" w:rsidRDefault="00D301A3" w:rsidP="00DC54F7">
            <w:pPr>
              <w:spacing w:after="0" w:line="240" w:lineRule="auto"/>
              <w:jc w:val="both"/>
              <w:rPr>
                <w:rFonts w:ascii="Arial" w:eastAsia="Times New Roman" w:hAnsi="Arial" w:cs="Arial"/>
                <w:b/>
                <w:bCs/>
                <w:color w:val="000000"/>
                <w:sz w:val="18"/>
                <w:szCs w:val="18"/>
                <w:lang w:eastAsia="en-GB"/>
              </w:rPr>
            </w:pPr>
            <w:r w:rsidRPr="005B412A">
              <w:rPr>
                <w:rFonts w:ascii="Arial" w:eastAsia="Times New Roman" w:hAnsi="Arial" w:cs="Arial"/>
                <w:b/>
                <w:bCs/>
                <w:color w:val="000000"/>
                <w:sz w:val="18"/>
                <w:szCs w:val="18"/>
                <w:lang w:eastAsia="en-GB"/>
              </w:rPr>
              <w:t>Percent</w:t>
            </w:r>
          </w:p>
        </w:tc>
        <w:tc>
          <w:tcPr>
            <w:tcW w:w="1134" w:type="dxa"/>
            <w:tcBorders>
              <w:top w:val="nil"/>
              <w:left w:val="nil"/>
              <w:bottom w:val="single" w:sz="4" w:space="0" w:color="A6A6A6"/>
              <w:right w:val="single" w:sz="4" w:space="0" w:color="A6A6A6"/>
            </w:tcBorders>
            <w:shd w:val="clear" w:color="000000" w:fill="F2F2F2"/>
            <w:noWrap/>
            <w:vAlign w:val="center"/>
            <w:hideMark/>
          </w:tcPr>
          <w:p w14:paraId="2346D45E" w14:textId="77777777" w:rsidR="00D301A3" w:rsidRPr="005B412A" w:rsidRDefault="00D301A3" w:rsidP="00DC54F7">
            <w:pPr>
              <w:spacing w:after="0" w:line="240" w:lineRule="auto"/>
              <w:jc w:val="both"/>
              <w:rPr>
                <w:rFonts w:ascii="Arial" w:eastAsia="Times New Roman" w:hAnsi="Arial" w:cs="Arial"/>
                <w:b/>
                <w:bCs/>
                <w:color w:val="000000"/>
                <w:sz w:val="18"/>
                <w:szCs w:val="18"/>
                <w:lang w:eastAsia="en-GB"/>
              </w:rPr>
            </w:pPr>
            <w:r w:rsidRPr="005B412A">
              <w:rPr>
                <w:rFonts w:ascii="Arial" w:eastAsia="Times New Roman" w:hAnsi="Arial" w:cs="Arial"/>
                <w:b/>
                <w:bCs/>
                <w:color w:val="000000"/>
                <w:sz w:val="18"/>
                <w:szCs w:val="18"/>
                <w:lang w:eastAsia="en-GB"/>
              </w:rPr>
              <w:t>Total</w:t>
            </w:r>
          </w:p>
        </w:tc>
      </w:tr>
      <w:tr w:rsidR="00D301A3" w:rsidRPr="005B412A" w14:paraId="4B5FCDA3"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83D94A2"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1</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0D7BD3E9"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Yes</w:t>
            </w:r>
          </w:p>
        </w:tc>
        <w:tc>
          <w:tcPr>
            <w:tcW w:w="1134" w:type="dxa"/>
            <w:tcBorders>
              <w:top w:val="nil"/>
              <w:left w:val="nil"/>
              <w:bottom w:val="single" w:sz="4" w:space="0" w:color="A6A6A6"/>
              <w:right w:val="single" w:sz="4" w:space="0" w:color="A6A6A6"/>
            </w:tcBorders>
            <w:shd w:val="clear" w:color="000000" w:fill="F2F2F2"/>
            <w:noWrap/>
            <w:vAlign w:val="bottom"/>
            <w:hideMark/>
          </w:tcPr>
          <w:p w14:paraId="627D48F1"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24.76%</w:t>
            </w:r>
          </w:p>
        </w:tc>
        <w:tc>
          <w:tcPr>
            <w:tcW w:w="1134" w:type="dxa"/>
            <w:tcBorders>
              <w:top w:val="nil"/>
              <w:left w:val="nil"/>
              <w:bottom w:val="single" w:sz="4" w:space="0" w:color="A6A6A6"/>
              <w:right w:val="single" w:sz="4" w:space="0" w:color="A6A6A6"/>
            </w:tcBorders>
            <w:shd w:val="clear" w:color="000000" w:fill="F2F2F2"/>
            <w:noWrap/>
            <w:vAlign w:val="bottom"/>
            <w:hideMark/>
          </w:tcPr>
          <w:p w14:paraId="7B642156"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76</w:t>
            </w:r>
          </w:p>
        </w:tc>
      </w:tr>
      <w:tr w:rsidR="00D301A3" w:rsidRPr="005B412A" w14:paraId="112ADD08"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3560C78C"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2</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5CD41DD3"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 xml:space="preserve">No </w:t>
            </w:r>
          </w:p>
        </w:tc>
        <w:tc>
          <w:tcPr>
            <w:tcW w:w="1134" w:type="dxa"/>
            <w:tcBorders>
              <w:top w:val="nil"/>
              <w:left w:val="nil"/>
              <w:bottom w:val="single" w:sz="4" w:space="0" w:color="A6A6A6"/>
              <w:right w:val="single" w:sz="4" w:space="0" w:color="A6A6A6"/>
            </w:tcBorders>
            <w:shd w:val="clear" w:color="000000" w:fill="F2F2F2"/>
            <w:noWrap/>
            <w:vAlign w:val="bottom"/>
            <w:hideMark/>
          </w:tcPr>
          <w:p w14:paraId="50890AEF"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72.64%</w:t>
            </w:r>
          </w:p>
        </w:tc>
        <w:tc>
          <w:tcPr>
            <w:tcW w:w="1134" w:type="dxa"/>
            <w:tcBorders>
              <w:top w:val="nil"/>
              <w:left w:val="nil"/>
              <w:bottom w:val="single" w:sz="4" w:space="0" w:color="A6A6A6"/>
              <w:right w:val="single" w:sz="4" w:space="0" w:color="A6A6A6"/>
            </w:tcBorders>
            <w:shd w:val="clear" w:color="000000" w:fill="F2F2F2"/>
            <w:noWrap/>
            <w:vAlign w:val="bottom"/>
            <w:hideMark/>
          </w:tcPr>
          <w:p w14:paraId="34754027"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223</w:t>
            </w:r>
          </w:p>
        </w:tc>
      </w:tr>
      <w:tr w:rsidR="00D301A3" w:rsidRPr="005B412A" w14:paraId="1B5A620F"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346E2C9C"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3</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01B23910"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 xml:space="preserve">Not applicable </w:t>
            </w:r>
          </w:p>
        </w:tc>
        <w:tc>
          <w:tcPr>
            <w:tcW w:w="1134" w:type="dxa"/>
            <w:tcBorders>
              <w:top w:val="nil"/>
              <w:left w:val="nil"/>
              <w:bottom w:val="single" w:sz="4" w:space="0" w:color="A6A6A6"/>
              <w:right w:val="single" w:sz="4" w:space="0" w:color="A6A6A6"/>
            </w:tcBorders>
            <w:shd w:val="clear" w:color="000000" w:fill="F2F2F2"/>
            <w:noWrap/>
            <w:vAlign w:val="bottom"/>
            <w:hideMark/>
          </w:tcPr>
          <w:p w14:paraId="2D43CCDE"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2.61%</w:t>
            </w:r>
          </w:p>
        </w:tc>
        <w:tc>
          <w:tcPr>
            <w:tcW w:w="1134" w:type="dxa"/>
            <w:tcBorders>
              <w:top w:val="nil"/>
              <w:left w:val="nil"/>
              <w:bottom w:val="single" w:sz="4" w:space="0" w:color="A6A6A6"/>
              <w:right w:val="single" w:sz="4" w:space="0" w:color="A6A6A6"/>
            </w:tcBorders>
            <w:shd w:val="clear" w:color="000000" w:fill="F2F2F2"/>
            <w:noWrap/>
            <w:vAlign w:val="bottom"/>
            <w:hideMark/>
          </w:tcPr>
          <w:p w14:paraId="1D172104"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8</w:t>
            </w:r>
          </w:p>
        </w:tc>
      </w:tr>
      <w:tr w:rsidR="00D301A3" w:rsidRPr="005B412A" w14:paraId="2AEA9FFA" w14:textId="77777777" w:rsidTr="00AA572E">
        <w:trPr>
          <w:trHeight w:val="290"/>
        </w:trPr>
        <w:tc>
          <w:tcPr>
            <w:tcW w:w="5665"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7570977D" w14:textId="77777777" w:rsidR="00D301A3" w:rsidRPr="005B412A" w:rsidRDefault="00D301A3" w:rsidP="00DC54F7">
            <w:pPr>
              <w:spacing w:after="0" w:line="240" w:lineRule="auto"/>
              <w:jc w:val="both"/>
              <w:rPr>
                <w:rFonts w:ascii="Arial" w:eastAsia="Times New Roman" w:hAnsi="Arial" w:cs="Arial"/>
                <w:b/>
                <w:bCs/>
                <w:color w:val="000000"/>
                <w:lang w:eastAsia="en-GB"/>
              </w:rPr>
            </w:pPr>
            <w:r w:rsidRPr="005B412A">
              <w:rPr>
                <w:rFonts w:ascii="Arial" w:eastAsia="Times New Roman" w:hAnsi="Arial" w:cs="Arial"/>
                <w:b/>
                <w:bCs/>
                <w:color w:val="000000"/>
                <w:lang w:eastAsia="en-GB"/>
              </w:rPr>
              <w:t> </w:t>
            </w:r>
          </w:p>
        </w:tc>
        <w:tc>
          <w:tcPr>
            <w:tcW w:w="1134" w:type="dxa"/>
            <w:tcBorders>
              <w:top w:val="nil"/>
              <w:left w:val="nil"/>
              <w:bottom w:val="single" w:sz="4" w:space="0" w:color="A6A6A6"/>
              <w:right w:val="single" w:sz="4" w:space="0" w:color="A6A6A6"/>
            </w:tcBorders>
            <w:shd w:val="clear" w:color="000000" w:fill="F2F2F2"/>
            <w:vAlign w:val="center"/>
            <w:hideMark/>
          </w:tcPr>
          <w:p w14:paraId="7B707F88" w14:textId="77777777" w:rsidR="00D301A3" w:rsidRPr="005B412A" w:rsidRDefault="00D301A3" w:rsidP="00DC54F7">
            <w:pPr>
              <w:spacing w:after="0" w:line="240" w:lineRule="auto"/>
              <w:jc w:val="both"/>
              <w:rPr>
                <w:rFonts w:ascii="Arial" w:eastAsia="Times New Roman" w:hAnsi="Arial" w:cs="Arial"/>
                <w:b/>
                <w:bCs/>
                <w:color w:val="000000"/>
                <w:sz w:val="18"/>
                <w:szCs w:val="18"/>
                <w:lang w:eastAsia="en-GB"/>
              </w:rPr>
            </w:pPr>
            <w:r w:rsidRPr="005B412A">
              <w:rPr>
                <w:rFonts w:ascii="Arial" w:eastAsia="Times New Roman" w:hAnsi="Arial" w:cs="Arial"/>
                <w:b/>
                <w:bCs/>
                <w:color w:val="000000"/>
                <w:sz w:val="18"/>
                <w:szCs w:val="18"/>
                <w:lang w:eastAsia="en-GB"/>
              </w:rPr>
              <w:t xml:space="preserve">Total </w:t>
            </w:r>
          </w:p>
        </w:tc>
        <w:tc>
          <w:tcPr>
            <w:tcW w:w="1134" w:type="dxa"/>
            <w:tcBorders>
              <w:top w:val="nil"/>
              <w:left w:val="nil"/>
              <w:bottom w:val="single" w:sz="4" w:space="0" w:color="A6A6A6"/>
              <w:right w:val="single" w:sz="4" w:space="0" w:color="A6A6A6"/>
            </w:tcBorders>
            <w:shd w:val="clear" w:color="000000" w:fill="F2F2F2"/>
            <w:noWrap/>
            <w:vAlign w:val="bottom"/>
            <w:hideMark/>
          </w:tcPr>
          <w:p w14:paraId="25D97E9E"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100.00%</w:t>
            </w:r>
          </w:p>
        </w:tc>
        <w:tc>
          <w:tcPr>
            <w:tcW w:w="1134" w:type="dxa"/>
            <w:tcBorders>
              <w:top w:val="nil"/>
              <w:left w:val="nil"/>
              <w:bottom w:val="single" w:sz="4" w:space="0" w:color="A6A6A6"/>
              <w:right w:val="single" w:sz="4" w:space="0" w:color="A6A6A6"/>
            </w:tcBorders>
            <w:shd w:val="clear" w:color="000000" w:fill="F2F2F2"/>
            <w:noWrap/>
            <w:vAlign w:val="bottom"/>
            <w:hideMark/>
          </w:tcPr>
          <w:p w14:paraId="23DB30C4"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307</w:t>
            </w:r>
          </w:p>
        </w:tc>
      </w:tr>
      <w:tr w:rsidR="00D301A3" w:rsidRPr="005B412A" w14:paraId="64E5C861" w14:textId="77777777" w:rsidTr="00AA572E">
        <w:trPr>
          <w:trHeight w:val="310"/>
        </w:trPr>
        <w:tc>
          <w:tcPr>
            <w:tcW w:w="5665" w:type="dxa"/>
            <w:gridSpan w:val="2"/>
            <w:vMerge/>
            <w:tcBorders>
              <w:top w:val="single" w:sz="4" w:space="0" w:color="A6A6A6"/>
              <w:left w:val="single" w:sz="4" w:space="0" w:color="A6A6A6"/>
              <w:bottom w:val="single" w:sz="4" w:space="0" w:color="A6A6A6"/>
              <w:right w:val="single" w:sz="4" w:space="0" w:color="A6A6A6"/>
            </w:tcBorders>
            <w:vAlign w:val="center"/>
            <w:hideMark/>
          </w:tcPr>
          <w:p w14:paraId="06080C52" w14:textId="77777777" w:rsidR="00D301A3" w:rsidRPr="005B412A" w:rsidRDefault="00D301A3" w:rsidP="00DC54F7">
            <w:pPr>
              <w:spacing w:after="0" w:line="240" w:lineRule="auto"/>
              <w:jc w:val="both"/>
              <w:rPr>
                <w:rFonts w:ascii="Arial" w:eastAsia="Times New Roman" w:hAnsi="Arial" w:cs="Arial"/>
                <w:b/>
                <w:bCs/>
                <w:color w:val="000000"/>
                <w:lang w:eastAsia="en-GB"/>
              </w:rPr>
            </w:pPr>
          </w:p>
        </w:tc>
        <w:tc>
          <w:tcPr>
            <w:tcW w:w="1134" w:type="dxa"/>
            <w:tcBorders>
              <w:top w:val="nil"/>
              <w:left w:val="nil"/>
              <w:bottom w:val="single" w:sz="4" w:space="0" w:color="A6A6A6"/>
              <w:right w:val="single" w:sz="4" w:space="0" w:color="A6A6A6"/>
            </w:tcBorders>
            <w:shd w:val="clear" w:color="000000" w:fill="F2F2F2"/>
            <w:vAlign w:val="center"/>
            <w:hideMark/>
          </w:tcPr>
          <w:p w14:paraId="7DCD58BD" w14:textId="77777777" w:rsidR="00D301A3" w:rsidRPr="005B412A" w:rsidRDefault="00D301A3" w:rsidP="00DC54F7">
            <w:pPr>
              <w:spacing w:after="0" w:line="240" w:lineRule="auto"/>
              <w:jc w:val="both"/>
              <w:rPr>
                <w:rFonts w:ascii="Arial" w:eastAsia="Times New Roman" w:hAnsi="Arial" w:cs="Arial"/>
                <w:b/>
                <w:bCs/>
                <w:color w:val="000000"/>
                <w:sz w:val="18"/>
                <w:szCs w:val="18"/>
                <w:lang w:eastAsia="en-GB"/>
              </w:rPr>
            </w:pPr>
            <w:r w:rsidRPr="005B412A">
              <w:rPr>
                <w:rFonts w:ascii="Arial" w:eastAsia="Times New Roman" w:hAnsi="Arial" w:cs="Arial"/>
                <w:b/>
                <w:bCs/>
                <w:color w:val="000000"/>
                <w:sz w:val="18"/>
                <w:szCs w:val="18"/>
                <w:lang w:eastAsia="en-GB"/>
              </w:rPr>
              <w:t>Skipped</w:t>
            </w:r>
          </w:p>
        </w:tc>
        <w:tc>
          <w:tcPr>
            <w:tcW w:w="1134" w:type="dxa"/>
            <w:tcBorders>
              <w:top w:val="nil"/>
              <w:left w:val="nil"/>
              <w:bottom w:val="single" w:sz="4" w:space="0" w:color="A6A6A6"/>
              <w:right w:val="single" w:sz="4" w:space="0" w:color="A6A6A6"/>
            </w:tcBorders>
            <w:shd w:val="clear" w:color="000000" w:fill="F2F2F2"/>
            <w:noWrap/>
            <w:vAlign w:val="bottom"/>
            <w:hideMark/>
          </w:tcPr>
          <w:p w14:paraId="49D23848"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 </w:t>
            </w:r>
          </w:p>
        </w:tc>
        <w:tc>
          <w:tcPr>
            <w:tcW w:w="1134" w:type="dxa"/>
            <w:tcBorders>
              <w:top w:val="nil"/>
              <w:left w:val="nil"/>
              <w:bottom w:val="single" w:sz="4" w:space="0" w:color="A6A6A6"/>
              <w:right w:val="single" w:sz="4" w:space="0" w:color="A6A6A6"/>
            </w:tcBorders>
            <w:shd w:val="clear" w:color="000000" w:fill="F2F2F2"/>
            <w:noWrap/>
            <w:vAlign w:val="bottom"/>
            <w:hideMark/>
          </w:tcPr>
          <w:p w14:paraId="20C5F21B"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4</w:t>
            </w:r>
          </w:p>
        </w:tc>
      </w:tr>
    </w:tbl>
    <w:p w14:paraId="5E451185" w14:textId="77777777" w:rsidR="00D301A3" w:rsidRDefault="00D301A3" w:rsidP="00DC54F7">
      <w:pPr>
        <w:jc w:val="both"/>
      </w:pPr>
    </w:p>
    <w:p w14:paraId="4B4D046E" w14:textId="77777777" w:rsidR="00D301A3" w:rsidRDefault="00D301A3" w:rsidP="00DC54F7">
      <w:pPr>
        <w:spacing w:after="0" w:line="240" w:lineRule="auto"/>
        <w:jc w:val="both"/>
        <w:rPr>
          <w:rFonts w:ascii="Arial" w:eastAsia="Times New Roman" w:hAnsi="Arial" w:cs="Arial"/>
          <w:b/>
          <w:bCs/>
          <w:color w:val="333333"/>
          <w:lang w:eastAsia="en-GB"/>
        </w:rPr>
      </w:pPr>
    </w:p>
    <w:p w14:paraId="64AFBFC2" w14:textId="77777777" w:rsidR="00D301A3" w:rsidRDefault="00D301A3" w:rsidP="00DC54F7">
      <w:pPr>
        <w:spacing w:after="0" w:line="240" w:lineRule="auto"/>
        <w:jc w:val="both"/>
        <w:rPr>
          <w:rFonts w:ascii="Arial" w:eastAsia="Times New Roman" w:hAnsi="Arial" w:cs="Arial"/>
          <w:b/>
          <w:bCs/>
          <w:color w:val="333333"/>
          <w:lang w:eastAsia="en-GB"/>
        </w:rPr>
      </w:pPr>
      <w:r w:rsidRPr="00FE14A4">
        <w:rPr>
          <w:rFonts w:ascii="Arial" w:eastAsia="Times New Roman" w:hAnsi="Arial" w:cs="Arial"/>
          <w:b/>
          <w:bCs/>
          <w:color w:val="333333"/>
          <w:lang w:eastAsia="en-GB"/>
        </w:rPr>
        <w:lastRenderedPageBreak/>
        <w:t>7. If you answered yes to question 6 can you tell us what you / they did? Please tick all statements that apply.</w:t>
      </w:r>
      <w:r w:rsidRPr="005B412A">
        <w:rPr>
          <w:rFonts w:ascii="Arial" w:eastAsia="Times New Roman" w:hAnsi="Arial" w:cs="Arial"/>
          <w:b/>
          <w:bCs/>
          <w:color w:val="333333"/>
          <w:lang w:eastAsia="en-GB"/>
        </w:rPr>
        <w:t xml:space="preserve"> </w:t>
      </w:r>
    </w:p>
    <w:p w14:paraId="455C6079" w14:textId="77777777" w:rsidR="00D301A3" w:rsidRDefault="00D301A3" w:rsidP="00DC54F7">
      <w:pPr>
        <w:spacing w:after="0" w:line="240" w:lineRule="auto"/>
        <w:jc w:val="both"/>
        <w:rPr>
          <w:rFonts w:ascii="Arial" w:eastAsia="Times New Roman" w:hAnsi="Arial" w:cs="Arial"/>
          <w:b/>
          <w:bCs/>
          <w:color w:val="333333"/>
          <w:lang w:eastAsia="en-GB"/>
        </w:rPr>
      </w:pPr>
    </w:p>
    <w:p w14:paraId="03EDEA7C" w14:textId="77777777" w:rsidR="00D301A3" w:rsidRDefault="00D301A3" w:rsidP="00DC54F7">
      <w:pPr>
        <w:spacing w:after="0" w:line="240" w:lineRule="auto"/>
        <w:jc w:val="both"/>
        <w:rPr>
          <w:rFonts w:ascii="Arial" w:eastAsia="Times New Roman" w:hAnsi="Arial" w:cs="Arial"/>
          <w:b/>
          <w:bCs/>
          <w:color w:val="333333"/>
        </w:rPr>
      </w:pPr>
      <w:r>
        <w:rPr>
          <w:rFonts w:ascii="Arial" w:eastAsia="Times New Roman" w:hAnsi="Arial" w:cs="Arial"/>
          <w:b/>
          <w:bCs/>
          <w:color w:val="333333"/>
        </w:rPr>
        <w:t>(</w:t>
      </w:r>
      <w:r w:rsidRPr="007F0913">
        <w:rPr>
          <w:rFonts w:ascii="Arial" w:hAnsi="Arial" w:cs="Arial"/>
        </w:rPr>
        <w:t>Multiple answers could be given to this question</w:t>
      </w:r>
      <w:r>
        <w:t>)</w:t>
      </w:r>
    </w:p>
    <w:tbl>
      <w:tblPr>
        <w:tblW w:w="8852" w:type="dxa"/>
        <w:tblLook w:val="04A0" w:firstRow="1" w:lastRow="0" w:firstColumn="1" w:lastColumn="0" w:noHBand="0" w:noVBand="1"/>
      </w:tblPr>
      <w:tblGrid>
        <w:gridCol w:w="1021"/>
        <w:gridCol w:w="2042"/>
        <w:gridCol w:w="2298"/>
        <w:gridCol w:w="1251"/>
        <w:gridCol w:w="1443"/>
        <w:gridCol w:w="797"/>
      </w:tblGrid>
      <w:tr w:rsidR="003032D2" w:rsidRPr="00CC0BAC" w14:paraId="67EB10BA" w14:textId="77777777" w:rsidTr="00D939CF">
        <w:trPr>
          <w:trHeight w:val="284"/>
        </w:trPr>
        <w:tc>
          <w:tcPr>
            <w:tcW w:w="5361" w:type="dxa"/>
            <w:gridSpan w:val="3"/>
            <w:tcBorders>
              <w:top w:val="single" w:sz="4" w:space="0" w:color="A6A6A6"/>
              <w:left w:val="single" w:sz="4" w:space="0" w:color="A6A6A6"/>
              <w:bottom w:val="single" w:sz="4" w:space="0" w:color="A6A6A6"/>
              <w:right w:val="nil"/>
            </w:tcBorders>
            <w:shd w:val="clear" w:color="000000" w:fill="8497B0"/>
            <w:noWrap/>
            <w:vAlign w:val="center"/>
            <w:hideMark/>
          </w:tcPr>
          <w:p w14:paraId="630A30CB" w14:textId="77777777" w:rsidR="003032D2" w:rsidRPr="00CC0BAC" w:rsidRDefault="003032D2" w:rsidP="00DC54F7">
            <w:pPr>
              <w:spacing w:after="0" w:line="240" w:lineRule="auto"/>
              <w:jc w:val="both"/>
              <w:rPr>
                <w:rFonts w:ascii="Arial" w:eastAsia="Times New Roman" w:hAnsi="Arial" w:cs="Arial"/>
                <w:b/>
                <w:bCs/>
                <w:color w:val="FFFFFF"/>
                <w:sz w:val="21"/>
                <w:szCs w:val="21"/>
                <w:lang w:eastAsia="en-GB"/>
              </w:rPr>
            </w:pPr>
            <w:r w:rsidRPr="00CC0BAC">
              <w:rPr>
                <w:rFonts w:ascii="Arial" w:eastAsia="Times New Roman" w:hAnsi="Arial" w:cs="Arial"/>
                <w:b/>
                <w:bCs/>
                <w:color w:val="FFFFFF"/>
                <w:sz w:val="21"/>
                <w:szCs w:val="21"/>
                <w:lang w:eastAsia="en-GB"/>
              </w:rPr>
              <w:t> </w:t>
            </w:r>
          </w:p>
        </w:tc>
        <w:tc>
          <w:tcPr>
            <w:tcW w:w="1251" w:type="dxa"/>
            <w:tcBorders>
              <w:top w:val="single" w:sz="4" w:space="0" w:color="A6A6A6"/>
              <w:left w:val="nil"/>
              <w:bottom w:val="single" w:sz="4" w:space="0" w:color="A6A6A6"/>
              <w:right w:val="nil"/>
            </w:tcBorders>
            <w:shd w:val="clear" w:color="000000" w:fill="8497B0"/>
            <w:noWrap/>
            <w:vAlign w:val="center"/>
            <w:hideMark/>
          </w:tcPr>
          <w:p w14:paraId="18FED9DA" w14:textId="77777777" w:rsidR="003032D2" w:rsidRPr="00CC0BAC" w:rsidRDefault="003032D2" w:rsidP="00DC54F7">
            <w:pPr>
              <w:spacing w:after="0" w:line="240" w:lineRule="auto"/>
              <w:jc w:val="both"/>
              <w:rPr>
                <w:rFonts w:ascii="Arial" w:eastAsia="Times New Roman" w:hAnsi="Arial" w:cs="Arial"/>
                <w:b/>
                <w:bCs/>
                <w:color w:val="FFFFFF"/>
                <w:sz w:val="21"/>
                <w:szCs w:val="21"/>
                <w:lang w:eastAsia="en-GB"/>
              </w:rPr>
            </w:pPr>
            <w:r w:rsidRPr="00CC0BAC">
              <w:rPr>
                <w:rFonts w:ascii="Arial" w:eastAsia="Times New Roman" w:hAnsi="Arial" w:cs="Arial"/>
                <w:b/>
                <w:bCs/>
                <w:color w:val="FFFFFF"/>
                <w:sz w:val="21"/>
                <w:szCs w:val="21"/>
                <w:lang w:eastAsia="en-GB"/>
              </w:rPr>
              <w:t> </w:t>
            </w:r>
          </w:p>
        </w:tc>
        <w:tc>
          <w:tcPr>
            <w:tcW w:w="2240" w:type="dxa"/>
            <w:gridSpan w:val="2"/>
            <w:tcBorders>
              <w:top w:val="single" w:sz="4" w:space="0" w:color="A6A6A6"/>
              <w:left w:val="nil"/>
              <w:bottom w:val="single" w:sz="4" w:space="0" w:color="A6A6A6"/>
              <w:right w:val="single" w:sz="4" w:space="0" w:color="A6A6A6"/>
            </w:tcBorders>
            <w:shd w:val="clear" w:color="000000" w:fill="8497B0"/>
            <w:noWrap/>
            <w:vAlign w:val="center"/>
            <w:hideMark/>
          </w:tcPr>
          <w:p w14:paraId="03F84E93" w14:textId="77777777" w:rsidR="003032D2" w:rsidRPr="00CC0BAC" w:rsidRDefault="003032D2" w:rsidP="00DC54F7">
            <w:pPr>
              <w:spacing w:after="0" w:line="240" w:lineRule="auto"/>
              <w:jc w:val="both"/>
              <w:rPr>
                <w:rFonts w:ascii="Arial" w:eastAsia="Times New Roman" w:hAnsi="Arial" w:cs="Arial"/>
                <w:b/>
                <w:bCs/>
                <w:color w:val="FFFFFF"/>
                <w:sz w:val="21"/>
                <w:szCs w:val="21"/>
                <w:lang w:eastAsia="en-GB"/>
              </w:rPr>
            </w:pPr>
            <w:r w:rsidRPr="00CC0BAC">
              <w:rPr>
                <w:rFonts w:ascii="Arial" w:eastAsia="Times New Roman" w:hAnsi="Arial" w:cs="Arial"/>
                <w:b/>
                <w:bCs/>
                <w:color w:val="FFFFFF"/>
                <w:sz w:val="21"/>
                <w:szCs w:val="21"/>
                <w:lang w:eastAsia="en-GB"/>
              </w:rPr>
              <w:t>Response</w:t>
            </w:r>
          </w:p>
        </w:tc>
      </w:tr>
      <w:tr w:rsidR="003032D2" w:rsidRPr="00CC0BAC" w14:paraId="3B814B91" w14:textId="77777777" w:rsidTr="00D939CF">
        <w:trPr>
          <w:trHeight w:val="678"/>
        </w:trPr>
        <w:tc>
          <w:tcPr>
            <w:tcW w:w="5361"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3FED99AB" w14:textId="77777777" w:rsidR="003032D2" w:rsidRPr="00CC0BAC" w:rsidRDefault="003032D2" w:rsidP="00DC54F7">
            <w:pPr>
              <w:spacing w:after="0" w:line="240" w:lineRule="auto"/>
              <w:jc w:val="both"/>
              <w:rPr>
                <w:rFonts w:ascii="Arial" w:eastAsia="Times New Roman" w:hAnsi="Arial" w:cs="Arial"/>
                <w:b/>
                <w:bCs/>
                <w:color w:val="000000"/>
                <w:sz w:val="18"/>
                <w:szCs w:val="18"/>
                <w:lang w:eastAsia="en-GB"/>
              </w:rPr>
            </w:pPr>
            <w:r w:rsidRPr="00CC0BAC">
              <w:rPr>
                <w:rFonts w:ascii="Arial" w:eastAsia="Times New Roman" w:hAnsi="Arial" w:cs="Arial"/>
                <w:b/>
                <w:bCs/>
                <w:color w:val="000000"/>
                <w:sz w:val="18"/>
                <w:szCs w:val="18"/>
                <w:lang w:eastAsia="en-GB"/>
              </w:rPr>
              <w:t> </w:t>
            </w:r>
          </w:p>
        </w:tc>
        <w:tc>
          <w:tcPr>
            <w:tcW w:w="1251" w:type="dxa"/>
            <w:tcBorders>
              <w:top w:val="nil"/>
              <w:left w:val="nil"/>
              <w:bottom w:val="single" w:sz="4" w:space="0" w:color="A6A6A6"/>
              <w:right w:val="single" w:sz="4" w:space="0" w:color="A6A6A6"/>
            </w:tcBorders>
            <w:shd w:val="clear" w:color="000000" w:fill="F2F2F2"/>
            <w:vAlign w:val="center"/>
            <w:hideMark/>
          </w:tcPr>
          <w:p w14:paraId="192D16C1" w14:textId="77777777" w:rsidR="003032D2" w:rsidRPr="00CC0BAC" w:rsidRDefault="003032D2" w:rsidP="00DC54F7">
            <w:pPr>
              <w:spacing w:after="0" w:line="240" w:lineRule="auto"/>
              <w:jc w:val="both"/>
              <w:rPr>
                <w:rFonts w:ascii="Arial" w:eastAsia="Times New Roman" w:hAnsi="Arial" w:cs="Arial"/>
                <w:b/>
                <w:bCs/>
                <w:color w:val="000000"/>
                <w:sz w:val="18"/>
                <w:szCs w:val="18"/>
                <w:lang w:eastAsia="en-GB"/>
              </w:rPr>
            </w:pPr>
            <w:r w:rsidRPr="00CC0BAC">
              <w:rPr>
                <w:rFonts w:ascii="Arial" w:eastAsia="Times New Roman" w:hAnsi="Arial" w:cs="Arial"/>
                <w:b/>
                <w:bCs/>
                <w:color w:val="000000"/>
                <w:sz w:val="18"/>
                <w:szCs w:val="18"/>
                <w:lang w:eastAsia="en-GB"/>
              </w:rPr>
              <w:t>Percent Responses</w:t>
            </w:r>
          </w:p>
        </w:tc>
        <w:tc>
          <w:tcPr>
            <w:tcW w:w="1443" w:type="dxa"/>
            <w:tcBorders>
              <w:top w:val="nil"/>
              <w:left w:val="nil"/>
              <w:bottom w:val="single" w:sz="4" w:space="0" w:color="A6A6A6"/>
              <w:right w:val="single" w:sz="4" w:space="0" w:color="A6A6A6"/>
            </w:tcBorders>
            <w:shd w:val="clear" w:color="000000" w:fill="F2F2F2"/>
            <w:vAlign w:val="center"/>
            <w:hideMark/>
          </w:tcPr>
          <w:p w14:paraId="71CEB796" w14:textId="77777777" w:rsidR="003032D2" w:rsidRPr="00CC0BAC" w:rsidRDefault="003032D2" w:rsidP="00DC54F7">
            <w:pPr>
              <w:spacing w:after="0" w:line="240" w:lineRule="auto"/>
              <w:jc w:val="both"/>
              <w:rPr>
                <w:rFonts w:ascii="Arial" w:eastAsia="Times New Roman" w:hAnsi="Arial" w:cs="Arial"/>
                <w:b/>
                <w:bCs/>
                <w:color w:val="000000"/>
                <w:sz w:val="18"/>
                <w:szCs w:val="18"/>
                <w:lang w:eastAsia="en-GB"/>
              </w:rPr>
            </w:pPr>
            <w:r w:rsidRPr="00CC0BAC">
              <w:rPr>
                <w:rFonts w:ascii="Arial" w:eastAsia="Times New Roman" w:hAnsi="Arial" w:cs="Arial"/>
                <w:b/>
                <w:bCs/>
                <w:color w:val="000000"/>
                <w:sz w:val="18"/>
                <w:szCs w:val="18"/>
                <w:lang w:eastAsia="en-GB"/>
              </w:rPr>
              <w:t>Percent Respondents</w:t>
            </w:r>
          </w:p>
        </w:tc>
        <w:tc>
          <w:tcPr>
            <w:tcW w:w="796" w:type="dxa"/>
            <w:tcBorders>
              <w:top w:val="nil"/>
              <w:left w:val="nil"/>
              <w:bottom w:val="single" w:sz="4" w:space="0" w:color="A6A6A6"/>
              <w:right w:val="single" w:sz="4" w:space="0" w:color="A6A6A6"/>
            </w:tcBorders>
            <w:shd w:val="clear" w:color="000000" w:fill="F2F2F2"/>
            <w:noWrap/>
            <w:vAlign w:val="center"/>
            <w:hideMark/>
          </w:tcPr>
          <w:p w14:paraId="2265EEA7" w14:textId="77777777" w:rsidR="003032D2" w:rsidRPr="00CC0BAC" w:rsidRDefault="003032D2" w:rsidP="00DC54F7">
            <w:pPr>
              <w:spacing w:after="0" w:line="240" w:lineRule="auto"/>
              <w:jc w:val="both"/>
              <w:rPr>
                <w:rFonts w:ascii="Arial" w:eastAsia="Times New Roman" w:hAnsi="Arial" w:cs="Arial"/>
                <w:b/>
                <w:bCs/>
                <w:color w:val="000000"/>
                <w:sz w:val="18"/>
                <w:szCs w:val="18"/>
                <w:lang w:eastAsia="en-GB"/>
              </w:rPr>
            </w:pPr>
            <w:r w:rsidRPr="00CC0BAC">
              <w:rPr>
                <w:rFonts w:ascii="Arial" w:eastAsia="Times New Roman" w:hAnsi="Arial" w:cs="Arial"/>
                <w:b/>
                <w:bCs/>
                <w:color w:val="000000"/>
                <w:sz w:val="18"/>
                <w:szCs w:val="18"/>
                <w:lang w:eastAsia="en-GB"/>
              </w:rPr>
              <w:t>Total</w:t>
            </w:r>
          </w:p>
        </w:tc>
      </w:tr>
      <w:tr w:rsidR="003032D2" w:rsidRPr="00CC0BAC" w14:paraId="69728463" w14:textId="77777777" w:rsidTr="00D939CF">
        <w:trPr>
          <w:trHeight w:val="284"/>
        </w:trPr>
        <w:tc>
          <w:tcPr>
            <w:tcW w:w="1021" w:type="dxa"/>
            <w:tcBorders>
              <w:top w:val="nil"/>
              <w:left w:val="single" w:sz="4" w:space="0" w:color="A6A6A6"/>
              <w:bottom w:val="single" w:sz="4" w:space="0" w:color="A6A6A6"/>
              <w:right w:val="single" w:sz="4" w:space="0" w:color="A6A6A6"/>
            </w:tcBorders>
            <w:shd w:val="clear" w:color="000000" w:fill="F2F2F2"/>
            <w:vAlign w:val="center"/>
            <w:hideMark/>
          </w:tcPr>
          <w:p w14:paraId="6A3CDDC7"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1</w:t>
            </w:r>
          </w:p>
        </w:tc>
        <w:tc>
          <w:tcPr>
            <w:tcW w:w="4339" w:type="dxa"/>
            <w:gridSpan w:val="2"/>
            <w:tcBorders>
              <w:top w:val="single" w:sz="4" w:space="0" w:color="A6A6A6"/>
              <w:left w:val="nil"/>
              <w:bottom w:val="single" w:sz="4" w:space="0" w:color="A6A6A6"/>
              <w:right w:val="single" w:sz="4" w:space="0" w:color="A6A6A6"/>
            </w:tcBorders>
            <w:shd w:val="clear" w:color="auto" w:fill="auto"/>
            <w:vAlign w:val="center"/>
            <w:hideMark/>
          </w:tcPr>
          <w:p w14:paraId="3C150EE8"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Went to another pharmacy</w:t>
            </w:r>
          </w:p>
        </w:tc>
        <w:tc>
          <w:tcPr>
            <w:tcW w:w="1251" w:type="dxa"/>
            <w:tcBorders>
              <w:top w:val="nil"/>
              <w:left w:val="nil"/>
              <w:bottom w:val="single" w:sz="4" w:space="0" w:color="A6A6A6"/>
              <w:right w:val="single" w:sz="4" w:space="0" w:color="A6A6A6"/>
            </w:tcBorders>
            <w:shd w:val="clear" w:color="000000" w:fill="F2F2F2"/>
            <w:noWrap/>
            <w:vAlign w:val="bottom"/>
            <w:hideMark/>
          </w:tcPr>
          <w:p w14:paraId="0EE9BE8A"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56.63%</w:t>
            </w:r>
          </w:p>
        </w:tc>
        <w:tc>
          <w:tcPr>
            <w:tcW w:w="1443" w:type="dxa"/>
            <w:tcBorders>
              <w:top w:val="nil"/>
              <w:left w:val="nil"/>
              <w:bottom w:val="single" w:sz="4" w:space="0" w:color="A6A6A6"/>
              <w:right w:val="single" w:sz="4" w:space="0" w:color="A6A6A6"/>
            </w:tcBorders>
            <w:shd w:val="clear" w:color="000000" w:fill="F2F2F2"/>
            <w:noWrap/>
            <w:vAlign w:val="bottom"/>
            <w:hideMark/>
          </w:tcPr>
          <w:p w14:paraId="383F68F5"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61.84%</w:t>
            </w:r>
          </w:p>
        </w:tc>
        <w:tc>
          <w:tcPr>
            <w:tcW w:w="796" w:type="dxa"/>
            <w:tcBorders>
              <w:top w:val="nil"/>
              <w:left w:val="nil"/>
              <w:bottom w:val="single" w:sz="4" w:space="0" w:color="A6A6A6"/>
              <w:right w:val="single" w:sz="4" w:space="0" w:color="A6A6A6"/>
            </w:tcBorders>
            <w:shd w:val="clear" w:color="000000" w:fill="F2F2F2"/>
            <w:noWrap/>
            <w:vAlign w:val="bottom"/>
            <w:hideMark/>
          </w:tcPr>
          <w:p w14:paraId="73AA5B03"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47</w:t>
            </w:r>
          </w:p>
        </w:tc>
      </w:tr>
      <w:tr w:rsidR="003032D2" w:rsidRPr="00CC0BAC" w14:paraId="3580F8E0" w14:textId="77777777" w:rsidTr="00D939CF">
        <w:trPr>
          <w:trHeight w:val="284"/>
        </w:trPr>
        <w:tc>
          <w:tcPr>
            <w:tcW w:w="1021" w:type="dxa"/>
            <w:tcBorders>
              <w:top w:val="nil"/>
              <w:left w:val="single" w:sz="4" w:space="0" w:color="A6A6A6"/>
              <w:bottom w:val="single" w:sz="4" w:space="0" w:color="A6A6A6"/>
              <w:right w:val="single" w:sz="4" w:space="0" w:color="A6A6A6"/>
            </w:tcBorders>
            <w:shd w:val="clear" w:color="000000" w:fill="F2F2F2"/>
            <w:vAlign w:val="center"/>
            <w:hideMark/>
          </w:tcPr>
          <w:p w14:paraId="694DC55F"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2</w:t>
            </w:r>
          </w:p>
        </w:tc>
        <w:tc>
          <w:tcPr>
            <w:tcW w:w="4339" w:type="dxa"/>
            <w:gridSpan w:val="2"/>
            <w:tcBorders>
              <w:top w:val="single" w:sz="4" w:space="0" w:color="A6A6A6"/>
              <w:left w:val="nil"/>
              <w:bottom w:val="single" w:sz="4" w:space="0" w:color="A6A6A6"/>
              <w:right w:val="single" w:sz="4" w:space="0" w:color="A6A6A6"/>
            </w:tcBorders>
            <w:shd w:val="clear" w:color="auto" w:fill="auto"/>
            <w:vAlign w:val="center"/>
            <w:hideMark/>
          </w:tcPr>
          <w:p w14:paraId="6799AD91"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Waited until the pharmacy was open</w:t>
            </w:r>
          </w:p>
        </w:tc>
        <w:tc>
          <w:tcPr>
            <w:tcW w:w="1251" w:type="dxa"/>
            <w:tcBorders>
              <w:top w:val="nil"/>
              <w:left w:val="nil"/>
              <w:bottom w:val="single" w:sz="4" w:space="0" w:color="A6A6A6"/>
              <w:right w:val="single" w:sz="4" w:space="0" w:color="A6A6A6"/>
            </w:tcBorders>
            <w:shd w:val="clear" w:color="000000" w:fill="F2F2F2"/>
            <w:noWrap/>
            <w:vAlign w:val="bottom"/>
            <w:hideMark/>
          </w:tcPr>
          <w:p w14:paraId="0DA48EA3"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31.33%</w:t>
            </w:r>
          </w:p>
        </w:tc>
        <w:tc>
          <w:tcPr>
            <w:tcW w:w="1443" w:type="dxa"/>
            <w:tcBorders>
              <w:top w:val="nil"/>
              <w:left w:val="nil"/>
              <w:bottom w:val="single" w:sz="4" w:space="0" w:color="A6A6A6"/>
              <w:right w:val="single" w:sz="4" w:space="0" w:color="A6A6A6"/>
            </w:tcBorders>
            <w:shd w:val="clear" w:color="000000" w:fill="F2F2F2"/>
            <w:noWrap/>
            <w:vAlign w:val="bottom"/>
            <w:hideMark/>
          </w:tcPr>
          <w:p w14:paraId="7D00B976"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34.21%</w:t>
            </w:r>
          </w:p>
        </w:tc>
        <w:tc>
          <w:tcPr>
            <w:tcW w:w="796" w:type="dxa"/>
            <w:tcBorders>
              <w:top w:val="nil"/>
              <w:left w:val="nil"/>
              <w:bottom w:val="single" w:sz="4" w:space="0" w:color="A6A6A6"/>
              <w:right w:val="single" w:sz="4" w:space="0" w:color="A6A6A6"/>
            </w:tcBorders>
            <w:shd w:val="clear" w:color="000000" w:fill="F2F2F2"/>
            <w:noWrap/>
            <w:vAlign w:val="bottom"/>
            <w:hideMark/>
          </w:tcPr>
          <w:p w14:paraId="1FD7D131"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26</w:t>
            </w:r>
          </w:p>
        </w:tc>
      </w:tr>
      <w:tr w:rsidR="003032D2" w:rsidRPr="00CC0BAC" w14:paraId="18ADF86B" w14:textId="77777777" w:rsidTr="00D939CF">
        <w:trPr>
          <w:trHeight w:val="284"/>
        </w:trPr>
        <w:tc>
          <w:tcPr>
            <w:tcW w:w="1021" w:type="dxa"/>
            <w:tcBorders>
              <w:top w:val="nil"/>
              <w:left w:val="single" w:sz="4" w:space="0" w:color="A6A6A6"/>
              <w:bottom w:val="single" w:sz="4" w:space="0" w:color="A6A6A6"/>
              <w:right w:val="single" w:sz="4" w:space="0" w:color="A6A6A6"/>
            </w:tcBorders>
            <w:shd w:val="clear" w:color="000000" w:fill="F2F2F2"/>
            <w:vAlign w:val="center"/>
            <w:hideMark/>
          </w:tcPr>
          <w:p w14:paraId="2FD88C6E"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3</w:t>
            </w:r>
          </w:p>
        </w:tc>
        <w:tc>
          <w:tcPr>
            <w:tcW w:w="4339" w:type="dxa"/>
            <w:gridSpan w:val="2"/>
            <w:tcBorders>
              <w:top w:val="single" w:sz="4" w:space="0" w:color="A6A6A6"/>
              <w:left w:val="nil"/>
              <w:bottom w:val="single" w:sz="4" w:space="0" w:color="A6A6A6"/>
              <w:right w:val="single" w:sz="4" w:space="0" w:color="A6A6A6"/>
            </w:tcBorders>
            <w:shd w:val="clear" w:color="auto" w:fill="auto"/>
            <w:vAlign w:val="center"/>
            <w:hideMark/>
          </w:tcPr>
          <w:p w14:paraId="219036BF"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Went to my GP</w:t>
            </w:r>
          </w:p>
        </w:tc>
        <w:tc>
          <w:tcPr>
            <w:tcW w:w="1251" w:type="dxa"/>
            <w:tcBorders>
              <w:top w:val="nil"/>
              <w:left w:val="nil"/>
              <w:bottom w:val="single" w:sz="4" w:space="0" w:color="A6A6A6"/>
              <w:right w:val="single" w:sz="4" w:space="0" w:color="A6A6A6"/>
            </w:tcBorders>
            <w:shd w:val="clear" w:color="000000" w:fill="F2F2F2"/>
            <w:noWrap/>
            <w:vAlign w:val="bottom"/>
            <w:hideMark/>
          </w:tcPr>
          <w:p w14:paraId="34910E9C"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3.61%</w:t>
            </w:r>
          </w:p>
        </w:tc>
        <w:tc>
          <w:tcPr>
            <w:tcW w:w="1443" w:type="dxa"/>
            <w:tcBorders>
              <w:top w:val="nil"/>
              <w:left w:val="nil"/>
              <w:bottom w:val="single" w:sz="4" w:space="0" w:color="A6A6A6"/>
              <w:right w:val="single" w:sz="4" w:space="0" w:color="A6A6A6"/>
            </w:tcBorders>
            <w:shd w:val="clear" w:color="000000" w:fill="F2F2F2"/>
            <w:noWrap/>
            <w:vAlign w:val="bottom"/>
            <w:hideMark/>
          </w:tcPr>
          <w:p w14:paraId="3BEA4C9D"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3.95%</w:t>
            </w:r>
          </w:p>
        </w:tc>
        <w:tc>
          <w:tcPr>
            <w:tcW w:w="796" w:type="dxa"/>
            <w:tcBorders>
              <w:top w:val="nil"/>
              <w:left w:val="nil"/>
              <w:bottom w:val="single" w:sz="4" w:space="0" w:color="A6A6A6"/>
              <w:right w:val="single" w:sz="4" w:space="0" w:color="A6A6A6"/>
            </w:tcBorders>
            <w:shd w:val="clear" w:color="000000" w:fill="F2F2F2"/>
            <w:noWrap/>
            <w:vAlign w:val="bottom"/>
            <w:hideMark/>
          </w:tcPr>
          <w:p w14:paraId="268A09FD"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3</w:t>
            </w:r>
          </w:p>
        </w:tc>
      </w:tr>
      <w:tr w:rsidR="003032D2" w:rsidRPr="00CC0BAC" w14:paraId="38024153" w14:textId="77777777" w:rsidTr="00D939CF">
        <w:trPr>
          <w:trHeight w:val="284"/>
        </w:trPr>
        <w:tc>
          <w:tcPr>
            <w:tcW w:w="1021" w:type="dxa"/>
            <w:tcBorders>
              <w:top w:val="nil"/>
              <w:left w:val="single" w:sz="4" w:space="0" w:color="A6A6A6"/>
              <w:bottom w:val="single" w:sz="4" w:space="0" w:color="A6A6A6"/>
              <w:right w:val="single" w:sz="4" w:space="0" w:color="A6A6A6"/>
            </w:tcBorders>
            <w:shd w:val="clear" w:color="000000" w:fill="F2F2F2"/>
            <w:vAlign w:val="center"/>
            <w:hideMark/>
          </w:tcPr>
          <w:p w14:paraId="651FDB9D"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4</w:t>
            </w:r>
          </w:p>
        </w:tc>
        <w:tc>
          <w:tcPr>
            <w:tcW w:w="4339" w:type="dxa"/>
            <w:gridSpan w:val="2"/>
            <w:tcBorders>
              <w:top w:val="single" w:sz="4" w:space="0" w:color="A6A6A6"/>
              <w:left w:val="nil"/>
              <w:bottom w:val="single" w:sz="4" w:space="0" w:color="A6A6A6"/>
              <w:right w:val="single" w:sz="4" w:space="0" w:color="A6A6A6"/>
            </w:tcBorders>
            <w:shd w:val="clear" w:color="auto" w:fill="auto"/>
            <w:vAlign w:val="center"/>
            <w:hideMark/>
          </w:tcPr>
          <w:p w14:paraId="1238FF76"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Went to the A&amp;E / casualty</w:t>
            </w:r>
          </w:p>
        </w:tc>
        <w:tc>
          <w:tcPr>
            <w:tcW w:w="1251" w:type="dxa"/>
            <w:tcBorders>
              <w:top w:val="nil"/>
              <w:left w:val="nil"/>
              <w:bottom w:val="single" w:sz="4" w:space="0" w:color="A6A6A6"/>
              <w:right w:val="single" w:sz="4" w:space="0" w:color="A6A6A6"/>
            </w:tcBorders>
            <w:shd w:val="clear" w:color="000000" w:fill="F2F2F2"/>
            <w:noWrap/>
            <w:vAlign w:val="bottom"/>
            <w:hideMark/>
          </w:tcPr>
          <w:p w14:paraId="2FAD1B26"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0.00%</w:t>
            </w:r>
          </w:p>
        </w:tc>
        <w:tc>
          <w:tcPr>
            <w:tcW w:w="1443" w:type="dxa"/>
            <w:tcBorders>
              <w:top w:val="nil"/>
              <w:left w:val="nil"/>
              <w:bottom w:val="single" w:sz="4" w:space="0" w:color="A6A6A6"/>
              <w:right w:val="single" w:sz="4" w:space="0" w:color="A6A6A6"/>
            </w:tcBorders>
            <w:shd w:val="clear" w:color="000000" w:fill="F2F2F2"/>
            <w:noWrap/>
            <w:vAlign w:val="bottom"/>
            <w:hideMark/>
          </w:tcPr>
          <w:p w14:paraId="1EF74D02"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0.00%</w:t>
            </w:r>
          </w:p>
        </w:tc>
        <w:tc>
          <w:tcPr>
            <w:tcW w:w="796" w:type="dxa"/>
            <w:tcBorders>
              <w:top w:val="nil"/>
              <w:left w:val="nil"/>
              <w:bottom w:val="single" w:sz="4" w:space="0" w:color="A6A6A6"/>
              <w:right w:val="single" w:sz="4" w:space="0" w:color="A6A6A6"/>
            </w:tcBorders>
            <w:shd w:val="clear" w:color="000000" w:fill="F2F2F2"/>
            <w:noWrap/>
            <w:vAlign w:val="bottom"/>
            <w:hideMark/>
          </w:tcPr>
          <w:p w14:paraId="10521527"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0</w:t>
            </w:r>
          </w:p>
        </w:tc>
      </w:tr>
      <w:tr w:rsidR="003032D2" w:rsidRPr="00CC0BAC" w14:paraId="48679EFD" w14:textId="77777777" w:rsidTr="00D939CF">
        <w:trPr>
          <w:trHeight w:val="284"/>
        </w:trPr>
        <w:tc>
          <w:tcPr>
            <w:tcW w:w="1021" w:type="dxa"/>
            <w:tcBorders>
              <w:top w:val="nil"/>
              <w:left w:val="single" w:sz="4" w:space="0" w:color="A6A6A6"/>
              <w:bottom w:val="single" w:sz="4" w:space="0" w:color="A6A6A6"/>
              <w:right w:val="single" w:sz="4" w:space="0" w:color="A6A6A6"/>
            </w:tcBorders>
            <w:shd w:val="clear" w:color="000000" w:fill="F2F2F2"/>
            <w:vAlign w:val="center"/>
            <w:hideMark/>
          </w:tcPr>
          <w:p w14:paraId="4990E3EB"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5</w:t>
            </w:r>
          </w:p>
        </w:tc>
        <w:tc>
          <w:tcPr>
            <w:tcW w:w="4339" w:type="dxa"/>
            <w:gridSpan w:val="2"/>
            <w:tcBorders>
              <w:top w:val="single" w:sz="4" w:space="0" w:color="A6A6A6"/>
              <w:left w:val="nil"/>
              <w:bottom w:val="single" w:sz="4" w:space="0" w:color="A6A6A6"/>
              <w:right w:val="single" w:sz="4" w:space="0" w:color="A6A6A6"/>
            </w:tcBorders>
            <w:shd w:val="clear" w:color="auto" w:fill="auto"/>
            <w:vAlign w:val="center"/>
            <w:hideMark/>
          </w:tcPr>
          <w:p w14:paraId="5684953F"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Went to a minor injury unit</w:t>
            </w:r>
          </w:p>
        </w:tc>
        <w:tc>
          <w:tcPr>
            <w:tcW w:w="1251" w:type="dxa"/>
            <w:tcBorders>
              <w:top w:val="nil"/>
              <w:left w:val="nil"/>
              <w:bottom w:val="single" w:sz="4" w:space="0" w:color="A6A6A6"/>
              <w:right w:val="single" w:sz="4" w:space="0" w:color="A6A6A6"/>
            </w:tcBorders>
            <w:shd w:val="clear" w:color="000000" w:fill="F2F2F2"/>
            <w:noWrap/>
            <w:vAlign w:val="bottom"/>
            <w:hideMark/>
          </w:tcPr>
          <w:p w14:paraId="375E7ACA"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0.00%</w:t>
            </w:r>
          </w:p>
        </w:tc>
        <w:tc>
          <w:tcPr>
            <w:tcW w:w="1443" w:type="dxa"/>
            <w:tcBorders>
              <w:top w:val="nil"/>
              <w:left w:val="nil"/>
              <w:bottom w:val="single" w:sz="4" w:space="0" w:color="A6A6A6"/>
              <w:right w:val="single" w:sz="4" w:space="0" w:color="A6A6A6"/>
            </w:tcBorders>
            <w:shd w:val="clear" w:color="000000" w:fill="F2F2F2"/>
            <w:noWrap/>
            <w:vAlign w:val="bottom"/>
            <w:hideMark/>
          </w:tcPr>
          <w:p w14:paraId="3E995640"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0.00%</w:t>
            </w:r>
          </w:p>
        </w:tc>
        <w:tc>
          <w:tcPr>
            <w:tcW w:w="796" w:type="dxa"/>
            <w:tcBorders>
              <w:top w:val="nil"/>
              <w:left w:val="nil"/>
              <w:bottom w:val="single" w:sz="4" w:space="0" w:color="A6A6A6"/>
              <w:right w:val="single" w:sz="4" w:space="0" w:color="A6A6A6"/>
            </w:tcBorders>
            <w:shd w:val="clear" w:color="000000" w:fill="F2F2F2"/>
            <w:noWrap/>
            <w:vAlign w:val="bottom"/>
            <w:hideMark/>
          </w:tcPr>
          <w:p w14:paraId="1B8E97F0"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0</w:t>
            </w:r>
          </w:p>
        </w:tc>
      </w:tr>
      <w:tr w:rsidR="003032D2" w:rsidRPr="00CC0BAC" w14:paraId="4540EA0E" w14:textId="77777777" w:rsidTr="00D939CF">
        <w:trPr>
          <w:trHeight w:val="284"/>
        </w:trPr>
        <w:tc>
          <w:tcPr>
            <w:tcW w:w="1021" w:type="dxa"/>
            <w:tcBorders>
              <w:top w:val="nil"/>
              <w:left w:val="single" w:sz="4" w:space="0" w:color="A6A6A6"/>
              <w:bottom w:val="single" w:sz="4" w:space="0" w:color="A6A6A6"/>
              <w:right w:val="single" w:sz="4" w:space="0" w:color="A6A6A6"/>
            </w:tcBorders>
            <w:shd w:val="clear" w:color="000000" w:fill="F2F2F2"/>
            <w:vAlign w:val="center"/>
            <w:hideMark/>
          </w:tcPr>
          <w:p w14:paraId="4A4B30B8"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6</w:t>
            </w:r>
          </w:p>
        </w:tc>
        <w:tc>
          <w:tcPr>
            <w:tcW w:w="4339" w:type="dxa"/>
            <w:gridSpan w:val="2"/>
            <w:tcBorders>
              <w:top w:val="single" w:sz="4" w:space="0" w:color="A6A6A6"/>
              <w:left w:val="nil"/>
              <w:bottom w:val="single" w:sz="4" w:space="0" w:color="A6A6A6"/>
              <w:right w:val="single" w:sz="4" w:space="0" w:color="A6A6A6"/>
            </w:tcBorders>
            <w:shd w:val="clear" w:color="auto" w:fill="auto"/>
            <w:vAlign w:val="center"/>
            <w:hideMark/>
          </w:tcPr>
          <w:p w14:paraId="4198D065"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Contacted the GP Out of Hours (OOH) service</w:t>
            </w:r>
          </w:p>
        </w:tc>
        <w:tc>
          <w:tcPr>
            <w:tcW w:w="1251" w:type="dxa"/>
            <w:tcBorders>
              <w:top w:val="nil"/>
              <w:left w:val="nil"/>
              <w:bottom w:val="single" w:sz="4" w:space="0" w:color="A6A6A6"/>
              <w:right w:val="single" w:sz="4" w:space="0" w:color="A6A6A6"/>
            </w:tcBorders>
            <w:shd w:val="clear" w:color="000000" w:fill="F2F2F2"/>
            <w:noWrap/>
            <w:vAlign w:val="bottom"/>
            <w:hideMark/>
          </w:tcPr>
          <w:p w14:paraId="1E7F8C75"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1.20%</w:t>
            </w:r>
          </w:p>
        </w:tc>
        <w:tc>
          <w:tcPr>
            <w:tcW w:w="1443" w:type="dxa"/>
            <w:tcBorders>
              <w:top w:val="nil"/>
              <w:left w:val="nil"/>
              <w:bottom w:val="single" w:sz="4" w:space="0" w:color="A6A6A6"/>
              <w:right w:val="single" w:sz="4" w:space="0" w:color="A6A6A6"/>
            </w:tcBorders>
            <w:shd w:val="clear" w:color="000000" w:fill="F2F2F2"/>
            <w:noWrap/>
            <w:vAlign w:val="bottom"/>
            <w:hideMark/>
          </w:tcPr>
          <w:p w14:paraId="1E3C2F36"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1.32%</w:t>
            </w:r>
          </w:p>
        </w:tc>
        <w:tc>
          <w:tcPr>
            <w:tcW w:w="796" w:type="dxa"/>
            <w:tcBorders>
              <w:top w:val="nil"/>
              <w:left w:val="nil"/>
              <w:bottom w:val="single" w:sz="4" w:space="0" w:color="A6A6A6"/>
              <w:right w:val="single" w:sz="4" w:space="0" w:color="A6A6A6"/>
            </w:tcBorders>
            <w:shd w:val="clear" w:color="000000" w:fill="F2F2F2"/>
            <w:noWrap/>
            <w:vAlign w:val="bottom"/>
            <w:hideMark/>
          </w:tcPr>
          <w:p w14:paraId="05EBE1C5"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1</w:t>
            </w:r>
          </w:p>
        </w:tc>
      </w:tr>
      <w:tr w:rsidR="003032D2" w:rsidRPr="00CC0BAC" w14:paraId="61D2E6C1" w14:textId="77777777" w:rsidTr="00D939CF">
        <w:trPr>
          <w:trHeight w:val="284"/>
        </w:trPr>
        <w:tc>
          <w:tcPr>
            <w:tcW w:w="1021" w:type="dxa"/>
            <w:tcBorders>
              <w:top w:val="nil"/>
              <w:left w:val="single" w:sz="4" w:space="0" w:color="A6A6A6"/>
              <w:bottom w:val="single" w:sz="4" w:space="0" w:color="A6A6A6"/>
              <w:right w:val="single" w:sz="4" w:space="0" w:color="A6A6A6"/>
            </w:tcBorders>
            <w:shd w:val="clear" w:color="000000" w:fill="F2F2F2"/>
            <w:vAlign w:val="center"/>
            <w:hideMark/>
          </w:tcPr>
          <w:p w14:paraId="665FEA5C"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7</w:t>
            </w:r>
          </w:p>
        </w:tc>
        <w:tc>
          <w:tcPr>
            <w:tcW w:w="4339" w:type="dxa"/>
            <w:gridSpan w:val="2"/>
            <w:tcBorders>
              <w:top w:val="single" w:sz="4" w:space="0" w:color="A6A6A6"/>
              <w:left w:val="nil"/>
              <w:bottom w:val="single" w:sz="4" w:space="0" w:color="A6A6A6"/>
              <w:right w:val="single" w:sz="4" w:space="0" w:color="A6A6A6"/>
            </w:tcBorders>
            <w:shd w:val="clear" w:color="auto" w:fill="auto"/>
            <w:vAlign w:val="center"/>
            <w:hideMark/>
          </w:tcPr>
          <w:p w14:paraId="08AEAC02"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Called NHS 111 Wales</w:t>
            </w:r>
          </w:p>
        </w:tc>
        <w:tc>
          <w:tcPr>
            <w:tcW w:w="1251" w:type="dxa"/>
            <w:tcBorders>
              <w:top w:val="nil"/>
              <w:left w:val="nil"/>
              <w:bottom w:val="single" w:sz="4" w:space="0" w:color="A6A6A6"/>
              <w:right w:val="single" w:sz="4" w:space="0" w:color="A6A6A6"/>
            </w:tcBorders>
            <w:shd w:val="clear" w:color="000000" w:fill="F2F2F2"/>
            <w:noWrap/>
            <w:vAlign w:val="bottom"/>
            <w:hideMark/>
          </w:tcPr>
          <w:p w14:paraId="30098160"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0.00%</w:t>
            </w:r>
          </w:p>
        </w:tc>
        <w:tc>
          <w:tcPr>
            <w:tcW w:w="1443" w:type="dxa"/>
            <w:tcBorders>
              <w:top w:val="nil"/>
              <w:left w:val="nil"/>
              <w:bottom w:val="single" w:sz="4" w:space="0" w:color="A6A6A6"/>
              <w:right w:val="single" w:sz="4" w:space="0" w:color="A6A6A6"/>
            </w:tcBorders>
            <w:shd w:val="clear" w:color="000000" w:fill="F2F2F2"/>
            <w:noWrap/>
            <w:vAlign w:val="bottom"/>
            <w:hideMark/>
          </w:tcPr>
          <w:p w14:paraId="77B4FFA3"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0.00%</w:t>
            </w:r>
          </w:p>
        </w:tc>
        <w:tc>
          <w:tcPr>
            <w:tcW w:w="796" w:type="dxa"/>
            <w:tcBorders>
              <w:top w:val="nil"/>
              <w:left w:val="nil"/>
              <w:bottom w:val="single" w:sz="4" w:space="0" w:color="A6A6A6"/>
              <w:right w:val="single" w:sz="4" w:space="0" w:color="A6A6A6"/>
            </w:tcBorders>
            <w:shd w:val="clear" w:color="000000" w:fill="F2F2F2"/>
            <w:noWrap/>
            <w:vAlign w:val="bottom"/>
            <w:hideMark/>
          </w:tcPr>
          <w:p w14:paraId="75C00028"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0</w:t>
            </w:r>
          </w:p>
        </w:tc>
      </w:tr>
      <w:tr w:rsidR="003032D2" w:rsidRPr="00CC0BAC" w14:paraId="45215A91" w14:textId="77777777" w:rsidTr="00D939CF">
        <w:trPr>
          <w:trHeight w:val="284"/>
        </w:trPr>
        <w:tc>
          <w:tcPr>
            <w:tcW w:w="1021" w:type="dxa"/>
            <w:tcBorders>
              <w:top w:val="nil"/>
              <w:left w:val="single" w:sz="4" w:space="0" w:color="A6A6A6"/>
              <w:bottom w:val="single" w:sz="4" w:space="0" w:color="A6A6A6"/>
              <w:right w:val="single" w:sz="4" w:space="0" w:color="A6A6A6"/>
            </w:tcBorders>
            <w:shd w:val="clear" w:color="000000" w:fill="F2F2F2"/>
            <w:vAlign w:val="center"/>
            <w:hideMark/>
          </w:tcPr>
          <w:p w14:paraId="72EB6D6D"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8</w:t>
            </w:r>
          </w:p>
        </w:tc>
        <w:tc>
          <w:tcPr>
            <w:tcW w:w="4339" w:type="dxa"/>
            <w:gridSpan w:val="2"/>
            <w:tcBorders>
              <w:top w:val="single" w:sz="4" w:space="0" w:color="A6A6A6"/>
              <w:left w:val="nil"/>
              <w:bottom w:val="single" w:sz="4" w:space="0" w:color="A6A6A6"/>
              <w:right w:val="single" w:sz="4" w:space="0" w:color="A6A6A6"/>
            </w:tcBorders>
            <w:shd w:val="clear" w:color="auto" w:fill="auto"/>
            <w:vAlign w:val="center"/>
            <w:hideMark/>
          </w:tcPr>
          <w:p w14:paraId="4CD1DD57"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Called CAV 24/7</w:t>
            </w:r>
          </w:p>
        </w:tc>
        <w:tc>
          <w:tcPr>
            <w:tcW w:w="1251" w:type="dxa"/>
            <w:tcBorders>
              <w:top w:val="nil"/>
              <w:left w:val="nil"/>
              <w:bottom w:val="single" w:sz="4" w:space="0" w:color="A6A6A6"/>
              <w:right w:val="single" w:sz="4" w:space="0" w:color="A6A6A6"/>
            </w:tcBorders>
            <w:shd w:val="clear" w:color="000000" w:fill="F2F2F2"/>
            <w:noWrap/>
            <w:vAlign w:val="bottom"/>
            <w:hideMark/>
          </w:tcPr>
          <w:p w14:paraId="2A253E6E"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0.00%</w:t>
            </w:r>
          </w:p>
        </w:tc>
        <w:tc>
          <w:tcPr>
            <w:tcW w:w="1443" w:type="dxa"/>
            <w:tcBorders>
              <w:top w:val="nil"/>
              <w:left w:val="nil"/>
              <w:bottom w:val="single" w:sz="4" w:space="0" w:color="A6A6A6"/>
              <w:right w:val="single" w:sz="4" w:space="0" w:color="A6A6A6"/>
            </w:tcBorders>
            <w:shd w:val="clear" w:color="000000" w:fill="F2F2F2"/>
            <w:noWrap/>
            <w:vAlign w:val="bottom"/>
            <w:hideMark/>
          </w:tcPr>
          <w:p w14:paraId="71D8C40C"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0.00%</w:t>
            </w:r>
          </w:p>
        </w:tc>
        <w:tc>
          <w:tcPr>
            <w:tcW w:w="796" w:type="dxa"/>
            <w:tcBorders>
              <w:top w:val="nil"/>
              <w:left w:val="nil"/>
              <w:bottom w:val="single" w:sz="4" w:space="0" w:color="A6A6A6"/>
              <w:right w:val="single" w:sz="4" w:space="0" w:color="A6A6A6"/>
            </w:tcBorders>
            <w:shd w:val="clear" w:color="000000" w:fill="F2F2F2"/>
            <w:noWrap/>
            <w:vAlign w:val="bottom"/>
            <w:hideMark/>
          </w:tcPr>
          <w:p w14:paraId="23E5E225"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0</w:t>
            </w:r>
          </w:p>
        </w:tc>
      </w:tr>
      <w:tr w:rsidR="003032D2" w:rsidRPr="00CC0BAC" w14:paraId="0E332A99" w14:textId="77777777" w:rsidTr="00D939CF">
        <w:trPr>
          <w:trHeight w:val="284"/>
        </w:trPr>
        <w:tc>
          <w:tcPr>
            <w:tcW w:w="1021" w:type="dxa"/>
            <w:tcBorders>
              <w:top w:val="nil"/>
              <w:left w:val="single" w:sz="4" w:space="0" w:color="A6A6A6"/>
              <w:bottom w:val="nil"/>
              <w:right w:val="single" w:sz="4" w:space="0" w:color="A6A6A6"/>
            </w:tcBorders>
            <w:shd w:val="clear" w:color="000000" w:fill="F2F2F2"/>
            <w:vAlign w:val="center"/>
            <w:hideMark/>
          </w:tcPr>
          <w:p w14:paraId="2B9C3E33"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9</w:t>
            </w:r>
          </w:p>
        </w:tc>
        <w:tc>
          <w:tcPr>
            <w:tcW w:w="4339" w:type="dxa"/>
            <w:gridSpan w:val="2"/>
            <w:tcBorders>
              <w:top w:val="single" w:sz="4" w:space="0" w:color="A6A6A6"/>
              <w:left w:val="nil"/>
              <w:bottom w:val="nil"/>
              <w:right w:val="single" w:sz="4" w:space="0" w:color="A6A6A6"/>
            </w:tcBorders>
            <w:shd w:val="clear" w:color="auto" w:fill="auto"/>
            <w:vAlign w:val="center"/>
            <w:hideMark/>
          </w:tcPr>
          <w:p w14:paraId="240AF5FB"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 xml:space="preserve">Other </w:t>
            </w:r>
          </w:p>
        </w:tc>
        <w:tc>
          <w:tcPr>
            <w:tcW w:w="1251" w:type="dxa"/>
            <w:tcBorders>
              <w:top w:val="nil"/>
              <w:left w:val="nil"/>
              <w:bottom w:val="single" w:sz="4" w:space="0" w:color="A6A6A6"/>
              <w:right w:val="single" w:sz="4" w:space="0" w:color="A6A6A6"/>
            </w:tcBorders>
            <w:shd w:val="clear" w:color="000000" w:fill="F2F2F2"/>
            <w:noWrap/>
            <w:vAlign w:val="bottom"/>
            <w:hideMark/>
          </w:tcPr>
          <w:p w14:paraId="538B74A6"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7.23%</w:t>
            </w:r>
          </w:p>
        </w:tc>
        <w:tc>
          <w:tcPr>
            <w:tcW w:w="1443" w:type="dxa"/>
            <w:tcBorders>
              <w:top w:val="nil"/>
              <w:left w:val="nil"/>
              <w:bottom w:val="single" w:sz="4" w:space="0" w:color="A6A6A6"/>
              <w:right w:val="single" w:sz="4" w:space="0" w:color="A6A6A6"/>
            </w:tcBorders>
            <w:shd w:val="clear" w:color="000000" w:fill="F2F2F2"/>
            <w:noWrap/>
            <w:vAlign w:val="bottom"/>
            <w:hideMark/>
          </w:tcPr>
          <w:p w14:paraId="2806F5AC"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7.89%</w:t>
            </w:r>
          </w:p>
        </w:tc>
        <w:tc>
          <w:tcPr>
            <w:tcW w:w="796" w:type="dxa"/>
            <w:tcBorders>
              <w:top w:val="nil"/>
              <w:left w:val="nil"/>
              <w:bottom w:val="single" w:sz="4" w:space="0" w:color="A6A6A6"/>
              <w:right w:val="single" w:sz="4" w:space="0" w:color="A6A6A6"/>
            </w:tcBorders>
            <w:shd w:val="clear" w:color="000000" w:fill="F2F2F2"/>
            <w:noWrap/>
            <w:vAlign w:val="bottom"/>
            <w:hideMark/>
          </w:tcPr>
          <w:p w14:paraId="2E0B9A82"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6</w:t>
            </w:r>
          </w:p>
        </w:tc>
      </w:tr>
      <w:tr w:rsidR="003032D2" w:rsidRPr="00CC0BAC" w14:paraId="010D0683" w14:textId="77777777" w:rsidTr="00D939CF">
        <w:trPr>
          <w:trHeight w:val="284"/>
        </w:trPr>
        <w:tc>
          <w:tcPr>
            <w:tcW w:w="3063" w:type="dxa"/>
            <w:gridSpan w:val="2"/>
            <w:vMerge w:val="restart"/>
            <w:tcBorders>
              <w:top w:val="single" w:sz="4" w:space="0" w:color="BFBFBF"/>
              <w:left w:val="single" w:sz="4" w:space="0" w:color="BFBFBF"/>
              <w:bottom w:val="nil"/>
              <w:right w:val="single" w:sz="4" w:space="0" w:color="BFBFBF"/>
            </w:tcBorders>
            <w:shd w:val="clear" w:color="000000" w:fill="F2F2F2"/>
            <w:vAlign w:val="center"/>
            <w:hideMark/>
          </w:tcPr>
          <w:p w14:paraId="5BF5D9FD"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r w:rsidRPr="00CC0BAC">
              <w:rPr>
                <w:rFonts w:ascii="Arial" w:eastAsia="Times New Roman" w:hAnsi="Arial" w:cs="Arial"/>
                <w:color w:val="000000"/>
                <w:sz w:val="18"/>
                <w:szCs w:val="18"/>
                <w:lang w:eastAsia="en-GB"/>
              </w:rPr>
              <w:t> </w:t>
            </w:r>
          </w:p>
        </w:tc>
        <w:tc>
          <w:tcPr>
            <w:tcW w:w="2297" w:type="dxa"/>
            <w:tcBorders>
              <w:top w:val="single" w:sz="4" w:space="0" w:color="D9D9D9"/>
              <w:left w:val="nil"/>
              <w:bottom w:val="single" w:sz="4" w:space="0" w:color="A6A6A6"/>
              <w:right w:val="single" w:sz="4" w:space="0" w:color="D9D9D9"/>
            </w:tcBorders>
            <w:shd w:val="clear" w:color="000000" w:fill="F2F2F2"/>
            <w:vAlign w:val="center"/>
            <w:hideMark/>
          </w:tcPr>
          <w:p w14:paraId="01B8B7C6" w14:textId="77777777" w:rsidR="003032D2" w:rsidRPr="00CC0BAC" w:rsidRDefault="003032D2" w:rsidP="00DC54F7">
            <w:pPr>
              <w:spacing w:after="0" w:line="240" w:lineRule="auto"/>
              <w:jc w:val="both"/>
              <w:rPr>
                <w:rFonts w:ascii="Arial" w:eastAsia="Times New Roman" w:hAnsi="Arial" w:cs="Arial"/>
                <w:b/>
                <w:bCs/>
                <w:color w:val="000000"/>
                <w:sz w:val="18"/>
                <w:szCs w:val="18"/>
                <w:lang w:eastAsia="en-GB"/>
              </w:rPr>
            </w:pPr>
            <w:r w:rsidRPr="00CC0BAC">
              <w:rPr>
                <w:rFonts w:ascii="Arial" w:eastAsia="Times New Roman" w:hAnsi="Arial" w:cs="Arial"/>
                <w:b/>
                <w:bCs/>
                <w:color w:val="000000"/>
                <w:sz w:val="18"/>
                <w:szCs w:val="18"/>
                <w:lang w:eastAsia="en-GB"/>
              </w:rPr>
              <w:t>Total Responses</w:t>
            </w:r>
          </w:p>
        </w:tc>
        <w:tc>
          <w:tcPr>
            <w:tcW w:w="1251" w:type="dxa"/>
            <w:tcBorders>
              <w:top w:val="nil"/>
              <w:left w:val="nil"/>
              <w:bottom w:val="single" w:sz="4" w:space="0" w:color="A6A6A6"/>
              <w:right w:val="single" w:sz="4" w:space="0" w:color="A6A6A6"/>
            </w:tcBorders>
            <w:shd w:val="clear" w:color="000000" w:fill="F2F2F2"/>
            <w:noWrap/>
            <w:vAlign w:val="bottom"/>
            <w:hideMark/>
          </w:tcPr>
          <w:p w14:paraId="266ED9E2"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 </w:t>
            </w:r>
          </w:p>
        </w:tc>
        <w:tc>
          <w:tcPr>
            <w:tcW w:w="1443" w:type="dxa"/>
            <w:tcBorders>
              <w:top w:val="nil"/>
              <w:left w:val="nil"/>
              <w:bottom w:val="single" w:sz="4" w:space="0" w:color="A6A6A6"/>
              <w:right w:val="single" w:sz="4" w:space="0" w:color="A6A6A6"/>
            </w:tcBorders>
            <w:shd w:val="clear" w:color="000000" w:fill="F2F2F2"/>
            <w:noWrap/>
            <w:vAlign w:val="bottom"/>
            <w:hideMark/>
          </w:tcPr>
          <w:p w14:paraId="05A97A5D"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 </w:t>
            </w:r>
          </w:p>
        </w:tc>
        <w:tc>
          <w:tcPr>
            <w:tcW w:w="796" w:type="dxa"/>
            <w:tcBorders>
              <w:top w:val="nil"/>
              <w:left w:val="nil"/>
              <w:bottom w:val="single" w:sz="4" w:space="0" w:color="A6A6A6"/>
              <w:right w:val="single" w:sz="4" w:space="0" w:color="A6A6A6"/>
            </w:tcBorders>
            <w:shd w:val="clear" w:color="000000" w:fill="F2F2F2"/>
            <w:noWrap/>
            <w:vAlign w:val="bottom"/>
            <w:hideMark/>
          </w:tcPr>
          <w:p w14:paraId="51C8024C"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83</w:t>
            </w:r>
          </w:p>
        </w:tc>
      </w:tr>
      <w:tr w:rsidR="003032D2" w:rsidRPr="00CC0BAC" w14:paraId="211C807E" w14:textId="77777777" w:rsidTr="00D939CF">
        <w:trPr>
          <w:trHeight w:val="284"/>
        </w:trPr>
        <w:tc>
          <w:tcPr>
            <w:tcW w:w="3063" w:type="dxa"/>
            <w:gridSpan w:val="2"/>
            <w:vMerge/>
            <w:tcBorders>
              <w:top w:val="single" w:sz="4" w:space="0" w:color="BFBFBF"/>
              <w:left w:val="single" w:sz="4" w:space="0" w:color="BFBFBF"/>
              <w:bottom w:val="nil"/>
              <w:right w:val="single" w:sz="4" w:space="0" w:color="BFBFBF"/>
            </w:tcBorders>
            <w:vAlign w:val="center"/>
            <w:hideMark/>
          </w:tcPr>
          <w:p w14:paraId="6BBF8E74"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p>
        </w:tc>
        <w:tc>
          <w:tcPr>
            <w:tcW w:w="2297" w:type="dxa"/>
            <w:tcBorders>
              <w:top w:val="nil"/>
              <w:left w:val="nil"/>
              <w:bottom w:val="single" w:sz="4" w:space="0" w:color="A6A6A6"/>
              <w:right w:val="single" w:sz="4" w:space="0" w:color="D9D9D9"/>
            </w:tcBorders>
            <w:shd w:val="clear" w:color="000000" w:fill="F2F2F2"/>
            <w:vAlign w:val="center"/>
            <w:hideMark/>
          </w:tcPr>
          <w:p w14:paraId="2EC8E131" w14:textId="77777777" w:rsidR="003032D2" w:rsidRPr="00CC0BAC" w:rsidRDefault="003032D2" w:rsidP="00DC54F7">
            <w:pPr>
              <w:spacing w:after="0" w:line="240" w:lineRule="auto"/>
              <w:jc w:val="both"/>
              <w:rPr>
                <w:rFonts w:ascii="Arial" w:eastAsia="Times New Roman" w:hAnsi="Arial" w:cs="Arial"/>
                <w:b/>
                <w:bCs/>
                <w:color w:val="000000"/>
                <w:sz w:val="18"/>
                <w:szCs w:val="18"/>
                <w:lang w:eastAsia="en-GB"/>
              </w:rPr>
            </w:pPr>
            <w:r w:rsidRPr="00CC0BAC">
              <w:rPr>
                <w:rFonts w:ascii="Arial" w:eastAsia="Times New Roman" w:hAnsi="Arial" w:cs="Arial"/>
                <w:b/>
                <w:bCs/>
                <w:color w:val="000000"/>
                <w:sz w:val="18"/>
                <w:szCs w:val="18"/>
                <w:lang w:eastAsia="en-GB"/>
              </w:rPr>
              <w:t>Total Respondents</w:t>
            </w:r>
          </w:p>
        </w:tc>
        <w:tc>
          <w:tcPr>
            <w:tcW w:w="1251" w:type="dxa"/>
            <w:tcBorders>
              <w:top w:val="nil"/>
              <w:left w:val="nil"/>
              <w:bottom w:val="single" w:sz="4" w:space="0" w:color="A6A6A6"/>
              <w:right w:val="single" w:sz="4" w:space="0" w:color="A6A6A6"/>
            </w:tcBorders>
            <w:shd w:val="clear" w:color="000000" w:fill="F2F2F2"/>
            <w:vAlign w:val="center"/>
            <w:hideMark/>
          </w:tcPr>
          <w:p w14:paraId="6B73ED24" w14:textId="77777777" w:rsidR="003032D2" w:rsidRPr="00CC0BAC" w:rsidRDefault="003032D2" w:rsidP="00DC54F7">
            <w:pPr>
              <w:spacing w:after="0" w:line="240" w:lineRule="auto"/>
              <w:jc w:val="both"/>
              <w:rPr>
                <w:rFonts w:ascii="Arial" w:eastAsia="Times New Roman" w:hAnsi="Arial" w:cs="Arial"/>
                <w:b/>
                <w:bCs/>
                <w:color w:val="000000"/>
                <w:sz w:val="18"/>
                <w:szCs w:val="18"/>
                <w:lang w:eastAsia="en-GB"/>
              </w:rPr>
            </w:pPr>
            <w:r w:rsidRPr="00CC0BAC">
              <w:rPr>
                <w:rFonts w:ascii="Arial" w:eastAsia="Times New Roman" w:hAnsi="Arial" w:cs="Arial"/>
                <w:b/>
                <w:bCs/>
                <w:color w:val="000000"/>
                <w:sz w:val="18"/>
                <w:szCs w:val="18"/>
                <w:lang w:eastAsia="en-GB"/>
              </w:rPr>
              <w:t> </w:t>
            </w:r>
          </w:p>
        </w:tc>
        <w:tc>
          <w:tcPr>
            <w:tcW w:w="1443" w:type="dxa"/>
            <w:tcBorders>
              <w:top w:val="nil"/>
              <w:left w:val="nil"/>
              <w:bottom w:val="single" w:sz="4" w:space="0" w:color="A6A6A6"/>
              <w:right w:val="single" w:sz="4" w:space="0" w:color="A6A6A6"/>
            </w:tcBorders>
            <w:shd w:val="clear" w:color="000000" w:fill="F2F2F2"/>
            <w:noWrap/>
            <w:vAlign w:val="bottom"/>
            <w:hideMark/>
          </w:tcPr>
          <w:p w14:paraId="595D5DD6"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 </w:t>
            </w:r>
          </w:p>
        </w:tc>
        <w:tc>
          <w:tcPr>
            <w:tcW w:w="796" w:type="dxa"/>
            <w:tcBorders>
              <w:top w:val="nil"/>
              <w:left w:val="nil"/>
              <w:bottom w:val="single" w:sz="4" w:space="0" w:color="A6A6A6"/>
              <w:right w:val="single" w:sz="4" w:space="0" w:color="A6A6A6"/>
            </w:tcBorders>
            <w:shd w:val="clear" w:color="000000" w:fill="F2F2F2"/>
            <w:noWrap/>
            <w:vAlign w:val="bottom"/>
            <w:hideMark/>
          </w:tcPr>
          <w:p w14:paraId="6DE5B9F9"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76</w:t>
            </w:r>
          </w:p>
        </w:tc>
      </w:tr>
      <w:tr w:rsidR="003032D2" w:rsidRPr="00CC0BAC" w14:paraId="153720E8" w14:textId="77777777" w:rsidTr="00D939CF">
        <w:trPr>
          <w:trHeight w:val="284"/>
        </w:trPr>
        <w:tc>
          <w:tcPr>
            <w:tcW w:w="3063" w:type="dxa"/>
            <w:gridSpan w:val="2"/>
            <w:vMerge/>
            <w:tcBorders>
              <w:top w:val="single" w:sz="4" w:space="0" w:color="BFBFBF"/>
              <w:left w:val="single" w:sz="4" w:space="0" w:color="BFBFBF"/>
              <w:bottom w:val="nil"/>
              <w:right w:val="single" w:sz="4" w:space="0" w:color="BFBFBF"/>
            </w:tcBorders>
            <w:vAlign w:val="center"/>
            <w:hideMark/>
          </w:tcPr>
          <w:p w14:paraId="5D7A1F23" w14:textId="77777777" w:rsidR="003032D2" w:rsidRPr="00CC0BAC" w:rsidRDefault="003032D2" w:rsidP="00DC54F7">
            <w:pPr>
              <w:spacing w:after="0" w:line="240" w:lineRule="auto"/>
              <w:jc w:val="both"/>
              <w:rPr>
                <w:rFonts w:ascii="Arial" w:eastAsia="Times New Roman" w:hAnsi="Arial" w:cs="Arial"/>
                <w:color w:val="000000"/>
                <w:sz w:val="18"/>
                <w:szCs w:val="18"/>
                <w:lang w:eastAsia="en-GB"/>
              </w:rPr>
            </w:pPr>
          </w:p>
        </w:tc>
        <w:tc>
          <w:tcPr>
            <w:tcW w:w="2297" w:type="dxa"/>
            <w:tcBorders>
              <w:top w:val="nil"/>
              <w:left w:val="nil"/>
              <w:bottom w:val="single" w:sz="4" w:space="0" w:color="A6A6A6"/>
              <w:right w:val="single" w:sz="4" w:space="0" w:color="D9D9D9"/>
            </w:tcBorders>
            <w:shd w:val="clear" w:color="000000" w:fill="F2F2F2"/>
            <w:vAlign w:val="center"/>
            <w:hideMark/>
          </w:tcPr>
          <w:p w14:paraId="310978DA" w14:textId="77777777" w:rsidR="003032D2" w:rsidRPr="00CC0BAC" w:rsidRDefault="003032D2" w:rsidP="00DC54F7">
            <w:pPr>
              <w:spacing w:after="0" w:line="240" w:lineRule="auto"/>
              <w:jc w:val="both"/>
              <w:rPr>
                <w:rFonts w:ascii="Arial" w:eastAsia="Times New Roman" w:hAnsi="Arial" w:cs="Arial"/>
                <w:b/>
                <w:bCs/>
                <w:color w:val="000000"/>
                <w:sz w:val="18"/>
                <w:szCs w:val="18"/>
                <w:lang w:eastAsia="en-GB"/>
              </w:rPr>
            </w:pPr>
            <w:r w:rsidRPr="00CC0BAC">
              <w:rPr>
                <w:rFonts w:ascii="Arial" w:eastAsia="Times New Roman" w:hAnsi="Arial" w:cs="Arial"/>
                <w:b/>
                <w:bCs/>
                <w:color w:val="000000"/>
                <w:sz w:val="18"/>
                <w:szCs w:val="18"/>
                <w:lang w:eastAsia="en-GB"/>
              </w:rPr>
              <w:t>Skipped</w:t>
            </w:r>
          </w:p>
        </w:tc>
        <w:tc>
          <w:tcPr>
            <w:tcW w:w="1251" w:type="dxa"/>
            <w:tcBorders>
              <w:top w:val="nil"/>
              <w:left w:val="nil"/>
              <w:bottom w:val="single" w:sz="4" w:space="0" w:color="A6A6A6"/>
              <w:right w:val="single" w:sz="4" w:space="0" w:color="A6A6A6"/>
            </w:tcBorders>
            <w:shd w:val="clear" w:color="000000" w:fill="F2F2F2"/>
            <w:vAlign w:val="center"/>
            <w:hideMark/>
          </w:tcPr>
          <w:p w14:paraId="536E15B1" w14:textId="77777777" w:rsidR="003032D2" w:rsidRPr="00CC0BAC" w:rsidRDefault="003032D2" w:rsidP="00DC54F7">
            <w:pPr>
              <w:spacing w:after="0" w:line="240" w:lineRule="auto"/>
              <w:jc w:val="both"/>
              <w:rPr>
                <w:rFonts w:ascii="Arial" w:eastAsia="Times New Roman" w:hAnsi="Arial" w:cs="Arial"/>
                <w:b/>
                <w:bCs/>
                <w:color w:val="000000"/>
                <w:sz w:val="18"/>
                <w:szCs w:val="18"/>
                <w:lang w:eastAsia="en-GB"/>
              </w:rPr>
            </w:pPr>
            <w:r w:rsidRPr="00CC0BAC">
              <w:rPr>
                <w:rFonts w:ascii="Arial" w:eastAsia="Times New Roman" w:hAnsi="Arial" w:cs="Arial"/>
                <w:b/>
                <w:bCs/>
                <w:color w:val="000000"/>
                <w:sz w:val="18"/>
                <w:szCs w:val="18"/>
                <w:lang w:eastAsia="en-GB"/>
              </w:rPr>
              <w:t> </w:t>
            </w:r>
          </w:p>
        </w:tc>
        <w:tc>
          <w:tcPr>
            <w:tcW w:w="1443" w:type="dxa"/>
            <w:tcBorders>
              <w:top w:val="nil"/>
              <w:left w:val="nil"/>
              <w:bottom w:val="single" w:sz="4" w:space="0" w:color="A6A6A6"/>
              <w:right w:val="single" w:sz="4" w:space="0" w:color="A6A6A6"/>
            </w:tcBorders>
            <w:shd w:val="clear" w:color="000000" w:fill="F2F2F2"/>
            <w:noWrap/>
            <w:vAlign w:val="bottom"/>
            <w:hideMark/>
          </w:tcPr>
          <w:p w14:paraId="4143009E"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 </w:t>
            </w:r>
          </w:p>
        </w:tc>
        <w:tc>
          <w:tcPr>
            <w:tcW w:w="796" w:type="dxa"/>
            <w:tcBorders>
              <w:top w:val="nil"/>
              <w:left w:val="nil"/>
              <w:bottom w:val="single" w:sz="4" w:space="0" w:color="A6A6A6"/>
              <w:right w:val="single" w:sz="4" w:space="0" w:color="A6A6A6"/>
            </w:tcBorders>
            <w:shd w:val="clear" w:color="000000" w:fill="F2F2F2"/>
            <w:noWrap/>
            <w:vAlign w:val="bottom"/>
            <w:hideMark/>
          </w:tcPr>
          <w:p w14:paraId="427B74A8" w14:textId="77777777" w:rsidR="003032D2" w:rsidRPr="00CC0BAC" w:rsidRDefault="003032D2" w:rsidP="00DC54F7">
            <w:pPr>
              <w:spacing w:after="0" w:line="240" w:lineRule="auto"/>
              <w:jc w:val="both"/>
              <w:rPr>
                <w:rFonts w:ascii="Calibri" w:eastAsia="Times New Roman" w:hAnsi="Calibri" w:cs="Calibri"/>
                <w:color w:val="000000"/>
                <w:lang w:eastAsia="en-GB"/>
              </w:rPr>
            </w:pPr>
            <w:r w:rsidRPr="00CC0BAC">
              <w:rPr>
                <w:rFonts w:ascii="Calibri" w:eastAsia="Times New Roman" w:hAnsi="Calibri" w:cs="Calibri"/>
                <w:color w:val="000000"/>
                <w:lang w:eastAsia="en-GB"/>
              </w:rPr>
              <w:t>235</w:t>
            </w:r>
          </w:p>
        </w:tc>
      </w:tr>
    </w:tbl>
    <w:p w14:paraId="7162EEC1" w14:textId="6CE69EFC" w:rsidR="00D301A3" w:rsidRDefault="00D301A3" w:rsidP="00DC54F7">
      <w:pPr>
        <w:spacing w:after="0" w:line="240" w:lineRule="auto"/>
        <w:jc w:val="both"/>
        <w:rPr>
          <w:rFonts w:ascii="Arial" w:eastAsia="Times New Roman" w:hAnsi="Arial" w:cs="Arial"/>
          <w:b/>
          <w:bCs/>
          <w:color w:val="333333"/>
          <w:lang w:eastAsia="en-GB"/>
        </w:rPr>
      </w:pPr>
    </w:p>
    <w:p w14:paraId="666E23AE" w14:textId="77777777" w:rsidR="003032D2" w:rsidRDefault="003032D2" w:rsidP="00DC54F7">
      <w:pPr>
        <w:spacing w:after="0" w:line="240" w:lineRule="auto"/>
        <w:jc w:val="both"/>
        <w:rPr>
          <w:rFonts w:ascii="Arial" w:eastAsia="Times New Roman" w:hAnsi="Arial" w:cs="Arial"/>
          <w:b/>
          <w:bCs/>
          <w:color w:val="333333"/>
          <w:lang w:eastAsia="en-GB"/>
        </w:rPr>
      </w:pPr>
    </w:p>
    <w:p w14:paraId="7B6E659C" w14:textId="77777777" w:rsidR="00D301A3" w:rsidRDefault="00D301A3" w:rsidP="00DC54F7">
      <w:pPr>
        <w:spacing w:after="0" w:line="240" w:lineRule="auto"/>
        <w:jc w:val="both"/>
        <w:rPr>
          <w:rFonts w:ascii="Arial" w:eastAsia="Times New Roman" w:hAnsi="Arial" w:cs="Arial"/>
          <w:b/>
          <w:bCs/>
          <w:color w:val="333333"/>
          <w:lang w:eastAsia="en-GB"/>
        </w:rPr>
      </w:pPr>
      <w:r>
        <w:rPr>
          <w:rFonts w:ascii="Arial" w:eastAsia="Times New Roman" w:hAnsi="Arial" w:cs="Arial"/>
          <w:b/>
          <w:bCs/>
          <w:color w:val="333333"/>
          <w:lang w:eastAsia="en-GB"/>
        </w:rPr>
        <w:t>A total of six comments were received:</w:t>
      </w:r>
    </w:p>
    <w:p w14:paraId="553D097B" w14:textId="77777777" w:rsidR="00D301A3" w:rsidRPr="00C25227" w:rsidRDefault="00D301A3" w:rsidP="00DC54F7">
      <w:pPr>
        <w:pStyle w:val="ListParagraph"/>
        <w:numPr>
          <w:ilvl w:val="0"/>
          <w:numId w:val="73"/>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C25227">
        <w:rPr>
          <w:rFonts w:ascii="Arial" w:eastAsia="Times New Roman" w:hAnsi="Arial" w:cs="Arial"/>
          <w:color w:val="333333"/>
          <w:lang w:eastAsia="en-GB"/>
        </w:rPr>
        <w:t>Used the delivery service</w:t>
      </w:r>
      <w:r>
        <w:rPr>
          <w:rFonts w:ascii="Arial" w:eastAsia="Times New Roman" w:hAnsi="Arial" w:cs="Arial"/>
          <w:color w:val="333333"/>
          <w:lang w:eastAsia="en-GB"/>
        </w:rPr>
        <w:t>.”</w:t>
      </w:r>
    </w:p>
    <w:p w14:paraId="21A19E9C" w14:textId="77777777" w:rsidR="00D301A3" w:rsidRPr="00C25227" w:rsidRDefault="00D301A3" w:rsidP="00DC54F7">
      <w:pPr>
        <w:pStyle w:val="ListParagraph"/>
        <w:numPr>
          <w:ilvl w:val="0"/>
          <w:numId w:val="73"/>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C25227">
        <w:rPr>
          <w:rFonts w:ascii="Arial" w:eastAsia="Times New Roman" w:hAnsi="Arial" w:cs="Arial"/>
          <w:color w:val="333333"/>
          <w:lang w:eastAsia="en-GB"/>
        </w:rPr>
        <w:t>Went to on call pharmacy</w:t>
      </w:r>
      <w:r>
        <w:rPr>
          <w:rFonts w:ascii="Arial" w:eastAsia="Times New Roman" w:hAnsi="Arial" w:cs="Arial"/>
          <w:color w:val="333333"/>
          <w:lang w:eastAsia="en-GB"/>
        </w:rPr>
        <w:t>.”</w:t>
      </w:r>
    </w:p>
    <w:p w14:paraId="504E81DD" w14:textId="77777777" w:rsidR="00D301A3" w:rsidRPr="00C25227" w:rsidRDefault="00D301A3" w:rsidP="00DC54F7">
      <w:pPr>
        <w:pStyle w:val="ListParagraph"/>
        <w:numPr>
          <w:ilvl w:val="0"/>
          <w:numId w:val="73"/>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C25227">
        <w:rPr>
          <w:rFonts w:ascii="Arial" w:eastAsia="Times New Roman" w:hAnsi="Arial" w:cs="Arial"/>
          <w:color w:val="333333"/>
          <w:lang w:eastAsia="en-GB"/>
        </w:rPr>
        <w:t>The pharmacy is not open at weekends. Also another local pharmacy was shut during covid</w:t>
      </w:r>
      <w:r>
        <w:rPr>
          <w:rFonts w:ascii="Arial" w:eastAsia="Times New Roman" w:hAnsi="Arial" w:cs="Arial"/>
          <w:color w:val="333333"/>
          <w:lang w:eastAsia="en-GB"/>
        </w:rPr>
        <w:t>.”</w:t>
      </w:r>
    </w:p>
    <w:p w14:paraId="6ED8E827" w14:textId="77777777" w:rsidR="00D301A3" w:rsidRPr="00C25227" w:rsidRDefault="00D301A3" w:rsidP="00DC54F7">
      <w:pPr>
        <w:pStyle w:val="ListParagraph"/>
        <w:numPr>
          <w:ilvl w:val="0"/>
          <w:numId w:val="73"/>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C25227">
        <w:rPr>
          <w:rFonts w:ascii="Arial" w:eastAsia="Times New Roman" w:hAnsi="Arial" w:cs="Arial"/>
          <w:color w:val="333333"/>
          <w:lang w:eastAsia="en-GB"/>
        </w:rPr>
        <w:t>I don't have a 'usual' pharmacy. The two closest are about a mile away and there is another one I sometimes use if we are out in the car anyway.</w:t>
      </w:r>
    </w:p>
    <w:p w14:paraId="124F1D74" w14:textId="77777777" w:rsidR="00D301A3" w:rsidRPr="00C25227" w:rsidRDefault="00D301A3" w:rsidP="00DC54F7">
      <w:pPr>
        <w:pStyle w:val="ListParagraph"/>
        <w:numPr>
          <w:ilvl w:val="0"/>
          <w:numId w:val="73"/>
        </w:numPr>
        <w:spacing w:after="0" w:line="240" w:lineRule="auto"/>
        <w:jc w:val="both"/>
        <w:rPr>
          <w:rFonts w:ascii="Arial" w:eastAsia="Times New Roman" w:hAnsi="Arial" w:cs="Arial"/>
          <w:color w:val="333333"/>
          <w:lang w:eastAsia="en-GB"/>
        </w:rPr>
      </w:pPr>
      <w:r w:rsidRPr="00C25227">
        <w:rPr>
          <w:rFonts w:ascii="Arial" w:eastAsia="Times New Roman" w:hAnsi="Arial" w:cs="Arial"/>
          <w:color w:val="333333"/>
          <w:lang w:eastAsia="en-GB"/>
        </w:rPr>
        <w:t>Went home.</w:t>
      </w:r>
      <w:r>
        <w:rPr>
          <w:rFonts w:ascii="Arial" w:eastAsia="Times New Roman" w:hAnsi="Arial" w:cs="Arial"/>
          <w:color w:val="333333"/>
          <w:lang w:eastAsia="en-GB"/>
        </w:rPr>
        <w:t>”</w:t>
      </w:r>
    </w:p>
    <w:p w14:paraId="0029933B" w14:textId="77777777" w:rsidR="00D301A3" w:rsidRPr="00C25227" w:rsidRDefault="00D301A3" w:rsidP="00DC54F7">
      <w:pPr>
        <w:pStyle w:val="ListParagraph"/>
        <w:numPr>
          <w:ilvl w:val="0"/>
          <w:numId w:val="73"/>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C25227">
        <w:rPr>
          <w:rFonts w:ascii="Arial" w:eastAsia="Times New Roman" w:hAnsi="Arial" w:cs="Arial"/>
          <w:color w:val="333333"/>
          <w:lang w:eastAsia="en-GB"/>
        </w:rPr>
        <w:t>The person who usually picks up my prescriptions because I am housebound was unable to get them due to illness himself. I had to phone to ask them to deliver and was told they don't usually deliver - but they would do it this once. I was shocked by this attitude.</w:t>
      </w:r>
      <w:r>
        <w:rPr>
          <w:rFonts w:ascii="Arial" w:eastAsia="Times New Roman" w:hAnsi="Arial" w:cs="Arial"/>
          <w:color w:val="333333"/>
          <w:lang w:eastAsia="en-GB"/>
        </w:rPr>
        <w:t>”</w:t>
      </w:r>
    </w:p>
    <w:p w14:paraId="5601F8BA" w14:textId="77777777" w:rsidR="00D301A3" w:rsidRDefault="00D301A3" w:rsidP="00DC54F7">
      <w:pPr>
        <w:spacing w:after="0" w:line="240" w:lineRule="auto"/>
        <w:jc w:val="both"/>
        <w:rPr>
          <w:rFonts w:ascii="Arial" w:eastAsia="Times New Roman" w:hAnsi="Arial" w:cs="Arial"/>
          <w:b/>
          <w:bCs/>
          <w:color w:val="333333"/>
          <w:lang w:eastAsia="en-GB"/>
        </w:rPr>
      </w:pPr>
    </w:p>
    <w:p w14:paraId="24AFDD8D" w14:textId="77777777" w:rsidR="00D301A3" w:rsidRPr="005B412A" w:rsidRDefault="00D301A3" w:rsidP="00DC54F7">
      <w:pPr>
        <w:spacing w:after="0" w:line="240" w:lineRule="auto"/>
        <w:jc w:val="both"/>
        <w:rPr>
          <w:rFonts w:ascii="Arial" w:eastAsia="Times New Roman" w:hAnsi="Arial" w:cs="Arial"/>
          <w:b/>
          <w:bCs/>
          <w:color w:val="333333"/>
          <w:lang w:eastAsia="en-GB"/>
        </w:rPr>
      </w:pPr>
    </w:p>
    <w:p w14:paraId="09D33441" w14:textId="77777777" w:rsidR="00D301A3" w:rsidRDefault="00D301A3" w:rsidP="00DC54F7">
      <w:pPr>
        <w:spacing w:after="0" w:line="240" w:lineRule="auto"/>
        <w:jc w:val="both"/>
        <w:rPr>
          <w:rFonts w:ascii="Arial" w:eastAsia="Times New Roman" w:hAnsi="Arial" w:cs="Arial"/>
          <w:b/>
          <w:bCs/>
          <w:color w:val="333333"/>
          <w:lang w:eastAsia="en-GB"/>
        </w:rPr>
      </w:pPr>
      <w:r w:rsidRPr="005B412A">
        <w:rPr>
          <w:rFonts w:ascii="Arial" w:eastAsia="Times New Roman" w:hAnsi="Arial" w:cs="Arial"/>
          <w:b/>
          <w:bCs/>
          <w:color w:val="333333"/>
          <w:sz w:val="21"/>
          <w:szCs w:val="21"/>
          <w:lang w:eastAsia="en-GB"/>
        </w:rPr>
        <w:t>8</w:t>
      </w:r>
      <w:r w:rsidRPr="005B412A">
        <w:rPr>
          <w:rFonts w:ascii="Arial" w:eastAsia="Times New Roman" w:hAnsi="Arial" w:cs="Arial"/>
          <w:b/>
          <w:bCs/>
          <w:color w:val="333333"/>
          <w:lang w:eastAsia="en-GB"/>
        </w:rPr>
        <w:t xml:space="preserve">. Please could you tell us whether you (please tick one): </w:t>
      </w:r>
    </w:p>
    <w:p w14:paraId="068866C7" w14:textId="77777777" w:rsidR="00D301A3" w:rsidRPr="005B412A" w:rsidRDefault="00D301A3" w:rsidP="00DC54F7">
      <w:pPr>
        <w:spacing w:after="0" w:line="240" w:lineRule="auto"/>
        <w:jc w:val="both"/>
        <w:rPr>
          <w:rFonts w:ascii="Arial" w:eastAsia="Times New Roman" w:hAnsi="Arial" w:cs="Arial"/>
          <w:b/>
          <w:bCs/>
          <w:color w:val="333333"/>
          <w:lang w:eastAsia="en-GB"/>
        </w:rPr>
      </w:pPr>
    </w:p>
    <w:tbl>
      <w:tblPr>
        <w:tblW w:w="9067" w:type="dxa"/>
        <w:tblLook w:val="04A0" w:firstRow="1" w:lastRow="0" w:firstColumn="1" w:lastColumn="0" w:noHBand="0" w:noVBand="1"/>
      </w:tblPr>
      <w:tblGrid>
        <w:gridCol w:w="960"/>
        <w:gridCol w:w="4847"/>
        <w:gridCol w:w="992"/>
        <w:gridCol w:w="1134"/>
        <w:gridCol w:w="1134"/>
      </w:tblGrid>
      <w:tr w:rsidR="00D301A3" w:rsidRPr="005B412A" w14:paraId="399FCCE7" w14:textId="77777777" w:rsidTr="00AA572E">
        <w:trPr>
          <w:trHeight w:val="290"/>
        </w:trPr>
        <w:tc>
          <w:tcPr>
            <w:tcW w:w="6799" w:type="dxa"/>
            <w:gridSpan w:val="3"/>
            <w:tcBorders>
              <w:top w:val="single" w:sz="4" w:space="0" w:color="A6A6A6"/>
              <w:left w:val="single" w:sz="4" w:space="0" w:color="A6A6A6"/>
              <w:bottom w:val="single" w:sz="4" w:space="0" w:color="A6A6A6"/>
              <w:right w:val="nil"/>
            </w:tcBorders>
            <w:shd w:val="clear" w:color="000000" w:fill="ACB9CA"/>
            <w:noWrap/>
            <w:vAlign w:val="center"/>
            <w:hideMark/>
          </w:tcPr>
          <w:p w14:paraId="39DB8682" w14:textId="77777777" w:rsidR="00D301A3" w:rsidRPr="005B412A" w:rsidRDefault="00D301A3" w:rsidP="00DC54F7">
            <w:pPr>
              <w:spacing w:after="0" w:line="240" w:lineRule="auto"/>
              <w:jc w:val="both"/>
              <w:rPr>
                <w:rFonts w:ascii="Arial" w:eastAsia="Times New Roman" w:hAnsi="Arial" w:cs="Arial"/>
                <w:b/>
                <w:bCs/>
                <w:color w:val="FFFFFF"/>
                <w:sz w:val="21"/>
                <w:szCs w:val="21"/>
                <w:lang w:eastAsia="en-GB"/>
              </w:rPr>
            </w:pPr>
            <w:r w:rsidRPr="005B412A">
              <w:rPr>
                <w:rFonts w:ascii="Arial" w:eastAsia="Times New Roman" w:hAnsi="Arial" w:cs="Arial"/>
                <w:b/>
                <w:bCs/>
                <w:color w:val="FFFFFF"/>
                <w:sz w:val="21"/>
                <w:szCs w:val="21"/>
                <w:lang w:eastAsia="en-GB"/>
              </w:rPr>
              <w:t> </w:t>
            </w:r>
          </w:p>
        </w:tc>
        <w:tc>
          <w:tcPr>
            <w:tcW w:w="2268" w:type="dxa"/>
            <w:gridSpan w:val="2"/>
            <w:tcBorders>
              <w:top w:val="single" w:sz="4" w:space="0" w:color="A6A6A6"/>
              <w:left w:val="nil"/>
              <w:bottom w:val="single" w:sz="4" w:space="0" w:color="A6A6A6"/>
              <w:right w:val="single" w:sz="4" w:space="0" w:color="A6A6A6"/>
            </w:tcBorders>
            <w:shd w:val="clear" w:color="000000" w:fill="ACB9CA"/>
            <w:noWrap/>
            <w:vAlign w:val="center"/>
            <w:hideMark/>
          </w:tcPr>
          <w:p w14:paraId="35C3F521" w14:textId="77777777" w:rsidR="00D301A3" w:rsidRPr="005B412A" w:rsidRDefault="00D301A3" w:rsidP="00DC54F7">
            <w:pPr>
              <w:spacing w:after="0" w:line="240" w:lineRule="auto"/>
              <w:jc w:val="both"/>
              <w:rPr>
                <w:rFonts w:ascii="Arial" w:eastAsia="Times New Roman" w:hAnsi="Arial" w:cs="Arial"/>
                <w:b/>
                <w:bCs/>
                <w:color w:val="FFFFFF"/>
                <w:sz w:val="21"/>
                <w:szCs w:val="21"/>
                <w:lang w:eastAsia="en-GB"/>
              </w:rPr>
            </w:pPr>
            <w:r w:rsidRPr="005B412A">
              <w:rPr>
                <w:rFonts w:ascii="Arial" w:eastAsia="Times New Roman" w:hAnsi="Arial" w:cs="Arial"/>
                <w:b/>
                <w:bCs/>
                <w:color w:val="FFFFFF"/>
                <w:sz w:val="21"/>
                <w:szCs w:val="21"/>
                <w:lang w:eastAsia="en-GB"/>
              </w:rPr>
              <w:t>Response</w:t>
            </w:r>
          </w:p>
        </w:tc>
      </w:tr>
      <w:tr w:rsidR="00D301A3" w:rsidRPr="005B412A" w14:paraId="6254AB38" w14:textId="77777777" w:rsidTr="00AA572E">
        <w:trPr>
          <w:trHeight w:val="290"/>
        </w:trPr>
        <w:tc>
          <w:tcPr>
            <w:tcW w:w="6799"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4284928F" w14:textId="77777777" w:rsidR="00D301A3" w:rsidRPr="005B412A" w:rsidRDefault="00D301A3" w:rsidP="00DC54F7">
            <w:pPr>
              <w:spacing w:after="0" w:line="240" w:lineRule="auto"/>
              <w:jc w:val="both"/>
              <w:rPr>
                <w:rFonts w:ascii="Arial" w:eastAsia="Times New Roman" w:hAnsi="Arial" w:cs="Arial"/>
                <w:b/>
                <w:bCs/>
                <w:color w:val="000000"/>
                <w:sz w:val="18"/>
                <w:szCs w:val="18"/>
                <w:lang w:eastAsia="en-GB"/>
              </w:rPr>
            </w:pPr>
            <w:r w:rsidRPr="005B412A">
              <w:rPr>
                <w:rFonts w:ascii="Arial" w:eastAsia="Times New Roman" w:hAnsi="Arial" w:cs="Arial"/>
                <w:b/>
                <w:bCs/>
                <w:color w:val="000000"/>
                <w:sz w:val="18"/>
                <w:szCs w:val="18"/>
                <w:lang w:eastAsia="en-GB"/>
              </w:rPr>
              <w:t> </w:t>
            </w:r>
          </w:p>
        </w:tc>
        <w:tc>
          <w:tcPr>
            <w:tcW w:w="1134" w:type="dxa"/>
            <w:tcBorders>
              <w:top w:val="nil"/>
              <w:left w:val="nil"/>
              <w:bottom w:val="single" w:sz="4" w:space="0" w:color="A6A6A6"/>
              <w:right w:val="single" w:sz="4" w:space="0" w:color="A6A6A6"/>
            </w:tcBorders>
            <w:shd w:val="clear" w:color="000000" w:fill="F2F2F2"/>
            <w:noWrap/>
            <w:vAlign w:val="center"/>
            <w:hideMark/>
          </w:tcPr>
          <w:p w14:paraId="72F74D37" w14:textId="77777777" w:rsidR="00D301A3" w:rsidRPr="005B412A" w:rsidRDefault="00D301A3" w:rsidP="00DC54F7">
            <w:pPr>
              <w:spacing w:after="0" w:line="240" w:lineRule="auto"/>
              <w:jc w:val="both"/>
              <w:rPr>
                <w:rFonts w:ascii="Arial" w:eastAsia="Times New Roman" w:hAnsi="Arial" w:cs="Arial"/>
                <w:b/>
                <w:bCs/>
                <w:color w:val="000000"/>
                <w:sz w:val="18"/>
                <w:szCs w:val="18"/>
                <w:lang w:eastAsia="en-GB"/>
              </w:rPr>
            </w:pPr>
            <w:r w:rsidRPr="005B412A">
              <w:rPr>
                <w:rFonts w:ascii="Arial" w:eastAsia="Times New Roman" w:hAnsi="Arial" w:cs="Arial"/>
                <w:b/>
                <w:bCs/>
                <w:color w:val="000000"/>
                <w:sz w:val="18"/>
                <w:szCs w:val="18"/>
                <w:lang w:eastAsia="en-GB"/>
              </w:rPr>
              <w:t>Percent</w:t>
            </w:r>
          </w:p>
        </w:tc>
        <w:tc>
          <w:tcPr>
            <w:tcW w:w="1134" w:type="dxa"/>
            <w:tcBorders>
              <w:top w:val="nil"/>
              <w:left w:val="nil"/>
              <w:bottom w:val="single" w:sz="4" w:space="0" w:color="A6A6A6"/>
              <w:right w:val="single" w:sz="4" w:space="0" w:color="A6A6A6"/>
            </w:tcBorders>
            <w:shd w:val="clear" w:color="000000" w:fill="F2F2F2"/>
            <w:noWrap/>
            <w:vAlign w:val="center"/>
            <w:hideMark/>
          </w:tcPr>
          <w:p w14:paraId="145A2BF2" w14:textId="77777777" w:rsidR="00D301A3" w:rsidRPr="005B412A" w:rsidRDefault="00D301A3" w:rsidP="00DC54F7">
            <w:pPr>
              <w:spacing w:after="0" w:line="240" w:lineRule="auto"/>
              <w:jc w:val="both"/>
              <w:rPr>
                <w:rFonts w:ascii="Arial" w:eastAsia="Times New Roman" w:hAnsi="Arial" w:cs="Arial"/>
                <w:b/>
                <w:bCs/>
                <w:color w:val="000000"/>
                <w:sz w:val="18"/>
                <w:szCs w:val="18"/>
                <w:lang w:eastAsia="en-GB"/>
              </w:rPr>
            </w:pPr>
            <w:r w:rsidRPr="005B412A">
              <w:rPr>
                <w:rFonts w:ascii="Arial" w:eastAsia="Times New Roman" w:hAnsi="Arial" w:cs="Arial"/>
                <w:b/>
                <w:bCs/>
                <w:color w:val="000000"/>
                <w:sz w:val="18"/>
                <w:szCs w:val="18"/>
                <w:lang w:eastAsia="en-GB"/>
              </w:rPr>
              <w:t>Total</w:t>
            </w:r>
          </w:p>
        </w:tc>
      </w:tr>
      <w:tr w:rsidR="00D301A3" w:rsidRPr="005B412A" w14:paraId="3F214793"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6539680C"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1</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665972FE"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Always use the same pharmacy?</w:t>
            </w:r>
          </w:p>
        </w:tc>
        <w:tc>
          <w:tcPr>
            <w:tcW w:w="1134" w:type="dxa"/>
            <w:tcBorders>
              <w:top w:val="nil"/>
              <w:left w:val="nil"/>
              <w:bottom w:val="single" w:sz="4" w:space="0" w:color="A6A6A6"/>
              <w:right w:val="single" w:sz="4" w:space="0" w:color="A6A6A6"/>
            </w:tcBorders>
            <w:shd w:val="clear" w:color="000000" w:fill="F2F2F2"/>
            <w:noWrap/>
            <w:vAlign w:val="bottom"/>
            <w:hideMark/>
          </w:tcPr>
          <w:p w14:paraId="109D63ED"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63.96%</w:t>
            </w:r>
          </w:p>
        </w:tc>
        <w:tc>
          <w:tcPr>
            <w:tcW w:w="1134" w:type="dxa"/>
            <w:tcBorders>
              <w:top w:val="nil"/>
              <w:left w:val="nil"/>
              <w:bottom w:val="single" w:sz="4" w:space="0" w:color="A6A6A6"/>
              <w:right w:val="single" w:sz="4" w:space="0" w:color="A6A6A6"/>
            </w:tcBorders>
            <w:shd w:val="clear" w:color="000000" w:fill="F2F2F2"/>
            <w:noWrap/>
            <w:vAlign w:val="bottom"/>
            <w:hideMark/>
          </w:tcPr>
          <w:p w14:paraId="010F32EC"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197</w:t>
            </w:r>
          </w:p>
        </w:tc>
      </w:tr>
      <w:tr w:rsidR="00D301A3" w:rsidRPr="005B412A" w14:paraId="3C1AE6A0"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7AC3A2F3"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2</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3E4F33B2"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Use different pharmacies but I prefer to visit one most often?</w:t>
            </w:r>
          </w:p>
        </w:tc>
        <w:tc>
          <w:tcPr>
            <w:tcW w:w="1134" w:type="dxa"/>
            <w:tcBorders>
              <w:top w:val="nil"/>
              <w:left w:val="nil"/>
              <w:bottom w:val="single" w:sz="4" w:space="0" w:color="A6A6A6"/>
              <w:right w:val="single" w:sz="4" w:space="0" w:color="A6A6A6"/>
            </w:tcBorders>
            <w:shd w:val="clear" w:color="000000" w:fill="F2F2F2"/>
            <w:noWrap/>
            <w:vAlign w:val="bottom"/>
            <w:hideMark/>
          </w:tcPr>
          <w:p w14:paraId="7F7F1165"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32.79%</w:t>
            </w:r>
          </w:p>
        </w:tc>
        <w:tc>
          <w:tcPr>
            <w:tcW w:w="1134" w:type="dxa"/>
            <w:tcBorders>
              <w:top w:val="nil"/>
              <w:left w:val="nil"/>
              <w:bottom w:val="single" w:sz="4" w:space="0" w:color="A6A6A6"/>
              <w:right w:val="single" w:sz="4" w:space="0" w:color="A6A6A6"/>
            </w:tcBorders>
            <w:shd w:val="clear" w:color="000000" w:fill="F2F2F2"/>
            <w:noWrap/>
            <w:vAlign w:val="bottom"/>
            <w:hideMark/>
          </w:tcPr>
          <w:p w14:paraId="48CB58CF"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101</w:t>
            </w:r>
          </w:p>
        </w:tc>
      </w:tr>
      <w:tr w:rsidR="00D301A3" w:rsidRPr="005B412A" w14:paraId="2C4927B2"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6F0E5167"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3</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1355CEFD"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Always use different pharmacies?</w:t>
            </w:r>
          </w:p>
        </w:tc>
        <w:tc>
          <w:tcPr>
            <w:tcW w:w="1134" w:type="dxa"/>
            <w:tcBorders>
              <w:top w:val="nil"/>
              <w:left w:val="nil"/>
              <w:bottom w:val="single" w:sz="4" w:space="0" w:color="A6A6A6"/>
              <w:right w:val="single" w:sz="4" w:space="0" w:color="A6A6A6"/>
            </w:tcBorders>
            <w:shd w:val="clear" w:color="000000" w:fill="F2F2F2"/>
            <w:noWrap/>
            <w:vAlign w:val="bottom"/>
            <w:hideMark/>
          </w:tcPr>
          <w:p w14:paraId="5DF2690B"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0.97%</w:t>
            </w:r>
          </w:p>
        </w:tc>
        <w:tc>
          <w:tcPr>
            <w:tcW w:w="1134" w:type="dxa"/>
            <w:tcBorders>
              <w:top w:val="nil"/>
              <w:left w:val="nil"/>
              <w:bottom w:val="single" w:sz="4" w:space="0" w:color="A6A6A6"/>
              <w:right w:val="single" w:sz="4" w:space="0" w:color="A6A6A6"/>
            </w:tcBorders>
            <w:shd w:val="clear" w:color="000000" w:fill="F2F2F2"/>
            <w:noWrap/>
            <w:vAlign w:val="bottom"/>
            <w:hideMark/>
          </w:tcPr>
          <w:p w14:paraId="37B4C07C"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3</w:t>
            </w:r>
          </w:p>
        </w:tc>
      </w:tr>
      <w:tr w:rsidR="00D301A3" w:rsidRPr="005B412A" w14:paraId="767BFA36"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0D84988E"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4</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32DD3E9A"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Rarely use a pharmacy?</w:t>
            </w:r>
          </w:p>
        </w:tc>
        <w:tc>
          <w:tcPr>
            <w:tcW w:w="1134" w:type="dxa"/>
            <w:tcBorders>
              <w:top w:val="nil"/>
              <w:left w:val="nil"/>
              <w:bottom w:val="single" w:sz="4" w:space="0" w:color="A6A6A6"/>
              <w:right w:val="single" w:sz="4" w:space="0" w:color="A6A6A6"/>
            </w:tcBorders>
            <w:shd w:val="clear" w:color="000000" w:fill="F2F2F2"/>
            <w:noWrap/>
            <w:vAlign w:val="bottom"/>
            <w:hideMark/>
          </w:tcPr>
          <w:p w14:paraId="6CB76A91"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2.27%</w:t>
            </w:r>
          </w:p>
        </w:tc>
        <w:tc>
          <w:tcPr>
            <w:tcW w:w="1134" w:type="dxa"/>
            <w:tcBorders>
              <w:top w:val="nil"/>
              <w:left w:val="nil"/>
              <w:bottom w:val="single" w:sz="4" w:space="0" w:color="A6A6A6"/>
              <w:right w:val="single" w:sz="4" w:space="0" w:color="A6A6A6"/>
            </w:tcBorders>
            <w:shd w:val="clear" w:color="000000" w:fill="F2F2F2"/>
            <w:noWrap/>
            <w:vAlign w:val="bottom"/>
            <w:hideMark/>
          </w:tcPr>
          <w:p w14:paraId="53802799"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7</w:t>
            </w:r>
          </w:p>
        </w:tc>
      </w:tr>
      <w:tr w:rsidR="00D301A3" w:rsidRPr="005B412A" w14:paraId="35AE81AA"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0D3ADD76"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5</w:t>
            </w:r>
          </w:p>
        </w:tc>
        <w:tc>
          <w:tcPr>
            <w:tcW w:w="5839" w:type="dxa"/>
            <w:gridSpan w:val="2"/>
            <w:tcBorders>
              <w:top w:val="single" w:sz="4" w:space="0" w:color="A6A6A6"/>
              <w:left w:val="nil"/>
              <w:bottom w:val="single" w:sz="4" w:space="0" w:color="A6A6A6"/>
              <w:right w:val="single" w:sz="4" w:space="0" w:color="A6A6A6"/>
            </w:tcBorders>
            <w:shd w:val="clear" w:color="auto" w:fill="auto"/>
            <w:vAlign w:val="center"/>
            <w:hideMark/>
          </w:tcPr>
          <w:p w14:paraId="264EA474" w14:textId="77777777" w:rsidR="00D301A3" w:rsidRPr="005B412A" w:rsidRDefault="00D301A3" w:rsidP="00DC54F7">
            <w:pPr>
              <w:spacing w:after="0" w:line="240" w:lineRule="auto"/>
              <w:jc w:val="both"/>
              <w:rPr>
                <w:rFonts w:ascii="Arial" w:eastAsia="Times New Roman" w:hAnsi="Arial" w:cs="Arial"/>
                <w:color w:val="000000"/>
                <w:sz w:val="18"/>
                <w:szCs w:val="18"/>
                <w:lang w:eastAsia="en-GB"/>
              </w:rPr>
            </w:pPr>
            <w:r w:rsidRPr="005B412A">
              <w:rPr>
                <w:rFonts w:ascii="Arial" w:eastAsia="Times New Roman" w:hAnsi="Arial" w:cs="Arial"/>
                <w:color w:val="000000"/>
                <w:sz w:val="18"/>
                <w:szCs w:val="18"/>
                <w:lang w:eastAsia="en-GB"/>
              </w:rPr>
              <w:t>Never use a pharmacy?</w:t>
            </w:r>
          </w:p>
        </w:tc>
        <w:tc>
          <w:tcPr>
            <w:tcW w:w="1134" w:type="dxa"/>
            <w:tcBorders>
              <w:top w:val="nil"/>
              <w:left w:val="nil"/>
              <w:bottom w:val="single" w:sz="4" w:space="0" w:color="A6A6A6"/>
              <w:right w:val="single" w:sz="4" w:space="0" w:color="A6A6A6"/>
            </w:tcBorders>
            <w:shd w:val="clear" w:color="000000" w:fill="F2F2F2"/>
            <w:noWrap/>
            <w:vAlign w:val="bottom"/>
            <w:hideMark/>
          </w:tcPr>
          <w:p w14:paraId="3207AC8A"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0.00%</w:t>
            </w:r>
          </w:p>
        </w:tc>
        <w:tc>
          <w:tcPr>
            <w:tcW w:w="1134" w:type="dxa"/>
            <w:tcBorders>
              <w:top w:val="nil"/>
              <w:left w:val="nil"/>
              <w:bottom w:val="single" w:sz="4" w:space="0" w:color="A6A6A6"/>
              <w:right w:val="single" w:sz="4" w:space="0" w:color="A6A6A6"/>
            </w:tcBorders>
            <w:shd w:val="clear" w:color="000000" w:fill="F2F2F2"/>
            <w:noWrap/>
            <w:vAlign w:val="bottom"/>
            <w:hideMark/>
          </w:tcPr>
          <w:p w14:paraId="6B72FF06"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0</w:t>
            </w:r>
          </w:p>
        </w:tc>
      </w:tr>
      <w:tr w:rsidR="00D301A3" w:rsidRPr="005B412A" w14:paraId="61BEA9AA" w14:textId="77777777" w:rsidTr="00AA572E">
        <w:trPr>
          <w:trHeight w:val="290"/>
        </w:trPr>
        <w:tc>
          <w:tcPr>
            <w:tcW w:w="5807"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02B13399" w14:textId="77777777" w:rsidR="00D301A3" w:rsidRPr="005B412A" w:rsidRDefault="00D301A3" w:rsidP="00DC54F7">
            <w:pPr>
              <w:spacing w:after="0" w:line="240" w:lineRule="auto"/>
              <w:jc w:val="both"/>
              <w:rPr>
                <w:rFonts w:ascii="Arial" w:eastAsia="Times New Roman" w:hAnsi="Arial" w:cs="Arial"/>
                <w:b/>
                <w:bCs/>
                <w:color w:val="000000"/>
                <w:lang w:eastAsia="en-GB"/>
              </w:rPr>
            </w:pPr>
            <w:r w:rsidRPr="005B412A">
              <w:rPr>
                <w:rFonts w:ascii="Arial" w:eastAsia="Times New Roman" w:hAnsi="Arial" w:cs="Arial"/>
                <w:b/>
                <w:bCs/>
                <w:color w:val="000000"/>
                <w:lang w:eastAsia="en-GB"/>
              </w:rPr>
              <w:t> </w:t>
            </w:r>
          </w:p>
        </w:tc>
        <w:tc>
          <w:tcPr>
            <w:tcW w:w="992" w:type="dxa"/>
            <w:tcBorders>
              <w:top w:val="nil"/>
              <w:left w:val="nil"/>
              <w:bottom w:val="single" w:sz="4" w:space="0" w:color="A6A6A6"/>
              <w:right w:val="single" w:sz="4" w:space="0" w:color="A6A6A6"/>
            </w:tcBorders>
            <w:shd w:val="clear" w:color="000000" w:fill="F2F2F2"/>
            <w:vAlign w:val="center"/>
            <w:hideMark/>
          </w:tcPr>
          <w:p w14:paraId="63152A14" w14:textId="77777777" w:rsidR="00D301A3" w:rsidRPr="005B412A" w:rsidRDefault="00D301A3" w:rsidP="00DC54F7">
            <w:pPr>
              <w:spacing w:after="0" w:line="240" w:lineRule="auto"/>
              <w:jc w:val="both"/>
              <w:rPr>
                <w:rFonts w:ascii="Arial" w:eastAsia="Times New Roman" w:hAnsi="Arial" w:cs="Arial"/>
                <w:b/>
                <w:bCs/>
                <w:color w:val="000000"/>
                <w:sz w:val="18"/>
                <w:szCs w:val="18"/>
                <w:lang w:eastAsia="en-GB"/>
              </w:rPr>
            </w:pPr>
            <w:r w:rsidRPr="005B412A">
              <w:rPr>
                <w:rFonts w:ascii="Arial" w:eastAsia="Times New Roman" w:hAnsi="Arial" w:cs="Arial"/>
                <w:b/>
                <w:bCs/>
                <w:color w:val="000000"/>
                <w:sz w:val="18"/>
                <w:szCs w:val="18"/>
                <w:lang w:eastAsia="en-GB"/>
              </w:rPr>
              <w:t xml:space="preserve">Total </w:t>
            </w:r>
          </w:p>
        </w:tc>
        <w:tc>
          <w:tcPr>
            <w:tcW w:w="1134" w:type="dxa"/>
            <w:tcBorders>
              <w:top w:val="nil"/>
              <w:left w:val="nil"/>
              <w:bottom w:val="single" w:sz="4" w:space="0" w:color="A6A6A6"/>
              <w:right w:val="single" w:sz="4" w:space="0" w:color="A6A6A6"/>
            </w:tcBorders>
            <w:shd w:val="clear" w:color="000000" w:fill="F2F2F2"/>
            <w:noWrap/>
            <w:vAlign w:val="bottom"/>
            <w:hideMark/>
          </w:tcPr>
          <w:p w14:paraId="3DFC35A2"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100.00%</w:t>
            </w:r>
          </w:p>
        </w:tc>
        <w:tc>
          <w:tcPr>
            <w:tcW w:w="1134" w:type="dxa"/>
            <w:tcBorders>
              <w:top w:val="nil"/>
              <w:left w:val="nil"/>
              <w:bottom w:val="single" w:sz="4" w:space="0" w:color="A6A6A6"/>
              <w:right w:val="single" w:sz="4" w:space="0" w:color="A6A6A6"/>
            </w:tcBorders>
            <w:shd w:val="clear" w:color="000000" w:fill="F2F2F2"/>
            <w:noWrap/>
            <w:vAlign w:val="bottom"/>
            <w:hideMark/>
          </w:tcPr>
          <w:p w14:paraId="0FA255B5"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308</w:t>
            </w:r>
          </w:p>
        </w:tc>
      </w:tr>
      <w:tr w:rsidR="00D301A3" w:rsidRPr="005B412A" w14:paraId="020B49D2" w14:textId="77777777" w:rsidTr="00AA572E">
        <w:trPr>
          <w:trHeight w:val="290"/>
        </w:trPr>
        <w:tc>
          <w:tcPr>
            <w:tcW w:w="5807" w:type="dxa"/>
            <w:gridSpan w:val="2"/>
            <w:vMerge/>
            <w:tcBorders>
              <w:top w:val="single" w:sz="4" w:space="0" w:color="A6A6A6"/>
              <w:left w:val="single" w:sz="4" w:space="0" w:color="A6A6A6"/>
              <w:bottom w:val="single" w:sz="4" w:space="0" w:color="A6A6A6"/>
              <w:right w:val="single" w:sz="4" w:space="0" w:color="A6A6A6"/>
            </w:tcBorders>
            <w:vAlign w:val="center"/>
            <w:hideMark/>
          </w:tcPr>
          <w:p w14:paraId="6A7FBF57" w14:textId="77777777" w:rsidR="00D301A3" w:rsidRPr="005B412A" w:rsidRDefault="00D301A3" w:rsidP="00DC54F7">
            <w:pPr>
              <w:spacing w:after="0" w:line="240" w:lineRule="auto"/>
              <w:jc w:val="both"/>
              <w:rPr>
                <w:rFonts w:ascii="Arial" w:eastAsia="Times New Roman" w:hAnsi="Arial" w:cs="Arial"/>
                <w:b/>
                <w:bCs/>
                <w:color w:val="000000"/>
                <w:lang w:eastAsia="en-GB"/>
              </w:rPr>
            </w:pPr>
          </w:p>
        </w:tc>
        <w:tc>
          <w:tcPr>
            <w:tcW w:w="992" w:type="dxa"/>
            <w:tcBorders>
              <w:top w:val="nil"/>
              <w:left w:val="nil"/>
              <w:bottom w:val="single" w:sz="4" w:space="0" w:color="A6A6A6"/>
              <w:right w:val="single" w:sz="4" w:space="0" w:color="A6A6A6"/>
            </w:tcBorders>
            <w:shd w:val="clear" w:color="000000" w:fill="F2F2F2"/>
            <w:vAlign w:val="center"/>
            <w:hideMark/>
          </w:tcPr>
          <w:p w14:paraId="41DC4B9D" w14:textId="77777777" w:rsidR="00D301A3" w:rsidRPr="005B412A" w:rsidRDefault="00D301A3" w:rsidP="00DC54F7">
            <w:pPr>
              <w:spacing w:after="0" w:line="240" w:lineRule="auto"/>
              <w:jc w:val="both"/>
              <w:rPr>
                <w:rFonts w:ascii="Arial" w:eastAsia="Times New Roman" w:hAnsi="Arial" w:cs="Arial"/>
                <w:b/>
                <w:bCs/>
                <w:color w:val="000000"/>
                <w:sz w:val="18"/>
                <w:szCs w:val="18"/>
                <w:lang w:eastAsia="en-GB"/>
              </w:rPr>
            </w:pPr>
            <w:r w:rsidRPr="005B412A">
              <w:rPr>
                <w:rFonts w:ascii="Arial" w:eastAsia="Times New Roman" w:hAnsi="Arial" w:cs="Arial"/>
                <w:b/>
                <w:bCs/>
                <w:color w:val="000000"/>
                <w:sz w:val="18"/>
                <w:szCs w:val="18"/>
                <w:lang w:eastAsia="en-GB"/>
              </w:rPr>
              <w:t>Skipped</w:t>
            </w:r>
          </w:p>
        </w:tc>
        <w:tc>
          <w:tcPr>
            <w:tcW w:w="1134" w:type="dxa"/>
            <w:tcBorders>
              <w:top w:val="nil"/>
              <w:left w:val="nil"/>
              <w:bottom w:val="single" w:sz="4" w:space="0" w:color="A6A6A6"/>
              <w:right w:val="single" w:sz="4" w:space="0" w:color="A6A6A6"/>
            </w:tcBorders>
            <w:shd w:val="clear" w:color="000000" w:fill="F2F2F2"/>
            <w:noWrap/>
            <w:vAlign w:val="bottom"/>
            <w:hideMark/>
          </w:tcPr>
          <w:p w14:paraId="3B4DAC2A"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 </w:t>
            </w:r>
          </w:p>
        </w:tc>
        <w:tc>
          <w:tcPr>
            <w:tcW w:w="1134" w:type="dxa"/>
            <w:tcBorders>
              <w:top w:val="nil"/>
              <w:left w:val="nil"/>
              <w:bottom w:val="single" w:sz="4" w:space="0" w:color="A6A6A6"/>
              <w:right w:val="single" w:sz="4" w:space="0" w:color="A6A6A6"/>
            </w:tcBorders>
            <w:shd w:val="clear" w:color="000000" w:fill="F2F2F2"/>
            <w:noWrap/>
            <w:vAlign w:val="bottom"/>
            <w:hideMark/>
          </w:tcPr>
          <w:p w14:paraId="2DD290D7" w14:textId="77777777" w:rsidR="00D301A3" w:rsidRPr="005B412A" w:rsidRDefault="00D301A3" w:rsidP="00DC54F7">
            <w:pPr>
              <w:spacing w:after="0" w:line="240" w:lineRule="auto"/>
              <w:jc w:val="both"/>
              <w:rPr>
                <w:rFonts w:ascii="Calibri" w:eastAsia="Times New Roman" w:hAnsi="Calibri" w:cs="Calibri"/>
                <w:color w:val="000000"/>
                <w:lang w:eastAsia="en-GB"/>
              </w:rPr>
            </w:pPr>
            <w:r w:rsidRPr="005B412A">
              <w:rPr>
                <w:rFonts w:ascii="Calibri" w:eastAsia="Times New Roman" w:hAnsi="Calibri" w:cs="Calibri"/>
                <w:color w:val="000000"/>
                <w:lang w:eastAsia="en-GB"/>
              </w:rPr>
              <w:t>3</w:t>
            </w:r>
          </w:p>
        </w:tc>
      </w:tr>
    </w:tbl>
    <w:p w14:paraId="061BBC3C" w14:textId="77777777" w:rsidR="00D301A3" w:rsidRDefault="00D301A3" w:rsidP="00DC54F7">
      <w:pPr>
        <w:jc w:val="both"/>
      </w:pPr>
    </w:p>
    <w:p w14:paraId="7110ED16" w14:textId="77777777" w:rsidR="00D301A3" w:rsidRDefault="00D301A3" w:rsidP="00DC54F7">
      <w:pPr>
        <w:spacing w:after="0" w:line="240" w:lineRule="auto"/>
        <w:jc w:val="both"/>
        <w:rPr>
          <w:rFonts w:ascii="Arial" w:eastAsia="Times New Roman" w:hAnsi="Arial" w:cs="Arial"/>
          <w:b/>
          <w:bCs/>
          <w:color w:val="333333"/>
          <w:lang w:eastAsia="en-GB"/>
        </w:rPr>
      </w:pPr>
    </w:p>
    <w:p w14:paraId="722B2D8C" w14:textId="77777777" w:rsidR="00D301A3" w:rsidRDefault="00D301A3" w:rsidP="00DC54F7">
      <w:pPr>
        <w:spacing w:after="0" w:line="240" w:lineRule="auto"/>
        <w:jc w:val="both"/>
        <w:rPr>
          <w:rFonts w:ascii="Arial" w:eastAsia="Times New Roman" w:hAnsi="Arial" w:cs="Arial"/>
          <w:b/>
          <w:bCs/>
          <w:color w:val="333333"/>
          <w:lang w:eastAsia="en-GB"/>
        </w:rPr>
      </w:pPr>
      <w:r w:rsidRPr="00FE14A4">
        <w:rPr>
          <w:rFonts w:ascii="Arial" w:eastAsia="Times New Roman" w:hAnsi="Arial" w:cs="Arial"/>
          <w:b/>
          <w:bCs/>
          <w:color w:val="333333"/>
          <w:lang w:eastAsia="en-GB"/>
        </w:rPr>
        <w:lastRenderedPageBreak/>
        <w:t>9. We would like to know what influences your choice of pharmacy. Please could you tell us why you use this pharmacy? Please tick all the statements that apply to you.</w:t>
      </w:r>
      <w:r w:rsidRPr="005B412A">
        <w:rPr>
          <w:rFonts w:ascii="Arial" w:eastAsia="Times New Roman" w:hAnsi="Arial" w:cs="Arial"/>
          <w:b/>
          <w:bCs/>
          <w:color w:val="333333"/>
          <w:lang w:eastAsia="en-GB"/>
        </w:rPr>
        <w:t xml:space="preserve"> </w:t>
      </w:r>
    </w:p>
    <w:p w14:paraId="7D7F4081" w14:textId="77777777" w:rsidR="00D301A3" w:rsidRDefault="00D301A3" w:rsidP="00DC54F7">
      <w:pPr>
        <w:spacing w:after="0" w:line="240" w:lineRule="auto"/>
        <w:jc w:val="both"/>
        <w:rPr>
          <w:rFonts w:ascii="Arial" w:eastAsia="Times New Roman" w:hAnsi="Arial" w:cs="Arial"/>
          <w:b/>
          <w:bCs/>
          <w:color w:val="333333"/>
          <w:lang w:eastAsia="en-GB"/>
        </w:rPr>
      </w:pPr>
    </w:p>
    <w:p w14:paraId="15DA7D64" w14:textId="77777777" w:rsidR="00D301A3" w:rsidRDefault="00D301A3" w:rsidP="00DC54F7">
      <w:pPr>
        <w:spacing w:after="0" w:line="240" w:lineRule="auto"/>
        <w:jc w:val="both"/>
        <w:rPr>
          <w:rFonts w:ascii="Arial" w:eastAsia="Times New Roman" w:hAnsi="Arial" w:cs="Arial"/>
          <w:b/>
          <w:bCs/>
          <w:color w:val="333333"/>
        </w:rPr>
      </w:pPr>
      <w:r>
        <w:rPr>
          <w:rFonts w:ascii="Arial" w:eastAsia="Times New Roman" w:hAnsi="Arial" w:cs="Arial"/>
          <w:b/>
          <w:bCs/>
          <w:color w:val="333333"/>
        </w:rPr>
        <w:t>(</w:t>
      </w:r>
      <w:r w:rsidRPr="007F0913">
        <w:rPr>
          <w:rFonts w:ascii="Arial" w:hAnsi="Arial" w:cs="Arial"/>
        </w:rPr>
        <w:t>Multiple answers could be given to this question</w:t>
      </w:r>
      <w:r>
        <w:t>)</w:t>
      </w:r>
    </w:p>
    <w:tbl>
      <w:tblPr>
        <w:tblW w:w="9209" w:type="dxa"/>
        <w:tblLook w:val="04A0" w:firstRow="1" w:lastRow="0" w:firstColumn="1" w:lastColumn="0" w:noHBand="0" w:noVBand="1"/>
      </w:tblPr>
      <w:tblGrid>
        <w:gridCol w:w="771"/>
        <w:gridCol w:w="1538"/>
        <w:gridCol w:w="3526"/>
        <w:gridCol w:w="1177"/>
        <w:gridCol w:w="1357"/>
        <w:gridCol w:w="853"/>
      </w:tblGrid>
      <w:tr w:rsidR="00700B17" w:rsidRPr="00EF3808" w14:paraId="50E0C606" w14:textId="77777777" w:rsidTr="00D939CF">
        <w:trPr>
          <w:trHeight w:val="293"/>
        </w:trPr>
        <w:tc>
          <w:tcPr>
            <w:tcW w:w="5835" w:type="dxa"/>
            <w:gridSpan w:val="3"/>
            <w:tcBorders>
              <w:top w:val="single" w:sz="4" w:space="0" w:color="A6A6A6"/>
              <w:left w:val="single" w:sz="4" w:space="0" w:color="A6A6A6"/>
              <w:bottom w:val="single" w:sz="4" w:space="0" w:color="A6A6A6"/>
              <w:right w:val="nil"/>
            </w:tcBorders>
            <w:shd w:val="clear" w:color="000000" w:fill="ACB9CA"/>
            <w:noWrap/>
            <w:vAlign w:val="center"/>
            <w:hideMark/>
          </w:tcPr>
          <w:p w14:paraId="455AEB89" w14:textId="77777777" w:rsidR="00700B17" w:rsidRPr="00EF3808" w:rsidRDefault="00700B17" w:rsidP="00DC54F7">
            <w:pPr>
              <w:spacing w:after="0" w:line="240" w:lineRule="auto"/>
              <w:jc w:val="both"/>
              <w:rPr>
                <w:rFonts w:ascii="Arial" w:eastAsia="Times New Roman" w:hAnsi="Arial" w:cs="Arial"/>
                <w:b/>
                <w:bCs/>
                <w:color w:val="FFFFFF"/>
                <w:sz w:val="21"/>
                <w:szCs w:val="21"/>
                <w:lang w:eastAsia="en-GB"/>
              </w:rPr>
            </w:pPr>
            <w:r w:rsidRPr="00EF3808">
              <w:rPr>
                <w:rFonts w:ascii="Arial" w:eastAsia="Times New Roman" w:hAnsi="Arial" w:cs="Arial"/>
                <w:b/>
                <w:bCs/>
                <w:color w:val="FFFFFF"/>
                <w:sz w:val="21"/>
                <w:szCs w:val="21"/>
                <w:lang w:eastAsia="en-GB"/>
              </w:rPr>
              <w:t> </w:t>
            </w:r>
          </w:p>
        </w:tc>
        <w:tc>
          <w:tcPr>
            <w:tcW w:w="1171" w:type="dxa"/>
            <w:tcBorders>
              <w:top w:val="single" w:sz="4" w:space="0" w:color="A6A6A6"/>
              <w:left w:val="nil"/>
              <w:bottom w:val="nil"/>
              <w:right w:val="nil"/>
            </w:tcBorders>
            <w:shd w:val="clear" w:color="000000" w:fill="ACB9CA"/>
            <w:noWrap/>
            <w:vAlign w:val="center"/>
            <w:hideMark/>
          </w:tcPr>
          <w:p w14:paraId="4C0AB272" w14:textId="77777777" w:rsidR="00700B17" w:rsidRPr="00EF3808" w:rsidRDefault="00700B17" w:rsidP="00DC54F7">
            <w:pPr>
              <w:spacing w:after="0" w:line="240" w:lineRule="auto"/>
              <w:jc w:val="both"/>
              <w:rPr>
                <w:rFonts w:ascii="Arial" w:eastAsia="Times New Roman" w:hAnsi="Arial" w:cs="Arial"/>
                <w:b/>
                <w:bCs/>
                <w:color w:val="FFFFFF"/>
                <w:sz w:val="21"/>
                <w:szCs w:val="21"/>
                <w:lang w:eastAsia="en-GB"/>
              </w:rPr>
            </w:pPr>
            <w:r w:rsidRPr="00EF3808">
              <w:rPr>
                <w:rFonts w:ascii="Arial" w:eastAsia="Times New Roman" w:hAnsi="Arial" w:cs="Arial"/>
                <w:b/>
                <w:bCs/>
                <w:color w:val="FFFFFF"/>
                <w:sz w:val="21"/>
                <w:szCs w:val="21"/>
                <w:lang w:eastAsia="en-GB"/>
              </w:rPr>
              <w:t> </w:t>
            </w:r>
          </w:p>
        </w:tc>
        <w:tc>
          <w:tcPr>
            <w:tcW w:w="2203" w:type="dxa"/>
            <w:gridSpan w:val="2"/>
            <w:tcBorders>
              <w:top w:val="single" w:sz="4" w:space="0" w:color="A6A6A6"/>
              <w:left w:val="nil"/>
              <w:bottom w:val="nil"/>
              <w:right w:val="single" w:sz="4" w:space="0" w:color="A6A6A6"/>
            </w:tcBorders>
            <w:shd w:val="clear" w:color="000000" w:fill="ACB9CA"/>
            <w:noWrap/>
            <w:vAlign w:val="center"/>
            <w:hideMark/>
          </w:tcPr>
          <w:p w14:paraId="516CAAC9" w14:textId="77777777" w:rsidR="00700B17" w:rsidRPr="00EF3808" w:rsidRDefault="00700B17" w:rsidP="00DC54F7">
            <w:pPr>
              <w:spacing w:after="0" w:line="240" w:lineRule="auto"/>
              <w:jc w:val="both"/>
              <w:rPr>
                <w:rFonts w:ascii="Arial" w:eastAsia="Times New Roman" w:hAnsi="Arial" w:cs="Arial"/>
                <w:b/>
                <w:bCs/>
                <w:color w:val="FFFFFF"/>
                <w:sz w:val="21"/>
                <w:szCs w:val="21"/>
                <w:lang w:eastAsia="en-GB"/>
              </w:rPr>
            </w:pPr>
            <w:r w:rsidRPr="00EF3808">
              <w:rPr>
                <w:rFonts w:ascii="Arial" w:eastAsia="Times New Roman" w:hAnsi="Arial" w:cs="Arial"/>
                <w:b/>
                <w:bCs/>
                <w:color w:val="FFFFFF"/>
                <w:sz w:val="21"/>
                <w:szCs w:val="21"/>
                <w:lang w:eastAsia="en-GB"/>
              </w:rPr>
              <w:t>Response</w:t>
            </w:r>
          </w:p>
        </w:tc>
      </w:tr>
      <w:tr w:rsidR="00700B17" w:rsidRPr="00EF3808" w14:paraId="30F7DEBF" w14:textId="77777777" w:rsidTr="00D939CF">
        <w:trPr>
          <w:trHeight w:val="699"/>
        </w:trPr>
        <w:tc>
          <w:tcPr>
            <w:tcW w:w="5835" w:type="dxa"/>
            <w:gridSpan w:val="3"/>
            <w:tcBorders>
              <w:top w:val="single" w:sz="4" w:space="0" w:color="A6A6A6"/>
              <w:left w:val="single" w:sz="4" w:space="0" w:color="A6A6A6"/>
              <w:bottom w:val="single" w:sz="4" w:space="0" w:color="A6A6A6"/>
              <w:right w:val="nil"/>
            </w:tcBorders>
            <w:shd w:val="clear" w:color="000000" w:fill="F2F2F2"/>
            <w:vAlign w:val="center"/>
            <w:hideMark/>
          </w:tcPr>
          <w:p w14:paraId="5A19A853" w14:textId="77777777" w:rsidR="00700B17" w:rsidRPr="00EF3808" w:rsidRDefault="00700B17" w:rsidP="00DC54F7">
            <w:pPr>
              <w:spacing w:after="0" w:line="240" w:lineRule="auto"/>
              <w:jc w:val="both"/>
              <w:rPr>
                <w:rFonts w:ascii="Arial" w:eastAsia="Times New Roman" w:hAnsi="Arial" w:cs="Arial"/>
                <w:b/>
                <w:bCs/>
                <w:color w:val="000000"/>
                <w:sz w:val="18"/>
                <w:szCs w:val="18"/>
                <w:lang w:eastAsia="en-GB"/>
              </w:rPr>
            </w:pPr>
            <w:r w:rsidRPr="00EF3808">
              <w:rPr>
                <w:rFonts w:ascii="Arial" w:eastAsia="Times New Roman" w:hAnsi="Arial" w:cs="Arial"/>
                <w:b/>
                <w:bCs/>
                <w:color w:val="000000"/>
                <w:sz w:val="18"/>
                <w:szCs w:val="18"/>
                <w:lang w:eastAsia="en-GB"/>
              </w:rPr>
              <w:t> </w:t>
            </w:r>
          </w:p>
        </w:tc>
        <w:tc>
          <w:tcPr>
            <w:tcW w:w="1171" w:type="dxa"/>
            <w:tcBorders>
              <w:top w:val="single" w:sz="4" w:space="0" w:color="BFBFBF"/>
              <w:left w:val="single" w:sz="4" w:space="0" w:color="BFBFBF"/>
              <w:bottom w:val="single" w:sz="4" w:space="0" w:color="BFBFBF"/>
              <w:right w:val="single" w:sz="4" w:space="0" w:color="BFBFBF"/>
            </w:tcBorders>
            <w:shd w:val="clear" w:color="000000" w:fill="F2F2F2"/>
            <w:vAlign w:val="center"/>
            <w:hideMark/>
          </w:tcPr>
          <w:p w14:paraId="255B5152" w14:textId="77777777" w:rsidR="00700B17" w:rsidRPr="00EF3808" w:rsidRDefault="00700B17" w:rsidP="00DC54F7">
            <w:pPr>
              <w:spacing w:after="0" w:line="240" w:lineRule="auto"/>
              <w:jc w:val="both"/>
              <w:rPr>
                <w:rFonts w:ascii="Arial" w:eastAsia="Times New Roman" w:hAnsi="Arial" w:cs="Arial"/>
                <w:b/>
                <w:bCs/>
                <w:color w:val="000000"/>
                <w:sz w:val="18"/>
                <w:szCs w:val="18"/>
                <w:lang w:eastAsia="en-GB"/>
              </w:rPr>
            </w:pPr>
            <w:r w:rsidRPr="00EF3808">
              <w:rPr>
                <w:rFonts w:ascii="Arial" w:eastAsia="Times New Roman" w:hAnsi="Arial" w:cs="Arial"/>
                <w:b/>
                <w:bCs/>
                <w:color w:val="000000"/>
                <w:sz w:val="18"/>
                <w:szCs w:val="18"/>
                <w:lang w:eastAsia="en-GB"/>
              </w:rPr>
              <w:t>Percent Responses</w:t>
            </w:r>
          </w:p>
        </w:tc>
        <w:tc>
          <w:tcPr>
            <w:tcW w:w="1350" w:type="dxa"/>
            <w:tcBorders>
              <w:top w:val="single" w:sz="4" w:space="0" w:color="BFBFBF"/>
              <w:left w:val="nil"/>
              <w:bottom w:val="single" w:sz="4" w:space="0" w:color="BFBFBF"/>
              <w:right w:val="single" w:sz="4" w:space="0" w:color="BFBFBF"/>
            </w:tcBorders>
            <w:shd w:val="clear" w:color="000000" w:fill="F2F2F2"/>
            <w:vAlign w:val="center"/>
            <w:hideMark/>
          </w:tcPr>
          <w:p w14:paraId="3B4B701C" w14:textId="77777777" w:rsidR="00700B17" w:rsidRPr="00EF3808" w:rsidRDefault="00700B17" w:rsidP="00DC54F7">
            <w:pPr>
              <w:spacing w:after="0" w:line="240" w:lineRule="auto"/>
              <w:jc w:val="both"/>
              <w:rPr>
                <w:rFonts w:ascii="Arial" w:eastAsia="Times New Roman" w:hAnsi="Arial" w:cs="Arial"/>
                <w:b/>
                <w:bCs/>
                <w:color w:val="000000"/>
                <w:sz w:val="18"/>
                <w:szCs w:val="18"/>
                <w:lang w:eastAsia="en-GB"/>
              </w:rPr>
            </w:pPr>
            <w:r w:rsidRPr="00EF3808">
              <w:rPr>
                <w:rFonts w:ascii="Arial" w:eastAsia="Times New Roman" w:hAnsi="Arial" w:cs="Arial"/>
                <w:b/>
                <w:bCs/>
                <w:color w:val="000000"/>
                <w:sz w:val="18"/>
                <w:szCs w:val="18"/>
                <w:lang w:eastAsia="en-GB"/>
              </w:rPr>
              <w:t>Percent Respondents</w:t>
            </w:r>
          </w:p>
        </w:tc>
        <w:tc>
          <w:tcPr>
            <w:tcW w:w="853" w:type="dxa"/>
            <w:tcBorders>
              <w:top w:val="single" w:sz="4" w:space="0" w:color="BFBFBF"/>
              <w:left w:val="nil"/>
              <w:bottom w:val="single" w:sz="4" w:space="0" w:color="BFBFBF"/>
              <w:right w:val="single" w:sz="4" w:space="0" w:color="BFBFBF"/>
            </w:tcBorders>
            <w:shd w:val="clear" w:color="000000" w:fill="F2F2F2"/>
            <w:noWrap/>
            <w:vAlign w:val="center"/>
            <w:hideMark/>
          </w:tcPr>
          <w:p w14:paraId="5818BA49" w14:textId="77777777" w:rsidR="00700B17" w:rsidRDefault="00700B17" w:rsidP="00DC54F7">
            <w:pPr>
              <w:spacing w:after="0" w:line="240" w:lineRule="auto"/>
              <w:jc w:val="both"/>
              <w:rPr>
                <w:rFonts w:ascii="Arial" w:eastAsia="Times New Roman" w:hAnsi="Arial" w:cs="Arial"/>
                <w:b/>
                <w:bCs/>
                <w:color w:val="000000"/>
                <w:sz w:val="18"/>
                <w:szCs w:val="18"/>
                <w:lang w:eastAsia="en-GB"/>
              </w:rPr>
            </w:pPr>
            <w:r w:rsidRPr="00EF3808">
              <w:rPr>
                <w:rFonts w:ascii="Arial" w:eastAsia="Times New Roman" w:hAnsi="Arial" w:cs="Arial"/>
                <w:b/>
                <w:bCs/>
                <w:color w:val="000000"/>
                <w:sz w:val="18"/>
                <w:szCs w:val="18"/>
                <w:lang w:eastAsia="en-GB"/>
              </w:rPr>
              <w:t>Total</w:t>
            </w:r>
          </w:p>
          <w:p w14:paraId="47AF73BC" w14:textId="77777777" w:rsidR="00700B17" w:rsidRPr="00EF3808" w:rsidRDefault="00700B17" w:rsidP="00DC54F7">
            <w:pPr>
              <w:spacing w:after="0" w:line="240" w:lineRule="auto"/>
              <w:jc w:val="both"/>
              <w:rPr>
                <w:rFonts w:ascii="Arial" w:eastAsia="Times New Roman" w:hAnsi="Arial" w:cs="Arial"/>
                <w:b/>
                <w:bCs/>
                <w:color w:val="000000"/>
                <w:sz w:val="18"/>
                <w:szCs w:val="18"/>
                <w:lang w:eastAsia="en-GB"/>
              </w:rPr>
            </w:pPr>
          </w:p>
        </w:tc>
      </w:tr>
      <w:tr w:rsidR="00700B17" w:rsidRPr="00EF3808" w14:paraId="3DEDE4F6"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30290AFF"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1</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3197A8A9"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Close to my home</w:t>
            </w:r>
          </w:p>
        </w:tc>
        <w:tc>
          <w:tcPr>
            <w:tcW w:w="1171" w:type="dxa"/>
            <w:tcBorders>
              <w:top w:val="nil"/>
              <w:left w:val="nil"/>
              <w:bottom w:val="single" w:sz="4" w:space="0" w:color="A6A6A6"/>
              <w:right w:val="single" w:sz="4" w:space="0" w:color="A6A6A6"/>
            </w:tcBorders>
            <w:shd w:val="clear" w:color="000000" w:fill="F2F2F2"/>
            <w:vAlign w:val="center"/>
            <w:hideMark/>
          </w:tcPr>
          <w:p w14:paraId="222E34F0"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13.76%</w:t>
            </w:r>
          </w:p>
        </w:tc>
        <w:tc>
          <w:tcPr>
            <w:tcW w:w="1350" w:type="dxa"/>
            <w:tcBorders>
              <w:top w:val="nil"/>
              <w:left w:val="nil"/>
              <w:bottom w:val="single" w:sz="4" w:space="0" w:color="A6A6A6"/>
              <w:right w:val="single" w:sz="4" w:space="0" w:color="A6A6A6"/>
            </w:tcBorders>
            <w:shd w:val="clear" w:color="000000" w:fill="F2F2F2"/>
            <w:noWrap/>
            <w:vAlign w:val="bottom"/>
            <w:hideMark/>
          </w:tcPr>
          <w:p w14:paraId="61B190FC"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74.35%</w:t>
            </w:r>
          </w:p>
        </w:tc>
        <w:tc>
          <w:tcPr>
            <w:tcW w:w="853" w:type="dxa"/>
            <w:tcBorders>
              <w:top w:val="nil"/>
              <w:left w:val="nil"/>
              <w:bottom w:val="single" w:sz="4" w:space="0" w:color="A6A6A6"/>
              <w:right w:val="single" w:sz="4" w:space="0" w:color="A6A6A6"/>
            </w:tcBorders>
            <w:shd w:val="clear" w:color="000000" w:fill="F2F2F2"/>
            <w:noWrap/>
            <w:vAlign w:val="bottom"/>
            <w:hideMark/>
          </w:tcPr>
          <w:p w14:paraId="7413FD6B"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229</w:t>
            </w:r>
          </w:p>
        </w:tc>
      </w:tr>
      <w:tr w:rsidR="00700B17" w:rsidRPr="00EF3808" w14:paraId="516EC125"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6A758B34"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2</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3A6A41ED"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Close to work</w:t>
            </w:r>
          </w:p>
        </w:tc>
        <w:tc>
          <w:tcPr>
            <w:tcW w:w="1171" w:type="dxa"/>
            <w:tcBorders>
              <w:top w:val="nil"/>
              <w:left w:val="nil"/>
              <w:bottom w:val="single" w:sz="4" w:space="0" w:color="A6A6A6"/>
              <w:right w:val="single" w:sz="4" w:space="0" w:color="A6A6A6"/>
            </w:tcBorders>
            <w:shd w:val="clear" w:color="000000" w:fill="F2F2F2"/>
            <w:vAlign w:val="center"/>
            <w:hideMark/>
          </w:tcPr>
          <w:p w14:paraId="196FFA7D"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1.80%</w:t>
            </w:r>
          </w:p>
        </w:tc>
        <w:tc>
          <w:tcPr>
            <w:tcW w:w="1350" w:type="dxa"/>
            <w:tcBorders>
              <w:top w:val="nil"/>
              <w:left w:val="nil"/>
              <w:bottom w:val="single" w:sz="4" w:space="0" w:color="A6A6A6"/>
              <w:right w:val="single" w:sz="4" w:space="0" w:color="A6A6A6"/>
            </w:tcBorders>
            <w:shd w:val="clear" w:color="000000" w:fill="F2F2F2"/>
            <w:noWrap/>
            <w:vAlign w:val="bottom"/>
            <w:hideMark/>
          </w:tcPr>
          <w:p w14:paraId="77E95BA2"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9.74%</w:t>
            </w:r>
          </w:p>
        </w:tc>
        <w:tc>
          <w:tcPr>
            <w:tcW w:w="853" w:type="dxa"/>
            <w:tcBorders>
              <w:top w:val="nil"/>
              <w:left w:val="nil"/>
              <w:bottom w:val="single" w:sz="4" w:space="0" w:color="A6A6A6"/>
              <w:right w:val="single" w:sz="4" w:space="0" w:color="A6A6A6"/>
            </w:tcBorders>
            <w:shd w:val="clear" w:color="000000" w:fill="F2F2F2"/>
            <w:noWrap/>
            <w:vAlign w:val="bottom"/>
            <w:hideMark/>
          </w:tcPr>
          <w:p w14:paraId="4E6D47F8"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30</w:t>
            </w:r>
          </w:p>
        </w:tc>
      </w:tr>
      <w:tr w:rsidR="00700B17" w:rsidRPr="00EF3808" w14:paraId="2708512B"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20F4904B"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3</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61505DA4"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Close to my doctor</w:t>
            </w:r>
          </w:p>
        </w:tc>
        <w:tc>
          <w:tcPr>
            <w:tcW w:w="1171" w:type="dxa"/>
            <w:tcBorders>
              <w:top w:val="nil"/>
              <w:left w:val="nil"/>
              <w:bottom w:val="single" w:sz="4" w:space="0" w:color="A6A6A6"/>
              <w:right w:val="single" w:sz="4" w:space="0" w:color="A6A6A6"/>
            </w:tcBorders>
            <w:shd w:val="clear" w:color="000000" w:fill="F2F2F2"/>
            <w:vAlign w:val="center"/>
            <w:hideMark/>
          </w:tcPr>
          <w:p w14:paraId="632558F5"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9.44%</w:t>
            </w:r>
          </w:p>
        </w:tc>
        <w:tc>
          <w:tcPr>
            <w:tcW w:w="1350" w:type="dxa"/>
            <w:tcBorders>
              <w:top w:val="nil"/>
              <w:left w:val="nil"/>
              <w:bottom w:val="single" w:sz="4" w:space="0" w:color="A6A6A6"/>
              <w:right w:val="single" w:sz="4" w:space="0" w:color="A6A6A6"/>
            </w:tcBorders>
            <w:shd w:val="clear" w:color="000000" w:fill="F2F2F2"/>
            <w:noWrap/>
            <w:vAlign w:val="bottom"/>
            <w:hideMark/>
          </w:tcPr>
          <w:p w14:paraId="2AD29CED"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50.97%</w:t>
            </w:r>
          </w:p>
        </w:tc>
        <w:tc>
          <w:tcPr>
            <w:tcW w:w="853" w:type="dxa"/>
            <w:tcBorders>
              <w:top w:val="nil"/>
              <w:left w:val="nil"/>
              <w:bottom w:val="single" w:sz="4" w:space="0" w:color="A6A6A6"/>
              <w:right w:val="single" w:sz="4" w:space="0" w:color="A6A6A6"/>
            </w:tcBorders>
            <w:shd w:val="clear" w:color="000000" w:fill="F2F2F2"/>
            <w:noWrap/>
            <w:vAlign w:val="bottom"/>
            <w:hideMark/>
          </w:tcPr>
          <w:p w14:paraId="6CDAF57B"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157</w:t>
            </w:r>
          </w:p>
        </w:tc>
      </w:tr>
      <w:tr w:rsidR="00700B17" w:rsidRPr="00EF3808" w14:paraId="081A614B"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051E9E3D"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4</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02A945CF"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Close to children’s school or nursery</w:t>
            </w:r>
          </w:p>
        </w:tc>
        <w:tc>
          <w:tcPr>
            <w:tcW w:w="1171" w:type="dxa"/>
            <w:tcBorders>
              <w:top w:val="nil"/>
              <w:left w:val="nil"/>
              <w:bottom w:val="single" w:sz="4" w:space="0" w:color="A6A6A6"/>
              <w:right w:val="single" w:sz="4" w:space="0" w:color="A6A6A6"/>
            </w:tcBorders>
            <w:shd w:val="clear" w:color="000000" w:fill="F2F2F2"/>
            <w:vAlign w:val="center"/>
            <w:hideMark/>
          </w:tcPr>
          <w:p w14:paraId="32E7B9CB"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0.84%</w:t>
            </w:r>
          </w:p>
        </w:tc>
        <w:tc>
          <w:tcPr>
            <w:tcW w:w="1350" w:type="dxa"/>
            <w:tcBorders>
              <w:top w:val="nil"/>
              <w:left w:val="nil"/>
              <w:bottom w:val="single" w:sz="4" w:space="0" w:color="A6A6A6"/>
              <w:right w:val="single" w:sz="4" w:space="0" w:color="A6A6A6"/>
            </w:tcBorders>
            <w:shd w:val="clear" w:color="000000" w:fill="F2F2F2"/>
            <w:noWrap/>
            <w:vAlign w:val="bottom"/>
            <w:hideMark/>
          </w:tcPr>
          <w:p w14:paraId="7ECF5EEF"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4.55%</w:t>
            </w:r>
          </w:p>
        </w:tc>
        <w:tc>
          <w:tcPr>
            <w:tcW w:w="853" w:type="dxa"/>
            <w:tcBorders>
              <w:top w:val="nil"/>
              <w:left w:val="nil"/>
              <w:bottom w:val="single" w:sz="4" w:space="0" w:color="A6A6A6"/>
              <w:right w:val="single" w:sz="4" w:space="0" w:color="A6A6A6"/>
            </w:tcBorders>
            <w:shd w:val="clear" w:color="000000" w:fill="F2F2F2"/>
            <w:noWrap/>
            <w:vAlign w:val="bottom"/>
            <w:hideMark/>
          </w:tcPr>
          <w:p w14:paraId="747A04E3"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14</w:t>
            </w:r>
          </w:p>
        </w:tc>
      </w:tr>
      <w:tr w:rsidR="00700B17" w:rsidRPr="00EF3808" w14:paraId="3AFF7411"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77133237"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5</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367A5C1F"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Close to other shops</w:t>
            </w:r>
          </w:p>
        </w:tc>
        <w:tc>
          <w:tcPr>
            <w:tcW w:w="1171" w:type="dxa"/>
            <w:tcBorders>
              <w:top w:val="nil"/>
              <w:left w:val="nil"/>
              <w:bottom w:val="single" w:sz="4" w:space="0" w:color="A6A6A6"/>
              <w:right w:val="single" w:sz="4" w:space="0" w:color="A6A6A6"/>
            </w:tcBorders>
            <w:shd w:val="clear" w:color="000000" w:fill="F2F2F2"/>
            <w:vAlign w:val="center"/>
            <w:hideMark/>
          </w:tcPr>
          <w:p w14:paraId="0F2CD9B8"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3.73%</w:t>
            </w:r>
          </w:p>
        </w:tc>
        <w:tc>
          <w:tcPr>
            <w:tcW w:w="1350" w:type="dxa"/>
            <w:tcBorders>
              <w:top w:val="nil"/>
              <w:left w:val="nil"/>
              <w:bottom w:val="single" w:sz="4" w:space="0" w:color="A6A6A6"/>
              <w:right w:val="single" w:sz="4" w:space="0" w:color="A6A6A6"/>
            </w:tcBorders>
            <w:shd w:val="clear" w:color="000000" w:fill="F2F2F2"/>
            <w:noWrap/>
            <w:vAlign w:val="bottom"/>
            <w:hideMark/>
          </w:tcPr>
          <w:p w14:paraId="46A9341F"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20.13%</w:t>
            </w:r>
          </w:p>
        </w:tc>
        <w:tc>
          <w:tcPr>
            <w:tcW w:w="853" w:type="dxa"/>
            <w:tcBorders>
              <w:top w:val="nil"/>
              <w:left w:val="nil"/>
              <w:bottom w:val="single" w:sz="4" w:space="0" w:color="A6A6A6"/>
              <w:right w:val="single" w:sz="4" w:space="0" w:color="A6A6A6"/>
            </w:tcBorders>
            <w:shd w:val="clear" w:color="000000" w:fill="F2F2F2"/>
            <w:noWrap/>
            <w:vAlign w:val="bottom"/>
            <w:hideMark/>
          </w:tcPr>
          <w:p w14:paraId="64415FA7"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62</w:t>
            </w:r>
          </w:p>
        </w:tc>
      </w:tr>
      <w:tr w:rsidR="00700B17" w:rsidRPr="00EF3808" w14:paraId="01AFA23A"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75148751"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6</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2F9811C8"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The location of the pharmacy is easy to get to</w:t>
            </w:r>
          </w:p>
        </w:tc>
        <w:tc>
          <w:tcPr>
            <w:tcW w:w="1171" w:type="dxa"/>
            <w:tcBorders>
              <w:top w:val="nil"/>
              <w:left w:val="nil"/>
              <w:bottom w:val="single" w:sz="4" w:space="0" w:color="A6A6A6"/>
              <w:right w:val="single" w:sz="4" w:space="0" w:color="A6A6A6"/>
            </w:tcBorders>
            <w:shd w:val="clear" w:color="000000" w:fill="F2F2F2"/>
            <w:vAlign w:val="center"/>
            <w:hideMark/>
          </w:tcPr>
          <w:p w14:paraId="77EEFA19"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8.65%</w:t>
            </w:r>
          </w:p>
        </w:tc>
        <w:tc>
          <w:tcPr>
            <w:tcW w:w="1350" w:type="dxa"/>
            <w:tcBorders>
              <w:top w:val="nil"/>
              <w:left w:val="nil"/>
              <w:bottom w:val="single" w:sz="4" w:space="0" w:color="A6A6A6"/>
              <w:right w:val="single" w:sz="4" w:space="0" w:color="A6A6A6"/>
            </w:tcBorders>
            <w:shd w:val="clear" w:color="000000" w:fill="F2F2F2"/>
            <w:noWrap/>
            <w:vAlign w:val="bottom"/>
            <w:hideMark/>
          </w:tcPr>
          <w:p w14:paraId="25FD861F"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46.75%</w:t>
            </w:r>
          </w:p>
        </w:tc>
        <w:tc>
          <w:tcPr>
            <w:tcW w:w="853" w:type="dxa"/>
            <w:tcBorders>
              <w:top w:val="nil"/>
              <w:left w:val="nil"/>
              <w:bottom w:val="single" w:sz="4" w:space="0" w:color="A6A6A6"/>
              <w:right w:val="single" w:sz="4" w:space="0" w:color="A6A6A6"/>
            </w:tcBorders>
            <w:shd w:val="clear" w:color="000000" w:fill="F2F2F2"/>
            <w:noWrap/>
            <w:vAlign w:val="bottom"/>
            <w:hideMark/>
          </w:tcPr>
          <w:p w14:paraId="0A0F229D"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144</w:t>
            </w:r>
          </w:p>
        </w:tc>
      </w:tr>
      <w:tr w:rsidR="00700B17" w:rsidRPr="00EF3808" w14:paraId="579B3747"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49EF3F98"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7</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7A6790B8"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It is easy to park at the pharmacy</w:t>
            </w:r>
          </w:p>
        </w:tc>
        <w:tc>
          <w:tcPr>
            <w:tcW w:w="1171" w:type="dxa"/>
            <w:tcBorders>
              <w:top w:val="nil"/>
              <w:left w:val="nil"/>
              <w:bottom w:val="single" w:sz="4" w:space="0" w:color="A6A6A6"/>
              <w:right w:val="single" w:sz="4" w:space="0" w:color="A6A6A6"/>
            </w:tcBorders>
            <w:shd w:val="clear" w:color="000000" w:fill="F2F2F2"/>
            <w:vAlign w:val="center"/>
            <w:hideMark/>
          </w:tcPr>
          <w:p w14:paraId="7227E644"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6.25%</w:t>
            </w:r>
          </w:p>
        </w:tc>
        <w:tc>
          <w:tcPr>
            <w:tcW w:w="1350" w:type="dxa"/>
            <w:tcBorders>
              <w:top w:val="nil"/>
              <w:left w:val="nil"/>
              <w:bottom w:val="single" w:sz="4" w:space="0" w:color="A6A6A6"/>
              <w:right w:val="single" w:sz="4" w:space="0" w:color="A6A6A6"/>
            </w:tcBorders>
            <w:shd w:val="clear" w:color="000000" w:fill="F2F2F2"/>
            <w:noWrap/>
            <w:vAlign w:val="bottom"/>
            <w:hideMark/>
          </w:tcPr>
          <w:p w14:paraId="7FB9AF9E"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33.77%</w:t>
            </w:r>
          </w:p>
        </w:tc>
        <w:tc>
          <w:tcPr>
            <w:tcW w:w="853" w:type="dxa"/>
            <w:tcBorders>
              <w:top w:val="nil"/>
              <w:left w:val="nil"/>
              <w:bottom w:val="single" w:sz="4" w:space="0" w:color="A6A6A6"/>
              <w:right w:val="single" w:sz="4" w:space="0" w:color="A6A6A6"/>
            </w:tcBorders>
            <w:shd w:val="clear" w:color="000000" w:fill="F2F2F2"/>
            <w:noWrap/>
            <w:vAlign w:val="bottom"/>
            <w:hideMark/>
          </w:tcPr>
          <w:p w14:paraId="1193366A"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104</w:t>
            </w:r>
          </w:p>
        </w:tc>
      </w:tr>
      <w:tr w:rsidR="00700B17" w:rsidRPr="00EF3808" w14:paraId="510132DA"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78A49686"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8</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5D2F9CEC"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I can speak to the staff in my preferred language</w:t>
            </w:r>
          </w:p>
        </w:tc>
        <w:tc>
          <w:tcPr>
            <w:tcW w:w="1171" w:type="dxa"/>
            <w:tcBorders>
              <w:top w:val="nil"/>
              <w:left w:val="nil"/>
              <w:bottom w:val="single" w:sz="4" w:space="0" w:color="A6A6A6"/>
              <w:right w:val="single" w:sz="4" w:space="0" w:color="A6A6A6"/>
            </w:tcBorders>
            <w:shd w:val="clear" w:color="000000" w:fill="F2F2F2"/>
            <w:vAlign w:val="center"/>
            <w:hideMark/>
          </w:tcPr>
          <w:p w14:paraId="06A3E886"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0.42%</w:t>
            </w:r>
          </w:p>
        </w:tc>
        <w:tc>
          <w:tcPr>
            <w:tcW w:w="1350" w:type="dxa"/>
            <w:tcBorders>
              <w:top w:val="nil"/>
              <w:left w:val="nil"/>
              <w:bottom w:val="single" w:sz="4" w:space="0" w:color="A6A6A6"/>
              <w:right w:val="single" w:sz="4" w:space="0" w:color="A6A6A6"/>
            </w:tcBorders>
            <w:shd w:val="clear" w:color="000000" w:fill="F2F2F2"/>
            <w:noWrap/>
            <w:vAlign w:val="bottom"/>
            <w:hideMark/>
          </w:tcPr>
          <w:p w14:paraId="591C078A"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2.27%</w:t>
            </w:r>
          </w:p>
        </w:tc>
        <w:tc>
          <w:tcPr>
            <w:tcW w:w="853" w:type="dxa"/>
            <w:tcBorders>
              <w:top w:val="nil"/>
              <w:left w:val="nil"/>
              <w:bottom w:val="single" w:sz="4" w:space="0" w:color="A6A6A6"/>
              <w:right w:val="single" w:sz="4" w:space="0" w:color="A6A6A6"/>
            </w:tcBorders>
            <w:shd w:val="clear" w:color="000000" w:fill="F2F2F2"/>
            <w:noWrap/>
            <w:vAlign w:val="bottom"/>
            <w:hideMark/>
          </w:tcPr>
          <w:p w14:paraId="235A0F14"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7</w:t>
            </w:r>
          </w:p>
        </w:tc>
      </w:tr>
      <w:tr w:rsidR="00700B17" w:rsidRPr="00EF3808" w14:paraId="2A7F72D5"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3608C510"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9</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097CD7EC"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I like and trust the staff who work there</w:t>
            </w:r>
          </w:p>
        </w:tc>
        <w:tc>
          <w:tcPr>
            <w:tcW w:w="1171" w:type="dxa"/>
            <w:tcBorders>
              <w:top w:val="nil"/>
              <w:left w:val="nil"/>
              <w:bottom w:val="single" w:sz="4" w:space="0" w:color="A6A6A6"/>
              <w:right w:val="single" w:sz="4" w:space="0" w:color="A6A6A6"/>
            </w:tcBorders>
            <w:shd w:val="clear" w:color="000000" w:fill="F2F2F2"/>
            <w:vAlign w:val="center"/>
            <w:hideMark/>
          </w:tcPr>
          <w:p w14:paraId="15743BCC"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7.51%</w:t>
            </w:r>
          </w:p>
        </w:tc>
        <w:tc>
          <w:tcPr>
            <w:tcW w:w="1350" w:type="dxa"/>
            <w:tcBorders>
              <w:top w:val="nil"/>
              <w:left w:val="nil"/>
              <w:bottom w:val="single" w:sz="4" w:space="0" w:color="A6A6A6"/>
              <w:right w:val="single" w:sz="4" w:space="0" w:color="A6A6A6"/>
            </w:tcBorders>
            <w:shd w:val="clear" w:color="000000" w:fill="F2F2F2"/>
            <w:noWrap/>
            <w:vAlign w:val="bottom"/>
            <w:hideMark/>
          </w:tcPr>
          <w:p w14:paraId="2726CA64"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40.58%</w:t>
            </w:r>
          </w:p>
        </w:tc>
        <w:tc>
          <w:tcPr>
            <w:tcW w:w="853" w:type="dxa"/>
            <w:tcBorders>
              <w:top w:val="nil"/>
              <w:left w:val="nil"/>
              <w:bottom w:val="single" w:sz="4" w:space="0" w:color="A6A6A6"/>
              <w:right w:val="single" w:sz="4" w:space="0" w:color="A6A6A6"/>
            </w:tcBorders>
            <w:shd w:val="clear" w:color="000000" w:fill="F2F2F2"/>
            <w:noWrap/>
            <w:vAlign w:val="bottom"/>
            <w:hideMark/>
          </w:tcPr>
          <w:p w14:paraId="162F2A88"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125</w:t>
            </w:r>
          </w:p>
        </w:tc>
      </w:tr>
      <w:tr w:rsidR="00700B17" w:rsidRPr="00EF3808" w14:paraId="6018BE55"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76651D88"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10</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202AE78A"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The staff know me and look after me</w:t>
            </w:r>
          </w:p>
        </w:tc>
        <w:tc>
          <w:tcPr>
            <w:tcW w:w="1171" w:type="dxa"/>
            <w:tcBorders>
              <w:top w:val="nil"/>
              <w:left w:val="nil"/>
              <w:bottom w:val="single" w:sz="4" w:space="0" w:color="A6A6A6"/>
              <w:right w:val="single" w:sz="4" w:space="0" w:color="A6A6A6"/>
            </w:tcBorders>
            <w:shd w:val="clear" w:color="000000" w:fill="F2F2F2"/>
            <w:vAlign w:val="center"/>
            <w:hideMark/>
          </w:tcPr>
          <w:p w14:paraId="290159CC"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4.39%</w:t>
            </w:r>
          </w:p>
        </w:tc>
        <w:tc>
          <w:tcPr>
            <w:tcW w:w="1350" w:type="dxa"/>
            <w:tcBorders>
              <w:top w:val="nil"/>
              <w:left w:val="nil"/>
              <w:bottom w:val="single" w:sz="4" w:space="0" w:color="A6A6A6"/>
              <w:right w:val="single" w:sz="4" w:space="0" w:color="A6A6A6"/>
            </w:tcBorders>
            <w:shd w:val="clear" w:color="000000" w:fill="F2F2F2"/>
            <w:noWrap/>
            <w:vAlign w:val="bottom"/>
            <w:hideMark/>
          </w:tcPr>
          <w:p w14:paraId="33DEB795"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23.70%</w:t>
            </w:r>
          </w:p>
        </w:tc>
        <w:tc>
          <w:tcPr>
            <w:tcW w:w="853" w:type="dxa"/>
            <w:tcBorders>
              <w:top w:val="nil"/>
              <w:left w:val="nil"/>
              <w:bottom w:val="single" w:sz="4" w:space="0" w:color="A6A6A6"/>
              <w:right w:val="single" w:sz="4" w:space="0" w:color="A6A6A6"/>
            </w:tcBorders>
            <w:shd w:val="clear" w:color="000000" w:fill="F2F2F2"/>
            <w:noWrap/>
            <w:vAlign w:val="bottom"/>
            <w:hideMark/>
          </w:tcPr>
          <w:p w14:paraId="0235AC1E"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73</w:t>
            </w:r>
          </w:p>
        </w:tc>
      </w:tr>
      <w:tr w:rsidR="00700B17" w:rsidRPr="00EF3808" w14:paraId="0EF316AD"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304AAF01"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11</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3C2887F7"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The staff don’t know me</w:t>
            </w:r>
          </w:p>
        </w:tc>
        <w:tc>
          <w:tcPr>
            <w:tcW w:w="1171" w:type="dxa"/>
            <w:tcBorders>
              <w:top w:val="nil"/>
              <w:left w:val="nil"/>
              <w:bottom w:val="single" w:sz="4" w:space="0" w:color="A6A6A6"/>
              <w:right w:val="single" w:sz="4" w:space="0" w:color="A6A6A6"/>
            </w:tcBorders>
            <w:shd w:val="clear" w:color="000000" w:fill="F2F2F2"/>
            <w:vAlign w:val="center"/>
            <w:hideMark/>
          </w:tcPr>
          <w:p w14:paraId="79F4D6F5"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0.12%</w:t>
            </w:r>
          </w:p>
        </w:tc>
        <w:tc>
          <w:tcPr>
            <w:tcW w:w="1350" w:type="dxa"/>
            <w:tcBorders>
              <w:top w:val="nil"/>
              <w:left w:val="nil"/>
              <w:bottom w:val="single" w:sz="4" w:space="0" w:color="A6A6A6"/>
              <w:right w:val="single" w:sz="4" w:space="0" w:color="A6A6A6"/>
            </w:tcBorders>
            <w:shd w:val="clear" w:color="000000" w:fill="F2F2F2"/>
            <w:noWrap/>
            <w:vAlign w:val="bottom"/>
            <w:hideMark/>
          </w:tcPr>
          <w:p w14:paraId="40E7791A"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0.65%</w:t>
            </w:r>
          </w:p>
        </w:tc>
        <w:tc>
          <w:tcPr>
            <w:tcW w:w="853" w:type="dxa"/>
            <w:tcBorders>
              <w:top w:val="nil"/>
              <w:left w:val="nil"/>
              <w:bottom w:val="single" w:sz="4" w:space="0" w:color="A6A6A6"/>
              <w:right w:val="single" w:sz="4" w:space="0" w:color="A6A6A6"/>
            </w:tcBorders>
            <w:shd w:val="clear" w:color="000000" w:fill="F2F2F2"/>
            <w:noWrap/>
            <w:vAlign w:val="bottom"/>
            <w:hideMark/>
          </w:tcPr>
          <w:p w14:paraId="0B1DBD47"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2</w:t>
            </w:r>
          </w:p>
        </w:tc>
      </w:tr>
      <w:tr w:rsidR="00700B17" w:rsidRPr="00EF3808" w14:paraId="72DB8D3D"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1EB9A212"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12</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528B615B"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I’ve always used this pharmacy</w:t>
            </w:r>
          </w:p>
        </w:tc>
        <w:tc>
          <w:tcPr>
            <w:tcW w:w="1171" w:type="dxa"/>
            <w:tcBorders>
              <w:top w:val="nil"/>
              <w:left w:val="nil"/>
              <w:bottom w:val="single" w:sz="4" w:space="0" w:color="A6A6A6"/>
              <w:right w:val="single" w:sz="4" w:space="0" w:color="A6A6A6"/>
            </w:tcBorders>
            <w:shd w:val="clear" w:color="000000" w:fill="F2F2F2"/>
            <w:vAlign w:val="center"/>
            <w:hideMark/>
          </w:tcPr>
          <w:p w14:paraId="4822D193"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4.69%</w:t>
            </w:r>
          </w:p>
        </w:tc>
        <w:tc>
          <w:tcPr>
            <w:tcW w:w="1350" w:type="dxa"/>
            <w:tcBorders>
              <w:top w:val="nil"/>
              <w:left w:val="nil"/>
              <w:bottom w:val="single" w:sz="4" w:space="0" w:color="A6A6A6"/>
              <w:right w:val="single" w:sz="4" w:space="0" w:color="A6A6A6"/>
            </w:tcBorders>
            <w:shd w:val="clear" w:color="000000" w:fill="F2F2F2"/>
            <w:noWrap/>
            <w:vAlign w:val="bottom"/>
            <w:hideMark/>
          </w:tcPr>
          <w:p w14:paraId="7ACED55B"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25.32%</w:t>
            </w:r>
          </w:p>
        </w:tc>
        <w:tc>
          <w:tcPr>
            <w:tcW w:w="853" w:type="dxa"/>
            <w:tcBorders>
              <w:top w:val="nil"/>
              <w:left w:val="nil"/>
              <w:bottom w:val="single" w:sz="4" w:space="0" w:color="A6A6A6"/>
              <w:right w:val="single" w:sz="4" w:space="0" w:color="A6A6A6"/>
            </w:tcBorders>
            <w:shd w:val="clear" w:color="000000" w:fill="F2F2F2"/>
            <w:noWrap/>
            <w:vAlign w:val="bottom"/>
            <w:hideMark/>
          </w:tcPr>
          <w:p w14:paraId="6BDC05E8"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78</w:t>
            </w:r>
          </w:p>
        </w:tc>
      </w:tr>
      <w:tr w:rsidR="00700B17" w:rsidRPr="00EF3808" w14:paraId="358E3AD8"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6BC65604"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13</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32DED735"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The service is quick</w:t>
            </w:r>
          </w:p>
        </w:tc>
        <w:tc>
          <w:tcPr>
            <w:tcW w:w="1171" w:type="dxa"/>
            <w:tcBorders>
              <w:top w:val="nil"/>
              <w:left w:val="nil"/>
              <w:bottom w:val="single" w:sz="4" w:space="0" w:color="A6A6A6"/>
              <w:right w:val="single" w:sz="4" w:space="0" w:color="A6A6A6"/>
            </w:tcBorders>
            <w:shd w:val="clear" w:color="000000" w:fill="F2F2F2"/>
            <w:vAlign w:val="center"/>
            <w:hideMark/>
          </w:tcPr>
          <w:p w14:paraId="29F2DA8E"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3.73%</w:t>
            </w:r>
          </w:p>
        </w:tc>
        <w:tc>
          <w:tcPr>
            <w:tcW w:w="1350" w:type="dxa"/>
            <w:tcBorders>
              <w:top w:val="nil"/>
              <w:left w:val="nil"/>
              <w:bottom w:val="single" w:sz="4" w:space="0" w:color="A6A6A6"/>
              <w:right w:val="single" w:sz="4" w:space="0" w:color="A6A6A6"/>
            </w:tcBorders>
            <w:shd w:val="clear" w:color="000000" w:fill="F2F2F2"/>
            <w:noWrap/>
            <w:vAlign w:val="bottom"/>
            <w:hideMark/>
          </w:tcPr>
          <w:p w14:paraId="64B74C4E"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20.13%</w:t>
            </w:r>
          </w:p>
        </w:tc>
        <w:tc>
          <w:tcPr>
            <w:tcW w:w="853" w:type="dxa"/>
            <w:tcBorders>
              <w:top w:val="nil"/>
              <w:left w:val="nil"/>
              <w:bottom w:val="single" w:sz="4" w:space="0" w:color="A6A6A6"/>
              <w:right w:val="single" w:sz="4" w:space="0" w:color="A6A6A6"/>
            </w:tcBorders>
            <w:shd w:val="clear" w:color="000000" w:fill="F2F2F2"/>
            <w:noWrap/>
            <w:vAlign w:val="bottom"/>
            <w:hideMark/>
          </w:tcPr>
          <w:p w14:paraId="66F73A8E"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62</w:t>
            </w:r>
          </w:p>
        </w:tc>
      </w:tr>
      <w:tr w:rsidR="00700B17" w:rsidRPr="00EF3808" w14:paraId="2098657B"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2C744178"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14</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030059A3"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They usually have what I need in stock</w:t>
            </w:r>
          </w:p>
        </w:tc>
        <w:tc>
          <w:tcPr>
            <w:tcW w:w="1171" w:type="dxa"/>
            <w:tcBorders>
              <w:top w:val="nil"/>
              <w:left w:val="nil"/>
              <w:bottom w:val="single" w:sz="4" w:space="0" w:color="A6A6A6"/>
              <w:right w:val="single" w:sz="4" w:space="0" w:color="A6A6A6"/>
            </w:tcBorders>
            <w:shd w:val="clear" w:color="000000" w:fill="F2F2F2"/>
            <w:vAlign w:val="center"/>
            <w:hideMark/>
          </w:tcPr>
          <w:p w14:paraId="3F7B68CE"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5.05%</w:t>
            </w:r>
          </w:p>
        </w:tc>
        <w:tc>
          <w:tcPr>
            <w:tcW w:w="1350" w:type="dxa"/>
            <w:tcBorders>
              <w:top w:val="nil"/>
              <w:left w:val="nil"/>
              <w:bottom w:val="single" w:sz="4" w:space="0" w:color="A6A6A6"/>
              <w:right w:val="single" w:sz="4" w:space="0" w:color="A6A6A6"/>
            </w:tcBorders>
            <w:shd w:val="clear" w:color="000000" w:fill="F2F2F2"/>
            <w:noWrap/>
            <w:vAlign w:val="bottom"/>
            <w:hideMark/>
          </w:tcPr>
          <w:p w14:paraId="7C706F37"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27.27%</w:t>
            </w:r>
          </w:p>
        </w:tc>
        <w:tc>
          <w:tcPr>
            <w:tcW w:w="853" w:type="dxa"/>
            <w:tcBorders>
              <w:top w:val="nil"/>
              <w:left w:val="nil"/>
              <w:bottom w:val="single" w:sz="4" w:space="0" w:color="A6A6A6"/>
              <w:right w:val="single" w:sz="4" w:space="0" w:color="A6A6A6"/>
            </w:tcBorders>
            <w:shd w:val="clear" w:color="000000" w:fill="F2F2F2"/>
            <w:noWrap/>
            <w:vAlign w:val="bottom"/>
            <w:hideMark/>
          </w:tcPr>
          <w:p w14:paraId="006793A9"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84</w:t>
            </w:r>
          </w:p>
        </w:tc>
      </w:tr>
      <w:tr w:rsidR="00700B17" w:rsidRPr="00EF3808" w14:paraId="1C6368B9"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1179E42C"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15</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0C332E99"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The pharmacy has good opening hours</w:t>
            </w:r>
          </w:p>
        </w:tc>
        <w:tc>
          <w:tcPr>
            <w:tcW w:w="1171" w:type="dxa"/>
            <w:tcBorders>
              <w:top w:val="nil"/>
              <w:left w:val="nil"/>
              <w:bottom w:val="single" w:sz="4" w:space="0" w:color="A6A6A6"/>
              <w:right w:val="single" w:sz="4" w:space="0" w:color="A6A6A6"/>
            </w:tcBorders>
            <w:shd w:val="clear" w:color="000000" w:fill="F2F2F2"/>
            <w:vAlign w:val="center"/>
            <w:hideMark/>
          </w:tcPr>
          <w:p w14:paraId="228F696B"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4.39%</w:t>
            </w:r>
          </w:p>
        </w:tc>
        <w:tc>
          <w:tcPr>
            <w:tcW w:w="1350" w:type="dxa"/>
            <w:tcBorders>
              <w:top w:val="nil"/>
              <w:left w:val="nil"/>
              <w:bottom w:val="single" w:sz="4" w:space="0" w:color="A6A6A6"/>
              <w:right w:val="single" w:sz="4" w:space="0" w:color="A6A6A6"/>
            </w:tcBorders>
            <w:shd w:val="clear" w:color="000000" w:fill="F2F2F2"/>
            <w:noWrap/>
            <w:vAlign w:val="bottom"/>
            <w:hideMark/>
          </w:tcPr>
          <w:p w14:paraId="72CBEC6F"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23.70%</w:t>
            </w:r>
          </w:p>
        </w:tc>
        <w:tc>
          <w:tcPr>
            <w:tcW w:w="853" w:type="dxa"/>
            <w:tcBorders>
              <w:top w:val="nil"/>
              <w:left w:val="nil"/>
              <w:bottom w:val="single" w:sz="4" w:space="0" w:color="A6A6A6"/>
              <w:right w:val="single" w:sz="4" w:space="0" w:color="A6A6A6"/>
            </w:tcBorders>
            <w:shd w:val="clear" w:color="000000" w:fill="F2F2F2"/>
            <w:noWrap/>
            <w:vAlign w:val="bottom"/>
            <w:hideMark/>
          </w:tcPr>
          <w:p w14:paraId="143A51DE"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73</w:t>
            </w:r>
          </w:p>
        </w:tc>
      </w:tr>
      <w:tr w:rsidR="00700B17" w:rsidRPr="00EF3808" w14:paraId="513606C9"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2CB54817"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16</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419B6DC0"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The pharmacy collects my prescription and delivers my medicines</w:t>
            </w:r>
          </w:p>
        </w:tc>
        <w:tc>
          <w:tcPr>
            <w:tcW w:w="1171" w:type="dxa"/>
            <w:tcBorders>
              <w:top w:val="nil"/>
              <w:left w:val="nil"/>
              <w:bottom w:val="single" w:sz="4" w:space="0" w:color="A6A6A6"/>
              <w:right w:val="single" w:sz="4" w:space="0" w:color="A6A6A6"/>
            </w:tcBorders>
            <w:shd w:val="clear" w:color="000000" w:fill="F2F2F2"/>
            <w:vAlign w:val="center"/>
            <w:hideMark/>
          </w:tcPr>
          <w:p w14:paraId="02CE3EF6"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1.74%</w:t>
            </w:r>
          </w:p>
        </w:tc>
        <w:tc>
          <w:tcPr>
            <w:tcW w:w="1350" w:type="dxa"/>
            <w:tcBorders>
              <w:top w:val="nil"/>
              <w:left w:val="nil"/>
              <w:bottom w:val="single" w:sz="4" w:space="0" w:color="A6A6A6"/>
              <w:right w:val="single" w:sz="4" w:space="0" w:color="A6A6A6"/>
            </w:tcBorders>
            <w:shd w:val="clear" w:color="000000" w:fill="F2F2F2"/>
            <w:noWrap/>
            <w:vAlign w:val="bottom"/>
            <w:hideMark/>
          </w:tcPr>
          <w:p w14:paraId="3D521F89"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9.42%</w:t>
            </w:r>
          </w:p>
        </w:tc>
        <w:tc>
          <w:tcPr>
            <w:tcW w:w="853" w:type="dxa"/>
            <w:tcBorders>
              <w:top w:val="nil"/>
              <w:left w:val="nil"/>
              <w:bottom w:val="single" w:sz="4" w:space="0" w:color="A6A6A6"/>
              <w:right w:val="single" w:sz="4" w:space="0" w:color="A6A6A6"/>
            </w:tcBorders>
            <w:shd w:val="clear" w:color="000000" w:fill="F2F2F2"/>
            <w:noWrap/>
            <w:vAlign w:val="bottom"/>
            <w:hideMark/>
          </w:tcPr>
          <w:p w14:paraId="12909F25"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29</w:t>
            </w:r>
          </w:p>
        </w:tc>
      </w:tr>
      <w:tr w:rsidR="00700B17" w:rsidRPr="00EF3808" w14:paraId="6D4A5C1F"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20AF3DA4"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17</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7DDC7046"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The pharmacy was recommended to me</w:t>
            </w:r>
          </w:p>
        </w:tc>
        <w:tc>
          <w:tcPr>
            <w:tcW w:w="1171" w:type="dxa"/>
            <w:tcBorders>
              <w:top w:val="nil"/>
              <w:left w:val="nil"/>
              <w:bottom w:val="single" w:sz="4" w:space="0" w:color="A6A6A6"/>
              <w:right w:val="single" w:sz="4" w:space="0" w:color="A6A6A6"/>
            </w:tcBorders>
            <w:shd w:val="clear" w:color="000000" w:fill="F2F2F2"/>
            <w:vAlign w:val="center"/>
            <w:hideMark/>
          </w:tcPr>
          <w:p w14:paraId="0CCC3A60"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0.24%</w:t>
            </w:r>
          </w:p>
        </w:tc>
        <w:tc>
          <w:tcPr>
            <w:tcW w:w="1350" w:type="dxa"/>
            <w:tcBorders>
              <w:top w:val="nil"/>
              <w:left w:val="nil"/>
              <w:bottom w:val="single" w:sz="4" w:space="0" w:color="A6A6A6"/>
              <w:right w:val="single" w:sz="4" w:space="0" w:color="A6A6A6"/>
            </w:tcBorders>
            <w:shd w:val="clear" w:color="000000" w:fill="F2F2F2"/>
            <w:noWrap/>
            <w:vAlign w:val="bottom"/>
            <w:hideMark/>
          </w:tcPr>
          <w:p w14:paraId="11E81B9E"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1.30%</w:t>
            </w:r>
          </w:p>
        </w:tc>
        <w:tc>
          <w:tcPr>
            <w:tcW w:w="853" w:type="dxa"/>
            <w:tcBorders>
              <w:top w:val="nil"/>
              <w:left w:val="nil"/>
              <w:bottom w:val="single" w:sz="4" w:space="0" w:color="A6A6A6"/>
              <w:right w:val="single" w:sz="4" w:space="0" w:color="A6A6A6"/>
            </w:tcBorders>
            <w:shd w:val="clear" w:color="000000" w:fill="F2F2F2"/>
            <w:noWrap/>
            <w:vAlign w:val="bottom"/>
            <w:hideMark/>
          </w:tcPr>
          <w:p w14:paraId="10782C5B"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4</w:t>
            </w:r>
          </w:p>
        </w:tc>
      </w:tr>
      <w:tr w:rsidR="00700B17" w:rsidRPr="00EF3808" w14:paraId="5FF32A22"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58BD12E3"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18</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688A7198"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The pharmacy provide good advice &amp; information</w:t>
            </w:r>
          </w:p>
        </w:tc>
        <w:tc>
          <w:tcPr>
            <w:tcW w:w="1171" w:type="dxa"/>
            <w:tcBorders>
              <w:top w:val="nil"/>
              <w:left w:val="nil"/>
              <w:bottom w:val="single" w:sz="4" w:space="0" w:color="A6A6A6"/>
              <w:right w:val="single" w:sz="4" w:space="0" w:color="A6A6A6"/>
            </w:tcBorders>
            <w:shd w:val="clear" w:color="000000" w:fill="F2F2F2"/>
            <w:vAlign w:val="center"/>
            <w:hideMark/>
          </w:tcPr>
          <w:p w14:paraId="2234B9F9"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4.57%</w:t>
            </w:r>
          </w:p>
        </w:tc>
        <w:tc>
          <w:tcPr>
            <w:tcW w:w="1350" w:type="dxa"/>
            <w:tcBorders>
              <w:top w:val="nil"/>
              <w:left w:val="nil"/>
              <w:bottom w:val="single" w:sz="4" w:space="0" w:color="A6A6A6"/>
              <w:right w:val="single" w:sz="4" w:space="0" w:color="A6A6A6"/>
            </w:tcBorders>
            <w:shd w:val="clear" w:color="000000" w:fill="F2F2F2"/>
            <w:noWrap/>
            <w:vAlign w:val="bottom"/>
            <w:hideMark/>
          </w:tcPr>
          <w:p w14:paraId="5BCF528F"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24.68%</w:t>
            </w:r>
          </w:p>
        </w:tc>
        <w:tc>
          <w:tcPr>
            <w:tcW w:w="853" w:type="dxa"/>
            <w:tcBorders>
              <w:top w:val="nil"/>
              <w:left w:val="nil"/>
              <w:bottom w:val="single" w:sz="4" w:space="0" w:color="A6A6A6"/>
              <w:right w:val="single" w:sz="4" w:space="0" w:color="A6A6A6"/>
            </w:tcBorders>
            <w:shd w:val="clear" w:color="000000" w:fill="F2F2F2"/>
            <w:noWrap/>
            <w:vAlign w:val="bottom"/>
            <w:hideMark/>
          </w:tcPr>
          <w:p w14:paraId="3B9F0E44"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76</w:t>
            </w:r>
          </w:p>
        </w:tc>
      </w:tr>
      <w:tr w:rsidR="00700B17" w:rsidRPr="00EF3808" w14:paraId="4B9939BD"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0EA4359E"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19</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4CA9AB04"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The customer service</w:t>
            </w:r>
          </w:p>
        </w:tc>
        <w:tc>
          <w:tcPr>
            <w:tcW w:w="1171" w:type="dxa"/>
            <w:tcBorders>
              <w:top w:val="nil"/>
              <w:left w:val="nil"/>
              <w:bottom w:val="single" w:sz="4" w:space="0" w:color="A6A6A6"/>
              <w:right w:val="single" w:sz="4" w:space="0" w:color="A6A6A6"/>
            </w:tcBorders>
            <w:shd w:val="clear" w:color="000000" w:fill="F2F2F2"/>
            <w:vAlign w:val="center"/>
            <w:hideMark/>
          </w:tcPr>
          <w:p w14:paraId="24129045"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5.35%</w:t>
            </w:r>
          </w:p>
        </w:tc>
        <w:tc>
          <w:tcPr>
            <w:tcW w:w="1350" w:type="dxa"/>
            <w:tcBorders>
              <w:top w:val="nil"/>
              <w:left w:val="nil"/>
              <w:bottom w:val="single" w:sz="4" w:space="0" w:color="A6A6A6"/>
              <w:right w:val="single" w:sz="4" w:space="0" w:color="A6A6A6"/>
            </w:tcBorders>
            <w:shd w:val="clear" w:color="000000" w:fill="F2F2F2"/>
            <w:noWrap/>
            <w:vAlign w:val="bottom"/>
            <w:hideMark/>
          </w:tcPr>
          <w:p w14:paraId="77357C68"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28.90%</w:t>
            </w:r>
          </w:p>
        </w:tc>
        <w:tc>
          <w:tcPr>
            <w:tcW w:w="853" w:type="dxa"/>
            <w:tcBorders>
              <w:top w:val="nil"/>
              <w:left w:val="nil"/>
              <w:bottom w:val="single" w:sz="4" w:space="0" w:color="A6A6A6"/>
              <w:right w:val="single" w:sz="4" w:space="0" w:color="A6A6A6"/>
            </w:tcBorders>
            <w:shd w:val="clear" w:color="000000" w:fill="F2F2F2"/>
            <w:noWrap/>
            <w:vAlign w:val="bottom"/>
            <w:hideMark/>
          </w:tcPr>
          <w:p w14:paraId="59F29DB6"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89</w:t>
            </w:r>
          </w:p>
        </w:tc>
      </w:tr>
      <w:tr w:rsidR="00700B17" w:rsidRPr="00EF3808" w14:paraId="34803AC5"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5048F3B5"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20</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19BA3DC0"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It is very accessible i.e. wheelchair/baby buggy friendly</w:t>
            </w:r>
          </w:p>
        </w:tc>
        <w:tc>
          <w:tcPr>
            <w:tcW w:w="1171" w:type="dxa"/>
            <w:tcBorders>
              <w:top w:val="nil"/>
              <w:left w:val="nil"/>
              <w:bottom w:val="single" w:sz="4" w:space="0" w:color="A6A6A6"/>
              <w:right w:val="single" w:sz="4" w:space="0" w:color="A6A6A6"/>
            </w:tcBorders>
            <w:shd w:val="clear" w:color="000000" w:fill="F2F2F2"/>
            <w:vAlign w:val="center"/>
            <w:hideMark/>
          </w:tcPr>
          <w:p w14:paraId="18DF9DCF"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0.78%</w:t>
            </w:r>
          </w:p>
        </w:tc>
        <w:tc>
          <w:tcPr>
            <w:tcW w:w="1350" w:type="dxa"/>
            <w:tcBorders>
              <w:top w:val="nil"/>
              <w:left w:val="nil"/>
              <w:bottom w:val="single" w:sz="4" w:space="0" w:color="A6A6A6"/>
              <w:right w:val="single" w:sz="4" w:space="0" w:color="A6A6A6"/>
            </w:tcBorders>
            <w:shd w:val="clear" w:color="000000" w:fill="F2F2F2"/>
            <w:noWrap/>
            <w:vAlign w:val="bottom"/>
            <w:hideMark/>
          </w:tcPr>
          <w:p w14:paraId="55B5C45F"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4.22%</w:t>
            </w:r>
          </w:p>
        </w:tc>
        <w:tc>
          <w:tcPr>
            <w:tcW w:w="853" w:type="dxa"/>
            <w:tcBorders>
              <w:top w:val="nil"/>
              <w:left w:val="nil"/>
              <w:bottom w:val="single" w:sz="4" w:space="0" w:color="A6A6A6"/>
              <w:right w:val="single" w:sz="4" w:space="0" w:color="A6A6A6"/>
            </w:tcBorders>
            <w:shd w:val="clear" w:color="000000" w:fill="F2F2F2"/>
            <w:noWrap/>
            <w:vAlign w:val="bottom"/>
            <w:hideMark/>
          </w:tcPr>
          <w:p w14:paraId="393B56DD"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13</w:t>
            </w:r>
          </w:p>
        </w:tc>
      </w:tr>
      <w:tr w:rsidR="00700B17" w:rsidRPr="00EF3808" w14:paraId="42888E9A"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365B7348"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21</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6D625138"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It’s a well-known big chain</w:t>
            </w:r>
          </w:p>
        </w:tc>
        <w:tc>
          <w:tcPr>
            <w:tcW w:w="1171" w:type="dxa"/>
            <w:tcBorders>
              <w:top w:val="nil"/>
              <w:left w:val="nil"/>
              <w:bottom w:val="single" w:sz="4" w:space="0" w:color="A6A6A6"/>
              <w:right w:val="single" w:sz="4" w:space="0" w:color="A6A6A6"/>
            </w:tcBorders>
            <w:shd w:val="clear" w:color="000000" w:fill="F2F2F2"/>
            <w:vAlign w:val="center"/>
            <w:hideMark/>
          </w:tcPr>
          <w:p w14:paraId="6FD2B6CB"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1.20%</w:t>
            </w:r>
          </w:p>
        </w:tc>
        <w:tc>
          <w:tcPr>
            <w:tcW w:w="1350" w:type="dxa"/>
            <w:tcBorders>
              <w:top w:val="nil"/>
              <w:left w:val="nil"/>
              <w:bottom w:val="single" w:sz="4" w:space="0" w:color="A6A6A6"/>
              <w:right w:val="single" w:sz="4" w:space="0" w:color="A6A6A6"/>
            </w:tcBorders>
            <w:shd w:val="clear" w:color="000000" w:fill="F2F2F2"/>
            <w:noWrap/>
            <w:vAlign w:val="bottom"/>
            <w:hideMark/>
          </w:tcPr>
          <w:p w14:paraId="01BB87DB"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6.49%</w:t>
            </w:r>
          </w:p>
        </w:tc>
        <w:tc>
          <w:tcPr>
            <w:tcW w:w="853" w:type="dxa"/>
            <w:tcBorders>
              <w:top w:val="nil"/>
              <w:left w:val="nil"/>
              <w:bottom w:val="single" w:sz="4" w:space="0" w:color="A6A6A6"/>
              <w:right w:val="single" w:sz="4" w:space="0" w:color="A6A6A6"/>
            </w:tcBorders>
            <w:shd w:val="clear" w:color="000000" w:fill="F2F2F2"/>
            <w:noWrap/>
            <w:vAlign w:val="bottom"/>
            <w:hideMark/>
          </w:tcPr>
          <w:p w14:paraId="125784A6"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20</w:t>
            </w:r>
          </w:p>
        </w:tc>
      </w:tr>
      <w:tr w:rsidR="00700B17" w:rsidRPr="00EF3808" w14:paraId="17656094"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0BD38091"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22</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4BF7ED41"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It’s not one of the big chains</w:t>
            </w:r>
          </w:p>
        </w:tc>
        <w:tc>
          <w:tcPr>
            <w:tcW w:w="1171" w:type="dxa"/>
            <w:tcBorders>
              <w:top w:val="nil"/>
              <w:left w:val="nil"/>
              <w:bottom w:val="single" w:sz="4" w:space="0" w:color="A6A6A6"/>
              <w:right w:val="single" w:sz="4" w:space="0" w:color="A6A6A6"/>
            </w:tcBorders>
            <w:shd w:val="clear" w:color="000000" w:fill="F2F2F2"/>
            <w:vAlign w:val="center"/>
            <w:hideMark/>
          </w:tcPr>
          <w:p w14:paraId="0155A165"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3.79%</w:t>
            </w:r>
          </w:p>
        </w:tc>
        <w:tc>
          <w:tcPr>
            <w:tcW w:w="1350" w:type="dxa"/>
            <w:tcBorders>
              <w:top w:val="nil"/>
              <w:left w:val="nil"/>
              <w:bottom w:val="single" w:sz="4" w:space="0" w:color="A6A6A6"/>
              <w:right w:val="single" w:sz="4" w:space="0" w:color="A6A6A6"/>
            </w:tcBorders>
            <w:shd w:val="clear" w:color="000000" w:fill="F2F2F2"/>
            <w:noWrap/>
            <w:vAlign w:val="bottom"/>
            <w:hideMark/>
          </w:tcPr>
          <w:p w14:paraId="4D1D5DCE"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20.45%</w:t>
            </w:r>
          </w:p>
        </w:tc>
        <w:tc>
          <w:tcPr>
            <w:tcW w:w="853" w:type="dxa"/>
            <w:tcBorders>
              <w:top w:val="nil"/>
              <w:left w:val="nil"/>
              <w:bottom w:val="single" w:sz="4" w:space="0" w:color="A6A6A6"/>
              <w:right w:val="single" w:sz="4" w:space="0" w:color="A6A6A6"/>
            </w:tcBorders>
            <w:shd w:val="clear" w:color="000000" w:fill="F2F2F2"/>
            <w:noWrap/>
            <w:vAlign w:val="bottom"/>
            <w:hideMark/>
          </w:tcPr>
          <w:p w14:paraId="7AA497ED"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63</w:t>
            </w:r>
          </w:p>
        </w:tc>
      </w:tr>
      <w:tr w:rsidR="00700B17" w:rsidRPr="00EF3808" w14:paraId="4BD01348"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2736BC73"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23</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79E84178"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There is a private area if I need to talk to the pharmacist</w:t>
            </w:r>
          </w:p>
        </w:tc>
        <w:tc>
          <w:tcPr>
            <w:tcW w:w="1171" w:type="dxa"/>
            <w:tcBorders>
              <w:top w:val="nil"/>
              <w:left w:val="nil"/>
              <w:bottom w:val="single" w:sz="4" w:space="0" w:color="A6A6A6"/>
              <w:right w:val="single" w:sz="4" w:space="0" w:color="A6A6A6"/>
            </w:tcBorders>
            <w:shd w:val="clear" w:color="000000" w:fill="F2F2F2"/>
            <w:vAlign w:val="center"/>
            <w:hideMark/>
          </w:tcPr>
          <w:p w14:paraId="5E24938D"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3.97%</w:t>
            </w:r>
          </w:p>
        </w:tc>
        <w:tc>
          <w:tcPr>
            <w:tcW w:w="1350" w:type="dxa"/>
            <w:tcBorders>
              <w:top w:val="nil"/>
              <w:left w:val="nil"/>
              <w:bottom w:val="single" w:sz="4" w:space="0" w:color="A6A6A6"/>
              <w:right w:val="single" w:sz="4" w:space="0" w:color="A6A6A6"/>
            </w:tcBorders>
            <w:shd w:val="clear" w:color="000000" w:fill="F2F2F2"/>
            <w:noWrap/>
            <w:vAlign w:val="bottom"/>
            <w:hideMark/>
          </w:tcPr>
          <w:p w14:paraId="3C3D64E9"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21.43%</w:t>
            </w:r>
          </w:p>
        </w:tc>
        <w:tc>
          <w:tcPr>
            <w:tcW w:w="853" w:type="dxa"/>
            <w:tcBorders>
              <w:top w:val="nil"/>
              <w:left w:val="nil"/>
              <w:bottom w:val="single" w:sz="4" w:space="0" w:color="A6A6A6"/>
              <w:right w:val="single" w:sz="4" w:space="0" w:color="A6A6A6"/>
            </w:tcBorders>
            <w:shd w:val="clear" w:color="000000" w:fill="F2F2F2"/>
            <w:noWrap/>
            <w:vAlign w:val="bottom"/>
            <w:hideMark/>
          </w:tcPr>
          <w:p w14:paraId="1A550C93"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66</w:t>
            </w:r>
          </w:p>
        </w:tc>
      </w:tr>
      <w:tr w:rsidR="00700B17" w:rsidRPr="00EF3808" w14:paraId="40BD0CCE"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08808D9F"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24</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46C5C5C8"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I can order my repeat medicines online or by using their app</w:t>
            </w:r>
          </w:p>
        </w:tc>
        <w:tc>
          <w:tcPr>
            <w:tcW w:w="1171" w:type="dxa"/>
            <w:tcBorders>
              <w:top w:val="nil"/>
              <w:left w:val="nil"/>
              <w:bottom w:val="single" w:sz="4" w:space="0" w:color="A6A6A6"/>
              <w:right w:val="single" w:sz="4" w:space="0" w:color="A6A6A6"/>
            </w:tcBorders>
            <w:shd w:val="clear" w:color="000000" w:fill="F2F2F2"/>
            <w:vAlign w:val="center"/>
            <w:hideMark/>
          </w:tcPr>
          <w:p w14:paraId="2C416C43"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2.28%</w:t>
            </w:r>
          </w:p>
        </w:tc>
        <w:tc>
          <w:tcPr>
            <w:tcW w:w="1350" w:type="dxa"/>
            <w:tcBorders>
              <w:top w:val="nil"/>
              <w:left w:val="nil"/>
              <w:bottom w:val="single" w:sz="4" w:space="0" w:color="A6A6A6"/>
              <w:right w:val="single" w:sz="4" w:space="0" w:color="A6A6A6"/>
            </w:tcBorders>
            <w:shd w:val="clear" w:color="000000" w:fill="F2F2F2"/>
            <w:noWrap/>
            <w:vAlign w:val="bottom"/>
            <w:hideMark/>
          </w:tcPr>
          <w:p w14:paraId="64E321AD"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12.34%</w:t>
            </w:r>
          </w:p>
        </w:tc>
        <w:tc>
          <w:tcPr>
            <w:tcW w:w="853" w:type="dxa"/>
            <w:tcBorders>
              <w:top w:val="nil"/>
              <w:left w:val="nil"/>
              <w:bottom w:val="single" w:sz="4" w:space="0" w:color="A6A6A6"/>
              <w:right w:val="single" w:sz="4" w:space="0" w:color="A6A6A6"/>
            </w:tcBorders>
            <w:shd w:val="clear" w:color="000000" w:fill="F2F2F2"/>
            <w:noWrap/>
            <w:vAlign w:val="bottom"/>
            <w:hideMark/>
          </w:tcPr>
          <w:p w14:paraId="788FD3CB"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38</w:t>
            </w:r>
          </w:p>
        </w:tc>
      </w:tr>
      <w:tr w:rsidR="00700B17" w:rsidRPr="00EF3808" w14:paraId="75AF0837" w14:textId="77777777" w:rsidTr="00D939CF">
        <w:trPr>
          <w:trHeight w:val="293"/>
        </w:trPr>
        <w:tc>
          <w:tcPr>
            <w:tcW w:w="771" w:type="dxa"/>
            <w:tcBorders>
              <w:top w:val="nil"/>
              <w:left w:val="single" w:sz="4" w:space="0" w:color="A6A6A6"/>
              <w:bottom w:val="single" w:sz="4" w:space="0" w:color="A6A6A6"/>
              <w:right w:val="single" w:sz="4" w:space="0" w:color="A6A6A6"/>
            </w:tcBorders>
            <w:shd w:val="clear" w:color="000000" w:fill="F2F2F2"/>
            <w:vAlign w:val="center"/>
            <w:hideMark/>
          </w:tcPr>
          <w:p w14:paraId="2FA110A1"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25</w:t>
            </w:r>
          </w:p>
        </w:tc>
        <w:tc>
          <w:tcPr>
            <w:tcW w:w="5064" w:type="dxa"/>
            <w:gridSpan w:val="2"/>
            <w:tcBorders>
              <w:top w:val="single" w:sz="4" w:space="0" w:color="A6A6A6"/>
              <w:left w:val="nil"/>
              <w:bottom w:val="single" w:sz="4" w:space="0" w:color="A6A6A6"/>
              <w:right w:val="single" w:sz="4" w:space="0" w:color="A6A6A6"/>
            </w:tcBorders>
            <w:shd w:val="clear" w:color="auto" w:fill="auto"/>
            <w:vAlign w:val="center"/>
            <w:hideMark/>
          </w:tcPr>
          <w:p w14:paraId="5107C981"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Other</w:t>
            </w:r>
          </w:p>
        </w:tc>
        <w:tc>
          <w:tcPr>
            <w:tcW w:w="1171" w:type="dxa"/>
            <w:tcBorders>
              <w:top w:val="nil"/>
              <w:left w:val="nil"/>
              <w:bottom w:val="single" w:sz="4" w:space="0" w:color="A6A6A6"/>
              <w:right w:val="single" w:sz="4" w:space="0" w:color="A6A6A6"/>
            </w:tcBorders>
            <w:shd w:val="clear" w:color="000000" w:fill="F2F2F2"/>
            <w:vAlign w:val="center"/>
            <w:hideMark/>
          </w:tcPr>
          <w:p w14:paraId="32CA2B9C" w14:textId="77777777" w:rsidR="00700B17" w:rsidRPr="00EF3808" w:rsidRDefault="00700B17" w:rsidP="00DC54F7">
            <w:pPr>
              <w:spacing w:after="0" w:line="240" w:lineRule="auto"/>
              <w:jc w:val="both"/>
              <w:rPr>
                <w:rFonts w:ascii="Arial" w:eastAsia="Times New Roman" w:hAnsi="Arial" w:cs="Arial"/>
                <w:color w:val="000000"/>
                <w:sz w:val="18"/>
                <w:szCs w:val="18"/>
                <w:lang w:eastAsia="en-GB"/>
              </w:rPr>
            </w:pPr>
            <w:r w:rsidRPr="00EF3808">
              <w:rPr>
                <w:rFonts w:ascii="Arial" w:eastAsia="Times New Roman" w:hAnsi="Arial" w:cs="Arial"/>
                <w:color w:val="000000"/>
                <w:sz w:val="18"/>
                <w:szCs w:val="18"/>
                <w:lang w:eastAsia="en-GB"/>
              </w:rPr>
              <w:t>1.32%</w:t>
            </w:r>
          </w:p>
        </w:tc>
        <w:tc>
          <w:tcPr>
            <w:tcW w:w="1350" w:type="dxa"/>
            <w:tcBorders>
              <w:top w:val="nil"/>
              <w:left w:val="nil"/>
              <w:bottom w:val="single" w:sz="4" w:space="0" w:color="A6A6A6"/>
              <w:right w:val="single" w:sz="4" w:space="0" w:color="A6A6A6"/>
            </w:tcBorders>
            <w:shd w:val="clear" w:color="000000" w:fill="F2F2F2"/>
            <w:noWrap/>
            <w:vAlign w:val="bottom"/>
            <w:hideMark/>
          </w:tcPr>
          <w:p w14:paraId="10F7E008"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7.14%</w:t>
            </w:r>
          </w:p>
        </w:tc>
        <w:tc>
          <w:tcPr>
            <w:tcW w:w="853" w:type="dxa"/>
            <w:tcBorders>
              <w:top w:val="nil"/>
              <w:left w:val="nil"/>
              <w:bottom w:val="single" w:sz="4" w:space="0" w:color="A6A6A6"/>
              <w:right w:val="single" w:sz="4" w:space="0" w:color="A6A6A6"/>
            </w:tcBorders>
            <w:shd w:val="clear" w:color="000000" w:fill="F2F2F2"/>
            <w:noWrap/>
            <w:vAlign w:val="bottom"/>
            <w:hideMark/>
          </w:tcPr>
          <w:p w14:paraId="105A5D03"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22</w:t>
            </w:r>
          </w:p>
        </w:tc>
      </w:tr>
      <w:tr w:rsidR="00700B17" w:rsidRPr="00EF3808" w14:paraId="032F0798" w14:textId="77777777" w:rsidTr="00D939CF">
        <w:trPr>
          <w:trHeight w:val="293"/>
        </w:trPr>
        <w:tc>
          <w:tcPr>
            <w:tcW w:w="2309"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56DB14CC" w14:textId="77777777" w:rsidR="00700B17" w:rsidRPr="00EF3808" w:rsidRDefault="00700B17" w:rsidP="00DC54F7">
            <w:pPr>
              <w:spacing w:after="0" w:line="240" w:lineRule="auto"/>
              <w:jc w:val="both"/>
              <w:rPr>
                <w:rFonts w:ascii="Arial" w:eastAsia="Times New Roman" w:hAnsi="Arial" w:cs="Arial"/>
                <w:b/>
                <w:bCs/>
                <w:color w:val="000000"/>
                <w:lang w:eastAsia="en-GB"/>
              </w:rPr>
            </w:pPr>
            <w:r w:rsidRPr="00EF3808">
              <w:rPr>
                <w:rFonts w:ascii="Arial" w:eastAsia="Times New Roman" w:hAnsi="Arial" w:cs="Arial"/>
                <w:b/>
                <w:bCs/>
                <w:color w:val="000000"/>
                <w:lang w:eastAsia="en-GB"/>
              </w:rPr>
              <w:t> </w:t>
            </w:r>
          </w:p>
        </w:tc>
        <w:tc>
          <w:tcPr>
            <w:tcW w:w="3526" w:type="dxa"/>
            <w:tcBorders>
              <w:top w:val="nil"/>
              <w:left w:val="nil"/>
              <w:bottom w:val="single" w:sz="4" w:space="0" w:color="A6A6A6"/>
              <w:right w:val="single" w:sz="4" w:space="0" w:color="A6A6A6"/>
            </w:tcBorders>
            <w:shd w:val="clear" w:color="000000" w:fill="F2F2F2"/>
            <w:vAlign w:val="center"/>
            <w:hideMark/>
          </w:tcPr>
          <w:p w14:paraId="2DB9C8D3" w14:textId="77777777" w:rsidR="00700B17" w:rsidRPr="00EF3808" w:rsidRDefault="00700B17" w:rsidP="00DC54F7">
            <w:pPr>
              <w:spacing w:after="0" w:line="240" w:lineRule="auto"/>
              <w:jc w:val="both"/>
              <w:rPr>
                <w:rFonts w:ascii="Arial" w:eastAsia="Times New Roman" w:hAnsi="Arial" w:cs="Arial"/>
                <w:b/>
                <w:bCs/>
                <w:color w:val="000000"/>
                <w:sz w:val="18"/>
                <w:szCs w:val="18"/>
                <w:lang w:eastAsia="en-GB"/>
              </w:rPr>
            </w:pPr>
            <w:r w:rsidRPr="00EF3808">
              <w:rPr>
                <w:rFonts w:ascii="Arial" w:eastAsia="Times New Roman" w:hAnsi="Arial" w:cs="Arial"/>
                <w:b/>
                <w:bCs/>
                <w:color w:val="000000"/>
                <w:sz w:val="18"/>
                <w:szCs w:val="18"/>
                <w:lang w:eastAsia="en-GB"/>
              </w:rPr>
              <w:t>Total Responses</w:t>
            </w:r>
          </w:p>
        </w:tc>
        <w:tc>
          <w:tcPr>
            <w:tcW w:w="1171" w:type="dxa"/>
            <w:tcBorders>
              <w:top w:val="nil"/>
              <w:left w:val="nil"/>
              <w:bottom w:val="single" w:sz="4" w:space="0" w:color="A6A6A6"/>
              <w:right w:val="single" w:sz="4" w:space="0" w:color="A6A6A6"/>
            </w:tcBorders>
            <w:shd w:val="clear" w:color="000000" w:fill="F2F2F2"/>
            <w:vAlign w:val="center"/>
            <w:hideMark/>
          </w:tcPr>
          <w:p w14:paraId="4B5A2403" w14:textId="77777777" w:rsidR="00700B17" w:rsidRPr="00EF3808" w:rsidRDefault="00700B17" w:rsidP="00DC54F7">
            <w:pPr>
              <w:spacing w:after="0" w:line="240" w:lineRule="auto"/>
              <w:jc w:val="both"/>
              <w:rPr>
                <w:rFonts w:ascii="Arial" w:eastAsia="Times New Roman" w:hAnsi="Arial" w:cs="Arial"/>
                <w:b/>
                <w:bCs/>
                <w:color w:val="000000"/>
                <w:sz w:val="18"/>
                <w:szCs w:val="18"/>
                <w:lang w:eastAsia="en-GB"/>
              </w:rPr>
            </w:pPr>
            <w:r w:rsidRPr="00EF3808">
              <w:rPr>
                <w:rFonts w:ascii="Arial" w:eastAsia="Times New Roman" w:hAnsi="Arial" w:cs="Arial"/>
                <w:b/>
                <w:bCs/>
                <w:color w:val="000000"/>
                <w:sz w:val="18"/>
                <w:szCs w:val="18"/>
                <w:lang w:eastAsia="en-GB"/>
              </w:rPr>
              <w:t> </w:t>
            </w:r>
          </w:p>
        </w:tc>
        <w:tc>
          <w:tcPr>
            <w:tcW w:w="1350" w:type="dxa"/>
            <w:tcBorders>
              <w:top w:val="nil"/>
              <w:left w:val="nil"/>
              <w:bottom w:val="single" w:sz="4" w:space="0" w:color="A6A6A6"/>
              <w:right w:val="single" w:sz="4" w:space="0" w:color="A6A6A6"/>
            </w:tcBorders>
            <w:shd w:val="clear" w:color="000000" w:fill="F2F2F2"/>
            <w:noWrap/>
            <w:vAlign w:val="bottom"/>
            <w:hideMark/>
          </w:tcPr>
          <w:p w14:paraId="5C246D5E"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 </w:t>
            </w:r>
          </w:p>
        </w:tc>
        <w:tc>
          <w:tcPr>
            <w:tcW w:w="853" w:type="dxa"/>
            <w:tcBorders>
              <w:top w:val="nil"/>
              <w:left w:val="nil"/>
              <w:bottom w:val="single" w:sz="4" w:space="0" w:color="A6A6A6"/>
              <w:right w:val="single" w:sz="4" w:space="0" w:color="A6A6A6"/>
            </w:tcBorders>
            <w:shd w:val="clear" w:color="000000" w:fill="F2F2F2"/>
            <w:noWrap/>
            <w:vAlign w:val="bottom"/>
            <w:hideMark/>
          </w:tcPr>
          <w:p w14:paraId="7C8486A9"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1664</w:t>
            </w:r>
          </w:p>
        </w:tc>
      </w:tr>
      <w:tr w:rsidR="00700B17" w:rsidRPr="00EF3808" w14:paraId="2099FDB4" w14:textId="77777777" w:rsidTr="00D939CF">
        <w:trPr>
          <w:trHeight w:val="293"/>
        </w:trPr>
        <w:tc>
          <w:tcPr>
            <w:tcW w:w="2309" w:type="dxa"/>
            <w:gridSpan w:val="2"/>
            <w:vMerge/>
            <w:tcBorders>
              <w:top w:val="single" w:sz="4" w:space="0" w:color="A6A6A6"/>
              <w:left w:val="single" w:sz="4" w:space="0" w:color="A6A6A6"/>
              <w:bottom w:val="single" w:sz="4" w:space="0" w:color="A6A6A6"/>
              <w:right w:val="single" w:sz="4" w:space="0" w:color="A6A6A6"/>
            </w:tcBorders>
            <w:vAlign w:val="center"/>
            <w:hideMark/>
          </w:tcPr>
          <w:p w14:paraId="3E4311FC" w14:textId="77777777" w:rsidR="00700B17" w:rsidRPr="00EF3808" w:rsidRDefault="00700B17" w:rsidP="00DC54F7">
            <w:pPr>
              <w:spacing w:after="0" w:line="240" w:lineRule="auto"/>
              <w:jc w:val="both"/>
              <w:rPr>
                <w:rFonts w:ascii="Arial" w:eastAsia="Times New Roman" w:hAnsi="Arial" w:cs="Arial"/>
                <w:b/>
                <w:bCs/>
                <w:color w:val="000000"/>
                <w:lang w:eastAsia="en-GB"/>
              </w:rPr>
            </w:pPr>
          </w:p>
        </w:tc>
        <w:tc>
          <w:tcPr>
            <w:tcW w:w="3526" w:type="dxa"/>
            <w:tcBorders>
              <w:top w:val="nil"/>
              <w:left w:val="nil"/>
              <w:bottom w:val="single" w:sz="4" w:space="0" w:color="A6A6A6"/>
              <w:right w:val="single" w:sz="4" w:space="0" w:color="A6A6A6"/>
            </w:tcBorders>
            <w:shd w:val="clear" w:color="000000" w:fill="F2F2F2"/>
            <w:vAlign w:val="center"/>
            <w:hideMark/>
          </w:tcPr>
          <w:p w14:paraId="2E15BA21" w14:textId="77777777" w:rsidR="00700B17" w:rsidRPr="00EF3808" w:rsidRDefault="00700B17" w:rsidP="00DC54F7">
            <w:pPr>
              <w:spacing w:after="0" w:line="240" w:lineRule="auto"/>
              <w:jc w:val="both"/>
              <w:rPr>
                <w:rFonts w:ascii="Arial" w:eastAsia="Times New Roman" w:hAnsi="Arial" w:cs="Arial"/>
                <w:b/>
                <w:bCs/>
                <w:color w:val="000000"/>
                <w:sz w:val="18"/>
                <w:szCs w:val="18"/>
                <w:lang w:eastAsia="en-GB"/>
              </w:rPr>
            </w:pPr>
            <w:r w:rsidRPr="00EF3808">
              <w:rPr>
                <w:rFonts w:ascii="Arial" w:eastAsia="Times New Roman" w:hAnsi="Arial" w:cs="Arial"/>
                <w:b/>
                <w:bCs/>
                <w:color w:val="000000"/>
                <w:sz w:val="18"/>
                <w:szCs w:val="18"/>
                <w:lang w:eastAsia="en-GB"/>
              </w:rPr>
              <w:t>Total Respondents</w:t>
            </w:r>
          </w:p>
        </w:tc>
        <w:tc>
          <w:tcPr>
            <w:tcW w:w="1171" w:type="dxa"/>
            <w:tcBorders>
              <w:top w:val="nil"/>
              <w:left w:val="nil"/>
              <w:bottom w:val="single" w:sz="4" w:space="0" w:color="A6A6A6"/>
              <w:right w:val="single" w:sz="4" w:space="0" w:color="A6A6A6"/>
            </w:tcBorders>
            <w:shd w:val="clear" w:color="000000" w:fill="F2F2F2"/>
            <w:vAlign w:val="center"/>
            <w:hideMark/>
          </w:tcPr>
          <w:p w14:paraId="12925CB5" w14:textId="77777777" w:rsidR="00700B17" w:rsidRPr="00EF3808" w:rsidRDefault="00700B17" w:rsidP="00DC54F7">
            <w:pPr>
              <w:spacing w:after="0" w:line="240" w:lineRule="auto"/>
              <w:jc w:val="both"/>
              <w:rPr>
                <w:rFonts w:ascii="Arial" w:eastAsia="Times New Roman" w:hAnsi="Arial" w:cs="Arial"/>
                <w:b/>
                <w:bCs/>
                <w:color w:val="000000"/>
                <w:sz w:val="18"/>
                <w:szCs w:val="18"/>
                <w:lang w:eastAsia="en-GB"/>
              </w:rPr>
            </w:pPr>
            <w:r w:rsidRPr="00EF3808">
              <w:rPr>
                <w:rFonts w:ascii="Arial" w:eastAsia="Times New Roman" w:hAnsi="Arial" w:cs="Arial"/>
                <w:b/>
                <w:bCs/>
                <w:color w:val="000000"/>
                <w:sz w:val="18"/>
                <w:szCs w:val="18"/>
                <w:lang w:eastAsia="en-GB"/>
              </w:rPr>
              <w:t> </w:t>
            </w:r>
          </w:p>
        </w:tc>
        <w:tc>
          <w:tcPr>
            <w:tcW w:w="1350" w:type="dxa"/>
            <w:tcBorders>
              <w:top w:val="nil"/>
              <w:left w:val="nil"/>
              <w:bottom w:val="single" w:sz="4" w:space="0" w:color="A6A6A6"/>
              <w:right w:val="single" w:sz="4" w:space="0" w:color="A6A6A6"/>
            </w:tcBorders>
            <w:shd w:val="clear" w:color="000000" w:fill="F2F2F2"/>
            <w:noWrap/>
            <w:vAlign w:val="bottom"/>
            <w:hideMark/>
          </w:tcPr>
          <w:p w14:paraId="13FB41A1"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 </w:t>
            </w:r>
          </w:p>
        </w:tc>
        <w:tc>
          <w:tcPr>
            <w:tcW w:w="853" w:type="dxa"/>
            <w:tcBorders>
              <w:top w:val="nil"/>
              <w:left w:val="nil"/>
              <w:bottom w:val="single" w:sz="4" w:space="0" w:color="A6A6A6"/>
              <w:right w:val="single" w:sz="4" w:space="0" w:color="A6A6A6"/>
            </w:tcBorders>
            <w:shd w:val="clear" w:color="000000" w:fill="F2F2F2"/>
            <w:noWrap/>
            <w:vAlign w:val="bottom"/>
            <w:hideMark/>
          </w:tcPr>
          <w:p w14:paraId="291187F8"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308</w:t>
            </w:r>
          </w:p>
        </w:tc>
      </w:tr>
      <w:tr w:rsidR="00700B17" w:rsidRPr="00EF3808" w14:paraId="28870A10" w14:textId="77777777" w:rsidTr="00D939CF">
        <w:trPr>
          <w:trHeight w:val="293"/>
        </w:trPr>
        <w:tc>
          <w:tcPr>
            <w:tcW w:w="2309" w:type="dxa"/>
            <w:gridSpan w:val="2"/>
            <w:vMerge/>
            <w:tcBorders>
              <w:top w:val="single" w:sz="4" w:space="0" w:color="A6A6A6"/>
              <w:left w:val="single" w:sz="4" w:space="0" w:color="A6A6A6"/>
              <w:bottom w:val="single" w:sz="4" w:space="0" w:color="A6A6A6"/>
              <w:right w:val="single" w:sz="4" w:space="0" w:color="A6A6A6"/>
            </w:tcBorders>
            <w:vAlign w:val="center"/>
            <w:hideMark/>
          </w:tcPr>
          <w:p w14:paraId="4EA6963E" w14:textId="77777777" w:rsidR="00700B17" w:rsidRPr="00EF3808" w:rsidRDefault="00700B17" w:rsidP="00DC54F7">
            <w:pPr>
              <w:spacing w:after="0" w:line="240" w:lineRule="auto"/>
              <w:jc w:val="both"/>
              <w:rPr>
                <w:rFonts w:ascii="Arial" w:eastAsia="Times New Roman" w:hAnsi="Arial" w:cs="Arial"/>
                <w:b/>
                <w:bCs/>
                <w:color w:val="000000"/>
                <w:lang w:eastAsia="en-GB"/>
              </w:rPr>
            </w:pPr>
          </w:p>
        </w:tc>
        <w:tc>
          <w:tcPr>
            <w:tcW w:w="3526" w:type="dxa"/>
            <w:tcBorders>
              <w:top w:val="nil"/>
              <w:left w:val="nil"/>
              <w:bottom w:val="single" w:sz="4" w:space="0" w:color="A6A6A6"/>
              <w:right w:val="single" w:sz="4" w:space="0" w:color="A6A6A6"/>
            </w:tcBorders>
            <w:shd w:val="clear" w:color="000000" w:fill="F2F2F2"/>
            <w:vAlign w:val="center"/>
            <w:hideMark/>
          </w:tcPr>
          <w:p w14:paraId="67DE96AC" w14:textId="77777777" w:rsidR="00700B17" w:rsidRPr="00EF3808" w:rsidRDefault="00700B17" w:rsidP="00DC54F7">
            <w:pPr>
              <w:spacing w:after="0" w:line="240" w:lineRule="auto"/>
              <w:jc w:val="both"/>
              <w:rPr>
                <w:rFonts w:ascii="Arial" w:eastAsia="Times New Roman" w:hAnsi="Arial" w:cs="Arial"/>
                <w:b/>
                <w:bCs/>
                <w:color w:val="000000"/>
                <w:sz w:val="18"/>
                <w:szCs w:val="18"/>
                <w:lang w:eastAsia="en-GB"/>
              </w:rPr>
            </w:pPr>
            <w:r w:rsidRPr="00EF3808">
              <w:rPr>
                <w:rFonts w:ascii="Arial" w:eastAsia="Times New Roman" w:hAnsi="Arial" w:cs="Arial"/>
                <w:b/>
                <w:bCs/>
                <w:color w:val="000000"/>
                <w:sz w:val="18"/>
                <w:szCs w:val="18"/>
                <w:lang w:eastAsia="en-GB"/>
              </w:rPr>
              <w:t>Skipped</w:t>
            </w:r>
          </w:p>
        </w:tc>
        <w:tc>
          <w:tcPr>
            <w:tcW w:w="1171" w:type="dxa"/>
            <w:tcBorders>
              <w:top w:val="nil"/>
              <w:left w:val="nil"/>
              <w:bottom w:val="single" w:sz="4" w:space="0" w:color="A6A6A6"/>
              <w:right w:val="single" w:sz="4" w:space="0" w:color="A6A6A6"/>
            </w:tcBorders>
            <w:shd w:val="clear" w:color="000000" w:fill="F2F2F2"/>
            <w:vAlign w:val="center"/>
            <w:hideMark/>
          </w:tcPr>
          <w:p w14:paraId="61472FA1" w14:textId="77777777" w:rsidR="00700B17" w:rsidRPr="00EF3808" w:rsidRDefault="00700B17" w:rsidP="00DC54F7">
            <w:pPr>
              <w:spacing w:after="0" w:line="240" w:lineRule="auto"/>
              <w:jc w:val="both"/>
              <w:rPr>
                <w:rFonts w:ascii="Arial" w:eastAsia="Times New Roman" w:hAnsi="Arial" w:cs="Arial"/>
                <w:b/>
                <w:bCs/>
                <w:color w:val="000000"/>
                <w:sz w:val="18"/>
                <w:szCs w:val="18"/>
                <w:lang w:eastAsia="en-GB"/>
              </w:rPr>
            </w:pPr>
            <w:r w:rsidRPr="00EF3808">
              <w:rPr>
                <w:rFonts w:ascii="Arial" w:eastAsia="Times New Roman" w:hAnsi="Arial" w:cs="Arial"/>
                <w:b/>
                <w:bCs/>
                <w:color w:val="000000"/>
                <w:sz w:val="18"/>
                <w:szCs w:val="18"/>
                <w:lang w:eastAsia="en-GB"/>
              </w:rPr>
              <w:t> </w:t>
            </w:r>
          </w:p>
        </w:tc>
        <w:tc>
          <w:tcPr>
            <w:tcW w:w="1350" w:type="dxa"/>
            <w:tcBorders>
              <w:top w:val="nil"/>
              <w:left w:val="nil"/>
              <w:bottom w:val="single" w:sz="4" w:space="0" w:color="A6A6A6"/>
              <w:right w:val="single" w:sz="4" w:space="0" w:color="A6A6A6"/>
            </w:tcBorders>
            <w:shd w:val="clear" w:color="000000" w:fill="F2F2F2"/>
            <w:noWrap/>
            <w:vAlign w:val="bottom"/>
            <w:hideMark/>
          </w:tcPr>
          <w:p w14:paraId="02FB29F4"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 </w:t>
            </w:r>
          </w:p>
        </w:tc>
        <w:tc>
          <w:tcPr>
            <w:tcW w:w="853" w:type="dxa"/>
            <w:tcBorders>
              <w:top w:val="nil"/>
              <w:left w:val="nil"/>
              <w:bottom w:val="single" w:sz="4" w:space="0" w:color="A6A6A6"/>
              <w:right w:val="single" w:sz="4" w:space="0" w:color="A6A6A6"/>
            </w:tcBorders>
            <w:shd w:val="clear" w:color="000000" w:fill="F2F2F2"/>
            <w:noWrap/>
            <w:vAlign w:val="bottom"/>
            <w:hideMark/>
          </w:tcPr>
          <w:p w14:paraId="78852FC8" w14:textId="77777777" w:rsidR="00700B17" w:rsidRPr="00EF3808" w:rsidRDefault="00700B17" w:rsidP="00DC54F7">
            <w:pPr>
              <w:spacing w:after="0" w:line="240" w:lineRule="auto"/>
              <w:jc w:val="both"/>
              <w:rPr>
                <w:rFonts w:ascii="Calibri" w:eastAsia="Times New Roman" w:hAnsi="Calibri" w:cs="Calibri"/>
                <w:color w:val="000000"/>
                <w:lang w:eastAsia="en-GB"/>
              </w:rPr>
            </w:pPr>
            <w:r w:rsidRPr="00EF3808">
              <w:rPr>
                <w:rFonts w:ascii="Calibri" w:eastAsia="Times New Roman" w:hAnsi="Calibri" w:cs="Calibri"/>
                <w:color w:val="000000"/>
                <w:lang w:eastAsia="en-GB"/>
              </w:rPr>
              <w:t>3</w:t>
            </w:r>
          </w:p>
        </w:tc>
      </w:tr>
    </w:tbl>
    <w:p w14:paraId="5DBB2F63" w14:textId="77777777" w:rsidR="00D301A3" w:rsidRDefault="00D301A3" w:rsidP="00DC54F7">
      <w:pPr>
        <w:jc w:val="both"/>
      </w:pPr>
    </w:p>
    <w:p w14:paraId="7115DC94" w14:textId="77777777" w:rsidR="00D301A3" w:rsidRPr="005F6A61" w:rsidRDefault="00D301A3" w:rsidP="00DC54F7">
      <w:pPr>
        <w:jc w:val="both"/>
        <w:rPr>
          <w:rFonts w:ascii="Arial" w:hAnsi="Arial" w:cs="Arial"/>
          <w:b/>
          <w:bCs/>
        </w:rPr>
      </w:pPr>
      <w:r w:rsidRPr="005F6A61">
        <w:rPr>
          <w:rFonts w:ascii="Arial" w:hAnsi="Arial" w:cs="Arial"/>
          <w:b/>
          <w:bCs/>
        </w:rPr>
        <w:t xml:space="preserve">A total of twenty </w:t>
      </w:r>
      <w:r>
        <w:rPr>
          <w:rFonts w:ascii="Arial" w:hAnsi="Arial" w:cs="Arial"/>
          <w:b/>
          <w:bCs/>
        </w:rPr>
        <w:t>two</w:t>
      </w:r>
      <w:r w:rsidRPr="005F6A61">
        <w:rPr>
          <w:rFonts w:ascii="Arial" w:hAnsi="Arial" w:cs="Arial"/>
          <w:b/>
          <w:bCs/>
        </w:rPr>
        <w:t xml:space="preserve"> comments were received:</w:t>
      </w:r>
    </w:p>
    <w:p w14:paraId="6EBBFE04"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They collect my prescription</w:t>
      </w:r>
      <w:r>
        <w:rPr>
          <w:rFonts w:ascii="Arial" w:hAnsi="Arial" w:cs="Arial"/>
        </w:rPr>
        <w:t>.”</w:t>
      </w:r>
      <w:r w:rsidRPr="005F6A61">
        <w:rPr>
          <w:rFonts w:ascii="Arial" w:hAnsi="Arial" w:cs="Arial"/>
        </w:rPr>
        <w:t xml:space="preserve"> </w:t>
      </w:r>
    </w:p>
    <w:p w14:paraId="3D0CE128"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Prescriptions can be automatically sent to our pharmacy.</w:t>
      </w:r>
      <w:r>
        <w:rPr>
          <w:rFonts w:ascii="Arial" w:hAnsi="Arial" w:cs="Arial"/>
        </w:rPr>
        <w:t>”</w:t>
      </w:r>
    </w:p>
    <w:p w14:paraId="32267F31"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 xml:space="preserve">I order on </w:t>
      </w:r>
      <w:r w:rsidRPr="005D284A">
        <w:rPr>
          <w:rFonts w:ascii="Arial" w:hAnsi="Arial" w:cs="Arial"/>
        </w:rPr>
        <w:t>My Health Online</w:t>
      </w:r>
      <w:r w:rsidRPr="005F6A61">
        <w:rPr>
          <w:rFonts w:ascii="Arial" w:hAnsi="Arial" w:cs="Arial"/>
        </w:rPr>
        <w:t xml:space="preserve"> but collect at the pharmacy</w:t>
      </w:r>
      <w:r>
        <w:rPr>
          <w:rFonts w:ascii="Arial" w:hAnsi="Arial" w:cs="Arial"/>
        </w:rPr>
        <w:t>.”</w:t>
      </w:r>
    </w:p>
    <w:p w14:paraId="09EA5578"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I can park nearby</w:t>
      </w:r>
      <w:r>
        <w:rPr>
          <w:rFonts w:ascii="Arial" w:hAnsi="Arial" w:cs="Arial"/>
        </w:rPr>
        <w:t>.”</w:t>
      </w:r>
    </w:p>
    <w:p w14:paraId="7DDD87D3"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This is pharmacy that the drs told me I had to use this one.</w:t>
      </w:r>
      <w:r>
        <w:rPr>
          <w:rFonts w:ascii="Arial" w:hAnsi="Arial" w:cs="Arial"/>
        </w:rPr>
        <w:t>”</w:t>
      </w:r>
      <w:r w:rsidRPr="005F6A61">
        <w:rPr>
          <w:rFonts w:ascii="Arial" w:hAnsi="Arial" w:cs="Arial"/>
        </w:rPr>
        <w:t xml:space="preserve"> </w:t>
      </w:r>
    </w:p>
    <w:p w14:paraId="36B0A270" w14:textId="77777777" w:rsidR="00D301A3" w:rsidRPr="005D284A"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 xml:space="preserve">After negative experiences with other pharmacies, this one is the best in </w:t>
      </w:r>
      <w:r>
        <w:rPr>
          <w:rFonts w:ascii="Arial" w:hAnsi="Arial" w:cs="Arial"/>
        </w:rPr>
        <w:t>[name of location]</w:t>
      </w:r>
      <w:r w:rsidRPr="005D284A">
        <w:rPr>
          <w:rFonts w:ascii="Arial" w:hAnsi="Arial" w:cs="Arial"/>
        </w:rPr>
        <w:t>.”</w:t>
      </w:r>
    </w:p>
    <w:p w14:paraId="31547509"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lastRenderedPageBreak/>
        <w:t>“</w:t>
      </w:r>
      <w:r w:rsidRPr="005F6A61">
        <w:rPr>
          <w:rFonts w:ascii="Arial" w:hAnsi="Arial" w:cs="Arial"/>
        </w:rPr>
        <w:t>Repeat prescription - easy to te</w:t>
      </w:r>
      <w:r>
        <w:rPr>
          <w:rFonts w:ascii="Arial" w:hAnsi="Arial" w:cs="Arial"/>
        </w:rPr>
        <w:t>le</w:t>
      </w:r>
      <w:r w:rsidRPr="005F6A61">
        <w:rPr>
          <w:rFonts w:ascii="Arial" w:hAnsi="Arial" w:cs="Arial"/>
        </w:rPr>
        <w:t>phone and order</w:t>
      </w:r>
      <w:r>
        <w:rPr>
          <w:rFonts w:ascii="Arial" w:hAnsi="Arial" w:cs="Arial"/>
        </w:rPr>
        <w:t>.”</w:t>
      </w:r>
    </w:p>
    <w:p w14:paraId="101AA5A7"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They've been great during lockdown and have delivered our prescriptions when my husband was shielding</w:t>
      </w:r>
      <w:r>
        <w:rPr>
          <w:rFonts w:ascii="Arial" w:hAnsi="Arial" w:cs="Arial"/>
        </w:rPr>
        <w:t>.”</w:t>
      </w:r>
      <w:r w:rsidRPr="005F6A61">
        <w:rPr>
          <w:rFonts w:ascii="Arial" w:hAnsi="Arial" w:cs="Arial"/>
        </w:rPr>
        <w:t xml:space="preserve"> </w:t>
      </w:r>
    </w:p>
    <w:p w14:paraId="6951A0CD"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I go to the pharmacy that is open but this has been harder lately since my local pharmacy has moved further away and I have to delay my treatment till the next day</w:t>
      </w:r>
      <w:r>
        <w:rPr>
          <w:rFonts w:ascii="Arial" w:hAnsi="Arial" w:cs="Arial"/>
        </w:rPr>
        <w:t>.”</w:t>
      </w:r>
    </w:p>
    <w:p w14:paraId="7B92CDF5"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They get preferred brands</w:t>
      </w:r>
      <w:r>
        <w:rPr>
          <w:rFonts w:ascii="Arial" w:hAnsi="Arial" w:cs="Arial"/>
        </w:rPr>
        <w:t>.”</w:t>
      </w:r>
    </w:p>
    <w:p w14:paraId="49F42903"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Pharmacy orders and collects repeat prescription which I then collect</w:t>
      </w:r>
      <w:r>
        <w:rPr>
          <w:rFonts w:ascii="Arial" w:hAnsi="Arial" w:cs="Arial"/>
        </w:rPr>
        <w:t>.”</w:t>
      </w:r>
    </w:p>
    <w:p w14:paraId="36D63F6B"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My wife works there</w:t>
      </w:r>
      <w:r>
        <w:rPr>
          <w:rFonts w:ascii="Arial" w:hAnsi="Arial" w:cs="Arial"/>
        </w:rPr>
        <w:t>.”</w:t>
      </w:r>
    </w:p>
    <w:p w14:paraId="544BB1DA"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 xml:space="preserve">It would be nice </w:t>
      </w:r>
      <w:r>
        <w:rPr>
          <w:rFonts w:ascii="Arial" w:hAnsi="Arial" w:cs="Arial"/>
        </w:rPr>
        <w:t>t</w:t>
      </w:r>
      <w:r w:rsidRPr="005F6A61">
        <w:rPr>
          <w:rFonts w:ascii="Arial" w:hAnsi="Arial" w:cs="Arial"/>
        </w:rPr>
        <w:t>o have kore pharmacy staff speak Welsh and other languages and promote it</w:t>
      </w:r>
      <w:r>
        <w:rPr>
          <w:rFonts w:ascii="Arial" w:hAnsi="Arial" w:cs="Arial"/>
        </w:rPr>
        <w:t>.”</w:t>
      </w:r>
      <w:r w:rsidRPr="005F6A61">
        <w:rPr>
          <w:rFonts w:ascii="Arial" w:hAnsi="Arial" w:cs="Arial"/>
        </w:rPr>
        <w:t xml:space="preserve"> </w:t>
      </w:r>
    </w:p>
    <w:p w14:paraId="76F2EB0F"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Collect my prescriptions from GP and I pick up from pharmacy once completed</w:t>
      </w:r>
      <w:r>
        <w:rPr>
          <w:rFonts w:ascii="Arial" w:hAnsi="Arial" w:cs="Arial"/>
        </w:rPr>
        <w:t>”.</w:t>
      </w:r>
    </w:p>
    <w:p w14:paraId="603089BF"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I receive texts when my repeat prescription is ready</w:t>
      </w:r>
      <w:r>
        <w:rPr>
          <w:rFonts w:ascii="Arial" w:hAnsi="Arial" w:cs="Arial"/>
        </w:rPr>
        <w:t>.”</w:t>
      </w:r>
    </w:p>
    <w:p w14:paraId="4121426C"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The other local pharmacy is closed but service is appalling</w:t>
      </w:r>
      <w:r>
        <w:rPr>
          <w:rFonts w:ascii="Arial" w:hAnsi="Arial" w:cs="Arial"/>
        </w:rPr>
        <w:t>.”</w:t>
      </w:r>
      <w:r w:rsidRPr="005F6A61">
        <w:rPr>
          <w:rFonts w:ascii="Arial" w:hAnsi="Arial" w:cs="Arial"/>
        </w:rPr>
        <w:t xml:space="preserve"> </w:t>
      </w:r>
    </w:p>
    <w:p w14:paraId="33FE0180"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They collect my prescriptions from the doctor.</w:t>
      </w:r>
      <w:r>
        <w:rPr>
          <w:rFonts w:ascii="Arial" w:hAnsi="Arial" w:cs="Arial"/>
        </w:rPr>
        <w:t>”</w:t>
      </w:r>
    </w:p>
    <w:p w14:paraId="328C644B"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They provide telephone updates when my prescription is ready to be collected</w:t>
      </w:r>
      <w:r>
        <w:rPr>
          <w:rFonts w:ascii="Arial" w:hAnsi="Arial" w:cs="Arial"/>
        </w:rPr>
        <w:t>.”</w:t>
      </w:r>
    </w:p>
    <w:p w14:paraId="4EF04E16"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I can order my repeat prescriptions in the pharmacy or by phone.</w:t>
      </w:r>
      <w:r>
        <w:rPr>
          <w:rFonts w:ascii="Arial" w:hAnsi="Arial" w:cs="Arial"/>
        </w:rPr>
        <w:t>”</w:t>
      </w:r>
      <w:r w:rsidRPr="005F6A61">
        <w:rPr>
          <w:rFonts w:ascii="Arial" w:hAnsi="Arial" w:cs="Arial"/>
        </w:rPr>
        <w:t xml:space="preserve"> </w:t>
      </w:r>
    </w:p>
    <w:p w14:paraId="73F08EB6"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Open on a Saturday</w:t>
      </w:r>
      <w:r>
        <w:rPr>
          <w:rFonts w:ascii="Arial" w:hAnsi="Arial" w:cs="Arial"/>
        </w:rPr>
        <w:t>.”</w:t>
      </w:r>
      <w:r w:rsidRPr="005F6A61">
        <w:rPr>
          <w:rFonts w:ascii="Arial" w:hAnsi="Arial" w:cs="Arial"/>
        </w:rPr>
        <w:t xml:space="preserve"> </w:t>
      </w:r>
    </w:p>
    <w:p w14:paraId="6E9FCB75"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“[Name of pharmacy]</w:t>
      </w:r>
      <w:r w:rsidRPr="005F6A61">
        <w:rPr>
          <w:rFonts w:ascii="Arial" w:hAnsi="Arial" w:cs="Arial"/>
        </w:rPr>
        <w:t xml:space="preserve"> collects my prescription BUT WILL NOT DELIVER - even though I am shielding.</w:t>
      </w:r>
      <w:r>
        <w:rPr>
          <w:rFonts w:ascii="Arial" w:hAnsi="Arial" w:cs="Arial"/>
        </w:rPr>
        <w:t>”</w:t>
      </w:r>
    </w:p>
    <w:p w14:paraId="034D44B7" w14:textId="77777777" w:rsidR="00D301A3" w:rsidRPr="005F6A61" w:rsidRDefault="00D301A3" w:rsidP="00DC54F7">
      <w:pPr>
        <w:pStyle w:val="ListParagraph"/>
        <w:numPr>
          <w:ilvl w:val="0"/>
          <w:numId w:val="167"/>
        </w:numPr>
        <w:spacing w:after="0" w:line="240" w:lineRule="auto"/>
        <w:jc w:val="both"/>
        <w:rPr>
          <w:rFonts w:ascii="Arial" w:hAnsi="Arial" w:cs="Arial"/>
        </w:rPr>
      </w:pPr>
      <w:r>
        <w:rPr>
          <w:rFonts w:ascii="Arial" w:hAnsi="Arial" w:cs="Arial"/>
        </w:rPr>
        <w:t>“</w:t>
      </w:r>
      <w:r w:rsidRPr="005F6A61">
        <w:rPr>
          <w:rFonts w:ascii="Arial" w:hAnsi="Arial" w:cs="Arial"/>
        </w:rPr>
        <w:t>If only they would open at hours that people who work (in the NHS) could access them, I would go to the one that</w:t>
      </w:r>
      <w:r>
        <w:rPr>
          <w:rFonts w:ascii="Arial" w:hAnsi="Arial" w:cs="Arial"/>
        </w:rPr>
        <w:t>’</w:t>
      </w:r>
      <w:r w:rsidRPr="005F6A61">
        <w:rPr>
          <w:rFonts w:ascii="Arial" w:hAnsi="Arial" w:cs="Arial"/>
        </w:rPr>
        <w:t xml:space="preserve">s 30 seconds walk from my house, instead of having to track to </w:t>
      </w:r>
      <w:r>
        <w:rPr>
          <w:rFonts w:ascii="Arial" w:hAnsi="Arial" w:cs="Arial"/>
        </w:rPr>
        <w:t>[name of pharmacy]</w:t>
      </w:r>
      <w:r w:rsidRPr="005F6A61">
        <w:rPr>
          <w:rFonts w:ascii="Arial" w:hAnsi="Arial" w:cs="Arial"/>
        </w:rPr>
        <w:t>.</w:t>
      </w:r>
      <w:r>
        <w:rPr>
          <w:rFonts w:ascii="Arial" w:hAnsi="Arial" w:cs="Arial"/>
        </w:rPr>
        <w:t>”</w:t>
      </w:r>
    </w:p>
    <w:p w14:paraId="4651C1AC" w14:textId="77777777" w:rsidR="00D301A3" w:rsidRDefault="00D301A3" w:rsidP="00DC54F7">
      <w:pPr>
        <w:jc w:val="both"/>
      </w:pPr>
    </w:p>
    <w:p w14:paraId="497FCF3C" w14:textId="77777777" w:rsidR="00D301A3" w:rsidRDefault="00D301A3" w:rsidP="00DC54F7">
      <w:pPr>
        <w:spacing w:after="0" w:line="240" w:lineRule="auto"/>
        <w:jc w:val="both"/>
        <w:rPr>
          <w:rFonts w:ascii="Arial" w:eastAsia="Times New Roman" w:hAnsi="Arial" w:cs="Arial"/>
          <w:b/>
          <w:bCs/>
          <w:color w:val="333333"/>
          <w:lang w:eastAsia="en-GB"/>
        </w:rPr>
      </w:pPr>
      <w:r w:rsidRPr="005D42CD">
        <w:rPr>
          <w:rFonts w:ascii="Arial" w:eastAsia="Times New Roman" w:hAnsi="Arial" w:cs="Arial"/>
          <w:b/>
          <w:bCs/>
          <w:color w:val="333333"/>
          <w:lang w:eastAsia="en-GB"/>
        </w:rPr>
        <w:t xml:space="preserve">10. Is there a more convenient and/or closer pharmacy that you don’t use? Please tick one. </w:t>
      </w:r>
    </w:p>
    <w:p w14:paraId="473E02EB" w14:textId="77777777" w:rsidR="00D301A3" w:rsidRPr="005D42CD" w:rsidRDefault="00D301A3" w:rsidP="00DC54F7">
      <w:pPr>
        <w:spacing w:after="0" w:line="240" w:lineRule="auto"/>
        <w:jc w:val="both"/>
        <w:rPr>
          <w:rFonts w:ascii="Arial" w:eastAsia="Times New Roman" w:hAnsi="Arial" w:cs="Arial"/>
          <w:b/>
          <w:bCs/>
          <w:color w:val="333333"/>
          <w:lang w:eastAsia="en-GB"/>
        </w:rPr>
      </w:pPr>
    </w:p>
    <w:tbl>
      <w:tblPr>
        <w:tblW w:w="9146" w:type="dxa"/>
        <w:tblLook w:val="04A0" w:firstRow="1" w:lastRow="0" w:firstColumn="1" w:lastColumn="0" w:noHBand="0" w:noVBand="1"/>
      </w:tblPr>
      <w:tblGrid>
        <w:gridCol w:w="960"/>
        <w:gridCol w:w="4847"/>
        <w:gridCol w:w="1276"/>
        <w:gridCol w:w="1134"/>
        <w:gridCol w:w="929"/>
      </w:tblGrid>
      <w:tr w:rsidR="00D301A3" w:rsidRPr="005D42CD" w14:paraId="475783E6" w14:textId="77777777" w:rsidTr="00AA572E">
        <w:trPr>
          <w:trHeight w:val="290"/>
        </w:trPr>
        <w:tc>
          <w:tcPr>
            <w:tcW w:w="7083" w:type="dxa"/>
            <w:gridSpan w:val="3"/>
            <w:tcBorders>
              <w:top w:val="single" w:sz="4" w:space="0" w:color="A6A6A6"/>
              <w:left w:val="single" w:sz="4" w:space="0" w:color="A6A6A6"/>
              <w:bottom w:val="single" w:sz="4" w:space="0" w:color="A6A6A6"/>
              <w:right w:val="nil"/>
            </w:tcBorders>
            <w:shd w:val="clear" w:color="000000" w:fill="ACB9CA"/>
            <w:noWrap/>
            <w:vAlign w:val="center"/>
            <w:hideMark/>
          </w:tcPr>
          <w:p w14:paraId="3102CE35" w14:textId="77777777" w:rsidR="00D301A3" w:rsidRPr="005D42CD" w:rsidRDefault="00D301A3" w:rsidP="00DC54F7">
            <w:pPr>
              <w:spacing w:after="0" w:line="240" w:lineRule="auto"/>
              <w:jc w:val="both"/>
              <w:rPr>
                <w:rFonts w:ascii="Arial" w:eastAsia="Times New Roman" w:hAnsi="Arial" w:cs="Arial"/>
                <w:b/>
                <w:bCs/>
                <w:color w:val="FFFFFF"/>
                <w:sz w:val="21"/>
                <w:szCs w:val="21"/>
                <w:lang w:eastAsia="en-GB"/>
              </w:rPr>
            </w:pPr>
            <w:r w:rsidRPr="005D42CD">
              <w:rPr>
                <w:rFonts w:ascii="Arial" w:eastAsia="Times New Roman" w:hAnsi="Arial" w:cs="Arial"/>
                <w:b/>
                <w:bCs/>
                <w:color w:val="FFFFFF"/>
                <w:sz w:val="21"/>
                <w:szCs w:val="21"/>
                <w:lang w:eastAsia="en-GB"/>
              </w:rPr>
              <w:t> </w:t>
            </w:r>
          </w:p>
        </w:tc>
        <w:tc>
          <w:tcPr>
            <w:tcW w:w="2063" w:type="dxa"/>
            <w:gridSpan w:val="2"/>
            <w:tcBorders>
              <w:top w:val="single" w:sz="4" w:space="0" w:color="A6A6A6"/>
              <w:left w:val="nil"/>
              <w:bottom w:val="single" w:sz="4" w:space="0" w:color="A6A6A6"/>
              <w:right w:val="single" w:sz="4" w:space="0" w:color="A6A6A6"/>
            </w:tcBorders>
            <w:shd w:val="clear" w:color="000000" w:fill="ACB9CA"/>
            <w:noWrap/>
            <w:vAlign w:val="center"/>
            <w:hideMark/>
          </w:tcPr>
          <w:p w14:paraId="53ADA31D" w14:textId="77777777" w:rsidR="00D301A3" w:rsidRPr="005D42CD" w:rsidRDefault="00D301A3" w:rsidP="00DC54F7">
            <w:pPr>
              <w:spacing w:after="0" w:line="240" w:lineRule="auto"/>
              <w:jc w:val="both"/>
              <w:rPr>
                <w:rFonts w:ascii="Arial" w:eastAsia="Times New Roman" w:hAnsi="Arial" w:cs="Arial"/>
                <w:b/>
                <w:bCs/>
                <w:color w:val="FFFFFF"/>
                <w:sz w:val="21"/>
                <w:szCs w:val="21"/>
                <w:lang w:eastAsia="en-GB"/>
              </w:rPr>
            </w:pPr>
            <w:r w:rsidRPr="005D42CD">
              <w:rPr>
                <w:rFonts w:ascii="Arial" w:eastAsia="Times New Roman" w:hAnsi="Arial" w:cs="Arial"/>
                <w:b/>
                <w:bCs/>
                <w:color w:val="FFFFFF"/>
                <w:sz w:val="21"/>
                <w:szCs w:val="21"/>
                <w:lang w:eastAsia="en-GB"/>
              </w:rPr>
              <w:t>Response</w:t>
            </w:r>
          </w:p>
        </w:tc>
      </w:tr>
      <w:tr w:rsidR="00D301A3" w:rsidRPr="005D42CD" w14:paraId="1080C6B3" w14:textId="77777777" w:rsidTr="00AA572E">
        <w:trPr>
          <w:trHeight w:val="290"/>
        </w:trPr>
        <w:tc>
          <w:tcPr>
            <w:tcW w:w="7083"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036BEBC5" w14:textId="77777777" w:rsidR="00D301A3" w:rsidRPr="005D42CD" w:rsidRDefault="00D301A3" w:rsidP="00DC54F7">
            <w:pPr>
              <w:spacing w:after="0" w:line="240" w:lineRule="auto"/>
              <w:jc w:val="both"/>
              <w:rPr>
                <w:rFonts w:ascii="Arial" w:eastAsia="Times New Roman" w:hAnsi="Arial" w:cs="Arial"/>
                <w:b/>
                <w:bCs/>
                <w:color w:val="000000"/>
                <w:sz w:val="18"/>
                <w:szCs w:val="18"/>
                <w:lang w:eastAsia="en-GB"/>
              </w:rPr>
            </w:pPr>
            <w:r w:rsidRPr="005D42CD">
              <w:rPr>
                <w:rFonts w:ascii="Arial" w:eastAsia="Times New Roman" w:hAnsi="Arial" w:cs="Arial"/>
                <w:b/>
                <w:bCs/>
                <w:color w:val="000000"/>
                <w:sz w:val="18"/>
                <w:szCs w:val="18"/>
                <w:lang w:eastAsia="en-GB"/>
              </w:rPr>
              <w:t> </w:t>
            </w:r>
          </w:p>
        </w:tc>
        <w:tc>
          <w:tcPr>
            <w:tcW w:w="1134" w:type="dxa"/>
            <w:tcBorders>
              <w:top w:val="nil"/>
              <w:left w:val="nil"/>
              <w:bottom w:val="single" w:sz="4" w:space="0" w:color="A6A6A6"/>
              <w:right w:val="single" w:sz="4" w:space="0" w:color="A6A6A6"/>
            </w:tcBorders>
            <w:shd w:val="clear" w:color="000000" w:fill="F2F2F2"/>
            <w:noWrap/>
            <w:vAlign w:val="center"/>
            <w:hideMark/>
          </w:tcPr>
          <w:p w14:paraId="5E40968B" w14:textId="77777777" w:rsidR="00D301A3" w:rsidRPr="005D42CD" w:rsidRDefault="00D301A3" w:rsidP="00DC54F7">
            <w:pPr>
              <w:spacing w:after="0" w:line="240" w:lineRule="auto"/>
              <w:jc w:val="both"/>
              <w:rPr>
                <w:rFonts w:ascii="Arial" w:eastAsia="Times New Roman" w:hAnsi="Arial" w:cs="Arial"/>
                <w:b/>
                <w:bCs/>
                <w:color w:val="000000"/>
                <w:sz w:val="18"/>
                <w:szCs w:val="18"/>
                <w:lang w:eastAsia="en-GB"/>
              </w:rPr>
            </w:pPr>
            <w:r w:rsidRPr="005D42CD">
              <w:rPr>
                <w:rFonts w:ascii="Arial" w:eastAsia="Times New Roman" w:hAnsi="Arial" w:cs="Arial"/>
                <w:b/>
                <w:bCs/>
                <w:color w:val="000000"/>
                <w:sz w:val="18"/>
                <w:szCs w:val="18"/>
                <w:lang w:eastAsia="en-GB"/>
              </w:rPr>
              <w:t>Percent</w:t>
            </w:r>
          </w:p>
        </w:tc>
        <w:tc>
          <w:tcPr>
            <w:tcW w:w="929" w:type="dxa"/>
            <w:tcBorders>
              <w:top w:val="nil"/>
              <w:left w:val="nil"/>
              <w:bottom w:val="single" w:sz="4" w:space="0" w:color="A6A6A6"/>
              <w:right w:val="single" w:sz="4" w:space="0" w:color="A6A6A6"/>
            </w:tcBorders>
            <w:shd w:val="clear" w:color="000000" w:fill="F2F2F2"/>
            <w:noWrap/>
            <w:vAlign w:val="center"/>
            <w:hideMark/>
          </w:tcPr>
          <w:p w14:paraId="6EDC3240" w14:textId="77777777" w:rsidR="00D301A3" w:rsidRPr="005D42CD" w:rsidRDefault="00D301A3" w:rsidP="00DC54F7">
            <w:pPr>
              <w:spacing w:after="0" w:line="240" w:lineRule="auto"/>
              <w:jc w:val="both"/>
              <w:rPr>
                <w:rFonts w:ascii="Arial" w:eastAsia="Times New Roman" w:hAnsi="Arial" w:cs="Arial"/>
                <w:b/>
                <w:bCs/>
                <w:color w:val="000000"/>
                <w:sz w:val="18"/>
                <w:szCs w:val="18"/>
                <w:lang w:eastAsia="en-GB"/>
              </w:rPr>
            </w:pPr>
            <w:r w:rsidRPr="005D42CD">
              <w:rPr>
                <w:rFonts w:ascii="Arial" w:eastAsia="Times New Roman" w:hAnsi="Arial" w:cs="Arial"/>
                <w:b/>
                <w:bCs/>
                <w:color w:val="000000"/>
                <w:sz w:val="18"/>
                <w:szCs w:val="18"/>
                <w:lang w:eastAsia="en-GB"/>
              </w:rPr>
              <w:t>Total</w:t>
            </w:r>
          </w:p>
        </w:tc>
      </w:tr>
      <w:tr w:rsidR="00D301A3" w:rsidRPr="005D42CD" w14:paraId="760F605D"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375387D6" w14:textId="77777777" w:rsidR="00D301A3" w:rsidRPr="005D42CD" w:rsidRDefault="00D301A3" w:rsidP="00DC54F7">
            <w:pPr>
              <w:spacing w:after="0" w:line="240" w:lineRule="auto"/>
              <w:jc w:val="both"/>
              <w:rPr>
                <w:rFonts w:ascii="Arial" w:eastAsia="Times New Roman" w:hAnsi="Arial" w:cs="Arial"/>
                <w:color w:val="000000"/>
                <w:sz w:val="18"/>
                <w:szCs w:val="18"/>
                <w:lang w:eastAsia="en-GB"/>
              </w:rPr>
            </w:pPr>
            <w:r w:rsidRPr="005D42CD">
              <w:rPr>
                <w:rFonts w:ascii="Arial" w:eastAsia="Times New Roman" w:hAnsi="Arial" w:cs="Arial"/>
                <w:color w:val="000000"/>
                <w:sz w:val="18"/>
                <w:szCs w:val="18"/>
                <w:lang w:eastAsia="en-GB"/>
              </w:rPr>
              <w:t>1</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1A8EE92C" w14:textId="77777777" w:rsidR="00D301A3" w:rsidRPr="005D42CD" w:rsidRDefault="00D301A3" w:rsidP="00DC54F7">
            <w:pPr>
              <w:spacing w:after="0" w:line="240" w:lineRule="auto"/>
              <w:jc w:val="both"/>
              <w:rPr>
                <w:rFonts w:ascii="Arial" w:eastAsia="Times New Roman" w:hAnsi="Arial" w:cs="Arial"/>
                <w:color w:val="000000"/>
                <w:sz w:val="18"/>
                <w:szCs w:val="18"/>
                <w:lang w:eastAsia="en-GB"/>
              </w:rPr>
            </w:pPr>
            <w:r w:rsidRPr="005D42CD">
              <w:rPr>
                <w:rFonts w:ascii="Arial" w:eastAsia="Times New Roman" w:hAnsi="Arial" w:cs="Arial"/>
                <w:color w:val="000000"/>
                <w:sz w:val="18"/>
                <w:szCs w:val="18"/>
                <w:lang w:eastAsia="en-GB"/>
              </w:rPr>
              <w:t>Yes</w:t>
            </w:r>
          </w:p>
        </w:tc>
        <w:tc>
          <w:tcPr>
            <w:tcW w:w="1134" w:type="dxa"/>
            <w:tcBorders>
              <w:top w:val="nil"/>
              <w:left w:val="nil"/>
              <w:bottom w:val="single" w:sz="4" w:space="0" w:color="A6A6A6"/>
              <w:right w:val="single" w:sz="4" w:space="0" w:color="A6A6A6"/>
            </w:tcBorders>
            <w:shd w:val="clear" w:color="000000" w:fill="F2F2F2"/>
            <w:noWrap/>
            <w:vAlign w:val="bottom"/>
            <w:hideMark/>
          </w:tcPr>
          <w:p w14:paraId="7793FAF2" w14:textId="77777777" w:rsidR="00D301A3" w:rsidRPr="005D42CD" w:rsidRDefault="00D301A3" w:rsidP="00DC54F7">
            <w:pPr>
              <w:spacing w:after="0" w:line="240" w:lineRule="auto"/>
              <w:jc w:val="both"/>
              <w:rPr>
                <w:rFonts w:ascii="Calibri" w:eastAsia="Times New Roman" w:hAnsi="Calibri" w:cs="Calibri"/>
                <w:color w:val="000000"/>
                <w:lang w:eastAsia="en-GB"/>
              </w:rPr>
            </w:pPr>
            <w:r w:rsidRPr="005D42CD">
              <w:rPr>
                <w:rFonts w:ascii="Calibri" w:eastAsia="Times New Roman" w:hAnsi="Calibri" w:cs="Calibri"/>
                <w:color w:val="000000"/>
                <w:lang w:eastAsia="en-GB"/>
              </w:rPr>
              <w:t>28.99%</w:t>
            </w:r>
          </w:p>
        </w:tc>
        <w:tc>
          <w:tcPr>
            <w:tcW w:w="929" w:type="dxa"/>
            <w:tcBorders>
              <w:top w:val="nil"/>
              <w:left w:val="nil"/>
              <w:bottom w:val="single" w:sz="4" w:space="0" w:color="A6A6A6"/>
              <w:right w:val="single" w:sz="4" w:space="0" w:color="A6A6A6"/>
            </w:tcBorders>
            <w:shd w:val="clear" w:color="000000" w:fill="F2F2F2"/>
            <w:noWrap/>
            <w:vAlign w:val="bottom"/>
            <w:hideMark/>
          </w:tcPr>
          <w:p w14:paraId="030F1E70" w14:textId="77777777" w:rsidR="00D301A3" w:rsidRPr="005D42CD" w:rsidRDefault="00D301A3" w:rsidP="00DC54F7">
            <w:pPr>
              <w:spacing w:after="0" w:line="240" w:lineRule="auto"/>
              <w:jc w:val="both"/>
              <w:rPr>
                <w:rFonts w:ascii="Calibri" w:eastAsia="Times New Roman" w:hAnsi="Calibri" w:cs="Calibri"/>
                <w:color w:val="000000"/>
                <w:lang w:eastAsia="en-GB"/>
              </w:rPr>
            </w:pPr>
            <w:r w:rsidRPr="005D42CD">
              <w:rPr>
                <w:rFonts w:ascii="Calibri" w:eastAsia="Times New Roman" w:hAnsi="Calibri" w:cs="Calibri"/>
                <w:color w:val="000000"/>
                <w:lang w:eastAsia="en-GB"/>
              </w:rPr>
              <w:t>89</w:t>
            </w:r>
          </w:p>
        </w:tc>
      </w:tr>
      <w:tr w:rsidR="00D301A3" w:rsidRPr="005D42CD" w14:paraId="0676E697"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46F0BA09" w14:textId="77777777" w:rsidR="00D301A3" w:rsidRPr="005D42CD" w:rsidRDefault="00D301A3" w:rsidP="00DC54F7">
            <w:pPr>
              <w:spacing w:after="0" w:line="240" w:lineRule="auto"/>
              <w:jc w:val="both"/>
              <w:rPr>
                <w:rFonts w:ascii="Arial" w:eastAsia="Times New Roman" w:hAnsi="Arial" w:cs="Arial"/>
                <w:color w:val="000000"/>
                <w:sz w:val="18"/>
                <w:szCs w:val="18"/>
                <w:lang w:eastAsia="en-GB"/>
              </w:rPr>
            </w:pPr>
            <w:r w:rsidRPr="005D42CD">
              <w:rPr>
                <w:rFonts w:ascii="Arial" w:eastAsia="Times New Roman" w:hAnsi="Arial" w:cs="Arial"/>
                <w:color w:val="000000"/>
                <w:sz w:val="18"/>
                <w:szCs w:val="18"/>
                <w:lang w:eastAsia="en-GB"/>
              </w:rPr>
              <w:t>2</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1C1DCB8E" w14:textId="77777777" w:rsidR="00D301A3" w:rsidRPr="005D42CD" w:rsidRDefault="00D301A3" w:rsidP="00DC54F7">
            <w:pPr>
              <w:spacing w:after="0" w:line="240" w:lineRule="auto"/>
              <w:jc w:val="both"/>
              <w:rPr>
                <w:rFonts w:ascii="Arial" w:eastAsia="Times New Roman" w:hAnsi="Arial" w:cs="Arial"/>
                <w:color w:val="000000"/>
                <w:sz w:val="18"/>
                <w:szCs w:val="18"/>
                <w:lang w:eastAsia="en-GB"/>
              </w:rPr>
            </w:pPr>
            <w:r w:rsidRPr="005D42CD">
              <w:rPr>
                <w:rFonts w:ascii="Arial" w:eastAsia="Times New Roman" w:hAnsi="Arial" w:cs="Arial"/>
                <w:color w:val="000000"/>
                <w:sz w:val="18"/>
                <w:szCs w:val="18"/>
                <w:lang w:eastAsia="en-GB"/>
              </w:rPr>
              <w:t xml:space="preserve">No </w:t>
            </w:r>
          </w:p>
        </w:tc>
        <w:tc>
          <w:tcPr>
            <w:tcW w:w="1134" w:type="dxa"/>
            <w:tcBorders>
              <w:top w:val="nil"/>
              <w:left w:val="nil"/>
              <w:bottom w:val="single" w:sz="4" w:space="0" w:color="A6A6A6"/>
              <w:right w:val="single" w:sz="4" w:space="0" w:color="A6A6A6"/>
            </w:tcBorders>
            <w:shd w:val="clear" w:color="000000" w:fill="F2F2F2"/>
            <w:noWrap/>
            <w:vAlign w:val="bottom"/>
            <w:hideMark/>
          </w:tcPr>
          <w:p w14:paraId="3E16C9B9" w14:textId="77777777" w:rsidR="00D301A3" w:rsidRPr="005D42CD" w:rsidRDefault="00D301A3" w:rsidP="00DC54F7">
            <w:pPr>
              <w:spacing w:after="0" w:line="240" w:lineRule="auto"/>
              <w:jc w:val="both"/>
              <w:rPr>
                <w:rFonts w:ascii="Calibri" w:eastAsia="Times New Roman" w:hAnsi="Calibri" w:cs="Calibri"/>
                <w:color w:val="000000"/>
                <w:lang w:eastAsia="en-GB"/>
              </w:rPr>
            </w:pPr>
            <w:r w:rsidRPr="005D42CD">
              <w:rPr>
                <w:rFonts w:ascii="Calibri" w:eastAsia="Times New Roman" w:hAnsi="Calibri" w:cs="Calibri"/>
                <w:color w:val="000000"/>
                <w:lang w:eastAsia="en-GB"/>
              </w:rPr>
              <w:t>67.43%</w:t>
            </w:r>
          </w:p>
        </w:tc>
        <w:tc>
          <w:tcPr>
            <w:tcW w:w="929" w:type="dxa"/>
            <w:tcBorders>
              <w:top w:val="nil"/>
              <w:left w:val="nil"/>
              <w:bottom w:val="single" w:sz="4" w:space="0" w:color="A6A6A6"/>
              <w:right w:val="single" w:sz="4" w:space="0" w:color="A6A6A6"/>
            </w:tcBorders>
            <w:shd w:val="clear" w:color="000000" w:fill="F2F2F2"/>
            <w:noWrap/>
            <w:vAlign w:val="bottom"/>
            <w:hideMark/>
          </w:tcPr>
          <w:p w14:paraId="0B458E75" w14:textId="77777777" w:rsidR="00D301A3" w:rsidRPr="005D42CD" w:rsidRDefault="00D301A3" w:rsidP="00DC54F7">
            <w:pPr>
              <w:spacing w:after="0" w:line="240" w:lineRule="auto"/>
              <w:jc w:val="both"/>
              <w:rPr>
                <w:rFonts w:ascii="Calibri" w:eastAsia="Times New Roman" w:hAnsi="Calibri" w:cs="Calibri"/>
                <w:color w:val="000000"/>
                <w:lang w:eastAsia="en-GB"/>
              </w:rPr>
            </w:pPr>
            <w:r w:rsidRPr="005D42CD">
              <w:rPr>
                <w:rFonts w:ascii="Calibri" w:eastAsia="Times New Roman" w:hAnsi="Calibri" w:cs="Calibri"/>
                <w:color w:val="000000"/>
                <w:lang w:eastAsia="en-GB"/>
              </w:rPr>
              <w:t>207</w:t>
            </w:r>
          </w:p>
        </w:tc>
      </w:tr>
      <w:tr w:rsidR="00D301A3" w:rsidRPr="005D42CD" w14:paraId="55048DA5"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A78D84B" w14:textId="77777777" w:rsidR="00D301A3" w:rsidRPr="005D42CD" w:rsidRDefault="00D301A3" w:rsidP="00DC54F7">
            <w:pPr>
              <w:spacing w:after="0" w:line="240" w:lineRule="auto"/>
              <w:jc w:val="both"/>
              <w:rPr>
                <w:rFonts w:ascii="Arial" w:eastAsia="Times New Roman" w:hAnsi="Arial" w:cs="Arial"/>
                <w:color w:val="000000"/>
                <w:sz w:val="18"/>
                <w:szCs w:val="18"/>
                <w:lang w:eastAsia="en-GB"/>
              </w:rPr>
            </w:pPr>
            <w:r w:rsidRPr="005D42CD">
              <w:rPr>
                <w:rFonts w:ascii="Arial" w:eastAsia="Times New Roman" w:hAnsi="Arial" w:cs="Arial"/>
                <w:color w:val="000000"/>
                <w:sz w:val="18"/>
                <w:szCs w:val="18"/>
                <w:lang w:eastAsia="en-GB"/>
              </w:rPr>
              <w:t>3</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290E79E2" w14:textId="77777777" w:rsidR="00D301A3" w:rsidRPr="005D42CD" w:rsidRDefault="00D301A3" w:rsidP="00DC54F7">
            <w:pPr>
              <w:spacing w:after="0" w:line="240" w:lineRule="auto"/>
              <w:jc w:val="both"/>
              <w:rPr>
                <w:rFonts w:ascii="Arial" w:eastAsia="Times New Roman" w:hAnsi="Arial" w:cs="Arial"/>
                <w:color w:val="000000"/>
                <w:sz w:val="18"/>
                <w:szCs w:val="18"/>
                <w:lang w:eastAsia="en-GB"/>
              </w:rPr>
            </w:pPr>
            <w:r w:rsidRPr="005D42CD">
              <w:rPr>
                <w:rFonts w:ascii="Arial" w:eastAsia="Times New Roman" w:hAnsi="Arial" w:cs="Arial"/>
                <w:color w:val="000000"/>
                <w:sz w:val="18"/>
                <w:szCs w:val="18"/>
                <w:lang w:eastAsia="en-GB"/>
              </w:rPr>
              <w:t>Don’t know</w:t>
            </w:r>
          </w:p>
        </w:tc>
        <w:tc>
          <w:tcPr>
            <w:tcW w:w="1134" w:type="dxa"/>
            <w:tcBorders>
              <w:top w:val="nil"/>
              <w:left w:val="nil"/>
              <w:bottom w:val="single" w:sz="4" w:space="0" w:color="A6A6A6"/>
              <w:right w:val="single" w:sz="4" w:space="0" w:color="A6A6A6"/>
            </w:tcBorders>
            <w:shd w:val="clear" w:color="000000" w:fill="F2F2F2"/>
            <w:noWrap/>
            <w:vAlign w:val="bottom"/>
            <w:hideMark/>
          </w:tcPr>
          <w:p w14:paraId="2B669544" w14:textId="77777777" w:rsidR="00D301A3" w:rsidRPr="005D42CD" w:rsidRDefault="00D301A3" w:rsidP="00DC54F7">
            <w:pPr>
              <w:spacing w:after="0" w:line="240" w:lineRule="auto"/>
              <w:jc w:val="both"/>
              <w:rPr>
                <w:rFonts w:ascii="Calibri" w:eastAsia="Times New Roman" w:hAnsi="Calibri" w:cs="Calibri"/>
                <w:color w:val="000000"/>
                <w:lang w:eastAsia="en-GB"/>
              </w:rPr>
            </w:pPr>
            <w:r w:rsidRPr="005D42CD">
              <w:rPr>
                <w:rFonts w:ascii="Calibri" w:eastAsia="Times New Roman" w:hAnsi="Calibri" w:cs="Calibri"/>
                <w:color w:val="000000"/>
                <w:lang w:eastAsia="en-GB"/>
              </w:rPr>
              <w:t>3.58%</w:t>
            </w:r>
          </w:p>
        </w:tc>
        <w:tc>
          <w:tcPr>
            <w:tcW w:w="929" w:type="dxa"/>
            <w:tcBorders>
              <w:top w:val="nil"/>
              <w:left w:val="nil"/>
              <w:bottom w:val="single" w:sz="4" w:space="0" w:color="A6A6A6"/>
              <w:right w:val="single" w:sz="4" w:space="0" w:color="A6A6A6"/>
            </w:tcBorders>
            <w:shd w:val="clear" w:color="000000" w:fill="F2F2F2"/>
            <w:noWrap/>
            <w:vAlign w:val="bottom"/>
            <w:hideMark/>
          </w:tcPr>
          <w:p w14:paraId="19791418" w14:textId="77777777" w:rsidR="00D301A3" w:rsidRPr="005D42CD" w:rsidRDefault="00D301A3" w:rsidP="00DC54F7">
            <w:pPr>
              <w:spacing w:after="0" w:line="240" w:lineRule="auto"/>
              <w:jc w:val="both"/>
              <w:rPr>
                <w:rFonts w:ascii="Calibri" w:eastAsia="Times New Roman" w:hAnsi="Calibri" w:cs="Calibri"/>
                <w:color w:val="000000"/>
                <w:lang w:eastAsia="en-GB"/>
              </w:rPr>
            </w:pPr>
            <w:r w:rsidRPr="005D42CD">
              <w:rPr>
                <w:rFonts w:ascii="Calibri" w:eastAsia="Times New Roman" w:hAnsi="Calibri" w:cs="Calibri"/>
                <w:color w:val="000000"/>
                <w:lang w:eastAsia="en-GB"/>
              </w:rPr>
              <w:t>11</w:t>
            </w:r>
          </w:p>
        </w:tc>
      </w:tr>
      <w:tr w:rsidR="00D301A3" w:rsidRPr="005D42CD" w14:paraId="02E1487B" w14:textId="77777777" w:rsidTr="00AA572E">
        <w:trPr>
          <w:trHeight w:val="300"/>
        </w:trPr>
        <w:tc>
          <w:tcPr>
            <w:tcW w:w="5807"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2ABAE43C" w14:textId="77777777" w:rsidR="00D301A3" w:rsidRPr="005D42CD" w:rsidRDefault="00D301A3" w:rsidP="00DC54F7">
            <w:pPr>
              <w:spacing w:after="0" w:line="240" w:lineRule="auto"/>
              <w:jc w:val="both"/>
              <w:rPr>
                <w:rFonts w:ascii="Arial" w:eastAsia="Times New Roman" w:hAnsi="Arial" w:cs="Arial"/>
                <w:b/>
                <w:bCs/>
                <w:color w:val="000000"/>
                <w:lang w:eastAsia="en-GB"/>
              </w:rPr>
            </w:pPr>
            <w:r w:rsidRPr="005D42CD">
              <w:rPr>
                <w:rFonts w:ascii="Arial" w:eastAsia="Times New Roman" w:hAnsi="Arial" w:cs="Arial"/>
                <w:b/>
                <w:bCs/>
                <w:color w:val="000000"/>
                <w:lang w:eastAsia="en-GB"/>
              </w:rPr>
              <w:t> </w:t>
            </w:r>
          </w:p>
        </w:tc>
        <w:tc>
          <w:tcPr>
            <w:tcW w:w="1276" w:type="dxa"/>
            <w:tcBorders>
              <w:top w:val="nil"/>
              <w:left w:val="nil"/>
              <w:bottom w:val="single" w:sz="4" w:space="0" w:color="A6A6A6"/>
              <w:right w:val="single" w:sz="4" w:space="0" w:color="A6A6A6"/>
            </w:tcBorders>
            <w:shd w:val="clear" w:color="000000" w:fill="F2F2F2"/>
            <w:vAlign w:val="center"/>
            <w:hideMark/>
          </w:tcPr>
          <w:p w14:paraId="5ED29DD9" w14:textId="77777777" w:rsidR="00D301A3" w:rsidRPr="005D42CD" w:rsidRDefault="00D301A3" w:rsidP="00DC54F7">
            <w:pPr>
              <w:spacing w:after="0" w:line="240" w:lineRule="auto"/>
              <w:jc w:val="both"/>
              <w:rPr>
                <w:rFonts w:ascii="Arial" w:eastAsia="Times New Roman" w:hAnsi="Arial" w:cs="Arial"/>
                <w:b/>
                <w:bCs/>
                <w:color w:val="000000"/>
                <w:sz w:val="18"/>
                <w:szCs w:val="18"/>
                <w:lang w:eastAsia="en-GB"/>
              </w:rPr>
            </w:pPr>
            <w:r w:rsidRPr="005D42CD">
              <w:rPr>
                <w:rFonts w:ascii="Arial" w:eastAsia="Times New Roman" w:hAnsi="Arial" w:cs="Arial"/>
                <w:b/>
                <w:bCs/>
                <w:color w:val="000000"/>
                <w:sz w:val="18"/>
                <w:szCs w:val="18"/>
                <w:lang w:eastAsia="en-GB"/>
              </w:rPr>
              <w:t xml:space="preserve">Total </w:t>
            </w:r>
          </w:p>
        </w:tc>
        <w:tc>
          <w:tcPr>
            <w:tcW w:w="1134" w:type="dxa"/>
            <w:tcBorders>
              <w:top w:val="nil"/>
              <w:left w:val="nil"/>
              <w:bottom w:val="single" w:sz="4" w:space="0" w:color="A6A6A6"/>
              <w:right w:val="single" w:sz="4" w:space="0" w:color="A6A6A6"/>
            </w:tcBorders>
            <w:shd w:val="clear" w:color="000000" w:fill="F2F2F2"/>
            <w:noWrap/>
            <w:vAlign w:val="bottom"/>
            <w:hideMark/>
          </w:tcPr>
          <w:p w14:paraId="50FE75AF" w14:textId="77777777" w:rsidR="00D301A3" w:rsidRPr="005D42CD" w:rsidRDefault="00D301A3" w:rsidP="00DC54F7">
            <w:pPr>
              <w:spacing w:after="0" w:line="240" w:lineRule="auto"/>
              <w:jc w:val="both"/>
              <w:rPr>
                <w:rFonts w:ascii="Calibri" w:eastAsia="Times New Roman" w:hAnsi="Calibri" w:cs="Calibri"/>
                <w:color w:val="000000"/>
                <w:lang w:eastAsia="en-GB"/>
              </w:rPr>
            </w:pPr>
            <w:r w:rsidRPr="005D42CD">
              <w:rPr>
                <w:rFonts w:ascii="Calibri" w:eastAsia="Times New Roman" w:hAnsi="Calibri" w:cs="Calibri"/>
                <w:color w:val="000000"/>
                <w:lang w:eastAsia="en-GB"/>
              </w:rPr>
              <w:t>100.00%</w:t>
            </w:r>
          </w:p>
        </w:tc>
        <w:tc>
          <w:tcPr>
            <w:tcW w:w="929" w:type="dxa"/>
            <w:tcBorders>
              <w:top w:val="nil"/>
              <w:left w:val="nil"/>
              <w:bottom w:val="single" w:sz="4" w:space="0" w:color="A6A6A6"/>
              <w:right w:val="single" w:sz="4" w:space="0" w:color="A6A6A6"/>
            </w:tcBorders>
            <w:shd w:val="clear" w:color="000000" w:fill="F2F2F2"/>
            <w:noWrap/>
            <w:vAlign w:val="bottom"/>
            <w:hideMark/>
          </w:tcPr>
          <w:p w14:paraId="4CF58AF9" w14:textId="77777777" w:rsidR="00D301A3" w:rsidRPr="005D42CD" w:rsidRDefault="00D301A3" w:rsidP="00DC54F7">
            <w:pPr>
              <w:spacing w:after="0" w:line="240" w:lineRule="auto"/>
              <w:jc w:val="both"/>
              <w:rPr>
                <w:rFonts w:ascii="Calibri" w:eastAsia="Times New Roman" w:hAnsi="Calibri" w:cs="Calibri"/>
                <w:color w:val="000000"/>
                <w:lang w:eastAsia="en-GB"/>
              </w:rPr>
            </w:pPr>
            <w:r w:rsidRPr="005D42CD">
              <w:rPr>
                <w:rFonts w:ascii="Calibri" w:eastAsia="Times New Roman" w:hAnsi="Calibri" w:cs="Calibri"/>
                <w:color w:val="000000"/>
                <w:lang w:eastAsia="en-GB"/>
              </w:rPr>
              <w:t>307</w:t>
            </w:r>
          </w:p>
        </w:tc>
      </w:tr>
      <w:tr w:rsidR="00D301A3" w:rsidRPr="005D42CD" w14:paraId="75B10F91" w14:textId="77777777" w:rsidTr="00AA572E">
        <w:trPr>
          <w:trHeight w:val="290"/>
        </w:trPr>
        <w:tc>
          <w:tcPr>
            <w:tcW w:w="5807" w:type="dxa"/>
            <w:gridSpan w:val="2"/>
            <w:vMerge/>
            <w:tcBorders>
              <w:top w:val="single" w:sz="4" w:space="0" w:color="A6A6A6"/>
              <w:left w:val="single" w:sz="4" w:space="0" w:color="A6A6A6"/>
              <w:bottom w:val="single" w:sz="4" w:space="0" w:color="A6A6A6"/>
              <w:right w:val="single" w:sz="4" w:space="0" w:color="A6A6A6"/>
            </w:tcBorders>
            <w:vAlign w:val="center"/>
            <w:hideMark/>
          </w:tcPr>
          <w:p w14:paraId="17A637E1" w14:textId="77777777" w:rsidR="00D301A3" w:rsidRPr="005D42CD" w:rsidRDefault="00D301A3" w:rsidP="00DC54F7">
            <w:pPr>
              <w:spacing w:after="0" w:line="240" w:lineRule="auto"/>
              <w:jc w:val="both"/>
              <w:rPr>
                <w:rFonts w:ascii="Arial" w:eastAsia="Times New Roman" w:hAnsi="Arial" w:cs="Arial"/>
                <w:b/>
                <w:bCs/>
                <w:color w:val="000000"/>
                <w:lang w:eastAsia="en-GB"/>
              </w:rPr>
            </w:pPr>
          </w:p>
        </w:tc>
        <w:tc>
          <w:tcPr>
            <w:tcW w:w="1276" w:type="dxa"/>
            <w:tcBorders>
              <w:top w:val="nil"/>
              <w:left w:val="nil"/>
              <w:bottom w:val="single" w:sz="4" w:space="0" w:color="A6A6A6"/>
              <w:right w:val="single" w:sz="4" w:space="0" w:color="A6A6A6"/>
            </w:tcBorders>
            <w:shd w:val="clear" w:color="000000" w:fill="F2F2F2"/>
            <w:vAlign w:val="center"/>
            <w:hideMark/>
          </w:tcPr>
          <w:p w14:paraId="5EBA781F" w14:textId="77777777" w:rsidR="00D301A3" w:rsidRPr="005D42CD" w:rsidRDefault="00D301A3" w:rsidP="00DC54F7">
            <w:pPr>
              <w:spacing w:after="0" w:line="240" w:lineRule="auto"/>
              <w:jc w:val="both"/>
              <w:rPr>
                <w:rFonts w:ascii="Arial" w:eastAsia="Times New Roman" w:hAnsi="Arial" w:cs="Arial"/>
                <w:b/>
                <w:bCs/>
                <w:color w:val="000000"/>
                <w:sz w:val="18"/>
                <w:szCs w:val="18"/>
                <w:lang w:eastAsia="en-GB"/>
              </w:rPr>
            </w:pPr>
            <w:r w:rsidRPr="005D42CD">
              <w:rPr>
                <w:rFonts w:ascii="Arial" w:eastAsia="Times New Roman" w:hAnsi="Arial" w:cs="Arial"/>
                <w:b/>
                <w:bCs/>
                <w:color w:val="000000"/>
                <w:sz w:val="18"/>
                <w:szCs w:val="18"/>
                <w:lang w:eastAsia="en-GB"/>
              </w:rPr>
              <w:t>Skipped</w:t>
            </w:r>
          </w:p>
        </w:tc>
        <w:tc>
          <w:tcPr>
            <w:tcW w:w="1134" w:type="dxa"/>
            <w:tcBorders>
              <w:top w:val="nil"/>
              <w:left w:val="nil"/>
              <w:bottom w:val="single" w:sz="4" w:space="0" w:color="A6A6A6"/>
              <w:right w:val="single" w:sz="4" w:space="0" w:color="A6A6A6"/>
            </w:tcBorders>
            <w:shd w:val="clear" w:color="000000" w:fill="F2F2F2"/>
            <w:noWrap/>
            <w:vAlign w:val="bottom"/>
            <w:hideMark/>
          </w:tcPr>
          <w:p w14:paraId="329F35BF" w14:textId="77777777" w:rsidR="00D301A3" w:rsidRPr="005D42CD" w:rsidRDefault="00D301A3" w:rsidP="00DC54F7">
            <w:pPr>
              <w:spacing w:after="0" w:line="240" w:lineRule="auto"/>
              <w:jc w:val="both"/>
              <w:rPr>
                <w:rFonts w:ascii="Calibri" w:eastAsia="Times New Roman" w:hAnsi="Calibri" w:cs="Calibri"/>
                <w:color w:val="000000"/>
                <w:lang w:eastAsia="en-GB"/>
              </w:rPr>
            </w:pPr>
            <w:r w:rsidRPr="005D42CD">
              <w:rPr>
                <w:rFonts w:ascii="Calibri" w:eastAsia="Times New Roman" w:hAnsi="Calibri" w:cs="Calibri"/>
                <w:color w:val="000000"/>
                <w:lang w:eastAsia="en-GB"/>
              </w:rPr>
              <w:t> </w:t>
            </w:r>
          </w:p>
        </w:tc>
        <w:tc>
          <w:tcPr>
            <w:tcW w:w="929" w:type="dxa"/>
            <w:tcBorders>
              <w:top w:val="nil"/>
              <w:left w:val="nil"/>
              <w:bottom w:val="single" w:sz="4" w:space="0" w:color="A6A6A6"/>
              <w:right w:val="single" w:sz="4" w:space="0" w:color="A6A6A6"/>
            </w:tcBorders>
            <w:shd w:val="clear" w:color="000000" w:fill="F2F2F2"/>
            <w:noWrap/>
            <w:vAlign w:val="bottom"/>
            <w:hideMark/>
          </w:tcPr>
          <w:p w14:paraId="20DDBD3A" w14:textId="77777777" w:rsidR="00D301A3" w:rsidRPr="005D42CD" w:rsidRDefault="00D301A3" w:rsidP="00DC54F7">
            <w:pPr>
              <w:spacing w:after="0" w:line="240" w:lineRule="auto"/>
              <w:jc w:val="both"/>
              <w:rPr>
                <w:rFonts w:ascii="Calibri" w:eastAsia="Times New Roman" w:hAnsi="Calibri" w:cs="Calibri"/>
                <w:color w:val="000000"/>
                <w:lang w:eastAsia="en-GB"/>
              </w:rPr>
            </w:pPr>
            <w:r w:rsidRPr="005D42CD">
              <w:rPr>
                <w:rFonts w:ascii="Calibri" w:eastAsia="Times New Roman" w:hAnsi="Calibri" w:cs="Calibri"/>
                <w:color w:val="000000"/>
                <w:lang w:eastAsia="en-GB"/>
              </w:rPr>
              <w:t>4</w:t>
            </w:r>
          </w:p>
        </w:tc>
      </w:tr>
    </w:tbl>
    <w:p w14:paraId="24AF220B" w14:textId="77777777" w:rsidR="00D301A3" w:rsidRDefault="00D301A3" w:rsidP="00DC54F7">
      <w:pPr>
        <w:jc w:val="both"/>
      </w:pPr>
    </w:p>
    <w:p w14:paraId="5A3D104E" w14:textId="77777777" w:rsidR="001B5C8F" w:rsidRDefault="001B5C8F" w:rsidP="00DC54F7">
      <w:pPr>
        <w:spacing w:after="0" w:line="240" w:lineRule="auto"/>
        <w:jc w:val="both"/>
        <w:rPr>
          <w:rFonts w:ascii="Arial" w:eastAsia="Times New Roman" w:hAnsi="Arial" w:cs="Arial"/>
          <w:b/>
          <w:bCs/>
          <w:color w:val="333333"/>
          <w:lang w:eastAsia="en-GB"/>
        </w:rPr>
      </w:pPr>
    </w:p>
    <w:p w14:paraId="75440D23" w14:textId="77777777" w:rsidR="001B5C8F" w:rsidRDefault="001B5C8F" w:rsidP="00DC54F7">
      <w:pPr>
        <w:spacing w:after="0" w:line="240" w:lineRule="auto"/>
        <w:jc w:val="both"/>
        <w:rPr>
          <w:rFonts w:ascii="Arial" w:eastAsia="Times New Roman" w:hAnsi="Arial" w:cs="Arial"/>
          <w:b/>
          <w:bCs/>
          <w:color w:val="333333"/>
          <w:lang w:eastAsia="en-GB"/>
        </w:rPr>
      </w:pPr>
    </w:p>
    <w:p w14:paraId="2A59351E" w14:textId="77777777" w:rsidR="001B5C8F" w:rsidRDefault="001B5C8F" w:rsidP="00DC54F7">
      <w:pPr>
        <w:spacing w:after="0" w:line="240" w:lineRule="auto"/>
        <w:jc w:val="both"/>
        <w:rPr>
          <w:rFonts w:ascii="Arial" w:eastAsia="Times New Roman" w:hAnsi="Arial" w:cs="Arial"/>
          <w:b/>
          <w:bCs/>
          <w:color w:val="333333"/>
          <w:lang w:eastAsia="en-GB"/>
        </w:rPr>
      </w:pPr>
    </w:p>
    <w:p w14:paraId="29056C9A" w14:textId="77777777" w:rsidR="001B5C8F" w:rsidRDefault="001B5C8F" w:rsidP="00DC54F7">
      <w:pPr>
        <w:spacing w:after="0" w:line="240" w:lineRule="auto"/>
        <w:jc w:val="both"/>
        <w:rPr>
          <w:rFonts w:ascii="Arial" w:eastAsia="Times New Roman" w:hAnsi="Arial" w:cs="Arial"/>
          <w:b/>
          <w:bCs/>
          <w:color w:val="333333"/>
          <w:lang w:eastAsia="en-GB"/>
        </w:rPr>
      </w:pPr>
    </w:p>
    <w:p w14:paraId="165B3615" w14:textId="77777777" w:rsidR="001B5C8F" w:rsidRDefault="001B5C8F" w:rsidP="00DC54F7">
      <w:pPr>
        <w:spacing w:after="0" w:line="240" w:lineRule="auto"/>
        <w:jc w:val="both"/>
        <w:rPr>
          <w:rFonts w:ascii="Arial" w:eastAsia="Times New Roman" w:hAnsi="Arial" w:cs="Arial"/>
          <w:b/>
          <w:bCs/>
          <w:color w:val="333333"/>
          <w:lang w:eastAsia="en-GB"/>
        </w:rPr>
      </w:pPr>
    </w:p>
    <w:p w14:paraId="7A4D23EA" w14:textId="77777777" w:rsidR="001B5C8F" w:rsidRDefault="001B5C8F" w:rsidP="00DC54F7">
      <w:pPr>
        <w:spacing w:after="0" w:line="240" w:lineRule="auto"/>
        <w:jc w:val="both"/>
        <w:rPr>
          <w:rFonts w:ascii="Arial" w:eastAsia="Times New Roman" w:hAnsi="Arial" w:cs="Arial"/>
          <w:b/>
          <w:bCs/>
          <w:color w:val="333333"/>
          <w:lang w:eastAsia="en-GB"/>
        </w:rPr>
      </w:pPr>
    </w:p>
    <w:p w14:paraId="33F1775E" w14:textId="77777777" w:rsidR="001B5C8F" w:rsidRDefault="001B5C8F" w:rsidP="00DC54F7">
      <w:pPr>
        <w:spacing w:after="0" w:line="240" w:lineRule="auto"/>
        <w:jc w:val="both"/>
        <w:rPr>
          <w:rFonts w:ascii="Arial" w:eastAsia="Times New Roman" w:hAnsi="Arial" w:cs="Arial"/>
          <w:b/>
          <w:bCs/>
          <w:color w:val="333333"/>
          <w:lang w:eastAsia="en-GB"/>
        </w:rPr>
      </w:pPr>
    </w:p>
    <w:p w14:paraId="4A207AFF" w14:textId="77777777" w:rsidR="001B5C8F" w:rsidRDefault="001B5C8F" w:rsidP="00DC54F7">
      <w:pPr>
        <w:spacing w:after="0" w:line="240" w:lineRule="auto"/>
        <w:jc w:val="both"/>
        <w:rPr>
          <w:rFonts w:ascii="Arial" w:eastAsia="Times New Roman" w:hAnsi="Arial" w:cs="Arial"/>
          <w:b/>
          <w:bCs/>
          <w:color w:val="333333"/>
          <w:lang w:eastAsia="en-GB"/>
        </w:rPr>
      </w:pPr>
    </w:p>
    <w:p w14:paraId="43B1FE99" w14:textId="77777777" w:rsidR="001B5C8F" w:rsidRDefault="001B5C8F" w:rsidP="00DC54F7">
      <w:pPr>
        <w:spacing w:after="0" w:line="240" w:lineRule="auto"/>
        <w:jc w:val="both"/>
        <w:rPr>
          <w:rFonts w:ascii="Arial" w:eastAsia="Times New Roman" w:hAnsi="Arial" w:cs="Arial"/>
          <w:b/>
          <w:bCs/>
          <w:color w:val="333333"/>
          <w:lang w:eastAsia="en-GB"/>
        </w:rPr>
      </w:pPr>
    </w:p>
    <w:p w14:paraId="56C1C75B" w14:textId="77777777" w:rsidR="001B5C8F" w:rsidRDefault="001B5C8F" w:rsidP="00DC54F7">
      <w:pPr>
        <w:spacing w:after="0" w:line="240" w:lineRule="auto"/>
        <w:jc w:val="both"/>
        <w:rPr>
          <w:rFonts w:ascii="Arial" w:eastAsia="Times New Roman" w:hAnsi="Arial" w:cs="Arial"/>
          <w:b/>
          <w:bCs/>
          <w:color w:val="333333"/>
          <w:lang w:eastAsia="en-GB"/>
        </w:rPr>
      </w:pPr>
    </w:p>
    <w:p w14:paraId="0A3249A0" w14:textId="77777777" w:rsidR="001B5C8F" w:rsidRDefault="001B5C8F" w:rsidP="00DC54F7">
      <w:pPr>
        <w:spacing w:after="0" w:line="240" w:lineRule="auto"/>
        <w:jc w:val="both"/>
        <w:rPr>
          <w:rFonts w:ascii="Arial" w:eastAsia="Times New Roman" w:hAnsi="Arial" w:cs="Arial"/>
          <w:b/>
          <w:bCs/>
          <w:color w:val="333333"/>
          <w:lang w:eastAsia="en-GB"/>
        </w:rPr>
      </w:pPr>
    </w:p>
    <w:p w14:paraId="028D83B9" w14:textId="77777777" w:rsidR="001B5C8F" w:rsidRDefault="001B5C8F" w:rsidP="00DC54F7">
      <w:pPr>
        <w:spacing w:after="0" w:line="240" w:lineRule="auto"/>
        <w:jc w:val="both"/>
        <w:rPr>
          <w:rFonts w:ascii="Arial" w:eastAsia="Times New Roman" w:hAnsi="Arial" w:cs="Arial"/>
          <w:b/>
          <w:bCs/>
          <w:color w:val="333333"/>
          <w:lang w:eastAsia="en-GB"/>
        </w:rPr>
      </w:pPr>
    </w:p>
    <w:p w14:paraId="314C5B44" w14:textId="77777777" w:rsidR="001B5C8F" w:rsidRDefault="001B5C8F" w:rsidP="00DC54F7">
      <w:pPr>
        <w:spacing w:after="0" w:line="240" w:lineRule="auto"/>
        <w:jc w:val="both"/>
        <w:rPr>
          <w:rFonts w:ascii="Arial" w:eastAsia="Times New Roman" w:hAnsi="Arial" w:cs="Arial"/>
          <w:b/>
          <w:bCs/>
          <w:color w:val="333333"/>
          <w:lang w:eastAsia="en-GB"/>
        </w:rPr>
      </w:pPr>
    </w:p>
    <w:p w14:paraId="55E50D4A" w14:textId="77777777" w:rsidR="001B5C8F" w:rsidRDefault="001B5C8F" w:rsidP="00DC54F7">
      <w:pPr>
        <w:spacing w:after="0" w:line="240" w:lineRule="auto"/>
        <w:jc w:val="both"/>
        <w:rPr>
          <w:rFonts w:ascii="Arial" w:eastAsia="Times New Roman" w:hAnsi="Arial" w:cs="Arial"/>
          <w:b/>
          <w:bCs/>
          <w:color w:val="333333"/>
          <w:lang w:eastAsia="en-GB"/>
        </w:rPr>
      </w:pPr>
    </w:p>
    <w:p w14:paraId="4041007D" w14:textId="77777777" w:rsidR="001B5C8F" w:rsidRDefault="001B5C8F" w:rsidP="00DC54F7">
      <w:pPr>
        <w:spacing w:after="0" w:line="240" w:lineRule="auto"/>
        <w:jc w:val="both"/>
        <w:rPr>
          <w:rFonts w:ascii="Arial" w:eastAsia="Times New Roman" w:hAnsi="Arial" w:cs="Arial"/>
          <w:b/>
          <w:bCs/>
          <w:color w:val="333333"/>
          <w:lang w:eastAsia="en-GB"/>
        </w:rPr>
      </w:pPr>
    </w:p>
    <w:p w14:paraId="6DB9B6EB" w14:textId="4F3BB2A3" w:rsidR="00D301A3" w:rsidRDefault="00D301A3" w:rsidP="00DC54F7">
      <w:pPr>
        <w:spacing w:after="0" w:line="240" w:lineRule="auto"/>
        <w:jc w:val="both"/>
        <w:rPr>
          <w:rFonts w:ascii="Arial" w:eastAsia="Times New Roman" w:hAnsi="Arial" w:cs="Arial"/>
          <w:b/>
          <w:bCs/>
          <w:color w:val="333333"/>
          <w:lang w:eastAsia="en-GB"/>
        </w:rPr>
      </w:pPr>
      <w:r w:rsidRPr="00FE14A4">
        <w:rPr>
          <w:rFonts w:ascii="Arial" w:eastAsia="Times New Roman" w:hAnsi="Arial" w:cs="Arial"/>
          <w:b/>
          <w:bCs/>
          <w:color w:val="333333"/>
          <w:lang w:eastAsia="en-GB"/>
        </w:rPr>
        <w:lastRenderedPageBreak/>
        <w:t>11. ...and if you have answered yes to question 10, please could you tell us why you do not use that pharmacy? Please tick all that apply.</w:t>
      </w:r>
      <w:r w:rsidRPr="005D42CD">
        <w:rPr>
          <w:rFonts w:ascii="Arial" w:eastAsia="Times New Roman" w:hAnsi="Arial" w:cs="Arial"/>
          <w:b/>
          <w:bCs/>
          <w:color w:val="333333"/>
          <w:lang w:eastAsia="en-GB"/>
        </w:rPr>
        <w:t xml:space="preserve"> </w:t>
      </w:r>
    </w:p>
    <w:p w14:paraId="08AB34AF" w14:textId="77777777" w:rsidR="00D301A3" w:rsidRDefault="00D301A3" w:rsidP="00DC54F7">
      <w:pPr>
        <w:spacing w:after="0" w:line="240" w:lineRule="auto"/>
        <w:jc w:val="both"/>
        <w:rPr>
          <w:rFonts w:ascii="Arial" w:eastAsia="Times New Roman" w:hAnsi="Arial" w:cs="Arial"/>
          <w:b/>
          <w:bCs/>
          <w:color w:val="333333"/>
          <w:lang w:eastAsia="en-GB"/>
        </w:rPr>
      </w:pPr>
    </w:p>
    <w:p w14:paraId="2B10D2DA" w14:textId="77777777" w:rsidR="00D301A3" w:rsidRPr="005D42CD" w:rsidRDefault="00D301A3" w:rsidP="00DC54F7">
      <w:pPr>
        <w:spacing w:after="0" w:line="240" w:lineRule="auto"/>
        <w:jc w:val="both"/>
        <w:rPr>
          <w:rFonts w:ascii="Arial" w:eastAsia="Times New Roman" w:hAnsi="Arial" w:cs="Arial"/>
          <w:b/>
          <w:bCs/>
          <w:color w:val="333333"/>
        </w:rPr>
      </w:pPr>
      <w:r>
        <w:rPr>
          <w:rFonts w:ascii="Arial" w:eastAsia="Times New Roman" w:hAnsi="Arial" w:cs="Arial"/>
          <w:b/>
          <w:bCs/>
          <w:color w:val="333333"/>
        </w:rPr>
        <w:t>(</w:t>
      </w:r>
      <w:r w:rsidRPr="007F0913">
        <w:rPr>
          <w:rFonts w:ascii="Arial" w:hAnsi="Arial" w:cs="Arial"/>
        </w:rPr>
        <w:t>Multiple answers could be given to this question</w:t>
      </w:r>
      <w:r>
        <w:t>)</w:t>
      </w:r>
    </w:p>
    <w:tbl>
      <w:tblPr>
        <w:tblW w:w="9209" w:type="dxa"/>
        <w:tblLook w:val="04A0" w:firstRow="1" w:lastRow="0" w:firstColumn="1" w:lastColumn="0" w:noHBand="0" w:noVBand="1"/>
      </w:tblPr>
      <w:tblGrid>
        <w:gridCol w:w="710"/>
        <w:gridCol w:w="1420"/>
        <w:gridCol w:w="3654"/>
        <w:gridCol w:w="1177"/>
        <w:gridCol w:w="1357"/>
        <w:gridCol w:w="891"/>
      </w:tblGrid>
      <w:tr w:rsidR="001B5C8F" w:rsidRPr="00277919" w14:paraId="7FF8B285" w14:textId="77777777" w:rsidTr="00D939CF">
        <w:trPr>
          <w:trHeight w:val="267"/>
        </w:trPr>
        <w:tc>
          <w:tcPr>
            <w:tcW w:w="5784" w:type="dxa"/>
            <w:gridSpan w:val="3"/>
            <w:tcBorders>
              <w:top w:val="single" w:sz="4" w:space="0" w:color="A6A6A6"/>
              <w:left w:val="single" w:sz="4" w:space="0" w:color="A6A6A6"/>
              <w:bottom w:val="single" w:sz="4" w:space="0" w:color="A6A6A6"/>
              <w:right w:val="nil"/>
            </w:tcBorders>
            <w:shd w:val="clear" w:color="000000" w:fill="8497B0"/>
            <w:noWrap/>
            <w:vAlign w:val="center"/>
            <w:hideMark/>
          </w:tcPr>
          <w:p w14:paraId="05A25F13" w14:textId="77777777" w:rsidR="001B5C8F" w:rsidRPr="00277919" w:rsidRDefault="001B5C8F" w:rsidP="00DC54F7">
            <w:pPr>
              <w:spacing w:after="0" w:line="240" w:lineRule="auto"/>
              <w:jc w:val="both"/>
              <w:rPr>
                <w:rFonts w:ascii="Arial" w:eastAsia="Times New Roman" w:hAnsi="Arial" w:cs="Arial"/>
                <w:b/>
                <w:bCs/>
                <w:color w:val="FFFFFF"/>
                <w:sz w:val="21"/>
                <w:szCs w:val="21"/>
                <w:lang w:eastAsia="en-GB"/>
              </w:rPr>
            </w:pPr>
            <w:r w:rsidRPr="00277919">
              <w:rPr>
                <w:rFonts w:ascii="Arial" w:eastAsia="Times New Roman" w:hAnsi="Arial" w:cs="Arial"/>
                <w:b/>
                <w:bCs/>
                <w:color w:val="FFFFFF"/>
                <w:sz w:val="21"/>
                <w:szCs w:val="21"/>
                <w:lang w:eastAsia="en-GB"/>
              </w:rPr>
              <w:t> </w:t>
            </w:r>
          </w:p>
        </w:tc>
        <w:tc>
          <w:tcPr>
            <w:tcW w:w="1177" w:type="dxa"/>
            <w:tcBorders>
              <w:top w:val="single" w:sz="4" w:space="0" w:color="A6A6A6"/>
              <w:left w:val="nil"/>
              <w:bottom w:val="single" w:sz="4" w:space="0" w:color="A6A6A6"/>
              <w:right w:val="nil"/>
            </w:tcBorders>
            <w:shd w:val="clear" w:color="000000" w:fill="8497B0"/>
            <w:noWrap/>
            <w:vAlign w:val="center"/>
            <w:hideMark/>
          </w:tcPr>
          <w:p w14:paraId="41261AB1" w14:textId="77777777" w:rsidR="001B5C8F" w:rsidRPr="00277919" w:rsidRDefault="001B5C8F" w:rsidP="00DC54F7">
            <w:pPr>
              <w:spacing w:after="0" w:line="240" w:lineRule="auto"/>
              <w:jc w:val="both"/>
              <w:rPr>
                <w:rFonts w:ascii="Arial" w:eastAsia="Times New Roman" w:hAnsi="Arial" w:cs="Arial"/>
                <w:b/>
                <w:bCs/>
                <w:color w:val="FFFFFF"/>
                <w:sz w:val="21"/>
                <w:szCs w:val="21"/>
                <w:lang w:eastAsia="en-GB"/>
              </w:rPr>
            </w:pPr>
            <w:r w:rsidRPr="00277919">
              <w:rPr>
                <w:rFonts w:ascii="Arial" w:eastAsia="Times New Roman" w:hAnsi="Arial" w:cs="Arial"/>
                <w:b/>
                <w:bCs/>
                <w:color w:val="FFFFFF"/>
                <w:sz w:val="21"/>
                <w:szCs w:val="21"/>
                <w:lang w:eastAsia="en-GB"/>
              </w:rPr>
              <w:t> </w:t>
            </w:r>
          </w:p>
        </w:tc>
        <w:tc>
          <w:tcPr>
            <w:tcW w:w="2248" w:type="dxa"/>
            <w:gridSpan w:val="2"/>
            <w:tcBorders>
              <w:top w:val="single" w:sz="4" w:space="0" w:color="A6A6A6"/>
              <w:left w:val="nil"/>
              <w:bottom w:val="single" w:sz="4" w:space="0" w:color="A6A6A6"/>
              <w:right w:val="single" w:sz="4" w:space="0" w:color="A6A6A6"/>
            </w:tcBorders>
            <w:shd w:val="clear" w:color="000000" w:fill="8497B0"/>
            <w:noWrap/>
            <w:vAlign w:val="center"/>
            <w:hideMark/>
          </w:tcPr>
          <w:p w14:paraId="6DDADA61" w14:textId="77777777" w:rsidR="001B5C8F" w:rsidRPr="00277919" w:rsidRDefault="001B5C8F" w:rsidP="00DC54F7">
            <w:pPr>
              <w:spacing w:after="0" w:line="240" w:lineRule="auto"/>
              <w:jc w:val="both"/>
              <w:rPr>
                <w:rFonts w:ascii="Arial" w:eastAsia="Times New Roman" w:hAnsi="Arial" w:cs="Arial"/>
                <w:b/>
                <w:bCs/>
                <w:color w:val="FFFFFF"/>
                <w:sz w:val="21"/>
                <w:szCs w:val="21"/>
                <w:lang w:eastAsia="en-GB"/>
              </w:rPr>
            </w:pPr>
            <w:r w:rsidRPr="00277919">
              <w:rPr>
                <w:rFonts w:ascii="Arial" w:eastAsia="Times New Roman" w:hAnsi="Arial" w:cs="Arial"/>
                <w:b/>
                <w:bCs/>
                <w:color w:val="FFFFFF"/>
                <w:sz w:val="21"/>
                <w:szCs w:val="21"/>
                <w:lang w:eastAsia="en-GB"/>
              </w:rPr>
              <w:t>Response</w:t>
            </w:r>
          </w:p>
        </w:tc>
      </w:tr>
      <w:tr w:rsidR="001B5C8F" w:rsidRPr="00277919" w14:paraId="774C2740" w14:textId="77777777" w:rsidTr="00D939CF">
        <w:trPr>
          <w:trHeight w:val="636"/>
        </w:trPr>
        <w:tc>
          <w:tcPr>
            <w:tcW w:w="5784"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02E59F1E" w14:textId="77777777" w:rsidR="001B5C8F" w:rsidRPr="00277919" w:rsidRDefault="001B5C8F" w:rsidP="00DC54F7">
            <w:pPr>
              <w:spacing w:after="0" w:line="240" w:lineRule="auto"/>
              <w:jc w:val="both"/>
              <w:rPr>
                <w:rFonts w:ascii="Arial" w:eastAsia="Times New Roman" w:hAnsi="Arial" w:cs="Arial"/>
                <w:b/>
                <w:bCs/>
                <w:color w:val="000000"/>
                <w:sz w:val="18"/>
                <w:szCs w:val="18"/>
                <w:lang w:eastAsia="en-GB"/>
              </w:rPr>
            </w:pPr>
            <w:r w:rsidRPr="00277919">
              <w:rPr>
                <w:rFonts w:ascii="Arial" w:eastAsia="Times New Roman" w:hAnsi="Arial" w:cs="Arial"/>
                <w:b/>
                <w:bCs/>
                <w:color w:val="000000"/>
                <w:sz w:val="18"/>
                <w:szCs w:val="18"/>
                <w:lang w:eastAsia="en-GB"/>
              </w:rPr>
              <w:t> </w:t>
            </w:r>
          </w:p>
        </w:tc>
        <w:tc>
          <w:tcPr>
            <w:tcW w:w="1177" w:type="dxa"/>
            <w:tcBorders>
              <w:top w:val="nil"/>
              <w:left w:val="nil"/>
              <w:bottom w:val="single" w:sz="4" w:space="0" w:color="A6A6A6"/>
              <w:right w:val="single" w:sz="4" w:space="0" w:color="A6A6A6"/>
            </w:tcBorders>
            <w:shd w:val="clear" w:color="000000" w:fill="F2F2F2"/>
            <w:vAlign w:val="center"/>
            <w:hideMark/>
          </w:tcPr>
          <w:p w14:paraId="3E15ECAF" w14:textId="77777777" w:rsidR="001B5C8F" w:rsidRPr="00277919" w:rsidRDefault="001B5C8F" w:rsidP="00DC54F7">
            <w:pPr>
              <w:spacing w:after="0" w:line="240" w:lineRule="auto"/>
              <w:jc w:val="both"/>
              <w:rPr>
                <w:rFonts w:ascii="Arial" w:eastAsia="Times New Roman" w:hAnsi="Arial" w:cs="Arial"/>
                <w:b/>
                <w:bCs/>
                <w:color w:val="000000"/>
                <w:sz w:val="18"/>
                <w:szCs w:val="18"/>
                <w:lang w:eastAsia="en-GB"/>
              </w:rPr>
            </w:pPr>
            <w:r w:rsidRPr="00277919">
              <w:rPr>
                <w:rFonts w:ascii="Arial" w:eastAsia="Times New Roman" w:hAnsi="Arial" w:cs="Arial"/>
                <w:b/>
                <w:bCs/>
                <w:color w:val="000000"/>
                <w:sz w:val="18"/>
                <w:szCs w:val="18"/>
                <w:lang w:eastAsia="en-GB"/>
              </w:rPr>
              <w:t>Percent Responses</w:t>
            </w:r>
          </w:p>
        </w:tc>
        <w:tc>
          <w:tcPr>
            <w:tcW w:w="1357" w:type="dxa"/>
            <w:tcBorders>
              <w:top w:val="nil"/>
              <w:left w:val="nil"/>
              <w:bottom w:val="single" w:sz="4" w:space="0" w:color="A6A6A6"/>
              <w:right w:val="single" w:sz="4" w:space="0" w:color="A6A6A6"/>
            </w:tcBorders>
            <w:shd w:val="clear" w:color="000000" w:fill="F2F2F2"/>
            <w:vAlign w:val="center"/>
            <w:hideMark/>
          </w:tcPr>
          <w:p w14:paraId="6A25C48C" w14:textId="77777777" w:rsidR="001B5C8F" w:rsidRPr="00277919" w:rsidRDefault="001B5C8F" w:rsidP="00DC54F7">
            <w:pPr>
              <w:spacing w:after="0" w:line="240" w:lineRule="auto"/>
              <w:jc w:val="both"/>
              <w:rPr>
                <w:rFonts w:ascii="Arial" w:eastAsia="Times New Roman" w:hAnsi="Arial" w:cs="Arial"/>
                <w:b/>
                <w:bCs/>
                <w:color w:val="000000"/>
                <w:sz w:val="18"/>
                <w:szCs w:val="18"/>
                <w:lang w:eastAsia="en-GB"/>
              </w:rPr>
            </w:pPr>
            <w:r w:rsidRPr="00277919">
              <w:rPr>
                <w:rFonts w:ascii="Arial" w:eastAsia="Times New Roman" w:hAnsi="Arial" w:cs="Arial"/>
                <w:b/>
                <w:bCs/>
                <w:color w:val="000000"/>
                <w:sz w:val="18"/>
                <w:szCs w:val="18"/>
                <w:lang w:eastAsia="en-GB"/>
              </w:rPr>
              <w:t>Percent Respondents</w:t>
            </w:r>
          </w:p>
        </w:tc>
        <w:tc>
          <w:tcPr>
            <w:tcW w:w="891" w:type="dxa"/>
            <w:tcBorders>
              <w:top w:val="nil"/>
              <w:left w:val="nil"/>
              <w:bottom w:val="single" w:sz="4" w:space="0" w:color="A6A6A6"/>
              <w:right w:val="single" w:sz="4" w:space="0" w:color="A6A6A6"/>
            </w:tcBorders>
            <w:shd w:val="clear" w:color="000000" w:fill="F2F2F2"/>
            <w:noWrap/>
            <w:vAlign w:val="center"/>
            <w:hideMark/>
          </w:tcPr>
          <w:p w14:paraId="45F230EF" w14:textId="77777777" w:rsidR="001B5C8F" w:rsidRPr="00277919" w:rsidRDefault="001B5C8F" w:rsidP="00DC54F7">
            <w:pPr>
              <w:spacing w:after="0" w:line="240" w:lineRule="auto"/>
              <w:jc w:val="both"/>
              <w:rPr>
                <w:rFonts w:ascii="Arial" w:eastAsia="Times New Roman" w:hAnsi="Arial" w:cs="Arial"/>
                <w:b/>
                <w:bCs/>
                <w:color w:val="000000"/>
                <w:sz w:val="18"/>
                <w:szCs w:val="18"/>
                <w:lang w:eastAsia="en-GB"/>
              </w:rPr>
            </w:pPr>
            <w:r w:rsidRPr="00277919">
              <w:rPr>
                <w:rFonts w:ascii="Arial" w:eastAsia="Times New Roman" w:hAnsi="Arial" w:cs="Arial"/>
                <w:b/>
                <w:bCs/>
                <w:color w:val="000000"/>
                <w:sz w:val="18"/>
                <w:szCs w:val="18"/>
                <w:lang w:eastAsia="en-GB"/>
              </w:rPr>
              <w:t>Total</w:t>
            </w:r>
          </w:p>
        </w:tc>
      </w:tr>
      <w:tr w:rsidR="001B5C8F" w:rsidRPr="00277919" w14:paraId="4D1D8B89" w14:textId="77777777" w:rsidTr="00D939CF">
        <w:trPr>
          <w:trHeight w:val="267"/>
        </w:trPr>
        <w:tc>
          <w:tcPr>
            <w:tcW w:w="710" w:type="dxa"/>
            <w:tcBorders>
              <w:top w:val="nil"/>
              <w:left w:val="single" w:sz="4" w:space="0" w:color="A6A6A6"/>
              <w:bottom w:val="single" w:sz="4" w:space="0" w:color="A6A6A6"/>
              <w:right w:val="single" w:sz="4" w:space="0" w:color="A6A6A6"/>
            </w:tcBorders>
            <w:shd w:val="clear" w:color="000000" w:fill="F2F2F2"/>
            <w:vAlign w:val="center"/>
            <w:hideMark/>
          </w:tcPr>
          <w:p w14:paraId="3F8AA7B4"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1</w:t>
            </w:r>
          </w:p>
        </w:tc>
        <w:tc>
          <w:tcPr>
            <w:tcW w:w="5074" w:type="dxa"/>
            <w:gridSpan w:val="2"/>
            <w:tcBorders>
              <w:top w:val="single" w:sz="4" w:space="0" w:color="A6A6A6"/>
              <w:left w:val="nil"/>
              <w:bottom w:val="single" w:sz="4" w:space="0" w:color="A6A6A6"/>
              <w:right w:val="single" w:sz="4" w:space="0" w:color="A6A6A6"/>
            </w:tcBorders>
            <w:shd w:val="clear" w:color="auto" w:fill="auto"/>
            <w:vAlign w:val="center"/>
            <w:hideMark/>
          </w:tcPr>
          <w:p w14:paraId="45507C22"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It is not easy to park at the pharmacy</w:t>
            </w:r>
          </w:p>
        </w:tc>
        <w:tc>
          <w:tcPr>
            <w:tcW w:w="1177" w:type="dxa"/>
            <w:tcBorders>
              <w:top w:val="nil"/>
              <w:left w:val="nil"/>
              <w:bottom w:val="single" w:sz="4" w:space="0" w:color="A6A6A6"/>
              <w:right w:val="single" w:sz="4" w:space="0" w:color="A6A6A6"/>
            </w:tcBorders>
            <w:shd w:val="clear" w:color="000000" w:fill="F2F2F2"/>
            <w:noWrap/>
            <w:vAlign w:val="bottom"/>
            <w:hideMark/>
          </w:tcPr>
          <w:p w14:paraId="3BB6F2BA"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17.68%</w:t>
            </w:r>
          </w:p>
        </w:tc>
        <w:tc>
          <w:tcPr>
            <w:tcW w:w="1357" w:type="dxa"/>
            <w:tcBorders>
              <w:top w:val="nil"/>
              <w:left w:val="nil"/>
              <w:bottom w:val="single" w:sz="4" w:space="0" w:color="A6A6A6"/>
              <w:right w:val="single" w:sz="4" w:space="0" w:color="A6A6A6"/>
            </w:tcBorders>
            <w:shd w:val="clear" w:color="000000" w:fill="F2F2F2"/>
            <w:noWrap/>
            <w:vAlign w:val="bottom"/>
            <w:hideMark/>
          </w:tcPr>
          <w:p w14:paraId="748AA342"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32.22%</w:t>
            </w:r>
          </w:p>
        </w:tc>
        <w:tc>
          <w:tcPr>
            <w:tcW w:w="891" w:type="dxa"/>
            <w:tcBorders>
              <w:top w:val="nil"/>
              <w:left w:val="nil"/>
              <w:bottom w:val="single" w:sz="4" w:space="0" w:color="A6A6A6"/>
              <w:right w:val="single" w:sz="4" w:space="0" w:color="A6A6A6"/>
            </w:tcBorders>
            <w:shd w:val="clear" w:color="000000" w:fill="F2F2F2"/>
            <w:noWrap/>
            <w:vAlign w:val="bottom"/>
            <w:hideMark/>
          </w:tcPr>
          <w:p w14:paraId="05A60514"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29</w:t>
            </w:r>
          </w:p>
        </w:tc>
      </w:tr>
      <w:tr w:rsidR="001B5C8F" w:rsidRPr="00277919" w14:paraId="5F3F0906" w14:textId="77777777" w:rsidTr="00D939CF">
        <w:trPr>
          <w:trHeight w:val="267"/>
        </w:trPr>
        <w:tc>
          <w:tcPr>
            <w:tcW w:w="710" w:type="dxa"/>
            <w:tcBorders>
              <w:top w:val="nil"/>
              <w:left w:val="single" w:sz="4" w:space="0" w:color="A6A6A6"/>
              <w:bottom w:val="single" w:sz="4" w:space="0" w:color="A6A6A6"/>
              <w:right w:val="single" w:sz="4" w:space="0" w:color="A6A6A6"/>
            </w:tcBorders>
            <w:shd w:val="clear" w:color="000000" w:fill="F2F2F2"/>
            <w:vAlign w:val="center"/>
            <w:hideMark/>
          </w:tcPr>
          <w:p w14:paraId="017ED440"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2</w:t>
            </w:r>
          </w:p>
        </w:tc>
        <w:tc>
          <w:tcPr>
            <w:tcW w:w="5074" w:type="dxa"/>
            <w:gridSpan w:val="2"/>
            <w:tcBorders>
              <w:top w:val="single" w:sz="4" w:space="0" w:color="A6A6A6"/>
              <w:left w:val="nil"/>
              <w:bottom w:val="single" w:sz="4" w:space="0" w:color="A6A6A6"/>
              <w:right w:val="single" w:sz="4" w:space="0" w:color="A6A6A6"/>
            </w:tcBorders>
            <w:shd w:val="clear" w:color="auto" w:fill="auto"/>
            <w:vAlign w:val="center"/>
            <w:hideMark/>
          </w:tcPr>
          <w:p w14:paraId="79A147AE"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I have had a bad experience in the past</w:t>
            </w:r>
          </w:p>
        </w:tc>
        <w:tc>
          <w:tcPr>
            <w:tcW w:w="1177" w:type="dxa"/>
            <w:tcBorders>
              <w:top w:val="nil"/>
              <w:left w:val="nil"/>
              <w:bottom w:val="single" w:sz="4" w:space="0" w:color="A6A6A6"/>
              <w:right w:val="single" w:sz="4" w:space="0" w:color="A6A6A6"/>
            </w:tcBorders>
            <w:shd w:val="clear" w:color="000000" w:fill="F2F2F2"/>
            <w:noWrap/>
            <w:vAlign w:val="bottom"/>
            <w:hideMark/>
          </w:tcPr>
          <w:p w14:paraId="3B47D367"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12.80%</w:t>
            </w:r>
          </w:p>
        </w:tc>
        <w:tc>
          <w:tcPr>
            <w:tcW w:w="1357" w:type="dxa"/>
            <w:tcBorders>
              <w:top w:val="nil"/>
              <w:left w:val="nil"/>
              <w:bottom w:val="single" w:sz="4" w:space="0" w:color="A6A6A6"/>
              <w:right w:val="single" w:sz="4" w:space="0" w:color="A6A6A6"/>
            </w:tcBorders>
            <w:shd w:val="clear" w:color="000000" w:fill="F2F2F2"/>
            <w:noWrap/>
            <w:vAlign w:val="bottom"/>
            <w:hideMark/>
          </w:tcPr>
          <w:p w14:paraId="4D85D8BB"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23.33%</w:t>
            </w:r>
          </w:p>
        </w:tc>
        <w:tc>
          <w:tcPr>
            <w:tcW w:w="891" w:type="dxa"/>
            <w:tcBorders>
              <w:top w:val="nil"/>
              <w:left w:val="nil"/>
              <w:bottom w:val="single" w:sz="4" w:space="0" w:color="A6A6A6"/>
              <w:right w:val="single" w:sz="4" w:space="0" w:color="A6A6A6"/>
            </w:tcBorders>
            <w:shd w:val="clear" w:color="000000" w:fill="F2F2F2"/>
            <w:noWrap/>
            <w:vAlign w:val="bottom"/>
            <w:hideMark/>
          </w:tcPr>
          <w:p w14:paraId="22D84E42"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21</w:t>
            </w:r>
          </w:p>
        </w:tc>
      </w:tr>
      <w:tr w:rsidR="001B5C8F" w:rsidRPr="00277919" w14:paraId="54FEB16A" w14:textId="77777777" w:rsidTr="00D939CF">
        <w:trPr>
          <w:trHeight w:val="267"/>
        </w:trPr>
        <w:tc>
          <w:tcPr>
            <w:tcW w:w="710" w:type="dxa"/>
            <w:tcBorders>
              <w:top w:val="nil"/>
              <w:left w:val="single" w:sz="4" w:space="0" w:color="A6A6A6"/>
              <w:bottom w:val="single" w:sz="4" w:space="0" w:color="A6A6A6"/>
              <w:right w:val="single" w:sz="4" w:space="0" w:color="A6A6A6"/>
            </w:tcBorders>
            <w:shd w:val="clear" w:color="000000" w:fill="F2F2F2"/>
            <w:vAlign w:val="center"/>
            <w:hideMark/>
          </w:tcPr>
          <w:p w14:paraId="104A1D39"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3</w:t>
            </w:r>
          </w:p>
        </w:tc>
        <w:tc>
          <w:tcPr>
            <w:tcW w:w="5074" w:type="dxa"/>
            <w:gridSpan w:val="2"/>
            <w:tcBorders>
              <w:top w:val="single" w:sz="4" w:space="0" w:color="A6A6A6"/>
              <w:left w:val="nil"/>
              <w:bottom w:val="single" w:sz="4" w:space="0" w:color="A6A6A6"/>
              <w:right w:val="single" w:sz="4" w:space="0" w:color="A6A6A6"/>
            </w:tcBorders>
            <w:shd w:val="clear" w:color="auto" w:fill="auto"/>
            <w:vAlign w:val="center"/>
            <w:hideMark/>
          </w:tcPr>
          <w:p w14:paraId="064FD8B8"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The service is too slow</w:t>
            </w:r>
          </w:p>
        </w:tc>
        <w:tc>
          <w:tcPr>
            <w:tcW w:w="1177" w:type="dxa"/>
            <w:tcBorders>
              <w:top w:val="nil"/>
              <w:left w:val="nil"/>
              <w:bottom w:val="single" w:sz="4" w:space="0" w:color="A6A6A6"/>
              <w:right w:val="single" w:sz="4" w:space="0" w:color="A6A6A6"/>
            </w:tcBorders>
            <w:shd w:val="clear" w:color="000000" w:fill="F2F2F2"/>
            <w:noWrap/>
            <w:vAlign w:val="bottom"/>
            <w:hideMark/>
          </w:tcPr>
          <w:p w14:paraId="4039C97C"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13.41%</w:t>
            </w:r>
          </w:p>
        </w:tc>
        <w:tc>
          <w:tcPr>
            <w:tcW w:w="1357" w:type="dxa"/>
            <w:tcBorders>
              <w:top w:val="nil"/>
              <w:left w:val="nil"/>
              <w:bottom w:val="single" w:sz="4" w:space="0" w:color="A6A6A6"/>
              <w:right w:val="single" w:sz="4" w:space="0" w:color="A6A6A6"/>
            </w:tcBorders>
            <w:shd w:val="clear" w:color="000000" w:fill="F2F2F2"/>
            <w:noWrap/>
            <w:vAlign w:val="bottom"/>
            <w:hideMark/>
          </w:tcPr>
          <w:p w14:paraId="03F36E32"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24.44%</w:t>
            </w:r>
          </w:p>
        </w:tc>
        <w:tc>
          <w:tcPr>
            <w:tcW w:w="891" w:type="dxa"/>
            <w:tcBorders>
              <w:top w:val="nil"/>
              <w:left w:val="nil"/>
              <w:bottom w:val="single" w:sz="4" w:space="0" w:color="A6A6A6"/>
              <w:right w:val="single" w:sz="4" w:space="0" w:color="A6A6A6"/>
            </w:tcBorders>
            <w:shd w:val="clear" w:color="000000" w:fill="F2F2F2"/>
            <w:noWrap/>
            <w:vAlign w:val="bottom"/>
            <w:hideMark/>
          </w:tcPr>
          <w:p w14:paraId="2CD726F8"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22</w:t>
            </w:r>
          </w:p>
        </w:tc>
      </w:tr>
      <w:tr w:rsidR="001B5C8F" w:rsidRPr="00277919" w14:paraId="5F44F58D" w14:textId="77777777" w:rsidTr="00D939CF">
        <w:trPr>
          <w:trHeight w:val="267"/>
        </w:trPr>
        <w:tc>
          <w:tcPr>
            <w:tcW w:w="710" w:type="dxa"/>
            <w:tcBorders>
              <w:top w:val="nil"/>
              <w:left w:val="single" w:sz="4" w:space="0" w:color="A6A6A6"/>
              <w:bottom w:val="single" w:sz="4" w:space="0" w:color="A6A6A6"/>
              <w:right w:val="single" w:sz="4" w:space="0" w:color="A6A6A6"/>
            </w:tcBorders>
            <w:shd w:val="clear" w:color="000000" w:fill="F2F2F2"/>
            <w:vAlign w:val="center"/>
            <w:hideMark/>
          </w:tcPr>
          <w:p w14:paraId="49E907A0"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4</w:t>
            </w:r>
          </w:p>
        </w:tc>
        <w:tc>
          <w:tcPr>
            <w:tcW w:w="5074" w:type="dxa"/>
            <w:gridSpan w:val="2"/>
            <w:tcBorders>
              <w:top w:val="single" w:sz="4" w:space="0" w:color="A6A6A6"/>
              <w:left w:val="nil"/>
              <w:bottom w:val="single" w:sz="4" w:space="0" w:color="A6A6A6"/>
              <w:right w:val="single" w:sz="4" w:space="0" w:color="A6A6A6"/>
            </w:tcBorders>
            <w:shd w:val="clear" w:color="auto" w:fill="auto"/>
            <w:vAlign w:val="center"/>
            <w:hideMark/>
          </w:tcPr>
          <w:p w14:paraId="0BD64FFB"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The staff are always changing</w:t>
            </w:r>
          </w:p>
        </w:tc>
        <w:tc>
          <w:tcPr>
            <w:tcW w:w="1177" w:type="dxa"/>
            <w:tcBorders>
              <w:top w:val="nil"/>
              <w:left w:val="nil"/>
              <w:bottom w:val="single" w:sz="4" w:space="0" w:color="A6A6A6"/>
              <w:right w:val="single" w:sz="4" w:space="0" w:color="A6A6A6"/>
            </w:tcBorders>
            <w:shd w:val="clear" w:color="000000" w:fill="F2F2F2"/>
            <w:noWrap/>
            <w:vAlign w:val="bottom"/>
            <w:hideMark/>
          </w:tcPr>
          <w:p w14:paraId="37C71545"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4.88%</w:t>
            </w:r>
          </w:p>
        </w:tc>
        <w:tc>
          <w:tcPr>
            <w:tcW w:w="1357" w:type="dxa"/>
            <w:tcBorders>
              <w:top w:val="nil"/>
              <w:left w:val="nil"/>
              <w:bottom w:val="single" w:sz="4" w:space="0" w:color="A6A6A6"/>
              <w:right w:val="single" w:sz="4" w:space="0" w:color="A6A6A6"/>
            </w:tcBorders>
            <w:shd w:val="clear" w:color="000000" w:fill="F2F2F2"/>
            <w:noWrap/>
            <w:vAlign w:val="bottom"/>
            <w:hideMark/>
          </w:tcPr>
          <w:p w14:paraId="6B87BDAC"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8.89%</w:t>
            </w:r>
          </w:p>
        </w:tc>
        <w:tc>
          <w:tcPr>
            <w:tcW w:w="891" w:type="dxa"/>
            <w:tcBorders>
              <w:top w:val="nil"/>
              <w:left w:val="nil"/>
              <w:bottom w:val="single" w:sz="4" w:space="0" w:color="A6A6A6"/>
              <w:right w:val="single" w:sz="4" w:space="0" w:color="A6A6A6"/>
            </w:tcBorders>
            <w:shd w:val="clear" w:color="000000" w:fill="F2F2F2"/>
            <w:noWrap/>
            <w:vAlign w:val="bottom"/>
            <w:hideMark/>
          </w:tcPr>
          <w:p w14:paraId="518465DF"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8</w:t>
            </w:r>
          </w:p>
        </w:tc>
      </w:tr>
      <w:tr w:rsidR="001B5C8F" w:rsidRPr="00277919" w14:paraId="0DFDF26B" w14:textId="77777777" w:rsidTr="00D939CF">
        <w:trPr>
          <w:trHeight w:val="267"/>
        </w:trPr>
        <w:tc>
          <w:tcPr>
            <w:tcW w:w="710" w:type="dxa"/>
            <w:tcBorders>
              <w:top w:val="nil"/>
              <w:left w:val="single" w:sz="4" w:space="0" w:color="A6A6A6"/>
              <w:bottom w:val="single" w:sz="4" w:space="0" w:color="A6A6A6"/>
              <w:right w:val="single" w:sz="4" w:space="0" w:color="A6A6A6"/>
            </w:tcBorders>
            <w:shd w:val="clear" w:color="000000" w:fill="F2F2F2"/>
            <w:vAlign w:val="center"/>
            <w:hideMark/>
          </w:tcPr>
          <w:p w14:paraId="738CFE62"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5</w:t>
            </w:r>
          </w:p>
        </w:tc>
        <w:tc>
          <w:tcPr>
            <w:tcW w:w="5074" w:type="dxa"/>
            <w:gridSpan w:val="2"/>
            <w:tcBorders>
              <w:top w:val="single" w:sz="4" w:space="0" w:color="A6A6A6"/>
              <w:left w:val="nil"/>
              <w:bottom w:val="single" w:sz="4" w:space="0" w:color="A6A6A6"/>
              <w:right w:val="single" w:sz="4" w:space="0" w:color="A6A6A6"/>
            </w:tcBorders>
            <w:shd w:val="clear" w:color="auto" w:fill="auto"/>
            <w:vAlign w:val="center"/>
            <w:hideMark/>
          </w:tcPr>
          <w:p w14:paraId="0307DF7B"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The staff don’t know me</w:t>
            </w:r>
          </w:p>
        </w:tc>
        <w:tc>
          <w:tcPr>
            <w:tcW w:w="1177" w:type="dxa"/>
            <w:tcBorders>
              <w:top w:val="nil"/>
              <w:left w:val="nil"/>
              <w:bottom w:val="single" w:sz="4" w:space="0" w:color="A6A6A6"/>
              <w:right w:val="single" w:sz="4" w:space="0" w:color="A6A6A6"/>
            </w:tcBorders>
            <w:shd w:val="clear" w:color="000000" w:fill="F2F2F2"/>
            <w:noWrap/>
            <w:vAlign w:val="bottom"/>
            <w:hideMark/>
          </w:tcPr>
          <w:p w14:paraId="6015181F"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8.54%</w:t>
            </w:r>
          </w:p>
        </w:tc>
        <w:tc>
          <w:tcPr>
            <w:tcW w:w="1357" w:type="dxa"/>
            <w:tcBorders>
              <w:top w:val="nil"/>
              <w:left w:val="nil"/>
              <w:bottom w:val="single" w:sz="4" w:space="0" w:color="A6A6A6"/>
              <w:right w:val="single" w:sz="4" w:space="0" w:color="A6A6A6"/>
            </w:tcBorders>
            <w:shd w:val="clear" w:color="000000" w:fill="F2F2F2"/>
            <w:noWrap/>
            <w:vAlign w:val="bottom"/>
            <w:hideMark/>
          </w:tcPr>
          <w:p w14:paraId="244B3E13"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15.56%</w:t>
            </w:r>
          </w:p>
        </w:tc>
        <w:tc>
          <w:tcPr>
            <w:tcW w:w="891" w:type="dxa"/>
            <w:tcBorders>
              <w:top w:val="nil"/>
              <w:left w:val="nil"/>
              <w:bottom w:val="single" w:sz="4" w:space="0" w:color="A6A6A6"/>
              <w:right w:val="single" w:sz="4" w:space="0" w:color="A6A6A6"/>
            </w:tcBorders>
            <w:shd w:val="clear" w:color="000000" w:fill="F2F2F2"/>
            <w:noWrap/>
            <w:vAlign w:val="bottom"/>
            <w:hideMark/>
          </w:tcPr>
          <w:p w14:paraId="75991D17"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14</w:t>
            </w:r>
          </w:p>
        </w:tc>
      </w:tr>
      <w:tr w:rsidR="001B5C8F" w:rsidRPr="00277919" w14:paraId="2BD83904" w14:textId="77777777" w:rsidTr="00D939CF">
        <w:trPr>
          <w:trHeight w:val="267"/>
        </w:trPr>
        <w:tc>
          <w:tcPr>
            <w:tcW w:w="710" w:type="dxa"/>
            <w:tcBorders>
              <w:top w:val="nil"/>
              <w:left w:val="single" w:sz="4" w:space="0" w:color="A6A6A6"/>
              <w:bottom w:val="single" w:sz="4" w:space="0" w:color="A6A6A6"/>
              <w:right w:val="single" w:sz="4" w:space="0" w:color="A6A6A6"/>
            </w:tcBorders>
            <w:shd w:val="clear" w:color="000000" w:fill="F2F2F2"/>
            <w:vAlign w:val="center"/>
            <w:hideMark/>
          </w:tcPr>
          <w:p w14:paraId="6249BE79"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6</w:t>
            </w:r>
          </w:p>
        </w:tc>
        <w:tc>
          <w:tcPr>
            <w:tcW w:w="5074" w:type="dxa"/>
            <w:gridSpan w:val="2"/>
            <w:tcBorders>
              <w:top w:val="single" w:sz="4" w:space="0" w:color="A6A6A6"/>
              <w:left w:val="nil"/>
              <w:bottom w:val="single" w:sz="4" w:space="0" w:color="A6A6A6"/>
              <w:right w:val="single" w:sz="4" w:space="0" w:color="A6A6A6"/>
            </w:tcBorders>
            <w:shd w:val="clear" w:color="auto" w:fill="auto"/>
            <w:vAlign w:val="center"/>
            <w:hideMark/>
          </w:tcPr>
          <w:p w14:paraId="421D0C5C"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I know the staff and would prefer them not to know what medicines I am taking</w:t>
            </w:r>
          </w:p>
        </w:tc>
        <w:tc>
          <w:tcPr>
            <w:tcW w:w="1177" w:type="dxa"/>
            <w:tcBorders>
              <w:top w:val="nil"/>
              <w:left w:val="nil"/>
              <w:bottom w:val="single" w:sz="4" w:space="0" w:color="A6A6A6"/>
              <w:right w:val="single" w:sz="4" w:space="0" w:color="A6A6A6"/>
            </w:tcBorders>
            <w:shd w:val="clear" w:color="000000" w:fill="F2F2F2"/>
            <w:noWrap/>
            <w:vAlign w:val="bottom"/>
            <w:hideMark/>
          </w:tcPr>
          <w:p w14:paraId="6F700E8B"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1.83%</w:t>
            </w:r>
          </w:p>
        </w:tc>
        <w:tc>
          <w:tcPr>
            <w:tcW w:w="1357" w:type="dxa"/>
            <w:tcBorders>
              <w:top w:val="nil"/>
              <w:left w:val="nil"/>
              <w:bottom w:val="single" w:sz="4" w:space="0" w:color="A6A6A6"/>
              <w:right w:val="single" w:sz="4" w:space="0" w:color="A6A6A6"/>
            </w:tcBorders>
            <w:shd w:val="clear" w:color="000000" w:fill="F2F2F2"/>
            <w:noWrap/>
            <w:vAlign w:val="bottom"/>
            <w:hideMark/>
          </w:tcPr>
          <w:p w14:paraId="38EAE4A1"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3.33%</w:t>
            </w:r>
          </w:p>
        </w:tc>
        <w:tc>
          <w:tcPr>
            <w:tcW w:w="891" w:type="dxa"/>
            <w:tcBorders>
              <w:top w:val="nil"/>
              <w:left w:val="nil"/>
              <w:bottom w:val="single" w:sz="4" w:space="0" w:color="A6A6A6"/>
              <w:right w:val="single" w:sz="4" w:space="0" w:color="A6A6A6"/>
            </w:tcBorders>
            <w:shd w:val="clear" w:color="000000" w:fill="F2F2F2"/>
            <w:noWrap/>
            <w:vAlign w:val="bottom"/>
            <w:hideMark/>
          </w:tcPr>
          <w:p w14:paraId="2651D154"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3</w:t>
            </w:r>
          </w:p>
        </w:tc>
      </w:tr>
      <w:tr w:rsidR="001B5C8F" w:rsidRPr="00277919" w14:paraId="19378385" w14:textId="77777777" w:rsidTr="00D939CF">
        <w:trPr>
          <w:trHeight w:val="267"/>
        </w:trPr>
        <w:tc>
          <w:tcPr>
            <w:tcW w:w="710" w:type="dxa"/>
            <w:tcBorders>
              <w:top w:val="nil"/>
              <w:left w:val="single" w:sz="4" w:space="0" w:color="A6A6A6"/>
              <w:bottom w:val="single" w:sz="4" w:space="0" w:color="A6A6A6"/>
              <w:right w:val="single" w:sz="4" w:space="0" w:color="A6A6A6"/>
            </w:tcBorders>
            <w:shd w:val="clear" w:color="000000" w:fill="F2F2F2"/>
            <w:vAlign w:val="center"/>
            <w:hideMark/>
          </w:tcPr>
          <w:p w14:paraId="21101C75"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7</w:t>
            </w:r>
          </w:p>
        </w:tc>
        <w:tc>
          <w:tcPr>
            <w:tcW w:w="5074" w:type="dxa"/>
            <w:gridSpan w:val="2"/>
            <w:tcBorders>
              <w:top w:val="single" w:sz="4" w:space="0" w:color="A6A6A6"/>
              <w:left w:val="nil"/>
              <w:bottom w:val="single" w:sz="4" w:space="0" w:color="A6A6A6"/>
              <w:right w:val="single" w:sz="4" w:space="0" w:color="A6A6A6"/>
            </w:tcBorders>
            <w:shd w:val="clear" w:color="auto" w:fill="auto"/>
            <w:vAlign w:val="center"/>
            <w:hideMark/>
          </w:tcPr>
          <w:p w14:paraId="02206B5B"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They don’t have what I need in stock</w:t>
            </w:r>
          </w:p>
        </w:tc>
        <w:tc>
          <w:tcPr>
            <w:tcW w:w="1177" w:type="dxa"/>
            <w:tcBorders>
              <w:top w:val="nil"/>
              <w:left w:val="nil"/>
              <w:bottom w:val="single" w:sz="4" w:space="0" w:color="A6A6A6"/>
              <w:right w:val="single" w:sz="4" w:space="0" w:color="A6A6A6"/>
            </w:tcBorders>
            <w:shd w:val="clear" w:color="000000" w:fill="F2F2F2"/>
            <w:noWrap/>
            <w:vAlign w:val="bottom"/>
            <w:hideMark/>
          </w:tcPr>
          <w:p w14:paraId="30C33409"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7.93%</w:t>
            </w:r>
          </w:p>
        </w:tc>
        <w:tc>
          <w:tcPr>
            <w:tcW w:w="1357" w:type="dxa"/>
            <w:tcBorders>
              <w:top w:val="nil"/>
              <w:left w:val="nil"/>
              <w:bottom w:val="single" w:sz="4" w:space="0" w:color="A6A6A6"/>
              <w:right w:val="single" w:sz="4" w:space="0" w:color="A6A6A6"/>
            </w:tcBorders>
            <w:shd w:val="clear" w:color="000000" w:fill="F2F2F2"/>
            <w:noWrap/>
            <w:vAlign w:val="bottom"/>
            <w:hideMark/>
          </w:tcPr>
          <w:p w14:paraId="4BB01D08"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14.44%</w:t>
            </w:r>
          </w:p>
        </w:tc>
        <w:tc>
          <w:tcPr>
            <w:tcW w:w="891" w:type="dxa"/>
            <w:tcBorders>
              <w:top w:val="nil"/>
              <w:left w:val="nil"/>
              <w:bottom w:val="single" w:sz="4" w:space="0" w:color="A6A6A6"/>
              <w:right w:val="single" w:sz="4" w:space="0" w:color="A6A6A6"/>
            </w:tcBorders>
            <w:shd w:val="clear" w:color="000000" w:fill="F2F2F2"/>
            <w:noWrap/>
            <w:vAlign w:val="bottom"/>
            <w:hideMark/>
          </w:tcPr>
          <w:p w14:paraId="3E568BA1"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13</w:t>
            </w:r>
          </w:p>
        </w:tc>
      </w:tr>
      <w:tr w:rsidR="001B5C8F" w:rsidRPr="00277919" w14:paraId="4EED32E3" w14:textId="77777777" w:rsidTr="00D939CF">
        <w:trPr>
          <w:trHeight w:val="267"/>
        </w:trPr>
        <w:tc>
          <w:tcPr>
            <w:tcW w:w="710" w:type="dxa"/>
            <w:tcBorders>
              <w:top w:val="nil"/>
              <w:left w:val="single" w:sz="4" w:space="0" w:color="A6A6A6"/>
              <w:bottom w:val="single" w:sz="4" w:space="0" w:color="A6A6A6"/>
              <w:right w:val="single" w:sz="4" w:space="0" w:color="A6A6A6"/>
            </w:tcBorders>
            <w:shd w:val="clear" w:color="000000" w:fill="F2F2F2"/>
            <w:vAlign w:val="center"/>
            <w:hideMark/>
          </w:tcPr>
          <w:p w14:paraId="01BD4B9A"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8</w:t>
            </w:r>
          </w:p>
        </w:tc>
        <w:tc>
          <w:tcPr>
            <w:tcW w:w="5074" w:type="dxa"/>
            <w:gridSpan w:val="2"/>
            <w:tcBorders>
              <w:top w:val="single" w:sz="4" w:space="0" w:color="A6A6A6"/>
              <w:left w:val="nil"/>
              <w:bottom w:val="single" w:sz="4" w:space="0" w:color="A6A6A6"/>
              <w:right w:val="single" w:sz="4" w:space="0" w:color="A6A6A6"/>
            </w:tcBorders>
            <w:shd w:val="clear" w:color="auto" w:fill="auto"/>
            <w:vAlign w:val="center"/>
            <w:hideMark/>
          </w:tcPr>
          <w:p w14:paraId="560A14F5"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The pharmacy does not deliver medicines</w:t>
            </w:r>
          </w:p>
        </w:tc>
        <w:tc>
          <w:tcPr>
            <w:tcW w:w="1177" w:type="dxa"/>
            <w:tcBorders>
              <w:top w:val="nil"/>
              <w:left w:val="nil"/>
              <w:bottom w:val="single" w:sz="4" w:space="0" w:color="A6A6A6"/>
              <w:right w:val="single" w:sz="4" w:space="0" w:color="A6A6A6"/>
            </w:tcBorders>
            <w:shd w:val="clear" w:color="000000" w:fill="F2F2F2"/>
            <w:noWrap/>
            <w:vAlign w:val="bottom"/>
            <w:hideMark/>
          </w:tcPr>
          <w:p w14:paraId="5BD2D5D1"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1.83%</w:t>
            </w:r>
          </w:p>
        </w:tc>
        <w:tc>
          <w:tcPr>
            <w:tcW w:w="1357" w:type="dxa"/>
            <w:tcBorders>
              <w:top w:val="nil"/>
              <w:left w:val="nil"/>
              <w:bottom w:val="single" w:sz="4" w:space="0" w:color="A6A6A6"/>
              <w:right w:val="single" w:sz="4" w:space="0" w:color="A6A6A6"/>
            </w:tcBorders>
            <w:shd w:val="clear" w:color="000000" w:fill="F2F2F2"/>
            <w:noWrap/>
            <w:vAlign w:val="bottom"/>
            <w:hideMark/>
          </w:tcPr>
          <w:p w14:paraId="4261A976"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3.33%</w:t>
            </w:r>
          </w:p>
        </w:tc>
        <w:tc>
          <w:tcPr>
            <w:tcW w:w="891" w:type="dxa"/>
            <w:tcBorders>
              <w:top w:val="nil"/>
              <w:left w:val="nil"/>
              <w:bottom w:val="single" w:sz="4" w:space="0" w:color="A6A6A6"/>
              <w:right w:val="single" w:sz="4" w:space="0" w:color="A6A6A6"/>
            </w:tcBorders>
            <w:shd w:val="clear" w:color="000000" w:fill="F2F2F2"/>
            <w:noWrap/>
            <w:vAlign w:val="bottom"/>
            <w:hideMark/>
          </w:tcPr>
          <w:p w14:paraId="37AEFB58"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3</w:t>
            </w:r>
          </w:p>
        </w:tc>
      </w:tr>
      <w:tr w:rsidR="001B5C8F" w:rsidRPr="00277919" w14:paraId="21E218AA" w14:textId="77777777" w:rsidTr="00D939CF">
        <w:trPr>
          <w:trHeight w:val="267"/>
        </w:trPr>
        <w:tc>
          <w:tcPr>
            <w:tcW w:w="710" w:type="dxa"/>
            <w:tcBorders>
              <w:top w:val="nil"/>
              <w:left w:val="single" w:sz="4" w:space="0" w:color="A6A6A6"/>
              <w:bottom w:val="single" w:sz="4" w:space="0" w:color="A6A6A6"/>
              <w:right w:val="single" w:sz="4" w:space="0" w:color="A6A6A6"/>
            </w:tcBorders>
            <w:shd w:val="clear" w:color="000000" w:fill="F2F2F2"/>
            <w:vAlign w:val="center"/>
            <w:hideMark/>
          </w:tcPr>
          <w:p w14:paraId="7CC61916"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9</w:t>
            </w:r>
          </w:p>
        </w:tc>
        <w:tc>
          <w:tcPr>
            <w:tcW w:w="5074" w:type="dxa"/>
            <w:gridSpan w:val="2"/>
            <w:tcBorders>
              <w:top w:val="single" w:sz="4" w:space="0" w:color="A6A6A6"/>
              <w:left w:val="nil"/>
              <w:bottom w:val="single" w:sz="4" w:space="0" w:color="A6A6A6"/>
              <w:right w:val="single" w:sz="4" w:space="0" w:color="A6A6A6"/>
            </w:tcBorders>
            <w:shd w:val="clear" w:color="auto" w:fill="auto"/>
            <w:vAlign w:val="center"/>
            <w:hideMark/>
          </w:tcPr>
          <w:p w14:paraId="56BD4D0A"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There is not enough privacy</w:t>
            </w:r>
          </w:p>
        </w:tc>
        <w:tc>
          <w:tcPr>
            <w:tcW w:w="1177" w:type="dxa"/>
            <w:tcBorders>
              <w:top w:val="nil"/>
              <w:left w:val="nil"/>
              <w:bottom w:val="single" w:sz="4" w:space="0" w:color="A6A6A6"/>
              <w:right w:val="single" w:sz="4" w:space="0" w:color="A6A6A6"/>
            </w:tcBorders>
            <w:shd w:val="clear" w:color="000000" w:fill="F2F2F2"/>
            <w:noWrap/>
            <w:vAlign w:val="bottom"/>
            <w:hideMark/>
          </w:tcPr>
          <w:p w14:paraId="37414FC6"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4.88%</w:t>
            </w:r>
          </w:p>
        </w:tc>
        <w:tc>
          <w:tcPr>
            <w:tcW w:w="1357" w:type="dxa"/>
            <w:tcBorders>
              <w:top w:val="nil"/>
              <w:left w:val="nil"/>
              <w:bottom w:val="single" w:sz="4" w:space="0" w:color="A6A6A6"/>
              <w:right w:val="single" w:sz="4" w:space="0" w:color="A6A6A6"/>
            </w:tcBorders>
            <w:shd w:val="clear" w:color="000000" w:fill="F2F2F2"/>
            <w:noWrap/>
            <w:vAlign w:val="bottom"/>
            <w:hideMark/>
          </w:tcPr>
          <w:p w14:paraId="5F9E4248"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8.89%</w:t>
            </w:r>
          </w:p>
        </w:tc>
        <w:tc>
          <w:tcPr>
            <w:tcW w:w="891" w:type="dxa"/>
            <w:tcBorders>
              <w:top w:val="nil"/>
              <w:left w:val="nil"/>
              <w:bottom w:val="single" w:sz="4" w:space="0" w:color="A6A6A6"/>
              <w:right w:val="single" w:sz="4" w:space="0" w:color="A6A6A6"/>
            </w:tcBorders>
            <w:shd w:val="clear" w:color="000000" w:fill="F2F2F2"/>
            <w:noWrap/>
            <w:vAlign w:val="bottom"/>
            <w:hideMark/>
          </w:tcPr>
          <w:p w14:paraId="5561BED0"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8</w:t>
            </w:r>
          </w:p>
        </w:tc>
      </w:tr>
      <w:tr w:rsidR="001B5C8F" w:rsidRPr="00277919" w14:paraId="449E510C" w14:textId="77777777" w:rsidTr="00D939CF">
        <w:trPr>
          <w:trHeight w:val="267"/>
        </w:trPr>
        <w:tc>
          <w:tcPr>
            <w:tcW w:w="710" w:type="dxa"/>
            <w:tcBorders>
              <w:top w:val="nil"/>
              <w:left w:val="single" w:sz="4" w:space="0" w:color="A6A6A6"/>
              <w:bottom w:val="single" w:sz="4" w:space="0" w:color="A6A6A6"/>
              <w:right w:val="single" w:sz="4" w:space="0" w:color="A6A6A6"/>
            </w:tcBorders>
            <w:shd w:val="clear" w:color="000000" w:fill="F2F2F2"/>
            <w:vAlign w:val="center"/>
            <w:hideMark/>
          </w:tcPr>
          <w:p w14:paraId="79D90932"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10</w:t>
            </w:r>
          </w:p>
        </w:tc>
        <w:tc>
          <w:tcPr>
            <w:tcW w:w="5074" w:type="dxa"/>
            <w:gridSpan w:val="2"/>
            <w:tcBorders>
              <w:top w:val="single" w:sz="4" w:space="0" w:color="A6A6A6"/>
              <w:left w:val="nil"/>
              <w:bottom w:val="single" w:sz="4" w:space="0" w:color="A6A6A6"/>
              <w:right w:val="single" w:sz="4" w:space="0" w:color="A6A6A6"/>
            </w:tcBorders>
            <w:shd w:val="clear" w:color="auto" w:fill="auto"/>
            <w:vAlign w:val="center"/>
            <w:hideMark/>
          </w:tcPr>
          <w:p w14:paraId="1642C265"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It’s not open when I need it</w:t>
            </w:r>
          </w:p>
        </w:tc>
        <w:tc>
          <w:tcPr>
            <w:tcW w:w="1177" w:type="dxa"/>
            <w:tcBorders>
              <w:top w:val="nil"/>
              <w:left w:val="nil"/>
              <w:bottom w:val="single" w:sz="4" w:space="0" w:color="A6A6A6"/>
              <w:right w:val="single" w:sz="4" w:space="0" w:color="A6A6A6"/>
            </w:tcBorders>
            <w:shd w:val="clear" w:color="000000" w:fill="F2F2F2"/>
            <w:noWrap/>
            <w:vAlign w:val="bottom"/>
            <w:hideMark/>
          </w:tcPr>
          <w:p w14:paraId="1A2860A7"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8.54%</w:t>
            </w:r>
          </w:p>
        </w:tc>
        <w:tc>
          <w:tcPr>
            <w:tcW w:w="1357" w:type="dxa"/>
            <w:tcBorders>
              <w:top w:val="nil"/>
              <w:left w:val="nil"/>
              <w:bottom w:val="single" w:sz="4" w:space="0" w:color="A6A6A6"/>
              <w:right w:val="single" w:sz="4" w:space="0" w:color="A6A6A6"/>
            </w:tcBorders>
            <w:shd w:val="clear" w:color="000000" w:fill="F2F2F2"/>
            <w:noWrap/>
            <w:vAlign w:val="bottom"/>
            <w:hideMark/>
          </w:tcPr>
          <w:p w14:paraId="1A10B6D8"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15.56%</w:t>
            </w:r>
          </w:p>
        </w:tc>
        <w:tc>
          <w:tcPr>
            <w:tcW w:w="891" w:type="dxa"/>
            <w:tcBorders>
              <w:top w:val="nil"/>
              <w:left w:val="nil"/>
              <w:bottom w:val="single" w:sz="4" w:space="0" w:color="A6A6A6"/>
              <w:right w:val="single" w:sz="4" w:space="0" w:color="A6A6A6"/>
            </w:tcBorders>
            <w:shd w:val="clear" w:color="000000" w:fill="F2F2F2"/>
            <w:noWrap/>
            <w:vAlign w:val="bottom"/>
            <w:hideMark/>
          </w:tcPr>
          <w:p w14:paraId="0E433D96"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14</w:t>
            </w:r>
          </w:p>
        </w:tc>
      </w:tr>
      <w:tr w:rsidR="001B5C8F" w:rsidRPr="00277919" w14:paraId="5963BA43" w14:textId="77777777" w:rsidTr="00D939CF">
        <w:trPr>
          <w:trHeight w:val="267"/>
        </w:trPr>
        <w:tc>
          <w:tcPr>
            <w:tcW w:w="710" w:type="dxa"/>
            <w:tcBorders>
              <w:top w:val="nil"/>
              <w:left w:val="single" w:sz="4" w:space="0" w:color="A6A6A6"/>
              <w:bottom w:val="single" w:sz="4" w:space="0" w:color="A6A6A6"/>
              <w:right w:val="single" w:sz="4" w:space="0" w:color="A6A6A6"/>
            </w:tcBorders>
            <w:shd w:val="clear" w:color="000000" w:fill="F2F2F2"/>
            <w:vAlign w:val="center"/>
            <w:hideMark/>
          </w:tcPr>
          <w:p w14:paraId="089823FC"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11</w:t>
            </w:r>
          </w:p>
        </w:tc>
        <w:tc>
          <w:tcPr>
            <w:tcW w:w="5074" w:type="dxa"/>
            <w:gridSpan w:val="2"/>
            <w:tcBorders>
              <w:top w:val="single" w:sz="4" w:space="0" w:color="A6A6A6"/>
              <w:left w:val="nil"/>
              <w:bottom w:val="single" w:sz="4" w:space="0" w:color="A6A6A6"/>
              <w:right w:val="single" w:sz="4" w:space="0" w:color="A6A6A6"/>
            </w:tcBorders>
            <w:shd w:val="clear" w:color="auto" w:fill="auto"/>
            <w:vAlign w:val="center"/>
            <w:hideMark/>
          </w:tcPr>
          <w:p w14:paraId="4FA9403B"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It’s not wheelchair/baby buggy friendly</w:t>
            </w:r>
          </w:p>
        </w:tc>
        <w:tc>
          <w:tcPr>
            <w:tcW w:w="1177" w:type="dxa"/>
            <w:tcBorders>
              <w:top w:val="nil"/>
              <w:left w:val="nil"/>
              <w:bottom w:val="single" w:sz="4" w:space="0" w:color="A6A6A6"/>
              <w:right w:val="single" w:sz="4" w:space="0" w:color="A6A6A6"/>
            </w:tcBorders>
            <w:shd w:val="clear" w:color="000000" w:fill="F2F2F2"/>
            <w:noWrap/>
            <w:vAlign w:val="bottom"/>
            <w:hideMark/>
          </w:tcPr>
          <w:p w14:paraId="2B11EE6D"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0.00%</w:t>
            </w:r>
          </w:p>
        </w:tc>
        <w:tc>
          <w:tcPr>
            <w:tcW w:w="1357" w:type="dxa"/>
            <w:tcBorders>
              <w:top w:val="nil"/>
              <w:left w:val="nil"/>
              <w:bottom w:val="single" w:sz="4" w:space="0" w:color="A6A6A6"/>
              <w:right w:val="single" w:sz="4" w:space="0" w:color="A6A6A6"/>
            </w:tcBorders>
            <w:shd w:val="clear" w:color="000000" w:fill="F2F2F2"/>
            <w:noWrap/>
            <w:vAlign w:val="bottom"/>
            <w:hideMark/>
          </w:tcPr>
          <w:p w14:paraId="69F4A104"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0.00%</w:t>
            </w:r>
          </w:p>
        </w:tc>
        <w:tc>
          <w:tcPr>
            <w:tcW w:w="891" w:type="dxa"/>
            <w:tcBorders>
              <w:top w:val="nil"/>
              <w:left w:val="nil"/>
              <w:bottom w:val="single" w:sz="4" w:space="0" w:color="A6A6A6"/>
              <w:right w:val="single" w:sz="4" w:space="0" w:color="A6A6A6"/>
            </w:tcBorders>
            <w:shd w:val="clear" w:color="000000" w:fill="F2F2F2"/>
            <w:noWrap/>
            <w:vAlign w:val="bottom"/>
            <w:hideMark/>
          </w:tcPr>
          <w:p w14:paraId="68D1F2FD"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0</w:t>
            </w:r>
          </w:p>
        </w:tc>
      </w:tr>
      <w:tr w:rsidR="001B5C8F" w:rsidRPr="00277919" w14:paraId="614AC3AE" w14:textId="77777777" w:rsidTr="00D939CF">
        <w:trPr>
          <w:trHeight w:val="267"/>
        </w:trPr>
        <w:tc>
          <w:tcPr>
            <w:tcW w:w="710" w:type="dxa"/>
            <w:tcBorders>
              <w:top w:val="nil"/>
              <w:left w:val="single" w:sz="4" w:space="0" w:color="A6A6A6"/>
              <w:bottom w:val="single" w:sz="4" w:space="0" w:color="A6A6A6"/>
              <w:right w:val="single" w:sz="4" w:space="0" w:color="A6A6A6"/>
            </w:tcBorders>
            <w:shd w:val="clear" w:color="000000" w:fill="F2F2F2"/>
            <w:vAlign w:val="center"/>
            <w:hideMark/>
          </w:tcPr>
          <w:p w14:paraId="61ED7AD3"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12</w:t>
            </w:r>
          </w:p>
        </w:tc>
        <w:tc>
          <w:tcPr>
            <w:tcW w:w="5074" w:type="dxa"/>
            <w:gridSpan w:val="2"/>
            <w:tcBorders>
              <w:top w:val="single" w:sz="4" w:space="0" w:color="A6A6A6"/>
              <w:left w:val="nil"/>
              <w:bottom w:val="single" w:sz="4" w:space="0" w:color="A6A6A6"/>
              <w:right w:val="single" w:sz="4" w:space="0" w:color="A6A6A6"/>
            </w:tcBorders>
            <w:shd w:val="clear" w:color="auto" w:fill="auto"/>
            <w:vAlign w:val="center"/>
            <w:hideMark/>
          </w:tcPr>
          <w:p w14:paraId="6E8DCC5D"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 xml:space="preserve">Other </w:t>
            </w:r>
          </w:p>
        </w:tc>
        <w:tc>
          <w:tcPr>
            <w:tcW w:w="1177" w:type="dxa"/>
            <w:tcBorders>
              <w:top w:val="nil"/>
              <w:left w:val="nil"/>
              <w:bottom w:val="single" w:sz="4" w:space="0" w:color="A6A6A6"/>
              <w:right w:val="single" w:sz="4" w:space="0" w:color="A6A6A6"/>
            </w:tcBorders>
            <w:shd w:val="clear" w:color="000000" w:fill="F2F2F2"/>
            <w:noWrap/>
            <w:vAlign w:val="bottom"/>
            <w:hideMark/>
          </w:tcPr>
          <w:p w14:paraId="50E5F236"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17.68%</w:t>
            </w:r>
          </w:p>
        </w:tc>
        <w:tc>
          <w:tcPr>
            <w:tcW w:w="1357" w:type="dxa"/>
            <w:tcBorders>
              <w:top w:val="nil"/>
              <w:left w:val="nil"/>
              <w:bottom w:val="single" w:sz="4" w:space="0" w:color="A6A6A6"/>
              <w:right w:val="single" w:sz="4" w:space="0" w:color="A6A6A6"/>
            </w:tcBorders>
            <w:shd w:val="clear" w:color="000000" w:fill="F2F2F2"/>
            <w:noWrap/>
            <w:vAlign w:val="bottom"/>
            <w:hideMark/>
          </w:tcPr>
          <w:p w14:paraId="2089E726"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32.22%</w:t>
            </w:r>
          </w:p>
        </w:tc>
        <w:tc>
          <w:tcPr>
            <w:tcW w:w="891" w:type="dxa"/>
            <w:tcBorders>
              <w:top w:val="nil"/>
              <w:left w:val="nil"/>
              <w:bottom w:val="single" w:sz="4" w:space="0" w:color="A6A6A6"/>
              <w:right w:val="single" w:sz="4" w:space="0" w:color="A6A6A6"/>
            </w:tcBorders>
            <w:shd w:val="clear" w:color="000000" w:fill="F2F2F2"/>
            <w:noWrap/>
            <w:vAlign w:val="bottom"/>
            <w:hideMark/>
          </w:tcPr>
          <w:p w14:paraId="65755500"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29</w:t>
            </w:r>
          </w:p>
        </w:tc>
      </w:tr>
      <w:tr w:rsidR="001B5C8F" w:rsidRPr="00277919" w14:paraId="05318979" w14:textId="77777777" w:rsidTr="00D939CF">
        <w:trPr>
          <w:trHeight w:val="267"/>
        </w:trPr>
        <w:tc>
          <w:tcPr>
            <w:tcW w:w="2130" w:type="dxa"/>
            <w:gridSpan w:val="2"/>
            <w:vMerge w:val="restart"/>
            <w:tcBorders>
              <w:top w:val="single" w:sz="4" w:space="0" w:color="D9D9D9"/>
              <w:left w:val="single" w:sz="4" w:space="0" w:color="BFBFBF"/>
              <w:bottom w:val="single" w:sz="4" w:space="0" w:color="BFBFBF"/>
              <w:right w:val="single" w:sz="4" w:space="0" w:color="D9D9D9"/>
            </w:tcBorders>
            <w:shd w:val="clear" w:color="000000" w:fill="F2F2F2"/>
            <w:vAlign w:val="center"/>
            <w:hideMark/>
          </w:tcPr>
          <w:p w14:paraId="0C41CC85"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r w:rsidRPr="00277919">
              <w:rPr>
                <w:rFonts w:ascii="Arial" w:eastAsia="Times New Roman" w:hAnsi="Arial" w:cs="Arial"/>
                <w:color w:val="000000"/>
                <w:sz w:val="18"/>
                <w:szCs w:val="18"/>
                <w:lang w:eastAsia="en-GB"/>
              </w:rPr>
              <w:t> </w:t>
            </w:r>
          </w:p>
        </w:tc>
        <w:tc>
          <w:tcPr>
            <w:tcW w:w="3654" w:type="dxa"/>
            <w:tcBorders>
              <w:top w:val="nil"/>
              <w:left w:val="nil"/>
              <w:bottom w:val="single" w:sz="4" w:space="0" w:color="A6A6A6"/>
              <w:right w:val="single" w:sz="4" w:space="0" w:color="A6A6A6"/>
            </w:tcBorders>
            <w:shd w:val="clear" w:color="000000" w:fill="F2F2F2"/>
            <w:vAlign w:val="center"/>
            <w:hideMark/>
          </w:tcPr>
          <w:p w14:paraId="534FC9C8" w14:textId="77777777" w:rsidR="001B5C8F" w:rsidRPr="00277919" w:rsidRDefault="001B5C8F" w:rsidP="00DC54F7">
            <w:pPr>
              <w:spacing w:after="0" w:line="240" w:lineRule="auto"/>
              <w:jc w:val="both"/>
              <w:rPr>
                <w:rFonts w:ascii="Arial" w:eastAsia="Times New Roman" w:hAnsi="Arial" w:cs="Arial"/>
                <w:b/>
                <w:bCs/>
                <w:color w:val="000000"/>
                <w:sz w:val="18"/>
                <w:szCs w:val="18"/>
                <w:lang w:eastAsia="en-GB"/>
              </w:rPr>
            </w:pPr>
            <w:r w:rsidRPr="00277919">
              <w:rPr>
                <w:rFonts w:ascii="Arial" w:eastAsia="Times New Roman" w:hAnsi="Arial" w:cs="Arial"/>
                <w:b/>
                <w:bCs/>
                <w:color w:val="000000"/>
                <w:sz w:val="18"/>
                <w:szCs w:val="18"/>
                <w:lang w:eastAsia="en-GB"/>
              </w:rPr>
              <w:t>Total Responses</w:t>
            </w:r>
          </w:p>
        </w:tc>
        <w:tc>
          <w:tcPr>
            <w:tcW w:w="1177" w:type="dxa"/>
            <w:tcBorders>
              <w:top w:val="nil"/>
              <w:left w:val="nil"/>
              <w:bottom w:val="single" w:sz="4" w:space="0" w:color="A6A6A6"/>
              <w:right w:val="single" w:sz="4" w:space="0" w:color="A6A6A6"/>
            </w:tcBorders>
            <w:shd w:val="clear" w:color="000000" w:fill="F2F2F2"/>
            <w:noWrap/>
            <w:vAlign w:val="bottom"/>
            <w:hideMark/>
          </w:tcPr>
          <w:p w14:paraId="36FCD1BA"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 </w:t>
            </w:r>
          </w:p>
        </w:tc>
        <w:tc>
          <w:tcPr>
            <w:tcW w:w="1357" w:type="dxa"/>
            <w:tcBorders>
              <w:top w:val="nil"/>
              <w:left w:val="nil"/>
              <w:bottom w:val="single" w:sz="4" w:space="0" w:color="A6A6A6"/>
              <w:right w:val="single" w:sz="4" w:space="0" w:color="A6A6A6"/>
            </w:tcBorders>
            <w:shd w:val="clear" w:color="000000" w:fill="F2F2F2"/>
            <w:noWrap/>
            <w:vAlign w:val="bottom"/>
            <w:hideMark/>
          </w:tcPr>
          <w:p w14:paraId="1C069EC5"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 </w:t>
            </w:r>
          </w:p>
        </w:tc>
        <w:tc>
          <w:tcPr>
            <w:tcW w:w="891" w:type="dxa"/>
            <w:tcBorders>
              <w:top w:val="nil"/>
              <w:left w:val="nil"/>
              <w:bottom w:val="single" w:sz="4" w:space="0" w:color="A6A6A6"/>
              <w:right w:val="single" w:sz="4" w:space="0" w:color="A6A6A6"/>
            </w:tcBorders>
            <w:shd w:val="clear" w:color="000000" w:fill="F2F2F2"/>
            <w:noWrap/>
            <w:vAlign w:val="bottom"/>
            <w:hideMark/>
          </w:tcPr>
          <w:p w14:paraId="4505A902"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164</w:t>
            </w:r>
          </w:p>
        </w:tc>
      </w:tr>
      <w:tr w:rsidR="001B5C8F" w:rsidRPr="00277919" w14:paraId="071F7516" w14:textId="77777777" w:rsidTr="00D939CF">
        <w:trPr>
          <w:trHeight w:val="267"/>
        </w:trPr>
        <w:tc>
          <w:tcPr>
            <w:tcW w:w="2130" w:type="dxa"/>
            <w:gridSpan w:val="2"/>
            <w:vMerge/>
            <w:tcBorders>
              <w:top w:val="single" w:sz="4" w:space="0" w:color="D9D9D9"/>
              <w:left w:val="single" w:sz="4" w:space="0" w:color="BFBFBF"/>
              <w:bottom w:val="single" w:sz="4" w:space="0" w:color="BFBFBF"/>
              <w:right w:val="single" w:sz="4" w:space="0" w:color="D9D9D9"/>
            </w:tcBorders>
            <w:vAlign w:val="center"/>
            <w:hideMark/>
          </w:tcPr>
          <w:p w14:paraId="58738EF8"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p>
        </w:tc>
        <w:tc>
          <w:tcPr>
            <w:tcW w:w="3654" w:type="dxa"/>
            <w:tcBorders>
              <w:top w:val="nil"/>
              <w:left w:val="nil"/>
              <w:bottom w:val="single" w:sz="4" w:space="0" w:color="A6A6A6"/>
              <w:right w:val="single" w:sz="4" w:space="0" w:color="A6A6A6"/>
            </w:tcBorders>
            <w:shd w:val="clear" w:color="000000" w:fill="F2F2F2"/>
            <w:vAlign w:val="center"/>
            <w:hideMark/>
          </w:tcPr>
          <w:p w14:paraId="644099C8" w14:textId="77777777" w:rsidR="001B5C8F" w:rsidRPr="00277919" w:rsidRDefault="001B5C8F" w:rsidP="00DC54F7">
            <w:pPr>
              <w:spacing w:after="0" w:line="240" w:lineRule="auto"/>
              <w:jc w:val="both"/>
              <w:rPr>
                <w:rFonts w:ascii="Arial" w:eastAsia="Times New Roman" w:hAnsi="Arial" w:cs="Arial"/>
                <w:b/>
                <w:bCs/>
                <w:color w:val="000000"/>
                <w:sz w:val="18"/>
                <w:szCs w:val="18"/>
                <w:lang w:eastAsia="en-GB"/>
              </w:rPr>
            </w:pPr>
            <w:r w:rsidRPr="00277919">
              <w:rPr>
                <w:rFonts w:ascii="Arial" w:eastAsia="Times New Roman" w:hAnsi="Arial" w:cs="Arial"/>
                <w:b/>
                <w:bCs/>
                <w:color w:val="000000"/>
                <w:sz w:val="18"/>
                <w:szCs w:val="18"/>
                <w:lang w:eastAsia="en-GB"/>
              </w:rPr>
              <w:t>Total Respondents</w:t>
            </w:r>
          </w:p>
        </w:tc>
        <w:tc>
          <w:tcPr>
            <w:tcW w:w="1177" w:type="dxa"/>
            <w:tcBorders>
              <w:top w:val="nil"/>
              <w:left w:val="nil"/>
              <w:bottom w:val="single" w:sz="4" w:space="0" w:color="A6A6A6"/>
              <w:right w:val="single" w:sz="4" w:space="0" w:color="A6A6A6"/>
            </w:tcBorders>
            <w:shd w:val="clear" w:color="000000" w:fill="F2F2F2"/>
            <w:vAlign w:val="center"/>
            <w:hideMark/>
          </w:tcPr>
          <w:p w14:paraId="1D5877C2" w14:textId="77777777" w:rsidR="001B5C8F" w:rsidRPr="00277919" w:rsidRDefault="001B5C8F" w:rsidP="00DC54F7">
            <w:pPr>
              <w:spacing w:after="0" w:line="240" w:lineRule="auto"/>
              <w:jc w:val="both"/>
              <w:rPr>
                <w:rFonts w:ascii="Arial" w:eastAsia="Times New Roman" w:hAnsi="Arial" w:cs="Arial"/>
                <w:b/>
                <w:bCs/>
                <w:color w:val="000000"/>
                <w:sz w:val="18"/>
                <w:szCs w:val="18"/>
                <w:lang w:eastAsia="en-GB"/>
              </w:rPr>
            </w:pPr>
            <w:r w:rsidRPr="00277919">
              <w:rPr>
                <w:rFonts w:ascii="Arial" w:eastAsia="Times New Roman" w:hAnsi="Arial" w:cs="Arial"/>
                <w:b/>
                <w:bCs/>
                <w:color w:val="000000"/>
                <w:sz w:val="18"/>
                <w:szCs w:val="18"/>
                <w:lang w:eastAsia="en-GB"/>
              </w:rPr>
              <w:t> </w:t>
            </w:r>
          </w:p>
        </w:tc>
        <w:tc>
          <w:tcPr>
            <w:tcW w:w="1357" w:type="dxa"/>
            <w:tcBorders>
              <w:top w:val="nil"/>
              <w:left w:val="nil"/>
              <w:bottom w:val="single" w:sz="4" w:space="0" w:color="A6A6A6"/>
              <w:right w:val="single" w:sz="4" w:space="0" w:color="A6A6A6"/>
            </w:tcBorders>
            <w:shd w:val="clear" w:color="000000" w:fill="F2F2F2"/>
            <w:noWrap/>
            <w:vAlign w:val="bottom"/>
            <w:hideMark/>
          </w:tcPr>
          <w:p w14:paraId="65F708BE"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 </w:t>
            </w:r>
          </w:p>
        </w:tc>
        <w:tc>
          <w:tcPr>
            <w:tcW w:w="891" w:type="dxa"/>
            <w:tcBorders>
              <w:top w:val="nil"/>
              <w:left w:val="nil"/>
              <w:bottom w:val="single" w:sz="4" w:space="0" w:color="A6A6A6"/>
              <w:right w:val="single" w:sz="4" w:space="0" w:color="A6A6A6"/>
            </w:tcBorders>
            <w:shd w:val="clear" w:color="000000" w:fill="F2F2F2"/>
            <w:noWrap/>
            <w:vAlign w:val="bottom"/>
            <w:hideMark/>
          </w:tcPr>
          <w:p w14:paraId="511754DD"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90</w:t>
            </w:r>
          </w:p>
        </w:tc>
      </w:tr>
      <w:tr w:rsidR="001B5C8F" w:rsidRPr="00277919" w14:paraId="3DC198DA" w14:textId="77777777" w:rsidTr="00D939CF">
        <w:trPr>
          <w:trHeight w:val="267"/>
        </w:trPr>
        <w:tc>
          <w:tcPr>
            <w:tcW w:w="2130" w:type="dxa"/>
            <w:gridSpan w:val="2"/>
            <w:vMerge/>
            <w:tcBorders>
              <w:top w:val="single" w:sz="4" w:space="0" w:color="D9D9D9"/>
              <w:left w:val="single" w:sz="4" w:space="0" w:color="BFBFBF"/>
              <w:bottom w:val="single" w:sz="4" w:space="0" w:color="BFBFBF"/>
              <w:right w:val="single" w:sz="4" w:space="0" w:color="D9D9D9"/>
            </w:tcBorders>
            <w:vAlign w:val="center"/>
            <w:hideMark/>
          </w:tcPr>
          <w:p w14:paraId="5CDB7574" w14:textId="77777777" w:rsidR="001B5C8F" w:rsidRPr="00277919" w:rsidRDefault="001B5C8F" w:rsidP="00DC54F7">
            <w:pPr>
              <w:spacing w:after="0" w:line="240" w:lineRule="auto"/>
              <w:jc w:val="both"/>
              <w:rPr>
                <w:rFonts w:ascii="Arial" w:eastAsia="Times New Roman" w:hAnsi="Arial" w:cs="Arial"/>
                <w:color w:val="000000"/>
                <w:sz w:val="18"/>
                <w:szCs w:val="18"/>
                <w:lang w:eastAsia="en-GB"/>
              </w:rPr>
            </w:pPr>
          </w:p>
        </w:tc>
        <w:tc>
          <w:tcPr>
            <w:tcW w:w="3654" w:type="dxa"/>
            <w:tcBorders>
              <w:top w:val="nil"/>
              <w:left w:val="nil"/>
              <w:bottom w:val="single" w:sz="4" w:space="0" w:color="A6A6A6"/>
              <w:right w:val="single" w:sz="4" w:space="0" w:color="A6A6A6"/>
            </w:tcBorders>
            <w:shd w:val="clear" w:color="000000" w:fill="F2F2F2"/>
            <w:vAlign w:val="center"/>
            <w:hideMark/>
          </w:tcPr>
          <w:p w14:paraId="6A35C046" w14:textId="77777777" w:rsidR="001B5C8F" w:rsidRPr="00277919" w:rsidRDefault="001B5C8F" w:rsidP="00DC54F7">
            <w:pPr>
              <w:spacing w:after="0" w:line="240" w:lineRule="auto"/>
              <w:jc w:val="both"/>
              <w:rPr>
                <w:rFonts w:ascii="Arial" w:eastAsia="Times New Roman" w:hAnsi="Arial" w:cs="Arial"/>
                <w:b/>
                <w:bCs/>
                <w:color w:val="000000"/>
                <w:sz w:val="18"/>
                <w:szCs w:val="18"/>
                <w:lang w:eastAsia="en-GB"/>
              </w:rPr>
            </w:pPr>
            <w:r w:rsidRPr="00277919">
              <w:rPr>
                <w:rFonts w:ascii="Arial" w:eastAsia="Times New Roman" w:hAnsi="Arial" w:cs="Arial"/>
                <w:b/>
                <w:bCs/>
                <w:color w:val="000000"/>
                <w:sz w:val="18"/>
                <w:szCs w:val="18"/>
                <w:lang w:eastAsia="en-GB"/>
              </w:rPr>
              <w:t>Skipped</w:t>
            </w:r>
          </w:p>
        </w:tc>
        <w:tc>
          <w:tcPr>
            <w:tcW w:w="1177" w:type="dxa"/>
            <w:tcBorders>
              <w:top w:val="nil"/>
              <w:left w:val="nil"/>
              <w:bottom w:val="single" w:sz="4" w:space="0" w:color="A6A6A6"/>
              <w:right w:val="single" w:sz="4" w:space="0" w:color="A6A6A6"/>
            </w:tcBorders>
            <w:shd w:val="clear" w:color="000000" w:fill="F2F2F2"/>
            <w:vAlign w:val="center"/>
            <w:hideMark/>
          </w:tcPr>
          <w:p w14:paraId="2B1E352B" w14:textId="77777777" w:rsidR="001B5C8F" w:rsidRPr="00277919" w:rsidRDefault="001B5C8F" w:rsidP="00DC54F7">
            <w:pPr>
              <w:spacing w:after="0" w:line="240" w:lineRule="auto"/>
              <w:jc w:val="both"/>
              <w:rPr>
                <w:rFonts w:ascii="Arial" w:eastAsia="Times New Roman" w:hAnsi="Arial" w:cs="Arial"/>
                <w:b/>
                <w:bCs/>
                <w:color w:val="000000"/>
                <w:sz w:val="18"/>
                <w:szCs w:val="18"/>
                <w:lang w:eastAsia="en-GB"/>
              </w:rPr>
            </w:pPr>
            <w:r w:rsidRPr="00277919">
              <w:rPr>
                <w:rFonts w:ascii="Arial" w:eastAsia="Times New Roman" w:hAnsi="Arial" w:cs="Arial"/>
                <w:b/>
                <w:bCs/>
                <w:color w:val="000000"/>
                <w:sz w:val="18"/>
                <w:szCs w:val="18"/>
                <w:lang w:eastAsia="en-GB"/>
              </w:rPr>
              <w:t> </w:t>
            </w:r>
          </w:p>
        </w:tc>
        <w:tc>
          <w:tcPr>
            <w:tcW w:w="1357" w:type="dxa"/>
            <w:tcBorders>
              <w:top w:val="nil"/>
              <w:left w:val="nil"/>
              <w:bottom w:val="single" w:sz="4" w:space="0" w:color="A6A6A6"/>
              <w:right w:val="single" w:sz="4" w:space="0" w:color="A6A6A6"/>
            </w:tcBorders>
            <w:shd w:val="clear" w:color="000000" w:fill="F2F2F2"/>
            <w:noWrap/>
            <w:vAlign w:val="bottom"/>
            <w:hideMark/>
          </w:tcPr>
          <w:p w14:paraId="40EA7023"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 </w:t>
            </w:r>
          </w:p>
        </w:tc>
        <w:tc>
          <w:tcPr>
            <w:tcW w:w="891" w:type="dxa"/>
            <w:tcBorders>
              <w:top w:val="nil"/>
              <w:left w:val="nil"/>
              <w:bottom w:val="single" w:sz="4" w:space="0" w:color="A6A6A6"/>
              <w:right w:val="single" w:sz="4" w:space="0" w:color="A6A6A6"/>
            </w:tcBorders>
            <w:shd w:val="clear" w:color="000000" w:fill="F2F2F2"/>
            <w:noWrap/>
            <w:vAlign w:val="bottom"/>
            <w:hideMark/>
          </w:tcPr>
          <w:p w14:paraId="7CDCCD6C" w14:textId="77777777" w:rsidR="001B5C8F" w:rsidRPr="00277919" w:rsidRDefault="001B5C8F" w:rsidP="00DC54F7">
            <w:pPr>
              <w:spacing w:after="0" w:line="240" w:lineRule="auto"/>
              <w:jc w:val="both"/>
              <w:rPr>
                <w:rFonts w:ascii="Calibri" w:eastAsia="Times New Roman" w:hAnsi="Calibri" w:cs="Calibri"/>
                <w:color w:val="000000"/>
                <w:lang w:eastAsia="en-GB"/>
              </w:rPr>
            </w:pPr>
            <w:r w:rsidRPr="00277919">
              <w:rPr>
                <w:rFonts w:ascii="Calibri" w:eastAsia="Times New Roman" w:hAnsi="Calibri" w:cs="Calibri"/>
                <w:color w:val="000000"/>
                <w:lang w:eastAsia="en-GB"/>
              </w:rPr>
              <w:t>221</w:t>
            </w:r>
          </w:p>
        </w:tc>
      </w:tr>
    </w:tbl>
    <w:p w14:paraId="4610321D" w14:textId="77777777" w:rsidR="00D301A3" w:rsidRDefault="00D301A3" w:rsidP="00DC54F7">
      <w:pPr>
        <w:jc w:val="both"/>
      </w:pPr>
    </w:p>
    <w:p w14:paraId="765F631D" w14:textId="77777777" w:rsidR="00D301A3" w:rsidRPr="006F65F5" w:rsidRDefault="00D301A3" w:rsidP="00DC54F7">
      <w:pPr>
        <w:spacing w:after="0"/>
        <w:jc w:val="both"/>
        <w:rPr>
          <w:rFonts w:ascii="Arial" w:hAnsi="Arial" w:cs="Arial"/>
          <w:b/>
          <w:bCs/>
        </w:rPr>
      </w:pPr>
      <w:r w:rsidRPr="006F65F5">
        <w:rPr>
          <w:rFonts w:ascii="Arial" w:hAnsi="Arial" w:cs="Arial"/>
          <w:b/>
          <w:bCs/>
        </w:rPr>
        <w:t xml:space="preserve">A total of twenty </w:t>
      </w:r>
      <w:r>
        <w:rPr>
          <w:rFonts w:ascii="Arial" w:hAnsi="Arial" w:cs="Arial"/>
          <w:b/>
          <w:bCs/>
        </w:rPr>
        <w:t>nine</w:t>
      </w:r>
      <w:r w:rsidRPr="006F65F5">
        <w:rPr>
          <w:rFonts w:ascii="Arial" w:hAnsi="Arial" w:cs="Arial"/>
          <w:b/>
          <w:bCs/>
        </w:rPr>
        <w:t xml:space="preserve"> comments were received:</w:t>
      </w:r>
    </w:p>
    <w:p w14:paraId="446A54E8" w14:textId="77777777" w:rsidR="00D301A3" w:rsidRPr="006F65F5" w:rsidRDefault="00D301A3" w:rsidP="00DC54F7">
      <w:pPr>
        <w:pStyle w:val="ListParagraph"/>
        <w:numPr>
          <w:ilvl w:val="0"/>
          <w:numId w:val="168"/>
        </w:numPr>
        <w:spacing w:after="0" w:line="240" w:lineRule="auto"/>
        <w:jc w:val="both"/>
        <w:rPr>
          <w:rFonts w:ascii="Arial" w:hAnsi="Arial" w:cs="Arial"/>
        </w:rPr>
      </w:pPr>
      <w:r w:rsidRPr="006F65F5">
        <w:rPr>
          <w:rFonts w:ascii="Arial" w:hAnsi="Arial" w:cs="Arial"/>
        </w:rPr>
        <w:t>“One I use is next to my gp.”</w:t>
      </w:r>
    </w:p>
    <w:p w14:paraId="3E482E69" w14:textId="77777777" w:rsidR="00D301A3" w:rsidRPr="006F65F5" w:rsidRDefault="00D301A3" w:rsidP="00DC54F7">
      <w:pPr>
        <w:pStyle w:val="ListParagraph"/>
        <w:numPr>
          <w:ilvl w:val="0"/>
          <w:numId w:val="168"/>
        </w:numPr>
        <w:spacing w:after="0" w:line="240" w:lineRule="auto"/>
        <w:jc w:val="both"/>
        <w:rPr>
          <w:rFonts w:ascii="Arial" w:hAnsi="Arial" w:cs="Arial"/>
        </w:rPr>
      </w:pPr>
      <w:r w:rsidRPr="006F65F5">
        <w:rPr>
          <w:rFonts w:ascii="Arial" w:hAnsi="Arial" w:cs="Arial"/>
        </w:rPr>
        <w:t xml:space="preserve">“Staff not wearing face masks behind the counter. Visors have been proven to offer little or no protection and users of a pharmacy should be safe in Knowledge that all PPE is being worn. Last time there were two people in no masks!” </w:t>
      </w:r>
    </w:p>
    <w:p w14:paraId="72293BB9" w14:textId="77777777" w:rsidR="00D301A3" w:rsidRPr="006F65F5" w:rsidRDefault="00D301A3" w:rsidP="00DC54F7">
      <w:pPr>
        <w:pStyle w:val="ListParagraph"/>
        <w:numPr>
          <w:ilvl w:val="0"/>
          <w:numId w:val="168"/>
        </w:numPr>
        <w:spacing w:after="0" w:line="240" w:lineRule="auto"/>
        <w:jc w:val="both"/>
        <w:rPr>
          <w:rFonts w:ascii="Arial" w:hAnsi="Arial" w:cs="Arial"/>
        </w:rPr>
      </w:pPr>
      <w:r w:rsidRPr="006F65F5">
        <w:rPr>
          <w:rFonts w:ascii="Arial" w:hAnsi="Arial" w:cs="Arial"/>
        </w:rPr>
        <w:t>“It opened relatively recently and I've got used to my usual pharmacy.”</w:t>
      </w:r>
    </w:p>
    <w:p w14:paraId="32E51049" w14:textId="77777777" w:rsidR="00D301A3" w:rsidRPr="006F65F5" w:rsidRDefault="00D301A3" w:rsidP="00DC54F7">
      <w:pPr>
        <w:pStyle w:val="ListParagraph"/>
        <w:numPr>
          <w:ilvl w:val="0"/>
          <w:numId w:val="168"/>
        </w:numPr>
        <w:spacing w:after="0" w:line="240" w:lineRule="auto"/>
        <w:jc w:val="both"/>
        <w:rPr>
          <w:rFonts w:ascii="Arial" w:hAnsi="Arial" w:cs="Arial"/>
        </w:rPr>
      </w:pPr>
      <w:r w:rsidRPr="006F65F5">
        <w:rPr>
          <w:rFonts w:ascii="Arial" w:hAnsi="Arial" w:cs="Arial"/>
        </w:rPr>
        <w:t xml:space="preserve">“Inefficient staff.” </w:t>
      </w:r>
    </w:p>
    <w:p w14:paraId="18AE7F89" w14:textId="77777777" w:rsidR="00D301A3" w:rsidRPr="006F65F5" w:rsidRDefault="00D301A3" w:rsidP="00DC54F7">
      <w:pPr>
        <w:pStyle w:val="ListParagraph"/>
        <w:numPr>
          <w:ilvl w:val="0"/>
          <w:numId w:val="168"/>
        </w:numPr>
        <w:spacing w:after="0" w:line="240" w:lineRule="auto"/>
        <w:jc w:val="both"/>
        <w:rPr>
          <w:rFonts w:ascii="Arial" w:hAnsi="Arial" w:cs="Arial"/>
        </w:rPr>
      </w:pPr>
      <w:r w:rsidRPr="006F65F5">
        <w:rPr>
          <w:rFonts w:ascii="Arial" w:hAnsi="Arial" w:cs="Arial"/>
        </w:rPr>
        <w:t>“It's further away from the doctor's.”</w:t>
      </w:r>
    </w:p>
    <w:p w14:paraId="795F7B64" w14:textId="77777777" w:rsidR="00D301A3" w:rsidRPr="006F65F5" w:rsidRDefault="00D301A3" w:rsidP="00DC54F7">
      <w:pPr>
        <w:pStyle w:val="ListParagraph"/>
        <w:numPr>
          <w:ilvl w:val="0"/>
          <w:numId w:val="168"/>
        </w:numPr>
        <w:spacing w:after="0" w:line="240" w:lineRule="auto"/>
        <w:jc w:val="both"/>
        <w:rPr>
          <w:rFonts w:ascii="Arial" w:hAnsi="Arial" w:cs="Arial"/>
        </w:rPr>
      </w:pPr>
      <w:r w:rsidRPr="006F65F5">
        <w:rPr>
          <w:rFonts w:ascii="Arial" w:hAnsi="Arial" w:cs="Arial"/>
        </w:rPr>
        <w:t xml:space="preserve">“Too busy.” </w:t>
      </w:r>
    </w:p>
    <w:p w14:paraId="5F0D9640" w14:textId="77777777" w:rsidR="00D301A3" w:rsidRPr="006F65F5" w:rsidRDefault="00D301A3" w:rsidP="00DC54F7">
      <w:pPr>
        <w:pStyle w:val="ListParagraph"/>
        <w:numPr>
          <w:ilvl w:val="0"/>
          <w:numId w:val="168"/>
        </w:numPr>
        <w:spacing w:after="0" w:line="240" w:lineRule="auto"/>
        <w:jc w:val="both"/>
        <w:rPr>
          <w:rFonts w:ascii="Arial" w:hAnsi="Arial" w:cs="Arial"/>
        </w:rPr>
      </w:pPr>
      <w:r w:rsidRPr="006F65F5">
        <w:rPr>
          <w:rFonts w:ascii="Arial" w:hAnsi="Arial" w:cs="Arial"/>
        </w:rPr>
        <w:t>“</w:t>
      </w:r>
      <w:r>
        <w:rPr>
          <w:rFonts w:ascii="Arial" w:hAnsi="Arial" w:cs="Arial"/>
        </w:rPr>
        <w:t>[Name of pharmacy]</w:t>
      </w:r>
      <w:r w:rsidRPr="006F65F5">
        <w:rPr>
          <w:rFonts w:ascii="Arial" w:hAnsi="Arial" w:cs="Arial"/>
        </w:rPr>
        <w:t xml:space="preserve"> inefficient &amp; need customer service training.” </w:t>
      </w:r>
    </w:p>
    <w:p w14:paraId="2749F6E2" w14:textId="77777777" w:rsidR="00D301A3" w:rsidRPr="006F65F5" w:rsidRDefault="00D301A3" w:rsidP="00DC54F7">
      <w:pPr>
        <w:pStyle w:val="ListParagraph"/>
        <w:numPr>
          <w:ilvl w:val="0"/>
          <w:numId w:val="168"/>
        </w:numPr>
        <w:spacing w:after="0" w:line="240" w:lineRule="auto"/>
        <w:jc w:val="both"/>
        <w:rPr>
          <w:rFonts w:ascii="Arial" w:hAnsi="Arial" w:cs="Arial"/>
        </w:rPr>
      </w:pPr>
      <w:r w:rsidRPr="006F65F5">
        <w:rPr>
          <w:rFonts w:ascii="Arial" w:hAnsi="Arial" w:cs="Arial"/>
        </w:rPr>
        <w:t>“The pharmacy I do use is attached to my GP surgery so my script is passed to the pharmacy for me so it’s just easier to go there than the pharmacy nearest my home which is not attached to my GP.”</w:t>
      </w:r>
    </w:p>
    <w:p w14:paraId="5B910993" w14:textId="77777777" w:rsidR="00D301A3" w:rsidRPr="006F65F5" w:rsidRDefault="00D301A3" w:rsidP="00DC54F7">
      <w:pPr>
        <w:pStyle w:val="ListParagraph"/>
        <w:numPr>
          <w:ilvl w:val="0"/>
          <w:numId w:val="168"/>
        </w:numPr>
        <w:spacing w:after="0" w:line="240" w:lineRule="auto"/>
        <w:jc w:val="both"/>
        <w:rPr>
          <w:rFonts w:ascii="Arial" w:hAnsi="Arial" w:cs="Arial"/>
        </w:rPr>
      </w:pPr>
      <w:r w:rsidRPr="006F65F5">
        <w:rPr>
          <w:rFonts w:ascii="Arial" w:hAnsi="Arial" w:cs="Arial"/>
        </w:rPr>
        <w:t>“Part if a chain with no sense of community.”</w:t>
      </w:r>
    </w:p>
    <w:p w14:paraId="6629458F" w14:textId="77777777" w:rsidR="00D301A3" w:rsidRPr="006F65F5" w:rsidRDefault="00D301A3" w:rsidP="00DC54F7">
      <w:pPr>
        <w:pStyle w:val="ListParagraph"/>
        <w:numPr>
          <w:ilvl w:val="0"/>
          <w:numId w:val="168"/>
        </w:numPr>
        <w:spacing w:after="0" w:line="240" w:lineRule="auto"/>
        <w:jc w:val="both"/>
        <w:rPr>
          <w:rFonts w:ascii="Arial" w:hAnsi="Arial" w:cs="Arial"/>
        </w:rPr>
      </w:pPr>
      <w:r w:rsidRPr="006F65F5">
        <w:rPr>
          <w:rFonts w:ascii="Arial" w:hAnsi="Arial" w:cs="Arial"/>
        </w:rPr>
        <w:t>“When I moved to the area the one I used was recommended so I have remained with them however the other was also very good on the occasions I have used it.”</w:t>
      </w:r>
    </w:p>
    <w:p w14:paraId="585E7423"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6F65F5">
        <w:rPr>
          <w:rFonts w:ascii="Arial" w:hAnsi="Arial" w:cs="Arial"/>
        </w:rPr>
        <w:t>“It’s not attached to my GP practice</w:t>
      </w:r>
      <w:r w:rsidRPr="00737B32">
        <w:rPr>
          <w:rFonts w:ascii="Arial" w:hAnsi="Arial" w:cs="Arial"/>
        </w:rPr>
        <w:t xml:space="preserve">.” </w:t>
      </w:r>
    </w:p>
    <w:p w14:paraId="3A9A3FDA"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t>“My go sends my prescription there.”</w:t>
      </w:r>
    </w:p>
    <w:p w14:paraId="4A905F91"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t>“No personal service.”</w:t>
      </w:r>
    </w:p>
    <w:p w14:paraId="1FAF218F"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t>“I moved house and am still within the catchment area for my GP and current pharmacy, so preferred not to change it as I like the staff and service, they know my medications (I take some unsual ones).”</w:t>
      </w:r>
    </w:p>
    <w:p w14:paraId="1CA7234C"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t>“Other one is closer to doctors.”</w:t>
      </w:r>
    </w:p>
    <w:p w14:paraId="5301E4DD"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t xml:space="preserve">“Very busy, have to wait a long time.” </w:t>
      </w:r>
    </w:p>
    <w:p w14:paraId="0AB5CC5A"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t>“I’ve always been happy with the one I use.”</w:t>
      </w:r>
    </w:p>
    <w:p w14:paraId="7B6D58E8"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t>“One pharmacy has been closed and the other is in a supermarket.”</w:t>
      </w:r>
    </w:p>
    <w:p w14:paraId="2CF8AFAC"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lastRenderedPageBreak/>
        <w:t>“I prefer the pharmacy that I currently use.”</w:t>
      </w:r>
    </w:p>
    <w:p w14:paraId="5B7828D5"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t xml:space="preserve">“Altho within walking distance it means 2 visits as one of my monthly items is not held in stock. Other pharmacies carry this drug.” </w:t>
      </w:r>
    </w:p>
    <w:p w14:paraId="2BC35AEE"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t xml:space="preserve">“I only go elsewhere when its closed for lunch.” </w:t>
      </w:r>
    </w:p>
    <w:p w14:paraId="0084375A"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t>“Only just got the surgery to send prescriptions there.”</w:t>
      </w:r>
    </w:p>
    <w:p w14:paraId="6B4C37D5"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t>“Too many people not wearing face masks. Prescription is never ready on time. They never answer the phone.”</w:t>
      </w:r>
    </w:p>
    <w:p w14:paraId="6606D2CD"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t>“Have made mistakes on more than one occasion. Dangerous as life threatening medicines.”</w:t>
      </w:r>
    </w:p>
    <w:p w14:paraId="2ED1E18F"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t>“I need to request the repeat prescription from my doctor every time I need it - the pharmacy don’t do it for me.”</w:t>
      </w:r>
    </w:p>
    <w:p w14:paraId="44C6F1AE"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t>“Always having trouble finding my prescription that been left.”</w:t>
      </w:r>
    </w:p>
    <w:p w14:paraId="1F328C09" w14:textId="77777777" w:rsidR="00D301A3" w:rsidRPr="00737B32"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t xml:space="preserve">“Inconvenient times and unfriendly staff.” </w:t>
      </w:r>
    </w:p>
    <w:p w14:paraId="7132F75B" w14:textId="77777777" w:rsidR="00D301A3" w:rsidRDefault="00D301A3" w:rsidP="00DC54F7">
      <w:pPr>
        <w:pStyle w:val="ListParagraph"/>
        <w:numPr>
          <w:ilvl w:val="0"/>
          <w:numId w:val="168"/>
        </w:numPr>
        <w:spacing w:after="0" w:line="240" w:lineRule="auto"/>
        <w:jc w:val="both"/>
        <w:rPr>
          <w:rFonts w:ascii="Arial" w:hAnsi="Arial" w:cs="Arial"/>
        </w:rPr>
      </w:pPr>
      <w:r w:rsidRPr="00737B32">
        <w:rPr>
          <w:rFonts w:ascii="Arial" w:hAnsi="Arial" w:cs="Arial"/>
        </w:rPr>
        <w:t>“My doctors won't use it.”</w:t>
      </w:r>
    </w:p>
    <w:p w14:paraId="4B483FD7" w14:textId="77777777" w:rsidR="00D301A3" w:rsidRPr="00CA5DD5" w:rsidRDefault="00D301A3" w:rsidP="00DC54F7">
      <w:pPr>
        <w:pStyle w:val="ListParagraph"/>
        <w:numPr>
          <w:ilvl w:val="0"/>
          <w:numId w:val="168"/>
        </w:numPr>
        <w:spacing w:after="160" w:line="259" w:lineRule="auto"/>
        <w:jc w:val="both"/>
        <w:rPr>
          <w:rFonts w:ascii="Arial" w:eastAsia="Times New Roman" w:hAnsi="Arial" w:cs="Arial"/>
        </w:rPr>
      </w:pPr>
      <w:r>
        <w:rPr>
          <w:rFonts w:ascii="Arial" w:eastAsia="Times New Roman" w:hAnsi="Arial" w:cs="Arial"/>
        </w:rPr>
        <w:t>“</w:t>
      </w:r>
      <w:r w:rsidRPr="00CA5DD5">
        <w:rPr>
          <w:rFonts w:ascii="Arial" w:eastAsia="Times New Roman" w:hAnsi="Arial" w:cs="Arial"/>
        </w:rPr>
        <w:t>Confined spaces in many pharmacies and the staff don’t always treat you with respect and dignity</w:t>
      </w:r>
      <w:r>
        <w:rPr>
          <w:rFonts w:ascii="Arial" w:eastAsia="Times New Roman" w:hAnsi="Arial" w:cs="Arial"/>
        </w:rPr>
        <w:t>.”</w:t>
      </w:r>
    </w:p>
    <w:p w14:paraId="2DC5F698" w14:textId="77777777" w:rsidR="00D301A3" w:rsidRPr="00737B32" w:rsidRDefault="00D301A3" w:rsidP="00DC54F7">
      <w:pPr>
        <w:pStyle w:val="ListParagraph"/>
        <w:spacing w:after="0" w:line="240" w:lineRule="auto"/>
        <w:ind w:left="360"/>
        <w:jc w:val="both"/>
        <w:rPr>
          <w:rFonts w:ascii="Arial" w:hAnsi="Arial" w:cs="Arial"/>
        </w:rPr>
      </w:pPr>
    </w:p>
    <w:p w14:paraId="1E91F6BE" w14:textId="77777777" w:rsidR="00D301A3" w:rsidRPr="00737B32" w:rsidRDefault="00D301A3" w:rsidP="00DC54F7">
      <w:pPr>
        <w:spacing w:after="0" w:line="240" w:lineRule="auto"/>
        <w:jc w:val="both"/>
        <w:rPr>
          <w:rFonts w:ascii="Arial" w:hAnsi="Arial" w:cs="Arial"/>
        </w:rPr>
      </w:pPr>
    </w:p>
    <w:p w14:paraId="4C53C02C" w14:textId="77777777" w:rsidR="00D301A3" w:rsidRDefault="00D301A3" w:rsidP="00DC54F7">
      <w:pPr>
        <w:spacing w:after="0" w:line="240" w:lineRule="auto"/>
        <w:jc w:val="both"/>
        <w:rPr>
          <w:rFonts w:ascii="Arial" w:eastAsia="Times New Roman" w:hAnsi="Arial" w:cs="Arial"/>
          <w:b/>
          <w:bCs/>
          <w:color w:val="333333"/>
          <w:sz w:val="21"/>
          <w:szCs w:val="21"/>
          <w:lang w:eastAsia="en-GB"/>
        </w:rPr>
      </w:pPr>
      <w:r w:rsidRPr="00D25E96">
        <w:rPr>
          <w:rFonts w:ascii="Arial" w:eastAsia="Times New Roman" w:hAnsi="Arial" w:cs="Arial"/>
          <w:b/>
          <w:bCs/>
          <w:color w:val="333333"/>
          <w:lang w:eastAsia="en-GB"/>
        </w:rPr>
        <w:t>12. If you go to the pharmacy by yourself or with someone, how do you usually get there? Please tick one</w:t>
      </w:r>
      <w:r w:rsidRPr="00D25E96">
        <w:rPr>
          <w:rFonts w:ascii="Arial" w:eastAsia="Times New Roman" w:hAnsi="Arial" w:cs="Arial"/>
          <w:b/>
          <w:bCs/>
          <w:color w:val="333333"/>
          <w:sz w:val="21"/>
          <w:szCs w:val="21"/>
          <w:lang w:eastAsia="en-GB"/>
        </w:rPr>
        <w:t xml:space="preserve">. </w:t>
      </w:r>
    </w:p>
    <w:p w14:paraId="4400314D" w14:textId="77777777" w:rsidR="00D301A3" w:rsidRPr="00F33FE2" w:rsidRDefault="00D301A3" w:rsidP="00DC54F7">
      <w:pPr>
        <w:spacing w:after="0" w:line="240" w:lineRule="auto"/>
        <w:jc w:val="both"/>
        <w:rPr>
          <w:rFonts w:ascii="Arial" w:eastAsia="Times New Roman" w:hAnsi="Arial" w:cs="Arial"/>
          <w:b/>
          <w:bCs/>
          <w:color w:val="333333"/>
          <w:sz w:val="21"/>
          <w:szCs w:val="21"/>
          <w:lang w:eastAsia="en-GB"/>
        </w:rPr>
      </w:pPr>
    </w:p>
    <w:tbl>
      <w:tblPr>
        <w:tblW w:w="9209" w:type="dxa"/>
        <w:tblLook w:val="04A0" w:firstRow="1" w:lastRow="0" w:firstColumn="1" w:lastColumn="0" w:noHBand="0" w:noVBand="1"/>
      </w:tblPr>
      <w:tblGrid>
        <w:gridCol w:w="960"/>
        <w:gridCol w:w="5131"/>
        <w:gridCol w:w="992"/>
        <w:gridCol w:w="1134"/>
        <w:gridCol w:w="992"/>
      </w:tblGrid>
      <w:tr w:rsidR="00D301A3" w:rsidRPr="00D25E96" w14:paraId="2EEDDB4E" w14:textId="77777777" w:rsidTr="00AA572E">
        <w:trPr>
          <w:trHeight w:val="290"/>
        </w:trPr>
        <w:tc>
          <w:tcPr>
            <w:tcW w:w="7083" w:type="dxa"/>
            <w:gridSpan w:val="3"/>
            <w:tcBorders>
              <w:top w:val="single" w:sz="4" w:space="0" w:color="A6A6A6"/>
              <w:left w:val="single" w:sz="4" w:space="0" w:color="A6A6A6"/>
              <w:bottom w:val="single" w:sz="4" w:space="0" w:color="A6A6A6"/>
              <w:right w:val="nil"/>
            </w:tcBorders>
            <w:shd w:val="clear" w:color="000000" w:fill="ACB9CA"/>
            <w:noWrap/>
            <w:vAlign w:val="center"/>
            <w:hideMark/>
          </w:tcPr>
          <w:p w14:paraId="56701E3A" w14:textId="77777777" w:rsidR="00D301A3" w:rsidRPr="00D25E96" w:rsidRDefault="00D301A3" w:rsidP="00DC54F7">
            <w:pPr>
              <w:spacing w:after="0" w:line="240" w:lineRule="auto"/>
              <w:jc w:val="both"/>
              <w:rPr>
                <w:rFonts w:ascii="Arial" w:eastAsia="Times New Roman" w:hAnsi="Arial" w:cs="Arial"/>
                <w:b/>
                <w:bCs/>
                <w:color w:val="FFFFFF"/>
                <w:sz w:val="21"/>
                <w:szCs w:val="21"/>
                <w:lang w:eastAsia="en-GB"/>
              </w:rPr>
            </w:pPr>
            <w:r w:rsidRPr="00D25E96">
              <w:rPr>
                <w:rFonts w:ascii="Arial" w:eastAsia="Times New Roman" w:hAnsi="Arial" w:cs="Arial"/>
                <w:b/>
                <w:bCs/>
                <w:color w:val="FFFFFF"/>
                <w:sz w:val="21"/>
                <w:szCs w:val="21"/>
                <w:lang w:eastAsia="en-GB"/>
              </w:rPr>
              <w:t> </w:t>
            </w:r>
          </w:p>
        </w:tc>
        <w:tc>
          <w:tcPr>
            <w:tcW w:w="2126" w:type="dxa"/>
            <w:gridSpan w:val="2"/>
            <w:tcBorders>
              <w:top w:val="single" w:sz="4" w:space="0" w:color="A6A6A6"/>
              <w:left w:val="nil"/>
              <w:bottom w:val="single" w:sz="4" w:space="0" w:color="A6A6A6"/>
              <w:right w:val="single" w:sz="4" w:space="0" w:color="A6A6A6"/>
            </w:tcBorders>
            <w:shd w:val="clear" w:color="000000" w:fill="ACB9CA"/>
            <w:noWrap/>
            <w:vAlign w:val="center"/>
            <w:hideMark/>
          </w:tcPr>
          <w:p w14:paraId="26448D4F" w14:textId="77777777" w:rsidR="00D301A3" w:rsidRPr="00D25E96" w:rsidRDefault="00D301A3" w:rsidP="00DC54F7">
            <w:pPr>
              <w:spacing w:after="0" w:line="240" w:lineRule="auto"/>
              <w:jc w:val="both"/>
              <w:rPr>
                <w:rFonts w:ascii="Arial" w:eastAsia="Times New Roman" w:hAnsi="Arial" w:cs="Arial"/>
                <w:b/>
                <w:bCs/>
                <w:color w:val="FFFFFF"/>
                <w:sz w:val="21"/>
                <w:szCs w:val="21"/>
                <w:lang w:eastAsia="en-GB"/>
              </w:rPr>
            </w:pPr>
            <w:r w:rsidRPr="00D25E96">
              <w:rPr>
                <w:rFonts w:ascii="Arial" w:eastAsia="Times New Roman" w:hAnsi="Arial" w:cs="Arial"/>
                <w:b/>
                <w:bCs/>
                <w:color w:val="FFFFFF"/>
                <w:sz w:val="21"/>
                <w:szCs w:val="21"/>
                <w:lang w:eastAsia="en-GB"/>
              </w:rPr>
              <w:t>Response</w:t>
            </w:r>
          </w:p>
        </w:tc>
      </w:tr>
      <w:tr w:rsidR="00D301A3" w:rsidRPr="00D25E96" w14:paraId="24698633" w14:textId="77777777" w:rsidTr="00AA572E">
        <w:trPr>
          <w:trHeight w:val="290"/>
        </w:trPr>
        <w:tc>
          <w:tcPr>
            <w:tcW w:w="7083"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7602FD60" w14:textId="77777777" w:rsidR="00D301A3" w:rsidRPr="00D25E96" w:rsidRDefault="00D301A3" w:rsidP="00DC54F7">
            <w:pPr>
              <w:spacing w:after="0" w:line="240" w:lineRule="auto"/>
              <w:jc w:val="both"/>
              <w:rPr>
                <w:rFonts w:ascii="Arial" w:eastAsia="Times New Roman" w:hAnsi="Arial" w:cs="Arial"/>
                <w:b/>
                <w:bCs/>
                <w:color w:val="000000"/>
                <w:sz w:val="18"/>
                <w:szCs w:val="18"/>
                <w:lang w:eastAsia="en-GB"/>
              </w:rPr>
            </w:pPr>
            <w:r w:rsidRPr="00D25E96">
              <w:rPr>
                <w:rFonts w:ascii="Arial" w:eastAsia="Times New Roman" w:hAnsi="Arial" w:cs="Arial"/>
                <w:b/>
                <w:bCs/>
                <w:color w:val="000000"/>
                <w:sz w:val="18"/>
                <w:szCs w:val="18"/>
                <w:lang w:eastAsia="en-GB"/>
              </w:rPr>
              <w:t> </w:t>
            </w:r>
          </w:p>
        </w:tc>
        <w:tc>
          <w:tcPr>
            <w:tcW w:w="1134" w:type="dxa"/>
            <w:tcBorders>
              <w:top w:val="nil"/>
              <w:left w:val="nil"/>
              <w:bottom w:val="single" w:sz="4" w:space="0" w:color="A6A6A6"/>
              <w:right w:val="single" w:sz="4" w:space="0" w:color="A6A6A6"/>
            </w:tcBorders>
            <w:shd w:val="clear" w:color="000000" w:fill="F2F2F2"/>
            <w:noWrap/>
            <w:vAlign w:val="center"/>
            <w:hideMark/>
          </w:tcPr>
          <w:p w14:paraId="6BBF34FF" w14:textId="77777777" w:rsidR="00D301A3" w:rsidRPr="00D25E96" w:rsidRDefault="00D301A3" w:rsidP="00DC54F7">
            <w:pPr>
              <w:spacing w:after="0" w:line="240" w:lineRule="auto"/>
              <w:jc w:val="both"/>
              <w:rPr>
                <w:rFonts w:ascii="Arial" w:eastAsia="Times New Roman" w:hAnsi="Arial" w:cs="Arial"/>
                <w:b/>
                <w:bCs/>
                <w:color w:val="000000"/>
                <w:sz w:val="18"/>
                <w:szCs w:val="18"/>
                <w:lang w:eastAsia="en-GB"/>
              </w:rPr>
            </w:pPr>
            <w:r w:rsidRPr="00D25E96">
              <w:rPr>
                <w:rFonts w:ascii="Arial" w:eastAsia="Times New Roman" w:hAnsi="Arial" w:cs="Arial"/>
                <w:b/>
                <w:bCs/>
                <w:color w:val="000000"/>
                <w:sz w:val="18"/>
                <w:szCs w:val="18"/>
                <w:lang w:eastAsia="en-GB"/>
              </w:rPr>
              <w:t>Percent</w:t>
            </w:r>
          </w:p>
        </w:tc>
        <w:tc>
          <w:tcPr>
            <w:tcW w:w="992" w:type="dxa"/>
            <w:tcBorders>
              <w:top w:val="nil"/>
              <w:left w:val="nil"/>
              <w:bottom w:val="single" w:sz="4" w:space="0" w:color="A6A6A6"/>
              <w:right w:val="single" w:sz="4" w:space="0" w:color="A6A6A6"/>
            </w:tcBorders>
            <w:shd w:val="clear" w:color="000000" w:fill="F2F2F2"/>
            <w:noWrap/>
            <w:vAlign w:val="center"/>
            <w:hideMark/>
          </w:tcPr>
          <w:p w14:paraId="216114D9" w14:textId="77777777" w:rsidR="00D301A3" w:rsidRPr="00D25E96" w:rsidRDefault="00D301A3" w:rsidP="00DC54F7">
            <w:pPr>
              <w:spacing w:after="0" w:line="240" w:lineRule="auto"/>
              <w:jc w:val="both"/>
              <w:rPr>
                <w:rFonts w:ascii="Arial" w:eastAsia="Times New Roman" w:hAnsi="Arial" w:cs="Arial"/>
                <w:b/>
                <w:bCs/>
                <w:color w:val="000000"/>
                <w:sz w:val="18"/>
                <w:szCs w:val="18"/>
                <w:lang w:eastAsia="en-GB"/>
              </w:rPr>
            </w:pPr>
            <w:r w:rsidRPr="00D25E96">
              <w:rPr>
                <w:rFonts w:ascii="Arial" w:eastAsia="Times New Roman" w:hAnsi="Arial" w:cs="Arial"/>
                <w:b/>
                <w:bCs/>
                <w:color w:val="000000"/>
                <w:sz w:val="18"/>
                <w:szCs w:val="18"/>
                <w:lang w:eastAsia="en-GB"/>
              </w:rPr>
              <w:t>Total</w:t>
            </w:r>
          </w:p>
        </w:tc>
      </w:tr>
      <w:tr w:rsidR="00D301A3" w:rsidRPr="00D25E96" w14:paraId="5A03D78D"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7F4E234C"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1</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73AD1377"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On foot</w:t>
            </w:r>
          </w:p>
        </w:tc>
        <w:tc>
          <w:tcPr>
            <w:tcW w:w="1134" w:type="dxa"/>
            <w:tcBorders>
              <w:top w:val="nil"/>
              <w:left w:val="nil"/>
              <w:bottom w:val="single" w:sz="4" w:space="0" w:color="A6A6A6"/>
              <w:right w:val="single" w:sz="4" w:space="0" w:color="A6A6A6"/>
            </w:tcBorders>
            <w:shd w:val="clear" w:color="000000" w:fill="F2F2F2"/>
            <w:noWrap/>
            <w:vAlign w:val="bottom"/>
            <w:hideMark/>
          </w:tcPr>
          <w:p w14:paraId="51D0BBFC"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44.48%</w:t>
            </w:r>
          </w:p>
        </w:tc>
        <w:tc>
          <w:tcPr>
            <w:tcW w:w="992" w:type="dxa"/>
            <w:tcBorders>
              <w:top w:val="nil"/>
              <w:left w:val="nil"/>
              <w:bottom w:val="single" w:sz="4" w:space="0" w:color="A6A6A6"/>
              <w:right w:val="single" w:sz="4" w:space="0" w:color="A6A6A6"/>
            </w:tcBorders>
            <w:shd w:val="clear" w:color="000000" w:fill="F2F2F2"/>
            <w:noWrap/>
            <w:vAlign w:val="bottom"/>
            <w:hideMark/>
          </w:tcPr>
          <w:p w14:paraId="4FC880D9"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137</w:t>
            </w:r>
          </w:p>
        </w:tc>
      </w:tr>
      <w:tr w:rsidR="00D301A3" w:rsidRPr="00D25E96" w14:paraId="316F7613"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60712A71"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2</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7076124E"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By bus</w:t>
            </w:r>
          </w:p>
        </w:tc>
        <w:tc>
          <w:tcPr>
            <w:tcW w:w="1134" w:type="dxa"/>
            <w:tcBorders>
              <w:top w:val="nil"/>
              <w:left w:val="nil"/>
              <w:bottom w:val="single" w:sz="4" w:space="0" w:color="A6A6A6"/>
              <w:right w:val="single" w:sz="4" w:space="0" w:color="A6A6A6"/>
            </w:tcBorders>
            <w:shd w:val="clear" w:color="000000" w:fill="F2F2F2"/>
            <w:noWrap/>
            <w:vAlign w:val="bottom"/>
            <w:hideMark/>
          </w:tcPr>
          <w:p w14:paraId="7CA931B1"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0.65%</w:t>
            </w:r>
          </w:p>
        </w:tc>
        <w:tc>
          <w:tcPr>
            <w:tcW w:w="992" w:type="dxa"/>
            <w:tcBorders>
              <w:top w:val="nil"/>
              <w:left w:val="nil"/>
              <w:bottom w:val="single" w:sz="4" w:space="0" w:color="A6A6A6"/>
              <w:right w:val="single" w:sz="4" w:space="0" w:color="A6A6A6"/>
            </w:tcBorders>
            <w:shd w:val="clear" w:color="000000" w:fill="F2F2F2"/>
            <w:noWrap/>
            <w:vAlign w:val="bottom"/>
            <w:hideMark/>
          </w:tcPr>
          <w:p w14:paraId="01E46125"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2</w:t>
            </w:r>
          </w:p>
        </w:tc>
      </w:tr>
      <w:tr w:rsidR="00D301A3" w:rsidRPr="00D25E96" w14:paraId="4AA80D1C"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1C118223"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3</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66BA2AEA"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By car</w:t>
            </w:r>
          </w:p>
        </w:tc>
        <w:tc>
          <w:tcPr>
            <w:tcW w:w="1134" w:type="dxa"/>
            <w:tcBorders>
              <w:top w:val="nil"/>
              <w:left w:val="nil"/>
              <w:bottom w:val="single" w:sz="4" w:space="0" w:color="A6A6A6"/>
              <w:right w:val="single" w:sz="4" w:space="0" w:color="A6A6A6"/>
            </w:tcBorders>
            <w:shd w:val="clear" w:color="000000" w:fill="F2F2F2"/>
            <w:noWrap/>
            <w:vAlign w:val="bottom"/>
            <w:hideMark/>
          </w:tcPr>
          <w:p w14:paraId="0F0D47AD"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51.30%</w:t>
            </w:r>
          </w:p>
        </w:tc>
        <w:tc>
          <w:tcPr>
            <w:tcW w:w="992" w:type="dxa"/>
            <w:tcBorders>
              <w:top w:val="nil"/>
              <w:left w:val="nil"/>
              <w:bottom w:val="single" w:sz="4" w:space="0" w:color="A6A6A6"/>
              <w:right w:val="single" w:sz="4" w:space="0" w:color="A6A6A6"/>
            </w:tcBorders>
            <w:shd w:val="clear" w:color="000000" w:fill="F2F2F2"/>
            <w:noWrap/>
            <w:vAlign w:val="bottom"/>
            <w:hideMark/>
          </w:tcPr>
          <w:p w14:paraId="0B836435"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158</w:t>
            </w:r>
          </w:p>
        </w:tc>
      </w:tr>
      <w:tr w:rsidR="00D301A3" w:rsidRPr="00D25E96" w14:paraId="4C47A4AD"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2C0BCC6E"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4</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5BAE68F5"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By bike</w:t>
            </w:r>
          </w:p>
        </w:tc>
        <w:tc>
          <w:tcPr>
            <w:tcW w:w="1134" w:type="dxa"/>
            <w:tcBorders>
              <w:top w:val="nil"/>
              <w:left w:val="nil"/>
              <w:bottom w:val="single" w:sz="4" w:space="0" w:color="A6A6A6"/>
              <w:right w:val="single" w:sz="4" w:space="0" w:color="A6A6A6"/>
            </w:tcBorders>
            <w:shd w:val="clear" w:color="000000" w:fill="F2F2F2"/>
            <w:noWrap/>
            <w:vAlign w:val="bottom"/>
            <w:hideMark/>
          </w:tcPr>
          <w:p w14:paraId="4CFD6668"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0.32%</w:t>
            </w:r>
          </w:p>
        </w:tc>
        <w:tc>
          <w:tcPr>
            <w:tcW w:w="992" w:type="dxa"/>
            <w:tcBorders>
              <w:top w:val="nil"/>
              <w:left w:val="nil"/>
              <w:bottom w:val="single" w:sz="4" w:space="0" w:color="A6A6A6"/>
              <w:right w:val="single" w:sz="4" w:space="0" w:color="A6A6A6"/>
            </w:tcBorders>
            <w:shd w:val="clear" w:color="000000" w:fill="F2F2F2"/>
            <w:noWrap/>
            <w:vAlign w:val="bottom"/>
            <w:hideMark/>
          </w:tcPr>
          <w:p w14:paraId="304E70BC"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1</w:t>
            </w:r>
          </w:p>
        </w:tc>
      </w:tr>
      <w:tr w:rsidR="00D301A3" w:rsidRPr="00D25E96" w14:paraId="6F386234"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73856C84"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5</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60A104D4"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By taxi</w:t>
            </w:r>
          </w:p>
        </w:tc>
        <w:tc>
          <w:tcPr>
            <w:tcW w:w="1134" w:type="dxa"/>
            <w:tcBorders>
              <w:top w:val="nil"/>
              <w:left w:val="nil"/>
              <w:bottom w:val="single" w:sz="4" w:space="0" w:color="A6A6A6"/>
              <w:right w:val="single" w:sz="4" w:space="0" w:color="A6A6A6"/>
            </w:tcBorders>
            <w:shd w:val="clear" w:color="000000" w:fill="F2F2F2"/>
            <w:noWrap/>
            <w:vAlign w:val="bottom"/>
            <w:hideMark/>
          </w:tcPr>
          <w:p w14:paraId="1C43230B"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0.65%</w:t>
            </w:r>
          </w:p>
        </w:tc>
        <w:tc>
          <w:tcPr>
            <w:tcW w:w="992" w:type="dxa"/>
            <w:tcBorders>
              <w:top w:val="nil"/>
              <w:left w:val="nil"/>
              <w:bottom w:val="single" w:sz="4" w:space="0" w:color="A6A6A6"/>
              <w:right w:val="single" w:sz="4" w:space="0" w:color="A6A6A6"/>
            </w:tcBorders>
            <w:shd w:val="clear" w:color="000000" w:fill="F2F2F2"/>
            <w:noWrap/>
            <w:vAlign w:val="bottom"/>
            <w:hideMark/>
          </w:tcPr>
          <w:p w14:paraId="56A4114C"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2</w:t>
            </w:r>
          </w:p>
        </w:tc>
      </w:tr>
      <w:tr w:rsidR="00D301A3" w:rsidRPr="00D25E96" w14:paraId="33FC35C3"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611C5DAC"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6</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18428832"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 xml:space="preserve">Not applicable </w:t>
            </w:r>
          </w:p>
        </w:tc>
        <w:tc>
          <w:tcPr>
            <w:tcW w:w="1134" w:type="dxa"/>
            <w:tcBorders>
              <w:top w:val="nil"/>
              <w:left w:val="nil"/>
              <w:bottom w:val="single" w:sz="4" w:space="0" w:color="A6A6A6"/>
              <w:right w:val="single" w:sz="4" w:space="0" w:color="A6A6A6"/>
            </w:tcBorders>
            <w:shd w:val="clear" w:color="000000" w:fill="F2F2F2"/>
            <w:noWrap/>
            <w:vAlign w:val="bottom"/>
            <w:hideMark/>
          </w:tcPr>
          <w:p w14:paraId="4B6FB18B"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0.97%</w:t>
            </w:r>
          </w:p>
        </w:tc>
        <w:tc>
          <w:tcPr>
            <w:tcW w:w="992" w:type="dxa"/>
            <w:tcBorders>
              <w:top w:val="nil"/>
              <w:left w:val="nil"/>
              <w:bottom w:val="single" w:sz="4" w:space="0" w:color="A6A6A6"/>
              <w:right w:val="single" w:sz="4" w:space="0" w:color="A6A6A6"/>
            </w:tcBorders>
            <w:shd w:val="clear" w:color="000000" w:fill="F2F2F2"/>
            <w:noWrap/>
            <w:vAlign w:val="bottom"/>
            <w:hideMark/>
          </w:tcPr>
          <w:p w14:paraId="16FAF0FF"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3</w:t>
            </w:r>
          </w:p>
        </w:tc>
      </w:tr>
      <w:tr w:rsidR="00D301A3" w:rsidRPr="00D25E96" w14:paraId="7596B242"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6DA74C7C"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7</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462E184C"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 xml:space="preserve">Other </w:t>
            </w:r>
          </w:p>
        </w:tc>
        <w:tc>
          <w:tcPr>
            <w:tcW w:w="1134" w:type="dxa"/>
            <w:tcBorders>
              <w:top w:val="nil"/>
              <w:left w:val="nil"/>
              <w:bottom w:val="single" w:sz="4" w:space="0" w:color="A6A6A6"/>
              <w:right w:val="single" w:sz="4" w:space="0" w:color="A6A6A6"/>
            </w:tcBorders>
            <w:shd w:val="clear" w:color="000000" w:fill="F2F2F2"/>
            <w:noWrap/>
            <w:vAlign w:val="bottom"/>
            <w:hideMark/>
          </w:tcPr>
          <w:p w14:paraId="71670122"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1.62%</w:t>
            </w:r>
          </w:p>
        </w:tc>
        <w:tc>
          <w:tcPr>
            <w:tcW w:w="992" w:type="dxa"/>
            <w:tcBorders>
              <w:top w:val="nil"/>
              <w:left w:val="nil"/>
              <w:bottom w:val="single" w:sz="4" w:space="0" w:color="A6A6A6"/>
              <w:right w:val="single" w:sz="4" w:space="0" w:color="A6A6A6"/>
            </w:tcBorders>
            <w:shd w:val="clear" w:color="000000" w:fill="F2F2F2"/>
            <w:noWrap/>
            <w:vAlign w:val="bottom"/>
            <w:hideMark/>
          </w:tcPr>
          <w:p w14:paraId="17A37A47"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5</w:t>
            </w:r>
          </w:p>
        </w:tc>
      </w:tr>
      <w:tr w:rsidR="00D301A3" w:rsidRPr="00D25E96" w14:paraId="6693530F" w14:textId="77777777" w:rsidTr="00AA572E">
        <w:trPr>
          <w:trHeight w:val="290"/>
        </w:trPr>
        <w:tc>
          <w:tcPr>
            <w:tcW w:w="6091"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31417E38" w14:textId="77777777" w:rsidR="00D301A3" w:rsidRPr="00D25E96" w:rsidRDefault="00D301A3" w:rsidP="00DC54F7">
            <w:pPr>
              <w:spacing w:after="0" w:line="240" w:lineRule="auto"/>
              <w:jc w:val="both"/>
              <w:rPr>
                <w:rFonts w:ascii="Arial" w:eastAsia="Times New Roman" w:hAnsi="Arial" w:cs="Arial"/>
                <w:b/>
                <w:bCs/>
                <w:color w:val="000000"/>
                <w:lang w:eastAsia="en-GB"/>
              </w:rPr>
            </w:pPr>
            <w:r w:rsidRPr="00D25E96">
              <w:rPr>
                <w:rFonts w:ascii="Arial" w:eastAsia="Times New Roman" w:hAnsi="Arial" w:cs="Arial"/>
                <w:b/>
                <w:bCs/>
                <w:color w:val="000000"/>
                <w:lang w:eastAsia="en-GB"/>
              </w:rPr>
              <w:t> </w:t>
            </w:r>
          </w:p>
        </w:tc>
        <w:tc>
          <w:tcPr>
            <w:tcW w:w="992" w:type="dxa"/>
            <w:tcBorders>
              <w:top w:val="nil"/>
              <w:left w:val="nil"/>
              <w:bottom w:val="single" w:sz="4" w:space="0" w:color="A6A6A6"/>
              <w:right w:val="single" w:sz="4" w:space="0" w:color="A6A6A6"/>
            </w:tcBorders>
            <w:shd w:val="clear" w:color="000000" w:fill="F2F2F2"/>
            <w:vAlign w:val="center"/>
            <w:hideMark/>
          </w:tcPr>
          <w:p w14:paraId="38940814" w14:textId="77777777" w:rsidR="00D301A3" w:rsidRPr="00D25E96" w:rsidRDefault="00D301A3" w:rsidP="00DC54F7">
            <w:pPr>
              <w:spacing w:after="0" w:line="240" w:lineRule="auto"/>
              <w:jc w:val="both"/>
              <w:rPr>
                <w:rFonts w:ascii="Arial" w:eastAsia="Times New Roman" w:hAnsi="Arial" w:cs="Arial"/>
                <w:b/>
                <w:bCs/>
                <w:color w:val="000000"/>
                <w:sz w:val="18"/>
                <w:szCs w:val="18"/>
                <w:lang w:eastAsia="en-GB"/>
              </w:rPr>
            </w:pPr>
            <w:r w:rsidRPr="00D25E96">
              <w:rPr>
                <w:rFonts w:ascii="Arial" w:eastAsia="Times New Roman" w:hAnsi="Arial" w:cs="Arial"/>
                <w:b/>
                <w:bCs/>
                <w:color w:val="000000"/>
                <w:sz w:val="18"/>
                <w:szCs w:val="18"/>
                <w:lang w:eastAsia="en-GB"/>
              </w:rPr>
              <w:t xml:space="preserve">Total </w:t>
            </w:r>
          </w:p>
        </w:tc>
        <w:tc>
          <w:tcPr>
            <w:tcW w:w="1134" w:type="dxa"/>
            <w:tcBorders>
              <w:top w:val="nil"/>
              <w:left w:val="nil"/>
              <w:bottom w:val="single" w:sz="4" w:space="0" w:color="A6A6A6"/>
              <w:right w:val="single" w:sz="4" w:space="0" w:color="A6A6A6"/>
            </w:tcBorders>
            <w:shd w:val="clear" w:color="000000" w:fill="F2F2F2"/>
            <w:noWrap/>
            <w:vAlign w:val="bottom"/>
            <w:hideMark/>
          </w:tcPr>
          <w:p w14:paraId="2206CA06"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100.00%</w:t>
            </w:r>
          </w:p>
        </w:tc>
        <w:tc>
          <w:tcPr>
            <w:tcW w:w="992" w:type="dxa"/>
            <w:tcBorders>
              <w:top w:val="nil"/>
              <w:left w:val="nil"/>
              <w:bottom w:val="single" w:sz="4" w:space="0" w:color="A6A6A6"/>
              <w:right w:val="single" w:sz="4" w:space="0" w:color="A6A6A6"/>
            </w:tcBorders>
            <w:shd w:val="clear" w:color="000000" w:fill="F2F2F2"/>
            <w:noWrap/>
            <w:vAlign w:val="bottom"/>
            <w:hideMark/>
          </w:tcPr>
          <w:p w14:paraId="79810B16"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308</w:t>
            </w:r>
          </w:p>
        </w:tc>
      </w:tr>
      <w:tr w:rsidR="00D301A3" w:rsidRPr="00D25E96" w14:paraId="7EE19B56" w14:textId="77777777" w:rsidTr="00AA572E">
        <w:trPr>
          <w:trHeight w:val="290"/>
        </w:trPr>
        <w:tc>
          <w:tcPr>
            <w:tcW w:w="6091" w:type="dxa"/>
            <w:gridSpan w:val="2"/>
            <w:vMerge/>
            <w:tcBorders>
              <w:top w:val="single" w:sz="4" w:space="0" w:color="A6A6A6"/>
              <w:left w:val="single" w:sz="4" w:space="0" w:color="A6A6A6"/>
              <w:bottom w:val="single" w:sz="4" w:space="0" w:color="A6A6A6"/>
              <w:right w:val="single" w:sz="4" w:space="0" w:color="A6A6A6"/>
            </w:tcBorders>
            <w:vAlign w:val="center"/>
            <w:hideMark/>
          </w:tcPr>
          <w:p w14:paraId="3CE66142" w14:textId="77777777" w:rsidR="00D301A3" w:rsidRPr="00D25E96" w:rsidRDefault="00D301A3" w:rsidP="00DC54F7">
            <w:pPr>
              <w:spacing w:after="0" w:line="240" w:lineRule="auto"/>
              <w:jc w:val="both"/>
              <w:rPr>
                <w:rFonts w:ascii="Arial" w:eastAsia="Times New Roman" w:hAnsi="Arial" w:cs="Arial"/>
                <w:b/>
                <w:bCs/>
                <w:color w:val="000000"/>
                <w:lang w:eastAsia="en-GB"/>
              </w:rPr>
            </w:pPr>
          </w:p>
        </w:tc>
        <w:tc>
          <w:tcPr>
            <w:tcW w:w="992" w:type="dxa"/>
            <w:tcBorders>
              <w:top w:val="nil"/>
              <w:left w:val="nil"/>
              <w:bottom w:val="single" w:sz="4" w:space="0" w:color="A6A6A6"/>
              <w:right w:val="single" w:sz="4" w:space="0" w:color="A6A6A6"/>
            </w:tcBorders>
            <w:shd w:val="clear" w:color="000000" w:fill="F2F2F2"/>
            <w:vAlign w:val="center"/>
            <w:hideMark/>
          </w:tcPr>
          <w:p w14:paraId="6D2DEFA6" w14:textId="77777777" w:rsidR="00D301A3" w:rsidRPr="00D25E96" w:rsidRDefault="00D301A3" w:rsidP="00DC54F7">
            <w:pPr>
              <w:spacing w:after="0" w:line="240" w:lineRule="auto"/>
              <w:jc w:val="both"/>
              <w:rPr>
                <w:rFonts w:ascii="Arial" w:eastAsia="Times New Roman" w:hAnsi="Arial" w:cs="Arial"/>
                <w:b/>
                <w:bCs/>
                <w:color w:val="000000"/>
                <w:sz w:val="18"/>
                <w:szCs w:val="18"/>
                <w:lang w:eastAsia="en-GB"/>
              </w:rPr>
            </w:pPr>
            <w:r w:rsidRPr="00D25E96">
              <w:rPr>
                <w:rFonts w:ascii="Arial" w:eastAsia="Times New Roman" w:hAnsi="Arial" w:cs="Arial"/>
                <w:b/>
                <w:bCs/>
                <w:color w:val="000000"/>
                <w:sz w:val="18"/>
                <w:szCs w:val="18"/>
                <w:lang w:eastAsia="en-GB"/>
              </w:rPr>
              <w:t>Skipped</w:t>
            </w:r>
          </w:p>
        </w:tc>
        <w:tc>
          <w:tcPr>
            <w:tcW w:w="1134" w:type="dxa"/>
            <w:tcBorders>
              <w:top w:val="nil"/>
              <w:left w:val="nil"/>
              <w:bottom w:val="single" w:sz="4" w:space="0" w:color="A6A6A6"/>
              <w:right w:val="single" w:sz="4" w:space="0" w:color="A6A6A6"/>
            </w:tcBorders>
            <w:shd w:val="clear" w:color="000000" w:fill="F2F2F2"/>
            <w:noWrap/>
            <w:vAlign w:val="bottom"/>
            <w:hideMark/>
          </w:tcPr>
          <w:p w14:paraId="164FA8DF"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 </w:t>
            </w:r>
          </w:p>
        </w:tc>
        <w:tc>
          <w:tcPr>
            <w:tcW w:w="992" w:type="dxa"/>
            <w:tcBorders>
              <w:top w:val="nil"/>
              <w:left w:val="nil"/>
              <w:bottom w:val="single" w:sz="4" w:space="0" w:color="A6A6A6"/>
              <w:right w:val="single" w:sz="4" w:space="0" w:color="A6A6A6"/>
            </w:tcBorders>
            <w:shd w:val="clear" w:color="000000" w:fill="F2F2F2"/>
            <w:noWrap/>
            <w:vAlign w:val="bottom"/>
            <w:hideMark/>
          </w:tcPr>
          <w:p w14:paraId="090E2657"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3</w:t>
            </w:r>
          </w:p>
        </w:tc>
      </w:tr>
    </w:tbl>
    <w:p w14:paraId="30113A3D" w14:textId="77777777" w:rsidR="00D301A3" w:rsidRDefault="00D301A3" w:rsidP="00DC54F7">
      <w:pPr>
        <w:jc w:val="both"/>
      </w:pPr>
    </w:p>
    <w:p w14:paraId="6F3F36E1" w14:textId="77777777" w:rsidR="00D301A3" w:rsidRPr="0025083D" w:rsidRDefault="00D301A3" w:rsidP="00DC54F7">
      <w:pPr>
        <w:spacing w:after="0"/>
        <w:jc w:val="both"/>
        <w:rPr>
          <w:rFonts w:ascii="Arial" w:hAnsi="Arial" w:cs="Arial"/>
          <w:b/>
          <w:bCs/>
        </w:rPr>
      </w:pPr>
      <w:r>
        <w:rPr>
          <w:rFonts w:ascii="Arial" w:hAnsi="Arial" w:cs="Arial"/>
          <w:b/>
          <w:bCs/>
        </w:rPr>
        <w:t>A t</w:t>
      </w:r>
      <w:r w:rsidRPr="0025083D">
        <w:rPr>
          <w:rFonts w:ascii="Arial" w:hAnsi="Arial" w:cs="Arial"/>
          <w:b/>
          <w:bCs/>
        </w:rPr>
        <w:t>otal of five comments were received:</w:t>
      </w:r>
    </w:p>
    <w:p w14:paraId="672946CE" w14:textId="77777777" w:rsidR="00D301A3" w:rsidRPr="0025083D" w:rsidRDefault="00D301A3" w:rsidP="00DC54F7">
      <w:pPr>
        <w:pStyle w:val="ListParagraph"/>
        <w:numPr>
          <w:ilvl w:val="0"/>
          <w:numId w:val="165"/>
        </w:numPr>
        <w:spacing w:after="0" w:line="240" w:lineRule="auto"/>
        <w:jc w:val="both"/>
        <w:rPr>
          <w:rFonts w:ascii="Arial" w:hAnsi="Arial" w:cs="Arial"/>
        </w:rPr>
      </w:pPr>
      <w:r>
        <w:rPr>
          <w:rFonts w:ascii="Arial" w:hAnsi="Arial" w:cs="Arial"/>
        </w:rPr>
        <w:t>“</w:t>
      </w:r>
      <w:r w:rsidRPr="0025083D">
        <w:rPr>
          <w:rFonts w:ascii="Arial" w:hAnsi="Arial" w:cs="Arial"/>
        </w:rPr>
        <w:t>Shielding so prescription collected normally by car</w:t>
      </w:r>
      <w:r>
        <w:rPr>
          <w:rFonts w:ascii="Arial" w:hAnsi="Arial" w:cs="Arial"/>
        </w:rPr>
        <w:t>.”</w:t>
      </w:r>
    </w:p>
    <w:p w14:paraId="358E2A6C" w14:textId="77777777" w:rsidR="00D301A3" w:rsidRPr="0025083D" w:rsidRDefault="00D301A3" w:rsidP="00DC54F7">
      <w:pPr>
        <w:pStyle w:val="ListParagraph"/>
        <w:numPr>
          <w:ilvl w:val="0"/>
          <w:numId w:val="165"/>
        </w:numPr>
        <w:spacing w:after="0" w:line="240" w:lineRule="auto"/>
        <w:jc w:val="both"/>
        <w:rPr>
          <w:rFonts w:ascii="Arial" w:hAnsi="Arial" w:cs="Arial"/>
        </w:rPr>
      </w:pPr>
      <w:r>
        <w:rPr>
          <w:rFonts w:ascii="Arial" w:hAnsi="Arial" w:cs="Arial"/>
        </w:rPr>
        <w:t>“</w:t>
      </w:r>
      <w:r w:rsidRPr="0025083D">
        <w:rPr>
          <w:rFonts w:ascii="Arial" w:hAnsi="Arial" w:cs="Arial"/>
        </w:rPr>
        <w:t>Loo</w:t>
      </w:r>
      <w:r>
        <w:rPr>
          <w:rFonts w:ascii="Arial" w:hAnsi="Arial" w:cs="Arial"/>
        </w:rPr>
        <w:t>.”</w:t>
      </w:r>
    </w:p>
    <w:p w14:paraId="29FE460E" w14:textId="77777777" w:rsidR="00D301A3" w:rsidRPr="0025083D" w:rsidRDefault="00D301A3" w:rsidP="00DC54F7">
      <w:pPr>
        <w:pStyle w:val="ListParagraph"/>
        <w:numPr>
          <w:ilvl w:val="0"/>
          <w:numId w:val="165"/>
        </w:numPr>
        <w:spacing w:after="0" w:line="240" w:lineRule="auto"/>
        <w:jc w:val="both"/>
        <w:rPr>
          <w:rFonts w:ascii="Arial" w:hAnsi="Arial" w:cs="Arial"/>
        </w:rPr>
      </w:pPr>
      <w:r>
        <w:rPr>
          <w:rFonts w:ascii="Arial" w:hAnsi="Arial" w:cs="Arial"/>
        </w:rPr>
        <w:t>“</w:t>
      </w:r>
      <w:r w:rsidRPr="0025083D">
        <w:rPr>
          <w:rFonts w:ascii="Arial" w:hAnsi="Arial" w:cs="Arial"/>
        </w:rPr>
        <w:t>My husband picks up meds on way back from work</w:t>
      </w:r>
      <w:r>
        <w:rPr>
          <w:rFonts w:ascii="Arial" w:hAnsi="Arial" w:cs="Arial"/>
        </w:rPr>
        <w:t>.”</w:t>
      </w:r>
    </w:p>
    <w:p w14:paraId="1AD2523E" w14:textId="77777777" w:rsidR="00D301A3" w:rsidRPr="0025083D" w:rsidRDefault="00D301A3" w:rsidP="00DC54F7">
      <w:pPr>
        <w:pStyle w:val="ListParagraph"/>
        <w:numPr>
          <w:ilvl w:val="0"/>
          <w:numId w:val="165"/>
        </w:numPr>
        <w:spacing w:after="0" w:line="240" w:lineRule="auto"/>
        <w:jc w:val="both"/>
        <w:rPr>
          <w:rFonts w:ascii="Arial" w:hAnsi="Arial" w:cs="Arial"/>
        </w:rPr>
      </w:pPr>
      <w:r>
        <w:rPr>
          <w:rFonts w:ascii="Arial" w:hAnsi="Arial" w:cs="Arial"/>
        </w:rPr>
        <w:t>“W</w:t>
      </w:r>
      <w:r w:rsidRPr="0025083D">
        <w:rPr>
          <w:rFonts w:ascii="Arial" w:hAnsi="Arial" w:cs="Arial"/>
        </w:rPr>
        <w:t>hen the weather is good. I will walk.</w:t>
      </w:r>
      <w:r>
        <w:rPr>
          <w:rFonts w:ascii="Arial" w:hAnsi="Arial" w:cs="Arial"/>
        </w:rPr>
        <w:t>”</w:t>
      </w:r>
    </w:p>
    <w:p w14:paraId="11A9CF1F" w14:textId="77777777" w:rsidR="00D301A3" w:rsidRDefault="00D301A3" w:rsidP="00DC54F7">
      <w:pPr>
        <w:pStyle w:val="ListParagraph"/>
        <w:numPr>
          <w:ilvl w:val="0"/>
          <w:numId w:val="165"/>
        </w:numPr>
        <w:spacing w:after="0" w:line="240" w:lineRule="auto"/>
        <w:jc w:val="both"/>
      </w:pPr>
      <w:r>
        <w:rPr>
          <w:rFonts w:ascii="Arial" w:hAnsi="Arial" w:cs="Arial"/>
        </w:rPr>
        <w:t>“</w:t>
      </w:r>
      <w:r w:rsidRPr="0025083D">
        <w:rPr>
          <w:rFonts w:ascii="Arial" w:hAnsi="Arial" w:cs="Arial"/>
        </w:rPr>
        <w:t>Or walk</w:t>
      </w:r>
      <w:r>
        <w:rPr>
          <w:rFonts w:ascii="Arial" w:hAnsi="Arial" w:cs="Arial"/>
        </w:rPr>
        <w:t>.”</w:t>
      </w:r>
    </w:p>
    <w:p w14:paraId="3A7B8D63" w14:textId="2B224581" w:rsidR="00D301A3" w:rsidRDefault="00D301A3" w:rsidP="00DC54F7">
      <w:pPr>
        <w:spacing w:after="0" w:line="240" w:lineRule="auto"/>
        <w:jc w:val="both"/>
      </w:pPr>
    </w:p>
    <w:p w14:paraId="5CD13596" w14:textId="61019F85" w:rsidR="001B5C8F" w:rsidRDefault="001B5C8F" w:rsidP="00DC54F7">
      <w:pPr>
        <w:spacing w:after="0" w:line="240" w:lineRule="auto"/>
        <w:jc w:val="both"/>
      </w:pPr>
    </w:p>
    <w:p w14:paraId="16519DF7" w14:textId="5425CEBE" w:rsidR="001B5C8F" w:rsidRDefault="001B5C8F" w:rsidP="00DC54F7">
      <w:pPr>
        <w:spacing w:after="0" w:line="240" w:lineRule="auto"/>
        <w:jc w:val="both"/>
      </w:pPr>
    </w:p>
    <w:p w14:paraId="497929D6" w14:textId="4846D647" w:rsidR="001B5C8F" w:rsidRDefault="001B5C8F" w:rsidP="00DC54F7">
      <w:pPr>
        <w:spacing w:after="0" w:line="240" w:lineRule="auto"/>
        <w:jc w:val="both"/>
      </w:pPr>
    </w:p>
    <w:p w14:paraId="60972BF8" w14:textId="227EC28E" w:rsidR="001B5C8F" w:rsidRDefault="001B5C8F" w:rsidP="00DC54F7">
      <w:pPr>
        <w:spacing w:after="0" w:line="240" w:lineRule="auto"/>
        <w:jc w:val="both"/>
      </w:pPr>
    </w:p>
    <w:p w14:paraId="73FA85EB" w14:textId="6CF07B62" w:rsidR="001B5C8F" w:rsidRDefault="001B5C8F" w:rsidP="00DC54F7">
      <w:pPr>
        <w:spacing w:after="0" w:line="240" w:lineRule="auto"/>
        <w:jc w:val="both"/>
      </w:pPr>
    </w:p>
    <w:p w14:paraId="60BA57E9" w14:textId="67CB627B" w:rsidR="001B5C8F" w:rsidRDefault="001B5C8F" w:rsidP="00DC54F7">
      <w:pPr>
        <w:spacing w:after="0" w:line="240" w:lineRule="auto"/>
        <w:jc w:val="both"/>
      </w:pPr>
    </w:p>
    <w:p w14:paraId="008DE48D" w14:textId="5E859CDC" w:rsidR="001B5C8F" w:rsidRDefault="001B5C8F" w:rsidP="00DC54F7">
      <w:pPr>
        <w:spacing w:after="0" w:line="240" w:lineRule="auto"/>
        <w:jc w:val="both"/>
      </w:pPr>
    </w:p>
    <w:p w14:paraId="46DF8122" w14:textId="0769D929" w:rsidR="001B5C8F" w:rsidRDefault="001B5C8F" w:rsidP="00DC54F7">
      <w:pPr>
        <w:spacing w:after="0" w:line="240" w:lineRule="auto"/>
        <w:jc w:val="both"/>
      </w:pPr>
    </w:p>
    <w:p w14:paraId="02BCAB47" w14:textId="77777777" w:rsidR="001B5C8F" w:rsidRDefault="001B5C8F" w:rsidP="00DC54F7">
      <w:pPr>
        <w:spacing w:after="0" w:line="240" w:lineRule="auto"/>
        <w:jc w:val="both"/>
      </w:pPr>
    </w:p>
    <w:p w14:paraId="30EBE07D" w14:textId="77777777" w:rsidR="00D301A3" w:rsidRDefault="00D301A3" w:rsidP="00DC54F7">
      <w:pPr>
        <w:spacing w:after="0" w:line="240" w:lineRule="auto"/>
        <w:jc w:val="both"/>
        <w:rPr>
          <w:rFonts w:ascii="Arial" w:eastAsia="Times New Roman" w:hAnsi="Arial" w:cs="Arial"/>
          <w:b/>
          <w:bCs/>
          <w:color w:val="333333"/>
          <w:lang w:eastAsia="en-GB"/>
        </w:rPr>
      </w:pPr>
      <w:r w:rsidRPr="00D25E96">
        <w:rPr>
          <w:rFonts w:ascii="Arial" w:eastAsia="Times New Roman" w:hAnsi="Arial" w:cs="Arial"/>
          <w:b/>
          <w:bCs/>
          <w:color w:val="333333"/>
          <w:lang w:eastAsia="en-GB"/>
        </w:rPr>
        <w:lastRenderedPageBreak/>
        <w:t xml:space="preserve">13. ...and how long does it usually take to get there? Please tick one. </w:t>
      </w:r>
    </w:p>
    <w:p w14:paraId="640FE6DC" w14:textId="77777777" w:rsidR="00D301A3" w:rsidRPr="00F33FE2" w:rsidRDefault="00D301A3" w:rsidP="00DC54F7">
      <w:pPr>
        <w:spacing w:after="0" w:line="240" w:lineRule="auto"/>
        <w:jc w:val="both"/>
        <w:rPr>
          <w:rFonts w:ascii="Arial" w:eastAsia="Times New Roman" w:hAnsi="Arial" w:cs="Arial"/>
          <w:b/>
          <w:bCs/>
          <w:color w:val="333333"/>
          <w:lang w:eastAsia="en-GB"/>
        </w:rPr>
      </w:pPr>
    </w:p>
    <w:tbl>
      <w:tblPr>
        <w:tblW w:w="9209" w:type="dxa"/>
        <w:tblLook w:val="04A0" w:firstRow="1" w:lastRow="0" w:firstColumn="1" w:lastColumn="0" w:noHBand="0" w:noVBand="1"/>
      </w:tblPr>
      <w:tblGrid>
        <w:gridCol w:w="960"/>
        <w:gridCol w:w="5131"/>
        <w:gridCol w:w="992"/>
        <w:gridCol w:w="1134"/>
        <w:gridCol w:w="992"/>
      </w:tblGrid>
      <w:tr w:rsidR="00D301A3" w:rsidRPr="00D25E96" w14:paraId="6C9ADEEB" w14:textId="77777777" w:rsidTr="00AA572E">
        <w:trPr>
          <w:trHeight w:val="290"/>
        </w:trPr>
        <w:tc>
          <w:tcPr>
            <w:tcW w:w="7083" w:type="dxa"/>
            <w:gridSpan w:val="3"/>
            <w:tcBorders>
              <w:top w:val="single" w:sz="4" w:space="0" w:color="A6A6A6"/>
              <w:left w:val="single" w:sz="4" w:space="0" w:color="A6A6A6"/>
              <w:bottom w:val="single" w:sz="4" w:space="0" w:color="A6A6A6"/>
              <w:right w:val="nil"/>
            </w:tcBorders>
            <w:shd w:val="clear" w:color="000000" w:fill="ACB9CA"/>
            <w:noWrap/>
            <w:vAlign w:val="center"/>
            <w:hideMark/>
          </w:tcPr>
          <w:p w14:paraId="511882C0" w14:textId="77777777" w:rsidR="00D301A3" w:rsidRPr="00D25E96" w:rsidRDefault="00D301A3" w:rsidP="00DC54F7">
            <w:pPr>
              <w:spacing w:after="0" w:line="240" w:lineRule="auto"/>
              <w:jc w:val="both"/>
              <w:rPr>
                <w:rFonts w:ascii="Arial" w:eastAsia="Times New Roman" w:hAnsi="Arial" w:cs="Arial"/>
                <w:b/>
                <w:bCs/>
                <w:color w:val="FFFFFF"/>
                <w:sz w:val="21"/>
                <w:szCs w:val="21"/>
                <w:lang w:eastAsia="en-GB"/>
              </w:rPr>
            </w:pPr>
            <w:r w:rsidRPr="00D25E96">
              <w:rPr>
                <w:rFonts w:ascii="Arial" w:eastAsia="Times New Roman" w:hAnsi="Arial" w:cs="Arial"/>
                <w:b/>
                <w:bCs/>
                <w:color w:val="FFFFFF"/>
                <w:sz w:val="21"/>
                <w:szCs w:val="21"/>
                <w:lang w:eastAsia="en-GB"/>
              </w:rPr>
              <w:t> </w:t>
            </w:r>
          </w:p>
        </w:tc>
        <w:tc>
          <w:tcPr>
            <w:tcW w:w="2126" w:type="dxa"/>
            <w:gridSpan w:val="2"/>
            <w:tcBorders>
              <w:top w:val="single" w:sz="4" w:space="0" w:color="A6A6A6"/>
              <w:left w:val="nil"/>
              <w:bottom w:val="single" w:sz="4" w:space="0" w:color="A6A6A6"/>
              <w:right w:val="single" w:sz="4" w:space="0" w:color="A6A6A6"/>
            </w:tcBorders>
            <w:shd w:val="clear" w:color="000000" w:fill="ACB9CA"/>
            <w:noWrap/>
            <w:vAlign w:val="center"/>
            <w:hideMark/>
          </w:tcPr>
          <w:p w14:paraId="345CF11E" w14:textId="77777777" w:rsidR="00D301A3" w:rsidRPr="00D25E96" w:rsidRDefault="00D301A3" w:rsidP="00DC54F7">
            <w:pPr>
              <w:spacing w:after="0" w:line="240" w:lineRule="auto"/>
              <w:jc w:val="both"/>
              <w:rPr>
                <w:rFonts w:ascii="Arial" w:eastAsia="Times New Roman" w:hAnsi="Arial" w:cs="Arial"/>
                <w:b/>
                <w:bCs/>
                <w:color w:val="FFFFFF"/>
                <w:sz w:val="21"/>
                <w:szCs w:val="21"/>
                <w:lang w:eastAsia="en-GB"/>
              </w:rPr>
            </w:pPr>
            <w:r w:rsidRPr="00D25E96">
              <w:rPr>
                <w:rFonts w:ascii="Arial" w:eastAsia="Times New Roman" w:hAnsi="Arial" w:cs="Arial"/>
                <w:b/>
                <w:bCs/>
                <w:color w:val="FFFFFF"/>
                <w:sz w:val="21"/>
                <w:szCs w:val="21"/>
                <w:lang w:eastAsia="en-GB"/>
              </w:rPr>
              <w:t>Response</w:t>
            </w:r>
          </w:p>
        </w:tc>
      </w:tr>
      <w:tr w:rsidR="00D301A3" w:rsidRPr="00D25E96" w14:paraId="7E72C44F" w14:textId="77777777" w:rsidTr="00AA572E">
        <w:trPr>
          <w:trHeight w:val="290"/>
        </w:trPr>
        <w:tc>
          <w:tcPr>
            <w:tcW w:w="7083"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0C66C11B" w14:textId="77777777" w:rsidR="00D301A3" w:rsidRPr="00D25E96" w:rsidRDefault="00D301A3" w:rsidP="00DC54F7">
            <w:pPr>
              <w:spacing w:after="0" w:line="240" w:lineRule="auto"/>
              <w:jc w:val="both"/>
              <w:rPr>
                <w:rFonts w:ascii="Arial" w:eastAsia="Times New Roman" w:hAnsi="Arial" w:cs="Arial"/>
                <w:b/>
                <w:bCs/>
                <w:color w:val="000000"/>
                <w:sz w:val="18"/>
                <w:szCs w:val="18"/>
                <w:lang w:eastAsia="en-GB"/>
              </w:rPr>
            </w:pPr>
            <w:r w:rsidRPr="00D25E96">
              <w:rPr>
                <w:rFonts w:ascii="Arial" w:eastAsia="Times New Roman" w:hAnsi="Arial" w:cs="Arial"/>
                <w:b/>
                <w:bCs/>
                <w:color w:val="000000"/>
                <w:sz w:val="18"/>
                <w:szCs w:val="18"/>
                <w:lang w:eastAsia="en-GB"/>
              </w:rPr>
              <w:t> </w:t>
            </w:r>
          </w:p>
        </w:tc>
        <w:tc>
          <w:tcPr>
            <w:tcW w:w="1134" w:type="dxa"/>
            <w:tcBorders>
              <w:top w:val="nil"/>
              <w:left w:val="nil"/>
              <w:bottom w:val="single" w:sz="4" w:space="0" w:color="A6A6A6"/>
              <w:right w:val="single" w:sz="4" w:space="0" w:color="A6A6A6"/>
            </w:tcBorders>
            <w:shd w:val="clear" w:color="000000" w:fill="F2F2F2"/>
            <w:noWrap/>
            <w:vAlign w:val="center"/>
            <w:hideMark/>
          </w:tcPr>
          <w:p w14:paraId="5D0AD34B" w14:textId="77777777" w:rsidR="00D301A3" w:rsidRPr="00D25E96" w:rsidRDefault="00D301A3" w:rsidP="00DC54F7">
            <w:pPr>
              <w:spacing w:after="0" w:line="240" w:lineRule="auto"/>
              <w:jc w:val="both"/>
              <w:rPr>
                <w:rFonts w:ascii="Arial" w:eastAsia="Times New Roman" w:hAnsi="Arial" w:cs="Arial"/>
                <w:b/>
                <w:bCs/>
                <w:color w:val="000000"/>
                <w:sz w:val="18"/>
                <w:szCs w:val="18"/>
                <w:lang w:eastAsia="en-GB"/>
              </w:rPr>
            </w:pPr>
            <w:r w:rsidRPr="00D25E96">
              <w:rPr>
                <w:rFonts w:ascii="Arial" w:eastAsia="Times New Roman" w:hAnsi="Arial" w:cs="Arial"/>
                <w:b/>
                <w:bCs/>
                <w:color w:val="000000"/>
                <w:sz w:val="18"/>
                <w:szCs w:val="18"/>
                <w:lang w:eastAsia="en-GB"/>
              </w:rPr>
              <w:t>Percent</w:t>
            </w:r>
          </w:p>
        </w:tc>
        <w:tc>
          <w:tcPr>
            <w:tcW w:w="992" w:type="dxa"/>
            <w:tcBorders>
              <w:top w:val="nil"/>
              <w:left w:val="nil"/>
              <w:bottom w:val="single" w:sz="4" w:space="0" w:color="A6A6A6"/>
              <w:right w:val="single" w:sz="4" w:space="0" w:color="A6A6A6"/>
            </w:tcBorders>
            <w:shd w:val="clear" w:color="000000" w:fill="F2F2F2"/>
            <w:noWrap/>
            <w:vAlign w:val="center"/>
            <w:hideMark/>
          </w:tcPr>
          <w:p w14:paraId="0358BDB7" w14:textId="77777777" w:rsidR="00D301A3" w:rsidRPr="00D25E96" w:rsidRDefault="00D301A3" w:rsidP="00DC54F7">
            <w:pPr>
              <w:spacing w:after="0" w:line="240" w:lineRule="auto"/>
              <w:jc w:val="both"/>
              <w:rPr>
                <w:rFonts w:ascii="Arial" w:eastAsia="Times New Roman" w:hAnsi="Arial" w:cs="Arial"/>
                <w:b/>
                <w:bCs/>
                <w:color w:val="000000"/>
                <w:sz w:val="18"/>
                <w:szCs w:val="18"/>
                <w:lang w:eastAsia="en-GB"/>
              </w:rPr>
            </w:pPr>
            <w:r w:rsidRPr="00D25E96">
              <w:rPr>
                <w:rFonts w:ascii="Arial" w:eastAsia="Times New Roman" w:hAnsi="Arial" w:cs="Arial"/>
                <w:b/>
                <w:bCs/>
                <w:color w:val="000000"/>
                <w:sz w:val="18"/>
                <w:szCs w:val="18"/>
                <w:lang w:eastAsia="en-GB"/>
              </w:rPr>
              <w:t>Total</w:t>
            </w:r>
          </w:p>
        </w:tc>
      </w:tr>
      <w:tr w:rsidR="00D301A3" w:rsidRPr="00D25E96" w14:paraId="7BF5B79E"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3E1F8B2"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1</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5F0E9104"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Less than 5 minutes</w:t>
            </w:r>
          </w:p>
        </w:tc>
        <w:tc>
          <w:tcPr>
            <w:tcW w:w="1134" w:type="dxa"/>
            <w:tcBorders>
              <w:top w:val="nil"/>
              <w:left w:val="nil"/>
              <w:bottom w:val="single" w:sz="4" w:space="0" w:color="A6A6A6"/>
              <w:right w:val="single" w:sz="4" w:space="0" w:color="A6A6A6"/>
            </w:tcBorders>
            <w:shd w:val="clear" w:color="000000" w:fill="F2F2F2"/>
            <w:noWrap/>
            <w:vAlign w:val="bottom"/>
            <w:hideMark/>
          </w:tcPr>
          <w:p w14:paraId="4CDE23D0"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37.50%</w:t>
            </w:r>
          </w:p>
        </w:tc>
        <w:tc>
          <w:tcPr>
            <w:tcW w:w="992" w:type="dxa"/>
            <w:tcBorders>
              <w:top w:val="nil"/>
              <w:left w:val="nil"/>
              <w:bottom w:val="single" w:sz="4" w:space="0" w:color="A6A6A6"/>
              <w:right w:val="single" w:sz="4" w:space="0" w:color="A6A6A6"/>
            </w:tcBorders>
            <w:shd w:val="clear" w:color="000000" w:fill="F2F2F2"/>
            <w:noWrap/>
            <w:vAlign w:val="bottom"/>
            <w:hideMark/>
          </w:tcPr>
          <w:p w14:paraId="0110C8D8"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114</w:t>
            </w:r>
          </w:p>
        </w:tc>
      </w:tr>
      <w:tr w:rsidR="00D301A3" w:rsidRPr="00D25E96" w14:paraId="23B54773"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C922E99"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2</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2F126EE3"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Between 5 and 15 minutes</w:t>
            </w:r>
          </w:p>
        </w:tc>
        <w:tc>
          <w:tcPr>
            <w:tcW w:w="1134" w:type="dxa"/>
            <w:tcBorders>
              <w:top w:val="nil"/>
              <w:left w:val="nil"/>
              <w:bottom w:val="single" w:sz="4" w:space="0" w:color="A6A6A6"/>
              <w:right w:val="single" w:sz="4" w:space="0" w:color="A6A6A6"/>
            </w:tcBorders>
            <w:shd w:val="clear" w:color="000000" w:fill="F2F2F2"/>
            <w:noWrap/>
            <w:vAlign w:val="bottom"/>
            <w:hideMark/>
          </w:tcPr>
          <w:p w14:paraId="7134C2FE"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52.30%</w:t>
            </w:r>
          </w:p>
        </w:tc>
        <w:tc>
          <w:tcPr>
            <w:tcW w:w="992" w:type="dxa"/>
            <w:tcBorders>
              <w:top w:val="nil"/>
              <w:left w:val="nil"/>
              <w:bottom w:val="single" w:sz="4" w:space="0" w:color="A6A6A6"/>
              <w:right w:val="single" w:sz="4" w:space="0" w:color="A6A6A6"/>
            </w:tcBorders>
            <w:shd w:val="clear" w:color="000000" w:fill="F2F2F2"/>
            <w:noWrap/>
            <w:vAlign w:val="bottom"/>
            <w:hideMark/>
          </w:tcPr>
          <w:p w14:paraId="102983E3"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159</w:t>
            </w:r>
          </w:p>
        </w:tc>
      </w:tr>
      <w:tr w:rsidR="00D301A3" w:rsidRPr="00D25E96" w14:paraId="11514D5E"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7C82D227"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3</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41C51808"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More than 15 minutes but less than 20 minutes</w:t>
            </w:r>
          </w:p>
        </w:tc>
        <w:tc>
          <w:tcPr>
            <w:tcW w:w="1134" w:type="dxa"/>
            <w:tcBorders>
              <w:top w:val="nil"/>
              <w:left w:val="nil"/>
              <w:bottom w:val="single" w:sz="4" w:space="0" w:color="A6A6A6"/>
              <w:right w:val="single" w:sz="4" w:space="0" w:color="A6A6A6"/>
            </w:tcBorders>
            <w:shd w:val="clear" w:color="000000" w:fill="F2F2F2"/>
            <w:noWrap/>
            <w:vAlign w:val="bottom"/>
            <w:hideMark/>
          </w:tcPr>
          <w:p w14:paraId="4137BA1B"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6.58%</w:t>
            </w:r>
          </w:p>
        </w:tc>
        <w:tc>
          <w:tcPr>
            <w:tcW w:w="992" w:type="dxa"/>
            <w:tcBorders>
              <w:top w:val="nil"/>
              <w:left w:val="nil"/>
              <w:bottom w:val="single" w:sz="4" w:space="0" w:color="A6A6A6"/>
              <w:right w:val="single" w:sz="4" w:space="0" w:color="A6A6A6"/>
            </w:tcBorders>
            <w:shd w:val="clear" w:color="000000" w:fill="F2F2F2"/>
            <w:noWrap/>
            <w:vAlign w:val="bottom"/>
            <w:hideMark/>
          </w:tcPr>
          <w:p w14:paraId="11EB776D"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20</w:t>
            </w:r>
          </w:p>
        </w:tc>
      </w:tr>
      <w:tr w:rsidR="00D301A3" w:rsidRPr="00D25E96" w14:paraId="2B4ECC59"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7711CE89"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4</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012D513D"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More than 20 minutes</w:t>
            </w:r>
          </w:p>
        </w:tc>
        <w:tc>
          <w:tcPr>
            <w:tcW w:w="1134" w:type="dxa"/>
            <w:tcBorders>
              <w:top w:val="nil"/>
              <w:left w:val="nil"/>
              <w:bottom w:val="single" w:sz="4" w:space="0" w:color="A6A6A6"/>
              <w:right w:val="single" w:sz="4" w:space="0" w:color="A6A6A6"/>
            </w:tcBorders>
            <w:shd w:val="clear" w:color="000000" w:fill="F2F2F2"/>
            <w:noWrap/>
            <w:vAlign w:val="bottom"/>
            <w:hideMark/>
          </w:tcPr>
          <w:p w14:paraId="42924130"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3.62%</w:t>
            </w:r>
          </w:p>
        </w:tc>
        <w:tc>
          <w:tcPr>
            <w:tcW w:w="992" w:type="dxa"/>
            <w:tcBorders>
              <w:top w:val="nil"/>
              <w:left w:val="nil"/>
              <w:bottom w:val="single" w:sz="4" w:space="0" w:color="A6A6A6"/>
              <w:right w:val="single" w:sz="4" w:space="0" w:color="A6A6A6"/>
            </w:tcBorders>
            <w:shd w:val="clear" w:color="000000" w:fill="F2F2F2"/>
            <w:noWrap/>
            <w:vAlign w:val="bottom"/>
            <w:hideMark/>
          </w:tcPr>
          <w:p w14:paraId="7FDBB8D5"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11</w:t>
            </w:r>
          </w:p>
        </w:tc>
      </w:tr>
      <w:tr w:rsidR="00D301A3" w:rsidRPr="00D25E96" w14:paraId="27EB0600" w14:textId="77777777" w:rsidTr="00AA572E">
        <w:trPr>
          <w:trHeight w:val="290"/>
        </w:trPr>
        <w:tc>
          <w:tcPr>
            <w:tcW w:w="6091"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09024DAC" w14:textId="77777777" w:rsidR="00D301A3" w:rsidRPr="00D25E96" w:rsidRDefault="00D301A3" w:rsidP="00DC54F7">
            <w:pPr>
              <w:spacing w:after="0" w:line="240" w:lineRule="auto"/>
              <w:jc w:val="both"/>
              <w:rPr>
                <w:rFonts w:ascii="Arial" w:eastAsia="Times New Roman" w:hAnsi="Arial" w:cs="Arial"/>
                <w:b/>
                <w:bCs/>
                <w:color w:val="000000"/>
                <w:lang w:eastAsia="en-GB"/>
              </w:rPr>
            </w:pPr>
            <w:r w:rsidRPr="00D25E96">
              <w:rPr>
                <w:rFonts w:ascii="Arial" w:eastAsia="Times New Roman" w:hAnsi="Arial" w:cs="Arial"/>
                <w:b/>
                <w:bCs/>
                <w:color w:val="000000"/>
                <w:lang w:eastAsia="en-GB"/>
              </w:rPr>
              <w:t> </w:t>
            </w:r>
          </w:p>
        </w:tc>
        <w:tc>
          <w:tcPr>
            <w:tcW w:w="992" w:type="dxa"/>
            <w:tcBorders>
              <w:top w:val="nil"/>
              <w:left w:val="nil"/>
              <w:bottom w:val="single" w:sz="4" w:space="0" w:color="A6A6A6"/>
              <w:right w:val="single" w:sz="4" w:space="0" w:color="A6A6A6"/>
            </w:tcBorders>
            <w:shd w:val="clear" w:color="000000" w:fill="F2F2F2"/>
            <w:vAlign w:val="center"/>
            <w:hideMark/>
          </w:tcPr>
          <w:p w14:paraId="386A8312" w14:textId="77777777" w:rsidR="00D301A3" w:rsidRPr="00D25E96" w:rsidRDefault="00D301A3" w:rsidP="00DC54F7">
            <w:pPr>
              <w:spacing w:after="0" w:line="240" w:lineRule="auto"/>
              <w:jc w:val="both"/>
              <w:rPr>
                <w:rFonts w:ascii="Arial" w:eastAsia="Times New Roman" w:hAnsi="Arial" w:cs="Arial"/>
                <w:b/>
                <w:bCs/>
                <w:color w:val="000000"/>
                <w:sz w:val="18"/>
                <w:szCs w:val="18"/>
                <w:lang w:eastAsia="en-GB"/>
              </w:rPr>
            </w:pPr>
            <w:r w:rsidRPr="00D25E96">
              <w:rPr>
                <w:rFonts w:ascii="Arial" w:eastAsia="Times New Roman" w:hAnsi="Arial" w:cs="Arial"/>
                <w:b/>
                <w:bCs/>
                <w:color w:val="000000"/>
                <w:sz w:val="18"/>
                <w:szCs w:val="18"/>
                <w:lang w:eastAsia="en-GB"/>
              </w:rPr>
              <w:t xml:space="preserve">Total </w:t>
            </w:r>
          </w:p>
        </w:tc>
        <w:tc>
          <w:tcPr>
            <w:tcW w:w="1134" w:type="dxa"/>
            <w:tcBorders>
              <w:top w:val="nil"/>
              <w:left w:val="nil"/>
              <w:bottom w:val="single" w:sz="4" w:space="0" w:color="A6A6A6"/>
              <w:right w:val="single" w:sz="4" w:space="0" w:color="A6A6A6"/>
            </w:tcBorders>
            <w:shd w:val="clear" w:color="000000" w:fill="F2F2F2"/>
            <w:noWrap/>
            <w:vAlign w:val="bottom"/>
            <w:hideMark/>
          </w:tcPr>
          <w:p w14:paraId="69331D3B"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100.00%</w:t>
            </w:r>
          </w:p>
        </w:tc>
        <w:tc>
          <w:tcPr>
            <w:tcW w:w="992" w:type="dxa"/>
            <w:tcBorders>
              <w:top w:val="nil"/>
              <w:left w:val="nil"/>
              <w:bottom w:val="single" w:sz="4" w:space="0" w:color="A6A6A6"/>
              <w:right w:val="single" w:sz="4" w:space="0" w:color="A6A6A6"/>
            </w:tcBorders>
            <w:shd w:val="clear" w:color="000000" w:fill="F2F2F2"/>
            <w:noWrap/>
            <w:vAlign w:val="bottom"/>
            <w:hideMark/>
          </w:tcPr>
          <w:p w14:paraId="68F55C83"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304</w:t>
            </w:r>
          </w:p>
        </w:tc>
      </w:tr>
      <w:tr w:rsidR="00D301A3" w:rsidRPr="00D25E96" w14:paraId="5FCE098F" w14:textId="77777777" w:rsidTr="00AA572E">
        <w:trPr>
          <w:trHeight w:val="290"/>
        </w:trPr>
        <w:tc>
          <w:tcPr>
            <w:tcW w:w="6091" w:type="dxa"/>
            <w:gridSpan w:val="2"/>
            <w:vMerge/>
            <w:tcBorders>
              <w:top w:val="single" w:sz="4" w:space="0" w:color="A6A6A6"/>
              <w:left w:val="single" w:sz="4" w:space="0" w:color="A6A6A6"/>
              <w:bottom w:val="single" w:sz="4" w:space="0" w:color="A6A6A6"/>
              <w:right w:val="single" w:sz="4" w:space="0" w:color="A6A6A6"/>
            </w:tcBorders>
            <w:vAlign w:val="center"/>
            <w:hideMark/>
          </w:tcPr>
          <w:p w14:paraId="7E5203DD" w14:textId="77777777" w:rsidR="00D301A3" w:rsidRPr="00D25E96" w:rsidRDefault="00D301A3" w:rsidP="00DC54F7">
            <w:pPr>
              <w:spacing w:after="0" w:line="240" w:lineRule="auto"/>
              <w:jc w:val="both"/>
              <w:rPr>
                <w:rFonts w:ascii="Arial" w:eastAsia="Times New Roman" w:hAnsi="Arial" w:cs="Arial"/>
                <w:b/>
                <w:bCs/>
                <w:color w:val="000000"/>
                <w:lang w:eastAsia="en-GB"/>
              </w:rPr>
            </w:pPr>
          </w:p>
        </w:tc>
        <w:tc>
          <w:tcPr>
            <w:tcW w:w="992" w:type="dxa"/>
            <w:tcBorders>
              <w:top w:val="nil"/>
              <w:left w:val="nil"/>
              <w:bottom w:val="single" w:sz="4" w:space="0" w:color="A6A6A6"/>
              <w:right w:val="single" w:sz="4" w:space="0" w:color="A6A6A6"/>
            </w:tcBorders>
            <w:shd w:val="clear" w:color="000000" w:fill="F2F2F2"/>
            <w:vAlign w:val="center"/>
            <w:hideMark/>
          </w:tcPr>
          <w:p w14:paraId="2B6B3BA2" w14:textId="77777777" w:rsidR="00D301A3" w:rsidRPr="00D25E96" w:rsidRDefault="00D301A3" w:rsidP="00DC54F7">
            <w:pPr>
              <w:spacing w:after="0" w:line="240" w:lineRule="auto"/>
              <w:jc w:val="both"/>
              <w:rPr>
                <w:rFonts w:ascii="Arial" w:eastAsia="Times New Roman" w:hAnsi="Arial" w:cs="Arial"/>
                <w:b/>
                <w:bCs/>
                <w:color w:val="000000"/>
                <w:sz w:val="18"/>
                <w:szCs w:val="18"/>
                <w:lang w:eastAsia="en-GB"/>
              </w:rPr>
            </w:pPr>
            <w:r w:rsidRPr="00D25E96">
              <w:rPr>
                <w:rFonts w:ascii="Arial" w:eastAsia="Times New Roman" w:hAnsi="Arial" w:cs="Arial"/>
                <w:b/>
                <w:bCs/>
                <w:color w:val="000000"/>
                <w:sz w:val="18"/>
                <w:szCs w:val="18"/>
                <w:lang w:eastAsia="en-GB"/>
              </w:rPr>
              <w:t>Skipped</w:t>
            </w:r>
          </w:p>
        </w:tc>
        <w:tc>
          <w:tcPr>
            <w:tcW w:w="1134" w:type="dxa"/>
            <w:tcBorders>
              <w:top w:val="nil"/>
              <w:left w:val="nil"/>
              <w:bottom w:val="single" w:sz="4" w:space="0" w:color="A6A6A6"/>
              <w:right w:val="single" w:sz="4" w:space="0" w:color="A6A6A6"/>
            </w:tcBorders>
            <w:shd w:val="clear" w:color="000000" w:fill="F2F2F2"/>
            <w:noWrap/>
            <w:vAlign w:val="bottom"/>
            <w:hideMark/>
          </w:tcPr>
          <w:p w14:paraId="4BDB838D"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 </w:t>
            </w:r>
          </w:p>
        </w:tc>
        <w:tc>
          <w:tcPr>
            <w:tcW w:w="992" w:type="dxa"/>
            <w:tcBorders>
              <w:top w:val="nil"/>
              <w:left w:val="nil"/>
              <w:bottom w:val="single" w:sz="4" w:space="0" w:color="A6A6A6"/>
              <w:right w:val="single" w:sz="4" w:space="0" w:color="A6A6A6"/>
            </w:tcBorders>
            <w:shd w:val="clear" w:color="000000" w:fill="F2F2F2"/>
            <w:noWrap/>
            <w:vAlign w:val="bottom"/>
            <w:hideMark/>
          </w:tcPr>
          <w:p w14:paraId="3F529FEC"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7</w:t>
            </w:r>
          </w:p>
        </w:tc>
      </w:tr>
    </w:tbl>
    <w:p w14:paraId="7E519135" w14:textId="77777777" w:rsidR="00D301A3" w:rsidRPr="00D25E96" w:rsidRDefault="00D301A3" w:rsidP="00DC54F7">
      <w:pPr>
        <w:jc w:val="both"/>
      </w:pPr>
    </w:p>
    <w:p w14:paraId="1A3C8B6D" w14:textId="77777777" w:rsidR="00D301A3" w:rsidRDefault="00D301A3" w:rsidP="00DC54F7">
      <w:pPr>
        <w:spacing w:after="0" w:line="240" w:lineRule="auto"/>
        <w:jc w:val="both"/>
        <w:rPr>
          <w:rFonts w:ascii="Arial" w:eastAsia="Times New Roman" w:hAnsi="Arial" w:cs="Arial"/>
          <w:b/>
          <w:bCs/>
          <w:color w:val="333333"/>
          <w:lang w:eastAsia="en-GB"/>
        </w:rPr>
      </w:pPr>
      <w:r w:rsidRPr="00D25E96">
        <w:rPr>
          <w:rFonts w:ascii="Arial" w:eastAsia="Times New Roman" w:hAnsi="Arial" w:cs="Arial"/>
          <w:b/>
          <w:bCs/>
          <w:color w:val="333333"/>
          <w:lang w:eastAsia="en-GB"/>
        </w:rPr>
        <w:t xml:space="preserve">14. Would you say that you usually have difficulty in getting to a pharmacy? Please tick one. </w:t>
      </w:r>
    </w:p>
    <w:p w14:paraId="1FBDA11A" w14:textId="77777777" w:rsidR="00D301A3" w:rsidRPr="00B81C02" w:rsidRDefault="00D301A3" w:rsidP="00DC54F7">
      <w:pPr>
        <w:spacing w:after="0" w:line="240" w:lineRule="auto"/>
        <w:jc w:val="both"/>
        <w:rPr>
          <w:rFonts w:ascii="Arial" w:eastAsia="Times New Roman" w:hAnsi="Arial" w:cs="Arial"/>
          <w:b/>
          <w:bCs/>
          <w:color w:val="333333"/>
          <w:lang w:eastAsia="en-GB"/>
        </w:rPr>
      </w:pPr>
    </w:p>
    <w:tbl>
      <w:tblPr>
        <w:tblW w:w="9209" w:type="dxa"/>
        <w:tblLook w:val="04A0" w:firstRow="1" w:lastRow="0" w:firstColumn="1" w:lastColumn="0" w:noHBand="0" w:noVBand="1"/>
      </w:tblPr>
      <w:tblGrid>
        <w:gridCol w:w="960"/>
        <w:gridCol w:w="5131"/>
        <w:gridCol w:w="992"/>
        <w:gridCol w:w="1134"/>
        <w:gridCol w:w="992"/>
      </w:tblGrid>
      <w:tr w:rsidR="00D301A3" w:rsidRPr="00D25E96" w14:paraId="60695FB2" w14:textId="77777777" w:rsidTr="00AA572E">
        <w:trPr>
          <w:trHeight w:val="290"/>
        </w:trPr>
        <w:tc>
          <w:tcPr>
            <w:tcW w:w="7083" w:type="dxa"/>
            <w:gridSpan w:val="3"/>
            <w:tcBorders>
              <w:top w:val="single" w:sz="4" w:space="0" w:color="A6A6A6"/>
              <w:left w:val="single" w:sz="4" w:space="0" w:color="A6A6A6"/>
              <w:bottom w:val="single" w:sz="4" w:space="0" w:color="A6A6A6"/>
              <w:right w:val="nil"/>
            </w:tcBorders>
            <w:shd w:val="clear" w:color="000000" w:fill="ACB9CA"/>
            <w:noWrap/>
            <w:vAlign w:val="center"/>
            <w:hideMark/>
          </w:tcPr>
          <w:p w14:paraId="48DA2761" w14:textId="77777777" w:rsidR="00D301A3" w:rsidRPr="00D25E96" w:rsidRDefault="00D301A3" w:rsidP="00DC54F7">
            <w:pPr>
              <w:spacing w:after="0" w:line="240" w:lineRule="auto"/>
              <w:jc w:val="both"/>
              <w:rPr>
                <w:rFonts w:ascii="Arial" w:eastAsia="Times New Roman" w:hAnsi="Arial" w:cs="Arial"/>
                <w:b/>
                <w:bCs/>
                <w:color w:val="FFFFFF"/>
                <w:sz w:val="21"/>
                <w:szCs w:val="21"/>
                <w:lang w:eastAsia="en-GB"/>
              </w:rPr>
            </w:pPr>
            <w:r w:rsidRPr="00D25E96">
              <w:rPr>
                <w:rFonts w:ascii="Arial" w:eastAsia="Times New Roman" w:hAnsi="Arial" w:cs="Arial"/>
                <w:b/>
                <w:bCs/>
                <w:color w:val="FFFFFF"/>
                <w:sz w:val="21"/>
                <w:szCs w:val="21"/>
                <w:lang w:eastAsia="en-GB"/>
              </w:rPr>
              <w:t> </w:t>
            </w:r>
          </w:p>
        </w:tc>
        <w:tc>
          <w:tcPr>
            <w:tcW w:w="2126" w:type="dxa"/>
            <w:gridSpan w:val="2"/>
            <w:tcBorders>
              <w:top w:val="single" w:sz="4" w:space="0" w:color="A6A6A6"/>
              <w:left w:val="nil"/>
              <w:bottom w:val="single" w:sz="4" w:space="0" w:color="A6A6A6"/>
              <w:right w:val="single" w:sz="4" w:space="0" w:color="A6A6A6"/>
            </w:tcBorders>
            <w:shd w:val="clear" w:color="000000" w:fill="ACB9CA"/>
            <w:noWrap/>
            <w:vAlign w:val="center"/>
            <w:hideMark/>
          </w:tcPr>
          <w:p w14:paraId="74259245" w14:textId="77777777" w:rsidR="00D301A3" w:rsidRPr="00D25E96" w:rsidRDefault="00D301A3" w:rsidP="00DC54F7">
            <w:pPr>
              <w:spacing w:after="0" w:line="240" w:lineRule="auto"/>
              <w:jc w:val="both"/>
              <w:rPr>
                <w:rFonts w:ascii="Arial" w:eastAsia="Times New Roman" w:hAnsi="Arial" w:cs="Arial"/>
                <w:b/>
                <w:bCs/>
                <w:color w:val="FFFFFF"/>
                <w:sz w:val="21"/>
                <w:szCs w:val="21"/>
                <w:lang w:eastAsia="en-GB"/>
              </w:rPr>
            </w:pPr>
            <w:r w:rsidRPr="00D25E96">
              <w:rPr>
                <w:rFonts w:ascii="Arial" w:eastAsia="Times New Roman" w:hAnsi="Arial" w:cs="Arial"/>
                <w:b/>
                <w:bCs/>
                <w:color w:val="FFFFFF"/>
                <w:sz w:val="21"/>
                <w:szCs w:val="21"/>
                <w:lang w:eastAsia="en-GB"/>
              </w:rPr>
              <w:t>Response</w:t>
            </w:r>
          </w:p>
        </w:tc>
      </w:tr>
      <w:tr w:rsidR="00D301A3" w:rsidRPr="00D25E96" w14:paraId="7B0670AF" w14:textId="77777777" w:rsidTr="00AA572E">
        <w:trPr>
          <w:trHeight w:val="290"/>
        </w:trPr>
        <w:tc>
          <w:tcPr>
            <w:tcW w:w="7083"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4589089B" w14:textId="77777777" w:rsidR="00D301A3" w:rsidRPr="00D25E96" w:rsidRDefault="00D301A3" w:rsidP="00DC54F7">
            <w:pPr>
              <w:spacing w:after="0" w:line="240" w:lineRule="auto"/>
              <w:jc w:val="both"/>
              <w:rPr>
                <w:rFonts w:ascii="Arial" w:eastAsia="Times New Roman" w:hAnsi="Arial" w:cs="Arial"/>
                <w:b/>
                <w:bCs/>
                <w:color w:val="000000"/>
                <w:sz w:val="18"/>
                <w:szCs w:val="18"/>
                <w:lang w:eastAsia="en-GB"/>
              </w:rPr>
            </w:pPr>
            <w:r w:rsidRPr="00D25E96">
              <w:rPr>
                <w:rFonts w:ascii="Arial" w:eastAsia="Times New Roman" w:hAnsi="Arial" w:cs="Arial"/>
                <w:b/>
                <w:bCs/>
                <w:color w:val="000000"/>
                <w:sz w:val="18"/>
                <w:szCs w:val="18"/>
                <w:lang w:eastAsia="en-GB"/>
              </w:rPr>
              <w:t> </w:t>
            </w:r>
          </w:p>
        </w:tc>
        <w:tc>
          <w:tcPr>
            <w:tcW w:w="1134" w:type="dxa"/>
            <w:tcBorders>
              <w:top w:val="nil"/>
              <w:left w:val="nil"/>
              <w:bottom w:val="single" w:sz="4" w:space="0" w:color="A6A6A6"/>
              <w:right w:val="single" w:sz="4" w:space="0" w:color="A6A6A6"/>
            </w:tcBorders>
            <w:shd w:val="clear" w:color="000000" w:fill="F2F2F2"/>
            <w:noWrap/>
            <w:vAlign w:val="center"/>
            <w:hideMark/>
          </w:tcPr>
          <w:p w14:paraId="351BED17" w14:textId="77777777" w:rsidR="00D301A3" w:rsidRPr="00D25E96" w:rsidRDefault="00D301A3" w:rsidP="00DC54F7">
            <w:pPr>
              <w:spacing w:after="0" w:line="240" w:lineRule="auto"/>
              <w:jc w:val="both"/>
              <w:rPr>
                <w:rFonts w:ascii="Arial" w:eastAsia="Times New Roman" w:hAnsi="Arial" w:cs="Arial"/>
                <w:b/>
                <w:bCs/>
                <w:color w:val="000000"/>
                <w:sz w:val="18"/>
                <w:szCs w:val="18"/>
                <w:lang w:eastAsia="en-GB"/>
              </w:rPr>
            </w:pPr>
            <w:r w:rsidRPr="00D25E96">
              <w:rPr>
                <w:rFonts w:ascii="Arial" w:eastAsia="Times New Roman" w:hAnsi="Arial" w:cs="Arial"/>
                <w:b/>
                <w:bCs/>
                <w:color w:val="000000"/>
                <w:sz w:val="18"/>
                <w:szCs w:val="18"/>
                <w:lang w:eastAsia="en-GB"/>
              </w:rPr>
              <w:t>Percent</w:t>
            </w:r>
          </w:p>
        </w:tc>
        <w:tc>
          <w:tcPr>
            <w:tcW w:w="992" w:type="dxa"/>
            <w:tcBorders>
              <w:top w:val="nil"/>
              <w:left w:val="nil"/>
              <w:bottom w:val="single" w:sz="4" w:space="0" w:color="A6A6A6"/>
              <w:right w:val="single" w:sz="4" w:space="0" w:color="A6A6A6"/>
            </w:tcBorders>
            <w:shd w:val="clear" w:color="000000" w:fill="F2F2F2"/>
            <w:noWrap/>
            <w:vAlign w:val="center"/>
            <w:hideMark/>
          </w:tcPr>
          <w:p w14:paraId="0B634979" w14:textId="77777777" w:rsidR="00D301A3" w:rsidRPr="00D25E96" w:rsidRDefault="00D301A3" w:rsidP="00DC54F7">
            <w:pPr>
              <w:spacing w:after="0" w:line="240" w:lineRule="auto"/>
              <w:jc w:val="both"/>
              <w:rPr>
                <w:rFonts w:ascii="Arial" w:eastAsia="Times New Roman" w:hAnsi="Arial" w:cs="Arial"/>
                <w:b/>
                <w:bCs/>
                <w:color w:val="000000"/>
                <w:sz w:val="18"/>
                <w:szCs w:val="18"/>
                <w:lang w:eastAsia="en-GB"/>
              </w:rPr>
            </w:pPr>
            <w:r w:rsidRPr="00D25E96">
              <w:rPr>
                <w:rFonts w:ascii="Arial" w:eastAsia="Times New Roman" w:hAnsi="Arial" w:cs="Arial"/>
                <w:b/>
                <w:bCs/>
                <w:color w:val="000000"/>
                <w:sz w:val="18"/>
                <w:szCs w:val="18"/>
                <w:lang w:eastAsia="en-GB"/>
              </w:rPr>
              <w:t>Total</w:t>
            </w:r>
          </w:p>
        </w:tc>
      </w:tr>
      <w:tr w:rsidR="00D301A3" w:rsidRPr="00D25E96" w14:paraId="1509212F"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411DDF96"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1</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32175AA1"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Yes</w:t>
            </w:r>
          </w:p>
        </w:tc>
        <w:tc>
          <w:tcPr>
            <w:tcW w:w="1134" w:type="dxa"/>
            <w:tcBorders>
              <w:top w:val="nil"/>
              <w:left w:val="nil"/>
              <w:bottom w:val="single" w:sz="4" w:space="0" w:color="A6A6A6"/>
              <w:right w:val="single" w:sz="4" w:space="0" w:color="A6A6A6"/>
            </w:tcBorders>
            <w:shd w:val="clear" w:color="000000" w:fill="F2F2F2"/>
            <w:noWrap/>
            <w:vAlign w:val="bottom"/>
            <w:hideMark/>
          </w:tcPr>
          <w:p w14:paraId="44FCA3DC"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7.47%</w:t>
            </w:r>
          </w:p>
        </w:tc>
        <w:tc>
          <w:tcPr>
            <w:tcW w:w="992" w:type="dxa"/>
            <w:tcBorders>
              <w:top w:val="nil"/>
              <w:left w:val="nil"/>
              <w:bottom w:val="single" w:sz="4" w:space="0" w:color="A6A6A6"/>
              <w:right w:val="single" w:sz="4" w:space="0" w:color="A6A6A6"/>
            </w:tcBorders>
            <w:shd w:val="clear" w:color="000000" w:fill="F2F2F2"/>
            <w:noWrap/>
            <w:vAlign w:val="bottom"/>
            <w:hideMark/>
          </w:tcPr>
          <w:p w14:paraId="2B2712CE"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23</w:t>
            </w:r>
          </w:p>
        </w:tc>
      </w:tr>
      <w:tr w:rsidR="00D301A3" w:rsidRPr="00D25E96" w14:paraId="77ECE7FC"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1A4AD255"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2</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4373BA94"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No</w:t>
            </w:r>
          </w:p>
        </w:tc>
        <w:tc>
          <w:tcPr>
            <w:tcW w:w="1134" w:type="dxa"/>
            <w:tcBorders>
              <w:top w:val="nil"/>
              <w:left w:val="nil"/>
              <w:bottom w:val="single" w:sz="4" w:space="0" w:color="A6A6A6"/>
              <w:right w:val="single" w:sz="4" w:space="0" w:color="A6A6A6"/>
            </w:tcBorders>
            <w:shd w:val="clear" w:color="000000" w:fill="F2F2F2"/>
            <w:noWrap/>
            <w:vAlign w:val="bottom"/>
            <w:hideMark/>
          </w:tcPr>
          <w:p w14:paraId="49C9A658"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89.61%</w:t>
            </w:r>
          </w:p>
        </w:tc>
        <w:tc>
          <w:tcPr>
            <w:tcW w:w="992" w:type="dxa"/>
            <w:tcBorders>
              <w:top w:val="nil"/>
              <w:left w:val="nil"/>
              <w:bottom w:val="single" w:sz="4" w:space="0" w:color="A6A6A6"/>
              <w:right w:val="single" w:sz="4" w:space="0" w:color="A6A6A6"/>
            </w:tcBorders>
            <w:shd w:val="clear" w:color="000000" w:fill="F2F2F2"/>
            <w:noWrap/>
            <w:vAlign w:val="bottom"/>
            <w:hideMark/>
          </w:tcPr>
          <w:p w14:paraId="57FF4AFE"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276</w:t>
            </w:r>
          </w:p>
        </w:tc>
      </w:tr>
      <w:tr w:rsidR="00D301A3" w:rsidRPr="00D25E96" w14:paraId="1D621175"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568C9619"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3</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6A67181E" w14:textId="77777777" w:rsidR="00D301A3" w:rsidRPr="00D25E96" w:rsidRDefault="00D301A3" w:rsidP="00DC54F7">
            <w:pPr>
              <w:spacing w:after="0" w:line="240" w:lineRule="auto"/>
              <w:jc w:val="both"/>
              <w:rPr>
                <w:rFonts w:ascii="Arial" w:eastAsia="Times New Roman" w:hAnsi="Arial" w:cs="Arial"/>
                <w:color w:val="000000"/>
                <w:sz w:val="18"/>
                <w:szCs w:val="18"/>
                <w:lang w:eastAsia="en-GB"/>
              </w:rPr>
            </w:pPr>
            <w:r w:rsidRPr="00D25E96">
              <w:rPr>
                <w:rFonts w:ascii="Arial" w:eastAsia="Times New Roman" w:hAnsi="Arial" w:cs="Arial"/>
                <w:color w:val="000000"/>
                <w:sz w:val="18"/>
                <w:szCs w:val="18"/>
                <w:lang w:eastAsia="en-GB"/>
              </w:rPr>
              <w:t>Not applicable</w:t>
            </w:r>
          </w:p>
        </w:tc>
        <w:tc>
          <w:tcPr>
            <w:tcW w:w="1134" w:type="dxa"/>
            <w:tcBorders>
              <w:top w:val="nil"/>
              <w:left w:val="nil"/>
              <w:bottom w:val="single" w:sz="4" w:space="0" w:color="A6A6A6"/>
              <w:right w:val="single" w:sz="4" w:space="0" w:color="A6A6A6"/>
            </w:tcBorders>
            <w:shd w:val="clear" w:color="000000" w:fill="F2F2F2"/>
            <w:noWrap/>
            <w:vAlign w:val="bottom"/>
            <w:hideMark/>
          </w:tcPr>
          <w:p w14:paraId="10152B57"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2.92%</w:t>
            </w:r>
          </w:p>
        </w:tc>
        <w:tc>
          <w:tcPr>
            <w:tcW w:w="992" w:type="dxa"/>
            <w:tcBorders>
              <w:top w:val="nil"/>
              <w:left w:val="nil"/>
              <w:bottom w:val="single" w:sz="4" w:space="0" w:color="A6A6A6"/>
              <w:right w:val="single" w:sz="4" w:space="0" w:color="A6A6A6"/>
            </w:tcBorders>
            <w:shd w:val="clear" w:color="000000" w:fill="F2F2F2"/>
            <w:noWrap/>
            <w:vAlign w:val="bottom"/>
            <w:hideMark/>
          </w:tcPr>
          <w:p w14:paraId="172C666D"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9</w:t>
            </w:r>
          </w:p>
        </w:tc>
      </w:tr>
      <w:tr w:rsidR="00D301A3" w:rsidRPr="00D25E96" w14:paraId="6611AB9C" w14:textId="77777777" w:rsidTr="00AA572E">
        <w:trPr>
          <w:trHeight w:val="290"/>
        </w:trPr>
        <w:tc>
          <w:tcPr>
            <w:tcW w:w="6091"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56446F46" w14:textId="77777777" w:rsidR="00D301A3" w:rsidRPr="00D25E96" w:rsidRDefault="00D301A3" w:rsidP="00DC54F7">
            <w:pPr>
              <w:spacing w:after="0" w:line="240" w:lineRule="auto"/>
              <w:jc w:val="both"/>
              <w:rPr>
                <w:rFonts w:ascii="Arial" w:eastAsia="Times New Roman" w:hAnsi="Arial" w:cs="Arial"/>
                <w:b/>
                <w:bCs/>
                <w:color w:val="000000"/>
                <w:lang w:eastAsia="en-GB"/>
              </w:rPr>
            </w:pPr>
            <w:r w:rsidRPr="00D25E96">
              <w:rPr>
                <w:rFonts w:ascii="Arial" w:eastAsia="Times New Roman" w:hAnsi="Arial" w:cs="Arial"/>
                <w:b/>
                <w:bCs/>
                <w:color w:val="000000"/>
                <w:lang w:eastAsia="en-GB"/>
              </w:rPr>
              <w:t> </w:t>
            </w:r>
          </w:p>
        </w:tc>
        <w:tc>
          <w:tcPr>
            <w:tcW w:w="992" w:type="dxa"/>
            <w:tcBorders>
              <w:top w:val="nil"/>
              <w:left w:val="nil"/>
              <w:bottom w:val="single" w:sz="4" w:space="0" w:color="A6A6A6"/>
              <w:right w:val="single" w:sz="4" w:space="0" w:color="A6A6A6"/>
            </w:tcBorders>
            <w:shd w:val="clear" w:color="000000" w:fill="F2F2F2"/>
            <w:vAlign w:val="center"/>
            <w:hideMark/>
          </w:tcPr>
          <w:p w14:paraId="1A6DABFF" w14:textId="77777777" w:rsidR="00D301A3" w:rsidRPr="00D25E96" w:rsidRDefault="00D301A3" w:rsidP="00DC54F7">
            <w:pPr>
              <w:spacing w:after="0" w:line="240" w:lineRule="auto"/>
              <w:jc w:val="both"/>
              <w:rPr>
                <w:rFonts w:ascii="Arial" w:eastAsia="Times New Roman" w:hAnsi="Arial" w:cs="Arial"/>
                <w:b/>
                <w:bCs/>
                <w:color w:val="000000"/>
                <w:sz w:val="18"/>
                <w:szCs w:val="18"/>
                <w:lang w:eastAsia="en-GB"/>
              </w:rPr>
            </w:pPr>
            <w:r w:rsidRPr="00D25E96">
              <w:rPr>
                <w:rFonts w:ascii="Arial" w:eastAsia="Times New Roman" w:hAnsi="Arial" w:cs="Arial"/>
                <w:b/>
                <w:bCs/>
                <w:color w:val="000000"/>
                <w:sz w:val="18"/>
                <w:szCs w:val="18"/>
                <w:lang w:eastAsia="en-GB"/>
              </w:rPr>
              <w:t xml:space="preserve">Total </w:t>
            </w:r>
          </w:p>
        </w:tc>
        <w:tc>
          <w:tcPr>
            <w:tcW w:w="1134" w:type="dxa"/>
            <w:tcBorders>
              <w:top w:val="nil"/>
              <w:left w:val="nil"/>
              <w:bottom w:val="single" w:sz="4" w:space="0" w:color="A6A6A6"/>
              <w:right w:val="single" w:sz="4" w:space="0" w:color="A6A6A6"/>
            </w:tcBorders>
            <w:shd w:val="clear" w:color="000000" w:fill="F2F2F2"/>
            <w:noWrap/>
            <w:vAlign w:val="bottom"/>
            <w:hideMark/>
          </w:tcPr>
          <w:p w14:paraId="7C6C07C3"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100.00%</w:t>
            </w:r>
          </w:p>
        </w:tc>
        <w:tc>
          <w:tcPr>
            <w:tcW w:w="992" w:type="dxa"/>
            <w:tcBorders>
              <w:top w:val="nil"/>
              <w:left w:val="nil"/>
              <w:bottom w:val="single" w:sz="4" w:space="0" w:color="A6A6A6"/>
              <w:right w:val="single" w:sz="4" w:space="0" w:color="A6A6A6"/>
            </w:tcBorders>
            <w:shd w:val="clear" w:color="000000" w:fill="F2F2F2"/>
            <w:noWrap/>
            <w:vAlign w:val="bottom"/>
            <w:hideMark/>
          </w:tcPr>
          <w:p w14:paraId="5772B189"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308</w:t>
            </w:r>
          </w:p>
        </w:tc>
      </w:tr>
      <w:tr w:rsidR="00D301A3" w:rsidRPr="00D25E96" w14:paraId="5202B72B" w14:textId="77777777" w:rsidTr="00AA572E">
        <w:trPr>
          <w:trHeight w:val="290"/>
        </w:trPr>
        <w:tc>
          <w:tcPr>
            <w:tcW w:w="6091" w:type="dxa"/>
            <w:gridSpan w:val="2"/>
            <w:vMerge/>
            <w:tcBorders>
              <w:top w:val="single" w:sz="4" w:space="0" w:color="A6A6A6"/>
              <w:left w:val="single" w:sz="4" w:space="0" w:color="A6A6A6"/>
              <w:bottom w:val="single" w:sz="4" w:space="0" w:color="A6A6A6"/>
              <w:right w:val="single" w:sz="4" w:space="0" w:color="A6A6A6"/>
            </w:tcBorders>
            <w:vAlign w:val="center"/>
            <w:hideMark/>
          </w:tcPr>
          <w:p w14:paraId="4EF16D84" w14:textId="77777777" w:rsidR="00D301A3" w:rsidRPr="00D25E96" w:rsidRDefault="00D301A3" w:rsidP="00DC54F7">
            <w:pPr>
              <w:spacing w:after="0" w:line="240" w:lineRule="auto"/>
              <w:jc w:val="both"/>
              <w:rPr>
                <w:rFonts w:ascii="Arial" w:eastAsia="Times New Roman" w:hAnsi="Arial" w:cs="Arial"/>
                <w:b/>
                <w:bCs/>
                <w:color w:val="000000"/>
                <w:lang w:eastAsia="en-GB"/>
              </w:rPr>
            </w:pPr>
          </w:p>
        </w:tc>
        <w:tc>
          <w:tcPr>
            <w:tcW w:w="992" w:type="dxa"/>
            <w:tcBorders>
              <w:top w:val="nil"/>
              <w:left w:val="nil"/>
              <w:bottom w:val="single" w:sz="4" w:space="0" w:color="A6A6A6"/>
              <w:right w:val="single" w:sz="4" w:space="0" w:color="A6A6A6"/>
            </w:tcBorders>
            <w:shd w:val="clear" w:color="000000" w:fill="F2F2F2"/>
            <w:vAlign w:val="center"/>
            <w:hideMark/>
          </w:tcPr>
          <w:p w14:paraId="1F0345BC" w14:textId="77777777" w:rsidR="00D301A3" w:rsidRPr="00D25E96" w:rsidRDefault="00D301A3" w:rsidP="00DC54F7">
            <w:pPr>
              <w:spacing w:after="0" w:line="240" w:lineRule="auto"/>
              <w:jc w:val="both"/>
              <w:rPr>
                <w:rFonts w:ascii="Arial" w:eastAsia="Times New Roman" w:hAnsi="Arial" w:cs="Arial"/>
                <w:b/>
                <w:bCs/>
                <w:color w:val="000000"/>
                <w:sz w:val="18"/>
                <w:szCs w:val="18"/>
                <w:lang w:eastAsia="en-GB"/>
              </w:rPr>
            </w:pPr>
            <w:r w:rsidRPr="00D25E96">
              <w:rPr>
                <w:rFonts w:ascii="Arial" w:eastAsia="Times New Roman" w:hAnsi="Arial" w:cs="Arial"/>
                <w:b/>
                <w:bCs/>
                <w:color w:val="000000"/>
                <w:sz w:val="18"/>
                <w:szCs w:val="18"/>
                <w:lang w:eastAsia="en-GB"/>
              </w:rPr>
              <w:t>Skipped</w:t>
            </w:r>
          </w:p>
        </w:tc>
        <w:tc>
          <w:tcPr>
            <w:tcW w:w="1134" w:type="dxa"/>
            <w:tcBorders>
              <w:top w:val="nil"/>
              <w:left w:val="nil"/>
              <w:bottom w:val="single" w:sz="4" w:space="0" w:color="A6A6A6"/>
              <w:right w:val="single" w:sz="4" w:space="0" w:color="A6A6A6"/>
            </w:tcBorders>
            <w:shd w:val="clear" w:color="000000" w:fill="F2F2F2"/>
            <w:noWrap/>
            <w:vAlign w:val="bottom"/>
            <w:hideMark/>
          </w:tcPr>
          <w:p w14:paraId="5B96FC89"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 </w:t>
            </w:r>
          </w:p>
        </w:tc>
        <w:tc>
          <w:tcPr>
            <w:tcW w:w="992" w:type="dxa"/>
            <w:tcBorders>
              <w:top w:val="nil"/>
              <w:left w:val="nil"/>
              <w:bottom w:val="single" w:sz="4" w:space="0" w:color="A6A6A6"/>
              <w:right w:val="single" w:sz="4" w:space="0" w:color="A6A6A6"/>
            </w:tcBorders>
            <w:shd w:val="clear" w:color="000000" w:fill="F2F2F2"/>
            <w:noWrap/>
            <w:vAlign w:val="bottom"/>
            <w:hideMark/>
          </w:tcPr>
          <w:p w14:paraId="4A62F94C" w14:textId="77777777" w:rsidR="00D301A3" w:rsidRPr="00D25E96" w:rsidRDefault="00D301A3" w:rsidP="00DC54F7">
            <w:pPr>
              <w:spacing w:after="0" w:line="240" w:lineRule="auto"/>
              <w:jc w:val="both"/>
              <w:rPr>
                <w:rFonts w:ascii="Calibri" w:eastAsia="Times New Roman" w:hAnsi="Calibri" w:cs="Calibri"/>
                <w:color w:val="000000"/>
                <w:lang w:eastAsia="en-GB"/>
              </w:rPr>
            </w:pPr>
            <w:r w:rsidRPr="00D25E96">
              <w:rPr>
                <w:rFonts w:ascii="Calibri" w:eastAsia="Times New Roman" w:hAnsi="Calibri" w:cs="Calibri"/>
                <w:color w:val="000000"/>
                <w:lang w:eastAsia="en-GB"/>
              </w:rPr>
              <w:t>3</w:t>
            </w:r>
          </w:p>
        </w:tc>
      </w:tr>
    </w:tbl>
    <w:p w14:paraId="4D39CF4D" w14:textId="3E30C4E1" w:rsidR="00D301A3" w:rsidRDefault="00D301A3" w:rsidP="00DC54F7">
      <w:pPr>
        <w:spacing w:after="0" w:line="240" w:lineRule="auto"/>
        <w:jc w:val="both"/>
      </w:pPr>
    </w:p>
    <w:p w14:paraId="6FFDBA56" w14:textId="77777777" w:rsidR="001B5C8F" w:rsidRDefault="001B5C8F" w:rsidP="00DC54F7">
      <w:pPr>
        <w:spacing w:after="0" w:line="240" w:lineRule="auto"/>
        <w:jc w:val="both"/>
      </w:pPr>
    </w:p>
    <w:p w14:paraId="54354C9F" w14:textId="22C2B927" w:rsidR="00D301A3" w:rsidRPr="00C3421A" w:rsidRDefault="00D301A3" w:rsidP="00DC54F7">
      <w:pPr>
        <w:spacing w:after="0" w:line="240" w:lineRule="auto"/>
        <w:jc w:val="both"/>
      </w:pPr>
      <w:r w:rsidRPr="00C3421A">
        <w:rPr>
          <w:rFonts w:ascii="Arial" w:eastAsia="Times New Roman" w:hAnsi="Arial" w:cs="Arial"/>
          <w:b/>
          <w:bCs/>
          <w:color w:val="333333"/>
        </w:rPr>
        <w:t>15. If you have difficulty getting to a pharmacy</w:t>
      </w:r>
      <w:r w:rsidR="001B5C8F">
        <w:rPr>
          <w:rFonts w:ascii="Arial" w:eastAsia="Times New Roman" w:hAnsi="Arial" w:cs="Arial"/>
          <w:b/>
          <w:bCs/>
          <w:color w:val="333333"/>
        </w:rPr>
        <w:t>,</w:t>
      </w:r>
      <w:r w:rsidRPr="00C3421A">
        <w:rPr>
          <w:rFonts w:ascii="Arial" w:eastAsia="Times New Roman" w:hAnsi="Arial" w:cs="Arial"/>
          <w:b/>
          <w:bCs/>
          <w:color w:val="333333"/>
        </w:rPr>
        <w:t xml:space="preserve"> please tell us why.</w:t>
      </w:r>
    </w:p>
    <w:p w14:paraId="4F1CE67A" w14:textId="77777777" w:rsidR="001B5C8F" w:rsidRDefault="001B5C8F" w:rsidP="00DC54F7">
      <w:pPr>
        <w:spacing w:after="0"/>
        <w:jc w:val="both"/>
        <w:rPr>
          <w:rFonts w:ascii="Arial" w:hAnsi="Arial" w:cs="Arial"/>
          <w:b/>
          <w:bCs/>
        </w:rPr>
      </w:pPr>
    </w:p>
    <w:p w14:paraId="1BC943D5" w14:textId="73E263D5" w:rsidR="00D301A3" w:rsidRPr="004C74B7" w:rsidRDefault="00D301A3" w:rsidP="00DC54F7">
      <w:pPr>
        <w:spacing w:after="0"/>
        <w:jc w:val="both"/>
        <w:rPr>
          <w:rFonts w:ascii="Arial" w:hAnsi="Arial" w:cs="Arial"/>
          <w:b/>
          <w:bCs/>
        </w:rPr>
      </w:pPr>
      <w:r w:rsidRPr="004C74B7">
        <w:rPr>
          <w:rFonts w:ascii="Arial" w:hAnsi="Arial" w:cs="Arial"/>
          <w:b/>
          <w:bCs/>
        </w:rPr>
        <w:t>A total of twenty five comments were received:</w:t>
      </w:r>
    </w:p>
    <w:p w14:paraId="133C1494"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Sometimes I am too I'll to collect my prescription so.my dad goes for me.</w:t>
      </w:r>
      <w:r>
        <w:rPr>
          <w:rFonts w:ascii="Arial" w:eastAsia="Times New Roman" w:hAnsi="Arial" w:cs="Arial"/>
          <w:color w:val="333333"/>
          <w:lang w:eastAsia="en-GB"/>
        </w:rPr>
        <w:t>”</w:t>
      </w:r>
    </w:p>
    <w:p w14:paraId="02EE2F36"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They no longer open on Saturday</w:t>
      </w:r>
      <w:r>
        <w:rPr>
          <w:rFonts w:ascii="Arial" w:eastAsia="Times New Roman" w:hAnsi="Arial" w:cs="Arial"/>
          <w:color w:val="333333"/>
          <w:lang w:eastAsia="en-GB"/>
        </w:rPr>
        <w:t>.”</w:t>
      </w:r>
    </w:p>
    <w:p w14:paraId="0695DC00"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“I</w:t>
      </w:r>
      <w:r w:rsidRPr="004C74B7">
        <w:rPr>
          <w:rFonts w:ascii="Arial" w:eastAsia="Times New Roman" w:hAnsi="Arial" w:cs="Arial"/>
          <w:color w:val="333333"/>
          <w:lang w:eastAsia="en-GB"/>
        </w:rPr>
        <w:t xml:space="preserve"> don</w:t>
      </w:r>
      <w:r>
        <w:rPr>
          <w:rFonts w:ascii="Arial" w:eastAsia="Times New Roman" w:hAnsi="Arial" w:cs="Arial"/>
          <w:color w:val="333333"/>
          <w:lang w:eastAsia="en-GB"/>
        </w:rPr>
        <w:t>’</w:t>
      </w:r>
      <w:r w:rsidRPr="004C74B7">
        <w:rPr>
          <w:rFonts w:ascii="Arial" w:eastAsia="Times New Roman" w:hAnsi="Arial" w:cs="Arial"/>
          <w:color w:val="333333"/>
          <w:lang w:eastAsia="en-GB"/>
        </w:rPr>
        <w:t>t have a car</w:t>
      </w:r>
      <w:r>
        <w:rPr>
          <w:rFonts w:ascii="Arial" w:eastAsia="Times New Roman" w:hAnsi="Arial" w:cs="Arial"/>
          <w:color w:val="333333"/>
          <w:lang w:eastAsia="en-GB"/>
        </w:rPr>
        <w:t>.”</w:t>
      </w:r>
    </w:p>
    <w:p w14:paraId="3E259404"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My work hours and family commitments and their opening hours give small windows of opportunity to get there</w:t>
      </w:r>
      <w:r>
        <w:rPr>
          <w:rFonts w:ascii="Arial" w:eastAsia="Times New Roman" w:hAnsi="Arial" w:cs="Arial"/>
          <w:color w:val="333333"/>
          <w:lang w:eastAsia="en-GB"/>
        </w:rPr>
        <w:t>.”</w:t>
      </w:r>
      <w:r w:rsidRPr="004C74B7">
        <w:rPr>
          <w:rFonts w:ascii="Arial" w:eastAsia="Times New Roman" w:hAnsi="Arial" w:cs="Arial"/>
          <w:color w:val="333333"/>
          <w:lang w:eastAsia="en-GB"/>
        </w:rPr>
        <w:t xml:space="preserve"> </w:t>
      </w:r>
    </w:p>
    <w:p w14:paraId="42AC27C6"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I am disabled and it is now too far for me to walk. This is recent (in the last 5 years)</w:t>
      </w:r>
      <w:r>
        <w:rPr>
          <w:rFonts w:ascii="Arial" w:eastAsia="Times New Roman" w:hAnsi="Arial" w:cs="Arial"/>
          <w:color w:val="333333"/>
          <w:lang w:eastAsia="en-GB"/>
        </w:rPr>
        <w:t>.”</w:t>
      </w:r>
    </w:p>
    <w:p w14:paraId="617EA8AD"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The hours are limited due to COVID restrictions</w:t>
      </w:r>
      <w:r>
        <w:rPr>
          <w:rFonts w:ascii="Arial" w:eastAsia="Times New Roman" w:hAnsi="Arial" w:cs="Arial"/>
          <w:color w:val="333333"/>
          <w:lang w:eastAsia="en-GB"/>
        </w:rPr>
        <w:t>.”</w:t>
      </w:r>
      <w:r w:rsidRPr="004C74B7">
        <w:rPr>
          <w:rFonts w:ascii="Arial" w:eastAsia="Times New Roman" w:hAnsi="Arial" w:cs="Arial"/>
          <w:color w:val="333333"/>
          <w:lang w:eastAsia="en-GB"/>
        </w:rPr>
        <w:t xml:space="preserve"> </w:t>
      </w:r>
    </w:p>
    <w:p w14:paraId="5319D534" w14:textId="77777777" w:rsidR="00D301A3" w:rsidRPr="00330092"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“D</w:t>
      </w:r>
      <w:r w:rsidRPr="004C74B7">
        <w:rPr>
          <w:rFonts w:ascii="Arial" w:eastAsia="Times New Roman" w:hAnsi="Arial" w:cs="Arial"/>
          <w:color w:val="333333"/>
          <w:lang w:eastAsia="en-GB"/>
        </w:rPr>
        <w:t>ifficult to park so have to go back at a different time.</w:t>
      </w:r>
      <w:r>
        <w:rPr>
          <w:rFonts w:ascii="Arial" w:eastAsia="Times New Roman" w:hAnsi="Arial" w:cs="Arial"/>
          <w:color w:val="333333"/>
          <w:lang w:eastAsia="en-GB"/>
        </w:rPr>
        <w:t xml:space="preserve"> </w:t>
      </w:r>
      <w:r w:rsidRPr="00330092">
        <w:rPr>
          <w:rFonts w:ascii="Arial" w:eastAsia="Times New Roman" w:hAnsi="Arial" w:cs="Arial"/>
          <w:color w:val="333333"/>
          <w:lang w:eastAsia="en-GB"/>
        </w:rPr>
        <w:t>Not open on a weekend or overnight.”</w:t>
      </w:r>
    </w:p>
    <w:p w14:paraId="21151C5C"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 xml:space="preserve">I'm a wheelchair user and my </w:t>
      </w:r>
      <w:r>
        <w:rPr>
          <w:rFonts w:ascii="Arial" w:eastAsia="Times New Roman" w:hAnsi="Arial" w:cs="Arial"/>
          <w:color w:val="333333"/>
          <w:lang w:eastAsia="en-GB"/>
        </w:rPr>
        <w:t>local</w:t>
      </w:r>
      <w:r w:rsidRPr="004C74B7">
        <w:rPr>
          <w:rFonts w:ascii="Arial" w:eastAsia="Times New Roman" w:hAnsi="Arial" w:cs="Arial"/>
          <w:color w:val="333333"/>
          <w:lang w:eastAsia="en-GB"/>
        </w:rPr>
        <w:t xml:space="preserve"> area is hilly with poor pavements. Additionally, the pharmacy is not accessible</w:t>
      </w:r>
      <w:r>
        <w:rPr>
          <w:rFonts w:ascii="Arial" w:eastAsia="Times New Roman" w:hAnsi="Arial" w:cs="Arial"/>
          <w:color w:val="333333"/>
          <w:lang w:eastAsia="en-GB"/>
        </w:rPr>
        <w:t>.”</w:t>
      </w:r>
      <w:r w:rsidRPr="004C74B7">
        <w:rPr>
          <w:rFonts w:ascii="Arial" w:eastAsia="Times New Roman" w:hAnsi="Arial" w:cs="Arial"/>
          <w:color w:val="333333"/>
          <w:lang w:eastAsia="en-GB"/>
        </w:rPr>
        <w:t xml:space="preserve"> </w:t>
      </w:r>
    </w:p>
    <w:p w14:paraId="41EDC18D"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“T</w:t>
      </w:r>
      <w:r w:rsidRPr="004C74B7">
        <w:rPr>
          <w:rFonts w:ascii="Arial" w:eastAsia="Times New Roman" w:hAnsi="Arial" w:cs="Arial"/>
          <w:color w:val="333333"/>
          <w:lang w:eastAsia="en-GB"/>
        </w:rPr>
        <w:t xml:space="preserve">here is a closer site... </w:t>
      </w:r>
      <w:r>
        <w:rPr>
          <w:rFonts w:ascii="Arial" w:eastAsia="Times New Roman" w:hAnsi="Arial" w:cs="Arial"/>
          <w:color w:val="333333"/>
          <w:lang w:eastAsia="en-GB"/>
        </w:rPr>
        <w:t>[Name of location]</w:t>
      </w:r>
      <w:r w:rsidRPr="004C74B7">
        <w:rPr>
          <w:rFonts w:ascii="Arial" w:eastAsia="Times New Roman" w:hAnsi="Arial" w:cs="Arial"/>
          <w:color w:val="333333"/>
          <w:lang w:eastAsia="en-GB"/>
        </w:rPr>
        <w:t>, but it isnt a registered pharmacy yet</w:t>
      </w:r>
      <w:r>
        <w:rPr>
          <w:rFonts w:ascii="Arial" w:eastAsia="Times New Roman" w:hAnsi="Arial" w:cs="Arial"/>
          <w:color w:val="333333"/>
          <w:lang w:eastAsia="en-GB"/>
        </w:rPr>
        <w:t>.”</w:t>
      </w:r>
    </w:p>
    <w:p w14:paraId="592706AD"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 xml:space="preserve">My GP is in </w:t>
      </w:r>
      <w:r>
        <w:rPr>
          <w:rFonts w:ascii="Arial" w:eastAsia="Times New Roman" w:hAnsi="Arial" w:cs="Arial"/>
          <w:color w:val="333333"/>
          <w:lang w:eastAsia="en-GB"/>
        </w:rPr>
        <w:t>[name of location]</w:t>
      </w:r>
      <w:r w:rsidRPr="004C74B7">
        <w:rPr>
          <w:rFonts w:ascii="Arial" w:eastAsia="Times New Roman" w:hAnsi="Arial" w:cs="Arial"/>
          <w:color w:val="333333"/>
          <w:lang w:eastAsia="en-GB"/>
        </w:rPr>
        <w:t>, Cardiff. The closest pharmacy was over a mile away and has recently moved further away. If I am offered an appointment late in the afternoon I can not get to this pharmacy by foot in time and have to wait till the next day.</w:t>
      </w:r>
      <w:r>
        <w:rPr>
          <w:rFonts w:ascii="Arial" w:eastAsia="Times New Roman" w:hAnsi="Arial" w:cs="Arial"/>
          <w:color w:val="333333"/>
          <w:lang w:eastAsia="en-GB"/>
        </w:rPr>
        <w:t>”</w:t>
      </w:r>
    </w:p>
    <w:p w14:paraId="49380D7D" w14:textId="5A37DA91"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“I</w:t>
      </w:r>
      <w:r w:rsidRPr="004C74B7">
        <w:rPr>
          <w:rFonts w:ascii="Arial" w:eastAsia="Times New Roman" w:hAnsi="Arial" w:cs="Arial"/>
          <w:color w:val="333333"/>
          <w:lang w:eastAsia="en-GB"/>
        </w:rPr>
        <w:t xml:space="preserve"> often have late afternoon appointments with my gp in </w:t>
      </w:r>
      <w:r>
        <w:rPr>
          <w:rFonts w:ascii="Arial" w:eastAsia="Times New Roman" w:hAnsi="Arial" w:cs="Arial"/>
          <w:color w:val="333333"/>
          <w:lang w:eastAsia="en-GB"/>
        </w:rPr>
        <w:t>[name of location]</w:t>
      </w:r>
      <w:r w:rsidRPr="004C74B7">
        <w:rPr>
          <w:rFonts w:ascii="Arial" w:eastAsia="Times New Roman" w:hAnsi="Arial" w:cs="Arial"/>
          <w:color w:val="333333"/>
          <w:lang w:eastAsia="en-GB"/>
        </w:rPr>
        <w:t xml:space="preserve">. my usual pharmacy in </w:t>
      </w:r>
      <w:r>
        <w:rPr>
          <w:rFonts w:ascii="Arial" w:eastAsia="Times New Roman" w:hAnsi="Arial" w:cs="Arial"/>
          <w:color w:val="333333"/>
          <w:lang w:eastAsia="en-GB"/>
        </w:rPr>
        <w:t>[name of pharmacy]</w:t>
      </w:r>
      <w:r w:rsidRPr="004C74B7">
        <w:rPr>
          <w:rFonts w:ascii="Arial" w:eastAsia="Times New Roman" w:hAnsi="Arial" w:cs="Arial"/>
          <w:color w:val="333333"/>
          <w:lang w:eastAsia="en-GB"/>
        </w:rPr>
        <w:t xml:space="preserve"> has now closed. other pharmacies in the area are not open by the time i go there, so i cant get my </w:t>
      </w:r>
      <w:r w:rsidR="00540D6F" w:rsidRPr="004C74B7">
        <w:rPr>
          <w:rFonts w:ascii="Arial" w:eastAsia="Times New Roman" w:hAnsi="Arial" w:cs="Arial"/>
          <w:color w:val="333333"/>
          <w:lang w:eastAsia="en-GB"/>
        </w:rPr>
        <w:t>medication</w:t>
      </w:r>
      <w:r w:rsidRPr="004C74B7">
        <w:rPr>
          <w:rFonts w:ascii="Arial" w:eastAsia="Times New Roman" w:hAnsi="Arial" w:cs="Arial"/>
          <w:color w:val="333333"/>
          <w:lang w:eastAsia="en-GB"/>
        </w:rPr>
        <w:t xml:space="preserve"> on the same day. if i am working the next day i often dont start my medication for a few days</w:t>
      </w:r>
      <w:r>
        <w:rPr>
          <w:rFonts w:ascii="Arial" w:eastAsia="Times New Roman" w:hAnsi="Arial" w:cs="Arial"/>
          <w:color w:val="333333"/>
          <w:lang w:eastAsia="en-GB"/>
        </w:rPr>
        <w:t>.”</w:t>
      </w:r>
    </w:p>
    <w:p w14:paraId="066A4ACE"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Too far away and not easy to get to</w:t>
      </w:r>
      <w:r>
        <w:rPr>
          <w:rFonts w:ascii="Arial" w:eastAsia="Times New Roman" w:hAnsi="Arial" w:cs="Arial"/>
          <w:color w:val="333333"/>
          <w:lang w:eastAsia="en-GB"/>
        </w:rPr>
        <w:t>.”</w:t>
      </w:r>
    </w:p>
    <w:p w14:paraId="36C484DF"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 xml:space="preserve">I do not drive and have to walk to my surgery and to a pharmacy to collect my medication. I used to use the pharmacy on </w:t>
      </w:r>
      <w:r>
        <w:rPr>
          <w:rFonts w:ascii="Arial" w:eastAsia="Times New Roman" w:hAnsi="Arial" w:cs="Arial"/>
          <w:color w:val="333333"/>
          <w:lang w:eastAsia="en-GB"/>
        </w:rPr>
        <w:t xml:space="preserve">[name of location] </w:t>
      </w:r>
      <w:r w:rsidRPr="004C74B7">
        <w:rPr>
          <w:rFonts w:ascii="Arial" w:eastAsia="Times New Roman" w:hAnsi="Arial" w:cs="Arial"/>
          <w:color w:val="333333"/>
          <w:lang w:eastAsia="en-GB"/>
        </w:rPr>
        <w:t xml:space="preserve">but as that has now closed I struggle to get to a pharmacy near my gp. Because of this I have on occasions had to wait a day or </w:t>
      </w:r>
      <w:r w:rsidRPr="004C74B7">
        <w:rPr>
          <w:rFonts w:ascii="Arial" w:eastAsia="Times New Roman" w:hAnsi="Arial" w:cs="Arial"/>
          <w:color w:val="333333"/>
          <w:lang w:eastAsia="en-GB"/>
        </w:rPr>
        <w:lastRenderedPageBreak/>
        <w:t>two before I can get my medication which has resulted in my condition worsening. I suffer with chest infections and starting antibiotics and steroids is very important for me.</w:t>
      </w:r>
      <w:r>
        <w:rPr>
          <w:rFonts w:ascii="Arial" w:eastAsia="Times New Roman" w:hAnsi="Arial" w:cs="Arial"/>
          <w:color w:val="333333"/>
          <w:lang w:eastAsia="en-GB"/>
        </w:rPr>
        <w:t>”</w:t>
      </w:r>
    </w:p>
    <w:p w14:paraId="2C2A3628" w14:textId="77777777" w:rsidR="00D301A3" w:rsidRPr="00A12765"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Currently isolating as much as possible.</w:t>
      </w:r>
      <w:r>
        <w:rPr>
          <w:rFonts w:ascii="Arial" w:eastAsia="Times New Roman" w:hAnsi="Arial" w:cs="Arial"/>
          <w:color w:val="333333"/>
          <w:lang w:eastAsia="en-GB"/>
        </w:rPr>
        <w:t xml:space="preserve"> </w:t>
      </w:r>
      <w:r w:rsidRPr="00A12765">
        <w:rPr>
          <w:rFonts w:ascii="Arial" w:eastAsia="Times New Roman" w:hAnsi="Arial" w:cs="Arial"/>
          <w:color w:val="333333"/>
          <w:lang w:eastAsia="en-GB"/>
        </w:rPr>
        <w:t>My pharmacy recommend calling to make sure script is filled, they then ensure its in the to collect box so he picks it up very easily.”</w:t>
      </w:r>
    </w:p>
    <w:p w14:paraId="6A6C5985"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Opening hours not suited to my work hours</w:t>
      </w:r>
      <w:r>
        <w:rPr>
          <w:rFonts w:ascii="Arial" w:eastAsia="Times New Roman" w:hAnsi="Arial" w:cs="Arial"/>
          <w:color w:val="333333"/>
          <w:lang w:eastAsia="en-GB"/>
        </w:rPr>
        <w:t>.”</w:t>
      </w:r>
    </w:p>
    <w:p w14:paraId="59B33DF9"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Severe anxiety</w:t>
      </w:r>
      <w:r>
        <w:rPr>
          <w:rFonts w:ascii="Arial" w:eastAsia="Times New Roman" w:hAnsi="Arial" w:cs="Arial"/>
          <w:color w:val="333333"/>
          <w:lang w:eastAsia="en-GB"/>
        </w:rPr>
        <w:t>.”</w:t>
      </w:r>
    </w:p>
    <w:p w14:paraId="4C5D608F"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I have 2 slipped discs and depending how bad my back is I either use crutches or a wheelchair.</w:t>
      </w:r>
      <w:r>
        <w:rPr>
          <w:rFonts w:ascii="Arial" w:eastAsia="Times New Roman" w:hAnsi="Arial" w:cs="Arial"/>
          <w:color w:val="333333"/>
          <w:lang w:eastAsia="en-GB"/>
        </w:rPr>
        <w:t>”</w:t>
      </w:r>
    </w:p>
    <w:p w14:paraId="354E2564"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Sometimes, due to illness - when this occurs, the pharmacist delivers my medication to my house.</w:t>
      </w:r>
      <w:r>
        <w:rPr>
          <w:rFonts w:ascii="Arial" w:eastAsia="Times New Roman" w:hAnsi="Arial" w:cs="Arial"/>
          <w:color w:val="333333"/>
          <w:lang w:eastAsia="en-GB"/>
        </w:rPr>
        <w:t>”</w:t>
      </w:r>
    </w:p>
    <w:p w14:paraId="11FD4632"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Working hours</w:t>
      </w:r>
      <w:r>
        <w:rPr>
          <w:rFonts w:ascii="Arial" w:eastAsia="Times New Roman" w:hAnsi="Arial" w:cs="Arial"/>
          <w:color w:val="333333"/>
          <w:lang w:eastAsia="en-GB"/>
        </w:rPr>
        <w:t>.”</w:t>
      </w:r>
    </w:p>
    <w:p w14:paraId="3C7AAFFA"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Opening times around childcare/work</w:t>
      </w:r>
      <w:r>
        <w:rPr>
          <w:rFonts w:ascii="Arial" w:eastAsia="Times New Roman" w:hAnsi="Arial" w:cs="Arial"/>
          <w:color w:val="333333"/>
          <w:lang w:eastAsia="en-GB"/>
        </w:rPr>
        <w:t>.”</w:t>
      </w:r>
    </w:p>
    <w:p w14:paraId="49BDCC0F"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Due to queue of people</w:t>
      </w:r>
      <w:r>
        <w:rPr>
          <w:rFonts w:ascii="Arial" w:eastAsia="Times New Roman" w:hAnsi="Arial" w:cs="Arial"/>
          <w:color w:val="333333"/>
          <w:lang w:eastAsia="en-GB"/>
        </w:rPr>
        <w:t>.”</w:t>
      </w:r>
    </w:p>
    <w:p w14:paraId="114A24CF"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 xml:space="preserve">Roadworks and barriers in </w:t>
      </w:r>
      <w:r>
        <w:rPr>
          <w:rFonts w:ascii="Arial" w:eastAsia="Times New Roman" w:hAnsi="Arial" w:cs="Arial"/>
          <w:color w:val="333333"/>
          <w:lang w:eastAsia="en-GB"/>
        </w:rPr>
        <w:t>{name of location]</w:t>
      </w:r>
      <w:r w:rsidRPr="004C74B7">
        <w:rPr>
          <w:rFonts w:ascii="Arial" w:eastAsia="Times New Roman" w:hAnsi="Arial" w:cs="Arial"/>
          <w:color w:val="333333"/>
          <w:lang w:eastAsia="en-GB"/>
        </w:rPr>
        <w:t xml:space="preserve"> - been ongoing for months.</w:t>
      </w:r>
      <w:r>
        <w:rPr>
          <w:rFonts w:ascii="Arial" w:eastAsia="Times New Roman" w:hAnsi="Arial" w:cs="Arial"/>
          <w:color w:val="333333"/>
          <w:lang w:eastAsia="en-GB"/>
        </w:rPr>
        <w:t>”</w:t>
      </w:r>
    </w:p>
    <w:p w14:paraId="6472C601"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There is always a queue and I am unable to stand for long. Also the queue outside is very close to a busy bus stop.</w:t>
      </w:r>
      <w:r>
        <w:rPr>
          <w:rFonts w:ascii="Arial" w:eastAsia="Times New Roman" w:hAnsi="Arial" w:cs="Arial"/>
          <w:color w:val="333333"/>
          <w:lang w:eastAsia="en-GB"/>
        </w:rPr>
        <w:t>”</w:t>
      </w:r>
    </w:p>
    <w:p w14:paraId="22230608"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I suffer from severe agoraphobia and I am also shielding due to a compromised immune system.</w:t>
      </w:r>
      <w:r>
        <w:rPr>
          <w:rFonts w:ascii="Arial" w:eastAsia="Times New Roman" w:hAnsi="Arial" w:cs="Arial"/>
          <w:color w:val="333333"/>
          <w:lang w:eastAsia="en-GB"/>
        </w:rPr>
        <w:t>”</w:t>
      </w:r>
    </w:p>
    <w:p w14:paraId="34AB2970" w14:textId="77777777" w:rsidR="00D301A3" w:rsidRPr="004C74B7" w:rsidRDefault="00D301A3" w:rsidP="00DC54F7">
      <w:pPr>
        <w:pStyle w:val="ListParagraph"/>
        <w:numPr>
          <w:ilvl w:val="0"/>
          <w:numId w:val="169"/>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4C74B7">
        <w:rPr>
          <w:rFonts w:ascii="Arial" w:eastAsia="Times New Roman" w:hAnsi="Arial" w:cs="Arial"/>
          <w:color w:val="333333"/>
          <w:lang w:eastAsia="en-GB"/>
        </w:rPr>
        <w:t>I work full time</w:t>
      </w:r>
      <w:r>
        <w:rPr>
          <w:rFonts w:ascii="Arial" w:eastAsia="Times New Roman" w:hAnsi="Arial" w:cs="Arial"/>
          <w:color w:val="333333"/>
          <w:lang w:eastAsia="en-GB"/>
        </w:rPr>
        <w:t>.”</w:t>
      </w:r>
    </w:p>
    <w:p w14:paraId="256180EF" w14:textId="77777777" w:rsidR="00D301A3" w:rsidRDefault="00D301A3" w:rsidP="00DC54F7">
      <w:pPr>
        <w:spacing w:after="0" w:line="240" w:lineRule="auto"/>
        <w:jc w:val="both"/>
        <w:rPr>
          <w:rFonts w:ascii="Arial" w:eastAsia="Times New Roman" w:hAnsi="Arial" w:cs="Arial"/>
          <w:b/>
          <w:bCs/>
          <w:color w:val="333333"/>
          <w:lang w:eastAsia="en-GB"/>
        </w:rPr>
      </w:pPr>
    </w:p>
    <w:p w14:paraId="289C2319" w14:textId="77777777" w:rsidR="00D301A3" w:rsidRDefault="00D301A3" w:rsidP="00DC54F7">
      <w:pPr>
        <w:spacing w:after="0" w:line="240" w:lineRule="auto"/>
        <w:jc w:val="both"/>
        <w:rPr>
          <w:rFonts w:ascii="Arial" w:eastAsia="Times New Roman" w:hAnsi="Arial" w:cs="Arial"/>
          <w:b/>
          <w:bCs/>
          <w:color w:val="333333"/>
          <w:lang w:eastAsia="en-GB"/>
        </w:rPr>
      </w:pPr>
    </w:p>
    <w:p w14:paraId="3E77E6FD" w14:textId="77777777" w:rsidR="00D301A3" w:rsidRDefault="00D301A3" w:rsidP="00DC54F7">
      <w:pPr>
        <w:spacing w:after="0" w:line="240" w:lineRule="auto"/>
        <w:jc w:val="both"/>
        <w:rPr>
          <w:rFonts w:ascii="Arial" w:eastAsia="Times New Roman" w:hAnsi="Arial" w:cs="Arial"/>
          <w:b/>
          <w:bCs/>
          <w:color w:val="333333"/>
          <w:lang w:eastAsia="en-GB"/>
        </w:rPr>
      </w:pPr>
      <w:r w:rsidRPr="00FE14A4">
        <w:rPr>
          <w:rFonts w:ascii="Arial" w:eastAsia="Times New Roman" w:hAnsi="Arial" w:cs="Arial"/>
          <w:b/>
          <w:bCs/>
          <w:color w:val="333333"/>
          <w:lang w:eastAsia="en-GB"/>
        </w:rPr>
        <w:t>16. We would like to know how you find out information about a pharmacy such as opening times or the service being offered. Please tick any or all that apply.</w:t>
      </w:r>
      <w:r w:rsidRPr="000E4D55">
        <w:rPr>
          <w:rFonts w:ascii="Arial" w:eastAsia="Times New Roman" w:hAnsi="Arial" w:cs="Arial"/>
          <w:b/>
          <w:bCs/>
          <w:color w:val="333333"/>
          <w:lang w:eastAsia="en-GB"/>
        </w:rPr>
        <w:t xml:space="preserve"> </w:t>
      </w:r>
    </w:p>
    <w:p w14:paraId="18E542FE" w14:textId="77777777" w:rsidR="00D301A3" w:rsidRDefault="00D301A3" w:rsidP="00DC54F7">
      <w:pPr>
        <w:spacing w:after="0" w:line="240" w:lineRule="auto"/>
        <w:jc w:val="both"/>
        <w:rPr>
          <w:rFonts w:ascii="Arial" w:eastAsia="Times New Roman" w:hAnsi="Arial" w:cs="Arial"/>
          <w:b/>
          <w:bCs/>
          <w:color w:val="333333"/>
          <w:lang w:eastAsia="en-GB"/>
        </w:rPr>
      </w:pPr>
    </w:p>
    <w:p w14:paraId="2E47BDE7" w14:textId="77777777" w:rsidR="00D301A3" w:rsidRPr="00F33FE2" w:rsidRDefault="00D301A3" w:rsidP="00DC54F7">
      <w:pPr>
        <w:spacing w:after="0" w:line="240" w:lineRule="auto"/>
        <w:jc w:val="both"/>
        <w:rPr>
          <w:rFonts w:ascii="Arial" w:eastAsia="Times New Roman" w:hAnsi="Arial" w:cs="Arial"/>
          <w:b/>
          <w:bCs/>
          <w:color w:val="333333"/>
        </w:rPr>
      </w:pPr>
      <w:r>
        <w:rPr>
          <w:rFonts w:ascii="Arial" w:eastAsia="Times New Roman" w:hAnsi="Arial" w:cs="Arial"/>
          <w:b/>
          <w:bCs/>
          <w:color w:val="333333"/>
        </w:rPr>
        <w:t>(</w:t>
      </w:r>
      <w:r w:rsidRPr="007F0913">
        <w:rPr>
          <w:rFonts w:ascii="Arial" w:hAnsi="Arial" w:cs="Arial"/>
        </w:rPr>
        <w:t>Multiple answers could be given to this question</w:t>
      </w:r>
      <w:r>
        <w:t>)</w:t>
      </w:r>
    </w:p>
    <w:tbl>
      <w:tblPr>
        <w:tblW w:w="8865" w:type="dxa"/>
        <w:tblLook w:val="04A0" w:firstRow="1" w:lastRow="0" w:firstColumn="1" w:lastColumn="0" w:noHBand="0" w:noVBand="1"/>
      </w:tblPr>
      <w:tblGrid>
        <w:gridCol w:w="685"/>
        <w:gridCol w:w="1370"/>
        <w:gridCol w:w="3569"/>
        <w:gridCol w:w="1214"/>
        <w:gridCol w:w="1357"/>
        <w:gridCol w:w="685"/>
      </w:tblGrid>
      <w:tr w:rsidR="004E1DAD" w:rsidRPr="004E1DAD" w14:paraId="2E35B554" w14:textId="77777777" w:rsidTr="004E1DAD">
        <w:trPr>
          <w:trHeight w:val="260"/>
        </w:trPr>
        <w:tc>
          <w:tcPr>
            <w:tcW w:w="5624" w:type="dxa"/>
            <w:gridSpan w:val="3"/>
            <w:tcBorders>
              <w:top w:val="single" w:sz="4" w:space="0" w:color="A6A6A6"/>
              <w:left w:val="single" w:sz="4" w:space="0" w:color="A6A6A6"/>
              <w:bottom w:val="single" w:sz="4" w:space="0" w:color="A6A6A6"/>
              <w:right w:val="nil"/>
            </w:tcBorders>
            <w:shd w:val="clear" w:color="000000" w:fill="8497B0"/>
            <w:noWrap/>
            <w:vAlign w:val="center"/>
            <w:hideMark/>
          </w:tcPr>
          <w:p w14:paraId="5F8491AA" w14:textId="77777777" w:rsidR="004E1DAD" w:rsidRPr="004E1DAD" w:rsidRDefault="004E1DAD" w:rsidP="00DC54F7">
            <w:pPr>
              <w:spacing w:after="0" w:line="240" w:lineRule="auto"/>
              <w:jc w:val="both"/>
              <w:rPr>
                <w:rFonts w:ascii="Arial" w:eastAsia="Times New Roman" w:hAnsi="Arial" w:cs="Arial"/>
                <w:b/>
                <w:bCs/>
                <w:color w:val="FFFFFF"/>
                <w:sz w:val="21"/>
                <w:szCs w:val="21"/>
                <w:lang w:eastAsia="en-GB"/>
              </w:rPr>
            </w:pPr>
            <w:r w:rsidRPr="004E1DAD">
              <w:rPr>
                <w:rFonts w:ascii="Arial" w:eastAsia="Times New Roman" w:hAnsi="Arial" w:cs="Arial"/>
                <w:b/>
                <w:bCs/>
                <w:color w:val="FFFFFF"/>
                <w:sz w:val="21"/>
                <w:szCs w:val="21"/>
                <w:lang w:eastAsia="en-GB"/>
              </w:rPr>
              <w:t> </w:t>
            </w:r>
          </w:p>
        </w:tc>
        <w:tc>
          <w:tcPr>
            <w:tcW w:w="2556" w:type="dxa"/>
            <w:gridSpan w:val="2"/>
            <w:tcBorders>
              <w:top w:val="single" w:sz="4" w:space="0" w:color="A6A6A6"/>
              <w:left w:val="nil"/>
              <w:bottom w:val="nil"/>
              <w:right w:val="single" w:sz="4" w:space="0" w:color="A6A6A6"/>
            </w:tcBorders>
            <w:shd w:val="clear" w:color="000000" w:fill="8497B0"/>
            <w:noWrap/>
            <w:vAlign w:val="center"/>
            <w:hideMark/>
          </w:tcPr>
          <w:p w14:paraId="7BD51DE4" w14:textId="77777777" w:rsidR="004E1DAD" w:rsidRPr="004E1DAD" w:rsidRDefault="004E1DAD" w:rsidP="00DC54F7">
            <w:pPr>
              <w:spacing w:after="0" w:line="240" w:lineRule="auto"/>
              <w:jc w:val="both"/>
              <w:rPr>
                <w:rFonts w:ascii="Arial" w:eastAsia="Times New Roman" w:hAnsi="Arial" w:cs="Arial"/>
                <w:b/>
                <w:bCs/>
                <w:color w:val="FFFFFF"/>
                <w:sz w:val="21"/>
                <w:szCs w:val="21"/>
                <w:lang w:eastAsia="en-GB"/>
              </w:rPr>
            </w:pPr>
            <w:r w:rsidRPr="004E1DAD">
              <w:rPr>
                <w:rFonts w:ascii="Arial" w:eastAsia="Times New Roman" w:hAnsi="Arial" w:cs="Arial"/>
                <w:b/>
                <w:bCs/>
                <w:color w:val="FFFFFF"/>
                <w:sz w:val="21"/>
                <w:szCs w:val="21"/>
                <w:lang w:eastAsia="en-GB"/>
              </w:rPr>
              <w:t>Response</w:t>
            </w:r>
          </w:p>
        </w:tc>
        <w:tc>
          <w:tcPr>
            <w:tcW w:w="685" w:type="dxa"/>
            <w:tcBorders>
              <w:top w:val="nil"/>
              <w:left w:val="nil"/>
              <w:bottom w:val="nil"/>
              <w:right w:val="nil"/>
            </w:tcBorders>
            <w:shd w:val="clear" w:color="000000" w:fill="8497B0"/>
            <w:noWrap/>
            <w:vAlign w:val="center"/>
            <w:hideMark/>
          </w:tcPr>
          <w:p w14:paraId="39E8ACB0" w14:textId="77777777" w:rsidR="004E1DAD" w:rsidRPr="004E1DAD" w:rsidRDefault="004E1DAD" w:rsidP="00DC54F7">
            <w:pPr>
              <w:spacing w:after="0" w:line="240" w:lineRule="auto"/>
              <w:jc w:val="both"/>
              <w:rPr>
                <w:rFonts w:ascii="Arial" w:eastAsia="Times New Roman" w:hAnsi="Arial" w:cs="Arial"/>
                <w:b/>
                <w:bCs/>
                <w:color w:val="FFFFFF"/>
                <w:sz w:val="21"/>
                <w:szCs w:val="21"/>
                <w:lang w:eastAsia="en-GB"/>
              </w:rPr>
            </w:pPr>
            <w:r w:rsidRPr="004E1DAD">
              <w:rPr>
                <w:rFonts w:ascii="Arial" w:eastAsia="Times New Roman" w:hAnsi="Arial" w:cs="Arial"/>
                <w:b/>
                <w:bCs/>
                <w:color w:val="FFFFFF"/>
                <w:sz w:val="21"/>
                <w:szCs w:val="21"/>
                <w:lang w:eastAsia="en-GB"/>
              </w:rPr>
              <w:t> </w:t>
            </w:r>
          </w:p>
        </w:tc>
      </w:tr>
      <w:tr w:rsidR="004E1DAD" w:rsidRPr="004E1DAD" w14:paraId="786FD0CB" w14:textId="77777777" w:rsidTr="004E1DAD">
        <w:trPr>
          <w:trHeight w:val="260"/>
        </w:trPr>
        <w:tc>
          <w:tcPr>
            <w:tcW w:w="5624" w:type="dxa"/>
            <w:gridSpan w:val="3"/>
            <w:tcBorders>
              <w:top w:val="single" w:sz="4" w:space="0" w:color="A6A6A6"/>
              <w:left w:val="single" w:sz="4" w:space="0" w:color="A6A6A6"/>
              <w:bottom w:val="single" w:sz="4" w:space="0" w:color="A6A6A6"/>
              <w:right w:val="single" w:sz="4" w:space="0" w:color="D9D9D9"/>
            </w:tcBorders>
            <w:shd w:val="clear" w:color="000000" w:fill="F2F2F2"/>
            <w:vAlign w:val="center"/>
            <w:hideMark/>
          </w:tcPr>
          <w:p w14:paraId="5D7A25BD" w14:textId="77777777" w:rsidR="004E1DAD" w:rsidRPr="004E1DAD" w:rsidRDefault="004E1DAD" w:rsidP="00DC54F7">
            <w:pPr>
              <w:spacing w:after="0" w:line="240" w:lineRule="auto"/>
              <w:jc w:val="both"/>
              <w:rPr>
                <w:rFonts w:ascii="Arial" w:eastAsia="Times New Roman" w:hAnsi="Arial" w:cs="Arial"/>
                <w:b/>
                <w:bCs/>
                <w:color w:val="000000"/>
                <w:sz w:val="18"/>
                <w:szCs w:val="18"/>
                <w:lang w:eastAsia="en-GB"/>
              </w:rPr>
            </w:pPr>
            <w:r w:rsidRPr="004E1DAD">
              <w:rPr>
                <w:rFonts w:ascii="Arial" w:eastAsia="Times New Roman" w:hAnsi="Arial" w:cs="Arial"/>
                <w:b/>
                <w:bCs/>
                <w:color w:val="000000"/>
                <w:sz w:val="18"/>
                <w:szCs w:val="18"/>
                <w:lang w:eastAsia="en-GB"/>
              </w:rPr>
              <w:t> </w:t>
            </w:r>
          </w:p>
        </w:tc>
        <w:tc>
          <w:tcPr>
            <w:tcW w:w="1214" w:type="dxa"/>
            <w:tcBorders>
              <w:top w:val="single" w:sz="4" w:space="0" w:color="BFBFBF"/>
              <w:left w:val="nil"/>
              <w:bottom w:val="single" w:sz="4" w:space="0" w:color="D9D9D9"/>
              <w:right w:val="single" w:sz="4" w:space="0" w:color="D9D9D9"/>
            </w:tcBorders>
            <w:shd w:val="clear" w:color="000000" w:fill="F2F2F2"/>
            <w:noWrap/>
            <w:vAlign w:val="center"/>
            <w:hideMark/>
          </w:tcPr>
          <w:p w14:paraId="3206B5C7" w14:textId="77777777" w:rsidR="004E1DAD" w:rsidRPr="004E1DAD" w:rsidRDefault="004E1DAD" w:rsidP="00DC54F7">
            <w:pPr>
              <w:spacing w:after="0" w:line="240" w:lineRule="auto"/>
              <w:jc w:val="both"/>
              <w:rPr>
                <w:rFonts w:ascii="Arial" w:eastAsia="Times New Roman" w:hAnsi="Arial" w:cs="Arial"/>
                <w:b/>
                <w:bCs/>
                <w:color w:val="000000"/>
                <w:sz w:val="18"/>
                <w:szCs w:val="18"/>
                <w:lang w:eastAsia="en-GB"/>
              </w:rPr>
            </w:pPr>
            <w:r w:rsidRPr="004E1DAD">
              <w:rPr>
                <w:rFonts w:ascii="Arial" w:eastAsia="Times New Roman" w:hAnsi="Arial" w:cs="Arial"/>
                <w:b/>
                <w:bCs/>
                <w:color w:val="000000"/>
                <w:sz w:val="18"/>
                <w:szCs w:val="18"/>
                <w:lang w:eastAsia="en-GB"/>
              </w:rPr>
              <w:t>Percent Responses</w:t>
            </w:r>
          </w:p>
        </w:tc>
        <w:tc>
          <w:tcPr>
            <w:tcW w:w="1342" w:type="dxa"/>
            <w:tcBorders>
              <w:top w:val="single" w:sz="4" w:space="0" w:color="BFBFBF"/>
              <w:left w:val="nil"/>
              <w:bottom w:val="single" w:sz="4" w:space="0" w:color="D9D9D9"/>
              <w:right w:val="single" w:sz="4" w:space="0" w:color="D9D9D9"/>
            </w:tcBorders>
            <w:shd w:val="clear" w:color="000000" w:fill="F2F2F2"/>
            <w:noWrap/>
            <w:vAlign w:val="center"/>
            <w:hideMark/>
          </w:tcPr>
          <w:p w14:paraId="46785F45" w14:textId="77777777" w:rsidR="004E1DAD" w:rsidRPr="004E1DAD" w:rsidRDefault="004E1DAD" w:rsidP="00DC54F7">
            <w:pPr>
              <w:spacing w:after="0" w:line="240" w:lineRule="auto"/>
              <w:jc w:val="both"/>
              <w:rPr>
                <w:rFonts w:ascii="Arial" w:eastAsia="Times New Roman" w:hAnsi="Arial" w:cs="Arial"/>
                <w:b/>
                <w:bCs/>
                <w:color w:val="000000"/>
                <w:sz w:val="18"/>
                <w:szCs w:val="18"/>
                <w:lang w:eastAsia="en-GB"/>
              </w:rPr>
            </w:pPr>
            <w:r w:rsidRPr="004E1DAD">
              <w:rPr>
                <w:rFonts w:ascii="Arial" w:eastAsia="Times New Roman" w:hAnsi="Arial" w:cs="Arial"/>
                <w:b/>
                <w:bCs/>
                <w:color w:val="000000"/>
                <w:sz w:val="18"/>
                <w:szCs w:val="18"/>
                <w:lang w:eastAsia="en-GB"/>
              </w:rPr>
              <w:t>Percent Respondents</w:t>
            </w:r>
          </w:p>
        </w:tc>
        <w:tc>
          <w:tcPr>
            <w:tcW w:w="685" w:type="dxa"/>
            <w:tcBorders>
              <w:top w:val="single" w:sz="4" w:space="0" w:color="BFBFBF"/>
              <w:left w:val="nil"/>
              <w:bottom w:val="single" w:sz="4" w:space="0" w:color="D9D9D9"/>
              <w:right w:val="single" w:sz="4" w:space="0" w:color="D9D9D9"/>
            </w:tcBorders>
            <w:shd w:val="clear" w:color="000000" w:fill="F2F2F2"/>
            <w:noWrap/>
            <w:vAlign w:val="center"/>
            <w:hideMark/>
          </w:tcPr>
          <w:p w14:paraId="12EBBAF4" w14:textId="77777777" w:rsidR="004E1DAD" w:rsidRPr="004E1DAD" w:rsidRDefault="004E1DAD" w:rsidP="00DC54F7">
            <w:pPr>
              <w:spacing w:after="0" w:line="240" w:lineRule="auto"/>
              <w:jc w:val="both"/>
              <w:rPr>
                <w:rFonts w:ascii="Arial" w:eastAsia="Times New Roman" w:hAnsi="Arial" w:cs="Arial"/>
                <w:b/>
                <w:bCs/>
                <w:color w:val="000000"/>
                <w:sz w:val="18"/>
                <w:szCs w:val="18"/>
                <w:lang w:eastAsia="en-GB"/>
              </w:rPr>
            </w:pPr>
            <w:r w:rsidRPr="004E1DAD">
              <w:rPr>
                <w:rFonts w:ascii="Arial" w:eastAsia="Times New Roman" w:hAnsi="Arial" w:cs="Arial"/>
                <w:b/>
                <w:bCs/>
                <w:color w:val="000000"/>
                <w:sz w:val="18"/>
                <w:szCs w:val="18"/>
                <w:lang w:eastAsia="en-GB"/>
              </w:rPr>
              <w:t>Total</w:t>
            </w:r>
          </w:p>
        </w:tc>
      </w:tr>
      <w:tr w:rsidR="004E1DAD" w:rsidRPr="004E1DAD" w14:paraId="59792DC8" w14:textId="77777777" w:rsidTr="004E1DAD">
        <w:trPr>
          <w:trHeight w:val="260"/>
        </w:trPr>
        <w:tc>
          <w:tcPr>
            <w:tcW w:w="685" w:type="dxa"/>
            <w:tcBorders>
              <w:top w:val="nil"/>
              <w:left w:val="single" w:sz="4" w:space="0" w:color="A6A6A6"/>
              <w:bottom w:val="single" w:sz="4" w:space="0" w:color="A6A6A6"/>
              <w:right w:val="single" w:sz="4" w:space="0" w:color="A6A6A6"/>
            </w:tcBorders>
            <w:shd w:val="clear" w:color="000000" w:fill="F2F2F2"/>
            <w:vAlign w:val="center"/>
            <w:hideMark/>
          </w:tcPr>
          <w:p w14:paraId="74A9F7C0"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1</w:t>
            </w:r>
          </w:p>
        </w:tc>
        <w:tc>
          <w:tcPr>
            <w:tcW w:w="4939" w:type="dxa"/>
            <w:gridSpan w:val="2"/>
            <w:tcBorders>
              <w:top w:val="single" w:sz="4" w:space="0" w:color="A6A6A6"/>
              <w:left w:val="nil"/>
              <w:bottom w:val="single" w:sz="4" w:space="0" w:color="A6A6A6"/>
              <w:right w:val="single" w:sz="4" w:space="0" w:color="D9D9D9"/>
            </w:tcBorders>
            <w:shd w:val="clear" w:color="auto" w:fill="auto"/>
            <w:vAlign w:val="center"/>
            <w:hideMark/>
          </w:tcPr>
          <w:p w14:paraId="37927244"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I would call them</w:t>
            </w:r>
          </w:p>
        </w:tc>
        <w:tc>
          <w:tcPr>
            <w:tcW w:w="1214" w:type="dxa"/>
            <w:tcBorders>
              <w:top w:val="nil"/>
              <w:left w:val="nil"/>
              <w:bottom w:val="single" w:sz="4" w:space="0" w:color="D9D9D9"/>
              <w:right w:val="single" w:sz="4" w:space="0" w:color="D9D9D9"/>
            </w:tcBorders>
            <w:shd w:val="clear" w:color="000000" w:fill="F2F2F2"/>
            <w:noWrap/>
            <w:vAlign w:val="bottom"/>
            <w:hideMark/>
          </w:tcPr>
          <w:p w14:paraId="08367BBD"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18.68%</w:t>
            </w:r>
          </w:p>
        </w:tc>
        <w:tc>
          <w:tcPr>
            <w:tcW w:w="1342" w:type="dxa"/>
            <w:tcBorders>
              <w:top w:val="nil"/>
              <w:left w:val="nil"/>
              <w:bottom w:val="single" w:sz="4" w:space="0" w:color="D9D9D9"/>
              <w:right w:val="single" w:sz="4" w:space="0" w:color="D9D9D9"/>
            </w:tcBorders>
            <w:shd w:val="clear" w:color="000000" w:fill="F2F2F2"/>
            <w:noWrap/>
            <w:vAlign w:val="bottom"/>
            <w:hideMark/>
          </w:tcPr>
          <w:p w14:paraId="2D35BDC1"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34.09%</w:t>
            </w:r>
          </w:p>
        </w:tc>
        <w:tc>
          <w:tcPr>
            <w:tcW w:w="685" w:type="dxa"/>
            <w:tcBorders>
              <w:top w:val="nil"/>
              <w:left w:val="nil"/>
              <w:bottom w:val="single" w:sz="4" w:space="0" w:color="D9D9D9"/>
              <w:right w:val="single" w:sz="4" w:space="0" w:color="D9D9D9"/>
            </w:tcBorders>
            <w:shd w:val="clear" w:color="000000" w:fill="F2F2F2"/>
            <w:noWrap/>
            <w:vAlign w:val="bottom"/>
            <w:hideMark/>
          </w:tcPr>
          <w:p w14:paraId="01BD6285"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105</w:t>
            </w:r>
          </w:p>
        </w:tc>
      </w:tr>
      <w:tr w:rsidR="004E1DAD" w:rsidRPr="004E1DAD" w14:paraId="486FB878" w14:textId="77777777" w:rsidTr="004E1DAD">
        <w:trPr>
          <w:trHeight w:val="260"/>
        </w:trPr>
        <w:tc>
          <w:tcPr>
            <w:tcW w:w="685" w:type="dxa"/>
            <w:tcBorders>
              <w:top w:val="nil"/>
              <w:left w:val="single" w:sz="4" w:space="0" w:color="A6A6A6"/>
              <w:bottom w:val="single" w:sz="4" w:space="0" w:color="A6A6A6"/>
              <w:right w:val="single" w:sz="4" w:space="0" w:color="A6A6A6"/>
            </w:tcBorders>
            <w:shd w:val="clear" w:color="000000" w:fill="F2F2F2"/>
            <w:vAlign w:val="center"/>
            <w:hideMark/>
          </w:tcPr>
          <w:p w14:paraId="18DE249B"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2</w:t>
            </w:r>
          </w:p>
        </w:tc>
        <w:tc>
          <w:tcPr>
            <w:tcW w:w="4939" w:type="dxa"/>
            <w:gridSpan w:val="2"/>
            <w:tcBorders>
              <w:top w:val="single" w:sz="4" w:space="0" w:color="A6A6A6"/>
              <w:left w:val="nil"/>
              <w:bottom w:val="single" w:sz="4" w:space="0" w:color="A6A6A6"/>
              <w:right w:val="single" w:sz="4" w:space="0" w:color="D9D9D9"/>
            </w:tcBorders>
            <w:shd w:val="clear" w:color="auto" w:fill="auto"/>
            <w:vAlign w:val="center"/>
            <w:hideMark/>
          </w:tcPr>
          <w:p w14:paraId="1D2F1BB6"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I would call NHS 111 Wales or use their website</w:t>
            </w:r>
          </w:p>
        </w:tc>
        <w:tc>
          <w:tcPr>
            <w:tcW w:w="1214" w:type="dxa"/>
            <w:tcBorders>
              <w:top w:val="nil"/>
              <w:left w:val="nil"/>
              <w:bottom w:val="single" w:sz="4" w:space="0" w:color="D9D9D9"/>
              <w:right w:val="single" w:sz="4" w:space="0" w:color="D9D9D9"/>
            </w:tcBorders>
            <w:shd w:val="clear" w:color="000000" w:fill="F2F2F2"/>
            <w:noWrap/>
            <w:vAlign w:val="bottom"/>
            <w:hideMark/>
          </w:tcPr>
          <w:p w14:paraId="3346E0F2"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1.42%</w:t>
            </w:r>
          </w:p>
        </w:tc>
        <w:tc>
          <w:tcPr>
            <w:tcW w:w="1342" w:type="dxa"/>
            <w:tcBorders>
              <w:top w:val="nil"/>
              <w:left w:val="nil"/>
              <w:bottom w:val="single" w:sz="4" w:space="0" w:color="D9D9D9"/>
              <w:right w:val="single" w:sz="4" w:space="0" w:color="D9D9D9"/>
            </w:tcBorders>
            <w:shd w:val="clear" w:color="000000" w:fill="F2F2F2"/>
            <w:noWrap/>
            <w:vAlign w:val="bottom"/>
            <w:hideMark/>
          </w:tcPr>
          <w:p w14:paraId="413076DC"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2.60%</w:t>
            </w:r>
          </w:p>
        </w:tc>
        <w:tc>
          <w:tcPr>
            <w:tcW w:w="685" w:type="dxa"/>
            <w:tcBorders>
              <w:top w:val="nil"/>
              <w:left w:val="nil"/>
              <w:bottom w:val="single" w:sz="4" w:space="0" w:color="D9D9D9"/>
              <w:right w:val="single" w:sz="4" w:space="0" w:color="D9D9D9"/>
            </w:tcBorders>
            <w:shd w:val="clear" w:color="000000" w:fill="F2F2F2"/>
            <w:noWrap/>
            <w:vAlign w:val="bottom"/>
            <w:hideMark/>
          </w:tcPr>
          <w:p w14:paraId="7B4CB2AE"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8</w:t>
            </w:r>
          </w:p>
        </w:tc>
      </w:tr>
      <w:tr w:rsidR="004E1DAD" w:rsidRPr="004E1DAD" w14:paraId="14F86E98" w14:textId="77777777" w:rsidTr="004E1DAD">
        <w:trPr>
          <w:trHeight w:val="260"/>
        </w:trPr>
        <w:tc>
          <w:tcPr>
            <w:tcW w:w="685" w:type="dxa"/>
            <w:tcBorders>
              <w:top w:val="nil"/>
              <w:left w:val="single" w:sz="4" w:space="0" w:color="A6A6A6"/>
              <w:bottom w:val="single" w:sz="4" w:space="0" w:color="A6A6A6"/>
              <w:right w:val="single" w:sz="4" w:space="0" w:color="A6A6A6"/>
            </w:tcBorders>
            <w:shd w:val="clear" w:color="000000" w:fill="F2F2F2"/>
            <w:vAlign w:val="center"/>
            <w:hideMark/>
          </w:tcPr>
          <w:p w14:paraId="0104A5CB"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3</w:t>
            </w:r>
          </w:p>
        </w:tc>
        <w:tc>
          <w:tcPr>
            <w:tcW w:w="4939" w:type="dxa"/>
            <w:gridSpan w:val="2"/>
            <w:tcBorders>
              <w:top w:val="single" w:sz="4" w:space="0" w:color="A6A6A6"/>
              <w:left w:val="nil"/>
              <w:bottom w:val="single" w:sz="4" w:space="0" w:color="A6A6A6"/>
              <w:right w:val="single" w:sz="4" w:space="0" w:color="D9D9D9"/>
            </w:tcBorders>
            <w:shd w:val="clear" w:color="auto" w:fill="auto"/>
            <w:vAlign w:val="center"/>
            <w:hideMark/>
          </w:tcPr>
          <w:p w14:paraId="2A591A30"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I would call CAV 24/7</w:t>
            </w:r>
          </w:p>
        </w:tc>
        <w:tc>
          <w:tcPr>
            <w:tcW w:w="1214" w:type="dxa"/>
            <w:tcBorders>
              <w:top w:val="nil"/>
              <w:left w:val="nil"/>
              <w:bottom w:val="nil"/>
              <w:right w:val="single" w:sz="4" w:space="0" w:color="D9D9D9"/>
            </w:tcBorders>
            <w:shd w:val="clear" w:color="000000" w:fill="F2F2F2"/>
            <w:noWrap/>
            <w:vAlign w:val="bottom"/>
            <w:hideMark/>
          </w:tcPr>
          <w:p w14:paraId="374E7B2E"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0.00%</w:t>
            </w:r>
          </w:p>
        </w:tc>
        <w:tc>
          <w:tcPr>
            <w:tcW w:w="1342" w:type="dxa"/>
            <w:tcBorders>
              <w:top w:val="nil"/>
              <w:left w:val="nil"/>
              <w:bottom w:val="nil"/>
              <w:right w:val="single" w:sz="4" w:space="0" w:color="D9D9D9"/>
            </w:tcBorders>
            <w:shd w:val="clear" w:color="000000" w:fill="F2F2F2"/>
            <w:noWrap/>
            <w:vAlign w:val="bottom"/>
            <w:hideMark/>
          </w:tcPr>
          <w:p w14:paraId="58D86D96"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0.00%</w:t>
            </w:r>
          </w:p>
        </w:tc>
        <w:tc>
          <w:tcPr>
            <w:tcW w:w="685" w:type="dxa"/>
            <w:tcBorders>
              <w:top w:val="nil"/>
              <w:left w:val="nil"/>
              <w:bottom w:val="nil"/>
              <w:right w:val="single" w:sz="4" w:space="0" w:color="D9D9D9"/>
            </w:tcBorders>
            <w:shd w:val="clear" w:color="000000" w:fill="F2F2F2"/>
            <w:noWrap/>
            <w:vAlign w:val="bottom"/>
            <w:hideMark/>
          </w:tcPr>
          <w:p w14:paraId="01F0FBCC"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0</w:t>
            </w:r>
          </w:p>
        </w:tc>
      </w:tr>
      <w:tr w:rsidR="004E1DAD" w:rsidRPr="004E1DAD" w14:paraId="2D2A4490" w14:textId="77777777" w:rsidTr="004E1DAD">
        <w:trPr>
          <w:trHeight w:val="260"/>
        </w:trPr>
        <w:tc>
          <w:tcPr>
            <w:tcW w:w="685" w:type="dxa"/>
            <w:tcBorders>
              <w:top w:val="nil"/>
              <w:left w:val="single" w:sz="4" w:space="0" w:color="A6A6A6"/>
              <w:bottom w:val="single" w:sz="4" w:space="0" w:color="A6A6A6"/>
              <w:right w:val="single" w:sz="4" w:space="0" w:color="A6A6A6"/>
            </w:tcBorders>
            <w:shd w:val="clear" w:color="000000" w:fill="F2F2F2"/>
            <w:vAlign w:val="center"/>
            <w:hideMark/>
          </w:tcPr>
          <w:p w14:paraId="19B77A84"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4</w:t>
            </w:r>
          </w:p>
        </w:tc>
        <w:tc>
          <w:tcPr>
            <w:tcW w:w="4939" w:type="dxa"/>
            <w:gridSpan w:val="2"/>
            <w:tcBorders>
              <w:top w:val="single" w:sz="4" w:space="0" w:color="A6A6A6"/>
              <w:left w:val="nil"/>
              <w:bottom w:val="single" w:sz="4" w:space="0" w:color="A6A6A6"/>
              <w:right w:val="single" w:sz="4" w:space="0" w:color="D9D9D9"/>
            </w:tcBorders>
            <w:shd w:val="clear" w:color="auto" w:fill="auto"/>
            <w:vAlign w:val="center"/>
            <w:hideMark/>
          </w:tcPr>
          <w:p w14:paraId="2EE3D466"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I would search the Cardiff and Vale University Health Board website</w:t>
            </w:r>
          </w:p>
        </w:tc>
        <w:tc>
          <w:tcPr>
            <w:tcW w:w="1214" w:type="dxa"/>
            <w:tcBorders>
              <w:top w:val="single" w:sz="4" w:space="0" w:color="D9D9D9"/>
              <w:left w:val="nil"/>
              <w:bottom w:val="single" w:sz="4" w:space="0" w:color="D9D9D9"/>
              <w:right w:val="single" w:sz="4" w:space="0" w:color="D9D9D9"/>
            </w:tcBorders>
            <w:shd w:val="clear" w:color="000000" w:fill="F2F2F2"/>
            <w:noWrap/>
            <w:vAlign w:val="bottom"/>
            <w:hideMark/>
          </w:tcPr>
          <w:p w14:paraId="75581A9A"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3.91%</w:t>
            </w:r>
          </w:p>
        </w:tc>
        <w:tc>
          <w:tcPr>
            <w:tcW w:w="1342" w:type="dxa"/>
            <w:tcBorders>
              <w:top w:val="single" w:sz="4" w:space="0" w:color="D9D9D9"/>
              <w:left w:val="nil"/>
              <w:bottom w:val="single" w:sz="4" w:space="0" w:color="D9D9D9"/>
              <w:right w:val="single" w:sz="4" w:space="0" w:color="D9D9D9"/>
            </w:tcBorders>
            <w:shd w:val="clear" w:color="000000" w:fill="F2F2F2"/>
            <w:noWrap/>
            <w:vAlign w:val="bottom"/>
            <w:hideMark/>
          </w:tcPr>
          <w:p w14:paraId="50018612"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7.14%</w:t>
            </w:r>
          </w:p>
        </w:tc>
        <w:tc>
          <w:tcPr>
            <w:tcW w:w="685" w:type="dxa"/>
            <w:tcBorders>
              <w:top w:val="single" w:sz="4" w:space="0" w:color="D9D9D9"/>
              <w:left w:val="nil"/>
              <w:bottom w:val="single" w:sz="4" w:space="0" w:color="D9D9D9"/>
              <w:right w:val="single" w:sz="4" w:space="0" w:color="D9D9D9"/>
            </w:tcBorders>
            <w:shd w:val="clear" w:color="000000" w:fill="F2F2F2"/>
            <w:noWrap/>
            <w:vAlign w:val="bottom"/>
            <w:hideMark/>
          </w:tcPr>
          <w:p w14:paraId="658151C1"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22</w:t>
            </w:r>
          </w:p>
        </w:tc>
      </w:tr>
      <w:tr w:rsidR="004E1DAD" w:rsidRPr="004E1DAD" w14:paraId="316F1043" w14:textId="77777777" w:rsidTr="004E1DAD">
        <w:trPr>
          <w:trHeight w:val="260"/>
        </w:trPr>
        <w:tc>
          <w:tcPr>
            <w:tcW w:w="685" w:type="dxa"/>
            <w:tcBorders>
              <w:top w:val="nil"/>
              <w:left w:val="single" w:sz="4" w:space="0" w:color="A6A6A6"/>
              <w:bottom w:val="single" w:sz="4" w:space="0" w:color="A6A6A6"/>
              <w:right w:val="single" w:sz="4" w:space="0" w:color="A6A6A6"/>
            </w:tcBorders>
            <w:shd w:val="clear" w:color="000000" w:fill="F2F2F2"/>
            <w:vAlign w:val="center"/>
            <w:hideMark/>
          </w:tcPr>
          <w:p w14:paraId="49950DEC"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5</w:t>
            </w:r>
          </w:p>
        </w:tc>
        <w:tc>
          <w:tcPr>
            <w:tcW w:w="4939" w:type="dxa"/>
            <w:gridSpan w:val="2"/>
            <w:tcBorders>
              <w:top w:val="single" w:sz="4" w:space="0" w:color="A6A6A6"/>
              <w:left w:val="nil"/>
              <w:bottom w:val="single" w:sz="4" w:space="0" w:color="A6A6A6"/>
              <w:right w:val="single" w:sz="4" w:space="0" w:color="D9D9D9"/>
            </w:tcBorders>
            <w:shd w:val="clear" w:color="auto" w:fill="auto"/>
            <w:vAlign w:val="center"/>
            <w:hideMark/>
          </w:tcPr>
          <w:p w14:paraId="7643E6C1"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I would search the internet or use a smartphone app e.g. Google Maps or Facebook</w:t>
            </w:r>
          </w:p>
        </w:tc>
        <w:tc>
          <w:tcPr>
            <w:tcW w:w="1214" w:type="dxa"/>
            <w:tcBorders>
              <w:top w:val="nil"/>
              <w:left w:val="nil"/>
              <w:bottom w:val="single" w:sz="4" w:space="0" w:color="D9D9D9"/>
              <w:right w:val="single" w:sz="4" w:space="0" w:color="D9D9D9"/>
            </w:tcBorders>
            <w:shd w:val="clear" w:color="000000" w:fill="F2F2F2"/>
            <w:noWrap/>
            <w:vAlign w:val="bottom"/>
            <w:hideMark/>
          </w:tcPr>
          <w:p w14:paraId="25F87A05"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39.32%</w:t>
            </w:r>
          </w:p>
        </w:tc>
        <w:tc>
          <w:tcPr>
            <w:tcW w:w="1342" w:type="dxa"/>
            <w:tcBorders>
              <w:top w:val="nil"/>
              <w:left w:val="nil"/>
              <w:bottom w:val="single" w:sz="4" w:space="0" w:color="D9D9D9"/>
              <w:right w:val="single" w:sz="4" w:space="0" w:color="D9D9D9"/>
            </w:tcBorders>
            <w:shd w:val="clear" w:color="000000" w:fill="F2F2F2"/>
            <w:noWrap/>
            <w:vAlign w:val="bottom"/>
            <w:hideMark/>
          </w:tcPr>
          <w:p w14:paraId="486DC7B1"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71.75%</w:t>
            </w:r>
          </w:p>
        </w:tc>
        <w:tc>
          <w:tcPr>
            <w:tcW w:w="685" w:type="dxa"/>
            <w:tcBorders>
              <w:top w:val="nil"/>
              <w:left w:val="nil"/>
              <w:bottom w:val="single" w:sz="4" w:space="0" w:color="D9D9D9"/>
              <w:right w:val="single" w:sz="4" w:space="0" w:color="D9D9D9"/>
            </w:tcBorders>
            <w:shd w:val="clear" w:color="000000" w:fill="F2F2F2"/>
            <w:noWrap/>
            <w:vAlign w:val="bottom"/>
            <w:hideMark/>
          </w:tcPr>
          <w:p w14:paraId="36929BC8"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221</w:t>
            </w:r>
          </w:p>
        </w:tc>
      </w:tr>
      <w:tr w:rsidR="004E1DAD" w:rsidRPr="004E1DAD" w14:paraId="513ADA1F" w14:textId="77777777" w:rsidTr="004E1DAD">
        <w:trPr>
          <w:trHeight w:val="260"/>
        </w:trPr>
        <w:tc>
          <w:tcPr>
            <w:tcW w:w="685" w:type="dxa"/>
            <w:tcBorders>
              <w:top w:val="nil"/>
              <w:left w:val="single" w:sz="4" w:space="0" w:color="A6A6A6"/>
              <w:bottom w:val="single" w:sz="4" w:space="0" w:color="A6A6A6"/>
              <w:right w:val="single" w:sz="4" w:space="0" w:color="A6A6A6"/>
            </w:tcBorders>
            <w:shd w:val="clear" w:color="000000" w:fill="F2F2F2"/>
            <w:vAlign w:val="center"/>
            <w:hideMark/>
          </w:tcPr>
          <w:p w14:paraId="0CCFB48F"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6</w:t>
            </w:r>
          </w:p>
        </w:tc>
        <w:tc>
          <w:tcPr>
            <w:tcW w:w="4939" w:type="dxa"/>
            <w:gridSpan w:val="2"/>
            <w:tcBorders>
              <w:top w:val="single" w:sz="4" w:space="0" w:color="A6A6A6"/>
              <w:left w:val="nil"/>
              <w:bottom w:val="single" w:sz="4" w:space="0" w:color="A6A6A6"/>
              <w:right w:val="single" w:sz="4" w:space="0" w:color="D9D9D9"/>
            </w:tcBorders>
            <w:shd w:val="clear" w:color="auto" w:fill="auto"/>
            <w:vAlign w:val="center"/>
            <w:hideMark/>
          </w:tcPr>
          <w:p w14:paraId="174E79BD"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I would use social media</w:t>
            </w:r>
          </w:p>
        </w:tc>
        <w:tc>
          <w:tcPr>
            <w:tcW w:w="1214" w:type="dxa"/>
            <w:tcBorders>
              <w:top w:val="nil"/>
              <w:left w:val="nil"/>
              <w:bottom w:val="single" w:sz="4" w:space="0" w:color="D9D9D9"/>
              <w:right w:val="single" w:sz="4" w:space="0" w:color="D9D9D9"/>
            </w:tcBorders>
            <w:shd w:val="clear" w:color="000000" w:fill="F2F2F2"/>
            <w:noWrap/>
            <w:vAlign w:val="bottom"/>
            <w:hideMark/>
          </w:tcPr>
          <w:p w14:paraId="38A10C72"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10.85%</w:t>
            </w:r>
          </w:p>
        </w:tc>
        <w:tc>
          <w:tcPr>
            <w:tcW w:w="1342" w:type="dxa"/>
            <w:tcBorders>
              <w:top w:val="nil"/>
              <w:left w:val="nil"/>
              <w:bottom w:val="single" w:sz="4" w:space="0" w:color="D9D9D9"/>
              <w:right w:val="single" w:sz="4" w:space="0" w:color="D9D9D9"/>
            </w:tcBorders>
            <w:shd w:val="clear" w:color="000000" w:fill="F2F2F2"/>
            <w:noWrap/>
            <w:vAlign w:val="bottom"/>
            <w:hideMark/>
          </w:tcPr>
          <w:p w14:paraId="15674184"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19.81%</w:t>
            </w:r>
          </w:p>
        </w:tc>
        <w:tc>
          <w:tcPr>
            <w:tcW w:w="685" w:type="dxa"/>
            <w:tcBorders>
              <w:top w:val="nil"/>
              <w:left w:val="nil"/>
              <w:bottom w:val="single" w:sz="4" w:space="0" w:color="D9D9D9"/>
              <w:right w:val="single" w:sz="4" w:space="0" w:color="D9D9D9"/>
            </w:tcBorders>
            <w:shd w:val="clear" w:color="000000" w:fill="F2F2F2"/>
            <w:noWrap/>
            <w:vAlign w:val="bottom"/>
            <w:hideMark/>
          </w:tcPr>
          <w:p w14:paraId="35491F19"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61</w:t>
            </w:r>
          </w:p>
        </w:tc>
      </w:tr>
      <w:tr w:rsidR="004E1DAD" w:rsidRPr="004E1DAD" w14:paraId="34EF1E75" w14:textId="77777777" w:rsidTr="004E1DAD">
        <w:trPr>
          <w:trHeight w:val="260"/>
        </w:trPr>
        <w:tc>
          <w:tcPr>
            <w:tcW w:w="685" w:type="dxa"/>
            <w:tcBorders>
              <w:top w:val="nil"/>
              <w:left w:val="single" w:sz="4" w:space="0" w:color="A6A6A6"/>
              <w:bottom w:val="single" w:sz="4" w:space="0" w:color="A6A6A6"/>
              <w:right w:val="single" w:sz="4" w:space="0" w:color="A6A6A6"/>
            </w:tcBorders>
            <w:shd w:val="clear" w:color="000000" w:fill="F2F2F2"/>
            <w:vAlign w:val="center"/>
            <w:hideMark/>
          </w:tcPr>
          <w:p w14:paraId="59CEC182"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7</w:t>
            </w:r>
          </w:p>
        </w:tc>
        <w:tc>
          <w:tcPr>
            <w:tcW w:w="4939" w:type="dxa"/>
            <w:gridSpan w:val="2"/>
            <w:tcBorders>
              <w:top w:val="single" w:sz="4" w:space="0" w:color="A6A6A6"/>
              <w:left w:val="nil"/>
              <w:bottom w:val="single" w:sz="4" w:space="0" w:color="A6A6A6"/>
              <w:right w:val="single" w:sz="4" w:space="0" w:color="D9D9D9"/>
            </w:tcBorders>
            <w:shd w:val="clear" w:color="auto" w:fill="auto"/>
            <w:vAlign w:val="center"/>
            <w:hideMark/>
          </w:tcPr>
          <w:p w14:paraId="6BE287CB"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I would ask a friend</w:t>
            </w:r>
          </w:p>
        </w:tc>
        <w:tc>
          <w:tcPr>
            <w:tcW w:w="1214" w:type="dxa"/>
            <w:tcBorders>
              <w:top w:val="nil"/>
              <w:left w:val="nil"/>
              <w:bottom w:val="single" w:sz="4" w:space="0" w:color="D9D9D9"/>
              <w:right w:val="single" w:sz="4" w:space="0" w:color="D9D9D9"/>
            </w:tcBorders>
            <w:shd w:val="clear" w:color="000000" w:fill="F2F2F2"/>
            <w:noWrap/>
            <w:vAlign w:val="bottom"/>
            <w:hideMark/>
          </w:tcPr>
          <w:p w14:paraId="6C806257"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3.02%</w:t>
            </w:r>
          </w:p>
        </w:tc>
        <w:tc>
          <w:tcPr>
            <w:tcW w:w="1342" w:type="dxa"/>
            <w:tcBorders>
              <w:top w:val="nil"/>
              <w:left w:val="nil"/>
              <w:bottom w:val="single" w:sz="4" w:space="0" w:color="D9D9D9"/>
              <w:right w:val="single" w:sz="4" w:space="0" w:color="D9D9D9"/>
            </w:tcBorders>
            <w:shd w:val="clear" w:color="000000" w:fill="F2F2F2"/>
            <w:noWrap/>
            <w:vAlign w:val="bottom"/>
            <w:hideMark/>
          </w:tcPr>
          <w:p w14:paraId="14499D84"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5.52%</w:t>
            </w:r>
          </w:p>
        </w:tc>
        <w:tc>
          <w:tcPr>
            <w:tcW w:w="685" w:type="dxa"/>
            <w:tcBorders>
              <w:top w:val="nil"/>
              <w:left w:val="nil"/>
              <w:bottom w:val="single" w:sz="4" w:space="0" w:color="D9D9D9"/>
              <w:right w:val="single" w:sz="4" w:space="0" w:color="D9D9D9"/>
            </w:tcBorders>
            <w:shd w:val="clear" w:color="000000" w:fill="F2F2F2"/>
            <w:noWrap/>
            <w:vAlign w:val="bottom"/>
            <w:hideMark/>
          </w:tcPr>
          <w:p w14:paraId="672C98CF"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17</w:t>
            </w:r>
          </w:p>
        </w:tc>
      </w:tr>
      <w:tr w:rsidR="004E1DAD" w:rsidRPr="004E1DAD" w14:paraId="1163218F" w14:textId="77777777" w:rsidTr="004E1DAD">
        <w:trPr>
          <w:trHeight w:val="260"/>
        </w:trPr>
        <w:tc>
          <w:tcPr>
            <w:tcW w:w="685" w:type="dxa"/>
            <w:tcBorders>
              <w:top w:val="nil"/>
              <w:left w:val="single" w:sz="4" w:space="0" w:color="A6A6A6"/>
              <w:bottom w:val="single" w:sz="4" w:space="0" w:color="A6A6A6"/>
              <w:right w:val="single" w:sz="4" w:space="0" w:color="A6A6A6"/>
            </w:tcBorders>
            <w:shd w:val="clear" w:color="000000" w:fill="F2F2F2"/>
            <w:vAlign w:val="center"/>
            <w:hideMark/>
          </w:tcPr>
          <w:p w14:paraId="54703F80"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8</w:t>
            </w:r>
          </w:p>
        </w:tc>
        <w:tc>
          <w:tcPr>
            <w:tcW w:w="4939" w:type="dxa"/>
            <w:gridSpan w:val="2"/>
            <w:tcBorders>
              <w:top w:val="single" w:sz="4" w:space="0" w:color="A6A6A6"/>
              <w:left w:val="nil"/>
              <w:bottom w:val="single" w:sz="4" w:space="0" w:color="A6A6A6"/>
              <w:right w:val="single" w:sz="4" w:space="0" w:color="D9D9D9"/>
            </w:tcBorders>
            <w:shd w:val="clear" w:color="auto" w:fill="auto"/>
            <w:vAlign w:val="center"/>
            <w:hideMark/>
          </w:tcPr>
          <w:p w14:paraId="7140F8E6"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I would just pop in and ask them</w:t>
            </w:r>
          </w:p>
        </w:tc>
        <w:tc>
          <w:tcPr>
            <w:tcW w:w="1214" w:type="dxa"/>
            <w:tcBorders>
              <w:top w:val="nil"/>
              <w:left w:val="nil"/>
              <w:bottom w:val="single" w:sz="4" w:space="0" w:color="D9D9D9"/>
              <w:right w:val="single" w:sz="4" w:space="0" w:color="D9D9D9"/>
            </w:tcBorders>
            <w:shd w:val="clear" w:color="000000" w:fill="F2F2F2"/>
            <w:noWrap/>
            <w:vAlign w:val="bottom"/>
            <w:hideMark/>
          </w:tcPr>
          <w:p w14:paraId="649982DE"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9.96%</w:t>
            </w:r>
          </w:p>
        </w:tc>
        <w:tc>
          <w:tcPr>
            <w:tcW w:w="1342" w:type="dxa"/>
            <w:tcBorders>
              <w:top w:val="nil"/>
              <w:left w:val="nil"/>
              <w:bottom w:val="single" w:sz="4" w:space="0" w:color="D9D9D9"/>
              <w:right w:val="single" w:sz="4" w:space="0" w:color="D9D9D9"/>
            </w:tcBorders>
            <w:shd w:val="clear" w:color="000000" w:fill="F2F2F2"/>
            <w:noWrap/>
            <w:vAlign w:val="bottom"/>
            <w:hideMark/>
          </w:tcPr>
          <w:p w14:paraId="703E6D77"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18.18%</w:t>
            </w:r>
          </w:p>
        </w:tc>
        <w:tc>
          <w:tcPr>
            <w:tcW w:w="685" w:type="dxa"/>
            <w:tcBorders>
              <w:top w:val="nil"/>
              <w:left w:val="nil"/>
              <w:bottom w:val="single" w:sz="4" w:space="0" w:color="D9D9D9"/>
              <w:right w:val="single" w:sz="4" w:space="0" w:color="D9D9D9"/>
            </w:tcBorders>
            <w:shd w:val="clear" w:color="000000" w:fill="F2F2F2"/>
            <w:noWrap/>
            <w:vAlign w:val="bottom"/>
            <w:hideMark/>
          </w:tcPr>
          <w:p w14:paraId="25FA60DF"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56</w:t>
            </w:r>
          </w:p>
        </w:tc>
      </w:tr>
      <w:tr w:rsidR="004E1DAD" w:rsidRPr="004E1DAD" w14:paraId="2223BABE" w14:textId="77777777" w:rsidTr="004E1DAD">
        <w:trPr>
          <w:trHeight w:val="260"/>
        </w:trPr>
        <w:tc>
          <w:tcPr>
            <w:tcW w:w="685" w:type="dxa"/>
            <w:tcBorders>
              <w:top w:val="nil"/>
              <w:left w:val="single" w:sz="4" w:space="0" w:color="A6A6A6"/>
              <w:bottom w:val="single" w:sz="4" w:space="0" w:color="A6A6A6"/>
              <w:right w:val="single" w:sz="4" w:space="0" w:color="A6A6A6"/>
            </w:tcBorders>
            <w:shd w:val="clear" w:color="000000" w:fill="F2F2F2"/>
            <w:vAlign w:val="center"/>
            <w:hideMark/>
          </w:tcPr>
          <w:p w14:paraId="230B168F"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9</w:t>
            </w:r>
          </w:p>
        </w:tc>
        <w:tc>
          <w:tcPr>
            <w:tcW w:w="4939" w:type="dxa"/>
            <w:gridSpan w:val="2"/>
            <w:tcBorders>
              <w:top w:val="single" w:sz="4" w:space="0" w:color="A6A6A6"/>
              <w:left w:val="nil"/>
              <w:bottom w:val="single" w:sz="4" w:space="0" w:color="A6A6A6"/>
              <w:right w:val="single" w:sz="4" w:space="0" w:color="D9D9D9"/>
            </w:tcBorders>
            <w:shd w:val="clear" w:color="auto" w:fill="auto"/>
            <w:vAlign w:val="center"/>
            <w:hideMark/>
          </w:tcPr>
          <w:p w14:paraId="7B6D3AD8"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Look in the window</w:t>
            </w:r>
          </w:p>
        </w:tc>
        <w:tc>
          <w:tcPr>
            <w:tcW w:w="1214" w:type="dxa"/>
            <w:tcBorders>
              <w:top w:val="nil"/>
              <w:left w:val="nil"/>
              <w:bottom w:val="nil"/>
              <w:right w:val="single" w:sz="4" w:space="0" w:color="D9D9D9"/>
            </w:tcBorders>
            <w:shd w:val="clear" w:color="000000" w:fill="F2F2F2"/>
            <w:noWrap/>
            <w:vAlign w:val="bottom"/>
            <w:hideMark/>
          </w:tcPr>
          <w:p w14:paraId="28777AF0"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10.68%</w:t>
            </w:r>
          </w:p>
        </w:tc>
        <w:tc>
          <w:tcPr>
            <w:tcW w:w="1342" w:type="dxa"/>
            <w:tcBorders>
              <w:top w:val="nil"/>
              <w:left w:val="nil"/>
              <w:bottom w:val="nil"/>
              <w:right w:val="single" w:sz="4" w:space="0" w:color="D9D9D9"/>
            </w:tcBorders>
            <w:shd w:val="clear" w:color="000000" w:fill="F2F2F2"/>
            <w:noWrap/>
            <w:vAlign w:val="bottom"/>
            <w:hideMark/>
          </w:tcPr>
          <w:p w14:paraId="0AB41671"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19.48%</w:t>
            </w:r>
          </w:p>
        </w:tc>
        <w:tc>
          <w:tcPr>
            <w:tcW w:w="685" w:type="dxa"/>
            <w:tcBorders>
              <w:top w:val="nil"/>
              <w:left w:val="nil"/>
              <w:bottom w:val="nil"/>
              <w:right w:val="single" w:sz="4" w:space="0" w:color="D9D9D9"/>
            </w:tcBorders>
            <w:shd w:val="clear" w:color="000000" w:fill="F2F2F2"/>
            <w:noWrap/>
            <w:vAlign w:val="bottom"/>
            <w:hideMark/>
          </w:tcPr>
          <w:p w14:paraId="39CDAAF1"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60</w:t>
            </w:r>
          </w:p>
        </w:tc>
      </w:tr>
      <w:tr w:rsidR="004E1DAD" w:rsidRPr="004E1DAD" w14:paraId="305AE5CB" w14:textId="77777777" w:rsidTr="004E1DAD">
        <w:trPr>
          <w:trHeight w:val="260"/>
        </w:trPr>
        <w:tc>
          <w:tcPr>
            <w:tcW w:w="685" w:type="dxa"/>
            <w:tcBorders>
              <w:top w:val="nil"/>
              <w:left w:val="single" w:sz="4" w:space="0" w:color="A6A6A6"/>
              <w:bottom w:val="single" w:sz="4" w:space="0" w:color="A6A6A6"/>
              <w:right w:val="single" w:sz="4" w:space="0" w:color="A6A6A6"/>
            </w:tcBorders>
            <w:shd w:val="clear" w:color="000000" w:fill="F2F2F2"/>
            <w:vAlign w:val="center"/>
            <w:hideMark/>
          </w:tcPr>
          <w:p w14:paraId="4FBFC0AC"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10</w:t>
            </w:r>
          </w:p>
        </w:tc>
        <w:tc>
          <w:tcPr>
            <w:tcW w:w="4939" w:type="dxa"/>
            <w:gridSpan w:val="2"/>
            <w:tcBorders>
              <w:top w:val="single" w:sz="4" w:space="0" w:color="A6A6A6"/>
              <w:left w:val="nil"/>
              <w:bottom w:val="single" w:sz="4" w:space="0" w:color="A6A6A6"/>
              <w:right w:val="single" w:sz="4" w:space="0" w:color="D9D9D9"/>
            </w:tcBorders>
            <w:shd w:val="clear" w:color="auto" w:fill="auto"/>
            <w:vAlign w:val="center"/>
            <w:hideMark/>
          </w:tcPr>
          <w:p w14:paraId="0A4F626D"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I would find out from reading the local newspaper or magazine</w:t>
            </w:r>
          </w:p>
        </w:tc>
        <w:tc>
          <w:tcPr>
            <w:tcW w:w="1214" w:type="dxa"/>
            <w:tcBorders>
              <w:top w:val="single" w:sz="4" w:space="0" w:color="D9D9D9"/>
              <w:left w:val="nil"/>
              <w:bottom w:val="single" w:sz="4" w:space="0" w:color="D9D9D9"/>
              <w:right w:val="single" w:sz="4" w:space="0" w:color="D9D9D9"/>
            </w:tcBorders>
            <w:shd w:val="clear" w:color="000000" w:fill="F2F2F2"/>
            <w:noWrap/>
            <w:vAlign w:val="bottom"/>
            <w:hideMark/>
          </w:tcPr>
          <w:p w14:paraId="227F9E35"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0.36%</w:t>
            </w:r>
          </w:p>
        </w:tc>
        <w:tc>
          <w:tcPr>
            <w:tcW w:w="1342" w:type="dxa"/>
            <w:tcBorders>
              <w:top w:val="single" w:sz="4" w:space="0" w:color="D9D9D9"/>
              <w:left w:val="nil"/>
              <w:bottom w:val="single" w:sz="4" w:space="0" w:color="D9D9D9"/>
              <w:right w:val="single" w:sz="4" w:space="0" w:color="D9D9D9"/>
            </w:tcBorders>
            <w:shd w:val="clear" w:color="000000" w:fill="F2F2F2"/>
            <w:noWrap/>
            <w:vAlign w:val="bottom"/>
            <w:hideMark/>
          </w:tcPr>
          <w:p w14:paraId="14E509FC"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0.65%</w:t>
            </w:r>
          </w:p>
        </w:tc>
        <w:tc>
          <w:tcPr>
            <w:tcW w:w="685" w:type="dxa"/>
            <w:tcBorders>
              <w:top w:val="single" w:sz="4" w:space="0" w:color="D9D9D9"/>
              <w:left w:val="nil"/>
              <w:bottom w:val="single" w:sz="4" w:space="0" w:color="D9D9D9"/>
              <w:right w:val="single" w:sz="4" w:space="0" w:color="D9D9D9"/>
            </w:tcBorders>
            <w:shd w:val="clear" w:color="000000" w:fill="F2F2F2"/>
            <w:noWrap/>
            <w:vAlign w:val="bottom"/>
            <w:hideMark/>
          </w:tcPr>
          <w:p w14:paraId="31BCBAE6"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2</w:t>
            </w:r>
          </w:p>
        </w:tc>
      </w:tr>
      <w:tr w:rsidR="004E1DAD" w:rsidRPr="004E1DAD" w14:paraId="3F86520D" w14:textId="77777777" w:rsidTr="004E1DAD">
        <w:trPr>
          <w:trHeight w:val="260"/>
        </w:trPr>
        <w:tc>
          <w:tcPr>
            <w:tcW w:w="685" w:type="dxa"/>
            <w:tcBorders>
              <w:top w:val="nil"/>
              <w:left w:val="single" w:sz="4" w:space="0" w:color="A6A6A6"/>
              <w:bottom w:val="single" w:sz="4" w:space="0" w:color="A6A6A6"/>
              <w:right w:val="single" w:sz="4" w:space="0" w:color="A6A6A6"/>
            </w:tcBorders>
            <w:shd w:val="clear" w:color="000000" w:fill="F2F2F2"/>
            <w:vAlign w:val="center"/>
            <w:hideMark/>
          </w:tcPr>
          <w:p w14:paraId="2A2E673A"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11</w:t>
            </w:r>
          </w:p>
        </w:tc>
        <w:tc>
          <w:tcPr>
            <w:tcW w:w="4939" w:type="dxa"/>
            <w:gridSpan w:val="2"/>
            <w:tcBorders>
              <w:top w:val="single" w:sz="4" w:space="0" w:color="A6A6A6"/>
              <w:left w:val="nil"/>
              <w:bottom w:val="single" w:sz="4" w:space="0" w:color="A6A6A6"/>
              <w:right w:val="single" w:sz="4" w:space="0" w:color="D9D9D9"/>
            </w:tcBorders>
            <w:shd w:val="clear" w:color="auto" w:fill="auto"/>
            <w:vAlign w:val="center"/>
            <w:hideMark/>
          </w:tcPr>
          <w:p w14:paraId="513AE4AD"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Not applicable</w:t>
            </w:r>
          </w:p>
        </w:tc>
        <w:tc>
          <w:tcPr>
            <w:tcW w:w="1214" w:type="dxa"/>
            <w:tcBorders>
              <w:top w:val="nil"/>
              <w:left w:val="nil"/>
              <w:bottom w:val="single" w:sz="4" w:space="0" w:color="D9D9D9"/>
              <w:right w:val="single" w:sz="4" w:space="0" w:color="D9D9D9"/>
            </w:tcBorders>
            <w:shd w:val="clear" w:color="000000" w:fill="F2F2F2"/>
            <w:noWrap/>
            <w:vAlign w:val="bottom"/>
            <w:hideMark/>
          </w:tcPr>
          <w:p w14:paraId="5B639B0F"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0.53%</w:t>
            </w:r>
          </w:p>
        </w:tc>
        <w:tc>
          <w:tcPr>
            <w:tcW w:w="1342" w:type="dxa"/>
            <w:tcBorders>
              <w:top w:val="nil"/>
              <w:left w:val="nil"/>
              <w:bottom w:val="single" w:sz="4" w:space="0" w:color="D9D9D9"/>
              <w:right w:val="single" w:sz="4" w:space="0" w:color="D9D9D9"/>
            </w:tcBorders>
            <w:shd w:val="clear" w:color="000000" w:fill="F2F2F2"/>
            <w:noWrap/>
            <w:vAlign w:val="bottom"/>
            <w:hideMark/>
          </w:tcPr>
          <w:p w14:paraId="174082F7"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0.97%</w:t>
            </w:r>
          </w:p>
        </w:tc>
        <w:tc>
          <w:tcPr>
            <w:tcW w:w="685" w:type="dxa"/>
            <w:tcBorders>
              <w:top w:val="nil"/>
              <w:left w:val="nil"/>
              <w:bottom w:val="single" w:sz="4" w:space="0" w:color="D9D9D9"/>
              <w:right w:val="single" w:sz="4" w:space="0" w:color="D9D9D9"/>
            </w:tcBorders>
            <w:shd w:val="clear" w:color="000000" w:fill="F2F2F2"/>
            <w:noWrap/>
            <w:vAlign w:val="bottom"/>
            <w:hideMark/>
          </w:tcPr>
          <w:p w14:paraId="20ED0284"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3</w:t>
            </w:r>
          </w:p>
        </w:tc>
      </w:tr>
      <w:tr w:rsidR="004E1DAD" w:rsidRPr="004E1DAD" w14:paraId="7E745AFD" w14:textId="77777777" w:rsidTr="004E1DAD">
        <w:trPr>
          <w:trHeight w:val="260"/>
        </w:trPr>
        <w:tc>
          <w:tcPr>
            <w:tcW w:w="685" w:type="dxa"/>
            <w:tcBorders>
              <w:top w:val="nil"/>
              <w:left w:val="single" w:sz="4" w:space="0" w:color="A6A6A6"/>
              <w:bottom w:val="single" w:sz="4" w:space="0" w:color="A6A6A6"/>
              <w:right w:val="single" w:sz="4" w:space="0" w:color="A6A6A6"/>
            </w:tcBorders>
            <w:shd w:val="clear" w:color="000000" w:fill="F2F2F2"/>
            <w:vAlign w:val="center"/>
            <w:hideMark/>
          </w:tcPr>
          <w:p w14:paraId="1F069D3C"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12</w:t>
            </w:r>
          </w:p>
        </w:tc>
        <w:tc>
          <w:tcPr>
            <w:tcW w:w="4939" w:type="dxa"/>
            <w:gridSpan w:val="2"/>
            <w:tcBorders>
              <w:top w:val="single" w:sz="4" w:space="0" w:color="A6A6A6"/>
              <w:left w:val="nil"/>
              <w:bottom w:val="single" w:sz="4" w:space="0" w:color="A6A6A6"/>
              <w:right w:val="single" w:sz="4" w:space="0" w:color="D9D9D9"/>
            </w:tcBorders>
            <w:shd w:val="clear" w:color="auto" w:fill="auto"/>
            <w:vAlign w:val="center"/>
            <w:hideMark/>
          </w:tcPr>
          <w:p w14:paraId="5BCAB879" w14:textId="77777777" w:rsidR="004E1DAD" w:rsidRPr="004E1DAD" w:rsidRDefault="004E1DAD" w:rsidP="00DC54F7">
            <w:pPr>
              <w:spacing w:after="0" w:line="240" w:lineRule="auto"/>
              <w:jc w:val="both"/>
              <w:rPr>
                <w:rFonts w:ascii="Arial" w:eastAsia="Times New Roman" w:hAnsi="Arial" w:cs="Arial"/>
                <w:color w:val="000000"/>
                <w:sz w:val="18"/>
                <w:szCs w:val="18"/>
                <w:lang w:eastAsia="en-GB"/>
              </w:rPr>
            </w:pPr>
            <w:r w:rsidRPr="004E1DAD">
              <w:rPr>
                <w:rFonts w:ascii="Arial" w:eastAsia="Times New Roman" w:hAnsi="Arial" w:cs="Arial"/>
                <w:color w:val="000000"/>
                <w:sz w:val="18"/>
                <w:szCs w:val="18"/>
                <w:lang w:eastAsia="en-GB"/>
              </w:rPr>
              <w:t xml:space="preserve">Other </w:t>
            </w:r>
          </w:p>
        </w:tc>
        <w:tc>
          <w:tcPr>
            <w:tcW w:w="1214" w:type="dxa"/>
            <w:tcBorders>
              <w:top w:val="nil"/>
              <w:left w:val="nil"/>
              <w:bottom w:val="single" w:sz="4" w:space="0" w:color="D9D9D9"/>
              <w:right w:val="single" w:sz="4" w:space="0" w:color="D9D9D9"/>
            </w:tcBorders>
            <w:shd w:val="clear" w:color="000000" w:fill="F2F2F2"/>
            <w:noWrap/>
            <w:vAlign w:val="bottom"/>
            <w:hideMark/>
          </w:tcPr>
          <w:p w14:paraId="0B13E435"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1.25%</w:t>
            </w:r>
          </w:p>
        </w:tc>
        <w:tc>
          <w:tcPr>
            <w:tcW w:w="1342" w:type="dxa"/>
            <w:tcBorders>
              <w:top w:val="nil"/>
              <w:left w:val="nil"/>
              <w:bottom w:val="single" w:sz="4" w:space="0" w:color="D9D9D9"/>
              <w:right w:val="single" w:sz="4" w:space="0" w:color="D9D9D9"/>
            </w:tcBorders>
            <w:shd w:val="clear" w:color="000000" w:fill="F2F2F2"/>
            <w:noWrap/>
            <w:vAlign w:val="bottom"/>
            <w:hideMark/>
          </w:tcPr>
          <w:p w14:paraId="15268E76"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2.27%</w:t>
            </w:r>
          </w:p>
        </w:tc>
        <w:tc>
          <w:tcPr>
            <w:tcW w:w="685" w:type="dxa"/>
            <w:tcBorders>
              <w:top w:val="nil"/>
              <w:left w:val="nil"/>
              <w:bottom w:val="single" w:sz="4" w:space="0" w:color="D9D9D9"/>
              <w:right w:val="single" w:sz="4" w:space="0" w:color="D9D9D9"/>
            </w:tcBorders>
            <w:shd w:val="clear" w:color="000000" w:fill="F2F2F2"/>
            <w:noWrap/>
            <w:vAlign w:val="bottom"/>
            <w:hideMark/>
          </w:tcPr>
          <w:p w14:paraId="03340A1B"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7</w:t>
            </w:r>
          </w:p>
        </w:tc>
      </w:tr>
      <w:tr w:rsidR="004E1DAD" w:rsidRPr="004E1DAD" w14:paraId="61DCE90D" w14:textId="77777777" w:rsidTr="004E1DAD">
        <w:trPr>
          <w:trHeight w:val="260"/>
        </w:trPr>
        <w:tc>
          <w:tcPr>
            <w:tcW w:w="2055"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50D38A0E" w14:textId="77777777" w:rsidR="004E1DAD" w:rsidRPr="004E1DAD" w:rsidRDefault="004E1DAD" w:rsidP="00DC54F7">
            <w:pPr>
              <w:spacing w:after="0" w:line="240" w:lineRule="auto"/>
              <w:jc w:val="both"/>
              <w:rPr>
                <w:rFonts w:ascii="Arial" w:eastAsia="Times New Roman" w:hAnsi="Arial" w:cs="Arial"/>
                <w:b/>
                <w:bCs/>
                <w:color w:val="000000"/>
                <w:lang w:eastAsia="en-GB"/>
              </w:rPr>
            </w:pPr>
            <w:r w:rsidRPr="004E1DAD">
              <w:rPr>
                <w:rFonts w:ascii="Arial" w:eastAsia="Times New Roman" w:hAnsi="Arial" w:cs="Arial"/>
                <w:b/>
                <w:bCs/>
                <w:color w:val="000000"/>
                <w:lang w:eastAsia="en-GB"/>
              </w:rPr>
              <w:t> </w:t>
            </w:r>
          </w:p>
        </w:tc>
        <w:tc>
          <w:tcPr>
            <w:tcW w:w="3568" w:type="dxa"/>
            <w:tcBorders>
              <w:top w:val="nil"/>
              <w:left w:val="nil"/>
              <w:bottom w:val="single" w:sz="4" w:space="0" w:color="A6A6A6"/>
              <w:right w:val="single" w:sz="4" w:space="0" w:color="D9D9D9"/>
            </w:tcBorders>
            <w:shd w:val="clear" w:color="000000" w:fill="F2F2F2"/>
            <w:vAlign w:val="center"/>
            <w:hideMark/>
          </w:tcPr>
          <w:p w14:paraId="5E642C73" w14:textId="77777777" w:rsidR="004E1DAD" w:rsidRPr="004E1DAD" w:rsidRDefault="004E1DAD" w:rsidP="00DC54F7">
            <w:pPr>
              <w:spacing w:after="0" w:line="240" w:lineRule="auto"/>
              <w:jc w:val="both"/>
              <w:rPr>
                <w:rFonts w:ascii="Arial" w:eastAsia="Times New Roman" w:hAnsi="Arial" w:cs="Arial"/>
                <w:b/>
                <w:bCs/>
                <w:color w:val="000000"/>
                <w:sz w:val="18"/>
                <w:szCs w:val="18"/>
                <w:lang w:eastAsia="en-GB"/>
              </w:rPr>
            </w:pPr>
            <w:r w:rsidRPr="004E1DAD">
              <w:rPr>
                <w:rFonts w:ascii="Arial" w:eastAsia="Times New Roman" w:hAnsi="Arial" w:cs="Arial"/>
                <w:b/>
                <w:bCs/>
                <w:color w:val="000000"/>
                <w:sz w:val="18"/>
                <w:szCs w:val="18"/>
                <w:lang w:eastAsia="en-GB"/>
              </w:rPr>
              <w:t>Total Responses</w:t>
            </w:r>
          </w:p>
        </w:tc>
        <w:tc>
          <w:tcPr>
            <w:tcW w:w="1214" w:type="dxa"/>
            <w:tcBorders>
              <w:top w:val="nil"/>
              <w:left w:val="nil"/>
              <w:bottom w:val="single" w:sz="4" w:space="0" w:color="D9D9D9"/>
              <w:right w:val="single" w:sz="4" w:space="0" w:color="D9D9D9"/>
            </w:tcBorders>
            <w:shd w:val="clear" w:color="000000" w:fill="F2F2F2"/>
            <w:noWrap/>
            <w:vAlign w:val="bottom"/>
            <w:hideMark/>
          </w:tcPr>
          <w:p w14:paraId="440A3129"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 </w:t>
            </w:r>
          </w:p>
        </w:tc>
        <w:tc>
          <w:tcPr>
            <w:tcW w:w="1342" w:type="dxa"/>
            <w:tcBorders>
              <w:top w:val="nil"/>
              <w:left w:val="nil"/>
              <w:bottom w:val="single" w:sz="4" w:space="0" w:color="D9D9D9"/>
              <w:right w:val="single" w:sz="4" w:space="0" w:color="D9D9D9"/>
            </w:tcBorders>
            <w:shd w:val="clear" w:color="000000" w:fill="F2F2F2"/>
            <w:noWrap/>
            <w:vAlign w:val="bottom"/>
            <w:hideMark/>
          </w:tcPr>
          <w:p w14:paraId="560CD5A0"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 </w:t>
            </w:r>
          </w:p>
        </w:tc>
        <w:tc>
          <w:tcPr>
            <w:tcW w:w="685" w:type="dxa"/>
            <w:tcBorders>
              <w:top w:val="nil"/>
              <w:left w:val="nil"/>
              <w:bottom w:val="single" w:sz="4" w:space="0" w:color="D9D9D9"/>
              <w:right w:val="single" w:sz="4" w:space="0" w:color="D9D9D9"/>
            </w:tcBorders>
            <w:shd w:val="clear" w:color="000000" w:fill="F2F2F2"/>
            <w:noWrap/>
            <w:vAlign w:val="bottom"/>
            <w:hideMark/>
          </w:tcPr>
          <w:p w14:paraId="456C2BE6"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562</w:t>
            </w:r>
          </w:p>
        </w:tc>
      </w:tr>
      <w:tr w:rsidR="004E1DAD" w:rsidRPr="004E1DAD" w14:paraId="039212EC" w14:textId="77777777" w:rsidTr="004E1DAD">
        <w:trPr>
          <w:trHeight w:val="260"/>
        </w:trPr>
        <w:tc>
          <w:tcPr>
            <w:tcW w:w="2055" w:type="dxa"/>
            <w:gridSpan w:val="2"/>
            <w:vMerge/>
            <w:tcBorders>
              <w:top w:val="single" w:sz="4" w:space="0" w:color="A6A6A6"/>
              <w:left w:val="single" w:sz="4" w:space="0" w:color="A6A6A6"/>
              <w:bottom w:val="single" w:sz="4" w:space="0" w:color="A6A6A6"/>
              <w:right w:val="single" w:sz="4" w:space="0" w:color="A6A6A6"/>
            </w:tcBorders>
            <w:vAlign w:val="center"/>
            <w:hideMark/>
          </w:tcPr>
          <w:p w14:paraId="72E57109" w14:textId="77777777" w:rsidR="004E1DAD" w:rsidRPr="004E1DAD" w:rsidRDefault="004E1DAD" w:rsidP="00DC54F7">
            <w:pPr>
              <w:spacing w:after="0" w:line="240" w:lineRule="auto"/>
              <w:jc w:val="both"/>
              <w:rPr>
                <w:rFonts w:ascii="Arial" w:eastAsia="Times New Roman" w:hAnsi="Arial" w:cs="Arial"/>
                <w:b/>
                <w:bCs/>
                <w:color w:val="000000"/>
                <w:lang w:eastAsia="en-GB"/>
              </w:rPr>
            </w:pPr>
          </w:p>
        </w:tc>
        <w:tc>
          <w:tcPr>
            <w:tcW w:w="3568" w:type="dxa"/>
            <w:tcBorders>
              <w:top w:val="nil"/>
              <w:left w:val="nil"/>
              <w:bottom w:val="single" w:sz="4" w:space="0" w:color="A6A6A6"/>
              <w:right w:val="single" w:sz="4" w:space="0" w:color="D9D9D9"/>
            </w:tcBorders>
            <w:shd w:val="clear" w:color="000000" w:fill="F2F2F2"/>
            <w:vAlign w:val="center"/>
            <w:hideMark/>
          </w:tcPr>
          <w:p w14:paraId="672E53E3" w14:textId="77777777" w:rsidR="004E1DAD" w:rsidRPr="004E1DAD" w:rsidRDefault="004E1DAD" w:rsidP="00DC54F7">
            <w:pPr>
              <w:spacing w:after="0" w:line="240" w:lineRule="auto"/>
              <w:jc w:val="both"/>
              <w:rPr>
                <w:rFonts w:ascii="Arial" w:eastAsia="Times New Roman" w:hAnsi="Arial" w:cs="Arial"/>
                <w:b/>
                <w:bCs/>
                <w:color w:val="000000"/>
                <w:sz w:val="18"/>
                <w:szCs w:val="18"/>
                <w:lang w:eastAsia="en-GB"/>
              </w:rPr>
            </w:pPr>
            <w:r w:rsidRPr="004E1DAD">
              <w:rPr>
                <w:rFonts w:ascii="Arial" w:eastAsia="Times New Roman" w:hAnsi="Arial" w:cs="Arial"/>
                <w:b/>
                <w:bCs/>
                <w:color w:val="000000"/>
                <w:sz w:val="18"/>
                <w:szCs w:val="18"/>
                <w:lang w:eastAsia="en-GB"/>
              </w:rPr>
              <w:t>Total Respondents</w:t>
            </w:r>
          </w:p>
        </w:tc>
        <w:tc>
          <w:tcPr>
            <w:tcW w:w="1214" w:type="dxa"/>
            <w:tcBorders>
              <w:top w:val="nil"/>
              <w:left w:val="nil"/>
              <w:bottom w:val="nil"/>
              <w:right w:val="single" w:sz="4" w:space="0" w:color="D9D9D9"/>
            </w:tcBorders>
            <w:shd w:val="clear" w:color="000000" w:fill="F2F2F2"/>
            <w:noWrap/>
            <w:vAlign w:val="bottom"/>
            <w:hideMark/>
          </w:tcPr>
          <w:p w14:paraId="775521C6"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 </w:t>
            </w:r>
          </w:p>
        </w:tc>
        <w:tc>
          <w:tcPr>
            <w:tcW w:w="1342" w:type="dxa"/>
            <w:tcBorders>
              <w:top w:val="nil"/>
              <w:left w:val="nil"/>
              <w:bottom w:val="nil"/>
              <w:right w:val="single" w:sz="4" w:space="0" w:color="D9D9D9"/>
            </w:tcBorders>
            <w:shd w:val="clear" w:color="000000" w:fill="F2F2F2"/>
            <w:noWrap/>
            <w:vAlign w:val="bottom"/>
            <w:hideMark/>
          </w:tcPr>
          <w:p w14:paraId="17FDA1DE"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 </w:t>
            </w:r>
          </w:p>
        </w:tc>
        <w:tc>
          <w:tcPr>
            <w:tcW w:w="685" w:type="dxa"/>
            <w:tcBorders>
              <w:top w:val="nil"/>
              <w:left w:val="nil"/>
              <w:bottom w:val="nil"/>
              <w:right w:val="single" w:sz="4" w:space="0" w:color="D9D9D9"/>
            </w:tcBorders>
            <w:shd w:val="clear" w:color="000000" w:fill="F2F2F2"/>
            <w:noWrap/>
            <w:vAlign w:val="bottom"/>
            <w:hideMark/>
          </w:tcPr>
          <w:p w14:paraId="78377BB7"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308</w:t>
            </w:r>
          </w:p>
        </w:tc>
      </w:tr>
      <w:tr w:rsidR="004E1DAD" w:rsidRPr="004E1DAD" w14:paraId="61D1A013" w14:textId="77777777" w:rsidTr="004E1DAD">
        <w:trPr>
          <w:trHeight w:val="260"/>
        </w:trPr>
        <w:tc>
          <w:tcPr>
            <w:tcW w:w="2055" w:type="dxa"/>
            <w:gridSpan w:val="2"/>
            <w:vMerge/>
            <w:tcBorders>
              <w:top w:val="single" w:sz="4" w:space="0" w:color="A6A6A6"/>
              <w:left w:val="single" w:sz="4" w:space="0" w:color="A6A6A6"/>
              <w:bottom w:val="single" w:sz="4" w:space="0" w:color="A6A6A6"/>
              <w:right w:val="single" w:sz="4" w:space="0" w:color="A6A6A6"/>
            </w:tcBorders>
            <w:vAlign w:val="center"/>
            <w:hideMark/>
          </w:tcPr>
          <w:p w14:paraId="15EC8988" w14:textId="77777777" w:rsidR="004E1DAD" w:rsidRPr="004E1DAD" w:rsidRDefault="004E1DAD" w:rsidP="00DC54F7">
            <w:pPr>
              <w:spacing w:after="0" w:line="240" w:lineRule="auto"/>
              <w:jc w:val="both"/>
              <w:rPr>
                <w:rFonts w:ascii="Arial" w:eastAsia="Times New Roman" w:hAnsi="Arial" w:cs="Arial"/>
                <w:b/>
                <w:bCs/>
                <w:color w:val="000000"/>
                <w:lang w:eastAsia="en-GB"/>
              </w:rPr>
            </w:pPr>
          </w:p>
        </w:tc>
        <w:tc>
          <w:tcPr>
            <w:tcW w:w="3568" w:type="dxa"/>
            <w:tcBorders>
              <w:top w:val="nil"/>
              <w:left w:val="nil"/>
              <w:bottom w:val="single" w:sz="4" w:space="0" w:color="A6A6A6"/>
              <w:right w:val="single" w:sz="4" w:space="0" w:color="D9D9D9"/>
            </w:tcBorders>
            <w:shd w:val="clear" w:color="000000" w:fill="F2F2F2"/>
            <w:vAlign w:val="center"/>
            <w:hideMark/>
          </w:tcPr>
          <w:p w14:paraId="2E64D6D0" w14:textId="77777777" w:rsidR="004E1DAD" w:rsidRPr="004E1DAD" w:rsidRDefault="004E1DAD" w:rsidP="00DC54F7">
            <w:pPr>
              <w:spacing w:after="0" w:line="240" w:lineRule="auto"/>
              <w:jc w:val="both"/>
              <w:rPr>
                <w:rFonts w:ascii="Arial" w:eastAsia="Times New Roman" w:hAnsi="Arial" w:cs="Arial"/>
                <w:b/>
                <w:bCs/>
                <w:color w:val="000000"/>
                <w:sz w:val="18"/>
                <w:szCs w:val="18"/>
                <w:lang w:eastAsia="en-GB"/>
              </w:rPr>
            </w:pPr>
            <w:r w:rsidRPr="004E1DAD">
              <w:rPr>
                <w:rFonts w:ascii="Arial" w:eastAsia="Times New Roman" w:hAnsi="Arial" w:cs="Arial"/>
                <w:b/>
                <w:bCs/>
                <w:color w:val="000000"/>
                <w:sz w:val="18"/>
                <w:szCs w:val="18"/>
                <w:lang w:eastAsia="en-GB"/>
              </w:rPr>
              <w:t>Skipped</w:t>
            </w:r>
          </w:p>
        </w:tc>
        <w:tc>
          <w:tcPr>
            <w:tcW w:w="1214" w:type="dxa"/>
            <w:tcBorders>
              <w:top w:val="nil"/>
              <w:left w:val="nil"/>
              <w:bottom w:val="nil"/>
              <w:right w:val="single" w:sz="4" w:space="0" w:color="D9D9D9"/>
            </w:tcBorders>
            <w:shd w:val="clear" w:color="000000" w:fill="F2F2F2"/>
            <w:noWrap/>
            <w:vAlign w:val="bottom"/>
            <w:hideMark/>
          </w:tcPr>
          <w:p w14:paraId="6D91AA13"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 </w:t>
            </w:r>
          </w:p>
        </w:tc>
        <w:tc>
          <w:tcPr>
            <w:tcW w:w="1342" w:type="dxa"/>
            <w:tcBorders>
              <w:top w:val="nil"/>
              <w:left w:val="nil"/>
              <w:bottom w:val="nil"/>
              <w:right w:val="single" w:sz="4" w:space="0" w:color="D9D9D9"/>
            </w:tcBorders>
            <w:shd w:val="clear" w:color="000000" w:fill="F2F2F2"/>
            <w:noWrap/>
            <w:vAlign w:val="bottom"/>
            <w:hideMark/>
          </w:tcPr>
          <w:p w14:paraId="083683CE"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 </w:t>
            </w:r>
          </w:p>
        </w:tc>
        <w:tc>
          <w:tcPr>
            <w:tcW w:w="685" w:type="dxa"/>
            <w:tcBorders>
              <w:top w:val="nil"/>
              <w:left w:val="nil"/>
              <w:bottom w:val="nil"/>
              <w:right w:val="single" w:sz="4" w:space="0" w:color="D9D9D9"/>
            </w:tcBorders>
            <w:shd w:val="clear" w:color="000000" w:fill="F2F2F2"/>
            <w:noWrap/>
            <w:vAlign w:val="bottom"/>
            <w:hideMark/>
          </w:tcPr>
          <w:p w14:paraId="2E6B34B4" w14:textId="77777777" w:rsidR="004E1DAD" w:rsidRPr="004E1DAD" w:rsidRDefault="004E1DAD" w:rsidP="00DC54F7">
            <w:pPr>
              <w:spacing w:after="0" w:line="240" w:lineRule="auto"/>
              <w:jc w:val="both"/>
              <w:rPr>
                <w:rFonts w:ascii="Calibri" w:eastAsia="Times New Roman" w:hAnsi="Calibri" w:cs="Calibri"/>
                <w:color w:val="000000"/>
                <w:lang w:eastAsia="en-GB"/>
              </w:rPr>
            </w:pPr>
            <w:r w:rsidRPr="004E1DAD">
              <w:rPr>
                <w:rFonts w:ascii="Calibri" w:eastAsia="Times New Roman" w:hAnsi="Calibri" w:cs="Calibri"/>
                <w:color w:val="000000"/>
                <w:lang w:eastAsia="en-GB"/>
              </w:rPr>
              <w:t>3</w:t>
            </w:r>
          </w:p>
        </w:tc>
      </w:tr>
    </w:tbl>
    <w:p w14:paraId="67C45B2B" w14:textId="1CCED371" w:rsidR="00D301A3" w:rsidRDefault="00D301A3" w:rsidP="00DC54F7">
      <w:pPr>
        <w:spacing w:after="0"/>
        <w:jc w:val="both"/>
        <w:rPr>
          <w:rFonts w:ascii="Arial" w:hAnsi="Arial" w:cs="Arial"/>
          <w:b/>
          <w:bCs/>
        </w:rPr>
      </w:pPr>
    </w:p>
    <w:p w14:paraId="45926A92" w14:textId="77777777" w:rsidR="001B5C8F" w:rsidRDefault="001B5C8F" w:rsidP="00DC54F7">
      <w:pPr>
        <w:spacing w:after="0"/>
        <w:jc w:val="both"/>
        <w:rPr>
          <w:rFonts w:ascii="Arial" w:hAnsi="Arial" w:cs="Arial"/>
          <w:b/>
          <w:bCs/>
        </w:rPr>
      </w:pPr>
    </w:p>
    <w:p w14:paraId="72EA63AC" w14:textId="77777777" w:rsidR="00D301A3" w:rsidRPr="00C86A62" w:rsidRDefault="00D301A3" w:rsidP="00DC54F7">
      <w:pPr>
        <w:spacing w:after="0"/>
        <w:jc w:val="both"/>
        <w:rPr>
          <w:rFonts w:ascii="Arial" w:hAnsi="Arial" w:cs="Arial"/>
          <w:b/>
          <w:bCs/>
        </w:rPr>
      </w:pPr>
      <w:r w:rsidRPr="00C86A62">
        <w:rPr>
          <w:rFonts w:ascii="Arial" w:hAnsi="Arial" w:cs="Arial"/>
          <w:b/>
          <w:bCs/>
        </w:rPr>
        <w:t>A total of seven comments were received:</w:t>
      </w:r>
    </w:p>
    <w:p w14:paraId="24FEC2A2" w14:textId="77777777" w:rsidR="00D301A3" w:rsidRPr="00E73635" w:rsidRDefault="00D301A3" w:rsidP="00DC54F7">
      <w:pPr>
        <w:pStyle w:val="ListParagraph"/>
        <w:numPr>
          <w:ilvl w:val="0"/>
          <w:numId w:val="70"/>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E73635">
        <w:rPr>
          <w:rFonts w:ascii="Arial" w:eastAsia="Times New Roman" w:hAnsi="Arial" w:cs="Arial"/>
          <w:color w:val="333333"/>
          <w:lang w:eastAsia="en-GB"/>
        </w:rPr>
        <w:t>Look at the pharmacy website at opening hrs</w:t>
      </w:r>
      <w:r>
        <w:rPr>
          <w:rFonts w:ascii="Arial" w:eastAsia="Times New Roman" w:hAnsi="Arial" w:cs="Arial"/>
          <w:color w:val="333333"/>
          <w:lang w:eastAsia="en-GB"/>
        </w:rPr>
        <w:t>.”</w:t>
      </w:r>
    </w:p>
    <w:p w14:paraId="5C7D9226" w14:textId="77777777" w:rsidR="00D301A3" w:rsidRPr="00E73635" w:rsidRDefault="00D301A3" w:rsidP="00DC54F7">
      <w:pPr>
        <w:pStyle w:val="ListParagraph"/>
        <w:numPr>
          <w:ilvl w:val="0"/>
          <w:numId w:val="70"/>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E73635">
        <w:rPr>
          <w:rFonts w:ascii="Arial" w:eastAsia="Times New Roman" w:hAnsi="Arial" w:cs="Arial"/>
          <w:color w:val="333333"/>
          <w:lang w:eastAsia="en-GB"/>
        </w:rPr>
        <w:t>It is advertised however during the pandemic they post their varied times on social media.</w:t>
      </w:r>
      <w:r>
        <w:rPr>
          <w:rFonts w:ascii="Arial" w:eastAsia="Times New Roman" w:hAnsi="Arial" w:cs="Arial"/>
          <w:color w:val="333333"/>
          <w:lang w:eastAsia="en-GB"/>
        </w:rPr>
        <w:t>”</w:t>
      </w:r>
    </w:p>
    <w:p w14:paraId="585C98B7" w14:textId="77777777" w:rsidR="00D301A3" w:rsidRPr="00E73635" w:rsidRDefault="00D301A3" w:rsidP="00DC54F7">
      <w:pPr>
        <w:pStyle w:val="ListParagraph"/>
        <w:numPr>
          <w:ilvl w:val="0"/>
          <w:numId w:val="70"/>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E73635">
        <w:rPr>
          <w:rFonts w:ascii="Arial" w:eastAsia="Times New Roman" w:hAnsi="Arial" w:cs="Arial"/>
          <w:color w:val="333333"/>
          <w:lang w:eastAsia="en-GB"/>
        </w:rPr>
        <w:t>I would search the internet for a specific pharmacies web site</w:t>
      </w:r>
      <w:r>
        <w:rPr>
          <w:rFonts w:ascii="Arial" w:eastAsia="Times New Roman" w:hAnsi="Arial" w:cs="Arial"/>
          <w:color w:val="333333"/>
          <w:lang w:eastAsia="en-GB"/>
        </w:rPr>
        <w:t>.”</w:t>
      </w:r>
    </w:p>
    <w:p w14:paraId="735B874F" w14:textId="77777777" w:rsidR="00D301A3" w:rsidRPr="00E73635" w:rsidRDefault="00D301A3" w:rsidP="00DC54F7">
      <w:pPr>
        <w:pStyle w:val="ListParagraph"/>
        <w:numPr>
          <w:ilvl w:val="0"/>
          <w:numId w:val="70"/>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lastRenderedPageBreak/>
        <w:t>“C</w:t>
      </w:r>
      <w:r w:rsidRPr="00E73635">
        <w:rPr>
          <w:rFonts w:ascii="Arial" w:eastAsia="Times New Roman" w:hAnsi="Arial" w:cs="Arial"/>
          <w:color w:val="333333"/>
          <w:lang w:eastAsia="en-GB"/>
        </w:rPr>
        <w:t>an't remember, always used the pharmacy.</w:t>
      </w:r>
      <w:r>
        <w:rPr>
          <w:rFonts w:ascii="Arial" w:eastAsia="Times New Roman" w:hAnsi="Arial" w:cs="Arial"/>
          <w:color w:val="333333"/>
          <w:lang w:eastAsia="en-GB"/>
        </w:rPr>
        <w:t>”</w:t>
      </w:r>
    </w:p>
    <w:p w14:paraId="1962D1F2" w14:textId="77777777" w:rsidR="00D301A3" w:rsidRPr="00E73635" w:rsidRDefault="00D301A3" w:rsidP="00DC54F7">
      <w:pPr>
        <w:pStyle w:val="ListParagraph"/>
        <w:numPr>
          <w:ilvl w:val="0"/>
          <w:numId w:val="70"/>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E73635">
        <w:rPr>
          <w:rFonts w:ascii="Arial" w:eastAsia="Times New Roman" w:hAnsi="Arial" w:cs="Arial"/>
          <w:color w:val="333333"/>
          <w:lang w:eastAsia="en-GB"/>
        </w:rPr>
        <w:t>Look on a search engine</w:t>
      </w:r>
      <w:r>
        <w:rPr>
          <w:rFonts w:ascii="Arial" w:eastAsia="Times New Roman" w:hAnsi="Arial" w:cs="Arial"/>
          <w:color w:val="333333"/>
          <w:lang w:eastAsia="en-GB"/>
        </w:rPr>
        <w:t>.”</w:t>
      </w:r>
      <w:r w:rsidRPr="00E73635">
        <w:rPr>
          <w:rFonts w:ascii="Arial" w:eastAsia="Times New Roman" w:hAnsi="Arial" w:cs="Arial"/>
          <w:color w:val="333333"/>
          <w:lang w:eastAsia="en-GB"/>
        </w:rPr>
        <w:t xml:space="preserve"> </w:t>
      </w:r>
    </w:p>
    <w:p w14:paraId="7F1CE848" w14:textId="77777777" w:rsidR="00D301A3" w:rsidRPr="00E73635" w:rsidRDefault="00D301A3" w:rsidP="00DC54F7">
      <w:pPr>
        <w:pStyle w:val="ListParagraph"/>
        <w:numPr>
          <w:ilvl w:val="0"/>
          <w:numId w:val="70"/>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E73635">
        <w:rPr>
          <w:rFonts w:ascii="Arial" w:eastAsia="Times New Roman" w:hAnsi="Arial" w:cs="Arial"/>
          <w:color w:val="333333"/>
          <w:lang w:eastAsia="en-GB"/>
        </w:rPr>
        <w:t>Ask my wife</w:t>
      </w:r>
      <w:r>
        <w:rPr>
          <w:rFonts w:ascii="Arial" w:eastAsia="Times New Roman" w:hAnsi="Arial" w:cs="Arial"/>
          <w:color w:val="333333"/>
          <w:lang w:eastAsia="en-GB"/>
        </w:rPr>
        <w:t>.”</w:t>
      </w:r>
      <w:r w:rsidRPr="00E73635">
        <w:rPr>
          <w:rFonts w:ascii="Arial" w:eastAsia="Times New Roman" w:hAnsi="Arial" w:cs="Arial"/>
          <w:color w:val="333333"/>
          <w:lang w:eastAsia="en-GB"/>
        </w:rPr>
        <w:t xml:space="preserve"> </w:t>
      </w:r>
    </w:p>
    <w:p w14:paraId="13081B47" w14:textId="77777777" w:rsidR="00D301A3" w:rsidRPr="00E73635" w:rsidRDefault="00D301A3" w:rsidP="00DC54F7">
      <w:pPr>
        <w:pStyle w:val="ListParagraph"/>
        <w:numPr>
          <w:ilvl w:val="0"/>
          <w:numId w:val="70"/>
        </w:numPr>
        <w:spacing w:after="0" w:line="240" w:lineRule="auto"/>
        <w:jc w:val="both"/>
        <w:rPr>
          <w:rFonts w:ascii="Arial" w:eastAsia="Times New Roman" w:hAnsi="Arial" w:cs="Arial"/>
          <w:color w:val="333333"/>
          <w:lang w:eastAsia="en-GB"/>
        </w:rPr>
      </w:pPr>
      <w:r>
        <w:rPr>
          <w:rFonts w:ascii="Arial" w:eastAsia="Times New Roman" w:hAnsi="Arial" w:cs="Arial"/>
          <w:color w:val="333333"/>
          <w:lang w:eastAsia="en-GB"/>
        </w:rPr>
        <w:t>“</w:t>
      </w:r>
      <w:r w:rsidRPr="00E73635">
        <w:rPr>
          <w:rFonts w:ascii="Arial" w:eastAsia="Times New Roman" w:hAnsi="Arial" w:cs="Arial"/>
          <w:color w:val="333333"/>
          <w:lang w:eastAsia="en-GB"/>
        </w:rPr>
        <w:t>Check their website</w:t>
      </w:r>
      <w:r>
        <w:rPr>
          <w:rFonts w:ascii="Arial" w:eastAsia="Times New Roman" w:hAnsi="Arial" w:cs="Arial"/>
          <w:color w:val="333333"/>
          <w:lang w:eastAsia="en-GB"/>
        </w:rPr>
        <w:t>.”</w:t>
      </w:r>
    </w:p>
    <w:p w14:paraId="390B35DB" w14:textId="77777777" w:rsidR="00D301A3" w:rsidRDefault="00D301A3" w:rsidP="00DC54F7">
      <w:pPr>
        <w:spacing w:after="0" w:line="240" w:lineRule="auto"/>
        <w:jc w:val="both"/>
        <w:rPr>
          <w:rFonts w:ascii="Arial" w:eastAsia="Times New Roman" w:hAnsi="Arial" w:cs="Arial"/>
          <w:b/>
          <w:bCs/>
          <w:color w:val="333333"/>
          <w:lang w:eastAsia="en-GB"/>
        </w:rPr>
      </w:pPr>
    </w:p>
    <w:p w14:paraId="7E1DDBD6" w14:textId="77777777" w:rsidR="00D301A3" w:rsidRDefault="00D301A3" w:rsidP="00DC54F7">
      <w:pPr>
        <w:spacing w:after="0" w:line="240" w:lineRule="auto"/>
        <w:jc w:val="both"/>
        <w:rPr>
          <w:rFonts w:ascii="Arial" w:eastAsia="Times New Roman" w:hAnsi="Arial" w:cs="Arial"/>
          <w:b/>
          <w:bCs/>
          <w:color w:val="333333"/>
          <w:lang w:eastAsia="en-GB"/>
        </w:rPr>
      </w:pPr>
    </w:p>
    <w:p w14:paraId="5A87934E" w14:textId="77777777" w:rsidR="00D301A3" w:rsidRDefault="00D301A3" w:rsidP="00DC54F7">
      <w:pPr>
        <w:spacing w:after="0" w:line="240" w:lineRule="auto"/>
        <w:jc w:val="both"/>
        <w:rPr>
          <w:rFonts w:ascii="Arial" w:eastAsia="Times New Roman" w:hAnsi="Arial" w:cs="Arial"/>
          <w:b/>
          <w:bCs/>
          <w:color w:val="333333"/>
          <w:lang w:eastAsia="en-GB"/>
        </w:rPr>
      </w:pPr>
      <w:r w:rsidRPr="001547AB">
        <w:rPr>
          <w:rFonts w:ascii="Arial" w:eastAsia="Times New Roman" w:hAnsi="Arial" w:cs="Arial"/>
          <w:b/>
          <w:bCs/>
          <w:color w:val="333333"/>
          <w:lang w:eastAsia="en-GB"/>
        </w:rPr>
        <w:t xml:space="preserve">17. Do you feel able to discuss something private with your pharmacist? Please tick one. </w:t>
      </w:r>
    </w:p>
    <w:p w14:paraId="1E2B0D33" w14:textId="77777777" w:rsidR="00D301A3" w:rsidRPr="00F33FE2" w:rsidRDefault="00D301A3" w:rsidP="00DC54F7">
      <w:pPr>
        <w:spacing w:after="0" w:line="240" w:lineRule="auto"/>
        <w:jc w:val="both"/>
        <w:rPr>
          <w:rFonts w:ascii="Arial" w:eastAsia="Times New Roman" w:hAnsi="Arial" w:cs="Arial"/>
          <w:b/>
          <w:bCs/>
          <w:color w:val="333333"/>
          <w:lang w:eastAsia="en-GB"/>
        </w:rPr>
      </w:pPr>
    </w:p>
    <w:tbl>
      <w:tblPr>
        <w:tblW w:w="9720" w:type="dxa"/>
        <w:tblLook w:val="04A0" w:firstRow="1" w:lastRow="0" w:firstColumn="1" w:lastColumn="0" w:noHBand="0" w:noVBand="1"/>
      </w:tblPr>
      <w:tblGrid>
        <w:gridCol w:w="1020"/>
        <w:gridCol w:w="5533"/>
        <w:gridCol w:w="975"/>
        <w:gridCol w:w="1205"/>
        <w:gridCol w:w="987"/>
      </w:tblGrid>
      <w:tr w:rsidR="00D301A3" w:rsidRPr="001547AB" w14:paraId="2F034564" w14:textId="77777777" w:rsidTr="00833110">
        <w:trPr>
          <w:trHeight w:val="321"/>
        </w:trPr>
        <w:tc>
          <w:tcPr>
            <w:tcW w:w="7528" w:type="dxa"/>
            <w:gridSpan w:val="3"/>
            <w:tcBorders>
              <w:top w:val="single" w:sz="4" w:space="0" w:color="A6A6A6"/>
              <w:left w:val="single" w:sz="4" w:space="0" w:color="A6A6A6"/>
              <w:bottom w:val="single" w:sz="4" w:space="0" w:color="A6A6A6"/>
              <w:right w:val="nil"/>
            </w:tcBorders>
            <w:shd w:val="clear" w:color="000000" w:fill="ACB9CA"/>
            <w:noWrap/>
            <w:vAlign w:val="center"/>
            <w:hideMark/>
          </w:tcPr>
          <w:p w14:paraId="74A62CA6" w14:textId="77777777" w:rsidR="00D301A3" w:rsidRPr="001547AB" w:rsidRDefault="00D301A3" w:rsidP="00DC54F7">
            <w:pPr>
              <w:spacing w:after="0" w:line="240" w:lineRule="auto"/>
              <w:jc w:val="both"/>
              <w:rPr>
                <w:rFonts w:ascii="Arial" w:eastAsia="Times New Roman" w:hAnsi="Arial" w:cs="Arial"/>
                <w:b/>
                <w:bCs/>
                <w:color w:val="FFFFFF"/>
                <w:sz w:val="21"/>
                <w:szCs w:val="21"/>
                <w:lang w:eastAsia="en-GB"/>
              </w:rPr>
            </w:pPr>
            <w:r w:rsidRPr="001547AB">
              <w:rPr>
                <w:rFonts w:ascii="Arial" w:eastAsia="Times New Roman" w:hAnsi="Arial" w:cs="Arial"/>
                <w:b/>
                <w:bCs/>
                <w:color w:val="FFFFFF"/>
                <w:sz w:val="21"/>
                <w:szCs w:val="21"/>
                <w:lang w:eastAsia="en-GB"/>
              </w:rPr>
              <w:t> </w:t>
            </w:r>
          </w:p>
        </w:tc>
        <w:tc>
          <w:tcPr>
            <w:tcW w:w="2192" w:type="dxa"/>
            <w:gridSpan w:val="2"/>
            <w:tcBorders>
              <w:top w:val="single" w:sz="4" w:space="0" w:color="A6A6A6"/>
              <w:left w:val="nil"/>
              <w:bottom w:val="single" w:sz="4" w:space="0" w:color="A6A6A6"/>
              <w:right w:val="single" w:sz="4" w:space="0" w:color="A6A6A6"/>
            </w:tcBorders>
            <w:shd w:val="clear" w:color="000000" w:fill="ACB9CA"/>
            <w:noWrap/>
            <w:vAlign w:val="center"/>
            <w:hideMark/>
          </w:tcPr>
          <w:p w14:paraId="260BD551" w14:textId="77777777" w:rsidR="00D301A3" w:rsidRPr="001547AB" w:rsidRDefault="00D301A3" w:rsidP="00DC54F7">
            <w:pPr>
              <w:spacing w:after="0" w:line="240" w:lineRule="auto"/>
              <w:jc w:val="both"/>
              <w:rPr>
                <w:rFonts w:ascii="Arial" w:eastAsia="Times New Roman" w:hAnsi="Arial" w:cs="Arial"/>
                <w:b/>
                <w:bCs/>
                <w:color w:val="FFFFFF"/>
                <w:sz w:val="21"/>
                <w:szCs w:val="21"/>
                <w:lang w:eastAsia="en-GB"/>
              </w:rPr>
            </w:pPr>
            <w:r w:rsidRPr="001547AB">
              <w:rPr>
                <w:rFonts w:ascii="Arial" w:eastAsia="Times New Roman" w:hAnsi="Arial" w:cs="Arial"/>
                <w:b/>
                <w:bCs/>
                <w:color w:val="FFFFFF"/>
                <w:sz w:val="21"/>
                <w:szCs w:val="21"/>
                <w:lang w:eastAsia="en-GB"/>
              </w:rPr>
              <w:t>Response</w:t>
            </w:r>
          </w:p>
        </w:tc>
      </w:tr>
      <w:tr w:rsidR="00D301A3" w:rsidRPr="001547AB" w14:paraId="0EEA51B6" w14:textId="77777777" w:rsidTr="00833110">
        <w:trPr>
          <w:trHeight w:val="321"/>
        </w:trPr>
        <w:tc>
          <w:tcPr>
            <w:tcW w:w="7528"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2B89D350" w14:textId="77777777" w:rsidR="00D301A3" w:rsidRPr="001547AB" w:rsidRDefault="00D301A3" w:rsidP="00DC54F7">
            <w:pPr>
              <w:spacing w:after="0" w:line="240" w:lineRule="auto"/>
              <w:jc w:val="both"/>
              <w:rPr>
                <w:rFonts w:ascii="Arial" w:eastAsia="Times New Roman" w:hAnsi="Arial" w:cs="Arial"/>
                <w:b/>
                <w:bCs/>
                <w:color w:val="000000"/>
                <w:sz w:val="18"/>
                <w:szCs w:val="18"/>
                <w:lang w:eastAsia="en-GB"/>
              </w:rPr>
            </w:pPr>
            <w:r w:rsidRPr="001547AB">
              <w:rPr>
                <w:rFonts w:ascii="Arial" w:eastAsia="Times New Roman" w:hAnsi="Arial" w:cs="Arial"/>
                <w:b/>
                <w:bCs/>
                <w:color w:val="000000"/>
                <w:sz w:val="18"/>
                <w:szCs w:val="18"/>
                <w:lang w:eastAsia="en-GB"/>
              </w:rPr>
              <w:t> </w:t>
            </w:r>
          </w:p>
        </w:tc>
        <w:tc>
          <w:tcPr>
            <w:tcW w:w="1205" w:type="dxa"/>
            <w:tcBorders>
              <w:top w:val="nil"/>
              <w:left w:val="nil"/>
              <w:bottom w:val="single" w:sz="4" w:space="0" w:color="A6A6A6"/>
              <w:right w:val="single" w:sz="4" w:space="0" w:color="A6A6A6"/>
            </w:tcBorders>
            <w:shd w:val="clear" w:color="000000" w:fill="F2F2F2"/>
            <w:noWrap/>
            <w:vAlign w:val="center"/>
            <w:hideMark/>
          </w:tcPr>
          <w:p w14:paraId="617C7090" w14:textId="77777777" w:rsidR="00D301A3" w:rsidRPr="001547AB" w:rsidRDefault="00D301A3" w:rsidP="00DC54F7">
            <w:pPr>
              <w:spacing w:after="0" w:line="240" w:lineRule="auto"/>
              <w:jc w:val="both"/>
              <w:rPr>
                <w:rFonts w:ascii="Arial" w:eastAsia="Times New Roman" w:hAnsi="Arial" w:cs="Arial"/>
                <w:b/>
                <w:bCs/>
                <w:color w:val="000000"/>
                <w:sz w:val="18"/>
                <w:szCs w:val="18"/>
                <w:lang w:eastAsia="en-GB"/>
              </w:rPr>
            </w:pPr>
            <w:r w:rsidRPr="001547AB">
              <w:rPr>
                <w:rFonts w:ascii="Arial" w:eastAsia="Times New Roman" w:hAnsi="Arial" w:cs="Arial"/>
                <w:b/>
                <w:bCs/>
                <w:color w:val="000000"/>
                <w:sz w:val="18"/>
                <w:szCs w:val="18"/>
                <w:lang w:eastAsia="en-GB"/>
              </w:rPr>
              <w:t>Percent</w:t>
            </w:r>
          </w:p>
        </w:tc>
        <w:tc>
          <w:tcPr>
            <w:tcW w:w="987" w:type="dxa"/>
            <w:tcBorders>
              <w:top w:val="nil"/>
              <w:left w:val="nil"/>
              <w:bottom w:val="single" w:sz="4" w:space="0" w:color="A6A6A6"/>
              <w:right w:val="single" w:sz="4" w:space="0" w:color="A6A6A6"/>
            </w:tcBorders>
            <w:shd w:val="clear" w:color="000000" w:fill="F2F2F2"/>
            <w:noWrap/>
            <w:vAlign w:val="center"/>
            <w:hideMark/>
          </w:tcPr>
          <w:p w14:paraId="7DF72F9B" w14:textId="77777777" w:rsidR="00D301A3" w:rsidRPr="001547AB" w:rsidRDefault="00D301A3" w:rsidP="00DC54F7">
            <w:pPr>
              <w:spacing w:after="0" w:line="240" w:lineRule="auto"/>
              <w:jc w:val="both"/>
              <w:rPr>
                <w:rFonts w:ascii="Arial" w:eastAsia="Times New Roman" w:hAnsi="Arial" w:cs="Arial"/>
                <w:b/>
                <w:bCs/>
                <w:color w:val="000000"/>
                <w:sz w:val="18"/>
                <w:szCs w:val="18"/>
                <w:lang w:eastAsia="en-GB"/>
              </w:rPr>
            </w:pPr>
            <w:r w:rsidRPr="001547AB">
              <w:rPr>
                <w:rFonts w:ascii="Arial" w:eastAsia="Times New Roman" w:hAnsi="Arial" w:cs="Arial"/>
                <w:b/>
                <w:bCs/>
                <w:color w:val="000000"/>
                <w:sz w:val="18"/>
                <w:szCs w:val="18"/>
                <w:lang w:eastAsia="en-GB"/>
              </w:rPr>
              <w:t>Total</w:t>
            </w:r>
          </w:p>
        </w:tc>
      </w:tr>
      <w:tr w:rsidR="00D301A3" w:rsidRPr="001547AB" w14:paraId="0C3B656A" w14:textId="77777777" w:rsidTr="00833110">
        <w:trPr>
          <w:trHeight w:val="321"/>
        </w:trPr>
        <w:tc>
          <w:tcPr>
            <w:tcW w:w="1020" w:type="dxa"/>
            <w:tcBorders>
              <w:top w:val="nil"/>
              <w:left w:val="single" w:sz="4" w:space="0" w:color="A6A6A6"/>
              <w:bottom w:val="single" w:sz="4" w:space="0" w:color="A6A6A6"/>
              <w:right w:val="single" w:sz="4" w:space="0" w:color="A6A6A6"/>
            </w:tcBorders>
            <w:shd w:val="clear" w:color="000000" w:fill="F2F2F2"/>
            <w:vAlign w:val="center"/>
            <w:hideMark/>
          </w:tcPr>
          <w:p w14:paraId="4E4D6518" w14:textId="77777777" w:rsidR="00D301A3" w:rsidRPr="001547AB" w:rsidRDefault="00D301A3" w:rsidP="00DC54F7">
            <w:pPr>
              <w:spacing w:after="0" w:line="240" w:lineRule="auto"/>
              <w:jc w:val="both"/>
              <w:rPr>
                <w:rFonts w:ascii="Arial" w:eastAsia="Times New Roman" w:hAnsi="Arial" w:cs="Arial"/>
                <w:color w:val="000000"/>
                <w:sz w:val="18"/>
                <w:szCs w:val="18"/>
                <w:lang w:eastAsia="en-GB"/>
              </w:rPr>
            </w:pPr>
            <w:r w:rsidRPr="001547AB">
              <w:rPr>
                <w:rFonts w:ascii="Arial" w:eastAsia="Times New Roman" w:hAnsi="Arial" w:cs="Arial"/>
                <w:color w:val="000000"/>
                <w:sz w:val="18"/>
                <w:szCs w:val="18"/>
                <w:lang w:eastAsia="en-GB"/>
              </w:rPr>
              <w:t>1</w:t>
            </w:r>
          </w:p>
        </w:tc>
        <w:tc>
          <w:tcPr>
            <w:tcW w:w="6508" w:type="dxa"/>
            <w:gridSpan w:val="2"/>
            <w:tcBorders>
              <w:top w:val="single" w:sz="4" w:space="0" w:color="A6A6A6"/>
              <w:left w:val="nil"/>
              <w:bottom w:val="single" w:sz="4" w:space="0" w:color="A6A6A6"/>
              <w:right w:val="single" w:sz="4" w:space="0" w:color="A6A6A6"/>
            </w:tcBorders>
            <w:shd w:val="clear" w:color="auto" w:fill="auto"/>
            <w:vAlign w:val="center"/>
            <w:hideMark/>
          </w:tcPr>
          <w:p w14:paraId="0A2C297B" w14:textId="77777777" w:rsidR="00D301A3" w:rsidRPr="001547AB" w:rsidRDefault="00D301A3" w:rsidP="00DC54F7">
            <w:pPr>
              <w:spacing w:after="0" w:line="240" w:lineRule="auto"/>
              <w:jc w:val="both"/>
              <w:rPr>
                <w:rFonts w:ascii="Arial" w:eastAsia="Times New Roman" w:hAnsi="Arial" w:cs="Arial"/>
                <w:color w:val="000000"/>
                <w:sz w:val="18"/>
                <w:szCs w:val="18"/>
                <w:lang w:eastAsia="en-GB"/>
              </w:rPr>
            </w:pPr>
            <w:r w:rsidRPr="001547AB">
              <w:rPr>
                <w:rFonts w:ascii="Arial" w:eastAsia="Times New Roman" w:hAnsi="Arial" w:cs="Arial"/>
                <w:color w:val="000000"/>
                <w:sz w:val="18"/>
                <w:szCs w:val="18"/>
                <w:lang w:eastAsia="en-GB"/>
              </w:rPr>
              <w:t>Yes</w:t>
            </w:r>
          </w:p>
        </w:tc>
        <w:tc>
          <w:tcPr>
            <w:tcW w:w="1205" w:type="dxa"/>
            <w:tcBorders>
              <w:top w:val="nil"/>
              <w:left w:val="nil"/>
              <w:bottom w:val="single" w:sz="4" w:space="0" w:color="A6A6A6"/>
              <w:right w:val="single" w:sz="4" w:space="0" w:color="A6A6A6"/>
            </w:tcBorders>
            <w:shd w:val="clear" w:color="000000" w:fill="F2F2F2"/>
            <w:noWrap/>
            <w:vAlign w:val="bottom"/>
            <w:hideMark/>
          </w:tcPr>
          <w:p w14:paraId="5B400C67" w14:textId="77777777" w:rsidR="00D301A3" w:rsidRPr="001547AB" w:rsidRDefault="00D301A3" w:rsidP="00DC54F7">
            <w:pPr>
              <w:spacing w:after="0" w:line="240" w:lineRule="auto"/>
              <w:jc w:val="both"/>
              <w:rPr>
                <w:rFonts w:ascii="Calibri" w:eastAsia="Times New Roman" w:hAnsi="Calibri" w:cs="Calibri"/>
                <w:color w:val="000000"/>
                <w:lang w:eastAsia="en-GB"/>
              </w:rPr>
            </w:pPr>
            <w:r w:rsidRPr="001547AB">
              <w:rPr>
                <w:rFonts w:ascii="Calibri" w:eastAsia="Times New Roman" w:hAnsi="Calibri" w:cs="Calibri"/>
                <w:color w:val="000000"/>
                <w:lang w:eastAsia="en-GB"/>
              </w:rPr>
              <w:t>55.52%</w:t>
            </w:r>
          </w:p>
        </w:tc>
        <w:tc>
          <w:tcPr>
            <w:tcW w:w="987" w:type="dxa"/>
            <w:tcBorders>
              <w:top w:val="nil"/>
              <w:left w:val="nil"/>
              <w:bottom w:val="single" w:sz="4" w:space="0" w:color="A6A6A6"/>
              <w:right w:val="single" w:sz="4" w:space="0" w:color="A6A6A6"/>
            </w:tcBorders>
            <w:shd w:val="clear" w:color="000000" w:fill="F2F2F2"/>
            <w:noWrap/>
            <w:vAlign w:val="bottom"/>
            <w:hideMark/>
          </w:tcPr>
          <w:p w14:paraId="4328B884" w14:textId="77777777" w:rsidR="00D301A3" w:rsidRPr="001547AB" w:rsidRDefault="00D301A3" w:rsidP="00DC54F7">
            <w:pPr>
              <w:spacing w:after="0" w:line="240" w:lineRule="auto"/>
              <w:jc w:val="both"/>
              <w:rPr>
                <w:rFonts w:ascii="Calibri" w:eastAsia="Times New Roman" w:hAnsi="Calibri" w:cs="Calibri"/>
                <w:color w:val="000000"/>
                <w:lang w:eastAsia="en-GB"/>
              </w:rPr>
            </w:pPr>
            <w:r w:rsidRPr="001547AB">
              <w:rPr>
                <w:rFonts w:ascii="Calibri" w:eastAsia="Times New Roman" w:hAnsi="Calibri" w:cs="Calibri"/>
                <w:color w:val="000000"/>
                <w:lang w:eastAsia="en-GB"/>
              </w:rPr>
              <w:t>171</w:t>
            </w:r>
          </w:p>
        </w:tc>
      </w:tr>
      <w:tr w:rsidR="00D301A3" w:rsidRPr="001547AB" w14:paraId="442FB376" w14:textId="77777777" w:rsidTr="00833110">
        <w:trPr>
          <w:trHeight w:val="321"/>
        </w:trPr>
        <w:tc>
          <w:tcPr>
            <w:tcW w:w="102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5DAE5598" w14:textId="77777777" w:rsidR="00D301A3" w:rsidRPr="001547AB" w:rsidRDefault="00D301A3" w:rsidP="00DC54F7">
            <w:pPr>
              <w:spacing w:after="0" w:line="240" w:lineRule="auto"/>
              <w:jc w:val="both"/>
              <w:rPr>
                <w:rFonts w:ascii="Arial" w:eastAsia="Times New Roman" w:hAnsi="Arial" w:cs="Arial"/>
                <w:color w:val="000000"/>
                <w:sz w:val="18"/>
                <w:szCs w:val="18"/>
                <w:lang w:eastAsia="en-GB"/>
              </w:rPr>
            </w:pPr>
            <w:r w:rsidRPr="001547AB">
              <w:rPr>
                <w:rFonts w:ascii="Arial" w:eastAsia="Times New Roman" w:hAnsi="Arial" w:cs="Arial"/>
                <w:color w:val="000000"/>
                <w:sz w:val="18"/>
                <w:szCs w:val="18"/>
                <w:lang w:eastAsia="en-GB"/>
              </w:rPr>
              <w:t>2</w:t>
            </w:r>
          </w:p>
        </w:tc>
        <w:tc>
          <w:tcPr>
            <w:tcW w:w="6508" w:type="dxa"/>
            <w:gridSpan w:val="2"/>
            <w:tcBorders>
              <w:top w:val="single" w:sz="4" w:space="0" w:color="A6A6A6"/>
              <w:left w:val="nil"/>
              <w:bottom w:val="single" w:sz="4" w:space="0" w:color="A6A6A6"/>
              <w:right w:val="single" w:sz="4" w:space="0" w:color="A6A6A6"/>
            </w:tcBorders>
            <w:shd w:val="clear" w:color="auto" w:fill="auto"/>
            <w:vAlign w:val="center"/>
            <w:hideMark/>
          </w:tcPr>
          <w:p w14:paraId="04168A01" w14:textId="77777777" w:rsidR="00D301A3" w:rsidRPr="001547AB" w:rsidRDefault="00D301A3" w:rsidP="00DC54F7">
            <w:pPr>
              <w:spacing w:after="0" w:line="240" w:lineRule="auto"/>
              <w:jc w:val="both"/>
              <w:rPr>
                <w:rFonts w:ascii="Arial" w:eastAsia="Times New Roman" w:hAnsi="Arial" w:cs="Arial"/>
                <w:color w:val="000000"/>
                <w:sz w:val="18"/>
                <w:szCs w:val="18"/>
                <w:lang w:eastAsia="en-GB"/>
              </w:rPr>
            </w:pPr>
            <w:r w:rsidRPr="001547AB">
              <w:rPr>
                <w:rFonts w:ascii="Arial" w:eastAsia="Times New Roman" w:hAnsi="Arial" w:cs="Arial"/>
                <w:color w:val="000000"/>
                <w:sz w:val="18"/>
                <w:szCs w:val="18"/>
                <w:lang w:eastAsia="en-GB"/>
              </w:rPr>
              <w:t>No</w:t>
            </w:r>
          </w:p>
        </w:tc>
        <w:tc>
          <w:tcPr>
            <w:tcW w:w="1205" w:type="dxa"/>
            <w:tcBorders>
              <w:top w:val="nil"/>
              <w:left w:val="nil"/>
              <w:bottom w:val="single" w:sz="4" w:space="0" w:color="A6A6A6"/>
              <w:right w:val="single" w:sz="4" w:space="0" w:color="A6A6A6"/>
            </w:tcBorders>
            <w:shd w:val="clear" w:color="000000" w:fill="F2F2F2"/>
            <w:noWrap/>
            <w:vAlign w:val="bottom"/>
            <w:hideMark/>
          </w:tcPr>
          <w:p w14:paraId="6FB8FD69" w14:textId="77777777" w:rsidR="00D301A3" w:rsidRPr="001547AB" w:rsidRDefault="00D301A3" w:rsidP="00DC54F7">
            <w:pPr>
              <w:spacing w:after="0" w:line="240" w:lineRule="auto"/>
              <w:jc w:val="both"/>
              <w:rPr>
                <w:rFonts w:ascii="Calibri" w:eastAsia="Times New Roman" w:hAnsi="Calibri" w:cs="Calibri"/>
                <w:color w:val="000000"/>
                <w:lang w:eastAsia="en-GB"/>
              </w:rPr>
            </w:pPr>
            <w:r w:rsidRPr="001547AB">
              <w:rPr>
                <w:rFonts w:ascii="Calibri" w:eastAsia="Times New Roman" w:hAnsi="Calibri" w:cs="Calibri"/>
                <w:color w:val="000000"/>
                <w:lang w:eastAsia="en-GB"/>
              </w:rPr>
              <w:t>9.74%</w:t>
            </w:r>
          </w:p>
        </w:tc>
        <w:tc>
          <w:tcPr>
            <w:tcW w:w="987" w:type="dxa"/>
            <w:tcBorders>
              <w:top w:val="nil"/>
              <w:left w:val="nil"/>
              <w:bottom w:val="single" w:sz="4" w:space="0" w:color="A6A6A6"/>
              <w:right w:val="single" w:sz="4" w:space="0" w:color="A6A6A6"/>
            </w:tcBorders>
            <w:shd w:val="clear" w:color="000000" w:fill="F2F2F2"/>
            <w:noWrap/>
            <w:vAlign w:val="bottom"/>
            <w:hideMark/>
          </w:tcPr>
          <w:p w14:paraId="26DE9610" w14:textId="77777777" w:rsidR="00D301A3" w:rsidRPr="001547AB" w:rsidRDefault="00D301A3" w:rsidP="00DC54F7">
            <w:pPr>
              <w:spacing w:after="0" w:line="240" w:lineRule="auto"/>
              <w:jc w:val="both"/>
              <w:rPr>
                <w:rFonts w:ascii="Calibri" w:eastAsia="Times New Roman" w:hAnsi="Calibri" w:cs="Calibri"/>
                <w:color w:val="000000"/>
                <w:lang w:eastAsia="en-GB"/>
              </w:rPr>
            </w:pPr>
            <w:r w:rsidRPr="001547AB">
              <w:rPr>
                <w:rFonts w:ascii="Calibri" w:eastAsia="Times New Roman" w:hAnsi="Calibri" w:cs="Calibri"/>
                <w:color w:val="000000"/>
                <w:lang w:eastAsia="en-GB"/>
              </w:rPr>
              <w:t>30</w:t>
            </w:r>
          </w:p>
        </w:tc>
      </w:tr>
      <w:tr w:rsidR="00D301A3" w:rsidRPr="001547AB" w14:paraId="534A0B39" w14:textId="77777777" w:rsidTr="00833110">
        <w:trPr>
          <w:trHeight w:val="321"/>
        </w:trPr>
        <w:tc>
          <w:tcPr>
            <w:tcW w:w="102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750492ED" w14:textId="77777777" w:rsidR="00D301A3" w:rsidRPr="001547AB" w:rsidRDefault="00D301A3" w:rsidP="00DC54F7">
            <w:pPr>
              <w:spacing w:after="0" w:line="240" w:lineRule="auto"/>
              <w:jc w:val="both"/>
              <w:rPr>
                <w:rFonts w:ascii="Arial" w:eastAsia="Times New Roman" w:hAnsi="Arial" w:cs="Arial"/>
                <w:color w:val="000000"/>
                <w:sz w:val="18"/>
                <w:szCs w:val="18"/>
                <w:lang w:eastAsia="en-GB"/>
              </w:rPr>
            </w:pPr>
            <w:r w:rsidRPr="001547AB">
              <w:rPr>
                <w:rFonts w:ascii="Arial" w:eastAsia="Times New Roman" w:hAnsi="Arial" w:cs="Arial"/>
                <w:color w:val="000000"/>
                <w:sz w:val="18"/>
                <w:szCs w:val="18"/>
                <w:lang w:eastAsia="en-GB"/>
              </w:rPr>
              <w:t>3</w:t>
            </w:r>
          </w:p>
        </w:tc>
        <w:tc>
          <w:tcPr>
            <w:tcW w:w="6508" w:type="dxa"/>
            <w:gridSpan w:val="2"/>
            <w:tcBorders>
              <w:top w:val="single" w:sz="4" w:space="0" w:color="A6A6A6"/>
              <w:left w:val="nil"/>
              <w:bottom w:val="single" w:sz="4" w:space="0" w:color="A6A6A6"/>
              <w:right w:val="single" w:sz="4" w:space="0" w:color="A6A6A6"/>
            </w:tcBorders>
            <w:shd w:val="clear" w:color="auto" w:fill="auto"/>
            <w:vAlign w:val="center"/>
            <w:hideMark/>
          </w:tcPr>
          <w:p w14:paraId="4B857EDD" w14:textId="77777777" w:rsidR="00D301A3" w:rsidRPr="001547AB" w:rsidRDefault="00D301A3" w:rsidP="00DC54F7">
            <w:pPr>
              <w:spacing w:after="0" w:line="240" w:lineRule="auto"/>
              <w:jc w:val="both"/>
              <w:rPr>
                <w:rFonts w:ascii="Arial" w:eastAsia="Times New Roman" w:hAnsi="Arial" w:cs="Arial"/>
                <w:color w:val="000000"/>
                <w:sz w:val="18"/>
                <w:szCs w:val="18"/>
                <w:lang w:eastAsia="en-GB"/>
              </w:rPr>
            </w:pPr>
            <w:r w:rsidRPr="001547AB">
              <w:rPr>
                <w:rFonts w:ascii="Arial" w:eastAsia="Times New Roman" w:hAnsi="Arial" w:cs="Arial"/>
                <w:color w:val="000000"/>
                <w:sz w:val="18"/>
                <w:szCs w:val="18"/>
                <w:lang w:eastAsia="en-GB"/>
              </w:rPr>
              <w:t>Never needed to</w:t>
            </w:r>
          </w:p>
        </w:tc>
        <w:tc>
          <w:tcPr>
            <w:tcW w:w="1205" w:type="dxa"/>
            <w:tcBorders>
              <w:top w:val="nil"/>
              <w:left w:val="nil"/>
              <w:bottom w:val="single" w:sz="4" w:space="0" w:color="A6A6A6"/>
              <w:right w:val="single" w:sz="4" w:space="0" w:color="A6A6A6"/>
            </w:tcBorders>
            <w:shd w:val="clear" w:color="000000" w:fill="F2F2F2"/>
            <w:noWrap/>
            <w:vAlign w:val="bottom"/>
            <w:hideMark/>
          </w:tcPr>
          <w:p w14:paraId="5B60CC5C" w14:textId="77777777" w:rsidR="00D301A3" w:rsidRPr="001547AB" w:rsidRDefault="00D301A3" w:rsidP="00DC54F7">
            <w:pPr>
              <w:spacing w:after="0" w:line="240" w:lineRule="auto"/>
              <w:jc w:val="both"/>
              <w:rPr>
                <w:rFonts w:ascii="Calibri" w:eastAsia="Times New Roman" w:hAnsi="Calibri" w:cs="Calibri"/>
                <w:color w:val="000000"/>
                <w:lang w:eastAsia="en-GB"/>
              </w:rPr>
            </w:pPr>
            <w:r w:rsidRPr="001547AB">
              <w:rPr>
                <w:rFonts w:ascii="Calibri" w:eastAsia="Times New Roman" w:hAnsi="Calibri" w:cs="Calibri"/>
                <w:color w:val="000000"/>
                <w:lang w:eastAsia="en-GB"/>
              </w:rPr>
              <w:t>31.49%</w:t>
            </w:r>
          </w:p>
        </w:tc>
        <w:tc>
          <w:tcPr>
            <w:tcW w:w="987" w:type="dxa"/>
            <w:tcBorders>
              <w:top w:val="nil"/>
              <w:left w:val="nil"/>
              <w:bottom w:val="single" w:sz="4" w:space="0" w:color="A6A6A6"/>
              <w:right w:val="single" w:sz="4" w:space="0" w:color="A6A6A6"/>
            </w:tcBorders>
            <w:shd w:val="clear" w:color="000000" w:fill="F2F2F2"/>
            <w:noWrap/>
            <w:vAlign w:val="bottom"/>
            <w:hideMark/>
          </w:tcPr>
          <w:p w14:paraId="2B8CCABA" w14:textId="77777777" w:rsidR="00D301A3" w:rsidRPr="001547AB" w:rsidRDefault="00D301A3" w:rsidP="00DC54F7">
            <w:pPr>
              <w:spacing w:after="0" w:line="240" w:lineRule="auto"/>
              <w:jc w:val="both"/>
              <w:rPr>
                <w:rFonts w:ascii="Calibri" w:eastAsia="Times New Roman" w:hAnsi="Calibri" w:cs="Calibri"/>
                <w:color w:val="000000"/>
                <w:lang w:eastAsia="en-GB"/>
              </w:rPr>
            </w:pPr>
            <w:r w:rsidRPr="001547AB">
              <w:rPr>
                <w:rFonts w:ascii="Calibri" w:eastAsia="Times New Roman" w:hAnsi="Calibri" w:cs="Calibri"/>
                <w:color w:val="000000"/>
                <w:lang w:eastAsia="en-GB"/>
              </w:rPr>
              <w:t>97</w:t>
            </w:r>
          </w:p>
        </w:tc>
      </w:tr>
      <w:tr w:rsidR="00D301A3" w:rsidRPr="001547AB" w14:paraId="192DFD6C" w14:textId="77777777" w:rsidTr="00833110">
        <w:trPr>
          <w:trHeight w:val="321"/>
        </w:trPr>
        <w:tc>
          <w:tcPr>
            <w:tcW w:w="1020" w:type="dxa"/>
            <w:tcBorders>
              <w:top w:val="nil"/>
              <w:left w:val="single" w:sz="4" w:space="0" w:color="A6A6A6"/>
              <w:bottom w:val="single" w:sz="4" w:space="0" w:color="A6A6A6"/>
              <w:right w:val="single" w:sz="4" w:space="0" w:color="A6A6A6"/>
            </w:tcBorders>
            <w:shd w:val="clear" w:color="auto" w:fill="F2F2F2" w:themeFill="background1" w:themeFillShade="F2"/>
            <w:vAlign w:val="center"/>
            <w:hideMark/>
          </w:tcPr>
          <w:p w14:paraId="5A9D78C0" w14:textId="77777777" w:rsidR="00D301A3" w:rsidRPr="001547AB" w:rsidRDefault="00D301A3" w:rsidP="00DC54F7">
            <w:pPr>
              <w:spacing w:after="0" w:line="240" w:lineRule="auto"/>
              <w:jc w:val="both"/>
              <w:rPr>
                <w:rFonts w:ascii="Arial" w:eastAsia="Times New Roman" w:hAnsi="Arial" w:cs="Arial"/>
                <w:color w:val="000000"/>
                <w:sz w:val="18"/>
                <w:szCs w:val="18"/>
                <w:lang w:eastAsia="en-GB"/>
              </w:rPr>
            </w:pPr>
            <w:r w:rsidRPr="001547AB">
              <w:rPr>
                <w:rFonts w:ascii="Arial" w:eastAsia="Times New Roman" w:hAnsi="Arial" w:cs="Arial"/>
                <w:color w:val="000000"/>
                <w:sz w:val="18"/>
                <w:szCs w:val="18"/>
                <w:lang w:eastAsia="en-GB"/>
              </w:rPr>
              <w:t>4</w:t>
            </w:r>
          </w:p>
        </w:tc>
        <w:tc>
          <w:tcPr>
            <w:tcW w:w="6508" w:type="dxa"/>
            <w:gridSpan w:val="2"/>
            <w:tcBorders>
              <w:top w:val="single" w:sz="4" w:space="0" w:color="A6A6A6"/>
              <w:left w:val="nil"/>
              <w:bottom w:val="single" w:sz="4" w:space="0" w:color="A6A6A6"/>
              <w:right w:val="single" w:sz="4" w:space="0" w:color="A6A6A6"/>
            </w:tcBorders>
            <w:shd w:val="clear" w:color="auto" w:fill="auto"/>
            <w:vAlign w:val="center"/>
            <w:hideMark/>
          </w:tcPr>
          <w:p w14:paraId="662E3EEE" w14:textId="77777777" w:rsidR="00D301A3" w:rsidRPr="001547AB" w:rsidRDefault="00D301A3" w:rsidP="00DC54F7">
            <w:pPr>
              <w:spacing w:after="0" w:line="240" w:lineRule="auto"/>
              <w:jc w:val="both"/>
              <w:rPr>
                <w:rFonts w:ascii="Arial" w:eastAsia="Times New Roman" w:hAnsi="Arial" w:cs="Arial"/>
                <w:color w:val="000000"/>
                <w:sz w:val="18"/>
                <w:szCs w:val="18"/>
                <w:lang w:eastAsia="en-GB"/>
              </w:rPr>
            </w:pPr>
            <w:r w:rsidRPr="001547AB">
              <w:rPr>
                <w:rFonts w:ascii="Arial" w:eastAsia="Times New Roman" w:hAnsi="Arial" w:cs="Arial"/>
                <w:color w:val="000000"/>
                <w:sz w:val="18"/>
                <w:szCs w:val="18"/>
                <w:lang w:eastAsia="en-GB"/>
              </w:rPr>
              <w:t>Don’t know</w:t>
            </w:r>
          </w:p>
        </w:tc>
        <w:tc>
          <w:tcPr>
            <w:tcW w:w="1205" w:type="dxa"/>
            <w:tcBorders>
              <w:top w:val="nil"/>
              <w:left w:val="nil"/>
              <w:bottom w:val="single" w:sz="4" w:space="0" w:color="A6A6A6"/>
              <w:right w:val="single" w:sz="4" w:space="0" w:color="A6A6A6"/>
            </w:tcBorders>
            <w:shd w:val="clear" w:color="000000" w:fill="F2F2F2"/>
            <w:noWrap/>
            <w:vAlign w:val="bottom"/>
            <w:hideMark/>
          </w:tcPr>
          <w:p w14:paraId="173120DB" w14:textId="77777777" w:rsidR="00D301A3" w:rsidRPr="001547AB" w:rsidRDefault="00D301A3" w:rsidP="00DC54F7">
            <w:pPr>
              <w:spacing w:after="0" w:line="240" w:lineRule="auto"/>
              <w:jc w:val="both"/>
              <w:rPr>
                <w:rFonts w:ascii="Calibri" w:eastAsia="Times New Roman" w:hAnsi="Calibri" w:cs="Calibri"/>
                <w:color w:val="000000"/>
                <w:lang w:eastAsia="en-GB"/>
              </w:rPr>
            </w:pPr>
            <w:r w:rsidRPr="001547AB">
              <w:rPr>
                <w:rFonts w:ascii="Calibri" w:eastAsia="Times New Roman" w:hAnsi="Calibri" w:cs="Calibri"/>
                <w:color w:val="000000"/>
                <w:lang w:eastAsia="en-GB"/>
              </w:rPr>
              <w:t>3.25%</w:t>
            </w:r>
          </w:p>
        </w:tc>
        <w:tc>
          <w:tcPr>
            <w:tcW w:w="987" w:type="dxa"/>
            <w:tcBorders>
              <w:top w:val="nil"/>
              <w:left w:val="nil"/>
              <w:bottom w:val="single" w:sz="4" w:space="0" w:color="A6A6A6"/>
              <w:right w:val="single" w:sz="4" w:space="0" w:color="A6A6A6"/>
            </w:tcBorders>
            <w:shd w:val="clear" w:color="000000" w:fill="F2F2F2"/>
            <w:noWrap/>
            <w:vAlign w:val="bottom"/>
            <w:hideMark/>
          </w:tcPr>
          <w:p w14:paraId="52C636B7" w14:textId="77777777" w:rsidR="00D301A3" w:rsidRPr="001547AB" w:rsidRDefault="00D301A3" w:rsidP="00DC54F7">
            <w:pPr>
              <w:spacing w:after="0" w:line="240" w:lineRule="auto"/>
              <w:jc w:val="both"/>
              <w:rPr>
                <w:rFonts w:ascii="Calibri" w:eastAsia="Times New Roman" w:hAnsi="Calibri" w:cs="Calibri"/>
                <w:color w:val="000000"/>
                <w:lang w:eastAsia="en-GB"/>
              </w:rPr>
            </w:pPr>
            <w:r w:rsidRPr="001547AB">
              <w:rPr>
                <w:rFonts w:ascii="Calibri" w:eastAsia="Times New Roman" w:hAnsi="Calibri" w:cs="Calibri"/>
                <w:color w:val="000000"/>
                <w:lang w:eastAsia="en-GB"/>
              </w:rPr>
              <w:t>10</w:t>
            </w:r>
          </w:p>
        </w:tc>
      </w:tr>
      <w:tr w:rsidR="00D301A3" w:rsidRPr="001547AB" w14:paraId="20121A94" w14:textId="77777777" w:rsidTr="00833110">
        <w:trPr>
          <w:trHeight w:val="321"/>
        </w:trPr>
        <w:tc>
          <w:tcPr>
            <w:tcW w:w="6553"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145FE424" w14:textId="77777777" w:rsidR="00D301A3" w:rsidRPr="001547AB" w:rsidRDefault="00D301A3" w:rsidP="00DC54F7">
            <w:pPr>
              <w:spacing w:after="0" w:line="240" w:lineRule="auto"/>
              <w:jc w:val="both"/>
              <w:rPr>
                <w:rFonts w:ascii="Arial" w:eastAsia="Times New Roman" w:hAnsi="Arial" w:cs="Arial"/>
                <w:b/>
                <w:bCs/>
                <w:color w:val="000000"/>
                <w:lang w:eastAsia="en-GB"/>
              </w:rPr>
            </w:pPr>
            <w:r w:rsidRPr="001547AB">
              <w:rPr>
                <w:rFonts w:ascii="Arial" w:eastAsia="Times New Roman" w:hAnsi="Arial" w:cs="Arial"/>
                <w:b/>
                <w:bCs/>
                <w:color w:val="000000"/>
                <w:lang w:eastAsia="en-GB"/>
              </w:rPr>
              <w:t> </w:t>
            </w:r>
          </w:p>
        </w:tc>
        <w:tc>
          <w:tcPr>
            <w:tcW w:w="974" w:type="dxa"/>
            <w:tcBorders>
              <w:top w:val="nil"/>
              <w:left w:val="nil"/>
              <w:bottom w:val="single" w:sz="4" w:space="0" w:color="A6A6A6"/>
              <w:right w:val="single" w:sz="4" w:space="0" w:color="A6A6A6"/>
            </w:tcBorders>
            <w:shd w:val="clear" w:color="000000" w:fill="F2F2F2"/>
            <w:vAlign w:val="center"/>
            <w:hideMark/>
          </w:tcPr>
          <w:p w14:paraId="3DBFECA1" w14:textId="77777777" w:rsidR="00D301A3" w:rsidRPr="001547AB" w:rsidRDefault="00D301A3" w:rsidP="00DC54F7">
            <w:pPr>
              <w:spacing w:after="0" w:line="240" w:lineRule="auto"/>
              <w:jc w:val="both"/>
              <w:rPr>
                <w:rFonts w:ascii="Arial" w:eastAsia="Times New Roman" w:hAnsi="Arial" w:cs="Arial"/>
                <w:b/>
                <w:bCs/>
                <w:color w:val="000000"/>
                <w:sz w:val="18"/>
                <w:szCs w:val="18"/>
                <w:lang w:eastAsia="en-GB"/>
              </w:rPr>
            </w:pPr>
            <w:r w:rsidRPr="001547AB">
              <w:rPr>
                <w:rFonts w:ascii="Arial" w:eastAsia="Times New Roman" w:hAnsi="Arial" w:cs="Arial"/>
                <w:b/>
                <w:bCs/>
                <w:color w:val="000000"/>
                <w:sz w:val="18"/>
                <w:szCs w:val="18"/>
                <w:lang w:eastAsia="en-GB"/>
              </w:rPr>
              <w:t xml:space="preserve">Total </w:t>
            </w:r>
          </w:p>
        </w:tc>
        <w:tc>
          <w:tcPr>
            <w:tcW w:w="1205" w:type="dxa"/>
            <w:tcBorders>
              <w:top w:val="nil"/>
              <w:left w:val="nil"/>
              <w:bottom w:val="single" w:sz="4" w:space="0" w:color="A6A6A6"/>
              <w:right w:val="single" w:sz="4" w:space="0" w:color="A6A6A6"/>
            </w:tcBorders>
            <w:shd w:val="clear" w:color="000000" w:fill="F2F2F2"/>
            <w:noWrap/>
            <w:vAlign w:val="bottom"/>
            <w:hideMark/>
          </w:tcPr>
          <w:p w14:paraId="06E5B522" w14:textId="77777777" w:rsidR="00D301A3" w:rsidRPr="001547AB" w:rsidRDefault="00D301A3" w:rsidP="00DC54F7">
            <w:pPr>
              <w:spacing w:after="0" w:line="240" w:lineRule="auto"/>
              <w:jc w:val="both"/>
              <w:rPr>
                <w:rFonts w:ascii="Calibri" w:eastAsia="Times New Roman" w:hAnsi="Calibri" w:cs="Calibri"/>
                <w:color w:val="000000"/>
                <w:lang w:eastAsia="en-GB"/>
              </w:rPr>
            </w:pPr>
            <w:r w:rsidRPr="001547AB">
              <w:rPr>
                <w:rFonts w:ascii="Calibri" w:eastAsia="Times New Roman" w:hAnsi="Calibri" w:cs="Calibri"/>
                <w:color w:val="000000"/>
                <w:lang w:eastAsia="en-GB"/>
              </w:rPr>
              <w:t>100.00%</w:t>
            </w:r>
          </w:p>
        </w:tc>
        <w:tc>
          <w:tcPr>
            <w:tcW w:w="987" w:type="dxa"/>
            <w:tcBorders>
              <w:top w:val="nil"/>
              <w:left w:val="nil"/>
              <w:bottom w:val="single" w:sz="4" w:space="0" w:color="A6A6A6"/>
              <w:right w:val="single" w:sz="4" w:space="0" w:color="A6A6A6"/>
            </w:tcBorders>
            <w:shd w:val="clear" w:color="000000" w:fill="F2F2F2"/>
            <w:noWrap/>
            <w:vAlign w:val="bottom"/>
            <w:hideMark/>
          </w:tcPr>
          <w:p w14:paraId="35628842" w14:textId="77777777" w:rsidR="00D301A3" w:rsidRPr="001547AB" w:rsidRDefault="00D301A3" w:rsidP="00DC54F7">
            <w:pPr>
              <w:spacing w:after="0" w:line="240" w:lineRule="auto"/>
              <w:jc w:val="both"/>
              <w:rPr>
                <w:rFonts w:ascii="Calibri" w:eastAsia="Times New Roman" w:hAnsi="Calibri" w:cs="Calibri"/>
                <w:color w:val="000000"/>
                <w:lang w:eastAsia="en-GB"/>
              </w:rPr>
            </w:pPr>
            <w:r w:rsidRPr="001547AB">
              <w:rPr>
                <w:rFonts w:ascii="Calibri" w:eastAsia="Times New Roman" w:hAnsi="Calibri" w:cs="Calibri"/>
                <w:color w:val="000000"/>
                <w:lang w:eastAsia="en-GB"/>
              </w:rPr>
              <w:t>308</w:t>
            </w:r>
          </w:p>
        </w:tc>
      </w:tr>
      <w:tr w:rsidR="00D301A3" w:rsidRPr="001547AB" w14:paraId="2957A96B" w14:textId="77777777" w:rsidTr="00833110">
        <w:trPr>
          <w:trHeight w:val="321"/>
        </w:trPr>
        <w:tc>
          <w:tcPr>
            <w:tcW w:w="6553" w:type="dxa"/>
            <w:gridSpan w:val="2"/>
            <w:vMerge/>
            <w:tcBorders>
              <w:top w:val="single" w:sz="4" w:space="0" w:color="A6A6A6"/>
              <w:left w:val="single" w:sz="4" w:space="0" w:color="A6A6A6"/>
              <w:bottom w:val="single" w:sz="4" w:space="0" w:color="A6A6A6"/>
              <w:right w:val="single" w:sz="4" w:space="0" w:color="A6A6A6"/>
            </w:tcBorders>
            <w:vAlign w:val="center"/>
            <w:hideMark/>
          </w:tcPr>
          <w:p w14:paraId="719267FE" w14:textId="77777777" w:rsidR="00D301A3" w:rsidRPr="001547AB" w:rsidRDefault="00D301A3" w:rsidP="00DC54F7">
            <w:pPr>
              <w:spacing w:after="0" w:line="240" w:lineRule="auto"/>
              <w:jc w:val="both"/>
              <w:rPr>
                <w:rFonts w:ascii="Arial" w:eastAsia="Times New Roman" w:hAnsi="Arial" w:cs="Arial"/>
                <w:b/>
                <w:bCs/>
                <w:color w:val="000000"/>
                <w:lang w:eastAsia="en-GB"/>
              </w:rPr>
            </w:pPr>
          </w:p>
        </w:tc>
        <w:tc>
          <w:tcPr>
            <w:tcW w:w="974" w:type="dxa"/>
            <w:tcBorders>
              <w:top w:val="nil"/>
              <w:left w:val="nil"/>
              <w:bottom w:val="single" w:sz="4" w:space="0" w:color="A6A6A6"/>
              <w:right w:val="single" w:sz="4" w:space="0" w:color="A6A6A6"/>
            </w:tcBorders>
            <w:shd w:val="clear" w:color="000000" w:fill="F2F2F2"/>
            <w:vAlign w:val="center"/>
            <w:hideMark/>
          </w:tcPr>
          <w:p w14:paraId="18AC7F60" w14:textId="77777777" w:rsidR="00D301A3" w:rsidRPr="001547AB" w:rsidRDefault="00D301A3" w:rsidP="00DC54F7">
            <w:pPr>
              <w:spacing w:after="0" w:line="240" w:lineRule="auto"/>
              <w:jc w:val="both"/>
              <w:rPr>
                <w:rFonts w:ascii="Arial" w:eastAsia="Times New Roman" w:hAnsi="Arial" w:cs="Arial"/>
                <w:b/>
                <w:bCs/>
                <w:color w:val="000000"/>
                <w:sz w:val="18"/>
                <w:szCs w:val="18"/>
                <w:lang w:eastAsia="en-GB"/>
              </w:rPr>
            </w:pPr>
            <w:r w:rsidRPr="001547AB">
              <w:rPr>
                <w:rFonts w:ascii="Arial" w:eastAsia="Times New Roman" w:hAnsi="Arial" w:cs="Arial"/>
                <w:b/>
                <w:bCs/>
                <w:color w:val="000000"/>
                <w:sz w:val="18"/>
                <w:szCs w:val="18"/>
                <w:lang w:eastAsia="en-GB"/>
              </w:rPr>
              <w:t>Skipped</w:t>
            </w:r>
          </w:p>
        </w:tc>
        <w:tc>
          <w:tcPr>
            <w:tcW w:w="1205" w:type="dxa"/>
            <w:tcBorders>
              <w:top w:val="nil"/>
              <w:left w:val="nil"/>
              <w:bottom w:val="single" w:sz="4" w:space="0" w:color="A6A6A6"/>
              <w:right w:val="single" w:sz="4" w:space="0" w:color="A6A6A6"/>
            </w:tcBorders>
            <w:shd w:val="clear" w:color="000000" w:fill="F2F2F2"/>
            <w:noWrap/>
            <w:vAlign w:val="bottom"/>
            <w:hideMark/>
          </w:tcPr>
          <w:p w14:paraId="2C9F4258" w14:textId="77777777" w:rsidR="00D301A3" w:rsidRPr="001547AB" w:rsidRDefault="00D301A3" w:rsidP="00DC54F7">
            <w:pPr>
              <w:spacing w:after="0" w:line="240" w:lineRule="auto"/>
              <w:jc w:val="both"/>
              <w:rPr>
                <w:rFonts w:ascii="Calibri" w:eastAsia="Times New Roman" w:hAnsi="Calibri" w:cs="Calibri"/>
                <w:color w:val="000000"/>
                <w:lang w:eastAsia="en-GB"/>
              </w:rPr>
            </w:pPr>
            <w:r w:rsidRPr="001547AB">
              <w:rPr>
                <w:rFonts w:ascii="Calibri" w:eastAsia="Times New Roman" w:hAnsi="Calibri" w:cs="Calibri"/>
                <w:color w:val="000000"/>
                <w:lang w:eastAsia="en-GB"/>
              </w:rPr>
              <w:t> </w:t>
            </w:r>
          </w:p>
        </w:tc>
        <w:tc>
          <w:tcPr>
            <w:tcW w:w="987" w:type="dxa"/>
            <w:tcBorders>
              <w:top w:val="nil"/>
              <w:left w:val="nil"/>
              <w:bottom w:val="single" w:sz="4" w:space="0" w:color="A6A6A6"/>
              <w:right w:val="single" w:sz="4" w:space="0" w:color="A6A6A6"/>
            </w:tcBorders>
            <w:shd w:val="clear" w:color="000000" w:fill="F2F2F2"/>
            <w:noWrap/>
            <w:vAlign w:val="bottom"/>
            <w:hideMark/>
          </w:tcPr>
          <w:p w14:paraId="74C0F3D8" w14:textId="77777777" w:rsidR="00D301A3" w:rsidRPr="001547AB" w:rsidRDefault="00D301A3" w:rsidP="00DC54F7">
            <w:pPr>
              <w:spacing w:after="0" w:line="240" w:lineRule="auto"/>
              <w:jc w:val="both"/>
              <w:rPr>
                <w:rFonts w:ascii="Calibri" w:eastAsia="Times New Roman" w:hAnsi="Calibri" w:cs="Calibri"/>
                <w:color w:val="000000"/>
                <w:lang w:eastAsia="en-GB"/>
              </w:rPr>
            </w:pPr>
            <w:r w:rsidRPr="001547AB">
              <w:rPr>
                <w:rFonts w:ascii="Calibri" w:eastAsia="Times New Roman" w:hAnsi="Calibri" w:cs="Calibri"/>
                <w:color w:val="000000"/>
                <w:lang w:eastAsia="en-GB"/>
              </w:rPr>
              <w:t>3</w:t>
            </w:r>
          </w:p>
        </w:tc>
      </w:tr>
    </w:tbl>
    <w:p w14:paraId="230B42C4" w14:textId="2CB74C99" w:rsidR="00D301A3" w:rsidRDefault="00D301A3" w:rsidP="00DC54F7">
      <w:pPr>
        <w:spacing w:after="0" w:line="240" w:lineRule="auto"/>
        <w:jc w:val="both"/>
      </w:pPr>
    </w:p>
    <w:p w14:paraId="0F025470" w14:textId="77777777" w:rsidR="001B5C8F" w:rsidRDefault="001B5C8F" w:rsidP="00DC54F7">
      <w:pPr>
        <w:spacing w:after="0" w:line="240" w:lineRule="auto"/>
        <w:jc w:val="both"/>
      </w:pPr>
    </w:p>
    <w:p w14:paraId="644038F8" w14:textId="77777777" w:rsidR="00D301A3" w:rsidRDefault="00D301A3" w:rsidP="00DC54F7">
      <w:pPr>
        <w:spacing w:after="0" w:line="240" w:lineRule="auto"/>
        <w:jc w:val="both"/>
        <w:rPr>
          <w:rFonts w:ascii="Arial" w:eastAsia="Times New Roman" w:hAnsi="Arial" w:cs="Arial"/>
          <w:b/>
          <w:bCs/>
          <w:color w:val="333333"/>
          <w:lang w:eastAsia="en-GB"/>
        </w:rPr>
      </w:pPr>
      <w:r w:rsidRPr="00FE14A4">
        <w:rPr>
          <w:rFonts w:ascii="Arial" w:eastAsia="Times New Roman" w:hAnsi="Arial" w:cs="Arial"/>
          <w:b/>
          <w:bCs/>
          <w:color w:val="333333"/>
          <w:lang w:eastAsia="en-GB"/>
        </w:rPr>
        <w:t>18. Are you aware that you may be able to access the following services from pharmacies as part of the NHS? Please select those that you are aware of.</w:t>
      </w:r>
      <w:r w:rsidRPr="001547AB">
        <w:rPr>
          <w:rFonts w:ascii="Arial" w:eastAsia="Times New Roman" w:hAnsi="Arial" w:cs="Arial"/>
          <w:b/>
          <w:bCs/>
          <w:color w:val="333333"/>
          <w:lang w:eastAsia="en-GB"/>
        </w:rPr>
        <w:t xml:space="preserve"> </w:t>
      </w:r>
    </w:p>
    <w:p w14:paraId="0ED65B56" w14:textId="77777777" w:rsidR="00D301A3" w:rsidRDefault="00D301A3" w:rsidP="00DC54F7">
      <w:pPr>
        <w:spacing w:after="0" w:line="240" w:lineRule="auto"/>
        <w:jc w:val="both"/>
        <w:rPr>
          <w:rFonts w:ascii="Arial" w:eastAsia="Times New Roman" w:hAnsi="Arial" w:cs="Arial"/>
          <w:b/>
          <w:bCs/>
          <w:color w:val="333333"/>
          <w:lang w:eastAsia="en-GB"/>
        </w:rPr>
      </w:pPr>
    </w:p>
    <w:p w14:paraId="507AB288" w14:textId="77777777" w:rsidR="00D301A3" w:rsidRPr="00F33FE2" w:rsidRDefault="00D301A3" w:rsidP="00DC54F7">
      <w:pPr>
        <w:spacing w:after="0" w:line="240" w:lineRule="auto"/>
        <w:jc w:val="both"/>
        <w:rPr>
          <w:rFonts w:ascii="Arial" w:eastAsia="Times New Roman" w:hAnsi="Arial" w:cs="Arial"/>
          <w:b/>
          <w:bCs/>
          <w:color w:val="333333"/>
        </w:rPr>
      </w:pPr>
      <w:r>
        <w:rPr>
          <w:rFonts w:ascii="Arial" w:eastAsia="Times New Roman" w:hAnsi="Arial" w:cs="Arial"/>
          <w:b/>
          <w:bCs/>
          <w:color w:val="333333"/>
        </w:rPr>
        <w:t>(</w:t>
      </w:r>
      <w:r w:rsidRPr="007F0913">
        <w:rPr>
          <w:rFonts w:ascii="Arial" w:hAnsi="Arial" w:cs="Arial"/>
        </w:rPr>
        <w:t>Multiple answers could be given to this question</w:t>
      </w:r>
      <w:r>
        <w:t>)</w:t>
      </w:r>
    </w:p>
    <w:tbl>
      <w:tblPr>
        <w:tblW w:w="9431" w:type="dxa"/>
        <w:tblLook w:val="04A0" w:firstRow="1" w:lastRow="0" w:firstColumn="1" w:lastColumn="0" w:noHBand="0" w:noVBand="1"/>
      </w:tblPr>
      <w:tblGrid>
        <w:gridCol w:w="960"/>
        <w:gridCol w:w="1920"/>
        <w:gridCol w:w="3640"/>
        <w:gridCol w:w="1177"/>
        <w:gridCol w:w="1357"/>
        <w:gridCol w:w="749"/>
      </w:tblGrid>
      <w:tr w:rsidR="001B5C8F" w:rsidRPr="000037A1" w14:paraId="51030CCC" w14:textId="77777777" w:rsidTr="00D939CF">
        <w:trPr>
          <w:trHeight w:val="290"/>
        </w:trPr>
        <w:tc>
          <w:tcPr>
            <w:tcW w:w="6520" w:type="dxa"/>
            <w:gridSpan w:val="3"/>
            <w:tcBorders>
              <w:top w:val="single" w:sz="4" w:space="0" w:color="A6A6A6"/>
              <w:left w:val="single" w:sz="4" w:space="0" w:color="A6A6A6"/>
              <w:bottom w:val="single" w:sz="4" w:space="0" w:color="A6A6A6"/>
              <w:right w:val="nil"/>
            </w:tcBorders>
            <w:shd w:val="clear" w:color="000000" w:fill="8497B0"/>
            <w:noWrap/>
            <w:vAlign w:val="center"/>
            <w:hideMark/>
          </w:tcPr>
          <w:p w14:paraId="28D2A2FD" w14:textId="77777777" w:rsidR="001B5C8F" w:rsidRPr="000037A1" w:rsidRDefault="001B5C8F" w:rsidP="00DC54F7">
            <w:pPr>
              <w:spacing w:after="0" w:line="240" w:lineRule="auto"/>
              <w:jc w:val="both"/>
              <w:rPr>
                <w:rFonts w:ascii="Arial" w:eastAsia="Times New Roman" w:hAnsi="Arial" w:cs="Arial"/>
                <w:b/>
                <w:bCs/>
                <w:color w:val="FFFFFF"/>
                <w:sz w:val="21"/>
                <w:szCs w:val="21"/>
                <w:lang w:eastAsia="en-GB"/>
              </w:rPr>
            </w:pPr>
            <w:r w:rsidRPr="000037A1">
              <w:rPr>
                <w:rFonts w:ascii="Arial" w:eastAsia="Times New Roman" w:hAnsi="Arial" w:cs="Arial"/>
                <w:b/>
                <w:bCs/>
                <w:color w:val="FFFFFF"/>
                <w:sz w:val="21"/>
                <w:szCs w:val="21"/>
                <w:lang w:eastAsia="en-GB"/>
              </w:rPr>
              <w:t> </w:t>
            </w:r>
          </w:p>
        </w:tc>
        <w:tc>
          <w:tcPr>
            <w:tcW w:w="991" w:type="dxa"/>
            <w:tcBorders>
              <w:top w:val="single" w:sz="4" w:space="0" w:color="A6A6A6"/>
              <w:left w:val="nil"/>
              <w:bottom w:val="single" w:sz="4" w:space="0" w:color="A6A6A6"/>
              <w:right w:val="nil"/>
            </w:tcBorders>
            <w:shd w:val="clear" w:color="000000" w:fill="8497B0"/>
            <w:noWrap/>
            <w:vAlign w:val="center"/>
            <w:hideMark/>
          </w:tcPr>
          <w:p w14:paraId="33C37F7B" w14:textId="77777777" w:rsidR="001B5C8F" w:rsidRPr="000037A1" w:rsidRDefault="001B5C8F" w:rsidP="00DC54F7">
            <w:pPr>
              <w:spacing w:after="0" w:line="240" w:lineRule="auto"/>
              <w:jc w:val="both"/>
              <w:rPr>
                <w:rFonts w:ascii="Arial" w:eastAsia="Times New Roman" w:hAnsi="Arial" w:cs="Arial"/>
                <w:b/>
                <w:bCs/>
                <w:color w:val="FFFFFF"/>
                <w:sz w:val="21"/>
                <w:szCs w:val="21"/>
                <w:lang w:eastAsia="en-GB"/>
              </w:rPr>
            </w:pPr>
            <w:r w:rsidRPr="000037A1">
              <w:rPr>
                <w:rFonts w:ascii="Arial" w:eastAsia="Times New Roman" w:hAnsi="Arial" w:cs="Arial"/>
                <w:b/>
                <w:bCs/>
                <w:color w:val="FFFFFF"/>
                <w:sz w:val="21"/>
                <w:szCs w:val="21"/>
                <w:lang w:eastAsia="en-GB"/>
              </w:rPr>
              <w:t> </w:t>
            </w:r>
          </w:p>
        </w:tc>
        <w:tc>
          <w:tcPr>
            <w:tcW w:w="1920" w:type="dxa"/>
            <w:gridSpan w:val="2"/>
            <w:tcBorders>
              <w:top w:val="single" w:sz="4" w:space="0" w:color="A6A6A6"/>
              <w:left w:val="nil"/>
              <w:bottom w:val="single" w:sz="4" w:space="0" w:color="A6A6A6"/>
              <w:right w:val="single" w:sz="4" w:space="0" w:color="A6A6A6"/>
            </w:tcBorders>
            <w:shd w:val="clear" w:color="000000" w:fill="8497B0"/>
            <w:noWrap/>
            <w:vAlign w:val="center"/>
            <w:hideMark/>
          </w:tcPr>
          <w:p w14:paraId="6DFE54AB" w14:textId="77777777" w:rsidR="001B5C8F" w:rsidRPr="000037A1" w:rsidRDefault="001B5C8F" w:rsidP="00DC54F7">
            <w:pPr>
              <w:spacing w:after="0" w:line="240" w:lineRule="auto"/>
              <w:jc w:val="both"/>
              <w:rPr>
                <w:rFonts w:ascii="Arial" w:eastAsia="Times New Roman" w:hAnsi="Arial" w:cs="Arial"/>
                <w:b/>
                <w:bCs/>
                <w:color w:val="FFFFFF"/>
                <w:sz w:val="21"/>
                <w:szCs w:val="21"/>
                <w:lang w:eastAsia="en-GB"/>
              </w:rPr>
            </w:pPr>
            <w:r w:rsidRPr="000037A1">
              <w:rPr>
                <w:rFonts w:ascii="Arial" w:eastAsia="Times New Roman" w:hAnsi="Arial" w:cs="Arial"/>
                <w:b/>
                <w:bCs/>
                <w:color w:val="FFFFFF"/>
                <w:sz w:val="21"/>
                <w:szCs w:val="21"/>
                <w:lang w:eastAsia="en-GB"/>
              </w:rPr>
              <w:t>Response</w:t>
            </w:r>
          </w:p>
        </w:tc>
      </w:tr>
      <w:tr w:rsidR="001B5C8F" w:rsidRPr="000037A1" w14:paraId="288E5098" w14:textId="77777777" w:rsidTr="00D939CF">
        <w:trPr>
          <w:trHeight w:val="690"/>
        </w:trPr>
        <w:tc>
          <w:tcPr>
            <w:tcW w:w="6520"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7D0EBE81" w14:textId="77777777" w:rsidR="001B5C8F" w:rsidRPr="000037A1" w:rsidRDefault="001B5C8F" w:rsidP="00DC54F7">
            <w:pPr>
              <w:spacing w:after="0" w:line="240" w:lineRule="auto"/>
              <w:jc w:val="both"/>
              <w:rPr>
                <w:rFonts w:ascii="Arial" w:eastAsia="Times New Roman" w:hAnsi="Arial" w:cs="Arial"/>
                <w:b/>
                <w:bCs/>
                <w:color w:val="000000"/>
                <w:sz w:val="18"/>
                <w:szCs w:val="18"/>
                <w:lang w:eastAsia="en-GB"/>
              </w:rPr>
            </w:pPr>
            <w:r w:rsidRPr="000037A1">
              <w:rPr>
                <w:rFonts w:ascii="Arial" w:eastAsia="Times New Roman" w:hAnsi="Arial" w:cs="Arial"/>
                <w:b/>
                <w:bCs/>
                <w:color w:val="000000"/>
                <w:sz w:val="18"/>
                <w:szCs w:val="18"/>
                <w:lang w:eastAsia="en-GB"/>
              </w:rPr>
              <w:t> </w:t>
            </w:r>
          </w:p>
        </w:tc>
        <w:tc>
          <w:tcPr>
            <w:tcW w:w="991" w:type="dxa"/>
            <w:tcBorders>
              <w:top w:val="nil"/>
              <w:left w:val="nil"/>
              <w:bottom w:val="single" w:sz="4" w:space="0" w:color="A6A6A6"/>
              <w:right w:val="single" w:sz="4" w:space="0" w:color="A6A6A6"/>
            </w:tcBorders>
            <w:shd w:val="clear" w:color="000000" w:fill="F2F2F2"/>
            <w:vAlign w:val="center"/>
            <w:hideMark/>
          </w:tcPr>
          <w:p w14:paraId="39AF573F" w14:textId="77777777" w:rsidR="001B5C8F" w:rsidRPr="000037A1" w:rsidRDefault="001B5C8F" w:rsidP="00DC54F7">
            <w:pPr>
              <w:spacing w:after="0" w:line="240" w:lineRule="auto"/>
              <w:jc w:val="both"/>
              <w:rPr>
                <w:rFonts w:ascii="Arial" w:eastAsia="Times New Roman" w:hAnsi="Arial" w:cs="Arial"/>
                <w:b/>
                <w:bCs/>
                <w:color w:val="000000"/>
                <w:sz w:val="18"/>
                <w:szCs w:val="18"/>
                <w:lang w:eastAsia="en-GB"/>
              </w:rPr>
            </w:pPr>
            <w:r w:rsidRPr="000037A1">
              <w:rPr>
                <w:rFonts w:ascii="Arial" w:eastAsia="Times New Roman" w:hAnsi="Arial" w:cs="Arial"/>
                <w:b/>
                <w:bCs/>
                <w:color w:val="000000"/>
                <w:sz w:val="18"/>
                <w:szCs w:val="18"/>
                <w:lang w:eastAsia="en-GB"/>
              </w:rPr>
              <w:t>Percent Responses</w:t>
            </w:r>
          </w:p>
        </w:tc>
        <w:tc>
          <w:tcPr>
            <w:tcW w:w="1171" w:type="dxa"/>
            <w:tcBorders>
              <w:top w:val="nil"/>
              <w:left w:val="nil"/>
              <w:bottom w:val="single" w:sz="4" w:space="0" w:color="A6A6A6"/>
              <w:right w:val="single" w:sz="4" w:space="0" w:color="A6A6A6"/>
            </w:tcBorders>
            <w:shd w:val="clear" w:color="000000" w:fill="F2F2F2"/>
            <w:vAlign w:val="center"/>
            <w:hideMark/>
          </w:tcPr>
          <w:p w14:paraId="16B2D372" w14:textId="77777777" w:rsidR="001B5C8F" w:rsidRPr="000037A1" w:rsidRDefault="001B5C8F" w:rsidP="00DC54F7">
            <w:pPr>
              <w:spacing w:after="0" w:line="240" w:lineRule="auto"/>
              <w:jc w:val="both"/>
              <w:rPr>
                <w:rFonts w:ascii="Arial" w:eastAsia="Times New Roman" w:hAnsi="Arial" w:cs="Arial"/>
                <w:b/>
                <w:bCs/>
                <w:color w:val="000000"/>
                <w:sz w:val="18"/>
                <w:szCs w:val="18"/>
                <w:lang w:eastAsia="en-GB"/>
              </w:rPr>
            </w:pPr>
            <w:r w:rsidRPr="000037A1">
              <w:rPr>
                <w:rFonts w:ascii="Arial" w:eastAsia="Times New Roman" w:hAnsi="Arial" w:cs="Arial"/>
                <w:b/>
                <w:bCs/>
                <w:color w:val="000000"/>
                <w:sz w:val="18"/>
                <w:szCs w:val="18"/>
                <w:lang w:eastAsia="en-GB"/>
              </w:rPr>
              <w:t>Percent Respondents</w:t>
            </w:r>
          </w:p>
        </w:tc>
        <w:tc>
          <w:tcPr>
            <w:tcW w:w="749" w:type="dxa"/>
            <w:tcBorders>
              <w:top w:val="nil"/>
              <w:left w:val="nil"/>
              <w:bottom w:val="single" w:sz="4" w:space="0" w:color="A6A6A6"/>
              <w:right w:val="single" w:sz="4" w:space="0" w:color="A6A6A6"/>
            </w:tcBorders>
            <w:shd w:val="clear" w:color="000000" w:fill="F2F2F2"/>
            <w:noWrap/>
            <w:vAlign w:val="center"/>
            <w:hideMark/>
          </w:tcPr>
          <w:p w14:paraId="656681CC" w14:textId="77777777" w:rsidR="001B5C8F" w:rsidRPr="000037A1" w:rsidRDefault="001B5C8F" w:rsidP="00DC54F7">
            <w:pPr>
              <w:spacing w:after="0" w:line="240" w:lineRule="auto"/>
              <w:jc w:val="both"/>
              <w:rPr>
                <w:rFonts w:ascii="Arial" w:eastAsia="Times New Roman" w:hAnsi="Arial" w:cs="Arial"/>
                <w:b/>
                <w:bCs/>
                <w:color w:val="000000"/>
                <w:sz w:val="18"/>
                <w:szCs w:val="18"/>
                <w:lang w:eastAsia="en-GB"/>
              </w:rPr>
            </w:pPr>
            <w:r w:rsidRPr="000037A1">
              <w:rPr>
                <w:rFonts w:ascii="Arial" w:eastAsia="Times New Roman" w:hAnsi="Arial" w:cs="Arial"/>
                <w:b/>
                <w:bCs/>
                <w:color w:val="000000"/>
                <w:sz w:val="18"/>
                <w:szCs w:val="18"/>
                <w:lang w:eastAsia="en-GB"/>
              </w:rPr>
              <w:t>Total</w:t>
            </w:r>
          </w:p>
        </w:tc>
      </w:tr>
      <w:tr w:rsidR="001B5C8F" w:rsidRPr="000037A1" w14:paraId="54CD7802"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76B696C1"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1</w:t>
            </w:r>
          </w:p>
        </w:tc>
        <w:tc>
          <w:tcPr>
            <w:tcW w:w="5560" w:type="dxa"/>
            <w:gridSpan w:val="2"/>
            <w:tcBorders>
              <w:top w:val="single" w:sz="4" w:space="0" w:color="A6A6A6"/>
              <w:left w:val="nil"/>
              <w:bottom w:val="single" w:sz="4" w:space="0" w:color="A6A6A6"/>
              <w:right w:val="single" w:sz="4" w:space="0" w:color="A6A6A6"/>
            </w:tcBorders>
            <w:shd w:val="clear" w:color="auto" w:fill="auto"/>
            <w:vAlign w:val="center"/>
            <w:hideMark/>
          </w:tcPr>
          <w:p w14:paraId="55C26B83"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Flu vaccinations (for those who are in one of the at risk groups)</w:t>
            </w:r>
          </w:p>
        </w:tc>
        <w:tc>
          <w:tcPr>
            <w:tcW w:w="991" w:type="dxa"/>
            <w:tcBorders>
              <w:top w:val="nil"/>
              <w:left w:val="nil"/>
              <w:bottom w:val="single" w:sz="4" w:space="0" w:color="A6A6A6"/>
              <w:right w:val="single" w:sz="4" w:space="0" w:color="A6A6A6"/>
            </w:tcBorders>
            <w:shd w:val="clear" w:color="000000" w:fill="F2F2F2"/>
            <w:noWrap/>
            <w:vAlign w:val="bottom"/>
            <w:hideMark/>
          </w:tcPr>
          <w:p w14:paraId="1EA3751B"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21.28%</w:t>
            </w:r>
          </w:p>
        </w:tc>
        <w:tc>
          <w:tcPr>
            <w:tcW w:w="1171" w:type="dxa"/>
            <w:tcBorders>
              <w:top w:val="nil"/>
              <w:left w:val="nil"/>
              <w:bottom w:val="single" w:sz="4" w:space="0" w:color="A6A6A6"/>
              <w:right w:val="single" w:sz="4" w:space="0" w:color="A6A6A6"/>
            </w:tcBorders>
            <w:shd w:val="clear" w:color="000000" w:fill="F2F2F2"/>
            <w:noWrap/>
            <w:vAlign w:val="bottom"/>
            <w:hideMark/>
          </w:tcPr>
          <w:p w14:paraId="7FD05197"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88.20%</w:t>
            </w:r>
          </w:p>
        </w:tc>
        <w:tc>
          <w:tcPr>
            <w:tcW w:w="749" w:type="dxa"/>
            <w:tcBorders>
              <w:top w:val="nil"/>
              <w:left w:val="nil"/>
              <w:bottom w:val="single" w:sz="4" w:space="0" w:color="A6A6A6"/>
              <w:right w:val="single" w:sz="4" w:space="0" w:color="A6A6A6"/>
            </w:tcBorders>
            <w:shd w:val="clear" w:color="000000" w:fill="F2F2F2"/>
            <w:noWrap/>
            <w:vAlign w:val="bottom"/>
            <w:hideMark/>
          </w:tcPr>
          <w:p w14:paraId="75D70450"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269</w:t>
            </w:r>
          </w:p>
        </w:tc>
      </w:tr>
      <w:tr w:rsidR="001B5C8F" w:rsidRPr="000037A1" w14:paraId="75F028B1"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6981C3CF"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2</w:t>
            </w:r>
          </w:p>
        </w:tc>
        <w:tc>
          <w:tcPr>
            <w:tcW w:w="5560" w:type="dxa"/>
            <w:gridSpan w:val="2"/>
            <w:tcBorders>
              <w:top w:val="single" w:sz="4" w:space="0" w:color="A6A6A6"/>
              <w:left w:val="nil"/>
              <w:bottom w:val="single" w:sz="4" w:space="0" w:color="A6A6A6"/>
              <w:right w:val="single" w:sz="4" w:space="0" w:color="A6A6A6"/>
            </w:tcBorders>
            <w:shd w:val="clear" w:color="auto" w:fill="auto"/>
            <w:vAlign w:val="center"/>
            <w:hideMark/>
          </w:tcPr>
          <w:p w14:paraId="3241C94C"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 xml:space="preserve">Medicines use review service </w:t>
            </w:r>
          </w:p>
        </w:tc>
        <w:tc>
          <w:tcPr>
            <w:tcW w:w="991" w:type="dxa"/>
            <w:tcBorders>
              <w:top w:val="nil"/>
              <w:left w:val="nil"/>
              <w:bottom w:val="single" w:sz="4" w:space="0" w:color="A6A6A6"/>
              <w:right w:val="single" w:sz="4" w:space="0" w:color="A6A6A6"/>
            </w:tcBorders>
            <w:shd w:val="clear" w:color="000000" w:fill="F2F2F2"/>
            <w:noWrap/>
            <w:vAlign w:val="bottom"/>
            <w:hideMark/>
          </w:tcPr>
          <w:p w14:paraId="20D42E12"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12.03%</w:t>
            </w:r>
          </w:p>
        </w:tc>
        <w:tc>
          <w:tcPr>
            <w:tcW w:w="1171" w:type="dxa"/>
            <w:tcBorders>
              <w:top w:val="nil"/>
              <w:left w:val="nil"/>
              <w:bottom w:val="single" w:sz="4" w:space="0" w:color="A6A6A6"/>
              <w:right w:val="single" w:sz="4" w:space="0" w:color="A6A6A6"/>
            </w:tcBorders>
            <w:shd w:val="clear" w:color="000000" w:fill="F2F2F2"/>
            <w:noWrap/>
            <w:vAlign w:val="bottom"/>
            <w:hideMark/>
          </w:tcPr>
          <w:p w14:paraId="06F82AA1"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49.84%</w:t>
            </w:r>
          </w:p>
        </w:tc>
        <w:tc>
          <w:tcPr>
            <w:tcW w:w="749" w:type="dxa"/>
            <w:tcBorders>
              <w:top w:val="nil"/>
              <w:left w:val="nil"/>
              <w:bottom w:val="single" w:sz="4" w:space="0" w:color="A6A6A6"/>
              <w:right w:val="single" w:sz="4" w:space="0" w:color="A6A6A6"/>
            </w:tcBorders>
            <w:shd w:val="clear" w:color="000000" w:fill="F2F2F2"/>
            <w:noWrap/>
            <w:vAlign w:val="bottom"/>
            <w:hideMark/>
          </w:tcPr>
          <w:p w14:paraId="79881DE7"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152</w:t>
            </w:r>
          </w:p>
        </w:tc>
      </w:tr>
      <w:tr w:rsidR="001B5C8F" w:rsidRPr="000037A1" w14:paraId="767FA4E2"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955FF38"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3</w:t>
            </w:r>
          </w:p>
        </w:tc>
        <w:tc>
          <w:tcPr>
            <w:tcW w:w="5560" w:type="dxa"/>
            <w:gridSpan w:val="2"/>
            <w:tcBorders>
              <w:top w:val="single" w:sz="4" w:space="0" w:color="A6A6A6"/>
              <w:left w:val="nil"/>
              <w:bottom w:val="single" w:sz="4" w:space="0" w:color="A6A6A6"/>
              <w:right w:val="single" w:sz="4" w:space="0" w:color="A6A6A6"/>
            </w:tcBorders>
            <w:shd w:val="clear" w:color="auto" w:fill="auto"/>
            <w:vAlign w:val="center"/>
            <w:hideMark/>
          </w:tcPr>
          <w:p w14:paraId="132CD6FF"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 xml:space="preserve">Discharge medicines review service </w:t>
            </w:r>
          </w:p>
        </w:tc>
        <w:tc>
          <w:tcPr>
            <w:tcW w:w="991" w:type="dxa"/>
            <w:tcBorders>
              <w:top w:val="nil"/>
              <w:left w:val="nil"/>
              <w:bottom w:val="single" w:sz="4" w:space="0" w:color="A6A6A6"/>
              <w:right w:val="single" w:sz="4" w:space="0" w:color="A6A6A6"/>
            </w:tcBorders>
            <w:shd w:val="clear" w:color="000000" w:fill="F2F2F2"/>
            <w:noWrap/>
            <w:vAlign w:val="bottom"/>
            <w:hideMark/>
          </w:tcPr>
          <w:p w14:paraId="3A40AB56"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4.91%</w:t>
            </w:r>
          </w:p>
        </w:tc>
        <w:tc>
          <w:tcPr>
            <w:tcW w:w="1171" w:type="dxa"/>
            <w:tcBorders>
              <w:top w:val="nil"/>
              <w:left w:val="nil"/>
              <w:bottom w:val="single" w:sz="4" w:space="0" w:color="A6A6A6"/>
              <w:right w:val="single" w:sz="4" w:space="0" w:color="A6A6A6"/>
            </w:tcBorders>
            <w:shd w:val="clear" w:color="000000" w:fill="F2F2F2"/>
            <w:noWrap/>
            <w:vAlign w:val="bottom"/>
            <w:hideMark/>
          </w:tcPr>
          <w:p w14:paraId="5DF9CCA5"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20.33%</w:t>
            </w:r>
          </w:p>
        </w:tc>
        <w:tc>
          <w:tcPr>
            <w:tcW w:w="749" w:type="dxa"/>
            <w:tcBorders>
              <w:top w:val="nil"/>
              <w:left w:val="nil"/>
              <w:bottom w:val="single" w:sz="4" w:space="0" w:color="A6A6A6"/>
              <w:right w:val="single" w:sz="4" w:space="0" w:color="A6A6A6"/>
            </w:tcBorders>
            <w:shd w:val="clear" w:color="000000" w:fill="F2F2F2"/>
            <w:noWrap/>
            <w:vAlign w:val="bottom"/>
            <w:hideMark/>
          </w:tcPr>
          <w:p w14:paraId="532CBDF1"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62</w:t>
            </w:r>
          </w:p>
        </w:tc>
      </w:tr>
      <w:tr w:rsidR="001B5C8F" w:rsidRPr="000037A1" w14:paraId="5AADAA04"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9E5663E"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4</w:t>
            </w:r>
          </w:p>
        </w:tc>
        <w:tc>
          <w:tcPr>
            <w:tcW w:w="5560" w:type="dxa"/>
            <w:gridSpan w:val="2"/>
            <w:tcBorders>
              <w:top w:val="single" w:sz="4" w:space="0" w:color="A6A6A6"/>
              <w:left w:val="nil"/>
              <w:bottom w:val="single" w:sz="4" w:space="0" w:color="A6A6A6"/>
              <w:right w:val="single" w:sz="4" w:space="0" w:color="A6A6A6"/>
            </w:tcBorders>
            <w:shd w:val="clear" w:color="auto" w:fill="auto"/>
            <w:vAlign w:val="center"/>
            <w:hideMark/>
          </w:tcPr>
          <w:p w14:paraId="109020FB"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 xml:space="preserve">Appliance use review service </w:t>
            </w:r>
          </w:p>
        </w:tc>
        <w:tc>
          <w:tcPr>
            <w:tcW w:w="991" w:type="dxa"/>
            <w:tcBorders>
              <w:top w:val="nil"/>
              <w:left w:val="nil"/>
              <w:bottom w:val="single" w:sz="4" w:space="0" w:color="A6A6A6"/>
              <w:right w:val="single" w:sz="4" w:space="0" w:color="A6A6A6"/>
            </w:tcBorders>
            <w:shd w:val="clear" w:color="000000" w:fill="F2F2F2"/>
            <w:noWrap/>
            <w:vAlign w:val="bottom"/>
            <w:hideMark/>
          </w:tcPr>
          <w:p w14:paraId="044E0977"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2.85%</w:t>
            </w:r>
          </w:p>
        </w:tc>
        <w:tc>
          <w:tcPr>
            <w:tcW w:w="1171" w:type="dxa"/>
            <w:tcBorders>
              <w:top w:val="nil"/>
              <w:left w:val="nil"/>
              <w:bottom w:val="single" w:sz="4" w:space="0" w:color="A6A6A6"/>
              <w:right w:val="single" w:sz="4" w:space="0" w:color="A6A6A6"/>
            </w:tcBorders>
            <w:shd w:val="clear" w:color="000000" w:fill="F2F2F2"/>
            <w:noWrap/>
            <w:vAlign w:val="bottom"/>
            <w:hideMark/>
          </w:tcPr>
          <w:p w14:paraId="40CDCA43"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11.80%</w:t>
            </w:r>
          </w:p>
        </w:tc>
        <w:tc>
          <w:tcPr>
            <w:tcW w:w="749" w:type="dxa"/>
            <w:tcBorders>
              <w:top w:val="nil"/>
              <w:left w:val="nil"/>
              <w:bottom w:val="single" w:sz="4" w:space="0" w:color="A6A6A6"/>
              <w:right w:val="single" w:sz="4" w:space="0" w:color="A6A6A6"/>
            </w:tcBorders>
            <w:shd w:val="clear" w:color="000000" w:fill="F2F2F2"/>
            <w:noWrap/>
            <w:vAlign w:val="bottom"/>
            <w:hideMark/>
          </w:tcPr>
          <w:p w14:paraId="31D53060"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36</w:t>
            </w:r>
          </w:p>
        </w:tc>
      </w:tr>
      <w:tr w:rsidR="001B5C8F" w:rsidRPr="000037A1" w14:paraId="6345908E"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53603ECF"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5</w:t>
            </w:r>
          </w:p>
        </w:tc>
        <w:tc>
          <w:tcPr>
            <w:tcW w:w="5560" w:type="dxa"/>
            <w:gridSpan w:val="2"/>
            <w:tcBorders>
              <w:top w:val="single" w:sz="4" w:space="0" w:color="A6A6A6"/>
              <w:left w:val="nil"/>
              <w:bottom w:val="single" w:sz="4" w:space="0" w:color="A6A6A6"/>
              <w:right w:val="single" w:sz="4" w:space="0" w:color="A6A6A6"/>
            </w:tcBorders>
            <w:shd w:val="clear" w:color="auto" w:fill="auto"/>
            <w:vAlign w:val="center"/>
            <w:hideMark/>
          </w:tcPr>
          <w:p w14:paraId="2E565F7F"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Emergency contraception</w:t>
            </w:r>
            <w:r>
              <w:rPr>
                <w:rFonts w:ascii="Arial" w:eastAsia="Times New Roman" w:hAnsi="Arial" w:cs="Arial"/>
                <w:color w:val="000000"/>
                <w:sz w:val="18"/>
                <w:szCs w:val="18"/>
                <w:lang w:eastAsia="en-GB"/>
              </w:rPr>
              <w:t xml:space="preserve"> (</w:t>
            </w:r>
            <w:r w:rsidRPr="000037A1">
              <w:rPr>
                <w:rFonts w:ascii="Arial" w:eastAsia="Times New Roman" w:hAnsi="Arial" w:cs="Arial"/>
                <w:color w:val="000000"/>
                <w:sz w:val="18"/>
                <w:szCs w:val="18"/>
                <w:lang w:eastAsia="en-GB"/>
              </w:rPr>
              <w:t>‘morning after pill’</w:t>
            </w:r>
            <w:r>
              <w:rPr>
                <w:rFonts w:ascii="Arial" w:eastAsia="Times New Roman" w:hAnsi="Arial" w:cs="Arial"/>
                <w:color w:val="000000"/>
                <w:sz w:val="18"/>
                <w:szCs w:val="18"/>
                <w:lang w:eastAsia="en-GB"/>
              </w:rPr>
              <w:t>)</w:t>
            </w:r>
          </w:p>
        </w:tc>
        <w:tc>
          <w:tcPr>
            <w:tcW w:w="991" w:type="dxa"/>
            <w:tcBorders>
              <w:top w:val="nil"/>
              <w:left w:val="nil"/>
              <w:bottom w:val="single" w:sz="4" w:space="0" w:color="A6A6A6"/>
              <w:right w:val="single" w:sz="4" w:space="0" w:color="A6A6A6"/>
            </w:tcBorders>
            <w:shd w:val="clear" w:color="000000" w:fill="F2F2F2"/>
            <w:noWrap/>
            <w:vAlign w:val="bottom"/>
            <w:hideMark/>
          </w:tcPr>
          <w:p w14:paraId="429A4BE0"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12.10%</w:t>
            </w:r>
          </w:p>
        </w:tc>
        <w:tc>
          <w:tcPr>
            <w:tcW w:w="1171" w:type="dxa"/>
            <w:tcBorders>
              <w:top w:val="nil"/>
              <w:left w:val="nil"/>
              <w:bottom w:val="single" w:sz="4" w:space="0" w:color="A6A6A6"/>
              <w:right w:val="single" w:sz="4" w:space="0" w:color="A6A6A6"/>
            </w:tcBorders>
            <w:shd w:val="clear" w:color="000000" w:fill="F2F2F2"/>
            <w:noWrap/>
            <w:vAlign w:val="bottom"/>
            <w:hideMark/>
          </w:tcPr>
          <w:p w14:paraId="345DA7D1"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50.16%</w:t>
            </w:r>
          </w:p>
        </w:tc>
        <w:tc>
          <w:tcPr>
            <w:tcW w:w="749" w:type="dxa"/>
            <w:tcBorders>
              <w:top w:val="nil"/>
              <w:left w:val="nil"/>
              <w:bottom w:val="single" w:sz="4" w:space="0" w:color="A6A6A6"/>
              <w:right w:val="single" w:sz="4" w:space="0" w:color="A6A6A6"/>
            </w:tcBorders>
            <w:shd w:val="clear" w:color="000000" w:fill="F2F2F2"/>
            <w:noWrap/>
            <w:vAlign w:val="bottom"/>
            <w:hideMark/>
          </w:tcPr>
          <w:p w14:paraId="07FBD5CB"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153</w:t>
            </w:r>
          </w:p>
        </w:tc>
      </w:tr>
      <w:tr w:rsidR="001B5C8F" w:rsidRPr="000037A1" w14:paraId="325FCFB0"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7EC7802F"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6</w:t>
            </w:r>
          </w:p>
        </w:tc>
        <w:tc>
          <w:tcPr>
            <w:tcW w:w="5560" w:type="dxa"/>
            <w:gridSpan w:val="2"/>
            <w:tcBorders>
              <w:top w:val="single" w:sz="4" w:space="0" w:color="A6A6A6"/>
              <w:left w:val="nil"/>
              <w:bottom w:val="single" w:sz="4" w:space="0" w:color="A6A6A6"/>
              <w:right w:val="single" w:sz="4" w:space="0" w:color="A6A6A6"/>
            </w:tcBorders>
            <w:shd w:val="clear" w:color="auto" w:fill="auto"/>
            <w:vAlign w:val="center"/>
            <w:hideMark/>
          </w:tcPr>
          <w:p w14:paraId="468D7ACB"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Help to stop smoking</w:t>
            </w:r>
          </w:p>
        </w:tc>
        <w:tc>
          <w:tcPr>
            <w:tcW w:w="991" w:type="dxa"/>
            <w:tcBorders>
              <w:top w:val="nil"/>
              <w:left w:val="nil"/>
              <w:bottom w:val="single" w:sz="4" w:space="0" w:color="A6A6A6"/>
              <w:right w:val="single" w:sz="4" w:space="0" w:color="A6A6A6"/>
            </w:tcBorders>
            <w:shd w:val="clear" w:color="000000" w:fill="F2F2F2"/>
            <w:noWrap/>
            <w:vAlign w:val="bottom"/>
            <w:hideMark/>
          </w:tcPr>
          <w:p w14:paraId="3CAC90FE"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10.13%</w:t>
            </w:r>
          </w:p>
        </w:tc>
        <w:tc>
          <w:tcPr>
            <w:tcW w:w="1171" w:type="dxa"/>
            <w:tcBorders>
              <w:top w:val="nil"/>
              <w:left w:val="nil"/>
              <w:bottom w:val="single" w:sz="4" w:space="0" w:color="A6A6A6"/>
              <w:right w:val="single" w:sz="4" w:space="0" w:color="A6A6A6"/>
            </w:tcBorders>
            <w:shd w:val="clear" w:color="000000" w:fill="F2F2F2"/>
            <w:noWrap/>
            <w:vAlign w:val="bottom"/>
            <w:hideMark/>
          </w:tcPr>
          <w:p w14:paraId="4343328B"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41.97%</w:t>
            </w:r>
          </w:p>
        </w:tc>
        <w:tc>
          <w:tcPr>
            <w:tcW w:w="749" w:type="dxa"/>
            <w:tcBorders>
              <w:top w:val="nil"/>
              <w:left w:val="nil"/>
              <w:bottom w:val="single" w:sz="4" w:space="0" w:color="A6A6A6"/>
              <w:right w:val="single" w:sz="4" w:space="0" w:color="A6A6A6"/>
            </w:tcBorders>
            <w:shd w:val="clear" w:color="000000" w:fill="F2F2F2"/>
            <w:noWrap/>
            <w:vAlign w:val="bottom"/>
            <w:hideMark/>
          </w:tcPr>
          <w:p w14:paraId="03F6E946"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128</w:t>
            </w:r>
          </w:p>
        </w:tc>
      </w:tr>
      <w:tr w:rsidR="001B5C8F" w:rsidRPr="000037A1" w14:paraId="123B9762"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20AF61B0"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7</w:t>
            </w:r>
          </w:p>
        </w:tc>
        <w:tc>
          <w:tcPr>
            <w:tcW w:w="5560" w:type="dxa"/>
            <w:gridSpan w:val="2"/>
            <w:tcBorders>
              <w:top w:val="single" w:sz="4" w:space="0" w:color="A6A6A6"/>
              <w:left w:val="nil"/>
              <w:bottom w:val="single" w:sz="4" w:space="0" w:color="A6A6A6"/>
              <w:right w:val="single" w:sz="4" w:space="0" w:color="A6A6A6"/>
            </w:tcBorders>
            <w:shd w:val="clear" w:color="auto" w:fill="auto"/>
            <w:vAlign w:val="center"/>
            <w:hideMark/>
          </w:tcPr>
          <w:p w14:paraId="0343731C"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 xml:space="preserve">Common ailments scheme </w:t>
            </w:r>
          </w:p>
        </w:tc>
        <w:tc>
          <w:tcPr>
            <w:tcW w:w="991" w:type="dxa"/>
            <w:tcBorders>
              <w:top w:val="nil"/>
              <w:left w:val="nil"/>
              <w:bottom w:val="single" w:sz="4" w:space="0" w:color="A6A6A6"/>
              <w:right w:val="single" w:sz="4" w:space="0" w:color="A6A6A6"/>
            </w:tcBorders>
            <w:shd w:val="clear" w:color="000000" w:fill="F2F2F2"/>
            <w:noWrap/>
            <w:vAlign w:val="bottom"/>
            <w:hideMark/>
          </w:tcPr>
          <w:p w14:paraId="4DA3A84D"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17.48%</w:t>
            </w:r>
          </w:p>
        </w:tc>
        <w:tc>
          <w:tcPr>
            <w:tcW w:w="1171" w:type="dxa"/>
            <w:tcBorders>
              <w:top w:val="nil"/>
              <w:left w:val="nil"/>
              <w:bottom w:val="single" w:sz="4" w:space="0" w:color="A6A6A6"/>
              <w:right w:val="single" w:sz="4" w:space="0" w:color="A6A6A6"/>
            </w:tcBorders>
            <w:shd w:val="clear" w:color="000000" w:fill="F2F2F2"/>
            <w:noWrap/>
            <w:vAlign w:val="bottom"/>
            <w:hideMark/>
          </w:tcPr>
          <w:p w14:paraId="1A7C757B"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72.46%</w:t>
            </w:r>
          </w:p>
        </w:tc>
        <w:tc>
          <w:tcPr>
            <w:tcW w:w="749" w:type="dxa"/>
            <w:tcBorders>
              <w:top w:val="nil"/>
              <w:left w:val="nil"/>
              <w:bottom w:val="single" w:sz="4" w:space="0" w:color="A6A6A6"/>
              <w:right w:val="single" w:sz="4" w:space="0" w:color="A6A6A6"/>
            </w:tcBorders>
            <w:shd w:val="clear" w:color="000000" w:fill="F2F2F2"/>
            <w:noWrap/>
            <w:vAlign w:val="bottom"/>
            <w:hideMark/>
          </w:tcPr>
          <w:p w14:paraId="33B3C28E"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221</w:t>
            </w:r>
          </w:p>
        </w:tc>
      </w:tr>
      <w:tr w:rsidR="001B5C8F" w:rsidRPr="000037A1" w14:paraId="63BB117B"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32B3D42"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8</w:t>
            </w:r>
          </w:p>
        </w:tc>
        <w:tc>
          <w:tcPr>
            <w:tcW w:w="5560" w:type="dxa"/>
            <w:gridSpan w:val="2"/>
            <w:tcBorders>
              <w:top w:val="single" w:sz="4" w:space="0" w:color="A6A6A6"/>
              <w:left w:val="nil"/>
              <w:bottom w:val="single" w:sz="4" w:space="0" w:color="A6A6A6"/>
              <w:right w:val="single" w:sz="4" w:space="0" w:color="A6A6A6"/>
            </w:tcBorders>
            <w:shd w:val="clear" w:color="auto" w:fill="auto"/>
            <w:vAlign w:val="center"/>
            <w:hideMark/>
          </w:tcPr>
          <w:p w14:paraId="7CD9B85B"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 xml:space="preserve">Needle and syringe exchange </w:t>
            </w:r>
          </w:p>
        </w:tc>
        <w:tc>
          <w:tcPr>
            <w:tcW w:w="991" w:type="dxa"/>
            <w:tcBorders>
              <w:top w:val="nil"/>
              <w:left w:val="nil"/>
              <w:bottom w:val="single" w:sz="4" w:space="0" w:color="A6A6A6"/>
              <w:right w:val="single" w:sz="4" w:space="0" w:color="A6A6A6"/>
            </w:tcBorders>
            <w:shd w:val="clear" w:color="000000" w:fill="F2F2F2"/>
            <w:noWrap/>
            <w:vAlign w:val="bottom"/>
            <w:hideMark/>
          </w:tcPr>
          <w:p w14:paraId="478281C8"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5.38%</w:t>
            </w:r>
          </w:p>
        </w:tc>
        <w:tc>
          <w:tcPr>
            <w:tcW w:w="1171" w:type="dxa"/>
            <w:tcBorders>
              <w:top w:val="nil"/>
              <w:left w:val="nil"/>
              <w:bottom w:val="single" w:sz="4" w:space="0" w:color="A6A6A6"/>
              <w:right w:val="single" w:sz="4" w:space="0" w:color="A6A6A6"/>
            </w:tcBorders>
            <w:shd w:val="clear" w:color="000000" w:fill="F2F2F2"/>
            <w:noWrap/>
            <w:vAlign w:val="bottom"/>
            <w:hideMark/>
          </w:tcPr>
          <w:p w14:paraId="74B99FE8"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22.30%</w:t>
            </w:r>
          </w:p>
        </w:tc>
        <w:tc>
          <w:tcPr>
            <w:tcW w:w="749" w:type="dxa"/>
            <w:tcBorders>
              <w:top w:val="nil"/>
              <w:left w:val="nil"/>
              <w:bottom w:val="single" w:sz="4" w:space="0" w:color="A6A6A6"/>
              <w:right w:val="single" w:sz="4" w:space="0" w:color="A6A6A6"/>
            </w:tcBorders>
            <w:shd w:val="clear" w:color="000000" w:fill="F2F2F2"/>
            <w:noWrap/>
            <w:vAlign w:val="bottom"/>
            <w:hideMark/>
          </w:tcPr>
          <w:p w14:paraId="103887B6"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68</w:t>
            </w:r>
          </w:p>
        </w:tc>
      </w:tr>
      <w:tr w:rsidR="001B5C8F" w:rsidRPr="000037A1" w14:paraId="11BB15A9"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A9A76A6"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9</w:t>
            </w:r>
          </w:p>
        </w:tc>
        <w:tc>
          <w:tcPr>
            <w:tcW w:w="5560" w:type="dxa"/>
            <w:gridSpan w:val="2"/>
            <w:tcBorders>
              <w:top w:val="single" w:sz="4" w:space="0" w:color="A6A6A6"/>
              <w:left w:val="nil"/>
              <w:bottom w:val="single" w:sz="4" w:space="0" w:color="A6A6A6"/>
              <w:right w:val="single" w:sz="4" w:space="0" w:color="A6A6A6"/>
            </w:tcBorders>
            <w:shd w:val="clear" w:color="auto" w:fill="auto"/>
            <w:vAlign w:val="center"/>
            <w:hideMark/>
          </w:tcPr>
          <w:p w14:paraId="32C6856A"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 xml:space="preserve">Supervised administration of medicines </w:t>
            </w:r>
          </w:p>
        </w:tc>
        <w:tc>
          <w:tcPr>
            <w:tcW w:w="991" w:type="dxa"/>
            <w:tcBorders>
              <w:top w:val="nil"/>
              <w:left w:val="nil"/>
              <w:bottom w:val="single" w:sz="4" w:space="0" w:color="A6A6A6"/>
              <w:right w:val="single" w:sz="4" w:space="0" w:color="A6A6A6"/>
            </w:tcBorders>
            <w:shd w:val="clear" w:color="000000" w:fill="F2F2F2"/>
            <w:noWrap/>
            <w:vAlign w:val="bottom"/>
            <w:hideMark/>
          </w:tcPr>
          <w:p w14:paraId="04F8F573"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5.46%</w:t>
            </w:r>
          </w:p>
        </w:tc>
        <w:tc>
          <w:tcPr>
            <w:tcW w:w="1171" w:type="dxa"/>
            <w:tcBorders>
              <w:top w:val="nil"/>
              <w:left w:val="nil"/>
              <w:bottom w:val="single" w:sz="4" w:space="0" w:color="A6A6A6"/>
              <w:right w:val="single" w:sz="4" w:space="0" w:color="A6A6A6"/>
            </w:tcBorders>
            <w:shd w:val="clear" w:color="000000" w:fill="F2F2F2"/>
            <w:noWrap/>
            <w:vAlign w:val="bottom"/>
            <w:hideMark/>
          </w:tcPr>
          <w:p w14:paraId="5DECEA42"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22.62%</w:t>
            </w:r>
          </w:p>
        </w:tc>
        <w:tc>
          <w:tcPr>
            <w:tcW w:w="749" w:type="dxa"/>
            <w:tcBorders>
              <w:top w:val="nil"/>
              <w:left w:val="nil"/>
              <w:bottom w:val="single" w:sz="4" w:space="0" w:color="A6A6A6"/>
              <w:right w:val="single" w:sz="4" w:space="0" w:color="A6A6A6"/>
            </w:tcBorders>
            <w:shd w:val="clear" w:color="000000" w:fill="F2F2F2"/>
            <w:noWrap/>
            <w:vAlign w:val="bottom"/>
            <w:hideMark/>
          </w:tcPr>
          <w:p w14:paraId="64E3C9A1"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69</w:t>
            </w:r>
          </w:p>
        </w:tc>
      </w:tr>
      <w:tr w:rsidR="001B5C8F" w:rsidRPr="000037A1" w14:paraId="3358C55A"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513AA4A6"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10</w:t>
            </w:r>
          </w:p>
        </w:tc>
        <w:tc>
          <w:tcPr>
            <w:tcW w:w="5560" w:type="dxa"/>
            <w:gridSpan w:val="2"/>
            <w:tcBorders>
              <w:top w:val="single" w:sz="4" w:space="0" w:color="A6A6A6"/>
              <w:left w:val="nil"/>
              <w:bottom w:val="single" w:sz="4" w:space="0" w:color="A6A6A6"/>
              <w:right w:val="single" w:sz="4" w:space="0" w:color="A6A6A6"/>
            </w:tcBorders>
            <w:shd w:val="clear" w:color="auto" w:fill="auto"/>
            <w:vAlign w:val="center"/>
            <w:hideMark/>
          </w:tcPr>
          <w:p w14:paraId="51CB4D3E"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Emergency medicines supply</w:t>
            </w:r>
          </w:p>
        </w:tc>
        <w:tc>
          <w:tcPr>
            <w:tcW w:w="991" w:type="dxa"/>
            <w:tcBorders>
              <w:top w:val="nil"/>
              <w:left w:val="nil"/>
              <w:bottom w:val="single" w:sz="4" w:space="0" w:color="A6A6A6"/>
              <w:right w:val="single" w:sz="4" w:space="0" w:color="A6A6A6"/>
            </w:tcBorders>
            <w:shd w:val="clear" w:color="000000" w:fill="F2F2F2"/>
            <w:noWrap/>
            <w:vAlign w:val="bottom"/>
            <w:hideMark/>
          </w:tcPr>
          <w:p w14:paraId="7F5F34A9"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7.28%</w:t>
            </w:r>
          </w:p>
        </w:tc>
        <w:tc>
          <w:tcPr>
            <w:tcW w:w="1171" w:type="dxa"/>
            <w:tcBorders>
              <w:top w:val="nil"/>
              <w:left w:val="nil"/>
              <w:bottom w:val="single" w:sz="4" w:space="0" w:color="A6A6A6"/>
              <w:right w:val="single" w:sz="4" w:space="0" w:color="A6A6A6"/>
            </w:tcBorders>
            <w:shd w:val="clear" w:color="000000" w:fill="F2F2F2"/>
            <w:noWrap/>
            <w:vAlign w:val="bottom"/>
            <w:hideMark/>
          </w:tcPr>
          <w:p w14:paraId="0274423E"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30.16%</w:t>
            </w:r>
          </w:p>
        </w:tc>
        <w:tc>
          <w:tcPr>
            <w:tcW w:w="749" w:type="dxa"/>
            <w:tcBorders>
              <w:top w:val="nil"/>
              <w:left w:val="nil"/>
              <w:bottom w:val="single" w:sz="4" w:space="0" w:color="A6A6A6"/>
              <w:right w:val="single" w:sz="4" w:space="0" w:color="A6A6A6"/>
            </w:tcBorders>
            <w:shd w:val="clear" w:color="000000" w:fill="F2F2F2"/>
            <w:noWrap/>
            <w:vAlign w:val="bottom"/>
            <w:hideMark/>
          </w:tcPr>
          <w:p w14:paraId="411DE7F7"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92</w:t>
            </w:r>
          </w:p>
        </w:tc>
      </w:tr>
      <w:tr w:rsidR="001B5C8F" w:rsidRPr="000037A1" w14:paraId="07C18458" w14:textId="77777777" w:rsidTr="00D939CF">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6F97D746"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11</w:t>
            </w:r>
          </w:p>
        </w:tc>
        <w:tc>
          <w:tcPr>
            <w:tcW w:w="5560" w:type="dxa"/>
            <w:gridSpan w:val="2"/>
            <w:tcBorders>
              <w:top w:val="single" w:sz="4" w:space="0" w:color="A6A6A6"/>
              <w:left w:val="nil"/>
              <w:bottom w:val="single" w:sz="4" w:space="0" w:color="A6A6A6"/>
              <w:right w:val="single" w:sz="4" w:space="0" w:color="A6A6A6"/>
            </w:tcBorders>
            <w:shd w:val="clear" w:color="auto" w:fill="auto"/>
            <w:vAlign w:val="center"/>
            <w:hideMark/>
          </w:tcPr>
          <w:p w14:paraId="2F2A8082"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No (go to question 20)</w:t>
            </w:r>
          </w:p>
        </w:tc>
        <w:tc>
          <w:tcPr>
            <w:tcW w:w="991" w:type="dxa"/>
            <w:tcBorders>
              <w:top w:val="nil"/>
              <w:left w:val="nil"/>
              <w:bottom w:val="single" w:sz="4" w:space="0" w:color="A6A6A6"/>
              <w:right w:val="single" w:sz="4" w:space="0" w:color="A6A6A6"/>
            </w:tcBorders>
            <w:shd w:val="clear" w:color="000000" w:fill="F2F2F2"/>
            <w:noWrap/>
            <w:vAlign w:val="bottom"/>
            <w:hideMark/>
          </w:tcPr>
          <w:p w14:paraId="0C90BA3F"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1.11%</w:t>
            </w:r>
          </w:p>
        </w:tc>
        <w:tc>
          <w:tcPr>
            <w:tcW w:w="1171" w:type="dxa"/>
            <w:tcBorders>
              <w:top w:val="nil"/>
              <w:left w:val="nil"/>
              <w:bottom w:val="single" w:sz="4" w:space="0" w:color="A6A6A6"/>
              <w:right w:val="single" w:sz="4" w:space="0" w:color="A6A6A6"/>
            </w:tcBorders>
            <w:shd w:val="clear" w:color="000000" w:fill="F2F2F2"/>
            <w:noWrap/>
            <w:vAlign w:val="bottom"/>
            <w:hideMark/>
          </w:tcPr>
          <w:p w14:paraId="2745AD26"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4.59%</w:t>
            </w:r>
          </w:p>
        </w:tc>
        <w:tc>
          <w:tcPr>
            <w:tcW w:w="749" w:type="dxa"/>
            <w:tcBorders>
              <w:top w:val="nil"/>
              <w:left w:val="nil"/>
              <w:bottom w:val="single" w:sz="4" w:space="0" w:color="A6A6A6"/>
              <w:right w:val="single" w:sz="4" w:space="0" w:color="A6A6A6"/>
            </w:tcBorders>
            <w:shd w:val="clear" w:color="000000" w:fill="F2F2F2"/>
            <w:noWrap/>
            <w:vAlign w:val="bottom"/>
            <w:hideMark/>
          </w:tcPr>
          <w:p w14:paraId="37104F5D"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14</w:t>
            </w:r>
          </w:p>
        </w:tc>
      </w:tr>
      <w:tr w:rsidR="001B5C8F" w:rsidRPr="000037A1" w14:paraId="677383C7" w14:textId="77777777" w:rsidTr="00D939CF">
        <w:trPr>
          <w:trHeight w:val="290"/>
        </w:trPr>
        <w:tc>
          <w:tcPr>
            <w:tcW w:w="2880" w:type="dxa"/>
            <w:gridSpan w:val="2"/>
            <w:vMerge w:val="restart"/>
            <w:tcBorders>
              <w:top w:val="single" w:sz="4" w:space="0" w:color="D9D9D9"/>
              <w:left w:val="single" w:sz="4" w:space="0" w:color="BFBFBF"/>
              <w:bottom w:val="single" w:sz="4" w:space="0" w:color="BFBFBF"/>
              <w:right w:val="single" w:sz="4" w:space="0" w:color="D9D9D9"/>
            </w:tcBorders>
            <w:shd w:val="clear" w:color="000000" w:fill="F2F2F2"/>
            <w:vAlign w:val="center"/>
            <w:hideMark/>
          </w:tcPr>
          <w:p w14:paraId="25FEEA7A"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r w:rsidRPr="000037A1">
              <w:rPr>
                <w:rFonts w:ascii="Arial" w:eastAsia="Times New Roman" w:hAnsi="Arial" w:cs="Arial"/>
                <w:color w:val="000000"/>
                <w:sz w:val="18"/>
                <w:szCs w:val="18"/>
                <w:lang w:eastAsia="en-GB"/>
              </w:rPr>
              <w:t> </w:t>
            </w:r>
          </w:p>
        </w:tc>
        <w:tc>
          <w:tcPr>
            <w:tcW w:w="3640" w:type="dxa"/>
            <w:tcBorders>
              <w:top w:val="nil"/>
              <w:left w:val="nil"/>
              <w:bottom w:val="single" w:sz="4" w:space="0" w:color="A6A6A6"/>
              <w:right w:val="single" w:sz="4" w:space="0" w:color="A6A6A6"/>
            </w:tcBorders>
            <w:shd w:val="clear" w:color="000000" w:fill="F2F2F2"/>
            <w:vAlign w:val="center"/>
            <w:hideMark/>
          </w:tcPr>
          <w:p w14:paraId="3F76213D" w14:textId="77777777" w:rsidR="001B5C8F" w:rsidRPr="000037A1" w:rsidRDefault="001B5C8F" w:rsidP="00DC54F7">
            <w:pPr>
              <w:spacing w:after="0" w:line="240" w:lineRule="auto"/>
              <w:jc w:val="both"/>
              <w:rPr>
                <w:rFonts w:ascii="Arial" w:eastAsia="Times New Roman" w:hAnsi="Arial" w:cs="Arial"/>
                <w:b/>
                <w:bCs/>
                <w:color w:val="000000"/>
                <w:sz w:val="18"/>
                <w:szCs w:val="18"/>
                <w:lang w:eastAsia="en-GB"/>
              </w:rPr>
            </w:pPr>
            <w:r w:rsidRPr="000037A1">
              <w:rPr>
                <w:rFonts w:ascii="Arial" w:eastAsia="Times New Roman" w:hAnsi="Arial" w:cs="Arial"/>
                <w:b/>
                <w:bCs/>
                <w:color w:val="000000"/>
                <w:sz w:val="18"/>
                <w:szCs w:val="18"/>
                <w:lang w:eastAsia="en-GB"/>
              </w:rPr>
              <w:t>Total Responses</w:t>
            </w:r>
          </w:p>
        </w:tc>
        <w:tc>
          <w:tcPr>
            <w:tcW w:w="991" w:type="dxa"/>
            <w:tcBorders>
              <w:top w:val="nil"/>
              <w:left w:val="nil"/>
              <w:bottom w:val="single" w:sz="4" w:space="0" w:color="A6A6A6"/>
              <w:right w:val="single" w:sz="4" w:space="0" w:color="A6A6A6"/>
            </w:tcBorders>
            <w:shd w:val="clear" w:color="000000" w:fill="F2F2F2"/>
            <w:noWrap/>
            <w:vAlign w:val="bottom"/>
            <w:hideMark/>
          </w:tcPr>
          <w:p w14:paraId="31E5EF9C"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 </w:t>
            </w:r>
          </w:p>
        </w:tc>
        <w:tc>
          <w:tcPr>
            <w:tcW w:w="1171" w:type="dxa"/>
            <w:tcBorders>
              <w:top w:val="nil"/>
              <w:left w:val="nil"/>
              <w:bottom w:val="single" w:sz="4" w:space="0" w:color="A6A6A6"/>
              <w:right w:val="single" w:sz="4" w:space="0" w:color="A6A6A6"/>
            </w:tcBorders>
            <w:shd w:val="clear" w:color="000000" w:fill="F2F2F2"/>
            <w:noWrap/>
            <w:vAlign w:val="bottom"/>
            <w:hideMark/>
          </w:tcPr>
          <w:p w14:paraId="5D261454"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 </w:t>
            </w:r>
          </w:p>
        </w:tc>
        <w:tc>
          <w:tcPr>
            <w:tcW w:w="749" w:type="dxa"/>
            <w:tcBorders>
              <w:top w:val="single" w:sz="4" w:space="0" w:color="A6A6A6"/>
              <w:left w:val="nil"/>
              <w:bottom w:val="single" w:sz="4" w:space="0" w:color="A6A6A6"/>
              <w:right w:val="single" w:sz="4" w:space="0" w:color="BFBFBF" w:themeColor="background1" w:themeShade="BF"/>
            </w:tcBorders>
            <w:shd w:val="clear" w:color="000000" w:fill="F2F2F2"/>
            <w:noWrap/>
            <w:vAlign w:val="bottom"/>
            <w:hideMark/>
          </w:tcPr>
          <w:p w14:paraId="18E6C07F"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1264</w:t>
            </w:r>
          </w:p>
        </w:tc>
      </w:tr>
      <w:tr w:rsidR="001B5C8F" w:rsidRPr="000037A1" w14:paraId="56F07B6A" w14:textId="77777777" w:rsidTr="00D939CF">
        <w:trPr>
          <w:trHeight w:val="290"/>
        </w:trPr>
        <w:tc>
          <w:tcPr>
            <w:tcW w:w="2880" w:type="dxa"/>
            <w:gridSpan w:val="2"/>
            <w:vMerge/>
            <w:tcBorders>
              <w:top w:val="single" w:sz="4" w:space="0" w:color="D9D9D9"/>
              <w:left w:val="single" w:sz="4" w:space="0" w:color="BFBFBF"/>
              <w:bottom w:val="single" w:sz="4" w:space="0" w:color="BFBFBF"/>
              <w:right w:val="single" w:sz="4" w:space="0" w:color="D9D9D9"/>
            </w:tcBorders>
            <w:vAlign w:val="center"/>
            <w:hideMark/>
          </w:tcPr>
          <w:p w14:paraId="5593599C"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p>
        </w:tc>
        <w:tc>
          <w:tcPr>
            <w:tcW w:w="3640" w:type="dxa"/>
            <w:tcBorders>
              <w:top w:val="nil"/>
              <w:left w:val="nil"/>
              <w:bottom w:val="single" w:sz="4" w:space="0" w:color="A6A6A6"/>
              <w:right w:val="single" w:sz="4" w:space="0" w:color="A6A6A6"/>
            </w:tcBorders>
            <w:shd w:val="clear" w:color="000000" w:fill="F2F2F2"/>
            <w:vAlign w:val="center"/>
            <w:hideMark/>
          </w:tcPr>
          <w:p w14:paraId="10E19A3B" w14:textId="77777777" w:rsidR="001B5C8F" w:rsidRPr="000037A1" w:rsidRDefault="001B5C8F" w:rsidP="00DC54F7">
            <w:pPr>
              <w:spacing w:after="0" w:line="240" w:lineRule="auto"/>
              <w:jc w:val="both"/>
              <w:rPr>
                <w:rFonts w:ascii="Arial" w:eastAsia="Times New Roman" w:hAnsi="Arial" w:cs="Arial"/>
                <w:b/>
                <w:bCs/>
                <w:color w:val="000000"/>
                <w:sz w:val="18"/>
                <w:szCs w:val="18"/>
                <w:lang w:eastAsia="en-GB"/>
              </w:rPr>
            </w:pPr>
            <w:r w:rsidRPr="000037A1">
              <w:rPr>
                <w:rFonts w:ascii="Arial" w:eastAsia="Times New Roman" w:hAnsi="Arial" w:cs="Arial"/>
                <w:b/>
                <w:bCs/>
                <w:color w:val="000000"/>
                <w:sz w:val="18"/>
                <w:szCs w:val="18"/>
                <w:lang w:eastAsia="en-GB"/>
              </w:rPr>
              <w:t>Total Respondents</w:t>
            </w:r>
          </w:p>
        </w:tc>
        <w:tc>
          <w:tcPr>
            <w:tcW w:w="991" w:type="dxa"/>
            <w:tcBorders>
              <w:top w:val="nil"/>
              <w:left w:val="nil"/>
              <w:bottom w:val="single" w:sz="4" w:space="0" w:color="A6A6A6"/>
              <w:right w:val="single" w:sz="4" w:space="0" w:color="A6A6A6"/>
            </w:tcBorders>
            <w:shd w:val="clear" w:color="000000" w:fill="F2F2F2"/>
            <w:vAlign w:val="center"/>
            <w:hideMark/>
          </w:tcPr>
          <w:p w14:paraId="39E673C5" w14:textId="77777777" w:rsidR="001B5C8F" w:rsidRPr="000037A1" w:rsidRDefault="001B5C8F" w:rsidP="00DC54F7">
            <w:pPr>
              <w:spacing w:after="0" w:line="240" w:lineRule="auto"/>
              <w:jc w:val="both"/>
              <w:rPr>
                <w:rFonts w:ascii="Arial" w:eastAsia="Times New Roman" w:hAnsi="Arial" w:cs="Arial"/>
                <w:b/>
                <w:bCs/>
                <w:color w:val="000000"/>
                <w:sz w:val="18"/>
                <w:szCs w:val="18"/>
                <w:lang w:eastAsia="en-GB"/>
              </w:rPr>
            </w:pPr>
            <w:r w:rsidRPr="000037A1">
              <w:rPr>
                <w:rFonts w:ascii="Arial" w:eastAsia="Times New Roman" w:hAnsi="Arial" w:cs="Arial"/>
                <w:b/>
                <w:bCs/>
                <w:color w:val="000000"/>
                <w:sz w:val="18"/>
                <w:szCs w:val="18"/>
                <w:lang w:eastAsia="en-GB"/>
              </w:rPr>
              <w:t> </w:t>
            </w:r>
          </w:p>
        </w:tc>
        <w:tc>
          <w:tcPr>
            <w:tcW w:w="1171" w:type="dxa"/>
            <w:tcBorders>
              <w:top w:val="nil"/>
              <w:left w:val="nil"/>
              <w:bottom w:val="single" w:sz="4" w:space="0" w:color="A6A6A6"/>
              <w:right w:val="single" w:sz="4" w:space="0" w:color="A6A6A6"/>
            </w:tcBorders>
            <w:shd w:val="clear" w:color="000000" w:fill="F2F2F2"/>
            <w:noWrap/>
            <w:vAlign w:val="bottom"/>
            <w:hideMark/>
          </w:tcPr>
          <w:p w14:paraId="58F41818"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 </w:t>
            </w:r>
          </w:p>
        </w:tc>
        <w:tc>
          <w:tcPr>
            <w:tcW w:w="749" w:type="dxa"/>
            <w:tcBorders>
              <w:top w:val="single" w:sz="4" w:space="0" w:color="A6A6A6"/>
              <w:left w:val="nil"/>
              <w:bottom w:val="single" w:sz="4" w:space="0" w:color="A6A6A6"/>
              <w:right w:val="single" w:sz="4" w:space="0" w:color="A6A6A6"/>
            </w:tcBorders>
            <w:shd w:val="clear" w:color="000000" w:fill="F2F2F2"/>
            <w:noWrap/>
            <w:vAlign w:val="bottom"/>
            <w:hideMark/>
          </w:tcPr>
          <w:p w14:paraId="274D2E28"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305</w:t>
            </w:r>
          </w:p>
        </w:tc>
      </w:tr>
      <w:tr w:rsidR="001B5C8F" w:rsidRPr="000037A1" w14:paraId="24D74F73" w14:textId="77777777" w:rsidTr="00D939CF">
        <w:trPr>
          <w:trHeight w:val="290"/>
        </w:trPr>
        <w:tc>
          <w:tcPr>
            <w:tcW w:w="2880" w:type="dxa"/>
            <w:gridSpan w:val="2"/>
            <w:vMerge/>
            <w:tcBorders>
              <w:top w:val="single" w:sz="4" w:space="0" w:color="D9D9D9"/>
              <w:left w:val="single" w:sz="4" w:space="0" w:color="BFBFBF"/>
              <w:bottom w:val="single" w:sz="4" w:space="0" w:color="BFBFBF"/>
              <w:right w:val="single" w:sz="4" w:space="0" w:color="D9D9D9"/>
            </w:tcBorders>
            <w:vAlign w:val="center"/>
            <w:hideMark/>
          </w:tcPr>
          <w:p w14:paraId="62BB64E7" w14:textId="77777777" w:rsidR="001B5C8F" w:rsidRPr="000037A1" w:rsidRDefault="001B5C8F" w:rsidP="00DC54F7">
            <w:pPr>
              <w:spacing w:after="0" w:line="240" w:lineRule="auto"/>
              <w:jc w:val="both"/>
              <w:rPr>
                <w:rFonts w:ascii="Arial" w:eastAsia="Times New Roman" w:hAnsi="Arial" w:cs="Arial"/>
                <w:color w:val="000000"/>
                <w:sz w:val="18"/>
                <w:szCs w:val="18"/>
                <w:lang w:eastAsia="en-GB"/>
              </w:rPr>
            </w:pPr>
          </w:p>
        </w:tc>
        <w:tc>
          <w:tcPr>
            <w:tcW w:w="3640" w:type="dxa"/>
            <w:tcBorders>
              <w:top w:val="nil"/>
              <w:left w:val="nil"/>
              <w:bottom w:val="single" w:sz="4" w:space="0" w:color="A6A6A6"/>
              <w:right w:val="single" w:sz="4" w:space="0" w:color="A6A6A6"/>
            </w:tcBorders>
            <w:shd w:val="clear" w:color="000000" w:fill="F2F2F2"/>
            <w:vAlign w:val="center"/>
            <w:hideMark/>
          </w:tcPr>
          <w:p w14:paraId="4A1AD220" w14:textId="77777777" w:rsidR="001B5C8F" w:rsidRPr="000037A1" w:rsidRDefault="001B5C8F" w:rsidP="00DC54F7">
            <w:pPr>
              <w:spacing w:after="0" w:line="240" w:lineRule="auto"/>
              <w:jc w:val="both"/>
              <w:rPr>
                <w:rFonts w:ascii="Arial" w:eastAsia="Times New Roman" w:hAnsi="Arial" w:cs="Arial"/>
                <w:b/>
                <w:bCs/>
                <w:color w:val="000000"/>
                <w:sz w:val="18"/>
                <w:szCs w:val="18"/>
                <w:lang w:eastAsia="en-GB"/>
              </w:rPr>
            </w:pPr>
            <w:r w:rsidRPr="000037A1">
              <w:rPr>
                <w:rFonts w:ascii="Arial" w:eastAsia="Times New Roman" w:hAnsi="Arial" w:cs="Arial"/>
                <w:b/>
                <w:bCs/>
                <w:color w:val="000000"/>
                <w:sz w:val="18"/>
                <w:szCs w:val="18"/>
                <w:lang w:eastAsia="en-GB"/>
              </w:rPr>
              <w:t>Skipped</w:t>
            </w:r>
          </w:p>
        </w:tc>
        <w:tc>
          <w:tcPr>
            <w:tcW w:w="991" w:type="dxa"/>
            <w:tcBorders>
              <w:top w:val="nil"/>
              <w:left w:val="nil"/>
              <w:bottom w:val="single" w:sz="4" w:space="0" w:color="A6A6A6"/>
              <w:right w:val="single" w:sz="4" w:space="0" w:color="A6A6A6"/>
            </w:tcBorders>
            <w:shd w:val="clear" w:color="000000" w:fill="F2F2F2"/>
            <w:vAlign w:val="center"/>
            <w:hideMark/>
          </w:tcPr>
          <w:p w14:paraId="01FBF829" w14:textId="77777777" w:rsidR="001B5C8F" w:rsidRPr="000037A1" w:rsidRDefault="001B5C8F" w:rsidP="00DC54F7">
            <w:pPr>
              <w:spacing w:after="0" w:line="240" w:lineRule="auto"/>
              <w:jc w:val="both"/>
              <w:rPr>
                <w:rFonts w:ascii="Arial" w:eastAsia="Times New Roman" w:hAnsi="Arial" w:cs="Arial"/>
                <w:b/>
                <w:bCs/>
                <w:color w:val="000000"/>
                <w:sz w:val="18"/>
                <w:szCs w:val="18"/>
                <w:lang w:eastAsia="en-GB"/>
              </w:rPr>
            </w:pPr>
            <w:r w:rsidRPr="000037A1">
              <w:rPr>
                <w:rFonts w:ascii="Arial" w:eastAsia="Times New Roman" w:hAnsi="Arial" w:cs="Arial"/>
                <w:b/>
                <w:bCs/>
                <w:color w:val="000000"/>
                <w:sz w:val="18"/>
                <w:szCs w:val="18"/>
                <w:lang w:eastAsia="en-GB"/>
              </w:rPr>
              <w:t> </w:t>
            </w:r>
          </w:p>
        </w:tc>
        <w:tc>
          <w:tcPr>
            <w:tcW w:w="1171" w:type="dxa"/>
            <w:tcBorders>
              <w:top w:val="nil"/>
              <w:left w:val="nil"/>
              <w:bottom w:val="single" w:sz="4" w:space="0" w:color="A6A6A6"/>
              <w:right w:val="single" w:sz="4" w:space="0" w:color="A6A6A6"/>
            </w:tcBorders>
            <w:shd w:val="clear" w:color="000000" w:fill="F2F2F2"/>
            <w:noWrap/>
            <w:vAlign w:val="bottom"/>
            <w:hideMark/>
          </w:tcPr>
          <w:p w14:paraId="3A6BEAE7"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 </w:t>
            </w:r>
          </w:p>
        </w:tc>
        <w:tc>
          <w:tcPr>
            <w:tcW w:w="749" w:type="dxa"/>
            <w:tcBorders>
              <w:top w:val="nil"/>
              <w:left w:val="nil"/>
              <w:bottom w:val="single" w:sz="4" w:space="0" w:color="A6A6A6"/>
              <w:right w:val="single" w:sz="4" w:space="0" w:color="A6A6A6"/>
            </w:tcBorders>
            <w:shd w:val="clear" w:color="000000" w:fill="F2F2F2"/>
            <w:noWrap/>
            <w:vAlign w:val="bottom"/>
            <w:hideMark/>
          </w:tcPr>
          <w:p w14:paraId="591F67A0" w14:textId="77777777" w:rsidR="001B5C8F" w:rsidRPr="000037A1" w:rsidRDefault="001B5C8F" w:rsidP="00DC54F7">
            <w:pPr>
              <w:spacing w:after="0" w:line="240" w:lineRule="auto"/>
              <w:jc w:val="both"/>
              <w:rPr>
                <w:rFonts w:ascii="Calibri" w:eastAsia="Times New Roman" w:hAnsi="Calibri" w:cs="Calibri"/>
                <w:color w:val="000000"/>
                <w:lang w:eastAsia="en-GB"/>
              </w:rPr>
            </w:pPr>
            <w:r w:rsidRPr="000037A1">
              <w:rPr>
                <w:rFonts w:ascii="Calibri" w:eastAsia="Times New Roman" w:hAnsi="Calibri" w:cs="Calibri"/>
                <w:color w:val="000000"/>
                <w:lang w:eastAsia="en-GB"/>
              </w:rPr>
              <w:t>6</w:t>
            </w:r>
          </w:p>
        </w:tc>
      </w:tr>
    </w:tbl>
    <w:p w14:paraId="27B24E8E" w14:textId="06BC5B1D" w:rsidR="00D301A3" w:rsidRDefault="00D301A3" w:rsidP="00DC54F7">
      <w:pPr>
        <w:spacing w:after="0" w:line="240" w:lineRule="auto"/>
        <w:jc w:val="both"/>
        <w:rPr>
          <w:rFonts w:ascii="Arial" w:eastAsia="Times New Roman" w:hAnsi="Arial" w:cs="Arial"/>
          <w:b/>
          <w:bCs/>
          <w:color w:val="333333"/>
          <w:lang w:eastAsia="en-GB"/>
        </w:rPr>
      </w:pPr>
    </w:p>
    <w:p w14:paraId="03000C67" w14:textId="33E88CFB" w:rsidR="001B5C8F" w:rsidRDefault="001B5C8F" w:rsidP="00DC54F7">
      <w:pPr>
        <w:spacing w:after="0" w:line="240" w:lineRule="auto"/>
        <w:jc w:val="both"/>
        <w:rPr>
          <w:rFonts w:ascii="Arial" w:eastAsia="Times New Roman" w:hAnsi="Arial" w:cs="Arial"/>
          <w:b/>
          <w:bCs/>
          <w:color w:val="333333"/>
          <w:lang w:eastAsia="en-GB"/>
        </w:rPr>
      </w:pPr>
    </w:p>
    <w:p w14:paraId="7B75508D" w14:textId="5EA01A1F" w:rsidR="001B5C8F" w:rsidRDefault="001B5C8F" w:rsidP="00DC54F7">
      <w:pPr>
        <w:spacing w:after="0" w:line="240" w:lineRule="auto"/>
        <w:jc w:val="both"/>
        <w:rPr>
          <w:rFonts w:ascii="Arial" w:eastAsia="Times New Roman" w:hAnsi="Arial" w:cs="Arial"/>
          <w:b/>
          <w:bCs/>
          <w:color w:val="333333"/>
          <w:lang w:eastAsia="en-GB"/>
        </w:rPr>
      </w:pPr>
    </w:p>
    <w:p w14:paraId="3F16FC7D" w14:textId="6021AFDD" w:rsidR="001B5C8F" w:rsidRDefault="001B5C8F" w:rsidP="00DC54F7">
      <w:pPr>
        <w:spacing w:after="0" w:line="240" w:lineRule="auto"/>
        <w:jc w:val="both"/>
        <w:rPr>
          <w:rFonts w:ascii="Arial" w:eastAsia="Times New Roman" w:hAnsi="Arial" w:cs="Arial"/>
          <w:b/>
          <w:bCs/>
          <w:color w:val="333333"/>
          <w:lang w:eastAsia="en-GB"/>
        </w:rPr>
      </w:pPr>
    </w:p>
    <w:p w14:paraId="07649CA9" w14:textId="39DABE09" w:rsidR="00AE758E" w:rsidRDefault="00AE758E" w:rsidP="00DC54F7">
      <w:pPr>
        <w:spacing w:after="0" w:line="240" w:lineRule="auto"/>
        <w:jc w:val="both"/>
        <w:rPr>
          <w:rFonts w:ascii="Arial" w:eastAsia="Times New Roman" w:hAnsi="Arial" w:cs="Arial"/>
          <w:b/>
          <w:bCs/>
          <w:color w:val="333333"/>
          <w:lang w:eastAsia="en-GB"/>
        </w:rPr>
      </w:pPr>
    </w:p>
    <w:p w14:paraId="17B9336B" w14:textId="36F642AC" w:rsidR="00AE758E" w:rsidRDefault="00AE758E">
      <w:pPr>
        <w:rPr>
          <w:rFonts w:ascii="Arial" w:eastAsia="Times New Roman" w:hAnsi="Arial" w:cs="Arial"/>
          <w:b/>
          <w:bCs/>
          <w:color w:val="333333"/>
          <w:lang w:eastAsia="en-GB"/>
        </w:rPr>
      </w:pPr>
      <w:r>
        <w:rPr>
          <w:rFonts w:ascii="Arial" w:eastAsia="Times New Roman" w:hAnsi="Arial" w:cs="Arial"/>
          <w:b/>
          <w:bCs/>
          <w:color w:val="333333"/>
          <w:lang w:eastAsia="en-GB"/>
        </w:rPr>
        <w:br w:type="page"/>
      </w:r>
    </w:p>
    <w:p w14:paraId="2068A02C" w14:textId="77777777" w:rsidR="00AE758E" w:rsidRDefault="00AE758E" w:rsidP="00DC54F7">
      <w:pPr>
        <w:spacing w:after="0" w:line="240" w:lineRule="auto"/>
        <w:jc w:val="both"/>
        <w:rPr>
          <w:rFonts w:ascii="Arial" w:eastAsia="Times New Roman" w:hAnsi="Arial" w:cs="Arial"/>
          <w:b/>
          <w:bCs/>
          <w:color w:val="333333"/>
          <w:lang w:eastAsia="en-GB"/>
        </w:rPr>
      </w:pPr>
    </w:p>
    <w:p w14:paraId="070A0D44" w14:textId="77777777" w:rsidR="00D301A3" w:rsidRDefault="00D301A3" w:rsidP="00DC54F7">
      <w:pPr>
        <w:spacing w:after="0" w:line="240" w:lineRule="auto"/>
        <w:jc w:val="both"/>
        <w:rPr>
          <w:rFonts w:ascii="Arial" w:eastAsia="Times New Roman" w:hAnsi="Arial" w:cs="Arial"/>
          <w:b/>
          <w:bCs/>
          <w:color w:val="333333"/>
          <w:lang w:eastAsia="en-GB"/>
        </w:rPr>
      </w:pPr>
      <w:r w:rsidRPr="00FE14A4">
        <w:rPr>
          <w:rFonts w:ascii="Arial" w:eastAsia="Times New Roman" w:hAnsi="Arial" w:cs="Arial"/>
          <w:b/>
          <w:bCs/>
          <w:color w:val="333333"/>
          <w:lang w:eastAsia="en-GB"/>
        </w:rPr>
        <w:t>19. Have you used any of the services listed in question 18? Please tick all that apply.</w:t>
      </w:r>
      <w:r w:rsidRPr="001547AB">
        <w:rPr>
          <w:rFonts w:ascii="Arial" w:eastAsia="Times New Roman" w:hAnsi="Arial" w:cs="Arial"/>
          <w:b/>
          <w:bCs/>
          <w:color w:val="333333"/>
          <w:lang w:eastAsia="en-GB"/>
        </w:rPr>
        <w:t xml:space="preserve"> </w:t>
      </w:r>
    </w:p>
    <w:p w14:paraId="27ABA1D4" w14:textId="77777777" w:rsidR="00D301A3" w:rsidRDefault="00D301A3" w:rsidP="00DC54F7">
      <w:pPr>
        <w:spacing w:after="0" w:line="240" w:lineRule="auto"/>
        <w:jc w:val="both"/>
        <w:rPr>
          <w:rFonts w:ascii="Arial" w:eastAsia="Times New Roman" w:hAnsi="Arial" w:cs="Arial"/>
          <w:b/>
          <w:bCs/>
          <w:color w:val="333333"/>
          <w:lang w:eastAsia="en-GB"/>
        </w:rPr>
      </w:pPr>
    </w:p>
    <w:p w14:paraId="7E6BF75C" w14:textId="77777777" w:rsidR="00D301A3" w:rsidRPr="00DC225D" w:rsidRDefault="00D301A3" w:rsidP="00DC54F7">
      <w:pPr>
        <w:spacing w:after="0" w:line="240" w:lineRule="auto"/>
        <w:jc w:val="both"/>
        <w:rPr>
          <w:rFonts w:ascii="Arial" w:eastAsia="Times New Roman" w:hAnsi="Arial" w:cs="Arial"/>
          <w:b/>
          <w:bCs/>
          <w:color w:val="333333"/>
        </w:rPr>
      </w:pPr>
      <w:r>
        <w:rPr>
          <w:rFonts w:ascii="Arial" w:eastAsia="Times New Roman" w:hAnsi="Arial" w:cs="Arial"/>
          <w:b/>
          <w:bCs/>
          <w:color w:val="333333"/>
        </w:rPr>
        <w:t>(</w:t>
      </w:r>
      <w:r w:rsidRPr="007F0913">
        <w:rPr>
          <w:rFonts w:ascii="Arial" w:hAnsi="Arial" w:cs="Arial"/>
        </w:rPr>
        <w:t>Multiple answers could be given to this question</w:t>
      </w:r>
      <w:r>
        <w:t>)</w:t>
      </w:r>
    </w:p>
    <w:tbl>
      <w:tblPr>
        <w:tblW w:w="8898" w:type="dxa"/>
        <w:tblLook w:val="04A0" w:firstRow="1" w:lastRow="0" w:firstColumn="1" w:lastColumn="0" w:noHBand="0" w:noVBand="1"/>
      </w:tblPr>
      <w:tblGrid>
        <w:gridCol w:w="1059"/>
        <w:gridCol w:w="2119"/>
        <w:gridCol w:w="2097"/>
        <w:gridCol w:w="1299"/>
        <w:gridCol w:w="1497"/>
        <w:gridCol w:w="827"/>
      </w:tblGrid>
      <w:tr w:rsidR="001B5C8F" w:rsidRPr="005F25D7" w14:paraId="26ABF8E4" w14:textId="77777777" w:rsidTr="00D939CF">
        <w:trPr>
          <w:trHeight w:val="295"/>
        </w:trPr>
        <w:tc>
          <w:tcPr>
            <w:tcW w:w="5275" w:type="dxa"/>
            <w:gridSpan w:val="3"/>
            <w:tcBorders>
              <w:top w:val="single" w:sz="4" w:space="0" w:color="A6A6A6"/>
              <w:left w:val="single" w:sz="4" w:space="0" w:color="A6A6A6"/>
              <w:bottom w:val="single" w:sz="4" w:space="0" w:color="A6A6A6"/>
              <w:right w:val="nil"/>
            </w:tcBorders>
            <w:shd w:val="clear" w:color="000000" w:fill="8497B0"/>
            <w:noWrap/>
            <w:vAlign w:val="center"/>
            <w:hideMark/>
          </w:tcPr>
          <w:p w14:paraId="2C34AF32" w14:textId="77777777" w:rsidR="001B5C8F" w:rsidRPr="005F25D7" w:rsidRDefault="001B5C8F" w:rsidP="00DC54F7">
            <w:pPr>
              <w:spacing w:after="0" w:line="240" w:lineRule="auto"/>
              <w:jc w:val="both"/>
              <w:rPr>
                <w:rFonts w:ascii="Arial" w:eastAsia="Times New Roman" w:hAnsi="Arial" w:cs="Arial"/>
                <w:b/>
                <w:bCs/>
                <w:color w:val="FFFFFF"/>
                <w:sz w:val="21"/>
                <w:szCs w:val="21"/>
                <w:lang w:eastAsia="en-GB"/>
              </w:rPr>
            </w:pPr>
            <w:r w:rsidRPr="005F25D7">
              <w:rPr>
                <w:rFonts w:ascii="Arial" w:eastAsia="Times New Roman" w:hAnsi="Arial" w:cs="Arial"/>
                <w:b/>
                <w:bCs/>
                <w:color w:val="FFFFFF"/>
                <w:sz w:val="21"/>
                <w:szCs w:val="21"/>
                <w:lang w:eastAsia="en-GB"/>
              </w:rPr>
              <w:t> </w:t>
            </w:r>
          </w:p>
        </w:tc>
        <w:tc>
          <w:tcPr>
            <w:tcW w:w="1299" w:type="dxa"/>
            <w:tcBorders>
              <w:top w:val="single" w:sz="4" w:space="0" w:color="A6A6A6"/>
              <w:left w:val="nil"/>
              <w:bottom w:val="single" w:sz="4" w:space="0" w:color="A6A6A6"/>
              <w:right w:val="nil"/>
            </w:tcBorders>
            <w:shd w:val="clear" w:color="000000" w:fill="8497B0"/>
            <w:noWrap/>
            <w:vAlign w:val="center"/>
            <w:hideMark/>
          </w:tcPr>
          <w:p w14:paraId="7C31CC0E" w14:textId="77777777" w:rsidR="001B5C8F" w:rsidRPr="005F25D7" w:rsidRDefault="001B5C8F" w:rsidP="00DC54F7">
            <w:pPr>
              <w:spacing w:after="0" w:line="240" w:lineRule="auto"/>
              <w:jc w:val="both"/>
              <w:rPr>
                <w:rFonts w:ascii="Arial" w:eastAsia="Times New Roman" w:hAnsi="Arial" w:cs="Arial"/>
                <w:b/>
                <w:bCs/>
                <w:color w:val="FFFFFF"/>
                <w:sz w:val="21"/>
                <w:szCs w:val="21"/>
                <w:lang w:eastAsia="en-GB"/>
              </w:rPr>
            </w:pPr>
            <w:r w:rsidRPr="005F25D7">
              <w:rPr>
                <w:rFonts w:ascii="Arial" w:eastAsia="Times New Roman" w:hAnsi="Arial" w:cs="Arial"/>
                <w:b/>
                <w:bCs/>
                <w:color w:val="FFFFFF"/>
                <w:sz w:val="21"/>
                <w:szCs w:val="21"/>
                <w:lang w:eastAsia="en-GB"/>
              </w:rPr>
              <w:t> </w:t>
            </w:r>
          </w:p>
        </w:tc>
        <w:tc>
          <w:tcPr>
            <w:tcW w:w="2324" w:type="dxa"/>
            <w:gridSpan w:val="2"/>
            <w:tcBorders>
              <w:top w:val="single" w:sz="4" w:space="0" w:color="A6A6A6"/>
              <w:left w:val="nil"/>
              <w:bottom w:val="single" w:sz="4" w:space="0" w:color="A6A6A6"/>
              <w:right w:val="single" w:sz="4" w:space="0" w:color="A6A6A6"/>
            </w:tcBorders>
            <w:shd w:val="clear" w:color="000000" w:fill="8497B0"/>
            <w:noWrap/>
            <w:vAlign w:val="center"/>
            <w:hideMark/>
          </w:tcPr>
          <w:p w14:paraId="1D6E2C73" w14:textId="77777777" w:rsidR="001B5C8F" w:rsidRPr="005F25D7" w:rsidRDefault="001B5C8F" w:rsidP="00DC54F7">
            <w:pPr>
              <w:spacing w:after="0" w:line="240" w:lineRule="auto"/>
              <w:jc w:val="both"/>
              <w:rPr>
                <w:rFonts w:ascii="Arial" w:eastAsia="Times New Roman" w:hAnsi="Arial" w:cs="Arial"/>
                <w:b/>
                <w:bCs/>
                <w:color w:val="FFFFFF"/>
                <w:sz w:val="21"/>
                <w:szCs w:val="21"/>
                <w:lang w:eastAsia="en-GB"/>
              </w:rPr>
            </w:pPr>
            <w:r w:rsidRPr="005F25D7">
              <w:rPr>
                <w:rFonts w:ascii="Arial" w:eastAsia="Times New Roman" w:hAnsi="Arial" w:cs="Arial"/>
                <w:b/>
                <w:bCs/>
                <w:color w:val="FFFFFF"/>
                <w:sz w:val="21"/>
                <w:szCs w:val="21"/>
                <w:lang w:eastAsia="en-GB"/>
              </w:rPr>
              <w:t>Response</w:t>
            </w:r>
          </w:p>
        </w:tc>
      </w:tr>
      <w:tr w:rsidR="001B5C8F" w:rsidRPr="005F25D7" w14:paraId="4B2A0D27" w14:textId="77777777" w:rsidTr="00D939CF">
        <w:trPr>
          <w:trHeight w:val="703"/>
        </w:trPr>
        <w:tc>
          <w:tcPr>
            <w:tcW w:w="5275"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2E7816C0" w14:textId="77777777" w:rsidR="001B5C8F" w:rsidRPr="005F25D7" w:rsidRDefault="001B5C8F" w:rsidP="00DC54F7">
            <w:pPr>
              <w:spacing w:after="0" w:line="240" w:lineRule="auto"/>
              <w:jc w:val="both"/>
              <w:rPr>
                <w:rFonts w:ascii="Arial" w:eastAsia="Times New Roman" w:hAnsi="Arial" w:cs="Arial"/>
                <w:b/>
                <w:bCs/>
                <w:color w:val="000000"/>
                <w:sz w:val="18"/>
                <w:szCs w:val="18"/>
                <w:lang w:eastAsia="en-GB"/>
              </w:rPr>
            </w:pPr>
            <w:r w:rsidRPr="005F25D7">
              <w:rPr>
                <w:rFonts w:ascii="Arial" w:eastAsia="Times New Roman" w:hAnsi="Arial" w:cs="Arial"/>
                <w:b/>
                <w:bCs/>
                <w:color w:val="000000"/>
                <w:sz w:val="18"/>
                <w:szCs w:val="18"/>
                <w:lang w:eastAsia="en-GB"/>
              </w:rPr>
              <w:t> </w:t>
            </w:r>
          </w:p>
        </w:tc>
        <w:tc>
          <w:tcPr>
            <w:tcW w:w="1299" w:type="dxa"/>
            <w:tcBorders>
              <w:top w:val="nil"/>
              <w:left w:val="nil"/>
              <w:bottom w:val="single" w:sz="4" w:space="0" w:color="A6A6A6"/>
              <w:right w:val="single" w:sz="4" w:space="0" w:color="A6A6A6"/>
            </w:tcBorders>
            <w:shd w:val="clear" w:color="000000" w:fill="F2F2F2"/>
            <w:vAlign w:val="center"/>
            <w:hideMark/>
          </w:tcPr>
          <w:p w14:paraId="500D8802" w14:textId="77777777" w:rsidR="001B5C8F" w:rsidRPr="005F25D7" w:rsidRDefault="001B5C8F" w:rsidP="00DC54F7">
            <w:pPr>
              <w:spacing w:after="0" w:line="240" w:lineRule="auto"/>
              <w:jc w:val="both"/>
              <w:rPr>
                <w:rFonts w:ascii="Arial" w:eastAsia="Times New Roman" w:hAnsi="Arial" w:cs="Arial"/>
                <w:b/>
                <w:bCs/>
                <w:color w:val="000000"/>
                <w:sz w:val="18"/>
                <w:szCs w:val="18"/>
                <w:lang w:eastAsia="en-GB"/>
              </w:rPr>
            </w:pPr>
            <w:r w:rsidRPr="005F25D7">
              <w:rPr>
                <w:rFonts w:ascii="Arial" w:eastAsia="Times New Roman" w:hAnsi="Arial" w:cs="Arial"/>
                <w:b/>
                <w:bCs/>
                <w:color w:val="000000"/>
                <w:sz w:val="18"/>
                <w:szCs w:val="18"/>
                <w:lang w:eastAsia="en-GB"/>
              </w:rPr>
              <w:t>Percent Responses</w:t>
            </w:r>
          </w:p>
        </w:tc>
        <w:tc>
          <w:tcPr>
            <w:tcW w:w="1497" w:type="dxa"/>
            <w:tcBorders>
              <w:top w:val="nil"/>
              <w:left w:val="nil"/>
              <w:bottom w:val="single" w:sz="4" w:space="0" w:color="A6A6A6"/>
              <w:right w:val="single" w:sz="4" w:space="0" w:color="A6A6A6"/>
            </w:tcBorders>
            <w:shd w:val="clear" w:color="000000" w:fill="F2F2F2"/>
            <w:vAlign w:val="center"/>
            <w:hideMark/>
          </w:tcPr>
          <w:p w14:paraId="3227A0C6" w14:textId="77777777" w:rsidR="001B5C8F" w:rsidRPr="005F25D7" w:rsidRDefault="001B5C8F" w:rsidP="00DC54F7">
            <w:pPr>
              <w:spacing w:after="0" w:line="240" w:lineRule="auto"/>
              <w:jc w:val="both"/>
              <w:rPr>
                <w:rFonts w:ascii="Arial" w:eastAsia="Times New Roman" w:hAnsi="Arial" w:cs="Arial"/>
                <w:b/>
                <w:bCs/>
                <w:color w:val="000000"/>
                <w:sz w:val="18"/>
                <w:szCs w:val="18"/>
                <w:lang w:eastAsia="en-GB"/>
              </w:rPr>
            </w:pPr>
            <w:r w:rsidRPr="005F25D7">
              <w:rPr>
                <w:rFonts w:ascii="Arial" w:eastAsia="Times New Roman" w:hAnsi="Arial" w:cs="Arial"/>
                <w:b/>
                <w:bCs/>
                <w:color w:val="000000"/>
                <w:sz w:val="18"/>
                <w:szCs w:val="18"/>
                <w:lang w:eastAsia="en-GB"/>
              </w:rPr>
              <w:t>Percent Respondents</w:t>
            </w:r>
          </w:p>
        </w:tc>
        <w:tc>
          <w:tcPr>
            <w:tcW w:w="826" w:type="dxa"/>
            <w:tcBorders>
              <w:top w:val="nil"/>
              <w:left w:val="nil"/>
              <w:bottom w:val="single" w:sz="4" w:space="0" w:color="A6A6A6"/>
              <w:right w:val="single" w:sz="4" w:space="0" w:color="A6A6A6"/>
            </w:tcBorders>
            <w:shd w:val="clear" w:color="000000" w:fill="F2F2F2"/>
            <w:noWrap/>
            <w:vAlign w:val="center"/>
            <w:hideMark/>
          </w:tcPr>
          <w:p w14:paraId="354FA2EC" w14:textId="77777777" w:rsidR="001B5C8F" w:rsidRPr="005F25D7" w:rsidRDefault="001B5C8F" w:rsidP="00DC54F7">
            <w:pPr>
              <w:spacing w:after="0" w:line="240" w:lineRule="auto"/>
              <w:jc w:val="both"/>
              <w:rPr>
                <w:rFonts w:ascii="Arial" w:eastAsia="Times New Roman" w:hAnsi="Arial" w:cs="Arial"/>
                <w:b/>
                <w:bCs/>
                <w:color w:val="000000"/>
                <w:sz w:val="18"/>
                <w:szCs w:val="18"/>
                <w:lang w:eastAsia="en-GB"/>
              </w:rPr>
            </w:pPr>
            <w:r w:rsidRPr="005F25D7">
              <w:rPr>
                <w:rFonts w:ascii="Arial" w:eastAsia="Times New Roman" w:hAnsi="Arial" w:cs="Arial"/>
                <w:b/>
                <w:bCs/>
                <w:color w:val="000000"/>
                <w:sz w:val="18"/>
                <w:szCs w:val="18"/>
                <w:lang w:eastAsia="en-GB"/>
              </w:rPr>
              <w:t>Total</w:t>
            </w:r>
          </w:p>
        </w:tc>
      </w:tr>
      <w:tr w:rsidR="001B5C8F" w:rsidRPr="005F25D7" w14:paraId="07135062" w14:textId="77777777" w:rsidTr="00D939CF">
        <w:trPr>
          <w:trHeight w:val="295"/>
        </w:trPr>
        <w:tc>
          <w:tcPr>
            <w:tcW w:w="1059" w:type="dxa"/>
            <w:tcBorders>
              <w:top w:val="nil"/>
              <w:left w:val="single" w:sz="4" w:space="0" w:color="A6A6A6"/>
              <w:bottom w:val="single" w:sz="4" w:space="0" w:color="A6A6A6"/>
              <w:right w:val="single" w:sz="4" w:space="0" w:color="A6A6A6"/>
            </w:tcBorders>
            <w:shd w:val="clear" w:color="000000" w:fill="F2F2F2"/>
            <w:vAlign w:val="center"/>
            <w:hideMark/>
          </w:tcPr>
          <w:p w14:paraId="27476DB5"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1</w:t>
            </w:r>
          </w:p>
        </w:tc>
        <w:tc>
          <w:tcPr>
            <w:tcW w:w="4216" w:type="dxa"/>
            <w:gridSpan w:val="2"/>
            <w:tcBorders>
              <w:top w:val="single" w:sz="4" w:space="0" w:color="A6A6A6"/>
              <w:left w:val="nil"/>
              <w:bottom w:val="single" w:sz="4" w:space="0" w:color="A6A6A6"/>
              <w:right w:val="single" w:sz="4" w:space="0" w:color="A6A6A6"/>
            </w:tcBorders>
            <w:shd w:val="clear" w:color="auto" w:fill="auto"/>
            <w:vAlign w:val="center"/>
            <w:hideMark/>
          </w:tcPr>
          <w:p w14:paraId="7A4878BD"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 xml:space="preserve">Flu vaccinations </w:t>
            </w:r>
          </w:p>
        </w:tc>
        <w:tc>
          <w:tcPr>
            <w:tcW w:w="1299" w:type="dxa"/>
            <w:tcBorders>
              <w:top w:val="nil"/>
              <w:left w:val="nil"/>
              <w:bottom w:val="single" w:sz="4" w:space="0" w:color="A6A6A6"/>
              <w:right w:val="single" w:sz="4" w:space="0" w:color="A6A6A6"/>
            </w:tcBorders>
            <w:shd w:val="clear" w:color="000000" w:fill="F2F2F2"/>
            <w:noWrap/>
            <w:vAlign w:val="bottom"/>
            <w:hideMark/>
          </w:tcPr>
          <w:p w14:paraId="494CEF82"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15.12%</w:t>
            </w:r>
          </w:p>
        </w:tc>
        <w:tc>
          <w:tcPr>
            <w:tcW w:w="1497" w:type="dxa"/>
            <w:tcBorders>
              <w:top w:val="nil"/>
              <w:left w:val="nil"/>
              <w:bottom w:val="single" w:sz="4" w:space="0" w:color="A6A6A6"/>
              <w:right w:val="single" w:sz="4" w:space="0" w:color="A6A6A6"/>
            </w:tcBorders>
            <w:shd w:val="clear" w:color="000000" w:fill="F2F2F2"/>
            <w:noWrap/>
            <w:vAlign w:val="bottom"/>
            <w:hideMark/>
          </w:tcPr>
          <w:p w14:paraId="278D2A04"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20.28%</w:t>
            </w:r>
          </w:p>
        </w:tc>
        <w:tc>
          <w:tcPr>
            <w:tcW w:w="826" w:type="dxa"/>
            <w:tcBorders>
              <w:top w:val="nil"/>
              <w:left w:val="nil"/>
              <w:bottom w:val="single" w:sz="4" w:space="0" w:color="A6A6A6"/>
              <w:right w:val="single" w:sz="4" w:space="0" w:color="A6A6A6"/>
            </w:tcBorders>
            <w:shd w:val="clear" w:color="000000" w:fill="F2F2F2"/>
            <w:noWrap/>
            <w:vAlign w:val="bottom"/>
            <w:hideMark/>
          </w:tcPr>
          <w:p w14:paraId="6D91A27C"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57</w:t>
            </w:r>
          </w:p>
        </w:tc>
      </w:tr>
      <w:tr w:rsidR="001B5C8F" w:rsidRPr="005F25D7" w14:paraId="265DE8C4" w14:textId="77777777" w:rsidTr="00D939CF">
        <w:trPr>
          <w:trHeight w:val="295"/>
        </w:trPr>
        <w:tc>
          <w:tcPr>
            <w:tcW w:w="1059" w:type="dxa"/>
            <w:tcBorders>
              <w:top w:val="nil"/>
              <w:left w:val="single" w:sz="4" w:space="0" w:color="A6A6A6"/>
              <w:bottom w:val="single" w:sz="4" w:space="0" w:color="A6A6A6"/>
              <w:right w:val="single" w:sz="4" w:space="0" w:color="A6A6A6"/>
            </w:tcBorders>
            <w:shd w:val="clear" w:color="000000" w:fill="F2F2F2"/>
            <w:vAlign w:val="center"/>
            <w:hideMark/>
          </w:tcPr>
          <w:p w14:paraId="0AFF7148"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2</w:t>
            </w:r>
          </w:p>
        </w:tc>
        <w:tc>
          <w:tcPr>
            <w:tcW w:w="4216" w:type="dxa"/>
            <w:gridSpan w:val="2"/>
            <w:tcBorders>
              <w:top w:val="single" w:sz="4" w:space="0" w:color="A6A6A6"/>
              <w:left w:val="nil"/>
              <w:bottom w:val="single" w:sz="4" w:space="0" w:color="A6A6A6"/>
              <w:right w:val="single" w:sz="4" w:space="0" w:color="A6A6A6"/>
            </w:tcBorders>
            <w:shd w:val="clear" w:color="auto" w:fill="auto"/>
            <w:vAlign w:val="center"/>
            <w:hideMark/>
          </w:tcPr>
          <w:p w14:paraId="04A99B0C"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Medicines use review service</w:t>
            </w:r>
          </w:p>
        </w:tc>
        <w:tc>
          <w:tcPr>
            <w:tcW w:w="1299" w:type="dxa"/>
            <w:tcBorders>
              <w:top w:val="nil"/>
              <w:left w:val="nil"/>
              <w:bottom w:val="single" w:sz="4" w:space="0" w:color="A6A6A6"/>
              <w:right w:val="single" w:sz="4" w:space="0" w:color="A6A6A6"/>
            </w:tcBorders>
            <w:shd w:val="clear" w:color="000000" w:fill="F2F2F2"/>
            <w:noWrap/>
            <w:vAlign w:val="bottom"/>
            <w:hideMark/>
          </w:tcPr>
          <w:p w14:paraId="79ADBE33"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15.92%</w:t>
            </w:r>
          </w:p>
        </w:tc>
        <w:tc>
          <w:tcPr>
            <w:tcW w:w="1497" w:type="dxa"/>
            <w:tcBorders>
              <w:top w:val="nil"/>
              <w:left w:val="nil"/>
              <w:bottom w:val="single" w:sz="4" w:space="0" w:color="A6A6A6"/>
              <w:right w:val="single" w:sz="4" w:space="0" w:color="A6A6A6"/>
            </w:tcBorders>
            <w:shd w:val="clear" w:color="000000" w:fill="F2F2F2"/>
            <w:noWrap/>
            <w:vAlign w:val="bottom"/>
            <w:hideMark/>
          </w:tcPr>
          <w:p w14:paraId="19669621"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21.35%</w:t>
            </w:r>
          </w:p>
        </w:tc>
        <w:tc>
          <w:tcPr>
            <w:tcW w:w="826" w:type="dxa"/>
            <w:tcBorders>
              <w:top w:val="nil"/>
              <w:left w:val="nil"/>
              <w:bottom w:val="single" w:sz="4" w:space="0" w:color="A6A6A6"/>
              <w:right w:val="single" w:sz="4" w:space="0" w:color="A6A6A6"/>
            </w:tcBorders>
            <w:shd w:val="clear" w:color="000000" w:fill="F2F2F2"/>
            <w:noWrap/>
            <w:vAlign w:val="bottom"/>
            <w:hideMark/>
          </w:tcPr>
          <w:p w14:paraId="0F9A1D2C"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60</w:t>
            </w:r>
          </w:p>
        </w:tc>
      </w:tr>
      <w:tr w:rsidR="001B5C8F" w:rsidRPr="005F25D7" w14:paraId="5BE211A0" w14:textId="77777777" w:rsidTr="00D939CF">
        <w:trPr>
          <w:trHeight w:val="295"/>
        </w:trPr>
        <w:tc>
          <w:tcPr>
            <w:tcW w:w="1059" w:type="dxa"/>
            <w:tcBorders>
              <w:top w:val="nil"/>
              <w:left w:val="single" w:sz="4" w:space="0" w:color="A6A6A6"/>
              <w:bottom w:val="single" w:sz="4" w:space="0" w:color="A6A6A6"/>
              <w:right w:val="single" w:sz="4" w:space="0" w:color="A6A6A6"/>
            </w:tcBorders>
            <w:shd w:val="clear" w:color="000000" w:fill="F2F2F2"/>
            <w:vAlign w:val="center"/>
            <w:hideMark/>
          </w:tcPr>
          <w:p w14:paraId="7BB7817D"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3</w:t>
            </w:r>
          </w:p>
        </w:tc>
        <w:tc>
          <w:tcPr>
            <w:tcW w:w="4216" w:type="dxa"/>
            <w:gridSpan w:val="2"/>
            <w:tcBorders>
              <w:top w:val="single" w:sz="4" w:space="0" w:color="A6A6A6"/>
              <w:left w:val="nil"/>
              <w:bottom w:val="single" w:sz="4" w:space="0" w:color="A6A6A6"/>
              <w:right w:val="single" w:sz="4" w:space="0" w:color="A6A6A6"/>
            </w:tcBorders>
            <w:shd w:val="clear" w:color="auto" w:fill="auto"/>
            <w:vAlign w:val="center"/>
            <w:hideMark/>
          </w:tcPr>
          <w:p w14:paraId="49EF93E4"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Discharge medicines review service</w:t>
            </w:r>
          </w:p>
        </w:tc>
        <w:tc>
          <w:tcPr>
            <w:tcW w:w="1299" w:type="dxa"/>
            <w:tcBorders>
              <w:top w:val="nil"/>
              <w:left w:val="nil"/>
              <w:bottom w:val="single" w:sz="4" w:space="0" w:color="A6A6A6"/>
              <w:right w:val="single" w:sz="4" w:space="0" w:color="A6A6A6"/>
            </w:tcBorders>
            <w:shd w:val="clear" w:color="000000" w:fill="F2F2F2"/>
            <w:noWrap/>
            <w:vAlign w:val="bottom"/>
            <w:hideMark/>
          </w:tcPr>
          <w:p w14:paraId="070978DC"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1.33%</w:t>
            </w:r>
          </w:p>
        </w:tc>
        <w:tc>
          <w:tcPr>
            <w:tcW w:w="1497" w:type="dxa"/>
            <w:tcBorders>
              <w:top w:val="nil"/>
              <w:left w:val="nil"/>
              <w:bottom w:val="single" w:sz="4" w:space="0" w:color="A6A6A6"/>
              <w:right w:val="single" w:sz="4" w:space="0" w:color="A6A6A6"/>
            </w:tcBorders>
            <w:shd w:val="clear" w:color="000000" w:fill="F2F2F2"/>
            <w:noWrap/>
            <w:vAlign w:val="bottom"/>
            <w:hideMark/>
          </w:tcPr>
          <w:p w14:paraId="116E3A09"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1.78%</w:t>
            </w:r>
          </w:p>
        </w:tc>
        <w:tc>
          <w:tcPr>
            <w:tcW w:w="826" w:type="dxa"/>
            <w:tcBorders>
              <w:top w:val="nil"/>
              <w:left w:val="nil"/>
              <w:bottom w:val="single" w:sz="4" w:space="0" w:color="A6A6A6"/>
              <w:right w:val="single" w:sz="4" w:space="0" w:color="A6A6A6"/>
            </w:tcBorders>
            <w:shd w:val="clear" w:color="000000" w:fill="F2F2F2"/>
            <w:noWrap/>
            <w:vAlign w:val="bottom"/>
            <w:hideMark/>
          </w:tcPr>
          <w:p w14:paraId="4CB521E4"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5</w:t>
            </w:r>
          </w:p>
        </w:tc>
      </w:tr>
      <w:tr w:rsidR="001B5C8F" w:rsidRPr="005F25D7" w14:paraId="505B02D8" w14:textId="77777777" w:rsidTr="00D939CF">
        <w:trPr>
          <w:trHeight w:val="295"/>
        </w:trPr>
        <w:tc>
          <w:tcPr>
            <w:tcW w:w="1059" w:type="dxa"/>
            <w:tcBorders>
              <w:top w:val="nil"/>
              <w:left w:val="single" w:sz="4" w:space="0" w:color="A6A6A6"/>
              <w:bottom w:val="single" w:sz="4" w:space="0" w:color="A6A6A6"/>
              <w:right w:val="single" w:sz="4" w:space="0" w:color="A6A6A6"/>
            </w:tcBorders>
            <w:shd w:val="clear" w:color="000000" w:fill="F2F2F2"/>
            <w:vAlign w:val="center"/>
            <w:hideMark/>
          </w:tcPr>
          <w:p w14:paraId="0ACB1340"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4</w:t>
            </w:r>
          </w:p>
        </w:tc>
        <w:tc>
          <w:tcPr>
            <w:tcW w:w="4216" w:type="dxa"/>
            <w:gridSpan w:val="2"/>
            <w:tcBorders>
              <w:top w:val="single" w:sz="4" w:space="0" w:color="A6A6A6"/>
              <w:left w:val="nil"/>
              <w:bottom w:val="single" w:sz="4" w:space="0" w:color="A6A6A6"/>
              <w:right w:val="single" w:sz="4" w:space="0" w:color="A6A6A6"/>
            </w:tcBorders>
            <w:shd w:val="clear" w:color="auto" w:fill="auto"/>
            <w:vAlign w:val="center"/>
            <w:hideMark/>
          </w:tcPr>
          <w:p w14:paraId="2BAE35D9"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Appliance use review service</w:t>
            </w:r>
          </w:p>
        </w:tc>
        <w:tc>
          <w:tcPr>
            <w:tcW w:w="1299" w:type="dxa"/>
            <w:tcBorders>
              <w:top w:val="nil"/>
              <w:left w:val="nil"/>
              <w:bottom w:val="single" w:sz="4" w:space="0" w:color="A6A6A6"/>
              <w:right w:val="single" w:sz="4" w:space="0" w:color="A6A6A6"/>
            </w:tcBorders>
            <w:shd w:val="clear" w:color="000000" w:fill="F2F2F2"/>
            <w:noWrap/>
            <w:vAlign w:val="bottom"/>
            <w:hideMark/>
          </w:tcPr>
          <w:p w14:paraId="55549721"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0.27%</w:t>
            </w:r>
          </w:p>
        </w:tc>
        <w:tc>
          <w:tcPr>
            <w:tcW w:w="1497" w:type="dxa"/>
            <w:tcBorders>
              <w:top w:val="nil"/>
              <w:left w:val="nil"/>
              <w:bottom w:val="single" w:sz="4" w:space="0" w:color="A6A6A6"/>
              <w:right w:val="single" w:sz="4" w:space="0" w:color="A6A6A6"/>
            </w:tcBorders>
            <w:shd w:val="clear" w:color="000000" w:fill="F2F2F2"/>
            <w:noWrap/>
            <w:vAlign w:val="bottom"/>
            <w:hideMark/>
          </w:tcPr>
          <w:p w14:paraId="2936A9E7"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0.36%</w:t>
            </w:r>
          </w:p>
        </w:tc>
        <w:tc>
          <w:tcPr>
            <w:tcW w:w="826" w:type="dxa"/>
            <w:tcBorders>
              <w:top w:val="nil"/>
              <w:left w:val="nil"/>
              <w:bottom w:val="single" w:sz="4" w:space="0" w:color="A6A6A6"/>
              <w:right w:val="single" w:sz="4" w:space="0" w:color="A6A6A6"/>
            </w:tcBorders>
            <w:shd w:val="clear" w:color="000000" w:fill="F2F2F2"/>
            <w:noWrap/>
            <w:vAlign w:val="bottom"/>
            <w:hideMark/>
          </w:tcPr>
          <w:p w14:paraId="3120BF63"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1</w:t>
            </w:r>
          </w:p>
        </w:tc>
      </w:tr>
      <w:tr w:rsidR="001B5C8F" w:rsidRPr="005F25D7" w14:paraId="770AA74C" w14:textId="77777777" w:rsidTr="00D939CF">
        <w:trPr>
          <w:trHeight w:val="295"/>
        </w:trPr>
        <w:tc>
          <w:tcPr>
            <w:tcW w:w="1059" w:type="dxa"/>
            <w:tcBorders>
              <w:top w:val="nil"/>
              <w:left w:val="single" w:sz="4" w:space="0" w:color="A6A6A6"/>
              <w:bottom w:val="single" w:sz="4" w:space="0" w:color="A6A6A6"/>
              <w:right w:val="single" w:sz="4" w:space="0" w:color="A6A6A6"/>
            </w:tcBorders>
            <w:shd w:val="clear" w:color="000000" w:fill="F2F2F2"/>
            <w:vAlign w:val="center"/>
            <w:hideMark/>
          </w:tcPr>
          <w:p w14:paraId="4E88F60E"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5</w:t>
            </w:r>
          </w:p>
        </w:tc>
        <w:tc>
          <w:tcPr>
            <w:tcW w:w="4216" w:type="dxa"/>
            <w:gridSpan w:val="2"/>
            <w:tcBorders>
              <w:top w:val="single" w:sz="4" w:space="0" w:color="A6A6A6"/>
              <w:left w:val="nil"/>
              <w:bottom w:val="single" w:sz="4" w:space="0" w:color="A6A6A6"/>
              <w:right w:val="single" w:sz="4" w:space="0" w:color="A6A6A6"/>
            </w:tcBorders>
            <w:shd w:val="clear" w:color="auto" w:fill="auto"/>
            <w:vAlign w:val="center"/>
            <w:hideMark/>
          </w:tcPr>
          <w:p w14:paraId="77544BE7"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Emergency contraception</w:t>
            </w:r>
          </w:p>
        </w:tc>
        <w:tc>
          <w:tcPr>
            <w:tcW w:w="1299" w:type="dxa"/>
            <w:tcBorders>
              <w:top w:val="nil"/>
              <w:left w:val="nil"/>
              <w:bottom w:val="single" w:sz="4" w:space="0" w:color="A6A6A6"/>
              <w:right w:val="single" w:sz="4" w:space="0" w:color="A6A6A6"/>
            </w:tcBorders>
            <w:shd w:val="clear" w:color="000000" w:fill="F2F2F2"/>
            <w:noWrap/>
            <w:vAlign w:val="bottom"/>
            <w:hideMark/>
          </w:tcPr>
          <w:p w14:paraId="77F0CE6E"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5.84%</w:t>
            </w:r>
          </w:p>
        </w:tc>
        <w:tc>
          <w:tcPr>
            <w:tcW w:w="1497" w:type="dxa"/>
            <w:tcBorders>
              <w:top w:val="nil"/>
              <w:left w:val="nil"/>
              <w:bottom w:val="single" w:sz="4" w:space="0" w:color="A6A6A6"/>
              <w:right w:val="single" w:sz="4" w:space="0" w:color="A6A6A6"/>
            </w:tcBorders>
            <w:shd w:val="clear" w:color="000000" w:fill="F2F2F2"/>
            <w:noWrap/>
            <w:vAlign w:val="bottom"/>
            <w:hideMark/>
          </w:tcPr>
          <w:p w14:paraId="6C2C595B"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7.83%</w:t>
            </w:r>
          </w:p>
        </w:tc>
        <w:tc>
          <w:tcPr>
            <w:tcW w:w="826" w:type="dxa"/>
            <w:tcBorders>
              <w:top w:val="nil"/>
              <w:left w:val="nil"/>
              <w:bottom w:val="single" w:sz="4" w:space="0" w:color="A6A6A6"/>
              <w:right w:val="single" w:sz="4" w:space="0" w:color="A6A6A6"/>
            </w:tcBorders>
            <w:shd w:val="clear" w:color="000000" w:fill="F2F2F2"/>
            <w:noWrap/>
            <w:vAlign w:val="bottom"/>
            <w:hideMark/>
          </w:tcPr>
          <w:p w14:paraId="7C6CDA96"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22</w:t>
            </w:r>
          </w:p>
        </w:tc>
      </w:tr>
      <w:tr w:rsidR="001B5C8F" w:rsidRPr="005F25D7" w14:paraId="2B6C4EE1" w14:textId="77777777" w:rsidTr="00D939CF">
        <w:trPr>
          <w:trHeight w:val="295"/>
        </w:trPr>
        <w:tc>
          <w:tcPr>
            <w:tcW w:w="1059" w:type="dxa"/>
            <w:tcBorders>
              <w:top w:val="nil"/>
              <w:left w:val="single" w:sz="4" w:space="0" w:color="A6A6A6"/>
              <w:bottom w:val="single" w:sz="4" w:space="0" w:color="A6A6A6"/>
              <w:right w:val="single" w:sz="4" w:space="0" w:color="A6A6A6"/>
            </w:tcBorders>
            <w:shd w:val="clear" w:color="000000" w:fill="F2F2F2"/>
            <w:vAlign w:val="center"/>
            <w:hideMark/>
          </w:tcPr>
          <w:p w14:paraId="6EC103B8"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6</w:t>
            </w:r>
          </w:p>
        </w:tc>
        <w:tc>
          <w:tcPr>
            <w:tcW w:w="4216" w:type="dxa"/>
            <w:gridSpan w:val="2"/>
            <w:tcBorders>
              <w:top w:val="single" w:sz="4" w:space="0" w:color="A6A6A6"/>
              <w:left w:val="nil"/>
              <w:bottom w:val="single" w:sz="4" w:space="0" w:color="A6A6A6"/>
              <w:right w:val="single" w:sz="4" w:space="0" w:color="A6A6A6"/>
            </w:tcBorders>
            <w:shd w:val="clear" w:color="auto" w:fill="auto"/>
            <w:vAlign w:val="center"/>
            <w:hideMark/>
          </w:tcPr>
          <w:p w14:paraId="7DB8A672"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Help to stop smoking</w:t>
            </w:r>
          </w:p>
        </w:tc>
        <w:tc>
          <w:tcPr>
            <w:tcW w:w="1299" w:type="dxa"/>
            <w:tcBorders>
              <w:top w:val="nil"/>
              <w:left w:val="nil"/>
              <w:bottom w:val="single" w:sz="4" w:space="0" w:color="A6A6A6"/>
              <w:right w:val="single" w:sz="4" w:space="0" w:color="A6A6A6"/>
            </w:tcBorders>
            <w:shd w:val="clear" w:color="000000" w:fill="F2F2F2"/>
            <w:noWrap/>
            <w:vAlign w:val="bottom"/>
            <w:hideMark/>
          </w:tcPr>
          <w:p w14:paraId="2FD66651"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1.59%</w:t>
            </w:r>
          </w:p>
        </w:tc>
        <w:tc>
          <w:tcPr>
            <w:tcW w:w="1497" w:type="dxa"/>
            <w:tcBorders>
              <w:top w:val="nil"/>
              <w:left w:val="nil"/>
              <w:bottom w:val="single" w:sz="4" w:space="0" w:color="A6A6A6"/>
              <w:right w:val="single" w:sz="4" w:space="0" w:color="A6A6A6"/>
            </w:tcBorders>
            <w:shd w:val="clear" w:color="000000" w:fill="F2F2F2"/>
            <w:noWrap/>
            <w:vAlign w:val="bottom"/>
            <w:hideMark/>
          </w:tcPr>
          <w:p w14:paraId="4F1FF17D"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2.14%</w:t>
            </w:r>
          </w:p>
        </w:tc>
        <w:tc>
          <w:tcPr>
            <w:tcW w:w="826" w:type="dxa"/>
            <w:tcBorders>
              <w:top w:val="nil"/>
              <w:left w:val="nil"/>
              <w:bottom w:val="single" w:sz="4" w:space="0" w:color="A6A6A6"/>
              <w:right w:val="single" w:sz="4" w:space="0" w:color="A6A6A6"/>
            </w:tcBorders>
            <w:shd w:val="clear" w:color="000000" w:fill="F2F2F2"/>
            <w:noWrap/>
            <w:vAlign w:val="bottom"/>
            <w:hideMark/>
          </w:tcPr>
          <w:p w14:paraId="17802DDE"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6</w:t>
            </w:r>
          </w:p>
        </w:tc>
      </w:tr>
      <w:tr w:rsidR="001B5C8F" w:rsidRPr="005F25D7" w14:paraId="27CEBFF1" w14:textId="77777777" w:rsidTr="00D939CF">
        <w:trPr>
          <w:trHeight w:val="295"/>
        </w:trPr>
        <w:tc>
          <w:tcPr>
            <w:tcW w:w="1059" w:type="dxa"/>
            <w:tcBorders>
              <w:top w:val="nil"/>
              <w:left w:val="single" w:sz="4" w:space="0" w:color="A6A6A6"/>
              <w:bottom w:val="single" w:sz="4" w:space="0" w:color="A6A6A6"/>
              <w:right w:val="single" w:sz="4" w:space="0" w:color="A6A6A6"/>
            </w:tcBorders>
            <w:shd w:val="clear" w:color="000000" w:fill="F2F2F2"/>
            <w:vAlign w:val="center"/>
            <w:hideMark/>
          </w:tcPr>
          <w:p w14:paraId="751ACE2C"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7</w:t>
            </w:r>
          </w:p>
        </w:tc>
        <w:tc>
          <w:tcPr>
            <w:tcW w:w="4216" w:type="dxa"/>
            <w:gridSpan w:val="2"/>
            <w:tcBorders>
              <w:top w:val="single" w:sz="4" w:space="0" w:color="A6A6A6"/>
              <w:left w:val="nil"/>
              <w:bottom w:val="single" w:sz="4" w:space="0" w:color="A6A6A6"/>
              <w:right w:val="single" w:sz="4" w:space="0" w:color="A6A6A6"/>
            </w:tcBorders>
            <w:shd w:val="clear" w:color="auto" w:fill="auto"/>
            <w:vAlign w:val="center"/>
            <w:hideMark/>
          </w:tcPr>
          <w:p w14:paraId="20647648"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Common ailments scheme</w:t>
            </w:r>
          </w:p>
        </w:tc>
        <w:tc>
          <w:tcPr>
            <w:tcW w:w="1299" w:type="dxa"/>
            <w:tcBorders>
              <w:top w:val="nil"/>
              <w:left w:val="nil"/>
              <w:bottom w:val="single" w:sz="4" w:space="0" w:color="A6A6A6"/>
              <w:right w:val="single" w:sz="4" w:space="0" w:color="A6A6A6"/>
            </w:tcBorders>
            <w:shd w:val="clear" w:color="000000" w:fill="F2F2F2"/>
            <w:noWrap/>
            <w:vAlign w:val="bottom"/>
            <w:hideMark/>
          </w:tcPr>
          <w:p w14:paraId="491A6B38"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23.34%</w:t>
            </w:r>
          </w:p>
        </w:tc>
        <w:tc>
          <w:tcPr>
            <w:tcW w:w="1497" w:type="dxa"/>
            <w:tcBorders>
              <w:top w:val="nil"/>
              <w:left w:val="nil"/>
              <w:bottom w:val="single" w:sz="4" w:space="0" w:color="A6A6A6"/>
              <w:right w:val="single" w:sz="4" w:space="0" w:color="A6A6A6"/>
            </w:tcBorders>
            <w:shd w:val="clear" w:color="000000" w:fill="F2F2F2"/>
            <w:noWrap/>
            <w:vAlign w:val="bottom"/>
            <w:hideMark/>
          </w:tcPr>
          <w:p w14:paraId="15900CA0"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31.32%</w:t>
            </w:r>
          </w:p>
        </w:tc>
        <w:tc>
          <w:tcPr>
            <w:tcW w:w="826" w:type="dxa"/>
            <w:tcBorders>
              <w:top w:val="nil"/>
              <w:left w:val="nil"/>
              <w:bottom w:val="single" w:sz="4" w:space="0" w:color="A6A6A6"/>
              <w:right w:val="single" w:sz="4" w:space="0" w:color="A6A6A6"/>
            </w:tcBorders>
            <w:shd w:val="clear" w:color="000000" w:fill="F2F2F2"/>
            <w:noWrap/>
            <w:vAlign w:val="bottom"/>
            <w:hideMark/>
          </w:tcPr>
          <w:p w14:paraId="52412254"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88</w:t>
            </w:r>
          </w:p>
        </w:tc>
      </w:tr>
      <w:tr w:rsidR="001B5C8F" w:rsidRPr="005F25D7" w14:paraId="647165A9" w14:textId="77777777" w:rsidTr="00D939CF">
        <w:trPr>
          <w:trHeight w:val="295"/>
        </w:trPr>
        <w:tc>
          <w:tcPr>
            <w:tcW w:w="1059" w:type="dxa"/>
            <w:tcBorders>
              <w:top w:val="nil"/>
              <w:left w:val="single" w:sz="4" w:space="0" w:color="A6A6A6"/>
              <w:bottom w:val="single" w:sz="4" w:space="0" w:color="A6A6A6"/>
              <w:right w:val="single" w:sz="4" w:space="0" w:color="A6A6A6"/>
            </w:tcBorders>
            <w:shd w:val="clear" w:color="000000" w:fill="F2F2F2"/>
            <w:vAlign w:val="center"/>
            <w:hideMark/>
          </w:tcPr>
          <w:p w14:paraId="41A648B5"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8</w:t>
            </w:r>
          </w:p>
        </w:tc>
        <w:tc>
          <w:tcPr>
            <w:tcW w:w="4216" w:type="dxa"/>
            <w:gridSpan w:val="2"/>
            <w:tcBorders>
              <w:top w:val="single" w:sz="4" w:space="0" w:color="A6A6A6"/>
              <w:left w:val="nil"/>
              <w:bottom w:val="single" w:sz="4" w:space="0" w:color="A6A6A6"/>
              <w:right w:val="single" w:sz="4" w:space="0" w:color="A6A6A6"/>
            </w:tcBorders>
            <w:shd w:val="clear" w:color="auto" w:fill="auto"/>
            <w:vAlign w:val="center"/>
            <w:hideMark/>
          </w:tcPr>
          <w:p w14:paraId="23401E86"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Needle and syringe exchange</w:t>
            </w:r>
          </w:p>
        </w:tc>
        <w:tc>
          <w:tcPr>
            <w:tcW w:w="1299" w:type="dxa"/>
            <w:tcBorders>
              <w:top w:val="nil"/>
              <w:left w:val="nil"/>
              <w:bottom w:val="single" w:sz="4" w:space="0" w:color="A6A6A6"/>
              <w:right w:val="single" w:sz="4" w:space="0" w:color="A6A6A6"/>
            </w:tcBorders>
            <w:shd w:val="clear" w:color="000000" w:fill="F2F2F2"/>
            <w:noWrap/>
            <w:vAlign w:val="bottom"/>
            <w:hideMark/>
          </w:tcPr>
          <w:p w14:paraId="6DDFBB31"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0.53%</w:t>
            </w:r>
          </w:p>
        </w:tc>
        <w:tc>
          <w:tcPr>
            <w:tcW w:w="1497" w:type="dxa"/>
            <w:tcBorders>
              <w:top w:val="nil"/>
              <w:left w:val="nil"/>
              <w:bottom w:val="single" w:sz="4" w:space="0" w:color="A6A6A6"/>
              <w:right w:val="single" w:sz="4" w:space="0" w:color="A6A6A6"/>
            </w:tcBorders>
            <w:shd w:val="clear" w:color="000000" w:fill="F2F2F2"/>
            <w:noWrap/>
            <w:vAlign w:val="bottom"/>
            <w:hideMark/>
          </w:tcPr>
          <w:p w14:paraId="3B1D2FB3"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0.71%</w:t>
            </w:r>
          </w:p>
        </w:tc>
        <w:tc>
          <w:tcPr>
            <w:tcW w:w="826" w:type="dxa"/>
            <w:tcBorders>
              <w:top w:val="nil"/>
              <w:left w:val="nil"/>
              <w:bottom w:val="single" w:sz="4" w:space="0" w:color="A6A6A6"/>
              <w:right w:val="single" w:sz="4" w:space="0" w:color="A6A6A6"/>
            </w:tcBorders>
            <w:shd w:val="clear" w:color="000000" w:fill="F2F2F2"/>
            <w:noWrap/>
            <w:vAlign w:val="bottom"/>
            <w:hideMark/>
          </w:tcPr>
          <w:p w14:paraId="69BBCB41"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2</w:t>
            </w:r>
          </w:p>
        </w:tc>
      </w:tr>
      <w:tr w:rsidR="001B5C8F" w:rsidRPr="005F25D7" w14:paraId="04DB18EF" w14:textId="77777777" w:rsidTr="00D939CF">
        <w:trPr>
          <w:trHeight w:val="295"/>
        </w:trPr>
        <w:tc>
          <w:tcPr>
            <w:tcW w:w="1059" w:type="dxa"/>
            <w:tcBorders>
              <w:top w:val="nil"/>
              <w:left w:val="single" w:sz="4" w:space="0" w:color="A6A6A6"/>
              <w:bottom w:val="single" w:sz="4" w:space="0" w:color="A6A6A6"/>
              <w:right w:val="single" w:sz="4" w:space="0" w:color="A6A6A6"/>
            </w:tcBorders>
            <w:shd w:val="clear" w:color="000000" w:fill="F2F2F2"/>
            <w:vAlign w:val="center"/>
            <w:hideMark/>
          </w:tcPr>
          <w:p w14:paraId="6D55F78F"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9</w:t>
            </w:r>
          </w:p>
        </w:tc>
        <w:tc>
          <w:tcPr>
            <w:tcW w:w="4216" w:type="dxa"/>
            <w:gridSpan w:val="2"/>
            <w:tcBorders>
              <w:top w:val="single" w:sz="4" w:space="0" w:color="A6A6A6"/>
              <w:left w:val="nil"/>
              <w:bottom w:val="single" w:sz="4" w:space="0" w:color="A6A6A6"/>
              <w:right w:val="single" w:sz="4" w:space="0" w:color="A6A6A6"/>
            </w:tcBorders>
            <w:shd w:val="clear" w:color="auto" w:fill="auto"/>
            <w:vAlign w:val="center"/>
            <w:hideMark/>
          </w:tcPr>
          <w:p w14:paraId="160709C2"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Supervised administration of medicines</w:t>
            </w:r>
          </w:p>
        </w:tc>
        <w:tc>
          <w:tcPr>
            <w:tcW w:w="1299" w:type="dxa"/>
            <w:tcBorders>
              <w:top w:val="nil"/>
              <w:left w:val="nil"/>
              <w:bottom w:val="single" w:sz="4" w:space="0" w:color="A6A6A6"/>
              <w:right w:val="single" w:sz="4" w:space="0" w:color="A6A6A6"/>
            </w:tcBorders>
            <w:shd w:val="clear" w:color="000000" w:fill="F2F2F2"/>
            <w:noWrap/>
            <w:vAlign w:val="bottom"/>
            <w:hideMark/>
          </w:tcPr>
          <w:p w14:paraId="270E2507"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0.00%</w:t>
            </w:r>
          </w:p>
        </w:tc>
        <w:tc>
          <w:tcPr>
            <w:tcW w:w="1497" w:type="dxa"/>
            <w:tcBorders>
              <w:top w:val="nil"/>
              <w:left w:val="nil"/>
              <w:bottom w:val="single" w:sz="4" w:space="0" w:color="A6A6A6"/>
              <w:right w:val="single" w:sz="4" w:space="0" w:color="A6A6A6"/>
            </w:tcBorders>
            <w:shd w:val="clear" w:color="000000" w:fill="F2F2F2"/>
            <w:noWrap/>
            <w:vAlign w:val="bottom"/>
            <w:hideMark/>
          </w:tcPr>
          <w:p w14:paraId="64AF574E"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0.00%</w:t>
            </w:r>
          </w:p>
        </w:tc>
        <w:tc>
          <w:tcPr>
            <w:tcW w:w="826" w:type="dxa"/>
            <w:tcBorders>
              <w:top w:val="nil"/>
              <w:left w:val="nil"/>
              <w:bottom w:val="single" w:sz="4" w:space="0" w:color="A6A6A6"/>
              <w:right w:val="single" w:sz="4" w:space="0" w:color="A6A6A6"/>
            </w:tcBorders>
            <w:shd w:val="clear" w:color="000000" w:fill="F2F2F2"/>
            <w:noWrap/>
            <w:vAlign w:val="bottom"/>
            <w:hideMark/>
          </w:tcPr>
          <w:p w14:paraId="35B53C67"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0</w:t>
            </w:r>
          </w:p>
        </w:tc>
      </w:tr>
      <w:tr w:rsidR="001B5C8F" w:rsidRPr="005F25D7" w14:paraId="58C08355" w14:textId="77777777" w:rsidTr="00D939CF">
        <w:trPr>
          <w:trHeight w:val="295"/>
        </w:trPr>
        <w:tc>
          <w:tcPr>
            <w:tcW w:w="1059" w:type="dxa"/>
            <w:tcBorders>
              <w:top w:val="nil"/>
              <w:left w:val="single" w:sz="4" w:space="0" w:color="A6A6A6"/>
              <w:bottom w:val="single" w:sz="4" w:space="0" w:color="A6A6A6"/>
              <w:right w:val="single" w:sz="4" w:space="0" w:color="A6A6A6"/>
            </w:tcBorders>
            <w:shd w:val="clear" w:color="000000" w:fill="F2F2F2"/>
            <w:vAlign w:val="center"/>
            <w:hideMark/>
          </w:tcPr>
          <w:p w14:paraId="6458304F"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10</w:t>
            </w:r>
          </w:p>
        </w:tc>
        <w:tc>
          <w:tcPr>
            <w:tcW w:w="4216" w:type="dxa"/>
            <w:gridSpan w:val="2"/>
            <w:tcBorders>
              <w:top w:val="single" w:sz="4" w:space="0" w:color="A6A6A6"/>
              <w:left w:val="nil"/>
              <w:bottom w:val="single" w:sz="4" w:space="0" w:color="A6A6A6"/>
              <w:right w:val="single" w:sz="4" w:space="0" w:color="A6A6A6"/>
            </w:tcBorders>
            <w:shd w:val="clear" w:color="auto" w:fill="auto"/>
            <w:vAlign w:val="center"/>
            <w:hideMark/>
          </w:tcPr>
          <w:p w14:paraId="26423C57"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Emergency medicines supply</w:t>
            </w:r>
          </w:p>
        </w:tc>
        <w:tc>
          <w:tcPr>
            <w:tcW w:w="1299" w:type="dxa"/>
            <w:tcBorders>
              <w:top w:val="nil"/>
              <w:left w:val="nil"/>
              <w:bottom w:val="single" w:sz="4" w:space="0" w:color="A6A6A6"/>
              <w:right w:val="single" w:sz="4" w:space="0" w:color="A6A6A6"/>
            </w:tcBorders>
            <w:shd w:val="clear" w:color="000000" w:fill="F2F2F2"/>
            <w:noWrap/>
            <w:vAlign w:val="bottom"/>
            <w:hideMark/>
          </w:tcPr>
          <w:p w14:paraId="56118FD3"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6.90%</w:t>
            </w:r>
          </w:p>
        </w:tc>
        <w:tc>
          <w:tcPr>
            <w:tcW w:w="1497" w:type="dxa"/>
            <w:tcBorders>
              <w:top w:val="nil"/>
              <w:left w:val="nil"/>
              <w:bottom w:val="single" w:sz="4" w:space="0" w:color="A6A6A6"/>
              <w:right w:val="single" w:sz="4" w:space="0" w:color="A6A6A6"/>
            </w:tcBorders>
            <w:shd w:val="clear" w:color="000000" w:fill="F2F2F2"/>
            <w:noWrap/>
            <w:vAlign w:val="bottom"/>
            <w:hideMark/>
          </w:tcPr>
          <w:p w14:paraId="7AC770A8"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9.25%</w:t>
            </w:r>
          </w:p>
        </w:tc>
        <w:tc>
          <w:tcPr>
            <w:tcW w:w="826" w:type="dxa"/>
            <w:tcBorders>
              <w:top w:val="nil"/>
              <w:left w:val="nil"/>
              <w:bottom w:val="single" w:sz="4" w:space="0" w:color="A6A6A6"/>
              <w:right w:val="single" w:sz="4" w:space="0" w:color="A6A6A6"/>
            </w:tcBorders>
            <w:shd w:val="clear" w:color="000000" w:fill="F2F2F2"/>
            <w:noWrap/>
            <w:vAlign w:val="bottom"/>
            <w:hideMark/>
          </w:tcPr>
          <w:p w14:paraId="5039E985"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26</w:t>
            </w:r>
          </w:p>
        </w:tc>
      </w:tr>
      <w:tr w:rsidR="001B5C8F" w:rsidRPr="005F25D7" w14:paraId="1860AF14" w14:textId="77777777" w:rsidTr="00D939CF">
        <w:trPr>
          <w:trHeight w:val="295"/>
        </w:trPr>
        <w:tc>
          <w:tcPr>
            <w:tcW w:w="1059" w:type="dxa"/>
            <w:tcBorders>
              <w:top w:val="nil"/>
              <w:left w:val="single" w:sz="4" w:space="0" w:color="A6A6A6"/>
              <w:bottom w:val="single" w:sz="4" w:space="0" w:color="A6A6A6"/>
              <w:right w:val="single" w:sz="4" w:space="0" w:color="A6A6A6"/>
            </w:tcBorders>
            <w:shd w:val="clear" w:color="000000" w:fill="F2F2F2"/>
            <w:vAlign w:val="center"/>
            <w:hideMark/>
          </w:tcPr>
          <w:p w14:paraId="6C7B42EC"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11</w:t>
            </w:r>
          </w:p>
        </w:tc>
        <w:tc>
          <w:tcPr>
            <w:tcW w:w="4216" w:type="dxa"/>
            <w:gridSpan w:val="2"/>
            <w:tcBorders>
              <w:top w:val="single" w:sz="4" w:space="0" w:color="A6A6A6"/>
              <w:left w:val="nil"/>
              <w:bottom w:val="single" w:sz="4" w:space="0" w:color="A6A6A6"/>
              <w:right w:val="single" w:sz="4" w:space="0" w:color="A6A6A6"/>
            </w:tcBorders>
            <w:shd w:val="clear" w:color="auto" w:fill="auto"/>
            <w:vAlign w:val="center"/>
            <w:hideMark/>
          </w:tcPr>
          <w:p w14:paraId="4FC338EA"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No</w:t>
            </w:r>
          </w:p>
        </w:tc>
        <w:tc>
          <w:tcPr>
            <w:tcW w:w="1299" w:type="dxa"/>
            <w:tcBorders>
              <w:top w:val="nil"/>
              <w:left w:val="nil"/>
              <w:bottom w:val="single" w:sz="4" w:space="0" w:color="A6A6A6"/>
              <w:right w:val="single" w:sz="4" w:space="0" w:color="A6A6A6"/>
            </w:tcBorders>
            <w:shd w:val="clear" w:color="000000" w:fill="F2F2F2"/>
            <w:noWrap/>
            <w:vAlign w:val="bottom"/>
            <w:hideMark/>
          </w:tcPr>
          <w:p w14:paraId="0F6B597A"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29.18%</w:t>
            </w:r>
          </w:p>
        </w:tc>
        <w:tc>
          <w:tcPr>
            <w:tcW w:w="1497" w:type="dxa"/>
            <w:tcBorders>
              <w:top w:val="nil"/>
              <w:left w:val="nil"/>
              <w:bottom w:val="single" w:sz="4" w:space="0" w:color="A6A6A6"/>
              <w:right w:val="single" w:sz="4" w:space="0" w:color="A6A6A6"/>
            </w:tcBorders>
            <w:shd w:val="clear" w:color="000000" w:fill="F2F2F2"/>
            <w:noWrap/>
            <w:vAlign w:val="bottom"/>
            <w:hideMark/>
          </w:tcPr>
          <w:p w14:paraId="24546973"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39.15%</w:t>
            </w:r>
          </w:p>
        </w:tc>
        <w:tc>
          <w:tcPr>
            <w:tcW w:w="826" w:type="dxa"/>
            <w:tcBorders>
              <w:top w:val="nil"/>
              <w:left w:val="nil"/>
              <w:bottom w:val="single" w:sz="4" w:space="0" w:color="A6A6A6"/>
              <w:right w:val="single" w:sz="4" w:space="0" w:color="A6A6A6"/>
            </w:tcBorders>
            <w:shd w:val="clear" w:color="000000" w:fill="F2F2F2"/>
            <w:noWrap/>
            <w:vAlign w:val="bottom"/>
            <w:hideMark/>
          </w:tcPr>
          <w:p w14:paraId="555E293B"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110</w:t>
            </w:r>
          </w:p>
        </w:tc>
      </w:tr>
      <w:tr w:rsidR="001B5C8F" w:rsidRPr="005F25D7" w14:paraId="058D0849" w14:textId="77777777" w:rsidTr="00D939CF">
        <w:trPr>
          <w:trHeight w:val="295"/>
        </w:trPr>
        <w:tc>
          <w:tcPr>
            <w:tcW w:w="3178" w:type="dxa"/>
            <w:gridSpan w:val="2"/>
            <w:vMerge w:val="restart"/>
            <w:tcBorders>
              <w:top w:val="single" w:sz="4" w:space="0" w:color="D9D9D9"/>
              <w:left w:val="single" w:sz="4" w:space="0" w:color="BFBFBF"/>
              <w:bottom w:val="single" w:sz="4" w:space="0" w:color="BFBFBF"/>
              <w:right w:val="single" w:sz="4" w:space="0" w:color="D9D9D9"/>
            </w:tcBorders>
            <w:shd w:val="clear" w:color="000000" w:fill="F2F2F2"/>
            <w:vAlign w:val="center"/>
            <w:hideMark/>
          </w:tcPr>
          <w:p w14:paraId="5029424B"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r w:rsidRPr="005F25D7">
              <w:rPr>
                <w:rFonts w:ascii="Arial" w:eastAsia="Times New Roman" w:hAnsi="Arial" w:cs="Arial"/>
                <w:color w:val="000000"/>
                <w:sz w:val="18"/>
                <w:szCs w:val="18"/>
                <w:lang w:eastAsia="en-GB"/>
              </w:rPr>
              <w:t> </w:t>
            </w:r>
          </w:p>
        </w:tc>
        <w:tc>
          <w:tcPr>
            <w:tcW w:w="2097" w:type="dxa"/>
            <w:tcBorders>
              <w:top w:val="nil"/>
              <w:left w:val="nil"/>
              <w:bottom w:val="single" w:sz="4" w:space="0" w:color="A6A6A6"/>
              <w:right w:val="single" w:sz="4" w:space="0" w:color="A6A6A6"/>
            </w:tcBorders>
            <w:shd w:val="clear" w:color="000000" w:fill="F2F2F2"/>
            <w:vAlign w:val="center"/>
            <w:hideMark/>
          </w:tcPr>
          <w:p w14:paraId="59E121A5" w14:textId="77777777" w:rsidR="001B5C8F" w:rsidRPr="005F25D7" w:rsidRDefault="001B5C8F" w:rsidP="00DC54F7">
            <w:pPr>
              <w:spacing w:after="0" w:line="240" w:lineRule="auto"/>
              <w:jc w:val="both"/>
              <w:rPr>
                <w:rFonts w:ascii="Arial" w:eastAsia="Times New Roman" w:hAnsi="Arial" w:cs="Arial"/>
                <w:b/>
                <w:bCs/>
                <w:color w:val="000000"/>
                <w:sz w:val="18"/>
                <w:szCs w:val="18"/>
                <w:lang w:eastAsia="en-GB"/>
              </w:rPr>
            </w:pPr>
            <w:r w:rsidRPr="005F25D7">
              <w:rPr>
                <w:rFonts w:ascii="Arial" w:eastAsia="Times New Roman" w:hAnsi="Arial" w:cs="Arial"/>
                <w:b/>
                <w:bCs/>
                <w:color w:val="000000"/>
                <w:sz w:val="18"/>
                <w:szCs w:val="18"/>
                <w:lang w:eastAsia="en-GB"/>
              </w:rPr>
              <w:t>Total Responses</w:t>
            </w:r>
          </w:p>
        </w:tc>
        <w:tc>
          <w:tcPr>
            <w:tcW w:w="1299" w:type="dxa"/>
            <w:tcBorders>
              <w:top w:val="nil"/>
              <w:left w:val="nil"/>
              <w:bottom w:val="single" w:sz="4" w:space="0" w:color="A6A6A6"/>
              <w:right w:val="single" w:sz="4" w:space="0" w:color="A6A6A6"/>
            </w:tcBorders>
            <w:shd w:val="clear" w:color="000000" w:fill="F2F2F2"/>
            <w:noWrap/>
            <w:vAlign w:val="bottom"/>
            <w:hideMark/>
          </w:tcPr>
          <w:p w14:paraId="2CD48E16"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 </w:t>
            </w:r>
          </w:p>
        </w:tc>
        <w:tc>
          <w:tcPr>
            <w:tcW w:w="1497" w:type="dxa"/>
            <w:tcBorders>
              <w:top w:val="nil"/>
              <w:left w:val="nil"/>
              <w:bottom w:val="single" w:sz="4" w:space="0" w:color="A6A6A6"/>
              <w:right w:val="single" w:sz="4" w:space="0" w:color="A6A6A6"/>
            </w:tcBorders>
            <w:shd w:val="clear" w:color="000000" w:fill="F2F2F2"/>
            <w:noWrap/>
            <w:vAlign w:val="bottom"/>
            <w:hideMark/>
          </w:tcPr>
          <w:p w14:paraId="715B9EFB"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 </w:t>
            </w:r>
          </w:p>
        </w:tc>
        <w:tc>
          <w:tcPr>
            <w:tcW w:w="826" w:type="dxa"/>
            <w:tcBorders>
              <w:top w:val="nil"/>
              <w:left w:val="nil"/>
              <w:bottom w:val="single" w:sz="4" w:space="0" w:color="A6A6A6"/>
              <w:right w:val="single" w:sz="4" w:space="0" w:color="A6A6A6"/>
            </w:tcBorders>
            <w:shd w:val="clear" w:color="000000" w:fill="F2F2F2"/>
            <w:noWrap/>
            <w:vAlign w:val="bottom"/>
            <w:hideMark/>
          </w:tcPr>
          <w:p w14:paraId="62EEFDD7"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377</w:t>
            </w:r>
          </w:p>
        </w:tc>
      </w:tr>
      <w:tr w:rsidR="001B5C8F" w:rsidRPr="005F25D7" w14:paraId="0EA3C560" w14:textId="77777777" w:rsidTr="00D939CF">
        <w:trPr>
          <w:trHeight w:val="295"/>
        </w:trPr>
        <w:tc>
          <w:tcPr>
            <w:tcW w:w="3178" w:type="dxa"/>
            <w:gridSpan w:val="2"/>
            <w:vMerge/>
            <w:tcBorders>
              <w:top w:val="single" w:sz="4" w:space="0" w:color="D9D9D9"/>
              <w:left w:val="single" w:sz="4" w:space="0" w:color="BFBFBF"/>
              <w:bottom w:val="single" w:sz="4" w:space="0" w:color="BFBFBF"/>
              <w:right w:val="single" w:sz="4" w:space="0" w:color="D9D9D9"/>
            </w:tcBorders>
            <w:vAlign w:val="center"/>
            <w:hideMark/>
          </w:tcPr>
          <w:p w14:paraId="0E839092"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p>
        </w:tc>
        <w:tc>
          <w:tcPr>
            <w:tcW w:w="2097" w:type="dxa"/>
            <w:tcBorders>
              <w:top w:val="nil"/>
              <w:left w:val="nil"/>
              <w:bottom w:val="single" w:sz="4" w:space="0" w:color="A6A6A6"/>
              <w:right w:val="single" w:sz="4" w:space="0" w:color="A6A6A6"/>
            </w:tcBorders>
            <w:shd w:val="clear" w:color="000000" w:fill="F2F2F2"/>
            <w:vAlign w:val="center"/>
            <w:hideMark/>
          </w:tcPr>
          <w:p w14:paraId="684DDF6B" w14:textId="77777777" w:rsidR="001B5C8F" w:rsidRPr="005F25D7" w:rsidRDefault="001B5C8F" w:rsidP="00DC54F7">
            <w:pPr>
              <w:spacing w:after="0" w:line="240" w:lineRule="auto"/>
              <w:jc w:val="both"/>
              <w:rPr>
                <w:rFonts w:ascii="Arial" w:eastAsia="Times New Roman" w:hAnsi="Arial" w:cs="Arial"/>
                <w:b/>
                <w:bCs/>
                <w:color w:val="000000"/>
                <w:sz w:val="18"/>
                <w:szCs w:val="18"/>
                <w:lang w:eastAsia="en-GB"/>
              </w:rPr>
            </w:pPr>
            <w:r w:rsidRPr="005F25D7">
              <w:rPr>
                <w:rFonts w:ascii="Arial" w:eastAsia="Times New Roman" w:hAnsi="Arial" w:cs="Arial"/>
                <w:b/>
                <w:bCs/>
                <w:color w:val="000000"/>
                <w:sz w:val="18"/>
                <w:szCs w:val="18"/>
                <w:lang w:eastAsia="en-GB"/>
              </w:rPr>
              <w:t>Total Respondents</w:t>
            </w:r>
          </w:p>
        </w:tc>
        <w:tc>
          <w:tcPr>
            <w:tcW w:w="1299" w:type="dxa"/>
            <w:tcBorders>
              <w:top w:val="nil"/>
              <w:left w:val="nil"/>
              <w:bottom w:val="single" w:sz="4" w:space="0" w:color="A6A6A6"/>
              <w:right w:val="single" w:sz="4" w:space="0" w:color="A6A6A6"/>
            </w:tcBorders>
            <w:shd w:val="clear" w:color="000000" w:fill="F2F2F2"/>
            <w:vAlign w:val="center"/>
            <w:hideMark/>
          </w:tcPr>
          <w:p w14:paraId="0E80F66C" w14:textId="77777777" w:rsidR="001B5C8F" w:rsidRPr="005F25D7" w:rsidRDefault="001B5C8F" w:rsidP="00DC54F7">
            <w:pPr>
              <w:spacing w:after="0" w:line="240" w:lineRule="auto"/>
              <w:jc w:val="both"/>
              <w:rPr>
                <w:rFonts w:ascii="Arial" w:eastAsia="Times New Roman" w:hAnsi="Arial" w:cs="Arial"/>
                <w:b/>
                <w:bCs/>
                <w:color w:val="000000"/>
                <w:sz w:val="18"/>
                <w:szCs w:val="18"/>
                <w:lang w:eastAsia="en-GB"/>
              </w:rPr>
            </w:pPr>
            <w:r w:rsidRPr="005F25D7">
              <w:rPr>
                <w:rFonts w:ascii="Arial" w:eastAsia="Times New Roman" w:hAnsi="Arial" w:cs="Arial"/>
                <w:b/>
                <w:bCs/>
                <w:color w:val="000000"/>
                <w:sz w:val="18"/>
                <w:szCs w:val="18"/>
                <w:lang w:eastAsia="en-GB"/>
              </w:rPr>
              <w:t> </w:t>
            </w:r>
          </w:p>
        </w:tc>
        <w:tc>
          <w:tcPr>
            <w:tcW w:w="1497" w:type="dxa"/>
            <w:tcBorders>
              <w:top w:val="nil"/>
              <w:left w:val="nil"/>
              <w:bottom w:val="single" w:sz="4" w:space="0" w:color="A6A6A6"/>
              <w:right w:val="single" w:sz="4" w:space="0" w:color="A6A6A6"/>
            </w:tcBorders>
            <w:shd w:val="clear" w:color="000000" w:fill="F2F2F2"/>
            <w:noWrap/>
            <w:vAlign w:val="bottom"/>
            <w:hideMark/>
          </w:tcPr>
          <w:p w14:paraId="047A4BF4"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 </w:t>
            </w:r>
          </w:p>
        </w:tc>
        <w:tc>
          <w:tcPr>
            <w:tcW w:w="826" w:type="dxa"/>
            <w:tcBorders>
              <w:top w:val="nil"/>
              <w:left w:val="nil"/>
              <w:bottom w:val="single" w:sz="4" w:space="0" w:color="A6A6A6"/>
              <w:right w:val="single" w:sz="4" w:space="0" w:color="A6A6A6"/>
            </w:tcBorders>
            <w:shd w:val="clear" w:color="000000" w:fill="F2F2F2"/>
            <w:noWrap/>
            <w:vAlign w:val="bottom"/>
            <w:hideMark/>
          </w:tcPr>
          <w:p w14:paraId="62C08463"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281</w:t>
            </w:r>
          </w:p>
        </w:tc>
      </w:tr>
      <w:tr w:rsidR="001B5C8F" w:rsidRPr="005F25D7" w14:paraId="353BAC8F" w14:textId="77777777" w:rsidTr="00D939CF">
        <w:trPr>
          <w:trHeight w:val="295"/>
        </w:trPr>
        <w:tc>
          <w:tcPr>
            <w:tcW w:w="3178" w:type="dxa"/>
            <w:gridSpan w:val="2"/>
            <w:vMerge/>
            <w:tcBorders>
              <w:top w:val="single" w:sz="4" w:space="0" w:color="D9D9D9"/>
              <w:left w:val="single" w:sz="4" w:space="0" w:color="BFBFBF"/>
              <w:bottom w:val="single" w:sz="4" w:space="0" w:color="BFBFBF"/>
              <w:right w:val="single" w:sz="4" w:space="0" w:color="D9D9D9"/>
            </w:tcBorders>
            <w:vAlign w:val="center"/>
            <w:hideMark/>
          </w:tcPr>
          <w:p w14:paraId="3BD7AD92" w14:textId="77777777" w:rsidR="001B5C8F" w:rsidRPr="005F25D7" w:rsidRDefault="001B5C8F" w:rsidP="00DC54F7">
            <w:pPr>
              <w:spacing w:after="0" w:line="240" w:lineRule="auto"/>
              <w:jc w:val="both"/>
              <w:rPr>
                <w:rFonts w:ascii="Arial" w:eastAsia="Times New Roman" w:hAnsi="Arial" w:cs="Arial"/>
                <w:color w:val="000000"/>
                <w:sz w:val="18"/>
                <w:szCs w:val="18"/>
                <w:lang w:eastAsia="en-GB"/>
              </w:rPr>
            </w:pPr>
          </w:p>
        </w:tc>
        <w:tc>
          <w:tcPr>
            <w:tcW w:w="2097" w:type="dxa"/>
            <w:tcBorders>
              <w:top w:val="nil"/>
              <w:left w:val="nil"/>
              <w:bottom w:val="single" w:sz="4" w:space="0" w:color="A6A6A6"/>
              <w:right w:val="single" w:sz="4" w:space="0" w:color="A6A6A6"/>
            </w:tcBorders>
            <w:shd w:val="clear" w:color="000000" w:fill="F2F2F2"/>
            <w:vAlign w:val="center"/>
            <w:hideMark/>
          </w:tcPr>
          <w:p w14:paraId="5C2A8EA2" w14:textId="77777777" w:rsidR="001B5C8F" w:rsidRPr="005F25D7" w:rsidRDefault="001B5C8F" w:rsidP="00DC54F7">
            <w:pPr>
              <w:spacing w:after="0" w:line="240" w:lineRule="auto"/>
              <w:jc w:val="both"/>
              <w:rPr>
                <w:rFonts w:ascii="Arial" w:eastAsia="Times New Roman" w:hAnsi="Arial" w:cs="Arial"/>
                <w:b/>
                <w:bCs/>
                <w:color w:val="000000"/>
                <w:sz w:val="18"/>
                <w:szCs w:val="18"/>
                <w:lang w:eastAsia="en-GB"/>
              </w:rPr>
            </w:pPr>
            <w:r w:rsidRPr="005F25D7">
              <w:rPr>
                <w:rFonts w:ascii="Arial" w:eastAsia="Times New Roman" w:hAnsi="Arial" w:cs="Arial"/>
                <w:b/>
                <w:bCs/>
                <w:color w:val="000000"/>
                <w:sz w:val="18"/>
                <w:szCs w:val="18"/>
                <w:lang w:eastAsia="en-GB"/>
              </w:rPr>
              <w:t>Skipped</w:t>
            </w:r>
          </w:p>
        </w:tc>
        <w:tc>
          <w:tcPr>
            <w:tcW w:w="1299" w:type="dxa"/>
            <w:tcBorders>
              <w:top w:val="nil"/>
              <w:left w:val="nil"/>
              <w:bottom w:val="single" w:sz="4" w:space="0" w:color="A6A6A6"/>
              <w:right w:val="single" w:sz="4" w:space="0" w:color="A6A6A6"/>
            </w:tcBorders>
            <w:shd w:val="clear" w:color="000000" w:fill="F2F2F2"/>
            <w:vAlign w:val="center"/>
            <w:hideMark/>
          </w:tcPr>
          <w:p w14:paraId="67AEB976" w14:textId="77777777" w:rsidR="001B5C8F" w:rsidRPr="005F25D7" w:rsidRDefault="001B5C8F" w:rsidP="00DC54F7">
            <w:pPr>
              <w:spacing w:after="0" w:line="240" w:lineRule="auto"/>
              <w:jc w:val="both"/>
              <w:rPr>
                <w:rFonts w:ascii="Arial" w:eastAsia="Times New Roman" w:hAnsi="Arial" w:cs="Arial"/>
                <w:b/>
                <w:bCs/>
                <w:color w:val="000000"/>
                <w:sz w:val="18"/>
                <w:szCs w:val="18"/>
                <w:lang w:eastAsia="en-GB"/>
              </w:rPr>
            </w:pPr>
            <w:r w:rsidRPr="005F25D7">
              <w:rPr>
                <w:rFonts w:ascii="Arial" w:eastAsia="Times New Roman" w:hAnsi="Arial" w:cs="Arial"/>
                <w:b/>
                <w:bCs/>
                <w:color w:val="000000"/>
                <w:sz w:val="18"/>
                <w:szCs w:val="18"/>
                <w:lang w:eastAsia="en-GB"/>
              </w:rPr>
              <w:t> </w:t>
            </w:r>
          </w:p>
        </w:tc>
        <w:tc>
          <w:tcPr>
            <w:tcW w:w="1497" w:type="dxa"/>
            <w:tcBorders>
              <w:top w:val="nil"/>
              <w:left w:val="nil"/>
              <w:bottom w:val="single" w:sz="4" w:space="0" w:color="A6A6A6"/>
              <w:right w:val="single" w:sz="4" w:space="0" w:color="A6A6A6"/>
            </w:tcBorders>
            <w:shd w:val="clear" w:color="000000" w:fill="F2F2F2"/>
            <w:noWrap/>
            <w:vAlign w:val="bottom"/>
            <w:hideMark/>
          </w:tcPr>
          <w:p w14:paraId="350DD130"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 </w:t>
            </w:r>
          </w:p>
        </w:tc>
        <w:tc>
          <w:tcPr>
            <w:tcW w:w="826" w:type="dxa"/>
            <w:tcBorders>
              <w:top w:val="nil"/>
              <w:left w:val="nil"/>
              <w:bottom w:val="single" w:sz="4" w:space="0" w:color="A6A6A6"/>
              <w:right w:val="single" w:sz="4" w:space="0" w:color="A6A6A6"/>
            </w:tcBorders>
            <w:shd w:val="clear" w:color="000000" w:fill="F2F2F2"/>
            <w:noWrap/>
            <w:vAlign w:val="bottom"/>
            <w:hideMark/>
          </w:tcPr>
          <w:p w14:paraId="6E1EF8CC" w14:textId="77777777" w:rsidR="001B5C8F" w:rsidRPr="005F25D7" w:rsidRDefault="001B5C8F" w:rsidP="00DC54F7">
            <w:pPr>
              <w:spacing w:after="0" w:line="240" w:lineRule="auto"/>
              <w:jc w:val="both"/>
              <w:rPr>
                <w:rFonts w:ascii="Calibri" w:eastAsia="Times New Roman" w:hAnsi="Calibri" w:cs="Calibri"/>
                <w:color w:val="000000"/>
                <w:lang w:eastAsia="en-GB"/>
              </w:rPr>
            </w:pPr>
            <w:r w:rsidRPr="005F25D7">
              <w:rPr>
                <w:rFonts w:ascii="Calibri" w:eastAsia="Times New Roman" w:hAnsi="Calibri" w:cs="Calibri"/>
                <w:color w:val="000000"/>
                <w:lang w:eastAsia="en-GB"/>
              </w:rPr>
              <w:t>30</w:t>
            </w:r>
          </w:p>
        </w:tc>
      </w:tr>
    </w:tbl>
    <w:p w14:paraId="07FAF460" w14:textId="77777777" w:rsidR="00D301A3" w:rsidRDefault="00D301A3" w:rsidP="00DC54F7">
      <w:pPr>
        <w:jc w:val="both"/>
      </w:pPr>
    </w:p>
    <w:p w14:paraId="417DC1EB" w14:textId="77777777" w:rsidR="00D301A3" w:rsidRDefault="00D301A3" w:rsidP="00DC54F7">
      <w:pPr>
        <w:jc w:val="both"/>
        <w:rPr>
          <w:rFonts w:ascii="Arial" w:eastAsia="Times New Roman" w:hAnsi="Arial" w:cs="Arial"/>
          <w:b/>
          <w:bCs/>
          <w:color w:val="333333"/>
        </w:rPr>
      </w:pPr>
      <w:r w:rsidRPr="00823BC0">
        <w:rPr>
          <w:rFonts w:ascii="Arial" w:eastAsia="Times New Roman" w:hAnsi="Arial" w:cs="Arial"/>
          <w:b/>
          <w:bCs/>
          <w:color w:val="333333"/>
        </w:rPr>
        <w:t>20. Is there anything else you would like to tell us about your experience of your local pharmacy?</w:t>
      </w:r>
    </w:p>
    <w:p w14:paraId="1085334F" w14:textId="77777777" w:rsidR="00D301A3" w:rsidRPr="008400ED" w:rsidRDefault="00D301A3" w:rsidP="00DC54F7">
      <w:pPr>
        <w:jc w:val="both"/>
        <w:rPr>
          <w:rFonts w:ascii="Arial" w:eastAsia="Times New Roman" w:hAnsi="Arial" w:cs="Arial"/>
          <w:b/>
          <w:bCs/>
          <w:color w:val="333333"/>
        </w:rPr>
      </w:pPr>
      <w:r w:rsidRPr="008400ED">
        <w:rPr>
          <w:rFonts w:ascii="Arial" w:eastAsia="Times New Roman" w:hAnsi="Arial" w:cs="Arial"/>
          <w:b/>
          <w:bCs/>
          <w:color w:val="333333"/>
        </w:rPr>
        <w:t>A total of 131 comments were received:</w:t>
      </w:r>
    </w:p>
    <w:p w14:paraId="610E167E"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“There isn't really a space suitable for a more confidential or private conversation, which would be really helpful. I would like the pharmacy to be open at some point over weekends.”</w:t>
      </w:r>
    </w:p>
    <w:p w14:paraId="7481D3D6"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“Always find the staff very helpful.”</w:t>
      </w:r>
    </w:p>
    <w:p w14:paraId="33A8A072"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“Always find the staff very helpful.” </w:t>
      </w:r>
    </w:p>
    <w:p w14:paraId="671FF7E0"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“My local pharmacy is friendly and efficient.”</w:t>
      </w:r>
    </w:p>
    <w:p w14:paraId="50752AA2"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“Community pharmacy has provided a consistently high-quality service during COVID-19 pandemic, with open access when other services have been closed or had very restricted accessibility. Responded very positively as a profession to help manage chronic illness and deal with minor ailments, thus reducing the burden elsewhere in NHS.”</w:t>
      </w:r>
    </w:p>
    <w:p w14:paraId="39F17606"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“They are EXCELLANT!! Fab customer service and advise.”</w:t>
      </w:r>
    </w:p>
    <w:p w14:paraId="7F49909A"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“Always very helpful.”</w:t>
      </w:r>
    </w:p>
    <w:p w14:paraId="443D6EA3"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“Their storage of prescriptions that they have made up from the automatic supply by the doctors is somewhat chaotic and cluttered. It takes them quite a while to look through several drawers even though they are alphabetically grouped.”</w:t>
      </w:r>
    </w:p>
    <w:p w14:paraId="03CA4573"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“Very friendly staff. My tablets are already ready for collection. No problems, I've been using this pharmacy for over 20 years.”</w:t>
      </w:r>
    </w:p>
    <w:p w14:paraId="01D70547"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“It would be useful if pharmacy opening hours could reflect the opening hours of Gp surgeries.”</w:t>
      </w:r>
    </w:p>
    <w:p w14:paraId="30F2269F"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lastRenderedPageBreak/>
        <w:t>“It would be good to be able to order prescriptions by email directly to the pharmacy.”</w:t>
      </w:r>
    </w:p>
    <w:p w14:paraId="54C07396" w14:textId="503DEA15"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“Computer system link to gp not always good when ordering many </w:t>
      </w:r>
      <w:r w:rsidR="00540D6F" w:rsidRPr="00737B32">
        <w:rPr>
          <w:rFonts w:ascii="Arial" w:hAnsi="Arial" w:cs="Arial"/>
        </w:rPr>
        <w:t>medications</w:t>
      </w:r>
      <w:r w:rsidRPr="00737B32">
        <w:rPr>
          <w:rFonts w:ascii="Arial" w:hAnsi="Arial" w:cs="Arial"/>
        </w:rPr>
        <w:t xml:space="preserve"> via pharmacy on more than one occasion medication missing.” </w:t>
      </w:r>
    </w:p>
    <w:p w14:paraId="761F1974"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“Clearwater Way, lakeside pharmacy is wonderful!” </w:t>
      </w:r>
    </w:p>
    <w:p w14:paraId="222080C9"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“The nearest pharmacy to my house in </w:t>
      </w:r>
      <w:r>
        <w:rPr>
          <w:rFonts w:ascii="Arial" w:hAnsi="Arial" w:cs="Arial"/>
        </w:rPr>
        <w:t>[name of location]</w:t>
      </w:r>
      <w:r w:rsidRPr="00737B32">
        <w:rPr>
          <w:rFonts w:ascii="Arial" w:hAnsi="Arial" w:cs="Arial"/>
        </w:rPr>
        <w:t xml:space="preserve"> is on the high street so parking is difficult. They have recently started charging extra for delivery and no longer let me order repeat medicines through them. They say I have to call the doctors but the surgery say they can’t take repeat requests by phone. It hopeless! I would like there to be more choices of pharmacy in </w:t>
      </w:r>
      <w:r w:rsidRPr="00F74F1E">
        <w:rPr>
          <w:rFonts w:ascii="Arial" w:hAnsi="Arial" w:cs="Arial"/>
        </w:rPr>
        <w:t>the rural areas of</w:t>
      </w:r>
      <w:r>
        <w:rPr>
          <w:rFonts w:ascii="Arial" w:hAnsi="Arial" w:cs="Arial"/>
        </w:rPr>
        <w:t xml:space="preserve"> [name of location]</w:t>
      </w:r>
      <w:r w:rsidRPr="00F74F1E">
        <w:rPr>
          <w:rFonts w:ascii="Arial" w:hAnsi="Arial" w:cs="Arial"/>
        </w:rPr>
        <w:t>.”</w:t>
      </w:r>
    </w:p>
    <w:p w14:paraId="53F96C6B"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“The wait for phone ordered repeat medication has increased from a 48 hour turnaround to 96 which has been hard to organise as I take insulin. Was not informed until I spoke to them but luckily I had enough supply. Queues outside are sometimes 15 people deep and as I am a frontline nurse this can be hard to waiting when your busy.”</w:t>
      </w:r>
    </w:p>
    <w:p w14:paraId="22C13710"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“I’ve been getting a flu vaccine since 2017 when my mum and brother both developed cancer as I didn’t want to put them at greater risk. I pay for my flu jab.” </w:t>
      </w:r>
    </w:p>
    <w:p w14:paraId="696A33C2"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“No.”</w:t>
      </w:r>
    </w:p>
    <w:p w14:paraId="2A50763D"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“Wish the pharmacy was open on a Saturday morning.” </w:t>
      </w:r>
    </w:p>
    <w:p w14:paraId="6BD4D70D"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“Closed for lunch which is pretty bizzare these days.”</w:t>
      </w:r>
    </w:p>
    <w:p w14:paraId="5F4B0635"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“It's frustrating having to collect a prescription from the doctors and take it to the pharmacy and then wait for the medicine to be dispensed. They are next door to one another so I have no idea why the doctor can't pass the prescriptions to the pharmacy as soon as the doctor has written the prescription so the medicine is ready for collection. Makes much more sense with covid to only have to go to the pharmacy rather than both the surgery and the pharmacy and then have to wait around at the pharmacy. There needs to be a more streamlined process particularly for repeat prescriptions.”</w:t>
      </w:r>
    </w:p>
    <w:p w14:paraId="5C39FC17"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“No.”</w:t>
      </w:r>
    </w:p>
    <w:p w14:paraId="3788DA38"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Would be useful if my own gp had pharmacy attached to it. </w:t>
      </w:r>
      <w:r>
        <w:rPr>
          <w:rFonts w:ascii="Arial" w:hAnsi="Arial" w:cs="Arial"/>
        </w:rPr>
        <w:t>[Name of surgery]</w:t>
      </w:r>
    </w:p>
    <w:p w14:paraId="18286459"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Pr>
          <w:rFonts w:ascii="Arial" w:hAnsi="Arial" w:cs="Arial"/>
        </w:rPr>
        <w:t xml:space="preserve">[Name of pharmacy] </w:t>
      </w:r>
      <w:r w:rsidRPr="00737B32">
        <w:rPr>
          <w:rFonts w:ascii="Arial" w:hAnsi="Arial" w:cs="Arial"/>
        </w:rPr>
        <w:t xml:space="preserve">so efficient compared to </w:t>
      </w:r>
      <w:r>
        <w:rPr>
          <w:rFonts w:ascii="Arial" w:hAnsi="Arial" w:cs="Arial"/>
        </w:rPr>
        <w:t>[name of pharmacy]</w:t>
      </w:r>
      <w:r w:rsidRPr="00737B32">
        <w:rPr>
          <w:rFonts w:ascii="Arial" w:hAnsi="Arial" w:cs="Arial"/>
        </w:rPr>
        <w:t xml:space="preserve"> - internet service for repeat medication ie text message is great </w:t>
      </w:r>
    </w:p>
    <w:p w14:paraId="609E612E" w14:textId="1C524854"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“The pharmacist is a valuable and </w:t>
      </w:r>
      <w:r w:rsidR="00540D6F" w:rsidRPr="00737B32">
        <w:rPr>
          <w:rFonts w:ascii="Arial" w:hAnsi="Arial" w:cs="Arial"/>
        </w:rPr>
        <w:t>essential</w:t>
      </w:r>
      <w:r w:rsidRPr="00737B32">
        <w:rPr>
          <w:rFonts w:ascii="Arial" w:hAnsi="Arial" w:cs="Arial"/>
        </w:rPr>
        <w:t xml:space="preserve"> clinician in the community. The pharmacists are so knowledgeable and friendly. Staff easy to talk to. The turnaround of repeats is too slow. They should offer more services to take pressure off GPs. Pharmacies should do c card scheme, contraception, etc. They need more respect.”</w:t>
      </w:r>
    </w:p>
    <w:p w14:paraId="3702FA0D"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“Stop closing at lunchtime, sometimes it's the only time I can go.”</w:t>
      </w:r>
    </w:p>
    <w:p w14:paraId="083FA47C"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“Quick, efficient, friendly.”</w:t>
      </w:r>
    </w:p>
    <w:p w14:paraId="0C95E1C5"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“It’s too small and too busy. </w:t>
      </w:r>
      <w:r w:rsidRPr="000D28D4">
        <w:rPr>
          <w:rFonts w:ascii="Arial" w:hAnsi="Arial" w:cs="Arial"/>
        </w:rPr>
        <w:t>A new housing estate with several thousand new residents hasn’t been planned for.</w:t>
      </w:r>
      <w:r w:rsidRPr="00737B32">
        <w:rPr>
          <w:rFonts w:ascii="Arial" w:hAnsi="Arial" w:cs="Arial"/>
        </w:rPr>
        <w:t xml:space="preserve"> There is higher staff turnover and supplies if needed prescription medicines aren’t always available on time. This can be stressful if supplies of a medicine runs now. Missing items mean repeat visits to the pharmacy, often multiple visits and this is an increasingly frequent issue.”</w:t>
      </w:r>
    </w:p>
    <w:p w14:paraId="6D03094C"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“They shouldn’t close for lunch.” </w:t>
      </w:r>
    </w:p>
    <w:p w14:paraId="2888946F" w14:textId="3209D218"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“The staff are </w:t>
      </w:r>
      <w:r w:rsidR="00540D6F" w:rsidRPr="00737B32">
        <w:rPr>
          <w:rFonts w:ascii="Arial" w:hAnsi="Arial" w:cs="Arial"/>
        </w:rPr>
        <w:t>excellent</w:t>
      </w:r>
      <w:r w:rsidRPr="00737B32">
        <w:rPr>
          <w:rFonts w:ascii="Arial" w:hAnsi="Arial" w:cs="Arial"/>
        </w:rPr>
        <w:t>, always helpful and pleasant.”</w:t>
      </w:r>
    </w:p>
    <w:p w14:paraId="1AB3287D"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“Very poor service, often told to return after lunch and find items still not ready. Told on a phone items are ready to collect and on arrival told not in stock yet. Often long queues.</w:t>
      </w:r>
    </w:p>
    <w:p w14:paraId="662505CB" w14:textId="166EC6A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“An item for someone else that's a slow release formulation was not available at the usual.” pharmacy </w:t>
      </w:r>
      <w:r>
        <w:rPr>
          <w:rFonts w:ascii="Arial" w:hAnsi="Arial" w:cs="Arial"/>
        </w:rPr>
        <w:t>[name of pharmacy]</w:t>
      </w:r>
      <w:r w:rsidRPr="00737B32">
        <w:rPr>
          <w:rFonts w:ascii="Arial" w:hAnsi="Arial" w:cs="Arial"/>
        </w:rPr>
        <w:t xml:space="preserve"> and no help offered other than trying elsewhere but when as part of checking round other pharmacies in the area I got great advice from </w:t>
      </w:r>
      <w:r>
        <w:rPr>
          <w:rFonts w:ascii="Arial" w:hAnsi="Arial" w:cs="Arial"/>
        </w:rPr>
        <w:t xml:space="preserve">[name of pharmacy] </w:t>
      </w:r>
      <w:r w:rsidRPr="00737B32">
        <w:rPr>
          <w:rFonts w:ascii="Arial" w:hAnsi="Arial" w:cs="Arial"/>
        </w:rPr>
        <w:t xml:space="preserve">Bridgend that if the doctor changed the description to be generic rather than a brand name there were alternatives available which they could supply. The patient </w:t>
      </w:r>
      <w:r w:rsidRPr="00737B32">
        <w:rPr>
          <w:rFonts w:ascii="Arial" w:hAnsi="Arial" w:cs="Arial"/>
        </w:rPr>
        <w:lastRenderedPageBreak/>
        <w:t xml:space="preserve">contacted doctor again, the doctor had by now given her an </w:t>
      </w:r>
      <w:r w:rsidR="00540D6F" w:rsidRPr="00737B32">
        <w:rPr>
          <w:rFonts w:ascii="Arial" w:hAnsi="Arial" w:cs="Arial"/>
        </w:rPr>
        <w:t>alternative</w:t>
      </w:r>
      <w:r w:rsidRPr="00737B32">
        <w:rPr>
          <w:rFonts w:ascii="Arial" w:hAnsi="Arial" w:cs="Arial"/>
        </w:rPr>
        <w:t xml:space="preserve"> non slow release version, and it got sorted with delivery by </w:t>
      </w:r>
      <w:r>
        <w:rPr>
          <w:rFonts w:ascii="Arial" w:hAnsi="Arial" w:cs="Arial"/>
        </w:rPr>
        <w:t>[name of pharmacy]</w:t>
      </w:r>
      <w:r w:rsidRPr="00737B32">
        <w:rPr>
          <w:rFonts w:ascii="Arial" w:hAnsi="Arial" w:cs="Arial"/>
        </w:rPr>
        <w:t xml:space="preserve"> that evening. It seems to me </w:t>
      </w:r>
      <w:r>
        <w:rPr>
          <w:rFonts w:ascii="Arial" w:hAnsi="Arial" w:cs="Arial"/>
        </w:rPr>
        <w:t>[name of pharmacy]</w:t>
      </w:r>
      <w:r w:rsidRPr="00737B32">
        <w:rPr>
          <w:rFonts w:ascii="Arial" w:hAnsi="Arial" w:cs="Arial"/>
        </w:rPr>
        <w:t xml:space="preserve"> and the doctor could have sorted that out earlier. I know for some drugs it's important to stick to one but where not then why make life difficult.” </w:t>
      </w:r>
    </w:p>
    <w:p w14:paraId="355C3A67" w14:textId="0801E9F3"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“Would prefer they opened weekends - even if shorter hours. My prescription becomes available on a Friday. There have been a couple of </w:t>
      </w:r>
      <w:r w:rsidR="00C73310" w:rsidRPr="00737B32">
        <w:rPr>
          <w:rFonts w:ascii="Arial" w:hAnsi="Arial" w:cs="Arial"/>
        </w:rPr>
        <w:t>times</w:t>
      </w:r>
      <w:r w:rsidRPr="00737B32">
        <w:rPr>
          <w:rFonts w:ascii="Arial" w:hAnsi="Arial" w:cs="Arial"/>
        </w:rPr>
        <w:t xml:space="preserve"> when its been delayed and had to wait until Monday.“</w:t>
      </w:r>
    </w:p>
    <w:p w14:paraId="2E394C59"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“No.”</w:t>
      </w:r>
    </w:p>
    <w:p w14:paraId="6732BE62"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“They make it as awkward as possible to collect medication. Opening hours are difficult. They only collect prescriptions from the go once per day. If a prescription is handed in you are asked to wait outside in the rain even if it is empty.”</w:t>
      </w:r>
    </w:p>
    <w:p w14:paraId="20BE9D74" w14:textId="025D2595"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“During the </w:t>
      </w:r>
      <w:r w:rsidR="00C16CC7" w:rsidRPr="00737B32">
        <w:rPr>
          <w:rFonts w:ascii="Arial" w:hAnsi="Arial" w:cs="Arial"/>
        </w:rPr>
        <w:t>pandemic,</w:t>
      </w:r>
      <w:r w:rsidRPr="00737B32">
        <w:rPr>
          <w:rFonts w:ascii="Arial" w:hAnsi="Arial" w:cs="Arial"/>
        </w:rPr>
        <w:t xml:space="preserve"> the pharmacy should set up an area by the door to dispense repeat prescriptions rather than having to walk through the hole shop and queue - social distancing is present however many are keen to reduce time spent indoors.”</w:t>
      </w:r>
    </w:p>
    <w:p w14:paraId="4BAB3B8A"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“They have made some errors, 4, recently which has made me worry about getting the correct medication. I cant access the pharmacy and id like to change but I'm not confident to so that at the moment as I don't know if others will deliver.” </w:t>
      </w:r>
    </w:p>
    <w:p w14:paraId="0317F328"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“We are thinking of moving to another pharmacy, errors and unhappy staff don’t help.”</w:t>
      </w:r>
    </w:p>
    <w:p w14:paraId="48D7E6B9"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“The pharmacy we go to as it is near our GP is generally shot staffed and feels a bit chaotic as they have too much to do and are constantly firefighting. Not very comfortable for those using the service.”</w:t>
      </w:r>
    </w:p>
    <w:p w14:paraId="1DBB32F5"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“Our local Pharmacy staff are always helpful and friendly”. </w:t>
      </w:r>
    </w:p>
    <w:p w14:paraId="319EB320"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“No local pharmacy accessible to </w:t>
      </w:r>
      <w:r w:rsidRPr="00697BF6">
        <w:rPr>
          <w:rFonts w:ascii="Arial" w:hAnsi="Arial" w:cs="Arial"/>
        </w:rPr>
        <w:t>me in [name of location] [name of pharmacy] isnt</w:t>
      </w:r>
      <w:r w:rsidRPr="00737B32">
        <w:rPr>
          <w:rFonts w:ascii="Arial" w:hAnsi="Arial" w:cs="Arial"/>
        </w:rPr>
        <w:t xml:space="preserve"> registered yet.”</w:t>
      </w:r>
    </w:p>
    <w:p w14:paraId="304AAF76"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“I feel that I can get advice from them quicker than with a GP, more approachable.”</w:t>
      </w:r>
    </w:p>
    <w:p w14:paraId="3C3A1DBB"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“Always helpful and happy to offer advice. Will source things quickly if not immediately available.”</w:t>
      </w:r>
    </w:p>
    <w:p w14:paraId="1C935CF0"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“The locations of the nearest pharmacies to my GP are not convenient and I find it difficult when walking.”</w:t>
      </w:r>
    </w:p>
    <w:p w14:paraId="5C611A09"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“Generally good and could do more.”</w:t>
      </w:r>
    </w:p>
    <w:p w14:paraId="1430A39D" w14:textId="4FB49935"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“Recently my experience has not been good. One pharmacy didn't have my medication in stock. They did not inform me. When I arrived after waiting 20 minutes to be served then I found out and they seemed to think that ordering it in by the next week was good enough. At another occasion at a different pharmacy they had outsourced the packaging of my medication </w:t>
      </w:r>
      <w:r>
        <w:rPr>
          <w:rFonts w:ascii="Arial" w:hAnsi="Arial" w:cs="Arial"/>
        </w:rPr>
        <w:t>[name of location]</w:t>
      </w:r>
      <w:r w:rsidRPr="00737B32">
        <w:rPr>
          <w:rFonts w:ascii="Arial" w:hAnsi="Arial" w:cs="Arial"/>
        </w:rPr>
        <w:t xml:space="preserve">! Again I wasn't informed until I arrived (both times after waiting 48hours after sending in my </w:t>
      </w:r>
      <w:r w:rsidR="00C73310" w:rsidRPr="00737B32">
        <w:rPr>
          <w:rFonts w:ascii="Arial" w:hAnsi="Arial" w:cs="Arial"/>
        </w:rPr>
        <w:t>prescription</w:t>
      </w:r>
      <w:r w:rsidRPr="00737B32">
        <w:rPr>
          <w:rFonts w:ascii="Arial" w:hAnsi="Arial" w:cs="Arial"/>
        </w:rPr>
        <w:t xml:space="preserve">) and I had to wait 2 more days for the medication. In general I do not understand why it takes pharmacies so long to bag up my medication once I take in the prescription.” </w:t>
      </w:r>
    </w:p>
    <w:p w14:paraId="2901776F"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“No.”</w:t>
      </w:r>
    </w:p>
    <w:p w14:paraId="384F960C"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“The pharmacy I use is brilliant. The people are great and really helpful.” </w:t>
      </w:r>
    </w:p>
    <w:p w14:paraId="603C1117" w14:textId="77777777" w:rsidR="00D301A3" w:rsidRPr="00737B32" w:rsidRDefault="00D301A3" w:rsidP="00DC54F7">
      <w:pPr>
        <w:pStyle w:val="ListParagraph"/>
        <w:numPr>
          <w:ilvl w:val="0"/>
          <w:numId w:val="117"/>
        </w:numPr>
        <w:spacing w:after="0" w:line="240" w:lineRule="auto"/>
        <w:ind w:left="360"/>
        <w:jc w:val="both"/>
        <w:rPr>
          <w:rFonts w:ascii="Arial" w:hAnsi="Arial" w:cs="Arial"/>
        </w:rPr>
      </w:pPr>
      <w:r w:rsidRPr="00737B32">
        <w:rPr>
          <w:rFonts w:ascii="Arial" w:hAnsi="Arial" w:cs="Arial"/>
        </w:rPr>
        <w:t xml:space="preserve">“My pharmacy is always busy, but always friendly and helpful.” </w:t>
      </w:r>
    </w:p>
    <w:p w14:paraId="7B688B2D" w14:textId="77777777" w:rsidR="00D301A3" w:rsidRPr="00737B32" w:rsidRDefault="00D301A3" w:rsidP="00DC54F7">
      <w:pPr>
        <w:pStyle w:val="ListParagraph"/>
        <w:numPr>
          <w:ilvl w:val="0"/>
          <w:numId w:val="117"/>
        </w:numPr>
        <w:spacing w:after="0" w:line="240" w:lineRule="auto"/>
        <w:ind w:left="360"/>
        <w:jc w:val="both"/>
        <w:rPr>
          <w:rFonts w:ascii="Arial" w:hAnsi="Arial" w:cs="Arial"/>
        </w:rPr>
      </w:pPr>
      <w:r w:rsidRPr="00737B32">
        <w:rPr>
          <w:rFonts w:ascii="Arial" w:hAnsi="Arial" w:cs="Arial"/>
        </w:rPr>
        <w:t>“Great and friendly staff, always happy to help.”</w:t>
      </w:r>
    </w:p>
    <w:p w14:paraId="74B025CB"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“No.”</w:t>
      </w:r>
    </w:p>
    <w:p w14:paraId="24A6E50B"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“It’s a very long wait and they are very disorganised.”</w:t>
      </w:r>
    </w:p>
    <w:p w14:paraId="31AD9A0F"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“No”</w:t>
      </w:r>
    </w:p>
    <w:p w14:paraId="6BFBFABA" w14:textId="2D7C21A0"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“Lying about Dr's request for example my Step Father needed urgent </w:t>
      </w:r>
      <w:r w:rsidR="00C73310" w:rsidRPr="00737B32">
        <w:rPr>
          <w:rFonts w:ascii="Arial" w:hAnsi="Arial" w:cs="Arial"/>
        </w:rPr>
        <w:t>medication, which</w:t>
      </w:r>
      <w:r w:rsidRPr="00737B32">
        <w:rPr>
          <w:rFonts w:ascii="Arial" w:hAnsi="Arial" w:cs="Arial"/>
        </w:rPr>
        <w:t xml:space="preserve"> Dr made house call &amp; marked as </w:t>
      </w:r>
      <w:r w:rsidR="00C73310" w:rsidRPr="00737B32">
        <w:rPr>
          <w:rFonts w:ascii="Arial" w:hAnsi="Arial" w:cs="Arial"/>
        </w:rPr>
        <w:t>urgent. The</w:t>
      </w:r>
      <w:r w:rsidRPr="00737B32">
        <w:rPr>
          <w:rFonts w:ascii="Arial" w:hAnsi="Arial" w:cs="Arial"/>
        </w:rPr>
        <w:t xml:space="preserve"> front of house staff count have careless saying nope not </w:t>
      </w:r>
      <w:r w:rsidR="00C73310" w:rsidRPr="00737B32">
        <w:rPr>
          <w:rFonts w:ascii="Arial" w:hAnsi="Arial" w:cs="Arial"/>
        </w:rPr>
        <w:t>ready, come</w:t>
      </w:r>
      <w:r w:rsidRPr="00737B32">
        <w:rPr>
          <w:rFonts w:ascii="Arial" w:hAnsi="Arial" w:cs="Arial"/>
        </w:rPr>
        <w:t xml:space="preserve"> back tomorrow. When investigated yes the dr had written urgent on there, dr enquired as he was concerned by this. We had an apology but was so </w:t>
      </w:r>
      <w:r w:rsidRPr="00737B32">
        <w:rPr>
          <w:rFonts w:ascii="Arial" w:hAnsi="Arial" w:cs="Arial"/>
        </w:rPr>
        <w:lastRenderedPageBreak/>
        <w:t xml:space="preserve">upsetting my Mum refused to go </w:t>
      </w:r>
      <w:r w:rsidR="00C73310" w:rsidRPr="00737B32">
        <w:rPr>
          <w:rFonts w:ascii="Arial" w:hAnsi="Arial" w:cs="Arial"/>
        </w:rPr>
        <w:t>there. I</w:t>
      </w:r>
      <w:r w:rsidRPr="00737B32">
        <w:rPr>
          <w:rFonts w:ascii="Arial" w:hAnsi="Arial" w:cs="Arial"/>
        </w:rPr>
        <w:t xml:space="preserve"> guess my frustration was the pharmacy knew my Step Dad was seriously </w:t>
      </w:r>
      <w:r w:rsidR="00C73310" w:rsidRPr="00737B32">
        <w:rPr>
          <w:rFonts w:ascii="Arial" w:hAnsi="Arial" w:cs="Arial"/>
        </w:rPr>
        <w:t>ill, he</w:t>
      </w:r>
      <w:r w:rsidRPr="00737B32">
        <w:rPr>
          <w:rFonts w:ascii="Arial" w:hAnsi="Arial" w:cs="Arial"/>
        </w:rPr>
        <w:t xml:space="preserve"> took this medication but the dose was increased but they refused to deal with it </w:t>
      </w:r>
      <w:r w:rsidR="00C73310" w:rsidRPr="00737B32">
        <w:rPr>
          <w:rFonts w:ascii="Arial" w:hAnsi="Arial" w:cs="Arial"/>
        </w:rPr>
        <w:t>urgently. They</w:t>
      </w:r>
      <w:r w:rsidRPr="00737B32">
        <w:rPr>
          <w:rFonts w:ascii="Arial" w:hAnsi="Arial" w:cs="Arial"/>
        </w:rPr>
        <w:t xml:space="preserve"> even showed the paper at a distance to my Mum who by now reduced to </w:t>
      </w:r>
      <w:r w:rsidR="00C73310" w:rsidRPr="00737B32">
        <w:rPr>
          <w:rFonts w:ascii="Arial" w:hAnsi="Arial" w:cs="Arial"/>
        </w:rPr>
        <w:t>tears. Which</w:t>
      </w:r>
      <w:r w:rsidRPr="00737B32">
        <w:rPr>
          <w:rFonts w:ascii="Arial" w:hAnsi="Arial" w:cs="Arial"/>
        </w:rPr>
        <w:t xml:space="preserve"> is conflicting when say dont bother GP go see the pharmacist!”</w:t>
      </w:r>
    </w:p>
    <w:p w14:paraId="3CCEA423"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“Fantastic SAFE and efficient service </w:t>
      </w:r>
      <w:r>
        <w:rPr>
          <w:rFonts w:ascii="Arial" w:hAnsi="Arial" w:cs="Arial"/>
        </w:rPr>
        <w:t>[name of pharmacy]</w:t>
      </w:r>
      <w:r w:rsidRPr="00737B32">
        <w:rPr>
          <w:rFonts w:ascii="Arial" w:hAnsi="Arial" w:cs="Arial"/>
        </w:rPr>
        <w:t>.”</w:t>
      </w:r>
    </w:p>
    <w:p w14:paraId="5E7BA236"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“No I'm happy with pharmacy.” </w:t>
      </w:r>
    </w:p>
    <w:p w14:paraId="480AE71B" w14:textId="3B65EAB2"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“Very helpful nice </w:t>
      </w:r>
      <w:r w:rsidR="00C73310" w:rsidRPr="00737B32">
        <w:rPr>
          <w:rFonts w:ascii="Arial" w:hAnsi="Arial" w:cs="Arial"/>
        </w:rPr>
        <w:t>staff</w:t>
      </w:r>
      <w:r w:rsidRPr="00737B32">
        <w:rPr>
          <w:rFonts w:ascii="Arial" w:hAnsi="Arial" w:cs="Arial"/>
        </w:rPr>
        <w:t xml:space="preserve"> the pharmacy is always clean.” </w:t>
      </w:r>
    </w:p>
    <w:p w14:paraId="6550C974" w14:textId="72C45690"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“The </w:t>
      </w:r>
      <w:r w:rsidR="00C73310" w:rsidRPr="00737B32">
        <w:rPr>
          <w:rFonts w:ascii="Arial" w:hAnsi="Arial" w:cs="Arial"/>
        </w:rPr>
        <w:t>staff</w:t>
      </w:r>
      <w:r w:rsidRPr="00737B32">
        <w:rPr>
          <w:rFonts w:ascii="Arial" w:hAnsi="Arial" w:cs="Arial"/>
        </w:rPr>
        <w:t xml:space="preserve"> at the pharmacy are very helpful and always chat to and the pharmacy is always clean.” </w:t>
      </w:r>
    </w:p>
    <w:p w14:paraId="674D4E64"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“Amazing efficient staff, always friendly and never have any problems 10/10.”</w:t>
      </w:r>
    </w:p>
    <w:p w14:paraId="1BC537B5"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w:t>
      </w:r>
      <w:r>
        <w:rPr>
          <w:rFonts w:ascii="Arial" w:hAnsi="Arial" w:cs="Arial"/>
        </w:rPr>
        <w:t>[Name of pharmacy]</w:t>
      </w:r>
      <w:r w:rsidRPr="00737B32">
        <w:rPr>
          <w:rFonts w:ascii="Arial" w:hAnsi="Arial" w:cs="Arial"/>
        </w:rPr>
        <w:t xml:space="preserve"> is an amazing pharmacy. Always a brilliant service from friendly, experienced staff.”</w:t>
      </w:r>
    </w:p>
    <w:p w14:paraId="77F6EB60"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“I’ve only used the pharmacy I do now for the last 3 years approximately and yes sometimes there’s queues or have to wait to see someone whether it’s to collect a prescription or put one in but I feel more comfortable there and </w:t>
      </w:r>
      <w:r>
        <w:rPr>
          <w:rFonts w:ascii="Arial" w:hAnsi="Arial" w:cs="Arial"/>
        </w:rPr>
        <w:t xml:space="preserve">[name of pharmacist] </w:t>
      </w:r>
      <w:r w:rsidRPr="00737B32">
        <w:rPr>
          <w:rFonts w:ascii="Arial" w:hAnsi="Arial" w:cs="Arial"/>
        </w:rPr>
        <w:t>has always made me feel welcome, and shows that he genuinely cares for his customers and people in general.”</w:t>
      </w:r>
    </w:p>
    <w:p w14:paraId="56B0ACCC"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“They have been very helpful since my mum has fallen ill. We have recently had to move my mum drs/pharmacy and they helped with her repeat prescription.” </w:t>
      </w:r>
    </w:p>
    <w:p w14:paraId="52E1EFBD"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“Good.”</w:t>
      </w:r>
    </w:p>
    <w:p w14:paraId="40B71980"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“No I always had great help and advice.”</w:t>
      </w:r>
    </w:p>
    <w:p w14:paraId="4B5A164C"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w:t>
      </w:r>
      <w:r>
        <w:rPr>
          <w:rFonts w:ascii="Arial" w:hAnsi="Arial" w:cs="Arial"/>
        </w:rPr>
        <w:t>[Name of pharmacy team]</w:t>
      </w:r>
      <w:r w:rsidRPr="00737B32">
        <w:rPr>
          <w:rFonts w:ascii="Arial" w:hAnsi="Arial" w:cs="Arial"/>
        </w:rPr>
        <w:t xml:space="preserve"> have worked tirelessly during the pandemic, and are always helpful. It maybe worth looking into getting some sort of shelter or cover to be put up during the pandemic, waiting outside in all sorts of elements for young and old are uncomfortable.” </w:t>
      </w:r>
    </w:p>
    <w:p w14:paraId="5A16306F"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“Friendly helpful staff.” </w:t>
      </w:r>
    </w:p>
    <w:p w14:paraId="204CEF76"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“N/a”</w:t>
      </w:r>
    </w:p>
    <w:p w14:paraId="428B533D"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“Very helpful and efficient.” </w:t>
      </w:r>
    </w:p>
    <w:p w14:paraId="76052F09"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“Friendly staff and always helpful with advice.” </w:t>
      </w:r>
    </w:p>
    <w:p w14:paraId="3FEA7158"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“Always been good service.” </w:t>
      </w:r>
    </w:p>
    <w:p w14:paraId="200B073A"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“No.”</w:t>
      </w:r>
    </w:p>
    <w:p w14:paraId="6220EFC5"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“Excellent pharmacy. 10/10.”</w:t>
      </w:r>
    </w:p>
    <w:p w14:paraId="249B3F25" w14:textId="4248CA51"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“Helpful and </w:t>
      </w:r>
      <w:r w:rsidR="00C73310" w:rsidRPr="00737B32">
        <w:rPr>
          <w:rFonts w:ascii="Arial" w:hAnsi="Arial" w:cs="Arial"/>
        </w:rPr>
        <w:t>knowledgeable</w:t>
      </w:r>
      <w:r w:rsidRPr="00737B32">
        <w:rPr>
          <w:rFonts w:ascii="Arial" w:hAnsi="Arial" w:cs="Arial"/>
        </w:rPr>
        <w:t xml:space="preserve"> friendly never made to feel you’re a nuisance.” </w:t>
      </w:r>
    </w:p>
    <w:p w14:paraId="72D23B77"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“Its great. </w:t>
      </w:r>
      <w:r>
        <w:rPr>
          <w:rFonts w:ascii="Arial" w:hAnsi="Arial" w:cs="Arial"/>
        </w:rPr>
        <w:t>[Name of pharmacy]</w:t>
      </w:r>
      <w:r w:rsidRPr="00737B32">
        <w:rPr>
          <w:rFonts w:ascii="Arial" w:hAnsi="Arial" w:cs="Arial"/>
        </w:rPr>
        <w:t xml:space="preserve"> has been in our area for as long as I can remember. </w:t>
      </w:r>
      <w:r>
        <w:rPr>
          <w:rFonts w:ascii="Arial" w:hAnsi="Arial" w:cs="Arial"/>
        </w:rPr>
        <w:t>[Name of pharmacist]</w:t>
      </w:r>
      <w:r w:rsidRPr="00737B32">
        <w:rPr>
          <w:rFonts w:ascii="Arial" w:hAnsi="Arial" w:cs="Arial"/>
        </w:rPr>
        <w:t xml:space="preserve"> the pharmacist there, is always very helpful, and he now works with </w:t>
      </w:r>
      <w:r>
        <w:rPr>
          <w:rFonts w:ascii="Arial" w:hAnsi="Arial" w:cs="Arial"/>
        </w:rPr>
        <w:t>[name of company]</w:t>
      </w:r>
      <w:r w:rsidRPr="00737B32">
        <w:rPr>
          <w:rFonts w:ascii="Arial" w:hAnsi="Arial" w:cs="Arial"/>
        </w:rPr>
        <w:t>, which has been most helpful to me.”</w:t>
      </w:r>
    </w:p>
    <w:p w14:paraId="064039F2"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“They need to organise a way for people to just hand in/collect prescriptions without waiting outside in a queue for half an hour while someone else is having one made up (due to 2 customer limit with covid restrictions). My previous chain pharmacy made loads of mistakes but closed 6 months ago just as I moved to the independent one that I'm answering about. The good thing about them was their opening hours, until 8pm weekdays and on sat and sun. Now I have to rush from work at 5 to get there before 6 and get told off for leaving it to the last minute like everyone else in the queue!!” </w:t>
      </w:r>
    </w:p>
    <w:p w14:paraId="68FBBA2D"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“My local pharmacy which I have previously always used is an in-store pharmacy, so there is no privacy whatsoever. In the current circumstances with Covid I am also not comfortable going there because of the number of people in store, so have had to use a pharmacy much further away from home. I would prefer a local stand-alone pharmacy.” </w:t>
      </w:r>
    </w:p>
    <w:p w14:paraId="1C223235"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“Website suddenly became unavailable, have had issues with repeat prescriptions.” </w:t>
      </w:r>
    </w:p>
    <w:p w14:paraId="66ECD745"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lastRenderedPageBreak/>
        <w:t>“Very professional, and friendly.”</w:t>
      </w:r>
    </w:p>
    <w:p w14:paraId="270B5EDD"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“Personal service known to chemist and they know our needs.”</w:t>
      </w:r>
    </w:p>
    <w:p w14:paraId="7A43143B"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“They are always helpful.” </w:t>
      </w:r>
    </w:p>
    <w:p w14:paraId="7A6C145D"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“My pharmacy can’t do enough to help, the staff are excellent and work extremely hard.“</w:t>
      </w:r>
    </w:p>
    <w:p w14:paraId="1F563A95"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“Slow service, queues outside. Doesn’t seem fair to only have 1 person on the counter to deal with collecting and queries. During this time, I think a quicker collection service would be better.“</w:t>
      </w:r>
    </w:p>
    <w:p w14:paraId="4A123747" w14:textId="5EBB2813"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“My local pharmacy is brilliant but in the </w:t>
      </w:r>
      <w:r w:rsidR="00C73310" w:rsidRPr="00737B32">
        <w:rPr>
          <w:rFonts w:ascii="Arial" w:hAnsi="Arial" w:cs="Arial"/>
        </w:rPr>
        <w:t>midst</w:t>
      </w:r>
      <w:r w:rsidRPr="00737B32">
        <w:rPr>
          <w:rFonts w:ascii="Arial" w:hAnsi="Arial" w:cs="Arial"/>
        </w:rPr>
        <w:t xml:space="preserve"> of a pandemic I can’t understand why they close for lunch every day - I understand the staff are busy and deserve a break but the last time I was collecting a prescription the entire team were having a tea/ coffee break (which meant a massive queue outside) plus they have recently closed on a Saturday morning. It feels as if they don’t care. Do they need to take breaks at the same time? There were more staff on duty than I have ever seen so they could stagger the beaks.” </w:t>
      </w:r>
    </w:p>
    <w:p w14:paraId="37DF6DC5"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“Find it difficult to have confidential conversations, and difficult to access the pharmacist. I dont think the consultations rooms are well used or offered a lot. Wish I could order my medicine online, its very time consuming to use the paper slips or phone up. Ive moved from England where things were much more efficient in terms of ordering and getting my repeat.”</w:t>
      </w:r>
    </w:p>
    <w:p w14:paraId="1182E347"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“Staff aren't very friendly and a lot of the time, the medicines aren't in stock, so you have to go back for a second time to collect medicines.”</w:t>
      </w:r>
    </w:p>
    <w:p w14:paraId="6555E3EC"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“In the past </w:t>
      </w:r>
      <w:r>
        <w:rPr>
          <w:rFonts w:ascii="Arial" w:hAnsi="Arial" w:cs="Arial"/>
        </w:rPr>
        <w:t>[name of pharmacy]</w:t>
      </w:r>
      <w:r w:rsidRPr="00737B32">
        <w:rPr>
          <w:rFonts w:ascii="Arial" w:hAnsi="Arial" w:cs="Arial"/>
        </w:rPr>
        <w:t xml:space="preserve"> had advised me twice to go to the EU for conjunctivitis because I wear contact lenses. I don't find her very approachable or helpful - or even visible.”</w:t>
      </w:r>
    </w:p>
    <w:p w14:paraId="2B15B95D"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“If product not available they will order it in for me usually same day!”</w:t>
      </w:r>
    </w:p>
    <w:p w14:paraId="7B74FC73"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“All the staff in my local </w:t>
      </w:r>
      <w:r>
        <w:rPr>
          <w:rFonts w:ascii="Arial" w:hAnsi="Arial" w:cs="Arial"/>
        </w:rPr>
        <w:t>[name of pharmacy]</w:t>
      </w:r>
      <w:r w:rsidRPr="00737B32">
        <w:rPr>
          <w:rFonts w:ascii="Arial" w:hAnsi="Arial" w:cs="Arial"/>
        </w:rPr>
        <w:t xml:space="preserve"> are great, all very nice people and easy to speak today.” </w:t>
      </w:r>
    </w:p>
    <w:p w14:paraId="5205B58C"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“They don't contact me when repeat prescription in, so food on prescription was out of date &amp; not given too me -what a waste of public money!! I assume the pharmacy would be paid for administering an incorrect prescription!!”</w:t>
      </w:r>
    </w:p>
    <w:p w14:paraId="401299BF"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“The staff are so friendly and very helpful.”</w:t>
      </w:r>
    </w:p>
    <w:p w14:paraId="24A0FEB8"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“My local and usual chemist offers good customer service and all the staff are very helpful, courteous and informative.”</w:t>
      </w:r>
    </w:p>
    <w:p w14:paraId="4F589383"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“It used to be an excellent service but it is now very hit and miss. Constantly different staff who are not aware of what is needed.”</w:t>
      </w:r>
    </w:p>
    <w:p w14:paraId="141FEB0C"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“Very heavy doors which make it difficult with small children and pram.” </w:t>
      </w:r>
    </w:p>
    <w:p w14:paraId="2788F8C3"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“Small space, limited privacy even though there is a separate room, risk of being overheard.” </w:t>
      </w:r>
    </w:p>
    <w:p w14:paraId="4CBC1CAB"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“Would prefer to use my local pharmacy in the first instance, before trying to obtain a doctor's appointment.”</w:t>
      </w:r>
    </w:p>
    <w:p w14:paraId="67A49F11"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“All of the staff are very welcoming and friendly, good knowledge and will always try and help in any way they can.” </w:t>
      </w:r>
    </w:p>
    <w:p w14:paraId="31772BF0" w14:textId="77777777" w:rsidR="00D301A3" w:rsidRPr="00CA538A" w:rsidRDefault="00D301A3" w:rsidP="00DC54F7">
      <w:pPr>
        <w:pStyle w:val="ListParagraph"/>
        <w:numPr>
          <w:ilvl w:val="0"/>
          <w:numId w:val="117"/>
        </w:numPr>
        <w:spacing w:after="160" w:line="259" w:lineRule="auto"/>
        <w:ind w:left="360"/>
        <w:jc w:val="both"/>
        <w:rPr>
          <w:rFonts w:ascii="Arial" w:hAnsi="Arial" w:cs="Arial"/>
        </w:rPr>
      </w:pPr>
      <w:r w:rsidRPr="00CA538A">
        <w:rPr>
          <w:rFonts w:ascii="Arial" w:hAnsi="Arial" w:cs="Arial"/>
        </w:rPr>
        <w:t>“There are a lot of new houses being built in this area and it is unlikely there will be additional pharmacies so this will be a problem in the near future.”</w:t>
      </w:r>
    </w:p>
    <w:p w14:paraId="43DD6B15"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“Disorganised. Deal with one customer at a time in spite of several staff behind counter.”</w:t>
      </w:r>
    </w:p>
    <w:p w14:paraId="2061D6C1"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“My mother has her regular medication delivered by the pharmacy next door to her GP Practice, however, quite often, medication is not delivered or pumps left in the fridge in the pharmacy. My 85 year old mother has been in hospital for the past 4 weeks with Covid and is due to come home on Monday 15th February, once a care package has been put </w:t>
      </w:r>
      <w:r w:rsidRPr="00737B32">
        <w:rPr>
          <w:rFonts w:ascii="Arial" w:hAnsi="Arial" w:cs="Arial"/>
        </w:rPr>
        <w:lastRenderedPageBreak/>
        <w:t xml:space="preserve">in place. We have been asked by the Social Worker to arrange for mum's medication to be put into 'Blister Packs' so that the care workers can help her with her medication, but, despite phoning every chemist in </w:t>
      </w:r>
      <w:r>
        <w:rPr>
          <w:rFonts w:ascii="Arial" w:hAnsi="Arial" w:cs="Arial"/>
        </w:rPr>
        <w:t>[name of location]</w:t>
      </w:r>
      <w:r w:rsidRPr="00737B32">
        <w:rPr>
          <w:rFonts w:ascii="Arial" w:hAnsi="Arial" w:cs="Arial"/>
        </w:rPr>
        <w:t>, none of them are able to help us and mum's usual pharmacy doesn't even offer this service.”</w:t>
      </w:r>
    </w:p>
    <w:p w14:paraId="64786096"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“Gp doesn’t always send prescription to pharmacy in time .. but they chase it.” </w:t>
      </w:r>
    </w:p>
    <w:p w14:paraId="791E365A"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“Feel that the medicine review was forced on me. Was of no use at all and had the impression it was a money making box ticking opportunity for the pharmacy and of more benefit to them than me.”</w:t>
      </w:r>
    </w:p>
    <w:p w14:paraId="17180F10"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“They should not close every lunchtime. Need to offer more services. They could take a lot of pressure off GPs. They could monitor iron. I've got chronic anaemia could be monitored by pharmacist. Also my thyroid function could be monitored by pharmacist. Most contraception services. Services for young people as they are more accessible and approachable. C card schemes. The list is endless they should not be dispensing machines.” </w:t>
      </w:r>
    </w:p>
    <w:p w14:paraId="11068FBD"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“I order my prescription once a month via </w:t>
      </w:r>
      <w:r w:rsidRPr="005678B0">
        <w:rPr>
          <w:rFonts w:ascii="Arial" w:hAnsi="Arial" w:cs="Arial"/>
        </w:rPr>
        <w:t>MyHealthOnline,</w:t>
      </w:r>
      <w:r w:rsidRPr="00737B32">
        <w:rPr>
          <w:rFonts w:ascii="Arial" w:hAnsi="Arial" w:cs="Arial"/>
        </w:rPr>
        <w:t xml:space="preserve"> it takes approx 5 days. The Pharmacy sends me a text to let me know when my medication is available to collect. I find this system works really well.” </w:t>
      </w:r>
    </w:p>
    <w:p w14:paraId="43C4FE9B"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“Our local pharmacy was very helpful when I had a swollen leg. I couldn't get a GP appointment until the next day, so went to the pharmacy and they advised me to get it looked at immediately. As I couldn't get a GP appointment, despite going into the surgery and explaining that my leg was swelling up, I then went to A &amp; E and was diagnosed with cellulitis. If it hadn't been for the pharmacist, and in the absence of a GP consultation, I would have probably gone home and left it until the next day, therefore delaying use of antibiotics. I was on them for 3 weeks and off work for 2 weeks. At the GPs, there was a large notice suggesting that some medical ailments could be dealt with by the pharmacist. At A &amp; E there was a large notice telling people to go to their GPs rather than A &amp; E. I think this is a good example of how a pharmacist can help, but also an example which shows why people may well end up in A &amp; E, despite their best intentions of going to the right place.”</w:t>
      </w:r>
    </w:p>
    <w:p w14:paraId="77685BF1"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“Always helpful, friendly, knowledgeable.”</w:t>
      </w:r>
    </w:p>
    <w:p w14:paraId="799C325F"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“Living in a village, with a large elderly population, it is the only pharmacy accessible by foot, there is a very limited bus service but none going directly past another pharmacy. Not having this local pharmacy will greatly, and adversely, affect those in the village who do not have their own transport.”</w:t>
      </w:r>
    </w:p>
    <w:p w14:paraId="7845503C"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“They discard items safely on my behalf when applicable.” </w:t>
      </w:r>
    </w:p>
    <w:p w14:paraId="1623F307"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“Although it is just a </w:t>
      </w:r>
      <w:r>
        <w:rPr>
          <w:rFonts w:ascii="Arial" w:hAnsi="Arial" w:cs="Arial"/>
        </w:rPr>
        <w:t xml:space="preserve">[number of pharmacists] </w:t>
      </w:r>
      <w:r w:rsidRPr="00737B32">
        <w:rPr>
          <w:rFonts w:ascii="Arial" w:hAnsi="Arial" w:cs="Arial"/>
        </w:rPr>
        <w:t xml:space="preserve">pharmacy in </w:t>
      </w:r>
      <w:r>
        <w:rPr>
          <w:rFonts w:ascii="Arial" w:hAnsi="Arial" w:cs="Arial"/>
        </w:rPr>
        <w:t>[name of area]</w:t>
      </w:r>
      <w:r w:rsidRPr="00737B32">
        <w:rPr>
          <w:rFonts w:ascii="Arial" w:hAnsi="Arial" w:cs="Arial"/>
        </w:rPr>
        <w:t xml:space="preserve"> the service is as good as any and the pharmacist is efficient, professional and friendly.”</w:t>
      </w:r>
    </w:p>
    <w:p w14:paraId="7C2F164D" w14:textId="6F939F28"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“1)HOME DELIVERY OF MEDCINES WILL VERY USEFUL IF PROVIDED THROUG</w:t>
      </w:r>
      <w:r w:rsidR="00C73310">
        <w:rPr>
          <w:rFonts w:ascii="Arial" w:hAnsi="Arial" w:cs="Arial"/>
        </w:rPr>
        <w:t>H SOME CENTRAL CARDIFF WIDE DEL</w:t>
      </w:r>
      <w:r w:rsidRPr="00737B32">
        <w:rPr>
          <w:rFonts w:ascii="Arial" w:hAnsi="Arial" w:cs="Arial"/>
        </w:rPr>
        <w:t>IVERY SE</w:t>
      </w:r>
      <w:r w:rsidR="00C73310">
        <w:rPr>
          <w:rFonts w:ascii="Arial" w:hAnsi="Arial" w:cs="Arial"/>
        </w:rPr>
        <w:t>RVICE RATHER LEAVING IT AS AN OPTION AVAI</w:t>
      </w:r>
      <w:r w:rsidRPr="00737B32">
        <w:rPr>
          <w:rFonts w:ascii="Arial" w:hAnsi="Arial" w:cs="Arial"/>
        </w:rPr>
        <w:t xml:space="preserve">LABLE WITH SOME PHARMACIES ONLY. </w:t>
      </w:r>
    </w:p>
    <w:p w14:paraId="3577821B" w14:textId="77777777" w:rsidR="00D301A3" w:rsidRPr="00737B32" w:rsidRDefault="00D301A3" w:rsidP="00DC54F7">
      <w:pPr>
        <w:pStyle w:val="ListParagraph"/>
        <w:numPr>
          <w:ilvl w:val="1"/>
          <w:numId w:val="117"/>
        </w:numPr>
        <w:spacing w:after="160" w:line="259" w:lineRule="auto"/>
        <w:ind w:left="1080"/>
        <w:jc w:val="both"/>
        <w:rPr>
          <w:rFonts w:ascii="Arial" w:hAnsi="Arial" w:cs="Arial"/>
        </w:rPr>
      </w:pPr>
      <w:r w:rsidRPr="00737B32">
        <w:rPr>
          <w:rFonts w:ascii="Arial" w:hAnsi="Arial" w:cs="Arial"/>
        </w:rPr>
        <w:t xml:space="preserve">2) ONLINE CUSTOMER SATISFACTION SURVEY BY THE HEALTH BOARD FOR EACH PHARMACY, PUBLICLY DISPLAY IN FRONT OF EVERY PHARMACY SHOULD BE STARTED. JUST SIMILAR TO HYGEINE RATING FOR RESTAURANTS. </w:t>
      </w:r>
    </w:p>
    <w:p w14:paraId="44C722A5" w14:textId="26A39F65" w:rsidR="00D301A3" w:rsidRPr="00737B32" w:rsidRDefault="00D301A3" w:rsidP="00DC54F7">
      <w:pPr>
        <w:pStyle w:val="ListParagraph"/>
        <w:numPr>
          <w:ilvl w:val="1"/>
          <w:numId w:val="117"/>
        </w:numPr>
        <w:spacing w:after="160" w:line="259" w:lineRule="auto"/>
        <w:ind w:left="1080"/>
        <w:jc w:val="both"/>
        <w:rPr>
          <w:rFonts w:ascii="Arial" w:hAnsi="Arial" w:cs="Arial"/>
        </w:rPr>
      </w:pPr>
      <w:r w:rsidRPr="00737B32">
        <w:rPr>
          <w:rFonts w:ascii="Arial" w:hAnsi="Arial" w:cs="Arial"/>
        </w:rPr>
        <w:t xml:space="preserve">3) We should be able to comment, provide feed back in the case of poor service or good service to the </w:t>
      </w:r>
      <w:r w:rsidR="00C73310" w:rsidRPr="00737B32">
        <w:rPr>
          <w:rFonts w:ascii="Arial" w:hAnsi="Arial" w:cs="Arial"/>
        </w:rPr>
        <w:t>Health</w:t>
      </w:r>
      <w:r w:rsidRPr="00737B32">
        <w:rPr>
          <w:rFonts w:ascii="Arial" w:hAnsi="Arial" w:cs="Arial"/>
        </w:rPr>
        <w:t xml:space="preserve"> Board or Cardiff </w:t>
      </w:r>
      <w:r w:rsidR="00C73310" w:rsidRPr="00737B32">
        <w:rPr>
          <w:rFonts w:ascii="Arial" w:hAnsi="Arial" w:cs="Arial"/>
        </w:rPr>
        <w:t xml:space="preserve">Council. </w:t>
      </w:r>
      <w:r w:rsidRPr="00737B32">
        <w:rPr>
          <w:rFonts w:ascii="Arial" w:hAnsi="Arial" w:cs="Arial"/>
        </w:rPr>
        <w:t xml:space="preserve">Otherwise behave with little accountability as a supply dominant service with no quality </w:t>
      </w:r>
      <w:r w:rsidR="00C73310" w:rsidRPr="00737B32">
        <w:rPr>
          <w:rFonts w:ascii="Arial" w:hAnsi="Arial" w:cs="Arial"/>
        </w:rPr>
        <w:t>control</w:t>
      </w:r>
      <w:r w:rsidRPr="00737B32">
        <w:rPr>
          <w:rFonts w:ascii="Arial" w:hAnsi="Arial" w:cs="Arial"/>
        </w:rPr>
        <w:t xml:space="preserve">. they may.” </w:t>
      </w:r>
    </w:p>
    <w:p w14:paraId="2688EFCE"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w:t>
      </w:r>
      <w:r>
        <w:rPr>
          <w:rFonts w:ascii="Arial" w:hAnsi="Arial" w:cs="Arial"/>
        </w:rPr>
        <w:t>[Name of pharmacy]</w:t>
      </w:r>
      <w:r w:rsidRPr="00737B32">
        <w:rPr>
          <w:rFonts w:ascii="Arial" w:hAnsi="Arial" w:cs="Arial"/>
        </w:rPr>
        <w:t>. Poor experience with the pharmacy. Poor customer service (lack of compassion) and long wait times (appears to be understaffed/ poor systems in place)”</w:t>
      </w:r>
    </w:p>
    <w:p w14:paraId="6E647FD5" w14:textId="5B8CF75B"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lastRenderedPageBreak/>
        <w:t xml:space="preserve">“I like to use the </w:t>
      </w:r>
      <w:r>
        <w:rPr>
          <w:rFonts w:ascii="Arial" w:hAnsi="Arial" w:cs="Arial"/>
        </w:rPr>
        <w:t xml:space="preserve">[name of pharmacy] </w:t>
      </w:r>
      <w:r w:rsidRPr="00737B32">
        <w:rPr>
          <w:rFonts w:ascii="Arial" w:hAnsi="Arial" w:cs="Arial"/>
        </w:rPr>
        <w:t xml:space="preserve">in </w:t>
      </w:r>
      <w:r>
        <w:rPr>
          <w:rFonts w:ascii="Arial" w:hAnsi="Arial" w:cs="Arial"/>
        </w:rPr>
        <w:t>[name of location]</w:t>
      </w:r>
      <w:r w:rsidRPr="00737B32">
        <w:rPr>
          <w:rFonts w:ascii="Arial" w:hAnsi="Arial" w:cs="Arial"/>
        </w:rPr>
        <w:t xml:space="preserve"> - it's less than 10 </w:t>
      </w:r>
      <w:r w:rsidR="00C73310" w:rsidRPr="00737B32">
        <w:rPr>
          <w:rFonts w:ascii="Arial" w:hAnsi="Arial" w:cs="Arial"/>
        </w:rPr>
        <w:t>minutes’ walk</w:t>
      </w:r>
      <w:r w:rsidRPr="00737B32">
        <w:rPr>
          <w:rFonts w:ascii="Arial" w:hAnsi="Arial" w:cs="Arial"/>
        </w:rPr>
        <w:t xml:space="preserve"> from my home. However, it is not a dispensing pharmacy and although they will dispense from their in the pharmacy from </w:t>
      </w:r>
      <w:r>
        <w:rPr>
          <w:rFonts w:ascii="Arial" w:hAnsi="Arial" w:cs="Arial"/>
        </w:rPr>
        <w:t>[name of location]</w:t>
      </w:r>
      <w:r w:rsidRPr="00737B32">
        <w:rPr>
          <w:rFonts w:ascii="Arial" w:hAnsi="Arial" w:cs="Arial"/>
        </w:rPr>
        <w:t xml:space="preserve"> and deliver to </w:t>
      </w:r>
      <w:r>
        <w:rPr>
          <w:rFonts w:ascii="Arial" w:hAnsi="Arial" w:cs="Arial"/>
        </w:rPr>
        <w:t>[name of location]</w:t>
      </w:r>
      <w:r w:rsidRPr="00737B32">
        <w:rPr>
          <w:rFonts w:ascii="Arial" w:hAnsi="Arial" w:cs="Arial"/>
        </w:rPr>
        <w:t>, this takes time and sometimes I want the prescription quickly.”</w:t>
      </w:r>
    </w:p>
    <w:p w14:paraId="208911F5"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“They seem to be not the best in terms of organisation and their always seems to be items missing or wrong when picking up my family meds.”</w:t>
      </w:r>
    </w:p>
    <w:p w14:paraId="458295FB"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“Don't always have what I need and aren't always helpful in finding it elsewhere. A staff issue.” </w:t>
      </w:r>
    </w:p>
    <w:p w14:paraId="3DC09DF1"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“It's got far worse.</w:t>
      </w:r>
      <w:r>
        <w:rPr>
          <w:rFonts w:ascii="Arial" w:hAnsi="Arial" w:cs="Arial"/>
        </w:rPr>
        <w:t xml:space="preserve"> [Name of pharmacy]</w:t>
      </w:r>
      <w:r w:rsidRPr="00737B32">
        <w:rPr>
          <w:rFonts w:ascii="Arial" w:hAnsi="Arial" w:cs="Arial"/>
        </w:rPr>
        <w:t xml:space="preserve"> seem to wait ages for them to get your prescription ready but friends of staff who visit seem to get theirs a lot quicker while you are still waiting. </w:t>
      </w:r>
      <w:r>
        <w:rPr>
          <w:rFonts w:ascii="Arial" w:hAnsi="Arial" w:cs="Arial"/>
        </w:rPr>
        <w:t>[Name of pharmacy]</w:t>
      </w:r>
      <w:r w:rsidRPr="00737B32">
        <w:rPr>
          <w:rFonts w:ascii="Arial" w:hAnsi="Arial" w:cs="Arial"/>
        </w:rPr>
        <w:t xml:space="preserve"> never answer the phone when you are chasing to see if your prescription is actually ready and order medication that you have said you do not need next time as seasonal but ones you do need regularly they don't order in time and is never ready.”</w:t>
      </w:r>
    </w:p>
    <w:p w14:paraId="217805A3"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“Based in </w:t>
      </w:r>
      <w:r>
        <w:rPr>
          <w:rFonts w:ascii="Arial" w:hAnsi="Arial" w:cs="Arial"/>
        </w:rPr>
        <w:t>[name of pharmacy]</w:t>
      </w:r>
      <w:r w:rsidRPr="00737B32">
        <w:rPr>
          <w:rFonts w:ascii="Arial" w:hAnsi="Arial" w:cs="Arial"/>
        </w:rPr>
        <w:t xml:space="preserve"> - not high street chain.”</w:t>
      </w:r>
    </w:p>
    <w:p w14:paraId="147D04F3"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“It would be very useful to be able to pick up prescriptions from consultants in clinic in the local pharmacy rather than have to wait a long time in the hospital pharmacy (sometimes well over an hour) to pick up new medications.”</w:t>
      </w:r>
    </w:p>
    <w:p w14:paraId="1B33A3BD" w14:textId="31C92D02"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“Never usually a problem. Have never been told </w:t>
      </w:r>
      <w:r w:rsidR="00C73310" w:rsidRPr="00737B32">
        <w:rPr>
          <w:rFonts w:ascii="Arial" w:hAnsi="Arial" w:cs="Arial"/>
        </w:rPr>
        <w:t>whether</w:t>
      </w:r>
      <w:r w:rsidRPr="00737B32">
        <w:rPr>
          <w:rFonts w:ascii="Arial" w:hAnsi="Arial" w:cs="Arial"/>
        </w:rPr>
        <w:t xml:space="preserve"> I can get prescription medication delivered to my address or if it’s mandatory to collect in person.” </w:t>
      </w:r>
    </w:p>
    <w:p w14:paraId="271D4BC0"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“One medication review ever. I didn't know what it was. It was of no use whatsoever. Advice is to ask at the hospital. Basically I make it up as I go or ask on twitter. “</w:t>
      </w:r>
    </w:p>
    <w:p w14:paraId="29EFC02B"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“Run down not fit for purpose for a growing area.” </w:t>
      </w:r>
    </w:p>
    <w:p w14:paraId="6DAC0D08"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“Service from gp to pharmacy appalling. During pandemic, new prescriptions are sent direct to pharmacy are not made up in good timescale. I often pop in about 4 days to a week later and not made up which results in me waiting for it to be processed (10 mins to 30 mins wait) defeats the purpose of covid19 safety.”</w:t>
      </w:r>
    </w:p>
    <w:p w14:paraId="7C7CDCD2"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“It’s important to have a local pharmacy.” </w:t>
      </w:r>
    </w:p>
    <w:p w14:paraId="5D305A4D"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“Only open 9-6 Monday - Friday. Evening and weekend opening needed.” </w:t>
      </w:r>
    </w:p>
    <w:p w14:paraId="2305191C"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“My pharmacy </w:t>
      </w:r>
      <w:r>
        <w:rPr>
          <w:rFonts w:ascii="Arial" w:hAnsi="Arial" w:cs="Arial"/>
        </w:rPr>
        <w:t>–</w:t>
      </w:r>
      <w:r w:rsidRPr="00737B32">
        <w:rPr>
          <w:rFonts w:ascii="Arial" w:hAnsi="Arial" w:cs="Arial"/>
        </w:rPr>
        <w:t xml:space="preserve"> </w:t>
      </w:r>
      <w:r>
        <w:rPr>
          <w:rFonts w:ascii="Arial" w:hAnsi="Arial" w:cs="Arial"/>
        </w:rPr>
        <w:t>[name of pharmacy]</w:t>
      </w:r>
      <w:r w:rsidRPr="00737B32">
        <w:rPr>
          <w:rFonts w:ascii="Arial" w:hAnsi="Arial" w:cs="Arial"/>
        </w:rPr>
        <w:t xml:space="preserve"> - are great they pick up my prescriptions and are helpful if I ring and make inquiries BUT the fact they do not deliver especially with the lock down rules is APPALLING.”</w:t>
      </w:r>
    </w:p>
    <w:p w14:paraId="15A1188C"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“I think generally counselling service when issuing meds could be better.”</w:t>
      </w:r>
    </w:p>
    <w:p w14:paraId="60377060"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“The pharmacists themselves are usually very busy and often out of sight of the main counter. It's therefore more likely that if I need advice I would initially have to discuss this with a member of sales staff who would then refer a question on to the pharmacist. This seems reasonable but I don't always feel that I'm getting 'expert' advice in the same way, despite the fact that I'm sure sales staff have a degree of training. There is no direct access to the pharmacist, either by phone or in person. One pharmacy I use nearby doesn't even answer the phone, no doubt due to the number of calls they would need to take if they did.” </w:t>
      </w:r>
    </w:p>
    <w:p w14:paraId="49DEF196"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w:t>
      </w:r>
      <w:r>
        <w:rPr>
          <w:rFonts w:ascii="Arial" w:hAnsi="Arial" w:cs="Arial"/>
        </w:rPr>
        <w:t>[Name of pharmacy]</w:t>
      </w:r>
      <w:r w:rsidRPr="00737B32">
        <w:rPr>
          <w:rFonts w:ascii="Arial" w:hAnsi="Arial" w:cs="Arial"/>
        </w:rPr>
        <w:t xml:space="preserve"> need to modernise access and stock. Seems they fully rely on daytime clientele from the GP surgery across the road, but are not themselves serving the local community. For example working people can only access them Saturday morning, and they usually don’t have what you need (v limited stock), so if they order it, that’s another week gone. I’m fit and well so I just bike to </w:t>
      </w:r>
      <w:r>
        <w:rPr>
          <w:rFonts w:ascii="Arial" w:hAnsi="Arial" w:cs="Arial"/>
        </w:rPr>
        <w:t>[name of pharmacy]</w:t>
      </w:r>
      <w:r w:rsidRPr="00737B32">
        <w:rPr>
          <w:rFonts w:ascii="Arial" w:hAnsi="Arial" w:cs="Arial"/>
        </w:rPr>
        <w:t>, but I think it’s very poor community service.“</w:t>
      </w:r>
    </w:p>
    <w:p w14:paraId="08E6D1C0"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lastRenderedPageBreak/>
        <w:t xml:space="preserve">“I have been having my medicines delivered since COVID and am not currently working, but previously not having a Saturday service as the pharmacy was closed/had limited hours was a problem.” </w:t>
      </w:r>
    </w:p>
    <w:p w14:paraId="1A096674"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“n/a.”</w:t>
      </w:r>
    </w:p>
    <w:p w14:paraId="75AC305A" w14:textId="77777777" w:rsidR="00D301A3" w:rsidRPr="00737B32" w:rsidRDefault="00D301A3" w:rsidP="00DC54F7">
      <w:pPr>
        <w:pStyle w:val="ListParagraph"/>
        <w:numPr>
          <w:ilvl w:val="0"/>
          <w:numId w:val="117"/>
        </w:numPr>
        <w:spacing w:after="160" w:line="259" w:lineRule="auto"/>
        <w:ind w:left="360"/>
        <w:jc w:val="both"/>
        <w:rPr>
          <w:rFonts w:ascii="Arial" w:hAnsi="Arial" w:cs="Arial"/>
        </w:rPr>
      </w:pPr>
      <w:r w:rsidRPr="00737B32">
        <w:rPr>
          <w:rFonts w:ascii="Arial" w:hAnsi="Arial" w:cs="Arial"/>
        </w:rPr>
        <w:t xml:space="preserve">“Very helpful and approachable.” </w:t>
      </w:r>
    </w:p>
    <w:p w14:paraId="69C7E015" w14:textId="77777777" w:rsidR="00D301A3" w:rsidRDefault="00D301A3" w:rsidP="00DC54F7">
      <w:pPr>
        <w:pStyle w:val="ListParagraph"/>
        <w:numPr>
          <w:ilvl w:val="0"/>
          <w:numId w:val="117"/>
        </w:numPr>
        <w:spacing w:after="0" w:line="240" w:lineRule="auto"/>
        <w:ind w:left="360"/>
        <w:jc w:val="both"/>
        <w:rPr>
          <w:rFonts w:ascii="Arial" w:hAnsi="Arial" w:cs="Arial"/>
        </w:rPr>
      </w:pPr>
      <w:r w:rsidRPr="00737B32">
        <w:rPr>
          <w:rFonts w:ascii="Arial" w:hAnsi="Arial" w:cs="Arial"/>
        </w:rPr>
        <w:t>“We collect out prescriptions from the same Chemist but every month they never have our medicines ready and although it is bagged ready they only give some. I really need to check I have everything whilst I am there as I always have to go back and they always say they forgot to hand everything over. Very frustrating.”</w:t>
      </w:r>
    </w:p>
    <w:p w14:paraId="33EC7B58" w14:textId="77777777" w:rsidR="00D301A3" w:rsidRPr="0036724F" w:rsidRDefault="00D301A3" w:rsidP="00DC54F7">
      <w:pPr>
        <w:pStyle w:val="ListParagraph"/>
        <w:numPr>
          <w:ilvl w:val="0"/>
          <w:numId w:val="117"/>
        </w:numPr>
        <w:spacing w:after="0" w:line="240" w:lineRule="auto"/>
        <w:ind w:left="360"/>
        <w:jc w:val="both"/>
        <w:rPr>
          <w:rFonts w:ascii="Arial" w:hAnsi="Arial" w:cs="Arial"/>
        </w:rPr>
      </w:pPr>
      <w:r w:rsidRPr="008A0D4E">
        <w:rPr>
          <w:rFonts w:ascii="Arial" w:eastAsia="Times New Roman" w:hAnsi="Arial" w:cs="Arial"/>
        </w:rPr>
        <w:t>“Local pharmacies are very confined.  It’s not easy to have a private conversation nor time because they’re busy.  I feel that requesting advice is an annoyance for pharmacists.”</w:t>
      </w:r>
    </w:p>
    <w:p w14:paraId="1244A029" w14:textId="77777777" w:rsidR="00D301A3" w:rsidRPr="0036724F" w:rsidRDefault="00D301A3" w:rsidP="00DC54F7">
      <w:pPr>
        <w:pStyle w:val="ListParagraph"/>
        <w:numPr>
          <w:ilvl w:val="0"/>
          <w:numId w:val="117"/>
        </w:numPr>
        <w:spacing w:after="0" w:line="240" w:lineRule="auto"/>
        <w:ind w:left="360"/>
        <w:jc w:val="both"/>
        <w:rPr>
          <w:rFonts w:ascii="Arial" w:hAnsi="Arial" w:cs="Arial"/>
        </w:rPr>
      </w:pPr>
      <w:r>
        <w:rPr>
          <w:rFonts w:ascii="Arial" w:eastAsia="Times New Roman" w:hAnsi="Arial" w:cs="Arial"/>
        </w:rPr>
        <w:t>“</w:t>
      </w:r>
      <w:r w:rsidRPr="0036724F">
        <w:rPr>
          <w:rFonts w:ascii="Arial" w:eastAsia="Times New Roman" w:hAnsi="Arial" w:cs="Arial"/>
        </w:rPr>
        <w:t>They are always busy, often disorganised. I always ring ahead to make sure they have my prescription as before now they have mislaid it.</w:t>
      </w:r>
      <w:r>
        <w:rPr>
          <w:rFonts w:ascii="Arial" w:eastAsia="Times New Roman" w:hAnsi="Arial" w:cs="Arial"/>
        </w:rPr>
        <w:t>”</w:t>
      </w:r>
    </w:p>
    <w:p w14:paraId="6DC0F96B" w14:textId="77777777" w:rsidR="00D301A3" w:rsidRDefault="00D301A3" w:rsidP="00DC54F7">
      <w:pPr>
        <w:jc w:val="both"/>
      </w:pPr>
    </w:p>
    <w:p w14:paraId="1F2D6460" w14:textId="77777777" w:rsidR="00D301A3" w:rsidRPr="001C35B1" w:rsidRDefault="00D301A3" w:rsidP="00DC54F7">
      <w:pPr>
        <w:jc w:val="both"/>
        <w:rPr>
          <w:rFonts w:ascii="Arial" w:eastAsia="Times New Roman" w:hAnsi="Arial" w:cs="Arial"/>
          <w:b/>
          <w:bCs/>
          <w:color w:val="333333"/>
        </w:rPr>
      </w:pPr>
      <w:r w:rsidRPr="001C35B1">
        <w:rPr>
          <w:rFonts w:ascii="Arial" w:eastAsia="Times New Roman" w:hAnsi="Arial" w:cs="Arial"/>
          <w:b/>
          <w:bCs/>
          <w:color w:val="333333"/>
        </w:rPr>
        <w:t xml:space="preserve">21. Are there any barriers to you accessing services at your pharmacy that you have not mentioned? </w:t>
      </w:r>
    </w:p>
    <w:p w14:paraId="2B707CEF" w14:textId="77777777" w:rsidR="00D301A3" w:rsidRPr="001C35B1" w:rsidRDefault="00D301A3" w:rsidP="00DC54F7">
      <w:pPr>
        <w:spacing w:after="0" w:line="240" w:lineRule="auto"/>
        <w:jc w:val="both"/>
        <w:rPr>
          <w:rFonts w:ascii="Arial" w:eastAsia="Times New Roman" w:hAnsi="Arial" w:cs="Arial"/>
          <w:color w:val="333333"/>
        </w:rPr>
      </w:pPr>
      <w:r w:rsidRPr="001C35B1">
        <w:rPr>
          <w:rFonts w:ascii="Arial" w:eastAsia="Times New Roman" w:hAnsi="Arial" w:cs="Arial"/>
          <w:color w:val="333333"/>
        </w:rPr>
        <w:t>A total of 90 people answered this question. Of those that answered, 4</w:t>
      </w:r>
      <w:r>
        <w:rPr>
          <w:rFonts w:ascii="Arial" w:eastAsia="Times New Roman" w:hAnsi="Arial" w:cs="Arial"/>
          <w:color w:val="333333"/>
        </w:rPr>
        <w:t>7</w:t>
      </w:r>
      <w:r w:rsidRPr="001C35B1">
        <w:rPr>
          <w:rFonts w:ascii="Arial" w:eastAsia="Times New Roman" w:hAnsi="Arial" w:cs="Arial"/>
          <w:color w:val="333333"/>
        </w:rPr>
        <w:t xml:space="preserve"> people replied with either a </w:t>
      </w:r>
      <w:r>
        <w:rPr>
          <w:rFonts w:ascii="Arial" w:eastAsia="Times New Roman" w:hAnsi="Arial" w:cs="Arial"/>
          <w:color w:val="333333"/>
        </w:rPr>
        <w:t>r</w:t>
      </w:r>
      <w:r w:rsidRPr="001C35B1">
        <w:rPr>
          <w:rFonts w:ascii="Arial" w:eastAsia="Times New Roman" w:hAnsi="Arial" w:cs="Arial"/>
          <w:color w:val="333333"/>
        </w:rPr>
        <w:t>esponse of no, not applicable</w:t>
      </w:r>
      <w:r>
        <w:rPr>
          <w:rFonts w:ascii="Arial" w:eastAsia="Times New Roman" w:hAnsi="Arial" w:cs="Arial"/>
          <w:color w:val="333333"/>
        </w:rPr>
        <w:t>, as above</w:t>
      </w:r>
      <w:r w:rsidRPr="001C35B1">
        <w:rPr>
          <w:rFonts w:ascii="Arial" w:eastAsia="Times New Roman" w:hAnsi="Arial" w:cs="Arial"/>
          <w:color w:val="333333"/>
        </w:rPr>
        <w:t xml:space="preserve"> or none.</w:t>
      </w:r>
    </w:p>
    <w:p w14:paraId="1575B04C" w14:textId="77777777" w:rsidR="00D301A3" w:rsidRPr="001C35B1" w:rsidRDefault="00D301A3" w:rsidP="00DC54F7">
      <w:pPr>
        <w:pStyle w:val="ListParagraph"/>
        <w:spacing w:after="0" w:line="240" w:lineRule="auto"/>
        <w:jc w:val="both"/>
        <w:rPr>
          <w:rFonts w:ascii="Arial" w:eastAsia="Times New Roman" w:hAnsi="Arial" w:cs="Arial"/>
          <w:color w:val="333333"/>
        </w:rPr>
      </w:pPr>
    </w:p>
    <w:p w14:paraId="5EF9146C" w14:textId="77777777" w:rsidR="00D301A3" w:rsidRPr="001C35B1" w:rsidRDefault="00D301A3" w:rsidP="00DC54F7">
      <w:pPr>
        <w:jc w:val="both"/>
        <w:rPr>
          <w:rFonts w:ascii="Arial" w:eastAsia="Times New Roman" w:hAnsi="Arial" w:cs="Arial"/>
          <w:b/>
          <w:bCs/>
          <w:color w:val="333333"/>
        </w:rPr>
      </w:pPr>
      <w:r w:rsidRPr="001C35B1">
        <w:rPr>
          <w:rFonts w:ascii="Arial" w:eastAsia="Times New Roman" w:hAnsi="Arial" w:cs="Arial"/>
          <w:b/>
          <w:bCs/>
          <w:color w:val="333333"/>
        </w:rPr>
        <w:t>A total of 4</w:t>
      </w:r>
      <w:r>
        <w:rPr>
          <w:rFonts w:ascii="Arial" w:eastAsia="Times New Roman" w:hAnsi="Arial" w:cs="Arial"/>
          <w:b/>
          <w:bCs/>
          <w:color w:val="333333"/>
        </w:rPr>
        <w:t>3</w:t>
      </w:r>
      <w:r w:rsidRPr="001C35B1">
        <w:rPr>
          <w:rFonts w:ascii="Arial" w:eastAsia="Times New Roman" w:hAnsi="Arial" w:cs="Arial"/>
          <w:b/>
          <w:bCs/>
          <w:color w:val="333333"/>
        </w:rPr>
        <w:t xml:space="preserve"> other comments were received. </w:t>
      </w:r>
    </w:p>
    <w:p w14:paraId="149151A6"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 xml:space="preserve">It does not open on weekends </w:t>
      </w:r>
      <w:r>
        <w:rPr>
          <w:rFonts w:ascii="Arial" w:hAnsi="Arial" w:cs="Arial"/>
        </w:rPr>
        <w:t>[name of location].”</w:t>
      </w:r>
    </w:p>
    <w:p w14:paraId="25F5FBB0"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If I want to call in at lunch time it can be difficult as they close.</w:t>
      </w:r>
      <w:r>
        <w:rPr>
          <w:rFonts w:ascii="Arial" w:hAnsi="Arial" w:cs="Arial"/>
        </w:rPr>
        <w:t>”</w:t>
      </w:r>
      <w:r w:rsidRPr="00737B32">
        <w:rPr>
          <w:rFonts w:ascii="Arial" w:hAnsi="Arial" w:cs="Arial"/>
        </w:rPr>
        <w:t xml:space="preserve"> </w:t>
      </w:r>
    </w:p>
    <w:p w14:paraId="68C5531F"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 xml:space="preserve">Yes. Lack of masks being used by several members of staff. </w:t>
      </w:r>
      <w:r>
        <w:rPr>
          <w:rFonts w:ascii="Arial" w:hAnsi="Arial" w:cs="Arial"/>
        </w:rPr>
        <w:t>[Name of pharmacy and location]</w:t>
      </w:r>
      <w:r w:rsidRPr="00737B32">
        <w:rPr>
          <w:rFonts w:ascii="Arial" w:hAnsi="Arial" w:cs="Arial"/>
        </w:rPr>
        <w:t>.</w:t>
      </w:r>
      <w:r>
        <w:rPr>
          <w:rFonts w:ascii="Arial" w:hAnsi="Arial" w:cs="Arial"/>
        </w:rPr>
        <w:t>”</w:t>
      </w:r>
      <w:r w:rsidRPr="00737B32">
        <w:rPr>
          <w:rFonts w:ascii="Arial" w:hAnsi="Arial" w:cs="Arial"/>
        </w:rPr>
        <w:t xml:space="preserve"> </w:t>
      </w:r>
    </w:p>
    <w:p w14:paraId="7512B156"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They should be open more in the evenings and weekends</w:t>
      </w:r>
      <w:r>
        <w:rPr>
          <w:rFonts w:ascii="Arial" w:hAnsi="Arial" w:cs="Arial"/>
        </w:rPr>
        <w:t>.”</w:t>
      </w:r>
    </w:p>
    <w:p w14:paraId="692A31B7"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My old pharmacy are now only open 9-12 and 2-4 so there are really long queues down the high street for people to get their medicines. As the doctor is open their normal hours I think the chemist should be too. I was given a prescription for my sick child at 6pm and ended up driving to a supermarket in another county to get it made up as nowhere in the</w:t>
      </w:r>
      <w:r>
        <w:rPr>
          <w:rFonts w:ascii="Arial" w:hAnsi="Arial" w:cs="Arial"/>
        </w:rPr>
        <w:t xml:space="preserve"> [name of location]</w:t>
      </w:r>
      <w:r w:rsidRPr="00737B32">
        <w:rPr>
          <w:rFonts w:ascii="Arial" w:hAnsi="Arial" w:cs="Arial"/>
        </w:rPr>
        <w:t xml:space="preserve"> was open.</w:t>
      </w:r>
      <w:r>
        <w:rPr>
          <w:rFonts w:ascii="Arial" w:hAnsi="Arial" w:cs="Arial"/>
        </w:rPr>
        <w:t>”</w:t>
      </w:r>
    </w:p>
    <w:p w14:paraId="12C234E4"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Long long queues then because the staff are so busy they lost my prescription and I had to come back the next day and queue again and even then there were things missing which I will have to wait another 4 days!!</w:t>
      </w:r>
      <w:r>
        <w:rPr>
          <w:rFonts w:ascii="Arial" w:hAnsi="Arial" w:cs="Arial"/>
        </w:rPr>
        <w:t>”</w:t>
      </w:r>
    </w:p>
    <w:p w14:paraId="3F73C886"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Doesn’t cause me a problem but weekend opening would be good at one local pharmacy</w:t>
      </w:r>
      <w:r>
        <w:rPr>
          <w:rFonts w:ascii="Arial" w:hAnsi="Arial" w:cs="Arial"/>
        </w:rPr>
        <w:t>.”</w:t>
      </w:r>
    </w:p>
    <w:p w14:paraId="57E09146"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Closing at lunchtimes</w:t>
      </w:r>
      <w:r>
        <w:rPr>
          <w:rFonts w:ascii="Arial" w:hAnsi="Arial" w:cs="Arial"/>
        </w:rPr>
        <w:t>.”</w:t>
      </w:r>
    </w:p>
    <w:p w14:paraId="5D32070A"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Closed Saturday and lunch times between 1 and 2 which can be inconvenient for people</w:t>
      </w:r>
      <w:r>
        <w:rPr>
          <w:rFonts w:ascii="Arial" w:hAnsi="Arial" w:cs="Arial"/>
        </w:rPr>
        <w:t>.”</w:t>
      </w:r>
      <w:r w:rsidRPr="00737B32">
        <w:rPr>
          <w:rFonts w:ascii="Arial" w:hAnsi="Arial" w:cs="Arial"/>
        </w:rPr>
        <w:t xml:space="preserve"> </w:t>
      </w:r>
    </w:p>
    <w:p w14:paraId="6344F7F4"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Personal preference</w:t>
      </w:r>
      <w:r>
        <w:rPr>
          <w:rFonts w:ascii="Arial" w:hAnsi="Arial" w:cs="Arial"/>
        </w:rPr>
        <w:t>.”</w:t>
      </w:r>
    </w:p>
    <w:p w14:paraId="67E92601"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Due to a mental health issue I struggle to enter the shop when there are a few people in there. I generally wait outside and observe fir the right opportunity to enter.</w:t>
      </w:r>
      <w:r>
        <w:rPr>
          <w:rFonts w:ascii="Arial" w:hAnsi="Arial" w:cs="Arial"/>
        </w:rPr>
        <w:t>”</w:t>
      </w:r>
    </w:p>
    <w:p w14:paraId="7663D072"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Currently with restrictions there's sometimes a queue outdoors and while that's not a big problem for me it's not good for the frail, elderly or ill. Maybe they need one of those ticketing systems where says how long to wait and or a shelter outside</w:t>
      </w:r>
      <w:r>
        <w:rPr>
          <w:rFonts w:ascii="Arial" w:hAnsi="Arial" w:cs="Arial"/>
        </w:rPr>
        <w:t>.”</w:t>
      </w:r>
      <w:r w:rsidRPr="00737B32">
        <w:rPr>
          <w:rFonts w:ascii="Arial" w:hAnsi="Arial" w:cs="Arial"/>
        </w:rPr>
        <w:t xml:space="preserve"> </w:t>
      </w:r>
    </w:p>
    <w:p w14:paraId="6E40AEAE"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You have to phone the pharmacy before picking up the medication but the phone is constantly busy or they just don</w:t>
      </w:r>
      <w:r>
        <w:rPr>
          <w:rFonts w:ascii="Arial" w:hAnsi="Arial" w:cs="Arial"/>
        </w:rPr>
        <w:t>’</w:t>
      </w:r>
      <w:r w:rsidRPr="00737B32">
        <w:rPr>
          <w:rFonts w:ascii="Arial" w:hAnsi="Arial" w:cs="Arial"/>
        </w:rPr>
        <w:t>t pick up. Or if you go around there your repeat is never available or partly missing</w:t>
      </w:r>
      <w:r>
        <w:rPr>
          <w:rFonts w:ascii="Arial" w:hAnsi="Arial" w:cs="Arial"/>
        </w:rPr>
        <w:t>.”</w:t>
      </w:r>
      <w:r w:rsidRPr="00737B32">
        <w:rPr>
          <w:rFonts w:ascii="Arial" w:hAnsi="Arial" w:cs="Arial"/>
        </w:rPr>
        <w:t xml:space="preserve"> </w:t>
      </w:r>
    </w:p>
    <w:p w14:paraId="427A406C" w14:textId="0DE88CE3" w:rsidR="00D301A3" w:rsidRPr="00FE6854" w:rsidRDefault="00D301A3" w:rsidP="00DC54F7">
      <w:pPr>
        <w:pStyle w:val="ListParagraph"/>
        <w:numPr>
          <w:ilvl w:val="0"/>
          <w:numId w:val="174"/>
        </w:numPr>
        <w:spacing w:after="0" w:line="259" w:lineRule="auto"/>
        <w:jc w:val="both"/>
        <w:rPr>
          <w:rFonts w:ascii="Arial" w:hAnsi="Arial" w:cs="Arial"/>
        </w:rPr>
      </w:pPr>
      <w:r>
        <w:rPr>
          <w:rFonts w:ascii="Arial" w:hAnsi="Arial" w:cs="Arial"/>
        </w:rPr>
        <w:lastRenderedPageBreak/>
        <w:t>“H</w:t>
      </w:r>
      <w:r w:rsidRPr="00737B32">
        <w:rPr>
          <w:rFonts w:ascii="Arial" w:hAnsi="Arial" w:cs="Arial"/>
        </w:rPr>
        <w:t xml:space="preserve">istorically Cardiff had rota of pharmacies that were on call 24 hours a day, I </w:t>
      </w:r>
      <w:r w:rsidR="00C73310" w:rsidRPr="00737B32">
        <w:rPr>
          <w:rFonts w:ascii="Arial" w:hAnsi="Arial" w:cs="Arial"/>
        </w:rPr>
        <w:t>believe</w:t>
      </w:r>
      <w:r w:rsidRPr="00737B32">
        <w:rPr>
          <w:rFonts w:ascii="Arial" w:hAnsi="Arial" w:cs="Arial"/>
        </w:rPr>
        <w:t xml:space="preserve"> this should happen </w:t>
      </w:r>
      <w:r w:rsidR="00C73310" w:rsidRPr="00737B32">
        <w:rPr>
          <w:rFonts w:ascii="Arial" w:hAnsi="Arial" w:cs="Arial"/>
        </w:rPr>
        <w:t>again.</w:t>
      </w:r>
      <w:r w:rsidR="00C73310" w:rsidRPr="00FE6854">
        <w:rPr>
          <w:rFonts w:ascii="Arial" w:hAnsi="Arial" w:cs="Arial"/>
        </w:rPr>
        <w:t xml:space="preserve"> I</w:t>
      </w:r>
      <w:r w:rsidRPr="00FE6854">
        <w:rPr>
          <w:rFonts w:ascii="Arial" w:hAnsi="Arial" w:cs="Arial"/>
        </w:rPr>
        <w:t xml:space="preserve"> work for a 24 hour service and pts can't access medication </w:t>
      </w:r>
      <w:r w:rsidR="00C73310" w:rsidRPr="00FE6854">
        <w:rPr>
          <w:rFonts w:ascii="Arial" w:hAnsi="Arial" w:cs="Arial"/>
        </w:rPr>
        <w:t>overnight</w:t>
      </w:r>
      <w:r w:rsidRPr="00FE6854">
        <w:rPr>
          <w:rFonts w:ascii="Arial" w:hAnsi="Arial" w:cs="Arial"/>
        </w:rPr>
        <w:t xml:space="preserve"> and often end up in A&amp;E</w:t>
      </w:r>
      <w:r>
        <w:rPr>
          <w:rFonts w:ascii="Arial" w:hAnsi="Arial" w:cs="Arial"/>
        </w:rPr>
        <w:t xml:space="preserve"> </w:t>
      </w:r>
      <w:r w:rsidRPr="00FE6854">
        <w:rPr>
          <w:rFonts w:ascii="Arial" w:hAnsi="Arial" w:cs="Arial"/>
        </w:rPr>
        <w:t>as a large city having 24 hour access to pharmacies is vital</w:t>
      </w:r>
      <w:r>
        <w:rPr>
          <w:rFonts w:ascii="Arial" w:hAnsi="Arial" w:cs="Arial"/>
        </w:rPr>
        <w:t>.”</w:t>
      </w:r>
    </w:p>
    <w:p w14:paraId="670648C6"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They have a ramp but it's very rickety and I don't feel confident using it</w:t>
      </w:r>
      <w:r>
        <w:rPr>
          <w:rFonts w:ascii="Arial" w:hAnsi="Arial" w:cs="Arial"/>
        </w:rPr>
        <w:t>.”</w:t>
      </w:r>
      <w:r w:rsidRPr="00737B32">
        <w:rPr>
          <w:rFonts w:ascii="Arial" w:hAnsi="Arial" w:cs="Arial"/>
        </w:rPr>
        <w:t xml:space="preserve"> </w:t>
      </w:r>
    </w:p>
    <w:p w14:paraId="7722B017"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Apart from the travelling time by car. We have to travel for the doctors surgery as well.</w:t>
      </w:r>
      <w:r>
        <w:rPr>
          <w:rFonts w:ascii="Arial" w:hAnsi="Arial" w:cs="Arial"/>
        </w:rPr>
        <w:t>”</w:t>
      </w:r>
    </w:p>
    <w:p w14:paraId="08CA4C3C"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Not sure it is as confidential as a doctor with other customers in their shop!</w:t>
      </w:r>
      <w:r>
        <w:rPr>
          <w:rFonts w:ascii="Arial" w:hAnsi="Arial" w:cs="Arial"/>
        </w:rPr>
        <w:t>”</w:t>
      </w:r>
    </w:p>
    <w:p w14:paraId="53DB403C"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Some of my medicines are available to pick up on a monthly basis but others are not. This means that I have to ring my Doctor every month to ask for a repeat prescription. I am unsure why some medicines are issued automatically whilst others are not</w:t>
      </w:r>
      <w:r>
        <w:rPr>
          <w:rFonts w:ascii="Arial" w:hAnsi="Arial" w:cs="Arial"/>
        </w:rPr>
        <w:t>”</w:t>
      </w:r>
      <w:r w:rsidRPr="00737B32">
        <w:rPr>
          <w:rFonts w:ascii="Arial" w:hAnsi="Arial" w:cs="Arial"/>
        </w:rPr>
        <w:t xml:space="preserve">. </w:t>
      </w:r>
    </w:p>
    <w:p w14:paraId="1D3C1E9B"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 xml:space="preserve">nearest pharmacy is miles away from me in </w:t>
      </w:r>
      <w:r>
        <w:rPr>
          <w:rFonts w:ascii="Arial" w:hAnsi="Arial" w:cs="Arial"/>
        </w:rPr>
        <w:t>[name of location].”</w:t>
      </w:r>
    </w:p>
    <w:p w14:paraId="266EEDDC"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Travel distance and access via bus</w:t>
      </w:r>
      <w:r>
        <w:rPr>
          <w:rFonts w:ascii="Arial" w:hAnsi="Arial" w:cs="Arial"/>
        </w:rPr>
        <w:t>.”</w:t>
      </w:r>
      <w:r w:rsidRPr="00737B32">
        <w:rPr>
          <w:rFonts w:ascii="Arial" w:hAnsi="Arial" w:cs="Arial"/>
        </w:rPr>
        <w:t xml:space="preserve"> </w:t>
      </w:r>
    </w:p>
    <w:p w14:paraId="08A7EAB1" w14:textId="2DF04F1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 xml:space="preserve">As I do not own a car I tend to walk most places. On occasion I use public transport, I </w:t>
      </w:r>
      <w:r w:rsidR="00C73310" w:rsidRPr="00737B32">
        <w:rPr>
          <w:rFonts w:ascii="Arial" w:hAnsi="Arial" w:cs="Arial"/>
        </w:rPr>
        <w:t>cannot</w:t>
      </w:r>
      <w:r w:rsidRPr="00737B32">
        <w:rPr>
          <w:rFonts w:ascii="Arial" w:hAnsi="Arial" w:cs="Arial"/>
        </w:rPr>
        <w:t xml:space="preserve"> afford taxis. Cardiff Bus have reduced bus services so I </w:t>
      </w:r>
      <w:r w:rsidR="00C73310" w:rsidRPr="00737B32">
        <w:rPr>
          <w:rFonts w:ascii="Arial" w:hAnsi="Arial" w:cs="Arial"/>
        </w:rPr>
        <w:t>cannot</w:t>
      </w:r>
      <w:r w:rsidRPr="00737B32">
        <w:rPr>
          <w:rFonts w:ascii="Arial" w:hAnsi="Arial" w:cs="Arial"/>
        </w:rPr>
        <w:t xml:space="preserve"> rely on public transport to get to a pharmacy</w:t>
      </w:r>
      <w:r>
        <w:rPr>
          <w:rFonts w:ascii="Arial" w:hAnsi="Arial" w:cs="Arial"/>
        </w:rPr>
        <w:t>”</w:t>
      </w:r>
      <w:r w:rsidRPr="00737B32">
        <w:rPr>
          <w:rFonts w:ascii="Arial" w:hAnsi="Arial" w:cs="Arial"/>
        </w:rPr>
        <w:t>.</w:t>
      </w:r>
    </w:p>
    <w:p w14:paraId="2CE32CA4"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There are pharmacies closer to me but they are small, cramped, no privacy, difficult to park and one of them is really dirty.</w:t>
      </w:r>
      <w:r>
        <w:rPr>
          <w:rFonts w:ascii="Arial" w:hAnsi="Arial" w:cs="Arial"/>
        </w:rPr>
        <w:t>”</w:t>
      </w:r>
      <w:r w:rsidRPr="00737B32">
        <w:rPr>
          <w:rFonts w:ascii="Arial" w:hAnsi="Arial" w:cs="Arial"/>
        </w:rPr>
        <w:t xml:space="preserve"> </w:t>
      </w:r>
    </w:p>
    <w:p w14:paraId="22346D17"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I don</w:t>
      </w:r>
      <w:r>
        <w:rPr>
          <w:rFonts w:ascii="Arial" w:hAnsi="Arial" w:cs="Arial"/>
        </w:rPr>
        <w:t>’</w:t>
      </w:r>
      <w:r w:rsidRPr="00737B32">
        <w:rPr>
          <w:rFonts w:ascii="Arial" w:hAnsi="Arial" w:cs="Arial"/>
        </w:rPr>
        <w:t>t want to queue in the cold</w:t>
      </w:r>
      <w:r>
        <w:rPr>
          <w:rFonts w:ascii="Arial" w:hAnsi="Arial" w:cs="Arial"/>
        </w:rPr>
        <w:t>.”</w:t>
      </w:r>
    </w:p>
    <w:p w14:paraId="5049D935"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They can be very slow at serving so the que outside gets long very quickly</w:t>
      </w:r>
      <w:r>
        <w:rPr>
          <w:rFonts w:ascii="Arial" w:hAnsi="Arial" w:cs="Arial"/>
        </w:rPr>
        <w:t>.”</w:t>
      </w:r>
      <w:r w:rsidRPr="00737B32">
        <w:rPr>
          <w:rFonts w:ascii="Arial" w:hAnsi="Arial" w:cs="Arial"/>
        </w:rPr>
        <w:t xml:space="preserve"> </w:t>
      </w:r>
    </w:p>
    <w:p w14:paraId="3C1E9587"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The hours local pharmacies are open are the same as the hospital pharmacy I work in so difficult to get prescriptions for myself without missing work</w:t>
      </w:r>
      <w:r>
        <w:rPr>
          <w:rFonts w:ascii="Arial" w:hAnsi="Arial" w:cs="Arial"/>
        </w:rPr>
        <w:t>.”</w:t>
      </w:r>
    </w:p>
    <w:p w14:paraId="7C5B3C9F"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Opening hours as in previous question, lots of things wouldn't be done during the time approaching closing.</w:t>
      </w:r>
      <w:r>
        <w:rPr>
          <w:rFonts w:ascii="Arial" w:hAnsi="Arial" w:cs="Arial"/>
        </w:rPr>
        <w:t>”</w:t>
      </w:r>
      <w:r w:rsidRPr="00737B32">
        <w:rPr>
          <w:rFonts w:ascii="Arial" w:hAnsi="Arial" w:cs="Arial"/>
        </w:rPr>
        <w:t xml:space="preserve"> </w:t>
      </w:r>
    </w:p>
    <w:p w14:paraId="5331A522"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As above confidentially, and not fully aware what the Pharmacist knows about so dont want to divulge private information for them to just send me to GP or nurse.</w:t>
      </w:r>
      <w:r>
        <w:rPr>
          <w:rFonts w:ascii="Arial" w:hAnsi="Arial" w:cs="Arial"/>
        </w:rPr>
        <w:t>”</w:t>
      </w:r>
    </w:p>
    <w:p w14:paraId="3298EF7B"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Heavy door - this is difficult in a wheelchair</w:t>
      </w:r>
      <w:r>
        <w:rPr>
          <w:rFonts w:ascii="Arial" w:hAnsi="Arial" w:cs="Arial"/>
        </w:rPr>
        <w:t>.”</w:t>
      </w:r>
    </w:p>
    <w:p w14:paraId="30280B44" w14:textId="77777777" w:rsidR="00D301A3" w:rsidRPr="00737B32" w:rsidRDefault="00D301A3" w:rsidP="00DC54F7">
      <w:pPr>
        <w:pStyle w:val="ListParagraph"/>
        <w:numPr>
          <w:ilvl w:val="0"/>
          <w:numId w:val="174"/>
        </w:numPr>
        <w:spacing w:after="0" w:line="259" w:lineRule="auto"/>
        <w:jc w:val="both"/>
        <w:rPr>
          <w:rFonts w:ascii="Arial" w:hAnsi="Arial" w:cs="Arial"/>
        </w:rPr>
      </w:pPr>
      <w:r w:rsidRPr="00737B32">
        <w:rPr>
          <w:rFonts w:ascii="Arial" w:hAnsi="Arial" w:cs="Arial"/>
        </w:rPr>
        <w:t>The pharmacist is not interested in engaging with the public</w:t>
      </w:r>
    </w:p>
    <w:p w14:paraId="0B44F16B"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Is it not always easy to make a GP appointment to obtain prescriptions</w:t>
      </w:r>
      <w:r>
        <w:rPr>
          <w:rFonts w:ascii="Arial" w:hAnsi="Arial" w:cs="Arial"/>
        </w:rPr>
        <w:t>.”</w:t>
      </w:r>
      <w:r w:rsidRPr="00737B32">
        <w:rPr>
          <w:rFonts w:ascii="Arial" w:hAnsi="Arial" w:cs="Arial"/>
        </w:rPr>
        <w:t xml:space="preserve"> </w:t>
      </w:r>
    </w:p>
    <w:p w14:paraId="6EEE54CF"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Times it's open</w:t>
      </w:r>
      <w:r>
        <w:rPr>
          <w:rFonts w:ascii="Arial" w:hAnsi="Arial" w:cs="Arial"/>
        </w:rPr>
        <w:t>.”</w:t>
      </w:r>
    </w:p>
    <w:p w14:paraId="48387938"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Queues outside, especially in winter months.</w:t>
      </w:r>
      <w:r>
        <w:rPr>
          <w:rFonts w:ascii="Arial" w:hAnsi="Arial" w:cs="Arial"/>
        </w:rPr>
        <w:t>”</w:t>
      </w:r>
    </w:p>
    <w:p w14:paraId="398F221A" w14:textId="77777777" w:rsidR="00D301A3" w:rsidRPr="009D5A5E"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I wouldn’t feel comfortable discussing private matters due to lack of privacy</w:t>
      </w:r>
      <w:r>
        <w:rPr>
          <w:rFonts w:ascii="Arial" w:hAnsi="Arial" w:cs="Arial"/>
        </w:rPr>
        <w:t>.”</w:t>
      </w:r>
      <w:r w:rsidRPr="00737B32">
        <w:rPr>
          <w:rFonts w:ascii="Arial" w:hAnsi="Arial" w:cs="Arial"/>
        </w:rPr>
        <w:t xml:space="preserve"> </w:t>
      </w:r>
    </w:p>
    <w:p w14:paraId="431C013C"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They should be given opportunity to do more. Clusters should engage with them more. WG provide funding &amp; opportunities. Consulting rooms etc.</w:t>
      </w:r>
      <w:r>
        <w:rPr>
          <w:rFonts w:ascii="Arial" w:hAnsi="Arial" w:cs="Arial"/>
        </w:rPr>
        <w:t>”</w:t>
      </w:r>
    </w:p>
    <w:p w14:paraId="246820B5" w14:textId="110E7636" w:rsidR="00D301A3" w:rsidRPr="00912076"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 xml:space="preserve">Communication with staff and them </w:t>
      </w:r>
      <w:r w:rsidR="00C73310" w:rsidRPr="00737B32">
        <w:rPr>
          <w:rFonts w:ascii="Arial" w:hAnsi="Arial" w:cs="Arial"/>
        </w:rPr>
        <w:t>retaining</w:t>
      </w:r>
      <w:r w:rsidRPr="00737B32">
        <w:rPr>
          <w:rFonts w:ascii="Arial" w:hAnsi="Arial" w:cs="Arial"/>
        </w:rPr>
        <w:t xml:space="preserve"> message and acting on it. Unfortunately this is not a systemic /process issue.</w:t>
      </w:r>
      <w:r>
        <w:rPr>
          <w:rFonts w:ascii="Arial" w:hAnsi="Arial" w:cs="Arial"/>
        </w:rPr>
        <w:t xml:space="preserve"> </w:t>
      </w:r>
      <w:r w:rsidRPr="00912076">
        <w:rPr>
          <w:rFonts w:ascii="Arial" w:hAnsi="Arial" w:cs="Arial"/>
        </w:rPr>
        <w:t xml:space="preserve">We feel trapped in to a pharmacy due to its convenient location for eg in </w:t>
      </w:r>
      <w:r>
        <w:rPr>
          <w:rFonts w:ascii="Arial" w:hAnsi="Arial" w:cs="Arial"/>
        </w:rPr>
        <w:t>[name of pharmacy]</w:t>
      </w:r>
      <w:r w:rsidRPr="00912076">
        <w:rPr>
          <w:rFonts w:ascii="Arial" w:hAnsi="Arial" w:cs="Arial"/>
        </w:rPr>
        <w:t xml:space="preserve">, </w:t>
      </w:r>
      <w:r>
        <w:rPr>
          <w:rFonts w:ascii="Arial" w:hAnsi="Arial" w:cs="Arial"/>
        </w:rPr>
        <w:t>[name of location]</w:t>
      </w:r>
      <w:r w:rsidRPr="00912076">
        <w:rPr>
          <w:rFonts w:ascii="Arial" w:hAnsi="Arial" w:cs="Arial"/>
        </w:rPr>
        <w:t xml:space="preserve">. It is convenient but does not look like providing good service. There is no other Pharmacy nearby. There is no quality </w:t>
      </w:r>
      <w:r w:rsidR="00C73310" w:rsidRPr="00912076">
        <w:rPr>
          <w:rFonts w:ascii="Arial" w:hAnsi="Arial" w:cs="Arial"/>
        </w:rPr>
        <w:t>control</w:t>
      </w:r>
      <w:r w:rsidRPr="00912076">
        <w:rPr>
          <w:rFonts w:ascii="Arial" w:hAnsi="Arial" w:cs="Arial"/>
        </w:rPr>
        <w:t xml:space="preserve"> or </w:t>
      </w:r>
      <w:r w:rsidR="00C73310" w:rsidRPr="00912076">
        <w:rPr>
          <w:rFonts w:ascii="Arial" w:hAnsi="Arial" w:cs="Arial"/>
        </w:rPr>
        <w:t>feedback</w:t>
      </w:r>
      <w:r w:rsidRPr="00912076">
        <w:rPr>
          <w:rFonts w:ascii="Arial" w:hAnsi="Arial" w:cs="Arial"/>
        </w:rPr>
        <w:t xml:space="preserve"> requested for improvement.” </w:t>
      </w:r>
    </w:p>
    <w:p w14:paraId="49BB8549"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Would be much easier if there was electronic prescribing from surgery to pharmacy</w:t>
      </w:r>
      <w:r>
        <w:rPr>
          <w:rFonts w:ascii="Arial" w:hAnsi="Arial" w:cs="Arial"/>
        </w:rPr>
        <w:t>.”</w:t>
      </w:r>
    </w:p>
    <w:p w14:paraId="39F530F0"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Some staff are rude</w:t>
      </w:r>
      <w:r>
        <w:rPr>
          <w:rFonts w:ascii="Arial" w:hAnsi="Arial" w:cs="Arial"/>
        </w:rPr>
        <w:t>.</w:t>
      </w:r>
      <w:r w:rsidRPr="00737B32">
        <w:rPr>
          <w:rFonts w:ascii="Arial" w:hAnsi="Arial" w:cs="Arial"/>
        </w:rPr>
        <w:t xml:space="preserve"> </w:t>
      </w:r>
    </w:p>
    <w:p w14:paraId="0E6344DA" w14:textId="77777777"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Covid changing opening times</w:t>
      </w:r>
      <w:r>
        <w:rPr>
          <w:rFonts w:ascii="Arial" w:hAnsi="Arial" w:cs="Arial"/>
        </w:rPr>
        <w:t>.”</w:t>
      </w:r>
    </w:p>
    <w:p w14:paraId="1155149F" w14:textId="112B3EE6" w:rsidR="00D301A3" w:rsidRPr="00737B32"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 xml:space="preserve">Yes, as a result of covid, my medications are now random and I've had problems for months. Due to staff problems before Christmas, they were 3 weeks late with medication and rude/stressed to me on the phone. I was promised meds on Christmas </w:t>
      </w:r>
      <w:r w:rsidR="00C73310" w:rsidRPr="00737B32">
        <w:rPr>
          <w:rFonts w:ascii="Arial" w:hAnsi="Arial" w:cs="Arial"/>
        </w:rPr>
        <w:t>Eve</w:t>
      </w:r>
      <w:r w:rsidRPr="00737B32">
        <w:rPr>
          <w:rFonts w:ascii="Arial" w:hAnsi="Arial" w:cs="Arial"/>
        </w:rPr>
        <w:t xml:space="preserve"> but that didn't happen. Consequently I ran out of one particular medication over </w:t>
      </w:r>
      <w:r w:rsidR="00C73310" w:rsidRPr="00737B32">
        <w:rPr>
          <w:rFonts w:ascii="Arial" w:hAnsi="Arial" w:cs="Arial"/>
        </w:rPr>
        <w:t>Christmas</w:t>
      </w:r>
      <w:r w:rsidRPr="00737B32">
        <w:rPr>
          <w:rFonts w:ascii="Arial" w:hAnsi="Arial" w:cs="Arial"/>
        </w:rPr>
        <w:t xml:space="preserve"> until pharmacy was open. I continue to experience ongoing issues ie this month I was told I can't pick up a one off prescription until it's time for my regular </w:t>
      </w:r>
      <w:r w:rsidRPr="00737B32">
        <w:rPr>
          <w:rFonts w:ascii="Arial" w:hAnsi="Arial" w:cs="Arial"/>
        </w:rPr>
        <w:lastRenderedPageBreak/>
        <w:t>medication at the end of the month. I'm worried about phoning because I'm clearly in the way. I understand it's pandemic related, but I don't know what to do</w:t>
      </w:r>
      <w:r>
        <w:rPr>
          <w:rFonts w:ascii="Arial" w:hAnsi="Arial" w:cs="Arial"/>
        </w:rPr>
        <w:t>”</w:t>
      </w:r>
      <w:r w:rsidRPr="00737B32">
        <w:rPr>
          <w:rFonts w:ascii="Arial" w:hAnsi="Arial" w:cs="Arial"/>
        </w:rPr>
        <w:t>.</w:t>
      </w:r>
    </w:p>
    <w:p w14:paraId="0804DECC" w14:textId="7814AC06" w:rsidR="00D301A3" w:rsidRPr="00B8797F"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 xml:space="preserve">Asking for address or postcode in front of other people/reading address in front of others(DV survivor and hate crime victim dont want my address public knowledge) </w:t>
      </w:r>
      <w:r w:rsidRPr="00B8797F">
        <w:rPr>
          <w:rFonts w:ascii="Arial" w:hAnsi="Arial" w:cs="Arial"/>
        </w:rPr>
        <w:t>Not accepting ID as an alternative to saying said address.</w:t>
      </w:r>
      <w:r>
        <w:rPr>
          <w:rFonts w:ascii="Arial" w:hAnsi="Arial" w:cs="Arial"/>
        </w:rPr>
        <w:t xml:space="preserve"> </w:t>
      </w:r>
      <w:r w:rsidRPr="00B8797F">
        <w:rPr>
          <w:rFonts w:ascii="Arial" w:hAnsi="Arial" w:cs="Arial"/>
        </w:rPr>
        <w:t xml:space="preserve">Requirement to </w:t>
      </w:r>
      <w:r w:rsidR="00C73310" w:rsidRPr="00B8797F">
        <w:rPr>
          <w:rFonts w:ascii="Arial" w:hAnsi="Arial" w:cs="Arial"/>
        </w:rPr>
        <w:t>talk (</w:t>
      </w:r>
      <w:r w:rsidRPr="00B8797F">
        <w:rPr>
          <w:rFonts w:ascii="Arial" w:hAnsi="Arial" w:cs="Arial"/>
        </w:rPr>
        <w:t>I use BSL to communicate)</w:t>
      </w:r>
      <w:r>
        <w:rPr>
          <w:rFonts w:ascii="Arial" w:hAnsi="Arial" w:cs="Arial"/>
        </w:rPr>
        <w:t>.”</w:t>
      </w:r>
      <w:r w:rsidRPr="00B8797F">
        <w:rPr>
          <w:rFonts w:ascii="Arial" w:hAnsi="Arial" w:cs="Arial"/>
        </w:rPr>
        <w:t xml:space="preserve"> </w:t>
      </w:r>
    </w:p>
    <w:p w14:paraId="3DE3F314" w14:textId="77777777" w:rsidR="00D301A3" w:rsidRPr="0031110E"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Mask wearing - I am deaf. No email options to check of prescriptions are ready. Staff very stressed and not very welcoming, if prescriptions are mislaid an excuse is often given</w:t>
      </w:r>
      <w:r>
        <w:rPr>
          <w:rFonts w:ascii="Arial" w:hAnsi="Arial" w:cs="Arial"/>
        </w:rPr>
        <w:t>.”</w:t>
      </w:r>
    </w:p>
    <w:p w14:paraId="6CF11E3B" w14:textId="77777777" w:rsidR="00D301A3" w:rsidRDefault="00D301A3" w:rsidP="00DC54F7">
      <w:pPr>
        <w:pStyle w:val="ListParagraph"/>
        <w:numPr>
          <w:ilvl w:val="0"/>
          <w:numId w:val="174"/>
        </w:numPr>
        <w:spacing w:after="0" w:line="259" w:lineRule="auto"/>
        <w:jc w:val="both"/>
        <w:rPr>
          <w:rFonts w:ascii="Arial" w:hAnsi="Arial" w:cs="Arial"/>
        </w:rPr>
      </w:pPr>
      <w:r>
        <w:rPr>
          <w:rFonts w:ascii="Arial" w:hAnsi="Arial" w:cs="Arial"/>
        </w:rPr>
        <w:t>“</w:t>
      </w:r>
      <w:r w:rsidRPr="00737B32">
        <w:rPr>
          <w:rFonts w:ascii="Arial" w:hAnsi="Arial" w:cs="Arial"/>
        </w:rPr>
        <w:t>They have a very old fashioned air about them. I can’t imagine young people feeling encouraged to go in there and ask for contraception for example.</w:t>
      </w:r>
      <w:r>
        <w:rPr>
          <w:rFonts w:ascii="Arial" w:hAnsi="Arial" w:cs="Arial"/>
        </w:rPr>
        <w:t>”</w:t>
      </w:r>
      <w:r w:rsidRPr="00737B32">
        <w:rPr>
          <w:rFonts w:ascii="Arial" w:hAnsi="Arial" w:cs="Arial"/>
        </w:rPr>
        <w:t xml:space="preserve"> </w:t>
      </w:r>
    </w:p>
    <w:p w14:paraId="7921A0B6" w14:textId="77777777" w:rsidR="00D301A3" w:rsidRPr="009431C6" w:rsidRDefault="00D301A3" w:rsidP="00DC54F7">
      <w:pPr>
        <w:pStyle w:val="ListParagraph"/>
        <w:numPr>
          <w:ilvl w:val="0"/>
          <w:numId w:val="174"/>
        </w:numPr>
        <w:spacing w:after="0" w:line="240" w:lineRule="auto"/>
        <w:jc w:val="both"/>
        <w:rPr>
          <w:rFonts w:ascii="Arial" w:eastAsia="Times New Roman" w:hAnsi="Arial" w:cs="Arial"/>
        </w:rPr>
      </w:pPr>
      <w:r w:rsidRPr="009431C6">
        <w:rPr>
          <w:rFonts w:ascii="Arial" w:eastAsia="Times New Roman" w:hAnsi="Arial" w:cs="Arial"/>
        </w:rPr>
        <w:t>“It’s a service that has great potential to help people live well.  Many pharmacies are local and they’re all very important shops in the community.  But they haven’t been set out in a way that makes advisory work easy.”</w:t>
      </w:r>
    </w:p>
    <w:p w14:paraId="1A1F59E2" w14:textId="77777777" w:rsidR="00D301A3" w:rsidRPr="001C35B1" w:rsidRDefault="00D301A3" w:rsidP="00DC54F7">
      <w:pPr>
        <w:spacing w:after="0" w:line="240" w:lineRule="auto"/>
        <w:ind w:left="360"/>
        <w:jc w:val="both"/>
        <w:rPr>
          <w:rFonts w:ascii="Arial" w:hAnsi="Arial" w:cs="Arial"/>
        </w:rPr>
      </w:pPr>
    </w:p>
    <w:p w14:paraId="529F9C00" w14:textId="77777777" w:rsidR="001B5C8F" w:rsidRDefault="001B5C8F" w:rsidP="00DC54F7">
      <w:pPr>
        <w:spacing w:after="0" w:line="240" w:lineRule="auto"/>
        <w:jc w:val="both"/>
        <w:rPr>
          <w:rFonts w:ascii="Arial" w:hAnsi="Arial" w:cs="Arial"/>
          <w:b/>
          <w:bCs/>
        </w:rPr>
      </w:pPr>
    </w:p>
    <w:p w14:paraId="591AB36F" w14:textId="3CDBAD99" w:rsidR="00D301A3" w:rsidRDefault="00D301A3" w:rsidP="00DC54F7">
      <w:pPr>
        <w:spacing w:after="0" w:line="240" w:lineRule="auto"/>
        <w:jc w:val="both"/>
        <w:rPr>
          <w:rFonts w:ascii="Arial" w:hAnsi="Arial" w:cs="Arial"/>
          <w:b/>
          <w:bCs/>
        </w:rPr>
      </w:pPr>
      <w:r w:rsidRPr="006E23AF">
        <w:rPr>
          <w:rFonts w:ascii="Arial" w:hAnsi="Arial" w:cs="Arial"/>
          <w:b/>
          <w:bCs/>
        </w:rPr>
        <w:t>22. What was your age on your last birthday? Please tick one</w:t>
      </w:r>
    </w:p>
    <w:p w14:paraId="70627EAA" w14:textId="77777777" w:rsidR="00D301A3" w:rsidRPr="00F33FE2" w:rsidRDefault="00D301A3" w:rsidP="00DC54F7">
      <w:pPr>
        <w:spacing w:after="0"/>
        <w:jc w:val="both"/>
        <w:rPr>
          <w:rFonts w:ascii="Arial" w:hAnsi="Arial" w:cs="Arial"/>
          <w:b/>
          <w:bCs/>
        </w:rPr>
      </w:pPr>
    </w:p>
    <w:tbl>
      <w:tblPr>
        <w:tblW w:w="8926" w:type="dxa"/>
        <w:tblLook w:val="04A0" w:firstRow="1" w:lastRow="0" w:firstColumn="1" w:lastColumn="0" w:noHBand="0" w:noVBand="1"/>
      </w:tblPr>
      <w:tblGrid>
        <w:gridCol w:w="960"/>
        <w:gridCol w:w="4280"/>
        <w:gridCol w:w="1276"/>
        <w:gridCol w:w="1276"/>
        <w:gridCol w:w="1134"/>
      </w:tblGrid>
      <w:tr w:rsidR="00D301A3" w:rsidRPr="00870E77" w14:paraId="4C538EFF" w14:textId="77777777" w:rsidTr="00AA572E">
        <w:trPr>
          <w:trHeight w:val="290"/>
        </w:trPr>
        <w:tc>
          <w:tcPr>
            <w:tcW w:w="6516" w:type="dxa"/>
            <w:gridSpan w:val="3"/>
            <w:tcBorders>
              <w:top w:val="single" w:sz="4" w:space="0" w:color="A6A6A6"/>
              <w:left w:val="single" w:sz="4" w:space="0" w:color="A6A6A6"/>
              <w:bottom w:val="single" w:sz="4" w:space="0" w:color="A6A6A6"/>
              <w:right w:val="nil"/>
            </w:tcBorders>
            <w:shd w:val="clear" w:color="000000" w:fill="ACB9CA"/>
            <w:noWrap/>
            <w:vAlign w:val="center"/>
            <w:hideMark/>
          </w:tcPr>
          <w:p w14:paraId="0DA23BB1" w14:textId="77777777" w:rsidR="00D301A3" w:rsidRPr="00870E77" w:rsidRDefault="00D301A3" w:rsidP="00DC54F7">
            <w:pPr>
              <w:spacing w:after="0" w:line="240" w:lineRule="auto"/>
              <w:jc w:val="both"/>
              <w:rPr>
                <w:rFonts w:ascii="Arial" w:eastAsia="Times New Roman" w:hAnsi="Arial" w:cs="Arial"/>
                <w:b/>
                <w:bCs/>
                <w:color w:val="FFFFFF"/>
                <w:sz w:val="21"/>
                <w:szCs w:val="21"/>
                <w:lang w:eastAsia="en-GB"/>
              </w:rPr>
            </w:pPr>
            <w:r w:rsidRPr="00870E77">
              <w:rPr>
                <w:rFonts w:ascii="Arial" w:eastAsia="Times New Roman" w:hAnsi="Arial" w:cs="Arial"/>
                <w:b/>
                <w:bCs/>
                <w:color w:val="FFFFFF"/>
                <w:sz w:val="21"/>
                <w:szCs w:val="21"/>
                <w:lang w:eastAsia="en-GB"/>
              </w:rPr>
              <w:t> </w:t>
            </w:r>
          </w:p>
        </w:tc>
        <w:tc>
          <w:tcPr>
            <w:tcW w:w="2410" w:type="dxa"/>
            <w:gridSpan w:val="2"/>
            <w:tcBorders>
              <w:top w:val="single" w:sz="4" w:space="0" w:color="A6A6A6"/>
              <w:left w:val="nil"/>
              <w:bottom w:val="single" w:sz="4" w:space="0" w:color="A6A6A6"/>
              <w:right w:val="single" w:sz="4" w:space="0" w:color="A6A6A6"/>
            </w:tcBorders>
            <w:shd w:val="clear" w:color="000000" w:fill="ACB9CA"/>
            <w:noWrap/>
            <w:vAlign w:val="center"/>
            <w:hideMark/>
          </w:tcPr>
          <w:p w14:paraId="23D8B990" w14:textId="77777777" w:rsidR="00D301A3" w:rsidRPr="00870E77" w:rsidRDefault="00D301A3" w:rsidP="00DC54F7">
            <w:pPr>
              <w:spacing w:after="0" w:line="240" w:lineRule="auto"/>
              <w:jc w:val="both"/>
              <w:rPr>
                <w:rFonts w:ascii="Arial" w:eastAsia="Times New Roman" w:hAnsi="Arial" w:cs="Arial"/>
                <w:b/>
                <w:bCs/>
                <w:color w:val="FFFFFF"/>
                <w:sz w:val="21"/>
                <w:szCs w:val="21"/>
                <w:lang w:eastAsia="en-GB"/>
              </w:rPr>
            </w:pPr>
            <w:r w:rsidRPr="00870E77">
              <w:rPr>
                <w:rFonts w:ascii="Arial" w:eastAsia="Times New Roman" w:hAnsi="Arial" w:cs="Arial"/>
                <w:b/>
                <w:bCs/>
                <w:color w:val="FFFFFF"/>
                <w:sz w:val="21"/>
                <w:szCs w:val="21"/>
                <w:lang w:eastAsia="en-GB"/>
              </w:rPr>
              <w:t>Response</w:t>
            </w:r>
          </w:p>
        </w:tc>
      </w:tr>
      <w:tr w:rsidR="00D301A3" w:rsidRPr="00870E77" w14:paraId="409EE447" w14:textId="77777777" w:rsidTr="00AA572E">
        <w:trPr>
          <w:trHeight w:val="290"/>
        </w:trPr>
        <w:tc>
          <w:tcPr>
            <w:tcW w:w="6516"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3CA1A3A1" w14:textId="77777777" w:rsidR="00D301A3" w:rsidRPr="00870E77" w:rsidRDefault="00D301A3" w:rsidP="00DC54F7">
            <w:pPr>
              <w:spacing w:after="0" w:line="240" w:lineRule="auto"/>
              <w:jc w:val="both"/>
              <w:rPr>
                <w:rFonts w:ascii="Arial" w:eastAsia="Times New Roman" w:hAnsi="Arial" w:cs="Arial"/>
                <w:b/>
                <w:bCs/>
                <w:color w:val="000000"/>
                <w:sz w:val="18"/>
                <w:szCs w:val="18"/>
                <w:lang w:eastAsia="en-GB"/>
              </w:rPr>
            </w:pPr>
            <w:r w:rsidRPr="00870E77">
              <w:rPr>
                <w:rFonts w:ascii="Arial" w:eastAsia="Times New Roman" w:hAnsi="Arial" w:cs="Arial"/>
                <w:b/>
                <w:bCs/>
                <w:color w:val="000000"/>
                <w:sz w:val="18"/>
                <w:szCs w:val="18"/>
                <w:lang w:eastAsia="en-GB"/>
              </w:rPr>
              <w:t> </w:t>
            </w:r>
          </w:p>
        </w:tc>
        <w:tc>
          <w:tcPr>
            <w:tcW w:w="1276" w:type="dxa"/>
            <w:tcBorders>
              <w:top w:val="nil"/>
              <w:left w:val="nil"/>
              <w:bottom w:val="single" w:sz="4" w:space="0" w:color="A6A6A6"/>
              <w:right w:val="single" w:sz="4" w:space="0" w:color="A6A6A6"/>
            </w:tcBorders>
            <w:shd w:val="clear" w:color="000000" w:fill="F2F2F2"/>
            <w:noWrap/>
            <w:vAlign w:val="center"/>
            <w:hideMark/>
          </w:tcPr>
          <w:p w14:paraId="200F2CE9" w14:textId="77777777" w:rsidR="00D301A3" w:rsidRPr="00870E77" w:rsidRDefault="00D301A3" w:rsidP="00DC54F7">
            <w:pPr>
              <w:spacing w:after="0" w:line="240" w:lineRule="auto"/>
              <w:jc w:val="both"/>
              <w:rPr>
                <w:rFonts w:ascii="Arial" w:eastAsia="Times New Roman" w:hAnsi="Arial" w:cs="Arial"/>
                <w:b/>
                <w:bCs/>
                <w:color w:val="000000"/>
                <w:sz w:val="18"/>
                <w:szCs w:val="18"/>
                <w:lang w:eastAsia="en-GB"/>
              </w:rPr>
            </w:pPr>
            <w:r w:rsidRPr="00870E77">
              <w:rPr>
                <w:rFonts w:ascii="Arial" w:eastAsia="Times New Roman" w:hAnsi="Arial" w:cs="Arial"/>
                <w:b/>
                <w:bCs/>
                <w:color w:val="000000"/>
                <w:sz w:val="18"/>
                <w:szCs w:val="18"/>
                <w:lang w:eastAsia="en-GB"/>
              </w:rPr>
              <w:t>Percent</w:t>
            </w:r>
          </w:p>
        </w:tc>
        <w:tc>
          <w:tcPr>
            <w:tcW w:w="1134" w:type="dxa"/>
            <w:tcBorders>
              <w:top w:val="nil"/>
              <w:left w:val="nil"/>
              <w:bottom w:val="single" w:sz="4" w:space="0" w:color="A6A6A6"/>
              <w:right w:val="single" w:sz="4" w:space="0" w:color="A6A6A6"/>
            </w:tcBorders>
            <w:shd w:val="clear" w:color="000000" w:fill="F2F2F2"/>
            <w:noWrap/>
            <w:vAlign w:val="center"/>
            <w:hideMark/>
          </w:tcPr>
          <w:p w14:paraId="013A9CD2" w14:textId="77777777" w:rsidR="00D301A3" w:rsidRPr="00870E77" w:rsidRDefault="00D301A3" w:rsidP="00DC54F7">
            <w:pPr>
              <w:spacing w:after="0" w:line="240" w:lineRule="auto"/>
              <w:jc w:val="both"/>
              <w:rPr>
                <w:rFonts w:ascii="Arial" w:eastAsia="Times New Roman" w:hAnsi="Arial" w:cs="Arial"/>
                <w:b/>
                <w:bCs/>
                <w:color w:val="000000"/>
                <w:sz w:val="18"/>
                <w:szCs w:val="18"/>
                <w:lang w:eastAsia="en-GB"/>
              </w:rPr>
            </w:pPr>
            <w:r w:rsidRPr="00870E77">
              <w:rPr>
                <w:rFonts w:ascii="Arial" w:eastAsia="Times New Roman" w:hAnsi="Arial" w:cs="Arial"/>
                <w:b/>
                <w:bCs/>
                <w:color w:val="000000"/>
                <w:sz w:val="18"/>
                <w:szCs w:val="18"/>
                <w:lang w:eastAsia="en-GB"/>
              </w:rPr>
              <w:t>Total</w:t>
            </w:r>
          </w:p>
        </w:tc>
      </w:tr>
      <w:tr w:rsidR="00D301A3" w:rsidRPr="00870E77" w14:paraId="756739DB"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2AA85648" w14:textId="77777777" w:rsidR="00D301A3" w:rsidRPr="00870E77" w:rsidRDefault="00D301A3" w:rsidP="00DC54F7">
            <w:pPr>
              <w:spacing w:after="0" w:line="240" w:lineRule="auto"/>
              <w:jc w:val="both"/>
              <w:rPr>
                <w:rFonts w:ascii="Arial" w:eastAsia="Times New Roman" w:hAnsi="Arial" w:cs="Arial"/>
                <w:color w:val="000000"/>
                <w:sz w:val="18"/>
                <w:szCs w:val="18"/>
                <w:lang w:eastAsia="en-GB"/>
              </w:rPr>
            </w:pPr>
            <w:r w:rsidRPr="00870E77">
              <w:rPr>
                <w:rFonts w:ascii="Arial" w:eastAsia="Times New Roman" w:hAnsi="Arial" w:cs="Arial"/>
                <w:color w:val="000000"/>
                <w:sz w:val="18"/>
                <w:szCs w:val="18"/>
                <w:lang w:eastAsia="en-GB"/>
              </w:rPr>
              <w:t>1</w:t>
            </w:r>
          </w:p>
        </w:tc>
        <w:tc>
          <w:tcPr>
            <w:tcW w:w="5556" w:type="dxa"/>
            <w:gridSpan w:val="2"/>
            <w:tcBorders>
              <w:top w:val="single" w:sz="4" w:space="0" w:color="A6A6A6"/>
              <w:left w:val="nil"/>
              <w:bottom w:val="single" w:sz="4" w:space="0" w:color="A6A6A6"/>
              <w:right w:val="single" w:sz="4" w:space="0" w:color="A6A6A6"/>
            </w:tcBorders>
            <w:shd w:val="clear" w:color="auto" w:fill="auto"/>
            <w:vAlign w:val="center"/>
            <w:hideMark/>
          </w:tcPr>
          <w:p w14:paraId="1702C8F9" w14:textId="77777777" w:rsidR="00D301A3" w:rsidRPr="00870E77" w:rsidRDefault="00D301A3" w:rsidP="00DC54F7">
            <w:pPr>
              <w:spacing w:after="0" w:line="240" w:lineRule="auto"/>
              <w:jc w:val="both"/>
              <w:rPr>
                <w:rFonts w:ascii="Arial" w:eastAsia="Times New Roman" w:hAnsi="Arial" w:cs="Arial"/>
                <w:color w:val="000000"/>
                <w:sz w:val="18"/>
                <w:szCs w:val="18"/>
                <w:lang w:eastAsia="en-GB"/>
              </w:rPr>
            </w:pPr>
            <w:r w:rsidRPr="00870E77">
              <w:rPr>
                <w:rFonts w:ascii="Arial" w:eastAsia="Times New Roman" w:hAnsi="Arial" w:cs="Arial"/>
                <w:color w:val="000000"/>
                <w:sz w:val="18"/>
                <w:szCs w:val="18"/>
                <w:lang w:eastAsia="en-GB"/>
              </w:rPr>
              <w:t>Under 16</w:t>
            </w:r>
          </w:p>
        </w:tc>
        <w:tc>
          <w:tcPr>
            <w:tcW w:w="1276" w:type="dxa"/>
            <w:tcBorders>
              <w:top w:val="nil"/>
              <w:left w:val="nil"/>
              <w:bottom w:val="single" w:sz="4" w:space="0" w:color="A6A6A6"/>
              <w:right w:val="single" w:sz="4" w:space="0" w:color="A6A6A6"/>
            </w:tcBorders>
            <w:shd w:val="clear" w:color="000000" w:fill="F2F2F2"/>
            <w:noWrap/>
            <w:vAlign w:val="bottom"/>
            <w:hideMark/>
          </w:tcPr>
          <w:p w14:paraId="60E4B080"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0.00%</w:t>
            </w:r>
          </w:p>
        </w:tc>
        <w:tc>
          <w:tcPr>
            <w:tcW w:w="1134" w:type="dxa"/>
            <w:tcBorders>
              <w:top w:val="nil"/>
              <w:left w:val="nil"/>
              <w:bottom w:val="single" w:sz="4" w:space="0" w:color="A6A6A6"/>
              <w:right w:val="single" w:sz="4" w:space="0" w:color="A6A6A6"/>
            </w:tcBorders>
            <w:shd w:val="clear" w:color="000000" w:fill="F2F2F2"/>
            <w:noWrap/>
            <w:vAlign w:val="bottom"/>
            <w:hideMark/>
          </w:tcPr>
          <w:p w14:paraId="4054199C"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0</w:t>
            </w:r>
          </w:p>
        </w:tc>
      </w:tr>
      <w:tr w:rsidR="00D301A3" w:rsidRPr="00870E77" w14:paraId="02498D87" w14:textId="77777777" w:rsidTr="00AA572E">
        <w:trPr>
          <w:trHeight w:val="30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4236BA4" w14:textId="77777777" w:rsidR="00D301A3" w:rsidRPr="00870E77" w:rsidRDefault="00D301A3" w:rsidP="00DC54F7">
            <w:pPr>
              <w:spacing w:after="0" w:line="240" w:lineRule="auto"/>
              <w:jc w:val="both"/>
              <w:rPr>
                <w:rFonts w:ascii="Arial" w:eastAsia="Times New Roman" w:hAnsi="Arial" w:cs="Arial"/>
                <w:color w:val="000000"/>
                <w:sz w:val="18"/>
                <w:szCs w:val="18"/>
                <w:lang w:eastAsia="en-GB"/>
              </w:rPr>
            </w:pPr>
            <w:r w:rsidRPr="00870E77">
              <w:rPr>
                <w:rFonts w:ascii="Arial" w:eastAsia="Times New Roman" w:hAnsi="Arial" w:cs="Arial"/>
                <w:color w:val="000000"/>
                <w:sz w:val="18"/>
                <w:szCs w:val="18"/>
                <w:lang w:eastAsia="en-GB"/>
              </w:rPr>
              <w:t>2</w:t>
            </w:r>
          </w:p>
        </w:tc>
        <w:tc>
          <w:tcPr>
            <w:tcW w:w="5556" w:type="dxa"/>
            <w:gridSpan w:val="2"/>
            <w:tcBorders>
              <w:top w:val="single" w:sz="4" w:space="0" w:color="A6A6A6"/>
              <w:left w:val="nil"/>
              <w:bottom w:val="single" w:sz="4" w:space="0" w:color="A6A6A6"/>
              <w:right w:val="single" w:sz="4" w:space="0" w:color="A6A6A6"/>
            </w:tcBorders>
            <w:shd w:val="clear" w:color="auto" w:fill="auto"/>
            <w:vAlign w:val="center"/>
            <w:hideMark/>
          </w:tcPr>
          <w:p w14:paraId="2DE52767" w14:textId="77777777" w:rsidR="00D301A3" w:rsidRPr="00870E77" w:rsidRDefault="00D301A3" w:rsidP="00DC54F7">
            <w:pPr>
              <w:spacing w:after="0" w:line="240" w:lineRule="auto"/>
              <w:jc w:val="both"/>
              <w:rPr>
                <w:rFonts w:ascii="Arial" w:eastAsia="Times New Roman" w:hAnsi="Arial" w:cs="Arial"/>
                <w:color w:val="000000"/>
                <w:sz w:val="18"/>
                <w:szCs w:val="18"/>
                <w:lang w:eastAsia="en-GB"/>
              </w:rPr>
            </w:pPr>
            <w:r w:rsidRPr="00870E77">
              <w:rPr>
                <w:rFonts w:ascii="Arial" w:eastAsia="Times New Roman" w:hAnsi="Arial" w:cs="Arial"/>
                <w:color w:val="000000"/>
                <w:sz w:val="18"/>
                <w:szCs w:val="18"/>
                <w:lang w:eastAsia="en-GB"/>
              </w:rPr>
              <w:t>16-24</w:t>
            </w:r>
          </w:p>
        </w:tc>
        <w:tc>
          <w:tcPr>
            <w:tcW w:w="1276" w:type="dxa"/>
            <w:tcBorders>
              <w:top w:val="nil"/>
              <w:left w:val="nil"/>
              <w:bottom w:val="single" w:sz="4" w:space="0" w:color="A6A6A6"/>
              <w:right w:val="single" w:sz="4" w:space="0" w:color="A6A6A6"/>
            </w:tcBorders>
            <w:shd w:val="clear" w:color="000000" w:fill="F2F2F2"/>
            <w:noWrap/>
            <w:vAlign w:val="bottom"/>
            <w:hideMark/>
          </w:tcPr>
          <w:p w14:paraId="4B25766E"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2.59%</w:t>
            </w:r>
          </w:p>
        </w:tc>
        <w:tc>
          <w:tcPr>
            <w:tcW w:w="1134" w:type="dxa"/>
            <w:tcBorders>
              <w:top w:val="nil"/>
              <w:left w:val="nil"/>
              <w:bottom w:val="single" w:sz="4" w:space="0" w:color="A6A6A6"/>
              <w:right w:val="single" w:sz="4" w:space="0" w:color="A6A6A6"/>
            </w:tcBorders>
            <w:shd w:val="clear" w:color="000000" w:fill="F2F2F2"/>
            <w:noWrap/>
            <w:vAlign w:val="bottom"/>
            <w:hideMark/>
          </w:tcPr>
          <w:p w14:paraId="773D35E5"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8</w:t>
            </w:r>
          </w:p>
        </w:tc>
      </w:tr>
      <w:tr w:rsidR="00D301A3" w:rsidRPr="00870E77" w14:paraId="125C56C4" w14:textId="77777777" w:rsidTr="00AA572E">
        <w:trPr>
          <w:trHeight w:val="30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5AC726EB" w14:textId="77777777" w:rsidR="00D301A3" w:rsidRPr="00870E77" w:rsidRDefault="00D301A3" w:rsidP="00DC54F7">
            <w:pPr>
              <w:spacing w:after="0" w:line="240" w:lineRule="auto"/>
              <w:jc w:val="both"/>
              <w:rPr>
                <w:rFonts w:ascii="Arial" w:eastAsia="Times New Roman" w:hAnsi="Arial" w:cs="Arial"/>
                <w:color w:val="000000"/>
                <w:sz w:val="18"/>
                <w:szCs w:val="18"/>
                <w:lang w:eastAsia="en-GB"/>
              </w:rPr>
            </w:pPr>
            <w:r w:rsidRPr="00870E77">
              <w:rPr>
                <w:rFonts w:ascii="Arial" w:eastAsia="Times New Roman" w:hAnsi="Arial" w:cs="Arial"/>
                <w:color w:val="000000"/>
                <w:sz w:val="18"/>
                <w:szCs w:val="18"/>
                <w:lang w:eastAsia="en-GB"/>
              </w:rPr>
              <w:t>3</w:t>
            </w:r>
          </w:p>
        </w:tc>
        <w:tc>
          <w:tcPr>
            <w:tcW w:w="5556" w:type="dxa"/>
            <w:gridSpan w:val="2"/>
            <w:tcBorders>
              <w:top w:val="single" w:sz="4" w:space="0" w:color="A6A6A6"/>
              <w:left w:val="nil"/>
              <w:bottom w:val="single" w:sz="4" w:space="0" w:color="A6A6A6"/>
              <w:right w:val="single" w:sz="4" w:space="0" w:color="A6A6A6"/>
            </w:tcBorders>
            <w:shd w:val="clear" w:color="auto" w:fill="auto"/>
            <w:vAlign w:val="center"/>
            <w:hideMark/>
          </w:tcPr>
          <w:p w14:paraId="252CEC07" w14:textId="77777777" w:rsidR="00D301A3" w:rsidRPr="00870E77" w:rsidRDefault="00D301A3" w:rsidP="00DC54F7">
            <w:pPr>
              <w:spacing w:after="0" w:line="240" w:lineRule="auto"/>
              <w:jc w:val="both"/>
              <w:rPr>
                <w:rFonts w:ascii="Arial" w:eastAsia="Times New Roman" w:hAnsi="Arial" w:cs="Arial"/>
                <w:color w:val="000000"/>
                <w:sz w:val="18"/>
                <w:szCs w:val="18"/>
                <w:lang w:eastAsia="en-GB"/>
              </w:rPr>
            </w:pPr>
            <w:r w:rsidRPr="00870E77">
              <w:rPr>
                <w:rFonts w:ascii="Arial" w:eastAsia="Times New Roman" w:hAnsi="Arial" w:cs="Arial"/>
                <w:color w:val="000000"/>
                <w:sz w:val="18"/>
                <w:szCs w:val="18"/>
                <w:lang w:eastAsia="en-GB"/>
              </w:rPr>
              <w:t>25-34</w:t>
            </w:r>
          </w:p>
        </w:tc>
        <w:tc>
          <w:tcPr>
            <w:tcW w:w="1276" w:type="dxa"/>
            <w:tcBorders>
              <w:top w:val="nil"/>
              <w:left w:val="nil"/>
              <w:bottom w:val="single" w:sz="4" w:space="0" w:color="A6A6A6"/>
              <w:right w:val="single" w:sz="4" w:space="0" w:color="A6A6A6"/>
            </w:tcBorders>
            <w:shd w:val="clear" w:color="000000" w:fill="F2F2F2"/>
            <w:noWrap/>
            <w:vAlign w:val="bottom"/>
            <w:hideMark/>
          </w:tcPr>
          <w:p w14:paraId="47678D2D"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6.80%</w:t>
            </w:r>
          </w:p>
        </w:tc>
        <w:tc>
          <w:tcPr>
            <w:tcW w:w="1134" w:type="dxa"/>
            <w:tcBorders>
              <w:top w:val="nil"/>
              <w:left w:val="nil"/>
              <w:bottom w:val="single" w:sz="4" w:space="0" w:color="A6A6A6"/>
              <w:right w:val="single" w:sz="4" w:space="0" w:color="A6A6A6"/>
            </w:tcBorders>
            <w:shd w:val="clear" w:color="000000" w:fill="F2F2F2"/>
            <w:noWrap/>
            <w:vAlign w:val="bottom"/>
            <w:hideMark/>
          </w:tcPr>
          <w:p w14:paraId="6A9FDFDF"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21</w:t>
            </w:r>
          </w:p>
        </w:tc>
      </w:tr>
      <w:tr w:rsidR="00D301A3" w:rsidRPr="00870E77" w14:paraId="193B7414" w14:textId="77777777" w:rsidTr="00AA572E">
        <w:trPr>
          <w:trHeight w:val="30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7B794E21" w14:textId="77777777" w:rsidR="00D301A3" w:rsidRPr="00870E77" w:rsidRDefault="00D301A3" w:rsidP="00DC54F7">
            <w:pPr>
              <w:spacing w:after="0" w:line="240" w:lineRule="auto"/>
              <w:jc w:val="both"/>
              <w:rPr>
                <w:rFonts w:ascii="Arial" w:eastAsia="Times New Roman" w:hAnsi="Arial" w:cs="Arial"/>
                <w:color w:val="000000"/>
                <w:sz w:val="18"/>
                <w:szCs w:val="18"/>
                <w:lang w:eastAsia="en-GB"/>
              </w:rPr>
            </w:pPr>
            <w:r w:rsidRPr="00870E77">
              <w:rPr>
                <w:rFonts w:ascii="Arial" w:eastAsia="Times New Roman" w:hAnsi="Arial" w:cs="Arial"/>
                <w:color w:val="000000"/>
                <w:sz w:val="18"/>
                <w:szCs w:val="18"/>
                <w:lang w:eastAsia="en-GB"/>
              </w:rPr>
              <w:t>4</w:t>
            </w:r>
          </w:p>
        </w:tc>
        <w:tc>
          <w:tcPr>
            <w:tcW w:w="5556" w:type="dxa"/>
            <w:gridSpan w:val="2"/>
            <w:tcBorders>
              <w:top w:val="single" w:sz="4" w:space="0" w:color="A6A6A6"/>
              <w:left w:val="nil"/>
              <w:bottom w:val="single" w:sz="4" w:space="0" w:color="A6A6A6"/>
              <w:right w:val="single" w:sz="4" w:space="0" w:color="A6A6A6"/>
            </w:tcBorders>
            <w:shd w:val="clear" w:color="auto" w:fill="auto"/>
            <w:vAlign w:val="center"/>
            <w:hideMark/>
          </w:tcPr>
          <w:p w14:paraId="77B73947" w14:textId="77777777" w:rsidR="00D301A3" w:rsidRPr="00870E77" w:rsidRDefault="00D301A3" w:rsidP="00DC54F7">
            <w:pPr>
              <w:spacing w:after="0" w:line="240" w:lineRule="auto"/>
              <w:jc w:val="both"/>
              <w:rPr>
                <w:rFonts w:ascii="Arial" w:eastAsia="Times New Roman" w:hAnsi="Arial" w:cs="Arial"/>
                <w:color w:val="000000"/>
                <w:sz w:val="18"/>
                <w:szCs w:val="18"/>
                <w:lang w:eastAsia="en-GB"/>
              </w:rPr>
            </w:pPr>
            <w:r w:rsidRPr="00870E77">
              <w:rPr>
                <w:rFonts w:ascii="Arial" w:eastAsia="Times New Roman" w:hAnsi="Arial" w:cs="Arial"/>
                <w:color w:val="000000"/>
                <w:sz w:val="18"/>
                <w:szCs w:val="18"/>
                <w:lang w:eastAsia="en-GB"/>
              </w:rPr>
              <w:t>35-44</w:t>
            </w:r>
          </w:p>
        </w:tc>
        <w:tc>
          <w:tcPr>
            <w:tcW w:w="1276" w:type="dxa"/>
            <w:tcBorders>
              <w:top w:val="nil"/>
              <w:left w:val="nil"/>
              <w:bottom w:val="single" w:sz="4" w:space="0" w:color="A6A6A6"/>
              <w:right w:val="single" w:sz="4" w:space="0" w:color="A6A6A6"/>
            </w:tcBorders>
            <w:shd w:val="clear" w:color="000000" w:fill="F2F2F2"/>
            <w:noWrap/>
            <w:vAlign w:val="bottom"/>
            <w:hideMark/>
          </w:tcPr>
          <w:p w14:paraId="4B1D4B35"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15.86%</w:t>
            </w:r>
          </w:p>
        </w:tc>
        <w:tc>
          <w:tcPr>
            <w:tcW w:w="1134" w:type="dxa"/>
            <w:tcBorders>
              <w:top w:val="nil"/>
              <w:left w:val="nil"/>
              <w:bottom w:val="single" w:sz="4" w:space="0" w:color="A6A6A6"/>
              <w:right w:val="single" w:sz="4" w:space="0" w:color="A6A6A6"/>
            </w:tcBorders>
            <w:shd w:val="clear" w:color="000000" w:fill="F2F2F2"/>
            <w:noWrap/>
            <w:vAlign w:val="bottom"/>
            <w:hideMark/>
          </w:tcPr>
          <w:p w14:paraId="3DDB182E"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49</w:t>
            </w:r>
          </w:p>
        </w:tc>
      </w:tr>
      <w:tr w:rsidR="00D301A3" w:rsidRPr="00870E77" w14:paraId="701FA1A0"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8E0F52A" w14:textId="77777777" w:rsidR="00D301A3" w:rsidRPr="00870E77" w:rsidRDefault="00D301A3" w:rsidP="00DC54F7">
            <w:pPr>
              <w:spacing w:after="0" w:line="240" w:lineRule="auto"/>
              <w:jc w:val="both"/>
              <w:rPr>
                <w:rFonts w:ascii="Arial" w:eastAsia="Times New Roman" w:hAnsi="Arial" w:cs="Arial"/>
                <w:color w:val="000000"/>
                <w:sz w:val="18"/>
                <w:szCs w:val="18"/>
                <w:lang w:eastAsia="en-GB"/>
              </w:rPr>
            </w:pPr>
            <w:r w:rsidRPr="00870E77">
              <w:rPr>
                <w:rFonts w:ascii="Arial" w:eastAsia="Times New Roman" w:hAnsi="Arial" w:cs="Arial"/>
                <w:color w:val="000000"/>
                <w:sz w:val="18"/>
                <w:szCs w:val="18"/>
                <w:lang w:eastAsia="en-GB"/>
              </w:rPr>
              <w:t>5</w:t>
            </w:r>
          </w:p>
        </w:tc>
        <w:tc>
          <w:tcPr>
            <w:tcW w:w="5556" w:type="dxa"/>
            <w:gridSpan w:val="2"/>
            <w:tcBorders>
              <w:top w:val="single" w:sz="4" w:space="0" w:color="A6A6A6"/>
              <w:left w:val="nil"/>
              <w:bottom w:val="single" w:sz="4" w:space="0" w:color="A6A6A6"/>
              <w:right w:val="single" w:sz="4" w:space="0" w:color="A6A6A6"/>
            </w:tcBorders>
            <w:shd w:val="clear" w:color="auto" w:fill="auto"/>
            <w:vAlign w:val="center"/>
            <w:hideMark/>
          </w:tcPr>
          <w:p w14:paraId="092A1431" w14:textId="77777777" w:rsidR="00D301A3" w:rsidRPr="00870E77" w:rsidRDefault="00D301A3" w:rsidP="00DC54F7">
            <w:pPr>
              <w:spacing w:after="0" w:line="240" w:lineRule="auto"/>
              <w:jc w:val="both"/>
              <w:rPr>
                <w:rFonts w:ascii="Arial" w:eastAsia="Times New Roman" w:hAnsi="Arial" w:cs="Arial"/>
                <w:color w:val="000000"/>
                <w:sz w:val="18"/>
                <w:szCs w:val="18"/>
                <w:lang w:eastAsia="en-GB"/>
              </w:rPr>
            </w:pPr>
            <w:r w:rsidRPr="00870E77">
              <w:rPr>
                <w:rFonts w:ascii="Arial" w:eastAsia="Times New Roman" w:hAnsi="Arial" w:cs="Arial"/>
                <w:color w:val="000000"/>
                <w:sz w:val="18"/>
                <w:szCs w:val="18"/>
                <w:lang w:eastAsia="en-GB"/>
              </w:rPr>
              <w:t>45-54</w:t>
            </w:r>
          </w:p>
        </w:tc>
        <w:tc>
          <w:tcPr>
            <w:tcW w:w="1276" w:type="dxa"/>
            <w:tcBorders>
              <w:top w:val="nil"/>
              <w:left w:val="nil"/>
              <w:bottom w:val="single" w:sz="4" w:space="0" w:color="A6A6A6"/>
              <w:right w:val="single" w:sz="4" w:space="0" w:color="A6A6A6"/>
            </w:tcBorders>
            <w:shd w:val="clear" w:color="000000" w:fill="F2F2F2"/>
            <w:noWrap/>
            <w:vAlign w:val="bottom"/>
            <w:hideMark/>
          </w:tcPr>
          <w:p w14:paraId="2E555DAA"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28.80%</w:t>
            </w:r>
          </w:p>
        </w:tc>
        <w:tc>
          <w:tcPr>
            <w:tcW w:w="1134" w:type="dxa"/>
            <w:tcBorders>
              <w:top w:val="nil"/>
              <w:left w:val="nil"/>
              <w:bottom w:val="single" w:sz="4" w:space="0" w:color="A6A6A6"/>
              <w:right w:val="single" w:sz="4" w:space="0" w:color="A6A6A6"/>
            </w:tcBorders>
            <w:shd w:val="clear" w:color="000000" w:fill="F2F2F2"/>
            <w:noWrap/>
            <w:vAlign w:val="bottom"/>
            <w:hideMark/>
          </w:tcPr>
          <w:p w14:paraId="1BF70FA3"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89</w:t>
            </w:r>
          </w:p>
        </w:tc>
      </w:tr>
      <w:tr w:rsidR="00D301A3" w:rsidRPr="00870E77" w14:paraId="48AE0835" w14:textId="77777777" w:rsidTr="00AA572E">
        <w:trPr>
          <w:trHeight w:val="30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088866EC" w14:textId="77777777" w:rsidR="00D301A3" w:rsidRPr="00870E77" w:rsidRDefault="00D301A3" w:rsidP="00DC54F7">
            <w:pPr>
              <w:spacing w:after="0" w:line="240" w:lineRule="auto"/>
              <w:jc w:val="both"/>
              <w:rPr>
                <w:rFonts w:ascii="Arial" w:eastAsia="Times New Roman" w:hAnsi="Arial" w:cs="Arial"/>
                <w:color w:val="000000"/>
                <w:sz w:val="18"/>
                <w:szCs w:val="18"/>
                <w:lang w:eastAsia="en-GB"/>
              </w:rPr>
            </w:pPr>
            <w:r w:rsidRPr="00870E77">
              <w:rPr>
                <w:rFonts w:ascii="Arial" w:eastAsia="Times New Roman" w:hAnsi="Arial" w:cs="Arial"/>
                <w:color w:val="000000"/>
                <w:sz w:val="18"/>
                <w:szCs w:val="18"/>
                <w:lang w:eastAsia="en-GB"/>
              </w:rPr>
              <w:t>6</w:t>
            </w:r>
          </w:p>
        </w:tc>
        <w:tc>
          <w:tcPr>
            <w:tcW w:w="5556" w:type="dxa"/>
            <w:gridSpan w:val="2"/>
            <w:tcBorders>
              <w:top w:val="single" w:sz="4" w:space="0" w:color="A6A6A6"/>
              <w:left w:val="nil"/>
              <w:bottom w:val="single" w:sz="4" w:space="0" w:color="A6A6A6"/>
              <w:right w:val="single" w:sz="4" w:space="0" w:color="A6A6A6"/>
            </w:tcBorders>
            <w:shd w:val="clear" w:color="auto" w:fill="auto"/>
            <w:vAlign w:val="center"/>
            <w:hideMark/>
          </w:tcPr>
          <w:p w14:paraId="73E11F82" w14:textId="77777777" w:rsidR="00D301A3" w:rsidRPr="00870E77" w:rsidRDefault="00D301A3" w:rsidP="00DC54F7">
            <w:pPr>
              <w:spacing w:after="0" w:line="240" w:lineRule="auto"/>
              <w:jc w:val="both"/>
              <w:rPr>
                <w:rFonts w:ascii="Arial" w:eastAsia="Times New Roman" w:hAnsi="Arial" w:cs="Arial"/>
                <w:color w:val="000000"/>
                <w:sz w:val="18"/>
                <w:szCs w:val="18"/>
                <w:lang w:eastAsia="en-GB"/>
              </w:rPr>
            </w:pPr>
            <w:r w:rsidRPr="00870E77">
              <w:rPr>
                <w:rFonts w:ascii="Arial" w:eastAsia="Times New Roman" w:hAnsi="Arial" w:cs="Arial"/>
                <w:color w:val="000000"/>
                <w:sz w:val="18"/>
                <w:szCs w:val="18"/>
                <w:lang w:eastAsia="en-GB"/>
              </w:rPr>
              <w:t>55-64</w:t>
            </w:r>
          </w:p>
        </w:tc>
        <w:tc>
          <w:tcPr>
            <w:tcW w:w="1276" w:type="dxa"/>
            <w:tcBorders>
              <w:top w:val="nil"/>
              <w:left w:val="nil"/>
              <w:bottom w:val="single" w:sz="4" w:space="0" w:color="A6A6A6"/>
              <w:right w:val="single" w:sz="4" w:space="0" w:color="A6A6A6"/>
            </w:tcBorders>
            <w:shd w:val="clear" w:color="000000" w:fill="F2F2F2"/>
            <w:noWrap/>
            <w:vAlign w:val="bottom"/>
            <w:hideMark/>
          </w:tcPr>
          <w:p w14:paraId="1E82ABC6"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26.54%</w:t>
            </w:r>
          </w:p>
        </w:tc>
        <w:tc>
          <w:tcPr>
            <w:tcW w:w="1134" w:type="dxa"/>
            <w:tcBorders>
              <w:top w:val="nil"/>
              <w:left w:val="nil"/>
              <w:bottom w:val="single" w:sz="4" w:space="0" w:color="A6A6A6"/>
              <w:right w:val="single" w:sz="4" w:space="0" w:color="A6A6A6"/>
            </w:tcBorders>
            <w:shd w:val="clear" w:color="000000" w:fill="F2F2F2"/>
            <w:noWrap/>
            <w:vAlign w:val="bottom"/>
            <w:hideMark/>
          </w:tcPr>
          <w:p w14:paraId="160493FD"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82</w:t>
            </w:r>
          </w:p>
        </w:tc>
      </w:tr>
      <w:tr w:rsidR="00D301A3" w:rsidRPr="00870E77" w14:paraId="7C580CE2" w14:textId="77777777" w:rsidTr="00AA572E">
        <w:trPr>
          <w:trHeight w:val="30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577DB50A" w14:textId="77777777" w:rsidR="00D301A3" w:rsidRPr="00870E77" w:rsidRDefault="00D301A3" w:rsidP="00DC54F7">
            <w:pPr>
              <w:spacing w:after="0" w:line="240" w:lineRule="auto"/>
              <w:jc w:val="both"/>
              <w:rPr>
                <w:rFonts w:ascii="Arial" w:eastAsia="Times New Roman" w:hAnsi="Arial" w:cs="Arial"/>
                <w:color w:val="000000"/>
                <w:sz w:val="18"/>
                <w:szCs w:val="18"/>
                <w:lang w:eastAsia="en-GB"/>
              </w:rPr>
            </w:pPr>
            <w:r w:rsidRPr="00870E77">
              <w:rPr>
                <w:rFonts w:ascii="Arial" w:eastAsia="Times New Roman" w:hAnsi="Arial" w:cs="Arial"/>
                <w:color w:val="000000"/>
                <w:sz w:val="18"/>
                <w:szCs w:val="18"/>
                <w:lang w:eastAsia="en-GB"/>
              </w:rPr>
              <w:t>7</w:t>
            </w:r>
          </w:p>
        </w:tc>
        <w:tc>
          <w:tcPr>
            <w:tcW w:w="5556" w:type="dxa"/>
            <w:gridSpan w:val="2"/>
            <w:tcBorders>
              <w:top w:val="single" w:sz="4" w:space="0" w:color="A6A6A6"/>
              <w:left w:val="nil"/>
              <w:bottom w:val="single" w:sz="4" w:space="0" w:color="A6A6A6"/>
              <w:right w:val="single" w:sz="4" w:space="0" w:color="A6A6A6"/>
            </w:tcBorders>
            <w:shd w:val="clear" w:color="auto" w:fill="auto"/>
            <w:vAlign w:val="center"/>
            <w:hideMark/>
          </w:tcPr>
          <w:p w14:paraId="0C972E08" w14:textId="77777777" w:rsidR="00D301A3" w:rsidRPr="00870E77" w:rsidRDefault="00D301A3" w:rsidP="00DC54F7">
            <w:pPr>
              <w:spacing w:after="0" w:line="240" w:lineRule="auto"/>
              <w:jc w:val="both"/>
              <w:rPr>
                <w:rFonts w:ascii="Arial" w:eastAsia="Times New Roman" w:hAnsi="Arial" w:cs="Arial"/>
                <w:color w:val="000000"/>
                <w:sz w:val="18"/>
                <w:szCs w:val="18"/>
                <w:lang w:eastAsia="en-GB"/>
              </w:rPr>
            </w:pPr>
            <w:r w:rsidRPr="00870E77">
              <w:rPr>
                <w:rFonts w:ascii="Arial" w:eastAsia="Times New Roman" w:hAnsi="Arial" w:cs="Arial"/>
                <w:color w:val="000000"/>
                <w:sz w:val="18"/>
                <w:szCs w:val="18"/>
                <w:lang w:eastAsia="en-GB"/>
              </w:rPr>
              <w:t>65+</w:t>
            </w:r>
          </w:p>
        </w:tc>
        <w:tc>
          <w:tcPr>
            <w:tcW w:w="1276" w:type="dxa"/>
            <w:tcBorders>
              <w:top w:val="nil"/>
              <w:left w:val="nil"/>
              <w:bottom w:val="single" w:sz="4" w:space="0" w:color="A6A6A6"/>
              <w:right w:val="single" w:sz="4" w:space="0" w:color="A6A6A6"/>
            </w:tcBorders>
            <w:shd w:val="clear" w:color="000000" w:fill="F2F2F2"/>
            <w:noWrap/>
            <w:vAlign w:val="bottom"/>
            <w:hideMark/>
          </w:tcPr>
          <w:p w14:paraId="1ECDA3E1"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18.77%</w:t>
            </w:r>
          </w:p>
        </w:tc>
        <w:tc>
          <w:tcPr>
            <w:tcW w:w="1134" w:type="dxa"/>
            <w:tcBorders>
              <w:top w:val="nil"/>
              <w:left w:val="nil"/>
              <w:bottom w:val="single" w:sz="4" w:space="0" w:color="A6A6A6"/>
              <w:right w:val="single" w:sz="4" w:space="0" w:color="A6A6A6"/>
            </w:tcBorders>
            <w:shd w:val="clear" w:color="000000" w:fill="F2F2F2"/>
            <w:noWrap/>
            <w:vAlign w:val="bottom"/>
            <w:hideMark/>
          </w:tcPr>
          <w:p w14:paraId="5214A057"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58</w:t>
            </w:r>
          </w:p>
        </w:tc>
      </w:tr>
      <w:tr w:rsidR="00D301A3" w:rsidRPr="00870E77" w14:paraId="092FCBC2"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58F32DCA" w14:textId="77777777" w:rsidR="00D301A3" w:rsidRPr="00870E77" w:rsidRDefault="00D301A3" w:rsidP="00DC54F7">
            <w:pPr>
              <w:spacing w:after="0" w:line="240" w:lineRule="auto"/>
              <w:jc w:val="both"/>
              <w:rPr>
                <w:rFonts w:ascii="Arial" w:eastAsia="Times New Roman" w:hAnsi="Arial" w:cs="Arial"/>
                <w:color w:val="000000"/>
                <w:sz w:val="18"/>
                <w:szCs w:val="18"/>
                <w:lang w:eastAsia="en-GB"/>
              </w:rPr>
            </w:pPr>
            <w:r w:rsidRPr="00870E77">
              <w:rPr>
                <w:rFonts w:ascii="Arial" w:eastAsia="Times New Roman" w:hAnsi="Arial" w:cs="Arial"/>
                <w:color w:val="000000"/>
                <w:sz w:val="18"/>
                <w:szCs w:val="18"/>
                <w:lang w:eastAsia="en-GB"/>
              </w:rPr>
              <w:t>8</w:t>
            </w:r>
          </w:p>
        </w:tc>
        <w:tc>
          <w:tcPr>
            <w:tcW w:w="5556" w:type="dxa"/>
            <w:gridSpan w:val="2"/>
            <w:tcBorders>
              <w:top w:val="single" w:sz="4" w:space="0" w:color="A6A6A6"/>
              <w:left w:val="nil"/>
              <w:bottom w:val="single" w:sz="4" w:space="0" w:color="A6A6A6"/>
              <w:right w:val="single" w:sz="4" w:space="0" w:color="A6A6A6"/>
            </w:tcBorders>
            <w:shd w:val="clear" w:color="auto" w:fill="auto"/>
            <w:vAlign w:val="center"/>
            <w:hideMark/>
          </w:tcPr>
          <w:p w14:paraId="0430899C" w14:textId="77777777" w:rsidR="00D301A3" w:rsidRPr="00870E77" w:rsidRDefault="00D301A3" w:rsidP="00DC54F7">
            <w:pPr>
              <w:spacing w:after="0" w:line="240" w:lineRule="auto"/>
              <w:jc w:val="both"/>
              <w:rPr>
                <w:rFonts w:ascii="Arial" w:eastAsia="Times New Roman" w:hAnsi="Arial" w:cs="Arial"/>
                <w:color w:val="000000"/>
                <w:sz w:val="18"/>
                <w:szCs w:val="18"/>
                <w:lang w:eastAsia="en-GB"/>
              </w:rPr>
            </w:pPr>
            <w:r w:rsidRPr="00870E77">
              <w:rPr>
                <w:rFonts w:ascii="Arial" w:eastAsia="Times New Roman" w:hAnsi="Arial" w:cs="Arial"/>
                <w:color w:val="000000"/>
                <w:sz w:val="18"/>
                <w:szCs w:val="18"/>
                <w:lang w:eastAsia="en-GB"/>
              </w:rPr>
              <w:t>Prefer not to say</w:t>
            </w:r>
          </w:p>
        </w:tc>
        <w:tc>
          <w:tcPr>
            <w:tcW w:w="1276" w:type="dxa"/>
            <w:tcBorders>
              <w:top w:val="nil"/>
              <w:left w:val="nil"/>
              <w:bottom w:val="single" w:sz="4" w:space="0" w:color="A6A6A6"/>
              <w:right w:val="single" w:sz="4" w:space="0" w:color="A6A6A6"/>
            </w:tcBorders>
            <w:shd w:val="clear" w:color="000000" w:fill="F2F2F2"/>
            <w:noWrap/>
            <w:vAlign w:val="bottom"/>
            <w:hideMark/>
          </w:tcPr>
          <w:p w14:paraId="551BD660"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0.65%</w:t>
            </w:r>
          </w:p>
        </w:tc>
        <w:tc>
          <w:tcPr>
            <w:tcW w:w="1134" w:type="dxa"/>
            <w:tcBorders>
              <w:top w:val="nil"/>
              <w:left w:val="nil"/>
              <w:bottom w:val="single" w:sz="4" w:space="0" w:color="A6A6A6"/>
              <w:right w:val="single" w:sz="4" w:space="0" w:color="A6A6A6"/>
            </w:tcBorders>
            <w:shd w:val="clear" w:color="000000" w:fill="F2F2F2"/>
            <w:noWrap/>
            <w:vAlign w:val="bottom"/>
            <w:hideMark/>
          </w:tcPr>
          <w:p w14:paraId="27FBFD43"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2</w:t>
            </w:r>
          </w:p>
        </w:tc>
      </w:tr>
      <w:tr w:rsidR="00D301A3" w:rsidRPr="00870E77" w14:paraId="3CF7B95E" w14:textId="77777777" w:rsidTr="00AA572E">
        <w:trPr>
          <w:trHeight w:val="290"/>
        </w:trPr>
        <w:tc>
          <w:tcPr>
            <w:tcW w:w="5240"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09A891D8" w14:textId="77777777" w:rsidR="00D301A3" w:rsidRPr="00870E77" w:rsidRDefault="00D301A3" w:rsidP="00DC54F7">
            <w:pPr>
              <w:spacing w:after="0" w:line="240" w:lineRule="auto"/>
              <w:jc w:val="both"/>
              <w:rPr>
                <w:rFonts w:ascii="Arial" w:eastAsia="Times New Roman" w:hAnsi="Arial" w:cs="Arial"/>
                <w:b/>
                <w:bCs/>
                <w:color w:val="000000"/>
                <w:lang w:eastAsia="en-GB"/>
              </w:rPr>
            </w:pPr>
            <w:r w:rsidRPr="00870E77">
              <w:rPr>
                <w:rFonts w:ascii="Arial" w:eastAsia="Times New Roman" w:hAnsi="Arial" w:cs="Arial"/>
                <w:b/>
                <w:bCs/>
                <w:color w:val="000000"/>
                <w:lang w:eastAsia="en-GB"/>
              </w:rPr>
              <w:t> </w:t>
            </w:r>
          </w:p>
        </w:tc>
        <w:tc>
          <w:tcPr>
            <w:tcW w:w="1276" w:type="dxa"/>
            <w:tcBorders>
              <w:top w:val="nil"/>
              <w:left w:val="nil"/>
              <w:bottom w:val="single" w:sz="4" w:space="0" w:color="A6A6A6"/>
              <w:right w:val="single" w:sz="4" w:space="0" w:color="A6A6A6"/>
            </w:tcBorders>
            <w:shd w:val="clear" w:color="000000" w:fill="F2F2F2"/>
            <w:vAlign w:val="center"/>
            <w:hideMark/>
          </w:tcPr>
          <w:p w14:paraId="22EFC012" w14:textId="77777777" w:rsidR="00D301A3" w:rsidRPr="00870E77" w:rsidRDefault="00D301A3" w:rsidP="00DC54F7">
            <w:pPr>
              <w:spacing w:after="0" w:line="240" w:lineRule="auto"/>
              <w:jc w:val="both"/>
              <w:rPr>
                <w:rFonts w:ascii="Arial" w:eastAsia="Times New Roman" w:hAnsi="Arial" w:cs="Arial"/>
                <w:b/>
                <w:bCs/>
                <w:color w:val="000000"/>
                <w:sz w:val="18"/>
                <w:szCs w:val="18"/>
                <w:lang w:eastAsia="en-GB"/>
              </w:rPr>
            </w:pPr>
            <w:r w:rsidRPr="00870E77">
              <w:rPr>
                <w:rFonts w:ascii="Arial" w:eastAsia="Times New Roman" w:hAnsi="Arial" w:cs="Arial"/>
                <w:b/>
                <w:bCs/>
                <w:color w:val="000000"/>
                <w:sz w:val="18"/>
                <w:szCs w:val="18"/>
                <w:lang w:eastAsia="en-GB"/>
              </w:rPr>
              <w:t xml:space="preserve">Total </w:t>
            </w:r>
          </w:p>
        </w:tc>
        <w:tc>
          <w:tcPr>
            <w:tcW w:w="1276" w:type="dxa"/>
            <w:tcBorders>
              <w:top w:val="nil"/>
              <w:left w:val="nil"/>
              <w:bottom w:val="single" w:sz="4" w:space="0" w:color="A6A6A6"/>
              <w:right w:val="single" w:sz="4" w:space="0" w:color="A6A6A6"/>
            </w:tcBorders>
            <w:shd w:val="clear" w:color="000000" w:fill="F2F2F2"/>
            <w:noWrap/>
            <w:vAlign w:val="bottom"/>
            <w:hideMark/>
          </w:tcPr>
          <w:p w14:paraId="62A839A5"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100.00%</w:t>
            </w:r>
          </w:p>
        </w:tc>
        <w:tc>
          <w:tcPr>
            <w:tcW w:w="1134" w:type="dxa"/>
            <w:tcBorders>
              <w:top w:val="nil"/>
              <w:left w:val="nil"/>
              <w:bottom w:val="single" w:sz="4" w:space="0" w:color="A6A6A6"/>
              <w:right w:val="single" w:sz="4" w:space="0" w:color="A6A6A6"/>
            </w:tcBorders>
            <w:shd w:val="clear" w:color="000000" w:fill="F2F2F2"/>
            <w:noWrap/>
            <w:vAlign w:val="bottom"/>
            <w:hideMark/>
          </w:tcPr>
          <w:p w14:paraId="6AB8573D"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309</w:t>
            </w:r>
          </w:p>
        </w:tc>
      </w:tr>
      <w:tr w:rsidR="00D301A3" w:rsidRPr="00870E77" w14:paraId="4D818196" w14:textId="77777777" w:rsidTr="00AA572E">
        <w:trPr>
          <w:trHeight w:val="290"/>
        </w:trPr>
        <w:tc>
          <w:tcPr>
            <w:tcW w:w="5240" w:type="dxa"/>
            <w:gridSpan w:val="2"/>
            <w:vMerge/>
            <w:tcBorders>
              <w:top w:val="single" w:sz="4" w:space="0" w:color="A6A6A6"/>
              <w:left w:val="single" w:sz="4" w:space="0" w:color="A6A6A6"/>
              <w:bottom w:val="single" w:sz="4" w:space="0" w:color="A6A6A6"/>
              <w:right w:val="single" w:sz="4" w:space="0" w:color="A6A6A6"/>
            </w:tcBorders>
            <w:vAlign w:val="center"/>
            <w:hideMark/>
          </w:tcPr>
          <w:p w14:paraId="068F2ECF" w14:textId="77777777" w:rsidR="00D301A3" w:rsidRPr="00870E77" w:rsidRDefault="00D301A3" w:rsidP="00DC54F7">
            <w:pPr>
              <w:spacing w:after="0" w:line="240" w:lineRule="auto"/>
              <w:jc w:val="both"/>
              <w:rPr>
                <w:rFonts w:ascii="Arial" w:eastAsia="Times New Roman" w:hAnsi="Arial" w:cs="Arial"/>
                <w:b/>
                <w:bCs/>
                <w:color w:val="000000"/>
                <w:lang w:eastAsia="en-GB"/>
              </w:rPr>
            </w:pPr>
          </w:p>
        </w:tc>
        <w:tc>
          <w:tcPr>
            <w:tcW w:w="1276" w:type="dxa"/>
            <w:tcBorders>
              <w:top w:val="nil"/>
              <w:left w:val="nil"/>
              <w:bottom w:val="single" w:sz="4" w:space="0" w:color="A6A6A6"/>
              <w:right w:val="single" w:sz="4" w:space="0" w:color="A6A6A6"/>
            </w:tcBorders>
            <w:shd w:val="clear" w:color="000000" w:fill="F2F2F2"/>
            <w:vAlign w:val="center"/>
            <w:hideMark/>
          </w:tcPr>
          <w:p w14:paraId="3E035EA4" w14:textId="77777777" w:rsidR="00D301A3" w:rsidRPr="00870E77" w:rsidRDefault="00D301A3" w:rsidP="00DC54F7">
            <w:pPr>
              <w:spacing w:after="0" w:line="240" w:lineRule="auto"/>
              <w:jc w:val="both"/>
              <w:rPr>
                <w:rFonts w:ascii="Arial" w:eastAsia="Times New Roman" w:hAnsi="Arial" w:cs="Arial"/>
                <w:b/>
                <w:bCs/>
                <w:color w:val="000000"/>
                <w:sz w:val="18"/>
                <w:szCs w:val="18"/>
                <w:lang w:eastAsia="en-GB"/>
              </w:rPr>
            </w:pPr>
            <w:r w:rsidRPr="00870E77">
              <w:rPr>
                <w:rFonts w:ascii="Arial" w:eastAsia="Times New Roman" w:hAnsi="Arial" w:cs="Arial"/>
                <w:b/>
                <w:bCs/>
                <w:color w:val="000000"/>
                <w:sz w:val="18"/>
                <w:szCs w:val="18"/>
                <w:lang w:eastAsia="en-GB"/>
              </w:rPr>
              <w:t>Skipped</w:t>
            </w:r>
          </w:p>
        </w:tc>
        <w:tc>
          <w:tcPr>
            <w:tcW w:w="1276" w:type="dxa"/>
            <w:tcBorders>
              <w:top w:val="nil"/>
              <w:left w:val="nil"/>
              <w:bottom w:val="single" w:sz="4" w:space="0" w:color="A6A6A6"/>
              <w:right w:val="single" w:sz="4" w:space="0" w:color="A6A6A6"/>
            </w:tcBorders>
            <w:shd w:val="clear" w:color="000000" w:fill="F2F2F2"/>
            <w:noWrap/>
            <w:vAlign w:val="bottom"/>
            <w:hideMark/>
          </w:tcPr>
          <w:p w14:paraId="22529033"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 </w:t>
            </w:r>
          </w:p>
        </w:tc>
        <w:tc>
          <w:tcPr>
            <w:tcW w:w="1134" w:type="dxa"/>
            <w:tcBorders>
              <w:top w:val="nil"/>
              <w:left w:val="nil"/>
              <w:bottom w:val="single" w:sz="4" w:space="0" w:color="A6A6A6"/>
              <w:right w:val="single" w:sz="4" w:space="0" w:color="A6A6A6"/>
            </w:tcBorders>
            <w:shd w:val="clear" w:color="000000" w:fill="F2F2F2"/>
            <w:noWrap/>
            <w:vAlign w:val="bottom"/>
            <w:hideMark/>
          </w:tcPr>
          <w:p w14:paraId="5472A71A" w14:textId="77777777" w:rsidR="00D301A3" w:rsidRPr="00870E77" w:rsidRDefault="00D301A3" w:rsidP="00DC54F7">
            <w:pPr>
              <w:spacing w:after="0" w:line="240" w:lineRule="auto"/>
              <w:jc w:val="both"/>
              <w:rPr>
                <w:rFonts w:ascii="Calibri" w:eastAsia="Times New Roman" w:hAnsi="Calibri" w:cs="Calibri"/>
                <w:color w:val="000000"/>
                <w:lang w:eastAsia="en-GB"/>
              </w:rPr>
            </w:pPr>
            <w:r w:rsidRPr="00870E77">
              <w:rPr>
                <w:rFonts w:ascii="Calibri" w:eastAsia="Times New Roman" w:hAnsi="Calibri" w:cs="Calibri"/>
                <w:color w:val="000000"/>
                <w:lang w:eastAsia="en-GB"/>
              </w:rPr>
              <w:t>2</w:t>
            </w:r>
          </w:p>
        </w:tc>
      </w:tr>
    </w:tbl>
    <w:p w14:paraId="7C553BF8" w14:textId="50308889" w:rsidR="00D301A3" w:rsidRDefault="00D301A3" w:rsidP="00DC54F7">
      <w:pPr>
        <w:spacing w:after="0"/>
        <w:jc w:val="both"/>
        <w:rPr>
          <w:rFonts w:ascii="Arial" w:hAnsi="Arial" w:cs="Arial"/>
        </w:rPr>
      </w:pPr>
    </w:p>
    <w:p w14:paraId="70F2D61E" w14:textId="2F0D41BF" w:rsidR="001B5C8F" w:rsidRDefault="001B5C8F" w:rsidP="00DC54F7">
      <w:pPr>
        <w:spacing w:after="0"/>
        <w:jc w:val="both"/>
        <w:rPr>
          <w:rFonts w:ascii="Arial" w:hAnsi="Arial" w:cs="Arial"/>
        </w:rPr>
      </w:pPr>
    </w:p>
    <w:p w14:paraId="6CEA892F" w14:textId="77777777" w:rsidR="00D301A3" w:rsidRPr="00C3421A" w:rsidRDefault="00D301A3" w:rsidP="00DC54F7">
      <w:pPr>
        <w:spacing w:after="0"/>
        <w:jc w:val="both"/>
        <w:rPr>
          <w:rFonts w:ascii="Arial" w:hAnsi="Arial" w:cs="Arial"/>
          <w:b/>
          <w:bCs/>
        </w:rPr>
      </w:pPr>
      <w:r w:rsidRPr="00C3421A">
        <w:rPr>
          <w:rFonts w:ascii="Arial" w:hAnsi="Arial" w:cs="Arial"/>
          <w:b/>
          <w:bCs/>
        </w:rPr>
        <w:t>23. Which term best describes your gender? Please tick one</w:t>
      </w:r>
      <w:r>
        <w:rPr>
          <w:rFonts w:ascii="Arial" w:hAnsi="Arial" w:cs="Arial"/>
          <w:b/>
          <w:bCs/>
        </w:rPr>
        <w:t>.</w:t>
      </w:r>
    </w:p>
    <w:p w14:paraId="7C9DC615" w14:textId="77777777" w:rsidR="00D301A3" w:rsidRDefault="00D301A3" w:rsidP="00DC54F7">
      <w:pPr>
        <w:spacing w:after="0"/>
        <w:jc w:val="both"/>
        <w:rPr>
          <w:rFonts w:ascii="Arial" w:hAnsi="Arial" w:cs="Arial"/>
        </w:rPr>
      </w:pPr>
    </w:p>
    <w:tbl>
      <w:tblPr>
        <w:tblW w:w="9224" w:type="dxa"/>
        <w:tblLook w:val="04A0" w:firstRow="1" w:lastRow="0" w:firstColumn="1" w:lastColumn="0" w:noHBand="0" w:noVBand="1"/>
      </w:tblPr>
      <w:tblGrid>
        <w:gridCol w:w="1537"/>
        <w:gridCol w:w="1537"/>
        <w:gridCol w:w="2875"/>
        <w:gridCol w:w="1134"/>
        <w:gridCol w:w="1134"/>
        <w:gridCol w:w="1007"/>
      </w:tblGrid>
      <w:tr w:rsidR="00D301A3" w:rsidRPr="00E975CB" w14:paraId="455A1473" w14:textId="77777777" w:rsidTr="00AA572E">
        <w:trPr>
          <w:trHeight w:val="272"/>
        </w:trPr>
        <w:tc>
          <w:tcPr>
            <w:tcW w:w="1537" w:type="dxa"/>
            <w:tcBorders>
              <w:top w:val="single" w:sz="4" w:space="0" w:color="A6A6A6"/>
              <w:left w:val="single" w:sz="4" w:space="0" w:color="A6A6A6"/>
              <w:bottom w:val="single" w:sz="4" w:space="0" w:color="A6A6A6"/>
              <w:right w:val="nil"/>
            </w:tcBorders>
            <w:shd w:val="clear" w:color="000000" w:fill="ACB9CA"/>
            <w:noWrap/>
            <w:vAlign w:val="center"/>
            <w:hideMark/>
          </w:tcPr>
          <w:p w14:paraId="4BC51721" w14:textId="77777777" w:rsidR="00D301A3" w:rsidRPr="00E975CB" w:rsidRDefault="00D301A3" w:rsidP="00DC54F7">
            <w:pPr>
              <w:spacing w:after="0" w:line="240" w:lineRule="auto"/>
              <w:jc w:val="both"/>
              <w:rPr>
                <w:rFonts w:ascii="Arial" w:eastAsia="Times New Roman" w:hAnsi="Arial" w:cs="Arial"/>
                <w:b/>
                <w:bCs/>
                <w:color w:val="FFFFFF"/>
                <w:sz w:val="21"/>
                <w:szCs w:val="21"/>
                <w:lang w:eastAsia="en-GB"/>
              </w:rPr>
            </w:pPr>
            <w:r w:rsidRPr="00E975CB">
              <w:rPr>
                <w:rFonts w:ascii="Arial" w:eastAsia="Times New Roman" w:hAnsi="Arial" w:cs="Arial"/>
                <w:b/>
                <w:bCs/>
                <w:color w:val="FFFFFF"/>
                <w:sz w:val="21"/>
                <w:szCs w:val="21"/>
                <w:lang w:eastAsia="en-GB"/>
              </w:rPr>
              <w:t> </w:t>
            </w:r>
          </w:p>
        </w:tc>
        <w:tc>
          <w:tcPr>
            <w:tcW w:w="1537" w:type="dxa"/>
            <w:tcBorders>
              <w:top w:val="single" w:sz="4" w:space="0" w:color="A6A6A6"/>
              <w:left w:val="nil"/>
              <w:bottom w:val="single" w:sz="4" w:space="0" w:color="A6A6A6"/>
              <w:right w:val="nil"/>
            </w:tcBorders>
            <w:shd w:val="clear" w:color="000000" w:fill="ACB9CA"/>
            <w:noWrap/>
            <w:vAlign w:val="center"/>
            <w:hideMark/>
          </w:tcPr>
          <w:p w14:paraId="63151E6F" w14:textId="77777777" w:rsidR="00D301A3" w:rsidRPr="00E975CB" w:rsidRDefault="00D301A3" w:rsidP="00DC54F7">
            <w:pPr>
              <w:spacing w:after="0" w:line="240" w:lineRule="auto"/>
              <w:jc w:val="both"/>
              <w:rPr>
                <w:rFonts w:ascii="Arial" w:eastAsia="Times New Roman" w:hAnsi="Arial" w:cs="Arial"/>
                <w:b/>
                <w:bCs/>
                <w:color w:val="FFFFFF"/>
                <w:sz w:val="21"/>
                <w:szCs w:val="21"/>
                <w:lang w:eastAsia="en-GB"/>
              </w:rPr>
            </w:pPr>
            <w:r w:rsidRPr="00E975CB">
              <w:rPr>
                <w:rFonts w:ascii="Arial" w:eastAsia="Times New Roman" w:hAnsi="Arial" w:cs="Arial"/>
                <w:b/>
                <w:bCs/>
                <w:color w:val="FFFFFF"/>
                <w:sz w:val="21"/>
                <w:szCs w:val="21"/>
                <w:lang w:eastAsia="en-GB"/>
              </w:rPr>
              <w:t> </w:t>
            </w:r>
          </w:p>
        </w:tc>
        <w:tc>
          <w:tcPr>
            <w:tcW w:w="2875" w:type="dxa"/>
            <w:tcBorders>
              <w:top w:val="single" w:sz="4" w:space="0" w:color="A6A6A6"/>
              <w:left w:val="nil"/>
              <w:bottom w:val="single" w:sz="4" w:space="0" w:color="A6A6A6"/>
              <w:right w:val="nil"/>
            </w:tcBorders>
            <w:shd w:val="clear" w:color="000000" w:fill="ACB9CA"/>
            <w:noWrap/>
            <w:vAlign w:val="center"/>
            <w:hideMark/>
          </w:tcPr>
          <w:p w14:paraId="3C3D732C" w14:textId="77777777" w:rsidR="00D301A3" w:rsidRPr="00E975CB" w:rsidRDefault="00D301A3" w:rsidP="00DC54F7">
            <w:pPr>
              <w:spacing w:after="0" w:line="240" w:lineRule="auto"/>
              <w:jc w:val="both"/>
              <w:rPr>
                <w:rFonts w:ascii="Arial" w:eastAsia="Times New Roman" w:hAnsi="Arial" w:cs="Arial"/>
                <w:b/>
                <w:bCs/>
                <w:color w:val="FFFFFF"/>
                <w:sz w:val="21"/>
                <w:szCs w:val="21"/>
                <w:lang w:eastAsia="en-GB"/>
              </w:rPr>
            </w:pPr>
            <w:r w:rsidRPr="00E975CB">
              <w:rPr>
                <w:rFonts w:ascii="Arial" w:eastAsia="Times New Roman" w:hAnsi="Arial" w:cs="Arial"/>
                <w:b/>
                <w:bCs/>
                <w:color w:val="FFFFFF"/>
                <w:sz w:val="21"/>
                <w:szCs w:val="21"/>
                <w:lang w:eastAsia="en-GB"/>
              </w:rPr>
              <w:t> </w:t>
            </w:r>
          </w:p>
        </w:tc>
        <w:tc>
          <w:tcPr>
            <w:tcW w:w="1134" w:type="dxa"/>
            <w:tcBorders>
              <w:top w:val="single" w:sz="4" w:space="0" w:color="A6A6A6"/>
              <w:left w:val="nil"/>
              <w:bottom w:val="single" w:sz="4" w:space="0" w:color="A6A6A6"/>
              <w:right w:val="nil"/>
            </w:tcBorders>
            <w:shd w:val="clear" w:color="000000" w:fill="ACB9CA"/>
            <w:noWrap/>
            <w:vAlign w:val="center"/>
            <w:hideMark/>
          </w:tcPr>
          <w:p w14:paraId="1C783993" w14:textId="77777777" w:rsidR="00D301A3" w:rsidRPr="00E975CB" w:rsidRDefault="00D301A3" w:rsidP="00DC54F7">
            <w:pPr>
              <w:spacing w:after="0" w:line="240" w:lineRule="auto"/>
              <w:jc w:val="both"/>
              <w:rPr>
                <w:rFonts w:ascii="Arial" w:eastAsia="Times New Roman" w:hAnsi="Arial" w:cs="Arial"/>
                <w:b/>
                <w:bCs/>
                <w:color w:val="FFFFFF"/>
                <w:sz w:val="21"/>
                <w:szCs w:val="21"/>
                <w:lang w:eastAsia="en-GB"/>
              </w:rPr>
            </w:pPr>
            <w:r w:rsidRPr="00E975CB">
              <w:rPr>
                <w:rFonts w:ascii="Arial" w:eastAsia="Times New Roman" w:hAnsi="Arial" w:cs="Arial"/>
                <w:b/>
                <w:bCs/>
                <w:color w:val="FFFFFF"/>
                <w:sz w:val="21"/>
                <w:szCs w:val="21"/>
                <w:lang w:eastAsia="en-GB"/>
              </w:rPr>
              <w:t> </w:t>
            </w:r>
          </w:p>
        </w:tc>
        <w:tc>
          <w:tcPr>
            <w:tcW w:w="2141" w:type="dxa"/>
            <w:gridSpan w:val="2"/>
            <w:tcBorders>
              <w:top w:val="single" w:sz="4" w:space="0" w:color="A6A6A6"/>
              <w:left w:val="nil"/>
              <w:bottom w:val="single" w:sz="4" w:space="0" w:color="A6A6A6"/>
              <w:right w:val="single" w:sz="4" w:space="0" w:color="A6A6A6"/>
            </w:tcBorders>
            <w:shd w:val="clear" w:color="000000" w:fill="ACB9CA"/>
            <w:noWrap/>
            <w:vAlign w:val="center"/>
            <w:hideMark/>
          </w:tcPr>
          <w:p w14:paraId="4B458708" w14:textId="77777777" w:rsidR="00D301A3" w:rsidRPr="00E975CB" w:rsidRDefault="00D301A3" w:rsidP="00DC54F7">
            <w:pPr>
              <w:spacing w:after="0" w:line="240" w:lineRule="auto"/>
              <w:jc w:val="both"/>
              <w:rPr>
                <w:rFonts w:ascii="Arial" w:eastAsia="Times New Roman" w:hAnsi="Arial" w:cs="Arial"/>
                <w:b/>
                <w:bCs/>
                <w:color w:val="FFFFFF"/>
                <w:sz w:val="21"/>
                <w:szCs w:val="21"/>
                <w:lang w:eastAsia="en-GB"/>
              </w:rPr>
            </w:pPr>
            <w:r w:rsidRPr="00E975CB">
              <w:rPr>
                <w:rFonts w:ascii="Arial" w:eastAsia="Times New Roman" w:hAnsi="Arial" w:cs="Arial"/>
                <w:b/>
                <w:bCs/>
                <w:color w:val="FFFFFF"/>
                <w:sz w:val="21"/>
                <w:szCs w:val="21"/>
                <w:lang w:eastAsia="en-GB"/>
              </w:rPr>
              <w:t>Response</w:t>
            </w:r>
          </w:p>
        </w:tc>
      </w:tr>
      <w:tr w:rsidR="00D301A3" w:rsidRPr="00E975CB" w14:paraId="1A2A8666" w14:textId="77777777" w:rsidTr="00AA572E">
        <w:trPr>
          <w:trHeight w:val="272"/>
        </w:trPr>
        <w:tc>
          <w:tcPr>
            <w:tcW w:w="7083" w:type="dxa"/>
            <w:gridSpan w:val="4"/>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2BCF51C0" w14:textId="77777777" w:rsidR="00D301A3" w:rsidRPr="00E975CB" w:rsidRDefault="00D301A3" w:rsidP="00DC54F7">
            <w:pPr>
              <w:spacing w:after="0" w:line="240" w:lineRule="auto"/>
              <w:jc w:val="both"/>
              <w:rPr>
                <w:rFonts w:ascii="Arial" w:eastAsia="Times New Roman" w:hAnsi="Arial" w:cs="Arial"/>
                <w:b/>
                <w:bCs/>
                <w:color w:val="000000"/>
                <w:sz w:val="18"/>
                <w:szCs w:val="18"/>
                <w:lang w:eastAsia="en-GB"/>
              </w:rPr>
            </w:pPr>
            <w:r w:rsidRPr="00E975CB">
              <w:rPr>
                <w:rFonts w:ascii="Arial" w:eastAsia="Times New Roman" w:hAnsi="Arial" w:cs="Arial"/>
                <w:b/>
                <w:bCs/>
                <w:color w:val="000000"/>
                <w:sz w:val="18"/>
                <w:szCs w:val="18"/>
                <w:lang w:eastAsia="en-GB"/>
              </w:rPr>
              <w:t> </w:t>
            </w:r>
          </w:p>
        </w:tc>
        <w:tc>
          <w:tcPr>
            <w:tcW w:w="1134" w:type="dxa"/>
            <w:tcBorders>
              <w:top w:val="nil"/>
              <w:left w:val="nil"/>
              <w:bottom w:val="single" w:sz="4" w:space="0" w:color="A6A6A6"/>
              <w:right w:val="single" w:sz="4" w:space="0" w:color="A6A6A6"/>
            </w:tcBorders>
            <w:shd w:val="clear" w:color="000000" w:fill="F2F2F2"/>
            <w:noWrap/>
            <w:vAlign w:val="center"/>
            <w:hideMark/>
          </w:tcPr>
          <w:p w14:paraId="4B8001A6" w14:textId="77777777" w:rsidR="00D301A3" w:rsidRPr="00E975CB" w:rsidRDefault="00D301A3" w:rsidP="00DC54F7">
            <w:pPr>
              <w:spacing w:after="0" w:line="240" w:lineRule="auto"/>
              <w:jc w:val="both"/>
              <w:rPr>
                <w:rFonts w:ascii="Arial" w:eastAsia="Times New Roman" w:hAnsi="Arial" w:cs="Arial"/>
                <w:b/>
                <w:bCs/>
                <w:color w:val="000000"/>
                <w:sz w:val="18"/>
                <w:szCs w:val="18"/>
                <w:lang w:eastAsia="en-GB"/>
              </w:rPr>
            </w:pPr>
            <w:r w:rsidRPr="00E975CB">
              <w:rPr>
                <w:rFonts w:ascii="Arial" w:eastAsia="Times New Roman" w:hAnsi="Arial" w:cs="Arial"/>
                <w:b/>
                <w:bCs/>
                <w:color w:val="000000"/>
                <w:sz w:val="18"/>
                <w:szCs w:val="18"/>
                <w:lang w:eastAsia="en-GB"/>
              </w:rPr>
              <w:t>Percent</w:t>
            </w:r>
          </w:p>
        </w:tc>
        <w:tc>
          <w:tcPr>
            <w:tcW w:w="1007" w:type="dxa"/>
            <w:tcBorders>
              <w:top w:val="nil"/>
              <w:left w:val="nil"/>
              <w:bottom w:val="single" w:sz="4" w:space="0" w:color="A6A6A6"/>
              <w:right w:val="single" w:sz="4" w:space="0" w:color="A6A6A6"/>
            </w:tcBorders>
            <w:shd w:val="clear" w:color="000000" w:fill="F2F2F2"/>
            <w:noWrap/>
            <w:vAlign w:val="center"/>
            <w:hideMark/>
          </w:tcPr>
          <w:p w14:paraId="08CC216A" w14:textId="77777777" w:rsidR="00D301A3" w:rsidRPr="00E975CB" w:rsidRDefault="00D301A3" w:rsidP="00DC54F7">
            <w:pPr>
              <w:spacing w:after="0" w:line="240" w:lineRule="auto"/>
              <w:jc w:val="both"/>
              <w:rPr>
                <w:rFonts w:ascii="Arial" w:eastAsia="Times New Roman" w:hAnsi="Arial" w:cs="Arial"/>
                <w:b/>
                <w:bCs/>
                <w:color w:val="000000"/>
                <w:sz w:val="18"/>
                <w:szCs w:val="18"/>
                <w:lang w:eastAsia="en-GB"/>
              </w:rPr>
            </w:pPr>
            <w:r w:rsidRPr="00E975CB">
              <w:rPr>
                <w:rFonts w:ascii="Arial" w:eastAsia="Times New Roman" w:hAnsi="Arial" w:cs="Arial"/>
                <w:b/>
                <w:bCs/>
                <w:color w:val="000000"/>
                <w:sz w:val="18"/>
                <w:szCs w:val="18"/>
                <w:lang w:eastAsia="en-GB"/>
              </w:rPr>
              <w:t>Total</w:t>
            </w:r>
          </w:p>
        </w:tc>
      </w:tr>
      <w:tr w:rsidR="00D301A3" w:rsidRPr="00E975CB" w14:paraId="292999E9" w14:textId="77777777" w:rsidTr="00AA572E">
        <w:trPr>
          <w:trHeight w:val="272"/>
        </w:trPr>
        <w:tc>
          <w:tcPr>
            <w:tcW w:w="1537" w:type="dxa"/>
            <w:tcBorders>
              <w:top w:val="nil"/>
              <w:left w:val="single" w:sz="4" w:space="0" w:color="A6A6A6"/>
              <w:bottom w:val="single" w:sz="4" w:space="0" w:color="A6A6A6"/>
              <w:right w:val="single" w:sz="4" w:space="0" w:color="A6A6A6"/>
            </w:tcBorders>
            <w:shd w:val="clear" w:color="000000" w:fill="F2F2F2"/>
            <w:vAlign w:val="center"/>
            <w:hideMark/>
          </w:tcPr>
          <w:p w14:paraId="6C72B4F1" w14:textId="77777777" w:rsidR="00D301A3" w:rsidRPr="00E975CB" w:rsidRDefault="00D301A3" w:rsidP="00DC54F7">
            <w:pPr>
              <w:spacing w:after="0" w:line="240" w:lineRule="auto"/>
              <w:jc w:val="both"/>
              <w:rPr>
                <w:rFonts w:ascii="Arial" w:eastAsia="Times New Roman" w:hAnsi="Arial" w:cs="Arial"/>
                <w:color w:val="000000"/>
                <w:sz w:val="18"/>
                <w:szCs w:val="18"/>
                <w:lang w:eastAsia="en-GB"/>
              </w:rPr>
            </w:pPr>
            <w:r w:rsidRPr="00E975CB">
              <w:rPr>
                <w:rFonts w:ascii="Arial" w:eastAsia="Times New Roman" w:hAnsi="Arial" w:cs="Arial"/>
                <w:color w:val="000000"/>
                <w:sz w:val="18"/>
                <w:szCs w:val="18"/>
                <w:lang w:eastAsia="en-GB"/>
              </w:rPr>
              <w:t>1</w:t>
            </w:r>
          </w:p>
        </w:tc>
        <w:tc>
          <w:tcPr>
            <w:tcW w:w="5546" w:type="dxa"/>
            <w:gridSpan w:val="3"/>
            <w:tcBorders>
              <w:top w:val="single" w:sz="4" w:space="0" w:color="A6A6A6"/>
              <w:left w:val="nil"/>
              <w:bottom w:val="single" w:sz="4" w:space="0" w:color="A6A6A6"/>
              <w:right w:val="single" w:sz="4" w:space="0" w:color="A6A6A6"/>
            </w:tcBorders>
            <w:shd w:val="clear" w:color="auto" w:fill="auto"/>
            <w:vAlign w:val="center"/>
            <w:hideMark/>
          </w:tcPr>
          <w:p w14:paraId="0794831B" w14:textId="77777777" w:rsidR="00D301A3" w:rsidRPr="00E975CB" w:rsidRDefault="00D301A3" w:rsidP="00DC54F7">
            <w:pPr>
              <w:spacing w:after="0" w:line="240" w:lineRule="auto"/>
              <w:jc w:val="both"/>
              <w:rPr>
                <w:rFonts w:ascii="Arial" w:eastAsia="Times New Roman" w:hAnsi="Arial" w:cs="Arial"/>
                <w:color w:val="000000"/>
                <w:sz w:val="18"/>
                <w:szCs w:val="18"/>
                <w:lang w:eastAsia="en-GB"/>
              </w:rPr>
            </w:pPr>
            <w:r w:rsidRPr="00E975CB">
              <w:rPr>
                <w:rFonts w:ascii="Arial" w:eastAsia="Times New Roman" w:hAnsi="Arial" w:cs="Arial"/>
                <w:color w:val="000000"/>
                <w:sz w:val="18"/>
                <w:szCs w:val="18"/>
                <w:lang w:eastAsia="en-GB"/>
              </w:rPr>
              <w:t>Female</w:t>
            </w:r>
          </w:p>
        </w:tc>
        <w:tc>
          <w:tcPr>
            <w:tcW w:w="1134" w:type="dxa"/>
            <w:tcBorders>
              <w:top w:val="nil"/>
              <w:left w:val="nil"/>
              <w:bottom w:val="single" w:sz="4" w:space="0" w:color="A6A6A6"/>
              <w:right w:val="single" w:sz="4" w:space="0" w:color="A6A6A6"/>
            </w:tcBorders>
            <w:shd w:val="clear" w:color="000000" w:fill="F2F2F2"/>
            <w:noWrap/>
            <w:vAlign w:val="bottom"/>
            <w:hideMark/>
          </w:tcPr>
          <w:p w14:paraId="67765888" w14:textId="77777777" w:rsidR="00D301A3" w:rsidRPr="00E975CB" w:rsidRDefault="00D301A3" w:rsidP="00DC54F7">
            <w:pPr>
              <w:spacing w:after="0" w:line="240" w:lineRule="auto"/>
              <w:jc w:val="both"/>
              <w:rPr>
                <w:rFonts w:ascii="Calibri" w:eastAsia="Times New Roman" w:hAnsi="Calibri" w:cs="Calibri"/>
                <w:color w:val="000000"/>
                <w:lang w:eastAsia="en-GB"/>
              </w:rPr>
            </w:pPr>
            <w:r w:rsidRPr="00E975CB">
              <w:rPr>
                <w:rFonts w:ascii="Calibri" w:eastAsia="Times New Roman" w:hAnsi="Calibri" w:cs="Calibri"/>
                <w:color w:val="000000"/>
                <w:lang w:eastAsia="en-GB"/>
              </w:rPr>
              <w:t>80.19%</w:t>
            </w:r>
          </w:p>
        </w:tc>
        <w:tc>
          <w:tcPr>
            <w:tcW w:w="1007" w:type="dxa"/>
            <w:tcBorders>
              <w:top w:val="nil"/>
              <w:left w:val="nil"/>
              <w:bottom w:val="single" w:sz="4" w:space="0" w:color="A6A6A6"/>
              <w:right w:val="single" w:sz="4" w:space="0" w:color="A6A6A6"/>
            </w:tcBorders>
            <w:shd w:val="clear" w:color="000000" w:fill="F2F2F2"/>
            <w:noWrap/>
            <w:vAlign w:val="bottom"/>
            <w:hideMark/>
          </w:tcPr>
          <w:p w14:paraId="422F3C50" w14:textId="77777777" w:rsidR="00D301A3" w:rsidRPr="00E975CB" w:rsidRDefault="00D301A3" w:rsidP="00DC54F7">
            <w:pPr>
              <w:spacing w:after="0" w:line="240" w:lineRule="auto"/>
              <w:jc w:val="both"/>
              <w:rPr>
                <w:rFonts w:ascii="Calibri" w:eastAsia="Times New Roman" w:hAnsi="Calibri" w:cs="Calibri"/>
                <w:color w:val="000000"/>
                <w:lang w:eastAsia="en-GB"/>
              </w:rPr>
            </w:pPr>
            <w:r w:rsidRPr="00E975CB">
              <w:rPr>
                <w:rFonts w:ascii="Calibri" w:eastAsia="Times New Roman" w:hAnsi="Calibri" w:cs="Calibri"/>
                <w:color w:val="000000"/>
                <w:lang w:eastAsia="en-GB"/>
              </w:rPr>
              <w:t>247</w:t>
            </w:r>
          </w:p>
        </w:tc>
      </w:tr>
      <w:tr w:rsidR="00D301A3" w:rsidRPr="00E975CB" w14:paraId="7C9C0C15" w14:textId="77777777" w:rsidTr="00AA572E">
        <w:trPr>
          <w:trHeight w:val="272"/>
        </w:trPr>
        <w:tc>
          <w:tcPr>
            <w:tcW w:w="1537" w:type="dxa"/>
            <w:tcBorders>
              <w:top w:val="nil"/>
              <w:left w:val="single" w:sz="4" w:space="0" w:color="A6A6A6"/>
              <w:bottom w:val="single" w:sz="4" w:space="0" w:color="A6A6A6"/>
              <w:right w:val="single" w:sz="4" w:space="0" w:color="A6A6A6"/>
            </w:tcBorders>
            <w:shd w:val="clear" w:color="000000" w:fill="F2F2F2"/>
            <w:vAlign w:val="center"/>
            <w:hideMark/>
          </w:tcPr>
          <w:p w14:paraId="3C02591C" w14:textId="77777777" w:rsidR="00D301A3" w:rsidRPr="00E975CB" w:rsidRDefault="00D301A3" w:rsidP="00DC54F7">
            <w:pPr>
              <w:spacing w:after="0" w:line="240" w:lineRule="auto"/>
              <w:jc w:val="both"/>
              <w:rPr>
                <w:rFonts w:ascii="Arial" w:eastAsia="Times New Roman" w:hAnsi="Arial" w:cs="Arial"/>
                <w:color w:val="000000"/>
                <w:sz w:val="18"/>
                <w:szCs w:val="18"/>
                <w:lang w:eastAsia="en-GB"/>
              </w:rPr>
            </w:pPr>
            <w:r w:rsidRPr="00E975CB">
              <w:rPr>
                <w:rFonts w:ascii="Arial" w:eastAsia="Times New Roman" w:hAnsi="Arial" w:cs="Arial"/>
                <w:color w:val="000000"/>
                <w:sz w:val="18"/>
                <w:szCs w:val="18"/>
                <w:lang w:eastAsia="en-GB"/>
              </w:rPr>
              <w:t>2</w:t>
            </w:r>
          </w:p>
        </w:tc>
        <w:tc>
          <w:tcPr>
            <w:tcW w:w="5546" w:type="dxa"/>
            <w:gridSpan w:val="3"/>
            <w:tcBorders>
              <w:top w:val="single" w:sz="4" w:space="0" w:color="A6A6A6"/>
              <w:left w:val="nil"/>
              <w:bottom w:val="single" w:sz="4" w:space="0" w:color="A6A6A6"/>
              <w:right w:val="single" w:sz="4" w:space="0" w:color="A6A6A6"/>
            </w:tcBorders>
            <w:shd w:val="clear" w:color="auto" w:fill="auto"/>
            <w:vAlign w:val="center"/>
            <w:hideMark/>
          </w:tcPr>
          <w:p w14:paraId="41215C5E" w14:textId="77777777" w:rsidR="00D301A3" w:rsidRPr="00E975CB" w:rsidRDefault="00D301A3" w:rsidP="00DC54F7">
            <w:pPr>
              <w:spacing w:after="0" w:line="240" w:lineRule="auto"/>
              <w:jc w:val="both"/>
              <w:rPr>
                <w:rFonts w:ascii="Arial" w:eastAsia="Times New Roman" w:hAnsi="Arial" w:cs="Arial"/>
                <w:color w:val="000000"/>
                <w:sz w:val="18"/>
                <w:szCs w:val="18"/>
                <w:lang w:eastAsia="en-GB"/>
              </w:rPr>
            </w:pPr>
            <w:r w:rsidRPr="00E975CB">
              <w:rPr>
                <w:rFonts w:ascii="Arial" w:eastAsia="Times New Roman" w:hAnsi="Arial" w:cs="Arial"/>
                <w:color w:val="000000"/>
                <w:sz w:val="18"/>
                <w:szCs w:val="18"/>
                <w:lang w:eastAsia="en-GB"/>
              </w:rPr>
              <w:t>Male</w:t>
            </w:r>
          </w:p>
        </w:tc>
        <w:tc>
          <w:tcPr>
            <w:tcW w:w="1134" w:type="dxa"/>
            <w:tcBorders>
              <w:top w:val="nil"/>
              <w:left w:val="nil"/>
              <w:bottom w:val="single" w:sz="4" w:space="0" w:color="A6A6A6"/>
              <w:right w:val="single" w:sz="4" w:space="0" w:color="A6A6A6"/>
            </w:tcBorders>
            <w:shd w:val="clear" w:color="000000" w:fill="F2F2F2"/>
            <w:noWrap/>
            <w:vAlign w:val="bottom"/>
            <w:hideMark/>
          </w:tcPr>
          <w:p w14:paraId="37E149C8" w14:textId="77777777" w:rsidR="00D301A3" w:rsidRPr="00E975CB" w:rsidRDefault="00D301A3" w:rsidP="00DC54F7">
            <w:pPr>
              <w:spacing w:after="0" w:line="240" w:lineRule="auto"/>
              <w:jc w:val="both"/>
              <w:rPr>
                <w:rFonts w:ascii="Calibri" w:eastAsia="Times New Roman" w:hAnsi="Calibri" w:cs="Calibri"/>
                <w:color w:val="000000"/>
                <w:lang w:eastAsia="en-GB"/>
              </w:rPr>
            </w:pPr>
            <w:r w:rsidRPr="00E975CB">
              <w:rPr>
                <w:rFonts w:ascii="Calibri" w:eastAsia="Times New Roman" w:hAnsi="Calibri" w:cs="Calibri"/>
                <w:color w:val="000000"/>
                <w:lang w:eastAsia="en-GB"/>
              </w:rPr>
              <w:t>17.86%</w:t>
            </w:r>
          </w:p>
        </w:tc>
        <w:tc>
          <w:tcPr>
            <w:tcW w:w="1007" w:type="dxa"/>
            <w:tcBorders>
              <w:top w:val="nil"/>
              <w:left w:val="nil"/>
              <w:bottom w:val="single" w:sz="4" w:space="0" w:color="A6A6A6"/>
              <w:right w:val="single" w:sz="4" w:space="0" w:color="A6A6A6"/>
            </w:tcBorders>
            <w:shd w:val="clear" w:color="000000" w:fill="F2F2F2"/>
            <w:noWrap/>
            <w:vAlign w:val="bottom"/>
            <w:hideMark/>
          </w:tcPr>
          <w:p w14:paraId="58D84A02" w14:textId="77777777" w:rsidR="00D301A3" w:rsidRPr="00E975CB" w:rsidRDefault="00D301A3" w:rsidP="00DC54F7">
            <w:pPr>
              <w:spacing w:after="0" w:line="240" w:lineRule="auto"/>
              <w:jc w:val="both"/>
              <w:rPr>
                <w:rFonts w:ascii="Calibri" w:eastAsia="Times New Roman" w:hAnsi="Calibri" w:cs="Calibri"/>
                <w:color w:val="000000"/>
                <w:lang w:eastAsia="en-GB"/>
              </w:rPr>
            </w:pPr>
            <w:r w:rsidRPr="00E975CB">
              <w:rPr>
                <w:rFonts w:ascii="Calibri" w:eastAsia="Times New Roman" w:hAnsi="Calibri" w:cs="Calibri"/>
                <w:color w:val="000000"/>
                <w:lang w:eastAsia="en-GB"/>
              </w:rPr>
              <w:t>55</w:t>
            </w:r>
          </w:p>
        </w:tc>
      </w:tr>
      <w:tr w:rsidR="00D301A3" w:rsidRPr="00E975CB" w14:paraId="41BAF80C" w14:textId="77777777" w:rsidTr="00AA572E">
        <w:trPr>
          <w:trHeight w:val="272"/>
        </w:trPr>
        <w:tc>
          <w:tcPr>
            <w:tcW w:w="1537" w:type="dxa"/>
            <w:tcBorders>
              <w:top w:val="nil"/>
              <w:left w:val="single" w:sz="4" w:space="0" w:color="A6A6A6"/>
              <w:bottom w:val="single" w:sz="4" w:space="0" w:color="A6A6A6"/>
              <w:right w:val="single" w:sz="4" w:space="0" w:color="A6A6A6"/>
            </w:tcBorders>
            <w:shd w:val="clear" w:color="000000" w:fill="F2F2F2"/>
            <w:vAlign w:val="center"/>
            <w:hideMark/>
          </w:tcPr>
          <w:p w14:paraId="09888E46" w14:textId="77777777" w:rsidR="00D301A3" w:rsidRPr="00E975CB" w:rsidRDefault="00D301A3" w:rsidP="00DC54F7">
            <w:pPr>
              <w:spacing w:after="0" w:line="240" w:lineRule="auto"/>
              <w:jc w:val="both"/>
              <w:rPr>
                <w:rFonts w:ascii="Arial" w:eastAsia="Times New Roman" w:hAnsi="Arial" w:cs="Arial"/>
                <w:color w:val="000000"/>
                <w:sz w:val="18"/>
                <w:szCs w:val="18"/>
                <w:lang w:eastAsia="en-GB"/>
              </w:rPr>
            </w:pPr>
            <w:r w:rsidRPr="00E975CB">
              <w:rPr>
                <w:rFonts w:ascii="Arial" w:eastAsia="Times New Roman" w:hAnsi="Arial" w:cs="Arial"/>
                <w:color w:val="000000"/>
                <w:sz w:val="18"/>
                <w:szCs w:val="18"/>
                <w:lang w:eastAsia="en-GB"/>
              </w:rPr>
              <w:t>3</w:t>
            </w:r>
          </w:p>
        </w:tc>
        <w:tc>
          <w:tcPr>
            <w:tcW w:w="5546" w:type="dxa"/>
            <w:gridSpan w:val="3"/>
            <w:tcBorders>
              <w:top w:val="single" w:sz="4" w:space="0" w:color="A6A6A6"/>
              <w:left w:val="nil"/>
              <w:bottom w:val="single" w:sz="4" w:space="0" w:color="A6A6A6"/>
              <w:right w:val="single" w:sz="4" w:space="0" w:color="A6A6A6"/>
            </w:tcBorders>
            <w:shd w:val="clear" w:color="auto" w:fill="auto"/>
            <w:vAlign w:val="center"/>
            <w:hideMark/>
          </w:tcPr>
          <w:p w14:paraId="56C6C4A8" w14:textId="77777777" w:rsidR="00D301A3" w:rsidRPr="00E975CB" w:rsidRDefault="00D301A3" w:rsidP="00DC54F7">
            <w:pPr>
              <w:spacing w:after="0" w:line="240" w:lineRule="auto"/>
              <w:jc w:val="both"/>
              <w:rPr>
                <w:rFonts w:ascii="Arial" w:eastAsia="Times New Roman" w:hAnsi="Arial" w:cs="Arial"/>
                <w:color w:val="000000"/>
                <w:sz w:val="18"/>
                <w:szCs w:val="18"/>
                <w:lang w:eastAsia="en-GB"/>
              </w:rPr>
            </w:pPr>
            <w:r w:rsidRPr="00E975CB">
              <w:rPr>
                <w:rFonts w:ascii="Arial" w:eastAsia="Times New Roman" w:hAnsi="Arial" w:cs="Arial"/>
                <w:color w:val="000000"/>
                <w:sz w:val="18"/>
                <w:szCs w:val="18"/>
                <w:lang w:eastAsia="en-GB"/>
              </w:rPr>
              <w:t>Non-binary</w:t>
            </w:r>
          </w:p>
        </w:tc>
        <w:tc>
          <w:tcPr>
            <w:tcW w:w="1134" w:type="dxa"/>
            <w:tcBorders>
              <w:top w:val="nil"/>
              <w:left w:val="nil"/>
              <w:bottom w:val="single" w:sz="4" w:space="0" w:color="A6A6A6"/>
              <w:right w:val="single" w:sz="4" w:space="0" w:color="A6A6A6"/>
            </w:tcBorders>
            <w:shd w:val="clear" w:color="000000" w:fill="F2F2F2"/>
            <w:noWrap/>
            <w:vAlign w:val="bottom"/>
            <w:hideMark/>
          </w:tcPr>
          <w:p w14:paraId="227347D6" w14:textId="77777777" w:rsidR="00D301A3" w:rsidRPr="00E975CB" w:rsidRDefault="00D301A3" w:rsidP="00DC54F7">
            <w:pPr>
              <w:spacing w:after="0" w:line="240" w:lineRule="auto"/>
              <w:jc w:val="both"/>
              <w:rPr>
                <w:rFonts w:ascii="Calibri" w:eastAsia="Times New Roman" w:hAnsi="Calibri" w:cs="Calibri"/>
                <w:color w:val="000000"/>
                <w:lang w:eastAsia="en-GB"/>
              </w:rPr>
            </w:pPr>
            <w:r w:rsidRPr="00E975CB">
              <w:rPr>
                <w:rFonts w:ascii="Calibri" w:eastAsia="Times New Roman" w:hAnsi="Calibri" w:cs="Calibri"/>
                <w:color w:val="000000"/>
                <w:lang w:eastAsia="en-GB"/>
              </w:rPr>
              <w:t>0.65%</w:t>
            </w:r>
          </w:p>
        </w:tc>
        <w:tc>
          <w:tcPr>
            <w:tcW w:w="1007" w:type="dxa"/>
            <w:tcBorders>
              <w:top w:val="nil"/>
              <w:left w:val="nil"/>
              <w:bottom w:val="single" w:sz="4" w:space="0" w:color="A6A6A6"/>
              <w:right w:val="single" w:sz="4" w:space="0" w:color="A6A6A6"/>
            </w:tcBorders>
            <w:shd w:val="clear" w:color="000000" w:fill="F2F2F2"/>
            <w:noWrap/>
            <w:vAlign w:val="bottom"/>
            <w:hideMark/>
          </w:tcPr>
          <w:p w14:paraId="3B979850" w14:textId="77777777" w:rsidR="00D301A3" w:rsidRPr="00E975CB" w:rsidRDefault="00D301A3" w:rsidP="00DC54F7">
            <w:pPr>
              <w:spacing w:after="0" w:line="240" w:lineRule="auto"/>
              <w:jc w:val="both"/>
              <w:rPr>
                <w:rFonts w:ascii="Calibri" w:eastAsia="Times New Roman" w:hAnsi="Calibri" w:cs="Calibri"/>
                <w:color w:val="000000"/>
                <w:lang w:eastAsia="en-GB"/>
              </w:rPr>
            </w:pPr>
            <w:r w:rsidRPr="00E975CB">
              <w:rPr>
                <w:rFonts w:ascii="Calibri" w:eastAsia="Times New Roman" w:hAnsi="Calibri" w:cs="Calibri"/>
                <w:color w:val="000000"/>
                <w:lang w:eastAsia="en-GB"/>
              </w:rPr>
              <w:t>2</w:t>
            </w:r>
          </w:p>
        </w:tc>
      </w:tr>
      <w:tr w:rsidR="00D301A3" w:rsidRPr="00E975CB" w14:paraId="1CA6AE8C" w14:textId="77777777" w:rsidTr="00AA572E">
        <w:trPr>
          <w:trHeight w:val="272"/>
        </w:trPr>
        <w:tc>
          <w:tcPr>
            <w:tcW w:w="1537" w:type="dxa"/>
            <w:tcBorders>
              <w:top w:val="nil"/>
              <w:left w:val="single" w:sz="4" w:space="0" w:color="A6A6A6"/>
              <w:bottom w:val="single" w:sz="4" w:space="0" w:color="A6A6A6"/>
              <w:right w:val="single" w:sz="4" w:space="0" w:color="A6A6A6"/>
            </w:tcBorders>
            <w:shd w:val="clear" w:color="000000" w:fill="F2F2F2"/>
            <w:vAlign w:val="center"/>
            <w:hideMark/>
          </w:tcPr>
          <w:p w14:paraId="3CCACD09" w14:textId="77777777" w:rsidR="00D301A3" w:rsidRPr="00E975CB" w:rsidRDefault="00D301A3" w:rsidP="00DC54F7">
            <w:pPr>
              <w:spacing w:after="0" w:line="240" w:lineRule="auto"/>
              <w:jc w:val="both"/>
              <w:rPr>
                <w:rFonts w:ascii="Arial" w:eastAsia="Times New Roman" w:hAnsi="Arial" w:cs="Arial"/>
                <w:color w:val="000000"/>
                <w:sz w:val="18"/>
                <w:szCs w:val="18"/>
                <w:lang w:eastAsia="en-GB"/>
              </w:rPr>
            </w:pPr>
            <w:r w:rsidRPr="00E975CB">
              <w:rPr>
                <w:rFonts w:ascii="Arial" w:eastAsia="Times New Roman" w:hAnsi="Arial" w:cs="Arial"/>
                <w:color w:val="000000"/>
                <w:sz w:val="18"/>
                <w:szCs w:val="18"/>
                <w:lang w:eastAsia="en-GB"/>
              </w:rPr>
              <w:t>4</w:t>
            </w:r>
          </w:p>
        </w:tc>
        <w:tc>
          <w:tcPr>
            <w:tcW w:w="5546" w:type="dxa"/>
            <w:gridSpan w:val="3"/>
            <w:tcBorders>
              <w:top w:val="single" w:sz="4" w:space="0" w:color="A6A6A6"/>
              <w:left w:val="nil"/>
              <w:bottom w:val="single" w:sz="4" w:space="0" w:color="A6A6A6"/>
              <w:right w:val="single" w:sz="4" w:space="0" w:color="A6A6A6"/>
            </w:tcBorders>
            <w:shd w:val="clear" w:color="auto" w:fill="auto"/>
            <w:vAlign w:val="center"/>
            <w:hideMark/>
          </w:tcPr>
          <w:p w14:paraId="4B28A298" w14:textId="77777777" w:rsidR="00D301A3" w:rsidRPr="00E975CB" w:rsidRDefault="00D301A3" w:rsidP="00DC54F7">
            <w:pPr>
              <w:spacing w:after="0" w:line="240" w:lineRule="auto"/>
              <w:jc w:val="both"/>
              <w:rPr>
                <w:rFonts w:ascii="Arial" w:eastAsia="Times New Roman" w:hAnsi="Arial" w:cs="Arial"/>
                <w:color w:val="000000"/>
                <w:sz w:val="18"/>
                <w:szCs w:val="18"/>
                <w:lang w:eastAsia="en-GB"/>
              </w:rPr>
            </w:pPr>
            <w:r w:rsidRPr="00E975CB">
              <w:rPr>
                <w:rFonts w:ascii="Arial" w:eastAsia="Times New Roman" w:hAnsi="Arial" w:cs="Arial"/>
                <w:color w:val="000000"/>
                <w:sz w:val="18"/>
                <w:szCs w:val="18"/>
                <w:lang w:eastAsia="en-GB"/>
              </w:rPr>
              <w:t>Prefer not to say</w:t>
            </w:r>
          </w:p>
        </w:tc>
        <w:tc>
          <w:tcPr>
            <w:tcW w:w="1134" w:type="dxa"/>
            <w:tcBorders>
              <w:top w:val="nil"/>
              <w:left w:val="nil"/>
              <w:bottom w:val="single" w:sz="4" w:space="0" w:color="A6A6A6"/>
              <w:right w:val="single" w:sz="4" w:space="0" w:color="A6A6A6"/>
            </w:tcBorders>
            <w:shd w:val="clear" w:color="000000" w:fill="F2F2F2"/>
            <w:noWrap/>
            <w:vAlign w:val="bottom"/>
            <w:hideMark/>
          </w:tcPr>
          <w:p w14:paraId="70F27044" w14:textId="77777777" w:rsidR="00D301A3" w:rsidRPr="00E975CB" w:rsidRDefault="00D301A3" w:rsidP="00DC54F7">
            <w:pPr>
              <w:spacing w:after="0" w:line="240" w:lineRule="auto"/>
              <w:jc w:val="both"/>
              <w:rPr>
                <w:rFonts w:ascii="Calibri" w:eastAsia="Times New Roman" w:hAnsi="Calibri" w:cs="Calibri"/>
                <w:color w:val="000000"/>
                <w:lang w:eastAsia="en-GB"/>
              </w:rPr>
            </w:pPr>
            <w:r w:rsidRPr="00E975CB">
              <w:rPr>
                <w:rFonts w:ascii="Calibri" w:eastAsia="Times New Roman" w:hAnsi="Calibri" w:cs="Calibri"/>
                <w:color w:val="000000"/>
                <w:lang w:eastAsia="en-GB"/>
              </w:rPr>
              <w:t>0.65%</w:t>
            </w:r>
          </w:p>
        </w:tc>
        <w:tc>
          <w:tcPr>
            <w:tcW w:w="1007" w:type="dxa"/>
            <w:tcBorders>
              <w:top w:val="nil"/>
              <w:left w:val="nil"/>
              <w:bottom w:val="single" w:sz="4" w:space="0" w:color="A6A6A6"/>
              <w:right w:val="single" w:sz="4" w:space="0" w:color="A6A6A6"/>
            </w:tcBorders>
            <w:shd w:val="clear" w:color="000000" w:fill="F2F2F2"/>
            <w:noWrap/>
            <w:vAlign w:val="bottom"/>
            <w:hideMark/>
          </w:tcPr>
          <w:p w14:paraId="1FC9D2BF" w14:textId="77777777" w:rsidR="00D301A3" w:rsidRPr="00E975CB" w:rsidRDefault="00D301A3" w:rsidP="00DC54F7">
            <w:pPr>
              <w:spacing w:after="0" w:line="240" w:lineRule="auto"/>
              <w:jc w:val="both"/>
              <w:rPr>
                <w:rFonts w:ascii="Calibri" w:eastAsia="Times New Roman" w:hAnsi="Calibri" w:cs="Calibri"/>
                <w:color w:val="000000"/>
                <w:lang w:eastAsia="en-GB"/>
              </w:rPr>
            </w:pPr>
            <w:r w:rsidRPr="00E975CB">
              <w:rPr>
                <w:rFonts w:ascii="Calibri" w:eastAsia="Times New Roman" w:hAnsi="Calibri" w:cs="Calibri"/>
                <w:color w:val="000000"/>
                <w:lang w:eastAsia="en-GB"/>
              </w:rPr>
              <w:t>2</w:t>
            </w:r>
          </w:p>
        </w:tc>
      </w:tr>
      <w:tr w:rsidR="00D301A3" w:rsidRPr="00E975CB" w14:paraId="38492786" w14:textId="77777777" w:rsidTr="00AA572E">
        <w:trPr>
          <w:trHeight w:val="272"/>
        </w:trPr>
        <w:tc>
          <w:tcPr>
            <w:tcW w:w="1537" w:type="dxa"/>
            <w:tcBorders>
              <w:top w:val="nil"/>
              <w:left w:val="single" w:sz="4" w:space="0" w:color="A6A6A6"/>
              <w:bottom w:val="single" w:sz="4" w:space="0" w:color="A6A6A6"/>
              <w:right w:val="single" w:sz="4" w:space="0" w:color="A6A6A6"/>
            </w:tcBorders>
            <w:shd w:val="clear" w:color="000000" w:fill="F2F2F2"/>
            <w:vAlign w:val="center"/>
            <w:hideMark/>
          </w:tcPr>
          <w:p w14:paraId="4182FD70" w14:textId="77777777" w:rsidR="00D301A3" w:rsidRPr="00E975CB" w:rsidRDefault="00D301A3" w:rsidP="00DC54F7">
            <w:pPr>
              <w:spacing w:after="0" w:line="240" w:lineRule="auto"/>
              <w:jc w:val="both"/>
              <w:rPr>
                <w:rFonts w:ascii="Arial" w:eastAsia="Times New Roman" w:hAnsi="Arial" w:cs="Arial"/>
                <w:color w:val="000000"/>
                <w:sz w:val="18"/>
                <w:szCs w:val="18"/>
                <w:lang w:eastAsia="en-GB"/>
              </w:rPr>
            </w:pPr>
            <w:r w:rsidRPr="00E975CB">
              <w:rPr>
                <w:rFonts w:ascii="Arial" w:eastAsia="Times New Roman" w:hAnsi="Arial" w:cs="Arial"/>
                <w:color w:val="000000"/>
                <w:sz w:val="18"/>
                <w:szCs w:val="18"/>
                <w:lang w:eastAsia="en-GB"/>
              </w:rPr>
              <w:t>5</w:t>
            </w:r>
          </w:p>
        </w:tc>
        <w:tc>
          <w:tcPr>
            <w:tcW w:w="5546" w:type="dxa"/>
            <w:gridSpan w:val="3"/>
            <w:tcBorders>
              <w:top w:val="single" w:sz="4" w:space="0" w:color="A6A6A6"/>
              <w:left w:val="nil"/>
              <w:bottom w:val="single" w:sz="4" w:space="0" w:color="A6A6A6"/>
              <w:right w:val="single" w:sz="4" w:space="0" w:color="A6A6A6"/>
            </w:tcBorders>
            <w:shd w:val="clear" w:color="auto" w:fill="auto"/>
            <w:vAlign w:val="center"/>
            <w:hideMark/>
          </w:tcPr>
          <w:p w14:paraId="59417D97" w14:textId="77777777" w:rsidR="00D301A3" w:rsidRPr="00E975CB" w:rsidRDefault="00D301A3" w:rsidP="00DC54F7">
            <w:pPr>
              <w:spacing w:after="0" w:line="240" w:lineRule="auto"/>
              <w:jc w:val="both"/>
              <w:rPr>
                <w:rFonts w:ascii="Arial" w:eastAsia="Times New Roman" w:hAnsi="Arial" w:cs="Arial"/>
                <w:color w:val="000000"/>
                <w:sz w:val="18"/>
                <w:szCs w:val="18"/>
                <w:lang w:eastAsia="en-GB"/>
              </w:rPr>
            </w:pPr>
            <w:r w:rsidRPr="00E975CB">
              <w:rPr>
                <w:rFonts w:ascii="Arial" w:eastAsia="Times New Roman" w:hAnsi="Arial" w:cs="Arial"/>
                <w:color w:val="000000"/>
                <w:sz w:val="18"/>
                <w:szCs w:val="18"/>
                <w:lang w:eastAsia="en-GB"/>
              </w:rPr>
              <w:t xml:space="preserve">Other </w:t>
            </w:r>
          </w:p>
        </w:tc>
        <w:tc>
          <w:tcPr>
            <w:tcW w:w="1134" w:type="dxa"/>
            <w:tcBorders>
              <w:top w:val="nil"/>
              <w:left w:val="nil"/>
              <w:bottom w:val="single" w:sz="4" w:space="0" w:color="A6A6A6"/>
              <w:right w:val="single" w:sz="4" w:space="0" w:color="A6A6A6"/>
            </w:tcBorders>
            <w:shd w:val="clear" w:color="000000" w:fill="F2F2F2"/>
            <w:noWrap/>
            <w:vAlign w:val="bottom"/>
            <w:hideMark/>
          </w:tcPr>
          <w:p w14:paraId="407BE3C5" w14:textId="77777777" w:rsidR="00D301A3" w:rsidRPr="00E975CB" w:rsidRDefault="00D301A3" w:rsidP="00DC54F7">
            <w:pPr>
              <w:spacing w:after="0" w:line="240" w:lineRule="auto"/>
              <w:jc w:val="both"/>
              <w:rPr>
                <w:rFonts w:ascii="Calibri" w:eastAsia="Times New Roman" w:hAnsi="Calibri" w:cs="Calibri"/>
                <w:color w:val="000000"/>
                <w:lang w:eastAsia="en-GB"/>
              </w:rPr>
            </w:pPr>
            <w:r w:rsidRPr="00E975CB">
              <w:rPr>
                <w:rFonts w:ascii="Calibri" w:eastAsia="Times New Roman" w:hAnsi="Calibri" w:cs="Calibri"/>
                <w:color w:val="000000"/>
                <w:lang w:eastAsia="en-GB"/>
              </w:rPr>
              <w:t>0.65%</w:t>
            </w:r>
          </w:p>
        </w:tc>
        <w:tc>
          <w:tcPr>
            <w:tcW w:w="1007" w:type="dxa"/>
            <w:tcBorders>
              <w:top w:val="nil"/>
              <w:left w:val="nil"/>
              <w:bottom w:val="single" w:sz="4" w:space="0" w:color="A6A6A6"/>
              <w:right w:val="single" w:sz="4" w:space="0" w:color="A6A6A6"/>
            </w:tcBorders>
            <w:shd w:val="clear" w:color="000000" w:fill="F2F2F2"/>
            <w:noWrap/>
            <w:vAlign w:val="bottom"/>
            <w:hideMark/>
          </w:tcPr>
          <w:p w14:paraId="6BDDD534" w14:textId="77777777" w:rsidR="00D301A3" w:rsidRPr="00E975CB" w:rsidRDefault="00D301A3" w:rsidP="00DC54F7">
            <w:pPr>
              <w:spacing w:after="0" w:line="240" w:lineRule="auto"/>
              <w:jc w:val="both"/>
              <w:rPr>
                <w:rFonts w:ascii="Calibri" w:eastAsia="Times New Roman" w:hAnsi="Calibri" w:cs="Calibri"/>
                <w:color w:val="000000"/>
                <w:lang w:eastAsia="en-GB"/>
              </w:rPr>
            </w:pPr>
            <w:r w:rsidRPr="00E975CB">
              <w:rPr>
                <w:rFonts w:ascii="Calibri" w:eastAsia="Times New Roman" w:hAnsi="Calibri" w:cs="Calibri"/>
                <w:color w:val="000000"/>
                <w:lang w:eastAsia="en-GB"/>
              </w:rPr>
              <w:t>2</w:t>
            </w:r>
          </w:p>
        </w:tc>
      </w:tr>
      <w:tr w:rsidR="00D301A3" w:rsidRPr="00E975CB" w14:paraId="03F97F61" w14:textId="77777777" w:rsidTr="00AA572E">
        <w:trPr>
          <w:trHeight w:val="272"/>
        </w:trPr>
        <w:tc>
          <w:tcPr>
            <w:tcW w:w="1537" w:type="dxa"/>
            <w:tcBorders>
              <w:top w:val="nil"/>
              <w:left w:val="single" w:sz="4" w:space="0" w:color="A6A6A6"/>
              <w:bottom w:val="nil"/>
              <w:right w:val="nil"/>
            </w:tcBorders>
            <w:shd w:val="clear" w:color="000000" w:fill="F2F2F2"/>
            <w:hideMark/>
          </w:tcPr>
          <w:p w14:paraId="697E0E6D" w14:textId="77777777" w:rsidR="00D301A3" w:rsidRPr="00E975CB" w:rsidRDefault="00D301A3" w:rsidP="00DC54F7">
            <w:pPr>
              <w:spacing w:after="0" w:line="240" w:lineRule="auto"/>
              <w:jc w:val="both"/>
              <w:rPr>
                <w:rFonts w:ascii="Arial" w:eastAsia="Times New Roman" w:hAnsi="Arial" w:cs="Arial"/>
                <w:b/>
                <w:bCs/>
                <w:color w:val="000000"/>
                <w:lang w:eastAsia="en-GB"/>
              </w:rPr>
            </w:pPr>
            <w:r w:rsidRPr="00E975CB">
              <w:rPr>
                <w:rFonts w:ascii="Arial" w:eastAsia="Times New Roman" w:hAnsi="Arial" w:cs="Arial"/>
                <w:b/>
                <w:bCs/>
                <w:color w:val="000000"/>
                <w:lang w:eastAsia="en-GB"/>
              </w:rPr>
              <w:t> </w:t>
            </w:r>
          </w:p>
        </w:tc>
        <w:tc>
          <w:tcPr>
            <w:tcW w:w="1537" w:type="dxa"/>
            <w:tcBorders>
              <w:top w:val="nil"/>
              <w:left w:val="nil"/>
              <w:bottom w:val="nil"/>
              <w:right w:val="nil"/>
            </w:tcBorders>
            <w:shd w:val="clear" w:color="000000" w:fill="F2F2F2"/>
            <w:hideMark/>
          </w:tcPr>
          <w:p w14:paraId="23FC6821" w14:textId="77777777" w:rsidR="00D301A3" w:rsidRPr="00E975CB" w:rsidRDefault="00D301A3" w:rsidP="00DC54F7">
            <w:pPr>
              <w:spacing w:after="0" w:line="240" w:lineRule="auto"/>
              <w:jc w:val="both"/>
              <w:rPr>
                <w:rFonts w:ascii="Arial" w:eastAsia="Times New Roman" w:hAnsi="Arial" w:cs="Arial"/>
                <w:b/>
                <w:bCs/>
                <w:color w:val="000000"/>
                <w:lang w:eastAsia="en-GB"/>
              </w:rPr>
            </w:pPr>
            <w:r w:rsidRPr="00E975CB">
              <w:rPr>
                <w:rFonts w:ascii="Arial" w:eastAsia="Times New Roman" w:hAnsi="Arial" w:cs="Arial"/>
                <w:b/>
                <w:bCs/>
                <w:color w:val="000000"/>
                <w:lang w:eastAsia="en-GB"/>
              </w:rPr>
              <w:t> </w:t>
            </w:r>
          </w:p>
        </w:tc>
        <w:tc>
          <w:tcPr>
            <w:tcW w:w="2875" w:type="dxa"/>
            <w:tcBorders>
              <w:top w:val="nil"/>
              <w:left w:val="nil"/>
              <w:bottom w:val="nil"/>
              <w:right w:val="single" w:sz="4" w:space="0" w:color="A6A6A6"/>
            </w:tcBorders>
            <w:shd w:val="clear" w:color="000000" w:fill="F2F2F2"/>
            <w:hideMark/>
          </w:tcPr>
          <w:p w14:paraId="25338F7C" w14:textId="77777777" w:rsidR="00D301A3" w:rsidRPr="00E975CB" w:rsidRDefault="00D301A3" w:rsidP="00DC54F7">
            <w:pPr>
              <w:spacing w:after="0" w:line="240" w:lineRule="auto"/>
              <w:jc w:val="both"/>
              <w:rPr>
                <w:rFonts w:ascii="Arial" w:eastAsia="Times New Roman" w:hAnsi="Arial" w:cs="Arial"/>
                <w:b/>
                <w:bCs/>
                <w:color w:val="000000"/>
                <w:lang w:eastAsia="en-GB"/>
              </w:rPr>
            </w:pPr>
            <w:r w:rsidRPr="00E975CB">
              <w:rPr>
                <w:rFonts w:ascii="Arial" w:eastAsia="Times New Roman" w:hAnsi="Arial" w:cs="Arial"/>
                <w:b/>
                <w:bCs/>
                <w:color w:val="000000"/>
                <w:lang w:eastAsia="en-GB"/>
              </w:rPr>
              <w:t> </w:t>
            </w:r>
          </w:p>
        </w:tc>
        <w:tc>
          <w:tcPr>
            <w:tcW w:w="1134" w:type="dxa"/>
            <w:tcBorders>
              <w:top w:val="nil"/>
              <w:left w:val="nil"/>
              <w:bottom w:val="single" w:sz="4" w:space="0" w:color="A6A6A6"/>
              <w:right w:val="single" w:sz="4" w:space="0" w:color="A6A6A6"/>
            </w:tcBorders>
            <w:shd w:val="clear" w:color="000000" w:fill="F2F2F2"/>
            <w:vAlign w:val="center"/>
            <w:hideMark/>
          </w:tcPr>
          <w:p w14:paraId="46144530" w14:textId="77777777" w:rsidR="00D301A3" w:rsidRPr="00E975CB" w:rsidRDefault="00D301A3" w:rsidP="00DC54F7">
            <w:pPr>
              <w:spacing w:after="0" w:line="240" w:lineRule="auto"/>
              <w:jc w:val="both"/>
              <w:rPr>
                <w:rFonts w:ascii="Arial" w:eastAsia="Times New Roman" w:hAnsi="Arial" w:cs="Arial"/>
                <w:b/>
                <w:bCs/>
                <w:color w:val="000000"/>
                <w:sz w:val="18"/>
                <w:szCs w:val="18"/>
                <w:lang w:eastAsia="en-GB"/>
              </w:rPr>
            </w:pPr>
            <w:r w:rsidRPr="00E975CB">
              <w:rPr>
                <w:rFonts w:ascii="Arial" w:eastAsia="Times New Roman" w:hAnsi="Arial" w:cs="Arial"/>
                <w:b/>
                <w:bCs/>
                <w:color w:val="000000"/>
                <w:sz w:val="18"/>
                <w:szCs w:val="18"/>
                <w:lang w:eastAsia="en-GB"/>
              </w:rPr>
              <w:t xml:space="preserve">Total </w:t>
            </w:r>
          </w:p>
        </w:tc>
        <w:tc>
          <w:tcPr>
            <w:tcW w:w="1134" w:type="dxa"/>
            <w:tcBorders>
              <w:top w:val="nil"/>
              <w:left w:val="nil"/>
              <w:bottom w:val="single" w:sz="4" w:space="0" w:color="A6A6A6"/>
              <w:right w:val="single" w:sz="4" w:space="0" w:color="A6A6A6"/>
            </w:tcBorders>
            <w:shd w:val="clear" w:color="000000" w:fill="F2F2F2"/>
            <w:noWrap/>
            <w:vAlign w:val="bottom"/>
            <w:hideMark/>
          </w:tcPr>
          <w:p w14:paraId="12AF24AC" w14:textId="77777777" w:rsidR="00D301A3" w:rsidRPr="00E975CB" w:rsidRDefault="00D301A3" w:rsidP="00DC54F7">
            <w:pPr>
              <w:spacing w:after="0" w:line="240" w:lineRule="auto"/>
              <w:jc w:val="both"/>
              <w:rPr>
                <w:rFonts w:ascii="Calibri" w:eastAsia="Times New Roman" w:hAnsi="Calibri" w:cs="Calibri"/>
                <w:color w:val="000000"/>
                <w:lang w:eastAsia="en-GB"/>
              </w:rPr>
            </w:pPr>
            <w:r w:rsidRPr="00E975CB">
              <w:rPr>
                <w:rFonts w:ascii="Calibri" w:eastAsia="Times New Roman" w:hAnsi="Calibri" w:cs="Calibri"/>
                <w:color w:val="000000"/>
                <w:lang w:eastAsia="en-GB"/>
              </w:rPr>
              <w:t>100.00%</w:t>
            </w:r>
          </w:p>
        </w:tc>
        <w:tc>
          <w:tcPr>
            <w:tcW w:w="1007" w:type="dxa"/>
            <w:tcBorders>
              <w:top w:val="nil"/>
              <w:left w:val="nil"/>
              <w:bottom w:val="single" w:sz="4" w:space="0" w:color="A6A6A6"/>
              <w:right w:val="single" w:sz="4" w:space="0" w:color="A6A6A6"/>
            </w:tcBorders>
            <w:shd w:val="clear" w:color="000000" w:fill="F2F2F2"/>
            <w:noWrap/>
            <w:vAlign w:val="bottom"/>
            <w:hideMark/>
          </w:tcPr>
          <w:p w14:paraId="641E92FA" w14:textId="77777777" w:rsidR="00D301A3" w:rsidRPr="00E975CB" w:rsidRDefault="00D301A3" w:rsidP="00DC54F7">
            <w:pPr>
              <w:spacing w:after="0" w:line="240" w:lineRule="auto"/>
              <w:jc w:val="both"/>
              <w:rPr>
                <w:rFonts w:ascii="Calibri" w:eastAsia="Times New Roman" w:hAnsi="Calibri" w:cs="Calibri"/>
                <w:color w:val="000000"/>
                <w:lang w:eastAsia="en-GB"/>
              </w:rPr>
            </w:pPr>
            <w:r w:rsidRPr="00E975CB">
              <w:rPr>
                <w:rFonts w:ascii="Calibri" w:eastAsia="Times New Roman" w:hAnsi="Calibri" w:cs="Calibri"/>
                <w:color w:val="000000"/>
                <w:lang w:eastAsia="en-GB"/>
              </w:rPr>
              <w:t>308</w:t>
            </w:r>
          </w:p>
        </w:tc>
      </w:tr>
      <w:tr w:rsidR="00D301A3" w:rsidRPr="00E975CB" w14:paraId="31DFC097" w14:textId="77777777" w:rsidTr="00AA572E">
        <w:trPr>
          <w:trHeight w:val="272"/>
        </w:trPr>
        <w:tc>
          <w:tcPr>
            <w:tcW w:w="1537" w:type="dxa"/>
            <w:tcBorders>
              <w:top w:val="nil"/>
              <w:left w:val="single" w:sz="4" w:space="0" w:color="A6A6A6"/>
              <w:bottom w:val="single" w:sz="4" w:space="0" w:color="A6A6A6"/>
              <w:right w:val="nil"/>
            </w:tcBorders>
            <w:shd w:val="clear" w:color="000000" w:fill="F2F2F2"/>
            <w:hideMark/>
          </w:tcPr>
          <w:p w14:paraId="159857B3" w14:textId="77777777" w:rsidR="00D301A3" w:rsidRPr="00E975CB" w:rsidRDefault="00D301A3" w:rsidP="00DC54F7">
            <w:pPr>
              <w:spacing w:after="0" w:line="240" w:lineRule="auto"/>
              <w:jc w:val="both"/>
              <w:rPr>
                <w:rFonts w:ascii="Arial" w:eastAsia="Times New Roman" w:hAnsi="Arial" w:cs="Arial"/>
                <w:b/>
                <w:bCs/>
                <w:color w:val="000000"/>
                <w:lang w:eastAsia="en-GB"/>
              </w:rPr>
            </w:pPr>
            <w:r w:rsidRPr="00E975CB">
              <w:rPr>
                <w:rFonts w:ascii="Arial" w:eastAsia="Times New Roman" w:hAnsi="Arial" w:cs="Arial"/>
                <w:b/>
                <w:bCs/>
                <w:color w:val="000000"/>
                <w:lang w:eastAsia="en-GB"/>
              </w:rPr>
              <w:t> </w:t>
            </w:r>
          </w:p>
        </w:tc>
        <w:tc>
          <w:tcPr>
            <w:tcW w:w="1537" w:type="dxa"/>
            <w:tcBorders>
              <w:top w:val="nil"/>
              <w:left w:val="nil"/>
              <w:bottom w:val="single" w:sz="4" w:space="0" w:color="A6A6A6"/>
              <w:right w:val="nil"/>
            </w:tcBorders>
            <w:shd w:val="clear" w:color="000000" w:fill="F2F2F2"/>
            <w:hideMark/>
          </w:tcPr>
          <w:p w14:paraId="10692EFE" w14:textId="77777777" w:rsidR="00D301A3" w:rsidRPr="00E975CB" w:rsidRDefault="00D301A3" w:rsidP="00DC54F7">
            <w:pPr>
              <w:spacing w:after="0" w:line="240" w:lineRule="auto"/>
              <w:jc w:val="both"/>
              <w:rPr>
                <w:rFonts w:ascii="Arial" w:eastAsia="Times New Roman" w:hAnsi="Arial" w:cs="Arial"/>
                <w:b/>
                <w:bCs/>
                <w:color w:val="000000"/>
                <w:lang w:eastAsia="en-GB"/>
              </w:rPr>
            </w:pPr>
            <w:r w:rsidRPr="00E975CB">
              <w:rPr>
                <w:rFonts w:ascii="Arial" w:eastAsia="Times New Roman" w:hAnsi="Arial" w:cs="Arial"/>
                <w:b/>
                <w:bCs/>
                <w:color w:val="000000"/>
                <w:lang w:eastAsia="en-GB"/>
              </w:rPr>
              <w:t> </w:t>
            </w:r>
          </w:p>
        </w:tc>
        <w:tc>
          <w:tcPr>
            <w:tcW w:w="2875" w:type="dxa"/>
            <w:tcBorders>
              <w:top w:val="nil"/>
              <w:left w:val="nil"/>
              <w:bottom w:val="single" w:sz="4" w:space="0" w:color="A6A6A6"/>
              <w:right w:val="single" w:sz="4" w:space="0" w:color="A6A6A6"/>
            </w:tcBorders>
            <w:shd w:val="clear" w:color="000000" w:fill="F2F2F2"/>
            <w:hideMark/>
          </w:tcPr>
          <w:p w14:paraId="2E3C8C42" w14:textId="77777777" w:rsidR="00D301A3" w:rsidRPr="00E975CB" w:rsidRDefault="00D301A3" w:rsidP="00DC54F7">
            <w:pPr>
              <w:spacing w:after="0" w:line="240" w:lineRule="auto"/>
              <w:jc w:val="both"/>
              <w:rPr>
                <w:rFonts w:ascii="Arial" w:eastAsia="Times New Roman" w:hAnsi="Arial" w:cs="Arial"/>
                <w:b/>
                <w:bCs/>
                <w:color w:val="000000"/>
                <w:lang w:eastAsia="en-GB"/>
              </w:rPr>
            </w:pPr>
            <w:r w:rsidRPr="00E975CB">
              <w:rPr>
                <w:rFonts w:ascii="Arial" w:eastAsia="Times New Roman" w:hAnsi="Arial" w:cs="Arial"/>
                <w:b/>
                <w:bCs/>
                <w:color w:val="000000"/>
                <w:lang w:eastAsia="en-GB"/>
              </w:rPr>
              <w:t> </w:t>
            </w:r>
          </w:p>
        </w:tc>
        <w:tc>
          <w:tcPr>
            <w:tcW w:w="1134" w:type="dxa"/>
            <w:tcBorders>
              <w:top w:val="nil"/>
              <w:left w:val="nil"/>
              <w:bottom w:val="single" w:sz="4" w:space="0" w:color="A6A6A6"/>
              <w:right w:val="single" w:sz="4" w:space="0" w:color="A6A6A6"/>
            </w:tcBorders>
            <w:shd w:val="clear" w:color="000000" w:fill="F2F2F2"/>
            <w:vAlign w:val="center"/>
            <w:hideMark/>
          </w:tcPr>
          <w:p w14:paraId="63DD8C7A" w14:textId="77777777" w:rsidR="00D301A3" w:rsidRPr="00E975CB" w:rsidRDefault="00D301A3" w:rsidP="00DC54F7">
            <w:pPr>
              <w:spacing w:after="0" w:line="240" w:lineRule="auto"/>
              <w:jc w:val="both"/>
              <w:rPr>
                <w:rFonts w:ascii="Arial" w:eastAsia="Times New Roman" w:hAnsi="Arial" w:cs="Arial"/>
                <w:b/>
                <w:bCs/>
                <w:color w:val="000000"/>
                <w:sz w:val="18"/>
                <w:szCs w:val="18"/>
                <w:lang w:eastAsia="en-GB"/>
              </w:rPr>
            </w:pPr>
            <w:r w:rsidRPr="00E975CB">
              <w:rPr>
                <w:rFonts w:ascii="Arial" w:eastAsia="Times New Roman" w:hAnsi="Arial" w:cs="Arial"/>
                <w:b/>
                <w:bCs/>
                <w:color w:val="000000"/>
                <w:sz w:val="18"/>
                <w:szCs w:val="18"/>
                <w:lang w:eastAsia="en-GB"/>
              </w:rPr>
              <w:t>Skipped</w:t>
            </w:r>
          </w:p>
        </w:tc>
        <w:tc>
          <w:tcPr>
            <w:tcW w:w="1134" w:type="dxa"/>
            <w:tcBorders>
              <w:top w:val="nil"/>
              <w:left w:val="nil"/>
              <w:bottom w:val="single" w:sz="4" w:space="0" w:color="A6A6A6"/>
              <w:right w:val="single" w:sz="4" w:space="0" w:color="A6A6A6"/>
            </w:tcBorders>
            <w:shd w:val="clear" w:color="000000" w:fill="F2F2F2"/>
            <w:noWrap/>
            <w:vAlign w:val="bottom"/>
            <w:hideMark/>
          </w:tcPr>
          <w:p w14:paraId="45630F9E" w14:textId="77777777" w:rsidR="00D301A3" w:rsidRPr="00E975CB" w:rsidRDefault="00D301A3" w:rsidP="00DC54F7">
            <w:pPr>
              <w:spacing w:after="0" w:line="240" w:lineRule="auto"/>
              <w:jc w:val="both"/>
              <w:rPr>
                <w:rFonts w:ascii="Calibri" w:eastAsia="Times New Roman" w:hAnsi="Calibri" w:cs="Calibri"/>
                <w:color w:val="000000"/>
                <w:lang w:eastAsia="en-GB"/>
              </w:rPr>
            </w:pPr>
            <w:r w:rsidRPr="00E975CB">
              <w:rPr>
                <w:rFonts w:ascii="Calibri" w:eastAsia="Times New Roman" w:hAnsi="Calibri" w:cs="Calibri"/>
                <w:color w:val="000000"/>
                <w:lang w:eastAsia="en-GB"/>
              </w:rPr>
              <w:t> </w:t>
            </w:r>
          </w:p>
        </w:tc>
        <w:tc>
          <w:tcPr>
            <w:tcW w:w="1007" w:type="dxa"/>
            <w:tcBorders>
              <w:top w:val="nil"/>
              <w:left w:val="nil"/>
              <w:bottom w:val="single" w:sz="4" w:space="0" w:color="A6A6A6"/>
              <w:right w:val="single" w:sz="4" w:space="0" w:color="A6A6A6"/>
            </w:tcBorders>
            <w:shd w:val="clear" w:color="000000" w:fill="F2F2F2"/>
            <w:noWrap/>
            <w:vAlign w:val="bottom"/>
            <w:hideMark/>
          </w:tcPr>
          <w:p w14:paraId="045AFE70" w14:textId="77777777" w:rsidR="00D301A3" w:rsidRPr="00E975CB" w:rsidRDefault="00D301A3" w:rsidP="00DC54F7">
            <w:pPr>
              <w:spacing w:after="0" w:line="240" w:lineRule="auto"/>
              <w:jc w:val="both"/>
              <w:rPr>
                <w:rFonts w:ascii="Calibri" w:eastAsia="Times New Roman" w:hAnsi="Calibri" w:cs="Calibri"/>
                <w:color w:val="000000"/>
                <w:lang w:eastAsia="en-GB"/>
              </w:rPr>
            </w:pPr>
            <w:r w:rsidRPr="00E975CB">
              <w:rPr>
                <w:rFonts w:ascii="Calibri" w:eastAsia="Times New Roman" w:hAnsi="Calibri" w:cs="Calibri"/>
                <w:color w:val="000000"/>
                <w:lang w:eastAsia="en-GB"/>
              </w:rPr>
              <w:t>3</w:t>
            </w:r>
          </w:p>
        </w:tc>
      </w:tr>
    </w:tbl>
    <w:p w14:paraId="6FEC39A5" w14:textId="14A4AFE6" w:rsidR="00D301A3" w:rsidRDefault="00D301A3" w:rsidP="00DC54F7">
      <w:pPr>
        <w:spacing w:after="0"/>
        <w:jc w:val="both"/>
        <w:rPr>
          <w:rFonts w:ascii="Arial" w:hAnsi="Arial" w:cs="Arial"/>
        </w:rPr>
      </w:pPr>
    </w:p>
    <w:p w14:paraId="0CFCBB44" w14:textId="77777777" w:rsidR="001B5C8F" w:rsidRDefault="001B5C8F" w:rsidP="00DC54F7">
      <w:pPr>
        <w:spacing w:after="0"/>
        <w:jc w:val="both"/>
        <w:rPr>
          <w:rFonts w:ascii="Arial" w:hAnsi="Arial" w:cs="Arial"/>
        </w:rPr>
      </w:pPr>
    </w:p>
    <w:p w14:paraId="546C5225" w14:textId="77777777" w:rsidR="00D301A3" w:rsidRDefault="00D301A3" w:rsidP="00DC54F7">
      <w:pPr>
        <w:spacing w:after="0"/>
        <w:jc w:val="both"/>
        <w:rPr>
          <w:rFonts w:ascii="Arial" w:hAnsi="Arial" w:cs="Arial"/>
        </w:rPr>
      </w:pPr>
      <w:r>
        <w:rPr>
          <w:rFonts w:ascii="Arial" w:hAnsi="Arial" w:cs="Arial"/>
        </w:rPr>
        <w:t>A total of two comments were received:</w:t>
      </w:r>
    </w:p>
    <w:p w14:paraId="5A984229" w14:textId="77777777" w:rsidR="00D301A3" w:rsidRPr="00D6017D" w:rsidRDefault="00D301A3" w:rsidP="00DC54F7">
      <w:pPr>
        <w:pStyle w:val="ListParagraph"/>
        <w:numPr>
          <w:ilvl w:val="0"/>
          <w:numId w:val="170"/>
        </w:numPr>
        <w:spacing w:after="0" w:line="259" w:lineRule="auto"/>
        <w:jc w:val="both"/>
        <w:rPr>
          <w:rFonts w:ascii="Arial" w:hAnsi="Arial" w:cs="Arial"/>
        </w:rPr>
      </w:pPr>
      <w:r w:rsidRPr="00D6017D">
        <w:rPr>
          <w:rFonts w:ascii="Arial" w:hAnsi="Arial" w:cs="Arial"/>
        </w:rPr>
        <w:t>There are only 2 genders</w:t>
      </w:r>
    </w:p>
    <w:p w14:paraId="1E2F0E3E" w14:textId="77777777" w:rsidR="00D301A3" w:rsidRPr="00D6017D" w:rsidRDefault="00D301A3" w:rsidP="00DC54F7">
      <w:pPr>
        <w:pStyle w:val="ListParagraph"/>
        <w:numPr>
          <w:ilvl w:val="0"/>
          <w:numId w:val="170"/>
        </w:numPr>
        <w:spacing w:after="0" w:line="259" w:lineRule="auto"/>
        <w:jc w:val="both"/>
        <w:rPr>
          <w:rFonts w:ascii="Arial" w:hAnsi="Arial" w:cs="Arial"/>
        </w:rPr>
      </w:pPr>
      <w:r w:rsidRPr="00D6017D">
        <w:rPr>
          <w:rFonts w:ascii="Arial" w:hAnsi="Arial" w:cs="Arial"/>
        </w:rPr>
        <w:t>Gender is a social construct. Biology matters for medicine, ask the right question.</w:t>
      </w:r>
    </w:p>
    <w:p w14:paraId="178D5B1B" w14:textId="77777777" w:rsidR="00D301A3" w:rsidRDefault="00D301A3" w:rsidP="00DC54F7">
      <w:pPr>
        <w:spacing w:after="0"/>
        <w:jc w:val="both"/>
        <w:rPr>
          <w:rFonts w:ascii="Arial" w:hAnsi="Arial" w:cs="Arial"/>
          <w:b/>
          <w:bCs/>
        </w:rPr>
      </w:pPr>
      <w:r>
        <w:rPr>
          <w:rFonts w:ascii="Arial" w:hAnsi="Arial" w:cs="Arial"/>
          <w:b/>
          <w:bCs/>
        </w:rPr>
        <w:lastRenderedPageBreak/>
        <w:t xml:space="preserve">24. </w:t>
      </w:r>
      <w:r w:rsidRPr="008C7A88">
        <w:rPr>
          <w:rFonts w:ascii="Arial" w:hAnsi="Arial" w:cs="Arial"/>
          <w:b/>
          <w:bCs/>
        </w:rPr>
        <w:t>Do you identify as Trans? Please tick one</w:t>
      </w:r>
      <w:r>
        <w:rPr>
          <w:rFonts w:ascii="Arial" w:hAnsi="Arial" w:cs="Arial"/>
          <w:b/>
          <w:bCs/>
        </w:rPr>
        <w:t>.</w:t>
      </w:r>
    </w:p>
    <w:p w14:paraId="24ECE178" w14:textId="77777777" w:rsidR="00D301A3" w:rsidRPr="008C7A88" w:rsidRDefault="00D301A3" w:rsidP="00DC54F7">
      <w:pPr>
        <w:spacing w:after="0"/>
        <w:jc w:val="both"/>
        <w:rPr>
          <w:rFonts w:ascii="Arial" w:hAnsi="Arial" w:cs="Arial"/>
          <w:b/>
          <w:bCs/>
        </w:rPr>
      </w:pPr>
    </w:p>
    <w:tbl>
      <w:tblPr>
        <w:tblW w:w="9209" w:type="dxa"/>
        <w:tblLook w:val="04A0" w:firstRow="1" w:lastRow="0" w:firstColumn="1" w:lastColumn="0" w:noHBand="0" w:noVBand="1"/>
      </w:tblPr>
      <w:tblGrid>
        <w:gridCol w:w="960"/>
        <w:gridCol w:w="4989"/>
        <w:gridCol w:w="1134"/>
        <w:gridCol w:w="1134"/>
        <w:gridCol w:w="992"/>
      </w:tblGrid>
      <w:tr w:rsidR="00D301A3" w:rsidRPr="00754367" w14:paraId="4E717EEF" w14:textId="77777777" w:rsidTr="00AA572E">
        <w:trPr>
          <w:trHeight w:val="290"/>
        </w:trPr>
        <w:tc>
          <w:tcPr>
            <w:tcW w:w="7083" w:type="dxa"/>
            <w:gridSpan w:val="3"/>
            <w:tcBorders>
              <w:top w:val="single" w:sz="4" w:space="0" w:color="A6A6A6"/>
              <w:left w:val="single" w:sz="4" w:space="0" w:color="A6A6A6"/>
              <w:bottom w:val="single" w:sz="4" w:space="0" w:color="A6A6A6"/>
              <w:right w:val="nil"/>
            </w:tcBorders>
            <w:shd w:val="clear" w:color="000000" w:fill="8497B0"/>
            <w:noWrap/>
            <w:vAlign w:val="center"/>
            <w:hideMark/>
          </w:tcPr>
          <w:p w14:paraId="2E927716" w14:textId="77777777" w:rsidR="00D301A3" w:rsidRPr="00754367" w:rsidRDefault="00D301A3" w:rsidP="00DC54F7">
            <w:pPr>
              <w:spacing w:after="0" w:line="240" w:lineRule="auto"/>
              <w:jc w:val="both"/>
              <w:rPr>
                <w:rFonts w:ascii="Arial" w:eastAsia="Times New Roman" w:hAnsi="Arial" w:cs="Arial"/>
                <w:b/>
                <w:bCs/>
                <w:color w:val="FFFFFF"/>
                <w:sz w:val="21"/>
                <w:szCs w:val="21"/>
                <w:lang w:eastAsia="en-GB"/>
              </w:rPr>
            </w:pPr>
            <w:r w:rsidRPr="00754367">
              <w:rPr>
                <w:rFonts w:ascii="Arial" w:eastAsia="Times New Roman" w:hAnsi="Arial" w:cs="Arial"/>
                <w:b/>
                <w:bCs/>
                <w:color w:val="FFFFFF"/>
                <w:sz w:val="21"/>
                <w:szCs w:val="21"/>
                <w:lang w:eastAsia="en-GB"/>
              </w:rPr>
              <w:t> </w:t>
            </w:r>
          </w:p>
        </w:tc>
        <w:tc>
          <w:tcPr>
            <w:tcW w:w="2126" w:type="dxa"/>
            <w:gridSpan w:val="2"/>
            <w:tcBorders>
              <w:top w:val="single" w:sz="4" w:space="0" w:color="A6A6A6"/>
              <w:left w:val="nil"/>
              <w:bottom w:val="single" w:sz="4" w:space="0" w:color="A6A6A6"/>
              <w:right w:val="single" w:sz="4" w:space="0" w:color="A6A6A6"/>
            </w:tcBorders>
            <w:shd w:val="clear" w:color="000000" w:fill="8497B0"/>
            <w:noWrap/>
            <w:vAlign w:val="center"/>
            <w:hideMark/>
          </w:tcPr>
          <w:p w14:paraId="43EF4D33" w14:textId="77777777" w:rsidR="00D301A3" w:rsidRPr="00754367" w:rsidRDefault="00D301A3" w:rsidP="00DC54F7">
            <w:pPr>
              <w:spacing w:after="0" w:line="240" w:lineRule="auto"/>
              <w:jc w:val="both"/>
              <w:rPr>
                <w:rFonts w:ascii="Arial" w:eastAsia="Times New Roman" w:hAnsi="Arial" w:cs="Arial"/>
                <w:b/>
                <w:bCs/>
                <w:color w:val="FFFFFF"/>
                <w:sz w:val="21"/>
                <w:szCs w:val="21"/>
                <w:lang w:eastAsia="en-GB"/>
              </w:rPr>
            </w:pPr>
            <w:r w:rsidRPr="00754367">
              <w:rPr>
                <w:rFonts w:ascii="Arial" w:eastAsia="Times New Roman" w:hAnsi="Arial" w:cs="Arial"/>
                <w:b/>
                <w:bCs/>
                <w:color w:val="FFFFFF"/>
                <w:sz w:val="21"/>
                <w:szCs w:val="21"/>
                <w:lang w:eastAsia="en-GB"/>
              </w:rPr>
              <w:t>Response</w:t>
            </w:r>
          </w:p>
        </w:tc>
      </w:tr>
      <w:tr w:rsidR="00D301A3" w:rsidRPr="00754367" w14:paraId="5A384C73" w14:textId="77777777" w:rsidTr="00AA572E">
        <w:trPr>
          <w:trHeight w:val="290"/>
        </w:trPr>
        <w:tc>
          <w:tcPr>
            <w:tcW w:w="7083"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731F75C1" w14:textId="77777777" w:rsidR="00D301A3" w:rsidRPr="00754367" w:rsidRDefault="00D301A3" w:rsidP="00DC54F7">
            <w:pPr>
              <w:spacing w:after="0" w:line="240" w:lineRule="auto"/>
              <w:jc w:val="both"/>
              <w:rPr>
                <w:rFonts w:ascii="Arial" w:eastAsia="Times New Roman" w:hAnsi="Arial" w:cs="Arial"/>
                <w:b/>
                <w:bCs/>
                <w:color w:val="000000"/>
                <w:sz w:val="18"/>
                <w:szCs w:val="18"/>
                <w:lang w:eastAsia="en-GB"/>
              </w:rPr>
            </w:pPr>
            <w:r w:rsidRPr="00754367">
              <w:rPr>
                <w:rFonts w:ascii="Arial" w:eastAsia="Times New Roman" w:hAnsi="Arial" w:cs="Arial"/>
                <w:b/>
                <w:bCs/>
                <w:color w:val="000000"/>
                <w:sz w:val="18"/>
                <w:szCs w:val="18"/>
                <w:lang w:eastAsia="en-GB"/>
              </w:rPr>
              <w:t> </w:t>
            </w:r>
          </w:p>
        </w:tc>
        <w:tc>
          <w:tcPr>
            <w:tcW w:w="1134" w:type="dxa"/>
            <w:tcBorders>
              <w:top w:val="nil"/>
              <w:left w:val="nil"/>
              <w:bottom w:val="single" w:sz="4" w:space="0" w:color="A6A6A6"/>
              <w:right w:val="single" w:sz="4" w:space="0" w:color="A6A6A6"/>
            </w:tcBorders>
            <w:shd w:val="clear" w:color="000000" w:fill="F2F2F2"/>
            <w:noWrap/>
            <w:vAlign w:val="center"/>
            <w:hideMark/>
          </w:tcPr>
          <w:p w14:paraId="18F572A3" w14:textId="77777777" w:rsidR="00D301A3" w:rsidRPr="00754367" w:rsidRDefault="00D301A3" w:rsidP="00DC54F7">
            <w:pPr>
              <w:spacing w:after="0" w:line="240" w:lineRule="auto"/>
              <w:jc w:val="both"/>
              <w:rPr>
                <w:rFonts w:ascii="Arial" w:eastAsia="Times New Roman" w:hAnsi="Arial" w:cs="Arial"/>
                <w:b/>
                <w:bCs/>
                <w:color w:val="000000"/>
                <w:sz w:val="18"/>
                <w:szCs w:val="18"/>
                <w:lang w:eastAsia="en-GB"/>
              </w:rPr>
            </w:pPr>
            <w:r w:rsidRPr="00754367">
              <w:rPr>
                <w:rFonts w:ascii="Arial" w:eastAsia="Times New Roman" w:hAnsi="Arial" w:cs="Arial"/>
                <w:b/>
                <w:bCs/>
                <w:color w:val="000000"/>
                <w:sz w:val="18"/>
                <w:szCs w:val="18"/>
                <w:lang w:eastAsia="en-GB"/>
              </w:rPr>
              <w:t>Percent</w:t>
            </w:r>
          </w:p>
        </w:tc>
        <w:tc>
          <w:tcPr>
            <w:tcW w:w="992" w:type="dxa"/>
            <w:tcBorders>
              <w:top w:val="nil"/>
              <w:left w:val="nil"/>
              <w:bottom w:val="single" w:sz="4" w:space="0" w:color="A6A6A6"/>
              <w:right w:val="single" w:sz="4" w:space="0" w:color="A6A6A6"/>
            </w:tcBorders>
            <w:shd w:val="clear" w:color="000000" w:fill="F2F2F2"/>
            <w:noWrap/>
            <w:vAlign w:val="center"/>
            <w:hideMark/>
          </w:tcPr>
          <w:p w14:paraId="1B3BA511" w14:textId="77777777" w:rsidR="00D301A3" w:rsidRPr="00754367" w:rsidRDefault="00D301A3" w:rsidP="00DC54F7">
            <w:pPr>
              <w:spacing w:after="0" w:line="240" w:lineRule="auto"/>
              <w:jc w:val="both"/>
              <w:rPr>
                <w:rFonts w:ascii="Arial" w:eastAsia="Times New Roman" w:hAnsi="Arial" w:cs="Arial"/>
                <w:b/>
                <w:bCs/>
                <w:color w:val="000000"/>
                <w:sz w:val="18"/>
                <w:szCs w:val="18"/>
                <w:lang w:eastAsia="en-GB"/>
              </w:rPr>
            </w:pPr>
            <w:r w:rsidRPr="00754367">
              <w:rPr>
                <w:rFonts w:ascii="Arial" w:eastAsia="Times New Roman" w:hAnsi="Arial" w:cs="Arial"/>
                <w:b/>
                <w:bCs/>
                <w:color w:val="000000"/>
                <w:sz w:val="18"/>
                <w:szCs w:val="18"/>
                <w:lang w:eastAsia="en-GB"/>
              </w:rPr>
              <w:t>Total</w:t>
            </w:r>
          </w:p>
        </w:tc>
      </w:tr>
      <w:tr w:rsidR="00D301A3" w:rsidRPr="00754367" w14:paraId="0BD099E7"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3CD9B85C" w14:textId="77777777" w:rsidR="00D301A3" w:rsidRPr="00754367" w:rsidRDefault="00D301A3" w:rsidP="00DC54F7">
            <w:pPr>
              <w:spacing w:after="0" w:line="240" w:lineRule="auto"/>
              <w:jc w:val="both"/>
              <w:rPr>
                <w:rFonts w:ascii="Arial" w:eastAsia="Times New Roman" w:hAnsi="Arial" w:cs="Arial"/>
                <w:color w:val="000000"/>
                <w:sz w:val="18"/>
                <w:szCs w:val="18"/>
                <w:lang w:eastAsia="en-GB"/>
              </w:rPr>
            </w:pPr>
            <w:r w:rsidRPr="00754367">
              <w:rPr>
                <w:rFonts w:ascii="Arial" w:eastAsia="Times New Roman" w:hAnsi="Arial" w:cs="Arial"/>
                <w:color w:val="000000"/>
                <w:sz w:val="18"/>
                <w:szCs w:val="18"/>
                <w:lang w:eastAsia="en-GB"/>
              </w:rPr>
              <w:t>1</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0782806F" w14:textId="77777777" w:rsidR="00D301A3" w:rsidRPr="00754367" w:rsidRDefault="00D301A3" w:rsidP="00DC54F7">
            <w:pPr>
              <w:spacing w:after="0" w:line="240" w:lineRule="auto"/>
              <w:jc w:val="both"/>
              <w:rPr>
                <w:rFonts w:ascii="Arial" w:eastAsia="Times New Roman" w:hAnsi="Arial" w:cs="Arial"/>
                <w:color w:val="000000"/>
                <w:sz w:val="18"/>
                <w:szCs w:val="18"/>
                <w:lang w:eastAsia="en-GB"/>
              </w:rPr>
            </w:pPr>
            <w:r w:rsidRPr="00754367">
              <w:rPr>
                <w:rFonts w:ascii="Arial" w:eastAsia="Times New Roman" w:hAnsi="Arial" w:cs="Arial"/>
                <w:color w:val="000000"/>
                <w:sz w:val="18"/>
                <w:szCs w:val="18"/>
                <w:lang w:eastAsia="en-GB"/>
              </w:rPr>
              <w:t>Yes</w:t>
            </w:r>
          </w:p>
        </w:tc>
        <w:tc>
          <w:tcPr>
            <w:tcW w:w="1134" w:type="dxa"/>
            <w:tcBorders>
              <w:top w:val="nil"/>
              <w:left w:val="nil"/>
              <w:bottom w:val="single" w:sz="4" w:space="0" w:color="A6A6A6"/>
              <w:right w:val="single" w:sz="4" w:space="0" w:color="A6A6A6"/>
            </w:tcBorders>
            <w:shd w:val="clear" w:color="000000" w:fill="F2F2F2"/>
            <w:noWrap/>
            <w:vAlign w:val="bottom"/>
            <w:hideMark/>
          </w:tcPr>
          <w:p w14:paraId="3485E217" w14:textId="77777777" w:rsidR="00D301A3" w:rsidRPr="00754367" w:rsidRDefault="00D301A3" w:rsidP="00DC54F7">
            <w:pPr>
              <w:spacing w:after="0" w:line="240" w:lineRule="auto"/>
              <w:jc w:val="both"/>
              <w:rPr>
                <w:rFonts w:ascii="Calibri" w:eastAsia="Times New Roman" w:hAnsi="Calibri" w:cs="Calibri"/>
                <w:color w:val="000000"/>
                <w:lang w:eastAsia="en-GB"/>
              </w:rPr>
            </w:pPr>
            <w:r w:rsidRPr="00754367">
              <w:rPr>
                <w:rFonts w:ascii="Calibri" w:eastAsia="Times New Roman" w:hAnsi="Calibri" w:cs="Calibri"/>
                <w:color w:val="000000"/>
                <w:lang w:eastAsia="en-GB"/>
              </w:rPr>
              <w:t>0.33%</w:t>
            </w:r>
          </w:p>
        </w:tc>
        <w:tc>
          <w:tcPr>
            <w:tcW w:w="992" w:type="dxa"/>
            <w:tcBorders>
              <w:top w:val="nil"/>
              <w:left w:val="nil"/>
              <w:bottom w:val="single" w:sz="4" w:space="0" w:color="A6A6A6"/>
              <w:right w:val="single" w:sz="4" w:space="0" w:color="A6A6A6"/>
            </w:tcBorders>
            <w:shd w:val="clear" w:color="000000" w:fill="F2F2F2"/>
            <w:noWrap/>
            <w:vAlign w:val="bottom"/>
            <w:hideMark/>
          </w:tcPr>
          <w:p w14:paraId="0F3F55F0" w14:textId="77777777" w:rsidR="00D301A3" w:rsidRPr="00754367" w:rsidRDefault="00D301A3" w:rsidP="00DC54F7">
            <w:pPr>
              <w:spacing w:after="0" w:line="240" w:lineRule="auto"/>
              <w:jc w:val="both"/>
              <w:rPr>
                <w:rFonts w:ascii="Calibri" w:eastAsia="Times New Roman" w:hAnsi="Calibri" w:cs="Calibri"/>
                <w:color w:val="000000"/>
                <w:lang w:eastAsia="en-GB"/>
              </w:rPr>
            </w:pPr>
            <w:r w:rsidRPr="00754367">
              <w:rPr>
                <w:rFonts w:ascii="Calibri" w:eastAsia="Times New Roman" w:hAnsi="Calibri" w:cs="Calibri"/>
                <w:color w:val="000000"/>
                <w:lang w:eastAsia="en-GB"/>
              </w:rPr>
              <w:t>1</w:t>
            </w:r>
          </w:p>
        </w:tc>
      </w:tr>
      <w:tr w:rsidR="00D301A3" w:rsidRPr="00754367" w14:paraId="4775815A"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5CACF1DB" w14:textId="77777777" w:rsidR="00D301A3" w:rsidRPr="00754367" w:rsidRDefault="00D301A3" w:rsidP="00DC54F7">
            <w:pPr>
              <w:spacing w:after="0" w:line="240" w:lineRule="auto"/>
              <w:jc w:val="both"/>
              <w:rPr>
                <w:rFonts w:ascii="Arial" w:eastAsia="Times New Roman" w:hAnsi="Arial" w:cs="Arial"/>
                <w:color w:val="000000"/>
                <w:sz w:val="18"/>
                <w:szCs w:val="18"/>
                <w:lang w:eastAsia="en-GB"/>
              </w:rPr>
            </w:pPr>
            <w:r w:rsidRPr="00754367">
              <w:rPr>
                <w:rFonts w:ascii="Arial" w:eastAsia="Times New Roman" w:hAnsi="Arial" w:cs="Arial"/>
                <w:color w:val="000000"/>
                <w:sz w:val="18"/>
                <w:szCs w:val="18"/>
                <w:lang w:eastAsia="en-GB"/>
              </w:rPr>
              <w:t>2</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71C74E93" w14:textId="77777777" w:rsidR="00D301A3" w:rsidRPr="00754367" w:rsidRDefault="00D301A3" w:rsidP="00DC54F7">
            <w:pPr>
              <w:spacing w:after="0" w:line="240" w:lineRule="auto"/>
              <w:jc w:val="both"/>
              <w:rPr>
                <w:rFonts w:ascii="Arial" w:eastAsia="Times New Roman" w:hAnsi="Arial" w:cs="Arial"/>
                <w:color w:val="000000"/>
                <w:sz w:val="18"/>
                <w:szCs w:val="18"/>
                <w:lang w:eastAsia="en-GB"/>
              </w:rPr>
            </w:pPr>
            <w:r w:rsidRPr="00754367">
              <w:rPr>
                <w:rFonts w:ascii="Arial" w:eastAsia="Times New Roman" w:hAnsi="Arial" w:cs="Arial"/>
                <w:color w:val="000000"/>
                <w:sz w:val="18"/>
                <w:szCs w:val="18"/>
                <w:lang w:eastAsia="en-GB"/>
              </w:rPr>
              <w:t>No</w:t>
            </w:r>
          </w:p>
        </w:tc>
        <w:tc>
          <w:tcPr>
            <w:tcW w:w="1134" w:type="dxa"/>
            <w:tcBorders>
              <w:top w:val="nil"/>
              <w:left w:val="nil"/>
              <w:bottom w:val="single" w:sz="4" w:space="0" w:color="A6A6A6"/>
              <w:right w:val="single" w:sz="4" w:space="0" w:color="A6A6A6"/>
            </w:tcBorders>
            <w:shd w:val="clear" w:color="000000" w:fill="F2F2F2"/>
            <w:noWrap/>
            <w:vAlign w:val="bottom"/>
            <w:hideMark/>
          </w:tcPr>
          <w:p w14:paraId="061E4C73" w14:textId="77777777" w:rsidR="00D301A3" w:rsidRPr="00754367" w:rsidRDefault="00D301A3" w:rsidP="00DC54F7">
            <w:pPr>
              <w:spacing w:after="0" w:line="240" w:lineRule="auto"/>
              <w:jc w:val="both"/>
              <w:rPr>
                <w:rFonts w:ascii="Calibri" w:eastAsia="Times New Roman" w:hAnsi="Calibri" w:cs="Calibri"/>
                <w:color w:val="000000"/>
                <w:lang w:eastAsia="en-GB"/>
              </w:rPr>
            </w:pPr>
            <w:r w:rsidRPr="00754367">
              <w:rPr>
                <w:rFonts w:ascii="Calibri" w:eastAsia="Times New Roman" w:hAnsi="Calibri" w:cs="Calibri"/>
                <w:color w:val="000000"/>
                <w:lang w:eastAsia="en-GB"/>
              </w:rPr>
              <w:t>98.68%</w:t>
            </w:r>
          </w:p>
        </w:tc>
        <w:tc>
          <w:tcPr>
            <w:tcW w:w="992" w:type="dxa"/>
            <w:tcBorders>
              <w:top w:val="nil"/>
              <w:left w:val="nil"/>
              <w:bottom w:val="single" w:sz="4" w:space="0" w:color="A6A6A6"/>
              <w:right w:val="single" w:sz="4" w:space="0" w:color="A6A6A6"/>
            </w:tcBorders>
            <w:shd w:val="clear" w:color="000000" w:fill="F2F2F2"/>
            <w:noWrap/>
            <w:vAlign w:val="bottom"/>
            <w:hideMark/>
          </w:tcPr>
          <w:p w14:paraId="536792BF" w14:textId="77777777" w:rsidR="00D301A3" w:rsidRPr="00754367" w:rsidRDefault="00D301A3" w:rsidP="00DC54F7">
            <w:pPr>
              <w:spacing w:after="0" w:line="240" w:lineRule="auto"/>
              <w:jc w:val="both"/>
              <w:rPr>
                <w:rFonts w:ascii="Calibri" w:eastAsia="Times New Roman" w:hAnsi="Calibri" w:cs="Calibri"/>
                <w:color w:val="000000"/>
                <w:lang w:eastAsia="en-GB"/>
              </w:rPr>
            </w:pPr>
            <w:r w:rsidRPr="00754367">
              <w:rPr>
                <w:rFonts w:ascii="Calibri" w:eastAsia="Times New Roman" w:hAnsi="Calibri" w:cs="Calibri"/>
                <w:color w:val="000000"/>
                <w:lang w:eastAsia="en-GB"/>
              </w:rPr>
              <w:t>300</w:t>
            </w:r>
          </w:p>
        </w:tc>
      </w:tr>
      <w:tr w:rsidR="00D301A3" w:rsidRPr="00754367" w14:paraId="2E66F956"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01F03CFB" w14:textId="77777777" w:rsidR="00D301A3" w:rsidRPr="00754367" w:rsidRDefault="00D301A3" w:rsidP="00DC54F7">
            <w:pPr>
              <w:spacing w:after="0" w:line="240" w:lineRule="auto"/>
              <w:jc w:val="both"/>
              <w:rPr>
                <w:rFonts w:ascii="Arial" w:eastAsia="Times New Roman" w:hAnsi="Arial" w:cs="Arial"/>
                <w:color w:val="000000"/>
                <w:sz w:val="18"/>
                <w:szCs w:val="18"/>
                <w:lang w:eastAsia="en-GB"/>
              </w:rPr>
            </w:pPr>
            <w:r w:rsidRPr="00754367">
              <w:rPr>
                <w:rFonts w:ascii="Arial" w:eastAsia="Times New Roman" w:hAnsi="Arial" w:cs="Arial"/>
                <w:color w:val="000000"/>
                <w:sz w:val="18"/>
                <w:szCs w:val="18"/>
                <w:lang w:eastAsia="en-GB"/>
              </w:rPr>
              <w:t>3</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78601025" w14:textId="77777777" w:rsidR="00D301A3" w:rsidRPr="00754367" w:rsidRDefault="00D301A3" w:rsidP="00DC54F7">
            <w:pPr>
              <w:spacing w:after="0" w:line="240" w:lineRule="auto"/>
              <w:jc w:val="both"/>
              <w:rPr>
                <w:rFonts w:ascii="Arial" w:eastAsia="Times New Roman" w:hAnsi="Arial" w:cs="Arial"/>
                <w:color w:val="000000"/>
                <w:sz w:val="18"/>
                <w:szCs w:val="18"/>
                <w:lang w:eastAsia="en-GB"/>
              </w:rPr>
            </w:pPr>
            <w:r w:rsidRPr="00754367">
              <w:rPr>
                <w:rFonts w:ascii="Arial" w:eastAsia="Times New Roman" w:hAnsi="Arial" w:cs="Arial"/>
                <w:color w:val="000000"/>
                <w:sz w:val="18"/>
                <w:szCs w:val="18"/>
                <w:lang w:eastAsia="en-GB"/>
              </w:rPr>
              <w:t>Prefer not to say</w:t>
            </w:r>
          </w:p>
        </w:tc>
        <w:tc>
          <w:tcPr>
            <w:tcW w:w="1134" w:type="dxa"/>
            <w:tcBorders>
              <w:top w:val="nil"/>
              <w:left w:val="nil"/>
              <w:bottom w:val="single" w:sz="4" w:space="0" w:color="A6A6A6"/>
              <w:right w:val="single" w:sz="4" w:space="0" w:color="A6A6A6"/>
            </w:tcBorders>
            <w:shd w:val="clear" w:color="000000" w:fill="F2F2F2"/>
            <w:noWrap/>
            <w:vAlign w:val="bottom"/>
            <w:hideMark/>
          </w:tcPr>
          <w:p w14:paraId="185846AB" w14:textId="77777777" w:rsidR="00D301A3" w:rsidRPr="00754367" w:rsidRDefault="00D301A3" w:rsidP="00DC54F7">
            <w:pPr>
              <w:spacing w:after="0" w:line="240" w:lineRule="auto"/>
              <w:jc w:val="both"/>
              <w:rPr>
                <w:rFonts w:ascii="Calibri" w:eastAsia="Times New Roman" w:hAnsi="Calibri" w:cs="Calibri"/>
                <w:color w:val="000000"/>
                <w:lang w:eastAsia="en-GB"/>
              </w:rPr>
            </w:pPr>
            <w:r w:rsidRPr="00754367">
              <w:rPr>
                <w:rFonts w:ascii="Calibri" w:eastAsia="Times New Roman" w:hAnsi="Calibri" w:cs="Calibri"/>
                <w:color w:val="000000"/>
                <w:lang w:eastAsia="en-GB"/>
              </w:rPr>
              <w:t>0.99%</w:t>
            </w:r>
          </w:p>
        </w:tc>
        <w:tc>
          <w:tcPr>
            <w:tcW w:w="992" w:type="dxa"/>
            <w:tcBorders>
              <w:top w:val="nil"/>
              <w:left w:val="nil"/>
              <w:bottom w:val="single" w:sz="4" w:space="0" w:color="A6A6A6"/>
              <w:right w:val="single" w:sz="4" w:space="0" w:color="A6A6A6"/>
            </w:tcBorders>
            <w:shd w:val="clear" w:color="000000" w:fill="F2F2F2"/>
            <w:noWrap/>
            <w:vAlign w:val="bottom"/>
            <w:hideMark/>
          </w:tcPr>
          <w:p w14:paraId="0D9BD5D5" w14:textId="77777777" w:rsidR="00D301A3" w:rsidRPr="00754367" w:rsidRDefault="00D301A3" w:rsidP="00DC54F7">
            <w:pPr>
              <w:spacing w:after="0" w:line="240" w:lineRule="auto"/>
              <w:jc w:val="both"/>
              <w:rPr>
                <w:rFonts w:ascii="Calibri" w:eastAsia="Times New Roman" w:hAnsi="Calibri" w:cs="Calibri"/>
                <w:color w:val="000000"/>
                <w:lang w:eastAsia="en-GB"/>
              </w:rPr>
            </w:pPr>
            <w:r w:rsidRPr="00754367">
              <w:rPr>
                <w:rFonts w:ascii="Calibri" w:eastAsia="Times New Roman" w:hAnsi="Calibri" w:cs="Calibri"/>
                <w:color w:val="000000"/>
                <w:lang w:eastAsia="en-GB"/>
              </w:rPr>
              <w:t>3</w:t>
            </w:r>
          </w:p>
        </w:tc>
      </w:tr>
      <w:tr w:rsidR="00D301A3" w:rsidRPr="00754367" w14:paraId="5DB4F55A" w14:textId="77777777" w:rsidTr="00AA572E">
        <w:trPr>
          <w:trHeight w:val="290"/>
        </w:trPr>
        <w:tc>
          <w:tcPr>
            <w:tcW w:w="5949"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3F78317B" w14:textId="77777777" w:rsidR="00D301A3" w:rsidRPr="00754367" w:rsidRDefault="00D301A3" w:rsidP="00DC54F7">
            <w:pPr>
              <w:spacing w:after="0" w:line="240" w:lineRule="auto"/>
              <w:jc w:val="both"/>
              <w:rPr>
                <w:rFonts w:ascii="Arial" w:eastAsia="Times New Roman" w:hAnsi="Arial" w:cs="Arial"/>
                <w:b/>
                <w:bCs/>
                <w:color w:val="000000"/>
                <w:lang w:eastAsia="en-GB"/>
              </w:rPr>
            </w:pPr>
            <w:r w:rsidRPr="00754367">
              <w:rPr>
                <w:rFonts w:ascii="Arial" w:eastAsia="Times New Roman" w:hAnsi="Arial" w:cs="Arial"/>
                <w:b/>
                <w:bCs/>
                <w:color w:val="000000"/>
                <w:lang w:eastAsia="en-GB"/>
              </w:rPr>
              <w:t> </w:t>
            </w:r>
          </w:p>
        </w:tc>
        <w:tc>
          <w:tcPr>
            <w:tcW w:w="1134" w:type="dxa"/>
            <w:tcBorders>
              <w:top w:val="nil"/>
              <w:left w:val="nil"/>
              <w:bottom w:val="single" w:sz="4" w:space="0" w:color="A6A6A6"/>
              <w:right w:val="single" w:sz="4" w:space="0" w:color="A6A6A6"/>
            </w:tcBorders>
            <w:shd w:val="clear" w:color="000000" w:fill="F2F2F2"/>
            <w:vAlign w:val="center"/>
            <w:hideMark/>
          </w:tcPr>
          <w:p w14:paraId="010F2257" w14:textId="77777777" w:rsidR="00D301A3" w:rsidRPr="00754367" w:rsidRDefault="00D301A3" w:rsidP="00DC54F7">
            <w:pPr>
              <w:spacing w:after="0" w:line="240" w:lineRule="auto"/>
              <w:jc w:val="both"/>
              <w:rPr>
                <w:rFonts w:ascii="Arial" w:eastAsia="Times New Roman" w:hAnsi="Arial" w:cs="Arial"/>
                <w:b/>
                <w:bCs/>
                <w:color w:val="000000"/>
                <w:sz w:val="18"/>
                <w:szCs w:val="18"/>
                <w:lang w:eastAsia="en-GB"/>
              </w:rPr>
            </w:pPr>
            <w:r w:rsidRPr="00754367">
              <w:rPr>
                <w:rFonts w:ascii="Arial" w:eastAsia="Times New Roman" w:hAnsi="Arial" w:cs="Arial"/>
                <w:b/>
                <w:bCs/>
                <w:color w:val="000000"/>
                <w:sz w:val="18"/>
                <w:szCs w:val="18"/>
                <w:lang w:eastAsia="en-GB"/>
              </w:rPr>
              <w:t xml:space="preserve">Total </w:t>
            </w:r>
          </w:p>
        </w:tc>
        <w:tc>
          <w:tcPr>
            <w:tcW w:w="1134" w:type="dxa"/>
            <w:tcBorders>
              <w:top w:val="nil"/>
              <w:left w:val="nil"/>
              <w:bottom w:val="single" w:sz="4" w:space="0" w:color="A6A6A6"/>
              <w:right w:val="single" w:sz="4" w:space="0" w:color="A6A6A6"/>
            </w:tcBorders>
            <w:shd w:val="clear" w:color="000000" w:fill="F2F2F2"/>
            <w:noWrap/>
            <w:vAlign w:val="bottom"/>
            <w:hideMark/>
          </w:tcPr>
          <w:p w14:paraId="3CA5113D" w14:textId="77777777" w:rsidR="00D301A3" w:rsidRPr="00754367" w:rsidRDefault="00D301A3" w:rsidP="00DC54F7">
            <w:pPr>
              <w:spacing w:after="0" w:line="240" w:lineRule="auto"/>
              <w:jc w:val="both"/>
              <w:rPr>
                <w:rFonts w:ascii="Calibri" w:eastAsia="Times New Roman" w:hAnsi="Calibri" w:cs="Calibri"/>
                <w:color w:val="000000"/>
                <w:lang w:eastAsia="en-GB"/>
              </w:rPr>
            </w:pPr>
            <w:r w:rsidRPr="00754367">
              <w:rPr>
                <w:rFonts w:ascii="Calibri" w:eastAsia="Times New Roman" w:hAnsi="Calibri" w:cs="Calibri"/>
                <w:color w:val="000000"/>
                <w:lang w:eastAsia="en-GB"/>
              </w:rPr>
              <w:t>100.00%</w:t>
            </w:r>
          </w:p>
        </w:tc>
        <w:tc>
          <w:tcPr>
            <w:tcW w:w="992" w:type="dxa"/>
            <w:tcBorders>
              <w:top w:val="nil"/>
              <w:left w:val="nil"/>
              <w:bottom w:val="single" w:sz="4" w:space="0" w:color="A6A6A6"/>
              <w:right w:val="single" w:sz="4" w:space="0" w:color="A6A6A6"/>
            </w:tcBorders>
            <w:shd w:val="clear" w:color="000000" w:fill="F2F2F2"/>
            <w:noWrap/>
            <w:vAlign w:val="bottom"/>
            <w:hideMark/>
          </w:tcPr>
          <w:p w14:paraId="23931C64" w14:textId="77777777" w:rsidR="00D301A3" w:rsidRPr="00754367" w:rsidRDefault="00D301A3" w:rsidP="00DC54F7">
            <w:pPr>
              <w:spacing w:after="0" w:line="240" w:lineRule="auto"/>
              <w:jc w:val="both"/>
              <w:rPr>
                <w:rFonts w:ascii="Calibri" w:eastAsia="Times New Roman" w:hAnsi="Calibri" w:cs="Calibri"/>
                <w:color w:val="000000"/>
                <w:lang w:eastAsia="en-GB"/>
              </w:rPr>
            </w:pPr>
            <w:r w:rsidRPr="00754367">
              <w:rPr>
                <w:rFonts w:ascii="Calibri" w:eastAsia="Times New Roman" w:hAnsi="Calibri" w:cs="Calibri"/>
                <w:color w:val="000000"/>
                <w:lang w:eastAsia="en-GB"/>
              </w:rPr>
              <w:t>304</w:t>
            </w:r>
          </w:p>
        </w:tc>
      </w:tr>
      <w:tr w:rsidR="00D301A3" w:rsidRPr="00754367" w14:paraId="16E4521D" w14:textId="77777777" w:rsidTr="00AA572E">
        <w:trPr>
          <w:trHeight w:val="290"/>
        </w:trPr>
        <w:tc>
          <w:tcPr>
            <w:tcW w:w="5949" w:type="dxa"/>
            <w:gridSpan w:val="2"/>
            <w:vMerge/>
            <w:tcBorders>
              <w:top w:val="single" w:sz="4" w:space="0" w:color="A6A6A6"/>
              <w:left w:val="single" w:sz="4" w:space="0" w:color="A6A6A6"/>
              <w:bottom w:val="single" w:sz="4" w:space="0" w:color="A6A6A6"/>
              <w:right w:val="single" w:sz="4" w:space="0" w:color="A6A6A6"/>
            </w:tcBorders>
            <w:vAlign w:val="center"/>
            <w:hideMark/>
          </w:tcPr>
          <w:p w14:paraId="02357369" w14:textId="77777777" w:rsidR="00D301A3" w:rsidRPr="00754367" w:rsidRDefault="00D301A3" w:rsidP="00DC54F7">
            <w:pPr>
              <w:spacing w:after="0" w:line="240" w:lineRule="auto"/>
              <w:jc w:val="both"/>
              <w:rPr>
                <w:rFonts w:ascii="Arial" w:eastAsia="Times New Roman" w:hAnsi="Arial" w:cs="Arial"/>
                <w:b/>
                <w:bCs/>
                <w:color w:val="000000"/>
                <w:lang w:eastAsia="en-GB"/>
              </w:rPr>
            </w:pPr>
          </w:p>
        </w:tc>
        <w:tc>
          <w:tcPr>
            <w:tcW w:w="1134" w:type="dxa"/>
            <w:tcBorders>
              <w:top w:val="nil"/>
              <w:left w:val="nil"/>
              <w:bottom w:val="single" w:sz="4" w:space="0" w:color="A6A6A6"/>
              <w:right w:val="single" w:sz="4" w:space="0" w:color="A6A6A6"/>
            </w:tcBorders>
            <w:shd w:val="clear" w:color="000000" w:fill="F2F2F2"/>
            <w:vAlign w:val="center"/>
            <w:hideMark/>
          </w:tcPr>
          <w:p w14:paraId="57994455" w14:textId="77777777" w:rsidR="00D301A3" w:rsidRPr="00754367" w:rsidRDefault="00D301A3" w:rsidP="00DC54F7">
            <w:pPr>
              <w:spacing w:after="0" w:line="240" w:lineRule="auto"/>
              <w:jc w:val="both"/>
              <w:rPr>
                <w:rFonts w:ascii="Arial" w:eastAsia="Times New Roman" w:hAnsi="Arial" w:cs="Arial"/>
                <w:b/>
                <w:bCs/>
                <w:color w:val="000000"/>
                <w:sz w:val="18"/>
                <w:szCs w:val="18"/>
                <w:lang w:eastAsia="en-GB"/>
              </w:rPr>
            </w:pPr>
            <w:r w:rsidRPr="00754367">
              <w:rPr>
                <w:rFonts w:ascii="Arial" w:eastAsia="Times New Roman" w:hAnsi="Arial" w:cs="Arial"/>
                <w:b/>
                <w:bCs/>
                <w:color w:val="000000"/>
                <w:sz w:val="18"/>
                <w:szCs w:val="18"/>
                <w:lang w:eastAsia="en-GB"/>
              </w:rPr>
              <w:t>Skipped</w:t>
            </w:r>
          </w:p>
        </w:tc>
        <w:tc>
          <w:tcPr>
            <w:tcW w:w="1134" w:type="dxa"/>
            <w:tcBorders>
              <w:top w:val="nil"/>
              <w:left w:val="nil"/>
              <w:bottom w:val="single" w:sz="4" w:space="0" w:color="A6A6A6"/>
              <w:right w:val="single" w:sz="4" w:space="0" w:color="A6A6A6"/>
            </w:tcBorders>
            <w:shd w:val="clear" w:color="000000" w:fill="F2F2F2"/>
            <w:noWrap/>
            <w:vAlign w:val="bottom"/>
            <w:hideMark/>
          </w:tcPr>
          <w:p w14:paraId="2DDF4BC5" w14:textId="77777777" w:rsidR="00D301A3" w:rsidRPr="00754367" w:rsidRDefault="00D301A3" w:rsidP="00DC54F7">
            <w:pPr>
              <w:spacing w:after="0" w:line="240" w:lineRule="auto"/>
              <w:jc w:val="both"/>
              <w:rPr>
                <w:rFonts w:ascii="Calibri" w:eastAsia="Times New Roman" w:hAnsi="Calibri" w:cs="Calibri"/>
                <w:color w:val="000000"/>
                <w:lang w:eastAsia="en-GB"/>
              </w:rPr>
            </w:pPr>
            <w:r w:rsidRPr="00754367">
              <w:rPr>
                <w:rFonts w:ascii="Calibri" w:eastAsia="Times New Roman" w:hAnsi="Calibri" w:cs="Calibri"/>
                <w:color w:val="000000"/>
                <w:lang w:eastAsia="en-GB"/>
              </w:rPr>
              <w:t> </w:t>
            </w:r>
          </w:p>
        </w:tc>
        <w:tc>
          <w:tcPr>
            <w:tcW w:w="992" w:type="dxa"/>
            <w:tcBorders>
              <w:top w:val="nil"/>
              <w:left w:val="nil"/>
              <w:bottom w:val="single" w:sz="4" w:space="0" w:color="A6A6A6"/>
              <w:right w:val="single" w:sz="4" w:space="0" w:color="A6A6A6"/>
            </w:tcBorders>
            <w:shd w:val="clear" w:color="000000" w:fill="F2F2F2"/>
            <w:noWrap/>
            <w:vAlign w:val="bottom"/>
            <w:hideMark/>
          </w:tcPr>
          <w:p w14:paraId="6A6A9BB5" w14:textId="77777777" w:rsidR="00D301A3" w:rsidRPr="00754367" w:rsidRDefault="00D301A3" w:rsidP="00DC54F7">
            <w:pPr>
              <w:spacing w:after="0" w:line="240" w:lineRule="auto"/>
              <w:jc w:val="both"/>
              <w:rPr>
                <w:rFonts w:ascii="Calibri" w:eastAsia="Times New Roman" w:hAnsi="Calibri" w:cs="Calibri"/>
                <w:color w:val="000000"/>
                <w:lang w:eastAsia="en-GB"/>
              </w:rPr>
            </w:pPr>
            <w:r w:rsidRPr="00754367">
              <w:rPr>
                <w:rFonts w:ascii="Calibri" w:eastAsia="Times New Roman" w:hAnsi="Calibri" w:cs="Calibri"/>
                <w:color w:val="000000"/>
                <w:lang w:eastAsia="en-GB"/>
              </w:rPr>
              <w:t>7</w:t>
            </w:r>
          </w:p>
        </w:tc>
      </w:tr>
    </w:tbl>
    <w:p w14:paraId="502ED077" w14:textId="02A1BD40" w:rsidR="00D301A3" w:rsidRDefault="00D301A3" w:rsidP="00DC54F7">
      <w:pPr>
        <w:spacing w:after="0"/>
        <w:jc w:val="both"/>
        <w:rPr>
          <w:rFonts w:ascii="Arial" w:hAnsi="Arial" w:cs="Arial"/>
        </w:rPr>
      </w:pPr>
    </w:p>
    <w:p w14:paraId="11E60304" w14:textId="77777777" w:rsidR="001B5C8F" w:rsidRDefault="001B5C8F" w:rsidP="00DC54F7">
      <w:pPr>
        <w:spacing w:after="0"/>
        <w:jc w:val="both"/>
        <w:rPr>
          <w:rFonts w:ascii="Arial" w:hAnsi="Arial" w:cs="Arial"/>
        </w:rPr>
      </w:pPr>
    </w:p>
    <w:p w14:paraId="2F004C55" w14:textId="77777777" w:rsidR="00D301A3" w:rsidRPr="00C3421A" w:rsidRDefault="00D301A3" w:rsidP="00DC54F7">
      <w:pPr>
        <w:spacing w:after="0"/>
        <w:jc w:val="both"/>
        <w:rPr>
          <w:rFonts w:ascii="Arial" w:hAnsi="Arial" w:cs="Arial"/>
          <w:b/>
          <w:bCs/>
        </w:rPr>
      </w:pPr>
      <w:r w:rsidRPr="00C3421A">
        <w:rPr>
          <w:rFonts w:ascii="Arial" w:hAnsi="Arial" w:cs="Arial"/>
          <w:b/>
          <w:bCs/>
        </w:rPr>
        <w:t>25. Do you identify as a disabled person? Please tick one.</w:t>
      </w:r>
    </w:p>
    <w:p w14:paraId="397D3052" w14:textId="77777777" w:rsidR="00D301A3" w:rsidRDefault="00D301A3" w:rsidP="00DC54F7">
      <w:pPr>
        <w:spacing w:after="0"/>
        <w:jc w:val="both"/>
        <w:rPr>
          <w:rFonts w:ascii="Arial" w:hAnsi="Arial" w:cs="Arial"/>
        </w:rPr>
      </w:pPr>
    </w:p>
    <w:tbl>
      <w:tblPr>
        <w:tblW w:w="9209" w:type="dxa"/>
        <w:tblLook w:val="04A0" w:firstRow="1" w:lastRow="0" w:firstColumn="1" w:lastColumn="0" w:noHBand="0" w:noVBand="1"/>
      </w:tblPr>
      <w:tblGrid>
        <w:gridCol w:w="960"/>
        <w:gridCol w:w="4989"/>
        <w:gridCol w:w="1134"/>
        <w:gridCol w:w="1134"/>
        <w:gridCol w:w="992"/>
      </w:tblGrid>
      <w:tr w:rsidR="00D301A3" w:rsidRPr="00A77C50" w14:paraId="495CF2B5" w14:textId="77777777" w:rsidTr="00AA572E">
        <w:trPr>
          <w:trHeight w:val="290"/>
        </w:trPr>
        <w:tc>
          <w:tcPr>
            <w:tcW w:w="7083" w:type="dxa"/>
            <w:gridSpan w:val="3"/>
            <w:tcBorders>
              <w:top w:val="single" w:sz="4" w:space="0" w:color="A6A6A6"/>
              <w:left w:val="single" w:sz="4" w:space="0" w:color="A6A6A6"/>
              <w:bottom w:val="single" w:sz="4" w:space="0" w:color="A6A6A6"/>
              <w:right w:val="nil"/>
            </w:tcBorders>
            <w:shd w:val="clear" w:color="000000" w:fill="ACB9CA"/>
            <w:noWrap/>
            <w:vAlign w:val="center"/>
            <w:hideMark/>
          </w:tcPr>
          <w:p w14:paraId="12B392A8" w14:textId="77777777" w:rsidR="00D301A3" w:rsidRPr="00A77C50" w:rsidRDefault="00D301A3" w:rsidP="00DC54F7">
            <w:pPr>
              <w:spacing w:after="0" w:line="240" w:lineRule="auto"/>
              <w:jc w:val="both"/>
              <w:rPr>
                <w:rFonts w:ascii="Arial" w:eastAsia="Times New Roman" w:hAnsi="Arial" w:cs="Arial"/>
                <w:b/>
                <w:bCs/>
                <w:color w:val="FFFFFF"/>
                <w:sz w:val="21"/>
                <w:szCs w:val="21"/>
                <w:lang w:eastAsia="en-GB"/>
              </w:rPr>
            </w:pPr>
            <w:r w:rsidRPr="00A77C50">
              <w:rPr>
                <w:rFonts w:ascii="Arial" w:eastAsia="Times New Roman" w:hAnsi="Arial" w:cs="Arial"/>
                <w:b/>
                <w:bCs/>
                <w:color w:val="FFFFFF"/>
                <w:sz w:val="21"/>
                <w:szCs w:val="21"/>
                <w:lang w:eastAsia="en-GB"/>
              </w:rPr>
              <w:t> </w:t>
            </w:r>
          </w:p>
        </w:tc>
        <w:tc>
          <w:tcPr>
            <w:tcW w:w="2126" w:type="dxa"/>
            <w:gridSpan w:val="2"/>
            <w:tcBorders>
              <w:top w:val="single" w:sz="4" w:space="0" w:color="A6A6A6"/>
              <w:left w:val="nil"/>
              <w:bottom w:val="single" w:sz="4" w:space="0" w:color="A6A6A6"/>
              <w:right w:val="single" w:sz="4" w:space="0" w:color="A6A6A6"/>
            </w:tcBorders>
            <w:shd w:val="clear" w:color="000000" w:fill="ACB9CA"/>
            <w:noWrap/>
            <w:vAlign w:val="center"/>
            <w:hideMark/>
          </w:tcPr>
          <w:p w14:paraId="0E0DFAD8" w14:textId="77777777" w:rsidR="00D301A3" w:rsidRPr="00A77C50" w:rsidRDefault="00D301A3" w:rsidP="00DC54F7">
            <w:pPr>
              <w:spacing w:after="0" w:line="240" w:lineRule="auto"/>
              <w:jc w:val="both"/>
              <w:rPr>
                <w:rFonts w:ascii="Arial" w:eastAsia="Times New Roman" w:hAnsi="Arial" w:cs="Arial"/>
                <w:b/>
                <w:bCs/>
                <w:color w:val="FFFFFF"/>
                <w:sz w:val="21"/>
                <w:szCs w:val="21"/>
                <w:lang w:eastAsia="en-GB"/>
              </w:rPr>
            </w:pPr>
            <w:r w:rsidRPr="00A77C50">
              <w:rPr>
                <w:rFonts w:ascii="Arial" w:eastAsia="Times New Roman" w:hAnsi="Arial" w:cs="Arial"/>
                <w:b/>
                <w:bCs/>
                <w:color w:val="FFFFFF"/>
                <w:sz w:val="21"/>
                <w:szCs w:val="21"/>
                <w:lang w:eastAsia="en-GB"/>
              </w:rPr>
              <w:t>Response</w:t>
            </w:r>
          </w:p>
        </w:tc>
      </w:tr>
      <w:tr w:rsidR="00D301A3" w:rsidRPr="00A77C50" w14:paraId="25E680F6" w14:textId="77777777" w:rsidTr="00AA572E">
        <w:trPr>
          <w:trHeight w:val="290"/>
        </w:trPr>
        <w:tc>
          <w:tcPr>
            <w:tcW w:w="7083"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0DD7D31D" w14:textId="77777777" w:rsidR="00D301A3" w:rsidRPr="00A77C50" w:rsidRDefault="00D301A3" w:rsidP="00DC54F7">
            <w:pPr>
              <w:spacing w:after="0" w:line="240" w:lineRule="auto"/>
              <w:jc w:val="both"/>
              <w:rPr>
                <w:rFonts w:ascii="Arial" w:eastAsia="Times New Roman" w:hAnsi="Arial" w:cs="Arial"/>
                <w:b/>
                <w:bCs/>
                <w:color w:val="000000"/>
                <w:sz w:val="18"/>
                <w:szCs w:val="18"/>
                <w:lang w:eastAsia="en-GB"/>
              </w:rPr>
            </w:pPr>
            <w:r w:rsidRPr="00A77C50">
              <w:rPr>
                <w:rFonts w:ascii="Arial" w:eastAsia="Times New Roman" w:hAnsi="Arial" w:cs="Arial"/>
                <w:b/>
                <w:bCs/>
                <w:color w:val="000000"/>
                <w:sz w:val="18"/>
                <w:szCs w:val="18"/>
                <w:lang w:eastAsia="en-GB"/>
              </w:rPr>
              <w:t> </w:t>
            </w:r>
          </w:p>
        </w:tc>
        <w:tc>
          <w:tcPr>
            <w:tcW w:w="1134" w:type="dxa"/>
            <w:tcBorders>
              <w:top w:val="nil"/>
              <w:left w:val="nil"/>
              <w:bottom w:val="single" w:sz="4" w:space="0" w:color="A6A6A6"/>
              <w:right w:val="single" w:sz="4" w:space="0" w:color="A6A6A6"/>
            </w:tcBorders>
            <w:shd w:val="clear" w:color="000000" w:fill="F2F2F2"/>
            <w:noWrap/>
            <w:vAlign w:val="center"/>
            <w:hideMark/>
          </w:tcPr>
          <w:p w14:paraId="2BCAAC58" w14:textId="77777777" w:rsidR="00D301A3" w:rsidRPr="00A77C50" w:rsidRDefault="00D301A3" w:rsidP="00DC54F7">
            <w:pPr>
              <w:spacing w:after="0" w:line="240" w:lineRule="auto"/>
              <w:jc w:val="both"/>
              <w:rPr>
                <w:rFonts w:ascii="Arial" w:eastAsia="Times New Roman" w:hAnsi="Arial" w:cs="Arial"/>
                <w:b/>
                <w:bCs/>
                <w:color w:val="000000"/>
                <w:sz w:val="18"/>
                <w:szCs w:val="18"/>
                <w:lang w:eastAsia="en-GB"/>
              </w:rPr>
            </w:pPr>
            <w:r w:rsidRPr="00A77C50">
              <w:rPr>
                <w:rFonts w:ascii="Arial" w:eastAsia="Times New Roman" w:hAnsi="Arial" w:cs="Arial"/>
                <w:b/>
                <w:bCs/>
                <w:color w:val="000000"/>
                <w:sz w:val="18"/>
                <w:szCs w:val="18"/>
                <w:lang w:eastAsia="en-GB"/>
              </w:rPr>
              <w:t>Percent</w:t>
            </w:r>
          </w:p>
        </w:tc>
        <w:tc>
          <w:tcPr>
            <w:tcW w:w="992" w:type="dxa"/>
            <w:tcBorders>
              <w:top w:val="nil"/>
              <w:left w:val="nil"/>
              <w:bottom w:val="single" w:sz="4" w:space="0" w:color="A6A6A6"/>
              <w:right w:val="single" w:sz="4" w:space="0" w:color="A6A6A6"/>
            </w:tcBorders>
            <w:shd w:val="clear" w:color="000000" w:fill="F2F2F2"/>
            <w:noWrap/>
            <w:vAlign w:val="center"/>
            <w:hideMark/>
          </w:tcPr>
          <w:p w14:paraId="19427746" w14:textId="77777777" w:rsidR="00D301A3" w:rsidRPr="00A77C50" w:rsidRDefault="00D301A3" w:rsidP="00DC54F7">
            <w:pPr>
              <w:spacing w:after="0" w:line="240" w:lineRule="auto"/>
              <w:jc w:val="both"/>
              <w:rPr>
                <w:rFonts w:ascii="Arial" w:eastAsia="Times New Roman" w:hAnsi="Arial" w:cs="Arial"/>
                <w:b/>
                <w:bCs/>
                <w:color w:val="000000"/>
                <w:sz w:val="18"/>
                <w:szCs w:val="18"/>
                <w:lang w:eastAsia="en-GB"/>
              </w:rPr>
            </w:pPr>
            <w:r w:rsidRPr="00A77C50">
              <w:rPr>
                <w:rFonts w:ascii="Arial" w:eastAsia="Times New Roman" w:hAnsi="Arial" w:cs="Arial"/>
                <w:b/>
                <w:bCs/>
                <w:color w:val="000000"/>
                <w:sz w:val="18"/>
                <w:szCs w:val="18"/>
                <w:lang w:eastAsia="en-GB"/>
              </w:rPr>
              <w:t>Total</w:t>
            </w:r>
          </w:p>
        </w:tc>
      </w:tr>
      <w:tr w:rsidR="00D301A3" w:rsidRPr="00A77C50" w14:paraId="62DBAB7E"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6EE309E" w14:textId="77777777" w:rsidR="00D301A3" w:rsidRPr="00A77C50" w:rsidRDefault="00D301A3" w:rsidP="00DC54F7">
            <w:pPr>
              <w:spacing w:after="0" w:line="240" w:lineRule="auto"/>
              <w:jc w:val="both"/>
              <w:rPr>
                <w:rFonts w:ascii="Arial" w:eastAsia="Times New Roman" w:hAnsi="Arial" w:cs="Arial"/>
                <w:color w:val="000000"/>
                <w:sz w:val="18"/>
                <w:szCs w:val="18"/>
                <w:lang w:eastAsia="en-GB"/>
              </w:rPr>
            </w:pPr>
            <w:r w:rsidRPr="00A77C50">
              <w:rPr>
                <w:rFonts w:ascii="Arial" w:eastAsia="Times New Roman" w:hAnsi="Arial" w:cs="Arial"/>
                <w:color w:val="000000"/>
                <w:sz w:val="18"/>
                <w:szCs w:val="18"/>
                <w:lang w:eastAsia="en-GB"/>
              </w:rPr>
              <w:t>1</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4ACBC94E" w14:textId="77777777" w:rsidR="00D301A3" w:rsidRPr="00A77C50" w:rsidRDefault="00D301A3" w:rsidP="00DC54F7">
            <w:pPr>
              <w:spacing w:after="0" w:line="240" w:lineRule="auto"/>
              <w:jc w:val="both"/>
              <w:rPr>
                <w:rFonts w:ascii="Arial" w:eastAsia="Times New Roman" w:hAnsi="Arial" w:cs="Arial"/>
                <w:color w:val="000000"/>
                <w:sz w:val="18"/>
                <w:szCs w:val="18"/>
                <w:lang w:eastAsia="en-GB"/>
              </w:rPr>
            </w:pPr>
            <w:r w:rsidRPr="00A77C50">
              <w:rPr>
                <w:rFonts w:ascii="Arial" w:eastAsia="Times New Roman" w:hAnsi="Arial" w:cs="Arial"/>
                <w:color w:val="000000"/>
                <w:sz w:val="18"/>
                <w:szCs w:val="18"/>
                <w:lang w:eastAsia="en-GB"/>
              </w:rPr>
              <w:t>Yes</w:t>
            </w:r>
          </w:p>
        </w:tc>
        <w:tc>
          <w:tcPr>
            <w:tcW w:w="1134" w:type="dxa"/>
            <w:tcBorders>
              <w:top w:val="nil"/>
              <w:left w:val="nil"/>
              <w:bottom w:val="single" w:sz="4" w:space="0" w:color="A6A6A6"/>
              <w:right w:val="single" w:sz="4" w:space="0" w:color="A6A6A6"/>
            </w:tcBorders>
            <w:shd w:val="clear" w:color="000000" w:fill="F2F2F2"/>
            <w:noWrap/>
            <w:vAlign w:val="bottom"/>
            <w:hideMark/>
          </w:tcPr>
          <w:p w14:paraId="06F6A01D" w14:textId="77777777" w:rsidR="00D301A3" w:rsidRPr="00A77C50" w:rsidRDefault="00D301A3" w:rsidP="00DC54F7">
            <w:pPr>
              <w:spacing w:after="0" w:line="240" w:lineRule="auto"/>
              <w:jc w:val="both"/>
              <w:rPr>
                <w:rFonts w:ascii="Calibri" w:eastAsia="Times New Roman" w:hAnsi="Calibri" w:cs="Calibri"/>
                <w:color w:val="000000"/>
                <w:lang w:eastAsia="en-GB"/>
              </w:rPr>
            </w:pPr>
            <w:r w:rsidRPr="00A77C50">
              <w:rPr>
                <w:rFonts w:ascii="Calibri" w:eastAsia="Times New Roman" w:hAnsi="Calibri" w:cs="Calibri"/>
                <w:color w:val="000000"/>
                <w:lang w:eastAsia="en-GB"/>
              </w:rPr>
              <w:t>12.17%</w:t>
            </w:r>
          </w:p>
        </w:tc>
        <w:tc>
          <w:tcPr>
            <w:tcW w:w="992" w:type="dxa"/>
            <w:tcBorders>
              <w:top w:val="nil"/>
              <w:left w:val="nil"/>
              <w:bottom w:val="single" w:sz="4" w:space="0" w:color="A6A6A6"/>
              <w:right w:val="single" w:sz="4" w:space="0" w:color="A6A6A6"/>
            </w:tcBorders>
            <w:shd w:val="clear" w:color="000000" w:fill="F2F2F2"/>
            <w:noWrap/>
            <w:vAlign w:val="bottom"/>
            <w:hideMark/>
          </w:tcPr>
          <w:p w14:paraId="3E6925CB" w14:textId="77777777" w:rsidR="00D301A3" w:rsidRPr="00A77C50" w:rsidRDefault="00D301A3" w:rsidP="00DC54F7">
            <w:pPr>
              <w:spacing w:after="0" w:line="240" w:lineRule="auto"/>
              <w:jc w:val="both"/>
              <w:rPr>
                <w:rFonts w:ascii="Calibri" w:eastAsia="Times New Roman" w:hAnsi="Calibri" w:cs="Calibri"/>
                <w:color w:val="000000"/>
                <w:lang w:eastAsia="en-GB"/>
              </w:rPr>
            </w:pPr>
            <w:r w:rsidRPr="00A77C50">
              <w:rPr>
                <w:rFonts w:ascii="Calibri" w:eastAsia="Times New Roman" w:hAnsi="Calibri" w:cs="Calibri"/>
                <w:color w:val="000000"/>
                <w:lang w:eastAsia="en-GB"/>
              </w:rPr>
              <w:t>37</w:t>
            </w:r>
          </w:p>
        </w:tc>
      </w:tr>
      <w:tr w:rsidR="00D301A3" w:rsidRPr="00A77C50" w14:paraId="11AF77B9"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204EFD4E" w14:textId="77777777" w:rsidR="00D301A3" w:rsidRPr="00A77C50" w:rsidRDefault="00D301A3" w:rsidP="00DC54F7">
            <w:pPr>
              <w:spacing w:after="0" w:line="240" w:lineRule="auto"/>
              <w:jc w:val="both"/>
              <w:rPr>
                <w:rFonts w:ascii="Arial" w:eastAsia="Times New Roman" w:hAnsi="Arial" w:cs="Arial"/>
                <w:color w:val="000000"/>
                <w:sz w:val="18"/>
                <w:szCs w:val="18"/>
                <w:lang w:eastAsia="en-GB"/>
              </w:rPr>
            </w:pPr>
            <w:r w:rsidRPr="00A77C50">
              <w:rPr>
                <w:rFonts w:ascii="Arial" w:eastAsia="Times New Roman" w:hAnsi="Arial" w:cs="Arial"/>
                <w:color w:val="000000"/>
                <w:sz w:val="18"/>
                <w:szCs w:val="18"/>
                <w:lang w:eastAsia="en-GB"/>
              </w:rPr>
              <w:t>2</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11586ED5" w14:textId="77777777" w:rsidR="00D301A3" w:rsidRPr="00A77C50" w:rsidRDefault="00D301A3" w:rsidP="00DC54F7">
            <w:pPr>
              <w:spacing w:after="0" w:line="240" w:lineRule="auto"/>
              <w:jc w:val="both"/>
              <w:rPr>
                <w:rFonts w:ascii="Arial" w:eastAsia="Times New Roman" w:hAnsi="Arial" w:cs="Arial"/>
                <w:color w:val="000000"/>
                <w:sz w:val="18"/>
                <w:szCs w:val="18"/>
                <w:lang w:eastAsia="en-GB"/>
              </w:rPr>
            </w:pPr>
            <w:r w:rsidRPr="00A77C50">
              <w:rPr>
                <w:rFonts w:ascii="Arial" w:eastAsia="Times New Roman" w:hAnsi="Arial" w:cs="Arial"/>
                <w:color w:val="000000"/>
                <w:sz w:val="18"/>
                <w:szCs w:val="18"/>
                <w:lang w:eastAsia="en-GB"/>
              </w:rPr>
              <w:t>No</w:t>
            </w:r>
          </w:p>
        </w:tc>
        <w:tc>
          <w:tcPr>
            <w:tcW w:w="1134" w:type="dxa"/>
            <w:tcBorders>
              <w:top w:val="nil"/>
              <w:left w:val="nil"/>
              <w:bottom w:val="single" w:sz="4" w:space="0" w:color="A6A6A6"/>
              <w:right w:val="single" w:sz="4" w:space="0" w:color="A6A6A6"/>
            </w:tcBorders>
            <w:shd w:val="clear" w:color="000000" w:fill="F2F2F2"/>
            <w:noWrap/>
            <w:vAlign w:val="bottom"/>
            <w:hideMark/>
          </w:tcPr>
          <w:p w14:paraId="08A09E86" w14:textId="77777777" w:rsidR="00D301A3" w:rsidRPr="00A77C50" w:rsidRDefault="00D301A3" w:rsidP="00DC54F7">
            <w:pPr>
              <w:spacing w:after="0" w:line="240" w:lineRule="auto"/>
              <w:jc w:val="both"/>
              <w:rPr>
                <w:rFonts w:ascii="Calibri" w:eastAsia="Times New Roman" w:hAnsi="Calibri" w:cs="Calibri"/>
                <w:color w:val="000000"/>
                <w:lang w:eastAsia="en-GB"/>
              </w:rPr>
            </w:pPr>
            <w:r w:rsidRPr="00A77C50">
              <w:rPr>
                <w:rFonts w:ascii="Calibri" w:eastAsia="Times New Roman" w:hAnsi="Calibri" w:cs="Calibri"/>
                <w:color w:val="000000"/>
                <w:lang w:eastAsia="en-GB"/>
              </w:rPr>
              <w:t>85.53%</w:t>
            </w:r>
          </w:p>
        </w:tc>
        <w:tc>
          <w:tcPr>
            <w:tcW w:w="992" w:type="dxa"/>
            <w:tcBorders>
              <w:top w:val="nil"/>
              <w:left w:val="nil"/>
              <w:bottom w:val="single" w:sz="4" w:space="0" w:color="A6A6A6"/>
              <w:right w:val="single" w:sz="4" w:space="0" w:color="A6A6A6"/>
            </w:tcBorders>
            <w:shd w:val="clear" w:color="000000" w:fill="F2F2F2"/>
            <w:noWrap/>
            <w:vAlign w:val="bottom"/>
            <w:hideMark/>
          </w:tcPr>
          <w:p w14:paraId="14EE368D" w14:textId="77777777" w:rsidR="00D301A3" w:rsidRPr="00A77C50" w:rsidRDefault="00D301A3" w:rsidP="00DC54F7">
            <w:pPr>
              <w:spacing w:after="0" w:line="240" w:lineRule="auto"/>
              <w:jc w:val="both"/>
              <w:rPr>
                <w:rFonts w:ascii="Calibri" w:eastAsia="Times New Roman" w:hAnsi="Calibri" w:cs="Calibri"/>
                <w:color w:val="000000"/>
                <w:lang w:eastAsia="en-GB"/>
              </w:rPr>
            </w:pPr>
            <w:r w:rsidRPr="00A77C50">
              <w:rPr>
                <w:rFonts w:ascii="Calibri" w:eastAsia="Times New Roman" w:hAnsi="Calibri" w:cs="Calibri"/>
                <w:color w:val="000000"/>
                <w:lang w:eastAsia="en-GB"/>
              </w:rPr>
              <w:t>260</w:t>
            </w:r>
          </w:p>
        </w:tc>
      </w:tr>
      <w:tr w:rsidR="00D301A3" w:rsidRPr="00A77C50" w14:paraId="70721B73"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390A60A" w14:textId="77777777" w:rsidR="00D301A3" w:rsidRPr="00A77C50" w:rsidRDefault="00D301A3" w:rsidP="00DC54F7">
            <w:pPr>
              <w:spacing w:after="0" w:line="240" w:lineRule="auto"/>
              <w:jc w:val="both"/>
              <w:rPr>
                <w:rFonts w:ascii="Arial" w:eastAsia="Times New Roman" w:hAnsi="Arial" w:cs="Arial"/>
                <w:color w:val="000000"/>
                <w:sz w:val="18"/>
                <w:szCs w:val="18"/>
                <w:lang w:eastAsia="en-GB"/>
              </w:rPr>
            </w:pPr>
            <w:r w:rsidRPr="00A77C50">
              <w:rPr>
                <w:rFonts w:ascii="Arial" w:eastAsia="Times New Roman" w:hAnsi="Arial" w:cs="Arial"/>
                <w:color w:val="000000"/>
                <w:sz w:val="18"/>
                <w:szCs w:val="18"/>
                <w:lang w:eastAsia="en-GB"/>
              </w:rPr>
              <w:t>3</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2F3E7918" w14:textId="77777777" w:rsidR="00D301A3" w:rsidRPr="00A77C50" w:rsidRDefault="00D301A3" w:rsidP="00DC54F7">
            <w:pPr>
              <w:spacing w:after="0" w:line="240" w:lineRule="auto"/>
              <w:jc w:val="both"/>
              <w:rPr>
                <w:rFonts w:ascii="Arial" w:eastAsia="Times New Roman" w:hAnsi="Arial" w:cs="Arial"/>
                <w:color w:val="000000"/>
                <w:sz w:val="18"/>
                <w:szCs w:val="18"/>
                <w:lang w:eastAsia="en-GB"/>
              </w:rPr>
            </w:pPr>
            <w:r w:rsidRPr="00A77C50">
              <w:rPr>
                <w:rFonts w:ascii="Arial" w:eastAsia="Times New Roman" w:hAnsi="Arial" w:cs="Arial"/>
                <w:color w:val="000000"/>
                <w:sz w:val="18"/>
                <w:szCs w:val="18"/>
                <w:lang w:eastAsia="en-GB"/>
              </w:rPr>
              <w:t>Prefer not to say</w:t>
            </w:r>
          </w:p>
        </w:tc>
        <w:tc>
          <w:tcPr>
            <w:tcW w:w="1134" w:type="dxa"/>
            <w:tcBorders>
              <w:top w:val="nil"/>
              <w:left w:val="nil"/>
              <w:bottom w:val="single" w:sz="4" w:space="0" w:color="A6A6A6"/>
              <w:right w:val="single" w:sz="4" w:space="0" w:color="A6A6A6"/>
            </w:tcBorders>
            <w:shd w:val="clear" w:color="000000" w:fill="F2F2F2"/>
            <w:noWrap/>
            <w:vAlign w:val="bottom"/>
            <w:hideMark/>
          </w:tcPr>
          <w:p w14:paraId="0AB84EAF" w14:textId="77777777" w:rsidR="00D301A3" w:rsidRPr="00A77C50" w:rsidRDefault="00D301A3" w:rsidP="00DC54F7">
            <w:pPr>
              <w:spacing w:after="0" w:line="240" w:lineRule="auto"/>
              <w:jc w:val="both"/>
              <w:rPr>
                <w:rFonts w:ascii="Calibri" w:eastAsia="Times New Roman" w:hAnsi="Calibri" w:cs="Calibri"/>
                <w:color w:val="000000"/>
                <w:lang w:eastAsia="en-GB"/>
              </w:rPr>
            </w:pPr>
            <w:r w:rsidRPr="00A77C50">
              <w:rPr>
                <w:rFonts w:ascii="Calibri" w:eastAsia="Times New Roman" w:hAnsi="Calibri" w:cs="Calibri"/>
                <w:color w:val="000000"/>
                <w:lang w:eastAsia="en-GB"/>
              </w:rPr>
              <w:t>2.30%</w:t>
            </w:r>
          </w:p>
        </w:tc>
        <w:tc>
          <w:tcPr>
            <w:tcW w:w="992" w:type="dxa"/>
            <w:tcBorders>
              <w:top w:val="nil"/>
              <w:left w:val="nil"/>
              <w:bottom w:val="single" w:sz="4" w:space="0" w:color="A6A6A6"/>
              <w:right w:val="single" w:sz="4" w:space="0" w:color="A6A6A6"/>
            </w:tcBorders>
            <w:shd w:val="clear" w:color="000000" w:fill="F2F2F2"/>
            <w:noWrap/>
            <w:vAlign w:val="bottom"/>
            <w:hideMark/>
          </w:tcPr>
          <w:p w14:paraId="5BAF558E" w14:textId="77777777" w:rsidR="00D301A3" w:rsidRPr="00A77C50" w:rsidRDefault="00D301A3" w:rsidP="00DC54F7">
            <w:pPr>
              <w:spacing w:after="0" w:line="240" w:lineRule="auto"/>
              <w:jc w:val="both"/>
              <w:rPr>
                <w:rFonts w:ascii="Calibri" w:eastAsia="Times New Roman" w:hAnsi="Calibri" w:cs="Calibri"/>
                <w:color w:val="000000"/>
                <w:lang w:eastAsia="en-GB"/>
              </w:rPr>
            </w:pPr>
            <w:r w:rsidRPr="00A77C50">
              <w:rPr>
                <w:rFonts w:ascii="Calibri" w:eastAsia="Times New Roman" w:hAnsi="Calibri" w:cs="Calibri"/>
                <w:color w:val="000000"/>
                <w:lang w:eastAsia="en-GB"/>
              </w:rPr>
              <w:t>7</w:t>
            </w:r>
          </w:p>
        </w:tc>
      </w:tr>
      <w:tr w:rsidR="00D301A3" w:rsidRPr="00A77C50" w14:paraId="79318AAA" w14:textId="77777777" w:rsidTr="00AA572E">
        <w:trPr>
          <w:trHeight w:val="290"/>
        </w:trPr>
        <w:tc>
          <w:tcPr>
            <w:tcW w:w="5949"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6493F613" w14:textId="77777777" w:rsidR="00D301A3" w:rsidRPr="00A77C50" w:rsidRDefault="00D301A3" w:rsidP="00DC54F7">
            <w:pPr>
              <w:spacing w:after="0" w:line="240" w:lineRule="auto"/>
              <w:jc w:val="both"/>
              <w:rPr>
                <w:rFonts w:ascii="Arial" w:eastAsia="Times New Roman" w:hAnsi="Arial" w:cs="Arial"/>
                <w:b/>
                <w:bCs/>
                <w:color w:val="000000"/>
                <w:lang w:eastAsia="en-GB"/>
              </w:rPr>
            </w:pPr>
            <w:r w:rsidRPr="00A77C50">
              <w:rPr>
                <w:rFonts w:ascii="Arial" w:eastAsia="Times New Roman" w:hAnsi="Arial" w:cs="Arial"/>
                <w:b/>
                <w:bCs/>
                <w:color w:val="000000"/>
                <w:lang w:eastAsia="en-GB"/>
              </w:rPr>
              <w:t> </w:t>
            </w:r>
          </w:p>
        </w:tc>
        <w:tc>
          <w:tcPr>
            <w:tcW w:w="1134" w:type="dxa"/>
            <w:tcBorders>
              <w:top w:val="nil"/>
              <w:left w:val="nil"/>
              <w:bottom w:val="single" w:sz="4" w:space="0" w:color="A6A6A6"/>
              <w:right w:val="single" w:sz="4" w:space="0" w:color="A6A6A6"/>
            </w:tcBorders>
            <w:shd w:val="clear" w:color="000000" w:fill="F2F2F2"/>
            <w:vAlign w:val="center"/>
            <w:hideMark/>
          </w:tcPr>
          <w:p w14:paraId="1B5414F1" w14:textId="77777777" w:rsidR="00D301A3" w:rsidRPr="00A77C50" w:rsidRDefault="00D301A3" w:rsidP="00DC54F7">
            <w:pPr>
              <w:spacing w:after="0" w:line="240" w:lineRule="auto"/>
              <w:jc w:val="both"/>
              <w:rPr>
                <w:rFonts w:ascii="Arial" w:eastAsia="Times New Roman" w:hAnsi="Arial" w:cs="Arial"/>
                <w:b/>
                <w:bCs/>
                <w:color w:val="000000"/>
                <w:sz w:val="18"/>
                <w:szCs w:val="18"/>
                <w:lang w:eastAsia="en-GB"/>
              </w:rPr>
            </w:pPr>
            <w:r w:rsidRPr="00A77C50">
              <w:rPr>
                <w:rFonts w:ascii="Arial" w:eastAsia="Times New Roman" w:hAnsi="Arial" w:cs="Arial"/>
                <w:b/>
                <w:bCs/>
                <w:color w:val="000000"/>
                <w:sz w:val="18"/>
                <w:szCs w:val="18"/>
                <w:lang w:eastAsia="en-GB"/>
              </w:rPr>
              <w:t xml:space="preserve">Total </w:t>
            </w:r>
          </w:p>
        </w:tc>
        <w:tc>
          <w:tcPr>
            <w:tcW w:w="1134" w:type="dxa"/>
            <w:tcBorders>
              <w:top w:val="nil"/>
              <w:left w:val="nil"/>
              <w:bottom w:val="single" w:sz="4" w:space="0" w:color="A6A6A6"/>
              <w:right w:val="single" w:sz="4" w:space="0" w:color="A6A6A6"/>
            </w:tcBorders>
            <w:shd w:val="clear" w:color="000000" w:fill="F2F2F2"/>
            <w:noWrap/>
            <w:vAlign w:val="bottom"/>
            <w:hideMark/>
          </w:tcPr>
          <w:p w14:paraId="03B41375" w14:textId="77777777" w:rsidR="00D301A3" w:rsidRPr="00A77C50" w:rsidRDefault="00D301A3" w:rsidP="00DC54F7">
            <w:pPr>
              <w:spacing w:after="0" w:line="240" w:lineRule="auto"/>
              <w:jc w:val="both"/>
              <w:rPr>
                <w:rFonts w:ascii="Calibri" w:eastAsia="Times New Roman" w:hAnsi="Calibri" w:cs="Calibri"/>
                <w:color w:val="000000"/>
                <w:lang w:eastAsia="en-GB"/>
              </w:rPr>
            </w:pPr>
            <w:r w:rsidRPr="00A77C50">
              <w:rPr>
                <w:rFonts w:ascii="Calibri" w:eastAsia="Times New Roman" w:hAnsi="Calibri" w:cs="Calibri"/>
                <w:color w:val="000000"/>
                <w:lang w:eastAsia="en-GB"/>
              </w:rPr>
              <w:t>100.00%</w:t>
            </w:r>
          </w:p>
        </w:tc>
        <w:tc>
          <w:tcPr>
            <w:tcW w:w="992" w:type="dxa"/>
            <w:tcBorders>
              <w:top w:val="nil"/>
              <w:left w:val="nil"/>
              <w:bottom w:val="single" w:sz="4" w:space="0" w:color="A6A6A6"/>
              <w:right w:val="single" w:sz="4" w:space="0" w:color="A6A6A6"/>
            </w:tcBorders>
            <w:shd w:val="clear" w:color="000000" w:fill="F2F2F2"/>
            <w:noWrap/>
            <w:vAlign w:val="bottom"/>
            <w:hideMark/>
          </w:tcPr>
          <w:p w14:paraId="2E5B21EF" w14:textId="77777777" w:rsidR="00D301A3" w:rsidRPr="00A77C50" w:rsidRDefault="00D301A3" w:rsidP="00DC54F7">
            <w:pPr>
              <w:spacing w:after="0" w:line="240" w:lineRule="auto"/>
              <w:jc w:val="both"/>
              <w:rPr>
                <w:rFonts w:ascii="Calibri" w:eastAsia="Times New Roman" w:hAnsi="Calibri" w:cs="Calibri"/>
                <w:color w:val="000000"/>
                <w:lang w:eastAsia="en-GB"/>
              </w:rPr>
            </w:pPr>
            <w:r w:rsidRPr="00A77C50">
              <w:rPr>
                <w:rFonts w:ascii="Calibri" w:eastAsia="Times New Roman" w:hAnsi="Calibri" w:cs="Calibri"/>
                <w:color w:val="000000"/>
                <w:lang w:eastAsia="en-GB"/>
              </w:rPr>
              <w:t>304</w:t>
            </w:r>
          </w:p>
        </w:tc>
      </w:tr>
      <w:tr w:rsidR="00D301A3" w:rsidRPr="00A77C50" w14:paraId="25FC9AB1" w14:textId="77777777" w:rsidTr="00AA572E">
        <w:trPr>
          <w:trHeight w:val="290"/>
        </w:trPr>
        <w:tc>
          <w:tcPr>
            <w:tcW w:w="5949" w:type="dxa"/>
            <w:gridSpan w:val="2"/>
            <w:vMerge/>
            <w:tcBorders>
              <w:top w:val="single" w:sz="4" w:space="0" w:color="A6A6A6"/>
              <w:left w:val="single" w:sz="4" w:space="0" w:color="A6A6A6"/>
              <w:bottom w:val="single" w:sz="4" w:space="0" w:color="A6A6A6"/>
              <w:right w:val="single" w:sz="4" w:space="0" w:color="A6A6A6"/>
            </w:tcBorders>
            <w:vAlign w:val="center"/>
            <w:hideMark/>
          </w:tcPr>
          <w:p w14:paraId="7CA1887A" w14:textId="77777777" w:rsidR="00D301A3" w:rsidRPr="00A77C50" w:rsidRDefault="00D301A3" w:rsidP="00DC54F7">
            <w:pPr>
              <w:spacing w:after="0" w:line="240" w:lineRule="auto"/>
              <w:jc w:val="both"/>
              <w:rPr>
                <w:rFonts w:ascii="Arial" w:eastAsia="Times New Roman" w:hAnsi="Arial" w:cs="Arial"/>
                <w:b/>
                <w:bCs/>
                <w:color w:val="000000"/>
                <w:lang w:eastAsia="en-GB"/>
              </w:rPr>
            </w:pPr>
          </w:p>
        </w:tc>
        <w:tc>
          <w:tcPr>
            <w:tcW w:w="1134" w:type="dxa"/>
            <w:tcBorders>
              <w:top w:val="nil"/>
              <w:left w:val="nil"/>
              <w:bottom w:val="single" w:sz="4" w:space="0" w:color="A6A6A6"/>
              <w:right w:val="single" w:sz="4" w:space="0" w:color="A6A6A6"/>
            </w:tcBorders>
            <w:shd w:val="clear" w:color="000000" w:fill="F2F2F2"/>
            <w:vAlign w:val="center"/>
            <w:hideMark/>
          </w:tcPr>
          <w:p w14:paraId="5BFD9FBD" w14:textId="77777777" w:rsidR="00D301A3" w:rsidRPr="00A77C50" w:rsidRDefault="00D301A3" w:rsidP="00DC54F7">
            <w:pPr>
              <w:spacing w:after="0" w:line="240" w:lineRule="auto"/>
              <w:jc w:val="both"/>
              <w:rPr>
                <w:rFonts w:ascii="Arial" w:eastAsia="Times New Roman" w:hAnsi="Arial" w:cs="Arial"/>
                <w:b/>
                <w:bCs/>
                <w:color w:val="000000"/>
                <w:sz w:val="18"/>
                <w:szCs w:val="18"/>
                <w:lang w:eastAsia="en-GB"/>
              </w:rPr>
            </w:pPr>
            <w:r w:rsidRPr="00A77C50">
              <w:rPr>
                <w:rFonts w:ascii="Arial" w:eastAsia="Times New Roman" w:hAnsi="Arial" w:cs="Arial"/>
                <w:b/>
                <w:bCs/>
                <w:color w:val="000000"/>
                <w:sz w:val="18"/>
                <w:szCs w:val="18"/>
                <w:lang w:eastAsia="en-GB"/>
              </w:rPr>
              <w:t>Skipped</w:t>
            </w:r>
          </w:p>
        </w:tc>
        <w:tc>
          <w:tcPr>
            <w:tcW w:w="1134" w:type="dxa"/>
            <w:tcBorders>
              <w:top w:val="nil"/>
              <w:left w:val="nil"/>
              <w:bottom w:val="single" w:sz="4" w:space="0" w:color="A6A6A6"/>
              <w:right w:val="single" w:sz="4" w:space="0" w:color="A6A6A6"/>
            </w:tcBorders>
            <w:shd w:val="clear" w:color="000000" w:fill="F2F2F2"/>
            <w:noWrap/>
            <w:vAlign w:val="bottom"/>
            <w:hideMark/>
          </w:tcPr>
          <w:p w14:paraId="2BE5F366" w14:textId="77777777" w:rsidR="00D301A3" w:rsidRPr="00A77C50" w:rsidRDefault="00D301A3" w:rsidP="00DC54F7">
            <w:pPr>
              <w:spacing w:after="0" w:line="240" w:lineRule="auto"/>
              <w:jc w:val="both"/>
              <w:rPr>
                <w:rFonts w:ascii="Calibri" w:eastAsia="Times New Roman" w:hAnsi="Calibri" w:cs="Calibri"/>
                <w:color w:val="000000"/>
                <w:lang w:eastAsia="en-GB"/>
              </w:rPr>
            </w:pPr>
            <w:r w:rsidRPr="00A77C50">
              <w:rPr>
                <w:rFonts w:ascii="Calibri" w:eastAsia="Times New Roman" w:hAnsi="Calibri" w:cs="Calibri"/>
                <w:color w:val="000000"/>
                <w:lang w:eastAsia="en-GB"/>
              </w:rPr>
              <w:t> </w:t>
            </w:r>
          </w:p>
        </w:tc>
        <w:tc>
          <w:tcPr>
            <w:tcW w:w="992" w:type="dxa"/>
            <w:tcBorders>
              <w:top w:val="nil"/>
              <w:left w:val="nil"/>
              <w:bottom w:val="single" w:sz="4" w:space="0" w:color="A6A6A6"/>
              <w:right w:val="single" w:sz="4" w:space="0" w:color="A6A6A6"/>
            </w:tcBorders>
            <w:shd w:val="clear" w:color="000000" w:fill="F2F2F2"/>
            <w:noWrap/>
            <w:vAlign w:val="bottom"/>
            <w:hideMark/>
          </w:tcPr>
          <w:p w14:paraId="2FB74C73" w14:textId="77777777" w:rsidR="00D301A3" w:rsidRPr="00A77C50" w:rsidRDefault="00D301A3" w:rsidP="00DC54F7">
            <w:pPr>
              <w:spacing w:after="0" w:line="240" w:lineRule="auto"/>
              <w:jc w:val="both"/>
              <w:rPr>
                <w:rFonts w:ascii="Calibri" w:eastAsia="Times New Roman" w:hAnsi="Calibri" w:cs="Calibri"/>
                <w:color w:val="000000"/>
                <w:lang w:eastAsia="en-GB"/>
              </w:rPr>
            </w:pPr>
            <w:r w:rsidRPr="00A77C50">
              <w:rPr>
                <w:rFonts w:ascii="Calibri" w:eastAsia="Times New Roman" w:hAnsi="Calibri" w:cs="Calibri"/>
                <w:color w:val="000000"/>
                <w:lang w:eastAsia="en-GB"/>
              </w:rPr>
              <w:t>7</w:t>
            </w:r>
          </w:p>
        </w:tc>
      </w:tr>
    </w:tbl>
    <w:p w14:paraId="66C733A4" w14:textId="77777777" w:rsidR="00D301A3" w:rsidRDefault="00D301A3" w:rsidP="00DC54F7">
      <w:pPr>
        <w:spacing w:after="0"/>
        <w:jc w:val="both"/>
        <w:rPr>
          <w:rFonts w:ascii="Arial" w:hAnsi="Arial" w:cs="Arial"/>
        </w:rPr>
      </w:pPr>
    </w:p>
    <w:p w14:paraId="03151564" w14:textId="77777777" w:rsidR="00D301A3" w:rsidRDefault="00D301A3" w:rsidP="00DC54F7">
      <w:pPr>
        <w:spacing w:after="0"/>
        <w:jc w:val="both"/>
        <w:rPr>
          <w:rFonts w:ascii="Arial" w:hAnsi="Arial" w:cs="Arial"/>
        </w:rPr>
      </w:pPr>
    </w:p>
    <w:p w14:paraId="5AE245A3" w14:textId="333928F3" w:rsidR="00D301A3" w:rsidRPr="00C3421A" w:rsidRDefault="00D301A3" w:rsidP="00DC54F7">
      <w:pPr>
        <w:spacing w:after="0"/>
        <w:jc w:val="both"/>
        <w:rPr>
          <w:rFonts w:ascii="Arial" w:hAnsi="Arial" w:cs="Arial"/>
          <w:b/>
          <w:bCs/>
        </w:rPr>
      </w:pPr>
      <w:r w:rsidRPr="00FE14A4">
        <w:rPr>
          <w:rFonts w:ascii="Arial" w:hAnsi="Arial" w:cs="Arial"/>
          <w:b/>
          <w:bCs/>
        </w:rPr>
        <w:t>26. Please tick any of the following that apply to you.</w:t>
      </w:r>
    </w:p>
    <w:p w14:paraId="359673C8" w14:textId="77777777" w:rsidR="00D301A3" w:rsidRDefault="00D301A3" w:rsidP="00DC54F7">
      <w:pPr>
        <w:spacing w:after="0" w:line="240" w:lineRule="auto"/>
        <w:jc w:val="both"/>
        <w:rPr>
          <w:rFonts w:ascii="Arial" w:eastAsia="Times New Roman" w:hAnsi="Arial" w:cs="Arial"/>
          <w:b/>
          <w:bCs/>
          <w:color w:val="333333"/>
        </w:rPr>
      </w:pPr>
    </w:p>
    <w:p w14:paraId="67E489E8" w14:textId="77777777" w:rsidR="00D301A3" w:rsidRPr="008400ED" w:rsidRDefault="00D301A3" w:rsidP="00DC54F7">
      <w:pPr>
        <w:spacing w:after="0" w:line="240" w:lineRule="auto"/>
        <w:jc w:val="both"/>
        <w:rPr>
          <w:rFonts w:ascii="Arial" w:eastAsia="Times New Roman" w:hAnsi="Arial" w:cs="Arial"/>
          <w:b/>
          <w:bCs/>
          <w:color w:val="333333"/>
        </w:rPr>
      </w:pPr>
      <w:r>
        <w:rPr>
          <w:rFonts w:ascii="Arial" w:eastAsia="Times New Roman" w:hAnsi="Arial" w:cs="Arial"/>
          <w:b/>
          <w:bCs/>
          <w:color w:val="333333"/>
        </w:rPr>
        <w:t>(</w:t>
      </w:r>
      <w:r w:rsidRPr="007F0913">
        <w:rPr>
          <w:rFonts w:ascii="Arial" w:hAnsi="Arial" w:cs="Arial"/>
        </w:rPr>
        <w:t>Multiple answers could be given to this question</w:t>
      </w:r>
      <w:r>
        <w:t>)</w:t>
      </w:r>
    </w:p>
    <w:tbl>
      <w:tblPr>
        <w:tblW w:w="9175" w:type="dxa"/>
        <w:tblLook w:val="04A0" w:firstRow="1" w:lastRow="0" w:firstColumn="1" w:lastColumn="0" w:noHBand="0" w:noVBand="1"/>
      </w:tblPr>
      <w:tblGrid>
        <w:gridCol w:w="760"/>
        <w:gridCol w:w="760"/>
        <w:gridCol w:w="760"/>
        <w:gridCol w:w="3742"/>
        <w:gridCol w:w="1204"/>
        <w:gridCol w:w="1357"/>
        <w:gridCol w:w="760"/>
      </w:tblGrid>
      <w:tr w:rsidR="001B5C8F" w:rsidRPr="00526729" w14:paraId="68E817FD" w14:textId="77777777" w:rsidTr="00D939CF">
        <w:trPr>
          <w:trHeight w:val="255"/>
        </w:trPr>
        <w:tc>
          <w:tcPr>
            <w:tcW w:w="6022" w:type="dxa"/>
            <w:gridSpan w:val="4"/>
            <w:tcBorders>
              <w:top w:val="single" w:sz="4" w:space="0" w:color="D9D9D9"/>
              <w:left w:val="single" w:sz="4" w:space="0" w:color="D9D9D9"/>
              <w:bottom w:val="single" w:sz="4" w:space="0" w:color="D9D9D9"/>
              <w:right w:val="single" w:sz="4" w:space="0" w:color="D9D9D9"/>
            </w:tcBorders>
            <w:shd w:val="clear" w:color="000000" w:fill="8497B0"/>
            <w:noWrap/>
            <w:vAlign w:val="center"/>
            <w:hideMark/>
          </w:tcPr>
          <w:p w14:paraId="59DE9C11" w14:textId="77777777" w:rsidR="001B5C8F" w:rsidRPr="00526729" w:rsidRDefault="001B5C8F" w:rsidP="00DC54F7">
            <w:pPr>
              <w:spacing w:after="0" w:line="240" w:lineRule="auto"/>
              <w:jc w:val="both"/>
              <w:rPr>
                <w:rFonts w:ascii="Arial" w:eastAsia="Times New Roman" w:hAnsi="Arial" w:cs="Arial"/>
                <w:b/>
                <w:bCs/>
                <w:color w:val="FFFFFF"/>
                <w:sz w:val="21"/>
                <w:szCs w:val="21"/>
                <w:lang w:eastAsia="en-GB"/>
              </w:rPr>
            </w:pPr>
            <w:r w:rsidRPr="00526729">
              <w:rPr>
                <w:rFonts w:ascii="Arial" w:eastAsia="Times New Roman" w:hAnsi="Arial" w:cs="Arial"/>
                <w:b/>
                <w:bCs/>
                <w:color w:val="FFFFFF"/>
                <w:sz w:val="21"/>
                <w:szCs w:val="21"/>
                <w:lang w:eastAsia="en-GB"/>
              </w:rPr>
              <w:t> </w:t>
            </w:r>
          </w:p>
        </w:tc>
        <w:tc>
          <w:tcPr>
            <w:tcW w:w="1204" w:type="dxa"/>
            <w:tcBorders>
              <w:top w:val="single" w:sz="4" w:space="0" w:color="D9D9D9"/>
              <w:left w:val="nil"/>
              <w:bottom w:val="single" w:sz="4" w:space="0" w:color="D9D9D9"/>
              <w:right w:val="single" w:sz="4" w:space="0" w:color="D9D9D9"/>
            </w:tcBorders>
            <w:shd w:val="clear" w:color="000000" w:fill="8497B0"/>
            <w:noWrap/>
            <w:vAlign w:val="center"/>
            <w:hideMark/>
          </w:tcPr>
          <w:p w14:paraId="4C1623D9" w14:textId="77777777" w:rsidR="001B5C8F" w:rsidRPr="00526729" w:rsidRDefault="001B5C8F" w:rsidP="00DC54F7">
            <w:pPr>
              <w:spacing w:after="0" w:line="240" w:lineRule="auto"/>
              <w:jc w:val="both"/>
              <w:rPr>
                <w:rFonts w:ascii="Arial" w:eastAsia="Times New Roman" w:hAnsi="Arial" w:cs="Arial"/>
                <w:b/>
                <w:bCs/>
                <w:color w:val="FFFFFF"/>
                <w:sz w:val="21"/>
                <w:szCs w:val="21"/>
                <w:lang w:eastAsia="en-GB"/>
              </w:rPr>
            </w:pPr>
            <w:r w:rsidRPr="00526729">
              <w:rPr>
                <w:rFonts w:ascii="Arial" w:eastAsia="Times New Roman" w:hAnsi="Arial" w:cs="Arial"/>
                <w:b/>
                <w:bCs/>
                <w:color w:val="FFFFFF"/>
                <w:sz w:val="21"/>
                <w:szCs w:val="21"/>
                <w:lang w:eastAsia="en-GB"/>
              </w:rPr>
              <w:t> </w:t>
            </w:r>
          </w:p>
        </w:tc>
        <w:tc>
          <w:tcPr>
            <w:tcW w:w="1949" w:type="dxa"/>
            <w:gridSpan w:val="2"/>
            <w:tcBorders>
              <w:top w:val="single" w:sz="4" w:space="0" w:color="D9D9D9"/>
              <w:left w:val="nil"/>
              <w:bottom w:val="single" w:sz="4" w:space="0" w:color="D9D9D9"/>
              <w:right w:val="single" w:sz="4" w:space="0" w:color="D9D9D9"/>
            </w:tcBorders>
            <w:shd w:val="clear" w:color="000000" w:fill="8497B0"/>
            <w:noWrap/>
            <w:vAlign w:val="center"/>
            <w:hideMark/>
          </w:tcPr>
          <w:p w14:paraId="086A1659" w14:textId="77777777" w:rsidR="001B5C8F" w:rsidRPr="00526729" w:rsidRDefault="001B5C8F" w:rsidP="00DC54F7">
            <w:pPr>
              <w:spacing w:after="0" w:line="240" w:lineRule="auto"/>
              <w:jc w:val="both"/>
              <w:rPr>
                <w:rFonts w:ascii="Arial" w:eastAsia="Times New Roman" w:hAnsi="Arial" w:cs="Arial"/>
                <w:b/>
                <w:bCs/>
                <w:color w:val="FFFFFF"/>
                <w:sz w:val="21"/>
                <w:szCs w:val="21"/>
                <w:lang w:eastAsia="en-GB"/>
              </w:rPr>
            </w:pPr>
            <w:r w:rsidRPr="00526729">
              <w:rPr>
                <w:rFonts w:ascii="Arial" w:eastAsia="Times New Roman" w:hAnsi="Arial" w:cs="Arial"/>
                <w:b/>
                <w:bCs/>
                <w:color w:val="FFFFFF"/>
                <w:sz w:val="21"/>
                <w:szCs w:val="21"/>
                <w:lang w:eastAsia="en-GB"/>
              </w:rPr>
              <w:t>Response</w:t>
            </w:r>
          </w:p>
        </w:tc>
      </w:tr>
      <w:tr w:rsidR="001B5C8F" w:rsidRPr="00526729" w14:paraId="55E1A76E" w14:textId="77777777" w:rsidTr="00D939CF">
        <w:trPr>
          <w:trHeight w:val="404"/>
        </w:trPr>
        <w:tc>
          <w:tcPr>
            <w:tcW w:w="6022" w:type="dxa"/>
            <w:gridSpan w:val="4"/>
            <w:tcBorders>
              <w:top w:val="single" w:sz="4" w:space="0" w:color="D9D9D9"/>
              <w:left w:val="single" w:sz="4" w:space="0" w:color="D9D9D9"/>
              <w:bottom w:val="single" w:sz="4" w:space="0" w:color="D9D9D9"/>
              <w:right w:val="single" w:sz="4" w:space="0" w:color="D9D9D9"/>
            </w:tcBorders>
            <w:shd w:val="clear" w:color="000000" w:fill="F2F2F2"/>
            <w:vAlign w:val="center"/>
            <w:hideMark/>
          </w:tcPr>
          <w:p w14:paraId="2AED45F0" w14:textId="77777777" w:rsidR="001B5C8F" w:rsidRPr="00526729" w:rsidRDefault="001B5C8F" w:rsidP="00DC54F7">
            <w:pPr>
              <w:spacing w:after="0" w:line="240" w:lineRule="auto"/>
              <w:jc w:val="both"/>
              <w:rPr>
                <w:rFonts w:ascii="Arial" w:eastAsia="Times New Roman" w:hAnsi="Arial" w:cs="Arial"/>
                <w:b/>
                <w:bCs/>
                <w:color w:val="000000"/>
                <w:sz w:val="18"/>
                <w:szCs w:val="18"/>
                <w:lang w:eastAsia="en-GB"/>
              </w:rPr>
            </w:pPr>
            <w:r w:rsidRPr="00526729">
              <w:rPr>
                <w:rFonts w:ascii="Arial" w:eastAsia="Times New Roman" w:hAnsi="Arial" w:cs="Arial"/>
                <w:b/>
                <w:bCs/>
                <w:color w:val="000000"/>
                <w:sz w:val="18"/>
                <w:szCs w:val="18"/>
                <w:lang w:eastAsia="en-GB"/>
              </w:rPr>
              <w:t> </w:t>
            </w:r>
          </w:p>
        </w:tc>
        <w:tc>
          <w:tcPr>
            <w:tcW w:w="1204" w:type="dxa"/>
            <w:tcBorders>
              <w:top w:val="nil"/>
              <w:left w:val="nil"/>
              <w:bottom w:val="single" w:sz="4" w:space="0" w:color="D9D9D9"/>
              <w:right w:val="single" w:sz="4" w:space="0" w:color="D9D9D9"/>
            </w:tcBorders>
            <w:shd w:val="clear" w:color="000000" w:fill="F2F2F2"/>
            <w:vAlign w:val="center"/>
            <w:hideMark/>
          </w:tcPr>
          <w:p w14:paraId="6BA0D9C8" w14:textId="77777777" w:rsidR="001B5C8F" w:rsidRPr="00526729" w:rsidRDefault="001B5C8F" w:rsidP="00DC54F7">
            <w:pPr>
              <w:spacing w:after="0" w:line="240" w:lineRule="auto"/>
              <w:jc w:val="both"/>
              <w:rPr>
                <w:rFonts w:ascii="Arial" w:eastAsia="Times New Roman" w:hAnsi="Arial" w:cs="Arial"/>
                <w:b/>
                <w:bCs/>
                <w:color w:val="000000"/>
                <w:sz w:val="18"/>
                <w:szCs w:val="18"/>
                <w:lang w:eastAsia="en-GB"/>
              </w:rPr>
            </w:pPr>
            <w:r w:rsidRPr="00526729">
              <w:rPr>
                <w:rFonts w:ascii="Arial" w:eastAsia="Times New Roman" w:hAnsi="Arial" w:cs="Arial"/>
                <w:b/>
                <w:bCs/>
                <w:color w:val="000000"/>
                <w:sz w:val="18"/>
                <w:szCs w:val="18"/>
                <w:lang w:eastAsia="en-GB"/>
              </w:rPr>
              <w:t>Percent Responses</w:t>
            </w:r>
          </w:p>
        </w:tc>
        <w:tc>
          <w:tcPr>
            <w:tcW w:w="1188" w:type="dxa"/>
            <w:tcBorders>
              <w:top w:val="nil"/>
              <w:left w:val="nil"/>
              <w:bottom w:val="single" w:sz="4" w:space="0" w:color="D9D9D9"/>
              <w:right w:val="single" w:sz="4" w:space="0" w:color="D9D9D9"/>
            </w:tcBorders>
            <w:shd w:val="clear" w:color="000000" w:fill="F2F2F2"/>
            <w:vAlign w:val="center"/>
            <w:hideMark/>
          </w:tcPr>
          <w:p w14:paraId="14CFC672" w14:textId="77777777" w:rsidR="001B5C8F" w:rsidRPr="00526729" w:rsidRDefault="001B5C8F" w:rsidP="00DC54F7">
            <w:pPr>
              <w:spacing w:after="0" w:line="240" w:lineRule="auto"/>
              <w:jc w:val="both"/>
              <w:rPr>
                <w:rFonts w:ascii="Arial" w:eastAsia="Times New Roman" w:hAnsi="Arial" w:cs="Arial"/>
                <w:b/>
                <w:bCs/>
                <w:color w:val="000000"/>
                <w:sz w:val="18"/>
                <w:szCs w:val="18"/>
                <w:lang w:eastAsia="en-GB"/>
              </w:rPr>
            </w:pPr>
            <w:r w:rsidRPr="00526729">
              <w:rPr>
                <w:rFonts w:ascii="Arial" w:eastAsia="Times New Roman" w:hAnsi="Arial" w:cs="Arial"/>
                <w:b/>
                <w:bCs/>
                <w:color w:val="000000"/>
                <w:sz w:val="18"/>
                <w:szCs w:val="18"/>
                <w:lang w:eastAsia="en-GB"/>
              </w:rPr>
              <w:t>Percent Respondents</w:t>
            </w:r>
          </w:p>
        </w:tc>
        <w:tc>
          <w:tcPr>
            <w:tcW w:w="760" w:type="dxa"/>
            <w:tcBorders>
              <w:top w:val="nil"/>
              <w:left w:val="nil"/>
              <w:bottom w:val="single" w:sz="4" w:space="0" w:color="D9D9D9"/>
              <w:right w:val="single" w:sz="4" w:space="0" w:color="D9D9D9"/>
            </w:tcBorders>
            <w:shd w:val="clear" w:color="000000" w:fill="F2F2F2"/>
            <w:noWrap/>
            <w:vAlign w:val="center"/>
            <w:hideMark/>
          </w:tcPr>
          <w:p w14:paraId="01FCAF67" w14:textId="77777777" w:rsidR="001B5C8F" w:rsidRPr="00526729" w:rsidRDefault="001B5C8F" w:rsidP="00DC54F7">
            <w:pPr>
              <w:spacing w:after="0" w:line="240" w:lineRule="auto"/>
              <w:jc w:val="both"/>
              <w:rPr>
                <w:rFonts w:ascii="Arial" w:eastAsia="Times New Roman" w:hAnsi="Arial" w:cs="Arial"/>
                <w:b/>
                <w:bCs/>
                <w:color w:val="000000"/>
                <w:sz w:val="18"/>
                <w:szCs w:val="18"/>
                <w:lang w:eastAsia="en-GB"/>
              </w:rPr>
            </w:pPr>
            <w:r w:rsidRPr="00526729">
              <w:rPr>
                <w:rFonts w:ascii="Arial" w:eastAsia="Times New Roman" w:hAnsi="Arial" w:cs="Arial"/>
                <w:b/>
                <w:bCs/>
                <w:color w:val="000000"/>
                <w:sz w:val="18"/>
                <w:szCs w:val="18"/>
                <w:lang w:eastAsia="en-GB"/>
              </w:rPr>
              <w:t>Total</w:t>
            </w:r>
          </w:p>
        </w:tc>
      </w:tr>
      <w:tr w:rsidR="001B5C8F" w:rsidRPr="00526729" w14:paraId="736B1802" w14:textId="77777777" w:rsidTr="00D939CF">
        <w:trPr>
          <w:trHeight w:val="255"/>
        </w:trPr>
        <w:tc>
          <w:tcPr>
            <w:tcW w:w="760" w:type="dxa"/>
            <w:tcBorders>
              <w:top w:val="nil"/>
              <w:left w:val="single" w:sz="4" w:space="0" w:color="D9D9D9"/>
              <w:bottom w:val="single" w:sz="4" w:space="0" w:color="D9D9D9"/>
              <w:right w:val="single" w:sz="4" w:space="0" w:color="D9D9D9"/>
            </w:tcBorders>
            <w:shd w:val="clear" w:color="000000" w:fill="F2F2F2"/>
            <w:vAlign w:val="center"/>
            <w:hideMark/>
          </w:tcPr>
          <w:p w14:paraId="4CE11CD3"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1</w:t>
            </w:r>
          </w:p>
        </w:tc>
        <w:tc>
          <w:tcPr>
            <w:tcW w:w="5262" w:type="dxa"/>
            <w:gridSpan w:val="3"/>
            <w:tcBorders>
              <w:top w:val="single" w:sz="4" w:space="0" w:color="D9D9D9"/>
              <w:left w:val="nil"/>
              <w:bottom w:val="single" w:sz="4" w:space="0" w:color="D9D9D9"/>
              <w:right w:val="single" w:sz="4" w:space="0" w:color="D9D9D9"/>
            </w:tcBorders>
            <w:shd w:val="clear" w:color="auto" w:fill="auto"/>
            <w:vAlign w:val="center"/>
            <w:hideMark/>
          </w:tcPr>
          <w:p w14:paraId="731BB0C7"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Deaf/Deafened/ Hard of hearing</w:t>
            </w:r>
          </w:p>
        </w:tc>
        <w:tc>
          <w:tcPr>
            <w:tcW w:w="1204" w:type="dxa"/>
            <w:tcBorders>
              <w:top w:val="nil"/>
              <w:left w:val="nil"/>
              <w:bottom w:val="single" w:sz="4" w:space="0" w:color="D9D9D9"/>
              <w:right w:val="single" w:sz="4" w:space="0" w:color="D9D9D9"/>
            </w:tcBorders>
            <w:shd w:val="clear" w:color="000000" w:fill="F2F2F2"/>
            <w:noWrap/>
            <w:vAlign w:val="bottom"/>
            <w:hideMark/>
          </w:tcPr>
          <w:p w14:paraId="0859B23D"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10.38%</w:t>
            </w:r>
          </w:p>
        </w:tc>
        <w:tc>
          <w:tcPr>
            <w:tcW w:w="1188" w:type="dxa"/>
            <w:tcBorders>
              <w:top w:val="nil"/>
              <w:left w:val="nil"/>
              <w:bottom w:val="single" w:sz="4" w:space="0" w:color="D9D9D9"/>
              <w:right w:val="single" w:sz="4" w:space="0" w:color="D9D9D9"/>
            </w:tcBorders>
            <w:shd w:val="clear" w:color="000000" w:fill="F2F2F2"/>
            <w:noWrap/>
            <w:vAlign w:val="bottom"/>
            <w:hideMark/>
          </w:tcPr>
          <w:p w14:paraId="74179005"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13.66%</w:t>
            </w:r>
          </w:p>
        </w:tc>
        <w:tc>
          <w:tcPr>
            <w:tcW w:w="760" w:type="dxa"/>
            <w:tcBorders>
              <w:top w:val="nil"/>
              <w:left w:val="nil"/>
              <w:bottom w:val="single" w:sz="4" w:space="0" w:color="D9D9D9"/>
              <w:right w:val="single" w:sz="4" w:space="0" w:color="D9D9D9"/>
            </w:tcBorders>
            <w:shd w:val="clear" w:color="000000" w:fill="F2F2F2"/>
            <w:noWrap/>
            <w:vAlign w:val="bottom"/>
            <w:hideMark/>
          </w:tcPr>
          <w:p w14:paraId="46FD030E"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22</w:t>
            </w:r>
          </w:p>
        </w:tc>
      </w:tr>
      <w:tr w:rsidR="001B5C8F" w:rsidRPr="00526729" w14:paraId="4F8CF621" w14:textId="77777777" w:rsidTr="00D939CF">
        <w:trPr>
          <w:trHeight w:val="255"/>
        </w:trPr>
        <w:tc>
          <w:tcPr>
            <w:tcW w:w="760" w:type="dxa"/>
            <w:tcBorders>
              <w:top w:val="nil"/>
              <w:left w:val="single" w:sz="4" w:space="0" w:color="D9D9D9"/>
              <w:bottom w:val="single" w:sz="4" w:space="0" w:color="D9D9D9"/>
              <w:right w:val="single" w:sz="4" w:space="0" w:color="D9D9D9"/>
            </w:tcBorders>
            <w:shd w:val="clear" w:color="000000" w:fill="F2F2F2"/>
            <w:vAlign w:val="center"/>
            <w:hideMark/>
          </w:tcPr>
          <w:p w14:paraId="6E850274"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2</w:t>
            </w:r>
          </w:p>
        </w:tc>
        <w:tc>
          <w:tcPr>
            <w:tcW w:w="5262" w:type="dxa"/>
            <w:gridSpan w:val="3"/>
            <w:tcBorders>
              <w:top w:val="single" w:sz="4" w:space="0" w:color="D9D9D9"/>
              <w:left w:val="nil"/>
              <w:bottom w:val="single" w:sz="4" w:space="0" w:color="D9D9D9"/>
              <w:right w:val="single" w:sz="4" w:space="0" w:color="D9D9D9"/>
            </w:tcBorders>
            <w:shd w:val="clear" w:color="auto" w:fill="auto"/>
            <w:vAlign w:val="center"/>
            <w:hideMark/>
          </w:tcPr>
          <w:p w14:paraId="7FBC148C"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Visual impairment</w:t>
            </w:r>
          </w:p>
        </w:tc>
        <w:tc>
          <w:tcPr>
            <w:tcW w:w="1204" w:type="dxa"/>
            <w:tcBorders>
              <w:top w:val="nil"/>
              <w:left w:val="nil"/>
              <w:bottom w:val="single" w:sz="4" w:space="0" w:color="D9D9D9"/>
              <w:right w:val="single" w:sz="4" w:space="0" w:color="D9D9D9"/>
            </w:tcBorders>
            <w:shd w:val="clear" w:color="000000" w:fill="F2F2F2"/>
            <w:noWrap/>
            <w:vAlign w:val="bottom"/>
            <w:hideMark/>
          </w:tcPr>
          <w:p w14:paraId="6D6D3B2A"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1.42%</w:t>
            </w:r>
          </w:p>
        </w:tc>
        <w:tc>
          <w:tcPr>
            <w:tcW w:w="1188" w:type="dxa"/>
            <w:tcBorders>
              <w:top w:val="nil"/>
              <w:left w:val="nil"/>
              <w:bottom w:val="single" w:sz="4" w:space="0" w:color="D9D9D9"/>
              <w:right w:val="single" w:sz="4" w:space="0" w:color="D9D9D9"/>
            </w:tcBorders>
            <w:shd w:val="clear" w:color="000000" w:fill="F2F2F2"/>
            <w:noWrap/>
            <w:vAlign w:val="bottom"/>
            <w:hideMark/>
          </w:tcPr>
          <w:p w14:paraId="1283A14A"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1.86%</w:t>
            </w:r>
          </w:p>
        </w:tc>
        <w:tc>
          <w:tcPr>
            <w:tcW w:w="760" w:type="dxa"/>
            <w:tcBorders>
              <w:top w:val="nil"/>
              <w:left w:val="nil"/>
              <w:bottom w:val="single" w:sz="4" w:space="0" w:color="D9D9D9"/>
              <w:right w:val="single" w:sz="4" w:space="0" w:color="D9D9D9"/>
            </w:tcBorders>
            <w:shd w:val="clear" w:color="000000" w:fill="F2F2F2"/>
            <w:noWrap/>
            <w:vAlign w:val="bottom"/>
            <w:hideMark/>
          </w:tcPr>
          <w:p w14:paraId="5ECF3E11"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3</w:t>
            </w:r>
          </w:p>
        </w:tc>
      </w:tr>
      <w:tr w:rsidR="001B5C8F" w:rsidRPr="00526729" w14:paraId="2664693B" w14:textId="77777777" w:rsidTr="00D939CF">
        <w:trPr>
          <w:trHeight w:val="255"/>
        </w:trPr>
        <w:tc>
          <w:tcPr>
            <w:tcW w:w="760" w:type="dxa"/>
            <w:tcBorders>
              <w:top w:val="nil"/>
              <w:left w:val="single" w:sz="4" w:space="0" w:color="D9D9D9"/>
              <w:bottom w:val="single" w:sz="4" w:space="0" w:color="D9D9D9"/>
              <w:right w:val="single" w:sz="4" w:space="0" w:color="D9D9D9"/>
            </w:tcBorders>
            <w:shd w:val="clear" w:color="000000" w:fill="F2F2F2"/>
            <w:vAlign w:val="center"/>
            <w:hideMark/>
          </w:tcPr>
          <w:p w14:paraId="6DCB35AA"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3</w:t>
            </w:r>
          </w:p>
        </w:tc>
        <w:tc>
          <w:tcPr>
            <w:tcW w:w="5262" w:type="dxa"/>
            <w:gridSpan w:val="3"/>
            <w:tcBorders>
              <w:top w:val="single" w:sz="4" w:space="0" w:color="D9D9D9"/>
              <w:left w:val="nil"/>
              <w:bottom w:val="single" w:sz="4" w:space="0" w:color="D9D9D9"/>
              <w:right w:val="single" w:sz="4" w:space="0" w:color="D9D9D9"/>
            </w:tcBorders>
            <w:shd w:val="clear" w:color="auto" w:fill="auto"/>
            <w:vAlign w:val="center"/>
            <w:hideMark/>
          </w:tcPr>
          <w:p w14:paraId="27D6A741"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Long-standing illness or health condition (e.g. cancer, diabetes or asthma)</w:t>
            </w:r>
          </w:p>
        </w:tc>
        <w:tc>
          <w:tcPr>
            <w:tcW w:w="1204" w:type="dxa"/>
            <w:tcBorders>
              <w:top w:val="nil"/>
              <w:left w:val="nil"/>
              <w:bottom w:val="single" w:sz="4" w:space="0" w:color="D9D9D9"/>
              <w:right w:val="single" w:sz="4" w:space="0" w:color="D9D9D9"/>
            </w:tcBorders>
            <w:shd w:val="clear" w:color="000000" w:fill="F2F2F2"/>
            <w:noWrap/>
            <w:vAlign w:val="bottom"/>
            <w:hideMark/>
          </w:tcPr>
          <w:p w14:paraId="70DB430D"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49.06%</w:t>
            </w:r>
          </w:p>
        </w:tc>
        <w:tc>
          <w:tcPr>
            <w:tcW w:w="1188" w:type="dxa"/>
            <w:tcBorders>
              <w:top w:val="nil"/>
              <w:left w:val="nil"/>
              <w:bottom w:val="single" w:sz="4" w:space="0" w:color="D9D9D9"/>
              <w:right w:val="single" w:sz="4" w:space="0" w:color="D9D9D9"/>
            </w:tcBorders>
            <w:shd w:val="clear" w:color="000000" w:fill="F2F2F2"/>
            <w:noWrap/>
            <w:vAlign w:val="bottom"/>
            <w:hideMark/>
          </w:tcPr>
          <w:p w14:paraId="26A82CC8"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64.60%</w:t>
            </w:r>
          </w:p>
        </w:tc>
        <w:tc>
          <w:tcPr>
            <w:tcW w:w="760" w:type="dxa"/>
            <w:tcBorders>
              <w:top w:val="nil"/>
              <w:left w:val="nil"/>
              <w:bottom w:val="single" w:sz="4" w:space="0" w:color="D9D9D9"/>
              <w:right w:val="single" w:sz="4" w:space="0" w:color="D9D9D9"/>
            </w:tcBorders>
            <w:shd w:val="clear" w:color="000000" w:fill="F2F2F2"/>
            <w:noWrap/>
            <w:vAlign w:val="bottom"/>
            <w:hideMark/>
          </w:tcPr>
          <w:p w14:paraId="1CCAAD3B"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104</w:t>
            </w:r>
          </w:p>
        </w:tc>
      </w:tr>
      <w:tr w:rsidR="001B5C8F" w:rsidRPr="00526729" w14:paraId="339C650B" w14:textId="77777777" w:rsidTr="00D939CF">
        <w:trPr>
          <w:trHeight w:val="255"/>
        </w:trPr>
        <w:tc>
          <w:tcPr>
            <w:tcW w:w="760" w:type="dxa"/>
            <w:tcBorders>
              <w:top w:val="nil"/>
              <w:left w:val="single" w:sz="4" w:space="0" w:color="D9D9D9"/>
              <w:bottom w:val="single" w:sz="4" w:space="0" w:color="D9D9D9"/>
              <w:right w:val="single" w:sz="4" w:space="0" w:color="D9D9D9"/>
            </w:tcBorders>
            <w:shd w:val="clear" w:color="000000" w:fill="F2F2F2"/>
            <w:vAlign w:val="center"/>
            <w:hideMark/>
          </w:tcPr>
          <w:p w14:paraId="7525CA22"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4</w:t>
            </w:r>
          </w:p>
        </w:tc>
        <w:tc>
          <w:tcPr>
            <w:tcW w:w="5262" w:type="dxa"/>
            <w:gridSpan w:val="3"/>
            <w:tcBorders>
              <w:top w:val="single" w:sz="4" w:space="0" w:color="D9D9D9"/>
              <w:left w:val="nil"/>
              <w:bottom w:val="single" w:sz="4" w:space="0" w:color="D9D9D9"/>
              <w:right w:val="single" w:sz="4" w:space="0" w:color="D9D9D9"/>
            </w:tcBorders>
            <w:shd w:val="clear" w:color="auto" w:fill="auto"/>
            <w:vAlign w:val="center"/>
            <w:hideMark/>
          </w:tcPr>
          <w:p w14:paraId="45C8620D"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Mental health difficulties</w:t>
            </w:r>
          </w:p>
        </w:tc>
        <w:tc>
          <w:tcPr>
            <w:tcW w:w="1204" w:type="dxa"/>
            <w:tcBorders>
              <w:top w:val="nil"/>
              <w:left w:val="nil"/>
              <w:bottom w:val="single" w:sz="4" w:space="0" w:color="D9D9D9"/>
              <w:right w:val="single" w:sz="4" w:space="0" w:color="D9D9D9"/>
            </w:tcBorders>
            <w:shd w:val="clear" w:color="000000" w:fill="F2F2F2"/>
            <w:noWrap/>
            <w:vAlign w:val="bottom"/>
            <w:hideMark/>
          </w:tcPr>
          <w:p w14:paraId="3366758C"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17.92%</w:t>
            </w:r>
          </w:p>
        </w:tc>
        <w:tc>
          <w:tcPr>
            <w:tcW w:w="1188" w:type="dxa"/>
            <w:tcBorders>
              <w:top w:val="nil"/>
              <w:left w:val="nil"/>
              <w:bottom w:val="single" w:sz="4" w:space="0" w:color="D9D9D9"/>
              <w:right w:val="single" w:sz="4" w:space="0" w:color="D9D9D9"/>
            </w:tcBorders>
            <w:shd w:val="clear" w:color="000000" w:fill="F2F2F2"/>
            <w:noWrap/>
            <w:vAlign w:val="bottom"/>
            <w:hideMark/>
          </w:tcPr>
          <w:p w14:paraId="7CB85A1E"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23.60%</w:t>
            </w:r>
          </w:p>
        </w:tc>
        <w:tc>
          <w:tcPr>
            <w:tcW w:w="760" w:type="dxa"/>
            <w:tcBorders>
              <w:top w:val="nil"/>
              <w:left w:val="nil"/>
              <w:bottom w:val="single" w:sz="4" w:space="0" w:color="D9D9D9"/>
              <w:right w:val="single" w:sz="4" w:space="0" w:color="D9D9D9"/>
            </w:tcBorders>
            <w:shd w:val="clear" w:color="000000" w:fill="F2F2F2"/>
            <w:noWrap/>
            <w:vAlign w:val="bottom"/>
            <w:hideMark/>
          </w:tcPr>
          <w:p w14:paraId="47661E12"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38</w:t>
            </w:r>
          </w:p>
        </w:tc>
      </w:tr>
      <w:tr w:rsidR="001B5C8F" w:rsidRPr="00526729" w14:paraId="77006839" w14:textId="77777777" w:rsidTr="00D939CF">
        <w:trPr>
          <w:trHeight w:val="255"/>
        </w:trPr>
        <w:tc>
          <w:tcPr>
            <w:tcW w:w="760" w:type="dxa"/>
            <w:tcBorders>
              <w:top w:val="nil"/>
              <w:left w:val="single" w:sz="4" w:space="0" w:color="D9D9D9"/>
              <w:bottom w:val="single" w:sz="4" w:space="0" w:color="D9D9D9"/>
              <w:right w:val="single" w:sz="4" w:space="0" w:color="D9D9D9"/>
            </w:tcBorders>
            <w:shd w:val="clear" w:color="000000" w:fill="F2F2F2"/>
            <w:vAlign w:val="center"/>
            <w:hideMark/>
          </w:tcPr>
          <w:p w14:paraId="11DD1BEF"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5</w:t>
            </w:r>
          </w:p>
        </w:tc>
        <w:tc>
          <w:tcPr>
            <w:tcW w:w="5262" w:type="dxa"/>
            <w:gridSpan w:val="3"/>
            <w:tcBorders>
              <w:top w:val="single" w:sz="4" w:space="0" w:color="D9D9D9"/>
              <w:left w:val="nil"/>
              <w:bottom w:val="single" w:sz="4" w:space="0" w:color="D9D9D9"/>
              <w:right w:val="single" w:sz="4" w:space="0" w:color="D9D9D9"/>
            </w:tcBorders>
            <w:shd w:val="clear" w:color="auto" w:fill="auto"/>
            <w:vAlign w:val="center"/>
            <w:hideMark/>
          </w:tcPr>
          <w:p w14:paraId="6A85577E"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Wheelchair user</w:t>
            </w:r>
          </w:p>
        </w:tc>
        <w:tc>
          <w:tcPr>
            <w:tcW w:w="1204" w:type="dxa"/>
            <w:tcBorders>
              <w:top w:val="nil"/>
              <w:left w:val="nil"/>
              <w:bottom w:val="single" w:sz="4" w:space="0" w:color="D9D9D9"/>
              <w:right w:val="single" w:sz="4" w:space="0" w:color="D9D9D9"/>
            </w:tcBorders>
            <w:shd w:val="clear" w:color="000000" w:fill="F2F2F2"/>
            <w:noWrap/>
            <w:vAlign w:val="bottom"/>
            <w:hideMark/>
          </w:tcPr>
          <w:p w14:paraId="187A7B68"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1.89%</w:t>
            </w:r>
          </w:p>
        </w:tc>
        <w:tc>
          <w:tcPr>
            <w:tcW w:w="1188" w:type="dxa"/>
            <w:tcBorders>
              <w:top w:val="nil"/>
              <w:left w:val="nil"/>
              <w:bottom w:val="single" w:sz="4" w:space="0" w:color="D9D9D9"/>
              <w:right w:val="single" w:sz="4" w:space="0" w:color="D9D9D9"/>
            </w:tcBorders>
            <w:shd w:val="clear" w:color="000000" w:fill="F2F2F2"/>
            <w:noWrap/>
            <w:vAlign w:val="bottom"/>
            <w:hideMark/>
          </w:tcPr>
          <w:p w14:paraId="2DDCF736"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2.48%</w:t>
            </w:r>
          </w:p>
        </w:tc>
        <w:tc>
          <w:tcPr>
            <w:tcW w:w="760" w:type="dxa"/>
            <w:tcBorders>
              <w:top w:val="nil"/>
              <w:left w:val="nil"/>
              <w:bottom w:val="single" w:sz="4" w:space="0" w:color="D9D9D9"/>
              <w:right w:val="single" w:sz="4" w:space="0" w:color="D9D9D9"/>
            </w:tcBorders>
            <w:shd w:val="clear" w:color="000000" w:fill="F2F2F2"/>
            <w:noWrap/>
            <w:vAlign w:val="bottom"/>
            <w:hideMark/>
          </w:tcPr>
          <w:p w14:paraId="11048F76"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4</w:t>
            </w:r>
          </w:p>
        </w:tc>
      </w:tr>
      <w:tr w:rsidR="001B5C8F" w:rsidRPr="00526729" w14:paraId="19268749" w14:textId="77777777" w:rsidTr="00D939CF">
        <w:trPr>
          <w:trHeight w:val="255"/>
        </w:trPr>
        <w:tc>
          <w:tcPr>
            <w:tcW w:w="760" w:type="dxa"/>
            <w:tcBorders>
              <w:top w:val="nil"/>
              <w:left w:val="single" w:sz="4" w:space="0" w:color="D9D9D9"/>
              <w:bottom w:val="single" w:sz="4" w:space="0" w:color="D9D9D9"/>
              <w:right w:val="single" w:sz="4" w:space="0" w:color="D9D9D9"/>
            </w:tcBorders>
            <w:shd w:val="clear" w:color="000000" w:fill="F2F2F2"/>
            <w:vAlign w:val="center"/>
            <w:hideMark/>
          </w:tcPr>
          <w:p w14:paraId="65AB420C"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6</w:t>
            </w:r>
          </w:p>
        </w:tc>
        <w:tc>
          <w:tcPr>
            <w:tcW w:w="5262" w:type="dxa"/>
            <w:gridSpan w:val="3"/>
            <w:tcBorders>
              <w:top w:val="single" w:sz="4" w:space="0" w:color="D9D9D9"/>
              <w:left w:val="nil"/>
              <w:bottom w:val="single" w:sz="4" w:space="0" w:color="D9D9D9"/>
              <w:right w:val="single" w:sz="4" w:space="0" w:color="D9D9D9"/>
            </w:tcBorders>
            <w:shd w:val="clear" w:color="auto" w:fill="auto"/>
            <w:vAlign w:val="center"/>
            <w:hideMark/>
          </w:tcPr>
          <w:p w14:paraId="7611C390"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Learning impairment/difficulties</w:t>
            </w:r>
          </w:p>
        </w:tc>
        <w:tc>
          <w:tcPr>
            <w:tcW w:w="1204" w:type="dxa"/>
            <w:tcBorders>
              <w:top w:val="nil"/>
              <w:left w:val="nil"/>
              <w:bottom w:val="single" w:sz="4" w:space="0" w:color="D9D9D9"/>
              <w:right w:val="single" w:sz="4" w:space="0" w:color="D9D9D9"/>
            </w:tcBorders>
            <w:shd w:val="clear" w:color="000000" w:fill="F2F2F2"/>
            <w:noWrap/>
            <w:vAlign w:val="bottom"/>
            <w:hideMark/>
          </w:tcPr>
          <w:p w14:paraId="22885929"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0.47%</w:t>
            </w:r>
          </w:p>
        </w:tc>
        <w:tc>
          <w:tcPr>
            <w:tcW w:w="1188" w:type="dxa"/>
            <w:tcBorders>
              <w:top w:val="nil"/>
              <w:left w:val="nil"/>
              <w:bottom w:val="single" w:sz="4" w:space="0" w:color="D9D9D9"/>
              <w:right w:val="single" w:sz="4" w:space="0" w:color="D9D9D9"/>
            </w:tcBorders>
            <w:shd w:val="clear" w:color="000000" w:fill="F2F2F2"/>
            <w:noWrap/>
            <w:vAlign w:val="bottom"/>
            <w:hideMark/>
          </w:tcPr>
          <w:p w14:paraId="63D13875"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0.62%</w:t>
            </w:r>
          </w:p>
        </w:tc>
        <w:tc>
          <w:tcPr>
            <w:tcW w:w="760" w:type="dxa"/>
            <w:tcBorders>
              <w:top w:val="nil"/>
              <w:left w:val="nil"/>
              <w:bottom w:val="single" w:sz="4" w:space="0" w:color="D9D9D9"/>
              <w:right w:val="single" w:sz="4" w:space="0" w:color="D9D9D9"/>
            </w:tcBorders>
            <w:shd w:val="clear" w:color="000000" w:fill="F2F2F2"/>
            <w:noWrap/>
            <w:vAlign w:val="bottom"/>
            <w:hideMark/>
          </w:tcPr>
          <w:p w14:paraId="6C6FD40A"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1</w:t>
            </w:r>
          </w:p>
        </w:tc>
      </w:tr>
      <w:tr w:rsidR="001B5C8F" w:rsidRPr="00526729" w14:paraId="58029228" w14:textId="77777777" w:rsidTr="00D939CF">
        <w:trPr>
          <w:trHeight w:val="255"/>
        </w:trPr>
        <w:tc>
          <w:tcPr>
            <w:tcW w:w="760" w:type="dxa"/>
            <w:tcBorders>
              <w:top w:val="nil"/>
              <w:left w:val="single" w:sz="4" w:space="0" w:color="D9D9D9"/>
              <w:bottom w:val="single" w:sz="4" w:space="0" w:color="D9D9D9"/>
              <w:right w:val="single" w:sz="4" w:space="0" w:color="D9D9D9"/>
            </w:tcBorders>
            <w:shd w:val="clear" w:color="000000" w:fill="F2F2F2"/>
            <w:vAlign w:val="center"/>
            <w:hideMark/>
          </w:tcPr>
          <w:p w14:paraId="7620B489"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7</w:t>
            </w:r>
          </w:p>
        </w:tc>
        <w:tc>
          <w:tcPr>
            <w:tcW w:w="5262" w:type="dxa"/>
            <w:gridSpan w:val="3"/>
            <w:tcBorders>
              <w:top w:val="single" w:sz="4" w:space="0" w:color="D9D9D9"/>
              <w:left w:val="nil"/>
              <w:bottom w:val="single" w:sz="4" w:space="0" w:color="D9D9D9"/>
              <w:right w:val="single" w:sz="4" w:space="0" w:color="D9D9D9"/>
            </w:tcBorders>
            <w:shd w:val="clear" w:color="auto" w:fill="auto"/>
            <w:vAlign w:val="center"/>
            <w:hideMark/>
          </w:tcPr>
          <w:p w14:paraId="5FBAF4BD"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Mobility impairment</w:t>
            </w:r>
          </w:p>
        </w:tc>
        <w:tc>
          <w:tcPr>
            <w:tcW w:w="1204" w:type="dxa"/>
            <w:tcBorders>
              <w:top w:val="nil"/>
              <w:left w:val="nil"/>
              <w:bottom w:val="single" w:sz="4" w:space="0" w:color="D9D9D9"/>
              <w:right w:val="single" w:sz="4" w:space="0" w:color="D9D9D9"/>
            </w:tcBorders>
            <w:shd w:val="clear" w:color="000000" w:fill="F2F2F2"/>
            <w:noWrap/>
            <w:vAlign w:val="bottom"/>
            <w:hideMark/>
          </w:tcPr>
          <w:p w14:paraId="224BD200"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10.38%</w:t>
            </w:r>
          </w:p>
        </w:tc>
        <w:tc>
          <w:tcPr>
            <w:tcW w:w="1188" w:type="dxa"/>
            <w:tcBorders>
              <w:top w:val="nil"/>
              <w:left w:val="nil"/>
              <w:bottom w:val="single" w:sz="4" w:space="0" w:color="D9D9D9"/>
              <w:right w:val="single" w:sz="4" w:space="0" w:color="D9D9D9"/>
            </w:tcBorders>
            <w:shd w:val="clear" w:color="000000" w:fill="F2F2F2"/>
            <w:noWrap/>
            <w:vAlign w:val="bottom"/>
            <w:hideMark/>
          </w:tcPr>
          <w:p w14:paraId="51C40D96"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13.66%</w:t>
            </w:r>
          </w:p>
        </w:tc>
        <w:tc>
          <w:tcPr>
            <w:tcW w:w="760" w:type="dxa"/>
            <w:tcBorders>
              <w:top w:val="nil"/>
              <w:left w:val="nil"/>
              <w:bottom w:val="single" w:sz="4" w:space="0" w:color="D9D9D9"/>
              <w:right w:val="single" w:sz="4" w:space="0" w:color="D9D9D9"/>
            </w:tcBorders>
            <w:shd w:val="clear" w:color="000000" w:fill="F2F2F2"/>
            <w:noWrap/>
            <w:vAlign w:val="bottom"/>
            <w:hideMark/>
          </w:tcPr>
          <w:p w14:paraId="694A072F"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22</w:t>
            </w:r>
          </w:p>
        </w:tc>
      </w:tr>
      <w:tr w:rsidR="001B5C8F" w:rsidRPr="00526729" w14:paraId="1A33BD18" w14:textId="77777777" w:rsidTr="00D939CF">
        <w:trPr>
          <w:trHeight w:val="255"/>
        </w:trPr>
        <w:tc>
          <w:tcPr>
            <w:tcW w:w="760" w:type="dxa"/>
            <w:tcBorders>
              <w:top w:val="nil"/>
              <w:left w:val="single" w:sz="4" w:space="0" w:color="D9D9D9"/>
              <w:bottom w:val="single" w:sz="4" w:space="0" w:color="D9D9D9"/>
              <w:right w:val="single" w:sz="4" w:space="0" w:color="D9D9D9"/>
            </w:tcBorders>
            <w:shd w:val="clear" w:color="000000" w:fill="F2F2F2"/>
            <w:vAlign w:val="center"/>
            <w:hideMark/>
          </w:tcPr>
          <w:p w14:paraId="75ADDA93"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8</w:t>
            </w:r>
          </w:p>
        </w:tc>
        <w:tc>
          <w:tcPr>
            <w:tcW w:w="5262" w:type="dxa"/>
            <w:gridSpan w:val="3"/>
            <w:tcBorders>
              <w:top w:val="single" w:sz="4" w:space="0" w:color="D9D9D9"/>
              <w:left w:val="nil"/>
              <w:bottom w:val="single" w:sz="4" w:space="0" w:color="D9D9D9"/>
              <w:right w:val="single" w:sz="4" w:space="0" w:color="D9D9D9"/>
            </w:tcBorders>
            <w:shd w:val="clear" w:color="auto" w:fill="auto"/>
            <w:vAlign w:val="center"/>
            <w:hideMark/>
          </w:tcPr>
          <w:p w14:paraId="29A735A3"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Prefer not to say</w:t>
            </w:r>
          </w:p>
        </w:tc>
        <w:tc>
          <w:tcPr>
            <w:tcW w:w="1204" w:type="dxa"/>
            <w:tcBorders>
              <w:top w:val="nil"/>
              <w:left w:val="nil"/>
              <w:bottom w:val="single" w:sz="4" w:space="0" w:color="D9D9D9"/>
              <w:right w:val="single" w:sz="4" w:space="0" w:color="D9D9D9"/>
            </w:tcBorders>
            <w:shd w:val="clear" w:color="000000" w:fill="F2F2F2"/>
            <w:noWrap/>
            <w:vAlign w:val="bottom"/>
            <w:hideMark/>
          </w:tcPr>
          <w:p w14:paraId="0EC167FD"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5.19%</w:t>
            </w:r>
          </w:p>
        </w:tc>
        <w:tc>
          <w:tcPr>
            <w:tcW w:w="1188" w:type="dxa"/>
            <w:tcBorders>
              <w:top w:val="nil"/>
              <w:left w:val="nil"/>
              <w:bottom w:val="single" w:sz="4" w:space="0" w:color="D9D9D9"/>
              <w:right w:val="single" w:sz="4" w:space="0" w:color="D9D9D9"/>
            </w:tcBorders>
            <w:shd w:val="clear" w:color="000000" w:fill="F2F2F2"/>
            <w:noWrap/>
            <w:vAlign w:val="bottom"/>
            <w:hideMark/>
          </w:tcPr>
          <w:p w14:paraId="2CBF0A1C"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6.83%</w:t>
            </w:r>
          </w:p>
        </w:tc>
        <w:tc>
          <w:tcPr>
            <w:tcW w:w="760" w:type="dxa"/>
            <w:tcBorders>
              <w:top w:val="nil"/>
              <w:left w:val="nil"/>
              <w:bottom w:val="single" w:sz="4" w:space="0" w:color="D9D9D9"/>
              <w:right w:val="single" w:sz="4" w:space="0" w:color="D9D9D9"/>
            </w:tcBorders>
            <w:shd w:val="clear" w:color="000000" w:fill="F2F2F2"/>
            <w:noWrap/>
            <w:vAlign w:val="bottom"/>
            <w:hideMark/>
          </w:tcPr>
          <w:p w14:paraId="37F3ACAA"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11</w:t>
            </w:r>
          </w:p>
        </w:tc>
      </w:tr>
      <w:tr w:rsidR="001B5C8F" w:rsidRPr="00526729" w14:paraId="59063809" w14:textId="77777777" w:rsidTr="00D939CF">
        <w:trPr>
          <w:trHeight w:val="255"/>
        </w:trPr>
        <w:tc>
          <w:tcPr>
            <w:tcW w:w="760" w:type="dxa"/>
            <w:tcBorders>
              <w:top w:val="nil"/>
              <w:left w:val="single" w:sz="4" w:space="0" w:color="D9D9D9"/>
              <w:bottom w:val="single" w:sz="4" w:space="0" w:color="D9D9D9"/>
              <w:right w:val="single" w:sz="4" w:space="0" w:color="D9D9D9"/>
            </w:tcBorders>
            <w:shd w:val="clear" w:color="000000" w:fill="F2F2F2"/>
            <w:vAlign w:val="center"/>
            <w:hideMark/>
          </w:tcPr>
          <w:p w14:paraId="4DE9F232"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9</w:t>
            </w:r>
          </w:p>
        </w:tc>
        <w:tc>
          <w:tcPr>
            <w:tcW w:w="5262" w:type="dxa"/>
            <w:gridSpan w:val="3"/>
            <w:tcBorders>
              <w:top w:val="single" w:sz="4" w:space="0" w:color="D9D9D9"/>
              <w:left w:val="nil"/>
              <w:bottom w:val="single" w:sz="4" w:space="0" w:color="D9D9D9"/>
              <w:right w:val="single" w:sz="4" w:space="0" w:color="D9D9D9"/>
            </w:tcBorders>
            <w:shd w:val="clear" w:color="auto" w:fill="auto"/>
            <w:vAlign w:val="center"/>
            <w:hideMark/>
          </w:tcPr>
          <w:p w14:paraId="22FD5603"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 xml:space="preserve">Other </w:t>
            </w:r>
          </w:p>
        </w:tc>
        <w:tc>
          <w:tcPr>
            <w:tcW w:w="1204" w:type="dxa"/>
            <w:tcBorders>
              <w:top w:val="nil"/>
              <w:left w:val="nil"/>
              <w:bottom w:val="single" w:sz="4" w:space="0" w:color="D9D9D9"/>
              <w:right w:val="single" w:sz="4" w:space="0" w:color="D9D9D9"/>
            </w:tcBorders>
            <w:shd w:val="clear" w:color="000000" w:fill="F2F2F2"/>
            <w:noWrap/>
            <w:vAlign w:val="bottom"/>
            <w:hideMark/>
          </w:tcPr>
          <w:p w14:paraId="6BD96F81"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3.30%</w:t>
            </w:r>
          </w:p>
        </w:tc>
        <w:tc>
          <w:tcPr>
            <w:tcW w:w="1188" w:type="dxa"/>
            <w:tcBorders>
              <w:top w:val="nil"/>
              <w:left w:val="nil"/>
              <w:bottom w:val="single" w:sz="4" w:space="0" w:color="D9D9D9"/>
              <w:right w:val="single" w:sz="4" w:space="0" w:color="D9D9D9"/>
            </w:tcBorders>
            <w:shd w:val="clear" w:color="000000" w:fill="F2F2F2"/>
            <w:noWrap/>
            <w:vAlign w:val="bottom"/>
            <w:hideMark/>
          </w:tcPr>
          <w:p w14:paraId="0F978D78"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4.35%</w:t>
            </w:r>
          </w:p>
        </w:tc>
        <w:tc>
          <w:tcPr>
            <w:tcW w:w="760" w:type="dxa"/>
            <w:tcBorders>
              <w:top w:val="nil"/>
              <w:left w:val="nil"/>
              <w:bottom w:val="single" w:sz="4" w:space="0" w:color="D9D9D9"/>
              <w:right w:val="single" w:sz="4" w:space="0" w:color="D9D9D9"/>
            </w:tcBorders>
            <w:shd w:val="clear" w:color="000000" w:fill="F2F2F2"/>
            <w:noWrap/>
            <w:vAlign w:val="bottom"/>
            <w:hideMark/>
          </w:tcPr>
          <w:p w14:paraId="441AF3C2"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7</w:t>
            </w:r>
          </w:p>
        </w:tc>
      </w:tr>
      <w:tr w:rsidR="001B5C8F" w:rsidRPr="00526729" w14:paraId="4B42EFA1" w14:textId="77777777" w:rsidTr="00D939CF">
        <w:trPr>
          <w:trHeight w:val="255"/>
        </w:trPr>
        <w:tc>
          <w:tcPr>
            <w:tcW w:w="760" w:type="dxa"/>
            <w:tcBorders>
              <w:top w:val="nil"/>
              <w:left w:val="single" w:sz="4" w:space="0" w:color="D9D9D9"/>
              <w:bottom w:val="single" w:sz="4" w:space="0" w:color="D9D9D9"/>
              <w:right w:val="single" w:sz="4" w:space="0" w:color="D9D9D9"/>
            </w:tcBorders>
            <w:shd w:val="clear" w:color="000000" w:fill="F2F2F2"/>
            <w:vAlign w:val="center"/>
            <w:hideMark/>
          </w:tcPr>
          <w:p w14:paraId="5EA093F3"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 </w:t>
            </w:r>
          </w:p>
        </w:tc>
        <w:tc>
          <w:tcPr>
            <w:tcW w:w="760" w:type="dxa"/>
            <w:tcBorders>
              <w:top w:val="nil"/>
              <w:left w:val="nil"/>
              <w:bottom w:val="single" w:sz="4" w:space="0" w:color="D9D9D9"/>
              <w:right w:val="single" w:sz="4" w:space="0" w:color="D9D9D9"/>
            </w:tcBorders>
            <w:shd w:val="clear" w:color="000000" w:fill="F2F2F2"/>
            <w:vAlign w:val="center"/>
            <w:hideMark/>
          </w:tcPr>
          <w:p w14:paraId="5158B395"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 </w:t>
            </w:r>
          </w:p>
        </w:tc>
        <w:tc>
          <w:tcPr>
            <w:tcW w:w="760" w:type="dxa"/>
            <w:tcBorders>
              <w:top w:val="nil"/>
              <w:left w:val="nil"/>
              <w:bottom w:val="single" w:sz="4" w:space="0" w:color="D9D9D9"/>
              <w:right w:val="single" w:sz="4" w:space="0" w:color="D9D9D9"/>
            </w:tcBorders>
            <w:shd w:val="clear" w:color="000000" w:fill="F2F2F2"/>
            <w:vAlign w:val="center"/>
            <w:hideMark/>
          </w:tcPr>
          <w:p w14:paraId="52EE40F5"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 </w:t>
            </w:r>
          </w:p>
        </w:tc>
        <w:tc>
          <w:tcPr>
            <w:tcW w:w="3740" w:type="dxa"/>
            <w:tcBorders>
              <w:top w:val="nil"/>
              <w:left w:val="nil"/>
              <w:bottom w:val="single" w:sz="4" w:space="0" w:color="D9D9D9"/>
              <w:right w:val="single" w:sz="4" w:space="0" w:color="D9D9D9"/>
            </w:tcBorders>
            <w:shd w:val="clear" w:color="000000" w:fill="F2F2F2"/>
            <w:vAlign w:val="center"/>
            <w:hideMark/>
          </w:tcPr>
          <w:p w14:paraId="193ECB13" w14:textId="77777777" w:rsidR="001B5C8F" w:rsidRPr="00526729" w:rsidRDefault="001B5C8F" w:rsidP="00DC54F7">
            <w:pPr>
              <w:spacing w:after="0" w:line="240" w:lineRule="auto"/>
              <w:jc w:val="both"/>
              <w:rPr>
                <w:rFonts w:ascii="Arial" w:eastAsia="Times New Roman" w:hAnsi="Arial" w:cs="Arial"/>
                <w:b/>
                <w:bCs/>
                <w:color w:val="000000"/>
                <w:sz w:val="18"/>
                <w:szCs w:val="18"/>
                <w:lang w:eastAsia="en-GB"/>
              </w:rPr>
            </w:pPr>
            <w:r w:rsidRPr="00526729">
              <w:rPr>
                <w:rFonts w:ascii="Arial" w:eastAsia="Times New Roman" w:hAnsi="Arial" w:cs="Arial"/>
                <w:b/>
                <w:bCs/>
                <w:color w:val="000000"/>
                <w:sz w:val="18"/>
                <w:szCs w:val="18"/>
                <w:lang w:eastAsia="en-GB"/>
              </w:rPr>
              <w:t>Total Responses</w:t>
            </w:r>
          </w:p>
        </w:tc>
        <w:tc>
          <w:tcPr>
            <w:tcW w:w="1204" w:type="dxa"/>
            <w:tcBorders>
              <w:top w:val="nil"/>
              <w:left w:val="nil"/>
              <w:bottom w:val="single" w:sz="4" w:space="0" w:color="D9D9D9"/>
              <w:right w:val="single" w:sz="4" w:space="0" w:color="D9D9D9"/>
            </w:tcBorders>
            <w:shd w:val="clear" w:color="000000" w:fill="F2F2F2"/>
            <w:noWrap/>
            <w:vAlign w:val="bottom"/>
            <w:hideMark/>
          </w:tcPr>
          <w:p w14:paraId="19016A1A"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 </w:t>
            </w:r>
          </w:p>
        </w:tc>
        <w:tc>
          <w:tcPr>
            <w:tcW w:w="1188" w:type="dxa"/>
            <w:tcBorders>
              <w:top w:val="nil"/>
              <w:left w:val="nil"/>
              <w:bottom w:val="single" w:sz="4" w:space="0" w:color="D9D9D9"/>
              <w:right w:val="single" w:sz="4" w:space="0" w:color="D9D9D9"/>
            </w:tcBorders>
            <w:shd w:val="clear" w:color="000000" w:fill="F2F2F2"/>
            <w:noWrap/>
            <w:vAlign w:val="bottom"/>
            <w:hideMark/>
          </w:tcPr>
          <w:p w14:paraId="665024E2"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 </w:t>
            </w:r>
          </w:p>
        </w:tc>
        <w:tc>
          <w:tcPr>
            <w:tcW w:w="760" w:type="dxa"/>
            <w:tcBorders>
              <w:top w:val="nil"/>
              <w:left w:val="nil"/>
              <w:bottom w:val="single" w:sz="4" w:space="0" w:color="D9D9D9"/>
              <w:right w:val="single" w:sz="4" w:space="0" w:color="D9D9D9"/>
            </w:tcBorders>
            <w:shd w:val="clear" w:color="000000" w:fill="F2F2F2"/>
            <w:noWrap/>
            <w:vAlign w:val="bottom"/>
            <w:hideMark/>
          </w:tcPr>
          <w:p w14:paraId="2BA3F035"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212</w:t>
            </w:r>
          </w:p>
        </w:tc>
      </w:tr>
      <w:tr w:rsidR="001B5C8F" w:rsidRPr="00526729" w14:paraId="6AD99786" w14:textId="77777777" w:rsidTr="00D939CF">
        <w:trPr>
          <w:trHeight w:val="255"/>
        </w:trPr>
        <w:tc>
          <w:tcPr>
            <w:tcW w:w="760" w:type="dxa"/>
            <w:tcBorders>
              <w:top w:val="nil"/>
              <w:left w:val="single" w:sz="4" w:space="0" w:color="D9D9D9"/>
              <w:bottom w:val="single" w:sz="4" w:space="0" w:color="D9D9D9"/>
              <w:right w:val="single" w:sz="4" w:space="0" w:color="D9D9D9"/>
            </w:tcBorders>
            <w:shd w:val="clear" w:color="000000" w:fill="F2F2F2"/>
            <w:vAlign w:val="center"/>
            <w:hideMark/>
          </w:tcPr>
          <w:p w14:paraId="61EFCD2D"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 </w:t>
            </w:r>
          </w:p>
        </w:tc>
        <w:tc>
          <w:tcPr>
            <w:tcW w:w="760" w:type="dxa"/>
            <w:tcBorders>
              <w:top w:val="nil"/>
              <w:left w:val="nil"/>
              <w:bottom w:val="single" w:sz="4" w:space="0" w:color="D9D9D9"/>
              <w:right w:val="single" w:sz="4" w:space="0" w:color="D9D9D9"/>
            </w:tcBorders>
            <w:shd w:val="clear" w:color="000000" w:fill="F2F2F2"/>
            <w:vAlign w:val="center"/>
            <w:hideMark/>
          </w:tcPr>
          <w:p w14:paraId="479F2172"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 </w:t>
            </w:r>
          </w:p>
        </w:tc>
        <w:tc>
          <w:tcPr>
            <w:tcW w:w="760" w:type="dxa"/>
            <w:tcBorders>
              <w:top w:val="nil"/>
              <w:left w:val="nil"/>
              <w:bottom w:val="single" w:sz="4" w:space="0" w:color="D9D9D9"/>
              <w:right w:val="single" w:sz="4" w:space="0" w:color="D9D9D9"/>
            </w:tcBorders>
            <w:shd w:val="clear" w:color="000000" w:fill="F2F2F2"/>
            <w:vAlign w:val="center"/>
            <w:hideMark/>
          </w:tcPr>
          <w:p w14:paraId="3ED2F40C"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 </w:t>
            </w:r>
          </w:p>
        </w:tc>
        <w:tc>
          <w:tcPr>
            <w:tcW w:w="3740" w:type="dxa"/>
            <w:tcBorders>
              <w:top w:val="nil"/>
              <w:left w:val="nil"/>
              <w:bottom w:val="single" w:sz="4" w:space="0" w:color="D9D9D9"/>
              <w:right w:val="single" w:sz="4" w:space="0" w:color="D9D9D9"/>
            </w:tcBorders>
            <w:shd w:val="clear" w:color="000000" w:fill="F2F2F2"/>
            <w:vAlign w:val="center"/>
            <w:hideMark/>
          </w:tcPr>
          <w:p w14:paraId="3DE93DD6" w14:textId="77777777" w:rsidR="001B5C8F" w:rsidRPr="00526729" w:rsidRDefault="001B5C8F" w:rsidP="00DC54F7">
            <w:pPr>
              <w:spacing w:after="0" w:line="240" w:lineRule="auto"/>
              <w:jc w:val="both"/>
              <w:rPr>
                <w:rFonts w:ascii="Arial" w:eastAsia="Times New Roman" w:hAnsi="Arial" w:cs="Arial"/>
                <w:b/>
                <w:bCs/>
                <w:color w:val="000000"/>
                <w:sz w:val="18"/>
                <w:szCs w:val="18"/>
                <w:lang w:eastAsia="en-GB"/>
              </w:rPr>
            </w:pPr>
            <w:r w:rsidRPr="00526729">
              <w:rPr>
                <w:rFonts w:ascii="Arial" w:eastAsia="Times New Roman" w:hAnsi="Arial" w:cs="Arial"/>
                <w:b/>
                <w:bCs/>
                <w:color w:val="000000"/>
                <w:sz w:val="18"/>
                <w:szCs w:val="18"/>
                <w:lang w:eastAsia="en-GB"/>
              </w:rPr>
              <w:t>Total Respondents</w:t>
            </w:r>
          </w:p>
        </w:tc>
        <w:tc>
          <w:tcPr>
            <w:tcW w:w="1204" w:type="dxa"/>
            <w:tcBorders>
              <w:top w:val="nil"/>
              <w:left w:val="nil"/>
              <w:bottom w:val="single" w:sz="4" w:space="0" w:color="D9D9D9"/>
              <w:right w:val="single" w:sz="4" w:space="0" w:color="D9D9D9"/>
            </w:tcBorders>
            <w:shd w:val="clear" w:color="000000" w:fill="F2F2F2"/>
            <w:vAlign w:val="center"/>
            <w:hideMark/>
          </w:tcPr>
          <w:p w14:paraId="37F60D8A" w14:textId="77777777" w:rsidR="001B5C8F" w:rsidRPr="00526729" w:rsidRDefault="001B5C8F" w:rsidP="00DC54F7">
            <w:pPr>
              <w:spacing w:after="0" w:line="240" w:lineRule="auto"/>
              <w:jc w:val="both"/>
              <w:rPr>
                <w:rFonts w:ascii="Arial" w:eastAsia="Times New Roman" w:hAnsi="Arial" w:cs="Arial"/>
                <w:b/>
                <w:bCs/>
                <w:color w:val="000000"/>
                <w:sz w:val="18"/>
                <w:szCs w:val="18"/>
                <w:lang w:eastAsia="en-GB"/>
              </w:rPr>
            </w:pPr>
            <w:r w:rsidRPr="00526729">
              <w:rPr>
                <w:rFonts w:ascii="Arial" w:eastAsia="Times New Roman" w:hAnsi="Arial" w:cs="Arial"/>
                <w:b/>
                <w:bCs/>
                <w:color w:val="000000"/>
                <w:sz w:val="18"/>
                <w:szCs w:val="18"/>
                <w:lang w:eastAsia="en-GB"/>
              </w:rPr>
              <w:t> </w:t>
            </w:r>
          </w:p>
        </w:tc>
        <w:tc>
          <w:tcPr>
            <w:tcW w:w="1188" w:type="dxa"/>
            <w:tcBorders>
              <w:top w:val="nil"/>
              <w:left w:val="nil"/>
              <w:bottom w:val="single" w:sz="4" w:space="0" w:color="D9D9D9"/>
              <w:right w:val="single" w:sz="4" w:space="0" w:color="D9D9D9"/>
            </w:tcBorders>
            <w:shd w:val="clear" w:color="000000" w:fill="F2F2F2"/>
            <w:noWrap/>
            <w:vAlign w:val="bottom"/>
            <w:hideMark/>
          </w:tcPr>
          <w:p w14:paraId="757235F4"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 </w:t>
            </w:r>
          </w:p>
        </w:tc>
        <w:tc>
          <w:tcPr>
            <w:tcW w:w="760" w:type="dxa"/>
            <w:tcBorders>
              <w:top w:val="nil"/>
              <w:left w:val="nil"/>
              <w:bottom w:val="single" w:sz="4" w:space="0" w:color="D9D9D9"/>
              <w:right w:val="single" w:sz="4" w:space="0" w:color="D9D9D9"/>
            </w:tcBorders>
            <w:shd w:val="clear" w:color="000000" w:fill="F2F2F2"/>
            <w:noWrap/>
            <w:vAlign w:val="bottom"/>
            <w:hideMark/>
          </w:tcPr>
          <w:p w14:paraId="398CD524"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161</w:t>
            </w:r>
          </w:p>
        </w:tc>
      </w:tr>
      <w:tr w:rsidR="001B5C8F" w:rsidRPr="00526729" w14:paraId="1B0E9652" w14:textId="77777777" w:rsidTr="00D939CF">
        <w:trPr>
          <w:trHeight w:val="255"/>
        </w:trPr>
        <w:tc>
          <w:tcPr>
            <w:tcW w:w="760" w:type="dxa"/>
            <w:tcBorders>
              <w:top w:val="nil"/>
              <w:left w:val="single" w:sz="4" w:space="0" w:color="D9D9D9"/>
              <w:bottom w:val="single" w:sz="4" w:space="0" w:color="D9D9D9"/>
              <w:right w:val="single" w:sz="4" w:space="0" w:color="D9D9D9"/>
            </w:tcBorders>
            <w:shd w:val="clear" w:color="000000" w:fill="F2F2F2"/>
            <w:vAlign w:val="center"/>
            <w:hideMark/>
          </w:tcPr>
          <w:p w14:paraId="3896DA87"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 </w:t>
            </w:r>
          </w:p>
        </w:tc>
        <w:tc>
          <w:tcPr>
            <w:tcW w:w="760" w:type="dxa"/>
            <w:tcBorders>
              <w:top w:val="nil"/>
              <w:left w:val="nil"/>
              <w:bottom w:val="single" w:sz="4" w:space="0" w:color="D9D9D9"/>
              <w:right w:val="single" w:sz="4" w:space="0" w:color="D9D9D9"/>
            </w:tcBorders>
            <w:shd w:val="clear" w:color="000000" w:fill="F2F2F2"/>
            <w:vAlign w:val="center"/>
            <w:hideMark/>
          </w:tcPr>
          <w:p w14:paraId="0E4A47C9"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 </w:t>
            </w:r>
          </w:p>
        </w:tc>
        <w:tc>
          <w:tcPr>
            <w:tcW w:w="760" w:type="dxa"/>
            <w:tcBorders>
              <w:top w:val="nil"/>
              <w:left w:val="nil"/>
              <w:bottom w:val="single" w:sz="4" w:space="0" w:color="D9D9D9"/>
              <w:right w:val="single" w:sz="4" w:space="0" w:color="D9D9D9"/>
            </w:tcBorders>
            <w:shd w:val="clear" w:color="000000" w:fill="F2F2F2"/>
            <w:vAlign w:val="center"/>
            <w:hideMark/>
          </w:tcPr>
          <w:p w14:paraId="52B09C38" w14:textId="77777777" w:rsidR="001B5C8F" w:rsidRPr="00526729" w:rsidRDefault="001B5C8F" w:rsidP="00DC54F7">
            <w:pPr>
              <w:spacing w:after="0" w:line="240" w:lineRule="auto"/>
              <w:jc w:val="both"/>
              <w:rPr>
                <w:rFonts w:ascii="Arial" w:eastAsia="Times New Roman" w:hAnsi="Arial" w:cs="Arial"/>
                <w:color w:val="000000"/>
                <w:sz w:val="18"/>
                <w:szCs w:val="18"/>
                <w:lang w:eastAsia="en-GB"/>
              </w:rPr>
            </w:pPr>
            <w:r w:rsidRPr="00526729">
              <w:rPr>
                <w:rFonts w:ascii="Arial" w:eastAsia="Times New Roman" w:hAnsi="Arial" w:cs="Arial"/>
                <w:color w:val="000000"/>
                <w:sz w:val="18"/>
                <w:szCs w:val="18"/>
                <w:lang w:eastAsia="en-GB"/>
              </w:rPr>
              <w:t> </w:t>
            </w:r>
          </w:p>
        </w:tc>
        <w:tc>
          <w:tcPr>
            <w:tcW w:w="3740" w:type="dxa"/>
            <w:tcBorders>
              <w:top w:val="nil"/>
              <w:left w:val="nil"/>
              <w:bottom w:val="single" w:sz="4" w:space="0" w:color="D9D9D9"/>
              <w:right w:val="single" w:sz="4" w:space="0" w:color="D9D9D9"/>
            </w:tcBorders>
            <w:shd w:val="clear" w:color="000000" w:fill="F2F2F2"/>
            <w:vAlign w:val="center"/>
            <w:hideMark/>
          </w:tcPr>
          <w:p w14:paraId="5C660501" w14:textId="77777777" w:rsidR="001B5C8F" w:rsidRPr="00526729" w:rsidRDefault="001B5C8F" w:rsidP="00DC54F7">
            <w:pPr>
              <w:spacing w:after="0" w:line="240" w:lineRule="auto"/>
              <w:jc w:val="both"/>
              <w:rPr>
                <w:rFonts w:ascii="Arial" w:eastAsia="Times New Roman" w:hAnsi="Arial" w:cs="Arial"/>
                <w:b/>
                <w:bCs/>
                <w:color w:val="000000"/>
                <w:sz w:val="18"/>
                <w:szCs w:val="18"/>
                <w:lang w:eastAsia="en-GB"/>
              </w:rPr>
            </w:pPr>
            <w:r w:rsidRPr="00526729">
              <w:rPr>
                <w:rFonts w:ascii="Arial" w:eastAsia="Times New Roman" w:hAnsi="Arial" w:cs="Arial"/>
                <w:b/>
                <w:bCs/>
                <w:color w:val="000000"/>
                <w:sz w:val="18"/>
                <w:szCs w:val="18"/>
                <w:lang w:eastAsia="en-GB"/>
              </w:rPr>
              <w:t>Skipped</w:t>
            </w:r>
          </w:p>
        </w:tc>
        <w:tc>
          <w:tcPr>
            <w:tcW w:w="1204" w:type="dxa"/>
            <w:tcBorders>
              <w:top w:val="nil"/>
              <w:left w:val="nil"/>
              <w:bottom w:val="single" w:sz="4" w:space="0" w:color="D9D9D9"/>
              <w:right w:val="single" w:sz="4" w:space="0" w:color="D9D9D9"/>
            </w:tcBorders>
            <w:shd w:val="clear" w:color="000000" w:fill="F2F2F2"/>
            <w:vAlign w:val="center"/>
            <w:hideMark/>
          </w:tcPr>
          <w:p w14:paraId="50DAF072" w14:textId="77777777" w:rsidR="001B5C8F" w:rsidRPr="00526729" w:rsidRDefault="001B5C8F" w:rsidP="00DC54F7">
            <w:pPr>
              <w:spacing w:after="0" w:line="240" w:lineRule="auto"/>
              <w:jc w:val="both"/>
              <w:rPr>
                <w:rFonts w:ascii="Arial" w:eastAsia="Times New Roman" w:hAnsi="Arial" w:cs="Arial"/>
                <w:b/>
                <w:bCs/>
                <w:color w:val="000000"/>
                <w:sz w:val="18"/>
                <w:szCs w:val="18"/>
                <w:lang w:eastAsia="en-GB"/>
              </w:rPr>
            </w:pPr>
            <w:r w:rsidRPr="00526729">
              <w:rPr>
                <w:rFonts w:ascii="Arial" w:eastAsia="Times New Roman" w:hAnsi="Arial" w:cs="Arial"/>
                <w:b/>
                <w:bCs/>
                <w:color w:val="000000"/>
                <w:sz w:val="18"/>
                <w:szCs w:val="18"/>
                <w:lang w:eastAsia="en-GB"/>
              </w:rPr>
              <w:t> </w:t>
            </w:r>
          </w:p>
        </w:tc>
        <w:tc>
          <w:tcPr>
            <w:tcW w:w="1188" w:type="dxa"/>
            <w:tcBorders>
              <w:top w:val="nil"/>
              <w:left w:val="nil"/>
              <w:bottom w:val="single" w:sz="4" w:space="0" w:color="D9D9D9"/>
              <w:right w:val="single" w:sz="4" w:space="0" w:color="D9D9D9"/>
            </w:tcBorders>
            <w:shd w:val="clear" w:color="000000" w:fill="F2F2F2"/>
            <w:noWrap/>
            <w:vAlign w:val="bottom"/>
            <w:hideMark/>
          </w:tcPr>
          <w:p w14:paraId="7A4733A1"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 </w:t>
            </w:r>
          </w:p>
        </w:tc>
        <w:tc>
          <w:tcPr>
            <w:tcW w:w="760" w:type="dxa"/>
            <w:tcBorders>
              <w:top w:val="nil"/>
              <w:left w:val="nil"/>
              <w:bottom w:val="single" w:sz="4" w:space="0" w:color="D9D9D9"/>
              <w:right w:val="single" w:sz="4" w:space="0" w:color="D9D9D9"/>
            </w:tcBorders>
            <w:shd w:val="clear" w:color="000000" w:fill="F2F2F2"/>
            <w:noWrap/>
            <w:vAlign w:val="bottom"/>
            <w:hideMark/>
          </w:tcPr>
          <w:p w14:paraId="1894AF1C" w14:textId="77777777" w:rsidR="001B5C8F" w:rsidRPr="00526729" w:rsidRDefault="001B5C8F" w:rsidP="00DC54F7">
            <w:pPr>
              <w:spacing w:after="0" w:line="240" w:lineRule="auto"/>
              <w:jc w:val="both"/>
              <w:rPr>
                <w:rFonts w:ascii="Calibri" w:eastAsia="Times New Roman" w:hAnsi="Calibri" w:cs="Calibri"/>
                <w:color w:val="000000"/>
                <w:lang w:eastAsia="en-GB"/>
              </w:rPr>
            </w:pPr>
            <w:r w:rsidRPr="00526729">
              <w:rPr>
                <w:rFonts w:ascii="Calibri" w:eastAsia="Times New Roman" w:hAnsi="Calibri" w:cs="Calibri"/>
                <w:color w:val="000000"/>
                <w:lang w:eastAsia="en-GB"/>
              </w:rPr>
              <w:t>150</w:t>
            </w:r>
          </w:p>
        </w:tc>
      </w:tr>
    </w:tbl>
    <w:p w14:paraId="4E563A5E" w14:textId="77777777" w:rsidR="00D301A3" w:rsidRDefault="00D301A3" w:rsidP="00DC54F7">
      <w:pPr>
        <w:spacing w:after="0"/>
        <w:jc w:val="both"/>
        <w:rPr>
          <w:rFonts w:ascii="Arial" w:hAnsi="Arial" w:cs="Arial"/>
        </w:rPr>
      </w:pPr>
    </w:p>
    <w:p w14:paraId="5D0A0595" w14:textId="77777777" w:rsidR="00D301A3" w:rsidRPr="00561A3C" w:rsidRDefault="00D301A3" w:rsidP="00DC54F7">
      <w:pPr>
        <w:spacing w:after="0"/>
        <w:jc w:val="both"/>
        <w:rPr>
          <w:rFonts w:ascii="Arial" w:hAnsi="Arial" w:cs="Arial"/>
          <w:b/>
          <w:bCs/>
        </w:rPr>
      </w:pPr>
      <w:r w:rsidRPr="00561A3C">
        <w:rPr>
          <w:rFonts w:ascii="Arial" w:hAnsi="Arial" w:cs="Arial"/>
          <w:b/>
          <w:bCs/>
        </w:rPr>
        <w:t>A total of seven comments were received:</w:t>
      </w:r>
    </w:p>
    <w:p w14:paraId="6485125F" w14:textId="77777777" w:rsidR="00D301A3" w:rsidRPr="00561A3C" w:rsidRDefault="00D301A3" w:rsidP="00DC54F7">
      <w:pPr>
        <w:pStyle w:val="ListParagraph"/>
        <w:numPr>
          <w:ilvl w:val="0"/>
          <w:numId w:val="171"/>
        </w:numPr>
        <w:spacing w:after="0" w:line="259" w:lineRule="auto"/>
        <w:jc w:val="both"/>
        <w:rPr>
          <w:rFonts w:ascii="Arial" w:hAnsi="Arial" w:cs="Arial"/>
        </w:rPr>
      </w:pPr>
      <w:r w:rsidRPr="00561A3C">
        <w:rPr>
          <w:rFonts w:ascii="Arial" w:hAnsi="Arial" w:cs="Arial"/>
        </w:rPr>
        <w:t>Longstanding high blood pressure</w:t>
      </w:r>
    </w:p>
    <w:p w14:paraId="601EC045" w14:textId="5E7A7BA9" w:rsidR="00D301A3" w:rsidRPr="00561A3C" w:rsidRDefault="00C73310" w:rsidP="00DC54F7">
      <w:pPr>
        <w:pStyle w:val="ListParagraph"/>
        <w:numPr>
          <w:ilvl w:val="0"/>
          <w:numId w:val="171"/>
        </w:numPr>
        <w:spacing w:after="0" w:line="259" w:lineRule="auto"/>
        <w:jc w:val="both"/>
        <w:rPr>
          <w:rFonts w:ascii="Arial" w:hAnsi="Arial" w:cs="Arial"/>
        </w:rPr>
      </w:pPr>
      <w:r w:rsidRPr="00561A3C">
        <w:rPr>
          <w:rFonts w:ascii="Arial" w:hAnsi="Arial" w:cs="Arial"/>
        </w:rPr>
        <w:t>Regular</w:t>
      </w:r>
      <w:r w:rsidR="00D301A3" w:rsidRPr="00561A3C">
        <w:rPr>
          <w:rFonts w:ascii="Arial" w:hAnsi="Arial" w:cs="Arial"/>
        </w:rPr>
        <w:t xml:space="preserve"> warfarin</w:t>
      </w:r>
    </w:p>
    <w:p w14:paraId="16C2F747" w14:textId="77777777" w:rsidR="00D301A3" w:rsidRPr="00561A3C" w:rsidRDefault="00D301A3" w:rsidP="00DC54F7">
      <w:pPr>
        <w:pStyle w:val="ListParagraph"/>
        <w:numPr>
          <w:ilvl w:val="0"/>
          <w:numId w:val="171"/>
        </w:numPr>
        <w:spacing w:after="0" w:line="259" w:lineRule="auto"/>
        <w:jc w:val="both"/>
        <w:rPr>
          <w:rFonts w:ascii="Arial" w:hAnsi="Arial" w:cs="Arial"/>
        </w:rPr>
      </w:pPr>
      <w:r w:rsidRPr="00561A3C">
        <w:rPr>
          <w:rFonts w:ascii="Arial" w:hAnsi="Arial" w:cs="Arial"/>
        </w:rPr>
        <w:t>Coeliac</w:t>
      </w:r>
    </w:p>
    <w:p w14:paraId="50951AF6" w14:textId="77777777" w:rsidR="00D301A3" w:rsidRPr="00561A3C" w:rsidRDefault="00D301A3" w:rsidP="00DC54F7">
      <w:pPr>
        <w:pStyle w:val="ListParagraph"/>
        <w:numPr>
          <w:ilvl w:val="0"/>
          <w:numId w:val="171"/>
        </w:numPr>
        <w:spacing w:after="0" w:line="259" w:lineRule="auto"/>
        <w:jc w:val="both"/>
        <w:rPr>
          <w:rFonts w:ascii="Arial" w:hAnsi="Arial" w:cs="Arial"/>
        </w:rPr>
      </w:pPr>
      <w:r w:rsidRPr="00561A3C">
        <w:rPr>
          <w:rFonts w:ascii="Arial" w:hAnsi="Arial" w:cs="Arial"/>
        </w:rPr>
        <w:t>ASD</w:t>
      </w:r>
    </w:p>
    <w:p w14:paraId="033823BE" w14:textId="77777777" w:rsidR="00D301A3" w:rsidRPr="00561A3C" w:rsidRDefault="00D301A3" w:rsidP="00DC54F7">
      <w:pPr>
        <w:pStyle w:val="ListParagraph"/>
        <w:numPr>
          <w:ilvl w:val="0"/>
          <w:numId w:val="171"/>
        </w:numPr>
        <w:spacing w:after="0" w:line="259" w:lineRule="auto"/>
        <w:jc w:val="both"/>
        <w:rPr>
          <w:rFonts w:ascii="Arial" w:hAnsi="Arial" w:cs="Arial"/>
        </w:rPr>
      </w:pPr>
      <w:r w:rsidRPr="00561A3C">
        <w:rPr>
          <w:rFonts w:ascii="Arial" w:hAnsi="Arial" w:cs="Arial"/>
        </w:rPr>
        <w:t xml:space="preserve">Hypertension </w:t>
      </w:r>
    </w:p>
    <w:p w14:paraId="1BBFD15E" w14:textId="77777777" w:rsidR="00D301A3" w:rsidRPr="00561A3C" w:rsidRDefault="00D301A3" w:rsidP="00DC54F7">
      <w:pPr>
        <w:pStyle w:val="ListParagraph"/>
        <w:numPr>
          <w:ilvl w:val="0"/>
          <w:numId w:val="171"/>
        </w:numPr>
        <w:spacing w:after="0" w:line="259" w:lineRule="auto"/>
        <w:jc w:val="both"/>
        <w:rPr>
          <w:rFonts w:ascii="Arial" w:hAnsi="Arial" w:cs="Arial"/>
        </w:rPr>
      </w:pPr>
      <w:r w:rsidRPr="00561A3C">
        <w:rPr>
          <w:rFonts w:ascii="Arial" w:hAnsi="Arial" w:cs="Arial"/>
        </w:rPr>
        <w:lastRenderedPageBreak/>
        <w:t>Autistic</w:t>
      </w:r>
    </w:p>
    <w:p w14:paraId="28CFD679" w14:textId="77777777" w:rsidR="00D301A3" w:rsidRPr="00561A3C" w:rsidRDefault="00D301A3" w:rsidP="00DC54F7">
      <w:pPr>
        <w:pStyle w:val="ListParagraph"/>
        <w:numPr>
          <w:ilvl w:val="0"/>
          <w:numId w:val="171"/>
        </w:numPr>
        <w:spacing w:after="0" w:line="259" w:lineRule="auto"/>
        <w:jc w:val="both"/>
        <w:rPr>
          <w:rFonts w:ascii="Arial" w:hAnsi="Arial" w:cs="Arial"/>
        </w:rPr>
      </w:pPr>
      <w:r w:rsidRPr="00561A3C">
        <w:rPr>
          <w:rFonts w:ascii="Arial" w:hAnsi="Arial" w:cs="Arial"/>
        </w:rPr>
        <w:t>Skin condition and digestive problem for which I have long term medication</w:t>
      </w:r>
    </w:p>
    <w:p w14:paraId="4863A9D6" w14:textId="77777777" w:rsidR="00D301A3" w:rsidRDefault="00D301A3" w:rsidP="00DC54F7">
      <w:pPr>
        <w:spacing w:after="0"/>
        <w:jc w:val="both"/>
        <w:rPr>
          <w:rFonts w:ascii="Arial" w:hAnsi="Arial" w:cs="Arial"/>
        </w:rPr>
      </w:pPr>
    </w:p>
    <w:p w14:paraId="32775454" w14:textId="77777777" w:rsidR="00D301A3" w:rsidRDefault="00D301A3" w:rsidP="00DC54F7">
      <w:pPr>
        <w:spacing w:after="0"/>
        <w:jc w:val="both"/>
        <w:rPr>
          <w:rFonts w:ascii="Arial" w:hAnsi="Arial" w:cs="Arial"/>
        </w:rPr>
      </w:pPr>
    </w:p>
    <w:p w14:paraId="26EAEF56" w14:textId="77777777" w:rsidR="00D301A3" w:rsidRDefault="00D301A3" w:rsidP="00DC54F7">
      <w:pPr>
        <w:spacing w:after="0"/>
        <w:jc w:val="both"/>
        <w:rPr>
          <w:rFonts w:ascii="Arial" w:hAnsi="Arial" w:cs="Arial"/>
          <w:b/>
          <w:bCs/>
        </w:rPr>
      </w:pPr>
      <w:r w:rsidRPr="006F51A9">
        <w:rPr>
          <w:rFonts w:ascii="Arial" w:hAnsi="Arial" w:cs="Arial"/>
          <w:b/>
          <w:bCs/>
        </w:rPr>
        <w:t>27. Are you a carer for a friend or family member who due to illness, disability, a mental health problem or an addiction, cannot cope without your support? Please tick one</w:t>
      </w:r>
      <w:r>
        <w:rPr>
          <w:rFonts w:ascii="Arial" w:hAnsi="Arial" w:cs="Arial"/>
          <w:b/>
          <w:bCs/>
        </w:rPr>
        <w:t>.</w:t>
      </w:r>
    </w:p>
    <w:p w14:paraId="1DEC8166" w14:textId="77777777" w:rsidR="00D301A3" w:rsidRPr="00F33FE2" w:rsidRDefault="00D301A3" w:rsidP="00DC54F7">
      <w:pPr>
        <w:spacing w:after="0"/>
        <w:jc w:val="both"/>
        <w:rPr>
          <w:rFonts w:ascii="Arial" w:hAnsi="Arial" w:cs="Arial"/>
          <w:b/>
          <w:bCs/>
        </w:rPr>
      </w:pPr>
    </w:p>
    <w:tbl>
      <w:tblPr>
        <w:tblW w:w="9067" w:type="dxa"/>
        <w:tblLook w:val="04A0" w:firstRow="1" w:lastRow="0" w:firstColumn="1" w:lastColumn="0" w:noHBand="0" w:noVBand="1"/>
      </w:tblPr>
      <w:tblGrid>
        <w:gridCol w:w="960"/>
        <w:gridCol w:w="2154"/>
        <w:gridCol w:w="3969"/>
        <w:gridCol w:w="992"/>
        <w:gridCol w:w="992"/>
      </w:tblGrid>
      <w:tr w:rsidR="00D301A3" w:rsidRPr="00F96658" w14:paraId="733E0C44" w14:textId="77777777" w:rsidTr="00AA572E">
        <w:trPr>
          <w:trHeight w:val="290"/>
        </w:trPr>
        <w:tc>
          <w:tcPr>
            <w:tcW w:w="7083" w:type="dxa"/>
            <w:gridSpan w:val="3"/>
            <w:tcBorders>
              <w:top w:val="single" w:sz="4" w:space="0" w:color="A6A6A6"/>
              <w:left w:val="single" w:sz="4" w:space="0" w:color="A6A6A6"/>
              <w:bottom w:val="single" w:sz="4" w:space="0" w:color="A6A6A6"/>
              <w:right w:val="nil"/>
            </w:tcBorders>
            <w:shd w:val="clear" w:color="000000" w:fill="ACB9CA"/>
            <w:noWrap/>
            <w:vAlign w:val="center"/>
            <w:hideMark/>
          </w:tcPr>
          <w:p w14:paraId="152CE0A7" w14:textId="77777777" w:rsidR="00D301A3" w:rsidRPr="00F96658" w:rsidRDefault="00D301A3" w:rsidP="00DC54F7">
            <w:pPr>
              <w:spacing w:after="0" w:line="240" w:lineRule="auto"/>
              <w:jc w:val="both"/>
              <w:rPr>
                <w:rFonts w:ascii="Arial" w:eastAsia="Times New Roman" w:hAnsi="Arial" w:cs="Arial"/>
                <w:b/>
                <w:bCs/>
                <w:color w:val="FFFFFF"/>
                <w:sz w:val="21"/>
                <w:szCs w:val="21"/>
                <w:lang w:eastAsia="en-GB"/>
              </w:rPr>
            </w:pPr>
            <w:r w:rsidRPr="00F96658">
              <w:rPr>
                <w:rFonts w:ascii="Arial" w:eastAsia="Times New Roman" w:hAnsi="Arial" w:cs="Arial"/>
                <w:b/>
                <w:bCs/>
                <w:color w:val="FFFFFF"/>
                <w:sz w:val="21"/>
                <w:szCs w:val="21"/>
                <w:lang w:eastAsia="en-GB"/>
              </w:rPr>
              <w:t> </w:t>
            </w:r>
          </w:p>
        </w:tc>
        <w:tc>
          <w:tcPr>
            <w:tcW w:w="1984" w:type="dxa"/>
            <w:gridSpan w:val="2"/>
            <w:tcBorders>
              <w:top w:val="single" w:sz="4" w:space="0" w:color="A6A6A6"/>
              <w:left w:val="nil"/>
              <w:bottom w:val="single" w:sz="4" w:space="0" w:color="A6A6A6"/>
              <w:right w:val="single" w:sz="4" w:space="0" w:color="A6A6A6"/>
            </w:tcBorders>
            <w:shd w:val="clear" w:color="000000" w:fill="ACB9CA"/>
            <w:noWrap/>
            <w:vAlign w:val="center"/>
            <w:hideMark/>
          </w:tcPr>
          <w:p w14:paraId="75B31BCA" w14:textId="77777777" w:rsidR="00D301A3" w:rsidRPr="00F96658" w:rsidRDefault="00D301A3" w:rsidP="00DC54F7">
            <w:pPr>
              <w:spacing w:after="0" w:line="240" w:lineRule="auto"/>
              <w:jc w:val="both"/>
              <w:rPr>
                <w:rFonts w:ascii="Arial" w:eastAsia="Times New Roman" w:hAnsi="Arial" w:cs="Arial"/>
                <w:b/>
                <w:bCs/>
                <w:color w:val="FFFFFF"/>
                <w:sz w:val="21"/>
                <w:szCs w:val="21"/>
                <w:lang w:eastAsia="en-GB"/>
              </w:rPr>
            </w:pPr>
            <w:r w:rsidRPr="00F96658">
              <w:rPr>
                <w:rFonts w:ascii="Arial" w:eastAsia="Times New Roman" w:hAnsi="Arial" w:cs="Arial"/>
                <w:b/>
                <w:bCs/>
                <w:color w:val="FFFFFF"/>
                <w:sz w:val="21"/>
                <w:szCs w:val="21"/>
                <w:lang w:eastAsia="en-GB"/>
              </w:rPr>
              <w:t>Response</w:t>
            </w:r>
          </w:p>
        </w:tc>
      </w:tr>
      <w:tr w:rsidR="00D301A3" w:rsidRPr="00F96658" w14:paraId="2C947F18" w14:textId="77777777" w:rsidTr="00AA572E">
        <w:trPr>
          <w:trHeight w:val="290"/>
        </w:trPr>
        <w:tc>
          <w:tcPr>
            <w:tcW w:w="7083"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2E697E85" w14:textId="77777777" w:rsidR="00D301A3" w:rsidRPr="00F96658" w:rsidRDefault="00D301A3" w:rsidP="00DC54F7">
            <w:pPr>
              <w:spacing w:after="0" w:line="240" w:lineRule="auto"/>
              <w:jc w:val="both"/>
              <w:rPr>
                <w:rFonts w:ascii="Arial" w:eastAsia="Times New Roman" w:hAnsi="Arial" w:cs="Arial"/>
                <w:b/>
                <w:bCs/>
                <w:color w:val="000000"/>
                <w:sz w:val="18"/>
                <w:szCs w:val="18"/>
                <w:lang w:eastAsia="en-GB"/>
              </w:rPr>
            </w:pPr>
            <w:r w:rsidRPr="00F96658">
              <w:rPr>
                <w:rFonts w:ascii="Arial" w:eastAsia="Times New Roman" w:hAnsi="Arial" w:cs="Arial"/>
                <w:b/>
                <w:bCs/>
                <w:color w:val="000000"/>
                <w:sz w:val="18"/>
                <w:szCs w:val="18"/>
                <w:lang w:eastAsia="en-GB"/>
              </w:rPr>
              <w:t> </w:t>
            </w:r>
          </w:p>
        </w:tc>
        <w:tc>
          <w:tcPr>
            <w:tcW w:w="992" w:type="dxa"/>
            <w:tcBorders>
              <w:top w:val="nil"/>
              <w:left w:val="nil"/>
              <w:bottom w:val="single" w:sz="4" w:space="0" w:color="A6A6A6"/>
              <w:right w:val="single" w:sz="4" w:space="0" w:color="A6A6A6"/>
            </w:tcBorders>
            <w:shd w:val="clear" w:color="000000" w:fill="F2F2F2"/>
            <w:noWrap/>
            <w:vAlign w:val="center"/>
            <w:hideMark/>
          </w:tcPr>
          <w:p w14:paraId="20278ADC" w14:textId="77777777" w:rsidR="00D301A3" w:rsidRPr="00F96658" w:rsidRDefault="00D301A3" w:rsidP="00DC54F7">
            <w:pPr>
              <w:spacing w:after="0" w:line="240" w:lineRule="auto"/>
              <w:jc w:val="both"/>
              <w:rPr>
                <w:rFonts w:ascii="Arial" w:eastAsia="Times New Roman" w:hAnsi="Arial" w:cs="Arial"/>
                <w:b/>
                <w:bCs/>
                <w:color w:val="000000"/>
                <w:sz w:val="18"/>
                <w:szCs w:val="18"/>
                <w:lang w:eastAsia="en-GB"/>
              </w:rPr>
            </w:pPr>
            <w:r w:rsidRPr="00F96658">
              <w:rPr>
                <w:rFonts w:ascii="Arial" w:eastAsia="Times New Roman" w:hAnsi="Arial" w:cs="Arial"/>
                <w:b/>
                <w:bCs/>
                <w:color w:val="000000"/>
                <w:sz w:val="18"/>
                <w:szCs w:val="18"/>
                <w:lang w:eastAsia="en-GB"/>
              </w:rPr>
              <w:t>Percent</w:t>
            </w:r>
          </w:p>
        </w:tc>
        <w:tc>
          <w:tcPr>
            <w:tcW w:w="992" w:type="dxa"/>
            <w:tcBorders>
              <w:top w:val="nil"/>
              <w:left w:val="nil"/>
              <w:bottom w:val="single" w:sz="4" w:space="0" w:color="A6A6A6"/>
              <w:right w:val="single" w:sz="4" w:space="0" w:color="A6A6A6"/>
            </w:tcBorders>
            <w:shd w:val="clear" w:color="000000" w:fill="F2F2F2"/>
            <w:noWrap/>
            <w:vAlign w:val="center"/>
            <w:hideMark/>
          </w:tcPr>
          <w:p w14:paraId="2806EBE5" w14:textId="77777777" w:rsidR="00D301A3" w:rsidRPr="00F96658" w:rsidRDefault="00D301A3" w:rsidP="00DC54F7">
            <w:pPr>
              <w:spacing w:after="0" w:line="240" w:lineRule="auto"/>
              <w:jc w:val="both"/>
              <w:rPr>
                <w:rFonts w:ascii="Arial" w:eastAsia="Times New Roman" w:hAnsi="Arial" w:cs="Arial"/>
                <w:b/>
                <w:bCs/>
                <w:color w:val="000000"/>
                <w:sz w:val="18"/>
                <w:szCs w:val="18"/>
                <w:lang w:eastAsia="en-GB"/>
              </w:rPr>
            </w:pPr>
            <w:r w:rsidRPr="00F96658">
              <w:rPr>
                <w:rFonts w:ascii="Arial" w:eastAsia="Times New Roman" w:hAnsi="Arial" w:cs="Arial"/>
                <w:b/>
                <w:bCs/>
                <w:color w:val="000000"/>
                <w:sz w:val="18"/>
                <w:szCs w:val="18"/>
                <w:lang w:eastAsia="en-GB"/>
              </w:rPr>
              <w:t>Total</w:t>
            </w:r>
          </w:p>
        </w:tc>
      </w:tr>
      <w:tr w:rsidR="00D301A3" w:rsidRPr="00F96658" w14:paraId="475B7612"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57DC7975" w14:textId="77777777" w:rsidR="00D301A3" w:rsidRPr="00F96658" w:rsidRDefault="00D301A3" w:rsidP="00DC54F7">
            <w:pPr>
              <w:spacing w:after="0" w:line="240" w:lineRule="auto"/>
              <w:jc w:val="both"/>
              <w:rPr>
                <w:rFonts w:ascii="Arial" w:eastAsia="Times New Roman" w:hAnsi="Arial" w:cs="Arial"/>
                <w:color w:val="000000"/>
                <w:sz w:val="18"/>
                <w:szCs w:val="18"/>
                <w:lang w:eastAsia="en-GB"/>
              </w:rPr>
            </w:pPr>
            <w:r w:rsidRPr="00F96658">
              <w:rPr>
                <w:rFonts w:ascii="Arial" w:eastAsia="Times New Roman" w:hAnsi="Arial" w:cs="Arial"/>
                <w:color w:val="000000"/>
                <w:sz w:val="18"/>
                <w:szCs w:val="18"/>
                <w:lang w:eastAsia="en-GB"/>
              </w:rPr>
              <w:t>1</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402C711E" w14:textId="77777777" w:rsidR="00D301A3" w:rsidRPr="00F96658" w:rsidRDefault="00D301A3" w:rsidP="00DC54F7">
            <w:pPr>
              <w:spacing w:after="0" w:line="240" w:lineRule="auto"/>
              <w:jc w:val="both"/>
              <w:rPr>
                <w:rFonts w:ascii="Arial" w:eastAsia="Times New Roman" w:hAnsi="Arial" w:cs="Arial"/>
                <w:color w:val="000000"/>
                <w:sz w:val="18"/>
                <w:szCs w:val="18"/>
                <w:lang w:eastAsia="en-GB"/>
              </w:rPr>
            </w:pPr>
            <w:r w:rsidRPr="00F96658">
              <w:rPr>
                <w:rFonts w:ascii="Arial" w:eastAsia="Times New Roman" w:hAnsi="Arial" w:cs="Arial"/>
                <w:color w:val="000000"/>
                <w:sz w:val="18"/>
                <w:szCs w:val="18"/>
                <w:lang w:eastAsia="en-GB"/>
              </w:rPr>
              <w:t>Yes</w:t>
            </w:r>
          </w:p>
        </w:tc>
        <w:tc>
          <w:tcPr>
            <w:tcW w:w="992" w:type="dxa"/>
            <w:tcBorders>
              <w:top w:val="nil"/>
              <w:left w:val="nil"/>
              <w:bottom w:val="single" w:sz="4" w:space="0" w:color="A6A6A6"/>
              <w:right w:val="single" w:sz="4" w:space="0" w:color="A6A6A6"/>
            </w:tcBorders>
            <w:shd w:val="clear" w:color="000000" w:fill="F2F2F2"/>
            <w:noWrap/>
            <w:vAlign w:val="bottom"/>
            <w:hideMark/>
          </w:tcPr>
          <w:p w14:paraId="03FC7028" w14:textId="77777777" w:rsidR="00D301A3" w:rsidRPr="00F96658" w:rsidRDefault="00D301A3" w:rsidP="00DC54F7">
            <w:pPr>
              <w:spacing w:after="0" w:line="240" w:lineRule="auto"/>
              <w:jc w:val="both"/>
              <w:rPr>
                <w:rFonts w:ascii="Calibri" w:eastAsia="Times New Roman" w:hAnsi="Calibri" w:cs="Calibri"/>
                <w:color w:val="000000"/>
                <w:lang w:eastAsia="en-GB"/>
              </w:rPr>
            </w:pPr>
            <w:r w:rsidRPr="00F96658">
              <w:rPr>
                <w:rFonts w:ascii="Calibri" w:eastAsia="Times New Roman" w:hAnsi="Calibri" w:cs="Calibri"/>
                <w:color w:val="000000"/>
                <w:lang w:eastAsia="en-GB"/>
              </w:rPr>
              <w:t>19.41%</w:t>
            </w:r>
          </w:p>
        </w:tc>
        <w:tc>
          <w:tcPr>
            <w:tcW w:w="992" w:type="dxa"/>
            <w:tcBorders>
              <w:top w:val="nil"/>
              <w:left w:val="nil"/>
              <w:bottom w:val="single" w:sz="4" w:space="0" w:color="A6A6A6"/>
              <w:right w:val="single" w:sz="4" w:space="0" w:color="A6A6A6"/>
            </w:tcBorders>
            <w:shd w:val="clear" w:color="000000" w:fill="F2F2F2"/>
            <w:noWrap/>
            <w:vAlign w:val="bottom"/>
            <w:hideMark/>
          </w:tcPr>
          <w:p w14:paraId="0667635C" w14:textId="77777777" w:rsidR="00D301A3" w:rsidRPr="00F96658" w:rsidRDefault="00D301A3" w:rsidP="00DC54F7">
            <w:pPr>
              <w:spacing w:after="0" w:line="240" w:lineRule="auto"/>
              <w:jc w:val="both"/>
              <w:rPr>
                <w:rFonts w:ascii="Calibri" w:eastAsia="Times New Roman" w:hAnsi="Calibri" w:cs="Calibri"/>
                <w:color w:val="000000"/>
                <w:lang w:eastAsia="en-GB"/>
              </w:rPr>
            </w:pPr>
            <w:r w:rsidRPr="00F96658">
              <w:rPr>
                <w:rFonts w:ascii="Calibri" w:eastAsia="Times New Roman" w:hAnsi="Calibri" w:cs="Calibri"/>
                <w:color w:val="000000"/>
                <w:lang w:eastAsia="en-GB"/>
              </w:rPr>
              <w:t>59</w:t>
            </w:r>
          </w:p>
        </w:tc>
      </w:tr>
      <w:tr w:rsidR="00D301A3" w:rsidRPr="00F96658" w14:paraId="760CBD38"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ACD6C7B" w14:textId="77777777" w:rsidR="00D301A3" w:rsidRPr="00F96658" w:rsidRDefault="00D301A3" w:rsidP="00DC54F7">
            <w:pPr>
              <w:spacing w:after="0" w:line="240" w:lineRule="auto"/>
              <w:jc w:val="both"/>
              <w:rPr>
                <w:rFonts w:ascii="Arial" w:eastAsia="Times New Roman" w:hAnsi="Arial" w:cs="Arial"/>
                <w:color w:val="000000"/>
                <w:sz w:val="18"/>
                <w:szCs w:val="18"/>
                <w:lang w:eastAsia="en-GB"/>
              </w:rPr>
            </w:pPr>
            <w:r w:rsidRPr="00F96658">
              <w:rPr>
                <w:rFonts w:ascii="Arial" w:eastAsia="Times New Roman" w:hAnsi="Arial" w:cs="Arial"/>
                <w:color w:val="000000"/>
                <w:sz w:val="18"/>
                <w:szCs w:val="18"/>
                <w:lang w:eastAsia="en-GB"/>
              </w:rPr>
              <w:t>2</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55C7594A" w14:textId="77777777" w:rsidR="00D301A3" w:rsidRPr="00F96658" w:rsidRDefault="00D301A3" w:rsidP="00DC54F7">
            <w:pPr>
              <w:spacing w:after="0" w:line="240" w:lineRule="auto"/>
              <w:jc w:val="both"/>
              <w:rPr>
                <w:rFonts w:ascii="Arial" w:eastAsia="Times New Roman" w:hAnsi="Arial" w:cs="Arial"/>
                <w:color w:val="000000"/>
                <w:sz w:val="18"/>
                <w:szCs w:val="18"/>
                <w:lang w:eastAsia="en-GB"/>
              </w:rPr>
            </w:pPr>
            <w:r w:rsidRPr="00F96658">
              <w:rPr>
                <w:rFonts w:ascii="Arial" w:eastAsia="Times New Roman" w:hAnsi="Arial" w:cs="Arial"/>
                <w:color w:val="000000"/>
                <w:sz w:val="18"/>
                <w:szCs w:val="18"/>
                <w:lang w:eastAsia="en-GB"/>
              </w:rPr>
              <w:t>No</w:t>
            </w:r>
          </w:p>
        </w:tc>
        <w:tc>
          <w:tcPr>
            <w:tcW w:w="992" w:type="dxa"/>
            <w:tcBorders>
              <w:top w:val="nil"/>
              <w:left w:val="nil"/>
              <w:bottom w:val="single" w:sz="4" w:space="0" w:color="A6A6A6"/>
              <w:right w:val="single" w:sz="4" w:space="0" w:color="A6A6A6"/>
            </w:tcBorders>
            <w:shd w:val="clear" w:color="000000" w:fill="F2F2F2"/>
            <w:noWrap/>
            <w:vAlign w:val="bottom"/>
            <w:hideMark/>
          </w:tcPr>
          <w:p w14:paraId="5BB944F9" w14:textId="77777777" w:rsidR="00D301A3" w:rsidRPr="00F96658" w:rsidRDefault="00D301A3" w:rsidP="00DC54F7">
            <w:pPr>
              <w:spacing w:after="0" w:line="240" w:lineRule="auto"/>
              <w:jc w:val="both"/>
              <w:rPr>
                <w:rFonts w:ascii="Calibri" w:eastAsia="Times New Roman" w:hAnsi="Calibri" w:cs="Calibri"/>
                <w:color w:val="000000"/>
                <w:lang w:eastAsia="en-GB"/>
              </w:rPr>
            </w:pPr>
            <w:r w:rsidRPr="00F96658">
              <w:rPr>
                <w:rFonts w:ascii="Calibri" w:eastAsia="Times New Roman" w:hAnsi="Calibri" w:cs="Calibri"/>
                <w:color w:val="000000"/>
                <w:lang w:eastAsia="en-GB"/>
              </w:rPr>
              <w:t>79.28%</w:t>
            </w:r>
          </w:p>
        </w:tc>
        <w:tc>
          <w:tcPr>
            <w:tcW w:w="992" w:type="dxa"/>
            <w:tcBorders>
              <w:top w:val="nil"/>
              <w:left w:val="nil"/>
              <w:bottom w:val="single" w:sz="4" w:space="0" w:color="A6A6A6"/>
              <w:right w:val="single" w:sz="4" w:space="0" w:color="A6A6A6"/>
            </w:tcBorders>
            <w:shd w:val="clear" w:color="000000" w:fill="F2F2F2"/>
            <w:noWrap/>
            <w:vAlign w:val="bottom"/>
            <w:hideMark/>
          </w:tcPr>
          <w:p w14:paraId="6D97DD2B" w14:textId="77777777" w:rsidR="00D301A3" w:rsidRPr="00F96658" w:rsidRDefault="00D301A3" w:rsidP="00DC54F7">
            <w:pPr>
              <w:spacing w:after="0" w:line="240" w:lineRule="auto"/>
              <w:jc w:val="both"/>
              <w:rPr>
                <w:rFonts w:ascii="Calibri" w:eastAsia="Times New Roman" w:hAnsi="Calibri" w:cs="Calibri"/>
                <w:color w:val="000000"/>
                <w:lang w:eastAsia="en-GB"/>
              </w:rPr>
            </w:pPr>
            <w:r w:rsidRPr="00F96658">
              <w:rPr>
                <w:rFonts w:ascii="Calibri" w:eastAsia="Times New Roman" w:hAnsi="Calibri" w:cs="Calibri"/>
                <w:color w:val="000000"/>
                <w:lang w:eastAsia="en-GB"/>
              </w:rPr>
              <w:t>241</w:t>
            </w:r>
          </w:p>
        </w:tc>
      </w:tr>
      <w:tr w:rsidR="00D301A3" w:rsidRPr="00F96658" w14:paraId="257762ED"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61C3FE42" w14:textId="77777777" w:rsidR="00D301A3" w:rsidRPr="00F96658" w:rsidRDefault="00D301A3" w:rsidP="00DC54F7">
            <w:pPr>
              <w:spacing w:after="0" w:line="240" w:lineRule="auto"/>
              <w:jc w:val="both"/>
              <w:rPr>
                <w:rFonts w:ascii="Arial" w:eastAsia="Times New Roman" w:hAnsi="Arial" w:cs="Arial"/>
                <w:color w:val="000000"/>
                <w:sz w:val="18"/>
                <w:szCs w:val="18"/>
                <w:lang w:eastAsia="en-GB"/>
              </w:rPr>
            </w:pPr>
            <w:r w:rsidRPr="00F96658">
              <w:rPr>
                <w:rFonts w:ascii="Arial" w:eastAsia="Times New Roman" w:hAnsi="Arial" w:cs="Arial"/>
                <w:color w:val="000000"/>
                <w:sz w:val="18"/>
                <w:szCs w:val="18"/>
                <w:lang w:eastAsia="en-GB"/>
              </w:rPr>
              <w:t>3</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36FE1FFD" w14:textId="77777777" w:rsidR="00D301A3" w:rsidRPr="00F96658" w:rsidRDefault="00D301A3" w:rsidP="00DC54F7">
            <w:pPr>
              <w:spacing w:after="0" w:line="240" w:lineRule="auto"/>
              <w:jc w:val="both"/>
              <w:rPr>
                <w:rFonts w:ascii="Arial" w:eastAsia="Times New Roman" w:hAnsi="Arial" w:cs="Arial"/>
                <w:color w:val="000000"/>
                <w:sz w:val="18"/>
                <w:szCs w:val="18"/>
                <w:lang w:eastAsia="en-GB"/>
              </w:rPr>
            </w:pPr>
            <w:r w:rsidRPr="00F96658">
              <w:rPr>
                <w:rFonts w:ascii="Arial" w:eastAsia="Times New Roman" w:hAnsi="Arial" w:cs="Arial"/>
                <w:color w:val="000000"/>
                <w:sz w:val="18"/>
                <w:szCs w:val="18"/>
                <w:lang w:eastAsia="en-GB"/>
              </w:rPr>
              <w:t>Prefer not to say</w:t>
            </w:r>
          </w:p>
        </w:tc>
        <w:tc>
          <w:tcPr>
            <w:tcW w:w="992" w:type="dxa"/>
            <w:tcBorders>
              <w:top w:val="nil"/>
              <w:left w:val="nil"/>
              <w:bottom w:val="single" w:sz="4" w:space="0" w:color="A6A6A6"/>
              <w:right w:val="single" w:sz="4" w:space="0" w:color="A6A6A6"/>
            </w:tcBorders>
            <w:shd w:val="clear" w:color="000000" w:fill="F2F2F2"/>
            <w:noWrap/>
            <w:vAlign w:val="bottom"/>
            <w:hideMark/>
          </w:tcPr>
          <w:p w14:paraId="4E1E09F8" w14:textId="77777777" w:rsidR="00D301A3" w:rsidRPr="00F96658" w:rsidRDefault="00D301A3" w:rsidP="00DC54F7">
            <w:pPr>
              <w:spacing w:after="0" w:line="240" w:lineRule="auto"/>
              <w:jc w:val="both"/>
              <w:rPr>
                <w:rFonts w:ascii="Calibri" w:eastAsia="Times New Roman" w:hAnsi="Calibri" w:cs="Calibri"/>
                <w:color w:val="000000"/>
                <w:lang w:eastAsia="en-GB"/>
              </w:rPr>
            </w:pPr>
            <w:r w:rsidRPr="00F96658">
              <w:rPr>
                <w:rFonts w:ascii="Calibri" w:eastAsia="Times New Roman" w:hAnsi="Calibri" w:cs="Calibri"/>
                <w:color w:val="000000"/>
                <w:lang w:eastAsia="en-GB"/>
              </w:rPr>
              <w:t>1.32%</w:t>
            </w:r>
          </w:p>
        </w:tc>
        <w:tc>
          <w:tcPr>
            <w:tcW w:w="992" w:type="dxa"/>
            <w:tcBorders>
              <w:top w:val="nil"/>
              <w:left w:val="nil"/>
              <w:bottom w:val="single" w:sz="4" w:space="0" w:color="A6A6A6"/>
              <w:right w:val="single" w:sz="4" w:space="0" w:color="A6A6A6"/>
            </w:tcBorders>
            <w:shd w:val="clear" w:color="000000" w:fill="F2F2F2"/>
            <w:noWrap/>
            <w:vAlign w:val="bottom"/>
            <w:hideMark/>
          </w:tcPr>
          <w:p w14:paraId="71715FDC" w14:textId="77777777" w:rsidR="00D301A3" w:rsidRPr="00F96658" w:rsidRDefault="00D301A3" w:rsidP="00DC54F7">
            <w:pPr>
              <w:spacing w:after="0" w:line="240" w:lineRule="auto"/>
              <w:jc w:val="both"/>
              <w:rPr>
                <w:rFonts w:ascii="Calibri" w:eastAsia="Times New Roman" w:hAnsi="Calibri" w:cs="Calibri"/>
                <w:color w:val="000000"/>
                <w:lang w:eastAsia="en-GB"/>
              </w:rPr>
            </w:pPr>
            <w:r w:rsidRPr="00F96658">
              <w:rPr>
                <w:rFonts w:ascii="Calibri" w:eastAsia="Times New Roman" w:hAnsi="Calibri" w:cs="Calibri"/>
                <w:color w:val="000000"/>
                <w:lang w:eastAsia="en-GB"/>
              </w:rPr>
              <w:t>4</w:t>
            </w:r>
          </w:p>
        </w:tc>
      </w:tr>
      <w:tr w:rsidR="00D301A3" w:rsidRPr="00F96658" w14:paraId="1EAADAA2" w14:textId="77777777" w:rsidTr="00AA572E">
        <w:trPr>
          <w:trHeight w:val="290"/>
        </w:trPr>
        <w:tc>
          <w:tcPr>
            <w:tcW w:w="3114"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701AD611" w14:textId="77777777" w:rsidR="00D301A3" w:rsidRPr="00F96658" w:rsidRDefault="00D301A3" w:rsidP="00DC54F7">
            <w:pPr>
              <w:spacing w:after="0" w:line="240" w:lineRule="auto"/>
              <w:jc w:val="both"/>
              <w:rPr>
                <w:rFonts w:ascii="Arial" w:eastAsia="Times New Roman" w:hAnsi="Arial" w:cs="Arial"/>
                <w:b/>
                <w:bCs/>
                <w:color w:val="000000"/>
                <w:lang w:eastAsia="en-GB"/>
              </w:rPr>
            </w:pPr>
            <w:r w:rsidRPr="00F96658">
              <w:rPr>
                <w:rFonts w:ascii="Arial" w:eastAsia="Times New Roman" w:hAnsi="Arial" w:cs="Arial"/>
                <w:b/>
                <w:bCs/>
                <w:color w:val="000000"/>
                <w:lang w:eastAsia="en-GB"/>
              </w:rPr>
              <w:t> </w:t>
            </w:r>
          </w:p>
        </w:tc>
        <w:tc>
          <w:tcPr>
            <w:tcW w:w="3969" w:type="dxa"/>
            <w:tcBorders>
              <w:top w:val="nil"/>
              <w:left w:val="nil"/>
              <w:bottom w:val="single" w:sz="4" w:space="0" w:color="A6A6A6"/>
              <w:right w:val="single" w:sz="4" w:space="0" w:color="A6A6A6"/>
            </w:tcBorders>
            <w:shd w:val="clear" w:color="000000" w:fill="F2F2F2"/>
            <w:vAlign w:val="center"/>
            <w:hideMark/>
          </w:tcPr>
          <w:p w14:paraId="50933E50" w14:textId="77777777" w:rsidR="00D301A3" w:rsidRPr="00F96658" w:rsidRDefault="00D301A3" w:rsidP="00DC54F7">
            <w:pPr>
              <w:spacing w:after="0" w:line="240" w:lineRule="auto"/>
              <w:jc w:val="both"/>
              <w:rPr>
                <w:rFonts w:ascii="Arial" w:eastAsia="Times New Roman" w:hAnsi="Arial" w:cs="Arial"/>
                <w:b/>
                <w:bCs/>
                <w:color w:val="000000"/>
                <w:sz w:val="18"/>
                <w:szCs w:val="18"/>
                <w:lang w:eastAsia="en-GB"/>
              </w:rPr>
            </w:pPr>
            <w:r w:rsidRPr="00F96658">
              <w:rPr>
                <w:rFonts w:ascii="Arial" w:eastAsia="Times New Roman" w:hAnsi="Arial" w:cs="Arial"/>
                <w:b/>
                <w:bCs/>
                <w:color w:val="000000"/>
                <w:sz w:val="18"/>
                <w:szCs w:val="18"/>
                <w:lang w:eastAsia="en-GB"/>
              </w:rPr>
              <w:t xml:space="preserve">Total </w:t>
            </w:r>
          </w:p>
        </w:tc>
        <w:tc>
          <w:tcPr>
            <w:tcW w:w="992" w:type="dxa"/>
            <w:tcBorders>
              <w:top w:val="nil"/>
              <w:left w:val="nil"/>
              <w:bottom w:val="single" w:sz="4" w:space="0" w:color="A6A6A6"/>
              <w:right w:val="single" w:sz="4" w:space="0" w:color="A6A6A6"/>
            </w:tcBorders>
            <w:shd w:val="clear" w:color="000000" w:fill="F2F2F2"/>
            <w:noWrap/>
            <w:vAlign w:val="bottom"/>
            <w:hideMark/>
          </w:tcPr>
          <w:p w14:paraId="3BCA71E2" w14:textId="77777777" w:rsidR="00D301A3" w:rsidRPr="00F96658" w:rsidRDefault="00D301A3" w:rsidP="00DC54F7">
            <w:pPr>
              <w:spacing w:after="0" w:line="240" w:lineRule="auto"/>
              <w:jc w:val="both"/>
              <w:rPr>
                <w:rFonts w:ascii="Calibri" w:eastAsia="Times New Roman" w:hAnsi="Calibri" w:cs="Calibri"/>
                <w:color w:val="000000"/>
                <w:lang w:eastAsia="en-GB"/>
              </w:rPr>
            </w:pPr>
            <w:r w:rsidRPr="00F96658">
              <w:rPr>
                <w:rFonts w:ascii="Calibri" w:eastAsia="Times New Roman" w:hAnsi="Calibri" w:cs="Calibri"/>
                <w:color w:val="000000"/>
                <w:lang w:eastAsia="en-GB"/>
              </w:rPr>
              <w:t>100.00%</w:t>
            </w:r>
          </w:p>
        </w:tc>
        <w:tc>
          <w:tcPr>
            <w:tcW w:w="992" w:type="dxa"/>
            <w:tcBorders>
              <w:top w:val="nil"/>
              <w:left w:val="nil"/>
              <w:bottom w:val="single" w:sz="4" w:space="0" w:color="A6A6A6"/>
              <w:right w:val="single" w:sz="4" w:space="0" w:color="A6A6A6"/>
            </w:tcBorders>
            <w:shd w:val="clear" w:color="000000" w:fill="F2F2F2"/>
            <w:noWrap/>
            <w:vAlign w:val="bottom"/>
            <w:hideMark/>
          </w:tcPr>
          <w:p w14:paraId="607FB760" w14:textId="77777777" w:rsidR="00D301A3" w:rsidRPr="00F96658" w:rsidRDefault="00D301A3" w:rsidP="00DC54F7">
            <w:pPr>
              <w:spacing w:after="0" w:line="240" w:lineRule="auto"/>
              <w:jc w:val="both"/>
              <w:rPr>
                <w:rFonts w:ascii="Calibri" w:eastAsia="Times New Roman" w:hAnsi="Calibri" w:cs="Calibri"/>
                <w:color w:val="000000"/>
                <w:lang w:eastAsia="en-GB"/>
              </w:rPr>
            </w:pPr>
            <w:r w:rsidRPr="00F96658">
              <w:rPr>
                <w:rFonts w:ascii="Calibri" w:eastAsia="Times New Roman" w:hAnsi="Calibri" w:cs="Calibri"/>
                <w:color w:val="000000"/>
                <w:lang w:eastAsia="en-GB"/>
              </w:rPr>
              <w:t>304</w:t>
            </w:r>
          </w:p>
        </w:tc>
      </w:tr>
      <w:tr w:rsidR="00D301A3" w:rsidRPr="00F96658" w14:paraId="3FDA37D3" w14:textId="77777777" w:rsidTr="00AA572E">
        <w:trPr>
          <w:trHeight w:val="290"/>
        </w:trPr>
        <w:tc>
          <w:tcPr>
            <w:tcW w:w="3114" w:type="dxa"/>
            <w:gridSpan w:val="2"/>
            <w:vMerge/>
            <w:tcBorders>
              <w:top w:val="single" w:sz="4" w:space="0" w:color="A6A6A6"/>
              <w:left w:val="single" w:sz="4" w:space="0" w:color="A6A6A6"/>
              <w:bottom w:val="single" w:sz="4" w:space="0" w:color="A6A6A6"/>
              <w:right w:val="single" w:sz="4" w:space="0" w:color="A6A6A6"/>
            </w:tcBorders>
            <w:vAlign w:val="center"/>
            <w:hideMark/>
          </w:tcPr>
          <w:p w14:paraId="1B923CE4" w14:textId="77777777" w:rsidR="00D301A3" w:rsidRPr="00F96658" w:rsidRDefault="00D301A3" w:rsidP="00DC54F7">
            <w:pPr>
              <w:spacing w:after="0" w:line="240" w:lineRule="auto"/>
              <w:jc w:val="both"/>
              <w:rPr>
                <w:rFonts w:ascii="Arial" w:eastAsia="Times New Roman" w:hAnsi="Arial" w:cs="Arial"/>
                <w:b/>
                <w:bCs/>
                <w:color w:val="000000"/>
                <w:lang w:eastAsia="en-GB"/>
              </w:rPr>
            </w:pPr>
          </w:p>
        </w:tc>
        <w:tc>
          <w:tcPr>
            <w:tcW w:w="3969" w:type="dxa"/>
            <w:tcBorders>
              <w:top w:val="nil"/>
              <w:left w:val="nil"/>
              <w:bottom w:val="single" w:sz="4" w:space="0" w:color="A6A6A6"/>
              <w:right w:val="single" w:sz="4" w:space="0" w:color="A6A6A6"/>
            </w:tcBorders>
            <w:shd w:val="clear" w:color="000000" w:fill="F2F2F2"/>
            <w:vAlign w:val="center"/>
            <w:hideMark/>
          </w:tcPr>
          <w:p w14:paraId="5436A79B" w14:textId="77777777" w:rsidR="00D301A3" w:rsidRPr="00F96658" w:rsidRDefault="00D301A3" w:rsidP="00DC54F7">
            <w:pPr>
              <w:spacing w:after="0" w:line="240" w:lineRule="auto"/>
              <w:jc w:val="both"/>
              <w:rPr>
                <w:rFonts w:ascii="Arial" w:eastAsia="Times New Roman" w:hAnsi="Arial" w:cs="Arial"/>
                <w:b/>
                <w:bCs/>
                <w:color w:val="000000"/>
                <w:sz w:val="18"/>
                <w:szCs w:val="18"/>
                <w:lang w:eastAsia="en-GB"/>
              </w:rPr>
            </w:pPr>
            <w:r w:rsidRPr="00F96658">
              <w:rPr>
                <w:rFonts w:ascii="Arial" w:eastAsia="Times New Roman" w:hAnsi="Arial" w:cs="Arial"/>
                <w:b/>
                <w:bCs/>
                <w:color w:val="000000"/>
                <w:sz w:val="18"/>
                <w:szCs w:val="18"/>
                <w:lang w:eastAsia="en-GB"/>
              </w:rPr>
              <w:t>Skipped</w:t>
            </w:r>
          </w:p>
        </w:tc>
        <w:tc>
          <w:tcPr>
            <w:tcW w:w="992" w:type="dxa"/>
            <w:tcBorders>
              <w:top w:val="nil"/>
              <w:left w:val="nil"/>
              <w:bottom w:val="single" w:sz="4" w:space="0" w:color="A6A6A6"/>
              <w:right w:val="single" w:sz="4" w:space="0" w:color="A6A6A6"/>
            </w:tcBorders>
            <w:shd w:val="clear" w:color="000000" w:fill="F2F2F2"/>
            <w:noWrap/>
            <w:vAlign w:val="bottom"/>
            <w:hideMark/>
          </w:tcPr>
          <w:p w14:paraId="4FC8C8AA" w14:textId="77777777" w:rsidR="00D301A3" w:rsidRPr="00F96658" w:rsidRDefault="00D301A3" w:rsidP="00DC54F7">
            <w:pPr>
              <w:spacing w:after="0" w:line="240" w:lineRule="auto"/>
              <w:jc w:val="both"/>
              <w:rPr>
                <w:rFonts w:ascii="Calibri" w:eastAsia="Times New Roman" w:hAnsi="Calibri" w:cs="Calibri"/>
                <w:color w:val="000000"/>
                <w:lang w:eastAsia="en-GB"/>
              </w:rPr>
            </w:pPr>
            <w:r w:rsidRPr="00F96658">
              <w:rPr>
                <w:rFonts w:ascii="Calibri" w:eastAsia="Times New Roman" w:hAnsi="Calibri" w:cs="Calibri"/>
                <w:color w:val="000000"/>
                <w:lang w:eastAsia="en-GB"/>
              </w:rPr>
              <w:t> </w:t>
            </w:r>
          </w:p>
        </w:tc>
        <w:tc>
          <w:tcPr>
            <w:tcW w:w="992" w:type="dxa"/>
            <w:tcBorders>
              <w:top w:val="nil"/>
              <w:left w:val="nil"/>
              <w:bottom w:val="single" w:sz="4" w:space="0" w:color="A6A6A6"/>
              <w:right w:val="single" w:sz="4" w:space="0" w:color="A6A6A6"/>
            </w:tcBorders>
            <w:shd w:val="clear" w:color="000000" w:fill="F2F2F2"/>
            <w:noWrap/>
            <w:vAlign w:val="bottom"/>
            <w:hideMark/>
          </w:tcPr>
          <w:p w14:paraId="64C6F60D" w14:textId="77777777" w:rsidR="00D301A3" w:rsidRPr="00F96658" w:rsidRDefault="00D301A3" w:rsidP="00DC54F7">
            <w:pPr>
              <w:spacing w:after="0" w:line="240" w:lineRule="auto"/>
              <w:jc w:val="both"/>
              <w:rPr>
                <w:rFonts w:ascii="Calibri" w:eastAsia="Times New Roman" w:hAnsi="Calibri" w:cs="Calibri"/>
                <w:color w:val="000000"/>
                <w:lang w:eastAsia="en-GB"/>
              </w:rPr>
            </w:pPr>
            <w:r w:rsidRPr="00F96658">
              <w:rPr>
                <w:rFonts w:ascii="Calibri" w:eastAsia="Times New Roman" w:hAnsi="Calibri" w:cs="Calibri"/>
                <w:color w:val="000000"/>
                <w:lang w:eastAsia="en-GB"/>
              </w:rPr>
              <w:t>7</w:t>
            </w:r>
          </w:p>
        </w:tc>
      </w:tr>
    </w:tbl>
    <w:p w14:paraId="319C7118" w14:textId="77777777" w:rsidR="00D301A3" w:rsidRDefault="00D301A3" w:rsidP="00DC54F7">
      <w:pPr>
        <w:spacing w:after="0"/>
        <w:jc w:val="both"/>
        <w:rPr>
          <w:rFonts w:ascii="Arial" w:hAnsi="Arial" w:cs="Arial"/>
        </w:rPr>
      </w:pPr>
    </w:p>
    <w:p w14:paraId="59AB7E95" w14:textId="7E955722" w:rsidR="00D301A3" w:rsidRDefault="00D301A3" w:rsidP="00DC54F7">
      <w:pPr>
        <w:spacing w:after="0"/>
        <w:jc w:val="both"/>
        <w:rPr>
          <w:rFonts w:ascii="Arial" w:hAnsi="Arial" w:cs="Arial"/>
        </w:rPr>
      </w:pPr>
    </w:p>
    <w:p w14:paraId="2324044E" w14:textId="77777777" w:rsidR="00D301A3" w:rsidRPr="0046014E" w:rsidRDefault="00D301A3" w:rsidP="00DC54F7">
      <w:pPr>
        <w:spacing w:after="0" w:line="240" w:lineRule="auto"/>
        <w:jc w:val="both"/>
        <w:rPr>
          <w:rFonts w:ascii="Arial" w:eastAsia="Times New Roman" w:hAnsi="Arial" w:cs="Arial"/>
          <w:b/>
          <w:bCs/>
          <w:color w:val="333333"/>
          <w:lang w:eastAsia="en-GB"/>
        </w:rPr>
      </w:pPr>
      <w:r w:rsidRPr="0046014E">
        <w:rPr>
          <w:rFonts w:ascii="Arial" w:eastAsia="Times New Roman" w:hAnsi="Arial" w:cs="Arial"/>
          <w:b/>
          <w:bCs/>
          <w:color w:val="333333"/>
          <w:lang w:eastAsia="en-GB"/>
        </w:rPr>
        <w:t xml:space="preserve">28. Do you regard yourself as belonging to any particular religion? Please tick one </w:t>
      </w:r>
    </w:p>
    <w:p w14:paraId="37C5E693" w14:textId="77777777" w:rsidR="00D301A3" w:rsidRDefault="00D301A3" w:rsidP="00DC54F7">
      <w:pPr>
        <w:spacing w:after="0"/>
        <w:jc w:val="both"/>
        <w:rPr>
          <w:rFonts w:ascii="Arial" w:hAnsi="Arial" w:cs="Arial"/>
        </w:rPr>
      </w:pPr>
    </w:p>
    <w:tbl>
      <w:tblPr>
        <w:tblW w:w="9067" w:type="dxa"/>
        <w:tblLook w:val="04A0" w:firstRow="1" w:lastRow="0" w:firstColumn="1" w:lastColumn="0" w:noHBand="0" w:noVBand="1"/>
      </w:tblPr>
      <w:tblGrid>
        <w:gridCol w:w="960"/>
        <w:gridCol w:w="3146"/>
        <w:gridCol w:w="2835"/>
        <w:gridCol w:w="1134"/>
        <w:gridCol w:w="992"/>
      </w:tblGrid>
      <w:tr w:rsidR="00D301A3" w:rsidRPr="000F5B91" w14:paraId="27CEAA9C" w14:textId="77777777" w:rsidTr="00AA572E">
        <w:trPr>
          <w:trHeight w:val="290"/>
        </w:trPr>
        <w:tc>
          <w:tcPr>
            <w:tcW w:w="6941" w:type="dxa"/>
            <w:gridSpan w:val="3"/>
            <w:tcBorders>
              <w:top w:val="single" w:sz="4" w:space="0" w:color="A6A6A6"/>
              <w:left w:val="single" w:sz="4" w:space="0" w:color="A6A6A6"/>
              <w:bottom w:val="single" w:sz="4" w:space="0" w:color="A6A6A6"/>
              <w:right w:val="nil"/>
            </w:tcBorders>
            <w:shd w:val="clear" w:color="000000" w:fill="ACB9CA"/>
            <w:noWrap/>
            <w:vAlign w:val="center"/>
            <w:hideMark/>
          </w:tcPr>
          <w:p w14:paraId="3E2B5EC2" w14:textId="77777777" w:rsidR="00D301A3" w:rsidRPr="000F5B91" w:rsidRDefault="00D301A3" w:rsidP="00DC54F7">
            <w:pPr>
              <w:spacing w:after="0" w:line="240" w:lineRule="auto"/>
              <w:jc w:val="both"/>
              <w:rPr>
                <w:rFonts w:ascii="Arial" w:eastAsia="Times New Roman" w:hAnsi="Arial" w:cs="Arial"/>
                <w:b/>
                <w:bCs/>
                <w:color w:val="FFFFFF"/>
                <w:sz w:val="21"/>
                <w:szCs w:val="21"/>
                <w:lang w:eastAsia="en-GB"/>
              </w:rPr>
            </w:pPr>
            <w:r w:rsidRPr="000F5B91">
              <w:rPr>
                <w:rFonts w:ascii="Arial" w:eastAsia="Times New Roman" w:hAnsi="Arial" w:cs="Arial"/>
                <w:b/>
                <w:bCs/>
                <w:color w:val="FFFFFF"/>
                <w:sz w:val="21"/>
                <w:szCs w:val="21"/>
                <w:lang w:eastAsia="en-GB"/>
              </w:rPr>
              <w:t> </w:t>
            </w:r>
          </w:p>
        </w:tc>
        <w:tc>
          <w:tcPr>
            <w:tcW w:w="2126" w:type="dxa"/>
            <w:gridSpan w:val="2"/>
            <w:tcBorders>
              <w:top w:val="single" w:sz="4" w:space="0" w:color="A6A6A6"/>
              <w:left w:val="nil"/>
              <w:bottom w:val="single" w:sz="4" w:space="0" w:color="A6A6A6"/>
              <w:right w:val="single" w:sz="4" w:space="0" w:color="A6A6A6"/>
            </w:tcBorders>
            <w:shd w:val="clear" w:color="000000" w:fill="ACB9CA"/>
            <w:noWrap/>
            <w:vAlign w:val="center"/>
            <w:hideMark/>
          </w:tcPr>
          <w:p w14:paraId="20DF0BA6" w14:textId="77777777" w:rsidR="00D301A3" w:rsidRPr="000F5B91" w:rsidRDefault="00D301A3" w:rsidP="00DC54F7">
            <w:pPr>
              <w:spacing w:after="0" w:line="240" w:lineRule="auto"/>
              <w:jc w:val="both"/>
              <w:rPr>
                <w:rFonts w:ascii="Arial" w:eastAsia="Times New Roman" w:hAnsi="Arial" w:cs="Arial"/>
                <w:b/>
                <w:bCs/>
                <w:color w:val="FFFFFF"/>
                <w:sz w:val="21"/>
                <w:szCs w:val="21"/>
                <w:lang w:eastAsia="en-GB"/>
              </w:rPr>
            </w:pPr>
            <w:r w:rsidRPr="000F5B91">
              <w:rPr>
                <w:rFonts w:ascii="Arial" w:eastAsia="Times New Roman" w:hAnsi="Arial" w:cs="Arial"/>
                <w:b/>
                <w:bCs/>
                <w:color w:val="FFFFFF"/>
                <w:sz w:val="21"/>
                <w:szCs w:val="21"/>
                <w:lang w:eastAsia="en-GB"/>
              </w:rPr>
              <w:t>Response</w:t>
            </w:r>
          </w:p>
        </w:tc>
      </w:tr>
      <w:tr w:rsidR="00D301A3" w:rsidRPr="000F5B91" w14:paraId="75D42351" w14:textId="77777777" w:rsidTr="00AA572E">
        <w:trPr>
          <w:trHeight w:val="290"/>
        </w:trPr>
        <w:tc>
          <w:tcPr>
            <w:tcW w:w="6941"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3E73EB34" w14:textId="77777777" w:rsidR="00D301A3" w:rsidRPr="000F5B91" w:rsidRDefault="00D301A3" w:rsidP="00DC54F7">
            <w:pPr>
              <w:spacing w:after="0" w:line="240" w:lineRule="auto"/>
              <w:jc w:val="both"/>
              <w:rPr>
                <w:rFonts w:ascii="Arial" w:eastAsia="Times New Roman" w:hAnsi="Arial" w:cs="Arial"/>
                <w:b/>
                <w:bCs/>
                <w:color w:val="000000"/>
                <w:sz w:val="18"/>
                <w:szCs w:val="18"/>
                <w:lang w:eastAsia="en-GB"/>
              </w:rPr>
            </w:pPr>
            <w:r w:rsidRPr="000F5B91">
              <w:rPr>
                <w:rFonts w:ascii="Arial" w:eastAsia="Times New Roman" w:hAnsi="Arial" w:cs="Arial"/>
                <w:b/>
                <w:bCs/>
                <w:color w:val="000000"/>
                <w:sz w:val="18"/>
                <w:szCs w:val="18"/>
                <w:lang w:eastAsia="en-GB"/>
              </w:rPr>
              <w:t> </w:t>
            </w:r>
          </w:p>
        </w:tc>
        <w:tc>
          <w:tcPr>
            <w:tcW w:w="1134" w:type="dxa"/>
            <w:tcBorders>
              <w:top w:val="nil"/>
              <w:left w:val="nil"/>
              <w:bottom w:val="single" w:sz="4" w:space="0" w:color="A6A6A6"/>
              <w:right w:val="single" w:sz="4" w:space="0" w:color="A6A6A6"/>
            </w:tcBorders>
            <w:shd w:val="clear" w:color="000000" w:fill="F2F2F2"/>
            <w:noWrap/>
            <w:vAlign w:val="center"/>
            <w:hideMark/>
          </w:tcPr>
          <w:p w14:paraId="0012FD24" w14:textId="77777777" w:rsidR="00D301A3" w:rsidRPr="000F5B91" w:rsidRDefault="00D301A3" w:rsidP="00DC54F7">
            <w:pPr>
              <w:spacing w:after="0" w:line="240" w:lineRule="auto"/>
              <w:jc w:val="both"/>
              <w:rPr>
                <w:rFonts w:ascii="Arial" w:eastAsia="Times New Roman" w:hAnsi="Arial" w:cs="Arial"/>
                <w:b/>
                <w:bCs/>
                <w:color w:val="000000"/>
                <w:sz w:val="18"/>
                <w:szCs w:val="18"/>
                <w:lang w:eastAsia="en-GB"/>
              </w:rPr>
            </w:pPr>
            <w:r w:rsidRPr="000F5B91">
              <w:rPr>
                <w:rFonts w:ascii="Arial" w:eastAsia="Times New Roman" w:hAnsi="Arial" w:cs="Arial"/>
                <w:b/>
                <w:bCs/>
                <w:color w:val="000000"/>
                <w:sz w:val="18"/>
                <w:szCs w:val="18"/>
                <w:lang w:eastAsia="en-GB"/>
              </w:rPr>
              <w:t>Percent</w:t>
            </w:r>
          </w:p>
        </w:tc>
        <w:tc>
          <w:tcPr>
            <w:tcW w:w="992" w:type="dxa"/>
            <w:tcBorders>
              <w:top w:val="nil"/>
              <w:left w:val="nil"/>
              <w:bottom w:val="single" w:sz="4" w:space="0" w:color="A6A6A6"/>
              <w:right w:val="single" w:sz="4" w:space="0" w:color="A6A6A6"/>
            </w:tcBorders>
            <w:shd w:val="clear" w:color="000000" w:fill="F2F2F2"/>
            <w:noWrap/>
            <w:vAlign w:val="center"/>
            <w:hideMark/>
          </w:tcPr>
          <w:p w14:paraId="7385F9FC" w14:textId="77777777" w:rsidR="00D301A3" w:rsidRPr="000F5B91" w:rsidRDefault="00D301A3" w:rsidP="00DC54F7">
            <w:pPr>
              <w:spacing w:after="0" w:line="240" w:lineRule="auto"/>
              <w:jc w:val="both"/>
              <w:rPr>
                <w:rFonts w:ascii="Arial" w:eastAsia="Times New Roman" w:hAnsi="Arial" w:cs="Arial"/>
                <w:b/>
                <w:bCs/>
                <w:color w:val="000000"/>
                <w:sz w:val="18"/>
                <w:szCs w:val="18"/>
                <w:lang w:eastAsia="en-GB"/>
              </w:rPr>
            </w:pPr>
            <w:r w:rsidRPr="000F5B91">
              <w:rPr>
                <w:rFonts w:ascii="Arial" w:eastAsia="Times New Roman" w:hAnsi="Arial" w:cs="Arial"/>
                <w:b/>
                <w:bCs/>
                <w:color w:val="000000"/>
                <w:sz w:val="18"/>
                <w:szCs w:val="18"/>
                <w:lang w:eastAsia="en-GB"/>
              </w:rPr>
              <w:t>Total</w:t>
            </w:r>
          </w:p>
        </w:tc>
      </w:tr>
      <w:tr w:rsidR="00D301A3" w:rsidRPr="000F5B91" w14:paraId="7D0EC3FB"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665BE21E" w14:textId="77777777" w:rsidR="00D301A3" w:rsidRPr="000F5B91" w:rsidRDefault="00D301A3" w:rsidP="00DC54F7">
            <w:pPr>
              <w:spacing w:after="0" w:line="240" w:lineRule="auto"/>
              <w:jc w:val="both"/>
              <w:rPr>
                <w:rFonts w:ascii="Arial" w:eastAsia="Times New Roman" w:hAnsi="Arial" w:cs="Arial"/>
                <w:color w:val="000000"/>
                <w:sz w:val="18"/>
                <w:szCs w:val="18"/>
                <w:lang w:eastAsia="en-GB"/>
              </w:rPr>
            </w:pPr>
            <w:r w:rsidRPr="000F5B91">
              <w:rPr>
                <w:rFonts w:ascii="Arial" w:eastAsia="Times New Roman" w:hAnsi="Arial" w:cs="Arial"/>
                <w:color w:val="000000"/>
                <w:sz w:val="18"/>
                <w:szCs w:val="18"/>
                <w:lang w:eastAsia="en-GB"/>
              </w:rPr>
              <w:t>1</w:t>
            </w:r>
          </w:p>
        </w:tc>
        <w:tc>
          <w:tcPr>
            <w:tcW w:w="5981" w:type="dxa"/>
            <w:gridSpan w:val="2"/>
            <w:tcBorders>
              <w:top w:val="single" w:sz="4" w:space="0" w:color="A6A6A6"/>
              <w:left w:val="nil"/>
              <w:bottom w:val="single" w:sz="4" w:space="0" w:color="A6A6A6"/>
              <w:right w:val="single" w:sz="4" w:space="0" w:color="A6A6A6"/>
            </w:tcBorders>
            <w:shd w:val="clear" w:color="auto" w:fill="auto"/>
            <w:vAlign w:val="center"/>
            <w:hideMark/>
          </w:tcPr>
          <w:p w14:paraId="6DFE974D" w14:textId="77777777" w:rsidR="00D301A3" w:rsidRPr="000F5B91" w:rsidRDefault="00D301A3" w:rsidP="00DC54F7">
            <w:pPr>
              <w:spacing w:after="0" w:line="240" w:lineRule="auto"/>
              <w:jc w:val="both"/>
              <w:rPr>
                <w:rFonts w:ascii="Arial" w:eastAsia="Times New Roman" w:hAnsi="Arial" w:cs="Arial"/>
                <w:color w:val="000000"/>
                <w:sz w:val="18"/>
                <w:szCs w:val="18"/>
                <w:lang w:eastAsia="en-GB"/>
              </w:rPr>
            </w:pPr>
            <w:r w:rsidRPr="000F5B91">
              <w:rPr>
                <w:rFonts w:ascii="Arial" w:eastAsia="Times New Roman" w:hAnsi="Arial" w:cs="Arial"/>
                <w:color w:val="000000"/>
                <w:sz w:val="18"/>
                <w:szCs w:val="18"/>
                <w:lang w:eastAsia="en-GB"/>
              </w:rPr>
              <w:t>Buddhist</w:t>
            </w:r>
          </w:p>
        </w:tc>
        <w:tc>
          <w:tcPr>
            <w:tcW w:w="1134" w:type="dxa"/>
            <w:tcBorders>
              <w:top w:val="nil"/>
              <w:left w:val="nil"/>
              <w:bottom w:val="single" w:sz="4" w:space="0" w:color="A6A6A6"/>
              <w:right w:val="single" w:sz="4" w:space="0" w:color="A6A6A6"/>
            </w:tcBorders>
            <w:shd w:val="clear" w:color="000000" w:fill="F2F2F2"/>
            <w:noWrap/>
            <w:vAlign w:val="bottom"/>
            <w:hideMark/>
          </w:tcPr>
          <w:p w14:paraId="5AFF4F38"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0.74%</w:t>
            </w:r>
          </w:p>
        </w:tc>
        <w:tc>
          <w:tcPr>
            <w:tcW w:w="992" w:type="dxa"/>
            <w:tcBorders>
              <w:top w:val="nil"/>
              <w:left w:val="nil"/>
              <w:bottom w:val="single" w:sz="4" w:space="0" w:color="A6A6A6"/>
              <w:right w:val="single" w:sz="4" w:space="0" w:color="A6A6A6"/>
            </w:tcBorders>
            <w:shd w:val="clear" w:color="000000" w:fill="F2F2F2"/>
            <w:noWrap/>
            <w:vAlign w:val="bottom"/>
            <w:hideMark/>
          </w:tcPr>
          <w:p w14:paraId="0F8F0711"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1</w:t>
            </w:r>
          </w:p>
        </w:tc>
      </w:tr>
      <w:tr w:rsidR="00D301A3" w:rsidRPr="000F5B91" w14:paraId="7D214323"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3A8165DA" w14:textId="77777777" w:rsidR="00D301A3" w:rsidRPr="000F5B91" w:rsidRDefault="00D301A3" w:rsidP="00DC54F7">
            <w:pPr>
              <w:spacing w:after="0" w:line="240" w:lineRule="auto"/>
              <w:jc w:val="both"/>
              <w:rPr>
                <w:rFonts w:ascii="Arial" w:eastAsia="Times New Roman" w:hAnsi="Arial" w:cs="Arial"/>
                <w:color w:val="000000"/>
                <w:sz w:val="18"/>
                <w:szCs w:val="18"/>
                <w:lang w:eastAsia="en-GB"/>
              </w:rPr>
            </w:pPr>
            <w:r w:rsidRPr="000F5B91">
              <w:rPr>
                <w:rFonts w:ascii="Arial" w:eastAsia="Times New Roman" w:hAnsi="Arial" w:cs="Arial"/>
                <w:color w:val="000000"/>
                <w:sz w:val="18"/>
                <w:szCs w:val="18"/>
                <w:lang w:eastAsia="en-GB"/>
              </w:rPr>
              <w:t>2</w:t>
            </w:r>
          </w:p>
        </w:tc>
        <w:tc>
          <w:tcPr>
            <w:tcW w:w="5981" w:type="dxa"/>
            <w:gridSpan w:val="2"/>
            <w:tcBorders>
              <w:top w:val="single" w:sz="4" w:space="0" w:color="A6A6A6"/>
              <w:left w:val="nil"/>
              <w:bottom w:val="single" w:sz="4" w:space="0" w:color="A6A6A6"/>
              <w:right w:val="single" w:sz="4" w:space="0" w:color="A6A6A6"/>
            </w:tcBorders>
            <w:shd w:val="clear" w:color="auto" w:fill="auto"/>
            <w:vAlign w:val="center"/>
            <w:hideMark/>
          </w:tcPr>
          <w:p w14:paraId="112D24CE" w14:textId="77777777" w:rsidR="00D301A3" w:rsidRPr="000F5B91" w:rsidRDefault="00D301A3" w:rsidP="00DC54F7">
            <w:pPr>
              <w:spacing w:after="0" w:line="240" w:lineRule="auto"/>
              <w:jc w:val="both"/>
              <w:rPr>
                <w:rFonts w:ascii="Arial" w:eastAsia="Times New Roman" w:hAnsi="Arial" w:cs="Arial"/>
                <w:color w:val="000000"/>
                <w:sz w:val="18"/>
                <w:szCs w:val="18"/>
                <w:lang w:eastAsia="en-GB"/>
              </w:rPr>
            </w:pPr>
            <w:r w:rsidRPr="000F5B91">
              <w:rPr>
                <w:rFonts w:ascii="Arial" w:eastAsia="Times New Roman" w:hAnsi="Arial" w:cs="Arial"/>
                <w:color w:val="000000"/>
                <w:sz w:val="18"/>
                <w:szCs w:val="18"/>
                <w:lang w:eastAsia="en-GB"/>
              </w:rPr>
              <w:t>Christian (including Church in Wales, Catholic, Protestant and all other Christian denominations)</w:t>
            </w:r>
          </w:p>
        </w:tc>
        <w:tc>
          <w:tcPr>
            <w:tcW w:w="1134" w:type="dxa"/>
            <w:tcBorders>
              <w:top w:val="nil"/>
              <w:left w:val="nil"/>
              <w:bottom w:val="single" w:sz="4" w:space="0" w:color="A6A6A6"/>
              <w:right w:val="single" w:sz="4" w:space="0" w:color="A6A6A6"/>
            </w:tcBorders>
            <w:shd w:val="clear" w:color="000000" w:fill="F2F2F2"/>
            <w:noWrap/>
            <w:vAlign w:val="bottom"/>
            <w:hideMark/>
          </w:tcPr>
          <w:p w14:paraId="0BE9A6B1"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94.12%</w:t>
            </w:r>
          </w:p>
        </w:tc>
        <w:tc>
          <w:tcPr>
            <w:tcW w:w="992" w:type="dxa"/>
            <w:tcBorders>
              <w:top w:val="nil"/>
              <w:left w:val="nil"/>
              <w:bottom w:val="single" w:sz="4" w:space="0" w:color="A6A6A6"/>
              <w:right w:val="single" w:sz="4" w:space="0" w:color="A6A6A6"/>
            </w:tcBorders>
            <w:shd w:val="clear" w:color="000000" w:fill="F2F2F2"/>
            <w:noWrap/>
            <w:vAlign w:val="bottom"/>
            <w:hideMark/>
          </w:tcPr>
          <w:p w14:paraId="1DAC7C17"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128</w:t>
            </w:r>
          </w:p>
        </w:tc>
      </w:tr>
      <w:tr w:rsidR="00D301A3" w:rsidRPr="000F5B91" w14:paraId="63191AFD"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00198C2E" w14:textId="77777777" w:rsidR="00D301A3" w:rsidRPr="000F5B91" w:rsidRDefault="00D301A3" w:rsidP="00DC54F7">
            <w:pPr>
              <w:spacing w:after="0" w:line="240" w:lineRule="auto"/>
              <w:jc w:val="both"/>
              <w:rPr>
                <w:rFonts w:ascii="Arial" w:eastAsia="Times New Roman" w:hAnsi="Arial" w:cs="Arial"/>
                <w:color w:val="000000"/>
                <w:sz w:val="18"/>
                <w:szCs w:val="18"/>
                <w:lang w:eastAsia="en-GB"/>
              </w:rPr>
            </w:pPr>
            <w:r w:rsidRPr="000F5B91">
              <w:rPr>
                <w:rFonts w:ascii="Arial" w:eastAsia="Times New Roman" w:hAnsi="Arial" w:cs="Arial"/>
                <w:color w:val="000000"/>
                <w:sz w:val="18"/>
                <w:szCs w:val="18"/>
                <w:lang w:eastAsia="en-GB"/>
              </w:rPr>
              <w:t>3</w:t>
            </w:r>
          </w:p>
        </w:tc>
        <w:tc>
          <w:tcPr>
            <w:tcW w:w="5981" w:type="dxa"/>
            <w:gridSpan w:val="2"/>
            <w:tcBorders>
              <w:top w:val="single" w:sz="4" w:space="0" w:color="A6A6A6"/>
              <w:left w:val="nil"/>
              <w:bottom w:val="single" w:sz="4" w:space="0" w:color="A6A6A6"/>
              <w:right w:val="single" w:sz="4" w:space="0" w:color="A6A6A6"/>
            </w:tcBorders>
            <w:shd w:val="clear" w:color="auto" w:fill="auto"/>
            <w:vAlign w:val="center"/>
            <w:hideMark/>
          </w:tcPr>
          <w:p w14:paraId="6F237AED" w14:textId="77777777" w:rsidR="00D301A3" w:rsidRPr="000F5B91" w:rsidRDefault="00D301A3" w:rsidP="00DC54F7">
            <w:pPr>
              <w:spacing w:after="0" w:line="240" w:lineRule="auto"/>
              <w:jc w:val="both"/>
              <w:rPr>
                <w:rFonts w:ascii="Arial" w:eastAsia="Times New Roman" w:hAnsi="Arial" w:cs="Arial"/>
                <w:color w:val="000000"/>
                <w:sz w:val="18"/>
                <w:szCs w:val="18"/>
                <w:lang w:eastAsia="en-GB"/>
              </w:rPr>
            </w:pPr>
            <w:r w:rsidRPr="000F5B91">
              <w:rPr>
                <w:rFonts w:ascii="Arial" w:eastAsia="Times New Roman" w:hAnsi="Arial" w:cs="Arial"/>
                <w:color w:val="000000"/>
                <w:sz w:val="18"/>
                <w:szCs w:val="18"/>
                <w:lang w:eastAsia="en-GB"/>
              </w:rPr>
              <w:t>Hindu</w:t>
            </w:r>
          </w:p>
        </w:tc>
        <w:tc>
          <w:tcPr>
            <w:tcW w:w="1134" w:type="dxa"/>
            <w:tcBorders>
              <w:top w:val="nil"/>
              <w:left w:val="nil"/>
              <w:bottom w:val="single" w:sz="4" w:space="0" w:color="A6A6A6"/>
              <w:right w:val="single" w:sz="4" w:space="0" w:color="A6A6A6"/>
            </w:tcBorders>
            <w:shd w:val="clear" w:color="000000" w:fill="F2F2F2"/>
            <w:noWrap/>
            <w:vAlign w:val="bottom"/>
            <w:hideMark/>
          </w:tcPr>
          <w:p w14:paraId="3F2FDB79"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2.21%</w:t>
            </w:r>
          </w:p>
        </w:tc>
        <w:tc>
          <w:tcPr>
            <w:tcW w:w="992" w:type="dxa"/>
            <w:tcBorders>
              <w:top w:val="nil"/>
              <w:left w:val="nil"/>
              <w:bottom w:val="single" w:sz="4" w:space="0" w:color="A6A6A6"/>
              <w:right w:val="single" w:sz="4" w:space="0" w:color="A6A6A6"/>
            </w:tcBorders>
            <w:shd w:val="clear" w:color="000000" w:fill="F2F2F2"/>
            <w:noWrap/>
            <w:vAlign w:val="bottom"/>
            <w:hideMark/>
          </w:tcPr>
          <w:p w14:paraId="2A037E82"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3</w:t>
            </w:r>
          </w:p>
        </w:tc>
      </w:tr>
      <w:tr w:rsidR="00D301A3" w:rsidRPr="000F5B91" w14:paraId="79A23CFC"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552D4CFA" w14:textId="77777777" w:rsidR="00D301A3" w:rsidRPr="000F5B91" w:rsidRDefault="00D301A3" w:rsidP="00DC54F7">
            <w:pPr>
              <w:spacing w:after="0" w:line="240" w:lineRule="auto"/>
              <w:jc w:val="both"/>
              <w:rPr>
                <w:rFonts w:ascii="Arial" w:eastAsia="Times New Roman" w:hAnsi="Arial" w:cs="Arial"/>
                <w:color w:val="000000"/>
                <w:sz w:val="18"/>
                <w:szCs w:val="18"/>
                <w:lang w:eastAsia="en-GB"/>
              </w:rPr>
            </w:pPr>
            <w:r w:rsidRPr="000F5B91">
              <w:rPr>
                <w:rFonts w:ascii="Arial" w:eastAsia="Times New Roman" w:hAnsi="Arial" w:cs="Arial"/>
                <w:color w:val="000000"/>
                <w:sz w:val="18"/>
                <w:szCs w:val="18"/>
                <w:lang w:eastAsia="en-GB"/>
              </w:rPr>
              <w:t>4</w:t>
            </w:r>
          </w:p>
        </w:tc>
        <w:tc>
          <w:tcPr>
            <w:tcW w:w="5981" w:type="dxa"/>
            <w:gridSpan w:val="2"/>
            <w:tcBorders>
              <w:top w:val="single" w:sz="4" w:space="0" w:color="A6A6A6"/>
              <w:left w:val="nil"/>
              <w:bottom w:val="single" w:sz="4" w:space="0" w:color="A6A6A6"/>
              <w:right w:val="single" w:sz="4" w:space="0" w:color="A6A6A6"/>
            </w:tcBorders>
            <w:shd w:val="clear" w:color="auto" w:fill="auto"/>
            <w:vAlign w:val="center"/>
            <w:hideMark/>
          </w:tcPr>
          <w:p w14:paraId="45EEF055" w14:textId="77777777" w:rsidR="00D301A3" w:rsidRPr="000F5B91" w:rsidRDefault="00D301A3" w:rsidP="00DC54F7">
            <w:pPr>
              <w:spacing w:after="0" w:line="240" w:lineRule="auto"/>
              <w:jc w:val="both"/>
              <w:rPr>
                <w:rFonts w:ascii="Arial" w:eastAsia="Times New Roman" w:hAnsi="Arial" w:cs="Arial"/>
                <w:color w:val="000000"/>
                <w:sz w:val="18"/>
                <w:szCs w:val="18"/>
                <w:lang w:eastAsia="en-GB"/>
              </w:rPr>
            </w:pPr>
            <w:r w:rsidRPr="000F5B91">
              <w:rPr>
                <w:rFonts w:ascii="Arial" w:eastAsia="Times New Roman" w:hAnsi="Arial" w:cs="Arial"/>
                <w:color w:val="000000"/>
                <w:sz w:val="18"/>
                <w:szCs w:val="18"/>
                <w:lang w:eastAsia="en-GB"/>
              </w:rPr>
              <w:t>Jewish</w:t>
            </w:r>
          </w:p>
        </w:tc>
        <w:tc>
          <w:tcPr>
            <w:tcW w:w="1134" w:type="dxa"/>
            <w:tcBorders>
              <w:top w:val="nil"/>
              <w:left w:val="nil"/>
              <w:bottom w:val="single" w:sz="4" w:space="0" w:color="A6A6A6"/>
              <w:right w:val="single" w:sz="4" w:space="0" w:color="A6A6A6"/>
            </w:tcBorders>
            <w:shd w:val="clear" w:color="000000" w:fill="F2F2F2"/>
            <w:noWrap/>
            <w:vAlign w:val="bottom"/>
            <w:hideMark/>
          </w:tcPr>
          <w:p w14:paraId="7A86BABA"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0.74%</w:t>
            </w:r>
          </w:p>
        </w:tc>
        <w:tc>
          <w:tcPr>
            <w:tcW w:w="992" w:type="dxa"/>
            <w:tcBorders>
              <w:top w:val="nil"/>
              <w:left w:val="nil"/>
              <w:bottom w:val="single" w:sz="4" w:space="0" w:color="A6A6A6"/>
              <w:right w:val="single" w:sz="4" w:space="0" w:color="A6A6A6"/>
            </w:tcBorders>
            <w:shd w:val="clear" w:color="000000" w:fill="F2F2F2"/>
            <w:noWrap/>
            <w:vAlign w:val="bottom"/>
            <w:hideMark/>
          </w:tcPr>
          <w:p w14:paraId="1DB66736"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1</w:t>
            </w:r>
          </w:p>
        </w:tc>
      </w:tr>
      <w:tr w:rsidR="00D301A3" w:rsidRPr="000F5B91" w14:paraId="7FEA5505"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600A7C7E" w14:textId="77777777" w:rsidR="00D301A3" w:rsidRPr="000F5B91" w:rsidRDefault="00D301A3" w:rsidP="00DC54F7">
            <w:pPr>
              <w:spacing w:after="0" w:line="240" w:lineRule="auto"/>
              <w:jc w:val="both"/>
              <w:rPr>
                <w:rFonts w:ascii="Arial" w:eastAsia="Times New Roman" w:hAnsi="Arial" w:cs="Arial"/>
                <w:color w:val="000000"/>
                <w:sz w:val="18"/>
                <w:szCs w:val="18"/>
                <w:lang w:eastAsia="en-GB"/>
              </w:rPr>
            </w:pPr>
            <w:r w:rsidRPr="000F5B91">
              <w:rPr>
                <w:rFonts w:ascii="Arial" w:eastAsia="Times New Roman" w:hAnsi="Arial" w:cs="Arial"/>
                <w:color w:val="000000"/>
                <w:sz w:val="18"/>
                <w:szCs w:val="18"/>
                <w:lang w:eastAsia="en-GB"/>
              </w:rPr>
              <w:t>5</w:t>
            </w:r>
          </w:p>
        </w:tc>
        <w:tc>
          <w:tcPr>
            <w:tcW w:w="5981" w:type="dxa"/>
            <w:gridSpan w:val="2"/>
            <w:tcBorders>
              <w:top w:val="single" w:sz="4" w:space="0" w:color="A6A6A6"/>
              <w:left w:val="nil"/>
              <w:bottom w:val="single" w:sz="4" w:space="0" w:color="A6A6A6"/>
              <w:right w:val="single" w:sz="4" w:space="0" w:color="A6A6A6"/>
            </w:tcBorders>
            <w:shd w:val="clear" w:color="auto" w:fill="auto"/>
            <w:vAlign w:val="center"/>
            <w:hideMark/>
          </w:tcPr>
          <w:p w14:paraId="0D56CBD0" w14:textId="77777777" w:rsidR="00D301A3" w:rsidRPr="000F5B91" w:rsidRDefault="00D301A3" w:rsidP="00DC54F7">
            <w:pPr>
              <w:spacing w:after="0" w:line="240" w:lineRule="auto"/>
              <w:jc w:val="both"/>
              <w:rPr>
                <w:rFonts w:ascii="Arial" w:eastAsia="Times New Roman" w:hAnsi="Arial" w:cs="Arial"/>
                <w:color w:val="000000"/>
                <w:sz w:val="18"/>
                <w:szCs w:val="18"/>
                <w:lang w:eastAsia="en-GB"/>
              </w:rPr>
            </w:pPr>
            <w:r w:rsidRPr="000F5B91">
              <w:rPr>
                <w:rFonts w:ascii="Arial" w:eastAsia="Times New Roman" w:hAnsi="Arial" w:cs="Arial"/>
                <w:color w:val="000000"/>
                <w:sz w:val="18"/>
                <w:szCs w:val="18"/>
                <w:lang w:eastAsia="en-GB"/>
              </w:rPr>
              <w:t>Muslim</w:t>
            </w:r>
          </w:p>
        </w:tc>
        <w:tc>
          <w:tcPr>
            <w:tcW w:w="1134" w:type="dxa"/>
            <w:tcBorders>
              <w:top w:val="nil"/>
              <w:left w:val="nil"/>
              <w:bottom w:val="single" w:sz="4" w:space="0" w:color="A6A6A6"/>
              <w:right w:val="single" w:sz="4" w:space="0" w:color="A6A6A6"/>
            </w:tcBorders>
            <w:shd w:val="clear" w:color="000000" w:fill="F2F2F2"/>
            <w:noWrap/>
            <w:vAlign w:val="bottom"/>
            <w:hideMark/>
          </w:tcPr>
          <w:p w14:paraId="55D59C77"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0.74%</w:t>
            </w:r>
          </w:p>
        </w:tc>
        <w:tc>
          <w:tcPr>
            <w:tcW w:w="992" w:type="dxa"/>
            <w:tcBorders>
              <w:top w:val="nil"/>
              <w:left w:val="nil"/>
              <w:bottom w:val="single" w:sz="4" w:space="0" w:color="A6A6A6"/>
              <w:right w:val="single" w:sz="4" w:space="0" w:color="A6A6A6"/>
            </w:tcBorders>
            <w:shd w:val="clear" w:color="000000" w:fill="F2F2F2"/>
            <w:noWrap/>
            <w:vAlign w:val="bottom"/>
            <w:hideMark/>
          </w:tcPr>
          <w:p w14:paraId="7EE05A04"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1</w:t>
            </w:r>
          </w:p>
        </w:tc>
      </w:tr>
      <w:tr w:rsidR="00D301A3" w:rsidRPr="000F5B91" w14:paraId="4A3E5B0B"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5BCC8D89" w14:textId="77777777" w:rsidR="00D301A3" w:rsidRPr="000F5B91" w:rsidRDefault="00D301A3" w:rsidP="00DC54F7">
            <w:pPr>
              <w:spacing w:after="0" w:line="240" w:lineRule="auto"/>
              <w:jc w:val="both"/>
              <w:rPr>
                <w:rFonts w:ascii="Arial" w:eastAsia="Times New Roman" w:hAnsi="Arial" w:cs="Arial"/>
                <w:color w:val="000000"/>
                <w:sz w:val="18"/>
                <w:szCs w:val="18"/>
                <w:lang w:eastAsia="en-GB"/>
              </w:rPr>
            </w:pPr>
            <w:r w:rsidRPr="000F5B91">
              <w:rPr>
                <w:rFonts w:ascii="Arial" w:eastAsia="Times New Roman" w:hAnsi="Arial" w:cs="Arial"/>
                <w:color w:val="000000"/>
                <w:sz w:val="18"/>
                <w:szCs w:val="18"/>
                <w:lang w:eastAsia="en-GB"/>
              </w:rPr>
              <w:t>6</w:t>
            </w:r>
          </w:p>
        </w:tc>
        <w:tc>
          <w:tcPr>
            <w:tcW w:w="5981" w:type="dxa"/>
            <w:gridSpan w:val="2"/>
            <w:tcBorders>
              <w:top w:val="single" w:sz="4" w:space="0" w:color="A6A6A6"/>
              <w:left w:val="nil"/>
              <w:bottom w:val="single" w:sz="4" w:space="0" w:color="A6A6A6"/>
              <w:right w:val="single" w:sz="4" w:space="0" w:color="A6A6A6"/>
            </w:tcBorders>
            <w:shd w:val="clear" w:color="auto" w:fill="auto"/>
            <w:vAlign w:val="center"/>
            <w:hideMark/>
          </w:tcPr>
          <w:p w14:paraId="515EB030" w14:textId="77777777" w:rsidR="00D301A3" w:rsidRPr="000F5B91" w:rsidRDefault="00D301A3" w:rsidP="00DC54F7">
            <w:pPr>
              <w:spacing w:after="0" w:line="240" w:lineRule="auto"/>
              <w:jc w:val="both"/>
              <w:rPr>
                <w:rFonts w:ascii="Arial" w:eastAsia="Times New Roman" w:hAnsi="Arial" w:cs="Arial"/>
                <w:color w:val="000000"/>
                <w:sz w:val="18"/>
                <w:szCs w:val="18"/>
                <w:lang w:eastAsia="en-GB"/>
              </w:rPr>
            </w:pPr>
            <w:r w:rsidRPr="000F5B91">
              <w:rPr>
                <w:rFonts w:ascii="Arial" w:eastAsia="Times New Roman" w:hAnsi="Arial" w:cs="Arial"/>
                <w:color w:val="000000"/>
                <w:sz w:val="18"/>
                <w:szCs w:val="18"/>
                <w:lang w:eastAsia="en-GB"/>
              </w:rPr>
              <w:t>Sikh</w:t>
            </w:r>
          </w:p>
        </w:tc>
        <w:tc>
          <w:tcPr>
            <w:tcW w:w="1134" w:type="dxa"/>
            <w:tcBorders>
              <w:top w:val="nil"/>
              <w:left w:val="nil"/>
              <w:bottom w:val="single" w:sz="4" w:space="0" w:color="A6A6A6"/>
              <w:right w:val="single" w:sz="4" w:space="0" w:color="A6A6A6"/>
            </w:tcBorders>
            <w:shd w:val="clear" w:color="000000" w:fill="F2F2F2"/>
            <w:noWrap/>
            <w:vAlign w:val="bottom"/>
            <w:hideMark/>
          </w:tcPr>
          <w:p w14:paraId="3899FF19"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0.00%</w:t>
            </w:r>
          </w:p>
        </w:tc>
        <w:tc>
          <w:tcPr>
            <w:tcW w:w="992" w:type="dxa"/>
            <w:tcBorders>
              <w:top w:val="nil"/>
              <w:left w:val="nil"/>
              <w:bottom w:val="single" w:sz="4" w:space="0" w:color="A6A6A6"/>
              <w:right w:val="single" w:sz="4" w:space="0" w:color="A6A6A6"/>
            </w:tcBorders>
            <w:shd w:val="clear" w:color="000000" w:fill="F2F2F2"/>
            <w:noWrap/>
            <w:vAlign w:val="bottom"/>
            <w:hideMark/>
          </w:tcPr>
          <w:p w14:paraId="06DC3DDF"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0</w:t>
            </w:r>
          </w:p>
        </w:tc>
      </w:tr>
      <w:tr w:rsidR="00D301A3" w:rsidRPr="000F5B91" w14:paraId="79BC264E"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55379654" w14:textId="77777777" w:rsidR="00D301A3" w:rsidRPr="000F5B91" w:rsidRDefault="00D301A3" w:rsidP="00DC54F7">
            <w:pPr>
              <w:spacing w:after="0" w:line="240" w:lineRule="auto"/>
              <w:jc w:val="both"/>
              <w:rPr>
                <w:rFonts w:ascii="Arial" w:eastAsia="Times New Roman" w:hAnsi="Arial" w:cs="Arial"/>
                <w:color w:val="000000"/>
                <w:sz w:val="18"/>
                <w:szCs w:val="18"/>
                <w:lang w:eastAsia="en-GB"/>
              </w:rPr>
            </w:pPr>
            <w:r w:rsidRPr="000F5B91">
              <w:rPr>
                <w:rFonts w:ascii="Arial" w:eastAsia="Times New Roman" w:hAnsi="Arial" w:cs="Arial"/>
                <w:color w:val="000000"/>
                <w:sz w:val="18"/>
                <w:szCs w:val="18"/>
                <w:lang w:eastAsia="en-GB"/>
              </w:rPr>
              <w:t>7</w:t>
            </w:r>
          </w:p>
        </w:tc>
        <w:tc>
          <w:tcPr>
            <w:tcW w:w="5981" w:type="dxa"/>
            <w:gridSpan w:val="2"/>
            <w:tcBorders>
              <w:top w:val="single" w:sz="4" w:space="0" w:color="A6A6A6"/>
              <w:left w:val="nil"/>
              <w:bottom w:val="single" w:sz="4" w:space="0" w:color="A6A6A6"/>
              <w:right w:val="single" w:sz="4" w:space="0" w:color="A6A6A6"/>
            </w:tcBorders>
            <w:shd w:val="clear" w:color="auto" w:fill="auto"/>
            <w:vAlign w:val="center"/>
            <w:hideMark/>
          </w:tcPr>
          <w:p w14:paraId="508EEC7B" w14:textId="77777777" w:rsidR="00D301A3" w:rsidRPr="000F5B91" w:rsidRDefault="00D301A3" w:rsidP="00DC54F7">
            <w:pPr>
              <w:spacing w:after="0" w:line="240" w:lineRule="auto"/>
              <w:jc w:val="both"/>
              <w:rPr>
                <w:rFonts w:ascii="Arial" w:eastAsia="Times New Roman" w:hAnsi="Arial" w:cs="Arial"/>
                <w:color w:val="000000"/>
                <w:sz w:val="18"/>
                <w:szCs w:val="18"/>
                <w:lang w:eastAsia="en-GB"/>
              </w:rPr>
            </w:pPr>
            <w:r w:rsidRPr="000F5B91">
              <w:rPr>
                <w:rFonts w:ascii="Arial" w:eastAsia="Times New Roman" w:hAnsi="Arial" w:cs="Arial"/>
                <w:color w:val="000000"/>
                <w:sz w:val="18"/>
                <w:szCs w:val="18"/>
                <w:lang w:eastAsia="en-GB"/>
              </w:rPr>
              <w:t>Other (please specify):</w:t>
            </w:r>
          </w:p>
        </w:tc>
        <w:tc>
          <w:tcPr>
            <w:tcW w:w="1134" w:type="dxa"/>
            <w:tcBorders>
              <w:top w:val="nil"/>
              <w:left w:val="nil"/>
              <w:bottom w:val="single" w:sz="4" w:space="0" w:color="A6A6A6"/>
              <w:right w:val="single" w:sz="4" w:space="0" w:color="A6A6A6"/>
            </w:tcBorders>
            <w:shd w:val="clear" w:color="000000" w:fill="F2F2F2"/>
            <w:noWrap/>
            <w:vAlign w:val="bottom"/>
            <w:hideMark/>
          </w:tcPr>
          <w:p w14:paraId="16130DF7"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1.47%</w:t>
            </w:r>
          </w:p>
        </w:tc>
        <w:tc>
          <w:tcPr>
            <w:tcW w:w="992" w:type="dxa"/>
            <w:tcBorders>
              <w:top w:val="nil"/>
              <w:left w:val="nil"/>
              <w:bottom w:val="single" w:sz="4" w:space="0" w:color="A6A6A6"/>
              <w:right w:val="single" w:sz="4" w:space="0" w:color="A6A6A6"/>
            </w:tcBorders>
            <w:shd w:val="clear" w:color="000000" w:fill="F2F2F2"/>
            <w:noWrap/>
            <w:vAlign w:val="bottom"/>
            <w:hideMark/>
          </w:tcPr>
          <w:p w14:paraId="740B8A0E"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2</w:t>
            </w:r>
          </w:p>
        </w:tc>
      </w:tr>
      <w:tr w:rsidR="00D301A3" w:rsidRPr="000F5B91" w14:paraId="3C8EEA19" w14:textId="77777777" w:rsidTr="00AA572E">
        <w:trPr>
          <w:trHeight w:val="290"/>
        </w:trPr>
        <w:tc>
          <w:tcPr>
            <w:tcW w:w="4106"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42167BD7" w14:textId="77777777" w:rsidR="00D301A3" w:rsidRPr="000F5B91" w:rsidRDefault="00D301A3" w:rsidP="00DC54F7">
            <w:pPr>
              <w:spacing w:after="0" w:line="240" w:lineRule="auto"/>
              <w:jc w:val="both"/>
              <w:rPr>
                <w:rFonts w:ascii="Arial" w:eastAsia="Times New Roman" w:hAnsi="Arial" w:cs="Arial"/>
                <w:b/>
                <w:bCs/>
                <w:color w:val="000000"/>
                <w:lang w:eastAsia="en-GB"/>
              </w:rPr>
            </w:pPr>
            <w:r w:rsidRPr="000F5B91">
              <w:rPr>
                <w:rFonts w:ascii="Arial" w:eastAsia="Times New Roman" w:hAnsi="Arial" w:cs="Arial"/>
                <w:b/>
                <w:bCs/>
                <w:color w:val="000000"/>
                <w:lang w:eastAsia="en-GB"/>
              </w:rPr>
              <w:t> </w:t>
            </w:r>
          </w:p>
        </w:tc>
        <w:tc>
          <w:tcPr>
            <w:tcW w:w="2835" w:type="dxa"/>
            <w:tcBorders>
              <w:top w:val="nil"/>
              <w:left w:val="nil"/>
              <w:bottom w:val="single" w:sz="4" w:space="0" w:color="A6A6A6"/>
              <w:right w:val="single" w:sz="4" w:space="0" w:color="A6A6A6"/>
            </w:tcBorders>
            <w:shd w:val="clear" w:color="000000" w:fill="F2F2F2"/>
            <w:vAlign w:val="center"/>
            <w:hideMark/>
          </w:tcPr>
          <w:p w14:paraId="7399CA88" w14:textId="77777777" w:rsidR="00D301A3" w:rsidRPr="000F5B91" w:rsidRDefault="00D301A3" w:rsidP="00DC54F7">
            <w:pPr>
              <w:spacing w:after="0" w:line="240" w:lineRule="auto"/>
              <w:jc w:val="both"/>
              <w:rPr>
                <w:rFonts w:ascii="Arial" w:eastAsia="Times New Roman" w:hAnsi="Arial" w:cs="Arial"/>
                <w:b/>
                <w:bCs/>
                <w:color w:val="000000"/>
                <w:sz w:val="18"/>
                <w:szCs w:val="18"/>
                <w:lang w:eastAsia="en-GB"/>
              </w:rPr>
            </w:pPr>
            <w:r w:rsidRPr="000F5B91">
              <w:rPr>
                <w:rFonts w:ascii="Arial" w:eastAsia="Times New Roman" w:hAnsi="Arial" w:cs="Arial"/>
                <w:b/>
                <w:bCs/>
                <w:color w:val="000000"/>
                <w:sz w:val="18"/>
                <w:szCs w:val="18"/>
                <w:lang w:eastAsia="en-GB"/>
              </w:rPr>
              <w:t xml:space="preserve">Total </w:t>
            </w:r>
          </w:p>
        </w:tc>
        <w:tc>
          <w:tcPr>
            <w:tcW w:w="1134" w:type="dxa"/>
            <w:tcBorders>
              <w:top w:val="nil"/>
              <w:left w:val="nil"/>
              <w:bottom w:val="single" w:sz="4" w:space="0" w:color="A6A6A6"/>
              <w:right w:val="single" w:sz="4" w:space="0" w:color="A6A6A6"/>
            </w:tcBorders>
            <w:shd w:val="clear" w:color="000000" w:fill="F2F2F2"/>
            <w:noWrap/>
            <w:vAlign w:val="bottom"/>
            <w:hideMark/>
          </w:tcPr>
          <w:p w14:paraId="6DFBC508"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100.00%</w:t>
            </w:r>
          </w:p>
        </w:tc>
        <w:tc>
          <w:tcPr>
            <w:tcW w:w="992" w:type="dxa"/>
            <w:tcBorders>
              <w:top w:val="nil"/>
              <w:left w:val="nil"/>
              <w:bottom w:val="single" w:sz="4" w:space="0" w:color="A6A6A6"/>
              <w:right w:val="single" w:sz="4" w:space="0" w:color="A6A6A6"/>
            </w:tcBorders>
            <w:shd w:val="clear" w:color="000000" w:fill="F2F2F2"/>
            <w:noWrap/>
            <w:vAlign w:val="bottom"/>
            <w:hideMark/>
          </w:tcPr>
          <w:p w14:paraId="6EC2A709"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136</w:t>
            </w:r>
          </w:p>
        </w:tc>
      </w:tr>
      <w:tr w:rsidR="00D301A3" w:rsidRPr="000F5B91" w14:paraId="324ECD54" w14:textId="77777777" w:rsidTr="00AA572E">
        <w:trPr>
          <w:trHeight w:val="290"/>
        </w:trPr>
        <w:tc>
          <w:tcPr>
            <w:tcW w:w="4106" w:type="dxa"/>
            <w:gridSpan w:val="2"/>
            <w:vMerge/>
            <w:tcBorders>
              <w:top w:val="single" w:sz="4" w:space="0" w:color="A6A6A6"/>
              <w:left w:val="single" w:sz="4" w:space="0" w:color="A6A6A6"/>
              <w:bottom w:val="single" w:sz="4" w:space="0" w:color="A6A6A6"/>
              <w:right w:val="single" w:sz="4" w:space="0" w:color="A6A6A6"/>
            </w:tcBorders>
            <w:vAlign w:val="center"/>
            <w:hideMark/>
          </w:tcPr>
          <w:p w14:paraId="51B7953A" w14:textId="77777777" w:rsidR="00D301A3" w:rsidRPr="000F5B91" w:rsidRDefault="00D301A3" w:rsidP="00DC54F7">
            <w:pPr>
              <w:spacing w:after="0" w:line="240" w:lineRule="auto"/>
              <w:jc w:val="both"/>
              <w:rPr>
                <w:rFonts w:ascii="Arial" w:eastAsia="Times New Roman" w:hAnsi="Arial" w:cs="Arial"/>
                <w:b/>
                <w:bCs/>
                <w:color w:val="000000"/>
                <w:lang w:eastAsia="en-GB"/>
              </w:rPr>
            </w:pPr>
          </w:p>
        </w:tc>
        <w:tc>
          <w:tcPr>
            <w:tcW w:w="2835" w:type="dxa"/>
            <w:tcBorders>
              <w:top w:val="nil"/>
              <w:left w:val="nil"/>
              <w:bottom w:val="single" w:sz="4" w:space="0" w:color="A6A6A6"/>
              <w:right w:val="single" w:sz="4" w:space="0" w:color="A6A6A6"/>
            </w:tcBorders>
            <w:shd w:val="clear" w:color="000000" w:fill="F2F2F2"/>
            <w:vAlign w:val="center"/>
            <w:hideMark/>
          </w:tcPr>
          <w:p w14:paraId="0AE4AB3D" w14:textId="77777777" w:rsidR="00D301A3" w:rsidRPr="000F5B91" w:rsidRDefault="00D301A3" w:rsidP="00DC54F7">
            <w:pPr>
              <w:spacing w:after="0" w:line="240" w:lineRule="auto"/>
              <w:jc w:val="both"/>
              <w:rPr>
                <w:rFonts w:ascii="Arial" w:eastAsia="Times New Roman" w:hAnsi="Arial" w:cs="Arial"/>
                <w:b/>
                <w:bCs/>
                <w:color w:val="000000"/>
                <w:sz w:val="18"/>
                <w:szCs w:val="18"/>
                <w:lang w:eastAsia="en-GB"/>
              </w:rPr>
            </w:pPr>
            <w:r w:rsidRPr="000F5B91">
              <w:rPr>
                <w:rFonts w:ascii="Arial" w:eastAsia="Times New Roman" w:hAnsi="Arial" w:cs="Arial"/>
                <w:b/>
                <w:bCs/>
                <w:color w:val="000000"/>
                <w:sz w:val="18"/>
                <w:szCs w:val="18"/>
                <w:lang w:eastAsia="en-GB"/>
              </w:rPr>
              <w:t>Skipped</w:t>
            </w:r>
          </w:p>
        </w:tc>
        <w:tc>
          <w:tcPr>
            <w:tcW w:w="1134" w:type="dxa"/>
            <w:tcBorders>
              <w:top w:val="nil"/>
              <w:left w:val="nil"/>
              <w:bottom w:val="single" w:sz="4" w:space="0" w:color="A6A6A6"/>
              <w:right w:val="single" w:sz="4" w:space="0" w:color="A6A6A6"/>
            </w:tcBorders>
            <w:shd w:val="clear" w:color="000000" w:fill="F2F2F2"/>
            <w:noWrap/>
            <w:vAlign w:val="bottom"/>
            <w:hideMark/>
          </w:tcPr>
          <w:p w14:paraId="0189FC7C"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 </w:t>
            </w:r>
          </w:p>
        </w:tc>
        <w:tc>
          <w:tcPr>
            <w:tcW w:w="992" w:type="dxa"/>
            <w:tcBorders>
              <w:top w:val="nil"/>
              <w:left w:val="nil"/>
              <w:bottom w:val="single" w:sz="4" w:space="0" w:color="A6A6A6"/>
              <w:right w:val="single" w:sz="4" w:space="0" w:color="A6A6A6"/>
            </w:tcBorders>
            <w:shd w:val="clear" w:color="000000" w:fill="F2F2F2"/>
            <w:noWrap/>
            <w:vAlign w:val="bottom"/>
            <w:hideMark/>
          </w:tcPr>
          <w:p w14:paraId="25A7D2CD" w14:textId="77777777" w:rsidR="00D301A3" w:rsidRPr="000F5B91" w:rsidRDefault="00D301A3" w:rsidP="00DC54F7">
            <w:pPr>
              <w:spacing w:after="0" w:line="240" w:lineRule="auto"/>
              <w:jc w:val="both"/>
              <w:rPr>
                <w:rFonts w:ascii="Calibri" w:eastAsia="Times New Roman" w:hAnsi="Calibri" w:cs="Calibri"/>
                <w:color w:val="000000"/>
                <w:lang w:eastAsia="en-GB"/>
              </w:rPr>
            </w:pPr>
            <w:r w:rsidRPr="000F5B91">
              <w:rPr>
                <w:rFonts w:ascii="Calibri" w:eastAsia="Times New Roman" w:hAnsi="Calibri" w:cs="Calibri"/>
                <w:color w:val="000000"/>
                <w:lang w:eastAsia="en-GB"/>
              </w:rPr>
              <w:t>175</w:t>
            </w:r>
          </w:p>
        </w:tc>
      </w:tr>
    </w:tbl>
    <w:p w14:paraId="1427E01B" w14:textId="77777777" w:rsidR="00D301A3" w:rsidRDefault="00D301A3" w:rsidP="00DC54F7">
      <w:pPr>
        <w:spacing w:after="0"/>
        <w:jc w:val="both"/>
        <w:rPr>
          <w:rFonts w:ascii="Arial" w:hAnsi="Arial" w:cs="Arial"/>
        </w:rPr>
      </w:pPr>
    </w:p>
    <w:p w14:paraId="58CD19B3" w14:textId="77777777" w:rsidR="00D301A3" w:rsidRDefault="00D301A3" w:rsidP="00DC54F7">
      <w:pPr>
        <w:spacing w:after="0"/>
        <w:jc w:val="both"/>
        <w:rPr>
          <w:rFonts w:ascii="Arial" w:hAnsi="Arial" w:cs="Arial"/>
        </w:rPr>
      </w:pPr>
    </w:p>
    <w:p w14:paraId="4F5FDED3" w14:textId="77777777" w:rsidR="00D301A3" w:rsidRPr="00DD341B" w:rsidRDefault="00D301A3" w:rsidP="00DC54F7">
      <w:pPr>
        <w:spacing w:after="0"/>
        <w:jc w:val="both"/>
        <w:rPr>
          <w:rFonts w:ascii="Arial" w:hAnsi="Arial" w:cs="Arial"/>
          <w:b/>
          <w:bCs/>
        </w:rPr>
      </w:pPr>
      <w:r w:rsidRPr="00DD341B">
        <w:rPr>
          <w:rFonts w:ascii="Arial" w:hAnsi="Arial" w:cs="Arial"/>
          <w:b/>
          <w:bCs/>
        </w:rPr>
        <w:t>A total of two responses were received:</w:t>
      </w:r>
    </w:p>
    <w:p w14:paraId="2BF4314D" w14:textId="77777777" w:rsidR="00D301A3" w:rsidRPr="00DD341B" w:rsidRDefault="00D301A3" w:rsidP="00DC54F7">
      <w:pPr>
        <w:pStyle w:val="ListParagraph"/>
        <w:numPr>
          <w:ilvl w:val="0"/>
          <w:numId w:val="173"/>
        </w:numPr>
        <w:spacing w:after="0" w:line="259" w:lineRule="auto"/>
        <w:jc w:val="both"/>
        <w:rPr>
          <w:rFonts w:ascii="Arial" w:hAnsi="Arial" w:cs="Arial"/>
        </w:rPr>
      </w:pPr>
      <w:r w:rsidRPr="00DD341B">
        <w:rPr>
          <w:rFonts w:ascii="Arial" w:hAnsi="Arial" w:cs="Arial"/>
        </w:rPr>
        <w:t>Wiccan</w:t>
      </w:r>
    </w:p>
    <w:p w14:paraId="521418FC" w14:textId="77777777" w:rsidR="00D301A3" w:rsidRPr="00DD341B" w:rsidRDefault="00D301A3" w:rsidP="00DC54F7">
      <w:pPr>
        <w:pStyle w:val="ListParagraph"/>
        <w:numPr>
          <w:ilvl w:val="0"/>
          <w:numId w:val="173"/>
        </w:numPr>
        <w:spacing w:after="0" w:line="259" w:lineRule="auto"/>
        <w:jc w:val="both"/>
        <w:rPr>
          <w:rFonts w:ascii="Arial" w:hAnsi="Arial" w:cs="Arial"/>
        </w:rPr>
      </w:pPr>
      <w:r w:rsidRPr="00DD341B">
        <w:rPr>
          <w:rFonts w:ascii="Arial" w:hAnsi="Arial" w:cs="Arial"/>
        </w:rPr>
        <w:t>Salvation Army</w:t>
      </w:r>
    </w:p>
    <w:p w14:paraId="19590F30" w14:textId="6AC41F41" w:rsidR="00D301A3" w:rsidRDefault="00D301A3" w:rsidP="00DC54F7">
      <w:pPr>
        <w:spacing w:after="0"/>
        <w:jc w:val="both"/>
        <w:rPr>
          <w:rFonts w:ascii="Arial" w:hAnsi="Arial" w:cs="Arial"/>
        </w:rPr>
      </w:pPr>
    </w:p>
    <w:p w14:paraId="00F00398" w14:textId="13A06119" w:rsidR="001B5C8F" w:rsidRDefault="001B5C8F" w:rsidP="00DC54F7">
      <w:pPr>
        <w:spacing w:after="0"/>
        <w:jc w:val="both"/>
        <w:rPr>
          <w:rFonts w:ascii="Arial" w:hAnsi="Arial" w:cs="Arial"/>
          <w:b/>
          <w:bCs/>
        </w:rPr>
      </w:pPr>
    </w:p>
    <w:p w14:paraId="0AB9AF1D" w14:textId="107F9366" w:rsidR="009B59F3" w:rsidRDefault="009B59F3" w:rsidP="00DC54F7">
      <w:pPr>
        <w:spacing w:after="0"/>
        <w:jc w:val="both"/>
        <w:rPr>
          <w:rFonts w:ascii="Arial" w:hAnsi="Arial" w:cs="Arial"/>
          <w:b/>
          <w:bCs/>
        </w:rPr>
      </w:pPr>
    </w:p>
    <w:p w14:paraId="09467BD0" w14:textId="7008802D" w:rsidR="009B59F3" w:rsidRDefault="009B59F3" w:rsidP="00DC54F7">
      <w:pPr>
        <w:spacing w:after="0"/>
        <w:jc w:val="both"/>
        <w:rPr>
          <w:rFonts w:ascii="Arial" w:hAnsi="Arial" w:cs="Arial"/>
          <w:b/>
          <w:bCs/>
        </w:rPr>
      </w:pPr>
    </w:p>
    <w:p w14:paraId="112A1F3C" w14:textId="17FCEF08" w:rsidR="009B59F3" w:rsidRDefault="009B59F3" w:rsidP="00DC54F7">
      <w:pPr>
        <w:spacing w:after="0"/>
        <w:jc w:val="both"/>
        <w:rPr>
          <w:rFonts w:ascii="Arial" w:hAnsi="Arial" w:cs="Arial"/>
          <w:b/>
          <w:bCs/>
        </w:rPr>
      </w:pPr>
    </w:p>
    <w:p w14:paraId="5D6ABC27" w14:textId="62C1117D" w:rsidR="009B59F3" w:rsidRDefault="009B59F3" w:rsidP="00DC54F7">
      <w:pPr>
        <w:spacing w:after="0"/>
        <w:jc w:val="both"/>
        <w:rPr>
          <w:rFonts w:ascii="Arial" w:hAnsi="Arial" w:cs="Arial"/>
          <w:b/>
          <w:bCs/>
        </w:rPr>
      </w:pPr>
    </w:p>
    <w:p w14:paraId="23C8C2C7" w14:textId="20549FD3" w:rsidR="009B59F3" w:rsidRDefault="009B59F3">
      <w:pPr>
        <w:rPr>
          <w:rFonts w:ascii="Arial" w:hAnsi="Arial" w:cs="Arial"/>
          <w:b/>
          <w:bCs/>
        </w:rPr>
      </w:pPr>
      <w:r>
        <w:rPr>
          <w:rFonts w:ascii="Arial" w:hAnsi="Arial" w:cs="Arial"/>
          <w:b/>
          <w:bCs/>
        </w:rPr>
        <w:br w:type="page"/>
      </w:r>
    </w:p>
    <w:p w14:paraId="38819A93" w14:textId="16CCA100" w:rsidR="001B5C8F" w:rsidRDefault="00D301A3" w:rsidP="00DC54F7">
      <w:pPr>
        <w:spacing w:after="0"/>
        <w:jc w:val="both"/>
        <w:rPr>
          <w:rFonts w:ascii="Arial" w:hAnsi="Arial" w:cs="Arial"/>
          <w:b/>
          <w:bCs/>
        </w:rPr>
      </w:pPr>
      <w:r w:rsidRPr="0088393D">
        <w:rPr>
          <w:rFonts w:ascii="Arial" w:hAnsi="Arial" w:cs="Arial"/>
          <w:b/>
          <w:bCs/>
        </w:rPr>
        <w:lastRenderedPageBreak/>
        <w:t>29. How would you describe your sexual orientation? Please tick one</w:t>
      </w:r>
    </w:p>
    <w:p w14:paraId="434936B2" w14:textId="77777777" w:rsidR="001B5C8F" w:rsidRPr="001B5C8F" w:rsidRDefault="001B5C8F" w:rsidP="00DC54F7">
      <w:pPr>
        <w:spacing w:after="0"/>
        <w:jc w:val="both"/>
        <w:rPr>
          <w:rFonts w:ascii="Arial" w:hAnsi="Arial" w:cs="Arial"/>
          <w:b/>
          <w:bCs/>
        </w:rPr>
      </w:pPr>
    </w:p>
    <w:tbl>
      <w:tblPr>
        <w:tblW w:w="9209" w:type="dxa"/>
        <w:tblLook w:val="04A0" w:firstRow="1" w:lastRow="0" w:firstColumn="1" w:lastColumn="0" w:noHBand="0" w:noVBand="1"/>
      </w:tblPr>
      <w:tblGrid>
        <w:gridCol w:w="960"/>
        <w:gridCol w:w="4847"/>
        <w:gridCol w:w="1276"/>
        <w:gridCol w:w="1134"/>
        <w:gridCol w:w="992"/>
      </w:tblGrid>
      <w:tr w:rsidR="00D301A3" w:rsidRPr="008D05AF" w14:paraId="7AD78386" w14:textId="77777777" w:rsidTr="00AA572E">
        <w:trPr>
          <w:trHeight w:val="290"/>
        </w:trPr>
        <w:tc>
          <w:tcPr>
            <w:tcW w:w="7083" w:type="dxa"/>
            <w:gridSpan w:val="3"/>
            <w:tcBorders>
              <w:top w:val="single" w:sz="4" w:space="0" w:color="A6A6A6"/>
              <w:left w:val="single" w:sz="4" w:space="0" w:color="A6A6A6"/>
              <w:bottom w:val="single" w:sz="4" w:space="0" w:color="A6A6A6"/>
              <w:right w:val="nil"/>
            </w:tcBorders>
            <w:shd w:val="clear" w:color="000000" w:fill="ACB9CA"/>
            <w:noWrap/>
            <w:vAlign w:val="center"/>
            <w:hideMark/>
          </w:tcPr>
          <w:p w14:paraId="4FBE1B71" w14:textId="77777777" w:rsidR="00D301A3" w:rsidRPr="008D05AF" w:rsidRDefault="00D301A3" w:rsidP="00DC54F7">
            <w:pPr>
              <w:spacing w:after="0" w:line="240" w:lineRule="auto"/>
              <w:jc w:val="both"/>
              <w:rPr>
                <w:rFonts w:ascii="Arial" w:eastAsia="Times New Roman" w:hAnsi="Arial" w:cs="Arial"/>
                <w:b/>
                <w:bCs/>
                <w:color w:val="FFFFFF"/>
                <w:sz w:val="21"/>
                <w:szCs w:val="21"/>
                <w:lang w:eastAsia="en-GB"/>
              </w:rPr>
            </w:pPr>
            <w:r w:rsidRPr="008D05AF">
              <w:rPr>
                <w:rFonts w:ascii="Arial" w:eastAsia="Times New Roman" w:hAnsi="Arial" w:cs="Arial"/>
                <w:b/>
                <w:bCs/>
                <w:color w:val="FFFFFF"/>
                <w:sz w:val="21"/>
                <w:szCs w:val="21"/>
                <w:lang w:eastAsia="en-GB"/>
              </w:rPr>
              <w:t> </w:t>
            </w:r>
          </w:p>
        </w:tc>
        <w:tc>
          <w:tcPr>
            <w:tcW w:w="2126" w:type="dxa"/>
            <w:gridSpan w:val="2"/>
            <w:tcBorders>
              <w:top w:val="single" w:sz="4" w:space="0" w:color="A6A6A6"/>
              <w:left w:val="nil"/>
              <w:bottom w:val="single" w:sz="4" w:space="0" w:color="A6A6A6"/>
              <w:right w:val="single" w:sz="4" w:space="0" w:color="A6A6A6"/>
            </w:tcBorders>
            <w:shd w:val="clear" w:color="000000" w:fill="ACB9CA"/>
            <w:noWrap/>
            <w:vAlign w:val="center"/>
            <w:hideMark/>
          </w:tcPr>
          <w:p w14:paraId="4B2F90EC" w14:textId="77777777" w:rsidR="00D301A3" w:rsidRPr="008D05AF" w:rsidRDefault="00D301A3" w:rsidP="00DC54F7">
            <w:pPr>
              <w:spacing w:after="0" w:line="240" w:lineRule="auto"/>
              <w:jc w:val="both"/>
              <w:rPr>
                <w:rFonts w:ascii="Arial" w:eastAsia="Times New Roman" w:hAnsi="Arial" w:cs="Arial"/>
                <w:b/>
                <w:bCs/>
                <w:color w:val="FFFFFF"/>
                <w:sz w:val="21"/>
                <w:szCs w:val="21"/>
                <w:lang w:eastAsia="en-GB"/>
              </w:rPr>
            </w:pPr>
            <w:r w:rsidRPr="008D05AF">
              <w:rPr>
                <w:rFonts w:ascii="Arial" w:eastAsia="Times New Roman" w:hAnsi="Arial" w:cs="Arial"/>
                <w:b/>
                <w:bCs/>
                <w:color w:val="FFFFFF"/>
                <w:sz w:val="21"/>
                <w:szCs w:val="21"/>
                <w:lang w:eastAsia="en-GB"/>
              </w:rPr>
              <w:t>Response</w:t>
            </w:r>
          </w:p>
        </w:tc>
      </w:tr>
      <w:tr w:rsidR="00D301A3" w:rsidRPr="008D05AF" w14:paraId="3FC8B4C9" w14:textId="77777777" w:rsidTr="00AA572E">
        <w:trPr>
          <w:trHeight w:val="290"/>
        </w:trPr>
        <w:tc>
          <w:tcPr>
            <w:tcW w:w="7083"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38DDAB0F" w14:textId="77777777" w:rsidR="00D301A3" w:rsidRPr="008D05AF" w:rsidRDefault="00D301A3" w:rsidP="00DC54F7">
            <w:pPr>
              <w:spacing w:after="0" w:line="240" w:lineRule="auto"/>
              <w:jc w:val="both"/>
              <w:rPr>
                <w:rFonts w:ascii="Arial" w:eastAsia="Times New Roman" w:hAnsi="Arial" w:cs="Arial"/>
                <w:b/>
                <w:bCs/>
                <w:color w:val="000000"/>
                <w:sz w:val="18"/>
                <w:szCs w:val="18"/>
                <w:lang w:eastAsia="en-GB"/>
              </w:rPr>
            </w:pPr>
            <w:r w:rsidRPr="008D05AF">
              <w:rPr>
                <w:rFonts w:ascii="Arial" w:eastAsia="Times New Roman" w:hAnsi="Arial" w:cs="Arial"/>
                <w:b/>
                <w:bCs/>
                <w:color w:val="000000"/>
                <w:sz w:val="18"/>
                <w:szCs w:val="18"/>
                <w:lang w:eastAsia="en-GB"/>
              </w:rPr>
              <w:t> </w:t>
            </w:r>
          </w:p>
        </w:tc>
        <w:tc>
          <w:tcPr>
            <w:tcW w:w="1134" w:type="dxa"/>
            <w:tcBorders>
              <w:top w:val="nil"/>
              <w:left w:val="nil"/>
              <w:bottom w:val="single" w:sz="4" w:space="0" w:color="A6A6A6"/>
              <w:right w:val="single" w:sz="4" w:space="0" w:color="A6A6A6"/>
            </w:tcBorders>
            <w:shd w:val="clear" w:color="000000" w:fill="F2F2F2"/>
            <w:noWrap/>
            <w:vAlign w:val="center"/>
            <w:hideMark/>
          </w:tcPr>
          <w:p w14:paraId="2AF83033" w14:textId="77777777" w:rsidR="00D301A3" w:rsidRPr="008D05AF" w:rsidRDefault="00D301A3" w:rsidP="00DC54F7">
            <w:pPr>
              <w:spacing w:after="0" w:line="240" w:lineRule="auto"/>
              <w:jc w:val="both"/>
              <w:rPr>
                <w:rFonts w:ascii="Arial" w:eastAsia="Times New Roman" w:hAnsi="Arial" w:cs="Arial"/>
                <w:b/>
                <w:bCs/>
                <w:color w:val="000000"/>
                <w:sz w:val="18"/>
                <w:szCs w:val="18"/>
                <w:lang w:eastAsia="en-GB"/>
              </w:rPr>
            </w:pPr>
            <w:r w:rsidRPr="008D05AF">
              <w:rPr>
                <w:rFonts w:ascii="Arial" w:eastAsia="Times New Roman" w:hAnsi="Arial" w:cs="Arial"/>
                <w:b/>
                <w:bCs/>
                <w:color w:val="000000"/>
                <w:sz w:val="18"/>
                <w:szCs w:val="18"/>
                <w:lang w:eastAsia="en-GB"/>
              </w:rPr>
              <w:t>Percent</w:t>
            </w:r>
          </w:p>
        </w:tc>
        <w:tc>
          <w:tcPr>
            <w:tcW w:w="992" w:type="dxa"/>
            <w:tcBorders>
              <w:top w:val="nil"/>
              <w:left w:val="nil"/>
              <w:bottom w:val="single" w:sz="4" w:space="0" w:color="A6A6A6"/>
              <w:right w:val="single" w:sz="4" w:space="0" w:color="A6A6A6"/>
            </w:tcBorders>
            <w:shd w:val="clear" w:color="000000" w:fill="F2F2F2"/>
            <w:noWrap/>
            <w:vAlign w:val="center"/>
            <w:hideMark/>
          </w:tcPr>
          <w:p w14:paraId="0E5DCE86" w14:textId="77777777" w:rsidR="00D301A3" w:rsidRPr="008D05AF" w:rsidRDefault="00D301A3" w:rsidP="00DC54F7">
            <w:pPr>
              <w:spacing w:after="0" w:line="240" w:lineRule="auto"/>
              <w:jc w:val="both"/>
              <w:rPr>
                <w:rFonts w:ascii="Arial" w:eastAsia="Times New Roman" w:hAnsi="Arial" w:cs="Arial"/>
                <w:b/>
                <w:bCs/>
                <w:color w:val="000000"/>
                <w:sz w:val="18"/>
                <w:szCs w:val="18"/>
                <w:lang w:eastAsia="en-GB"/>
              </w:rPr>
            </w:pPr>
            <w:r w:rsidRPr="008D05AF">
              <w:rPr>
                <w:rFonts w:ascii="Arial" w:eastAsia="Times New Roman" w:hAnsi="Arial" w:cs="Arial"/>
                <w:b/>
                <w:bCs/>
                <w:color w:val="000000"/>
                <w:sz w:val="18"/>
                <w:szCs w:val="18"/>
                <w:lang w:eastAsia="en-GB"/>
              </w:rPr>
              <w:t>Total</w:t>
            </w:r>
          </w:p>
        </w:tc>
      </w:tr>
      <w:tr w:rsidR="00D301A3" w:rsidRPr="008D05AF" w14:paraId="4E0EADDB"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1CC4F26" w14:textId="77777777" w:rsidR="00D301A3" w:rsidRPr="008D05AF" w:rsidRDefault="00D301A3" w:rsidP="00DC54F7">
            <w:pPr>
              <w:spacing w:after="0" w:line="240" w:lineRule="auto"/>
              <w:jc w:val="both"/>
              <w:rPr>
                <w:rFonts w:ascii="Arial" w:eastAsia="Times New Roman" w:hAnsi="Arial" w:cs="Arial"/>
                <w:color w:val="000000"/>
                <w:sz w:val="18"/>
                <w:szCs w:val="18"/>
                <w:lang w:eastAsia="en-GB"/>
              </w:rPr>
            </w:pPr>
            <w:r w:rsidRPr="008D05AF">
              <w:rPr>
                <w:rFonts w:ascii="Arial" w:eastAsia="Times New Roman" w:hAnsi="Arial" w:cs="Arial"/>
                <w:color w:val="000000"/>
                <w:sz w:val="18"/>
                <w:szCs w:val="18"/>
                <w:lang w:eastAsia="en-GB"/>
              </w:rPr>
              <w:t>1</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66052D42" w14:textId="77777777" w:rsidR="00D301A3" w:rsidRPr="008D05AF" w:rsidRDefault="00D301A3" w:rsidP="00DC54F7">
            <w:pPr>
              <w:spacing w:after="0" w:line="240" w:lineRule="auto"/>
              <w:jc w:val="both"/>
              <w:rPr>
                <w:rFonts w:ascii="Arial" w:eastAsia="Times New Roman" w:hAnsi="Arial" w:cs="Arial"/>
                <w:color w:val="000000"/>
                <w:sz w:val="18"/>
                <w:szCs w:val="18"/>
                <w:lang w:eastAsia="en-GB"/>
              </w:rPr>
            </w:pPr>
            <w:r w:rsidRPr="008D05AF">
              <w:rPr>
                <w:rFonts w:ascii="Arial" w:eastAsia="Times New Roman" w:hAnsi="Arial" w:cs="Arial"/>
                <w:color w:val="000000"/>
                <w:sz w:val="18"/>
                <w:szCs w:val="18"/>
                <w:lang w:eastAsia="en-GB"/>
              </w:rPr>
              <w:t>Bisexual</w:t>
            </w:r>
          </w:p>
        </w:tc>
        <w:tc>
          <w:tcPr>
            <w:tcW w:w="1134" w:type="dxa"/>
            <w:tcBorders>
              <w:top w:val="nil"/>
              <w:left w:val="nil"/>
              <w:bottom w:val="single" w:sz="4" w:space="0" w:color="A6A6A6"/>
              <w:right w:val="single" w:sz="4" w:space="0" w:color="A6A6A6"/>
            </w:tcBorders>
            <w:shd w:val="clear" w:color="000000" w:fill="F2F2F2"/>
            <w:noWrap/>
            <w:vAlign w:val="bottom"/>
            <w:hideMark/>
          </w:tcPr>
          <w:p w14:paraId="6FA62F9D" w14:textId="77777777" w:rsidR="00D301A3" w:rsidRPr="008D05AF" w:rsidRDefault="00D301A3" w:rsidP="00DC54F7">
            <w:pPr>
              <w:spacing w:after="0" w:line="240" w:lineRule="auto"/>
              <w:jc w:val="both"/>
              <w:rPr>
                <w:rFonts w:ascii="Calibri" w:eastAsia="Times New Roman" w:hAnsi="Calibri" w:cs="Calibri"/>
                <w:color w:val="000000"/>
                <w:lang w:eastAsia="en-GB"/>
              </w:rPr>
            </w:pPr>
            <w:r w:rsidRPr="008D05AF">
              <w:rPr>
                <w:rFonts w:ascii="Calibri" w:eastAsia="Times New Roman" w:hAnsi="Calibri" w:cs="Calibri"/>
                <w:color w:val="000000"/>
                <w:lang w:eastAsia="en-GB"/>
              </w:rPr>
              <w:t>2.96%</w:t>
            </w:r>
          </w:p>
        </w:tc>
        <w:tc>
          <w:tcPr>
            <w:tcW w:w="992" w:type="dxa"/>
            <w:tcBorders>
              <w:top w:val="nil"/>
              <w:left w:val="nil"/>
              <w:bottom w:val="single" w:sz="4" w:space="0" w:color="A6A6A6"/>
              <w:right w:val="single" w:sz="4" w:space="0" w:color="A6A6A6"/>
            </w:tcBorders>
            <w:shd w:val="clear" w:color="000000" w:fill="F2F2F2"/>
            <w:noWrap/>
            <w:vAlign w:val="bottom"/>
            <w:hideMark/>
          </w:tcPr>
          <w:p w14:paraId="557D96CA" w14:textId="77777777" w:rsidR="00D301A3" w:rsidRPr="008D05AF" w:rsidRDefault="00D301A3" w:rsidP="00DC54F7">
            <w:pPr>
              <w:spacing w:after="0" w:line="240" w:lineRule="auto"/>
              <w:jc w:val="both"/>
              <w:rPr>
                <w:rFonts w:ascii="Calibri" w:eastAsia="Times New Roman" w:hAnsi="Calibri" w:cs="Calibri"/>
                <w:color w:val="000000"/>
                <w:lang w:eastAsia="en-GB"/>
              </w:rPr>
            </w:pPr>
            <w:r w:rsidRPr="008D05AF">
              <w:rPr>
                <w:rFonts w:ascii="Calibri" w:eastAsia="Times New Roman" w:hAnsi="Calibri" w:cs="Calibri"/>
                <w:color w:val="000000"/>
                <w:lang w:eastAsia="en-GB"/>
              </w:rPr>
              <w:t>9</w:t>
            </w:r>
          </w:p>
        </w:tc>
      </w:tr>
      <w:tr w:rsidR="00D301A3" w:rsidRPr="008D05AF" w14:paraId="7ACB23BE"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243088AC" w14:textId="77777777" w:rsidR="00D301A3" w:rsidRPr="008D05AF" w:rsidRDefault="00D301A3" w:rsidP="00DC54F7">
            <w:pPr>
              <w:spacing w:after="0" w:line="240" w:lineRule="auto"/>
              <w:jc w:val="both"/>
              <w:rPr>
                <w:rFonts w:ascii="Arial" w:eastAsia="Times New Roman" w:hAnsi="Arial" w:cs="Arial"/>
                <w:color w:val="000000"/>
                <w:sz w:val="18"/>
                <w:szCs w:val="18"/>
                <w:lang w:eastAsia="en-GB"/>
              </w:rPr>
            </w:pPr>
            <w:r w:rsidRPr="008D05AF">
              <w:rPr>
                <w:rFonts w:ascii="Arial" w:eastAsia="Times New Roman" w:hAnsi="Arial" w:cs="Arial"/>
                <w:color w:val="000000"/>
                <w:sz w:val="18"/>
                <w:szCs w:val="18"/>
                <w:lang w:eastAsia="en-GB"/>
              </w:rPr>
              <w:t>2</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74F7E75A" w14:textId="77777777" w:rsidR="00D301A3" w:rsidRPr="008D05AF" w:rsidRDefault="00D301A3" w:rsidP="00DC54F7">
            <w:pPr>
              <w:spacing w:after="0" w:line="240" w:lineRule="auto"/>
              <w:jc w:val="both"/>
              <w:rPr>
                <w:rFonts w:ascii="Arial" w:eastAsia="Times New Roman" w:hAnsi="Arial" w:cs="Arial"/>
                <w:color w:val="000000"/>
                <w:sz w:val="18"/>
                <w:szCs w:val="18"/>
                <w:lang w:eastAsia="en-GB"/>
              </w:rPr>
            </w:pPr>
            <w:r w:rsidRPr="008D05AF">
              <w:rPr>
                <w:rFonts w:ascii="Arial" w:eastAsia="Times New Roman" w:hAnsi="Arial" w:cs="Arial"/>
                <w:color w:val="000000"/>
                <w:sz w:val="18"/>
                <w:szCs w:val="18"/>
                <w:lang w:eastAsia="en-GB"/>
              </w:rPr>
              <w:t>Gay woman/ Lesbian</w:t>
            </w:r>
          </w:p>
        </w:tc>
        <w:tc>
          <w:tcPr>
            <w:tcW w:w="1134" w:type="dxa"/>
            <w:tcBorders>
              <w:top w:val="nil"/>
              <w:left w:val="nil"/>
              <w:bottom w:val="single" w:sz="4" w:space="0" w:color="A6A6A6"/>
              <w:right w:val="single" w:sz="4" w:space="0" w:color="A6A6A6"/>
            </w:tcBorders>
            <w:shd w:val="clear" w:color="000000" w:fill="F2F2F2"/>
            <w:noWrap/>
            <w:vAlign w:val="bottom"/>
            <w:hideMark/>
          </w:tcPr>
          <w:p w14:paraId="657362BA" w14:textId="77777777" w:rsidR="00D301A3" w:rsidRPr="008D05AF" w:rsidRDefault="00D301A3" w:rsidP="00DC54F7">
            <w:pPr>
              <w:spacing w:after="0" w:line="240" w:lineRule="auto"/>
              <w:jc w:val="both"/>
              <w:rPr>
                <w:rFonts w:ascii="Calibri" w:eastAsia="Times New Roman" w:hAnsi="Calibri" w:cs="Calibri"/>
                <w:color w:val="000000"/>
                <w:lang w:eastAsia="en-GB"/>
              </w:rPr>
            </w:pPr>
            <w:r w:rsidRPr="008D05AF">
              <w:rPr>
                <w:rFonts w:ascii="Calibri" w:eastAsia="Times New Roman" w:hAnsi="Calibri" w:cs="Calibri"/>
                <w:color w:val="000000"/>
                <w:lang w:eastAsia="en-GB"/>
              </w:rPr>
              <w:t>1.64%</w:t>
            </w:r>
          </w:p>
        </w:tc>
        <w:tc>
          <w:tcPr>
            <w:tcW w:w="992" w:type="dxa"/>
            <w:tcBorders>
              <w:top w:val="nil"/>
              <w:left w:val="nil"/>
              <w:bottom w:val="single" w:sz="4" w:space="0" w:color="A6A6A6"/>
              <w:right w:val="single" w:sz="4" w:space="0" w:color="A6A6A6"/>
            </w:tcBorders>
            <w:shd w:val="clear" w:color="000000" w:fill="F2F2F2"/>
            <w:noWrap/>
            <w:vAlign w:val="bottom"/>
            <w:hideMark/>
          </w:tcPr>
          <w:p w14:paraId="169F5D4D" w14:textId="77777777" w:rsidR="00D301A3" w:rsidRPr="008D05AF" w:rsidRDefault="00D301A3" w:rsidP="00DC54F7">
            <w:pPr>
              <w:spacing w:after="0" w:line="240" w:lineRule="auto"/>
              <w:jc w:val="both"/>
              <w:rPr>
                <w:rFonts w:ascii="Calibri" w:eastAsia="Times New Roman" w:hAnsi="Calibri" w:cs="Calibri"/>
                <w:color w:val="000000"/>
                <w:lang w:eastAsia="en-GB"/>
              </w:rPr>
            </w:pPr>
            <w:r w:rsidRPr="008D05AF">
              <w:rPr>
                <w:rFonts w:ascii="Calibri" w:eastAsia="Times New Roman" w:hAnsi="Calibri" w:cs="Calibri"/>
                <w:color w:val="000000"/>
                <w:lang w:eastAsia="en-GB"/>
              </w:rPr>
              <w:t>5</w:t>
            </w:r>
          </w:p>
        </w:tc>
      </w:tr>
      <w:tr w:rsidR="00D301A3" w:rsidRPr="008D05AF" w14:paraId="50B3E217"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5E2728E2" w14:textId="77777777" w:rsidR="00D301A3" w:rsidRPr="008D05AF" w:rsidRDefault="00D301A3" w:rsidP="00DC54F7">
            <w:pPr>
              <w:spacing w:after="0" w:line="240" w:lineRule="auto"/>
              <w:jc w:val="both"/>
              <w:rPr>
                <w:rFonts w:ascii="Arial" w:eastAsia="Times New Roman" w:hAnsi="Arial" w:cs="Arial"/>
                <w:color w:val="000000"/>
                <w:sz w:val="18"/>
                <w:szCs w:val="18"/>
                <w:lang w:eastAsia="en-GB"/>
              </w:rPr>
            </w:pPr>
            <w:r w:rsidRPr="008D05AF">
              <w:rPr>
                <w:rFonts w:ascii="Arial" w:eastAsia="Times New Roman" w:hAnsi="Arial" w:cs="Arial"/>
                <w:color w:val="000000"/>
                <w:sz w:val="18"/>
                <w:szCs w:val="18"/>
                <w:lang w:eastAsia="en-GB"/>
              </w:rPr>
              <w:t>3</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1F583F7E" w14:textId="77777777" w:rsidR="00D301A3" w:rsidRPr="008D05AF" w:rsidRDefault="00D301A3" w:rsidP="00DC54F7">
            <w:pPr>
              <w:spacing w:after="0" w:line="240" w:lineRule="auto"/>
              <w:jc w:val="both"/>
              <w:rPr>
                <w:rFonts w:ascii="Arial" w:eastAsia="Times New Roman" w:hAnsi="Arial" w:cs="Arial"/>
                <w:color w:val="000000"/>
                <w:sz w:val="18"/>
                <w:szCs w:val="18"/>
                <w:lang w:eastAsia="en-GB"/>
              </w:rPr>
            </w:pPr>
            <w:r w:rsidRPr="008D05AF">
              <w:rPr>
                <w:rFonts w:ascii="Arial" w:eastAsia="Times New Roman" w:hAnsi="Arial" w:cs="Arial"/>
                <w:color w:val="000000"/>
                <w:sz w:val="18"/>
                <w:szCs w:val="18"/>
                <w:lang w:eastAsia="en-GB"/>
              </w:rPr>
              <w:t>Gay man</w:t>
            </w:r>
          </w:p>
        </w:tc>
        <w:tc>
          <w:tcPr>
            <w:tcW w:w="1134" w:type="dxa"/>
            <w:tcBorders>
              <w:top w:val="nil"/>
              <w:left w:val="nil"/>
              <w:bottom w:val="single" w:sz="4" w:space="0" w:color="A6A6A6"/>
              <w:right w:val="single" w:sz="4" w:space="0" w:color="A6A6A6"/>
            </w:tcBorders>
            <w:shd w:val="clear" w:color="000000" w:fill="F2F2F2"/>
            <w:noWrap/>
            <w:vAlign w:val="bottom"/>
            <w:hideMark/>
          </w:tcPr>
          <w:p w14:paraId="17889300" w14:textId="77777777" w:rsidR="00D301A3" w:rsidRPr="008D05AF" w:rsidRDefault="00D301A3" w:rsidP="00DC54F7">
            <w:pPr>
              <w:spacing w:after="0" w:line="240" w:lineRule="auto"/>
              <w:jc w:val="both"/>
              <w:rPr>
                <w:rFonts w:ascii="Calibri" w:eastAsia="Times New Roman" w:hAnsi="Calibri" w:cs="Calibri"/>
                <w:color w:val="000000"/>
                <w:lang w:eastAsia="en-GB"/>
              </w:rPr>
            </w:pPr>
            <w:r w:rsidRPr="008D05AF">
              <w:rPr>
                <w:rFonts w:ascii="Calibri" w:eastAsia="Times New Roman" w:hAnsi="Calibri" w:cs="Calibri"/>
                <w:color w:val="000000"/>
                <w:lang w:eastAsia="en-GB"/>
              </w:rPr>
              <w:t>1.97%</w:t>
            </w:r>
          </w:p>
        </w:tc>
        <w:tc>
          <w:tcPr>
            <w:tcW w:w="992" w:type="dxa"/>
            <w:tcBorders>
              <w:top w:val="nil"/>
              <w:left w:val="nil"/>
              <w:bottom w:val="single" w:sz="4" w:space="0" w:color="A6A6A6"/>
              <w:right w:val="single" w:sz="4" w:space="0" w:color="A6A6A6"/>
            </w:tcBorders>
            <w:shd w:val="clear" w:color="000000" w:fill="F2F2F2"/>
            <w:noWrap/>
            <w:vAlign w:val="bottom"/>
            <w:hideMark/>
          </w:tcPr>
          <w:p w14:paraId="6D7C32C0" w14:textId="77777777" w:rsidR="00D301A3" w:rsidRPr="008D05AF" w:rsidRDefault="00D301A3" w:rsidP="00DC54F7">
            <w:pPr>
              <w:spacing w:after="0" w:line="240" w:lineRule="auto"/>
              <w:jc w:val="both"/>
              <w:rPr>
                <w:rFonts w:ascii="Calibri" w:eastAsia="Times New Roman" w:hAnsi="Calibri" w:cs="Calibri"/>
                <w:color w:val="000000"/>
                <w:lang w:eastAsia="en-GB"/>
              </w:rPr>
            </w:pPr>
            <w:r w:rsidRPr="008D05AF">
              <w:rPr>
                <w:rFonts w:ascii="Calibri" w:eastAsia="Times New Roman" w:hAnsi="Calibri" w:cs="Calibri"/>
                <w:color w:val="000000"/>
                <w:lang w:eastAsia="en-GB"/>
              </w:rPr>
              <w:t>6</w:t>
            </w:r>
          </w:p>
        </w:tc>
      </w:tr>
      <w:tr w:rsidR="00D301A3" w:rsidRPr="008D05AF" w14:paraId="7F5B9EF0"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FF56D64" w14:textId="77777777" w:rsidR="00D301A3" w:rsidRPr="008D05AF" w:rsidRDefault="00D301A3" w:rsidP="00DC54F7">
            <w:pPr>
              <w:spacing w:after="0" w:line="240" w:lineRule="auto"/>
              <w:jc w:val="both"/>
              <w:rPr>
                <w:rFonts w:ascii="Arial" w:eastAsia="Times New Roman" w:hAnsi="Arial" w:cs="Arial"/>
                <w:color w:val="000000"/>
                <w:sz w:val="18"/>
                <w:szCs w:val="18"/>
                <w:lang w:eastAsia="en-GB"/>
              </w:rPr>
            </w:pPr>
            <w:r w:rsidRPr="008D05AF">
              <w:rPr>
                <w:rFonts w:ascii="Arial" w:eastAsia="Times New Roman" w:hAnsi="Arial" w:cs="Arial"/>
                <w:color w:val="000000"/>
                <w:sz w:val="18"/>
                <w:szCs w:val="18"/>
                <w:lang w:eastAsia="en-GB"/>
              </w:rPr>
              <w:t>4</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2572516C" w14:textId="77777777" w:rsidR="00D301A3" w:rsidRPr="008D05AF" w:rsidRDefault="00D301A3" w:rsidP="00DC54F7">
            <w:pPr>
              <w:spacing w:after="0" w:line="240" w:lineRule="auto"/>
              <w:jc w:val="both"/>
              <w:rPr>
                <w:rFonts w:ascii="Arial" w:eastAsia="Times New Roman" w:hAnsi="Arial" w:cs="Arial"/>
                <w:color w:val="000000"/>
                <w:sz w:val="18"/>
                <w:szCs w:val="18"/>
                <w:lang w:eastAsia="en-GB"/>
              </w:rPr>
            </w:pPr>
            <w:r w:rsidRPr="008D05AF">
              <w:rPr>
                <w:rFonts w:ascii="Arial" w:eastAsia="Times New Roman" w:hAnsi="Arial" w:cs="Arial"/>
                <w:color w:val="000000"/>
                <w:sz w:val="18"/>
                <w:szCs w:val="18"/>
                <w:lang w:eastAsia="en-GB"/>
              </w:rPr>
              <w:t>Heterosexual/ Straight</w:t>
            </w:r>
          </w:p>
        </w:tc>
        <w:tc>
          <w:tcPr>
            <w:tcW w:w="1134" w:type="dxa"/>
            <w:tcBorders>
              <w:top w:val="nil"/>
              <w:left w:val="nil"/>
              <w:bottom w:val="single" w:sz="4" w:space="0" w:color="A6A6A6"/>
              <w:right w:val="single" w:sz="4" w:space="0" w:color="A6A6A6"/>
            </w:tcBorders>
            <w:shd w:val="clear" w:color="000000" w:fill="F2F2F2"/>
            <w:noWrap/>
            <w:vAlign w:val="bottom"/>
            <w:hideMark/>
          </w:tcPr>
          <w:p w14:paraId="2DAA69A3" w14:textId="77777777" w:rsidR="00D301A3" w:rsidRPr="008D05AF" w:rsidRDefault="00D301A3" w:rsidP="00DC54F7">
            <w:pPr>
              <w:spacing w:after="0" w:line="240" w:lineRule="auto"/>
              <w:jc w:val="both"/>
              <w:rPr>
                <w:rFonts w:ascii="Calibri" w:eastAsia="Times New Roman" w:hAnsi="Calibri" w:cs="Calibri"/>
                <w:color w:val="000000"/>
                <w:lang w:eastAsia="en-GB"/>
              </w:rPr>
            </w:pPr>
            <w:r w:rsidRPr="008D05AF">
              <w:rPr>
                <w:rFonts w:ascii="Calibri" w:eastAsia="Times New Roman" w:hAnsi="Calibri" w:cs="Calibri"/>
                <w:color w:val="000000"/>
                <w:lang w:eastAsia="en-GB"/>
              </w:rPr>
              <w:t>87.83%</w:t>
            </w:r>
          </w:p>
        </w:tc>
        <w:tc>
          <w:tcPr>
            <w:tcW w:w="992" w:type="dxa"/>
            <w:tcBorders>
              <w:top w:val="nil"/>
              <w:left w:val="nil"/>
              <w:bottom w:val="single" w:sz="4" w:space="0" w:color="A6A6A6"/>
              <w:right w:val="single" w:sz="4" w:space="0" w:color="A6A6A6"/>
            </w:tcBorders>
            <w:shd w:val="clear" w:color="000000" w:fill="F2F2F2"/>
            <w:noWrap/>
            <w:vAlign w:val="bottom"/>
            <w:hideMark/>
          </w:tcPr>
          <w:p w14:paraId="7DA35E0A" w14:textId="77777777" w:rsidR="00D301A3" w:rsidRPr="008D05AF" w:rsidRDefault="00D301A3" w:rsidP="00DC54F7">
            <w:pPr>
              <w:spacing w:after="0" w:line="240" w:lineRule="auto"/>
              <w:jc w:val="both"/>
              <w:rPr>
                <w:rFonts w:ascii="Calibri" w:eastAsia="Times New Roman" w:hAnsi="Calibri" w:cs="Calibri"/>
                <w:color w:val="000000"/>
                <w:lang w:eastAsia="en-GB"/>
              </w:rPr>
            </w:pPr>
            <w:r w:rsidRPr="008D05AF">
              <w:rPr>
                <w:rFonts w:ascii="Calibri" w:eastAsia="Times New Roman" w:hAnsi="Calibri" w:cs="Calibri"/>
                <w:color w:val="000000"/>
                <w:lang w:eastAsia="en-GB"/>
              </w:rPr>
              <w:t>267</w:t>
            </w:r>
          </w:p>
        </w:tc>
      </w:tr>
      <w:tr w:rsidR="00D301A3" w:rsidRPr="008D05AF" w14:paraId="13E52A32"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78ED6062" w14:textId="77777777" w:rsidR="00D301A3" w:rsidRPr="008D05AF" w:rsidRDefault="00D301A3" w:rsidP="00DC54F7">
            <w:pPr>
              <w:spacing w:after="0" w:line="240" w:lineRule="auto"/>
              <w:jc w:val="both"/>
              <w:rPr>
                <w:rFonts w:ascii="Arial" w:eastAsia="Times New Roman" w:hAnsi="Arial" w:cs="Arial"/>
                <w:color w:val="000000"/>
                <w:sz w:val="18"/>
                <w:szCs w:val="18"/>
                <w:lang w:eastAsia="en-GB"/>
              </w:rPr>
            </w:pPr>
            <w:r w:rsidRPr="008D05AF">
              <w:rPr>
                <w:rFonts w:ascii="Arial" w:eastAsia="Times New Roman" w:hAnsi="Arial" w:cs="Arial"/>
                <w:color w:val="000000"/>
                <w:sz w:val="18"/>
                <w:szCs w:val="18"/>
                <w:lang w:eastAsia="en-GB"/>
              </w:rPr>
              <w:t>5</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459791E7" w14:textId="77777777" w:rsidR="00D301A3" w:rsidRPr="008D05AF" w:rsidRDefault="00D301A3" w:rsidP="00DC54F7">
            <w:pPr>
              <w:spacing w:after="0" w:line="240" w:lineRule="auto"/>
              <w:jc w:val="both"/>
              <w:rPr>
                <w:rFonts w:ascii="Arial" w:eastAsia="Times New Roman" w:hAnsi="Arial" w:cs="Arial"/>
                <w:color w:val="000000"/>
                <w:sz w:val="18"/>
                <w:szCs w:val="18"/>
                <w:lang w:eastAsia="en-GB"/>
              </w:rPr>
            </w:pPr>
            <w:r w:rsidRPr="008D05AF">
              <w:rPr>
                <w:rFonts w:ascii="Arial" w:eastAsia="Times New Roman" w:hAnsi="Arial" w:cs="Arial"/>
                <w:color w:val="000000"/>
                <w:sz w:val="18"/>
                <w:szCs w:val="18"/>
                <w:lang w:eastAsia="en-GB"/>
              </w:rPr>
              <w:t>Prefer not to say</w:t>
            </w:r>
          </w:p>
        </w:tc>
        <w:tc>
          <w:tcPr>
            <w:tcW w:w="1134" w:type="dxa"/>
            <w:tcBorders>
              <w:top w:val="nil"/>
              <w:left w:val="nil"/>
              <w:bottom w:val="single" w:sz="4" w:space="0" w:color="A6A6A6"/>
              <w:right w:val="single" w:sz="4" w:space="0" w:color="A6A6A6"/>
            </w:tcBorders>
            <w:shd w:val="clear" w:color="000000" w:fill="F2F2F2"/>
            <w:noWrap/>
            <w:vAlign w:val="bottom"/>
            <w:hideMark/>
          </w:tcPr>
          <w:p w14:paraId="62C51FF6" w14:textId="77777777" w:rsidR="00D301A3" w:rsidRPr="008D05AF" w:rsidRDefault="00D301A3" w:rsidP="00DC54F7">
            <w:pPr>
              <w:spacing w:after="0" w:line="240" w:lineRule="auto"/>
              <w:jc w:val="both"/>
              <w:rPr>
                <w:rFonts w:ascii="Calibri" w:eastAsia="Times New Roman" w:hAnsi="Calibri" w:cs="Calibri"/>
                <w:color w:val="000000"/>
                <w:lang w:eastAsia="en-GB"/>
              </w:rPr>
            </w:pPr>
            <w:r w:rsidRPr="008D05AF">
              <w:rPr>
                <w:rFonts w:ascii="Calibri" w:eastAsia="Times New Roman" w:hAnsi="Calibri" w:cs="Calibri"/>
                <w:color w:val="000000"/>
                <w:lang w:eastAsia="en-GB"/>
              </w:rPr>
              <w:t>5.59%</w:t>
            </w:r>
          </w:p>
        </w:tc>
        <w:tc>
          <w:tcPr>
            <w:tcW w:w="992" w:type="dxa"/>
            <w:tcBorders>
              <w:top w:val="nil"/>
              <w:left w:val="nil"/>
              <w:bottom w:val="single" w:sz="4" w:space="0" w:color="A6A6A6"/>
              <w:right w:val="single" w:sz="4" w:space="0" w:color="A6A6A6"/>
            </w:tcBorders>
            <w:shd w:val="clear" w:color="000000" w:fill="F2F2F2"/>
            <w:noWrap/>
            <w:vAlign w:val="bottom"/>
            <w:hideMark/>
          </w:tcPr>
          <w:p w14:paraId="3F68006D" w14:textId="77777777" w:rsidR="00D301A3" w:rsidRPr="008D05AF" w:rsidRDefault="00D301A3" w:rsidP="00DC54F7">
            <w:pPr>
              <w:spacing w:after="0" w:line="240" w:lineRule="auto"/>
              <w:jc w:val="both"/>
              <w:rPr>
                <w:rFonts w:ascii="Calibri" w:eastAsia="Times New Roman" w:hAnsi="Calibri" w:cs="Calibri"/>
                <w:color w:val="000000"/>
                <w:lang w:eastAsia="en-GB"/>
              </w:rPr>
            </w:pPr>
            <w:r w:rsidRPr="008D05AF">
              <w:rPr>
                <w:rFonts w:ascii="Calibri" w:eastAsia="Times New Roman" w:hAnsi="Calibri" w:cs="Calibri"/>
                <w:color w:val="000000"/>
                <w:lang w:eastAsia="en-GB"/>
              </w:rPr>
              <w:t>17</w:t>
            </w:r>
          </w:p>
        </w:tc>
      </w:tr>
      <w:tr w:rsidR="00D301A3" w:rsidRPr="008D05AF" w14:paraId="7988D43D"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59907669" w14:textId="77777777" w:rsidR="00D301A3" w:rsidRPr="008D05AF" w:rsidRDefault="00D301A3" w:rsidP="00DC54F7">
            <w:pPr>
              <w:spacing w:after="0" w:line="240" w:lineRule="auto"/>
              <w:jc w:val="both"/>
              <w:rPr>
                <w:rFonts w:ascii="Arial" w:eastAsia="Times New Roman" w:hAnsi="Arial" w:cs="Arial"/>
                <w:color w:val="000000"/>
                <w:sz w:val="18"/>
                <w:szCs w:val="18"/>
                <w:lang w:eastAsia="en-GB"/>
              </w:rPr>
            </w:pPr>
            <w:r w:rsidRPr="008D05AF">
              <w:rPr>
                <w:rFonts w:ascii="Arial" w:eastAsia="Times New Roman" w:hAnsi="Arial" w:cs="Arial"/>
                <w:color w:val="000000"/>
                <w:sz w:val="18"/>
                <w:szCs w:val="18"/>
                <w:lang w:eastAsia="en-GB"/>
              </w:rPr>
              <w:t>6</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161B8778" w14:textId="77777777" w:rsidR="00D301A3" w:rsidRPr="008D05AF" w:rsidRDefault="00D301A3" w:rsidP="00DC54F7">
            <w:pPr>
              <w:spacing w:after="0" w:line="240" w:lineRule="auto"/>
              <w:jc w:val="both"/>
              <w:rPr>
                <w:rFonts w:ascii="Arial" w:eastAsia="Times New Roman" w:hAnsi="Arial" w:cs="Arial"/>
                <w:color w:val="000000"/>
                <w:sz w:val="18"/>
                <w:szCs w:val="18"/>
                <w:lang w:eastAsia="en-GB"/>
              </w:rPr>
            </w:pPr>
            <w:r w:rsidRPr="008D05AF">
              <w:rPr>
                <w:rFonts w:ascii="Arial" w:eastAsia="Times New Roman" w:hAnsi="Arial" w:cs="Arial"/>
                <w:color w:val="000000"/>
                <w:sz w:val="18"/>
                <w:szCs w:val="18"/>
                <w:lang w:eastAsia="en-GB"/>
              </w:rPr>
              <w:t>Other (please specify):</w:t>
            </w:r>
          </w:p>
        </w:tc>
        <w:tc>
          <w:tcPr>
            <w:tcW w:w="1134" w:type="dxa"/>
            <w:tcBorders>
              <w:top w:val="nil"/>
              <w:left w:val="nil"/>
              <w:bottom w:val="single" w:sz="4" w:space="0" w:color="A6A6A6"/>
              <w:right w:val="single" w:sz="4" w:space="0" w:color="A6A6A6"/>
            </w:tcBorders>
            <w:shd w:val="clear" w:color="000000" w:fill="F2F2F2"/>
            <w:noWrap/>
            <w:vAlign w:val="bottom"/>
            <w:hideMark/>
          </w:tcPr>
          <w:p w14:paraId="3928BA98" w14:textId="77777777" w:rsidR="00D301A3" w:rsidRPr="008D05AF" w:rsidRDefault="00D301A3" w:rsidP="00DC54F7">
            <w:pPr>
              <w:spacing w:after="0" w:line="240" w:lineRule="auto"/>
              <w:jc w:val="both"/>
              <w:rPr>
                <w:rFonts w:ascii="Calibri" w:eastAsia="Times New Roman" w:hAnsi="Calibri" w:cs="Calibri"/>
                <w:color w:val="000000"/>
                <w:lang w:eastAsia="en-GB"/>
              </w:rPr>
            </w:pPr>
            <w:r w:rsidRPr="008D05AF">
              <w:rPr>
                <w:rFonts w:ascii="Calibri" w:eastAsia="Times New Roman" w:hAnsi="Calibri" w:cs="Calibri"/>
                <w:color w:val="000000"/>
                <w:lang w:eastAsia="en-GB"/>
              </w:rPr>
              <w:t>0.00%</w:t>
            </w:r>
          </w:p>
        </w:tc>
        <w:tc>
          <w:tcPr>
            <w:tcW w:w="992" w:type="dxa"/>
            <w:tcBorders>
              <w:top w:val="nil"/>
              <w:left w:val="nil"/>
              <w:bottom w:val="single" w:sz="4" w:space="0" w:color="A6A6A6"/>
              <w:right w:val="single" w:sz="4" w:space="0" w:color="A6A6A6"/>
            </w:tcBorders>
            <w:shd w:val="clear" w:color="000000" w:fill="F2F2F2"/>
            <w:noWrap/>
            <w:vAlign w:val="bottom"/>
            <w:hideMark/>
          </w:tcPr>
          <w:p w14:paraId="6A8B354E" w14:textId="77777777" w:rsidR="00D301A3" w:rsidRPr="008D05AF" w:rsidRDefault="00D301A3" w:rsidP="00DC54F7">
            <w:pPr>
              <w:spacing w:after="0" w:line="240" w:lineRule="auto"/>
              <w:jc w:val="both"/>
              <w:rPr>
                <w:rFonts w:ascii="Calibri" w:eastAsia="Times New Roman" w:hAnsi="Calibri" w:cs="Calibri"/>
                <w:color w:val="000000"/>
                <w:lang w:eastAsia="en-GB"/>
              </w:rPr>
            </w:pPr>
            <w:r w:rsidRPr="008D05AF">
              <w:rPr>
                <w:rFonts w:ascii="Calibri" w:eastAsia="Times New Roman" w:hAnsi="Calibri" w:cs="Calibri"/>
                <w:color w:val="000000"/>
                <w:lang w:eastAsia="en-GB"/>
              </w:rPr>
              <w:t>0</w:t>
            </w:r>
          </w:p>
        </w:tc>
      </w:tr>
      <w:tr w:rsidR="00D301A3" w:rsidRPr="008D05AF" w14:paraId="176D098D" w14:textId="77777777" w:rsidTr="00AA572E">
        <w:trPr>
          <w:trHeight w:val="290"/>
        </w:trPr>
        <w:tc>
          <w:tcPr>
            <w:tcW w:w="5807"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11431F60" w14:textId="77777777" w:rsidR="00D301A3" w:rsidRPr="008D05AF" w:rsidRDefault="00D301A3" w:rsidP="00DC54F7">
            <w:pPr>
              <w:spacing w:after="0" w:line="240" w:lineRule="auto"/>
              <w:jc w:val="both"/>
              <w:rPr>
                <w:rFonts w:ascii="Arial" w:eastAsia="Times New Roman" w:hAnsi="Arial" w:cs="Arial"/>
                <w:b/>
                <w:bCs/>
                <w:color w:val="000000"/>
                <w:lang w:eastAsia="en-GB"/>
              </w:rPr>
            </w:pPr>
            <w:r w:rsidRPr="008D05AF">
              <w:rPr>
                <w:rFonts w:ascii="Arial" w:eastAsia="Times New Roman" w:hAnsi="Arial" w:cs="Arial"/>
                <w:b/>
                <w:bCs/>
                <w:color w:val="000000"/>
                <w:lang w:eastAsia="en-GB"/>
              </w:rPr>
              <w:t> </w:t>
            </w:r>
          </w:p>
        </w:tc>
        <w:tc>
          <w:tcPr>
            <w:tcW w:w="1276" w:type="dxa"/>
            <w:tcBorders>
              <w:top w:val="nil"/>
              <w:left w:val="nil"/>
              <w:bottom w:val="single" w:sz="4" w:space="0" w:color="A6A6A6"/>
              <w:right w:val="single" w:sz="4" w:space="0" w:color="A6A6A6"/>
            </w:tcBorders>
            <w:shd w:val="clear" w:color="000000" w:fill="F2F2F2"/>
            <w:vAlign w:val="center"/>
            <w:hideMark/>
          </w:tcPr>
          <w:p w14:paraId="5717590D" w14:textId="77777777" w:rsidR="00D301A3" w:rsidRPr="008D05AF" w:rsidRDefault="00D301A3" w:rsidP="00DC54F7">
            <w:pPr>
              <w:spacing w:after="0" w:line="240" w:lineRule="auto"/>
              <w:jc w:val="both"/>
              <w:rPr>
                <w:rFonts w:ascii="Arial" w:eastAsia="Times New Roman" w:hAnsi="Arial" w:cs="Arial"/>
                <w:b/>
                <w:bCs/>
                <w:color w:val="000000"/>
                <w:sz w:val="18"/>
                <w:szCs w:val="18"/>
                <w:lang w:eastAsia="en-GB"/>
              </w:rPr>
            </w:pPr>
            <w:r w:rsidRPr="008D05AF">
              <w:rPr>
                <w:rFonts w:ascii="Arial" w:eastAsia="Times New Roman" w:hAnsi="Arial" w:cs="Arial"/>
                <w:b/>
                <w:bCs/>
                <w:color w:val="000000"/>
                <w:sz w:val="18"/>
                <w:szCs w:val="18"/>
                <w:lang w:eastAsia="en-GB"/>
              </w:rPr>
              <w:t xml:space="preserve">Total </w:t>
            </w:r>
          </w:p>
        </w:tc>
        <w:tc>
          <w:tcPr>
            <w:tcW w:w="1134" w:type="dxa"/>
            <w:tcBorders>
              <w:top w:val="nil"/>
              <w:left w:val="nil"/>
              <w:bottom w:val="single" w:sz="4" w:space="0" w:color="A6A6A6"/>
              <w:right w:val="single" w:sz="4" w:space="0" w:color="A6A6A6"/>
            </w:tcBorders>
            <w:shd w:val="clear" w:color="000000" w:fill="F2F2F2"/>
            <w:noWrap/>
            <w:vAlign w:val="bottom"/>
            <w:hideMark/>
          </w:tcPr>
          <w:p w14:paraId="35C023E3" w14:textId="77777777" w:rsidR="00D301A3" w:rsidRPr="008D05AF" w:rsidRDefault="00D301A3" w:rsidP="00DC54F7">
            <w:pPr>
              <w:spacing w:after="0" w:line="240" w:lineRule="auto"/>
              <w:jc w:val="both"/>
              <w:rPr>
                <w:rFonts w:ascii="Calibri" w:eastAsia="Times New Roman" w:hAnsi="Calibri" w:cs="Calibri"/>
                <w:color w:val="000000"/>
                <w:lang w:eastAsia="en-GB"/>
              </w:rPr>
            </w:pPr>
            <w:r w:rsidRPr="008D05AF">
              <w:rPr>
                <w:rFonts w:ascii="Calibri" w:eastAsia="Times New Roman" w:hAnsi="Calibri" w:cs="Calibri"/>
                <w:color w:val="000000"/>
                <w:lang w:eastAsia="en-GB"/>
              </w:rPr>
              <w:t>100.00%</w:t>
            </w:r>
          </w:p>
        </w:tc>
        <w:tc>
          <w:tcPr>
            <w:tcW w:w="992" w:type="dxa"/>
            <w:tcBorders>
              <w:top w:val="nil"/>
              <w:left w:val="nil"/>
              <w:bottom w:val="single" w:sz="4" w:space="0" w:color="A6A6A6"/>
              <w:right w:val="single" w:sz="4" w:space="0" w:color="A6A6A6"/>
            </w:tcBorders>
            <w:shd w:val="clear" w:color="000000" w:fill="F2F2F2"/>
            <w:noWrap/>
            <w:vAlign w:val="bottom"/>
            <w:hideMark/>
          </w:tcPr>
          <w:p w14:paraId="272D7EFA" w14:textId="77777777" w:rsidR="00D301A3" w:rsidRPr="008D05AF" w:rsidRDefault="00D301A3" w:rsidP="00DC54F7">
            <w:pPr>
              <w:spacing w:after="0" w:line="240" w:lineRule="auto"/>
              <w:jc w:val="both"/>
              <w:rPr>
                <w:rFonts w:ascii="Calibri" w:eastAsia="Times New Roman" w:hAnsi="Calibri" w:cs="Calibri"/>
                <w:color w:val="000000"/>
                <w:lang w:eastAsia="en-GB"/>
              </w:rPr>
            </w:pPr>
            <w:r w:rsidRPr="008D05AF">
              <w:rPr>
                <w:rFonts w:ascii="Calibri" w:eastAsia="Times New Roman" w:hAnsi="Calibri" w:cs="Calibri"/>
                <w:color w:val="000000"/>
                <w:lang w:eastAsia="en-GB"/>
              </w:rPr>
              <w:t>304</w:t>
            </w:r>
          </w:p>
        </w:tc>
      </w:tr>
      <w:tr w:rsidR="00D301A3" w:rsidRPr="008D05AF" w14:paraId="7BF44ED5" w14:textId="77777777" w:rsidTr="00AA572E">
        <w:trPr>
          <w:trHeight w:val="290"/>
        </w:trPr>
        <w:tc>
          <w:tcPr>
            <w:tcW w:w="5807" w:type="dxa"/>
            <w:gridSpan w:val="2"/>
            <w:vMerge/>
            <w:tcBorders>
              <w:top w:val="single" w:sz="4" w:space="0" w:color="A6A6A6"/>
              <w:left w:val="single" w:sz="4" w:space="0" w:color="A6A6A6"/>
              <w:bottom w:val="single" w:sz="4" w:space="0" w:color="A6A6A6"/>
              <w:right w:val="single" w:sz="4" w:space="0" w:color="A6A6A6"/>
            </w:tcBorders>
            <w:vAlign w:val="center"/>
            <w:hideMark/>
          </w:tcPr>
          <w:p w14:paraId="4D1419B3" w14:textId="77777777" w:rsidR="00D301A3" w:rsidRPr="008D05AF" w:rsidRDefault="00D301A3" w:rsidP="00DC54F7">
            <w:pPr>
              <w:spacing w:after="0" w:line="240" w:lineRule="auto"/>
              <w:jc w:val="both"/>
              <w:rPr>
                <w:rFonts w:ascii="Arial" w:eastAsia="Times New Roman" w:hAnsi="Arial" w:cs="Arial"/>
                <w:b/>
                <w:bCs/>
                <w:color w:val="000000"/>
                <w:lang w:eastAsia="en-GB"/>
              </w:rPr>
            </w:pPr>
          </w:p>
        </w:tc>
        <w:tc>
          <w:tcPr>
            <w:tcW w:w="1276" w:type="dxa"/>
            <w:tcBorders>
              <w:top w:val="nil"/>
              <w:left w:val="nil"/>
              <w:bottom w:val="single" w:sz="4" w:space="0" w:color="A6A6A6"/>
              <w:right w:val="single" w:sz="4" w:space="0" w:color="A6A6A6"/>
            </w:tcBorders>
            <w:shd w:val="clear" w:color="000000" w:fill="F2F2F2"/>
            <w:vAlign w:val="center"/>
            <w:hideMark/>
          </w:tcPr>
          <w:p w14:paraId="172AB9B4" w14:textId="77777777" w:rsidR="00D301A3" w:rsidRPr="008D05AF" w:rsidRDefault="00D301A3" w:rsidP="00DC54F7">
            <w:pPr>
              <w:spacing w:after="0" w:line="240" w:lineRule="auto"/>
              <w:jc w:val="both"/>
              <w:rPr>
                <w:rFonts w:ascii="Arial" w:eastAsia="Times New Roman" w:hAnsi="Arial" w:cs="Arial"/>
                <w:b/>
                <w:bCs/>
                <w:color w:val="000000"/>
                <w:sz w:val="18"/>
                <w:szCs w:val="18"/>
                <w:lang w:eastAsia="en-GB"/>
              </w:rPr>
            </w:pPr>
            <w:r w:rsidRPr="008D05AF">
              <w:rPr>
                <w:rFonts w:ascii="Arial" w:eastAsia="Times New Roman" w:hAnsi="Arial" w:cs="Arial"/>
                <w:b/>
                <w:bCs/>
                <w:color w:val="000000"/>
                <w:sz w:val="18"/>
                <w:szCs w:val="18"/>
                <w:lang w:eastAsia="en-GB"/>
              </w:rPr>
              <w:t>Skipped</w:t>
            </w:r>
          </w:p>
        </w:tc>
        <w:tc>
          <w:tcPr>
            <w:tcW w:w="1134" w:type="dxa"/>
            <w:tcBorders>
              <w:top w:val="nil"/>
              <w:left w:val="nil"/>
              <w:bottom w:val="single" w:sz="4" w:space="0" w:color="A6A6A6"/>
              <w:right w:val="single" w:sz="4" w:space="0" w:color="A6A6A6"/>
            </w:tcBorders>
            <w:shd w:val="clear" w:color="000000" w:fill="F2F2F2"/>
            <w:noWrap/>
            <w:vAlign w:val="bottom"/>
            <w:hideMark/>
          </w:tcPr>
          <w:p w14:paraId="5D22E16A" w14:textId="77777777" w:rsidR="00D301A3" w:rsidRPr="008D05AF" w:rsidRDefault="00D301A3" w:rsidP="00DC54F7">
            <w:pPr>
              <w:spacing w:after="0" w:line="240" w:lineRule="auto"/>
              <w:jc w:val="both"/>
              <w:rPr>
                <w:rFonts w:ascii="Calibri" w:eastAsia="Times New Roman" w:hAnsi="Calibri" w:cs="Calibri"/>
                <w:color w:val="000000"/>
                <w:lang w:eastAsia="en-GB"/>
              </w:rPr>
            </w:pPr>
            <w:r w:rsidRPr="008D05AF">
              <w:rPr>
                <w:rFonts w:ascii="Calibri" w:eastAsia="Times New Roman" w:hAnsi="Calibri" w:cs="Calibri"/>
                <w:color w:val="000000"/>
                <w:lang w:eastAsia="en-GB"/>
              </w:rPr>
              <w:t> </w:t>
            </w:r>
          </w:p>
        </w:tc>
        <w:tc>
          <w:tcPr>
            <w:tcW w:w="992" w:type="dxa"/>
            <w:tcBorders>
              <w:top w:val="nil"/>
              <w:left w:val="nil"/>
              <w:bottom w:val="single" w:sz="4" w:space="0" w:color="A6A6A6"/>
              <w:right w:val="single" w:sz="4" w:space="0" w:color="A6A6A6"/>
            </w:tcBorders>
            <w:shd w:val="clear" w:color="000000" w:fill="F2F2F2"/>
            <w:noWrap/>
            <w:vAlign w:val="bottom"/>
            <w:hideMark/>
          </w:tcPr>
          <w:p w14:paraId="1E2E9419" w14:textId="77777777" w:rsidR="00D301A3" w:rsidRPr="008D05AF" w:rsidRDefault="00D301A3" w:rsidP="00DC54F7">
            <w:pPr>
              <w:spacing w:after="0" w:line="240" w:lineRule="auto"/>
              <w:jc w:val="both"/>
              <w:rPr>
                <w:rFonts w:ascii="Calibri" w:eastAsia="Times New Roman" w:hAnsi="Calibri" w:cs="Calibri"/>
                <w:color w:val="000000"/>
                <w:lang w:eastAsia="en-GB"/>
              </w:rPr>
            </w:pPr>
            <w:r w:rsidRPr="008D05AF">
              <w:rPr>
                <w:rFonts w:ascii="Calibri" w:eastAsia="Times New Roman" w:hAnsi="Calibri" w:cs="Calibri"/>
                <w:color w:val="000000"/>
                <w:lang w:eastAsia="en-GB"/>
              </w:rPr>
              <w:t>7</w:t>
            </w:r>
          </w:p>
        </w:tc>
      </w:tr>
    </w:tbl>
    <w:p w14:paraId="668133B8" w14:textId="77777777" w:rsidR="00D301A3" w:rsidRDefault="00D301A3" w:rsidP="00DC54F7">
      <w:pPr>
        <w:spacing w:after="0"/>
        <w:jc w:val="both"/>
        <w:rPr>
          <w:rFonts w:ascii="Arial" w:hAnsi="Arial" w:cs="Arial"/>
          <w:b/>
          <w:bCs/>
        </w:rPr>
      </w:pPr>
    </w:p>
    <w:p w14:paraId="05A9FAE1" w14:textId="77777777" w:rsidR="00D301A3" w:rsidRDefault="00D301A3" w:rsidP="00DC54F7">
      <w:pPr>
        <w:spacing w:after="0"/>
        <w:jc w:val="both"/>
        <w:rPr>
          <w:rFonts w:ascii="Arial" w:hAnsi="Arial" w:cs="Arial"/>
          <w:b/>
          <w:bCs/>
        </w:rPr>
      </w:pPr>
    </w:p>
    <w:p w14:paraId="650A45D4" w14:textId="77777777" w:rsidR="00D301A3" w:rsidRDefault="00D301A3" w:rsidP="00DC54F7">
      <w:pPr>
        <w:spacing w:after="0"/>
        <w:jc w:val="both"/>
        <w:rPr>
          <w:rFonts w:ascii="Arial" w:hAnsi="Arial" w:cs="Arial"/>
          <w:b/>
          <w:bCs/>
        </w:rPr>
      </w:pPr>
      <w:r w:rsidRPr="00B92E22">
        <w:rPr>
          <w:rFonts w:ascii="Arial" w:hAnsi="Arial" w:cs="Arial"/>
          <w:b/>
          <w:bCs/>
        </w:rPr>
        <w:t>30. Do you consider yourself to be Welsh? Please tick one</w:t>
      </w:r>
    </w:p>
    <w:p w14:paraId="5625C9C7" w14:textId="77777777" w:rsidR="00D301A3" w:rsidRDefault="00D301A3" w:rsidP="00DC54F7">
      <w:pPr>
        <w:spacing w:after="0"/>
        <w:jc w:val="both"/>
        <w:rPr>
          <w:rFonts w:ascii="Arial" w:hAnsi="Arial" w:cs="Arial"/>
          <w:b/>
          <w:bCs/>
        </w:rPr>
      </w:pPr>
    </w:p>
    <w:tbl>
      <w:tblPr>
        <w:tblW w:w="9209" w:type="dxa"/>
        <w:tblLook w:val="04A0" w:firstRow="1" w:lastRow="0" w:firstColumn="1" w:lastColumn="0" w:noHBand="0" w:noVBand="1"/>
      </w:tblPr>
      <w:tblGrid>
        <w:gridCol w:w="960"/>
        <w:gridCol w:w="4847"/>
        <w:gridCol w:w="1276"/>
        <w:gridCol w:w="1134"/>
        <w:gridCol w:w="992"/>
      </w:tblGrid>
      <w:tr w:rsidR="00D301A3" w:rsidRPr="00E20638" w14:paraId="20F2290A" w14:textId="77777777" w:rsidTr="00AA572E">
        <w:trPr>
          <w:trHeight w:val="290"/>
        </w:trPr>
        <w:tc>
          <w:tcPr>
            <w:tcW w:w="7083" w:type="dxa"/>
            <w:gridSpan w:val="3"/>
            <w:tcBorders>
              <w:top w:val="single" w:sz="4" w:space="0" w:color="A6A6A6"/>
              <w:left w:val="single" w:sz="4" w:space="0" w:color="A6A6A6"/>
              <w:bottom w:val="single" w:sz="4" w:space="0" w:color="A6A6A6"/>
              <w:right w:val="nil"/>
            </w:tcBorders>
            <w:shd w:val="clear" w:color="000000" w:fill="ACB9CA"/>
            <w:noWrap/>
            <w:vAlign w:val="center"/>
            <w:hideMark/>
          </w:tcPr>
          <w:p w14:paraId="02BAC97D" w14:textId="77777777" w:rsidR="00D301A3" w:rsidRPr="00E20638" w:rsidRDefault="00D301A3" w:rsidP="00DC54F7">
            <w:pPr>
              <w:spacing w:after="0" w:line="240" w:lineRule="auto"/>
              <w:jc w:val="both"/>
              <w:rPr>
                <w:rFonts w:ascii="Arial" w:eastAsia="Times New Roman" w:hAnsi="Arial" w:cs="Arial"/>
                <w:b/>
                <w:bCs/>
                <w:color w:val="FFFFFF"/>
                <w:sz w:val="21"/>
                <w:szCs w:val="21"/>
                <w:lang w:eastAsia="en-GB"/>
              </w:rPr>
            </w:pPr>
            <w:r w:rsidRPr="00E20638">
              <w:rPr>
                <w:rFonts w:ascii="Arial" w:eastAsia="Times New Roman" w:hAnsi="Arial" w:cs="Arial"/>
                <w:b/>
                <w:bCs/>
                <w:color w:val="FFFFFF"/>
                <w:sz w:val="21"/>
                <w:szCs w:val="21"/>
                <w:lang w:eastAsia="en-GB"/>
              </w:rPr>
              <w:t> </w:t>
            </w:r>
          </w:p>
        </w:tc>
        <w:tc>
          <w:tcPr>
            <w:tcW w:w="2126" w:type="dxa"/>
            <w:gridSpan w:val="2"/>
            <w:tcBorders>
              <w:top w:val="single" w:sz="4" w:space="0" w:color="A6A6A6"/>
              <w:left w:val="nil"/>
              <w:bottom w:val="single" w:sz="4" w:space="0" w:color="A6A6A6"/>
              <w:right w:val="single" w:sz="4" w:space="0" w:color="A6A6A6"/>
            </w:tcBorders>
            <w:shd w:val="clear" w:color="000000" w:fill="ACB9CA"/>
            <w:noWrap/>
            <w:vAlign w:val="center"/>
            <w:hideMark/>
          </w:tcPr>
          <w:p w14:paraId="52D06CFE" w14:textId="77777777" w:rsidR="00D301A3" w:rsidRPr="00E20638" w:rsidRDefault="00D301A3" w:rsidP="00DC54F7">
            <w:pPr>
              <w:spacing w:after="0" w:line="240" w:lineRule="auto"/>
              <w:jc w:val="both"/>
              <w:rPr>
                <w:rFonts w:ascii="Arial" w:eastAsia="Times New Roman" w:hAnsi="Arial" w:cs="Arial"/>
                <w:b/>
                <w:bCs/>
                <w:color w:val="FFFFFF"/>
                <w:sz w:val="21"/>
                <w:szCs w:val="21"/>
                <w:lang w:eastAsia="en-GB"/>
              </w:rPr>
            </w:pPr>
            <w:r w:rsidRPr="00E20638">
              <w:rPr>
                <w:rFonts w:ascii="Arial" w:eastAsia="Times New Roman" w:hAnsi="Arial" w:cs="Arial"/>
                <w:b/>
                <w:bCs/>
                <w:color w:val="FFFFFF"/>
                <w:sz w:val="21"/>
                <w:szCs w:val="21"/>
                <w:lang w:eastAsia="en-GB"/>
              </w:rPr>
              <w:t>Response</w:t>
            </w:r>
          </w:p>
        </w:tc>
      </w:tr>
      <w:tr w:rsidR="00D301A3" w:rsidRPr="00E20638" w14:paraId="74801503" w14:textId="77777777" w:rsidTr="00AA572E">
        <w:trPr>
          <w:trHeight w:val="290"/>
        </w:trPr>
        <w:tc>
          <w:tcPr>
            <w:tcW w:w="7083"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051D2A2C" w14:textId="77777777" w:rsidR="00D301A3" w:rsidRPr="00E20638" w:rsidRDefault="00D301A3" w:rsidP="00DC54F7">
            <w:pPr>
              <w:spacing w:after="0" w:line="240" w:lineRule="auto"/>
              <w:jc w:val="both"/>
              <w:rPr>
                <w:rFonts w:ascii="Arial" w:eastAsia="Times New Roman" w:hAnsi="Arial" w:cs="Arial"/>
                <w:b/>
                <w:bCs/>
                <w:color w:val="000000"/>
                <w:sz w:val="18"/>
                <w:szCs w:val="18"/>
                <w:lang w:eastAsia="en-GB"/>
              </w:rPr>
            </w:pPr>
            <w:r w:rsidRPr="00E20638">
              <w:rPr>
                <w:rFonts w:ascii="Arial" w:eastAsia="Times New Roman" w:hAnsi="Arial" w:cs="Arial"/>
                <w:b/>
                <w:bCs/>
                <w:color w:val="000000"/>
                <w:sz w:val="18"/>
                <w:szCs w:val="18"/>
                <w:lang w:eastAsia="en-GB"/>
              </w:rPr>
              <w:t> </w:t>
            </w:r>
          </w:p>
        </w:tc>
        <w:tc>
          <w:tcPr>
            <w:tcW w:w="1134" w:type="dxa"/>
            <w:tcBorders>
              <w:top w:val="nil"/>
              <w:left w:val="nil"/>
              <w:bottom w:val="single" w:sz="4" w:space="0" w:color="A6A6A6"/>
              <w:right w:val="single" w:sz="4" w:space="0" w:color="A6A6A6"/>
            </w:tcBorders>
            <w:shd w:val="clear" w:color="000000" w:fill="F2F2F2"/>
            <w:noWrap/>
            <w:vAlign w:val="center"/>
            <w:hideMark/>
          </w:tcPr>
          <w:p w14:paraId="4AE77CAD" w14:textId="77777777" w:rsidR="00D301A3" w:rsidRPr="00E20638" w:rsidRDefault="00D301A3" w:rsidP="00DC54F7">
            <w:pPr>
              <w:spacing w:after="0" w:line="240" w:lineRule="auto"/>
              <w:jc w:val="both"/>
              <w:rPr>
                <w:rFonts w:ascii="Arial" w:eastAsia="Times New Roman" w:hAnsi="Arial" w:cs="Arial"/>
                <w:b/>
                <w:bCs/>
                <w:color w:val="000000"/>
                <w:sz w:val="18"/>
                <w:szCs w:val="18"/>
                <w:lang w:eastAsia="en-GB"/>
              </w:rPr>
            </w:pPr>
            <w:r w:rsidRPr="00E20638">
              <w:rPr>
                <w:rFonts w:ascii="Arial" w:eastAsia="Times New Roman" w:hAnsi="Arial" w:cs="Arial"/>
                <w:b/>
                <w:bCs/>
                <w:color w:val="000000"/>
                <w:sz w:val="18"/>
                <w:szCs w:val="18"/>
                <w:lang w:eastAsia="en-GB"/>
              </w:rPr>
              <w:t>Percent</w:t>
            </w:r>
          </w:p>
        </w:tc>
        <w:tc>
          <w:tcPr>
            <w:tcW w:w="992" w:type="dxa"/>
            <w:tcBorders>
              <w:top w:val="nil"/>
              <w:left w:val="nil"/>
              <w:bottom w:val="single" w:sz="4" w:space="0" w:color="A6A6A6"/>
              <w:right w:val="single" w:sz="4" w:space="0" w:color="A6A6A6"/>
            </w:tcBorders>
            <w:shd w:val="clear" w:color="000000" w:fill="F2F2F2"/>
            <w:noWrap/>
            <w:vAlign w:val="center"/>
            <w:hideMark/>
          </w:tcPr>
          <w:p w14:paraId="2DA6D682" w14:textId="77777777" w:rsidR="00D301A3" w:rsidRPr="00E20638" w:rsidRDefault="00D301A3" w:rsidP="00DC54F7">
            <w:pPr>
              <w:spacing w:after="0" w:line="240" w:lineRule="auto"/>
              <w:jc w:val="both"/>
              <w:rPr>
                <w:rFonts w:ascii="Arial" w:eastAsia="Times New Roman" w:hAnsi="Arial" w:cs="Arial"/>
                <w:b/>
                <w:bCs/>
                <w:color w:val="000000"/>
                <w:sz w:val="18"/>
                <w:szCs w:val="18"/>
                <w:lang w:eastAsia="en-GB"/>
              </w:rPr>
            </w:pPr>
            <w:r w:rsidRPr="00E20638">
              <w:rPr>
                <w:rFonts w:ascii="Arial" w:eastAsia="Times New Roman" w:hAnsi="Arial" w:cs="Arial"/>
                <w:b/>
                <w:bCs/>
                <w:color w:val="000000"/>
                <w:sz w:val="18"/>
                <w:szCs w:val="18"/>
                <w:lang w:eastAsia="en-GB"/>
              </w:rPr>
              <w:t>Total</w:t>
            </w:r>
          </w:p>
        </w:tc>
      </w:tr>
      <w:tr w:rsidR="00D301A3" w:rsidRPr="00E20638" w14:paraId="55254D33"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70B3017C" w14:textId="77777777" w:rsidR="00D301A3" w:rsidRPr="00E20638" w:rsidRDefault="00D301A3" w:rsidP="00DC54F7">
            <w:pPr>
              <w:spacing w:after="0" w:line="240" w:lineRule="auto"/>
              <w:jc w:val="both"/>
              <w:rPr>
                <w:rFonts w:ascii="Arial" w:eastAsia="Times New Roman" w:hAnsi="Arial" w:cs="Arial"/>
                <w:color w:val="000000"/>
                <w:sz w:val="18"/>
                <w:szCs w:val="18"/>
                <w:lang w:eastAsia="en-GB"/>
              </w:rPr>
            </w:pPr>
            <w:r w:rsidRPr="00E20638">
              <w:rPr>
                <w:rFonts w:ascii="Arial" w:eastAsia="Times New Roman" w:hAnsi="Arial" w:cs="Arial"/>
                <w:color w:val="000000"/>
                <w:sz w:val="18"/>
                <w:szCs w:val="18"/>
                <w:lang w:eastAsia="en-GB"/>
              </w:rPr>
              <w:t>1</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1E4CD362" w14:textId="77777777" w:rsidR="00D301A3" w:rsidRPr="00E20638" w:rsidRDefault="00D301A3" w:rsidP="00DC54F7">
            <w:pPr>
              <w:spacing w:after="0" w:line="240" w:lineRule="auto"/>
              <w:jc w:val="both"/>
              <w:rPr>
                <w:rFonts w:ascii="Arial" w:eastAsia="Times New Roman" w:hAnsi="Arial" w:cs="Arial"/>
                <w:color w:val="000000"/>
                <w:sz w:val="18"/>
                <w:szCs w:val="18"/>
                <w:lang w:eastAsia="en-GB"/>
              </w:rPr>
            </w:pPr>
            <w:r w:rsidRPr="00E20638">
              <w:rPr>
                <w:rFonts w:ascii="Arial" w:eastAsia="Times New Roman" w:hAnsi="Arial" w:cs="Arial"/>
                <w:color w:val="000000"/>
                <w:sz w:val="18"/>
                <w:szCs w:val="18"/>
                <w:lang w:eastAsia="en-GB"/>
              </w:rPr>
              <w:t>Yes</w:t>
            </w:r>
          </w:p>
        </w:tc>
        <w:tc>
          <w:tcPr>
            <w:tcW w:w="1134" w:type="dxa"/>
            <w:tcBorders>
              <w:top w:val="nil"/>
              <w:left w:val="nil"/>
              <w:bottom w:val="single" w:sz="4" w:space="0" w:color="A6A6A6"/>
              <w:right w:val="single" w:sz="4" w:space="0" w:color="A6A6A6"/>
            </w:tcBorders>
            <w:shd w:val="clear" w:color="000000" w:fill="F2F2F2"/>
            <w:noWrap/>
            <w:vAlign w:val="bottom"/>
            <w:hideMark/>
          </w:tcPr>
          <w:p w14:paraId="04560848" w14:textId="77777777" w:rsidR="00D301A3" w:rsidRPr="00E20638" w:rsidRDefault="00D301A3" w:rsidP="00DC54F7">
            <w:pPr>
              <w:spacing w:after="0" w:line="240" w:lineRule="auto"/>
              <w:jc w:val="both"/>
              <w:rPr>
                <w:rFonts w:ascii="Calibri" w:eastAsia="Times New Roman" w:hAnsi="Calibri" w:cs="Calibri"/>
                <w:color w:val="000000"/>
                <w:lang w:eastAsia="en-GB"/>
              </w:rPr>
            </w:pPr>
            <w:r w:rsidRPr="00E20638">
              <w:rPr>
                <w:rFonts w:ascii="Calibri" w:eastAsia="Times New Roman" w:hAnsi="Calibri" w:cs="Calibri"/>
                <w:color w:val="000000"/>
                <w:lang w:eastAsia="en-GB"/>
              </w:rPr>
              <w:t>75.82%</w:t>
            </w:r>
          </w:p>
        </w:tc>
        <w:tc>
          <w:tcPr>
            <w:tcW w:w="992" w:type="dxa"/>
            <w:tcBorders>
              <w:top w:val="nil"/>
              <w:left w:val="nil"/>
              <w:bottom w:val="single" w:sz="4" w:space="0" w:color="A6A6A6"/>
              <w:right w:val="single" w:sz="4" w:space="0" w:color="A6A6A6"/>
            </w:tcBorders>
            <w:shd w:val="clear" w:color="000000" w:fill="F2F2F2"/>
            <w:noWrap/>
            <w:vAlign w:val="bottom"/>
            <w:hideMark/>
          </w:tcPr>
          <w:p w14:paraId="7388760A" w14:textId="77777777" w:rsidR="00D301A3" w:rsidRPr="00E20638" w:rsidRDefault="00D301A3" w:rsidP="00DC54F7">
            <w:pPr>
              <w:spacing w:after="0" w:line="240" w:lineRule="auto"/>
              <w:jc w:val="both"/>
              <w:rPr>
                <w:rFonts w:ascii="Calibri" w:eastAsia="Times New Roman" w:hAnsi="Calibri" w:cs="Calibri"/>
                <w:color w:val="000000"/>
                <w:lang w:eastAsia="en-GB"/>
              </w:rPr>
            </w:pPr>
            <w:r w:rsidRPr="00E20638">
              <w:rPr>
                <w:rFonts w:ascii="Calibri" w:eastAsia="Times New Roman" w:hAnsi="Calibri" w:cs="Calibri"/>
                <w:color w:val="000000"/>
                <w:lang w:eastAsia="en-GB"/>
              </w:rPr>
              <w:t>232</w:t>
            </w:r>
          </w:p>
        </w:tc>
      </w:tr>
      <w:tr w:rsidR="00D301A3" w:rsidRPr="00E20638" w14:paraId="7D43CE42"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30F8934" w14:textId="77777777" w:rsidR="00D301A3" w:rsidRPr="00E20638" w:rsidRDefault="00D301A3" w:rsidP="00DC54F7">
            <w:pPr>
              <w:spacing w:after="0" w:line="240" w:lineRule="auto"/>
              <w:jc w:val="both"/>
              <w:rPr>
                <w:rFonts w:ascii="Arial" w:eastAsia="Times New Roman" w:hAnsi="Arial" w:cs="Arial"/>
                <w:color w:val="000000"/>
                <w:sz w:val="18"/>
                <w:szCs w:val="18"/>
                <w:lang w:eastAsia="en-GB"/>
              </w:rPr>
            </w:pPr>
            <w:r w:rsidRPr="00E20638">
              <w:rPr>
                <w:rFonts w:ascii="Arial" w:eastAsia="Times New Roman" w:hAnsi="Arial" w:cs="Arial"/>
                <w:color w:val="000000"/>
                <w:sz w:val="18"/>
                <w:szCs w:val="18"/>
                <w:lang w:eastAsia="en-GB"/>
              </w:rPr>
              <w:t>2</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560F440A" w14:textId="77777777" w:rsidR="00D301A3" w:rsidRPr="00E20638" w:rsidRDefault="00D301A3" w:rsidP="00DC54F7">
            <w:pPr>
              <w:spacing w:after="0" w:line="240" w:lineRule="auto"/>
              <w:jc w:val="both"/>
              <w:rPr>
                <w:rFonts w:ascii="Arial" w:eastAsia="Times New Roman" w:hAnsi="Arial" w:cs="Arial"/>
                <w:color w:val="000000"/>
                <w:sz w:val="18"/>
                <w:szCs w:val="18"/>
                <w:lang w:eastAsia="en-GB"/>
              </w:rPr>
            </w:pPr>
            <w:r w:rsidRPr="00E20638">
              <w:rPr>
                <w:rFonts w:ascii="Arial" w:eastAsia="Times New Roman" w:hAnsi="Arial" w:cs="Arial"/>
                <w:color w:val="000000"/>
                <w:sz w:val="18"/>
                <w:szCs w:val="18"/>
                <w:lang w:eastAsia="en-GB"/>
              </w:rPr>
              <w:t>No</w:t>
            </w:r>
          </w:p>
        </w:tc>
        <w:tc>
          <w:tcPr>
            <w:tcW w:w="1134" w:type="dxa"/>
            <w:tcBorders>
              <w:top w:val="nil"/>
              <w:left w:val="nil"/>
              <w:bottom w:val="single" w:sz="4" w:space="0" w:color="A6A6A6"/>
              <w:right w:val="single" w:sz="4" w:space="0" w:color="A6A6A6"/>
            </w:tcBorders>
            <w:shd w:val="clear" w:color="000000" w:fill="F2F2F2"/>
            <w:noWrap/>
            <w:vAlign w:val="bottom"/>
            <w:hideMark/>
          </w:tcPr>
          <w:p w14:paraId="22B21DA9" w14:textId="77777777" w:rsidR="00D301A3" w:rsidRPr="00E20638" w:rsidRDefault="00D301A3" w:rsidP="00DC54F7">
            <w:pPr>
              <w:spacing w:after="0" w:line="240" w:lineRule="auto"/>
              <w:jc w:val="both"/>
              <w:rPr>
                <w:rFonts w:ascii="Calibri" w:eastAsia="Times New Roman" w:hAnsi="Calibri" w:cs="Calibri"/>
                <w:color w:val="000000"/>
                <w:lang w:eastAsia="en-GB"/>
              </w:rPr>
            </w:pPr>
            <w:r w:rsidRPr="00E20638">
              <w:rPr>
                <w:rFonts w:ascii="Calibri" w:eastAsia="Times New Roman" w:hAnsi="Calibri" w:cs="Calibri"/>
                <w:color w:val="000000"/>
                <w:lang w:eastAsia="en-GB"/>
              </w:rPr>
              <w:t>22.55%</w:t>
            </w:r>
          </w:p>
        </w:tc>
        <w:tc>
          <w:tcPr>
            <w:tcW w:w="992" w:type="dxa"/>
            <w:tcBorders>
              <w:top w:val="nil"/>
              <w:left w:val="nil"/>
              <w:bottom w:val="single" w:sz="4" w:space="0" w:color="A6A6A6"/>
              <w:right w:val="single" w:sz="4" w:space="0" w:color="A6A6A6"/>
            </w:tcBorders>
            <w:shd w:val="clear" w:color="000000" w:fill="F2F2F2"/>
            <w:noWrap/>
            <w:vAlign w:val="bottom"/>
            <w:hideMark/>
          </w:tcPr>
          <w:p w14:paraId="262890B2" w14:textId="77777777" w:rsidR="00D301A3" w:rsidRPr="00E20638" w:rsidRDefault="00D301A3" w:rsidP="00DC54F7">
            <w:pPr>
              <w:spacing w:after="0" w:line="240" w:lineRule="auto"/>
              <w:jc w:val="both"/>
              <w:rPr>
                <w:rFonts w:ascii="Calibri" w:eastAsia="Times New Roman" w:hAnsi="Calibri" w:cs="Calibri"/>
                <w:color w:val="000000"/>
                <w:lang w:eastAsia="en-GB"/>
              </w:rPr>
            </w:pPr>
            <w:r w:rsidRPr="00E20638">
              <w:rPr>
                <w:rFonts w:ascii="Calibri" w:eastAsia="Times New Roman" w:hAnsi="Calibri" w:cs="Calibri"/>
                <w:color w:val="000000"/>
                <w:lang w:eastAsia="en-GB"/>
              </w:rPr>
              <w:t>69</w:t>
            </w:r>
          </w:p>
        </w:tc>
      </w:tr>
      <w:tr w:rsidR="00D301A3" w:rsidRPr="00E20638" w14:paraId="17734677"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2D4CB2C3" w14:textId="77777777" w:rsidR="00D301A3" w:rsidRPr="00E20638" w:rsidRDefault="00D301A3" w:rsidP="00DC54F7">
            <w:pPr>
              <w:spacing w:after="0" w:line="240" w:lineRule="auto"/>
              <w:jc w:val="both"/>
              <w:rPr>
                <w:rFonts w:ascii="Arial" w:eastAsia="Times New Roman" w:hAnsi="Arial" w:cs="Arial"/>
                <w:color w:val="000000"/>
                <w:sz w:val="18"/>
                <w:szCs w:val="18"/>
                <w:lang w:eastAsia="en-GB"/>
              </w:rPr>
            </w:pPr>
            <w:r w:rsidRPr="00E20638">
              <w:rPr>
                <w:rFonts w:ascii="Arial" w:eastAsia="Times New Roman" w:hAnsi="Arial" w:cs="Arial"/>
                <w:color w:val="000000"/>
                <w:sz w:val="18"/>
                <w:szCs w:val="18"/>
                <w:lang w:eastAsia="en-GB"/>
              </w:rPr>
              <w:t>3</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7272B52F" w14:textId="77777777" w:rsidR="00D301A3" w:rsidRPr="00E20638" w:rsidRDefault="00D301A3" w:rsidP="00DC54F7">
            <w:pPr>
              <w:spacing w:after="0" w:line="240" w:lineRule="auto"/>
              <w:jc w:val="both"/>
              <w:rPr>
                <w:rFonts w:ascii="Arial" w:eastAsia="Times New Roman" w:hAnsi="Arial" w:cs="Arial"/>
                <w:color w:val="000000"/>
                <w:sz w:val="18"/>
                <w:szCs w:val="18"/>
                <w:lang w:eastAsia="en-GB"/>
              </w:rPr>
            </w:pPr>
            <w:r w:rsidRPr="00E20638">
              <w:rPr>
                <w:rFonts w:ascii="Arial" w:eastAsia="Times New Roman" w:hAnsi="Arial" w:cs="Arial"/>
                <w:color w:val="000000"/>
                <w:sz w:val="18"/>
                <w:szCs w:val="18"/>
                <w:lang w:eastAsia="en-GB"/>
              </w:rPr>
              <w:t>Prefer not to say</w:t>
            </w:r>
          </w:p>
        </w:tc>
        <w:tc>
          <w:tcPr>
            <w:tcW w:w="1134" w:type="dxa"/>
            <w:tcBorders>
              <w:top w:val="nil"/>
              <w:left w:val="nil"/>
              <w:bottom w:val="single" w:sz="4" w:space="0" w:color="A6A6A6"/>
              <w:right w:val="single" w:sz="4" w:space="0" w:color="A6A6A6"/>
            </w:tcBorders>
            <w:shd w:val="clear" w:color="000000" w:fill="F2F2F2"/>
            <w:noWrap/>
            <w:vAlign w:val="bottom"/>
            <w:hideMark/>
          </w:tcPr>
          <w:p w14:paraId="359DBDD1" w14:textId="77777777" w:rsidR="00D301A3" w:rsidRPr="00E20638" w:rsidRDefault="00D301A3" w:rsidP="00DC54F7">
            <w:pPr>
              <w:spacing w:after="0" w:line="240" w:lineRule="auto"/>
              <w:jc w:val="both"/>
              <w:rPr>
                <w:rFonts w:ascii="Calibri" w:eastAsia="Times New Roman" w:hAnsi="Calibri" w:cs="Calibri"/>
                <w:color w:val="000000"/>
                <w:lang w:eastAsia="en-GB"/>
              </w:rPr>
            </w:pPr>
            <w:r w:rsidRPr="00E20638">
              <w:rPr>
                <w:rFonts w:ascii="Calibri" w:eastAsia="Times New Roman" w:hAnsi="Calibri" w:cs="Calibri"/>
                <w:color w:val="000000"/>
                <w:lang w:eastAsia="en-GB"/>
              </w:rPr>
              <w:t>1.63%</w:t>
            </w:r>
          </w:p>
        </w:tc>
        <w:tc>
          <w:tcPr>
            <w:tcW w:w="992" w:type="dxa"/>
            <w:tcBorders>
              <w:top w:val="nil"/>
              <w:left w:val="nil"/>
              <w:bottom w:val="single" w:sz="4" w:space="0" w:color="A6A6A6"/>
              <w:right w:val="single" w:sz="4" w:space="0" w:color="A6A6A6"/>
            </w:tcBorders>
            <w:shd w:val="clear" w:color="000000" w:fill="F2F2F2"/>
            <w:noWrap/>
            <w:vAlign w:val="bottom"/>
            <w:hideMark/>
          </w:tcPr>
          <w:p w14:paraId="7F87CA92" w14:textId="77777777" w:rsidR="00D301A3" w:rsidRPr="00E20638" w:rsidRDefault="00D301A3" w:rsidP="00DC54F7">
            <w:pPr>
              <w:spacing w:after="0" w:line="240" w:lineRule="auto"/>
              <w:jc w:val="both"/>
              <w:rPr>
                <w:rFonts w:ascii="Calibri" w:eastAsia="Times New Roman" w:hAnsi="Calibri" w:cs="Calibri"/>
                <w:color w:val="000000"/>
                <w:lang w:eastAsia="en-GB"/>
              </w:rPr>
            </w:pPr>
            <w:r w:rsidRPr="00E20638">
              <w:rPr>
                <w:rFonts w:ascii="Calibri" w:eastAsia="Times New Roman" w:hAnsi="Calibri" w:cs="Calibri"/>
                <w:color w:val="000000"/>
                <w:lang w:eastAsia="en-GB"/>
              </w:rPr>
              <w:t>5</w:t>
            </w:r>
          </w:p>
        </w:tc>
      </w:tr>
      <w:tr w:rsidR="00D301A3" w:rsidRPr="00E20638" w14:paraId="6105A91E" w14:textId="77777777" w:rsidTr="00AA572E">
        <w:trPr>
          <w:trHeight w:val="290"/>
        </w:trPr>
        <w:tc>
          <w:tcPr>
            <w:tcW w:w="5807"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3C630DC9" w14:textId="77777777" w:rsidR="00D301A3" w:rsidRPr="00E20638" w:rsidRDefault="00D301A3" w:rsidP="00DC54F7">
            <w:pPr>
              <w:spacing w:after="0" w:line="240" w:lineRule="auto"/>
              <w:jc w:val="both"/>
              <w:rPr>
                <w:rFonts w:ascii="Arial" w:eastAsia="Times New Roman" w:hAnsi="Arial" w:cs="Arial"/>
                <w:b/>
                <w:bCs/>
                <w:color w:val="000000"/>
                <w:lang w:eastAsia="en-GB"/>
              </w:rPr>
            </w:pPr>
            <w:r w:rsidRPr="00E20638">
              <w:rPr>
                <w:rFonts w:ascii="Arial" w:eastAsia="Times New Roman" w:hAnsi="Arial" w:cs="Arial"/>
                <w:b/>
                <w:bCs/>
                <w:color w:val="000000"/>
                <w:lang w:eastAsia="en-GB"/>
              </w:rPr>
              <w:t> </w:t>
            </w:r>
          </w:p>
        </w:tc>
        <w:tc>
          <w:tcPr>
            <w:tcW w:w="1276" w:type="dxa"/>
            <w:tcBorders>
              <w:top w:val="nil"/>
              <w:left w:val="nil"/>
              <w:bottom w:val="single" w:sz="4" w:space="0" w:color="A6A6A6"/>
              <w:right w:val="single" w:sz="4" w:space="0" w:color="A6A6A6"/>
            </w:tcBorders>
            <w:shd w:val="clear" w:color="000000" w:fill="F2F2F2"/>
            <w:vAlign w:val="center"/>
            <w:hideMark/>
          </w:tcPr>
          <w:p w14:paraId="3F14A798" w14:textId="77777777" w:rsidR="00D301A3" w:rsidRPr="00E20638" w:rsidRDefault="00D301A3" w:rsidP="00DC54F7">
            <w:pPr>
              <w:spacing w:after="0" w:line="240" w:lineRule="auto"/>
              <w:jc w:val="both"/>
              <w:rPr>
                <w:rFonts w:ascii="Arial" w:eastAsia="Times New Roman" w:hAnsi="Arial" w:cs="Arial"/>
                <w:b/>
                <w:bCs/>
                <w:color w:val="000000"/>
                <w:sz w:val="18"/>
                <w:szCs w:val="18"/>
                <w:lang w:eastAsia="en-GB"/>
              </w:rPr>
            </w:pPr>
            <w:r w:rsidRPr="00E20638">
              <w:rPr>
                <w:rFonts w:ascii="Arial" w:eastAsia="Times New Roman" w:hAnsi="Arial" w:cs="Arial"/>
                <w:b/>
                <w:bCs/>
                <w:color w:val="000000"/>
                <w:sz w:val="18"/>
                <w:szCs w:val="18"/>
                <w:lang w:eastAsia="en-GB"/>
              </w:rPr>
              <w:t xml:space="preserve">Total </w:t>
            </w:r>
          </w:p>
        </w:tc>
        <w:tc>
          <w:tcPr>
            <w:tcW w:w="1134" w:type="dxa"/>
            <w:tcBorders>
              <w:top w:val="nil"/>
              <w:left w:val="nil"/>
              <w:bottom w:val="single" w:sz="4" w:space="0" w:color="A6A6A6"/>
              <w:right w:val="single" w:sz="4" w:space="0" w:color="A6A6A6"/>
            </w:tcBorders>
            <w:shd w:val="clear" w:color="000000" w:fill="F2F2F2"/>
            <w:noWrap/>
            <w:vAlign w:val="bottom"/>
            <w:hideMark/>
          </w:tcPr>
          <w:p w14:paraId="166E4850" w14:textId="77777777" w:rsidR="00D301A3" w:rsidRPr="00E20638" w:rsidRDefault="00D301A3" w:rsidP="00DC54F7">
            <w:pPr>
              <w:spacing w:after="0" w:line="240" w:lineRule="auto"/>
              <w:jc w:val="both"/>
              <w:rPr>
                <w:rFonts w:ascii="Calibri" w:eastAsia="Times New Roman" w:hAnsi="Calibri" w:cs="Calibri"/>
                <w:color w:val="000000"/>
                <w:lang w:eastAsia="en-GB"/>
              </w:rPr>
            </w:pPr>
            <w:r w:rsidRPr="00E20638">
              <w:rPr>
                <w:rFonts w:ascii="Calibri" w:eastAsia="Times New Roman" w:hAnsi="Calibri" w:cs="Calibri"/>
                <w:color w:val="000000"/>
                <w:lang w:eastAsia="en-GB"/>
              </w:rPr>
              <w:t>100.00%</w:t>
            </w:r>
          </w:p>
        </w:tc>
        <w:tc>
          <w:tcPr>
            <w:tcW w:w="992" w:type="dxa"/>
            <w:tcBorders>
              <w:top w:val="nil"/>
              <w:left w:val="nil"/>
              <w:bottom w:val="single" w:sz="4" w:space="0" w:color="A6A6A6"/>
              <w:right w:val="single" w:sz="4" w:space="0" w:color="A6A6A6"/>
            </w:tcBorders>
            <w:shd w:val="clear" w:color="000000" w:fill="F2F2F2"/>
            <w:noWrap/>
            <w:vAlign w:val="bottom"/>
            <w:hideMark/>
          </w:tcPr>
          <w:p w14:paraId="1FD8F397" w14:textId="77777777" w:rsidR="00D301A3" w:rsidRPr="00E20638" w:rsidRDefault="00D301A3" w:rsidP="00DC54F7">
            <w:pPr>
              <w:spacing w:after="0" w:line="240" w:lineRule="auto"/>
              <w:jc w:val="both"/>
              <w:rPr>
                <w:rFonts w:ascii="Calibri" w:eastAsia="Times New Roman" w:hAnsi="Calibri" w:cs="Calibri"/>
                <w:color w:val="000000"/>
                <w:lang w:eastAsia="en-GB"/>
              </w:rPr>
            </w:pPr>
            <w:r w:rsidRPr="00E20638">
              <w:rPr>
                <w:rFonts w:ascii="Calibri" w:eastAsia="Times New Roman" w:hAnsi="Calibri" w:cs="Calibri"/>
                <w:color w:val="000000"/>
                <w:lang w:eastAsia="en-GB"/>
              </w:rPr>
              <w:t>306</w:t>
            </w:r>
          </w:p>
        </w:tc>
      </w:tr>
      <w:tr w:rsidR="00D301A3" w:rsidRPr="00E20638" w14:paraId="7FE5458D" w14:textId="77777777" w:rsidTr="00AA572E">
        <w:trPr>
          <w:trHeight w:val="290"/>
        </w:trPr>
        <w:tc>
          <w:tcPr>
            <w:tcW w:w="5807" w:type="dxa"/>
            <w:gridSpan w:val="2"/>
            <w:vMerge/>
            <w:tcBorders>
              <w:top w:val="single" w:sz="4" w:space="0" w:color="A6A6A6"/>
              <w:left w:val="single" w:sz="4" w:space="0" w:color="A6A6A6"/>
              <w:bottom w:val="single" w:sz="4" w:space="0" w:color="A6A6A6"/>
              <w:right w:val="single" w:sz="4" w:space="0" w:color="A6A6A6"/>
            </w:tcBorders>
            <w:vAlign w:val="center"/>
            <w:hideMark/>
          </w:tcPr>
          <w:p w14:paraId="3135C5C2" w14:textId="77777777" w:rsidR="00D301A3" w:rsidRPr="00E20638" w:rsidRDefault="00D301A3" w:rsidP="00DC54F7">
            <w:pPr>
              <w:spacing w:after="0" w:line="240" w:lineRule="auto"/>
              <w:jc w:val="both"/>
              <w:rPr>
                <w:rFonts w:ascii="Arial" w:eastAsia="Times New Roman" w:hAnsi="Arial" w:cs="Arial"/>
                <w:b/>
                <w:bCs/>
                <w:color w:val="000000"/>
                <w:lang w:eastAsia="en-GB"/>
              </w:rPr>
            </w:pPr>
          </w:p>
        </w:tc>
        <w:tc>
          <w:tcPr>
            <w:tcW w:w="1276" w:type="dxa"/>
            <w:tcBorders>
              <w:top w:val="nil"/>
              <w:left w:val="nil"/>
              <w:bottom w:val="single" w:sz="4" w:space="0" w:color="A6A6A6"/>
              <w:right w:val="single" w:sz="4" w:space="0" w:color="A6A6A6"/>
            </w:tcBorders>
            <w:shd w:val="clear" w:color="000000" w:fill="F2F2F2"/>
            <w:vAlign w:val="center"/>
            <w:hideMark/>
          </w:tcPr>
          <w:p w14:paraId="76F05F7E" w14:textId="77777777" w:rsidR="00D301A3" w:rsidRPr="00E20638" w:rsidRDefault="00D301A3" w:rsidP="00DC54F7">
            <w:pPr>
              <w:spacing w:after="0" w:line="240" w:lineRule="auto"/>
              <w:jc w:val="both"/>
              <w:rPr>
                <w:rFonts w:ascii="Arial" w:eastAsia="Times New Roman" w:hAnsi="Arial" w:cs="Arial"/>
                <w:b/>
                <w:bCs/>
                <w:color w:val="000000"/>
                <w:sz w:val="18"/>
                <w:szCs w:val="18"/>
                <w:lang w:eastAsia="en-GB"/>
              </w:rPr>
            </w:pPr>
            <w:r w:rsidRPr="00E20638">
              <w:rPr>
                <w:rFonts w:ascii="Arial" w:eastAsia="Times New Roman" w:hAnsi="Arial" w:cs="Arial"/>
                <w:b/>
                <w:bCs/>
                <w:color w:val="000000"/>
                <w:sz w:val="18"/>
                <w:szCs w:val="18"/>
                <w:lang w:eastAsia="en-GB"/>
              </w:rPr>
              <w:t>Skipped</w:t>
            </w:r>
          </w:p>
        </w:tc>
        <w:tc>
          <w:tcPr>
            <w:tcW w:w="1134" w:type="dxa"/>
            <w:tcBorders>
              <w:top w:val="nil"/>
              <w:left w:val="nil"/>
              <w:bottom w:val="single" w:sz="4" w:space="0" w:color="A6A6A6"/>
              <w:right w:val="single" w:sz="4" w:space="0" w:color="A6A6A6"/>
            </w:tcBorders>
            <w:shd w:val="clear" w:color="000000" w:fill="F2F2F2"/>
            <w:noWrap/>
            <w:vAlign w:val="bottom"/>
            <w:hideMark/>
          </w:tcPr>
          <w:p w14:paraId="7E8C5191" w14:textId="77777777" w:rsidR="00D301A3" w:rsidRPr="00E20638" w:rsidRDefault="00D301A3" w:rsidP="00DC54F7">
            <w:pPr>
              <w:spacing w:after="0" w:line="240" w:lineRule="auto"/>
              <w:jc w:val="both"/>
              <w:rPr>
                <w:rFonts w:ascii="Calibri" w:eastAsia="Times New Roman" w:hAnsi="Calibri" w:cs="Calibri"/>
                <w:color w:val="000000"/>
                <w:lang w:eastAsia="en-GB"/>
              </w:rPr>
            </w:pPr>
            <w:r w:rsidRPr="00E20638">
              <w:rPr>
                <w:rFonts w:ascii="Calibri" w:eastAsia="Times New Roman" w:hAnsi="Calibri" w:cs="Calibri"/>
                <w:color w:val="000000"/>
                <w:lang w:eastAsia="en-GB"/>
              </w:rPr>
              <w:t> </w:t>
            </w:r>
          </w:p>
        </w:tc>
        <w:tc>
          <w:tcPr>
            <w:tcW w:w="992" w:type="dxa"/>
            <w:tcBorders>
              <w:top w:val="nil"/>
              <w:left w:val="nil"/>
              <w:bottom w:val="single" w:sz="4" w:space="0" w:color="A6A6A6"/>
              <w:right w:val="single" w:sz="4" w:space="0" w:color="A6A6A6"/>
            </w:tcBorders>
            <w:shd w:val="clear" w:color="000000" w:fill="F2F2F2"/>
            <w:noWrap/>
            <w:vAlign w:val="bottom"/>
            <w:hideMark/>
          </w:tcPr>
          <w:p w14:paraId="68221DFC" w14:textId="77777777" w:rsidR="00D301A3" w:rsidRPr="00E20638" w:rsidRDefault="00D301A3" w:rsidP="00DC54F7">
            <w:pPr>
              <w:spacing w:after="0" w:line="240" w:lineRule="auto"/>
              <w:jc w:val="both"/>
              <w:rPr>
                <w:rFonts w:ascii="Calibri" w:eastAsia="Times New Roman" w:hAnsi="Calibri" w:cs="Calibri"/>
                <w:color w:val="000000"/>
                <w:lang w:eastAsia="en-GB"/>
              </w:rPr>
            </w:pPr>
            <w:r w:rsidRPr="00E20638">
              <w:rPr>
                <w:rFonts w:ascii="Calibri" w:eastAsia="Times New Roman" w:hAnsi="Calibri" w:cs="Calibri"/>
                <w:color w:val="000000"/>
                <w:lang w:eastAsia="en-GB"/>
              </w:rPr>
              <w:t>5</w:t>
            </w:r>
          </w:p>
        </w:tc>
      </w:tr>
    </w:tbl>
    <w:p w14:paraId="19AA3FD7" w14:textId="77777777" w:rsidR="00D301A3" w:rsidRDefault="00D301A3" w:rsidP="00DC54F7">
      <w:pPr>
        <w:spacing w:after="0"/>
        <w:jc w:val="both"/>
        <w:rPr>
          <w:rFonts w:ascii="Arial" w:hAnsi="Arial" w:cs="Arial"/>
          <w:b/>
          <w:bCs/>
        </w:rPr>
      </w:pPr>
    </w:p>
    <w:p w14:paraId="7F45679F" w14:textId="77777777" w:rsidR="00D301A3" w:rsidRDefault="00D301A3" w:rsidP="00DC54F7">
      <w:pPr>
        <w:spacing w:after="0"/>
        <w:jc w:val="both"/>
        <w:rPr>
          <w:rFonts w:ascii="Arial" w:hAnsi="Arial" w:cs="Arial"/>
          <w:b/>
          <w:bCs/>
        </w:rPr>
      </w:pPr>
    </w:p>
    <w:p w14:paraId="5196ECF6" w14:textId="77777777" w:rsidR="009B59F3" w:rsidRDefault="009B59F3" w:rsidP="00DC54F7">
      <w:pPr>
        <w:spacing w:after="0"/>
        <w:jc w:val="both"/>
        <w:rPr>
          <w:rFonts w:ascii="Arial" w:hAnsi="Arial" w:cs="Arial"/>
          <w:b/>
          <w:bCs/>
        </w:rPr>
      </w:pPr>
    </w:p>
    <w:p w14:paraId="6EB2F6C8" w14:textId="77777777" w:rsidR="009B59F3" w:rsidRDefault="009B59F3" w:rsidP="00DC54F7">
      <w:pPr>
        <w:spacing w:after="0"/>
        <w:jc w:val="both"/>
        <w:rPr>
          <w:rFonts w:ascii="Arial" w:hAnsi="Arial" w:cs="Arial"/>
          <w:b/>
          <w:bCs/>
        </w:rPr>
      </w:pPr>
    </w:p>
    <w:p w14:paraId="6F3F41B8" w14:textId="77777777" w:rsidR="009B59F3" w:rsidRDefault="009B59F3" w:rsidP="00DC54F7">
      <w:pPr>
        <w:spacing w:after="0"/>
        <w:jc w:val="both"/>
        <w:rPr>
          <w:rFonts w:ascii="Arial" w:hAnsi="Arial" w:cs="Arial"/>
          <w:b/>
          <w:bCs/>
        </w:rPr>
      </w:pPr>
    </w:p>
    <w:p w14:paraId="04D5A11E" w14:textId="77777777" w:rsidR="009B59F3" w:rsidRDefault="009B59F3" w:rsidP="00DC54F7">
      <w:pPr>
        <w:spacing w:after="0"/>
        <w:jc w:val="both"/>
        <w:rPr>
          <w:rFonts w:ascii="Arial" w:hAnsi="Arial" w:cs="Arial"/>
          <w:b/>
          <w:bCs/>
        </w:rPr>
      </w:pPr>
    </w:p>
    <w:p w14:paraId="22C8CBBE" w14:textId="77777777" w:rsidR="009B59F3" w:rsidRDefault="009B59F3" w:rsidP="00DC54F7">
      <w:pPr>
        <w:spacing w:after="0"/>
        <w:jc w:val="both"/>
        <w:rPr>
          <w:rFonts w:ascii="Arial" w:hAnsi="Arial" w:cs="Arial"/>
          <w:b/>
          <w:bCs/>
        </w:rPr>
      </w:pPr>
    </w:p>
    <w:p w14:paraId="1D450413" w14:textId="77777777" w:rsidR="009B59F3" w:rsidRDefault="009B59F3" w:rsidP="00DC54F7">
      <w:pPr>
        <w:spacing w:after="0"/>
        <w:jc w:val="both"/>
        <w:rPr>
          <w:rFonts w:ascii="Arial" w:hAnsi="Arial" w:cs="Arial"/>
          <w:b/>
          <w:bCs/>
        </w:rPr>
      </w:pPr>
    </w:p>
    <w:p w14:paraId="291501C4" w14:textId="77777777" w:rsidR="009B59F3" w:rsidRDefault="009B59F3" w:rsidP="00DC54F7">
      <w:pPr>
        <w:spacing w:after="0"/>
        <w:jc w:val="both"/>
        <w:rPr>
          <w:rFonts w:ascii="Arial" w:hAnsi="Arial" w:cs="Arial"/>
          <w:b/>
          <w:bCs/>
        </w:rPr>
      </w:pPr>
    </w:p>
    <w:p w14:paraId="3E444A9F" w14:textId="77777777" w:rsidR="009B59F3" w:rsidRDefault="009B59F3" w:rsidP="00DC54F7">
      <w:pPr>
        <w:spacing w:after="0"/>
        <w:jc w:val="both"/>
        <w:rPr>
          <w:rFonts w:ascii="Arial" w:hAnsi="Arial" w:cs="Arial"/>
          <w:b/>
          <w:bCs/>
        </w:rPr>
      </w:pPr>
    </w:p>
    <w:p w14:paraId="69E400F7" w14:textId="77777777" w:rsidR="009B59F3" w:rsidRDefault="009B59F3" w:rsidP="00DC54F7">
      <w:pPr>
        <w:spacing w:after="0"/>
        <w:jc w:val="both"/>
        <w:rPr>
          <w:rFonts w:ascii="Arial" w:hAnsi="Arial" w:cs="Arial"/>
          <w:b/>
          <w:bCs/>
        </w:rPr>
      </w:pPr>
    </w:p>
    <w:p w14:paraId="5DF79A58" w14:textId="77777777" w:rsidR="009B59F3" w:rsidRDefault="009B59F3" w:rsidP="00DC54F7">
      <w:pPr>
        <w:spacing w:after="0"/>
        <w:jc w:val="both"/>
        <w:rPr>
          <w:rFonts w:ascii="Arial" w:hAnsi="Arial" w:cs="Arial"/>
          <w:b/>
          <w:bCs/>
        </w:rPr>
      </w:pPr>
    </w:p>
    <w:p w14:paraId="4CA373C4" w14:textId="77777777" w:rsidR="009B59F3" w:rsidRDefault="009B59F3" w:rsidP="00DC54F7">
      <w:pPr>
        <w:spacing w:after="0"/>
        <w:jc w:val="both"/>
        <w:rPr>
          <w:rFonts w:ascii="Arial" w:hAnsi="Arial" w:cs="Arial"/>
          <w:b/>
          <w:bCs/>
        </w:rPr>
      </w:pPr>
    </w:p>
    <w:p w14:paraId="62D27AC5" w14:textId="77777777" w:rsidR="009B59F3" w:rsidRDefault="009B59F3" w:rsidP="00DC54F7">
      <w:pPr>
        <w:spacing w:after="0"/>
        <w:jc w:val="both"/>
        <w:rPr>
          <w:rFonts w:ascii="Arial" w:hAnsi="Arial" w:cs="Arial"/>
          <w:b/>
          <w:bCs/>
        </w:rPr>
      </w:pPr>
    </w:p>
    <w:p w14:paraId="48304EF3" w14:textId="46BC9F34" w:rsidR="009B59F3" w:rsidRDefault="009B59F3">
      <w:pPr>
        <w:rPr>
          <w:rFonts w:ascii="Arial" w:hAnsi="Arial" w:cs="Arial"/>
          <w:b/>
          <w:bCs/>
        </w:rPr>
      </w:pPr>
      <w:r>
        <w:rPr>
          <w:rFonts w:ascii="Arial" w:hAnsi="Arial" w:cs="Arial"/>
          <w:b/>
          <w:bCs/>
        </w:rPr>
        <w:br w:type="page"/>
      </w:r>
    </w:p>
    <w:p w14:paraId="4D346CC0" w14:textId="77777777" w:rsidR="009B59F3" w:rsidRDefault="009B59F3" w:rsidP="00DC54F7">
      <w:pPr>
        <w:spacing w:after="0"/>
        <w:jc w:val="both"/>
        <w:rPr>
          <w:rFonts w:ascii="Arial" w:hAnsi="Arial" w:cs="Arial"/>
          <w:b/>
          <w:bCs/>
        </w:rPr>
      </w:pPr>
    </w:p>
    <w:p w14:paraId="24A547CF" w14:textId="7A48D54C" w:rsidR="00D301A3" w:rsidRPr="003C7D04" w:rsidRDefault="00D301A3" w:rsidP="00DC54F7">
      <w:pPr>
        <w:spacing w:after="0"/>
        <w:jc w:val="both"/>
        <w:rPr>
          <w:rFonts w:ascii="Arial" w:hAnsi="Arial" w:cs="Arial"/>
          <w:b/>
          <w:bCs/>
        </w:rPr>
      </w:pPr>
      <w:r w:rsidRPr="003C7D04">
        <w:rPr>
          <w:rFonts w:ascii="Arial" w:hAnsi="Arial" w:cs="Arial"/>
          <w:b/>
          <w:bCs/>
        </w:rPr>
        <w:t>31. What is your ethnic group? Please tick one</w:t>
      </w:r>
      <w:r>
        <w:rPr>
          <w:rFonts w:ascii="Arial" w:hAnsi="Arial" w:cs="Arial"/>
          <w:b/>
          <w:bCs/>
        </w:rPr>
        <w:t>.</w:t>
      </w:r>
      <w:r w:rsidRPr="003C7D04">
        <w:rPr>
          <w:rFonts w:ascii="Arial" w:hAnsi="Arial" w:cs="Arial"/>
          <w:b/>
          <w:bCs/>
        </w:rPr>
        <w:t xml:space="preserve"> Where the term British is used, this refers to any of the four home nations of Wales, England, Northern Ireland and Scotland, or any combination of these.</w:t>
      </w:r>
    </w:p>
    <w:p w14:paraId="73C08C37" w14:textId="77777777" w:rsidR="00D301A3" w:rsidRDefault="00D301A3" w:rsidP="00DC54F7">
      <w:pPr>
        <w:spacing w:after="0"/>
        <w:jc w:val="both"/>
        <w:rPr>
          <w:rFonts w:ascii="Arial" w:hAnsi="Arial" w:cs="Arial"/>
        </w:rPr>
      </w:pPr>
    </w:p>
    <w:tbl>
      <w:tblPr>
        <w:tblW w:w="9209" w:type="dxa"/>
        <w:tblLook w:val="04A0" w:firstRow="1" w:lastRow="0" w:firstColumn="1" w:lastColumn="0" w:noHBand="0" w:noVBand="1"/>
      </w:tblPr>
      <w:tblGrid>
        <w:gridCol w:w="960"/>
        <w:gridCol w:w="4847"/>
        <w:gridCol w:w="1276"/>
        <w:gridCol w:w="1134"/>
        <w:gridCol w:w="992"/>
      </w:tblGrid>
      <w:tr w:rsidR="00D301A3" w:rsidRPr="00EB2264" w14:paraId="1B61AD19" w14:textId="77777777" w:rsidTr="00AA572E">
        <w:trPr>
          <w:trHeight w:val="290"/>
        </w:trPr>
        <w:tc>
          <w:tcPr>
            <w:tcW w:w="7083" w:type="dxa"/>
            <w:gridSpan w:val="3"/>
            <w:tcBorders>
              <w:top w:val="single" w:sz="4" w:space="0" w:color="A6A6A6"/>
              <w:left w:val="single" w:sz="4" w:space="0" w:color="A6A6A6"/>
              <w:bottom w:val="single" w:sz="4" w:space="0" w:color="A6A6A6"/>
              <w:right w:val="nil"/>
            </w:tcBorders>
            <w:shd w:val="clear" w:color="000000" w:fill="8497B0"/>
            <w:noWrap/>
            <w:vAlign w:val="center"/>
            <w:hideMark/>
          </w:tcPr>
          <w:p w14:paraId="3CD006C7" w14:textId="77777777" w:rsidR="00D301A3" w:rsidRPr="00EB2264" w:rsidRDefault="00D301A3" w:rsidP="00DC54F7">
            <w:pPr>
              <w:spacing w:after="0" w:line="240" w:lineRule="auto"/>
              <w:jc w:val="both"/>
              <w:rPr>
                <w:rFonts w:ascii="Arial" w:eastAsia="Times New Roman" w:hAnsi="Arial" w:cs="Arial"/>
                <w:b/>
                <w:bCs/>
                <w:color w:val="FFFFFF"/>
                <w:sz w:val="21"/>
                <w:szCs w:val="21"/>
                <w:lang w:eastAsia="en-GB"/>
              </w:rPr>
            </w:pPr>
            <w:r w:rsidRPr="00EB2264">
              <w:rPr>
                <w:rFonts w:ascii="Arial" w:eastAsia="Times New Roman" w:hAnsi="Arial" w:cs="Arial"/>
                <w:b/>
                <w:bCs/>
                <w:color w:val="FFFFFF"/>
                <w:sz w:val="21"/>
                <w:szCs w:val="21"/>
                <w:lang w:eastAsia="en-GB"/>
              </w:rPr>
              <w:t> </w:t>
            </w:r>
          </w:p>
        </w:tc>
        <w:tc>
          <w:tcPr>
            <w:tcW w:w="2126" w:type="dxa"/>
            <w:gridSpan w:val="2"/>
            <w:tcBorders>
              <w:top w:val="single" w:sz="4" w:space="0" w:color="A6A6A6"/>
              <w:left w:val="nil"/>
              <w:bottom w:val="single" w:sz="4" w:space="0" w:color="A6A6A6"/>
              <w:right w:val="single" w:sz="4" w:space="0" w:color="A6A6A6"/>
            </w:tcBorders>
            <w:shd w:val="clear" w:color="000000" w:fill="8497B0"/>
            <w:noWrap/>
            <w:vAlign w:val="center"/>
            <w:hideMark/>
          </w:tcPr>
          <w:p w14:paraId="13A0D03F" w14:textId="77777777" w:rsidR="00D301A3" w:rsidRPr="00EB2264" w:rsidRDefault="00D301A3" w:rsidP="00DC54F7">
            <w:pPr>
              <w:spacing w:after="0" w:line="240" w:lineRule="auto"/>
              <w:jc w:val="both"/>
              <w:rPr>
                <w:rFonts w:ascii="Arial" w:eastAsia="Times New Roman" w:hAnsi="Arial" w:cs="Arial"/>
                <w:b/>
                <w:bCs/>
                <w:color w:val="FFFFFF"/>
                <w:sz w:val="21"/>
                <w:szCs w:val="21"/>
                <w:lang w:eastAsia="en-GB"/>
              </w:rPr>
            </w:pPr>
            <w:r w:rsidRPr="00EB2264">
              <w:rPr>
                <w:rFonts w:ascii="Arial" w:eastAsia="Times New Roman" w:hAnsi="Arial" w:cs="Arial"/>
                <w:b/>
                <w:bCs/>
                <w:color w:val="FFFFFF"/>
                <w:sz w:val="21"/>
                <w:szCs w:val="21"/>
                <w:lang w:eastAsia="en-GB"/>
              </w:rPr>
              <w:t>Response</w:t>
            </w:r>
          </w:p>
        </w:tc>
      </w:tr>
      <w:tr w:rsidR="00D301A3" w:rsidRPr="00EB2264" w14:paraId="39D85ED5" w14:textId="77777777" w:rsidTr="00AA572E">
        <w:trPr>
          <w:trHeight w:val="290"/>
        </w:trPr>
        <w:tc>
          <w:tcPr>
            <w:tcW w:w="7083"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0D3A5201" w14:textId="77777777" w:rsidR="00D301A3" w:rsidRPr="00EB2264" w:rsidRDefault="00D301A3" w:rsidP="00DC54F7">
            <w:pPr>
              <w:spacing w:after="0" w:line="240" w:lineRule="auto"/>
              <w:jc w:val="both"/>
              <w:rPr>
                <w:rFonts w:ascii="Arial" w:eastAsia="Times New Roman" w:hAnsi="Arial" w:cs="Arial"/>
                <w:b/>
                <w:bCs/>
                <w:color w:val="000000"/>
                <w:sz w:val="18"/>
                <w:szCs w:val="18"/>
                <w:lang w:eastAsia="en-GB"/>
              </w:rPr>
            </w:pPr>
            <w:r w:rsidRPr="00EB2264">
              <w:rPr>
                <w:rFonts w:ascii="Arial" w:eastAsia="Times New Roman" w:hAnsi="Arial" w:cs="Arial"/>
                <w:b/>
                <w:bCs/>
                <w:color w:val="000000"/>
                <w:sz w:val="18"/>
                <w:szCs w:val="18"/>
                <w:lang w:eastAsia="en-GB"/>
              </w:rPr>
              <w:t> </w:t>
            </w:r>
          </w:p>
        </w:tc>
        <w:tc>
          <w:tcPr>
            <w:tcW w:w="1134" w:type="dxa"/>
            <w:tcBorders>
              <w:top w:val="nil"/>
              <w:left w:val="nil"/>
              <w:bottom w:val="single" w:sz="4" w:space="0" w:color="A6A6A6"/>
              <w:right w:val="single" w:sz="4" w:space="0" w:color="A6A6A6"/>
            </w:tcBorders>
            <w:shd w:val="clear" w:color="000000" w:fill="F2F2F2"/>
            <w:noWrap/>
            <w:vAlign w:val="center"/>
            <w:hideMark/>
          </w:tcPr>
          <w:p w14:paraId="1168B381" w14:textId="77777777" w:rsidR="00D301A3" w:rsidRPr="00EB2264" w:rsidRDefault="00D301A3" w:rsidP="00DC54F7">
            <w:pPr>
              <w:spacing w:after="0" w:line="240" w:lineRule="auto"/>
              <w:jc w:val="both"/>
              <w:rPr>
                <w:rFonts w:ascii="Arial" w:eastAsia="Times New Roman" w:hAnsi="Arial" w:cs="Arial"/>
                <w:b/>
                <w:bCs/>
                <w:color w:val="000000"/>
                <w:sz w:val="18"/>
                <w:szCs w:val="18"/>
                <w:lang w:eastAsia="en-GB"/>
              </w:rPr>
            </w:pPr>
            <w:r w:rsidRPr="00EB2264">
              <w:rPr>
                <w:rFonts w:ascii="Arial" w:eastAsia="Times New Roman" w:hAnsi="Arial" w:cs="Arial"/>
                <w:b/>
                <w:bCs/>
                <w:color w:val="000000"/>
                <w:sz w:val="18"/>
                <w:szCs w:val="18"/>
                <w:lang w:eastAsia="en-GB"/>
              </w:rPr>
              <w:t>Percent</w:t>
            </w:r>
          </w:p>
        </w:tc>
        <w:tc>
          <w:tcPr>
            <w:tcW w:w="992" w:type="dxa"/>
            <w:tcBorders>
              <w:top w:val="nil"/>
              <w:left w:val="nil"/>
              <w:bottom w:val="single" w:sz="4" w:space="0" w:color="A6A6A6"/>
              <w:right w:val="single" w:sz="4" w:space="0" w:color="A6A6A6"/>
            </w:tcBorders>
            <w:shd w:val="clear" w:color="000000" w:fill="F2F2F2"/>
            <w:noWrap/>
            <w:vAlign w:val="center"/>
            <w:hideMark/>
          </w:tcPr>
          <w:p w14:paraId="78BB05BF" w14:textId="77777777" w:rsidR="00D301A3" w:rsidRPr="00EB2264" w:rsidRDefault="00D301A3" w:rsidP="00DC54F7">
            <w:pPr>
              <w:spacing w:after="0" w:line="240" w:lineRule="auto"/>
              <w:jc w:val="both"/>
              <w:rPr>
                <w:rFonts w:ascii="Arial" w:eastAsia="Times New Roman" w:hAnsi="Arial" w:cs="Arial"/>
                <w:b/>
                <w:bCs/>
                <w:color w:val="000000"/>
                <w:sz w:val="18"/>
                <w:szCs w:val="18"/>
                <w:lang w:eastAsia="en-GB"/>
              </w:rPr>
            </w:pPr>
            <w:r w:rsidRPr="00EB2264">
              <w:rPr>
                <w:rFonts w:ascii="Arial" w:eastAsia="Times New Roman" w:hAnsi="Arial" w:cs="Arial"/>
                <w:b/>
                <w:bCs/>
                <w:color w:val="000000"/>
                <w:sz w:val="18"/>
                <w:szCs w:val="18"/>
                <w:lang w:eastAsia="en-GB"/>
              </w:rPr>
              <w:t>Total</w:t>
            </w:r>
          </w:p>
        </w:tc>
      </w:tr>
      <w:tr w:rsidR="00D301A3" w:rsidRPr="00EB2264" w14:paraId="41A2D2B6"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3CBAE154"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1</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68632616"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White - Welsh/English/ Scottish/Northern Irish/British</w:t>
            </w:r>
          </w:p>
        </w:tc>
        <w:tc>
          <w:tcPr>
            <w:tcW w:w="1134" w:type="dxa"/>
            <w:tcBorders>
              <w:top w:val="nil"/>
              <w:left w:val="nil"/>
              <w:bottom w:val="single" w:sz="4" w:space="0" w:color="A6A6A6"/>
              <w:right w:val="single" w:sz="4" w:space="0" w:color="A6A6A6"/>
            </w:tcBorders>
            <w:shd w:val="clear" w:color="000000" w:fill="F2F2F2"/>
            <w:noWrap/>
            <w:vAlign w:val="bottom"/>
            <w:hideMark/>
          </w:tcPr>
          <w:p w14:paraId="3EB8FA47"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91.88%</w:t>
            </w:r>
          </w:p>
        </w:tc>
        <w:tc>
          <w:tcPr>
            <w:tcW w:w="992" w:type="dxa"/>
            <w:tcBorders>
              <w:top w:val="nil"/>
              <w:left w:val="nil"/>
              <w:bottom w:val="single" w:sz="4" w:space="0" w:color="A6A6A6"/>
              <w:right w:val="single" w:sz="4" w:space="0" w:color="A6A6A6"/>
            </w:tcBorders>
            <w:shd w:val="clear" w:color="000000" w:fill="F2F2F2"/>
            <w:noWrap/>
            <w:vAlign w:val="bottom"/>
            <w:hideMark/>
          </w:tcPr>
          <w:p w14:paraId="596638ED"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283</w:t>
            </w:r>
          </w:p>
        </w:tc>
      </w:tr>
      <w:tr w:rsidR="00D301A3" w:rsidRPr="00EB2264" w14:paraId="511F0044"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E7A5833"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2</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56966C53"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White - Irish</w:t>
            </w:r>
          </w:p>
        </w:tc>
        <w:tc>
          <w:tcPr>
            <w:tcW w:w="1134" w:type="dxa"/>
            <w:tcBorders>
              <w:top w:val="nil"/>
              <w:left w:val="nil"/>
              <w:bottom w:val="single" w:sz="4" w:space="0" w:color="A6A6A6"/>
              <w:right w:val="single" w:sz="4" w:space="0" w:color="A6A6A6"/>
            </w:tcBorders>
            <w:shd w:val="clear" w:color="000000" w:fill="F2F2F2"/>
            <w:noWrap/>
            <w:vAlign w:val="bottom"/>
            <w:hideMark/>
          </w:tcPr>
          <w:p w14:paraId="63C69726"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0.65%</w:t>
            </w:r>
          </w:p>
        </w:tc>
        <w:tc>
          <w:tcPr>
            <w:tcW w:w="992" w:type="dxa"/>
            <w:tcBorders>
              <w:top w:val="nil"/>
              <w:left w:val="nil"/>
              <w:bottom w:val="single" w:sz="4" w:space="0" w:color="A6A6A6"/>
              <w:right w:val="single" w:sz="4" w:space="0" w:color="A6A6A6"/>
            </w:tcBorders>
            <w:shd w:val="clear" w:color="000000" w:fill="F2F2F2"/>
            <w:noWrap/>
            <w:vAlign w:val="bottom"/>
            <w:hideMark/>
          </w:tcPr>
          <w:p w14:paraId="54A17554"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2</w:t>
            </w:r>
          </w:p>
        </w:tc>
      </w:tr>
      <w:tr w:rsidR="00D301A3" w:rsidRPr="00EB2264" w14:paraId="1E9B1C81"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2D5A07FF"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3</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71F18C90"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White - Gypsy or Irish Traveller</w:t>
            </w:r>
          </w:p>
        </w:tc>
        <w:tc>
          <w:tcPr>
            <w:tcW w:w="1134" w:type="dxa"/>
            <w:tcBorders>
              <w:top w:val="nil"/>
              <w:left w:val="nil"/>
              <w:bottom w:val="single" w:sz="4" w:space="0" w:color="A6A6A6"/>
              <w:right w:val="single" w:sz="4" w:space="0" w:color="A6A6A6"/>
            </w:tcBorders>
            <w:shd w:val="clear" w:color="000000" w:fill="F2F2F2"/>
            <w:noWrap/>
            <w:vAlign w:val="bottom"/>
            <w:hideMark/>
          </w:tcPr>
          <w:p w14:paraId="5AAA62BA"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0.32%</w:t>
            </w:r>
          </w:p>
        </w:tc>
        <w:tc>
          <w:tcPr>
            <w:tcW w:w="992" w:type="dxa"/>
            <w:tcBorders>
              <w:top w:val="nil"/>
              <w:left w:val="nil"/>
              <w:bottom w:val="single" w:sz="4" w:space="0" w:color="A6A6A6"/>
              <w:right w:val="single" w:sz="4" w:space="0" w:color="A6A6A6"/>
            </w:tcBorders>
            <w:shd w:val="clear" w:color="000000" w:fill="F2F2F2"/>
            <w:noWrap/>
            <w:vAlign w:val="bottom"/>
            <w:hideMark/>
          </w:tcPr>
          <w:p w14:paraId="559A617F"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1</w:t>
            </w:r>
          </w:p>
        </w:tc>
      </w:tr>
      <w:tr w:rsidR="00D301A3" w:rsidRPr="00EB2264" w14:paraId="50749AB0"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3FA152C3"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4</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2AF0CAC6"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White - Any other white background (please specify below)</w:t>
            </w:r>
          </w:p>
        </w:tc>
        <w:tc>
          <w:tcPr>
            <w:tcW w:w="1134" w:type="dxa"/>
            <w:tcBorders>
              <w:top w:val="nil"/>
              <w:left w:val="nil"/>
              <w:bottom w:val="single" w:sz="4" w:space="0" w:color="A6A6A6"/>
              <w:right w:val="single" w:sz="4" w:space="0" w:color="A6A6A6"/>
            </w:tcBorders>
            <w:shd w:val="clear" w:color="000000" w:fill="F2F2F2"/>
            <w:noWrap/>
            <w:vAlign w:val="bottom"/>
            <w:hideMark/>
          </w:tcPr>
          <w:p w14:paraId="729FCFCA"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1.30%</w:t>
            </w:r>
          </w:p>
        </w:tc>
        <w:tc>
          <w:tcPr>
            <w:tcW w:w="992" w:type="dxa"/>
            <w:tcBorders>
              <w:top w:val="nil"/>
              <w:left w:val="nil"/>
              <w:bottom w:val="single" w:sz="4" w:space="0" w:color="A6A6A6"/>
              <w:right w:val="single" w:sz="4" w:space="0" w:color="A6A6A6"/>
            </w:tcBorders>
            <w:shd w:val="clear" w:color="000000" w:fill="F2F2F2"/>
            <w:noWrap/>
            <w:vAlign w:val="bottom"/>
            <w:hideMark/>
          </w:tcPr>
          <w:p w14:paraId="77F36B9F"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4</w:t>
            </w:r>
          </w:p>
        </w:tc>
      </w:tr>
      <w:tr w:rsidR="00D301A3" w:rsidRPr="00EB2264" w14:paraId="4CEC114D"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245F2961"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5</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71C3471A"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Mixed/Multiple Ethnic Groups - White &amp; Asian</w:t>
            </w:r>
          </w:p>
        </w:tc>
        <w:tc>
          <w:tcPr>
            <w:tcW w:w="1134" w:type="dxa"/>
            <w:tcBorders>
              <w:top w:val="nil"/>
              <w:left w:val="nil"/>
              <w:bottom w:val="single" w:sz="4" w:space="0" w:color="A6A6A6"/>
              <w:right w:val="single" w:sz="4" w:space="0" w:color="A6A6A6"/>
            </w:tcBorders>
            <w:shd w:val="clear" w:color="000000" w:fill="F2F2F2"/>
            <w:noWrap/>
            <w:vAlign w:val="bottom"/>
            <w:hideMark/>
          </w:tcPr>
          <w:p w14:paraId="6B8B9A9E"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0.65%</w:t>
            </w:r>
          </w:p>
        </w:tc>
        <w:tc>
          <w:tcPr>
            <w:tcW w:w="992" w:type="dxa"/>
            <w:tcBorders>
              <w:top w:val="nil"/>
              <w:left w:val="nil"/>
              <w:bottom w:val="single" w:sz="4" w:space="0" w:color="A6A6A6"/>
              <w:right w:val="single" w:sz="4" w:space="0" w:color="A6A6A6"/>
            </w:tcBorders>
            <w:shd w:val="clear" w:color="000000" w:fill="F2F2F2"/>
            <w:noWrap/>
            <w:vAlign w:val="bottom"/>
            <w:hideMark/>
          </w:tcPr>
          <w:p w14:paraId="65B78812"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2</w:t>
            </w:r>
          </w:p>
        </w:tc>
      </w:tr>
      <w:tr w:rsidR="00D301A3" w:rsidRPr="00EB2264" w14:paraId="4069106F"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7608CFE"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6</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6E0DB3D4"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Mixed/Multiple Ethnic Groups - White and Black Caribbean</w:t>
            </w:r>
          </w:p>
        </w:tc>
        <w:tc>
          <w:tcPr>
            <w:tcW w:w="1134" w:type="dxa"/>
            <w:tcBorders>
              <w:top w:val="nil"/>
              <w:left w:val="nil"/>
              <w:bottom w:val="single" w:sz="4" w:space="0" w:color="A6A6A6"/>
              <w:right w:val="single" w:sz="4" w:space="0" w:color="A6A6A6"/>
            </w:tcBorders>
            <w:shd w:val="clear" w:color="000000" w:fill="F2F2F2"/>
            <w:noWrap/>
            <w:vAlign w:val="bottom"/>
            <w:hideMark/>
          </w:tcPr>
          <w:p w14:paraId="1EB8B7C4"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0.32%</w:t>
            </w:r>
          </w:p>
        </w:tc>
        <w:tc>
          <w:tcPr>
            <w:tcW w:w="992" w:type="dxa"/>
            <w:tcBorders>
              <w:top w:val="nil"/>
              <w:left w:val="nil"/>
              <w:bottom w:val="single" w:sz="4" w:space="0" w:color="A6A6A6"/>
              <w:right w:val="single" w:sz="4" w:space="0" w:color="A6A6A6"/>
            </w:tcBorders>
            <w:shd w:val="clear" w:color="000000" w:fill="F2F2F2"/>
            <w:noWrap/>
            <w:vAlign w:val="bottom"/>
            <w:hideMark/>
          </w:tcPr>
          <w:p w14:paraId="2F6E9579"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1</w:t>
            </w:r>
          </w:p>
        </w:tc>
      </w:tr>
      <w:tr w:rsidR="00D301A3" w:rsidRPr="00EB2264" w14:paraId="64904E4D"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19A8451F"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7</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67708516"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Mixed/Multiple Ethnic Groups - White and Black African</w:t>
            </w:r>
          </w:p>
        </w:tc>
        <w:tc>
          <w:tcPr>
            <w:tcW w:w="1134" w:type="dxa"/>
            <w:tcBorders>
              <w:top w:val="nil"/>
              <w:left w:val="nil"/>
              <w:bottom w:val="single" w:sz="4" w:space="0" w:color="A6A6A6"/>
              <w:right w:val="single" w:sz="4" w:space="0" w:color="A6A6A6"/>
            </w:tcBorders>
            <w:shd w:val="clear" w:color="000000" w:fill="F2F2F2"/>
            <w:noWrap/>
            <w:vAlign w:val="bottom"/>
            <w:hideMark/>
          </w:tcPr>
          <w:p w14:paraId="62AE7A20"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0.32%</w:t>
            </w:r>
          </w:p>
        </w:tc>
        <w:tc>
          <w:tcPr>
            <w:tcW w:w="992" w:type="dxa"/>
            <w:tcBorders>
              <w:top w:val="nil"/>
              <w:left w:val="nil"/>
              <w:bottom w:val="single" w:sz="4" w:space="0" w:color="A6A6A6"/>
              <w:right w:val="single" w:sz="4" w:space="0" w:color="A6A6A6"/>
            </w:tcBorders>
            <w:shd w:val="clear" w:color="000000" w:fill="F2F2F2"/>
            <w:noWrap/>
            <w:vAlign w:val="bottom"/>
            <w:hideMark/>
          </w:tcPr>
          <w:p w14:paraId="5A90155C"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1</w:t>
            </w:r>
          </w:p>
        </w:tc>
      </w:tr>
      <w:tr w:rsidR="00D301A3" w:rsidRPr="00EB2264" w14:paraId="371D607F"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0F18BEAF"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8</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435809D4"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Mixed/Multiple Ethnic Groups - Any other (please specify below)</w:t>
            </w:r>
          </w:p>
        </w:tc>
        <w:tc>
          <w:tcPr>
            <w:tcW w:w="1134" w:type="dxa"/>
            <w:tcBorders>
              <w:top w:val="nil"/>
              <w:left w:val="nil"/>
              <w:bottom w:val="single" w:sz="4" w:space="0" w:color="A6A6A6"/>
              <w:right w:val="single" w:sz="4" w:space="0" w:color="A6A6A6"/>
            </w:tcBorders>
            <w:shd w:val="clear" w:color="000000" w:fill="F2F2F2"/>
            <w:noWrap/>
            <w:vAlign w:val="bottom"/>
            <w:hideMark/>
          </w:tcPr>
          <w:p w14:paraId="237DE415"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0.00%</w:t>
            </w:r>
          </w:p>
        </w:tc>
        <w:tc>
          <w:tcPr>
            <w:tcW w:w="992" w:type="dxa"/>
            <w:tcBorders>
              <w:top w:val="nil"/>
              <w:left w:val="nil"/>
              <w:bottom w:val="single" w:sz="4" w:space="0" w:color="A6A6A6"/>
              <w:right w:val="single" w:sz="4" w:space="0" w:color="A6A6A6"/>
            </w:tcBorders>
            <w:shd w:val="clear" w:color="000000" w:fill="F2F2F2"/>
            <w:noWrap/>
            <w:vAlign w:val="bottom"/>
            <w:hideMark/>
          </w:tcPr>
          <w:p w14:paraId="2FA3B9D8"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w:t>
            </w:r>
          </w:p>
        </w:tc>
      </w:tr>
      <w:tr w:rsidR="00D301A3" w:rsidRPr="00EB2264" w14:paraId="5AD04E12"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7D0BB77B"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9</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458AF799"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Asian/Asian Welsh/British - Chinese</w:t>
            </w:r>
          </w:p>
        </w:tc>
        <w:tc>
          <w:tcPr>
            <w:tcW w:w="1134" w:type="dxa"/>
            <w:tcBorders>
              <w:top w:val="nil"/>
              <w:left w:val="nil"/>
              <w:bottom w:val="single" w:sz="4" w:space="0" w:color="A6A6A6"/>
              <w:right w:val="single" w:sz="4" w:space="0" w:color="A6A6A6"/>
            </w:tcBorders>
            <w:shd w:val="clear" w:color="000000" w:fill="F2F2F2"/>
            <w:noWrap/>
            <w:vAlign w:val="bottom"/>
            <w:hideMark/>
          </w:tcPr>
          <w:p w14:paraId="7F49839E"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0.97%</w:t>
            </w:r>
          </w:p>
        </w:tc>
        <w:tc>
          <w:tcPr>
            <w:tcW w:w="992" w:type="dxa"/>
            <w:tcBorders>
              <w:top w:val="nil"/>
              <w:left w:val="nil"/>
              <w:bottom w:val="single" w:sz="4" w:space="0" w:color="A6A6A6"/>
              <w:right w:val="single" w:sz="4" w:space="0" w:color="A6A6A6"/>
            </w:tcBorders>
            <w:shd w:val="clear" w:color="000000" w:fill="F2F2F2"/>
            <w:noWrap/>
            <w:vAlign w:val="bottom"/>
            <w:hideMark/>
          </w:tcPr>
          <w:p w14:paraId="424B38D6"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3</w:t>
            </w:r>
          </w:p>
        </w:tc>
      </w:tr>
      <w:tr w:rsidR="00D301A3" w:rsidRPr="00EB2264" w14:paraId="3DFE88D9"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044FEAB3"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10</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08EB868F"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Asian/Asian Welsh/British – Pakistani</w:t>
            </w:r>
          </w:p>
        </w:tc>
        <w:tc>
          <w:tcPr>
            <w:tcW w:w="1134" w:type="dxa"/>
            <w:tcBorders>
              <w:top w:val="nil"/>
              <w:left w:val="nil"/>
              <w:bottom w:val="single" w:sz="4" w:space="0" w:color="A6A6A6"/>
              <w:right w:val="single" w:sz="4" w:space="0" w:color="A6A6A6"/>
            </w:tcBorders>
            <w:shd w:val="clear" w:color="000000" w:fill="F2F2F2"/>
            <w:noWrap/>
            <w:vAlign w:val="bottom"/>
            <w:hideMark/>
          </w:tcPr>
          <w:p w14:paraId="4E95D1E6"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0.00%</w:t>
            </w:r>
          </w:p>
        </w:tc>
        <w:tc>
          <w:tcPr>
            <w:tcW w:w="992" w:type="dxa"/>
            <w:tcBorders>
              <w:top w:val="nil"/>
              <w:left w:val="nil"/>
              <w:bottom w:val="single" w:sz="4" w:space="0" w:color="A6A6A6"/>
              <w:right w:val="single" w:sz="4" w:space="0" w:color="A6A6A6"/>
            </w:tcBorders>
            <w:shd w:val="clear" w:color="000000" w:fill="F2F2F2"/>
            <w:noWrap/>
            <w:vAlign w:val="bottom"/>
            <w:hideMark/>
          </w:tcPr>
          <w:p w14:paraId="64A23600"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w:t>
            </w:r>
          </w:p>
        </w:tc>
      </w:tr>
      <w:tr w:rsidR="00D301A3" w:rsidRPr="00EB2264" w14:paraId="5FC21ECF"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68D4C76B"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11</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45F344DD"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Asian/Asian Welsh/British - Bangladeshi</w:t>
            </w:r>
          </w:p>
        </w:tc>
        <w:tc>
          <w:tcPr>
            <w:tcW w:w="1134" w:type="dxa"/>
            <w:tcBorders>
              <w:top w:val="nil"/>
              <w:left w:val="nil"/>
              <w:bottom w:val="single" w:sz="4" w:space="0" w:color="A6A6A6"/>
              <w:right w:val="single" w:sz="4" w:space="0" w:color="A6A6A6"/>
            </w:tcBorders>
            <w:shd w:val="clear" w:color="000000" w:fill="F2F2F2"/>
            <w:noWrap/>
            <w:vAlign w:val="bottom"/>
            <w:hideMark/>
          </w:tcPr>
          <w:p w14:paraId="20A5A8D4"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0.32%</w:t>
            </w:r>
          </w:p>
        </w:tc>
        <w:tc>
          <w:tcPr>
            <w:tcW w:w="992" w:type="dxa"/>
            <w:tcBorders>
              <w:top w:val="nil"/>
              <w:left w:val="nil"/>
              <w:bottom w:val="single" w:sz="4" w:space="0" w:color="A6A6A6"/>
              <w:right w:val="single" w:sz="4" w:space="0" w:color="A6A6A6"/>
            </w:tcBorders>
            <w:shd w:val="clear" w:color="000000" w:fill="F2F2F2"/>
            <w:noWrap/>
            <w:vAlign w:val="bottom"/>
            <w:hideMark/>
          </w:tcPr>
          <w:p w14:paraId="0E4A9EFE"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1</w:t>
            </w:r>
          </w:p>
        </w:tc>
      </w:tr>
      <w:tr w:rsidR="00D301A3" w:rsidRPr="00EB2264" w14:paraId="70F3737D"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3524CF4E"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12</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6031B096"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Asian/Asian Welsh/British - Indian</w:t>
            </w:r>
          </w:p>
        </w:tc>
        <w:tc>
          <w:tcPr>
            <w:tcW w:w="1134" w:type="dxa"/>
            <w:tcBorders>
              <w:top w:val="nil"/>
              <w:left w:val="nil"/>
              <w:bottom w:val="single" w:sz="4" w:space="0" w:color="A6A6A6"/>
              <w:right w:val="single" w:sz="4" w:space="0" w:color="A6A6A6"/>
            </w:tcBorders>
            <w:shd w:val="clear" w:color="000000" w:fill="F2F2F2"/>
            <w:noWrap/>
            <w:vAlign w:val="bottom"/>
            <w:hideMark/>
          </w:tcPr>
          <w:p w14:paraId="6D504EBE"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1.30%</w:t>
            </w:r>
          </w:p>
        </w:tc>
        <w:tc>
          <w:tcPr>
            <w:tcW w:w="992" w:type="dxa"/>
            <w:tcBorders>
              <w:top w:val="nil"/>
              <w:left w:val="nil"/>
              <w:bottom w:val="single" w:sz="4" w:space="0" w:color="A6A6A6"/>
              <w:right w:val="single" w:sz="4" w:space="0" w:color="A6A6A6"/>
            </w:tcBorders>
            <w:shd w:val="clear" w:color="000000" w:fill="F2F2F2"/>
            <w:noWrap/>
            <w:vAlign w:val="bottom"/>
            <w:hideMark/>
          </w:tcPr>
          <w:p w14:paraId="3CE9D093"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4</w:t>
            </w:r>
          </w:p>
        </w:tc>
      </w:tr>
      <w:tr w:rsidR="00D301A3" w:rsidRPr="00EB2264" w14:paraId="68052A98"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46A26551"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13</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5F15A546"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Asian/Asian Welsh/British - Any other (please specify below)</w:t>
            </w:r>
          </w:p>
        </w:tc>
        <w:tc>
          <w:tcPr>
            <w:tcW w:w="1134" w:type="dxa"/>
            <w:tcBorders>
              <w:top w:val="nil"/>
              <w:left w:val="nil"/>
              <w:bottom w:val="single" w:sz="4" w:space="0" w:color="A6A6A6"/>
              <w:right w:val="single" w:sz="4" w:space="0" w:color="A6A6A6"/>
            </w:tcBorders>
            <w:shd w:val="clear" w:color="000000" w:fill="F2F2F2"/>
            <w:noWrap/>
            <w:vAlign w:val="bottom"/>
            <w:hideMark/>
          </w:tcPr>
          <w:p w14:paraId="5C7247E5"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0.00%</w:t>
            </w:r>
          </w:p>
        </w:tc>
        <w:tc>
          <w:tcPr>
            <w:tcW w:w="992" w:type="dxa"/>
            <w:tcBorders>
              <w:top w:val="nil"/>
              <w:left w:val="nil"/>
              <w:bottom w:val="single" w:sz="4" w:space="0" w:color="A6A6A6"/>
              <w:right w:val="single" w:sz="4" w:space="0" w:color="A6A6A6"/>
            </w:tcBorders>
            <w:shd w:val="clear" w:color="000000" w:fill="F2F2F2"/>
            <w:noWrap/>
            <w:vAlign w:val="bottom"/>
            <w:hideMark/>
          </w:tcPr>
          <w:p w14:paraId="273CF163"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w:t>
            </w:r>
          </w:p>
        </w:tc>
      </w:tr>
      <w:tr w:rsidR="00D301A3" w:rsidRPr="00EB2264" w14:paraId="6BCF0573"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293FFBF0"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14</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16B0DD30"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Black/African/Caribbean/Black Welsh/British - African</w:t>
            </w:r>
          </w:p>
        </w:tc>
        <w:tc>
          <w:tcPr>
            <w:tcW w:w="1134" w:type="dxa"/>
            <w:tcBorders>
              <w:top w:val="nil"/>
              <w:left w:val="nil"/>
              <w:bottom w:val="single" w:sz="4" w:space="0" w:color="A6A6A6"/>
              <w:right w:val="single" w:sz="4" w:space="0" w:color="A6A6A6"/>
            </w:tcBorders>
            <w:shd w:val="clear" w:color="000000" w:fill="F2F2F2"/>
            <w:noWrap/>
            <w:vAlign w:val="bottom"/>
            <w:hideMark/>
          </w:tcPr>
          <w:p w14:paraId="1A223A5B"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0.00%</w:t>
            </w:r>
          </w:p>
        </w:tc>
        <w:tc>
          <w:tcPr>
            <w:tcW w:w="992" w:type="dxa"/>
            <w:tcBorders>
              <w:top w:val="nil"/>
              <w:left w:val="nil"/>
              <w:bottom w:val="single" w:sz="4" w:space="0" w:color="A6A6A6"/>
              <w:right w:val="single" w:sz="4" w:space="0" w:color="A6A6A6"/>
            </w:tcBorders>
            <w:shd w:val="clear" w:color="000000" w:fill="F2F2F2"/>
            <w:noWrap/>
            <w:vAlign w:val="bottom"/>
            <w:hideMark/>
          </w:tcPr>
          <w:p w14:paraId="2E256637"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w:t>
            </w:r>
          </w:p>
        </w:tc>
      </w:tr>
      <w:tr w:rsidR="00D301A3" w:rsidRPr="00EB2264" w14:paraId="2EB711B5"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0010F2D5"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15</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25409824"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Black/African/Caribbean/Black Welsh/British – Caribbean</w:t>
            </w:r>
          </w:p>
        </w:tc>
        <w:tc>
          <w:tcPr>
            <w:tcW w:w="1134" w:type="dxa"/>
            <w:tcBorders>
              <w:top w:val="nil"/>
              <w:left w:val="nil"/>
              <w:bottom w:val="single" w:sz="4" w:space="0" w:color="A6A6A6"/>
              <w:right w:val="single" w:sz="4" w:space="0" w:color="A6A6A6"/>
            </w:tcBorders>
            <w:shd w:val="clear" w:color="000000" w:fill="F2F2F2"/>
            <w:noWrap/>
            <w:vAlign w:val="bottom"/>
            <w:hideMark/>
          </w:tcPr>
          <w:p w14:paraId="3A1970DA"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0.00%</w:t>
            </w:r>
          </w:p>
        </w:tc>
        <w:tc>
          <w:tcPr>
            <w:tcW w:w="992" w:type="dxa"/>
            <w:tcBorders>
              <w:top w:val="nil"/>
              <w:left w:val="nil"/>
              <w:bottom w:val="single" w:sz="4" w:space="0" w:color="A6A6A6"/>
              <w:right w:val="single" w:sz="4" w:space="0" w:color="A6A6A6"/>
            </w:tcBorders>
            <w:shd w:val="clear" w:color="000000" w:fill="F2F2F2"/>
            <w:noWrap/>
            <w:vAlign w:val="bottom"/>
            <w:hideMark/>
          </w:tcPr>
          <w:p w14:paraId="7D0B1F27"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w:t>
            </w:r>
          </w:p>
        </w:tc>
      </w:tr>
      <w:tr w:rsidR="00D301A3" w:rsidRPr="00EB2264" w14:paraId="604607C2"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402F0E04"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16</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6839914F"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Black/African/Caribbean/Black Welsh/British - Any other (please specify below)</w:t>
            </w:r>
          </w:p>
        </w:tc>
        <w:tc>
          <w:tcPr>
            <w:tcW w:w="1134" w:type="dxa"/>
            <w:tcBorders>
              <w:top w:val="nil"/>
              <w:left w:val="nil"/>
              <w:bottom w:val="single" w:sz="4" w:space="0" w:color="A6A6A6"/>
              <w:right w:val="single" w:sz="4" w:space="0" w:color="A6A6A6"/>
            </w:tcBorders>
            <w:shd w:val="clear" w:color="000000" w:fill="F2F2F2"/>
            <w:noWrap/>
            <w:vAlign w:val="bottom"/>
            <w:hideMark/>
          </w:tcPr>
          <w:p w14:paraId="03886616"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0.00%</w:t>
            </w:r>
          </w:p>
        </w:tc>
        <w:tc>
          <w:tcPr>
            <w:tcW w:w="992" w:type="dxa"/>
            <w:tcBorders>
              <w:top w:val="nil"/>
              <w:left w:val="nil"/>
              <w:bottom w:val="single" w:sz="4" w:space="0" w:color="A6A6A6"/>
              <w:right w:val="single" w:sz="4" w:space="0" w:color="A6A6A6"/>
            </w:tcBorders>
            <w:shd w:val="clear" w:color="000000" w:fill="F2F2F2"/>
            <w:noWrap/>
            <w:vAlign w:val="bottom"/>
            <w:hideMark/>
          </w:tcPr>
          <w:p w14:paraId="22C0FA10"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w:t>
            </w:r>
          </w:p>
        </w:tc>
      </w:tr>
      <w:tr w:rsidR="00D301A3" w:rsidRPr="00EB2264" w14:paraId="733EDAD9"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79A49668"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17</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3A2B1A6E"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Arab</w:t>
            </w:r>
          </w:p>
        </w:tc>
        <w:tc>
          <w:tcPr>
            <w:tcW w:w="1134" w:type="dxa"/>
            <w:tcBorders>
              <w:top w:val="nil"/>
              <w:left w:val="nil"/>
              <w:bottom w:val="single" w:sz="4" w:space="0" w:color="A6A6A6"/>
              <w:right w:val="single" w:sz="4" w:space="0" w:color="A6A6A6"/>
            </w:tcBorders>
            <w:shd w:val="clear" w:color="000000" w:fill="F2F2F2"/>
            <w:noWrap/>
            <w:vAlign w:val="bottom"/>
            <w:hideMark/>
          </w:tcPr>
          <w:p w14:paraId="22A1B12C"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0.00%</w:t>
            </w:r>
          </w:p>
        </w:tc>
        <w:tc>
          <w:tcPr>
            <w:tcW w:w="992" w:type="dxa"/>
            <w:tcBorders>
              <w:top w:val="nil"/>
              <w:left w:val="nil"/>
              <w:bottom w:val="single" w:sz="4" w:space="0" w:color="A6A6A6"/>
              <w:right w:val="single" w:sz="4" w:space="0" w:color="A6A6A6"/>
            </w:tcBorders>
            <w:shd w:val="clear" w:color="000000" w:fill="F2F2F2"/>
            <w:noWrap/>
            <w:vAlign w:val="bottom"/>
            <w:hideMark/>
          </w:tcPr>
          <w:p w14:paraId="3016BC34"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w:t>
            </w:r>
          </w:p>
        </w:tc>
      </w:tr>
      <w:tr w:rsidR="00D301A3" w:rsidRPr="00EB2264" w14:paraId="537875DA"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4D5EAD5E"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18</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442DD6C6"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Prefer not to say</w:t>
            </w:r>
          </w:p>
        </w:tc>
        <w:tc>
          <w:tcPr>
            <w:tcW w:w="1134" w:type="dxa"/>
            <w:tcBorders>
              <w:top w:val="nil"/>
              <w:left w:val="nil"/>
              <w:bottom w:val="single" w:sz="4" w:space="0" w:color="A6A6A6"/>
              <w:right w:val="single" w:sz="4" w:space="0" w:color="A6A6A6"/>
            </w:tcBorders>
            <w:shd w:val="clear" w:color="000000" w:fill="F2F2F2"/>
            <w:noWrap/>
            <w:vAlign w:val="bottom"/>
            <w:hideMark/>
          </w:tcPr>
          <w:p w14:paraId="2D954BCA"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1.95%</w:t>
            </w:r>
          </w:p>
        </w:tc>
        <w:tc>
          <w:tcPr>
            <w:tcW w:w="992" w:type="dxa"/>
            <w:tcBorders>
              <w:top w:val="nil"/>
              <w:left w:val="nil"/>
              <w:bottom w:val="single" w:sz="4" w:space="0" w:color="A6A6A6"/>
              <w:right w:val="single" w:sz="4" w:space="0" w:color="A6A6A6"/>
            </w:tcBorders>
            <w:shd w:val="clear" w:color="000000" w:fill="F2F2F2"/>
            <w:noWrap/>
            <w:vAlign w:val="bottom"/>
            <w:hideMark/>
          </w:tcPr>
          <w:p w14:paraId="53894066"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6</w:t>
            </w:r>
          </w:p>
        </w:tc>
      </w:tr>
      <w:tr w:rsidR="00D301A3" w:rsidRPr="00EB2264" w14:paraId="7628AE35" w14:textId="77777777" w:rsidTr="00AA572E">
        <w:trPr>
          <w:trHeight w:val="290"/>
        </w:trPr>
        <w:tc>
          <w:tcPr>
            <w:tcW w:w="960" w:type="dxa"/>
            <w:tcBorders>
              <w:top w:val="nil"/>
              <w:left w:val="single" w:sz="4" w:space="0" w:color="A6A6A6"/>
              <w:bottom w:val="single" w:sz="4" w:space="0" w:color="A6A6A6"/>
              <w:right w:val="single" w:sz="4" w:space="0" w:color="A6A6A6"/>
            </w:tcBorders>
            <w:shd w:val="clear" w:color="000000" w:fill="F2F2F2"/>
            <w:vAlign w:val="center"/>
            <w:hideMark/>
          </w:tcPr>
          <w:p w14:paraId="4F4DFC25"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19</w:t>
            </w:r>
          </w:p>
        </w:tc>
        <w:tc>
          <w:tcPr>
            <w:tcW w:w="6123" w:type="dxa"/>
            <w:gridSpan w:val="2"/>
            <w:tcBorders>
              <w:top w:val="single" w:sz="4" w:space="0" w:color="A6A6A6"/>
              <w:left w:val="nil"/>
              <w:bottom w:val="single" w:sz="4" w:space="0" w:color="A6A6A6"/>
              <w:right w:val="single" w:sz="4" w:space="0" w:color="A6A6A6"/>
            </w:tcBorders>
            <w:shd w:val="clear" w:color="auto" w:fill="auto"/>
            <w:vAlign w:val="center"/>
            <w:hideMark/>
          </w:tcPr>
          <w:p w14:paraId="7DCEEA02" w14:textId="77777777" w:rsidR="00D301A3" w:rsidRPr="00EB2264" w:rsidRDefault="00D301A3" w:rsidP="00DC54F7">
            <w:pPr>
              <w:spacing w:after="0" w:line="240" w:lineRule="auto"/>
              <w:jc w:val="both"/>
              <w:rPr>
                <w:rFonts w:ascii="Arial" w:eastAsia="Times New Roman" w:hAnsi="Arial" w:cs="Arial"/>
                <w:color w:val="000000"/>
                <w:sz w:val="18"/>
                <w:szCs w:val="18"/>
                <w:lang w:eastAsia="en-GB"/>
              </w:rPr>
            </w:pPr>
            <w:r w:rsidRPr="00EB2264">
              <w:rPr>
                <w:rFonts w:ascii="Arial" w:eastAsia="Times New Roman" w:hAnsi="Arial" w:cs="Arial"/>
                <w:color w:val="000000"/>
                <w:sz w:val="18"/>
                <w:szCs w:val="18"/>
                <w:lang w:eastAsia="en-GB"/>
              </w:rPr>
              <w:t>Any other ethnic group (please specify below)</w:t>
            </w:r>
          </w:p>
        </w:tc>
        <w:tc>
          <w:tcPr>
            <w:tcW w:w="1134" w:type="dxa"/>
            <w:tcBorders>
              <w:top w:val="nil"/>
              <w:left w:val="nil"/>
              <w:bottom w:val="single" w:sz="4" w:space="0" w:color="A6A6A6"/>
              <w:right w:val="single" w:sz="4" w:space="0" w:color="A6A6A6"/>
            </w:tcBorders>
            <w:shd w:val="clear" w:color="000000" w:fill="F2F2F2"/>
            <w:noWrap/>
            <w:vAlign w:val="bottom"/>
            <w:hideMark/>
          </w:tcPr>
          <w:p w14:paraId="05F45560"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0.00%</w:t>
            </w:r>
          </w:p>
        </w:tc>
        <w:tc>
          <w:tcPr>
            <w:tcW w:w="992" w:type="dxa"/>
            <w:tcBorders>
              <w:top w:val="nil"/>
              <w:left w:val="nil"/>
              <w:bottom w:val="single" w:sz="4" w:space="0" w:color="A6A6A6"/>
              <w:right w:val="single" w:sz="4" w:space="0" w:color="A6A6A6"/>
            </w:tcBorders>
            <w:shd w:val="clear" w:color="000000" w:fill="F2F2F2"/>
            <w:noWrap/>
            <w:vAlign w:val="bottom"/>
            <w:hideMark/>
          </w:tcPr>
          <w:p w14:paraId="097C0717"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0</w:t>
            </w:r>
          </w:p>
        </w:tc>
      </w:tr>
      <w:tr w:rsidR="00D301A3" w:rsidRPr="00EB2264" w14:paraId="05FB40AD" w14:textId="77777777" w:rsidTr="00AA572E">
        <w:trPr>
          <w:trHeight w:val="290"/>
        </w:trPr>
        <w:tc>
          <w:tcPr>
            <w:tcW w:w="5807"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11B01195" w14:textId="77777777" w:rsidR="00D301A3" w:rsidRPr="00EB2264" w:rsidRDefault="00D301A3" w:rsidP="00DC54F7">
            <w:pPr>
              <w:spacing w:after="0" w:line="240" w:lineRule="auto"/>
              <w:jc w:val="both"/>
              <w:rPr>
                <w:rFonts w:ascii="Arial" w:eastAsia="Times New Roman" w:hAnsi="Arial" w:cs="Arial"/>
                <w:b/>
                <w:bCs/>
                <w:color w:val="000000"/>
                <w:lang w:eastAsia="en-GB"/>
              </w:rPr>
            </w:pPr>
            <w:r w:rsidRPr="00EB2264">
              <w:rPr>
                <w:rFonts w:ascii="Arial" w:eastAsia="Times New Roman" w:hAnsi="Arial" w:cs="Arial"/>
                <w:b/>
                <w:bCs/>
                <w:color w:val="000000"/>
                <w:lang w:eastAsia="en-GB"/>
              </w:rPr>
              <w:t> </w:t>
            </w:r>
          </w:p>
        </w:tc>
        <w:tc>
          <w:tcPr>
            <w:tcW w:w="1276" w:type="dxa"/>
            <w:tcBorders>
              <w:top w:val="nil"/>
              <w:left w:val="nil"/>
              <w:bottom w:val="single" w:sz="4" w:space="0" w:color="A6A6A6"/>
              <w:right w:val="single" w:sz="4" w:space="0" w:color="A6A6A6"/>
            </w:tcBorders>
            <w:shd w:val="clear" w:color="000000" w:fill="F2F2F2"/>
            <w:vAlign w:val="center"/>
            <w:hideMark/>
          </w:tcPr>
          <w:p w14:paraId="2A9F2B04" w14:textId="77777777" w:rsidR="00D301A3" w:rsidRPr="00EB2264" w:rsidRDefault="00D301A3" w:rsidP="00DC54F7">
            <w:pPr>
              <w:spacing w:after="0" w:line="240" w:lineRule="auto"/>
              <w:jc w:val="both"/>
              <w:rPr>
                <w:rFonts w:ascii="Arial" w:eastAsia="Times New Roman" w:hAnsi="Arial" w:cs="Arial"/>
                <w:b/>
                <w:bCs/>
                <w:color w:val="000000"/>
                <w:sz w:val="18"/>
                <w:szCs w:val="18"/>
                <w:lang w:eastAsia="en-GB"/>
              </w:rPr>
            </w:pPr>
            <w:r w:rsidRPr="00EB2264">
              <w:rPr>
                <w:rFonts w:ascii="Arial" w:eastAsia="Times New Roman" w:hAnsi="Arial" w:cs="Arial"/>
                <w:b/>
                <w:bCs/>
                <w:color w:val="000000"/>
                <w:sz w:val="18"/>
                <w:szCs w:val="18"/>
                <w:lang w:eastAsia="en-GB"/>
              </w:rPr>
              <w:t xml:space="preserve">Total </w:t>
            </w:r>
          </w:p>
        </w:tc>
        <w:tc>
          <w:tcPr>
            <w:tcW w:w="1134" w:type="dxa"/>
            <w:tcBorders>
              <w:top w:val="nil"/>
              <w:left w:val="nil"/>
              <w:bottom w:val="single" w:sz="4" w:space="0" w:color="A6A6A6"/>
              <w:right w:val="single" w:sz="4" w:space="0" w:color="A6A6A6"/>
            </w:tcBorders>
            <w:shd w:val="clear" w:color="000000" w:fill="F2F2F2"/>
            <w:noWrap/>
            <w:vAlign w:val="bottom"/>
            <w:hideMark/>
          </w:tcPr>
          <w:p w14:paraId="37420089"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100.00%</w:t>
            </w:r>
          </w:p>
        </w:tc>
        <w:tc>
          <w:tcPr>
            <w:tcW w:w="992" w:type="dxa"/>
            <w:tcBorders>
              <w:top w:val="nil"/>
              <w:left w:val="nil"/>
              <w:bottom w:val="single" w:sz="4" w:space="0" w:color="A6A6A6"/>
              <w:right w:val="single" w:sz="4" w:space="0" w:color="A6A6A6"/>
            </w:tcBorders>
            <w:shd w:val="clear" w:color="000000" w:fill="F2F2F2"/>
            <w:noWrap/>
            <w:vAlign w:val="bottom"/>
            <w:hideMark/>
          </w:tcPr>
          <w:p w14:paraId="7A1B5791"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308</w:t>
            </w:r>
          </w:p>
        </w:tc>
      </w:tr>
      <w:tr w:rsidR="00D301A3" w:rsidRPr="00EB2264" w14:paraId="70FDBBC8" w14:textId="77777777" w:rsidTr="00AA572E">
        <w:trPr>
          <w:trHeight w:val="290"/>
        </w:trPr>
        <w:tc>
          <w:tcPr>
            <w:tcW w:w="5807" w:type="dxa"/>
            <w:gridSpan w:val="2"/>
            <w:vMerge/>
            <w:tcBorders>
              <w:top w:val="single" w:sz="4" w:space="0" w:color="A6A6A6"/>
              <w:left w:val="single" w:sz="4" w:space="0" w:color="A6A6A6"/>
              <w:bottom w:val="single" w:sz="4" w:space="0" w:color="A6A6A6"/>
              <w:right w:val="single" w:sz="4" w:space="0" w:color="A6A6A6"/>
            </w:tcBorders>
            <w:vAlign w:val="center"/>
            <w:hideMark/>
          </w:tcPr>
          <w:p w14:paraId="12ECEF03" w14:textId="77777777" w:rsidR="00D301A3" w:rsidRPr="00EB2264" w:rsidRDefault="00D301A3" w:rsidP="00DC54F7">
            <w:pPr>
              <w:spacing w:after="0" w:line="240" w:lineRule="auto"/>
              <w:jc w:val="both"/>
              <w:rPr>
                <w:rFonts w:ascii="Arial" w:eastAsia="Times New Roman" w:hAnsi="Arial" w:cs="Arial"/>
                <w:b/>
                <w:bCs/>
                <w:color w:val="000000"/>
                <w:lang w:eastAsia="en-GB"/>
              </w:rPr>
            </w:pPr>
          </w:p>
        </w:tc>
        <w:tc>
          <w:tcPr>
            <w:tcW w:w="1276" w:type="dxa"/>
            <w:tcBorders>
              <w:top w:val="nil"/>
              <w:left w:val="nil"/>
              <w:bottom w:val="single" w:sz="4" w:space="0" w:color="A6A6A6"/>
              <w:right w:val="single" w:sz="4" w:space="0" w:color="A6A6A6"/>
            </w:tcBorders>
            <w:shd w:val="clear" w:color="000000" w:fill="F2F2F2"/>
            <w:vAlign w:val="center"/>
            <w:hideMark/>
          </w:tcPr>
          <w:p w14:paraId="269A087A" w14:textId="77777777" w:rsidR="00D301A3" w:rsidRPr="00EB2264" w:rsidRDefault="00D301A3" w:rsidP="00DC54F7">
            <w:pPr>
              <w:spacing w:after="0" w:line="240" w:lineRule="auto"/>
              <w:jc w:val="both"/>
              <w:rPr>
                <w:rFonts w:ascii="Arial" w:eastAsia="Times New Roman" w:hAnsi="Arial" w:cs="Arial"/>
                <w:b/>
                <w:bCs/>
                <w:color w:val="000000"/>
                <w:sz w:val="18"/>
                <w:szCs w:val="18"/>
                <w:lang w:eastAsia="en-GB"/>
              </w:rPr>
            </w:pPr>
            <w:r w:rsidRPr="00EB2264">
              <w:rPr>
                <w:rFonts w:ascii="Arial" w:eastAsia="Times New Roman" w:hAnsi="Arial" w:cs="Arial"/>
                <w:b/>
                <w:bCs/>
                <w:color w:val="000000"/>
                <w:sz w:val="18"/>
                <w:szCs w:val="18"/>
                <w:lang w:eastAsia="en-GB"/>
              </w:rPr>
              <w:t>Skipped</w:t>
            </w:r>
          </w:p>
        </w:tc>
        <w:tc>
          <w:tcPr>
            <w:tcW w:w="1134" w:type="dxa"/>
            <w:tcBorders>
              <w:top w:val="nil"/>
              <w:left w:val="nil"/>
              <w:bottom w:val="single" w:sz="4" w:space="0" w:color="A6A6A6"/>
              <w:right w:val="single" w:sz="4" w:space="0" w:color="A6A6A6"/>
            </w:tcBorders>
            <w:shd w:val="clear" w:color="000000" w:fill="F2F2F2"/>
            <w:noWrap/>
            <w:vAlign w:val="bottom"/>
            <w:hideMark/>
          </w:tcPr>
          <w:p w14:paraId="7E44079C"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 </w:t>
            </w:r>
          </w:p>
        </w:tc>
        <w:tc>
          <w:tcPr>
            <w:tcW w:w="992" w:type="dxa"/>
            <w:tcBorders>
              <w:top w:val="nil"/>
              <w:left w:val="nil"/>
              <w:bottom w:val="single" w:sz="4" w:space="0" w:color="A6A6A6"/>
              <w:right w:val="single" w:sz="4" w:space="0" w:color="A6A6A6"/>
            </w:tcBorders>
            <w:shd w:val="clear" w:color="000000" w:fill="F2F2F2"/>
            <w:noWrap/>
            <w:vAlign w:val="bottom"/>
            <w:hideMark/>
          </w:tcPr>
          <w:p w14:paraId="12E4DCF7" w14:textId="77777777" w:rsidR="00D301A3" w:rsidRPr="00EB2264" w:rsidRDefault="00D301A3" w:rsidP="00DC54F7">
            <w:pPr>
              <w:spacing w:after="0" w:line="240" w:lineRule="auto"/>
              <w:jc w:val="both"/>
              <w:rPr>
                <w:rFonts w:ascii="Calibri" w:eastAsia="Times New Roman" w:hAnsi="Calibri" w:cs="Calibri"/>
                <w:color w:val="000000"/>
                <w:lang w:eastAsia="en-GB"/>
              </w:rPr>
            </w:pPr>
            <w:r w:rsidRPr="00EB2264">
              <w:rPr>
                <w:rFonts w:ascii="Calibri" w:eastAsia="Times New Roman" w:hAnsi="Calibri" w:cs="Calibri"/>
                <w:color w:val="000000"/>
                <w:lang w:eastAsia="en-GB"/>
              </w:rPr>
              <w:t>3</w:t>
            </w:r>
          </w:p>
        </w:tc>
      </w:tr>
    </w:tbl>
    <w:p w14:paraId="5119CF82" w14:textId="77777777" w:rsidR="00D301A3" w:rsidRDefault="00D301A3" w:rsidP="00DC54F7">
      <w:pPr>
        <w:spacing w:after="0"/>
        <w:jc w:val="both"/>
        <w:rPr>
          <w:rFonts w:ascii="Arial" w:hAnsi="Arial" w:cs="Arial"/>
        </w:rPr>
      </w:pPr>
    </w:p>
    <w:p w14:paraId="663A7EC6" w14:textId="77777777" w:rsidR="00D301A3" w:rsidRDefault="00D301A3" w:rsidP="00DC54F7">
      <w:pPr>
        <w:spacing w:after="0"/>
        <w:jc w:val="both"/>
        <w:rPr>
          <w:rFonts w:ascii="Arial" w:hAnsi="Arial" w:cs="Arial"/>
        </w:rPr>
      </w:pPr>
    </w:p>
    <w:p w14:paraId="6D1E55E2" w14:textId="77777777" w:rsidR="00D301A3" w:rsidRPr="00570D8A" w:rsidRDefault="00D301A3" w:rsidP="00DC54F7">
      <w:pPr>
        <w:spacing w:after="0"/>
        <w:jc w:val="both"/>
        <w:rPr>
          <w:rFonts w:ascii="Arial" w:hAnsi="Arial" w:cs="Arial"/>
          <w:b/>
          <w:bCs/>
        </w:rPr>
      </w:pPr>
      <w:r w:rsidRPr="00570D8A">
        <w:rPr>
          <w:rFonts w:ascii="Arial" w:hAnsi="Arial" w:cs="Arial"/>
          <w:b/>
          <w:bCs/>
        </w:rPr>
        <w:t>A total of five comments were received:</w:t>
      </w:r>
    </w:p>
    <w:p w14:paraId="3FD1A4C8" w14:textId="77777777" w:rsidR="00D301A3" w:rsidRPr="00570D8A" w:rsidRDefault="00D301A3" w:rsidP="00DC54F7">
      <w:pPr>
        <w:pStyle w:val="ListParagraph"/>
        <w:numPr>
          <w:ilvl w:val="0"/>
          <w:numId w:val="172"/>
        </w:numPr>
        <w:spacing w:after="0" w:line="259" w:lineRule="auto"/>
        <w:jc w:val="both"/>
        <w:rPr>
          <w:rFonts w:ascii="Arial" w:hAnsi="Arial" w:cs="Arial"/>
        </w:rPr>
      </w:pPr>
      <w:r w:rsidRPr="00570D8A">
        <w:rPr>
          <w:rFonts w:ascii="Arial" w:hAnsi="Arial" w:cs="Arial"/>
        </w:rPr>
        <w:t>Welsh white</w:t>
      </w:r>
    </w:p>
    <w:p w14:paraId="68AB52DD" w14:textId="77777777" w:rsidR="00D301A3" w:rsidRPr="00570D8A" w:rsidRDefault="00D301A3" w:rsidP="00DC54F7">
      <w:pPr>
        <w:pStyle w:val="ListParagraph"/>
        <w:numPr>
          <w:ilvl w:val="0"/>
          <w:numId w:val="172"/>
        </w:numPr>
        <w:spacing w:after="0" w:line="259" w:lineRule="auto"/>
        <w:jc w:val="both"/>
        <w:rPr>
          <w:rFonts w:ascii="Arial" w:hAnsi="Arial" w:cs="Arial"/>
        </w:rPr>
      </w:pPr>
      <w:r w:rsidRPr="00570D8A">
        <w:rPr>
          <w:rFonts w:ascii="Arial" w:hAnsi="Arial" w:cs="Arial"/>
        </w:rPr>
        <w:t>Cornish</w:t>
      </w:r>
    </w:p>
    <w:p w14:paraId="0F96C9B2" w14:textId="77777777" w:rsidR="00D301A3" w:rsidRPr="00570D8A" w:rsidRDefault="00D301A3" w:rsidP="00DC54F7">
      <w:pPr>
        <w:pStyle w:val="ListParagraph"/>
        <w:numPr>
          <w:ilvl w:val="0"/>
          <w:numId w:val="172"/>
        </w:numPr>
        <w:spacing w:after="0" w:line="259" w:lineRule="auto"/>
        <w:jc w:val="both"/>
        <w:rPr>
          <w:rFonts w:ascii="Arial" w:hAnsi="Arial" w:cs="Arial"/>
        </w:rPr>
      </w:pPr>
      <w:r w:rsidRPr="00570D8A">
        <w:rPr>
          <w:rFonts w:ascii="Arial" w:hAnsi="Arial" w:cs="Arial"/>
        </w:rPr>
        <w:t xml:space="preserve">Mixed race </w:t>
      </w:r>
    </w:p>
    <w:p w14:paraId="26C46A3D" w14:textId="77777777" w:rsidR="00D301A3" w:rsidRPr="00570D8A" w:rsidRDefault="00D301A3" w:rsidP="00DC54F7">
      <w:pPr>
        <w:pStyle w:val="ListParagraph"/>
        <w:numPr>
          <w:ilvl w:val="0"/>
          <w:numId w:val="172"/>
        </w:numPr>
        <w:spacing w:after="0" w:line="259" w:lineRule="auto"/>
        <w:jc w:val="both"/>
        <w:rPr>
          <w:rFonts w:ascii="Arial" w:hAnsi="Arial" w:cs="Arial"/>
        </w:rPr>
      </w:pPr>
      <w:r w:rsidRPr="00570D8A">
        <w:rPr>
          <w:rFonts w:ascii="Arial" w:hAnsi="Arial" w:cs="Arial"/>
        </w:rPr>
        <w:t>Greek</w:t>
      </w:r>
    </w:p>
    <w:p w14:paraId="582C5EF4" w14:textId="77777777" w:rsidR="00D301A3" w:rsidRPr="00570D8A" w:rsidRDefault="00D301A3" w:rsidP="00DC54F7">
      <w:pPr>
        <w:pStyle w:val="ListParagraph"/>
        <w:numPr>
          <w:ilvl w:val="0"/>
          <w:numId w:val="172"/>
        </w:numPr>
        <w:spacing w:after="0" w:line="259" w:lineRule="auto"/>
        <w:jc w:val="both"/>
        <w:rPr>
          <w:rFonts w:ascii="Arial" w:hAnsi="Arial" w:cs="Arial"/>
        </w:rPr>
      </w:pPr>
      <w:r w:rsidRPr="00570D8A">
        <w:rPr>
          <w:rFonts w:ascii="Arial" w:hAnsi="Arial" w:cs="Arial"/>
        </w:rPr>
        <w:t>Dutch</w:t>
      </w:r>
    </w:p>
    <w:p w14:paraId="57F51A05" w14:textId="77777777" w:rsidR="002C1E14" w:rsidRPr="00A10850" w:rsidRDefault="002C1E14" w:rsidP="00DC54F7">
      <w:pPr>
        <w:spacing w:after="0" w:line="240" w:lineRule="auto"/>
        <w:jc w:val="both"/>
        <w:rPr>
          <w:rFonts w:ascii="Arial" w:hAnsi="Arial" w:cs="Arial"/>
        </w:rPr>
      </w:pPr>
    </w:p>
    <w:p w14:paraId="5CAC867F" w14:textId="77777777" w:rsidR="002124D8" w:rsidRPr="00A10850" w:rsidRDefault="002124D8" w:rsidP="00DC54F7">
      <w:pPr>
        <w:jc w:val="both"/>
        <w:rPr>
          <w:rFonts w:ascii="Arial" w:hAnsi="Arial" w:cs="Arial"/>
          <w:sz w:val="20"/>
          <w:szCs w:val="20"/>
        </w:rPr>
      </w:pPr>
    </w:p>
    <w:p w14:paraId="61B09B5D" w14:textId="77777777" w:rsidR="007457D3" w:rsidRPr="00A10850" w:rsidRDefault="007457D3" w:rsidP="00DC54F7">
      <w:pPr>
        <w:jc w:val="both"/>
        <w:rPr>
          <w:rFonts w:ascii="Arial" w:hAnsi="Arial" w:cs="Arial"/>
          <w:sz w:val="20"/>
          <w:szCs w:val="20"/>
        </w:rPr>
      </w:pPr>
    </w:p>
    <w:p w14:paraId="4F4527D6" w14:textId="77777777" w:rsidR="002124D8" w:rsidRPr="00A10850" w:rsidRDefault="002124D8" w:rsidP="00DC54F7">
      <w:pPr>
        <w:jc w:val="both"/>
        <w:rPr>
          <w:rFonts w:ascii="Arial" w:hAnsi="Arial" w:cs="Arial"/>
          <w:sz w:val="20"/>
          <w:szCs w:val="20"/>
        </w:rPr>
      </w:pPr>
      <w:r w:rsidRPr="00A10850">
        <w:rPr>
          <w:rFonts w:ascii="Arial" w:hAnsi="Arial" w:cs="Arial"/>
          <w:sz w:val="20"/>
          <w:szCs w:val="20"/>
        </w:rPr>
        <w:br w:type="page"/>
      </w:r>
    </w:p>
    <w:p w14:paraId="2B16098C" w14:textId="2E78B40E" w:rsidR="00460FE4" w:rsidRPr="00A10850" w:rsidRDefault="00DF69C4" w:rsidP="00DC54F7">
      <w:pPr>
        <w:pStyle w:val="Heading1"/>
        <w:spacing w:before="0" w:line="240" w:lineRule="auto"/>
        <w:jc w:val="both"/>
        <w:rPr>
          <w:rFonts w:cs="Arial"/>
          <w:color w:val="auto"/>
        </w:rPr>
      </w:pPr>
      <w:bookmarkStart w:id="81" w:name="_Toc81585121"/>
      <w:r w:rsidRPr="00A10850">
        <w:rPr>
          <w:rFonts w:cs="Arial"/>
          <w:color w:val="auto"/>
        </w:rPr>
        <w:lastRenderedPageBreak/>
        <w:t>Ap</w:t>
      </w:r>
      <w:r w:rsidR="003A1198" w:rsidRPr="00A10850">
        <w:rPr>
          <w:rFonts w:cs="Arial"/>
          <w:color w:val="auto"/>
        </w:rPr>
        <w:t>pendix I</w:t>
      </w:r>
      <w:r w:rsidR="00460FE4" w:rsidRPr="00A10850">
        <w:rPr>
          <w:rFonts w:cs="Arial"/>
          <w:color w:val="auto"/>
        </w:rPr>
        <w:t xml:space="preserve"> – </w:t>
      </w:r>
      <w:r w:rsidR="00D32CF7">
        <w:rPr>
          <w:rFonts w:cs="Arial"/>
          <w:color w:val="auto"/>
        </w:rPr>
        <w:t xml:space="preserve">pharmacy </w:t>
      </w:r>
      <w:r w:rsidR="00460FE4" w:rsidRPr="00A10850">
        <w:rPr>
          <w:rFonts w:cs="Arial"/>
          <w:color w:val="auto"/>
        </w:rPr>
        <w:t>contractor questionnaire</w:t>
      </w:r>
      <w:bookmarkEnd w:id="81"/>
    </w:p>
    <w:p w14:paraId="0778FA4F" w14:textId="77777777" w:rsidR="00460FE4" w:rsidRPr="002777AD" w:rsidRDefault="00460FE4" w:rsidP="00DC54F7">
      <w:pPr>
        <w:spacing w:after="0" w:line="240" w:lineRule="auto"/>
        <w:jc w:val="both"/>
        <w:rPr>
          <w:rFonts w:ascii="Arial" w:hAnsi="Arial" w:cs="Arial"/>
        </w:rPr>
      </w:pPr>
    </w:p>
    <w:p w14:paraId="47274FE3" w14:textId="77777777" w:rsidR="002777AD" w:rsidRDefault="002777AD" w:rsidP="00DC54F7">
      <w:pPr>
        <w:spacing w:after="0" w:line="240" w:lineRule="auto"/>
        <w:jc w:val="both"/>
        <w:rPr>
          <w:rFonts w:ascii="Arial" w:hAnsi="Arial" w:cs="Arial"/>
          <w:b/>
        </w:rPr>
      </w:pPr>
      <w:r w:rsidRPr="002777AD">
        <w:rPr>
          <w:rFonts w:ascii="Arial" w:hAnsi="Arial" w:cs="Arial"/>
          <w:b/>
        </w:rPr>
        <w:t>Premises details</w:t>
      </w:r>
    </w:p>
    <w:p w14:paraId="4A30913B" w14:textId="77777777" w:rsidR="002777AD" w:rsidRPr="002777AD" w:rsidRDefault="002777AD" w:rsidP="00DC54F7">
      <w:pPr>
        <w:spacing w:after="0" w:line="240" w:lineRule="auto"/>
        <w:jc w:val="both"/>
        <w:rPr>
          <w:rFonts w:ascii="Arial" w:hAnsi="Arial" w:cs="Arial"/>
          <w:b/>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37"/>
        <w:gridCol w:w="4771"/>
      </w:tblGrid>
      <w:tr w:rsidR="002777AD" w:rsidRPr="002777AD" w14:paraId="22A2B1EC" w14:textId="77777777" w:rsidTr="00DE71FB">
        <w:tc>
          <w:tcPr>
            <w:tcW w:w="4678" w:type="dxa"/>
          </w:tcPr>
          <w:p w14:paraId="44404F23" w14:textId="77777777" w:rsidR="002777AD" w:rsidRPr="002777AD" w:rsidRDefault="002777AD" w:rsidP="00DC54F7">
            <w:pPr>
              <w:spacing w:after="0" w:line="240" w:lineRule="auto"/>
              <w:jc w:val="both"/>
              <w:rPr>
                <w:rFonts w:ascii="Arial" w:hAnsi="Arial" w:cs="Arial"/>
              </w:rPr>
            </w:pPr>
            <w:r w:rsidRPr="002777AD">
              <w:rPr>
                <w:rFonts w:ascii="Arial" w:hAnsi="Arial" w:cs="Arial"/>
              </w:rPr>
              <w:t>Contractor code (ODS code)</w:t>
            </w:r>
          </w:p>
        </w:tc>
        <w:tc>
          <w:tcPr>
            <w:tcW w:w="5528" w:type="dxa"/>
          </w:tcPr>
          <w:p w14:paraId="7228CF39"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23"/>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r>
      <w:tr w:rsidR="002777AD" w:rsidRPr="002777AD" w14:paraId="79584299" w14:textId="77777777" w:rsidTr="00DE71FB">
        <w:tc>
          <w:tcPr>
            <w:tcW w:w="4678" w:type="dxa"/>
          </w:tcPr>
          <w:p w14:paraId="56907A15" w14:textId="049264BD" w:rsidR="002777AD" w:rsidRPr="002777AD" w:rsidRDefault="002777AD" w:rsidP="00DC54F7">
            <w:pPr>
              <w:spacing w:after="0" w:line="240" w:lineRule="auto"/>
              <w:jc w:val="both"/>
              <w:rPr>
                <w:rFonts w:ascii="Arial" w:hAnsi="Arial" w:cs="Arial"/>
              </w:rPr>
            </w:pPr>
            <w:r w:rsidRPr="002777AD">
              <w:rPr>
                <w:rFonts w:ascii="Arial" w:hAnsi="Arial" w:cs="Arial"/>
              </w:rPr>
              <w:t>Name of contractor (</w:t>
            </w:r>
            <w:r w:rsidR="00F56E8C" w:rsidRPr="002777AD">
              <w:rPr>
                <w:rFonts w:ascii="Arial" w:hAnsi="Arial" w:cs="Arial"/>
              </w:rPr>
              <w:t>i.e.,</w:t>
            </w:r>
            <w:r w:rsidRPr="002777AD">
              <w:rPr>
                <w:rFonts w:ascii="Arial" w:hAnsi="Arial" w:cs="Arial"/>
              </w:rPr>
              <w:t xml:space="preserve"> name of individual, partnership or company owning the pharmacy business)</w:t>
            </w:r>
          </w:p>
        </w:tc>
        <w:tc>
          <w:tcPr>
            <w:tcW w:w="5528" w:type="dxa"/>
          </w:tcPr>
          <w:p w14:paraId="7FA85F2D"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23"/>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r>
      <w:tr w:rsidR="002777AD" w:rsidRPr="002777AD" w14:paraId="67C957F4" w14:textId="77777777" w:rsidTr="00DE71FB">
        <w:tc>
          <w:tcPr>
            <w:tcW w:w="4678" w:type="dxa"/>
          </w:tcPr>
          <w:p w14:paraId="49FFCE29" w14:textId="77777777" w:rsidR="002777AD" w:rsidRPr="002777AD" w:rsidRDefault="002777AD" w:rsidP="00DC54F7">
            <w:pPr>
              <w:spacing w:after="0" w:line="240" w:lineRule="auto"/>
              <w:jc w:val="both"/>
              <w:rPr>
                <w:rFonts w:ascii="Arial" w:hAnsi="Arial" w:cs="Arial"/>
              </w:rPr>
            </w:pPr>
            <w:r w:rsidRPr="002777AD">
              <w:rPr>
                <w:rFonts w:ascii="Arial" w:hAnsi="Arial" w:cs="Arial"/>
              </w:rPr>
              <w:t>Trading name</w:t>
            </w:r>
          </w:p>
        </w:tc>
        <w:tc>
          <w:tcPr>
            <w:tcW w:w="5528" w:type="dxa"/>
          </w:tcPr>
          <w:p w14:paraId="7594C7FE"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23"/>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r>
      <w:tr w:rsidR="002777AD" w:rsidRPr="002777AD" w14:paraId="2F1E9B74" w14:textId="77777777" w:rsidTr="00DE71FB">
        <w:tc>
          <w:tcPr>
            <w:tcW w:w="4678" w:type="dxa"/>
          </w:tcPr>
          <w:p w14:paraId="32400F12" w14:textId="77777777" w:rsidR="002777AD" w:rsidRPr="002777AD" w:rsidRDefault="002777AD" w:rsidP="00DC54F7">
            <w:pPr>
              <w:spacing w:after="0" w:line="240" w:lineRule="auto"/>
              <w:jc w:val="both"/>
              <w:rPr>
                <w:rFonts w:ascii="Arial" w:hAnsi="Arial" w:cs="Arial"/>
              </w:rPr>
            </w:pPr>
            <w:r w:rsidRPr="002777AD">
              <w:rPr>
                <w:rFonts w:ascii="Arial" w:hAnsi="Arial" w:cs="Arial"/>
              </w:rPr>
              <w:t>Address of pharmacy</w:t>
            </w:r>
          </w:p>
        </w:tc>
        <w:tc>
          <w:tcPr>
            <w:tcW w:w="5528" w:type="dxa"/>
          </w:tcPr>
          <w:p w14:paraId="5E8F00CD"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23"/>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r>
      <w:tr w:rsidR="002777AD" w:rsidRPr="002777AD" w14:paraId="0E62CFE7" w14:textId="77777777" w:rsidTr="00DE71FB">
        <w:tc>
          <w:tcPr>
            <w:tcW w:w="4678" w:type="dxa"/>
          </w:tcPr>
          <w:p w14:paraId="443E88F5" w14:textId="77777777" w:rsidR="002777AD" w:rsidRPr="002777AD" w:rsidRDefault="002777AD" w:rsidP="00DC54F7">
            <w:pPr>
              <w:spacing w:after="0" w:line="240" w:lineRule="auto"/>
              <w:jc w:val="both"/>
              <w:rPr>
                <w:rFonts w:ascii="Arial" w:hAnsi="Arial" w:cs="Arial"/>
              </w:rPr>
            </w:pPr>
          </w:p>
        </w:tc>
        <w:tc>
          <w:tcPr>
            <w:tcW w:w="5528" w:type="dxa"/>
          </w:tcPr>
          <w:p w14:paraId="2E18F459" w14:textId="77777777" w:rsidR="002777AD" w:rsidRPr="002777AD" w:rsidRDefault="002777AD" w:rsidP="00DC54F7">
            <w:pPr>
              <w:spacing w:after="0" w:line="240" w:lineRule="auto"/>
              <w:jc w:val="both"/>
              <w:rPr>
                <w:rFonts w:ascii="Arial" w:hAnsi="Arial" w:cs="Arial"/>
              </w:rPr>
            </w:pPr>
          </w:p>
        </w:tc>
      </w:tr>
      <w:tr w:rsidR="002777AD" w:rsidRPr="002777AD" w14:paraId="0823E4E8" w14:textId="77777777" w:rsidTr="00DE71FB">
        <w:tc>
          <w:tcPr>
            <w:tcW w:w="4678" w:type="dxa"/>
          </w:tcPr>
          <w:p w14:paraId="7FCE9506" w14:textId="77777777" w:rsidR="002777AD" w:rsidRPr="002777AD" w:rsidRDefault="002777AD" w:rsidP="00DC54F7">
            <w:pPr>
              <w:spacing w:after="0" w:line="240" w:lineRule="auto"/>
              <w:jc w:val="both"/>
              <w:rPr>
                <w:rFonts w:ascii="Arial" w:hAnsi="Arial" w:cs="Arial"/>
              </w:rPr>
            </w:pPr>
          </w:p>
        </w:tc>
        <w:tc>
          <w:tcPr>
            <w:tcW w:w="5528" w:type="dxa"/>
          </w:tcPr>
          <w:p w14:paraId="33380BA7" w14:textId="77777777" w:rsidR="002777AD" w:rsidRPr="002777AD" w:rsidRDefault="002777AD" w:rsidP="00DC54F7">
            <w:pPr>
              <w:spacing w:after="0" w:line="240" w:lineRule="auto"/>
              <w:jc w:val="both"/>
              <w:rPr>
                <w:rFonts w:ascii="Arial" w:hAnsi="Arial" w:cs="Arial"/>
              </w:rPr>
            </w:pPr>
          </w:p>
        </w:tc>
      </w:tr>
      <w:tr w:rsidR="002777AD" w:rsidRPr="002777AD" w14:paraId="431AB7BD" w14:textId="77777777" w:rsidTr="00DE71FB">
        <w:tc>
          <w:tcPr>
            <w:tcW w:w="4678" w:type="dxa"/>
          </w:tcPr>
          <w:p w14:paraId="64114696" w14:textId="77777777" w:rsidR="002777AD" w:rsidRPr="002777AD" w:rsidRDefault="002777AD" w:rsidP="00DC54F7">
            <w:pPr>
              <w:spacing w:after="0" w:line="240" w:lineRule="auto"/>
              <w:jc w:val="both"/>
              <w:rPr>
                <w:rFonts w:ascii="Arial" w:hAnsi="Arial" w:cs="Arial"/>
              </w:rPr>
            </w:pPr>
          </w:p>
        </w:tc>
        <w:tc>
          <w:tcPr>
            <w:tcW w:w="5528" w:type="dxa"/>
          </w:tcPr>
          <w:p w14:paraId="05CDCC13" w14:textId="77777777" w:rsidR="002777AD" w:rsidRPr="002777AD" w:rsidRDefault="002777AD" w:rsidP="00DC54F7">
            <w:pPr>
              <w:spacing w:after="0" w:line="240" w:lineRule="auto"/>
              <w:jc w:val="both"/>
              <w:rPr>
                <w:rFonts w:ascii="Arial" w:hAnsi="Arial" w:cs="Arial"/>
              </w:rPr>
            </w:pPr>
          </w:p>
        </w:tc>
      </w:tr>
      <w:tr w:rsidR="002777AD" w:rsidRPr="002777AD" w14:paraId="714D8735" w14:textId="77777777" w:rsidTr="00DE71FB">
        <w:tc>
          <w:tcPr>
            <w:tcW w:w="4678" w:type="dxa"/>
          </w:tcPr>
          <w:p w14:paraId="7307A865" w14:textId="77777777" w:rsidR="002777AD" w:rsidRPr="002777AD" w:rsidRDefault="002777AD" w:rsidP="00DC54F7">
            <w:pPr>
              <w:spacing w:after="0" w:line="240" w:lineRule="auto"/>
              <w:jc w:val="both"/>
              <w:rPr>
                <w:rFonts w:ascii="Arial" w:hAnsi="Arial" w:cs="Arial"/>
              </w:rPr>
            </w:pPr>
            <w:r w:rsidRPr="002777AD">
              <w:rPr>
                <w:rFonts w:ascii="Arial" w:hAnsi="Arial" w:cs="Arial"/>
              </w:rPr>
              <w:t>Pharmacy email address</w:t>
            </w:r>
          </w:p>
        </w:tc>
        <w:tc>
          <w:tcPr>
            <w:tcW w:w="5528" w:type="dxa"/>
          </w:tcPr>
          <w:p w14:paraId="07D429A0"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23"/>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r>
      <w:tr w:rsidR="002777AD" w:rsidRPr="002777AD" w14:paraId="3EDD8987" w14:textId="77777777" w:rsidTr="00DE71FB">
        <w:tc>
          <w:tcPr>
            <w:tcW w:w="4678" w:type="dxa"/>
          </w:tcPr>
          <w:p w14:paraId="46490346" w14:textId="77777777" w:rsidR="002777AD" w:rsidRPr="002777AD" w:rsidRDefault="002777AD" w:rsidP="00DC54F7">
            <w:pPr>
              <w:spacing w:after="0" w:line="240" w:lineRule="auto"/>
              <w:jc w:val="both"/>
              <w:rPr>
                <w:rFonts w:ascii="Arial" w:hAnsi="Arial" w:cs="Arial"/>
              </w:rPr>
            </w:pPr>
            <w:r w:rsidRPr="002777AD">
              <w:rPr>
                <w:rFonts w:ascii="Arial" w:hAnsi="Arial" w:cs="Arial"/>
              </w:rPr>
              <w:t>Pharmacy telephone</w:t>
            </w:r>
          </w:p>
        </w:tc>
        <w:tc>
          <w:tcPr>
            <w:tcW w:w="5528" w:type="dxa"/>
          </w:tcPr>
          <w:p w14:paraId="7A0F7A8E"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23"/>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r>
      <w:tr w:rsidR="002777AD" w:rsidRPr="002777AD" w14:paraId="7B01E453" w14:textId="77777777" w:rsidTr="00DE71FB">
        <w:tc>
          <w:tcPr>
            <w:tcW w:w="4678" w:type="dxa"/>
          </w:tcPr>
          <w:p w14:paraId="53F1E844" w14:textId="77777777" w:rsidR="002777AD" w:rsidRPr="002777AD" w:rsidRDefault="002777AD" w:rsidP="00DC54F7">
            <w:pPr>
              <w:spacing w:after="0" w:line="240" w:lineRule="auto"/>
              <w:jc w:val="both"/>
              <w:rPr>
                <w:rFonts w:ascii="Arial" w:hAnsi="Arial" w:cs="Arial"/>
              </w:rPr>
            </w:pPr>
            <w:r w:rsidRPr="002777AD">
              <w:rPr>
                <w:rFonts w:ascii="Arial" w:hAnsi="Arial" w:cs="Arial"/>
              </w:rPr>
              <w:t>Pharmacy fax (if applicable)</w:t>
            </w:r>
          </w:p>
        </w:tc>
        <w:tc>
          <w:tcPr>
            <w:tcW w:w="5528" w:type="dxa"/>
          </w:tcPr>
          <w:p w14:paraId="02686BF2"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23"/>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r>
      <w:tr w:rsidR="002777AD" w:rsidRPr="002777AD" w14:paraId="7A08296F" w14:textId="77777777" w:rsidTr="00DE71FB">
        <w:tc>
          <w:tcPr>
            <w:tcW w:w="4678" w:type="dxa"/>
          </w:tcPr>
          <w:p w14:paraId="12A133F3" w14:textId="77777777" w:rsidR="002777AD" w:rsidRPr="002777AD" w:rsidRDefault="002777AD" w:rsidP="00DC54F7">
            <w:pPr>
              <w:spacing w:after="0" w:line="240" w:lineRule="auto"/>
              <w:jc w:val="both"/>
              <w:rPr>
                <w:rFonts w:ascii="Arial" w:hAnsi="Arial" w:cs="Arial"/>
              </w:rPr>
            </w:pPr>
            <w:r w:rsidRPr="002777AD">
              <w:rPr>
                <w:rFonts w:ascii="Arial" w:hAnsi="Arial" w:cs="Arial"/>
              </w:rPr>
              <w:t>Pharmacy website address (if applicable)</w:t>
            </w:r>
          </w:p>
        </w:tc>
        <w:tc>
          <w:tcPr>
            <w:tcW w:w="5528" w:type="dxa"/>
          </w:tcPr>
          <w:p w14:paraId="4D52BC21"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23"/>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r>
      <w:tr w:rsidR="002777AD" w:rsidRPr="002777AD" w14:paraId="25BFD243" w14:textId="77777777" w:rsidTr="00DE71FB">
        <w:tc>
          <w:tcPr>
            <w:tcW w:w="4678" w:type="dxa"/>
          </w:tcPr>
          <w:p w14:paraId="262A734C" w14:textId="77777777" w:rsidR="002777AD" w:rsidRPr="002777AD" w:rsidRDefault="002777AD" w:rsidP="00DC54F7">
            <w:pPr>
              <w:spacing w:after="0" w:line="240" w:lineRule="auto"/>
              <w:jc w:val="both"/>
              <w:rPr>
                <w:rFonts w:ascii="Arial" w:hAnsi="Arial" w:cs="Arial"/>
              </w:rPr>
            </w:pPr>
            <w:r w:rsidRPr="002777AD">
              <w:rPr>
                <w:rFonts w:ascii="Arial" w:hAnsi="Arial" w:cs="Arial"/>
              </w:rPr>
              <w:t>Can the health board store the above information and use it to contact you?</w:t>
            </w:r>
          </w:p>
        </w:tc>
        <w:tc>
          <w:tcPr>
            <w:tcW w:w="5528" w:type="dxa"/>
          </w:tcPr>
          <w:p w14:paraId="4595FAB5"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r w:rsidRPr="002777AD">
              <w:rPr>
                <w:rFonts w:ascii="Arial" w:hAnsi="Arial" w:cs="Arial"/>
              </w:rPr>
              <w:t xml:space="preserve"> Yes        </w:t>
            </w: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r w:rsidRPr="002777AD">
              <w:rPr>
                <w:rFonts w:ascii="Arial" w:hAnsi="Arial" w:cs="Arial"/>
              </w:rPr>
              <w:t xml:space="preserve"> No</w:t>
            </w:r>
          </w:p>
        </w:tc>
      </w:tr>
    </w:tbl>
    <w:p w14:paraId="4AF22C61" w14:textId="77777777" w:rsidR="002777AD" w:rsidRPr="002777AD" w:rsidRDefault="002777AD" w:rsidP="00DC54F7">
      <w:pPr>
        <w:spacing w:after="0" w:line="240" w:lineRule="auto"/>
        <w:jc w:val="both"/>
        <w:rPr>
          <w:rFonts w:ascii="Arial" w:hAnsi="Arial" w:cs="Arial"/>
          <w:b/>
        </w:rPr>
      </w:pPr>
    </w:p>
    <w:p w14:paraId="479D6F7D" w14:textId="77777777" w:rsidR="002777AD" w:rsidRPr="002777AD" w:rsidRDefault="002777AD" w:rsidP="00DC54F7">
      <w:pPr>
        <w:spacing w:after="0" w:line="240" w:lineRule="auto"/>
        <w:jc w:val="both"/>
        <w:rPr>
          <w:rFonts w:ascii="Arial" w:hAnsi="Arial" w:cs="Arial"/>
          <w:b/>
        </w:rPr>
      </w:pPr>
      <w:r w:rsidRPr="002777AD">
        <w:rPr>
          <w:rFonts w:ascii="Arial" w:hAnsi="Arial" w:cs="Arial"/>
          <w:b/>
        </w:rPr>
        <w:t>Consultation facilities</w:t>
      </w:r>
    </w:p>
    <w:p w14:paraId="7DCAD79D" w14:textId="77777777" w:rsidR="002777AD" w:rsidRDefault="002777AD" w:rsidP="00DC54F7">
      <w:pPr>
        <w:spacing w:after="0" w:line="240" w:lineRule="auto"/>
        <w:jc w:val="both"/>
        <w:rPr>
          <w:rFonts w:ascii="Arial" w:hAnsi="Arial" w:cs="Arial"/>
        </w:rPr>
      </w:pPr>
    </w:p>
    <w:p w14:paraId="69BE8DA1" w14:textId="77777777" w:rsidR="002777AD" w:rsidRPr="002777AD" w:rsidRDefault="002777AD" w:rsidP="00DC54F7">
      <w:pPr>
        <w:spacing w:after="0" w:line="240" w:lineRule="auto"/>
        <w:jc w:val="both"/>
        <w:rPr>
          <w:rFonts w:ascii="Arial" w:hAnsi="Arial" w:cs="Arial"/>
        </w:rPr>
      </w:pPr>
      <w:r w:rsidRPr="002777AD">
        <w:rPr>
          <w:rFonts w:ascii="Arial" w:hAnsi="Arial" w:cs="Arial"/>
        </w:rPr>
        <w:t>Are the premises accessible by wheelchair?</w:t>
      </w:r>
      <w:r w:rsidRPr="002777AD">
        <w:rPr>
          <w:rFonts w:ascii="Arial" w:hAnsi="Arial" w:cs="Arial"/>
        </w:rPr>
        <w:tab/>
      </w:r>
      <w:r w:rsidRPr="002777AD">
        <w:rPr>
          <w:rFonts w:ascii="Arial" w:hAnsi="Arial" w:cs="Arial"/>
        </w:rPr>
        <w:tab/>
        <w:t>Yes/No</w:t>
      </w:r>
    </w:p>
    <w:p w14:paraId="4E4C5365" w14:textId="77777777" w:rsidR="002777AD" w:rsidRDefault="002777AD" w:rsidP="00DC54F7">
      <w:pPr>
        <w:spacing w:after="0" w:line="240" w:lineRule="auto"/>
        <w:jc w:val="both"/>
        <w:rPr>
          <w:rFonts w:ascii="Arial" w:hAnsi="Arial" w:cs="Arial"/>
        </w:rPr>
      </w:pPr>
    </w:p>
    <w:p w14:paraId="612837D6" w14:textId="77777777" w:rsidR="002777AD" w:rsidRDefault="002777AD" w:rsidP="00DC54F7">
      <w:pPr>
        <w:spacing w:after="0" w:line="240" w:lineRule="auto"/>
        <w:jc w:val="both"/>
        <w:rPr>
          <w:rFonts w:ascii="Arial" w:hAnsi="Arial" w:cs="Arial"/>
        </w:rPr>
      </w:pPr>
      <w:r w:rsidRPr="002777AD">
        <w:rPr>
          <w:rFonts w:ascii="Arial" w:hAnsi="Arial" w:cs="Arial"/>
        </w:rPr>
        <w:t>There is a consultation area (tick as appropriate)</w:t>
      </w:r>
    </w:p>
    <w:p w14:paraId="5EF2E707" w14:textId="77777777" w:rsidR="002777AD" w:rsidRPr="002777AD" w:rsidRDefault="002777AD" w:rsidP="00DC54F7">
      <w:pPr>
        <w:spacing w:after="0" w:line="240" w:lineRule="auto"/>
        <w:jc w:val="both"/>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77"/>
        <w:gridCol w:w="2949"/>
        <w:gridCol w:w="515"/>
        <w:gridCol w:w="1467"/>
      </w:tblGrid>
      <w:tr w:rsidR="002777AD" w:rsidRPr="002777AD" w14:paraId="11A905BB" w14:textId="77777777" w:rsidTr="00DE71FB">
        <w:trPr>
          <w:gridAfter w:val="1"/>
          <w:wAfter w:w="1701" w:type="dxa"/>
        </w:trPr>
        <w:tc>
          <w:tcPr>
            <w:tcW w:w="4536" w:type="dxa"/>
          </w:tcPr>
          <w:p w14:paraId="2795F307" w14:textId="77777777" w:rsidR="002777AD" w:rsidRPr="002777AD" w:rsidRDefault="002777AD" w:rsidP="00DC54F7">
            <w:pPr>
              <w:spacing w:after="0" w:line="240" w:lineRule="auto"/>
              <w:jc w:val="both"/>
              <w:rPr>
                <w:rFonts w:ascii="Arial" w:hAnsi="Arial" w:cs="Arial"/>
              </w:rPr>
            </w:pPr>
            <w:r w:rsidRPr="002777AD">
              <w:rPr>
                <w:rFonts w:ascii="Arial" w:hAnsi="Arial" w:cs="Arial"/>
              </w:rPr>
              <w:t>No, or</w:t>
            </w:r>
          </w:p>
        </w:tc>
        <w:tc>
          <w:tcPr>
            <w:tcW w:w="3969" w:type="dxa"/>
            <w:gridSpan w:val="2"/>
          </w:tcPr>
          <w:p w14:paraId="3E991435"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p>
        </w:tc>
      </w:tr>
      <w:tr w:rsidR="002777AD" w:rsidRPr="002777AD" w14:paraId="36CA1DB9" w14:textId="77777777" w:rsidTr="00DE71FB">
        <w:trPr>
          <w:gridAfter w:val="1"/>
          <w:wAfter w:w="1701" w:type="dxa"/>
        </w:trPr>
        <w:tc>
          <w:tcPr>
            <w:tcW w:w="4536" w:type="dxa"/>
          </w:tcPr>
          <w:p w14:paraId="1C4D8D8F" w14:textId="77777777" w:rsidR="002777AD" w:rsidRPr="002777AD" w:rsidRDefault="002777AD" w:rsidP="00DC54F7">
            <w:pPr>
              <w:spacing w:after="0" w:line="240" w:lineRule="auto"/>
              <w:jc w:val="both"/>
              <w:rPr>
                <w:rFonts w:ascii="Arial" w:hAnsi="Arial" w:cs="Arial"/>
              </w:rPr>
            </w:pPr>
            <w:r w:rsidRPr="002777AD">
              <w:rPr>
                <w:rFonts w:ascii="Arial" w:hAnsi="Arial" w:cs="Arial"/>
              </w:rPr>
              <w:t>Available (including wheelchair access), or</w:t>
            </w:r>
          </w:p>
        </w:tc>
        <w:tc>
          <w:tcPr>
            <w:tcW w:w="3969" w:type="dxa"/>
            <w:gridSpan w:val="2"/>
          </w:tcPr>
          <w:p w14:paraId="663C6A62"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p>
        </w:tc>
      </w:tr>
      <w:tr w:rsidR="002777AD" w:rsidRPr="002777AD" w14:paraId="1FEF2E49" w14:textId="77777777" w:rsidTr="00DE71FB">
        <w:trPr>
          <w:gridAfter w:val="1"/>
          <w:wAfter w:w="1701" w:type="dxa"/>
        </w:trPr>
        <w:tc>
          <w:tcPr>
            <w:tcW w:w="4536" w:type="dxa"/>
          </w:tcPr>
          <w:p w14:paraId="02E3202C" w14:textId="77777777" w:rsidR="002777AD" w:rsidRPr="002777AD" w:rsidRDefault="002777AD" w:rsidP="00DC54F7">
            <w:pPr>
              <w:spacing w:after="0" w:line="240" w:lineRule="auto"/>
              <w:jc w:val="both"/>
              <w:rPr>
                <w:rFonts w:ascii="Arial" w:hAnsi="Arial" w:cs="Arial"/>
              </w:rPr>
            </w:pPr>
            <w:r w:rsidRPr="002777AD">
              <w:rPr>
                <w:rFonts w:ascii="Arial" w:hAnsi="Arial" w:cs="Arial"/>
              </w:rPr>
              <w:t>Available (without wheelchair access), or</w:t>
            </w:r>
          </w:p>
        </w:tc>
        <w:tc>
          <w:tcPr>
            <w:tcW w:w="3969" w:type="dxa"/>
            <w:gridSpan w:val="2"/>
          </w:tcPr>
          <w:p w14:paraId="5E55E2EB"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p>
        </w:tc>
      </w:tr>
      <w:tr w:rsidR="002777AD" w:rsidRPr="002777AD" w14:paraId="3AC71867" w14:textId="77777777" w:rsidTr="00DE71FB">
        <w:trPr>
          <w:gridAfter w:val="1"/>
          <w:wAfter w:w="1701" w:type="dxa"/>
        </w:trPr>
        <w:tc>
          <w:tcPr>
            <w:tcW w:w="4536" w:type="dxa"/>
          </w:tcPr>
          <w:p w14:paraId="35CF79FE" w14:textId="77777777" w:rsidR="002777AD" w:rsidRPr="002777AD" w:rsidRDefault="002777AD" w:rsidP="00DC54F7">
            <w:pPr>
              <w:spacing w:after="0" w:line="240" w:lineRule="auto"/>
              <w:jc w:val="both"/>
              <w:rPr>
                <w:rFonts w:ascii="Arial" w:hAnsi="Arial" w:cs="Arial"/>
              </w:rPr>
            </w:pPr>
            <w:r w:rsidRPr="002777AD">
              <w:rPr>
                <w:rFonts w:ascii="Arial" w:hAnsi="Arial" w:cs="Arial"/>
              </w:rPr>
              <w:t>Planned within the next 12 months, or</w:t>
            </w:r>
          </w:p>
        </w:tc>
        <w:tc>
          <w:tcPr>
            <w:tcW w:w="3969" w:type="dxa"/>
            <w:gridSpan w:val="2"/>
          </w:tcPr>
          <w:p w14:paraId="7387C615"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p>
        </w:tc>
      </w:tr>
      <w:tr w:rsidR="002777AD" w:rsidRPr="002777AD" w14:paraId="214D2322" w14:textId="77777777" w:rsidTr="00DE71FB">
        <w:trPr>
          <w:gridAfter w:val="1"/>
          <w:wAfter w:w="1701" w:type="dxa"/>
        </w:trPr>
        <w:tc>
          <w:tcPr>
            <w:tcW w:w="4536" w:type="dxa"/>
          </w:tcPr>
          <w:p w14:paraId="02FFFC2A" w14:textId="77777777" w:rsidR="002777AD" w:rsidRPr="002777AD" w:rsidRDefault="002777AD" w:rsidP="00DC54F7">
            <w:pPr>
              <w:spacing w:after="0" w:line="240" w:lineRule="auto"/>
              <w:jc w:val="both"/>
              <w:rPr>
                <w:rFonts w:ascii="Arial" w:hAnsi="Arial" w:cs="Arial"/>
              </w:rPr>
            </w:pPr>
            <w:r w:rsidRPr="002777AD">
              <w:rPr>
                <w:rFonts w:ascii="Arial" w:hAnsi="Arial" w:cs="Arial"/>
              </w:rPr>
              <w:t>Other (specify)</w:t>
            </w:r>
          </w:p>
        </w:tc>
        <w:tc>
          <w:tcPr>
            <w:tcW w:w="3969" w:type="dxa"/>
            <w:gridSpan w:val="2"/>
          </w:tcPr>
          <w:p w14:paraId="31799B72"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23"/>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r>
      <w:tr w:rsidR="002777AD" w:rsidRPr="002777AD" w14:paraId="4DD026C9" w14:textId="77777777" w:rsidTr="00DE71FB">
        <w:tc>
          <w:tcPr>
            <w:tcW w:w="10206" w:type="dxa"/>
            <w:gridSpan w:val="4"/>
          </w:tcPr>
          <w:p w14:paraId="27499B1B" w14:textId="77777777" w:rsidR="002777AD" w:rsidRPr="002777AD" w:rsidRDefault="002777AD" w:rsidP="00DC54F7">
            <w:pPr>
              <w:spacing w:after="0" w:line="240" w:lineRule="auto"/>
              <w:jc w:val="both"/>
              <w:rPr>
                <w:rFonts w:ascii="Arial" w:hAnsi="Arial" w:cs="Arial"/>
              </w:rPr>
            </w:pPr>
            <w:r w:rsidRPr="002777AD">
              <w:rPr>
                <w:rFonts w:ascii="Arial" w:hAnsi="Arial" w:cs="Arial"/>
              </w:rPr>
              <w:t>Where there is a consultation area;</w:t>
            </w:r>
          </w:p>
        </w:tc>
      </w:tr>
      <w:tr w:rsidR="002777AD" w:rsidRPr="002777AD" w14:paraId="4F0BFD54" w14:textId="77777777" w:rsidTr="00DE71FB">
        <w:tc>
          <w:tcPr>
            <w:tcW w:w="7938" w:type="dxa"/>
            <w:gridSpan w:val="2"/>
          </w:tcPr>
          <w:p w14:paraId="456CCDE7" w14:textId="77777777" w:rsidR="002777AD" w:rsidRPr="002777AD" w:rsidRDefault="002777AD" w:rsidP="00DC54F7">
            <w:pPr>
              <w:spacing w:after="0" w:line="240" w:lineRule="auto"/>
              <w:jc w:val="both"/>
              <w:rPr>
                <w:rFonts w:ascii="Arial" w:hAnsi="Arial" w:cs="Arial"/>
              </w:rPr>
            </w:pPr>
            <w:r w:rsidRPr="002777AD">
              <w:rPr>
                <w:rFonts w:ascii="Arial" w:hAnsi="Arial" w:cs="Arial"/>
              </w:rPr>
              <w:t xml:space="preserve">Is it a closed room? </w:t>
            </w:r>
          </w:p>
        </w:tc>
        <w:tc>
          <w:tcPr>
            <w:tcW w:w="2268" w:type="dxa"/>
            <w:gridSpan w:val="2"/>
          </w:tcPr>
          <w:p w14:paraId="7A23EB6F"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r w:rsidRPr="002777AD">
              <w:rPr>
                <w:rFonts w:ascii="Arial" w:hAnsi="Arial" w:cs="Arial"/>
              </w:rPr>
              <w:t xml:space="preserve"> Yes        </w:t>
            </w: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r w:rsidRPr="002777AD">
              <w:rPr>
                <w:rFonts w:ascii="Arial" w:hAnsi="Arial" w:cs="Arial"/>
              </w:rPr>
              <w:t xml:space="preserve"> No</w:t>
            </w:r>
          </w:p>
        </w:tc>
      </w:tr>
      <w:tr w:rsidR="002777AD" w:rsidRPr="002777AD" w14:paraId="0E7499C7" w14:textId="77777777" w:rsidTr="00DE71FB">
        <w:tc>
          <w:tcPr>
            <w:tcW w:w="7938" w:type="dxa"/>
            <w:gridSpan w:val="2"/>
          </w:tcPr>
          <w:p w14:paraId="1A027109" w14:textId="77777777" w:rsidR="002777AD" w:rsidRPr="002777AD" w:rsidRDefault="002777AD" w:rsidP="00DC54F7">
            <w:pPr>
              <w:spacing w:after="0" w:line="240" w:lineRule="auto"/>
              <w:jc w:val="both"/>
              <w:rPr>
                <w:rFonts w:ascii="Arial" w:hAnsi="Arial" w:cs="Arial"/>
              </w:rPr>
            </w:pPr>
            <w:r w:rsidRPr="002777AD">
              <w:rPr>
                <w:rFonts w:ascii="Arial" w:hAnsi="Arial" w:cs="Arial"/>
              </w:rPr>
              <w:t>Is it a designated area where both the patient and pharmacist can sit down together?</w:t>
            </w:r>
          </w:p>
        </w:tc>
        <w:tc>
          <w:tcPr>
            <w:tcW w:w="2268" w:type="dxa"/>
            <w:gridSpan w:val="2"/>
          </w:tcPr>
          <w:p w14:paraId="6AB720DC"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r w:rsidRPr="002777AD">
              <w:rPr>
                <w:rFonts w:ascii="Arial" w:hAnsi="Arial" w:cs="Arial"/>
              </w:rPr>
              <w:t xml:space="preserve"> Yes        </w:t>
            </w: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r w:rsidRPr="002777AD">
              <w:rPr>
                <w:rFonts w:ascii="Arial" w:hAnsi="Arial" w:cs="Arial"/>
              </w:rPr>
              <w:t xml:space="preserve"> No</w:t>
            </w:r>
          </w:p>
        </w:tc>
      </w:tr>
      <w:tr w:rsidR="002777AD" w:rsidRPr="002777AD" w14:paraId="603C18AF" w14:textId="77777777" w:rsidTr="00DE71FB">
        <w:tc>
          <w:tcPr>
            <w:tcW w:w="7938" w:type="dxa"/>
            <w:gridSpan w:val="2"/>
          </w:tcPr>
          <w:p w14:paraId="2A3C1274" w14:textId="77777777" w:rsidR="002777AD" w:rsidRPr="002777AD" w:rsidRDefault="002777AD" w:rsidP="00DC54F7">
            <w:pPr>
              <w:spacing w:after="0" w:line="240" w:lineRule="auto"/>
              <w:jc w:val="both"/>
              <w:rPr>
                <w:rFonts w:ascii="Arial" w:hAnsi="Arial" w:cs="Arial"/>
              </w:rPr>
            </w:pPr>
            <w:r w:rsidRPr="002777AD">
              <w:rPr>
                <w:rFonts w:ascii="Arial" w:hAnsi="Arial" w:cs="Arial"/>
              </w:rPr>
              <w:t xml:space="preserve">Are the patient and pharmacist able to talk at normal volumes without being overheard by pharmacy staff or visitors to the pharmacy? </w:t>
            </w:r>
          </w:p>
        </w:tc>
        <w:tc>
          <w:tcPr>
            <w:tcW w:w="2268" w:type="dxa"/>
            <w:gridSpan w:val="2"/>
          </w:tcPr>
          <w:p w14:paraId="5D9CB798"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r w:rsidRPr="002777AD">
              <w:rPr>
                <w:rFonts w:ascii="Arial" w:hAnsi="Arial" w:cs="Arial"/>
              </w:rPr>
              <w:t xml:space="preserve"> Yes        </w:t>
            </w: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r w:rsidRPr="002777AD">
              <w:rPr>
                <w:rFonts w:ascii="Arial" w:hAnsi="Arial" w:cs="Arial"/>
              </w:rPr>
              <w:t xml:space="preserve"> No</w:t>
            </w:r>
          </w:p>
        </w:tc>
      </w:tr>
      <w:tr w:rsidR="002777AD" w:rsidRPr="002777AD" w14:paraId="6D3866C4" w14:textId="77777777" w:rsidTr="00DE71FB">
        <w:tc>
          <w:tcPr>
            <w:tcW w:w="7938" w:type="dxa"/>
            <w:gridSpan w:val="2"/>
          </w:tcPr>
          <w:p w14:paraId="7C8BE2F0" w14:textId="77777777" w:rsidR="002777AD" w:rsidRPr="002777AD" w:rsidRDefault="002777AD" w:rsidP="00DC54F7">
            <w:pPr>
              <w:spacing w:after="0" w:line="240" w:lineRule="auto"/>
              <w:jc w:val="both"/>
              <w:rPr>
                <w:rFonts w:ascii="Arial" w:hAnsi="Arial" w:cs="Arial"/>
              </w:rPr>
            </w:pPr>
            <w:r w:rsidRPr="002777AD">
              <w:rPr>
                <w:rFonts w:ascii="Arial" w:hAnsi="Arial" w:cs="Arial"/>
              </w:rPr>
              <w:t xml:space="preserve">Is it clearly designated as an area for confidential consultations, distinct from the general public areas of the pharmacy? </w:t>
            </w:r>
          </w:p>
        </w:tc>
        <w:tc>
          <w:tcPr>
            <w:tcW w:w="2268" w:type="dxa"/>
            <w:gridSpan w:val="2"/>
          </w:tcPr>
          <w:p w14:paraId="1D8E0A93"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r w:rsidRPr="002777AD">
              <w:rPr>
                <w:rFonts w:ascii="Arial" w:hAnsi="Arial" w:cs="Arial"/>
              </w:rPr>
              <w:t xml:space="preserve"> Yes        </w:t>
            </w: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r w:rsidRPr="002777AD">
              <w:rPr>
                <w:rFonts w:ascii="Arial" w:hAnsi="Arial" w:cs="Arial"/>
              </w:rPr>
              <w:t xml:space="preserve"> No</w:t>
            </w:r>
          </w:p>
        </w:tc>
      </w:tr>
      <w:tr w:rsidR="002777AD" w:rsidRPr="002777AD" w14:paraId="4DA8EE80" w14:textId="77777777" w:rsidTr="00DE71FB">
        <w:tc>
          <w:tcPr>
            <w:tcW w:w="7938" w:type="dxa"/>
            <w:gridSpan w:val="2"/>
          </w:tcPr>
          <w:p w14:paraId="27CB6457" w14:textId="77777777" w:rsidR="002777AD" w:rsidRPr="002777AD" w:rsidRDefault="002777AD" w:rsidP="00DC54F7">
            <w:pPr>
              <w:spacing w:after="0" w:line="240" w:lineRule="auto"/>
              <w:jc w:val="both"/>
              <w:rPr>
                <w:rFonts w:ascii="Arial" w:hAnsi="Arial" w:cs="Arial"/>
              </w:rPr>
            </w:pPr>
            <w:r w:rsidRPr="002777AD">
              <w:rPr>
                <w:rFonts w:ascii="Arial" w:hAnsi="Arial" w:cs="Arial"/>
              </w:rPr>
              <w:t>If there is no consultation area are there alternative arrangements for confidential discussions?</w:t>
            </w:r>
          </w:p>
        </w:tc>
        <w:tc>
          <w:tcPr>
            <w:tcW w:w="2268" w:type="dxa"/>
            <w:gridSpan w:val="2"/>
          </w:tcPr>
          <w:p w14:paraId="40D53040"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r w:rsidRPr="002777AD">
              <w:rPr>
                <w:rFonts w:ascii="Arial" w:hAnsi="Arial" w:cs="Arial"/>
              </w:rPr>
              <w:t xml:space="preserve"> Yes        </w:t>
            </w: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r w:rsidRPr="002777AD">
              <w:rPr>
                <w:rFonts w:ascii="Arial" w:hAnsi="Arial" w:cs="Arial"/>
              </w:rPr>
              <w:t xml:space="preserve"> No</w:t>
            </w:r>
          </w:p>
        </w:tc>
      </w:tr>
    </w:tbl>
    <w:p w14:paraId="64D289E0" w14:textId="77777777" w:rsidR="002777AD" w:rsidRPr="002777AD" w:rsidRDefault="002777AD" w:rsidP="00DC54F7">
      <w:pPr>
        <w:spacing w:after="0" w:line="240" w:lineRule="auto"/>
        <w:jc w:val="both"/>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35"/>
        <w:gridCol w:w="5073"/>
      </w:tblGrid>
      <w:tr w:rsidR="002777AD" w:rsidRPr="002777AD" w14:paraId="729AEA99" w14:textId="77777777" w:rsidTr="00DE71FB">
        <w:tc>
          <w:tcPr>
            <w:tcW w:w="4320" w:type="dxa"/>
          </w:tcPr>
          <w:p w14:paraId="7C004D5C" w14:textId="77777777" w:rsidR="002777AD" w:rsidRPr="002777AD" w:rsidRDefault="002777AD" w:rsidP="00DC54F7">
            <w:pPr>
              <w:spacing w:after="0" w:line="240" w:lineRule="auto"/>
              <w:jc w:val="both"/>
              <w:rPr>
                <w:rFonts w:ascii="Arial" w:hAnsi="Arial" w:cs="Arial"/>
              </w:rPr>
            </w:pPr>
            <w:r w:rsidRPr="002777AD">
              <w:rPr>
                <w:rFonts w:ascii="Arial" w:hAnsi="Arial" w:cs="Arial"/>
              </w:rPr>
              <w:t xml:space="preserve">Languages spoken (in addition to English) </w:t>
            </w:r>
          </w:p>
        </w:tc>
        <w:tc>
          <w:tcPr>
            <w:tcW w:w="5886" w:type="dxa"/>
          </w:tcPr>
          <w:p w14:paraId="32A4AD58"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16"/>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r>
    </w:tbl>
    <w:p w14:paraId="3C26E36C" w14:textId="77777777" w:rsidR="002777AD" w:rsidRDefault="002777AD" w:rsidP="00DC54F7">
      <w:pPr>
        <w:spacing w:after="0" w:line="240" w:lineRule="auto"/>
        <w:jc w:val="both"/>
        <w:rPr>
          <w:rFonts w:ascii="Arial" w:hAnsi="Arial" w:cs="Arial"/>
          <w:b/>
        </w:rPr>
      </w:pPr>
    </w:p>
    <w:p w14:paraId="0C81C460" w14:textId="77777777" w:rsidR="009B59F3" w:rsidRDefault="009B59F3" w:rsidP="00DC54F7">
      <w:pPr>
        <w:spacing w:after="0" w:line="240" w:lineRule="auto"/>
        <w:jc w:val="both"/>
        <w:rPr>
          <w:rFonts w:ascii="Arial" w:hAnsi="Arial" w:cs="Arial"/>
          <w:b/>
        </w:rPr>
      </w:pPr>
    </w:p>
    <w:p w14:paraId="56D19916" w14:textId="451B86D6" w:rsidR="009B59F3" w:rsidRDefault="009B59F3">
      <w:pPr>
        <w:rPr>
          <w:rFonts w:ascii="Arial" w:hAnsi="Arial" w:cs="Arial"/>
          <w:b/>
        </w:rPr>
      </w:pPr>
      <w:r>
        <w:rPr>
          <w:rFonts w:ascii="Arial" w:hAnsi="Arial" w:cs="Arial"/>
          <w:b/>
        </w:rPr>
        <w:br w:type="page"/>
      </w:r>
    </w:p>
    <w:p w14:paraId="3AEF792E" w14:textId="50D9A698" w:rsidR="002777AD" w:rsidRPr="002777AD" w:rsidRDefault="002777AD" w:rsidP="00DC54F7">
      <w:pPr>
        <w:spacing w:after="0" w:line="240" w:lineRule="auto"/>
        <w:jc w:val="both"/>
        <w:rPr>
          <w:rFonts w:ascii="Arial" w:hAnsi="Arial" w:cs="Arial"/>
          <w:b/>
        </w:rPr>
      </w:pPr>
      <w:r w:rsidRPr="002777AD">
        <w:rPr>
          <w:rFonts w:ascii="Arial" w:hAnsi="Arial" w:cs="Arial"/>
          <w:b/>
        </w:rPr>
        <w:lastRenderedPageBreak/>
        <w:t>Services</w:t>
      </w:r>
    </w:p>
    <w:p w14:paraId="1008B67A" w14:textId="77777777" w:rsidR="002777AD" w:rsidRDefault="002777AD" w:rsidP="00DC54F7">
      <w:pPr>
        <w:spacing w:after="0" w:line="240" w:lineRule="auto"/>
        <w:jc w:val="both"/>
        <w:rPr>
          <w:rFonts w:ascii="Arial" w:hAnsi="Arial" w:cs="Arial"/>
        </w:rPr>
      </w:pPr>
    </w:p>
    <w:p w14:paraId="394D14DA" w14:textId="77777777" w:rsidR="002777AD" w:rsidRDefault="002777AD" w:rsidP="00DC54F7">
      <w:pPr>
        <w:spacing w:after="0" w:line="240" w:lineRule="auto"/>
        <w:jc w:val="both"/>
        <w:rPr>
          <w:rFonts w:ascii="Arial" w:hAnsi="Arial" w:cs="Arial"/>
        </w:rPr>
      </w:pPr>
      <w:r w:rsidRPr="002777AD">
        <w:rPr>
          <w:rFonts w:ascii="Arial" w:hAnsi="Arial" w:cs="Arial"/>
        </w:rPr>
        <w:t>Does the pharmacy dispense appliances?</w:t>
      </w:r>
    </w:p>
    <w:p w14:paraId="5D25C151" w14:textId="77777777" w:rsidR="002777AD" w:rsidRPr="002777AD" w:rsidRDefault="002777AD" w:rsidP="00DC54F7">
      <w:pPr>
        <w:spacing w:after="0" w:line="240" w:lineRule="auto"/>
        <w:jc w:val="both"/>
        <w:rPr>
          <w:rFonts w:ascii="Arial" w:hAnsi="Arial" w:cs="Arial"/>
        </w:rPr>
      </w:pPr>
    </w:p>
    <w:tbl>
      <w:tblPr>
        <w:tblW w:w="89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75"/>
        <w:gridCol w:w="4123"/>
      </w:tblGrid>
      <w:tr w:rsidR="002777AD" w:rsidRPr="002777AD" w14:paraId="77AFEBE3" w14:textId="77777777" w:rsidTr="009B59F3">
        <w:trPr>
          <w:trHeight w:val="260"/>
        </w:trPr>
        <w:tc>
          <w:tcPr>
            <w:tcW w:w="4875" w:type="dxa"/>
          </w:tcPr>
          <w:p w14:paraId="0C761D44" w14:textId="77777777" w:rsidR="002777AD" w:rsidRPr="002777AD" w:rsidRDefault="002777AD" w:rsidP="00DC54F7">
            <w:pPr>
              <w:spacing w:after="0" w:line="240" w:lineRule="auto"/>
              <w:jc w:val="both"/>
              <w:rPr>
                <w:rFonts w:ascii="Arial" w:hAnsi="Arial" w:cs="Arial"/>
              </w:rPr>
            </w:pPr>
            <w:r w:rsidRPr="002777AD">
              <w:rPr>
                <w:rFonts w:ascii="Arial" w:hAnsi="Arial" w:cs="Arial"/>
              </w:rPr>
              <w:t>Yes – All types, or</w:t>
            </w:r>
          </w:p>
        </w:tc>
        <w:tc>
          <w:tcPr>
            <w:tcW w:w="4123" w:type="dxa"/>
          </w:tcPr>
          <w:p w14:paraId="2A4D6F34"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p>
        </w:tc>
      </w:tr>
      <w:tr w:rsidR="002777AD" w:rsidRPr="002777AD" w14:paraId="102EAA38" w14:textId="77777777" w:rsidTr="009B59F3">
        <w:trPr>
          <w:trHeight w:val="242"/>
        </w:trPr>
        <w:tc>
          <w:tcPr>
            <w:tcW w:w="4875" w:type="dxa"/>
          </w:tcPr>
          <w:p w14:paraId="32F9670A" w14:textId="77777777" w:rsidR="002777AD" w:rsidRPr="002777AD" w:rsidRDefault="002777AD" w:rsidP="00DC54F7">
            <w:pPr>
              <w:spacing w:after="0" w:line="240" w:lineRule="auto"/>
              <w:jc w:val="both"/>
              <w:rPr>
                <w:rFonts w:ascii="Arial" w:hAnsi="Arial" w:cs="Arial"/>
              </w:rPr>
            </w:pPr>
            <w:r w:rsidRPr="002777AD">
              <w:rPr>
                <w:rFonts w:ascii="Arial" w:hAnsi="Arial" w:cs="Arial"/>
              </w:rPr>
              <w:t>Yes, excluding stoma appliances, or</w:t>
            </w:r>
          </w:p>
        </w:tc>
        <w:tc>
          <w:tcPr>
            <w:tcW w:w="4123" w:type="dxa"/>
          </w:tcPr>
          <w:p w14:paraId="24F2C2FA"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p>
        </w:tc>
      </w:tr>
      <w:tr w:rsidR="002777AD" w:rsidRPr="002777AD" w14:paraId="16A2911B" w14:textId="77777777" w:rsidTr="009B59F3">
        <w:trPr>
          <w:trHeight w:val="260"/>
        </w:trPr>
        <w:tc>
          <w:tcPr>
            <w:tcW w:w="4875" w:type="dxa"/>
          </w:tcPr>
          <w:p w14:paraId="6944DF10" w14:textId="77777777" w:rsidR="002777AD" w:rsidRPr="002777AD" w:rsidRDefault="002777AD" w:rsidP="00DC54F7">
            <w:pPr>
              <w:spacing w:after="0" w:line="240" w:lineRule="auto"/>
              <w:jc w:val="both"/>
              <w:rPr>
                <w:rFonts w:ascii="Arial" w:hAnsi="Arial" w:cs="Arial"/>
              </w:rPr>
            </w:pPr>
            <w:r w:rsidRPr="002777AD">
              <w:rPr>
                <w:rFonts w:ascii="Arial" w:hAnsi="Arial" w:cs="Arial"/>
              </w:rPr>
              <w:t>Yes, excluding incontinence appliances, or</w:t>
            </w:r>
          </w:p>
        </w:tc>
        <w:tc>
          <w:tcPr>
            <w:tcW w:w="4123" w:type="dxa"/>
          </w:tcPr>
          <w:p w14:paraId="122E55E9"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p>
        </w:tc>
      </w:tr>
      <w:tr w:rsidR="002777AD" w:rsidRPr="002777AD" w14:paraId="0CC21FF3" w14:textId="77777777" w:rsidTr="009B59F3">
        <w:trPr>
          <w:trHeight w:val="260"/>
        </w:trPr>
        <w:tc>
          <w:tcPr>
            <w:tcW w:w="4875" w:type="dxa"/>
          </w:tcPr>
          <w:p w14:paraId="75A57AE4" w14:textId="77777777" w:rsidR="002777AD" w:rsidRPr="002777AD" w:rsidRDefault="002777AD" w:rsidP="00DC54F7">
            <w:pPr>
              <w:spacing w:after="0" w:line="240" w:lineRule="auto"/>
              <w:jc w:val="both"/>
              <w:rPr>
                <w:rFonts w:ascii="Arial" w:hAnsi="Arial" w:cs="Arial"/>
              </w:rPr>
            </w:pPr>
            <w:r w:rsidRPr="002777AD">
              <w:rPr>
                <w:rFonts w:ascii="Arial" w:hAnsi="Arial" w:cs="Arial"/>
              </w:rPr>
              <w:t>Yes, excluding stoma and incontinence appliances, or</w:t>
            </w:r>
          </w:p>
        </w:tc>
        <w:tc>
          <w:tcPr>
            <w:tcW w:w="4123" w:type="dxa"/>
          </w:tcPr>
          <w:p w14:paraId="686884F8"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p>
        </w:tc>
      </w:tr>
      <w:tr w:rsidR="002777AD" w:rsidRPr="002777AD" w14:paraId="0ED6178C" w14:textId="77777777" w:rsidTr="009B59F3">
        <w:trPr>
          <w:trHeight w:val="260"/>
        </w:trPr>
        <w:tc>
          <w:tcPr>
            <w:tcW w:w="4875" w:type="dxa"/>
          </w:tcPr>
          <w:p w14:paraId="0E505870" w14:textId="77777777" w:rsidR="002777AD" w:rsidRPr="002777AD" w:rsidRDefault="002777AD" w:rsidP="00DC54F7">
            <w:pPr>
              <w:spacing w:after="0" w:line="240" w:lineRule="auto"/>
              <w:jc w:val="both"/>
              <w:rPr>
                <w:rFonts w:ascii="Arial" w:hAnsi="Arial" w:cs="Arial"/>
              </w:rPr>
            </w:pPr>
            <w:r w:rsidRPr="002777AD">
              <w:rPr>
                <w:rFonts w:ascii="Arial" w:hAnsi="Arial" w:cs="Arial"/>
              </w:rPr>
              <w:t>Yes, just dressings, or</w:t>
            </w:r>
          </w:p>
        </w:tc>
        <w:tc>
          <w:tcPr>
            <w:tcW w:w="4123" w:type="dxa"/>
          </w:tcPr>
          <w:p w14:paraId="3B5D8C24"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p>
        </w:tc>
      </w:tr>
      <w:tr w:rsidR="002777AD" w:rsidRPr="002777AD" w14:paraId="04AA4112" w14:textId="77777777" w:rsidTr="009B59F3">
        <w:trPr>
          <w:trHeight w:val="242"/>
        </w:trPr>
        <w:tc>
          <w:tcPr>
            <w:tcW w:w="4875" w:type="dxa"/>
          </w:tcPr>
          <w:p w14:paraId="465220DD" w14:textId="77777777" w:rsidR="002777AD" w:rsidRPr="002777AD" w:rsidRDefault="002777AD" w:rsidP="00DC54F7">
            <w:pPr>
              <w:spacing w:after="0" w:line="240" w:lineRule="auto"/>
              <w:jc w:val="both"/>
              <w:rPr>
                <w:rFonts w:ascii="Arial" w:hAnsi="Arial" w:cs="Arial"/>
              </w:rPr>
            </w:pPr>
            <w:r w:rsidRPr="002777AD">
              <w:rPr>
                <w:rFonts w:ascii="Arial" w:hAnsi="Arial" w:cs="Arial"/>
              </w:rPr>
              <w:t>Other [identify]</w:t>
            </w:r>
          </w:p>
        </w:tc>
        <w:tc>
          <w:tcPr>
            <w:tcW w:w="4123" w:type="dxa"/>
          </w:tcPr>
          <w:p w14:paraId="57C3914E"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16"/>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r>
      <w:tr w:rsidR="002777AD" w:rsidRPr="002777AD" w14:paraId="320BD23F" w14:textId="77777777" w:rsidTr="009B59F3">
        <w:trPr>
          <w:trHeight w:val="260"/>
        </w:trPr>
        <w:tc>
          <w:tcPr>
            <w:tcW w:w="4875" w:type="dxa"/>
          </w:tcPr>
          <w:p w14:paraId="128EF9F4" w14:textId="77777777" w:rsidR="002777AD" w:rsidRPr="002777AD" w:rsidRDefault="002777AD" w:rsidP="00DC54F7">
            <w:pPr>
              <w:spacing w:after="0" w:line="240" w:lineRule="auto"/>
              <w:jc w:val="both"/>
              <w:rPr>
                <w:rFonts w:ascii="Arial" w:hAnsi="Arial" w:cs="Arial"/>
              </w:rPr>
            </w:pPr>
            <w:r w:rsidRPr="002777AD">
              <w:rPr>
                <w:rFonts w:ascii="Arial" w:hAnsi="Arial" w:cs="Arial"/>
              </w:rPr>
              <w:t>None</w:t>
            </w:r>
          </w:p>
        </w:tc>
        <w:tc>
          <w:tcPr>
            <w:tcW w:w="4123" w:type="dxa"/>
          </w:tcPr>
          <w:p w14:paraId="1217B1C7"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p>
        </w:tc>
      </w:tr>
    </w:tbl>
    <w:p w14:paraId="0A8D8226" w14:textId="77777777" w:rsidR="002777AD" w:rsidRPr="002777AD" w:rsidRDefault="002777AD" w:rsidP="00DC54F7">
      <w:pPr>
        <w:spacing w:after="0" w:line="240" w:lineRule="auto"/>
        <w:jc w:val="both"/>
        <w:rPr>
          <w:rFonts w:ascii="Arial" w:hAnsi="Arial" w:cs="Arial"/>
          <w:b/>
        </w:rPr>
      </w:pPr>
    </w:p>
    <w:p w14:paraId="71C69550" w14:textId="77777777" w:rsidR="002777AD" w:rsidRPr="002777AD" w:rsidRDefault="002777AD" w:rsidP="00DC54F7">
      <w:pPr>
        <w:spacing w:after="0" w:line="240" w:lineRule="auto"/>
        <w:jc w:val="both"/>
        <w:rPr>
          <w:rFonts w:ascii="Arial" w:hAnsi="Arial" w:cs="Arial"/>
          <w:b/>
        </w:rPr>
      </w:pPr>
      <w:r w:rsidRPr="002777AD">
        <w:rPr>
          <w:rFonts w:ascii="Arial" w:hAnsi="Arial" w:cs="Arial"/>
          <w:b/>
        </w:rPr>
        <w:t>Non-commissioned services</w:t>
      </w:r>
    </w:p>
    <w:p w14:paraId="6A5B1007" w14:textId="77777777" w:rsidR="002777AD" w:rsidRDefault="002777AD" w:rsidP="00DC54F7">
      <w:pPr>
        <w:spacing w:after="0" w:line="240" w:lineRule="auto"/>
        <w:jc w:val="both"/>
        <w:rPr>
          <w:rFonts w:ascii="Arial" w:hAnsi="Arial" w:cs="Arial"/>
        </w:rPr>
      </w:pPr>
    </w:p>
    <w:p w14:paraId="4282C106" w14:textId="77777777" w:rsidR="002777AD" w:rsidRDefault="002777AD" w:rsidP="00DC54F7">
      <w:pPr>
        <w:spacing w:after="0" w:line="240" w:lineRule="auto"/>
        <w:jc w:val="both"/>
        <w:rPr>
          <w:rFonts w:ascii="Arial" w:hAnsi="Arial" w:cs="Arial"/>
        </w:rPr>
      </w:pPr>
      <w:r w:rsidRPr="002777AD">
        <w:rPr>
          <w:rFonts w:ascii="Arial" w:hAnsi="Arial" w:cs="Arial"/>
        </w:rPr>
        <w:t>Does the pharmacy provide any of the following?</w:t>
      </w:r>
    </w:p>
    <w:p w14:paraId="2D33CCE9" w14:textId="77777777" w:rsidR="002777AD" w:rsidRPr="002777AD" w:rsidRDefault="002777AD" w:rsidP="00DC54F7">
      <w:pPr>
        <w:spacing w:after="0" w:line="240" w:lineRule="auto"/>
        <w:jc w:val="both"/>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73"/>
        <w:gridCol w:w="3335"/>
      </w:tblGrid>
      <w:tr w:rsidR="002777AD" w:rsidRPr="002777AD" w14:paraId="5EE4191A" w14:textId="77777777" w:rsidTr="00DE71FB">
        <w:tc>
          <w:tcPr>
            <w:tcW w:w="6379" w:type="dxa"/>
          </w:tcPr>
          <w:p w14:paraId="3748D64B" w14:textId="77777777" w:rsidR="002777AD" w:rsidRPr="002777AD" w:rsidRDefault="002777AD" w:rsidP="00DC54F7">
            <w:pPr>
              <w:spacing w:after="0" w:line="240" w:lineRule="auto"/>
              <w:jc w:val="both"/>
              <w:rPr>
                <w:rFonts w:ascii="Arial" w:hAnsi="Arial" w:cs="Arial"/>
              </w:rPr>
            </w:pPr>
            <w:r w:rsidRPr="002777AD">
              <w:rPr>
                <w:rFonts w:ascii="Arial" w:hAnsi="Arial" w:cs="Arial"/>
              </w:rPr>
              <w:t xml:space="preserve">Collection of prescriptions from GP practices </w:t>
            </w:r>
          </w:p>
        </w:tc>
        <w:tc>
          <w:tcPr>
            <w:tcW w:w="3827" w:type="dxa"/>
          </w:tcPr>
          <w:p w14:paraId="0051D850"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p>
        </w:tc>
      </w:tr>
      <w:tr w:rsidR="002777AD" w:rsidRPr="002777AD" w14:paraId="2CCB33C5" w14:textId="77777777" w:rsidTr="00DE71FB">
        <w:tc>
          <w:tcPr>
            <w:tcW w:w="6379" w:type="dxa"/>
          </w:tcPr>
          <w:p w14:paraId="6FA3E272" w14:textId="77777777" w:rsidR="002777AD" w:rsidRPr="002777AD" w:rsidRDefault="002777AD" w:rsidP="00DC54F7">
            <w:pPr>
              <w:spacing w:after="0" w:line="240" w:lineRule="auto"/>
              <w:jc w:val="both"/>
              <w:rPr>
                <w:rFonts w:ascii="Arial" w:hAnsi="Arial" w:cs="Arial"/>
              </w:rPr>
            </w:pPr>
            <w:r w:rsidRPr="002777AD">
              <w:rPr>
                <w:rFonts w:ascii="Arial" w:hAnsi="Arial" w:cs="Arial"/>
              </w:rPr>
              <w:t>Delivery of dispensed medicines – Free of charge on request</w:t>
            </w:r>
          </w:p>
        </w:tc>
        <w:tc>
          <w:tcPr>
            <w:tcW w:w="3827" w:type="dxa"/>
          </w:tcPr>
          <w:p w14:paraId="7D331C22"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p>
        </w:tc>
      </w:tr>
      <w:tr w:rsidR="002777AD" w:rsidRPr="002777AD" w14:paraId="383EBED8" w14:textId="77777777" w:rsidTr="00DE71FB">
        <w:tc>
          <w:tcPr>
            <w:tcW w:w="6379" w:type="dxa"/>
          </w:tcPr>
          <w:p w14:paraId="0A8DEA4E" w14:textId="77777777" w:rsidR="002777AD" w:rsidRPr="002777AD" w:rsidRDefault="002777AD" w:rsidP="00DC54F7">
            <w:pPr>
              <w:spacing w:after="0" w:line="240" w:lineRule="auto"/>
              <w:jc w:val="both"/>
              <w:rPr>
                <w:rFonts w:ascii="Arial" w:hAnsi="Arial" w:cs="Arial"/>
              </w:rPr>
            </w:pPr>
            <w:r w:rsidRPr="002777AD">
              <w:rPr>
                <w:rFonts w:ascii="Arial" w:hAnsi="Arial" w:cs="Arial"/>
              </w:rPr>
              <w:t>Delivery of dispensed medicines – Selected patient groups (list criteria)</w:t>
            </w:r>
          </w:p>
        </w:tc>
        <w:tc>
          <w:tcPr>
            <w:tcW w:w="3827" w:type="dxa"/>
          </w:tcPr>
          <w:p w14:paraId="01626EBB"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16"/>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r>
      <w:tr w:rsidR="002777AD" w:rsidRPr="002777AD" w14:paraId="111C06A3" w14:textId="77777777" w:rsidTr="00DE71FB">
        <w:tc>
          <w:tcPr>
            <w:tcW w:w="6379" w:type="dxa"/>
          </w:tcPr>
          <w:p w14:paraId="5A2C462D" w14:textId="77777777" w:rsidR="002777AD" w:rsidRPr="002777AD" w:rsidRDefault="002777AD" w:rsidP="00DC54F7">
            <w:pPr>
              <w:spacing w:after="0" w:line="240" w:lineRule="auto"/>
              <w:jc w:val="both"/>
              <w:rPr>
                <w:rFonts w:ascii="Arial" w:hAnsi="Arial" w:cs="Arial"/>
              </w:rPr>
            </w:pPr>
            <w:r w:rsidRPr="002777AD">
              <w:rPr>
                <w:rFonts w:ascii="Arial" w:hAnsi="Arial" w:cs="Arial"/>
              </w:rPr>
              <w:t>Delivery of dispensed medicines – Selected areas (list areas)</w:t>
            </w:r>
          </w:p>
        </w:tc>
        <w:tc>
          <w:tcPr>
            <w:tcW w:w="3827" w:type="dxa"/>
          </w:tcPr>
          <w:p w14:paraId="6F8D0C41"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16"/>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r>
      <w:tr w:rsidR="002777AD" w:rsidRPr="002777AD" w14:paraId="551E3AD0" w14:textId="77777777" w:rsidTr="00DE71FB">
        <w:tc>
          <w:tcPr>
            <w:tcW w:w="6379" w:type="dxa"/>
          </w:tcPr>
          <w:p w14:paraId="7B3759C7" w14:textId="77777777" w:rsidR="002777AD" w:rsidRPr="002777AD" w:rsidRDefault="002777AD" w:rsidP="00DC54F7">
            <w:pPr>
              <w:spacing w:after="0" w:line="240" w:lineRule="auto"/>
              <w:jc w:val="both"/>
              <w:rPr>
                <w:rFonts w:ascii="Arial" w:hAnsi="Arial" w:cs="Arial"/>
              </w:rPr>
            </w:pPr>
            <w:r w:rsidRPr="002777AD">
              <w:rPr>
                <w:rFonts w:ascii="Arial" w:hAnsi="Arial" w:cs="Arial"/>
              </w:rPr>
              <w:t>Delivery of dispensed medicines - Chargeable</w:t>
            </w:r>
          </w:p>
        </w:tc>
        <w:tc>
          <w:tcPr>
            <w:tcW w:w="3827" w:type="dxa"/>
          </w:tcPr>
          <w:p w14:paraId="157C1AD6"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
                  <w:enabled/>
                  <w:calcOnExit w:val="0"/>
                  <w:checkBox>
                    <w:sizeAuto/>
                    <w:default w:val="0"/>
                    <w:checked w:val="0"/>
                  </w:checkBox>
                </w:ffData>
              </w:fldChar>
            </w:r>
            <w:r w:rsidRPr="002777AD">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2777AD">
              <w:rPr>
                <w:rFonts w:ascii="Arial" w:hAnsi="Arial" w:cs="Arial"/>
              </w:rPr>
              <w:fldChar w:fldCharType="end"/>
            </w:r>
          </w:p>
        </w:tc>
      </w:tr>
    </w:tbl>
    <w:p w14:paraId="03C32AD0" w14:textId="77777777" w:rsidR="002777AD" w:rsidRPr="002777AD" w:rsidRDefault="002777AD" w:rsidP="00DC54F7">
      <w:pPr>
        <w:spacing w:after="0" w:line="240" w:lineRule="auto"/>
        <w:jc w:val="both"/>
        <w:rPr>
          <w:rFonts w:ascii="Arial" w:hAnsi="Arial" w:cs="Arial"/>
          <w:b/>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68"/>
        <w:gridCol w:w="3340"/>
      </w:tblGrid>
      <w:tr w:rsidR="002777AD" w:rsidRPr="002777AD" w14:paraId="475F4D21" w14:textId="77777777" w:rsidTr="00DE71FB">
        <w:tc>
          <w:tcPr>
            <w:tcW w:w="6379" w:type="dxa"/>
          </w:tcPr>
          <w:p w14:paraId="714E1A97" w14:textId="77777777" w:rsidR="002777AD" w:rsidRPr="002777AD" w:rsidRDefault="002777AD" w:rsidP="00DC54F7">
            <w:pPr>
              <w:spacing w:after="0" w:line="240" w:lineRule="auto"/>
              <w:jc w:val="both"/>
              <w:rPr>
                <w:rFonts w:ascii="Arial" w:hAnsi="Arial" w:cs="Arial"/>
              </w:rPr>
            </w:pPr>
            <w:r w:rsidRPr="002777AD">
              <w:rPr>
                <w:rFonts w:ascii="Arial" w:hAnsi="Arial" w:cs="Arial"/>
              </w:rPr>
              <w:t xml:space="preserve">In your opinion is there a requirement for an existing enhanced service which is not currently provided in your area? If so, what is the particular requirement and why. </w:t>
            </w:r>
          </w:p>
        </w:tc>
        <w:tc>
          <w:tcPr>
            <w:tcW w:w="3827" w:type="dxa"/>
          </w:tcPr>
          <w:p w14:paraId="5C5F196D" w14:textId="77777777" w:rsidR="002777AD" w:rsidRPr="002777AD" w:rsidRDefault="002777AD" w:rsidP="00DC54F7">
            <w:pPr>
              <w:spacing w:after="0" w:line="240" w:lineRule="auto"/>
              <w:jc w:val="both"/>
              <w:rPr>
                <w:rFonts w:ascii="Arial" w:hAnsi="Arial" w:cs="Arial"/>
                <w:b/>
              </w:rPr>
            </w:pPr>
            <w:r w:rsidRPr="002777AD">
              <w:rPr>
                <w:rFonts w:ascii="Arial" w:hAnsi="Arial" w:cs="Arial"/>
              </w:rPr>
              <w:fldChar w:fldCharType="begin">
                <w:ffData>
                  <w:name w:val="Text16"/>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r>
      <w:tr w:rsidR="002777AD" w:rsidRPr="002777AD" w14:paraId="4F65694F" w14:textId="77777777" w:rsidTr="00DE71FB">
        <w:tc>
          <w:tcPr>
            <w:tcW w:w="6379" w:type="dxa"/>
          </w:tcPr>
          <w:p w14:paraId="2E1EBF5C" w14:textId="77777777" w:rsidR="002777AD" w:rsidRPr="002777AD" w:rsidRDefault="002777AD" w:rsidP="00DC54F7">
            <w:pPr>
              <w:spacing w:after="0" w:line="240" w:lineRule="auto"/>
              <w:jc w:val="both"/>
              <w:rPr>
                <w:rFonts w:ascii="Arial" w:hAnsi="Arial" w:cs="Arial"/>
              </w:rPr>
            </w:pPr>
            <w:r w:rsidRPr="002777AD">
              <w:rPr>
                <w:rFonts w:ascii="Arial" w:hAnsi="Arial" w:cs="Arial"/>
              </w:rPr>
              <w:t>In your opinion is there a requirement for a new service that is currently not available?  If so, what is the particular requirement and why.</w:t>
            </w:r>
          </w:p>
        </w:tc>
        <w:tc>
          <w:tcPr>
            <w:tcW w:w="3827" w:type="dxa"/>
          </w:tcPr>
          <w:p w14:paraId="6C9FF420"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16"/>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r>
    </w:tbl>
    <w:p w14:paraId="0085D4F1" w14:textId="77777777" w:rsidR="002777AD" w:rsidRPr="002777AD" w:rsidRDefault="002777AD" w:rsidP="00DC54F7">
      <w:pPr>
        <w:spacing w:after="0" w:line="240" w:lineRule="auto"/>
        <w:jc w:val="both"/>
        <w:rPr>
          <w:rFonts w:ascii="Arial" w:hAnsi="Arial" w:cs="Arial"/>
          <w:b/>
        </w:rPr>
      </w:pPr>
    </w:p>
    <w:p w14:paraId="2946E1D7" w14:textId="77777777" w:rsidR="002777AD" w:rsidRPr="002777AD" w:rsidRDefault="002777AD" w:rsidP="00DC54F7">
      <w:pPr>
        <w:spacing w:after="0" w:line="240" w:lineRule="auto"/>
        <w:jc w:val="both"/>
        <w:rPr>
          <w:rFonts w:ascii="Arial" w:hAnsi="Arial" w:cs="Arial"/>
          <w:b/>
        </w:rPr>
      </w:pPr>
      <w:r w:rsidRPr="002777AD">
        <w:rPr>
          <w:rFonts w:ascii="Arial" w:hAnsi="Arial" w:cs="Arial"/>
          <w:b/>
        </w:rPr>
        <w:t>Capacity</w:t>
      </w:r>
    </w:p>
    <w:p w14:paraId="1F52C91B" w14:textId="77777777" w:rsidR="002777AD" w:rsidRPr="002777AD" w:rsidRDefault="002777AD" w:rsidP="00DC54F7">
      <w:pPr>
        <w:spacing w:after="0" w:line="240" w:lineRule="auto"/>
        <w:jc w:val="both"/>
        <w:rPr>
          <w:rFonts w:ascii="Arial" w:hAnsi="Arial" w:cs="Arial"/>
          <w:b/>
        </w:rPr>
      </w:pPr>
    </w:p>
    <w:p w14:paraId="45F9C12D" w14:textId="77777777" w:rsidR="002777AD" w:rsidRPr="002777AD" w:rsidRDefault="002777AD" w:rsidP="00DC54F7">
      <w:pPr>
        <w:spacing w:after="0" w:line="240" w:lineRule="auto"/>
        <w:jc w:val="both"/>
        <w:rPr>
          <w:rFonts w:ascii="Arial" w:hAnsi="Arial" w:cs="Arial"/>
        </w:rPr>
      </w:pPr>
      <w:r w:rsidRPr="002777AD">
        <w:rPr>
          <w:rFonts w:ascii="Arial" w:hAnsi="Arial" w:cs="Arial"/>
        </w:rPr>
        <w:t>The demand for pharmaceutical services in general is increasing.  Thinking of your pharmacy do you:</w:t>
      </w:r>
    </w:p>
    <w:p w14:paraId="1974AB90" w14:textId="77777777" w:rsidR="002777AD" w:rsidRPr="002777AD" w:rsidRDefault="002777AD" w:rsidP="00DC54F7">
      <w:pPr>
        <w:spacing w:after="0" w:line="240" w:lineRule="auto"/>
        <w:jc w:val="both"/>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46"/>
        <w:gridCol w:w="1134"/>
      </w:tblGrid>
      <w:tr w:rsidR="002777AD" w:rsidRPr="002777AD" w14:paraId="68E7386D" w14:textId="77777777" w:rsidTr="00DE71FB">
        <w:tc>
          <w:tcPr>
            <w:tcW w:w="8046" w:type="dxa"/>
            <w:shd w:val="clear" w:color="auto" w:fill="auto"/>
          </w:tcPr>
          <w:p w14:paraId="2BE664C4" w14:textId="77777777" w:rsidR="002777AD" w:rsidRPr="002777AD" w:rsidRDefault="002777AD" w:rsidP="00DC54F7">
            <w:pPr>
              <w:spacing w:after="0" w:line="240" w:lineRule="auto"/>
              <w:jc w:val="both"/>
              <w:rPr>
                <w:rFonts w:ascii="Arial" w:hAnsi="Arial" w:cs="Arial"/>
                <w:b/>
              </w:rPr>
            </w:pPr>
          </w:p>
        </w:tc>
        <w:tc>
          <w:tcPr>
            <w:tcW w:w="1134" w:type="dxa"/>
            <w:shd w:val="clear" w:color="auto" w:fill="auto"/>
          </w:tcPr>
          <w:p w14:paraId="40B4888C" w14:textId="77777777" w:rsidR="002777AD" w:rsidRPr="002777AD" w:rsidRDefault="002777AD" w:rsidP="00DC54F7">
            <w:pPr>
              <w:spacing w:after="0" w:line="240" w:lineRule="auto"/>
              <w:jc w:val="both"/>
              <w:rPr>
                <w:rFonts w:ascii="Arial" w:hAnsi="Arial" w:cs="Arial"/>
                <w:b/>
              </w:rPr>
            </w:pPr>
            <w:r w:rsidRPr="002777AD">
              <w:rPr>
                <w:rFonts w:ascii="Arial" w:hAnsi="Arial" w:cs="Arial"/>
                <w:b/>
              </w:rPr>
              <w:t>YES</w:t>
            </w:r>
          </w:p>
        </w:tc>
      </w:tr>
      <w:tr w:rsidR="002777AD" w:rsidRPr="002777AD" w14:paraId="39A8678A" w14:textId="77777777" w:rsidTr="00DE71FB">
        <w:tc>
          <w:tcPr>
            <w:tcW w:w="8046" w:type="dxa"/>
            <w:shd w:val="clear" w:color="auto" w:fill="auto"/>
          </w:tcPr>
          <w:p w14:paraId="096C9813" w14:textId="77777777" w:rsidR="002777AD" w:rsidRPr="002777AD" w:rsidRDefault="002777AD" w:rsidP="00DC54F7">
            <w:pPr>
              <w:spacing w:after="0" w:line="240" w:lineRule="auto"/>
              <w:jc w:val="both"/>
              <w:rPr>
                <w:rFonts w:ascii="Arial" w:hAnsi="Arial" w:cs="Arial"/>
              </w:rPr>
            </w:pPr>
            <w:r w:rsidRPr="002777AD">
              <w:rPr>
                <w:rFonts w:ascii="Arial" w:hAnsi="Arial" w:cs="Arial"/>
              </w:rPr>
              <w:t>Have sufficient capacity within your existing premises and staffing levels to manage the increase in demand in your area?</w:t>
            </w:r>
          </w:p>
        </w:tc>
        <w:tc>
          <w:tcPr>
            <w:tcW w:w="1134" w:type="dxa"/>
            <w:shd w:val="clear" w:color="auto" w:fill="auto"/>
          </w:tcPr>
          <w:p w14:paraId="2612C8A7" w14:textId="77777777" w:rsidR="002777AD" w:rsidRPr="002777AD" w:rsidRDefault="002777AD" w:rsidP="00DC54F7">
            <w:pPr>
              <w:spacing w:after="0" w:line="240" w:lineRule="auto"/>
              <w:jc w:val="both"/>
              <w:rPr>
                <w:rFonts w:ascii="Arial" w:hAnsi="Arial" w:cs="Arial"/>
              </w:rPr>
            </w:pPr>
          </w:p>
        </w:tc>
      </w:tr>
      <w:tr w:rsidR="002777AD" w:rsidRPr="002777AD" w14:paraId="11199CED" w14:textId="77777777" w:rsidTr="00DE71FB">
        <w:tc>
          <w:tcPr>
            <w:tcW w:w="8046" w:type="dxa"/>
            <w:shd w:val="clear" w:color="auto" w:fill="auto"/>
          </w:tcPr>
          <w:p w14:paraId="0C98EDCE" w14:textId="77777777" w:rsidR="002777AD" w:rsidRPr="002777AD" w:rsidRDefault="002777AD" w:rsidP="00DC54F7">
            <w:pPr>
              <w:spacing w:after="0" w:line="240" w:lineRule="auto"/>
              <w:jc w:val="both"/>
              <w:rPr>
                <w:rFonts w:ascii="Arial" w:hAnsi="Arial" w:cs="Arial"/>
              </w:rPr>
            </w:pPr>
            <w:r w:rsidRPr="002777AD">
              <w:rPr>
                <w:rFonts w:ascii="Arial" w:hAnsi="Arial" w:cs="Arial"/>
              </w:rPr>
              <w:t>Don’t have sufficient premises and staffing capacity at present but could make adjustments to manage the increase in demand in your area?</w:t>
            </w:r>
          </w:p>
        </w:tc>
        <w:tc>
          <w:tcPr>
            <w:tcW w:w="1134" w:type="dxa"/>
            <w:shd w:val="clear" w:color="auto" w:fill="auto"/>
          </w:tcPr>
          <w:p w14:paraId="61E7B50D" w14:textId="77777777" w:rsidR="002777AD" w:rsidRPr="002777AD" w:rsidRDefault="002777AD" w:rsidP="00DC54F7">
            <w:pPr>
              <w:spacing w:after="0" w:line="240" w:lineRule="auto"/>
              <w:jc w:val="both"/>
              <w:rPr>
                <w:rFonts w:ascii="Arial" w:hAnsi="Arial" w:cs="Arial"/>
              </w:rPr>
            </w:pPr>
          </w:p>
        </w:tc>
      </w:tr>
      <w:tr w:rsidR="002777AD" w:rsidRPr="002777AD" w14:paraId="3411B8FB" w14:textId="77777777" w:rsidTr="00DE71FB">
        <w:tc>
          <w:tcPr>
            <w:tcW w:w="8046" w:type="dxa"/>
            <w:shd w:val="clear" w:color="auto" w:fill="auto"/>
          </w:tcPr>
          <w:p w14:paraId="1EA5E47A" w14:textId="77777777" w:rsidR="002777AD" w:rsidRPr="002777AD" w:rsidRDefault="002777AD" w:rsidP="00DC54F7">
            <w:pPr>
              <w:spacing w:after="0" w:line="240" w:lineRule="auto"/>
              <w:jc w:val="both"/>
              <w:rPr>
                <w:rFonts w:ascii="Arial" w:hAnsi="Arial" w:cs="Arial"/>
              </w:rPr>
            </w:pPr>
            <w:r w:rsidRPr="002777AD">
              <w:rPr>
                <w:rFonts w:ascii="Arial" w:hAnsi="Arial" w:cs="Arial"/>
              </w:rPr>
              <w:t>Don’t have sufficient premises and staffing capacity and would have difficulty in managing an increase in demand?</w:t>
            </w:r>
          </w:p>
        </w:tc>
        <w:tc>
          <w:tcPr>
            <w:tcW w:w="1134" w:type="dxa"/>
            <w:shd w:val="clear" w:color="auto" w:fill="auto"/>
          </w:tcPr>
          <w:p w14:paraId="5D3ACE85" w14:textId="77777777" w:rsidR="002777AD" w:rsidRPr="002777AD" w:rsidRDefault="002777AD" w:rsidP="00DC54F7">
            <w:pPr>
              <w:spacing w:after="0" w:line="240" w:lineRule="auto"/>
              <w:jc w:val="both"/>
              <w:rPr>
                <w:rFonts w:ascii="Arial" w:hAnsi="Arial" w:cs="Arial"/>
              </w:rPr>
            </w:pPr>
          </w:p>
        </w:tc>
      </w:tr>
    </w:tbl>
    <w:p w14:paraId="26F247E8" w14:textId="77777777" w:rsidR="002777AD" w:rsidRPr="002777AD" w:rsidRDefault="002777AD" w:rsidP="00DC54F7">
      <w:pPr>
        <w:spacing w:after="0" w:line="240" w:lineRule="auto"/>
        <w:jc w:val="both"/>
        <w:rPr>
          <w:rFonts w:ascii="Arial" w:hAnsi="Arial" w:cs="Arial"/>
        </w:rPr>
      </w:pPr>
      <w:r w:rsidRPr="002777AD">
        <w:rPr>
          <w:rFonts w:ascii="Arial" w:hAnsi="Arial" w:cs="Arial"/>
        </w:rPr>
        <w:t>(Please tick one option)</w:t>
      </w:r>
    </w:p>
    <w:p w14:paraId="37BD5723" w14:textId="77777777" w:rsidR="002777AD" w:rsidRPr="002777AD" w:rsidRDefault="002777AD" w:rsidP="00DC54F7">
      <w:pPr>
        <w:spacing w:after="0" w:line="240" w:lineRule="auto"/>
        <w:jc w:val="both"/>
        <w:rPr>
          <w:rFonts w:ascii="Arial" w:hAnsi="Arial" w:cs="Arial"/>
          <w:b/>
        </w:rPr>
      </w:pPr>
    </w:p>
    <w:p w14:paraId="53716F41" w14:textId="77777777" w:rsidR="009B59F3" w:rsidRDefault="009B59F3" w:rsidP="00DC54F7">
      <w:pPr>
        <w:spacing w:after="0" w:line="240" w:lineRule="auto"/>
        <w:jc w:val="both"/>
        <w:rPr>
          <w:rFonts w:ascii="Arial" w:hAnsi="Arial" w:cs="Arial"/>
          <w:b/>
        </w:rPr>
      </w:pPr>
    </w:p>
    <w:p w14:paraId="6474CB22" w14:textId="77777777" w:rsidR="009B59F3" w:rsidRDefault="009B59F3" w:rsidP="00DC54F7">
      <w:pPr>
        <w:spacing w:after="0" w:line="240" w:lineRule="auto"/>
        <w:jc w:val="both"/>
        <w:rPr>
          <w:rFonts w:ascii="Arial" w:hAnsi="Arial" w:cs="Arial"/>
          <w:b/>
        </w:rPr>
      </w:pPr>
    </w:p>
    <w:p w14:paraId="2C30D2C8" w14:textId="77777777" w:rsidR="009B59F3" w:rsidRDefault="009B59F3" w:rsidP="00DC54F7">
      <w:pPr>
        <w:spacing w:after="0" w:line="240" w:lineRule="auto"/>
        <w:jc w:val="both"/>
        <w:rPr>
          <w:rFonts w:ascii="Arial" w:hAnsi="Arial" w:cs="Arial"/>
          <w:b/>
        </w:rPr>
      </w:pPr>
    </w:p>
    <w:p w14:paraId="3C733143" w14:textId="77777777" w:rsidR="009B59F3" w:rsidRDefault="009B59F3" w:rsidP="00DC54F7">
      <w:pPr>
        <w:spacing w:after="0" w:line="240" w:lineRule="auto"/>
        <w:jc w:val="both"/>
        <w:rPr>
          <w:rFonts w:ascii="Arial" w:hAnsi="Arial" w:cs="Arial"/>
          <w:b/>
        </w:rPr>
      </w:pPr>
    </w:p>
    <w:p w14:paraId="6953BDF3" w14:textId="77777777" w:rsidR="009B59F3" w:rsidRDefault="009B59F3" w:rsidP="00DC54F7">
      <w:pPr>
        <w:spacing w:after="0" w:line="240" w:lineRule="auto"/>
        <w:jc w:val="both"/>
        <w:rPr>
          <w:rFonts w:ascii="Arial" w:hAnsi="Arial" w:cs="Arial"/>
          <w:b/>
        </w:rPr>
      </w:pPr>
    </w:p>
    <w:p w14:paraId="5714CA04" w14:textId="5396CCC0" w:rsidR="009B59F3" w:rsidRDefault="009B59F3">
      <w:pPr>
        <w:rPr>
          <w:rFonts w:ascii="Arial" w:hAnsi="Arial" w:cs="Arial"/>
          <w:b/>
        </w:rPr>
      </w:pPr>
      <w:r>
        <w:rPr>
          <w:rFonts w:ascii="Arial" w:hAnsi="Arial" w:cs="Arial"/>
          <w:b/>
        </w:rPr>
        <w:br w:type="page"/>
      </w:r>
    </w:p>
    <w:p w14:paraId="5B39BEA9" w14:textId="77777777" w:rsidR="009B59F3" w:rsidRDefault="009B59F3" w:rsidP="00DC54F7">
      <w:pPr>
        <w:spacing w:after="0" w:line="240" w:lineRule="auto"/>
        <w:jc w:val="both"/>
        <w:rPr>
          <w:rFonts w:ascii="Arial" w:hAnsi="Arial" w:cs="Arial"/>
          <w:b/>
        </w:rPr>
      </w:pPr>
    </w:p>
    <w:p w14:paraId="75C4BAF8" w14:textId="4CAAFF66" w:rsidR="002777AD" w:rsidRPr="002777AD" w:rsidRDefault="002777AD" w:rsidP="00DC54F7">
      <w:pPr>
        <w:spacing w:after="0" w:line="240" w:lineRule="auto"/>
        <w:jc w:val="both"/>
        <w:rPr>
          <w:rFonts w:ascii="Arial" w:hAnsi="Arial" w:cs="Arial"/>
          <w:b/>
        </w:rPr>
      </w:pPr>
      <w:r w:rsidRPr="002777AD">
        <w:rPr>
          <w:rFonts w:ascii="Arial" w:hAnsi="Arial" w:cs="Arial"/>
          <w:b/>
        </w:rPr>
        <w:t>Business development</w:t>
      </w:r>
    </w:p>
    <w:p w14:paraId="1745B375" w14:textId="77777777" w:rsidR="002777AD" w:rsidRDefault="002777AD" w:rsidP="00DC54F7">
      <w:pPr>
        <w:spacing w:after="0" w:line="240" w:lineRule="auto"/>
        <w:jc w:val="both"/>
        <w:rPr>
          <w:rFonts w:ascii="Arial" w:hAnsi="Arial" w:cs="Arial"/>
        </w:rPr>
      </w:pPr>
    </w:p>
    <w:p w14:paraId="6802509D" w14:textId="77777777" w:rsidR="002777AD" w:rsidRPr="002777AD" w:rsidRDefault="002777AD" w:rsidP="00DC54F7">
      <w:pPr>
        <w:spacing w:after="0" w:line="240" w:lineRule="auto"/>
        <w:jc w:val="both"/>
        <w:rPr>
          <w:rFonts w:ascii="Arial" w:hAnsi="Arial" w:cs="Arial"/>
        </w:rPr>
      </w:pPr>
      <w:r w:rsidRPr="002777AD">
        <w:rPr>
          <w:rFonts w:ascii="Arial" w:hAnsi="Arial" w:cs="Arial"/>
        </w:rPr>
        <w:t>Do you have any plans to develop or expand your premises or service provision?</w:t>
      </w:r>
      <w:r w:rsidRPr="002777AD">
        <w:rPr>
          <w:rFonts w:ascii="Arial" w:hAnsi="Arial" w:cs="Arial"/>
        </w:rPr>
        <w:tab/>
      </w:r>
      <w:r w:rsidRPr="002777AD">
        <w:rPr>
          <w:rFonts w:ascii="Arial" w:hAnsi="Arial" w:cs="Arial"/>
        </w:rPr>
        <w:tab/>
        <w:t>Yes/No</w:t>
      </w:r>
    </w:p>
    <w:p w14:paraId="3BDB9152" w14:textId="77777777" w:rsidR="002777AD" w:rsidRPr="002777AD" w:rsidRDefault="002777AD" w:rsidP="00DC54F7">
      <w:pPr>
        <w:spacing w:after="0" w:line="240" w:lineRule="auto"/>
        <w:jc w:val="both"/>
        <w:rPr>
          <w:rFonts w:ascii="Arial" w:hAnsi="Arial" w:cs="Aria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16"/>
      </w:tblGrid>
      <w:tr w:rsidR="002777AD" w:rsidRPr="002777AD" w14:paraId="0AF79C2B" w14:textId="77777777" w:rsidTr="00DE71FB">
        <w:tc>
          <w:tcPr>
            <w:tcW w:w="10422" w:type="dxa"/>
            <w:shd w:val="clear" w:color="auto" w:fill="auto"/>
          </w:tcPr>
          <w:p w14:paraId="7162BB0C" w14:textId="77777777" w:rsidR="002777AD" w:rsidRPr="002777AD" w:rsidRDefault="002777AD" w:rsidP="00DC54F7">
            <w:pPr>
              <w:spacing w:after="0" w:line="240" w:lineRule="auto"/>
              <w:jc w:val="both"/>
              <w:rPr>
                <w:rFonts w:ascii="Arial" w:hAnsi="Arial" w:cs="Arial"/>
              </w:rPr>
            </w:pPr>
            <w:r w:rsidRPr="002777AD">
              <w:rPr>
                <w:rFonts w:ascii="Arial" w:hAnsi="Arial" w:cs="Arial"/>
              </w:rPr>
              <w:t>If yes, please can you provide details?</w:t>
            </w:r>
          </w:p>
          <w:p w14:paraId="73AEA767"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16"/>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p w14:paraId="0E5917ED" w14:textId="77777777" w:rsidR="002777AD" w:rsidRPr="002777AD" w:rsidRDefault="002777AD" w:rsidP="00DC54F7">
            <w:pPr>
              <w:spacing w:after="0" w:line="240" w:lineRule="auto"/>
              <w:jc w:val="both"/>
              <w:rPr>
                <w:rFonts w:ascii="Arial" w:hAnsi="Arial" w:cs="Arial"/>
              </w:rPr>
            </w:pPr>
          </w:p>
        </w:tc>
      </w:tr>
    </w:tbl>
    <w:p w14:paraId="582ED285" w14:textId="77777777" w:rsidR="002777AD" w:rsidRPr="002777AD" w:rsidRDefault="002777AD" w:rsidP="00DC54F7">
      <w:pPr>
        <w:spacing w:after="0" w:line="240" w:lineRule="auto"/>
        <w:jc w:val="both"/>
        <w:rPr>
          <w:rFonts w:ascii="Arial" w:hAnsi="Arial" w:cs="Arial"/>
        </w:rPr>
      </w:pPr>
    </w:p>
    <w:p w14:paraId="174F1B4D" w14:textId="77777777" w:rsidR="002777AD" w:rsidRDefault="002777AD" w:rsidP="00DC54F7">
      <w:pPr>
        <w:spacing w:after="0" w:line="240" w:lineRule="auto"/>
        <w:jc w:val="both"/>
        <w:rPr>
          <w:rFonts w:ascii="Arial" w:hAnsi="Arial" w:cs="Arial"/>
          <w:b/>
        </w:rPr>
      </w:pPr>
      <w:r w:rsidRPr="002777AD">
        <w:rPr>
          <w:rFonts w:ascii="Arial" w:hAnsi="Arial" w:cs="Arial"/>
          <w:b/>
        </w:rPr>
        <w:t>Details of the person completing this form:</w:t>
      </w:r>
    </w:p>
    <w:p w14:paraId="50D70A6D" w14:textId="77777777" w:rsidR="002777AD" w:rsidRPr="002777AD" w:rsidRDefault="002777AD" w:rsidP="00DC54F7">
      <w:pPr>
        <w:spacing w:after="0" w:line="240" w:lineRule="auto"/>
        <w:jc w:val="both"/>
        <w:rPr>
          <w:rFonts w:ascii="Arial" w:hAnsi="Arial" w:cs="Arial"/>
          <w:b/>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74"/>
        <w:gridCol w:w="4534"/>
      </w:tblGrid>
      <w:tr w:rsidR="002777AD" w:rsidRPr="002777AD" w14:paraId="39D6DC5F" w14:textId="77777777" w:rsidTr="00DE71FB">
        <w:tc>
          <w:tcPr>
            <w:tcW w:w="4962" w:type="dxa"/>
          </w:tcPr>
          <w:p w14:paraId="64B7CCF0" w14:textId="77777777" w:rsidR="002777AD" w:rsidRPr="002777AD" w:rsidRDefault="002777AD" w:rsidP="00DC54F7">
            <w:pPr>
              <w:spacing w:after="0" w:line="240" w:lineRule="auto"/>
              <w:jc w:val="both"/>
              <w:rPr>
                <w:rFonts w:ascii="Arial" w:hAnsi="Arial" w:cs="Arial"/>
              </w:rPr>
            </w:pPr>
            <w:r w:rsidRPr="002777AD">
              <w:rPr>
                <w:rFonts w:ascii="Arial" w:hAnsi="Arial" w:cs="Arial"/>
              </w:rPr>
              <w:t>Contact name of person completing questionnaire, if questions arise</w:t>
            </w:r>
          </w:p>
        </w:tc>
        <w:tc>
          <w:tcPr>
            <w:tcW w:w="5244" w:type="dxa"/>
          </w:tcPr>
          <w:p w14:paraId="7A3E0F1E" w14:textId="77777777" w:rsidR="002777AD" w:rsidRPr="002777AD" w:rsidRDefault="002777AD" w:rsidP="00DC54F7">
            <w:pPr>
              <w:spacing w:after="0" w:line="240" w:lineRule="auto"/>
              <w:jc w:val="both"/>
              <w:rPr>
                <w:rFonts w:ascii="Arial" w:hAnsi="Arial" w:cs="Arial"/>
              </w:rPr>
            </w:pPr>
            <w:r w:rsidRPr="002777AD">
              <w:rPr>
                <w:rFonts w:ascii="Arial" w:hAnsi="Arial" w:cs="Arial"/>
              </w:rPr>
              <w:t>Contact telephone number</w:t>
            </w:r>
          </w:p>
        </w:tc>
      </w:tr>
      <w:tr w:rsidR="002777AD" w:rsidRPr="002777AD" w14:paraId="59C5D533" w14:textId="77777777" w:rsidTr="00DE71FB">
        <w:tc>
          <w:tcPr>
            <w:tcW w:w="4962" w:type="dxa"/>
          </w:tcPr>
          <w:p w14:paraId="02D106B3"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16"/>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c>
          <w:tcPr>
            <w:tcW w:w="5244" w:type="dxa"/>
          </w:tcPr>
          <w:p w14:paraId="27FAC0DE" w14:textId="77777777" w:rsidR="002777AD" w:rsidRPr="002777AD" w:rsidRDefault="002777AD" w:rsidP="00DC54F7">
            <w:pPr>
              <w:spacing w:after="0" w:line="240" w:lineRule="auto"/>
              <w:jc w:val="both"/>
              <w:rPr>
                <w:rFonts w:ascii="Arial" w:hAnsi="Arial" w:cs="Arial"/>
              </w:rPr>
            </w:pPr>
            <w:r w:rsidRPr="002777AD">
              <w:rPr>
                <w:rFonts w:ascii="Arial" w:hAnsi="Arial" w:cs="Arial"/>
              </w:rPr>
              <w:fldChar w:fldCharType="begin">
                <w:ffData>
                  <w:name w:val="Text16"/>
                  <w:enabled/>
                  <w:calcOnExit w:val="0"/>
                  <w:textInput/>
                </w:ffData>
              </w:fldChar>
            </w:r>
            <w:r w:rsidRPr="002777AD">
              <w:rPr>
                <w:rFonts w:ascii="Arial" w:hAnsi="Arial" w:cs="Arial"/>
              </w:rPr>
              <w:instrText xml:space="preserve"> FORMTEXT </w:instrText>
            </w:r>
            <w:r w:rsidRPr="002777AD">
              <w:rPr>
                <w:rFonts w:ascii="Arial" w:hAnsi="Arial" w:cs="Arial"/>
              </w:rPr>
            </w:r>
            <w:r w:rsidRPr="002777AD">
              <w:rPr>
                <w:rFonts w:ascii="Arial" w:hAnsi="Arial" w:cs="Arial"/>
              </w:rPr>
              <w:fldChar w:fldCharType="separate"/>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t> </w:t>
            </w:r>
            <w:r w:rsidRPr="002777AD">
              <w:rPr>
                <w:rFonts w:ascii="Arial" w:hAnsi="Arial" w:cs="Arial"/>
              </w:rPr>
              <w:fldChar w:fldCharType="end"/>
            </w:r>
          </w:p>
        </w:tc>
      </w:tr>
    </w:tbl>
    <w:p w14:paraId="1590DA20" w14:textId="77777777" w:rsidR="00473C5A" w:rsidRPr="002777AD" w:rsidRDefault="00473C5A" w:rsidP="00DC54F7">
      <w:pPr>
        <w:spacing w:after="0" w:line="240" w:lineRule="auto"/>
        <w:jc w:val="both"/>
        <w:rPr>
          <w:rFonts w:ascii="Arial" w:eastAsiaTheme="majorEastAsia" w:hAnsi="Arial" w:cs="Arial"/>
          <w:b/>
          <w:bCs/>
        </w:rPr>
      </w:pPr>
      <w:r w:rsidRPr="002777AD">
        <w:rPr>
          <w:rFonts w:ascii="Arial" w:hAnsi="Arial" w:cs="Arial"/>
        </w:rPr>
        <w:br w:type="page"/>
      </w:r>
    </w:p>
    <w:p w14:paraId="710CB3DF" w14:textId="05E1E534" w:rsidR="009830E3" w:rsidRPr="00A10850" w:rsidRDefault="003A1198" w:rsidP="00DC54F7">
      <w:pPr>
        <w:pStyle w:val="Heading1"/>
        <w:jc w:val="both"/>
        <w:rPr>
          <w:rFonts w:cs="Arial"/>
          <w:color w:val="auto"/>
        </w:rPr>
      </w:pPr>
      <w:bookmarkStart w:id="82" w:name="_Toc81585122"/>
      <w:r w:rsidRPr="00A10850">
        <w:rPr>
          <w:rFonts w:cs="Arial"/>
          <w:color w:val="auto"/>
        </w:rPr>
        <w:lastRenderedPageBreak/>
        <w:t>Appendix J</w:t>
      </w:r>
      <w:r w:rsidR="00000FEE" w:rsidRPr="00A10850">
        <w:rPr>
          <w:rFonts w:cs="Arial"/>
          <w:color w:val="auto"/>
        </w:rPr>
        <w:t xml:space="preserve"> – dispensing practice questionnaire</w:t>
      </w:r>
      <w:bookmarkEnd w:id="82"/>
    </w:p>
    <w:p w14:paraId="3230E7B6" w14:textId="77777777" w:rsidR="00474FB0" w:rsidRDefault="00474FB0" w:rsidP="00DC54F7">
      <w:pPr>
        <w:pStyle w:val="NormalWeb"/>
        <w:spacing w:before="0" w:beforeAutospacing="0" w:after="0" w:afterAutospacing="0"/>
        <w:jc w:val="both"/>
        <w:rPr>
          <w:rFonts w:ascii="Arial" w:hAnsi="Arial" w:cs="Arial"/>
          <w:b/>
          <w:bCs/>
          <w:sz w:val="22"/>
          <w:szCs w:val="22"/>
        </w:rPr>
      </w:pPr>
    </w:p>
    <w:p w14:paraId="3C2153CA" w14:textId="71C1C85F"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 xml:space="preserve">Pharmaceutical needs assessment for </w:t>
      </w:r>
      <w:r w:rsidR="001915FC">
        <w:rPr>
          <w:rFonts w:ascii="Arial" w:eastAsia="Calibri" w:hAnsi="Arial" w:cs="Arial"/>
          <w:b/>
          <w:sz w:val="22"/>
          <w:szCs w:val="22"/>
        </w:rPr>
        <w:t>Cardiff and Vale</w:t>
      </w:r>
      <w:r w:rsidRPr="006F1BBC">
        <w:rPr>
          <w:rFonts w:ascii="Arial" w:eastAsia="Calibri" w:hAnsi="Arial" w:cs="Arial"/>
          <w:b/>
          <w:sz w:val="22"/>
          <w:szCs w:val="22"/>
        </w:rPr>
        <w:t xml:space="preserve"> University Health Board</w:t>
      </w:r>
    </w:p>
    <w:p w14:paraId="65983570" w14:textId="1A855954" w:rsidR="00F9321E" w:rsidRPr="0013495F" w:rsidRDefault="00F9321E" w:rsidP="00DC54F7">
      <w:pPr>
        <w:pStyle w:val="NormalWeb"/>
        <w:jc w:val="both"/>
        <w:rPr>
          <w:rFonts w:ascii="Arial" w:hAnsi="Arial" w:cs="Arial"/>
          <w:bCs/>
          <w:sz w:val="22"/>
          <w:szCs w:val="22"/>
        </w:rPr>
      </w:pPr>
      <w:r w:rsidRPr="006F1BBC">
        <w:rPr>
          <w:rFonts w:ascii="Arial" w:hAnsi="Arial" w:cs="Arial"/>
          <w:bCs/>
          <w:sz w:val="22"/>
          <w:szCs w:val="22"/>
        </w:rPr>
        <w:t>C</w:t>
      </w:r>
      <w:r w:rsidR="001915FC">
        <w:rPr>
          <w:rFonts w:ascii="Arial" w:hAnsi="Arial" w:cs="Arial"/>
          <w:bCs/>
          <w:sz w:val="22"/>
          <w:szCs w:val="22"/>
        </w:rPr>
        <w:t xml:space="preserve">ardiff and Vale </w:t>
      </w:r>
      <w:r w:rsidRPr="006F1BBC">
        <w:rPr>
          <w:rFonts w:ascii="Arial" w:hAnsi="Arial" w:cs="Arial"/>
          <w:bCs/>
          <w:sz w:val="22"/>
          <w:szCs w:val="22"/>
        </w:rPr>
        <w:t>University Health Board is preparing its first pharmaceutical needs</w:t>
      </w:r>
      <w:r w:rsidRPr="0013495F">
        <w:rPr>
          <w:rFonts w:ascii="Arial" w:hAnsi="Arial" w:cs="Arial"/>
          <w:bCs/>
          <w:sz w:val="22"/>
          <w:szCs w:val="22"/>
        </w:rPr>
        <w:t xml:space="preserve"> assessment or PNA which is due to be published by 1 October 2021</w:t>
      </w:r>
      <w:r>
        <w:rPr>
          <w:rFonts w:ascii="Arial" w:hAnsi="Arial" w:cs="Arial"/>
          <w:bCs/>
          <w:sz w:val="22"/>
          <w:szCs w:val="22"/>
        </w:rPr>
        <w:t xml:space="preserve"> </w:t>
      </w:r>
      <w:r w:rsidRPr="0013495F">
        <w:rPr>
          <w:rFonts w:ascii="Arial" w:hAnsi="Arial" w:cs="Arial"/>
          <w:bCs/>
          <w:sz w:val="22"/>
          <w:szCs w:val="22"/>
        </w:rPr>
        <w:t xml:space="preserve">and we need your help to gather some information to supports its development.  </w:t>
      </w:r>
    </w:p>
    <w:p w14:paraId="1B46F2D1" w14:textId="77777777" w:rsidR="00F9321E" w:rsidRPr="0013495F" w:rsidRDefault="00F9321E" w:rsidP="00DC54F7">
      <w:pPr>
        <w:pStyle w:val="NormalWeb"/>
        <w:spacing w:before="0" w:beforeAutospacing="0" w:after="0" w:afterAutospacing="0"/>
        <w:jc w:val="both"/>
        <w:rPr>
          <w:rFonts w:ascii="Arial" w:hAnsi="Arial" w:cs="Arial"/>
          <w:bCs/>
          <w:sz w:val="22"/>
          <w:szCs w:val="22"/>
        </w:rPr>
      </w:pPr>
      <w:r w:rsidRPr="0013495F">
        <w:rPr>
          <w:rFonts w:ascii="Arial" w:hAnsi="Arial" w:cs="Arial"/>
          <w:bCs/>
          <w:sz w:val="22"/>
          <w:szCs w:val="22"/>
        </w:rPr>
        <w:t>In developing the questionnaire we are only asking for information that is needed but is not routinely held or collected.  As you will see we have kept the questionnaire as short as possible.</w:t>
      </w:r>
    </w:p>
    <w:p w14:paraId="0BDDE956" w14:textId="77777777" w:rsidR="00F9321E" w:rsidRPr="0013495F" w:rsidRDefault="00F9321E" w:rsidP="00DC54F7">
      <w:pPr>
        <w:pStyle w:val="NormalWeb"/>
        <w:spacing w:before="0" w:beforeAutospacing="0" w:after="0" w:afterAutospacing="0"/>
        <w:jc w:val="both"/>
        <w:rPr>
          <w:rFonts w:ascii="Arial" w:hAnsi="Arial" w:cs="Arial"/>
          <w:bCs/>
          <w:sz w:val="22"/>
          <w:szCs w:val="22"/>
        </w:rPr>
      </w:pPr>
    </w:p>
    <w:p w14:paraId="5B4D3E90" w14:textId="77777777" w:rsidR="00F9321E" w:rsidRPr="0013495F" w:rsidRDefault="00F9321E" w:rsidP="00DC54F7">
      <w:pPr>
        <w:pStyle w:val="NormalWeb"/>
        <w:spacing w:before="0" w:beforeAutospacing="0" w:after="0" w:afterAutospacing="0"/>
        <w:jc w:val="both"/>
        <w:rPr>
          <w:rFonts w:ascii="Arial" w:hAnsi="Arial" w:cs="Arial"/>
          <w:bCs/>
          <w:sz w:val="22"/>
          <w:szCs w:val="22"/>
        </w:rPr>
      </w:pPr>
      <w:r w:rsidRPr="0013495F">
        <w:rPr>
          <w:rFonts w:ascii="Arial" w:hAnsi="Arial" w:cs="Arial"/>
          <w:bCs/>
          <w:sz w:val="22"/>
          <w:szCs w:val="22"/>
        </w:rPr>
        <w:t>While available until [</w:t>
      </w:r>
      <w:r w:rsidRPr="00866C89">
        <w:rPr>
          <w:rFonts w:ascii="Arial" w:hAnsi="Arial" w:cs="Arial"/>
          <w:bCs/>
          <w:sz w:val="22"/>
          <w:szCs w:val="22"/>
        </w:rPr>
        <w:t>insert date</w:t>
      </w:r>
      <w:r w:rsidRPr="0013495F">
        <w:rPr>
          <w:rFonts w:ascii="Arial" w:hAnsi="Arial" w:cs="Arial"/>
          <w:bCs/>
          <w:sz w:val="22"/>
          <w:szCs w:val="22"/>
        </w:rPr>
        <w:t>] we would encourage you to complete the questionnaire now.</w:t>
      </w:r>
    </w:p>
    <w:p w14:paraId="3D660E9A" w14:textId="757C51EC" w:rsidR="00F9321E" w:rsidRPr="0013495F" w:rsidRDefault="00F9321E" w:rsidP="00DC54F7">
      <w:pPr>
        <w:pStyle w:val="NormalWeb"/>
        <w:jc w:val="both"/>
        <w:rPr>
          <w:rFonts w:ascii="Arial" w:hAnsi="Arial" w:cs="Arial"/>
          <w:bCs/>
          <w:sz w:val="22"/>
          <w:szCs w:val="22"/>
        </w:rPr>
      </w:pPr>
      <w:r w:rsidRPr="0013495F">
        <w:rPr>
          <w:rFonts w:ascii="Arial" w:hAnsi="Arial" w:cs="Arial"/>
          <w:bCs/>
          <w:sz w:val="22"/>
          <w:szCs w:val="22"/>
        </w:rPr>
        <w:t xml:space="preserve">For queries relating to the information requested or the answers required please email </w:t>
      </w:r>
      <w:r w:rsidR="0081427F">
        <w:t>[</w:t>
      </w:r>
      <w:r w:rsidR="0092664F">
        <w:t>email address</w:t>
      </w:r>
      <w:r w:rsidR="0081427F">
        <w:t xml:space="preserve">] </w:t>
      </w:r>
      <w:r w:rsidRPr="0013495F">
        <w:rPr>
          <w:rFonts w:ascii="Arial" w:hAnsi="Arial" w:cs="Arial"/>
          <w:bCs/>
          <w:sz w:val="22"/>
          <w:szCs w:val="22"/>
        </w:rPr>
        <w:t>with a subject title of ‘</w:t>
      </w:r>
      <w:r>
        <w:rPr>
          <w:rFonts w:ascii="Arial" w:hAnsi="Arial" w:cs="Arial"/>
          <w:bCs/>
          <w:sz w:val="22"/>
          <w:szCs w:val="22"/>
        </w:rPr>
        <w:t>C</w:t>
      </w:r>
      <w:r w:rsidR="00474FB0">
        <w:rPr>
          <w:rFonts w:ascii="Arial" w:hAnsi="Arial" w:cs="Arial"/>
          <w:bCs/>
          <w:sz w:val="22"/>
          <w:szCs w:val="22"/>
        </w:rPr>
        <w:t>V</w:t>
      </w:r>
      <w:r>
        <w:rPr>
          <w:rFonts w:ascii="Arial" w:hAnsi="Arial" w:cs="Arial"/>
          <w:bCs/>
          <w:sz w:val="22"/>
          <w:szCs w:val="22"/>
        </w:rPr>
        <w:t xml:space="preserve">UHB </w:t>
      </w:r>
      <w:r w:rsidRPr="0013495F">
        <w:rPr>
          <w:rFonts w:ascii="Arial" w:hAnsi="Arial" w:cs="Arial"/>
          <w:bCs/>
          <w:sz w:val="22"/>
          <w:szCs w:val="22"/>
        </w:rPr>
        <w:t>PNA dispensing practice survey’.</w:t>
      </w:r>
    </w:p>
    <w:p w14:paraId="0F4B0031" w14:textId="77777777" w:rsidR="00F9321E" w:rsidRPr="0013495F" w:rsidRDefault="00F9321E" w:rsidP="00DC54F7">
      <w:pPr>
        <w:pStyle w:val="NormalWeb"/>
        <w:spacing w:before="0" w:beforeAutospacing="0" w:after="0" w:afterAutospacing="0"/>
        <w:jc w:val="both"/>
        <w:rPr>
          <w:rFonts w:ascii="Arial" w:hAnsi="Arial" w:cs="Arial"/>
          <w:bCs/>
          <w:sz w:val="22"/>
          <w:szCs w:val="22"/>
        </w:rPr>
      </w:pPr>
      <w:r w:rsidRPr="0013495F">
        <w:rPr>
          <w:rFonts w:ascii="Arial" w:hAnsi="Arial" w:cs="Arial"/>
          <w:bCs/>
          <w:sz w:val="22"/>
          <w:szCs w:val="22"/>
        </w:rPr>
        <w:t xml:space="preserve">Please insert the name of the practice you are completing the questionnaire on behalf of: </w:t>
      </w:r>
    </w:p>
    <w:p w14:paraId="4B530DE6" w14:textId="77777777" w:rsidR="00F9321E" w:rsidRPr="0013495F" w:rsidRDefault="00F9321E" w:rsidP="00DC54F7">
      <w:pPr>
        <w:pStyle w:val="NormalWeb"/>
        <w:spacing w:before="0" w:beforeAutospacing="0" w:after="0" w:afterAutospacing="0"/>
        <w:jc w:val="both"/>
        <w:rPr>
          <w:rFonts w:ascii="Arial" w:hAnsi="Arial" w:cs="Arial"/>
          <w:bCs/>
          <w:sz w:val="22"/>
          <w:szCs w:val="22"/>
        </w:rPr>
      </w:pPr>
    </w:p>
    <w:tbl>
      <w:tblPr>
        <w:tblStyle w:val="TableGrid"/>
        <w:tblW w:w="0" w:type="auto"/>
        <w:tblLook w:val="04A0" w:firstRow="1" w:lastRow="0" w:firstColumn="1" w:lastColumn="0" w:noHBand="0" w:noVBand="1"/>
      </w:tblPr>
      <w:tblGrid>
        <w:gridCol w:w="9016"/>
      </w:tblGrid>
      <w:tr w:rsidR="00F9321E" w:rsidRPr="0013495F" w14:paraId="428FE315" w14:textId="77777777" w:rsidTr="00AA572E">
        <w:tc>
          <w:tcPr>
            <w:tcW w:w="9242" w:type="dxa"/>
          </w:tcPr>
          <w:p w14:paraId="4C490FF0" w14:textId="77777777" w:rsidR="00F9321E" w:rsidRPr="0013495F" w:rsidRDefault="00F9321E" w:rsidP="00DC54F7">
            <w:pPr>
              <w:pStyle w:val="NormalWeb"/>
              <w:spacing w:before="0" w:beforeAutospacing="0" w:after="0" w:afterAutospacing="0"/>
              <w:jc w:val="both"/>
              <w:rPr>
                <w:rFonts w:ascii="Arial" w:hAnsi="Arial" w:cs="Arial"/>
                <w:bCs/>
                <w:sz w:val="22"/>
                <w:szCs w:val="22"/>
              </w:rPr>
            </w:pPr>
          </w:p>
          <w:p w14:paraId="29F54CCB" w14:textId="77777777" w:rsidR="00F9321E" w:rsidRPr="0013495F" w:rsidRDefault="00F9321E" w:rsidP="00DC54F7">
            <w:pPr>
              <w:pStyle w:val="NormalWeb"/>
              <w:spacing w:before="0" w:beforeAutospacing="0" w:after="0" w:afterAutospacing="0"/>
              <w:jc w:val="both"/>
              <w:rPr>
                <w:rFonts w:ascii="Arial" w:hAnsi="Arial" w:cs="Arial"/>
                <w:bCs/>
                <w:sz w:val="22"/>
                <w:szCs w:val="22"/>
              </w:rPr>
            </w:pPr>
          </w:p>
        </w:tc>
      </w:tr>
    </w:tbl>
    <w:p w14:paraId="25078694" w14:textId="77777777" w:rsidR="00F9321E" w:rsidRPr="0013495F" w:rsidRDefault="00F9321E" w:rsidP="00DC54F7">
      <w:pPr>
        <w:pStyle w:val="NormalWeb"/>
        <w:spacing w:before="0" w:beforeAutospacing="0" w:after="0" w:afterAutospacing="0"/>
        <w:jc w:val="both"/>
        <w:rPr>
          <w:rFonts w:ascii="Arial" w:hAnsi="Arial" w:cs="Arial"/>
          <w:bCs/>
          <w:sz w:val="22"/>
          <w:szCs w:val="22"/>
        </w:rPr>
      </w:pPr>
    </w:p>
    <w:p w14:paraId="2CC2AF76" w14:textId="77777777" w:rsidR="00F9321E" w:rsidRPr="0013495F" w:rsidRDefault="00F9321E" w:rsidP="00DC54F7">
      <w:pPr>
        <w:pStyle w:val="NormalWeb"/>
        <w:spacing w:before="0" w:beforeAutospacing="0" w:after="0" w:afterAutospacing="0"/>
        <w:jc w:val="both"/>
        <w:rPr>
          <w:rFonts w:ascii="Arial" w:hAnsi="Arial" w:cs="Arial"/>
          <w:bCs/>
          <w:sz w:val="22"/>
          <w:szCs w:val="22"/>
        </w:rPr>
      </w:pPr>
      <w:r w:rsidRPr="0013495F">
        <w:rPr>
          <w:rFonts w:ascii="Arial" w:hAnsi="Arial" w:cs="Arial"/>
          <w:bCs/>
          <w:sz w:val="22"/>
          <w:szCs w:val="22"/>
        </w:rPr>
        <w:t>Please insert the address or addresses of the premises for which the practice has premises approve to dispense from:</w:t>
      </w:r>
    </w:p>
    <w:p w14:paraId="43D21796" w14:textId="77777777" w:rsidR="00F9321E" w:rsidRPr="0013495F" w:rsidRDefault="00F9321E" w:rsidP="00DC54F7">
      <w:pPr>
        <w:pStyle w:val="NormalWeb"/>
        <w:spacing w:before="0" w:beforeAutospacing="0" w:after="0" w:afterAutospacing="0"/>
        <w:jc w:val="both"/>
        <w:rPr>
          <w:rFonts w:ascii="Arial" w:hAnsi="Arial" w:cs="Arial"/>
          <w:bCs/>
          <w:sz w:val="22"/>
          <w:szCs w:val="22"/>
        </w:rPr>
      </w:pPr>
    </w:p>
    <w:tbl>
      <w:tblPr>
        <w:tblStyle w:val="TableGrid"/>
        <w:tblW w:w="0" w:type="auto"/>
        <w:tblLook w:val="04A0" w:firstRow="1" w:lastRow="0" w:firstColumn="1" w:lastColumn="0" w:noHBand="0" w:noVBand="1"/>
      </w:tblPr>
      <w:tblGrid>
        <w:gridCol w:w="9016"/>
      </w:tblGrid>
      <w:tr w:rsidR="00F9321E" w:rsidRPr="0013495F" w14:paraId="0BD2FBA7" w14:textId="77777777" w:rsidTr="00AA572E">
        <w:tc>
          <w:tcPr>
            <w:tcW w:w="9242" w:type="dxa"/>
          </w:tcPr>
          <w:p w14:paraId="6DDFA789" w14:textId="77777777" w:rsidR="00F9321E" w:rsidRPr="0013495F" w:rsidRDefault="00F9321E" w:rsidP="00DC54F7">
            <w:pPr>
              <w:pStyle w:val="NormalWeb"/>
              <w:spacing w:before="0" w:beforeAutospacing="0" w:after="0" w:afterAutospacing="0"/>
              <w:jc w:val="both"/>
              <w:rPr>
                <w:rFonts w:ascii="Arial" w:hAnsi="Arial" w:cs="Arial"/>
                <w:bCs/>
                <w:sz w:val="22"/>
                <w:szCs w:val="22"/>
              </w:rPr>
            </w:pPr>
          </w:p>
          <w:p w14:paraId="382B2F00" w14:textId="77777777" w:rsidR="00F9321E" w:rsidRPr="0013495F" w:rsidRDefault="00F9321E" w:rsidP="00DC54F7">
            <w:pPr>
              <w:pStyle w:val="NormalWeb"/>
              <w:spacing w:before="0" w:beforeAutospacing="0" w:after="0" w:afterAutospacing="0"/>
              <w:jc w:val="both"/>
              <w:rPr>
                <w:rFonts w:ascii="Arial" w:hAnsi="Arial" w:cs="Arial"/>
                <w:bCs/>
                <w:sz w:val="22"/>
                <w:szCs w:val="22"/>
              </w:rPr>
            </w:pPr>
          </w:p>
          <w:p w14:paraId="6BB6F321" w14:textId="77777777" w:rsidR="00F9321E" w:rsidRPr="0013495F" w:rsidRDefault="00F9321E" w:rsidP="00DC54F7">
            <w:pPr>
              <w:pStyle w:val="NormalWeb"/>
              <w:spacing w:before="0" w:beforeAutospacing="0" w:after="0" w:afterAutospacing="0"/>
              <w:jc w:val="both"/>
              <w:rPr>
                <w:rFonts w:ascii="Arial" w:hAnsi="Arial" w:cs="Arial"/>
                <w:bCs/>
                <w:sz w:val="22"/>
                <w:szCs w:val="22"/>
              </w:rPr>
            </w:pPr>
          </w:p>
          <w:p w14:paraId="649A3AE9" w14:textId="77777777" w:rsidR="00F9321E" w:rsidRPr="0013495F" w:rsidRDefault="00F9321E" w:rsidP="00DC54F7">
            <w:pPr>
              <w:pStyle w:val="NormalWeb"/>
              <w:spacing w:before="0" w:beforeAutospacing="0" w:after="0" w:afterAutospacing="0"/>
              <w:jc w:val="both"/>
              <w:rPr>
                <w:rFonts w:ascii="Arial" w:hAnsi="Arial" w:cs="Arial"/>
                <w:bCs/>
                <w:sz w:val="22"/>
                <w:szCs w:val="22"/>
              </w:rPr>
            </w:pPr>
          </w:p>
        </w:tc>
      </w:tr>
    </w:tbl>
    <w:p w14:paraId="380CE493" w14:textId="77777777" w:rsidR="00F9321E" w:rsidRPr="0013495F" w:rsidRDefault="00F9321E" w:rsidP="00DC54F7">
      <w:pPr>
        <w:pStyle w:val="NormalWeb"/>
        <w:spacing w:before="0" w:beforeAutospacing="0" w:after="0" w:afterAutospacing="0"/>
        <w:jc w:val="both"/>
        <w:rPr>
          <w:rFonts w:ascii="Arial" w:hAnsi="Arial" w:cs="Arial"/>
          <w:bCs/>
          <w:sz w:val="22"/>
          <w:szCs w:val="22"/>
        </w:rPr>
      </w:pPr>
    </w:p>
    <w:p w14:paraId="61A9AA00"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p w14:paraId="44EBB098"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1 Please complete the table below in respect of the times at which the dispensary is open using the 24 hour clock.</w:t>
      </w:r>
    </w:p>
    <w:p w14:paraId="20E294F5"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bl>
      <w:tblPr>
        <w:tblStyle w:val="TableGrid"/>
        <w:tblW w:w="0" w:type="auto"/>
        <w:tblLook w:val="04A0" w:firstRow="1" w:lastRow="0" w:firstColumn="1" w:lastColumn="0" w:noHBand="0" w:noVBand="1"/>
      </w:tblPr>
      <w:tblGrid>
        <w:gridCol w:w="1468"/>
        <w:gridCol w:w="2632"/>
        <w:gridCol w:w="2632"/>
        <w:gridCol w:w="2284"/>
      </w:tblGrid>
      <w:tr w:rsidR="00F9321E" w:rsidRPr="0013495F" w14:paraId="700B7116" w14:textId="77777777" w:rsidTr="00AA572E">
        <w:tc>
          <w:tcPr>
            <w:tcW w:w="1469" w:type="dxa"/>
          </w:tcPr>
          <w:p w14:paraId="2F793766"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c>
          <w:tcPr>
            <w:tcW w:w="2713" w:type="dxa"/>
          </w:tcPr>
          <w:p w14:paraId="584F06F7"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 xml:space="preserve">Address - </w:t>
            </w:r>
          </w:p>
        </w:tc>
        <w:tc>
          <w:tcPr>
            <w:tcW w:w="2713" w:type="dxa"/>
          </w:tcPr>
          <w:p w14:paraId="6ACB136F"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 xml:space="preserve">Address – </w:t>
            </w:r>
          </w:p>
          <w:p w14:paraId="0BB58423"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p w14:paraId="4D9ADB1A"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p w14:paraId="48D44A9D"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p w14:paraId="133F3E88"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c>
          <w:tcPr>
            <w:tcW w:w="2347" w:type="dxa"/>
          </w:tcPr>
          <w:p w14:paraId="7C4EA48B"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Pr>
                <w:rFonts w:ascii="Arial" w:hAnsi="Arial" w:cs="Arial"/>
                <w:b/>
                <w:bCs/>
                <w:sz w:val="22"/>
                <w:szCs w:val="22"/>
              </w:rPr>
              <w:t xml:space="preserve">Address - </w:t>
            </w:r>
          </w:p>
        </w:tc>
      </w:tr>
      <w:tr w:rsidR="00F9321E" w:rsidRPr="0013495F" w14:paraId="4F963C1C" w14:textId="77777777" w:rsidTr="00AA572E">
        <w:trPr>
          <w:trHeight w:val="523"/>
        </w:trPr>
        <w:tc>
          <w:tcPr>
            <w:tcW w:w="1469" w:type="dxa"/>
          </w:tcPr>
          <w:p w14:paraId="01FE5E4B"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Monday</w:t>
            </w:r>
          </w:p>
        </w:tc>
        <w:tc>
          <w:tcPr>
            <w:tcW w:w="2713" w:type="dxa"/>
          </w:tcPr>
          <w:p w14:paraId="16741C1F"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c>
          <w:tcPr>
            <w:tcW w:w="2713" w:type="dxa"/>
          </w:tcPr>
          <w:p w14:paraId="7F677F91"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c>
          <w:tcPr>
            <w:tcW w:w="2347" w:type="dxa"/>
          </w:tcPr>
          <w:p w14:paraId="4095D842"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r>
      <w:tr w:rsidR="00F9321E" w:rsidRPr="0013495F" w14:paraId="418D37B6" w14:textId="77777777" w:rsidTr="00AA572E">
        <w:trPr>
          <w:trHeight w:val="431"/>
        </w:trPr>
        <w:tc>
          <w:tcPr>
            <w:tcW w:w="1469" w:type="dxa"/>
          </w:tcPr>
          <w:p w14:paraId="518CD9BC"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Tuesday</w:t>
            </w:r>
          </w:p>
        </w:tc>
        <w:tc>
          <w:tcPr>
            <w:tcW w:w="2713" w:type="dxa"/>
          </w:tcPr>
          <w:p w14:paraId="2389D9CA"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c>
          <w:tcPr>
            <w:tcW w:w="2713" w:type="dxa"/>
          </w:tcPr>
          <w:p w14:paraId="7A74E1B6"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c>
          <w:tcPr>
            <w:tcW w:w="2347" w:type="dxa"/>
          </w:tcPr>
          <w:p w14:paraId="71040052"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r>
      <w:tr w:rsidR="00F9321E" w:rsidRPr="0013495F" w14:paraId="1D4D0F5A" w14:textId="77777777" w:rsidTr="00AA572E">
        <w:trPr>
          <w:trHeight w:val="409"/>
        </w:trPr>
        <w:tc>
          <w:tcPr>
            <w:tcW w:w="1469" w:type="dxa"/>
          </w:tcPr>
          <w:p w14:paraId="619F0693"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Wednesday</w:t>
            </w:r>
          </w:p>
        </w:tc>
        <w:tc>
          <w:tcPr>
            <w:tcW w:w="2713" w:type="dxa"/>
          </w:tcPr>
          <w:p w14:paraId="2CCC1DDB"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c>
          <w:tcPr>
            <w:tcW w:w="2713" w:type="dxa"/>
          </w:tcPr>
          <w:p w14:paraId="2DA215FA"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c>
          <w:tcPr>
            <w:tcW w:w="2347" w:type="dxa"/>
          </w:tcPr>
          <w:p w14:paraId="3E31F33C"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r>
      <w:tr w:rsidR="00F9321E" w:rsidRPr="0013495F" w14:paraId="248DB512" w14:textId="77777777" w:rsidTr="00AA572E">
        <w:trPr>
          <w:trHeight w:val="428"/>
        </w:trPr>
        <w:tc>
          <w:tcPr>
            <w:tcW w:w="1469" w:type="dxa"/>
          </w:tcPr>
          <w:p w14:paraId="3052BF45"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Thursday</w:t>
            </w:r>
          </w:p>
        </w:tc>
        <w:tc>
          <w:tcPr>
            <w:tcW w:w="2713" w:type="dxa"/>
          </w:tcPr>
          <w:p w14:paraId="71809028"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c>
          <w:tcPr>
            <w:tcW w:w="2713" w:type="dxa"/>
          </w:tcPr>
          <w:p w14:paraId="6C27436B"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c>
          <w:tcPr>
            <w:tcW w:w="2347" w:type="dxa"/>
          </w:tcPr>
          <w:p w14:paraId="3952477F"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r>
      <w:tr w:rsidR="00F9321E" w:rsidRPr="0013495F" w14:paraId="44E3543C" w14:textId="77777777" w:rsidTr="00AA572E">
        <w:trPr>
          <w:trHeight w:val="534"/>
        </w:trPr>
        <w:tc>
          <w:tcPr>
            <w:tcW w:w="1469" w:type="dxa"/>
          </w:tcPr>
          <w:p w14:paraId="6B683686"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Friday</w:t>
            </w:r>
          </w:p>
        </w:tc>
        <w:tc>
          <w:tcPr>
            <w:tcW w:w="2713" w:type="dxa"/>
          </w:tcPr>
          <w:p w14:paraId="18009B5B"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c>
          <w:tcPr>
            <w:tcW w:w="2713" w:type="dxa"/>
          </w:tcPr>
          <w:p w14:paraId="6A54C274"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c>
          <w:tcPr>
            <w:tcW w:w="2347" w:type="dxa"/>
          </w:tcPr>
          <w:p w14:paraId="50B4D885"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r>
      <w:tr w:rsidR="00F9321E" w:rsidRPr="0013495F" w14:paraId="1519C50A" w14:textId="77777777" w:rsidTr="00AA572E">
        <w:trPr>
          <w:trHeight w:val="429"/>
        </w:trPr>
        <w:tc>
          <w:tcPr>
            <w:tcW w:w="1469" w:type="dxa"/>
          </w:tcPr>
          <w:p w14:paraId="60236D8B"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Saturday</w:t>
            </w:r>
          </w:p>
        </w:tc>
        <w:tc>
          <w:tcPr>
            <w:tcW w:w="2713" w:type="dxa"/>
          </w:tcPr>
          <w:p w14:paraId="4A2E4EFA"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c>
          <w:tcPr>
            <w:tcW w:w="2713" w:type="dxa"/>
          </w:tcPr>
          <w:p w14:paraId="6D98B2B8"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c>
          <w:tcPr>
            <w:tcW w:w="2347" w:type="dxa"/>
          </w:tcPr>
          <w:p w14:paraId="160D3E3F"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r>
      <w:tr w:rsidR="00F9321E" w:rsidRPr="0013495F" w14:paraId="55A603CB" w14:textId="77777777" w:rsidTr="00AA572E">
        <w:trPr>
          <w:trHeight w:val="563"/>
        </w:trPr>
        <w:tc>
          <w:tcPr>
            <w:tcW w:w="1469" w:type="dxa"/>
          </w:tcPr>
          <w:p w14:paraId="18A8D56B"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Sunday</w:t>
            </w:r>
          </w:p>
        </w:tc>
        <w:tc>
          <w:tcPr>
            <w:tcW w:w="2713" w:type="dxa"/>
          </w:tcPr>
          <w:p w14:paraId="201039F9"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c>
          <w:tcPr>
            <w:tcW w:w="2713" w:type="dxa"/>
          </w:tcPr>
          <w:p w14:paraId="298CBF9A"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c>
          <w:tcPr>
            <w:tcW w:w="2347" w:type="dxa"/>
          </w:tcPr>
          <w:p w14:paraId="179F4EFD"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r>
    </w:tbl>
    <w:p w14:paraId="5CEC7250"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p w14:paraId="75EA52A8"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p w14:paraId="3971F0F1"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2 Are appliances dispensed from the premises?</w:t>
      </w:r>
    </w:p>
    <w:p w14:paraId="63351568"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bl>
      <w:tblPr>
        <w:tblStyle w:val="TableGrid"/>
        <w:tblW w:w="0" w:type="auto"/>
        <w:tblLook w:val="04A0" w:firstRow="1" w:lastRow="0" w:firstColumn="1" w:lastColumn="0" w:noHBand="0" w:noVBand="1"/>
      </w:tblPr>
      <w:tblGrid>
        <w:gridCol w:w="6796"/>
        <w:gridCol w:w="2127"/>
      </w:tblGrid>
      <w:tr w:rsidR="00F9321E" w:rsidRPr="0013495F" w14:paraId="5CDDEFE3" w14:textId="77777777" w:rsidTr="00AA572E">
        <w:trPr>
          <w:trHeight w:val="380"/>
        </w:trPr>
        <w:tc>
          <w:tcPr>
            <w:tcW w:w="6796" w:type="dxa"/>
          </w:tcPr>
          <w:p w14:paraId="0683180B"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Range of appliances: one answer ‘yes’ only</w:t>
            </w:r>
          </w:p>
        </w:tc>
        <w:tc>
          <w:tcPr>
            <w:tcW w:w="2127" w:type="dxa"/>
          </w:tcPr>
          <w:p w14:paraId="6E3E08A1"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YES</w:t>
            </w:r>
          </w:p>
        </w:tc>
      </w:tr>
      <w:tr w:rsidR="00F9321E" w:rsidRPr="0013495F" w14:paraId="4F84FBF1" w14:textId="77777777" w:rsidTr="00AA572E">
        <w:trPr>
          <w:trHeight w:val="426"/>
        </w:trPr>
        <w:tc>
          <w:tcPr>
            <w:tcW w:w="6796" w:type="dxa"/>
          </w:tcPr>
          <w:p w14:paraId="4948CAC7" w14:textId="77777777" w:rsidR="00F9321E" w:rsidRPr="0013495F" w:rsidRDefault="00F9321E" w:rsidP="00DC54F7">
            <w:pPr>
              <w:pStyle w:val="NormalWeb"/>
              <w:spacing w:before="0" w:beforeAutospacing="0" w:after="0" w:afterAutospacing="0"/>
              <w:jc w:val="both"/>
              <w:rPr>
                <w:rFonts w:ascii="Arial" w:hAnsi="Arial" w:cs="Arial"/>
                <w:bCs/>
                <w:sz w:val="22"/>
                <w:szCs w:val="22"/>
              </w:rPr>
            </w:pPr>
            <w:r w:rsidRPr="0013495F">
              <w:rPr>
                <w:rFonts w:ascii="Arial" w:hAnsi="Arial" w:cs="Arial"/>
                <w:bCs/>
                <w:sz w:val="22"/>
                <w:szCs w:val="22"/>
              </w:rPr>
              <w:t xml:space="preserve">     Yes - All types, or</w:t>
            </w:r>
          </w:p>
        </w:tc>
        <w:tc>
          <w:tcPr>
            <w:tcW w:w="2127" w:type="dxa"/>
          </w:tcPr>
          <w:p w14:paraId="0898230A"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r>
      <w:tr w:rsidR="00F9321E" w:rsidRPr="0013495F" w14:paraId="10B23E69" w14:textId="77777777" w:rsidTr="00AA572E">
        <w:trPr>
          <w:trHeight w:val="404"/>
        </w:trPr>
        <w:tc>
          <w:tcPr>
            <w:tcW w:w="6796" w:type="dxa"/>
          </w:tcPr>
          <w:p w14:paraId="3BC22711" w14:textId="77777777" w:rsidR="00F9321E" w:rsidRPr="0013495F" w:rsidRDefault="00F9321E" w:rsidP="00DC54F7">
            <w:pPr>
              <w:pStyle w:val="NormalWeb"/>
              <w:spacing w:before="0" w:beforeAutospacing="0" w:after="0" w:afterAutospacing="0"/>
              <w:jc w:val="both"/>
              <w:rPr>
                <w:rFonts w:ascii="Arial" w:hAnsi="Arial" w:cs="Arial"/>
                <w:bCs/>
                <w:sz w:val="22"/>
                <w:szCs w:val="22"/>
              </w:rPr>
            </w:pPr>
            <w:r w:rsidRPr="0013495F">
              <w:rPr>
                <w:rFonts w:ascii="Arial" w:hAnsi="Arial" w:cs="Arial"/>
                <w:bCs/>
                <w:sz w:val="22"/>
                <w:szCs w:val="22"/>
              </w:rPr>
              <w:t xml:space="preserve">     Yes, excluding stoma appliances, or</w:t>
            </w:r>
          </w:p>
        </w:tc>
        <w:tc>
          <w:tcPr>
            <w:tcW w:w="2127" w:type="dxa"/>
          </w:tcPr>
          <w:p w14:paraId="22617AD7"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r>
      <w:tr w:rsidR="00F9321E" w:rsidRPr="0013495F" w14:paraId="4BDB49BE" w14:textId="77777777" w:rsidTr="00AA572E">
        <w:trPr>
          <w:trHeight w:val="423"/>
        </w:trPr>
        <w:tc>
          <w:tcPr>
            <w:tcW w:w="6796" w:type="dxa"/>
          </w:tcPr>
          <w:p w14:paraId="2110ED61" w14:textId="77777777" w:rsidR="00F9321E" w:rsidRPr="0013495F" w:rsidRDefault="00F9321E" w:rsidP="00DC54F7">
            <w:pPr>
              <w:pStyle w:val="NormalWeb"/>
              <w:spacing w:before="0" w:beforeAutospacing="0" w:after="0" w:afterAutospacing="0"/>
              <w:jc w:val="both"/>
              <w:rPr>
                <w:rFonts w:ascii="Arial" w:hAnsi="Arial" w:cs="Arial"/>
                <w:bCs/>
                <w:sz w:val="22"/>
                <w:szCs w:val="22"/>
              </w:rPr>
            </w:pPr>
            <w:r w:rsidRPr="0013495F">
              <w:rPr>
                <w:rFonts w:ascii="Arial" w:hAnsi="Arial" w:cs="Arial"/>
                <w:bCs/>
                <w:sz w:val="22"/>
                <w:szCs w:val="22"/>
              </w:rPr>
              <w:t xml:space="preserve">     Yes, excluding incontinence appliances, or</w:t>
            </w:r>
          </w:p>
        </w:tc>
        <w:tc>
          <w:tcPr>
            <w:tcW w:w="2127" w:type="dxa"/>
          </w:tcPr>
          <w:p w14:paraId="216F74A9"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r>
      <w:tr w:rsidR="00F9321E" w:rsidRPr="0013495F" w14:paraId="23915D7F" w14:textId="77777777" w:rsidTr="00AA572E">
        <w:trPr>
          <w:trHeight w:val="414"/>
        </w:trPr>
        <w:tc>
          <w:tcPr>
            <w:tcW w:w="6796" w:type="dxa"/>
          </w:tcPr>
          <w:p w14:paraId="36A8C967" w14:textId="77777777" w:rsidR="00F9321E" w:rsidRPr="0013495F" w:rsidRDefault="00F9321E" w:rsidP="00DC54F7">
            <w:pPr>
              <w:pStyle w:val="NormalWeb"/>
              <w:spacing w:before="0" w:beforeAutospacing="0" w:after="0" w:afterAutospacing="0"/>
              <w:jc w:val="both"/>
              <w:rPr>
                <w:rFonts w:ascii="Arial" w:hAnsi="Arial" w:cs="Arial"/>
                <w:bCs/>
                <w:sz w:val="22"/>
                <w:szCs w:val="22"/>
              </w:rPr>
            </w:pPr>
            <w:r w:rsidRPr="0013495F">
              <w:rPr>
                <w:rFonts w:ascii="Arial" w:hAnsi="Arial" w:cs="Arial"/>
                <w:bCs/>
                <w:sz w:val="22"/>
                <w:szCs w:val="22"/>
              </w:rPr>
              <w:t xml:space="preserve">     Yes, excluding stoma and incontinence appliances, or</w:t>
            </w:r>
          </w:p>
        </w:tc>
        <w:tc>
          <w:tcPr>
            <w:tcW w:w="2127" w:type="dxa"/>
          </w:tcPr>
          <w:p w14:paraId="044343EC"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r>
      <w:tr w:rsidR="00F9321E" w:rsidRPr="0013495F" w14:paraId="364FA7A9" w14:textId="77777777" w:rsidTr="00AA572E">
        <w:trPr>
          <w:trHeight w:val="420"/>
        </w:trPr>
        <w:tc>
          <w:tcPr>
            <w:tcW w:w="6796" w:type="dxa"/>
          </w:tcPr>
          <w:p w14:paraId="1ABCA3C9" w14:textId="77777777" w:rsidR="00F9321E" w:rsidRPr="0013495F" w:rsidRDefault="00F9321E" w:rsidP="00DC54F7">
            <w:pPr>
              <w:pStyle w:val="NormalWeb"/>
              <w:spacing w:before="0" w:beforeAutospacing="0" w:after="0" w:afterAutospacing="0"/>
              <w:jc w:val="both"/>
              <w:rPr>
                <w:rFonts w:ascii="Arial" w:hAnsi="Arial" w:cs="Arial"/>
                <w:bCs/>
                <w:sz w:val="22"/>
                <w:szCs w:val="22"/>
              </w:rPr>
            </w:pPr>
            <w:r w:rsidRPr="0013495F">
              <w:rPr>
                <w:rFonts w:ascii="Arial" w:hAnsi="Arial" w:cs="Arial"/>
                <w:bCs/>
                <w:sz w:val="22"/>
                <w:szCs w:val="22"/>
              </w:rPr>
              <w:t xml:space="preserve">     Yes, just dressings, or</w:t>
            </w:r>
          </w:p>
        </w:tc>
        <w:tc>
          <w:tcPr>
            <w:tcW w:w="2127" w:type="dxa"/>
          </w:tcPr>
          <w:p w14:paraId="51E416E8"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r>
      <w:tr w:rsidR="00F9321E" w:rsidRPr="0013495F" w14:paraId="3528BF6F" w14:textId="77777777" w:rsidTr="00AA572E">
        <w:trPr>
          <w:trHeight w:val="413"/>
        </w:trPr>
        <w:tc>
          <w:tcPr>
            <w:tcW w:w="6796" w:type="dxa"/>
          </w:tcPr>
          <w:p w14:paraId="28DFCF05" w14:textId="77777777" w:rsidR="00F9321E" w:rsidRPr="0013495F" w:rsidRDefault="00F9321E" w:rsidP="00DC54F7">
            <w:pPr>
              <w:pStyle w:val="NormalWeb"/>
              <w:spacing w:before="0" w:beforeAutospacing="0" w:after="0" w:afterAutospacing="0"/>
              <w:jc w:val="both"/>
              <w:rPr>
                <w:rFonts w:ascii="Arial" w:hAnsi="Arial" w:cs="Arial"/>
                <w:bCs/>
                <w:sz w:val="22"/>
                <w:szCs w:val="22"/>
              </w:rPr>
            </w:pPr>
            <w:r w:rsidRPr="0013495F">
              <w:rPr>
                <w:rFonts w:ascii="Arial" w:hAnsi="Arial" w:cs="Arial"/>
                <w:bCs/>
                <w:sz w:val="22"/>
                <w:szCs w:val="22"/>
              </w:rPr>
              <w:t xml:space="preserve">     None</w:t>
            </w:r>
          </w:p>
        </w:tc>
        <w:tc>
          <w:tcPr>
            <w:tcW w:w="2127" w:type="dxa"/>
          </w:tcPr>
          <w:p w14:paraId="2D15B761"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c>
      </w:tr>
    </w:tbl>
    <w:p w14:paraId="7744CBD4"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p w14:paraId="254C814C" w14:textId="77777777" w:rsidR="00F9321E" w:rsidRPr="0013495F" w:rsidRDefault="00F9321E" w:rsidP="00DC54F7">
      <w:pPr>
        <w:pStyle w:val="NormalWeb"/>
        <w:spacing w:before="0" w:beforeAutospacing="0" w:after="0" w:afterAutospacing="0"/>
        <w:jc w:val="both"/>
        <w:rPr>
          <w:rFonts w:ascii="Arial" w:hAnsi="Arial" w:cs="Arial"/>
          <w:sz w:val="22"/>
          <w:szCs w:val="22"/>
        </w:rPr>
      </w:pPr>
    </w:p>
    <w:p w14:paraId="03090F10"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3 Delivery of dispensed items</w:t>
      </w:r>
    </w:p>
    <w:p w14:paraId="0D93931C" w14:textId="77777777" w:rsidR="00F9321E" w:rsidRDefault="00F9321E" w:rsidP="00DC54F7">
      <w:pPr>
        <w:pStyle w:val="NormalWeb"/>
        <w:spacing w:before="0" w:beforeAutospacing="0" w:after="0" w:afterAutospacing="0"/>
        <w:jc w:val="both"/>
        <w:rPr>
          <w:rFonts w:ascii="Arial" w:hAnsi="Arial" w:cs="Arial"/>
          <w:b/>
          <w:bCs/>
          <w:sz w:val="22"/>
          <w:szCs w:val="22"/>
        </w:rPr>
      </w:pPr>
    </w:p>
    <w:p w14:paraId="717F58C9" w14:textId="77777777" w:rsidR="00F9321E" w:rsidRDefault="00F9321E" w:rsidP="00DC54F7">
      <w:pPr>
        <w:spacing w:before="60" w:after="40"/>
        <w:jc w:val="both"/>
        <w:rPr>
          <w:rFonts w:ascii="Arial" w:hAnsi="Arial" w:cs="Arial"/>
        </w:rPr>
      </w:pPr>
      <w:r w:rsidRPr="00C847B7">
        <w:rPr>
          <w:rFonts w:ascii="Arial" w:hAnsi="Arial" w:cs="Arial"/>
        </w:rPr>
        <w:t xml:space="preserve">Does the </w:t>
      </w:r>
      <w:r>
        <w:rPr>
          <w:rFonts w:ascii="Arial" w:hAnsi="Arial" w:cs="Arial"/>
        </w:rPr>
        <w:t>dispensary</w:t>
      </w:r>
      <w:r w:rsidRPr="00C847B7">
        <w:rPr>
          <w:rFonts w:ascii="Arial" w:hAnsi="Arial" w:cs="Arial"/>
        </w:rPr>
        <w:t xml:space="preserve"> provide any of the following?</w:t>
      </w:r>
    </w:p>
    <w:p w14:paraId="3D7E1007" w14:textId="77777777" w:rsidR="00F9321E" w:rsidRPr="00C847B7" w:rsidRDefault="00F9321E" w:rsidP="00DC54F7">
      <w:pPr>
        <w:spacing w:before="60" w:after="40"/>
        <w:jc w:val="both"/>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71"/>
        <w:gridCol w:w="3337"/>
      </w:tblGrid>
      <w:tr w:rsidR="00F9321E" w:rsidRPr="00C847B7" w14:paraId="0D6B8E24" w14:textId="77777777" w:rsidTr="00AA572E">
        <w:tc>
          <w:tcPr>
            <w:tcW w:w="5713" w:type="dxa"/>
          </w:tcPr>
          <w:p w14:paraId="2839C3DF" w14:textId="77777777" w:rsidR="00F9321E" w:rsidRPr="00C847B7" w:rsidRDefault="00F9321E" w:rsidP="00DC54F7">
            <w:pPr>
              <w:spacing w:before="60" w:after="40"/>
              <w:jc w:val="both"/>
              <w:rPr>
                <w:rFonts w:ascii="Arial" w:hAnsi="Arial" w:cs="Arial"/>
              </w:rPr>
            </w:pPr>
            <w:r w:rsidRPr="00C847B7">
              <w:rPr>
                <w:rFonts w:ascii="Arial" w:hAnsi="Arial" w:cs="Arial"/>
              </w:rPr>
              <w:t>Delivery of dispensed medicines – Free of charge on request</w:t>
            </w:r>
          </w:p>
        </w:tc>
        <w:tc>
          <w:tcPr>
            <w:tcW w:w="3421" w:type="dxa"/>
          </w:tcPr>
          <w:p w14:paraId="4B1C07FF" w14:textId="77777777" w:rsidR="00F9321E" w:rsidRPr="00C847B7" w:rsidRDefault="00F9321E" w:rsidP="00DC54F7">
            <w:pPr>
              <w:spacing w:before="60" w:after="40"/>
              <w:jc w:val="both"/>
              <w:rPr>
                <w:rFonts w:ascii="Arial" w:hAnsi="Arial" w:cs="Arial"/>
              </w:rPr>
            </w:pPr>
            <w:r w:rsidRPr="00C847B7">
              <w:rPr>
                <w:rFonts w:ascii="Arial" w:hAnsi="Arial" w:cs="Arial"/>
              </w:rPr>
              <w:fldChar w:fldCharType="begin">
                <w:ffData>
                  <w:name w:val=""/>
                  <w:enabled/>
                  <w:calcOnExit w:val="0"/>
                  <w:checkBox>
                    <w:sizeAuto/>
                    <w:default w:val="0"/>
                    <w:checked w:val="0"/>
                  </w:checkBox>
                </w:ffData>
              </w:fldChar>
            </w:r>
            <w:r w:rsidRPr="00C847B7">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C847B7">
              <w:rPr>
                <w:rFonts w:ascii="Arial" w:hAnsi="Arial" w:cs="Arial"/>
              </w:rPr>
              <w:fldChar w:fldCharType="end"/>
            </w:r>
          </w:p>
        </w:tc>
      </w:tr>
      <w:tr w:rsidR="00F9321E" w:rsidRPr="00C847B7" w14:paraId="3D3CD0F7" w14:textId="77777777" w:rsidTr="00AA572E">
        <w:tc>
          <w:tcPr>
            <w:tcW w:w="5713" w:type="dxa"/>
          </w:tcPr>
          <w:p w14:paraId="7238C002" w14:textId="77777777" w:rsidR="00F9321E" w:rsidRPr="00C847B7" w:rsidRDefault="00F9321E" w:rsidP="00DC54F7">
            <w:pPr>
              <w:spacing w:before="60" w:after="40"/>
              <w:jc w:val="both"/>
              <w:rPr>
                <w:rFonts w:ascii="Arial" w:hAnsi="Arial" w:cs="Arial"/>
              </w:rPr>
            </w:pPr>
            <w:r w:rsidRPr="00C847B7">
              <w:rPr>
                <w:rFonts w:ascii="Arial" w:hAnsi="Arial" w:cs="Arial"/>
              </w:rPr>
              <w:t>Delivery of dispensed medicines – Selected patient groups (list criteria)</w:t>
            </w:r>
          </w:p>
        </w:tc>
        <w:tc>
          <w:tcPr>
            <w:tcW w:w="3421" w:type="dxa"/>
          </w:tcPr>
          <w:p w14:paraId="062B1121" w14:textId="77777777" w:rsidR="00F9321E" w:rsidRPr="00C847B7" w:rsidRDefault="00F9321E" w:rsidP="00DC54F7">
            <w:pPr>
              <w:spacing w:before="60" w:after="40"/>
              <w:jc w:val="both"/>
              <w:rPr>
                <w:rFonts w:ascii="Arial" w:hAnsi="Arial" w:cs="Arial"/>
              </w:rPr>
            </w:pPr>
            <w:r w:rsidRPr="00C847B7">
              <w:rPr>
                <w:rFonts w:ascii="Arial" w:hAnsi="Arial" w:cs="Arial"/>
              </w:rPr>
              <w:fldChar w:fldCharType="begin">
                <w:ffData>
                  <w:name w:val="Text16"/>
                  <w:enabled/>
                  <w:calcOnExit w:val="0"/>
                  <w:textInput/>
                </w:ffData>
              </w:fldChar>
            </w:r>
            <w:r w:rsidRPr="00C847B7">
              <w:rPr>
                <w:rFonts w:ascii="Arial" w:hAnsi="Arial" w:cs="Arial"/>
              </w:rPr>
              <w:instrText xml:space="preserve"> FORMTEXT </w:instrText>
            </w:r>
            <w:r w:rsidRPr="00C847B7">
              <w:rPr>
                <w:rFonts w:ascii="Arial" w:hAnsi="Arial" w:cs="Arial"/>
              </w:rPr>
            </w:r>
            <w:r w:rsidRPr="00C847B7">
              <w:rPr>
                <w:rFonts w:ascii="Arial" w:hAnsi="Arial" w:cs="Arial"/>
              </w:rPr>
              <w:fldChar w:fldCharType="separate"/>
            </w:r>
            <w:r w:rsidRPr="00C847B7">
              <w:rPr>
                <w:rFonts w:ascii="Arial" w:eastAsia="Arial Unicode MS" w:hAnsi="Arial" w:cs="Arial"/>
                <w:noProof/>
              </w:rPr>
              <w:t> </w:t>
            </w:r>
            <w:r w:rsidRPr="00C847B7">
              <w:rPr>
                <w:rFonts w:ascii="Arial" w:eastAsia="Arial Unicode MS" w:hAnsi="Arial" w:cs="Arial"/>
                <w:noProof/>
              </w:rPr>
              <w:t> </w:t>
            </w:r>
            <w:r w:rsidRPr="00C847B7">
              <w:rPr>
                <w:rFonts w:ascii="Arial" w:eastAsia="Arial Unicode MS" w:hAnsi="Arial" w:cs="Arial"/>
                <w:noProof/>
              </w:rPr>
              <w:t> </w:t>
            </w:r>
            <w:r w:rsidRPr="00C847B7">
              <w:rPr>
                <w:rFonts w:ascii="Arial" w:eastAsia="Arial Unicode MS" w:hAnsi="Arial" w:cs="Arial"/>
                <w:noProof/>
              </w:rPr>
              <w:t> </w:t>
            </w:r>
            <w:r w:rsidRPr="00C847B7">
              <w:rPr>
                <w:rFonts w:ascii="Arial" w:eastAsia="Arial Unicode MS" w:hAnsi="Arial" w:cs="Arial"/>
                <w:noProof/>
              </w:rPr>
              <w:t> </w:t>
            </w:r>
            <w:r w:rsidRPr="00C847B7">
              <w:rPr>
                <w:rFonts w:ascii="Arial" w:hAnsi="Arial" w:cs="Arial"/>
              </w:rPr>
              <w:fldChar w:fldCharType="end"/>
            </w:r>
          </w:p>
        </w:tc>
      </w:tr>
      <w:tr w:rsidR="00F9321E" w:rsidRPr="00C847B7" w14:paraId="56E90BDE" w14:textId="77777777" w:rsidTr="00AA572E">
        <w:tc>
          <w:tcPr>
            <w:tcW w:w="5713" w:type="dxa"/>
          </w:tcPr>
          <w:p w14:paraId="6129737D" w14:textId="77777777" w:rsidR="00F9321E" w:rsidRPr="00C847B7" w:rsidRDefault="00F9321E" w:rsidP="00DC54F7">
            <w:pPr>
              <w:spacing w:before="60" w:after="40"/>
              <w:jc w:val="both"/>
              <w:rPr>
                <w:rFonts w:ascii="Arial" w:hAnsi="Arial" w:cs="Arial"/>
              </w:rPr>
            </w:pPr>
            <w:r w:rsidRPr="00C847B7">
              <w:rPr>
                <w:rFonts w:ascii="Arial" w:hAnsi="Arial" w:cs="Arial"/>
              </w:rPr>
              <w:t>Delivery of dispensed medicines – Selected areas (list areas)</w:t>
            </w:r>
          </w:p>
        </w:tc>
        <w:tc>
          <w:tcPr>
            <w:tcW w:w="3421" w:type="dxa"/>
          </w:tcPr>
          <w:p w14:paraId="0E40617F" w14:textId="77777777" w:rsidR="00F9321E" w:rsidRPr="00C847B7" w:rsidRDefault="00F9321E" w:rsidP="00DC54F7">
            <w:pPr>
              <w:spacing w:before="60" w:after="40"/>
              <w:jc w:val="both"/>
              <w:rPr>
                <w:rFonts w:ascii="Arial" w:hAnsi="Arial" w:cs="Arial"/>
              </w:rPr>
            </w:pPr>
            <w:r w:rsidRPr="00C847B7">
              <w:rPr>
                <w:rFonts w:ascii="Arial" w:hAnsi="Arial" w:cs="Arial"/>
              </w:rPr>
              <w:fldChar w:fldCharType="begin">
                <w:ffData>
                  <w:name w:val="Text16"/>
                  <w:enabled/>
                  <w:calcOnExit w:val="0"/>
                  <w:textInput/>
                </w:ffData>
              </w:fldChar>
            </w:r>
            <w:r w:rsidRPr="00C847B7">
              <w:rPr>
                <w:rFonts w:ascii="Arial" w:hAnsi="Arial" w:cs="Arial"/>
              </w:rPr>
              <w:instrText xml:space="preserve"> FORMTEXT </w:instrText>
            </w:r>
            <w:r w:rsidRPr="00C847B7">
              <w:rPr>
                <w:rFonts w:ascii="Arial" w:hAnsi="Arial" w:cs="Arial"/>
              </w:rPr>
            </w:r>
            <w:r w:rsidRPr="00C847B7">
              <w:rPr>
                <w:rFonts w:ascii="Arial" w:hAnsi="Arial" w:cs="Arial"/>
              </w:rPr>
              <w:fldChar w:fldCharType="separate"/>
            </w:r>
            <w:r w:rsidRPr="00C847B7">
              <w:rPr>
                <w:rFonts w:ascii="Arial" w:eastAsia="Arial Unicode MS" w:hAnsi="Arial" w:cs="Arial"/>
                <w:noProof/>
              </w:rPr>
              <w:t> </w:t>
            </w:r>
            <w:r w:rsidRPr="00C847B7">
              <w:rPr>
                <w:rFonts w:ascii="Arial" w:eastAsia="Arial Unicode MS" w:hAnsi="Arial" w:cs="Arial"/>
                <w:noProof/>
              </w:rPr>
              <w:t> </w:t>
            </w:r>
            <w:r w:rsidRPr="00C847B7">
              <w:rPr>
                <w:rFonts w:ascii="Arial" w:eastAsia="Arial Unicode MS" w:hAnsi="Arial" w:cs="Arial"/>
                <w:noProof/>
              </w:rPr>
              <w:t> </w:t>
            </w:r>
            <w:r w:rsidRPr="00C847B7">
              <w:rPr>
                <w:rFonts w:ascii="Arial" w:eastAsia="Arial Unicode MS" w:hAnsi="Arial" w:cs="Arial"/>
                <w:noProof/>
              </w:rPr>
              <w:t> </w:t>
            </w:r>
            <w:r w:rsidRPr="00C847B7">
              <w:rPr>
                <w:rFonts w:ascii="Arial" w:eastAsia="Arial Unicode MS" w:hAnsi="Arial" w:cs="Arial"/>
                <w:noProof/>
              </w:rPr>
              <w:t> </w:t>
            </w:r>
            <w:r w:rsidRPr="00C847B7">
              <w:rPr>
                <w:rFonts w:ascii="Arial" w:hAnsi="Arial" w:cs="Arial"/>
              </w:rPr>
              <w:fldChar w:fldCharType="end"/>
            </w:r>
          </w:p>
        </w:tc>
      </w:tr>
      <w:tr w:rsidR="00F9321E" w:rsidRPr="00C847B7" w14:paraId="1FF842C8" w14:textId="77777777" w:rsidTr="00AA572E">
        <w:tc>
          <w:tcPr>
            <w:tcW w:w="5713" w:type="dxa"/>
          </w:tcPr>
          <w:p w14:paraId="45792F78" w14:textId="77777777" w:rsidR="00F9321E" w:rsidRPr="00C847B7" w:rsidRDefault="00F9321E" w:rsidP="00DC54F7">
            <w:pPr>
              <w:spacing w:before="60" w:after="40"/>
              <w:jc w:val="both"/>
              <w:rPr>
                <w:rFonts w:ascii="Arial" w:hAnsi="Arial" w:cs="Arial"/>
              </w:rPr>
            </w:pPr>
            <w:r w:rsidRPr="00C847B7">
              <w:rPr>
                <w:rFonts w:ascii="Arial" w:hAnsi="Arial" w:cs="Arial"/>
              </w:rPr>
              <w:t>Delivery of dispensed medicines - Chargeable</w:t>
            </w:r>
          </w:p>
        </w:tc>
        <w:tc>
          <w:tcPr>
            <w:tcW w:w="3421" w:type="dxa"/>
          </w:tcPr>
          <w:p w14:paraId="551EF70B" w14:textId="77777777" w:rsidR="00F9321E" w:rsidRPr="00C847B7" w:rsidRDefault="00F9321E" w:rsidP="00DC54F7">
            <w:pPr>
              <w:spacing w:before="60" w:after="40"/>
              <w:jc w:val="both"/>
              <w:rPr>
                <w:rFonts w:ascii="Arial" w:hAnsi="Arial" w:cs="Arial"/>
              </w:rPr>
            </w:pPr>
            <w:r w:rsidRPr="00C847B7">
              <w:rPr>
                <w:rFonts w:ascii="Arial" w:hAnsi="Arial" w:cs="Arial"/>
              </w:rPr>
              <w:fldChar w:fldCharType="begin">
                <w:ffData>
                  <w:name w:val=""/>
                  <w:enabled/>
                  <w:calcOnExit w:val="0"/>
                  <w:checkBox>
                    <w:sizeAuto/>
                    <w:default w:val="0"/>
                    <w:checked w:val="0"/>
                  </w:checkBox>
                </w:ffData>
              </w:fldChar>
            </w:r>
            <w:r w:rsidRPr="00C847B7">
              <w:rPr>
                <w:rFonts w:ascii="Arial" w:hAnsi="Arial" w:cs="Arial"/>
              </w:rPr>
              <w:instrText xml:space="preserve"> FORMCHECKBOX </w:instrText>
            </w:r>
            <w:r w:rsidR="005670EB">
              <w:rPr>
                <w:rFonts w:ascii="Arial" w:hAnsi="Arial" w:cs="Arial"/>
              </w:rPr>
            </w:r>
            <w:r w:rsidR="005670EB">
              <w:rPr>
                <w:rFonts w:ascii="Arial" w:hAnsi="Arial" w:cs="Arial"/>
              </w:rPr>
              <w:fldChar w:fldCharType="separate"/>
            </w:r>
            <w:r w:rsidRPr="00C847B7">
              <w:rPr>
                <w:rFonts w:ascii="Arial" w:hAnsi="Arial" w:cs="Arial"/>
              </w:rPr>
              <w:fldChar w:fldCharType="end"/>
            </w:r>
          </w:p>
        </w:tc>
      </w:tr>
    </w:tbl>
    <w:p w14:paraId="1226A7B5"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p w14:paraId="6FFC954E"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p w14:paraId="47F8C746"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 xml:space="preserve">4 </w:t>
      </w:r>
      <w:r>
        <w:rPr>
          <w:rFonts w:ascii="Arial" w:hAnsi="Arial" w:cs="Arial"/>
          <w:b/>
          <w:bCs/>
          <w:sz w:val="22"/>
          <w:szCs w:val="22"/>
        </w:rPr>
        <w:t>Which</w:t>
      </w:r>
      <w:r w:rsidRPr="0013495F">
        <w:rPr>
          <w:rFonts w:ascii="Arial" w:hAnsi="Arial" w:cs="Arial"/>
          <w:b/>
          <w:bCs/>
          <w:sz w:val="22"/>
          <w:szCs w:val="22"/>
        </w:rPr>
        <w:t xml:space="preserve"> languages are available to patients from staff at the premises every day – please list </w:t>
      </w:r>
      <w:r>
        <w:rPr>
          <w:rFonts w:ascii="Arial" w:hAnsi="Arial" w:cs="Arial"/>
          <w:b/>
          <w:bCs/>
          <w:sz w:val="22"/>
          <w:szCs w:val="22"/>
        </w:rPr>
        <w:t xml:space="preserve">the </w:t>
      </w:r>
      <w:r w:rsidRPr="0013495F">
        <w:rPr>
          <w:rFonts w:ascii="Arial" w:hAnsi="Arial" w:cs="Arial"/>
          <w:b/>
          <w:bCs/>
          <w:sz w:val="22"/>
          <w:szCs w:val="22"/>
        </w:rPr>
        <w:t>main languages spoken</w:t>
      </w:r>
    </w:p>
    <w:p w14:paraId="2E019EAC"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p>
    <w:tbl>
      <w:tblPr>
        <w:tblStyle w:val="TableGrid"/>
        <w:tblW w:w="0" w:type="auto"/>
        <w:tblLook w:val="04A0" w:firstRow="1" w:lastRow="0" w:firstColumn="1" w:lastColumn="0" w:noHBand="0" w:noVBand="1"/>
      </w:tblPr>
      <w:tblGrid>
        <w:gridCol w:w="9016"/>
      </w:tblGrid>
      <w:tr w:rsidR="00F9321E" w:rsidRPr="0013495F" w14:paraId="67310B4C" w14:textId="77777777" w:rsidTr="00AA572E">
        <w:tc>
          <w:tcPr>
            <w:tcW w:w="9180" w:type="dxa"/>
          </w:tcPr>
          <w:p w14:paraId="0F3108F3" w14:textId="77777777" w:rsidR="00F9321E" w:rsidRPr="0013495F" w:rsidRDefault="00F9321E" w:rsidP="00DC54F7">
            <w:pPr>
              <w:pStyle w:val="NormalWeb"/>
              <w:spacing w:before="0" w:beforeAutospacing="0" w:after="0" w:afterAutospacing="0"/>
              <w:jc w:val="both"/>
              <w:rPr>
                <w:rFonts w:ascii="Arial" w:hAnsi="Arial" w:cs="Arial"/>
                <w:b/>
                <w:bCs/>
                <w:sz w:val="22"/>
                <w:szCs w:val="22"/>
              </w:rPr>
            </w:pPr>
            <w:r w:rsidRPr="0013495F">
              <w:rPr>
                <w:rFonts w:ascii="Arial" w:hAnsi="Arial" w:cs="Arial"/>
                <w:b/>
                <w:bCs/>
                <w:sz w:val="22"/>
                <w:szCs w:val="22"/>
              </w:rPr>
              <w:t>List of languages spoken:</w:t>
            </w:r>
          </w:p>
        </w:tc>
      </w:tr>
      <w:tr w:rsidR="00F9321E" w:rsidRPr="0013495F" w14:paraId="33C8E9B9" w14:textId="77777777" w:rsidTr="00AA572E">
        <w:tc>
          <w:tcPr>
            <w:tcW w:w="9180" w:type="dxa"/>
          </w:tcPr>
          <w:p w14:paraId="5F8B4537" w14:textId="77777777" w:rsidR="00F9321E" w:rsidRPr="0013495F" w:rsidRDefault="00F9321E" w:rsidP="00DC54F7">
            <w:pPr>
              <w:pStyle w:val="Default"/>
              <w:jc w:val="both"/>
              <w:rPr>
                <w:rFonts w:eastAsiaTheme="minorEastAsia"/>
                <w:bCs/>
                <w:color w:val="auto"/>
                <w:sz w:val="22"/>
                <w:szCs w:val="22"/>
              </w:rPr>
            </w:pPr>
          </w:p>
          <w:p w14:paraId="7CEB2A51" w14:textId="77777777" w:rsidR="00F9321E" w:rsidRPr="0013495F" w:rsidRDefault="00F9321E" w:rsidP="00DC54F7">
            <w:pPr>
              <w:pStyle w:val="Default"/>
              <w:jc w:val="both"/>
              <w:rPr>
                <w:rFonts w:eastAsiaTheme="minorEastAsia"/>
                <w:bCs/>
                <w:color w:val="auto"/>
                <w:sz w:val="22"/>
                <w:szCs w:val="22"/>
              </w:rPr>
            </w:pPr>
          </w:p>
          <w:p w14:paraId="64C34F5F" w14:textId="77777777" w:rsidR="00F9321E" w:rsidRPr="0013495F" w:rsidRDefault="00F9321E" w:rsidP="00DC54F7">
            <w:pPr>
              <w:pStyle w:val="Default"/>
              <w:jc w:val="both"/>
              <w:rPr>
                <w:rFonts w:eastAsiaTheme="minorEastAsia"/>
                <w:bCs/>
                <w:color w:val="auto"/>
                <w:sz w:val="22"/>
                <w:szCs w:val="22"/>
              </w:rPr>
            </w:pPr>
          </w:p>
        </w:tc>
      </w:tr>
    </w:tbl>
    <w:p w14:paraId="3DBB1B80" w14:textId="77777777" w:rsidR="00F9321E" w:rsidRPr="0013495F" w:rsidRDefault="00F9321E" w:rsidP="00DC54F7">
      <w:pPr>
        <w:jc w:val="both"/>
        <w:rPr>
          <w:rFonts w:ascii="Arial" w:hAnsi="Arial" w:cs="Arial"/>
          <w:b/>
        </w:rPr>
      </w:pPr>
    </w:p>
    <w:p w14:paraId="279746F4" w14:textId="77777777" w:rsidR="009B59F3" w:rsidRDefault="009B59F3" w:rsidP="00DC54F7">
      <w:pPr>
        <w:jc w:val="both"/>
        <w:rPr>
          <w:rFonts w:ascii="Arial" w:hAnsi="Arial" w:cs="Arial"/>
          <w:b/>
        </w:rPr>
      </w:pPr>
    </w:p>
    <w:p w14:paraId="4B12B41B" w14:textId="77777777" w:rsidR="009B59F3" w:rsidRDefault="009B59F3" w:rsidP="00DC54F7">
      <w:pPr>
        <w:jc w:val="both"/>
        <w:rPr>
          <w:rFonts w:ascii="Arial" w:hAnsi="Arial" w:cs="Arial"/>
          <w:b/>
        </w:rPr>
      </w:pPr>
    </w:p>
    <w:p w14:paraId="7CA6D052" w14:textId="77777777" w:rsidR="009B59F3" w:rsidRDefault="009B59F3" w:rsidP="00DC54F7">
      <w:pPr>
        <w:jc w:val="both"/>
        <w:rPr>
          <w:rFonts w:ascii="Arial" w:hAnsi="Arial" w:cs="Arial"/>
          <w:b/>
        </w:rPr>
      </w:pPr>
    </w:p>
    <w:p w14:paraId="6B00F42C" w14:textId="57CC4B62" w:rsidR="009B59F3" w:rsidRDefault="009B59F3">
      <w:pPr>
        <w:rPr>
          <w:rFonts w:ascii="Arial" w:hAnsi="Arial" w:cs="Arial"/>
          <w:b/>
        </w:rPr>
      </w:pPr>
      <w:r>
        <w:rPr>
          <w:rFonts w:ascii="Arial" w:hAnsi="Arial" w:cs="Arial"/>
          <w:b/>
        </w:rPr>
        <w:br w:type="page"/>
      </w:r>
    </w:p>
    <w:p w14:paraId="4E1AC74E" w14:textId="1EA434C5" w:rsidR="00F9321E" w:rsidRPr="0013495F" w:rsidRDefault="00F9321E" w:rsidP="00DC54F7">
      <w:pPr>
        <w:jc w:val="both"/>
        <w:rPr>
          <w:rFonts w:ascii="Arial" w:hAnsi="Arial" w:cs="Arial"/>
          <w:b/>
        </w:rPr>
      </w:pPr>
      <w:r w:rsidRPr="0013495F">
        <w:rPr>
          <w:rFonts w:ascii="Arial" w:hAnsi="Arial" w:cs="Arial"/>
          <w:b/>
        </w:rPr>
        <w:lastRenderedPageBreak/>
        <w:t>5 Capacity</w:t>
      </w:r>
    </w:p>
    <w:p w14:paraId="23D95CFC" w14:textId="70AF0DB4" w:rsidR="00F9321E" w:rsidRPr="0013495F" w:rsidRDefault="00F9321E" w:rsidP="009B59F3">
      <w:pPr>
        <w:jc w:val="both"/>
        <w:rPr>
          <w:rFonts w:ascii="Arial" w:hAnsi="Arial" w:cs="Arial"/>
        </w:rPr>
      </w:pPr>
      <w:r w:rsidRPr="0013495F">
        <w:rPr>
          <w:rFonts w:ascii="Arial" w:hAnsi="Arial" w:cs="Arial"/>
        </w:rPr>
        <w:t>The demand for health services in general is increasing.  Thinking of your dispensing service only, do you:</w:t>
      </w:r>
    </w:p>
    <w:tbl>
      <w:tblPr>
        <w:tblW w:w="9180" w:type="dxa"/>
        <w:tblCellMar>
          <w:left w:w="0" w:type="dxa"/>
          <w:right w:w="0" w:type="dxa"/>
        </w:tblCellMar>
        <w:tblLook w:val="04A0" w:firstRow="1" w:lastRow="0" w:firstColumn="1" w:lastColumn="0" w:noHBand="0" w:noVBand="1"/>
      </w:tblPr>
      <w:tblGrid>
        <w:gridCol w:w="8046"/>
        <w:gridCol w:w="1134"/>
      </w:tblGrid>
      <w:tr w:rsidR="00F9321E" w:rsidRPr="0013495F" w14:paraId="6F8F6EE3" w14:textId="77777777" w:rsidTr="00AA572E">
        <w:tc>
          <w:tcPr>
            <w:tcW w:w="804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4D0F4A1" w14:textId="77777777" w:rsidR="00F9321E" w:rsidRPr="0013495F" w:rsidRDefault="00F9321E" w:rsidP="00DC54F7">
            <w:pPr>
              <w:jc w:val="both"/>
              <w:rPr>
                <w:rFonts w:ascii="Arial" w:hAnsi="Arial" w:cs="Arial"/>
                <w:b/>
                <w:bCs/>
              </w:rPr>
            </w:pP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F45B076" w14:textId="77777777" w:rsidR="00F9321E" w:rsidRPr="0013495F" w:rsidRDefault="00F9321E" w:rsidP="00DC54F7">
            <w:pPr>
              <w:jc w:val="both"/>
              <w:rPr>
                <w:rFonts w:ascii="Arial" w:hAnsi="Arial" w:cs="Arial"/>
                <w:b/>
                <w:bCs/>
              </w:rPr>
            </w:pPr>
            <w:r w:rsidRPr="0013495F">
              <w:rPr>
                <w:rFonts w:ascii="Arial" w:hAnsi="Arial" w:cs="Arial"/>
                <w:b/>
                <w:bCs/>
              </w:rPr>
              <w:t>YES</w:t>
            </w:r>
          </w:p>
        </w:tc>
      </w:tr>
      <w:tr w:rsidR="00F9321E" w:rsidRPr="0013495F" w14:paraId="636CD484" w14:textId="77777777" w:rsidTr="00AA572E">
        <w:tc>
          <w:tcPr>
            <w:tcW w:w="804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9DFA5D" w14:textId="77777777" w:rsidR="00F9321E" w:rsidRPr="0013495F" w:rsidRDefault="00F9321E" w:rsidP="00DC54F7">
            <w:pPr>
              <w:jc w:val="both"/>
              <w:rPr>
                <w:rFonts w:ascii="Arial" w:hAnsi="Arial" w:cs="Arial"/>
              </w:rPr>
            </w:pPr>
            <w:r w:rsidRPr="0013495F">
              <w:rPr>
                <w:rFonts w:ascii="Arial" w:hAnsi="Arial" w:cs="Arial"/>
              </w:rPr>
              <w:t>Have sufficient capacity within your existing premises and staffing levels to manage the increase in demand in your area?</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14:paraId="039AC464" w14:textId="77777777" w:rsidR="00F9321E" w:rsidRPr="0013495F" w:rsidRDefault="00F9321E" w:rsidP="00DC54F7">
            <w:pPr>
              <w:jc w:val="both"/>
              <w:rPr>
                <w:rFonts w:ascii="Arial" w:hAnsi="Arial" w:cs="Arial"/>
              </w:rPr>
            </w:pPr>
          </w:p>
        </w:tc>
      </w:tr>
      <w:tr w:rsidR="00F9321E" w:rsidRPr="0013495F" w14:paraId="2340B543" w14:textId="77777777" w:rsidTr="00AA572E">
        <w:tc>
          <w:tcPr>
            <w:tcW w:w="804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21C1E3" w14:textId="77777777" w:rsidR="00F9321E" w:rsidRPr="0013495F" w:rsidRDefault="00F9321E" w:rsidP="00DC54F7">
            <w:pPr>
              <w:jc w:val="both"/>
              <w:rPr>
                <w:rFonts w:ascii="Arial" w:hAnsi="Arial" w:cs="Arial"/>
              </w:rPr>
            </w:pPr>
            <w:r w:rsidRPr="0013495F">
              <w:rPr>
                <w:rFonts w:ascii="Arial" w:hAnsi="Arial" w:cs="Arial"/>
              </w:rPr>
              <w:t>Don’t have sufficient premises and staffing capacity at present but could make adjustments to manage the increase in demand in your area?</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14:paraId="67181DEB" w14:textId="77777777" w:rsidR="00F9321E" w:rsidRPr="0013495F" w:rsidRDefault="00F9321E" w:rsidP="00DC54F7">
            <w:pPr>
              <w:jc w:val="both"/>
              <w:rPr>
                <w:rFonts w:ascii="Arial" w:hAnsi="Arial" w:cs="Arial"/>
              </w:rPr>
            </w:pPr>
          </w:p>
        </w:tc>
      </w:tr>
      <w:tr w:rsidR="00F9321E" w:rsidRPr="0013495F" w14:paraId="480987DA" w14:textId="77777777" w:rsidTr="00AA572E">
        <w:tc>
          <w:tcPr>
            <w:tcW w:w="804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4768C9B" w14:textId="77777777" w:rsidR="00F9321E" w:rsidRPr="0013495F" w:rsidRDefault="00F9321E" w:rsidP="00DC54F7">
            <w:pPr>
              <w:jc w:val="both"/>
              <w:rPr>
                <w:rFonts w:ascii="Arial" w:hAnsi="Arial" w:cs="Arial"/>
              </w:rPr>
            </w:pPr>
            <w:r w:rsidRPr="0013495F">
              <w:rPr>
                <w:rFonts w:ascii="Arial" w:hAnsi="Arial" w:cs="Arial"/>
              </w:rPr>
              <w:t>Don’t have sufficient premises and staffing capacity and would have difficulty in managing an increase in demand?</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14:paraId="52FCD1CD" w14:textId="77777777" w:rsidR="00F9321E" w:rsidRPr="0013495F" w:rsidRDefault="00F9321E" w:rsidP="00DC54F7">
            <w:pPr>
              <w:jc w:val="both"/>
              <w:rPr>
                <w:rFonts w:ascii="Arial" w:hAnsi="Arial" w:cs="Arial"/>
              </w:rPr>
            </w:pPr>
          </w:p>
        </w:tc>
      </w:tr>
    </w:tbl>
    <w:p w14:paraId="30ADA2FE" w14:textId="77777777" w:rsidR="00F9321E" w:rsidRPr="0013495F" w:rsidRDefault="00F9321E" w:rsidP="00DC54F7">
      <w:pPr>
        <w:jc w:val="both"/>
        <w:rPr>
          <w:rFonts w:ascii="Arial" w:hAnsi="Arial" w:cs="Arial"/>
          <w:b/>
        </w:rPr>
      </w:pPr>
    </w:p>
    <w:p w14:paraId="1052BA3A" w14:textId="77777777" w:rsidR="00F9321E" w:rsidRPr="0013495F" w:rsidRDefault="00F9321E" w:rsidP="00DC54F7">
      <w:pPr>
        <w:jc w:val="both"/>
        <w:rPr>
          <w:rFonts w:ascii="Arial" w:hAnsi="Arial" w:cs="Arial"/>
        </w:rPr>
      </w:pPr>
      <w:r w:rsidRPr="0013495F">
        <w:rPr>
          <w:rFonts w:ascii="Arial" w:hAnsi="Arial" w:cs="Arial"/>
        </w:rPr>
        <w:t>(Please tick one option)</w:t>
      </w:r>
    </w:p>
    <w:p w14:paraId="1D8F5D67" w14:textId="000B9495" w:rsidR="00F9321E" w:rsidRPr="00474FB0" w:rsidRDefault="00F9321E" w:rsidP="00DC54F7">
      <w:pPr>
        <w:jc w:val="both"/>
        <w:rPr>
          <w:rFonts w:ascii="Arial" w:hAnsi="Arial" w:cs="Arial"/>
          <w:b/>
        </w:rPr>
      </w:pPr>
      <w:r w:rsidRPr="0013495F">
        <w:rPr>
          <w:rFonts w:ascii="Arial" w:hAnsi="Arial" w:cs="Arial"/>
          <w:b/>
        </w:rPr>
        <w:t>6 Other dispensing related services</w:t>
      </w:r>
    </w:p>
    <w:p w14:paraId="15FC5034" w14:textId="4BEACEDB" w:rsidR="00F9321E" w:rsidRPr="0013495F" w:rsidRDefault="00F9321E" w:rsidP="00DC54F7">
      <w:pPr>
        <w:jc w:val="both"/>
        <w:rPr>
          <w:rFonts w:ascii="Arial" w:hAnsi="Arial" w:cs="Arial"/>
        </w:rPr>
      </w:pPr>
      <w:r w:rsidRPr="0013495F">
        <w:rPr>
          <w:rFonts w:ascii="Arial" w:hAnsi="Arial" w:cs="Arial"/>
        </w:rPr>
        <w:t>Please can you provide details of any other activities that you provide related to your dispensing service, for example MARs charts, ‘just in case packs’ and patient sharps.</w:t>
      </w:r>
    </w:p>
    <w:tbl>
      <w:tblPr>
        <w:tblStyle w:val="TableGrid"/>
        <w:tblW w:w="0" w:type="auto"/>
        <w:tblLook w:val="04A0" w:firstRow="1" w:lastRow="0" w:firstColumn="1" w:lastColumn="0" w:noHBand="0" w:noVBand="1"/>
      </w:tblPr>
      <w:tblGrid>
        <w:gridCol w:w="9016"/>
      </w:tblGrid>
      <w:tr w:rsidR="00F9321E" w:rsidRPr="0013495F" w14:paraId="6D5C09CF" w14:textId="77777777" w:rsidTr="00AA572E">
        <w:tc>
          <w:tcPr>
            <w:tcW w:w="9242" w:type="dxa"/>
          </w:tcPr>
          <w:p w14:paraId="0B9DAAB1" w14:textId="77777777" w:rsidR="00F9321E" w:rsidRPr="0013495F" w:rsidRDefault="00F9321E" w:rsidP="00DC54F7">
            <w:pPr>
              <w:jc w:val="both"/>
              <w:rPr>
                <w:rFonts w:ascii="Arial" w:hAnsi="Arial" w:cs="Arial"/>
              </w:rPr>
            </w:pPr>
          </w:p>
          <w:p w14:paraId="3AAA0CF0" w14:textId="77777777" w:rsidR="00F9321E" w:rsidRPr="0013495F" w:rsidRDefault="00F9321E" w:rsidP="00DC54F7">
            <w:pPr>
              <w:jc w:val="both"/>
              <w:rPr>
                <w:rFonts w:ascii="Arial" w:hAnsi="Arial" w:cs="Arial"/>
              </w:rPr>
            </w:pPr>
          </w:p>
          <w:p w14:paraId="28BF155A" w14:textId="77777777" w:rsidR="00F9321E" w:rsidRPr="0013495F" w:rsidRDefault="00F9321E" w:rsidP="00DC54F7">
            <w:pPr>
              <w:jc w:val="both"/>
              <w:rPr>
                <w:rFonts w:ascii="Arial" w:hAnsi="Arial" w:cs="Arial"/>
              </w:rPr>
            </w:pPr>
          </w:p>
          <w:p w14:paraId="45A2E015" w14:textId="77777777" w:rsidR="00F9321E" w:rsidRPr="0013495F" w:rsidRDefault="00F9321E" w:rsidP="00DC54F7">
            <w:pPr>
              <w:jc w:val="both"/>
              <w:rPr>
                <w:rFonts w:ascii="Arial" w:hAnsi="Arial" w:cs="Arial"/>
              </w:rPr>
            </w:pPr>
          </w:p>
          <w:p w14:paraId="147B5CEC" w14:textId="77777777" w:rsidR="00F9321E" w:rsidRPr="0013495F" w:rsidRDefault="00F9321E" w:rsidP="00DC54F7">
            <w:pPr>
              <w:jc w:val="both"/>
              <w:rPr>
                <w:rFonts w:ascii="Arial" w:hAnsi="Arial" w:cs="Arial"/>
              </w:rPr>
            </w:pPr>
          </w:p>
          <w:p w14:paraId="5BA894A9" w14:textId="77777777" w:rsidR="00F9321E" w:rsidRPr="0013495F" w:rsidRDefault="00F9321E" w:rsidP="00DC54F7">
            <w:pPr>
              <w:jc w:val="both"/>
              <w:rPr>
                <w:rFonts w:ascii="Arial" w:hAnsi="Arial" w:cs="Arial"/>
              </w:rPr>
            </w:pPr>
          </w:p>
        </w:tc>
      </w:tr>
    </w:tbl>
    <w:p w14:paraId="7EF1320C" w14:textId="77777777" w:rsidR="00F9321E" w:rsidRPr="0013495F" w:rsidRDefault="00F9321E" w:rsidP="00DC54F7">
      <w:pPr>
        <w:jc w:val="both"/>
        <w:rPr>
          <w:rFonts w:ascii="Arial" w:hAnsi="Arial" w:cs="Arial"/>
          <w:b/>
        </w:rPr>
      </w:pPr>
    </w:p>
    <w:p w14:paraId="2BB05419" w14:textId="77777777" w:rsidR="00F9321E" w:rsidRPr="0013495F" w:rsidRDefault="00F9321E" w:rsidP="00DC54F7">
      <w:pPr>
        <w:jc w:val="both"/>
        <w:rPr>
          <w:rFonts w:ascii="Arial" w:hAnsi="Arial" w:cs="Arial"/>
          <w:b/>
        </w:rPr>
      </w:pPr>
      <w:r>
        <w:rPr>
          <w:rFonts w:ascii="Arial" w:hAnsi="Arial" w:cs="Arial"/>
          <w:b/>
        </w:rPr>
        <w:t>7</w:t>
      </w:r>
      <w:r w:rsidRPr="0013495F">
        <w:rPr>
          <w:rFonts w:ascii="Arial" w:hAnsi="Arial" w:cs="Arial"/>
          <w:b/>
        </w:rPr>
        <w:t xml:space="preserve"> Provision of services post Covid-19</w:t>
      </w:r>
    </w:p>
    <w:p w14:paraId="751E88B4" w14:textId="68FD7597" w:rsidR="00F9321E" w:rsidRPr="0013495F" w:rsidRDefault="00F9321E" w:rsidP="00DC54F7">
      <w:pPr>
        <w:jc w:val="both"/>
        <w:rPr>
          <w:rFonts w:ascii="Arial" w:hAnsi="Arial" w:cs="Arial"/>
        </w:rPr>
      </w:pPr>
      <w:r w:rsidRPr="0013495F">
        <w:rPr>
          <w:rFonts w:ascii="Arial" w:hAnsi="Arial" w:cs="Arial"/>
        </w:rPr>
        <w:t>We recognise that you will have made a number of changes to how your dispensing service is provided as a result of Covid-19.  Please can you give us information on those changes that you will be taking into the ‘new normal’?</w:t>
      </w:r>
    </w:p>
    <w:tbl>
      <w:tblPr>
        <w:tblStyle w:val="TableGrid"/>
        <w:tblW w:w="0" w:type="auto"/>
        <w:tblLook w:val="04A0" w:firstRow="1" w:lastRow="0" w:firstColumn="1" w:lastColumn="0" w:noHBand="0" w:noVBand="1"/>
      </w:tblPr>
      <w:tblGrid>
        <w:gridCol w:w="9016"/>
      </w:tblGrid>
      <w:tr w:rsidR="00F9321E" w:rsidRPr="0013495F" w14:paraId="40CF1CDF" w14:textId="77777777" w:rsidTr="00AA572E">
        <w:tc>
          <w:tcPr>
            <w:tcW w:w="9242" w:type="dxa"/>
          </w:tcPr>
          <w:p w14:paraId="2F6F674A" w14:textId="77777777" w:rsidR="00F9321E" w:rsidRPr="0013495F" w:rsidRDefault="00F9321E" w:rsidP="00DC54F7">
            <w:pPr>
              <w:jc w:val="both"/>
              <w:rPr>
                <w:rFonts w:ascii="Arial" w:hAnsi="Arial" w:cs="Arial"/>
              </w:rPr>
            </w:pPr>
          </w:p>
          <w:p w14:paraId="5FDA4C23" w14:textId="77777777" w:rsidR="00F9321E" w:rsidRPr="0013495F" w:rsidRDefault="00F9321E" w:rsidP="00DC54F7">
            <w:pPr>
              <w:jc w:val="both"/>
              <w:rPr>
                <w:rFonts w:ascii="Arial" w:hAnsi="Arial" w:cs="Arial"/>
              </w:rPr>
            </w:pPr>
          </w:p>
          <w:p w14:paraId="54A7B4C7" w14:textId="77777777" w:rsidR="00F9321E" w:rsidRPr="0013495F" w:rsidRDefault="00F9321E" w:rsidP="00DC54F7">
            <w:pPr>
              <w:jc w:val="both"/>
              <w:rPr>
                <w:rFonts w:ascii="Arial" w:hAnsi="Arial" w:cs="Arial"/>
              </w:rPr>
            </w:pPr>
          </w:p>
        </w:tc>
      </w:tr>
    </w:tbl>
    <w:p w14:paraId="64936409" w14:textId="77777777" w:rsidR="00F9321E" w:rsidRPr="0013495F" w:rsidRDefault="00F9321E" w:rsidP="00DC54F7">
      <w:pPr>
        <w:jc w:val="both"/>
        <w:rPr>
          <w:rFonts w:ascii="Arial" w:hAnsi="Arial" w:cs="Arial"/>
        </w:rPr>
      </w:pPr>
    </w:p>
    <w:p w14:paraId="04ED2D30" w14:textId="77777777" w:rsidR="00F9321E" w:rsidRPr="0013495F" w:rsidRDefault="00F9321E" w:rsidP="00DC54F7">
      <w:pPr>
        <w:jc w:val="both"/>
        <w:rPr>
          <w:rFonts w:ascii="Arial" w:hAnsi="Arial" w:cs="Arial"/>
          <w:b/>
        </w:rPr>
      </w:pPr>
      <w:r>
        <w:rPr>
          <w:rFonts w:ascii="Arial" w:hAnsi="Arial" w:cs="Arial"/>
          <w:b/>
        </w:rPr>
        <w:t>8</w:t>
      </w:r>
      <w:r w:rsidRPr="0013495F">
        <w:rPr>
          <w:rFonts w:ascii="Arial" w:hAnsi="Arial" w:cs="Arial"/>
          <w:b/>
        </w:rPr>
        <w:t xml:space="preserve"> Please provide us with your contact details.</w:t>
      </w:r>
    </w:p>
    <w:p w14:paraId="729BB5B1" w14:textId="77777777" w:rsidR="00F9321E" w:rsidRPr="0013495F" w:rsidRDefault="00F9321E" w:rsidP="00DC54F7">
      <w:pPr>
        <w:jc w:val="both"/>
        <w:rPr>
          <w:rFonts w:ascii="Arial" w:hAnsi="Arial" w:cs="Arial"/>
          <w:b/>
        </w:rPr>
      </w:pPr>
      <w:r w:rsidRPr="0013495F">
        <w:rPr>
          <w:rFonts w:ascii="Arial" w:hAnsi="Arial" w:cs="Arial"/>
          <w:b/>
        </w:rPr>
        <w:t>Name:</w:t>
      </w:r>
    </w:p>
    <w:p w14:paraId="50AF83B7" w14:textId="77777777" w:rsidR="00F9321E" w:rsidRPr="0013495F" w:rsidRDefault="00F9321E" w:rsidP="00DC54F7">
      <w:pPr>
        <w:jc w:val="both"/>
        <w:rPr>
          <w:rFonts w:ascii="Arial" w:hAnsi="Arial" w:cs="Arial"/>
          <w:b/>
        </w:rPr>
      </w:pPr>
      <w:r w:rsidRPr="0013495F">
        <w:rPr>
          <w:rFonts w:ascii="Arial" w:hAnsi="Arial" w:cs="Arial"/>
          <w:b/>
        </w:rPr>
        <w:t>Job title:</w:t>
      </w:r>
    </w:p>
    <w:p w14:paraId="10A8F8D5" w14:textId="77777777" w:rsidR="009B59F3" w:rsidRDefault="00F9321E" w:rsidP="00DC54F7">
      <w:pPr>
        <w:jc w:val="both"/>
        <w:rPr>
          <w:rFonts w:ascii="Arial" w:hAnsi="Arial" w:cs="Arial"/>
          <w:b/>
        </w:rPr>
      </w:pPr>
      <w:r w:rsidRPr="0013495F">
        <w:rPr>
          <w:rFonts w:ascii="Arial" w:hAnsi="Arial" w:cs="Arial"/>
          <w:b/>
        </w:rPr>
        <w:t>Email:</w:t>
      </w:r>
    </w:p>
    <w:p w14:paraId="53AB8B78" w14:textId="77777777" w:rsidR="009B59F3" w:rsidRDefault="00F9321E" w:rsidP="00DC54F7">
      <w:pPr>
        <w:jc w:val="both"/>
        <w:rPr>
          <w:rFonts w:ascii="Arial" w:hAnsi="Arial" w:cs="Arial"/>
          <w:b/>
        </w:rPr>
      </w:pPr>
      <w:r w:rsidRPr="0013495F">
        <w:rPr>
          <w:rFonts w:ascii="Arial" w:hAnsi="Arial" w:cs="Arial"/>
          <w:b/>
        </w:rPr>
        <w:t>Telephone number:</w:t>
      </w:r>
    </w:p>
    <w:p w14:paraId="5BC08C75" w14:textId="77777777" w:rsidR="00320401" w:rsidRPr="00D37AFE" w:rsidRDefault="00320401" w:rsidP="00320401">
      <w:pPr>
        <w:pStyle w:val="Heading1"/>
        <w:spacing w:before="0" w:line="240" w:lineRule="auto"/>
        <w:rPr>
          <w:rFonts w:cs="Arial"/>
          <w:color w:val="auto"/>
          <w:sz w:val="24"/>
          <w:szCs w:val="24"/>
        </w:rPr>
      </w:pPr>
      <w:bookmarkStart w:id="83" w:name="_Toc32827625"/>
      <w:bookmarkStart w:id="84" w:name="_Toc81585123"/>
      <w:r w:rsidRPr="00D37AFE">
        <w:rPr>
          <w:rFonts w:cs="Arial"/>
          <w:color w:val="auto"/>
          <w:sz w:val="24"/>
          <w:szCs w:val="24"/>
        </w:rPr>
        <w:lastRenderedPageBreak/>
        <w:t>Appendix K – consultation report</w:t>
      </w:r>
      <w:bookmarkEnd w:id="83"/>
    </w:p>
    <w:p w14:paraId="04D95354" w14:textId="77777777" w:rsidR="00320401" w:rsidRPr="00D37AFE" w:rsidRDefault="00320401" w:rsidP="00320401">
      <w:pPr>
        <w:spacing w:after="0" w:line="240" w:lineRule="auto"/>
        <w:contextualSpacing/>
        <w:rPr>
          <w:rFonts w:ascii="Arial" w:hAnsi="Arial" w:cs="Arial"/>
          <w:b/>
          <w:sz w:val="24"/>
          <w:szCs w:val="24"/>
        </w:rPr>
      </w:pPr>
    </w:p>
    <w:p w14:paraId="205E636E" w14:textId="77777777" w:rsidR="00320401" w:rsidRPr="00D37AFE" w:rsidRDefault="00320401" w:rsidP="00320401">
      <w:pPr>
        <w:numPr>
          <w:ilvl w:val="0"/>
          <w:numId w:val="198"/>
        </w:numPr>
        <w:spacing w:after="0" w:line="240" w:lineRule="auto"/>
        <w:ind w:left="284" w:hanging="284"/>
        <w:contextualSpacing/>
        <w:rPr>
          <w:rFonts w:ascii="Arial" w:hAnsi="Arial" w:cs="Arial"/>
          <w:b/>
          <w:sz w:val="24"/>
          <w:szCs w:val="24"/>
        </w:rPr>
      </w:pPr>
      <w:r w:rsidRPr="00D37AFE">
        <w:rPr>
          <w:rFonts w:ascii="Arial" w:hAnsi="Arial" w:cs="Arial"/>
          <w:b/>
          <w:sz w:val="24"/>
          <w:szCs w:val="24"/>
        </w:rPr>
        <w:t>Introduction</w:t>
      </w:r>
    </w:p>
    <w:p w14:paraId="6019495A" w14:textId="77777777" w:rsidR="00320401" w:rsidRPr="00D37AFE" w:rsidRDefault="00320401" w:rsidP="00320401">
      <w:pPr>
        <w:spacing w:after="0" w:line="240" w:lineRule="auto"/>
        <w:rPr>
          <w:rFonts w:ascii="Arial" w:hAnsi="Arial" w:cs="Arial"/>
          <w:sz w:val="24"/>
          <w:szCs w:val="24"/>
        </w:rPr>
      </w:pPr>
    </w:p>
    <w:p w14:paraId="451FEC18" w14:textId="77777777" w:rsidR="00320401" w:rsidRPr="00D37AFE" w:rsidRDefault="00320401" w:rsidP="00320401">
      <w:pPr>
        <w:spacing w:after="0" w:line="240" w:lineRule="auto"/>
        <w:rPr>
          <w:rFonts w:ascii="Arial" w:hAnsi="Arial" w:cs="Arial"/>
          <w:i/>
          <w:sz w:val="24"/>
          <w:szCs w:val="24"/>
        </w:rPr>
      </w:pPr>
      <w:r w:rsidRPr="00D37AFE">
        <w:rPr>
          <w:rFonts w:ascii="Arial" w:hAnsi="Arial" w:cs="Arial"/>
          <w:sz w:val="24"/>
          <w:szCs w:val="24"/>
        </w:rPr>
        <w:t>As part of the PNA process the health board is required to undertake a consultation of at least 60 days with certain organisations.  The purpose of the consultation is to establish if the pharmaceutical providers and services supporting the population of the health board’s area are accurately reflected in the final PNA document. This report outlines the considerations and responses to the consultation and describes the overall process of how the consultation was undertaken.</w:t>
      </w:r>
      <w:r w:rsidRPr="00D37AFE">
        <w:rPr>
          <w:rFonts w:ascii="Arial" w:hAnsi="Arial" w:cs="Arial"/>
          <w:i/>
          <w:sz w:val="24"/>
          <w:szCs w:val="24"/>
        </w:rPr>
        <w:t xml:space="preserve"> </w:t>
      </w:r>
    </w:p>
    <w:p w14:paraId="74B12BDC" w14:textId="77777777" w:rsidR="00320401" w:rsidRPr="00D37AFE" w:rsidRDefault="00320401" w:rsidP="00320401">
      <w:pPr>
        <w:spacing w:after="0" w:line="240" w:lineRule="auto"/>
        <w:rPr>
          <w:rFonts w:ascii="Arial" w:hAnsi="Arial" w:cs="Arial"/>
          <w:i/>
          <w:sz w:val="24"/>
          <w:szCs w:val="24"/>
        </w:rPr>
      </w:pPr>
      <w:r w:rsidRPr="00D37AFE">
        <w:rPr>
          <w:rFonts w:ascii="Arial" w:hAnsi="Arial" w:cs="Arial"/>
          <w:i/>
          <w:sz w:val="24"/>
          <w:szCs w:val="24"/>
        </w:rPr>
        <w:t xml:space="preserve"> </w:t>
      </w:r>
    </w:p>
    <w:p w14:paraId="4BEC7A47" w14:textId="77777777" w:rsidR="00320401" w:rsidRPr="00D37AFE" w:rsidRDefault="00320401" w:rsidP="00320401">
      <w:pPr>
        <w:numPr>
          <w:ilvl w:val="0"/>
          <w:numId w:val="198"/>
        </w:numPr>
        <w:spacing w:after="0" w:line="240" w:lineRule="auto"/>
        <w:ind w:left="284" w:hanging="284"/>
        <w:contextualSpacing/>
        <w:rPr>
          <w:rFonts w:ascii="Arial" w:hAnsi="Arial" w:cs="Arial"/>
          <w:b/>
          <w:sz w:val="24"/>
          <w:szCs w:val="24"/>
        </w:rPr>
      </w:pPr>
      <w:r w:rsidRPr="00D37AFE">
        <w:rPr>
          <w:rFonts w:ascii="Arial" w:hAnsi="Arial" w:cs="Arial"/>
          <w:b/>
          <w:sz w:val="24"/>
          <w:szCs w:val="24"/>
        </w:rPr>
        <w:t>Consultation process</w:t>
      </w:r>
    </w:p>
    <w:p w14:paraId="4A1BCA3D" w14:textId="77777777" w:rsidR="00320401" w:rsidRPr="00D37AFE" w:rsidRDefault="00320401" w:rsidP="00320401">
      <w:pPr>
        <w:spacing w:after="0" w:line="240" w:lineRule="auto"/>
        <w:rPr>
          <w:rFonts w:ascii="Arial" w:hAnsi="Arial" w:cs="Arial"/>
          <w:sz w:val="24"/>
          <w:szCs w:val="24"/>
        </w:rPr>
      </w:pPr>
    </w:p>
    <w:p w14:paraId="272A54D6" w14:textId="77777777" w:rsidR="00320401" w:rsidRPr="00D37AFE" w:rsidRDefault="00320401" w:rsidP="00320401">
      <w:pPr>
        <w:spacing w:after="0" w:line="240" w:lineRule="auto"/>
        <w:rPr>
          <w:rFonts w:ascii="Arial" w:hAnsi="Arial" w:cs="Arial"/>
          <w:sz w:val="24"/>
          <w:szCs w:val="24"/>
        </w:rPr>
      </w:pPr>
      <w:r w:rsidRPr="00D37AFE">
        <w:rPr>
          <w:rFonts w:ascii="Arial" w:hAnsi="Arial" w:cs="Arial"/>
          <w:sz w:val="24"/>
          <w:szCs w:val="24"/>
        </w:rPr>
        <w:t xml:space="preserve">In order to complete this process, the health board has consulted with those parties identified under regulation 7 of the NHS (Pharmaceutical Services) (Wales) Regulations 2020, to establish if the draft PNA addresses issues that they considered relevant to the provision of pharmaceutical services:  </w:t>
      </w:r>
    </w:p>
    <w:p w14:paraId="1E0564F2" w14:textId="77777777" w:rsidR="00320401" w:rsidRPr="00D37AFE" w:rsidRDefault="00320401" w:rsidP="00320401">
      <w:pPr>
        <w:spacing w:after="0" w:line="240" w:lineRule="auto"/>
        <w:rPr>
          <w:rFonts w:ascii="Arial" w:hAnsi="Arial" w:cs="Arial"/>
          <w:sz w:val="24"/>
          <w:szCs w:val="24"/>
        </w:rPr>
      </w:pPr>
    </w:p>
    <w:p w14:paraId="4FFE4B2A" w14:textId="77777777" w:rsidR="00320401" w:rsidRPr="00D37AFE" w:rsidRDefault="00320401" w:rsidP="00320401">
      <w:pPr>
        <w:numPr>
          <w:ilvl w:val="0"/>
          <w:numId w:val="197"/>
        </w:numPr>
        <w:spacing w:line="240" w:lineRule="auto"/>
        <w:contextualSpacing/>
        <w:rPr>
          <w:rFonts w:ascii="Arial" w:hAnsi="Arial" w:cs="Arial"/>
          <w:sz w:val="24"/>
          <w:szCs w:val="24"/>
        </w:rPr>
      </w:pPr>
      <w:r w:rsidRPr="00D37AFE">
        <w:rPr>
          <w:rFonts w:ascii="Arial" w:hAnsi="Arial" w:cs="Arial"/>
          <w:sz w:val="24"/>
          <w:szCs w:val="24"/>
        </w:rPr>
        <w:t>Community Pharmacy Wales</w:t>
      </w:r>
    </w:p>
    <w:p w14:paraId="69966D63" w14:textId="77777777" w:rsidR="00320401" w:rsidRPr="00D37AFE" w:rsidRDefault="00320401" w:rsidP="00320401">
      <w:pPr>
        <w:numPr>
          <w:ilvl w:val="0"/>
          <w:numId w:val="197"/>
        </w:numPr>
        <w:spacing w:line="240" w:lineRule="auto"/>
        <w:contextualSpacing/>
        <w:rPr>
          <w:rFonts w:ascii="Arial" w:hAnsi="Arial" w:cs="Arial"/>
          <w:sz w:val="24"/>
          <w:szCs w:val="24"/>
        </w:rPr>
      </w:pPr>
      <w:r w:rsidRPr="00D37AFE">
        <w:rPr>
          <w:rFonts w:ascii="Arial" w:hAnsi="Arial" w:cs="Arial"/>
          <w:sz w:val="24"/>
          <w:szCs w:val="24"/>
        </w:rPr>
        <w:t>The Bro Taf Local Medical Committee</w:t>
      </w:r>
    </w:p>
    <w:p w14:paraId="4AEF54B8" w14:textId="77777777" w:rsidR="00320401" w:rsidRPr="00D37AFE" w:rsidRDefault="00320401" w:rsidP="00320401">
      <w:pPr>
        <w:numPr>
          <w:ilvl w:val="0"/>
          <w:numId w:val="197"/>
        </w:numPr>
        <w:spacing w:line="240" w:lineRule="auto"/>
        <w:contextualSpacing/>
        <w:rPr>
          <w:rFonts w:ascii="Arial" w:hAnsi="Arial" w:cs="Arial"/>
          <w:sz w:val="24"/>
          <w:szCs w:val="24"/>
        </w:rPr>
      </w:pPr>
      <w:r w:rsidRPr="00D37AFE">
        <w:rPr>
          <w:rFonts w:ascii="Arial" w:hAnsi="Arial" w:cs="Arial"/>
          <w:sz w:val="24"/>
          <w:szCs w:val="24"/>
        </w:rPr>
        <w:t>Contractors included in its pharmaceutical list</w:t>
      </w:r>
    </w:p>
    <w:p w14:paraId="5A91E3F2" w14:textId="77777777" w:rsidR="00320401" w:rsidRPr="00D37AFE" w:rsidRDefault="00320401" w:rsidP="00320401">
      <w:pPr>
        <w:numPr>
          <w:ilvl w:val="0"/>
          <w:numId w:val="197"/>
        </w:numPr>
        <w:spacing w:line="240" w:lineRule="auto"/>
        <w:contextualSpacing/>
        <w:rPr>
          <w:rFonts w:ascii="Arial" w:hAnsi="Arial" w:cs="Arial"/>
          <w:sz w:val="24"/>
          <w:szCs w:val="24"/>
        </w:rPr>
      </w:pPr>
      <w:r w:rsidRPr="00D37AFE">
        <w:rPr>
          <w:rFonts w:ascii="Arial" w:hAnsi="Arial" w:cs="Arial"/>
          <w:sz w:val="24"/>
          <w:szCs w:val="24"/>
        </w:rPr>
        <w:t>GPs included in its dispensing doctor list</w:t>
      </w:r>
    </w:p>
    <w:p w14:paraId="29E2913C" w14:textId="77777777" w:rsidR="00320401" w:rsidRPr="00D37AFE" w:rsidRDefault="00320401" w:rsidP="00320401">
      <w:pPr>
        <w:numPr>
          <w:ilvl w:val="0"/>
          <w:numId w:val="197"/>
        </w:numPr>
        <w:spacing w:line="240" w:lineRule="auto"/>
        <w:contextualSpacing/>
        <w:rPr>
          <w:rFonts w:ascii="Arial" w:hAnsi="Arial" w:cs="Arial"/>
          <w:sz w:val="24"/>
          <w:szCs w:val="24"/>
        </w:rPr>
      </w:pPr>
      <w:r w:rsidRPr="00D37AFE">
        <w:rPr>
          <w:rFonts w:ascii="Arial" w:hAnsi="Arial" w:cs="Arial"/>
          <w:sz w:val="24"/>
          <w:szCs w:val="24"/>
        </w:rPr>
        <w:t>GP practices</w:t>
      </w:r>
    </w:p>
    <w:p w14:paraId="73EA67DC" w14:textId="77777777" w:rsidR="00320401" w:rsidRPr="00D37AFE" w:rsidRDefault="00320401" w:rsidP="00320401">
      <w:pPr>
        <w:numPr>
          <w:ilvl w:val="0"/>
          <w:numId w:val="197"/>
        </w:numPr>
        <w:spacing w:line="240" w:lineRule="auto"/>
        <w:contextualSpacing/>
        <w:rPr>
          <w:rFonts w:ascii="Arial" w:hAnsi="Arial" w:cs="Arial"/>
          <w:sz w:val="24"/>
          <w:szCs w:val="24"/>
        </w:rPr>
      </w:pPr>
      <w:r w:rsidRPr="00D37AFE">
        <w:rPr>
          <w:rFonts w:ascii="Arial" w:hAnsi="Arial" w:cs="Arial"/>
          <w:sz w:val="24"/>
          <w:szCs w:val="24"/>
        </w:rPr>
        <w:t>The Cardiff and Vale Community Health Council</w:t>
      </w:r>
    </w:p>
    <w:p w14:paraId="029F648D" w14:textId="77777777" w:rsidR="00320401" w:rsidRPr="00D37AFE" w:rsidRDefault="00320401" w:rsidP="00320401">
      <w:pPr>
        <w:numPr>
          <w:ilvl w:val="0"/>
          <w:numId w:val="197"/>
        </w:numPr>
        <w:spacing w:line="240" w:lineRule="auto"/>
        <w:contextualSpacing/>
        <w:rPr>
          <w:rFonts w:ascii="Arial" w:hAnsi="Arial" w:cs="Arial"/>
          <w:sz w:val="24"/>
          <w:szCs w:val="24"/>
        </w:rPr>
      </w:pPr>
      <w:r w:rsidRPr="00D37AFE">
        <w:rPr>
          <w:rFonts w:ascii="Arial" w:hAnsi="Arial" w:cs="Arial"/>
          <w:sz w:val="24"/>
          <w:szCs w:val="24"/>
        </w:rPr>
        <w:t>The Cardiff and Vale Regional Partnership Board</w:t>
      </w:r>
    </w:p>
    <w:p w14:paraId="37E131FE" w14:textId="77777777" w:rsidR="00320401" w:rsidRPr="00D37AFE" w:rsidRDefault="00320401" w:rsidP="00320401">
      <w:pPr>
        <w:numPr>
          <w:ilvl w:val="0"/>
          <w:numId w:val="197"/>
        </w:numPr>
        <w:spacing w:line="240" w:lineRule="auto"/>
        <w:contextualSpacing/>
        <w:rPr>
          <w:rFonts w:ascii="Arial" w:hAnsi="Arial" w:cs="Arial"/>
          <w:sz w:val="24"/>
          <w:szCs w:val="24"/>
        </w:rPr>
      </w:pPr>
      <w:r w:rsidRPr="00D37AFE">
        <w:rPr>
          <w:rFonts w:ascii="Arial" w:hAnsi="Arial" w:cs="Arial"/>
          <w:sz w:val="24"/>
          <w:szCs w:val="24"/>
        </w:rPr>
        <w:t>Cardiff Council</w:t>
      </w:r>
    </w:p>
    <w:p w14:paraId="55479CAA" w14:textId="77777777" w:rsidR="00320401" w:rsidRPr="00D37AFE" w:rsidRDefault="00320401" w:rsidP="00320401">
      <w:pPr>
        <w:numPr>
          <w:ilvl w:val="0"/>
          <w:numId w:val="197"/>
        </w:numPr>
        <w:spacing w:line="240" w:lineRule="auto"/>
        <w:contextualSpacing/>
        <w:rPr>
          <w:rFonts w:ascii="Arial" w:hAnsi="Arial" w:cs="Arial"/>
          <w:sz w:val="24"/>
          <w:szCs w:val="24"/>
        </w:rPr>
      </w:pPr>
      <w:r w:rsidRPr="00D37AFE">
        <w:rPr>
          <w:rFonts w:ascii="Arial" w:hAnsi="Arial" w:cs="Arial"/>
          <w:sz w:val="24"/>
          <w:szCs w:val="24"/>
        </w:rPr>
        <w:t>Vale Council</w:t>
      </w:r>
    </w:p>
    <w:p w14:paraId="375209DD" w14:textId="77777777" w:rsidR="00320401" w:rsidRPr="00D37AFE" w:rsidRDefault="00320401" w:rsidP="00320401">
      <w:pPr>
        <w:numPr>
          <w:ilvl w:val="0"/>
          <w:numId w:val="197"/>
        </w:numPr>
        <w:spacing w:line="240" w:lineRule="auto"/>
        <w:contextualSpacing/>
        <w:rPr>
          <w:rFonts w:ascii="Arial" w:hAnsi="Arial" w:cs="Arial"/>
          <w:sz w:val="24"/>
          <w:szCs w:val="24"/>
        </w:rPr>
      </w:pPr>
      <w:r w:rsidRPr="00D37AFE">
        <w:rPr>
          <w:rFonts w:ascii="Arial" w:hAnsi="Arial" w:cs="Arial"/>
          <w:sz w:val="24"/>
          <w:szCs w:val="24"/>
        </w:rPr>
        <w:t>Cwm Taf Morgannwg UHB</w:t>
      </w:r>
    </w:p>
    <w:p w14:paraId="61513089" w14:textId="77777777" w:rsidR="00320401" w:rsidRPr="00D37AFE" w:rsidRDefault="00320401" w:rsidP="00320401">
      <w:pPr>
        <w:numPr>
          <w:ilvl w:val="0"/>
          <w:numId w:val="197"/>
        </w:numPr>
        <w:spacing w:line="240" w:lineRule="auto"/>
        <w:contextualSpacing/>
        <w:rPr>
          <w:rFonts w:ascii="Arial" w:hAnsi="Arial" w:cs="Arial"/>
          <w:sz w:val="24"/>
          <w:szCs w:val="24"/>
        </w:rPr>
      </w:pPr>
      <w:r w:rsidRPr="00D37AFE">
        <w:rPr>
          <w:rFonts w:ascii="Arial" w:hAnsi="Arial" w:cs="Arial"/>
          <w:sz w:val="24"/>
          <w:szCs w:val="24"/>
        </w:rPr>
        <w:t>Aneurin Bevan UHB</w:t>
      </w:r>
    </w:p>
    <w:p w14:paraId="02BFDC07" w14:textId="77777777" w:rsidR="00320401" w:rsidRPr="00D37AFE" w:rsidRDefault="00320401" w:rsidP="00320401">
      <w:pPr>
        <w:numPr>
          <w:ilvl w:val="0"/>
          <w:numId w:val="197"/>
        </w:numPr>
        <w:spacing w:after="0" w:line="240" w:lineRule="auto"/>
        <w:contextualSpacing/>
        <w:rPr>
          <w:rFonts w:ascii="Arial" w:hAnsi="Arial" w:cs="Arial"/>
          <w:sz w:val="24"/>
          <w:szCs w:val="24"/>
        </w:rPr>
      </w:pPr>
      <w:r w:rsidRPr="00D37AFE">
        <w:rPr>
          <w:rFonts w:ascii="Arial" w:hAnsi="Arial" w:cs="Arial"/>
          <w:sz w:val="24"/>
          <w:szCs w:val="24"/>
        </w:rPr>
        <w:t>Welsh Ambulance NHS Trust</w:t>
      </w:r>
    </w:p>
    <w:p w14:paraId="1568AD5F" w14:textId="77777777" w:rsidR="00320401" w:rsidRPr="00D37AFE" w:rsidRDefault="00320401" w:rsidP="00320401">
      <w:pPr>
        <w:numPr>
          <w:ilvl w:val="0"/>
          <w:numId w:val="197"/>
        </w:numPr>
        <w:spacing w:after="0" w:line="240" w:lineRule="auto"/>
        <w:contextualSpacing/>
        <w:rPr>
          <w:rFonts w:ascii="Arial" w:hAnsi="Arial" w:cs="Arial"/>
          <w:sz w:val="24"/>
          <w:szCs w:val="24"/>
        </w:rPr>
      </w:pPr>
      <w:r w:rsidRPr="00D37AFE">
        <w:rPr>
          <w:rFonts w:ascii="Arial" w:hAnsi="Arial" w:cs="Arial"/>
          <w:sz w:val="24"/>
          <w:szCs w:val="24"/>
        </w:rPr>
        <w:t>Velindre NHS Trust</w:t>
      </w:r>
    </w:p>
    <w:p w14:paraId="6BCFCB29" w14:textId="77777777" w:rsidR="00320401" w:rsidRPr="00D37AFE" w:rsidRDefault="00320401" w:rsidP="00320401">
      <w:pPr>
        <w:numPr>
          <w:ilvl w:val="0"/>
          <w:numId w:val="197"/>
        </w:numPr>
        <w:spacing w:after="0" w:line="240" w:lineRule="auto"/>
        <w:contextualSpacing/>
        <w:rPr>
          <w:rFonts w:ascii="Arial" w:hAnsi="Arial" w:cs="Arial"/>
          <w:sz w:val="24"/>
          <w:szCs w:val="24"/>
        </w:rPr>
      </w:pPr>
      <w:r w:rsidRPr="00D37AFE">
        <w:rPr>
          <w:rFonts w:ascii="Arial" w:hAnsi="Arial" w:cs="Arial"/>
          <w:sz w:val="24"/>
          <w:szCs w:val="24"/>
        </w:rPr>
        <w:t>One Voice Wales</w:t>
      </w:r>
    </w:p>
    <w:p w14:paraId="1DB1D6D6" w14:textId="77777777" w:rsidR="00320401" w:rsidRPr="00D37AFE" w:rsidRDefault="00320401" w:rsidP="00320401">
      <w:pPr>
        <w:numPr>
          <w:ilvl w:val="0"/>
          <w:numId w:val="197"/>
        </w:numPr>
        <w:spacing w:after="0" w:line="240" w:lineRule="auto"/>
        <w:contextualSpacing/>
        <w:rPr>
          <w:rFonts w:ascii="Arial" w:hAnsi="Arial" w:cs="Arial"/>
          <w:sz w:val="24"/>
          <w:szCs w:val="24"/>
        </w:rPr>
      </w:pPr>
      <w:r w:rsidRPr="00D37AFE">
        <w:rPr>
          <w:rFonts w:ascii="Arial" w:hAnsi="Arial" w:cs="Arial"/>
          <w:sz w:val="24"/>
          <w:szCs w:val="24"/>
        </w:rPr>
        <w:t>SE Wales Carers Trust</w:t>
      </w:r>
    </w:p>
    <w:p w14:paraId="4A8B9BCB" w14:textId="77777777" w:rsidR="00320401" w:rsidRPr="00D37AFE" w:rsidRDefault="00320401" w:rsidP="00320401">
      <w:pPr>
        <w:numPr>
          <w:ilvl w:val="0"/>
          <w:numId w:val="197"/>
        </w:numPr>
        <w:spacing w:after="0" w:line="240" w:lineRule="auto"/>
        <w:contextualSpacing/>
        <w:rPr>
          <w:rFonts w:ascii="Arial" w:hAnsi="Arial" w:cs="Arial"/>
          <w:sz w:val="24"/>
          <w:szCs w:val="24"/>
        </w:rPr>
      </w:pPr>
      <w:r w:rsidRPr="00D37AFE">
        <w:rPr>
          <w:rFonts w:ascii="Arial" w:hAnsi="Arial" w:cs="Arial"/>
          <w:sz w:val="24"/>
          <w:szCs w:val="24"/>
        </w:rPr>
        <w:t xml:space="preserve">Health and Social Care Facilitators in Cardiff Third Sector Council and Glamorgan Voluntary Services </w:t>
      </w:r>
    </w:p>
    <w:p w14:paraId="68E4A298" w14:textId="77777777" w:rsidR="00320401" w:rsidRPr="00D37AFE" w:rsidRDefault="00320401" w:rsidP="00320401">
      <w:pPr>
        <w:spacing w:after="0" w:line="240" w:lineRule="auto"/>
        <w:contextualSpacing/>
        <w:rPr>
          <w:rFonts w:ascii="Arial" w:hAnsi="Arial" w:cs="Arial"/>
          <w:sz w:val="24"/>
          <w:szCs w:val="24"/>
        </w:rPr>
      </w:pPr>
    </w:p>
    <w:p w14:paraId="263E97FB" w14:textId="77777777" w:rsidR="00320401" w:rsidRPr="00D37AFE" w:rsidRDefault="00320401" w:rsidP="00320401">
      <w:pPr>
        <w:spacing w:after="0" w:line="240" w:lineRule="auto"/>
        <w:rPr>
          <w:rFonts w:ascii="Arial" w:hAnsi="Arial" w:cs="Arial"/>
          <w:sz w:val="24"/>
          <w:szCs w:val="24"/>
        </w:rPr>
      </w:pPr>
      <w:r w:rsidRPr="00D37AFE">
        <w:rPr>
          <w:rFonts w:ascii="Arial" w:hAnsi="Arial" w:cs="Arial"/>
          <w:sz w:val="24"/>
          <w:szCs w:val="24"/>
        </w:rPr>
        <w:t>Statutory consultees were contacted by email to advise them of the PNA and consultation period. Information was also available via the Cardiff and Vale website and social media accounts.</w:t>
      </w:r>
    </w:p>
    <w:p w14:paraId="4A594E33" w14:textId="77777777" w:rsidR="00320401" w:rsidRPr="00D37AFE" w:rsidRDefault="00320401" w:rsidP="00320401">
      <w:pPr>
        <w:spacing w:after="0" w:line="240" w:lineRule="auto"/>
        <w:rPr>
          <w:rFonts w:ascii="Arial" w:hAnsi="Arial" w:cs="Arial"/>
          <w:sz w:val="24"/>
          <w:szCs w:val="24"/>
        </w:rPr>
      </w:pPr>
    </w:p>
    <w:p w14:paraId="5F19E872" w14:textId="77777777" w:rsidR="00320401" w:rsidRPr="00D37AFE" w:rsidRDefault="00320401" w:rsidP="00320401">
      <w:pPr>
        <w:spacing w:after="0" w:line="240" w:lineRule="auto"/>
        <w:rPr>
          <w:rFonts w:ascii="Arial" w:hAnsi="Arial" w:cs="Arial"/>
          <w:sz w:val="24"/>
          <w:szCs w:val="24"/>
        </w:rPr>
      </w:pPr>
      <w:r w:rsidRPr="00D37AFE">
        <w:rPr>
          <w:rFonts w:ascii="Arial" w:hAnsi="Arial" w:cs="Arial"/>
          <w:sz w:val="24"/>
          <w:szCs w:val="24"/>
        </w:rPr>
        <w:t>Consultees were given the opportunity to respond by completing a set of questions and/or submitting additional comments. This was undertaken by completing the questions online.</w:t>
      </w:r>
    </w:p>
    <w:p w14:paraId="7FF74928" w14:textId="77777777" w:rsidR="00320401" w:rsidRPr="00D37AFE" w:rsidRDefault="00320401" w:rsidP="00320401">
      <w:pPr>
        <w:spacing w:after="0" w:line="240" w:lineRule="auto"/>
        <w:rPr>
          <w:rFonts w:ascii="Arial" w:hAnsi="Arial" w:cs="Arial"/>
          <w:sz w:val="24"/>
          <w:szCs w:val="24"/>
        </w:rPr>
      </w:pPr>
    </w:p>
    <w:p w14:paraId="4CBE8B60" w14:textId="77777777" w:rsidR="00320401" w:rsidRPr="00D37AFE" w:rsidRDefault="00320401" w:rsidP="00320401">
      <w:pPr>
        <w:spacing w:after="0" w:line="240" w:lineRule="auto"/>
        <w:rPr>
          <w:rFonts w:ascii="Arial" w:hAnsi="Arial" w:cs="Arial"/>
          <w:sz w:val="24"/>
          <w:szCs w:val="24"/>
        </w:rPr>
      </w:pPr>
      <w:r w:rsidRPr="00D37AFE">
        <w:rPr>
          <w:rFonts w:ascii="Arial" w:hAnsi="Arial" w:cs="Arial"/>
          <w:sz w:val="24"/>
          <w:szCs w:val="24"/>
        </w:rPr>
        <w:t>The questions derived were to assess the current provision of pharmaceutical services, have regard to any specified future circumstance where the current position may materially change and identify any current and future gaps in pharmaceutical services.</w:t>
      </w:r>
    </w:p>
    <w:p w14:paraId="44F5C7DA" w14:textId="77777777" w:rsidR="00320401" w:rsidRPr="00D37AFE" w:rsidRDefault="00320401" w:rsidP="00320401">
      <w:pPr>
        <w:spacing w:after="0" w:line="240" w:lineRule="auto"/>
        <w:rPr>
          <w:rFonts w:ascii="Arial" w:hAnsi="Arial" w:cs="Arial"/>
          <w:sz w:val="24"/>
          <w:szCs w:val="24"/>
        </w:rPr>
      </w:pPr>
    </w:p>
    <w:p w14:paraId="2400D834" w14:textId="77777777" w:rsidR="00320401" w:rsidRPr="00D37AFE" w:rsidRDefault="00320401" w:rsidP="00320401">
      <w:pPr>
        <w:spacing w:after="0" w:line="240" w:lineRule="auto"/>
        <w:rPr>
          <w:rFonts w:ascii="Arial" w:hAnsi="Arial" w:cs="Arial"/>
          <w:sz w:val="24"/>
          <w:szCs w:val="24"/>
        </w:rPr>
      </w:pPr>
      <w:r w:rsidRPr="00D37AFE">
        <w:rPr>
          <w:rFonts w:ascii="Arial" w:hAnsi="Arial" w:cs="Arial"/>
          <w:sz w:val="24"/>
          <w:szCs w:val="24"/>
        </w:rPr>
        <w:t xml:space="preserve">The consultation ran from </w:t>
      </w:r>
      <w:r w:rsidRPr="00D37AFE">
        <w:rPr>
          <w:rFonts w:ascii="Arial" w:hAnsi="Arial" w:cs="Arial"/>
          <w:bCs/>
          <w:sz w:val="24"/>
          <w:szCs w:val="24"/>
        </w:rPr>
        <w:t>21st May to the 20</w:t>
      </w:r>
      <w:r w:rsidRPr="00D37AFE">
        <w:rPr>
          <w:rFonts w:ascii="Arial" w:hAnsi="Arial" w:cs="Arial"/>
          <w:bCs/>
          <w:sz w:val="24"/>
          <w:szCs w:val="24"/>
          <w:vertAlign w:val="superscript"/>
        </w:rPr>
        <w:t xml:space="preserve">th of </w:t>
      </w:r>
      <w:r w:rsidRPr="00D37AFE">
        <w:rPr>
          <w:rFonts w:ascii="Arial" w:hAnsi="Arial" w:cs="Arial"/>
          <w:bCs/>
          <w:sz w:val="24"/>
          <w:szCs w:val="24"/>
        </w:rPr>
        <w:t>July 2021</w:t>
      </w:r>
      <w:r w:rsidRPr="00D37AFE">
        <w:rPr>
          <w:rFonts w:ascii="Arial" w:hAnsi="Arial" w:cs="Arial"/>
          <w:sz w:val="24"/>
          <w:szCs w:val="24"/>
        </w:rPr>
        <w:t>.</w:t>
      </w:r>
    </w:p>
    <w:p w14:paraId="4F730CD8" w14:textId="77777777" w:rsidR="00320401" w:rsidRPr="00D37AFE" w:rsidRDefault="00320401" w:rsidP="00320401">
      <w:pPr>
        <w:spacing w:after="0" w:line="240" w:lineRule="auto"/>
        <w:rPr>
          <w:rFonts w:ascii="Arial" w:hAnsi="Arial" w:cs="Arial"/>
          <w:sz w:val="24"/>
          <w:szCs w:val="24"/>
        </w:rPr>
      </w:pPr>
    </w:p>
    <w:p w14:paraId="0BC09F07" w14:textId="77777777" w:rsidR="00320401" w:rsidRPr="00D37AFE" w:rsidRDefault="00320401" w:rsidP="00320401">
      <w:pPr>
        <w:spacing w:after="0" w:line="240" w:lineRule="auto"/>
        <w:rPr>
          <w:rFonts w:ascii="Arial" w:hAnsi="Arial" w:cs="Arial"/>
          <w:sz w:val="24"/>
          <w:szCs w:val="24"/>
        </w:rPr>
      </w:pPr>
      <w:r w:rsidRPr="00D37AFE">
        <w:rPr>
          <w:rFonts w:ascii="Arial" w:hAnsi="Arial" w:cs="Arial"/>
          <w:sz w:val="24"/>
          <w:szCs w:val="24"/>
        </w:rPr>
        <w:t xml:space="preserve">This report outlines the responses, comments made and considerations to the consultation.  It should be noted that participants in the consultation were not required to complete every question.  </w:t>
      </w:r>
    </w:p>
    <w:p w14:paraId="77A179E0" w14:textId="77777777" w:rsidR="00320401" w:rsidRPr="00D37AFE" w:rsidRDefault="00320401" w:rsidP="00320401">
      <w:pPr>
        <w:spacing w:after="0" w:line="240" w:lineRule="auto"/>
        <w:rPr>
          <w:rFonts w:ascii="Arial" w:hAnsi="Arial" w:cs="Arial"/>
          <w:sz w:val="24"/>
          <w:szCs w:val="24"/>
        </w:rPr>
      </w:pPr>
    </w:p>
    <w:p w14:paraId="08CD7845" w14:textId="77777777" w:rsidR="00320401" w:rsidRPr="00D37AFE" w:rsidRDefault="00320401" w:rsidP="00320401">
      <w:pPr>
        <w:spacing w:after="0" w:line="240" w:lineRule="auto"/>
        <w:rPr>
          <w:rFonts w:ascii="Arial" w:hAnsi="Arial" w:cs="Arial"/>
          <w:sz w:val="24"/>
          <w:szCs w:val="24"/>
        </w:rPr>
      </w:pPr>
      <w:r w:rsidRPr="00D37AFE">
        <w:rPr>
          <w:rFonts w:ascii="Arial" w:hAnsi="Arial" w:cs="Arial"/>
          <w:sz w:val="24"/>
          <w:szCs w:val="24"/>
        </w:rPr>
        <w:t>In total, the online consultation received 12 responses. In addition, two responses were received via e mail directly to the health board. However, one respondent submitted three online responses and one response directly to the health board. As these responses were all identical, the decision was taken to consider them just once resulting in 10 online responses and one response directly to the health board.</w:t>
      </w:r>
    </w:p>
    <w:p w14:paraId="4D8BA623" w14:textId="77777777" w:rsidR="00320401" w:rsidRPr="00D37AFE" w:rsidRDefault="00320401" w:rsidP="00320401">
      <w:pPr>
        <w:spacing w:after="0" w:line="240" w:lineRule="auto"/>
        <w:rPr>
          <w:rFonts w:ascii="Arial" w:hAnsi="Arial" w:cs="Arial"/>
          <w:sz w:val="24"/>
          <w:szCs w:val="24"/>
        </w:rPr>
      </w:pPr>
    </w:p>
    <w:p w14:paraId="017179F7" w14:textId="77777777" w:rsidR="00320401" w:rsidRPr="00D37AFE" w:rsidRDefault="00320401" w:rsidP="00320401">
      <w:pPr>
        <w:spacing w:after="0" w:line="240" w:lineRule="auto"/>
        <w:rPr>
          <w:rFonts w:ascii="Arial" w:hAnsi="Arial" w:cs="Arial"/>
          <w:sz w:val="24"/>
          <w:szCs w:val="24"/>
        </w:rPr>
      </w:pPr>
      <w:r w:rsidRPr="00D37AFE">
        <w:rPr>
          <w:rFonts w:ascii="Arial" w:hAnsi="Arial" w:cs="Arial"/>
          <w:sz w:val="24"/>
          <w:szCs w:val="24"/>
        </w:rPr>
        <w:t>The 11 respondents identified themselves as the following:</w:t>
      </w:r>
    </w:p>
    <w:p w14:paraId="7960A5C2" w14:textId="77777777" w:rsidR="00320401" w:rsidRPr="00D37AFE" w:rsidRDefault="00320401" w:rsidP="00320401">
      <w:pPr>
        <w:spacing w:after="0" w:line="240" w:lineRule="auto"/>
        <w:rPr>
          <w:rFonts w:ascii="Arial" w:hAnsi="Arial" w:cs="Arial"/>
          <w:sz w:val="24"/>
          <w:szCs w:val="24"/>
        </w:rPr>
      </w:pPr>
    </w:p>
    <w:tbl>
      <w:tblPr>
        <w:tblW w:w="894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2"/>
        <w:gridCol w:w="1843"/>
        <w:gridCol w:w="1701"/>
      </w:tblGrid>
      <w:tr w:rsidR="00320401" w:rsidRPr="00D37AFE" w14:paraId="52FD9265" w14:textId="77777777" w:rsidTr="005670EB">
        <w:trPr>
          <w:trHeight w:val="600"/>
        </w:trPr>
        <w:tc>
          <w:tcPr>
            <w:tcW w:w="5402" w:type="dxa"/>
            <w:shd w:val="clear" w:color="auto" w:fill="auto"/>
            <w:vAlign w:val="center"/>
            <w:hideMark/>
          </w:tcPr>
          <w:p w14:paraId="0BC40A0D" w14:textId="77777777" w:rsidR="00320401" w:rsidRPr="00D37AFE" w:rsidRDefault="00320401" w:rsidP="005670EB">
            <w:pPr>
              <w:spacing w:after="0" w:line="240" w:lineRule="auto"/>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Answer options</w:t>
            </w:r>
          </w:p>
        </w:tc>
        <w:tc>
          <w:tcPr>
            <w:tcW w:w="1843" w:type="dxa"/>
            <w:shd w:val="clear" w:color="auto" w:fill="auto"/>
            <w:vAlign w:val="center"/>
            <w:hideMark/>
          </w:tcPr>
          <w:p w14:paraId="7AC25C6D"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Response percent</w:t>
            </w:r>
          </w:p>
        </w:tc>
        <w:tc>
          <w:tcPr>
            <w:tcW w:w="1701" w:type="dxa"/>
            <w:shd w:val="clear" w:color="auto" w:fill="auto"/>
            <w:vAlign w:val="center"/>
            <w:hideMark/>
          </w:tcPr>
          <w:p w14:paraId="0D60BB49"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Response count</w:t>
            </w:r>
          </w:p>
        </w:tc>
      </w:tr>
      <w:tr w:rsidR="00320401" w:rsidRPr="00D37AFE" w14:paraId="79D72EED" w14:textId="77777777" w:rsidTr="005670EB">
        <w:trPr>
          <w:trHeight w:val="255"/>
        </w:trPr>
        <w:tc>
          <w:tcPr>
            <w:tcW w:w="5402" w:type="dxa"/>
            <w:shd w:val="clear" w:color="auto" w:fill="auto"/>
            <w:vAlign w:val="bottom"/>
            <w:hideMark/>
          </w:tcPr>
          <w:p w14:paraId="64E61357" w14:textId="77777777" w:rsidR="00320401" w:rsidRPr="00D37AFE" w:rsidRDefault="00320401" w:rsidP="005670EB">
            <w:pPr>
              <w:spacing w:after="0" w:line="240" w:lineRule="auto"/>
              <w:rPr>
                <w:rFonts w:ascii="Arial" w:eastAsia="Times New Roman" w:hAnsi="Arial" w:cs="Arial"/>
                <w:sz w:val="24"/>
                <w:szCs w:val="24"/>
                <w:lang w:eastAsia="en-GB"/>
              </w:rPr>
            </w:pPr>
            <w:r w:rsidRPr="00D37AFE">
              <w:rPr>
                <w:rFonts w:ascii="Arial" w:eastAsia="Times New Roman" w:hAnsi="Arial" w:cs="Arial"/>
                <w:sz w:val="24"/>
                <w:szCs w:val="24"/>
                <w:lang w:eastAsia="en-GB"/>
              </w:rPr>
              <w:t>On behalf of a pharmacy/dispensing appliance contractor/dispensing practice</w:t>
            </w:r>
          </w:p>
        </w:tc>
        <w:tc>
          <w:tcPr>
            <w:tcW w:w="1843" w:type="dxa"/>
            <w:shd w:val="clear" w:color="auto" w:fill="auto"/>
            <w:noWrap/>
            <w:vAlign w:val="center"/>
          </w:tcPr>
          <w:p w14:paraId="6980EAF6" w14:textId="77777777" w:rsidR="00320401" w:rsidRPr="00D37AFE" w:rsidRDefault="00320401" w:rsidP="005670EB">
            <w:pPr>
              <w:spacing w:after="0" w:line="240" w:lineRule="auto"/>
              <w:jc w:val="center"/>
              <w:rPr>
                <w:rFonts w:ascii="Arial" w:eastAsia="Times New Roman" w:hAnsi="Arial" w:cs="Arial"/>
                <w:sz w:val="24"/>
                <w:szCs w:val="24"/>
                <w:lang w:eastAsia="en-GB"/>
              </w:rPr>
            </w:pPr>
            <w:r w:rsidRPr="00D37AFE">
              <w:rPr>
                <w:rFonts w:ascii="Arial" w:eastAsia="Times New Roman" w:hAnsi="Arial" w:cs="Arial"/>
                <w:sz w:val="24"/>
                <w:szCs w:val="24"/>
                <w:lang w:eastAsia="en-GB"/>
              </w:rPr>
              <w:t>9.09</w:t>
            </w:r>
          </w:p>
        </w:tc>
        <w:tc>
          <w:tcPr>
            <w:tcW w:w="1701" w:type="dxa"/>
            <w:shd w:val="clear" w:color="auto" w:fill="auto"/>
            <w:noWrap/>
            <w:vAlign w:val="center"/>
          </w:tcPr>
          <w:p w14:paraId="11C2D0F6" w14:textId="77777777" w:rsidR="00320401" w:rsidRPr="00D37AFE" w:rsidRDefault="00320401" w:rsidP="005670EB">
            <w:pPr>
              <w:spacing w:after="0" w:line="240" w:lineRule="auto"/>
              <w:jc w:val="center"/>
              <w:rPr>
                <w:rFonts w:ascii="Arial" w:eastAsia="Times New Roman" w:hAnsi="Arial" w:cs="Arial"/>
                <w:sz w:val="24"/>
                <w:szCs w:val="24"/>
                <w:lang w:eastAsia="en-GB"/>
              </w:rPr>
            </w:pPr>
            <w:r w:rsidRPr="00D37AFE">
              <w:rPr>
                <w:rFonts w:ascii="Arial" w:eastAsia="Times New Roman" w:hAnsi="Arial" w:cs="Arial"/>
                <w:sz w:val="24"/>
                <w:szCs w:val="24"/>
                <w:lang w:eastAsia="en-GB"/>
              </w:rPr>
              <w:t>1</w:t>
            </w:r>
          </w:p>
        </w:tc>
      </w:tr>
      <w:tr w:rsidR="00320401" w:rsidRPr="00D37AFE" w14:paraId="28D80432" w14:textId="77777777" w:rsidTr="005670EB">
        <w:trPr>
          <w:trHeight w:val="255"/>
        </w:trPr>
        <w:tc>
          <w:tcPr>
            <w:tcW w:w="5402" w:type="dxa"/>
            <w:shd w:val="clear" w:color="auto" w:fill="auto"/>
            <w:vAlign w:val="bottom"/>
            <w:hideMark/>
          </w:tcPr>
          <w:p w14:paraId="4F3037D4" w14:textId="77777777" w:rsidR="00320401" w:rsidRPr="00D37AFE" w:rsidRDefault="00320401" w:rsidP="005670EB">
            <w:pPr>
              <w:spacing w:after="0" w:line="240" w:lineRule="auto"/>
              <w:rPr>
                <w:rFonts w:ascii="Arial" w:eastAsia="Times New Roman" w:hAnsi="Arial" w:cs="Arial"/>
                <w:sz w:val="24"/>
                <w:szCs w:val="24"/>
                <w:lang w:eastAsia="en-GB"/>
              </w:rPr>
            </w:pPr>
            <w:r w:rsidRPr="00D37AFE">
              <w:rPr>
                <w:rFonts w:ascii="Arial" w:eastAsia="Times New Roman" w:hAnsi="Arial" w:cs="Arial"/>
                <w:sz w:val="24"/>
                <w:szCs w:val="24"/>
                <w:lang w:eastAsia="en-GB"/>
              </w:rPr>
              <w:t>On behalf of an organisation</w:t>
            </w:r>
          </w:p>
        </w:tc>
        <w:tc>
          <w:tcPr>
            <w:tcW w:w="1843" w:type="dxa"/>
            <w:shd w:val="clear" w:color="auto" w:fill="auto"/>
            <w:noWrap/>
            <w:vAlign w:val="center"/>
          </w:tcPr>
          <w:p w14:paraId="07DA9211" w14:textId="77777777" w:rsidR="00320401" w:rsidRPr="00D37AFE" w:rsidRDefault="00320401" w:rsidP="005670EB">
            <w:pPr>
              <w:spacing w:after="0" w:line="240" w:lineRule="auto"/>
              <w:jc w:val="center"/>
              <w:rPr>
                <w:rFonts w:ascii="Arial" w:eastAsia="Times New Roman" w:hAnsi="Arial" w:cs="Arial"/>
                <w:sz w:val="24"/>
                <w:szCs w:val="24"/>
                <w:lang w:eastAsia="en-GB"/>
              </w:rPr>
            </w:pPr>
            <w:r w:rsidRPr="00D37AFE">
              <w:rPr>
                <w:rFonts w:ascii="Arial" w:eastAsia="Times New Roman" w:hAnsi="Arial" w:cs="Arial"/>
                <w:sz w:val="24"/>
                <w:szCs w:val="24"/>
                <w:lang w:eastAsia="en-GB"/>
              </w:rPr>
              <w:t>45.45</w:t>
            </w:r>
          </w:p>
        </w:tc>
        <w:tc>
          <w:tcPr>
            <w:tcW w:w="1701" w:type="dxa"/>
            <w:shd w:val="clear" w:color="auto" w:fill="auto"/>
            <w:noWrap/>
            <w:vAlign w:val="center"/>
          </w:tcPr>
          <w:p w14:paraId="672245AE" w14:textId="77777777" w:rsidR="00320401" w:rsidRPr="00D37AFE" w:rsidRDefault="00320401" w:rsidP="005670EB">
            <w:pPr>
              <w:spacing w:after="0" w:line="240" w:lineRule="auto"/>
              <w:jc w:val="center"/>
              <w:rPr>
                <w:rFonts w:ascii="Arial" w:eastAsia="Times New Roman" w:hAnsi="Arial" w:cs="Arial"/>
                <w:sz w:val="24"/>
                <w:szCs w:val="24"/>
                <w:lang w:eastAsia="en-GB"/>
              </w:rPr>
            </w:pPr>
            <w:r w:rsidRPr="00D37AFE">
              <w:rPr>
                <w:rFonts w:ascii="Arial" w:eastAsia="Times New Roman" w:hAnsi="Arial" w:cs="Arial"/>
                <w:sz w:val="24"/>
                <w:szCs w:val="24"/>
                <w:lang w:eastAsia="en-GB"/>
              </w:rPr>
              <w:t>5</w:t>
            </w:r>
          </w:p>
        </w:tc>
      </w:tr>
      <w:tr w:rsidR="00320401" w:rsidRPr="00D37AFE" w14:paraId="7F8705A5" w14:textId="77777777" w:rsidTr="005670EB">
        <w:trPr>
          <w:trHeight w:val="255"/>
        </w:trPr>
        <w:tc>
          <w:tcPr>
            <w:tcW w:w="5402" w:type="dxa"/>
            <w:shd w:val="clear" w:color="auto" w:fill="auto"/>
            <w:vAlign w:val="bottom"/>
            <w:hideMark/>
          </w:tcPr>
          <w:p w14:paraId="0225BFCB" w14:textId="77777777" w:rsidR="00320401" w:rsidRPr="00D37AFE" w:rsidRDefault="00320401" w:rsidP="005670EB">
            <w:pPr>
              <w:spacing w:after="0" w:line="240" w:lineRule="auto"/>
              <w:rPr>
                <w:rFonts w:ascii="Arial" w:eastAsia="Times New Roman" w:hAnsi="Arial" w:cs="Arial"/>
                <w:sz w:val="24"/>
                <w:szCs w:val="24"/>
                <w:lang w:eastAsia="en-GB"/>
              </w:rPr>
            </w:pPr>
            <w:r w:rsidRPr="00D37AFE">
              <w:rPr>
                <w:rFonts w:ascii="Arial" w:eastAsia="Times New Roman" w:hAnsi="Arial" w:cs="Arial"/>
                <w:sz w:val="24"/>
                <w:szCs w:val="24"/>
                <w:lang w:eastAsia="en-GB"/>
              </w:rPr>
              <w:t>A personal response</w:t>
            </w:r>
          </w:p>
        </w:tc>
        <w:tc>
          <w:tcPr>
            <w:tcW w:w="1843" w:type="dxa"/>
            <w:shd w:val="clear" w:color="auto" w:fill="auto"/>
            <w:noWrap/>
            <w:vAlign w:val="center"/>
          </w:tcPr>
          <w:p w14:paraId="7D3B891D" w14:textId="77777777" w:rsidR="00320401" w:rsidRPr="00D37AFE" w:rsidRDefault="00320401" w:rsidP="005670EB">
            <w:pPr>
              <w:spacing w:after="0" w:line="240" w:lineRule="auto"/>
              <w:jc w:val="center"/>
              <w:rPr>
                <w:rFonts w:ascii="Arial" w:eastAsia="Times New Roman" w:hAnsi="Arial" w:cs="Arial"/>
                <w:sz w:val="24"/>
                <w:szCs w:val="24"/>
                <w:lang w:eastAsia="en-GB"/>
              </w:rPr>
            </w:pPr>
            <w:r w:rsidRPr="00D37AFE">
              <w:rPr>
                <w:rFonts w:ascii="Arial" w:eastAsia="Times New Roman" w:hAnsi="Arial" w:cs="Arial"/>
                <w:sz w:val="24"/>
                <w:szCs w:val="24"/>
                <w:lang w:eastAsia="en-GB"/>
              </w:rPr>
              <w:t>45.45</w:t>
            </w:r>
          </w:p>
        </w:tc>
        <w:tc>
          <w:tcPr>
            <w:tcW w:w="1701" w:type="dxa"/>
            <w:shd w:val="clear" w:color="auto" w:fill="auto"/>
            <w:noWrap/>
            <w:vAlign w:val="center"/>
          </w:tcPr>
          <w:p w14:paraId="70080A7B" w14:textId="77777777" w:rsidR="00320401" w:rsidRPr="00D37AFE" w:rsidRDefault="00320401" w:rsidP="005670EB">
            <w:pPr>
              <w:spacing w:after="0" w:line="240" w:lineRule="auto"/>
              <w:jc w:val="center"/>
              <w:rPr>
                <w:rFonts w:ascii="Arial" w:eastAsia="Times New Roman" w:hAnsi="Arial" w:cs="Arial"/>
                <w:sz w:val="24"/>
                <w:szCs w:val="24"/>
                <w:lang w:eastAsia="en-GB"/>
              </w:rPr>
            </w:pPr>
            <w:r w:rsidRPr="00D37AFE">
              <w:rPr>
                <w:rFonts w:ascii="Arial" w:eastAsia="Times New Roman" w:hAnsi="Arial" w:cs="Arial"/>
                <w:sz w:val="24"/>
                <w:szCs w:val="24"/>
                <w:lang w:eastAsia="en-GB"/>
              </w:rPr>
              <w:t>5</w:t>
            </w:r>
          </w:p>
        </w:tc>
      </w:tr>
      <w:tr w:rsidR="00320401" w:rsidRPr="00D37AFE" w14:paraId="67AD3374" w14:textId="77777777" w:rsidTr="005670EB">
        <w:trPr>
          <w:trHeight w:val="255"/>
        </w:trPr>
        <w:tc>
          <w:tcPr>
            <w:tcW w:w="7245" w:type="dxa"/>
            <w:gridSpan w:val="2"/>
            <w:shd w:val="clear" w:color="auto" w:fill="auto"/>
            <w:noWrap/>
            <w:vAlign w:val="bottom"/>
            <w:hideMark/>
          </w:tcPr>
          <w:p w14:paraId="79F0799B" w14:textId="77777777" w:rsidR="00320401" w:rsidRPr="00D37AFE" w:rsidRDefault="00320401" w:rsidP="005670EB">
            <w:pPr>
              <w:spacing w:after="0" w:line="240" w:lineRule="auto"/>
              <w:jc w:val="right"/>
              <w:rPr>
                <w:rFonts w:ascii="Arial" w:eastAsia="Times New Roman" w:hAnsi="Arial" w:cs="Arial"/>
                <w:b/>
                <w:bCs/>
                <w:i/>
                <w:iCs/>
                <w:color w:val="000000"/>
                <w:sz w:val="24"/>
                <w:szCs w:val="24"/>
                <w:lang w:eastAsia="en-GB"/>
              </w:rPr>
            </w:pPr>
            <w:r w:rsidRPr="00D37AFE">
              <w:rPr>
                <w:rFonts w:ascii="Arial" w:eastAsia="Times New Roman" w:hAnsi="Arial" w:cs="Arial"/>
                <w:b/>
                <w:bCs/>
                <w:i/>
                <w:iCs/>
                <w:color w:val="000000"/>
                <w:sz w:val="24"/>
                <w:szCs w:val="24"/>
                <w:lang w:eastAsia="en-GB"/>
              </w:rPr>
              <w:t>Answered question</w:t>
            </w:r>
          </w:p>
        </w:tc>
        <w:tc>
          <w:tcPr>
            <w:tcW w:w="1701" w:type="dxa"/>
            <w:shd w:val="clear" w:color="auto" w:fill="auto"/>
            <w:noWrap/>
            <w:vAlign w:val="bottom"/>
            <w:hideMark/>
          </w:tcPr>
          <w:p w14:paraId="19763A74"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11</w:t>
            </w:r>
          </w:p>
        </w:tc>
      </w:tr>
    </w:tbl>
    <w:p w14:paraId="7A9BD5A2" w14:textId="77777777" w:rsidR="00320401" w:rsidRPr="00D37AFE" w:rsidRDefault="00320401" w:rsidP="00320401">
      <w:pPr>
        <w:spacing w:after="0" w:line="240" w:lineRule="auto"/>
        <w:rPr>
          <w:rFonts w:ascii="Arial" w:hAnsi="Arial" w:cs="Arial"/>
          <w:sz w:val="24"/>
          <w:szCs w:val="24"/>
        </w:rPr>
      </w:pPr>
    </w:p>
    <w:p w14:paraId="475FA8A7" w14:textId="77777777" w:rsidR="00320401" w:rsidRPr="00D37AFE" w:rsidRDefault="00320401" w:rsidP="00320401">
      <w:pPr>
        <w:spacing w:after="0" w:line="240" w:lineRule="auto"/>
        <w:rPr>
          <w:rFonts w:ascii="Arial" w:hAnsi="Arial" w:cs="Arial"/>
          <w:sz w:val="24"/>
          <w:szCs w:val="24"/>
        </w:rPr>
      </w:pPr>
    </w:p>
    <w:p w14:paraId="3BD5F1CC" w14:textId="77777777" w:rsidR="00320401" w:rsidRPr="00D37AFE" w:rsidRDefault="00320401" w:rsidP="00320401">
      <w:pPr>
        <w:numPr>
          <w:ilvl w:val="0"/>
          <w:numId w:val="198"/>
        </w:numPr>
        <w:spacing w:after="0" w:line="240" w:lineRule="auto"/>
        <w:ind w:left="284" w:hanging="284"/>
        <w:contextualSpacing/>
        <w:rPr>
          <w:rFonts w:ascii="Arial" w:hAnsi="Arial" w:cs="Arial"/>
          <w:b/>
          <w:sz w:val="24"/>
          <w:szCs w:val="24"/>
        </w:rPr>
      </w:pPr>
      <w:r w:rsidRPr="00D37AFE">
        <w:rPr>
          <w:rFonts w:ascii="Arial" w:hAnsi="Arial" w:cs="Arial"/>
          <w:b/>
          <w:sz w:val="24"/>
          <w:szCs w:val="24"/>
        </w:rPr>
        <w:t>Summary of online questions, responses and the health board’s considerations</w:t>
      </w:r>
    </w:p>
    <w:p w14:paraId="19AA04DD" w14:textId="77777777" w:rsidR="00320401" w:rsidRPr="00D37AFE" w:rsidRDefault="00320401" w:rsidP="00320401">
      <w:pPr>
        <w:spacing w:after="0" w:line="240" w:lineRule="auto"/>
        <w:contextualSpacing/>
        <w:rPr>
          <w:rFonts w:ascii="Arial" w:hAnsi="Arial" w:cs="Arial"/>
          <w:b/>
          <w:sz w:val="24"/>
          <w:szCs w:val="24"/>
        </w:rPr>
      </w:pPr>
    </w:p>
    <w:p w14:paraId="2A895F63" w14:textId="77777777" w:rsidR="00320401" w:rsidRPr="00D37AFE" w:rsidRDefault="00320401" w:rsidP="00320401">
      <w:pPr>
        <w:spacing w:after="0" w:line="240" w:lineRule="auto"/>
        <w:contextualSpacing/>
        <w:rPr>
          <w:rFonts w:ascii="Arial" w:hAnsi="Arial" w:cs="Arial"/>
          <w:bCs/>
          <w:sz w:val="24"/>
          <w:szCs w:val="24"/>
        </w:rPr>
      </w:pPr>
      <w:r w:rsidRPr="00D37AFE">
        <w:rPr>
          <w:rFonts w:ascii="Arial" w:hAnsi="Arial" w:cs="Arial"/>
          <w:bCs/>
          <w:sz w:val="24"/>
          <w:szCs w:val="24"/>
        </w:rPr>
        <w:t>Only the responses received to the online questions by the 10 respondents have been summarised in a table under each question. As one respondent replied directly to the health board and did not directly answer the questions, they have not been included.</w:t>
      </w:r>
    </w:p>
    <w:p w14:paraId="731D2F48" w14:textId="77777777" w:rsidR="00320401" w:rsidRPr="00D37AFE" w:rsidRDefault="00320401" w:rsidP="00320401">
      <w:pPr>
        <w:spacing w:after="0" w:line="240" w:lineRule="auto"/>
        <w:contextualSpacing/>
        <w:rPr>
          <w:rFonts w:ascii="Arial" w:hAnsi="Arial" w:cs="Arial"/>
          <w:bCs/>
          <w:sz w:val="24"/>
          <w:szCs w:val="24"/>
        </w:rPr>
      </w:pPr>
    </w:p>
    <w:p w14:paraId="41ABC096" w14:textId="77777777" w:rsidR="00320401" w:rsidRDefault="00320401" w:rsidP="00320401">
      <w:pPr>
        <w:spacing w:after="0" w:line="240" w:lineRule="auto"/>
        <w:contextualSpacing/>
        <w:rPr>
          <w:rFonts w:ascii="Arial" w:hAnsi="Arial" w:cs="Arial"/>
          <w:bCs/>
          <w:sz w:val="24"/>
          <w:szCs w:val="24"/>
        </w:rPr>
      </w:pPr>
      <w:r w:rsidRPr="00D37AFE">
        <w:rPr>
          <w:rFonts w:ascii="Arial" w:hAnsi="Arial" w:cs="Arial"/>
          <w:bCs/>
          <w:sz w:val="24"/>
          <w:szCs w:val="24"/>
        </w:rPr>
        <w:t>All comments made to the questions by the 11 respondents</w:t>
      </w:r>
      <w:r>
        <w:rPr>
          <w:rFonts w:ascii="Arial" w:hAnsi="Arial" w:cs="Arial"/>
          <w:bCs/>
          <w:sz w:val="24"/>
          <w:szCs w:val="24"/>
        </w:rPr>
        <w:t xml:space="preserve"> </w:t>
      </w:r>
      <w:r w:rsidRPr="00D37AFE">
        <w:rPr>
          <w:rFonts w:ascii="Arial" w:hAnsi="Arial" w:cs="Arial"/>
          <w:bCs/>
          <w:sz w:val="24"/>
          <w:szCs w:val="24"/>
        </w:rPr>
        <w:t>have been listed as received.</w:t>
      </w:r>
      <w:r>
        <w:rPr>
          <w:rFonts w:ascii="Arial" w:hAnsi="Arial" w:cs="Arial"/>
          <w:bCs/>
          <w:sz w:val="24"/>
          <w:szCs w:val="24"/>
        </w:rPr>
        <w:t xml:space="preserve"> [X] indicates a redaction, where considered appropriate to do so.</w:t>
      </w:r>
    </w:p>
    <w:p w14:paraId="750815D4" w14:textId="77777777" w:rsidR="00320401" w:rsidRPr="00D37AFE" w:rsidRDefault="00320401" w:rsidP="00320401">
      <w:pPr>
        <w:spacing w:after="0" w:line="240" w:lineRule="auto"/>
        <w:contextualSpacing/>
        <w:rPr>
          <w:rFonts w:ascii="Arial" w:hAnsi="Arial" w:cs="Arial"/>
          <w:bCs/>
          <w:sz w:val="24"/>
          <w:szCs w:val="24"/>
        </w:rPr>
      </w:pPr>
    </w:p>
    <w:p w14:paraId="523A4FF7" w14:textId="77777777" w:rsidR="00320401" w:rsidRPr="00D37AFE" w:rsidRDefault="00320401" w:rsidP="00320401">
      <w:pPr>
        <w:spacing w:after="0" w:line="240" w:lineRule="auto"/>
        <w:contextualSpacing/>
        <w:rPr>
          <w:rFonts w:ascii="Arial" w:hAnsi="Arial" w:cs="Arial"/>
          <w:color w:val="000000"/>
          <w:sz w:val="24"/>
          <w:szCs w:val="24"/>
        </w:rPr>
      </w:pPr>
      <w:r w:rsidRPr="00D37AFE">
        <w:rPr>
          <w:rFonts w:ascii="Arial" w:hAnsi="Arial" w:cs="Arial"/>
          <w:sz w:val="24"/>
          <w:szCs w:val="24"/>
        </w:rPr>
        <w:t xml:space="preserve">Cardiff and Vale University Health Board has considered and responded to </w:t>
      </w:r>
      <w:r w:rsidRPr="00D37AFE">
        <w:rPr>
          <w:rFonts w:ascii="Arial" w:hAnsi="Arial" w:cs="Arial"/>
          <w:color w:val="000000"/>
          <w:sz w:val="24"/>
          <w:szCs w:val="24"/>
        </w:rPr>
        <w:t>matters raised in relation to these questions and in accordance with the PNA.</w:t>
      </w:r>
    </w:p>
    <w:p w14:paraId="221A8A94" w14:textId="77777777" w:rsidR="00320401" w:rsidRPr="00D37AFE" w:rsidRDefault="00320401" w:rsidP="00320401">
      <w:pPr>
        <w:spacing w:after="0" w:line="240" w:lineRule="auto"/>
        <w:contextualSpacing/>
        <w:rPr>
          <w:rFonts w:ascii="Arial" w:hAnsi="Arial" w:cs="Arial"/>
          <w:color w:val="000000"/>
          <w:sz w:val="24"/>
          <w:szCs w:val="24"/>
        </w:rPr>
      </w:pPr>
    </w:p>
    <w:p w14:paraId="6F430D0E" w14:textId="77777777" w:rsidR="00320401" w:rsidRPr="00D37AFE" w:rsidRDefault="00320401" w:rsidP="00320401">
      <w:pPr>
        <w:spacing w:after="0" w:line="240" w:lineRule="auto"/>
        <w:contextualSpacing/>
        <w:rPr>
          <w:rFonts w:ascii="Arial" w:hAnsi="Arial" w:cs="Arial"/>
          <w:bCs/>
          <w:sz w:val="24"/>
          <w:szCs w:val="24"/>
        </w:rPr>
      </w:pPr>
    </w:p>
    <w:p w14:paraId="3A210E4E" w14:textId="095ED422" w:rsidR="00320401" w:rsidRPr="00D37AFE" w:rsidRDefault="00320401" w:rsidP="00320401">
      <w:pPr>
        <w:spacing w:after="0" w:line="240" w:lineRule="auto"/>
        <w:contextualSpacing/>
        <w:rPr>
          <w:rFonts w:ascii="Arial" w:hAnsi="Arial" w:cs="Arial"/>
          <w:b/>
          <w:sz w:val="24"/>
          <w:szCs w:val="24"/>
        </w:rPr>
      </w:pPr>
      <w:r w:rsidRPr="00D37AFE">
        <w:rPr>
          <w:rFonts w:ascii="Arial" w:hAnsi="Arial" w:cs="Arial"/>
          <w:b/>
          <w:sz w:val="24"/>
          <w:szCs w:val="24"/>
        </w:rPr>
        <w:t>Q1. Has the purpose of the pharmaceutical needs assessment been explained?</w:t>
      </w:r>
    </w:p>
    <w:tbl>
      <w:tblPr>
        <w:tblW w:w="8811" w:type="dxa"/>
        <w:tblLook w:val="04A0" w:firstRow="1" w:lastRow="0" w:firstColumn="1" w:lastColumn="0" w:noHBand="0" w:noVBand="1"/>
      </w:tblPr>
      <w:tblGrid>
        <w:gridCol w:w="1446"/>
        <w:gridCol w:w="2606"/>
        <w:gridCol w:w="1732"/>
        <w:gridCol w:w="1837"/>
        <w:gridCol w:w="1190"/>
      </w:tblGrid>
      <w:tr w:rsidR="00320401" w:rsidRPr="00D37AFE" w14:paraId="04D2743F" w14:textId="77777777" w:rsidTr="005670EB">
        <w:trPr>
          <w:trHeight w:val="253"/>
        </w:trPr>
        <w:tc>
          <w:tcPr>
            <w:tcW w:w="5784" w:type="dxa"/>
            <w:gridSpan w:val="3"/>
            <w:tcBorders>
              <w:top w:val="single" w:sz="4" w:space="0" w:color="A6A6A6"/>
              <w:left w:val="single" w:sz="4" w:space="0" w:color="A6A6A6"/>
              <w:bottom w:val="single" w:sz="4" w:space="0" w:color="A6A6A6"/>
              <w:right w:val="nil"/>
            </w:tcBorders>
            <w:shd w:val="clear" w:color="auto" w:fill="548DD4" w:themeFill="text2" w:themeFillTint="99"/>
            <w:noWrap/>
            <w:vAlign w:val="center"/>
            <w:hideMark/>
          </w:tcPr>
          <w:p w14:paraId="212EA652"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27" w:type="dxa"/>
            <w:gridSpan w:val="2"/>
            <w:tcBorders>
              <w:top w:val="single" w:sz="4" w:space="0" w:color="A6A6A6"/>
              <w:left w:val="nil"/>
              <w:bottom w:val="single" w:sz="4" w:space="0" w:color="A6A6A6"/>
              <w:right w:val="single" w:sz="4" w:space="0" w:color="A6A6A6"/>
            </w:tcBorders>
            <w:shd w:val="clear" w:color="auto" w:fill="548DD4" w:themeFill="text2" w:themeFillTint="99"/>
            <w:noWrap/>
            <w:vAlign w:val="center"/>
            <w:hideMark/>
          </w:tcPr>
          <w:p w14:paraId="15AF656B"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320401" w:rsidRPr="00D37AFE" w14:paraId="4B8BC94E" w14:textId="77777777" w:rsidTr="005670EB">
        <w:trPr>
          <w:trHeight w:val="253"/>
        </w:trPr>
        <w:tc>
          <w:tcPr>
            <w:tcW w:w="5784"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18C2351C"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37" w:type="dxa"/>
            <w:tcBorders>
              <w:top w:val="nil"/>
              <w:left w:val="nil"/>
              <w:bottom w:val="single" w:sz="4" w:space="0" w:color="A6A6A6"/>
              <w:right w:val="single" w:sz="4" w:space="0" w:color="A6A6A6"/>
            </w:tcBorders>
            <w:shd w:val="clear" w:color="000000" w:fill="F2F2F2"/>
            <w:noWrap/>
            <w:vAlign w:val="center"/>
            <w:hideMark/>
          </w:tcPr>
          <w:p w14:paraId="6D7C2AB1"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190" w:type="dxa"/>
            <w:tcBorders>
              <w:top w:val="nil"/>
              <w:left w:val="nil"/>
              <w:bottom w:val="single" w:sz="4" w:space="0" w:color="A6A6A6"/>
              <w:right w:val="single" w:sz="4" w:space="0" w:color="A6A6A6"/>
            </w:tcBorders>
            <w:shd w:val="clear" w:color="000000" w:fill="F2F2F2"/>
            <w:noWrap/>
            <w:vAlign w:val="center"/>
            <w:hideMark/>
          </w:tcPr>
          <w:p w14:paraId="4F7EB8FE"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320401" w:rsidRPr="00D37AFE" w14:paraId="635B0CDE" w14:textId="77777777" w:rsidTr="005670EB">
        <w:trPr>
          <w:trHeight w:val="253"/>
        </w:trPr>
        <w:tc>
          <w:tcPr>
            <w:tcW w:w="1446" w:type="dxa"/>
            <w:tcBorders>
              <w:top w:val="nil"/>
              <w:left w:val="single" w:sz="4" w:space="0" w:color="A6A6A6"/>
              <w:bottom w:val="single" w:sz="4" w:space="0" w:color="A6A6A6"/>
              <w:right w:val="single" w:sz="4" w:space="0" w:color="A6A6A6"/>
            </w:tcBorders>
            <w:shd w:val="clear" w:color="000000" w:fill="F2F2F2"/>
            <w:vAlign w:val="center"/>
            <w:hideMark/>
          </w:tcPr>
          <w:p w14:paraId="4CB697CB"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38" w:type="dxa"/>
            <w:gridSpan w:val="2"/>
            <w:tcBorders>
              <w:top w:val="single" w:sz="4" w:space="0" w:color="A6A6A6"/>
              <w:left w:val="nil"/>
              <w:bottom w:val="single" w:sz="4" w:space="0" w:color="A6A6A6"/>
              <w:right w:val="single" w:sz="4" w:space="0" w:color="A6A6A6"/>
            </w:tcBorders>
            <w:shd w:val="clear" w:color="auto" w:fill="auto"/>
            <w:vAlign w:val="center"/>
            <w:hideMark/>
          </w:tcPr>
          <w:p w14:paraId="13EA1426"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37" w:type="dxa"/>
            <w:tcBorders>
              <w:top w:val="nil"/>
              <w:left w:val="nil"/>
              <w:bottom w:val="single" w:sz="4" w:space="0" w:color="A6A6A6"/>
              <w:right w:val="single" w:sz="4" w:space="0" w:color="A6A6A6"/>
            </w:tcBorders>
            <w:shd w:val="clear" w:color="000000" w:fill="F2F2F2"/>
            <w:noWrap/>
            <w:vAlign w:val="bottom"/>
            <w:hideMark/>
          </w:tcPr>
          <w:p w14:paraId="1613C1A3"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90.00%</w:t>
            </w:r>
          </w:p>
        </w:tc>
        <w:tc>
          <w:tcPr>
            <w:tcW w:w="1190" w:type="dxa"/>
            <w:tcBorders>
              <w:top w:val="nil"/>
              <w:left w:val="nil"/>
              <w:bottom w:val="single" w:sz="4" w:space="0" w:color="A6A6A6"/>
              <w:right w:val="single" w:sz="4" w:space="0" w:color="A6A6A6"/>
            </w:tcBorders>
            <w:shd w:val="clear" w:color="000000" w:fill="F2F2F2"/>
            <w:noWrap/>
            <w:vAlign w:val="bottom"/>
            <w:hideMark/>
          </w:tcPr>
          <w:p w14:paraId="0EF836CD"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tc>
      </w:tr>
      <w:tr w:rsidR="00320401" w:rsidRPr="00D37AFE" w14:paraId="31B0D079" w14:textId="77777777" w:rsidTr="005670EB">
        <w:trPr>
          <w:trHeight w:val="253"/>
        </w:trPr>
        <w:tc>
          <w:tcPr>
            <w:tcW w:w="1446" w:type="dxa"/>
            <w:tcBorders>
              <w:top w:val="nil"/>
              <w:left w:val="single" w:sz="4" w:space="0" w:color="A6A6A6"/>
              <w:bottom w:val="single" w:sz="4" w:space="0" w:color="A6A6A6"/>
              <w:right w:val="single" w:sz="4" w:space="0" w:color="A6A6A6"/>
            </w:tcBorders>
            <w:shd w:val="clear" w:color="000000" w:fill="F2F2F2"/>
            <w:vAlign w:val="center"/>
            <w:hideMark/>
          </w:tcPr>
          <w:p w14:paraId="37099BE8"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38" w:type="dxa"/>
            <w:gridSpan w:val="2"/>
            <w:tcBorders>
              <w:top w:val="single" w:sz="4" w:space="0" w:color="A6A6A6"/>
              <w:left w:val="nil"/>
              <w:bottom w:val="single" w:sz="4" w:space="0" w:color="A6A6A6"/>
              <w:right w:val="single" w:sz="4" w:space="0" w:color="A6A6A6"/>
            </w:tcBorders>
            <w:shd w:val="clear" w:color="auto" w:fill="auto"/>
            <w:vAlign w:val="center"/>
            <w:hideMark/>
          </w:tcPr>
          <w:p w14:paraId="06AEE568"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37" w:type="dxa"/>
            <w:tcBorders>
              <w:top w:val="nil"/>
              <w:left w:val="nil"/>
              <w:bottom w:val="single" w:sz="4" w:space="0" w:color="A6A6A6"/>
              <w:right w:val="single" w:sz="4" w:space="0" w:color="A6A6A6"/>
            </w:tcBorders>
            <w:shd w:val="clear" w:color="000000" w:fill="F2F2F2"/>
            <w:noWrap/>
            <w:vAlign w:val="bottom"/>
            <w:hideMark/>
          </w:tcPr>
          <w:p w14:paraId="7EA37D40"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10.00%</w:t>
            </w:r>
          </w:p>
        </w:tc>
        <w:tc>
          <w:tcPr>
            <w:tcW w:w="1190" w:type="dxa"/>
            <w:tcBorders>
              <w:top w:val="nil"/>
              <w:left w:val="nil"/>
              <w:bottom w:val="single" w:sz="4" w:space="0" w:color="A6A6A6"/>
              <w:right w:val="single" w:sz="4" w:space="0" w:color="A6A6A6"/>
            </w:tcBorders>
            <w:shd w:val="clear" w:color="000000" w:fill="F2F2F2"/>
            <w:noWrap/>
            <w:vAlign w:val="bottom"/>
            <w:hideMark/>
          </w:tcPr>
          <w:p w14:paraId="61090279"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r w:rsidR="00320401" w:rsidRPr="00D37AFE" w14:paraId="2E531D8F" w14:textId="77777777" w:rsidTr="005670EB">
        <w:trPr>
          <w:trHeight w:val="253"/>
        </w:trPr>
        <w:tc>
          <w:tcPr>
            <w:tcW w:w="1446" w:type="dxa"/>
            <w:tcBorders>
              <w:top w:val="nil"/>
              <w:left w:val="single" w:sz="4" w:space="0" w:color="A6A6A6"/>
              <w:bottom w:val="single" w:sz="4" w:space="0" w:color="A6A6A6"/>
              <w:right w:val="single" w:sz="4" w:space="0" w:color="A6A6A6"/>
            </w:tcBorders>
            <w:shd w:val="clear" w:color="000000" w:fill="F2F2F2"/>
            <w:vAlign w:val="center"/>
            <w:hideMark/>
          </w:tcPr>
          <w:p w14:paraId="673A76BD"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38" w:type="dxa"/>
            <w:gridSpan w:val="2"/>
            <w:tcBorders>
              <w:top w:val="single" w:sz="4" w:space="0" w:color="A6A6A6"/>
              <w:left w:val="nil"/>
              <w:bottom w:val="single" w:sz="4" w:space="0" w:color="A6A6A6"/>
              <w:right w:val="single" w:sz="4" w:space="0" w:color="A6A6A6"/>
            </w:tcBorders>
            <w:shd w:val="clear" w:color="auto" w:fill="auto"/>
            <w:vAlign w:val="center"/>
            <w:hideMark/>
          </w:tcPr>
          <w:p w14:paraId="48EA271F"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37" w:type="dxa"/>
            <w:tcBorders>
              <w:top w:val="nil"/>
              <w:left w:val="nil"/>
              <w:bottom w:val="single" w:sz="4" w:space="0" w:color="A6A6A6"/>
              <w:right w:val="single" w:sz="4" w:space="0" w:color="A6A6A6"/>
            </w:tcBorders>
            <w:shd w:val="clear" w:color="000000" w:fill="F2F2F2"/>
            <w:noWrap/>
            <w:vAlign w:val="bottom"/>
            <w:hideMark/>
          </w:tcPr>
          <w:p w14:paraId="59EBB0C5"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0.00%</w:t>
            </w:r>
          </w:p>
        </w:tc>
        <w:tc>
          <w:tcPr>
            <w:tcW w:w="1190" w:type="dxa"/>
            <w:tcBorders>
              <w:top w:val="nil"/>
              <w:left w:val="nil"/>
              <w:bottom w:val="single" w:sz="4" w:space="0" w:color="A6A6A6"/>
              <w:right w:val="single" w:sz="4" w:space="0" w:color="A6A6A6"/>
            </w:tcBorders>
            <w:shd w:val="clear" w:color="000000" w:fill="F2F2F2"/>
            <w:noWrap/>
            <w:vAlign w:val="bottom"/>
            <w:hideMark/>
          </w:tcPr>
          <w:p w14:paraId="41E94D9B"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w:t>
            </w:r>
          </w:p>
        </w:tc>
      </w:tr>
      <w:tr w:rsidR="00320401" w:rsidRPr="00D37AFE" w14:paraId="433645B2" w14:textId="77777777" w:rsidTr="005670EB">
        <w:trPr>
          <w:trHeight w:val="253"/>
        </w:trPr>
        <w:tc>
          <w:tcPr>
            <w:tcW w:w="4052"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45A1C027"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32" w:type="dxa"/>
            <w:tcBorders>
              <w:top w:val="nil"/>
              <w:left w:val="nil"/>
              <w:bottom w:val="single" w:sz="4" w:space="0" w:color="A6A6A6"/>
              <w:right w:val="single" w:sz="4" w:space="0" w:color="A6A6A6"/>
            </w:tcBorders>
            <w:shd w:val="clear" w:color="000000" w:fill="F2F2F2"/>
            <w:vAlign w:val="center"/>
            <w:hideMark/>
          </w:tcPr>
          <w:p w14:paraId="695583C3"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37" w:type="dxa"/>
            <w:tcBorders>
              <w:top w:val="nil"/>
              <w:left w:val="nil"/>
              <w:bottom w:val="single" w:sz="4" w:space="0" w:color="A6A6A6"/>
              <w:right w:val="single" w:sz="4" w:space="0" w:color="A6A6A6"/>
            </w:tcBorders>
            <w:shd w:val="clear" w:color="000000" w:fill="F2F2F2"/>
            <w:noWrap/>
            <w:vAlign w:val="bottom"/>
            <w:hideMark/>
          </w:tcPr>
          <w:p w14:paraId="10ACC9C0"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190" w:type="dxa"/>
            <w:tcBorders>
              <w:top w:val="nil"/>
              <w:left w:val="nil"/>
              <w:bottom w:val="single" w:sz="4" w:space="0" w:color="A6A6A6"/>
              <w:right w:val="single" w:sz="4" w:space="0" w:color="A6A6A6"/>
            </w:tcBorders>
            <w:shd w:val="clear" w:color="000000" w:fill="F2F2F2"/>
            <w:noWrap/>
            <w:vAlign w:val="bottom"/>
            <w:hideMark/>
          </w:tcPr>
          <w:p w14:paraId="4FC49288"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w:t>
            </w:r>
          </w:p>
        </w:tc>
      </w:tr>
      <w:tr w:rsidR="00320401" w:rsidRPr="00D37AFE" w14:paraId="33ABE5C5" w14:textId="77777777" w:rsidTr="005670EB">
        <w:trPr>
          <w:trHeight w:val="253"/>
        </w:trPr>
        <w:tc>
          <w:tcPr>
            <w:tcW w:w="4052" w:type="dxa"/>
            <w:gridSpan w:val="2"/>
            <w:vMerge/>
            <w:tcBorders>
              <w:top w:val="single" w:sz="4" w:space="0" w:color="A6A6A6"/>
              <w:left w:val="single" w:sz="4" w:space="0" w:color="A6A6A6"/>
              <w:bottom w:val="single" w:sz="4" w:space="0" w:color="A6A6A6"/>
              <w:right w:val="single" w:sz="4" w:space="0" w:color="A6A6A6"/>
            </w:tcBorders>
            <w:vAlign w:val="center"/>
            <w:hideMark/>
          </w:tcPr>
          <w:p w14:paraId="141C92C9" w14:textId="77777777" w:rsidR="00320401" w:rsidRPr="00D37AFE" w:rsidRDefault="00320401" w:rsidP="005670EB">
            <w:pPr>
              <w:spacing w:after="0" w:line="240" w:lineRule="auto"/>
              <w:rPr>
                <w:rFonts w:ascii="Arial" w:eastAsia="Times New Roman" w:hAnsi="Arial" w:cs="Arial"/>
                <w:b/>
                <w:bCs/>
                <w:color w:val="000000"/>
                <w:sz w:val="24"/>
                <w:szCs w:val="24"/>
                <w:lang w:eastAsia="en-GB"/>
              </w:rPr>
            </w:pPr>
          </w:p>
        </w:tc>
        <w:tc>
          <w:tcPr>
            <w:tcW w:w="1732" w:type="dxa"/>
            <w:tcBorders>
              <w:top w:val="nil"/>
              <w:left w:val="nil"/>
              <w:bottom w:val="single" w:sz="4" w:space="0" w:color="A6A6A6"/>
              <w:right w:val="single" w:sz="4" w:space="0" w:color="A6A6A6"/>
            </w:tcBorders>
            <w:shd w:val="clear" w:color="000000" w:fill="F2F2F2"/>
            <w:vAlign w:val="center"/>
            <w:hideMark/>
          </w:tcPr>
          <w:p w14:paraId="2737E9AF"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37" w:type="dxa"/>
            <w:tcBorders>
              <w:top w:val="nil"/>
              <w:left w:val="nil"/>
              <w:bottom w:val="single" w:sz="4" w:space="0" w:color="A6A6A6"/>
              <w:right w:val="single" w:sz="4" w:space="0" w:color="A6A6A6"/>
            </w:tcBorders>
            <w:shd w:val="clear" w:color="000000" w:fill="F2F2F2"/>
            <w:noWrap/>
            <w:vAlign w:val="bottom"/>
            <w:hideMark/>
          </w:tcPr>
          <w:p w14:paraId="270CAF0D"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190" w:type="dxa"/>
            <w:tcBorders>
              <w:top w:val="nil"/>
              <w:left w:val="nil"/>
              <w:bottom w:val="single" w:sz="4" w:space="0" w:color="A6A6A6"/>
              <w:right w:val="single" w:sz="4" w:space="0" w:color="A6A6A6"/>
            </w:tcBorders>
            <w:shd w:val="clear" w:color="000000" w:fill="F2F2F2"/>
            <w:noWrap/>
            <w:vAlign w:val="bottom"/>
            <w:hideMark/>
          </w:tcPr>
          <w:p w14:paraId="2CA43C59"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w:t>
            </w:r>
          </w:p>
        </w:tc>
      </w:tr>
    </w:tbl>
    <w:p w14:paraId="649A7C53" w14:textId="77777777" w:rsidR="00320401" w:rsidRPr="00D37AFE" w:rsidRDefault="00320401" w:rsidP="00320401">
      <w:pPr>
        <w:spacing w:after="0" w:line="240" w:lineRule="auto"/>
        <w:contextualSpacing/>
        <w:rPr>
          <w:rFonts w:ascii="Arial" w:hAnsi="Arial" w:cs="Arial"/>
          <w:b/>
          <w:sz w:val="24"/>
          <w:szCs w:val="24"/>
        </w:rPr>
      </w:pPr>
    </w:p>
    <w:p w14:paraId="15A05A1E" w14:textId="77777777" w:rsidR="00320401" w:rsidRPr="00D37AFE" w:rsidRDefault="00320401" w:rsidP="00320401">
      <w:pPr>
        <w:spacing w:after="0" w:line="240" w:lineRule="auto"/>
        <w:contextualSpacing/>
        <w:rPr>
          <w:rFonts w:ascii="Arial" w:hAnsi="Arial" w:cs="Arial"/>
          <w:b/>
          <w:sz w:val="24"/>
          <w:szCs w:val="24"/>
        </w:rPr>
      </w:pPr>
      <w:r w:rsidRPr="00D37AFE">
        <w:rPr>
          <w:rFonts w:ascii="Arial" w:hAnsi="Arial" w:cs="Arial"/>
          <w:b/>
          <w:sz w:val="24"/>
          <w:szCs w:val="24"/>
        </w:rPr>
        <w:t>Comments</w:t>
      </w:r>
    </w:p>
    <w:p w14:paraId="43ADDBD5" w14:textId="77777777" w:rsidR="00320401" w:rsidRPr="00D37AFE" w:rsidRDefault="00320401" w:rsidP="00320401">
      <w:pPr>
        <w:spacing w:after="0" w:line="240" w:lineRule="auto"/>
        <w:contextualSpacing/>
        <w:rPr>
          <w:rFonts w:ascii="Arial" w:hAnsi="Arial" w:cs="Arial"/>
          <w:b/>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320401" w:rsidRPr="00D37AFE" w14:paraId="033C94B8" w14:textId="77777777" w:rsidTr="005670EB">
        <w:tc>
          <w:tcPr>
            <w:tcW w:w="0" w:type="auto"/>
            <w:shd w:val="clear" w:color="auto" w:fill="FFFFFF"/>
            <w:tcMar>
              <w:top w:w="75" w:type="dxa"/>
              <w:left w:w="75" w:type="dxa"/>
              <w:bottom w:w="75" w:type="dxa"/>
              <w:right w:w="75" w:type="dxa"/>
            </w:tcMar>
            <w:hideMark/>
          </w:tcPr>
          <w:p w14:paraId="7FD75749" w14:textId="77777777" w:rsidR="00320401" w:rsidRPr="00D37AFE" w:rsidRDefault="00320401" w:rsidP="00320401">
            <w:pPr>
              <w:numPr>
                <w:ilvl w:val="0"/>
                <w:numId w:val="202"/>
              </w:numPr>
              <w:spacing w:after="0" w:line="240" w:lineRule="auto"/>
              <w:contextualSpacing/>
              <w:rPr>
                <w:rFonts w:ascii="Arial" w:hAnsi="Arial" w:cs="Arial"/>
                <w:bCs/>
                <w:sz w:val="24"/>
                <w:szCs w:val="24"/>
              </w:rPr>
            </w:pPr>
            <w:r w:rsidRPr="00D37AFE">
              <w:rPr>
                <w:rFonts w:ascii="Arial" w:hAnsi="Arial" w:cs="Arial"/>
                <w:bCs/>
                <w:sz w:val="24"/>
                <w:szCs w:val="24"/>
              </w:rPr>
              <w:t>Explained clearly on document</w:t>
            </w:r>
          </w:p>
        </w:tc>
      </w:tr>
      <w:tr w:rsidR="00320401" w:rsidRPr="00D37AFE" w14:paraId="209158E2" w14:textId="77777777" w:rsidTr="005670EB">
        <w:tc>
          <w:tcPr>
            <w:tcW w:w="0" w:type="auto"/>
            <w:shd w:val="clear" w:color="auto" w:fill="FFFFFF"/>
            <w:tcMar>
              <w:top w:w="75" w:type="dxa"/>
              <w:left w:w="75" w:type="dxa"/>
              <w:bottom w:w="75" w:type="dxa"/>
              <w:right w:w="75" w:type="dxa"/>
            </w:tcMar>
            <w:hideMark/>
          </w:tcPr>
          <w:p w14:paraId="4621FA6F" w14:textId="77777777" w:rsidR="00320401" w:rsidRPr="00D37AFE" w:rsidRDefault="00320401" w:rsidP="00320401">
            <w:pPr>
              <w:numPr>
                <w:ilvl w:val="0"/>
                <w:numId w:val="202"/>
              </w:numPr>
              <w:spacing w:after="0" w:line="240" w:lineRule="auto"/>
              <w:contextualSpacing/>
              <w:rPr>
                <w:rFonts w:ascii="Arial" w:hAnsi="Arial" w:cs="Arial"/>
                <w:bCs/>
                <w:sz w:val="24"/>
                <w:szCs w:val="24"/>
              </w:rPr>
            </w:pPr>
            <w:r w:rsidRPr="00D37AFE">
              <w:rPr>
                <w:rFonts w:ascii="Arial" w:hAnsi="Arial" w:cs="Arial"/>
                <w:bCs/>
                <w:sz w:val="24"/>
                <w:szCs w:val="24"/>
              </w:rPr>
              <w:t>Explanation within the PNA document</w:t>
            </w:r>
          </w:p>
        </w:tc>
      </w:tr>
      <w:tr w:rsidR="00320401" w:rsidRPr="00D37AFE" w14:paraId="6EBD8C82" w14:textId="77777777" w:rsidTr="005670EB">
        <w:tc>
          <w:tcPr>
            <w:tcW w:w="0" w:type="auto"/>
            <w:shd w:val="clear" w:color="auto" w:fill="FFFFFF"/>
            <w:tcMar>
              <w:top w:w="75" w:type="dxa"/>
              <w:left w:w="75" w:type="dxa"/>
              <w:bottom w:w="75" w:type="dxa"/>
              <w:right w:w="75" w:type="dxa"/>
            </w:tcMar>
            <w:hideMark/>
          </w:tcPr>
          <w:p w14:paraId="030B9771" w14:textId="77777777" w:rsidR="00320401" w:rsidRPr="00D37AFE" w:rsidRDefault="00320401" w:rsidP="00320401">
            <w:pPr>
              <w:numPr>
                <w:ilvl w:val="0"/>
                <w:numId w:val="202"/>
              </w:numPr>
              <w:spacing w:after="0" w:line="240" w:lineRule="auto"/>
              <w:contextualSpacing/>
              <w:rPr>
                <w:rFonts w:ascii="Arial" w:hAnsi="Arial" w:cs="Arial"/>
                <w:bCs/>
                <w:sz w:val="24"/>
                <w:szCs w:val="24"/>
              </w:rPr>
            </w:pPr>
            <w:r w:rsidRPr="00D37AFE">
              <w:rPr>
                <w:rFonts w:ascii="Arial" w:hAnsi="Arial" w:cs="Arial"/>
                <w:bCs/>
                <w:sz w:val="24"/>
                <w:szCs w:val="24"/>
              </w:rPr>
              <w:t xml:space="preserve">The consultation response document appears to be a thorough assessment of existing resource and future needs for community pharmacy provision in Cardiff and Vale </w:t>
            </w:r>
          </w:p>
        </w:tc>
      </w:tr>
      <w:tr w:rsidR="00320401" w:rsidRPr="00D37AFE" w14:paraId="20049815" w14:textId="77777777" w:rsidTr="005670EB">
        <w:tc>
          <w:tcPr>
            <w:tcW w:w="0" w:type="auto"/>
            <w:shd w:val="clear" w:color="auto" w:fill="FFFFFF"/>
            <w:tcMar>
              <w:top w:w="75" w:type="dxa"/>
              <w:left w:w="75" w:type="dxa"/>
              <w:bottom w:w="75" w:type="dxa"/>
              <w:right w:w="75" w:type="dxa"/>
            </w:tcMar>
            <w:hideMark/>
          </w:tcPr>
          <w:p w14:paraId="78C45BD9" w14:textId="77777777" w:rsidR="00320401" w:rsidRPr="00D37AFE" w:rsidRDefault="00320401" w:rsidP="00320401">
            <w:pPr>
              <w:numPr>
                <w:ilvl w:val="0"/>
                <w:numId w:val="202"/>
              </w:numPr>
              <w:spacing w:after="0" w:line="240" w:lineRule="auto"/>
              <w:contextualSpacing/>
              <w:rPr>
                <w:rFonts w:ascii="Arial" w:hAnsi="Arial" w:cs="Arial"/>
                <w:bCs/>
                <w:sz w:val="24"/>
                <w:szCs w:val="24"/>
              </w:rPr>
            </w:pPr>
            <w:r w:rsidRPr="00D37AFE">
              <w:rPr>
                <w:rFonts w:ascii="Arial" w:hAnsi="Arial" w:cs="Arial"/>
                <w:bCs/>
                <w:sz w:val="24"/>
                <w:szCs w:val="24"/>
              </w:rPr>
              <w:t>Fully outlined, clear in report</w:t>
            </w:r>
          </w:p>
        </w:tc>
      </w:tr>
      <w:tr w:rsidR="00320401" w:rsidRPr="00D37AFE" w14:paraId="3D4BA2E8" w14:textId="77777777" w:rsidTr="005670EB">
        <w:tc>
          <w:tcPr>
            <w:tcW w:w="0" w:type="auto"/>
            <w:shd w:val="clear" w:color="auto" w:fill="FFFFFF"/>
            <w:tcMar>
              <w:top w:w="75" w:type="dxa"/>
              <w:left w:w="75" w:type="dxa"/>
              <w:bottom w:w="75" w:type="dxa"/>
              <w:right w:w="75" w:type="dxa"/>
            </w:tcMar>
            <w:hideMark/>
          </w:tcPr>
          <w:p w14:paraId="6B4B2808" w14:textId="77777777" w:rsidR="00320401" w:rsidRPr="00D37AFE" w:rsidRDefault="00320401" w:rsidP="00320401">
            <w:pPr>
              <w:numPr>
                <w:ilvl w:val="0"/>
                <w:numId w:val="202"/>
              </w:numPr>
              <w:spacing w:after="0" w:line="240" w:lineRule="auto"/>
              <w:contextualSpacing/>
              <w:rPr>
                <w:rFonts w:ascii="Arial" w:hAnsi="Arial" w:cs="Arial"/>
                <w:bCs/>
                <w:sz w:val="24"/>
                <w:szCs w:val="24"/>
              </w:rPr>
            </w:pPr>
            <w:r w:rsidRPr="00D37AFE">
              <w:rPr>
                <w:rFonts w:ascii="Arial" w:hAnsi="Arial" w:cs="Arial"/>
                <w:bCs/>
                <w:sz w:val="24"/>
                <w:szCs w:val="24"/>
              </w:rPr>
              <w:t>Firstly, it appears that the introduction to this question has not cited the correct Regulations - those being "National Health Service (Pharmaceutical Services) (Wales) Regulations 2020" with appropriate reference to section 82A of the 2006 Act - and not "National Health Service (Pharmaceutical Services) (Wales) Regulations 2013" as above.</w:t>
            </w:r>
            <w:r w:rsidRPr="00D37AFE">
              <w:rPr>
                <w:rFonts w:ascii="Arial" w:hAnsi="Arial" w:cs="Arial"/>
                <w:bCs/>
                <w:sz w:val="24"/>
                <w:szCs w:val="24"/>
              </w:rPr>
              <w:br/>
            </w:r>
            <w:r w:rsidRPr="00D37AFE">
              <w:rPr>
                <w:rFonts w:ascii="Arial" w:hAnsi="Arial" w:cs="Arial"/>
                <w:bCs/>
                <w:sz w:val="24"/>
                <w:szCs w:val="24"/>
              </w:rPr>
              <w:br/>
              <w:t>Secondly, in accordance with these Regulations (2020), the LHB is obliged to seek views from a determined list of organisations or individuals as stated in Part 2 Regulation 7 of the Act. This questionnaire does not seek to identify all respondents or organisations (inviting personal responses without request for identification) and thereby appears to contravene the Regulation (albeit, perhaps, with good intention).</w:t>
            </w:r>
            <w:r w:rsidRPr="00D37AFE">
              <w:rPr>
                <w:rFonts w:ascii="Arial" w:hAnsi="Arial" w:cs="Arial"/>
                <w:bCs/>
                <w:sz w:val="24"/>
                <w:szCs w:val="24"/>
              </w:rPr>
              <w:br/>
            </w:r>
            <w:r w:rsidRPr="00D37AFE">
              <w:rPr>
                <w:rFonts w:ascii="Arial" w:hAnsi="Arial" w:cs="Arial"/>
                <w:bCs/>
                <w:sz w:val="24"/>
                <w:szCs w:val="24"/>
              </w:rPr>
              <w:br/>
              <w:t>Furthermore, the published consultation document does not indicate that it is a draft document and is dated October 2021 and is written as if it were/is the final version with any feedback received through the consultation period delivered in an appendix (Appendix K). The draft is in excess of 300 pages (in advance of any additional materials included in Appendix K) with, unfortunately, multiple elements of duplication (e.g. demographic data included in the respective Cluster headers). This appears to be an inappropriate manner in which to develop and deliver a document of such importance and whilst the purpose of the PNA is apparent, both the wider context and content have not been provided in a manner to support that purpose.</w:t>
            </w:r>
          </w:p>
        </w:tc>
      </w:tr>
      <w:tr w:rsidR="00320401" w:rsidRPr="00D37AFE" w14:paraId="627A872C" w14:textId="77777777" w:rsidTr="005670EB">
        <w:tc>
          <w:tcPr>
            <w:tcW w:w="0" w:type="auto"/>
            <w:shd w:val="clear" w:color="auto" w:fill="FFFFFF"/>
            <w:tcMar>
              <w:top w:w="75" w:type="dxa"/>
              <w:left w:w="75" w:type="dxa"/>
              <w:bottom w:w="75" w:type="dxa"/>
              <w:right w:w="75" w:type="dxa"/>
            </w:tcMar>
            <w:hideMark/>
          </w:tcPr>
          <w:p w14:paraId="19B57C9E" w14:textId="77777777" w:rsidR="00320401" w:rsidRPr="00D37AFE" w:rsidRDefault="00320401" w:rsidP="005670EB">
            <w:pPr>
              <w:spacing w:after="0" w:line="240" w:lineRule="auto"/>
              <w:contextualSpacing/>
              <w:rPr>
                <w:rFonts w:ascii="Arial" w:hAnsi="Arial" w:cs="Arial"/>
                <w:bCs/>
                <w:sz w:val="24"/>
                <w:szCs w:val="24"/>
              </w:rPr>
            </w:pPr>
          </w:p>
        </w:tc>
      </w:tr>
      <w:tr w:rsidR="00320401" w:rsidRPr="00D37AFE" w14:paraId="701253CA" w14:textId="77777777" w:rsidTr="005670EB">
        <w:tc>
          <w:tcPr>
            <w:tcW w:w="0" w:type="auto"/>
            <w:shd w:val="clear" w:color="auto" w:fill="FFFFFF"/>
            <w:tcMar>
              <w:top w:w="75" w:type="dxa"/>
              <w:left w:w="75" w:type="dxa"/>
              <w:bottom w:w="75" w:type="dxa"/>
              <w:right w:w="75" w:type="dxa"/>
            </w:tcMar>
            <w:hideMark/>
          </w:tcPr>
          <w:p w14:paraId="11A091A8" w14:textId="77777777" w:rsidR="00320401" w:rsidRPr="00D37AFE" w:rsidRDefault="00320401" w:rsidP="00320401">
            <w:pPr>
              <w:pStyle w:val="ListParagraph"/>
              <w:numPr>
                <w:ilvl w:val="0"/>
                <w:numId w:val="202"/>
              </w:numPr>
              <w:spacing w:after="0" w:line="240" w:lineRule="auto"/>
              <w:rPr>
                <w:rFonts w:ascii="Arial" w:hAnsi="Arial" w:cs="Arial"/>
                <w:bCs/>
                <w:sz w:val="24"/>
                <w:szCs w:val="24"/>
              </w:rPr>
            </w:pPr>
            <w:r w:rsidRPr="00D37AFE">
              <w:rPr>
                <w:rFonts w:ascii="Arial" w:hAnsi="Arial" w:cs="Arial"/>
                <w:bCs/>
                <w:sz w:val="24"/>
                <w:szCs w:val="24"/>
              </w:rPr>
              <w:t>CPW is aware of the purpose of a pharmaceutical needs assessment and feels this has been made clear in the PNA document. However, in the introduction 1.1 Purpose of the Pharmaceutical Needs Assessment it is stated:</w:t>
            </w:r>
          </w:p>
          <w:p w14:paraId="5800985F" w14:textId="77777777" w:rsidR="00320401" w:rsidRPr="00D37AFE" w:rsidRDefault="00320401" w:rsidP="005670EB">
            <w:pPr>
              <w:spacing w:after="0" w:line="240" w:lineRule="auto"/>
              <w:ind w:left="720"/>
              <w:contextualSpacing/>
              <w:rPr>
                <w:rFonts w:ascii="Arial" w:hAnsi="Arial" w:cs="Arial"/>
                <w:bCs/>
                <w:i/>
                <w:iCs/>
                <w:sz w:val="24"/>
                <w:szCs w:val="24"/>
              </w:rPr>
            </w:pPr>
            <w:r w:rsidRPr="00D37AFE">
              <w:rPr>
                <w:rFonts w:ascii="Arial" w:hAnsi="Arial" w:cs="Arial"/>
                <w:bCs/>
                <w:i/>
                <w:iCs/>
                <w:sz w:val="24"/>
                <w:szCs w:val="24"/>
              </w:rPr>
              <w:t xml:space="preserve"> “In general, their application must offer to meet a need that is set out in that health board’s PNA. There are however some exceptions to this e.g., change of ownership applications”.</w:t>
            </w:r>
          </w:p>
          <w:p w14:paraId="29E25326" w14:textId="77777777" w:rsidR="00320401" w:rsidRPr="00D37AFE" w:rsidRDefault="00320401" w:rsidP="005670EB">
            <w:pPr>
              <w:spacing w:after="0" w:line="240" w:lineRule="auto"/>
              <w:ind w:left="720"/>
              <w:contextualSpacing/>
              <w:rPr>
                <w:rFonts w:ascii="Arial" w:hAnsi="Arial" w:cs="Arial"/>
                <w:bCs/>
                <w:sz w:val="24"/>
                <w:szCs w:val="24"/>
              </w:rPr>
            </w:pPr>
          </w:p>
          <w:p w14:paraId="6A9C9C17" w14:textId="77777777" w:rsidR="00320401" w:rsidRPr="00D37AFE" w:rsidRDefault="00320401" w:rsidP="005670EB">
            <w:pPr>
              <w:spacing w:after="0" w:line="240" w:lineRule="auto"/>
              <w:ind w:left="720"/>
              <w:contextualSpacing/>
              <w:rPr>
                <w:rFonts w:ascii="Arial" w:hAnsi="Arial" w:cs="Arial"/>
                <w:bCs/>
                <w:sz w:val="24"/>
                <w:szCs w:val="24"/>
              </w:rPr>
            </w:pPr>
            <w:r w:rsidRPr="00D37AFE">
              <w:rPr>
                <w:rFonts w:ascii="Arial" w:hAnsi="Arial" w:cs="Arial"/>
                <w:bCs/>
                <w:sz w:val="24"/>
                <w:szCs w:val="24"/>
              </w:rPr>
              <w:t xml:space="preserve">The words “in general” could possibly be misinterpreted to mean there is an exceptional scenario that could allow someone to apply for a new pharmacy; similar to the Unforeseen Benefit in England, where even if a PNA does not </w:t>
            </w:r>
            <w:r w:rsidRPr="00D37AFE">
              <w:rPr>
                <w:rFonts w:ascii="Arial" w:hAnsi="Arial" w:cs="Arial"/>
                <w:bCs/>
                <w:sz w:val="24"/>
                <w:szCs w:val="24"/>
              </w:rPr>
              <w:lastRenderedPageBreak/>
              <w:t xml:space="preserve">identify a current or future need for a new pharmacy an application can be made to secure improvements or better access to services. </w:t>
            </w:r>
          </w:p>
          <w:p w14:paraId="151CFC8B" w14:textId="77777777" w:rsidR="00320401" w:rsidRPr="00D37AFE" w:rsidRDefault="00320401" w:rsidP="005670EB">
            <w:pPr>
              <w:spacing w:after="0" w:line="240" w:lineRule="auto"/>
              <w:ind w:left="720"/>
              <w:contextualSpacing/>
              <w:rPr>
                <w:rFonts w:ascii="Arial" w:hAnsi="Arial" w:cs="Arial"/>
                <w:bCs/>
                <w:sz w:val="24"/>
                <w:szCs w:val="24"/>
              </w:rPr>
            </w:pPr>
          </w:p>
          <w:p w14:paraId="14112057" w14:textId="77777777" w:rsidR="00320401" w:rsidRPr="00D37AFE" w:rsidRDefault="00320401" w:rsidP="005670EB">
            <w:pPr>
              <w:spacing w:after="0" w:line="240" w:lineRule="auto"/>
              <w:ind w:left="720"/>
              <w:contextualSpacing/>
              <w:rPr>
                <w:rFonts w:ascii="Arial" w:hAnsi="Arial" w:cs="Arial"/>
                <w:bCs/>
                <w:sz w:val="24"/>
                <w:szCs w:val="24"/>
              </w:rPr>
            </w:pPr>
            <w:r w:rsidRPr="00D37AFE">
              <w:rPr>
                <w:rFonts w:ascii="Arial" w:hAnsi="Arial" w:cs="Arial"/>
                <w:bCs/>
                <w:sz w:val="24"/>
                <w:szCs w:val="24"/>
              </w:rPr>
              <w:t>It may be beneficial early on to outline in this section all the types of application which are determined against the PNA to avoid any confusion.  Whereas change of ownership applications is mentioned relocations for business type reasons (e.g. lease has expired and need new premises) under Reg 15(1)9b) (ii) aren’t determined against PNA so it may be worth making this clear.</w:t>
            </w:r>
          </w:p>
        </w:tc>
      </w:tr>
    </w:tbl>
    <w:p w14:paraId="0A255057" w14:textId="77777777" w:rsidR="00320401" w:rsidRPr="00D37AFE" w:rsidRDefault="00320401" w:rsidP="00320401">
      <w:pPr>
        <w:spacing w:after="0" w:line="240" w:lineRule="auto"/>
        <w:contextualSpacing/>
        <w:rPr>
          <w:rFonts w:ascii="Arial" w:hAnsi="Arial" w:cs="Arial"/>
          <w:b/>
          <w:sz w:val="24"/>
          <w:szCs w:val="24"/>
        </w:rPr>
      </w:pPr>
    </w:p>
    <w:p w14:paraId="5487D912" w14:textId="77777777" w:rsidR="00320401" w:rsidRPr="00D37AFE" w:rsidRDefault="00320401" w:rsidP="00320401">
      <w:pPr>
        <w:spacing w:after="0" w:line="240" w:lineRule="auto"/>
        <w:contextualSpacing/>
        <w:rPr>
          <w:rFonts w:ascii="Arial" w:hAnsi="Arial" w:cs="Arial"/>
          <w:b/>
          <w:sz w:val="24"/>
          <w:szCs w:val="24"/>
        </w:rPr>
      </w:pPr>
    </w:p>
    <w:p w14:paraId="7A9F5B9B" w14:textId="77777777" w:rsidR="00320401" w:rsidRPr="00D37AFE" w:rsidRDefault="00320401" w:rsidP="00320401">
      <w:pPr>
        <w:spacing w:after="0" w:line="240" w:lineRule="auto"/>
        <w:rPr>
          <w:rFonts w:ascii="Arial" w:hAnsi="Arial" w:cs="Arial"/>
          <w:b/>
          <w:sz w:val="24"/>
          <w:szCs w:val="24"/>
        </w:rPr>
      </w:pPr>
      <w:bookmarkStart w:id="85" w:name="_Hlk79059222"/>
      <w:r w:rsidRPr="00D37AFE">
        <w:rPr>
          <w:rFonts w:ascii="Arial" w:hAnsi="Arial" w:cs="Arial"/>
          <w:b/>
          <w:sz w:val="24"/>
          <w:szCs w:val="24"/>
        </w:rPr>
        <w:t xml:space="preserve">Cardiff and Vale University Health Board’s consideration </w:t>
      </w:r>
    </w:p>
    <w:bookmarkEnd w:id="85"/>
    <w:p w14:paraId="4E8A41DE" w14:textId="77777777" w:rsidR="00320401" w:rsidRPr="00D37AFE" w:rsidRDefault="00320401" w:rsidP="00320401">
      <w:pPr>
        <w:spacing w:after="0" w:line="240" w:lineRule="auto"/>
        <w:rPr>
          <w:rFonts w:ascii="Arial" w:hAnsi="Arial" w:cs="Arial"/>
          <w:b/>
          <w:sz w:val="24"/>
          <w:szCs w:val="24"/>
        </w:rPr>
      </w:pPr>
    </w:p>
    <w:p w14:paraId="290DC588" w14:textId="77777777" w:rsidR="00320401" w:rsidRPr="00D37AFE" w:rsidRDefault="00320401" w:rsidP="00320401">
      <w:pPr>
        <w:spacing w:after="0" w:line="240" w:lineRule="auto"/>
        <w:rPr>
          <w:rFonts w:ascii="Arial" w:hAnsi="Arial" w:cs="Arial"/>
          <w:sz w:val="24"/>
          <w:szCs w:val="24"/>
        </w:rPr>
      </w:pPr>
      <w:r w:rsidRPr="00D37AFE">
        <w:rPr>
          <w:rFonts w:ascii="Arial" w:hAnsi="Arial" w:cs="Arial"/>
          <w:sz w:val="24"/>
          <w:szCs w:val="24"/>
        </w:rPr>
        <w:t>Nine positive responses were received to this question. Although one respondent replied ‘no’ to this question, they did acknowledge that “the purpose of the PNA is apparent”, as part of their comments.</w:t>
      </w:r>
    </w:p>
    <w:p w14:paraId="105FAAC1" w14:textId="77777777" w:rsidR="00320401" w:rsidRPr="00D37AFE" w:rsidRDefault="00320401" w:rsidP="00320401">
      <w:pPr>
        <w:spacing w:after="0" w:line="240" w:lineRule="auto"/>
        <w:rPr>
          <w:rFonts w:ascii="Arial" w:hAnsi="Arial" w:cs="Arial"/>
          <w:sz w:val="24"/>
          <w:szCs w:val="24"/>
        </w:rPr>
      </w:pPr>
    </w:p>
    <w:p w14:paraId="4126785E" w14:textId="77777777" w:rsidR="00320401" w:rsidRPr="00D37AFE" w:rsidRDefault="00320401" w:rsidP="00320401">
      <w:pPr>
        <w:pStyle w:val="ListParagraph"/>
        <w:numPr>
          <w:ilvl w:val="0"/>
          <w:numId w:val="215"/>
        </w:numPr>
        <w:spacing w:after="0" w:line="240" w:lineRule="auto"/>
        <w:rPr>
          <w:rFonts w:ascii="Arial" w:hAnsi="Arial" w:cs="Arial"/>
          <w:sz w:val="24"/>
          <w:szCs w:val="24"/>
        </w:rPr>
      </w:pPr>
      <w:r w:rsidRPr="00D37AFE">
        <w:rPr>
          <w:rFonts w:ascii="Arial" w:hAnsi="Arial" w:cs="Arial"/>
          <w:sz w:val="24"/>
          <w:szCs w:val="24"/>
        </w:rPr>
        <w:t>In response to the comments raised around the regulatory requirements and the length of the draft PNA:</w:t>
      </w:r>
    </w:p>
    <w:p w14:paraId="7BE48835" w14:textId="77777777" w:rsidR="00320401" w:rsidRPr="00D37AFE" w:rsidRDefault="00320401" w:rsidP="00320401">
      <w:pPr>
        <w:pStyle w:val="ListParagraph"/>
        <w:spacing w:after="0" w:line="240" w:lineRule="auto"/>
        <w:ind w:left="360"/>
        <w:rPr>
          <w:rFonts w:ascii="Arial" w:hAnsi="Arial" w:cs="Arial"/>
          <w:sz w:val="24"/>
          <w:szCs w:val="24"/>
        </w:rPr>
      </w:pPr>
    </w:p>
    <w:p w14:paraId="094A6633" w14:textId="77777777" w:rsidR="00320401" w:rsidRPr="00D37AFE" w:rsidRDefault="00320401" w:rsidP="00320401">
      <w:pPr>
        <w:pStyle w:val="ListParagraph"/>
        <w:numPr>
          <w:ilvl w:val="0"/>
          <w:numId w:val="212"/>
        </w:numPr>
        <w:spacing w:after="0" w:line="240" w:lineRule="auto"/>
        <w:rPr>
          <w:rFonts w:ascii="Arial" w:hAnsi="Arial" w:cs="Arial"/>
          <w:sz w:val="24"/>
          <w:szCs w:val="24"/>
        </w:rPr>
      </w:pPr>
      <w:r w:rsidRPr="00D37AFE">
        <w:rPr>
          <w:rFonts w:ascii="Arial" w:hAnsi="Arial" w:cs="Arial"/>
          <w:sz w:val="24"/>
          <w:szCs w:val="24"/>
        </w:rPr>
        <w:t>Statutory consultees, identified under regulation 7 of the NHS (Pharmaceutical Services) (Wales) Regulations 2020, were contacted by email to advise them of the draft PNA and consultation period as outlined in section 2 above. The covering email set out the correct 2020 Regulations, which were outlined in the draft PNA.</w:t>
      </w:r>
    </w:p>
    <w:p w14:paraId="063F5945" w14:textId="77777777" w:rsidR="00320401" w:rsidRPr="00D37AFE" w:rsidRDefault="00320401" w:rsidP="00320401">
      <w:pPr>
        <w:spacing w:after="0" w:line="240" w:lineRule="auto"/>
        <w:rPr>
          <w:rFonts w:ascii="Arial" w:hAnsi="Arial" w:cs="Arial"/>
          <w:sz w:val="24"/>
          <w:szCs w:val="24"/>
        </w:rPr>
      </w:pPr>
    </w:p>
    <w:p w14:paraId="47505C05" w14:textId="77777777" w:rsidR="00320401" w:rsidRPr="00D37AFE" w:rsidRDefault="00320401" w:rsidP="00320401">
      <w:pPr>
        <w:pStyle w:val="ListParagraph"/>
        <w:numPr>
          <w:ilvl w:val="0"/>
          <w:numId w:val="212"/>
        </w:numPr>
        <w:spacing w:after="0" w:line="240" w:lineRule="auto"/>
        <w:rPr>
          <w:rFonts w:ascii="Arial" w:hAnsi="Arial" w:cs="Arial"/>
          <w:sz w:val="24"/>
          <w:szCs w:val="24"/>
        </w:rPr>
      </w:pPr>
      <w:r w:rsidRPr="00D37AFE">
        <w:rPr>
          <w:rFonts w:ascii="Arial" w:hAnsi="Arial" w:cs="Arial"/>
          <w:sz w:val="24"/>
          <w:szCs w:val="24"/>
        </w:rPr>
        <w:t xml:space="preserve">The PNA contains the necessary information to meet the statutory requirements and to serve its complex purposes. As a result, the PNA is a lengthy document due to the breadth and level of detail provided. </w:t>
      </w:r>
    </w:p>
    <w:p w14:paraId="70E70F3E" w14:textId="77777777" w:rsidR="00320401" w:rsidRPr="00D37AFE" w:rsidRDefault="00320401" w:rsidP="00320401">
      <w:pPr>
        <w:spacing w:after="0" w:line="240" w:lineRule="auto"/>
        <w:rPr>
          <w:rFonts w:ascii="Arial" w:hAnsi="Arial" w:cs="Arial"/>
          <w:sz w:val="24"/>
          <w:szCs w:val="24"/>
        </w:rPr>
      </w:pPr>
    </w:p>
    <w:p w14:paraId="6B40BF26" w14:textId="77777777" w:rsidR="00320401" w:rsidRPr="00D37AFE" w:rsidRDefault="00320401" w:rsidP="00320401">
      <w:pPr>
        <w:pStyle w:val="ListParagraph"/>
        <w:numPr>
          <w:ilvl w:val="0"/>
          <w:numId w:val="200"/>
        </w:numPr>
        <w:spacing w:after="0" w:line="240" w:lineRule="auto"/>
        <w:rPr>
          <w:rFonts w:ascii="Arial" w:hAnsi="Arial" w:cs="Arial"/>
          <w:sz w:val="24"/>
          <w:szCs w:val="24"/>
        </w:rPr>
      </w:pPr>
      <w:r w:rsidRPr="00D37AFE">
        <w:rPr>
          <w:rFonts w:ascii="Arial" w:hAnsi="Arial" w:cs="Arial"/>
          <w:sz w:val="24"/>
          <w:szCs w:val="24"/>
        </w:rPr>
        <w:t xml:space="preserve">As the words “in general” have been highlighted as having the potential of being misinterpreted, this has been removed from section 1.1 as suggested. </w:t>
      </w:r>
    </w:p>
    <w:p w14:paraId="2DF1F7F0" w14:textId="77777777" w:rsidR="00320401" w:rsidRPr="00D37AFE" w:rsidRDefault="00320401" w:rsidP="00320401">
      <w:pPr>
        <w:spacing w:after="0" w:line="240" w:lineRule="auto"/>
        <w:rPr>
          <w:rFonts w:ascii="Arial" w:hAnsi="Arial" w:cs="Arial"/>
          <w:sz w:val="24"/>
          <w:szCs w:val="24"/>
        </w:rPr>
      </w:pPr>
    </w:p>
    <w:p w14:paraId="36C171A7" w14:textId="77777777" w:rsidR="00320401" w:rsidRPr="00D37AFE" w:rsidRDefault="00320401" w:rsidP="00320401">
      <w:pPr>
        <w:spacing w:after="0" w:line="240" w:lineRule="auto"/>
        <w:ind w:left="360"/>
        <w:rPr>
          <w:rFonts w:ascii="Arial" w:hAnsi="Arial" w:cs="Arial"/>
          <w:color w:val="FF0000"/>
          <w:sz w:val="24"/>
          <w:szCs w:val="24"/>
        </w:rPr>
      </w:pPr>
      <w:r w:rsidRPr="00D37AFE">
        <w:rPr>
          <w:rFonts w:ascii="Arial" w:hAnsi="Arial" w:cs="Arial"/>
          <w:color w:val="000000"/>
          <w:sz w:val="24"/>
          <w:szCs w:val="24"/>
          <w:shd w:val="clear" w:color="auto" w:fill="FFFFFF"/>
        </w:rPr>
        <w:t xml:space="preserve">The Regulations are clear as to applications determined having regard to the PNA, and which have specific regulatory tests. </w:t>
      </w:r>
    </w:p>
    <w:p w14:paraId="3631E7BD" w14:textId="77777777" w:rsidR="00320401" w:rsidRPr="00D37AFE" w:rsidRDefault="00320401" w:rsidP="00320401">
      <w:pPr>
        <w:spacing w:after="0" w:line="240" w:lineRule="auto"/>
        <w:rPr>
          <w:rFonts w:ascii="Arial" w:hAnsi="Arial" w:cs="Arial"/>
          <w:b/>
          <w:sz w:val="24"/>
          <w:szCs w:val="24"/>
        </w:rPr>
      </w:pPr>
    </w:p>
    <w:p w14:paraId="33940FDC" w14:textId="77777777" w:rsidR="00320401" w:rsidRPr="00D37AFE" w:rsidRDefault="00320401" w:rsidP="00320401">
      <w:pPr>
        <w:spacing w:after="0" w:line="240" w:lineRule="auto"/>
        <w:rPr>
          <w:rFonts w:ascii="Arial" w:hAnsi="Arial" w:cs="Arial"/>
          <w:b/>
          <w:sz w:val="24"/>
          <w:szCs w:val="24"/>
        </w:rPr>
      </w:pPr>
    </w:p>
    <w:p w14:paraId="5231285D" w14:textId="77777777" w:rsidR="00320401" w:rsidRPr="00D37AFE" w:rsidRDefault="00320401" w:rsidP="00320401">
      <w:pPr>
        <w:spacing w:after="0" w:line="240" w:lineRule="auto"/>
        <w:rPr>
          <w:rFonts w:ascii="Arial" w:hAnsi="Arial" w:cs="Arial"/>
          <w:b/>
          <w:sz w:val="24"/>
          <w:szCs w:val="24"/>
        </w:rPr>
      </w:pPr>
      <w:r w:rsidRPr="00D37AFE">
        <w:rPr>
          <w:rFonts w:ascii="Arial" w:hAnsi="Arial" w:cs="Arial"/>
          <w:b/>
          <w:sz w:val="24"/>
          <w:szCs w:val="24"/>
        </w:rPr>
        <w:t>Q2. Does the pharmaceutical needs assessment reflect the current provision of pharmaceutical services within your area?</w:t>
      </w:r>
    </w:p>
    <w:p w14:paraId="42E64F87" w14:textId="77777777" w:rsidR="00320401" w:rsidRPr="00D37AFE" w:rsidRDefault="00320401" w:rsidP="00320401">
      <w:pPr>
        <w:spacing w:after="0" w:line="240" w:lineRule="auto"/>
        <w:contextualSpacing/>
        <w:rPr>
          <w:rFonts w:ascii="Arial" w:hAnsi="Arial" w:cs="Arial"/>
          <w:b/>
          <w:sz w:val="24"/>
          <w:szCs w:val="24"/>
        </w:rPr>
      </w:pPr>
    </w:p>
    <w:tbl>
      <w:tblPr>
        <w:tblW w:w="8822" w:type="dxa"/>
        <w:tblLook w:val="04A0" w:firstRow="1" w:lastRow="0" w:firstColumn="1" w:lastColumn="0" w:noHBand="0" w:noVBand="1"/>
      </w:tblPr>
      <w:tblGrid>
        <w:gridCol w:w="1447"/>
        <w:gridCol w:w="2610"/>
        <w:gridCol w:w="1734"/>
        <w:gridCol w:w="1840"/>
        <w:gridCol w:w="1191"/>
      </w:tblGrid>
      <w:tr w:rsidR="00320401" w:rsidRPr="00D37AFE" w14:paraId="7EF90E0B" w14:textId="77777777" w:rsidTr="005670EB">
        <w:trPr>
          <w:trHeight w:val="259"/>
        </w:trPr>
        <w:tc>
          <w:tcPr>
            <w:tcW w:w="5791" w:type="dxa"/>
            <w:gridSpan w:val="3"/>
            <w:tcBorders>
              <w:top w:val="single" w:sz="4" w:space="0" w:color="A6A6A6"/>
              <w:left w:val="single" w:sz="4" w:space="0" w:color="A6A6A6"/>
              <w:bottom w:val="single" w:sz="4" w:space="0" w:color="A6A6A6"/>
              <w:right w:val="nil"/>
            </w:tcBorders>
            <w:shd w:val="clear" w:color="auto" w:fill="548DD4" w:themeFill="text2" w:themeFillTint="99"/>
            <w:noWrap/>
            <w:vAlign w:val="center"/>
            <w:hideMark/>
          </w:tcPr>
          <w:p w14:paraId="1885BC6C"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31" w:type="dxa"/>
            <w:gridSpan w:val="2"/>
            <w:tcBorders>
              <w:top w:val="single" w:sz="4" w:space="0" w:color="A6A6A6"/>
              <w:left w:val="nil"/>
              <w:bottom w:val="single" w:sz="4" w:space="0" w:color="A6A6A6"/>
              <w:right w:val="single" w:sz="4" w:space="0" w:color="A6A6A6"/>
            </w:tcBorders>
            <w:shd w:val="clear" w:color="auto" w:fill="548DD4" w:themeFill="text2" w:themeFillTint="99"/>
            <w:noWrap/>
            <w:vAlign w:val="center"/>
            <w:hideMark/>
          </w:tcPr>
          <w:p w14:paraId="5D9A2E8F"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320401" w:rsidRPr="00D37AFE" w14:paraId="1294BF94" w14:textId="77777777" w:rsidTr="005670EB">
        <w:trPr>
          <w:trHeight w:val="259"/>
        </w:trPr>
        <w:tc>
          <w:tcPr>
            <w:tcW w:w="5791"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339CC3FE"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40" w:type="dxa"/>
            <w:tcBorders>
              <w:top w:val="nil"/>
              <w:left w:val="nil"/>
              <w:bottom w:val="single" w:sz="4" w:space="0" w:color="A6A6A6"/>
              <w:right w:val="single" w:sz="4" w:space="0" w:color="A6A6A6"/>
            </w:tcBorders>
            <w:shd w:val="clear" w:color="000000" w:fill="F2F2F2"/>
            <w:noWrap/>
            <w:vAlign w:val="center"/>
            <w:hideMark/>
          </w:tcPr>
          <w:p w14:paraId="2017B4D4"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191" w:type="dxa"/>
            <w:tcBorders>
              <w:top w:val="nil"/>
              <w:left w:val="nil"/>
              <w:bottom w:val="single" w:sz="4" w:space="0" w:color="A6A6A6"/>
              <w:right w:val="single" w:sz="4" w:space="0" w:color="A6A6A6"/>
            </w:tcBorders>
            <w:shd w:val="clear" w:color="000000" w:fill="F2F2F2"/>
            <w:noWrap/>
            <w:vAlign w:val="center"/>
            <w:hideMark/>
          </w:tcPr>
          <w:p w14:paraId="4880DC6B"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320401" w:rsidRPr="00D37AFE" w14:paraId="5C369A49" w14:textId="77777777" w:rsidTr="005670EB">
        <w:trPr>
          <w:trHeight w:val="259"/>
        </w:trPr>
        <w:tc>
          <w:tcPr>
            <w:tcW w:w="1447" w:type="dxa"/>
            <w:tcBorders>
              <w:top w:val="nil"/>
              <w:left w:val="single" w:sz="4" w:space="0" w:color="A6A6A6"/>
              <w:bottom w:val="single" w:sz="4" w:space="0" w:color="A6A6A6"/>
              <w:right w:val="single" w:sz="4" w:space="0" w:color="A6A6A6"/>
            </w:tcBorders>
            <w:shd w:val="clear" w:color="000000" w:fill="F2F2F2"/>
            <w:vAlign w:val="center"/>
            <w:hideMark/>
          </w:tcPr>
          <w:p w14:paraId="6F8647E9"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43" w:type="dxa"/>
            <w:gridSpan w:val="2"/>
            <w:tcBorders>
              <w:top w:val="single" w:sz="4" w:space="0" w:color="A6A6A6"/>
              <w:left w:val="nil"/>
              <w:bottom w:val="single" w:sz="4" w:space="0" w:color="A6A6A6"/>
              <w:right w:val="single" w:sz="4" w:space="0" w:color="A6A6A6"/>
            </w:tcBorders>
            <w:shd w:val="clear" w:color="auto" w:fill="auto"/>
            <w:vAlign w:val="center"/>
            <w:hideMark/>
          </w:tcPr>
          <w:p w14:paraId="0D81A9DD"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40" w:type="dxa"/>
            <w:tcBorders>
              <w:top w:val="nil"/>
              <w:left w:val="nil"/>
              <w:bottom w:val="single" w:sz="4" w:space="0" w:color="A6A6A6"/>
              <w:right w:val="single" w:sz="4" w:space="0" w:color="A6A6A6"/>
            </w:tcBorders>
            <w:shd w:val="clear" w:color="000000" w:fill="F2F2F2"/>
            <w:noWrap/>
            <w:vAlign w:val="bottom"/>
            <w:hideMark/>
          </w:tcPr>
          <w:p w14:paraId="425E2C45"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40.00%</w:t>
            </w:r>
          </w:p>
        </w:tc>
        <w:tc>
          <w:tcPr>
            <w:tcW w:w="1191" w:type="dxa"/>
            <w:tcBorders>
              <w:top w:val="nil"/>
              <w:left w:val="nil"/>
              <w:bottom w:val="single" w:sz="4" w:space="0" w:color="A6A6A6"/>
              <w:right w:val="single" w:sz="4" w:space="0" w:color="A6A6A6"/>
            </w:tcBorders>
            <w:shd w:val="clear" w:color="000000" w:fill="F2F2F2"/>
            <w:noWrap/>
            <w:vAlign w:val="bottom"/>
            <w:hideMark/>
          </w:tcPr>
          <w:p w14:paraId="31D53A9E"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320401" w:rsidRPr="00D37AFE" w14:paraId="6E7E472A" w14:textId="77777777" w:rsidTr="005670EB">
        <w:trPr>
          <w:trHeight w:val="259"/>
        </w:trPr>
        <w:tc>
          <w:tcPr>
            <w:tcW w:w="1447" w:type="dxa"/>
            <w:tcBorders>
              <w:top w:val="nil"/>
              <w:left w:val="single" w:sz="4" w:space="0" w:color="A6A6A6"/>
              <w:bottom w:val="single" w:sz="4" w:space="0" w:color="A6A6A6"/>
              <w:right w:val="single" w:sz="4" w:space="0" w:color="A6A6A6"/>
            </w:tcBorders>
            <w:shd w:val="clear" w:color="000000" w:fill="F2F2F2"/>
            <w:vAlign w:val="center"/>
            <w:hideMark/>
          </w:tcPr>
          <w:p w14:paraId="35C9C906"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43" w:type="dxa"/>
            <w:gridSpan w:val="2"/>
            <w:tcBorders>
              <w:top w:val="single" w:sz="4" w:space="0" w:color="A6A6A6"/>
              <w:left w:val="nil"/>
              <w:bottom w:val="single" w:sz="4" w:space="0" w:color="A6A6A6"/>
              <w:right w:val="single" w:sz="4" w:space="0" w:color="A6A6A6"/>
            </w:tcBorders>
            <w:shd w:val="clear" w:color="auto" w:fill="auto"/>
            <w:vAlign w:val="center"/>
            <w:hideMark/>
          </w:tcPr>
          <w:p w14:paraId="1931B13E"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40" w:type="dxa"/>
            <w:tcBorders>
              <w:top w:val="nil"/>
              <w:left w:val="nil"/>
              <w:bottom w:val="single" w:sz="4" w:space="0" w:color="A6A6A6"/>
              <w:right w:val="single" w:sz="4" w:space="0" w:color="A6A6A6"/>
            </w:tcBorders>
            <w:shd w:val="clear" w:color="000000" w:fill="F2F2F2"/>
            <w:noWrap/>
            <w:vAlign w:val="bottom"/>
            <w:hideMark/>
          </w:tcPr>
          <w:p w14:paraId="226944A2"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40.00%</w:t>
            </w:r>
          </w:p>
        </w:tc>
        <w:tc>
          <w:tcPr>
            <w:tcW w:w="1191" w:type="dxa"/>
            <w:tcBorders>
              <w:top w:val="nil"/>
              <w:left w:val="nil"/>
              <w:bottom w:val="single" w:sz="4" w:space="0" w:color="A6A6A6"/>
              <w:right w:val="single" w:sz="4" w:space="0" w:color="A6A6A6"/>
            </w:tcBorders>
            <w:shd w:val="clear" w:color="000000" w:fill="F2F2F2"/>
            <w:noWrap/>
            <w:vAlign w:val="bottom"/>
            <w:hideMark/>
          </w:tcPr>
          <w:p w14:paraId="3B7ABBAA"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320401" w:rsidRPr="00D37AFE" w14:paraId="3016A430" w14:textId="77777777" w:rsidTr="005670EB">
        <w:trPr>
          <w:trHeight w:val="259"/>
        </w:trPr>
        <w:tc>
          <w:tcPr>
            <w:tcW w:w="1447" w:type="dxa"/>
            <w:tcBorders>
              <w:top w:val="nil"/>
              <w:left w:val="single" w:sz="4" w:space="0" w:color="A6A6A6"/>
              <w:bottom w:val="single" w:sz="4" w:space="0" w:color="A6A6A6"/>
              <w:right w:val="single" w:sz="4" w:space="0" w:color="A6A6A6"/>
            </w:tcBorders>
            <w:shd w:val="clear" w:color="000000" w:fill="F2F2F2"/>
            <w:vAlign w:val="center"/>
            <w:hideMark/>
          </w:tcPr>
          <w:p w14:paraId="7D7D115D"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43" w:type="dxa"/>
            <w:gridSpan w:val="2"/>
            <w:tcBorders>
              <w:top w:val="single" w:sz="4" w:space="0" w:color="A6A6A6"/>
              <w:left w:val="nil"/>
              <w:bottom w:val="single" w:sz="4" w:space="0" w:color="A6A6A6"/>
              <w:right w:val="single" w:sz="4" w:space="0" w:color="A6A6A6"/>
            </w:tcBorders>
            <w:shd w:val="clear" w:color="auto" w:fill="auto"/>
            <w:vAlign w:val="center"/>
            <w:hideMark/>
          </w:tcPr>
          <w:p w14:paraId="42100769"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40" w:type="dxa"/>
            <w:tcBorders>
              <w:top w:val="nil"/>
              <w:left w:val="nil"/>
              <w:bottom w:val="single" w:sz="4" w:space="0" w:color="A6A6A6"/>
              <w:right w:val="single" w:sz="4" w:space="0" w:color="A6A6A6"/>
            </w:tcBorders>
            <w:shd w:val="clear" w:color="000000" w:fill="F2F2F2"/>
            <w:noWrap/>
            <w:vAlign w:val="bottom"/>
            <w:hideMark/>
          </w:tcPr>
          <w:p w14:paraId="7BF90CE6"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20.00%</w:t>
            </w:r>
          </w:p>
        </w:tc>
        <w:tc>
          <w:tcPr>
            <w:tcW w:w="1191" w:type="dxa"/>
            <w:tcBorders>
              <w:top w:val="nil"/>
              <w:left w:val="nil"/>
              <w:bottom w:val="single" w:sz="4" w:space="0" w:color="A6A6A6"/>
              <w:right w:val="single" w:sz="4" w:space="0" w:color="A6A6A6"/>
            </w:tcBorders>
            <w:shd w:val="clear" w:color="000000" w:fill="F2F2F2"/>
            <w:noWrap/>
            <w:vAlign w:val="bottom"/>
            <w:hideMark/>
          </w:tcPr>
          <w:p w14:paraId="1C70D7E1"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r>
      <w:tr w:rsidR="00320401" w:rsidRPr="00D37AFE" w14:paraId="2B378E64" w14:textId="77777777" w:rsidTr="005670EB">
        <w:trPr>
          <w:trHeight w:val="259"/>
        </w:trPr>
        <w:tc>
          <w:tcPr>
            <w:tcW w:w="4057"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6FA589EB"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34" w:type="dxa"/>
            <w:tcBorders>
              <w:top w:val="nil"/>
              <w:left w:val="nil"/>
              <w:bottom w:val="single" w:sz="4" w:space="0" w:color="A6A6A6"/>
              <w:right w:val="single" w:sz="4" w:space="0" w:color="A6A6A6"/>
            </w:tcBorders>
            <w:shd w:val="clear" w:color="000000" w:fill="F2F2F2"/>
            <w:vAlign w:val="center"/>
            <w:hideMark/>
          </w:tcPr>
          <w:p w14:paraId="3CA8FD53"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40" w:type="dxa"/>
            <w:tcBorders>
              <w:top w:val="nil"/>
              <w:left w:val="nil"/>
              <w:bottom w:val="single" w:sz="4" w:space="0" w:color="A6A6A6"/>
              <w:right w:val="single" w:sz="4" w:space="0" w:color="A6A6A6"/>
            </w:tcBorders>
            <w:shd w:val="clear" w:color="000000" w:fill="F2F2F2"/>
            <w:noWrap/>
            <w:vAlign w:val="bottom"/>
            <w:hideMark/>
          </w:tcPr>
          <w:p w14:paraId="3A0B23DB"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191" w:type="dxa"/>
            <w:tcBorders>
              <w:top w:val="nil"/>
              <w:left w:val="nil"/>
              <w:bottom w:val="single" w:sz="4" w:space="0" w:color="A6A6A6"/>
              <w:right w:val="single" w:sz="4" w:space="0" w:color="A6A6A6"/>
            </w:tcBorders>
            <w:shd w:val="clear" w:color="000000" w:fill="F2F2F2"/>
            <w:noWrap/>
            <w:vAlign w:val="bottom"/>
            <w:hideMark/>
          </w:tcPr>
          <w:p w14:paraId="586B6611"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w:t>
            </w:r>
          </w:p>
        </w:tc>
      </w:tr>
      <w:tr w:rsidR="00320401" w:rsidRPr="00D37AFE" w14:paraId="04394BC7" w14:textId="77777777" w:rsidTr="005670EB">
        <w:trPr>
          <w:trHeight w:val="259"/>
        </w:trPr>
        <w:tc>
          <w:tcPr>
            <w:tcW w:w="4057" w:type="dxa"/>
            <w:gridSpan w:val="2"/>
            <w:vMerge/>
            <w:tcBorders>
              <w:top w:val="single" w:sz="4" w:space="0" w:color="A6A6A6"/>
              <w:left w:val="single" w:sz="4" w:space="0" w:color="A6A6A6"/>
              <w:bottom w:val="single" w:sz="4" w:space="0" w:color="A6A6A6"/>
              <w:right w:val="single" w:sz="4" w:space="0" w:color="A6A6A6"/>
            </w:tcBorders>
            <w:shd w:val="clear" w:color="000000" w:fill="F2F2F2"/>
          </w:tcPr>
          <w:p w14:paraId="0D5E619B"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p>
        </w:tc>
        <w:tc>
          <w:tcPr>
            <w:tcW w:w="1734" w:type="dxa"/>
            <w:tcBorders>
              <w:top w:val="nil"/>
              <w:left w:val="nil"/>
              <w:bottom w:val="single" w:sz="4" w:space="0" w:color="A6A6A6"/>
              <w:right w:val="single" w:sz="4" w:space="0" w:color="A6A6A6"/>
            </w:tcBorders>
            <w:shd w:val="clear" w:color="000000" w:fill="F2F2F2"/>
            <w:vAlign w:val="center"/>
          </w:tcPr>
          <w:p w14:paraId="78D33186"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p>
        </w:tc>
        <w:tc>
          <w:tcPr>
            <w:tcW w:w="1840" w:type="dxa"/>
            <w:tcBorders>
              <w:top w:val="nil"/>
              <w:left w:val="nil"/>
              <w:bottom w:val="single" w:sz="4" w:space="0" w:color="A6A6A6"/>
              <w:right w:val="single" w:sz="4" w:space="0" w:color="A6A6A6"/>
            </w:tcBorders>
            <w:shd w:val="clear" w:color="000000" w:fill="F2F2F2"/>
            <w:noWrap/>
            <w:vAlign w:val="bottom"/>
          </w:tcPr>
          <w:p w14:paraId="591FE70D"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p>
        </w:tc>
        <w:tc>
          <w:tcPr>
            <w:tcW w:w="1191" w:type="dxa"/>
            <w:tcBorders>
              <w:top w:val="nil"/>
              <w:left w:val="nil"/>
              <w:bottom w:val="single" w:sz="4" w:space="0" w:color="A6A6A6"/>
              <w:right w:val="single" w:sz="4" w:space="0" w:color="A6A6A6"/>
            </w:tcBorders>
            <w:shd w:val="clear" w:color="000000" w:fill="F2F2F2"/>
            <w:noWrap/>
            <w:vAlign w:val="bottom"/>
          </w:tcPr>
          <w:p w14:paraId="37EFC3DA"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p>
        </w:tc>
      </w:tr>
      <w:tr w:rsidR="00320401" w:rsidRPr="00D37AFE" w14:paraId="5E7C0EA3" w14:textId="77777777" w:rsidTr="005670EB">
        <w:trPr>
          <w:trHeight w:val="259"/>
        </w:trPr>
        <w:tc>
          <w:tcPr>
            <w:tcW w:w="4057" w:type="dxa"/>
            <w:gridSpan w:val="2"/>
            <w:vMerge/>
            <w:tcBorders>
              <w:top w:val="single" w:sz="4" w:space="0" w:color="A6A6A6"/>
              <w:left w:val="single" w:sz="4" w:space="0" w:color="A6A6A6"/>
              <w:bottom w:val="single" w:sz="4" w:space="0" w:color="A6A6A6"/>
              <w:right w:val="single" w:sz="4" w:space="0" w:color="A6A6A6"/>
            </w:tcBorders>
            <w:vAlign w:val="center"/>
            <w:hideMark/>
          </w:tcPr>
          <w:p w14:paraId="251CD302" w14:textId="77777777" w:rsidR="00320401" w:rsidRPr="00D37AFE" w:rsidRDefault="00320401" w:rsidP="005670EB">
            <w:pPr>
              <w:spacing w:after="0" w:line="240" w:lineRule="auto"/>
              <w:rPr>
                <w:rFonts w:ascii="Arial" w:eastAsia="Times New Roman" w:hAnsi="Arial" w:cs="Arial"/>
                <w:b/>
                <w:bCs/>
                <w:color w:val="000000"/>
                <w:sz w:val="24"/>
                <w:szCs w:val="24"/>
                <w:lang w:eastAsia="en-GB"/>
              </w:rPr>
            </w:pPr>
          </w:p>
        </w:tc>
        <w:tc>
          <w:tcPr>
            <w:tcW w:w="1734" w:type="dxa"/>
            <w:tcBorders>
              <w:top w:val="nil"/>
              <w:left w:val="nil"/>
              <w:bottom w:val="single" w:sz="4" w:space="0" w:color="A6A6A6"/>
              <w:right w:val="single" w:sz="4" w:space="0" w:color="A6A6A6"/>
            </w:tcBorders>
            <w:shd w:val="clear" w:color="000000" w:fill="F2F2F2"/>
            <w:vAlign w:val="center"/>
            <w:hideMark/>
          </w:tcPr>
          <w:p w14:paraId="5DD7B2AA"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40" w:type="dxa"/>
            <w:tcBorders>
              <w:top w:val="nil"/>
              <w:left w:val="nil"/>
              <w:bottom w:val="single" w:sz="4" w:space="0" w:color="A6A6A6"/>
              <w:right w:val="single" w:sz="4" w:space="0" w:color="A6A6A6"/>
            </w:tcBorders>
            <w:shd w:val="clear" w:color="000000" w:fill="F2F2F2"/>
            <w:noWrap/>
            <w:vAlign w:val="bottom"/>
            <w:hideMark/>
          </w:tcPr>
          <w:p w14:paraId="36EE13C7"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191" w:type="dxa"/>
            <w:tcBorders>
              <w:top w:val="nil"/>
              <w:left w:val="nil"/>
              <w:bottom w:val="single" w:sz="4" w:space="0" w:color="A6A6A6"/>
              <w:right w:val="single" w:sz="4" w:space="0" w:color="A6A6A6"/>
            </w:tcBorders>
            <w:shd w:val="clear" w:color="000000" w:fill="F2F2F2"/>
            <w:noWrap/>
            <w:vAlign w:val="bottom"/>
            <w:hideMark/>
          </w:tcPr>
          <w:p w14:paraId="667981F9"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w:t>
            </w:r>
          </w:p>
        </w:tc>
      </w:tr>
    </w:tbl>
    <w:p w14:paraId="584A739B" w14:textId="77777777" w:rsidR="00320401" w:rsidRPr="00D37AFE" w:rsidRDefault="00320401" w:rsidP="00320401">
      <w:pPr>
        <w:spacing w:after="0" w:line="240" w:lineRule="auto"/>
        <w:contextualSpacing/>
        <w:rPr>
          <w:rFonts w:ascii="Arial" w:hAnsi="Arial" w:cs="Arial"/>
          <w:b/>
          <w:sz w:val="24"/>
          <w:szCs w:val="24"/>
        </w:rPr>
      </w:pPr>
    </w:p>
    <w:p w14:paraId="639849E8" w14:textId="77777777" w:rsidR="00320401" w:rsidRDefault="00320401" w:rsidP="00320401">
      <w:pPr>
        <w:spacing w:after="0" w:line="240" w:lineRule="auto"/>
        <w:contextualSpacing/>
        <w:rPr>
          <w:rFonts w:ascii="Arial" w:hAnsi="Arial" w:cs="Arial"/>
          <w:b/>
          <w:sz w:val="24"/>
          <w:szCs w:val="24"/>
        </w:rPr>
      </w:pPr>
    </w:p>
    <w:p w14:paraId="64582345" w14:textId="77777777" w:rsidR="00320401" w:rsidRPr="00D37AFE" w:rsidRDefault="00320401" w:rsidP="00320401">
      <w:pPr>
        <w:spacing w:after="0" w:line="240" w:lineRule="auto"/>
        <w:contextualSpacing/>
        <w:rPr>
          <w:rFonts w:ascii="Arial" w:hAnsi="Arial" w:cs="Arial"/>
          <w:b/>
          <w:sz w:val="24"/>
          <w:szCs w:val="24"/>
        </w:rPr>
      </w:pPr>
      <w:r w:rsidRPr="00D37AFE">
        <w:rPr>
          <w:rFonts w:ascii="Arial" w:hAnsi="Arial" w:cs="Arial"/>
          <w:b/>
          <w:sz w:val="24"/>
          <w:szCs w:val="24"/>
        </w:rPr>
        <w:t>Comments</w:t>
      </w:r>
    </w:p>
    <w:p w14:paraId="244DEDAD" w14:textId="77777777" w:rsidR="00320401" w:rsidRPr="00D37AFE" w:rsidRDefault="00320401" w:rsidP="00320401">
      <w:pPr>
        <w:spacing w:after="0" w:line="240" w:lineRule="auto"/>
        <w:contextualSpacing/>
        <w:rPr>
          <w:rFonts w:ascii="Arial" w:hAnsi="Arial" w:cs="Arial"/>
          <w:b/>
          <w:sz w:val="24"/>
          <w:szCs w:val="24"/>
        </w:rPr>
      </w:pPr>
    </w:p>
    <w:tbl>
      <w:tblPr>
        <w:tblW w:w="5000" w:type="pct"/>
        <w:tblInd w:w="-75" w:type="dxa"/>
        <w:tblCellMar>
          <w:top w:w="15" w:type="dxa"/>
          <w:left w:w="15" w:type="dxa"/>
          <w:bottom w:w="15" w:type="dxa"/>
          <w:right w:w="15" w:type="dxa"/>
        </w:tblCellMar>
        <w:tblLook w:val="04A0" w:firstRow="1" w:lastRow="0" w:firstColumn="1" w:lastColumn="0" w:noHBand="0" w:noVBand="1"/>
      </w:tblPr>
      <w:tblGrid>
        <w:gridCol w:w="9026"/>
      </w:tblGrid>
      <w:tr w:rsidR="00320401" w:rsidRPr="00D37AFE" w14:paraId="147BC39D" w14:textId="77777777" w:rsidTr="005670EB">
        <w:tc>
          <w:tcPr>
            <w:tcW w:w="0" w:type="auto"/>
            <w:shd w:val="clear" w:color="auto" w:fill="FFFFFF"/>
            <w:tcMar>
              <w:top w:w="75" w:type="dxa"/>
              <w:left w:w="75" w:type="dxa"/>
              <w:bottom w:w="75" w:type="dxa"/>
              <w:right w:w="75" w:type="dxa"/>
            </w:tcMar>
            <w:hideMark/>
          </w:tcPr>
          <w:p w14:paraId="5CA3D6FE" w14:textId="77777777" w:rsidR="00320401" w:rsidRPr="00D37AFE" w:rsidRDefault="00320401" w:rsidP="00320401">
            <w:pPr>
              <w:numPr>
                <w:ilvl w:val="0"/>
                <w:numId w:val="203"/>
              </w:numPr>
              <w:spacing w:after="0" w:line="240" w:lineRule="auto"/>
              <w:contextualSpacing/>
              <w:rPr>
                <w:rFonts w:ascii="Arial" w:hAnsi="Arial" w:cs="Arial"/>
                <w:bCs/>
                <w:sz w:val="24"/>
                <w:szCs w:val="24"/>
              </w:rPr>
            </w:pPr>
            <w:r w:rsidRPr="00D37AFE">
              <w:rPr>
                <w:rFonts w:ascii="Arial" w:hAnsi="Arial" w:cs="Arial"/>
                <w:bCs/>
                <w:sz w:val="24"/>
                <w:szCs w:val="24"/>
              </w:rPr>
              <w:t>Comments on p283 of the Patient and Public Engagement Survey have not been reflected in the body of the PNA document.</w:t>
            </w:r>
            <w:r w:rsidRPr="00D37AFE">
              <w:rPr>
                <w:rFonts w:ascii="Arial" w:hAnsi="Arial" w:cs="Arial"/>
                <w:bCs/>
                <w:sz w:val="24"/>
                <w:szCs w:val="24"/>
              </w:rPr>
              <w:br/>
              <w:t>How can you identify which area the comments are referring too?</w:t>
            </w:r>
            <w:r w:rsidRPr="00D37AFE">
              <w:rPr>
                <w:rFonts w:ascii="Arial" w:hAnsi="Arial" w:cs="Arial"/>
                <w:bCs/>
                <w:sz w:val="24"/>
                <w:szCs w:val="24"/>
              </w:rPr>
              <w:br/>
              <w:t>From the patient and public survey, it appears their comments have not been considered. How can you tell that the PNA has addressed the concerns raised?</w:t>
            </w:r>
          </w:p>
        </w:tc>
      </w:tr>
      <w:tr w:rsidR="00320401" w:rsidRPr="00D37AFE" w14:paraId="4B9DC284" w14:textId="77777777" w:rsidTr="005670EB">
        <w:tc>
          <w:tcPr>
            <w:tcW w:w="0" w:type="auto"/>
            <w:shd w:val="clear" w:color="auto" w:fill="FFFFFF"/>
            <w:tcMar>
              <w:top w:w="75" w:type="dxa"/>
              <w:left w:w="75" w:type="dxa"/>
              <w:bottom w:w="75" w:type="dxa"/>
              <w:right w:w="75" w:type="dxa"/>
            </w:tcMar>
            <w:hideMark/>
          </w:tcPr>
          <w:p w14:paraId="6B0C22BE" w14:textId="77777777" w:rsidR="00320401" w:rsidRPr="00D37AFE" w:rsidRDefault="00320401" w:rsidP="00320401">
            <w:pPr>
              <w:numPr>
                <w:ilvl w:val="0"/>
                <w:numId w:val="203"/>
              </w:numPr>
              <w:spacing w:after="0" w:line="240" w:lineRule="auto"/>
              <w:contextualSpacing/>
              <w:rPr>
                <w:rFonts w:ascii="Arial" w:hAnsi="Arial" w:cs="Arial"/>
                <w:bCs/>
                <w:sz w:val="24"/>
                <w:szCs w:val="24"/>
              </w:rPr>
            </w:pPr>
            <w:r w:rsidRPr="00D37AFE">
              <w:rPr>
                <w:rFonts w:ascii="Arial" w:hAnsi="Arial" w:cs="Arial"/>
                <w:bCs/>
                <w:sz w:val="24"/>
                <w:szCs w:val="24"/>
              </w:rPr>
              <w:t>St Athan is in the Western Vale and not the central Vale this is an ongoing issue with incorrect boundary placement that disadvantages patients as &lt;5% of patients in St Athan are registered in practices in the central vale.</w:t>
            </w:r>
          </w:p>
        </w:tc>
      </w:tr>
      <w:tr w:rsidR="00320401" w:rsidRPr="00D37AFE" w14:paraId="64A0F9CB" w14:textId="77777777" w:rsidTr="005670EB">
        <w:tc>
          <w:tcPr>
            <w:tcW w:w="0" w:type="auto"/>
            <w:shd w:val="clear" w:color="auto" w:fill="FFFFFF"/>
            <w:tcMar>
              <w:top w:w="75" w:type="dxa"/>
              <w:left w:w="75" w:type="dxa"/>
              <w:bottom w:w="75" w:type="dxa"/>
              <w:right w:w="75" w:type="dxa"/>
            </w:tcMar>
            <w:hideMark/>
          </w:tcPr>
          <w:p w14:paraId="7E3C2694" w14:textId="77777777" w:rsidR="00320401" w:rsidRPr="00D37AFE" w:rsidRDefault="00320401" w:rsidP="00320401">
            <w:pPr>
              <w:numPr>
                <w:ilvl w:val="0"/>
                <w:numId w:val="203"/>
              </w:numPr>
              <w:spacing w:after="0" w:line="240" w:lineRule="auto"/>
              <w:contextualSpacing/>
              <w:rPr>
                <w:rFonts w:ascii="Arial" w:hAnsi="Arial" w:cs="Arial"/>
                <w:bCs/>
                <w:sz w:val="24"/>
                <w:szCs w:val="24"/>
              </w:rPr>
            </w:pPr>
            <w:r w:rsidRPr="00D37AFE">
              <w:rPr>
                <w:rFonts w:ascii="Arial" w:hAnsi="Arial" w:cs="Arial"/>
                <w:bCs/>
                <w:sz w:val="24"/>
                <w:szCs w:val="24"/>
              </w:rPr>
              <w:t xml:space="preserve">Deliveries in Western VOG seem to be in high demand due to an aging housebound population and patient feedback has been this is not been met with paid deliveries being delayed by days. I feel with the huge increase in housing planned in the local area our pharmacies will find it very difficult to cope. </w:t>
            </w:r>
          </w:p>
        </w:tc>
      </w:tr>
      <w:tr w:rsidR="00320401" w:rsidRPr="00D37AFE" w14:paraId="0A543B82" w14:textId="77777777" w:rsidTr="005670EB">
        <w:tc>
          <w:tcPr>
            <w:tcW w:w="0" w:type="auto"/>
            <w:shd w:val="clear" w:color="auto" w:fill="FFFFFF"/>
            <w:tcMar>
              <w:top w:w="75" w:type="dxa"/>
              <w:left w:w="75" w:type="dxa"/>
              <w:bottom w:w="75" w:type="dxa"/>
              <w:right w:w="75" w:type="dxa"/>
            </w:tcMar>
            <w:hideMark/>
          </w:tcPr>
          <w:p w14:paraId="0E9BCEAB" w14:textId="77777777" w:rsidR="00320401" w:rsidRPr="00D37AFE" w:rsidRDefault="00320401" w:rsidP="00320401">
            <w:pPr>
              <w:numPr>
                <w:ilvl w:val="0"/>
                <w:numId w:val="203"/>
              </w:numPr>
              <w:spacing w:after="0" w:line="240" w:lineRule="auto"/>
              <w:contextualSpacing/>
              <w:rPr>
                <w:rFonts w:ascii="Arial" w:hAnsi="Arial" w:cs="Arial"/>
                <w:bCs/>
                <w:sz w:val="24"/>
                <w:szCs w:val="24"/>
              </w:rPr>
            </w:pPr>
            <w:r w:rsidRPr="00D37AFE">
              <w:rPr>
                <w:rFonts w:ascii="Arial" w:hAnsi="Arial" w:cs="Arial"/>
                <w:bCs/>
                <w:sz w:val="24"/>
                <w:szCs w:val="24"/>
              </w:rPr>
              <w:t xml:space="preserve">As currently drafted the PNA relies heavily on a public survey to which there were 311 respondents out of a total LHB population of approximately 500,000 - the associated inferences and conclusions have limited if any validity on this basis. This is inappropriately amplified in the conclusion delivered within the Executive Summary - final paragraph page 5 - which, whilst initially relating to "Access to pharmaceutical services" concludes with - "Therefore, the main conclusion of this PNA is that there are currently no gaps in the provision of pharmaceutical services". </w:t>
            </w:r>
            <w:r w:rsidRPr="00D37AFE">
              <w:rPr>
                <w:rFonts w:ascii="Arial" w:hAnsi="Arial" w:cs="Arial"/>
                <w:bCs/>
                <w:sz w:val="24"/>
                <w:szCs w:val="24"/>
              </w:rPr>
              <w:br/>
            </w:r>
            <w:r w:rsidRPr="00D37AFE">
              <w:rPr>
                <w:rFonts w:ascii="Arial" w:hAnsi="Arial" w:cs="Arial"/>
                <w:bCs/>
                <w:sz w:val="24"/>
                <w:szCs w:val="24"/>
              </w:rPr>
              <w:br/>
              <w:t xml:space="preserve">There are a number of sweeping and unsubstantiated claims within the Executive Summary of "very good service provision" and statements about car ownership and access to public transport that at are not supported in the body of the document. </w:t>
            </w:r>
          </w:p>
        </w:tc>
      </w:tr>
      <w:tr w:rsidR="00320401" w:rsidRPr="00D37AFE" w14:paraId="00B3CD2E" w14:textId="77777777" w:rsidTr="005670EB">
        <w:tc>
          <w:tcPr>
            <w:tcW w:w="0" w:type="auto"/>
            <w:shd w:val="clear" w:color="auto" w:fill="FFFFFF"/>
            <w:tcMar>
              <w:top w:w="75" w:type="dxa"/>
              <w:left w:w="75" w:type="dxa"/>
              <w:bottom w:w="75" w:type="dxa"/>
              <w:right w:w="75" w:type="dxa"/>
            </w:tcMar>
            <w:hideMark/>
          </w:tcPr>
          <w:p w14:paraId="5C7BA558" w14:textId="77777777" w:rsidR="00320401" w:rsidRPr="00D37AFE" w:rsidRDefault="00320401" w:rsidP="00320401">
            <w:pPr>
              <w:numPr>
                <w:ilvl w:val="0"/>
                <w:numId w:val="203"/>
              </w:numPr>
              <w:spacing w:before="100" w:beforeAutospacing="1" w:after="100" w:afterAutospacing="1" w:line="240" w:lineRule="auto"/>
              <w:contextualSpacing/>
              <w:rPr>
                <w:rFonts w:ascii="Arial" w:hAnsi="Arial" w:cs="Arial"/>
                <w:bCs/>
                <w:sz w:val="24"/>
                <w:szCs w:val="24"/>
              </w:rPr>
            </w:pPr>
            <w:r w:rsidRPr="00D37AFE">
              <w:rPr>
                <w:rFonts w:ascii="Arial" w:hAnsi="Arial" w:cs="Arial"/>
                <w:bCs/>
                <w:sz w:val="24"/>
                <w:szCs w:val="24"/>
              </w:rPr>
              <w:t xml:space="preserve">The survey carried out only had 311 responses. Out of a LHB population of 500,000 this is 0.06% of the population. </w:t>
            </w:r>
            <w:r w:rsidRPr="00D37AFE">
              <w:rPr>
                <w:rFonts w:ascii="Arial" w:hAnsi="Arial" w:cs="Arial"/>
                <w:bCs/>
                <w:sz w:val="24"/>
                <w:szCs w:val="24"/>
              </w:rPr>
              <w:br/>
              <w:t xml:space="preserve">Highlighted in Map 1 on page 33 the spread of the responses is also varied. I have issue with this map as the colours and bands used are misleading. </w:t>
            </w:r>
            <w:r w:rsidRPr="00D37AFE">
              <w:rPr>
                <w:rFonts w:ascii="Arial" w:hAnsi="Arial" w:cs="Arial"/>
                <w:bCs/>
                <w:sz w:val="24"/>
                <w:szCs w:val="24"/>
              </w:rPr>
              <w:br/>
              <w:t>There is more emphasis on areas with 1-17 responses with 4 grades and the last band has 17-87 responses. This 87 figure must mean one postcode had 87 responses? So I assume of the 311 responses 87 (27.9%) were in one postcode. This is not highlighted in any part of the document or addressed?</w:t>
            </w:r>
            <w:r w:rsidRPr="00D37AFE">
              <w:rPr>
                <w:rFonts w:ascii="Arial" w:hAnsi="Arial" w:cs="Arial"/>
                <w:bCs/>
                <w:sz w:val="24"/>
                <w:szCs w:val="24"/>
              </w:rPr>
              <w:br/>
              <w:t xml:space="preserve">Responses are also grouped by postcode and not by cluster. Why? The rest of the document uses either cluster or in some cases local wards (most of the maps). </w:t>
            </w:r>
            <w:r w:rsidRPr="00D37AFE">
              <w:rPr>
                <w:rFonts w:ascii="Arial" w:hAnsi="Arial" w:cs="Arial"/>
                <w:bCs/>
                <w:sz w:val="24"/>
                <w:szCs w:val="24"/>
              </w:rPr>
              <w:br/>
              <w:t xml:space="preserve">As all responses are collated together. It is impossible to highlight areas where a lack of service may occur. This means that although there could </w:t>
            </w:r>
            <w:r w:rsidRPr="00D37AFE">
              <w:rPr>
                <w:rFonts w:ascii="Arial" w:hAnsi="Arial" w:cs="Arial"/>
                <w:bCs/>
                <w:sz w:val="24"/>
                <w:szCs w:val="24"/>
              </w:rPr>
              <w:lastRenderedPageBreak/>
              <w:t xml:space="preserve">have been a group of comments around a lack of service in a specific area it is impossible to tell from this document. </w:t>
            </w:r>
            <w:r w:rsidRPr="00D37AFE">
              <w:rPr>
                <w:rFonts w:ascii="Arial" w:hAnsi="Arial" w:cs="Arial"/>
                <w:bCs/>
                <w:sz w:val="24"/>
                <w:szCs w:val="24"/>
              </w:rPr>
              <w:br/>
              <w:t xml:space="preserve">If the LHB is going to use this survey as a true reflection of the state of pharmacy services, it therefore needs to draw correct conclusions and highlight its limitations. It does not. </w:t>
            </w:r>
            <w:r w:rsidRPr="00D37AFE">
              <w:rPr>
                <w:rFonts w:ascii="Arial" w:hAnsi="Arial" w:cs="Arial"/>
                <w:bCs/>
                <w:sz w:val="24"/>
                <w:szCs w:val="24"/>
              </w:rPr>
              <w:br/>
              <w:t xml:space="preserve">Appendix H has huge number of errors in its data analysis with multiple responses not being considered. </w:t>
            </w:r>
            <w:r w:rsidRPr="00D37AFE">
              <w:rPr>
                <w:rFonts w:ascii="Arial" w:hAnsi="Arial" w:cs="Arial"/>
                <w:bCs/>
                <w:sz w:val="24"/>
                <w:szCs w:val="24"/>
              </w:rPr>
              <w:br/>
              <w:t>Example: Table 2: 280/308 people responded that they visit the pharmacy "To get or collect a prescription for myself". However, the table states this is 31.53% of responses?!?!?! When the correct figure is 91%.</w:t>
            </w:r>
            <w:r w:rsidRPr="00D37AFE">
              <w:rPr>
                <w:rFonts w:ascii="Arial" w:hAnsi="Arial" w:cs="Arial"/>
                <w:bCs/>
                <w:sz w:val="24"/>
                <w:szCs w:val="24"/>
              </w:rPr>
              <w:br/>
              <w:t xml:space="preserve">This error is continued in Table 7, 9, 11, 16, 18, 19 and 26. So not an isolated incident. </w:t>
            </w:r>
            <w:r w:rsidRPr="00D37AFE">
              <w:rPr>
                <w:rFonts w:ascii="Arial" w:hAnsi="Arial" w:cs="Arial"/>
                <w:bCs/>
                <w:sz w:val="24"/>
                <w:szCs w:val="24"/>
              </w:rPr>
              <w:br/>
              <w:t xml:space="preserve">The layout of these tables is also very confusing as results are not ranked so therefore it can easily be misinterpreted if not heavily scrutinised. </w:t>
            </w:r>
            <w:r w:rsidRPr="00D37AFE">
              <w:rPr>
                <w:rFonts w:ascii="Arial" w:hAnsi="Arial" w:cs="Arial"/>
                <w:bCs/>
                <w:sz w:val="24"/>
                <w:szCs w:val="24"/>
              </w:rPr>
              <w:br/>
              <w:t>The error is continued in the main document with tables 1.7, 1.8, 1.11, 1.12 etc on pages 18-24 with the incorrect percentages being used to produce an incorrect presentation.</w:t>
            </w:r>
            <w:r w:rsidRPr="00D37AFE">
              <w:rPr>
                <w:rFonts w:ascii="Arial" w:hAnsi="Arial" w:cs="Arial"/>
                <w:bCs/>
                <w:sz w:val="24"/>
                <w:szCs w:val="24"/>
              </w:rPr>
              <w:br/>
              <w:t>Comments like "(18%, 29 responses), speed of service (13%, 22 responses) and having a bad experience in the past (13%, 21 responses)." when there were "90 people" questions the maths used to interpret the figures.</w:t>
            </w:r>
            <w:r w:rsidRPr="00D37AFE">
              <w:rPr>
                <w:rFonts w:ascii="Arial" w:hAnsi="Arial" w:cs="Arial"/>
                <w:bCs/>
                <w:sz w:val="24"/>
                <w:szCs w:val="24"/>
              </w:rPr>
              <w:br/>
              <w:t xml:space="preserve">Overall, this survey and its conclusions can NOT be used as a true reflection of the current experiences of the population. If the authors do however want to use this as a true reflection, they MUST extrapolate the data to the population levels. </w:t>
            </w:r>
            <w:r w:rsidRPr="00D37AFE">
              <w:rPr>
                <w:rFonts w:ascii="Arial" w:hAnsi="Arial" w:cs="Arial"/>
                <w:bCs/>
                <w:sz w:val="24"/>
                <w:szCs w:val="24"/>
              </w:rPr>
              <w:br/>
              <w:t xml:space="preserve">For example: Table 11 where 29/90 responded that "It is not easy to park at the pharmacy" this is 32%. So, when applied to a population of 500,000 the result would mean 161,111 people are experiencing this issue. I would say this is a significant proportion of the population and a concern. </w:t>
            </w:r>
            <w:r w:rsidRPr="00D37AFE">
              <w:rPr>
                <w:rFonts w:ascii="Arial" w:hAnsi="Arial" w:cs="Arial"/>
                <w:bCs/>
                <w:sz w:val="24"/>
                <w:szCs w:val="24"/>
              </w:rPr>
              <w:br/>
              <w:t>The questionnaire either needs to be redone or at least interpretations and discussion around the results reflect the results.</w:t>
            </w:r>
          </w:p>
          <w:p w14:paraId="0E8306E0" w14:textId="77777777" w:rsidR="00320401" w:rsidRPr="00D37AFE" w:rsidRDefault="00320401" w:rsidP="005670EB">
            <w:pPr>
              <w:spacing w:before="100" w:beforeAutospacing="1" w:after="100" w:afterAutospacing="1" w:line="240" w:lineRule="auto"/>
              <w:contextualSpacing/>
              <w:rPr>
                <w:rFonts w:ascii="Arial" w:hAnsi="Arial" w:cs="Arial"/>
                <w:bCs/>
                <w:sz w:val="24"/>
                <w:szCs w:val="24"/>
              </w:rPr>
            </w:pPr>
          </w:p>
          <w:p w14:paraId="53AB740C" w14:textId="77777777" w:rsidR="00320401" w:rsidRPr="00D37AFE" w:rsidRDefault="00320401" w:rsidP="00320401">
            <w:pPr>
              <w:numPr>
                <w:ilvl w:val="0"/>
                <w:numId w:val="203"/>
              </w:numPr>
              <w:spacing w:before="100" w:beforeAutospacing="1" w:after="100" w:afterAutospacing="1" w:line="240" w:lineRule="auto"/>
              <w:contextualSpacing/>
              <w:rPr>
                <w:rFonts w:ascii="Arial" w:hAnsi="Arial" w:cs="Arial"/>
                <w:bCs/>
                <w:sz w:val="24"/>
                <w:szCs w:val="24"/>
              </w:rPr>
            </w:pPr>
            <w:r w:rsidRPr="00D37AFE">
              <w:rPr>
                <w:rFonts w:ascii="Arial" w:hAnsi="Arial" w:cs="Arial"/>
                <w:bCs/>
                <w:sz w:val="24"/>
                <w:szCs w:val="24"/>
              </w:rPr>
              <w:t>CAVUHB has used the information submitted by pharmacy contractors as part of the All Wales Pharmacy Database (AWPD) exercise completed last year to determine current community pharmacy provision. Whilst the detail of which pharmacy contractor provides each of the Advanced and Enhanced services is not contained within the PNA, we would expect that CAVUHB will robustly analyse the data and update any changes prior to publication of the final PNA.</w:t>
            </w:r>
          </w:p>
          <w:p w14:paraId="738FE4CC" w14:textId="77777777" w:rsidR="00320401" w:rsidRPr="00D37AFE" w:rsidRDefault="00320401" w:rsidP="005670EB">
            <w:pPr>
              <w:spacing w:after="0" w:line="240" w:lineRule="auto"/>
              <w:ind w:left="720"/>
              <w:contextualSpacing/>
              <w:rPr>
                <w:rFonts w:ascii="Arial" w:hAnsi="Arial" w:cs="Arial"/>
                <w:bCs/>
                <w:sz w:val="24"/>
                <w:szCs w:val="24"/>
              </w:rPr>
            </w:pPr>
          </w:p>
          <w:p w14:paraId="72494A49" w14:textId="77777777" w:rsidR="00320401" w:rsidRPr="00D37AFE" w:rsidRDefault="00320401" w:rsidP="005670EB">
            <w:pPr>
              <w:spacing w:after="0" w:line="240" w:lineRule="auto"/>
              <w:ind w:left="720"/>
              <w:contextualSpacing/>
              <w:rPr>
                <w:rFonts w:ascii="Arial" w:hAnsi="Arial" w:cs="Arial"/>
                <w:bCs/>
                <w:sz w:val="24"/>
                <w:szCs w:val="24"/>
              </w:rPr>
            </w:pPr>
            <w:r w:rsidRPr="00D37AFE">
              <w:rPr>
                <w:rFonts w:ascii="Arial" w:hAnsi="Arial" w:cs="Arial"/>
                <w:bCs/>
                <w:sz w:val="24"/>
                <w:szCs w:val="24"/>
              </w:rPr>
              <w:t>We are aware that there is an error in the opening hours of Boots, Cardiff Bay which has been highlighted to CAVUHB for rectification in the final PNA and again we would expect that any changes to opening hours will be updated.</w:t>
            </w:r>
          </w:p>
        </w:tc>
      </w:tr>
    </w:tbl>
    <w:p w14:paraId="0CD31E87" w14:textId="77777777" w:rsidR="00320401" w:rsidRPr="00D37AFE" w:rsidRDefault="00320401" w:rsidP="00320401">
      <w:pPr>
        <w:spacing w:after="0" w:line="240" w:lineRule="auto"/>
        <w:contextualSpacing/>
        <w:rPr>
          <w:rFonts w:ascii="Arial" w:hAnsi="Arial" w:cs="Arial"/>
          <w:b/>
          <w:sz w:val="24"/>
          <w:szCs w:val="24"/>
        </w:rPr>
      </w:pPr>
    </w:p>
    <w:p w14:paraId="1A46D918" w14:textId="77777777" w:rsidR="00320401" w:rsidRPr="00D37AFE" w:rsidRDefault="00320401" w:rsidP="00320401">
      <w:pPr>
        <w:pStyle w:val="ListParagraph"/>
        <w:spacing w:after="0" w:line="240" w:lineRule="auto"/>
        <w:ind w:left="360"/>
        <w:rPr>
          <w:rFonts w:ascii="Arial" w:hAnsi="Arial" w:cs="Arial"/>
          <w:sz w:val="24"/>
          <w:szCs w:val="24"/>
        </w:rPr>
      </w:pPr>
    </w:p>
    <w:p w14:paraId="2B03279A" w14:textId="77777777" w:rsidR="00320401" w:rsidRPr="00D37AFE" w:rsidRDefault="00320401" w:rsidP="00320401">
      <w:pPr>
        <w:spacing w:after="0" w:line="240" w:lineRule="auto"/>
        <w:rPr>
          <w:rFonts w:ascii="Arial" w:hAnsi="Arial" w:cs="Arial"/>
          <w:b/>
          <w:sz w:val="24"/>
          <w:szCs w:val="24"/>
        </w:rPr>
      </w:pPr>
      <w:r w:rsidRPr="00D37AFE">
        <w:rPr>
          <w:rFonts w:ascii="Arial" w:hAnsi="Arial" w:cs="Arial"/>
          <w:b/>
          <w:sz w:val="24"/>
          <w:szCs w:val="24"/>
        </w:rPr>
        <w:t xml:space="preserve">Cardiff and Vale University Health Board’s consideration </w:t>
      </w:r>
    </w:p>
    <w:p w14:paraId="331311C8" w14:textId="77777777" w:rsidR="00320401" w:rsidRPr="00D37AFE" w:rsidRDefault="00320401" w:rsidP="00320401">
      <w:pPr>
        <w:spacing w:after="0" w:line="240" w:lineRule="auto"/>
        <w:rPr>
          <w:rFonts w:ascii="Arial" w:hAnsi="Arial" w:cs="Arial"/>
          <w:b/>
          <w:bCs/>
          <w:sz w:val="24"/>
          <w:szCs w:val="24"/>
        </w:rPr>
      </w:pPr>
    </w:p>
    <w:p w14:paraId="7D9DE4C8" w14:textId="77777777" w:rsidR="00320401" w:rsidRPr="00D37AFE" w:rsidRDefault="00320401" w:rsidP="00320401">
      <w:pPr>
        <w:pStyle w:val="ListParagraph"/>
        <w:numPr>
          <w:ilvl w:val="0"/>
          <w:numId w:val="214"/>
        </w:numPr>
        <w:spacing w:after="0" w:line="240" w:lineRule="auto"/>
        <w:ind w:left="360"/>
        <w:rPr>
          <w:rFonts w:ascii="Arial" w:hAnsi="Arial" w:cs="Arial"/>
          <w:sz w:val="24"/>
          <w:szCs w:val="24"/>
        </w:rPr>
      </w:pPr>
      <w:r w:rsidRPr="00D37AFE">
        <w:rPr>
          <w:rFonts w:ascii="Arial" w:hAnsi="Arial" w:cs="Arial"/>
          <w:sz w:val="24"/>
          <w:szCs w:val="24"/>
        </w:rPr>
        <w:lastRenderedPageBreak/>
        <w:t>There appears to be contradictory perspectives regarding the feedback from the patient and public engagement survey as to the amount of consideration it has been given within the PNA from “comments have not been considered” to “the PNA relies heavily on the public survey”. Similar comments were raised under other questions asked as part of the consultation process and they have been reviewed and addressed here to avoid repetition.</w:t>
      </w:r>
    </w:p>
    <w:p w14:paraId="2D5EBAEA" w14:textId="77777777" w:rsidR="00320401" w:rsidRPr="00D37AFE" w:rsidRDefault="00320401" w:rsidP="00320401">
      <w:pPr>
        <w:pStyle w:val="ListParagraph"/>
        <w:spacing w:after="0" w:line="240" w:lineRule="auto"/>
        <w:ind w:left="360"/>
        <w:rPr>
          <w:rFonts w:ascii="Arial" w:hAnsi="Arial" w:cs="Arial"/>
          <w:sz w:val="24"/>
          <w:szCs w:val="24"/>
        </w:rPr>
      </w:pPr>
    </w:p>
    <w:p w14:paraId="2635749B" w14:textId="77777777" w:rsidR="00320401" w:rsidRPr="00D37AFE" w:rsidRDefault="00320401" w:rsidP="00320401">
      <w:pPr>
        <w:pStyle w:val="ListParagraph"/>
        <w:spacing w:after="0" w:line="240" w:lineRule="auto"/>
        <w:ind w:left="360"/>
        <w:rPr>
          <w:rFonts w:ascii="Arial" w:hAnsi="Arial" w:cs="Arial"/>
          <w:sz w:val="24"/>
          <w:szCs w:val="24"/>
        </w:rPr>
      </w:pPr>
      <w:r w:rsidRPr="00D37AFE">
        <w:rPr>
          <w:rFonts w:ascii="Arial" w:hAnsi="Arial" w:cs="Arial"/>
          <w:sz w:val="24"/>
          <w:szCs w:val="24"/>
        </w:rPr>
        <w:t xml:space="preserve">The purpose of the PNA is </w:t>
      </w:r>
      <w:r w:rsidRPr="00D37AFE">
        <w:rPr>
          <w:rFonts w:ascii="Arial" w:hAnsi="Arial" w:cs="Arial"/>
          <w:color w:val="000000"/>
          <w:sz w:val="24"/>
          <w:szCs w:val="24"/>
          <w:shd w:val="clear" w:color="auto" w:fill="FFFFFF"/>
        </w:rPr>
        <w:t xml:space="preserve">to identify any current or future pharmaceutical needs so that applications can be made to meet them. In doing this it has had </w:t>
      </w:r>
      <w:r w:rsidRPr="00D37AFE">
        <w:rPr>
          <w:rFonts w:ascii="Arial" w:hAnsi="Arial" w:cs="Arial"/>
          <w:sz w:val="24"/>
          <w:szCs w:val="24"/>
        </w:rPr>
        <w:t xml:space="preserve">regard to all the relevant comments of the patient and public engagement questionnaire. The patient and public engagement questionnaire provides a snapshot of views as reported by respondents.  The findings have been used, in conjunction with other available data sources, to inform the PNA. The survey respondents are shown on Map 1, and no statistical inference or conclusions have been made. </w:t>
      </w:r>
    </w:p>
    <w:p w14:paraId="6BC730BA" w14:textId="77777777" w:rsidR="00320401" w:rsidRPr="00D37AFE" w:rsidRDefault="00320401" w:rsidP="00320401">
      <w:pPr>
        <w:pStyle w:val="ListParagraph"/>
        <w:spacing w:after="0" w:line="240" w:lineRule="auto"/>
        <w:ind w:left="360"/>
        <w:rPr>
          <w:rFonts w:ascii="Arial" w:hAnsi="Arial" w:cs="Arial"/>
          <w:sz w:val="24"/>
          <w:szCs w:val="24"/>
        </w:rPr>
      </w:pPr>
    </w:p>
    <w:p w14:paraId="53A54847" w14:textId="77777777" w:rsidR="00320401" w:rsidRPr="00D37AFE" w:rsidRDefault="00320401" w:rsidP="00320401">
      <w:pPr>
        <w:pStyle w:val="ListParagraph"/>
        <w:spacing w:after="0" w:line="240" w:lineRule="auto"/>
        <w:ind w:left="360"/>
        <w:rPr>
          <w:rFonts w:ascii="Arial" w:hAnsi="Arial" w:cs="Arial"/>
          <w:sz w:val="24"/>
          <w:szCs w:val="24"/>
        </w:rPr>
      </w:pPr>
      <w:r w:rsidRPr="00D37AFE">
        <w:rPr>
          <w:rFonts w:ascii="Arial" w:hAnsi="Arial" w:cs="Arial"/>
          <w:sz w:val="24"/>
          <w:szCs w:val="24"/>
        </w:rPr>
        <w:t>Residents of Cardiff and Vale University Health Board are not all familiar with cluster boundaries. In addition, residents of the health board have the option to use any pharmacy they choose. For example, this may be outside of the cluster they reside in but close to where they work. Therefore, the first four digits of the post code were used to identify respondent’s geographical area and to ensure anonymity. In addition, many comments received contained provider names or locations or both. This level of detail has been anonymised for the purpose of the PNA.</w:t>
      </w:r>
    </w:p>
    <w:p w14:paraId="06D2BD9D" w14:textId="77777777" w:rsidR="00320401" w:rsidRPr="00D37AFE" w:rsidRDefault="00320401" w:rsidP="00320401">
      <w:pPr>
        <w:spacing w:after="0" w:line="240" w:lineRule="auto"/>
        <w:rPr>
          <w:rFonts w:ascii="Arial" w:hAnsi="Arial" w:cs="Arial"/>
          <w:sz w:val="24"/>
          <w:szCs w:val="24"/>
        </w:rPr>
      </w:pPr>
    </w:p>
    <w:p w14:paraId="5DC0E023" w14:textId="77777777" w:rsidR="00320401" w:rsidRPr="00D37AFE" w:rsidRDefault="00320401" w:rsidP="00320401">
      <w:pPr>
        <w:pStyle w:val="ListParagraph"/>
        <w:numPr>
          <w:ilvl w:val="0"/>
          <w:numId w:val="214"/>
        </w:numPr>
        <w:spacing w:after="0" w:line="240" w:lineRule="auto"/>
        <w:ind w:left="360"/>
        <w:rPr>
          <w:rFonts w:ascii="Arial" w:hAnsi="Arial" w:cs="Arial"/>
          <w:sz w:val="24"/>
          <w:szCs w:val="24"/>
        </w:rPr>
      </w:pPr>
      <w:r w:rsidRPr="00D37AFE">
        <w:rPr>
          <w:rFonts w:ascii="Arial" w:hAnsi="Arial" w:cs="Arial"/>
          <w:sz w:val="24"/>
          <w:szCs w:val="24"/>
        </w:rPr>
        <w:t>Multiple answers could be given to the questions relating to tables 2, 7, 9, 11, 16, 18, 19 and 26 of the patient and public engagement survey as shown in appendix H. The data in these tables were analysed according to response and is correct from that perspective. For clarity purposes, an additional column has been added to these tables to also show the data analysed by respondent. Whether the data is analysed from the perspective of response or respondent, the rank order remains the same.</w:t>
      </w:r>
    </w:p>
    <w:p w14:paraId="4B639015" w14:textId="77777777" w:rsidR="00320401" w:rsidRPr="00D37AFE" w:rsidRDefault="00320401" w:rsidP="00320401">
      <w:pPr>
        <w:spacing w:after="0" w:line="240" w:lineRule="auto"/>
        <w:rPr>
          <w:rFonts w:ascii="Arial" w:hAnsi="Arial" w:cs="Arial"/>
          <w:sz w:val="24"/>
          <w:szCs w:val="24"/>
        </w:rPr>
      </w:pPr>
    </w:p>
    <w:p w14:paraId="459B48A6" w14:textId="77777777" w:rsidR="00320401" w:rsidRPr="00D37AFE" w:rsidRDefault="00320401" w:rsidP="00320401">
      <w:pPr>
        <w:pStyle w:val="ListParagraph"/>
        <w:spacing w:after="0" w:line="240" w:lineRule="auto"/>
        <w:ind w:left="360"/>
        <w:rPr>
          <w:rFonts w:ascii="Arial" w:hAnsi="Arial" w:cs="Arial"/>
          <w:sz w:val="24"/>
          <w:szCs w:val="24"/>
        </w:rPr>
      </w:pPr>
      <w:r w:rsidRPr="00D37AFE">
        <w:rPr>
          <w:rFonts w:ascii="Arial" w:hAnsi="Arial" w:cs="Arial"/>
          <w:sz w:val="24"/>
          <w:szCs w:val="24"/>
        </w:rPr>
        <w:t xml:space="preserve">The corresponding data and diagrams in section 1.5.3 state where the data has been analysed by response (number and percentage) and is correct from that perspective. For clarity purposes, this has been changed to show just number of responses. </w:t>
      </w:r>
    </w:p>
    <w:p w14:paraId="713EEC08" w14:textId="77777777" w:rsidR="00320401" w:rsidRPr="00D37AFE" w:rsidRDefault="00320401" w:rsidP="00320401">
      <w:pPr>
        <w:spacing w:after="0" w:line="240" w:lineRule="auto"/>
        <w:rPr>
          <w:rFonts w:ascii="Arial" w:hAnsi="Arial" w:cs="Arial"/>
          <w:sz w:val="24"/>
          <w:szCs w:val="24"/>
        </w:rPr>
      </w:pPr>
    </w:p>
    <w:p w14:paraId="15F1E60C" w14:textId="77777777" w:rsidR="00320401" w:rsidRPr="00D37AFE" w:rsidRDefault="00320401" w:rsidP="00320401">
      <w:pPr>
        <w:pStyle w:val="ListParagraph"/>
        <w:numPr>
          <w:ilvl w:val="0"/>
          <w:numId w:val="214"/>
        </w:numPr>
        <w:spacing w:after="0" w:line="240" w:lineRule="auto"/>
        <w:ind w:left="360"/>
        <w:rPr>
          <w:rFonts w:ascii="Arial" w:hAnsi="Arial" w:cs="Arial"/>
          <w:b/>
          <w:sz w:val="24"/>
          <w:szCs w:val="24"/>
        </w:rPr>
      </w:pPr>
      <w:r w:rsidRPr="00D37AFE">
        <w:rPr>
          <w:rFonts w:ascii="Arial" w:hAnsi="Arial" w:cs="Arial"/>
          <w:sz w:val="24"/>
          <w:szCs w:val="24"/>
        </w:rPr>
        <w:t>The comment on boundary placement has been noted and the PNA acknowledges this. “</w:t>
      </w:r>
      <w:r w:rsidRPr="00D37AFE">
        <w:rPr>
          <w:rFonts w:ascii="Arial" w:hAnsi="Arial" w:cs="Arial"/>
          <w:i/>
          <w:iCs/>
          <w:sz w:val="24"/>
          <w:szCs w:val="24"/>
        </w:rPr>
        <w:t>For the purposes of the PNA the pharmacies at Rhoose and St Athan will be considered in the Western Vale cluster chapter as historically this is how they have been allocated as all are rural in area and share GP practices</w:t>
      </w:r>
      <w:r w:rsidRPr="00D37AFE">
        <w:rPr>
          <w:rFonts w:ascii="Arial" w:hAnsi="Arial" w:cs="Arial"/>
          <w:sz w:val="24"/>
          <w:szCs w:val="24"/>
        </w:rPr>
        <w:t>”.</w:t>
      </w:r>
    </w:p>
    <w:p w14:paraId="7C1306A3" w14:textId="77777777" w:rsidR="00320401" w:rsidRPr="00D37AFE" w:rsidRDefault="00320401" w:rsidP="00320401">
      <w:pPr>
        <w:pStyle w:val="ListParagraph"/>
        <w:spacing w:after="0" w:line="240" w:lineRule="auto"/>
        <w:ind w:left="0"/>
        <w:rPr>
          <w:rFonts w:ascii="Arial" w:hAnsi="Arial" w:cs="Arial"/>
          <w:b/>
          <w:sz w:val="24"/>
          <w:szCs w:val="24"/>
        </w:rPr>
      </w:pPr>
    </w:p>
    <w:p w14:paraId="00F2A8D5" w14:textId="77777777" w:rsidR="00320401" w:rsidRPr="00D37AFE" w:rsidRDefault="00320401" w:rsidP="00320401">
      <w:pPr>
        <w:pStyle w:val="ListParagraph"/>
        <w:numPr>
          <w:ilvl w:val="0"/>
          <w:numId w:val="214"/>
        </w:numPr>
        <w:spacing w:after="0" w:line="240" w:lineRule="auto"/>
        <w:ind w:left="360"/>
        <w:rPr>
          <w:rFonts w:ascii="Arial" w:hAnsi="Arial" w:cs="Arial"/>
          <w:b/>
          <w:sz w:val="24"/>
          <w:szCs w:val="24"/>
        </w:rPr>
      </w:pPr>
      <w:r w:rsidRPr="00D37AFE">
        <w:rPr>
          <w:rFonts w:ascii="Arial" w:hAnsi="Arial" w:cs="Arial"/>
          <w:bCs/>
          <w:sz w:val="24"/>
          <w:szCs w:val="24"/>
        </w:rPr>
        <w:t>D</w:t>
      </w:r>
      <w:r w:rsidRPr="00D37AFE">
        <w:rPr>
          <w:rFonts w:ascii="Arial" w:hAnsi="Arial" w:cs="Arial"/>
          <w:sz w:val="24"/>
          <w:szCs w:val="24"/>
        </w:rPr>
        <w:t>elivery services are not NHS contractual pharmaceutical services and have not been commissioned in Wales outside Covid arrangements.</w:t>
      </w:r>
    </w:p>
    <w:p w14:paraId="7843B28A" w14:textId="77777777" w:rsidR="00320401" w:rsidRPr="00D37AFE" w:rsidRDefault="00320401" w:rsidP="00320401">
      <w:pPr>
        <w:spacing w:after="0" w:line="240" w:lineRule="auto"/>
        <w:rPr>
          <w:rFonts w:ascii="Arial" w:hAnsi="Arial" w:cs="Arial"/>
          <w:b/>
          <w:sz w:val="24"/>
          <w:szCs w:val="24"/>
        </w:rPr>
      </w:pPr>
    </w:p>
    <w:p w14:paraId="58255D0E" w14:textId="77777777" w:rsidR="00320401" w:rsidRPr="00D37AFE" w:rsidRDefault="00320401" w:rsidP="00320401">
      <w:pPr>
        <w:pStyle w:val="ListParagraph"/>
        <w:numPr>
          <w:ilvl w:val="0"/>
          <w:numId w:val="201"/>
        </w:numPr>
        <w:spacing w:after="0" w:line="240" w:lineRule="auto"/>
        <w:rPr>
          <w:rFonts w:ascii="Arial" w:hAnsi="Arial" w:cs="Arial"/>
          <w:b/>
          <w:sz w:val="24"/>
          <w:szCs w:val="24"/>
        </w:rPr>
      </w:pPr>
      <w:r w:rsidRPr="00D37AFE">
        <w:rPr>
          <w:rFonts w:ascii="Arial" w:hAnsi="Arial" w:cs="Arial"/>
          <w:sz w:val="24"/>
          <w:szCs w:val="24"/>
        </w:rPr>
        <w:t>The opening hours of pharmacies have been updated to reflect any changes received and are correct as of 30</w:t>
      </w:r>
      <w:r w:rsidRPr="00D37AFE">
        <w:rPr>
          <w:rFonts w:ascii="Arial" w:hAnsi="Arial" w:cs="Arial"/>
          <w:sz w:val="24"/>
          <w:szCs w:val="24"/>
          <w:vertAlign w:val="superscript"/>
        </w:rPr>
        <w:t>th</w:t>
      </w:r>
      <w:r w:rsidRPr="00D37AFE">
        <w:rPr>
          <w:rFonts w:ascii="Arial" w:hAnsi="Arial" w:cs="Arial"/>
          <w:sz w:val="24"/>
          <w:szCs w:val="24"/>
        </w:rPr>
        <w:t xml:space="preserve"> September 2021. A clarifying sentence has been added to section 5.1.2, which </w:t>
      </w:r>
      <w:r w:rsidRPr="00D37AFE">
        <w:rPr>
          <w:rFonts w:ascii="Arial" w:hAnsi="Arial" w:cs="Arial"/>
          <w:sz w:val="24"/>
          <w:szCs w:val="24"/>
          <w:shd w:val="clear" w:color="auto" w:fill="FFFFFF"/>
        </w:rPr>
        <w:t>signposts to the NHS111 website, where the latest opening hours can be found.</w:t>
      </w:r>
    </w:p>
    <w:p w14:paraId="2C6FD04F" w14:textId="77777777" w:rsidR="00320401" w:rsidRPr="00D37AFE" w:rsidRDefault="00320401" w:rsidP="00320401">
      <w:pPr>
        <w:pStyle w:val="ListParagraph"/>
        <w:spacing w:after="0" w:line="240" w:lineRule="auto"/>
        <w:ind w:left="360"/>
        <w:rPr>
          <w:rFonts w:ascii="Arial" w:hAnsi="Arial" w:cs="Arial"/>
          <w:b/>
          <w:sz w:val="24"/>
          <w:szCs w:val="24"/>
        </w:rPr>
      </w:pPr>
    </w:p>
    <w:p w14:paraId="58972197" w14:textId="77777777" w:rsidR="00320401" w:rsidRPr="00D37AFE" w:rsidRDefault="00320401" w:rsidP="00320401">
      <w:pPr>
        <w:spacing w:after="0" w:line="240" w:lineRule="auto"/>
        <w:contextualSpacing/>
        <w:rPr>
          <w:rFonts w:ascii="Arial" w:hAnsi="Arial" w:cs="Arial"/>
          <w:b/>
          <w:bCs/>
          <w:sz w:val="24"/>
          <w:szCs w:val="24"/>
        </w:rPr>
      </w:pPr>
    </w:p>
    <w:p w14:paraId="38F09538" w14:textId="77777777" w:rsidR="00320401" w:rsidRPr="00D37AFE" w:rsidRDefault="00320401" w:rsidP="00320401">
      <w:pPr>
        <w:spacing w:after="0" w:line="240" w:lineRule="auto"/>
        <w:contextualSpacing/>
        <w:rPr>
          <w:rFonts w:ascii="Arial" w:hAnsi="Arial" w:cs="Arial"/>
          <w:b/>
          <w:bCs/>
          <w:sz w:val="24"/>
          <w:szCs w:val="24"/>
        </w:rPr>
      </w:pPr>
    </w:p>
    <w:p w14:paraId="132DEA8E" w14:textId="77777777" w:rsidR="00320401" w:rsidRPr="00D37AFE" w:rsidRDefault="00320401" w:rsidP="00320401">
      <w:pPr>
        <w:spacing w:after="0" w:line="240" w:lineRule="auto"/>
        <w:contextualSpacing/>
        <w:rPr>
          <w:rFonts w:ascii="Arial" w:hAnsi="Arial" w:cs="Arial"/>
          <w:b/>
          <w:sz w:val="24"/>
          <w:szCs w:val="24"/>
        </w:rPr>
      </w:pPr>
    </w:p>
    <w:p w14:paraId="638C11F7" w14:textId="77777777" w:rsidR="00320401" w:rsidRPr="00D37AFE" w:rsidRDefault="00320401" w:rsidP="00320401">
      <w:pPr>
        <w:spacing w:after="0" w:line="240" w:lineRule="auto"/>
        <w:contextualSpacing/>
        <w:rPr>
          <w:rFonts w:ascii="Arial" w:hAnsi="Arial" w:cs="Arial"/>
          <w:b/>
          <w:sz w:val="24"/>
          <w:szCs w:val="24"/>
        </w:rPr>
      </w:pPr>
    </w:p>
    <w:p w14:paraId="0F9A27E8" w14:textId="77777777" w:rsidR="00320401" w:rsidRPr="00D37AFE" w:rsidRDefault="00320401" w:rsidP="00320401">
      <w:pPr>
        <w:spacing w:after="0" w:line="240" w:lineRule="auto"/>
        <w:contextualSpacing/>
        <w:rPr>
          <w:rFonts w:ascii="Arial" w:hAnsi="Arial" w:cs="Arial"/>
          <w:b/>
          <w:sz w:val="24"/>
          <w:szCs w:val="24"/>
        </w:rPr>
      </w:pPr>
      <w:r w:rsidRPr="00D37AFE">
        <w:rPr>
          <w:rFonts w:ascii="Arial" w:hAnsi="Arial" w:cs="Arial"/>
          <w:b/>
          <w:sz w:val="24"/>
          <w:szCs w:val="24"/>
        </w:rPr>
        <w:t>Q3. Are there any gaps in service provision; i.e. when, where and which services are not available that have not been identified in the pharmaceutical needs assessment?</w:t>
      </w:r>
    </w:p>
    <w:p w14:paraId="27F9B21E" w14:textId="77777777" w:rsidR="00320401" w:rsidRPr="00D37AFE" w:rsidRDefault="00320401" w:rsidP="00320401">
      <w:pPr>
        <w:spacing w:after="0" w:line="240" w:lineRule="auto"/>
        <w:contextualSpacing/>
        <w:rPr>
          <w:rFonts w:ascii="Arial" w:hAnsi="Arial" w:cs="Arial"/>
          <w:b/>
          <w:sz w:val="24"/>
          <w:szCs w:val="24"/>
        </w:rPr>
      </w:pPr>
    </w:p>
    <w:tbl>
      <w:tblPr>
        <w:tblW w:w="8790" w:type="dxa"/>
        <w:tblLook w:val="04A0" w:firstRow="1" w:lastRow="0" w:firstColumn="1" w:lastColumn="0" w:noHBand="0" w:noVBand="1"/>
      </w:tblPr>
      <w:tblGrid>
        <w:gridCol w:w="1442"/>
        <w:gridCol w:w="2600"/>
        <w:gridCol w:w="1728"/>
        <w:gridCol w:w="1833"/>
        <w:gridCol w:w="1187"/>
      </w:tblGrid>
      <w:tr w:rsidR="00320401" w:rsidRPr="00D37AFE" w14:paraId="073732F6" w14:textId="77777777" w:rsidTr="005670EB">
        <w:trPr>
          <w:trHeight w:val="265"/>
        </w:trPr>
        <w:tc>
          <w:tcPr>
            <w:tcW w:w="5770" w:type="dxa"/>
            <w:gridSpan w:val="3"/>
            <w:tcBorders>
              <w:top w:val="single" w:sz="4" w:space="0" w:color="A6A6A6"/>
              <w:left w:val="single" w:sz="4" w:space="0" w:color="A6A6A6"/>
              <w:bottom w:val="single" w:sz="4" w:space="0" w:color="A6A6A6"/>
              <w:right w:val="nil"/>
            </w:tcBorders>
            <w:shd w:val="clear" w:color="auto" w:fill="548DD4" w:themeFill="text2" w:themeFillTint="99"/>
            <w:noWrap/>
            <w:vAlign w:val="center"/>
            <w:hideMark/>
          </w:tcPr>
          <w:p w14:paraId="313303A3"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20" w:type="dxa"/>
            <w:gridSpan w:val="2"/>
            <w:tcBorders>
              <w:top w:val="single" w:sz="4" w:space="0" w:color="A6A6A6"/>
              <w:left w:val="nil"/>
              <w:bottom w:val="single" w:sz="4" w:space="0" w:color="A6A6A6"/>
              <w:right w:val="single" w:sz="4" w:space="0" w:color="A6A6A6"/>
            </w:tcBorders>
            <w:shd w:val="clear" w:color="auto" w:fill="548DD4" w:themeFill="text2" w:themeFillTint="99"/>
            <w:noWrap/>
            <w:vAlign w:val="center"/>
            <w:hideMark/>
          </w:tcPr>
          <w:p w14:paraId="0D1F5CC9"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320401" w:rsidRPr="00D37AFE" w14:paraId="3934BE6D" w14:textId="77777777" w:rsidTr="005670EB">
        <w:trPr>
          <w:trHeight w:val="265"/>
        </w:trPr>
        <w:tc>
          <w:tcPr>
            <w:tcW w:w="5770"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6BAAB3B9"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33" w:type="dxa"/>
            <w:tcBorders>
              <w:top w:val="nil"/>
              <w:left w:val="nil"/>
              <w:bottom w:val="single" w:sz="4" w:space="0" w:color="A6A6A6"/>
              <w:right w:val="single" w:sz="4" w:space="0" w:color="A6A6A6"/>
            </w:tcBorders>
            <w:shd w:val="clear" w:color="000000" w:fill="F2F2F2"/>
            <w:noWrap/>
            <w:vAlign w:val="center"/>
            <w:hideMark/>
          </w:tcPr>
          <w:p w14:paraId="0EBDAE6E"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187" w:type="dxa"/>
            <w:tcBorders>
              <w:top w:val="nil"/>
              <w:left w:val="nil"/>
              <w:bottom w:val="single" w:sz="4" w:space="0" w:color="A6A6A6"/>
              <w:right w:val="single" w:sz="4" w:space="0" w:color="A6A6A6"/>
            </w:tcBorders>
            <w:shd w:val="clear" w:color="000000" w:fill="F2F2F2"/>
            <w:noWrap/>
            <w:vAlign w:val="center"/>
            <w:hideMark/>
          </w:tcPr>
          <w:p w14:paraId="1DD96CEF"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320401" w:rsidRPr="00D37AFE" w14:paraId="3FC3FFC7" w14:textId="77777777" w:rsidTr="005670EB">
        <w:trPr>
          <w:trHeight w:val="265"/>
        </w:trPr>
        <w:tc>
          <w:tcPr>
            <w:tcW w:w="1442" w:type="dxa"/>
            <w:tcBorders>
              <w:top w:val="nil"/>
              <w:left w:val="single" w:sz="4" w:space="0" w:color="A6A6A6"/>
              <w:bottom w:val="single" w:sz="4" w:space="0" w:color="A6A6A6"/>
              <w:right w:val="single" w:sz="4" w:space="0" w:color="A6A6A6"/>
            </w:tcBorders>
            <w:shd w:val="clear" w:color="000000" w:fill="F2F2F2"/>
            <w:vAlign w:val="center"/>
            <w:hideMark/>
          </w:tcPr>
          <w:p w14:paraId="377A3EE1"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27" w:type="dxa"/>
            <w:gridSpan w:val="2"/>
            <w:tcBorders>
              <w:top w:val="single" w:sz="4" w:space="0" w:color="A6A6A6"/>
              <w:left w:val="nil"/>
              <w:bottom w:val="single" w:sz="4" w:space="0" w:color="A6A6A6"/>
              <w:right w:val="single" w:sz="4" w:space="0" w:color="A6A6A6"/>
            </w:tcBorders>
            <w:shd w:val="clear" w:color="auto" w:fill="auto"/>
            <w:vAlign w:val="center"/>
            <w:hideMark/>
          </w:tcPr>
          <w:p w14:paraId="67CB0B10"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33" w:type="dxa"/>
            <w:tcBorders>
              <w:top w:val="nil"/>
              <w:left w:val="nil"/>
              <w:bottom w:val="single" w:sz="4" w:space="0" w:color="A6A6A6"/>
              <w:right w:val="single" w:sz="4" w:space="0" w:color="A6A6A6"/>
            </w:tcBorders>
            <w:shd w:val="clear" w:color="000000" w:fill="F2F2F2"/>
            <w:noWrap/>
            <w:vAlign w:val="bottom"/>
            <w:hideMark/>
          </w:tcPr>
          <w:p w14:paraId="73745008"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44.44%</w:t>
            </w:r>
          </w:p>
        </w:tc>
        <w:tc>
          <w:tcPr>
            <w:tcW w:w="1187" w:type="dxa"/>
            <w:tcBorders>
              <w:top w:val="nil"/>
              <w:left w:val="nil"/>
              <w:bottom w:val="single" w:sz="4" w:space="0" w:color="A6A6A6"/>
              <w:right w:val="single" w:sz="4" w:space="0" w:color="A6A6A6"/>
            </w:tcBorders>
            <w:shd w:val="clear" w:color="000000" w:fill="F2F2F2"/>
            <w:noWrap/>
            <w:vAlign w:val="bottom"/>
            <w:hideMark/>
          </w:tcPr>
          <w:p w14:paraId="502F4056"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320401" w:rsidRPr="00D37AFE" w14:paraId="5B501614" w14:textId="77777777" w:rsidTr="005670EB">
        <w:trPr>
          <w:trHeight w:val="265"/>
        </w:trPr>
        <w:tc>
          <w:tcPr>
            <w:tcW w:w="1442" w:type="dxa"/>
            <w:tcBorders>
              <w:top w:val="nil"/>
              <w:left w:val="single" w:sz="4" w:space="0" w:color="A6A6A6"/>
              <w:bottom w:val="single" w:sz="4" w:space="0" w:color="A6A6A6"/>
              <w:right w:val="single" w:sz="4" w:space="0" w:color="A6A6A6"/>
            </w:tcBorders>
            <w:shd w:val="clear" w:color="000000" w:fill="F2F2F2"/>
            <w:vAlign w:val="center"/>
            <w:hideMark/>
          </w:tcPr>
          <w:p w14:paraId="5D385BA5"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27" w:type="dxa"/>
            <w:gridSpan w:val="2"/>
            <w:tcBorders>
              <w:top w:val="single" w:sz="4" w:space="0" w:color="A6A6A6"/>
              <w:left w:val="nil"/>
              <w:bottom w:val="single" w:sz="4" w:space="0" w:color="A6A6A6"/>
              <w:right w:val="single" w:sz="4" w:space="0" w:color="A6A6A6"/>
            </w:tcBorders>
            <w:shd w:val="clear" w:color="auto" w:fill="auto"/>
            <w:vAlign w:val="center"/>
            <w:hideMark/>
          </w:tcPr>
          <w:p w14:paraId="5620A76D"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33" w:type="dxa"/>
            <w:tcBorders>
              <w:top w:val="nil"/>
              <w:left w:val="nil"/>
              <w:bottom w:val="single" w:sz="4" w:space="0" w:color="A6A6A6"/>
              <w:right w:val="single" w:sz="4" w:space="0" w:color="A6A6A6"/>
            </w:tcBorders>
            <w:shd w:val="clear" w:color="000000" w:fill="F2F2F2"/>
            <w:noWrap/>
            <w:vAlign w:val="bottom"/>
            <w:hideMark/>
          </w:tcPr>
          <w:p w14:paraId="3DC3DC4F"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55.56%</w:t>
            </w:r>
          </w:p>
        </w:tc>
        <w:tc>
          <w:tcPr>
            <w:tcW w:w="1187" w:type="dxa"/>
            <w:tcBorders>
              <w:top w:val="nil"/>
              <w:left w:val="nil"/>
              <w:bottom w:val="single" w:sz="4" w:space="0" w:color="A6A6A6"/>
              <w:right w:val="single" w:sz="4" w:space="0" w:color="A6A6A6"/>
            </w:tcBorders>
            <w:shd w:val="clear" w:color="000000" w:fill="F2F2F2"/>
            <w:noWrap/>
            <w:vAlign w:val="bottom"/>
            <w:hideMark/>
          </w:tcPr>
          <w:p w14:paraId="1DE7A921"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w:t>
            </w:r>
          </w:p>
        </w:tc>
      </w:tr>
      <w:tr w:rsidR="00320401" w:rsidRPr="00D37AFE" w14:paraId="57F18BAB" w14:textId="77777777" w:rsidTr="005670EB">
        <w:trPr>
          <w:trHeight w:val="265"/>
        </w:trPr>
        <w:tc>
          <w:tcPr>
            <w:tcW w:w="1442" w:type="dxa"/>
            <w:tcBorders>
              <w:top w:val="nil"/>
              <w:left w:val="single" w:sz="4" w:space="0" w:color="A6A6A6"/>
              <w:bottom w:val="single" w:sz="4" w:space="0" w:color="A6A6A6"/>
              <w:right w:val="single" w:sz="4" w:space="0" w:color="A6A6A6"/>
            </w:tcBorders>
            <w:shd w:val="clear" w:color="000000" w:fill="F2F2F2"/>
            <w:vAlign w:val="center"/>
            <w:hideMark/>
          </w:tcPr>
          <w:p w14:paraId="2A6BD4DC"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27" w:type="dxa"/>
            <w:gridSpan w:val="2"/>
            <w:tcBorders>
              <w:top w:val="single" w:sz="4" w:space="0" w:color="A6A6A6"/>
              <w:left w:val="nil"/>
              <w:bottom w:val="single" w:sz="4" w:space="0" w:color="A6A6A6"/>
              <w:right w:val="single" w:sz="4" w:space="0" w:color="A6A6A6"/>
            </w:tcBorders>
            <w:shd w:val="clear" w:color="auto" w:fill="auto"/>
            <w:vAlign w:val="center"/>
            <w:hideMark/>
          </w:tcPr>
          <w:p w14:paraId="05D1BC5D"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33" w:type="dxa"/>
            <w:tcBorders>
              <w:top w:val="nil"/>
              <w:left w:val="nil"/>
              <w:bottom w:val="single" w:sz="4" w:space="0" w:color="A6A6A6"/>
              <w:right w:val="single" w:sz="4" w:space="0" w:color="A6A6A6"/>
            </w:tcBorders>
            <w:shd w:val="clear" w:color="000000" w:fill="F2F2F2"/>
            <w:noWrap/>
            <w:vAlign w:val="bottom"/>
            <w:hideMark/>
          </w:tcPr>
          <w:p w14:paraId="5A33F75A"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00.00%</w:t>
            </w:r>
          </w:p>
        </w:tc>
        <w:tc>
          <w:tcPr>
            <w:tcW w:w="1187" w:type="dxa"/>
            <w:tcBorders>
              <w:top w:val="nil"/>
              <w:left w:val="nil"/>
              <w:bottom w:val="single" w:sz="4" w:space="0" w:color="A6A6A6"/>
              <w:right w:val="single" w:sz="4" w:space="0" w:color="A6A6A6"/>
            </w:tcBorders>
            <w:shd w:val="clear" w:color="000000" w:fill="F2F2F2"/>
            <w:noWrap/>
            <w:vAlign w:val="bottom"/>
            <w:hideMark/>
          </w:tcPr>
          <w:p w14:paraId="16A5210C"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w:t>
            </w:r>
          </w:p>
        </w:tc>
      </w:tr>
      <w:tr w:rsidR="00320401" w:rsidRPr="00D37AFE" w14:paraId="4E256E99" w14:textId="77777777" w:rsidTr="005670EB">
        <w:trPr>
          <w:trHeight w:val="265"/>
        </w:trPr>
        <w:tc>
          <w:tcPr>
            <w:tcW w:w="4042"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688815CE"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28" w:type="dxa"/>
            <w:tcBorders>
              <w:top w:val="nil"/>
              <w:left w:val="nil"/>
              <w:bottom w:val="single" w:sz="4" w:space="0" w:color="A6A6A6"/>
              <w:right w:val="single" w:sz="4" w:space="0" w:color="A6A6A6"/>
            </w:tcBorders>
            <w:shd w:val="clear" w:color="000000" w:fill="F2F2F2"/>
            <w:vAlign w:val="center"/>
            <w:hideMark/>
          </w:tcPr>
          <w:p w14:paraId="47B97540"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33" w:type="dxa"/>
            <w:tcBorders>
              <w:top w:val="nil"/>
              <w:left w:val="nil"/>
              <w:bottom w:val="single" w:sz="4" w:space="0" w:color="A6A6A6"/>
              <w:right w:val="single" w:sz="4" w:space="0" w:color="A6A6A6"/>
            </w:tcBorders>
            <w:shd w:val="clear" w:color="000000" w:fill="F2F2F2"/>
            <w:noWrap/>
            <w:vAlign w:val="bottom"/>
            <w:hideMark/>
          </w:tcPr>
          <w:p w14:paraId="30D3E3EE"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187" w:type="dxa"/>
            <w:tcBorders>
              <w:top w:val="nil"/>
              <w:left w:val="nil"/>
              <w:bottom w:val="single" w:sz="4" w:space="0" w:color="A6A6A6"/>
              <w:right w:val="single" w:sz="4" w:space="0" w:color="A6A6A6"/>
            </w:tcBorders>
            <w:shd w:val="clear" w:color="000000" w:fill="F2F2F2"/>
            <w:noWrap/>
            <w:vAlign w:val="bottom"/>
            <w:hideMark/>
          </w:tcPr>
          <w:p w14:paraId="4BDBE678"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tc>
      </w:tr>
      <w:tr w:rsidR="00320401" w:rsidRPr="00D37AFE" w14:paraId="12F577D4" w14:textId="77777777" w:rsidTr="005670EB">
        <w:trPr>
          <w:trHeight w:val="265"/>
        </w:trPr>
        <w:tc>
          <w:tcPr>
            <w:tcW w:w="4042" w:type="dxa"/>
            <w:gridSpan w:val="2"/>
            <w:vMerge/>
            <w:tcBorders>
              <w:top w:val="single" w:sz="4" w:space="0" w:color="A6A6A6"/>
              <w:left w:val="single" w:sz="4" w:space="0" w:color="A6A6A6"/>
              <w:bottom w:val="single" w:sz="4" w:space="0" w:color="A6A6A6"/>
              <w:right w:val="single" w:sz="4" w:space="0" w:color="A6A6A6"/>
            </w:tcBorders>
            <w:vAlign w:val="center"/>
            <w:hideMark/>
          </w:tcPr>
          <w:p w14:paraId="0D10B7BB" w14:textId="77777777" w:rsidR="00320401" w:rsidRPr="00D37AFE" w:rsidRDefault="00320401" w:rsidP="005670EB">
            <w:pPr>
              <w:spacing w:after="0" w:line="240" w:lineRule="auto"/>
              <w:rPr>
                <w:rFonts w:ascii="Arial" w:eastAsia="Times New Roman" w:hAnsi="Arial" w:cs="Arial"/>
                <w:b/>
                <w:bCs/>
                <w:color w:val="000000"/>
                <w:sz w:val="24"/>
                <w:szCs w:val="24"/>
                <w:lang w:eastAsia="en-GB"/>
              </w:rPr>
            </w:pPr>
          </w:p>
        </w:tc>
        <w:tc>
          <w:tcPr>
            <w:tcW w:w="1728" w:type="dxa"/>
            <w:tcBorders>
              <w:top w:val="nil"/>
              <w:left w:val="nil"/>
              <w:bottom w:val="single" w:sz="4" w:space="0" w:color="A6A6A6"/>
              <w:right w:val="single" w:sz="4" w:space="0" w:color="A6A6A6"/>
            </w:tcBorders>
            <w:shd w:val="clear" w:color="000000" w:fill="F2F2F2"/>
            <w:vAlign w:val="center"/>
            <w:hideMark/>
          </w:tcPr>
          <w:p w14:paraId="556533BC"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33" w:type="dxa"/>
            <w:tcBorders>
              <w:top w:val="nil"/>
              <w:left w:val="nil"/>
              <w:bottom w:val="single" w:sz="4" w:space="0" w:color="A6A6A6"/>
              <w:right w:val="single" w:sz="4" w:space="0" w:color="A6A6A6"/>
            </w:tcBorders>
            <w:shd w:val="clear" w:color="000000" w:fill="F2F2F2"/>
            <w:noWrap/>
            <w:vAlign w:val="bottom"/>
            <w:hideMark/>
          </w:tcPr>
          <w:p w14:paraId="267E92FB"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187" w:type="dxa"/>
            <w:tcBorders>
              <w:top w:val="nil"/>
              <w:left w:val="nil"/>
              <w:bottom w:val="single" w:sz="4" w:space="0" w:color="A6A6A6"/>
              <w:right w:val="single" w:sz="4" w:space="0" w:color="A6A6A6"/>
            </w:tcBorders>
            <w:shd w:val="clear" w:color="000000" w:fill="F2F2F2"/>
            <w:noWrap/>
            <w:vAlign w:val="bottom"/>
            <w:hideMark/>
          </w:tcPr>
          <w:p w14:paraId="60D97F4C"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bl>
    <w:p w14:paraId="6E02C519" w14:textId="77777777" w:rsidR="00320401" w:rsidRPr="00D37AFE" w:rsidRDefault="00320401" w:rsidP="00320401">
      <w:pPr>
        <w:spacing w:after="0" w:line="240" w:lineRule="auto"/>
        <w:contextualSpacing/>
        <w:rPr>
          <w:rFonts w:ascii="Arial" w:hAnsi="Arial" w:cs="Arial"/>
          <w:b/>
          <w:sz w:val="24"/>
          <w:szCs w:val="24"/>
        </w:rPr>
      </w:pPr>
    </w:p>
    <w:p w14:paraId="7B503C0D" w14:textId="77777777" w:rsidR="00320401" w:rsidRPr="00D37AFE" w:rsidRDefault="00320401" w:rsidP="00320401">
      <w:pPr>
        <w:spacing w:after="0" w:line="240" w:lineRule="auto"/>
        <w:contextualSpacing/>
        <w:rPr>
          <w:rFonts w:ascii="Arial" w:hAnsi="Arial" w:cs="Arial"/>
          <w:b/>
          <w:sz w:val="24"/>
          <w:szCs w:val="24"/>
        </w:rPr>
      </w:pPr>
    </w:p>
    <w:p w14:paraId="501CB52F" w14:textId="77777777" w:rsidR="00320401" w:rsidRPr="00D37AFE" w:rsidRDefault="00320401" w:rsidP="00320401">
      <w:pPr>
        <w:spacing w:after="0" w:line="240" w:lineRule="auto"/>
        <w:contextualSpacing/>
        <w:rPr>
          <w:rFonts w:ascii="Arial" w:hAnsi="Arial" w:cs="Arial"/>
          <w:b/>
          <w:sz w:val="24"/>
          <w:szCs w:val="24"/>
        </w:rPr>
      </w:pPr>
      <w:r w:rsidRPr="00D37AFE">
        <w:rPr>
          <w:rFonts w:ascii="Arial" w:hAnsi="Arial" w:cs="Arial"/>
          <w:b/>
          <w:sz w:val="24"/>
          <w:szCs w:val="24"/>
        </w:rPr>
        <w:t>Comments</w:t>
      </w:r>
    </w:p>
    <w:p w14:paraId="785FACA7" w14:textId="77777777" w:rsidR="00320401" w:rsidRPr="00D37AFE" w:rsidRDefault="00320401" w:rsidP="00320401">
      <w:pPr>
        <w:spacing w:after="0" w:line="240" w:lineRule="auto"/>
        <w:contextualSpacing/>
        <w:rPr>
          <w:rFonts w:ascii="Arial" w:hAnsi="Arial" w:cs="Arial"/>
          <w:b/>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320401" w:rsidRPr="00D37AFE" w14:paraId="16C2CDC3" w14:textId="77777777" w:rsidTr="005670EB">
        <w:tc>
          <w:tcPr>
            <w:tcW w:w="0" w:type="auto"/>
            <w:shd w:val="clear" w:color="auto" w:fill="FFFFFF"/>
            <w:tcMar>
              <w:top w:w="75" w:type="dxa"/>
              <w:left w:w="75" w:type="dxa"/>
              <w:bottom w:w="75" w:type="dxa"/>
              <w:right w:w="75" w:type="dxa"/>
            </w:tcMar>
            <w:hideMark/>
          </w:tcPr>
          <w:p w14:paraId="096F880B" w14:textId="77777777" w:rsidR="00320401" w:rsidRPr="00D37AFE" w:rsidRDefault="00320401" w:rsidP="00320401">
            <w:pPr>
              <w:pStyle w:val="ListParagraph"/>
              <w:numPr>
                <w:ilvl w:val="0"/>
                <w:numId w:val="201"/>
              </w:numPr>
              <w:spacing w:after="0" w:line="240" w:lineRule="auto"/>
              <w:rPr>
                <w:rFonts w:ascii="Arial" w:hAnsi="Arial" w:cs="Arial"/>
                <w:bCs/>
                <w:sz w:val="24"/>
                <w:szCs w:val="24"/>
              </w:rPr>
            </w:pPr>
            <w:r w:rsidRPr="00D37AFE">
              <w:rPr>
                <w:rFonts w:ascii="Arial" w:hAnsi="Arial" w:cs="Arial"/>
                <w:bCs/>
                <w:sz w:val="24"/>
                <w:szCs w:val="24"/>
              </w:rPr>
              <w:t>Closure of one pharmacy in Colchester Avenue, Cardiff</w:t>
            </w:r>
            <w:r w:rsidRPr="00D37AFE">
              <w:rPr>
                <w:rFonts w:ascii="Arial" w:hAnsi="Arial" w:cs="Arial"/>
                <w:bCs/>
                <w:sz w:val="24"/>
                <w:szCs w:val="24"/>
              </w:rPr>
              <w:br/>
              <w:t>Relocation of a pharmacy in Tremorfa</w:t>
            </w:r>
            <w:r w:rsidRPr="00D37AFE">
              <w:rPr>
                <w:rFonts w:ascii="Arial" w:hAnsi="Arial" w:cs="Arial"/>
                <w:bCs/>
                <w:sz w:val="24"/>
                <w:szCs w:val="24"/>
              </w:rPr>
              <w:br/>
              <w:t>Nearest pharmacy to GP surgery in Pengam Green now 1.6 miles away</w:t>
            </w:r>
            <w:r w:rsidRPr="00D37AFE">
              <w:rPr>
                <w:rFonts w:ascii="Arial" w:hAnsi="Arial" w:cs="Arial"/>
                <w:bCs/>
                <w:sz w:val="24"/>
                <w:szCs w:val="24"/>
              </w:rPr>
              <w:br/>
              <w:t>South East Cluster has high deprivation, low car ownership.</w:t>
            </w:r>
          </w:p>
        </w:tc>
      </w:tr>
      <w:tr w:rsidR="00320401" w:rsidRPr="00D37AFE" w14:paraId="58F79FF2" w14:textId="77777777" w:rsidTr="005670EB">
        <w:tc>
          <w:tcPr>
            <w:tcW w:w="0" w:type="auto"/>
            <w:shd w:val="clear" w:color="auto" w:fill="FFFFFF"/>
            <w:tcMar>
              <w:top w:w="75" w:type="dxa"/>
              <w:left w:w="75" w:type="dxa"/>
              <w:bottom w:w="75" w:type="dxa"/>
              <w:right w:w="75" w:type="dxa"/>
            </w:tcMar>
            <w:hideMark/>
          </w:tcPr>
          <w:p w14:paraId="4A5C7B6B" w14:textId="77777777" w:rsidR="00320401" w:rsidRPr="00D37AFE" w:rsidRDefault="00320401" w:rsidP="00320401">
            <w:pPr>
              <w:pStyle w:val="ListParagraph"/>
              <w:numPr>
                <w:ilvl w:val="0"/>
                <w:numId w:val="201"/>
              </w:numPr>
              <w:spacing w:after="0" w:line="240" w:lineRule="auto"/>
              <w:rPr>
                <w:rFonts w:ascii="Arial" w:hAnsi="Arial" w:cs="Arial"/>
                <w:bCs/>
                <w:sz w:val="24"/>
                <w:szCs w:val="24"/>
              </w:rPr>
            </w:pPr>
            <w:r w:rsidRPr="00D37AFE">
              <w:rPr>
                <w:rFonts w:ascii="Arial" w:hAnsi="Arial" w:cs="Arial"/>
                <w:bCs/>
                <w:sz w:val="24"/>
                <w:szCs w:val="24"/>
              </w:rPr>
              <w:t>The feedback from the pharmacies in [X] are widely inaccurate. Neither pharmacy in [X] can cope with the current patient demand. They have not adapted to the pressures of COVID or have a recovery plan. Acute scripts take a week to be processed by one of the pharmacies and a staggering proportion of scripts are "lost" on a daily basis by both pharmacies. A disproportionately large number of patients are on weekly scripts driven by pharmacy demands and requirements and despite multiple initiatives and meetings the problem continues. Patient complaints have rocketed and one of the pharmacies still remains closed over the lunchtime period. This has been an ongoing issue for years but the pandemic has highlighted the failures within the pharmacies and their inability to cope with the demands of the local population. This is also at a time of unprecedented building within and around [X] and there is absolute need for increased pharmacy provision to cope with the large population increase that is occurring and will continue over the next 5 years.</w:t>
            </w:r>
          </w:p>
        </w:tc>
      </w:tr>
      <w:tr w:rsidR="00320401" w:rsidRPr="00D37AFE" w14:paraId="13D5EA00" w14:textId="77777777" w:rsidTr="005670EB">
        <w:tc>
          <w:tcPr>
            <w:tcW w:w="0" w:type="auto"/>
            <w:shd w:val="clear" w:color="auto" w:fill="FFFFFF"/>
            <w:tcMar>
              <w:top w:w="75" w:type="dxa"/>
              <w:left w:w="75" w:type="dxa"/>
              <w:bottom w:w="75" w:type="dxa"/>
              <w:right w:w="75" w:type="dxa"/>
            </w:tcMar>
            <w:hideMark/>
          </w:tcPr>
          <w:p w14:paraId="2EBFEC38" w14:textId="77777777" w:rsidR="00320401" w:rsidRPr="00D37AFE" w:rsidRDefault="00320401" w:rsidP="00320401">
            <w:pPr>
              <w:pStyle w:val="ListParagraph"/>
              <w:numPr>
                <w:ilvl w:val="0"/>
                <w:numId w:val="201"/>
              </w:numPr>
              <w:spacing w:after="0" w:line="240" w:lineRule="auto"/>
              <w:rPr>
                <w:rFonts w:ascii="Arial" w:hAnsi="Arial" w:cs="Arial"/>
                <w:bCs/>
                <w:sz w:val="24"/>
                <w:szCs w:val="24"/>
              </w:rPr>
            </w:pPr>
            <w:r w:rsidRPr="00D37AFE">
              <w:rPr>
                <w:rFonts w:ascii="Arial" w:hAnsi="Arial" w:cs="Arial"/>
                <w:bCs/>
                <w:sz w:val="24"/>
                <w:szCs w:val="24"/>
              </w:rPr>
              <w:t xml:space="preserve">Western VOG pharmacies are currently struggling with the demand and unable to provide timely service to their patients, with requests for reprints of repeat prescriptions being received daily as script collection and storage is disorganised and poor stock of medicines necessitating further GP time and patient time. Batch prescriptions seem to be causing a lot of difficulties instead of streamlining the process. One high street [X] pharmacy shuts for one hour mid day. There is a high level of patient dissatisfaction and difficulty accessing the pharmacist. Patient waiting times are high. </w:t>
            </w:r>
          </w:p>
        </w:tc>
      </w:tr>
      <w:tr w:rsidR="00320401" w:rsidRPr="00D37AFE" w14:paraId="6B325664" w14:textId="77777777" w:rsidTr="005670EB">
        <w:tc>
          <w:tcPr>
            <w:tcW w:w="0" w:type="auto"/>
            <w:shd w:val="clear" w:color="auto" w:fill="FFFFFF"/>
            <w:tcMar>
              <w:top w:w="75" w:type="dxa"/>
              <w:left w:w="75" w:type="dxa"/>
              <w:bottom w:w="75" w:type="dxa"/>
              <w:right w:w="75" w:type="dxa"/>
            </w:tcMar>
            <w:hideMark/>
          </w:tcPr>
          <w:p w14:paraId="107ECAAF" w14:textId="77777777" w:rsidR="00320401" w:rsidRPr="00D37AFE" w:rsidRDefault="00320401" w:rsidP="00320401">
            <w:pPr>
              <w:pStyle w:val="ListParagraph"/>
              <w:numPr>
                <w:ilvl w:val="0"/>
                <w:numId w:val="201"/>
              </w:numPr>
              <w:spacing w:after="0" w:line="240" w:lineRule="auto"/>
              <w:rPr>
                <w:rFonts w:ascii="Arial" w:hAnsi="Arial" w:cs="Arial"/>
                <w:bCs/>
                <w:sz w:val="24"/>
                <w:szCs w:val="24"/>
              </w:rPr>
            </w:pPr>
            <w:r w:rsidRPr="00D37AFE">
              <w:rPr>
                <w:rFonts w:ascii="Arial" w:hAnsi="Arial" w:cs="Arial"/>
                <w:bCs/>
                <w:sz w:val="24"/>
                <w:szCs w:val="24"/>
              </w:rPr>
              <w:lastRenderedPageBreak/>
              <w:t>In addition to the heavy reliance on, and flawed use of, the public survey as stated above, the draft PNA also relies heavily on the Contractor Survey (Appendix I) which is then referenced within each of the respective Cluster sections. Contractors were supplied with the survey questionnaire without any supporting information or materials on which to base their responses. Evidently they may have an understanding of their current provision and capacity but without the provision of appropriate information it seems unlikely that their responses reflect informed opinion.</w:t>
            </w:r>
            <w:r w:rsidRPr="00D37AFE">
              <w:rPr>
                <w:rFonts w:ascii="Arial" w:hAnsi="Arial" w:cs="Arial"/>
                <w:bCs/>
                <w:sz w:val="24"/>
                <w:szCs w:val="24"/>
              </w:rPr>
              <w:br/>
            </w:r>
            <w:r w:rsidRPr="00D37AFE">
              <w:rPr>
                <w:rFonts w:ascii="Arial" w:hAnsi="Arial" w:cs="Arial"/>
                <w:bCs/>
                <w:sz w:val="24"/>
                <w:szCs w:val="24"/>
              </w:rPr>
              <w:br/>
              <w:t>Current and future service delivery is dependent on the availability of an appropriately qualified and skilled workforce. Recent projections indicate a significant shortfall in new Pharmacy Registrant places which will impact heavily upon Community Pharmacy recruitment. This and other workforce constraints are not captured or considered within the draft PNA.</w:t>
            </w:r>
            <w:r w:rsidRPr="00D37AFE">
              <w:rPr>
                <w:rFonts w:ascii="Arial" w:hAnsi="Arial" w:cs="Arial"/>
                <w:bCs/>
                <w:sz w:val="24"/>
                <w:szCs w:val="24"/>
              </w:rPr>
              <w:br/>
            </w:r>
            <w:r w:rsidRPr="00D37AFE">
              <w:rPr>
                <w:rFonts w:ascii="Arial" w:hAnsi="Arial" w:cs="Arial"/>
                <w:bCs/>
                <w:sz w:val="24"/>
                <w:szCs w:val="24"/>
              </w:rPr>
              <w:br/>
              <w:t xml:space="preserve">Within each Cluster section of the draft PNA reference is made to the current (2019/2020) provision of enhanced services. Each of these demonstrates a clear current gap in the delivery of much needed enhanced service delivery e.g. in Cardiff North Cluster only 11 of the 18 pharmacies provide emergency contraception services and, shockingly, only 3 of the 18 pharmacies offered smoking cessation level 3 consultations with a meagre total of 44 consultations throughout the whole year. </w:t>
            </w:r>
          </w:p>
        </w:tc>
      </w:tr>
      <w:tr w:rsidR="00320401" w:rsidRPr="00D37AFE" w14:paraId="1758C05E" w14:textId="77777777" w:rsidTr="005670EB">
        <w:tc>
          <w:tcPr>
            <w:tcW w:w="0" w:type="auto"/>
            <w:shd w:val="clear" w:color="auto" w:fill="FFFFFF"/>
            <w:tcMar>
              <w:top w:w="75" w:type="dxa"/>
              <w:left w:w="75" w:type="dxa"/>
              <w:bottom w:w="75" w:type="dxa"/>
              <w:right w:w="75" w:type="dxa"/>
            </w:tcMar>
            <w:hideMark/>
          </w:tcPr>
          <w:p w14:paraId="05292AB9" w14:textId="77777777" w:rsidR="00320401" w:rsidRPr="00D37AFE" w:rsidRDefault="00320401" w:rsidP="005670EB">
            <w:pPr>
              <w:spacing w:after="0" w:line="240" w:lineRule="auto"/>
              <w:rPr>
                <w:rFonts w:ascii="Arial" w:hAnsi="Arial" w:cs="Arial"/>
                <w:bCs/>
                <w:sz w:val="24"/>
                <w:szCs w:val="24"/>
              </w:rPr>
            </w:pPr>
          </w:p>
        </w:tc>
      </w:tr>
      <w:tr w:rsidR="00320401" w:rsidRPr="00D37AFE" w14:paraId="2D766BCA" w14:textId="77777777" w:rsidTr="005670EB">
        <w:tc>
          <w:tcPr>
            <w:tcW w:w="0" w:type="auto"/>
            <w:shd w:val="clear" w:color="auto" w:fill="FFFFFF"/>
            <w:tcMar>
              <w:top w:w="75" w:type="dxa"/>
              <w:left w:w="75" w:type="dxa"/>
              <w:bottom w:w="75" w:type="dxa"/>
              <w:right w:w="75" w:type="dxa"/>
            </w:tcMar>
            <w:hideMark/>
          </w:tcPr>
          <w:p w14:paraId="42D8A2BA" w14:textId="77777777" w:rsidR="00320401" w:rsidRPr="00D37AFE" w:rsidRDefault="00320401" w:rsidP="00320401">
            <w:pPr>
              <w:pStyle w:val="ListParagraph"/>
              <w:numPr>
                <w:ilvl w:val="0"/>
                <w:numId w:val="201"/>
              </w:numPr>
              <w:spacing w:after="0" w:line="240" w:lineRule="auto"/>
              <w:rPr>
                <w:rFonts w:ascii="Arial" w:hAnsi="Arial" w:cs="Arial"/>
                <w:bCs/>
                <w:sz w:val="24"/>
                <w:szCs w:val="24"/>
              </w:rPr>
            </w:pPr>
            <w:r w:rsidRPr="00D37AFE">
              <w:rPr>
                <w:rFonts w:ascii="Arial" w:hAnsi="Arial" w:cs="Arial"/>
                <w:bCs/>
                <w:sz w:val="24"/>
                <w:szCs w:val="24"/>
              </w:rPr>
              <w:t>Once errors highlighted in question 2 are corrected.</w:t>
            </w:r>
            <w:r w:rsidRPr="00D37AFE">
              <w:rPr>
                <w:rFonts w:ascii="Arial" w:hAnsi="Arial" w:cs="Arial"/>
                <w:bCs/>
                <w:sz w:val="24"/>
                <w:szCs w:val="24"/>
              </w:rPr>
              <w:br/>
              <w:t>Areas of concern for me are:</w:t>
            </w:r>
            <w:r w:rsidRPr="00D37AFE">
              <w:rPr>
                <w:rFonts w:ascii="Arial" w:hAnsi="Arial" w:cs="Arial"/>
                <w:bCs/>
                <w:sz w:val="24"/>
                <w:szCs w:val="24"/>
              </w:rPr>
              <w:br/>
              <w:t>1) Can people access pharmacy services close to there home?</w:t>
            </w:r>
            <w:r w:rsidRPr="00D37AFE">
              <w:rPr>
                <w:rFonts w:ascii="Arial" w:hAnsi="Arial" w:cs="Arial"/>
                <w:bCs/>
                <w:sz w:val="24"/>
                <w:szCs w:val="24"/>
              </w:rPr>
              <w:br/>
              <w:t xml:space="preserve">Throughout the document the measure of whether a pharmacy is local is a 10min drive. </w:t>
            </w:r>
            <w:r w:rsidRPr="00D37AFE">
              <w:rPr>
                <w:rFonts w:ascii="Arial" w:hAnsi="Arial" w:cs="Arial"/>
                <w:bCs/>
                <w:sz w:val="24"/>
                <w:szCs w:val="24"/>
              </w:rPr>
              <w:br/>
              <w:t xml:space="preserve">This puts an over emphasis on car use where their own survey highlights 44.48% visit their pharmacy by foot. </w:t>
            </w:r>
            <w:r w:rsidRPr="00D37AFE">
              <w:rPr>
                <w:rFonts w:ascii="Arial" w:hAnsi="Arial" w:cs="Arial"/>
                <w:bCs/>
                <w:sz w:val="24"/>
                <w:szCs w:val="24"/>
              </w:rPr>
              <w:br/>
              <w:t xml:space="preserve">We are being constantly told that the aim is to get people (especially in cities) to reduce their car use. So why is car use being used as the marker? Patients most reliant on community pharmacies are mostly the elderly, disabled and those of high deprivation who also are the most likely NOT to have access to a car. </w:t>
            </w:r>
            <w:r w:rsidRPr="00D37AFE">
              <w:rPr>
                <w:rFonts w:ascii="Arial" w:hAnsi="Arial" w:cs="Arial"/>
                <w:bCs/>
                <w:sz w:val="24"/>
                <w:szCs w:val="24"/>
              </w:rPr>
              <w:br/>
              <w:t xml:space="preserve">I take further issue when the main reason people (29 (9.3%) of 311 people) do not use their closest pharmacy is due to "It is not easy to park at the pharmacy". If the number is extrapolated up this equates to 46,500 people (9.35% of 500,000) again a significant number. </w:t>
            </w:r>
            <w:r w:rsidRPr="00D37AFE">
              <w:rPr>
                <w:rFonts w:ascii="Arial" w:hAnsi="Arial" w:cs="Arial"/>
                <w:bCs/>
                <w:sz w:val="24"/>
                <w:szCs w:val="24"/>
              </w:rPr>
              <w:br/>
              <w:t xml:space="preserve">As a community pharmacist I know of the real issue of parking around community pharmacies resulting in increased deliveries and phone calls. </w:t>
            </w:r>
            <w:r w:rsidRPr="00D37AFE">
              <w:rPr>
                <w:rFonts w:ascii="Arial" w:hAnsi="Arial" w:cs="Arial"/>
                <w:bCs/>
                <w:sz w:val="24"/>
                <w:szCs w:val="24"/>
              </w:rPr>
              <w:br/>
            </w:r>
            <w:r w:rsidRPr="00D37AFE">
              <w:rPr>
                <w:rFonts w:ascii="Arial" w:hAnsi="Arial" w:cs="Arial"/>
                <w:bCs/>
                <w:sz w:val="24"/>
                <w:szCs w:val="24"/>
              </w:rPr>
              <w:br/>
              <w:t xml:space="preserve">2) No locations used in measuring responses. </w:t>
            </w:r>
            <w:r w:rsidRPr="00D37AFE">
              <w:rPr>
                <w:rFonts w:ascii="Arial" w:hAnsi="Arial" w:cs="Arial"/>
                <w:bCs/>
                <w:sz w:val="24"/>
                <w:szCs w:val="24"/>
              </w:rPr>
              <w:br/>
              <w:t>As all responses have been grouped together it is impossible to identify any issues from the data provided.</w:t>
            </w:r>
            <w:r w:rsidRPr="00D37AFE">
              <w:rPr>
                <w:rFonts w:ascii="Arial" w:hAnsi="Arial" w:cs="Arial"/>
                <w:bCs/>
                <w:sz w:val="24"/>
                <w:szCs w:val="24"/>
              </w:rPr>
              <w:br/>
              <w:t xml:space="preserve">All data used at the start of each cluster section (first 2 pages) is copy and pasted for all the clusters in Cardiff and then for the Vale. There is no acknowledgement of the size of the individual clusters, its population and </w:t>
            </w:r>
            <w:r w:rsidRPr="00D37AFE">
              <w:rPr>
                <w:rFonts w:ascii="Arial" w:hAnsi="Arial" w:cs="Arial"/>
                <w:bCs/>
                <w:sz w:val="24"/>
                <w:szCs w:val="24"/>
              </w:rPr>
              <w:lastRenderedPageBreak/>
              <w:t>individual demographics despite the information being available as it is contained in the cluster plans.</w:t>
            </w:r>
          </w:p>
          <w:p w14:paraId="0BE7857A" w14:textId="77777777" w:rsidR="00320401" w:rsidRPr="00D37AFE" w:rsidRDefault="00320401" w:rsidP="005670EB">
            <w:pPr>
              <w:pStyle w:val="ListParagraph"/>
              <w:spacing w:after="0" w:line="240" w:lineRule="auto"/>
              <w:ind w:left="360"/>
              <w:rPr>
                <w:rFonts w:ascii="Arial" w:hAnsi="Arial" w:cs="Arial"/>
                <w:bCs/>
                <w:sz w:val="24"/>
                <w:szCs w:val="24"/>
              </w:rPr>
            </w:pPr>
          </w:p>
          <w:p w14:paraId="4BF84CDF" w14:textId="77777777" w:rsidR="00320401" w:rsidRPr="00D37AFE" w:rsidRDefault="00320401" w:rsidP="00320401">
            <w:pPr>
              <w:pStyle w:val="ListParagraph"/>
              <w:numPr>
                <w:ilvl w:val="0"/>
                <w:numId w:val="201"/>
              </w:numPr>
              <w:spacing w:after="0" w:line="240" w:lineRule="auto"/>
              <w:rPr>
                <w:rFonts w:ascii="Arial" w:hAnsi="Arial" w:cs="Arial"/>
                <w:bCs/>
                <w:sz w:val="24"/>
                <w:szCs w:val="24"/>
              </w:rPr>
            </w:pPr>
            <w:r w:rsidRPr="00D37AFE">
              <w:rPr>
                <w:rFonts w:ascii="Arial" w:hAnsi="Arial" w:cs="Arial"/>
                <w:bCs/>
                <w:sz w:val="24"/>
                <w:szCs w:val="24"/>
              </w:rPr>
              <w:t xml:space="preserve">The when (ie opening hours), where (location of the pharmacies, appliance contractors and dispensing doctors) and which services they provide have been identified by CAVUHB for the purposes of the PNA using data available from various sources, including the AWPD.  CPW is not able to verify this information. </w:t>
            </w:r>
          </w:p>
          <w:p w14:paraId="0FA9DFA8" w14:textId="77777777" w:rsidR="00320401" w:rsidRPr="00D37AFE" w:rsidRDefault="00320401" w:rsidP="005670EB">
            <w:pPr>
              <w:pStyle w:val="ListParagraph"/>
              <w:spacing w:after="0" w:line="240" w:lineRule="auto"/>
              <w:ind w:left="360"/>
              <w:rPr>
                <w:rFonts w:ascii="Arial" w:hAnsi="Arial" w:cs="Arial"/>
                <w:bCs/>
                <w:sz w:val="24"/>
                <w:szCs w:val="24"/>
              </w:rPr>
            </w:pPr>
          </w:p>
          <w:p w14:paraId="02F5DEF1" w14:textId="77777777" w:rsidR="00320401" w:rsidRPr="00D37AFE" w:rsidRDefault="00320401" w:rsidP="005670EB">
            <w:pPr>
              <w:pStyle w:val="ListParagraph"/>
              <w:spacing w:after="0" w:line="240" w:lineRule="auto"/>
              <w:ind w:left="360"/>
              <w:rPr>
                <w:rFonts w:ascii="Arial" w:hAnsi="Arial" w:cs="Arial"/>
                <w:bCs/>
                <w:sz w:val="24"/>
                <w:szCs w:val="24"/>
              </w:rPr>
            </w:pPr>
            <w:r w:rsidRPr="00D37AFE">
              <w:rPr>
                <w:rFonts w:ascii="Arial" w:hAnsi="Arial" w:cs="Arial"/>
                <w:bCs/>
                <w:sz w:val="24"/>
                <w:szCs w:val="24"/>
              </w:rPr>
              <w:t xml:space="preserve">CPW is aware of existing pharmacies which are not providing an NHS Emergency Hormonal Contraceptive Service (EHC). CAVUHB is currently the only Health Board to restrict EHC commissioning. In the pharmacy contractor questionnaire when asked whether there is a requirement for an existing enhanced service which is not currently provided in the area 8 pharmacies replied </w:t>
            </w:r>
            <w:r w:rsidRPr="00D37AFE">
              <w:rPr>
                <w:rFonts w:ascii="Arial" w:hAnsi="Arial" w:cs="Arial"/>
                <w:bCs/>
                <w:i/>
                <w:iCs/>
                <w:sz w:val="24"/>
                <w:szCs w:val="24"/>
              </w:rPr>
              <w:t>‘emergency contraception’</w:t>
            </w:r>
            <w:r w:rsidRPr="00D37AFE">
              <w:rPr>
                <w:rFonts w:ascii="Arial" w:hAnsi="Arial" w:cs="Arial"/>
                <w:bCs/>
                <w:sz w:val="24"/>
                <w:szCs w:val="24"/>
              </w:rPr>
              <w:t xml:space="preserve"> showing a willingness to provide this service. services.  Section 3.3.5 of the PNA identifies considerable unmet need in sexual health services The data analysis confirms that “in 2018, the teenage pregnancy rate in Cardiff was 19.2 conceptions per 1,000 females under 18 years. This is higher than the teenage pregnancy rate for the Vale of Glamorgan (13.3 conceptions per 1,000 females under 18 years) and Wales (18.9 conceptions per 1,000 females under 18 years)”. The non-commissioning of these pharmacies may be leading to an inequality in service provision across CAVUHB.  </w:t>
            </w:r>
          </w:p>
        </w:tc>
      </w:tr>
    </w:tbl>
    <w:p w14:paraId="3311EC9E" w14:textId="77777777" w:rsidR="00320401" w:rsidRPr="00D37AFE" w:rsidRDefault="00320401" w:rsidP="00320401">
      <w:pPr>
        <w:spacing w:after="0" w:line="240" w:lineRule="auto"/>
        <w:contextualSpacing/>
        <w:rPr>
          <w:rFonts w:ascii="Arial" w:hAnsi="Arial" w:cs="Arial"/>
          <w:b/>
          <w:sz w:val="24"/>
          <w:szCs w:val="24"/>
        </w:rPr>
      </w:pPr>
    </w:p>
    <w:p w14:paraId="51AF37C6" w14:textId="77777777" w:rsidR="00320401" w:rsidRPr="00D37AFE" w:rsidRDefault="00320401" w:rsidP="00320401">
      <w:pPr>
        <w:spacing w:after="0" w:line="240" w:lineRule="auto"/>
        <w:rPr>
          <w:rFonts w:ascii="Arial" w:hAnsi="Arial" w:cs="Arial"/>
          <w:b/>
          <w:sz w:val="24"/>
          <w:szCs w:val="24"/>
        </w:rPr>
      </w:pPr>
    </w:p>
    <w:p w14:paraId="49FB809E" w14:textId="77777777" w:rsidR="00320401" w:rsidRPr="00D37AFE" w:rsidRDefault="00320401" w:rsidP="00320401">
      <w:pPr>
        <w:spacing w:after="0" w:line="240" w:lineRule="auto"/>
        <w:rPr>
          <w:rFonts w:ascii="Arial" w:hAnsi="Arial" w:cs="Arial"/>
          <w:b/>
          <w:sz w:val="24"/>
          <w:szCs w:val="24"/>
        </w:rPr>
      </w:pPr>
      <w:r w:rsidRPr="00D37AFE">
        <w:rPr>
          <w:rFonts w:ascii="Arial" w:hAnsi="Arial" w:cs="Arial"/>
          <w:b/>
          <w:sz w:val="24"/>
          <w:szCs w:val="24"/>
        </w:rPr>
        <w:t xml:space="preserve">Cardiff and Vale University Health Board’s consideration </w:t>
      </w:r>
    </w:p>
    <w:p w14:paraId="5082177F" w14:textId="77777777" w:rsidR="00320401" w:rsidRPr="00D37AFE" w:rsidRDefault="00320401" w:rsidP="00320401">
      <w:pPr>
        <w:spacing w:after="0" w:line="240" w:lineRule="auto"/>
        <w:rPr>
          <w:rFonts w:ascii="Arial" w:hAnsi="Arial" w:cs="Arial"/>
          <w:b/>
          <w:bCs/>
          <w:sz w:val="24"/>
          <w:szCs w:val="24"/>
        </w:rPr>
      </w:pPr>
    </w:p>
    <w:p w14:paraId="29CC44C5" w14:textId="77777777" w:rsidR="00320401" w:rsidRPr="00D37AFE" w:rsidRDefault="00320401" w:rsidP="00320401">
      <w:pPr>
        <w:pStyle w:val="ListParagraph"/>
        <w:numPr>
          <w:ilvl w:val="0"/>
          <w:numId w:val="225"/>
        </w:numPr>
        <w:spacing w:after="0" w:line="240" w:lineRule="auto"/>
        <w:rPr>
          <w:rFonts w:ascii="Arial" w:hAnsi="Arial" w:cs="Arial"/>
          <w:sz w:val="24"/>
          <w:szCs w:val="24"/>
        </w:rPr>
      </w:pPr>
      <w:r w:rsidRPr="00D37AFE">
        <w:rPr>
          <w:rFonts w:ascii="Arial" w:hAnsi="Arial" w:cs="Arial"/>
          <w:sz w:val="24"/>
          <w:szCs w:val="24"/>
        </w:rPr>
        <w:t>To prevent repetition, the following addresses the comments raised here and under other questions asked as part of the consultation process:</w:t>
      </w:r>
    </w:p>
    <w:p w14:paraId="1C77070B" w14:textId="77777777" w:rsidR="00320401" w:rsidRPr="00D37AFE" w:rsidRDefault="00320401" w:rsidP="00320401">
      <w:pPr>
        <w:pStyle w:val="ListParagraph"/>
        <w:spacing w:after="0" w:line="240" w:lineRule="auto"/>
        <w:ind w:left="360"/>
        <w:rPr>
          <w:rFonts w:ascii="Arial" w:hAnsi="Arial" w:cs="Arial"/>
          <w:sz w:val="24"/>
          <w:szCs w:val="24"/>
        </w:rPr>
      </w:pPr>
    </w:p>
    <w:p w14:paraId="1D5603CB" w14:textId="77777777" w:rsidR="00320401" w:rsidRPr="00D37AFE" w:rsidRDefault="00320401" w:rsidP="00320401">
      <w:pPr>
        <w:pStyle w:val="ListParagraph"/>
        <w:numPr>
          <w:ilvl w:val="0"/>
          <w:numId w:val="223"/>
        </w:numPr>
        <w:spacing w:after="0" w:line="240" w:lineRule="auto"/>
        <w:rPr>
          <w:rFonts w:ascii="Arial" w:hAnsi="Arial" w:cs="Arial"/>
          <w:sz w:val="24"/>
          <w:szCs w:val="24"/>
        </w:rPr>
      </w:pPr>
      <w:r w:rsidRPr="00D37AFE">
        <w:rPr>
          <w:rFonts w:ascii="Arial" w:hAnsi="Arial" w:cs="Arial"/>
          <w:sz w:val="24"/>
          <w:szCs w:val="24"/>
        </w:rPr>
        <w:t>Pharmacy service in Pengam Green, South East Cluster</w:t>
      </w:r>
    </w:p>
    <w:p w14:paraId="07DC5193" w14:textId="77777777" w:rsidR="00320401" w:rsidRPr="00D37AFE" w:rsidRDefault="00320401" w:rsidP="00320401">
      <w:pPr>
        <w:pStyle w:val="ListParagraph"/>
        <w:spacing w:after="0" w:line="240" w:lineRule="auto"/>
        <w:rPr>
          <w:rFonts w:ascii="Arial" w:hAnsi="Arial" w:cs="Arial"/>
          <w:sz w:val="24"/>
          <w:szCs w:val="24"/>
        </w:rPr>
      </w:pPr>
    </w:p>
    <w:p w14:paraId="2A322B2D" w14:textId="77777777" w:rsidR="00320401" w:rsidRPr="00D37AFE" w:rsidRDefault="00320401" w:rsidP="00320401">
      <w:pPr>
        <w:pStyle w:val="ListParagraph"/>
        <w:spacing w:after="0" w:line="240" w:lineRule="auto"/>
        <w:rPr>
          <w:rFonts w:ascii="Arial" w:hAnsi="Arial" w:cs="Arial"/>
          <w:sz w:val="24"/>
          <w:szCs w:val="24"/>
        </w:rPr>
      </w:pPr>
      <w:r w:rsidRPr="00D37AFE">
        <w:rPr>
          <w:rFonts w:ascii="Arial" w:hAnsi="Arial" w:cs="Arial"/>
          <w:sz w:val="24"/>
          <w:szCs w:val="24"/>
        </w:rPr>
        <w:t xml:space="preserve">Cardiff and Vale University Health Board is mindful of an ongoing appeal made under the 2013 Regulations for a pharmaceutical contract in Pengam Green. This application and subsequent appeal fall outside of the 2020 Regulations and as such the PNA offers no view. </w:t>
      </w:r>
    </w:p>
    <w:p w14:paraId="61AF2EB8" w14:textId="77777777" w:rsidR="00320401" w:rsidRPr="00D37AFE" w:rsidRDefault="00320401" w:rsidP="00320401">
      <w:pPr>
        <w:pStyle w:val="ListParagraph"/>
        <w:spacing w:after="0" w:line="240" w:lineRule="auto"/>
        <w:ind w:left="360"/>
        <w:rPr>
          <w:rFonts w:ascii="Arial" w:hAnsi="Arial" w:cs="Arial"/>
          <w:sz w:val="24"/>
          <w:szCs w:val="24"/>
        </w:rPr>
      </w:pPr>
    </w:p>
    <w:p w14:paraId="18A02CBA" w14:textId="77777777" w:rsidR="00320401" w:rsidRPr="00D37AFE" w:rsidRDefault="00320401" w:rsidP="00320401">
      <w:pPr>
        <w:pStyle w:val="ListParagraph"/>
        <w:spacing w:after="0" w:line="240" w:lineRule="auto"/>
        <w:rPr>
          <w:rFonts w:ascii="Arial" w:hAnsi="Arial" w:cs="Arial"/>
          <w:sz w:val="24"/>
          <w:szCs w:val="24"/>
        </w:rPr>
      </w:pPr>
      <w:r w:rsidRPr="00D37AFE">
        <w:rPr>
          <w:rFonts w:ascii="Arial" w:hAnsi="Arial" w:cs="Arial"/>
          <w:sz w:val="24"/>
          <w:szCs w:val="24"/>
        </w:rPr>
        <w:t xml:space="preserve">Under the 2020 Regulations, the PNA has not identified an unmet need with regards to availability of pharmaceutical services due to there being no pharmacy in Pengam Green. </w:t>
      </w:r>
    </w:p>
    <w:p w14:paraId="53E093EA" w14:textId="77777777" w:rsidR="00320401" w:rsidRPr="00D37AFE" w:rsidRDefault="00320401" w:rsidP="00320401">
      <w:pPr>
        <w:pStyle w:val="ListParagraph"/>
        <w:spacing w:after="0" w:line="240" w:lineRule="auto"/>
        <w:rPr>
          <w:rFonts w:ascii="Arial" w:hAnsi="Arial" w:cs="Arial"/>
          <w:sz w:val="24"/>
          <w:szCs w:val="24"/>
        </w:rPr>
      </w:pPr>
    </w:p>
    <w:p w14:paraId="6997689F" w14:textId="77777777" w:rsidR="00320401" w:rsidRPr="00D37AFE" w:rsidRDefault="00320401" w:rsidP="00320401">
      <w:pPr>
        <w:pStyle w:val="ListParagraph"/>
        <w:numPr>
          <w:ilvl w:val="0"/>
          <w:numId w:val="223"/>
        </w:numPr>
        <w:spacing w:after="0" w:line="240" w:lineRule="auto"/>
        <w:rPr>
          <w:rFonts w:ascii="Arial" w:hAnsi="Arial" w:cs="Arial"/>
          <w:sz w:val="24"/>
          <w:szCs w:val="24"/>
        </w:rPr>
      </w:pPr>
      <w:r w:rsidRPr="00D37AFE">
        <w:rPr>
          <w:rFonts w:ascii="Arial" w:hAnsi="Arial" w:cs="Arial"/>
          <w:sz w:val="24"/>
          <w:szCs w:val="24"/>
        </w:rPr>
        <w:t>Western Vale Cluster</w:t>
      </w:r>
    </w:p>
    <w:p w14:paraId="70959C30" w14:textId="77777777" w:rsidR="00320401" w:rsidRPr="00D37AFE" w:rsidRDefault="00320401" w:rsidP="00320401">
      <w:pPr>
        <w:pStyle w:val="ListParagraph"/>
        <w:spacing w:after="0" w:line="240" w:lineRule="auto"/>
        <w:rPr>
          <w:rFonts w:ascii="Arial" w:hAnsi="Arial" w:cs="Arial"/>
          <w:sz w:val="24"/>
          <w:szCs w:val="24"/>
        </w:rPr>
      </w:pPr>
    </w:p>
    <w:p w14:paraId="3695C404" w14:textId="77777777" w:rsidR="00320401" w:rsidRPr="00D37AFE" w:rsidRDefault="00320401" w:rsidP="00320401">
      <w:pPr>
        <w:pStyle w:val="ListParagraph"/>
        <w:spacing w:after="0" w:line="240" w:lineRule="auto"/>
        <w:rPr>
          <w:rFonts w:ascii="Arial" w:hAnsi="Arial" w:cs="Arial"/>
          <w:sz w:val="24"/>
          <w:szCs w:val="24"/>
        </w:rPr>
      </w:pPr>
      <w:r w:rsidRPr="00D37AFE">
        <w:rPr>
          <w:rFonts w:ascii="Arial" w:hAnsi="Arial" w:cs="Arial"/>
          <w:sz w:val="24"/>
          <w:szCs w:val="24"/>
        </w:rPr>
        <w:t xml:space="preserve">Many of the comments that have been raised refer to the quality of services provided, opening hours and the perceived demands of the local population rather than pharmaceutical needs. </w:t>
      </w:r>
    </w:p>
    <w:p w14:paraId="2A8D9A8E" w14:textId="77777777" w:rsidR="00320401" w:rsidRPr="00D37AFE" w:rsidRDefault="00320401" w:rsidP="00320401">
      <w:pPr>
        <w:pStyle w:val="ListParagraph"/>
        <w:spacing w:after="0" w:line="240" w:lineRule="auto"/>
        <w:rPr>
          <w:rFonts w:ascii="Arial" w:hAnsi="Arial" w:cs="Arial"/>
          <w:sz w:val="24"/>
          <w:szCs w:val="24"/>
        </w:rPr>
      </w:pPr>
    </w:p>
    <w:p w14:paraId="156F0FE8" w14:textId="77777777" w:rsidR="00320401" w:rsidRPr="00D37AFE" w:rsidRDefault="00320401" w:rsidP="00320401">
      <w:pPr>
        <w:pStyle w:val="ListParagraph"/>
        <w:spacing w:after="0" w:line="240" w:lineRule="auto"/>
        <w:rPr>
          <w:rFonts w:ascii="Arial" w:hAnsi="Arial" w:cs="Arial"/>
          <w:sz w:val="24"/>
          <w:szCs w:val="24"/>
        </w:rPr>
      </w:pPr>
      <w:r w:rsidRPr="00D37AFE">
        <w:rPr>
          <w:rFonts w:ascii="Arial" w:hAnsi="Arial" w:cs="Arial"/>
          <w:sz w:val="24"/>
          <w:szCs w:val="24"/>
        </w:rPr>
        <w:lastRenderedPageBreak/>
        <w:t>Quality of services forms part of the contract monitoring process in the first instance. Any complaints or issues are a matter for that procedure.</w:t>
      </w:r>
    </w:p>
    <w:p w14:paraId="60C1F459" w14:textId="77777777" w:rsidR="00320401" w:rsidRPr="00D37AFE" w:rsidRDefault="00320401" w:rsidP="00320401">
      <w:pPr>
        <w:spacing w:after="0" w:line="240" w:lineRule="auto"/>
        <w:rPr>
          <w:rFonts w:ascii="Arial" w:hAnsi="Arial" w:cs="Arial"/>
          <w:sz w:val="24"/>
          <w:szCs w:val="24"/>
        </w:rPr>
      </w:pPr>
    </w:p>
    <w:p w14:paraId="0BC7D599" w14:textId="77777777" w:rsidR="00320401" w:rsidRPr="00D37AFE" w:rsidRDefault="00320401" w:rsidP="00320401">
      <w:pPr>
        <w:pStyle w:val="ListParagraph"/>
        <w:spacing w:after="0" w:line="240" w:lineRule="auto"/>
        <w:rPr>
          <w:rFonts w:ascii="Arial" w:hAnsi="Arial" w:cs="Arial"/>
          <w:bCs/>
          <w:sz w:val="24"/>
          <w:szCs w:val="24"/>
        </w:rPr>
      </w:pPr>
      <w:r w:rsidRPr="00D37AFE">
        <w:rPr>
          <w:rFonts w:ascii="Arial" w:hAnsi="Arial" w:cs="Arial"/>
          <w:bCs/>
          <w:sz w:val="24"/>
          <w:szCs w:val="24"/>
        </w:rPr>
        <w:t xml:space="preserve">The opening hours of the pharmacies in Western Vale cluster area are compliant with contractual requirements and with nationally agreed </w:t>
      </w:r>
      <w:bookmarkStart w:id="86" w:name="_Hlk78566092"/>
      <w:r w:rsidRPr="00D37AFE">
        <w:rPr>
          <w:rFonts w:ascii="Arial" w:hAnsi="Arial" w:cs="Arial"/>
          <w:bCs/>
          <w:sz w:val="24"/>
          <w:szCs w:val="24"/>
        </w:rPr>
        <w:t>Coronavirus (COVID-19) pandemic</w:t>
      </w:r>
      <w:bookmarkEnd w:id="86"/>
      <w:r w:rsidRPr="00D37AFE">
        <w:rPr>
          <w:rFonts w:ascii="Arial" w:hAnsi="Arial" w:cs="Arial"/>
          <w:bCs/>
          <w:sz w:val="24"/>
          <w:szCs w:val="24"/>
        </w:rPr>
        <w:t xml:space="preserve"> measures, which allows for changes to opening hours permitting pharmacies to work behind closed doors at lunchtime and for the first hour of the day. A notification of change in supplementary opening hours has since been received from one of the pharmacies in the cluster, extending their Saturday opening hours.</w:t>
      </w:r>
    </w:p>
    <w:p w14:paraId="0C5A0B34" w14:textId="77777777" w:rsidR="00320401" w:rsidRPr="00D37AFE" w:rsidRDefault="00320401" w:rsidP="00320401">
      <w:pPr>
        <w:pStyle w:val="ListParagraph"/>
        <w:spacing w:after="0" w:line="240" w:lineRule="auto"/>
        <w:rPr>
          <w:rFonts w:ascii="Arial" w:hAnsi="Arial" w:cs="Arial"/>
          <w:bCs/>
          <w:sz w:val="24"/>
          <w:szCs w:val="24"/>
        </w:rPr>
      </w:pPr>
    </w:p>
    <w:p w14:paraId="756C7B57" w14:textId="77777777" w:rsidR="00320401" w:rsidRPr="00D37AFE" w:rsidRDefault="00320401" w:rsidP="00320401">
      <w:pPr>
        <w:pStyle w:val="ListParagraph"/>
        <w:spacing w:after="0" w:line="240" w:lineRule="auto"/>
        <w:rPr>
          <w:rFonts w:ascii="Arial" w:hAnsi="Arial" w:cs="Arial"/>
          <w:bCs/>
          <w:sz w:val="24"/>
          <w:szCs w:val="24"/>
        </w:rPr>
      </w:pPr>
      <w:r w:rsidRPr="00D37AFE">
        <w:rPr>
          <w:rFonts w:ascii="Arial" w:hAnsi="Arial" w:cs="Arial"/>
          <w:bCs/>
          <w:sz w:val="24"/>
          <w:szCs w:val="24"/>
        </w:rPr>
        <w:t>The comments received around the request for increased pharmacy provision have been noted; however, no evidence of a need has been provided to conclude otherwise.</w:t>
      </w:r>
    </w:p>
    <w:p w14:paraId="5DC4B450" w14:textId="77777777" w:rsidR="00320401" w:rsidRPr="00D37AFE" w:rsidRDefault="00320401" w:rsidP="00320401">
      <w:pPr>
        <w:shd w:val="clear" w:color="auto" w:fill="FFFFFF"/>
        <w:spacing w:after="0" w:line="240" w:lineRule="auto"/>
        <w:rPr>
          <w:rFonts w:ascii="Arial" w:eastAsia="Times New Roman" w:hAnsi="Arial" w:cs="Arial"/>
          <w:sz w:val="24"/>
          <w:szCs w:val="24"/>
          <w:lang w:eastAsia="en-GB"/>
        </w:rPr>
      </w:pPr>
    </w:p>
    <w:p w14:paraId="5E4636B4" w14:textId="77777777" w:rsidR="00320401" w:rsidRPr="00D37AFE" w:rsidRDefault="00320401" w:rsidP="00320401">
      <w:pPr>
        <w:pStyle w:val="ListParagraph"/>
        <w:numPr>
          <w:ilvl w:val="0"/>
          <w:numId w:val="223"/>
        </w:numPr>
        <w:shd w:val="clear" w:color="auto" w:fill="FFFFFF"/>
        <w:spacing w:after="0" w:line="240" w:lineRule="auto"/>
        <w:rPr>
          <w:rFonts w:ascii="Arial" w:eastAsia="Times New Roman" w:hAnsi="Arial" w:cs="Arial"/>
          <w:sz w:val="24"/>
          <w:szCs w:val="24"/>
          <w:lang w:eastAsia="en-GB"/>
        </w:rPr>
      </w:pPr>
      <w:r w:rsidRPr="00D37AFE">
        <w:rPr>
          <w:rFonts w:ascii="Arial" w:eastAsia="Times New Roman" w:hAnsi="Arial" w:cs="Arial"/>
          <w:sz w:val="24"/>
          <w:szCs w:val="24"/>
          <w:lang w:eastAsia="en-GB"/>
        </w:rPr>
        <w:t>Contractor questionnaire</w:t>
      </w:r>
    </w:p>
    <w:p w14:paraId="46AD88D5" w14:textId="77777777" w:rsidR="00320401" w:rsidRPr="00D37AFE" w:rsidRDefault="00320401" w:rsidP="00320401">
      <w:pPr>
        <w:pStyle w:val="ListParagraph"/>
        <w:shd w:val="clear" w:color="auto" w:fill="FFFFFF"/>
        <w:spacing w:after="0" w:line="240" w:lineRule="auto"/>
        <w:rPr>
          <w:rFonts w:ascii="Arial" w:eastAsia="Times New Roman" w:hAnsi="Arial" w:cs="Arial"/>
          <w:sz w:val="24"/>
          <w:szCs w:val="24"/>
          <w:lang w:eastAsia="en-GB"/>
        </w:rPr>
      </w:pPr>
    </w:p>
    <w:p w14:paraId="0A672D5F" w14:textId="77777777" w:rsidR="00320401" w:rsidRPr="00D37AFE" w:rsidRDefault="00320401" w:rsidP="00320401">
      <w:pPr>
        <w:pStyle w:val="ListParagraph"/>
        <w:shd w:val="clear" w:color="auto" w:fill="FFFFFF"/>
        <w:spacing w:after="0" w:line="240" w:lineRule="auto"/>
        <w:rPr>
          <w:rFonts w:ascii="Arial" w:eastAsia="Times New Roman" w:hAnsi="Arial" w:cs="Arial"/>
          <w:sz w:val="24"/>
          <w:szCs w:val="24"/>
          <w:lang w:eastAsia="en-GB"/>
        </w:rPr>
      </w:pPr>
      <w:r w:rsidRPr="00D37AFE">
        <w:rPr>
          <w:rFonts w:ascii="Arial" w:eastAsia="Times New Roman" w:hAnsi="Arial" w:cs="Arial"/>
          <w:sz w:val="24"/>
          <w:szCs w:val="24"/>
          <w:lang w:eastAsia="en-GB"/>
        </w:rPr>
        <w:t>The contractor online questionnaire was undertaken across all community pharmacies in Wales via the All Wales Pharmacy Database validation exercise and was supported by Community Pharmacy Wales.</w:t>
      </w:r>
    </w:p>
    <w:p w14:paraId="33444EC2" w14:textId="77777777" w:rsidR="00320401" w:rsidRPr="00D37AFE" w:rsidRDefault="00320401" w:rsidP="00320401">
      <w:pPr>
        <w:spacing w:after="0" w:line="240" w:lineRule="auto"/>
        <w:rPr>
          <w:rFonts w:ascii="Arial" w:hAnsi="Arial" w:cs="Arial"/>
          <w:sz w:val="24"/>
          <w:szCs w:val="24"/>
        </w:rPr>
      </w:pPr>
    </w:p>
    <w:p w14:paraId="5E8E399F" w14:textId="77777777" w:rsidR="00320401" w:rsidRPr="00D37AFE" w:rsidRDefault="00320401" w:rsidP="00320401">
      <w:pPr>
        <w:pStyle w:val="ListParagraph"/>
        <w:shd w:val="clear" w:color="auto" w:fill="FFFFFF"/>
        <w:spacing w:after="0" w:line="240" w:lineRule="auto"/>
        <w:rPr>
          <w:rFonts w:ascii="Arial" w:eastAsia="Times New Roman" w:hAnsi="Arial" w:cs="Arial"/>
          <w:sz w:val="24"/>
          <w:szCs w:val="24"/>
          <w:lang w:eastAsia="en-GB"/>
        </w:rPr>
      </w:pPr>
      <w:r w:rsidRPr="00D37AFE">
        <w:rPr>
          <w:rFonts w:ascii="Arial" w:hAnsi="Arial" w:cs="Arial"/>
          <w:sz w:val="24"/>
          <w:szCs w:val="24"/>
        </w:rPr>
        <w:t xml:space="preserve">There are many factors which affect the capacity of a pharmacy such as the size of the premises, the number of staff, opening hours and use of technology, including automation of parts of the services offered. As individual businesses, with different business and operating models, there is no robust way of assessing pharmacy capacity. As pharmacies have an understanding of their current provision and capacity, it was included within the national questionnaire.  Noting that of the 106 pharmacies: </w:t>
      </w:r>
    </w:p>
    <w:p w14:paraId="11457E1A" w14:textId="77777777" w:rsidR="00320401" w:rsidRPr="00D37AFE" w:rsidRDefault="00320401" w:rsidP="00320401">
      <w:pPr>
        <w:spacing w:after="0" w:line="240" w:lineRule="auto"/>
        <w:ind w:left="720"/>
        <w:rPr>
          <w:rFonts w:ascii="Arial" w:hAnsi="Arial" w:cs="Arial"/>
          <w:sz w:val="24"/>
          <w:szCs w:val="24"/>
        </w:rPr>
      </w:pPr>
    </w:p>
    <w:p w14:paraId="32037028" w14:textId="77777777" w:rsidR="00320401" w:rsidRPr="00D37AFE" w:rsidRDefault="00320401" w:rsidP="00320401">
      <w:pPr>
        <w:pStyle w:val="ListParagraph"/>
        <w:numPr>
          <w:ilvl w:val="0"/>
          <w:numId w:val="227"/>
        </w:numPr>
        <w:spacing w:after="0" w:line="240" w:lineRule="auto"/>
        <w:rPr>
          <w:rFonts w:ascii="Arial" w:hAnsi="Arial" w:cs="Arial"/>
          <w:sz w:val="24"/>
          <w:szCs w:val="24"/>
        </w:rPr>
      </w:pPr>
      <w:r w:rsidRPr="00D37AFE">
        <w:rPr>
          <w:rFonts w:ascii="Arial" w:hAnsi="Arial" w:cs="Arial"/>
          <w:sz w:val="24"/>
          <w:szCs w:val="24"/>
        </w:rPr>
        <w:t>89% (94) of pharmacies have sufficient capacity within their existing premises and staffing levels to manage the increase in demand in the area.</w:t>
      </w:r>
    </w:p>
    <w:p w14:paraId="48F277A9" w14:textId="77777777" w:rsidR="00320401" w:rsidRPr="00D37AFE" w:rsidRDefault="00320401" w:rsidP="00320401">
      <w:pPr>
        <w:pStyle w:val="ListParagraph"/>
        <w:numPr>
          <w:ilvl w:val="0"/>
          <w:numId w:val="227"/>
        </w:numPr>
        <w:spacing w:after="0" w:line="240" w:lineRule="auto"/>
        <w:rPr>
          <w:rFonts w:ascii="Arial" w:hAnsi="Arial" w:cs="Arial"/>
          <w:sz w:val="24"/>
          <w:szCs w:val="24"/>
        </w:rPr>
      </w:pPr>
      <w:r w:rsidRPr="00D37AFE">
        <w:rPr>
          <w:rFonts w:ascii="Arial" w:hAnsi="Arial" w:cs="Arial"/>
          <w:sz w:val="24"/>
          <w:szCs w:val="24"/>
        </w:rPr>
        <w:t xml:space="preserve">8% (9) of pharmacies don’t have sufficient premises and staffing capacity at present but could make adjustments to manage the increase in demand in the area. </w:t>
      </w:r>
    </w:p>
    <w:p w14:paraId="18E57307" w14:textId="77777777" w:rsidR="00320401" w:rsidRPr="00D37AFE" w:rsidRDefault="00320401" w:rsidP="00320401">
      <w:pPr>
        <w:pStyle w:val="ListParagraph"/>
        <w:numPr>
          <w:ilvl w:val="0"/>
          <w:numId w:val="227"/>
        </w:numPr>
        <w:spacing w:after="0" w:line="240" w:lineRule="auto"/>
        <w:rPr>
          <w:rFonts w:ascii="Arial" w:hAnsi="Arial" w:cs="Arial"/>
          <w:sz w:val="24"/>
          <w:szCs w:val="24"/>
        </w:rPr>
      </w:pPr>
      <w:r w:rsidRPr="00D37AFE">
        <w:rPr>
          <w:rFonts w:ascii="Arial" w:hAnsi="Arial" w:cs="Arial"/>
          <w:sz w:val="24"/>
          <w:szCs w:val="24"/>
        </w:rPr>
        <w:t>3% (3) of pharmacies don’t have sufficient premises and staffing capacity and would have difficulty in managing an increase in demand in the area.</w:t>
      </w:r>
    </w:p>
    <w:p w14:paraId="357A84D9" w14:textId="77777777" w:rsidR="00320401" w:rsidRPr="00D37AFE" w:rsidRDefault="00320401" w:rsidP="00320401">
      <w:pPr>
        <w:spacing w:after="0" w:line="240" w:lineRule="auto"/>
        <w:rPr>
          <w:rFonts w:ascii="Arial" w:hAnsi="Arial" w:cs="Arial"/>
          <w:sz w:val="24"/>
          <w:szCs w:val="24"/>
        </w:rPr>
      </w:pPr>
    </w:p>
    <w:p w14:paraId="3847403D" w14:textId="77777777" w:rsidR="00320401" w:rsidRPr="00D37AFE" w:rsidRDefault="00320401" w:rsidP="00320401">
      <w:pPr>
        <w:spacing w:after="0" w:line="240" w:lineRule="auto"/>
        <w:ind w:left="720"/>
        <w:rPr>
          <w:rFonts w:ascii="Arial" w:hAnsi="Arial" w:cs="Arial"/>
          <w:sz w:val="24"/>
          <w:szCs w:val="24"/>
        </w:rPr>
      </w:pPr>
      <w:r w:rsidRPr="00D37AFE">
        <w:rPr>
          <w:rFonts w:ascii="Arial" w:hAnsi="Arial" w:cs="Arial"/>
          <w:color w:val="000000"/>
          <w:sz w:val="24"/>
          <w:szCs w:val="24"/>
        </w:rPr>
        <w:t>Cardiff and Vale University Health Board</w:t>
      </w:r>
      <w:r w:rsidRPr="00D37AFE">
        <w:rPr>
          <w:rFonts w:ascii="Arial" w:hAnsi="Arial" w:cs="Arial"/>
          <w:sz w:val="24"/>
          <w:szCs w:val="24"/>
        </w:rPr>
        <w:t xml:space="preserve"> is satisfied that responses reflect the current situation.</w:t>
      </w:r>
    </w:p>
    <w:p w14:paraId="207841F9" w14:textId="77777777" w:rsidR="00320401" w:rsidRPr="00D37AFE" w:rsidRDefault="00320401" w:rsidP="00320401">
      <w:pPr>
        <w:spacing w:after="0" w:line="240" w:lineRule="auto"/>
        <w:ind w:left="720"/>
        <w:rPr>
          <w:rFonts w:ascii="Arial" w:hAnsi="Arial" w:cs="Arial"/>
          <w:sz w:val="24"/>
          <w:szCs w:val="24"/>
        </w:rPr>
      </w:pPr>
    </w:p>
    <w:p w14:paraId="4087B0D1" w14:textId="77777777" w:rsidR="00320401" w:rsidRPr="00D37AFE" w:rsidRDefault="00320401" w:rsidP="00320401">
      <w:pPr>
        <w:spacing w:after="0" w:line="240" w:lineRule="auto"/>
        <w:ind w:left="720"/>
        <w:rPr>
          <w:rFonts w:ascii="Arial" w:hAnsi="Arial" w:cs="Arial"/>
          <w:sz w:val="24"/>
          <w:szCs w:val="24"/>
        </w:rPr>
      </w:pPr>
      <w:r w:rsidRPr="00D37AFE">
        <w:rPr>
          <w:rFonts w:ascii="Arial" w:hAnsi="Arial" w:cs="Arial"/>
          <w:sz w:val="24"/>
          <w:szCs w:val="24"/>
        </w:rPr>
        <w:t>Local Development Plans are publicly available.</w:t>
      </w:r>
    </w:p>
    <w:p w14:paraId="30972715" w14:textId="77777777" w:rsidR="00320401" w:rsidRPr="00D37AFE" w:rsidRDefault="00320401" w:rsidP="00320401">
      <w:pPr>
        <w:spacing w:after="0" w:line="240" w:lineRule="auto"/>
        <w:rPr>
          <w:rFonts w:ascii="Arial" w:hAnsi="Arial" w:cs="Arial"/>
          <w:bCs/>
          <w:sz w:val="24"/>
          <w:szCs w:val="24"/>
        </w:rPr>
      </w:pPr>
    </w:p>
    <w:p w14:paraId="31C30C59" w14:textId="77777777" w:rsidR="00320401" w:rsidRPr="00D37AFE" w:rsidRDefault="00320401" w:rsidP="00320401">
      <w:pPr>
        <w:pStyle w:val="ListParagraph"/>
        <w:numPr>
          <w:ilvl w:val="0"/>
          <w:numId w:val="224"/>
        </w:numPr>
        <w:spacing w:after="0" w:line="240" w:lineRule="auto"/>
        <w:rPr>
          <w:rFonts w:ascii="Arial" w:hAnsi="Arial" w:cs="Arial"/>
          <w:sz w:val="24"/>
          <w:szCs w:val="24"/>
        </w:rPr>
      </w:pPr>
      <w:bookmarkStart w:id="87" w:name="_Hlk80691108"/>
      <w:r w:rsidRPr="00D37AFE">
        <w:rPr>
          <w:rFonts w:ascii="Arial" w:hAnsi="Arial" w:cs="Arial"/>
          <w:color w:val="000000"/>
          <w:sz w:val="24"/>
          <w:szCs w:val="24"/>
        </w:rPr>
        <w:t xml:space="preserve">Cardiff and Vale University Health Board </w:t>
      </w:r>
      <w:bookmarkEnd w:id="87"/>
      <w:r w:rsidRPr="00D37AFE">
        <w:rPr>
          <w:rFonts w:ascii="Arial" w:hAnsi="Arial" w:cs="Arial"/>
          <w:color w:val="000000"/>
          <w:sz w:val="24"/>
          <w:szCs w:val="24"/>
        </w:rPr>
        <w:t>is aware of the variation in supply and demand for an appropriately qualified and skilled workforce, which is being addressed nationally.</w:t>
      </w:r>
    </w:p>
    <w:p w14:paraId="22BD8342" w14:textId="77777777" w:rsidR="00320401" w:rsidRPr="00D37AFE" w:rsidRDefault="00320401" w:rsidP="00320401">
      <w:pPr>
        <w:spacing w:after="0" w:line="240" w:lineRule="auto"/>
        <w:rPr>
          <w:rFonts w:ascii="Arial" w:hAnsi="Arial" w:cs="Arial"/>
          <w:sz w:val="24"/>
          <w:szCs w:val="24"/>
        </w:rPr>
      </w:pPr>
    </w:p>
    <w:p w14:paraId="5B61350B" w14:textId="77777777" w:rsidR="00320401" w:rsidRPr="00B0007A" w:rsidRDefault="00320401" w:rsidP="00320401">
      <w:pPr>
        <w:pStyle w:val="x1839973775msolistparagraph"/>
        <w:numPr>
          <w:ilvl w:val="0"/>
          <w:numId w:val="224"/>
        </w:numPr>
        <w:shd w:val="clear" w:color="auto" w:fill="FFFFFF"/>
        <w:spacing w:before="0" w:beforeAutospacing="0" w:after="0" w:afterAutospacing="0"/>
        <w:rPr>
          <w:rStyle w:val="x-452126789highlight"/>
          <w:rFonts w:ascii="Arial" w:hAnsi="Arial" w:cs="Arial"/>
          <w:bCs/>
        </w:rPr>
      </w:pPr>
      <w:r w:rsidRPr="00B0007A">
        <w:rPr>
          <w:rStyle w:val="x-452126789highlight"/>
          <w:rFonts w:ascii="Arial" w:hAnsi="Arial" w:cs="Arial"/>
          <w:color w:val="000000"/>
          <w:shd w:val="clear" w:color="auto" w:fill="FFFFFF" w:themeFill="background1"/>
        </w:rPr>
        <w:t xml:space="preserve">In line with our approach to increasing sustainable travel in our area, aligning with our obligations under the Wellbeing of Future Generations Act and the NHS </w:t>
      </w:r>
      <w:r w:rsidRPr="00B0007A">
        <w:rPr>
          <w:rStyle w:val="x-452126789highlight"/>
          <w:rFonts w:ascii="Arial" w:hAnsi="Arial" w:cs="Arial"/>
          <w:color w:val="000000"/>
          <w:shd w:val="clear" w:color="auto" w:fill="FFFFFF" w:themeFill="background1"/>
        </w:rPr>
        <w:lastRenderedPageBreak/>
        <w:t xml:space="preserve">Wales decarbonisation plan, </w:t>
      </w:r>
      <w:r w:rsidRPr="00B0007A">
        <w:rPr>
          <w:rFonts w:ascii="Arial" w:hAnsi="Arial" w:cs="Arial"/>
          <w:color w:val="000000"/>
        </w:rPr>
        <w:t xml:space="preserve">Cardiff and Vale University Health Board considered </w:t>
      </w:r>
      <w:r w:rsidRPr="00B0007A">
        <w:rPr>
          <w:rStyle w:val="x-452126789highlight"/>
          <w:rFonts w:ascii="Arial" w:hAnsi="Arial" w:cs="Arial"/>
          <w:color w:val="000000"/>
          <w:shd w:val="clear" w:color="auto" w:fill="FFFFFF" w:themeFill="background1"/>
        </w:rPr>
        <w:t>all modes of transport to estimate travel time for residents to access a pharmacy. Three different sources of information were available, which showed that:</w:t>
      </w:r>
    </w:p>
    <w:p w14:paraId="3B3CDE6F" w14:textId="77777777" w:rsidR="00320401" w:rsidRPr="00B0007A" w:rsidRDefault="00320401" w:rsidP="00320401">
      <w:pPr>
        <w:pStyle w:val="x1839973775msolistparagraph"/>
        <w:shd w:val="clear" w:color="auto" w:fill="FFFFFF"/>
        <w:spacing w:before="0" w:beforeAutospacing="0" w:after="0" w:afterAutospacing="0"/>
        <w:rPr>
          <w:rStyle w:val="x-452126789font"/>
          <w:rFonts w:ascii="Arial" w:hAnsi="Arial" w:cs="Arial"/>
          <w:color w:val="000000"/>
          <w:shd w:val="clear" w:color="auto" w:fill="FFFFFF"/>
        </w:rPr>
      </w:pPr>
    </w:p>
    <w:p w14:paraId="292E1055" w14:textId="77777777" w:rsidR="00320401" w:rsidRPr="00B0007A" w:rsidRDefault="00320401" w:rsidP="00320401">
      <w:pPr>
        <w:pStyle w:val="x1839973775msolistparagraph"/>
        <w:numPr>
          <w:ilvl w:val="1"/>
          <w:numId w:val="224"/>
        </w:numPr>
        <w:shd w:val="clear" w:color="auto" w:fill="FFFFFF"/>
        <w:spacing w:before="0" w:beforeAutospacing="0" w:after="0" w:afterAutospacing="0"/>
        <w:rPr>
          <w:rStyle w:val="x-452126789font"/>
          <w:rFonts w:ascii="Arial" w:hAnsi="Arial" w:cs="Arial"/>
          <w:bCs/>
        </w:rPr>
      </w:pPr>
      <w:r w:rsidRPr="00B0007A">
        <w:rPr>
          <w:rStyle w:val="x-452126789font"/>
          <w:rFonts w:ascii="Arial" w:hAnsi="Arial" w:cs="Arial"/>
          <w:color w:val="000000"/>
          <w:shd w:val="clear" w:color="auto" w:fill="FFFFFF"/>
        </w:rPr>
        <w:t xml:space="preserve">The average return travel (in minutes) from the residential dwelling to the nearest pharmacy by active or public transport (bus, train, foot or coach) was shown to be 26 minutes – 13 minutes one way, at the health board level. </w:t>
      </w:r>
    </w:p>
    <w:p w14:paraId="673555B5" w14:textId="77777777" w:rsidR="00320401" w:rsidRPr="00B0007A" w:rsidRDefault="00320401" w:rsidP="00320401">
      <w:pPr>
        <w:pStyle w:val="x1839973775msolistparagraph"/>
        <w:numPr>
          <w:ilvl w:val="1"/>
          <w:numId w:val="224"/>
        </w:numPr>
        <w:shd w:val="clear" w:color="auto" w:fill="FFFFFF"/>
        <w:spacing w:before="0" w:beforeAutospacing="0" w:after="0" w:afterAutospacing="0"/>
        <w:rPr>
          <w:rStyle w:val="x-452126789highlight"/>
          <w:rFonts w:ascii="Arial" w:hAnsi="Arial" w:cs="Arial"/>
          <w:bCs/>
        </w:rPr>
      </w:pPr>
      <w:r w:rsidRPr="00B0007A">
        <w:rPr>
          <w:rStyle w:val="x-452126789highlight"/>
          <w:rFonts w:ascii="Arial" w:hAnsi="Arial" w:cs="Arial"/>
          <w:color w:val="000000"/>
          <w:shd w:val="clear" w:color="auto" w:fill="FFFFFF" w:themeFill="background1"/>
        </w:rPr>
        <w:t xml:space="preserve">As a standard, a travel time of 20 minutes by car was used as a reasonable time by </w:t>
      </w:r>
      <w:r w:rsidRPr="00B0007A">
        <w:rPr>
          <w:rStyle w:val="x-452126789font"/>
          <w:rFonts w:ascii="Arial" w:hAnsi="Arial" w:cs="Arial"/>
          <w:color w:val="000000"/>
          <w:shd w:val="clear" w:color="auto" w:fill="FFFFFF"/>
        </w:rPr>
        <w:t>Cardiff and Vale University Health Board</w:t>
      </w:r>
      <w:r w:rsidRPr="00B0007A">
        <w:rPr>
          <w:rStyle w:val="x-452126789highlight"/>
          <w:rFonts w:ascii="Arial" w:hAnsi="Arial" w:cs="Arial"/>
          <w:color w:val="000000"/>
          <w:shd w:val="clear" w:color="auto" w:fill="FFFFFF" w:themeFill="background1"/>
        </w:rPr>
        <w:t xml:space="preserve">. The majority of people in the health board’s cluster areas can access a pharmacy by car within five to 10 minutes. </w:t>
      </w:r>
    </w:p>
    <w:p w14:paraId="0425EFE0" w14:textId="77777777" w:rsidR="00320401" w:rsidRPr="00B0007A" w:rsidRDefault="00320401" w:rsidP="00320401">
      <w:pPr>
        <w:pStyle w:val="x1839973775msolistparagraph"/>
        <w:numPr>
          <w:ilvl w:val="1"/>
          <w:numId w:val="224"/>
        </w:numPr>
        <w:shd w:val="clear" w:color="auto" w:fill="FFFFFF"/>
        <w:spacing w:before="0" w:beforeAutospacing="0" w:after="0" w:afterAutospacing="0"/>
        <w:rPr>
          <w:rFonts w:ascii="Arial" w:hAnsi="Arial" w:cs="Arial"/>
          <w:bCs/>
        </w:rPr>
      </w:pPr>
      <w:r w:rsidRPr="00B0007A">
        <w:rPr>
          <w:rStyle w:val="x-452126789font"/>
          <w:rFonts w:ascii="Arial" w:hAnsi="Arial" w:cs="Arial"/>
          <w:color w:val="000000"/>
          <w:shd w:val="clear" w:color="auto" w:fill="FFFFFF"/>
        </w:rPr>
        <w:t xml:space="preserve">The findings of the patient and public engagement survey supported the above. This also showed that the most common </w:t>
      </w:r>
      <w:r w:rsidRPr="00B0007A">
        <w:rPr>
          <w:rFonts w:ascii="Arial" w:hAnsi="Arial" w:cs="Arial"/>
        </w:rPr>
        <w:t>way of travelling to a pharmacy was by car (51%), followed by on foot (44%).</w:t>
      </w:r>
    </w:p>
    <w:p w14:paraId="3E70262A" w14:textId="77777777" w:rsidR="00320401" w:rsidRPr="00B0007A" w:rsidRDefault="00320401" w:rsidP="00320401">
      <w:pPr>
        <w:pStyle w:val="x1839973775msolistparagraph"/>
        <w:shd w:val="clear" w:color="auto" w:fill="FFFFFF"/>
        <w:spacing w:before="0" w:beforeAutospacing="0" w:after="0" w:afterAutospacing="0"/>
        <w:rPr>
          <w:rFonts w:ascii="Arial" w:hAnsi="Arial" w:cs="Arial"/>
        </w:rPr>
      </w:pPr>
    </w:p>
    <w:p w14:paraId="6F74DF2A" w14:textId="77777777" w:rsidR="00320401" w:rsidRPr="00CB2E22" w:rsidRDefault="00320401" w:rsidP="00320401">
      <w:pPr>
        <w:pStyle w:val="x1839973775msolistparagraph"/>
        <w:shd w:val="clear" w:color="auto" w:fill="FFFFFF"/>
        <w:spacing w:before="0" w:beforeAutospacing="0" w:after="0" w:afterAutospacing="0"/>
        <w:ind w:left="360"/>
        <w:rPr>
          <w:rFonts w:ascii="Arial" w:hAnsi="Arial" w:cs="Arial"/>
          <w:bCs/>
        </w:rPr>
      </w:pPr>
      <w:r w:rsidRPr="00B0007A">
        <w:rPr>
          <w:rFonts w:ascii="Arial" w:hAnsi="Arial" w:cs="Arial"/>
          <w:bCs/>
        </w:rPr>
        <w:t xml:space="preserve">The first two paragraphs of section 5.1.1 have been re-ordered and clarified to better reflect this. </w:t>
      </w:r>
    </w:p>
    <w:p w14:paraId="71A23A27" w14:textId="77777777" w:rsidR="00320401" w:rsidRPr="00B0007A" w:rsidRDefault="00320401" w:rsidP="00320401">
      <w:pPr>
        <w:pStyle w:val="x1839973775msolistparagraph"/>
        <w:shd w:val="clear" w:color="auto" w:fill="FFFFFF"/>
        <w:spacing w:before="0" w:beforeAutospacing="0" w:after="0" w:afterAutospacing="0"/>
        <w:ind w:left="360"/>
        <w:rPr>
          <w:rFonts w:ascii="Arial" w:hAnsi="Arial" w:cs="Arial"/>
          <w:bCs/>
        </w:rPr>
      </w:pPr>
    </w:p>
    <w:p w14:paraId="779DD995" w14:textId="77777777" w:rsidR="00320401" w:rsidRPr="00D37AFE" w:rsidRDefault="00320401" w:rsidP="00320401">
      <w:pPr>
        <w:pStyle w:val="x1839973775msolistparagraph"/>
        <w:numPr>
          <w:ilvl w:val="0"/>
          <w:numId w:val="213"/>
        </w:numPr>
        <w:shd w:val="clear" w:color="auto" w:fill="FFFFFF"/>
        <w:spacing w:before="0" w:beforeAutospacing="0" w:after="0" w:afterAutospacing="0"/>
        <w:rPr>
          <w:rFonts w:ascii="Arial" w:hAnsi="Arial" w:cs="Arial"/>
          <w:bCs/>
        </w:rPr>
      </w:pPr>
      <w:r w:rsidRPr="00D37AFE">
        <w:rPr>
          <w:rFonts w:ascii="Arial" w:hAnsi="Arial" w:cs="Arial"/>
        </w:rPr>
        <w:t>The comments on difficulties with parking at the pharmacy as outlined in the patient and public engagement survey are noted; however, no extrapolations have been made as the survey is not representative.</w:t>
      </w:r>
    </w:p>
    <w:p w14:paraId="7DB12D39" w14:textId="77777777" w:rsidR="00320401" w:rsidRPr="00D37AFE" w:rsidRDefault="00320401" w:rsidP="00320401">
      <w:pPr>
        <w:pStyle w:val="x1839973775msolistparagraph"/>
        <w:shd w:val="clear" w:color="auto" w:fill="FFFFFF"/>
        <w:spacing w:before="0" w:beforeAutospacing="0" w:after="0" w:afterAutospacing="0"/>
        <w:rPr>
          <w:rFonts w:ascii="Arial" w:hAnsi="Arial" w:cs="Arial"/>
          <w:bCs/>
        </w:rPr>
      </w:pPr>
    </w:p>
    <w:p w14:paraId="1120ECE7" w14:textId="77777777" w:rsidR="00320401" w:rsidRPr="00D37AFE" w:rsidRDefault="00320401" w:rsidP="00320401">
      <w:pPr>
        <w:pStyle w:val="ListParagraph"/>
        <w:numPr>
          <w:ilvl w:val="0"/>
          <w:numId w:val="213"/>
        </w:numPr>
        <w:shd w:val="clear" w:color="auto" w:fill="FFFFFF"/>
        <w:spacing w:after="0" w:line="240" w:lineRule="auto"/>
        <w:rPr>
          <w:rFonts w:ascii="Arial" w:hAnsi="Arial" w:cs="Arial"/>
          <w:color w:val="000000" w:themeColor="text1"/>
          <w:sz w:val="24"/>
          <w:szCs w:val="24"/>
        </w:rPr>
      </w:pPr>
      <w:r w:rsidRPr="00D37AFE">
        <w:rPr>
          <w:rFonts w:ascii="Arial" w:hAnsi="Arial" w:cs="Arial"/>
          <w:color w:val="000000" w:themeColor="text1"/>
          <w:sz w:val="24"/>
          <w:szCs w:val="24"/>
        </w:rPr>
        <w:t xml:space="preserve">The draft PNA contains the latest ONS (Office of National Statistics) based demographic and population projection data available at the time of writing. Whilst this was readily available at the health board and local authority level, the cluster level data lags behind by a number of years. A request was made to the Public Health Observatory for more up to date data; however, due to the </w:t>
      </w:r>
      <w:r w:rsidRPr="00D37AFE">
        <w:rPr>
          <w:rFonts w:ascii="Arial" w:hAnsi="Arial" w:cs="Arial"/>
          <w:bCs/>
          <w:sz w:val="24"/>
          <w:szCs w:val="24"/>
        </w:rPr>
        <w:t>Coronavirus (COVID-19) pandemic</w:t>
      </w:r>
      <w:r w:rsidRPr="00D37AFE">
        <w:rPr>
          <w:rFonts w:ascii="Arial" w:hAnsi="Arial" w:cs="Arial"/>
          <w:color w:val="000000" w:themeColor="text1"/>
          <w:sz w:val="24"/>
          <w:szCs w:val="24"/>
        </w:rPr>
        <w:t xml:space="preserve"> their resources were understandably being re-directed to support this. Therefore, local authority population data and projections were included within the cluster chapters.</w:t>
      </w:r>
    </w:p>
    <w:p w14:paraId="372D23E0" w14:textId="77777777" w:rsidR="00320401" w:rsidRPr="00D37AFE" w:rsidRDefault="00320401" w:rsidP="00320401">
      <w:pPr>
        <w:pStyle w:val="ListParagraph"/>
        <w:rPr>
          <w:rFonts w:ascii="Arial" w:hAnsi="Arial" w:cs="Arial"/>
          <w:color w:val="000000" w:themeColor="text1"/>
          <w:sz w:val="24"/>
          <w:szCs w:val="24"/>
        </w:rPr>
      </w:pPr>
    </w:p>
    <w:p w14:paraId="59C60690" w14:textId="77777777" w:rsidR="00320401" w:rsidRPr="00D37AFE" w:rsidRDefault="00320401" w:rsidP="00320401">
      <w:pPr>
        <w:pStyle w:val="ListParagraph"/>
        <w:shd w:val="clear" w:color="auto" w:fill="FFFFFF"/>
        <w:spacing w:after="0" w:line="240" w:lineRule="auto"/>
        <w:ind w:left="360"/>
        <w:rPr>
          <w:rFonts w:ascii="Arial" w:hAnsi="Arial" w:cs="Arial"/>
          <w:color w:val="000000" w:themeColor="text1"/>
          <w:sz w:val="24"/>
          <w:szCs w:val="24"/>
        </w:rPr>
      </w:pPr>
      <w:r w:rsidRPr="00D37AFE">
        <w:rPr>
          <w:rFonts w:ascii="Arial" w:hAnsi="Arial" w:cs="Arial"/>
          <w:color w:val="000000" w:themeColor="text1"/>
          <w:sz w:val="24"/>
          <w:szCs w:val="24"/>
        </w:rPr>
        <w:t>The latest cluster plans do not all contain population and demographic data. Where it is provided, it is often not clearly referenced with source and year. Further to this, community pharmacies do not have a registered population like GP practices and patients can access any pharmacy they may choose. There is also an acknowledged difference between ONS and GP registered populations, with ‘ghost patients’ often being the reason for a higher GP population.</w:t>
      </w:r>
    </w:p>
    <w:p w14:paraId="1CF6B960" w14:textId="77777777" w:rsidR="00320401" w:rsidRPr="00D37AFE" w:rsidRDefault="00320401" w:rsidP="00320401">
      <w:pPr>
        <w:shd w:val="clear" w:color="auto" w:fill="FFFFFF"/>
        <w:spacing w:after="0" w:line="240" w:lineRule="auto"/>
        <w:rPr>
          <w:rFonts w:ascii="Arial" w:hAnsi="Arial" w:cs="Arial"/>
          <w:sz w:val="24"/>
          <w:szCs w:val="24"/>
        </w:rPr>
      </w:pPr>
    </w:p>
    <w:p w14:paraId="40326367" w14:textId="77777777" w:rsidR="00320401" w:rsidRPr="00D37AFE" w:rsidRDefault="00320401" w:rsidP="00320401">
      <w:pPr>
        <w:pStyle w:val="ListParagraph"/>
        <w:shd w:val="clear" w:color="auto" w:fill="FFFFFF"/>
        <w:spacing w:after="0" w:line="240" w:lineRule="auto"/>
        <w:ind w:left="360"/>
        <w:rPr>
          <w:rFonts w:ascii="Arial" w:hAnsi="Arial" w:cs="Arial"/>
          <w:sz w:val="24"/>
          <w:szCs w:val="24"/>
        </w:rPr>
      </w:pPr>
      <w:bookmarkStart w:id="88" w:name="_Hlk80028268"/>
      <w:r w:rsidRPr="00D37AFE">
        <w:rPr>
          <w:rFonts w:ascii="Arial" w:hAnsi="Arial" w:cs="Arial"/>
          <w:sz w:val="24"/>
          <w:szCs w:val="24"/>
        </w:rPr>
        <w:t xml:space="preserve">A clarifying sentence will be added to highlight that cluster level population data is not routinely collected on an annual basis and therefore GP registered </w:t>
      </w:r>
      <w:r>
        <w:rPr>
          <w:rFonts w:ascii="Arial" w:hAnsi="Arial" w:cs="Arial"/>
          <w:sz w:val="24"/>
          <w:szCs w:val="24"/>
        </w:rPr>
        <w:t xml:space="preserve">patient </w:t>
      </w:r>
      <w:r w:rsidRPr="00D37AFE">
        <w:rPr>
          <w:rFonts w:ascii="Arial" w:hAnsi="Arial" w:cs="Arial"/>
          <w:sz w:val="24"/>
          <w:szCs w:val="24"/>
        </w:rPr>
        <w:t xml:space="preserve">data has been </w:t>
      </w:r>
      <w:r>
        <w:rPr>
          <w:rFonts w:ascii="Arial" w:hAnsi="Arial" w:cs="Arial"/>
          <w:sz w:val="24"/>
          <w:szCs w:val="24"/>
        </w:rPr>
        <w:t xml:space="preserve">included and </w:t>
      </w:r>
      <w:r w:rsidRPr="00D37AFE">
        <w:rPr>
          <w:rFonts w:ascii="Arial" w:hAnsi="Arial" w:cs="Arial"/>
          <w:sz w:val="24"/>
          <w:szCs w:val="24"/>
        </w:rPr>
        <w:t xml:space="preserve">used to provide an indication of cluster population, and local authority based data has been used to provide an indication of population projections. Further to this, the clarifying statement will also highlight the differences between population sources. </w:t>
      </w:r>
    </w:p>
    <w:bookmarkEnd w:id="88"/>
    <w:p w14:paraId="681C43DA" w14:textId="77777777" w:rsidR="00320401" w:rsidRDefault="00320401" w:rsidP="00320401">
      <w:pPr>
        <w:spacing w:after="0" w:line="240" w:lineRule="auto"/>
        <w:contextualSpacing/>
        <w:rPr>
          <w:rFonts w:ascii="Arial" w:hAnsi="Arial" w:cs="Arial"/>
          <w:b/>
          <w:sz w:val="24"/>
          <w:szCs w:val="24"/>
        </w:rPr>
      </w:pPr>
    </w:p>
    <w:p w14:paraId="610DD0F0" w14:textId="77777777" w:rsidR="00514FBA" w:rsidRDefault="00514FBA" w:rsidP="00320401">
      <w:pPr>
        <w:spacing w:after="0" w:line="240" w:lineRule="auto"/>
        <w:contextualSpacing/>
        <w:rPr>
          <w:rFonts w:ascii="Arial" w:hAnsi="Arial" w:cs="Arial"/>
          <w:b/>
          <w:sz w:val="24"/>
          <w:szCs w:val="24"/>
        </w:rPr>
      </w:pPr>
    </w:p>
    <w:p w14:paraId="6A157FF8" w14:textId="77777777" w:rsidR="00514FBA" w:rsidRDefault="00514FBA" w:rsidP="00320401">
      <w:pPr>
        <w:spacing w:after="0" w:line="240" w:lineRule="auto"/>
        <w:contextualSpacing/>
        <w:rPr>
          <w:rFonts w:ascii="Arial" w:hAnsi="Arial" w:cs="Arial"/>
          <w:b/>
          <w:sz w:val="24"/>
          <w:szCs w:val="24"/>
        </w:rPr>
      </w:pPr>
    </w:p>
    <w:p w14:paraId="55DB45CD" w14:textId="77777777" w:rsidR="00514FBA" w:rsidRDefault="00514FBA" w:rsidP="00320401">
      <w:pPr>
        <w:spacing w:after="0" w:line="240" w:lineRule="auto"/>
        <w:contextualSpacing/>
        <w:rPr>
          <w:rFonts w:ascii="Arial" w:hAnsi="Arial" w:cs="Arial"/>
          <w:b/>
          <w:sz w:val="24"/>
          <w:szCs w:val="24"/>
        </w:rPr>
      </w:pPr>
    </w:p>
    <w:p w14:paraId="5811BB36" w14:textId="77777777" w:rsidR="00514FBA" w:rsidRDefault="00514FBA" w:rsidP="00320401">
      <w:pPr>
        <w:spacing w:after="0" w:line="240" w:lineRule="auto"/>
        <w:contextualSpacing/>
        <w:rPr>
          <w:rFonts w:ascii="Arial" w:hAnsi="Arial" w:cs="Arial"/>
          <w:b/>
          <w:sz w:val="24"/>
          <w:szCs w:val="24"/>
        </w:rPr>
      </w:pPr>
    </w:p>
    <w:p w14:paraId="3B47FC7B" w14:textId="77777777" w:rsidR="00514FBA" w:rsidRDefault="00514FBA" w:rsidP="00320401">
      <w:pPr>
        <w:spacing w:after="0" w:line="240" w:lineRule="auto"/>
        <w:contextualSpacing/>
        <w:rPr>
          <w:rFonts w:ascii="Arial" w:hAnsi="Arial" w:cs="Arial"/>
          <w:b/>
          <w:sz w:val="24"/>
          <w:szCs w:val="24"/>
        </w:rPr>
      </w:pPr>
    </w:p>
    <w:p w14:paraId="53ADC9CF" w14:textId="77777777" w:rsidR="00514FBA" w:rsidRDefault="00514FBA" w:rsidP="00320401">
      <w:pPr>
        <w:spacing w:after="0" w:line="240" w:lineRule="auto"/>
        <w:contextualSpacing/>
        <w:rPr>
          <w:rFonts w:ascii="Arial" w:hAnsi="Arial" w:cs="Arial"/>
          <w:b/>
          <w:sz w:val="24"/>
          <w:szCs w:val="24"/>
        </w:rPr>
      </w:pPr>
    </w:p>
    <w:p w14:paraId="1F63EF71" w14:textId="77777777" w:rsidR="00320401" w:rsidRPr="00D37AFE" w:rsidRDefault="00320401" w:rsidP="00320401">
      <w:pPr>
        <w:spacing w:after="0" w:line="240" w:lineRule="auto"/>
        <w:contextualSpacing/>
        <w:rPr>
          <w:rFonts w:ascii="Arial" w:hAnsi="Arial" w:cs="Arial"/>
          <w:b/>
          <w:sz w:val="24"/>
          <w:szCs w:val="24"/>
        </w:rPr>
      </w:pPr>
    </w:p>
    <w:p w14:paraId="57E59572" w14:textId="77777777" w:rsidR="00320401" w:rsidRPr="00D37AFE" w:rsidRDefault="00320401" w:rsidP="00320401">
      <w:pPr>
        <w:spacing w:after="0" w:line="240" w:lineRule="auto"/>
        <w:contextualSpacing/>
        <w:rPr>
          <w:rFonts w:ascii="Arial" w:hAnsi="Arial" w:cs="Arial"/>
          <w:b/>
          <w:sz w:val="24"/>
          <w:szCs w:val="24"/>
        </w:rPr>
      </w:pPr>
      <w:r w:rsidRPr="00D37AFE">
        <w:rPr>
          <w:rFonts w:ascii="Arial" w:hAnsi="Arial" w:cs="Arial"/>
          <w:b/>
          <w:sz w:val="24"/>
          <w:szCs w:val="24"/>
        </w:rPr>
        <w:t>Q4. Does the draft pharmaceutical needs assessment reflect the needs of your</w:t>
      </w:r>
    </w:p>
    <w:p w14:paraId="1DA316A0" w14:textId="77777777" w:rsidR="00320401" w:rsidRPr="00D37AFE" w:rsidRDefault="00320401" w:rsidP="00320401">
      <w:pPr>
        <w:spacing w:after="0" w:line="240" w:lineRule="auto"/>
        <w:contextualSpacing/>
        <w:rPr>
          <w:rFonts w:ascii="Arial" w:hAnsi="Arial" w:cs="Arial"/>
          <w:b/>
          <w:sz w:val="24"/>
          <w:szCs w:val="24"/>
        </w:rPr>
      </w:pPr>
      <w:r w:rsidRPr="00D37AFE">
        <w:rPr>
          <w:rFonts w:ascii="Arial" w:hAnsi="Arial" w:cs="Arial"/>
          <w:b/>
          <w:sz w:val="24"/>
          <w:szCs w:val="24"/>
        </w:rPr>
        <w:t xml:space="preserve"> area’s population?</w:t>
      </w:r>
    </w:p>
    <w:p w14:paraId="14A7B44C" w14:textId="77777777" w:rsidR="00320401" w:rsidRPr="00D37AFE" w:rsidRDefault="00320401" w:rsidP="00320401">
      <w:pPr>
        <w:spacing w:after="0" w:line="240" w:lineRule="auto"/>
        <w:contextualSpacing/>
        <w:rPr>
          <w:rFonts w:ascii="Arial" w:hAnsi="Arial" w:cs="Arial"/>
          <w:b/>
          <w:sz w:val="24"/>
          <w:szCs w:val="24"/>
        </w:rPr>
      </w:pPr>
    </w:p>
    <w:tbl>
      <w:tblPr>
        <w:tblW w:w="8922" w:type="dxa"/>
        <w:tblLook w:val="04A0" w:firstRow="1" w:lastRow="0" w:firstColumn="1" w:lastColumn="0" w:noHBand="0" w:noVBand="1"/>
      </w:tblPr>
      <w:tblGrid>
        <w:gridCol w:w="1464"/>
        <w:gridCol w:w="2639"/>
        <w:gridCol w:w="1754"/>
        <w:gridCol w:w="1860"/>
        <w:gridCol w:w="1205"/>
      </w:tblGrid>
      <w:tr w:rsidR="00320401" w:rsidRPr="00D37AFE" w14:paraId="62063D21" w14:textId="77777777" w:rsidTr="005670EB">
        <w:trPr>
          <w:trHeight w:val="274"/>
        </w:trPr>
        <w:tc>
          <w:tcPr>
            <w:tcW w:w="5857" w:type="dxa"/>
            <w:gridSpan w:val="3"/>
            <w:tcBorders>
              <w:top w:val="single" w:sz="4" w:space="0" w:color="A6A6A6"/>
              <w:left w:val="single" w:sz="4" w:space="0" w:color="A6A6A6"/>
              <w:bottom w:val="single" w:sz="4" w:space="0" w:color="A6A6A6"/>
              <w:right w:val="nil"/>
            </w:tcBorders>
            <w:shd w:val="clear" w:color="auto" w:fill="548DD4" w:themeFill="text2" w:themeFillTint="99"/>
            <w:noWrap/>
            <w:vAlign w:val="center"/>
            <w:hideMark/>
          </w:tcPr>
          <w:p w14:paraId="00BC759F"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65" w:type="dxa"/>
            <w:gridSpan w:val="2"/>
            <w:tcBorders>
              <w:top w:val="single" w:sz="4" w:space="0" w:color="A6A6A6"/>
              <w:left w:val="nil"/>
              <w:bottom w:val="single" w:sz="4" w:space="0" w:color="A6A6A6"/>
              <w:right w:val="single" w:sz="4" w:space="0" w:color="A6A6A6"/>
            </w:tcBorders>
            <w:shd w:val="clear" w:color="auto" w:fill="548DD4" w:themeFill="text2" w:themeFillTint="99"/>
            <w:noWrap/>
            <w:vAlign w:val="center"/>
            <w:hideMark/>
          </w:tcPr>
          <w:p w14:paraId="58F8F61B"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320401" w:rsidRPr="00D37AFE" w14:paraId="3C5C1124" w14:textId="77777777" w:rsidTr="005670EB">
        <w:trPr>
          <w:trHeight w:val="274"/>
        </w:trPr>
        <w:tc>
          <w:tcPr>
            <w:tcW w:w="5857"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2463FFB2"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60" w:type="dxa"/>
            <w:tcBorders>
              <w:top w:val="nil"/>
              <w:left w:val="nil"/>
              <w:bottom w:val="single" w:sz="4" w:space="0" w:color="A6A6A6"/>
              <w:right w:val="single" w:sz="4" w:space="0" w:color="A6A6A6"/>
            </w:tcBorders>
            <w:shd w:val="clear" w:color="000000" w:fill="F2F2F2"/>
            <w:noWrap/>
            <w:vAlign w:val="center"/>
            <w:hideMark/>
          </w:tcPr>
          <w:p w14:paraId="2B5507F0"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205" w:type="dxa"/>
            <w:tcBorders>
              <w:top w:val="nil"/>
              <w:left w:val="nil"/>
              <w:bottom w:val="single" w:sz="4" w:space="0" w:color="A6A6A6"/>
              <w:right w:val="single" w:sz="4" w:space="0" w:color="A6A6A6"/>
            </w:tcBorders>
            <w:shd w:val="clear" w:color="000000" w:fill="F2F2F2"/>
            <w:noWrap/>
            <w:vAlign w:val="center"/>
            <w:hideMark/>
          </w:tcPr>
          <w:p w14:paraId="781E4578"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320401" w:rsidRPr="00D37AFE" w14:paraId="446D9DCE" w14:textId="77777777" w:rsidTr="005670EB">
        <w:trPr>
          <w:trHeight w:val="274"/>
        </w:trPr>
        <w:tc>
          <w:tcPr>
            <w:tcW w:w="1464" w:type="dxa"/>
            <w:tcBorders>
              <w:top w:val="nil"/>
              <w:left w:val="single" w:sz="4" w:space="0" w:color="A6A6A6"/>
              <w:bottom w:val="single" w:sz="4" w:space="0" w:color="A6A6A6"/>
              <w:right w:val="single" w:sz="4" w:space="0" w:color="A6A6A6"/>
            </w:tcBorders>
            <w:shd w:val="clear" w:color="000000" w:fill="F2F2F2"/>
            <w:vAlign w:val="center"/>
            <w:hideMark/>
          </w:tcPr>
          <w:p w14:paraId="330A785B"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92" w:type="dxa"/>
            <w:gridSpan w:val="2"/>
            <w:tcBorders>
              <w:top w:val="single" w:sz="4" w:space="0" w:color="A6A6A6"/>
              <w:left w:val="nil"/>
              <w:bottom w:val="single" w:sz="4" w:space="0" w:color="A6A6A6"/>
              <w:right w:val="single" w:sz="4" w:space="0" w:color="A6A6A6"/>
            </w:tcBorders>
            <w:shd w:val="clear" w:color="auto" w:fill="auto"/>
            <w:vAlign w:val="center"/>
            <w:hideMark/>
          </w:tcPr>
          <w:p w14:paraId="33B81293"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60" w:type="dxa"/>
            <w:tcBorders>
              <w:top w:val="nil"/>
              <w:left w:val="nil"/>
              <w:bottom w:val="single" w:sz="4" w:space="0" w:color="A6A6A6"/>
              <w:right w:val="single" w:sz="4" w:space="0" w:color="A6A6A6"/>
            </w:tcBorders>
            <w:shd w:val="clear" w:color="000000" w:fill="F2F2F2"/>
            <w:noWrap/>
            <w:vAlign w:val="bottom"/>
            <w:hideMark/>
          </w:tcPr>
          <w:p w14:paraId="37AD713D"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33.33%</w:t>
            </w:r>
          </w:p>
        </w:tc>
        <w:tc>
          <w:tcPr>
            <w:tcW w:w="1205" w:type="dxa"/>
            <w:tcBorders>
              <w:top w:val="nil"/>
              <w:left w:val="nil"/>
              <w:bottom w:val="single" w:sz="4" w:space="0" w:color="A6A6A6"/>
              <w:right w:val="single" w:sz="4" w:space="0" w:color="A6A6A6"/>
            </w:tcBorders>
            <w:shd w:val="clear" w:color="000000" w:fill="F2F2F2"/>
            <w:noWrap/>
            <w:vAlign w:val="bottom"/>
            <w:hideMark/>
          </w:tcPr>
          <w:p w14:paraId="13DDF0DA"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r>
      <w:tr w:rsidR="00320401" w:rsidRPr="00D37AFE" w14:paraId="71282556" w14:textId="77777777" w:rsidTr="005670EB">
        <w:trPr>
          <w:trHeight w:val="274"/>
        </w:trPr>
        <w:tc>
          <w:tcPr>
            <w:tcW w:w="1464" w:type="dxa"/>
            <w:tcBorders>
              <w:top w:val="nil"/>
              <w:left w:val="single" w:sz="4" w:space="0" w:color="A6A6A6"/>
              <w:bottom w:val="single" w:sz="4" w:space="0" w:color="A6A6A6"/>
              <w:right w:val="single" w:sz="4" w:space="0" w:color="A6A6A6"/>
            </w:tcBorders>
            <w:shd w:val="clear" w:color="000000" w:fill="F2F2F2"/>
            <w:vAlign w:val="center"/>
            <w:hideMark/>
          </w:tcPr>
          <w:p w14:paraId="3C4BD408"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92" w:type="dxa"/>
            <w:gridSpan w:val="2"/>
            <w:tcBorders>
              <w:top w:val="single" w:sz="4" w:space="0" w:color="A6A6A6"/>
              <w:left w:val="nil"/>
              <w:bottom w:val="single" w:sz="4" w:space="0" w:color="A6A6A6"/>
              <w:right w:val="single" w:sz="4" w:space="0" w:color="A6A6A6"/>
            </w:tcBorders>
            <w:shd w:val="clear" w:color="auto" w:fill="auto"/>
            <w:vAlign w:val="center"/>
            <w:hideMark/>
          </w:tcPr>
          <w:p w14:paraId="44121BD6"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60" w:type="dxa"/>
            <w:tcBorders>
              <w:top w:val="nil"/>
              <w:left w:val="nil"/>
              <w:bottom w:val="single" w:sz="4" w:space="0" w:color="A6A6A6"/>
              <w:right w:val="single" w:sz="4" w:space="0" w:color="A6A6A6"/>
            </w:tcBorders>
            <w:shd w:val="clear" w:color="000000" w:fill="F2F2F2"/>
            <w:noWrap/>
            <w:vAlign w:val="bottom"/>
            <w:hideMark/>
          </w:tcPr>
          <w:p w14:paraId="05C2ADEC"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55.56%</w:t>
            </w:r>
          </w:p>
        </w:tc>
        <w:tc>
          <w:tcPr>
            <w:tcW w:w="1205" w:type="dxa"/>
            <w:tcBorders>
              <w:top w:val="nil"/>
              <w:left w:val="nil"/>
              <w:bottom w:val="single" w:sz="4" w:space="0" w:color="A6A6A6"/>
              <w:right w:val="single" w:sz="4" w:space="0" w:color="A6A6A6"/>
            </w:tcBorders>
            <w:shd w:val="clear" w:color="000000" w:fill="F2F2F2"/>
            <w:noWrap/>
            <w:vAlign w:val="bottom"/>
            <w:hideMark/>
          </w:tcPr>
          <w:p w14:paraId="1896EDA9"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w:t>
            </w:r>
          </w:p>
        </w:tc>
      </w:tr>
      <w:tr w:rsidR="00320401" w:rsidRPr="00D37AFE" w14:paraId="07F09ED5" w14:textId="77777777" w:rsidTr="005670EB">
        <w:trPr>
          <w:trHeight w:val="274"/>
        </w:trPr>
        <w:tc>
          <w:tcPr>
            <w:tcW w:w="1464" w:type="dxa"/>
            <w:tcBorders>
              <w:top w:val="nil"/>
              <w:left w:val="single" w:sz="4" w:space="0" w:color="A6A6A6"/>
              <w:bottom w:val="single" w:sz="4" w:space="0" w:color="A6A6A6"/>
              <w:right w:val="single" w:sz="4" w:space="0" w:color="A6A6A6"/>
            </w:tcBorders>
            <w:shd w:val="clear" w:color="000000" w:fill="F2F2F2"/>
            <w:vAlign w:val="center"/>
            <w:hideMark/>
          </w:tcPr>
          <w:p w14:paraId="2C2D563F"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92" w:type="dxa"/>
            <w:gridSpan w:val="2"/>
            <w:tcBorders>
              <w:top w:val="single" w:sz="4" w:space="0" w:color="A6A6A6"/>
              <w:left w:val="nil"/>
              <w:bottom w:val="single" w:sz="4" w:space="0" w:color="A6A6A6"/>
              <w:right w:val="single" w:sz="4" w:space="0" w:color="A6A6A6"/>
            </w:tcBorders>
            <w:shd w:val="clear" w:color="auto" w:fill="auto"/>
            <w:vAlign w:val="center"/>
            <w:hideMark/>
          </w:tcPr>
          <w:p w14:paraId="6252680E"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60" w:type="dxa"/>
            <w:tcBorders>
              <w:top w:val="nil"/>
              <w:left w:val="nil"/>
              <w:bottom w:val="single" w:sz="4" w:space="0" w:color="A6A6A6"/>
              <w:right w:val="single" w:sz="4" w:space="0" w:color="A6A6A6"/>
            </w:tcBorders>
            <w:shd w:val="clear" w:color="000000" w:fill="F2F2F2"/>
            <w:noWrap/>
            <w:vAlign w:val="bottom"/>
            <w:hideMark/>
          </w:tcPr>
          <w:p w14:paraId="0E6ED1A2"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11.11%</w:t>
            </w:r>
          </w:p>
        </w:tc>
        <w:tc>
          <w:tcPr>
            <w:tcW w:w="1205" w:type="dxa"/>
            <w:tcBorders>
              <w:top w:val="nil"/>
              <w:left w:val="nil"/>
              <w:bottom w:val="single" w:sz="4" w:space="0" w:color="A6A6A6"/>
              <w:right w:val="single" w:sz="4" w:space="0" w:color="A6A6A6"/>
            </w:tcBorders>
            <w:shd w:val="clear" w:color="000000" w:fill="F2F2F2"/>
            <w:noWrap/>
            <w:vAlign w:val="bottom"/>
            <w:hideMark/>
          </w:tcPr>
          <w:p w14:paraId="4C6CE095"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r w:rsidR="00320401" w:rsidRPr="00D37AFE" w14:paraId="77C2518B" w14:textId="77777777" w:rsidTr="005670EB">
        <w:trPr>
          <w:trHeight w:val="274"/>
        </w:trPr>
        <w:tc>
          <w:tcPr>
            <w:tcW w:w="4103"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3509F7AB"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54" w:type="dxa"/>
            <w:tcBorders>
              <w:top w:val="nil"/>
              <w:left w:val="nil"/>
              <w:bottom w:val="single" w:sz="4" w:space="0" w:color="A6A6A6"/>
              <w:right w:val="single" w:sz="4" w:space="0" w:color="A6A6A6"/>
            </w:tcBorders>
            <w:shd w:val="clear" w:color="000000" w:fill="F2F2F2"/>
            <w:vAlign w:val="center"/>
            <w:hideMark/>
          </w:tcPr>
          <w:p w14:paraId="5A6F2DFE"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60" w:type="dxa"/>
            <w:tcBorders>
              <w:top w:val="nil"/>
              <w:left w:val="nil"/>
              <w:bottom w:val="single" w:sz="4" w:space="0" w:color="A6A6A6"/>
              <w:right w:val="single" w:sz="4" w:space="0" w:color="A6A6A6"/>
            </w:tcBorders>
            <w:shd w:val="clear" w:color="000000" w:fill="F2F2F2"/>
            <w:noWrap/>
            <w:vAlign w:val="bottom"/>
            <w:hideMark/>
          </w:tcPr>
          <w:p w14:paraId="76443F10"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205" w:type="dxa"/>
            <w:tcBorders>
              <w:top w:val="nil"/>
              <w:left w:val="nil"/>
              <w:bottom w:val="single" w:sz="4" w:space="0" w:color="A6A6A6"/>
              <w:right w:val="single" w:sz="4" w:space="0" w:color="A6A6A6"/>
            </w:tcBorders>
            <w:shd w:val="clear" w:color="000000" w:fill="F2F2F2"/>
            <w:noWrap/>
            <w:vAlign w:val="bottom"/>
            <w:hideMark/>
          </w:tcPr>
          <w:p w14:paraId="33344831"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tc>
      </w:tr>
      <w:tr w:rsidR="00320401" w:rsidRPr="00D37AFE" w14:paraId="7150323B" w14:textId="77777777" w:rsidTr="005670EB">
        <w:trPr>
          <w:trHeight w:val="274"/>
        </w:trPr>
        <w:tc>
          <w:tcPr>
            <w:tcW w:w="4103" w:type="dxa"/>
            <w:gridSpan w:val="2"/>
            <w:vMerge/>
            <w:tcBorders>
              <w:top w:val="single" w:sz="4" w:space="0" w:color="A6A6A6"/>
              <w:left w:val="single" w:sz="4" w:space="0" w:color="A6A6A6"/>
              <w:bottom w:val="single" w:sz="4" w:space="0" w:color="A6A6A6"/>
              <w:right w:val="single" w:sz="4" w:space="0" w:color="A6A6A6"/>
            </w:tcBorders>
            <w:vAlign w:val="center"/>
            <w:hideMark/>
          </w:tcPr>
          <w:p w14:paraId="74BF4837" w14:textId="77777777" w:rsidR="00320401" w:rsidRPr="00D37AFE" w:rsidRDefault="00320401" w:rsidP="005670EB">
            <w:pPr>
              <w:spacing w:after="0" w:line="240" w:lineRule="auto"/>
              <w:rPr>
                <w:rFonts w:ascii="Arial" w:eastAsia="Times New Roman" w:hAnsi="Arial" w:cs="Arial"/>
                <w:b/>
                <w:bCs/>
                <w:color w:val="000000"/>
                <w:sz w:val="24"/>
                <w:szCs w:val="24"/>
                <w:lang w:eastAsia="en-GB"/>
              </w:rPr>
            </w:pPr>
          </w:p>
        </w:tc>
        <w:tc>
          <w:tcPr>
            <w:tcW w:w="1754" w:type="dxa"/>
            <w:tcBorders>
              <w:top w:val="nil"/>
              <w:left w:val="nil"/>
              <w:bottom w:val="single" w:sz="4" w:space="0" w:color="A6A6A6"/>
              <w:right w:val="single" w:sz="4" w:space="0" w:color="A6A6A6"/>
            </w:tcBorders>
            <w:shd w:val="clear" w:color="000000" w:fill="F2F2F2"/>
            <w:vAlign w:val="center"/>
            <w:hideMark/>
          </w:tcPr>
          <w:p w14:paraId="69425698"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60" w:type="dxa"/>
            <w:tcBorders>
              <w:top w:val="nil"/>
              <w:left w:val="nil"/>
              <w:bottom w:val="single" w:sz="4" w:space="0" w:color="A6A6A6"/>
              <w:right w:val="single" w:sz="4" w:space="0" w:color="A6A6A6"/>
            </w:tcBorders>
            <w:shd w:val="clear" w:color="000000" w:fill="F2F2F2"/>
            <w:noWrap/>
            <w:vAlign w:val="bottom"/>
            <w:hideMark/>
          </w:tcPr>
          <w:p w14:paraId="310105B9"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205" w:type="dxa"/>
            <w:tcBorders>
              <w:top w:val="nil"/>
              <w:left w:val="nil"/>
              <w:bottom w:val="single" w:sz="4" w:space="0" w:color="A6A6A6"/>
              <w:right w:val="single" w:sz="4" w:space="0" w:color="A6A6A6"/>
            </w:tcBorders>
            <w:shd w:val="clear" w:color="000000" w:fill="F2F2F2"/>
            <w:noWrap/>
            <w:vAlign w:val="bottom"/>
            <w:hideMark/>
          </w:tcPr>
          <w:p w14:paraId="0F455164"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bl>
    <w:p w14:paraId="2CA3F786" w14:textId="77777777" w:rsidR="00320401" w:rsidRPr="00D37AFE" w:rsidRDefault="00320401" w:rsidP="00320401">
      <w:pPr>
        <w:spacing w:after="0" w:line="240" w:lineRule="auto"/>
        <w:contextualSpacing/>
        <w:rPr>
          <w:rFonts w:ascii="Arial" w:hAnsi="Arial" w:cs="Arial"/>
          <w:b/>
          <w:sz w:val="24"/>
          <w:szCs w:val="24"/>
        </w:rPr>
      </w:pPr>
    </w:p>
    <w:p w14:paraId="295B8D59" w14:textId="77777777" w:rsidR="00320401" w:rsidRPr="00D37AFE" w:rsidRDefault="00320401" w:rsidP="00320401">
      <w:pPr>
        <w:spacing w:after="0" w:line="240" w:lineRule="auto"/>
        <w:contextualSpacing/>
        <w:rPr>
          <w:rFonts w:ascii="Arial" w:hAnsi="Arial" w:cs="Arial"/>
          <w:b/>
          <w:sz w:val="24"/>
          <w:szCs w:val="24"/>
        </w:rPr>
      </w:pPr>
    </w:p>
    <w:p w14:paraId="384A559E" w14:textId="77777777" w:rsidR="00320401" w:rsidRPr="00D37AFE" w:rsidRDefault="00320401" w:rsidP="00320401">
      <w:pPr>
        <w:spacing w:after="0" w:line="240" w:lineRule="auto"/>
        <w:contextualSpacing/>
        <w:rPr>
          <w:rFonts w:ascii="Arial" w:hAnsi="Arial" w:cs="Arial"/>
          <w:b/>
          <w:sz w:val="24"/>
          <w:szCs w:val="24"/>
        </w:rPr>
      </w:pPr>
      <w:r w:rsidRPr="00D37AFE">
        <w:rPr>
          <w:rFonts w:ascii="Arial" w:hAnsi="Arial" w:cs="Arial"/>
          <w:b/>
          <w:sz w:val="24"/>
          <w:szCs w:val="24"/>
        </w:rPr>
        <w:t>Comments</w:t>
      </w:r>
    </w:p>
    <w:p w14:paraId="16C3506A" w14:textId="77777777" w:rsidR="00320401" w:rsidRPr="00D37AFE" w:rsidRDefault="00320401" w:rsidP="00320401">
      <w:pPr>
        <w:shd w:val="clear" w:color="auto" w:fill="FFFFFF"/>
        <w:spacing w:after="0" w:line="240" w:lineRule="auto"/>
        <w:outlineLvl w:val="2"/>
        <w:rPr>
          <w:rFonts w:ascii="Arial" w:hAnsi="Arial" w:cs="Arial"/>
          <w:sz w:val="24"/>
          <w:szCs w:val="24"/>
          <w:lang w:eastAsia="en-GB"/>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320401" w:rsidRPr="00D37AFE" w14:paraId="7441E489" w14:textId="77777777" w:rsidTr="005670EB">
        <w:tc>
          <w:tcPr>
            <w:tcW w:w="0" w:type="auto"/>
            <w:shd w:val="clear" w:color="auto" w:fill="FFFFFF"/>
            <w:tcMar>
              <w:top w:w="75" w:type="dxa"/>
              <w:left w:w="75" w:type="dxa"/>
              <w:bottom w:w="75" w:type="dxa"/>
              <w:right w:w="75" w:type="dxa"/>
            </w:tcMar>
            <w:hideMark/>
          </w:tcPr>
          <w:p w14:paraId="5DF0A6F5" w14:textId="77777777" w:rsidR="00320401" w:rsidRPr="00D37AFE" w:rsidRDefault="00320401" w:rsidP="00320401">
            <w:pPr>
              <w:pStyle w:val="ListParagraph"/>
              <w:numPr>
                <w:ilvl w:val="0"/>
                <w:numId w:val="204"/>
              </w:numPr>
              <w:spacing w:after="0" w:line="240" w:lineRule="auto"/>
              <w:rPr>
                <w:rFonts w:ascii="Arial" w:hAnsi="Arial" w:cs="Arial"/>
                <w:bCs/>
                <w:sz w:val="24"/>
                <w:szCs w:val="24"/>
              </w:rPr>
            </w:pPr>
            <w:r w:rsidRPr="00D37AFE">
              <w:rPr>
                <w:rFonts w:ascii="Arial" w:hAnsi="Arial" w:cs="Arial"/>
                <w:bCs/>
                <w:sz w:val="24"/>
                <w:szCs w:val="24"/>
              </w:rPr>
              <w:t>As above, South East Locality has no pharmacy services in Pengam Green.</w:t>
            </w:r>
          </w:p>
        </w:tc>
      </w:tr>
      <w:tr w:rsidR="00320401" w:rsidRPr="00D37AFE" w14:paraId="77216C4E" w14:textId="77777777" w:rsidTr="005670EB">
        <w:tc>
          <w:tcPr>
            <w:tcW w:w="0" w:type="auto"/>
            <w:shd w:val="clear" w:color="auto" w:fill="FFFFFF"/>
            <w:tcMar>
              <w:top w:w="75" w:type="dxa"/>
              <w:left w:w="75" w:type="dxa"/>
              <w:bottom w:w="75" w:type="dxa"/>
              <w:right w:w="75" w:type="dxa"/>
            </w:tcMar>
            <w:hideMark/>
          </w:tcPr>
          <w:p w14:paraId="1EE94C50" w14:textId="77777777" w:rsidR="00320401" w:rsidRPr="00D37AFE" w:rsidRDefault="00320401" w:rsidP="00320401">
            <w:pPr>
              <w:pStyle w:val="ListParagraph"/>
              <w:numPr>
                <w:ilvl w:val="0"/>
                <w:numId w:val="204"/>
              </w:numPr>
              <w:spacing w:after="0" w:line="240" w:lineRule="auto"/>
              <w:rPr>
                <w:rFonts w:ascii="Arial" w:hAnsi="Arial" w:cs="Arial"/>
                <w:bCs/>
                <w:sz w:val="24"/>
                <w:szCs w:val="24"/>
              </w:rPr>
            </w:pPr>
            <w:r w:rsidRPr="00D37AFE">
              <w:rPr>
                <w:rFonts w:ascii="Arial" w:hAnsi="Arial" w:cs="Arial"/>
                <w:bCs/>
                <w:sz w:val="24"/>
                <w:szCs w:val="24"/>
              </w:rPr>
              <w:t>The feedback from the pharmacies in [X] are widely inaccurate. Neither pharmacy in [X] can cope with the current patient demand. They have not adapted to the pressures of COVID or have a recovery plan. Acute scripts take a week to be processed by one of the pharmacies and a staggering proportion of scripts are "lost" on a daily basis by both pharmacies. A disproportionately large number of patients are on weekly scripts driven by pharmacy demands and requirements and despite multiple initiatives and meetings the problem continues. Patient complaints have rocketed and one of the pharmacies still remains closed over the lunchtime period. This has been an ongoing issue for years but the pandemic has highlighted the failures within the pharmacies and their inability to cope with the demands of the local population. This is also at a time of unprecedented building within and around [X] and there is absolute need for increased pharmacy provision to cope with the large population increase that is occurring and will continue over the next 5 years.</w:t>
            </w:r>
          </w:p>
        </w:tc>
      </w:tr>
      <w:tr w:rsidR="00320401" w:rsidRPr="00D37AFE" w14:paraId="6610E904" w14:textId="77777777" w:rsidTr="005670EB">
        <w:tc>
          <w:tcPr>
            <w:tcW w:w="0" w:type="auto"/>
            <w:shd w:val="clear" w:color="auto" w:fill="FFFFFF"/>
            <w:tcMar>
              <w:top w:w="75" w:type="dxa"/>
              <w:left w:w="75" w:type="dxa"/>
              <w:bottom w:w="75" w:type="dxa"/>
              <w:right w:w="75" w:type="dxa"/>
            </w:tcMar>
            <w:hideMark/>
          </w:tcPr>
          <w:p w14:paraId="5844E4F8" w14:textId="77777777" w:rsidR="00320401" w:rsidRPr="00D37AFE" w:rsidRDefault="00320401" w:rsidP="00320401">
            <w:pPr>
              <w:pStyle w:val="ListParagraph"/>
              <w:numPr>
                <w:ilvl w:val="0"/>
                <w:numId w:val="204"/>
              </w:numPr>
              <w:spacing w:after="0" w:line="240" w:lineRule="auto"/>
              <w:rPr>
                <w:rFonts w:ascii="Arial" w:hAnsi="Arial" w:cs="Arial"/>
                <w:bCs/>
                <w:sz w:val="24"/>
                <w:szCs w:val="24"/>
              </w:rPr>
            </w:pPr>
            <w:r w:rsidRPr="00D37AFE">
              <w:rPr>
                <w:rFonts w:ascii="Arial" w:hAnsi="Arial" w:cs="Arial"/>
                <w:bCs/>
                <w:sz w:val="24"/>
                <w:szCs w:val="24"/>
              </w:rPr>
              <w:t xml:space="preserve">Further pharmacy support would be well received and seems to be essential with a very large georgraphical area of elderly patients on multiple medications and a growing population . </w:t>
            </w:r>
          </w:p>
        </w:tc>
      </w:tr>
      <w:tr w:rsidR="00320401" w:rsidRPr="00D37AFE" w14:paraId="6580D998" w14:textId="77777777" w:rsidTr="005670EB">
        <w:tc>
          <w:tcPr>
            <w:tcW w:w="0" w:type="auto"/>
            <w:shd w:val="clear" w:color="auto" w:fill="FFFFFF"/>
            <w:tcMar>
              <w:top w:w="75" w:type="dxa"/>
              <w:left w:w="75" w:type="dxa"/>
              <w:bottom w:w="75" w:type="dxa"/>
              <w:right w:w="75" w:type="dxa"/>
            </w:tcMar>
            <w:hideMark/>
          </w:tcPr>
          <w:p w14:paraId="31C82003" w14:textId="77777777" w:rsidR="00320401" w:rsidRPr="00D37AFE" w:rsidRDefault="00320401" w:rsidP="00320401">
            <w:pPr>
              <w:pStyle w:val="ListParagraph"/>
              <w:numPr>
                <w:ilvl w:val="0"/>
                <w:numId w:val="204"/>
              </w:numPr>
              <w:spacing w:after="0" w:line="240" w:lineRule="auto"/>
              <w:rPr>
                <w:rFonts w:ascii="Arial" w:hAnsi="Arial" w:cs="Arial"/>
                <w:bCs/>
                <w:sz w:val="24"/>
                <w:szCs w:val="24"/>
              </w:rPr>
            </w:pPr>
            <w:r w:rsidRPr="00D37AFE">
              <w:rPr>
                <w:rFonts w:ascii="Arial" w:hAnsi="Arial" w:cs="Arial"/>
                <w:bCs/>
                <w:sz w:val="24"/>
                <w:szCs w:val="24"/>
              </w:rPr>
              <w:t xml:space="preserve">Comment refers to The Western Vale of Glamorgan. The PNA runs for five years. As the document alludes to there are ongoing housing developments, some of which are a long way off completion. These will impact significantly on the provision of basic pharmaceutical service required re dispensing. At the present time the pharmacies especially in the [X] area are essentially from what I can see working at or very close to capacity. They have little if any room to expand, and as per the comments below are currently often not reaching a satisfactory level of customer satisfaction with the quality of service provided. </w:t>
            </w:r>
          </w:p>
        </w:tc>
      </w:tr>
      <w:tr w:rsidR="00320401" w:rsidRPr="00D37AFE" w14:paraId="7F9591F2" w14:textId="77777777" w:rsidTr="005670EB">
        <w:tc>
          <w:tcPr>
            <w:tcW w:w="0" w:type="auto"/>
            <w:shd w:val="clear" w:color="auto" w:fill="FFFFFF"/>
            <w:tcMar>
              <w:top w:w="75" w:type="dxa"/>
              <w:left w:w="75" w:type="dxa"/>
              <w:bottom w:w="75" w:type="dxa"/>
              <w:right w:w="75" w:type="dxa"/>
            </w:tcMar>
            <w:hideMark/>
          </w:tcPr>
          <w:p w14:paraId="1B289980" w14:textId="77777777" w:rsidR="00320401" w:rsidRPr="00D37AFE" w:rsidRDefault="00320401" w:rsidP="00320401">
            <w:pPr>
              <w:pStyle w:val="ListParagraph"/>
              <w:numPr>
                <w:ilvl w:val="0"/>
                <w:numId w:val="204"/>
              </w:numPr>
              <w:spacing w:after="0" w:line="240" w:lineRule="auto"/>
              <w:rPr>
                <w:rFonts w:ascii="Arial" w:hAnsi="Arial" w:cs="Arial"/>
                <w:bCs/>
                <w:sz w:val="24"/>
                <w:szCs w:val="24"/>
              </w:rPr>
            </w:pPr>
            <w:r w:rsidRPr="00D37AFE">
              <w:rPr>
                <w:rFonts w:ascii="Arial" w:hAnsi="Arial" w:cs="Arial"/>
                <w:bCs/>
                <w:sz w:val="24"/>
                <w:szCs w:val="24"/>
              </w:rPr>
              <w:t xml:space="preserve">The document refers to "Cluster Developments" in section 11.1.5 (in particular) relating to the Cardiff North Cluster with two major developments providing upwards of 5,800 homes and a population increase of more than 11,000 people. The supporting data reference that relates to the development West of Pontprennau at page 178 concludes </w:t>
            </w:r>
            <w:r w:rsidRPr="00D37AFE">
              <w:rPr>
                <w:rFonts w:ascii="Arial" w:hAnsi="Arial" w:cs="Arial"/>
                <w:bCs/>
                <w:sz w:val="24"/>
                <w:szCs w:val="24"/>
              </w:rPr>
              <w:br/>
            </w:r>
            <w:r w:rsidRPr="00D37AFE">
              <w:rPr>
                <w:rFonts w:ascii="Arial" w:hAnsi="Arial" w:cs="Arial"/>
                <w:bCs/>
                <w:sz w:val="24"/>
                <w:szCs w:val="24"/>
              </w:rPr>
              <w:br/>
            </w:r>
            <w:r w:rsidRPr="00D37AFE">
              <w:rPr>
                <w:rFonts w:ascii="Arial" w:hAnsi="Arial" w:cs="Arial"/>
                <w:bCs/>
                <w:sz w:val="24"/>
                <w:szCs w:val="24"/>
              </w:rPr>
              <w:lastRenderedPageBreak/>
              <w:t xml:space="preserve">“By autumn 2019, 45 houses were under construction. 2020 site monitoring was put on hold due to Coronavirus (COVID-19) pandemic restrictions”. </w:t>
            </w:r>
            <w:r w:rsidRPr="00D37AFE">
              <w:rPr>
                <w:rFonts w:ascii="Arial" w:hAnsi="Arial" w:cs="Arial"/>
                <w:bCs/>
                <w:sz w:val="24"/>
                <w:szCs w:val="24"/>
              </w:rPr>
              <w:br/>
            </w:r>
            <w:r w:rsidRPr="00D37AFE">
              <w:rPr>
                <w:rFonts w:ascii="Arial" w:hAnsi="Arial" w:cs="Arial"/>
                <w:bCs/>
                <w:sz w:val="24"/>
                <w:szCs w:val="24"/>
              </w:rPr>
              <w:br/>
              <w:t xml:space="preserve">And the supporting data reference that relates to the development East of Pontprennau (page 179) concludes </w:t>
            </w:r>
            <w:r w:rsidRPr="00D37AFE">
              <w:rPr>
                <w:rFonts w:ascii="Arial" w:hAnsi="Arial" w:cs="Arial"/>
                <w:bCs/>
                <w:sz w:val="24"/>
                <w:szCs w:val="24"/>
              </w:rPr>
              <w:br/>
            </w:r>
            <w:r w:rsidRPr="00D37AFE">
              <w:rPr>
                <w:rFonts w:ascii="Arial" w:hAnsi="Arial" w:cs="Arial"/>
                <w:bCs/>
                <w:sz w:val="24"/>
                <w:szCs w:val="24"/>
              </w:rPr>
              <w:br/>
              <w:t xml:space="preserve">“As of 1st April 2019, there were 337 completions on the housing site. 2020 site monitoring was put on hold due to Coronavirus (COVID-19) pandemic restrictions”. </w:t>
            </w:r>
            <w:r w:rsidRPr="00D37AFE">
              <w:rPr>
                <w:rFonts w:ascii="Arial" w:hAnsi="Arial" w:cs="Arial"/>
                <w:bCs/>
                <w:sz w:val="24"/>
                <w:szCs w:val="24"/>
              </w:rPr>
              <w:br/>
            </w:r>
            <w:r w:rsidRPr="00D37AFE">
              <w:rPr>
                <w:rFonts w:ascii="Arial" w:hAnsi="Arial" w:cs="Arial"/>
                <w:bCs/>
                <w:sz w:val="24"/>
                <w:szCs w:val="24"/>
              </w:rPr>
              <w:br/>
              <w:t xml:space="preserve">The draft PNA publication was made on 21st May 2021 and the associated consultation process is between 21st May and 20th July 2021 i.e. more than two years beyond the first and close to two years for the second of these reference dates. This does not provide an appropriate level of information and is evidently unacceptable and misleading, particularly so given the conclusion at 11.6 (as below) and those of the Executive Summary. </w:t>
            </w:r>
            <w:r w:rsidRPr="00D37AFE">
              <w:rPr>
                <w:rFonts w:ascii="Arial" w:hAnsi="Arial" w:cs="Arial"/>
                <w:bCs/>
                <w:sz w:val="24"/>
                <w:szCs w:val="24"/>
              </w:rPr>
              <w:br/>
            </w:r>
            <w:r w:rsidRPr="00D37AFE">
              <w:rPr>
                <w:rFonts w:ascii="Arial" w:hAnsi="Arial" w:cs="Arial"/>
                <w:bCs/>
                <w:sz w:val="24"/>
                <w:szCs w:val="24"/>
              </w:rPr>
              <w:br/>
              <w:t>"The Cardiff and Vale University Health Board noted the developments planned for the cluster, with regards to the housing developments west and east of Pontprennau. At this time Cardiff and Vale University Health Board have no information or reason to conclude, during the lifetime of this PNA and development, that there would be an unmet need so as to require additional pharmaceutical services”.</w:t>
            </w:r>
            <w:r w:rsidRPr="00D37AFE">
              <w:rPr>
                <w:rFonts w:ascii="Arial" w:hAnsi="Arial" w:cs="Arial"/>
                <w:bCs/>
                <w:sz w:val="24"/>
                <w:szCs w:val="24"/>
              </w:rPr>
              <w:br/>
            </w:r>
            <w:r w:rsidRPr="00D37AFE">
              <w:rPr>
                <w:rFonts w:ascii="Arial" w:hAnsi="Arial" w:cs="Arial"/>
                <w:bCs/>
                <w:sz w:val="24"/>
                <w:szCs w:val="24"/>
              </w:rPr>
              <w:br/>
              <w:t xml:space="preserve">A simple Google search provides extensive up to date information from both Cardiff Council and media sources which clearly demonstrate the continuation of development of LDP sites during the pandemic period - this particular link from March 2021 provides example information available to the authors at the time of drafting - </w:t>
            </w:r>
            <w:r w:rsidRPr="00D37AFE">
              <w:rPr>
                <w:rFonts w:ascii="Arial" w:hAnsi="Arial" w:cs="Arial"/>
                <w:bCs/>
                <w:sz w:val="24"/>
                <w:szCs w:val="24"/>
              </w:rPr>
              <w:br/>
            </w:r>
            <w:r w:rsidRPr="00D37AFE">
              <w:rPr>
                <w:rFonts w:ascii="Arial" w:hAnsi="Arial" w:cs="Arial"/>
                <w:bCs/>
                <w:sz w:val="24"/>
                <w:szCs w:val="24"/>
              </w:rPr>
              <w:br/>
              <w:t>https://www.walesonline.co.uk/lifestyle/welsh-homes/cardiff-for-sale-homes-new-20022668</w:t>
            </w:r>
            <w:r w:rsidRPr="00D37AFE">
              <w:rPr>
                <w:rFonts w:ascii="Arial" w:hAnsi="Arial" w:cs="Arial"/>
                <w:bCs/>
                <w:sz w:val="24"/>
                <w:szCs w:val="24"/>
              </w:rPr>
              <w:br/>
            </w:r>
            <w:r w:rsidRPr="00D37AFE">
              <w:rPr>
                <w:rFonts w:ascii="Arial" w:hAnsi="Arial" w:cs="Arial"/>
                <w:bCs/>
                <w:sz w:val="24"/>
                <w:szCs w:val="24"/>
              </w:rPr>
              <w:br/>
              <w:t>The UHB evidently has close links with Cardiff City Council and seniors members of their planning team provide regular and contemporaneous updates on all of the developments across Cardiff. The question has to be asked as to why appropriate and up to date information has not been used in the document and the determination.</w:t>
            </w:r>
            <w:r w:rsidRPr="00D37AFE">
              <w:rPr>
                <w:rFonts w:ascii="Arial" w:hAnsi="Arial" w:cs="Arial"/>
                <w:bCs/>
                <w:sz w:val="24"/>
                <w:szCs w:val="24"/>
              </w:rPr>
              <w:br/>
            </w:r>
            <w:r w:rsidRPr="00D37AFE">
              <w:rPr>
                <w:rFonts w:ascii="Arial" w:hAnsi="Arial" w:cs="Arial"/>
                <w:bCs/>
                <w:sz w:val="24"/>
                <w:szCs w:val="24"/>
              </w:rPr>
              <w:br/>
              <w:t xml:space="preserve">Further planning applications continue to be published by Cardiff City Council which will undoubtedly have a significant population impact on all parts of Cardiff including Cardiff North - already the largest Cluster in Wales with a registered population in excess of 105,000. The most recent application (publication June 2021) relates to the former Tax Offices at Llanishen, proposing 250 new homes; 70 retirement apartments and a 70 bed nursing home - in total a dependent / highly dependent population increase in the region of 750 people. The UHB has written to local GP Practices asking of the ability to deal with this further increase (aside the two large strategic development sites - total population increase of estimated </w:t>
            </w:r>
            <w:r w:rsidRPr="00D37AFE">
              <w:rPr>
                <w:rFonts w:ascii="Arial" w:hAnsi="Arial" w:cs="Arial"/>
                <w:bCs/>
                <w:sz w:val="24"/>
                <w:szCs w:val="24"/>
              </w:rPr>
              <w:lastRenderedPageBreak/>
              <w:t>13,000) yet no such approach has been made to community pharmacies.</w:t>
            </w:r>
            <w:r w:rsidRPr="00D37AFE">
              <w:rPr>
                <w:rFonts w:ascii="Arial" w:hAnsi="Arial" w:cs="Arial"/>
                <w:bCs/>
                <w:sz w:val="24"/>
                <w:szCs w:val="24"/>
              </w:rPr>
              <w:br/>
            </w:r>
            <w:r w:rsidRPr="00D37AFE">
              <w:rPr>
                <w:rFonts w:ascii="Arial" w:hAnsi="Arial" w:cs="Arial"/>
                <w:bCs/>
                <w:sz w:val="24"/>
                <w:szCs w:val="24"/>
              </w:rPr>
              <w:br/>
              <w:t>Furthermore this wider population growth is seemingly completely at odds with statements within 11.1.1 "Population projections 2018 to 2028 (2018 based)" - which in itself is contradictory.</w:t>
            </w:r>
            <w:r w:rsidRPr="00D37AFE">
              <w:rPr>
                <w:rFonts w:ascii="Arial" w:hAnsi="Arial" w:cs="Arial"/>
                <w:bCs/>
                <w:sz w:val="24"/>
                <w:szCs w:val="24"/>
              </w:rPr>
              <w:br/>
            </w:r>
            <w:r w:rsidRPr="00D37AFE">
              <w:rPr>
                <w:rFonts w:ascii="Arial" w:hAnsi="Arial" w:cs="Arial"/>
                <w:bCs/>
                <w:sz w:val="24"/>
                <w:szCs w:val="24"/>
              </w:rPr>
              <w:br/>
              <w:t>"Unlike all other local authorities, the increase in population will mainly be driven by natural change i.e. more births than deaths and a smaller proportion of the increase will be due to net migration i.e. more people moving into the area than out. Cardiff has the highest level of projected international migration of all the local authorities."</w:t>
            </w:r>
            <w:r w:rsidRPr="00D37AFE">
              <w:rPr>
                <w:rFonts w:ascii="Arial" w:hAnsi="Arial" w:cs="Arial"/>
                <w:bCs/>
                <w:sz w:val="24"/>
                <w:szCs w:val="24"/>
              </w:rPr>
              <w:br/>
            </w:r>
            <w:r w:rsidRPr="00D37AFE">
              <w:rPr>
                <w:rFonts w:ascii="Arial" w:hAnsi="Arial" w:cs="Arial"/>
                <w:bCs/>
                <w:sz w:val="24"/>
                <w:szCs w:val="24"/>
              </w:rPr>
              <w:br/>
              <w:t xml:space="preserve">There is clearly a need for better drafting and use of up to date data and its presentation. </w:t>
            </w:r>
          </w:p>
        </w:tc>
      </w:tr>
      <w:tr w:rsidR="00320401" w:rsidRPr="00D37AFE" w14:paraId="6734B76B" w14:textId="77777777" w:rsidTr="005670EB">
        <w:tc>
          <w:tcPr>
            <w:tcW w:w="0" w:type="auto"/>
            <w:shd w:val="clear" w:color="auto" w:fill="FFFFFF"/>
            <w:tcMar>
              <w:top w:w="75" w:type="dxa"/>
              <w:left w:w="75" w:type="dxa"/>
              <w:bottom w:w="75" w:type="dxa"/>
              <w:right w:w="75" w:type="dxa"/>
            </w:tcMar>
            <w:hideMark/>
          </w:tcPr>
          <w:p w14:paraId="280CF7F0" w14:textId="77777777" w:rsidR="00320401" w:rsidRPr="00D37AFE" w:rsidRDefault="00320401" w:rsidP="00320401">
            <w:pPr>
              <w:pStyle w:val="ListParagraph"/>
              <w:numPr>
                <w:ilvl w:val="0"/>
                <w:numId w:val="204"/>
              </w:numPr>
              <w:spacing w:after="0" w:line="240" w:lineRule="auto"/>
              <w:rPr>
                <w:rFonts w:ascii="Arial" w:hAnsi="Arial" w:cs="Arial"/>
                <w:bCs/>
                <w:sz w:val="24"/>
                <w:szCs w:val="24"/>
              </w:rPr>
            </w:pPr>
            <w:r w:rsidRPr="00D37AFE">
              <w:rPr>
                <w:rFonts w:ascii="Arial" w:hAnsi="Arial" w:cs="Arial"/>
                <w:bCs/>
                <w:sz w:val="24"/>
                <w:szCs w:val="24"/>
              </w:rPr>
              <w:lastRenderedPageBreak/>
              <w:t xml:space="preserve">When interpreting the data relating to each individual cluster it is hard to understand the needs to the local population. </w:t>
            </w:r>
            <w:r w:rsidRPr="00D37AFE">
              <w:rPr>
                <w:rFonts w:ascii="Arial" w:hAnsi="Arial" w:cs="Arial"/>
                <w:bCs/>
                <w:sz w:val="24"/>
                <w:szCs w:val="24"/>
              </w:rPr>
              <w:br/>
              <w:t xml:space="preserve">Throughout the analysis of the cluster percentages have been used with no data on population size. With clusters in Cardiff having huge variances in population a low % does not equate to a low volume if the cluster size is higher than average. </w:t>
            </w:r>
            <w:r w:rsidRPr="00D37AFE">
              <w:rPr>
                <w:rFonts w:ascii="Arial" w:hAnsi="Arial" w:cs="Arial"/>
                <w:bCs/>
                <w:sz w:val="24"/>
                <w:szCs w:val="24"/>
              </w:rPr>
              <w:br/>
              <w:t xml:space="preserve">The population of the North Cardiff cluster is nearly comparable to the combined population of the 3 Vale Clusters. </w:t>
            </w:r>
          </w:p>
          <w:p w14:paraId="149071F4" w14:textId="77777777" w:rsidR="00320401" w:rsidRPr="00D37AFE" w:rsidRDefault="00320401" w:rsidP="005670EB">
            <w:pPr>
              <w:spacing w:after="0" w:line="240" w:lineRule="auto"/>
              <w:ind w:left="360"/>
              <w:rPr>
                <w:rFonts w:ascii="Arial" w:hAnsi="Arial" w:cs="Arial"/>
                <w:bCs/>
                <w:sz w:val="24"/>
                <w:szCs w:val="24"/>
              </w:rPr>
            </w:pPr>
          </w:p>
          <w:p w14:paraId="04706739" w14:textId="77777777" w:rsidR="00320401" w:rsidRPr="00D37AFE" w:rsidRDefault="00320401" w:rsidP="00320401">
            <w:pPr>
              <w:pStyle w:val="ListParagraph"/>
              <w:numPr>
                <w:ilvl w:val="0"/>
                <w:numId w:val="204"/>
              </w:numPr>
              <w:spacing w:after="0" w:line="240" w:lineRule="auto"/>
              <w:rPr>
                <w:rFonts w:ascii="Arial" w:hAnsi="Arial" w:cs="Arial"/>
                <w:bCs/>
                <w:sz w:val="24"/>
                <w:szCs w:val="24"/>
              </w:rPr>
            </w:pPr>
            <w:r w:rsidRPr="00D37AFE">
              <w:rPr>
                <w:rFonts w:ascii="Arial" w:hAnsi="Arial" w:cs="Arial"/>
                <w:bCs/>
                <w:sz w:val="24"/>
                <w:szCs w:val="24"/>
              </w:rPr>
              <w:t>CPW does not have the data to make this judgement.  However, it is clear that considerable work has been undertaken to identify population needs and CPW is happy to accept that the health needs of the population have been reflected in the PNA.</w:t>
            </w:r>
          </w:p>
        </w:tc>
      </w:tr>
    </w:tbl>
    <w:p w14:paraId="6C6D692C" w14:textId="77777777" w:rsidR="00320401" w:rsidRPr="00D37AFE" w:rsidRDefault="00320401" w:rsidP="00320401">
      <w:pPr>
        <w:spacing w:after="0" w:line="240" w:lineRule="auto"/>
        <w:contextualSpacing/>
        <w:rPr>
          <w:rFonts w:ascii="Arial" w:hAnsi="Arial" w:cs="Arial"/>
          <w:bCs/>
          <w:sz w:val="24"/>
          <w:szCs w:val="24"/>
        </w:rPr>
      </w:pPr>
    </w:p>
    <w:p w14:paraId="3C68AD01" w14:textId="77777777" w:rsidR="00320401" w:rsidRPr="00D37AFE" w:rsidRDefault="00320401" w:rsidP="00320401">
      <w:pPr>
        <w:spacing w:after="0" w:line="240" w:lineRule="auto"/>
        <w:rPr>
          <w:rFonts w:ascii="Arial" w:hAnsi="Arial" w:cs="Arial"/>
          <w:b/>
          <w:sz w:val="24"/>
          <w:szCs w:val="24"/>
        </w:rPr>
      </w:pPr>
    </w:p>
    <w:p w14:paraId="16C1C81F" w14:textId="77777777" w:rsidR="00320401" w:rsidRPr="00D37AFE" w:rsidRDefault="00320401" w:rsidP="00320401">
      <w:pPr>
        <w:spacing w:after="0" w:line="240" w:lineRule="auto"/>
        <w:rPr>
          <w:rFonts w:ascii="Arial" w:hAnsi="Arial" w:cs="Arial"/>
          <w:b/>
          <w:sz w:val="24"/>
          <w:szCs w:val="24"/>
        </w:rPr>
      </w:pPr>
      <w:r w:rsidRPr="00D37AFE">
        <w:rPr>
          <w:rFonts w:ascii="Arial" w:hAnsi="Arial" w:cs="Arial"/>
          <w:b/>
          <w:sz w:val="24"/>
          <w:szCs w:val="24"/>
        </w:rPr>
        <w:t xml:space="preserve">Cardiff and Vale University Health Board’s consideration </w:t>
      </w:r>
    </w:p>
    <w:p w14:paraId="23270F0D" w14:textId="77777777" w:rsidR="00320401" w:rsidRPr="00D37AFE" w:rsidRDefault="00320401" w:rsidP="00320401">
      <w:pPr>
        <w:spacing w:after="0" w:line="240" w:lineRule="auto"/>
        <w:rPr>
          <w:rFonts w:ascii="Arial" w:hAnsi="Arial" w:cs="Arial"/>
          <w:b/>
          <w:sz w:val="24"/>
          <w:szCs w:val="24"/>
        </w:rPr>
      </w:pPr>
    </w:p>
    <w:p w14:paraId="2C792BA2" w14:textId="77777777" w:rsidR="00320401" w:rsidRDefault="00320401" w:rsidP="00320401">
      <w:pPr>
        <w:spacing w:after="0" w:line="240" w:lineRule="auto"/>
        <w:rPr>
          <w:rFonts w:ascii="Arial" w:hAnsi="Arial" w:cs="Arial"/>
          <w:sz w:val="24"/>
          <w:szCs w:val="24"/>
        </w:rPr>
      </w:pPr>
      <w:r w:rsidRPr="00D37AFE">
        <w:rPr>
          <w:rFonts w:ascii="Arial" w:hAnsi="Arial" w:cs="Arial"/>
          <w:sz w:val="24"/>
          <w:szCs w:val="24"/>
        </w:rPr>
        <w:t>To prevent repetition, the following addresses the comments raised here and under other questions asked as part of the consultation process, with regard to housing:</w:t>
      </w:r>
    </w:p>
    <w:p w14:paraId="3F8BAB63" w14:textId="77777777" w:rsidR="00320401" w:rsidRPr="002E12E8" w:rsidRDefault="00320401" w:rsidP="00320401">
      <w:pPr>
        <w:spacing w:after="0" w:line="240" w:lineRule="auto"/>
        <w:rPr>
          <w:rFonts w:ascii="Arial" w:hAnsi="Arial" w:cs="Arial"/>
          <w:sz w:val="24"/>
          <w:szCs w:val="24"/>
        </w:rPr>
      </w:pPr>
    </w:p>
    <w:p w14:paraId="6C3ABE04" w14:textId="77777777" w:rsidR="00320401" w:rsidRPr="002E12E8" w:rsidRDefault="00320401" w:rsidP="00320401">
      <w:pPr>
        <w:pStyle w:val="ListParagraph"/>
        <w:numPr>
          <w:ilvl w:val="0"/>
          <w:numId w:val="228"/>
        </w:numPr>
        <w:shd w:val="clear" w:color="auto" w:fill="FFFFFF"/>
        <w:spacing w:after="0" w:line="240" w:lineRule="auto"/>
        <w:rPr>
          <w:rFonts w:ascii="Arial" w:eastAsia="Times New Roman" w:hAnsi="Arial" w:cs="Arial"/>
          <w:sz w:val="24"/>
          <w:szCs w:val="24"/>
          <w:lang w:eastAsia="en-GB"/>
        </w:rPr>
      </w:pPr>
      <w:r w:rsidRPr="002E12E8">
        <w:rPr>
          <w:rFonts w:ascii="Arial" w:eastAsia="Times New Roman" w:hAnsi="Arial" w:cs="Arial"/>
          <w:sz w:val="24"/>
          <w:szCs w:val="24"/>
          <w:lang w:eastAsia="en-GB"/>
        </w:rPr>
        <w:t>The latest official population projections have been used, published in June 2020 by Welsh Government. Population projections are developed in conjunction with local authorities and take into account the impact of births, deaths, internal and international migration, and inform housing developments in a given area. </w:t>
      </w:r>
      <w:r w:rsidRPr="002E12E8">
        <w:rPr>
          <w:rStyle w:val="x932613881size"/>
          <w:rFonts w:ascii="Arial" w:hAnsi="Arial" w:cs="Arial"/>
          <w:sz w:val="24"/>
          <w:szCs w:val="24"/>
        </w:rPr>
        <w:t>The 2018 population estimates have been used as the base for these latest projections by Welsh Government.</w:t>
      </w:r>
      <w:r w:rsidRPr="002E12E8">
        <w:rPr>
          <w:rFonts w:ascii="Arial" w:eastAsia="Times New Roman" w:hAnsi="Arial" w:cs="Arial"/>
          <w:sz w:val="24"/>
          <w:szCs w:val="24"/>
          <w:lang w:eastAsia="en-GB"/>
        </w:rPr>
        <w:t xml:space="preserve"> Compared to the original population projection data used to inform the existing LDP, this predicts a lower increase in population and households.</w:t>
      </w:r>
    </w:p>
    <w:p w14:paraId="2498A37B" w14:textId="77777777" w:rsidR="00320401" w:rsidRDefault="00320401" w:rsidP="00320401">
      <w:pPr>
        <w:spacing w:after="0" w:line="240" w:lineRule="auto"/>
        <w:ind w:left="720"/>
        <w:rPr>
          <w:rFonts w:ascii="Arial" w:hAnsi="Arial" w:cs="Arial"/>
          <w:sz w:val="24"/>
          <w:szCs w:val="24"/>
        </w:rPr>
      </w:pPr>
    </w:p>
    <w:p w14:paraId="0EC45B43" w14:textId="77777777" w:rsidR="00320401" w:rsidRPr="00D37AFE" w:rsidRDefault="00320401" w:rsidP="00320401">
      <w:pPr>
        <w:spacing w:after="0" w:line="240" w:lineRule="auto"/>
        <w:ind w:left="720"/>
        <w:rPr>
          <w:rFonts w:ascii="Arial" w:hAnsi="Arial" w:cs="Arial"/>
          <w:sz w:val="24"/>
          <w:szCs w:val="24"/>
        </w:rPr>
      </w:pPr>
      <w:r w:rsidRPr="00D37AFE">
        <w:rPr>
          <w:rFonts w:ascii="Arial" w:hAnsi="Arial" w:cs="Arial"/>
          <w:sz w:val="24"/>
          <w:szCs w:val="24"/>
        </w:rPr>
        <w:t xml:space="preserve">The PNA has had consideration of the major planned developments and their approximate sizes as part of its deliberations. </w:t>
      </w:r>
    </w:p>
    <w:p w14:paraId="1DEDC7F3" w14:textId="77777777" w:rsidR="00320401" w:rsidRPr="00D37AFE" w:rsidRDefault="00320401" w:rsidP="00320401">
      <w:pPr>
        <w:pStyle w:val="ListParagraph"/>
        <w:spacing w:after="0" w:line="240" w:lineRule="auto"/>
        <w:rPr>
          <w:rFonts w:ascii="Arial" w:hAnsi="Arial" w:cs="Arial"/>
          <w:sz w:val="24"/>
          <w:szCs w:val="24"/>
        </w:rPr>
      </w:pPr>
    </w:p>
    <w:p w14:paraId="461C6801" w14:textId="77777777" w:rsidR="00320401" w:rsidRPr="00D37AFE" w:rsidRDefault="00320401" w:rsidP="00320401">
      <w:pPr>
        <w:spacing w:after="0" w:line="240" w:lineRule="auto"/>
        <w:ind w:left="720"/>
        <w:rPr>
          <w:rFonts w:ascii="Arial" w:hAnsi="Arial" w:cs="Arial"/>
          <w:bCs/>
          <w:sz w:val="24"/>
          <w:szCs w:val="24"/>
        </w:rPr>
      </w:pPr>
      <w:r w:rsidRPr="00D37AFE">
        <w:rPr>
          <w:rFonts w:ascii="Arial" w:hAnsi="Arial" w:cs="Arial"/>
          <w:bCs/>
          <w:sz w:val="24"/>
          <w:szCs w:val="24"/>
        </w:rPr>
        <w:t xml:space="preserve">Smaller housing units have been acknowledged within the PNA and also had regard to in consideration. </w:t>
      </w:r>
    </w:p>
    <w:p w14:paraId="4ACEC714" w14:textId="77777777" w:rsidR="00320401" w:rsidRPr="00D37AFE" w:rsidRDefault="00320401" w:rsidP="00320401">
      <w:pPr>
        <w:spacing w:after="0" w:line="240" w:lineRule="auto"/>
        <w:ind w:left="720"/>
        <w:rPr>
          <w:rFonts w:ascii="Arial" w:hAnsi="Arial" w:cs="Arial"/>
          <w:bCs/>
          <w:sz w:val="24"/>
          <w:szCs w:val="24"/>
        </w:rPr>
      </w:pPr>
    </w:p>
    <w:p w14:paraId="79B82680" w14:textId="77777777" w:rsidR="00320401" w:rsidRPr="00D37AFE" w:rsidRDefault="00320401" w:rsidP="00320401">
      <w:pPr>
        <w:spacing w:after="0" w:line="240" w:lineRule="auto"/>
        <w:ind w:left="720"/>
        <w:rPr>
          <w:rFonts w:ascii="Arial" w:hAnsi="Arial" w:cs="Arial"/>
          <w:sz w:val="24"/>
          <w:szCs w:val="24"/>
        </w:rPr>
      </w:pPr>
      <w:r w:rsidRPr="00D37AFE">
        <w:rPr>
          <w:rFonts w:ascii="Arial" w:hAnsi="Arial" w:cs="Arial"/>
          <w:sz w:val="24"/>
          <w:szCs w:val="24"/>
        </w:rPr>
        <w:t xml:space="preserve">Due to implications arising from the Covid pandemic, Welsh Government have confirmed that there was no requirement in 2020 to formally submit the Annual Monitoring Report. </w:t>
      </w:r>
    </w:p>
    <w:p w14:paraId="28A9ED58" w14:textId="77777777" w:rsidR="00320401" w:rsidRPr="00D37AFE" w:rsidRDefault="00320401" w:rsidP="00320401">
      <w:pPr>
        <w:spacing w:after="0" w:line="240" w:lineRule="auto"/>
        <w:ind w:left="720"/>
        <w:rPr>
          <w:rFonts w:ascii="Arial" w:hAnsi="Arial" w:cs="Arial"/>
          <w:sz w:val="24"/>
          <w:szCs w:val="24"/>
        </w:rPr>
      </w:pPr>
    </w:p>
    <w:p w14:paraId="1A0311BA" w14:textId="77777777" w:rsidR="00320401" w:rsidRPr="00D37AFE" w:rsidRDefault="00320401" w:rsidP="00320401">
      <w:pPr>
        <w:spacing w:after="0" w:line="240" w:lineRule="auto"/>
        <w:ind w:left="720"/>
        <w:rPr>
          <w:rFonts w:ascii="Arial" w:hAnsi="Arial" w:cs="Arial"/>
          <w:sz w:val="24"/>
          <w:szCs w:val="24"/>
        </w:rPr>
      </w:pPr>
      <w:r w:rsidRPr="00D37AFE">
        <w:rPr>
          <w:rFonts w:ascii="Arial" w:hAnsi="Arial" w:cs="Arial"/>
          <w:sz w:val="24"/>
          <w:szCs w:val="24"/>
        </w:rPr>
        <w:t xml:space="preserve">Since the draft PNA consultation, the spring 2021 LDP monitoring document has been released. Where available, the number of completed builds and builds under construction, has been included within the draft PNA for information purposes. </w:t>
      </w:r>
    </w:p>
    <w:p w14:paraId="02CBCE5D" w14:textId="77777777" w:rsidR="00320401" w:rsidRPr="00D37AFE" w:rsidRDefault="00320401" w:rsidP="00320401">
      <w:pPr>
        <w:spacing w:after="0" w:line="240" w:lineRule="auto"/>
        <w:ind w:left="720"/>
        <w:rPr>
          <w:rFonts w:ascii="Arial" w:hAnsi="Arial" w:cs="Arial"/>
          <w:sz w:val="24"/>
          <w:szCs w:val="24"/>
        </w:rPr>
      </w:pPr>
    </w:p>
    <w:p w14:paraId="5FB86554" w14:textId="77777777" w:rsidR="00320401" w:rsidRPr="00D37AFE" w:rsidRDefault="00320401" w:rsidP="00320401">
      <w:pPr>
        <w:spacing w:after="0" w:line="240" w:lineRule="auto"/>
        <w:ind w:firstLine="720"/>
        <w:rPr>
          <w:rFonts w:ascii="Arial" w:hAnsi="Arial" w:cs="Arial"/>
          <w:sz w:val="24"/>
          <w:szCs w:val="24"/>
        </w:rPr>
      </w:pPr>
      <w:r w:rsidRPr="00D37AFE">
        <w:rPr>
          <w:rFonts w:ascii="Arial" w:hAnsi="Arial" w:cs="Arial"/>
          <w:sz w:val="24"/>
          <w:szCs w:val="24"/>
        </w:rPr>
        <w:t xml:space="preserve">There is a ‘lag’ time between plan adoption and homes being completed. </w:t>
      </w:r>
    </w:p>
    <w:p w14:paraId="4014336A" w14:textId="77777777" w:rsidR="00320401" w:rsidRPr="00D37AFE" w:rsidRDefault="00320401" w:rsidP="00320401">
      <w:pPr>
        <w:spacing w:after="0" w:line="240" w:lineRule="auto"/>
        <w:ind w:left="720"/>
        <w:rPr>
          <w:rFonts w:ascii="Arial" w:hAnsi="Arial" w:cs="Arial"/>
          <w:sz w:val="24"/>
          <w:szCs w:val="24"/>
        </w:rPr>
      </w:pPr>
    </w:p>
    <w:p w14:paraId="62054990" w14:textId="77777777" w:rsidR="00320401" w:rsidRPr="00D37AFE" w:rsidRDefault="00320401" w:rsidP="00320401">
      <w:pPr>
        <w:spacing w:after="0" w:line="240" w:lineRule="auto"/>
        <w:ind w:left="720"/>
        <w:rPr>
          <w:rFonts w:ascii="Arial" w:hAnsi="Arial" w:cs="Arial"/>
          <w:bCs/>
          <w:sz w:val="24"/>
          <w:szCs w:val="24"/>
        </w:rPr>
      </w:pPr>
      <w:r w:rsidRPr="00D37AFE">
        <w:rPr>
          <w:rFonts w:ascii="Arial" w:hAnsi="Arial" w:cs="Arial"/>
          <w:bCs/>
          <w:sz w:val="24"/>
          <w:szCs w:val="24"/>
        </w:rPr>
        <w:t>The draft PNA was shared with the councils in the health board’s area as part of the consultation process and a senior member of the health board’s planning team sat on the PNA Steering Group.</w:t>
      </w:r>
    </w:p>
    <w:p w14:paraId="7FE41444" w14:textId="77777777" w:rsidR="00320401" w:rsidRDefault="00320401" w:rsidP="00320401">
      <w:pPr>
        <w:spacing w:after="0" w:line="240" w:lineRule="auto"/>
        <w:rPr>
          <w:rFonts w:ascii="Arial" w:hAnsi="Arial" w:cs="Arial"/>
          <w:bCs/>
          <w:sz w:val="24"/>
          <w:szCs w:val="24"/>
        </w:rPr>
      </w:pPr>
    </w:p>
    <w:p w14:paraId="6BEA77AD" w14:textId="77777777" w:rsidR="00320401" w:rsidRPr="00A8011B" w:rsidRDefault="00320401" w:rsidP="00320401">
      <w:pPr>
        <w:spacing w:after="0" w:line="240" w:lineRule="auto"/>
        <w:ind w:left="720"/>
        <w:rPr>
          <w:rFonts w:ascii="Arial" w:hAnsi="Arial" w:cs="Arial"/>
          <w:bCs/>
          <w:sz w:val="24"/>
          <w:szCs w:val="24"/>
        </w:rPr>
      </w:pPr>
      <w:r w:rsidRPr="00A8011B">
        <w:rPr>
          <w:rFonts w:ascii="Arial" w:hAnsi="Arial" w:cs="Arial"/>
          <w:bCs/>
          <w:sz w:val="24"/>
          <w:szCs w:val="24"/>
        </w:rPr>
        <w:t>The comments on the recent planning application in L</w:t>
      </w:r>
      <w:r>
        <w:rPr>
          <w:rFonts w:ascii="Arial" w:hAnsi="Arial" w:cs="Arial"/>
          <w:bCs/>
          <w:sz w:val="24"/>
          <w:szCs w:val="24"/>
        </w:rPr>
        <w:t>l</w:t>
      </w:r>
      <w:r w:rsidRPr="00A8011B">
        <w:rPr>
          <w:rFonts w:ascii="Arial" w:hAnsi="Arial" w:cs="Arial"/>
          <w:bCs/>
          <w:sz w:val="24"/>
          <w:szCs w:val="24"/>
        </w:rPr>
        <w:t>anishen have been noted</w:t>
      </w:r>
      <w:r>
        <w:rPr>
          <w:rFonts w:ascii="Arial" w:hAnsi="Arial" w:cs="Arial"/>
          <w:bCs/>
          <w:sz w:val="24"/>
          <w:szCs w:val="24"/>
        </w:rPr>
        <w:t>. H</w:t>
      </w:r>
      <w:r w:rsidRPr="00A8011B">
        <w:rPr>
          <w:rFonts w:ascii="Arial" w:hAnsi="Arial" w:cs="Arial"/>
          <w:bCs/>
          <w:sz w:val="24"/>
          <w:szCs w:val="24"/>
        </w:rPr>
        <w:t xml:space="preserve">owever, </w:t>
      </w:r>
      <w:r>
        <w:rPr>
          <w:rFonts w:ascii="Arial" w:hAnsi="Arial" w:cs="Arial"/>
          <w:bCs/>
          <w:sz w:val="24"/>
          <w:szCs w:val="24"/>
        </w:rPr>
        <w:t xml:space="preserve">as planning permission has yet to be agreed, </w:t>
      </w:r>
      <w:r w:rsidRPr="00A8011B">
        <w:rPr>
          <w:rFonts w:ascii="Arial" w:hAnsi="Arial" w:cs="Arial"/>
          <w:bCs/>
          <w:sz w:val="24"/>
          <w:szCs w:val="24"/>
        </w:rPr>
        <w:t>this may not come to fruition within the lifetime of the PNA to the extent that a future need can be identified.</w:t>
      </w:r>
    </w:p>
    <w:p w14:paraId="1CFE152C" w14:textId="77777777" w:rsidR="00320401" w:rsidRPr="00D37AFE" w:rsidRDefault="00320401" w:rsidP="00320401">
      <w:pPr>
        <w:spacing w:after="0" w:line="240" w:lineRule="auto"/>
        <w:rPr>
          <w:rFonts w:ascii="Arial" w:hAnsi="Arial" w:cs="Arial"/>
          <w:sz w:val="24"/>
          <w:szCs w:val="24"/>
        </w:rPr>
      </w:pPr>
    </w:p>
    <w:p w14:paraId="5A7EED0F" w14:textId="77777777" w:rsidR="00320401" w:rsidRPr="00D37AFE" w:rsidRDefault="00320401" w:rsidP="00320401">
      <w:pPr>
        <w:pStyle w:val="ListParagraph"/>
        <w:numPr>
          <w:ilvl w:val="0"/>
          <w:numId w:val="222"/>
        </w:numPr>
        <w:spacing w:after="0" w:line="240" w:lineRule="auto"/>
        <w:rPr>
          <w:rFonts w:ascii="Arial" w:hAnsi="Arial" w:cs="Arial"/>
          <w:sz w:val="24"/>
          <w:szCs w:val="24"/>
        </w:rPr>
      </w:pPr>
      <w:r w:rsidRPr="00D37AFE">
        <w:rPr>
          <w:rFonts w:ascii="Arial" w:hAnsi="Arial" w:cs="Arial"/>
          <w:sz w:val="24"/>
          <w:szCs w:val="24"/>
        </w:rPr>
        <w:t>Percentages have been used to allow comparisons and benchmarking to be made with the Wales average but also the local authority and health board, where data is available. All tables contain information on source used and date.</w:t>
      </w:r>
    </w:p>
    <w:p w14:paraId="52593B81" w14:textId="77777777" w:rsidR="00320401" w:rsidRPr="00D37AFE" w:rsidRDefault="00320401" w:rsidP="00320401">
      <w:pPr>
        <w:spacing w:after="0" w:line="240" w:lineRule="auto"/>
        <w:contextualSpacing/>
        <w:rPr>
          <w:rFonts w:ascii="Arial" w:hAnsi="Arial" w:cs="Arial"/>
          <w:b/>
          <w:sz w:val="24"/>
          <w:szCs w:val="24"/>
        </w:rPr>
      </w:pPr>
    </w:p>
    <w:p w14:paraId="444CA2A6" w14:textId="77777777" w:rsidR="00320401" w:rsidRPr="00D37AFE" w:rsidRDefault="00320401" w:rsidP="00320401">
      <w:pPr>
        <w:spacing w:after="0" w:line="240" w:lineRule="auto"/>
        <w:contextualSpacing/>
        <w:rPr>
          <w:rFonts w:ascii="Arial" w:hAnsi="Arial" w:cs="Arial"/>
          <w:b/>
          <w:sz w:val="24"/>
          <w:szCs w:val="24"/>
        </w:rPr>
      </w:pPr>
      <w:r w:rsidRPr="00D37AFE">
        <w:rPr>
          <w:rFonts w:ascii="Arial" w:hAnsi="Arial" w:cs="Arial"/>
          <w:b/>
          <w:sz w:val="24"/>
          <w:szCs w:val="24"/>
        </w:rPr>
        <w:t>Q5. Has the pharmaceutical needs assessment provided information to inform market entry decisions i.e. decisions on applications for new pharmacies and dispensing appliance contractor, and applications from dispensing doctor?</w:t>
      </w:r>
    </w:p>
    <w:p w14:paraId="4B088B87" w14:textId="77777777" w:rsidR="00320401" w:rsidRPr="00D37AFE" w:rsidRDefault="00320401" w:rsidP="00320401">
      <w:pPr>
        <w:spacing w:after="0" w:line="240" w:lineRule="auto"/>
        <w:contextualSpacing/>
        <w:rPr>
          <w:rFonts w:ascii="Arial" w:hAnsi="Arial" w:cs="Arial"/>
          <w:b/>
          <w:sz w:val="24"/>
          <w:szCs w:val="24"/>
        </w:rPr>
      </w:pPr>
    </w:p>
    <w:tbl>
      <w:tblPr>
        <w:tblW w:w="8833" w:type="dxa"/>
        <w:tblLook w:val="04A0" w:firstRow="1" w:lastRow="0" w:firstColumn="1" w:lastColumn="0" w:noHBand="0" w:noVBand="1"/>
      </w:tblPr>
      <w:tblGrid>
        <w:gridCol w:w="1449"/>
        <w:gridCol w:w="2613"/>
        <w:gridCol w:w="1736"/>
        <w:gridCol w:w="1842"/>
        <w:gridCol w:w="1193"/>
      </w:tblGrid>
      <w:tr w:rsidR="00320401" w:rsidRPr="00D37AFE" w14:paraId="5C4C0101" w14:textId="77777777" w:rsidTr="005670EB">
        <w:trPr>
          <w:trHeight w:val="282"/>
        </w:trPr>
        <w:tc>
          <w:tcPr>
            <w:tcW w:w="5798" w:type="dxa"/>
            <w:gridSpan w:val="3"/>
            <w:tcBorders>
              <w:top w:val="single" w:sz="4" w:space="0" w:color="A6A6A6"/>
              <w:left w:val="single" w:sz="4" w:space="0" w:color="A6A6A6"/>
              <w:bottom w:val="single" w:sz="4" w:space="0" w:color="A6A6A6"/>
              <w:right w:val="nil"/>
            </w:tcBorders>
            <w:shd w:val="clear" w:color="auto" w:fill="548DD4" w:themeFill="text2" w:themeFillTint="99"/>
            <w:noWrap/>
            <w:vAlign w:val="center"/>
            <w:hideMark/>
          </w:tcPr>
          <w:p w14:paraId="21DD8FFD"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35" w:type="dxa"/>
            <w:gridSpan w:val="2"/>
            <w:tcBorders>
              <w:top w:val="single" w:sz="4" w:space="0" w:color="A6A6A6"/>
              <w:left w:val="nil"/>
              <w:bottom w:val="single" w:sz="4" w:space="0" w:color="A6A6A6"/>
              <w:right w:val="single" w:sz="4" w:space="0" w:color="A6A6A6"/>
            </w:tcBorders>
            <w:shd w:val="clear" w:color="auto" w:fill="548DD4" w:themeFill="text2" w:themeFillTint="99"/>
            <w:noWrap/>
            <w:vAlign w:val="center"/>
            <w:hideMark/>
          </w:tcPr>
          <w:p w14:paraId="4BE99D7F"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320401" w:rsidRPr="00D37AFE" w14:paraId="6ED3F127" w14:textId="77777777" w:rsidTr="005670EB">
        <w:trPr>
          <w:trHeight w:val="282"/>
        </w:trPr>
        <w:tc>
          <w:tcPr>
            <w:tcW w:w="5798"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6ACF6478"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42" w:type="dxa"/>
            <w:tcBorders>
              <w:top w:val="nil"/>
              <w:left w:val="nil"/>
              <w:bottom w:val="single" w:sz="4" w:space="0" w:color="A6A6A6"/>
              <w:right w:val="single" w:sz="4" w:space="0" w:color="A6A6A6"/>
            </w:tcBorders>
            <w:shd w:val="clear" w:color="000000" w:fill="F2F2F2"/>
            <w:noWrap/>
            <w:vAlign w:val="center"/>
            <w:hideMark/>
          </w:tcPr>
          <w:p w14:paraId="314E3905"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193" w:type="dxa"/>
            <w:tcBorders>
              <w:top w:val="nil"/>
              <w:left w:val="nil"/>
              <w:bottom w:val="single" w:sz="4" w:space="0" w:color="A6A6A6"/>
              <w:right w:val="single" w:sz="4" w:space="0" w:color="A6A6A6"/>
            </w:tcBorders>
            <w:shd w:val="clear" w:color="000000" w:fill="F2F2F2"/>
            <w:noWrap/>
            <w:vAlign w:val="center"/>
            <w:hideMark/>
          </w:tcPr>
          <w:p w14:paraId="20EE3E2C"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320401" w:rsidRPr="00D37AFE" w14:paraId="7DC064DF" w14:textId="77777777" w:rsidTr="005670EB">
        <w:trPr>
          <w:trHeight w:val="282"/>
        </w:trPr>
        <w:tc>
          <w:tcPr>
            <w:tcW w:w="1449" w:type="dxa"/>
            <w:tcBorders>
              <w:top w:val="nil"/>
              <w:left w:val="single" w:sz="4" w:space="0" w:color="A6A6A6"/>
              <w:bottom w:val="single" w:sz="4" w:space="0" w:color="A6A6A6"/>
              <w:right w:val="single" w:sz="4" w:space="0" w:color="A6A6A6"/>
            </w:tcBorders>
            <w:shd w:val="clear" w:color="000000" w:fill="F2F2F2"/>
            <w:vAlign w:val="center"/>
            <w:hideMark/>
          </w:tcPr>
          <w:p w14:paraId="53D756D5"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49" w:type="dxa"/>
            <w:gridSpan w:val="2"/>
            <w:tcBorders>
              <w:top w:val="single" w:sz="4" w:space="0" w:color="A6A6A6"/>
              <w:left w:val="nil"/>
              <w:bottom w:val="single" w:sz="4" w:space="0" w:color="A6A6A6"/>
              <w:right w:val="single" w:sz="4" w:space="0" w:color="A6A6A6"/>
            </w:tcBorders>
            <w:shd w:val="clear" w:color="auto" w:fill="auto"/>
            <w:vAlign w:val="center"/>
            <w:hideMark/>
          </w:tcPr>
          <w:p w14:paraId="072B185A"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42" w:type="dxa"/>
            <w:tcBorders>
              <w:top w:val="nil"/>
              <w:left w:val="nil"/>
              <w:bottom w:val="single" w:sz="4" w:space="0" w:color="A6A6A6"/>
              <w:right w:val="single" w:sz="4" w:space="0" w:color="A6A6A6"/>
            </w:tcBorders>
            <w:shd w:val="clear" w:color="000000" w:fill="F2F2F2"/>
            <w:noWrap/>
            <w:vAlign w:val="bottom"/>
            <w:hideMark/>
          </w:tcPr>
          <w:p w14:paraId="1B51E88C"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44.44</w:t>
            </w:r>
          </w:p>
        </w:tc>
        <w:tc>
          <w:tcPr>
            <w:tcW w:w="1193" w:type="dxa"/>
            <w:tcBorders>
              <w:top w:val="nil"/>
              <w:left w:val="nil"/>
              <w:bottom w:val="single" w:sz="4" w:space="0" w:color="A6A6A6"/>
              <w:right w:val="single" w:sz="4" w:space="0" w:color="A6A6A6"/>
            </w:tcBorders>
            <w:shd w:val="clear" w:color="000000" w:fill="F2F2F2"/>
            <w:noWrap/>
            <w:vAlign w:val="bottom"/>
            <w:hideMark/>
          </w:tcPr>
          <w:p w14:paraId="30531103"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320401" w:rsidRPr="00D37AFE" w14:paraId="7AE87DD5" w14:textId="77777777" w:rsidTr="005670EB">
        <w:trPr>
          <w:trHeight w:val="282"/>
        </w:trPr>
        <w:tc>
          <w:tcPr>
            <w:tcW w:w="1449" w:type="dxa"/>
            <w:tcBorders>
              <w:top w:val="nil"/>
              <w:left w:val="single" w:sz="4" w:space="0" w:color="A6A6A6"/>
              <w:bottom w:val="single" w:sz="4" w:space="0" w:color="A6A6A6"/>
              <w:right w:val="single" w:sz="4" w:space="0" w:color="A6A6A6"/>
            </w:tcBorders>
            <w:shd w:val="clear" w:color="000000" w:fill="F2F2F2"/>
            <w:vAlign w:val="center"/>
            <w:hideMark/>
          </w:tcPr>
          <w:p w14:paraId="58EAB579"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49" w:type="dxa"/>
            <w:gridSpan w:val="2"/>
            <w:tcBorders>
              <w:top w:val="single" w:sz="4" w:space="0" w:color="A6A6A6"/>
              <w:left w:val="nil"/>
              <w:bottom w:val="single" w:sz="4" w:space="0" w:color="A6A6A6"/>
              <w:right w:val="single" w:sz="4" w:space="0" w:color="A6A6A6"/>
            </w:tcBorders>
            <w:shd w:val="clear" w:color="auto" w:fill="auto"/>
            <w:vAlign w:val="center"/>
            <w:hideMark/>
          </w:tcPr>
          <w:p w14:paraId="3F40C38A"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42" w:type="dxa"/>
            <w:tcBorders>
              <w:top w:val="nil"/>
              <w:left w:val="nil"/>
              <w:bottom w:val="single" w:sz="4" w:space="0" w:color="A6A6A6"/>
              <w:right w:val="single" w:sz="4" w:space="0" w:color="A6A6A6"/>
            </w:tcBorders>
            <w:shd w:val="clear" w:color="000000" w:fill="F2F2F2"/>
            <w:noWrap/>
            <w:vAlign w:val="bottom"/>
            <w:hideMark/>
          </w:tcPr>
          <w:p w14:paraId="329A6425"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44.44</w:t>
            </w:r>
          </w:p>
        </w:tc>
        <w:tc>
          <w:tcPr>
            <w:tcW w:w="1193" w:type="dxa"/>
            <w:tcBorders>
              <w:top w:val="nil"/>
              <w:left w:val="nil"/>
              <w:bottom w:val="single" w:sz="4" w:space="0" w:color="A6A6A6"/>
              <w:right w:val="single" w:sz="4" w:space="0" w:color="A6A6A6"/>
            </w:tcBorders>
            <w:shd w:val="clear" w:color="000000" w:fill="F2F2F2"/>
            <w:noWrap/>
            <w:vAlign w:val="bottom"/>
            <w:hideMark/>
          </w:tcPr>
          <w:p w14:paraId="68009F34"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320401" w:rsidRPr="00D37AFE" w14:paraId="3FEEBABB" w14:textId="77777777" w:rsidTr="005670EB">
        <w:trPr>
          <w:trHeight w:val="282"/>
        </w:trPr>
        <w:tc>
          <w:tcPr>
            <w:tcW w:w="1449" w:type="dxa"/>
            <w:tcBorders>
              <w:top w:val="nil"/>
              <w:left w:val="single" w:sz="4" w:space="0" w:color="A6A6A6"/>
              <w:bottom w:val="single" w:sz="4" w:space="0" w:color="A6A6A6"/>
              <w:right w:val="single" w:sz="4" w:space="0" w:color="A6A6A6"/>
            </w:tcBorders>
            <w:shd w:val="clear" w:color="000000" w:fill="F2F2F2"/>
            <w:vAlign w:val="center"/>
            <w:hideMark/>
          </w:tcPr>
          <w:p w14:paraId="44303C74"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49" w:type="dxa"/>
            <w:gridSpan w:val="2"/>
            <w:tcBorders>
              <w:top w:val="single" w:sz="4" w:space="0" w:color="A6A6A6"/>
              <w:left w:val="nil"/>
              <w:bottom w:val="single" w:sz="4" w:space="0" w:color="A6A6A6"/>
              <w:right w:val="single" w:sz="4" w:space="0" w:color="A6A6A6"/>
            </w:tcBorders>
            <w:shd w:val="clear" w:color="auto" w:fill="auto"/>
            <w:vAlign w:val="center"/>
            <w:hideMark/>
          </w:tcPr>
          <w:p w14:paraId="098C1386"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42" w:type="dxa"/>
            <w:tcBorders>
              <w:top w:val="nil"/>
              <w:left w:val="nil"/>
              <w:bottom w:val="single" w:sz="4" w:space="0" w:color="A6A6A6"/>
              <w:right w:val="single" w:sz="4" w:space="0" w:color="A6A6A6"/>
            </w:tcBorders>
            <w:shd w:val="clear" w:color="000000" w:fill="F2F2F2"/>
            <w:noWrap/>
            <w:vAlign w:val="bottom"/>
            <w:hideMark/>
          </w:tcPr>
          <w:p w14:paraId="5DD5A5F0"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11.11</w:t>
            </w:r>
          </w:p>
        </w:tc>
        <w:tc>
          <w:tcPr>
            <w:tcW w:w="1193" w:type="dxa"/>
            <w:tcBorders>
              <w:top w:val="nil"/>
              <w:left w:val="nil"/>
              <w:bottom w:val="single" w:sz="4" w:space="0" w:color="A6A6A6"/>
              <w:right w:val="single" w:sz="4" w:space="0" w:color="A6A6A6"/>
            </w:tcBorders>
            <w:shd w:val="clear" w:color="000000" w:fill="F2F2F2"/>
            <w:noWrap/>
            <w:vAlign w:val="bottom"/>
            <w:hideMark/>
          </w:tcPr>
          <w:p w14:paraId="684BD31C"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r w:rsidR="00320401" w:rsidRPr="00D37AFE" w14:paraId="68FCCE25" w14:textId="77777777" w:rsidTr="005670EB">
        <w:trPr>
          <w:trHeight w:val="282"/>
        </w:trPr>
        <w:tc>
          <w:tcPr>
            <w:tcW w:w="4062"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447E5E71"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36" w:type="dxa"/>
            <w:tcBorders>
              <w:top w:val="nil"/>
              <w:left w:val="nil"/>
              <w:bottom w:val="single" w:sz="4" w:space="0" w:color="A6A6A6"/>
              <w:right w:val="single" w:sz="4" w:space="0" w:color="A6A6A6"/>
            </w:tcBorders>
            <w:shd w:val="clear" w:color="000000" w:fill="F2F2F2"/>
            <w:vAlign w:val="center"/>
            <w:hideMark/>
          </w:tcPr>
          <w:p w14:paraId="3EF9EBF8"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42" w:type="dxa"/>
            <w:tcBorders>
              <w:top w:val="nil"/>
              <w:left w:val="nil"/>
              <w:bottom w:val="single" w:sz="4" w:space="0" w:color="A6A6A6"/>
              <w:right w:val="single" w:sz="4" w:space="0" w:color="A6A6A6"/>
            </w:tcBorders>
            <w:shd w:val="clear" w:color="000000" w:fill="F2F2F2"/>
            <w:noWrap/>
            <w:vAlign w:val="bottom"/>
            <w:hideMark/>
          </w:tcPr>
          <w:p w14:paraId="14DE578C"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193" w:type="dxa"/>
            <w:tcBorders>
              <w:top w:val="nil"/>
              <w:left w:val="nil"/>
              <w:bottom w:val="single" w:sz="4" w:space="0" w:color="A6A6A6"/>
              <w:right w:val="single" w:sz="4" w:space="0" w:color="A6A6A6"/>
            </w:tcBorders>
            <w:shd w:val="clear" w:color="000000" w:fill="F2F2F2"/>
            <w:noWrap/>
            <w:vAlign w:val="bottom"/>
            <w:hideMark/>
          </w:tcPr>
          <w:p w14:paraId="30D15028"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tc>
      </w:tr>
      <w:tr w:rsidR="00320401" w:rsidRPr="00D37AFE" w14:paraId="5DED1F84" w14:textId="77777777" w:rsidTr="005670EB">
        <w:trPr>
          <w:trHeight w:val="282"/>
        </w:trPr>
        <w:tc>
          <w:tcPr>
            <w:tcW w:w="4062" w:type="dxa"/>
            <w:gridSpan w:val="2"/>
            <w:vMerge/>
            <w:tcBorders>
              <w:top w:val="single" w:sz="4" w:space="0" w:color="A6A6A6"/>
              <w:left w:val="single" w:sz="4" w:space="0" w:color="A6A6A6"/>
              <w:bottom w:val="single" w:sz="4" w:space="0" w:color="A6A6A6"/>
              <w:right w:val="single" w:sz="4" w:space="0" w:color="A6A6A6"/>
            </w:tcBorders>
            <w:vAlign w:val="center"/>
            <w:hideMark/>
          </w:tcPr>
          <w:p w14:paraId="457D4373" w14:textId="77777777" w:rsidR="00320401" w:rsidRPr="00D37AFE" w:rsidRDefault="00320401" w:rsidP="005670EB">
            <w:pPr>
              <w:spacing w:after="0" w:line="240" w:lineRule="auto"/>
              <w:rPr>
                <w:rFonts w:ascii="Arial" w:eastAsia="Times New Roman" w:hAnsi="Arial" w:cs="Arial"/>
                <w:b/>
                <w:bCs/>
                <w:color w:val="000000"/>
                <w:sz w:val="24"/>
                <w:szCs w:val="24"/>
                <w:lang w:eastAsia="en-GB"/>
              </w:rPr>
            </w:pPr>
          </w:p>
        </w:tc>
        <w:tc>
          <w:tcPr>
            <w:tcW w:w="1736" w:type="dxa"/>
            <w:tcBorders>
              <w:top w:val="nil"/>
              <w:left w:val="nil"/>
              <w:bottom w:val="single" w:sz="4" w:space="0" w:color="A6A6A6"/>
              <w:right w:val="single" w:sz="4" w:space="0" w:color="A6A6A6"/>
            </w:tcBorders>
            <w:shd w:val="clear" w:color="000000" w:fill="F2F2F2"/>
            <w:vAlign w:val="center"/>
            <w:hideMark/>
          </w:tcPr>
          <w:p w14:paraId="71915CBB"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42" w:type="dxa"/>
            <w:tcBorders>
              <w:top w:val="nil"/>
              <w:left w:val="nil"/>
              <w:bottom w:val="single" w:sz="4" w:space="0" w:color="A6A6A6"/>
              <w:right w:val="single" w:sz="4" w:space="0" w:color="A6A6A6"/>
            </w:tcBorders>
            <w:shd w:val="clear" w:color="000000" w:fill="F2F2F2"/>
            <w:noWrap/>
            <w:vAlign w:val="bottom"/>
            <w:hideMark/>
          </w:tcPr>
          <w:p w14:paraId="709F567C"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193" w:type="dxa"/>
            <w:tcBorders>
              <w:top w:val="nil"/>
              <w:left w:val="nil"/>
              <w:bottom w:val="single" w:sz="4" w:space="0" w:color="A6A6A6"/>
              <w:right w:val="single" w:sz="4" w:space="0" w:color="A6A6A6"/>
            </w:tcBorders>
            <w:shd w:val="clear" w:color="000000" w:fill="F2F2F2"/>
            <w:noWrap/>
            <w:vAlign w:val="bottom"/>
            <w:hideMark/>
          </w:tcPr>
          <w:p w14:paraId="2BC5CA42"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bl>
    <w:p w14:paraId="6CDEE71D" w14:textId="77777777" w:rsidR="00320401" w:rsidRPr="00D37AFE" w:rsidRDefault="00320401" w:rsidP="00320401">
      <w:pPr>
        <w:spacing w:after="0" w:line="240" w:lineRule="auto"/>
        <w:contextualSpacing/>
        <w:rPr>
          <w:rFonts w:ascii="Arial" w:hAnsi="Arial" w:cs="Arial"/>
          <w:b/>
          <w:sz w:val="24"/>
          <w:szCs w:val="24"/>
        </w:rPr>
      </w:pPr>
    </w:p>
    <w:p w14:paraId="3E552D69" w14:textId="77777777" w:rsidR="00320401" w:rsidRPr="00D37AFE" w:rsidRDefault="00320401" w:rsidP="00320401">
      <w:pPr>
        <w:spacing w:after="0" w:line="240" w:lineRule="auto"/>
        <w:contextualSpacing/>
        <w:rPr>
          <w:rFonts w:ascii="Arial" w:hAnsi="Arial" w:cs="Arial"/>
          <w:b/>
          <w:sz w:val="24"/>
          <w:szCs w:val="24"/>
        </w:rPr>
      </w:pPr>
    </w:p>
    <w:p w14:paraId="64BBE1F2" w14:textId="77777777" w:rsidR="00320401" w:rsidRPr="00D37AFE" w:rsidRDefault="00320401" w:rsidP="00320401">
      <w:pPr>
        <w:spacing w:after="0" w:line="240" w:lineRule="auto"/>
        <w:contextualSpacing/>
        <w:rPr>
          <w:rFonts w:ascii="Arial" w:hAnsi="Arial" w:cs="Arial"/>
          <w:b/>
          <w:sz w:val="24"/>
          <w:szCs w:val="24"/>
        </w:rPr>
      </w:pPr>
      <w:r w:rsidRPr="00D37AFE">
        <w:rPr>
          <w:rFonts w:ascii="Arial" w:hAnsi="Arial" w:cs="Arial"/>
          <w:b/>
          <w:sz w:val="24"/>
          <w:szCs w:val="24"/>
        </w:rPr>
        <w:t>Comments</w:t>
      </w: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320401" w:rsidRPr="00D37AFE" w14:paraId="72FB43C1" w14:textId="77777777" w:rsidTr="005670EB">
        <w:tc>
          <w:tcPr>
            <w:tcW w:w="0" w:type="auto"/>
            <w:shd w:val="clear" w:color="auto" w:fill="FFFFFF"/>
            <w:tcMar>
              <w:top w:w="75" w:type="dxa"/>
              <w:left w:w="75" w:type="dxa"/>
              <w:bottom w:w="75" w:type="dxa"/>
              <w:right w:w="75" w:type="dxa"/>
            </w:tcMar>
            <w:hideMark/>
          </w:tcPr>
          <w:p w14:paraId="16D7E1B9" w14:textId="77777777" w:rsidR="00320401" w:rsidRPr="00D37AFE" w:rsidRDefault="00320401" w:rsidP="00320401">
            <w:pPr>
              <w:pStyle w:val="ListParagraph"/>
              <w:numPr>
                <w:ilvl w:val="0"/>
                <w:numId w:val="205"/>
              </w:numPr>
              <w:spacing w:after="0" w:line="240" w:lineRule="auto"/>
              <w:rPr>
                <w:rFonts w:ascii="Arial" w:hAnsi="Arial" w:cs="Arial"/>
                <w:bCs/>
                <w:sz w:val="24"/>
                <w:szCs w:val="24"/>
              </w:rPr>
            </w:pPr>
            <w:r w:rsidRPr="00D37AFE">
              <w:rPr>
                <w:rFonts w:ascii="Arial" w:hAnsi="Arial" w:cs="Arial"/>
                <w:bCs/>
                <w:sz w:val="24"/>
                <w:szCs w:val="24"/>
              </w:rPr>
              <w:t>I do not think all the patient and public comments have been addressed.</w:t>
            </w:r>
          </w:p>
        </w:tc>
      </w:tr>
      <w:tr w:rsidR="00320401" w:rsidRPr="00D37AFE" w14:paraId="77176C60" w14:textId="77777777" w:rsidTr="005670EB">
        <w:tc>
          <w:tcPr>
            <w:tcW w:w="0" w:type="auto"/>
            <w:shd w:val="clear" w:color="auto" w:fill="FFFFFF"/>
            <w:tcMar>
              <w:top w:w="75" w:type="dxa"/>
              <w:left w:w="75" w:type="dxa"/>
              <w:bottom w:w="75" w:type="dxa"/>
              <w:right w:w="75" w:type="dxa"/>
            </w:tcMar>
            <w:hideMark/>
          </w:tcPr>
          <w:p w14:paraId="2C63433E" w14:textId="77777777" w:rsidR="00320401" w:rsidRPr="00D37AFE" w:rsidRDefault="00320401" w:rsidP="00320401">
            <w:pPr>
              <w:pStyle w:val="ListParagraph"/>
              <w:numPr>
                <w:ilvl w:val="0"/>
                <w:numId w:val="205"/>
              </w:numPr>
              <w:spacing w:after="0" w:line="240" w:lineRule="auto"/>
              <w:rPr>
                <w:rFonts w:ascii="Arial" w:hAnsi="Arial" w:cs="Arial"/>
                <w:bCs/>
                <w:sz w:val="24"/>
                <w:szCs w:val="24"/>
              </w:rPr>
            </w:pPr>
            <w:r w:rsidRPr="00D37AFE">
              <w:rPr>
                <w:rFonts w:ascii="Arial" w:hAnsi="Arial" w:cs="Arial"/>
                <w:bCs/>
                <w:sz w:val="24"/>
                <w:szCs w:val="24"/>
              </w:rPr>
              <w:t>See previous statements about the failure of the pharmacies in [X] to cope with the demands of the current local population and lack of capacity to provide provision for the extensive new houses that are being built in and around [X].</w:t>
            </w:r>
          </w:p>
        </w:tc>
      </w:tr>
      <w:tr w:rsidR="00320401" w:rsidRPr="00D37AFE" w14:paraId="61B857E9" w14:textId="77777777" w:rsidTr="005670EB">
        <w:tc>
          <w:tcPr>
            <w:tcW w:w="0" w:type="auto"/>
            <w:shd w:val="clear" w:color="auto" w:fill="FFFFFF"/>
            <w:tcMar>
              <w:top w:w="75" w:type="dxa"/>
              <w:left w:w="75" w:type="dxa"/>
              <w:bottom w:w="75" w:type="dxa"/>
              <w:right w:w="75" w:type="dxa"/>
            </w:tcMar>
            <w:hideMark/>
          </w:tcPr>
          <w:p w14:paraId="58A58A52" w14:textId="77777777" w:rsidR="00320401" w:rsidRPr="00D37AFE" w:rsidRDefault="00320401" w:rsidP="00320401">
            <w:pPr>
              <w:pStyle w:val="ListParagraph"/>
              <w:numPr>
                <w:ilvl w:val="0"/>
                <w:numId w:val="205"/>
              </w:numPr>
              <w:spacing w:after="0" w:line="240" w:lineRule="auto"/>
              <w:rPr>
                <w:rFonts w:ascii="Arial" w:hAnsi="Arial" w:cs="Arial"/>
                <w:bCs/>
                <w:sz w:val="24"/>
                <w:szCs w:val="24"/>
              </w:rPr>
            </w:pPr>
            <w:r w:rsidRPr="00D37AFE">
              <w:rPr>
                <w:rFonts w:ascii="Arial" w:hAnsi="Arial" w:cs="Arial"/>
                <w:bCs/>
                <w:sz w:val="24"/>
                <w:szCs w:val="24"/>
              </w:rPr>
              <w:t>Cannot see that the document provides information on this.</w:t>
            </w:r>
          </w:p>
        </w:tc>
      </w:tr>
      <w:tr w:rsidR="00320401" w:rsidRPr="00D37AFE" w14:paraId="4E27029B" w14:textId="77777777" w:rsidTr="005670EB">
        <w:tc>
          <w:tcPr>
            <w:tcW w:w="0" w:type="auto"/>
            <w:shd w:val="clear" w:color="auto" w:fill="FFFFFF"/>
            <w:tcMar>
              <w:top w:w="75" w:type="dxa"/>
              <w:left w:w="75" w:type="dxa"/>
              <w:bottom w:w="75" w:type="dxa"/>
              <w:right w:w="75" w:type="dxa"/>
            </w:tcMar>
            <w:hideMark/>
          </w:tcPr>
          <w:p w14:paraId="7811639A" w14:textId="77777777" w:rsidR="00320401" w:rsidRPr="00D37AFE" w:rsidRDefault="00320401" w:rsidP="00320401">
            <w:pPr>
              <w:pStyle w:val="ListParagraph"/>
              <w:numPr>
                <w:ilvl w:val="0"/>
                <w:numId w:val="205"/>
              </w:numPr>
              <w:spacing w:after="0" w:line="240" w:lineRule="auto"/>
              <w:rPr>
                <w:rFonts w:ascii="Arial" w:hAnsi="Arial" w:cs="Arial"/>
                <w:bCs/>
                <w:sz w:val="24"/>
                <w:szCs w:val="24"/>
              </w:rPr>
            </w:pPr>
            <w:r w:rsidRPr="00D37AFE">
              <w:rPr>
                <w:rFonts w:ascii="Arial" w:hAnsi="Arial" w:cs="Arial"/>
                <w:bCs/>
                <w:sz w:val="24"/>
                <w:szCs w:val="24"/>
              </w:rPr>
              <w:lastRenderedPageBreak/>
              <w:t xml:space="preserve">The PNA does not provide any specific information that would inform market entry decision making and, as drafted, does not give any indication as to the decision making process - notwithstanding the very evident conclusion of "no gaps” which in itself will deny any future market entry. </w:t>
            </w:r>
          </w:p>
        </w:tc>
      </w:tr>
      <w:tr w:rsidR="00320401" w:rsidRPr="00D37AFE" w14:paraId="3D47A57F" w14:textId="77777777" w:rsidTr="005670EB">
        <w:tc>
          <w:tcPr>
            <w:tcW w:w="0" w:type="auto"/>
            <w:shd w:val="clear" w:color="auto" w:fill="FFFFFF"/>
            <w:tcMar>
              <w:top w:w="75" w:type="dxa"/>
              <w:left w:w="75" w:type="dxa"/>
              <w:bottom w:w="75" w:type="dxa"/>
              <w:right w:w="75" w:type="dxa"/>
            </w:tcMar>
            <w:hideMark/>
          </w:tcPr>
          <w:p w14:paraId="499BD14B" w14:textId="77777777" w:rsidR="00320401" w:rsidRPr="00D37AFE" w:rsidRDefault="00320401" w:rsidP="00320401">
            <w:pPr>
              <w:pStyle w:val="ListParagraph"/>
              <w:numPr>
                <w:ilvl w:val="0"/>
                <w:numId w:val="205"/>
              </w:numPr>
              <w:spacing w:after="0" w:line="240" w:lineRule="auto"/>
              <w:rPr>
                <w:rFonts w:ascii="Arial" w:hAnsi="Arial" w:cs="Arial"/>
                <w:bCs/>
                <w:sz w:val="24"/>
                <w:szCs w:val="24"/>
              </w:rPr>
            </w:pPr>
            <w:r w:rsidRPr="00D37AFE">
              <w:rPr>
                <w:rFonts w:ascii="Arial" w:hAnsi="Arial" w:cs="Arial"/>
                <w:bCs/>
                <w:sz w:val="24"/>
                <w:szCs w:val="24"/>
              </w:rPr>
              <w:t>At no point does it state any information around how entry to the market is dealt with beyond:</w:t>
            </w:r>
            <w:r w:rsidRPr="00D37AFE">
              <w:rPr>
                <w:rFonts w:ascii="Arial" w:hAnsi="Arial" w:cs="Arial"/>
                <w:bCs/>
                <w:sz w:val="24"/>
                <w:szCs w:val="24"/>
              </w:rPr>
              <w:br/>
              <w:t xml:space="preserve">"Based on the information available at the time of developing this PNA no current gaps in the provision of essential services during normal working hours have been identified in any of the nine clusters (PNA localities)." </w:t>
            </w:r>
            <w:r w:rsidRPr="00D37AFE">
              <w:rPr>
                <w:rFonts w:ascii="Arial" w:hAnsi="Arial" w:cs="Arial"/>
                <w:bCs/>
                <w:sz w:val="24"/>
                <w:szCs w:val="24"/>
              </w:rPr>
              <w:br/>
              <w:t xml:space="preserve">There is no mention of the process if a gap in services is identified following publication of the document. </w:t>
            </w:r>
            <w:r w:rsidRPr="00D37AFE">
              <w:rPr>
                <w:rFonts w:ascii="Arial" w:hAnsi="Arial" w:cs="Arial"/>
                <w:bCs/>
                <w:sz w:val="24"/>
                <w:szCs w:val="24"/>
              </w:rPr>
              <w:br/>
              <w:t xml:space="preserve">This is an issue as there are multiple developments not mentioned in the document at the cluster level. </w:t>
            </w:r>
            <w:r w:rsidRPr="00D37AFE">
              <w:rPr>
                <w:rFonts w:ascii="Arial" w:hAnsi="Arial" w:cs="Arial"/>
                <w:bCs/>
                <w:sz w:val="24"/>
                <w:szCs w:val="24"/>
              </w:rPr>
              <w:br/>
              <w:t>There is no mention of any new services during the lifetime of the PNA that could result in a significant change.</w:t>
            </w:r>
          </w:p>
          <w:p w14:paraId="79B9140B" w14:textId="77777777" w:rsidR="00320401" w:rsidRPr="00D37AFE" w:rsidRDefault="00320401" w:rsidP="005670EB">
            <w:pPr>
              <w:spacing w:after="0" w:line="240" w:lineRule="auto"/>
              <w:ind w:left="360"/>
              <w:rPr>
                <w:rFonts w:ascii="Arial" w:hAnsi="Arial" w:cs="Arial"/>
                <w:bCs/>
                <w:sz w:val="24"/>
                <w:szCs w:val="24"/>
              </w:rPr>
            </w:pPr>
          </w:p>
          <w:p w14:paraId="4C42D61E" w14:textId="77777777" w:rsidR="00320401" w:rsidRPr="00D37AFE" w:rsidRDefault="00320401" w:rsidP="00320401">
            <w:pPr>
              <w:pStyle w:val="ListParagraph"/>
              <w:numPr>
                <w:ilvl w:val="0"/>
                <w:numId w:val="205"/>
              </w:numPr>
              <w:spacing w:after="0" w:line="240" w:lineRule="auto"/>
              <w:rPr>
                <w:rFonts w:ascii="Arial" w:hAnsi="Arial" w:cs="Arial"/>
                <w:bCs/>
                <w:sz w:val="24"/>
                <w:szCs w:val="24"/>
              </w:rPr>
            </w:pPr>
            <w:r w:rsidRPr="00D37AFE">
              <w:rPr>
                <w:rFonts w:ascii="Arial" w:hAnsi="Arial" w:cs="Arial"/>
                <w:bCs/>
                <w:sz w:val="24"/>
                <w:szCs w:val="24"/>
              </w:rPr>
              <w:t>The NHS (Pharmaceutical Services) (Wales) Regulations 2020 non-statutory guidance states:</w:t>
            </w:r>
          </w:p>
          <w:p w14:paraId="3B1D1AEF" w14:textId="77777777" w:rsidR="00320401" w:rsidRPr="00D37AFE" w:rsidRDefault="00320401" w:rsidP="005670EB">
            <w:pPr>
              <w:pStyle w:val="ListParagraph"/>
              <w:spacing w:after="0" w:line="240" w:lineRule="auto"/>
              <w:rPr>
                <w:rFonts w:ascii="Arial" w:hAnsi="Arial" w:cs="Arial"/>
                <w:bCs/>
                <w:sz w:val="24"/>
                <w:szCs w:val="24"/>
              </w:rPr>
            </w:pPr>
          </w:p>
          <w:p w14:paraId="669F1B16" w14:textId="77777777" w:rsidR="00320401" w:rsidRPr="00D37AFE" w:rsidRDefault="00320401" w:rsidP="005670EB">
            <w:pPr>
              <w:pStyle w:val="ListParagraph"/>
              <w:spacing w:after="0" w:line="240" w:lineRule="auto"/>
              <w:rPr>
                <w:rFonts w:ascii="Arial" w:hAnsi="Arial" w:cs="Arial"/>
                <w:bCs/>
                <w:i/>
                <w:iCs/>
                <w:sz w:val="24"/>
                <w:szCs w:val="24"/>
              </w:rPr>
            </w:pPr>
            <w:r w:rsidRPr="00D37AFE">
              <w:rPr>
                <w:rFonts w:ascii="Arial" w:hAnsi="Arial" w:cs="Arial"/>
                <w:bCs/>
                <w:sz w:val="24"/>
                <w:szCs w:val="24"/>
              </w:rPr>
              <w:t>Page 15 Pharmaceutical Services Provision by GPs –</w:t>
            </w:r>
            <w:r w:rsidRPr="00D37AFE">
              <w:rPr>
                <w:rFonts w:ascii="Arial" w:hAnsi="Arial" w:cs="Arial"/>
                <w:bCs/>
                <w:i/>
                <w:iCs/>
                <w:sz w:val="24"/>
                <w:szCs w:val="24"/>
              </w:rPr>
              <w:t>Within their PNA, LHBs will need to include information on the area or areas that their dispensing doctors have outline consent to dispense to, along with information on which premises those doctors have premises approval for. It is suggested that LHBs either include maps of their controlled localities within their PNA or provide the web link (URL) to where they are published on the LHB’s website.</w:t>
            </w:r>
          </w:p>
          <w:p w14:paraId="00DF1A26" w14:textId="77777777" w:rsidR="00320401" w:rsidRPr="00D37AFE" w:rsidRDefault="00320401" w:rsidP="005670EB">
            <w:pPr>
              <w:pStyle w:val="ListParagraph"/>
              <w:spacing w:after="0" w:line="240" w:lineRule="auto"/>
              <w:rPr>
                <w:rFonts w:ascii="Arial" w:hAnsi="Arial" w:cs="Arial"/>
                <w:bCs/>
                <w:sz w:val="24"/>
                <w:szCs w:val="24"/>
              </w:rPr>
            </w:pPr>
          </w:p>
          <w:p w14:paraId="09FAE0A6" w14:textId="77777777" w:rsidR="00320401" w:rsidRPr="00D37AFE" w:rsidRDefault="00320401" w:rsidP="005670EB">
            <w:pPr>
              <w:pStyle w:val="ListParagraph"/>
              <w:spacing w:after="0" w:line="240" w:lineRule="auto"/>
              <w:rPr>
                <w:rFonts w:ascii="Arial" w:hAnsi="Arial" w:cs="Arial"/>
                <w:bCs/>
                <w:i/>
                <w:iCs/>
                <w:sz w:val="24"/>
                <w:szCs w:val="24"/>
              </w:rPr>
            </w:pPr>
            <w:r w:rsidRPr="00D37AFE">
              <w:rPr>
                <w:rFonts w:ascii="Arial" w:hAnsi="Arial" w:cs="Arial"/>
                <w:bCs/>
                <w:sz w:val="24"/>
                <w:szCs w:val="24"/>
              </w:rPr>
              <w:t xml:space="preserve">Page 36 Maps of Controlled Localities - </w:t>
            </w:r>
            <w:r w:rsidRPr="00D37AFE">
              <w:rPr>
                <w:rFonts w:ascii="Arial" w:hAnsi="Arial" w:cs="Arial"/>
                <w:bCs/>
                <w:i/>
                <w:iCs/>
                <w:sz w:val="24"/>
                <w:szCs w:val="24"/>
              </w:rPr>
              <w:t>Under Paragraph 7 of Schedule 3 of the Regulations, LHBs continue to be under a duty to precisely delineate the boundary of any controlled locality that is determined on a map, or to remove the delineated boundary of a locality that has ceased to be a controlled locality. Such maps are to be made available for inspection and should be included in the LHB’s PNA. It is important that the boundaries of controlled localities are clearly marked, using appropriate geographical markers, for example rivers, not simply the squared off grid markings overprinted on Ordnance Survey maps. They should also be at a sufficient level of detail to enable any enquirer to tell whether any particular location falls within a controlled locality or not.</w:t>
            </w:r>
          </w:p>
          <w:p w14:paraId="788906A9" w14:textId="77777777" w:rsidR="00320401" w:rsidRPr="00D37AFE" w:rsidRDefault="00320401" w:rsidP="005670EB">
            <w:pPr>
              <w:pStyle w:val="ListParagraph"/>
              <w:spacing w:after="0" w:line="240" w:lineRule="auto"/>
              <w:rPr>
                <w:rFonts w:ascii="Arial" w:hAnsi="Arial" w:cs="Arial"/>
                <w:bCs/>
                <w:sz w:val="24"/>
                <w:szCs w:val="24"/>
              </w:rPr>
            </w:pPr>
          </w:p>
          <w:p w14:paraId="3BD17C3D" w14:textId="77777777" w:rsidR="00320401" w:rsidRPr="00D37AFE" w:rsidRDefault="00320401" w:rsidP="005670EB">
            <w:pPr>
              <w:pStyle w:val="ListParagraph"/>
              <w:spacing w:after="0" w:line="240" w:lineRule="auto"/>
              <w:rPr>
                <w:rFonts w:ascii="Arial" w:hAnsi="Arial" w:cs="Arial"/>
                <w:bCs/>
                <w:sz w:val="24"/>
                <w:szCs w:val="24"/>
              </w:rPr>
            </w:pPr>
            <w:r w:rsidRPr="00D37AFE">
              <w:rPr>
                <w:rFonts w:ascii="Arial" w:hAnsi="Arial" w:cs="Arial"/>
                <w:bCs/>
                <w:sz w:val="24"/>
                <w:szCs w:val="24"/>
              </w:rPr>
              <w:t xml:space="preserve">Page 36 Determination that an area is a controlled locality </w:t>
            </w:r>
          </w:p>
          <w:p w14:paraId="6E981589" w14:textId="77777777" w:rsidR="00320401" w:rsidRPr="00D37AFE" w:rsidRDefault="00320401" w:rsidP="005670EB">
            <w:pPr>
              <w:pStyle w:val="ListParagraph"/>
              <w:spacing w:after="0" w:line="240" w:lineRule="auto"/>
              <w:rPr>
                <w:rFonts w:ascii="Arial" w:hAnsi="Arial" w:cs="Arial"/>
                <w:bCs/>
                <w:sz w:val="24"/>
                <w:szCs w:val="24"/>
              </w:rPr>
            </w:pPr>
          </w:p>
          <w:p w14:paraId="5B7F1FC1" w14:textId="77777777" w:rsidR="00320401" w:rsidRPr="00D37AFE" w:rsidRDefault="00320401" w:rsidP="005670EB">
            <w:pPr>
              <w:pStyle w:val="ListParagraph"/>
              <w:spacing w:after="0" w:line="240" w:lineRule="auto"/>
              <w:rPr>
                <w:rFonts w:ascii="Arial" w:hAnsi="Arial" w:cs="Arial"/>
                <w:bCs/>
                <w:sz w:val="24"/>
                <w:szCs w:val="24"/>
              </w:rPr>
            </w:pPr>
            <w:r w:rsidRPr="00D37AFE">
              <w:rPr>
                <w:rFonts w:ascii="Arial" w:hAnsi="Arial" w:cs="Arial"/>
                <w:bCs/>
                <w:sz w:val="24"/>
                <w:szCs w:val="24"/>
              </w:rPr>
              <w:t>Changes can occur to the appropriate designation of an area, particularly where an urban area is expanding into the surrounding countryside, or where there has been a substantial development permitted in what has hitherto been a controlled locality. The reverse is much rarer but can happen, for example, where an industrial area in the country (for example mining) ceases.</w:t>
            </w:r>
          </w:p>
          <w:p w14:paraId="36F21A09" w14:textId="77777777" w:rsidR="00320401" w:rsidRPr="00D37AFE" w:rsidRDefault="00320401" w:rsidP="005670EB">
            <w:pPr>
              <w:pStyle w:val="ListParagraph"/>
              <w:spacing w:after="0" w:line="240" w:lineRule="auto"/>
              <w:rPr>
                <w:rFonts w:ascii="Arial" w:hAnsi="Arial" w:cs="Arial"/>
                <w:bCs/>
                <w:sz w:val="24"/>
                <w:szCs w:val="24"/>
              </w:rPr>
            </w:pPr>
          </w:p>
          <w:p w14:paraId="00DDACD5" w14:textId="77777777" w:rsidR="00320401" w:rsidRPr="00D37AFE" w:rsidRDefault="00320401" w:rsidP="005670EB">
            <w:pPr>
              <w:pStyle w:val="ListParagraph"/>
              <w:spacing w:after="0" w:line="240" w:lineRule="auto"/>
              <w:rPr>
                <w:rFonts w:ascii="Arial" w:hAnsi="Arial" w:cs="Arial"/>
                <w:bCs/>
                <w:sz w:val="24"/>
                <w:szCs w:val="24"/>
              </w:rPr>
            </w:pPr>
            <w:r w:rsidRPr="00D37AFE">
              <w:rPr>
                <w:rFonts w:ascii="Arial" w:hAnsi="Arial" w:cs="Arial"/>
                <w:bCs/>
                <w:sz w:val="24"/>
                <w:szCs w:val="24"/>
              </w:rPr>
              <w:lastRenderedPageBreak/>
              <w:t xml:space="preserve">Without the inclusion of maps of controlled localities there is no assurance that patients receiving pharmaceutical services from their doctor, reside in properly determined controlled localities; there has been a lot of development on the outskirts of rural towns and, areas that were thought to be controlled localities may no longer be. In addition, unless the Health Board is able to provide evidence by way of a delineated map of their controlled areas the Health Board will not be able to take any action on any application it receives until it has been determined that the application is in a controlled area or not. </w:t>
            </w:r>
          </w:p>
          <w:p w14:paraId="533C0786" w14:textId="77777777" w:rsidR="00320401" w:rsidRPr="00D37AFE" w:rsidRDefault="00320401" w:rsidP="005670EB">
            <w:pPr>
              <w:pStyle w:val="ListParagraph"/>
              <w:spacing w:after="0" w:line="240" w:lineRule="auto"/>
              <w:rPr>
                <w:rFonts w:ascii="Arial" w:hAnsi="Arial" w:cs="Arial"/>
                <w:bCs/>
                <w:sz w:val="24"/>
                <w:szCs w:val="24"/>
              </w:rPr>
            </w:pPr>
          </w:p>
          <w:p w14:paraId="40F97699" w14:textId="77777777" w:rsidR="00320401" w:rsidRPr="00D37AFE" w:rsidRDefault="00320401" w:rsidP="005670EB">
            <w:pPr>
              <w:pStyle w:val="ListParagraph"/>
              <w:spacing w:after="0" w:line="240" w:lineRule="auto"/>
              <w:rPr>
                <w:rFonts w:ascii="Arial" w:hAnsi="Arial" w:cs="Arial"/>
                <w:bCs/>
                <w:sz w:val="24"/>
                <w:szCs w:val="24"/>
              </w:rPr>
            </w:pPr>
            <w:r w:rsidRPr="00D37AFE">
              <w:rPr>
                <w:rFonts w:ascii="Arial" w:hAnsi="Arial" w:cs="Arial"/>
                <w:bCs/>
                <w:sz w:val="24"/>
                <w:szCs w:val="24"/>
              </w:rPr>
              <w:t>CPW reserves the right to inspect maps of controlled area in line with Paragraph 7 of Schedule 3 of the Regulations and, to request a determination as to whether or not an area is controlled in line with Regulation 13 (2)</w:t>
            </w:r>
          </w:p>
        </w:tc>
      </w:tr>
    </w:tbl>
    <w:p w14:paraId="00A4D1C8" w14:textId="77777777" w:rsidR="00320401" w:rsidRPr="00D37AFE" w:rsidRDefault="00320401" w:rsidP="00320401">
      <w:pPr>
        <w:spacing w:after="0" w:line="240" w:lineRule="auto"/>
        <w:rPr>
          <w:rFonts w:ascii="Arial" w:hAnsi="Arial" w:cs="Arial"/>
          <w:b/>
          <w:sz w:val="24"/>
          <w:szCs w:val="24"/>
        </w:rPr>
      </w:pPr>
      <w:r w:rsidRPr="00D37AFE">
        <w:rPr>
          <w:rFonts w:ascii="Arial" w:hAnsi="Arial" w:cs="Arial"/>
          <w:b/>
          <w:sz w:val="24"/>
          <w:szCs w:val="24"/>
        </w:rPr>
        <w:lastRenderedPageBreak/>
        <w:t xml:space="preserve">Cardiff and Vale University Health Board’s consideration </w:t>
      </w:r>
    </w:p>
    <w:p w14:paraId="4E109490" w14:textId="77777777" w:rsidR="00320401" w:rsidRPr="00D37AFE" w:rsidRDefault="00320401" w:rsidP="00320401">
      <w:pPr>
        <w:spacing w:after="0" w:line="240" w:lineRule="auto"/>
        <w:contextualSpacing/>
        <w:rPr>
          <w:rFonts w:ascii="Arial" w:hAnsi="Arial" w:cs="Arial"/>
          <w:b/>
          <w:sz w:val="24"/>
          <w:szCs w:val="24"/>
        </w:rPr>
      </w:pPr>
    </w:p>
    <w:p w14:paraId="6D2026E9" w14:textId="77777777" w:rsidR="00320401" w:rsidRPr="00D37AFE" w:rsidRDefault="00320401" w:rsidP="00320401">
      <w:pPr>
        <w:pStyle w:val="ListParagraph"/>
        <w:numPr>
          <w:ilvl w:val="0"/>
          <w:numId w:val="221"/>
        </w:numPr>
        <w:spacing w:after="0" w:line="240" w:lineRule="auto"/>
        <w:rPr>
          <w:rFonts w:ascii="Arial" w:hAnsi="Arial" w:cs="Arial"/>
          <w:b/>
          <w:sz w:val="24"/>
          <w:szCs w:val="24"/>
        </w:rPr>
      </w:pPr>
      <w:r w:rsidRPr="00D37AFE">
        <w:rPr>
          <w:rFonts w:ascii="Arial" w:hAnsi="Arial" w:cs="Arial"/>
          <w:color w:val="000000"/>
          <w:sz w:val="24"/>
          <w:szCs w:val="24"/>
          <w:shd w:val="clear" w:color="auto" w:fill="FFFFFF"/>
        </w:rPr>
        <w:t xml:space="preserve">The comments received have been noted. The purpose of the PNA is to identify any current or future needs so that applications can be made to meet them. </w:t>
      </w:r>
    </w:p>
    <w:p w14:paraId="0581B2B5" w14:textId="77777777" w:rsidR="00320401" w:rsidRPr="00D37AFE" w:rsidRDefault="00320401" w:rsidP="00320401">
      <w:pPr>
        <w:pStyle w:val="ListParagraph"/>
        <w:spacing w:after="0" w:line="240" w:lineRule="auto"/>
        <w:ind w:left="360"/>
        <w:rPr>
          <w:rFonts w:ascii="Arial" w:hAnsi="Arial" w:cs="Arial"/>
          <w:b/>
          <w:sz w:val="24"/>
          <w:szCs w:val="24"/>
        </w:rPr>
      </w:pPr>
    </w:p>
    <w:p w14:paraId="5BB1792F" w14:textId="77777777" w:rsidR="00320401" w:rsidRPr="00D37AFE" w:rsidRDefault="00320401" w:rsidP="00320401">
      <w:pPr>
        <w:pStyle w:val="ListParagraph"/>
        <w:numPr>
          <w:ilvl w:val="0"/>
          <w:numId w:val="221"/>
        </w:numPr>
        <w:spacing w:after="0" w:line="240" w:lineRule="auto"/>
        <w:rPr>
          <w:rFonts w:ascii="Arial" w:hAnsi="Arial" w:cs="Arial"/>
          <w:b/>
          <w:sz w:val="24"/>
          <w:szCs w:val="24"/>
        </w:rPr>
      </w:pPr>
      <w:r w:rsidRPr="00D37AFE">
        <w:rPr>
          <w:rFonts w:ascii="Arial" w:hAnsi="Arial" w:cs="Arial"/>
          <w:color w:val="000000"/>
          <w:sz w:val="24"/>
          <w:szCs w:val="24"/>
          <w:shd w:val="clear" w:color="auto" w:fill="FFFFFF"/>
        </w:rPr>
        <w:t>The regulations set out the market entry tests that the health board will consider any applications against.</w:t>
      </w:r>
    </w:p>
    <w:p w14:paraId="4282D917" w14:textId="77777777" w:rsidR="00320401" w:rsidRPr="00D37AFE" w:rsidRDefault="00320401" w:rsidP="00320401">
      <w:pPr>
        <w:spacing w:after="0" w:line="240" w:lineRule="auto"/>
        <w:contextualSpacing/>
        <w:rPr>
          <w:rFonts w:ascii="Arial" w:hAnsi="Arial" w:cs="Arial"/>
          <w:b/>
          <w:sz w:val="24"/>
          <w:szCs w:val="24"/>
        </w:rPr>
      </w:pPr>
    </w:p>
    <w:p w14:paraId="30CF191A" w14:textId="77777777" w:rsidR="00320401" w:rsidRPr="00D37AFE" w:rsidRDefault="00320401" w:rsidP="00320401">
      <w:pPr>
        <w:pStyle w:val="x1839973775msolistparagraph"/>
        <w:numPr>
          <w:ilvl w:val="0"/>
          <w:numId w:val="220"/>
        </w:numPr>
        <w:shd w:val="clear" w:color="auto" w:fill="FFFFFF"/>
        <w:spacing w:before="0" w:beforeAutospacing="0" w:after="0" w:afterAutospacing="0"/>
        <w:rPr>
          <w:rFonts w:ascii="Arial" w:hAnsi="Arial" w:cs="Arial"/>
          <w:color w:val="000000"/>
        </w:rPr>
      </w:pPr>
      <w:r w:rsidRPr="00D37AFE">
        <w:rPr>
          <w:rFonts w:ascii="Arial" w:hAnsi="Arial" w:cs="Arial"/>
          <w:color w:val="000000"/>
        </w:rPr>
        <w:t>The quotes from non-statutory guidance are noted. While reference is made to certain regulatory aspects this is not a PNA requirement, and the guidance simply refers to ‘should’ publish with the PNA without any mandatory obligation to do so.</w:t>
      </w:r>
    </w:p>
    <w:p w14:paraId="1402DACE" w14:textId="77777777" w:rsidR="00320401" w:rsidRPr="00D37AFE" w:rsidRDefault="00320401" w:rsidP="00320401">
      <w:pPr>
        <w:pStyle w:val="x1839973775msolistparagraph"/>
        <w:shd w:val="clear" w:color="auto" w:fill="FFFFFF"/>
        <w:spacing w:before="0" w:beforeAutospacing="0" w:after="0" w:afterAutospacing="0"/>
        <w:ind w:left="360"/>
        <w:rPr>
          <w:rFonts w:ascii="Arial" w:hAnsi="Arial" w:cs="Arial"/>
          <w:color w:val="000000"/>
        </w:rPr>
      </w:pPr>
    </w:p>
    <w:p w14:paraId="4C90DAF1" w14:textId="77777777" w:rsidR="00320401" w:rsidRPr="00D37AFE" w:rsidRDefault="00320401" w:rsidP="00320401">
      <w:pPr>
        <w:pStyle w:val="x1839973775msolistparagraph"/>
        <w:shd w:val="clear" w:color="auto" w:fill="FFFFFF"/>
        <w:spacing w:before="0" w:beforeAutospacing="0" w:after="0" w:afterAutospacing="0"/>
        <w:ind w:left="360"/>
        <w:rPr>
          <w:rFonts w:ascii="Arial" w:hAnsi="Arial" w:cs="Arial"/>
          <w:color w:val="000000"/>
        </w:rPr>
      </w:pPr>
    </w:p>
    <w:p w14:paraId="6C2C1BAD" w14:textId="77777777" w:rsidR="00320401" w:rsidRPr="00D37AFE" w:rsidRDefault="00320401" w:rsidP="00320401">
      <w:pPr>
        <w:spacing w:after="0" w:line="240" w:lineRule="auto"/>
        <w:contextualSpacing/>
        <w:rPr>
          <w:rFonts w:ascii="Arial" w:hAnsi="Arial" w:cs="Arial"/>
          <w:b/>
          <w:sz w:val="24"/>
          <w:szCs w:val="24"/>
        </w:rPr>
      </w:pPr>
      <w:r w:rsidRPr="00D37AFE">
        <w:rPr>
          <w:rFonts w:ascii="Arial" w:hAnsi="Arial" w:cs="Arial"/>
          <w:b/>
          <w:sz w:val="24"/>
          <w:szCs w:val="24"/>
        </w:rPr>
        <w:t>Q6. Has the pharmaceutical needs assessment provided information to inform how pharmaceutical services in the health board’s area may be commissioned in the future?</w:t>
      </w:r>
    </w:p>
    <w:p w14:paraId="732EAAAA" w14:textId="77777777" w:rsidR="00320401" w:rsidRPr="00D37AFE" w:rsidRDefault="00320401" w:rsidP="00320401">
      <w:pPr>
        <w:spacing w:after="0" w:line="240" w:lineRule="auto"/>
        <w:contextualSpacing/>
        <w:rPr>
          <w:rFonts w:ascii="Arial" w:hAnsi="Arial" w:cs="Arial"/>
          <w:b/>
          <w:sz w:val="24"/>
          <w:szCs w:val="24"/>
        </w:rPr>
      </w:pPr>
    </w:p>
    <w:tbl>
      <w:tblPr>
        <w:tblW w:w="9000" w:type="dxa"/>
        <w:tblLook w:val="04A0" w:firstRow="1" w:lastRow="0" w:firstColumn="1" w:lastColumn="0" w:noHBand="0" w:noVBand="1"/>
      </w:tblPr>
      <w:tblGrid>
        <w:gridCol w:w="1477"/>
        <w:gridCol w:w="2661"/>
        <w:gridCol w:w="1770"/>
        <w:gridCol w:w="1877"/>
        <w:gridCol w:w="1215"/>
      </w:tblGrid>
      <w:tr w:rsidR="00320401" w:rsidRPr="00D37AFE" w14:paraId="24D8AA93" w14:textId="77777777" w:rsidTr="005670EB">
        <w:trPr>
          <w:trHeight w:val="263"/>
        </w:trPr>
        <w:tc>
          <w:tcPr>
            <w:tcW w:w="5908" w:type="dxa"/>
            <w:gridSpan w:val="3"/>
            <w:tcBorders>
              <w:top w:val="single" w:sz="4" w:space="0" w:color="A6A6A6"/>
              <w:left w:val="single" w:sz="4" w:space="0" w:color="A6A6A6"/>
              <w:bottom w:val="single" w:sz="4" w:space="0" w:color="A6A6A6"/>
              <w:right w:val="nil"/>
            </w:tcBorders>
            <w:shd w:val="clear" w:color="auto" w:fill="548DD4" w:themeFill="text2" w:themeFillTint="99"/>
            <w:noWrap/>
            <w:vAlign w:val="center"/>
            <w:hideMark/>
          </w:tcPr>
          <w:p w14:paraId="60562E79"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92" w:type="dxa"/>
            <w:gridSpan w:val="2"/>
            <w:tcBorders>
              <w:top w:val="single" w:sz="4" w:space="0" w:color="A6A6A6"/>
              <w:left w:val="nil"/>
              <w:bottom w:val="single" w:sz="4" w:space="0" w:color="A6A6A6"/>
              <w:right w:val="single" w:sz="4" w:space="0" w:color="A6A6A6"/>
            </w:tcBorders>
            <w:shd w:val="clear" w:color="auto" w:fill="548DD4" w:themeFill="text2" w:themeFillTint="99"/>
            <w:noWrap/>
            <w:vAlign w:val="center"/>
            <w:hideMark/>
          </w:tcPr>
          <w:p w14:paraId="6541B564"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320401" w:rsidRPr="00D37AFE" w14:paraId="1193EA60" w14:textId="77777777" w:rsidTr="005670EB">
        <w:trPr>
          <w:trHeight w:val="263"/>
        </w:trPr>
        <w:tc>
          <w:tcPr>
            <w:tcW w:w="5908"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27149CCD"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77" w:type="dxa"/>
            <w:tcBorders>
              <w:top w:val="nil"/>
              <w:left w:val="nil"/>
              <w:bottom w:val="single" w:sz="4" w:space="0" w:color="A6A6A6"/>
              <w:right w:val="single" w:sz="4" w:space="0" w:color="A6A6A6"/>
            </w:tcBorders>
            <w:shd w:val="clear" w:color="000000" w:fill="F2F2F2"/>
            <w:noWrap/>
            <w:vAlign w:val="center"/>
            <w:hideMark/>
          </w:tcPr>
          <w:p w14:paraId="5CD01E51"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215" w:type="dxa"/>
            <w:tcBorders>
              <w:top w:val="nil"/>
              <w:left w:val="nil"/>
              <w:bottom w:val="single" w:sz="4" w:space="0" w:color="A6A6A6"/>
              <w:right w:val="single" w:sz="4" w:space="0" w:color="A6A6A6"/>
            </w:tcBorders>
            <w:shd w:val="clear" w:color="000000" w:fill="F2F2F2"/>
            <w:noWrap/>
            <w:vAlign w:val="center"/>
            <w:hideMark/>
          </w:tcPr>
          <w:p w14:paraId="3727EBF5"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320401" w:rsidRPr="00D37AFE" w14:paraId="7F1A8BCD" w14:textId="77777777" w:rsidTr="005670EB">
        <w:trPr>
          <w:trHeight w:val="263"/>
        </w:trPr>
        <w:tc>
          <w:tcPr>
            <w:tcW w:w="1477" w:type="dxa"/>
            <w:tcBorders>
              <w:top w:val="nil"/>
              <w:left w:val="single" w:sz="4" w:space="0" w:color="A6A6A6"/>
              <w:bottom w:val="single" w:sz="4" w:space="0" w:color="A6A6A6"/>
              <w:right w:val="single" w:sz="4" w:space="0" w:color="A6A6A6"/>
            </w:tcBorders>
            <w:shd w:val="clear" w:color="000000" w:fill="F2F2F2"/>
            <w:vAlign w:val="center"/>
            <w:hideMark/>
          </w:tcPr>
          <w:p w14:paraId="72932C94"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431" w:type="dxa"/>
            <w:gridSpan w:val="2"/>
            <w:tcBorders>
              <w:top w:val="single" w:sz="4" w:space="0" w:color="A6A6A6"/>
              <w:left w:val="nil"/>
              <w:bottom w:val="single" w:sz="4" w:space="0" w:color="A6A6A6"/>
              <w:right w:val="single" w:sz="4" w:space="0" w:color="A6A6A6"/>
            </w:tcBorders>
            <w:shd w:val="clear" w:color="auto" w:fill="auto"/>
            <w:vAlign w:val="center"/>
            <w:hideMark/>
          </w:tcPr>
          <w:p w14:paraId="13222374"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77" w:type="dxa"/>
            <w:tcBorders>
              <w:top w:val="nil"/>
              <w:left w:val="nil"/>
              <w:bottom w:val="single" w:sz="4" w:space="0" w:color="A6A6A6"/>
              <w:right w:val="single" w:sz="4" w:space="0" w:color="A6A6A6"/>
            </w:tcBorders>
            <w:shd w:val="clear" w:color="000000" w:fill="F2F2F2"/>
            <w:noWrap/>
            <w:vAlign w:val="bottom"/>
            <w:hideMark/>
          </w:tcPr>
          <w:p w14:paraId="1FB6CC05"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44.44%</w:t>
            </w:r>
          </w:p>
        </w:tc>
        <w:tc>
          <w:tcPr>
            <w:tcW w:w="1215" w:type="dxa"/>
            <w:tcBorders>
              <w:top w:val="nil"/>
              <w:left w:val="nil"/>
              <w:bottom w:val="single" w:sz="4" w:space="0" w:color="A6A6A6"/>
              <w:right w:val="single" w:sz="4" w:space="0" w:color="A6A6A6"/>
            </w:tcBorders>
            <w:shd w:val="clear" w:color="000000" w:fill="F2F2F2"/>
            <w:noWrap/>
            <w:vAlign w:val="bottom"/>
            <w:hideMark/>
          </w:tcPr>
          <w:p w14:paraId="42BD9C1B"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320401" w:rsidRPr="00D37AFE" w14:paraId="219650FC" w14:textId="77777777" w:rsidTr="005670EB">
        <w:trPr>
          <w:trHeight w:val="263"/>
        </w:trPr>
        <w:tc>
          <w:tcPr>
            <w:tcW w:w="1477" w:type="dxa"/>
            <w:tcBorders>
              <w:top w:val="nil"/>
              <w:left w:val="single" w:sz="4" w:space="0" w:color="A6A6A6"/>
              <w:bottom w:val="single" w:sz="4" w:space="0" w:color="A6A6A6"/>
              <w:right w:val="single" w:sz="4" w:space="0" w:color="A6A6A6"/>
            </w:tcBorders>
            <w:shd w:val="clear" w:color="000000" w:fill="F2F2F2"/>
            <w:vAlign w:val="center"/>
            <w:hideMark/>
          </w:tcPr>
          <w:p w14:paraId="38722911"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431" w:type="dxa"/>
            <w:gridSpan w:val="2"/>
            <w:tcBorders>
              <w:top w:val="single" w:sz="4" w:space="0" w:color="A6A6A6"/>
              <w:left w:val="nil"/>
              <w:bottom w:val="single" w:sz="4" w:space="0" w:color="A6A6A6"/>
              <w:right w:val="single" w:sz="4" w:space="0" w:color="A6A6A6"/>
            </w:tcBorders>
            <w:shd w:val="clear" w:color="auto" w:fill="auto"/>
            <w:vAlign w:val="center"/>
            <w:hideMark/>
          </w:tcPr>
          <w:p w14:paraId="0E9E32BE"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77" w:type="dxa"/>
            <w:tcBorders>
              <w:top w:val="nil"/>
              <w:left w:val="nil"/>
              <w:bottom w:val="single" w:sz="4" w:space="0" w:color="A6A6A6"/>
              <w:right w:val="single" w:sz="4" w:space="0" w:color="A6A6A6"/>
            </w:tcBorders>
            <w:shd w:val="clear" w:color="000000" w:fill="F2F2F2"/>
            <w:noWrap/>
            <w:vAlign w:val="bottom"/>
            <w:hideMark/>
          </w:tcPr>
          <w:p w14:paraId="660D5406"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33.33%</w:t>
            </w:r>
          </w:p>
        </w:tc>
        <w:tc>
          <w:tcPr>
            <w:tcW w:w="1215" w:type="dxa"/>
            <w:tcBorders>
              <w:top w:val="nil"/>
              <w:left w:val="nil"/>
              <w:bottom w:val="single" w:sz="4" w:space="0" w:color="A6A6A6"/>
              <w:right w:val="single" w:sz="4" w:space="0" w:color="A6A6A6"/>
            </w:tcBorders>
            <w:shd w:val="clear" w:color="000000" w:fill="F2F2F2"/>
            <w:noWrap/>
            <w:vAlign w:val="bottom"/>
            <w:hideMark/>
          </w:tcPr>
          <w:p w14:paraId="285D6271"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r>
      <w:tr w:rsidR="00320401" w:rsidRPr="00D37AFE" w14:paraId="69B47B71" w14:textId="77777777" w:rsidTr="005670EB">
        <w:trPr>
          <w:trHeight w:val="263"/>
        </w:trPr>
        <w:tc>
          <w:tcPr>
            <w:tcW w:w="1477" w:type="dxa"/>
            <w:tcBorders>
              <w:top w:val="nil"/>
              <w:left w:val="single" w:sz="4" w:space="0" w:color="A6A6A6"/>
              <w:bottom w:val="single" w:sz="4" w:space="0" w:color="A6A6A6"/>
              <w:right w:val="single" w:sz="4" w:space="0" w:color="A6A6A6"/>
            </w:tcBorders>
            <w:shd w:val="clear" w:color="000000" w:fill="F2F2F2"/>
            <w:vAlign w:val="center"/>
            <w:hideMark/>
          </w:tcPr>
          <w:p w14:paraId="1EAD9569"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431" w:type="dxa"/>
            <w:gridSpan w:val="2"/>
            <w:tcBorders>
              <w:top w:val="single" w:sz="4" w:space="0" w:color="A6A6A6"/>
              <w:left w:val="nil"/>
              <w:bottom w:val="single" w:sz="4" w:space="0" w:color="A6A6A6"/>
              <w:right w:val="single" w:sz="4" w:space="0" w:color="A6A6A6"/>
            </w:tcBorders>
            <w:shd w:val="clear" w:color="auto" w:fill="auto"/>
            <w:vAlign w:val="center"/>
            <w:hideMark/>
          </w:tcPr>
          <w:p w14:paraId="0449AA06"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77" w:type="dxa"/>
            <w:tcBorders>
              <w:top w:val="nil"/>
              <w:left w:val="nil"/>
              <w:bottom w:val="single" w:sz="4" w:space="0" w:color="A6A6A6"/>
              <w:right w:val="single" w:sz="4" w:space="0" w:color="A6A6A6"/>
            </w:tcBorders>
            <w:shd w:val="clear" w:color="000000" w:fill="F2F2F2"/>
            <w:noWrap/>
            <w:vAlign w:val="bottom"/>
            <w:hideMark/>
          </w:tcPr>
          <w:p w14:paraId="190C6998"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22.22%</w:t>
            </w:r>
          </w:p>
        </w:tc>
        <w:tc>
          <w:tcPr>
            <w:tcW w:w="1215" w:type="dxa"/>
            <w:tcBorders>
              <w:top w:val="nil"/>
              <w:left w:val="nil"/>
              <w:bottom w:val="single" w:sz="4" w:space="0" w:color="A6A6A6"/>
              <w:right w:val="single" w:sz="4" w:space="0" w:color="A6A6A6"/>
            </w:tcBorders>
            <w:shd w:val="clear" w:color="000000" w:fill="F2F2F2"/>
            <w:noWrap/>
            <w:vAlign w:val="bottom"/>
            <w:hideMark/>
          </w:tcPr>
          <w:p w14:paraId="0C3BB5A7"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r>
      <w:tr w:rsidR="00320401" w:rsidRPr="00D37AFE" w14:paraId="7DA02DE2" w14:textId="77777777" w:rsidTr="005670EB">
        <w:trPr>
          <w:trHeight w:val="263"/>
        </w:trPr>
        <w:tc>
          <w:tcPr>
            <w:tcW w:w="4138"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4BF08B98"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69" w:type="dxa"/>
            <w:tcBorders>
              <w:top w:val="nil"/>
              <w:left w:val="nil"/>
              <w:bottom w:val="single" w:sz="4" w:space="0" w:color="A6A6A6"/>
              <w:right w:val="single" w:sz="4" w:space="0" w:color="A6A6A6"/>
            </w:tcBorders>
            <w:shd w:val="clear" w:color="000000" w:fill="F2F2F2"/>
            <w:vAlign w:val="center"/>
            <w:hideMark/>
          </w:tcPr>
          <w:p w14:paraId="6628357C"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77" w:type="dxa"/>
            <w:tcBorders>
              <w:top w:val="nil"/>
              <w:left w:val="nil"/>
              <w:bottom w:val="single" w:sz="4" w:space="0" w:color="A6A6A6"/>
              <w:right w:val="single" w:sz="4" w:space="0" w:color="A6A6A6"/>
            </w:tcBorders>
            <w:shd w:val="clear" w:color="000000" w:fill="F2F2F2"/>
            <w:noWrap/>
            <w:vAlign w:val="bottom"/>
            <w:hideMark/>
          </w:tcPr>
          <w:p w14:paraId="2F98CC23"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215" w:type="dxa"/>
            <w:tcBorders>
              <w:top w:val="nil"/>
              <w:left w:val="nil"/>
              <w:bottom w:val="single" w:sz="4" w:space="0" w:color="A6A6A6"/>
              <w:right w:val="single" w:sz="4" w:space="0" w:color="A6A6A6"/>
            </w:tcBorders>
            <w:shd w:val="clear" w:color="000000" w:fill="F2F2F2"/>
            <w:noWrap/>
            <w:vAlign w:val="bottom"/>
            <w:hideMark/>
          </w:tcPr>
          <w:p w14:paraId="13DC1862"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tc>
      </w:tr>
      <w:tr w:rsidR="00320401" w:rsidRPr="00D37AFE" w14:paraId="399FA03E" w14:textId="77777777" w:rsidTr="005670EB">
        <w:trPr>
          <w:trHeight w:val="263"/>
        </w:trPr>
        <w:tc>
          <w:tcPr>
            <w:tcW w:w="4138" w:type="dxa"/>
            <w:gridSpan w:val="2"/>
            <w:vMerge/>
            <w:tcBorders>
              <w:top w:val="single" w:sz="4" w:space="0" w:color="A6A6A6"/>
              <w:left w:val="single" w:sz="4" w:space="0" w:color="A6A6A6"/>
              <w:bottom w:val="single" w:sz="4" w:space="0" w:color="A6A6A6"/>
              <w:right w:val="single" w:sz="4" w:space="0" w:color="A6A6A6"/>
            </w:tcBorders>
            <w:vAlign w:val="center"/>
            <w:hideMark/>
          </w:tcPr>
          <w:p w14:paraId="050D1F7B" w14:textId="77777777" w:rsidR="00320401" w:rsidRPr="00D37AFE" w:rsidRDefault="00320401" w:rsidP="005670EB">
            <w:pPr>
              <w:spacing w:after="0" w:line="240" w:lineRule="auto"/>
              <w:rPr>
                <w:rFonts w:ascii="Arial" w:eastAsia="Times New Roman" w:hAnsi="Arial" w:cs="Arial"/>
                <w:b/>
                <w:bCs/>
                <w:color w:val="000000"/>
                <w:sz w:val="24"/>
                <w:szCs w:val="24"/>
                <w:lang w:eastAsia="en-GB"/>
              </w:rPr>
            </w:pPr>
          </w:p>
        </w:tc>
        <w:tc>
          <w:tcPr>
            <w:tcW w:w="1769" w:type="dxa"/>
            <w:tcBorders>
              <w:top w:val="nil"/>
              <w:left w:val="nil"/>
              <w:bottom w:val="single" w:sz="4" w:space="0" w:color="A6A6A6"/>
              <w:right w:val="single" w:sz="4" w:space="0" w:color="A6A6A6"/>
            </w:tcBorders>
            <w:shd w:val="clear" w:color="000000" w:fill="F2F2F2"/>
            <w:vAlign w:val="center"/>
            <w:hideMark/>
          </w:tcPr>
          <w:p w14:paraId="637D6635"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77" w:type="dxa"/>
            <w:tcBorders>
              <w:top w:val="nil"/>
              <w:left w:val="nil"/>
              <w:bottom w:val="single" w:sz="4" w:space="0" w:color="A6A6A6"/>
              <w:right w:val="single" w:sz="4" w:space="0" w:color="A6A6A6"/>
            </w:tcBorders>
            <w:shd w:val="clear" w:color="000000" w:fill="F2F2F2"/>
            <w:noWrap/>
            <w:vAlign w:val="bottom"/>
            <w:hideMark/>
          </w:tcPr>
          <w:p w14:paraId="5CC6E5C1"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215" w:type="dxa"/>
            <w:tcBorders>
              <w:top w:val="nil"/>
              <w:left w:val="nil"/>
              <w:bottom w:val="single" w:sz="4" w:space="0" w:color="A6A6A6"/>
              <w:right w:val="single" w:sz="4" w:space="0" w:color="A6A6A6"/>
            </w:tcBorders>
            <w:shd w:val="clear" w:color="000000" w:fill="F2F2F2"/>
            <w:noWrap/>
            <w:vAlign w:val="bottom"/>
            <w:hideMark/>
          </w:tcPr>
          <w:p w14:paraId="55690989"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bl>
    <w:p w14:paraId="3BD32B56" w14:textId="77777777" w:rsidR="00320401" w:rsidRPr="00D37AFE" w:rsidRDefault="00320401" w:rsidP="00320401">
      <w:pPr>
        <w:spacing w:after="0" w:line="240" w:lineRule="auto"/>
        <w:contextualSpacing/>
        <w:rPr>
          <w:rFonts w:ascii="Arial" w:hAnsi="Arial" w:cs="Arial"/>
          <w:b/>
          <w:sz w:val="24"/>
          <w:szCs w:val="24"/>
        </w:rPr>
      </w:pPr>
    </w:p>
    <w:p w14:paraId="2F3260A7" w14:textId="77777777" w:rsidR="00320401" w:rsidRDefault="00320401" w:rsidP="00320401">
      <w:pPr>
        <w:spacing w:after="0" w:line="240" w:lineRule="auto"/>
        <w:contextualSpacing/>
        <w:rPr>
          <w:rFonts w:ascii="Arial" w:hAnsi="Arial" w:cs="Arial"/>
          <w:b/>
          <w:sz w:val="24"/>
          <w:szCs w:val="24"/>
        </w:rPr>
      </w:pPr>
    </w:p>
    <w:p w14:paraId="4D23DCD8" w14:textId="77777777" w:rsidR="00514FBA" w:rsidRDefault="00514FBA" w:rsidP="00320401">
      <w:pPr>
        <w:spacing w:after="0" w:line="240" w:lineRule="auto"/>
        <w:contextualSpacing/>
        <w:rPr>
          <w:rFonts w:ascii="Arial" w:hAnsi="Arial" w:cs="Arial"/>
          <w:b/>
          <w:sz w:val="24"/>
          <w:szCs w:val="24"/>
        </w:rPr>
      </w:pPr>
    </w:p>
    <w:p w14:paraId="73DC31B8" w14:textId="77777777" w:rsidR="00514FBA" w:rsidRDefault="00514FBA" w:rsidP="00320401">
      <w:pPr>
        <w:spacing w:after="0" w:line="240" w:lineRule="auto"/>
        <w:contextualSpacing/>
        <w:rPr>
          <w:rFonts w:ascii="Arial" w:hAnsi="Arial" w:cs="Arial"/>
          <w:b/>
          <w:sz w:val="24"/>
          <w:szCs w:val="24"/>
        </w:rPr>
      </w:pPr>
    </w:p>
    <w:p w14:paraId="616C4538" w14:textId="77777777" w:rsidR="00514FBA" w:rsidRDefault="00514FBA" w:rsidP="00320401">
      <w:pPr>
        <w:spacing w:after="0" w:line="240" w:lineRule="auto"/>
        <w:contextualSpacing/>
        <w:rPr>
          <w:rFonts w:ascii="Arial" w:hAnsi="Arial" w:cs="Arial"/>
          <w:b/>
          <w:sz w:val="24"/>
          <w:szCs w:val="24"/>
        </w:rPr>
      </w:pPr>
    </w:p>
    <w:p w14:paraId="11A86C68" w14:textId="77777777" w:rsidR="00514FBA" w:rsidRDefault="00514FBA" w:rsidP="00320401">
      <w:pPr>
        <w:spacing w:after="0" w:line="240" w:lineRule="auto"/>
        <w:contextualSpacing/>
        <w:rPr>
          <w:rFonts w:ascii="Arial" w:hAnsi="Arial" w:cs="Arial"/>
          <w:b/>
          <w:sz w:val="24"/>
          <w:szCs w:val="24"/>
        </w:rPr>
      </w:pPr>
    </w:p>
    <w:p w14:paraId="05539D50" w14:textId="77777777" w:rsidR="00514FBA" w:rsidRPr="00D37AFE" w:rsidRDefault="00514FBA" w:rsidP="00320401">
      <w:pPr>
        <w:spacing w:after="0" w:line="240" w:lineRule="auto"/>
        <w:contextualSpacing/>
        <w:rPr>
          <w:rFonts w:ascii="Arial" w:hAnsi="Arial" w:cs="Arial"/>
          <w:b/>
          <w:sz w:val="24"/>
          <w:szCs w:val="24"/>
        </w:rPr>
      </w:pPr>
    </w:p>
    <w:p w14:paraId="3AB2BB6A" w14:textId="77777777" w:rsidR="00320401" w:rsidRPr="00D37AFE" w:rsidRDefault="00320401" w:rsidP="00320401">
      <w:pPr>
        <w:spacing w:after="0" w:line="240" w:lineRule="auto"/>
        <w:contextualSpacing/>
        <w:rPr>
          <w:rFonts w:ascii="Arial" w:hAnsi="Arial" w:cs="Arial"/>
          <w:b/>
          <w:bCs/>
          <w:sz w:val="24"/>
          <w:szCs w:val="24"/>
        </w:rPr>
      </w:pPr>
      <w:r w:rsidRPr="00D37AFE">
        <w:rPr>
          <w:rFonts w:ascii="Arial" w:hAnsi="Arial" w:cs="Arial"/>
          <w:b/>
          <w:bCs/>
          <w:sz w:val="24"/>
          <w:szCs w:val="24"/>
        </w:rPr>
        <w:t>Comments</w:t>
      </w:r>
    </w:p>
    <w:p w14:paraId="75CC95B1" w14:textId="77777777" w:rsidR="00320401" w:rsidRPr="00D37AFE" w:rsidRDefault="00320401" w:rsidP="00320401">
      <w:pPr>
        <w:spacing w:after="0" w:line="240" w:lineRule="auto"/>
        <w:contextualSpacing/>
        <w:rPr>
          <w:rFonts w:ascii="Arial" w:hAnsi="Arial" w:cs="Arial"/>
          <w:b/>
          <w:bCs/>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320401" w:rsidRPr="00D37AFE" w14:paraId="04F1406E" w14:textId="77777777" w:rsidTr="005670EB">
        <w:tc>
          <w:tcPr>
            <w:tcW w:w="0" w:type="auto"/>
            <w:shd w:val="clear" w:color="auto" w:fill="FFFFFF"/>
            <w:tcMar>
              <w:top w:w="75" w:type="dxa"/>
              <w:left w:w="75" w:type="dxa"/>
              <w:bottom w:w="75" w:type="dxa"/>
              <w:right w:w="75" w:type="dxa"/>
            </w:tcMar>
            <w:hideMark/>
          </w:tcPr>
          <w:p w14:paraId="44978C61" w14:textId="77777777" w:rsidR="00320401" w:rsidRPr="00D37AFE" w:rsidRDefault="00320401" w:rsidP="00320401">
            <w:pPr>
              <w:pStyle w:val="ListParagraph"/>
              <w:numPr>
                <w:ilvl w:val="0"/>
                <w:numId w:val="206"/>
              </w:numPr>
              <w:spacing w:after="0" w:line="240" w:lineRule="auto"/>
              <w:rPr>
                <w:rFonts w:ascii="Arial" w:hAnsi="Arial" w:cs="Arial"/>
                <w:sz w:val="24"/>
                <w:szCs w:val="24"/>
              </w:rPr>
            </w:pPr>
            <w:r w:rsidRPr="00D37AFE">
              <w:rPr>
                <w:rFonts w:ascii="Arial" w:hAnsi="Arial" w:cs="Arial"/>
                <w:sz w:val="24"/>
                <w:szCs w:val="24"/>
              </w:rPr>
              <w:t>Again, can see little in the way of anything solid re this.</w:t>
            </w:r>
          </w:p>
        </w:tc>
      </w:tr>
      <w:tr w:rsidR="00320401" w:rsidRPr="00D37AFE" w14:paraId="07B0499D" w14:textId="77777777" w:rsidTr="005670EB">
        <w:tc>
          <w:tcPr>
            <w:tcW w:w="0" w:type="auto"/>
            <w:shd w:val="clear" w:color="auto" w:fill="FFFFFF"/>
            <w:tcMar>
              <w:top w:w="75" w:type="dxa"/>
              <w:left w:w="75" w:type="dxa"/>
              <w:bottom w:w="75" w:type="dxa"/>
              <w:right w:w="75" w:type="dxa"/>
            </w:tcMar>
            <w:hideMark/>
          </w:tcPr>
          <w:p w14:paraId="3641719C" w14:textId="77777777" w:rsidR="00320401" w:rsidRPr="00D37AFE" w:rsidRDefault="00320401" w:rsidP="00320401">
            <w:pPr>
              <w:pStyle w:val="ListParagraph"/>
              <w:numPr>
                <w:ilvl w:val="0"/>
                <w:numId w:val="206"/>
              </w:numPr>
              <w:spacing w:after="0" w:line="240" w:lineRule="auto"/>
              <w:rPr>
                <w:rFonts w:ascii="Arial" w:hAnsi="Arial" w:cs="Arial"/>
                <w:sz w:val="24"/>
                <w:szCs w:val="24"/>
              </w:rPr>
            </w:pPr>
            <w:r w:rsidRPr="00D37AFE">
              <w:rPr>
                <w:rFonts w:ascii="Arial" w:hAnsi="Arial" w:cs="Arial"/>
                <w:sz w:val="24"/>
                <w:szCs w:val="24"/>
              </w:rPr>
              <w:t xml:space="preserve">Again with the overriding conclusion of "no gaps" the PNA remains in favour of status quo and stagnation rather than offering opportunity for development and enhancement of pharmaceutical services - not only to meet the needs of </w:t>
            </w:r>
            <w:r w:rsidRPr="00D37AFE">
              <w:rPr>
                <w:rFonts w:ascii="Arial" w:hAnsi="Arial" w:cs="Arial"/>
                <w:sz w:val="24"/>
                <w:szCs w:val="24"/>
              </w:rPr>
              <w:lastRenderedPageBreak/>
              <w:t>a growing population but also to widen and strengthen the professional services that community pharmacists could offer.</w:t>
            </w:r>
          </w:p>
        </w:tc>
      </w:tr>
      <w:tr w:rsidR="00320401" w:rsidRPr="00D37AFE" w14:paraId="2778785D" w14:textId="77777777" w:rsidTr="005670EB">
        <w:tc>
          <w:tcPr>
            <w:tcW w:w="0" w:type="auto"/>
            <w:shd w:val="clear" w:color="auto" w:fill="FFFFFF"/>
            <w:tcMar>
              <w:top w:w="75" w:type="dxa"/>
              <w:left w:w="75" w:type="dxa"/>
              <w:bottom w:w="75" w:type="dxa"/>
              <w:right w:w="75" w:type="dxa"/>
            </w:tcMar>
            <w:hideMark/>
          </w:tcPr>
          <w:p w14:paraId="1104BAA5" w14:textId="77777777" w:rsidR="00320401" w:rsidRPr="00D37AFE" w:rsidRDefault="00320401" w:rsidP="00320401">
            <w:pPr>
              <w:pStyle w:val="ListParagraph"/>
              <w:numPr>
                <w:ilvl w:val="0"/>
                <w:numId w:val="206"/>
              </w:numPr>
              <w:spacing w:after="0" w:line="240" w:lineRule="auto"/>
              <w:rPr>
                <w:rFonts w:ascii="Arial" w:hAnsi="Arial" w:cs="Arial"/>
                <w:sz w:val="24"/>
                <w:szCs w:val="24"/>
              </w:rPr>
            </w:pPr>
            <w:r w:rsidRPr="00D37AFE">
              <w:rPr>
                <w:rFonts w:ascii="Arial" w:hAnsi="Arial" w:cs="Arial"/>
                <w:sz w:val="24"/>
                <w:szCs w:val="24"/>
              </w:rPr>
              <w:lastRenderedPageBreak/>
              <w:t xml:space="preserve">There is no mention of any future service provision beyond </w:t>
            </w:r>
            <w:r w:rsidRPr="00D37AFE">
              <w:rPr>
                <w:rFonts w:ascii="Arial" w:hAnsi="Arial" w:cs="Arial"/>
                <w:sz w:val="24"/>
                <w:szCs w:val="24"/>
              </w:rPr>
              <w:br/>
              <w:t xml:space="preserve">"Based on the information available at the time of developing this PNA no current gaps in the provision of essential services during normal working hours have been identified in any of the nine clusters (PNA localities)." </w:t>
            </w:r>
            <w:r w:rsidRPr="00D37AFE">
              <w:rPr>
                <w:rFonts w:ascii="Arial" w:hAnsi="Arial" w:cs="Arial"/>
                <w:sz w:val="24"/>
                <w:szCs w:val="24"/>
              </w:rPr>
              <w:br/>
              <w:t xml:space="preserve">I feel this is very insufficient. It does not allow any caveats or allowances or plan Bs. </w:t>
            </w:r>
          </w:p>
          <w:p w14:paraId="7D78FEAA" w14:textId="77777777" w:rsidR="00320401" w:rsidRPr="00D37AFE" w:rsidRDefault="00320401" w:rsidP="005670EB">
            <w:pPr>
              <w:pStyle w:val="ListParagraph"/>
              <w:spacing w:after="0" w:line="240" w:lineRule="auto"/>
              <w:rPr>
                <w:rFonts w:ascii="Arial" w:hAnsi="Arial" w:cs="Arial"/>
                <w:sz w:val="24"/>
                <w:szCs w:val="24"/>
              </w:rPr>
            </w:pPr>
          </w:p>
          <w:p w14:paraId="25CEBED7" w14:textId="77777777" w:rsidR="00320401" w:rsidRPr="00D37AFE" w:rsidRDefault="00320401" w:rsidP="00320401">
            <w:pPr>
              <w:pStyle w:val="ListParagraph"/>
              <w:numPr>
                <w:ilvl w:val="0"/>
                <w:numId w:val="206"/>
              </w:numPr>
              <w:spacing w:after="0" w:line="240" w:lineRule="auto"/>
              <w:rPr>
                <w:rFonts w:ascii="Arial" w:hAnsi="Arial" w:cs="Arial"/>
                <w:sz w:val="24"/>
                <w:szCs w:val="24"/>
              </w:rPr>
            </w:pPr>
            <w:r w:rsidRPr="00D37AFE">
              <w:rPr>
                <w:rFonts w:ascii="Arial" w:hAnsi="Arial" w:cs="Arial"/>
                <w:sz w:val="24"/>
                <w:szCs w:val="24"/>
              </w:rPr>
              <w:t xml:space="preserve">The purpose of the PNA is to assess and set out how the provision of pharmaceutical services can meet the health needs of the population of a health board’s area for a period of up to five years. There is no provision within the PNA to look beyond a five year period. </w:t>
            </w:r>
          </w:p>
          <w:p w14:paraId="077BF3FC" w14:textId="77777777" w:rsidR="00320401" w:rsidRPr="00D37AFE" w:rsidRDefault="00320401" w:rsidP="005670EB">
            <w:pPr>
              <w:pStyle w:val="ListParagraph"/>
              <w:spacing w:after="0" w:line="240" w:lineRule="auto"/>
              <w:rPr>
                <w:rFonts w:ascii="Arial" w:hAnsi="Arial" w:cs="Arial"/>
                <w:sz w:val="24"/>
                <w:szCs w:val="24"/>
              </w:rPr>
            </w:pPr>
          </w:p>
          <w:p w14:paraId="394BAEAA" w14:textId="77777777" w:rsidR="00320401" w:rsidRPr="00D37AFE" w:rsidRDefault="00320401" w:rsidP="005670EB">
            <w:pPr>
              <w:pStyle w:val="ListParagraph"/>
              <w:spacing w:after="0" w:line="240" w:lineRule="auto"/>
              <w:rPr>
                <w:rFonts w:ascii="Arial" w:hAnsi="Arial" w:cs="Arial"/>
                <w:sz w:val="24"/>
                <w:szCs w:val="24"/>
              </w:rPr>
            </w:pPr>
            <w:r w:rsidRPr="00D37AFE">
              <w:rPr>
                <w:rFonts w:ascii="Arial" w:hAnsi="Arial" w:cs="Arial"/>
                <w:sz w:val="24"/>
                <w:szCs w:val="24"/>
              </w:rPr>
              <w:t>It is unclear whether a robust exercise will now be undertaken to match the significant opportunities to meet the health needs of local patients with the underutilised capacity in the local community pharmacy network. In Question 8 CPW sets out some of the pharmaceutical services which could be provided in the pharmacy setting and we would welcome an exercise that looks at the potential for commissioning these services.</w:t>
            </w:r>
          </w:p>
        </w:tc>
      </w:tr>
    </w:tbl>
    <w:p w14:paraId="53AE61FF" w14:textId="77777777" w:rsidR="00320401" w:rsidRPr="00D37AFE" w:rsidRDefault="00320401" w:rsidP="00320401">
      <w:pPr>
        <w:spacing w:after="0" w:line="240" w:lineRule="auto"/>
        <w:contextualSpacing/>
        <w:rPr>
          <w:rFonts w:ascii="Arial" w:hAnsi="Arial" w:cs="Arial"/>
          <w:b/>
          <w:bCs/>
          <w:sz w:val="24"/>
          <w:szCs w:val="24"/>
        </w:rPr>
      </w:pPr>
    </w:p>
    <w:p w14:paraId="63F26826" w14:textId="77777777" w:rsidR="00320401" w:rsidRPr="00D37AFE" w:rsidRDefault="00320401" w:rsidP="00320401">
      <w:pPr>
        <w:spacing w:after="0" w:line="240" w:lineRule="auto"/>
        <w:contextualSpacing/>
        <w:rPr>
          <w:rFonts w:ascii="Arial" w:hAnsi="Arial" w:cs="Arial"/>
          <w:sz w:val="24"/>
          <w:szCs w:val="24"/>
        </w:rPr>
      </w:pPr>
    </w:p>
    <w:p w14:paraId="659264F3" w14:textId="77777777" w:rsidR="00320401" w:rsidRPr="00D37AFE" w:rsidRDefault="00320401" w:rsidP="00320401">
      <w:pPr>
        <w:spacing w:after="0" w:line="240" w:lineRule="auto"/>
        <w:rPr>
          <w:rFonts w:ascii="Arial" w:hAnsi="Arial" w:cs="Arial"/>
          <w:b/>
          <w:sz w:val="24"/>
          <w:szCs w:val="24"/>
        </w:rPr>
      </w:pPr>
      <w:r w:rsidRPr="00D37AFE">
        <w:rPr>
          <w:rFonts w:ascii="Arial" w:hAnsi="Arial" w:cs="Arial"/>
          <w:b/>
          <w:sz w:val="24"/>
          <w:szCs w:val="24"/>
        </w:rPr>
        <w:t xml:space="preserve">Cardiff and Vale University Health Board’s consideration </w:t>
      </w:r>
    </w:p>
    <w:p w14:paraId="3C37B4BD" w14:textId="77777777" w:rsidR="00320401" w:rsidRPr="00D37AFE" w:rsidRDefault="00320401" w:rsidP="00320401">
      <w:pPr>
        <w:spacing w:after="0" w:line="240" w:lineRule="auto"/>
        <w:contextualSpacing/>
        <w:rPr>
          <w:rFonts w:ascii="Arial" w:hAnsi="Arial" w:cs="Arial"/>
          <w:b/>
          <w:sz w:val="24"/>
          <w:szCs w:val="24"/>
        </w:rPr>
      </w:pPr>
    </w:p>
    <w:p w14:paraId="401D972B" w14:textId="77777777" w:rsidR="00320401" w:rsidRPr="00D37AFE" w:rsidRDefault="00320401" w:rsidP="00320401">
      <w:pPr>
        <w:pStyle w:val="ListParagraph"/>
        <w:numPr>
          <w:ilvl w:val="0"/>
          <w:numId w:val="219"/>
        </w:numPr>
        <w:spacing w:after="0" w:line="240" w:lineRule="auto"/>
        <w:rPr>
          <w:rFonts w:ascii="Arial" w:hAnsi="Arial" w:cs="Arial"/>
          <w:sz w:val="24"/>
          <w:szCs w:val="24"/>
        </w:rPr>
      </w:pPr>
      <w:r w:rsidRPr="00D37AFE">
        <w:rPr>
          <w:rFonts w:ascii="Arial" w:hAnsi="Arial" w:cs="Arial"/>
          <w:sz w:val="24"/>
          <w:szCs w:val="24"/>
        </w:rPr>
        <w:t>Cardiff and Vale University Health Board has noted the comments made.</w:t>
      </w:r>
    </w:p>
    <w:p w14:paraId="4A3D24A9" w14:textId="77777777" w:rsidR="00320401" w:rsidRPr="00D37AFE" w:rsidRDefault="00320401" w:rsidP="00320401">
      <w:pPr>
        <w:pStyle w:val="ListParagraph"/>
        <w:spacing w:after="0" w:line="240" w:lineRule="auto"/>
        <w:ind w:left="360"/>
        <w:rPr>
          <w:rFonts w:ascii="Arial" w:hAnsi="Arial" w:cs="Arial"/>
          <w:bCs/>
          <w:sz w:val="24"/>
          <w:szCs w:val="24"/>
        </w:rPr>
      </w:pPr>
    </w:p>
    <w:p w14:paraId="26B451A5" w14:textId="77777777" w:rsidR="00320401" w:rsidRPr="00D37AFE" w:rsidRDefault="00320401" w:rsidP="00320401">
      <w:pPr>
        <w:spacing w:after="0" w:line="240" w:lineRule="auto"/>
        <w:contextualSpacing/>
        <w:rPr>
          <w:rFonts w:ascii="Arial" w:hAnsi="Arial" w:cs="Arial"/>
          <w:b/>
          <w:sz w:val="24"/>
          <w:szCs w:val="24"/>
        </w:rPr>
      </w:pPr>
    </w:p>
    <w:p w14:paraId="6EACF025" w14:textId="77777777" w:rsidR="00320401" w:rsidRPr="00D37AFE" w:rsidRDefault="00320401" w:rsidP="00320401">
      <w:pPr>
        <w:spacing w:after="0" w:line="240" w:lineRule="auto"/>
        <w:contextualSpacing/>
        <w:rPr>
          <w:rFonts w:ascii="Arial" w:hAnsi="Arial" w:cs="Arial"/>
          <w:b/>
          <w:sz w:val="24"/>
          <w:szCs w:val="24"/>
        </w:rPr>
      </w:pPr>
      <w:r w:rsidRPr="00D37AFE">
        <w:rPr>
          <w:rFonts w:ascii="Arial" w:hAnsi="Arial" w:cs="Arial"/>
          <w:b/>
          <w:sz w:val="24"/>
          <w:szCs w:val="24"/>
        </w:rPr>
        <w:t>Q7. Has the pharmaceutical needs assessment provided enough information to inform future pharmaceutical services provision and plans for pharmacies, dispensing appliance contractors and dispensing doctors?</w:t>
      </w:r>
    </w:p>
    <w:p w14:paraId="7B85A709" w14:textId="77777777" w:rsidR="00320401" w:rsidRPr="00D37AFE" w:rsidRDefault="00320401" w:rsidP="00320401">
      <w:pPr>
        <w:spacing w:after="0" w:line="240" w:lineRule="auto"/>
        <w:contextualSpacing/>
        <w:rPr>
          <w:rFonts w:ascii="Arial" w:hAnsi="Arial" w:cs="Arial"/>
          <w:b/>
          <w:sz w:val="24"/>
          <w:szCs w:val="24"/>
        </w:rPr>
      </w:pPr>
    </w:p>
    <w:tbl>
      <w:tblPr>
        <w:tblW w:w="8811" w:type="dxa"/>
        <w:tblLook w:val="04A0" w:firstRow="1" w:lastRow="0" w:firstColumn="1" w:lastColumn="0" w:noHBand="0" w:noVBand="1"/>
      </w:tblPr>
      <w:tblGrid>
        <w:gridCol w:w="1446"/>
        <w:gridCol w:w="2606"/>
        <w:gridCol w:w="1732"/>
        <w:gridCol w:w="1837"/>
        <w:gridCol w:w="1190"/>
      </w:tblGrid>
      <w:tr w:rsidR="00320401" w:rsidRPr="00D37AFE" w14:paraId="146A85F0" w14:textId="77777777" w:rsidTr="005670EB">
        <w:trPr>
          <w:trHeight w:val="279"/>
        </w:trPr>
        <w:tc>
          <w:tcPr>
            <w:tcW w:w="5784" w:type="dxa"/>
            <w:gridSpan w:val="3"/>
            <w:tcBorders>
              <w:top w:val="single" w:sz="4" w:space="0" w:color="A6A6A6"/>
              <w:left w:val="single" w:sz="4" w:space="0" w:color="A6A6A6"/>
              <w:bottom w:val="single" w:sz="4" w:space="0" w:color="A6A6A6"/>
              <w:right w:val="nil"/>
            </w:tcBorders>
            <w:shd w:val="clear" w:color="auto" w:fill="548DD4" w:themeFill="text2" w:themeFillTint="99"/>
            <w:noWrap/>
            <w:vAlign w:val="center"/>
            <w:hideMark/>
          </w:tcPr>
          <w:p w14:paraId="5165FE2D"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27" w:type="dxa"/>
            <w:gridSpan w:val="2"/>
            <w:tcBorders>
              <w:top w:val="single" w:sz="4" w:space="0" w:color="A6A6A6"/>
              <w:left w:val="nil"/>
              <w:bottom w:val="single" w:sz="4" w:space="0" w:color="A6A6A6"/>
              <w:right w:val="single" w:sz="4" w:space="0" w:color="A6A6A6"/>
            </w:tcBorders>
            <w:shd w:val="clear" w:color="auto" w:fill="548DD4" w:themeFill="text2" w:themeFillTint="99"/>
            <w:noWrap/>
            <w:vAlign w:val="center"/>
            <w:hideMark/>
          </w:tcPr>
          <w:p w14:paraId="50D4F291"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320401" w:rsidRPr="00D37AFE" w14:paraId="26DFFDFF" w14:textId="77777777" w:rsidTr="005670EB">
        <w:trPr>
          <w:trHeight w:val="279"/>
        </w:trPr>
        <w:tc>
          <w:tcPr>
            <w:tcW w:w="5784"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55A0F2D2"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37" w:type="dxa"/>
            <w:tcBorders>
              <w:top w:val="nil"/>
              <w:left w:val="nil"/>
              <w:bottom w:val="single" w:sz="4" w:space="0" w:color="A6A6A6"/>
              <w:right w:val="single" w:sz="4" w:space="0" w:color="A6A6A6"/>
            </w:tcBorders>
            <w:shd w:val="clear" w:color="000000" w:fill="F2F2F2"/>
            <w:noWrap/>
            <w:vAlign w:val="center"/>
            <w:hideMark/>
          </w:tcPr>
          <w:p w14:paraId="1A9049B1"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190" w:type="dxa"/>
            <w:tcBorders>
              <w:top w:val="nil"/>
              <w:left w:val="nil"/>
              <w:bottom w:val="single" w:sz="4" w:space="0" w:color="A6A6A6"/>
              <w:right w:val="single" w:sz="4" w:space="0" w:color="A6A6A6"/>
            </w:tcBorders>
            <w:shd w:val="clear" w:color="000000" w:fill="F2F2F2"/>
            <w:noWrap/>
            <w:vAlign w:val="center"/>
            <w:hideMark/>
          </w:tcPr>
          <w:p w14:paraId="2C67D841"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320401" w:rsidRPr="00D37AFE" w14:paraId="75E88E31" w14:textId="77777777" w:rsidTr="005670EB">
        <w:trPr>
          <w:trHeight w:val="279"/>
        </w:trPr>
        <w:tc>
          <w:tcPr>
            <w:tcW w:w="1446" w:type="dxa"/>
            <w:tcBorders>
              <w:top w:val="nil"/>
              <w:left w:val="single" w:sz="4" w:space="0" w:color="A6A6A6"/>
              <w:bottom w:val="single" w:sz="4" w:space="0" w:color="A6A6A6"/>
              <w:right w:val="single" w:sz="4" w:space="0" w:color="A6A6A6"/>
            </w:tcBorders>
            <w:shd w:val="clear" w:color="000000" w:fill="F2F2F2"/>
            <w:vAlign w:val="center"/>
            <w:hideMark/>
          </w:tcPr>
          <w:p w14:paraId="7A1FE4F1"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38" w:type="dxa"/>
            <w:gridSpan w:val="2"/>
            <w:tcBorders>
              <w:top w:val="single" w:sz="4" w:space="0" w:color="A6A6A6"/>
              <w:left w:val="nil"/>
              <w:bottom w:val="single" w:sz="4" w:space="0" w:color="A6A6A6"/>
              <w:right w:val="single" w:sz="4" w:space="0" w:color="A6A6A6"/>
            </w:tcBorders>
            <w:shd w:val="clear" w:color="auto" w:fill="auto"/>
            <w:vAlign w:val="center"/>
            <w:hideMark/>
          </w:tcPr>
          <w:p w14:paraId="349EF26E"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37" w:type="dxa"/>
            <w:tcBorders>
              <w:top w:val="nil"/>
              <w:left w:val="nil"/>
              <w:bottom w:val="single" w:sz="4" w:space="0" w:color="A6A6A6"/>
              <w:right w:val="single" w:sz="4" w:space="0" w:color="A6A6A6"/>
            </w:tcBorders>
            <w:shd w:val="clear" w:color="000000" w:fill="F2F2F2"/>
            <w:noWrap/>
            <w:vAlign w:val="bottom"/>
            <w:hideMark/>
          </w:tcPr>
          <w:p w14:paraId="50C7299F"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33.33%</w:t>
            </w:r>
          </w:p>
        </w:tc>
        <w:tc>
          <w:tcPr>
            <w:tcW w:w="1190" w:type="dxa"/>
            <w:tcBorders>
              <w:top w:val="nil"/>
              <w:left w:val="nil"/>
              <w:bottom w:val="single" w:sz="4" w:space="0" w:color="A6A6A6"/>
              <w:right w:val="single" w:sz="4" w:space="0" w:color="A6A6A6"/>
            </w:tcBorders>
            <w:shd w:val="clear" w:color="000000" w:fill="F2F2F2"/>
            <w:noWrap/>
            <w:vAlign w:val="bottom"/>
            <w:hideMark/>
          </w:tcPr>
          <w:p w14:paraId="0394936E"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r>
      <w:tr w:rsidR="00320401" w:rsidRPr="00D37AFE" w14:paraId="569F24E0" w14:textId="77777777" w:rsidTr="005670EB">
        <w:trPr>
          <w:trHeight w:val="279"/>
        </w:trPr>
        <w:tc>
          <w:tcPr>
            <w:tcW w:w="1446" w:type="dxa"/>
            <w:tcBorders>
              <w:top w:val="nil"/>
              <w:left w:val="single" w:sz="4" w:space="0" w:color="A6A6A6"/>
              <w:bottom w:val="single" w:sz="4" w:space="0" w:color="A6A6A6"/>
              <w:right w:val="single" w:sz="4" w:space="0" w:color="A6A6A6"/>
            </w:tcBorders>
            <w:shd w:val="clear" w:color="000000" w:fill="F2F2F2"/>
            <w:vAlign w:val="center"/>
            <w:hideMark/>
          </w:tcPr>
          <w:p w14:paraId="75A3E695"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38" w:type="dxa"/>
            <w:gridSpan w:val="2"/>
            <w:tcBorders>
              <w:top w:val="single" w:sz="4" w:space="0" w:color="A6A6A6"/>
              <w:left w:val="nil"/>
              <w:bottom w:val="single" w:sz="4" w:space="0" w:color="A6A6A6"/>
              <w:right w:val="single" w:sz="4" w:space="0" w:color="A6A6A6"/>
            </w:tcBorders>
            <w:shd w:val="clear" w:color="auto" w:fill="auto"/>
            <w:vAlign w:val="center"/>
            <w:hideMark/>
          </w:tcPr>
          <w:p w14:paraId="2BD1DAD7"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37" w:type="dxa"/>
            <w:tcBorders>
              <w:top w:val="nil"/>
              <w:left w:val="nil"/>
              <w:bottom w:val="single" w:sz="4" w:space="0" w:color="A6A6A6"/>
              <w:right w:val="single" w:sz="4" w:space="0" w:color="A6A6A6"/>
            </w:tcBorders>
            <w:shd w:val="clear" w:color="000000" w:fill="F2F2F2"/>
            <w:noWrap/>
            <w:vAlign w:val="bottom"/>
            <w:hideMark/>
          </w:tcPr>
          <w:p w14:paraId="2CC5358F"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66.67%</w:t>
            </w:r>
          </w:p>
        </w:tc>
        <w:tc>
          <w:tcPr>
            <w:tcW w:w="1190" w:type="dxa"/>
            <w:tcBorders>
              <w:top w:val="nil"/>
              <w:left w:val="nil"/>
              <w:bottom w:val="single" w:sz="4" w:space="0" w:color="A6A6A6"/>
              <w:right w:val="single" w:sz="4" w:space="0" w:color="A6A6A6"/>
            </w:tcBorders>
            <w:shd w:val="clear" w:color="000000" w:fill="F2F2F2"/>
            <w:noWrap/>
            <w:vAlign w:val="bottom"/>
            <w:hideMark/>
          </w:tcPr>
          <w:p w14:paraId="24A4856B"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6</w:t>
            </w:r>
          </w:p>
        </w:tc>
      </w:tr>
      <w:tr w:rsidR="00320401" w:rsidRPr="00D37AFE" w14:paraId="5554BD06" w14:textId="77777777" w:rsidTr="005670EB">
        <w:trPr>
          <w:trHeight w:val="279"/>
        </w:trPr>
        <w:tc>
          <w:tcPr>
            <w:tcW w:w="1446" w:type="dxa"/>
            <w:tcBorders>
              <w:top w:val="nil"/>
              <w:left w:val="single" w:sz="4" w:space="0" w:color="A6A6A6"/>
              <w:bottom w:val="single" w:sz="4" w:space="0" w:color="A6A6A6"/>
              <w:right w:val="single" w:sz="4" w:space="0" w:color="A6A6A6"/>
            </w:tcBorders>
            <w:shd w:val="clear" w:color="000000" w:fill="F2F2F2"/>
            <w:vAlign w:val="center"/>
            <w:hideMark/>
          </w:tcPr>
          <w:p w14:paraId="32567866"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38" w:type="dxa"/>
            <w:gridSpan w:val="2"/>
            <w:tcBorders>
              <w:top w:val="single" w:sz="4" w:space="0" w:color="A6A6A6"/>
              <w:left w:val="nil"/>
              <w:bottom w:val="single" w:sz="4" w:space="0" w:color="A6A6A6"/>
              <w:right w:val="single" w:sz="4" w:space="0" w:color="A6A6A6"/>
            </w:tcBorders>
            <w:shd w:val="clear" w:color="auto" w:fill="auto"/>
            <w:vAlign w:val="center"/>
            <w:hideMark/>
          </w:tcPr>
          <w:p w14:paraId="3A559E6C"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37" w:type="dxa"/>
            <w:tcBorders>
              <w:top w:val="nil"/>
              <w:left w:val="nil"/>
              <w:bottom w:val="single" w:sz="4" w:space="0" w:color="A6A6A6"/>
              <w:right w:val="single" w:sz="4" w:space="0" w:color="A6A6A6"/>
            </w:tcBorders>
            <w:shd w:val="clear" w:color="000000" w:fill="F2F2F2"/>
            <w:noWrap/>
            <w:vAlign w:val="bottom"/>
            <w:hideMark/>
          </w:tcPr>
          <w:p w14:paraId="01AB6603"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0.00%</w:t>
            </w:r>
          </w:p>
        </w:tc>
        <w:tc>
          <w:tcPr>
            <w:tcW w:w="1190" w:type="dxa"/>
            <w:tcBorders>
              <w:top w:val="nil"/>
              <w:left w:val="nil"/>
              <w:bottom w:val="single" w:sz="4" w:space="0" w:color="A6A6A6"/>
              <w:right w:val="single" w:sz="4" w:space="0" w:color="A6A6A6"/>
            </w:tcBorders>
            <w:shd w:val="clear" w:color="000000" w:fill="F2F2F2"/>
            <w:noWrap/>
            <w:vAlign w:val="bottom"/>
            <w:hideMark/>
          </w:tcPr>
          <w:p w14:paraId="27752D39"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w:t>
            </w:r>
          </w:p>
        </w:tc>
      </w:tr>
      <w:tr w:rsidR="00320401" w:rsidRPr="00D37AFE" w14:paraId="59E8461D" w14:textId="77777777" w:rsidTr="005670EB">
        <w:trPr>
          <w:trHeight w:val="279"/>
        </w:trPr>
        <w:tc>
          <w:tcPr>
            <w:tcW w:w="4052"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2EE46D71"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32" w:type="dxa"/>
            <w:tcBorders>
              <w:top w:val="nil"/>
              <w:left w:val="nil"/>
              <w:bottom w:val="single" w:sz="4" w:space="0" w:color="A6A6A6"/>
              <w:right w:val="single" w:sz="4" w:space="0" w:color="A6A6A6"/>
            </w:tcBorders>
            <w:shd w:val="clear" w:color="000000" w:fill="F2F2F2"/>
            <w:vAlign w:val="center"/>
            <w:hideMark/>
          </w:tcPr>
          <w:p w14:paraId="0C474EDD"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37" w:type="dxa"/>
            <w:tcBorders>
              <w:top w:val="nil"/>
              <w:left w:val="nil"/>
              <w:bottom w:val="single" w:sz="4" w:space="0" w:color="A6A6A6"/>
              <w:right w:val="single" w:sz="4" w:space="0" w:color="A6A6A6"/>
            </w:tcBorders>
            <w:shd w:val="clear" w:color="000000" w:fill="F2F2F2"/>
            <w:noWrap/>
            <w:vAlign w:val="bottom"/>
            <w:hideMark/>
          </w:tcPr>
          <w:p w14:paraId="26A91A5A"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190" w:type="dxa"/>
            <w:tcBorders>
              <w:top w:val="nil"/>
              <w:left w:val="nil"/>
              <w:bottom w:val="single" w:sz="4" w:space="0" w:color="A6A6A6"/>
              <w:right w:val="single" w:sz="4" w:space="0" w:color="A6A6A6"/>
            </w:tcBorders>
            <w:shd w:val="clear" w:color="000000" w:fill="F2F2F2"/>
            <w:noWrap/>
            <w:vAlign w:val="bottom"/>
            <w:hideMark/>
          </w:tcPr>
          <w:p w14:paraId="4064ACA9"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p w14:paraId="7140B18C"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p>
        </w:tc>
      </w:tr>
      <w:tr w:rsidR="00320401" w:rsidRPr="00D37AFE" w14:paraId="6570779E" w14:textId="77777777" w:rsidTr="005670EB">
        <w:trPr>
          <w:trHeight w:val="279"/>
        </w:trPr>
        <w:tc>
          <w:tcPr>
            <w:tcW w:w="4052" w:type="dxa"/>
            <w:gridSpan w:val="2"/>
            <w:vMerge/>
            <w:tcBorders>
              <w:top w:val="single" w:sz="4" w:space="0" w:color="A6A6A6"/>
              <w:left w:val="single" w:sz="4" w:space="0" w:color="A6A6A6"/>
              <w:bottom w:val="single" w:sz="4" w:space="0" w:color="A6A6A6"/>
              <w:right w:val="single" w:sz="4" w:space="0" w:color="A6A6A6"/>
            </w:tcBorders>
            <w:vAlign w:val="center"/>
            <w:hideMark/>
          </w:tcPr>
          <w:p w14:paraId="3ED6A2EC" w14:textId="77777777" w:rsidR="00320401" w:rsidRPr="00D37AFE" w:rsidRDefault="00320401" w:rsidP="005670EB">
            <w:pPr>
              <w:spacing w:after="0" w:line="240" w:lineRule="auto"/>
              <w:rPr>
                <w:rFonts w:ascii="Arial" w:eastAsia="Times New Roman" w:hAnsi="Arial" w:cs="Arial"/>
                <w:b/>
                <w:bCs/>
                <w:color w:val="000000"/>
                <w:sz w:val="24"/>
                <w:szCs w:val="24"/>
                <w:lang w:eastAsia="en-GB"/>
              </w:rPr>
            </w:pPr>
          </w:p>
        </w:tc>
        <w:tc>
          <w:tcPr>
            <w:tcW w:w="1732" w:type="dxa"/>
            <w:tcBorders>
              <w:top w:val="nil"/>
              <w:left w:val="nil"/>
              <w:bottom w:val="single" w:sz="4" w:space="0" w:color="A6A6A6"/>
              <w:right w:val="single" w:sz="4" w:space="0" w:color="A6A6A6"/>
            </w:tcBorders>
            <w:shd w:val="clear" w:color="000000" w:fill="F2F2F2"/>
            <w:vAlign w:val="center"/>
            <w:hideMark/>
          </w:tcPr>
          <w:p w14:paraId="4B351026"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37" w:type="dxa"/>
            <w:tcBorders>
              <w:top w:val="nil"/>
              <w:left w:val="nil"/>
              <w:bottom w:val="single" w:sz="4" w:space="0" w:color="A6A6A6"/>
              <w:right w:val="single" w:sz="4" w:space="0" w:color="A6A6A6"/>
            </w:tcBorders>
            <w:shd w:val="clear" w:color="000000" w:fill="F2F2F2"/>
            <w:noWrap/>
            <w:vAlign w:val="bottom"/>
            <w:hideMark/>
          </w:tcPr>
          <w:p w14:paraId="4DB96888"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190" w:type="dxa"/>
            <w:tcBorders>
              <w:top w:val="nil"/>
              <w:left w:val="nil"/>
              <w:bottom w:val="single" w:sz="4" w:space="0" w:color="A6A6A6"/>
              <w:right w:val="single" w:sz="4" w:space="0" w:color="A6A6A6"/>
            </w:tcBorders>
            <w:shd w:val="clear" w:color="000000" w:fill="F2F2F2"/>
            <w:noWrap/>
            <w:vAlign w:val="bottom"/>
            <w:hideMark/>
          </w:tcPr>
          <w:p w14:paraId="5CEC045E"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bl>
    <w:p w14:paraId="26A9D0B3" w14:textId="77777777" w:rsidR="00320401" w:rsidRPr="00D37AFE" w:rsidRDefault="00320401" w:rsidP="00320401">
      <w:pPr>
        <w:spacing w:after="0" w:line="240" w:lineRule="auto"/>
        <w:contextualSpacing/>
        <w:rPr>
          <w:rFonts w:ascii="Arial" w:hAnsi="Arial" w:cs="Arial"/>
          <w:b/>
          <w:sz w:val="24"/>
          <w:szCs w:val="24"/>
        </w:rPr>
      </w:pPr>
    </w:p>
    <w:p w14:paraId="5BB836DF" w14:textId="77777777" w:rsidR="00320401" w:rsidRPr="00D37AFE" w:rsidRDefault="00320401" w:rsidP="00320401">
      <w:pPr>
        <w:spacing w:after="0" w:line="240" w:lineRule="auto"/>
        <w:contextualSpacing/>
        <w:rPr>
          <w:rFonts w:ascii="Arial" w:hAnsi="Arial" w:cs="Arial"/>
          <w:b/>
          <w:sz w:val="24"/>
          <w:szCs w:val="24"/>
        </w:rPr>
      </w:pPr>
    </w:p>
    <w:p w14:paraId="451DECAB" w14:textId="77777777" w:rsidR="00320401" w:rsidRPr="00D37AFE" w:rsidRDefault="00320401" w:rsidP="00320401">
      <w:pPr>
        <w:spacing w:after="0" w:line="240" w:lineRule="auto"/>
        <w:contextualSpacing/>
        <w:rPr>
          <w:rFonts w:ascii="Arial" w:hAnsi="Arial" w:cs="Arial"/>
          <w:b/>
          <w:sz w:val="24"/>
          <w:szCs w:val="24"/>
        </w:rPr>
      </w:pPr>
      <w:r w:rsidRPr="00D37AFE">
        <w:rPr>
          <w:rFonts w:ascii="Arial" w:hAnsi="Arial" w:cs="Arial"/>
          <w:b/>
          <w:sz w:val="24"/>
          <w:szCs w:val="24"/>
        </w:rPr>
        <w:t>Comments</w:t>
      </w:r>
    </w:p>
    <w:p w14:paraId="280D25ED" w14:textId="77777777" w:rsidR="00320401" w:rsidRPr="00D37AFE" w:rsidRDefault="00320401" w:rsidP="00320401">
      <w:pPr>
        <w:autoSpaceDE w:val="0"/>
        <w:autoSpaceDN w:val="0"/>
        <w:adjustRightInd w:val="0"/>
        <w:spacing w:after="0" w:line="240" w:lineRule="auto"/>
        <w:ind w:left="360"/>
        <w:jc w:val="both"/>
        <w:rPr>
          <w:rFonts w:ascii="Arial" w:hAnsi="Arial" w:cs="Arial"/>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320401" w:rsidRPr="00D37AFE" w14:paraId="6AB8046B" w14:textId="77777777" w:rsidTr="005670EB">
        <w:tc>
          <w:tcPr>
            <w:tcW w:w="0" w:type="auto"/>
            <w:shd w:val="clear" w:color="auto" w:fill="FFFFFF"/>
            <w:tcMar>
              <w:top w:w="75" w:type="dxa"/>
              <w:left w:w="75" w:type="dxa"/>
              <w:bottom w:w="75" w:type="dxa"/>
              <w:right w:w="75" w:type="dxa"/>
            </w:tcMar>
            <w:hideMark/>
          </w:tcPr>
          <w:p w14:paraId="1B74CBB8" w14:textId="77777777" w:rsidR="00320401" w:rsidRPr="00D37AFE" w:rsidRDefault="00320401" w:rsidP="00320401">
            <w:pPr>
              <w:pStyle w:val="ListParagraph"/>
              <w:numPr>
                <w:ilvl w:val="0"/>
                <w:numId w:val="207"/>
              </w:numPr>
              <w:spacing w:after="0" w:line="240" w:lineRule="auto"/>
              <w:rPr>
                <w:rFonts w:ascii="Arial" w:hAnsi="Arial" w:cs="Arial"/>
                <w:bCs/>
                <w:sz w:val="24"/>
                <w:szCs w:val="24"/>
              </w:rPr>
            </w:pPr>
            <w:r w:rsidRPr="00D37AFE">
              <w:rPr>
                <w:rFonts w:ascii="Arial" w:hAnsi="Arial" w:cs="Arial"/>
                <w:bCs/>
                <w:sz w:val="24"/>
                <w:szCs w:val="24"/>
              </w:rPr>
              <w:t>There is currently a new primary care contract in negotiation and until this is released it would be difficult to know whether the current provision would meet the new contract needs.</w:t>
            </w:r>
          </w:p>
        </w:tc>
      </w:tr>
      <w:tr w:rsidR="00320401" w:rsidRPr="00D37AFE" w14:paraId="631F4D91" w14:textId="77777777" w:rsidTr="005670EB">
        <w:tc>
          <w:tcPr>
            <w:tcW w:w="0" w:type="auto"/>
            <w:shd w:val="clear" w:color="auto" w:fill="FFFFFF"/>
            <w:tcMar>
              <w:top w:w="75" w:type="dxa"/>
              <w:left w:w="75" w:type="dxa"/>
              <w:bottom w:w="75" w:type="dxa"/>
              <w:right w:w="75" w:type="dxa"/>
            </w:tcMar>
            <w:hideMark/>
          </w:tcPr>
          <w:p w14:paraId="308E6E04" w14:textId="77777777" w:rsidR="00320401" w:rsidRPr="00D37AFE" w:rsidRDefault="00320401" w:rsidP="00320401">
            <w:pPr>
              <w:pStyle w:val="ListParagraph"/>
              <w:numPr>
                <w:ilvl w:val="0"/>
                <w:numId w:val="207"/>
              </w:numPr>
              <w:spacing w:after="0" w:line="240" w:lineRule="auto"/>
              <w:rPr>
                <w:rFonts w:ascii="Arial" w:hAnsi="Arial" w:cs="Arial"/>
                <w:bCs/>
                <w:sz w:val="24"/>
                <w:szCs w:val="24"/>
              </w:rPr>
            </w:pPr>
            <w:r w:rsidRPr="00D37AFE">
              <w:rPr>
                <w:rFonts w:ascii="Arial" w:hAnsi="Arial" w:cs="Arial"/>
                <w:bCs/>
                <w:sz w:val="24"/>
                <w:szCs w:val="24"/>
              </w:rPr>
              <w:lastRenderedPageBreak/>
              <w:t>See previous statements about the failure of the pharmacies in [X] to cope with the demands of the current local population and lack of capacity to provide provision for the extensive new houses that are being built in and around [X].</w:t>
            </w:r>
          </w:p>
        </w:tc>
      </w:tr>
      <w:tr w:rsidR="00320401" w:rsidRPr="00D37AFE" w14:paraId="7E6A8C36" w14:textId="77777777" w:rsidTr="005670EB">
        <w:tc>
          <w:tcPr>
            <w:tcW w:w="0" w:type="auto"/>
            <w:shd w:val="clear" w:color="auto" w:fill="FFFFFF"/>
            <w:tcMar>
              <w:top w:w="75" w:type="dxa"/>
              <w:left w:w="75" w:type="dxa"/>
              <w:bottom w:w="75" w:type="dxa"/>
              <w:right w:w="75" w:type="dxa"/>
            </w:tcMar>
            <w:hideMark/>
          </w:tcPr>
          <w:p w14:paraId="42EFA3C5" w14:textId="77777777" w:rsidR="00320401" w:rsidRPr="00D37AFE" w:rsidRDefault="00320401" w:rsidP="00320401">
            <w:pPr>
              <w:pStyle w:val="ListParagraph"/>
              <w:numPr>
                <w:ilvl w:val="0"/>
                <w:numId w:val="207"/>
              </w:numPr>
              <w:spacing w:after="0" w:line="240" w:lineRule="auto"/>
              <w:rPr>
                <w:rFonts w:ascii="Arial" w:hAnsi="Arial" w:cs="Arial"/>
                <w:bCs/>
                <w:sz w:val="24"/>
                <w:szCs w:val="24"/>
              </w:rPr>
            </w:pPr>
            <w:r w:rsidRPr="00D37AFE">
              <w:rPr>
                <w:rFonts w:ascii="Arial" w:hAnsi="Arial" w:cs="Arial"/>
                <w:bCs/>
                <w:sz w:val="24"/>
                <w:szCs w:val="24"/>
              </w:rPr>
              <w:t xml:space="preserve">There is definate need for more pharmacies in the VOG western cluster to support the growing demand of the area and bolster the current pharmacies that are struggling under the pressure which has not been highlighted within the assessment. I find it hard to believe that no additional support would be needed with the planned growth in this area with the pharmacies current situation. </w:t>
            </w:r>
          </w:p>
        </w:tc>
      </w:tr>
      <w:tr w:rsidR="00320401" w:rsidRPr="00D37AFE" w14:paraId="72BF2B8C" w14:textId="77777777" w:rsidTr="005670EB">
        <w:tc>
          <w:tcPr>
            <w:tcW w:w="0" w:type="auto"/>
            <w:shd w:val="clear" w:color="auto" w:fill="FFFFFF"/>
            <w:tcMar>
              <w:top w:w="75" w:type="dxa"/>
              <w:left w:w="75" w:type="dxa"/>
              <w:bottom w:w="75" w:type="dxa"/>
              <w:right w:w="75" w:type="dxa"/>
            </w:tcMar>
            <w:hideMark/>
          </w:tcPr>
          <w:p w14:paraId="5891F70A" w14:textId="77777777" w:rsidR="00320401" w:rsidRPr="00D37AFE" w:rsidRDefault="00320401" w:rsidP="00320401">
            <w:pPr>
              <w:pStyle w:val="ListParagraph"/>
              <w:numPr>
                <w:ilvl w:val="0"/>
                <w:numId w:val="207"/>
              </w:numPr>
              <w:spacing w:after="0" w:line="240" w:lineRule="auto"/>
              <w:rPr>
                <w:rFonts w:ascii="Arial" w:hAnsi="Arial" w:cs="Arial"/>
                <w:bCs/>
                <w:sz w:val="24"/>
                <w:szCs w:val="24"/>
              </w:rPr>
            </w:pPr>
            <w:r w:rsidRPr="00D37AFE">
              <w:rPr>
                <w:rFonts w:ascii="Arial" w:hAnsi="Arial" w:cs="Arial"/>
                <w:bCs/>
                <w:sz w:val="24"/>
                <w:szCs w:val="24"/>
              </w:rPr>
              <w:t xml:space="preserve">I think it is only future pharmaceutical service provision planning for pharmacies that is relevant as that is where the volume is. </w:t>
            </w:r>
            <w:r w:rsidRPr="00D37AFE">
              <w:rPr>
                <w:rFonts w:ascii="Arial" w:hAnsi="Arial" w:cs="Arial"/>
                <w:bCs/>
                <w:sz w:val="24"/>
                <w:szCs w:val="24"/>
              </w:rPr>
              <w:br/>
              <w:t>Certainly I can see nothing much on how contractors should plan ahead. For example given the known volume of housing increase that will occur, and the consequent increase in average dispensing need, could pharmacies be liaised with to ensure that locally they will be able to absorb the increased activity?</w:t>
            </w:r>
            <w:r w:rsidRPr="00D37AFE">
              <w:rPr>
                <w:rFonts w:ascii="Arial" w:hAnsi="Arial" w:cs="Arial"/>
                <w:bCs/>
                <w:sz w:val="24"/>
                <w:szCs w:val="24"/>
              </w:rPr>
              <w:br/>
              <w:t>Clearly a conversation would have to occur if they could not.</w:t>
            </w:r>
            <w:r w:rsidRPr="00D37AFE">
              <w:rPr>
                <w:rFonts w:ascii="Arial" w:hAnsi="Arial" w:cs="Arial"/>
                <w:bCs/>
                <w:sz w:val="24"/>
                <w:szCs w:val="24"/>
              </w:rPr>
              <w:br/>
              <w:t>It strikes me that hasn't been done, but apologies if I'm wrong.</w:t>
            </w:r>
          </w:p>
        </w:tc>
      </w:tr>
      <w:tr w:rsidR="00320401" w:rsidRPr="00D37AFE" w14:paraId="4FF75B5A" w14:textId="77777777" w:rsidTr="005670EB">
        <w:tc>
          <w:tcPr>
            <w:tcW w:w="0" w:type="auto"/>
            <w:shd w:val="clear" w:color="auto" w:fill="FFFFFF"/>
            <w:tcMar>
              <w:top w:w="75" w:type="dxa"/>
              <w:left w:w="75" w:type="dxa"/>
              <w:bottom w:w="75" w:type="dxa"/>
              <w:right w:w="75" w:type="dxa"/>
            </w:tcMar>
            <w:hideMark/>
          </w:tcPr>
          <w:p w14:paraId="2AF68FCC" w14:textId="77777777" w:rsidR="00320401" w:rsidRPr="00D37AFE" w:rsidRDefault="00320401" w:rsidP="00320401">
            <w:pPr>
              <w:pStyle w:val="ListParagraph"/>
              <w:numPr>
                <w:ilvl w:val="0"/>
                <w:numId w:val="207"/>
              </w:numPr>
              <w:spacing w:after="0" w:line="240" w:lineRule="auto"/>
              <w:rPr>
                <w:rFonts w:ascii="Arial" w:hAnsi="Arial" w:cs="Arial"/>
                <w:bCs/>
                <w:sz w:val="24"/>
                <w:szCs w:val="24"/>
              </w:rPr>
            </w:pPr>
            <w:r w:rsidRPr="00D37AFE">
              <w:rPr>
                <w:rFonts w:ascii="Arial" w:hAnsi="Arial" w:cs="Arial"/>
                <w:bCs/>
                <w:sz w:val="24"/>
                <w:szCs w:val="24"/>
              </w:rPr>
              <w:t>Again with the overriding conclusion of "no gaps" the PNA remains in favour of status quo and stagnation rather than offering opportunity for development and enhancement of pharmaceutical services - not only to meet the needs of a growing population but also to widen and strengthen the professional services that community pharmacists could offer.</w:t>
            </w:r>
          </w:p>
        </w:tc>
      </w:tr>
      <w:tr w:rsidR="00320401" w:rsidRPr="00D37AFE" w14:paraId="4ECA6CF4" w14:textId="77777777" w:rsidTr="005670EB">
        <w:tc>
          <w:tcPr>
            <w:tcW w:w="0" w:type="auto"/>
            <w:shd w:val="clear" w:color="auto" w:fill="FFFFFF"/>
            <w:tcMar>
              <w:top w:w="75" w:type="dxa"/>
              <w:left w:w="75" w:type="dxa"/>
              <w:bottom w:w="75" w:type="dxa"/>
              <w:right w:w="75" w:type="dxa"/>
            </w:tcMar>
            <w:hideMark/>
          </w:tcPr>
          <w:p w14:paraId="5F786828" w14:textId="77777777" w:rsidR="00320401" w:rsidRPr="00D37AFE" w:rsidRDefault="00320401" w:rsidP="00320401">
            <w:pPr>
              <w:pStyle w:val="ListParagraph"/>
              <w:numPr>
                <w:ilvl w:val="0"/>
                <w:numId w:val="207"/>
              </w:numPr>
              <w:spacing w:after="0" w:line="240" w:lineRule="auto"/>
              <w:rPr>
                <w:rFonts w:ascii="Arial" w:hAnsi="Arial" w:cs="Arial"/>
                <w:bCs/>
                <w:sz w:val="24"/>
                <w:szCs w:val="24"/>
              </w:rPr>
            </w:pPr>
            <w:r w:rsidRPr="00D37AFE">
              <w:rPr>
                <w:rFonts w:ascii="Arial" w:hAnsi="Arial" w:cs="Arial"/>
                <w:bCs/>
                <w:sz w:val="24"/>
                <w:szCs w:val="24"/>
              </w:rPr>
              <w:t xml:space="preserve">This document does no way provide enough information to inform future pharmaceutical services provision. </w:t>
            </w:r>
            <w:r w:rsidRPr="00D37AFE">
              <w:rPr>
                <w:rFonts w:ascii="Arial" w:hAnsi="Arial" w:cs="Arial"/>
                <w:bCs/>
                <w:sz w:val="24"/>
                <w:szCs w:val="24"/>
              </w:rPr>
              <w:br/>
              <w:t xml:space="preserve">The patient questionnaire survey 311 patients of the 500,000 population. (0.06% of the population) so not really a true reflection. </w:t>
            </w:r>
            <w:r w:rsidRPr="00D37AFE">
              <w:rPr>
                <w:rFonts w:ascii="Arial" w:hAnsi="Arial" w:cs="Arial"/>
                <w:bCs/>
                <w:sz w:val="24"/>
                <w:szCs w:val="24"/>
              </w:rPr>
              <w:br/>
              <w:t xml:space="preserve">There is no mention of any future service provisions. </w:t>
            </w:r>
            <w:r w:rsidRPr="00D37AFE">
              <w:rPr>
                <w:rFonts w:ascii="Arial" w:hAnsi="Arial" w:cs="Arial"/>
                <w:bCs/>
                <w:sz w:val="24"/>
                <w:szCs w:val="24"/>
              </w:rPr>
              <w:br/>
              <w:t>A contractor survey was sent out to contractors. However, there was NO supporting documentation to base answers on.</w:t>
            </w:r>
            <w:r w:rsidRPr="00D37AFE">
              <w:rPr>
                <w:rFonts w:ascii="Arial" w:hAnsi="Arial" w:cs="Arial"/>
                <w:bCs/>
                <w:sz w:val="24"/>
                <w:szCs w:val="24"/>
              </w:rPr>
              <w:br/>
              <w:t>When asked about capacity:</w:t>
            </w:r>
            <w:r w:rsidRPr="00D37AFE">
              <w:rPr>
                <w:rFonts w:ascii="Arial" w:hAnsi="Arial" w:cs="Arial"/>
                <w:bCs/>
                <w:sz w:val="24"/>
                <w:szCs w:val="24"/>
              </w:rPr>
              <w:br/>
              <w:t xml:space="preserve">“The demand for pharmaceutical services in general is increasing. Thinking of your pharmacy do you: </w:t>
            </w:r>
            <w:r w:rsidRPr="00D37AFE">
              <w:rPr>
                <w:rFonts w:ascii="Arial" w:hAnsi="Arial" w:cs="Arial"/>
                <w:bCs/>
                <w:sz w:val="24"/>
                <w:szCs w:val="24"/>
              </w:rPr>
              <w:br/>
              <w:t>I accept the majority answered:</w:t>
            </w:r>
            <w:r w:rsidRPr="00D37AFE">
              <w:rPr>
                <w:rFonts w:ascii="Arial" w:hAnsi="Arial" w:cs="Arial"/>
                <w:bCs/>
                <w:sz w:val="24"/>
                <w:szCs w:val="24"/>
              </w:rPr>
              <w:br/>
              <w:t>Have sufficient capacity within your existing premises and staffing levels to manage the increase in demand in your area?”</w:t>
            </w:r>
            <w:r w:rsidRPr="00D37AFE">
              <w:rPr>
                <w:rFonts w:ascii="Arial" w:hAnsi="Arial" w:cs="Arial"/>
                <w:bCs/>
                <w:sz w:val="24"/>
                <w:szCs w:val="24"/>
              </w:rPr>
              <w:br/>
              <w:t xml:space="preserve">This can only be answered however if the respondent has knowledge of the subject and the scale. </w:t>
            </w:r>
            <w:r w:rsidRPr="00D37AFE">
              <w:rPr>
                <w:rFonts w:ascii="Arial" w:hAnsi="Arial" w:cs="Arial"/>
                <w:bCs/>
                <w:sz w:val="24"/>
                <w:szCs w:val="24"/>
              </w:rPr>
              <w:br/>
              <w:t xml:space="preserve">With no supporting documentation I personally do not feel contractors understand all the new developments in their area and scale of the Cardiff LDP that effects localised areas. </w:t>
            </w:r>
            <w:r w:rsidRPr="00D37AFE">
              <w:rPr>
                <w:rFonts w:ascii="Arial" w:hAnsi="Arial" w:cs="Arial"/>
                <w:bCs/>
                <w:sz w:val="24"/>
                <w:szCs w:val="24"/>
              </w:rPr>
              <w:br/>
              <w:t xml:space="preserve">The document itself does not correctly acknowledge the issue. </w:t>
            </w:r>
            <w:r w:rsidRPr="00D37AFE">
              <w:rPr>
                <w:rFonts w:ascii="Arial" w:hAnsi="Arial" w:cs="Arial"/>
                <w:bCs/>
                <w:sz w:val="24"/>
                <w:szCs w:val="24"/>
              </w:rPr>
              <w:br/>
              <w:t xml:space="preserve">North Cardiff cluster’s opening statement (as with all clusters) states </w:t>
            </w:r>
            <w:r w:rsidRPr="00D37AFE">
              <w:rPr>
                <w:rFonts w:ascii="Arial" w:hAnsi="Arial" w:cs="Arial"/>
                <w:bCs/>
                <w:sz w:val="24"/>
                <w:szCs w:val="24"/>
              </w:rPr>
              <w:br/>
              <w:t xml:space="preserve">“population of Cardiff is projected to increase by up to 3.2%”and “the increase in population will mainly be driven by natural change i.e. more </w:t>
            </w:r>
            <w:r w:rsidRPr="00D37AFE">
              <w:rPr>
                <w:rFonts w:ascii="Arial" w:hAnsi="Arial" w:cs="Arial"/>
                <w:bCs/>
                <w:sz w:val="24"/>
                <w:szCs w:val="24"/>
              </w:rPr>
              <w:lastRenderedPageBreak/>
              <w:t xml:space="preserve">births than deaths and a smaller proportion of the increase will be due to net migration i.e. more people moving into the area than out.” </w:t>
            </w:r>
            <w:r w:rsidRPr="00D37AFE">
              <w:rPr>
                <w:rFonts w:ascii="Arial" w:hAnsi="Arial" w:cs="Arial"/>
                <w:bCs/>
                <w:sz w:val="24"/>
                <w:szCs w:val="24"/>
              </w:rPr>
              <w:br/>
              <w:t xml:space="preserve">This would lead the reader to assume that that this is the case in North Cardiff. </w:t>
            </w:r>
            <w:r w:rsidRPr="00D37AFE">
              <w:rPr>
                <w:rFonts w:ascii="Arial" w:hAnsi="Arial" w:cs="Arial"/>
                <w:bCs/>
                <w:sz w:val="24"/>
                <w:szCs w:val="24"/>
              </w:rPr>
              <w:br/>
              <w:t>However further on the document they acknowledge the building of 5,800 new homes in the cluster with an expected population of 2.3 per new home. This is a population rise of approximately 13,340 in a current cluster size of 107,230. (https://primarycareone.nhs.wales/files/cardiff-vale-uhb-resources/cluster-plans-and-reports/cardiff-north-cardiff-cluster-plan-2017-20-pdf/)</w:t>
            </w:r>
            <w:r w:rsidRPr="00D37AFE">
              <w:rPr>
                <w:rFonts w:ascii="Arial" w:hAnsi="Arial" w:cs="Arial"/>
                <w:bCs/>
                <w:sz w:val="24"/>
                <w:szCs w:val="24"/>
              </w:rPr>
              <w:br/>
              <w:t xml:space="preserve">This is a 12.4% rise?!?! This also does not consider the other developments expected in the North Cardiff cluster which can be found on the Cardiff council website. This includes an application for the redevelopment of the Cardiff tax office including 250 additional homes. Further development of the Lisvane Road area “Beaufort Gardens” (approved in the 1990s) for 35 homes, the development on the Travis Perkins site in Llanishen (121 new homes) and Pentland Close (82 apartments), Allensbank Road development (42 homes). Most of these developments have been designed for the elderly. They have also been designed with the aim to reduce car use with limited to no parking available. This therefore means new residents will be reliant on having pharmacy services within walking distance to them. </w:t>
            </w:r>
          </w:p>
          <w:p w14:paraId="2940A5EB" w14:textId="77777777" w:rsidR="00320401" w:rsidRPr="00D37AFE" w:rsidRDefault="00320401" w:rsidP="005670EB">
            <w:pPr>
              <w:pStyle w:val="ListParagraph"/>
              <w:spacing w:after="0" w:line="240" w:lineRule="auto"/>
              <w:rPr>
                <w:rFonts w:ascii="Arial" w:hAnsi="Arial" w:cs="Arial"/>
                <w:bCs/>
                <w:sz w:val="24"/>
                <w:szCs w:val="24"/>
              </w:rPr>
            </w:pPr>
          </w:p>
          <w:p w14:paraId="3029E49D" w14:textId="77777777" w:rsidR="00320401" w:rsidRPr="00D37AFE" w:rsidRDefault="00320401" w:rsidP="00320401">
            <w:pPr>
              <w:pStyle w:val="ListParagraph"/>
              <w:numPr>
                <w:ilvl w:val="0"/>
                <w:numId w:val="207"/>
              </w:numPr>
              <w:spacing w:after="0" w:line="240" w:lineRule="auto"/>
              <w:rPr>
                <w:rFonts w:ascii="Arial" w:hAnsi="Arial" w:cs="Arial"/>
                <w:bCs/>
                <w:sz w:val="24"/>
                <w:szCs w:val="24"/>
              </w:rPr>
            </w:pPr>
            <w:r w:rsidRPr="00D37AFE">
              <w:rPr>
                <w:rFonts w:ascii="Arial" w:hAnsi="Arial" w:cs="Arial"/>
                <w:bCs/>
                <w:sz w:val="24"/>
                <w:szCs w:val="24"/>
              </w:rPr>
              <w:t xml:space="preserve">In section 1.5.4 the PNA has assessed pharmacy contractors’ ability to increase capacity should there be an increase in demand for pharmaceutical services via the pharmacy contractor questionnaire (AWPD exercise). It clearly identifies that. </w:t>
            </w:r>
            <w:r w:rsidRPr="00D37AFE">
              <w:rPr>
                <w:rFonts w:ascii="Arial" w:hAnsi="Arial" w:cs="Arial"/>
                <w:bCs/>
                <w:i/>
                <w:iCs/>
                <w:sz w:val="24"/>
                <w:szCs w:val="24"/>
              </w:rPr>
              <w:t>“89% (94) of pharmacies have sufficient capacity within their existing premises and staffing levels to manage the increase in demand in the area and 8% (9) of pharmacies don’t have sufficient premises and staffing capacity at present but could make adjustments to manage the increase in demand in the area”.</w:t>
            </w:r>
            <w:r w:rsidRPr="00D37AFE">
              <w:rPr>
                <w:rFonts w:ascii="Arial" w:hAnsi="Arial" w:cs="Arial"/>
                <w:bCs/>
                <w:sz w:val="24"/>
                <w:szCs w:val="24"/>
              </w:rPr>
              <w:t xml:space="preserve"> </w:t>
            </w:r>
          </w:p>
          <w:p w14:paraId="5234365F" w14:textId="77777777" w:rsidR="00320401" w:rsidRPr="00D37AFE" w:rsidRDefault="00320401" w:rsidP="005670EB">
            <w:pPr>
              <w:pStyle w:val="ListParagraph"/>
              <w:spacing w:after="0" w:line="240" w:lineRule="auto"/>
              <w:rPr>
                <w:rFonts w:ascii="Arial" w:hAnsi="Arial" w:cs="Arial"/>
                <w:bCs/>
                <w:sz w:val="24"/>
                <w:szCs w:val="24"/>
              </w:rPr>
            </w:pPr>
          </w:p>
          <w:p w14:paraId="3816C476" w14:textId="77777777" w:rsidR="00320401" w:rsidRPr="00D37AFE" w:rsidRDefault="00320401" w:rsidP="005670EB">
            <w:pPr>
              <w:pStyle w:val="ListParagraph"/>
              <w:spacing w:after="0" w:line="240" w:lineRule="auto"/>
              <w:rPr>
                <w:rFonts w:ascii="Arial" w:hAnsi="Arial" w:cs="Arial"/>
                <w:bCs/>
                <w:sz w:val="24"/>
                <w:szCs w:val="24"/>
              </w:rPr>
            </w:pPr>
            <w:r w:rsidRPr="00D37AFE">
              <w:rPr>
                <w:rFonts w:ascii="Arial" w:hAnsi="Arial" w:cs="Arial"/>
                <w:bCs/>
                <w:sz w:val="24"/>
                <w:szCs w:val="24"/>
              </w:rPr>
              <w:t>The PNA has reviewed plans for new developments and GP premises and assessed these against the pharmacy contractor responses regarding capacity. This is detailed in the relevant Cluster Chapters.</w:t>
            </w:r>
          </w:p>
          <w:p w14:paraId="5C7BB690" w14:textId="77777777" w:rsidR="00320401" w:rsidRPr="00D37AFE" w:rsidRDefault="00320401" w:rsidP="005670EB">
            <w:pPr>
              <w:pStyle w:val="ListParagraph"/>
              <w:spacing w:after="0" w:line="240" w:lineRule="auto"/>
              <w:rPr>
                <w:rFonts w:ascii="Arial" w:hAnsi="Arial" w:cs="Arial"/>
                <w:bCs/>
                <w:sz w:val="24"/>
                <w:szCs w:val="24"/>
              </w:rPr>
            </w:pPr>
          </w:p>
          <w:p w14:paraId="11178809" w14:textId="77777777" w:rsidR="00320401" w:rsidRPr="00D37AFE" w:rsidRDefault="00320401" w:rsidP="005670EB">
            <w:pPr>
              <w:pStyle w:val="ListParagraph"/>
              <w:spacing w:after="0" w:line="240" w:lineRule="auto"/>
              <w:rPr>
                <w:rFonts w:ascii="Arial" w:hAnsi="Arial" w:cs="Arial"/>
                <w:bCs/>
                <w:sz w:val="24"/>
                <w:szCs w:val="24"/>
              </w:rPr>
            </w:pPr>
            <w:r w:rsidRPr="00D37AFE">
              <w:rPr>
                <w:rFonts w:ascii="Arial" w:hAnsi="Arial" w:cs="Arial"/>
                <w:bCs/>
                <w:sz w:val="24"/>
                <w:szCs w:val="24"/>
              </w:rPr>
              <w:t>The one Dispensing Doctor’s dispensing capacity was also assessed using the Dispensing Practice Questionnaire.</w:t>
            </w:r>
          </w:p>
        </w:tc>
      </w:tr>
    </w:tbl>
    <w:p w14:paraId="46C2A282" w14:textId="77777777" w:rsidR="00320401" w:rsidRPr="00D37AFE" w:rsidRDefault="00320401" w:rsidP="00320401">
      <w:pPr>
        <w:spacing w:after="0" w:line="240" w:lineRule="auto"/>
        <w:contextualSpacing/>
        <w:rPr>
          <w:rFonts w:ascii="Arial" w:hAnsi="Arial" w:cs="Arial"/>
          <w:b/>
          <w:sz w:val="24"/>
          <w:szCs w:val="24"/>
        </w:rPr>
      </w:pPr>
    </w:p>
    <w:p w14:paraId="33E13536" w14:textId="77777777" w:rsidR="00320401" w:rsidRDefault="00320401" w:rsidP="00320401">
      <w:pPr>
        <w:spacing w:after="0" w:line="240" w:lineRule="auto"/>
        <w:rPr>
          <w:rFonts w:ascii="Arial" w:hAnsi="Arial" w:cs="Arial"/>
          <w:b/>
          <w:sz w:val="24"/>
          <w:szCs w:val="24"/>
        </w:rPr>
      </w:pPr>
    </w:p>
    <w:p w14:paraId="73C6BD22" w14:textId="77777777" w:rsidR="00514FBA" w:rsidRDefault="00514FBA" w:rsidP="00320401">
      <w:pPr>
        <w:spacing w:after="0" w:line="240" w:lineRule="auto"/>
        <w:rPr>
          <w:rFonts w:ascii="Arial" w:hAnsi="Arial" w:cs="Arial"/>
          <w:b/>
          <w:sz w:val="24"/>
          <w:szCs w:val="24"/>
        </w:rPr>
      </w:pPr>
    </w:p>
    <w:p w14:paraId="2A52AE99" w14:textId="77777777" w:rsidR="00514FBA" w:rsidRDefault="00514FBA" w:rsidP="00320401">
      <w:pPr>
        <w:spacing w:after="0" w:line="240" w:lineRule="auto"/>
        <w:rPr>
          <w:rFonts w:ascii="Arial" w:hAnsi="Arial" w:cs="Arial"/>
          <w:b/>
          <w:sz w:val="24"/>
          <w:szCs w:val="24"/>
        </w:rPr>
      </w:pPr>
    </w:p>
    <w:p w14:paraId="4100F721" w14:textId="77777777" w:rsidR="00514FBA" w:rsidRPr="00D37AFE" w:rsidRDefault="00514FBA" w:rsidP="00320401">
      <w:pPr>
        <w:spacing w:after="0" w:line="240" w:lineRule="auto"/>
        <w:rPr>
          <w:rFonts w:ascii="Arial" w:hAnsi="Arial" w:cs="Arial"/>
          <w:b/>
          <w:sz w:val="24"/>
          <w:szCs w:val="24"/>
        </w:rPr>
      </w:pPr>
    </w:p>
    <w:p w14:paraId="61C3263E" w14:textId="77777777" w:rsidR="00320401" w:rsidRPr="00D37AFE" w:rsidRDefault="00320401" w:rsidP="00320401">
      <w:pPr>
        <w:spacing w:after="0" w:line="240" w:lineRule="auto"/>
        <w:rPr>
          <w:rFonts w:ascii="Arial" w:hAnsi="Arial" w:cs="Arial"/>
          <w:b/>
          <w:sz w:val="24"/>
          <w:szCs w:val="24"/>
        </w:rPr>
      </w:pPr>
      <w:r w:rsidRPr="00D37AFE">
        <w:rPr>
          <w:rFonts w:ascii="Arial" w:hAnsi="Arial" w:cs="Arial"/>
          <w:b/>
          <w:sz w:val="24"/>
          <w:szCs w:val="24"/>
        </w:rPr>
        <w:t xml:space="preserve">Cardiff and Vale University Health Board’s consideration </w:t>
      </w:r>
    </w:p>
    <w:p w14:paraId="169EF942" w14:textId="77777777" w:rsidR="00320401" w:rsidRPr="00D37AFE" w:rsidRDefault="00320401" w:rsidP="00320401">
      <w:pPr>
        <w:spacing w:after="0" w:line="240" w:lineRule="auto"/>
        <w:rPr>
          <w:rFonts w:ascii="Arial" w:hAnsi="Arial" w:cs="Arial"/>
          <w:b/>
          <w:bCs/>
          <w:sz w:val="24"/>
          <w:szCs w:val="24"/>
        </w:rPr>
      </w:pPr>
    </w:p>
    <w:p w14:paraId="6BCD1F8F" w14:textId="77777777" w:rsidR="00320401" w:rsidRPr="00D37AFE" w:rsidRDefault="00320401" w:rsidP="00320401">
      <w:pPr>
        <w:pStyle w:val="ListParagraph"/>
        <w:numPr>
          <w:ilvl w:val="0"/>
          <w:numId w:val="219"/>
        </w:numPr>
        <w:spacing w:after="0" w:line="240" w:lineRule="auto"/>
        <w:rPr>
          <w:rFonts w:ascii="Arial" w:hAnsi="Arial" w:cs="Arial"/>
          <w:sz w:val="24"/>
          <w:szCs w:val="24"/>
        </w:rPr>
      </w:pPr>
      <w:bookmarkStart w:id="89" w:name="_Hlk79241227"/>
      <w:r w:rsidRPr="00D37AFE">
        <w:rPr>
          <w:rFonts w:ascii="Arial" w:hAnsi="Arial" w:cs="Arial"/>
          <w:sz w:val="24"/>
          <w:szCs w:val="24"/>
        </w:rPr>
        <w:t>Cardiff and Vale University Health Board has noted the comments made.</w:t>
      </w:r>
    </w:p>
    <w:bookmarkEnd w:id="89"/>
    <w:p w14:paraId="37408ED6" w14:textId="77777777" w:rsidR="00320401" w:rsidRPr="00D37AFE" w:rsidRDefault="00320401" w:rsidP="00320401">
      <w:pPr>
        <w:spacing w:after="0" w:line="240" w:lineRule="auto"/>
        <w:rPr>
          <w:rFonts w:ascii="Arial" w:hAnsi="Arial" w:cs="Arial"/>
          <w:sz w:val="24"/>
          <w:szCs w:val="24"/>
        </w:rPr>
      </w:pPr>
    </w:p>
    <w:p w14:paraId="42B47225" w14:textId="77777777" w:rsidR="00320401" w:rsidRPr="00D37AFE" w:rsidRDefault="00320401" w:rsidP="00320401">
      <w:pPr>
        <w:spacing w:after="0" w:line="240" w:lineRule="auto"/>
        <w:rPr>
          <w:rFonts w:ascii="Arial" w:hAnsi="Arial" w:cs="Arial"/>
          <w:sz w:val="24"/>
          <w:szCs w:val="24"/>
        </w:rPr>
      </w:pPr>
    </w:p>
    <w:p w14:paraId="1F8BDD72" w14:textId="77777777" w:rsidR="00320401" w:rsidRDefault="00320401" w:rsidP="00320401">
      <w:pPr>
        <w:spacing w:after="0" w:line="240" w:lineRule="auto"/>
        <w:rPr>
          <w:rFonts w:ascii="Arial" w:hAnsi="Arial" w:cs="Arial"/>
          <w:b/>
          <w:bCs/>
          <w:sz w:val="24"/>
          <w:szCs w:val="24"/>
        </w:rPr>
      </w:pPr>
      <w:r w:rsidRPr="00D37AFE">
        <w:rPr>
          <w:rFonts w:ascii="Arial" w:hAnsi="Arial" w:cs="Arial"/>
          <w:b/>
          <w:bCs/>
          <w:sz w:val="24"/>
          <w:szCs w:val="24"/>
        </w:rPr>
        <w:t>Q8. Are there any pharmaceutical services that could be provided in the pharmacy setting in the future that have not been highlighted?</w:t>
      </w:r>
    </w:p>
    <w:p w14:paraId="15FCD96C" w14:textId="77777777" w:rsidR="00320401" w:rsidRPr="00D37AFE" w:rsidRDefault="00320401" w:rsidP="00320401">
      <w:pPr>
        <w:spacing w:after="0" w:line="240" w:lineRule="auto"/>
        <w:rPr>
          <w:rFonts w:ascii="Arial" w:hAnsi="Arial" w:cs="Arial"/>
          <w:b/>
          <w:bCs/>
          <w:sz w:val="24"/>
          <w:szCs w:val="24"/>
        </w:rPr>
      </w:pPr>
    </w:p>
    <w:p w14:paraId="53BB1662" w14:textId="77777777" w:rsidR="00320401" w:rsidRPr="00D37AFE" w:rsidRDefault="00320401" w:rsidP="00320401">
      <w:pPr>
        <w:spacing w:after="0" w:line="240" w:lineRule="auto"/>
        <w:rPr>
          <w:rFonts w:ascii="Arial" w:hAnsi="Arial" w:cs="Arial"/>
          <w:sz w:val="24"/>
          <w:szCs w:val="24"/>
        </w:rPr>
      </w:pPr>
    </w:p>
    <w:tbl>
      <w:tblPr>
        <w:tblW w:w="8910" w:type="dxa"/>
        <w:tblLook w:val="04A0" w:firstRow="1" w:lastRow="0" w:firstColumn="1" w:lastColumn="0" w:noHBand="0" w:noVBand="1"/>
      </w:tblPr>
      <w:tblGrid>
        <w:gridCol w:w="1461"/>
        <w:gridCol w:w="2636"/>
        <w:gridCol w:w="1752"/>
        <w:gridCol w:w="1858"/>
        <w:gridCol w:w="1203"/>
      </w:tblGrid>
      <w:tr w:rsidR="00320401" w:rsidRPr="00D37AFE" w14:paraId="539D8138" w14:textId="77777777" w:rsidTr="005670EB">
        <w:trPr>
          <w:trHeight w:val="270"/>
        </w:trPr>
        <w:tc>
          <w:tcPr>
            <w:tcW w:w="5849" w:type="dxa"/>
            <w:gridSpan w:val="3"/>
            <w:tcBorders>
              <w:top w:val="single" w:sz="4" w:space="0" w:color="A6A6A6"/>
              <w:left w:val="single" w:sz="4" w:space="0" w:color="A6A6A6"/>
              <w:bottom w:val="single" w:sz="4" w:space="0" w:color="A6A6A6"/>
              <w:right w:val="nil"/>
            </w:tcBorders>
            <w:shd w:val="clear" w:color="auto" w:fill="548DD4" w:themeFill="text2" w:themeFillTint="99"/>
            <w:noWrap/>
            <w:vAlign w:val="center"/>
            <w:hideMark/>
          </w:tcPr>
          <w:p w14:paraId="4B56A1BD"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lastRenderedPageBreak/>
              <w:t> </w:t>
            </w:r>
          </w:p>
        </w:tc>
        <w:tc>
          <w:tcPr>
            <w:tcW w:w="3061" w:type="dxa"/>
            <w:gridSpan w:val="2"/>
            <w:tcBorders>
              <w:top w:val="single" w:sz="4" w:space="0" w:color="A6A6A6"/>
              <w:left w:val="nil"/>
              <w:bottom w:val="single" w:sz="4" w:space="0" w:color="A6A6A6"/>
              <w:right w:val="single" w:sz="4" w:space="0" w:color="A6A6A6"/>
            </w:tcBorders>
            <w:shd w:val="clear" w:color="auto" w:fill="548DD4" w:themeFill="text2" w:themeFillTint="99"/>
            <w:noWrap/>
            <w:vAlign w:val="center"/>
            <w:hideMark/>
          </w:tcPr>
          <w:p w14:paraId="5587BE54"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320401" w:rsidRPr="00D37AFE" w14:paraId="007A8880" w14:textId="77777777" w:rsidTr="005670EB">
        <w:trPr>
          <w:trHeight w:val="270"/>
        </w:trPr>
        <w:tc>
          <w:tcPr>
            <w:tcW w:w="5849"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5C731FFA"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58" w:type="dxa"/>
            <w:tcBorders>
              <w:top w:val="nil"/>
              <w:left w:val="nil"/>
              <w:bottom w:val="single" w:sz="4" w:space="0" w:color="A6A6A6"/>
              <w:right w:val="single" w:sz="4" w:space="0" w:color="A6A6A6"/>
            </w:tcBorders>
            <w:shd w:val="clear" w:color="000000" w:fill="F2F2F2"/>
            <w:noWrap/>
            <w:vAlign w:val="center"/>
            <w:hideMark/>
          </w:tcPr>
          <w:p w14:paraId="479EA378"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203" w:type="dxa"/>
            <w:tcBorders>
              <w:top w:val="nil"/>
              <w:left w:val="nil"/>
              <w:bottom w:val="single" w:sz="4" w:space="0" w:color="A6A6A6"/>
              <w:right w:val="single" w:sz="4" w:space="0" w:color="A6A6A6"/>
            </w:tcBorders>
            <w:shd w:val="clear" w:color="000000" w:fill="F2F2F2"/>
            <w:noWrap/>
            <w:vAlign w:val="center"/>
            <w:hideMark/>
          </w:tcPr>
          <w:p w14:paraId="2BF210C8"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320401" w:rsidRPr="00D37AFE" w14:paraId="434D8B14" w14:textId="77777777" w:rsidTr="005670EB">
        <w:trPr>
          <w:trHeight w:val="270"/>
        </w:trPr>
        <w:tc>
          <w:tcPr>
            <w:tcW w:w="1461" w:type="dxa"/>
            <w:tcBorders>
              <w:top w:val="nil"/>
              <w:left w:val="single" w:sz="4" w:space="0" w:color="A6A6A6"/>
              <w:bottom w:val="single" w:sz="4" w:space="0" w:color="A6A6A6"/>
              <w:right w:val="single" w:sz="4" w:space="0" w:color="A6A6A6"/>
            </w:tcBorders>
            <w:shd w:val="clear" w:color="000000" w:fill="F2F2F2"/>
            <w:vAlign w:val="center"/>
            <w:hideMark/>
          </w:tcPr>
          <w:p w14:paraId="77D340AE"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88" w:type="dxa"/>
            <w:gridSpan w:val="2"/>
            <w:tcBorders>
              <w:top w:val="single" w:sz="4" w:space="0" w:color="A6A6A6"/>
              <w:left w:val="nil"/>
              <w:bottom w:val="single" w:sz="4" w:space="0" w:color="A6A6A6"/>
              <w:right w:val="single" w:sz="4" w:space="0" w:color="A6A6A6"/>
            </w:tcBorders>
            <w:shd w:val="clear" w:color="auto" w:fill="auto"/>
            <w:vAlign w:val="center"/>
            <w:hideMark/>
          </w:tcPr>
          <w:p w14:paraId="7E655D87"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58" w:type="dxa"/>
            <w:tcBorders>
              <w:top w:val="nil"/>
              <w:left w:val="nil"/>
              <w:bottom w:val="single" w:sz="4" w:space="0" w:color="A6A6A6"/>
              <w:right w:val="single" w:sz="4" w:space="0" w:color="A6A6A6"/>
            </w:tcBorders>
            <w:shd w:val="clear" w:color="000000" w:fill="F2F2F2"/>
            <w:noWrap/>
            <w:vAlign w:val="bottom"/>
            <w:hideMark/>
          </w:tcPr>
          <w:p w14:paraId="11C1F543"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11.11%</w:t>
            </w:r>
          </w:p>
        </w:tc>
        <w:tc>
          <w:tcPr>
            <w:tcW w:w="1203" w:type="dxa"/>
            <w:tcBorders>
              <w:top w:val="nil"/>
              <w:left w:val="nil"/>
              <w:bottom w:val="single" w:sz="4" w:space="0" w:color="A6A6A6"/>
              <w:right w:val="single" w:sz="4" w:space="0" w:color="A6A6A6"/>
            </w:tcBorders>
            <w:shd w:val="clear" w:color="000000" w:fill="F2F2F2"/>
            <w:noWrap/>
            <w:vAlign w:val="bottom"/>
            <w:hideMark/>
          </w:tcPr>
          <w:p w14:paraId="58EAD07F"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r w:rsidR="00320401" w:rsidRPr="00D37AFE" w14:paraId="3B7F9F1C" w14:textId="77777777" w:rsidTr="005670EB">
        <w:trPr>
          <w:trHeight w:val="270"/>
        </w:trPr>
        <w:tc>
          <w:tcPr>
            <w:tcW w:w="1461" w:type="dxa"/>
            <w:tcBorders>
              <w:top w:val="nil"/>
              <w:left w:val="single" w:sz="4" w:space="0" w:color="A6A6A6"/>
              <w:bottom w:val="single" w:sz="4" w:space="0" w:color="A6A6A6"/>
              <w:right w:val="single" w:sz="4" w:space="0" w:color="A6A6A6"/>
            </w:tcBorders>
            <w:shd w:val="clear" w:color="000000" w:fill="F2F2F2"/>
            <w:vAlign w:val="center"/>
            <w:hideMark/>
          </w:tcPr>
          <w:p w14:paraId="10DD4A2C"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88" w:type="dxa"/>
            <w:gridSpan w:val="2"/>
            <w:tcBorders>
              <w:top w:val="single" w:sz="4" w:space="0" w:color="A6A6A6"/>
              <w:left w:val="nil"/>
              <w:bottom w:val="single" w:sz="4" w:space="0" w:color="A6A6A6"/>
              <w:right w:val="single" w:sz="4" w:space="0" w:color="A6A6A6"/>
            </w:tcBorders>
            <w:shd w:val="clear" w:color="auto" w:fill="auto"/>
            <w:vAlign w:val="center"/>
            <w:hideMark/>
          </w:tcPr>
          <w:p w14:paraId="14732D8A"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58" w:type="dxa"/>
            <w:tcBorders>
              <w:top w:val="nil"/>
              <w:left w:val="nil"/>
              <w:bottom w:val="single" w:sz="4" w:space="0" w:color="A6A6A6"/>
              <w:right w:val="single" w:sz="4" w:space="0" w:color="A6A6A6"/>
            </w:tcBorders>
            <w:shd w:val="clear" w:color="000000" w:fill="F2F2F2"/>
            <w:noWrap/>
            <w:vAlign w:val="bottom"/>
            <w:hideMark/>
          </w:tcPr>
          <w:p w14:paraId="21A6B969"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44.44%</w:t>
            </w:r>
          </w:p>
        </w:tc>
        <w:tc>
          <w:tcPr>
            <w:tcW w:w="1203" w:type="dxa"/>
            <w:tcBorders>
              <w:top w:val="nil"/>
              <w:left w:val="nil"/>
              <w:bottom w:val="single" w:sz="4" w:space="0" w:color="A6A6A6"/>
              <w:right w:val="single" w:sz="4" w:space="0" w:color="A6A6A6"/>
            </w:tcBorders>
            <w:shd w:val="clear" w:color="000000" w:fill="F2F2F2"/>
            <w:noWrap/>
            <w:vAlign w:val="bottom"/>
            <w:hideMark/>
          </w:tcPr>
          <w:p w14:paraId="1423C66A"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320401" w:rsidRPr="00D37AFE" w14:paraId="2938D16F" w14:textId="77777777" w:rsidTr="005670EB">
        <w:trPr>
          <w:trHeight w:val="270"/>
        </w:trPr>
        <w:tc>
          <w:tcPr>
            <w:tcW w:w="1461" w:type="dxa"/>
            <w:tcBorders>
              <w:top w:val="nil"/>
              <w:left w:val="single" w:sz="4" w:space="0" w:color="A6A6A6"/>
              <w:bottom w:val="single" w:sz="4" w:space="0" w:color="A6A6A6"/>
              <w:right w:val="single" w:sz="4" w:space="0" w:color="A6A6A6"/>
            </w:tcBorders>
            <w:shd w:val="clear" w:color="000000" w:fill="F2F2F2"/>
            <w:vAlign w:val="center"/>
            <w:hideMark/>
          </w:tcPr>
          <w:p w14:paraId="2A07BD68"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88" w:type="dxa"/>
            <w:gridSpan w:val="2"/>
            <w:tcBorders>
              <w:top w:val="single" w:sz="4" w:space="0" w:color="A6A6A6"/>
              <w:left w:val="nil"/>
              <w:bottom w:val="single" w:sz="4" w:space="0" w:color="A6A6A6"/>
              <w:right w:val="single" w:sz="4" w:space="0" w:color="A6A6A6"/>
            </w:tcBorders>
            <w:shd w:val="clear" w:color="auto" w:fill="auto"/>
            <w:vAlign w:val="center"/>
            <w:hideMark/>
          </w:tcPr>
          <w:p w14:paraId="05F9F628"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58" w:type="dxa"/>
            <w:tcBorders>
              <w:top w:val="nil"/>
              <w:left w:val="nil"/>
              <w:bottom w:val="single" w:sz="4" w:space="0" w:color="A6A6A6"/>
              <w:right w:val="single" w:sz="4" w:space="0" w:color="A6A6A6"/>
            </w:tcBorders>
            <w:shd w:val="clear" w:color="000000" w:fill="F2F2F2"/>
            <w:noWrap/>
            <w:vAlign w:val="bottom"/>
            <w:hideMark/>
          </w:tcPr>
          <w:p w14:paraId="616518EC"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44.44%</w:t>
            </w:r>
          </w:p>
        </w:tc>
        <w:tc>
          <w:tcPr>
            <w:tcW w:w="1203" w:type="dxa"/>
            <w:tcBorders>
              <w:top w:val="nil"/>
              <w:left w:val="nil"/>
              <w:bottom w:val="single" w:sz="4" w:space="0" w:color="A6A6A6"/>
              <w:right w:val="single" w:sz="4" w:space="0" w:color="A6A6A6"/>
            </w:tcBorders>
            <w:shd w:val="clear" w:color="000000" w:fill="F2F2F2"/>
            <w:noWrap/>
            <w:vAlign w:val="bottom"/>
            <w:hideMark/>
          </w:tcPr>
          <w:p w14:paraId="7E79FF01"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320401" w:rsidRPr="00D37AFE" w14:paraId="3E747D6B" w14:textId="77777777" w:rsidTr="005670EB">
        <w:trPr>
          <w:trHeight w:val="270"/>
        </w:trPr>
        <w:tc>
          <w:tcPr>
            <w:tcW w:w="4097"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03C763C6"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51" w:type="dxa"/>
            <w:tcBorders>
              <w:top w:val="nil"/>
              <w:left w:val="nil"/>
              <w:bottom w:val="single" w:sz="4" w:space="0" w:color="A6A6A6"/>
              <w:right w:val="single" w:sz="4" w:space="0" w:color="A6A6A6"/>
            </w:tcBorders>
            <w:shd w:val="clear" w:color="000000" w:fill="F2F2F2"/>
            <w:vAlign w:val="center"/>
            <w:hideMark/>
          </w:tcPr>
          <w:p w14:paraId="134B4B3F"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58" w:type="dxa"/>
            <w:tcBorders>
              <w:top w:val="nil"/>
              <w:left w:val="nil"/>
              <w:bottom w:val="single" w:sz="4" w:space="0" w:color="A6A6A6"/>
              <w:right w:val="single" w:sz="4" w:space="0" w:color="A6A6A6"/>
            </w:tcBorders>
            <w:shd w:val="clear" w:color="000000" w:fill="F2F2F2"/>
            <w:noWrap/>
            <w:vAlign w:val="bottom"/>
            <w:hideMark/>
          </w:tcPr>
          <w:p w14:paraId="4A9258B9"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203" w:type="dxa"/>
            <w:tcBorders>
              <w:top w:val="nil"/>
              <w:left w:val="nil"/>
              <w:bottom w:val="single" w:sz="4" w:space="0" w:color="A6A6A6"/>
              <w:right w:val="single" w:sz="4" w:space="0" w:color="A6A6A6"/>
            </w:tcBorders>
            <w:shd w:val="clear" w:color="000000" w:fill="F2F2F2"/>
            <w:noWrap/>
            <w:vAlign w:val="bottom"/>
            <w:hideMark/>
          </w:tcPr>
          <w:p w14:paraId="6B628AD2"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tc>
      </w:tr>
      <w:tr w:rsidR="00320401" w:rsidRPr="00D37AFE" w14:paraId="1C0AF353" w14:textId="77777777" w:rsidTr="005670EB">
        <w:trPr>
          <w:trHeight w:val="270"/>
        </w:trPr>
        <w:tc>
          <w:tcPr>
            <w:tcW w:w="4097" w:type="dxa"/>
            <w:gridSpan w:val="2"/>
            <w:vMerge/>
            <w:tcBorders>
              <w:top w:val="single" w:sz="4" w:space="0" w:color="A6A6A6"/>
              <w:left w:val="single" w:sz="4" w:space="0" w:color="A6A6A6"/>
              <w:bottom w:val="single" w:sz="4" w:space="0" w:color="A6A6A6"/>
              <w:right w:val="single" w:sz="4" w:space="0" w:color="A6A6A6"/>
            </w:tcBorders>
            <w:vAlign w:val="center"/>
            <w:hideMark/>
          </w:tcPr>
          <w:p w14:paraId="15FC57B4" w14:textId="77777777" w:rsidR="00320401" w:rsidRPr="00D37AFE" w:rsidRDefault="00320401" w:rsidP="005670EB">
            <w:pPr>
              <w:spacing w:after="0" w:line="240" w:lineRule="auto"/>
              <w:rPr>
                <w:rFonts w:ascii="Arial" w:eastAsia="Times New Roman" w:hAnsi="Arial" w:cs="Arial"/>
                <w:b/>
                <w:bCs/>
                <w:color w:val="000000"/>
                <w:sz w:val="24"/>
                <w:szCs w:val="24"/>
                <w:lang w:eastAsia="en-GB"/>
              </w:rPr>
            </w:pPr>
          </w:p>
        </w:tc>
        <w:tc>
          <w:tcPr>
            <w:tcW w:w="1751" w:type="dxa"/>
            <w:tcBorders>
              <w:top w:val="nil"/>
              <w:left w:val="nil"/>
              <w:bottom w:val="single" w:sz="4" w:space="0" w:color="A6A6A6"/>
              <w:right w:val="single" w:sz="4" w:space="0" w:color="A6A6A6"/>
            </w:tcBorders>
            <w:shd w:val="clear" w:color="000000" w:fill="F2F2F2"/>
            <w:vAlign w:val="center"/>
            <w:hideMark/>
          </w:tcPr>
          <w:p w14:paraId="0CBD421A"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58" w:type="dxa"/>
            <w:tcBorders>
              <w:top w:val="nil"/>
              <w:left w:val="nil"/>
              <w:bottom w:val="single" w:sz="4" w:space="0" w:color="A6A6A6"/>
              <w:right w:val="single" w:sz="4" w:space="0" w:color="A6A6A6"/>
            </w:tcBorders>
            <w:shd w:val="clear" w:color="000000" w:fill="F2F2F2"/>
            <w:noWrap/>
            <w:vAlign w:val="bottom"/>
            <w:hideMark/>
          </w:tcPr>
          <w:p w14:paraId="539D8B47"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203" w:type="dxa"/>
            <w:tcBorders>
              <w:top w:val="nil"/>
              <w:left w:val="nil"/>
              <w:bottom w:val="single" w:sz="4" w:space="0" w:color="A6A6A6"/>
              <w:right w:val="single" w:sz="4" w:space="0" w:color="A6A6A6"/>
            </w:tcBorders>
            <w:shd w:val="clear" w:color="000000" w:fill="F2F2F2"/>
            <w:noWrap/>
            <w:vAlign w:val="bottom"/>
            <w:hideMark/>
          </w:tcPr>
          <w:p w14:paraId="5DF50699"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bl>
    <w:p w14:paraId="6B258586" w14:textId="77777777" w:rsidR="00320401" w:rsidRPr="00D37AFE" w:rsidRDefault="00320401" w:rsidP="00320401">
      <w:pPr>
        <w:spacing w:after="0" w:line="240" w:lineRule="auto"/>
        <w:rPr>
          <w:rFonts w:ascii="Arial" w:hAnsi="Arial" w:cs="Arial"/>
          <w:b/>
          <w:bCs/>
          <w:sz w:val="24"/>
          <w:szCs w:val="24"/>
        </w:rPr>
      </w:pPr>
    </w:p>
    <w:p w14:paraId="198065BC" w14:textId="77777777" w:rsidR="00320401" w:rsidRPr="00D37AFE" w:rsidRDefault="00320401" w:rsidP="00320401">
      <w:pPr>
        <w:spacing w:after="0" w:line="240" w:lineRule="auto"/>
        <w:rPr>
          <w:rFonts w:ascii="Arial" w:hAnsi="Arial" w:cs="Arial"/>
          <w:b/>
          <w:bCs/>
          <w:sz w:val="24"/>
          <w:szCs w:val="24"/>
        </w:rPr>
      </w:pPr>
    </w:p>
    <w:p w14:paraId="6DCBA11B" w14:textId="77777777" w:rsidR="00320401" w:rsidRPr="00D37AFE" w:rsidRDefault="00320401" w:rsidP="00320401">
      <w:pPr>
        <w:spacing w:after="0" w:line="240" w:lineRule="auto"/>
        <w:rPr>
          <w:rFonts w:ascii="Arial" w:hAnsi="Arial" w:cs="Arial"/>
          <w:b/>
          <w:bCs/>
          <w:sz w:val="24"/>
          <w:szCs w:val="24"/>
        </w:rPr>
      </w:pPr>
      <w:r w:rsidRPr="00D37AFE">
        <w:rPr>
          <w:rFonts w:ascii="Arial" w:hAnsi="Arial" w:cs="Arial"/>
          <w:b/>
          <w:bCs/>
          <w:sz w:val="24"/>
          <w:szCs w:val="24"/>
        </w:rPr>
        <w:t>Comments</w:t>
      </w: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320401" w:rsidRPr="00D37AFE" w14:paraId="1E3B9280" w14:textId="77777777" w:rsidTr="005670EB">
        <w:tc>
          <w:tcPr>
            <w:tcW w:w="0" w:type="auto"/>
            <w:shd w:val="clear" w:color="auto" w:fill="FFFFFF"/>
            <w:tcMar>
              <w:top w:w="75" w:type="dxa"/>
              <w:left w:w="75" w:type="dxa"/>
              <w:bottom w:w="75" w:type="dxa"/>
              <w:right w:w="75" w:type="dxa"/>
            </w:tcMar>
            <w:hideMark/>
          </w:tcPr>
          <w:p w14:paraId="37F07169" w14:textId="77777777" w:rsidR="00320401" w:rsidRPr="00D37AFE" w:rsidRDefault="00320401" w:rsidP="00320401">
            <w:pPr>
              <w:pStyle w:val="ListParagraph"/>
              <w:numPr>
                <w:ilvl w:val="0"/>
                <w:numId w:val="208"/>
              </w:numPr>
              <w:spacing w:after="0" w:line="240" w:lineRule="auto"/>
              <w:rPr>
                <w:rFonts w:ascii="Arial" w:hAnsi="Arial" w:cs="Arial"/>
                <w:sz w:val="24"/>
                <w:szCs w:val="24"/>
              </w:rPr>
            </w:pPr>
            <w:r w:rsidRPr="00D37AFE">
              <w:rPr>
                <w:rFonts w:ascii="Arial" w:hAnsi="Arial" w:cs="Arial"/>
                <w:sz w:val="24"/>
                <w:szCs w:val="24"/>
              </w:rPr>
              <w:t xml:space="preserve">Widespread delivery (i.e. within all community pharmacies) of all enhanced services. </w:t>
            </w:r>
          </w:p>
        </w:tc>
      </w:tr>
      <w:tr w:rsidR="00320401" w:rsidRPr="00D37AFE" w14:paraId="5B7C90C9" w14:textId="77777777" w:rsidTr="005670EB">
        <w:tc>
          <w:tcPr>
            <w:tcW w:w="0" w:type="auto"/>
            <w:shd w:val="clear" w:color="auto" w:fill="FFFFFF"/>
            <w:tcMar>
              <w:top w:w="75" w:type="dxa"/>
              <w:left w:w="75" w:type="dxa"/>
              <w:bottom w:w="75" w:type="dxa"/>
              <w:right w:w="75" w:type="dxa"/>
            </w:tcMar>
            <w:hideMark/>
          </w:tcPr>
          <w:p w14:paraId="6E700BAB" w14:textId="77777777" w:rsidR="00320401" w:rsidRPr="00D37AFE" w:rsidRDefault="00320401" w:rsidP="00320401">
            <w:pPr>
              <w:pStyle w:val="ListParagraph"/>
              <w:numPr>
                <w:ilvl w:val="0"/>
                <w:numId w:val="208"/>
              </w:numPr>
              <w:spacing w:after="0" w:line="240" w:lineRule="auto"/>
              <w:rPr>
                <w:rFonts w:ascii="Arial" w:hAnsi="Arial" w:cs="Arial"/>
                <w:sz w:val="24"/>
                <w:szCs w:val="24"/>
              </w:rPr>
            </w:pPr>
            <w:r w:rsidRPr="00D37AFE">
              <w:rPr>
                <w:rFonts w:ascii="Arial" w:hAnsi="Arial" w:cs="Arial"/>
                <w:sz w:val="24"/>
                <w:szCs w:val="24"/>
              </w:rPr>
              <w:t xml:space="preserve">There is no acknowledgement of any new services or how these will be provided in the document. A number were highlighted in the contractor survey however these were not acknowledged at any point other than stating there inclusion in responses. </w:t>
            </w:r>
          </w:p>
        </w:tc>
      </w:tr>
    </w:tbl>
    <w:p w14:paraId="54CB5DFD" w14:textId="77777777" w:rsidR="00320401" w:rsidRPr="00D37AFE" w:rsidRDefault="00320401" w:rsidP="00320401">
      <w:pPr>
        <w:pStyle w:val="ListParagraph"/>
        <w:numPr>
          <w:ilvl w:val="0"/>
          <w:numId w:val="208"/>
        </w:numPr>
        <w:spacing w:after="0" w:line="240" w:lineRule="auto"/>
        <w:rPr>
          <w:rFonts w:ascii="Arial" w:hAnsi="Arial" w:cs="Arial"/>
          <w:sz w:val="24"/>
          <w:szCs w:val="24"/>
        </w:rPr>
      </w:pPr>
      <w:r w:rsidRPr="00D37AFE">
        <w:rPr>
          <w:rFonts w:ascii="Arial" w:hAnsi="Arial" w:cs="Arial"/>
          <w:sz w:val="24"/>
          <w:szCs w:val="24"/>
        </w:rPr>
        <w:t xml:space="preserve">The PNA reviews the provision of Essential, Advanced and Enhanced Services in each of the 9 Clusters.  The review of enhanced services however has been undertaken with reference to the current list of commissioned services and has not looked at those services that could be put in place to meet identified population needs. In the introduction it is stated </w:t>
      </w:r>
      <w:r w:rsidRPr="00D37AFE">
        <w:rPr>
          <w:rFonts w:ascii="Arial" w:hAnsi="Arial" w:cs="Arial"/>
          <w:i/>
          <w:iCs/>
          <w:sz w:val="24"/>
          <w:szCs w:val="24"/>
        </w:rPr>
        <w:t>that “The purpose of the pharmaceutical needs assessment (PNA) is to assess and set out how the provision of pharmaceutical services can meet the health needs of the population of a health board’s area for a period of up to five years”.</w:t>
      </w:r>
      <w:r w:rsidRPr="00D37AFE">
        <w:rPr>
          <w:rFonts w:ascii="Arial" w:hAnsi="Arial" w:cs="Arial"/>
          <w:sz w:val="24"/>
          <w:szCs w:val="24"/>
        </w:rPr>
        <w:t xml:space="preserve">  This indicates a willingness to take a broader approach to how community pharmacy could meet the needs of the local population and in doing so to step outside the current range of commissioned services.  </w:t>
      </w:r>
    </w:p>
    <w:p w14:paraId="18E18D20" w14:textId="77777777" w:rsidR="00320401" w:rsidRPr="00D37AFE" w:rsidRDefault="00320401" w:rsidP="00320401">
      <w:pPr>
        <w:spacing w:after="0" w:line="240" w:lineRule="auto"/>
        <w:rPr>
          <w:rFonts w:ascii="Arial" w:hAnsi="Arial" w:cs="Arial"/>
          <w:sz w:val="24"/>
          <w:szCs w:val="24"/>
        </w:rPr>
      </w:pPr>
    </w:p>
    <w:p w14:paraId="1FEFD2C7" w14:textId="77777777" w:rsidR="00320401" w:rsidRPr="00D37AFE" w:rsidRDefault="00320401" w:rsidP="00320401">
      <w:pPr>
        <w:pStyle w:val="ListParagraph"/>
        <w:numPr>
          <w:ilvl w:val="0"/>
          <w:numId w:val="208"/>
        </w:numPr>
        <w:spacing w:after="0" w:line="240" w:lineRule="auto"/>
        <w:rPr>
          <w:rFonts w:ascii="Arial" w:hAnsi="Arial" w:cs="Arial"/>
          <w:sz w:val="24"/>
          <w:szCs w:val="24"/>
        </w:rPr>
      </w:pPr>
      <w:r w:rsidRPr="00D37AFE">
        <w:rPr>
          <w:rFonts w:ascii="Arial" w:hAnsi="Arial" w:cs="Arial"/>
          <w:sz w:val="24"/>
          <w:szCs w:val="24"/>
        </w:rPr>
        <w:t xml:space="preserve">CPW feels that an opportunity should not be lost to utilise the excellent work undertaken in conducting the PNA in order to develop a comprehensive list of local services to be introduced in the years ahead so that pharmacy capacity and local population needs can be better aligned.  </w:t>
      </w:r>
    </w:p>
    <w:p w14:paraId="4E75E114" w14:textId="77777777" w:rsidR="00320401" w:rsidRPr="00D37AFE" w:rsidRDefault="00320401" w:rsidP="00320401">
      <w:pPr>
        <w:spacing w:after="0" w:line="240" w:lineRule="auto"/>
        <w:rPr>
          <w:rFonts w:ascii="Arial" w:hAnsi="Arial" w:cs="Arial"/>
          <w:sz w:val="24"/>
          <w:szCs w:val="24"/>
        </w:rPr>
      </w:pPr>
    </w:p>
    <w:p w14:paraId="1B488C5E" w14:textId="77777777" w:rsidR="00320401" w:rsidRPr="00D37AFE" w:rsidRDefault="00320401" w:rsidP="00320401">
      <w:pPr>
        <w:pStyle w:val="ListParagraph"/>
        <w:spacing w:after="0" w:line="240" w:lineRule="auto"/>
        <w:rPr>
          <w:rFonts w:ascii="Arial" w:hAnsi="Arial" w:cs="Arial"/>
          <w:sz w:val="24"/>
          <w:szCs w:val="24"/>
        </w:rPr>
      </w:pPr>
      <w:r w:rsidRPr="00D37AFE">
        <w:rPr>
          <w:rFonts w:ascii="Arial" w:hAnsi="Arial" w:cs="Arial"/>
          <w:sz w:val="24"/>
          <w:szCs w:val="24"/>
        </w:rPr>
        <w:t xml:space="preserve">For example, section 3.2.4 confirms that “Alcohol use remains a major public health challenge in Wales. It is associated with the development of many health conditions such as high blood pressure, heart disease, cirrhosis of the liver and cancers of the mouth, and breast cancer. </w:t>
      </w:r>
      <w:r w:rsidRPr="00D37AFE">
        <w:rPr>
          <w:rFonts w:ascii="Arial" w:hAnsi="Arial" w:cs="Arial"/>
          <w:i/>
          <w:iCs/>
          <w:sz w:val="24"/>
          <w:szCs w:val="24"/>
        </w:rPr>
        <w:t xml:space="preserve">Alcohol misuse is a cause of falls, accidents and injuries, as well as social problems such as assaults and crimes.  Of all the health boards, Cardiff and Vale University Health Board (21.6%) has the highest proportion of its population reporting to drink above the recommended weekly units. </w:t>
      </w:r>
      <w:r w:rsidRPr="00D37AFE">
        <w:rPr>
          <w:rFonts w:ascii="Arial" w:hAnsi="Arial" w:cs="Arial"/>
          <w:sz w:val="24"/>
          <w:szCs w:val="24"/>
        </w:rPr>
        <w:t xml:space="preserve">  Alongside this clearly identified need lies the underutilised capacity of the community pharmacy network which is the most accessible part of CAVUHB NHS capacity and which, through its success in helping the public to quit smoking has clearly demonstrated its change management expertise.</w:t>
      </w:r>
    </w:p>
    <w:p w14:paraId="493DAC4B" w14:textId="77777777" w:rsidR="00320401" w:rsidRPr="00D37AFE" w:rsidRDefault="00320401" w:rsidP="00320401">
      <w:pPr>
        <w:spacing w:after="0" w:line="240" w:lineRule="auto"/>
        <w:rPr>
          <w:rFonts w:ascii="Arial" w:hAnsi="Arial" w:cs="Arial"/>
          <w:sz w:val="24"/>
          <w:szCs w:val="24"/>
        </w:rPr>
      </w:pPr>
    </w:p>
    <w:p w14:paraId="5E079149" w14:textId="77777777" w:rsidR="00320401" w:rsidRPr="00D37AFE" w:rsidRDefault="00320401" w:rsidP="00320401">
      <w:pPr>
        <w:pStyle w:val="ListParagraph"/>
        <w:spacing w:after="0" w:line="240" w:lineRule="auto"/>
        <w:rPr>
          <w:rFonts w:ascii="Arial" w:hAnsi="Arial" w:cs="Arial"/>
          <w:sz w:val="24"/>
          <w:szCs w:val="24"/>
        </w:rPr>
      </w:pPr>
      <w:r w:rsidRPr="00D37AFE">
        <w:rPr>
          <w:rFonts w:ascii="Arial" w:hAnsi="Arial" w:cs="Arial"/>
          <w:sz w:val="24"/>
          <w:szCs w:val="24"/>
        </w:rPr>
        <w:lastRenderedPageBreak/>
        <w:t xml:space="preserve">Section 3.3.5 also identifies considerable unmet need in sexual health services.  The data analysis confirms that </w:t>
      </w:r>
      <w:r w:rsidRPr="00D37AFE">
        <w:rPr>
          <w:rFonts w:ascii="Arial" w:hAnsi="Arial" w:cs="Arial"/>
          <w:i/>
          <w:iCs/>
          <w:sz w:val="24"/>
          <w:szCs w:val="24"/>
        </w:rPr>
        <w:t>“in 2018, the teenage pregnancy rate in Cardiff was 19.2 conceptions per 1,000 females under 18 years. This is higher than the teenage pregnancy rate for the Vale of Glamorgan (13.3 conceptions per 1,000 females under 18 years) and Wales (18.9 conceptions per 1,000 females under 18 years)”.</w:t>
      </w:r>
      <w:r w:rsidRPr="00D37AFE">
        <w:rPr>
          <w:rFonts w:ascii="Arial" w:hAnsi="Arial" w:cs="Arial"/>
          <w:sz w:val="24"/>
          <w:szCs w:val="24"/>
        </w:rPr>
        <w:t xml:space="preserve">   </w:t>
      </w:r>
    </w:p>
    <w:p w14:paraId="635D87C4" w14:textId="77777777" w:rsidR="00320401" w:rsidRPr="00D37AFE" w:rsidRDefault="00320401" w:rsidP="00320401">
      <w:pPr>
        <w:spacing w:after="0" w:line="240" w:lineRule="auto"/>
        <w:rPr>
          <w:rFonts w:ascii="Arial" w:hAnsi="Arial" w:cs="Arial"/>
          <w:sz w:val="24"/>
          <w:szCs w:val="24"/>
        </w:rPr>
      </w:pPr>
    </w:p>
    <w:p w14:paraId="162E59C6" w14:textId="77777777" w:rsidR="00320401" w:rsidRPr="00D37AFE" w:rsidRDefault="00320401" w:rsidP="00320401">
      <w:pPr>
        <w:pStyle w:val="ListParagraph"/>
        <w:spacing w:after="0" w:line="240" w:lineRule="auto"/>
        <w:rPr>
          <w:rFonts w:ascii="Arial" w:hAnsi="Arial" w:cs="Arial"/>
          <w:i/>
          <w:iCs/>
          <w:sz w:val="24"/>
          <w:szCs w:val="24"/>
        </w:rPr>
      </w:pPr>
      <w:r w:rsidRPr="00D37AFE">
        <w:rPr>
          <w:rFonts w:ascii="Arial" w:hAnsi="Arial" w:cs="Arial"/>
          <w:sz w:val="24"/>
          <w:szCs w:val="24"/>
        </w:rPr>
        <w:t xml:space="preserve">Section 3.3.5 similarly identifies challenges in relation to sexually transmitted infections (STIs) </w:t>
      </w:r>
      <w:r w:rsidRPr="00D37AFE">
        <w:rPr>
          <w:rFonts w:ascii="Arial" w:hAnsi="Arial" w:cs="Arial"/>
          <w:i/>
          <w:iCs/>
          <w:sz w:val="24"/>
          <w:szCs w:val="24"/>
        </w:rPr>
        <w:t>“Within Wales, there is geographical variation in the incidence of sexually transmitted infections, as well as in the rates of testing. In 2017, similarly to previous years, the rate of gonorrhoea was highest in Cardiff, and the rates of chlamydia were highest in Newport, followed by Torfaen and Cardiff. The percentage of gonorrhoea tests from sexual health clinics for which a positive diagnosis was reported was highest in those living in Cardiff and Conwy local authorities. For chlamydia, the percentage positivity was highest in those living in the Vale of Glamorgan, Wrexham, and Merthyr Tydfil”.</w:t>
      </w:r>
    </w:p>
    <w:p w14:paraId="0B36C62B" w14:textId="77777777" w:rsidR="00320401" w:rsidRPr="00D37AFE" w:rsidRDefault="00320401" w:rsidP="00320401">
      <w:pPr>
        <w:spacing w:after="0" w:line="240" w:lineRule="auto"/>
        <w:rPr>
          <w:rFonts w:ascii="Arial" w:hAnsi="Arial" w:cs="Arial"/>
          <w:sz w:val="24"/>
          <w:szCs w:val="24"/>
        </w:rPr>
      </w:pPr>
    </w:p>
    <w:p w14:paraId="4F5D0CCD" w14:textId="77777777" w:rsidR="00320401" w:rsidRPr="00D37AFE" w:rsidRDefault="00320401" w:rsidP="00320401">
      <w:pPr>
        <w:pStyle w:val="ListParagraph"/>
        <w:spacing w:after="0" w:line="240" w:lineRule="auto"/>
        <w:rPr>
          <w:rFonts w:ascii="Arial" w:hAnsi="Arial" w:cs="Arial"/>
          <w:sz w:val="24"/>
          <w:szCs w:val="24"/>
        </w:rPr>
      </w:pPr>
      <w:r w:rsidRPr="00D37AFE">
        <w:rPr>
          <w:rFonts w:ascii="Arial" w:hAnsi="Arial" w:cs="Arial"/>
          <w:sz w:val="24"/>
          <w:szCs w:val="24"/>
        </w:rPr>
        <w:t>The community pharmacy network can significantly improve sexual health services across the health board area. This has not gone unnoticed by pharmacy contractors in that on page 35 the survey of contactors undertaken as part of the data gathering, of which there was a 100% response rate, identified emergency contraception services and pre-exposure prophylaxis as services they should be providing.</w:t>
      </w:r>
    </w:p>
    <w:p w14:paraId="3FC1029E" w14:textId="77777777" w:rsidR="00320401" w:rsidRPr="00D37AFE" w:rsidRDefault="00320401" w:rsidP="00320401">
      <w:pPr>
        <w:spacing w:after="0" w:line="240" w:lineRule="auto"/>
        <w:rPr>
          <w:rFonts w:ascii="Arial" w:hAnsi="Arial" w:cs="Arial"/>
          <w:sz w:val="24"/>
          <w:szCs w:val="24"/>
        </w:rPr>
      </w:pPr>
    </w:p>
    <w:p w14:paraId="6A8E41AF" w14:textId="77777777" w:rsidR="00320401" w:rsidRPr="00D37AFE" w:rsidRDefault="00320401" w:rsidP="00320401">
      <w:pPr>
        <w:pStyle w:val="ListParagraph"/>
        <w:spacing w:after="0" w:line="240" w:lineRule="auto"/>
        <w:rPr>
          <w:rFonts w:ascii="Arial" w:hAnsi="Arial" w:cs="Arial"/>
          <w:sz w:val="24"/>
          <w:szCs w:val="24"/>
        </w:rPr>
      </w:pPr>
      <w:r w:rsidRPr="00D37AFE">
        <w:rPr>
          <w:rFonts w:ascii="Arial" w:hAnsi="Arial" w:cs="Arial"/>
          <w:sz w:val="24"/>
          <w:szCs w:val="24"/>
        </w:rPr>
        <w:t>When asked in the Contractor Questionnaire if there is a requirement for a new service that is currently not available Pharmacy Contractors suggested a Monitored Dosage System (MDS) service.  Section 4.1 highlights The predicted increase in the number of older people in CAVUHB over the coming years is likely to result in an increase in dementia and chronic conditions such as cardiovascular, respiratory diseases and cancers. It will result in more people needing help, care and support from services. The Joint Commissioning Statement for Older People  seeks to ensure that ‘older people live longer, healthier, fuller and happier lives; where they are encouraged and supported to maintain their independence for as long as possible, whilst recognising that some may become ill, frail or vulnerable, and ensuring that these people receive the respect, care and support they want and need at the right time and in the right place’.  A MDS service could support people living in their own homes for longer, as could a Medicines Administration Record (MAR) service which is a common service in other Health Boards.</w:t>
      </w:r>
    </w:p>
    <w:p w14:paraId="6E7AD20E" w14:textId="77777777" w:rsidR="00320401" w:rsidRPr="00D37AFE" w:rsidRDefault="00320401" w:rsidP="00320401">
      <w:pPr>
        <w:spacing w:after="0" w:line="240" w:lineRule="auto"/>
        <w:rPr>
          <w:rFonts w:ascii="Arial" w:hAnsi="Arial" w:cs="Arial"/>
          <w:sz w:val="24"/>
          <w:szCs w:val="24"/>
        </w:rPr>
      </w:pPr>
    </w:p>
    <w:p w14:paraId="78D94A1C" w14:textId="77777777" w:rsidR="00320401" w:rsidRPr="00D37AFE" w:rsidRDefault="00320401" w:rsidP="00320401">
      <w:pPr>
        <w:pStyle w:val="ListParagraph"/>
        <w:spacing w:after="0" w:line="240" w:lineRule="auto"/>
        <w:rPr>
          <w:rFonts w:ascii="Arial" w:hAnsi="Arial" w:cs="Arial"/>
          <w:i/>
          <w:iCs/>
          <w:sz w:val="24"/>
          <w:szCs w:val="24"/>
        </w:rPr>
      </w:pPr>
      <w:r w:rsidRPr="00D37AFE">
        <w:rPr>
          <w:rFonts w:ascii="Arial" w:hAnsi="Arial" w:cs="Arial"/>
          <w:sz w:val="24"/>
          <w:szCs w:val="24"/>
        </w:rPr>
        <w:t xml:space="preserve">Section 4.9 highlights the large student population in Cardiff and their particular needs. The PNA states </w:t>
      </w:r>
      <w:r w:rsidRPr="00D37AFE">
        <w:rPr>
          <w:rFonts w:ascii="Arial" w:hAnsi="Arial" w:cs="Arial"/>
          <w:i/>
          <w:iCs/>
          <w:sz w:val="24"/>
          <w:szCs w:val="24"/>
        </w:rPr>
        <w:t>“For many university students, this will be the first time they have moved away from home to live independently. It is a time of transition and the challenges of university life can impact on health care. Health needs identified include:</w:t>
      </w:r>
    </w:p>
    <w:p w14:paraId="42FD0B15" w14:textId="77777777" w:rsidR="00320401" w:rsidRPr="00D37AFE" w:rsidRDefault="00320401" w:rsidP="00320401">
      <w:pPr>
        <w:spacing w:after="0" w:line="240" w:lineRule="auto"/>
        <w:rPr>
          <w:rFonts w:ascii="Arial" w:hAnsi="Arial" w:cs="Arial"/>
          <w:i/>
          <w:iCs/>
          <w:sz w:val="24"/>
          <w:szCs w:val="24"/>
        </w:rPr>
      </w:pPr>
    </w:p>
    <w:p w14:paraId="009F08AA" w14:textId="77777777" w:rsidR="00320401" w:rsidRPr="00D37AFE" w:rsidRDefault="00320401" w:rsidP="00320401">
      <w:pPr>
        <w:pStyle w:val="ListParagraph"/>
        <w:numPr>
          <w:ilvl w:val="1"/>
          <w:numId w:val="208"/>
        </w:numPr>
        <w:spacing w:after="0" w:line="240" w:lineRule="auto"/>
        <w:rPr>
          <w:rFonts w:ascii="Arial" w:hAnsi="Arial" w:cs="Arial"/>
          <w:i/>
          <w:iCs/>
          <w:sz w:val="24"/>
          <w:szCs w:val="24"/>
        </w:rPr>
      </w:pPr>
      <w:r w:rsidRPr="00D37AFE">
        <w:rPr>
          <w:rFonts w:ascii="Arial" w:hAnsi="Arial" w:cs="Arial"/>
          <w:i/>
          <w:iCs/>
          <w:sz w:val="24"/>
          <w:szCs w:val="24"/>
        </w:rPr>
        <w:t>Screening for, and treatment of, sexually transmitted diseases.</w:t>
      </w:r>
    </w:p>
    <w:p w14:paraId="701C01AD" w14:textId="77777777" w:rsidR="00320401" w:rsidRPr="00D37AFE" w:rsidRDefault="00320401" w:rsidP="00320401">
      <w:pPr>
        <w:pStyle w:val="ListParagraph"/>
        <w:numPr>
          <w:ilvl w:val="1"/>
          <w:numId w:val="208"/>
        </w:numPr>
        <w:spacing w:after="0" w:line="240" w:lineRule="auto"/>
        <w:rPr>
          <w:rFonts w:ascii="Arial" w:hAnsi="Arial" w:cs="Arial"/>
          <w:i/>
          <w:iCs/>
          <w:sz w:val="24"/>
          <w:szCs w:val="24"/>
        </w:rPr>
      </w:pPr>
      <w:r w:rsidRPr="00D37AFE">
        <w:rPr>
          <w:rFonts w:ascii="Arial" w:hAnsi="Arial" w:cs="Arial"/>
          <w:i/>
          <w:iCs/>
          <w:sz w:val="24"/>
          <w:szCs w:val="24"/>
        </w:rPr>
        <w:lastRenderedPageBreak/>
        <w:t>Smoking cessation.</w:t>
      </w:r>
    </w:p>
    <w:p w14:paraId="7D793238" w14:textId="77777777" w:rsidR="00320401" w:rsidRPr="00D37AFE" w:rsidRDefault="00320401" w:rsidP="00320401">
      <w:pPr>
        <w:pStyle w:val="ListParagraph"/>
        <w:numPr>
          <w:ilvl w:val="1"/>
          <w:numId w:val="208"/>
        </w:numPr>
        <w:spacing w:after="0" w:line="240" w:lineRule="auto"/>
        <w:rPr>
          <w:rFonts w:ascii="Arial" w:hAnsi="Arial" w:cs="Arial"/>
          <w:i/>
          <w:iCs/>
          <w:sz w:val="24"/>
          <w:szCs w:val="24"/>
        </w:rPr>
      </w:pPr>
      <w:r w:rsidRPr="00D37AFE">
        <w:rPr>
          <w:rFonts w:ascii="Arial" w:hAnsi="Arial" w:cs="Arial"/>
          <w:i/>
          <w:iCs/>
          <w:sz w:val="24"/>
          <w:szCs w:val="24"/>
        </w:rPr>
        <w:t>Meningitis vaccination.</w:t>
      </w:r>
    </w:p>
    <w:p w14:paraId="2D889B23" w14:textId="77777777" w:rsidR="00320401" w:rsidRPr="00D37AFE" w:rsidRDefault="00320401" w:rsidP="00320401">
      <w:pPr>
        <w:pStyle w:val="ListParagraph"/>
        <w:numPr>
          <w:ilvl w:val="1"/>
          <w:numId w:val="208"/>
        </w:numPr>
        <w:spacing w:after="0" w:line="240" w:lineRule="auto"/>
        <w:rPr>
          <w:rFonts w:ascii="Arial" w:hAnsi="Arial" w:cs="Arial"/>
          <w:i/>
          <w:iCs/>
          <w:sz w:val="24"/>
          <w:szCs w:val="24"/>
        </w:rPr>
      </w:pPr>
      <w:r w:rsidRPr="00D37AFE">
        <w:rPr>
          <w:rFonts w:ascii="Arial" w:hAnsi="Arial" w:cs="Arial"/>
          <w:i/>
          <w:iCs/>
          <w:sz w:val="24"/>
          <w:szCs w:val="24"/>
        </w:rPr>
        <w:t>Alcohol and substance use support.</w:t>
      </w:r>
    </w:p>
    <w:p w14:paraId="6CB44CE1" w14:textId="77777777" w:rsidR="00320401" w:rsidRPr="00D37AFE" w:rsidRDefault="00320401" w:rsidP="00320401">
      <w:pPr>
        <w:pStyle w:val="ListParagraph"/>
        <w:numPr>
          <w:ilvl w:val="1"/>
          <w:numId w:val="208"/>
        </w:numPr>
        <w:spacing w:after="0" w:line="240" w:lineRule="auto"/>
        <w:rPr>
          <w:rFonts w:ascii="Arial" w:hAnsi="Arial" w:cs="Arial"/>
          <w:i/>
          <w:iCs/>
          <w:sz w:val="24"/>
          <w:szCs w:val="24"/>
        </w:rPr>
      </w:pPr>
      <w:r w:rsidRPr="00D37AFE">
        <w:rPr>
          <w:rFonts w:ascii="Arial" w:hAnsi="Arial" w:cs="Arial"/>
          <w:i/>
          <w:iCs/>
          <w:sz w:val="24"/>
          <w:szCs w:val="24"/>
        </w:rPr>
        <w:t>Contraception, including emergency hormonal contraception, provision”.</w:t>
      </w:r>
    </w:p>
    <w:p w14:paraId="5BF6324C" w14:textId="77777777" w:rsidR="00320401" w:rsidRPr="00D37AFE" w:rsidRDefault="00320401" w:rsidP="00320401">
      <w:pPr>
        <w:spacing w:after="0" w:line="240" w:lineRule="auto"/>
        <w:rPr>
          <w:rFonts w:ascii="Arial" w:hAnsi="Arial" w:cs="Arial"/>
          <w:sz w:val="24"/>
          <w:szCs w:val="24"/>
        </w:rPr>
      </w:pPr>
    </w:p>
    <w:p w14:paraId="0EF47071" w14:textId="77777777" w:rsidR="00320401" w:rsidRPr="00D37AFE" w:rsidRDefault="00320401" w:rsidP="00320401">
      <w:pPr>
        <w:pStyle w:val="ListParagraph"/>
        <w:spacing w:after="0" w:line="240" w:lineRule="auto"/>
        <w:rPr>
          <w:rFonts w:ascii="Arial" w:hAnsi="Arial" w:cs="Arial"/>
          <w:sz w:val="24"/>
          <w:szCs w:val="24"/>
        </w:rPr>
      </w:pPr>
      <w:r w:rsidRPr="00D37AFE">
        <w:rPr>
          <w:rFonts w:ascii="Arial" w:hAnsi="Arial" w:cs="Arial"/>
          <w:sz w:val="24"/>
          <w:szCs w:val="24"/>
        </w:rPr>
        <w:t>These are exactly the same needs identified by contractors who have also informed the health board that they have the capacity to deliver significantly more services.</w:t>
      </w:r>
    </w:p>
    <w:p w14:paraId="528A68EE" w14:textId="77777777" w:rsidR="00320401" w:rsidRPr="00D37AFE" w:rsidRDefault="00320401" w:rsidP="00320401">
      <w:pPr>
        <w:spacing w:after="0" w:line="240" w:lineRule="auto"/>
        <w:rPr>
          <w:rFonts w:ascii="Arial" w:hAnsi="Arial" w:cs="Arial"/>
          <w:sz w:val="24"/>
          <w:szCs w:val="24"/>
        </w:rPr>
      </w:pPr>
    </w:p>
    <w:p w14:paraId="22E8500C" w14:textId="77777777" w:rsidR="00320401" w:rsidRPr="00D37AFE" w:rsidRDefault="00320401" w:rsidP="00320401">
      <w:pPr>
        <w:pStyle w:val="ListParagraph"/>
        <w:spacing w:after="0" w:line="240" w:lineRule="auto"/>
        <w:rPr>
          <w:rFonts w:ascii="Arial" w:hAnsi="Arial" w:cs="Arial"/>
          <w:sz w:val="24"/>
          <w:szCs w:val="24"/>
        </w:rPr>
      </w:pPr>
      <w:r w:rsidRPr="00D37AFE">
        <w:rPr>
          <w:rFonts w:ascii="Arial" w:hAnsi="Arial" w:cs="Arial"/>
          <w:sz w:val="24"/>
          <w:szCs w:val="24"/>
        </w:rPr>
        <w:t xml:space="preserve">The PNA also highlights healthcare needs within areas of deprivation with reference to Lower level Super Output Areas (LSOAs).  It concludes that </w:t>
      </w:r>
      <w:r w:rsidRPr="00D37AFE">
        <w:rPr>
          <w:rFonts w:ascii="Arial" w:hAnsi="Arial" w:cs="Arial"/>
          <w:i/>
          <w:iCs/>
          <w:sz w:val="24"/>
          <w:szCs w:val="24"/>
        </w:rPr>
        <w:t xml:space="preserve">“within the health board area, Cardiff (18%) has the highest percentage of LSOAs in the most deprived 10% of LSOAs in Wales, the fourth highest of all the 22 local authorities. 49% of all LSOAs in Cardiff lie within the 50% most deprived LSOAs in Wales, the tenth highest of all local authorities”. </w:t>
      </w:r>
      <w:r w:rsidRPr="00D37AFE">
        <w:rPr>
          <w:rFonts w:ascii="Arial" w:hAnsi="Arial" w:cs="Arial"/>
          <w:sz w:val="24"/>
          <w:szCs w:val="24"/>
        </w:rPr>
        <w:t>Community pharmacy is unique in relation to accessing areas of deprivation in that it breaks the</w:t>
      </w:r>
      <w:r w:rsidRPr="00D37AFE">
        <w:rPr>
          <w:rFonts w:ascii="Arial" w:hAnsi="Arial" w:cs="Arial"/>
          <w:i/>
          <w:iCs/>
          <w:sz w:val="24"/>
          <w:szCs w:val="24"/>
        </w:rPr>
        <w:t xml:space="preserve"> Inverse Care Law</w:t>
      </w:r>
      <w:r w:rsidRPr="00D37AFE">
        <w:rPr>
          <w:rFonts w:ascii="Arial" w:hAnsi="Arial" w:cs="Arial"/>
          <w:sz w:val="24"/>
          <w:szCs w:val="24"/>
        </w:rPr>
        <w:t>, in that there is a greater density of pharmacies in areas of deprivation.  CPW would recommend that the health board give consideration to how the community pharmacy network could be utilised to reduce inequalities.</w:t>
      </w:r>
    </w:p>
    <w:p w14:paraId="24B18B3F" w14:textId="77777777" w:rsidR="00320401" w:rsidRDefault="00320401" w:rsidP="00320401">
      <w:pPr>
        <w:spacing w:after="0" w:line="240" w:lineRule="auto"/>
        <w:rPr>
          <w:rFonts w:ascii="Arial" w:hAnsi="Arial" w:cs="Arial"/>
          <w:b/>
          <w:sz w:val="24"/>
          <w:szCs w:val="24"/>
        </w:rPr>
      </w:pPr>
    </w:p>
    <w:p w14:paraId="4A37A503" w14:textId="77777777" w:rsidR="00320401" w:rsidRDefault="00320401" w:rsidP="00320401">
      <w:pPr>
        <w:spacing w:after="0" w:line="240" w:lineRule="auto"/>
        <w:rPr>
          <w:rFonts w:ascii="Arial" w:hAnsi="Arial" w:cs="Arial"/>
          <w:b/>
          <w:sz w:val="24"/>
          <w:szCs w:val="24"/>
        </w:rPr>
      </w:pPr>
    </w:p>
    <w:p w14:paraId="53C2359C" w14:textId="77777777" w:rsidR="00320401" w:rsidRPr="00D37AFE" w:rsidRDefault="00320401" w:rsidP="00320401">
      <w:pPr>
        <w:spacing w:after="0" w:line="240" w:lineRule="auto"/>
        <w:rPr>
          <w:rFonts w:ascii="Arial" w:hAnsi="Arial" w:cs="Arial"/>
          <w:b/>
          <w:sz w:val="24"/>
          <w:szCs w:val="24"/>
        </w:rPr>
      </w:pPr>
      <w:r w:rsidRPr="00D37AFE">
        <w:rPr>
          <w:rFonts w:ascii="Arial" w:hAnsi="Arial" w:cs="Arial"/>
          <w:b/>
          <w:sz w:val="24"/>
          <w:szCs w:val="24"/>
        </w:rPr>
        <w:t>Cardiff and Vale University Health Board’s consideration</w:t>
      </w:r>
    </w:p>
    <w:p w14:paraId="5C8F937D" w14:textId="77777777" w:rsidR="00320401" w:rsidRPr="00D37AFE" w:rsidRDefault="00320401" w:rsidP="00320401">
      <w:pPr>
        <w:spacing w:after="0" w:line="240" w:lineRule="auto"/>
        <w:rPr>
          <w:rFonts w:ascii="Arial" w:hAnsi="Arial" w:cs="Arial"/>
          <w:b/>
          <w:sz w:val="24"/>
          <w:szCs w:val="24"/>
        </w:rPr>
      </w:pPr>
    </w:p>
    <w:p w14:paraId="0B19F8E2" w14:textId="77777777" w:rsidR="00320401" w:rsidRPr="00D37AFE" w:rsidRDefault="00320401" w:rsidP="00320401">
      <w:pPr>
        <w:spacing w:after="0" w:line="240" w:lineRule="auto"/>
        <w:rPr>
          <w:rFonts w:ascii="Arial" w:hAnsi="Arial" w:cs="Arial"/>
          <w:sz w:val="24"/>
          <w:szCs w:val="24"/>
        </w:rPr>
      </w:pPr>
      <w:r w:rsidRPr="00D37AFE">
        <w:rPr>
          <w:rFonts w:ascii="Arial" w:hAnsi="Arial" w:cs="Arial"/>
          <w:sz w:val="24"/>
          <w:szCs w:val="24"/>
        </w:rPr>
        <w:t>To prevent repetition, the following addresses the comments raised here and under other questions asked as part of the consultation process around enhanced services:</w:t>
      </w:r>
    </w:p>
    <w:p w14:paraId="7E6D9ABD" w14:textId="77777777" w:rsidR="00320401" w:rsidRPr="00D37AFE" w:rsidRDefault="00320401" w:rsidP="00320401">
      <w:pPr>
        <w:spacing w:after="0" w:line="240" w:lineRule="auto"/>
        <w:rPr>
          <w:rFonts w:ascii="Arial" w:hAnsi="Arial" w:cs="Arial"/>
          <w:b/>
          <w:sz w:val="24"/>
          <w:szCs w:val="24"/>
        </w:rPr>
      </w:pPr>
      <w:r w:rsidRPr="00D37AFE">
        <w:rPr>
          <w:rFonts w:ascii="Arial" w:hAnsi="Arial" w:cs="Arial"/>
          <w:b/>
          <w:sz w:val="24"/>
          <w:szCs w:val="24"/>
        </w:rPr>
        <w:t xml:space="preserve"> </w:t>
      </w:r>
    </w:p>
    <w:p w14:paraId="4DD63E0B" w14:textId="77777777" w:rsidR="00320401" w:rsidRPr="00D37AFE" w:rsidRDefault="00320401" w:rsidP="00320401">
      <w:pPr>
        <w:pStyle w:val="ListParagraph"/>
        <w:numPr>
          <w:ilvl w:val="0"/>
          <w:numId w:val="224"/>
        </w:numPr>
        <w:spacing w:after="0" w:line="240" w:lineRule="auto"/>
        <w:rPr>
          <w:rFonts w:ascii="Arial" w:hAnsi="Arial" w:cs="Arial"/>
          <w:b/>
          <w:bCs/>
          <w:sz w:val="24"/>
          <w:szCs w:val="24"/>
        </w:rPr>
      </w:pPr>
      <w:r w:rsidRPr="00D37AFE">
        <w:rPr>
          <w:rFonts w:ascii="Arial" w:hAnsi="Arial" w:cs="Arial"/>
          <w:sz w:val="24"/>
          <w:szCs w:val="24"/>
        </w:rPr>
        <w:t>Cardiff and Vale University Health Board has noted the comments made and desire for further commissioning of enhanced services to support the health board’s continuing commitment to reducing inequalities. In particular, the health board would like to thank CPW for the comprehensive list provided.</w:t>
      </w:r>
    </w:p>
    <w:p w14:paraId="2F170FBA" w14:textId="77777777" w:rsidR="00320401" w:rsidRPr="00D37AFE" w:rsidRDefault="00320401" w:rsidP="00320401">
      <w:pPr>
        <w:spacing w:after="0" w:line="240" w:lineRule="auto"/>
        <w:rPr>
          <w:rFonts w:ascii="Arial" w:hAnsi="Arial" w:cs="Arial"/>
          <w:b/>
          <w:bCs/>
          <w:sz w:val="24"/>
          <w:szCs w:val="24"/>
        </w:rPr>
      </w:pPr>
    </w:p>
    <w:p w14:paraId="22C32358" w14:textId="77777777" w:rsidR="00320401" w:rsidRPr="00D37AFE" w:rsidRDefault="00320401" w:rsidP="00320401">
      <w:pPr>
        <w:pStyle w:val="ListParagraph"/>
        <w:spacing w:after="0" w:line="240" w:lineRule="auto"/>
        <w:ind w:left="360"/>
        <w:rPr>
          <w:rFonts w:ascii="Arial" w:hAnsi="Arial" w:cs="Arial"/>
          <w:b/>
          <w:bCs/>
          <w:sz w:val="24"/>
          <w:szCs w:val="24"/>
        </w:rPr>
      </w:pPr>
      <w:r w:rsidRPr="00D37AFE">
        <w:rPr>
          <w:rFonts w:ascii="Arial" w:hAnsi="Arial" w:cs="Arial"/>
          <w:color w:val="000000"/>
          <w:sz w:val="24"/>
          <w:szCs w:val="24"/>
        </w:rPr>
        <w:t xml:space="preserve">Whilst there is a want for the widespread delivery of all existing enhanced services a specific need has not been demonstrated such as specific patient groups, lack of wider supporting services in the area or examples of unmet need. </w:t>
      </w:r>
    </w:p>
    <w:p w14:paraId="332FB977" w14:textId="77777777" w:rsidR="00320401" w:rsidRPr="00D37AFE" w:rsidRDefault="00320401" w:rsidP="00320401">
      <w:pPr>
        <w:spacing w:after="0" w:line="240" w:lineRule="auto"/>
        <w:rPr>
          <w:rFonts w:ascii="Arial" w:hAnsi="Arial" w:cs="Arial"/>
          <w:b/>
          <w:bCs/>
          <w:sz w:val="24"/>
          <w:szCs w:val="24"/>
        </w:rPr>
      </w:pPr>
    </w:p>
    <w:p w14:paraId="48EAE38B" w14:textId="77777777" w:rsidR="00320401" w:rsidRPr="00D37AFE" w:rsidRDefault="00320401" w:rsidP="00320401">
      <w:pPr>
        <w:spacing w:after="0" w:line="240" w:lineRule="auto"/>
        <w:rPr>
          <w:rFonts w:ascii="Arial" w:hAnsi="Arial" w:cs="Arial"/>
          <w:b/>
          <w:bCs/>
          <w:sz w:val="24"/>
          <w:szCs w:val="24"/>
        </w:rPr>
      </w:pPr>
    </w:p>
    <w:p w14:paraId="7628391D" w14:textId="77777777" w:rsidR="00320401" w:rsidRPr="00D37AFE" w:rsidRDefault="00320401" w:rsidP="00320401">
      <w:pPr>
        <w:spacing w:after="0" w:line="240" w:lineRule="auto"/>
        <w:rPr>
          <w:rFonts w:ascii="Arial" w:hAnsi="Arial" w:cs="Arial"/>
          <w:b/>
          <w:bCs/>
          <w:sz w:val="24"/>
          <w:szCs w:val="24"/>
        </w:rPr>
      </w:pPr>
      <w:r w:rsidRPr="00D37AFE">
        <w:rPr>
          <w:rFonts w:ascii="Arial" w:hAnsi="Arial" w:cs="Arial"/>
          <w:b/>
          <w:bCs/>
          <w:sz w:val="24"/>
          <w:szCs w:val="24"/>
        </w:rPr>
        <w:t>Q9. Are there any developments that will arise within the lifetime of the pharmaceutical needs assessments that have not been identified?  For example, housing developments, regeneration projects, or new premises for the provision of NHS services.</w:t>
      </w:r>
    </w:p>
    <w:p w14:paraId="002403C7" w14:textId="77777777" w:rsidR="00320401" w:rsidRPr="00D37AFE" w:rsidRDefault="00320401" w:rsidP="00320401">
      <w:pPr>
        <w:spacing w:after="0" w:line="240" w:lineRule="auto"/>
        <w:rPr>
          <w:rFonts w:ascii="Arial" w:hAnsi="Arial" w:cs="Arial"/>
          <w:b/>
          <w:bCs/>
          <w:sz w:val="24"/>
          <w:szCs w:val="24"/>
        </w:rPr>
      </w:pPr>
    </w:p>
    <w:tbl>
      <w:tblPr>
        <w:tblW w:w="8801" w:type="dxa"/>
        <w:tblLook w:val="04A0" w:firstRow="1" w:lastRow="0" w:firstColumn="1" w:lastColumn="0" w:noHBand="0" w:noVBand="1"/>
      </w:tblPr>
      <w:tblGrid>
        <w:gridCol w:w="1444"/>
        <w:gridCol w:w="2603"/>
        <w:gridCol w:w="1730"/>
        <w:gridCol w:w="1835"/>
        <w:gridCol w:w="1189"/>
      </w:tblGrid>
      <w:tr w:rsidR="00320401" w:rsidRPr="00D37AFE" w14:paraId="564B5F7A" w14:textId="77777777" w:rsidTr="005670EB">
        <w:trPr>
          <w:trHeight w:val="253"/>
        </w:trPr>
        <w:tc>
          <w:tcPr>
            <w:tcW w:w="5777" w:type="dxa"/>
            <w:gridSpan w:val="3"/>
            <w:tcBorders>
              <w:top w:val="single" w:sz="4" w:space="0" w:color="A6A6A6"/>
              <w:left w:val="single" w:sz="4" w:space="0" w:color="A6A6A6"/>
              <w:bottom w:val="single" w:sz="4" w:space="0" w:color="A6A6A6"/>
              <w:right w:val="nil"/>
            </w:tcBorders>
            <w:shd w:val="clear" w:color="auto" w:fill="548DD4" w:themeFill="text2" w:themeFillTint="99"/>
            <w:noWrap/>
            <w:vAlign w:val="center"/>
            <w:hideMark/>
          </w:tcPr>
          <w:p w14:paraId="00B18EB0"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24" w:type="dxa"/>
            <w:gridSpan w:val="2"/>
            <w:tcBorders>
              <w:top w:val="single" w:sz="4" w:space="0" w:color="A6A6A6"/>
              <w:left w:val="nil"/>
              <w:bottom w:val="single" w:sz="4" w:space="0" w:color="A6A6A6"/>
              <w:right w:val="single" w:sz="4" w:space="0" w:color="A6A6A6"/>
            </w:tcBorders>
            <w:shd w:val="clear" w:color="auto" w:fill="548DD4" w:themeFill="text2" w:themeFillTint="99"/>
            <w:noWrap/>
            <w:vAlign w:val="center"/>
            <w:hideMark/>
          </w:tcPr>
          <w:p w14:paraId="36BB9B8E"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320401" w:rsidRPr="00D37AFE" w14:paraId="5117FB06" w14:textId="77777777" w:rsidTr="005670EB">
        <w:trPr>
          <w:trHeight w:val="253"/>
        </w:trPr>
        <w:tc>
          <w:tcPr>
            <w:tcW w:w="5777"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249AB605"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35" w:type="dxa"/>
            <w:tcBorders>
              <w:top w:val="nil"/>
              <w:left w:val="nil"/>
              <w:bottom w:val="single" w:sz="4" w:space="0" w:color="A6A6A6"/>
              <w:right w:val="single" w:sz="4" w:space="0" w:color="A6A6A6"/>
            </w:tcBorders>
            <w:shd w:val="clear" w:color="000000" w:fill="F2F2F2"/>
            <w:noWrap/>
            <w:vAlign w:val="center"/>
            <w:hideMark/>
          </w:tcPr>
          <w:p w14:paraId="5E45AA77"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188" w:type="dxa"/>
            <w:tcBorders>
              <w:top w:val="nil"/>
              <w:left w:val="nil"/>
              <w:bottom w:val="single" w:sz="4" w:space="0" w:color="A6A6A6"/>
              <w:right w:val="single" w:sz="4" w:space="0" w:color="A6A6A6"/>
            </w:tcBorders>
            <w:shd w:val="clear" w:color="000000" w:fill="F2F2F2"/>
            <w:noWrap/>
            <w:vAlign w:val="center"/>
            <w:hideMark/>
          </w:tcPr>
          <w:p w14:paraId="31A99077"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320401" w:rsidRPr="00D37AFE" w14:paraId="3A8E33B9" w14:textId="77777777" w:rsidTr="005670EB">
        <w:trPr>
          <w:trHeight w:val="253"/>
        </w:trPr>
        <w:tc>
          <w:tcPr>
            <w:tcW w:w="1444" w:type="dxa"/>
            <w:tcBorders>
              <w:top w:val="nil"/>
              <w:left w:val="single" w:sz="4" w:space="0" w:color="A6A6A6"/>
              <w:bottom w:val="single" w:sz="4" w:space="0" w:color="A6A6A6"/>
              <w:right w:val="single" w:sz="4" w:space="0" w:color="A6A6A6"/>
            </w:tcBorders>
            <w:shd w:val="clear" w:color="000000" w:fill="F2F2F2"/>
            <w:vAlign w:val="center"/>
            <w:hideMark/>
          </w:tcPr>
          <w:p w14:paraId="2005EE32"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33" w:type="dxa"/>
            <w:gridSpan w:val="2"/>
            <w:tcBorders>
              <w:top w:val="single" w:sz="4" w:space="0" w:color="A6A6A6"/>
              <w:left w:val="nil"/>
              <w:bottom w:val="single" w:sz="4" w:space="0" w:color="A6A6A6"/>
              <w:right w:val="single" w:sz="4" w:space="0" w:color="A6A6A6"/>
            </w:tcBorders>
            <w:shd w:val="clear" w:color="auto" w:fill="auto"/>
            <w:vAlign w:val="center"/>
            <w:hideMark/>
          </w:tcPr>
          <w:p w14:paraId="1E8FC5EA"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35" w:type="dxa"/>
            <w:tcBorders>
              <w:top w:val="nil"/>
              <w:left w:val="nil"/>
              <w:bottom w:val="single" w:sz="4" w:space="0" w:color="A6A6A6"/>
              <w:right w:val="single" w:sz="4" w:space="0" w:color="A6A6A6"/>
            </w:tcBorders>
            <w:shd w:val="clear" w:color="000000" w:fill="F2F2F2"/>
            <w:noWrap/>
            <w:vAlign w:val="bottom"/>
            <w:hideMark/>
          </w:tcPr>
          <w:p w14:paraId="0CA85C01"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22.22%</w:t>
            </w:r>
          </w:p>
        </w:tc>
        <w:tc>
          <w:tcPr>
            <w:tcW w:w="1188" w:type="dxa"/>
            <w:tcBorders>
              <w:top w:val="nil"/>
              <w:left w:val="nil"/>
              <w:bottom w:val="single" w:sz="4" w:space="0" w:color="A6A6A6"/>
              <w:right w:val="single" w:sz="4" w:space="0" w:color="A6A6A6"/>
            </w:tcBorders>
            <w:shd w:val="clear" w:color="000000" w:fill="F2F2F2"/>
            <w:noWrap/>
            <w:vAlign w:val="bottom"/>
            <w:hideMark/>
          </w:tcPr>
          <w:p w14:paraId="31DE5C78"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r>
      <w:tr w:rsidR="00320401" w:rsidRPr="00D37AFE" w14:paraId="4F03EC8A" w14:textId="77777777" w:rsidTr="005670EB">
        <w:trPr>
          <w:trHeight w:val="253"/>
        </w:trPr>
        <w:tc>
          <w:tcPr>
            <w:tcW w:w="1444" w:type="dxa"/>
            <w:tcBorders>
              <w:top w:val="nil"/>
              <w:left w:val="single" w:sz="4" w:space="0" w:color="A6A6A6"/>
              <w:bottom w:val="single" w:sz="4" w:space="0" w:color="A6A6A6"/>
              <w:right w:val="single" w:sz="4" w:space="0" w:color="A6A6A6"/>
            </w:tcBorders>
            <w:shd w:val="clear" w:color="000000" w:fill="F2F2F2"/>
            <w:vAlign w:val="center"/>
            <w:hideMark/>
          </w:tcPr>
          <w:p w14:paraId="7C6308A9"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33" w:type="dxa"/>
            <w:gridSpan w:val="2"/>
            <w:tcBorders>
              <w:top w:val="single" w:sz="4" w:space="0" w:color="A6A6A6"/>
              <w:left w:val="nil"/>
              <w:bottom w:val="single" w:sz="4" w:space="0" w:color="A6A6A6"/>
              <w:right w:val="single" w:sz="4" w:space="0" w:color="A6A6A6"/>
            </w:tcBorders>
            <w:shd w:val="clear" w:color="auto" w:fill="auto"/>
            <w:vAlign w:val="center"/>
            <w:hideMark/>
          </w:tcPr>
          <w:p w14:paraId="7E502E08"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35" w:type="dxa"/>
            <w:tcBorders>
              <w:top w:val="nil"/>
              <w:left w:val="nil"/>
              <w:bottom w:val="single" w:sz="4" w:space="0" w:color="A6A6A6"/>
              <w:right w:val="single" w:sz="4" w:space="0" w:color="A6A6A6"/>
            </w:tcBorders>
            <w:shd w:val="clear" w:color="000000" w:fill="F2F2F2"/>
            <w:noWrap/>
            <w:vAlign w:val="bottom"/>
            <w:hideMark/>
          </w:tcPr>
          <w:p w14:paraId="6502E5CF"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44.44%</w:t>
            </w:r>
          </w:p>
        </w:tc>
        <w:tc>
          <w:tcPr>
            <w:tcW w:w="1188" w:type="dxa"/>
            <w:tcBorders>
              <w:top w:val="nil"/>
              <w:left w:val="nil"/>
              <w:bottom w:val="single" w:sz="4" w:space="0" w:color="A6A6A6"/>
              <w:right w:val="single" w:sz="4" w:space="0" w:color="A6A6A6"/>
            </w:tcBorders>
            <w:shd w:val="clear" w:color="000000" w:fill="F2F2F2"/>
            <w:noWrap/>
            <w:vAlign w:val="bottom"/>
            <w:hideMark/>
          </w:tcPr>
          <w:p w14:paraId="3B372E9C"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320401" w:rsidRPr="00D37AFE" w14:paraId="2782D81D" w14:textId="77777777" w:rsidTr="005670EB">
        <w:trPr>
          <w:trHeight w:val="253"/>
        </w:trPr>
        <w:tc>
          <w:tcPr>
            <w:tcW w:w="1444" w:type="dxa"/>
            <w:tcBorders>
              <w:top w:val="nil"/>
              <w:left w:val="single" w:sz="4" w:space="0" w:color="A6A6A6"/>
              <w:bottom w:val="single" w:sz="4" w:space="0" w:color="A6A6A6"/>
              <w:right w:val="single" w:sz="4" w:space="0" w:color="A6A6A6"/>
            </w:tcBorders>
            <w:shd w:val="clear" w:color="000000" w:fill="F2F2F2"/>
            <w:vAlign w:val="center"/>
            <w:hideMark/>
          </w:tcPr>
          <w:p w14:paraId="64964A1D"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lastRenderedPageBreak/>
              <w:t>3</w:t>
            </w:r>
          </w:p>
        </w:tc>
        <w:tc>
          <w:tcPr>
            <w:tcW w:w="4333" w:type="dxa"/>
            <w:gridSpan w:val="2"/>
            <w:tcBorders>
              <w:top w:val="single" w:sz="4" w:space="0" w:color="A6A6A6"/>
              <w:left w:val="nil"/>
              <w:bottom w:val="single" w:sz="4" w:space="0" w:color="A6A6A6"/>
              <w:right w:val="single" w:sz="4" w:space="0" w:color="A6A6A6"/>
            </w:tcBorders>
            <w:shd w:val="clear" w:color="auto" w:fill="auto"/>
            <w:vAlign w:val="center"/>
            <w:hideMark/>
          </w:tcPr>
          <w:p w14:paraId="74A62E85"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35" w:type="dxa"/>
            <w:tcBorders>
              <w:top w:val="nil"/>
              <w:left w:val="nil"/>
              <w:bottom w:val="single" w:sz="4" w:space="0" w:color="A6A6A6"/>
              <w:right w:val="single" w:sz="4" w:space="0" w:color="A6A6A6"/>
            </w:tcBorders>
            <w:shd w:val="clear" w:color="000000" w:fill="F2F2F2"/>
            <w:noWrap/>
            <w:vAlign w:val="bottom"/>
            <w:hideMark/>
          </w:tcPr>
          <w:p w14:paraId="2653AB6A"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33.33%</w:t>
            </w:r>
          </w:p>
        </w:tc>
        <w:tc>
          <w:tcPr>
            <w:tcW w:w="1188" w:type="dxa"/>
            <w:tcBorders>
              <w:top w:val="nil"/>
              <w:left w:val="nil"/>
              <w:bottom w:val="single" w:sz="4" w:space="0" w:color="A6A6A6"/>
              <w:right w:val="single" w:sz="4" w:space="0" w:color="A6A6A6"/>
            </w:tcBorders>
            <w:shd w:val="clear" w:color="000000" w:fill="F2F2F2"/>
            <w:noWrap/>
            <w:vAlign w:val="bottom"/>
            <w:hideMark/>
          </w:tcPr>
          <w:p w14:paraId="72E3C82A"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r>
      <w:tr w:rsidR="00320401" w:rsidRPr="00D37AFE" w14:paraId="600A4B22" w14:textId="77777777" w:rsidTr="005670EB">
        <w:trPr>
          <w:trHeight w:val="253"/>
        </w:trPr>
        <w:tc>
          <w:tcPr>
            <w:tcW w:w="4047"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61A996E4"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30" w:type="dxa"/>
            <w:tcBorders>
              <w:top w:val="nil"/>
              <w:left w:val="nil"/>
              <w:bottom w:val="single" w:sz="4" w:space="0" w:color="A6A6A6"/>
              <w:right w:val="single" w:sz="4" w:space="0" w:color="A6A6A6"/>
            </w:tcBorders>
            <w:shd w:val="clear" w:color="000000" w:fill="F2F2F2"/>
            <w:vAlign w:val="center"/>
            <w:hideMark/>
          </w:tcPr>
          <w:p w14:paraId="420E982C"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35" w:type="dxa"/>
            <w:tcBorders>
              <w:top w:val="nil"/>
              <w:left w:val="nil"/>
              <w:bottom w:val="single" w:sz="4" w:space="0" w:color="A6A6A6"/>
              <w:right w:val="single" w:sz="4" w:space="0" w:color="A6A6A6"/>
            </w:tcBorders>
            <w:shd w:val="clear" w:color="000000" w:fill="F2F2F2"/>
            <w:noWrap/>
            <w:vAlign w:val="bottom"/>
            <w:hideMark/>
          </w:tcPr>
          <w:p w14:paraId="44F0A6AD"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188" w:type="dxa"/>
            <w:tcBorders>
              <w:top w:val="nil"/>
              <w:left w:val="nil"/>
              <w:bottom w:val="single" w:sz="4" w:space="0" w:color="A6A6A6"/>
              <w:right w:val="single" w:sz="4" w:space="0" w:color="A6A6A6"/>
            </w:tcBorders>
            <w:shd w:val="clear" w:color="000000" w:fill="F2F2F2"/>
            <w:noWrap/>
            <w:vAlign w:val="bottom"/>
            <w:hideMark/>
          </w:tcPr>
          <w:p w14:paraId="5F371AC1"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tc>
      </w:tr>
      <w:tr w:rsidR="00320401" w:rsidRPr="00D37AFE" w14:paraId="2A03D9F2" w14:textId="77777777" w:rsidTr="005670EB">
        <w:trPr>
          <w:trHeight w:val="253"/>
        </w:trPr>
        <w:tc>
          <w:tcPr>
            <w:tcW w:w="4047" w:type="dxa"/>
            <w:gridSpan w:val="2"/>
            <w:vMerge/>
            <w:tcBorders>
              <w:top w:val="single" w:sz="4" w:space="0" w:color="A6A6A6"/>
              <w:left w:val="single" w:sz="4" w:space="0" w:color="A6A6A6"/>
              <w:bottom w:val="single" w:sz="4" w:space="0" w:color="A6A6A6"/>
              <w:right w:val="single" w:sz="4" w:space="0" w:color="A6A6A6"/>
            </w:tcBorders>
            <w:vAlign w:val="center"/>
            <w:hideMark/>
          </w:tcPr>
          <w:p w14:paraId="05F13C35" w14:textId="77777777" w:rsidR="00320401" w:rsidRPr="00D37AFE" w:rsidRDefault="00320401" w:rsidP="005670EB">
            <w:pPr>
              <w:spacing w:after="0" w:line="240" w:lineRule="auto"/>
              <w:rPr>
                <w:rFonts w:ascii="Arial" w:eastAsia="Times New Roman" w:hAnsi="Arial" w:cs="Arial"/>
                <w:b/>
                <w:bCs/>
                <w:color w:val="000000"/>
                <w:sz w:val="24"/>
                <w:szCs w:val="24"/>
                <w:lang w:eastAsia="en-GB"/>
              </w:rPr>
            </w:pPr>
          </w:p>
        </w:tc>
        <w:tc>
          <w:tcPr>
            <w:tcW w:w="1730" w:type="dxa"/>
            <w:tcBorders>
              <w:top w:val="nil"/>
              <w:left w:val="nil"/>
              <w:bottom w:val="single" w:sz="4" w:space="0" w:color="A6A6A6"/>
              <w:right w:val="single" w:sz="4" w:space="0" w:color="A6A6A6"/>
            </w:tcBorders>
            <w:shd w:val="clear" w:color="000000" w:fill="F2F2F2"/>
            <w:vAlign w:val="center"/>
            <w:hideMark/>
          </w:tcPr>
          <w:p w14:paraId="129F8377"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35" w:type="dxa"/>
            <w:tcBorders>
              <w:top w:val="nil"/>
              <w:left w:val="nil"/>
              <w:bottom w:val="single" w:sz="4" w:space="0" w:color="A6A6A6"/>
              <w:right w:val="single" w:sz="4" w:space="0" w:color="A6A6A6"/>
            </w:tcBorders>
            <w:shd w:val="clear" w:color="000000" w:fill="F2F2F2"/>
            <w:noWrap/>
            <w:vAlign w:val="bottom"/>
            <w:hideMark/>
          </w:tcPr>
          <w:p w14:paraId="0C832747"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188" w:type="dxa"/>
            <w:tcBorders>
              <w:top w:val="nil"/>
              <w:left w:val="nil"/>
              <w:bottom w:val="single" w:sz="4" w:space="0" w:color="A6A6A6"/>
              <w:right w:val="single" w:sz="4" w:space="0" w:color="A6A6A6"/>
            </w:tcBorders>
            <w:shd w:val="clear" w:color="000000" w:fill="F2F2F2"/>
            <w:noWrap/>
            <w:vAlign w:val="bottom"/>
            <w:hideMark/>
          </w:tcPr>
          <w:p w14:paraId="1E86875E"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bl>
    <w:p w14:paraId="70CCE69D" w14:textId="77777777" w:rsidR="00320401" w:rsidRPr="00D37AFE" w:rsidRDefault="00320401" w:rsidP="00320401">
      <w:pPr>
        <w:spacing w:after="0" w:line="240" w:lineRule="auto"/>
        <w:rPr>
          <w:rFonts w:ascii="Arial" w:hAnsi="Arial" w:cs="Arial"/>
          <w:b/>
          <w:bCs/>
          <w:sz w:val="24"/>
          <w:szCs w:val="24"/>
        </w:rPr>
      </w:pPr>
    </w:p>
    <w:p w14:paraId="7FB7FCBB" w14:textId="77777777" w:rsidR="00320401" w:rsidRPr="00D37AFE" w:rsidRDefault="00320401" w:rsidP="00320401">
      <w:pPr>
        <w:spacing w:after="0" w:line="240" w:lineRule="auto"/>
        <w:rPr>
          <w:rFonts w:ascii="Arial" w:hAnsi="Arial" w:cs="Arial"/>
          <w:b/>
          <w:bCs/>
          <w:sz w:val="24"/>
          <w:szCs w:val="24"/>
        </w:rPr>
      </w:pPr>
    </w:p>
    <w:p w14:paraId="5067A11F" w14:textId="77777777" w:rsidR="00320401" w:rsidRPr="00D37AFE" w:rsidRDefault="00320401" w:rsidP="00320401">
      <w:pPr>
        <w:spacing w:after="0" w:line="240" w:lineRule="auto"/>
        <w:rPr>
          <w:rFonts w:ascii="Arial" w:hAnsi="Arial" w:cs="Arial"/>
          <w:b/>
          <w:bCs/>
          <w:sz w:val="24"/>
          <w:szCs w:val="24"/>
        </w:rPr>
      </w:pPr>
      <w:r w:rsidRPr="00D37AFE">
        <w:rPr>
          <w:rFonts w:ascii="Arial" w:hAnsi="Arial" w:cs="Arial"/>
          <w:b/>
          <w:bCs/>
          <w:sz w:val="24"/>
          <w:szCs w:val="24"/>
        </w:rPr>
        <w:t>Comments</w:t>
      </w:r>
    </w:p>
    <w:p w14:paraId="329D0099" w14:textId="77777777" w:rsidR="00320401" w:rsidRPr="00D37AFE" w:rsidRDefault="00320401" w:rsidP="00320401">
      <w:pPr>
        <w:spacing w:after="0" w:line="240" w:lineRule="auto"/>
        <w:rPr>
          <w:rFonts w:ascii="Arial" w:hAnsi="Arial" w:cs="Arial"/>
          <w:b/>
          <w:bCs/>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320401" w:rsidRPr="00D37AFE" w14:paraId="6B1C80BA" w14:textId="77777777" w:rsidTr="005670EB">
        <w:tc>
          <w:tcPr>
            <w:tcW w:w="0" w:type="auto"/>
            <w:shd w:val="clear" w:color="auto" w:fill="FFFFFF"/>
            <w:tcMar>
              <w:top w:w="75" w:type="dxa"/>
              <w:left w:w="75" w:type="dxa"/>
              <w:bottom w:w="75" w:type="dxa"/>
              <w:right w:w="75" w:type="dxa"/>
            </w:tcMar>
            <w:hideMark/>
          </w:tcPr>
          <w:p w14:paraId="4C2CBB5B" w14:textId="77777777" w:rsidR="00320401" w:rsidRPr="00D37AFE" w:rsidRDefault="00320401" w:rsidP="00320401">
            <w:pPr>
              <w:pStyle w:val="ListParagraph"/>
              <w:numPr>
                <w:ilvl w:val="0"/>
                <w:numId w:val="209"/>
              </w:numPr>
              <w:spacing w:after="0" w:line="240" w:lineRule="auto"/>
              <w:rPr>
                <w:rFonts w:ascii="Arial" w:hAnsi="Arial" w:cs="Arial"/>
                <w:sz w:val="24"/>
                <w:szCs w:val="24"/>
              </w:rPr>
            </w:pPr>
            <w:r w:rsidRPr="00D37AFE">
              <w:rPr>
                <w:rFonts w:ascii="Arial" w:hAnsi="Arial" w:cs="Arial"/>
                <w:sz w:val="24"/>
                <w:szCs w:val="24"/>
              </w:rPr>
              <w:t>See previous statements about the failure of the pharmacies in [X] to cope with the demands of the current local population and lack of capacity to provide provision for the extensive new houses that are being built in and around [X].</w:t>
            </w:r>
          </w:p>
        </w:tc>
      </w:tr>
      <w:tr w:rsidR="00320401" w:rsidRPr="00D37AFE" w14:paraId="29DF1011" w14:textId="77777777" w:rsidTr="005670EB">
        <w:tc>
          <w:tcPr>
            <w:tcW w:w="0" w:type="auto"/>
            <w:shd w:val="clear" w:color="auto" w:fill="FFFFFF"/>
            <w:tcMar>
              <w:top w:w="75" w:type="dxa"/>
              <w:left w:w="75" w:type="dxa"/>
              <w:bottom w:w="75" w:type="dxa"/>
              <w:right w:w="75" w:type="dxa"/>
            </w:tcMar>
            <w:hideMark/>
          </w:tcPr>
          <w:p w14:paraId="3F834446" w14:textId="77777777" w:rsidR="00320401" w:rsidRPr="00D37AFE" w:rsidRDefault="00320401" w:rsidP="00320401">
            <w:pPr>
              <w:pStyle w:val="ListParagraph"/>
              <w:numPr>
                <w:ilvl w:val="0"/>
                <w:numId w:val="209"/>
              </w:numPr>
              <w:spacing w:after="0" w:line="240" w:lineRule="auto"/>
              <w:rPr>
                <w:rFonts w:ascii="Arial" w:hAnsi="Arial" w:cs="Arial"/>
                <w:sz w:val="24"/>
                <w:szCs w:val="24"/>
              </w:rPr>
            </w:pPr>
            <w:r w:rsidRPr="00D37AFE">
              <w:rPr>
                <w:rFonts w:ascii="Arial" w:hAnsi="Arial" w:cs="Arial"/>
                <w:sz w:val="24"/>
                <w:szCs w:val="24"/>
              </w:rPr>
              <w:t>Many of the LDP Strategic Development sites have been linked with delivery of the UHB's strategy to create Health and Wellbeing Centres in each of the 3 Localities and Wellbeing Hubs in each of the 9 Clusters. There has been slow progress in delivering these centres and whilst the PNA refers to them within the relevant Cluster sections there is no clear articulation of the associated Community Pharmacy provision related to these developments.</w:t>
            </w:r>
            <w:r w:rsidRPr="00D37AFE">
              <w:rPr>
                <w:rFonts w:ascii="Arial" w:hAnsi="Arial" w:cs="Arial"/>
                <w:sz w:val="24"/>
                <w:szCs w:val="24"/>
              </w:rPr>
              <w:br/>
            </w:r>
            <w:r w:rsidRPr="00D37AFE">
              <w:rPr>
                <w:rFonts w:ascii="Arial" w:hAnsi="Arial" w:cs="Arial"/>
                <w:sz w:val="24"/>
                <w:szCs w:val="24"/>
              </w:rPr>
              <w:br/>
              <w:t>As stated in the response to question 5 above, the recent publication of the planning application relating to the former Tax Office site in Llanishen highlights the ever changing landscape of Cardiff consistent with the projected and anticipated population growth across the UHB.</w:t>
            </w:r>
          </w:p>
        </w:tc>
      </w:tr>
      <w:tr w:rsidR="00320401" w:rsidRPr="00D37AFE" w14:paraId="22DD33CA" w14:textId="77777777" w:rsidTr="005670EB">
        <w:tc>
          <w:tcPr>
            <w:tcW w:w="0" w:type="auto"/>
            <w:shd w:val="clear" w:color="auto" w:fill="FFFFFF"/>
            <w:tcMar>
              <w:top w:w="75" w:type="dxa"/>
              <w:left w:w="75" w:type="dxa"/>
              <w:bottom w:w="75" w:type="dxa"/>
              <w:right w:w="75" w:type="dxa"/>
            </w:tcMar>
            <w:hideMark/>
          </w:tcPr>
          <w:p w14:paraId="6D781F75" w14:textId="77777777" w:rsidR="00320401" w:rsidRPr="00D37AFE" w:rsidRDefault="00320401" w:rsidP="00320401">
            <w:pPr>
              <w:pStyle w:val="ListParagraph"/>
              <w:numPr>
                <w:ilvl w:val="0"/>
                <w:numId w:val="209"/>
              </w:numPr>
              <w:spacing w:after="0" w:line="240" w:lineRule="auto"/>
              <w:rPr>
                <w:rFonts w:ascii="Arial" w:hAnsi="Arial" w:cs="Arial"/>
                <w:sz w:val="24"/>
                <w:szCs w:val="24"/>
              </w:rPr>
            </w:pPr>
            <w:r w:rsidRPr="00D37AFE">
              <w:rPr>
                <w:rFonts w:ascii="Arial" w:hAnsi="Arial" w:cs="Arial"/>
                <w:sz w:val="24"/>
                <w:szCs w:val="24"/>
              </w:rPr>
              <w:t xml:space="preserve">There are numerous omissions surrounding new developments at the cluster level. </w:t>
            </w:r>
            <w:r w:rsidRPr="00D37AFE">
              <w:rPr>
                <w:rFonts w:ascii="Arial" w:hAnsi="Arial" w:cs="Arial"/>
                <w:sz w:val="24"/>
                <w:szCs w:val="24"/>
              </w:rPr>
              <w:br/>
              <w:t>The Cardiff LDP is not fully addressed. Taking North Cardiff as an example there is an acknowledgement of the new development and the acknowledgement of “Provision of one centrally located District Centre and one Local Centre including Primary Care facility” but without a pharmacy???</w:t>
            </w:r>
            <w:r w:rsidRPr="00D37AFE">
              <w:rPr>
                <w:rFonts w:ascii="Arial" w:hAnsi="Arial" w:cs="Arial"/>
                <w:sz w:val="24"/>
                <w:szCs w:val="24"/>
              </w:rPr>
              <w:br/>
              <w:t xml:space="preserve">The statement at the end of the developments section: </w:t>
            </w:r>
            <w:r w:rsidRPr="00D37AFE">
              <w:rPr>
                <w:rFonts w:ascii="Arial" w:hAnsi="Arial" w:cs="Arial"/>
                <w:sz w:val="24"/>
                <w:szCs w:val="24"/>
              </w:rPr>
              <w:br/>
              <w:t>“By autumn 2019, 45 houses were under construction. 2020 site monitoring was put on hold due to Coronavirus (COVID-19) pandemic restrictions.”. this document is being produced for Autumn 2021 therefore the information contained is acknowledged as 2 years out of date?!?!</w:t>
            </w:r>
            <w:r w:rsidRPr="00D37AFE">
              <w:rPr>
                <w:rFonts w:ascii="Arial" w:hAnsi="Arial" w:cs="Arial"/>
                <w:sz w:val="24"/>
                <w:szCs w:val="24"/>
              </w:rPr>
              <w:br/>
              <w:t xml:space="preserve">My fear is the authors of the document and some of the surveys completed do not show the extent of the future picture in Cardiff. The document does not highlight that most of these new developments are on the outside of current service areas and in most cases will be outside walking distance of the nearest pharmacy. </w:t>
            </w:r>
            <w:r w:rsidRPr="00D37AFE">
              <w:rPr>
                <w:rFonts w:ascii="Arial" w:hAnsi="Arial" w:cs="Arial"/>
                <w:sz w:val="24"/>
                <w:szCs w:val="24"/>
              </w:rPr>
              <w:br/>
              <w:t xml:space="preserve">This will therefore put an emphasis on Car use. Several pharmacies having limited parking in the vicinity as highlighted in the patient questionnaire therefore will lead to the likely outcome on the overreliance on delivery services which are not a contracted service so can not be considered when establishing current services. </w:t>
            </w:r>
          </w:p>
          <w:p w14:paraId="345BD00E" w14:textId="77777777" w:rsidR="00320401" w:rsidRPr="00D37AFE" w:rsidRDefault="00320401" w:rsidP="005670EB">
            <w:pPr>
              <w:pStyle w:val="ListParagraph"/>
              <w:spacing w:after="0" w:line="240" w:lineRule="auto"/>
              <w:rPr>
                <w:rFonts w:ascii="Arial" w:hAnsi="Arial" w:cs="Arial"/>
                <w:sz w:val="24"/>
                <w:szCs w:val="24"/>
              </w:rPr>
            </w:pPr>
          </w:p>
          <w:p w14:paraId="41496900" w14:textId="77777777" w:rsidR="00320401" w:rsidRPr="00D37AFE" w:rsidRDefault="00320401" w:rsidP="00320401">
            <w:pPr>
              <w:pStyle w:val="ListParagraph"/>
              <w:numPr>
                <w:ilvl w:val="0"/>
                <w:numId w:val="209"/>
              </w:numPr>
              <w:spacing w:after="0" w:line="240" w:lineRule="auto"/>
              <w:rPr>
                <w:rFonts w:ascii="Arial" w:hAnsi="Arial" w:cs="Arial"/>
                <w:sz w:val="24"/>
                <w:szCs w:val="24"/>
              </w:rPr>
            </w:pPr>
            <w:r w:rsidRPr="00D37AFE">
              <w:rPr>
                <w:rFonts w:ascii="Arial" w:hAnsi="Arial" w:cs="Arial"/>
                <w:sz w:val="24"/>
                <w:szCs w:val="24"/>
              </w:rPr>
              <w:t xml:space="preserve">We are not aware of any developments that may arise within the lifetime if this PNA that have not been identified. Within each chapter the Health Board has given a detailed account of plans for housing developments and GP </w:t>
            </w:r>
            <w:r w:rsidRPr="00D37AFE">
              <w:rPr>
                <w:rFonts w:ascii="Arial" w:hAnsi="Arial" w:cs="Arial"/>
                <w:sz w:val="24"/>
                <w:szCs w:val="24"/>
              </w:rPr>
              <w:lastRenderedPageBreak/>
              <w:t>premises. It is possible that individual pharmacy contractors with local knowledge will alert the health board of any developments that they may be aware of.</w:t>
            </w:r>
          </w:p>
          <w:p w14:paraId="384DFC84" w14:textId="77777777" w:rsidR="00320401" w:rsidRPr="00D37AFE" w:rsidRDefault="00320401" w:rsidP="005670EB">
            <w:pPr>
              <w:pStyle w:val="ListParagraph"/>
              <w:spacing w:after="0" w:line="240" w:lineRule="auto"/>
              <w:rPr>
                <w:rFonts w:ascii="Arial" w:hAnsi="Arial" w:cs="Arial"/>
                <w:sz w:val="24"/>
                <w:szCs w:val="24"/>
              </w:rPr>
            </w:pPr>
          </w:p>
        </w:tc>
      </w:tr>
    </w:tbl>
    <w:p w14:paraId="1B188C13" w14:textId="77777777" w:rsidR="00320401" w:rsidRPr="00D37AFE" w:rsidRDefault="00320401" w:rsidP="00320401">
      <w:pPr>
        <w:spacing w:after="0" w:line="240" w:lineRule="auto"/>
        <w:rPr>
          <w:rFonts w:ascii="Arial" w:eastAsia="Times New Roman" w:hAnsi="Arial" w:cs="Arial"/>
          <w:color w:val="000000"/>
          <w:sz w:val="24"/>
          <w:szCs w:val="24"/>
          <w:lang w:eastAsia="en-GB"/>
        </w:rPr>
      </w:pPr>
    </w:p>
    <w:p w14:paraId="17C27784" w14:textId="77777777" w:rsidR="00320401" w:rsidRPr="00D37AFE" w:rsidRDefault="00320401" w:rsidP="00320401">
      <w:pPr>
        <w:spacing w:after="0" w:line="240" w:lineRule="auto"/>
        <w:rPr>
          <w:rFonts w:ascii="Arial" w:eastAsia="Times New Roman" w:hAnsi="Arial" w:cs="Arial"/>
          <w:color w:val="000000"/>
          <w:sz w:val="24"/>
          <w:szCs w:val="24"/>
          <w:lang w:eastAsia="en-GB"/>
        </w:rPr>
      </w:pPr>
    </w:p>
    <w:p w14:paraId="1A6FC8CA" w14:textId="77777777" w:rsidR="00320401" w:rsidRPr="00D37AFE" w:rsidRDefault="00320401" w:rsidP="00320401">
      <w:pPr>
        <w:spacing w:after="0" w:line="240" w:lineRule="auto"/>
        <w:rPr>
          <w:rFonts w:ascii="Arial" w:hAnsi="Arial" w:cs="Arial"/>
          <w:b/>
          <w:sz w:val="24"/>
          <w:szCs w:val="24"/>
        </w:rPr>
      </w:pPr>
      <w:r w:rsidRPr="00D37AFE">
        <w:rPr>
          <w:rFonts w:ascii="Arial" w:hAnsi="Arial" w:cs="Arial"/>
          <w:b/>
          <w:sz w:val="24"/>
          <w:szCs w:val="24"/>
        </w:rPr>
        <w:t xml:space="preserve">Cardiff and Vale University Health Board’s consideration </w:t>
      </w:r>
    </w:p>
    <w:p w14:paraId="4D76ABF3" w14:textId="77777777" w:rsidR="00320401" w:rsidRPr="00D37AFE" w:rsidRDefault="00320401" w:rsidP="00320401">
      <w:pPr>
        <w:spacing w:after="0" w:line="240" w:lineRule="auto"/>
        <w:rPr>
          <w:rFonts w:ascii="Arial" w:eastAsia="Times New Roman" w:hAnsi="Arial" w:cs="Arial"/>
          <w:b/>
          <w:bCs/>
          <w:color w:val="000000"/>
          <w:sz w:val="24"/>
          <w:szCs w:val="24"/>
          <w:lang w:eastAsia="en-GB"/>
        </w:rPr>
      </w:pPr>
    </w:p>
    <w:p w14:paraId="5CAF5674" w14:textId="77777777" w:rsidR="00320401" w:rsidRPr="00D37AFE" w:rsidRDefault="00320401" w:rsidP="00320401">
      <w:pPr>
        <w:pStyle w:val="ListParagraph"/>
        <w:numPr>
          <w:ilvl w:val="0"/>
          <w:numId w:val="218"/>
        </w:numPr>
        <w:spacing w:after="0" w:line="240" w:lineRule="auto"/>
        <w:rPr>
          <w:rFonts w:ascii="Arial" w:hAnsi="Arial" w:cs="Arial"/>
          <w:b/>
          <w:bCs/>
          <w:sz w:val="24"/>
          <w:szCs w:val="24"/>
        </w:rPr>
      </w:pPr>
      <w:r w:rsidRPr="00D37AFE">
        <w:rPr>
          <w:rFonts w:ascii="Arial" w:hAnsi="Arial" w:cs="Arial"/>
          <w:sz w:val="24"/>
          <w:szCs w:val="24"/>
        </w:rPr>
        <w:t xml:space="preserve">Cardiff and Vale University Health Board has noted the comments made. The PNA has had regard to all developments to which it is aware of in each cluster, including the LDP. With regard to the comment on North Cardiff and the provision of a local centre and primary care facilities, it is not axiomatic that in each and every such development additional pharmaceutical services are needed.  </w:t>
      </w:r>
    </w:p>
    <w:p w14:paraId="4D947D6D" w14:textId="77777777" w:rsidR="00320401" w:rsidRPr="00D37AFE" w:rsidRDefault="00320401" w:rsidP="00320401">
      <w:pPr>
        <w:spacing w:after="0" w:line="240" w:lineRule="auto"/>
        <w:rPr>
          <w:rFonts w:ascii="Arial" w:hAnsi="Arial" w:cs="Arial"/>
          <w:b/>
          <w:bCs/>
          <w:sz w:val="24"/>
          <w:szCs w:val="24"/>
        </w:rPr>
      </w:pPr>
    </w:p>
    <w:p w14:paraId="549C9DE8" w14:textId="77777777" w:rsidR="00320401" w:rsidRPr="00D37AFE" w:rsidRDefault="00320401" w:rsidP="00320401">
      <w:pPr>
        <w:spacing w:after="0" w:line="240" w:lineRule="auto"/>
        <w:rPr>
          <w:rFonts w:ascii="Arial" w:hAnsi="Arial" w:cs="Arial"/>
          <w:b/>
          <w:bCs/>
          <w:sz w:val="24"/>
          <w:szCs w:val="24"/>
        </w:rPr>
      </w:pPr>
    </w:p>
    <w:p w14:paraId="1762A8EC" w14:textId="77777777" w:rsidR="00320401" w:rsidRPr="00D37AFE" w:rsidRDefault="00320401" w:rsidP="00320401">
      <w:pPr>
        <w:spacing w:after="0" w:line="240" w:lineRule="auto"/>
        <w:rPr>
          <w:rFonts w:ascii="Arial" w:hAnsi="Arial" w:cs="Arial"/>
          <w:b/>
          <w:bCs/>
          <w:sz w:val="24"/>
          <w:szCs w:val="24"/>
        </w:rPr>
      </w:pPr>
      <w:r w:rsidRPr="00D37AFE">
        <w:rPr>
          <w:rFonts w:ascii="Arial" w:hAnsi="Arial" w:cs="Arial"/>
          <w:b/>
          <w:bCs/>
          <w:sz w:val="24"/>
          <w:szCs w:val="24"/>
        </w:rPr>
        <w:t>Q10. Do you agree with the conclusions of the pharmaceutical needs assessment?</w:t>
      </w:r>
    </w:p>
    <w:p w14:paraId="3EF71ED5" w14:textId="77777777" w:rsidR="00320401" w:rsidRPr="00D37AFE" w:rsidRDefault="00320401" w:rsidP="00320401">
      <w:pPr>
        <w:spacing w:after="0" w:line="240" w:lineRule="auto"/>
        <w:rPr>
          <w:rFonts w:ascii="Arial" w:hAnsi="Arial" w:cs="Arial"/>
          <w:b/>
          <w:bCs/>
          <w:sz w:val="24"/>
          <w:szCs w:val="24"/>
        </w:rPr>
      </w:pPr>
    </w:p>
    <w:tbl>
      <w:tblPr>
        <w:tblW w:w="8878" w:type="dxa"/>
        <w:tblLook w:val="04A0" w:firstRow="1" w:lastRow="0" w:firstColumn="1" w:lastColumn="0" w:noHBand="0" w:noVBand="1"/>
      </w:tblPr>
      <w:tblGrid>
        <w:gridCol w:w="1457"/>
        <w:gridCol w:w="2625"/>
        <w:gridCol w:w="1746"/>
        <w:gridCol w:w="1851"/>
        <w:gridCol w:w="1199"/>
      </w:tblGrid>
      <w:tr w:rsidR="00320401" w:rsidRPr="00D37AFE" w14:paraId="639068DC" w14:textId="77777777" w:rsidTr="005670EB">
        <w:trPr>
          <w:trHeight w:val="279"/>
        </w:trPr>
        <w:tc>
          <w:tcPr>
            <w:tcW w:w="5828" w:type="dxa"/>
            <w:gridSpan w:val="3"/>
            <w:tcBorders>
              <w:top w:val="single" w:sz="4" w:space="0" w:color="A6A6A6"/>
              <w:left w:val="single" w:sz="4" w:space="0" w:color="A6A6A6"/>
              <w:bottom w:val="single" w:sz="4" w:space="0" w:color="A6A6A6"/>
              <w:right w:val="nil"/>
            </w:tcBorders>
            <w:shd w:val="clear" w:color="auto" w:fill="548DD4" w:themeFill="text2" w:themeFillTint="99"/>
            <w:noWrap/>
            <w:vAlign w:val="center"/>
            <w:hideMark/>
          </w:tcPr>
          <w:p w14:paraId="29669497"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50" w:type="dxa"/>
            <w:gridSpan w:val="2"/>
            <w:tcBorders>
              <w:top w:val="single" w:sz="4" w:space="0" w:color="A6A6A6"/>
              <w:left w:val="nil"/>
              <w:bottom w:val="single" w:sz="4" w:space="0" w:color="A6A6A6"/>
              <w:right w:val="single" w:sz="4" w:space="0" w:color="A6A6A6"/>
            </w:tcBorders>
            <w:shd w:val="clear" w:color="auto" w:fill="548DD4" w:themeFill="text2" w:themeFillTint="99"/>
            <w:noWrap/>
            <w:vAlign w:val="center"/>
            <w:hideMark/>
          </w:tcPr>
          <w:p w14:paraId="5F5F3C12"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320401" w:rsidRPr="00D37AFE" w14:paraId="03949213" w14:textId="77777777" w:rsidTr="005670EB">
        <w:trPr>
          <w:trHeight w:val="279"/>
        </w:trPr>
        <w:tc>
          <w:tcPr>
            <w:tcW w:w="5828"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3613B676"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51" w:type="dxa"/>
            <w:tcBorders>
              <w:top w:val="nil"/>
              <w:left w:val="nil"/>
              <w:bottom w:val="single" w:sz="4" w:space="0" w:color="A6A6A6"/>
              <w:right w:val="single" w:sz="4" w:space="0" w:color="A6A6A6"/>
            </w:tcBorders>
            <w:shd w:val="clear" w:color="000000" w:fill="F2F2F2"/>
            <w:noWrap/>
            <w:vAlign w:val="center"/>
            <w:hideMark/>
          </w:tcPr>
          <w:p w14:paraId="2D4B8DFB"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199" w:type="dxa"/>
            <w:tcBorders>
              <w:top w:val="nil"/>
              <w:left w:val="nil"/>
              <w:bottom w:val="single" w:sz="4" w:space="0" w:color="A6A6A6"/>
              <w:right w:val="single" w:sz="4" w:space="0" w:color="A6A6A6"/>
            </w:tcBorders>
            <w:shd w:val="clear" w:color="000000" w:fill="F2F2F2"/>
            <w:noWrap/>
            <w:vAlign w:val="center"/>
            <w:hideMark/>
          </w:tcPr>
          <w:p w14:paraId="4692AA1A"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320401" w:rsidRPr="00D37AFE" w14:paraId="6D283685" w14:textId="77777777" w:rsidTr="005670EB">
        <w:trPr>
          <w:trHeight w:val="279"/>
        </w:trPr>
        <w:tc>
          <w:tcPr>
            <w:tcW w:w="1457" w:type="dxa"/>
            <w:tcBorders>
              <w:top w:val="nil"/>
              <w:left w:val="single" w:sz="4" w:space="0" w:color="A6A6A6"/>
              <w:bottom w:val="single" w:sz="4" w:space="0" w:color="A6A6A6"/>
              <w:right w:val="single" w:sz="4" w:space="0" w:color="A6A6A6"/>
            </w:tcBorders>
            <w:shd w:val="clear" w:color="000000" w:fill="F2F2F2"/>
            <w:vAlign w:val="center"/>
            <w:hideMark/>
          </w:tcPr>
          <w:p w14:paraId="75B48238"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71" w:type="dxa"/>
            <w:gridSpan w:val="2"/>
            <w:tcBorders>
              <w:top w:val="single" w:sz="4" w:space="0" w:color="A6A6A6"/>
              <w:left w:val="nil"/>
              <w:bottom w:val="single" w:sz="4" w:space="0" w:color="A6A6A6"/>
              <w:right w:val="single" w:sz="4" w:space="0" w:color="A6A6A6"/>
            </w:tcBorders>
            <w:shd w:val="clear" w:color="auto" w:fill="auto"/>
            <w:vAlign w:val="center"/>
            <w:hideMark/>
          </w:tcPr>
          <w:p w14:paraId="28F49BB3"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51" w:type="dxa"/>
            <w:tcBorders>
              <w:top w:val="nil"/>
              <w:left w:val="nil"/>
              <w:bottom w:val="single" w:sz="4" w:space="0" w:color="A6A6A6"/>
              <w:right w:val="single" w:sz="4" w:space="0" w:color="A6A6A6"/>
            </w:tcBorders>
            <w:shd w:val="clear" w:color="000000" w:fill="F2F2F2"/>
            <w:noWrap/>
            <w:vAlign w:val="bottom"/>
            <w:hideMark/>
          </w:tcPr>
          <w:p w14:paraId="4B05F785"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33.33%</w:t>
            </w:r>
          </w:p>
        </w:tc>
        <w:tc>
          <w:tcPr>
            <w:tcW w:w="1199" w:type="dxa"/>
            <w:tcBorders>
              <w:top w:val="nil"/>
              <w:left w:val="nil"/>
              <w:bottom w:val="single" w:sz="4" w:space="0" w:color="A6A6A6"/>
              <w:right w:val="single" w:sz="4" w:space="0" w:color="A6A6A6"/>
            </w:tcBorders>
            <w:shd w:val="clear" w:color="000000" w:fill="F2F2F2"/>
            <w:noWrap/>
            <w:vAlign w:val="bottom"/>
            <w:hideMark/>
          </w:tcPr>
          <w:p w14:paraId="3EF58CD2"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r>
      <w:tr w:rsidR="00320401" w:rsidRPr="00D37AFE" w14:paraId="5C32E27C" w14:textId="77777777" w:rsidTr="005670EB">
        <w:trPr>
          <w:trHeight w:val="279"/>
        </w:trPr>
        <w:tc>
          <w:tcPr>
            <w:tcW w:w="1457" w:type="dxa"/>
            <w:tcBorders>
              <w:top w:val="nil"/>
              <w:left w:val="single" w:sz="4" w:space="0" w:color="A6A6A6"/>
              <w:bottom w:val="single" w:sz="4" w:space="0" w:color="A6A6A6"/>
              <w:right w:val="single" w:sz="4" w:space="0" w:color="A6A6A6"/>
            </w:tcBorders>
            <w:shd w:val="clear" w:color="000000" w:fill="F2F2F2"/>
            <w:vAlign w:val="center"/>
            <w:hideMark/>
          </w:tcPr>
          <w:p w14:paraId="3AC06B2D"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71" w:type="dxa"/>
            <w:gridSpan w:val="2"/>
            <w:tcBorders>
              <w:top w:val="single" w:sz="4" w:space="0" w:color="A6A6A6"/>
              <w:left w:val="nil"/>
              <w:bottom w:val="single" w:sz="4" w:space="0" w:color="A6A6A6"/>
              <w:right w:val="single" w:sz="4" w:space="0" w:color="A6A6A6"/>
            </w:tcBorders>
            <w:shd w:val="clear" w:color="auto" w:fill="auto"/>
            <w:vAlign w:val="center"/>
            <w:hideMark/>
          </w:tcPr>
          <w:p w14:paraId="02DC75B1"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51" w:type="dxa"/>
            <w:tcBorders>
              <w:top w:val="nil"/>
              <w:left w:val="nil"/>
              <w:bottom w:val="single" w:sz="4" w:space="0" w:color="A6A6A6"/>
              <w:right w:val="single" w:sz="4" w:space="0" w:color="A6A6A6"/>
            </w:tcBorders>
            <w:shd w:val="clear" w:color="000000" w:fill="F2F2F2"/>
            <w:noWrap/>
            <w:vAlign w:val="bottom"/>
            <w:hideMark/>
          </w:tcPr>
          <w:p w14:paraId="5E9BC0B2"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55.56%</w:t>
            </w:r>
          </w:p>
        </w:tc>
        <w:tc>
          <w:tcPr>
            <w:tcW w:w="1199" w:type="dxa"/>
            <w:tcBorders>
              <w:top w:val="nil"/>
              <w:left w:val="nil"/>
              <w:bottom w:val="single" w:sz="4" w:space="0" w:color="A6A6A6"/>
              <w:right w:val="single" w:sz="4" w:space="0" w:color="A6A6A6"/>
            </w:tcBorders>
            <w:shd w:val="clear" w:color="000000" w:fill="F2F2F2"/>
            <w:noWrap/>
            <w:vAlign w:val="bottom"/>
            <w:hideMark/>
          </w:tcPr>
          <w:p w14:paraId="183C4BC1"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w:t>
            </w:r>
          </w:p>
        </w:tc>
      </w:tr>
      <w:tr w:rsidR="00320401" w:rsidRPr="00D37AFE" w14:paraId="6A5281EE" w14:textId="77777777" w:rsidTr="005670EB">
        <w:trPr>
          <w:trHeight w:val="279"/>
        </w:trPr>
        <w:tc>
          <w:tcPr>
            <w:tcW w:w="1457" w:type="dxa"/>
            <w:tcBorders>
              <w:top w:val="nil"/>
              <w:left w:val="single" w:sz="4" w:space="0" w:color="A6A6A6"/>
              <w:bottom w:val="single" w:sz="4" w:space="0" w:color="A6A6A6"/>
              <w:right w:val="single" w:sz="4" w:space="0" w:color="A6A6A6"/>
            </w:tcBorders>
            <w:shd w:val="clear" w:color="000000" w:fill="F2F2F2"/>
            <w:vAlign w:val="center"/>
            <w:hideMark/>
          </w:tcPr>
          <w:p w14:paraId="272791CE"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71" w:type="dxa"/>
            <w:gridSpan w:val="2"/>
            <w:tcBorders>
              <w:top w:val="single" w:sz="4" w:space="0" w:color="A6A6A6"/>
              <w:left w:val="nil"/>
              <w:bottom w:val="single" w:sz="4" w:space="0" w:color="A6A6A6"/>
              <w:right w:val="single" w:sz="4" w:space="0" w:color="A6A6A6"/>
            </w:tcBorders>
            <w:shd w:val="clear" w:color="auto" w:fill="auto"/>
            <w:vAlign w:val="center"/>
            <w:hideMark/>
          </w:tcPr>
          <w:p w14:paraId="34114EBF"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51" w:type="dxa"/>
            <w:tcBorders>
              <w:top w:val="nil"/>
              <w:left w:val="nil"/>
              <w:bottom w:val="single" w:sz="4" w:space="0" w:color="A6A6A6"/>
              <w:right w:val="single" w:sz="4" w:space="0" w:color="A6A6A6"/>
            </w:tcBorders>
            <w:shd w:val="clear" w:color="000000" w:fill="F2F2F2"/>
            <w:noWrap/>
            <w:vAlign w:val="bottom"/>
            <w:hideMark/>
          </w:tcPr>
          <w:p w14:paraId="1706D719"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11.11%</w:t>
            </w:r>
          </w:p>
        </w:tc>
        <w:tc>
          <w:tcPr>
            <w:tcW w:w="1199" w:type="dxa"/>
            <w:tcBorders>
              <w:top w:val="nil"/>
              <w:left w:val="nil"/>
              <w:bottom w:val="single" w:sz="4" w:space="0" w:color="A6A6A6"/>
              <w:right w:val="single" w:sz="4" w:space="0" w:color="A6A6A6"/>
            </w:tcBorders>
            <w:shd w:val="clear" w:color="000000" w:fill="F2F2F2"/>
            <w:noWrap/>
            <w:vAlign w:val="bottom"/>
            <w:hideMark/>
          </w:tcPr>
          <w:p w14:paraId="7C768829"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r w:rsidR="00320401" w:rsidRPr="00D37AFE" w14:paraId="71AE829B" w14:textId="77777777" w:rsidTr="005670EB">
        <w:trPr>
          <w:trHeight w:val="279"/>
        </w:trPr>
        <w:tc>
          <w:tcPr>
            <w:tcW w:w="4082"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7A4F7D2C"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45" w:type="dxa"/>
            <w:tcBorders>
              <w:top w:val="nil"/>
              <w:left w:val="nil"/>
              <w:bottom w:val="single" w:sz="4" w:space="0" w:color="A6A6A6"/>
              <w:right w:val="single" w:sz="4" w:space="0" w:color="A6A6A6"/>
            </w:tcBorders>
            <w:shd w:val="clear" w:color="000000" w:fill="F2F2F2"/>
            <w:vAlign w:val="center"/>
            <w:hideMark/>
          </w:tcPr>
          <w:p w14:paraId="5681E889"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51" w:type="dxa"/>
            <w:tcBorders>
              <w:top w:val="nil"/>
              <w:left w:val="nil"/>
              <w:bottom w:val="single" w:sz="4" w:space="0" w:color="A6A6A6"/>
              <w:right w:val="single" w:sz="4" w:space="0" w:color="A6A6A6"/>
            </w:tcBorders>
            <w:shd w:val="clear" w:color="000000" w:fill="F2F2F2"/>
            <w:noWrap/>
            <w:vAlign w:val="bottom"/>
            <w:hideMark/>
          </w:tcPr>
          <w:p w14:paraId="50C2AACF"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199" w:type="dxa"/>
            <w:tcBorders>
              <w:top w:val="nil"/>
              <w:left w:val="nil"/>
              <w:bottom w:val="single" w:sz="4" w:space="0" w:color="A6A6A6"/>
              <w:right w:val="single" w:sz="4" w:space="0" w:color="A6A6A6"/>
            </w:tcBorders>
            <w:shd w:val="clear" w:color="000000" w:fill="F2F2F2"/>
            <w:noWrap/>
            <w:vAlign w:val="bottom"/>
            <w:hideMark/>
          </w:tcPr>
          <w:p w14:paraId="571F9546"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tc>
      </w:tr>
      <w:tr w:rsidR="00320401" w:rsidRPr="00D37AFE" w14:paraId="073FC9B8" w14:textId="77777777" w:rsidTr="005670EB">
        <w:trPr>
          <w:trHeight w:val="279"/>
        </w:trPr>
        <w:tc>
          <w:tcPr>
            <w:tcW w:w="4082" w:type="dxa"/>
            <w:gridSpan w:val="2"/>
            <w:vMerge/>
            <w:tcBorders>
              <w:top w:val="single" w:sz="4" w:space="0" w:color="A6A6A6"/>
              <w:left w:val="single" w:sz="4" w:space="0" w:color="A6A6A6"/>
              <w:bottom w:val="single" w:sz="4" w:space="0" w:color="A6A6A6"/>
              <w:right w:val="single" w:sz="4" w:space="0" w:color="A6A6A6"/>
            </w:tcBorders>
            <w:vAlign w:val="center"/>
            <w:hideMark/>
          </w:tcPr>
          <w:p w14:paraId="4ED56EE4" w14:textId="77777777" w:rsidR="00320401" w:rsidRPr="00D37AFE" w:rsidRDefault="00320401" w:rsidP="005670EB">
            <w:pPr>
              <w:spacing w:after="0" w:line="240" w:lineRule="auto"/>
              <w:rPr>
                <w:rFonts w:ascii="Arial" w:eastAsia="Times New Roman" w:hAnsi="Arial" w:cs="Arial"/>
                <w:b/>
                <w:bCs/>
                <w:color w:val="000000"/>
                <w:sz w:val="24"/>
                <w:szCs w:val="24"/>
                <w:lang w:eastAsia="en-GB"/>
              </w:rPr>
            </w:pPr>
          </w:p>
        </w:tc>
        <w:tc>
          <w:tcPr>
            <w:tcW w:w="1745" w:type="dxa"/>
            <w:tcBorders>
              <w:top w:val="nil"/>
              <w:left w:val="nil"/>
              <w:bottom w:val="single" w:sz="4" w:space="0" w:color="A6A6A6"/>
              <w:right w:val="single" w:sz="4" w:space="0" w:color="A6A6A6"/>
            </w:tcBorders>
            <w:shd w:val="clear" w:color="000000" w:fill="F2F2F2"/>
            <w:vAlign w:val="center"/>
            <w:hideMark/>
          </w:tcPr>
          <w:p w14:paraId="6D0C00F5"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51" w:type="dxa"/>
            <w:tcBorders>
              <w:top w:val="nil"/>
              <w:left w:val="nil"/>
              <w:bottom w:val="single" w:sz="4" w:space="0" w:color="A6A6A6"/>
              <w:right w:val="single" w:sz="4" w:space="0" w:color="A6A6A6"/>
            </w:tcBorders>
            <w:shd w:val="clear" w:color="000000" w:fill="F2F2F2"/>
            <w:noWrap/>
            <w:vAlign w:val="bottom"/>
            <w:hideMark/>
          </w:tcPr>
          <w:p w14:paraId="008DB8EF"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199" w:type="dxa"/>
            <w:tcBorders>
              <w:top w:val="nil"/>
              <w:left w:val="nil"/>
              <w:bottom w:val="single" w:sz="4" w:space="0" w:color="A6A6A6"/>
              <w:right w:val="single" w:sz="4" w:space="0" w:color="A6A6A6"/>
            </w:tcBorders>
            <w:shd w:val="clear" w:color="000000" w:fill="F2F2F2"/>
            <w:noWrap/>
            <w:vAlign w:val="bottom"/>
            <w:hideMark/>
          </w:tcPr>
          <w:p w14:paraId="57FC5B1A"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bl>
    <w:p w14:paraId="352A4B8C" w14:textId="77777777" w:rsidR="00320401" w:rsidRPr="00D37AFE" w:rsidRDefault="00320401" w:rsidP="00320401">
      <w:pPr>
        <w:spacing w:after="0" w:line="240" w:lineRule="auto"/>
        <w:rPr>
          <w:rFonts w:ascii="Arial" w:hAnsi="Arial" w:cs="Arial"/>
          <w:b/>
          <w:bCs/>
          <w:sz w:val="24"/>
          <w:szCs w:val="24"/>
        </w:rPr>
      </w:pPr>
    </w:p>
    <w:p w14:paraId="32A0FA13" w14:textId="77777777" w:rsidR="00320401" w:rsidRPr="00D37AFE" w:rsidRDefault="00320401" w:rsidP="00320401">
      <w:pPr>
        <w:spacing w:after="0" w:line="240" w:lineRule="auto"/>
        <w:rPr>
          <w:rFonts w:ascii="Arial" w:hAnsi="Arial" w:cs="Arial"/>
          <w:b/>
          <w:bCs/>
          <w:sz w:val="24"/>
          <w:szCs w:val="24"/>
        </w:rPr>
      </w:pPr>
    </w:p>
    <w:p w14:paraId="64A677ED" w14:textId="77777777" w:rsidR="00320401" w:rsidRPr="00D37AFE" w:rsidRDefault="00320401" w:rsidP="00320401">
      <w:pPr>
        <w:spacing w:after="0" w:line="240" w:lineRule="auto"/>
        <w:rPr>
          <w:rFonts w:ascii="Arial" w:hAnsi="Arial" w:cs="Arial"/>
          <w:b/>
          <w:bCs/>
          <w:sz w:val="24"/>
          <w:szCs w:val="24"/>
        </w:rPr>
      </w:pPr>
      <w:r w:rsidRPr="00D37AFE">
        <w:rPr>
          <w:rFonts w:ascii="Arial" w:hAnsi="Arial" w:cs="Arial"/>
          <w:b/>
          <w:bCs/>
          <w:sz w:val="24"/>
          <w:szCs w:val="24"/>
        </w:rPr>
        <w:t>Comments</w:t>
      </w:r>
    </w:p>
    <w:p w14:paraId="6153B4CF" w14:textId="77777777" w:rsidR="00320401" w:rsidRPr="00D37AFE" w:rsidRDefault="00320401" w:rsidP="00320401">
      <w:pPr>
        <w:spacing w:after="0" w:line="240" w:lineRule="auto"/>
        <w:rPr>
          <w:rFonts w:ascii="Arial" w:eastAsia="Times New Roman" w:hAnsi="Arial" w:cs="Arial"/>
          <w:color w:val="000000"/>
          <w:sz w:val="24"/>
          <w:szCs w:val="24"/>
          <w:lang w:eastAsia="en-GB"/>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320401" w:rsidRPr="00D37AFE" w14:paraId="01C2B0A4" w14:textId="77777777" w:rsidTr="005670EB">
        <w:tc>
          <w:tcPr>
            <w:tcW w:w="0" w:type="auto"/>
            <w:shd w:val="clear" w:color="auto" w:fill="FFFFFF"/>
            <w:tcMar>
              <w:top w:w="75" w:type="dxa"/>
              <w:left w:w="75" w:type="dxa"/>
              <w:bottom w:w="75" w:type="dxa"/>
              <w:right w:w="75" w:type="dxa"/>
            </w:tcMar>
            <w:hideMark/>
          </w:tcPr>
          <w:p w14:paraId="634C50C0" w14:textId="77777777" w:rsidR="00320401" w:rsidRPr="00D37AFE" w:rsidRDefault="00320401" w:rsidP="00320401">
            <w:pPr>
              <w:pStyle w:val="ListParagraph"/>
              <w:numPr>
                <w:ilvl w:val="0"/>
                <w:numId w:val="210"/>
              </w:num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It is not clear whether the users of pharmaceutical services (patients &amp; public) concerns raised in the engagement questionnaire have been addressed. Therefore it is difficult to agree with the conclusions of the PNA.</w:t>
            </w:r>
          </w:p>
        </w:tc>
      </w:tr>
      <w:tr w:rsidR="00320401" w:rsidRPr="00D37AFE" w14:paraId="6FD5AFE7" w14:textId="77777777" w:rsidTr="005670EB">
        <w:tc>
          <w:tcPr>
            <w:tcW w:w="0" w:type="auto"/>
            <w:shd w:val="clear" w:color="auto" w:fill="FFFFFF"/>
            <w:tcMar>
              <w:top w:w="75" w:type="dxa"/>
              <w:left w:w="75" w:type="dxa"/>
              <w:bottom w:w="75" w:type="dxa"/>
              <w:right w:w="75" w:type="dxa"/>
            </w:tcMar>
            <w:hideMark/>
          </w:tcPr>
          <w:p w14:paraId="24FF43B8" w14:textId="77777777" w:rsidR="00320401" w:rsidRPr="00D37AFE" w:rsidRDefault="00320401" w:rsidP="00320401">
            <w:pPr>
              <w:pStyle w:val="ListParagraph"/>
              <w:numPr>
                <w:ilvl w:val="0"/>
                <w:numId w:val="210"/>
              </w:num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The provision of pharmacy service for [X] is insufficient</w:t>
            </w:r>
          </w:p>
        </w:tc>
      </w:tr>
      <w:tr w:rsidR="00320401" w:rsidRPr="00D37AFE" w14:paraId="2B89A984" w14:textId="77777777" w:rsidTr="005670EB">
        <w:tc>
          <w:tcPr>
            <w:tcW w:w="0" w:type="auto"/>
            <w:shd w:val="clear" w:color="auto" w:fill="FFFFFF"/>
            <w:tcMar>
              <w:top w:w="75" w:type="dxa"/>
              <w:left w:w="75" w:type="dxa"/>
              <w:bottom w:w="75" w:type="dxa"/>
              <w:right w:w="75" w:type="dxa"/>
            </w:tcMar>
            <w:hideMark/>
          </w:tcPr>
          <w:p w14:paraId="73CA1B63" w14:textId="77777777" w:rsidR="00320401" w:rsidRPr="00D37AFE" w:rsidRDefault="00320401" w:rsidP="00320401">
            <w:pPr>
              <w:pStyle w:val="ListParagraph"/>
              <w:numPr>
                <w:ilvl w:val="0"/>
                <w:numId w:val="210"/>
              </w:num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xml:space="preserve">I feel that it underepresents the demand in the area and doesnt reflect the strain the current pharmacies are clearly under and with additional housing estates being planned . </w:t>
            </w:r>
          </w:p>
        </w:tc>
      </w:tr>
      <w:tr w:rsidR="00320401" w:rsidRPr="00D37AFE" w14:paraId="31E3D82A" w14:textId="77777777" w:rsidTr="005670EB">
        <w:tc>
          <w:tcPr>
            <w:tcW w:w="0" w:type="auto"/>
            <w:shd w:val="clear" w:color="auto" w:fill="FFFFFF"/>
            <w:tcMar>
              <w:top w:w="75" w:type="dxa"/>
              <w:left w:w="75" w:type="dxa"/>
              <w:bottom w:w="75" w:type="dxa"/>
              <w:right w:w="75" w:type="dxa"/>
            </w:tcMar>
            <w:hideMark/>
          </w:tcPr>
          <w:p w14:paraId="5B38ECDE" w14:textId="77777777" w:rsidR="00320401" w:rsidRPr="00D37AFE" w:rsidRDefault="00320401" w:rsidP="00320401">
            <w:pPr>
              <w:pStyle w:val="ListParagraph"/>
              <w:numPr>
                <w:ilvl w:val="0"/>
                <w:numId w:val="210"/>
              </w:num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xml:space="preserve">Because as outlined above I am not convinced that the local pharmacy services in the [X] area and possibly in St Athan also could sensibly and satisfactorIly sustain the increased demand that will occur over the lifetime of the PNA. </w:t>
            </w:r>
          </w:p>
        </w:tc>
      </w:tr>
      <w:tr w:rsidR="00320401" w:rsidRPr="00D37AFE" w14:paraId="53C58F68" w14:textId="77777777" w:rsidTr="005670EB">
        <w:tc>
          <w:tcPr>
            <w:tcW w:w="0" w:type="auto"/>
            <w:shd w:val="clear" w:color="auto" w:fill="FFFFFF"/>
            <w:tcMar>
              <w:top w:w="75" w:type="dxa"/>
              <w:left w:w="75" w:type="dxa"/>
              <w:bottom w:w="75" w:type="dxa"/>
              <w:right w:w="75" w:type="dxa"/>
            </w:tcMar>
            <w:hideMark/>
          </w:tcPr>
          <w:p w14:paraId="0CE8A318" w14:textId="77777777" w:rsidR="00320401" w:rsidRPr="00D37AFE" w:rsidRDefault="00320401" w:rsidP="00320401">
            <w:pPr>
              <w:pStyle w:val="ListParagraph"/>
              <w:numPr>
                <w:ilvl w:val="0"/>
                <w:numId w:val="210"/>
              </w:num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xml:space="preserve">In our opinion this is a very poor document that appears to have taken a position of status quo from the outset and presents a missed opportunity to increase the pace of development of community pharmacy services across the UHB. It lacks any form of vision and bears no resemblance to the </w:t>
            </w:r>
            <w:r w:rsidRPr="00D37AFE">
              <w:rPr>
                <w:rFonts w:ascii="Arial" w:eastAsia="Times New Roman" w:hAnsi="Arial" w:cs="Arial"/>
                <w:color w:val="000000"/>
                <w:sz w:val="24"/>
                <w:szCs w:val="24"/>
                <w:lang w:eastAsia="en-GB"/>
              </w:rPr>
              <w:lastRenderedPageBreak/>
              <w:t>strategic desires widely articulated by the UHB. The authors appear to have chosen a cut and paste regurgitation approach with a preference for quantity rather than quality, presumably in the hope that the 300 plus pages will deter even the most passionate and concerned constituents, patients and contractors. Not so in this case - we urge a comprehensive review and revision.</w:t>
            </w:r>
            <w:r w:rsidRPr="00D37AFE">
              <w:rPr>
                <w:rFonts w:ascii="Arial" w:eastAsia="Times New Roman" w:hAnsi="Arial" w:cs="Arial"/>
                <w:color w:val="000000"/>
                <w:sz w:val="24"/>
                <w:szCs w:val="24"/>
                <w:lang w:eastAsia="en-GB"/>
              </w:rPr>
              <w:br/>
            </w:r>
            <w:r w:rsidRPr="00D37AFE">
              <w:rPr>
                <w:rFonts w:ascii="Arial" w:eastAsia="Times New Roman" w:hAnsi="Arial" w:cs="Arial"/>
                <w:color w:val="000000"/>
                <w:sz w:val="24"/>
                <w:szCs w:val="24"/>
                <w:lang w:eastAsia="en-GB"/>
              </w:rPr>
              <w:br/>
              <w:t>Our greatest concern is that the UHB, by taking the position that there are “no gaps” in current or future services (the next 5 years), is not rising to the challenge and opportunity of developing Community Pharmacy in keeping not only with “Pharmacy: Delivering a Healthier Wales” but also the UHB’s own strategic intent as described in “Shaping Our Future Wellbeing” and the evolving “Shaping our Future Clinical Services”. Furthermore, we have concerns that the UHB has not sufficiently considered its obligations within the “The Wellbeing of Future Generations Act” particularly when considering access to Community Pharmacy services e.g. seemingly supporting and promoting the use of the car to access pharmacy services.</w:t>
            </w:r>
          </w:p>
        </w:tc>
      </w:tr>
    </w:tbl>
    <w:p w14:paraId="5D1B71C1" w14:textId="77777777" w:rsidR="00320401" w:rsidRPr="00D37AFE" w:rsidRDefault="00320401" w:rsidP="00320401">
      <w:pPr>
        <w:spacing w:after="0" w:line="240" w:lineRule="auto"/>
        <w:rPr>
          <w:rFonts w:ascii="Arial" w:eastAsia="Times New Roman" w:hAnsi="Arial" w:cs="Arial"/>
          <w:color w:val="000000"/>
          <w:sz w:val="24"/>
          <w:szCs w:val="24"/>
          <w:lang w:eastAsia="en-GB"/>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320401" w:rsidRPr="00D37AFE" w14:paraId="359D9D85" w14:textId="77777777" w:rsidTr="005670EB">
        <w:tc>
          <w:tcPr>
            <w:tcW w:w="0" w:type="auto"/>
            <w:shd w:val="clear" w:color="auto" w:fill="FFFFFF"/>
            <w:tcMar>
              <w:top w:w="75" w:type="dxa"/>
              <w:left w:w="75" w:type="dxa"/>
              <w:bottom w:w="75" w:type="dxa"/>
              <w:right w:w="75" w:type="dxa"/>
            </w:tcMar>
            <w:hideMark/>
          </w:tcPr>
          <w:p w14:paraId="00E7E550" w14:textId="77777777" w:rsidR="00320401" w:rsidRDefault="00320401" w:rsidP="00320401">
            <w:pPr>
              <w:pStyle w:val="ListParagraph"/>
              <w:numPr>
                <w:ilvl w:val="0"/>
                <w:numId w:val="210"/>
              </w:num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xml:space="preserve">The need for new or future pharmacy contracts is a matter of opinion. </w:t>
            </w:r>
            <w:r w:rsidRPr="00D37AFE">
              <w:rPr>
                <w:rFonts w:ascii="Arial" w:eastAsia="Times New Roman" w:hAnsi="Arial" w:cs="Arial"/>
                <w:color w:val="000000"/>
                <w:sz w:val="24"/>
                <w:szCs w:val="24"/>
                <w:lang w:eastAsia="en-GB"/>
              </w:rPr>
              <w:br/>
              <w:t xml:space="preserve">This document does not however provide sufficient evidence to base any solid conclusion on. </w:t>
            </w:r>
            <w:r w:rsidRPr="00D37AFE">
              <w:rPr>
                <w:rFonts w:ascii="Arial" w:eastAsia="Times New Roman" w:hAnsi="Arial" w:cs="Arial"/>
                <w:color w:val="000000"/>
                <w:sz w:val="24"/>
                <w:szCs w:val="24"/>
                <w:lang w:eastAsia="en-GB"/>
              </w:rPr>
              <w:br/>
              <w:t>The patient questionnaire has too small a sample size to be relevant. The information gained from the survey has not be presented correctly and the conclusions do not relate to the answers.</w:t>
            </w:r>
            <w:r w:rsidRPr="00D37AFE">
              <w:rPr>
                <w:rFonts w:ascii="Arial" w:eastAsia="Times New Roman" w:hAnsi="Arial" w:cs="Arial"/>
                <w:color w:val="000000"/>
                <w:sz w:val="24"/>
                <w:szCs w:val="24"/>
                <w:lang w:eastAsia="en-GB"/>
              </w:rPr>
              <w:br/>
              <w:t xml:space="preserve">The contractor survey, in my opinion, has be questioned as with no supporting documentation the accuracy of the answers must be brought into question. There is no acknowledgement of any planned new services, or the direction community pharmacy is heading in the next 5 years to base several the questions asked on. </w:t>
            </w:r>
          </w:p>
          <w:p w14:paraId="5B54ECA0" w14:textId="77777777" w:rsidR="00320401" w:rsidRPr="00D37AFE" w:rsidRDefault="00320401" w:rsidP="005670EB">
            <w:pPr>
              <w:pStyle w:val="ListParagraph"/>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br/>
              <w:t xml:space="preserve">There is a lack of understanding surrounding the Cardiff LDP and the scale and speed it is being developed. A basic google search also highlights several other developments not even mentioned or accounted for. I feel that very quickly there will be a strain on pharmacy services that will result in spill over into other primary care services. There is an expansion of pharmacy services however the main limiting step not highlighted is the availability of consultation rooms with most pharmacies having access to only one. </w:t>
            </w:r>
          </w:p>
          <w:p w14:paraId="6406A9AA" w14:textId="77777777" w:rsidR="00320401" w:rsidRPr="00D37AFE" w:rsidRDefault="00320401" w:rsidP="005670EB">
            <w:pPr>
              <w:pStyle w:val="ListParagraph"/>
              <w:spacing w:after="0" w:line="240" w:lineRule="auto"/>
              <w:rPr>
                <w:rFonts w:ascii="Arial" w:eastAsia="Times New Roman" w:hAnsi="Arial" w:cs="Arial"/>
                <w:color w:val="000000"/>
                <w:sz w:val="24"/>
                <w:szCs w:val="24"/>
                <w:lang w:eastAsia="en-GB"/>
              </w:rPr>
            </w:pPr>
          </w:p>
          <w:p w14:paraId="6EA7C781" w14:textId="77777777" w:rsidR="00320401" w:rsidRPr="00D37AFE" w:rsidRDefault="00320401" w:rsidP="00320401">
            <w:pPr>
              <w:pStyle w:val="ListParagraph"/>
              <w:numPr>
                <w:ilvl w:val="0"/>
                <w:numId w:val="210"/>
              </w:num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xml:space="preserve">We agree with the conclusions reached in Chapter 17 which indicate that based on the information available at the time of developing the PNA no current or future needs relating to the provision of essential, advanced or enhanced services have been identified in any of the 9 clusters.  </w:t>
            </w:r>
          </w:p>
        </w:tc>
      </w:tr>
    </w:tbl>
    <w:p w14:paraId="7AB0C251" w14:textId="77777777" w:rsidR="00320401" w:rsidRPr="00D37AFE" w:rsidRDefault="00320401" w:rsidP="00320401">
      <w:pPr>
        <w:spacing w:after="0" w:line="240" w:lineRule="auto"/>
        <w:rPr>
          <w:rFonts w:ascii="Arial" w:eastAsia="Times New Roman" w:hAnsi="Arial" w:cs="Arial"/>
          <w:b/>
          <w:bCs/>
          <w:color w:val="000000"/>
          <w:sz w:val="24"/>
          <w:szCs w:val="24"/>
          <w:lang w:eastAsia="en-GB"/>
        </w:rPr>
      </w:pPr>
    </w:p>
    <w:p w14:paraId="6A1B96CF" w14:textId="77777777" w:rsidR="00320401" w:rsidRPr="00D37AFE" w:rsidRDefault="00320401" w:rsidP="00320401">
      <w:pPr>
        <w:spacing w:after="0" w:line="240" w:lineRule="auto"/>
        <w:rPr>
          <w:rFonts w:ascii="Arial" w:eastAsia="Times New Roman" w:hAnsi="Arial" w:cs="Arial"/>
          <w:b/>
          <w:bCs/>
          <w:color w:val="000000"/>
          <w:sz w:val="24"/>
          <w:szCs w:val="24"/>
          <w:lang w:eastAsia="en-GB"/>
        </w:rPr>
      </w:pPr>
    </w:p>
    <w:p w14:paraId="3F7566EE" w14:textId="77777777" w:rsidR="00320401" w:rsidRPr="00D37AFE" w:rsidRDefault="00320401" w:rsidP="00320401">
      <w:pPr>
        <w:spacing w:after="0" w:line="240" w:lineRule="auto"/>
        <w:rPr>
          <w:rFonts w:ascii="Arial" w:hAnsi="Arial" w:cs="Arial"/>
          <w:b/>
          <w:sz w:val="24"/>
          <w:szCs w:val="24"/>
        </w:rPr>
      </w:pPr>
      <w:r w:rsidRPr="00D37AFE">
        <w:rPr>
          <w:rFonts w:ascii="Arial" w:hAnsi="Arial" w:cs="Arial"/>
          <w:b/>
          <w:sz w:val="24"/>
          <w:szCs w:val="24"/>
        </w:rPr>
        <w:t xml:space="preserve">Cardiff and Vale University Health Board’s consideration </w:t>
      </w:r>
    </w:p>
    <w:p w14:paraId="15FA893D" w14:textId="77777777" w:rsidR="00320401" w:rsidRPr="00D37AFE" w:rsidRDefault="00320401" w:rsidP="00320401">
      <w:pPr>
        <w:spacing w:after="0" w:line="240" w:lineRule="auto"/>
        <w:rPr>
          <w:rFonts w:ascii="Arial" w:eastAsia="Times New Roman" w:hAnsi="Arial" w:cs="Arial"/>
          <w:b/>
          <w:bCs/>
          <w:color w:val="000000"/>
          <w:sz w:val="24"/>
          <w:szCs w:val="24"/>
          <w:lang w:eastAsia="en-GB"/>
        </w:rPr>
      </w:pPr>
    </w:p>
    <w:p w14:paraId="476F954B" w14:textId="77777777" w:rsidR="00320401" w:rsidRPr="00D37AFE" w:rsidRDefault="00320401" w:rsidP="00320401">
      <w:pPr>
        <w:pStyle w:val="ListParagraph"/>
        <w:numPr>
          <w:ilvl w:val="0"/>
          <w:numId w:val="217"/>
        </w:numPr>
        <w:spacing w:after="0" w:line="240" w:lineRule="auto"/>
        <w:rPr>
          <w:rFonts w:ascii="Arial" w:hAnsi="Arial" w:cs="Arial"/>
          <w:sz w:val="24"/>
          <w:szCs w:val="24"/>
        </w:rPr>
      </w:pPr>
      <w:r w:rsidRPr="00D37AFE">
        <w:rPr>
          <w:rFonts w:ascii="Arial" w:hAnsi="Arial" w:cs="Arial"/>
          <w:sz w:val="24"/>
          <w:szCs w:val="24"/>
        </w:rPr>
        <w:t>Cardiff and Vale University Health Board has noted the comments made.</w:t>
      </w:r>
    </w:p>
    <w:p w14:paraId="1EBF3790" w14:textId="77777777" w:rsidR="00320401" w:rsidRPr="00D37AFE" w:rsidRDefault="00320401" w:rsidP="00320401">
      <w:pPr>
        <w:spacing w:after="0" w:line="240" w:lineRule="auto"/>
        <w:rPr>
          <w:rFonts w:ascii="Arial" w:eastAsia="Times New Roman" w:hAnsi="Arial" w:cs="Arial"/>
          <w:b/>
          <w:bCs/>
          <w:color w:val="000000"/>
          <w:sz w:val="24"/>
          <w:szCs w:val="24"/>
          <w:lang w:eastAsia="en-GB"/>
        </w:rPr>
      </w:pPr>
    </w:p>
    <w:p w14:paraId="28C35692" w14:textId="77777777" w:rsidR="00320401" w:rsidRPr="00D37AFE" w:rsidRDefault="00320401" w:rsidP="00320401">
      <w:pPr>
        <w:spacing w:after="0" w:line="240" w:lineRule="auto"/>
        <w:rPr>
          <w:rFonts w:ascii="Arial" w:hAnsi="Arial" w:cs="Arial"/>
          <w:b/>
          <w:bCs/>
          <w:sz w:val="24"/>
          <w:szCs w:val="24"/>
        </w:rPr>
      </w:pPr>
    </w:p>
    <w:p w14:paraId="68DCEEE9" w14:textId="77777777" w:rsidR="00320401" w:rsidRPr="00D37AFE" w:rsidRDefault="00320401" w:rsidP="00320401">
      <w:pPr>
        <w:spacing w:after="0" w:line="240" w:lineRule="auto"/>
        <w:rPr>
          <w:rFonts w:ascii="Arial" w:hAnsi="Arial" w:cs="Arial"/>
          <w:b/>
          <w:bCs/>
          <w:sz w:val="24"/>
          <w:szCs w:val="24"/>
        </w:rPr>
      </w:pPr>
      <w:r w:rsidRPr="00D37AFE">
        <w:rPr>
          <w:rFonts w:ascii="Arial" w:hAnsi="Arial" w:cs="Arial"/>
          <w:b/>
          <w:bCs/>
          <w:sz w:val="24"/>
          <w:szCs w:val="24"/>
        </w:rPr>
        <w:t>Q11. Do you have any other comments?</w:t>
      </w:r>
    </w:p>
    <w:p w14:paraId="7EC6529B" w14:textId="77777777" w:rsidR="00320401" w:rsidRPr="00D37AFE" w:rsidRDefault="00320401" w:rsidP="00320401">
      <w:pPr>
        <w:spacing w:after="0" w:line="240" w:lineRule="auto"/>
        <w:rPr>
          <w:rFonts w:ascii="Arial" w:hAnsi="Arial" w:cs="Arial"/>
          <w:b/>
          <w:bCs/>
          <w:sz w:val="24"/>
          <w:szCs w:val="24"/>
        </w:rPr>
      </w:pPr>
    </w:p>
    <w:tbl>
      <w:tblPr>
        <w:tblW w:w="9011" w:type="dxa"/>
        <w:tblLook w:val="04A0" w:firstRow="1" w:lastRow="0" w:firstColumn="1" w:lastColumn="0" w:noHBand="0" w:noVBand="1"/>
      </w:tblPr>
      <w:tblGrid>
        <w:gridCol w:w="1478"/>
        <w:gridCol w:w="2666"/>
        <w:gridCol w:w="1771"/>
        <w:gridCol w:w="1879"/>
        <w:gridCol w:w="1217"/>
      </w:tblGrid>
      <w:tr w:rsidR="00320401" w:rsidRPr="00D37AFE" w14:paraId="57EE2150" w14:textId="77777777" w:rsidTr="005670EB">
        <w:trPr>
          <w:trHeight w:val="254"/>
        </w:trPr>
        <w:tc>
          <w:tcPr>
            <w:tcW w:w="5915" w:type="dxa"/>
            <w:gridSpan w:val="3"/>
            <w:tcBorders>
              <w:top w:val="single" w:sz="4" w:space="0" w:color="A6A6A6"/>
              <w:left w:val="single" w:sz="4" w:space="0" w:color="A6A6A6"/>
              <w:bottom w:val="single" w:sz="4" w:space="0" w:color="A6A6A6"/>
              <w:right w:val="nil"/>
            </w:tcBorders>
            <w:shd w:val="clear" w:color="auto" w:fill="548DD4" w:themeFill="text2" w:themeFillTint="99"/>
            <w:noWrap/>
            <w:vAlign w:val="center"/>
            <w:hideMark/>
          </w:tcPr>
          <w:p w14:paraId="195C0F14"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96" w:type="dxa"/>
            <w:gridSpan w:val="2"/>
            <w:tcBorders>
              <w:top w:val="single" w:sz="4" w:space="0" w:color="A6A6A6"/>
              <w:left w:val="nil"/>
              <w:bottom w:val="single" w:sz="4" w:space="0" w:color="A6A6A6"/>
              <w:right w:val="single" w:sz="4" w:space="0" w:color="A6A6A6"/>
            </w:tcBorders>
            <w:shd w:val="clear" w:color="auto" w:fill="548DD4" w:themeFill="text2" w:themeFillTint="99"/>
            <w:noWrap/>
            <w:vAlign w:val="center"/>
            <w:hideMark/>
          </w:tcPr>
          <w:p w14:paraId="7BBB3506" w14:textId="77777777" w:rsidR="00320401" w:rsidRPr="00D37AFE" w:rsidRDefault="00320401" w:rsidP="005670EB">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320401" w:rsidRPr="00D37AFE" w14:paraId="768F5F38" w14:textId="77777777" w:rsidTr="005670EB">
        <w:trPr>
          <w:trHeight w:val="254"/>
        </w:trPr>
        <w:tc>
          <w:tcPr>
            <w:tcW w:w="5915"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6580D6E6"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79" w:type="dxa"/>
            <w:tcBorders>
              <w:top w:val="nil"/>
              <w:left w:val="nil"/>
              <w:bottom w:val="single" w:sz="4" w:space="0" w:color="A6A6A6"/>
              <w:right w:val="single" w:sz="4" w:space="0" w:color="A6A6A6"/>
            </w:tcBorders>
            <w:shd w:val="clear" w:color="000000" w:fill="F2F2F2"/>
            <w:noWrap/>
            <w:vAlign w:val="center"/>
            <w:hideMark/>
          </w:tcPr>
          <w:p w14:paraId="1AC1116B"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217" w:type="dxa"/>
            <w:tcBorders>
              <w:top w:val="nil"/>
              <w:left w:val="nil"/>
              <w:bottom w:val="single" w:sz="4" w:space="0" w:color="A6A6A6"/>
              <w:right w:val="single" w:sz="4" w:space="0" w:color="A6A6A6"/>
            </w:tcBorders>
            <w:shd w:val="clear" w:color="000000" w:fill="F2F2F2"/>
            <w:noWrap/>
            <w:vAlign w:val="center"/>
            <w:hideMark/>
          </w:tcPr>
          <w:p w14:paraId="7BC603DE"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320401" w:rsidRPr="00D37AFE" w14:paraId="5B437294" w14:textId="77777777" w:rsidTr="005670EB">
        <w:trPr>
          <w:trHeight w:val="254"/>
        </w:trPr>
        <w:tc>
          <w:tcPr>
            <w:tcW w:w="1478" w:type="dxa"/>
            <w:tcBorders>
              <w:top w:val="nil"/>
              <w:left w:val="single" w:sz="4" w:space="0" w:color="A6A6A6"/>
              <w:bottom w:val="single" w:sz="4" w:space="0" w:color="A6A6A6"/>
              <w:right w:val="single" w:sz="4" w:space="0" w:color="A6A6A6"/>
            </w:tcBorders>
            <w:shd w:val="clear" w:color="000000" w:fill="F2F2F2"/>
            <w:vAlign w:val="center"/>
            <w:hideMark/>
          </w:tcPr>
          <w:p w14:paraId="7544E60B"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436" w:type="dxa"/>
            <w:gridSpan w:val="2"/>
            <w:tcBorders>
              <w:top w:val="single" w:sz="4" w:space="0" w:color="A6A6A6"/>
              <w:left w:val="nil"/>
              <w:bottom w:val="single" w:sz="4" w:space="0" w:color="A6A6A6"/>
              <w:right w:val="single" w:sz="4" w:space="0" w:color="A6A6A6"/>
            </w:tcBorders>
            <w:shd w:val="clear" w:color="auto" w:fill="auto"/>
            <w:vAlign w:val="center"/>
            <w:hideMark/>
          </w:tcPr>
          <w:p w14:paraId="6F3A3A31"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79" w:type="dxa"/>
            <w:tcBorders>
              <w:top w:val="nil"/>
              <w:left w:val="nil"/>
              <w:bottom w:val="single" w:sz="4" w:space="0" w:color="A6A6A6"/>
              <w:right w:val="single" w:sz="4" w:space="0" w:color="A6A6A6"/>
            </w:tcBorders>
            <w:shd w:val="clear" w:color="000000" w:fill="F2F2F2"/>
            <w:noWrap/>
            <w:vAlign w:val="bottom"/>
            <w:hideMark/>
          </w:tcPr>
          <w:p w14:paraId="27D74FEE"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50.00%</w:t>
            </w:r>
          </w:p>
        </w:tc>
        <w:tc>
          <w:tcPr>
            <w:tcW w:w="1217" w:type="dxa"/>
            <w:tcBorders>
              <w:top w:val="nil"/>
              <w:left w:val="nil"/>
              <w:bottom w:val="single" w:sz="4" w:space="0" w:color="A6A6A6"/>
              <w:right w:val="single" w:sz="4" w:space="0" w:color="A6A6A6"/>
            </w:tcBorders>
            <w:shd w:val="clear" w:color="000000" w:fill="F2F2F2"/>
            <w:noWrap/>
            <w:vAlign w:val="bottom"/>
            <w:hideMark/>
          </w:tcPr>
          <w:p w14:paraId="0A22271E"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w:t>
            </w:r>
          </w:p>
        </w:tc>
      </w:tr>
      <w:tr w:rsidR="00320401" w:rsidRPr="00D37AFE" w14:paraId="3397DD67" w14:textId="77777777" w:rsidTr="005670EB">
        <w:trPr>
          <w:trHeight w:val="254"/>
        </w:trPr>
        <w:tc>
          <w:tcPr>
            <w:tcW w:w="1478" w:type="dxa"/>
            <w:tcBorders>
              <w:top w:val="nil"/>
              <w:left w:val="single" w:sz="4" w:space="0" w:color="A6A6A6"/>
              <w:bottom w:val="single" w:sz="4" w:space="0" w:color="A6A6A6"/>
              <w:right w:val="single" w:sz="4" w:space="0" w:color="A6A6A6"/>
            </w:tcBorders>
            <w:shd w:val="clear" w:color="000000" w:fill="F2F2F2"/>
            <w:vAlign w:val="center"/>
            <w:hideMark/>
          </w:tcPr>
          <w:p w14:paraId="458F78F3"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436" w:type="dxa"/>
            <w:gridSpan w:val="2"/>
            <w:tcBorders>
              <w:top w:val="single" w:sz="4" w:space="0" w:color="A6A6A6"/>
              <w:left w:val="nil"/>
              <w:bottom w:val="single" w:sz="4" w:space="0" w:color="A6A6A6"/>
              <w:right w:val="single" w:sz="4" w:space="0" w:color="A6A6A6"/>
            </w:tcBorders>
            <w:shd w:val="clear" w:color="auto" w:fill="auto"/>
            <w:vAlign w:val="center"/>
            <w:hideMark/>
          </w:tcPr>
          <w:p w14:paraId="2C1FCC4F"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79" w:type="dxa"/>
            <w:tcBorders>
              <w:top w:val="nil"/>
              <w:left w:val="nil"/>
              <w:bottom w:val="single" w:sz="4" w:space="0" w:color="A6A6A6"/>
              <w:right w:val="single" w:sz="4" w:space="0" w:color="A6A6A6"/>
            </w:tcBorders>
            <w:shd w:val="clear" w:color="000000" w:fill="F2F2F2"/>
            <w:noWrap/>
            <w:vAlign w:val="bottom"/>
            <w:hideMark/>
          </w:tcPr>
          <w:p w14:paraId="5AEDB7DB"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50.00%</w:t>
            </w:r>
          </w:p>
        </w:tc>
        <w:tc>
          <w:tcPr>
            <w:tcW w:w="1217" w:type="dxa"/>
            <w:tcBorders>
              <w:top w:val="nil"/>
              <w:left w:val="nil"/>
              <w:bottom w:val="single" w:sz="4" w:space="0" w:color="A6A6A6"/>
              <w:right w:val="single" w:sz="4" w:space="0" w:color="A6A6A6"/>
            </w:tcBorders>
            <w:shd w:val="clear" w:color="000000" w:fill="F2F2F2"/>
            <w:noWrap/>
            <w:vAlign w:val="bottom"/>
            <w:hideMark/>
          </w:tcPr>
          <w:p w14:paraId="6CB33F7F"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w:t>
            </w:r>
          </w:p>
        </w:tc>
      </w:tr>
      <w:tr w:rsidR="00320401" w:rsidRPr="00D37AFE" w14:paraId="2A4AF352" w14:textId="77777777" w:rsidTr="005670EB">
        <w:trPr>
          <w:trHeight w:val="254"/>
        </w:trPr>
        <w:tc>
          <w:tcPr>
            <w:tcW w:w="1478" w:type="dxa"/>
            <w:tcBorders>
              <w:top w:val="nil"/>
              <w:left w:val="single" w:sz="4" w:space="0" w:color="A6A6A6"/>
              <w:bottom w:val="single" w:sz="4" w:space="0" w:color="A6A6A6"/>
              <w:right w:val="single" w:sz="4" w:space="0" w:color="A6A6A6"/>
            </w:tcBorders>
            <w:shd w:val="clear" w:color="000000" w:fill="F2F2F2"/>
            <w:vAlign w:val="center"/>
            <w:hideMark/>
          </w:tcPr>
          <w:p w14:paraId="64159268" w14:textId="77777777" w:rsidR="00320401" w:rsidRPr="00D37AFE" w:rsidRDefault="00320401" w:rsidP="005670EB">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436" w:type="dxa"/>
            <w:gridSpan w:val="2"/>
            <w:tcBorders>
              <w:top w:val="single" w:sz="4" w:space="0" w:color="A6A6A6"/>
              <w:left w:val="nil"/>
              <w:bottom w:val="single" w:sz="4" w:space="0" w:color="A6A6A6"/>
              <w:right w:val="single" w:sz="4" w:space="0" w:color="A6A6A6"/>
            </w:tcBorders>
            <w:shd w:val="clear" w:color="auto" w:fill="auto"/>
            <w:vAlign w:val="center"/>
            <w:hideMark/>
          </w:tcPr>
          <w:p w14:paraId="2A9E7F64" w14:textId="77777777" w:rsidR="00320401" w:rsidRPr="00D37AFE" w:rsidRDefault="00320401" w:rsidP="005670EB">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79" w:type="dxa"/>
            <w:tcBorders>
              <w:top w:val="nil"/>
              <w:left w:val="nil"/>
              <w:bottom w:val="single" w:sz="4" w:space="0" w:color="A6A6A6"/>
              <w:right w:val="single" w:sz="4" w:space="0" w:color="A6A6A6"/>
            </w:tcBorders>
            <w:shd w:val="clear" w:color="000000" w:fill="F2F2F2"/>
            <w:noWrap/>
            <w:vAlign w:val="bottom"/>
            <w:hideMark/>
          </w:tcPr>
          <w:p w14:paraId="1D89F07A"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0.00%</w:t>
            </w:r>
          </w:p>
        </w:tc>
        <w:tc>
          <w:tcPr>
            <w:tcW w:w="1217" w:type="dxa"/>
            <w:tcBorders>
              <w:top w:val="nil"/>
              <w:left w:val="nil"/>
              <w:bottom w:val="single" w:sz="4" w:space="0" w:color="A6A6A6"/>
              <w:right w:val="single" w:sz="4" w:space="0" w:color="A6A6A6"/>
            </w:tcBorders>
            <w:shd w:val="clear" w:color="000000" w:fill="F2F2F2"/>
            <w:noWrap/>
            <w:vAlign w:val="bottom"/>
            <w:hideMark/>
          </w:tcPr>
          <w:p w14:paraId="4FDB474B"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w:t>
            </w:r>
          </w:p>
        </w:tc>
      </w:tr>
      <w:tr w:rsidR="00320401" w:rsidRPr="00D37AFE" w14:paraId="4F8B9EDA" w14:textId="77777777" w:rsidTr="005670EB">
        <w:trPr>
          <w:trHeight w:val="254"/>
        </w:trPr>
        <w:tc>
          <w:tcPr>
            <w:tcW w:w="4144"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186559EC" w14:textId="77777777" w:rsidR="00320401" w:rsidRPr="00D37AFE" w:rsidRDefault="00320401" w:rsidP="005670EB">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71" w:type="dxa"/>
            <w:tcBorders>
              <w:top w:val="nil"/>
              <w:left w:val="nil"/>
              <w:bottom w:val="single" w:sz="4" w:space="0" w:color="A6A6A6"/>
              <w:right w:val="single" w:sz="4" w:space="0" w:color="A6A6A6"/>
            </w:tcBorders>
            <w:shd w:val="clear" w:color="000000" w:fill="F2F2F2"/>
            <w:vAlign w:val="center"/>
            <w:hideMark/>
          </w:tcPr>
          <w:p w14:paraId="03377101"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79" w:type="dxa"/>
            <w:tcBorders>
              <w:top w:val="nil"/>
              <w:left w:val="nil"/>
              <w:bottom w:val="single" w:sz="4" w:space="0" w:color="A6A6A6"/>
              <w:right w:val="single" w:sz="4" w:space="0" w:color="A6A6A6"/>
            </w:tcBorders>
            <w:shd w:val="clear" w:color="000000" w:fill="F2F2F2"/>
            <w:noWrap/>
            <w:vAlign w:val="bottom"/>
            <w:hideMark/>
          </w:tcPr>
          <w:p w14:paraId="00F6E4AC"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217" w:type="dxa"/>
            <w:tcBorders>
              <w:top w:val="nil"/>
              <w:left w:val="nil"/>
              <w:bottom w:val="single" w:sz="4" w:space="0" w:color="A6A6A6"/>
              <w:right w:val="single" w:sz="4" w:space="0" w:color="A6A6A6"/>
            </w:tcBorders>
            <w:shd w:val="clear" w:color="000000" w:fill="F2F2F2"/>
            <w:noWrap/>
            <w:vAlign w:val="bottom"/>
            <w:hideMark/>
          </w:tcPr>
          <w:p w14:paraId="1AAF3B88"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w:t>
            </w:r>
          </w:p>
        </w:tc>
      </w:tr>
      <w:tr w:rsidR="00320401" w:rsidRPr="00D37AFE" w14:paraId="4F0EB5BD" w14:textId="77777777" w:rsidTr="005670EB">
        <w:trPr>
          <w:trHeight w:val="254"/>
        </w:trPr>
        <w:tc>
          <w:tcPr>
            <w:tcW w:w="4144" w:type="dxa"/>
            <w:gridSpan w:val="2"/>
            <w:vMerge/>
            <w:tcBorders>
              <w:top w:val="single" w:sz="4" w:space="0" w:color="A6A6A6"/>
              <w:left w:val="single" w:sz="4" w:space="0" w:color="A6A6A6"/>
              <w:bottom w:val="single" w:sz="4" w:space="0" w:color="A6A6A6"/>
              <w:right w:val="single" w:sz="4" w:space="0" w:color="A6A6A6"/>
            </w:tcBorders>
            <w:vAlign w:val="center"/>
            <w:hideMark/>
          </w:tcPr>
          <w:p w14:paraId="3A59DEBA" w14:textId="77777777" w:rsidR="00320401" w:rsidRPr="00D37AFE" w:rsidRDefault="00320401" w:rsidP="005670EB">
            <w:pPr>
              <w:spacing w:after="0" w:line="240" w:lineRule="auto"/>
              <w:rPr>
                <w:rFonts w:ascii="Arial" w:eastAsia="Times New Roman" w:hAnsi="Arial" w:cs="Arial"/>
                <w:b/>
                <w:bCs/>
                <w:color w:val="000000"/>
                <w:sz w:val="24"/>
                <w:szCs w:val="24"/>
                <w:lang w:eastAsia="en-GB"/>
              </w:rPr>
            </w:pPr>
          </w:p>
        </w:tc>
        <w:tc>
          <w:tcPr>
            <w:tcW w:w="1771" w:type="dxa"/>
            <w:tcBorders>
              <w:top w:val="nil"/>
              <w:left w:val="nil"/>
              <w:bottom w:val="single" w:sz="4" w:space="0" w:color="A6A6A6"/>
              <w:right w:val="single" w:sz="4" w:space="0" w:color="A6A6A6"/>
            </w:tcBorders>
            <w:shd w:val="clear" w:color="000000" w:fill="F2F2F2"/>
            <w:vAlign w:val="center"/>
            <w:hideMark/>
          </w:tcPr>
          <w:p w14:paraId="24C26734" w14:textId="77777777" w:rsidR="00320401" w:rsidRPr="00D37AFE" w:rsidRDefault="00320401" w:rsidP="005670EB">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79" w:type="dxa"/>
            <w:tcBorders>
              <w:top w:val="nil"/>
              <w:left w:val="nil"/>
              <w:bottom w:val="single" w:sz="4" w:space="0" w:color="A6A6A6"/>
              <w:right w:val="single" w:sz="4" w:space="0" w:color="A6A6A6"/>
            </w:tcBorders>
            <w:shd w:val="clear" w:color="000000" w:fill="F2F2F2"/>
            <w:noWrap/>
            <w:vAlign w:val="bottom"/>
            <w:hideMark/>
          </w:tcPr>
          <w:p w14:paraId="50FE035E"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217" w:type="dxa"/>
            <w:tcBorders>
              <w:top w:val="nil"/>
              <w:left w:val="nil"/>
              <w:bottom w:val="single" w:sz="4" w:space="0" w:color="A6A6A6"/>
              <w:right w:val="single" w:sz="4" w:space="0" w:color="A6A6A6"/>
            </w:tcBorders>
            <w:shd w:val="clear" w:color="000000" w:fill="F2F2F2"/>
            <w:noWrap/>
            <w:vAlign w:val="bottom"/>
            <w:hideMark/>
          </w:tcPr>
          <w:p w14:paraId="3BD3FFF2" w14:textId="77777777" w:rsidR="00320401" w:rsidRPr="00D37AFE" w:rsidRDefault="00320401" w:rsidP="005670EB">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0</w:t>
            </w:r>
          </w:p>
        </w:tc>
      </w:tr>
    </w:tbl>
    <w:p w14:paraId="025EF0CD" w14:textId="77777777" w:rsidR="00320401" w:rsidRPr="00D37AFE" w:rsidRDefault="00320401" w:rsidP="00320401">
      <w:pPr>
        <w:spacing w:after="0" w:line="240" w:lineRule="auto"/>
        <w:rPr>
          <w:rFonts w:ascii="Arial" w:hAnsi="Arial" w:cs="Arial"/>
          <w:b/>
          <w:bCs/>
          <w:sz w:val="24"/>
          <w:szCs w:val="24"/>
        </w:rPr>
      </w:pPr>
    </w:p>
    <w:p w14:paraId="0F48937C" w14:textId="77777777" w:rsidR="00320401" w:rsidRPr="00D37AFE" w:rsidRDefault="00320401" w:rsidP="00320401">
      <w:pPr>
        <w:spacing w:after="0" w:line="240" w:lineRule="auto"/>
        <w:rPr>
          <w:rFonts w:ascii="Arial" w:hAnsi="Arial" w:cs="Arial"/>
          <w:b/>
          <w:bCs/>
          <w:sz w:val="24"/>
          <w:szCs w:val="24"/>
        </w:rPr>
      </w:pPr>
    </w:p>
    <w:p w14:paraId="6E4EB990" w14:textId="77777777" w:rsidR="00320401" w:rsidRPr="00D37AFE" w:rsidRDefault="00320401" w:rsidP="00320401">
      <w:pPr>
        <w:spacing w:after="0" w:line="240" w:lineRule="auto"/>
        <w:rPr>
          <w:rFonts w:ascii="Arial" w:hAnsi="Arial" w:cs="Arial"/>
          <w:b/>
          <w:bCs/>
          <w:sz w:val="24"/>
          <w:szCs w:val="24"/>
        </w:rPr>
      </w:pPr>
      <w:r w:rsidRPr="00D37AFE">
        <w:rPr>
          <w:rFonts w:ascii="Arial" w:hAnsi="Arial" w:cs="Arial"/>
          <w:b/>
          <w:bCs/>
          <w:sz w:val="24"/>
          <w:szCs w:val="24"/>
        </w:rPr>
        <w:t xml:space="preserve">Comments </w:t>
      </w:r>
    </w:p>
    <w:p w14:paraId="5D31BF06" w14:textId="77777777" w:rsidR="00320401" w:rsidRPr="00D37AFE" w:rsidRDefault="00320401" w:rsidP="00320401">
      <w:pPr>
        <w:spacing w:after="0" w:line="240" w:lineRule="auto"/>
        <w:rPr>
          <w:rFonts w:ascii="Arial" w:hAnsi="Arial" w:cs="Arial"/>
          <w:b/>
          <w:bCs/>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320401" w:rsidRPr="00D37AFE" w14:paraId="62AF30B1" w14:textId="77777777" w:rsidTr="005670EB">
        <w:tc>
          <w:tcPr>
            <w:tcW w:w="0" w:type="auto"/>
            <w:shd w:val="clear" w:color="auto" w:fill="FFFFFF"/>
            <w:tcMar>
              <w:top w:w="75" w:type="dxa"/>
              <w:left w:w="75" w:type="dxa"/>
              <w:bottom w:w="75" w:type="dxa"/>
              <w:right w:w="75" w:type="dxa"/>
            </w:tcMar>
            <w:hideMark/>
          </w:tcPr>
          <w:p w14:paraId="587A30CE" w14:textId="77777777" w:rsidR="00320401" w:rsidRPr="00D37AFE" w:rsidRDefault="00320401" w:rsidP="00320401">
            <w:pPr>
              <w:pStyle w:val="ListParagraph"/>
              <w:numPr>
                <w:ilvl w:val="0"/>
                <w:numId w:val="211"/>
              </w:numPr>
              <w:spacing w:after="0" w:line="240" w:lineRule="auto"/>
              <w:rPr>
                <w:rFonts w:ascii="Arial" w:hAnsi="Arial" w:cs="Arial"/>
                <w:sz w:val="24"/>
                <w:szCs w:val="24"/>
              </w:rPr>
            </w:pPr>
            <w:r w:rsidRPr="00D37AFE">
              <w:rPr>
                <w:rFonts w:ascii="Arial" w:hAnsi="Arial" w:cs="Arial"/>
                <w:sz w:val="24"/>
                <w:szCs w:val="24"/>
              </w:rPr>
              <w:t xml:space="preserve">consideration of health centers in clusters which are colocated to surgeries and the ownership is joint between the different contractors in the cluster area. </w:t>
            </w:r>
          </w:p>
        </w:tc>
      </w:tr>
      <w:tr w:rsidR="00320401" w:rsidRPr="00D37AFE" w14:paraId="73E47801" w14:textId="77777777" w:rsidTr="005670EB">
        <w:tc>
          <w:tcPr>
            <w:tcW w:w="0" w:type="auto"/>
            <w:shd w:val="clear" w:color="auto" w:fill="FFFFFF"/>
            <w:tcMar>
              <w:top w:w="75" w:type="dxa"/>
              <w:left w:w="75" w:type="dxa"/>
              <w:bottom w:w="75" w:type="dxa"/>
              <w:right w:w="75" w:type="dxa"/>
            </w:tcMar>
            <w:hideMark/>
          </w:tcPr>
          <w:p w14:paraId="75EBD8AE" w14:textId="77777777" w:rsidR="00320401" w:rsidRPr="00D37AFE" w:rsidRDefault="00320401" w:rsidP="00320401">
            <w:pPr>
              <w:pStyle w:val="ListParagraph"/>
              <w:numPr>
                <w:ilvl w:val="0"/>
                <w:numId w:val="211"/>
              </w:numPr>
              <w:spacing w:after="0" w:line="240" w:lineRule="auto"/>
              <w:rPr>
                <w:rFonts w:ascii="Arial" w:hAnsi="Arial" w:cs="Arial"/>
                <w:sz w:val="24"/>
                <w:szCs w:val="24"/>
              </w:rPr>
            </w:pPr>
            <w:r w:rsidRPr="00D37AFE">
              <w:rPr>
                <w:rFonts w:ascii="Arial" w:hAnsi="Arial" w:cs="Arial"/>
                <w:sz w:val="24"/>
                <w:szCs w:val="24"/>
              </w:rPr>
              <w:t>p 241, final paragraph simply says pna is satisfied that based on the responses of the local pharmacies, and taking in the local housing developments that they will be able to meet demand. But the survey just asks them to answer yes or no to this question, there is no detailed questioning such as could you absorb x more items per week/month/yr as the new increased population will generate? That needs answering, and moreover doesn't it need to be independently assessed as pharmacies will probably say they can absorb the increased workload.</w:t>
            </w:r>
            <w:r w:rsidRPr="00D37AFE">
              <w:rPr>
                <w:rFonts w:ascii="Arial" w:hAnsi="Arial" w:cs="Arial"/>
                <w:sz w:val="24"/>
                <w:szCs w:val="24"/>
              </w:rPr>
              <w:br/>
              <w:t>Not sure that the PNA looks forward, it seems more to be assessing the situation now.</w:t>
            </w:r>
            <w:r w:rsidRPr="00D37AFE">
              <w:rPr>
                <w:rFonts w:ascii="Arial" w:hAnsi="Arial" w:cs="Arial"/>
                <w:sz w:val="24"/>
                <w:szCs w:val="24"/>
              </w:rPr>
              <w:br/>
              <w:t>In short the PNA needs to evaluate at pharmacy/cluster level if a changing demographic can be dealt with.</w:t>
            </w:r>
            <w:r w:rsidRPr="00D37AFE">
              <w:rPr>
                <w:rFonts w:ascii="Arial" w:hAnsi="Arial" w:cs="Arial"/>
                <w:sz w:val="24"/>
                <w:szCs w:val="24"/>
              </w:rPr>
              <w:br/>
            </w:r>
            <w:r w:rsidRPr="00D37AFE">
              <w:rPr>
                <w:rFonts w:ascii="Arial" w:hAnsi="Arial" w:cs="Arial"/>
                <w:sz w:val="24"/>
                <w:szCs w:val="24"/>
              </w:rPr>
              <w:br/>
              <w:t>My other comment concerns the patient survey.</w:t>
            </w:r>
            <w:r w:rsidRPr="00D37AFE">
              <w:rPr>
                <w:rFonts w:ascii="Arial" w:hAnsi="Arial" w:cs="Arial"/>
                <w:sz w:val="24"/>
                <w:szCs w:val="24"/>
              </w:rPr>
              <w:br/>
              <w:t>This does not ask the direct question, 'Are you satisfied with the service that you are receiving from the pharmacy that you regularly use'?</w:t>
            </w:r>
            <w:r w:rsidRPr="00D37AFE">
              <w:rPr>
                <w:rFonts w:ascii="Arial" w:hAnsi="Arial" w:cs="Arial"/>
                <w:sz w:val="24"/>
                <w:szCs w:val="24"/>
              </w:rPr>
              <w:br/>
              <w:t>There is quite a bit of negative comment, but what comes through is that patients want their prescription provided to them efficiently and safely, and appreciate discreet, confidential from the pharmacist as required.</w:t>
            </w:r>
            <w:r w:rsidRPr="00D37AFE">
              <w:rPr>
                <w:rFonts w:ascii="Arial" w:hAnsi="Arial" w:cs="Arial"/>
                <w:sz w:val="24"/>
                <w:szCs w:val="24"/>
              </w:rPr>
              <w:br/>
              <w:t xml:space="preserve">I think the PNA in assessing future needs should look at how the pharmacy is performing versus a standard set of efficiency markers, time prescriptions take to be dispensed on average including repeat items received from surgeries, amounts of items owed, availability of the pharmacist. The health board I believe currently does not have the powers to look at these. I would propose that arrangements need to be different so that its teeth are sharp, perhaps a contract with pharmacy contractors as per dentists and optometrists as opposed to the present contractual framework. </w:t>
            </w:r>
          </w:p>
        </w:tc>
      </w:tr>
      <w:tr w:rsidR="00320401" w:rsidRPr="00D37AFE" w14:paraId="140C237F" w14:textId="77777777" w:rsidTr="005670EB">
        <w:tc>
          <w:tcPr>
            <w:tcW w:w="0" w:type="auto"/>
            <w:shd w:val="clear" w:color="auto" w:fill="FFFFFF"/>
            <w:tcMar>
              <w:top w:w="75" w:type="dxa"/>
              <w:left w:w="75" w:type="dxa"/>
              <w:bottom w:w="75" w:type="dxa"/>
              <w:right w:w="75" w:type="dxa"/>
            </w:tcMar>
            <w:hideMark/>
          </w:tcPr>
          <w:p w14:paraId="1EDCB4AD" w14:textId="77777777" w:rsidR="00320401" w:rsidRPr="00D37AFE" w:rsidRDefault="00320401" w:rsidP="00320401">
            <w:pPr>
              <w:pStyle w:val="ListParagraph"/>
              <w:numPr>
                <w:ilvl w:val="0"/>
                <w:numId w:val="211"/>
              </w:numPr>
              <w:spacing w:after="0" w:line="240" w:lineRule="auto"/>
              <w:rPr>
                <w:rFonts w:ascii="Arial" w:hAnsi="Arial" w:cs="Arial"/>
                <w:sz w:val="24"/>
                <w:szCs w:val="24"/>
              </w:rPr>
            </w:pPr>
            <w:r w:rsidRPr="00D37AFE">
              <w:rPr>
                <w:rFonts w:ascii="Arial" w:hAnsi="Arial" w:cs="Arial"/>
                <w:sz w:val="24"/>
                <w:szCs w:val="24"/>
              </w:rPr>
              <w:t xml:space="preserve">The PNA states further investigation into the availability of advanced and enhanced services will take place within cluster chapters. It would be beneficial to understand what these investigations will include and if they will </w:t>
            </w:r>
            <w:r w:rsidRPr="00D37AFE">
              <w:rPr>
                <w:rFonts w:ascii="Arial" w:hAnsi="Arial" w:cs="Arial"/>
                <w:sz w:val="24"/>
                <w:szCs w:val="24"/>
              </w:rPr>
              <w:lastRenderedPageBreak/>
              <w:t xml:space="preserve">have any bearing on the conclusions drawn in the PNA. </w:t>
            </w:r>
            <w:r w:rsidRPr="00D37AFE">
              <w:rPr>
                <w:rFonts w:ascii="Arial" w:hAnsi="Arial" w:cs="Arial"/>
                <w:sz w:val="24"/>
                <w:szCs w:val="24"/>
              </w:rPr>
              <w:br/>
            </w:r>
            <w:r w:rsidRPr="00D37AFE">
              <w:rPr>
                <w:rFonts w:ascii="Arial" w:hAnsi="Arial" w:cs="Arial"/>
                <w:sz w:val="24"/>
                <w:szCs w:val="24"/>
              </w:rPr>
              <w:br/>
              <w:t xml:space="preserve">In addition the PNA details maps highlighting the spread of services across the clusters. There are some enhanced and advanced services where there is limited spread across select clusters but the PNA does not state whether this is due to contractor engagement or a commissioning decision. </w:t>
            </w:r>
          </w:p>
        </w:tc>
      </w:tr>
      <w:tr w:rsidR="00320401" w:rsidRPr="00D37AFE" w14:paraId="7DCE4B8E" w14:textId="77777777" w:rsidTr="005670EB">
        <w:tc>
          <w:tcPr>
            <w:tcW w:w="0" w:type="auto"/>
            <w:shd w:val="clear" w:color="auto" w:fill="FFFFFF"/>
            <w:tcMar>
              <w:top w:w="75" w:type="dxa"/>
              <w:left w:w="75" w:type="dxa"/>
              <w:bottom w:w="75" w:type="dxa"/>
              <w:right w:w="75" w:type="dxa"/>
            </w:tcMar>
            <w:hideMark/>
          </w:tcPr>
          <w:p w14:paraId="30BA8007" w14:textId="77777777" w:rsidR="00320401" w:rsidRPr="00D37AFE" w:rsidRDefault="00320401" w:rsidP="00320401">
            <w:pPr>
              <w:pStyle w:val="ListParagraph"/>
              <w:numPr>
                <w:ilvl w:val="0"/>
                <w:numId w:val="211"/>
              </w:numPr>
              <w:spacing w:after="0" w:line="240" w:lineRule="auto"/>
              <w:rPr>
                <w:rFonts w:ascii="Arial" w:hAnsi="Arial" w:cs="Arial"/>
                <w:sz w:val="24"/>
                <w:szCs w:val="24"/>
              </w:rPr>
            </w:pPr>
            <w:r w:rsidRPr="00D37AFE">
              <w:rPr>
                <w:rFonts w:ascii="Arial" w:hAnsi="Arial" w:cs="Arial"/>
                <w:sz w:val="24"/>
                <w:szCs w:val="24"/>
              </w:rPr>
              <w:lastRenderedPageBreak/>
              <w:t>Only to reiterate our conclusion as stated in 10 above.</w:t>
            </w:r>
          </w:p>
        </w:tc>
      </w:tr>
      <w:tr w:rsidR="00320401" w:rsidRPr="00D37AFE" w14:paraId="001B507D" w14:textId="77777777" w:rsidTr="005670EB">
        <w:tc>
          <w:tcPr>
            <w:tcW w:w="0" w:type="auto"/>
            <w:shd w:val="clear" w:color="auto" w:fill="FFFFFF"/>
            <w:tcMar>
              <w:top w:w="75" w:type="dxa"/>
              <w:left w:w="75" w:type="dxa"/>
              <w:bottom w:w="75" w:type="dxa"/>
              <w:right w:w="75" w:type="dxa"/>
            </w:tcMar>
            <w:hideMark/>
          </w:tcPr>
          <w:p w14:paraId="6E357D92" w14:textId="77777777" w:rsidR="00320401" w:rsidRPr="00D37AFE" w:rsidRDefault="00320401" w:rsidP="00320401">
            <w:pPr>
              <w:pStyle w:val="ListParagraph"/>
              <w:numPr>
                <w:ilvl w:val="0"/>
                <w:numId w:val="211"/>
              </w:numPr>
              <w:spacing w:after="0" w:line="240" w:lineRule="auto"/>
              <w:rPr>
                <w:rFonts w:ascii="Arial" w:hAnsi="Arial" w:cs="Arial"/>
                <w:sz w:val="24"/>
                <w:szCs w:val="24"/>
              </w:rPr>
            </w:pPr>
            <w:r w:rsidRPr="00D37AFE">
              <w:rPr>
                <w:rFonts w:ascii="Arial" w:hAnsi="Arial" w:cs="Arial"/>
                <w:sz w:val="24"/>
                <w:szCs w:val="24"/>
              </w:rPr>
              <w:t xml:space="preserve">Overall, I feel the document was written backwards with the decision made and then the document produced to try and verify this conclusion. It fails in providing the evidence. </w:t>
            </w:r>
            <w:r w:rsidRPr="00D37AFE">
              <w:rPr>
                <w:rFonts w:ascii="Arial" w:hAnsi="Arial" w:cs="Arial"/>
                <w:sz w:val="24"/>
                <w:szCs w:val="24"/>
              </w:rPr>
              <w:br/>
            </w:r>
            <w:r w:rsidRPr="00D37AFE">
              <w:rPr>
                <w:rFonts w:ascii="Arial" w:hAnsi="Arial" w:cs="Arial"/>
                <w:sz w:val="24"/>
                <w:szCs w:val="24"/>
              </w:rPr>
              <w:br/>
              <w:t xml:space="preserve">The document is 392 pages long. The majority is just cut and pasted and could have been reduced greatly. </w:t>
            </w:r>
            <w:r w:rsidRPr="00D37AFE">
              <w:rPr>
                <w:rFonts w:ascii="Arial" w:hAnsi="Arial" w:cs="Arial"/>
                <w:sz w:val="24"/>
                <w:szCs w:val="24"/>
              </w:rPr>
              <w:br/>
            </w:r>
            <w:r w:rsidRPr="00D37AFE">
              <w:rPr>
                <w:rFonts w:ascii="Arial" w:hAnsi="Arial" w:cs="Arial"/>
                <w:sz w:val="24"/>
                <w:szCs w:val="24"/>
              </w:rPr>
              <w:br/>
              <w:t xml:space="preserve">Unfortunately, through poor data collection, analysis and interpretation the document does no way go into the detail needed to establish the needs of the population at present and in the future. </w:t>
            </w:r>
          </w:p>
          <w:p w14:paraId="151F34F7" w14:textId="77777777" w:rsidR="00320401" w:rsidRPr="00D37AFE" w:rsidRDefault="00320401" w:rsidP="005670EB">
            <w:pPr>
              <w:pStyle w:val="ListParagraph"/>
              <w:spacing w:after="0" w:line="240" w:lineRule="auto"/>
              <w:rPr>
                <w:rFonts w:ascii="Arial" w:hAnsi="Arial" w:cs="Arial"/>
                <w:sz w:val="24"/>
                <w:szCs w:val="24"/>
              </w:rPr>
            </w:pPr>
          </w:p>
          <w:p w14:paraId="693FA2FF" w14:textId="6064780F" w:rsidR="00320401" w:rsidRPr="00D37AFE" w:rsidRDefault="00320401" w:rsidP="00320401">
            <w:pPr>
              <w:pStyle w:val="ListParagraph"/>
              <w:numPr>
                <w:ilvl w:val="0"/>
                <w:numId w:val="211"/>
              </w:numPr>
              <w:spacing w:after="0" w:line="240" w:lineRule="auto"/>
              <w:rPr>
                <w:rFonts w:ascii="Arial" w:hAnsi="Arial" w:cs="Arial"/>
                <w:sz w:val="24"/>
                <w:szCs w:val="24"/>
              </w:rPr>
            </w:pPr>
            <w:r>
              <w:rPr>
                <w:rFonts w:ascii="Arial" w:hAnsi="Arial" w:cs="Arial"/>
                <w:sz w:val="24"/>
                <w:szCs w:val="24"/>
              </w:rPr>
              <w:t xml:space="preserve">Chapter 6 </w:t>
            </w:r>
            <w:r w:rsidRPr="00D37AFE">
              <w:rPr>
                <w:rFonts w:ascii="Arial" w:hAnsi="Arial" w:cs="Arial"/>
                <w:sz w:val="24"/>
                <w:szCs w:val="24"/>
              </w:rPr>
              <w:t>- This Chapter deals with other NHS services which CAVUHB deems affects the need for pharmaceutical services within its area. It is felt that a number of other services which impact NHS pharmaceutical services could be considered. These may include services from Sexual Health Clinics; Specialist Substance Misuse Services; Smoking Cessation Services; dentists; optometrists; Homecare Providers and CAMHS.</w:t>
            </w:r>
          </w:p>
          <w:p w14:paraId="495D047A" w14:textId="77777777" w:rsidR="00320401" w:rsidRPr="00D37AFE" w:rsidRDefault="00320401" w:rsidP="005670EB">
            <w:pPr>
              <w:pStyle w:val="ListParagraph"/>
              <w:spacing w:after="0" w:line="240" w:lineRule="auto"/>
              <w:rPr>
                <w:rFonts w:ascii="Arial" w:hAnsi="Arial" w:cs="Arial"/>
                <w:sz w:val="24"/>
                <w:szCs w:val="24"/>
              </w:rPr>
            </w:pPr>
          </w:p>
          <w:p w14:paraId="10818F1F" w14:textId="77777777" w:rsidR="00320401" w:rsidRPr="00D37AFE" w:rsidRDefault="00320401" w:rsidP="005670EB">
            <w:pPr>
              <w:pStyle w:val="ListParagraph"/>
              <w:spacing w:after="0" w:line="240" w:lineRule="auto"/>
              <w:rPr>
                <w:rFonts w:ascii="Arial" w:hAnsi="Arial" w:cs="Arial"/>
                <w:sz w:val="24"/>
                <w:szCs w:val="24"/>
              </w:rPr>
            </w:pPr>
            <w:r w:rsidRPr="00D37AFE">
              <w:rPr>
                <w:rFonts w:ascii="Arial" w:hAnsi="Arial" w:cs="Arial"/>
                <w:sz w:val="24"/>
                <w:szCs w:val="24"/>
              </w:rPr>
              <w:t>Following the closure of Lloyds Pharmacy located at Sainsbury’s, Colchester Avenue the number of pharmacies reduced from 107 to 106. As a result, some sections of the PNA and the data presented relates to the time when this pharmacy was open and other sections to when it was closed. Whilst the correct number of pharmacies is referenced in each section, the reason for the reduction in numbers is not clear; It may be worth giving a reason for the reduction in numbers for benefit of the reader.</w:t>
            </w:r>
          </w:p>
          <w:p w14:paraId="555C40B9" w14:textId="77777777" w:rsidR="00320401" w:rsidRPr="00D37AFE" w:rsidRDefault="00320401" w:rsidP="005670EB">
            <w:pPr>
              <w:spacing w:after="0" w:line="240" w:lineRule="auto"/>
              <w:rPr>
                <w:rFonts w:ascii="Arial" w:hAnsi="Arial" w:cs="Arial"/>
                <w:sz w:val="24"/>
                <w:szCs w:val="24"/>
              </w:rPr>
            </w:pPr>
          </w:p>
          <w:p w14:paraId="4F2BD658" w14:textId="77777777" w:rsidR="00320401" w:rsidRPr="00D37AFE" w:rsidRDefault="00320401" w:rsidP="005670EB">
            <w:pPr>
              <w:pStyle w:val="ListParagraph"/>
              <w:spacing w:after="0" w:line="240" w:lineRule="auto"/>
              <w:rPr>
                <w:rFonts w:ascii="Arial" w:hAnsi="Arial" w:cs="Arial"/>
                <w:sz w:val="24"/>
                <w:szCs w:val="24"/>
              </w:rPr>
            </w:pPr>
            <w:r w:rsidRPr="00D37AFE">
              <w:rPr>
                <w:rFonts w:ascii="Arial" w:hAnsi="Arial" w:cs="Arial"/>
                <w:sz w:val="24"/>
                <w:szCs w:val="24"/>
              </w:rPr>
              <w:t>Section 1.5.3 (Patient and Public Engagement) identifies a real issue in that there is very low awareness of the services offered in community pharmacies in the CAVUHB area.  For even the most high profile services the PNA identifies that the following were the key services the public were aware of “flu vaccinations (21%, 269 responses) followed by the Common Aliments Scheme (17%, 221 responses) are the services most respondents are aware of as being offered by pharmacies as part of the NHS. Put another way around 80% of the public were unaware of the two most high profile services. CPW would suggest that this identifies a real need to step up communications and marketing within the LHB area if transfer of workload away from GP practices and other less appropriate providers is to be achieved. CPW would encourage the health board to embark on a local marketing and awareness raising campaign to encourage the local population to Choose Well.</w:t>
            </w:r>
          </w:p>
          <w:p w14:paraId="5FCABF57" w14:textId="77777777" w:rsidR="00320401" w:rsidRPr="00D37AFE" w:rsidRDefault="00320401" w:rsidP="005670EB">
            <w:pPr>
              <w:pStyle w:val="ListParagraph"/>
              <w:spacing w:after="0" w:line="240" w:lineRule="auto"/>
              <w:rPr>
                <w:rFonts w:ascii="Arial" w:hAnsi="Arial" w:cs="Arial"/>
                <w:sz w:val="24"/>
                <w:szCs w:val="24"/>
              </w:rPr>
            </w:pPr>
          </w:p>
        </w:tc>
      </w:tr>
    </w:tbl>
    <w:p w14:paraId="32EB83C2" w14:textId="77777777" w:rsidR="00320401" w:rsidRPr="00D37AFE" w:rsidRDefault="00320401" w:rsidP="00320401">
      <w:pPr>
        <w:spacing w:after="0" w:line="240" w:lineRule="auto"/>
        <w:rPr>
          <w:rFonts w:ascii="Arial" w:hAnsi="Arial" w:cs="Arial"/>
          <w:b/>
          <w:bCs/>
          <w:sz w:val="24"/>
          <w:szCs w:val="24"/>
        </w:rPr>
      </w:pPr>
    </w:p>
    <w:p w14:paraId="102A73BC" w14:textId="77777777" w:rsidR="00320401" w:rsidRPr="00D37AFE" w:rsidRDefault="00320401" w:rsidP="00320401">
      <w:pPr>
        <w:spacing w:after="0" w:line="240" w:lineRule="auto"/>
        <w:rPr>
          <w:rFonts w:ascii="Arial" w:hAnsi="Arial" w:cs="Arial"/>
          <w:b/>
          <w:bCs/>
          <w:sz w:val="24"/>
          <w:szCs w:val="24"/>
        </w:rPr>
      </w:pPr>
    </w:p>
    <w:p w14:paraId="47A6B562" w14:textId="77777777" w:rsidR="00320401" w:rsidRPr="00D37AFE" w:rsidRDefault="00320401" w:rsidP="00320401">
      <w:pPr>
        <w:spacing w:after="0" w:line="240" w:lineRule="auto"/>
        <w:rPr>
          <w:rFonts w:ascii="Arial" w:hAnsi="Arial" w:cs="Arial"/>
          <w:b/>
          <w:sz w:val="24"/>
          <w:szCs w:val="24"/>
        </w:rPr>
      </w:pPr>
      <w:r w:rsidRPr="00D37AFE">
        <w:rPr>
          <w:rFonts w:ascii="Arial" w:hAnsi="Arial" w:cs="Arial"/>
          <w:b/>
          <w:sz w:val="24"/>
          <w:szCs w:val="24"/>
        </w:rPr>
        <w:t xml:space="preserve">Cardiff and Vale University Health Board’s consideration </w:t>
      </w:r>
    </w:p>
    <w:p w14:paraId="61895262" w14:textId="77777777" w:rsidR="00320401" w:rsidRPr="00D37AFE" w:rsidRDefault="00320401" w:rsidP="00320401">
      <w:pPr>
        <w:spacing w:after="0" w:line="240" w:lineRule="auto"/>
        <w:rPr>
          <w:rFonts w:ascii="Arial" w:hAnsi="Arial" w:cs="Arial"/>
          <w:b/>
          <w:bCs/>
          <w:sz w:val="24"/>
          <w:szCs w:val="24"/>
        </w:rPr>
      </w:pPr>
    </w:p>
    <w:p w14:paraId="6C2A5503" w14:textId="77777777" w:rsidR="00320401" w:rsidRPr="00D37AFE" w:rsidRDefault="00320401" w:rsidP="00320401">
      <w:pPr>
        <w:pStyle w:val="ListParagraph"/>
        <w:numPr>
          <w:ilvl w:val="0"/>
          <w:numId w:val="226"/>
        </w:numPr>
        <w:spacing w:after="0" w:line="240" w:lineRule="auto"/>
        <w:rPr>
          <w:rFonts w:ascii="Arial" w:hAnsi="Arial" w:cs="Arial"/>
          <w:sz w:val="24"/>
          <w:szCs w:val="24"/>
        </w:rPr>
      </w:pPr>
      <w:r w:rsidRPr="00D37AFE">
        <w:rPr>
          <w:rFonts w:ascii="Arial" w:hAnsi="Arial" w:cs="Arial"/>
          <w:sz w:val="24"/>
          <w:szCs w:val="24"/>
        </w:rPr>
        <w:t>Cardiff and Vale University Health Board has noted the comments made.</w:t>
      </w:r>
    </w:p>
    <w:p w14:paraId="2F0C4502" w14:textId="77777777" w:rsidR="00320401" w:rsidRPr="00D37AFE" w:rsidRDefault="00320401" w:rsidP="00320401">
      <w:pPr>
        <w:spacing w:after="0" w:line="240" w:lineRule="auto"/>
        <w:rPr>
          <w:rFonts w:ascii="Arial" w:hAnsi="Arial" w:cs="Arial"/>
          <w:sz w:val="24"/>
          <w:szCs w:val="24"/>
        </w:rPr>
      </w:pPr>
    </w:p>
    <w:p w14:paraId="04C02D61" w14:textId="77777777" w:rsidR="00320401" w:rsidRPr="00D37AFE" w:rsidRDefault="00320401" w:rsidP="00320401">
      <w:pPr>
        <w:pStyle w:val="ListParagraph"/>
        <w:numPr>
          <w:ilvl w:val="0"/>
          <w:numId w:val="216"/>
        </w:numPr>
        <w:spacing w:after="0" w:line="240" w:lineRule="auto"/>
        <w:rPr>
          <w:rFonts w:ascii="Arial" w:hAnsi="Arial" w:cs="Arial"/>
          <w:sz w:val="24"/>
          <w:szCs w:val="24"/>
        </w:rPr>
      </w:pPr>
      <w:r w:rsidRPr="00D37AFE">
        <w:rPr>
          <w:rFonts w:ascii="Arial" w:hAnsi="Arial" w:cs="Arial"/>
          <w:sz w:val="24"/>
          <w:szCs w:val="24"/>
        </w:rPr>
        <w:t xml:space="preserve">The enhanced and advanced services were presented at the health board level and further analysis of this data was undertaken within the cluster chapters to show the provision of services at that level. </w:t>
      </w:r>
    </w:p>
    <w:p w14:paraId="5B9998EF" w14:textId="77777777" w:rsidR="00320401" w:rsidRPr="00D37AFE" w:rsidRDefault="00320401" w:rsidP="00320401">
      <w:pPr>
        <w:spacing w:after="0" w:line="240" w:lineRule="auto"/>
        <w:rPr>
          <w:rFonts w:ascii="Arial" w:hAnsi="Arial" w:cs="Arial"/>
          <w:sz w:val="24"/>
          <w:szCs w:val="24"/>
        </w:rPr>
      </w:pPr>
    </w:p>
    <w:p w14:paraId="2E8CF998" w14:textId="77777777" w:rsidR="00320401" w:rsidRPr="00D37AFE" w:rsidRDefault="00320401" w:rsidP="00320401">
      <w:pPr>
        <w:pStyle w:val="ListParagraph"/>
        <w:numPr>
          <w:ilvl w:val="0"/>
          <w:numId w:val="216"/>
        </w:numPr>
        <w:spacing w:after="0" w:line="240" w:lineRule="auto"/>
        <w:rPr>
          <w:rFonts w:ascii="Arial" w:hAnsi="Arial" w:cs="Arial"/>
          <w:sz w:val="24"/>
          <w:szCs w:val="24"/>
        </w:rPr>
      </w:pPr>
      <w:r w:rsidRPr="00D37AFE">
        <w:rPr>
          <w:rFonts w:ascii="Arial" w:hAnsi="Arial" w:cs="Arial"/>
          <w:sz w:val="24"/>
          <w:szCs w:val="24"/>
        </w:rPr>
        <w:t xml:space="preserve">The comments around the awareness of community pharmacy services in CAVUHB area have been noted. </w:t>
      </w:r>
    </w:p>
    <w:p w14:paraId="714FFDDA" w14:textId="77777777" w:rsidR="00320401" w:rsidRPr="00D37AFE" w:rsidRDefault="00320401" w:rsidP="00320401">
      <w:pPr>
        <w:pStyle w:val="ListParagraph"/>
        <w:rPr>
          <w:rFonts w:ascii="Arial" w:hAnsi="Arial" w:cs="Arial"/>
          <w:sz w:val="24"/>
          <w:szCs w:val="24"/>
        </w:rPr>
      </w:pPr>
    </w:p>
    <w:p w14:paraId="24CA98E5" w14:textId="77777777" w:rsidR="00320401" w:rsidRPr="00D37AFE" w:rsidRDefault="00320401" w:rsidP="00320401">
      <w:pPr>
        <w:pStyle w:val="ListParagraph"/>
        <w:numPr>
          <w:ilvl w:val="0"/>
          <w:numId w:val="216"/>
        </w:numPr>
        <w:spacing w:after="0" w:line="240" w:lineRule="auto"/>
        <w:rPr>
          <w:rFonts w:ascii="Arial" w:hAnsi="Arial" w:cs="Arial"/>
          <w:sz w:val="24"/>
          <w:szCs w:val="24"/>
        </w:rPr>
      </w:pPr>
      <w:r w:rsidRPr="00D37AFE">
        <w:rPr>
          <w:rFonts w:ascii="Arial" w:hAnsi="Arial" w:cs="Arial"/>
          <w:sz w:val="24"/>
          <w:szCs w:val="24"/>
        </w:rPr>
        <w:t>For clarity purposes, a reason for the reduction in number of pharmacies will be added to the last paragraph in section 5.1.2.</w:t>
      </w:r>
    </w:p>
    <w:p w14:paraId="0B58570C" w14:textId="77777777" w:rsidR="00320401" w:rsidRPr="00D37AFE" w:rsidRDefault="00320401" w:rsidP="00320401">
      <w:pPr>
        <w:spacing w:after="0" w:line="240" w:lineRule="auto"/>
        <w:rPr>
          <w:rFonts w:ascii="Arial" w:hAnsi="Arial" w:cs="Arial"/>
          <w:sz w:val="24"/>
          <w:szCs w:val="24"/>
        </w:rPr>
      </w:pPr>
    </w:p>
    <w:p w14:paraId="57101045" w14:textId="77777777" w:rsidR="00320401" w:rsidRPr="00D37AFE" w:rsidRDefault="00320401" w:rsidP="00320401">
      <w:pPr>
        <w:spacing w:after="0" w:line="240" w:lineRule="auto"/>
        <w:rPr>
          <w:rFonts w:ascii="Arial" w:hAnsi="Arial" w:cs="Arial"/>
          <w:sz w:val="24"/>
          <w:szCs w:val="24"/>
        </w:rPr>
      </w:pPr>
    </w:p>
    <w:p w14:paraId="1E4D07A7" w14:textId="77777777" w:rsidR="00320401" w:rsidRPr="00D37AFE" w:rsidRDefault="00320401" w:rsidP="00320401">
      <w:pPr>
        <w:spacing w:after="0" w:line="240" w:lineRule="auto"/>
        <w:rPr>
          <w:rFonts w:ascii="Arial" w:hAnsi="Arial" w:cs="Arial"/>
          <w:b/>
          <w:sz w:val="24"/>
          <w:szCs w:val="24"/>
        </w:rPr>
      </w:pPr>
      <w:r w:rsidRPr="00D37AFE">
        <w:rPr>
          <w:rFonts w:ascii="Arial" w:hAnsi="Arial" w:cs="Arial"/>
          <w:b/>
          <w:sz w:val="24"/>
          <w:szCs w:val="24"/>
        </w:rPr>
        <w:t xml:space="preserve">Summary conclusions </w:t>
      </w:r>
    </w:p>
    <w:p w14:paraId="0C2B4A51" w14:textId="77777777" w:rsidR="00320401" w:rsidRPr="00D37AFE" w:rsidRDefault="00320401" w:rsidP="00320401">
      <w:pPr>
        <w:spacing w:after="0" w:line="240" w:lineRule="auto"/>
        <w:rPr>
          <w:rFonts w:ascii="Arial" w:hAnsi="Arial" w:cs="Arial"/>
          <w:b/>
          <w:sz w:val="24"/>
          <w:szCs w:val="24"/>
        </w:rPr>
      </w:pPr>
    </w:p>
    <w:p w14:paraId="73CEC530" w14:textId="77777777" w:rsidR="00320401" w:rsidRPr="00D37AFE" w:rsidRDefault="00320401" w:rsidP="00320401">
      <w:pPr>
        <w:spacing w:after="0" w:line="240" w:lineRule="auto"/>
        <w:rPr>
          <w:rFonts w:ascii="Arial" w:hAnsi="Arial" w:cs="Arial"/>
          <w:color w:val="000000"/>
          <w:sz w:val="24"/>
          <w:szCs w:val="24"/>
        </w:rPr>
      </w:pPr>
      <w:r w:rsidRPr="00D37AFE">
        <w:rPr>
          <w:rFonts w:ascii="Arial" w:hAnsi="Arial" w:cs="Arial"/>
          <w:color w:val="000000"/>
          <w:sz w:val="24"/>
          <w:szCs w:val="24"/>
        </w:rPr>
        <w:t>The Cardiff and Vale University Health Board notes that the overall response to the consultation has not identified a current or specified future need for pharmacy services. No concerns have been raised regarding non-compliance with the regulatory requirements, no pharmaceutical services provision has been missed and the main conclusions are agreed with.</w:t>
      </w:r>
    </w:p>
    <w:p w14:paraId="5E6FB261" w14:textId="77777777" w:rsidR="00320401" w:rsidRPr="00D37AFE" w:rsidRDefault="00320401" w:rsidP="00320401">
      <w:pPr>
        <w:spacing w:after="0" w:line="240" w:lineRule="auto"/>
        <w:rPr>
          <w:rFonts w:ascii="Arial" w:hAnsi="Arial" w:cs="Arial"/>
          <w:bCs/>
          <w:sz w:val="24"/>
          <w:szCs w:val="24"/>
        </w:rPr>
      </w:pPr>
    </w:p>
    <w:p w14:paraId="7E1B1B76" w14:textId="77777777" w:rsidR="00320401" w:rsidRPr="00D37AFE" w:rsidRDefault="00320401" w:rsidP="00320401">
      <w:pPr>
        <w:spacing w:after="0" w:line="240" w:lineRule="auto"/>
        <w:rPr>
          <w:rFonts w:ascii="Arial" w:hAnsi="Arial" w:cs="Arial"/>
          <w:color w:val="000000"/>
          <w:sz w:val="24"/>
          <w:szCs w:val="24"/>
        </w:rPr>
      </w:pPr>
      <w:r w:rsidRPr="00D37AFE">
        <w:rPr>
          <w:rFonts w:ascii="Arial" w:hAnsi="Arial" w:cs="Arial"/>
          <w:color w:val="000000"/>
          <w:sz w:val="24"/>
          <w:szCs w:val="24"/>
        </w:rPr>
        <w:t>Whilst some important matters are outwith</w:t>
      </w:r>
      <w:bookmarkStart w:id="90" w:name="_GoBack"/>
      <w:bookmarkEnd w:id="90"/>
      <w:r w:rsidRPr="00D37AFE">
        <w:rPr>
          <w:rFonts w:ascii="Arial" w:hAnsi="Arial" w:cs="Arial"/>
          <w:color w:val="000000"/>
          <w:sz w:val="24"/>
          <w:szCs w:val="24"/>
        </w:rPr>
        <w:t xml:space="preserve"> the PNA, Cardiff and Vale University Health Board has restricted its considerations to matters pursuant to the PNA. </w:t>
      </w:r>
    </w:p>
    <w:p w14:paraId="70F9711B" w14:textId="77777777" w:rsidR="00320401" w:rsidRPr="00D37AFE" w:rsidRDefault="00320401" w:rsidP="00320401">
      <w:pPr>
        <w:spacing w:after="0" w:line="240" w:lineRule="auto"/>
        <w:rPr>
          <w:rFonts w:ascii="Arial" w:hAnsi="Arial" w:cs="Arial"/>
          <w:color w:val="000000"/>
          <w:sz w:val="24"/>
          <w:szCs w:val="24"/>
        </w:rPr>
      </w:pPr>
    </w:p>
    <w:p w14:paraId="2C7500BC" w14:textId="77777777" w:rsidR="00320401" w:rsidRPr="00D37AFE" w:rsidRDefault="00320401" w:rsidP="00320401">
      <w:pPr>
        <w:spacing w:after="0" w:line="240" w:lineRule="auto"/>
        <w:rPr>
          <w:rFonts w:ascii="Arial" w:hAnsi="Arial" w:cs="Arial"/>
          <w:color w:val="000000"/>
          <w:sz w:val="24"/>
          <w:szCs w:val="24"/>
        </w:rPr>
      </w:pPr>
      <w:r w:rsidRPr="00D37AFE">
        <w:rPr>
          <w:rFonts w:ascii="Arial" w:hAnsi="Arial" w:cs="Arial"/>
          <w:color w:val="000000"/>
          <w:sz w:val="24"/>
          <w:szCs w:val="24"/>
        </w:rPr>
        <w:t>Cardiff and Vale Health Board would like to thank those who completed the online questionnaire and CPW for the comprehensive assessment provided directly to the health board.</w:t>
      </w:r>
    </w:p>
    <w:p w14:paraId="1FAA03BE" w14:textId="77777777" w:rsidR="00320401" w:rsidRPr="00D37AFE" w:rsidRDefault="00320401" w:rsidP="00320401">
      <w:pPr>
        <w:spacing w:after="0" w:line="240" w:lineRule="auto"/>
        <w:rPr>
          <w:rFonts w:ascii="Arial" w:hAnsi="Arial" w:cs="Arial"/>
          <w:sz w:val="24"/>
          <w:szCs w:val="24"/>
        </w:rPr>
      </w:pPr>
    </w:p>
    <w:p w14:paraId="585E4286" w14:textId="77777777" w:rsidR="00320401" w:rsidRPr="00D37AFE" w:rsidRDefault="00320401" w:rsidP="00320401">
      <w:pPr>
        <w:spacing w:after="0" w:line="240" w:lineRule="auto"/>
        <w:rPr>
          <w:rFonts w:ascii="Arial" w:hAnsi="Arial" w:cs="Arial"/>
          <w:b/>
          <w:sz w:val="24"/>
          <w:szCs w:val="24"/>
        </w:rPr>
      </w:pPr>
      <w:r w:rsidRPr="00D37AFE">
        <w:rPr>
          <w:rFonts w:ascii="Arial" w:hAnsi="Arial" w:cs="Arial"/>
          <w:b/>
          <w:sz w:val="24"/>
          <w:szCs w:val="24"/>
        </w:rPr>
        <w:t xml:space="preserve">Amendments </w:t>
      </w:r>
    </w:p>
    <w:p w14:paraId="332AF8DB" w14:textId="77777777" w:rsidR="00320401" w:rsidRPr="00D37AFE" w:rsidRDefault="00320401" w:rsidP="00320401">
      <w:pPr>
        <w:spacing w:after="0" w:line="240" w:lineRule="auto"/>
        <w:rPr>
          <w:rFonts w:ascii="Arial" w:hAnsi="Arial" w:cs="Arial"/>
          <w:sz w:val="24"/>
          <w:szCs w:val="24"/>
        </w:rPr>
      </w:pPr>
    </w:p>
    <w:p w14:paraId="1299ABCC" w14:textId="77777777" w:rsidR="00320401" w:rsidRPr="00D37AFE" w:rsidRDefault="00320401" w:rsidP="00320401">
      <w:pPr>
        <w:spacing w:after="0" w:line="240" w:lineRule="auto"/>
        <w:rPr>
          <w:rFonts w:ascii="Arial" w:hAnsi="Arial" w:cs="Arial"/>
          <w:sz w:val="24"/>
          <w:szCs w:val="24"/>
        </w:rPr>
      </w:pPr>
      <w:r w:rsidRPr="00D37AFE">
        <w:rPr>
          <w:rFonts w:ascii="Arial" w:hAnsi="Arial" w:cs="Arial"/>
          <w:sz w:val="24"/>
          <w:szCs w:val="24"/>
        </w:rPr>
        <w:t>The following amendments have been made to the PNA:</w:t>
      </w:r>
    </w:p>
    <w:p w14:paraId="2C607A77" w14:textId="77777777" w:rsidR="00320401" w:rsidRPr="00D37AFE" w:rsidRDefault="00320401" w:rsidP="00320401">
      <w:pPr>
        <w:spacing w:after="0" w:line="240" w:lineRule="auto"/>
        <w:rPr>
          <w:rFonts w:ascii="Arial" w:hAnsi="Arial" w:cs="Arial"/>
          <w:sz w:val="24"/>
          <w:szCs w:val="24"/>
        </w:rPr>
      </w:pPr>
    </w:p>
    <w:p w14:paraId="0C46FA68" w14:textId="77777777" w:rsidR="00320401" w:rsidRPr="00E97910" w:rsidRDefault="00320401" w:rsidP="00320401">
      <w:pPr>
        <w:pStyle w:val="ListParagraph"/>
        <w:numPr>
          <w:ilvl w:val="0"/>
          <w:numId w:val="199"/>
        </w:numPr>
        <w:rPr>
          <w:rFonts w:ascii="Arial" w:hAnsi="Arial" w:cs="Arial"/>
          <w:sz w:val="24"/>
          <w:szCs w:val="24"/>
        </w:rPr>
      </w:pPr>
      <w:r w:rsidRPr="00640482">
        <w:rPr>
          <w:rFonts w:ascii="Arial" w:hAnsi="Arial" w:cs="Arial"/>
          <w:sz w:val="24"/>
          <w:szCs w:val="24"/>
        </w:rPr>
        <w:t xml:space="preserve">The words “in general” have been removed </w:t>
      </w:r>
      <w:r>
        <w:rPr>
          <w:rFonts w:ascii="Arial" w:hAnsi="Arial" w:cs="Arial"/>
          <w:sz w:val="24"/>
          <w:szCs w:val="24"/>
        </w:rPr>
        <w:t xml:space="preserve">twice where it appears on both occasions </w:t>
      </w:r>
      <w:r w:rsidRPr="00640482">
        <w:rPr>
          <w:rFonts w:ascii="Arial" w:hAnsi="Arial" w:cs="Arial"/>
          <w:sz w:val="24"/>
          <w:szCs w:val="24"/>
        </w:rPr>
        <w:t>in section 1.1.</w:t>
      </w:r>
    </w:p>
    <w:p w14:paraId="1A010CB9" w14:textId="77777777" w:rsidR="00320401" w:rsidRPr="00D37AFE" w:rsidRDefault="00320401" w:rsidP="00320401">
      <w:pPr>
        <w:pStyle w:val="ListParagraph"/>
        <w:ind w:left="360"/>
        <w:rPr>
          <w:rFonts w:ascii="Arial" w:hAnsi="Arial" w:cs="Arial"/>
          <w:sz w:val="24"/>
          <w:szCs w:val="24"/>
        </w:rPr>
      </w:pPr>
    </w:p>
    <w:p w14:paraId="3551DDBD" w14:textId="77777777" w:rsidR="00320401" w:rsidRPr="00D37AFE" w:rsidRDefault="00320401" w:rsidP="00320401">
      <w:pPr>
        <w:pStyle w:val="ListParagraph"/>
        <w:numPr>
          <w:ilvl w:val="0"/>
          <w:numId w:val="199"/>
        </w:numPr>
        <w:spacing w:after="0" w:line="240" w:lineRule="auto"/>
        <w:ind w:left="357" w:hanging="357"/>
        <w:rPr>
          <w:rFonts w:ascii="Arial" w:hAnsi="Arial" w:cs="Arial"/>
          <w:sz w:val="24"/>
          <w:szCs w:val="24"/>
        </w:rPr>
      </w:pPr>
      <w:r w:rsidRPr="00D37AFE">
        <w:rPr>
          <w:rFonts w:ascii="Arial" w:hAnsi="Arial" w:cs="Arial"/>
          <w:sz w:val="24"/>
          <w:szCs w:val="24"/>
        </w:rPr>
        <w:t xml:space="preserve">An additional column has been added to tables 2, 7, 9, 11, 16, 18, 19 and 26 of the patient and public engagement survey in appendix H to also show the data analysed by percent of respondents. </w:t>
      </w:r>
    </w:p>
    <w:p w14:paraId="20B46EE8" w14:textId="77777777" w:rsidR="00320401" w:rsidRPr="00D37AFE" w:rsidRDefault="00320401" w:rsidP="00320401">
      <w:pPr>
        <w:pStyle w:val="ListParagraph"/>
        <w:rPr>
          <w:rFonts w:ascii="Arial" w:hAnsi="Arial" w:cs="Arial"/>
          <w:sz w:val="24"/>
          <w:szCs w:val="24"/>
        </w:rPr>
      </w:pPr>
    </w:p>
    <w:p w14:paraId="450F8C8D" w14:textId="77777777" w:rsidR="00320401" w:rsidRPr="00D37AFE" w:rsidRDefault="00320401" w:rsidP="00320401">
      <w:pPr>
        <w:pStyle w:val="ListParagraph"/>
        <w:spacing w:after="0" w:line="240" w:lineRule="auto"/>
        <w:ind w:left="357"/>
        <w:rPr>
          <w:rFonts w:ascii="Arial" w:hAnsi="Arial" w:cs="Arial"/>
          <w:sz w:val="24"/>
          <w:szCs w:val="24"/>
        </w:rPr>
      </w:pPr>
      <w:r w:rsidRPr="00D37AFE">
        <w:rPr>
          <w:rFonts w:ascii="Arial" w:hAnsi="Arial" w:cs="Arial"/>
          <w:sz w:val="24"/>
          <w:szCs w:val="24"/>
        </w:rPr>
        <w:t xml:space="preserve">The corresponding data and diagrams in section 1.5.3 has been changed to show just number of responses. </w:t>
      </w:r>
    </w:p>
    <w:p w14:paraId="008FE800" w14:textId="77777777" w:rsidR="00320401" w:rsidRPr="00D37AFE" w:rsidRDefault="00320401" w:rsidP="00320401">
      <w:pPr>
        <w:spacing w:after="0" w:line="240" w:lineRule="auto"/>
        <w:rPr>
          <w:rFonts w:ascii="Arial" w:hAnsi="Arial" w:cs="Arial"/>
          <w:b/>
          <w:sz w:val="24"/>
          <w:szCs w:val="24"/>
        </w:rPr>
      </w:pPr>
    </w:p>
    <w:p w14:paraId="2BC3F542" w14:textId="77777777" w:rsidR="00320401" w:rsidRPr="00D37AFE" w:rsidRDefault="00320401" w:rsidP="00320401">
      <w:pPr>
        <w:pStyle w:val="ListParagraph"/>
        <w:numPr>
          <w:ilvl w:val="0"/>
          <w:numId w:val="199"/>
        </w:numPr>
        <w:spacing w:after="0" w:line="240" w:lineRule="auto"/>
        <w:rPr>
          <w:rFonts w:ascii="Arial" w:hAnsi="Arial" w:cs="Arial"/>
          <w:b/>
          <w:sz w:val="24"/>
          <w:szCs w:val="24"/>
        </w:rPr>
      </w:pPr>
      <w:r w:rsidRPr="00D37AFE">
        <w:rPr>
          <w:rFonts w:ascii="Arial" w:hAnsi="Arial" w:cs="Arial"/>
          <w:sz w:val="24"/>
          <w:szCs w:val="24"/>
        </w:rPr>
        <w:lastRenderedPageBreak/>
        <w:t>The opening hours of pharmacies have been updated to reflect any changes received and are correct as of 30</w:t>
      </w:r>
      <w:r w:rsidRPr="00D37AFE">
        <w:rPr>
          <w:rFonts w:ascii="Arial" w:hAnsi="Arial" w:cs="Arial"/>
          <w:sz w:val="24"/>
          <w:szCs w:val="24"/>
          <w:vertAlign w:val="superscript"/>
        </w:rPr>
        <w:t>th</w:t>
      </w:r>
      <w:r w:rsidRPr="00D37AFE">
        <w:rPr>
          <w:rFonts w:ascii="Arial" w:hAnsi="Arial" w:cs="Arial"/>
          <w:sz w:val="24"/>
          <w:szCs w:val="24"/>
        </w:rPr>
        <w:t xml:space="preserve"> September 2021. A clarifying sentence has been added to section 5.1.2, which </w:t>
      </w:r>
      <w:r w:rsidRPr="00D37AFE">
        <w:rPr>
          <w:rFonts w:ascii="Arial" w:hAnsi="Arial" w:cs="Arial"/>
          <w:sz w:val="24"/>
          <w:szCs w:val="24"/>
          <w:shd w:val="clear" w:color="auto" w:fill="FFFFFF"/>
        </w:rPr>
        <w:t>signposts to the NHS111 website, where the latest opening hours can be found.</w:t>
      </w:r>
    </w:p>
    <w:p w14:paraId="17A4B3BB" w14:textId="77777777" w:rsidR="00320401" w:rsidRPr="00D37AFE" w:rsidRDefault="00320401" w:rsidP="00320401">
      <w:pPr>
        <w:spacing w:after="0" w:line="240" w:lineRule="auto"/>
        <w:rPr>
          <w:rFonts w:ascii="Arial" w:hAnsi="Arial" w:cs="Arial"/>
          <w:b/>
          <w:sz w:val="24"/>
          <w:szCs w:val="24"/>
        </w:rPr>
      </w:pPr>
    </w:p>
    <w:p w14:paraId="248FC83E" w14:textId="77777777" w:rsidR="00320401" w:rsidRPr="00D37AFE" w:rsidRDefault="00320401" w:rsidP="00320401">
      <w:pPr>
        <w:pStyle w:val="ListParagraph"/>
        <w:numPr>
          <w:ilvl w:val="0"/>
          <w:numId w:val="199"/>
        </w:numPr>
        <w:spacing w:after="0" w:line="240" w:lineRule="auto"/>
        <w:rPr>
          <w:rFonts w:ascii="Arial" w:hAnsi="Arial" w:cs="Arial"/>
          <w:b/>
          <w:sz w:val="24"/>
          <w:szCs w:val="24"/>
        </w:rPr>
      </w:pPr>
      <w:r w:rsidRPr="00D37AFE">
        <w:rPr>
          <w:rFonts w:ascii="Arial" w:hAnsi="Arial" w:cs="Arial"/>
          <w:sz w:val="24"/>
          <w:szCs w:val="24"/>
        </w:rPr>
        <w:t xml:space="preserve">A clarifying sentence </w:t>
      </w:r>
      <w:r>
        <w:rPr>
          <w:rFonts w:ascii="Arial" w:hAnsi="Arial" w:cs="Arial"/>
          <w:sz w:val="24"/>
          <w:szCs w:val="24"/>
        </w:rPr>
        <w:t xml:space="preserve">has been </w:t>
      </w:r>
      <w:r w:rsidRPr="00D37AFE">
        <w:rPr>
          <w:rFonts w:ascii="Arial" w:hAnsi="Arial" w:cs="Arial"/>
          <w:sz w:val="24"/>
          <w:szCs w:val="24"/>
        </w:rPr>
        <w:t xml:space="preserve">added to highlight that cluster level population data is not routinely collected on an annual basis.  Therefore, GP registered </w:t>
      </w:r>
      <w:r>
        <w:rPr>
          <w:rFonts w:ascii="Arial" w:hAnsi="Arial" w:cs="Arial"/>
          <w:sz w:val="24"/>
          <w:szCs w:val="24"/>
        </w:rPr>
        <w:t xml:space="preserve">patient </w:t>
      </w:r>
      <w:r w:rsidRPr="00D37AFE">
        <w:rPr>
          <w:rFonts w:ascii="Arial" w:hAnsi="Arial" w:cs="Arial"/>
          <w:sz w:val="24"/>
          <w:szCs w:val="24"/>
        </w:rPr>
        <w:t xml:space="preserve">data has been included and used to provide an indication of cluster population, and local authority based data has been used to provide an indication of population projections. Further to this, the clarifying statement also highlights the differences between population sources. </w:t>
      </w:r>
    </w:p>
    <w:p w14:paraId="3B01B04D" w14:textId="77777777" w:rsidR="00320401" w:rsidRPr="00D37AFE" w:rsidRDefault="00320401" w:rsidP="00320401">
      <w:pPr>
        <w:spacing w:after="0" w:line="240" w:lineRule="auto"/>
        <w:rPr>
          <w:rFonts w:ascii="Arial" w:hAnsi="Arial" w:cs="Arial"/>
          <w:sz w:val="24"/>
          <w:szCs w:val="24"/>
        </w:rPr>
      </w:pPr>
    </w:p>
    <w:p w14:paraId="4AD55DE4" w14:textId="77777777" w:rsidR="00320401" w:rsidRDefault="00320401" w:rsidP="00320401">
      <w:pPr>
        <w:pStyle w:val="ListParagraph"/>
        <w:numPr>
          <w:ilvl w:val="0"/>
          <w:numId w:val="199"/>
        </w:numPr>
        <w:spacing w:after="0" w:line="240" w:lineRule="auto"/>
        <w:rPr>
          <w:rFonts w:ascii="Arial" w:hAnsi="Arial" w:cs="Arial"/>
          <w:sz w:val="24"/>
          <w:szCs w:val="24"/>
        </w:rPr>
      </w:pPr>
      <w:r w:rsidRPr="00D37AFE">
        <w:rPr>
          <w:rFonts w:ascii="Arial" w:hAnsi="Arial" w:cs="Arial"/>
          <w:sz w:val="24"/>
          <w:szCs w:val="24"/>
        </w:rPr>
        <w:t xml:space="preserve">Since the draft PNA consultation, the spring 2021 LDP monitoring document has been released. Where available, the number of completed builds and builds under construction, has been included within the draft PNA for information purposes. </w:t>
      </w:r>
    </w:p>
    <w:p w14:paraId="767FC2CD" w14:textId="77777777" w:rsidR="00320401" w:rsidRPr="00E20CBE" w:rsidRDefault="00320401" w:rsidP="00320401">
      <w:pPr>
        <w:spacing w:after="0" w:line="240" w:lineRule="auto"/>
        <w:rPr>
          <w:rFonts w:ascii="Arial" w:hAnsi="Arial" w:cs="Arial"/>
          <w:sz w:val="24"/>
          <w:szCs w:val="24"/>
        </w:rPr>
      </w:pPr>
    </w:p>
    <w:p w14:paraId="1E611D8C" w14:textId="77777777" w:rsidR="00320401" w:rsidRPr="00E20CBE" w:rsidRDefault="00320401" w:rsidP="00320401">
      <w:pPr>
        <w:pStyle w:val="x1839973775msolistparagraph"/>
        <w:numPr>
          <w:ilvl w:val="0"/>
          <w:numId w:val="199"/>
        </w:numPr>
        <w:shd w:val="clear" w:color="auto" w:fill="FFFFFF"/>
        <w:spacing w:before="0" w:beforeAutospacing="0" w:after="0" w:afterAutospacing="0"/>
        <w:rPr>
          <w:rFonts w:ascii="Arial" w:hAnsi="Arial" w:cs="Arial"/>
          <w:bCs/>
        </w:rPr>
      </w:pPr>
      <w:r w:rsidRPr="00E20CBE">
        <w:rPr>
          <w:rFonts w:ascii="Arial" w:hAnsi="Arial" w:cs="Arial"/>
          <w:bCs/>
        </w:rPr>
        <w:t xml:space="preserve">The first two paragraphs of section 5.1.1 have been re-ordered to better reflect the fact that sustainable travel modes were considered in addition to car travel. </w:t>
      </w:r>
    </w:p>
    <w:p w14:paraId="0EB74D11" w14:textId="77777777" w:rsidR="00320401" w:rsidRPr="00D37AFE" w:rsidRDefault="00320401" w:rsidP="00320401">
      <w:pPr>
        <w:pStyle w:val="ListParagraph"/>
        <w:rPr>
          <w:rFonts w:ascii="Arial" w:hAnsi="Arial" w:cs="Arial"/>
          <w:sz w:val="24"/>
          <w:szCs w:val="24"/>
        </w:rPr>
      </w:pPr>
    </w:p>
    <w:p w14:paraId="29144A69" w14:textId="77777777" w:rsidR="00320401" w:rsidRPr="00D37AFE" w:rsidRDefault="00320401" w:rsidP="00320401">
      <w:pPr>
        <w:pStyle w:val="ListParagraph"/>
        <w:numPr>
          <w:ilvl w:val="0"/>
          <w:numId w:val="199"/>
        </w:numPr>
        <w:spacing w:after="0" w:line="240" w:lineRule="auto"/>
        <w:rPr>
          <w:rFonts w:ascii="Arial" w:hAnsi="Arial" w:cs="Arial"/>
          <w:sz w:val="24"/>
          <w:szCs w:val="24"/>
        </w:rPr>
      </w:pPr>
      <w:r w:rsidRPr="00D37AFE">
        <w:rPr>
          <w:rFonts w:ascii="Arial" w:hAnsi="Arial" w:cs="Arial"/>
          <w:sz w:val="24"/>
          <w:szCs w:val="24"/>
        </w:rPr>
        <w:t xml:space="preserve">For clarity purposes, a reason for the reduction in number of pharmacies </w:t>
      </w:r>
      <w:r>
        <w:rPr>
          <w:rFonts w:ascii="Arial" w:hAnsi="Arial" w:cs="Arial"/>
          <w:sz w:val="24"/>
          <w:szCs w:val="24"/>
        </w:rPr>
        <w:t xml:space="preserve">has been </w:t>
      </w:r>
      <w:r w:rsidRPr="00D37AFE">
        <w:rPr>
          <w:rFonts w:ascii="Arial" w:hAnsi="Arial" w:cs="Arial"/>
          <w:sz w:val="24"/>
          <w:szCs w:val="24"/>
        </w:rPr>
        <w:t>added to the last paragraph in section 5.1.2.</w:t>
      </w:r>
    </w:p>
    <w:p w14:paraId="0A7771B1" w14:textId="77777777" w:rsidR="00320401" w:rsidRPr="00D37AFE" w:rsidRDefault="00320401" w:rsidP="00320401">
      <w:pPr>
        <w:spacing w:after="0" w:line="240" w:lineRule="auto"/>
        <w:contextualSpacing/>
        <w:rPr>
          <w:rFonts w:ascii="Arial" w:hAnsi="Arial" w:cs="Arial"/>
          <w:sz w:val="24"/>
          <w:szCs w:val="24"/>
        </w:rPr>
      </w:pPr>
    </w:p>
    <w:p w14:paraId="23515B16" w14:textId="77777777" w:rsidR="00320401" w:rsidRPr="00E20CBE" w:rsidRDefault="00320401" w:rsidP="00320401">
      <w:pPr>
        <w:pStyle w:val="ListParagraph"/>
        <w:numPr>
          <w:ilvl w:val="0"/>
          <w:numId w:val="199"/>
        </w:numPr>
        <w:spacing w:after="0" w:line="240" w:lineRule="auto"/>
        <w:rPr>
          <w:rFonts w:ascii="Arial" w:hAnsi="Arial" w:cs="Arial"/>
          <w:sz w:val="24"/>
          <w:szCs w:val="24"/>
        </w:rPr>
      </w:pPr>
      <w:r w:rsidRPr="00D37AFE">
        <w:rPr>
          <w:rFonts w:ascii="Arial" w:hAnsi="Arial" w:cs="Arial"/>
          <w:sz w:val="24"/>
          <w:szCs w:val="24"/>
        </w:rPr>
        <w:t>Minor typographical corrections to the document have been made.</w:t>
      </w:r>
    </w:p>
    <w:p w14:paraId="03200EEC" w14:textId="77777777" w:rsidR="00320401" w:rsidRPr="00D37AFE" w:rsidRDefault="00320401" w:rsidP="00320401">
      <w:pPr>
        <w:spacing w:after="0" w:line="240" w:lineRule="auto"/>
        <w:contextualSpacing/>
        <w:rPr>
          <w:rFonts w:ascii="Arial" w:hAnsi="Arial" w:cs="Arial"/>
          <w:sz w:val="24"/>
          <w:szCs w:val="24"/>
        </w:rPr>
      </w:pPr>
    </w:p>
    <w:p w14:paraId="7FE9227C" w14:textId="77777777" w:rsidR="00320401" w:rsidRPr="00D37AFE" w:rsidRDefault="00320401" w:rsidP="00320401">
      <w:pPr>
        <w:spacing w:after="0" w:line="240" w:lineRule="auto"/>
        <w:contextualSpacing/>
        <w:rPr>
          <w:rFonts w:ascii="Arial" w:hAnsi="Arial" w:cs="Arial"/>
          <w:sz w:val="24"/>
          <w:szCs w:val="24"/>
        </w:rPr>
      </w:pPr>
    </w:p>
    <w:p w14:paraId="2DDCFC71" w14:textId="77777777" w:rsidR="00320401" w:rsidRPr="00F95D58" w:rsidRDefault="00320401" w:rsidP="00320401">
      <w:pPr>
        <w:pStyle w:val="ListParagraph"/>
        <w:spacing w:after="0" w:line="240" w:lineRule="auto"/>
        <w:ind w:left="360"/>
        <w:rPr>
          <w:rFonts w:ascii="Arial" w:hAnsi="Arial" w:cs="Arial"/>
          <w:b/>
          <w:sz w:val="24"/>
          <w:szCs w:val="24"/>
        </w:rPr>
      </w:pPr>
    </w:p>
    <w:bookmarkEnd w:id="84"/>
    <w:p w14:paraId="77F16B03" w14:textId="27B61792" w:rsidR="00F9321E" w:rsidRPr="00853554" w:rsidRDefault="00F9321E" w:rsidP="00853554">
      <w:pPr>
        <w:pStyle w:val="Heading1"/>
        <w:jc w:val="both"/>
        <w:rPr>
          <w:rFonts w:cs="Arial"/>
          <w:color w:val="auto"/>
        </w:rPr>
      </w:pPr>
      <w:r w:rsidRPr="0008542E">
        <w:rPr>
          <w:rFonts w:cs="Arial"/>
        </w:rPr>
        <w:br w:type="page"/>
      </w:r>
    </w:p>
    <w:p w14:paraId="7C7CFB3C" w14:textId="77777777" w:rsidR="00A52C92" w:rsidRPr="00A10850" w:rsidRDefault="00A52C92" w:rsidP="00DC54F7">
      <w:pPr>
        <w:jc w:val="both"/>
        <w:rPr>
          <w:rFonts w:ascii="Arial" w:hAnsi="Arial" w:cs="Arial"/>
          <w:b/>
          <w:sz w:val="24"/>
          <w:szCs w:val="24"/>
        </w:rPr>
        <w:sectPr w:rsidR="00A52C92" w:rsidRPr="00A10850" w:rsidSect="001E383B">
          <w:type w:val="continuous"/>
          <w:pgSz w:w="11906" w:h="16838"/>
          <w:pgMar w:top="1440" w:right="1440" w:bottom="1276" w:left="1440" w:header="708" w:footer="708" w:gutter="0"/>
          <w:cols w:space="708"/>
          <w:docGrid w:linePitch="360"/>
        </w:sectPr>
      </w:pPr>
    </w:p>
    <w:p w14:paraId="4877019A" w14:textId="0F0C90A6" w:rsidR="005B2946" w:rsidRPr="00C021D9" w:rsidRDefault="00197B9C" w:rsidP="00DC54F7">
      <w:pPr>
        <w:pStyle w:val="Heading1"/>
        <w:tabs>
          <w:tab w:val="left" w:pos="4755"/>
        </w:tabs>
        <w:jc w:val="both"/>
        <w:rPr>
          <w:rFonts w:cs="Arial"/>
          <w:color w:val="auto"/>
        </w:rPr>
      </w:pPr>
      <w:bookmarkStart w:id="91" w:name="_Toc81585124"/>
      <w:r w:rsidRPr="0086741D">
        <w:rPr>
          <w:rFonts w:cs="Arial"/>
          <w:color w:val="auto"/>
        </w:rPr>
        <w:lastRenderedPageBreak/>
        <w:t xml:space="preserve">Appendix </w:t>
      </w:r>
      <w:r w:rsidR="003336C6" w:rsidRPr="0086741D">
        <w:rPr>
          <w:rFonts w:cs="Arial"/>
          <w:color w:val="auto"/>
        </w:rPr>
        <w:t>L</w:t>
      </w:r>
      <w:r w:rsidRPr="0086741D">
        <w:rPr>
          <w:rFonts w:cs="Arial"/>
          <w:color w:val="auto"/>
        </w:rPr>
        <w:t xml:space="preserve"> </w:t>
      </w:r>
      <w:r w:rsidR="00995E20" w:rsidRPr="0086741D">
        <w:rPr>
          <w:rFonts w:cs="Arial"/>
          <w:color w:val="auto"/>
        </w:rPr>
        <w:t>–</w:t>
      </w:r>
      <w:r w:rsidRPr="0086741D">
        <w:rPr>
          <w:rFonts w:cs="Arial"/>
          <w:color w:val="auto"/>
        </w:rPr>
        <w:t xml:space="preserve"> </w:t>
      </w:r>
      <w:r w:rsidR="003A1198" w:rsidRPr="0086741D">
        <w:rPr>
          <w:rFonts w:cs="Arial"/>
          <w:color w:val="auto"/>
        </w:rPr>
        <w:t>o</w:t>
      </w:r>
      <w:r w:rsidR="00995E20" w:rsidRPr="0086741D">
        <w:rPr>
          <w:rFonts w:cs="Arial"/>
          <w:color w:val="auto"/>
        </w:rPr>
        <w:t>pening hours</w:t>
      </w:r>
      <w:bookmarkEnd w:id="91"/>
      <w:r w:rsidR="00713B93">
        <w:rPr>
          <w:rFonts w:cs="Arial"/>
          <w:color w:val="auto"/>
        </w:rPr>
        <w:tab/>
      </w:r>
    </w:p>
    <w:tbl>
      <w:tblPr>
        <w:tblW w:w="15940" w:type="dxa"/>
        <w:jc w:val="center"/>
        <w:tblLook w:val="04A0" w:firstRow="1" w:lastRow="0" w:firstColumn="1" w:lastColumn="0" w:noHBand="0" w:noVBand="1"/>
      </w:tblPr>
      <w:tblGrid>
        <w:gridCol w:w="848"/>
        <w:gridCol w:w="32"/>
        <w:gridCol w:w="1242"/>
        <w:gridCol w:w="38"/>
        <w:gridCol w:w="1835"/>
        <w:gridCol w:w="110"/>
        <w:gridCol w:w="852"/>
        <w:gridCol w:w="1169"/>
        <w:gridCol w:w="106"/>
        <w:gridCol w:w="1273"/>
        <w:gridCol w:w="145"/>
        <w:gridCol w:w="1275"/>
        <w:gridCol w:w="95"/>
        <w:gridCol w:w="1325"/>
        <w:gridCol w:w="95"/>
        <w:gridCol w:w="1317"/>
        <w:gridCol w:w="103"/>
        <w:gridCol w:w="1316"/>
        <w:gridCol w:w="124"/>
        <w:gridCol w:w="1292"/>
        <w:gridCol w:w="48"/>
        <w:gridCol w:w="1225"/>
        <w:gridCol w:w="75"/>
      </w:tblGrid>
      <w:tr w:rsidR="00C021D9" w14:paraId="75D19BBC" w14:textId="77777777" w:rsidTr="008C4A70">
        <w:trPr>
          <w:cantSplit/>
          <w:trHeight w:val="499"/>
          <w:jc w:val="center"/>
        </w:trPr>
        <w:tc>
          <w:tcPr>
            <w:tcW w:w="880" w:type="dxa"/>
            <w:gridSpan w:val="2"/>
            <w:tcBorders>
              <w:top w:val="single" w:sz="4" w:space="0" w:color="auto"/>
              <w:left w:val="single" w:sz="4" w:space="0" w:color="auto"/>
              <w:bottom w:val="single" w:sz="4" w:space="0" w:color="000000"/>
              <w:right w:val="single" w:sz="4" w:space="0" w:color="auto"/>
            </w:tcBorders>
            <w:vAlign w:val="center"/>
            <w:hideMark/>
          </w:tcPr>
          <w:p w14:paraId="59646EE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ODS Code</w:t>
            </w:r>
          </w:p>
        </w:tc>
        <w:tc>
          <w:tcPr>
            <w:tcW w:w="1280" w:type="dxa"/>
            <w:gridSpan w:val="2"/>
            <w:tcBorders>
              <w:top w:val="single" w:sz="4" w:space="0" w:color="auto"/>
              <w:left w:val="single" w:sz="4" w:space="0" w:color="auto"/>
              <w:bottom w:val="single" w:sz="4" w:space="0" w:color="000000"/>
              <w:right w:val="single" w:sz="4" w:space="0" w:color="auto"/>
            </w:tcBorders>
            <w:noWrap/>
            <w:vAlign w:val="center"/>
            <w:hideMark/>
          </w:tcPr>
          <w:p w14:paraId="7D006F0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Cluster</w:t>
            </w:r>
          </w:p>
        </w:tc>
        <w:tc>
          <w:tcPr>
            <w:tcW w:w="1835" w:type="dxa"/>
            <w:tcBorders>
              <w:top w:val="single" w:sz="4" w:space="0" w:color="auto"/>
              <w:left w:val="nil"/>
              <w:bottom w:val="single" w:sz="4" w:space="0" w:color="000000"/>
              <w:right w:val="single" w:sz="4" w:space="0" w:color="auto"/>
            </w:tcBorders>
            <w:vAlign w:val="center"/>
            <w:hideMark/>
          </w:tcPr>
          <w:p w14:paraId="14B1810C" w14:textId="77777777" w:rsidR="00C021D9" w:rsidRDefault="00C021D9" w:rsidP="00DC54F7">
            <w:pPr>
              <w:spacing w:after="0" w:line="240" w:lineRule="auto"/>
              <w:jc w:val="both"/>
              <w:rPr>
                <w:rFonts w:ascii="Calibri" w:eastAsia="Times New Roman" w:hAnsi="Calibri" w:cs="Arial"/>
                <w:b/>
                <w:bCs/>
                <w:sz w:val="16"/>
                <w:szCs w:val="16"/>
                <w:lang w:eastAsia="en-GB"/>
              </w:rPr>
            </w:pPr>
            <w:bookmarkStart w:id="92" w:name="RANGE!C1:L153"/>
            <w:r>
              <w:rPr>
                <w:rFonts w:ascii="Calibri" w:eastAsia="Times New Roman" w:hAnsi="Calibri" w:cs="Arial"/>
                <w:b/>
                <w:bCs/>
                <w:sz w:val="16"/>
                <w:szCs w:val="16"/>
                <w:lang w:eastAsia="en-GB"/>
              </w:rPr>
              <w:t>Pharmacy/dispensing appliance contractor name</w:t>
            </w:r>
            <w:bookmarkEnd w:id="92"/>
          </w:p>
        </w:tc>
        <w:tc>
          <w:tcPr>
            <w:tcW w:w="962" w:type="dxa"/>
            <w:gridSpan w:val="2"/>
            <w:tcBorders>
              <w:top w:val="single" w:sz="4" w:space="0" w:color="auto"/>
              <w:left w:val="single" w:sz="4" w:space="0" w:color="auto"/>
              <w:bottom w:val="single" w:sz="4" w:space="0" w:color="000000"/>
              <w:right w:val="single" w:sz="4" w:space="0" w:color="auto"/>
            </w:tcBorders>
            <w:vAlign w:val="center"/>
            <w:hideMark/>
          </w:tcPr>
          <w:p w14:paraId="78B060BA"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Standard Hours</w:t>
            </w:r>
          </w:p>
        </w:tc>
        <w:tc>
          <w:tcPr>
            <w:tcW w:w="1275" w:type="dxa"/>
            <w:gridSpan w:val="2"/>
            <w:tcBorders>
              <w:top w:val="single" w:sz="4" w:space="0" w:color="auto"/>
              <w:left w:val="nil"/>
              <w:bottom w:val="single" w:sz="4" w:space="0" w:color="000000"/>
              <w:right w:val="single" w:sz="4" w:space="0" w:color="auto"/>
            </w:tcBorders>
            <w:vAlign w:val="center"/>
            <w:hideMark/>
          </w:tcPr>
          <w:p w14:paraId="217BC8B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 </w:t>
            </w:r>
          </w:p>
        </w:tc>
        <w:tc>
          <w:tcPr>
            <w:tcW w:w="1418" w:type="dxa"/>
            <w:gridSpan w:val="2"/>
            <w:tcBorders>
              <w:top w:val="single" w:sz="4" w:space="0" w:color="auto"/>
              <w:left w:val="single" w:sz="4" w:space="0" w:color="auto"/>
              <w:bottom w:val="single" w:sz="4" w:space="0" w:color="000000"/>
              <w:right w:val="single" w:sz="4" w:space="0" w:color="auto"/>
            </w:tcBorders>
            <w:vAlign w:val="center"/>
            <w:hideMark/>
          </w:tcPr>
          <w:p w14:paraId="24CEF15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 xml:space="preserve">Monday </w:t>
            </w:r>
          </w:p>
        </w:tc>
        <w:tc>
          <w:tcPr>
            <w:tcW w:w="1370" w:type="dxa"/>
            <w:gridSpan w:val="2"/>
            <w:tcBorders>
              <w:top w:val="single" w:sz="4" w:space="0" w:color="auto"/>
              <w:left w:val="single" w:sz="4" w:space="0" w:color="auto"/>
              <w:bottom w:val="single" w:sz="4" w:space="0" w:color="000000"/>
              <w:right w:val="single" w:sz="4" w:space="0" w:color="auto"/>
            </w:tcBorders>
            <w:noWrap/>
            <w:vAlign w:val="center"/>
            <w:hideMark/>
          </w:tcPr>
          <w:p w14:paraId="320E461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Tuesday</w:t>
            </w:r>
          </w:p>
        </w:tc>
        <w:tc>
          <w:tcPr>
            <w:tcW w:w="1420" w:type="dxa"/>
            <w:gridSpan w:val="2"/>
            <w:tcBorders>
              <w:top w:val="single" w:sz="4" w:space="0" w:color="auto"/>
              <w:left w:val="single" w:sz="4" w:space="0" w:color="auto"/>
              <w:bottom w:val="single" w:sz="4" w:space="0" w:color="000000"/>
              <w:right w:val="single" w:sz="4" w:space="0" w:color="auto"/>
            </w:tcBorders>
            <w:noWrap/>
            <w:vAlign w:val="center"/>
            <w:hideMark/>
          </w:tcPr>
          <w:p w14:paraId="68A2C66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Wednesday</w:t>
            </w:r>
          </w:p>
        </w:tc>
        <w:tc>
          <w:tcPr>
            <w:tcW w:w="1420" w:type="dxa"/>
            <w:gridSpan w:val="2"/>
            <w:tcBorders>
              <w:top w:val="single" w:sz="4" w:space="0" w:color="auto"/>
              <w:left w:val="single" w:sz="4" w:space="0" w:color="auto"/>
              <w:bottom w:val="single" w:sz="4" w:space="0" w:color="000000"/>
              <w:right w:val="single" w:sz="4" w:space="0" w:color="auto"/>
            </w:tcBorders>
            <w:noWrap/>
            <w:vAlign w:val="center"/>
            <w:hideMark/>
          </w:tcPr>
          <w:p w14:paraId="47A146AA"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Thursday</w:t>
            </w:r>
          </w:p>
        </w:tc>
        <w:tc>
          <w:tcPr>
            <w:tcW w:w="1440" w:type="dxa"/>
            <w:gridSpan w:val="2"/>
            <w:tcBorders>
              <w:top w:val="single" w:sz="4" w:space="0" w:color="auto"/>
              <w:left w:val="single" w:sz="4" w:space="0" w:color="auto"/>
              <w:bottom w:val="single" w:sz="4" w:space="0" w:color="000000"/>
              <w:right w:val="single" w:sz="4" w:space="0" w:color="auto"/>
            </w:tcBorders>
            <w:noWrap/>
            <w:vAlign w:val="center"/>
            <w:hideMark/>
          </w:tcPr>
          <w:p w14:paraId="1120AFEB"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Friday</w:t>
            </w:r>
          </w:p>
        </w:tc>
        <w:tc>
          <w:tcPr>
            <w:tcW w:w="1340" w:type="dxa"/>
            <w:gridSpan w:val="2"/>
            <w:tcBorders>
              <w:top w:val="single" w:sz="4" w:space="0" w:color="auto"/>
              <w:left w:val="single" w:sz="4" w:space="0" w:color="auto"/>
              <w:bottom w:val="single" w:sz="4" w:space="0" w:color="000000"/>
              <w:right w:val="single" w:sz="4" w:space="0" w:color="auto"/>
            </w:tcBorders>
            <w:noWrap/>
            <w:vAlign w:val="center"/>
            <w:hideMark/>
          </w:tcPr>
          <w:p w14:paraId="2E097AC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Saturday</w:t>
            </w:r>
          </w:p>
        </w:tc>
        <w:tc>
          <w:tcPr>
            <w:tcW w:w="1300" w:type="dxa"/>
            <w:gridSpan w:val="2"/>
            <w:tcBorders>
              <w:top w:val="single" w:sz="4" w:space="0" w:color="auto"/>
              <w:left w:val="single" w:sz="4" w:space="0" w:color="auto"/>
              <w:bottom w:val="single" w:sz="4" w:space="0" w:color="000000"/>
              <w:right w:val="single" w:sz="4" w:space="0" w:color="auto"/>
            </w:tcBorders>
            <w:noWrap/>
            <w:vAlign w:val="center"/>
            <w:hideMark/>
          </w:tcPr>
          <w:p w14:paraId="3CB7E4C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Sunday</w:t>
            </w:r>
          </w:p>
        </w:tc>
      </w:tr>
      <w:tr w:rsidR="00C021D9" w14:paraId="7A61870B" w14:textId="77777777" w:rsidTr="008C4A70">
        <w:trPr>
          <w:trHeight w:val="499"/>
          <w:jc w:val="center"/>
        </w:trPr>
        <w:tc>
          <w:tcPr>
            <w:tcW w:w="880"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0550608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602030A</w:t>
            </w:r>
          </w:p>
        </w:tc>
        <w:tc>
          <w:tcPr>
            <w:tcW w:w="1280"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7793DDC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East</w:t>
            </w:r>
          </w:p>
        </w:tc>
        <w:tc>
          <w:tcPr>
            <w:tcW w:w="1835" w:type="dxa"/>
            <w:vMerge w:val="restart"/>
            <w:tcBorders>
              <w:top w:val="single" w:sz="4" w:space="0" w:color="000000"/>
              <w:left w:val="single" w:sz="4" w:space="0" w:color="auto"/>
              <w:bottom w:val="single" w:sz="4" w:space="0" w:color="000000"/>
              <w:right w:val="single" w:sz="4" w:space="0" w:color="auto"/>
            </w:tcBorders>
            <w:vAlign w:val="center"/>
            <w:hideMark/>
          </w:tcPr>
          <w:p w14:paraId="7EB0FB9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G S Bhogal Pharmacy</w:t>
            </w:r>
          </w:p>
        </w:tc>
        <w:tc>
          <w:tcPr>
            <w:tcW w:w="962"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66B1462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275" w:type="dxa"/>
            <w:gridSpan w:val="2"/>
            <w:tcBorders>
              <w:top w:val="single" w:sz="4" w:space="0" w:color="000000"/>
              <w:left w:val="nil"/>
              <w:bottom w:val="single" w:sz="4" w:space="0" w:color="000000"/>
              <w:right w:val="single" w:sz="4" w:space="0" w:color="auto"/>
            </w:tcBorders>
            <w:noWrap/>
            <w:vAlign w:val="center"/>
            <w:hideMark/>
          </w:tcPr>
          <w:p w14:paraId="39DCD56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418" w:type="dxa"/>
            <w:gridSpan w:val="2"/>
            <w:tcBorders>
              <w:top w:val="single" w:sz="4" w:space="0" w:color="000000"/>
              <w:left w:val="nil"/>
              <w:bottom w:val="single" w:sz="4" w:space="0" w:color="000000"/>
              <w:right w:val="single" w:sz="4" w:space="0" w:color="auto"/>
            </w:tcBorders>
            <w:vAlign w:val="center"/>
            <w:hideMark/>
          </w:tcPr>
          <w:p w14:paraId="67F2BF3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370" w:type="dxa"/>
            <w:gridSpan w:val="2"/>
            <w:tcBorders>
              <w:top w:val="single" w:sz="4" w:space="0" w:color="000000"/>
              <w:left w:val="nil"/>
              <w:bottom w:val="single" w:sz="4" w:space="0" w:color="000000"/>
              <w:right w:val="single" w:sz="4" w:space="0" w:color="auto"/>
            </w:tcBorders>
            <w:vAlign w:val="center"/>
            <w:hideMark/>
          </w:tcPr>
          <w:p w14:paraId="669E2D5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5D3E61A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3D3652D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40" w:type="dxa"/>
            <w:gridSpan w:val="2"/>
            <w:tcBorders>
              <w:top w:val="single" w:sz="4" w:space="0" w:color="000000"/>
              <w:left w:val="nil"/>
              <w:bottom w:val="single" w:sz="4" w:space="0" w:color="000000"/>
              <w:right w:val="single" w:sz="4" w:space="0" w:color="auto"/>
            </w:tcBorders>
            <w:vAlign w:val="center"/>
            <w:hideMark/>
          </w:tcPr>
          <w:p w14:paraId="6813C00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340" w:type="dxa"/>
            <w:gridSpan w:val="2"/>
            <w:tcBorders>
              <w:top w:val="single" w:sz="4" w:space="0" w:color="000000"/>
              <w:left w:val="nil"/>
              <w:bottom w:val="single" w:sz="4" w:space="0" w:color="000000"/>
              <w:right w:val="single" w:sz="4" w:space="0" w:color="auto"/>
            </w:tcBorders>
            <w:noWrap/>
            <w:vAlign w:val="center"/>
            <w:hideMark/>
          </w:tcPr>
          <w:p w14:paraId="58BB2E9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300" w:type="dxa"/>
            <w:gridSpan w:val="2"/>
            <w:tcBorders>
              <w:top w:val="single" w:sz="4" w:space="0" w:color="000000"/>
              <w:left w:val="nil"/>
              <w:bottom w:val="single" w:sz="4" w:space="0" w:color="000000"/>
              <w:right w:val="single" w:sz="4" w:space="0" w:color="auto"/>
            </w:tcBorders>
            <w:noWrap/>
            <w:vAlign w:val="center"/>
            <w:hideMark/>
          </w:tcPr>
          <w:p w14:paraId="1FF7A42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6A8A0808" w14:textId="77777777" w:rsidTr="008C4A70">
        <w:trPr>
          <w:trHeight w:val="499"/>
          <w:jc w:val="center"/>
        </w:trPr>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0A869C2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692107B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3330D96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74105466"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275"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182B80E"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418" w:type="dxa"/>
            <w:gridSpan w:val="2"/>
            <w:tcBorders>
              <w:top w:val="single" w:sz="4" w:space="0" w:color="000000"/>
              <w:left w:val="nil"/>
              <w:bottom w:val="single" w:sz="4" w:space="0" w:color="000000"/>
              <w:right w:val="single" w:sz="4" w:space="0" w:color="auto"/>
            </w:tcBorders>
            <w:shd w:val="clear" w:color="auto" w:fill="BFBFBF"/>
            <w:vAlign w:val="center"/>
            <w:hideMark/>
          </w:tcPr>
          <w:p w14:paraId="7EDBB33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08:00 - 18:30</w:t>
            </w:r>
          </w:p>
        </w:tc>
        <w:tc>
          <w:tcPr>
            <w:tcW w:w="1370" w:type="dxa"/>
            <w:gridSpan w:val="2"/>
            <w:tcBorders>
              <w:top w:val="single" w:sz="4" w:space="0" w:color="000000"/>
              <w:left w:val="nil"/>
              <w:bottom w:val="single" w:sz="4" w:space="0" w:color="000000"/>
              <w:right w:val="single" w:sz="4" w:space="0" w:color="auto"/>
            </w:tcBorders>
            <w:shd w:val="clear" w:color="auto" w:fill="BFBFBF"/>
            <w:vAlign w:val="center"/>
            <w:hideMark/>
          </w:tcPr>
          <w:p w14:paraId="4D7860A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08:00 - 18:30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1E2024A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08:00 - 18:30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22B19E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08:00 - 18:30</w:t>
            </w:r>
          </w:p>
        </w:tc>
        <w:tc>
          <w:tcPr>
            <w:tcW w:w="1440" w:type="dxa"/>
            <w:gridSpan w:val="2"/>
            <w:tcBorders>
              <w:top w:val="single" w:sz="4" w:space="0" w:color="000000"/>
              <w:left w:val="nil"/>
              <w:bottom w:val="single" w:sz="4" w:space="0" w:color="000000"/>
              <w:right w:val="single" w:sz="4" w:space="0" w:color="auto"/>
            </w:tcBorders>
            <w:shd w:val="clear" w:color="auto" w:fill="BFBFBF"/>
            <w:vAlign w:val="center"/>
            <w:hideMark/>
          </w:tcPr>
          <w:p w14:paraId="5A8D505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08:00 - 18:30</w:t>
            </w:r>
          </w:p>
        </w:tc>
        <w:tc>
          <w:tcPr>
            <w:tcW w:w="134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A50E86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30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CEFE75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309E96A" w14:textId="77777777" w:rsidTr="008C4A70">
        <w:trPr>
          <w:trHeight w:val="499"/>
          <w:jc w:val="center"/>
        </w:trPr>
        <w:tc>
          <w:tcPr>
            <w:tcW w:w="880"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4C63138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602816K</w:t>
            </w:r>
          </w:p>
        </w:tc>
        <w:tc>
          <w:tcPr>
            <w:tcW w:w="1280"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0FF17FE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East</w:t>
            </w:r>
          </w:p>
        </w:tc>
        <w:tc>
          <w:tcPr>
            <w:tcW w:w="1835" w:type="dxa"/>
            <w:vMerge w:val="restart"/>
            <w:tcBorders>
              <w:top w:val="single" w:sz="4" w:space="0" w:color="000000"/>
              <w:left w:val="single" w:sz="4" w:space="0" w:color="auto"/>
              <w:bottom w:val="single" w:sz="4" w:space="0" w:color="000000"/>
              <w:right w:val="single" w:sz="4" w:space="0" w:color="auto"/>
            </w:tcBorders>
            <w:vAlign w:val="center"/>
            <w:hideMark/>
          </w:tcPr>
          <w:p w14:paraId="3EC4BAE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Boots Llanrumney</w:t>
            </w:r>
          </w:p>
        </w:tc>
        <w:tc>
          <w:tcPr>
            <w:tcW w:w="962"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1C42FEA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275" w:type="dxa"/>
            <w:gridSpan w:val="2"/>
            <w:tcBorders>
              <w:top w:val="single" w:sz="4" w:space="0" w:color="000000"/>
              <w:left w:val="nil"/>
              <w:bottom w:val="single" w:sz="4" w:space="0" w:color="000000"/>
              <w:right w:val="single" w:sz="4" w:space="0" w:color="auto"/>
            </w:tcBorders>
            <w:noWrap/>
            <w:vAlign w:val="center"/>
            <w:hideMark/>
          </w:tcPr>
          <w:p w14:paraId="5130BC4A"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418" w:type="dxa"/>
            <w:gridSpan w:val="2"/>
            <w:tcBorders>
              <w:top w:val="single" w:sz="4" w:space="0" w:color="000000"/>
              <w:left w:val="nil"/>
              <w:bottom w:val="single" w:sz="4" w:space="0" w:color="000000"/>
              <w:right w:val="single" w:sz="4" w:space="0" w:color="auto"/>
            </w:tcBorders>
            <w:vAlign w:val="center"/>
            <w:hideMark/>
          </w:tcPr>
          <w:p w14:paraId="55B4386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370" w:type="dxa"/>
            <w:gridSpan w:val="2"/>
            <w:tcBorders>
              <w:top w:val="single" w:sz="4" w:space="0" w:color="000000"/>
              <w:left w:val="nil"/>
              <w:bottom w:val="single" w:sz="4" w:space="0" w:color="000000"/>
              <w:right w:val="single" w:sz="4" w:space="0" w:color="auto"/>
            </w:tcBorders>
            <w:vAlign w:val="center"/>
            <w:hideMark/>
          </w:tcPr>
          <w:p w14:paraId="7DE39E6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203FD17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4B53C78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40" w:type="dxa"/>
            <w:gridSpan w:val="2"/>
            <w:tcBorders>
              <w:top w:val="single" w:sz="4" w:space="0" w:color="000000"/>
              <w:left w:val="nil"/>
              <w:bottom w:val="single" w:sz="4" w:space="0" w:color="000000"/>
              <w:right w:val="single" w:sz="4" w:space="0" w:color="auto"/>
            </w:tcBorders>
            <w:vAlign w:val="center"/>
            <w:hideMark/>
          </w:tcPr>
          <w:p w14:paraId="681A653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340" w:type="dxa"/>
            <w:gridSpan w:val="2"/>
            <w:tcBorders>
              <w:top w:val="single" w:sz="4" w:space="0" w:color="000000"/>
              <w:left w:val="nil"/>
              <w:bottom w:val="single" w:sz="4" w:space="0" w:color="000000"/>
              <w:right w:val="single" w:sz="4" w:space="0" w:color="auto"/>
            </w:tcBorders>
            <w:vAlign w:val="center"/>
            <w:hideMark/>
          </w:tcPr>
          <w:p w14:paraId="57A9499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14:00 - 15:30</w:t>
            </w:r>
          </w:p>
        </w:tc>
        <w:tc>
          <w:tcPr>
            <w:tcW w:w="1300" w:type="dxa"/>
            <w:gridSpan w:val="2"/>
            <w:tcBorders>
              <w:top w:val="single" w:sz="4" w:space="0" w:color="000000"/>
              <w:left w:val="nil"/>
              <w:bottom w:val="single" w:sz="4" w:space="0" w:color="000000"/>
              <w:right w:val="single" w:sz="4" w:space="0" w:color="auto"/>
            </w:tcBorders>
            <w:noWrap/>
            <w:vAlign w:val="center"/>
            <w:hideMark/>
          </w:tcPr>
          <w:p w14:paraId="14790D8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6DC6DC8D" w14:textId="77777777" w:rsidTr="008C4A70">
        <w:trPr>
          <w:trHeight w:val="499"/>
          <w:jc w:val="center"/>
        </w:trPr>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E4C3F6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E293F9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4F79674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7F7C36C7"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275"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B4E79A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418" w:type="dxa"/>
            <w:gridSpan w:val="2"/>
            <w:tcBorders>
              <w:top w:val="single" w:sz="4" w:space="0" w:color="000000"/>
              <w:left w:val="nil"/>
              <w:bottom w:val="single" w:sz="4" w:space="0" w:color="000000"/>
              <w:right w:val="single" w:sz="4" w:space="0" w:color="auto"/>
            </w:tcBorders>
            <w:shd w:val="clear" w:color="auto" w:fill="BFBFBF"/>
            <w:vAlign w:val="center"/>
            <w:hideMark/>
          </w:tcPr>
          <w:p w14:paraId="6C9D3A1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370" w:type="dxa"/>
            <w:gridSpan w:val="2"/>
            <w:tcBorders>
              <w:top w:val="single" w:sz="4" w:space="0" w:color="000000"/>
              <w:left w:val="nil"/>
              <w:bottom w:val="single" w:sz="4" w:space="0" w:color="000000"/>
              <w:right w:val="single" w:sz="4" w:space="0" w:color="auto"/>
            </w:tcBorders>
            <w:shd w:val="clear" w:color="auto" w:fill="BFBFBF"/>
            <w:vAlign w:val="center"/>
            <w:hideMark/>
          </w:tcPr>
          <w:p w14:paraId="66CAFA1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13EA48B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1DF4329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40" w:type="dxa"/>
            <w:gridSpan w:val="2"/>
            <w:tcBorders>
              <w:top w:val="single" w:sz="4" w:space="0" w:color="000000"/>
              <w:left w:val="nil"/>
              <w:bottom w:val="single" w:sz="4" w:space="0" w:color="000000"/>
              <w:right w:val="single" w:sz="4" w:space="0" w:color="auto"/>
            </w:tcBorders>
            <w:shd w:val="clear" w:color="auto" w:fill="BFBFBF"/>
            <w:vAlign w:val="center"/>
            <w:hideMark/>
          </w:tcPr>
          <w:p w14:paraId="3C46188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340" w:type="dxa"/>
            <w:gridSpan w:val="2"/>
            <w:tcBorders>
              <w:top w:val="single" w:sz="4" w:space="0" w:color="000000"/>
              <w:left w:val="nil"/>
              <w:bottom w:val="single" w:sz="4" w:space="0" w:color="000000"/>
              <w:right w:val="single" w:sz="4" w:space="0" w:color="auto"/>
            </w:tcBorders>
            <w:shd w:val="clear" w:color="auto" w:fill="BFBFBF"/>
            <w:vAlign w:val="center"/>
            <w:hideMark/>
          </w:tcPr>
          <w:p w14:paraId="68280A6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30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323C19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17DA8F8" w14:textId="77777777" w:rsidTr="008C4A70">
        <w:trPr>
          <w:trHeight w:val="499"/>
          <w:jc w:val="center"/>
        </w:trPr>
        <w:tc>
          <w:tcPr>
            <w:tcW w:w="880"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0108027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602265A</w:t>
            </w:r>
          </w:p>
        </w:tc>
        <w:tc>
          <w:tcPr>
            <w:tcW w:w="1280"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2B54333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East</w:t>
            </w:r>
          </w:p>
        </w:tc>
        <w:tc>
          <w:tcPr>
            <w:tcW w:w="1835" w:type="dxa"/>
            <w:vMerge w:val="restart"/>
            <w:tcBorders>
              <w:top w:val="single" w:sz="4" w:space="0" w:color="000000"/>
              <w:left w:val="single" w:sz="4" w:space="0" w:color="auto"/>
              <w:bottom w:val="single" w:sz="4" w:space="0" w:color="000000"/>
              <w:right w:val="single" w:sz="4" w:space="0" w:color="auto"/>
            </w:tcBorders>
            <w:vAlign w:val="center"/>
            <w:hideMark/>
          </w:tcPr>
          <w:p w14:paraId="583E0C4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Hopwoods Pharmacy</w:t>
            </w:r>
          </w:p>
        </w:tc>
        <w:tc>
          <w:tcPr>
            <w:tcW w:w="962"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5F6A5E8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275" w:type="dxa"/>
            <w:gridSpan w:val="2"/>
            <w:tcBorders>
              <w:top w:val="single" w:sz="4" w:space="0" w:color="000000"/>
              <w:left w:val="nil"/>
              <w:bottom w:val="single" w:sz="4" w:space="0" w:color="000000"/>
              <w:right w:val="single" w:sz="4" w:space="0" w:color="auto"/>
            </w:tcBorders>
            <w:noWrap/>
            <w:vAlign w:val="center"/>
            <w:hideMark/>
          </w:tcPr>
          <w:p w14:paraId="0EB8D83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418" w:type="dxa"/>
            <w:gridSpan w:val="2"/>
            <w:tcBorders>
              <w:top w:val="single" w:sz="4" w:space="0" w:color="000000"/>
              <w:left w:val="nil"/>
              <w:bottom w:val="single" w:sz="4" w:space="0" w:color="000000"/>
              <w:right w:val="single" w:sz="4" w:space="0" w:color="auto"/>
            </w:tcBorders>
            <w:vAlign w:val="center"/>
            <w:hideMark/>
          </w:tcPr>
          <w:p w14:paraId="644B0C1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370" w:type="dxa"/>
            <w:gridSpan w:val="2"/>
            <w:tcBorders>
              <w:top w:val="single" w:sz="4" w:space="0" w:color="000000"/>
              <w:left w:val="nil"/>
              <w:bottom w:val="single" w:sz="4" w:space="0" w:color="000000"/>
              <w:right w:val="single" w:sz="4" w:space="0" w:color="auto"/>
            </w:tcBorders>
            <w:vAlign w:val="center"/>
            <w:hideMark/>
          </w:tcPr>
          <w:p w14:paraId="2E1BE05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7E7956F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100A563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40" w:type="dxa"/>
            <w:gridSpan w:val="2"/>
            <w:tcBorders>
              <w:top w:val="single" w:sz="4" w:space="0" w:color="000000"/>
              <w:left w:val="nil"/>
              <w:bottom w:val="single" w:sz="4" w:space="0" w:color="000000"/>
              <w:right w:val="single" w:sz="4" w:space="0" w:color="auto"/>
            </w:tcBorders>
            <w:vAlign w:val="center"/>
            <w:hideMark/>
          </w:tcPr>
          <w:p w14:paraId="779B3C9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340" w:type="dxa"/>
            <w:gridSpan w:val="2"/>
            <w:tcBorders>
              <w:top w:val="single" w:sz="4" w:space="0" w:color="000000"/>
              <w:left w:val="nil"/>
              <w:bottom w:val="single" w:sz="4" w:space="0" w:color="000000"/>
              <w:right w:val="single" w:sz="4" w:space="0" w:color="auto"/>
            </w:tcBorders>
            <w:noWrap/>
            <w:vAlign w:val="center"/>
            <w:hideMark/>
          </w:tcPr>
          <w:p w14:paraId="19709CA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300" w:type="dxa"/>
            <w:gridSpan w:val="2"/>
            <w:tcBorders>
              <w:top w:val="single" w:sz="4" w:space="0" w:color="000000"/>
              <w:left w:val="nil"/>
              <w:bottom w:val="single" w:sz="4" w:space="0" w:color="000000"/>
              <w:right w:val="single" w:sz="4" w:space="0" w:color="auto"/>
            </w:tcBorders>
            <w:noWrap/>
            <w:vAlign w:val="center"/>
            <w:hideMark/>
          </w:tcPr>
          <w:p w14:paraId="1035F82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599C3FBE" w14:textId="77777777" w:rsidTr="008C4A70">
        <w:trPr>
          <w:trHeight w:val="499"/>
          <w:jc w:val="center"/>
        </w:trPr>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4CC7D96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9ED38AA"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0CA39FB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7C31D2D0"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275"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E71786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418" w:type="dxa"/>
            <w:gridSpan w:val="2"/>
            <w:tcBorders>
              <w:top w:val="single" w:sz="4" w:space="0" w:color="000000"/>
              <w:left w:val="nil"/>
              <w:bottom w:val="single" w:sz="4" w:space="0" w:color="000000"/>
              <w:right w:val="single" w:sz="4" w:space="0" w:color="auto"/>
            </w:tcBorders>
            <w:shd w:val="clear" w:color="auto" w:fill="BFBFBF"/>
            <w:vAlign w:val="center"/>
            <w:hideMark/>
          </w:tcPr>
          <w:p w14:paraId="02244D8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370" w:type="dxa"/>
            <w:gridSpan w:val="2"/>
            <w:tcBorders>
              <w:top w:val="single" w:sz="4" w:space="0" w:color="000000"/>
              <w:left w:val="nil"/>
              <w:bottom w:val="single" w:sz="4" w:space="0" w:color="000000"/>
              <w:right w:val="single" w:sz="4" w:space="0" w:color="auto"/>
            </w:tcBorders>
            <w:shd w:val="clear" w:color="auto" w:fill="BFBFBF"/>
            <w:vAlign w:val="center"/>
            <w:hideMark/>
          </w:tcPr>
          <w:p w14:paraId="45BDF1A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2ED735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0A6D790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40" w:type="dxa"/>
            <w:gridSpan w:val="2"/>
            <w:tcBorders>
              <w:top w:val="single" w:sz="4" w:space="0" w:color="000000"/>
              <w:left w:val="nil"/>
              <w:bottom w:val="single" w:sz="4" w:space="0" w:color="000000"/>
              <w:right w:val="single" w:sz="4" w:space="0" w:color="auto"/>
            </w:tcBorders>
            <w:shd w:val="clear" w:color="auto" w:fill="BFBFBF"/>
            <w:vAlign w:val="center"/>
            <w:hideMark/>
          </w:tcPr>
          <w:p w14:paraId="24C9383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340" w:type="dxa"/>
            <w:gridSpan w:val="2"/>
            <w:tcBorders>
              <w:top w:val="single" w:sz="4" w:space="0" w:color="000000"/>
              <w:left w:val="nil"/>
              <w:bottom w:val="single" w:sz="4" w:space="0" w:color="000000"/>
              <w:right w:val="single" w:sz="4" w:space="0" w:color="auto"/>
            </w:tcBorders>
            <w:shd w:val="clear" w:color="auto" w:fill="BFBFBF" w:themeFill="background1" w:themeFillShade="BF"/>
            <w:noWrap/>
            <w:vAlign w:val="center"/>
            <w:hideMark/>
          </w:tcPr>
          <w:p w14:paraId="567E900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30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068A55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46933086" w14:textId="77777777" w:rsidTr="008C4A70">
        <w:trPr>
          <w:trHeight w:val="499"/>
          <w:jc w:val="center"/>
        </w:trPr>
        <w:tc>
          <w:tcPr>
            <w:tcW w:w="880"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5A4631E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602807D</w:t>
            </w:r>
          </w:p>
        </w:tc>
        <w:tc>
          <w:tcPr>
            <w:tcW w:w="1280"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51F4D7C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East</w:t>
            </w:r>
          </w:p>
        </w:tc>
        <w:tc>
          <w:tcPr>
            <w:tcW w:w="1835" w:type="dxa"/>
            <w:vMerge w:val="restart"/>
            <w:tcBorders>
              <w:top w:val="single" w:sz="4" w:space="0" w:color="000000"/>
              <w:left w:val="single" w:sz="4" w:space="0" w:color="auto"/>
              <w:bottom w:val="single" w:sz="4" w:space="0" w:color="000000"/>
              <w:right w:val="single" w:sz="4" w:space="0" w:color="auto"/>
            </w:tcBorders>
            <w:vAlign w:val="center"/>
            <w:hideMark/>
          </w:tcPr>
          <w:p w14:paraId="3908143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Lloyds Pharmacy </w:t>
            </w:r>
          </w:p>
          <w:p w14:paraId="05FB562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St Mellons</w:t>
            </w:r>
          </w:p>
        </w:tc>
        <w:tc>
          <w:tcPr>
            <w:tcW w:w="962"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16259C9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275" w:type="dxa"/>
            <w:gridSpan w:val="2"/>
            <w:tcBorders>
              <w:top w:val="single" w:sz="4" w:space="0" w:color="000000"/>
              <w:left w:val="nil"/>
              <w:bottom w:val="single" w:sz="4" w:space="0" w:color="000000"/>
              <w:right w:val="single" w:sz="4" w:space="0" w:color="auto"/>
            </w:tcBorders>
            <w:noWrap/>
            <w:vAlign w:val="center"/>
            <w:hideMark/>
          </w:tcPr>
          <w:p w14:paraId="3BF4449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418" w:type="dxa"/>
            <w:gridSpan w:val="2"/>
            <w:tcBorders>
              <w:top w:val="single" w:sz="4" w:space="0" w:color="000000"/>
              <w:left w:val="nil"/>
              <w:bottom w:val="single" w:sz="4" w:space="0" w:color="000000"/>
              <w:right w:val="single" w:sz="4" w:space="0" w:color="auto"/>
            </w:tcBorders>
            <w:vAlign w:val="center"/>
            <w:hideMark/>
          </w:tcPr>
          <w:p w14:paraId="24F712A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08:45 - 11:45 16:00 - 19:00</w:t>
            </w:r>
          </w:p>
        </w:tc>
        <w:tc>
          <w:tcPr>
            <w:tcW w:w="1370" w:type="dxa"/>
            <w:gridSpan w:val="2"/>
            <w:tcBorders>
              <w:top w:val="single" w:sz="4" w:space="0" w:color="000000"/>
              <w:left w:val="nil"/>
              <w:bottom w:val="single" w:sz="4" w:space="0" w:color="000000"/>
              <w:right w:val="single" w:sz="4" w:space="0" w:color="auto"/>
            </w:tcBorders>
            <w:vAlign w:val="center"/>
            <w:hideMark/>
          </w:tcPr>
          <w:p w14:paraId="3592FE9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08:45 - 11:45 16:00 - 19:00</w:t>
            </w:r>
          </w:p>
        </w:tc>
        <w:tc>
          <w:tcPr>
            <w:tcW w:w="1420" w:type="dxa"/>
            <w:gridSpan w:val="2"/>
            <w:tcBorders>
              <w:top w:val="single" w:sz="4" w:space="0" w:color="000000"/>
              <w:left w:val="nil"/>
              <w:bottom w:val="single" w:sz="4" w:space="0" w:color="000000"/>
              <w:right w:val="single" w:sz="4" w:space="0" w:color="auto"/>
            </w:tcBorders>
            <w:vAlign w:val="center"/>
            <w:hideMark/>
          </w:tcPr>
          <w:p w14:paraId="633E892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08:45 - 11:45 16:00 - 19:00</w:t>
            </w:r>
          </w:p>
        </w:tc>
        <w:tc>
          <w:tcPr>
            <w:tcW w:w="1420" w:type="dxa"/>
            <w:gridSpan w:val="2"/>
            <w:tcBorders>
              <w:top w:val="single" w:sz="4" w:space="0" w:color="000000"/>
              <w:left w:val="nil"/>
              <w:bottom w:val="single" w:sz="4" w:space="0" w:color="000000"/>
              <w:right w:val="single" w:sz="4" w:space="0" w:color="auto"/>
            </w:tcBorders>
            <w:vAlign w:val="center"/>
            <w:hideMark/>
          </w:tcPr>
          <w:p w14:paraId="711F846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08:45 - 11:45 16:00 - 19:00</w:t>
            </w:r>
          </w:p>
        </w:tc>
        <w:tc>
          <w:tcPr>
            <w:tcW w:w="1440" w:type="dxa"/>
            <w:gridSpan w:val="2"/>
            <w:tcBorders>
              <w:top w:val="single" w:sz="4" w:space="0" w:color="000000"/>
              <w:left w:val="nil"/>
              <w:bottom w:val="single" w:sz="4" w:space="0" w:color="000000"/>
              <w:right w:val="single" w:sz="4" w:space="0" w:color="auto"/>
            </w:tcBorders>
            <w:vAlign w:val="center"/>
            <w:hideMark/>
          </w:tcPr>
          <w:p w14:paraId="6126BC2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08:45 - 11:45 16:00 - 19:00</w:t>
            </w:r>
          </w:p>
        </w:tc>
        <w:tc>
          <w:tcPr>
            <w:tcW w:w="1340" w:type="dxa"/>
            <w:gridSpan w:val="2"/>
            <w:tcBorders>
              <w:top w:val="single" w:sz="4" w:space="0" w:color="000000"/>
              <w:left w:val="nil"/>
              <w:bottom w:val="single" w:sz="4" w:space="0" w:color="000000"/>
              <w:right w:val="single" w:sz="4" w:space="0" w:color="auto"/>
            </w:tcBorders>
            <w:vAlign w:val="center"/>
            <w:hideMark/>
          </w:tcPr>
          <w:p w14:paraId="260D1D7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14:30 - 17:30</w:t>
            </w:r>
          </w:p>
        </w:tc>
        <w:tc>
          <w:tcPr>
            <w:tcW w:w="1300" w:type="dxa"/>
            <w:gridSpan w:val="2"/>
            <w:tcBorders>
              <w:top w:val="single" w:sz="4" w:space="0" w:color="000000"/>
              <w:left w:val="nil"/>
              <w:bottom w:val="single" w:sz="4" w:space="0" w:color="000000"/>
              <w:right w:val="single" w:sz="4" w:space="0" w:color="auto"/>
            </w:tcBorders>
            <w:vAlign w:val="center"/>
            <w:hideMark/>
          </w:tcPr>
          <w:p w14:paraId="6030AE1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10:00 - 12:00 14:00 - 16:00</w:t>
            </w:r>
          </w:p>
        </w:tc>
      </w:tr>
      <w:tr w:rsidR="00C021D9" w14:paraId="360F33B4" w14:textId="77777777" w:rsidTr="008C4A70">
        <w:trPr>
          <w:trHeight w:val="499"/>
          <w:jc w:val="center"/>
        </w:trPr>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17B956C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C43D34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110E5991"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6E8EB74F"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275"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41B554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418"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7A336C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08:45 - 19:00</w:t>
            </w:r>
          </w:p>
        </w:tc>
        <w:tc>
          <w:tcPr>
            <w:tcW w:w="137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B79036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08:45 - 19:00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C84461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08:45 - 19:00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98262C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08:45 - 19:00</w:t>
            </w:r>
          </w:p>
        </w:tc>
        <w:tc>
          <w:tcPr>
            <w:tcW w:w="144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A147ED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08:45 - 19:00</w:t>
            </w:r>
          </w:p>
        </w:tc>
        <w:tc>
          <w:tcPr>
            <w:tcW w:w="134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F53561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30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B1BD6E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10:00 - 16:00</w:t>
            </w:r>
          </w:p>
        </w:tc>
      </w:tr>
      <w:tr w:rsidR="00C021D9" w14:paraId="21C1AE65" w14:textId="77777777" w:rsidTr="008C4A70">
        <w:trPr>
          <w:trHeight w:val="499"/>
          <w:jc w:val="center"/>
        </w:trPr>
        <w:tc>
          <w:tcPr>
            <w:tcW w:w="880"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003F628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602807J</w:t>
            </w:r>
          </w:p>
        </w:tc>
        <w:tc>
          <w:tcPr>
            <w:tcW w:w="1280"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1AB46CC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East</w:t>
            </w:r>
          </w:p>
        </w:tc>
        <w:tc>
          <w:tcPr>
            <w:tcW w:w="1835" w:type="dxa"/>
            <w:vMerge w:val="restart"/>
            <w:tcBorders>
              <w:top w:val="single" w:sz="4" w:space="0" w:color="000000"/>
              <w:left w:val="single" w:sz="4" w:space="0" w:color="auto"/>
              <w:bottom w:val="single" w:sz="4" w:space="0" w:color="000000"/>
              <w:right w:val="single" w:sz="4" w:space="0" w:color="auto"/>
            </w:tcBorders>
            <w:vAlign w:val="center"/>
            <w:hideMark/>
          </w:tcPr>
          <w:p w14:paraId="16BCDE1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Lloyds Pharmacy Llanrumney</w:t>
            </w:r>
          </w:p>
        </w:tc>
        <w:tc>
          <w:tcPr>
            <w:tcW w:w="962"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669FEBA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275" w:type="dxa"/>
            <w:gridSpan w:val="2"/>
            <w:tcBorders>
              <w:top w:val="single" w:sz="4" w:space="0" w:color="000000"/>
              <w:left w:val="nil"/>
              <w:bottom w:val="single" w:sz="4" w:space="0" w:color="000000"/>
              <w:right w:val="single" w:sz="4" w:space="0" w:color="auto"/>
            </w:tcBorders>
            <w:noWrap/>
            <w:vAlign w:val="center"/>
            <w:hideMark/>
          </w:tcPr>
          <w:p w14:paraId="201FFEF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418" w:type="dxa"/>
            <w:gridSpan w:val="2"/>
            <w:tcBorders>
              <w:top w:val="single" w:sz="4" w:space="0" w:color="000000"/>
              <w:left w:val="nil"/>
              <w:bottom w:val="single" w:sz="4" w:space="0" w:color="000000"/>
              <w:right w:val="single" w:sz="4" w:space="0" w:color="auto"/>
            </w:tcBorders>
            <w:vAlign w:val="center"/>
            <w:hideMark/>
          </w:tcPr>
          <w:p w14:paraId="06863F4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15:00 - 18:00</w:t>
            </w:r>
          </w:p>
        </w:tc>
        <w:tc>
          <w:tcPr>
            <w:tcW w:w="1370" w:type="dxa"/>
            <w:gridSpan w:val="2"/>
            <w:tcBorders>
              <w:top w:val="single" w:sz="4" w:space="0" w:color="000000"/>
              <w:left w:val="nil"/>
              <w:bottom w:val="single" w:sz="4" w:space="0" w:color="000000"/>
              <w:right w:val="single" w:sz="4" w:space="0" w:color="auto"/>
            </w:tcBorders>
            <w:vAlign w:val="center"/>
            <w:hideMark/>
          </w:tcPr>
          <w:p w14:paraId="6735401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15:00 - 18:00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00E84A9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15:00 - 18:00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6A811D2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40" w:type="dxa"/>
            <w:gridSpan w:val="2"/>
            <w:tcBorders>
              <w:top w:val="single" w:sz="4" w:space="0" w:color="000000"/>
              <w:left w:val="nil"/>
              <w:bottom w:val="single" w:sz="4" w:space="0" w:color="000000"/>
              <w:right w:val="single" w:sz="4" w:space="0" w:color="auto"/>
            </w:tcBorders>
            <w:vAlign w:val="center"/>
            <w:hideMark/>
          </w:tcPr>
          <w:p w14:paraId="764731E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340" w:type="dxa"/>
            <w:gridSpan w:val="2"/>
            <w:tcBorders>
              <w:top w:val="single" w:sz="4" w:space="0" w:color="000000"/>
              <w:left w:val="nil"/>
              <w:bottom w:val="single" w:sz="4" w:space="0" w:color="000000"/>
              <w:right w:val="single" w:sz="4" w:space="0" w:color="auto"/>
            </w:tcBorders>
            <w:vAlign w:val="center"/>
            <w:hideMark/>
          </w:tcPr>
          <w:p w14:paraId="2452A26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w:t>
            </w:r>
          </w:p>
        </w:tc>
        <w:tc>
          <w:tcPr>
            <w:tcW w:w="1300" w:type="dxa"/>
            <w:gridSpan w:val="2"/>
            <w:tcBorders>
              <w:top w:val="single" w:sz="4" w:space="0" w:color="000000"/>
              <w:left w:val="nil"/>
              <w:bottom w:val="single" w:sz="4" w:space="0" w:color="000000"/>
              <w:right w:val="single" w:sz="4" w:space="0" w:color="auto"/>
            </w:tcBorders>
            <w:noWrap/>
            <w:vAlign w:val="center"/>
            <w:hideMark/>
          </w:tcPr>
          <w:p w14:paraId="112DB69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4CC3884" w14:textId="77777777" w:rsidTr="008C4A70">
        <w:trPr>
          <w:trHeight w:val="499"/>
          <w:jc w:val="center"/>
        </w:trPr>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1E4C2AB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6B106A8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FD39D0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43BE33F"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275"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889A94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418" w:type="dxa"/>
            <w:gridSpan w:val="2"/>
            <w:tcBorders>
              <w:top w:val="single" w:sz="4" w:space="0" w:color="000000"/>
              <w:left w:val="nil"/>
              <w:bottom w:val="single" w:sz="4" w:space="0" w:color="000000"/>
              <w:right w:val="single" w:sz="4" w:space="0" w:color="auto"/>
            </w:tcBorders>
            <w:shd w:val="clear" w:color="auto" w:fill="BFBFBF"/>
            <w:vAlign w:val="center"/>
            <w:hideMark/>
          </w:tcPr>
          <w:p w14:paraId="4430B86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370" w:type="dxa"/>
            <w:gridSpan w:val="2"/>
            <w:tcBorders>
              <w:top w:val="single" w:sz="4" w:space="0" w:color="000000"/>
              <w:left w:val="nil"/>
              <w:bottom w:val="single" w:sz="4" w:space="0" w:color="000000"/>
              <w:right w:val="single" w:sz="4" w:space="0" w:color="auto"/>
            </w:tcBorders>
            <w:shd w:val="clear" w:color="auto" w:fill="BFBFBF"/>
            <w:vAlign w:val="center"/>
            <w:hideMark/>
          </w:tcPr>
          <w:p w14:paraId="1C1F218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157322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92B0B4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40" w:type="dxa"/>
            <w:gridSpan w:val="2"/>
            <w:tcBorders>
              <w:top w:val="single" w:sz="4" w:space="0" w:color="000000"/>
              <w:left w:val="nil"/>
              <w:bottom w:val="single" w:sz="4" w:space="0" w:color="000000"/>
              <w:right w:val="single" w:sz="4" w:space="0" w:color="auto"/>
            </w:tcBorders>
            <w:shd w:val="clear" w:color="auto" w:fill="BFBFBF"/>
            <w:vAlign w:val="center"/>
            <w:hideMark/>
          </w:tcPr>
          <w:p w14:paraId="435BB2C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34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FE640E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30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F55ACA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2C0F5CD" w14:textId="77777777" w:rsidTr="008C4A70">
        <w:trPr>
          <w:trHeight w:val="499"/>
          <w:jc w:val="center"/>
        </w:trPr>
        <w:tc>
          <w:tcPr>
            <w:tcW w:w="880"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29A0D0E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602856N</w:t>
            </w:r>
          </w:p>
        </w:tc>
        <w:tc>
          <w:tcPr>
            <w:tcW w:w="1280"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197A390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East</w:t>
            </w:r>
          </w:p>
        </w:tc>
        <w:tc>
          <w:tcPr>
            <w:tcW w:w="1835" w:type="dxa"/>
            <w:vMerge w:val="restart"/>
            <w:tcBorders>
              <w:top w:val="single" w:sz="4" w:space="0" w:color="000000"/>
              <w:left w:val="single" w:sz="4" w:space="0" w:color="auto"/>
              <w:bottom w:val="single" w:sz="4" w:space="0" w:color="000000"/>
              <w:right w:val="single" w:sz="4" w:space="0" w:color="auto"/>
            </w:tcBorders>
            <w:vAlign w:val="center"/>
            <w:hideMark/>
          </w:tcPr>
          <w:p w14:paraId="00EAB3F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Well Pharmacy </w:t>
            </w:r>
          </w:p>
          <w:p w14:paraId="4706A5D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Rumney</w:t>
            </w:r>
          </w:p>
        </w:tc>
        <w:tc>
          <w:tcPr>
            <w:tcW w:w="962"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651592F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275" w:type="dxa"/>
            <w:gridSpan w:val="2"/>
            <w:tcBorders>
              <w:top w:val="single" w:sz="4" w:space="0" w:color="000000"/>
              <w:left w:val="nil"/>
              <w:bottom w:val="single" w:sz="4" w:space="0" w:color="000000"/>
              <w:right w:val="single" w:sz="4" w:space="0" w:color="auto"/>
            </w:tcBorders>
            <w:noWrap/>
            <w:vAlign w:val="center"/>
            <w:hideMark/>
          </w:tcPr>
          <w:p w14:paraId="07B3A27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418" w:type="dxa"/>
            <w:gridSpan w:val="2"/>
            <w:tcBorders>
              <w:top w:val="single" w:sz="4" w:space="0" w:color="000000"/>
              <w:left w:val="nil"/>
              <w:bottom w:val="single" w:sz="4" w:space="0" w:color="000000"/>
              <w:right w:val="single" w:sz="4" w:space="0" w:color="auto"/>
            </w:tcBorders>
            <w:vAlign w:val="center"/>
            <w:hideMark/>
          </w:tcPr>
          <w:p w14:paraId="116D54F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370" w:type="dxa"/>
            <w:gridSpan w:val="2"/>
            <w:tcBorders>
              <w:top w:val="single" w:sz="4" w:space="0" w:color="000000"/>
              <w:left w:val="nil"/>
              <w:bottom w:val="single" w:sz="4" w:space="0" w:color="000000"/>
              <w:right w:val="single" w:sz="4" w:space="0" w:color="auto"/>
            </w:tcBorders>
            <w:vAlign w:val="center"/>
            <w:hideMark/>
          </w:tcPr>
          <w:p w14:paraId="2A60C95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5E17F68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585870A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40" w:type="dxa"/>
            <w:gridSpan w:val="2"/>
            <w:tcBorders>
              <w:top w:val="single" w:sz="4" w:space="0" w:color="000000"/>
              <w:left w:val="nil"/>
              <w:bottom w:val="single" w:sz="4" w:space="0" w:color="000000"/>
              <w:right w:val="single" w:sz="4" w:space="0" w:color="auto"/>
            </w:tcBorders>
            <w:vAlign w:val="center"/>
            <w:hideMark/>
          </w:tcPr>
          <w:p w14:paraId="53E7976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340" w:type="dxa"/>
            <w:gridSpan w:val="2"/>
            <w:tcBorders>
              <w:top w:val="single" w:sz="4" w:space="0" w:color="000000"/>
              <w:left w:val="nil"/>
              <w:bottom w:val="single" w:sz="4" w:space="0" w:color="000000"/>
              <w:right w:val="single" w:sz="4" w:space="0" w:color="auto"/>
            </w:tcBorders>
            <w:noWrap/>
            <w:vAlign w:val="center"/>
            <w:hideMark/>
          </w:tcPr>
          <w:p w14:paraId="76A9371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300" w:type="dxa"/>
            <w:gridSpan w:val="2"/>
            <w:tcBorders>
              <w:top w:val="single" w:sz="4" w:space="0" w:color="000000"/>
              <w:left w:val="nil"/>
              <w:bottom w:val="single" w:sz="4" w:space="0" w:color="000000"/>
              <w:right w:val="single" w:sz="4" w:space="0" w:color="auto"/>
            </w:tcBorders>
            <w:noWrap/>
            <w:vAlign w:val="center"/>
            <w:hideMark/>
          </w:tcPr>
          <w:p w14:paraId="54B36F4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AF9EB04" w14:textId="77777777" w:rsidTr="008C4A70">
        <w:trPr>
          <w:trHeight w:val="499"/>
          <w:jc w:val="center"/>
        </w:trPr>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FA26861"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548B1FD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78515A5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64039046"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275"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7C2B12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418"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31342A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37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4F16CC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CE6827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227988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4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413143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34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AFC2D8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30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76C25F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0C1FBA9" w14:textId="77777777" w:rsidTr="008C4A70">
        <w:trPr>
          <w:trHeight w:val="499"/>
          <w:jc w:val="center"/>
        </w:trPr>
        <w:tc>
          <w:tcPr>
            <w:tcW w:w="880"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60B9FAA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602856M</w:t>
            </w:r>
          </w:p>
        </w:tc>
        <w:tc>
          <w:tcPr>
            <w:tcW w:w="1280"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59D2B35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East</w:t>
            </w:r>
          </w:p>
        </w:tc>
        <w:tc>
          <w:tcPr>
            <w:tcW w:w="1835" w:type="dxa"/>
            <w:vMerge w:val="restart"/>
            <w:tcBorders>
              <w:top w:val="single" w:sz="4" w:space="0" w:color="000000"/>
              <w:left w:val="single" w:sz="4" w:space="0" w:color="auto"/>
              <w:bottom w:val="single" w:sz="4" w:space="0" w:color="000000"/>
              <w:right w:val="single" w:sz="4" w:space="0" w:color="auto"/>
            </w:tcBorders>
            <w:vAlign w:val="center"/>
            <w:hideMark/>
          </w:tcPr>
          <w:p w14:paraId="0337BB9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Well Pharmacy Trowbridge</w:t>
            </w:r>
          </w:p>
        </w:tc>
        <w:tc>
          <w:tcPr>
            <w:tcW w:w="962"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0C23A02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275" w:type="dxa"/>
            <w:gridSpan w:val="2"/>
            <w:tcBorders>
              <w:top w:val="single" w:sz="4" w:space="0" w:color="000000"/>
              <w:left w:val="nil"/>
              <w:bottom w:val="single" w:sz="4" w:space="0" w:color="000000"/>
              <w:right w:val="single" w:sz="4" w:space="0" w:color="auto"/>
            </w:tcBorders>
            <w:noWrap/>
            <w:vAlign w:val="center"/>
            <w:hideMark/>
          </w:tcPr>
          <w:p w14:paraId="4DC33F3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418" w:type="dxa"/>
            <w:gridSpan w:val="2"/>
            <w:tcBorders>
              <w:top w:val="single" w:sz="4" w:space="0" w:color="000000"/>
              <w:left w:val="nil"/>
              <w:bottom w:val="single" w:sz="4" w:space="0" w:color="000000"/>
              <w:right w:val="single" w:sz="4" w:space="0" w:color="auto"/>
            </w:tcBorders>
            <w:vAlign w:val="center"/>
            <w:hideMark/>
          </w:tcPr>
          <w:p w14:paraId="565D5CB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370" w:type="dxa"/>
            <w:gridSpan w:val="2"/>
            <w:tcBorders>
              <w:top w:val="single" w:sz="4" w:space="0" w:color="000000"/>
              <w:left w:val="nil"/>
              <w:bottom w:val="single" w:sz="4" w:space="0" w:color="000000"/>
              <w:right w:val="single" w:sz="4" w:space="0" w:color="auto"/>
            </w:tcBorders>
            <w:vAlign w:val="center"/>
            <w:hideMark/>
          </w:tcPr>
          <w:p w14:paraId="56BBB6E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7A6543A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19E1B8F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40" w:type="dxa"/>
            <w:gridSpan w:val="2"/>
            <w:tcBorders>
              <w:top w:val="single" w:sz="4" w:space="0" w:color="000000"/>
              <w:left w:val="nil"/>
              <w:bottom w:val="single" w:sz="4" w:space="0" w:color="000000"/>
              <w:right w:val="single" w:sz="4" w:space="0" w:color="auto"/>
            </w:tcBorders>
            <w:vAlign w:val="center"/>
            <w:hideMark/>
          </w:tcPr>
          <w:p w14:paraId="0382688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340" w:type="dxa"/>
            <w:gridSpan w:val="2"/>
            <w:tcBorders>
              <w:top w:val="single" w:sz="4" w:space="0" w:color="000000"/>
              <w:left w:val="nil"/>
              <w:bottom w:val="single" w:sz="4" w:space="0" w:color="000000"/>
              <w:right w:val="single" w:sz="4" w:space="0" w:color="auto"/>
            </w:tcBorders>
            <w:noWrap/>
            <w:vAlign w:val="center"/>
            <w:hideMark/>
          </w:tcPr>
          <w:p w14:paraId="3CEFBEE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300" w:type="dxa"/>
            <w:gridSpan w:val="2"/>
            <w:tcBorders>
              <w:top w:val="single" w:sz="4" w:space="0" w:color="000000"/>
              <w:left w:val="nil"/>
              <w:bottom w:val="single" w:sz="4" w:space="0" w:color="000000"/>
              <w:right w:val="single" w:sz="4" w:space="0" w:color="auto"/>
            </w:tcBorders>
            <w:noWrap/>
            <w:vAlign w:val="center"/>
            <w:hideMark/>
          </w:tcPr>
          <w:p w14:paraId="547AA96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4D65976" w14:textId="77777777" w:rsidTr="008C4A70">
        <w:trPr>
          <w:trHeight w:val="499"/>
          <w:jc w:val="center"/>
        </w:trPr>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CE0460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2EC61C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316EDFDA"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058E68E8"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275"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35B38A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418"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D9A235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37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D4BBF7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DFDFF4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437B4C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4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81E98D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340" w:type="dxa"/>
            <w:gridSpan w:val="2"/>
            <w:tcBorders>
              <w:top w:val="single" w:sz="4" w:space="0" w:color="000000"/>
              <w:left w:val="nil"/>
              <w:bottom w:val="single" w:sz="4" w:space="0" w:color="000000"/>
              <w:right w:val="single" w:sz="4" w:space="0" w:color="auto"/>
            </w:tcBorders>
            <w:shd w:val="clear" w:color="auto" w:fill="BFBFBF" w:themeFill="background1" w:themeFillShade="BF"/>
            <w:noWrap/>
            <w:vAlign w:val="center"/>
            <w:hideMark/>
          </w:tcPr>
          <w:p w14:paraId="28DA87E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30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29CCFA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CA9F40F" w14:textId="77777777" w:rsidTr="008C4A70">
        <w:trPr>
          <w:trHeight w:val="499"/>
          <w:jc w:val="center"/>
        </w:trPr>
        <w:tc>
          <w:tcPr>
            <w:tcW w:w="880"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1E32D50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602819C</w:t>
            </w:r>
          </w:p>
        </w:tc>
        <w:tc>
          <w:tcPr>
            <w:tcW w:w="1280"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1F22C96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East</w:t>
            </w:r>
          </w:p>
        </w:tc>
        <w:tc>
          <w:tcPr>
            <w:tcW w:w="1835" w:type="dxa"/>
            <w:vMerge w:val="restart"/>
            <w:tcBorders>
              <w:top w:val="single" w:sz="4" w:space="0" w:color="000000"/>
              <w:left w:val="single" w:sz="4" w:space="0" w:color="auto"/>
              <w:bottom w:val="single" w:sz="4" w:space="0" w:color="000000"/>
              <w:right w:val="single" w:sz="4" w:space="0" w:color="auto"/>
            </w:tcBorders>
            <w:vAlign w:val="center"/>
            <w:hideMark/>
          </w:tcPr>
          <w:p w14:paraId="149645A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Boots St Mellons</w:t>
            </w:r>
          </w:p>
        </w:tc>
        <w:tc>
          <w:tcPr>
            <w:tcW w:w="962"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63FBA09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275" w:type="dxa"/>
            <w:gridSpan w:val="2"/>
            <w:tcBorders>
              <w:top w:val="single" w:sz="4" w:space="0" w:color="000000"/>
              <w:left w:val="nil"/>
              <w:bottom w:val="single" w:sz="4" w:space="0" w:color="000000"/>
              <w:right w:val="single" w:sz="4" w:space="0" w:color="auto"/>
            </w:tcBorders>
            <w:noWrap/>
            <w:vAlign w:val="center"/>
            <w:hideMark/>
          </w:tcPr>
          <w:p w14:paraId="474D8BAA"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418" w:type="dxa"/>
            <w:gridSpan w:val="2"/>
            <w:tcBorders>
              <w:top w:val="single" w:sz="4" w:space="0" w:color="000000"/>
              <w:left w:val="nil"/>
              <w:bottom w:val="single" w:sz="4" w:space="0" w:color="000000"/>
              <w:right w:val="single" w:sz="4" w:space="0" w:color="auto"/>
            </w:tcBorders>
            <w:vAlign w:val="center"/>
            <w:hideMark/>
          </w:tcPr>
          <w:p w14:paraId="04F3D06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370" w:type="dxa"/>
            <w:gridSpan w:val="2"/>
            <w:tcBorders>
              <w:top w:val="single" w:sz="4" w:space="0" w:color="000000"/>
              <w:left w:val="nil"/>
              <w:bottom w:val="single" w:sz="4" w:space="0" w:color="000000"/>
              <w:right w:val="single" w:sz="4" w:space="0" w:color="auto"/>
            </w:tcBorders>
            <w:vAlign w:val="center"/>
            <w:hideMark/>
          </w:tcPr>
          <w:p w14:paraId="188FAD0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5AECDD2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4BEDCAB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40" w:type="dxa"/>
            <w:gridSpan w:val="2"/>
            <w:tcBorders>
              <w:top w:val="single" w:sz="4" w:space="0" w:color="000000"/>
              <w:left w:val="nil"/>
              <w:bottom w:val="single" w:sz="4" w:space="0" w:color="000000"/>
              <w:right w:val="single" w:sz="4" w:space="0" w:color="auto"/>
            </w:tcBorders>
            <w:vAlign w:val="center"/>
            <w:hideMark/>
          </w:tcPr>
          <w:p w14:paraId="7C8666E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340" w:type="dxa"/>
            <w:gridSpan w:val="2"/>
            <w:tcBorders>
              <w:top w:val="single" w:sz="4" w:space="0" w:color="000000"/>
              <w:left w:val="nil"/>
              <w:bottom w:val="single" w:sz="4" w:space="0" w:color="000000"/>
              <w:right w:val="single" w:sz="4" w:space="0" w:color="auto"/>
            </w:tcBorders>
            <w:noWrap/>
            <w:vAlign w:val="center"/>
            <w:hideMark/>
          </w:tcPr>
          <w:p w14:paraId="4B26B45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300" w:type="dxa"/>
            <w:gridSpan w:val="2"/>
            <w:tcBorders>
              <w:top w:val="single" w:sz="4" w:space="0" w:color="000000"/>
              <w:left w:val="nil"/>
              <w:bottom w:val="single" w:sz="4" w:space="0" w:color="000000"/>
              <w:right w:val="single" w:sz="4" w:space="0" w:color="auto"/>
            </w:tcBorders>
            <w:noWrap/>
            <w:vAlign w:val="center"/>
            <w:hideMark/>
          </w:tcPr>
          <w:p w14:paraId="26E224C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E1C7CD7" w14:textId="77777777" w:rsidTr="008C4A70">
        <w:trPr>
          <w:trHeight w:val="499"/>
          <w:jc w:val="center"/>
        </w:trPr>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F04B06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61F027C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5533A8C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9DEDB2C"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275"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58AEAA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418" w:type="dxa"/>
            <w:gridSpan w:val="2"/>
            <w:tcBorders>
              <w:top w:val="single" w:sz="4" w:space="0" w:color="000000"/>
              <w:left w:val="nil"/>
              <w:bottom w:val="single" w:sz="4" w:space="0" w:color="000000"/>
              <w:right w:val="single" w:sz="4" w:space="0" w:color="auto"/>
            </w:tcBorders>
            <w:shd w:val="clear" w:color="auto" w:fill="BFBFBF"/>
            <w:vAlign w:val="center"/>
            <w:hideMark/>
          </w:tcPr>
          <w:p w14:paraId="2D58969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370" w:type="dxa"/>
            <w:gridSpan w:val="2"/>
            <w:tcBorders>
              <w:top w:val="single" w:sz="4" w:space="0" w:color="000000"/>
              <w:left w:val="nil"/>
              <w:bottom w:val="single" w:sz="4" w:space="0" w:color="000000"/>
              <w:right w:val="single" w:sz="4" w:space="0" w:color="auto"/>
            </w:tcBorders>
            <w:shd w:val="clear" w:color="auto" w:fill="BFBFBF"/>
            <w:vAlign w:val="center"/>
            <w:hideMark/>
          </w:tcPr>
          <w:p w14:paraId="3A9689E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C355BB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60BDAB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40" w:type="dxa"/>
            <w:gridSpan w:val="2"/>
            <w:tcBorders>
              <w:top w:val="single" w:sz="4" w:space="0" w:color="000000"/>
              <w:left w:val="nil"/>
              <w:bottom w:val="single" w:sz="4" w:space="0" w:color="000000"/>
              <w:right w:val="single" w:sz="4" w:space="0" w:color="auto"/>
            </w:tcBorders>
            <w:shd w:val="clear" w:color="auto" w:fill="BFBFBF"/>
            <w:vAlign w:val="center"/>
            <w:hideMark/>
          </w:tcPr>
          <w:p w14:paraId="6FD3500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34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8B25F2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30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DF86A8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653FB8B"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46A450C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lastRenderedPageBreak/>
              <w:t>602853G</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28BB3C7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320B126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Well Pharmacy Llanrumney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6DCD87E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00E29EC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10F107B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09C0BFE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428F0BD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000000"/>
              <w:right w:val="single" w:sz="4" w:space="0" w:color="auto"/>
            </w:tcBorders>
            <w:noWrap/>
            <w:vAlign w:val="center"/>
            <w:hideMark/>
          </w:tcPr>
          <w:p w14:paraId="04C7516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9" w:type="dxa"/>
            <w:gridSpan w:val="2"/>
            <w:tcBorders>
              <w:top w:val="single" w:sz="4" w:space="0" w:color="000000"/>
              <w:left w:val="nil"/>
              <w:bottom w:val="single" w:sz="4" w:space="0" w:color="000000"/>
              <w:right w:val="single" w:sz="4" w:space="0" w:color="auto"/>
            </w:tcBorders>
            <w:noWrap/>
            <w:vAlign w:val="center"/>
            <w:hideMark/>
          </w:tcPr>
          <w:p w14:paraId="6D89AC7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55AAFE5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1BED369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27A35917"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0EE608A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9E6733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8DFC81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0C0B3D5F"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263E2F6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AACECE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709A1D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7920D2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9100B9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799084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4DE772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58D452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87FA302"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409D925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602051A</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7804A67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57220C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Wellness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6660698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42.50</w:t>
            </w:r>
          </w:p>
        </w:tc>
        <w:tc>
          <w:tcPr>
            <w:tcW w:w="1169" w:type="dxa"/>
            <w:tcBorders>
              <w:top w:val="single" w:sz="4" w:space="0" w:color="000000"/>
              <w:left w:val="nil"/>
              <w:bottom w:val="single" w:sz="4" w:space="0" w:color="000000"/>
              <w:right w:val="single" w:sz="4" w:space="0" w:color="auto"/>
            </w:tcBorders>
            <w:noWrap/>
            <w:vAlign w:val="center"/>
            <w:hideMark/>
          </w:tcPr>
          <w:p w14:paraId="1BBC535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22D592B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766A17B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5F1DED1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1A1DDBE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068933F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589C1DF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783586C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AD053DA"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139D582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164C5EA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AD8489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2665C8D6"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29D6768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238D3EF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CB5F04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ACFF6D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473D532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16AC9A5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6A925B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219975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9C8D676"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652DAB3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602806A</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240E085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4963B82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Asda Pharmacy Pontprennau</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119C2D8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2F8C1FF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2DB3F55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14:30 - 18:00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6BD8E36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14:30 - 18:00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7A99A2F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14:30 - 18:00</w:t>
            </w:r>
          </w:p>
        </w:tc>
        <w:tc>
          <w:tcPr>
            <w:tcW w:w="1412" w:type="dxa"/>
            <w:gridSpan w:val="2"/>
            <w:tcBorders>
              <w:top w:val="single" w:sz="4" w:space="0" w:color="000000"/>
              <w:left w:val="nil"/>
              <w:bottom w:val="single" w:sz="4" w:space="0" w:color="000000"/>
              <w:right w:val="single" w:sz="4" w:space="0" w:color="auto"/>
            </w:tcBorders>
            <w:vAlign w:val="center"/>
            <w:hideMark/>
          </w:tcPr>
          <w:p w14:paraId="730EAE6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14:30 - 18:00</w:t>
            </w:r>
          </w:p>
        </w:tc>
        <w:tc>
          <w:tcPr>
            <w:tcW w:w="1419" w:type="dxa"/>
            <w:gridSpan w:val="2"/>
            <w:tcBorders>
              <w:top w:val="single" w:sz="4" w:space="0" w:color="000000"/>
              <w:left w:val="nil"/>
              <w:bottom w:val="single" w:sz="4" w:space="0" w:color="000000"/>
              <w:right w:val="single" w:sz="4" w:space="0" w:color="auto"/>
            </w:tcBorders>
            <w:vAlign w:val="center"/>
            <w:hideMark/>
          </w:tcPr>
          <w:p w14:paraId="1544C3C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14:30 - 18:00</w:t>
            </w:r>
          </w:p>
        </w:tc>
        <w:tc>
          <w:tcPr>
            <w:tcW w:w="1416" w:type="dxa"/>
            <w:gridSpan w:val="2"/>
            <w:tcBorders>
              <w:top w:val="single" w:sz="4" w:space="0" w:color="000000"/>
              <w:left w:val="nil"/>
              <w:bottom w:val="single" w:sz="4" w:space="0" w:color="000000"/>
              <w:right w:val="single" w:sz="4" w:space="0" w:color="auto"/>
            </w:tcBorders>
            <w:vAlign w:val="center"/>
            <w:hideMark/>
          </w:tcPr>
          <w:p w14:paraId="0A17DC4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14:30 - 16:00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506B272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2FB00532"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68D82C8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48322C8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7E45625"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1DC9AE5F"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D333FB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121F203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08:00 - 12:30 14:30 - 22:00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4F240A0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08:00 - 12:30 14:30 - 22:00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4A1171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08:00 - 12:30 14:30 - 22:00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22FFACD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08:00 - 12:30 14:30 - 22:00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4595912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08:00 - 12:30 14:30 - 22:00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15EDC2E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08:00 - 12:30 14:30 - 22:00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5D5C0EC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10:00 - 12:30   14:30 - 16:00</w:t>
            </w:r>
          </w:p>
        </w:tc>
      </w:tr>
      <w:tr w:rsidR="00C021D9" w14:paraId="4172CEE7"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0EC4104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602819O</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12B147B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3618FBB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Boots Llanishen</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777E6DB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48438FB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62EE67E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6F14063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6E405AC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35E67D0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6658149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09:00 - 13:00 </w:t>
            </w:r>
          </w:p>
          <w:p w14:paraId="5C1ADFE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14:00 - 18:00</w:t>
            </w:r>
          </w:p>
        </w:tc>
        <w:tc>
          <w:tcPr>
            <w:tcW w:w="1416" w:type="dxa"/>
            <w:gridSpan w:val="2"/>
            <w:tcBorders>
              <w:top w:val="single" w:sz="4" w:space="0" w:color="000000"/>
              <w:left w:val="nil"/>
              <w:bottom w:val="single" w:sz="4" w:space="0" w:color="000000"/>
              <w:right w:val="single" w:sz="4" w:space="0" w:color="auto"/>
            </w:tcBorders>
            <w:vAlign w:val="center"/>
            <w:hideMark/>
          </w:tcPr>
          <w:p w14:paraId="0E0BEB0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7A44EE3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4A96DC34"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6C784C8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5E1DDF3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3B09361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B6D0CE2"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19435F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DE6DB9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C82CC5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0E58D4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168CF2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CE0E60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AE4D3C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08:00 - 19:00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679E9A6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10:30 - 16:30</w:t>
            </w:r>
          </w:p>
        </w:tc>
      </w:tr>
      <w:tr w:rsidR="00C021D9" w14:paraId="5B14FF11"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88A8ED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602300A</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16974AD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451EE76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Llanishen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4DA1522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40DAAC2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200ABD7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571356A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1BEFDEA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000000"/>
              <w:right w:val="single" w:sz="4" w:space="0" w:color="auto"/>
            </w:tcBorders>
            <w:vAlign w:val="center"/>
            <w:hideMark/>
          </w:tcPr>
          <w:p w14:paraId="5C3E211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9" w:type="dxa"/>
            <w:gridSpan w:val="2"/>
            <w:tcBorders>
              <w:top w:val="single" w:sz="4" w:space="0" w:color="000000"/>
              <w:left w:val="nil"/>
              <w:bottom w:val="single" w:sz="4" w:space="0" w:color="000000"/>
              <w:right w:val="single" w:sz="4" w:space="0" w:color="auto"/>
            </w:tcBorders>
            <w:vAlign w:val="center"/>
            <w:hideMark/>
          </w:tcPr>
          <w:p w14:paraId="5688101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3CDE776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3D96BE7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22C5E91A"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4F8A1F5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00E1499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5DD0D86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300BE51B"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361066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4C3EEC0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4F220F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7E660D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5C1E072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07051E2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A61FCA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C27827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6E786D64"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D8C4F4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602004B</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2ACB3A6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518C5DC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Central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10F7804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01FFFDFB"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4BF3AC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473EF82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55C1E2E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0A2B8F3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4422FBA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0D1C8C5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1B3F825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A597931"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1D09861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116A2EC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3192070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4A254760"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13301CE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7D2448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89CC59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156038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BD3518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4EB73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7CBE4E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419518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6CDB1F2"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58B1BC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602679B</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14B5660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0E16FD7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Cyncoed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2307AF6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78E0DA1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651B456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624237F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2168E2E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000000"/>
              <w:right w:val="single" w:sz="4" w:space="0" w:color="auto"/>
            </w:tcBorders>
            <w:vAlign w:val="center"/>
            <w:hideMark/>
          </w:tcPr>
          <w:p w14:paraId="4FD4B2C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9" w:type="dxa"/>
            <w:gridSpan w:val="2"/>
            <w:tcBorders>
              <w:top w:val="single" w:sz="4" w:space="0" w:color="000000"/>
              <w:left w:val="nil"/>
              <w:bottom w:val="single" w:sz="4" w:space="0" w:color="000000"/>
              <w:right w:val="single" w:sz="4" w:space="0" w:color="auto"/>
            </w:tcBorders>
            <w:vAlign w:val="center"/>
            <w:hideMark/>
          </w:tcPr>
          <w:p w14:paraId="2DDB120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484F3D9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22FA48F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1728C57D"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4C30940A"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7EAC18A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2B3B84E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25668D07"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6A3D09BA"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42AB09A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69E006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682DDE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45883A1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162872C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8C7CC2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3F0C7A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4D9D8B2"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22D022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602663A</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63B7B54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19B175D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AJ Hales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4801F91E"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0EBEC91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835655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437DFA0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52EE7BB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220D281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6DC904C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53C9262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66C87FC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B761E57"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245AE661"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4E44D62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1D96C5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4D1F1AD4"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3D55183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048E268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C6A011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9B95BB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0701A0A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647D009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A8C2CC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E9E56D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5AD74F59"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7D76DE3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602287A</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5437284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310752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Insync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096BE2DE"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42.50</w:t>
            </w:r>
          </w:p>
        </w:tc>
        <w:tc>
          <w:tcPr>
            <w:tcW w:w="1169" w:type="dxa"/>
            <w:tcBorders>
              <w:top w:val="single" w:sz="4" w:space="0" w:color="000000"/>
              <w:left w:val="nil"/>
              <w:bottom w:val="single" w:sz="4" w:space="0" w:color="000000"/>
              <w:right w:val="single" w:sz="4" w:space="0" w:color="auto"/>
            </w:tcBorders>
            <w:noWrap/>
            <w:vAlign w:val="center"/>
            <w:hideMark/>
          </w:tcPr>
          <w:p w14:paraId="0AEB15E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7B2E0D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w:t>
            </w:r>
            <w:r>
              <w:rPr>
                <w:rFonts w:ascii="Calibri" w:eastAsia="Times New Roman" w:hAnsi="Calibri" w:cs="Arial"/>
                <w:sz w:val="16"/>
                <w:szCs w:val="16"/>
                <w:lang w:eastAsia="en-GB"/>
              </w:rPr>
              <w:br/>
              <w:t>13:30 - 17:30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2468168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w:t>
            </w:r>
            <w:r>
              <w:rPr>
                <w:rFonts w:ascii="Calibri" w:eastAsia="Times New Roman" w:hAnsi="Calibri" w:cs="Arial"/>
                <w:sz w:val="16"/>
                <w:szCs w:val="16"/>
                <w:lang w:eastAsia="en-GB"/>
              </w:rPr>
              <w:br/>
              <w:t>13:30 - 17:30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4835407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w:t>
            </w:r>
            <w:r>
              <w:rPr>
                <w:rFonts w:ascii="Calibri" w:eastAsia="Times New Roman" w:hAnsi="Calibri" w:cs="Arial"/>
                <w:sz w:val="16"/>
                <w:szCs w:val="16"/>
                <w:lang w:eastAsia="en-GB"/>
              </w:rPr>
              <w:br/>
              <w:t>13:30 - 17:30</w:t>
            </w:r>
          </w:p>
        </w:tc>
        <w:tc>
          <w:tcPr>
            <w:tcW w:w="1412" w:type="dxa"/>
            <w:gridSpan w:val="2"/>
            <w:tcBorders>
              <w:top w:val="single" w:sz="4" w:space="0" w:color="000000"/>
              <w:left w:val="nil"/>
              <w:bottom w:val="single" w:sz="4" w:space="0" w:color="000000"/>
              <w:right w:val="single" w:sz="4" w:space="0" w:color="auto"/>
            </w:tcBorders>
            <w:vAlign w:val="center"/>
            <w:hideMark/>
          </w:tcPr>
          <w:p w14:paraId="3DF5EB2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w:t>
            </w:r>
            <w:r>
              <w:rPr>
                <w:rFonts w:ascii="Calibri" w:eastAsia="Times New Roman" w:hAnsi="Calibri" w:cs="Arial"/>
                <w:sz w:val="16"/>
                <w:szCs w:val="16"/>
                <w:lang w:eastAsia="en-GB"/>
              </w:rPr>
              <w:br/>
              <w:t>13:30 - 17:30</w:t>
            </w:r>
          </w:p>
        </w:tc>
        <w:tc>
          <w:tcPr>
            <w:tcW w:w="1419" w:type="dxa"/>
            <w:gridSpan w:val="2"/>
            <w:tcBorders>
              <w:top w:val="single" w:sz="4" w:space="0" w:color="000000"/>
              <w:left w:val="nil"/>
              <w:bottom w:val="single" w:sz="4" w:space="0" w:color="000000"/>
              <w:right w:val="single" w:sz="4" w:space="0" w:color="auto"/>
            </w:tcBorders>
            <w:vAlign w:val="center"/>
            <w:hideMark/>
          </w:tcPr>
          <w:p w14:paraId="1E4AB7D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w:t>
            </w:r>
            <w:r>
              <w:rPr>
                <w:rFonts w:ascii="Calibri" w:eastAsia="Times New Roman" w:hAnsi="Calibri" w:cs="Arial"/>
                <w:sz w:val="16"/>
                <w:szCs w:val="16"/>
                <w:lang w:eastAsia="en-GB"/>
              </w:rPr>
              <w:br/>
              <w:t>13:30 - 17:30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337BA54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2981278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DCE2859"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110BDE3B"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0F59293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6A8E19A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87A5E13"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3977F34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49BC54E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w:t>
            </w:r>
            <w:r>
              <w:rPr>
                <w:rFonts w:ascii="Calibri" w:eastAsia="Times New Roman" w:hAnsi="Calibri" w:cs="Arial"/>
                <w:sz w:val="16"/>
                <w:szCs w:val="16"/>
                <w:lang w:eastAsia="en-GB"/>
              </w:rPr>
              <w:br/>
              <w:t>13:30 - 18:00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9126D5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w:t>
            </w:r>
            <w:r>
              <w:rPr>
                <w:rFonts w:ascii="Calibri" w:eastAsia="Times New Roman" w:hAnsi="Calibri" w:cs="Arial"/>
                <w:sz w:val="16"/>
                <w:szCs w:val="16"/>
                <w:lang w:eastAsia="en-GB"/>
              </w:rPr>
              <w:br/>
              <w:t>13:30 - 18:00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2F9CF1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w:t>
            </w:r>
            <w:r>
              <w:rPr>
                <w:rFonts w:ascii="Calibri" w:eastAsia="Times New Roman" w:hAnsi="Calibri" w:cs="Arial"/>
                <w:sz w:val="16"/>
                <w:szCs w:val="16"/>
                <w:lang w:eastAsia="en-GB"/>
              </w:rPr>
              <w:br/>
              <w:t>13:30 - 18:00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348A847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w:t>
            </w:r>
            <w:r>
              <w:rPr>
                <w:rFonts w:ascii="Calibri" w:eastAsia="Times New Roman" w:hAnsi="Calibri" w:cs="Arial"/>
                <w:sz w:val="16"/>
                <w:szCs w:val="16"/>
                <w:lang w:eastAsia="en-GB"/>
              </w:rPr>
              <w:br/>
              <w:t>13:30 - 18:00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4107A9C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w:t>
            </w:r>
            <w:r>
              <w:rPr>
                <w:rFonts w:ascii="Calibri" w:eastAsia="Times New Roman" w:hAnsi="Calibri" w:cs="Arial"/>
                <w:sz w:val="16"/>
                <w:szCs w:val="16"/>
                <w:lang w:eastAsia="en-GB"/>
              </w:rPr>
              <w:br/>
              <w:t>13:30 - 18:00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E09497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554B5C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09BBBA62"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28EEB9B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lastRenderedPageBreak/>
              <w:t>602807L</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69589EF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07D6532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Lloyds Pharmacy Wellfield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443FC8B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5E04095E"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BE842C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785687C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2AA40C6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727C91E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2FF7080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14:00 - 18:00</w:t>
            </w:r>
          </w:p>
        </w:tc>
        <w:tc>
          <w:tcPr>
            <w:tcW w:w="1416" w:type="dxa"/>
            <w:gridSpan w:val="2"/>
            <w:tcBorders>
              <w:top w:val="single" w:sz="4" w:space="0" w:color="000000"/>
              <w:left w:val="nil"/>
              <w:bottom w:val="single" w:sz="4" w:space="0" w:color="000000"/>
              <w:right w:val="single" w:sz="4" w:space="0" w:color="auto"/>
            </w:tcBorders>
            <w:vAlign w:val="center"/>
            <w:hideMark/>
          </w:tcPr>
          <w:p w14:paraId="32FB4FE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15:30 - 17:30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6E35319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6F58DB0"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01E9FD5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08A803B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30A33D8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017D324B"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3AFF16F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71FD36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AFE452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7AFB32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A7790D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7FB729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4692FA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255F71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CFC22D0"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454992B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602807A</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328D96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7CE4AB6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Lloyds Pharmacy Birchgrove</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6B90D1C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2DCBC7A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DB668B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09:00-13:00 14:00-18:00</w:t>
            </w:r>
          </w:p>
        </w:tc>
        <w:tc>
          <w:tcPr>
            <w:tcW w:w="1420" w:type="dxa"/>
            <w:gridSpan w:val="2"/>
            <w:tcBorders>
              <w:top w:val="single" w:sz="4" w:space="0" w:color="000000"/>
              <w:left w:val="nil"/>
              <w:bottom w:val="single" w:sz="4" w:space="0" w:color="000000"/>
              <w:right w:val="single" w:sz="4" w:space="0" w:color="auto"/>
            </w:tcBorders>
            <w:vAlign w:val="center"/>
            <w:hideMark/>
          </w:tcPr>
          <w:p w14:paraId="59DB3C2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09:00-13:00 14:00-18:00</w:t>
            </w:r>
          </w:p>
        </w:tc>
        <w:tc>
          <w:tcPr>
            <w:tcW w:w="1420" w:type="dxa"/>
            <w:gridSpan w:val="2"/>
            <w:tcBorders>
              <w:top w:val="single" w:sz="4" w:space="0" w:color="000000"/>
              <w:left w:val="nil"/>
              <w:bottom w:val="single" w:sz="4" w:space="0" w:color="000000"/>
              <w:right w:val="single" w:sz="4" w:space="0" w:color="auto"/>
            </w:tcBorders>
            <w:vAlign w:val="center"/>
            <w:hideMark/>
          </w:tcPr>
          <w:p w14:paraId="4A9F3C5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09:00-13:00 14:00-18:00</w:t>
            </w:r>
          </w:p>
        </w:tc>
        <w:tc>
          <w:tcPr>
            <w:tcW w:w="1412" w:type="dxa"/>
            <w:gridSpan w:val="2"/>
            <w:tcBorders>
              <w:top w:val="single" w:sz="4" w:space="0" w:color="000000"/>
              <w:left w:val="nil"/>
              <w:bottom w:val="single" w:sz="4" w:space="0" w:color="000000"/>
              <w:right w:val="single" w:sz="4" w:space="0" w:color="auto"/>
            </w:tcBorders>
            <w:vAlign w:val="center"/>
            <w:hideMark/>
          </w:tcPr>
          <w:p w14:paraId="59DBD5B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09:00-13:00 14:00-18:00</w:t>
            </w:r>
          </w:p>
        </w:tc>
        <w:tc>
          <w:tcPr>
            <w:tcW w:w="1419" w:type="dxa"/>
            <w:gridSpan w:val="2"/>
            <w:tcBorders>
              <w:top w:val="single" w:sz="4" w:space="0" w:color="000000"/>
              <w:left w:val="nil"/>
              <w:bottom w:val="single" w:sz="4" w:space="0" w:color="000000"/>
              <w:right w:val="single" w:sz="4" w:space="0" w:color="auto"/>
            </w:tcBorders>
            <w:vAlign w:val="center"/>
            <w:hideMark/>
          </w:tcPr>
          <w:p w14:paraId="61A19E3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09:00-13:00 14:00-18:00</w:t>
            </w:r>
          </w:p>
        </w:tc>
        <w:tc>
          <w:tcPr>
            <w:tcW w:w="1416" w:type="dxa"/>
            <w:gridSpan w:val="2"/>
            <w:tcBorders>
              <w:top w:val="single" w:sz="4" w:space="0" w:color="000000"/>
              <w:left w:val="nil"/>
              <w:bottom w:val="single" w:sz="4" w:space="0" w:color="000000"/>
              <w:right w:val="single" w:sz="4" w:space="0" w:color="auto"/>
            </w:tcBorders>
            <w:vAlign w:val="center"/>
            <w:hideMark/>
          </w:tcPr>
          <w:p w14:paraId="103FD00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vAlign w:val="center"/>
            <w:hideMark/>
          </w:tcPr>
          <w:p w14:paraId="7B1C051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4E20FF8D"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6FD06F4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A4A28C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7A0A108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F28455B"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76F9B74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4F83AE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1F8F80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750EAC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09:00-18:00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64BCF4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55AA6D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1C0333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57AABE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3C0DB073"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62F8A72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602807B</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78306DD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74F2843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Lloyds Pharmacy Rhiwbina</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16C6BA9A"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60F1553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255F5D2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568554C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5412CF5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70A9A73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37806B3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14:00 - 18:00</w:t>
            </w:r>
          </w:p>
        </w:tc>
        <w:tc>
          <w:tcPr>
            <w:tcW w:w="1416" w:type="dxa"/>
            <w:gridSpan w:val="2"/>
            <w:tcBorders>
              <w:top w:val="single" w:sz="4" w:space="0" w:color="000000"/>
              <w:left w:val="nil"/>
              <w:bottom w:val="single" w:sz="4" w:space="0" w:color="000000"/>
              <w:right w:val="single" w:sz="4" w:space="0" w:color="auto"/>
            </w:tcBorders>
            <w:vAlign w:val="center"/>
            <w:hideMark/>
          </w:tcPr>
          <w:p w14:paraId="549E7B4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09:00 - 11:30 15:00 - 17:30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5EECC35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9EE2368"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74370431"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7DA8B28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BD5C015"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236B3C7"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679BC47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DCBF32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43BD94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70CAA1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BE691C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77302B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23CF44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774766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6A54755"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7FD1212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602868D</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14F19CE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141C10C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Lloyds Pharmacy @ Sainsbury’s Thornhill</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13BC35C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3667CF7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78EB63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08:30 - 11:30 15:30 - 19:00</w:t>
            </w:r>
          </w:p>
        </w:tc>
        <w:tc>
          <w:tcPr>
            <w:tcW w:w="1420" w:type="dxa"/>
            <w:gridSpan w:val="2"/>
            <w:tcBorders>
              <w:top w:val="single" w:sz="4" w:space="0" w:color="000000"/>
              <w:left w:val="nil"/>
              <w:bottom w:val="single" w:sz="4" w:space="0" w:color="000000"/>
              <w:right w:val="single" w:sz="4" w:space="0" w:color="auto"/>
            </w:tcBorders>
            <w:vAlign w:val="center"/>
            <w:hideMark/>
          </w:tcPr>
          <w:p w14:paraId="48F209D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08:30 - 11:30 15:30 - 19:00</w:t>
            </w:r>
          </w:p>
        </w:tc>
        <w:tc>
          <w:tcPr>
            <w:tcW w:w="1420" w:type="dxa"/>
            <w:gridSpan w:val="2"/>
            <w:tcBorders>
              <w:top w:val="single" w:sz="4" w:space="0" w:color="000000"/>
              <w:left w:val="nil"/>
              <w:bottom w:val="single" w:sz="4" w:space="0" w:color="000000"/>
              <w:right w:val="single" w:sz="4" w:space="0" w:color="auto"/>
            </w:tcBorders>
            <w:vAlign w:val="center"/>
            <w:hideMark/>
          </w:tcPr>
          <w:p w14:paraId="08715CF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08:30 - 11:30 15:30 - 19:00</w:t>
            </w:r>
          </w:p>
        </w:tc>
        <w:tc>
          <w:tcPr>
            <w:tcW w:w="1412" w:type="dxa"/>
            <w:gridSpan w:val="2"/>
            <w:tcBorders>
              <w:top w:val="single" w:sz="4" w:space="0" w:color="000000"/>
              <w:left w:val="nil"/>
              <w:bottom w:val="single" w:sz="4" w:space="0" w:color="000000"/>
              <w:right w:val="single" w:sz="4" w:space="0" w:color="auto"/>
            </w:tcBorders>
            <w:vAlign w:val="center"/>
            <w:hideMark/>
          </w:tcPr>
          <w:p w14:paraId="00086F5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08:30 - 11:30 15:30 - 19:00</w:t>
            </w:r>
          </w:p>
        </w:tc>
        <w:tc>
          <w:tcPr>
            <w:tcW w:w="1419" w:type="dxa"/>
            <w:gridSpan w:val="2"/>
            <w:tcBorders>
              <w:top w:val="single" w:sz="4" w:space="0" w:color="000000"/>
              <w:left w:val="nil"/>
              <w:bottom w:val="single" w:sz="4" w:space="0" w:color="000000"/>
              <w:right w:val="single" w:sz="4" w:space="0" w:color="auto"/>
            </w:tcBorders>
            <w:vAlign w:val="center"/>
            <w:hideMark/>
          </w:tcPr>
          <w:p w14:paraId="5EA3F68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08:30 - 11:30 15:30 - 19:00</w:t>
            </w:r>
          </w:p>
        </w:tc>
        <w:tc>
          <w:tcPr>
            <w:tcW w:w="1416" w:type="dxa"/>
            <w:gridSpan w:val="2"/>
            <w:tcBorders>
              <w:top w:val="single" w:sz="4" w:space="0" w:color="000000"/>
              <w:left w:val="nil"/>
              <w:bottom w:val="single" w:sz="4" w:space="0" w:color="000000"/>
              <w:right w:val="single" w:sz="4" w:space="0" w:color="auto"/>
            </w:tcBorders>
            <w:vAlign w:val="center"/>
            <w:hideMark/>
          </w:tcPr>
          <w:p w14:paraId="5335936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09:00 - 11:30 15:30 - 17:30</w:t>
            </w:r>
          </w:p>
        </w:tc>
        <w:tc>
          <w:tcPr>
            <w:tcW w:w="1273" w:type="dxa"/>
            <w:gridSpan w:val="2"/>
            <w:tcBorders>
              <w:top w:val="single" w:sz="4" w:space="0" w:color="000000"/>
              <w:left w:val="nil"/>
              <w:bottom w:val="single" w:sz="4" w:space="0" w:color="000000"/>
              <w:right w:val="single" w:sz="4" w:space="0" w:color="auto"/>
            </w:tcBorders>
            <w:vAlign w:val="center"/>
            <w:hideMark/>
          </w:tcPr>
          <w:p w14:paraId="4964AF4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10:00 - 12:00 15:00 - 16:00</w:t>
            </w:r>
          </w:p>
        </w:tc>
      </w:tr>
      <w:tr w:rsidR="00C021D9" w14:paraId="0FFDFEE1"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7DAE4A1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25E2A41"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1187D2D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22B11432"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7E60869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817890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9F079E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98275A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CE776F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6CC5EB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959682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5FE187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10:00 - 16:00</w:t>
            </w:r>
          </w:p>
        </w:tc>
      </w:tr>
      <w:tr w:rsidR="00C021D9" w14:paraId="2B1AED8E"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E27A93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6025450</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7292CA7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046F09C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M W Phillips Chemist Llanishen</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32D6242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5C34D8D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27045B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14.30 - 18.30</w:t>
            </w:r>
          </w:p>
        </w:tc>
        <w:tc>
          <w:tcPr>
            <w:tcW w:w="1420" w:type="dxa"/>
            <w:gridSpan w:val="2"/>
            <w:tcBorders>
              <w:top w:val="single" w:sz="4" w:space="0" w:color="000000"/>
              <w:left w:val="nil"/>
              <w:bottom w:val="single" w:sz="4" w:space="0" w:color="000000"/>
              <w:right w:val="single" w:sz="4" w:space="0" w:color="auto"/>
            </w:tcBorders>
            <w:vAlign w:val="center"/>
            <w:hideMark/>
          </w:tcPr>
          <w:p w14:paraId="582F567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14.30 - 18.30</w:t>
            </w:r>
          </w:p>
        </w:tc>
        <w:tc>
          <w:tcPr>
            <w:tcW w:w="1420" w:type="dxa"/>
            <w:gridSpan w:val="2"/>
            <w:tcBorders>
              <w:top w:val="single" w:sz="4" w:space="0" w:color="000000"/>
              <w:left w:val="nil"/>
              <w:bottom w:val="single" w:sz="4" w:space="0" w:color="000000"/>
              <w:right w:val="single" w:sz="4" w:space="0" w:color="auto"/>
            </w:tcBorders>
            <w:vAlign w:val="center"/>
            <w:hideMark/>
          </w:tcPr>
          <w:p w14:paraId="2B1617E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14.30 - 18.30</w:t>
            </w:r>
          </w:p>
        </w:tc>
        <w:tc>
          <w:tcPr>
            <w:tcW w:w="1412" w:type="dxa"/>
            <w:gridSpan w:val="2"/>
            <w:tcBorders>
              <w:top w:val="single" w:sz="4" w:space="0" w:color="000000"/>
              <w:left w:val="nil"/>
              <w:bottom w:val="single" w:sz="4" w:space="0" w:color="000000"/>
              <w:right w:val="single" w:sz="4" w:space="0" w:color="auto"/>
            </w:tcBorders>
            <w:vAlign w:val="center"/>
            <w:hideMark/>
          </w:tcPr>
          <w:p w14:paraId="099F197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14.30 - 18.30</w:t>
            </w:r>
          </w:p>
        </w:tc>
        <w:tc>
          <w:tcPr>
            <w:tcW w:w="1419" w:type="dxa"/>
            <w:gridSpan w:val="2"/>
            <w:tcBorders>
              <w:top w:val="single" w:sz="4" w:space="0" w:color="000000"/>
              <w:left w:val="nil"/>
              <w:bottom w:val="single" w:sz="4" w:space="0" w:color="000000"/>
              <w:right w:val="single" w:sz="4" w:space="0" w:color="auto"/>
            </w:tcBorders>
            <w:vAlign w:val="center"/>
            <w:hideMark/>
          </w:tcPr>
          <w:p w14:paraId="37A08DF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14.30 - 18.30</w:t>
            </w:r>
          </w:p>
        </w:tc>
        <w:tc>
          <w:tcPr>
            <w:tcW w:w="1416" w:type="dxa"/>
            <w:gridSpan w:val="2"/>
            <w:tcBorders>
              <w:top w:val="single" w:sz="4" w:space="0" w:color="000000"/>
              <w:left w:val="nil"/>
              <w:bottom w:val="single" w:sz="4" w:space="0" w:color="000000"/>
              <w:right w:val="single" w:sz="4" w:space="0" w:color="auto"/>
            </w:tcBorders>
            <w:vAlign w:val="center"/>
            <w:hideMark/>
          </w:tcPr>
          <w:p w14:paraId="2573559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09:00 - 14:00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54A723F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4BB2E07"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431836FA"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1301FF3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EA8DE7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3F6C1E67"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31D729B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668123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18FC5C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3A388E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09:00 - 18:30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3C7304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09:00 - 18:30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B93E18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09:00 - 18:30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33FC86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09:00 - 14:00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0F7FD3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079BB51"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4BE1C22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602853E</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2EE1EC2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2C2E089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Well Pharmacy </w:t>
            </w:r>
          </w:p>
          <w:p w14:paraId="7D0C299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Pentwyn</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56A4BAE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08A243F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4157E9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57A570D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00E6E51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412" w:type="dxa"/>
            <w:gridSpan w:val="2"/>
            <w:tcBorders>
              <w:top w:val="single" w:sz="4" w:space="0" w:color="000000"/>
              <w:left w:val="nil"/>
              <w:bottom w:val="single" w:sz="4" w:space="0" w:color="000000"/>
              <w:right w:val="single" w:sz="4" w:space="0" w:color="auto"/>
            </w:tcBorders>
            <w:noWrap/>
            <w:vAlign w:val="center"/>
            <w:hideMark/>
          </w:tcPr>
          <w:p w14:paraId="34EF55E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noWrap/>
            <w:vAlign w:val="center"/>
            <w:hideMark/>
          </w:tcPr>
          <w:p w14:paraId="5CC07C9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5F790FE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4264CF8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54BB8EF8"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4913ED6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1C86DC7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7CC3769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71AAABF8"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3B942CD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E886B8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290E6F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BF966E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9EE59B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7F5274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2F0F8E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188B60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78D18C5"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3A689FE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602853H</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5ACC2D2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5ECF3C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Well Pharmacy </w:t>
            </w:r>
          </w:p>
          <w:p w14:paraId="4E51057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Rhiwbina</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154C715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30A4E3C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0C34CF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1F6B98D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7DD40B8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000000"/>
              <w:right w:val="single" w:sz="4" w:space="0" w:color="auto"/>
            </w:tcBorders>
            <w:noWrap/>
            <w:vAlign w:val="center"/>
            <w:hideMark/>
          </w:tcPr>
          <w:p w14:paraId="4ACC4C6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9" w:type="dxa"/>
            <w:gridSpan w:val="2"/>
            <w:tcBorders>
              <w:top w:val="single" w:sz="4" w:space="0" w:color="000000"/>
              <w:left w:val="nil"/>
              <w:bottom w:val="single" w:sz="4" w:space="0" w:color="000000"/>
              <w:right w:val="single" w:sz="4" w:space="0" w:color="auto"/>
            </w:tcBorders>
            <w:noWrap/>
            <w:vAlign w:val="center"/>
            <w:hideMark/>
          </w:tcPr>
          <w:p w14:paraId="1A9C1B8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71D8090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07DEC08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6573AA58"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4AFBFE9B"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40634D4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3C97CBB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266F3D85"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1497CB7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E657E4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6A95E4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A929B6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5601DC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362211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shd w:val="clear" w:color="auto" w:fill="BFBFBF" w:themeFill="background1" w:themeFillShade="BF"/>
            <w:noWrap/>
            <w:vAlign w:val="center"/>
            <w:hideMark/>
          </w:tcPr>
          <w:p w14:paraId="769C877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E05895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6BA73BB5"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215AF20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602512B</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390393E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594E59A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Pearns Pharmacy </w:t>
            </w:r>
          </w:p>
          <w:p w14:paraId="2DD1B60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Wedal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614209E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3D81F1E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3D2AEE3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13:30 - 18:00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3302452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13:30 - 18:00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7924667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13:00 - 17:30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047D1B3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13:30 - 18:00</w:t>
            </w:r>
          </w:p>
        </w:tc>
        <w:tc>
          <w:tcPr>
            <w:tcW w:w="1419" w:type="dxa"/>
            <w:gridSpan w:val="2"/>
            <w:tcBorders>
              <w:top w:val="single" w:sz="4" w:space="0" w:color="000000"/>
              <w:left w:val="nil"/>
              <w:bottom w:val="single" w:sz="4" w:space="0" w:color="000000"/>
              <w:right w:val="single" w:sz="4" w:space="0" w:color="auto"/>
            </w:tcBorders>
            <w:vAlign w:val="center"/>
            <w:hideMark/>
          </w:tcPr>
          <w:p w14:paraId="4E89B0D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13:30 - 18:00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1353351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7A28007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3E8DC4A"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09AA847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6DA8B0DB"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7B95A36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36AAFC0A"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893E01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3C082DF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08:45 - 12:30    13:30 - 18:15</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0D745C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08:45 - 12:30    13:30 - 18:15</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D9BB05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08:45 - 12:30    13:00 - 17:30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58C9C2E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08:45 - 12:30    13:30 - 18:15</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4F4770D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08:45 - 12:30    13:30 - 18:15</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2C095D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1401EC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C86159A"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757A4E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602679C</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185DF73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7E2469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Pontprennau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6EBAAC2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0A6B2ED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CF0732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3F7D72F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4AB0F7A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000000"/>
              <w:right w:val="single" w:sz="4" w:space="0" w:color="auto"/>
            </w:tcBorders>
            <w:vAlign w:val="center"/>
            <w:hideMark/>
          </w:tcPr>
          <w:p w14:paraId="02198DC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9" w:type="dxa"/>
            <w:gridSpan w:val="2"/>
            <w:tcBorders>
              <w:top w:val="single" w:sz="4" w:space="0" w:color="000000"/>
              <w:left w:val="nil"/>
              <w:bottom w:val="single" w:sz="4" w:space="0" w:color="000000"/>
              <w:right w:val="single" w:sz="4" w:space="0" w:color="auto"/>
            </w:tcBorders>
            <w:vAlign w:val="center"/>
            <w:hideMark/>
          </w:tcPr>
          <w:p w14:paraId="2961939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1F66EDF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4AC3970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586A9FA7"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4EF78CE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09E5A9E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AB4B66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11C73876"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22CDB79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4908386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B69860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A4707D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1203B7E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33B26D1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F0FB4D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89A743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F70C657"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0D7BB2C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lastRenderedPageBreak/>
              <w:t>602856O</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5D86E98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1BB949A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Well Pharmacy Birchgrove</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2E4AE68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0A79B91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ABF1D4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10D2BF7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0007817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3AFE47C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4815B60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03F50C4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6AE3C7B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6DB22B77"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6475C6F4"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155E663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618340B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03558672"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0313631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9CDFCA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E6206C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1AA0F8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42279B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9A4733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4E4E9F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CF13CB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424475BC"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673A53E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602139C</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43B2103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North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2124465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Lakeside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07ABABA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5FE5386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7B0ADB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500616F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14AB930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12" w:type="dxa"/>
            <w:gridSpan w:val="2"/>
            <w:tcBorders>
              <w:top w:val="single" w:sz="4" w:space="0" w:color="000000"/>
              <w:left w:val="nil"/>
              <w:bottom w:val="single" w:sz="4" w:space="0" w:color="000000"/>
              <w:right w:val="single" w:sz="4" w:space="0" w:color="auto"/>
            </w:tcBorders>
            <w:vAlign w:val="center"/>
            <w:hideMark/>
          </w:tcPr>
          <w:p w14:paraId="1534BEE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19" w:type="dxa"/>
            <w:gridSpan w:val="2"/>
            <w:tcBorders>
              <w:top w:val="single" w:sz="4" w:space="0" w:color="000000"/>
              <w:left w:val="nil"/>
              <w:bottom w:val="single" w:sz="4" w:space="0" w:color="000000"/>
              <w:right w:val="single" w:sz="4" w:space="0" w:color="auto"/>
            </w:tcBorders>
            <w:vAlign w:val="center"/>
            <w:hideMark/>
          </w:tcPr>
          <w:p w14:paraId="238C565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16" w:type="dxa"/>
            <w:gridSpan w:val="2"/>
            <w:tcBorders>
              <w:top w:val="single" w:sz="4" w:space="0" w:color="000000"/>
              <w:left w:val="nil"/>
              <w:bottom w:val="single" w:sz="4" w:space="0" w:color="000000"/>
              <w:right w:val="single" w:sz="4" w:space="0" w:color="auto"/>
            </w:tcBorders>
            <w:vAlign w:val="center"/>
            <w:hideMark/>
          </w:tcPr>
          <w:p w14:paraId="59D9512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010BF1B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5ECC57F"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576583F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6C856C4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5597EB2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4025580A"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73AF50CB"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27BB81C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F6F20E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454F690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127C590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4771341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5CE7630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3CF61E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1B66C420"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5761716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602003A</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5048553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01F9B57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Crwys Pharmacy </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63B3363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6D34180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028B986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09:00 - 17:00 </w:t>
            </w:r>
          </w:p>
        </w:tc>
        <w:tc>
          <w:tcPr>
            <w:tcW w:w="1420" w:type="dxa"/>
            <w:gridSpan w:val="2"/>
            <w:tcBorders>
              <w:top w:val="single" w:sz="4" w:space="0" w:color="000000"/>
              <w:left w:val="nil"/>
              <w:bottom w:val="single" w:sz="4" w:space="0" w:color="000000"/>
              <w:right w:val="single" w:sz="4" w:space="0" w:color="auto"/>
            </w:tcBorders>
            <w:vAlign w:val="center"/>
            <w:hideMark/>
          </w:tcPr>
          <w:p w14:paraId="406317B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09:00 - 17:00 </w:t>
            </w:r>
          </w:p>
        </w:tc>
        <w:tc>
          <w:tcPr>
            <w:tcW w:w="1420" w:type="dxa"/>
            <w:gridSpan w:val="2"/>
            <w:tcBorders>
              <w:top w:val="single" w:sz="4" w:space="0" w:color="000000"/>
              <w:left w:val="nil"/>
              <w:bottom w:val="single" w:sz="4" w:space="0" w:color="000000"/>
              <w:right w:val="single" w:sz="4" w:space="0" w:color="auto"/>
            </w:tcBorders>
            <w:vAlign w:val="center"/>
            <w:hideMark/>
          </w:tcPr>
          <w:p w14:paraId="34918EF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09:00 - 17:00 </w:t>
            </w:r>
          </w:p>
        </w:tc>
        <w:tc>
          <w:tcPr>
            <w:tcW w:w="1412" w:type="dxa"/>
            <w:gridSpan w:val="2"/>
            <w:tcBorders>
              <w:top w:val="single" w:sz="4" w:space="0" w:color="000000"/>
              <w:left w:val="nil"/>
              <w:bottom w:val="single" w:sz="4" w:space="0" w:color="000000"/>
              <w:right w:val="single" w:sz="4" w:space="0" w:color="auto"/>
            </w:tcBorders>
            <w:vAlign w:val="center"/>
            <w:hideMark/>
          </w:tcPr>
          <w:p w14:paraId="4F266F2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09:00 - 17:00 </w:t>
            </w:r>
          </w:p>
        </w:tc>
        <w:tc>
          <w:tcPr>
            <w:tcW w:w="1419" w:type="dxa"/>
            <w:gridSpan w:val="2"/>
            <w:tcBorders>
              <w:top w:val="single" w:sz="4" w:space="0" w:color="000000"/>
              <w:left w:val="nil"/>
              <w:bottom w:val="single" w:sz="4" w:space="0" w:color="000000"/>
              <w:right w:val="single" w:sz="4" w:space="0" w:color="auto"/>
            </w:tcBorders>
            <w:vAlign w:val="center"/>
            <w:hideMark/>
          </w:tcPr>
          <w:p w14:paraId="1082E15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09:00 - 17:00 </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080BACF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42F7117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2D28CD4A"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507EBFB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98CA864"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1424DBE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515AD2C"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0BA152EB"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46F6C45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08:45 - 18:15</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03D7BFB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08:45 - 18:15</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06E35FA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08:45 - 18:15</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5BD825C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08:45 - 18:15</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0E2F683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08:45 - 18:15</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4BBED78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09:15 - 17:15</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35F616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9E81D19"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158692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602816H</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07C5B0E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4620D50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Boots Albany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7498529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12A552C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6B659A1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33D589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2219F33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58953B5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7012135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16" w:type="dxa"/>
            <w:gridSpan w:val="2"/>
            <w:tcBorders>
              <w:top w:val="single" w:sz="4" w:space="0" w:color="000000"/>
              <w:left w:val="nil"/>
              <w:bottom w:val="single" w:sz="4" w:space="0" w:color="000000"/>
              <w:right w:val="single" w:sz="4" w:space="0" w:color="auto"/>
            </w:tcBorders>
            <w:vAlign w:val="center"/>
            <w:hideMark/>
          </w:tcPr>
          <w:p w14:paraId="007D5DF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14:00 - 15:30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648B2A7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028B4AC"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68B12A8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6FB9BD8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3A8FC9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44EF4C87"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2B57B3CE"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5E99BAB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4A9D6A0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13FA77E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0AD7749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06A0DF9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64AE345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0A1AC5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10:30 - 16:30</w:t>
            </w:r>
          </w:p>
        </w:tc>
      </w:tr>
      <w:tr w:rsidR="00C021D9" w14:paraId="73EBA725"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74A8099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602139A</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6D83ECC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791F2D6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City Pharmacy @ CRI</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3C1D177E"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431AFF3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DBE7F0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101D294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49C4957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12" w:type="dxa"/>
            <w:gridSpan w:val="2"/>
            <w:tcBorders>
              <w:top w:val="single" w:sz="4" w:space="0" w:color="000000"/>
              <w:left w:val="nil"/>
              <w:bottom w:val="single" w:sz="4" w:space="0" w:color="000000"/>
              <w:right w:val="single" w:sz="4" w:space="0" w:color="auto"/>
            </w:tcBorders>
            <w:vAlign w:val="center"/>
            <w:hideMark/>
          </w:tcPr>
          <w:p w14:paraId="15A7549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19" w:type="dxa"/>
            <w:gridSpan w:val="2"/>
            <w:tcBorders>
              <w:top w:val="single" w:sz="4" w:space="0" w:color="000000"/>
              <w:left w:val="nil"/>
              <w:bottom w:val="single" w:sz="4" w:space="0" w:color="000000"/>
              <w:right w:val="single" w:sz="4" w:space="0" w:color="auto"/>
            </w:tcBorders>
            <w:vAlign w:val="center"/>
            <w:hideMark/>
          </w:tcPr>
          <w:p w14:paraId="4F660F6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196AED9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362992A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1C027E23"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3278232A"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45E9CB5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352999B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17FB29FF"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1986E2A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66B29B7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08:30 - 12:30</w:t>
            </w:r>
            <w:r>
              <w:rPr>
                <w:rFonts w:ascii="Calibri" w:eastAsia="Times New Roman" w:hAnsi="Calibri" w:cs="Arial"/>
                <w:sz w:val="16"/>
                <w:szCs w:val="16"/>
                <w:lang w:eastAsia="en-GB"/>
              </w:rPr>
              <w:br/>
              <w:t>13:30 - 18:30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D02891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08:30 - 12:30</w:t>
            </w:r>
            <w:r>
              <w:rPr>
                <w:rFonts w:ascii="Calibri" w:eastAsia="Times New Roman" w:hAnsi="Calibri" w:cs="Arial"/>
                <w:sz w:val="16"/>
                <w:szCs w:val="16"/>
                <w:lang w:eastAsia="en-GB"/>
              </w:rPr>
              <w:br/>
              <w:t>13:30 - 18:30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1552B41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08:30 - 12:30</w:t>
            </w:r>
            <w:r>
              <w:rPr>
                <w:rFonts w:ascii="Calibri" w:eastAsia="Times New Roman" w:hAnsi="Calibri" w:cs="Arial"/>
                <w:sz w:val="16"/>
                <w:szCs w:val="16"/>
                <w:lang w:eastAsia="en-GB"/>
              </w:rPr>
              <w:br/>
              <w:t>13:30 - 18:30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20D3A3C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08:30 - 12:30</w:t>
            </w:r>
            <w:r>
              <w:rPr>
                <w:rFonts w:ascii="Calibri" w:eastAsia="Times New Roman" w:hAnsi="Calibri" w:cs="Arial"/>
                <w:sz w:val="16"/>
                <w:szCs w:val="16"/>
                <w:lang w:eastAsia="en-GB"/>
              </w:rPr>
              <w:br/>
              <w:t>13:30 - 18:30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723E154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08:30 - 12:30</w:t>
            </w:r>
            <w:r>
              <w:rPr>
                <w:rFonts w:ascii="Calibri" w:eastAsia="Times New Roman" w:hAnsi="Calibri" w:cs="Arial"/>
                <w:sz w:val="16"/>
                <w:szCs w:val="16"/>
                <w:lang w:eastAsia="en-GB"/>
              </w:rPr>
              <w:br/>
              <w:t>13:30 - 18:30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2C4244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9B0BAF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C2A59DD"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26ADD2B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602139B</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757993B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5423C5A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Clifton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7B62046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47.00</w:t>
            </w:r>
          </w:p>
        </w:tc>
        <w:tc>
          <w:tcPr>
            <w:tcW w:w="1169" w:type="dxa"/>
            <w:tcBorders>
              <w:top w:val="single" w:sz="4" w:space="0" w:color="000000"/>
              <w:left w:val="nil"/>
              <w:bottom w:val="single" w:sz="4" w:space="0" w:color="000000"/>
              <w:right w:val="single" w:sz="4" w:space="0" w:color="auto"/>
            </w:tcBorders>
            <w:noWrap/>
            <w:vAlign w:val="center"/>
            <w:hideMark/>
          </w:tcPr>
          <w:p w14:paraId="7A50163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6D70654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0BEA9BB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4265124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12" w:type="dxa"/>
            <w:gridSpan w:val="2"/>
            <w:tcBorders>
              <w:top w:val="single" w:sz="4" w:space="0" w:color="000000"/>
              <w:left w:val="nil"/>
              <w:bottom w:val="single" w:sz="4" w:space="0" w:color="000000"/>
              <w:right w:val="single" w:sz="4" w:space="0" w:color="auto"/>
            </w:tcBorders>
            <w:vAlign w:val="center"/>
            <w:hideMark/>
          </w:tcPr>
          <w:p w14:paraId="3A7BE4B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19" w:type="dxa"/>
            <w:gridSpan w:val="2"/>
            <w:tcBorders>
              <w:top w:val="single" w:sz="4" w:space="0" w:color="000000"/>
              <w:left w:val="nil"/>
              <w:bottom w:val="single" w:sz="4" w:space="0" w:color="000000"/>
              <w:right w:val="single" w:sz="4" w:space="0" w:color="auto"/>
            </w:tcBorders>
            <w:vAlign w:val="center"/>
            <w:hideMark/>
          </w:tcPr>
          <w:p w14:paraId="3E0345E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13:30 - 18:00</w:t>
            </w:r>
          </w:p>
        </w:tc>
        <w:tc>
          <w:tcPr>
            <w:tcW w:w="1416" w:type="dxa"/>
            <w:gridSpan w:val="2"/>
            <w:tcBorders>
              <w:top w:val="single" w:sz="4" w:space="0" w:color="000000"/>
              <w:left w:val="nil"/>
              <w:bottom w:val="single" w:sz="4" w:space="0" w:color="000000"/>
              <w:right w:val="single" w:sz="4" w:space="0" w:color="auto"/>
            </w:tcBorders>
            <w:vAlign w:val="center"/>
            <w:hideMark/>
          </w:tcPr>
          <w:p w14:paraId="1E9CC86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13.30 - 17.00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7FC1782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5BFE0F25"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3FC63F0A"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36D2E9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7EA1F78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26A2D71B"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022FC7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693BB93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08:30 -12:30</w:t>
            </w:r>
            <w:r>
              <w:rPr>
                <w:rFonts w:ascii="Calibri" w:eastAsia="Times New Roman" w:hAnsi="Calibri" w:cs="Arial"/>
                <w:sz w:val="16"/>
                <w:szCs w:val="16"/>
                <w:lang w:eastAsia="en-GB"/>
              </w:rPr>
              <w:br/>
              <w:t>13:30 - 18:00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33D735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08:30 -12:30</w:t>
            </w:r>
            <w:r>
              <w:rPr>
                <w:rFonts w:ascii="Calibri" w:eastAsia="Times New Roman" w:hAnsi="Calibri" w:cs="Arial"/>
                <w:sz w:val="16"/>
                <w:szCs w:val="16"/>
                <w:lang w:eastAsia="en-GB"/>
              </w:rPr>
              <w:br/>
              <w:t>13:30 - 18:00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77E637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08:30 -12:30</w:t>
            </w:r>
            <w:r>
              <w:rPr>
                <w:rFonts w:ascii="Calibri" w:eastAsia="Times New Roman" w:hAnsi="Calibri" w:cs="Arial"/>
                <w:sz w:val="16"/>
                <w:szCs w:val="16"/>
                <w:lang w:eastAsia="en-GB"/>
              </w:rPr>
              <w:br/>
              <w:t>13:30 - 18:00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26BB838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08:30 -12:30</w:t>
            </w:r>
            <w:r>
              <w:rPr>
                <w:rFonts w:ascii="Calibri" w:eastAsia="Times New Roman" w:hAnsi="Calibri" w:cs="Arial"/>
                <w:sz w:val="16"/>
                <w:szCs w:val="16"/>
                <w:lang w:eastAsia="en-GB"/>
              </w:rPr>
              <w:br/>
              <w:t>13:30 - 18:00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02B2D3E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08:30 -12:30</w:t>
            </w:r>
            <w:r>
              <w:rPr>
                <w:rFonts w:ascii="Calibri" w:eastAsia="Times New Roman" w:hAnsi="Calibri" w:cs="Arial"/>
                <w:sz w:val="16"/>
                <w:szCs w:val="16"/>
                <w:lang w:eastAsia="en-GB"/>
              </w:rPr>
              <w:br/>
              <w:t>13:30 - 18:00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178EFC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13:30 - 17:00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794A15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5B9ED718"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3C97F36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602526C</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2C61A50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390441D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WJ Powell Chemists</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735E1E6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41.50</w:t>
            </w:r>
          </w:p>
        </w:tc>
        <w:tc>
          <w:tcPr>
            <w:tcW w:w="1169" w:type="dxa"/>
            <w:tcBorders>
              <w:top w:val="single" w:sz="4" w:space="0" w:color="000000"/>
              <w:left w:val="nil"/>
              <w:bottom w:val="single" w:sz="4" w:space="0" w:color="000000"/>
              <w:right w:val="single" w:sz="4" w:space="0" w:color="auto"/>
            </w:tcBorders>
            <w:noWrap/>
            <w:vAlign w:val="center"/>
            <w:hideMark/>
          </w:tcPr>
          <w:p w14:paraId="7CC1650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224EABD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3F243F2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6C96F33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75FE369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3481FB9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799D2EC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1E19B76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68276C6"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77AE8F4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7EBB95A5"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7D68C8B5"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37E8CC01"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78E70CC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52E1A33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53EE03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482CDED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7C6DF32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21156A6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DA0698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DFC638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6632343E"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0613702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602870M</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32C198E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4813938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Tesco Pharmacy Western Avenue</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320EC7E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7C17D56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39631DF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2A80B00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25EE7BC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14:00 - 16:30</w:t>
            </w:r>
          </w:p>
        </w:tc>
        <w:tc>
          <w:tcPr>
            <w:tcW w:w="1412" w:type="dxa"/>
            <w:gridSpan w:val="2"/>
            <w:tcBorders>
              <w:top w:val="single" w:sz="4" w:space="0" w:color="000000"/>
              <w:left w:val="nil"/>
              <w:bottom w:val="single" w:sz="4" w:space="0" w:color="000000"/>
              <w:right w:val="single" w:sz="4" w:space="0" w:color="auto"/>
            </w:tcBorders>
            <w:vAlign w:val="center"/>
            <w:hideMark/>
          </w:tcPr>
          <w:p w14:paraId="490E41D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14:00 - 16:30</w:t>
            </w:r>
          </w:p>
        </w:tc>
        <w:tc>
          <w:tcPr>
            <w:tcW w:w="1419" w:type="dxa"/>
            <w:gridSpan w:val="2"/>
            <w:tcBorders>
              <w:top w:val="single" w:sz="4" w:space="0" w:color="000000"/>
              <w:left w:val="nil"/>
              <w:bottom w:val="single" w:sz="4" w:space="0" w:color="000000"/>
              <w:right w:val="single" w:sz="4" w:space="0" w:color="auto"/>
            </w:tcBorders>
            <w:vAlign w:val="center"/>
            <w:hideMark/>
          </w:tcPr>
          <w:p w14:paraId="43011E8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14:00 - 16:30</w:t>
            </w:r>
          </w:p>
        </w:tc>
        <w:tc>
          <w:tcPr>
            <w:tcW w:w="1416" w:type="dxa"/>
            <w:gridSpan w:val="2"/>
            <w:tcBorders>
              <w:top w:val="single" w:sz="4" w:space="0" w:color="000000"/>
              <w:left w:val="nil"/>
              <w:bottom w:val="single" w:sz="4" w:space="0" w:color="000000"/>
              <w:right w:val="single" w:sz="4" w:space="0" w:color="auto"/>
            </w:tcBorders>
            <w:vAlign w:val="center"/>
            <w:hideMark/>
          </w:tcPr>
          <w:p w14:paraId="1CFC6B0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14:00 - 16:30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1AA27A1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20F6BE6"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2F0B2CB4"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5ABECAB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647463D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027FFC2"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798B939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AA9C0B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08:00 - 21:00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D53745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08:00 - 21:00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5A20BA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08:00 - 21:00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4A724A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08:00 - 21:00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B34BEC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08:00 - 21:00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186C78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08:00 - 22:00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AA188F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10:00 – 16:00</w:t>
            </w:r>
          </w:p>
        </w:tc>
      </w:tr>
      <w:tr w:rsidR="00C021D9" w14:paraId="7869B52F"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54AB5B6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602856L</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4CDE5A3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09376A4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Well Pharmacy</w:t>
            </w:r>
          </w:p>
          <w:p w14:paraId="2DF553D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Clifton Street</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379EAA2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5CF2CA2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6942EDA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47A4CAB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180158D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09:00 - 13:30 14:00 - 17:30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06B94CA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0DBF614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02032E1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4F0B1D2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30F74CA"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0A58CB6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0B7F131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250C44C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2B85871"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525DD7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8ACEB3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CC8EC3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31B7D4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0A30C6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A208B7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D92195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8E3B7D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58BBE32A"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4300352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lastRenderedPageBreak/>
              <w:t>602852E</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7A034BB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B7BA62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Well Pharmacy </w:t>
            </w:r>
          </w:p>
          <w:p w14:paraId="01A32DA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219-221 City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6C1BD5CE"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02E6342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46A916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17591E3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50E845B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000000"/>
              <w:right w:val="single" w:sz="4" w:space="0" w:color="auto"/>
            </w:tcBorders>
            <w:noWrap/>
            <w:vAlign w:val="center"/>
            <w:hideMark/>
          </w:tcPr>
          <w:p w14:paraId="79C790B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9" w:type="dxa"/>
            <w:gridSpan w:val="2"/>
            <w:tcBorders>
              <w:top w:val="single" w:sz="4" w:space="0" w:color="000000"/>
              <w:left w:val="nil"/>
              <w:bottom w:val="single" w:sz="4" w:space="0" w:color="000000"/>
              <w:right w:val="single" w:sz="4" w:space="0" w:color="auto"/>
            </w:tcBorders>
            <w:noWrap/>
            <w:vAlign w:val="center"/>
            <w:hideMark/>
          </w:tcPr>
          <w:p w14:paraId="7807936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55AE7E8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2237FB9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24676E16"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3B06A025"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083A75C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5C4E79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2DF5BB0A"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47153C0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4ACF11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9AA1F0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E752C4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031813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637868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B31D26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162551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17C6BAD5"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2EF6F8D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602852H</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53B5287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7DD7D2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Well Pharmacy </w:t>
            </w:r>
          </w:p>
          <w:p w14:paraId="3717E01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180 City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29FBD94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3DCB17E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336047E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13:30 - 18:00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0FB3BDC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13:30 - 18:00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7D84C9C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13:30 - 18:00</w:t>
            </w:r>
          </w:p>
        </w:tc>
        <w:tc>
          <w:tcPr>
            <w:tcW w:w="1412" w:type="dxa"/>
            <w:gridSpan w:val="2"/>
            <w:tcBorders>
              <w:top w:val="single" w:sz="4" w:space="0" w:color="000000"/>
              <w:left w:val="nil"/>
              <w:bottom w:val="single" w:sz="4" w:space="0" w:color="000000"/>
              <w:right w:val="single" w:sz="4" w:space="0" w:color="auto"/>
            </w:tcBorders>
            <w:vAlign w:val="center"/>
            <w:hideMark/>
          </w:tcPr>
          <w:p w14:paraId="6A3E61A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13:30 - 18:00</w:t>
            </w:r>
          </w:p>
        </w:tc>
        <w:tc>
          <w:tcPr>
            <w:tcW w:w="1419" w:type="dxa"/>
            <w:gridSpan w:val="2"/>
            <w:tcBorders>
              <w:top w:val="single" w:sz="4" w:space="0" w:color="000000"/>
              <w:left w:val="nil"/>
              <w:bottom w:val="single" w:sz="4" w:space="0" w:color="000000"/>
              <w:right w:val="single" w:sz="4" w:space="0" w:color="auto"/>
            </w:tcBorders>
            <w:vAlign w:val="center"/>
            <w:hideMark/>
          </w:tcPr>
          <w:p w14:paraId="7635866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13:30 - 18:00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7E7220D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7B62C90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D3462CA"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3DFA342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42AF8D8A"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63D5CB0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1BDA10CD"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17C352BB"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3B4983A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0E4BC46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0BBB7CF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32B6C54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28BA5C8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07C81E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3916DF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6357372E"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6DBEB2D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602597A</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47E03C5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0078E70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North Road Pharmacy </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3942A05A"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4C0E5CC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E096F6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2B03454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378517C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07EEBBA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6CA11D7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7BF4B32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758AA7E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AC9351B"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23ECD4D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4FAD78D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D00E5C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367C0D29"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011C02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54046A7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4875EF3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F67C8F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7B962C8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4B3663A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099AAD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23C34F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21ACCDAC"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40753C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602514J</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7826621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738E1A4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Pearns Pharmacy Tremorfa</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2D92A41B"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6DAE6DF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7BD3B2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1193176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52F62BF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4900FF7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465456A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2C8E601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6D0987D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530BE7BA"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7D5B0A7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8AE306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3D84CFB1"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2B208A13"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1A5DCD6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1B9D9B5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085E52C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59A1F7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24B4FDA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4E73D41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C9B9FA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09:30 - 11:30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949108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9D208EC"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0AC5BED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602735A</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5F37D42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7BD32BB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Woodville Road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6F41113A"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2E3EC0C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3875682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0B28A6C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31933CF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7896C8A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4B9D020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vAlign w:val="center"/>
            <w:hideMark/>
          </w:tcPr>
          <w:p w14:paraId="6164233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59A77F7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10907BD"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59ACEF8B"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5A6E8EF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5E6FBA6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7F4DDF7F"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6983F72E"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06AE9D3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3D22A5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0AEF98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33A7E3F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4AE0995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2566D9E6" w14:textId="77777777" w:rsidR="00C021D9" w:rsidRDefault="00C021D9" w:rsidP="00DC54F7">
            <w:pPr>
              <w:spacing w:after="0" w:line="240" w:lineRule="auto"/>
              <w:jc w:val="both"/>
              <w:rPr>
                <w:rFonts w:ascii="Calibri" w:eastAsia="Times New Roman" w:hAnsi="Calibri" w:cs="Arial"/>
                <w:color w:val="FF0000"/>
                <w:sz w:val="16"/>
                <w:szCs w:val="16"/>
                <w:lang w:eastAsia="en-GB"/>
              </w:rPr>
            </w:pPr>
            <w:r>
              <w:rPr>
                <w:rFonts w:ascii="Calibri" w:eastAsia="Times New Roman" w:hAnsi="Calibri" w:cs="Arial"/>
                <w:color w:val="FF0000"/>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5C210B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B821AE2"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427AB8D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602545L</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791238D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4B1B926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MW Phillips Chemist Splott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7BCC74D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6DAAA2B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630F4D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5F2E868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16EC6E8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13:30 - 15:30</w:t>
            </w:r>
          </w:p>
        </w:tc>
        <w:tc>
          <w:tcPr>
            <w:tcW w:w="1412" w:type="dxa"/>
            <w:gridSpan w:val="2"/>
            <w:tcBorders>
              <w:top w:val="single" w:sz="4" w:space="0" w:color="000000"/>
              <w:left w:val="nil"/>
              <w:bottom w:val="single" w:sz="4" w:space="0" w:color="000000"/>
              <w:right w:val="single" w:sz="4" w:space="0" w:color="auto"/>
            </w:tcBorders>
            <w:vAlign w:val="center"/>
            <w:hideMark/>
          </w:tcPr>
          <w:p w14:paraId="0759A17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19" w:type="dxa"/>
            <w:gridSpan w:val="2"/>
            <w:tcBorders>
              <w:top w:val="single" w:sz="4" w:space="0" w:color="000000"/>
              <w:left w:val="nil"/>
              <w:bottom w:val="single" w:sz="4" w:space="0" w:color="000000"/>
              <w:right w:val="single" w:sz="4" w:space="0" w:color="auto"/>
            </w:tcBorders>
            <w:vAlign w:val="center"/>
            <w:hideMark/>
          </w:tcPr>
          <w:p w14:paraId="14950DD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35405A8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00DEB99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1711AEEA"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494E522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5CB37A5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6C68337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748B455A"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1DF087E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2F9A8CA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7128D1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DBB0AC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0B98B42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7C4429C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E03FA4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9A481B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3D685A4"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C70018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602545F</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0FF76C9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220CA5F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MW Phillips Chemist</w:t>
            </w:r>
          </w:p>
          <w:p w14:paraId="5A47731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Whitchurch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0216C69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3ECE7B0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1251CCE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672D935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5A7AC5B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412" w:type="dxa"/>
            <w:gridSpan w:val="2"/>
            <w:tcBorders>
              <w:top w:val="single" w:sz="4" w:space="0" w:color="000000"/>
              <w:left w:val="nil"/>
              <w:bottom w:val="single" w:sz="4" w:space="0" w:color="000000"/>
              <w:right w:val="single" w:sz="4" w:space="0" w:color="auto"/>
            </w:tcBorders>
            <w:noWrap/>
            <w:vAlign w:val="center"/>
            <w:hideMark/>
          </w:tcPr>
          <w:p w14:paraId="32FF545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noWrap/>
            <w:vAlign w:val="center"/>
            <w:hideMark/>
          </w:tcPr>
          <w:p w14:paraId="0853988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0A0F1D6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00E6DDC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04006C6"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47D1AB7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51ABACC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20FA3B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D09368A"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157E44C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820FE2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4C1F32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F9B189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C0AE30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8B511C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57912D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0D5418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2D7DE77E"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6350CA3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602545K</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2D6BB78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186C1A9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MW Phillips Chemist</w:t>
            </w:r>
          </w:p>
          <w:p w14:paraId="06460D2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South Park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4874086E"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44.00</w:t>
            </w:r>
          </w:p>
        </w:tc>
        <w:tc>
          <w:tcPr>
            <w:tcW w:w="1169" w:type="dxa"/>
            <w:tcBorders>
              <w:top w:val="single" w:sz="4" w:space="0" w:color="000000"/>
              <w:left w:val="nil"/>
              <w:bottom w:val="single" w:sz="4" w:space="0" w:color="000000"/>
              <w:right w:val="single" w:sz="4" w:space="0" w:color="auto"/>
            </w:tcBorders>
            <w:noWrap/>
            <w:vAlign w:val="center"/>
            <w:hideMark/>
          </w:tcPr>
          <w:p w14:paraId="26744DB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6D517B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08:30 - 13:30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47FC1CA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08:30 - 13:30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2DE4039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08:30 - 13:30 14:00 - 17:00</w:t>
            </w:r>
          </w:p>
        </w:tc>
        <w:tc>
          <w:tcPr>
            <w:tcW w:w="1412" w:type="dxa"/>
            <w:gridSpan w:val="2"/>
            <w:tcBorders>
              <w:top w:val="single" w:sz="4" w:space="0" w:color="000000"/>
              <w:left w:val="nil"/>
              <w:bottom w:val="single" w:sz="4" w:space="0" w:color="000000"/>
              <w:right w:val="single" w:sz="4" w:space="0" w:color="auto"/>
            </w:tcBorders>
            <w:vAlign w:val="center"/>
            <w:hideMark/>
          </w:tcPr>
          <w:p w14:paraId="1F6A984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08:30 - 13:30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57611FF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08:30 - 13:30 14:00 - 18:00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4413C20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4506B5E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12E1C965"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52268E8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C37F03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7907803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2FCF9394"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495D728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20FE7B4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08:30 - 13:30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DCB55E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08:30 - 13:30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CAAC72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08:30 - 13:30 14:00 - 17:00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1EA7B76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08:30 - 13:30 14:00 - 18:00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2334C5A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08:30 - 13:30 14:00 - 18:00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A8ECD6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36B352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5BE4F7C3"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7AF7E71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602648D</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1368DDB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East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390F255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Superdrug Ltd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1517CB8E"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4CE8B75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16CF4E2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15:00 - 17:30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29F58F6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15:00 - 17:30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4C8A169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15:00 - 17:30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68925C7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15:00 - 17:30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51F28D2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15:00 - 17:30</w:t>
            </w:r>
          </w:p>
        </w:tc>
        <w:tc>
          <w:tcPr>
            <w:tcW w:w="1416" w:type="dxa"/>
            <w:gridSpan w:val="2"/>
            <w:tcBorders>
              <w:top w:val="single" w:sz="4" w:space="0" w:color="000000"/>
              <w:left w:val="nil"/>
              <w:bottom w:val="single" w:sz="4" w:space="0" w:color="000000"/>
              <w:right w:val="single" w:sz="4" w:space="0" w:color="auto"/>
            </w:tcBorders>
            <w:vAlign w:val="center"/>
            <w:hideMark/>
          </w:tcPr>
          <w:p w14:paraId="611F2E3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09:00 - 13:30 14:30 - 17:30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043E0F7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23104F80"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7A01ED5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6FC472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743785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426B95A4"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345882BB"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429C04B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08:30 - 13:30 14:00 - 17:30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66DD6F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08:30 - 13:30 14:00 - 17:30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EDBBC0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08:30 - 13:30 14:00 - 17:30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7ECA637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08:30 - 13:30 14:00 - 17:30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35579CB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08:30 - 13:30 14:00 - 17:30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7D24A88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13:30 14:00 - 17:30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262CAF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953AFED"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43C6B41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lastRenderedPageBreak/>
              <w:t>602818I</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38F70DD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78DA381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Boots Sanatorium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66A6751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1AE5D55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E35F4A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76F744D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0717EEE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3C34D9D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52955F8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477F6D4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7E901A7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1941F93F"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1A91049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4869170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2A6288A"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3B6DEF4E"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03824D8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38E4AB0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782F35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5BEB78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08:45 - 13:00   14:00 - 18:00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7093D59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08:45 - 13:00   14:00 - 18:00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7274EA7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08:45 - 13:00   14:00 - 18:00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A550DA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BF8F7A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17CE8A1C"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3039A4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602816J</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0C41D4E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5491969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Boots Cowbridge Road East</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704AA4D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7AA3070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B525F0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12:00 13:00 - 17:30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0215742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12:00 13:00 - 17:30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0C14D9E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12:00 13:00 - 17:30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16F72F9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12:00 13:00 - 17:30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23E9435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12:00 13:00 - 17:30</w:t>
            </w:r>
          </w:p>
        </w:tc>
        <w:tc>
          <w:tcPr>
            <w:tcW w:w="1416" w:type="dxa"/>
            <w:gridSpan w:val="2"/>
            <w:tcBorders>
              <w:top w:val="single" w:sz="4" w:space="0" w:color="000000"/>
              <w:left w:val="nil"/>
              <w:bottom w:val="single" w:sz="4" w:space="0" w:color="000000"/>
              <w:right w:val="single" w:sz="4" w:space="0" w:color="auto"/>
            </w:tcBorders>
            <w:vAlign w:val="center"/>
            <w:hideMark/>
          </w:tcPr>
          <w:p w14:paraId="46C9DBA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12:00 13:00 - 15:30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48FC72D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8A5B4E4"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69950C24"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15FFB53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DD7EDA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2FC4DE02"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2E85D15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5EBDA01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08:30 - 12:00   13:00 - 18:00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BB2B0B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08:30 - 12:00   13:00 - 18:00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01328F6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08:30 - 12:00   13:00 - 18:00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0BB47FB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08:30 - 12:00   13:00 - 18:00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26938D4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08:30 - 12:00   13:00 - 18:00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059EE7C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08:30 - 12:00   13:00 - 17:30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C2F2B8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E659B48"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0819851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602818J</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5612A8E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24E77E7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Boots Riverside Health Centre</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5FEA6F9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3FC7088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1A02B9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08:00 - 13:00</w:t>
            </w:r>
            <w:r>
              <w:rPr>
                <w:rFonts w:ascii="Calibri" w:eastAsia="Times New Roman" w:hAnsi="Calibri" w:cs="Arial"/>
                <w:sz w:val="16"/>
                <w:szCs w:val="16"/>
                <w:lang w:eastAsia="en-GB"/>
              </w:rPr>
              <w:br/>
              <w:t>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08B5314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08:00 - 13:00</w:t>
            </w:r>
            <w:r>
              <w:rPr>
                <w:rFonts w:ascii="Calibri" w:eastAsia="Times New Roman" w:hAnsi="Calibri" w:cs="Arial"/>
                <w:sz w:val="16"/>
                <w:szCs w:val="16"/>
                <w:lang w:eastAsia="en-GB"/>
              </w:rPr>
              <w:br/>
              <w:t>14:00 - 18:00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2A310A9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08:00 - 12:00</w:t>
            </w:r>
          </w:p>
        </w:tc>
        <w:tc>
          <w:tcPr>
            <w:tcW w:w="1412" w:type="dxa"/>
            <w:gridSpan w:val="2"/>
            <w:tcBorders>
              <w:top w:val="single" w:sz="4" w:space="0" w:color="000000"/>
              <w:left w:val="nil"/>
              <w:bottom w:val="single" w:sz="4" w:space="0" w:color="000000"/>
              <w:right w:val="single" w:sz="4" w:space="0" w:color="auto"/>
            </w:tcBorders>
            <w:vAlign w:val="center"/>
            <w:hideMark/>
          </w:tcPr>
          <w:p w14:paraId="36706F3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08:00 - 13:00</w:t>
            </w:r>
            <w:r>
              <w:rPr>
                <w:rFonts w:ascii="Calibri" w:eastAsia="Times New Roman" w:hAnsi="Calibri" w:cs="Arial"/>
                <w:sz w:val="16"/>
                <w:szCs w:val="16"/>
                <w:lang w:eastAsia="en-GB"/>
              </w:rPr>
              <w:br/>
              <w:t>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12667BF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08:00 - 13:00</w:t>
            </w:r>
            <w:r>
              <w:rPr>
                <w:rFonts w:ascii="Calibri" w:eastAsia="Times New Roman" w:hAnsi="Calibri" w:cs="Arial"/>
                <w:sz w:val="16"/>
                <w:szCs w:val="16"/>
                <w:lang w:eastAsia="en-GB"/>
              </w:rPr>
              <w:br/>
              <w:t>14:00 - 18:00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00ADE84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2AB3CA5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BD4EBA2"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2B03094A"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E881BD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36A2187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03929BDA"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2A71BA4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68035B6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3D7628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8ECA20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08:00 - 13:00   14.00 - 16.30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0910A21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08:00 - 13:00   14.00 - 18:00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5E27F58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08:00 - 13:00   14.00 - 18:00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E02D7F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E24FB9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134F58BD"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7260718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602514D</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78F0336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31F14E9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Caerau Lane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1160ABA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42.00</w:t>
            </w:r>
          </w:p>
        </w:tc>
        <w:tc>
          <w:tcPr>
            <w:tcW w:w="1169" w:type="dxa"/>
            <w:tcBorders>
              <w:top w:val="single" w:sz="4" w:space="0" w:color="000000"/>
              <w:left w:val="nil"/>
              <w:bottom w:val="single" w:sz="4" w:space="0" w:color="000000"/>
              <w:right w:val="single" w:sz="4" w:space="0" w:color="auto"/>
            </w:tcBorders>
            <w:noWrap/>
            <w:vAlign w:val="center"/>
            <w:hideMark/>
          </w:tcPr>
          <w:p w14:paraId="44A70E3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7D97CA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4D8F9AE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1936B5B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000000"/>
              <w:right w:val="single" w:sz="4" w:space="0" w:color="auto"/>
            </w:tcBorders>
            <w:noWrap/>
            <w:vAlign w:val="center"/>
            <w:hideMark/>
          </w:tcPr>
          <w:p w14:paraId="62E6C60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noWrap/>
            <w:vAlign w:val="center"/>
            <w:hideMark/>
          </w:tcPr>
          <w:p w14:paraId="4A473D5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2A0889F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24A2C43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6DC9D477"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660C18C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7920A85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74E72E6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3ED128B"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18ED3D9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06043D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8183AB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492737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164CAB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2C2901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D1DF37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111AA9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66EA1BE3"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72E8DE3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602870D</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6AA240C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D9C90F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Tesco Pharmacy Culverhouse Cross</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2A72898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42.00</w:t>
            </w:r>
          </w:p>
        </w:tc>
        <w:tc>
          <w:tcPr>
            <w:tcW w:w="1169" w:type="dxa"/>
            <w:tcBorders>
              <w:top w:val="single" w:sz="4" w:space="0" w:color="000000"/>
              <w:left w:val="nil"/>
              <w:bottom w:val="single" w:sz="4" w:space="0" w:color="000000"/>
              <w:right w:val="single" w:sz="4" w:space="0" w:color="auto"/>
            </w:tcBorders>
            <w:noWrap/>
            <w:vAlign w:val="center"/>
            <w:hideMark/>
          </w:tcPr>
          <w:p w14:paraId="07120D2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A90661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70A96C0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2EA2230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14:00 - 17:00</w:t>
            </w:r>
          </w:p>
        </w:tc>
        <w:tc>
          <w:tcPr>
            <w:tcW w:w="1412" w:type="dxa"/>
            <w:gridSpan w:val="2"/>
            <w:tcBorders>
              <w:top w:val="single" w:sz="4" w:space="0" w:color="000000"/>
              <w:left w:val="nil"/>
              <w:bottom w:val="single" w:sz="4" w:space="0" w:color="000000"/>
              <w:right w:val="single" w:sz="4" w:space="0" w:color="auto"/>
            </w:tcBorders>
            <w:vAlign w:val="center"/>
            <w:hideMark/>
          </w:tcPr>
          <w:p w14:paraId="1D27BA1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14:00 - 17:00</w:t>
            </w:r>
          </w:p>
        </w:tc>
        <w:tc>
          <w:tcPr>
            <w:tcW w:w="1419" w:type="dxa"/>
            <w:gridSpan w:val="2"/>
            <w:tcBorders>
              <w:top w:val="single" w:sz="4" w:space="0" w:color="000000"/>
              <w:left w:val="nil"/>
              <w:bottom w:val="single" w:sz="4" w:space="0" w:color="000000"/>
              <w:right w:val="single" w:sz="4" w:space="0" w:color="auto"/>
            </w:tcBorders>
            <w:vAlign w:val="center"/>
            <w:hideMark/>
          </w:tcPr>
          <w:p w14:paraId="181B9ED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14:00 - 17:00</w:t>
            </w:r>
          </w:p>
        </w:tc>
        <w:tc>
          <w:tcPr>
            <w:tcW w:w="1416" w:type="dxa"/>
            <w:gridSpan w:val="2"/>
            <w:tcBorders>
              <w:top w:val="single" w:sz="4" w:space="0" w:color="000000"/>
              <w:left w:val="nil"/>
              <w:bottom w:val="single" w:sz="4" w:space="0" w:color="000000"/>
              <w:right w:val="single" w:sz="4" w:space="0" w:color="auto"/>
            </w:tcBorders>
            <w:vAlign w:val="center"/>
            <w:hideMark/>
          </w:tcPr>
          <w:p w14:paraId="76A9495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14:00 - 17:00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576F610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69A151C"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3E3CC535"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C6651C1"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3C5B283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10237ECF"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3CC48C1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B3F0D5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CF0C62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BEDF14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24DEBF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2630F6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D5352C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09BDDD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10:00 - 16:00</w:t>
            </w:r>
          </w:p>
        </w:tc>
      </w:tr>
      <w:tr w:rsidR="00C021D9" w14:paraId="653387BA"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028C01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602807H</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065F285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0B9AC17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Lloyds Pharmacy </w:t>
            </w:r>
          </w:p>
          <w:p w14:paraId="4AFB8B8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Wilson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2F24897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27BA88C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3A1D048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15:00 - 18:00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064322D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15:00 - 18:00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589C07E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15:00 - 18:00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74E8813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15:00 - 18:00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16B2C3D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15:00 - 18:00</w:t>
            </w:r>
          </w:p>
        </w:tc>
        <w:tc>
          <w:tcPr>
            <w:tcW w:w="1416" w:type="dxa"/>
            <w:gridSpan w:val="2"/>
            <w:tcBorders>
              <w:top w:val="single" w:sz="4" w:space="0" w:color="000000"/>
              <w:left w:val="nil"/>
              <w:bottom w:val="single" w:sz="4" w:space="0" w:color="000000"/>
              <w:right w:val="single" w:sz="4" w:space="0" w:color="auto"/>
            </w:tcBorders>
            <w:vAlign w:val="center"/>
            <w:hideMark/>
          </w:tcPr>
          <w:p w14:paraId="631028C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13:00 - 17:30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7DF96F6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1269DE2D"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04EAC52A"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D9A808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6B416B3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47BB3BAE"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74ED514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F53430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83EDBF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E89D26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8595EF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79CB6E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2222E0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44BFE5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9050FEB"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027D142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602514K</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137AF1A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E95C3E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Pearns Pharmacy</w:t>
            </w:r>
          </w:p>
          <w:p w14:paraId="028947C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Wilson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6793E65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2FF7E51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41D1D5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08:45 - 12:45 13:30 - 17:30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7BFA847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08:45 - 12:45 13:30 - 17:30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54B8B37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08:45 - 12:45 13:30 - 17:30</w:t>
            </w:r>
          </w:p>
        </w:tc>
        <w:tc>
          <w:tcPr>
            <w:tcW w:w="1412" w:type="dxa"/>
            <w:gridSpan w:val="2"/>
            <w:tcBorders>
              <w:top w:val="single" w:sz="4" w:space="0" w:color="000000"/>
              <w:left w:val="nil"/>
              <w:bottom w:val="single" w:sz="4" w:space="0" w:color="000000"/>
              <w:right w:val="single" w:sz="4" w:space="0" w:color="auto"/>
            </w:tcBorders>
            <w:vAlign w:val="center"/>
            <w:hideMark/>
          </w:tcPr>
          <w:p w14:paraId="4CCA3F0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08:45 - 12:45 13:30 - 17:30</w:t>
            </w:r>
          </w:p>
        </w:tc>
        <w:tc>
          <w:tcPr>
            <w:tcW w:w="1419" w:type="dxa"/>
            <w:gridSpan w:val="2"/>
            <w:tcBorders>
              <w:top w:val="single" w:sz="4" w:space="0" w:color="000000"/>
              <w:left w:val="nil"/>
              <w:bottom w:val="single" w:sz="4" w:space="0" w:color="000000"/>
              <w:right w:val="single" w:sz="4" w:space="0" w:color="auto"/>
            </w:tcBorders>
            <w:vAlign w:val="center"/>
            <w:hideMark/>
          </w:tcPr>
          <w:p w14:paraId="05E135C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08:45 - 12:45 13:30 - 17:30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2BD9EB2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621E8C9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9B38AED"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62407CA4"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5EFA8A5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C9A7251"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5C205C2D"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607D008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36899D7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08:45 - 12:45 13:30 - 18:30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86A01E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08:45 - 12:45 13:30 - 18:30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5D8769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08:45 - 12:45 13:30 - 17:30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0C4AD0C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08:45 - 12:45 13:30 - 18:30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2D39472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08:45 - 12:45 13:30 - 18:30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96C691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F090FE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521E2655"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37E56B8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602514L</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775C0F0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21B9AE0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Pearns Pharmacy</w:t>
            </w:r>
          </w:p>
          <w:p w14:paraId="6B57043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Mill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04495D2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40.75</w:t>
            </w:r>
          </w:p>
        </w:tc>
        <w:tc>
          <w:tcPr>
            <w:tcW w:w="1169" w:type="dxa"/>
            <w:tcBorders>
              <w:top w:val="single" w:sz="4" w:space="0" w:color="000000"/>
              <w:left w:val="nil"/>
              <w:bottom w:val="single" w:sz="4" w:space="0" w:color="000000"/>
              <w:right w:val="single" w:sz="4" w:space="0" w:color="auto"/>
            </w:tcBorders>
            <w:noWrap/>
            <w:vAlign w:val="center"/>
            <w:hideMark/>
          </w:tcPr>
          <w:p w14:paraId="0D86F98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0E1FACE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7037D86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2974D44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08:45 - 13:00 14:00 - 17:30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01FFCBB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08:45 - 13:00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4D36AF8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08:45 - 13:00 14:00 - 18:00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45F8A08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6E33BE7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2CA402B9"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69B15BB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5418C80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55BED67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15365ADD"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61489CA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39ADF69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14:00 - 18:15</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1D94BA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14:00 - 18:15</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83929B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14:00 - 18:15</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7402A46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14:00 - 18:15</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2469E97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14:00 - 18:15</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E2E89B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A662B9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1CBAC8E9"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2B09412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602568A</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1D148B9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383C22A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Canna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760B4C9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2A8645D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C318AF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13ADF5D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13BDCCC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000000"/>
              <w:right w:val="single" w:sz="4" w:space="0" w:color="auto"/>
            </w:tcBorders>
            <w:noWrap/>
            <w:vAlign w:val="center"/>
            <w:hideMark/>
          </w:tcPr>
          <w:p w14:paraId="73655ED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9" w:type="dxa"/>
            <w:gridSpan w:val="2"/>
            <w:tcBorders>
              <w:top w:val="single" w:sz="4" w:space="0" w:color="000000"/>
              <w:left w:val="nil"/>
              <w:bottom w:val="single" w:sz="4" w:space="0" w:color="000000"/>
              <w:right w:val="single" w:sz="4" w:space="0" w:color="auto"/>
            </w:tcBorders>
            <w:noWrap/>
            <w:vAlign w:val="center"/>
            <w:hideMark/>
          </w:tcPr>
          <w:p w14:paraId="12F4E7B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586AA14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0DB9674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29245B83"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44BA512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AC771E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106A4C25"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58F7E003"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3859B24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4180E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A0267F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95BCAA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179FA3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F8063B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B7D968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C04A46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319D983"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72D784B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lastRenderedPageBreak/>
              <w:t>602016K</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510BF97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South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536E03B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Pontcanna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3E90D01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548B783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0590A85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w:t>
            </w:r>
            <w:r>
              <w:rPr>
                <w:rFonts w:ascii="Calibri" w:eastAsia="Times New Roman" w:hAnsi="Calibri" w:cs="Arial"/>
                <w:sz w:val="16"/>
                <w:szCs w:val="16"/>
                <w:lang w:eastAsia="en-GB"/>
              </w:rPr>
              <w:br/>
              <w:t>13:30 - 17:30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19978FF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w:t>
            </w:r>
            <w:r>
              <w:rPr>
                <w:rFonts w:ascii="Calibri" w:eastAsia="Times New Roman" w:hAnsi="Calibri" w:cs="Arial"/>
                <w:sz w:val="16"/>
                <w:szCs w:val="16"/>
                <w:lang w:eastAsia="en-GB"/>
              </w:rPr>
              <w:br/>
              <w:t>13:30 - 17:30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667BAA1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08:30 - 14:30</w:t>
            </w:r>
          </w:p>
        </w:tc>
        <w:tc>
          <w:tcPr>
            <w:tcW w:w="1412" w:type="dxa"/>
            <w:gridSpan w:val="2"/>
            <w:tcBorders>
              <w:top w:val="single" w:sz="4" w:space="0" w:color="000000"/>
              <w:left w:val="nil"/>
              <w:bottom w:val="single" w:sz="4" w:space="0" w:color="000000"/>
              <w:right w:val="single" w:sz="4" w:space="0" w:color="auto"/>
            </w:tcBorders>
            <w:vAlign w:val="center"/>
            <w:hideMark/>
          </w:tcPr>
          <w:p w14:paraId="3138EB4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w:t>
            </w:r>
            <w:r>
              <w:rPr>
                <w:rFonts w:ascii="Calibri" w:eastAsia="Times New Roman" w:hAnsi="Calibri" w:cs="Arial"/>
                <w:sz w:val="16"/>
                <w:szCs w:val="16"/>
                <w:lang w:eastAsia="en-GB"/>
              </w:rPr>
              <w:br/>
              <w:t>13:30 - 17:30</w:t>
            </w:r>
          </w:p>
        </w:tc>
        <w:tc>
          <w:tcPr>
            <w:tcW w:w="1419" w:type="dxa"/>
            <w:gridSpan w:val="2"/>
            <w:tcBorders>
              <w:top w:val="single" w:sz="4" w:space="0" w:color="000000"/>
              <w:left w:val="nil"/>
              <w:bottom w:val="single" w:sz="4" w:space="0" w:color="000000"/>
              <w:right w:val="single" w:sz="4" w:space="0" w:color="auto"/>
            </w:tcBorders>
            <w:vAlign w:val="center"/>
            <w:hideMark/>
          </w:tcPr>
          <w:p w14:paraId="6FA6E21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w:t>
            </w:r>
            <w:r>
              <w:rPr>
                <w:rFonts w:ascii="Calibri" w:eastAsia="Times New Roman" w:hAnsi="Calibri" w:cs="Arial"/>
                <w:sz w:val="16"/>
                <w:szCs w:val="16"/>
                <w:lang w:eastAsia="en-GB"/>
              </w:rPr>
              <w:br/>
              <w:t>13:30 - 17:30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703CDB1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69AD942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8BE1120"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51BA50A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73B4FD3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16426EB"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7A35AE5B"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786EC09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4BE0071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08:30 - 13:00 </w:t>
            </w:r>
            <w:r>
              <w:rPr>
                <w:rFonts w:ascii="Calibri" w:eastAsia="Times New Roman" w:hAnsi="Calibri" w:cs="Arial"/>
                <w:sz w:val="16"/>
                <w:szCs w:val="16"/>
                <w:lang w:eastAsia="en-GB"/>
              </w:rPr>
              <w:br w:type="page"/>
              <w:t>13:30 - 17:30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C7D2F9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w:t>
            </w:r>
            <w:r>
              <w:rPr>
                <w:rFonts w:ascii="Calibri" w:eastAsia="Times New Roman" w:hAnsi="Calibri" w:cs="Arial"/>
                <w:sz w:val="16"/>
                <w:szCs w:val="16"/>
                <w:lang w:eastAsia="en-GB"/>
              </w:rPr>
              <w:br w:type="page"/>
              <w:t xml:space="preserve"> 13:30 - 17:30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998523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08:30 - 14:30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0397844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w:t>
            </w:r>
            <w:r>
              <w:rPr>
                <w:rFonts w:ascii="Calibri" w:eastAsia="Times New Roman" w:hAnsi="Calibri" w:cs="Arial"/>
                <w:sz w:val="16"/>
                <w:szCs w:val="16"/>
                <w:lang w:eastAsia="en-GB"/>
              </w:rPr>
              <w:br w:type="page"/>
              <w:t xml:space="preserve"> 13:30 - 17:30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66B9EE9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08:30 - 13:00 </w:t>
            </w:r>
            <w:r>
              <w:rPr>
                <w:rFonts w:ascii="Calibri" w:eastAsia="Times New Roman" w:hAnsi="Calibri" w:cs="Arial"/>
                <w:sz w:val="16"/>
                <w:szCs w:val="16"/>
                <w:lang w:eastAsia="en-GB"/>
              </w:rPr>
              <w:br w:type="page"/>
              <w:t>13:30 - 17:30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602A7B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EE8EC4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26B8B2D2"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6EA3D99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602806F</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1EDF049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CC0F2F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Asda Pharmacy </w:t>
            </w:r>
          </w:p>
          <w:p w14:paraId="4136F30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Coryton</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741758CB"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3EB6557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3FA6C0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14:30 - 18:00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6910588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14:30 - 18:00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3320642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14:30 - 18:00</w:t>
            </w:r>
          </w:p>
        </w:tc>
        <w:tc>
          <w:tcPr>
            <w:tcW w:w="1412" w:type="dxa"/>
            <w:gridSpan w:val="2"/>
            <w:tcBorders>
              <w:top w:val="single" w:sz="4" w:space="0" w:color="000000"/>
              <w:left w:val="nil"/>
              <w:bottom w:val="single" w:sz="4" w:space="0" w:color="000000"/>
              <w:right w:val="single" w:sz="4" w:space="0" w:color="auto"/>
            </w:tcBorders>
            <w:vAlign w:val="center"/>
            <w:hideMark/>
          </w:tcPr>
          <w:p w14:paraId="7CAEAF0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14:30 - 18:00</w:t>
            </w:r>
          </w:p>
        </w:tc>
        <w:tc>
          <w:tcPr>
            <w:tcW w:w="1419" w:type="dxa"/>
            <w:gridSpan w:val="2"/>
            <w:tcBorders>
              <w:top w:val="single" w:sz="4" w:space="0" w:color="000000"/>
              <w:left w:val="nil"/>
              <w:bottom w:val="single" w:sz="4" w:space="0" w:color="000000"/>
              <w:right w:val="single" w:sz="4" w:space="0" w:color="auto"/>
            </w:tcBorders>
            <w:vAlign w:val="center"/>
            <w:hideMark/>
          </w:tcPr>
          <w:p w14:paraId="547D028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14:30 - 18:00</w:t>
            </w:r>
          </w:p>
        </w:tc>
        <w:tc>
          <w:tcPr>
            <w:tcW w:w="1416" w:type="dxa"/>
            <w:gridSpan w:val="2"/>
            <w:tcBorders>
              <w:top w:val="single" w:sz="4" w:space="0" w:color="000000"/>
              <w:left w:val="nil"/>
              <w:bottom w:val="single" w:sz="4" w:space="0" w:color="000000"/>
              <w:right w:val="single" w:sz="4" w:space="0" w:color="auto"/>
            </w:tcBorders>
            <w:vAlign w:val="center"/>
            <w:hideMark/>
          </w:tcPr>
          <w:p w14:paraId="5AD7837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14:30 - 16:00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18DB0E1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0F5DCAFF"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16B0DEA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1A5BA27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87550C1"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57A7D08E"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BF8CC9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72CEE55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08:00 - 12:30 14:30 - 22:00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06407AC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08:00 - 12:30 14:30 - 22:00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2B2945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08:00 - 12:30 14:30 - 22:00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47F166A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08:00 - 12:30 14:30 - 22:00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12FB221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08:00 - 12:30 14:30 - 22:00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475823B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08:00 - 12:30 14:30 - 22:00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1B5E653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10:00 - 12:30   14:30 - 16:00</w:t>
            </w:r>
          </w:p>
        </w:tc>
      </w:tr>
      <w:tr w:rsidR="00C021D9" w14:paraId="7C2D63DA"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C414E3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602019A</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1062429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24A14D9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Bainbridge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5B2A25D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40.50</w:t>
            </w:r>
          </w:p>
        </w:tc>
        <w:tc>
          <w:tcPr>
            <w:tcW w:w="1169" w:type="dxa"/>
            <w:tcBorders>
              <w:top w:val="single" w:sz="4" w:space="0" w:color="000000"/>
              <w:left w:val="nil"/>
              <w:bottom w:val="single" w:sz="4" w:space="0" w:color="000000"/>
              <w:right w:val="single" w:sz="4" w:space="0" w:color="auto"/>
            </w:tcBorders>
            <w:noWrap/>
            <w:vAlign w:val="center"/>
            <w:hideMark/>
          </w:tcPr>
          <w:p w14:paraId="7AFAABB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D9A093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19610B8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3B05087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4B21F0A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701A1E7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350EC4D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12A26C9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6B52A071"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745C917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1E45520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6468C19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21D89388"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0CA086A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55B4C2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A853B9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44B543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8EA855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80A3FC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C3CD78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52659D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5699D4B9"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5BE2067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602816N</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091FB19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1FEBDE7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Boots Whitchurch</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36C17BEE"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37BC1C0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68AEAD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5A61095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57AFF50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145887C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235EB76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16" w:type="dxa"/>
            <w:gridSpan w:val="2"/>
            <w:tcBorders>
              <w:top w:val="single" w:sz="4" w:space="0" w:color="000000"/>
              <w:left w:val="nil"/>
              <w:bottom w:val="single" w:sz="4" w:space="0" w:color="000000"/>
              <w:right w:val="single" w:sz="4" w:space="0" w:color="auto"/>
            </w:tcBorders>
            <w:vAlign w:val="center"/>
            <w:hideMark/>
          </w:tcPr>
          <w:p w14:paraId="03AE2AB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14:00 - 15:30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4BAA12A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A694E53"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6682B16B"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EDD4B8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AA69AC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748DD635"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005F956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6DF29A4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08:00 - 13:00   14:00 - 18:30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0F149EA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08:00 - 13:00   14:00 - 18:30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517829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08:00 - 13:00   14:00 - 18:30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11FA132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08:00 - 13:00   14:00 - 18:30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41BE9F4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08:00 - 13:00   14:00 - 18:30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48F06EC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AD5E2C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98DA407"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04EE86D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602489A</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4DB6D06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7965B60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Creigiau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4E05876E"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4529731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6230CA9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04D8D42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0D4FB91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12" w:type="dxa"/>
            <w:gridSpan w:val="2"/>
            <w:tcBorders>
              <w:top w:val="single" w:sz="4" w:space="0" w:color="000000"/>
              <w:left w:val="nil"/>
              <w:bottom w:val="single" w:sz="4" w:space="0" w:color="000000"/>
              <w:right w:val="single" w:sz="4" w:space="0" w:color="auto"/>
            </w:tcBorders>
            <w:vAlign w:val="center"/>
            <w:hideMark/>
          </w:tcPr>
          <w:p w14:paraId="467C171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19" w:type="dxa"/>
            <w:gridSpan w:val="2"/>
            <w:tcBorders>
              <w:top w:val="single" w:sz="4" w:space="0" w:color="000000"/>
              <w:left w:val="nil"/>
              <w:bottom w:val="single" w:sz="4" w:space="0" w:color="000000"/>
              <w:right w:val="single" w:sz="4" w:space="0" w:color="auto"/>
            </w:tcBorders>
            <w:vAlign w:val="center"/>
            <w:hideMark/>
          </w:tcPr>
          <w:p w14:paraId="218EE3F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01CC31F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11A5327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C7FAFC8"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19DA4BC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6699E3B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38C1B5D4"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7A695164"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35645F3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66A4A9F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61A9B9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5D0B92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435C660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4AC24E3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13:30 - 18:00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1B3E841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485F565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2B3720B7"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987484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602512A</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75EC7D3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0C8DAF3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Danescourt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3288401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300F0A5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C0CABF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08:45 - 12:45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1D2DB59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08:45 - 12:45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7D9D192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08:45 - 12:45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0EDBEF0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08:45 - 12:45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266E8A9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08:45 - 12:45 14:00 - 18:00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79C74D3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6DE9538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10124DD3"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7CEED3E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7143894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6F62C2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D08B965"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02BD40B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316985F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08:30 - 12:45 14:00 - 18:15</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845903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08:30 - 12:45 14:00 - 18:15</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FB9F73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08:30 - 12:45 14:00 - 18:15</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7C4D575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08:30 - 12:45 14:00 - 18:15</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3E1C691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08:30 - 12:45 14:00 - 18:15</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2F8721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03DDB4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5A875C7F"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2940441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602223A</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2180CED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58B050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Llandaff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214E083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499CD6F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20EF2D5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12AB9FF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5D24075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12" w:type="dxa"/>
            <w:gridSpan w:val="2"/>
            <w:tcBorders>
              <w:top w:val="single" w:sz="4" w:space="0" w:color="000000"/>
              <w:left w:val="nil"/>
              <w:bottom w:val="single" w:sz="4" w:space="0" w:color="000000"/>
              <w:right w:val="single" w:sz="4" w:space="0" w:color="auto"/>
            </w:tcBorders>
            <w:vAlign w:val="center"/>
            <w:hideMark/>
          </w:tcPr>
          <w:p w14:paraId="4A3A7B2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19" w:type="dxa"/>
            <w:gridSpan w:val="2"/>
            <w:tcBorders>
              <w:top w:val="single" w:sz="4" w:space="0" w:color="000000"/>
              <w:left w:val="nil"/>
              <w:bottom w:val="single" w:sz="4" w:space="0" w:color="000000"/>
              <w:right w:val="single" w:sz="4" w:space="0" w:color="auto"/>
            </w:tcBorders>
            <w:vAlign w:val="center"/>
            <w:hideMark/>
          </w:tcPr>
          <w:p w14:paraId="4094871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1D0FBFC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003DB64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9A0DDA2"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15F45AA5"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5A461A05"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E6126DB"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001C6EC3"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DD1E21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7DB6F7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850DC3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11BE5B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6498EB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EF5543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4AC388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E01E45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355E940A"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7B633A0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602623A</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28B64F3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750A238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Health Plus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210212D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50.50</w:t>
            </w:r>
          </w:p>
        </w:tc>
        <w:tc>
          <w:tcPr>
            <w:tcW w:w="1169" w:type="dxa"/>
            <w:tcBorders>
              <w:top w:val="single" w:sz="4" w:space="0" w:color="000000"/>
              <w:left w:val="nil"/>
              <w:bottom w:val="single" w:sz="4" w:space="0" w:color="000000"/>
              <w:right w:val="single" w:sz="4" w:space="0" w:color="auto"/>
            </w:tcBorders>
            <w:noWrap/>
            <w:vAlign w:val="center"/>
            <w:hideMark/>
          </w:tcPr>
          <w:p w14:paraId="6799947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09E0F18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159E4AD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74A9030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12E6DC5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19" w:type="dxa"/>
            <w:gridSpan w:val="2"/>
            <w:tcBorders>
              <w:top w:val="single" w:sz="4" w:space="0" w:color="000000"/>
              <w:left w:val="nil"/>
              <w:bottom w:val="single" w:sz="4" w:space="0" w:color="000000"/>
              <w:right w:val="single" w:sz="4" w:space="0" w:color="auto"/>
            </w:tcBorders>
            <w:vAlign w:val="center"/>
            <w:hideMark/>
          </w:tcPr>
          <w:p w14:paraId="3DA0E97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6129B34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17D083D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089FB3F"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086221A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7B2756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544E2FC1"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568AE251"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29192A2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572BCC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DC141B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A02C30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700AA3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F8E4B6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0EEB4D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09B4A9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6235CF84"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0878642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602807K</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0DA6CB7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52D9516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Lloyds Pharmacy Merthyr Road Whitchurch</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7614B1D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12F73B4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31A9F93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w:t>
            </w:r>
            <w:r>
              <w:rPr>
                <w:rFonts w:ascii="Calibri" w:eastAsia="Times New Roman" w:hAnsi="Calibri" w:cs="Arial"/>
                <w:sz w:val="16"/>
                <w:szCs w:val="16"/>
                <w:lang w:eastAsia="en-GB"/>
              </w:rPr>
              <w:br/>
              <w:t>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60CABEC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w:t>
            </w:r>
            <w:r>
              <w:rPr>
                <w:rFonts w:ascii="Calibri" w:eastAsia="Times New Roman" w:hAnsi="Calibri" w:cs="Arial"/>
                <w:sz w:val="16"/>
                <w:szCs w:val="16"/>
                <w:lang w:eastAsia="en-GB"/>
              </w:rPr>
              <w:br/>
              <w:t>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5D066FB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w:t>
            </w:r>
            <w:r>
              <w:rPr>
                <w:rFonts w:ascii="Calibri" w:eastAsia="Times New Roman" w:hAnsi="Calibri" w:cs="Arial"/>
                <w:sz w:val="16"/>
                <w:szCs w:val="16"/>
                <w:lang w:eastAsia="en-GB"/>
              </w:rPr>
              <w:br/>
              <w:t>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5AF80CD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w:t>
            </w:r>
            <w:r>
              <w:rPr>
                <w:rFonts w:ascii="Calibri" w:eastAsia="Times New Roman" w:hAnsi="Calibri" w:cs="Arial"/>
                <w:sz w:val="16"/>
                <w:szCs w:val="16"/>
                <w:lang w:eastAsia="en-GB"/>
              </w:rPr>
              <w:br/>
              <w:t>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791102F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w:t>
            </w:r>
            <w:r>
              <w:rPr>
                <w:rFonts w:ascii="Calibri" w:eastAsia="Times New Roman" w:hAnsi="Calibri" w:cs="Arial"/>
                <w:sz w:val="16"/>
                <w:szCs w:val="16"/>
                <w:lang w:eastAsia="en-GB"/>
              </w:rPr>
              <w:br/>
              <w:t>13:00 - 18:00</w:t>
            </w:r>
          </w:p>
        </w:tc>
        <w:tc>
          <w:tcPr>
            <w:tcW w:w="1416" w:type="dxa"/>
            <w:gridSpan w:val="2"/>
            <w:tcBorders>
              <w:top w:val="single" w:sz="4" w:space="0" w:color="000000"/>
              <w:left w:val="nil"/>
              <w:bottom w:val="single" w:sz="4" w:space="0" w:color="000000"/>
              <w:right w:val="single" w:sz="4" w:space="0" w:color="auto"/>
            </w:tcBorders>
            <w:vAlign w:val="center"/>
            <w:hideMark/>
          </w:tcPr>
          <w:p w14:paraId="1CAAE74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6376DE2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705EEC2"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4566E82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17E3E00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1C17370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41A7CFE1"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DDEC2A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5DD76C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C2367E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5568D3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08:30 - 18:30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47477E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08:30 - 18:30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329D67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08:30 - 18:30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714F6A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A48698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F0253DC"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79A56C9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lastRenderedPageBreak/>
              <w:t>602807C</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5A435D6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562369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Lloyds Pharmacy</w:t>
            </w:r>
          </w:p>
          <w:p w14:paraId="03D43AD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Park Road Whitchurch</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7FE1D54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15BF946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1AC1EA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09:00 - 13:30 15:30 - 18:00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73220A6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09:00 - 13:30 15:30 - 18:00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7BF6ABF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09:00 - 13:30 15:30 - 18:00</w:t>
            </w:r>
          </w:p>
        </w:tc>
        <w:tc>
          <w:tcPr>
            <w:tcW w:w="1412" w:type="dxa"/>
            <w:gridSpan w:val="2"/>
            <w:tcBorders>
              <w:top w:val="single" w:sz="4" w:space="0" w:color="000000"/>
              <w:left w:val="nil"/>
              <w:bottom w:val="single" w:sz="4" w:space="0" w:color="000000"/>
              <w:right w:val="single" w:sz="4" w:space="0" w:color="auto"/>
            </w:tcBorders>
            <w:vAlign w:val="center"/>
            <w:hideMark/>
          </w:tcPr>
          <w:p w14:paraId="4130481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09:00 - 13:30 15:30 - 18:00</w:t>
            </w:r>
          </w:p>
        </w:tc>
        <w:tc>
          <w:tcPr>
            <w:tcW w:w="1419" w:type="dxa"/>
            <w:gridSpan w:val="2"/>
            <w:tcBorders>
              <w:top w:val="single" w:sz="4" w:space="0" w:color="000000"/>
              <w:left w:val="nil"/>
              <w:bottom w:val="single" w:sz="4" w:space="0" w:color="000000"/>
              <w:right w:val="single" w:sz="4" w:space="0" w:color="auto"/>
            </w:tcBorders>
            <w:vAlign w:val="center"/>
            <w:hideMark/>
          </w:tcPr>
          <w:p w14:paraId="744ABC6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09:00 - 13:30 15:30 - 18:00</w:t>
            </w:r>
          </w:p>
        </w:tc>
        <w:tc>
          <w:tcPr>
            <w:tcW w:w="1416" w:type="dxa"/>
            <w:gridSpan w:val="2"/>
            <w:tcBorders>
              <w:top w:val="single" w:sz="4" w:space="0" w:color="000000"/>
              <w:left w:val="nil"/>
              <w:bottom w:val="single" w:sz="4" w:space="0" w:color="000000"/>
              <w:right w:val="single" w:sz="4" w:space="0" w:color="auto"/>
            </w:tcBorders>
            <w:vAlign w:val="center"/>
            <w:hideMark/>
          </w:tcPr>
          <w:p w14:paraId="722B772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15:30 - 17:30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088770E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14316DEB"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2757FCE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758D3B65"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62C94F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375BAA90"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2AB203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9FED56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04D0BC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6C9E92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B031DF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1A0823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5AF4AE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0D91CC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E86E8FB"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47529B5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602808E</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471E14F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816F3F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Lloyds Pharmacy Fairwater</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53991E7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3432CB1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1BA627F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50581D2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5F64172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14:30 - 18:00</w:t>
            </w:r>
          </w:p>
        </w:tc>
        <w:tc>
          <w:tcPr>
            <w:tcW w:w="1412" w:type="dxa"/>
            <w:gridSpan w:val="2"/>
            <w:tcBorders>
              <w:top w:val="single" w:sz="4" w:space="0" w:color="000000"/>
              <w:left w:val="nil"/>
              <w:bottom w:val="single" w:sz="4" w:space="0" w:color="000000"/>
              <w:right w:val="single" w:sz="4" w:space="0" w:color="auto"/>
            </w:tcBorders>
            <w:vAlign w:val="center"/>
            <w:hideMark/>
          </w:tcPr>
          <w:p w14:paraId="1DD8D17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14:30 - 18:00</w:t>
            </w:r>
          </w:p>
        </w:tc>
        <w:tc>
          <w:tcPr>
            <w:tcW w:w="1419" w:type="dxa"/>
            <w:gridSpan w:val="2"/>
            <w:tcBorders>
              <w:top w:val="single" w:sz="4" w:space="0" w:color="000000"/>
              <w:left w:val="nil"/>
              <w:bottom w:val="single" w:sz="4" w:space="0" w:color="000000"/>
              <w:right w:val="single" w:sz="4" w:space="0" w:color="auto"/>
            </w:tcBorders>
            <w:vAlign w:val="center"/>
            <w:hideMark/>
          </w:tcPr>
          <w:p w14:paraId="21E79E3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14:30 - 18:00</w:t>
            </w:r>
          </w:p>
        </w:tc>
        <w:tc>
          <w:tcPr>
            <w:tcW w:w="1416" w:type="dxa"/>
            <w:gridSpan w:val="2"/>
            <w:tcBorders>
              <w:top w:val="single" w:sz="4" w:space="0" w:color="000000"/>
              <w:left w:val="nil"/>
              <w:bottom w:val="single" w:sz="4" w:space="0" w:color="000000"/>
              <w:right w:val="single" w:sz="4" w:space="0" w:color="auto"/>
            </w:tcBorders>
            <w:vAlign w:val="center"/>
            <w:hideMark/>
          </w:tcPr>
          <w:p w14:paraId="4DAD665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103CFB7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F8AE152"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68A4B13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113032A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113DAB5"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71BA0168"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07D4E0B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CBD2A6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00FFF5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0C4861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E595BD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524995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81ADFA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A0366C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0DD49831"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4DF2D86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602852I</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7864206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343B485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Well Pharmacy Radyr</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6151F08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1F84CE6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4EFD03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3F14872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1192D37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000000"/>
              <w:right w:val="single" w:sz="4" w:space="0" w:color="auto"/>
            </w:tcBorders>
            <w:noWrap/>
            <w:vAlign w:val="center"/>
            <w:hideMark/>
          </w:tcPr>
          <w:p w14:paraId="48C666D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9" w:type="dxa"/>
            <w:gridSpan w:val="2"/>
            <w:tcBorders>
              <w:top w:val="single" w:sz="4" w:space="0" w:color="000000"/>
              <w:left w:val="nil"/>
              <w:bottom w:val="single" w:sz="4" w:space="0" w:color="000000"/>
              <w:right w:val="single" w:sz="4" w:space="0" w:color="auto"/>
            </w:tcBorders>
            <w:noWrap/>
            <w:vAlign w:val="center"/>
            <w:hideMark/>
          </w:tcPr>
          <w:p w14:paraId="7E637F2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4A11AE1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2351A28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8EDA79A"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2FDF5B6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6C262D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A55FB6B"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1F9AE548"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145AB17B"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657899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746FBE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93B1C8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BC2E6D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F1EF15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11C8C2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F39012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C3AA35C"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5043C3F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602516B </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52C0DE4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4C1C089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Pentyrch Pharmacy </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6A821E3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43.00</w:t>
            </w:r>
          </w:p>
        </w:tc>
        <w:tc>
          <w:tcPr>
            <w:tcW w:w="1169" w:type="dxa"/>
            <w:tcBorders>
              <w:top w:val="single" w:sz="4" w:space="0" w:color="000000"/>
              <w:left w:val="nil"/>
              <w:bottom w:val="single" w:sz="4" w:space="0" w:color="000000"/>
              <w:right w:val="single" w:sz="4" w:space="0" w:color="auto"/>
            </w:tcBorders>
            <w:noWrap/>
            <w:vAlign w:val="center"/>
            <w:hideMark/>
          </w:tcPr>
          <w:p w14:paraId="1CCDCE8B"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1E79649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3213DFC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3F7B90C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026D2B5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31233E7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301FD04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4F86AA2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2792DE4"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7099F0A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5CB2877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804CF9B"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7B9D372F"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95B0A0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149C5D1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4DAB740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458EE70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1641605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6518D16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4271FD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6BFC208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70F45786"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3DE2631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602139D</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30FF317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West</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491A1F4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Tongwynlais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0A2E368B"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29EF26D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6B3119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2EB6291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1D5243E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7803966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3CAE1B6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13:00 - 17:30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7E5E0F9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7987FCA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12073299"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68CEAD2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5BD6C781"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59B07B2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2705D9A"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0BC3DB2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73BA2FF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48CF12A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4B0BC80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13:00 - 17:30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1E052D8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13:00 - 17:30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47AF5E7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r>
              <w:rPr>
                <w:rFonts w:ascii="Calibri" w:eastAsia="Times New Roman" w:hAnsi="Calibri" w:cs="Arial"/>
                <w:sz w:val="16"/>
                <w:szCs w:val="16"/>
                <w:lang w:eastAsia="en-GB"/>
              </w:rPr>
              <w:br/>
              <w:t>13:00 - 17:30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DC8DD3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DDA7D5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5D6760C6"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392CCFB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602175A</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0729081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Central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4C28B3D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Evans Pharmacy </w:t>
            </w:r>
          </w:p>
          <w:p w14:paraId="5089577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West Quay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3FED47D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44.00</w:t>
            </w:r>
          </w:p>
        </w:tc>
        <w:tc>
          <w:tcPr>
            <w:tcW w:w="1169" w:type="dxa"/>
            <w:tcBorders>
              <w:top w:val="single" w:sz="4" w:space="0" w:color="000000"/>
              <w:left w:val="nil"/>
              <w:bottom w:val="single" w:sz="4" w:space="0" w:color="000000"/>
              <w:right w:val="single" w:sz="4" w:space="0" w:color="auto"/>
            </w:tcBorders>
            <w:noWrap/>
            <w:vAlign w:val="center"/>
            <w:hideMark/>
          </w:tcPr>
          <w:p w14:paraId="0CE92A1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6800964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20" w:type="dxa"/>
            <w:gridSpan w:val="2"/>
            <w:tcBorders>
              <w:top w:val="single" w:sz="4" w:space="0" w:color="000000"/>
              <w:left w:val="nil"/>
              <w:bottom w:val="single" w:sz="4" w:space="0" w:color="000000"/>
              <w:right w:val="single" w:sz="4" w:space="0" w:color="auto"/>
            </w:tcBorders>
            <w:vAlign w:val="center"/>
            <w:hideMark/>
          </w:tcPr>
          <w:p w14:paraId="799257D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20" w:type="dxa"/>
            <w:gridSpan w:val="2"/>
            <w:tcBorders>
              <w:top w:val="single" w:sz="4" w:space="0" w:color="000000"/>
              <w:left w:val="nil"/>
              <w:bottom w:val="single" w:sz="4" w:space="0" w:color="000000"/>
              <w:right w:val="single" w:sz="4" w:space="0" w:color="auto"/>
            </w:tcBorders>
            <w:vAlign w:val="center"/>
            <w:hideMark/>
          </w:tcPr>
          <w:p w14:paraId="7E41C85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12" w:type="dxa"/>
            <w:gridSpan w:val="2"/>
            <w:tcBorders>
              <w:top w:val="single" w:sz="4" w:space="0" w:color="000000"/>
              <w:left w:val="nil"/>
              <w:bottom w:val="single" w:sz="4" w:space="0" w:color="000000"/>
              <w:right w:val="single" w:sz="4" w:space="0" w:color="auto"/>
            </w:tcBorders>
            <w:vAlign w:val="center"/>
            <w:hideMark/>
          </w:tcPr>
          <w:p w14:paraId="3CAEE88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19" w:type="dxa"/>
            <w:gridSpan w:val="2"/>
            <w:tcBorders>
              <w:top w:val="single" w:sz="4" w:space="0" w:color="000000"/>
              <w:left w:val="nil"/>
              <w:bottom w:val="single" w:sz="4" w:space="0" w:color="000000"/>
              <w:right w:val="single" w:sz="4" w:space="0" w:color="auto"/>
            </w:tcBorders>
            <w:vAlign w:val="center"/>
            <w:hideMark/>
          </w:tcPr>
          <w:p w14:paraId="1D1C3F5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16" w:type="dxa"/>
            <w:gridSpan w:val="2"/>
            <w:tcBorders>
              <w:top w:val="single" w:sz="4" w:space="0" w:color="000000"/>
              <w:left w:val="nil"/>
              <w:bottom w:val="single" w:sz="4" w:space="0" w:color="000000"/>
              <w:right w:val="single" w:sz="4" w:space="0" w:color="auto"/>
            </w:tcBorders>
            <w:vAlign w:val="center"/>
            <w:hideMark/>
          </w:tcPr>
          <w:p w14:paraId="5FB5D4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09:00-13:00</w:t>
            </w:r>
          </w:p>
        </w:tc>
        <w:tc>
          <w:tcPr>
            <w:tcW w:w="1273" w:type="dxa"/>
            <w:gridSpan w:val="2"/>
            <w:tcBorders>
              <w:top w:val="single" w:sz="4" w:space="0" w:color="000000"/>
              <w:left w:val="nil"/>
              <w:bottom w:val="single" w:sz="4" w:space="0" w:color="000000"/>
              <w:right w:val="single" w:sz="4" w:space="0" w:color="auto"/>
            </w:tcBorders>
            <w:vAlign w:val="center"/>
            <w:hideMark/>
          </w:tcPr>
          <w:p w14:paraId="5DB755E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474F2091"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61F86E4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12ACB98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7550D1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4E3D790"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13D18F9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697EA3B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A5B9A1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73352C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36FC524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08ED0C1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08:30-18:00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08F4AA5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2D378DF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04AA4499"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41A1259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602816I</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5E2C775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Central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AEBEC4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Boots Holton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77D409D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1C89E01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06760C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48F8542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79C186A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1056B13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68DA80F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16" w:type="dxa"/>
            <w:gridSpan w:val="2"/>
            <w:tcBorders>
              <w:top w:val="single" w:sz="4" w:space="0" w:color="000000"/>
              <w:left w:val="nil"/>
              <w:bottom w:val="single" w:sz="4" w:space="0" w:color="000000"/>
              <w:right w:val="single" w:sz="4" w:space="0" w:color="auto"/>
            </w:tcBorders>
            <w:vAlign w:val="center"/>
            <w:hideMark/>
          </w:tcPr>
          <w:p w14:paraId="2191B38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14:00 - 15:30</w:t>
            </w:r>
          </w:p>
        </w:tc>
        <w:tc>
          <w:tcPr>
            <w:tcW w:w="1273" w:type="dxa"/>
            <w:gridSpan w:val="2"/>
            <w:tcBorders>
              <w:top w:val="single" w:sz="4" w:space="0" w:color="000000"/>
              <w:left w:val="nil"/>
              <w:bottom w:val="single" w:sz="4" w:space="0" w:color="000000"/>
              <w:right w:val="single" w:sz="4" w:space="0" w:color="auto"/>
            </w:tcBorders>
            <w:vAlign w:val="center"/>
            <w:hideMark/>
          </w:tcPr>
          <w:p w14:paraId="6DA2412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22BB8B7"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13164361"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582390A4"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6770CA74"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D13AD0A"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26E23DD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506C0A0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BCA422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957C8A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37BA62C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046C1C2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08:30 - 17:30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4281A07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08:30 - 17:30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01F514C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10:00 - 16:00</w:t>
            </w:r>
          </w:p>
        </w:tc>
      </w:tr>
      <w:tr w:rsidR="00C021D9" w14:paraId="1CE56652"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525A1FD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602517D</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668395E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Central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119A35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Evans Pharmacy</w:t>
            </w:r>
          </w:p>
          <w:p w14:paraId="2F9D23B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Park Crescent</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3A6F0F4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51A9BF5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81DDD9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2CCBEA0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25DD596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14:00 - 17:00</w:t>
            </w:r>
          </w:p>
        </w:tc>
        <w:tc>
          <w:tcPr>
            <w:tcW w:w="1412" w:type="dxa"/>
            <w:gridSpan w:val="2"/>
            <w:tcBorders>
              <w:top w:val="single" w:sz="4" w:space="0" w:color="000000"/>
              <w:left w:val="nil"/>
              <w:bottom w:val="single" w:sz="4" w:space="0" w:color="000000"/>
              <w:right w:val="single" w:sz="4" w:space="0" w:color="auto"/>
            </w:tcBorders>
            <w:vAlign w:val="center"/>
            <w:hideMark/>
          </w:tcPr>
          <w:p w14:paraId="37BC400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4BF1246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6" w:type="dxa"/>
            <w:gridSpan w:val="2"/>
            <w:tcBorders>
              <w:top w:val="single" w:sz="4" w:space="0" w:color="000000"/>
              <w:left w:val="nil"/>
              <w:bottom w:val="single" w:sz="4" w:space="0" w:color="000000"/>
              <w:right w:val="single" w:sz="4" w:space="0" w:color="auto"/>
            </w:tcBorders>
            <w:vAlign w:val="center"/>
            <w:hideMark/>
          </w:tcPr>
          <w:p w14:paraId="7D0F92A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09:00 - 12:00    </w:t>
            </w:r>
          </w:p>
        </w:tc>
        <w:tc>
          <w:tcPr>
            <w:tcW w:w="1273" w:type="dxa"/>
            <w:gridSpan w:val="2"/>
            <w:tcBorders>
              <w:top w:val="single" w:sz="4" w:space="0" w:color="000000"/>
              <w:left w:val="nil"/>
              <w:bottom w:val="single" w:sz="4" w:space="0" w:color="000000"/>
              <w:right w:val="single" w:sz="4" w:space="0" w:color="auto"/>
            </w:tcBorders>
            <w:vAlign w:val="center"/>
            <w:hideMark/>
          </w:tcPr>
          <w:p w14:paraId="597948A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3C7C39CE"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279312F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504C140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11AA340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4999D8D0"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2E1F843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0A203E5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1203B1C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2C8A91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570AAF5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4FF679D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3DAD455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3B4AB7D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73EBFB95"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04C2673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602435B</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30FF22A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Central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46E0D01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Brockway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399C968B"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40.25</w:t>
            </w:r>
          </w:p>
        </w:tc>
        <w:tc>
          <w:tcPr>
            <w:tcW w:w="1169" w:type="dxa"/>
            <w:tcBorders>
              <w:top w:val="single" w:sz="4" w:space="0" w:color="000000"/>
              <w:left w:val="nil"/>
              <w:bottom w:val="single" w:sz="4" w:space="0" w:color="000000"/>
              <w:right w:val="single" w:sz="4" w:space="0" w:color="auto"/>
            </w:tcBorders>
            <w:noWrap/>
            <w:vAlign w:val="center"/>
            <w:hideMark/>
          </w:tcPr>
          <w:p w14:paraId="47481A3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3422103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14:15 - 17:30</w:t>
            </w:r>
          </w:p>
        </w:tc>
        <w:tc>
          <w:tcPr>
            <w:tcW w:w="1420" w:type="dxa"/>
            <w:gridSpan w:val="2"/>
            <w:tcBorders>
              <w:top w:val="single" w:sz="4" w:space="0" w:color="000000"/>
              <w:left w:val="nil"/>
              <w:bottom w:val="single" w:sz="4" w:space="0" w:color="000000"/>
              <w:right w:val="single" w:sz="4" w:space="0" w:color="auto"/>
            </w:tcBorders>
            <w:vAlign w:val="center"/>
            <w:hideMark/>
          </w:tcPr>
          <w:p w14:paraId="19D4C0D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14:15 - 17:30</w:t>
            </w:r>
          </w:p>
        </w:tc>
        <w:tc>
          <w:tcPr>
            <w:tcW w:w="1420" w:type="dxa"/>
            <w:gridSpan w:val="2"/>
            <w:tcBorders>
              <w:top w:val="single" w:sz="4" w:space="0" w:color="000000"/>
              <w:left w:val="nil"/>
              <w:bottom w:val="single" w:sz="4" w:space="0" w:color="000000"/>
              <w:right w:val="single" w:sz="4" w:space="0" w:color="auto"/>
            </w:tcBorders>
            <w:vAlign w:val="center"/>
            <w:hideMark/>
          </w:tcPr>
          <w:p w14:paraId="11F7783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14:15 - 17:30</w:t>
            </w:r>
          </w:p>
        </w:tc>
        <w:tc>
          <w:tcPr>
            <w:tcW w:w="1412" w:type="dxa"/>
            <w:gridSpan w:val="2"/>
            <w:tcBorders>
              <w:top w:val="single" w:sz="4" w:space="0" w:color="000000"/>
              <w:left w:val="nil"/>
              <w:bottom w:val="single" w:sz="4" w:space="0" w:color="000000"/>
              <w:right w:val="single" w:sz="4" w:space="0" w:color="auto"/>
            </w:tcBorders>
            <w:vAlign w:val="center"/>
            <w:hideMark/>
          </w:tcPr>
          <w:p w14:paraId="5DCB839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14:15 - 17:30</w:t>
            </w:r>
          </w:p>
        </w:tc>
        <w:tc>
          <w:tcPr>
            <w:tcW w:w="1419" w:type="dxa"/>
            <w:gridSpan w:val="2"/>
            <w:tcBorders>
              <w:top w:val="single" w:sz="4" w:space="0" w:color="000000"/>
              <w:left w:val="nil"/>
              <w:bottom w:val="single" w:sz="4" w:space="0" w:color="000000"/>
              <w:right w:val="nil"/>
            </w:tcBorders>
            <w:vAlign w:val="center"/>
            <w:hideMark/>
          </w:tcPr>
          <w:p w14:paraId="6384E94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14:15 - 17:30</w:t>
            </w:r>
          </w:p>
        </w:tc>
        <w:tc>
          <w:tcPr>
            <w:tcW w:w="1416" w:type="dxa"/>
            <w:gridSpan w:val="2"/>
            <w:tcBorders>
              <w:top w:val="single" w:sz="4" w:space="0" w:color="000000"/>
              <w:left w:val="single" w:sz="4" w:space="0" w:color="auto"/>
              <w:bottom w:val="single" w:sz="4" w:space="0" w:color="000000"/>
              <w:right w:val="single" w:sz="4" w:space="0" w:color="auto"/>
            </w:tcBorders>
            <w:vAlign w:val="center"/>
            <w:hideMark/>
          </w:tcPr>
          <w:p w14:paraId="7CF5974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vAlign w:val="center"/>
            <w:hideMark/>
          </w:tcPr>
          <w:p w14:paraId="74B8E31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55FF3A42"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3F1F7F6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668AC5A"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68A8C92B"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2E3A539C"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0EA64B1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1C9C36E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14:15 - 17:30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FF4266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14:15 - 17:30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4472CE8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14:15 - 17:30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036A145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14:15 - 17:30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179A4A4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14:15 - 17:30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151F8FD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76DEA22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186AEF17"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3B6AE77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lastRenderedPageBreak/>
              <w:t>602180A</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0F3FADB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Central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18F8BA6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High Street Pharmacy  </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191492C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46.50</w:t>
            </w:r>
          </w:p>
        </w:tc>
        <w:tc>
          <w:tcPr>
            <w:tcW w:w="1169" w:type="dxa"/>
            <w:tcBorders>
              <w:top w:val="single" w:sz="4" w:space="0" w:color="000000"/>
              <w:left w:val="nil"/>
              <w:bottom w:val="single" w:sz="4" w:space="0" w:color="000000"/>
              <w:right w:val="single" w:sz="4" w:space="0" w:color="auto"/>
            </w:tcBorders>
            <w:noWrap/>
            <w:vAlign w:val="center"/>
            <w:hideMark/>
          </w:tcPr>
          <w:p w14:paraId="454EE7EE"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F246BE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334D547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38AE2C5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0CE756D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21FBB5D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vAlign w:val="center"/>
            <w:hideMark/>
          </w:tcPr>
          <w:p w14:paraId="507C18B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vAlign w:val="center"/>
            <w:hideMark/>
          </w:tcPr>
          <w:p w14:paraId="43CC872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7880BD5F"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5963171A"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497A20C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6D4948F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2F8011AE"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F3308AA"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43E0546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1012A37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61536D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66E4A0B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6BF5FCB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56EDFFA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03769D6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3888FA0C"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7DEDE09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602808G</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29CEF80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Central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040DC3F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Lloyds Pharmacy</w:t>
            </w:r>
          </w:p>
          <w:p w14:paraId="1F22AC2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Court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1032FF1B"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0F71655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0C4A36E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162892B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2D91075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2FD3696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5C8045C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vAlign w:val="center"/>
            <w:hideMark/>
          </w:tcPr>
          <w:p w14:paraId="4000B7B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vAlign w:val="center"/>
            <w:hideMark/>
          </w:tcPr>
          <w:p w14:paraId="7694763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2514FFB0"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79ED69C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401270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5B43290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3A8B0568"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025B424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020A229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9DDC64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C0DB22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2478D5E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4AB357F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5D43408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7810518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44AEBB63"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31A1D3C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602808H</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28469F7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Central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38612D3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Lloyds Pharmacy Waterfront</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03116B2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4E48A9E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4AA207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20" w:type="dxa"/>
            <w:gridSpan w:val="2"/>
            <w:tcBorders>
              <w:top w:val="single" w:sz="4" w:space="0" w:color="000000"/>
              <w:left w:val="nil"/>
              <w:bottom w:val="single" w:sz="4" w:space="0" w:color="000000"/>
              <w:right w:val="single" w:sz="4" w:space="0" w:color="auto"/>
            </w:tcBorders>
            <w:vAlign w:val="center"/>
            <w:hideMark/>
          </w:tcPr>
          <w:p w14:paraId="1DAC4C2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20" w:type="dxa"/>
            <w:gridSpan w:val="2"/>
            <w:tcBorders>
              <w:top w:val="single" w:sz="4" w:space="0" w:color="000000"/>
              <w:left w:val="nil"/>
              <w:bottom w:val="single" w:sz="4" w:space="0" w:color="000000"/>
              <w:right w:val="single" w:sz="4" w:space="0" w:color="auto"/>
            </w:tcBorders>
            <w:vAlign w:val="center"/>
            <w:hideMark/>
          </w:tcPr>
          <w:p w14:paraId="75F21C4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12" w:type="dxa"/>
            <w:gridSpan w:val="2"/>
            <w:tcBorders>
              <w:top w:val="single" w:sz="4" w:space="0" w:color="000000"/>
              <w:left w:val="nil"/>
              <w:bottom w:val="single" w:sz="4" w:space="0" w:color="000000"/>
              <w:right w:val="single" w:sz="4" w:space="0" w:color="auto"/>
            </w:tcBorders>
            <w:vAlign w:val="center"/>
            <w:hideMark/>
          </w:tcPr>
          <w:p w14:paraId="6432CA4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19" w:type="dxa"/>
            <w:gridSpan w:val="2"/>
            <w:tcBorders>
              <w:top w:val="single" w:sz="4" w:space="0" w:color="000000"/>
              <w:left w:val="nil"/>
              <w:bottom w:val="single" w:sz="4" w:space="0" w:color="000000"/>
              <w:right w:val="single" w:sz="4" w:space="0" w:color="auto"/>
            </w:tcBorders>
            <w:vAlign w:val="center"/>
            <w:hideMark/>
          </w:tcPr>
          <w:p w14:paraId="0B869F3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16" w:type="dxa"/>
            <w:gridSpan w:val="2"/>
            <w:tcBorders>
              <w:top w:val="single" w:sz="4" w:space="0" w:color="000000"/>
              <w:left w:val="nil"/>
              <w:bottom w:val="single" w:sz="4" w:space="0" w:color="000000"/>
              <w:right w:val="single" w:sz="4" w:space="0" w:color="auto"/>
            </w:tcBorders>
            <w:vAlign w:val="center"/>
            <w:hideMark/>
          </w:tcPr>
          <w:p w14:paraId="46960AB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vAlign w:val="center"/>
            <w:hideMark/>
          </w:tcPr>
          <w:p w14:paraId="0527031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01A85A0C"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7E578E9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0007327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2F26FA6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05605993"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C59009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5D7896C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63DBFD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9F569A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16E22D1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7DE9936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04C845B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12271DA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34A4901C"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3293267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602807E</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5236C41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Central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1A0CD80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Lloyds Pharmacy Stirling Road Shopping Precinct</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79C8022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0907267A"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25BD27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15:30 - 19:00</w:t>
            </w:r>
          </w:p>
        </w:tc>
        <w:tc>
          <w:tcPr>
            <w:tcW w:w="1420" w:type="dxa"/>
            <w:gridSpan w:val="2"/>
            <w:tcBorders>
              <w:top w:val="single" w:sz="4" w:space="0" w:color="000000"/>
              <w:left w:val="nil"/>
              <w:bottom w:val="single" w:sz="4" w:space="0" w:color="000000"/>
              <w:right w:val="single" w:sz="4" w:space="0" w:color="auto"/>
            </w:tcBorders>
            <w:vAlign w:val="center"/>
            <w:hideMark/>
          </w:tcPr>
          <w:p w14:paraId="47A6D9C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15:30 - 19:00</w:t>
            </w:r>
          </w:p>
        </w:tc>
        <w:tc>
          <w:tcPr>
            <w:tcW w:w="1420" w:type="dxa"/>
            <w:gridSpan w:val="2"/>
            <w:tcBorders>
              <w:top w:val="single" w:sz="4" w:space="0" w:color="000000"/>
              <w:left w:val="nil"/>
              <w:bottom w:val="single" w:sz="4" w:space="0" w:color="000000"/>
              <w:right w:val="single" w:sz="4" w:space="0" w:color="auto"/>
            </w:tcBorders>
            <w:vAlign w:val="center"/>
            <w:hideMark/>
          </w:tcPr>
          <w:p w14:paraId="66FD958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15:30 - 19:00</w:t>
            </w:r>
          </w:p>
        </w:tc>
        <w:tc>
          <w:tcPr>
            <w:tcW w:w="1412" w:type="dxa"/>
            <w:gridSpan w:val="2"/>
            <w:tcBorders>
              <w:top w:val="single" w:sz="4" w:space="0" w:color="000000"/>
              <w:left w:val="nil"/>
              <w:bottom w:val="single" w:sz="4" w:space="0" w:color="000000"/>
              <w:right w:val="single" w:sz="4" w:space="0" w:color="auto"/>
            </w:tcBorders>
            <w:vAlign w:val="center"/>
            <w:hideMark/>
          </w:tcPr>
          <w:p w14:paraId="295DA3D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15:30 - 19:00</w:t>
            </w:r>
          </w:p>
        </w:tc>
        <w:tc>
          <w:tcPr>
            <w:tcW w:w="1419" w:type="dxa"/>
            <w:gridSpan w:val="2"/>
            <w:tcBorders>
              <w:top w:val="single" w:sz="4" w:space="0" w:color="000000"/>
              <w:left w:val="nil"/>
              <w:bottom w:val="single" w:sz="4" w:space="0" w:color="000000"/>
              <w:right w:val="single" w:sz="4" w:space="0" w:color="auto"/>
            </w:tcBorders>
            <w:vAlign w:val="center"/>
            <w:hideMark/>
          </w:tcPr>
          <w:p w14:paraId="08638CD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15:30 - 19:00</w:t>
            </w:r>
          </w:p>
        </w:tc>
        <w:tc>
          <w:tcPr>
            <w:tcW w:w="1416" w:type="dxa"/>
            <w:gridSpan w:val="2"/>
            <w:tcBorders>
              <w:top w:val="single" w:sz="4" w:space="0" w:color="000000"/>
              <w:left w:val="nil"/>
              <w:bottom w:val="single" w:sz="4" w:space="0" w:color="000000"/>
              <w:right w:val="single" w:sz="4" w:space="0" w:color="auto"/>
            </w:tcBorders>
            <w:vAlign w:val="center"/>
            <w:hideMark/>
          </w:tcPr>
          <w:p w14:paraId="6E1E886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09:00 - 11:00   16:00 - 17:30</w:t>
            </w:r>
          </w:p>
        </w:tc>
        <w:tc>
          <w:tcPr>
            <w:tcW w:w="1273" w:type="dxa"/>
            <w:gridSpan w:val="2"/>
            <w:tcBorders>
              <w:top w:val="single" w:sz="4" w:space="0" w:color="000000"/>
              <w:left w:val="nil"/>
              <w:bottom w:val="single" w:sz="4" w:space="0" w:color="000000"/>
              <w:right w:val="single" w:sz="4" w:space="0" w:color="auto"/>
            </w:tcBorders>
            <w:vAlign w:val="center"/>
            <w:hideMark/>
          </w:tcPr>
          <w:p w14:paraId="24643DD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10:00 - 12:00   14:00 - 16:00</w:t>
            </w:r>
          </w:p>
        </w:tc>
      </w:tr>
      <w:tr w:rsidR="00C021D9" w14:paraId="6C08009D"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28394E7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983682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140240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14B2AAF6"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25555C5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56C5153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09:00 - 19:00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1CBD4B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09:00 - 19:00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3ACE1B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09:00 - 19:00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7A5D581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09:00 - 19:00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6A09664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09:00 - 19:00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05A5E92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48EDF62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10.00 - 16.00</w:t>
            </w:r>
          </w:p>
        </w:tc>
      </w:tr>
      <w:tr w:rsidR="00C021D9" w14:paraId="4D33687F"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0A0C82D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602805E</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1D03687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Central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26CB5D39" w14:textId="77777777" w:rsidR="00C021D9" w:rsidRDefault="00C021D9" w:rsidP="00DC54F7">
            <w:pPr>
              <w:spacing w:after="0" w:line="240" w:lineRule="auto"/>
              <w:jc w:val="both"/>
              <w:rPr>
                <w:rFonts w:ascii="Calibri" w:eastAsia="Calibri" w:hAnsi="Calibri" w:cs="Times New Roman"/>
                <w:sz w:val="16"/>
                <w:lang w:eastAsia="en-GB"/>
              </w:rPr>
            </w:pPr>
            <w:r>
              <w:rPr>
                <w:rFonts w:ascii="Calibri" w:eastAsia="Calibri" w:hAnsi="Calibri" w:cs="Times New Roman"/>
                <w:sz w:val="16"/>
                <w:lang w:eastAsia="en-GB"/>
              </w:rPr>
              <w:t xml:space="preserve">Lloyds Pharmacy </w:t>
            </w:r>
          </w:p>
          <w:p w14:paraId="62C40BD4" w14:textId="77777777" w:rsidR="00C021D9" w:rsidRDefault="00C021D9" w:rsidP="00DC54F7">
            <w:pPr>
              <w:spacing w:after="0" w:line="240" w:lineRule="auto"/>
              <w:jc w:val="both"/>
              <w:rPr>
                <w:rFonts w:ascii="Calibri" w:eastAsia="Calibri" w:hAnsi="Calibri" w:cs="Times New Roman"/>
                <w:lang w:eastAsia="en-GB"/>
              </w:rPr>
            </w:pPr>
            <w:r>
              <w:rPr>
                <w:rFonts w:ascii="Calibri" w:eastAsia="Calibri" w:hAnsi="Calibri" w:cs="Times New Roman"/>
                <w:sz w:val="16"/>
                <w:lang w:eastAsia="en-GB"/>
              </w:rPr>
              <w:t>Holton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16069FBB"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172A890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5D6841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21963D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1BD353B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153F756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3E88267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14:00 - 17:30</w:t>
            </w:r>
          </w:p>
        </w:tc>
        <w:tc>
          <w:tcPr>
            <w:tcW w:w="1416" w:type="dxa"/>
            <w:gridSpan w:val="2"/>
            <w:tcBorders>
              <w:top w:val="single" w:sz="4" w:space="0" w:color="000000"/>
              <w:left w:val="nil"/>
              <w:bottom w:val="single" w:sz="4" w:space="0" w:color="000000"/>
              <w:right w:val="single" w:sz="4" w:space="0" w:color="auto"/>
            </w:tcBorders>
            <w:vAlign w:val="center"/>
            <w:hideMark/>
          </w:tcPr>
          <w:p w14:paraId="0839987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13:00 - 17:30</w:t>
            </w:r>
          </w:p>
        </w:tc>
        <w:tc>
          <w:tcPr>
            <w:tcW w:w="1273" w:type="dxa"/>
            <w:gridSpan w:val="2"/>
            <w:tcBorders>
              <w:top w:val="single" w:sz="4" w:space="0" w:color="000000"/>
              <w:left w:val="nil"/>
              <w:bottom w:val="single" w:sz="4" w:space="0" w:color="000000"/>
              <w:right w:val="single" w:sz="4" w:space="0" w:color="auto"/>
            </w:tcBorders>
            <w:vAlign w:val="center"/>
            <w:hideMark/>
          </w:tcPr>
          <w:p w14:paraId="249A441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602C593D"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483C9BD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583265E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207D66D4" w14:textId="77777777" w:rsidR="00C021D9" w:rsidRDefault="00C021D9" w:rsidP="00DC54F7">
            <w:pPr>
              <w:spacing w:after="0" w:line="256" w:lineRule="auto"/>
              <w:jc w:val="both"/>
              <w:rPr>
                <w:rFonts w:ascii="Calibri" w:eastAsia="Calibri" w:hAnsi="Calibri" w:cs="Times New Roman"/>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05DEA72A"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49BFA90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58C5842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C6AE47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1BCB9A7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6CF0F2D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72A1CDE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44649A4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627FE97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0F552798"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20685F4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602852A</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5F1C637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Central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5F208DF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Well Pharmacy </w:t>
            </w:r>
          </w:p>
          <w:p w14:paraId="7EF23BD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Holton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2DEF0A3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4667A8B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11C11C7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386D2DB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4F7E7E7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000000"/>
              <w:right w:val="single" w:sz="4" w:space="0" w:color="auto"/>
            </w:tcBorders>
            <w:vAlign w:val="center"/>
            <w:hideMark/>
          </w:tcPr>
          <w:p w14:paraId="42C6B10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9" w:type="dxa"/>
            <w:gridSpan w:val="2"/>
            <w:tcBorders>
              <w:top w:val="single" w:sz="4" w:space="0" w:color="000000"/>
              <w:left w:val="nil"/>
              <w:bottom w:val="single" w:sz="4" w:space="0" w:color="000000"/>
              <w:right w:val="single" w:sz="4" w:space="0" w:color="auto"/>
            </w:tcBorders>
            <w:vAlign w:val="center"/>
            <w:hideMark/>
          </w:tcPr>
          <w:p w14:paraId="5B819DC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6" w:type="dxa"/>
            <w:gridSpan w:val="2"/>
            <w:tcBorders>
              <w:top w:val="single" w:sz="4" w:space="0" w:color="000000"/>
              <w:left w:val="nil"/>
              <w:bottom w:val="single" w:sz="4" w:space="0" w:color="000000"/>
              <w:right w:val="single" w:sz="4" w:space="0" w:color="auto"/>
            </w:tcBorders>
            <w:vAlign w:val="center"/>
            <w:hideMark/>
          </w:tcPr>
          <w:p w14:paraId="168DAA8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vAlign w:val="center"/>
            <w:hideMark/>
          </w:tcPr>
          <w:p w14:paraId="53D4372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5144D461"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50DCA3D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B85929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E54B85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331B301"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04AD2AC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024F8A2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407312C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19A3CFE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3C6CCF6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355E6D0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0288822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49F4D96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7E9B60A7"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5894722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602545I</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51ECA8C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Central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7F14776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M W Phillips Chemist Vere Street</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4F353D0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487204A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928C0A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0B74701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0CFBC6A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3201521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77B6BFC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vAlign w:val="center"/>
            <w:hideMark/>
          </w:tcPr>
          <w:p w14:paraId="38E902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vAlign w:val="center"/>
            <w:hideMark/>
          </w:tcPr>
          <w:p w14:paraId="5E22F84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C338BA8"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29D7F4F5"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5CDD327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2CE5184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BE145F7"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3C45FD5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64146F3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EFC23F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9FCAC6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5D6E8DA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753D669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4F963CD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51A82F8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64A6F8A0"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2081886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602545J</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245B494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Central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5D175C3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M W Phillips Chemist Barry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643AB7D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3BABED4E"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DBB8B4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2EDAD04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1B74F11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12" w:type="dxa"/>
            <w:gridSpan w:val="2"/>
            <w:tcBorders>
              <w:top w:val="single" w:sz="4" w:space="0" w:color="000000"/>
              <w:left w:val="nil"/>
              <w:bottom w:val="single" w:sz="4" w:space="0" w:color="000000"/>
              <w:right w:val="single" w:sz="4" w:space="0" w:color="auto"/>
            </w:tcBorders>
            <w:vAlign w:val="center"/>
            <w:hideMark/>
          </w:tcPr>
          <w:p w14:paraId="7051A2C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19" w:type="dxa"/>
            <w:gridSpan w:val="2"/>
            <w:tcBorders>
              <w:top w:val="single" w:sz="4" w:space="0" w:color="000000"/>
              <w:left w:val="nil"/>
              <w:bottom w:val="single" w:sz="4" w:space="0" w:color="000000"/>
              <w:right w:val="single" w:sz="4" w:space="0" w:color="auto"/>
            </w:tcBorders>
            <w:vAlign w:val="center"/>
            <w:hideMark/>
          </w:tcPr>
          <w:p w14:paraId="06DF42B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16" w:type="dxa"/>
            <w:gridSpan w:val="2"/>
            <w:tcBorders>
              <w:top w:val="single" w:sz="4" w:space="0" w:color="000000"/>
              <w:left w:val="nil"/>
              <w:bottom w:val="single" w:sz="4" w:space="0" w:color="000000"/>
              <w:right w:val="single" w:sz="4" w:space="0" w:color="auto"/>
            </w:tcBorders>
            <w:vAlign w:val="center"/>
            <w:hideMark/>
          </w:tcPr>
          <w:p w14:paraId="3E0FB28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vAlign w:val="center"/>
            <w:hideMark/>
          </w:tcPr>
          <w:p w14:paraId="7B40165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C01F376"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749D024A"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466DCDD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7D7F703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1D012BDA"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0FC087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6FDD6E8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1CE6452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48F8AD3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071AA12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23A429A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13:30 - 17:30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6BDEF47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63562CC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DEB28B1"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71E5F62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602521A</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1E20C21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Central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9C274F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St Brides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640E4A0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133AB2A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DE48EC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5446478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2732DAB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08:30 - 12:30</w:t>
            </w:r>
          </w:p>
        </w:tc>
        <w:tc>
          <w:tcPr>
            <w:tcW w:w="1412" w:type="dxa"/>
            <w:gridSpan w:val="2"/>
            <w:tcBorders>
              <w:top w:val="single" w:sz="4" w:space="0" w:color="000000"/>
              <w:left w:val="nil"/>
              <w:bottom w:val="single" w:sz="4" w:space="0" w:color="000000"/>
              <w:right w:val="single" w:sz="4" w:space="0" w:color="auto"/>
            </w:tcBorders>
            <w:vAlign w:val="center"/>
            <w:hideMark/>
          </w:tcPr>
          <w:p w14:paraId="64FD5BB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08:30 - 17:30</w:t>
            </w:r>
          </w:p>
        </w:tc>
        <w:tc>
          <w:tcPr>
            <w:tcW w:w="1419" w:type="dxa"/>
            <w:gridSpan w:val="2"/>
            <w:tcBorders>
              <w:top w:val="single" w:sz="4" w:space="0" w:color="000000"/>
              <w:left w:val="nil"/>
              <w:bottom w:val="single" w:sz="4" w:space="0" w:color="000000"/>
              <w:right w:val="single" w:sz="4" w:space="0" w:color="auto"/>
            </w:tcBorders>
            <w:vAlign w:val="center"/>
            <w:hideMark/>
          </w:tcPr>
          <w:p w14:paraId="66B3A4D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08:30 - 17:30</w:t>
            </w:r>
          </w:p>
        </w:tc>
        <w:tc>
          <w:tcPr>
            <w:tcW w:w="1416" w:type="dxa"/>
            <w:gridSpan w:val="2"/>
            <w:tcBorders>
              <w:top w:val="single" w:sz="4" w:space="0" w:color="000000"/>
              <w:left w:val="nil"/>
              <w:bottom w:val="single" w:sz="4" w:space="0" w:color="000000"/>
              <w:right w:val="single" w:sz="4" w:space="0" w:color="auto"/>
            </w:tcBorders>
            <w:vAlign w:val="center"/>
            <w:hideMark/>
          </w:tcPr>
          <w:p w14:paraId="14C88D0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vAlign w:val="center"/>
            <w:hideMark/>
          </w:tcPr>
          <w:p w14:paraId="6CD6F7B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297381DE"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1184BAB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BFC8D1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12BEBB6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3A28096D"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2CFE7E7B"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3A46ED0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4E00162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45EFCF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08:30 - 12:30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7B1B299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5C17063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08:30 - 17:30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7A56DBD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713C180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14ACBA3C"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4F49DEB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lastRenderedPageBreak/>
              <w:t>602703A</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5FF1EDB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Central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5F3A750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Sully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60A77F2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14C6DD0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2C1B37A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2B32EC2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09:00 - 16:30</w:t>
            </w:r>
          </w:p>
        </w:tc>
        <w:tc>
          <w:tcPr>
            <w:tcW w:w="1420" w:type="dxa"/>
            <w:gridSpan w:val="2"/>
            <w:tcBorders>
              <w:top w:val="single" w:sz="4" w:space="0" w:color="000000"/>
              <w:left w:val="nil"/>
              <w:bottom w:val="single" w:sz="4" w:space="0" w:color="000000"/>
              <w:right w:val="single" w:sz="4" w:space="0" w:color="auto"/>
            </w:tcBorders>
            <w:vAlign w:val="center"/>
            <w:hideMark/>
          </w:tcPr>
          <w:p w14:paraId="5B99FF3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000000"/>
              <w:right w:val="single" w:sz="4" w:space="0" w:color="auto"/>
            </w:tcBorders>
            <w:vAlign w:val="center"/>
            <w:hideMark/>
          </w:tcPr>
          <w:p w14:paraId="3DDFB3A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49FCA22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6" w:type="dxa"/>
            <w:gridSpan w:val="2"/>
            <w:tcBorders>
              <w:top w:val="single" w:sz="4" w:space="0" w:color="000000"/>
              <w:left w:val="nil"/>
              <w:bottom w:val="single" w:sz="4" w:space="0" w:color="000000"/>
              <w:right w:val="single" w:sz="4" w:space="0" w:color="auto"/>
            </w:tcBorders>
            <w:vAlign w:val="center"/>
            <w:hideMark/>
          </w:tcPr>
          <w:p w14:paraId="7BE595B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vAlign w:val="center"/>
            <w:hideMark/>
          </w:tcPr>
          <w:p w14:paraId="31AEA99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25DA8B91"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4171420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0FDC84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12FA04B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1C92E886"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4AEF179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5168336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588B77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09:00 - 16:30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08F2D07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6633E0E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6F4729C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181A6B7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4898B81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42C1301B"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4C290B4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602855M</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5DA24ED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City and Cardiff South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36B7D38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Well Pharmacy </w:t>
            </w:r>
          </w:p>
          <w:p w14:paraId="453B46E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Bute Street</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0E1ACEE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357F368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6C5A9F2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6B9835B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4950ACD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37031FA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0DE20CF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3417CAD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0FCCE6D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D52D01C"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085F5FC4"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4DE9A184"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16E63174"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1803E338"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6830980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B45700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1E89A4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3749EA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BF6E08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9108B1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16" w:type="dxa"/>
            <w:gridSpan w:val="2"/>
            <w:tcBorders>
              <w:top w:val="single" w:sz="4" w:space="0" w:color="000000"/>
              <w:left w:val="nil"/>
              <w:bottom w:val="single" w:sz="4" w:space="0" w:color="000000"/>
              <w:right w:val="single" w:sz="4" w:space="0" w:color="auto"/>
            </w:tcBorders>
            <w:shd w:val="clear" w:color="auto" w:fill="BFBFBF" w:themeFill="background1" w:themeFillShade="BF"/>
            <w:noWrap/>
            <w:vAlign w:val="center"/>
            <w:hideMark/>
          </w:tcPr>
          <w:p w14:paraId="7AB3AD7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A139BF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4666D55"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2D068E4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602816P</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6F8DE86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City and Cardiff South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321A903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Boots Capitol Centre</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401C4AB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186AAD5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F8997A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6C8CF8A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772CF87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1344AB3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4C687F6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6" w:type="dxa"/>
            <w:gridSpan w:val="2"/>
            <w:tcBorders>
              <w:top w:val="single" w:sz="4" w:space="0" w:color="000000"/>
              <w:left w:val="nil"/>
              <w:bottom w:val="single" w:sz="4" w:space="0" w:color="000000"/>
              <w:right w:val="single" w:sz="4" w:space="0" w:color="auto"/>
            </w:tcBorders>
            <w:vAlign w:val="center"/>
            <w:hideMark/>
          </w:tcPr>
          <w:p w14:paraId="5FEC248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10:00 - 12:30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01430D6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20787A25"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687D16D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1E22DF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7D0996D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73EBE46E"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3BA750C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1CD22BF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45EDAED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4A5987E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67C0B22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667EF28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6" w:type="dxa"/>
            <w:gridSpan w:val="2"/>
            <w:tcBorders>
              <w:top w:val="single" w:sz="4" w:space="0" w:color="000000"/>
              <w:left w:val="nil"/>
              <w:bottom w:val="single" w:sz="4" w:space="0" w:color="000000"/>
              <w:right w:val="single" w:sz="4" w:space="0" w:color="auto"/>
            </w:tcBorders>
            <w:shd w:val="clear" w:color="auto" w:fill="BFBFBF" w:themeFill="background1" w:themeFillShade="BF"/>
            <w:vAlign w:val="center"/>
            <w:hideMark/>
          </w:tcPr>
          <w:p w14:paraId="2F2A407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2F8DE6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AB7DA77"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48F2B2C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602816M</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21C1B59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City and Cardiff South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1F60434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Boots Queen Street</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4B01404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0A0B9C9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A831A8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129EA14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09:30 - 17:30</w:t>
            </w:r>
          </w:p>
        </w:tc>
        <w:tc>
          <w:tcPr>
            <w:tcW w:w="1420" w:type="dxa"/>
            <w:gridSpan w:val="2"/>
            <w:tcBorders>
              <w:top w:val="single" w:sz="4" w:space="0" w:color="000000"/>
              <w:left w:val="nil"/>
              <w:bottom w:val="single" w:sz="4" w:space="0" w:color="000000"/>
              <w:right w:val="single" w:sz="4" w:space="0" w:color="auto"/>
            </w:tcBorders>
            <w:vAlign w:val="center"/>
            <w:hideMark/>
          </w:tcPr>
          <w:p w14:paraId="6A9E565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09:30 - 17:30</w:t>
            </w:r>
          </w:p>
        </w:tc>
        <w:tc>
          <w:tcPr>
            <w:tcW w:w="1412" w:type="dxa"/>
            <w:gridSpan w:val="2"/>
            <w:tcBorders>
              <w:top w:val="single" w:sz="4" w:space="0" w:color="000000"/>
              <w:left w:val="nil"/>
              <w:bottom w:val="single" w:sz="4" w:space="0" w:color="000000"/>
              <w:right w:val="single" w:sz="4" w:space="0" w:color="auto"/>
            </w:tcBorders>
            <w:vAlign w:val="center"/>
            <w:hideMark/>
          </w:tcPr>
          <w:p w14:paraId="57634C3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09:30 - 17:30</w:t>
            </w:r>
          </w:p>
        </w:tc>
        <w:tc>
          <w:tcPr>
            <w:tcW w:w="1419" w:type="dxa"/>
            <w:gridSpan w:val="2"/>
            <w:tcBorders>
              <w:top w:val="single" w:sz="4" w:space="0" w:color="000000"/>
              <w:left w:val="nil"/>
              <w:bottom w:val="single" w:sz="4" w:space="0" w:color="000000"/>
              <w:right w:val="single" w:sz="4" w:space="0" w:color="auto"/>
            </w:tcBorders>
            <w:vAlign w:val="center"/>
            <w:hideMark/>
          </w:tcPr>
          <w:p w14:paraId="17703A3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09:30 - 17:30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477728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416AD69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FC9E0F2"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3A44DF1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7F308492"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35ACCDA"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4D718BC1"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180B4CA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48928F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CF66F3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514794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D7C6CE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96AE64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510540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08:00 - 19:00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E75946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11:00 - 17:00</w:t>
            </w:r>
          </w:p>
        </w:tc>
      </w:tr>
      <w:tr w:rsidR="00C021D9" w14:paraId="7B1E6703"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0EC774F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602816O</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14DFD5E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City and Cardiff South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A1E613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Boots Broadcasting Square</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2A83D0A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1DE8321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6FD688A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14444E0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1B72053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003FAC7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25C7E04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16" w:type="dxa"/>
            <w:gridSpan w:val="2"/>
            <w:tcBorders>
              <w:top w:val="single" w:sz="4" w:space="0" w:color="000000"/>
              <w:left w:val="nil"/>
              <w:bottom w:val="single" w:sz="4" w:space="0" w:color="000000"/>
              <w:right w:val="single" w:sz="4" w:space="0" w:color="auto"/>
            </w:tcBorders>
            <w:vAlign w:val="center"/>
            <w:hideMark/>
          </w:tcPr>
          <w:p w14:paraId="7FF4644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w:t>
            </w:r>
          </w:p>
          <w:p w14:paraId="5DB7E78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14:00 - 15:30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73395FD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54997DBE"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5862C90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60C659B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346CDBA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4F349B5F"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30395A5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234B726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07:00 - 19:00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06FC49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07:00 - 19:00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AD6788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07:00 - 19:00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10DB97E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07:00 - 19:00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5360761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07:00 - 19:00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369EB75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08:00 - 19:00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1EBF81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10:00 - 16:00</w:t>
            </w:r>
          </w:p>
        </w:tc>
      </w:tr>
      <w:tr w:rsidR="00C021D9" w14:paraId="3F14DDDD"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F79D7B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602818G</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205645D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City and Cardiff South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28C28E0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Boots Cardiff Bay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4ACF16C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54.00</w:t>
            </w:r>
          </w:p>
        </w:tc>
        <w:tc>
          <w:tcPr>
            <w:tcW w:w="1169" w:type="dxa"/>
            <w:tcBorders>
              <w:top w:val="single" w:sz="4" w:space="0" w:color="000000"/>
              <w:left w:val="nil"/>
              <w:bottom w:val="single" w:sz="4" w:space="0" w:color="000000"/>
              <w:right w:val="single" w:sz="4" w:space="0" w:color="auto"/>
            </w:tcBorders>
            <w:noWrap/>
            <w:vAlign w:val="center"/>
            <w:hideMark/>
          </w:tcPr>
          <w:p w14:paraId="05A9BCA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BB6AC1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r>
              <w:rPr>
                <w:rFonts w:ascii="Calibri" w:eastAsia="Times New Roman" w:hAnsi="Calibri" w:cs="Arial"/>
                <w:sz w:val="16"/>
                <w:szCs w:val="16"/>
                <w:lang w:eastAsia="en-GB"/>
              </w:rPr>
              <w:br/>
              <w:t>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09F4669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r>
              <w:rPr>
                <w:rFonts w:ascii="Calibri" w:eastAsia="Times New Roman" w:hAnsi="Calibri" w:cs="Arial"/>
                <w:sz w:val="16"/>
                <w:szCs w:val="16"/>
                <w:lang w:eastAsia="en-GB"/>
              </w:rPr>
              <w:br/>
              <w:t>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000F805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r>
              <w:rPr>
                <w:rFonts w:ascii="Calibri" w:eastAsia="Times New Roman" w:hAnsi="Calibri" w:cs="Arial"/>
                <w:sz w:val="16"/>
                <w:szCs w:val="16"/>
                <w:lang w:eastAsia="en-GB"/>
              </w:rPr>
              <w:br/>
              <w:t>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6DBBAE9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r>
              <w:rPr>
                <w:rFonts w:ascii="Calibri" w:eastAsia="Times New Roman" w:hAnsi="Calibri" w:cs="Arial"/>
                <w:sz w:val="16"/>
                <w:szCs w:val="16"/>
                <w:lang w:eastAsia="en-GB"/>
              </w:rPr>
              <w:br/>
              <w:t>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5425FC5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r>
              <w:rPr>
                <w:rFonts w:ascii="Calibri" w:eastAsia="Times New Roman" w:hAnsi="Calibri" w:cs="Arial"/>
                <w:sz w:val="16"/>
                <w:szCs w:val="16"/>
                <w:lang w:eastAsia="en-GB"/>
              </w:rPr>
              <w:br/>
              <w:t>14:00 - 18:00</w:t>
            </w:r>
          </w:p>
        </w:tc>
        <w:tc>
          <w:tcPr>
            <w:tcW w:w="1416" w:type="dxa"/>
            <w:gridSpan w:val="2"/>
            <w:tcBorders>
              <w:top w:val="single" w:sz="4" w:space="0" w:color="000000"/>
              <w:left w:val="nil"/>
              <w:bottom w:val="single" w:sz="4" w:space="0" w:color="000000"/>
              <w:right w:val="single" w:sz="4" w:space="0" w:color="auto"/>
            </w:tcBorders>
            <w:vAlign w:val="center"/>
            <w:hideMark/>
          </w:tcPr>
          <w:p w14:paraId="504FB96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r>
              <w:rPr>
                <w:rFonts w:ascii="Calibri" w:eastAsia="Times New Roman" w:hAnsi="Calibri" w:cs="Arial"/>
                <w:sz w:val="16"/>
                <w:szCs w:val="16"/>
                <w:lang w:eastAsia="en-GB"/>
              </w:rPr>
              <w:br/>
              <w:t>14:00 - 18:00</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1D89808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10:30 – 16:30</w:t>
            </w:r>
          </w:p>
        </w:tc>
      </w:tr>
      <w:tr w:rsidR="00C021D9" w14:paraId="66335E68"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1E9035D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1D6D2DD4"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083D98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5D3C329B"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696E511A"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82A543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08:00 - 22:30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AEDD94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08:00 - 22:30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1B4AEE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08:00 - 22:30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BA71D1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08:00 - 22:30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5143CF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08:00 - 22:30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473DDB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08:00 - 22:30</w:t>
            </w:r>
          </w:p>
        </w:tc>
        <w:tc>
          <w:tcPr>
            <w:tcW w:w="1273" w:type="dxa"/>
            <w:gridSpan w:val="2"/>
            <w:tcBorders>
              <w:top w:val="single" w:sz="4" w:space="0" w:color="000000"/>
              <w:left w:val="nil"/>
              <w:bottom w:val="single" w:sz="4" w:space="0" w:color="000000"/>
              <w:right w:val="single" w:sz="4" w:space="0" w:color="auto"/>
            </w:tcBorders>
            <w:shd w:val="clear" w:color="auto" w:fill="BFBFBF" w:themeFill="background1" w:themeFillShade="BF"/>
            <w:vAlign w:val="center"/>
            <w:hideMark/>
          </w:tcPr>
          <w:p w14:paraId="6C0DBDB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10:30 – 21:00</w:t>
            </w:r>
          </w:p>
        </w:tc>
      </w:tr>
      <w:tr w:rsidR="00C021D9" w14:paraId="0D8B92F9"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5BB9A8A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602808C</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7C87E59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City and Cardiff South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047F79F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Lloyds Pharmacy Grangetown</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2975F34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2D02FE1A"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66DB095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14:00 - 18:30</w:t>
            </w:r>
          </w:p>
        </w:tc>
        <w:tc>
          <w:tcPr>
            <w:tcW w:w="1420" w:type="dxa"/>
            <w:gridSpan w:val="2"/>
            <w:tcBorders>
              <w:top w:val="single" w:sz="4" w:space="0" w:color="000000"/>
              <w:left w:val="nil"/>
              <w:bottom w:val="single" w:sz="4" w:space="0" w:color="000000"/>
              <w:right w:val="single" w:sz="4" w:space="0" w:color="auto"/>
            </w:tcBorders>
            <w:vAlign w:val="center"/>
            <w:hideMark/>
          </w:tcPr>
          <w:p w14:paraId="7C01CC3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 14:00 - 18:30</w:t>
            </w:r>
          </w:p>
        </w:tc>
        <w:tc>
          <w:tcPr>
            <w:tcW w:w="1420" w:type="dxa"/>
            <w:gridSpan w:val="2"/>
            <w:tcBorders>
              <w:top w:val="single" w:sz="4" w:space="0" w:color="000000"/>
              <w:left w:val="nil"/>
              <w:bottom w:val="single" w:sz="4" w:space="0" w:color="000000"/>
              <w:right w:val="single" w:sz="4" w:space="0" w:color="auto"/>
            </w:tcBorders>
            <w:vAlign w:val="center"/>
            <w:hideMark/>
          </w:tcPr>
          <w:p w14:paraId="6C03EE4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p>
          <w:p w14:paraId="6DD9490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14:00 - 18:30</w:t>
            </w:r>
          </w:p>
        </w:tc>
        <w:tc>
          <w:tcPr>
            <w:tcW w:w="1412" w:type="dxa"/>
            <w:gridSpan w:val="2"/>
            <w:tcBorders>
              <w:top w:val="single" w:sz="4" w:space="0" w:color="000000"/>
              <w:left w:val="nil"/>
              <w:bottom w:val="single" w:sz="4" w:space="0" w:color="000000"/>
              <w:right w:val="single" w:sz="4" w:space="0" w:color="auto"/>
            </w:tcBorders>
            <w:vAlign w:val="center"/>
            <w:hideMark/>
          </w:tcPr>
          <w:p w14:paraId="43D44C2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14:00 - 18:30</w:t>
            </w:r>
          </w:p>
        </w:tc>
        <w:tc>
          <w:tcPr>
            <w:tcW w:w="1419" w:type="dxa"/>
            <w:gridSpan w:val="2"/>
            <w:tcBorders>
              <w:top w:val="single" w:sz="4" w:space="0" w:color="000000"/>
              <w:left w:val="nil"/>
              <w:bottom w:val="single" w:sz="4" w:space="0" w:color="000000"/>
              <w:right w:val="single" w:sz="4" w:space="0" w:color="auto"/>
            </w:tcBorders>
            <w:vAlign w:val="center"/>
            <w:hideMark/>
          </w:tcPr>
          <w:p w14:paraId="427ADC5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14:00 - 18:30</w:t>
            </w:r>
          </w:p>
        </w:tc>
        <w:tc>
          <w:tcPr>
            <w:tcW w:w="1416" w:type="dxa"/>
            <w:gridSpan w:val="2"/>
            <w:tcBorders>
              <w:top w:val="single" w:sz="4" w:space="0" w:color="000000"/>
              <w:left w:val="nil"/>
              <w:bottom w:val="single" w:sz="4" w:space="0" w:color="000000"/>
              <w:right w:val="single" w:sz="4" w:space="0" w:color="auto"/>
            </w:tcBorders>
            <w:vAlign w:val="center"/>
            <w:hideMark/>
          </w:tcPr>
          <w:p w14:paraId="7E64FEA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038B2EB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CC8C814"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3E921D4B"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067AA0F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297EBC1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7E0372D5"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65594E7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E23F31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3431744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8458C3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09:00 - 18:30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F22344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09:00 - 18:30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E3CC7D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09:00 - 18:30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CCB252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85C021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E79832E"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4DB0890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602853F</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08866CC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City and Cardiff South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2807B27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Well Pharmacy Holmesdale Street</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4A570E9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08D8BFD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E45031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3894244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263FB38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412" w:type="dxa"/>
            <w:gridSpan w:val="2"/>
            <w:tcBorders>
              <w:top w:val="single" w:sz="4" w:space="0" w:color="000000"/>
              <w:left w:val="nil"/>
              <w:bottom w:val="single" w:sz="4" w:space="0" w:color="000000"/>
              <w:right w:val="single" w:sz="4" w:space="0" w:color="auto"/>
            </w:tcBorders>
            <w:noWrap/>
            <w:vAlign w:val="center"/>
            <w:hideMark/>
          </w:tcPr>
          <w:p w14:paraId="74D7C4D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noWrap/>
            <w:vAlign w:val="center"/>
            <w:hideMark/>
          </w:tcPr>
          <w:p w14:paraId="14A77B2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782C0AD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4CA8B01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1B3D269B"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16AA677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24FD52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6BB06D3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6A59C398"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10B1937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773B9C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DAB47A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EE7F61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3D9452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13E866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6B67E0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20D81E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2472961"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3FEB7D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602856C</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2DDE868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City and Cardiff South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4CDC767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Well Pharmacy </w:t>
            </w:r>
          </w:p>
          <w:p w14:paraId="40BA53C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Clare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472CE63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2089900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867E6B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2509CEF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0455E28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6DE1089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6D14AD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4D623C9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4CBB235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05CEE0D6"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3F0B3C3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D12CD5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55D8DDA"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3117C3F4"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77C546B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637144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A12B9C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6B6E893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A9224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3A0336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3E0C7F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09:00 - 15:00</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163340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061F9E7"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6C94168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lastRenderedPageBreak/>
              <w:t>602852C</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0831405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City and Cardiff South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47F0B6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Well Pharmacy Quayside </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78E60DB1"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2CA828E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A34F0A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09:00 -17:00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6C019B0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09:00 -17:00</w:t>
            </w:r>
          </w:p>
        </w:tc>
        <w:tc>
          <w:tcPr>
            <w:tcW w:w="1420" w:type="dxa"/>
            <w:gridSpan w:val="2"/>
            <w:tcBorders>
              <w:top w:val="single" w:sz="4" w:space="0" w:color="000000"/>
              <w:left w:val="nil"/>
              <w:bottom w:val="single" w:sz="4" w:space="0" w:color="000000"/>
              <w:right w:val="single" w:sz="4" w:space="0" w:color="auto"/>
            </w:tcBorders>
            <w:noWrap/>
            <w:vAlign w:val="center"/>
            <w:hideMark/>
          </w:tcPr>
          <w:p w14:paraId="14A60DC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09:00 -17:00</w:t>
            </w:r>
          </w:p>
        </w:tc>
        <w:tc>
          <w:tcPr>
            <w:tcW w:w="1412" w:type="dxa"/>
            <w:gridSpan w:val="2"/>
            <w:tcBorders>
              <w:top w:val="single" w:sz="4" w:space="0" w:color="000000"/>
              <w:left w:val="nil"/>
              <w:bottom w:val="single" w:sz="4" w:space="0" w:color="000000"/>
              <w:right w:val="single" w:sz="4" w:space="0" w:color="auto"/>
            </w:tcBorders>
            <w:noWrap/>
            <w:vAlign w:val="center"/>
            <w:hideMark/>
          </w:tcPr>
          <w:p w14:paraId="416B4CD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09:00 -17:00</w:t>
            </w:r>
          </w:p>
        </w:tc>
        <w:tc>
          <w:tcPr>
            <w:tcW w:w="1419" w:type="dxa"/>
            <w:gridSpan w:val="2"/>
            <w:tcBorders>
              <w:top w:val="single" w:sz="4" w:space="0" w:color="000000"/>
              <w:left w:val="nil"/>
              <w:bottom w:val="single" w:sz="4" w:space="0" w:color="000000"/>
              <w:right w:val="single" w:sz="4" w:space="0" w:color="auto"/>
            </w:tcBorders>
            <w:noWrap/>
            <w:vAlign w:val="center"/>
            <w:hideMark/>
          </w:tcPr>
          <w:p w14:paraId="4C7044E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09:00 -17:00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0A1109F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4AB9439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7D50A81D"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09BCDFC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DE2568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5F1E1C1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21293850"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45621C3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FE265C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0B67EC7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2CE79BA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C4A0F6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503DF12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359665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47B81D8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3C67B422"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A4E60F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602416A</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4BEAA41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City and Cardiff South</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03A607B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Health Plus Pharmacy</w:t>
            </w:r>
          </w:p>
          <w:p w14:paraId="13818BA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Grangetown</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6BD87A8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6AE0C76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C4FD10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9:00 - 18:00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2D13D6E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9:00 - 18:00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6D29684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9:00 - 18:00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6892B41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9:00 - 18:00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5F132AF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9:00 - 18:00</w:t>
            </w:r>
          </w:p>
        </w:tc>
        <w:tc>
          <w:tcPr>
            <w:tcW w:w="1416" w:type="dxa"/>
            <w:gridSpan w:val="2"/>
            <w:tcBorders>
              <w:top w:val="single" w:sz="4" w:space="0" w:color="000000"/>
              <w:left w:val="nil"/>
              <w:bottom w:val="single" w:sz="4" w:space="0" w:color="000000"/>
              <w:right w:val="single" w:sz="4" w:space="0" w:color="auto"/>
            </w:tcBorders>
            <w:noWrap/>
            <w:vAlign w:val="center"/>
            <w:hideMark/>
          </w:tcPr>
          <w:p w14:paraId="7D6465C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noWrap/>
            <w:vAlign w:val="center"/>
            <w:hideMark/>
          </w:tcPr>
          <w:p w14:paraId="0FA15C8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43DECE8D"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7176575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6400858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30F9AC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08B1C579"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26F16C2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16CE0F2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9:00 - 18:00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A28790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9:00 - 18:00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DB84E5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9:00 - 18:00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22A2F9D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9:00 - 18:00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6158500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9:00 - 18:00</w:t>
            </w:r>
          </w:p>
        </w:tc>
        <w:tc>
          <w:tcPr>
            <w:tcW w:w="1416"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1403E87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c>
          <w:tcPr>
            <w:tcW w:w="1273" w:type="dxa"/>
            <w:gridSpan w:val="2"/>
            <w:tcBorders>
              <w:top w:val="single" w:sz="4" w:space="0" w:color="000000"/>
              <w:left w:val="nil"/>
              <w:bottom w:val="single" w:sz="4" w:space="0" w:color="000000"/>
              <w:right w:val="single" w:sz="4" w:space="0" w:color="auto"/>
            </w:tcBorders>
            <w:shd w:val="clear" w:color="auto" w:fill="BFBFBF"/>
            <w:noWrap/>
            <w:vAlign w:val="center"/>
            <w:hideMark/>
          </w:tcPr>
          <w:p w14:paraId="74FA5D6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5B877701"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55A6DAA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602816L</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7D1F13E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Eastern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2C4C747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Boots Penarth</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0C1BEAF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2610FBD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49B1EB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7DF6D6C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019A916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21C8A85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29EE9A2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14:00 - 17:30</w:t>
            </w:r>
          </w:p>
        </w:tc>
        <w:tc>
          <w:tcPr>
            <w:tcW w:w="1416" w:type="dxa"/>
            <w:gridSpan w:val="2"/>
            <w:tcBorders>
              <w:top w:val="single" w:sz="4" w:space="0" w:color="000000"/>
              <w:left w:val="nil"/>
              <w:bottom w:val="single" w:sz="4" w:space="0" w:color="000000"/>
              <w:right w:val="single" w:sz="4" w:space="0" w:color="auto"/>
            </w:tcBorders>
            <w:vAlign w:val="center"/>
            <w:hideMark/>
          </w:tcPr>
          <w:p w14:paraId="419C7DE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09:30 - 13:00   14:00 - 15:30</w:t>
            </w:r>
          </w:p>
        </w:tc>
        <w:tc>
          <w:tcPr>
            <w:tcW w:w="1273" w:type="dxa"/>
            <w:gridSpan w:val="2"/>
            <w:tcBorders>
              <w:top w:val="single" w:sz="4" w:space="0" w:color="000000"/>
              <w:left w:val="nil"/>
              <w:bottom w:val="single" w:sz="4" w:space="0" w:color="000000"/>
              <w:right w:val="single" w:sz="4" w:space="0" w:color="auto"/>
            </w:tcBorders>
            <w:vAlign w:val="center"/>
            <w:hideMark/>
          </w:tcPr>
          <w:p w14:paraId="2B97042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t>
            </w:r>
          </w:p>
        </w:tc>
      </w:tr>
      <w:tr w:rsidR="00C021D9" w14:paraId="62DEF75C"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76ED4098"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06D40241"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E6734F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286851F5"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451CF680"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032965D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633CA2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BE03C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148F18E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50BA717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1B9EBFA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342AA3E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10:00 - 16:00</w:t>
            </w:r>
          </w:p>
        </w:tc>
      </w:tr>
      <w:tr w:rsidR="00C021D9" w14:paraId="3AB15854"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EC47CD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602870E</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72F5CD3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Eastern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5ACFC9D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Tesco Pharmacy Penarth</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70803DB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02CC56D2"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42B78B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14:00 - 16:40</w:t>
            </w:r>
          </w:p>
        </w:tc>
        <w:tc>
          <w:tcPr>
            <w:tcW w:w="1420" w:type="dxa"/>
            <w:gridSpan w:val="2"/>
            <w:tcBorders>
              <w:top w:val="single" w:sz="4" w:space="0" w:color="000000"/>
              <w:left w:val="nil"/>
              <w:bottom w:val="single" w:sz="4" w:space="0" w:color="000000"/>
              <w:right w:val="single" w:sz="4" w:space="0" w:color="auto"/>
            </w:tcBorders>
            <w:vAlign w:val="center"/>
            <w:hideMark/>
          </w:tcPr>
          <w:p w14:paraId="42C43C0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14:00 - 16:40</w:t>
            </w:r>
          </w:p>
        </w:tc>
        <w:tc>
          <w:tcPr>
            <w:tcW w:w="1420" w:type="dxa"/>
            <w:gridSpan w:val="2"/>
            <w:tcBorders>
              <w:top w:val="single" w:sz="4" w:space="0" w:color="000000"/>
              <w:left w:val="nil"/>
              <w:bottom w:val="single" w:sz="4" w:space="0" w:color="000000"/>
              <w:right w:val="single" w:sz="4" w:space="0" w:color="auto"/>
            </w:tcBorders>
            <w:vAlign w:val="center"/>
            <w:hideMark/>
          </w:tcPr>
          <w:p w14:paraId="7D3F1CF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14:00 - 16:40</w:t>
            </w:r>
          </w:p>
        </w:tc>
        <w:tc>
          <w:tcPr>
            <w:tcW w:w="1412" w:type="dxa"/>
            <w:gridSpan w:val="2"/>
            <w:tcBorders>
              <w:top w:val="single" w:sz="4" w:space="0" w:color="000000"/>
              <w:left w:val="nil"/>
              <w:bottom w:val="single" w:sz="4" w:space="0" w:color="000000"/>
              <w:right w:val="single" w:sz="4" w:space="0" w:color="auto"/>
            </w:tcBorders>
            <w:vAlign w:val="center"/>
            <w:hideMark/>
          </w:tcPr>
          <w:p w14:paraId="79476D2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14:00 - 16:40</w:t>
            </w:r>
          </w:p>
        </w:tc>
        <w:tc>
          <w:tcPr>
            <w:tcW w:w="1419" w:type="dxa"/>
            <w:gridSpan w:val="2"/>
            <w:tcBorders>
              <w:top w:val="single" w:sz="4" w:space="0" w:color="000000"/>
              <w:left w:val="nil"/>
              <w:bottom w:val="single" w:sz="4" w:space="0" w:color="000000"/>
              <w:right w:val="single" w:sz="4" w:space="0" w:color="auto"/>
            </w:tcBorders>
            <w:vAlign w:val="center"/>
            <w:hideMark/>
          </w:tcPr>
          <w:p w14:paraId="44332BD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14:00 - 16:40</w:t>
            </w:r>
          </w:p>
        </w:tc>
        <w:tc>
          <w:tcPr>
            <w:tcW w:w="1416" w:type="dxa"/>
            <w:gridSpan w:val="2"/>
            <w:tcBorders>
              <w:top w:val="single" w:sz="4" w:space="0" w:color="000000"/>
              <w:left w:val="nil"/>
              <w:bottom w:val="single" w:sz="4" w:space="0" w:color="000000"/>
              <w:right w:val="single" w:sz="4" w:space="0" w:color="auto"/>
            </w:tcBorders>
            <w:vAlign w:val="center"/>
            <w:hideMark/>
          </w:tcPr>
          <w:p w14:paraId="7A25934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14:00 - 16:40</w:t>
            </w:r>
          </w:p>
        </w:tc>
        <w:tc>
          <w:tcPr>
            <w:tcW w:w="1273" w:type="dxa"/>
            <w:gridSpan w:val="2"/>
            <w:tcBorders>
              <w:top w:val="single" w:sz="4" w:space="0" w:color="000000"/>
              <w:left w:val="nil"/>
              <w:bottom w:val="single" w:sz="4" w:space="0" w:color="000000"/>
              <w:right w:val="single" w:sz="4" w:space="0" w:color="auto"/>
            </w:tcBorders>
            <w:vAlign w:val="center"/>
            <w:hideMark/>
          </w:tcPr>
          <w:p w14:paraId="0E8FB8C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11AF7B64"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40966FC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664ACFE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5F179E7F"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28286174"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302F678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25A344F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039A786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80AB14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2D3F0BA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66AE642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4B45E4C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08:00 - 20:00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53662BE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10:00 - 16:00</w:t>
            </w:r>
          </w:p>
        </w:tc>
      </w:tr>
      <w:tr w:rsidR="00C021D9" w14:paraId="691D8EC9"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141D547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602694B</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443E285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Eastern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1F9EFDB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Ivor Owen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3177C9A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40.25</w:t>
            </w:r>
          </w:p>
        </w:tc>
        <w:tc>
          <w:tcPr>
            <w:tcW w:w="1169" w:type="dxa"/>
            <w:tcBorders>
              <w:top w:val="single" w:sz="4" w:space="0" w:color="000000"/>
              <w:left w:val="nil"/>
              <w:bottom w:val="single" w:sz="4" w:space="0" w:color="000000"/>
              <w:right w:val="single" w:sz="4" w:space="0" w:color="auto"/>
            </w:tcBorders>
            <w:noWrap/>
            <w:vAlign w:val="center"/>
            <w:hideMark/>
          </w:tcPr>
          <w:p w14:paraId="5B7F7DF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50FF0A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14:15 - 17:30</w:t>
            </w:r>
          </w:p>
        </w:tc>
        <w:tc>
          <w:tcPr>
            <w:tcW w:w="1420" w:type="dxa"/>
            <w:gridSpan w:val="2"/>
            <w:tcBorders>
              <w:top w:val="single" w:sz="4" w:space="0" w:color="000000"/>
              <w:left w:val="nil"/>
              <w:bottom w:val="single" w:sz="4" w:space="0" w:color="000000"/>
              <w:right w:val="single" w:sz="4" w:space="0" w:color="auto"/>
            </w:tcBorders>
            <w:vAlign w:val="center"/>
            <w:hideMark/>
          </w:tcPr>
          <w:p w14:paraId="0F8F150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14:15 - 17:30</w:t>
            </w:r>
          </w:p>
        </w:tc>
        <w:tc>
          <w:tcPr>
            <w:tcW w:w="1420" w:type="dxa"/>
            <w:gridSpan w:val="2"/>
            <w:tcBorders>
              <w:top w:val="single" w:sz="4" w:space="0" w:color="000000"/>
              <w:left w:val="nil"/>
              <w:bottom w:val="single" w:sz="4" w:space="0" w:color="000000"/>
              <w:right w:val="single" w:sz="4" w:space="0" w:color="auto"/>
            </w:tcBorders>
            <w:vAlign w:val="center"/>
            <w:hideMark/>
          </w:tcPr>
          <w:p w14:paraId="7F274EE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14:15 - 17:30</w:t>
            </w:r>
          </w:p>
        </w:tc>
        <w:tc>
          <w:tcPr>
            <w:tcW w:w="1412" w:type="dxa"/>
            <w:gridSpan w:val="2"/>
            <w:tcBorders>
              <w:top w:val="single" w:sz="4" w:space="0" w:color="000000"/>
              <w:left w:val="nil"/>
              <w:bottom w:val="single" w:sz="4" w:space="0" w:color="000000"/>
              <w:right w:val="single" w:sz="4" w:space="0" w:color="auto"/>
            </w:tcBorders>
            <w:vAlign w:val="center"/>
            <w:hideMark/>
          </w:tcPr>
          <w:p w14:paraId="220B53E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14:15 - 17:30</w:t>
            </w:r>
          </w:p>
        </w:tc>
        <w:tc>
          <w:tcPr>
            <w:tcW w:w="1419" w:type="dxa"/>
            <w:gridSpan w:val="2"/>
            <w:tcBorders>
              <w:top w:val="single" w:sz="4" w:space="0" w:color="000000"/>
              <w:left w:val="nil"/>
              <w:bottom w:val="single" w:sz="4" w:space="0" w:color="000000"/>
              <w:right w:val="single" w:sz="4" w:space="0" w:color="auto"/>
            </w:tcBorders>
            <w:vAlign w:val="center"/>
            <w:hideMark/>
          </w:tcPr>
          <w:p w14:paraId="279DB5B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14:15 - 17:30</w:t>
            </w:r>
          </w:p>
        </w:tc>
        <w:tc>
          <w:tcPr>
            <w:tcW w:w="1416" w:type="dxa"/>
            <w:gridSpan w:val="2"/>
            <w:tcBorders>
              <w:top w:val="single" w:sz="4" w:space="0" w:color="000000"/>
              <w:left w:val="nil"/>
              <w:bottom w:val="single" w:sz="4" w:space="0" w:color="000000"/>
              <w:right w:val="single" w:sz="4" w:space="0" w:color="auto"/>
            </w:tcBorders>
            <w:vAlign w:val="center"/>
            <w:hideMark/>
          </w:tcPr>
          <w:p w14:paraId="68519C5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vAlign w:val="center"/>
            <w:hideMark/>
          </w:tcPr>
          <w:p w14:paraId="1DE8053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138DA32C"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2DFB9381"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27569794"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001C8D4"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1F825279"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65A29D2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2A74FAE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4C9454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1874AAB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4EC4E44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72753B9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14:00 - 17:30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167B457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12243EE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32F9DAD7"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3BB9898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602514C</w:t>
            </w:r>
          </w:p>
        </w:tc>
        <w:tc>
          <w:tcPr>
            <w:tcW w:w="1274" w:type="dxa"/>
            <w:gridSpan w:val="2"/>
            <w:vMerge w:val="restart"/>
            <w:tcBorders>
              <w:top w:val="single" w:sz="4" w:space="0" w:color="000000"/>
              <w:left w:val="single" w:sz="4" w:space="0" w:color="auto"/>
              <w:bottom w:val="single" w:sz="4" w:space="0" w:color="000000"/>
              <w:right w:val="single" w:sz="4" w:space="0" w:color="auto"/>
            </w:tcBorders>
            <w:vAlign w:val="center"/>
            <w:hideMark/>
          </w:tcPr>
          <w:p w14:paraId="57DCEE6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Eastern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51B1FB3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Pearns Pharmacy Penarth</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34006AF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42.50</w:t>
            </w:r>
          </w:p>
        </w:tc>
        <w:tc>
          <w:tcPr>
            <w:tcW w:w="1169" w:type="dxa"/>
            <w:tcBorders>
              <w:top w:val="single" w:sz="4" w:space="0" w:color="000000"/>
              <w:left w:val="nil"/>
              <w:bottom w:val="single" w:sz="4" w:space="0" w:color="000000"/>
              <w:right w:val="single" w:sz="4" w:space="0" w:color="auto"/>
            </w:tcBorders>
            <w:noWrap/>
            <w:vAlign w:val="center"/>
            <w:hideMark/>
          </w:tcPr>
          <w:p w14:paraId="0F145FB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1BA8F57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3BDD344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302BC9D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1AEBC1A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61702CF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vAlign w:val="center"/>
            <w:hideMark/>
          </w:tcPr>
          <w:p w14:paraId="277A7DD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vAlign w:val="center"/>
            <w:hideMark/>
          </w:tcPr>
          <w:p w14:paraId="21396C3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09F62446"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364D47EB"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4DCCC5BB"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3CA7C1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4A073A13"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124BBBD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7E716E1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099131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B7D3B5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3E5A02A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1E245AF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73C2AC9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0E6313A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7BF8EB1A"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42DA37C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602422C</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489B409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Eastern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07098C2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Mayberry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145300A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46.50</w:t>
            </w:r>
          </w:p>
        </w:tc>
        <w:tc>
          <w:tcPr>
            <w:tcW w:w="1169" w:type="dxa"/>
            <w:tcBorders>
              <w:top w:val="single" w:sz="4" w:space="0" w:color="000000"/>
              <w:left w:val="nil"/>
              <w:bottom w:val="single" w:sz="4" w:space="0" w:color="000000"/>
              <w:right w:val="single" w:sz="4" w:space="0" w:color="auto"/>
            </w:tcBorders>
            <w:noWrap/>
            <w:vAlign w:val="center"/>
            <w:hideMark/>
          </w:tcPr>
          <w:p w14:paraId="4F4CAE8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BD0632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1478E7E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7D6436E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089AC3B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3452F2C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vAlign w:val="center"/>
            <w:hideMark/>
          </w:tcPr>
          <w:p w14:paraId="6D37EDE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vAlign w:val="center"/>
            <w:hideMark/>
          </w:tcPr>
          <w:p w14:paraId="15AF2A5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5B0C64A9"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176042ED"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62F448F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509F7DB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11A70E2F"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0D7CAB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018967D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0F6158E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49C7FC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22DF66F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6F7E46F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5A7483F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42F8BA3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5BD9FE30"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057E865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602381A</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61F423A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Eastern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E09718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TH &amp; L Jones </w:t>
            </w:r>
          </w:p>
          <w:p w14:paraId="7B55EF8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Cardiff Road</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2AD429C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28536F4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23E0517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20" w:type="dxa"/>
            <w:gridSpan w:val="2"/>
            <w:tcBorders>
              <w:top w:val="single" w:sz="4" w:space="0" w:color="000000"/>
              <w:left w:val="nil"/>
              <w:bottom w:val="single" w:sz="4" w:space="0" w:color="000000"/>
              <w:right w:val="single" w:sz="4" w:space="0" w:color="auto"/>
            </w:tcBorders>
            <w:vAlign w:val="center"/>
            <w:hideMark/>
          </w:tcPr>
          <w:p w14:paraId="6FA2A3F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20" w:type="dxa"/>
            <w:gridSpan w:val="2"/>
            <w:tcBorders>
              <w:top w:val="single" w:sz="4" w:space="0" w:color="000000"/>
              <w:left w:val="nil"/>
              <w:bottom w:val="single" w:sz="4" w:space="0" w:color="000000"/>
              <w:right w:val="single" w:sz="4" w:space="0" w:color="auto"/>
            </w:tcBorders>
            <w:vAlign w:val="center"/>
            <w:hideMark/>
          </w:tcPr>
          <w:p w14:paraId="4D7A059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12" w:type="dxa"/>
            <w:gridSpan w:val="2"/>
            <w:tcBorders>
              <w:top w:val="single" w:sz="4" w:space="0" w:color="000000"/>
              <w:left w:val="nil"/>
              <w:bottom w:val="single" w:sz="4" w:space="0" w:color="000000"/>
              <w:right w:val="single" w:sz="4" w:space="0" w:color="auto"/>
            </w:tcBorders>
            <w:vAlign w:val="center"/>
            <w:hideMark/>
          </w:tcPr>
          <w:p w14:paraId="5D3636A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19" w:type="dxa"/>
            <w:gridSpan w:val="2"/>
            <w:tcBorders>
              <w:top w:val="single" w:sz="4" w:space="0" w:color="000000"/>
              <w:left w:val="nil"/>
              <w:bottom w:val="single" w:sz="4" w:space="0" w:color="000000"/>
              <w:right w:val="single" w:sz="4" w:space="0" w:color="auto"/>
            </w:tcBorders>
            <w:vAlign w:val="center"/>
            <w:hideMark/>
          </w:tcPr>
          <w:p w14:paraId="03DC27C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16" w:type="dxa"/>
            <w:gridSpan w:val="2"/>
            <w:tcBorders>
              <w:top w:val="single" w:sz="4" w:space="0" w:color="000000"/>
              <w:left w:val="nil"/>
              <w:bottom w:val="single" w:sz="4" w:space="0" w:color="000000"/>
              <w:right w:val="single" w:sz="4" w:space="0" w:color="auto"/>
            </w:tcBorders>
            <w:vAlign w:val="center"/>
            <w:hideMark/>
          </w:tcPr>
          <w:p w14:paraId="2FEE8EC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vAlign w:val="center"/>
            <w:hideMark/>
          </w:tcPr>
          <w:p w14:paraId="6DE741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424188CE"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54F95B7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7D36D0E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3AF809C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589AE5A3"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496884B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49B84CE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E6B0D6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BED762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4FDA217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7E438D2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008AFBB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6EE780B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0683B9DE"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672A1F2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602381B</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55FAE11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Eastern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149AA7E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The Murch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0C27C2E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6C6DC38E"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9F4070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20" w:type="dxa"/>
            <w:gridSpan w:val="2"/>
            <w:tcBorders>
              <w:top w:val="single" w:sz="4" w:space="0" w:color="000000"/>
              <w:left w:val="nil"/>
              <w:bottom w:val="single" w:sz="4" w:space="0" w:color="000000"/>
              <w:right w:val="single" w:sz="4" w:space="0" w:color="auto"/>
            </w:tcBorders>
            <w:vAlign w:val="center"/>
            <w:hideMark/>
          </w:tcPr>
          <w:p w14:paraId="31BEC63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20" w:type="dxa"/>
            <w:gridSpan w:val="2"/>
            <w:tcBorders>
              <w:top w:val="single" w:sz="4" w:space="0" w:color="000000"/>
              <w:left w:val="nil"/>
              <w:bottom w:val="single" w:sz="4" w:space="0" w:color="000000"/>
              <w:right w:val="single" w:sz="4" w:space="0" w:color="auto"/>
            </w:tcBorders>
            <w:vAlign w:val="center"/>
            <w:hideMark/>
          </w:tcPr>
          <w:p w14:paraId="7EC67BD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12" w:type="dxa"/>
            <w:gridSpan w:val="2"/>
            <w:tcBorders>
              <w:top w:val="single" w:sz="4" w:space="0" w:color="000000"/>
              <w:left w:val="nil"/>
              <w:bottom w:val="single" w:sz="4" w:space="0" w:color="000000"/>
              <w:right w:val="single" w:sz="4" w:space="0" w:color="auto"/>
            </w:tcBorders>
            <w:vAlign w:val="center"/>
            <w:hideMark/>
          </w:tcPr>
          <w:p w14:paraId="1F8B290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19" w:type="dxa"/>
            <w:gridSpan w:val="2"/>
            <w:tcBorders>
              <w:top w:val="single" w:sz="4" w:space="0" w:color="000000"/>
              <w:left w:val="nil"/>
              <w:bottom w:val="single" w:sz="4" w:space="0" w:color="000000"/>
              <w:right w:val="single" w:sz="4" w:space="0" w:color="auto"/>
            </w:tcBorders>
            <w:vAlign w:val="center"/>
            <w:hideMark/>
          </w:tcPr>
          <w:p w14:paraId="38B2A81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09:00-17:00</w:t>
            </w:r>
          </w:p>
        </w:tc>
        <w:tc>
          <w:tcPr>
            <w:tcW w:w="1416" w:type="dxa"/>
            <w:gridSpan w:val="2"/>
            <w:tcBorders>
              <w:top w:val="single" w:sz="4" w:space="0" w:color="000000"/>
              <w:left w:val="nil"/>
              <w:bottom w:val="single" w:sz="4" w:space="0" w:color="000000"/>
              <w:right w:val="single" w:sz="4" w:space="0" w:color="auto"/>
            </w:tcBorders>
            <w:vAlign w:val="center"/>
            <w:hideMark/>
          </w:tcPr>
          <w:p w14:paraId="38E8834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vAlign w:val="center"/>
            <w:hideMark/>
          </w:tcPr>
          <w:p w14:paraId="4B0128B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00DE6AE5"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067E34C5"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2BB291B"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5124CBD9"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0BAD11E9"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0994D57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2DCDE41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08:30-18:30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4EB4002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08:30-18:30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6A75A72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08:30-18:30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3E9BB4E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08:30-18:30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7678D5C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08:30-18:30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14AEA39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0AC69F6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6AAF1609"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6FB78E4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lastRenderedPageBreak/>
              <w:t>602694A</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6FDB529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Eastern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4BFCC48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Varus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3B0C15C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59AC6FF9"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475086E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77538DB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5B70FB8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186F281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14:00 - 17:30</w:t>
            </w:r>
          </w:p>
        </w:tc>
        <w:tc>
          <w:tcPr>
            <w:tcW w:w="1419" w:type="dxa"/>
            <w:gridSpan w:val="2"/>
            <w:tcBorders>
              <w:top w:val="single" w:sz="4" w:space="0" w:color="000000"/>
              <w:left w:val="nil"/>
              <w:bottom w:val="single" w:sz="4" w:space="0" w:color="000000"/>
              <w:right w:val="nil"/>
            </w:tcBorders>
            <w:vAlign w:val="center"/>
            <w:hideMark/>
          </w:tcPr>
          <w:p w14:paraId="7B62BCD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14:00 - 17:30</w:t>
            </w:r>
          </w:p>
        </w:tc>
        <w:tc>
          <w:tcPr>
            <w:tcW w:w="1416" w:type="dxa"/>
            <w:gridSpan w:val="2"/>
            <w:tcBorders>
              <w:top w:val="single" w:sz="4" w:space="0" w:color="000000"/>
              <w:left w:val="single" w:sz="4" w:space="0" w:color="auto"/>
              <w:bottom w:val="single" w:sz="4" w:space="0" w:color="000000"/>
              <w:right w:val="single" w:sz="4" w:space="0" w:color="auto"/>
            </w:tcBorders>
            <w:vAlign w:val="center"/>
            <w:hideMark/>
          </w:tcPr>
          <w:p w14:paraId="15F3A24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vAlign w:val="center"/>
            <w:hideMark/>
          </w:tcPr>
          <w:p w14:paraId="3EA568B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743DB343"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59ED4424"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7E5BEFF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2812D81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75F8A4B9"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ED43A2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0EC7C83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1584B2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348165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0F8D2AF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35B73EF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14:00 - 17:30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51F8859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462AD51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2F0174BD"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7E12FE5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602123A</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39B4F45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Eastern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E0EEDF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Washington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4DCB412B"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098FE9F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710F45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71FB755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56D13A0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2" w:type="dxa"/>
            <w:gridSpan w:val="2"/>
            <w:tcBorders>
              <w:top w:val="single" w:sz="4" w:space="0" w:color="000000"/>
              <w:left w:val="nil"/>
              <w:bottom w:val="single" w:sz="4" w:space="0" w:color="000000"/>
              <w:right w:val="single" w:sz="4" w:space="0" w:color="auto"/>
            </w:tcBorders>
            <w:vAlign w:val="center"/>
            <w:hideMark/>
          </w:tcPr>
          <w:p w14:paraId="33AC445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72C7562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6" w:type="dxa"/>
            <w:gridSpan w:val="2"/>
            <w:tcBorders>
              <w:top w:val="single" w:sz="4" w:space="0" w:color="000000"/>
              <w:left w:val="nil"/>
              <w:bottom w:val="single" w:sz="4" w:space="0" w:color="000000"/>
              <w:right w:val="single" w:sz="4" w:space="0" w:color="auto"/>
            </w:tcBorders>
            <w:vAlign w:val="center"/>
            <w:hideMark/>
          </w:tcPr>
          <w:p w14:paraId="644058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09:30 - 12:00</w:t>
            </w:r>
          </w:p>
        </w:tc>
        <w:tc>
          <w:tcPr>
            <w:tcW w:w="1273" w:type="dxa"/>
            <w:gridSpan w:val="2"/>
            <w:tcBorders>
              <w:top w:val="single" w:sz="4" w:space="0" w:color="000000"/>
              <w:left w:val="nil"/>
              <w:bottom w:val="single" w:sz="4" w:space="0" w:color="000000"/>
              <w:right w:val="single" w:sz="4" w:space="0" w:color="auto"/>
            </w:tcBorders>
            <w:vAlign w:val="center"/>
            <w:hideMark/>
          </w:tcPr>
          <w:p w14:paraId="13A1533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15BB70EA"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65E84CC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1BD556A4"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626992D7"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073323F7"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4FF776BF"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63936A2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95D5D0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7DC681B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436C830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34EBB37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51514CE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36FFFDE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5F50575F"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52E7821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602572A</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1677B32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Western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0921D65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Rhoose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722866E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1301691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38296CD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2841A45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794A597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14:00 - 16:00</w:t>
            </w:r>
          </w:p>
        </w:tc>
        <w:tc>
          <w:tcPr>
            <w:tcW w:w="1412" w:type="dxa"/>
            <w:gridSpan w:val="2"/>
            <w:tcBorders>
              <w:top w:val="single" w:sz="4" w:space="0" w:color="000000"/>
              <w:left w:val="nil"/>
              <w:bottom w:val="single" w:sz="4" w:space="0" w:color="000000"/>
              <w:right w:val="single" w:sz="4" w:space="0" w:color="auto"/>
            </w:tcBorders>
            <w:vAlign w:val="center"/>
            <w:hideMark/>
          </w:tcPr>
          <w:p w14:paraId="345755D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15840B4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6" w:type="dxa"/>
            <w:gridSpan w:val="2"/>
            <w:tcBorders>
              <w:top w:val="single" w:sz="4" w:space="0" w:color="000000"/>
              <w:left w:val="nil"/>
              <w:bottom w:val="single" w:sz="4" w:space="0" w:color="000000"/>
              <w:right w:val="single" w:sz="4" w:space="0" w:color="auto"/>
            </w:tcBorders>
            <w:vAlign w:val="center"/>
            <w:hideMark/>
          </w:tcPr>
          <w:p w14:paraId="05B10F7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09.00 - 12.30    </w:t>
            </w:r>
          </w:p>
        </w:tc>
        <w:tc>
          <w:tcPr>
            <w:tcW w:w="1273" w:type="dxa"/>
            <w:gridSpan w:val="2"/>
            <w:tcBorders>
              <w:top w:val="single" w:sz="4" w:space="0" w:color="000000"/>
              <w:left w:val="nil"/>
              <w:bottom w:val="single" w:sz="4" w:space="0" w:color="000000"/>
              <w:right w:val="single" w:sz="4" w:space="0" w:color="auto"/>
            </w:tcBorders>
            <w:vAlign w:val="center"/>
            <w:hideMark/>
          </w:tcPr>
          <w:p w14:paraId="74AB00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185787D1"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2834C35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0B367C55"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44C844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467C3306"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25BE37BC"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0D6CF6E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28479F1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5EAF9D5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1233AD8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63940FB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422BE83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09:00 - 12:30    </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2978BF8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5457C117"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7102092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602807F</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76253DA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Western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0DBA596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Lloyds Pharmacy Cowbridge</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410581E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0B54D2C3"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026288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14:30 - 18:00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62EDAAE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14:30 - 18:00</w:t>
            </w:r>
          </w:p>
        </w:tc>
        <w:tc>
          <w:tcPr>
            <w:tcW w:w="1420" w:type="dxa"/>
            <w:gridSpan w:val="2"/>
            <w:tcBorders>
              <w:top w:val="single" w:sz="4" w:space="0" w:color="000000"/>
              <w:left w:val="nil"/>
              <w:bottom w:val="single" w:sz="4" w:space="0" w:color="000000"/>
              <w:right w:val="single" w:sz="4" w:space="0" w:color="auto"/>
            </w:tcBorders>
            <w:vAlign w:val="center"/>
            <w:hideMark/>
          </w:tcPr>
          <w:p w14:paraId="52C1E39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14:30 - 18:00</w:t>
            </w:r>
          </w:p>
        </w:tc>
        <w:tc>
          <w:tcPr>
            <w:tcW w:w="1412" w:type="dxa"/>
            <w:gridSpan w:val="2"/>
            <w:tcBorders>
              <w:top w:val="single" w:sz="4" w:space="0" w:color="000000"/>
              <w:left w:val="nil"/>
              <w:bottom w:val="single" w:sz="4" w:space="0" w:color="000000"/>
              <w:right w:val="single" w:sz="4" w:space="0" w:color="auto"/>
            </w:tcBorders>
            <w:vAlign w:val="center"/>
            <w:hideMark/>
          </w:tcPr>
          <w:p w14:paraId="7344EDD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13:30 - 18:00</w:t>
            </w:r>
          </w:p>
        </w:tc>
        <w:tc>
          <w:tcPr>
            <w:tcW w:w="1419" w:type="dxa"/>
            <w:gridSpan w:val="2"/>
            <w:tcBorders>
              <w:top w:val="single" w:sz="4" w:space="0" w:color="000000"/>
              <w:left w:val="nil"/>
              <w:bottom w:val="single" w:sz="4" w:space="0" w:color="000000"/>
              <w:right w:val="single" w:sz="4" w:space="0" w:color="auto"/>
            </w:tcBorders>
            <w:vAlign w:val="center"/>
            <w:hideMark/>
          </w:tcPr>
          <w:p w14:paraId="366671E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   13:30 - 18:00</w:t>
            </w:r>
          </w:p>
        </w:tc>
        <w:tc>
          <w:tcPr>
            <w:tcW w:w="1416" w:type="dxa"/>
            <w:gridSpan w:val="2"/>
            <w:tcBorders>
              <w:top w:val="single" w:sz="4" w:space="0" w:color="000000"/>
              <w:left w:val="nil"/>
              <w:bottom w:val="single" w:sz="4" w:space="0" w:color="000000"/>
              <w:right w:val="single" w:sz="4" w:space="0" w:color="auto"/>
            </w:tcBorders>
            <w:vAlign w:val="center"/>
            <w:hideMark/>
          </w:tcPr>
          <w:p w14:paraId="132DA34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w:t>
            </w:r>
          </w:p>
        </w:tc>
        <w:tc>
          <w:tcPr>
            <w:tcW w:w="1273" w:type="dxa"/>
            <w:gridSpan w:val="2"/>
            <w:tcBorders>
              <w:top w:val="single" w:sz="4" w:space="0" w:color="000000"/>
              <w:left w:val="nil"/>
              <w:bottom w:val="single" w:sz="4" w:space="0" w:color="000000"/>
              <w:right w:val="single" w:sz="4" w:space="0" w:color="auto"/>
            </w:tcBorders>
            <w:vAlign w:val="center"/>
            <w:hideMark/>
          </w:tcPr>
          <w:p w14:paraId="58DDE99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4E62D2A9"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45976AC5"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5CE7D21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4474BED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4DC9EDD6"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56B5F94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1E288D5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14C2B16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0C1B6BE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08:30 - 18:30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1306F6A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0D30281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0B7E337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09:00 - 12:00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0389893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67151DF6"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40386DA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602853B</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4FD31B0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Western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70C084F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Well Pharmacy</w:t>
            </w:r>
          </w:p>
          <w:p w14:paraId="24BA55D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Llantwit Major</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1B7B1B74"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5CD8F387"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0A03595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3D87032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20" w:type="dxa"/>
            <w:gridSpan w:val="2"/>
            <w:tcBorders>
              <w:top w:val="single" w:sz="4" w:space="0" w:color="000000"/>
              <w:left w:val="nil"/>
              <w:bottom w:val="single" w:sz="4" w:space="0" w:color="000000"/>
              <w:right w:val="single" w:sz="4" w:space="0" w:color="auto"/>
            </w:tcBorders>
            <w:vAlign w:val="center"/>
            <w:hideMark/>
          </w:tcPr>
          <w:p w14:paraId="7F917B0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2" w:type="dxa"/>
            <w:gridSpan w:val="2"/>
            <w:tcBorders>
              <w:top w:val="single" w:sz="4" w:space="0" w:color="000000"/>
              <w:left w:val="nil"/>
              <w:bottom w:val="single" w:sz="4" w:space="0" w:color="000000"/>
              <w:right w:val="single" w:sz="4" w:space="0" w:color="auto"/>
            </w:tcBorders>
            <w:vAlign w:val="center"/>
            <w:hideMark/>
          </w:tcPr>
          <w:p w14:paraId="0B29F02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9" w:type="dxa"/>
            <w:gridSpan w:val="2"/>
            <w:tcBorders>
              <w:top w:val="single" w:sz="4" w:space="0" w:color="000000"/>
              <w:left w:val="nil"/>
              <w:bottom w:val="single" w:sz="4" w:space="0" w:color="000000"/>
              <w:right w:val="single" w:sz="4" w:space="0" w:color="auto"/>
            </w:tcBorders>
            <w:vAlign w:val="center"/>
            <w:hideMark/>
          </w:tcPr>
          <w:p w14:paraId="62EDA5C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14:00 - 18:00</w:t>
            </w:r>
          </w:p>
        </w:tc>
        <w:tc>
          <w:tcPr>
            <w:tcW w:w="1416" w:type="dxa"/>
            <w:gridSpan w:val="2"/>
            <w:tcBorders>
              <w:top w:val="single" w:sz="4" w:space="0" w:color="000000"/>
              <w:left w:val="nil"/>
              <w:bottom w:val="single" w:sz="4" w:space="0" w:color="000000"/>
              <w:right w:val="single" w:sz="4" w:space="0" w:color="auto"/>
            </w:tcBorders>
            <w:vAlign w:val="center"/>
            <w:hideMark/>
          </w:tcPr>
          <w:p w14:paraId="51FEDA2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vAlign w:val="center"/>
            <w:hideMark/>
          </w:tcPr>
          <w:p w14:paraId="3903EFD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028E1A16"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302B672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0C21BFAE"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5C32EA3"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2BE0CE13"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6A4E84D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614B396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1DE6ADB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5A40CC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718AA4A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6EDA7DC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08:30 - 18:00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4F17BAE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5C6AA6C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33AB9B15"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000000"/>
              <w:right w:val="single" w:sz="4" w:space="0" w:color="auto"/>
            </w:tcBorders>
            <w:vAlign w:val="center"/>
            <w:hideMark/>
          </w:tcPr>
          <w:p w14:paraId="208B6B0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602819B</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1F95A56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Western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4AF6C08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Boots Llantwit Major</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7743B9C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41.50</w:t>
            </w:r>
          </w:p>
        </w:tc>
        <w:tc>
          <w:tcPr>
            <w:tcW w:w="1169" w:type="dxa"/>
            <w:tcBorders>
              <w:top w:val="single" w:sz="4" w:space="0" w:color="000000"/>
              <w:left w:val="nil"/>
              <w:bottom w:val="single" w:sz="4" w:space="0" w:color="000000"/>
              <w:right w:val="single" w:sz="4" w:space="0" w:color="auto"/>
            </w:tcBorders>
            <w:noWrap/>
            <w:vAlign w:val="center"/>
            <w:hideMark/>
          </w:tcPr>
          <w:p w14:paraId="7C3BDC5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1F81D56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52E4560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20" w:type="dxa"/>
            <w:gridSpan w:val="2"/>
            <w:tcBorders>
              <w:top w:val="single" w:sz="4" w:space="0" w:color="000000"/>
              <w:left w:val="nil"/>
              <w:bottom w:val="single" w:sz="4" w:space="0" w:color="000000"/>
              <w:right w:val="single" w:sz="4" w:space="0" w:color="auto"/>
            </w:tcBorders>
            <w:vAlign w:val="center"/>
            <w:hideMark/>
          </w:tcPr>
          <w:p w14:paraId="1CC5890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xml:space="preserve">09:00 - 13:00   </w:t>
            </w:r>
          </w:p>
        </w:tc>
        <w:tc>
          <w:tcPr>
            <w:tcW w:w="1412" w:type="dxa"/>
            <w:gridSpan w:val="2"/>
            <w:tcBorders>
              <w:top w:val="single" w:sz="4" w:space="0" w:color="000000"/>
              <w:left w:val="nil"/>
              <w:bottom w:val="single" w:sz="4" w:space="0" w:color="000000"/>
              <w:right w:val="single" w:sz="4" w:space="0" w:color="auto"/>
            </w:tcBorders>
            <w:vAlign w:val="center"/>
            <w:hideMark/>
          </w:tcPr>
          <w:p w14:paraId="6126079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9" w:type="dxa"/>
            <w:gridSpan w:val="2"/>
            <w:tcBorders>
              <w:top w:val="single" w:sz="4" w:space="0" w:color="000000"/>
              <w:left w:val="nil"/>
              <w:bottom w:val="single" w:sz="4" w:space="0" w:color="000000"/>
              <w:right w:val="single" w:sz="4" w:space="0" w:color="auto"/>
            </w:tcBorders>
            <w:vAlign w:val="center"/>
            <w:hideMark/>
          </w:tcPr>
          <w:p w14:paraId="0AFDFAF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416" w:type="dxa"/>
            <w:gridSpan w:val="2"/>
            <w:tcBorders>
              <w:top w:val="single" w:sz="4" w:space="0" w:color="000000"/>
              <w:left w:val="nil"/>
              <w:bottom w:val="single" w:sz="4" w:space="0" w:color="000000"/>
              <w:right w:val="single" w:sz="4" w:space="0" w:color="auto"/>
            </w:tcBorders>
            <w:vAlign w:val="center"/>
            <w:hideMark/>
          </w:tcPr>
          <w:p w14:paraId="4C9241D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09:00 - 13:00   14:00 - 17:30</w:t>
            </w:r>
          </w:p>
        </w:tc>
        <w:tc>
          <w:tcPr>
            <w:tcW w:w="1273" w:type="dxa"/>
            <w:gridSpan w:val="2"/>
            <w:tcBorders>
              <w:top w:val="single" w:sz="4" w:space="0" w:color="000000"/>
              <w:left w:val="nil"/>
              <w:bottom w:val="single" w:sz="4" w:space="0" w:color="000000"/>
              <w:right w:val="single" w:sz="4" w:space="0" w:color="auto"/>
            </w:tcBorders>
            <w:vAlign w:val="center"/>
            <w:hideMark/>
          </w:tcPr>
          <w:p w14:paraId="21F4494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7E4DD7D2"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000000"/>
              <w:right w:val="single" w:sz="4" w:space="0" w:color="auto"/>
            </w:tcBorders>
            <w:vAlign w:val="center"/>
            <w:hideMark/>
          </w:tcPr>
          <w:p w14:paraId="5969454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3692932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3024E08B"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11C6FB02"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19982C48"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7DE7949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383CDEF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14:00 - 18:00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12428FD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1E95B48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14:00 - 18:00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703A7A9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14:00 - 18:00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0E7D3EB5"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08:30 - 13:00   14:00 - 17:30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75DB6F6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7DD5FBFD" w14:textId="77777777" w:rsidTr="008C4A70">
        <w:trPr>
          <w:gridAfter w:val="1"/>
          <w:wAfter w:w="75" w:type="dxa"/>
          <w:trHeight w:val="499"/>
          <w:jc w:val="center"/>
        </w:trPr>
        <w:tc>
          <w:tcPr>
            <w:tcW w:w="848" w:type="dxa"/>
            <w:vMerge w:val="restart"/>
            <w:tcBorders>
              <w:top w:val="single" w:sz="4" w:space="0" w:color="000000"/>
              <w:left w:val="single" w:sz="4" w:space="0" w:color="auto"/>
              <w:bottom w:val="single" w:sz="4" w:space="0" w:color="auto"/>
              <w:right w:val="single" w:sz="4" w:space="0" w:color="auto"/>
            </w:tcBorders>
            <w:vAlign w:val="center"/>
            <w:hideMark/>
          </w:tcPr>
          <w:p w14:paraId="0B5D9AF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602060A</w:t>
            </w:r>
          </w:p>
        </w:tc>
        <w:tc>
          <w:tcPr>
            <w:tcW w:w="1274" w:type="dxa"/>
            <w:gridSpan w:val="2"/>
            <w:vMerge w:val="restart"/>
            <w:tcBorders>
              <w:top w:val="single" w:sz="4" w:space="0" w:color="000000"/>
              <w:left w:val="single" w:sz="4" w:space="0" w:color="auto"/>
              <w:bottom w:val="single" w:sz="4" w:space="0" w:color="000000"/>
              <w:right w:val="single" w:sz="4" w:space="0" w:color="auto"/>
            </w:tcBorders>
            <w:noWrap/>
            <w:vAlign w:val="center"/>
            <w:hideMark/>
          </w:tcPr>
          <w:p w14:paraId="210F8D97"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Western Vale</w:t>
            </w:r>
          </w:p>
        </w:tc>
        <w:tc>
          <w:tcPr>
            <w:tcW w:w="1983" w:type="dxa"/>
            <w:gridSpan w:val="3"/>
            <w:vMerge w:val="restart"/>
            <w:tcBorders>
              <w:top w:val="single" w:sz="4" w:space="0" w:color="000000"/>
              <w:left w:val="single" w:sz="4" w:space="0" w:color="auto"/>
              <w:bottom w:val="single" w:sz="4" w:space="0" w:color="000000"/>
              <w:right w:val="single" w:sz="4" w:space="0" w:color="auto"/>
            </w:tcBorders>
            <w:vAlign w:val="center"/>
            <w:hideMark/>
          </w:tcPr>
          <w:p w14:paraId="6CB79DB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St Athan Pharmacy</w:t>
            </w:r>
          </w:p>
        </w:tc>
        <w:tc>
          <w:tcPr>
            <w:tcW w:w="852" w:type="dxa"/>
            <w:vMerge w:val="restart"/>
            <w:tcBorders>
              <w:top w:val="single" w:sz="4" w:space="0" w:color="000000"/>
              <w:left w:val="single" w:sz="4" w:space="0" w:color="auto"/>
              <w:bottom w:val="single" w:sz="4" w:space="0" w:color="000000"/>
              <w:right w:val="single" w:sz="4" w:space="0" w:color="auto"/>
            </w:tcBorders>
            <w:noWrap/>
            <w:vAlign w:val="center"/>
            <w:hideMark/>
          </w:tcPr>
          <w:p w14:paraId="5B2B4B3A"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26F1DBBE"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2787E28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230A8BC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66A1C56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000000"/>
              <w:right w:val="single" w:sz="4" w:space="0" w:color="auto"/>
            </w:tcBorders>
            <w:vAlign w:val="center"/>
            <w:hideMark/>
          </w:tcPr>
          <w:p w14:paraId="671F1EB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9" w:type="dxa"/>
            <w:gridSpan w:val="2"/>
            <w:tcBorders>
              <w:top w:val="single" w:sz="4" w:space="0" w:color="000000"/>
              <w:left w:val="nil"/>
              <w:bottom w:val="single" w:sz="4" w:space="0" w:color="000000"/>
              <w:right w:val="single" w:sz="4" w:space="0" w:color="auto"/>
            </w:tcBorders>
            <w:vAlign w:val="center"/>
            <w:hideMark/>
          </w:tcPr>
          <w:p w14:paraId="2FEB317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6" w:type="dxa"/>
            <w:gridSpan w:val="2"/>
            <w:tcBorders>
              <w:top w:val="single" w:sz="4" w:space="0" w:color="000000"/>
              <w:left w:val="nil"/>
              <w:bottom w:val="single" w:sz="4" w:space="0" w:color="000000"/>
              <w:right w:val="single" w:sz="4" w:space="0" w:color="auto"/>
            </w:tcBorders>
            <w:vAlign w:val="center"/>
            <w:hideMark/>
          </w:tcPr>
          <w:p w14:paraId="6CD4B4C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vAlign w:val="center"/>
            <w:hideMark/>
          </w:tcPr>
          <w:p w14:paraId="3727683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724AF218" w14:textId="77777777" w:rsidTr="008C4A70">
        <w:trPr>
          <w:gridAfter w:val="1"/>
          <w:wAfter w:w="75" w:type="dxa"/>
          <w:trHeight w:val="499"/>
          <w:jc w:val="center"/>
        </w:trPr>
        <w:tc>
          <w:tcPr>
            <w:tcW w:w="0" w:type="auto"/>
            <w:vMerge/>
            <w:tcBorders>
              <w:top w:val="single" w:sz="4" w:space="0" w:color="000000"/>
              <w:left w:val="single" w:sz="4" w:space="0" w:color="auto"/>
              <w:bottom w:val="single" w:sz="4" w:space="0" w:color="auto"/>
              <w:right w:val="single" w:sz="4" w:space="0" w:color="auto"/>
            </w:tcBorders>
            <w:vAlign w:val="center"/>
            <w:hideMark/>
          </w:tcPr>
          <w:p w14:paraId="15311C56"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000000"/>
              <w:right w:val="single" w:sz="4" w:space="0" w:color="auto"/>
            </w:tcBorders>
            <w:vAlign w:val="center"/>
            <w:hideMark/>
          </w:tcPr>
          <w:p w14:paraId="1818D9C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000000"/>
              <w:right w:val="single" w:sz="4" w:space="0" w:color="auto"/>
            </w:tcBorders>
            <w:vAlign w:val="center"/>
            <w:hideMark/>
          </w:tcPr>
          <w:p w14:paraId="0C6836B0"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000000"/>
              <w:right w:val="single" w:sz="4" w:space="0" w:color="auto"/>
            </w:tcBorders>
            <w:vAlign w:val="center"/>
            <w:hideMark/>
          </w:tcPr>
          <w:p w14:paraId="1506ADAB"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000000"/>
              <w:right w:val="single" w:sz="4" w:space="0" w:color="auto"/>
            </w:tcBorders>
            <w:shd w:val="clear" w:color="auto" w:fill="BFBFBF"/>
            <w:noWrap/>
            <w:vAlign w:val="center"/>
            <w:hideMark/>
          </w:tcPr>
          <w:p w14:paraId="3C4147A6"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000000"/>
              <w:right w:val="single" w:sz="4" w:space="0" w:color="auto"/>
            </w:tcBorders>
            <w:shd w:val="clear" w:color="auto" w:fill="BFBFBF"/>
            <w:vAlign w:val="center"/>
            <w:hideMark/>
          </w:tcPr>
          <w:p w14:paraId="2F666C92"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075FD889"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20" w:type="dxa"/>
            <w:gridSpan w:val="2"/>
            <w:tcBorders>
              <w:top w:val="single" w:sz="4" w:space="0" w:color="000000"/>
              <w:left w:val="nil"/>
              <w:bottom w:val="single" w:sz="4" w:space="0" w:color="000000"/>
              <w:right w:val="single" w:sz="4" w:space="0" w:color="auto"/>
            </w:tcBorders>
            <w:shd w:val="clear" w:color="auto" w:fill="BFBFBF"/>
            <w:vAlign w:val="center"/>
            <w:hideMark/>
          </w:tcPr>
          <w:p w14:paraId="0302BBC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09:00 - 18:00</w:t>
            </w:r>
          </w:p>
        </w:tc>
        <w:tc>
          <w:tcPr>
            <w:tcW w:w="1412" w:type="dxa"/>
            <w:gridSpan w:val="2"/>
            <w:tcBorders>
              <w:top w:val="single" w:sz="4" w:space="0" w:color="000000"/>
              <w:left w:val="nil"/>
              <w:bottom w:val="single" w:sz="4" w:space="0" w:color="000000"/>
              <w:right w:val="single" w:sz="4" w:space="0" w:color="auto"/>
            </w:tcBorders>
            <w:shd w:val="clear" w:color="auto" w:fill="BFBFBF"/>
            <w:vAlign w:val="center"/>
            <w:hideMark/>
          </w:tcPr>
          <w:p w14:paraId="1AEAFAD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9" w:type="dxa"/>
            <w:gridSpan w:val="2"/>
            <w:tcBorders>
              <w:top w:val="single" w:sz="4" w:space="0" w:color="000000"/>
              <w:left w:val="nil"/>
              <w:bottom w:val="single" w:sz="4" w:space="0" w:color="000000"/>
              <w:right w:val="single" w:sz="4" w:space="0" w:color="auto"/>
            </w:tcBorders>
            <w:shd w:val="clear" w:color="auto" w:fill="BFBFBF"/>
            <w:vAlign w:val="center"/>
            <w:hideMark/>
          </w:tcPr>
          <w:p w14:paraId="43A4F3E0"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09:00 - 17:30</w:t>
            </w:r>
          </w:p>
        </w:tc>
        <w:tc>
          <w:tcPr>
            <w:tcW w:w="1416" w:type="dxa"/>
            <w:gridSpan w:val="2"/>
            <w:tcBorders>
              <w:top w:val="single" w:sz="4" w:space="0" w:color="000000"/>
              <w:left w:val="nil"/>
              <w:bottom w:val="single" w:sz="4" w:space="0" w:color="000000"/>
              <w:right w:val="single" w:sz="4" w:space="0" w:color="auto"/>
            </w:tcBorders>
            <w:shd w:val="clear" w:color="auto" w:fill="BFBFBF"/>
            <w:vAlign w:val="center"/>
            <w:hideMark/>
          </w:tcPr>
          <w:p w14:paraId="2A2CC1F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09:00 - 12:30</w:t>
            </w:r>
          </w:p>
        </w:tc>
        <w:tc>
          <w:tcPr>
            <w:tcW w:w="1273" w:type="dxa"/>
            <w:gridSpan w:val="2"/>
            <w:tcBorders>
              <w:top w:val="single" w:sz="4" w:space="0" w:color="000000"/>
              <w:left w:val="nil"/>
              <w:bottom w:val="single" w:sz="4" w:space="0" w:color="000000"/>
              <w:right w:val="single" w:sz="4" w:space="0" w:color="auto"/>
            </w:tcBorders>
            <w:shd w:val="clear" w:color="auto" w:fill="BFBFBF"/>
            <w:vAlign w:val="center"/>
            <w:hideMark/>
          </w:tcPr>
          <w:p w14:paraId="12195E7F"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560AEE7E" w14:textId="77777777" w:rsidTr="008C4A70">
        <w:trPr>
          <w:gridAfter w:val="1"/>
          <w:wAfter w:w="75" w:type="dxa"/>
          <w:trHeight w:val="499"/>
          <w:jc w:val="center"/>
        </w:trPr>
        <w:tc>
          <w:tcPr>
            <w:tcW w:w="848" w:type="dxa"/>
            <w:vMerge w:val="restart"/>
            <w:tcBorders>
              <w:top w:val="single" w:sz="4" w:space="0" w:color="auto"/>
              <w:left w:val="single" w:sz="4" w:space="0" w:color="auto"/>
              <w:bottom w:val="single" w:sz="4" w:space="0" w:color="auto"/>
              <w:right w:val="single" w:sz="4" w:space="0" w:color="auto"/>
            </w:tcBorders>
            <w:vAlign w:val="center"/>
            <w:hideMark/>
          </w:tcPr>
          <w:p w14:paraId="4036794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602755B</w:t>
            </w:r>
          </w:p>
        </w:tc>
        <w:tc>
          <w:tcPr>
            <w:tcW w:w="1274" w:type="dxa"/>
            <w:gridSpan w:val="2"/>
            <w:vMerge w:val="restart"/>
            <w:tcBorders>
              <w:top w:val="single" w:sz="4" w:space="0" w:color="000000"/>
              <w:left w:val="single" w:sz="4" w:space="0" w:color="auto"/>
              <w:bottom w:val="single" w:sz="4" w:space="0" w:color="auto"/>
              <w:right w:val="nil"/>
            </w:tcBorders>
            <w:noWrap/>
            <w:vAlign w:val="center"/>
            <w:hideMark/>
          </w:tcPr>
          <w:p w14:paraId="04D69A3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Western Vale</w:t>
            </w:r>
          </w:p>
        </w:tc>
        <w:tc>
          <w:tcPr>
            <w:tcW w:w="1983" w:type="dxa"/>
            <w:gridSpan w:val="3"/>
            <w:vMerge w:val="restart"/>
            <w:tcBorders>
              <w:top w:val="single" w:sz="4" w:space="0" w:color="000000"/>
              <w:left w:val="single" w:sz="4" w:space="0" w:color="auto"/>
              <w:bottom w:val="single" w:sz="4" w:space="0" w:color="auto"/>
              <w:right w:val="single" w:sz="4" w:space="0" w:color="auto"/>
            </w:tcBorders>
            <w:vAlign w:val="center"/>
            <w:hideMark/>
          </w:tcPr>
          <w:p w14:paraId="37E7F804"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Sylvia Williams Chemist</w:t>
            </w:r>
          </w:p>
        </w:tc>
        <w:tc>
          <w:tcPr>
            <w:tcW w:w="852" w:type="dxa"/>
            <w:vMerge w:val="restart"/>
            <w:tcBorders>
              <w:top w:val="single" w:sz="4" w:space="0" w:color="000000"/>
              <w:left w:val="single" w:sz="4" w:space="0" w:color="auto"/>
              <w:bottom w:val="single" w:sz="4" w:space="0" w:color="auto"/>
              <w:right w:val="single" w:sz="4" w:space="0" w:color="auto"/>
            </w:tcBorders>
            <w:noWrap/>
            <w:vAlign w:val="center"/>
            <w:hideMark/>
          </w:tcPr>
          <w:p w14:paraId="592293D5"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40.00</w:t>
            </w:r>
          </w:p>
        </w:tc>
        <w:tc>
          <w:tcPr>
            <w:tcW w:w="1169" w:type="dxa"/>
            <w:tcBorders>
              <w:top w:val="single" w:sz="4" w:space="0" w:color="000000"/>
              <w:left w:val="nil"/>
              <w:bottom w:val="single" w:sz="4" w:space="0" w:color="000000"/>
              <w:right w:val="single" w:sz="4" w:space="0" w:color="auto"/>
            </w:tcBorders>
            <w:noWrap/>
            <w:vAlign w:val="center"/>
            <w:hideMark/>
          </w:tcPr>
          <w:p w14:paraId="1E8E3F2D"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Core</w:t>
            </w:r>
          </w:p>
        </w:tc>
        <w:tc>
          <w:tcPr>
            <w:tcW w:w="1379" w:type="dxa"/>
            <w:gridSpan w:val="2"/>
            <w:tcBorders>
              <w:top w:val="single" w:sz="4" w:space="0" w:color="000000"/>
              <w:left w:val="nil"/>
              <w:bottom w:val="single" w:sz="4" w:space="0" w:color="000000"/>
              <w:right w:val="single" w:sz="4" w:space="0" w:color="auto"/>
            </w:tcBorders>
            <w:vAlign w:val="center"/>
            <w:hideMark/>
          </w:tcPr>
          <w:p w14:paraId="521A714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5B79432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000000"/>
              <w:right w:val="single" w:sz="4" w:space="0" w:color="auto"/>
            </w:tcBorders>
            <w:vAlign w:val="center"/>
            <w:hideMark/>
          </w:tcPr>
          <w:p w14:paraId="56131BFE"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000000"/>
              <w:right w:val="single" w:sz="4" w:space="0" w:color="auto"/>
            </w:tcBorders>
            <w:vAlign w:val="center"/>
            <w:hideMark/>
          </w:tcPr>
          <w:p w14:paraId="3625C8C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9" w:type="dxa"/>
            <w:gridSpan w:val="2"/>
            <w:tcBorders>
              <w:top w:val="single" w:sz="4" w:space="0" w:color="000000"/>
              <w:left w:val="nil"/>
              <w:bottom w:val="single" w:sz="4" w:space="0" w:color="000000"/>
              <w:right w:val="single" w:sz="4" w:space="0" w:color="auto"/>
            </w:tcBorders>
            <w:vAlign w:val="center"/>
            <w:hideMark/>
          </w:tcPr>
          <w:p w14:paraId="6294242D"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6" w:type="dxa"/>
            <w:gridSpan w:val="2"/>
            <w:tcBorders>
              <w:top w:val="single" w:sz="4" w:space="0" w:color="000000"/>
              <w:left w:val="nil"/>
              <w:bottom w:val="single" w:sz="4" w:space="0" w:color="000000"/>
              <w:right w:val="single" w:sz="4" w:space="0" w:color="auto"/>
            </w:tcBorders>
            <w:vAlign w:val="center"/>
            <w:hideMark/>
          </w:tcPr>
          <w:p w14:paraId="683CC0CA"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c>
          <w:tcPr>
            <w:tcW w:w="1273" w:type="dxa"/>
            <w:gridSpan w:val="2"/>
            <w:tcBorders>
              <w:top w:val="single" w:sz="4" w:space="0" w:color="000000"/>
              <w:left w:val="nil"/>
              <w:bottom w:val="single" w:sz="4" w:space="0" w:color="000000"/>
              <w:right w:val="single" w:sz="4" w:space="0" w:color="auto"/>
            </w:tcBorders>
            <w:vAlign w:val="center"/>
            <w:hideMark/>
          </w:tcPr>
          <w:p w14:paraId="7DBCFB8B"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r w:rsidR="00C021D9" w14:paraId="2CE15D54" w14:textId="77777777" w:rsidTr="008C4A70">
        <w:trPr>
          <w:gridAfter w:val="1"/>
          <w:wAfter w:w="75" w:type="dxa"/>
          <w:trHeight w:val="499"/>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C6C404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2"/>
            <w:vMerge/>
            <w:tcBorders>
              <w:top w:val="single" w:sz="4" w:space="0" w:color="000000"/>
              <w:left w:val="single" w:sz="4" w:space="0" w:color="auto"/>
              <w:bottom w:val="single" w:sz="4" w:space="0" w:color="auto"/>
              <w:right w:val="nil"/>
            </w:tcBorders>
            <w:vAlign w:val="center"/>
            <w:hideMark/>
          </w:tcPr>
          <w:p w14:paraId="5FEB8C5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gridSpan w:val="3"/>
            <w:vMerge/>
            <w:tcBorders>
              <w:top w:val="single" w:sz="4" w:space="0" w:color="000000"/>
              <w:left w:val="single" w:sz="4" w:space="0" w:color="auto"/>
              <w:bottom w:val="single" w:sz="4" w:space="0" w:color="auto"/>
              <w:right w:val="single" w:sz="4" w:space="0" w:color="auto"/>
            </w:tcBorders>
            <w:vAlign w:val="center"/>
            <w:hideMark/>
          </w:tcPr>
          <w:p w14:paraId="6A747CDC" w14:textId="77777777" w:rsidR="00C021D9" w:rsidRDefault="00C021D9" w:rsidP="00DC54F7">
            <w:pPr>
              <w:spacing w:after="0" w:line="256" w:lineRule="auto"/>
              <w:jc w:val="both"/>
              <w:rPr>
                <w:rFonts w:ascii="Calibri" w:eastAsia="Times New Roman" w:hAnsi="Calibri" w:cs="Arial"/>
                <w:sz w:val="16"/>
                <w:szCs w:val="16"/>
                <w:lang w:eastAsia="en-GB"/>
              </w:rPr>
            </w:pPr>
          </w:p>
        </w:tc>
        <w:tc>
          <w:tcPr>
            <w:tcW w:w="0" w:type="auto"/>
            <w:vMerge/>
            <w:tcBorders>
              <w:top w:val="single" w:sz="4" w:space="0" w:color="000000"/>
              <w:left w:val="single" w:sz="4" w:space="0" w:color="auto"/>
              <w:bottom w:val="single" w:sz="4" w:space="0" w:color="auto"/>
              <w:right w:val="single" w:sz="4" w:space="0" w:color="auto"/>
            </w:tcBorders>
            <w:vAlign w:val="center"/>
            <w:hideMark/>
          </w:tcPr>
          <w:p w14:paraId="11E70327" w14:textId="77777777" w:rsidR="00C021D9" w:rsidRDefault="00C021D9" w:rsidP="00DC54F7">
            <w:pPr>
              <w:spacing w:after="0" w:line="256" w:lineRule="auto"/>
              <w:jc w:val="both"/>
              <w:rPr>
                <w:rFonts w:ascii="Calibri" w:eastAsia="Times New Roman" w:hAnsi="Calibri" w:cs="Arial"/>
                <w:b/>
                <w:bCs/>
                <w:sz w:val="16"/>
                <w:szCs w:val="16"/>
                <w:lang w:eastAsia="en-GB"/>
              </w:rPr>
            </w:pPr>
          </w:p>
        </w:tc>
        <w:tc>
          <w:tcPr>
            <w:tcW w:w="1169" w:type="dxa"/>
            <w:tcBorders>
              <w:top w:val="single" w:sz="4" w:space="0" w:color="000000"/>
              <w:left w:val="nil"/>
              <w:bottom w:val="single" w:sz="4" w:space="0" w:color="auto"/>
              <w:right w:val="single" w:sz="4" w:space="0" w:color="auto"/>
            </w:tcBorders>
            <w:shd w:val="clear" w:color="auto" w:fill="BFBFBF"/>
            <w:noWrap/>
            <w:vAlign w:val="center"/>
            <w:hideMark/>
          </w:tcPr>
          <w:p w14:paraId="6670B2FA" w14:textId="77777777" w:rsidR="00C021D9" w:rsidRDefault="00C021D9" w:rsidP="00DC54F7">
            <w:pPr>
              <w:spacing w:after="0" w:line="240" w:lineRule="auto"/>
              <w:jc w:val="both"/>
              <w:rPr>
                <w:rFonts w:ascii="Calibri" w:eastAsia="Times New Roman" w:hAnsi="Calibri" w:cs="Arial"/>
                <w:b/>
                <w:bCs/>
                <w:sz w:val="16"/>
                <w:szCs w:val="16"/>
                <w:lang w:eastAsia="en-GB"/>
              </w:rPr>
            </w:pPr>
            <w:r>
              <w:rPr>
                <w:rFonts w:ascii="Calibri" w:eastAsia="Times New Roman" w:hAnsi="Calibri" w:cs="Arial"/>
                <w:b/>
                <w:bCs/>
                <w:sz w:val="16"/>
                <w:szCs w:val="16"/>
                <w:lang w:eastAsia="en-GB"/>
              </w:rPr>
              <w:t>Total</w:t>
            </w:r>
          </w:p>
        </w:tc>
        <w:tc>
          <w:tcPr>
            <w:tcW w:w="1379" w:type="dxa"/>
            <w:gridSpan w:val="2"/>
            <w:tcBorders>
              <w:top w:val="single" w:sz="4" w:space="0" w:color="000000"/>
              <w:left w:val="nil"/>
              <w:bottom w:val="single" w:sz="4" w:space="0" w:color="auto"/>
              <w:right w:val="single" w:sz="4" w:space="0" w:color="auto"/>
            </w:tcBorders>
            <w:shd w:val="clear" w:color="auto" w:fill="BFBFBF"/>
            <w:vAlign w:val="center"/>
            <w:hideMark/>
          </w:tcPr>
          <w:p w14:paraId="0C8F096C"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auto"/>
              <w:right w:val="single" w:sz="4" w:space="0" w:color="auto"/>
            </w:tcBorders>
            <w:shd w:val="clear" w:color="auto" w:fill="BFBFBF"/>
            <w:vAlign w:val="center"/>
            <w:hideMark/>
          </w:tcPr>
          <w:p w14:paraId="66693D9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20" w:type="dxa"/>
            <w:gridSpan w:val="2"/>
            <w:tcBorders>
              <w:top w:val="single" w:sz="4" w:space="0" w:color="000000"/>
              <w:left w:val="nil"/>
              <w:bottom w:val="single" w:sz="4" w:space="0" w:color="auto"/>
              <w:right w:val="single" w:sz="4" w:space="0" w:color="auto"/>
            </w:tcBorders>
            <w:shd w:val="clear" w:color="auto" w:fill="BFBFBF"/>
            <w:vAlign w:val="center"/>
            <w:hideMark/>
          </w:tcPr>
          <w:p w14:paraId="6E6C9D0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2" w:type="dxa"/>
            <w:gridSpan w:val="2"/>
            <w:tcBorders>
              <w:top w:val="single" w:sz="4" w:space="0" w:color="000000"/>
              <w:left w:val="nil"/>
              <w:bottom w:val="single" w:sz="4" w:space="0" w:color="auto"/>
              <w:right w:val="single" w:sz="4" w:space="0" w:color="auto"/>
            </w:tcBorders>
            <w:shd w:val="clear" w:color="auto" w:fill="BFBFBF"/>
            <w:vAlign w:val="center"/>
            <w:hideMark/>
          </w:tcPr>
          <w:p w14:paraId="57D0E0D8"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9" w:type="dxa"/>
            <w:gridSpan w:val="2"/>
            <w:tcBorders>
              <w:top w:val="single" w:sz="4" w:space="0" w:color="000000"/>
              <w:left w:val="nil"/>
              <w:bottom w:val="single" w:sz="4" w:space="0" w:color="auto"/>
              <w:right w:val="single" w:sz="4" w:space="0" w:color="auto"/>
            </w:tcBorders>
            <w:shd w:val="clear" w:color="auto" w:fill="BFBFBF"/>
            <w:vAlign w:val="center"/>
            <w:hideMark/>
          </w:tcPr>
          <w:p w14:paraId="034EAD71"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416" w:type="dxa"/>
            <w:gridSpan w:val="2"/>
            <w:tcBorders>
              <w:top w:val="single" w:sz="4" w:space="0" w:color="000000"/>
              <w:left w:val="nil"/>
              <w:bottom w:val="single" w:sz="4" w:space="0" w:color="auto"/>
              <w:right w:val="single" w:sz="4" w:space="0" w:color="auto"/>
            </w:tcBorders>
            <w:shd w:val="clear" w:color="auto" w:fill="BFBFBF"/>
            <w:vAlign w:val="center"/>
            <w:hideMark/>
          </w:tcPr>
          <w:p w14:paraId="7C607BE6"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09:00 - 17:00</w:t>
            </w:r>
          </w:p>
        </w:tc>
        <w:tc>
          <w:tcPr>
            <w:tcW w:w="1273" w:type="dxa"/>
            <w:gridSpan w:val="2"/>
            <w:tcBorders>
              <w:top w:val="single" w:sz="4" w:space="0" w:color="000000"/>
              <w:left w:val="nil"/>
              <w:bottom w:val="single" w:sz="4" w:space="0" w:color="auto"/>
              <w:right w:val="single" w:sz="4" w:space="0" w:color="auto"/>
            </w:tcBorders>
            <w:shd w:val="clear" w:color="auto" w:fill="BFBFBF"/>
            <w:vAlign w:val="center"/>
            <w:hideMark/>
          </w:tcPr>
          <w:p w14:paraId="1C7E1B13" w14:textId="77777777" w:rsidR="00C021D9" w:rsidRDefault="00C021D9" w:rsidP="00DC54F7">
            <w:pPr>
              <w:spacing w:after="0" w:line="240" w:lineRule="auto"/>
              <w:jc w:val="both"/>
              <w:rPr>
                <w:rFonts w:ascii="Calibri" w:eastAsia="Times New Roman" w:hAnsi="Calibri" w:cs="Arial"/>
                <w:sz w:val="16"/>
                <w:szCs w:val="16"/>
                <w:lang w:eastAsia="en-GB"/>
              </w:rPr>
            </w:pPr>
            <w:r>
              <w:rPr>
                <w:rFonts w:ascii="Calibri" w:eastAsia="Times New Roman" w:hAnsi="Calibri" w:cs="Arial"/>
                <w:sz w:val="16"/>
                <w:szCs w:val="16"/>
                <w:lang w:eastAsia="en-GB"/>
              </w:rPr>
              <w:t> </w:t>
            </w:r>
          </w:p>
        </w:tc>
      </w:tr>
    </w:tbl>
    <w:p w14:paraId="5CC6268C" w14:textId="77777777" w:rsidR="00C021D9" w:rsidRDefault="00C021D9" w:rsidP="00DC54F7">
      <w:pPr>
        <w:contextualSpacing/>
        <w:jc w:val="both"/>
        <w:rPr>
          <w:rFonts w:ascii="Arial" w:eastAsia="Calibri" w:hAnsi="Arial" w:cs="Arial"/>
          <w:sz w:val="20"/>
          <w:szCs w:val="20"/>
        </w:rPr>
      </w:pPr>
    </w:p>
    <w:p w14:paraId="38C1AA31" w14:textId="77777777" w:rsidR="00C021D9" w:rsidRDefault="00C021D9" w:rsidP="00DC54F7">
      <w:pPr>
        <w:jc w:val="both"/>
        <w:rPr>
          <w:rFonts w:ascii="Calibri" w:eastAsia="Calibri" w:hAnsi="Calibri" w:cs="Times New Roman"/>
        </w:rPr>
      </w:pPr>
    </w:p>
    <w:p w14:paraId="14ECE68D" w14:textId="77777777" w:rsidR="005B2946" w:rsidRPr="005B2946" w:rsidRDefault="005B2946" w:rsidP="00DC54F7">
      <w:pPr>
        <w:spacing w:after="0"/>
        <w:contextualSpacing/>
        <w:jc w:val="both"/>
        <w:rPr>
          <w:rFonts w:ascii="Arial" w:eastAsia="Calibri" w:hAnsi="Arial" w:cs="Arial"/>
          <w:sz w:val="20"/>
          <w:szCs w:val="20"/>
        </w:rPr>
      </w:pPr>
    </w:p>
    <w:p w14:paraId="5F5562EC" w14:textId="77777777" w:rsidR="005B2946" w:rsidRPr="005B2946" w:rsidRDefault="005B2946" w:rsidP="00DC54F7">
      <w:pPr>
        <w:jc w:val="both"/>
        <w:rPr>
          <w:rFonts w:ascii="Calibri" w:eastAsia="Calibri" w:hAnsi="Calibri" w:cs="Times New Roman"/>
        </w:rPr>
      </w:pPr>
    </w:p>
    <w:p w14:paraId="2FE115E0" w14:textId="77777777" w:rsidR="005B2946" w:rsidRPr="005B2946" w:rsidRDefault="005B2946" w:rsidP="00DC54F7">
      <w:pPr>
        <w:jc w:val="both"/>
      </w:pPr>
    </w:p>
    <w:p w14:paraId="09A26776" w14:textId="3667CCD2" w:rsidR="00B95EA0" w:rsidRDefault="00B95EA0" w:rsidP="00DC54F7">
      <w:pPr>
        <w:jc w:val="both"/>
      </w:pPr>
    </w:p>
    <w:sectPr w:rsidR="00B95EA0" w:rsidSect="005B2946">
      <w:pgSz w:w="16838" w:h="11906" w:orient="landscape"/>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8AAE61" w14:textId="77777777" w:rsidR="005670EB" w:rsidRDefault="005670EB" w:rsidP="001C54D0">
      <w:pPr>
        <w:spacing w:after="0" w:line="240" w:lineRule="auto"/>
      </w:pPr>
      <w:r>
        <w:separator/>
      </w:r>
    </w:p>
  </w:endnote>
  <w:endnote w:type="continuationSeparator" w:id="0">
    <w:p w14:paraId="3D4F82F7" w14:textId="77777777" w:rsidR="005670EB" w:rsidRDefault="005670EB" w:rsidP="001C54D0">
      <w:pPr>
        <w:spacing w:after="0" w:line="240" w:lineRule="auto"/>
      </w:pPr>
      <w:r>
        <w:continuationSeparator/>
      </w:r>
    </w:p>
  </w:endnote>
  <w:endnote w:type="continuationNotice" w:id="1">
    <w:p w14:paraId="34AF0DA8" w14:textId="77777777" w:rsidR="005670EB" w:rsidRDefault="005670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Helvetica Neue">
    <w:altName w:val="Arial"/>
    <w:charset w:val="00"/>
    <w:family w:val="roman"/>
    <w:pitch w:val="default"/>
  </w:font>
  <w:font w:name="Lato">
    <w:altName w:val="Segoe UI"/>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44017071"/>
      <w:docPartObj>
        <w:docPartGallery w:val="Page Numbers (Bottom of Page)"/>
        <w:docPartUnique/>
      </w:docPartObj>
    </w:sdtPr>
    <w:sdtEndPr>
      <w:rPr>
        <w:rFonts w:ascii="Arial" w:hAnsi="Arial" w:cs="Arial"/>
        <w:noProof/>
        <w:sz w:val="20"/>
        <w:szCs w:val="20"/>
      </w:rPr>
    </w:sdtEndPr>
    <w:sdtContent>
      <w:p w14:paraId="0F42B1D7" w14:textId="77777777" w:rsidR="005670EB" w:rsidRPr="00FE3179" w:rsidRDefault="005670EB">
        <w:pPr>
          <w:pStyle w:val="Footer"/>
          <w:jc w:val="right"/>
          <w:rPr>
            <w:rFonts w:ascii="Arial" w:hAnsi="Arial" w:cs="Arial"/>
            <w:sz w:val="20"/>
            <w:szCs w:val="20"/>
          </w:rPr>
        </w:pPr>
        <w:r w:rsidRPr="00FE3179">
          <w:rPr>
            <w:rFonts w:ascii="Arial" w:hAnsi="Arial" w:cs="Arial"/>
            <w:sz w:val="20"/>
            <w:szCs w:val="20"/>
          </w:rPr>
          <w:fldChar w:fldCharType="begin"/>
        </w:r>
        <w:r w:rsidRPr="00FE3179">
          <w:rPr>
            <w:rFonts w:ascii="Arial" w:hAnsi="Arial" w:cs="Arial"/>
            <w:sz w:val="20"/>
            <w:szCs w:val="20"/>
          </w:rPr>
          <w:instrText xml:space="preserve"> PAGE   \* MERGEFORMAT </w:instrText>
        </w:r>
        <w:r w:rsidRPr="00FE3179">
          <w:rPr>
            <w:rFonts w:ascii="Arial" w:hAnsi="Arial" w:cs="Arial"/>
            <w:sz w:val="20"/>
            <w:szCs w:val="20"/>
          </w:rPr>
          <w:fldChar w:fldCharType="separate"/>
        </w:r>
        <w:r w:rsidR="00514FBA">
          <w:rPr>
            <w:rFonts w:ascii="Arial" w:hAnsi="Arial" w:cs="Arial"/>
            <w:noProof/>
            <w:sz w:val="20"/>
            <w:szCs w:val="20"/>
          </w:rPr>
          <w:t>350</w:t>
        </w:r>
        <w:r w:rsidRPr="00FE3179">
          <w:rPr>
            <w:rFonts w:ascii="Arial" w:hAnsi="Arial" w:cs="Arial"/>
            <w:noProof/>
            <w:sz w:val="20"/>
            <w:szCs w:val="20"/>
          </w:rPr>
          <w:fldChar w:fldCharType="end"/>
        </w:r>
      </w:p>
    </w:sdtContent>
  </w:sdt>
  <w:p w14:paraId="0CAD50F0" w14:textId="77777777" w:rsidR="005670EB" w:rsidRDefault="005670EB">
    <w:pPr>
      <w:pStyle w:val="Footer"/>
    </w:pPr>
  </w:p>
  <w:p w14:paraId="7006B3C4" w14:textId="77777777" w:rsidR="005670EB" w:rsidRDefault="005670EB" w:rsidP="000960CC">
    <w:pPr>
      <w:tabs>
        <w:tab w:val="left" w:pos="7095"/>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057EAD" w14:textId="77777777" w:rsidR="005670EB" w:rsidRDefault="005670EB" w:rsidP="001C54D0">
      <w:pPr>
        <w:spacing w:after="0" w:line="240" w:lineRule="auto"/>
      </w:pPr>
      <w:r>
        <w:separator/>
      </w:r>
    </w:p>
  </w:footnote>
  <w:footnote w:type="continuationSeparator" w:id="0">
    <w:p w14:paraId="45339667" w14:textId="77777777" w:rsidR="005670EB" w:rsidRDefault="005670EB" w:rsidP="001C54D0">
      <w:pPr>
        <w:spacing w:after="0" w:line="240" w:lineRule="auto"/>
      </w:pPr>
      <w:r>
        <w:continuationSeparator/>
      </w:r>
    </w:p>
  </w:footnote>
  <w:footnote w:type="continuationNotice" w:id="1">
    <w:p w14:paraId="7E212D3F" w14:textId="77777777" w:rsidR="005670EB" w:rsidRDefault="005670EB">
      <w:pPr>
        <w:spacing w:after="0" w:line="240" w:lineRule="auto"/>
      </w:pPr>
    </w:p>
  </w:footnote>
  <w:footnote w:id="2">
    <w:p w14:paraId="09EB4DF3" w14:textId="77777777" w:rsidR="005670EB" w:rsidRDefault="005670EB" w:rsidP="004424D0">
      <w:pPr>
        <w:pStyle w:val="FootnoteText"/>
      </w:pPr>
      <w:r>
        <w:rPr>
          <w:rStyle w:val="FootnoteReference"/>
        </w:rPr>
        <w:footnoteRef/>
      </w:r>
      <w:r>
        <w:t xml:space="preserve"> </w:t>
      </w:r>
      <w:r w:rsidRPr="004D0CDC">
        <w:rPr>
          <w:rFonts w:ascii="Arial" w:hAnsi="Arial" w:cs="Arial"/>
        </w:rPr>
        <w:t xml:space="preserve">Local authority population projections for Wales: 2018-based (revised). Statistical first release. Welsh Government. From: </w:t>
      </w:r>
      <w:hyperlink r:id="rId1" w:history="1">
        <w:r w:rsidRPr="004D0CDC">
          <w:rPr>
            <w:rStyle w:val="Hyperlink"/>
            <w:rFonts w:ascii="Arial" w:hAnsi="Arial" w:cs="Arial"/>
          </w:rPr>
          <w:t>Local authority population projections for Wales: 2018-based (revised) (gov.wales)</w:t>
        </w:r>
      </w:hyperlink>
    </w:p>
  </w:footnote>
  <w:footnote w:id="3">
    <w:p w14:paraId="24B759B9" w14:textId="77777777" w:rsidR="005670EB" w:rsidRPr="00122377" w:rsidRDefault="005670EB" w:rsidP="00931177">
      <w:pPr>
        <w:pStyle w:val="FootnoteText"/>
        <w:rPr>
          <w:rFonts w:ascii="Arial" w:hAnsi="Arial" w:cs="Arial"/>
        </w:rPr>
      </w:pPr>
      <w:r w:rsidRPr="00122377">
        <w:rPr>
          <w:rStyle w:val="FootnoteReference"/>
          <w:rFonts w:ascii="Arial" w:hAnsi="Arial" w:cs="Arial"/>
        </w:rPr>
        <w:footnoteRef/>
      </w:r>
      <w:r w:rsidRPr="00122377">
        <w:rPr>
          <w:rFonts w:ascii="Arial" w:hAnsi="Arial" w:cs="Arial"/>
        </w:rPr>
        <w:t xml:space="preserve"> </w:t>
      </w:r>
      <w:r w:rsidRPr="004D0CDC">
        <w:rPr>
          <w:rFonts w:ascii="Arial" w:hAnsi="Arial" w:cs="Arial"/>
        </w:rPr>
        <w:t xml:space="preserve">Welsh Index of Multiple Deprivation (WIMD) 2019 Results report. From: </w:t>
      </w:r>
      <w:hyperlink r:id="rId2" w:history="1">
        <w:r w:rsidRPr="004D0CDC">
          <w:rPr>
            <w:rStyle w:val="Hyperlink"/>
            <w:rFonts w:ascii="Arial" w:hAnsi="Arial" w:cs="Arial"/>
          </w:rPr>
          <w:t>Welsh Index of Multiple Deprivation (WIMD) 2019: Results report (gov.wales)</w:t>
        </w:r>
      </w:hyperlink>
    </w:p>
  </w:footnote>
  <w:footnote w:id="4">
    <w:p w14:paraId="6D82D7F4" w14:textId="5C506E4A" w:rsidR="005670EB" w:rsidRPr="004D0CDC" w:rsidRDefault="005670EB" w:rsidP="006A5F6F">
      <w:pPr>
        <w:pStyle w:val="CommentText"/>
        <w:rPr>
          <w:rFonts w:ascii="Arial" w:hAnsi="Arial" w:cs="Arial"/>
        </w:rPr>
      </w:pPr>
      <w:r w:rsidRPr="004D0CDC">
        <w:rPr>
          <w:rStyle w:val="FootnoteReference"/>
          <w:rFonts w:ascii="Arial" w:hAnsi="Arial" w:cs="Arial"/>
        </w:rPr>
        <w:footnoteRef/>
      </w:r>
      <w:r w:rsidRPr="004D0CDC">
        <w:rPr>
          <w:rFonts w:ascii="Arial" w:hAnsi="Arial" w:cs="Arial"/>
        </w:rPr>
        <w:t xml:space="preserve"> Births in England and Wales (2019). Office of National Statistics. From: </w:t>
      </w:r>
      <w:hyperlink r:id="rId3" w:history="1">
        <w:r w:rsidRPr="004D0CDC">
          <w:rPr>
            <w:rStyle w:val="Hyperlink"/>
            <w:rFonts w:ascii="Arial" w:hAnsi="Arial" w:cs="Arial"/>
          </w:rPr>
          <w:t>Births in England and Wales - Office for National Statistics (ons.gov.uk)</w:t>
        </w:r>
      </w:hyperlink>
    </w:p>
    <w:p w14:paraId="3395EC22" w14:textId="4FA393DE" w:rsidR="005670EB" w:rsidRDefault="005670EB">
      <w:pPr>
        <w:pStyle w:val="FootnoteText"/>
      </w:pPr>
    </w:p>
  </w:footnote>
  <w:footnote w:id="5">
    <w:p w14:paraId="7E9F727A" w14:textId="54203433" w:rsidR="005670EB" w:rsidRPr="004D0CDC" w:rsidRDefault="005670EB" w:rsidP="00F107DF">
      <w:pPr>
        <w:pStyle w:val="FootnoteText"/>
        <w:rPr>
          <w:rFonts w:ascii="Arial" w:hAnsi="Arial" w:cs="Arial"/>
        </w:rPr>
      </w:pPr>
      <w:r w:rsidRPr="002B7C2F">
        <w:rPr>
          <w:rStyle w:val="FootnoteReference"/>
          <w:rFonts w:ascii="Arial" w:hAnsi="Arial" w:cs="Arial"/>
        </w:rPr>
        <w:footnoteRef/>
      </w:r>
      <w:r w:rsidRPr="002B7C2F">
        <w:rPr>
          <w:rFonts w:ascii="Arial" w:hAnsi="Arial" w:cs="Arial"/>
        </w:rPr>
        <w:t xml:space="preserve"> </w:t>
      </w:r>
      <w:r w:rsidRPr="004D0CDC">
        <w:rPr>
          <w:rFonts w:ascii="Arial" w:hAnsi="Arial" w:cs="Arial"/>
        </w:rPr>
        <w:t xml:space="preserve">Source: Office of National Statistics (2020). Sexual Orientation UK, 2012 - 2018 edition. Annual Population Survey (APS), Office for National Statistics From: </w:t>
      </w:r>
      <w:hyperlink r:id="rId4" w:history="1">
        <w:r w:rsidRPr="004D0CDC">
          <w:rPr>
            <w:rStyle w:val="Hyperlink"/>
            <w:rFonts w:ascii="Arial" w:hAnsi="Arial" w:cs="Arial"/>
          </w:rPr>
          <w:t>Sexual orientation, UK - Office for National Statistics (ons.gov.uk)</w:t>
        </w:r>
      </w:hyperlink>
    </w:p>
    <w:p w14:paraId="430DE397" w14:textId="211A154C" w:rsidR="005670EB" w:rsidRPr="001D7815" w:rsidRDefault="005670EB">
      <w:pPr>
        <w:pStyle w:val="FootnoteText"/>
      </w:pPr>
    </w:p>
  </w:footnote>
  <w:footnote w:id="6">
    <w:p w14:paraId="48B0B2C6" w14:textId="1BD20FBF" w:rsidR="005670EB" w:rsidRPr="004D0CDC" w:rsidRDefault="005670EB">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 Cardiff and the Vale of Glamorgan. Population needs assessments for the social services and well-being (Wales) Act 2014. From: </w:t>
      </w:r>
      <w:hyperlink r:id="rId5" w:history="1">
        <w:r w:rsidRPr="004D0CDC">
          <w:rPr>
            <w:rFonts w:ascii="Arial" w:hAnsi="Arial" w:cs="Arial"/>
            <w:color w:val="0000FF"/>
            <w:u w:val="single"/>
          </w:rPr>
          <w:t>Population-Needs-Assessment-1.pdf (cvihsc.co.uk)</w:t>
        </w:r>
      </w:hyperlink>
    </w:p>
  </w:footnote>
  <w:footnote w:id="7">
    <w:p w14:paraId="16F79A84" w14:textId="77777777" w:rsidR="005670EB" w:rsidRPr="004D0CDC" w:rsidRDefault="005670EB" w:rsidP="00B2486D">
      <w:pPr>
        <w:pStyle w:val="CommentText"/>
        <w:spacing w:after="0"/>
        <w:rPr>
          <w:rFonts w:ascii="Arial" w:hAnsi="Arial" w:cs="Arial"/>
        </w:rPr>
      </w:pPr>
      <w:r w:rsidRPr="004D0CDC">
        <w:rPr>
          <w:rStyle w:val="FootnoteReference"/>
          <w:rFonts w:ascii="Arial" w:hAnsi="Arial" w:cs="Arial"/>
        </w:rPr>
        <w:footnoteRef/>
      </w:r>
      <w:r w:rsidRPr="004D0CDC">
        <w:rPr>
          <w:rFonts w:ascii="Arial" w:hAnsi="Arial" w:cs="Arial"/>
        </w:rPr>
        <w:t xml:space="preserve"> Report on an unannounced inspection of HMP Cardiff by HM Chief Inspector of Prisons, 15–26 July 2019 From: </w:t>
      </w:r>
      <w:hyperlink r:id="rId6" w:history="1">
        <w:r w:rsidRPr="004D0CDC">
          <w:rPr>
            <w:rStyle w:val="Hyperlink"/>
            <w:rFonts w:ascii="Arial" w:hAnsi="Arial" w:cs="Arial"/>
          </w:rPr>
          <w:t>https://www.justiceinspectorates.gov.uk/hmiprisons/wp-content/uploads/sites/4/2019/11/Cardiff-Web-2019.pdf</w:t>
        </w:r>
      </w:hyperlink>
    </w:p>
    <w:p w14:paraId="33EF761F" w14:textId="77777777" w:rsidR="005670EB" w:rsidRDefault="005670EB" w:rsidP="00B2486D">
      <w:pPr>
        <w:pStyle w:val="CommentText"/>
      </w:pPr>
    </w:p>
    <w:p w14:paraId="049357A3" w14:textId="77777777" w:rsidR="005670EB" w:rsidRDefault="005670EB" w:rsidP="00B2486D">
      <w:pPr>
        <w:pStyle w:val="FootnoteText"/>
      </w:pPr>
    </w:p>
  </w:footnote>
  <w:footnote w:id="8">
    <w:p w14:paraId="240BD299" w14:textId="48E13D51" w:rsidR="005670EB" w:rsidRDefault="005670EB">
      <w:pPr>
        <w:pStyle w:val="FootnoteText"/>
      </w:pPr>
      <w:r>
        <w:rPr>
          <w:rStyle w:val="FootnoteReference"/>
        </w:rPr>
        <w:footnoteRef/>
      </w:r>
      <w:r>
        <w:t xml:space="preserve"> </w:t>
      </w:r>
      <w:r w:rsidRPr="004D0CDC">
        <w:rPr>
          <w:rFonts w:ascii="Arial" w:hAnsi="Arial" w:cs="Arial"/>
          <w:color w:val="4C4D4F"/>
        </w:rPr>
        <w:t>Institute for Health Metrics and Evaluation (IHME). </w:t>
      </w:r>
      <w:r w:rsidRPr="004D0CDC">
        <w:rPr>
          <w:rStyle w:val="Strong"/>
          <w:rFonts w:ascii="Arial" w:hAnsi="Arial" w:cs="Arial"/>
          <w:b w:val="0"/>
          <w:bCs w:val="0"/>
          <w:color w:val="4C4D4F"/>
        </w:rPr>
        <w:t>Wales profile</w:t>
      </w:r>
      <w:r w:rsidRPr="004D0CDC">
        <w:rPr>
          <w:rFonts w:ascii="Arial" w:hAnsi="Arial" w:cs="Arial"/>
          <w:color w:val="4C4D4F"/>
        </w:rPr>
        <w:t>. Seattle, WA: IHME, University of Washington, 2018. Available from </w:t>
      </w:r>
      <w:hyperlink r:id="rId7" w:history="1">
        <w:r w:rsidRPr="004D0CDC">
          <w:rPr>
            <w:rStyle w:val="Hyperlink"/>
            <w:rFonts w:ascii="Arial" w:hAnsi="Arial" w:cs="Arial"/>
          </w:rPr>
          <w:t>http://www.healthdata.org/[WALES</w:t>
        </w:r>
      </w:hyperlink>
      <w:r w:rsidRPr="004D0CDC">
        <w:rPr>
          <w:rFonts w:ascii="Arial" w:hAnsi="Arial" w:cs="Arial"/>
        </w:rPr>
        <w:t>]</w:t>
      </w:r>
      <w:r w:rsidRPr="004D0CDC">
        <w:rPr>
          <w:rFonts w:ascii="Arial" w:hAnsi="Arial" w:cs="Arial"/>
          <w:color w:val="4C4D4F"/>
        </w:rPr>
        <w:t>. (Accessed Jan 2021</w:t>
      </w:r>
      <w:r>
        <w:rPr>
          <w:rFonts w:ascii="Arial" w:hAnsi="Arial" w:cs="Arial"/>
          <w:color w:val="4C4D4F"/>
          <w:sz w:val="21"/>
          <w:szCs w:val="21"/>
        </w:rPr>
        <w:t>)</w:t>
      </w:r>
    </w:p>
  </w:footnote>
  <w:footnote w:id="9">
    <w:p w14:paraId="5F3E60FA" w14:textId="3F125052" w:rsidR="005670EB" w:rsidRPr="004D0CDC" w:rsidRDefault="005670EB">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Welsh government (2012). </w:t>
      </w:r>
      <w:r w:rsidRPr="004D0CDC">
        <w:rPr>
          <w:rStyle w:val="Strong"/>
          <w:rFonts w:ascii="Arial" w:hAnsi="Arial" w:cs="Arial"/>
          <w:b w:val="0"/>
          <w:bCs w:val="0"/>
          <w:bdr w:val="none" w:sz="0" w:space="0" w:color="auto" w:frame="1"/>
        </w:rPr>
        <w:t>“Together for Mental Health – A Mental Health and Wellbeing Strategy for Wales”</w:t>
      </w:r>
      <w:r w:rsidRPr="004D0CDC">
        <w:rPr>
          <w:rFonts w:ascii="Arial" w:hAnsi="Arial" w:cs="Arial"/>
        </w:rPr>
        <w:t xml:space="preserve">.  From: </w:t>
      </w:r>
      <w:hyperlink r:id="rId8" w:history="1">
        <w:r w:rsidRPr="004D0CDC">
          <w:rPr>
            <w:rStyle w:val="Hyperlink"/>
            <w:rFonts w:ascii="Arial" w:hAnsi="Arial" w:cs="Arial"/>
          </w:rPr>
          <w:t>DRAFT v3 (gov.wales)</w:t>
        </w:r>
      </w:hyperlink>
    </w:p>
  </w:footnote>
  <w:footnote w:id="10">
    <w:p w14:paraId="31B13745" w14:textId="67E82EE7" w:rsidR="005670EB" w:rsidRPr="004D0CDC" w:rsidRDefault="005670EB" w:rsidP="007225E8">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 Welsh Government (2020). Loneliness (National Survey for Wales): April 2019 to March 2020 From: </w:t>
      </w:r>
      <w:hyperlink r:id="rId9" w:history="1">
        <w:r w:rsidRPr="004D0CDC">
          <w:rPr>
            <w:rStyle w:val="Hyperlink"/>
            <w:rFonts w:ascii="Arial" w:hAnsi="Arial" w:cs="Arial"/>
          </w:rPr>
          <w:t>Loneliness (National Survey for Wales): April 2019 to March 2020 | GOV.WALES</w:t>
        </w:r>
      </w:hyperlink>
    </w:p>
  </w:footnote>
  <w:footnote w:id="11">
    <w:p w14:paraId="49493A1F" w14:textId="1A1BC9C7" w:rsidR="005670EB" w:rsidRPr="004D0CDC" w:rsidRDefault="005670EB">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 Public Health Wales Observatory (2019). Suicide rates 2014 to 2018, age-standardised rates (EASR) per 100,000 persons aged ten years and over, using PHMY and MYE(ONS)</w:t>
      </w:r>
    </w:p>
  </w:footnote>
  <w:footnote w:id="12">
    <w:p w14:paraId="7643D546" w14:textId="7F154997" w:rsidR="005670EB" w:rsidRPr="004D0CDC" w:rsidRDefault="005670EB" w:rsidP="004D0CDC">
      <w:pPr>
        <w:spacing w:after="0" w:line="240" w:lineRule="auto"/>
        <w:rPr>
          <w:rFonts w:ascii="Arial" w:hAnsi="Arial" w:cs="Arial"/>
          <w:b/>
          <w:sz w:val="20"/>
          <w:szCs w:val="20"/>
        </w:rPr>
      </w:pPr>
      <w:r w:rsidRPr="00BC7DDC">
        <w:rPr>
          <w:rStyle w:val="FootnoteReference"/>
          <w:rFonts w:ascii="Arial" w:hAnsi="Arial" w:cs="Arial"/>
          <w:sz w:val="20"/>
          <w:szCs w:val="20"/>
        </w:rPr>
        <w:footnoteRef/>
      </w:r>
      <w:r w:rsidRPr="00BC7DDC">
        <w:rPr>
          <w:rFonts w:ascii="Arial" w:hAnsi="Arial" w:cs="Arial"/>
          <w:sz w:val="20"/>
          <w:szCs w:val="20"/>
        </w:rPr>
        <w:t xml:space="preserve"> </w:t>
      </w:r>
      <w:r w:rsidRPr="004D0CDC">
        <w:rPr>
          <w:rFonts w:ascii="Arial" w:hAnsi="Arial" w:cs="Arial"/>
          <w:color w:val="4C4D4F"/>
          <w:sz w:val="20"/>
          <w:szCs w:val="20"/>
        </w:rPr>
        <w:t>Institute for Health Metrics and Evaluation (IHME). </w:t>
      </w:r>
      <w:r w:rsidRPr="004D0CDC">
        <w:rPr>
          <w:rStyle w:val="Strong"/>
          <w:rFonts w:ascii="Arial" w:hAnsi="Arial" w:cs="Arial"/>
          <w:b w:val="0"/>
          <w:bCs w:val="0"/>
          <w:color w:val="4C4D4F"/>
          <w:sz w:val="20"/>
          <w:szCs w:val="20"/>
        </w:rPr>
        <w:t>Wales profile</w:t>
      </w:r>
      <w:r w:rsidRPr="004D0CDC">
        <w:rPr>
          <w:rFonts w:ascii="Arial" w:hAnsi="Arial" w:cs="Arial"/>
          <w:color w:val="4C4D4F"/>
          <w:sz w:val="20"/>
          <w:szCs w:val="20"/>
        </w:rPr>
        <w:t>. Seattle, WA: IHME, University of Washington, 2018. From: </w:t>
      </w:r>
      <w:hyperlink r:id="rId10" w:history="1">
        <w:r w:rsidRPr="004D0CDC">
          <w:rPr>
            <w:rStyle w:val="Hyperlink"/>
            <w:rFonts w:ascii="Arial" w:hAnsi="Arial" w:cs="Arial"/>
            <w:sz w:val="20"/>
            <w:szCs w:val="20"/>
          </w:rPr>
          <w:t>http://www.healthdata.org/[Wales</w:t>
        </w:r>
      </w:hyperlink>
      <w:r w:rsidRPr="004D0CDC">
        <w:rPr>
          <w:rFonts w:ascii="Arial" w:hAnsi="Arial" w:cs="Arial"/>
          <w:sz w:val="20"/>
          <w:szCs w:val="20"/>
        </w:rPr>
        <w:t>]</w:t>
      </w:r>
      <w:r w:rsidRPr="004D0CDC">
        <w:rPr>
          <w:rFonts w:ascii="Arial" w:hAnsi="Arial" w:cs="Arial"/>
          <w:color w:val="4C4D4F"/>
          <w:sz w:val="20"/>
          <w:szCs w:val="20"/>
        </w:rPr>
        <w:t>. (Accessed 11/02/2021)</w:t>
      </w:r>
    </w:p>
  </w:footnote>
  <w:footnote w:id="13">
    <w:p w14:paraId="7E75A345" w14:textId="77777777" w:rsidR="005670EB" w:rsidRPr="004D0CDC" w:rsidRDefault="005670EB" w:rsidP="005F3FBC">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 Welsh Government (December 2020). Smoke-free law: guidance on the changes from March 2021, Welsh Government.  </w:t>
      </w:r>
      <w:hyperlink r:id="rId11" w:history="1">
        <w:r w:rsidRPr="004D0CDC">
          <w:rPr>
            <w:rStyle w:val="Hyperlink"/>
            <w:rFonts w:ascii="Arial" w:hAnsi="Arial" w:cs="Arial"/>
          </w:rPr>
          <w:t>https://gov.wales/smoke-free-law-guidance-changes-march-2021-html</w:t>
        </w:r>
      </w:hyperlink>
    </w:p>
    <w:p w14:paraId="4D854E6C" w14:textId="77777777" w:rsidR="005670EB" w:rsidRDefault="005670EB" w:rsidP="005F3FBC">
      <w:pPr>
        <w:pStyle w:val="FootnoteText"/>
      </w:pPr>
    </w:p>
    <w:p w14:paraId="0E1E7255" w14:textId="77777777" w:rsidR="005670EB" w:rsidRDefault="005670EB" w:rsidP="005F3FBC">
      <w:pPr>
        <w:pStyle w:val="FootnoteText"/>
      </w:pPr>
    </w:p>
  </w:footnote>
  <w:footnote w:id="14">
    <w:p w14:paraId="29BE840D" w14:textId="70A635A2" w:rsidR="005670EB" w:rsidRPr="004D0CDC" w:rsidRDefault="005670EB">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 Public Health Wales Observatory (2020). Smoking in Wales. </w:t>
      </w:r>
      <w:r w:rsidRPr="004D0CDC">
        <w:rPr>
          <w:rFonts w:ascii="Arial" w:hAnsi="Arial" w:cs="Arial"/>
          <w:color w:val="333333"/>
          <w:shd w:val="clear" w:color="auto" w:fill="FFFFFF"/>
        </w:rPr>
        <w:t>Maternity indicators dataset, NHS Wales Informatics Service (NWIS)</w:t>
      </w:r>
    </w:p>
  </w:footnote>
  <w:footnote w:id="15">
    <w:p w14:paraId="7D1FCA06" w14:textId="3EF452EC" w:rsidR="005670EB" w:rsidRPr="004D0CDC" w:rsidRDefault="005670EB" w:rsidP="009235F1">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Public Health England (2017).  Guidance Health matters: combating high blood pressure. From: </w:t>
      </w:r>
      <w:hyperlink r:id="rId12" w:history="1">
        <w:r w:rsidRPr="004D0CDC">
          <w:rPr>
            <w:rStyle w:val="Hyperlink"/>
            <w:rFonts w:ascii="Arial" w:hAnsi="Arial" w:cs="Arial"/>
          </w:rPr>
          <w:t>https://www.gov.uk/government/publications/health-matters-combating-high-blood-pressure/health-matters-combating-high-blood-pressure</w:t>
        </w:r>
      </w:hyperlink>
    </w:p>
  </w:footnote>
  <w:footnote w:id="16">
    <w:p w14:paraId="476810BD" w14:textId="4EDFB0BB" w:rsidR="005670EB" w:rsidRDefault="005670EB">
      <w:pPr>
        <w:pStyle w:val="FootnoteText"/>
      </w:pPr>
      <w:r w:rsidRPr="004D0CDC">
        <w:rPr>
          <w:rStyle w:val="FootnoteReference"/>
          <w:rFonts w:ascii="Arial" w:hAnsi="Arial" w:cs="Arial"/>
        </w:rPr>
        <w:footnoteRef/>
      </w:r>
      <w:r w:rsidRPr="004D0CDC">
        <w:rPr>
          <w:rFonts w:ascii="Arial" w:hAnsi="Arial" w:cs="Arial"/>
        </w:rPr>
        <w:t xml:space="preserve"> Public Health Wales Observatory. Obesity. From: </w:t>
      </w:r>
      <w:hyperlink r:id="rId13" w:history="1">
        <w:r w:rsidRPr="004D0CDC">
          <w:rPr>
            <w:rStyle w:val="Hyperlink"/>
            <w:rFonts w:ascii="Arial" w:hAnsi="Arial" w:cs="Arial"/>
          </w:rPr>
          <w:t>Public Health Wales Observatory | Obesity in Wales (2019)</w:t>
        </w:r>
      </w:hyperlink>
    </w:p>
  </w:footnote>
  <w:footnote w:id="17">
    <w:p w14:paraId="0F844030" w14:textId="77777777" w:rsidR="005670EB" w:rsidRPr="004D0CDC" w:rsidRDefault="005670EB">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 Department of Health and Social Care (2020). UK Chief Medical Officers' Physical Activity Guidelines. </w:t>
      </w:r>
    </w:p>
    <w:p w14:paraId="01236E57" w14:textId="2A90C938" w:rsidR="005670EB" w:rsidRPr="00173C7B" w:rsidRDefault="005670EB">
      <w:pPr>
        <w:pStyle w:val="FootnoteText"/>
        <w:rPr>
          <w:rFonts w:cstheme="minorHAnsi"/>
        </w:rPr>
      </w:pPr>
      <w:r w:rsidRPr="004D0CDC">
        <w:rPr>
          <w:rFonts w:ascii="Arial" w:hAnsi="Arial" w:cs="Arial"/>
          <w:color w:val="000000" w:themeColor="text1"/>
        </w:rPr>
        <w:t>Available at:</w:t>
      </w:r>
      <w:r w:rsidRPr="004D0CDC">
        <w:rPr>
          <w:rFonts w:ascii="Arial" w:hAnsi="Arial" w:cs="Arial"/>
          <w:color w:val="000000" w:themeColor="text1"/>
          <w:u w:val="single"/>
        </w:rPr>
        <w:t xml:space="preserve"> </w:t>
      </w:r>
      <w:hyperlink w:history="1">
        <w:r w:rsidRPr="004D0CDC">
          <w:rPr>
            <w:rStyle w:val="Hyperlink"/>
            <w:rFonts w:ascii="Arial" w:hAnsi="Arial" w:cs="Arial"/>
          </w:rPr>
          <w:t>Physical activity guidelines: UK Chief Medical Officers' report - GOV.UK (www.gov.uk)</w:t>
        </w:r>
      </w:hyperlink>
    </w:p>
  </w:footnote>
  <w:footnote w:id="18">
    <w:p w14:paraId="2C5F463D" w14:textId="4680C1A8" w:rsidR="005670EB" w:rsidRPr="004D0CDC" w:rsidRDefault="005670EB" w:rsidP="003C6A75">
      <w:pPr>
        <w:pStyle w:val="CommentText"/>
        <w:rPr>
          <w:rFonts w:ascii="Arial" w:hAnsi="Arial" w:cs="Arial"/>
        </w:rPr>
      </w:pPr>
      <w:r w:rsidRPr="004D0CDC">
        <w:rPr>
          <w:rStyle w:val="FootnoteReference"/>
          <w:rFonts w:ascii="Arial" w:hAnsi="Arial" w:cs="Arial"/>
        </w:rPr>
        <w:footnoteRef/>
      </w:r>
      <w:r w:rsidRPr="004D0CDC">
        <w:rPr>
          <w:rFonts w:ascii="Arial" w:hAnsi="Arial" w:cs="Arial"/>
        </w:rPr>
        <w:t xml:space="preserve"> Department of Health and Social Care (2016). Guidance: Alcohol consumption: advice on low risk drinking. Available at: </w:t>
      </w:r>
      <w:hyperlink r:id="rId14" w:history="1">
        <w:r w:rsidRPr="004D0CDC">
          <w:rPr>
            <w:rStyle w:val="Hyperlink"/>
            <w:rFonts w:ascii="Arial" w:hAnsi="Arial" w:cs="Arial"/>
          </w:rPr>
          <w:t>UK Chief Medical Officers' Low Risk Drinking Guidelines (publishing.service.gov.uk)</w:t>
        </w:r>
      </w:hyperlink>
    </w:p>
    <w:p w14:paraId="6563BF3C" w14:textId="5E1664A8" w:rsidR="005670EB" w:rsidRDefault="005670EB">
      <w:pPr>
        <w:pStyle w:val="FootnoteText"/>
      </w:pPr>
    </w:p>
  </w:footnote>
  <w:footnote w:id="19">
    <w:p w14:paraId="2B00AB5B" w14:textId="595D5F44" w:rsidR="005670EB" w:rsidRPr="004D0CDC" w:rsidRDefault="005670EB">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 Public Health Observatory Wales (2019). Alcohol in Wales. From: </w:t>
      </w:r>
      <w:hyperlink r:id="rId15" w:history="1">
        <w:r w:rsidRPr="004D0CDC">
          <w:rPr>
            <w:rFonts w:ascii="Arial" w:hAnsi="Arial" w:cs="Arial"/>
            <w:color w:val="0000FF"/>
            <w:u w:val="single"/>
          </w:rPr>
          <w:t>Public Health Wales Observatory Alcohol in Wales (2019)</w:t>
        </w:r>
      </w:hyperlink>
    </w:p>
  </w:footnote>
  <w:footnote w:id="20">
    <w:p w14:paraId="50679F80" w14:textId="20363227" w:rsidR="005670EB" w:rsidRPr="004D0CDC" w:rsidRDefault="005670EB">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 Public Health Wales (2014). Low Birth Weight Review of risk factors and interventions Summary Report. From: </w:t>
      </w:r>
      <w:hyperlink r:id="rId16" w:history="1">
        <w:r w:rsidRPr="004D0CDC">
          <w:rPr>
            <w:rStyle w:val="Hyperlink"/>
            <w:rFonts w:ascii="Arial" w:hAnsi="Arial" w:cs="Arial"/>
          </w:rPr>
          <w:t>Low Birth Weight summary v1.pdf (wales.nhs.uk)</w:t>
        </w:r>
      </w:hyperlink>
    </w:p>
  </w:footnote>
  <w:footnote w:id="21">
    <w:p w14:paraId="74E1072D" w14:textId="5BD20228" w:rsidR="005670EB" w:rsidRPr="004D0CDC" w:rsidRDefault="005670EB">
      <w:pPr>
        <w:pStyle w:val="FootnoteText"/>
        <w:rPr>
          <w:rFonts w:ascii="Arial" w:hAnsi="Arial" w:cs="Arial"/>
        </w:rPr>
      </w:pPr>
      <w:r>
        <w:rPr>
          <w:rStyle w:val="FootnoteReference"/>
        </w:rPr>
        <w:footnoteRef/>
      </w:r>
      <w:r>
        <w:t xml:space="preserve"> </w:t>
      </w:r>
      <w:r w:rsidRPr="004D0CDC">
        <w:rPr>
          <w:rFonts w:ascii="Arial" w:hAnsi="Arial" w:cs="Arial"/>
        </w:rPr>
        <w:t xml:space="preserve">Public Health England. Health Matters: Child dental health. From: </w:t>
      </w:r>
      <w:hyperlink r:id="rId17" w:history="1">
        <w:r w:rsidRPr="004D0CDC">
          <w:rPr>
            <w:rStyle w:val="Hyperlink"/>
            <w:rFonts w:ascii="Arial" w:hAnsi="Arial" w:cs="Arial"/>
          </w:rPr>
          <w:t>Health Matters: Child dental health - Public health matters (blog.gov.uk)</w:t>
        </w:r>
      </w:hyperlink>
    </w:p>
  </w:footnote>
  <w:footnote w:id="22">
    <w:p w14:paraId="6B5DA42B" w14:textId="77777777" w:rsidR="005670EB" w:rsidRPr="004D0CDC" w:rsidRDefault="005670EB" w:rsidP="00991EEF">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Communicable Disease Surveillance Centre Public health Wales (Sept 2018). HIV and STI trends in Wales Surveillance Report </w:t>
      </w:r>
      <w:hyperlink r:id="rId18" w:history="1">
        <w:r w:rsidRPr="004D0CDC">
          <w:rPr>
            <w:rStyle w:val="Hyperlink"/>
            <w:rFonts w:ascii="Arial" w:hAnsi="Arial" w:cs="Arial"/>
          </w:rPr>
          <w:t>4th quarterly report 1994 [WP] (wales.nhs.uk)</w:t>
        </w:r>
      </w:hyperlink>
    </w:p>
  </w:footnote>
  <w:footnote w:id="23">
    <w:p w14:paraId="7EC07D38" w14:textId="77777777" w:rsidR="005670EB" w:rsidRPr="004D0CDC" w:rsidRDefault="005670EB" w:rsidP="00583A14">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 NICE (2018). NICEimpact falls and fragility fractures. From: </w:t>
      </w:r>
      <w:hyperlink r:id="rId19" w:history="1">
        <w:r w:rsidRPr="004D0CDC">
          <w:rPr>
            <w:rStyle w:val="Hyperlink"/>
            <w:rFonts w:ascii="Arial" w:hAnsi="Arial" w:cs="Arial"/>
          </w:rPr>
          <w:t>https://www.nice.org.uk/media/default/about/what-we-do/into-practice/measuring-uptake/nice-impact-falls-and-fragility-fractures.pdf</w:t>
        </w:r>
      </w:hyperlink>
    </w:p>
    <w:p w14:paraId="3990C3A8" w14:textId="77777777" w:rsidR="005670EB" w:rsidRDefault="005670EB" w:rsidP="00583A14">
      <w:pPr>
        <w:pStyle w:val="FootnoteText"/>
      </w:pPr>
    </w:p>
  </w:footnote>
  <w:footnote w:id="24">
    <w:p w14:paraId="28D7B9BE" w14:textId="36A9261E" w:rsidR="005670EB" w:rsidRPr="004D0CDC" w:rsidRDefault="005670EB" w:rsidP="004943AF">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Cover Annual Report (2020).  Vaccine Uptake in Children in Wales. From: </w:t>
      </w:r>
      <w:hyperlink r:id="rId20" w:history="1">
        <w:r w:rsidRPr="004D0CDC">
          <w:rPr>
            <w:rStyle w:val="Hyperlink"/>
            <w:rFonts w:ascii="Arial" w:hAnsi="Arial" w:cs="Arial"/>
          </w:rPr>
          <w:t>cover report Feb 95 [WP] (wales.nhs.uk)</w:t>
        </w:r>
      </w:hyperlink>
    </w:p>
  </w:footnote>
  <w:footnote w:id="25">
    <w:p w14:paraId="57D51187" w14:textId="40441D67" w:rsidR="005670EB" w:rsidRDefault="005670EB">
      <w:pPr>
        <w:pStyle w:val="FootnoteText"/>
      </w:pPr>
      <w:r>
        <w:rPr>
          <w:rStyle w:val="FootnoteReference"/>
        </w:rPr>
        <w:footnoteRef/>
      </w:r>
      <w:r>
        <w:t xml:space="preserve"> </w:t>
      </w:r>
      <w:r w:rsidRPr="004D0CDC">
        <w:rPr>
          <w:rFonts w:ascii="Arial" w:hAnsi="Arial" w:cs="Arial"/>
        </w:rPr>
        <w:t xml:space="preserve">Public Health Wales (2020): Seasonal influenza in Wales 2019/20 Annual Report. From: </w:t>
      </w:r>
      <w:hyperlink r:id="rId21" w:history="1">
        <w:r w:rsidRPr="004D0CDC">
          <w:rPr>
            <w:rStyle w:val="Hyperlink"/>
            <w:rFonts w:ascii="Arial" w:hAnsi="Arial" w:cs="Arial"/>
          </w:rPr>
          <w:t>Table (wales.nhs.uk)</w:t>
        </w:r>
      </w:hyperlink>
    </w:p>
  </w:footnote>
  <w:footnote w:id="26">
    <w:p w14:paraId="15717C48" w14:textId="77777777" w:rsidR="005670EB" w:rsidRDefault="005670EB" w:rsidP="007A2A74">
      <w:pPr>
        <w:pStyle w:val="FootnoteText"/>
      </w:pPr>
      <w:r>
        <w:rPr>
          <w:rStyle w:val="FootnoteReference"/>
        </w:rPr>
        <w:footnoteRef/>
      </w:r>
      <w:r>
        <w:t xml:space="preserve"> </w:t>
      </w:r>
      <w:r w:rsidRPr="007A5489">
        <w:rPr>
          <w:rFonts w:ascii="Arial" w:hAnsi="Arial" w:cs="Arial"/>
        </w:rPr>
        <w:t>Cardiff and Vale Population Needs Assessment (2017). For Social Services and Well-being (Wales) Act 2014</w:t>
      </w:r>
      <w:r>
        <w:rPr>
          <w:rFonts w:ascii="Arial" w:hAnsi="Arial" w:cs="Arial"/>
        </w:rPr>
        <w:t>. From:</w:t>
      </w:r>
      <w:r w:rsidRPr="007A5489">
        <w:rPr>
          <w:rFonts w:ascii="Arial" w:hAnsi="Arial" w:cs="Arial"/>
        </w:rPr>
        <w:t xml:space="preserve"> </w:t>
      </w:r>
      <w:hyperlink r:id="rId22" w:history="1">
        <w:r w:rsidRPr="007A5489">
          <w:rPr>
            <w:rStyle w:val="Hyperlink"/>
            <w:rFonts w:ascii="Arial" w:hAnsi="Arial" w:cs="Arial"/>
          </w:rPr>
          <w:t>Population-Needs-Assessment-1.pdf (cvihsc.co.uk)</w:t>
        </w:r>
      </w:hyperlink>
    </w:p>
  </w:footnote>
  <w:footnote w:id="27">
    <w:p w14:paraId="3DB98789" w14:textId="77777777" w:rsidR="005670EB" w:rsidRPr="004D0CDC" w:rsidRDefault="005670EB" w:rsidP="007A2A74">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 </w:t>
      </w:r>
      <w:hyperlink r:id="rId23" w:history="1">
        <w:r w:rsidRPr="004D0CDC">
          <w:rPr>
            <w:rFonts w:ascii="Arial" w:hAnsi="Arial" w:cs="Arial"/>
            <w:color w:val="0000FF"/>
            <w:u w:val="single"/>
          </w:rPr>
          <w:t>Ageing Well: Falls Prevention (ageingwellinwales.com)</w:t>
        </w:r>
      </w:hyperlink>
    </w:p>
  </w:footnote>
  <w:footnote w:id="28">
    <w:p w14:paraId="26D64BA0" w14:textId="304AAF0E" w:rsidR="005670EB" w:rsidRPr="004E7C6A" w:rsidRDefault="005670EB" w:rsidP="007A2A74">
      <w:pPr>
        <w:pStyle w:val="FootnoteText"/>
        <w:rPr>
          <w:rFonts w:ascii="Arial" w:hAnsi="Arial" w:cs="Arial"/>
        </w:rPr>
      </w:pPr>
      <w:r w:rsidRPr="007A5489">
        <w:rPr>
          <w:rStyle w:val="FootnoteReference"/>
          <w:rFonts w:ascii="Arial" w:hAnsi="Arial" w:cs="Arial"/>
        </w:rPr>
        <w:footnoteRef/>
      </w:r>
      <w:r w:rsidRPr="007A5489">
        <w:rPr>
          <w:rFonts w:ascii="Arial" w:hAnsi="Arial" w:cs="Arial"/>
        </w:rPr>
        <w:t xml:space="preserve"> Cardiff and Vale UHB (2017). Cardiff and Vale dementia health needs assessment. From: </w:t>
      </w:r>
      <w:hyperlink r:id="rId24" w:history="1">
        <w:r w:rsidRPr="007A5489">
          <w:rPr>
            <w:rStyle w:val="Hyperlink"/>
            <w:rFonts w:ascii="Arial" w:hAnsi="Arial" w:cs="Arial"/>
          </w:rPr>
          <w:t>http://www.cardiffandvaleuhb.wales.nhs.uk/sitesplus/documents/1143/Dementia%20Strategy%20C%20and%20V%202018-2028%20FINAL%20(003).pdf</w:t>
        </w:r>
      </w:hyperlink>
    </w:p>
  </w:footnote>
  <w:footnote w:id="29">
    <w:p w14:paraId="0620069B" w14:textId="77777777" w:rsidR="005670EB" w:rsidRPr="0018731A" w:rsidRDefault="005670EB" w:rsidP="007A2A74">
      <w:pPr>
        <w:pStyle w:val="FootnoteText"/>
        <w:rPr>
          <w:rFonts w:ascii="Arial" w:hAnsi="Arial" w:cs="Arial"/>
        </w:rPr>
      </w:pPr>
      <w:r w:rsidRPr="0018731A">
        <w:rPr>
          <w:rStyle w:val="FootnoteReference"/>
          <w:rFonts w:ascii="Arial" w:hAnsi="Arial" w:cs="Arial"/>
        </w:rPr>
        <w:footnoteRef/>
      </w:r>
      <w:r w:rsidRPr="0018731A">
        <w:rPr>
          <w:rFonts w:ascii="Arial" w:hAnsi="Arial" w:cs="Arial"/>
        </w:rPr>
        <w:t xml:space="preserve"> Cymru Well Wales. First 1000 days</w:t>
      </w:r>
    </w:p>
  </w:footnote>
  <w:footnote w:id="30">
    <w:p w14:paraId="15AA14BE" w14:textId="77777777" w:rsidR="005670EB" w:rsidRPr="0018731A" w:rsidRDefault="005670EB" w:rsidP="007A2A74">
      <w:pPr>
        <w:pStyle w:val="FootnoteText"/>
        <w:rPr>
          <w:rFonts w:ascii="Arial" w:hAnsi="Arial" w:cs="Arial"/>
        </w:rPr>
      </w:pPr>
      <w:r w:rsidRPr="0018731A">
        <w:rPr>
          <w:rStyle w:val="FootnoteReference"/>
          <w:rFonts w:ascii="Arial" w:hAnsi="Arial" w:cs="Arial"/>
        </w:rPr>
        <w:footnoteRef/>
      </w:r>
      <w:r w:rsidRPr="0018731A">
        <w:rPr>
          <w:rFonts w:ascii="Arial" w:hAnsi="Arial" w:cs="Arial"/>
        </w:rPr>
        <w:t xml:space="preserve"> Cardiff and Vale Population Needs Assessment (2017). For Social Services and Well-being (Wales) Act 2014</w:t>
      </w:r>
      <w:r>
        <w:rPr>
          <w:rFonts w:ascii="Arial" w:hAnsi="Arial" w:cs="Arial"/>
        </w:rPr>
        <w:t>. From:</w:t>
      </w:r>
      <w:r w:rsidRPr="0018731A">
        <w:rPr>
          <w:rFonts w:ascii="Arial" w:hAnsi="Arial" w:cs="Arial"/>
        </w:rPr>
        <w:t xml:space="preserve"> </w:t>
      </w:r>
      <w:hyperlink r:id="rId25" w:history="1">
        <w:r w:rsidRPr="0018731A">
          <w:rPr>
            <w:rStyle w:val="Hyperlink"/>
            <w:rFonts w:ascii="Arial" w:hAnsi="Arial" w:cs="Arial"/>
          </w:rPr>
          <w:t>Population-Needs-Assessment-1.pdf (cvihsc.co.uk)</w:t>
        </w:r>
      </w:hyperlink>
    </w:p>
  </w:footnote>
  <w:footnote w:id="31">
    <w:p w14:paraId="38EA8BD9" w14:textId="77777777" w:rsidR="005670EB" w:rsidRPr="0018731A" w:rsidRDefault="005670EB" w:rsidP="007A2A74">
      <w:pPr>
        <w:pStyle w:val="FootnoteText"/>
        <w:rPr>
          <w:rFonts w:ascii="Arial" w:hAnsi="Arial" w:cs="Arial"/>
        </w:rPr>
      </w:pPr>
      <w:r w:rsidRPr="0018731A">
        <w:rPr>
          <w:rStyle w:val="FootnoteReference"/>
          <w:rFonts w:ascii="Arial" w:hAnsi="Arial" w:cs="Arial"/>
        </w:rPr>
        <w:footnoteRef/>
      </w:r>
      <w:r w:rsidRPr="0018731A">
        <w:rPr>
          <w:rFonts w:ascii="Arial" w:hAnsi="Arial" w:cs="Arial"/>
        </w:rPr>
        <w:t xml:space="preserve"> RNIB: Sight loss data tool. </w:t>
      </w:r>
      <w:hyperlink r:id="rId26" w:history="1">
        <w:r w:rsidRPr="0018731A">
          <w:rPr>
            <w:rFonts w:ascii="Arial" w:hAnsi="Arial" w:cs="Arial"/>
            <w:color w:val="0000FF"/>
            <w:u w:val="single"/>
          </w:rPr>
          <w:t>Sight Loss Data Tool - RNIB - See differently</w:t>
        </w:r>
      </w:hyperlink>
    </w:p>
  </w:footnote>
  <w:footnote w:id="32">
    <w:p w14:paraId="1903E0F8" w14:textId="77777777" w:rsidR="005670EB" w:rsidRPr="004D0CDC" w:rsidRDefault="005670EB" w:rsidP="007A2A74">
      <w:pPr>
        <w:pStyle w:val="FootnoteText"/>
        <w:rPr>
          <w:rFonts w:ascii="Arial" w:hAnsi="Arial" w:cs="Arial"/>
        </w:rPr>
      </w:pPr>
      <w:r w:rsidRPr="0018731A">
        <w:rPr>
          <w:rStyle w:val="FootnoteReference"/>
          <w:rFonts w:ascii="Arial" w:hAnsi="Arial" w:cs="Arial"/>
        </w:rPr>
        <w:footnoteRef/>
      </w:r>
      <w:r w:rsidRPr="0018731A">
        <w:rPr>
          <w:rFonts w:ascii="Arial" w:hAnsi="Arial" w:cs="Arial"/>
        </w:rPr>
        <w:t xml:space="preserve"> </w:t>
      </w:r>
      <w:r w:rsidRPr="004D0CDC">
        <w:rPr>
          <w:rFonts w:ascii="Arial" w:hAnsi="Arial" w:cs="Arial"/>
        </w:rPr>
        <w:t>StatsWales – Register of those with learning difficulties (2019)</w:t>
      </w:r>
    </w:p>
  </w:footnote>
  <w:footnote w:id="33">
    <w:p w14:paraId="44DA5B77" w14:textId="77777777" w:rsidR="005670EB" w:rsidRPr="0018731A" w:rsidRDefault="005670EB" w:rsidP="007A2A74">
      <w:pPr>
        <w:pStyle w:val="FootnoteText"/>
        <w:rPr>
          <w:rFonts w:ascii="Arial" w:hAnsi="Arial" w:cs="Arial"/>
          <w:color w:val="0000FF" w:themeColor="hyperlink"/>
          <w:u w:val="single"/>
        </w:rPr>
      </w:pPr>
      <w:r w:rsidRPr="004D0CDC">
        <w:rPr>
          <w:rStyle w:val="FootnoteReference"/>
          <w:rFonts w:ascii="Arial" w:hAnsi="Arial" w:cs="Arial"/>
        </w:rPr>
        <w:footnoteRef/>
      </w:r>
      <w:r w:rsidRPr="004D0CDC">
        <w:rPr>
          <w:rFonts w:ascii="Arial" w:hAnsi="Arial" w:cs="Arial"/>
        </w:rPr>
        <w:t xml:space="preserve"> NICE guideline (2018): Care and support of people growing older with learning disabilities. From: </w:t>
      </w:r>
      <w:hyperlink r:id="rId27" w:history="1">
        <w:r w:rsidRPr="004D0CDC">
          <w:rPr>
            <w:rStyle w:val="Hyperlink"/>
            <w:rFonts w:ascii="Arial" w:hAnsi="Arial" w:cs="Arial"/>
          </w:rPr>
          <w:t>www.nice.org.uk/guidance/ng96</w:t>
        </w:r>
      </w:hyperlink>
    </w:p>
  </w:footnote>
  <w:footnote w:id="34">
    <w:p w14:paraId="07F3C81D" w14:textId="77777777" w:rsidR="005670EB" w:rsidRPr="004D0CDC" w:rsidRDefault="005670EB" w:rsidP="007A2A74">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 Public Health Observatory Wales (2015). Ethnicity and Health in Wales.  From:  </w:t>
      </w:r>
      <w:hyperlink r:id="rId28" w:history="1">
        <w:r w:rsidRPr="004D0CDC">
          <w:rPr>
            <w:rStyle w:val="Hyperlink"/>
            <w:rFonts w:ascii="Arial" w:hAnsi="Arial" w:cs="Arial"/>
          </w:rPr>
          <w:t>www.publichealthwalesobservatory.wales.nhs.uk/ethnicity</w:t>
        </w:r>
      </w:hyperlink>
      <w:r w:rsidRPr="004D0CDC">
        <w:rPr>
          <w:rFonts w:ascii="Arial" w:hAnsi="Arial" w:cs="Arial"/>
        </w:rPr>
        <w:t xml:space="preserve"> </w:t>
      </w:r>
    </w:p>
    <w:p w14:paraId="2E50B8E2" w14:textId="77777777" w:rsidR="005670EB" w:rsidRPr="0018731A" w:rsidRDefault="005670EB" w:rsidP="007A2A74">
      <w:pPr>
        <w:pStyle w:val="FootnoteText"/>
        <w:rPr>
          <w:rFonts w:ascii="Arial" w:hAnsi="Arial" w:cs="Arial"/>
        </w:rPr>
      </w:pPr>
    </w:p>
  </w:footnote>
  <w:footnote w:id="35">
    <w:p w14:paraId="69D1805A" w14:textId="77777777" w:rsidR="005670EB" w:rsidRPr="004D0CDC" w:rsidRDefault="005670EB" w:rsidP="007E7CAE">
      <w:pPr>
        <w:pStyle w:val="Heading1"/>
        <w:shd w:val="clear" w:color="auto" w:fill="FFFFFF"/>
        <w:spacing w:before="0" w:line="240" w:lineRule="auto"/>
        <w:textAlignment w:val="baseline"/>
        <w:rPr>
          <w:rFonts w:eastAsia="Times New Roman" w:cs="Arial"/>
          <w:b w:val="0"/>
          <w:bCs w:val="0"/>
          <w:color w:val="0B0C0C"/>
          <w:kern w:val="36"/>
          <w:sz w:val="20"/>
          <w:szCs w:val="20"/>
          <w:lang w:eastAsia="en-GB"/>
        </w:rPr>
      </w:pPr>
      <w:r w:rsidRPr="007E7CAE">
        <w:rPr>
          <w:rFonts w:eastAsia="Times New Roman" w:cs="Arial"/>
          <w:b w:val="0"/>
          <w:bCs w:val="0"/>
          <w:color w:val="auto"/>
          <w:kern w:val="36"/>
          <w:sz w:val="20"/>
          <w:szCs w:val="20"/>
          <w:vertAlign w:val="superscript"/>
          <w:lang w:eastAsia="en-GB"/>
        </w:rPr>
        <w:footnoteRef/>
      </w:r>
      <w:r w:rsidRPr="007E7CAE">
        <w:rPr>
          <w:rFonts w:eastAsia="Times New Roman" w:cs="Arial"/>
          <w:b w:val="0"/>
          <w:bCs w:val="0"/>
          <w:color w:val="auto"/>
          <w:kern w:val="36"/>
          <w:sz w:val="20"/>
          <w:szCs w:val="20"/>
          <w:lang w:eastAsia="en-GB"/>
        </w:rPr>
        <w:t xml:space="preserve"> </w:t>
      </w:r>
      <w:r w:rsidRPr="004D0CDC">
        <w:rPr>
          <w:rFonts w:eastAsia="Times New Roman" w:cs="Arial"/>
          <w:b w:val="0"/>
          <w:bCs w:val="0"/>
          <w:color w:val="auto"/>
          <w:kern w:val="36"/>
          <w:sz w:val="20"/>
          <w:szCs w:val="20"/>
          <w:lang w:eastAsia="en-GB"/>
        </w:rPr>
        <w:t xml:space="preserve">Government UK: </w:t>
      </w:r>
      <w:r w:rsidRPr="004D0CDC">
        <w:rPr>
          <w:rFonts w:eastAsia="Times New Roman" w:cs="Arial"/>
          <w:b w:val="0"/>
          <w:bCs w:val="0"/>
          <w:color w:val="0B0C0C"/>
          <w:kern w:val="36"/>
          <w:sz w:val="20"/>
          <w:szCs w:val="20"/>
          <w:lang w:eastAsia="en-GB"/>
        </w:rPr>
        <w:t>Culture, spirituality and religion: migrant health guide.</w:t>
      </w:r>
      <w:r w:rsidRPr="004D0CDC">
        <w:rPr>
          <w:rFonts w:eastAsia="Times New Roman" w:cs="Arial"/>
          <w:b w:val="0"/>
          <w:bCs w:val="0"/>
          <w:color w:val="0B0C0C"/>
          <w:kern w:val="36"/>
          <w:sz w:val="20"/>
          <w:szCs w:val="20"/>
          <w:shd w:val="clear" w:color="auto" w:fill="FFFFFF"/>
          <w:lang w:eastAsia="en-GB"/>
        </w:rPr>
        <w:t xml:space="preserve"> Advice and guidance on the health needs of migrant patients for healthcare practitioners. </w:t>
      </w:r>
      <w:r w:rsidRPr="004D0CDC">
        <w:rPr>
          <w:rFonts w:eastAsia="Times New Roman" w:cs="Arial"/>
          <w:b w:val="0"/>
          <w:bCs w:val="0"/>
          <w:color w:val="auto"/>
          <w:kern w:val="36"/>
          <w:sz w:val="20"/>
          <w:szCs w:val="20"/>
          <w:lang w:eastAsia="en-GB"/>
        </w:rPr>
        <w:t xml:space="preserve">From: </w:t>
      </w:r>
      <w:hyperlink r:id="rId29" w:history="1">
        <w:r w:rsidRPr="004D0CDC">
          <w:rPr>
            <w:rFonts w:eastAsia="Times New Roman" w:cs="Arial"/>
            <w:b w:val="0"/>
            <w:bCs w:val="0"/>
            <w:color w:val="0000FF" w:themeColor="hyperlink"/>
            <w:kern w:val="36"/>
            <w:sz w:val="20"/>
            <w:szCs w:val="20"/>
            <w:u w:val="single"/>
            <w:lang w:eastAsia="en-GB"/>
          </w:rPr>
          <w:t>Culture, spirituality and religion: migrant health guide - GOV.UK (www.gov.uk)</w:t>
        </w:r>
      </w:hyperlink>
    </w:p>
  </w:footnote>
  <w:footnote w:id="36">
    <w:p w14:paraId="2535FD20" w14:textId="77777777" w:rsidR="005670EB" w:rsidRPr="007E7CAE" w:rsidRDefault="005670EB" w:rsidP="007E7CAE">
      <w:pPr>
        <w:pStyle w:val="FootnoteText"/>
        <w:rPr>
          <w:rFonts w:cstheme="minorHAnsi"/>
        </w:rPr>
      </w:pPr>
      <w:r w:rsidRPr="004D0CDC">
        <w:rPr>
          <w:rStyle w:val="FootnoteReference"/>
          <w:rFonts w:ascii="Arial" w:hAnsi="Arial" w:cs="Arial"/>
        </w:rPr>
        <w:footnoteRef/>
      </w:r>
      <w:r w:rsidRPr="004D0CDC">
        <w:rPr>
          <w:rFonts w:ascii="Arial" w:hAnsi="Arial" w:cs="Arial"/>
        </w:rPr>
        <w:t xml:space="preserve"> From: </w:t>
      </w:r>
      <w:hyperlink r:id="rId30" w:history="1">
        <w:r w:rsidRPr="004D0CDC">
          <w:rPr>
            <w:rStyle w:val="Hyperlink"/>
            <w:rFonts w:ascii="Arial" w:hAnsi="Arial" w:cs="Arial"/>
          </w:rPr>
          <w:t>Pharmacy consumer research. Pharmacy usage and communications mapping – Executive summary. June 2009</w:t>
        </w:r>
      </w:hyperlink>
    </w:p>
  </w:footnote>
  <w:footnote w:id="37">
    <w:p w14:paraId="233C74D7" w14:textId="77777777" w:rsidR="005670EB" w:rsidRPr="004D0CDC" w:rsidRDefault="005670EB" w:rsidP="007A2A74">
      <w:pPr>
        <w:pStyle w:val="FootnoteText"/>
        <w:rPr>
          <w:rFonts w:ascii="Arial" w:hAnsi="Arial" w:cs="Arial"/>
        </w:rPr>
      </w:pPr>
      <w:r w:rsidRPr="007E7CAE">
        <w:rPr>
          <w:rStyle w:val="FootnoteReference"/>
          <w:rFonts w:cstheme="minorHAnsi"/>
        </w:rPr>
        <w:footnoteRef/>
      </w:r>
      <w:r w:rsidRPr="007E7CAE">
        <w:rPr>
          <w:rFonts w:cstheme="minorHAnsi"/>
        </w:rPr>
        <w:t xml:space="preserve"> </w:t>
      </w:r>
      <w:r w:rsidRPr="004D0CDC">
        <w:rPr>
          <w:rFonts w:ascii="Arial" w:hAnsi="Arial" w:cs="Arial"/>
        </w:rPr>
        <w:t xml:space="preserve">Gender Identity Research and Education Society. From: </w:t>
      </w:r>
      <w:hyperlink r:id="rId31" w:history="1">
        <w:r w:rsidRPr="004D0CDC">
          <w:rPr>
            <w:rStyle w:val="Hyperlink"/>
            <w:rFonts w:ascii="Arial" w:hAnsi="Arial" w:cs="Arial"/>
          </w:rPr>
          <w:t>Trans Health Factsheets</w:t>
        </w:r>
      </w:hyperlink>
    </w:p>
  </w:footnote>
  <w:footnote w:id="38">
    <w:p w14:paraId="615B2921" w14:textId="77777777" w:rsidR="005670EB" w:rsidRPr="001003AB" w:rsidRDefault="005670EB" w:rsidP="007A2A74">
      <w:pPr>
        <w:pStyle w:val="FootnoteText"/>
        <w:rPr>
          <w:rFonts w:ascii="Arial" w:hAnsi="Arial" w:cs="Arial"/>
        </w:rPr>
      </w:pPr>
    </w:p>
  </w:footnote>
  <w:footnote w:id="39">
    <w:p w14:paraId="0145CCB4" w14:textId="77777777" w:rsidR="005670EB" w:rsidRPr="004D0CDC" w:rsidRDefault="005670EB" w:rsidP="007A2A74">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 From: </w:t>
      </w:r>
      <w:hyperlink r:id="rId32" w:history="1">
        <w:r w:rsidRPr="004D0CDC">
          <w:rPr>
            <w:rStyle w:val="Hyperlink"/>
            <w:rFonts w:ascii="Arial" w:hAnsi="Arial" w:cs="Arial"/>
          </w:rPr>
          <w:t>Unite Students Insight Report 2019</w:t>
        </w:r>
      </w:hyperlink>
    </w:p>
  </w:footnote>
  <w:footnote w:id="40">
    <w:p w14:paraId="6DCAD693" w14:textId="77777777" w:rsidR="005670EB" w:rsidRPr="004D0CDC" w:rsidRDefault="005670EB" w:rsidP="007A2A74">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 Youth Justice Board / Ministry of Justice (2019/2020). Assessing the needs of sentenced children in the Youth Justice System, England and Wales. From: </w:t>
      </w:r>
      <w:hyperlink r:id="rId33" w:history="1">
        <w:r w:rsidRPr="004D0CDC">
          <w:rPr>
            <w:rFonts w:ascii="Arial" w:hAnsi="Arial" w:cs="Arial"/>
            <w:color w:val="0000FF"/>
            <w:u w:val="single"/>
          </w:rPr>
          <w:t>Microsoft Word - Assessing the needs of sentenced children in the Youth Justice System 2019-20.docx (publishing.service.gov.uk)</w:t>
        </w:r>
      </w:hyperlink>
    </w:p>
  </w:footnote>
  <w:footnote w:id="41">
    <w:p w14:paraId="1996C6A8" w14:textId="77777777" w:rsidR="005670EB" w:rsidRPr="00A15F2F" w:rsidRDefault="005670EB" w:rsidP="007A2A74">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 Crisis Sanders, B. &amp; Albanese, F. (2016) “It’s no life at all”: Rough sleepers’ experiences of violence and abuse on the streets of England and Wales. From:</w:t>
      </w:r>
      <w:r w:rsidRPr="004D0CDC">
        <w:rPr>
          <w:rFonts w:ascii="Arial" w:hAnsi="Arial" w:cs="Arial"/>
          <w:sz w:val="22"/>
          <w:szCs w:val="22"/>
        </w:rPr>
        <w:t xml:space="preserve"> </w:t>
      </w:r>
      <w:hyperlink r:id="rId34" w:history="1">
        <w:r w:rsidRPr="004D0CDC">
          <w:rPr>
            <w:rStyle w:val="Hyperlink"/>
            <w:rFonts w:ascii="Arial" w:hAnsi="Arial" w:cs="Arial"/>
          </w:rPr>
          <w:t>crisis_its_no_life_at_all2016.pdf</w:t>
        </w:r>
      </w:hyperlink>
    </w:p>
  </w:footnote>
  <w:footnote w:id="42">
    <w:p w14:paraId="484FE6C9" w14:textId="77777777" w:rsidR="005670EB" w:rsidRPr="007E7CAE" w:rsidRDefault="005670EB" w:rsidP="007A2A74">
      <w:pPr>
        <w:pStyle w:val="FootnoteText"/>
        <w:rPr>
          <w:rFonts w:ascii="Arial" w:hAnsi="Arial" w:cs="Arial"/>
        </w:rPr>
      </w:pPr>
      <w:r w:rsidRPr="007E7CAE">
        <w:rPr>
          <w:rStyle w:val="FootnoteReference"/>
          <w:rFonts w:ascii="Arial" w:hAnsi="Arial" w:cs="Arial"/>
        </w:rPr>
        <w:footnoteRef/>
      </w:r>
      <w:r w:rsidRPr="007E7CAE">
        <w:rPr>
          <w:rFonts w:ascii="Arial" w:hAnsi="Arial" w:cs="Arial"/>
        </w:rPr>
        <w:t xml:space="preserve"> Office of National Statistics (2018). Deaths of homeless people in England and Wales. From: </w:t>
      </w:r>
      <w:hyperlink r:id="rId35" w:history="1">
        <w:r w:rsidRPr="007E7CAE">
          <w:rPr>
            <w:rStyle w:val="Hyperlink"/>
            <w:rFonts w:ascii="Arial" w:hAnsi="Arial" w:cs="Arial"/>
          </w:rPr>
          <w:t>Deaths of homeless people in England and Wales - Office for National Statistics (ons.gov.uk)</w:t>
        </w:r>
      </w:hyperlink>
    </w:p>
  </w:footnote>
  <w:footnote w:id="43">
    <w:p w14:paraId="3C5578FF" w14:textId="77777777" w:rsidR="005670EB" w:rsidRPr="007E7CAE" w:rsidRDefault="005670EB" w:rsidP="007A2A74">
      <w:pPr>
        <w:pStyle w:val="FootnoteText"/>
        <w:rPr>
          <w:rFonts w:ascii="Arial" w:hAnsi="Arial" w:cs="Arial"/>
        </w:rPr>
      </w:pPr>
      <w:r w:rsidRPr="007E7CAE">
        <w:rPr>
          <w:rStyle w:val="FootnoteReference"/>
          <w:rFonts w:ascii="Arial" w:hAnsi="Arial" w:cs="Arial"/>
        </w:rPr>
        <w:footnoteRef/>
      </w:r>
      <w:r w:rsidRPr="007E7CAE">
        <w:rPr>
          <w:rFonts w:ascii="Arial" w:hAnsi="Arial" w:cs="Arial"/>
        </w:rPr>
        <w:t xml:space="preserve"> </w:t>
      </w:r>
      <w:hyperlink r:id="rId36" w:history="1">
        <w:r w:rsidRPr="007E7CAE">
          <w:rPr>
            <w:rStyle w:val="Hyperlink"/>
            <w:rFonts w:ascii="Arial" w:hAnsi="Arial" w:cs="Arial"/>
          </w:rPr>
          <w:t>Toxic Mix: The health needs of homeless young people, Centrepoint 2014</w:t>
        </w:r>
      </w:hyperlink>
    </w:p>
  </w:footnote>
  <w:footnote w:id="44">
    <w:p w14:paraId="360FAF85" w14:textId="77777777" w:rsidR="005670EB" w:rsidRPr="008644A5" w:rsidRDefault="005670EB" w:rsidP="007A2A74">
      <w:pPr>
        <w:pStyle w:val="FootnoteText"/>
        <w:rPr>
          <w:rFonts w:ascii="Arial" w:hAnsi="Arial" w:cs="Arial"/>
        </w:rPr>
      </w:pPr>
      <w:r w:rsidRPr="007E7CAE">
        <w:rPr>
          <w:rStyle w:val="FootnoteReference"/>
          <w:rFonts w:ascii="Arial" w:hAnsi="Arial" w:cs="Arial"/>
        </w:rPr>
        <w:footnoteRef/>
      </w:r>
      <w:r w:rsidRPr="007E7CAE">
        <w:rPr>
          <w:rFonts w:ascii="Arial" w:hAnsi="Arial" w:cs="Arial"/>
        </w:rPr>
        <w:t xml:space="preserve"> Welsh Government (2015). Travelling to Better Health Policy Implementation Guidance for Healthcare Practitioners on working effectively with Gypsies and Travellers. From: </w:t>
      </w:r>
      <w:hyperlink r:id="rId37" w:history="1">
        <w:r w:rsidRPr="007E7CAE">
          <w:rPr>
            <w:rStyle w:val="Hyperlink"/>
            <w:rFonts w:ascii="Arial" w:hAnsi="Arial" w:cs="Arial"/>
          </w:rPr>
          <w:t>travelling-to-better-health.pdf (gov.wales)</w:t>
        </w:r>
      </w:hyperlink>
    </w:p>
  </w:footnote>
  <w:footnote w:id="45">
    <w:p w14:paraId="12CD55D7" w14:textId="77777777" w:rsidR="005670EB" w:rsidRPr="007E7CAE" w:rsidRDefault="005670EB" w:rsidP="007A2A74">
      <w:pPr>
        <w:pStyle w:val="FootnoteText"/>
        <w:rPr>
          <w:rFonts w:ascii="Arial" w:hAnsi="Arial" w:cs="Arial"/>
        </w:rPr>
      </w:pPr>
      <w:r w:rsidRPr="007E7CAE">
        <w:rPr>
          <w:rStyle w:val="FootnoteReference"/>
          <w:rFonts w:ascii="Arial" w:hAnsi="Arial" w:cs="Arial"/>
        </w:rPr>
        <w:footnoteRef/>
      </w:r>
      <w:r w:rsidRPr="007E7CAE">
        <w:rPr>
          <w:rFonts w:ascii="Arial" w:hAnsi="Arial" w:cs="Arial"/>
        </w:rPr>
        <w:t xml:space="preserve"> Cardiff and Vale Population Needs Assessment (2017). For Social Services and Well-being (Wales) Act 2014. From: </w:t>
      </w:r>
      <w:hyperlink r:id="rId38" w:history="1">
        <w:r w:rsidRPr="007E7CAE">
          <w:rPr>
            <w:rStyle w:val="Hyperlink"/>
            <w:rFonts w:ascii="Arial" w:hAnsi="Arial" w:cs="Arial"/>
          </w:rPr>
          <w:t>Population-Needs-Assessment-1.pdf (cvihsc.co.uk)</w:t>
        </w:r>
      </w:hyperlink>
    </w:p>
  </w:footnote>
  <w:footnote w:id="46">
    <w:p w14:paraId="6A62C862" w14:textId="77777777" w:rsidR="005670EB" w:rsidRPr="007E7CAE" w:rsidRDefault="005670EB" w:rsidP="007A2A74">
      <w:pPr>
        <w:pStyle w:val="FootnoteText"/>
        <w:rPr>
          <w:rFonts w:ascii="Arial" w:hAnsi="Arial" w:cs="Arial"/>
        </w:rPr>
      </w:pPr>
      <w:r w:rsidRPr="007E7CAE">
        <w:rPr>
          <w:rStyle w:val="FootnoteReference"/>
          <w:rFonts w:ascii="Arial" w:hAnsi="Arial" w:cs="Arial"/>
        </w:rPr>
        <w:footnoteRef/>
      </w:r>
      <w:r w:rsidRPr="007E7CAE">
        <w:rPr>
          <w:rFonts w:ascii="Arial" w:hAnsi="Arial" w:cs="Arial"/>
        </w:rPr>
        <w:t xml:space="preserve"> </w:t>
      </w:r>
      <w:hyperlink r:id="rId39" w:history="1">
        <w:r w:rsidRPr="007E7CAE">
          <w:rPr>
            <w:rStyle w:val="Hyperlink"/>
            <w:rFonts w:ascii="Arial" w:hAnsi="Arial" w:cs="Arial"/>
          </w:rPr>
          <w:t>Asylum Seekers and Refugees | Public Health Network Cymru</w:t>
        </w:r>
      </w:hyperlink>
    </w:p>
  </w:footnote>
  <w:footnote w:id="47">
    <w:p w14:paraId="6AAE490A" w14:textId="77777777" w:rsidR="005670EB" w:rsidRPr="004D0CDC" w:rsidRDefault="005670EB" w:rsidP="007A2A74">
      <w:pPr>
        <w:pStyle w:val="FootnoteText"/>
        <w:rPr>
          <w:rFonts w:ascii="Arial" w:hAnsi="Arial" w:cs="Arial"/>
        </w:rPr>
      </w:pPr>
      <w:r w:rsidRPr="00A15F2F">
        <w:rPr>
          <w:rStyle w:val="FootnoteReference"/>
          <w:rFonts w:ascii="Arial" w:hAnsi="Arial" w:cs="Arial"/>
        </w:rPr>
        <w:footnoteRef/>
      </w:r>
      <w:r w:rsidRPr="00A15F2F">
        <w:rPr>
          <w:rFonts w:ascii="Arial" w:hAnsi="Arial" w:cs="Arial"/>
        </w:rPr>
        <w:t xml:space="preserve"> </w:t>
      </w:r>
      <w:r w:rsidRPr="004D0CDC">
        <w:rPr>
          <w:rFonts w:ascii="Arial" w:hAnsi="Arial" w:cs="Arial"/>
        </w:rPr>
        <w:t xml:space="preserve">Cardiff and Vale Population Needs Assessment (2017). For Social Services and Well-being (Wales) Act 2014. From: </w:t>
      </w:r>
      <w:hyperlink r:id="rId40" w:history="1">
        <w:r w:rsidRPr="004D0CDC">
          <w:rPr>
            <w:rFonts w:ascii="Arial" w:hAnsi="Arial" w:cs="Arial"/>
            <w:color w:val="0000FF"/>
            <w:u w:val="single"/>
          </w:rPr>
          <w:t>Population-Needs-Assessment-1.pdf (cvihsc.co.uk)</w:t>
        </w:r>
      </w:hyperlink>
    </w:p>
  </w:footnote>
  <w:footnote w:id="48">
    <w:p w14:paraId="3B3504FC" w14:textId="77777777" w:rsidR="005670EB" w:rsidRPr="004D0CDC" w:rsidRDefault="005670EB" w:rsidP="007A2A74">
      <w:pPr>
        <w:pStyle w:val="FootnoteText"/>
        <w:rPr>
          <w:rFonts w:ascii="Arial" w:hAnsi="Arial" w:cs="Arial"/>
        </w:rPr>
      </w:pPr>
      <w:r w:rsidRPr="004D0CDC">
        <w:rPr>
          <w:rStyle w:val="FootnoteReference"/>
          <w:rFonts w:ascii="Arial" w:hAnsi="Arial" w:cs="Arial"/>
        </w:rPr>
        <w:footnoteRef/>
      </w:r>
      <w:r w:rsidRPr="004D0CDC">
        <w:rPr>
          <w:rFonts w:ascii="Arial" w:hAnsi="Arial" w:cs="Arial"/>
        </w:rPr>
        <w:t xml:space="preserve"> Royal British Legion (2014). A UK household survey of the ex-service community. From:</w:t>
      </w:r>
    </w:p>
    <w:p w14:paraId="7C0D1727" w14:textId="77777777" w:rsidR="005670EB" w:rsidRPr="00A15F2F" w:rsidRDefault="005670EB" w:rsidP="007A2A74">
      <w:pPr>
        <w:pStyle w:val="FootnoteText"/>
        <w:rPr>
          <w:rFonts w:ascii="Arial" w:hAnsi="Arial" w:cs="Arial"/>
        </w:rPr>
      </w:pPr>
      <w:hyperlink r:id="rId41" w:history="1">
        <w:r w:rsidRPr="004D0CDC">
          <w:rPr>
            <w:rStyle w:val="Hyperlink"/>
            <w:rFonts w:ascii="Arial" w:hAnsi="Arial" w:cs="Arial"/>
          </w:rPr>
          <w:t>http://www.britishlegion.org.uk/get-involved/campaign/public-policy-and-research/the-uk-ex-service-community-ahousehold-survey/</w:t>
        </w:r>
      </w:hyperlink>
    </w:p>
    <w:p w14:paraId="1D3E2AAE" w14:textId="77777777" w:rsidR="005670EB" w:rsidRDefault="005670EB" w:rsidP="007A2A74">
      <w:pPr>
        <w:pStyle w:val="FootnoteText"/>
      </w:pPr>
    </w:p>
  </w:footnote>
  <w:footnote w:id="49">
    <w:p w14:paraId="273B9F7B" w14:textId="77777777" w:rsidR="005670EB" w:rsidRPr="00390FF7" w:rsidRDefault="005670EB" w:rsidP="00161A12">
      <w:pPr>
        <w:pStyle w:val="FootnoteText"/>
        <w:rPr>
          <w:rFonts w:ascii="Arial" w:hAnsi="Arial" w:cs="Arial"/>
        </w:rPr>
      </w:pPr>
      <w:r w:rsidRPr="00390FF7">
        <w:rPr>
          <w:rStyle w:val="FootnoteReference"/>
          <w:rFonts w:ascii="Arial" w:hAnsi="Arial" w:cs="Arial"/>
        </w:rPr>
        <w:footnoteRef/>
      </w:r>
      <w:r w:rsidRPr="00390FF7">
        <w:rPr>
          <w:rFonts w:ascii="Arial" w:hAnsi="Arial" w:cs="Arial"/>
        </w:rPr>
        <w:t xml:space="preserve"> Department of Health (2008).  Pharmacy in England: Building Strengths – delivering the future.</w:t>
      </w:r>
    </w:p>
    <w:p w14:paraId="779612A1" w14:textId="3561FF16" w:rsidR="005670EB" w:rsidRPr="00390FF7" w:rsidRDefault="005670EB">
      <w:pPr>
        <w:pStyle w:val="FootnoteText"/>
        <w:rPr>
          <w:rFonts w:ascii="Arial" w:hAnsi="Arial" w:cs="Arial"/>
        </w:rPr>
      </w:pPr>
    </w:p>
  </w:footnote>
  <w:footnote w:id="50">
    <w:p w14:paraId="1E3EBBE0" w14:textId="5158588F" w:rsidR="005670EB" w:rsidRDefault="005670EB">
      <w:pPr>
        <w:pStyle w:val="FootnoteText"/>
      </w:pPr>
      <w:r>
        <w:rPr>
          <w:rStyle w:val="FootnoteReference"/>
        </w:rPr>
        <w:footnoteRef/>
      </w:r>
      <w:r>
        <w:t xml:space="preserve"> Community Pharmacy Wales (2020). Pharmacy advice audit, Richard Brown.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2426"/>
    <w:multiLevelType w:val="hybridMultilevel"/>
    <w:tmpl w:val="1D9C55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99251A"/>
    <w:multiLevelType w:val="hybridMultilevel"/>
    <w:tmpl w:val="05723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1025260"/>
    <w:multiLevelType w:val="hybridMultilevel"/>
    <w:tmpl w:val="C2FE3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14D14F5"/>
    <w:multiLevelType w:val="hybridMultilevel"/>
    <w:tmpl w:val="67ACD0F6"/>
    <w:lvl w:ilvl="0" w:tplc="26420546">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17E7122"/>
    <w:multiLevelType w:val="hybridMultilevel"/>
    <w:tmpl w:val="E4EA959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3B2775A"/>
    <w:multiLevelType w:val="hybridMultilevel"/>
    <w:tmpl w:val="23748C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48B0AB7"/>
    <w:multiLevelType w:val="hybridMultilevel"/>
    <w:tmpl w:val="EE4EE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4B714BC"/>
    <w:multiLevelType w:val="hybridMultilevel"/>
    <w:tmpl w:val="2E64F8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4E31A87"/>
    <w:multiLevelType w:val="hybridMultilevel"/>
    <w:tmpl w:val="B88EC2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4FE462B"/>
    <w:multiLevelType w:val="hybridMultilevel"/>
    <w:tmpl w:val="564E4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548516A"/>
    <w:multiLevelType w:val="hybridMultilevel"/>
    <w:tmpl w:val="093229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6370F18"/>
    <w:multiLevelType w:val="hybridMultilevel"/>
    <w:tmpl w:val="6810C8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7416DA4"/>
    <w:multiLevelType w:val="hybridMultilevel"/>
    <w:tmpl w:val="079C45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07FE4267"/>
    <w:multiLevelType w:val="hybridMultilevel"/>
    <w:tmpl w:val="6CE60D1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08E43120"/>
    <w:multiLevelType w:val="hybridMultilevel"/>
    <w:tmpl w:val="8E8C21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B3773BB"/>
    <w:multiLevelType w:val="hybridMultilevel"/>
    <w:tmpl w:val="3F2A7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0B573BE7"/>
    <w:multiLevelType w:val="hybridMultilevel"/>
    <w:tmpl w:val="A79C8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0BAD1ECA"/>
    <w:multiLevelType w:val="hybridMultilevel"/>
    <w:tmpl w:val="07FE1D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0C2D4A26"/>
    <w:multiLevelType w:val="hybridMultilevel"/>
    <w:tmpl w:val="1CE4BC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0D9F4B20"/>
    <w:multiLevelType w:val="hybridMultilevel"/>
    <w:tmpl w:val="AA309B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0DBA4704"/>
    <w:multiLevelType w:val="hybridMultilevel"/>
    <w:tmpl w:val="42D2E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0E394E9C"/>
    <w:multiLevelType w:val="hybridMultilevel"/>
    <w:tmpl w:val="EAF2ED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0F751F02"/>
    <w:multiLevelType w:val="hybridMultilevel"/>
    <w:tmpl w:val="87B495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0FA022B2"/>
    <w:multiLevelType w:val="hybridMultilevel"/>
    <w:tmpl w:val="90C209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0FAB4979"/>
    <w:multiLevelType w:val="hybridMultilevel"/>
    <w:tmpl w:val="CB2AC8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10012D69"/>
    <w:multiLevelType w:val="hybridMultilevel"/>
    <w:tmpl w:val="AB6E41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1121417C"/>
    <w:multiLevelType w:val="hybridMultilevel"/>
    <w:tmpl w:val="D23A7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1179778C"/>
    <w:multiLevelType w:val="hybridMultilevel"/>
    <w:tmpl w:val="2092DAF4"/>
    <w:lvl w:ilvl="0" w:tplc="08090001">
      <w:start w:val="1"/>
      <w:numFmt w:val="bullet"/>
      <w:lvlText w:val=""/>
      <w:lvlJc w:val="left"/>
      <w:pPr>
        <w:ind w:left="720" w:hanging="360"/>
      </w:pPr>
      <w:rPr>
        <w:rFonts w:ascii="Symbol" w:hAnsi="Symbol" w:hint="default"/>
      </w:rPr>
    </w:lvl>
    <w:lvl w:ilvl="1" w:tplc="72C8DE2E">
      <w:start w:val="4"/>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1193673F"/>
    <w:multiLevelType w:val="hybridMultilevel"/>
    <w:tmpl w:val="9A508F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119E7DBA"/>
    <w:multiLevelType w:val="hybridMultilevel"/>
    <w:tmpl w:val="B0E48C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11AE7F80"/>
    <w:multiLevelType w:val="hybridMultilevel"/>
    <w:tmpl w:val="1876DC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12F74B49"/>
    <w:multiLevelType w:val="hybridMultilevel"/>
    <w:tmpl w:val="F3DE5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132528C5"/>
    <w:multiLevelType w:val="hybridMultilevel"/>
    <w:tmpl w:val="65FE26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13803955"/>
    <w:multiLevelType w:val="multilevel"/>
    <w:tmpl w:val="4ACA9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13C77367"/>
    <w:multiLevelType w:val="hybridMultilevel"/>
    <w:tmpl w:val="0A04AD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15516858"/>
    <w:multiLevelType w:val="hybridMultilevel"/>
    <w:tmpl w:val="889E7C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16B833C6"/>
    <w:multiLevelType w:val="hybridMultilevel"/>
    <w:tmpl w:val="F82695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16C2362C"/>
    <w:multiLevelType w:val="hybridMultilevel"/>
    <w:tmpl w:val="E2C08E5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17A84F97"/>
    <w:multiLevelType w:val="hybridMultilevel"/>
    <w:tmpl w:val="20E0AB78"/>
    <w:lvl w:ilvl="0" w:tplc="08090001">
      <w:start w:val="1"/>
      <w:numFmt w:val="bullet"/>
      <w:lvlText w:val=""/>
      <w:lvlJc w:val="left"/>
      <w:pPr>
        <w:ind w:left="360" w:hanging="360"/>
      </w:pPr>
      <w:rPr>
        <w:rFonts w:ascii="Symbol" w:hAnsi="Symbol" w:hint="default"/>
      </w:rPr>
    </w:lvl>
    <w:lvl w:ilvl="1" w:tplc="9E84D90A">
      <w:start w:val="3"/>
      <w:numFmt w:val="bullet"/>
      <w:lvlText w:val="•"/>
      <w:lvlJc w:val="left"/>
      <w:pPr>
        <w:ind w:left="1080" w:hanging="360"/>
      </w:pPr>
      <w:rPr>
        <w:rFonts w:ascii="Arial" w:eastAsiaTheme="minorHAnsi"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187C77F5"/>
    <w:multiLevelType w:val="hybridMultilevel"/>
    <w:tmpl w:val="8872F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18F822E8"/>
    <w:multiLevelType w:val="hybridMultilevel"/>
    <w:tmpl w:val="C8D2DAF2"/>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19494E27"/>
    <w:multiLevelType w:val="hybridMultilevel"/>
    <w:tmpl w:val="DAE65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1A5F75B9"/>
    <w:multiLevelType w:val="hybridMultilevel"/>
    <w:tmpl w:val="13F63C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1AAC728A"/>
    <w:multiLevelType w:val="hybridMultilevel"/>
    <w:tmpl w:val="F2A408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1B5B1BFE"/>
    <w:multiLevelType w:val="hybridMultilevel"/>
    <w:tmpl w:val="12E09F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1B763CD1"/>
    <w:multiLevelType w:val="hybridMultilevel"/>
    <w:tmpl w:val="974238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1CE708BA"/>
    <w:multiLevelType w:val="hybridMultilevel"/>
    <w:tmpl w:val="F858F7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1CF632C3"/>
    <w:multiLevelType w:val="hybridMultilevel"/>
    <w:tmpl w:val="47588B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1D0E632F"/>
    <w:multiLevelType w:val="hybridMultilevel"/>
    <w:tmpl w:val="A95811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1D1E39CF"/>
    <w:multiLevelType w:val="hybridMultilevel"/>
    <w:tmpl w:val="D772DF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1D462FA5"/>
    <w:multiLevelType w:val="hybridMultilevel"/>
    <w:tmpl w:val="2886FB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202265A0"/>
    <w:multiLevelType w:val="hybridMultilevel"/>
    <w:tmpl w:val="2F924384"/>
    <w:lvl w:ilvl="0" w:tplc="08090001">
      <w:start w:val="1"/>
      <w:numFmt w:val="bullet"/>
      <w:lvlText w:val=""/>
      <w:lvlJc w:val="left"/>
      <w:pPr>
        <w:tabs>
          <w:tab w:val="num" w:pos="777"/>
        </w:tabs>
        <w:ind w:left="777" w:hanging="360"/>
      </w:pPr>
      <w:rPr>
        <w:rFonts w:ascii="Symbol" w:hAnsi="Symbol" w:hint="default"/>
      </w:rPr>
    </w:lvl>
    <w:lvl w:ilvl="1" w:tplc="08090003" w:tentative="1">
      <w:start w:val="1"/>
      <w:numFmt w:val="bullet"/>
      <w:lvlText w:val="o"/>
      <w:lvlJc w:val="left"/>
      <w:pPr>
        <w:tabs>
          <w:tab w:val="num" w:pos="1497"/>
        </w:tabs>
        <w:ind w:left="1497" w:hanging="360"/>
      </w:pPr>
      <w:rPr>
        <w:rFonts w:ascii="Courier New" w:hAnsi="Courier New" w:cs="Arial" w:hint="default"/>
      </w:rPr>
    </w:lvl>
    <w:lvl w:ilvl="2" w:tplc="08090005" w:tentative="1">
      <w:start w:val="1"/>
      <w:numFmt w:val="bullet"/>
      <w:lvlText w:val=""/>
      <w:lvlJc w:val="left"/>
      <w:pPr>
        <w:tabs>
          <w:tab w:val="num" w:pos="2217"/>
        </w:tabs>
        <w:ind w:left="2217" w:hanging="360"/>
      </w:pPr>
      <w:rPr>
        <w:rFonts w:ascii="Wingdings" w:hAnsi="Wingdings" w:hint="default"/>
      </w:rPr>
    </w:lvl>
    <w:lvl w:ilvl="3" w:tplc="08090001" w:tentative="1">
      <w:start w:val="1"/>
      <w:numFmt w:val="bullet"/>
      <w:lvlText w:val=""/>
      <w:lvlJc w:val="left"/>
      <w:pPr>
        <w:tabs>
          <w:tab w:val="num" w:pos="2937"/>
        </w:tabs>
        <w:ind w:left="2937" w:hanging="360"/>
      </w:pPr>
      <w:rPr>
        <w:rFonts w:ascii="Symbol" w:hAnsi="Symbol" w:hint="default"/>
      </w:rPr>
    </w:lvl>
    <w:lvl w:ilvl="4" w:tplc="08090003" w:tentative="1">
      <w:start w:val="1"/>
      <w:numFmt w:val="bullet"/>
      <w:lvlText w:val="o"/>
      <w:lvlJc w:val="left"/>
      <w:pPr>
        <w:tabs>
          <w:tab w:val="num" w:pos="3657"/>
        </w:tabs>
        <w:ind w:left="3657" w:hanging="360"/>
      </w:pPr>
      <w:rPr>
        <w:rFonts w:ascii="Courier New" w:hAnsi="Courier New" w:cs="Arial" w:hint="default"/>
      </w:rPr>
    </w:lvl>
    <w:lvl w:ilvl="5" w:tplc="08090005" w:tentative="1">
      <w:start w:val="1"/>
      <w:numFmt w:val="bullet"/>
      <w:lvlText w:val=""/>
      <w:lvlJc w:val="left"/>
      <w:pPr>
        <w:tabs>
          <w:tab w:val="num" w:pos="4377"/>
        </w:tabs>
        <w:ind w:left="4377" w:hanging="360"/>
      </w:pPr>
      <w:rPr>
        <w:rFonts w:ascii="Wingdings" w:hAnsi="Wingdings" w:hint="default"/>
      </w:rPr>
    </w:lvl>
    <w:lvl w:ilvl="6" w:tplc="08090001" w:tentative="1">
      <w:start w:val="1"/>
      <w:numFmt w:val="bullet"/>
      <w:lvlText w:val=""/>
      <w:lvlJc w:val="left"/>
      <w:pPr>
        <w:tabs>
          <w:tab w:val="num" w:pos="5097"/>
        </w:tabs>
        <w:ind w:left="5097" w:hanging="360"/>
      </w:pPr>
      <w:rPr>
        <w:rFonts w:ascii="Symbol" w:hAnsi="Symbol" w:hint="default"/>
      </w:rPr>
    </w:lvl>
    <w:lvl w:ilvl="7" w:tplc="08090003" w:tentative="1">
      <w:start w:val="1"/>
      <w:numFmt w:val="bullet"/>
      <w:lvlText w:val="o"/>
      <w:lvlJc w:val="left"/>
      <w:pPr>
        <w:tabs>
          <w:tab w:val="num" w:pos="5817"/>
        </w:tabs>
        <w:ind w:left="5817" w:hanging="360"/>
      </w:pPr>
      <w:rPr>
        <w:rFonts w:ascii="Courier New" w:hAnsi="Courier New" w:cs="Arial" w:hint="default"/>
      </w:rPr>
    </w:lvl>
    <w:lvl w:ilvl="8" w:tplc="08090005" w:tentative="1">
      <w:start w:val="1"/>
      <w:numFmt w:val="bullet"/>
      <w:lvlText w:val=""/>
      <w:lvlJc w:val="left"/>
      <w:pPr>
        <w:tabs>
          <w:tab w:val="num" w:pos="6537"/>
        </w:tabs>
        <w:ind w:left="6537" w:hanging="360"/>
      </w:pPr>
      <w:rPr>
        <w:rFonts w:ascii="Wingdings" w:hAnsi="Wingdings" w:hint="default"/>
      </w:rPr>
    </w:lvl>
  </w:abstractNum>
  <w:abstractNum w:abstractNumId="52" w15:restartNumberingAfterBreak="0">
    <w:nsid w:val="206454C5"/>
    <w:multiLevelType w:val="hybridMultilevel"/>
    <w:tmpl w:val="8EE2DC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21C23ACA"/>
    <w:multiLevelType w:val="hybridMultilevel"/>
    <w:tmpl w:val="405C8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24062FFB"/>
    <w:multiLevelType w:val="hybridMultilevel"/>
    <w:tmpl w:val="3F447B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5" w15:restartNumberingAfterBreak="0">
    <w:nsid w:val="24297AA9"/>
    <w:multiLevelType w:val="hybridMultilevel"/>
    <w:tmpl w:val="63D2077A"/>
    <w:lvl w:ilvl="0" w:tplc="08090001">
      <w:start w:val="1"/>
      <w:numFmt w:val="bullet"/>
      <w:lvlText w:val=""/>
      <w:lvlJc w:val="left"/>
      <w:pPr>
        <w:tabs>
          <w:tab w:val="num" w:pos="792"/>
        </w:tabs>
        <w:ind w:left="792" w:hanging="360"/>
      </w:pPr>
      <w:rPr>
        <w:rFonts w:ascii="Symbol" w:hAnsi="Symbol" w:hint="default"/>
      </w:rPr>
    </w:lvl>
    <w:lvl w:ilvl="1" w:tplc="08090003" w:tentative="1">
      <w:start w:val="1"/>
      <w:numFmt w:val="bullet"/>
      <w:lvlText w:val="o"/>
      <w:lvlJc w:val="left"/>
      <w:pPr>
        <w:tabs>
          <w:tab w:val="num" w:pos="1512"/>
        </w:tabs>
        <w:ind w:left="1512" w:hanging="360"/>
      </w:pPr>
      <w:rPr>
        <w:rFonts w:ascii="Courier New" w:hAnsi="Courier New" w:cs="Symbol" w:hint="default"/>
      </w:rPr>
    </w:lvl>
    <w:lvl w:ilvl="2" w:tplc="08090005" w:tentative="1">
      <w:start w:val="1"/>
      <w:numFmt w:val="bullet"/>
      <w:lvlText w:val=""/>
      <w:lvlJc w:val="left"/>
      <w:pPr>
        <w:tabs>
          <w:tab w:val="num" w:pos="2232"/>
        </w:tabs>
        <w:ind w:left="2232" w:hanging="360"/>
      </w:pPr>
      <w:rPr>
        <w:rFonts w:ascii="Wingdings" w:hAnsi="Wingdings" w:hint="default"/>
      </w:rPr>
    </w:lvl>
    <w:lvl w:ilvl="3" w:tplc="08090001" w:tentative="1">
      <w:start w:val="1"/>
      <w:numFmt w:val="bullet"/>
      <w:lvlText w:val=""/>
      <w:lvlJc w:val="left"/>
      <w:pPr>
        <w:tabs>
          <w:tab w:val="num" w:pos="2952"/>
        </w:tabs>
        <w:ind w:left="2952" w:hanging="360"/>
      </w:pPr>
      <w:rPr>
        <w:rFonts w:ascii="Symbol" w:hAnsi="Symbol" w:hint="default"/>
      </w:rPr>
    </w:lvl>
    <w:lvl w:ilvl="4" w:tplc="08090003" w:tentative="1">
      <w:start w:val="1"/>
      <w:numFmt w:val="bullet"/>
      <w:lvlText w:val="o"/>
      <w:lvlJc w:val="left"/>
      <w:pPr>
        <w:tabs>
          <w:tab w:val="num" w:pos="3672"/>
        </w:tabs>
        <w:ind w:left="3672" w:hanging="360"/>
      </w:pPr>
      <w:rPr>
        <w:rFonts w:ascii="Courier New" w:hAnsi="Courier New" w:cs="Symbol" w:hint="default"/>
      </w:rPr>
    </w:lvl>
    <w:lvl w:ilvl="5" w:tplc="08090005" w:tentative="1">
      <w:start w:val="1"/>
      <w:numFmt w:val="bullet"/>
      <w:lvlText w:val=""/>
      <w:lvlJc w:val="left"/>
      <w:pPr>
        <w:tabs>
          <w:tab w:val="num" w:pos="4392"/>
        </w:tabs>
        <w:ind w:left="4392" w:hanging="360"/>
      </w:pPr>
      <w:rPr>
        <w:rFonts w:ascii="Wingdings" w:hAnsi="Wingdings" w:hint="default"/>
      </w:rPr>
    </w:lvl>
    <w:lvl w:ilvl="6" w:tplc="08090001" w:tentative="1">
      <w:start w:val="1"/>
      <w:numFmt w:val="bullet"/>
      <w:lvlText w:val=""/>
      <w:lvlJc w:val="left"/>
      <w:pPr>
        <w:tabs>
          <w:tab w:val="num" w:pos="5112"/>
        </w:tabs>
        <w:ind w:left="5112" w:hanging="360"/>
      </w:pPr>
      <w:rPr>
        <w:rFonts w:ascii="Symbol" w:hAnsi="Symbol" w:hint="default"/>
      </w:rPr>
    </w:lvl>
    <w:lvl w:ilvl="7" w:tplc="08090003" w:tentative="1">
      <w:start w:val="1"/>
      <w:numFmt w:val="bullet"/>
      <w:lvlText w:val="o"/>
      <w:lvlJc w:val="left"/>
      <w:pPr>
        <w:tabs>
          <w:tab w:val="num" w:pos="5832"/>
        </w:tabs>
        <w:ind w:left="5832" w:hanging="360"/>
      </w:pPr>
      <w:rPr>
        <w:rFonts w:ascii="Courier New" w:hAnsi="Courier New" w:cs="Symbol" w:hint="default"/>
      </w:rPr>
    </w:lvl>
    <w:lvl w:ilvl="8" w:tplc="08090005" w:tentative="1">
      <w:start w:val="1"/>
      <w:numFmt w:val="bullet"/>
      <w:lvlText w:val=""/>
      <w:lvlJc w:val="left"/>
      <w:pPr>
        <w:tabs>
          <w:tab w:val="num" w:pos="6552"/>
        </w:tabs>
        <w:ind w:left="6552" w:hanging="360"/>
      </w:pPr>
      <w:rPr>
        <w:rFonts w:ascii="Wingdings" w:hAnsi="Wingdings" w:hint="default"/>
      </w:rPr>
    </w:lvl>
  </w:abstractNum>
  <w:abstractNum w:abstractNumId="56" w15:restartNumberingAfterBreak="0">
    <w:nsid w:val="24533E47"/>
    <w:multiLevelType w:val="hybridMultilevel"/>
    <w:tmpl w:val="C616C3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7" w15:restartNumberingAfterBreak="0">
    <w:nsid w:val="256F3A04"/>
    <w:multiLevelType w:val="hybridMultilevel"/>
    <w:tmpl w:val="3500B0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25D5136D"/>
    <w:multiLevelType w:val="hybridMultilevel"/>
    <w:tmpl w:val="DD524B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 w15:restartNumberingAfterBreak="0">
    <w:nsid w:val="25DF24E0"/>
    <w:multiLevelType w:val="hybridMultilevel"/>
    <w:tmpl w:val="01E039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 w15:restartNumberingAfterBreak="0">
    <w:nsid w:val="25E9056A"/>
    <w:multiLevelType w:val="hybridMultilevel"/>
    <w:tmpl w:val="CBF27C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1" w15:restartNumberingAfterBreak="0">
    <w:nsid w:val="25F32000"/>
    <w:multiLevelType w:val="multilevel"/>
    <w:tmpl w:val="BAAE33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273607F4"/>
    <w:multiLevelType w:val="hybridMultilevel"/>
    <w:tmpl w:val="8E061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277159D0"/>
    <w:multiLevelType w:val="hybridMultilevel"/>
    <w:tmpl w:val="A836B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27982DA9"/>
    <w:multiLevelType w:val="hybridMultilevel"/>
    <w:tmpl w:val="D5CA51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5" w15:restartNumberingAfterBreak="0">
    <w:nsid w:val="28882AAD"/>
    <w:multiLevelType w:val="hybridMultilevel"/>
    <w:tmpl w:val="EB64DE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6" w15:restartNumberingAfterBreak="0">
    <w:nsid w:val="28AC1B17"/>
    <w:multiLevelType w:val="hybridMultilevel"/>
    <w:tmpl w:val="ED7A10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29974C8B"/>
    <w:multiLevelType w:val="hybridMultilevel"/>
    <w:tmpl w:val="83F84ED6"/>
    <w:lvl w:ilvl="0" w:tplc="08090001">
      <w:start w:val="1"/>
      <w:numFmt w:val="bullet"/>
      <w:lvlText w:val=""/>
      <w:lvlJc w:val="left"/>
      <w:pPr>
        <w:ind w:left="360" w:hanging="360"/>
      </w:pPr>
      <w:rPr>
        <w:rFonts w:ascii="Symbol" w:hAnsi="Symbol" w:hint="default"/>
      </w:rPr>
    </w:lvl>
    <w:lvl w:ilvl="1" w:tplc="A9FCDA72">
      <w:numFmt w:val="bullet"/>
      <w:lvlText w:val="•"/>
      <w:lvlJc w:val="left"/>
      <w:pPr>
        <w:ind w:left="1080" w:hanging="360"/>
      </w:pPr>
      <w:rPr>
        <w:rFonts w:ascii="Arial" w:eastAsiaTheme="minorHAnsi"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8" w15:restartNumberingAfterBreak="0">
    <w:nsid w:val="2AEF5AB9"/>
    <w:multiLevelType w:val="hybridMultilevel"/>
    <w:tmpl w:val="4702AF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9" w15:restartNumberingAfterBreak="0">
    <w:nsid w:val="2B45255C"/>
    <w:multiLevelType w:val="hybridMultilevel"/>
    <w:tmpl w:val="D256E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2BBF71D6"/>
    <w:multiLevelType w:val="hybridMultilevel"/>
    <w:tmpl w:val="EE02658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1" w15:restartNumberingAfterBreak="0">
    <w:nsid w:val="2C2A70FC"/>
    <w:multiLevelType w:val="hybridMultilevel"/>
    <w:tmpl w:val="95CE9C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2C450A30"/>
    <w:multiLevelType w:val="hybridMultilevel"/>
    <w:tmpl w:val="0E4CE20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2C4C0816"/>
    <w:multiLevelType w:val="hybridMultilevel"/>
    <w:tmpl w:val="A6208D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4" w15:restartNumberingAfterBreak="0">
    <w:nsid w:val="2C963C15"/>
    <w:multiLevelType w:val="hybridMultilevel"/>
    <w:tmpl w:val="4FCA4F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5" w15:restartNumberingAfterBreak="0">
    <w:nsid w:val="2CD408D0"/>
    <w:multiLevelType w:val="hybridMultilevel"/>
    <w:tmpl w:val="AF84F1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6" w15:restartNumberingAfterBreak="0">
    <w:nsid w:val="2D0A1F29"/>
    <w:multiLevelType w:val="multilevel"/>
    <w:tmpl w:val="3E84C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2D0B31CD"/>
    <w:multiLevelType w:val="hybridMultilevel"/>
    <w:tmpl w:val="087A96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8" w15:restartNumberingAfterBreak="0">
    <w:nsid w:val="2D5D7746"/>
    <w:multiLevelType w:val="hybridMultilevel"/>
    <w:tmpl w:val="160E9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2D677900"/>
    <w:multiLevelType w:val="hybridMultilevel"/>
    <w:tmpl w:val="765E4F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2E8439A8"/>
    <w:multiLevelType w:val="hybridMultilevel"/>
    <w:tmpl w:val="1EDC5C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1" w15:restartNumberingAfterBreak="0">
    <w:nsid w:val="2E8A1DEF"/>
    <w:multiLevelType w:val="hybridMultilevel"/>
    <w:tmpl w:val="0F8855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2" w15:restartNumberingAfterBreak="0">
    <w:nsid w:val="2EA82524"/>
    <w:multiLevelType w:val="hybridMultilevel"/>
    <w:tmpl w:val="279867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3" w15:restartNumberingAfterBreak="0">
    <w:nsid w:val="30865257"/>
    <w:multiLevelType w:val="hybridMultilevel"/>
    <w:tmpl w:val="5A002D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30920C66"/>
    <w:multiLevelType w:val="hybridMultilevel"/>
    <w:tmpl w:val="AD981A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31A25923"/>
    <w:multiLevelType w:val="hybridMultilevel"/>
    <w:tmpl w:val="B4A0F9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6" w15:restartNumberingAfterBreak="0">
    <w:nsid w:val="33895507"/>
    <w:multiLevelType w:val="hybridMultilevel"/>
    <w:tmpl w:val="85940B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7" w15:restartNumberingAfterBreak="0">
    <w:nsid w:val="33A16752"/>
    <w:multiLevelType w:val="hybridMultilevel"/>
    <w:tmpl w:val="50DA40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8" w15:restartNumberingAfterBreak="0">
    <w:nsid w:val="33B44AAE"/>
    <w:multiLevelType w:val="hybridMultilevel"/>
    <w:tmpl w:val="64825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340A3294"/>
    <w:multiLevelType w:val="hybridMultilevel"/>
    <w:tmpl w:val="4DAC2958"/>
    <w:lvl w:ilvl="0" w:tplc="04090001">
      <w:start w:val="1"/>
      <w:numFmt w:val="bullet"/>
      <w:lvlText w:val=""/>
      <w:lvlJc w:val="left"/>
      <w:pPr>
        <w:tabs>
          <w:tab w:val="num" w:pos="794"/>
        </w:tabs>
        <w:ind w:left="794" w:hanging="360"/>
      </w:pPr>
      <w:rPr>
        <w:rFonts w:ascii="Symbol" w:hAnsi="Symbol" w:hint="default"/>
      </w:rPr>
    </w:lvl>
    <w:lvl w:ilvl="1" w:tplc="04090003" w:tentative="1">
      <w:start w:val="1"/>
      <w:numFmt w:val="bullet"/>
      <w:lvlText w:val="o"/>
      <w:lvlJc w:val="left"/>
      <w:pPr>
        <w:tabs>
          <w:tab w:val="num" w:pos="1514"/>
        </w:tabs>
        <w:ind w:left="1514" w:hanging="360"/>
      </w:pPr>
      <w:rPr>
        <w:rFonts w:ascii="Courier New" w:hAnsi="Courier New" w:cs="Courier New" w:hint="default"/>
      </w:rPr>
    </w:lvl>
    <w:lvl w:ilvl="2" w:tplc="04090005" w:tentative="1">
      <w:start w:val="1"/>
      <w:numFmt w:val="bullet"/>
      <w:lvlText w:val=""/>
      <w:lvlJc w:val="left"/>
      <w:pPr>
        <w:tabs>
          <w:tab w:val="num" w:pos="2234"/>
        </w:tabs>
        <w:ind w:left="2234" w:hanging="360"/>
      </w:pPr>
      <w:rPr>
        <w:rFonts w:ascii="Wingdings" w:hAnsi="Wingdings" w:hint="default"/>
      </w:rPr>
    </w:lvl>
    <w:lvl w:ilvl="3" w:tplc="04090001" w:tentative="1">
      <w:start w:val="1"/>
      <w:numFmt w:val="bullet"/>
      <w:lvlText w:val=""/>
      <w:lvlJc w:val="left"/>
      <w:pPr>
        <w:tabs>
          <w:tab w:val="num" w:pos="2954"/>
        </w:tabs>
        <w:ind w:left="2954" w:hanging="360"/>
      </w:pPr>
      <w:rPr>
        <w:rFonts w:ascii="Symbol" w:hAnsi="Symbol" w:hint="default"/>
      </w:rPr>
    </w:lvl>
    <w:lvl w:ilvl="4" w:tplc="04090003" w:tentative="1">
      <w:start w:val="1"/>
      <w:numFmt w:val="bullet"/>
      <w:lvlText w:val="o"/>
      <w:lvlJc w:val="left"/>
      <w:pPr>
        <w:tabs>
          <w:tab w:val="num" w:pos="3674"/>
        </w:tabs>
        <w:ind w:left="3674" w:hanging="360"/>
      </w:pPr>
      <w:rPr>
        <w:rFonts w:ascii="Courier New" w:hAnsi="Courier New" w:cs="Courier New" w:hint="default"/>
      </w:rPr>
    </w:lvl>
    <w:lvl w:ilvl="5" w:tplc="04090005" w:tentative="1">
      <w:start w:val="1"/>
      <w:numFmt w:val="bullet"/>
      <w:lvlText w:val=""/>
      <w:lvlJc w:val="left"/>
      <w:pPr>
        <w:tabs>
          <w:tab w:val="num" w:pos="4394"/>
        </w:tabs>
        <w:ind w:left="4394" w:hanging="360"/>
      </w:pPr>
      <w:rPr>
        <w:rFonts w:ascii="Wingdings" w:hAnsi="Wingdings" w:hint="default"/>
      </w:rPr>
    </w:lvl>
    <w:lvl w:ilvl="6" w:tplc="04090001" w:tentative="1">
      <w:start w:val="1"/>
      <w:numFmt w:val="bullet"/>
      <w:lvlText w:val=""/>
      <w:lvlJc w:val="left"/>
      <w:pPr>
        <w:tabs>
          <w:tab w:val="num" w:pos="5114"/>
        </w:tabs>
        <w:ind w:left="5114" w:hanging="360"/>
      </w:pPr>
      <w:rPr>
        <w:rFonts w:ascii="Symbol" w:hAnsi="Symbol" w:hint="default"/>
      </w:rPr>
    </w:lvl>
    <w:lvl w:ilvl="7" w:tplc="04090003" w:tentative="1">
      <w:start w:val="1"/>
      <w:numFmt w:val="bullet"/>
      <w:lvlText w:val="o"/>
      <w:lvlJc w:val="left"/>
      <w:pPr>
        <w:tabs>
          <w:tab w:val="num" w:pos="5834"/>
        </w:tabs>
        <w:ind w:left="5834" w:hanging="360"/>
      </w:pPr>
      <w:rPr>
        <w:rFonts w:ascii="Courier New" w:hAnsi="Courier New" w:cs="Courier New" w:hint="default"/>
      </w:rPr>
    </w:lvl>
    <w:lvl w:ilvl="8" w:tplc="04090005" w:tentative="1">
      <w:start w:val="1"/>
      <w:numFmt w:val="bullet"/>
      <w:lvlText w:val=""/>
      <w:lvlJc w:val="left"/>
      <w:pPr>
        <w:tabs>
          <w:tab w:val="num" w:pos="6554"/>
        </w:tabs>
        <w:ind w:left="6554" w:hanging="360"/>
      </w:pPr>
      <w:rPr>
        <w:rFonts w:ascii="Wingdings" w:hAnsi="Wingdings" w:hint="default"/>
      </w:rPr>
    </w:lvl>
  </w:abstractNum>
  <w:abstractNum w:abstractNumId="90" w15:restartNumberingAfterBreak="0">
    <w:nsid w:val="34AA1D67"/>
    <w:multiLevelType w:val="hybridMultilevel"/>
    <w:tmpl w:val="607ABA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1" w15:restartNumberingAfterBreak="0">
    <w:nsid w:val="352F1854"/>
    <w:multiLevelType w:val="multilevel"/>
    <w:tmpl w:val="19461702"/>
    <w:lvl w:ilvl="0">
      <w:start w:val="6"/>
      <w:numFmt w:val="decimal"/>
      <w:lvlText w:val="%1"/>
      <w:lvlJc w:val="left"/>
      <w:pPr>
        <w:ind w:left="480" w:hanging="480"/>
      </w:pPr>
      <w:rPr>
        <w:rFonts w:ascii="Arial" w:eastAsiaTheme="minorHAnsi" w:hAnsi="Arial" w:cs="Arial" w:hint="default"/>
        <w:color w:val="auto"/>
        <w:sz w:val="22"/>
      </w:rPr>
    </w:lvl>
    <w:lvl w:ilvl="1">
      <w:start w:val="1"/>
      <w:numFmt w:val="decimal"/>
      <w:lvlText w:val="%1.%2"/>
      <w:lvlJc w:val="left"/>
      <w:pPr>
        <w:ind w:left="480" w:hanging="480"/>
      </w:pPr>
      <w:rPr>
        <w:rFonts w:ascii="Arial" w:eastAsiaTheme="minorHAnsi" w:hAnsi="Arial" w:cs="Arial" w:hint="default"/>
        <w:color w:val="auto"/>
        <w:sz w:val="22"/>
      </w:rPr>
    </w:lvl>
    <w:lvl w:ilvl="2">
      <w:start w:val="1"/>
      <w:numFmt w:val="decimal"/>
      <w:lvlText w:val="%1.%2.%3"/>
      <w:lvlJc w:val="left"/>
      <w:pPr>
        <w:ind w:left="720" w:hanging="720"/>
      </w:pPr>
      <w:rPr>
        <w:rFonts w:ascii="Arial" w:eastAsiaTheme="minorHAnsi" w:hAnsi="Arial" w:cs="Arial" w:hint="default"/>
        <w:color w:val="auto"/>
        <w:sz w:val="22"/>
      </w:rPr>
    </w:lvl>
    <w:lvl w:ilvl="3">
      <w:start w:val="1"/>
      <w:numFmt w:val="decimal"/>
      <w:lvlText w:val="%1.%2.%3.%4"/>
      <w:lvlJc w:val="left"/>
      <w:pPr>
        <w:ind w:left="720" w:hanging="720"/>
      </w:pPr>
      <w:rPr>
        <w:rFonts w:ascii="Arial" w:eastAsiaTheme="minorHAnsi" w:hAnsi="Arial" w:cs="Arial" w:hint="default"/>
        <w:color w:val="auto"/>
        <w:sz w:val="22"/>
      </w:rPr>
    </w:lvl>
    <w:lvl w:ilvl="4">
      <w:start w:val="1"/>
      <w:numFmt w:val="decimal"/>
      <w:lvlText w:val="%1.%2.%3.%4.%5"/>
      <w:lvlJc w:val="left"/>
      <w:pPr>
        <w:ind w:left="1080" w:hanging="1080"/>
      </w:pPr>
      <w:rPr>
        <w:rFonts w:ascii="Arial" w:eastAsiaTheme="minorHAnsi" w:hAnsi="Arial" w:cs="Arial" w:hint="default"/>
        <w:color w:val="auto"/>
        <w:sz w:val="22"/>
      </w:rPr>
    </w:lvl>
    <w:lvl w:ilvl="5">
      <w:start w:val="1"/>
      <w:numFmt w:val="decimal"/>
      <w:lvlText w:val="%1.%2.%3.%4.%5.%6"/>
      <w:lvlJc w:val="left"/>
      <w:pPr>
        <w:ind w:left="1080" w:hanging="1080"/>
      </w:pPr>
      <w:rPr>
        <w:rFonts w:ascii="Arial" w:eastAsiaTheme="minorHAnsi" w:hAnsi="Arial" w:cs="Arial" w:hint="default"/>
        <w:color w:val="auto"/>
        <w:sz w:val="22"/>
      </w:rPr>
    </w:lvl>
    <w:lvl w:ilvl="6">
      <w:start w:val="1"/>
      <w:numFmt w:val="decimal"/>
      <w:lvlText w:val="%1.%2.%3.%4.%5.%6.%7"/>
      <w:lvlJc w:val="left"/>
      <w:pPr>
        <w:ind w:left="1440" w:hanging="1440"/>
      </w:pPr>
      <w:rPr>
        <w:rFonts w:ascii="Arial" w:eastAsiaTheme="minorHAnsi" w:hAnsi="Arial" w:cs="Arial" w:hint="default"/>
        <w:color w:val="auto"/>
        <w:sz w:val="22"/>
      </w:rPr>
    </w:lvl>
    <w:lvl w:ilvl="7">
      <w:start w:val="1"/>
      <w:numFmt w:val="decimal"/>
      <w:lvlText w:val="%1.%2.%3.%4.%5.%6.%7.%8"/>
      <w:lvlJc w:val="left"/>
      <w:pPr>
        <w:ind w:left="1440" w:hanging="1440"/>
      </w:pPr>
      <w:rPr>
        <w:rFonts w:ascii="Arial" w:eastAsiaTheme="minorHAnsi" w:hAnsi="Arial" w:cs="Arial" w:hint="default"/>
        <w:color w:val="auto"/>
        <w:sz w:val="22"/>
      </w:rPr>
    </w:lvl>
    <w:lvl w:ilvl="8">
      <w:start w:val="1"/>
      <w:numFmt w:val="decimal"/>
      <w:lvlText w:val="%1.%2.%3.%4.%5.%6.%7.%8.%9"/>
      <w:lvlJc w:val="left"/>
      <w:pPr>
        <w:ind w:left="1800" w:hanging="1800"/>
      </w:pPr>
      <w:rPr>
        <w:rFonts w:ascii="Arial" w:eastAsiaTheme="minorHAnsi" w:hAnsi="Arial" w:cs="Arial" w:hint="default"/>
        <w:color w:val="auto"/>
        <w:sz w:val="22"/>
      </w:rPr>
    </w:lvl>
  </w:abstractNum>
  <w:abstractNum w:abstractNumId="92" w15:restartNumberingAfterBreak="0">
    <w:nsid w:val="35C040C4"/>
    <w:multiLevelType w:val="hybridMultilevel"/>
    <w:tmpl w:val="A63CD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360644A5"/>
    <w:multiLevelType w:val="hybridMultilevel"/>
    <w:tmpl w:val="711829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4" w15:restartNumberingAfterBreak="0">
    <w:nsid w:val="36C844F8"/>
    <w:multiLevelType w:val="hybridMultilevel"/>
    <w:tmpl w:val="55924E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372548AA"/>
    <w:multiLevelType w:val="hybridMultilevel"/>
    <w:tmpl w:val="997A5B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6" w15:restartNumberingAfterBreak="0">
    <w:nsid w:val="37266467"/>
    <w:multiLevelType w:val="hybridMultilevel"/>
    <w:tmpl w:val="4364B0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7" w15:restartNumberingAfterBreak="0">
    <w:nsid w:val="37B1370F"/>
    <w:multiLevelType w:val="hybridMultilevel"/>
    <w:tmpl w:val="868E8E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8" w15:restartNumberingAfterBreak="0">
    <w:nsid w:val="37C9562E"/>
    <w:multiLevelType w:val="multilevel"/>
    <w:tmpl w:val="B03EE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38CC23DA"/>
    <w:multiLevelType w:val="hybridMultilevel"/>
    <w:tmpl w:val="50506C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398148E4"/>
    <w:multiLevelType w:val="hybridMultilevel"/>
    <w:tmpl w:val="AAB6AB10"/>
    <w:lvl w:ilvl="0" w:tplc="08090001">
      <w:start w:val="1"/>
      <w:numFmt w:val="bullet"/>
      <w:lvlText w:val=""/>
      <w:lvlJc w:val="left"/>
      <w:pPr>
        <w:tabs>
          <w:tab w:val="num" w:pos="777"/>
        </w:tabs>
        <w:ind w:left="777" w:hanging="360"/>
      </w:pPr>
      <w:rPr>
        <w:rFonts w:ascii="Symbol" w:hAnsi="Symbol" w:hint="default"/>
      </w:rPr>
    </w:lvl>
    <w:lvl w:ilvl="1" w:tplc="08090003" w:tentative="1">
      <w:start w:val="1"/>
      <w:numFmt w:val="bullet"/>
      <w:lvlText w:val="o"/>
      <w:lvlJc w:val="left"/>
      <w:pPr>
        <w:tabs>
          <w:tab w:val="num" w:pos="1497"/>
        </w:tabs>
        <w:ind w:left="1497" w:hanging="360"/>
      </w:pPr>
      <w:rPr>
        <w:rFonts w:ascii="Courier New" w:hAnsi="Courier New" w:cs="Courier New" w:hint="default"/>
      </w:rPr>
    </w:lvl>
    <w:lvl w:ilvl="2" w:tplc="08090005" w:tentative="1">
      <w:start w:val="1"/>
      <w:numFmt w:val="bullet"/>
      <w:lvlText w:val=""/>
      <w:lvlJc w:val="left"/>
      <w:pPr>
        <w:tabs>
          <w:tab w:val="num" w:pos="2217"/>
        </w:tabs>
        <w:ind w:left="2217" w:hanging="360"/>
      </w:pPr>
      <w:rPr>
        <w:rFonts w:ascii="Wingdings" w:hAnsi="Wingdings" w:hint="default"/>
      </w:rPr>
    </w:lvl>
    <w:lvl w:ilvl="3" w:tplc="08090001" w:tentative="1">
      <w:start w:val="1"/>
      <w:numFmt w:val="bullet"/>
      <w:lvlText w:val=""/>
      <w:lvlJc w:val="left"/>
      <w:pPr>
        <w:tabs>
          <w:tab w:val="num" w:pos="2937"/>
        </w:tabs>
        <w:ind w:left="2937" w:hanging="360"/>
      </w:pPr>
      <w:rPr>
        <w:rFonts w:ascii="Symbol" w:hAnsi="Symbol" w:hint="default"/>
      </w:rPr>
    </w:lvl>
    <w:lvl w:ilvl="4" w:tplc="08090003" w:tentative="1">
      <w:start w:val="1"/>
      <w:numFmt w:val="bullet"/>
      <w:lvlText w:val="o"/>
      <w:lvlJc w:val="left"/>
      <w:pPr>
        <w:tabs>
          <w:tab w:val="num" w:pos="3657"/>
        </w:tabs>
        <w:ind w:left="3657" w:hanging="360"/>
      </w:pPr>
      <w:rPr>
        <w:rFonts w:ascii="Courier New" w:hAnsi="Courier New" w:cs="Courier New" w:hint="default"/>
      </w:rPr>
    </w:lvl>
    <w:lvl w:ilvl="5" w:tplc="08090005" w:tentative="1">
      <w:start w:val="1"/>
      <w:numFmt w:val="bullet"/>
      <w:lvlText w:val=""/>
      <w:lvlJc w:val="left"/>
      <w:pPr>
        <w:tabs>
          <w:tab w:val="num" w:pos="4377"/>
        </w:tabs>
        <w:ind w:left="4377" w:hanging="360"/>
      </w:pPr>
      <w:rPr>
        <w:rFonts w:ascii="Wingdings" w:hAnsi="Wingdings" w:hint="default"/>
      </w:rPr>
    </w:lvl>
    <w:lvl w:ilvl="6" w:tplc="08090001" w:tentative="1">
      <w:start w:val="1"/>
      <w:numFmt w:val="bullet"/>
      <w:lvlText w:val=""/>
      <w:lvlJc w:val="left"/>
      <w:pPr>
        <w:tabs>
          <w:tab w:val="num" w:pos="5097"/>
        </w:tabs>
        <w:ind w:left="5097" w:hanging="360"/>
      </w:pPr>
      <w:rPr>
        <w:rFonts w:ascii="Symbol" w:hAnsi="Symbol" w:hint="default"/>
      </w:rPr>
    </w:lvl>
    <w:lvl w:ilvl="7" w:tplc="08090003" w:tentative="1">
      <w:start w:val="1"/>
      <w:numFmt w:val="bullet"/>
      <w:lvlText w:val="o"/>
      <w:lvlJc w:val="left"/>
      <w:pPr>
        <w:tabs>
          <w:tab w:val="num" w:pos="5817"/>
        </w:tabs>
        <w:ind w:left="5817" w:hanging="360"/>
      </w:pPr>
      <w:rPr>
        <w:rFonts w:ascii="Courier New" w:hAnsi="Courier New" w:cs="Courier New" w:hint="default"/>
      </w:rPr>
    </w:lvl>
    <w:lvl w:ilvl="8" w:tplc="08090005" w:tentative="1">
      <w:start w:val="1"/>
      <w:numFmt w:val="bullet"/>
      <w:lvlText w:val=""/>
      <w:lvlJc w:val="left"/>
      <w:pPr>
        <w:tabs>
          <w:tab w:val="num" w:pos="6537"/>
        </w:tabs>
        <w:ind w:left="6537" w:hanging="360"/>
      </w:pPr>
      <w:rPr>
        <w:rFonts w:ascii="Wingdings" w:hAnsi="Wingdings" w:hint="default"/>
      </w:rPr>
    </w:lvl>
  </w:abstractNum>
  <w:abstractNum w:abstractNumId="101" w15:restartNumberingAfterBreak="0">
    <w:nsid w:val="39AF3A31"/>
    <w:multiLevelType w:val="hybridMultilevel"/>
    <w:tmpl w:val="6A18846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2" w15:restartNumberingAfterBreak="0">
    <w:nsid w:val="39EB328D"/>
    <w:multiLevelType w:val="hybridMultilevel"/>
    <w:tmpl w:val="F872C62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3" w15:restartNumberingAfterBreak="0">
    <w:nsid w:val="3A6A35BB"/>
    <w:multiLevelType w:val="hybridMultilevel"/>
    <w:tmpl w:val="0F56CC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4" w15:restartNumberingAfterBreak="0">
    <w:nsid w:val="3A7C6508"/>
    <w:multiLevelType w:val="hybridMultilevel"/>
    <w:tmpl w:val="5E2877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5" w15:restartNumberingAfterBreak="0">
    <w:nsid w:val="3AF87695"/>
    <w:multiLevelType w:val="hybridMultilevel"/>
    <w:tmpl w:val="1CF2C2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3B236E38"/>
    <w:multiLevelType w:val="hybridMultilevel"/>
    <w:tmpl w:val="66D22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7" w15:restartNumberingAfterBreak="0">
    <w:nsid w:val="3BA43384"/>
    <w:multiLevelType w:val="hybridMultilevel"/>
    <w:tmpl w:val="F4E0B7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8" w15:restartNumberingAfterBreak="0">
    <w:nsid w:val="3C52431D"/>
    <w:multiLevelType w:val="hybridMultilevel"/>
    <w:tmpl w:val="D44CDF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9" w15:restartNumberingAfterBreak="0">
    <w:nsid w:val="3CA425CA"/>
    <w:multiLevelType w:val="hybridMultilevel"/>
    <w:tmpl w:val="CD8E79E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0" w15:restartNumberingAfterBreak="0">
    <w:nsid w:val="3D1B657D"/>
    <w:multiLevelType w:val="hybridMultilevel"/>
    <w:tmpl w:val="5464D0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1" w15:restartNumberingAfterBreak="0">
    <w:nsid w:val="3E5C0867"/>
    <w:multiLevelType w:val="hybridMultilevel"/>
    <w:tmpl w:val="1C6CA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2" w15:restartNumberingAfterBreak="0">
    <w:nsid w:val="3FBC60C2"/>
    <w:multiLevelType w:val="hybridMultilevel"/>
    <w:tmpl w:val="96A273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3" w15:restartNumberingAfterBreak="0">
    <w:nsid w:val="408B68B0"/>
    <w:multiLevelType w:val="hybridMultilevel"/>
    <w:tmpl w:val="01800C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4" w15:restartNumberingAfterBreak="0">
    <w:nsid w:val="4096056C"/>
    <w:multiLevelType w:val="hybridMultilevel"/>
    <w:tmpl w:val="424A99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5" w15:restartNumberingAfterBreak="0">
    <w:nsid w:val="410105D5"/>
    <w:multiLevelType w:val="hybridMultilevel"/>
    <w:tmpl w:val="F69C6FE6"/>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6" w15:restartNumberingAfterBreak="0">
    <w:nsid w:val="412C70CD"/>
    <w:multiLevelType w:val="hybridMultilevel"/>
    <w:tmpl w:val="60EE26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7" w15:restartNumberingAfterBreak="0">
    <w:nsid w:val="41D3091F"/>
    <w:multiLevelType w:val="hybridMultilevel"/>
    <w:tmpl w:val="18583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8" w15:restartNumberingAfterBreak="0">
    <w:nsid w:val="42446EDE"/>
    <w:multiLevelType w:val="hybridMultilevel"/>
    <w:tmpl w:val="07606C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9" w15:restartNumberingAfterBreak="0">
    <w:nsid w:val="42B3006E"/>
    <w:multiLevelType w:val="hybridMultilevel"/>
    <w:tmpl w:val="2FC618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0" w15:restartNumberingAfterBreak="0">
    <w:nsid w:val="445A6C99"/>
    <w:multiLevelType w:val="hybridMultilevel"/>
    <w:tmpl w:val="FC2E39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1" w15:restartNumberingAfterBreak="0">
    <w:nsid w:val="45260DDE"/>
    <w:multiLevelType w:val="hybridMultilevel"/>
    <w:tmpl w:val="72909B1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2" w15:restartNumberingAfterBreak="0">
    <w:nsid w:val="45E944B7"/>
    <w:multiLevelType w:val="hybridMultilevel"/>
    <w:tmpl w:val="D8280AD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3" w15:restartNumberingAfterBreak="0">
    <w:nsid w:val="46625D9B"/>
    <w:multiLevelType w:val="hybridMultilevel"/>
    <w:tmpl w:val="B972CE7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4" w15:restartNumberingAfterBreak="0">
    <w:nsid w:val="47804BFE"/>
    <w:multiLevelType w:val="hybridMultilevel"/>
    <w:tmpl w:val="87B49C9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5" w15:restartNumberingAfterBreak="0">
    <w:nsid w:val="488B45A1"/>
    <w:multiLevelType w:val="hybridMultilevel"/>
    <w:tmpl w:val="47FE5D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6" w15:restartNumberingAfterBreak="0">
    <w:nsid w:val="48BB6C29"/>
    <w:multiLevelType w:val="hybridMultilevel"/>
    <w:tmpl w:val="4EFC8E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7" w15:restartNumberingAfterBreak="0">
    <w:nsid w:val="49FE683A"/>
    <w:multiLevelType w:val="hybridMultilevel"/>
    <w:tmpl w:val="88EAF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8" w15:restartNumberingAfterBreak="0">
    <w:nsid w:val="4A6B3F67"/>
    <w:multiLevelType w:val="hybridMultilevel"/>
    <w:tmpl w:val="2A2095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9" w15:restartNumberingAfterBreak="0">
    <w:nsid w:val="4A710FBA"/>
    <w:multiLevelType w:val="hybridMultilevel"/>
    <w:tmpl w:val="EF2AA7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0" w15:restartNumberingAfterBreak="0">
    <w:nsid w:val="4B071B99"/>
    <w:multiLevelType w:val="hybridMultilevel"/>
    <w:tmpl w:val="0A70C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1" w15:restartNumberingAfterBreak="0">
    <w:nsid w:val="4B1D5839"/>
    <w:multiLevelType w:val="hybridMultilevel"/>
    <w:tmpl w:val="94A6155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2" w15:restartNumberingAfterBreak="0">
    <w:nsid w:val="4BF41595"/>
    <w:multiLevelType w:val="hybridMultilevel"/>
    <w:tmpl w:val="7332A7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3" w15:restartNumberingAfterBreak="0">
    <w:nsid w:val="4C4C3752"/>
    <w:multiLevelType w:val="hybridMultilevel"/>
    <w:tmpl w:val="48AC5722"/>
    <w:lvl w:ilvl="0" w:tplc="5D76D68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4" w15:restartNumberingAfterBreak="0">
    <w:nsid w:val="4C75688A"/>
    <w:multiLevelType w:val="hybridMultilevel"/>
    <w:tmpl w:val="3A0C3FFE"/>
    <w:lvl w:ilvl="0" w:tplc="0809000F">
      <w:start w:val="2"/>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5" w15:restartNumberingAfterBreak="0">
    <w:nsid w:val="4D5159B5"/>
    <w:multiLevelType w:val="hybridMultilevel"/>
    <w:tmpl w:val="8C6CA2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6" w15:restartNumberingAfterBreak="0">
    <w:nsid w:val="4D8D5DE3"/>
    <w:multiLevelType w:val="hybridMultilevel"/>
    <w:tmpl w:val="38487D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7" w15:restartNumberingAfterBreak="0">
    <w:nsid w:val="4D9179B5"/>
    <w:multiLevelType w:val="hybridMultilevel"/>
    <w:tmpl w:val="EBAA75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8" w15:restartNumberingAfterBreak="0">
    <w:nsid w:val="4E607B93"/>
    <w:multiLevelType w:val="hybridMultilevel"/>
    <w:tmpl w:val="8CEE223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Wingding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Wingdings"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Wingdings"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9" w15:restartNumberingAfterBreak="0">
    <w:nsid w:val="4EA9717D"/>
    <w:multiLevelType w:val="hybridMultilevel"/>
    <w:tmpl w:val="1ACC58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0" w15:restartNumberingAfterBreak="0">
    <w:nsid w:val="4FE720F7"/>
    <w:multiLevelType w:val="hybridMultilevel"/>
    <w:tmpl w:val="C7408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1" w15:restartNumberingAfterBreak="0">
    <w:nsid w:val="505173D1"/>
    <w:multiLevelType w:val="hybridMultilevel"/>
    <w:tmpl w:val="E2C2C97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2" w15:restartNumberingAfterBreak="0">
    <w:nsid w:val="50A80736"/>
    <w:multiLevelType w:val="hybridMultilevel"/>
    <w:tmpl w:val="AA2A77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3" w15:restartNumberingAfterBreak="0">
    <w:nsid w:val="519747A6"/>
    <w:multiLevelType w:val="hybridMultilevel"/>
    <w:tmpl w:val="012647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4" w15:restartNumberingAfterBreak="0">
    <w:nsid w:val="524F6003"/>
    <w:multiLevelType w:val="hybridMultilevel"/>
    <w:tmpl w:val="551C77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5" w15:restartNumberingAfterBreak="0">
    <w:nsid w:val="530E1332"/>
    <w:multiLevelType w:val="hybridMultilevel"/>
    <w:tmpl w:val="0366C4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6" w15:restartNumberingAfterBreak="0">
    <w:nsid w:val="533C7B67"/>
    <w:multiLevelType w:val="hybridMultilevel"/>
    <w:tmpl w:val="D79E77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7" w15:restartNumberingAfterBreak="0">
    <w:nsid w:val="540B00FA"/>
    <w:multiLevelType w:val="hybridMultilevel"/>
    <w:tmpl w:val="43CEC5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8" w15:restartNumberingAfterBreak="0">
    <w:nsid w:val="542A1218"/>
    <w:multiLevelType w:val="hybridMultilevel"/>
    <w:tmpl w:val="C3F418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9" w15:restartNumberingAfterBreak="0">
    <w:nsid w:val="544808E2"/>
    <w:multiLevelType w:val="hybridMultilevel"/>
    <w:tmpl w:val="716A5E88"/>
    <w:lvl w:ilvl="0" w:tplc="08090001">
      <w:start w:val="1"/>
      <w:numFmt w:val="bullet"/>
      <w:lvlText w:val=""/>
      <w:lvlJc w:val="left"/>
      <w:pPr>
        <w:tabs>
          <w:tab w:val="num" w:pos="792"/>
        </w:tabs>
        <w:ind w:left="792" w:hanging="360"/>
      </w:pPr>
      <w:rPr>
        <w:rFonts w:ascii="Symbol" w:hAnsi="Symbol" w:hint="default"/>
      </w:rPr>
    </w:lvl>
    <w:lvl w:ilvl="1" w:tplc="08090003" w:tentative="1">
      <w:start w:val="1"/>
      <w:numFmt w:val="bullet"/>
      <w:lvlText w:val="o"/>
      <w:lvlJc w:val="left"/>
      <w:pPr>
        <w:tabs>
          <w:tab w:val="num" w:pos="1512"/>
        </w:tabs>
        <w:ind w:left="1512" w:hanging="360"/>
      </w:pPr>
      <w:rPr>
        <w:rFonts w:ascii="Courier New" w:hAnsi="Courier New" w:cs="Arial" w:hint="default"/>
      </w:rPr>
    </w:lvl>
    <w:lvl w:ilvl="2" w:tplc="08090005" w:tentative="1">
      <w:start w:val="1"/>
      <w:numFmt w:val="bullet"/>
      <w:lvlText w:val=""/>
      <w:lvlJc w:val="left"/>
      <w:pPr>
        <w:tabs>
          <w:tab w:val="num" w:pos="2232"/>
        </w:tabs>
        <w:ind w:left="2232" w:hanging="360"/>
      </w:pPr>
      <w:rPr>
        <w:rFonts w:ascii="Wingdings" w:hAnsi="Wingdings" w:hint="default"/>
      </w:rPr>
    </w:lvl>
    <w:lvl w:ilvl="3" w:tplc="08090001" w:tentative="1">
      <w:start w:val="1"/>
      <w:numFmt w:val="bullet"/>
      <w:lvlText w:val=""/>
      <w:lvlJc w:val="left"/>
      <w:pPr>
        <w:tabs>
          <w:tab w:val="num" w:pos="2952"/>
        </w:tabs>
        <w:ind w:left="2952" w:hanging="360"/>
      </w:pPr>
      <w:rPr>
        <w:rFonts w:ascii="Symbol" w:hAnsi="Symbol" w:hint="default"/>
      </w:rPr>
    </w:lvl>
    <w:lvl w:ilvl="4" w:tplc="08090003" w:tentative="1">
      <w:start w:val="1"/>
      <w:numFmt w:val="bullet"/>
      <w:lvlText w:val="o"/>
      <w:lvlJc w:val="left"/>
      <w:pPr>
        <w:tabs>
          <w:tab w:val="num" w:pos="3672"/>
        </w:tabs>
        <w:ind w:left="3672" w:hanging="360"/>
      </w:pPr>
      <w:rPr>
        <w:rFonts w:ascii="Courier New" w:hAnsi="Courier New" w:cs="Arial" w:hint="default"/>
      </w:rPr>
    </w:lvl>
    <w:lvl w:ilvl="5" w:tplc="08090005" w:tentative="1">
      <w:start w:val="1"/>
      <w:numFmt w:val="bullet"/>
      <w:lvlText w:val=""/>
      <w:lvlJc w:val="left"/>
      <w:pPr>
        <w:tabs>
          <w:tab w:val="num" w:pos="4392"/>
        </w:tabs>
        <w:ind w:left="4392" w:hanging="360"/>
      </w:pPr>
      <w:rPr>
        <w:rFonts w:ascii="Wingdings" w:hAnsi="Wingdings" w:hint="default"/>
      </w:rPr>
    </w:lvl>
    <w:lvl w:ilvl="6" w:tplc="08090001" w:tentative="1">
      <w:start w:val="1"/>
      <w:numFmt w:val="bullet"/>
      <w:lvlText w:val=""/>
      <w:lvlJc w:val="left"/>
      <w:pPr>
        <w:tabs>
          <w:tab w:val="num" w:pos="5112"/>
        </w:tabs>
        <w:ind w:left="5112" w:hanging="360"/>
      </w:pPr>
      <w:rPr>
        <w:rFonts w:ascii="Symbol" w:hAnsi="Symbol" w:hint="default"/>
      </w:rPr>
    </w:lvl>
    <w:lvl w:ilvl="7" w:tplc="08090003" w:tentative="1">
      <w:start w:val="1"/>
      <w:numFmt w:val="bullet"/>
      <w:lvlText w:val="o"/>
      <w:lvlJc w:val="left"/>
      <w:pPr>
        <w:tabs>
          <w:tab w:val="num" w:pos="5832"/>
        </w:tabs>
        <w:ind w:left="5832" w:hanging="360"/>
      </w:pPr>
      <w:rPr>
        <w:rFonts w:ascii="Courier New" w:hAnsi="Courier New" w:cs="Arial" w:hint="default"/>
      </w:rPr>
    </w:lvl>
    <w:lvl w:ilvl="8" w:tplc="08090005" w:tentative="1">
      <w:start w:val="1"/>
      <w:numFmt w:val="bullet"/>
      <w:lvlText w:val=""/>
      <w:lvlJc w:val="left"/>
      <w:pPr>
        <w:tabs>
          <w:tab w:val="num" w:pos="6552"/>
        </w:tabs>
        <w:ind w:left="6552" w:hanging="360"/>
      </w:pPr>
      <w:rPr>
        <w:rFonts w:ascii="Wingdings" w:hAnsi="Wingdings" w:hint="default"/>
      </w:rPr>
    </w:lvl>
  </w:abstractNum>
  <w:abstractNum w:abstractNumId="150" w15:restartNumberingAfterBreak="0">
    <w:nsid w:val="54841B4B"/>
    <w:multiLevelType w:val="hybridMultilevel"/>
    <w:tmpl w:val="8FD08C14"/>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1" w15:restartNumberingAfterBreak="0">
    <w:nsid w:val="54D2477A"/>
    <w:multiLevelType w:val="hybridMultilevel"/>
    <w:tmpl w:val="AC28F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2" w15:restartNumberingAfterBreak="0">
    <w:nsid w:val="56A94710"/>
    <w:multiLevelType w:val="hybridMultilevel"/>
    <w:tmpl w:val="DBB68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3" w15:restartNumberingAfterBreak="0">
    <w:nsid w:val="56E4333C"/>
    <w:multiLevelType w:val="hybridMultilevel"/>
    <w:tmpl w:val="8774E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4" w15:restartNumberingAfterBreak="0">
    <w:nsid w:val="572E353B"/>
    <w:multiLevelType w:val="hybridMultilevel"/>
    <w:tmpl w:val="89061B0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5" w15:restartNumberingAfterBreak="0">
    <w:nsid w:val="57AC2361"/>
    <w:multiLevelType w:val="hybridMultilevel"/>
    <w:tmpl w:val="ED1CFB2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6" w15:restartNumberingAfterBreak="0">
    <w:nsid w:val="5980496C"/>
    <w:multiLevelType w:val="hybridMultilevel"/>
    <w:tmpl w:val="0D12E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7" w15:restartNumberingAfterBreak="0">
    <w:nsid w:val="598104D1"/>
    <w:multiLevelType w:val="hybridMultilevel"/>
    <w:tmpl w:val="E3C0FC8E"/>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8" w15:restartNumberingAfterBreak="0">
    <w:nsid w:val="59972D8C"/>
    <w:multiLevelType w:val="hybridMultilevel"/>
    <w:tmpl w:val="04CC7E7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9" w15:restartNumberingAfterBreak="0">
    <w:nsid w:val="59AB471D"/>
    <w:multiLevelType w:val="hybridMultilevel"/>
    <w:tmpl w:val="ECDC3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0" w15:restartNumberingAfterBreak="0">
    <w:nsid w:val="5AB7731E"/>
    <w:multiLevelType w:val="multilevel"/>
    <w:tmpl w:val="10D292C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1" w15:restartNumberingAfterBreak="0">
    <w:nsid w:val="5B1F7490"/>
    <w:multiLevelType w:val="hybridMultilevel"/>
    <w:tmpl w:val="F9C21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2" w15:restartNumberingAfterBreak="0">
    <w:nsid w:val="5C9747C9"/>
    <w:multiLevelType w:val="hybridMultilevel"/>
    <w:tmpl w:val="708AFC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3" w15:restartNumberingAfterBreak="0">
    <w:nsid w:val="5D2515A6"/>
    <w:multiLevelType w:val="hybridMultilevel"/>
    <w:tmpl w:val="6032CA2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4" w15:restartNumberingAfterBreak="0">
    <w:nsid w:val="5D7228C3"/>
    <w:multiLevelType w:val="hybridMultilevel"/>
    <w:tmpl w:val="DBC263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5" w15:restartNumberingAfterBreak="0">
    <w:nsid w:val="5D780F40"/>
    <w:multiLevelType w:val="hybridMultilevel"/>
    <w:tmpl w:val="751C3BD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6" w15:restartNumberingAfterBreak="0">
    <w:nsid w:val="5D7D5D79"/>
    <w:multiLevelType w:val="hybridMultilevel"/>
    <w:tmpl w:val="5F0A5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7" w15:restartNumberingAfterBreak="0">
    <w:nsid w:val="5ED31AE6"/>
    <w:multiLevelType w:val="hybridMultilevel"/>
    <w:tmpl w:val="374A6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8" w15:restartNumberingAfterBreak="0">
    <w:nsid w:val="5F161A4F"/>
    <w:multiLevelType w:val="hybridMultilevel"/>
    <w:tmpl w:val="DC1481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9" w15:restartNumberingAfterBreak="0">
    <w:nsid w:val="5FCC733A"/>
    <w:multiLevelType w:val="hybridMultilevel"/>
    <w:tmpl w:val="6DD61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0" w15:restartNumberingAfterBreak="0">
    <w:nsid w:val="60475451"/>
    <w:multiLevelType w:val="hybridMultilevel"/>
    <w:tmpl w:val="4EDA57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1" w15:restartNumberingAfterBreak="0">
    <w:nsid w:val="61EC5D04"/>
    <w:multiLevelType w:val="hybridMultilevel"/>
    <w:tmpl w:val="5E5688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2" w15:restartNumberingAfterBreak="0">
    <w:nsid w:val="6251033A"/>
    <w:multiLevelType w:val="hybridMultilevel"/>
    <w:tmpl w:val="141E3C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3" w15:restartNumberingAfterBreak="0">
    <w:nsid w:val="628B4317"/>
    <w:multiLevelType w:val="hybridMultilevel"/>
    <w:tmpl w:val="F4E22A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4" w15:restartNumberingAfterBreak="0">
    <w:nsid w:val="63A629D5"/>
    <w:multiLevelType w:val="hybridMultilevel"/>
    <w:tmpl w:val="F10CF0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5" w15:restartNumberingAfterBreak="0">
    <w:nsid w:val="66132DF3"/>
    <w:multiLevelType w:val="hybridMultilevel"/>
    <w:tmpl w:val="23640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6" w15:restartNumberingAfterBreak="0">
    <w:nsid w:val="66EF3136"/>
    <w:multiLevelType w:val="hybridMultilevel"/>
    <w:tmpl w:val="2A5C8A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7" w15:restartNumberingAfterBreak="0">
    <w:nsid w:val="694F4F89"/>
    <w:multiLevelType w:val="hybridMultilevel"/>
    <w:tmpl w:val="1D803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8" w15:restartNumberingAfterBreak="0">
    <w:nsid w:val="699C4D49"/>
    <w:multiLevelType w:val="hybridMultilevel"/>
    <w:tmpl w:val="63B45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9" w15:restartNumberingAfterBreak="0">
    <w:nsid w:val="69B50CE4"/>
    <w:multiLevelType w:val="hybridMultilevel"/>
    <w:tmpl w:val="7E7609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0" w15:restartNumberingAfterBreak="0">
    <w:nsid w:val="6A1D366D"/>
    <w:multiLevelType w:val="hybridMultilevel"/>
    <w:tmpl w:val="89FE5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1" w15:restartNumberingAfterBreak="0">
    <w:nsid w:val="6A4826DE"/>
    <w:multiLevelType w:val="hybridMultilevel"/>
    <w:tmpl w:val="AB3CB5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2" w15:restartNumberingAfterBreak="0">
    <w:nsid w:val="6B27159E"/>
    <w:multiLevelType w:val="hybridMultilevel"/>
    <w:tmpl w:val="A0BAB2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3" w15:restartNumberingAfterBreak="0">
    <w:nsid w:val="6BF85851"/>
    <w:multiLevelType w:val="hybridMultilevel"/>
    <w:tmpl w:val="BB66A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4" w15:restartNumberingAfterBreak="0">
    <w:nsid w:val="6C024D1A"/>
    <w:multiLevelType w:val="hybridMultilevel"/>
    <w:tmpl w:val="5AD28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5" w15:restartNumberingAfterBreak="0">
    <w:nsid w:val="6CDF6E0B"/>
    <w:multiLevelType w:val="hybridMultilevel"/>
    <w:tmpl w:val="3F64505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6" w15:restartNumberingAfterBreak="0">
    <w:nsid w:val="6D4B2F9D"/>
    <w:multiLevelType w:val="hybridMultilevel"/>
    <w:tmpl w:val="A65A7A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7" w15:restartNumberingAfterBreak="0">
    <w:nsid w:val="6DE1290D"/>
    <w:multiLevelType w:val="hybridMultilevel"/>
    <w:tmpl w:val="FF981C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8" w15:restartNumberingAfterBreak="0">
    <w:nsid w:val="6EF578FA"/>
    <w:multiLevelType w:val="hybridMultilevel"/>
    <w:tmpl w:val="BF0A5A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9" w15:restartNumberingAfterBreak="0">
    <w:nsid w:val="6F001CF9"/>
    <w:multiLevelType w:val="hybridMultilevel"/>
    <w:tmpl w:val="A394E97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0" w15:restartNumberingAfterBreak="0">
    <w:nsid w:val="6FDC1B30"/>
    <w:multiLevelType w:val="hybridMultilevel"/>
    <w:tmpl w:val="86E69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1" w15:restartNumberingAfterBreak="0">
    <w:nsid w:val="709A069B"/>
    <w:multiLevelType w:val="hybridMultilevel"/>
    <w:tmpl w:val="BE4E3A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2" w15:restartNumberingAfterBreak="0">
    <w:nsid w:val="709E3691"/>
    <w:multiLevelType w:val="hybridMultilevel"/>
    <w:tmpl w:val="24149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3" w15:restartNumberingAfterBreak="0">
    <w:nsid w:val="713F3E9E"/>
    <w:multiLevelType w:val="hybridMultilevel"/>
    <w:tmpl w:val="C37055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4" w15:restartNumberingAfterBreak="0">
    <w:nsid w:val="71510DF8"/>
    <w:multiLevelType w:val="hybridMultilevel"/>
    <w:tmpl w:val="0BB454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5" w15:restartNumberingAfterBreak="0">
    <w:nsid w:val="71587E2F"/>
    <w:multiLevelType w:val="hybridMultilevel"/>
    <w:tmpl w:val="54824F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6" w15:restartNumberingAfterBreak="0">
    <w:nsid w:val="7194191A"/>
    <w:multiLevelType w:val="hybridMultilevel"/>
    <w:tmpl w:val="FBCEBE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7" w15:restartNumberingAfterBreak="0">
    <w:nsid w:val="728F3564"/>
    <w:multiLevelType w:val="hybridMultilevel"/>
    <w:tmpl w:val="DEB20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8" w15:restartNumberingAfterBreak="0">
    <w:nsid w:val="72D768CD"/>
    <w:multiLevelType w:val="hybridMultilevel"/>
    <w:tmpl w:val="40B82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9" w15:restartNumberingAfterBreak="0">
    <w:nsid w:val="7369457B"/>
    <w:multiLevelType w:val="hybridMultilevel"/>
    <w:tmpl w:val="780020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0" w15:restartNumberingAfterBreak="0">
    <w:nsid w:val="73B70F4A"/>
    <w:multiLevelType w:val="hybridMultilevel"/>
    <w:tmpl w:val="70F6017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1" w15:restartNumberingAfterBreak="0">
    <w:nsid w:val="73E036CA"/>
    <w:multiLevelType w:val="hybridMultilevel"/>
    <w:tmpl w:val="4D0C43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2" w15:restartNumberingAfterBreak="0">
    <w:nsid w:val="74361BAF"/>
    <w:multiLevelType w:val="hybridMultilevel"/>
    <w:tmpl w:val="36D287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3" w15:restartNumberingAfterBreak="0">
    <w:nsid w:val="744F5DD8"/>
    <w:multiLevelType w:val="hybridMultilevel"/>
    <w:tmpl w:val="E6EA1D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4" w15:restartNumberingAfterBreak="0">
    <w:nsid w:val="7462358B"/>
    <w:multiLevelType w:val="hybridMultilevel"/>
    <w:tmpl w:val="B5949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5" w15:restartNumberingAfterBreak="0">
    <w:nsid w:val="74FA7267"/>
    <w:multiLevelType w:val="multilevel"/>
    <w:tmpl w:val="38EAEEEE"/>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206" w15:restartNumberingAfterBreak="0">
    <w:nsid w:val="75132D21"/>
    <w:multiLevelType w:val="hybridMultilevel"/>
    <w:tmpl w:val="32CAFC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7" w15:restartNumberingAfterBreak="0">
    <w:nsid w:val="75A04F75"/>
    <w:multiLevelType w:val="hybridMultilevel"/>
    <w:tmpl w:val="04BC1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8" w15:restartNumberingAfterBreak="0">
    <w:nsid w:val="76184E46"/>
    <w:multiLevelType w:val="hybridMultilevel"/>
    <w:tmpl w:val="467A33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9" w15:restartNumberingAfterBreak="0">
    <w:nsid w:val="76B01623"/>
    <w:multiLevelType w:val="hybridMultilevel"/>
    <w:tmpl w:val="DED63F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0" w15:restartNumberingAfterBreak="0">
    <w:nsid w:val="76EE661A"/>
    <w:multiLevelType w:val="hybridMultilevel"/>
    <w:tmpl w:val="A0AA08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1" w15:restartNumberingAfterBreak="0">
    <w:nsid w:val="77E31615"/>
    <w:multiLevelType w:val="hybridMultilevel"/>
    <w:tmpl w:val="9D5A0D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2" w15:restartNumberingAfterBreak="0">
    <w:nsid w:val="795D2C1D"/>
    <w:multiLevelType w:val="hybridMultilevel"/>
    <w:tmpl w:val="FCD8836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13" w15:restartNumberingAfterBreak="0">
    <w:nsid w:val="798071AC"/>
    <w:multiLevelType w:val="hybridMultilevel"/>
    <w:tmpl w:val="4A2867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4" w15:restartNumberingAfterBreak="0">
    <w:nsid w:val="79B554F8"/>
    <w:multiLevelType w:val="hybridMultilevel"/>
    <w:tmpl w:val="0D56F2F2"/>
    <w:lvl w:ilvl="0" w:tplc="08090001">
      <w:start w:val="1"/>
      <w:numFmt w:val="bullet"/>
      <w:lvlText w:val=""/>
      <w:lvlJc w:val="left"/>
      <w:pPr>
        <w:ind w:left="720" w:hanging="360"/>
      </w:pPr>
      <w:rPr>
        <w:rFonts w:ascii="Symbol" w:hAnsi="Symbol" w:hint="default"/>
      </w:rPr>
    </w:lvl>
    <w:lvl w:ilvl="1" w:tplc="C234B7A2">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5" w15:restartNumberingAfterBreak="0">
    <w:nsid w:val="79CA07F6"/>
    <w:multiLevelType w:val="hybridMultilevel"/>
    <w:tmpl w:val="52B2D5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6" w15:restartNumberingAfterBreak="0">
    <w:nsid w:val="79D11249"/>
    <w:multiLevelType w:val="hybridMultilevel"/>
    <w:tmpl w:val="60AC3E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7" w15:restartNumberingAfterBreak="0">
    <w:nsid w:val="79F33989"/>
    <w:multiLevelType w:val="hybridMultilevel"/>
    <w:tmpl w:val="EC74C0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8" w15:restartNumberingAfterBreak="0">
    <w:nsid w:val="7A683067"/>
    <w:multiLevelType w:val="hybridMultilevel"/>
    <w:tmpl w:val="E1700C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9" w15:restartNumberingAfterBreak="0">
    <w:nsid w:val="7B153385"/>
    <w:multiLevelType w:val="hybridMultilevel"/>
    <w:tmpl w:val="4AAAD980"/>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0" w15:restartNumberingAfterBreak="0">
    <w:nsid w:val="7B262328"/>
    <w:multiLevelType w:val="hybridMultilevel"/>
    <w:tmpl w:val="029EA1D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1" w15:restartNumberingAfterBreak="0">
    <w:nsid w:val="7C911531"/>
    <w:multiLevelType w:val="hybridMultilevel"/>
    <w:tmpl w:val="1DB8A6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2" w15:restartNumberingAfterBreak="0">
    <w:nsid w:val="7DED33C1"/>
    <w:multiLevelType w:val="hybridMultilevel"/>
    <w:tmpl w:val="6A965E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3" w15:restartNumberingAfterBreak="0">
    <w:nsid w:val="7E123F0E"/>
    <w:multiLevelType w:val="hybridMultilevel"/>
    <w:tmpl w:val="5DEA37B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4" w15:restartNumberingAfterBreak="0">
    <w:nsid w:val="7E2A66BF"/>
    <w:multiLevelType w:val="hybridMultilevel"/>
    <w:tmpl w:val="031E114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5" w15:restartNumberingAfterBreak="0">
    <w:nsid w:val="7E863588"/>
    <w:multiLevelType w:val="hybridMultilevel"/>
    <w:tmpl w:val="E4A2D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6" w15:restartNumberingAfterBreak="0">
    <w:nsid w:val="7F1B0337"/>
    <w:multiLevelType w:val="hybridMultilevel"/>
    <w:tmpl w:val="FA80A81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7" w15:restartNumberingAfterBreak="0">
    <w:nsid w:val="7F1E08BA"/>
    <w:multiLevelType w:val="hybridMultilevel"/>
    <w:tmpl w:val="D52A590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abstractNumId w:val="109"/>
  </w:num>
  <w:num w:numId="2">
    <w:abstractNumId w:val="66"/>
  </w:num>
  <w:num w:numId="3">
    <w:abstractNumId w:val="153"/>
  </w:num>
  <w:num w:numId="4">
    <w:abstractNumId w:val="39"/>
  </w:num>
  <w:num w:numId="5">
    <w:abstractNumId w:val="127"/>
  </w:num>
  <w:num w:numId="6">
    <w:abstractNumId w:val="124"/>
  </w:num>
  <w:num w:numId="7">
    <w:abstractNumId w:val="72"/>
  </w:num>
  <w:num w:numId="8">
    <w:abstractNumId w:val="75"/>
  </w:num>
  <w:num w:numId="9">
    <w:abstractNumId w:val="149"/>
  </w:num>
  <w:num w:numId="10">
    <w:abstractNumId w:val="138"/>
  </w:num>
  <w:num w:numId="11">
    <w:abstractNumId w:val="55"/>
  </w:num>
  <w:num w:numId="12">
    <w:abstractNumId w:val="89"/>
  </w:num>
  <w:num w:numId="13">
    <w:abstractNumId w:val="100"/>
  </w:num>
  <w:num w:numId="14">
    <w:abstractNumId w:val="51"/>
  </w:num>
  <w:num w:numId="15">
    <w:abstractNumId w:val="172"/>
  </w:num>
  <w:num w:numId="16">
    <w:abstractNumId w:val="195"/>
  </w:num>
  <w:num w:numId="17">
    <w:abstractNumId w:val="4"/>
  </w:num>
  <w:num w:numId="18">
    <w:abstractNumId w:val="3"/>
  </w:num>
  <w:num w:numId="19">
    <w:abstractNumId w:val="145"/>
  </w:num>
  <w:num w:numId="20">
    <w:abstractNumId w:val="83"/>
  </w:num>
  <w:num w:numId="21">
    <w:abstractNumId w:val="106"/>
  </w:num>
  <w:num w:numId="22">
    <w:abstractNumId w:val="141"/>
  </w:num>
  <w:num w:numId="23">
    <w:abstractNumId w:val="187"/>
  </w:num>
  <w:num w:numId="24">
    <w:abstractNumId w:val="212"/>
  </w:num>
  <w:num w:numId="25">
    <w:abstractNumId w:val="32"/>
  </w:num>
  <w:num w:numId="26">
    <w:abstractNumId w:val="34"/>
  </w:num>
  <w:num w:numId="27">
    <w:abstractNumId w:val="101"/>
  </w:num>
  <w:num w:numId="28">
    <w:abstractNumId w:val="130"/>
  </w:num>
  <w:num w:numId="29">
    <w:abstractNumId w:val="63"/>
  </w:num>
  <w:num w:numId="30">
    <w:abstractNumId w:val="165"/>
  </w:num>
  <w:num w:numId="31">
    <w:abstractNumId w:val="200"/>
  </w:num>
  <w:num w:numId="32">
    <w:abstractNumId w:val="163"/>
  </w:num>
  <w:num w:numId="33">
    <w:abstractNumId w:val="223"/>
  </w:num>
  <w:num w:numId="34">
    <w:abstractNumId w:val="131"/>
  </w:num>
  <w:num w:numId="35">
    <w:abstractNumId w:val="70"/>
  </w:num>
  <w:num w:numId="36">
    <w:abstractNumId w:val="224"/>
  </w:num>
  <w:num w:numId="37">
    <w:abstractNumId w:val="102"/>
  </w:num>
  <w:num w:numId="38">
    <w:abstractNumId w:val="13"/>
  </w:num>
  <w:num w:numId="39">
    <w:abstractNumId w:val="154"/>
  </w:num>
  <w:num w:numId="40">
    <w:abstractNumId w:val="227"/>
  </w:num>
  <w:num w:numId="41">
    <w:abstractNumId w:val="62"/>
  </w:num>
  <w:num w:numId="42">
    <w:abstractNumId w:val="8"/>
  </w:num>
  <w:num w:numId="43">
    <w:abstractNumId w:val="203"/>
  </w:num>
  <w:num w:numId="44">
    <w:abstractNumId w:val="151"/>
  </w:num>
  <w:num w:numId="45">
    <w:abstractNumId w:val="18"/>
  </w:num>
  <w:num w:numId="46">
    <w:abstractNumId w:val="219"/>
  </w:num>
  <w:num w:numId="47">
    <w:abstractNumId w:val="157"/>
  </w:num>
  <w:num w:numId="48">
    <w:abstractNumId w:val="9"/>
  </w:num>
  <w:num w:numId="49">
    <w:abstractNumId w:val="122"/>
  </w:num>
  <w:num w:numId="50">
    <w:abstractNumId w:val="84"/>
  </w:num>
  <w:num w:numId="51">
    <w:abstractNumId w:val="197"/>
  </w:num>
  <w:num w:numId="52">
    <w:abstractNumId w:val="69"/>
  </w:num>
  <w:num w:numId="53">
    <w:abstractNumId w:val="94"/>
  </w:num>
  <w:num w:numId="54">
    <w:abstractNumId w:val="114"/>
  </w:num>
  <w:num w:numId="55">
    <w:abstractNumId w:val="148"/>
  </w:num>
  <w:num w:numId="56">
    <w:abstractNumId w:val="226"/>
  </w:num>
  <w:num w:numId="57">
    <w:abstractNumId w:val="133"/>
  </w:num>
  <w:num w:numId="58">
    <w:abstractNumId w:val="160"/>
  </w:num>
  <w:num w:numId="59">
    <w:abstractNumId w:val="140"/>
  </w:num>
  <w:num w:numId="60">
    <w:abstractNumId w:val="193"/>
  </w:num>
  <w:num w:numId="61">
    <w:abstractNumId w:val="204"/>
  </w:num>
  <w:num w:numId="62">
    <w:abstractNumId w:val="168"/>
  </w:num>
  <w:num w:numId="63">
    <w:abstractNumId w:val="210"/>
  </w:num>
  <w:num w:numId="64">
    <w:abstractNumId w:val="142"/>
  </w:num>
  <w:num w:numId="65">
    <w:abstractNumId w:val="146"/>
  </w:num>
  <w:num w:numId="66">
    <w:abstractNumId w:val="144"/>
  </w:num>
  <w:num w:numId="67">
    <w:abstractNumId w:val="10"/>
  </w:num>
  <w:num w:numId="68">
    <w:abstractNumId w:val="36"/>
  </w:num>
  <w:num w:numId="69">
    <w:abstractNumId w:val="49"/>
  </w:num>
  <w:num w:numId="70">
    <w:abstractNumId w:val="17"/>
  </w:num>
  <w:num w:numId="71">
    <w:abstractNumId w:val="91"/>
  </w:num>
  <w:num w:numId="72">
    <w:abstractNumId w:val="177"/>
  </w:num>
  <w:num w:numId="73">
    <w:abstractNumId w:val="174"/>
  </w:num>
  <w:num w:numId="74">
    <w:abstractNumId w:val="125"/>
  </w:num>
  <w:num w:numId="75">
    <w:abstractNumId w:val="7"/>
  </w:num>
  <w:num w:numId="76">
    <w:abstractNumId w:val="111"/>
  </w:num>
  <w:num w:numId="77">
    <w:abstractNumId w:val="29"/>
  </w:num>
  <w:num w:numId="78">
    <w:abstractNumId w:val="119"/>
  </w:num>
  <w:num w:numId="79">
    <w:abstractNumId w:val="147"/>
  </w:num>
  <w:num w:numId="80">
    <w:abstractNumId w:val="95"/>
  </w:num>
  <w:num w:numId="81">
    <w:abstractNumId w:val="99"/>
  </w:num>
  <w:num w:numId="82">
    <w:abstractNumId w:val="5"/>
  </w:num>
  <w:num w:numId="83">
    <w:abstractNumId w:val="113"/>
  </w:num>
  <w:num w:numId="84">
    <w:abstractNumId w:val="196"/>
  </w:num>
  <w:num w:numId="85">
    <w:abstractNumId w:val="181"/>
  </w:num>
  <w:num w:numId="86">
    <w:abstractNumId w:val="87"/>
  </w:num>
  <w:num w:numId="87">
    <w:abstractNumId w:val="33"/>
  </w:num>
  <w:num w:numId="88">
    <w:abstractNumId w:val="98"/>
  </w:num>
  <w:num w:numId="89">
    <w:abstractNumId w:val="61"/>
  </w:num>
  <w:num w:numId="90">
    <w:abstractNumId w:val="56"/>
  </w:num>
  <w:num w:numId="91">
    <w:abstractNumId w:val="65"/>
  </w:num>
  <w:num w:numId="92">
    <w:abstractNumId w:val="139"/>
  </w:num>
  <w:num w:numId="93">
    <w:abstractNumId w:val="116"/>
  </w:num>
  <w:num w:numId="94">
    <w:abstractNumId w:val="218"/>
  </w:num>
  <w:num w:numId="95">
    <w:abstractNumId w:val="50"/>
  </w:num>
  <w:num w:numId="96">
    <w:abstractNumId w:val="188"/>
  </w:num>
  <w:num w:numId="97">
    <w:abstractNumId w:val="221"/>
  </w:num>
  <w:num w:numId="98">
    <w:abstractNumId w:val="58"/>
  </w:num>
  <w:num w:numId="99">
    <w:abstractNumId w:val="21"/>
  </w:num>
  <w:num w:numId="100">
    <w:abstractNumId w:val="48"/>
  </w:num>
  <w:num w:numId="101">
    <w:abstractNumId w:val="112"/>
  </w:num>
  <w:num w:numId="102">
    <w:abstractNumId w:val="135"/>
  </w:num>
  <w:num w:numId="103">
    <w:abstractNumId w:val="81"/>
  </w:num>
  <w:num w:numId="104">
    <w:abstractNumId w:val="208"/>
  </w:num>
  <w:num w:numId="105">
    <w:abstractNumId w:val="44"/>
  </w:num>
  <w:num w:numId="106">
    <w:abstractNumId w:val="85"/>
  </w:num>
  <w:num w:numId="107">
    <w:abstractNumId w:val="103"/>
  </w:num>
  <w:num w:numId="108">
    <w:abstractNumId w:val="97"/>
  </w:num>
  <w:num w:numId="109">
    <w:abstractNumId w:val="191"/>
  </w:num>
  <w:num w:numId="110">
    <w:abstractNumId w:val="136"/>
  </w:num>
  <w:num w:numId="111">
    <w:abstractNumId w:val="194"/>
  </w:num>
  <w:num w:numId="112">
    <w:abstractNumId w:val="74"/>
  </w:num>
  <w:num w:numId="113">
    <w:abstractNumId w:val="46"/>
  </w:num>
  <w:num w:numId="114">
    <w:abstractNumId w:val="80"/>
  </w:num>
  <w:num w:numId="115">
    <w:abstractNumId w:val="1"/>
  </w:num>
  <w:num w:numId="116">
    <w:abstractNumId w:val="42"/>
  </w:num>
  <w:num w:numId="117">
    <w:abstractNumId w:val="43"/>
  </w:num>
  <w:num w:numId="118">
    <w:abstractNumId w:val="35"/>
  </w:num>
  <w:num w:numId="119">
    <w:abstractNumId w:val="120"/>
  </w:num>
  <w:num w:numId="120">
    <w:abstractNumId w:val="20"/>
  </w:num>
  <w:num w:numId="121">
    <w:abstractNumId w:val="6"/>
  </w:num>
  <w:num w:numId="122">
    <w:abstractNumId w:val="143"/>
  </w:num>
  <w:num w:numId="123">
    <w:abstractNumId w:val="156"/>
  </w:num>
  <w:num w:numId="124">
    <w:abstractNumId w:val="28"/>
  </w:num>
  <w:num w:numId="125">
    <w:abstractNumId w:val="25"/>
  </w:num>
  <w:num w:numId="126">
    <w:abstractNumId w:val="38"/>
  </w:num>
  <w:num w:numId="127">
    <w:abstractNumId w:val="67"/>
  </w:num>
  <w:num w:numId="128">
    <w:abstractNumId w:val="128"/>
  </w:num>
  <w:num w:numId="129">
    <w:abstractNumId w:val="73"/>
  </w:num>
  <w:num w:numId="130">
    <w:abstractNumId w:val="190"/>
  </w:num>
  <w:num w:numId="131">
    <w:abstractNumId w:val="105"/>
  </w:num>
  <w:num w:numId="132">
    <w:abstractNumId w:val="192"/>
  </w:num>
  <w:num w:numId="133">
    <w:abstractNumId w:val="132"/>
  </w:num>
  <w:num w:numId="134">
    <w:abstractNumId w:val="214"/>
  </w:num>
  <w:num w:numId="135">
    <w:abstractNumId w:val="47"/>
  </w:num>
  <w:num w:numId="136">
    <w:abstractNumId w:val="96"/>
  </w:num>
  <w:num w:numId="137">
    <w:abstractNumId w:val="158"/>
  </w:num>
  <w:num w:numId="138">
    <w:abstractNumId w:val="37"/>
  </w:num>
  <w:num w:numId="139">
    <w:abstractNumId w:val="40"/>
  </w:num>
  <w:num w:numId="140">
    <w:abstractNumId w:val="150"/>
  </w:num>
  <w:num w:numId="141">
    <w:abstractNumId w:val="159"/>
  </w:num>
  <w:num w:numId="142">
    <w:abstractNumId w:val="216"/>
  </w:num>
  <w:num w:numId="143">
    <w:abstractNumId w:val="76"/>
  </w:num>
  <w:num w:numId="144">
    <w:abstractNumId w:val="12"/>
  </w:num>
  <w:num w:numId="145">
    <w:abstractNumId w:val="137"/>
  </w:num>
  <w:num w:numId="146">
    <w:abstractNumId w:val="117"/>
  </w:num>
  <w:num w:numId="147">
    <w:abstractNumId w:val="186"/>
  </w:num>
  <w:num w:numId="148">
    <w:abstractNumId w:val="108"/>
  </w:num>
  <w:num w:numId="149">
    <w:abstractNumId w:val="90"/>
  </w:num>
  <w:num w:numId="150">
    <w:abstractNumId w:val="215"/>
  </w:num>
  <w:num w:numId="151">
    <w:abstractNumId w:val="79"/>
  </w:num>
  <w:num w:numId="152">
    <w:abstractNumId w:val="217"/>
  </w:num>
  <w:num w:numId="153">
    <w:abstractNumId w:val="24"/>
  </w:num>
  <w:num w:numId="154">
    <w:abstractNumId w:val="82"/>
  </w:num>
  <w:num w:numId="155">
    <w:abstractNumId w:val="110"/>
  </w:num>
  <w:num w:numId="156">
    <w:abstractNumId w:val="86"/>
  </w:num>
  <w:num w:numId="157">
    <w:abstractNumId w:val="68"/>
  </w:num>
  <w:num w:numId="158">
    <w:abstractNumId w:val="71"/>
  </w:num>
  <w:num w:numId="159">
    <w:abstractNumId w:val="201"/>
  </w:num>
  <w:num w:numId="160">
    <w:abstractNumId w:val="167"/>
  </w:num>
  <w:num w:numId="161">
    <w:abstractNumId w:val="60"/>
  </w:num>
  <w:num w:numId="162">
    <w:abstractNumId w:val="173"/>
  </w:num>
  <w:num w:numId="163">
    <w:abstractNumId w:val="126"/>
  </w:num>
  <w:num w:numId="164">
    <w:abstractNumId w:val="182"/>
  </w:num>
  <w:num w:numId="165">
    <w:abstractNumId w:val="170"/>
  </w:num>
  <w:num w:numId="166">
    <w:abstractNumId w:val="211"/>
  </w:num>
  <w:num w:numId="167">
    <w:abstractNumId w:val="207"/>
  </w:num>
  <w:num w:numId="168">
    <w:abstractNumId w:val="59"/>
  </w:num>
  <w:num w:numId="169">
    <w:abstractNumId w:val="64"/>
  </w:num>
  <w:num w:numId="170">
    <w:abstractNumId w:val="88"/>
  </w:num>
  <w:num w:numId="171">
    <w:abstractNumId w:val="2"/>
  </w:num>
  <w:num w:numId="172">
    <w:abstractNumId w:val="23"/>
  </w:num>
  <w:num w:numId="173">
    <w:abstractNumId w:val="213"/>
  </w:num>
  <w:num w:numId="174">
    <w:abstractNumId w:val="123"/>
  </w:num>
  <w:num w:numId="175">
    <w:abstractNumId w:val="206"/>
  </w:num>
  <w:num w:numId="176">
    <w:abstractNumId w:val="175"/>
  </w:num>
  <w:num w:numId="177">
    <w:abstractNumId w:val="41"/>
  </w:num>
  <w:num w:numId="178">
    <w:abstractNumId w:val="198"/>
  </w:num>
  <w:num w:numId="179">
    <w:abstractNumId w:val="209"/>
  </w:num>
  <w:num w:numId="180">
    <w:abstractNumId w:val="225"/>
  </w:num>
  <w:num w:numId="181">
    <w:abstractNumId w:val="178"/>
  </w:num>
  <w:num w:numId="182">
    <w:abstractNumId w:val="26"/>
  </w:num>
  <w:num w:numId="183">
    <w:abstractNumId w:val="183"/>
  </w:num>
  <w:num w:numId="184">
    <w:abstractNumId w:val="118"/>
  </w:num>
  <w:num w:numId="185">
    <w:abstractNumId w:val="0"/>
  </w:num>
  <w:num w:numId="186">
    <w:abstractNumId w:val="169"/>
  </w:num>
  <w:num w:numId="187">
    <w:abstractNumId w:val="179"/>
  </w:num>
  <w:num w:numId="188">
    <w:abstractNumId w:val="155"/>
  </w:num>
  <w:num w:numId="189">
    <w:abstractNumId w:val="52"/>
  </w:num>
  <w:num w:numId="190">
    <w:abstractNumId w:val="161"/>
  </w:num>
  <w:num w:numId="191">
    <w:abstractNumId w:val="22"/>
  </w:num>
  <w:num w:numId="192">
    <w:abstractNumId w:val="11"/>
  </w:num>
  <w:num w:numId="193">
    <w:abstractNumId w:val="134"/>
  </w:num>
  <w:num w:numId="194">
    <w:abstractNumId w:val="57"/>
  </w:num>
  <w:num w:numId="195">
    <w:abstractNumId w:val="107"/>
  </w:num>
  <w:num w:numId="196">
    <w:abstractNumId w:val="19"/>
  </w:num>
  <w:num w:numId="197">
    <w:abstractNumId w:val="152"/>
  </w:num>
  <w:num w:numId="198">
    <w:abstractNumId w:val="30"/>
  </w:num>
  <w:num w:numId="199">
    <w:abstractNumId w:val="189"/>
  </w:num>
  <w:num w:numId="200">
    <w:abstractNumId w:val="164"/>
  </w:num>
  <w:num w:numId="201">
    <w:abstractNumId w:val="54"/>
  </w:num>
  <w:num w:numId="202">
    <w:abstractNumId w:val="202"/>
  </w:num>
  <w:num w:numId="203">
    <w:abstractNumId w:val="45"/>
  </w:num>
  <w:num w:numId="204">
    <w:abstractNumId w:val="176"/>
  </w:num>
  <w:num w:numId="205">
    <w:abstractNumId w:val="31"/>
  </w:num>
  <w:num w:numId="206">
    <w:abstractNumId w:val="199"/>
  </w:num>
  <w:num w:numId="207">
    <w:abstractNumId w:val="129"/>
  </w:num>
  <w:num w:numId="208">
    <w:abstractNumId w:val="27"/>
  </w:num>
  <w:num w:numId="209">
    <w:abstractNumId w:val="184"/>
  </w:num>
  <w:num w:numId="210">
    <w:abstractNumId w:val="53"/>
  </w:num>
  <w:num w:numId="211">
    <w:abstractNumId w:val="14"/>
  </w:num>
  <w:num w:numId="212">
    <w:abstractNumId w:val="220"/>
  </w:num>
  <w:num w:numId="213">
    <w:abstractNumId w:val="162"/>
  </w:num>
  <w:num w:numId="214">
    <w:abstractNumId w:val="16"/>
  </w:num>
  <w:num w:numId="215">
    <w:abstractNumId w:val="93"/>
  </w:num>
  <w:num w:numId="216">
    <w:abstractNumId w:val="166"/>
  </w:num>
  <w:num w:numId="217">
    <w:abstractNumId w:val="180"/>
  </w:num>
  <w:num w:numId="218">
    <w:abstractNumId w:val="78"/>
  </w:num>
  <w:num w:numId="219">
    <w:abstractNumId w:val="77"/>
  </w:num>
  <w:num w:numId="220">
    <w:abstractNumId w:val="205"/>
  </w:num>
  <w:num w:numId="221">
    <w:abstractNumId w:val="104"/>
  </w:num>
  <w:num w:numId="222">
    <w:abstractNumId w:val="222"/>
  </w:num>
  <w:num w:numId="223">
    <w:abstractNumId w:val="185"/>
  </w:num>
  <w:num w:numId="224">
    <w:abstractNumId w:val="121"/>
  </w:num>
  <w:num w:numId="225">
    <w:abstractNumId w:val="171"/>
  </w:num>
  <w:num w:numId="226">
    <w:abstractNumId w:val="15"/>
  </w:num>
  <w:num w:numId="227">
    <w:abstractNumId w:val="115"/>
  </w:num>
  <w:num w:numId="228">
    <w:abstractNumId w:val="92"/>
  </w:num>
  <w:numIdMacAtCleanup w:val="2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0" w:nlCheck="1" w:checkStyle="0"/>
  <w:activeWritingStyle w:appName="MSWord" w:lang="en-US" w:vendorID="64" w:dllVersion="0" w:nlCheck="1" w:checkStyle="0"/>
  <w:activeWritingStyle w:appName="MSWord" w:lang="en-GB" w:vendorID="64" w:dllVersion="6" w:nlCheck="1" w:checkStyle="1"/>
  <w:activeWritingStyle w:appName="MSWord" w:lang="en-US" w:vendorID="64" w:dllVersion="6" w:nlCheck="1" w:checkStyle="1"/>
  <w:activeWritingStyle w:appName="MSWord" w:lang="en-GB" w:vendorID="64" w:dllVersion="131078" w:nlCheck="1" w:checkStyle="1"/>
  <w:activeWritingStyle w:appName="MSWord" w:lang="en-US" w:vendorID="64" w:dllVersion="131078" w:nlCheck="1" w:checkStyle="1"/>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3F28"/>
    <w:rsid w:val="000003A4"/>
    <w:rsid w:val="0000059C"/>
    <w:rsid w:val="00000759"/>
    <w:rsid w:val="00000811"/>
    <w:rsid w:val="00000869"/>
    <w:rsid w:val="000009B5"/>
    <w:rsid w:val="00000C9E"/>
    <w:rsid w:val="00000F91"/>
    <w:rsid w:val="00000FEE"/>
    <w:rsid w:val="0000110D"/>
    <w:rsid w:val="000017D7"/>
    <w:rsid w:val="00001885"/>
    <w:rsid w:val="00001E1C"/>
    <w:rsid w:val="00001EEA"/>
    <w:rsid w:val="00001EF4"/>
    <w:rsid w:val="000024E0"/>
    <w:rsid w:val="000025D2"/>
    <w:rsid w:val="000029D0"/>
    <w:rsid w:val="00002E00"/>
    <w:rsid w:val="000032AD"/>
    <w:rsid w:val="0000346C"/>
    <w:rsid w:val="000035D7"/>
    <w:rsid w:val="00003B4E"/>
    <w:rsid w:val="00003FD7"/>
    <w:rsid w:val="00004357"/>
    <w:rsid w:val="00004497"/>
    <w:rsid w:val="000044A8"/>
    <w:rsid w:val="00004585"/>
    <w:rsid w:val="000047C4"/>
    <w:rsid w:val="00004869"/>
    <w:rsid w:val="00004C6A"/>
    <w:rsid w:val="00004DAD"/>
    <w:rsid w:val="000051F0"/>
    <w:rsid w:val="000053D4"/>
    <w:rsid w:val="00005848"/>
    <w:rsid w:val="000058EC"/>
    <w:rsid w:val="00005C26"/>
    <w:rsid w:val="00005C7A"/>
    <w:rsid w:val="00005D67"/>
    <w:rsid w:val="00005EE3"/>
    <w:rsid w:val="00005FAE"/>
    <w:rsid w:val="000064B3"/>
    <w:rsid w:val="000074AD"/>
    <w:rsid w:val="00007582"/>
    <w:rsid w:val="000077A0"/>
    <w:rsid w:val="00007B4F"/>
    <w:rsid w:val="00007BD3"/>
    <w:rsid w:val="00007E30"/>
    <w:rsid w:val="00010149"/>
    <w:rsid w:val="00010404"/>
    <w:rsid w:val="000105D2"/>
    <w:rsid w:val="000106CA"/>
    <w:rsid w:val="0001076A"/>
    <w:rsid w:val="00010845"/>
    <w:rsid w:val="00010AFD"/>
    <w:rsid w:val="00010E08"/>
    <w:rsid w:val="000110CE"/>
    <w:rsid w:val="000112F1"/>
    <w:rsid w:val="0001136B"/>
    <w:rsid w:val="000114FB"/>
    <w:rsid w:val="000116AD"/>
    <w:rsid w:val="000118CF"/>
    <w:rsid w:val="00011A4D"/>
    <w:rsid w:val="00011D6C"/>
    <w:rsid w:val="00011D8D"/>
    <w:rsid w:val="0001203E"/>
    <w:rsid w:val="00012051"/>
    <w:rsid w:val="0001236B"/>
    <w:rsid w:val="00012638"/>
    <w:rsid w:val="000127E3"/>
    <w:rsid w:val="00012A32"/>
    <w:rsid w:val="00012DC4"/>
    <w:rsid w:val="00012F14"/>
    <w:rsid w:val="00012F44"/>
    <w:rsid w:val="00013013"/>
    <w:rsid w:val="00013524"/>
    <w:rsid w:val="00013B4B"/>
    <w:rsid w:val="00013C7B"/>
    <w:rsid w:val="00014351"/>
    <w:rsid w:val="0001481C"/>
    <w:rsid w:val="0001497F"/>
    <w:rsid w:val="00014C27"/>
    <w:rsid w:val="00014D05"/>
    <w:rsid w:val="00014DAF"/>
    <w:rsid w:val="00014EC4"/>
    <w:rsid w:val="00015243"/>
    <w:rsid w:val="00015287"/>
    <w:rsid w:val="00015E13"/>
    <w:rsid w:val="00015E56"/>
    <w:rsid w:val="00016577"/>
    <w:rsid w:val="00016791"/>
    <w:rsid w:val="000167A0"/>
    <w:rsid w:val="00016A0B"/>
    <w:rsid w:val="000172A1"/>
    <w:rsid w:val="0001737C"/>
    <w:rsid w:val="000173C3"/>
    <w:rsid w:val="000174F7"/>
    <w:rsid w:val="00017921"/>
    <w:rsid w:val="00017B9F"/>
    <w:rsid w:val="00017DC5"/>
    <w:rsid w:val="00017E95"/>
    <w:rsid w:val="00017FB2"/>
    <w:rsid w:val="000201A4"/>
    <w:rsid w:val="000209E1"/>
    <w:rsid w:val="00020B60"/>
    <w:rsid w:val="000211AB"/>
    <w:rsid w:val="00021456"/>
    <w:rsid w:val="000217FB"/>
    <w:rsid w:val="0002196E"/>
    <w:rsid w:val="00021F3E"/>
    <w:rsid w:val="00021F8F"/>
    <w:rsid w:val="0002251C"/>
    <w:rsid w:val="0002260A"/>
    <w:rsid w:val="000228DF"/>
    <w:rsid w:val="00022B15"/>
    <w:rsid w:val="00022B66"/>
    <w:rsid w:val="00022B7C"/>
    <w:rsid w:val="00022BDF"/>
    <w:rsid w:val="00022F14"/>
    <w:rsid w:val="00022FBC"/>
    <w:rsid w:val="0002321C"/>
    <w:rsid w:val="00023417"/>
    <w:rsid w:val="0002374F"/>
    <w:rsid w:val="0002381D"/>
    <w:rsid w:val="000238BA"/>
    <w:rsid w:val="00023FD4"/>
    <w:rsid w:val="00023FE6"/>
    <w:rsid w:val="000240E0"/>
    <w:rsid w:val="000242DA"/>
    <w:rsid w:val="0002432A"/>
    <w:rsid w:val="000244DB"/>
    <w:rsid w:val="0002474B"/>
    <w:rsid w:val="00024764"/>
    <w:rsid w:val="0002477A"/>
    <w:rsid w:val="000247A2"/>
    <w:rsid w:val="00024A47"/>
    <w:rsid w:val="00024A8F"/>
    <w:rsid w:val="00025086"/>
    <w:rsid w:val="00025347"/>
    <w:rsid w:val="00025435"/>
    <w:rsid w:val="00025496"/>
    <w:rsid w:val="00025667"/>
    <w:rsid w:val="0002580D"/>
    <w:rsid w:val="00025872"/>
    <w:rsid w:val="0002591E"/>
    <w:rsid w:val="00025977"/>
    <w:rsid w:val="00025B94"/>
    <w:rsid w:val="00025C07"/>
    <w:rsid w:val="00025C83"/>
    <w:rsid w:val="00025D32"/>
    <w:rsid w:val="00025F77"/>
    <w:rsid w:val="000261F9"/>
    <w:rsid w:val="00026419"/>
    <w:rsid w:val="00026444"/>
    <w:rsid w:val="0002651B"/>
    <w:rsid w:val="00026762"/>
    <w:rsid w:val="00027477"/>
    <w:rsid w:val="0002780E"/>
    <w:rsid w:val="00027872"/>
    <w:rsid w:val="00027910"/>
    <w:rsid w:val="00027C0B"/>
    <w:rsid w:val="00027FA2"/>
    <w:rsid w:val="0003011D"/>
    <w:rsid w:val="000301A1"/>
    <w:rsid w:val="000302AD"/>
    <w:rsid w:val="0003074C"/>
    <w:rsid w:val="00030999"/>
    <w:rsid w:val="00030BF8"/>
    <w:rsid w:val="00030EA7"/>
    <w:rsid w:val="0003129B"/>
    <w:rsid w:val="0003156D"/>
    <w:rsid w:val="00031756"/>
    <w:rsid w:val="000318CC"/>
    <w:rsid w:val="00031C85"/>
    <w:rsid w:val="00031D22"/>
    <w:rsid w:val="00031F7A"/>
    <w:rsid w:val="000321D5"/>
    <w:rsid w:val="000326F3"/>
    <w:rsid w:val="00032875"/>
    <w:rsid w:val="00032DCD"/>
    <w:rsid w:val="00032EE7"/>
    <w:rsid w:val="000331C4"/>
    <w:rsid w:val="00033481"/>
    <w:rsid w:val="00033906"/>
    <w:rsid w:val="00033AA6"/>
    <w:rsid w:val="00033B1B"/>
    <w:rsid w:val="0003404B"/>
    <w:rsid w:val="00034150"/>
    <w:rsid w:val="00034489"/>
    <w:rsid w:val="0003491F"/>
    <w:rsid w:val="00034B38"/>
    <w:rsid w:val="00034C13"/>
    <w:rsid w:val="000351C4"/>
    <w:rsid w:val="00035551"/>
    <w:rsid w:val="00035795"/>
    <w:rsid w:val="000359A2"/>
    <w:rsid w:val="0003687D"/>
    <w:rsid w:val="00036885"/>
    <w:rsid w:val="000369B9"/>
    <w:rsid w:val="00036D61"/>
    <w:rsid w:val="00036EA7"/>
    <w:rsid w:val="00036F33"/>
    <w:rsid w:val="00037105"/>
    <w:rsid w:val="0003735C"/>
    <w:rsid w:val="00037435"/>
    <w:rsid w:val="0003758C"/>
    <w:rsid w:val="00037988"/>
    <w:rsid w:val="000379DC"/>
    <w:rsid w:val="00037E48"/>
    <w:rsid w:val="00037E87"/>
    <w:rsid w:val="00037EEB"/>
    <w:rsid w:val="00040638"/>
    <w:rsid w:val="000406E3"/>
    <w:rsid w:val="00040FEE"/>
    <w:rsid w:val="00041212"/>
    <w:rsid w:val="00041A2E"/>
    <w:rsid w:val="00041BA6"/>
    <w:rsid w:val="00041EEC"/>
    <w:rsid w:val="00042317"/>
    <w:rsid w:val="0004298C"/>
    <w:rsid w:val="00042A23"/>
    <w:rsid w:val="00042AF5"/>
    <w:rsid w:val="00042D2C"/>
    <w:rsid w:val="00042E04"/>
    <w:rsid w:val="00042EB1"/>
    <w:rsid w:val="00042FEA"/>
    <w:rsid w:val="0004329C"/>
    <w:rsid w:val="00043697"/>
    <w:rsid w:val="00043858"/>
    <w:rsid w:val="00043A9F"/>
    <w:rsid w:val="00043D1E"/>
    <w:rsid w:val="00043EC9"/>
    <w:rsid w:val="00044012"/>
    <w:rsid w:val="000440A4"/>
    <w:rsid w:val="0004439B"/>
    <w:rsid w:val="000443A1"/>
    <w:rsid w:val="00044529"/>
    <w:rsid w:val="0004456F"/>
    <w:rsid w:val="00044A15"/>
    <w:rsid w:val="00044CCC"/>
    <w:rsid w:val="00045714"/>
    <w:rsid w:val="00045D64"/>
    <w:rsid w:val="00045DB7"/>
    <w:rsid w:val="00045E3E"/>
    <w:rsid w:val="00045ECC"/>
    <w:rsid w:val="00045F3D"/>
    <w:rsid w:val="000460D5"/>
    <w:rsid w:val="000463B0"/>
    <w:rsid w:val="0004648D"/>
    <w:rsid w:val="000467D2"/>
    <w:rsid w:val="000467F8"/>
    <w:rsid w:val="00046CAE"/>
    <w:rsid w:val="00046E64"/>
    <w:rsid w:val="00047163"/>
    <w:rsid w:val="00047568"/>
    <w:rsid w:val="000475C4"/>
    <w:rsid w:val="00050137"/>
    <w:rsid w:val="000503A3"/>
    <w:rsid w:val="0005048E"/>
    <w:rsid w:val="00050A39"/>
    <w:rsid w:val="00050A58"/>
    <w:rsid w:val="00050C7F"/>
    <w:rsid w:val="00050E44"/>
    <w:rsid w:val="00050E95"/>
    <w:rsid w:val="00050F26"/>
    <w:rsid w:val="00051244"/>
    <w:rsid w:val="00051639"/>
    <w:rsid w:val="00051937"/>
    <w:rsid w:val="00051990"/>
    <w:rsid w:val="00051C57"/>
    <w:rsid w:val="00051FAB"/>
    <w:rsid w:val="0005229A"/>
    <w:rsid w:val="000522BE"/>
    <w:rsid w:val="00052477"/>
    <w:rsid w:val="000524F9"/>
    <w:rsid w:val="00052569"/>
    <w:rsid w:val="00052A68"/>
    <w:rsid w:val="00052A76"/>
    <w:rsid w:val="00052C36"/>
    <w:rsid w:val="00053087"/>
    <w:rsid w:val="0005332B"/>
    <w:rsid w:val="0005332C"/>
    <w:rsid w:val="00053424"/>
    <w:rsid w:val="00053619"/>
    <w:rsid w:val="00053B73"/>
    <w:rsid w:val="00054065"/>
    <w:rsid w:val="000541DD"/>
    <w:rsid w:val="00054579"/>
    <w:rsid w:val="0005514A"/>
    <w:rsid w:val="00055C2A"/>
    <w:rsid w:val="0005610F"/>
    <w:rsid w:val="0005619B"/>
    <w:rsid w:val="000563DE"/>
    <w:rsid w:val="0005656E"/>
    <w:rsid w:val="000572FC"/>
    <w:rsid w:val="0005762E"/>
    <w:rsid w:val="00057CF8"/>
    <w:rsid w:val="0006001B"/>
    <w:rsid w:val="000603D9"/>
    <w:rsid w:val="0006065B"/>
    <w:rsid w:val="00060A35"/>
    <w:rsid w:val="00060C5A"/>
    <w:rsid w:val="00060CD5"/>
    <w:rsid w:val="00060DE6"/>
    <w:rsid w:val="00061265"/>
    <w:rsid w:val="000614BC"/>
    <w:rsid w:val="00061504"/>
    <w:rsid w:val="000618B5"/>
    <w:rsid w:val="00061C2D"/>
    <w:rsid w:val="00062206"/>
    <w:rsid w:val="0006269E"/>
    <w:rsid w:val="00062D36"/>
    <w:rsid w:val="00062EE2"/>
    <w:rsid w:val="000630F4"/>
    <w:rsid w:val="0006316E"/>
    <w:rsid w:val="000631D2"/>
    <w:rsid w:val="0006344E"/>
    <w:rsid w:val="000634BC"/>
    <w:rsid w:val="0006357F"/>
    <w:rsid w:val="000639DE"/>
    <w:rsid w:val="00063C2D"/>
    <w:rsid w:val="00063DE1"/>
    <w:rsid w:val="000642FA"/>
    <w:rsid w:val="00064854"/>
    <w:rsid w:val="00064902"/>
    <w:rsid w:val="00064A16"/>
    <w:rsid w:val="00064F47"/>
    <w:rsid w:val="000652BD"/>
    <w:rsid w:val="000652C8"/>
    <w:rsid w:val="0006530E"/>
    <w:rsid w:val="000654FB"/>
    <w:rsid w:val="00065606"/>
    <w:rsid w:val="00065946"/>
    <w:rsid w:val="0006635D"/>
    <w:rsid w:val="00066387"/>
    <w:rsid w:val="000664C5"/>
    <w:rsid w:val="00066844"/>
    <w:rsid w:val="00066867"/>
    <w:rsid w:val="00066952"/>
    <w:rsid w:val="000670B1"/>
    <w:rsid w:val="000670C1"/>
    <w:rsid w:val="000672A1"/>
    <w:rsid w:val="0006776E"/>
    <w:rsid w:val="00067C67"/>
    <w:rsid w:val="000706D2"/>
    <w:rsid w:val="0007077A"/>
    <w:rsid w:val="00070862"/>
    <w:rsid w:val="00070B36"/>
    <w:rsid w:val="00070B78"/>
    <w:rsid w:val="00071104"/>
    <w:rsid w:val="00071305"/>
    <w:rsid w:val="00071666"/>
    <w:rsid w:val="000716AE"/>
    <w:rsid w:val="00071F42"/>
    <w:rsid w:val="0007240F"/>
    <w:rsid w:val="00072546"/>
    <w:rsid w:val="0007282E"/>
    <w:rsid w:val="00072E02"/>
    <w:rsid w:val="000731C0"/>
    <w:rsid w:val="00073428"/>
    <w:rsid w:val="0007368B"/>
    <w:rsid w:val="00073BC5"/>
    <w:rsid w:val="00074290"/>
    <w:rsid w:val="000749FA"/>
    <w:rsid w:val="000749FE"/>
    <w:rsid w:val="00074A11"/>
    <w:rsid w:val="00074E75"/>
    <w:rsid w:val="00075076"/>
    <w:rsid w:val="000751B2"/>
    <w:rsid w:val="0007525A"/>
    <w:rsid w:val="00075807"/>
    <w:rsid w:val="000759C6"/>
    <w:rsid w:val="00075A41"/>
    <w:rsid w:val="00075C55"/>
    <w:rsid w:val="00075F83"/>
    <w:rsid w:val="00076081"/>
    <w:rsid w:val="0007631F"/>
    <w:rsid w:val="0007676D"/>
    <w:rsid w:val="00076AA5"/>
    <w:rsid w:val="00076C83"/>
    <w:rsid w:val="00076FAF"/>
    <w:rsid w:val="00077019"/>
    <w:rsid w:val="00077445"/>
    <w:rsid w:val="00077451"/>
    <w:rsid w:val="00077580"/>
    <w:rsid w:val="000775F8"/>
    <w:rsid w:val="00077AE8"/>
    <w:rsid w:val="00077B83"/>
    <w:rsid w:val="00077CD3"/>
    <w:rsid w:val="000800D1"/>
    <w:rsid w:val="0008058B"/>
    <w:rsid w:val="00080608"/>
    <w:rsid w:val="000809BD"/>
    <w:rsid w:val="00080A09"/>
    <w:rsid w:val="00080E9B"/>
    <w:rsid w:val="0008131D"/>
    <w:rsid w:val="000816C3"/>
    <w:rsid w:val="000816C9"/>
    <w:rsid w:val="000816E1"/>
    <w:rsid w:val="000819DF"/>
    <w:rsid w:val="00081A4E"/>
    <w:rsid w:val="00081D6C"/>
    <w:rsid w:val="00081DDA"/>
    <w:rsid w:val="0008204C"/>
    <w:rsid w:val="0008241C"/>
    <w:rsid w:val="0008271B"/>
    <w:rsid w:val="000827E6"/>
    <w:rsid w:val="00082CBB"/>
    <w:rsid w:val="00082DF2"/>
    <w:rsid w:val="0008305F"/>
    <w:rsid w:val="000830ED"/>
    <w:rsid w:val="0008325E"/>
    <w:rsid w:val="000834FF"/>
    <w:rsid w:val="00083749"/>
    <w:rsid w:val="000837E5"/>
    <w:rsid w:val="000839CC"/>
    <w:rsid w:val="00083AF7"/>
    <w:rsid w:val="00083F8D"/>
    <w:rsid w:val="000842A6"/>
    <w:rsid w:val="000842C7"/>
    <w:rsid w:val="000842EE"/>
    <w:rsid w:val="00084521"/>
    <w:rsid w:val="0008459A"/>
    <w:rsid w:val="0008476B"/>
    <w:rsid w:val="00084826"/>
    <w:rsid w:val="0008499D"/>
    <w:rsid w:val="00084F0D"/>
    <w:rsid w:val="00084F2F"/>
    <w:rsid w:val="00085045"/>
    <w:rsid w:val="0008542E"/>
    <w:rsid w:val="000855DB"/>
    <w:rsid w:val="0008583D"/>
    <w:rsid w:val="000859C8"/>
    <w:rsid w:val="000861B0"/>
    <w:rsid w:val="000865C5"/>
    <w:rsid w:val="000866D3"/>
    <w:rsid w:val="00086BAA"/>
    <w:rsid w:val="000871E7"/>
    <w:rsid w:val="000874B6"/>
    <w:rsid w:val="000874E9"/>
    <w:rsid w:val="000875EF"/>
    <w:rsid w:val="000876FF"/>
    <w:rsid w:val="00087736"/>
    <w:rsid w:val="00087ABD"/>
    <w:rsid w:val="00087BA8"/>
    <w:rsid w:val="00087E0C"/>
    <w:rsid w:val="00087E51"/>
    <w:rsid w:val="00087E87"/>
    <w:rsid w:val="00087F31"/>
    <w:rsid w:val="000902D2"/>
    <w:rsid w:val="00090829"/>
    <w:rsid w:val="00090C6E"/>
    <w:rsid w:val="00090CD4"/>
    <w:rsid w:val="00090DB3"/>
    <w:rsid w:val="00090EA4"/>
    <w:rsid w:val="00091009"/>
    <w:rsid w:val="00091217"/>
    <w:rsid w:val="00091311"/>
    <w:rsid w:val="000913E6"/>
    <w:rsid w:val="00091560"/>
    <w:rsid w:val="000916B8"/>
    <w:rsid w:val="00091B8C"/>
    <w:rsid w:val="00091C52"/>
    <w:rsid w:val="00091C7E"/>
    <w:rsid w:val="00091CDC"/>
    <w:rsid w:val="0009218D"/>
    <w:rsid w:val="000921C2"/>
    <w:rsid w:val="0009221B"/>
    <w:rsid w:val="00092869"/>
    <w:rsid w:val="00092B11"/>
    <w:rsid w:val="00092C15"/>
    <w:rsid w:val="00092DF8"/>
    <w:rsid w:val="0009328B"/>
    <w:rsid w:val="00093953"/>
    <w:rsid w:val="00093A0A"/>
    <w:rsid w:val="00093A6F"/>
    <w:rsid w:val="00093B9E"/>
    <w:rsid w:val="00093DA3"/>
    <w:rsid w:val="00094817"/>
    <w:rsid w:val="000948E3"/>
    <w:rsid w:val="00094922"/>
    <w:rsid w:val="0009495F"/>
    <w:rsid w:val="00094D79"/>
    <w:rsid w:val="00095009"/>
    <w:rsid w:val="000955CB"/>
    <w:rsid w:val="000957C1"/>
    <w:rsid w:val="0009589B"/>
    <w:rsid w:val="00095A8F"/>
    <w:rsid w:val="00095F68"/>
    <w:rsid w:val="000960CC"/>
    <w:rsid w:val="000960EA"/>
    <w:rsid w:val="000961A6"/>
    <w:rsid w:val="00096775"/>
    <w:rsid w:val="000967AB"/>
    <w:rsid w:val="00096859"/>
    <w:rsid w:val="00096918"/>
    <w:rsid w:val="00096A76"/>
    <w:rsid w:val="00096B3E"/>
    <w:rsid w:val="00096B70"/>
    <w:rsid w:val="00096BE5"/>
    <w:rsid w:val="00096D9F"/>
    <w:rsid w:val="00096FBC"/>
    <w:rsid w:val="00097318"/>
    <w:rsid w:val="0009738E"/>
    <w:rsid w:val="000974FC"/>
    <w:rsid w:val="00097798"/>
    <w:rsid w:val="00097C67"/>
    <w:rsid w:val="000A0AC2"/>
    <w:rsid w:val="000A0B9F"/>
    <w:rsid w:val="000A0C1D"/>
    <w:rsid w:val="000A0C23"/>
    <w:rsid w:val="000A10BA"/>
    <w:rsid w:val="000A10FA"/>
    <w:rsid w:val="000A1129"/>
    <w:rsid w:val="000A15CE"/>
    <w:rsid w:val="000A1730"/>
    <w:rsid w:val="000A19F5"/>
    <w:rsid w:val="000A1AE7"/>
    <w:rsid w:val="000A1D80"/>
    <w:rsid w:val="000A1F22"/>
    <w:rsid w:val="000A2222"/>
    <w:rsid w:val="000A2318"/>
    <w:rsid w:val="000A240B"/>
    <w:rsid w:val="000A29E5"/>
    <w:rsid w:val="000A2D68"/>
    <w:rsid w:val="000A2D81"/>
    <w:rsid w:val="000A2E42"/>
    <w:rsid w:val="000A2F8A"/>
    <w:rsid w:val="000A3423"/>
    <w:rsid w:val="000A3993"/>
    <w:rsid w:val="000A3D49"/>
    <w:rsid w:val="000A3E43"/>
    <w:rsid w:val="000A470B"/>
    <w:rsid w:val="000A472A"/>
    <w:rsid w:val="000A4763"/>
    <w:rsid w:val="000A4EA0"/>
    <w:rsid w:val="000A564F"/>
    <w:rsid w:val="000A5A70"/>
    <w:rsid w:val="000A5AD3"/>
    <w:rsid w:val="000A600A"/>
    <w:rsid w:val="000A6869"/>
    <w:rsid w:val="000A719A"/>
    <w:rsid w:val="000A722F"/>
    <w:rsid w:val="000A73B6"/>
    <w:rsid w:val="000A73E1"/>
    <w:rsid w:val="000A7409"/>
    <w:rsid w:val="000A7592"/>
    <w:rsid w:val="000A76A5"/>
    <w:rsid w:val="000A76DF"/>
    <w:rsid w:val="000A7942"/>
    <w:rsid w:val="000A7B4F"/>
    <w:rsid w:val="000A7DE3"/>
    <w:rsid w:val="000B0466"/>
    <w:rsid w:val="000B0794"/>
    <w:rsid w:val="000B08EA"/>
    <w:rsid w:val="000B0992"/>
    <w:rsid w:val="000B0D81"/>
    <w:rsid w:val="000B0F7B"/>
    <w:rsid w:val="000B103C"/>
    <w:rsid w:val="000B1172"/>
    <w:rsid w:val="000B1A5F"/>
    <w:rsid w:val="000B1A6A"/>
    <w:rsid w:val="000B2318"/>
    <w:rsid w:val="000B26B6"/>
    <w:rsid w:val="000B2786"/>
    <w:rsid w:val="000B2BCD"/>
    <w:rsid w:val="000B3094"/>
    <w:rsid w:val="000B3153"/>
    <w:rsid w:val="000B31B3"/>
    <w:rsid w:val="000B34BC"/>
    <w:rsid w:val="000B350F"/>
    <w:rsid w:val="000B36F5"/>
    <w:rsid w:val="000B38E9"/>
    <w:rsid w:val="000B3C31"/>
    <w:rsid w:val="000B3D9F"/>
    <w:rsid w:val="000B3EA6"/>
    <w:rsid w:val="000B4041"/>
    <w:rsid w:val="000B41E0"/>
    <w:rsid w:val="000B4472"/>
    <w:rsid w:val="000B44B5"/>
    <w:rsid w:val="000B4534"/>
    <w:rsid w:val="000B4EB4"/>
    <w:rsid w:val="000B504B"/>
    <w:rsid w:val="000B5221"/>
    <w:rsid w:val="000B5550"/>
    <w:rsid w:val="000B55BC"/>
    <w:rsid w:val="000B5689"/>
    <w:rsid w:val="000B5707"/>
    <w:rsid w:val="000B592E"/>
    <w:rsid w:val="000B61E4"/>
    <w:rsid w:val="000B62AF"/>
    <w:rsid w:val="000B648D"/>
    <w:rsid w:val="000B6517"/>
    <w:rsid w:val="000B6711"/>
    <w:rsid w:val="000B6834"/>
    <w:rsid w:val="000B6D98"/>
    <w:rsid w:val="000B707D"/>
    <w:rsid w:val="000B73F9"/>
    <w:rsid w:val="000B7911"/>
    <w:rsid w:val="000B79AC"/>
    <w:rsid w:val="000B7B8E"/>
    <w:rsid w:val="000C0008"/>
    <w:rsid w:val="000C00CC"/>
    <w:rsid w:val="000C00D5"/>
    <w:rsid w:val="000C0248"/>
    <w:rsid w:val="000C0432"/>
    <w:rsid w:val="000C05E1"/>
    <w:rsid w:val="000C0662"/>
    <w:rsid w:val="000C0740"/>
    <w:rsid w:val="000C09B3"/>
    <w:rsid w:val="000C0C7F"/>
    <w:rsid w:val="000C1106"/>
    <w:rsid w:val="000C13D3"/>
    <w:rsid w:val="000C1952"/>
    <w:rsid w:val="000C1997"/>
    <w:rsid w:val="000C1CD0"/>
    <w:rsid w:val="000C1D04"/>
    <w:rsid w:val="000C1FAD"/>
    <w:rsid w:val="000C2046"/>
    <w:rsid w:val="000C21AB"/>
    <w:rsid w:val="000C2357"/>
    <w:rsid w:val="000C277A"/>
    <w:rsid w:val="000C2E84"/>
    <w:rsid w:val="000C3457"/>
    <w:rsid w:val="000C3BA6"/>
    <w:rsid w:val="000C3D7F"/>
    <w:rsid w:val="000C3DC5"/>
    <w:rsid w:val="000C3EF9"/>
    <w:rsid w:val="000C4211"/>
    <w:rsid w:val="000C431E"/>
    <w:rsid w:val="000C4E27"/>
    <w:rsid w:val="000C51A1"/>
    <w:rsid w:val="000C5218"/>
    <w:rsid w:val="000C5332"/>
    <w:rsid w:val="000C5336"/>
    <w:rsid w:val="000C548D"/>
    <w:rsid w:val="000C5495"/>
    <w:rsid w:val="000C5578"/>
    <w:rsid w:val="000C562E"/>
    <w:rsid w:val="000C5A21"/>
    <w:rsid w:val="000C5A6D"/>
    <w:rsid w:val="000C5AB7"/>
    <w:rsid w:val="000C5C5E"/>
    <w:rsid w:val="000C5E56"/>
    <w:rsid w:val="000C62CD"/>
    <w:rsid w:val="000C6326"/>
    <w:rsid w:val="000C63B6"/>
    <w:rsid w:val="000C6C72"/>
    <w:rsid w:val="000C6E9E"/>
    <w:rsid w:val="000C71FE"/>
    <w:rsid w:val="000C7283"/>
    <w:rsid w:val="000C7663"/>
    <w:rsid w:val="000C7D62"/>
    <w:rsid w:val="000D03ED"/>
    <w:rsid w:val="000D0600"/>
    <w:rsid w:val="000D09DD"/>
    <w:rsid w:val="000D0B84"/>
    <w:rsid w:val="000D0BD8"/>
    <w:rsid w:val="000D1542"/>
    <w:rsid w:val="000D163C"/>
    <w:rsid w:val="000D1709"/>
    <w:rsid w:val="000D17F1"/>
    <w:rsid w:val="000D191F"/>
    <w:rsid w:val="000D1AED"/>
    <w:rsid w:val="000D1B63"/>
    <w:rsid w:val="000D2243"/>
    <w:rsid w:val="000D2251"/>
    <w:rsid w:val="000D27D1"/>
    <w:rsid w:val="000D3532"/>
    <w:rsid w:val="000D36B4"/>
    <w:rsid w:val="000D4035"/>
    <w:rsid w:val="000D4257"/>
    <w:rsid w:val="000D4503"/>
    <w:rsid w:val="000D45BF"/>
    <w:rsid w:val="000D4CD9"/>
    <w:rsid w:val="000D4D39"/>
    <w:rsid w:val="000D4F35"/>
    <w:rsid w:val="000D4FAC"/>
    <w:rsid w:val="000D4FFB"/>
    <w:rsid w:val="000D5183"/>
    <w:rsid w:val="000D5A2D"/>
    <w:rsid w:val="000D5DC1"/>
    <w:rsid w:val="000D5F2B"/>
    <w:rsid w:val="000D628C"/>
    <w:rsid w:val="000D6336"/>
    <w:rsid w:val="000D6BAF"/>
    <w:rsid w:val="000D6D4F"/>
    <w:rsid w:val="000D6EA8"/>
    <w:rsid w:val="000D6F26"/>
    <w:rsid w:val="000D6FA5"/>
    <w:rsid w:val="000D7309"/>
    <w:rsid w:val="000D75DF"/>
    <w:rsid w:val="000D7AA2"/>
    <w:rsid w:val="000D7C8E"/>
    <w:rsid w:val="000D7E55"/>
    <w:rsid w:val="000E02C6"/>
    <w:rsid w:val="000E0316"/>
    <w:rsid w:val="000E048D"/>
    <w:rsid w:val="000E0648"/>
    <w:rsid w:val="000E067B"/>
    <w:rsid w:val="000E0D59"/>
    <w:rsid w:val="000E0EB5"/>
    <w:rsid w:val="000E10F7"/>
    <w:rsid w:val="000E11A3"/>
    <w:rsid w:val="000E1412"/>
    <w:rsid w:val="000E1460"/>
    <w:rsid w:val="000E167D"/>
    <w:rsid w:val="000E1B3B"/>
    <w:rsid w:val="000E22F2"/>
    <w:rsid w:val="000E267B"/>
    <w:rsid w:val="000E2B9F"/>
    <w:rsid w:val="000E2CE8"/>
    <w:rsid w:val="000E2CF0"/>
    <w:rsid w:val="000E2FA9"/>
    <w:rsid w:val="000E31F0"/>
    <w:rsid w:val="000E341D"/>
    <w:rsid w:val="000E34F1"/>
    <w:rsid w:val="000E3587"/>
    <w:rsid w:val="000E3613"/>
    <w:rsid w:val="000E361D"/>
    <w:rsid w:val="000E37E1"/>
    <w:rsid w:val="000E3A67"/>
    <w:rsid w:val="000E3B78"/>
    <w:rsid w:val="000E3E20"/>
    <w:rsid w:val="000E3E2F"/>
    <w:rsid w:val="000E488D"/>
    <w:rsid w:val="000E4E5D"/>
    <w:rsid w:val="000E4F18"/>
    <w:rsid w:val="000E4F32"/>
    <w:rsid w:val="000E5153"/>
    <w:rsid w:val="000E5429"/>
    <w:rsid w:val="000E59E1"/>
    <w:rsid w:val="000E5A2F"/>
    <w:rsid w:val="000E5BCB"/>
    <w:rsid w:val="000E5CFD"/>
    <w:rsid w:val="000E603C"/>
    <w:rsid w:val="000E676C"/>
    <w:rsid w:val="000E6898"/>
    <w:rsid w:val="000E6AB8"/>
    <w:rsid w:val="000E6B8A"/>
    <w:rsid w:val="000E7048"/>
    <w:rsid w:val="000E7107"/>
    <w:rsid w:val="000E7A83"/>
    <w:rsid w:val="000E7ACF"/>
    <w:rsid w:val="000F0245"/>
    <w:rsid w:val="000F054A"/>
    <w:rsid w:val="000F0CF5"/>
    <w:rsid w:val="000F0DA8"/>
    <w:rsid w:val="000F0DFF"/>
    <w:rsid w:val="000F0E76"/>
    <w:rsid w:val="000F18DC"/>
    <w:rsid w:val="000F1A43"/>
    <w:rsid w:val="000F1C66"/>
    <w:rsid w:val="000F2058"/>
    <w:rsid w:val="000F23B5"/>
    <w:rsid w:val="000F240D"/>
    <w:rsid w:val="000F254B"/>
    <w:rsid w:val="000F2AD9"/>
    <w:rsid w:val="000F2B99"/>
    <w:rsid w:val="000F3077"/>
    <w:rsid w:val="000F30B0"/>
    <w:rsid w:val="000F318E"/>
    <w:rsid w:val="000F3206"/>
    <w:rsid w:val="000F3300"/>
    <w:rsid w:val="000F354E"/>
    <w:rsid w:val="000F36A0"/>
    <w:rsid w:val="000F36F3"/>
    <w:rsid w:val="000F371F"/>
    <w:rsid w:val="000F3A03"/>
    <w:rsid w:val="000F3A6A"/>
    <w:rsid w:val="000F3AB7"/>
    <w:rsid w:val="000F3FE9"/>
    <w:rsid w:val="000F40E5"/>
    <w:rsid w:val="000F440A"/>
    <w:rsid w:val="000F444F"/>
    <w:rsid w:val="000F44E1"/>
    <w:rsid w:val="000F46EF"/>
    <w:rsid w:val="000F4738"/>
    <w:rsid w:val="000F4B8F"/>
    <w:rsid w:val="000F4CAE"/>
    <w:rsid w:val="000F4D59"/>
    <w:rsid w:val="000F4F82"/>
    <w:rsid w:val="000F51BD"/>
    <w:rsid w:val="000F51D7"/>
    <w:rsid w:val="000F526A"/>
    <w:rsid w:val="000F52F2"/>
    <w:rsid w:val="000F5322"/>
    <w:rsid w:val="000F534B"/>
    <w:rsid w:val="000F5489"/>
    <w:rsid w:val="000F574C"/>
    <w:rsid w:val="000F597B"/>
    <w:rsid w:val="000F5A1E"/>
    <w:rsid w:val="000F5C6D"/>
    <w:rsid w:val="000F6125"/>
    <w:rsid w:val="000F61E1"/>
    <w:rsid w:val="000F6205"/>
    <w:rsid w:val="000F62DA"/>
    <w:rsid w:val="000F62F5"/>
    <w:rsid w:val="000F6418"/>
    <w:rsid w:val="000F674D"/>
    <w:rsid w:val="000F6E01"/>
    <w:rsid w:val="000F6E35"/>
    <w:rsid w:val="000F7488"/>
    <w:rsid w:val="000F7568"/>
    <w:rsid w:val="000F7798"/>
    <w:rsid w:val="000F7B7F"/>
    <w:rsid w:val="000F7CE4"/>
    <w:rsid w:val="000F7E7A"/>
    <w:rsid w:val="000F7E9A"/>
    <w:rsid w:val="00100BEE"/>
    <w:rsid w:val="00100C90"/>
    <w:rsid w:val="00100E23"/>
    <w:rsid w:val="00100ECD"/>
    <w:rsid w:val="00100F5A"/>
    <w:rsid w:val="00100F8F"/>
    <w:rsid w:val="0010122C"/>
    <w:rsid w:val="00101555"/>
    <w:rsid w:val="00101983"/>
    <w:rsid w:val="00101D72"/>
    <w:rsid w:val="001021DF"/>
    <w:rsid w:val="001029C2"/>
    <w:rsid w:val="00102A28"/>
    <w:rsid w:val="001030FF"/>
    <w:rsid w:val="00103351"/>
    <w:rsid w:val="0010376F"/>
    <w:rsid w:val="0010382A"/>
    <w:rsid w:val="001039A8"/>
    <w:rsid w:val="00103AF4"/>
    <w:rsid w:val="00103B90"/>
    <w:rsid w:val="00103BC9"/>
    <w:rsid w:val="00103C81"/>
    <w:rsid w:val="00103D7F"/>
    <w:rsid w:val="00103F89"/>
    <w:rsid w:val="0010403A"/>
    <w:rsid w:val="0010483E"/>
    <w:rsid w:val="00104B68"/>
    <w:rsid w:val="00104EB7"/>
    <w:rsid w:val="001050DD"/>
    <w:rsid w:val="00105425"/>
    <w:rsid w:val="00105647"/>
    <w:rsid w:val="001057CA"/>
    <w:rsid w:val="001057FA"/>
    <w:rsid w:val="00105997"/>
    <w:rsid w:val="00105EC6"/>
    <w:rsid w:val="00106536"/>
    <w:rsid w:val="001068DE"/>
    <w:rsid w:val="00106B44"/>
    <w:rsid w:val="00106B97"/>
    <w:rsid w:val="00106C0D"/>
    <w:rsid w:val="00106DD9"/>
    <w:rsid w:val="001074EC"/>
    <w:rsid w:val="00107549"/>
    <w:rsid w:val="00107678"/>
    <w:rsid w:val="001076A7"/>
    <w:rsid w:val="00107BD7"/>
    <w:rsid w:val="00107D2C"/>
    <w:rsid w:val="00107F0D"/>
    <w:rsid w:val="0011012E"/>
    <w:rsid w:val="0011091F"/>
    <w:rsid w:val="00110B41"/>
    <w:rsid w:val="00110C63"/>
    <w:rsid w:val="00110CA1"/>
    <w:rsid w:val="00110CF5"/>
    <w:rsid w:val="00110E35"/>
    <w:rsid w:val="00110FB5"/>
    <w:rsid w:val="0011115F"/>
    <w:rsid w:val="001113D1"/>
    <w:rsid w:val="001114A9"/>
    <w:rsid w:val="00111987"/>
    <w:rsid w:val="00111A01"/>
    <w:rsid w:val="00111B38"/>
    <w:rsid w:val="00112340"/>
    <w:rsid w:val="001125DB"/>
    <w:rsid w:val="00112673"/>
    <w:rsid w:val="001128AB"/>
    <w:rsid w:val="00112B6D"/>
    <w:rsid w:val="00112CE4"/>
    <w:rsid w:val="00113021"/>
    <w:rsid w:val="0011313F"/>
    <w:rsid w:val="00113163"/>
    <w:rsid w:val="00113A6D"/>
    <w:rsid w:val="00113ADE"/>
    <w:rsid w:val="00113B09"/>
    <w:rsid w:val="00113B0C"/>
    <w:rsid w:val="00113B73"/>
    <w:rsid w:val="00113E7E"/>
    <w:rsid w:val="001140E4"/>
    <w:rsid w:val="00114CDA"/>
    <w:rsid w:val="00114EA5"/>
    <w:rsid w:val="00115108"/>
    <w:rsid w:val="0011518A"/>
    <w:rsid w:val="001151C5"/>
    <w:rsid w:val="001151F3"/>
    <w:rsid w:val="00115C82"/>
    <w:rsid w:val="00115C9C"/>
    <w:rsid w:val="00115CB1"/>
    <w:rsid w:val="001160C8"/>
    <w:rsid w:val="0011645E"/>
    <w:rsid w:val="00116634"/>
    <w:rsid w:val="00116B4C"/>
    <w:rsid w:val="00116D8C"/>
    <w:rsid w:val="00117010"/>
    <w:rsid w:val="001172FC"/>
    <w:rsid w:val="001173DA"/>
    <w:rsid w:val="001174B3"/>
    <w:rsid w:val="001176AA"/>
    <w:rsid w:val="0011792B"/>
    <w:rsid w:val="00117BF2"/>
    <w:rsid w:val="00117DF6"/>
    <w:rsid w:val="00117EA7"/>
    <w:rsid w:val="001200E0"/>
    <w:rsid w:val="001201B7"/>
    <w:rsid w:val="0012029E"/>
    <w:rsid w:val="0012046D"/>
    <w:rsid w:val="001209E5"/>
    <w:rsid w:val="0012139C"/>
    <w:rsid w:val="00121B42"/>
    <w:rsid w:val="00121D0A"/>
    <w:rsid w:val="00121F63"/>
    <w:rsid w:val="0012200B"/>
    <w:rsid w:val="00122377"/>
    <w:rsid w:val="00122590"/>
    <w:rsid w:val="001226D7"/>
    <w:rsid w:val="00122730"/>
    <w:rsid w:val="00122C42"/>
    <w:rsid w:val="00122DCB"/>
    <w:rsid w:val="00122F52"/>
    <w:rsid w:val="00123487"/>
    <w:rsid w:val="001234D7"/>
    <w:rsid w:val="0012369E"/>
    <w:rsid w:val="001238AD"/>
    <w:rsid w:val="00123A80"/>
    <w:rsid w:val="00123B77"/>
    <w:rsid w:val="00123E84"/>
    <w:rsid w:val="00123EA9"/>
    <w:rsid w:val="001240AE"/>
    <w:rsid w:val="00124300"/>
    <w:rsid w:val="00124311"/>
    <w:rsid w:val="00124394"/>
    <w:rsid w:val="00124A93"/>
    <w:rsid w:val="00124AAA"/>
    <w:rsid w:val="00124C1B"/>
    <w:rsid w:val="00124DB0"/>
    <w:rsid w:val="0012508D"/>
    <w:rsid w:val="001253A4"/>
    <w:rsid w:val="001256D0"/>
    <w:rsid w:val="00125794"/>
    <w:rsid w:val="00125B75"/>
    <w:rsid w:val="00125C22"/>
    <w:rsid w:val="001263C2"/>
    <w:rsid w:val="001264F7"/>
    <w:rsid w:val="001265D4"/>
    <w:rsid w:val="001266F6"/>
    <w:rsid w:val="00126799"/>
    <w:rsid w:val="00126AB6"/>
    <w:rsid w:val="00126CA0"/>
    <w:rsid w:val="00127578"/>
    <w:rsid w:val="00127956"/>
    <w:rsid w:val="00127C58"/>
    <w:rsid w:val="0013038E"/>
    <w:rsid w:val="00130502"/>
    <w:rsid w:val="00130646"/>
    <w:rsid w:val="001306EB"/>
    <w:rsid w:val="0013099F"/>
    <w:rsid w:val="00130C04"/>
    <w:rsid w:val="00130C37"/>
    <w:rsid w:val="00130CE6"/>
    <w:rsid w:val="0013117C"/>
    <w:rsid w:val="00131516"/>
    <w:rsid w:val="0013164A"/>
    <w:rsid w:val="001318EA"/>
    <w:rsid w:val="001319DF"/>
    <w:rsid w:val="00131E65"/>
    <w:rsid w:val="001320AD"/>
    <w:rsid w:val="00132FF9"/>
    <w:rsid w:val="0013300B"/>
    <w:rsid w:val="00133056"/>
    <w:rsid w:val="001330F2"/>
    <w:rsid w:val="0013348D"/>
    <w:rsid w:val="0013353D"/>
    <w:rsid w:val="00133660"/>
    <w:rsid w:val="001339F0"/>
    <w:rsid w:val="00134124"/>
    <w:rsid w:val="00134300"/>
    <w:rsid w:val="001343AD"/>
    <w:rsid w:val="0013443C"/>
    <w:rsid w:val="00134690"/>
    <w:rsid w:val="00134961"/>
    <w:rsid w:val="001349A8"/>
    <w:rsid w:val="00134CE2"/>
    <w:rsid w:val="00134EBE"/>
    <w:rsid w:val="00134F45"/>
    <w:rsid w:val="00134F68"/>
    <w:rsid w:val="001350DA"/>
    <w:rsid w:val="00135AAE"/>
    <w:rsid w:val="00136186"/>
    <w:rsid w:val="00136738"/>
    <w:rsid w:val="00136819"/>
    <w:rsid w:val="001368C6"/>
    <w:rsid w:val="0013699A"/>
    <w:rsid w:val="0013699D"/>
    <w:rsid w:val="00136BAE"/>
    <w:rsid w:val="00137168"/>
    <w:rsid w:val="00137189"/>
    <w:rsid w:val="001377A2"/>
    <w:rsid w:val="00137A10"/>
    <w:rsid w:val="001400E4"/>
    <w:rsid w:val="00140248"/>
    <w:rsid w:val="00140268"/>
    <w:rsid w:val="001403A1"/>
    <w:rsid w:val="00140473"/>
    <w:rsid w:val="001404A7"/>
    <w:rsid w:val="0014056C"/>
    <w:rsid w:val="001405C3"/>
    <w:rsid w:val="00140607"/>
    <w:rsid w:val="0014080F"/>
    <w:rsid w:val="00140BA0"/>
    <w:rsid w:val="00140CD0"/>
    <w:rsid w:val="00140E63"/>
    <w:rsid w:val="00140EB1"/>
    <w:rsid w:val="00140FC8"/>
    <w:rsid w:val="0014102D"/>
    <w:rsid w:val="00141109"/>
    <w:rsid w:val="00141519"/>
    <w:rsid w:val="00141D81"/>
    <w:rsid w:val="00141DCE"/>
    <w:rsid w:val="00141E64"/>
    <w:rsid w:val="00142836"/>
    <w:rsid w:val="00142B83"/>
    <w:rsid w:val="00142EB9"/>
    <w:rsid w:val="00142EC7"/>
    <w:rsid w:val="001431F4"/>
    <w:rsid w:val="0014325C"/>
    <w:rsid w:val="00143734"/>
    <w:rsid w:val="0014388A"/>
    <w:rsid w:val="001438E6"/>
    <w:rsid w:val="00143A42"/>
    <w:rsid w:val="00143C8F"/>
    <w:rsid w:val="00144107"/>
    <w:rsid w:val="001441CC"/>
    <w:rsid w:val="001448A3"/>
    <w:rsid w:val="00144984"/>
    <w:rsid w:val="00144B81"/>
    <w:rsid w:val="00144BCD"/>
    <w:rsid w:val="00144D1E"/>
    <w:rsid w:val="00144DF4"/>
    <w:rsid w:val="001452C5"/>
    <w:rsid w:val="00145307"/>
    <w:rsid w:val="0014587C"/>
    <w:rsid w:val="00145A2C"/>
    <w:rsid w:val="00145A73"/>
    <w:rsid w:val="00145B6C"/>
    <w:rsid w:val="00145C98"/>
    <w:rsid w:val="00145F32"/>
    <w:rsid w:val="0014607D"/>
    <w:rsid w:val="00146423"/>
    <w:rsid w:val="00146893"/>
    <w:rsid w:val="00146B8D"/>
    <w:rsid w:val="001475D0"/>
    <w:rsid w:val="00147616"/>
    <w:rsid w:val="00147C50"/>
    <w:rsid w:val="00147FB7"/>
    <w:rsid w:val="001501DD"/>
    <w:rsid w:val="001501EF"/>
    <w:rsid w:val="00150382"/>
    <w:rsid w:val="0015068F"/>
    <w:rsid w:val="001508EC"/>
    <w:rsid w:val="00150938"/>
    <w:rsid w:val="001511B9"/>
    <w:rsid w:val="0015162C"/>
    <w:rsid w:val="001517A4"/>
    <w:rsid w:val="001517F4"/>
    <w:rsid w:val="00151941"/>
    <w:rsid w:val="00151A0A"/>
    <w:rsid w:val="00151D4F"/>
    <w:rsid w:val="00152178"/>
    <w:rsid w:val="00152202"/>
    <w:rsid w:val="001522B4"/>
    <w:rsid w:val="00152491"/>
    <w:rsid w:val="001524F8"/>
    <w:rsid w:val="00152D9C"/>
    <w:rsid w:val="00152F8A"/>
    <w:rsid w:val="00153BEC"/>
    <w:rsid w:val="001541EA"/>
    <w:rsid w:val="0015425F"/>
    <w:rsid w:val="00154670"/>
    <w:rsid w:val="00154C24"/>
    <w:rsid w:val="00154CA4"/>
    <w:rsid w:val="00154F21"/>
    <w:rsid w:val="00154FF2"/>
    <w:rsid w:val="001552C1"/>
    <w:rsid w:val="001553B2"/>
    <w:rsid w:val="00155467"/>
    <w:rsid w:val="001554BB"/>
    <w:rsid w:val="00155A80"/>
    <w:rsid w:val="00155BE6"/>
    <w:rsid w:val="001560F1"/>
    <w:rsid w:val="001562B4"/>
    <w:rsid w:val="001562B5"/>
    <w:rsid w:val="0015680C"/>
    <w:rsid w:val="00156909"/>
    <w:rsid w:val="00156B16"/>
    <w:rsid w:val="00156C62"/>
    <w:rsid w:val="00156D77"/>
    <w:rsid w:val="0015704A"/>
    <w:rsid w:val="001570E6"/>
    <w:rsid w:val="001571FC"/>
    <w:rsid w:val="00157369"/>
    <w:rsid w:val="00157535"/>
    <w:rsid w:val="0015778F"/>
    <w:rsid w:val="00157BD2"/>
    <w:rsid w:val="00157F02"/>
    <w:rsid w:val="00160005"/>
    <w:rsid w:val="0016015F"/>
    <w:rsid w:val="00160334"/>
    <w:rsid w:val="001608D5"/>
    <w:rsid w:val="00160956"/>
    <w:rsid w:val="00160B7E"/>
    <w:rsid w:val="00160DAB"/>
    <w:rsid w:val="00160FF1"/>
    <w:rsid w:val="001610C0"/>
    <w:rsid w:val="001612B1"/>
    <w:rsid w:val="001615A8"/>
    <w:rsid w:val="00161848"/>
    <w:rsid w:val="00161897"/>
    <w:rsid w:val="0016191E"/>
    <w:rsid w:val="001619BE"/>
    <w:rsid w:val="00161A12"/>
    <w:rsid w:val="00161C91"/>
    <w:rsid w:val="00161F58"/>
    <w:rsid w:val="001623D6"/>
    <w:rsid w:val="0016288F"/>
    <w:rsid w:val="001628E4"/>
    <w:rsid w:val="001628E9"/>
    <w:rsid w:val="00162CE1"/>
    <w:rsid w:val="00162E98"/>
    <w:rsid w:val="00162ED9"/>
    <w:rsid w:val="00163736"/>
    <w:rsid w:val="001638C7"/>
    <w:rsid w:val="001643D1"/>
    <w:rsid w:val="001643E6"/>
    <w:rsid w:val="001647BC"/>
    <w:rsid w:val="00164948"/>
    <w:rsid w:val="00164A76"/>
    <w:rsid w:val="00164C9B"/>
    <w:rsid w:val="00164DC2"/>
    <w:rsid w:val="00164E8A"/>
    <w:rsid w:val="00164F17"/>
    <w:rsid w:val="001650A2"/>
    <w:rsid w:val="001652ED"/>
    <w:rsid w:val="0016537C"/>
    <w:rsid w:val="001659EC"/>
    <w:rsid w:val="00165C73"/>
    <w:rsid w:val="00165F53"/>
    <w:rsid w:val="00166020"/>
    <w:rsid w:val="00166226"/>
    <w:rsid w:val="001662A5"/>
    <w:rsid w:val="001663CB"/>
    <w:rsid w:val="0016658E"/>
    <w:rsid w:val="00166667"/>
    <w:rsid w:val="0016687B"/>
    <w:rsid w:val="00166DAB"/>
    <w:rsid w:val="00166EB1"/>
    <w:rsid w:val="00166F17"/>
    <w:rsid w:val="001675A9"/>
    <w:rsid w:val="00167603"/>
    <w:rsid w:val="0016784C"/>
    <w:rsid w:val="00167A1C"/>
    <w:rsid w:val="00167A32"/>
    <w:rsid w:val="00167AB5"/>
    <w:rsid w:val="00167B81"/>
    <w:rsid w:val="001700F8"/>
    <w:rsid w:val="001701BD"/>
    <w:rsid w:val="00170384"/>
    <w:rsid w:val="00170644"/>
    <w:rsid w:val="00170C86"/>
    <w:rsid w:val="00170F20"/>
    <w:rsid w:val="0017178C"/>
    <w:rsid w:val="001717CD"/>
    <w:rsid w:val="00171CBF"/>
    <w:rsid w:val="00171D39"/>
    <w:rsid w:val="00171D3D"/>
    <w:rsid w:val="00171FBF"/>
    <w:rsid w:val="00171FF0"/>
    <w:rsid w:val="0017210C"/>
    <w:rsid w:val="00172120"/>
    <w:rsid w:val="001722C7"/>
    <w:rsid w:val="00172327"/>
    <w:rsid w:val="001723BB"/>
    <w:rsid w:val="0017250D"/>
    <w:rsid w:val="00172514"/>
    <w:rsid w:val="00172AF4"/>
    <w:rsid w:val="00172BE6"/>
    <w:rsid w:val="001732BF"/>
    <w:rsid w:val="001734C2"/>
    <w:rsid w:val="00173A7C"/>
    <w:rsid w:val="00173C7B"/>
    <w:rsid w:val="00173CBA"/>
    <w:rsid w:val="0017448A"/>
    <w:rsid w:val="00174676"/>
    <w:rsid w:val="001746D4"/>
    <w:rsid w:val="00174CB8"/>
    <w:rsid w:val="001751FB"/>
    <w:rsid w:val="00175241"/>
    <w:rsid w:val="0017525E"/>
    <w:rsid w:val="0017545C"/>
    <w:rsid w:val="001756CA"/>
    <w:rsid w:val="0017576D"/>
    <w:rsid w:val="00175ABB"/>
    <w:rsid w:val="00175D39"/>
    <w:rsid w:val="00175F97"/>
    <w:rsid w:val="00176369"/>
    <w:rsid w:val="001763DB"/>
    <w:rsid w:val="00176426"/>
    <w:rsid w:val="001766C9"/>
    <w:rsid w:val="00176717"/>
    <w:rsid w:val="001767AC"/>
    <w:rsid w:val="00176857"/>
    <w:rsid w:val="0017690B"/>
    <w:rsid w:val="00176AB6"/>
    <w:rsid w:val="00176C20"/>
    <w:rsid w:val="00176CD6"/>
    <w:rsid w:val="00176EE9"/>
    <w:rsid w:val="00176EF3"/>
    <w:rsid w:val="00177144"/>
    <w:rsid w:val="001773B8"/>
    <w:rsid w:val="001775F3"/>
    <w:rsid w:val="00177E3F"/>
    <w:rsid w:val="00180389"/>
    <w:rsid w:val="0018072C"/>
    <w:rsid w:val="001809F0"/>
    <w:rsid w:val="00180E68"/>
    <w:rsid w:val="00180FFE"/>
    <w:rsid w:val="001810B1"/>
    <w:rsid w:val="00181157"/>
    <w:rsid w:val="00181CBE"/>
    <w:rsid w:val="00181E42"/>
    <w:rsid w:val="00181E93"/>
    <w:rsid w:val="001820EB"/>
    <w:rsid w:val="001821CC"/>
    <w:rsid w:val="001827BA"/>
    <w:rsid w:val="0018283B"/>
    <w:rsid w:val="00182A7A"/>
    <w:rsid w:val="00182F60"/>
    <w:rsid w:val="0018333A"/>
    <w:rsid w:val="00183486"/>
    <w:rsid w:val="00183CAA"/>
    <w:rsid w:val="00183CE1"/>
    <w:rsid w:val="00183DE5"/>
    <w:rsid w:val="00183F15"/>
    <w:rsid w:val="00184954"/>
    <w:rsid w:val="00184A5B"/>
    <w:rsid w:val="00184B83"/>
    <w:rsid w:val="00184CD4"/>
    <w:rsid w:val="00185101"/>
    <w:rsid w:val="0018520A"/>
    <w:rsid w:val="00185737"/>
    <w:rsid w:val="00185859"/>
    <w:rsid w:val="001859D2"/>
    <w:rsid w:val="00185EE0"/>
    <w:rsid w:val="00186315"/>
    <w:rsid w:val="00186358"/>
    <w:rsid w:val="001864DC"/>
    <w:rsid w:val="0018664F"/>
    <w:rsid w:val="00186A7F"/>
    <w:rsid w:val="00186B20"/>
    <w:rsid w:val="001871E2"/>
    <w:rsid w:val="001874B9"/>
    <w:rsid w:val="0018784A"/>
    <w:rsid w:val="00187D75"/>
    <w:rsid w:val="00190CBF"/>
    <w:rsid w:val="00191287"/>
    <w:rsid w:val="001915B1"/>
    <w:rsid w:val="001915FC"/>
    <w:rsid w:val="001916DF"/>
    <w:rsid w:val="00191796"/>
    <w:rsid w:val="001918A7"/>
    <w:rsid w:val="00191DE8"/>
    <w:rsid w:val="00191F7D"/>
    <w:rsid w:val="00192161"/>
    <w:rsid w:val="0019247E"/>
    <w:rsid w:val="001925D2"/>
    <w:rsid w:val="00192671"/>
    <w:rsid w:val="0019289E"/>
    <w:rsid w:val="00193105"/>
    <w:rsid w:val="00193477"/>
    <w:rsid w:val="00193688"/>
    <w:rsid w:val="00193909"/>
    <w:rsid w:val="00193996"/>
    <w:rsid w:val="00193E08"/>
    <w:rsid w:val="001943E9"/>
    <w:rsid w:val="001944DE"/>
    <w:rsid w:val="0019461E"/>
    <w:rsid w:val="0019465D"/>
    <w:rsid w:val="00194862"/>
    <w:rsid w:val="00194BBF"/>
    <w:rsid w:val="00194C15"/>
    <w:rsid w:val="00194F19"/>
    <w:rsid w:val="00195077"/>
    <w:rsid w:val="00195215"/>
    <w:rsid w:val="001952C1"/>
    <w:rsid w:val="001955BE"/>
    <w:rsid w:val="001959F7"/>
    <w:rsid w:val="00195A99"/>
    <w:rsid w:val="00195DB5"/>
    <w:rsid w:val="0019617C"/>
    <w:rsid w:val="00196220"/>
    <w:rsid w:val="00196333"/>
    <w:rsid w:val="0019663B"/>
    <w:rsid w:val="00196E73"/>
    <w:rsid w:val="0019775D"/>
    <w:rsid w:val="0019786E"/>
    <w:rsid w:val="00197B9C"/>
    <w:rsid w:val="00197EEA"/>
    <w:rsid w:val="00197F0B"/>
    <w:rsid w:val="001A0094"/>
    <w:rsid w:val="001A0185"/>
    <w:rsid w:val="001A0636"/>
    <w:rsid w:val="001A092A"/>
    <w:rsid w:val="001A0C21"/>
    <w:rsid w:val="001A0DF2"/>
    <w:rsid w:val="001A13B1"/>
    <w:rsid w:val="001A14CD"/>
    <w:rsid w:val="001A1A2C"/>
    <w:rsid w:val="001A210E"/>
    <w:rsid w:val="001A239E"/>
    <w:rsid w:val="001A2511"/>
    <w:rsid w:val="001A266A"/>
    <w:rsid w:val="001A26A4"/>
    <w:rsid w:val="001A2CBE"/>
    <w:rsid w:val="001A2CEA"/>
    <w:rsid w:val="001A2E3F"/>
    <w:rsid w:val="001A3224"/>
    <w:rsid w:val="001A3497"/>
    <w:rsid w:val="001A3BC0"/>
    <w:rsid w:val="001A3BF1"/>
    <w:rsid w:val="001A3CCB"/>
    <w:rsid w:val="001A3E74"/>
    <w:rsid w:val="001A49E9"/>
    <w:rsid w:val="001A4F67"/>
    <w:rsid w:val="001A5087"/>
    <w:rsid w:val="001A513F"/>
    <w:rsid w:val="001A544D"/>
    <w:rsid w:val="001A571C"/>
    <w:rsid w:val="001A588A"/>
    <w:rsid w:val="001A5A75"/>
    <w:rsid w:val="001A5B57"/>
    <w:rsid w:val="001A5EAF"/>
    <w:rsid w:val="001A5ED3"/>
    <w:rsid w:val="001A616D"/>
    <w:rsid w:val="001A62AD"/>
    <w:rsid w:val="001A650A"/>
    <w:rsid w:val="001A65C9"/>
    <w:rsid w:val="001A663F"/>
    <w:rsid w:val="001A688A"/>
    <w:rsid w:val="001A691C"/>
    <w:rsid w:val="001A6BB7"/>
    <w:rsid w:val="001A6BD8"/>
    <w:rsid w:val="001A7271"/>
    <w:rsid w:val="001A7295"/>
    <w:rsid w:val="001A72F0"/>
    <w:rsid w:val="001A7BED"/>
    <w:rsid w:val="001B02C6"/>
    <w:rsid w:val="001B0562"/>
    <w:rsid w:val="001B09F4"/>
    <w:rsid w:val="001B0C56"/>
    <w:rsid w:val="001B0FE3"/>
    <w:rsid w:val="001B10A5"/>
    <w:rsid w:val="001B113B"/>
    <w:rsid w:val="001B15F1"/>
    <w:rsid w:val="001B18D7"/>
    <w:rsid w:val="001B190D"/>
    <w:rsid w:val="001B1A7F"/>
    <w:rsid w:val="001B1CB9"/>
    <w:rsid w:val="001B204B"/>
    <w:rsid w:val="001B2946"/>
    <w:rsid w:val="001B29F6"/>
    <w:rsid w:val="001B2FB5"/>
    <w:rsid w:val="001B35F5"/>
    <w:rsid w:val="001B36AF"/>
    <w:rsid w:val="001B3E5B"/>
    <w:rsid w:val="001B4308"/>
    <w:rsid w:val="001B430D"/>
    <w:rsid w:val="001B4346"/>
    <w:rsid w:val="001B44D2"/>
    <w:rsid w:val="001B4717"/>
    <w:rsid w:val="001B4AE0"/>
    <w:rsid w:val="001B5415"/>
    <w:rsid w:val="001B543A"/>
    <w:rsid w:val="001B5529"/>
    <w:rsid w:val="001B554F"/>
    <w:rsid w:val="001B5921"/>
    <w:rsid w:val="001B5A95"/>
    <w:rsid w:val="001B5B54"/>
    <w:rsid w:val="001B5BAE"/>
    <w:rsid w:val="001B5C8F"/>
    <w:rsid w:val="001B661F"/>
    <w:rsid w:val="001B67B6"/>
    <w:rsid w:val="001B69BA"/>
    <w:rsid w:val="001B6E49"/>
    <w:rsid w:val="001B6F33"/>
    <w:rsid w:val="001B7076"/>
    <w:rsid w:val="001B7278"/>
    <w:rsid w:val="001B7728"/>
    <w:rsid w:val="001C0154"/>
    <w:rsid w:val="001C01C2"/>
    <w:rsid w:val="001C040B"/>
    <w:rsid w:val="001C06CC"/>
    <w:rsid w:val="001C0710"/>
    <w:rsid w:val="001C0A05"/>
    <w:rsid w:val="001C0C72"/>
    <w:rsid w:val="001C1017"/>
    <w:rsid w:val="001C11E6"/>
    <w:rsid w:val="001C12DF"/>
    <w:rsid w:val="001C133B"/>
    <w:rsid w:val="001C133F"/>
    <w:rsid w:val="001C225B"/>
    <w:rsid w:val="001C2352"/>
    <w:rsid w:val="001C24AC"/>
    <w:rsid w:val="001C24EE"/>
    <w:rsid w:val="001C25DC"/>
    <w:rsid w:val="001C2A3E"/>
    <w:rsid w:val="001C2CAD"/>
    <w:rsid w:val="001C2D84"/>
    <w:rsid w:val="001C2FF4"/>
    <w:rsid w:val="001C311D"/>
    <w:rsid w:val="001C31E4"/>
    <w:rsid w:val="001C32AC"/>
    <w:rsid w:val="001C32E7"/>
    <w:rsid w:val="001C3349"/>
    <w:rsid w:val="001C3420"/>
    <w:rsid w:val="001C35DE"/>
    <w:rsid w:val="001C4012"/>
    <w:rsid w:val="001C4096"/>
    <w:rsid w:val="001C415A"/>
    <w:rsid w:val="001C4479"/>
    <w:rsid w:val="001C4B70"/>
    <w:rsid w:val="001C4BA3"/>
    <w:rsid w:val="001C4FC1"/>
    <w:rsid w:val="001C50D7"/>
    <w:rsid w:val="001C511E"/>
    <w:rsid w:val="001C54D0"/>
    <w:rsid w:val="001C5585"/>
    <w:rsid w:val="001C56DC"/>
    <w:rsid w:val="001C5774"/>
    <w:rsid w:val="001C65FB"/>
    <w:rsid w:val="001C6968"/>
    <w:rsid w:val="001C6B57"/>
    <w:rsid w:val="001C700D"/>
    <w:rsid w:val="001C71AB"/>
    <w:rsid w:val="001C779E"/>
    <w:rsid w:val="001C79CE"/>
    <w:rsid w:val="001C7BD7"/>
    <w:rsid w:val="001C7CA8"/>
    <w:rsid w:val="001C7DCE"/>
    <w:rsid w:val="001D0097"/>
    <w:rsid w:val="001D0182"/>
    <w:rsid w:val="001D06AC"/>
    <w:rsid w:val="001D0837"/>
    <w:rsid w:val="001D09CB"/>
    <w:rsid w:val="001D0D3F"/>
    <w:rsid w:val="001D10CF"/>
    <w:rsid w:val="001D1FEA"/>
    <w:rsid w:val="001D25AB"/>
    <w:rsid w:val="001D260B"/>
    <w:rsid w:val="001D2C43"/>
    <w:rsid w:val="001D2C90"/>
    <w:rsid w:val="001D2E6A"/>
    <w:rsid w:val="001D2F4D"/>
    <w:rsid w:val="001D312C"/>
    <w:rsid w:val="001D342E"/>
    <w:rsid w:val="001D356D"/>
    <w:rsid w:val="001D38DA"/>
    <w:rsid w:val="001D3C0C"/>
    <w:rsid w:val="001D3EA8"/>
    <w:rsid w:val="001D4097"/>
    <w:rsid w:val="001D42CA"/>
    <w:rsid w:val="001D4342"/>
    <w:rsid w:val="001D461A"/>
    <w:rsid w:val="001D4A37"/>
    <w:rsid w:val="001D4B18"/>
    <w:rsid w:val="001D4C3A"/>
    <w:rsid w:val="001D4D7D"/>
    <w:rsid w:val="001D50BD"/>
    <w:rsid w:val="001D589C"/>
    <w:rsid w:val="001D58EB"/>
    <w:rsid w:val="001D5908"/>
    <w:rsid w:val="001D595A"/>
    <w:rsid w:val="001D59EA"/>
    <w:rsid w:val="001D5B3F"/>
    <w:rsid w:val="001D5C69"/>
    <w:rsid w:val="001D5DA8"/>
    <w:rsid w:val="001D5FA0"/>
    <w:rsid w:val="001D6060"/>
    <w:rsid w:val="001D623D"/>
    <w:rsid w:val="001D6499"/>
    <w:rsid w:val="001D6C21"/>
    <w:rsid w:val="001D6D46"/>
    <w:rsid w:val="001D70F5"/>
    <w:rsid w:val="001D714E"/>
    <w:rsid w:val="001D735F"/>
    <w:rsid w:val="001D73DC"/>
    <w:rsid w:val="001D74C7"/>
    <w:rsid w:val="001D7552"/>
    <w:rsid w:val="001D764F"/>
    <w:rsid w:val="001D7815"/>
    <w:rsid w:val="001D7998"/>
    <w:rsid w:val="001D7A03"/>
    <w:rsid w:val="001D7A6A"/>
    <w:rsid w:val="001D7CD1"/>
    <w:rsid w:val="001D7FE2"/>
    <w:rsid w:val="001E0156"/>
    <w:rsid w:val="001E02F9"/>
    <w:rsid w:val="001E030F"/>
    <w:rsid w:val="001E0869"/>
    <w:rsid w:val="001E0D7D"/>
    <w:rsid w:val="001E0E74"/>
    <w:rsid w:val="001E0F49"/>
    <w:rsid w:val="001E1313"/>
    <w:rsid w:val="001E1583"/>
    <w:rsid w:val="001E1E4C"/>
    <w:rsid w:val="001E1E56"/>
    <w:rsid w:val="001E1F03"/>
    <w:rsid w:val="001E204D"/>
    <w:rsid w:val="001E21D2"/>
    <w:rsid w:val="001E26A0"/>
    <w:rsid w:val="001E2AE3"/>
    <w:rsid w:val="001E2B37"/>
    <w:rsid w:val="001E2E11"/>
    <w:rsid w:val="001E2F4D"/>
    <w:rsid w:val="001E2FDC"/>
    <w:rsid w:val="001E3078"/>
    <w:rsid w:val="001E3187"/>
    <w:rsid w:val="001E3695"/>
    <w:rsid w:val="001E383B"/>
    <w:rsid w:val="001E3AD9"/>
    <w:rsid w:val="001E3AFE"/>
    <w:rsid w:val="001E3B14"/>
    <w:rsid w:val="001E4139"/>
    <w:rsid w:val="001E4520"/>
    <w:rsid w:val="001E4812"/>
    <w:rsid w:val="001E48B2"/>
    <w:rsid w:val="001E4A0A"/>
    <w:rsid w:val="001E4A2A"/>
    <w:rsid w:val="001E4E7A"/>
    <w:rsid w:val="001E509C"/>
    <w:rsid w:val="001E522E"/>
    <w:rsid w:val="001E5671"/>
    <w:rsid w:val="001E570C"/>
    <w:rsid w:val="001E5730"/>
    <w:rsid w:val="001E5CD4"/>
    <w:rsid w:val="001E6249"/>
    <w:rsid w:val="001E6890"/>
    <w:rsid w:val="001E6C30"/>
    <w:rsid w:val="001E6EE2"/>
    <w:rsid w:val="001E7194"/>
    <w:rsid w:val="001E71D7"/>
    <w:rsid w:val="001E73FC"/>
    <w:rsid w:val="001E75A7"/>
    <w:rsid w:val="001E7784"/>
    <w:rsid w:val="001E77B8"/>
    <w:rsid w:val="001E7C0C"/>
    <w:rsid w:val="001E7F1E"/>
    <w:rsid w:val="001F00DE"/>
    <w:rsid w:val="001F0261"/>
    <w:rsid w:val="001F03C4"/>
    <w:rsid w:val="001F0620"/>
    <w:rsid w:val="001F0984"/>
    <w:rsid w:val="001F0B1A"/>
    <w:rsid w:val="001F0BA5"/>
    <w:rsid w:val="001F0BE8"/>
    <w:rsid w:val="001F0DA3"/>
    <w:rsid w:val="001F0E05"/>
    <w:rsid w:val="001F0F06"/>
    <w:rsid w:val="001F12B1"/>
    <w:rsid w:val="001F18D1"/>
    <w:rsid w:val="001F1E2F"/>
    <w:rsid w:val="001F20A4"/>
    <w:rsid w:val="001F2327"/>
    <w:rsid w:val="001F2654"/>
    <w:rsid w:val="001F2694"/>
    <w:rsid w:val="001F2E4A"/>
    <w:rsid w:val="001F3025"/>
    <w:rsid w:val="001F3916"/>
    <w:rsid w:val="001F3B3D"/>
    <w:rsid w:val="001F3C1C"/>
    <w:rsid w:val="001F3ED2"/>
    <w:rsid w:val="001F4002"/>
    <w:rsid w:val="001F4202"/>
    <w:rsid w:val="001F429C"/>
    <w:rsid w:val="001F451F"/>
    <w:rsid w:val="001F4672"/>
    <w:rsid w:val="001F48E7"/>
    <w:rsid w:val="001F49D6"/>
    <w:rsid w:val="001F5A29"/>
    <w:rsid w:val="001F5C47"/>
    <w:rsid w:val="001F5FA4"/>
    <w:rsid w:val="001F60DC"/>
    <w:rsid w:val="001F624A"/>
    <w:rsid w:val="001F6523"/>
    <w:rsid w:val="001F653A"/>
    <w:rsid w:val="001F694B"/>
    <w:rsid w:val="001F696C"/>
    <w:rsid w:val="001F69BD"/>
    <w:rsid w:val="001F6D8D"/>
    <w:rsid w:val="001F6E20"/>
    <w:rsid w:val="001F6E3B"/>
    <w:rsid w:val="001F6EF0"/>
    <w:rsid w:val="001F6EF9"/>
    <w:rsid w:val="001F71B5"/>
    <w:rsid w:val="001F740B"/>
    <w:rsid w:val="001F7508"/>
    <w:rsid w:val="001F7706"/>
    <w:rsid w:val="001F77C8"/>
    <w:rsid w:val="001F7968"/>
    <w:rsid w:val="001F7AC8"/>
    <w:rsid w:val="001F7BEA"/>
    <w:rsid w:val="001F7F50"/>
    <w:rsid w:val="00200751"/>
    <w:rsid w:val="00200897"/>
    <w:rsid w:val="00200B14"/>
    <w:rsid w:val="00200EFB"/>
    <w:rsid w:val="00201037"/>
    <w:rsid w:val="00201102"/>
    <w:rsid w:val="00201442"/>
    <w:rsid w:val="0020184E"/>
    <w:rsid w:val="002018EE"/>
    <w:rsid w:val="00201B2A"/>
    <w:rsid w:val="00201C44"/>
    <w:rsid w:val="00201C5D"/>
    <w:rsid w:val="0020200F"/>
    <w:rsid w:val="0020201B"/>
    <w:rsid w:val="00202490"/>
    <w:rsid w:val="002026E2"/>
    <w:rsid w:val="00202AC1"/>
    <w:rsid w:val="00202DAB"/>
    <w:rsid w:val="00202DB4"/>
    <w:rsid w:val="00202E45"/>
    <w:rsid w:val="00203270"/>
    <w:rsid w:val="00203765"/>
    <w:rsid w:val="00203776"/>
    <w:rsid w:val="0020386F"/>
    <w:rsid w:val="002039EF"/>
    <w:rsid w:val="00203A0B"/>
    <w:rsid w:val="00203BEC"/>
    <w:rsid w:val="00203C21"/>
    <w:rsid w:val="00203F43"/>
    <w:rsid w:val="002043C8"/>
    <w:rsid w:val="002044A9"/>
    <w:rsid w:val="0020452F"/>
    <w:rsid w:val="00204BC2"/>
    <w:rsid w:val="00205375"/>
    <w:rsid w:val="002057C6"/>
    <w:rsid w:val="002059A7"/>
    <w:rsid w:val="002059DC"/>
    <w:rsid w:val="0020628D"/>
    <w:rsid w:val="00206377"/>
    <w:rsid w:val="0020687C"/>
    <w:rsid w:val="0020696E"/>
    <w:rsid w:val="002069AB"/>
    <w:rsid w:val="0020736A"/>
    <w:rsid w:val="00207CFF"/>
    <w:rsid w:val="00210201"/>
    <w:rsid w:val="002102DF"/>
    <w:rsid w:val="002103E4"/>
    <w:rsid w:val="0021056E"/>
    <w:rsid w:val="00210BE5"/>
    <w:rsid w:val="002113AF"/>
    <w:rsid w:val="00211477"/>
    <w:rsid w:val="00211733"/>
    <w:rsid w:val="00211C79"/>
    <w:rsid w:val="002120D9"/>
    <w:rsid w:val="00212353"/>
    <w:rsid w:val="002124D8"/>
    <w:rsid w:val="00212576"/>
    <w:rsid w:val="002125A2"/>
    <w:rsid w:val="00212717"/>
    <w:rsid w:val="0021288C"/>
    <w:rsid w:val="00212ABE"/>
    <w:rsid w:val="00212D81"/>
    <w:rsid w:val="00212E5D"/>
    <w:rsid w:val="00213055"/>
    <w:rsid w:val="0021306C"/>
    <w:rsid w:val="0021344E"/>
    <w:rsid w:val="0021373A"/>
    <w:rsid w:val="00213849"/>
    <w:rsid w:val="0021395E"/>
    <w:rsid w:val="00213C24"/>
    <w:rsid w:val="00213C32"/>
    <w:rsid w:val="00213EF4"/>
    <w:rsid w:val="00214398"/>
    <w:rsid w:val="002144B1"/>
    <w:rsid w:val="0021495B"/>
    <w:rsid w:val="00214AC9"/>
    <w:rsid w:val="00214AEA"/>
    <w:rsid w:val="00215490"/>
    <w:rsid w:val="00215714"/>
    <w:rsid w:val="00215988"/>
    <w:rsid w:val="00215A3E"/>
    <w:rsid w:val="00215A69"/>
    <w:rsid w:val="00215A99"/>
    <w:rsid w:val="00215BCB"/>
    <w:rsid w:val="00215DD3"/>
    <w:rsid w:val="00215FA4"/>
    <w:rsid w:val="00215FE7"/>
    <w:rsid w:val="00216012"/>
    <w:rsid w:val="00216182"/>
    <w:rsid w:val="002161D6"/>
    <w:rsid w:val="002165A3"/>
    <w:rsid w:val="002166F4"/>
    <w:rsid w:val="00216805"/>
    <w:rsid w:val="00216AAA"/>
    <w:rsid w:val="00216B9F"/>
    <w:rsid w:val="002171C2"/>
    <w:rsid w:val="0021750B"/>
    <w:rsid w:val="0021757A"/>
    <w:rsid w:val="002177B1"/>
    <w:rsid w:val="002177BB"/>
    <w:rsid w:val="00217E26"/>
    <w:rsid w:val="002204E4"/>
    <w:rsid w:val="00220656"/>
    <w:rsid w:val="00220830"/>
    <w:rsid w:val="00220A1E"/>
    <w:rsid w:val="00220C5B"/>
    <w:rsid w:val="00220E19"/>
    <w:rsid w:val="00221483"/>
    <w:rsid w:val="0022154B"/>
    <w:rsid w:val="00221913"/>
    <w:rsid w:val="00221EAC"/>
    <w:rsid w:val="0022217F"/>
    <w:rsid w:val="002221F0"/>
    <w:rsid w:val="00222208"/>
    <w:rsid w:val="00222219"/>
    <w:rsid w:val="002224D0"/>
    <w:rsid w:val="002226DB"/>
    <w:rsid w:val="0022277F"/>
    <w:rsid w:val="00222954"/>
    <w:rsid w:val="00222C95"/>
    <w:rsid w:val="00222F0C"/>
    <w:rsid w:val="002234CC"/>
    <w:rsid w:val="00223533"/>
    <w:rsid w:val="0022353F"/>
    <w:rsid w:val="002236BE"/>
    <w:rsid w:val="00223EA7"/>
    <w:rsid w:val="00223FFE"/>
    <w:rsid w:val="00224564"/>
    <w:rsid w:val="00224797"/>
    <w:rsid w:val="00224D44"/>
    <w:rsid w:val="00224E70"/>
    <w:rsid w:val="002250AF"/>
    <w:rsid w:val="0022513A"/>
    <w:rsid w:val="0022558F"/>
    <w:rsid w:val="00225935"/>
    <w:rsid w:val="00225D8A"/>
    <w:rsid w:val="00225E29"/>
    <w:rsid w:val="0022650A"/>
    <w:rsid w:val="00226F31"/>
    <w:rsid w:val="0022740F"/>
    <w:rsid w:val="0022747E"/>
    <w:rsid w:val="002275A7"/>
    <w:rsid w:val="00227899"/>
    <w:rsid w:val="0022794B"/>
    <w:rsid w:val="002302B3"/>
    <w:rsid w:val="0023035A"/>
    <w:rsid w:val="0023063B"/>
    <w:rsid w:val="0023069D"/>
    <w:rsid w:val="00230A53"/>
    <w:rsid w:val="00230A6E"/>
    <w:rsid w:val="00230A75"/>
    <w:rsid w:val="00230D81"/>
    <w:rsid w:val="00230F22"/>
    <w:rsid w:val="0023125B"/>
    <w:rsid w:val="00231699"/>
    <w:rsid w:val="00231E33"/>
    <w:rsid w:val="00231F59"/>
    <w:rsid w:val="00231F66"/>
    <w:rsid w:val="0023210D"/>
    <w:rsid w:val="00232198"/>
    <w:rsid w:val="002324F1"/>
    <w:rsid w:val="00232806"/>
    <w:rsid w:val="00232A28"/>
    <w:rsid w:val="00232A70"/>
    <w:rsid w:val="00232D57"/>
    <w:rsid w:val="0023311E"/>
    <w:rsid w:val="00233823"/>
    <w:rsid w:val="00233AD3"/>
    <w:rsid w:val="00233C70"/>
    <w:rsid w:val="00233E31"/>
    <w:rsid w:val="0023486A"/>
    <w:rsid w:val="00235248"/>
    <w:rsid w:val="002352E9"/>
    <w:rsid w:val="00235349"/>
    <w:rsid w:val="002361D9"/>
    <w:rsid w:val="002366C5"/>
    <w:rsid w:val="0023719F"/>
    <w:rsid w:val="00237248"/>
    <w:rsid w:val="002372ED"/>
    <w:rsid w:val="002374D4"/>
    <w:rsid w:val="002375D5"/>
    <w:rsid w:val="002378AB"/>
    <w:rsid w:val="00237A36"/>
    <w:rsid w:val="00237D3A"/>
    <w:rsid w:val="0024007E"/>
    <w:rsid w:val="002400D6"/>
    <w:rsid w:val="002400F3"/>
    <w:rsid w:val="002402EB"/>
    <w:rsid w:val="00240623"/>
    <w:rsid w:val="002406CC"/>
    <w:rsid w:val="00240906"/>
    <w:rsid w:val="002409F1"/>
    <w:rsid w:val="00241664"/>
    <w:rsid w:val="002417BC"/>
    <w:rsid w:val="00241920"/>
    <w:rsid w:val="0024192F"/>
    <w:rsid w:val="00241F4E"/>
    <w:rsid w:val="0024203D"/>
    <w:rsid w:val="002420AA"/>
    <w:rsid w:val="0024229A"/>
    <w:rsid w:val="002422F1"/>
    <w:rsid w:val="00242321"/>
    <w:rsid w:val="002427F1"/>
    <w:rsid w:val="0024291A"/>
    <w:rsid w:val="00242972"/>
    <w:rsid w:val="00242BC9"/>
    <w:rsid w:val="00242C33"/>
    <w:rsid w:val="00243282"/>
    <w:rsid w:val="00243396"/>
    <w:rsid w:val="00243418"/>
    <w:rsid w:val="0024389D"/>
    <w:rsid w:val="00243A53"/>
    <w:rsid w:val="00243C3A"/>
    <w:rsid w:val="00243C41"/>
    <w:rsid w:val="00243ED1"/>
    <w:rsid w:val="00243ED7"/>
    <w:rsid w:val="00244070"/>
    <w:rsid w:val="00244534"/>
    <w:rsid w:val="00244D11"/>
    <w:rsid w:val="00244DCD"/>
    <w:rsid w:val="00244F7F"/>
    <w:rsid w:val="00244FAA"/>
    <w:rsid w:val="00244FDE"/>
    <w:rsid w:val="002451AB"/>
    <w:rsid w:val="0024530F"/>
    <w:rsid w:val="002453D7"/>
    <w:rsid w:val="0024547B"/>
    <w:rsid w:val="00245BA3"/>
    <w:rsid w:val="00245E95"/>
    <w:rsid w:val="0024600C"/>
    <w:rsid w:val="0024615F"/>
    <w:rsid w:val="0024618C"/>
    <w:rsid w:val="002467C4"/>
    <w:rsid w:val="00246B36"/>
    <w:rsid w:val="00246C9F"/>
    <w:rsid w:val="00246DB8"/>
    <w:rsid w:val="002470A1"/>
    <w:rsid w:val="00247499"/>
    <w:rsid w:val="00247641"/>
    <w:rsid w:val="0024771D"/>
    <w:rsid w:val="00247DFA"/>
    <w:rsid w:val="00247E6C"/>
    <w:rsid w:val="00247F9C"/>
    <w:rsid w:val="002500E6"/>
    <w:rsid w:val="002500F4"/>
    <w:rsid w:val="00250269"/>
    <w:rsid w:val="00250444"/>
    <w:rsid w:val="0025094C"/>
    <w:rsid w:val="00250B2F"/>
    <w:rsid w:val="00250B38"/>
    <w:rsid w:val="00250C10"/>
    <w:rsid w:val="00250D82"/>
    <w:rsid w:val="00250E09"/>
    <w:rsid w:val="0025153E"/>
    <w:rsid w:val="00251588"/>
    <w:rsid w:val="00251595"/>
    <w:rsid w:val="002515CB"/>
    <w:rsid w:val="002515F7"/>
    <w:rsid w:val="0025163D"/>
    <w:rsid w:val="002518CC"/>
    <w:rsid w:val="00251AA4"/>
    <w:rsid w:val="00251B74"/>
    <w:rsid w:val="00252137"/>
    <w:rsid w:val="00252A41"/>
    <w:rsid w:val="00252F95"/>
    <w:rsid w:val="00253372"/>
    <w:rsid w:val="00253635"/>
    <w:rsid w:val="00253727"/>
    <w:rsid w:val="00253B63"/>
    <w:rsid w:val="00253CB0"/>
    <w:rsid w:val="00253DA0"/>
    <w:rsid w:val="002543BB"/>
    <w:rsid w:val="0025450F"/>
    <w:rsid w:val="00254695"/>
    <w:rsid w:val="0025488B"/>
    <w:rsid w:val="00254A9A"/>
    <w:rsid w:val="00254E6C"/>
    <w:rsid w:val="0025536B"/>
    <w:rsid w:val="0025551B"/>
    <w:rsid w:val="00255717"/>
    <w:rsid w:val="00255A29"/>
    <w:rsid w:val="00255D67"/>
    <w:rsid w:val="00255E3A"/>
    <w:rsid w:val="00255F9A"/>
    <w:rsid w:val="0025631D"/>
    <w:rsid w:val="00256383"/>
    <w:rsid w:val="00256725"/>
    <w:rsid w:val="002567BB"/>
    <w:rsid w:val="00256E56"/>
    <w:rsid w:val="00257779"/>
    <w:rsid w:val="00257D2E"/>
    <w:rsid w:val="002605E4"/>
    <w:rsid w:val="0026067A"/>
    <w:rsid w:val="00260777"/>
    <w:rsid w:val="002609AF"/>
    <w:rsid w:val="00260CF6"/>
    <w:rsid w:val="00260E74"/>
    <w:rsid w:val="00260FC9"/>
    <w:rsid w:val="00261059"/>
    <w:rsid w:val="002611F7"/>
    <w:rsid w:val="00261E8D"/>
    <w:rsid w:val="00261E94"/>
    <w:rsid w:val="00262220"/>
    <w:rsid w:val="00262493"/>
    <w:rsid w:val="002625DF"/>
    <w:rsid w:val="00262734"/>
    <w:rsid w:val="0026294A"/>
    <w:rsid w:val="002629C7"/>
    <w:rsid w:val="00262CA4"/>
    <w:rsid w:val="00262D93"/>
    <w:rsid w:val="00262E8B"/>
    <w:rsid w:val="0026310A"/>
    <w:rsid w:val="002632F7"/>
    <w:rsid w:val="00263388"/>
    <w:rsid w:val="00263431"/>
    <w:rsid w:val="00263662"/>
    <w:rsid w:val="002637F6"/>
    <w:rsid w:val="00263C2B"/>
    <w:rsid w:val="00263E39"/>
    <w:rsid w:val="00263F53"/>
    <w:rsid w:val="00264276"/>
    <w:rsid w:val="002643D2"/>
    <w:rsid w:val="00264502"/>
    <w:rsid w:val="00264626"/>
    <w:rsid w:val="00264698"/>
    <w:rsid w:val="00264AF0"/>
    <w:rsid w:val="00264B2C"/>
    <w:rsid w:val="00264B6E"/>
    <w:rsid w:val="00264C15"/>
    <w:rsid w:val="00264CA3"/>
    <w:rsid w:val="00264E22"/>
    <w:rsid w:val="002651B1"/>
    <w:rsid w:val="002652D9"/>
    <w:rsid w:val="002654CC"/>
    <w:rsid w:val="00265689"/>
    <w:rsid w:val="00265DAA"/>
    <w:rsid w:val="00266115"/>
    <w:rsid w:val="00266F54"/>
    <w:rsid w:val="00266FD9"/>
    <w:rsid w:val="002670DA"/>
    <w:rsid w:val="00267166"/>
    <w:rsid w:val="002673FF"/>
    <w:rsid w:val="002677FA"/>
    <w:rsid w:val="00267ED6"/>
    <w:rsid w:val="00270A75"/>
    <w:rsid w:val="00270B4E"/>
    <w:rsid w:val="00270B89"/>
    <w:rsid w:val="00270C6A"/>
    <w:rsid w:val="00270F77"/>
    <w:rsid w:val="00271324"/>
    <w:rsid w:val="00271338"/>
    <w:rsid w:val="002719EF"/>
    <w:rsid w:val="00271B3E"/>
    <w:rsid w:val="00271CAF"/>
    <w:rsid w:val="00271DF4"/>
    <w:rsid w:val="0027205A"/>
    <w:rsid w:val="0027227A"/>
    <w:rsid w:val="0027234C"/>
    <w:rsid w:val="002725C3"/>
    <w:rsid w:val="002726EF"/>
    <w:rsid w:val="00272899"/>
    <w:rsid w:val="00272C85"/>
    <w:rsid w:val="0027311A"/>
    <w:rsid w:val="002733FC"/>
    <w:rsid w:val="002734AC"/>
    <w:rsid w:val="002737D9"/>
    <w:rsid w:val="00273EA1"/>
    <w:rsid w:val="00274104"/>
    <w:rsid w:val="00274438"/>
    <w:rsid w:val="002749DB"/>
    <w:rsid w:val="00274CEF"/>
    <w:rsid w:val="00275487"/>
    <w:rsid w:val="002754C5"/>
    <w:rsid w:val="002758F1"/>
    <w:rsid w:val="0027593D"/>
    <w:rsid w:val="00275D49"/>
    <w:rsid w:val="00275DDA"/>
    <w:rsid w:val="00275E3C"/>
    <w:rsid w:val="00275E56"/>
    <w:rsid w:val="0027635C"/>
    <w:rsid w:val="00276451"/>
    <w:rsid w:val="00276A1F"/>
    <w:rsid w:val="002777AD"/>
    <w:rsid w:val="002778FE"/>
    <w:rsid w:val="0027793E"/>
    <w:rsid w:val="00277DC1"/>
    <w:rsid w:val="0028000E"/>
    <w:rsid w:val="002801CF"/>
    <w:rsid w:val="00280318"/>
    <w:rsid w:val="00280775"/>
    <w:rsid w:val="00280AD8"/>
    <w:rsid w:val="00280D67"/>
    <w:rsid w:val="002810BB"/>
    <w:rsid w:val="00281210"/>
    <w:rsid w:val="00281A89"/>
    <w:rsid w:val="00281AAB"/>
    <w:rsid w:val="00281B3E"/>
    <w:rsid w:val="00281BAE"/>
    <w:rsid w:val="00281FB2"/>
    <w:rsid w:val="00281FFF"/>
    <w:rsid w:val="0028248D"/>
    <w:rsid w:val="00282508"/>
    <w:rsid w:val="00282968"/>
    <w:rsid w:val="00282D48"/>
    <w:rsid w:val="0028312B"/>
    <w:rsid w:val="00283484"/>
    <w:rsid w:val="002834CA"/>
    <w:rsid w:val="00283F4C"/>
    <w:rsid w:val="00284395"/>
    <w:rsid w:val="00284396"/>
    <w:rsid w:val="002845FF"/>
    <w:rsid w:val="00284C1E"/>
    <w:rsid w:val="00284CF5"/>
    <w:rsid w:val="00284FEF"/>
    <w:rsid w:val="00285000"/>
    <w:rsid w:val="002851DD"/>
    <w:rsid w:val="00285231"/>
    <w:rsid w:val="002856C0"/>
    <w:rsid w:val="00285908"/>
    <w:rsid w:val="00285A56"/>
    <w:rsid w:val="00285ED0"/>
    <w:rsid w:val="00285F5E"/>
    <w:rsid w:val="00285F7F"/>
    <w:rsid w:val="00285FE4"/>
    <w:rsid w:val="0028606C"/>
    <w:rsid w:val="002861BC"/>
    <w:rsid w:val="002865FD"/>
    <w:rsid w:val="00287496"/>
    <w:rsid w:val="00287831"/>
    <w:rsid w:val="002878F7"/>
    <w:rsid w:val="00290316"/>
    <w:rsid w:val="00290360"/>
    <w:rsid w:val="00290371"/>
    <w:rsid w:val="00290453"/>
    <w:rsid w:val="00290518"/>
    <w:rsid w:val="0029053E"/>
    <w:rsid w:val="00290707"/>
    <w:rsid w:val="002907E8"/>
    <w:rsid w:val="00290834"/>
    <w:rsid w:val="002909A3"/>
    <w:rsid w:val="00290D0D"/>
    <w:rsid w:val="00290D4B"/>
    <w:rsid w:val="00290E48"/>
    <w:rsid w:val="00290E5D"/>
    <w:rsid w:val="0029100B"/>
    <w:rsid w:val="0029125C"/>
    <w:rsid w:val="0029144F"/>
    <w:rsid w:val="002915C0"/>
    <w:rsid w:val="0029196E"/>
    <w:rsid w:val="00291FE8"/>
    <w:rsid w:val="002926B2"/>
    <w:rsid w:val="002929D6"/>
    <w:rsid w:val="00292A97"/>
    <w:rsid w:val="00292D64"/>
    <w:rsid w:val="00292F46"/>
    <w:rsid w:val="0029309A"/>
    <w:rsid w:val="002930AC"/>
    <w:rsid w:val="00293250"/>
    <w:rsid w:val="002933CE"/>
    <w:rsid w:val="00293450"/>
    <w:rsid w:val="002935F9"/>
    <w:rsid w:val="002936DA"/>
    <w:rsid w:val="002937B4"/>
    <w:rsid w:val="00293F3A"/>
    <w:rsid w:val="00294499"/>
    <w:rsid w:val="00294838"/>
    <w:rsid w:val="00294B59"/>
    <w:rsid w:val="00294BFA"/>
    <w:rsid w:val="00294C4A"/>
    <w:rsid w:val="002951B0"/>
    <w:rsid w:val="00295411"/>
    <w:rsid w:val="0029588C"/>
    <w:rsid w:val="0029597D"/>
    <w:rsid w:val="00296005"/>
    <w:rsid w:val="0029637E"/>
    <w:rsid w:val="002966F7"/>
    <w:rsid w:val="00296A75"/>
    <w:rsid w:val="00296A87"/>
    <w:rsid w:val="00296D93"/>
    <w:rsid w:val="0029702D"/>
    <w:rsid w:val="002977EF"/>
    <w:rsid w:val="002979A4"/>
    <w:rsid w:val="00297A20"/>
    <w:rsid w:val="00297A7E"/>
    <w:rsid w:val="00297B59"/>
    <w:rsid w:val="00297B94"/>
    <w:rsid w:val="00297BDC"/>
    <w:rsid w:val="00297C40"/>
    <w:rsid w:val="002A01E5"/>
    <w:rsid w:val="002A0346"/>
    <w:rsid w:val="002A037F"/>
    <w:rsid w:val="002A055D"/>
    <w:rsid w:val="002A08D2"/>
    <w:rsid w:val="002A10BF"/>
    <w:rsid w:val="002A1640"/>
    <w:rsid w:val="002A172C"/>
    <w:rsid w:val="002A1D5B"/>
    <w:rsid w:val="002A26FA"/>
    <w:rsid w:val="002A2729"/>
    <w:rsid w:val="002A283B"/>
    <w:rsid w:val="002A2B42"/>
    <w:rsid w:val="002A2BEB"/>
    <w:rsid w:val="002A2C11"/>
    <w:rsid w:val="002A2F09"/>
    <w:rsid w:val="002A2F0D"/>
    <w:rsid w:val="002A3597"/>
    <w:rsid w:val="002A35CF"/>
    <w:rsid w:val="002A360B"/>
    <w:rsid w:val="002A3715"/>
    <w:rsid w:val="002A399F"/>
    <w:rsid w:val="002A3D2E"/>
    <w:rsid w:val="002A3EA9"/>
    <w:rsid w:val="002A403D"/>
    <w:rsid w:val="002A4468"/>
    <w:rsid w:val="002A4537"/>
    <w:rsid w:val="002A45E5"/>
    <w:rsid w:val="002A487B"/>
    <w:rsid w:val="002A4AD7"/>
    <w:rsid w:val="002A4F64"/>
    <w:rsid w:val="002A5043"/>
    <w:rsid w:val="002A52AF"/>
    <w:rsid w:val="002A551E"/>
    <w:rsid w:val="002A564F"/>
    <w:rsid w:val="002A5D9F"/>
    <w:rsid w:val="002A5F84"/>
    <w:rsid w:val="002A6471"/>
    <w:rsid w:val="002A6556"/>
    <w:rsid w:val="002A66B8"/>
    <w:rsid w:val="002A6CAC"/>
    <w:rsid w:val="002A6F24"/>
    <w:rsid w:val="002A72EE"/>
    <w:rsid w:val="002A7C0E"/>
    <w:rsid w:val="002A7C3A"/>
    <w:rsid w:val="002A7DCE"/>
    <w:rsid w:val="002A7E45"/>
    <w:rsid w:val="002A7EC4"/>
    <w:rsid w:val="002A7F46"/>
    <w:rsid w:val="002B0131"/>
    <w:rsid w:val="002B02DC"/>
    <w:rsid w:val="002B0403"/>
    <w:rsid w:val="002B04BB"/>
    <w:rsid w:val="002B0680"/>
    <w:rsid w:val="002B09C7"/>
    <w:rsid w:val="002B0B64"/>
    <w:rsid w:val="002B0B96"/>
    <w:rsid w:val="002B0D2E"/>
    <w:rsid w:val="002B0E23"/>
    <w:rsid w:val="002B1A06"/>
    <w:rsid w:val="002B1A3E"/>
    <w:rsid w:val="002B1AEE"/>
    <w:rsid w:val="002B1EDA"/>
    <w:rsid w:val="002B1F08"/>
    <w:rsid w:val="002B2426"/>
    <w:rsid w:val="002B2629"/>
    <w:rsid w:val="002B2B26"/>
    <w:rsid w:val="002B2BA4"/>
    <w:rsid w:val="002B2C42"/>
    <w:rsid w:val="002B2EFB"/>
    <w:rsid w:val="002B2F00"/>
    <w:rsid w:val="002B3093"/>
    <w:rsid w:val="002B31BA"/>
    <w:rsid w:val="002B31C8"/>
    <w:rsid w:val="002B31F9"/>
    <w:rsid w:val="002B3224"/>
    <w:rsid w:val="002B3468"/>
    <w:rsid w:val="002B37E2"/>
    <w:rsid w:val="002B3832"/>
    <w:rsid w:val="002B392C"/>
    <w:rsid w:val="002B3A13"/>
    <w:rsid w:val="002B3ADF"/>
    <w:rsid w:val="002B3B55"/>
    <w:rsid w:val="002B3BFD"/>
    <w:rsid w:val="002B4205"/>
    <w:rsid w:val="002B50C1"/>
    <w:rsid w:val="002B55C6"/>
    <w:rsid w:val="002B5801"/>
    <w:rsid w:val="002B5B31"/>
    <w:rsid w:val="002B5BDA"/>
    <w:rsid w:val="002B5E18"/>
    <w:rsid w:val="002B60BA"/>
    <w:rsid w:val="002B60C1"/>
    <w:rsid w:val="002B6751"/>
    <w:rsid w:val="002B6C5F"/>
    <w:rsid w:val="002B6E54"/>
    <w:rsid w:val="002B6F5E"/>
    <w:rsid w:val="002B744C"/>
    <w:rsid w:val="002B746D"/>
    <w:rsid w:val="002B748E"/>
    <w:rsid w:val="002B7A64"/>
    <w:rsid w:val="002B7C2F"/>
    <w:rsid w:val="002B7CB6"/>
    <w:rsid w:val="002B7D3E"/>
    <w:rsid w:val="002B7F41"/>
    <w:rsid w:val="002B7F77"/>
    <w:rsid w:val="002C03CA"/>
    <w:rsid w:val="002C0C3A"/>
    <w:rsid w:val="002C0FC0"/>
    <w:rsid w:val="002C10BB"/>
    <w:rsid w:val="002C10FB"/>
    <w:rsid w:val="002C128E"/>
    <w:rsid w:val="002C1534"/>
    <w:rsid w:val="002C1CB5"/>
    <w:rsid w:val="002C1E14"/>
    <w:rsid w:val="002C1F7A"/>
    <w:rsid w:val="002C2001"/>
    <w:rsid w:val="002C21F5"/>
    <w:rsid w:val="002C2337"/>
    <w:rsid w:val="002C25FE"/>
    <w:rsid w:val="002C262A"/>
    <w:rsid w:val="002C26B2"/>
    <w:rsid w:val="002C3359"/>
    <w:rsid w:val="002C3521"/>
    <w:rsid w:val="002C3853"/>
    <w:rsid w:val="002C44B0"/>
    <w:rsid w:val="002C457A"/>
    <w:rsid w:val="002C48BC"/>
    <w:rsid w:val="002C494A"/>
    <w:rsid w:val="002C5196"/>
    <w:rsid w:val="002C5269"/>
    <w:rsid w:val="002C533D"/>
    <w:rsid w:val="002C576E"/>
    <w:rsid w:val="002C5995"/>
    <w:rsid w:val="002C5C05"/>
    <w:rsid w:val="002C5C3A"/>
    <w:rsid w:val="002C5D0E"/>
    <w:rsid w:val="002C5DC7"/>
    <w:rsid w:val="002C5E44"/>
    <w:rsid w:val="002C61FE"/>
    <w:rsid w:val="002C664B"/>
    <w:rsid w:val="002C681B"/>
    <w:rsid w:val="002C6C2B"/>
    <w:rsid w:val="002C6E0A"/>
    <w:rsid w:val="002C71E5"/>
    <w:rsid w:val="002C769F"/>
    <w:rsid w:val="002C7772"/>
    <w:rsid w:val="002C7CF1"/>
    <w:rsid w:val="002D06AF"/>
    <w:rsid w:val="002D08A6"/>
    <w:rsid w:val="002D08E5"/>
    <w:rsid w:val="002D09BD"/>
    <w:rsid w:val="002D0B53"/>
    <w:rsid w:val="002D0C4F"/>
    <w:rsid w:val="002D0F3A"/>
    <w:rsid w:val="002D111E"/>
    <w:rsid w:val="002D1235"/>
    <w:rsid w:val="002D13E2"/>
    <w:rsid w:val="002D179F"/>
    <w:rsid w:val="002D1828"/>
    <w:rsid w:val="002D18B5"/>
    <w:rsid w:val="002D1924"/>
    <w:rsid w:val="002D1C47"/>
    <w:rsid w:val="002D1CE0"/>
    <w:rsid w:val="002D1E81"/>
    <w:rsid w:val="002D23D0"/>
    <w:rsid w:val="002D2577"/>
    <w:rsid w:val="002D26B4"/>
    <w:rsid w:val="002D27B9"/>
    <w:rsid w:val="002D2CC7"/>
    <w:rsid w:val="002D35EC"/>
    <w:rsid w:val="002D3758"/>
    <w:rsid w:val="002D3A19"/>
    <w:rsid w:val="002D427D"/>
    <w:rsid w:val="002D44F5"/>
    <w:rsid w:val="002D456A"/>
    <w:rsid w:val="002D493B"/>
    <w:rsid w:val="002D4B82"/>
    <w:rsid w:val="002D4F23"/>
    <w:rsid w:val="002D4F8B"/>
    <w:rsid w:val="002D5186"/>
    <w:rsid w:val="002D5633"/>
    <w:rsid w:val="002D58E4"/>
    <w:rsid w:val="002D5E01"/>
    <w:rsid w:val="002D5F1D"/>
    <w:rsid w:val="002D5FF0"/>
    <w:rsid w:val="002D6005"/>
    <w:rsid w:val="002D624A"/>
    <w:rsid w:val="002D6440"/>
    <w:rsid w:val="002D658D"/>
    <w:rsid w:val="002D6805"/>
    <w:rsid w:val="002D68A9"/>
    <w:rsid w:val="002D6EAE"/>
    <w:rsid w:val="002D6F03"/>
    <w:rsid w:val="002D6FF3"/>
    <w:rsid w:val="002D7523"/>
    <w:rsid w:val="002D76F3"/>
    <w:rsid w:val="002D7812"/>
    <w:rsid w:val="002D7C4D"/>
    <w:rsid w:val="002D7C61"/>
    <w:rsid w:val="002D7EA0"/>
    <w:rsid w:val="002E09A7"/>
    <w:rsid w:val="002E09BC"/>
    <w:rsid w:val="002E0A37"/>
    <w:rsid w:val="002E0CE8"/>
    <w:rsid w:val="002E0D45"/>
    <w:rsid w:val="002E1375"/>
    <w:rsid w:val="002E13D7"/>
    <w:rsid w:val="002E151E"/>
    <w:rsid w:val="002E190C"/>
    <w:rsid w:val="002E1C21"/>
    <w:rsid w:val="002E2122"/>
    <w:rsid w:val="002E242B"/>
    <w:rsid w:val="002E2881"/>
    <w:rsid w:val="002E2EDB"/>
    <w:rsid w:val="002E2F1A"/>
    <w:rsid w:val="002E2F4E"/>
    <w:rsid w:val="002E3089"/>
    <w:rsid w:val="002E355E"/>
    <w:rsid w:val="002E3967"/>
    <w:rsid w:val="002E3C2E"/>
    <w:rsid w:val="002E3CD6"/>
    <w:rsid w:val="002E3D74"/>
    <w:rsid w:val="002E43D1"/>
    <w:rsid w:val="002E43E9"/>
    <w:rsid w:val="002E4401"/>
    <w:rsid w:val="002E47E2"/>
    <w:rsid w:val="002E49A4"/>
    <w:rsid w:val="002E4A22"/>
    <w:rsid w:val="002E4C1D"/>
    <w:rsid w:val="002E4C52"/>
    <w:rsid w:val="002E4CE4"/>
    <w:rsid w:val="002E4D42"/>
    <w:rsid w:val="002E4E6B"/>
    <w:rsid w:val="002E50F6"/>
    <w:rsid w:val="002E5204"/>
    <w:rsid w:val="002E5216"/>
    <w:rsid w:val="002E5307"/>
    <w:rsid w:val="002E5C02"/>
    <w:rsid w:val="002E5C7C"/>
    <w:rsid w:val="002E5CB6"/>
    <w:rsid w:val="002E5FEE"/>
    <w:rsid w:val="002E6690"/>
    <w:rsid w:val="002E66A7"/>
    <w:rsid w:val="002E67B3"/>
    <w:rsid w:val="002E6BF5"/>
    <w:rsid w:val="002E6D77"/>
    <w:rsid w:val="002E7293"/>
    <w:rsid w:val="002E72C1"/>
    <w:rsid w:val="002E7360"/>
    <w:rsid w:val="002E7375"/>
    <w:rsid w:val="002E74A6"/>
    <w:rsid w:val="002E7558"/>
    <w:rsid w:val="002E7D21"/>
    <w:rsid w:val="002E7D83"/>
    <w:rsid w:val="002E7D9C"/>
    <w:rsid w:val="002F028B"/>
    <w:rsid w:val="002F031D"/>
    <w:rsid w:val="002F039F"/>
    <w:rsid w:val="002F0465"/>
    <w:rsid w:val="002F06C6"/>
    <w:rsid w:val="002F083D"/>
    <w:rsid w:val="002F0913"/>
    <w:rsid w:val="002F0E57"/>
    <w:rsid w:val="002F1159"/>
    <w:rsid w:val="002F1166"/>
    <w:rsid w:val="002F1521"/>
    <w:rsid w:val="002F186E"/>
    <w:rsid w:val="002F20CA"/>
    <w:rsid w:val="002F22A1"/>
    <w:rsid w:val="002F25D0"/>
    <w:rsid w:val="002F292D"/>
    <w:rsid w:val="002F2CE9"/>
    <w:rsid w:val="002F2ED4"/>
    <w:rsid w:val="002F2F3D"/>
    <w:rsid w:val="002F2F93"/>
    <w:rsid w:val="002F2FB1"/>
    <w:rsid w:val="002F3249"/>
    <w:rsid w:val="002F37B5"/>
    <w:rsid w:val="002F3A2E"/>
    <w:rsid w:val="002F3B7B"/>
    <w:rsid w:val="002F3BD4"/>
    <w:rsid w:val="002F3BD9"/>
    <w:rsid w:val="002F3C54"/>
    <w:rsid w:val="002F3CC8"/>
    <w:rsid w:val="002F3D58"/>
    <w:rsid w:val="002F4189"/>
    <w:rsid w:val="002F43F5"/>
    <w:rsid w:val="002F49C0"/>
    <w:rsid w:val="002F5184"/>
    <w:rsid w:val="002F5567"/>
    <w:rsid w:val="002F55DE"/>
    <w:rsid w:val="002F5AD4"/>
    <w:rsid w:val="002F5ED5"/>
    <w:rsid w:val="002F6147"/>
    <w:rsid w:val="002F6594"/>
    <w:rsid w:val="002F675E"/>
    <w:rsid w:val="002F68F2"/>
    <w:rsid w:val="002F6B9A"/>
    <w:rsid w:val="002F6C79"/>
    <w:rsid w:val="002F6DC5"/>
    <w:rsid w:val="002F6E77"/>
    <w:rsid w:val="002F6F4B"/>
    <w:rsid w:val="002F7174"/>
    <w:rsid w:val="002F7557"/>
    <w:rsid w:val="002F7636"/>
    <w:rsid w:val="002F766E"/>
    <w:rsid w:val="002F76B7"/>
    <w:rsid w:val="002F7771"/>
    <w:rsid w:val="002F77FD"/>
    <w:rsid w:val="002F7E48"/>
    <w:rsid w:val="0030055B"/>
    <w:rsid w:val="00300579"/>
    <w:rsid w:val="003005BA"/>
    <w:rsid w:val="003008AC"/>
    <w:rsid w:val="0030091C"/>
    <w:rsid w:val="00300BF1"/>
    <w:rsid w:val="00300C9E"/>
    <w:rsid w:val="00300F2A"/>
    <w:rsid w:val="0030178F"/>
    <w:rsid w:val="00301B2B"/>
    <w:rsid w:val="00301BA5"/>
    <w:rsid w:val="00301BAB"/>
    <w:rsid w:val="00301DAE"/>
    <w:rsid w:val="00301F84"/>
    <w:rsid w:val="00302147"/>
    <w:rsid w:val="003024CB"/>
    <w:rsid w:val="003025CD"/>
    <w:rsid w:val="00302B62"/>
    <w:rsid w:val="00302C74"/>
    <w:rsid w:val="0030310E"/>
    <w:rsid w:val="0030324B"/>
    <w:rsid w:val="003032B7"/>
    <w:rsid w:val="003032D2"/>
    <w:rsid w:val="0030330E"/>
    <w:rsid w:val="003033C8"/>
    <w:rsid w:val="00303718"/>
    <w:rsid w:val="0030389F"/>
    <w:rsid w:val="00303B3C"/>
    <w:rsid w:val="003040E2"/>
    <w:rsid w:val="0030412A"/>
    <w:rsid w:val="003046C0"/>
    <w:rsid w:val="00305841"/>
    <w:rsid w:val="00305B4F"/>
    <w:rsid w:val="00305C7B"/>
    <w:rsid w:val="00305D89"/>
    <w:rsid w:val="0030607A"/>
    <w:rsid w:val="00306345"/>
    <w:rsid w:val="00306E54"/>
    <w:rsid w:val="00307061"/>
    <w:rsid w:val="003073D3"/>
    <w:rsid w:val="0030762D"/>
    <w:rsid w:val="003077F7"/>
    <w:rsid w:val="00307BB0"/>
    <w:rsid w:val="00307FC0"/>
    <w:rsid w:val="003101D1"/>
    <w:rsid w:val="00310264"/>
    <w:rsid w:val="003105AA"/>
    <w:rsid w:val="00310644"/>
    <w:rsid w:val="00310BE1"/>
    <w:rsid w:val="00310EF0"/>
    <w:rsid w:val="00311168"/>
    <w:rsid w:val="0031134C"/>
    <w:rsid w:val="00311365"/>
    <w:rsid w:val="00311545"/>
    <w:rsid w:val="00311A0A"/>
    <w:rsid w:val="00311CD1"/>
    <w:rsid w:val="00311D56"/>
    <w:rsid w:val="0031228D"/>
    <w:rsid w:val="0031239C"/>
    <w:rsid w:val="0031295B"/>
    <w:rsid w:val="00312D03"/>
    <w:rsid w:val="00313017"/>
    <w:rsid w:val="003130F1"/>
    <w:rsid w:val="0031313D"/>
    <w:rsid w:val="003136F4"/>
    <w:rsid w:val="00313A49"/>
    <w:rsid w:val="00313D10"/>
    <w:rsid w:val="00313DBF"/>
    <w:rsid w:val="003147EE"/>
    <w:rsid w:val="00314815"/>
    <w:rsid w:val="00314ABD"/>
    <w:rsid w:val="00314F6F"/>
    <w:rsid w:val="003150DA"/>
    <w:rsid w:val="0031523C"/>
    <w:rsid w:val="00315E1C"/>
    <w:rsid w:val="003163B6"/>
    <w:rsid w:val="00316444"/>
    <w:rsid w:val="003164B0"/>
    <w:rsid w:val="003165B9"/>
    <w:rsid w:val="0031662C"/>
    <w:rsid w:val="003166E1"/>
    <w:rsid w:val="00316CF8"/>
    <w:rsid w:val="00316D4C"/>
    <w:rsid w:val="00316DB7"/>
    <w:rsid w:val="00316DE5"/>
    <w:rsid w:val="003171BF"/>
    <w:rsid w:val="00317447"/>
    <w:rsid w:val="00317973"/>
    <w:rsid w:val="003200C9"/>
    <w:rsid w:val="00320168"/>
    <w:rsid w:val="0032019B"/>
    <w:rsid w:val="00320401"/>
    <w:rsid w:val="0032047D"/>
    <w:rsid w:val="0032081C"/>
    <w:rsid w:val="003209BD"/>
    <w:rsid w:val="003210DC"/>
    <w:rsid w:val="00321375"/>
    <w:rsid w:val="003213F0"/>
    <w:rsid w:val="00321770"/>
    <w:rsid w:val="00321B05"/>
    <w:rsid w:val="00321EFD"/>
    <w:rsid w:val="00321F2E"/>
    <w:rsid w:val="00322097"/>
    <w:rsid w:val="003222F4"/>
    <w:rsid w:val="0032268A"/>
    <w:rsid w:val="003226BC"/>
    <w:rsid w:val="00322801"/>
    <w:rsid w:val="00322A01"/>
    <w:rsid w:val="00322AE6"/>
    <w:rsid w:val="00322E38"/>
    <w:rsid w:val="00323080"/>
    <w:rsid w:val="00323435"/>
    <w:rsid w:val="003238D6"/>
    <w:rsid w:val="0032391A"/>
    <w:rsid w:val="00323C08"/>
    <w:rsid w:val="00323D18"/>
    <w:rsid w:val="00323E49"/>
    <w:rsid w:val="00323E86"/>
    <w:rsid w:val="00323F39"/>
    <w:rsid w:val="003241BD"/>
    <w:rsid w:val="003243F2"/>
    <w:rsid w:val="00324883"/>
    <w:rsid w:val="0032489B"/>
    <w:rsid w:val="003249D2"/>
    <w:rsid w:val="00324B5F"/>
    <w:rsid w:val="00324C8D"/>
    <w:rsid w:val="0032574E"/>
    <w:rsid w:val="003257A0"/>
    <w:rsid w:val="00325895"/>
    <w:rsid w:val="00325DB0"/>
    <w:rsid w:val="00325EE4"/>
    <w:rsid w:val="00326151"/>
    <w:rsid w:val="0032631C"/>
    <w:rsid w:val="003266E5"/>
    <w:rsid w:val="003268BE"/>
    <w:rsid w:val="00326BEE"/>
    <w:rsid w:val="00326F52"/>
    <w:rsid w:val="00327075"/>
    <w:rsid w:val="003271AE"/>
    <w:rsid w:val="003272B6"/>
    <w:rsid w:val="00327E75"/>
    <w:rsid w:val="003300C2"/>
    <w:rsid w:val="00330531"/>
    <w:rsid w:val="00330886"/>
    <w:rsid w:val="00330975"/>
    <w:rsid w:val="00330E8B"/>
    <w:rsid w:val="00330F94"/>
    <w:rsid w:val="00331153"/>
    <w:rsid w:val="003311A4"/>
    <w:rsid w:val="00331AC4"/>
    <w:rsid w:val="00331C38"/>
    <w:rsid w:val="00331ECB"/>
    <w:rsid w:val="00332109"/>
    <w:rsid w:val="0033219B"/>
    <w:rsid w:val="0033261C"/>
    <w:rsid w:val="003326BF"/>
    <w:rsid w:val="00332915"/>
    <w:rsid w:val="00332929"/>
    <w:rsid w:val="0033295B"/>
    <w:rsid w:val="00332963"/>
    <w:rsid w:val="00332AF3"/>
    <w:rsid w:val="00332E7D"/>
    <w:rsid w:val="00333012"/>
    <w:rsid w:val="00333094"/>
    <w:rsid w:val="003330CB"/>
    <w:rsid w:val="003330CD"/>
    <w:rsid w:val="003331EB"/>
    <w:rsid w:val="003333FF"/>
    <w:rsid w:val="003336C6"/>
    <w:rsid w:val="00333C32"/>
    <w:rsid w:val="00333E2F"/>
    <w:rsid w:val="00333F1B"/>
    <w:rsid w:val="00334204"/>
    <w:rsid w:val="00334382"/>
    <w:rsid w:val="0033446E"/>
    <w:rsid w:val="003349D1"/>
    <w:rsid w:val="00334A20"/>
    <w:rsid w:val="00334AE3"/>
    <w:rsid w:val="00335391"/>
    <w:rsid w:val="0033555B"/>
    <w:rsid w:val="003356F3"/>
    <w:rsid w:val="0033592B"/>
    <w:rsid w:val="00335FCD"/>
    <w:rsid w:val="00335FD0"/>
    <w:rsid w:val="0033606C"/>
    <w:rsid w:val="0033620C"/>
    <w:rsid w:val="003364C9"/>
    <w:rsid w:val="00336759"/>
    <w:rsid w:val="003367EC"/>
    <w:rsid w:val="00336ABC"/>
    <w:rsid w:val="00336B9A"/>
    <w:rsid w:val="00337188"/>
    <w:rsid w:val="00337787"/>
    <w:rsid w:val="00337DC3"/>
    <w:rsid w:val="00337ECC"/>
    <w:rsid w:val="00340461"/>
    <w:rsid w:val="003404D7"/>
    <w:rsid w:val="003406D8"/>
    <w:rsid w:val="00340771"/>
    <w:rsid w:val="0034096C"/>
    <w:rsid w:val="003409CC"/>
    <w:rsid w:val="00340CF3"/>
    <w:rsid w:val="00340EF8"/>
    <w:rsid w:val="00340FEE"/>
    <w:rsid w:val="0034101C"/>
    <w:rsid w:val="003411E3"/>
    <w:rsid w:val="0034187E"/>
    <w:rsid w:val="00341974"/>
    <w:rsid w:val="00341F18"/>
    <w:rsid w:val="00342275"/>
    <w:rsid w:val="003423AC"/>
    <w:rsid w:val="003423C9"/>
    <w:rsid w:val="00342797"/>
    <w:rsid w:val="00342D63"/>
    <w:rsid w:val="00343085"/>
    <w:rsid w:val="00343849"/>
    <w:rsid w:val="00343B7E"/>
    <w:rsid w:val="00343BEE"/>
    <w:rsid w:val="00343EDB"/>
    <w:rsid w:val="00344037"/>
    <w:rsid w:val="00344403"/>
    <w:rsid w:val="0034440B"/>
    <w:rsid w:val="00344622"/>
    <w:rsid w:val="0034492D"/>
    <w:rsid w:val="00344BFA"/>
    <w:rsid w:val="00344D04"/>
    <w:rsid w:val="00344E6C"/>
    <w:rsid w:val="00344ECA"/>
    <w:rsid w:val="00345059"/>
    <w:rsid w:val="0034566A"/>
    <w:rsid w:val="00345911"/>
    <w:rsid w:val="00345A45"/>
    <w:rsid w:val="00345DB6"/>
    <w:rsid w:val="0034613F"/>
    <w:rsid w:val="00346206"/>
    <w:rsid w:val="00346227"/>
    <w:rsid w:val="003465D9"/>
    <w:rsid w:val="0034662D"/>
    <w:rsid w:val="00346774"/>
    <w:rsid w:val="00346985"/>
    <w:rsid w:val="00346B30"/>
    <w:rsid w:val="00346C63"/>
    <w:rsid w:val="00346E0D"/>
    <w:rsid w:val="0034736A"/>
    <w:rsid w:val="0034741D"/>
    <w:rsid w:val="003475F7"/>
    <w:rsid w:val="00347732"/>
    <w:rsid w:val="003478CC"/>
    <w:rsid w:val="00347958"/>
    <w:rsid w:val="00350113"/>
    <w:rsid w:val="0035020B"/>
    <w:rsid w:val="0035033B"/>
    <w:rsid w:val="003503A9"/>
    <w:rsid w:val="003503DC"/>
    <w:rsid w:val="003504C1"/>
    <w:rsid w:val="003504DF"/>
    <w:rsid w:val="00350623"/>
    <w:rsid w:val="00350662"/>
    <w:rsid w:val="00350BBC"/>
    <w:rsid w:val="00350CD3"/>
    <w:rsid w:val="00350DFC"/>
    <w:rsid w:val="003510BD"/>
    <w:rsid w:val="00351160"/>
    <w:rsid w:val="00351380"/>
    <w:rsid w:val="00351730"/>
    <w:rsid w:val="00351844"/>
    <w:rsid w:val="0035194E"/>
    <w:rsid w:val="0035235D"/>
    <w:rsid w:val="00352679"/>
    <w:rsid w:val="00352851"/>
    <w:rsid w:val="00352AA5"/>
    <w:rsid w:val="0035325F"/>
    <w:rsid w:val="00353312"/>
    <w:rsid w:val="00353480"/>
    <w:rsid w:val="003534C6"/>
    <w:rsid w:val="003536B1"/>
    <w:rsid w:val="003538B3"/>
    <w:rsid w:val="00353926"/>
    <w:rsid w:val="00353A2E"/>
    <w:rsid w:val="00353C92"/>
    <w:rsid w:val="00353DC7"/>
    <w:rsid w:val="00353F65"/>
    <w:rsid w:val="00354077"/>
    <w:rsid w:val="00354707"/>
    <w:rsid w:val="00354A26"/>
    <w:rsid w:val="00354E0F"/>
    <w:rsid w:val="003551D1"/>
    <w:rsid w:val="00355969"/>
    <w:rsid w:val="00355A2D"/>
    <w:rsid w:val="00355C32"/>
    <w:rsid w:val="00355D97"/>
    <w:rsid w:val="00355DCD"/>
    <w:rsid w:val="00355F05"/>
    <w:rsid w:val="0035611B"/>
    <w:rsid w:val="003565D9"/>
    <w:rsid w:val="003566F9"/>
    <w:rsid w:val="003568DA"/>
    <w:rsid w:val="0035736B"/>
    <w:rsid w:val="00357579"/>
    <w:rsid w:val="003575A4"/>
    <w:rsid w:val="003577B3"/>
    <w:rsid w:val="00357911"/>
    <w:rsid w:val="003579F8"/>
    <w:rsid w:val="00357B0B"/>
    <w:rsid w:val="00357F42"/>
    <w:rsid w:val="0036011A"/>
    <w:rsid w:val="00360DB1"/>
    <w:rsid w:val="00360E50"/>
    <w:rsid w:val="003613AA"/>
    <w:rsid w:val="00361429"/>
    <w:rsid w:val="00361503"/>
    <w:rsid w:val="0036158E"/>
    <w:rsid w:val="003621A0"/>
    <w:rsid w:val="00362267"/>
    <w:rsid w:val="003622F1"/>
    <w:rsid w:val="00362441"/>
    <w:rsid w:val="00362A24"/>
    <w:rsid w:val="00362A84"/>
    <w:rsid w:val="00362FF1"/>
    <w:rsid w:val="0036303F"/>
    <w:rsid w:val="0036369E"/>
    <w:rsid w:val="003639C7"/>
    <w:rsid w:val="00363C8E"/>
    <w:rsid w:val="00363D10"/>
    <w:rsid w:val="00363D49"/>
    <w:rsid w:val="00363ED9"/>
    <w:rsid w:val="00363F4B"/>
    <w:rsid w:val="00363F50"/>
    <w:rsid w:val="003648B0"/>
    <w:rsid w:val="00365296"/>
    <w:rsid w:val="003654BC"/>
    <w:rsid w:val="003654C7"/>
    <w:rsid w:val="0036554C"/>
    <w:rsid w:val="00365611"/>
    <w:rsid w:val="0036580A"/>
    <w:rsid w:val="00365A3A"/>
    <w:rsid w:val="00365B45"/>
    <w:rsid w:val="00365B70"/>
    <w:rsid w:val="00365B98"/>
    <w:rsid w:val="0036601B"/>
    <w:rsid w:val="003662DD"/>
    <w:rsid w:val="0036632A"/>
    <w:rsid w:val="0036634D"/>
    <w:rsid w:val="003667D6"/>
    <w:rsid w:val="00366A6C"/>
    <w:rsid w:val="00366CDF"/>
    <w:rsid w:val="003671DD"/>
    <w:rsid w:val="003671E2"/>
    <w:rsid w:val="00367655"/>
    <w:rsid w:val="00367822"/>
    <w:rsid w:val="00367A6C"/>
    <w:rsid w:val="00367AD5"/>
    <w:rsid w:val="00367DC5"/>
    <w:rsid w:val="0037013F"/>
    <w:rsid w:val="0037014A"/>
    <w:rsid w:val="003701C0"/>
    <w:rsid w:val="003702C2"/>
    <w:rsid w:val="003702E7"/>
    <w:rsid w:val="00370894"/>
    <w:rsid w:val="00370C7D"/>
    <w:rsid w:val="00370F83"/>
    <w:rsid w:val="00370FFF"/>
    <w:rsid w:val="00371180"/>
    <w:rsid w:val="00371366"/>
    <w:rsid w:val="0037158D"/>
    <w:rsid w:val="00371A00"/>
    <w:rsid w:val="00371C26"/>
    <w:rsid w:val="00371E37"/>
    <w:rsid w:val="00371FD8"/>
    <w:rsid w:val="003723EF"/>
    <w:rsid w:val="003727CC"/>
    <w:rsid w:val="00372A7E"/>
    <w:rsid w:val="00372B20"/>
    <w:rsid w:val="00372B45"/>
    <w:rsid w:val="00372E38"/>
    <w:rsid w:val="00372E4A"/>
    <w:rsid w:val="0037330C"/>
    <w:rsid w:val="003735C5"/>
    <w:rsid w:val="003738CF"/>
    <w:rsid w:val="003740EA"/>
    <w:rsid w:val="0037441C"/>
    <w:rsid w:val="00374B4A"/>
    <w:rsid w:val="00374CEE"/>
    <w:rsid w:val="00374F38"/>
    <w:rsid w:val="00375374"/>
    <w:rsid w:val="00375416"/>
    <w:rsid w:val="00375CB1"/>
    <w:rsid w:val="00375CD2"/>
    <w:rsid w:val="0037608C"/>
    <w:rsid w:val="003767A7"/>
    <w:rsid w:val="00376871"/>
    <w:rsid w:val="003768ED"/>
    <w:rsid w:val="003769F5"/>
    <w:rsid w:val="00376B56"/>
    <w:rsid w:val="00376BDC"/>
    <w:rsid w:val="00376D13"/>
    <w:rsid w:val="00376EED"/>
    <w:rsid w:val="003771F9"/>
    <w:rsid w:val="00377223"/>
    <w:rsid w:val="00377431"/>
    <w:rsid w:val="0037787E"/>
    <w:rsid w:val="00377C1F"/>
    <w:rsid w:val="00377F1E"/>
    <w:rsid w:val="00380042"/>
    <w:rsid w:val="003802B7"/>
    <w:rsid w:val="003805ED"/>
    <w:rsid w:val="0038062E"/>
    <w:rsid w:val="00380640"/>
    <w:rsid w:val="0038068C"/>
    <w:rsid w:val="00380869"/>
    <w:rsid w:val="00380BF4"/>
    <w:rsid w:val="00380CF6"/>
    <w:rsid w:val="00380DA0"/>
    <w:rsid w:val="0038109F"/>
    <w:rsid w:val="0038110E"/>
    <w:rsid w:val="003811E5"/>
    <w:rsid w:val="00381414"/>
    <w:rsid w:val="00381426"/>
    <w:rsid w:val="003815FD"/>
    <w:rsid w:val="003816B9"/>
    <w:rsid w:val="003819C0"/>
    <w:rsid w:val="00381A36"/>
    <w:rsid w:val="00381B69"/>
    <w:rsid w:val="00381CF0"/>
    <w:rsid w:val="00381EBC"/>
    <w:rsid w:val="003820AD"/>
    <w:rsid w:val="0038272D"/>
    <w:rsid w:val="0038296B"/>
    <w:rsid w:val="00382A31"/>
    <w:rsid w:val="00382B4B"/>
    <w:rsid w:val="00383564"/>
    <w:rsid w:val="003837DD"/>
    <w:rsid w:val="00383A89"/>
    <w:rsid w:val="00383B5E"/>
    <w:rsid w:val="00383B99"/>
    <w:rsid w:val="00383DD6"/>
    <w:rsid w:val="00383E86"/>
    <w:rsid w:val="00383F06"/>
    <w:rsid w:val="0038420A"/>
    <w:rsid w:val="003849D3"/>
    <w:rsid w:val="00384FC0"/>
    <w:rsid w:val="00385522"/>
    <w:rsid w:val="003855ED"/>
    <w:rsid w:val="003856AB"/>
    <w:rsid w:val="003857D6"/>
    <w:rsid w:val="003858E2"/>
    <w:rsid w:val="00385972"/>
    <w:rsid w:val="00385B77"/>
    <w:rsid w:val="00385DEE"/>
    <w:rsid w:val="00385F6A"/>
    <w:rsid w:val="003861B8"/>
    <w:rsid w:val="00386488"/>
    <w:rsid w:val="0038655A"/>
    <w:rsid w:val="00386B1B"/>
    <w:rsid w:val="00386B80"/>
    <w:rsid w:val="00386C7B"/>
    <w:rsid w:val="00386E15"/>
    <w:rsid w:val="00387321"/>
    <w:rsid w:val="00387441"/>
    <w:rsid w:val="00387621"/>
    <w:rsid w:val="0038783A"/>
    <w:rsid w:val="00387CF2"/>
    <w:rsid w:val="00387DDB"/>
    <w:rsid w:val="00387E65"/>
    <w:rsid w:val="00387EEA"/>
    <w:rsid w:val="00387F29"/>
    <w:rsid w:val="00390355"/>
    <w:rsid w:val="00390360"/>
    <w:rsid w:val="00390381"/>
    <w:rsid w:val="00390434"/>
    <w:rsid w:val="00390533"/>
    <w:rsid w:val="003905E8"/>
    <w:rsid w:val="00390CCE"/>
    <w:rsid w:val="00390EB0"/>
    <w:rsid w:val="00390FF7"/>
    <w:rsid w:val="00391169"/>
    <w:rsid w:val="00391A6B"/>
    <w:rsid w:val="00391AAF"/>
    <w:rsid w:val="00391BCF"/>
    <w:rsid w:val="00391CCC"/>
    <w:rsid w:val="00391D1E"/>
    <w:rsid w:val="00391E65"/>
    <w:rsid w:val="00391EFF"/>
    <w:rsid w:val="003920A0"/>
    <w:rsid w:val="0039252E"/>
    <w:rsid w:val="003926E1"/>
    <w:rsid w:val="00392765"/>
    <w:rsid w:val="00392AD5"/>
    <w:rsid w:val="00392B5D"/>
    <w:rsid w:val="00393055"/>
    <w:rsid w:val="003930F5"/>
    <w:rsid w:val="00393672"/>
    <w:rsid w:val="003941CC"/>
    <w:rsid w:val="003943E8"/>
    <w:rsid w:val="003944BE"/>
    <w:rsid w:val="003945C1"/>
    <w:rsid w:val="00394654"/>
    <w:rsid w:val="0039496B"/>
    <w:rsid w:val="00394B6C"/>
    <w:rsid w:val="00395178"/>
    <w:rsid w:val="00395415"/>
    <w:rsid w:val="003958A7"/>
    <w:rsid w:val="003959AB"/>
    <w:rsid w:val="00395D1C"/>
    <w:rsid w:val="003962BE"/>
    <w:rsid w:val="0039669A"/>
    <w:rsid w:val="003968F7"/>
    <w:rsid w:val="00396D48"/>
    <w:rsid w:val="00397329"/>
    <w:rsid w:val="00397687"/>
    <w:rsid w:val="003977AF"/>
    <w:rsid w:val="003979C8"/>
    <w:rsid w:val="003A02E4"/>
    <w:rsid w:val="003A0311"/>
    <w:rsid w:val="003A06BB"/>
    <w:rsid w:val="003A0A32"/>
    <w:rsid w:val="003A0E9F"/>
    <w:rsid w:val="003A1198"/>
    <w:rsid w:val="003A11AE"/>
    <w:rsid w:val="003A1427"/>
    <w:rsid w:val="003A1521"/>
    <w:rsid w:val="003A15BB"/>
    <w:rsid w:val="003A15E9"/>
    <w:rsid w:val="003A16E7"/>
    <w:rsid w:val="003A1BAB"/>
    <w:rsid w:val="003A1E72"/>
    <w:rsid w:val="003A1F46"/>
    <w:rsid w:val="003A1F48"/>
    <w:rsid w:val="003A2330"/>
    <w:rsid w:val="003A2686"/>
    <w:rsid w:val="003A2827"/>
    <w:rsid w:val="003A29BF"/>
    <w:rsid w:val="003A2C21"/>
    <w:rsid w:val="003A2E64"/>
    <w:rsid w:val="003A2F2E"/>
    <w:rsid w:val="003A2FAE"/>
    <w:rsid w:val="003A3097"/>
    <w:rsid w:val="003A3349"/>
    <w:rsid w:val="003A34D6"/>
    <w:rsid w:val="003A3610"/>
    <w:rsid w:val="003A391B"/>
    <w:rsid w:val="003A3A7E"/>
    <w:rsid w:val="003A3CD6"/>
    <w:rsid w:val="003A4160"/>
    <w:rsid w:val="003A4253"/>
    <w:rsid w:val="003A43A6"/>
    <w:rsid w:val="003A4438"/>
    <w:rsid w:val="003A44AB"/>
    <w:rsid w:val="003A4BDA"/>
    <w:rsid w:val="003A4D04"/>
    <w:rsid w:val="003A4FB0"/>
    <w:rsid w:val="003A509D"/>
    <w:rsid w:val="003A5451"/>
    <w:rsid w:val="003A57E3"/>
    <w:rsid w:val="003A5A3B"/>
    <w:rsid w:val="003A5DF6"/>
    <w:rsid w:val="003A6073"/>
    <w:rsid w:val="003A6249"/>
    <w:rsid w:val="003A65A5"/>
    <w:rsid w:val="003A6A4F"/>
    <w:rsid w:val="003A6C9A"/>
    <w:rsid w:val="003A7066"/>
    <w:rsid w:val="003A707A"/>
    <w:rsid w:val="003A7DFC"/>
    <w:rsid w:val="003B0093"/>
    <w:rsid w:val="003B01D6"/>
    <w:rsid w:val="003B050A"/>
    <w:rsid w:val="003B15B1"/>
    <w:rsid w:val="003B1758"/>
    <w:rsid w:val="003B1A91"/>
    <w:rsid w:val="003B1B1B"/>
    <w:rsid w:val="003B1E77"/>
    <w:rsid w:val="003B2454"/>
    <w:rsid w:val="003B2676"/>
    <w:rsid w:val="003B2A05"/>
    <w:rsid w:val="003B2CA7"/>
    <w:rsid w:val="003B2D67"/>
    <w:rsid w:val="003B2E46"/>
    <w:rsid w:val="003B317F"/>
    <w:rsid w:val="003B3241"/>
    <w:rsid w:val="003B32D4"/>
    <w:rsid w:val="003B3364"/>
    <w:rsid w:val="003B3394"/>
    <w:rsid w:val="003B385E"/>
    <w:rsid w:val="003B417A"/>
    <w:rsid w:val="003B431A"/>
    <w:rsid w:val="003B4530"/>
    <w:rsid w:val="003B4886"/>
    <w:rsid w:val="003B4A13"/>
    <w:rsid w:val="003B5362"/>
    <w:rsid w:val="003B5434"/>
    <w:rsid w:val="003B5505"/>
    <w:rsid w:val="003B58BB"/>
    <w:rsid w:val="003B58C7"/>
    <w:rsid w:val="003B58E2"/>
    <w:rsid w:val="003B5AE0"/>
    <w:rsid w:val="003B6264"/>
    <w:rsid w:val="003B64AF"/>
    <w:rsid w:val="003B663F"/>
    <w:rsid w:val="003B6A26"/>
    <w:rsid w:val="003B6C47"/>
    <w:rsid w:val="003B6CBC"/>
    <w:rsid w:val="003B6E14"/>
    <w:rsid w:val="003B7172"/>
    <w:rsid w:val="003B7A2E"/>
    <w:rsid w:val="003B7AC3"/>
    <w:rsid w:val="003B7E08"/>
    <w:rsid w:val="003B7F11"/>
    <w:rsid w:val="003C02C5"/>
    <w:rsid w:val="003C0595"/>
    <w:rsid w:val="003C089E"/>
    <w:rsid w:val="003C08CF"/>
    <w:rsid w:val="003C0E65"/>
    <w:rsid w:val="003C0EA0"/>
    <w:rsid w:val="003C0F48"/>
    <w:rsid w:val="003C12B6"/>
    <w:rsid w:val="003C12D8"/>
    <w:rsid w:val="003C136C"/>
    <w:rsid w:val="003C140F"/>
    <w:rsid w:val="003C15A5"/>
    <w:rsid w:val="003C165F"/>
    <w:rsid w:val="003C169C"/>
    <w:rsid w:val="003C1850"/>
    <w:rsid w:val="003C1A87"/>
    <w:rsid w:val="003C1BEC"/>
    <w:rsid w:val="003C1F8A"/>
    <w:rsid w:val="003C21D9"/>
    <w:rsid w:val="003C262D"/>
    <w:rsid w:val="003C27C1"/>
    <w:rsid w:val="003C27CD"/>
    <w:rsid w:val="003C2BCA"/>
    <w:rsid w:val="003C2BF0"/>
    <w:rsid w:val="003C2D69"/>
    <w:rsid w:val="003C2F17"/>
    <w:rsid w:val="003C31D9"/>
    <w:rsid w:val="003C3620"/>
    <w:rsid w:val="003C3825"/>
    <w:rsid w:val="003C3A02"/>
    <w:rsid w:val="003C4151"/>
    <w:rsid w:val="003C4215"/>
    <w:rsid w:val="003C4333"/>
    <w:rsid w:val="003C43B2"/>
    <w:rsid w:val="003C4893"/>
    <w:rsid w:val="003C49A7"/>
    <w:rsid w:val="003C4A81"/>
    <w:rsid w:val="003C55D1"/>
    <w:rsid w:val="003C5844"/>
    <w:rsid w:val="003C5AF4"/>
    <w:rsid w:val="003C64F2"/>
    <w:rsid w:val="003C674F"/>
    <w:rsid w:val="003C69CD"/>
    <w:rsid w:val="003C6A75"/>
    <w:rsid w:val="003C6A81"/>
    <w:rsid w:val="003C70A4"/>
    <w:rsid w:val="003C77CD"/>
    <w:rsid w:val="003C7996"/>
    <w:rsid w:val="003C7B60"/>
    <w:rsid w:val="003C7C0E"/>
    <w:rsid w:val="003C7DC1"/>
    <w:rsid w:val="003C7DF3"/>
    <w:rsid w:val="003D01F5"/>
    <w:rsid w:val="003D0223"/>
    <w:rsid w:val="003D0818"/>
    <w:rsid w:val="003D0892"/>
    <w:rsid w:val="003D0F62"/>
    <w:rsid w:val="003D1096"/>
    <w:rsid w:val="003D1299"/>
    <w:rsid w:val="003D144C"/>
    <w:rsid w:val="003D1479"/>
    <w:rsid w:val="003D17BC"/>
    <w:rsid w:val="003D1EA8"/>
    <w:rsid w:val="003D1F74"/>
    <w:rsid w:val="003D2083"/>
    <w:rsid w:val="003D2354"/>
    <w:rsid w:val="003D2459"/>
    <w:rsid w:val="003D249B"/>
    <w:rsid w:val="003D2704"/>
    <w:rsid w:val="003D2819"/>
    <w:rsid w:val="003D2931"/>
    <w:rsid w:val="003D2D9F"/>
    <w:rsid w:val="003D331E"/>
    <w:rsid w:val="003D372C"/>
    <w:rsid w:val="003D377B"/>
    <w:rsid w:val="003D3A53"/>
    <w:rsid w:val="003D3C90"/>
    <w:rsid w:val="003D40B7"/>
    <w:rsid w:val="003D40C9"/>
    <w:rsid w:val="003D412A"/>
    <w:rsid w:val="003D42CB"/>
    <w:rsid w:val="003D4735"/>
    <w:rsid w:val="003D478F"/>
    <w:rsid w:val="003D5017"/>
    <w:rsid w:val="003D522A"/>
    <w:rsid w:val="003D5476"/>
    <w:rsid w:val="003D54E5"/>
    <w:rsid w:val="003D5526"/>
    <w:rsid w:val="003D5577"/>
    <w:rsid w:val="003D5975"/>
    <w:rsid w:val="003D5A12"/>
    <w:rsid w:val="003D5CAE"/>
    <w:rsid w:val="003D6109"/>
    <w:rsid w:val="003D617A"/>
    <w:rsid w:val="003D633F"/>
    <w:rsid w:val="003D639B"/>
    <w:rsid w:val="003D63A6"/>
    <w:rsid w:val="003D65CC"/>
    <w:rsid w:val="003D680F"/>
    <w:rsid w:val="003D683D"/>
    <w:rsid w:val="003D69F2"/>
    <w:rsid w:val="003D6E38"/>
    <w:rsid w:val="003D6F1F"/>
    <w:rsid w:val="003D7028"/>
    <w:rsid w:val="003D7375"/>
    <w:rsid w:val="003D74E6"/>
    <w:rsid w:val="003D78DD"/>
    <w:rsid w:val="003D795B"/>
    <w:rsid w:val="003D7AE8"/>
    <w:rsid w:val="003D7BF8"/>
    <w:rsid w:val="003D7DC1"/>
    <w:rsid w:val="003E016C"/>
    <w:rsid w:val="003E0482"/>
    <w:rsid w:val="003E05AA"/>
    <w:rsid w:val="003E071D"/>
    <w:rsid w:val="003E0968"/>
    <w:rsid w:val="003E0D80"/>
    <w:rsid w:val="003E11AE"/>
    <w:rsid w:val="003E14AC"/>
    <w:rsid w:val="003E1841"/>
    <w:rsid w:val="003E1CA5"/>
    <w:rsid w:val="003E215E"/>
    <w:rsid w:val="003E2986"/>
    <w:rsid w:val="003E2AEA"/>
    <w:rsid w:val="003E2AF9"/>
    <w:rsid w:val="003E2B53"/>
    <w:rsid w:val="003E2C8D"/>
    <w:rsid w:val="003E3AF2"/>
    <w:rsid w:val="003E3CFF"/>
    <w:rsid w:val="003E3D00"/>
    <w:rsid w:val="003E3DEF"/>
    <w:rsid w:val="003E40A5"/>
    <w:rsid w:val="003E4242"/>
    <w:rsid w:val="003E440E"/>
    <w:rsid w:val="003E4499"/>
    <w:rsid w:val="003E4989"/>
    <w:rsid w:val="003E4CEA"/>
    <w:rsid w:val="003E4DCA"/>
    <w:rsid w:val="003E4F64"/>
    <w:rsid w:val="003E5031"/>
    <w:rsid w:val="003E52CF"/>
    <w:rsid w:val="003E5C02"/>
    <w:rsid w:val="003E6013"/>
    <w:rsid w:val="003E6354"/>
    <w:rsid w:val="003E6720"/>
    <w:rsid w:val="003E674C"/>
    <w:rsid w:val="003E6841"/>
    <w:rsid w:val="003E6A9F"/>
    <w:rsid w:val="003E6CE6"/>
    <w:rsid w:val="003E6ECD"/>
    <w:rsid w:val="003E71F9"/>
    <w:rsid w:val="003E74B8"/>
    <w:rsid w:val="003E7CC4"/>
    <w:rsid w:val="003F0596"/>
    <w:rsid w:val="003F05A9"/>
    <w:rsid w:val="003F09F5"/>
    <w:rsid w:val="003F116A"/>
    <w:rsid w:val="003F11FA"/>
    <w:rsid w:val="003F135A"/>
    <w:rsid w:val="003F16D4"/>
    <w:rsid w:val="003F1D24"/>
    <w:rsid w:val="003F1F9B"/>
    <w:rsid w:val="003F2ABD"/>
    <w:rsid w:val="003F2C39"/>
    <w:rsid w:val="003F2D0A"/>
    <w:rsid w:val="003F3785"/>
    <w:rsid w:val="003F38B7"/>
    <w:rsid w:val="003F3926"/>
    <w:rsid w:val="003F39E0"/>
    <w:rsid w:val="003F3D03"/>
    <w:rsid w:val="003F3D63"/>
    <w:rsid w:val="003F3EA6"/>
    <w:rsid w:val="003F42D1"/>
    <w:rsid w:val="003F4415"/>
    <w:rsid w:val="003F4621"/>
    <w:rsid w:val="003F48AB"/>
    <w:rsid w:val="003F4969"/>
    <w:rsid w:val="003F52A1"/>
    <w:rsid w:val="003F52E5"/>
    <w:rsid w:val="003F55A7"/>
    <w:rsid w:val="003F56A4"/>
    <w:rsid w:val="003F574B"/>
    <w:rsid w:val="003F5B17"/>
    <w:rsid w:val="003F5C30"/>
    <w:rsid w:val="003F5D93"/>
    <w:rsid w:val="003F6382"/>
    <w:rsid w:val="003F66CD"/>
    <w:rsid w:val="003F67F1"/>
    <w:rsid w:val="003F6F54"/>
    <w:rsid w:val="003F7035"/>
    <w:rsid w:val="003F70EF"/>
    <w:rsid w:val="003F7330"/>
    <w:rsid w:val="003F73CB"/>
    <w:rsid w:val="003F7451"/>
    <w:rsid w:val="003F7681"/>
    <w:rsid w:val="003F772D"/>
    <w:rsid w:val="003F77EE"/>
    <w:rsid w:val="003F7A73"/>
    <w:rsid w:val="003F7B77"/>
    <w:rsid w:val="003F7C6C"/>
    <w:rsid w:val="003F7DED"/>
    <w:rsid w:val="003F7F14"/>
    <w:rsid w:val="004000B6"/>
    <w:rsid w:val="00400125"/>
    <w:rsid w:val="004002CF"/>
    <w:rsid w:val="004005E9"/>
    <w:rsid w:val="004008C1"/>
    <w:rsid w:val="00400A54"/>
    <w:rsid w:val="00400B6F"/>
    <w:rsid w:val="00400C4C"/>
    <w:rsid w:val="00400D67"/>
    <w:rsid w:val="00400D71"/>
    <w:rsid w:val="00400F76"/>
    <w:rsid w:val="004011A9"/>
    <w:rsid w:val="0040149D"/>
    <w:rsid w:val="0040173F"/>
    <w:rsid w:val="0040188C"/>
    <w:rsid w:val="004018DE"/>
    <w:rsid w:val="00401E59"/>
    <w:rsid w:val="004022DC"/>
    <w:rsid w:val="004023E0"/>
    <w:rsid w:val="004026F2"/>
    <w:rsid w:val="0040295E"/>
    <w:rsid w:val="00402AAD"/>
    <w:rsid w:val="00402EEA"/>
    <w:rsid w:val="00402F2F"/>
    <w:rsid w:val="00403134"/>
    <w:rsid w:val="00403341"/>
    <w:rsid w:val="0040356D"/>
    <w:rsid w:val="00403DAB"/>
    <w:rsid w:val="00403EFF"/>
    <w:rsid w:val="00403F63"/>
    <w:rsid w:val="00404210"/>
    <w:rsid w:val="00404319"/>
    <w:rsid w:val="004043C9"/>
    <w:rsid w:val="00404D82"/>
    <w:rsid w:val="00404E42"/>
    <w:rsid w:val="00404F2C"/>
    <w:rsid w:val="004050B3"/>
    <w:rsid w:val="0040523F"/>
    <w:rsid w:val="00405817"/>
    <w:rsid w:val="00405C3A"/>
    <w:rsid w:val="00405D5C"/>
    <w:rsid w:val="00405D96"/>
    <w:rsid w:val="00405E55"/>
    <w:rsid w:val="00405EA1"/>
    <w:rsid w:val="00405F71"/>
    <w:rsid w:val="0040603B"/>
    <w:rsid w:val="00406063"/>
    <w:rsid w:val="004060E7"/>
    <w:rsid w:val="0040620D"/>
    <w:rsid w:val="00406218"/>
    <w:rsid w:val="0040655C"/>
    <w:rsid w:val="00406A44"/>
    <w:rsid w:val="00407577"/>
    <w:rsid w:val="00407651"/>
    <w:rsid w:val="004078EE"/>
    <w:rsid w:val="00407A3E"/>
    <w:rsid w:val="00407B39"/>
    <w:rsid w:val="00407BCA"/>
    <w:rsid w:val="00410243"/>
    <w:rsid w:val="004105DA"/>
    <w:rsid w:val="00410781"/>
    <w:rsid w:val="00410E38"/>
    <w:rsid w:val="00411041"/>
    <w:rsid w:val="00411341"/>
    <w:rsid w:val="00411619"/>
    <w:rsid w:val="00411903"/>
    <w:rsid w:val="0041195F"/>
    <w:rsid w:val="00411C3C"/>
    <w:rsid w:val="00411CC1"/>
    <w:rsid w:val="00411EB7"/>
    <w:rsid w:val="004124EB"/>
    <w:rsid w:val="00412808"/>
    <w:rsid w:val="00412AA2"/>
    <w:rsid w:val="00412DF2"/>
    <w:rsid w:val="00412EE1"/>
    <w:rsid w:val="00413371"/>
    <w:rsid w:val="0041373D"/>
    <w:rsid w:val="004137D1"/>
    <w:rsid w:val="00413A1E"/>
    <w:rsid w:val="00413AD5"/>
    <w:rsid w:val="00413BF5"/>
    <w:rsid w:val="00413E6D"/>
    <w:rsid w:val="00414242"/>
    <w:rsid w:val="0041436D"/>
    <w:rsid w:val="004143CC"/>
    <w:rsid w:val="00414BAF"/>
    <w:rsid w:val="00414C46"/>
    <w:rsid w:val="004150E9"/>
    <w:rsid w:val="00415200"/>
    <w:rsid w:val="004152FB"/>
    <w:rsid w:val="004154AB"/>
    <w:rsid w:val="0041603D"/>
    <w:rsid w:val="004163CF"/>
    <w:rsid w:val="00416710"/>
    <w:rsid w:val="00416BCF"/>
    <w:rsid w:val="00417236"/>
    <w:rsid w:val="00417668"/>
    <w:rsid w:val="0041784E"/>
    <w:rsid w:val="00417AEE"/>
    <w:rsid w:val="0042064E"/>
    <w:rsid w:val="00420655"/>
    <w:rsid w:val="00420A21"/>
    <w:rsid w:val="00420BAA"/>
    <w:rsid w:val="004210F1"/>
    <w:rsid w:val="00421164"/>
    <w:rsid w:val="0042183D"/>
    <w:rsid w:val="00421876"/>
    <w:rsid w:val="00421889"/>
    <w:rsid w:val="004218AC"/>
    <w:rsid w:val="004218C8"/>
    <w:rsid w:val="00421A30"/>
    <w:rsid w:val="00421A99"/>
    <w:rsid w:val="00421FC8"/>
    <w:rsid w:val="00422246"/>
    <w:rsid w:val="004222A8"/>
    <w:rsid w:val="0042243F"/>
    <w:rsid w:val="004224E6"/>
    <w:rsid w:val="00422564"/>
    <w:rsid w:val="004225BF"/>
    <w:rsid w:val="0042260C"/>
    <w:rsid w:val="004226C9"/>
    <w:rsid w:val="00422885"/>
    <w:rsid w:val="0042288A"/>
    <w:rsid w:val="00422938"/>
    <w:rsid w:val="00422A0B"/>
    <w:rsid w:val="00422D12"/>
    <w:rsid w:val="00422E66"/>
    <w:rsid w:val="00423164"/>
    <w:rsid w:val="0042329F"/>
    <w:rsid w:val="004232B7"/>
    <w:rsid w:val="004232F3"/>
    <w:rsid w:val="004235A4"/>
    <w:rsid w:val="00423813"/>
    <w:rsid w:val="00423A87"/>
    <w:rsid w:val="00423B33"/>
    <w:rsid w:val="00423BD5"/>
    <w:rsid w:val="004240D6"/>
    <w:rsid w:val="004245D3"/>
    <w:rsid w:val="0042468F"/>
    <w:rsid w:val="00424AEA"/>
    <w:rsid w:val="004252DD"/>
    <w:rsid w:val="004254FD"/>
    <w:rsid w:val="0042557D"/>
    <w:rsid w:val="00425EA0"/>
    <w:rsid w:val="0042607F"/>
    <w:rsid w:val="00426B7D"/>
    <w:rsid w:val="00426C8C"/>
    <w:rsid w:val="00426D67"/>
    <w:rsid w:val="00426E0E"/>
    <w:rsid w:val="004272F1"/>
    <w:rsid w:val="0042755D"/>
    <w:rsid w:val="004278C9"/>
    <w:rsid w:val="00427C61"/>
    <w:rsid w:val="00427C69"/>
    <w:rsid w:val="00427D0F"/>
    <w:rsid w:val="00427FC8"/>
    <w:rsid w:val="00430670"/>
    <w:rsid w:val="004311FA"/>
    <w:rsid w:val="00431439"/>
    <w:rsid w:val="00431E84"/>
    <w:rsid w:val="00431ECD"/>
    <w:rsid w:val="00431FF8"/>
    <w:rsid w:val="004322CC"/>
    <w:rsid w:val="004323A2"/>
    <w:rsid w:val="004325AD"/>
    <w:rsid w:val="00432631"/>
    <w:rsid w:val="00432821"/>
    <w:rsid w:val="00432931"/>
    <w:rsid w:val="00432EE2"/>
    <w:rsid w:val="00433185"/>
    <w:rsid w:val="004334CF"/>
    <w:rsid w:val="00433517"/>
    <w:rsid w:val="004338FF"/>
    <w:rsid w:val="004339FD"/>
    <w:rsid w:val="00433AE8"/>
    <w:rsid w:val="00433F08"/>
    <w:rsid w:val="00433F56"/>
    <w:rsid w:val="00434038"/>
    <w:rsid w:val="00434092"/>
    <w:rsid w:val="0043466C"/>
    <w:rsid w:val="00434695"/>
    <w:rsid w:val="00434D88"/>
    <w:rsid w:val="004351EC"/>
    <w:rsid w:val="00435290"/>
    <w:rsid w:val="004357F3"/>
    <w:rsid w:val="00435CFD"/>
    <w:rsid w:val="00436333"/>
    <w:rsid w:val="0043642E"/>
    <w:rsid w:val="004366B4"/>
    <w:rsid w:val="0043688C"/>
    <w:rsid w:val="004368B3"/>
    <w:rsid w:val="0043691E"/>
    <w:rsid w:val="00436A02"/>
    <w:rsid w:val="00436DC7"/>
    <w:rsid w:val="0043709F"/>
    <w:rsid w:val="004374EC"/>
    <w:rsid w:val="004377ED"/>
    <w:rsid w:val="00437A75"/>
    <w:rsid w:val="00437C96"/>
    <w:rsid w:val="00437F4E"/>
    <w:rsid w:val="004400FE"/>
    <w:rsid w:val="00440193"/>
    <w:rsid w:val="00440237"/>
    <w:rsid w:val="004403C1"/>
    <w:rsid w:val="00441241"/>
    <w:rsid w:val="004415EA"/>
    <w:rsid w:val="00441664"/>
    <w:rsid w:val="00441B39"/>
    <w:rsid w:val="00441CB6"/>
    <w:rsid w:val="00441DF6"/>
    <w:rsid w:val="0044203E"/>
    <w:rsid w:val="00442301"/>
    <w:rsid w:val="004424D0"/>
    <w:rsid w:val="00442714"/>
    <w:rsid w:val="00442A3D"/>
    <w:rsid w:val="00442ACD"/>
    <w:rsid w:val="004430C9"/>
    <w:rsid w:val="0044345A"/>
    <w:rsid w:val="00443879"/>
    <w:rsid w:val="00444225"/>
    <w:rsid w:val="00444318"/>
    <w:rsid w:val="00444545"/>
    <w:rsid w:val="004446C5"/>
    <w:rsid w:val="00444B77"/>
    <w:rsid w:val="00445067"/>
    <w:rsid w:val="0044518A"/>
    <w:rsid w:val="004454B4"/>
    <w:rsid w:val="00445623"/>
    <w:rsid w:val="00445E39"/>
    <w:rsid w:val="00445E54"/>
    <w:rsid w:val="0044621B"/>
    <w:rsid w:val="004462A8"/>
    <w:rsid w:val="0044671B"/>
    <w:rsid w:val="004467DD"/>
    <w:rsid w:val="0044689C"/>
    <w:rsid w:val="00446CB8"/>
    <w:rsid w:val="00446EAB"/>
    <w:rsid w:val="004470D5"/>
    <w:rsid w:val="00447510"/>
    <w:rsid w:val="00447BD5"/>
    <w:rsid w:val="00447D9E"/>
    <w:rsid w:val="00450811"/>
    <w:rsid w:val="0045089F"/>
    <w:rsid w:val="00450A73"/>
    <w:rsid w:val="00450AF8"/>
    <w:rsid w:val="00450B72"/>
    <w:rsid w:val="0045102B"/>
    <w:rsid w:val="004519C7"/>
    <w:rsid w:val="00451F55"/>
    <w:rsid w:val="00452075"/>
    <w:rsid w:val="00452542"/>
    <w:rsid w:val="004526DF"/>
    <w:rsid w:val="004526EF"/>
    <w:rsid w:val="00452E42"/>
    <w:rsid w:val="00452E62"/>
    <w:rsid w:val="00452ED3"/>
    <w:rsid w:val="00452F09"/>
    <w:rsid w:val="00453595"/>
    <w:rsid w:val="004535A2"/>
    <w:rsid w:val="004536D9"/>
    <w:rsid w:val="00453923"/>
    <w:rsid w:val="00453B8F"/>
    <w:rsid w:val="00453BA4"/>
    <w:rsid w:val="00453EC4"/>
    <w:rsid w:val="00454223"/>
    <w:rsid w:val="00454299"/>
    <w:rsid w:val="0045435A"/>
    <w:rsid w:val="00454392"/>
    <w:rsid w:val="00454438"/>
    <w:rsid w:val="00454490"/>
    <w:rsid w:val="00454778"/>
    <w:rsid w:val="00454EB3"/>
    <w:rsid w:val="00454EFC"/>
    <w:rsid w:val="00455002"/>
    <w:rsid w:val="00455511"/>
    <w:rsid w:val="00455A0D"/>
    <w:rsid w:val="00455D94"/>
    <w:rsid w:val="00456271"/>
    <w:rsid w:val="00456347"/>
    <w:rsid w:val="004565CF"/>
    <w:rsid w:val="00456A8E"/>
    <w:rsid w:val="0045708C"/>
    <w:rsid w:val="0045721A"/>
    <w:rsid w:val="00457B20"/>
    <w:rsid w:val="0046012A"/>
    <w:rsid w:val="0046014E"/>
    <w:rsid w:val="00460178"/>
    <w:rsid w:val="004605BE"/>
    <w:rsid w:val="00460713"/>
    <w:rsid w:val="0046086E"/>
    <w:rsid w:val="00460CF8"/>
    <w:rsid w:val="00460E6C"/>
    <w:rsid w:val="00460FCA"/>
    <w:rsid w:val="00460FE4"/>
    <w:rsid w:val="00461051"/>
    <w:rsid w:val="004610C4"/>
    <w:rsid w:val="00461306"/>
    <w:rsid w:val="00461F82"/>
    <w:rsid w:val="0046241B"/>
    <w:rsid w:val="004625D5"/>
    <w:rsid w:val="0046281B"/>
    <w:rsid w:val="00462A89"/>
    <w:rsid w:val="00462B53"/>
    <w:rsid w:val="00462D72"/>
    <w:rsid w:val="00463152"/>
    <w:rsid w:val="00463373"/>
    <w:rsid w:val="00463CF3"/>
    <w:rsid w:val="00463E77"/>
    <w:rsid w:val="00464351"/>
    <w:rsid w:val="00464706"/>
    <w:rsid w:val="00464990"/>
    <w:rsid w:val="00464B80"/>
    <w:rsid w:val="00464C2B"/>
    <w:rsid w:val="004654D5"/>
    <w:rsid w:val="0046552A"/>
    <w:rsid w:val="0046567A"/>
    <w:rsid w:val="00465927"/>
    <w:rsid w:val="004659A8"/>
    <w:rsid w:val="00465B66"/>
    <w:rsid w:val="00465C4E"/>
    <w:rsid w:val="00465D7F"/>
    <w:rsid w:val="00466245"/>
    <w:rsid w:val="004668D8"/>
    <w:rsid w:val="00466A80"/>
    <w:rsid w:val="00466D53"/>
    <w:rsid w:val="00466F5B"/>
    <w:rsid w:val="00467108"/>
    <w:rsid w:val="00467DBC"/>
    <w:rsid w:val="00467E84"/>
    <w:rsid w:val="004700EF"/>
    <w:rsid w:val="004702A1"/>
    <w:rsid w:val="0047078F"/>
    <w:rsid w:val="004707A1"/>
    <w:rsid w:val="00470DA4"/>
    <w:rsid w:val="00470EBE"/>
    <w:rsid w:val="004710DA"/>
    <w:rsid w:val="00471133"/>
    <w:rsid w:val="00471222"/>
    <w:rsid w:val="0047137B"/>
    <w:rsid w:val="00471956"/>
    <w:rsid w:val="00471C46"/>
    <w:rsid w:val="00472264"/>
    <w:rsid w:val="004724E5"/>
    <w:rsid w:val="0047283D"/>
    <w:rsid w:val="00472CDA"/>
    <w:rsid w:val="00473024"/>
    <w:rsid w:val="00473506"/>
    <w:rsid w:val="00473613"/>
    <w:rsid w:val="00473738"/>
    <w:rsid w:val="004737C6"/>
    <w:rsid w:val="00473B95"/>
    <w:rsid w:val="00473C5A"/>
    <w:rsid w:val="004742FD"/>
    <w:rsid w:val="00474AC8"/>
    <w:rsid w:val="00474FB0"/>
    <w:rsid w:val="00475076"/>
    <w:rsid w:val="0047561A"/>
    <w:rsid w:val="004758EF"/>
    <w:rsid w:val="00475CB7"/>
    <w:rsid w:val="00475E36"/>
    <w:rsid w:val="00475F41"/>
    <w:rsid w:val="004762FB"/>
    <w:rsid w:val="004763A1"/>
    <w:rsid w:val="00476605"/>
    <w:rsid w:val="00476867"/>
    <w:rsid w:val="00476B87"/>
    <w:rsid w:val="00476E91"/>
    <w:rsid w:val="00477100"/>
    <w:rsid w:val="00477300"/>
    <w:rsid w:val="004778A8"/>
    <w:rsid w:val="0047792E"/>
    <w:rsid w:val="0047796D"/>
    <w:rsid w:val="00477974"/>
    <w:rsid w:val="004802DF"/>
    <w:rsid w:val="0048070B"/>
    <w:rsid w:val="004807E0"/>
    <w:rsid w:val="004809C7"/>
    <w:rsid w:val="00480BBE"/>
    <w:rsid w:val="00480E51"/>
    <w:rsid w:val="00481059"/>
    <w:rsid w:val="004811BD"/>
    <w:rsid w:val="004816C1"/>
    <w:rsid w:val="004817F1"/>
    <w:rsid w:val="00481809"/>
    <w:rsid w:val="0048195F"/>
    <w:rsid w:val="00481A68"/>
    <w:rsid w:val="00481DD2"/>
    <w:rsid w:val="00482037"/>
    <w:rsid w:val="004823B5"/>
    <w:rsid w:val="0048248E"/>
    <w:rsid w:val="004827F4"/>
    <w:rsid w:val="00482992"/>
    <w:rsid w:val="00482D22"/>
    <w:rsid w:val="00482F24"/>
    <w:rsid w:val="00482FA2"/>
    <w:rsid w:val="00483319"/>
    <w:rsid w:val="00483590"/>
    <w:rsid w:val="0048366E"/>
    <w:rsid w:val="00483694"/>
    <w:rsid w:val="00483FFB"/>
    <w:rsid w:val="0048409C"/>
    <w:rsid w:val="0048435C"/>
    <w:rsid w:val="00484468"/>
    <w:rsid w:val="00484581"/>
    <w:rsid w:val="004845DB"/>
    <w:rsid w:val="0048468F"/>
    <w:rsid w:val="0048476A"/>
    <w:rsid w:val="004849F3"/>
    <w:rsid w:val="00484A98"/>
    <w:rsid w:val="00484D5A"/>
    <w:rsid w:val="00485036"/>
    <w:rsid w:val="00485163"/>
    <w:rsid w:val="0048591F"/>
    <w:rsid w:val="00485C98"/>
    <w:rsid w:val="00485C9B"/>
    <w:rsid w:val="00485CE9"/>
    <w:rsid w:val="00485D0E"/>
    <w:rsid w:val="00485EA1"/>
    <w:rsid w:val="00485FF5"/>
    <w:rsid w:val="004861DA"/>
    <w:rsid w:val="0048666D"/>
    <w:rsid w:val="004866E0"/>
    <w:rsid w:val="00486961"/>
    <w:rsid w:val="0048743E"/>
    <w:rsid w:val="004874DC"/>
    <w:rsid w:val="004875E3"/>
    <w:rsid w:val="004879D0"/>
    <w:rsid w:val="00487A87"/>
    <w:rsid w:val="00487BB7"/>
    <w:rsid w:val="00487C8C"/>
    <w:rsid w:val="00487CC0"/>
    <w:rsid w:val="00490556"/>
    <w:rsid w:val="00490849"/>
    <w:rsid w:val="004908DE"/>
    <w:rsid w:val="00490B09"/>
    <w:rsid w:val="00490C22"/>
    <w:rsid w:val="00490E2B"/>
    <w:rsid w:val="00490F3F"/>
    <w:rsid w:val="00490FDA"/>
    <w:rsid w:val="0049135E"/>
    <w:rsid w:val="00491613"/>
    <w:rsid w:val="00491AA4"/>
    <w:rsid w:val="00491BD6"/>
    <w:rsid w:val="00491EFE"/>
    <w:rsid w:val="00492139"/>
    <w:rsid w:val="00492778"/>
    <w:rsid w:val="004928C2"/>
    <w:rsid w:val="0049291A"/>
    <w:rsid w:val="00492922"/>
    <w:rsid w:val="00492CE2"/>
    <w:rsid w:val="004936BA"/>
    <w:rsid w:val="00493902"/>
    <w:rsid w:val="00493B66"/>
    <w:rsid w:val="00493C25"/>
    <w:rsid w:val="00493DEF"/>
    <w:rsid w:val="0049419D"/>
    <w:rsid w:val="004942A7"/>
    <w:rsid w:val="004943AF"/>
    <w:rsid w:val="00494BEC"/>
    <w:rsid w:val="00494D00"/>
    <w:rsid w:val="00494DC9"/>
    <w:rsid w:val="00494E94"/>
    <w:rsid w:val="00495683"/>
    <w:rsid w:val="004956D9"/>
    <w:rsid w:val="0049574F"/>
    <w:rsid w:val="00495B0D"/>
    <w:rsid w:val="00495E44"/>
    <w:rsid w:val="0049672D"/>
    <w:rsid w:val="004969CF"/>
    <w:rsid w:val="00496A34"/>
    <w:rsid w:val="00496D81"/>
    <w:rsid w:val="00496E5B"/>
    <w:rsid w:val="00496F9D"/>
    <w:rsid w:val="0049700D"/>
    <w:rsid w:val="004971DA"/>
    <w:rsid w:val="00497361"/>
    <w:rsid w:val="00497634"/>
    <w:rsid w:val="00497997"/>
    <w:rsid w:val="00497DE2"/>
    <w:rsid w:val="004A030A"/>
    <w:rsid w:val="004A086B"/>
    <w:rsid w:val="004A0A18"/>
    <w:rsid w:val="004A0A6B"/>
    <w:rsid w:val="004A0B46"/>
    <w:rsid w:val="004A0C09"/>
    <w:rsid w:val="004A0CA2"/>
    <w:rsid w:val="004A113B"/>
    <w:rsid w:val="004A12D7"/>
    <w:rsid w:val="004A134B"/>
    <w:rsid w:val="004A14FD"/>
    <w:rsid w:val="004A1912"/>
    <w:rsid w:val="004A1976"/>
    <w:rsid w:val="004A209A"/>
    <w:rsid w:val="004A2352"/>
    <w:rsid w:val="004A2420"/>
    <w:rsid w:val="004A24BB"/>
    <w:rsid w:val="004A2647"/>
    <w:rsid w:val="004A265A"/>
    <w:rsid w:val="004A26E1"/>
    <w:rsid w:val="004A281C"/>
    <w:rsid w:val="004A2D47"/>
    <w:rsid w:val="004A3406"/>
    <w:rsid w:val="004A38BB"/>
    <w:rsid w:val="004A3B56"/>
    <w:rsid w:val="004A3B97"/>
    <w:rsid w:val="004A3EBC"/>
    <w:rsid w:val="004A42C6"/>
    <w:rsid w:val="004A440D"/>
    <w:rsid w:val="004A4D3C"/>
    <w:rsid w:val="004A4F45"/>
    <w:rsid w:val="004A5292"/>
    <w:rsid w:val="004A576A"/>
    <w:rsid w:val="004A57F1"/>
    <w:rsid w:val="004A61E7"/>
    <w:rsid w:val="004A6340"/>
    <w:rsid w:val="004A655D"/>
    <w:rsid w:val="004A65E1"/>
    <w:rsid w:val="004A668A"/>
    <w:rsid w:val="004A69B9"/>
    <w:rsid w:val="004A6A5B"/>
    <w:rsid w:val="004A6B57"/>
    <w:rsid w:val="004A6FB6"/>
    <w:rsid w:val="004A77C7"/>
    <w:rsid w:val="004A7910"/>
    <w:rsid w:val="004A7D79"/>
    <w:rsid w:val="004A7E68"/>
    <w:rsid w:val="004A7F17"/>
    <w:rsid w:val="004A7FED"/>
    <w:rsid w:val="004B03FC"/>
    <w:rsid w:val="004B0425"/>
    <w:rsid w:val="004B04F7"/>
    <w:rsid w:val="004B0763"/>
    <w:rsid w:val="004B0CCA"/>
    <w:rsid w:val="004B0D50"/>
    <w:rsid w:val="004B147C"/>
    <w:rsid w:val="004B155E"/>
    <w:rsid w:val="004B1B72"/>
    <w:rsid w:val="004B1C32"/>
    <w:rsid w:val="004B2003"/>
    <w:rsid w:val="004B2067"/>
    <w:rsid w:val="004B21E1"/>
    <w:rsid w:val="004B2250"/>
    <w:rsid w:val="004B26BA"/>
    <w:rsid w:val="004B2C85"/>
    <w:rsid w:val="004B2CB0"/>
    <w:rsid w:val="004B3387"/>
    <w:rsid w:val="004B3E67"/>
    <w:rsid w:val="004B4533"/>
    <w:rsid w:val="004B47C7"/>
    <w:rsid w:val="004B4999"/>
    <w:rsid w:val="004B4FB0"/>
    <w:rsid w:val="004B514B"/>
    <w:rsid w:val="004B5177"/>
    <w:rsid w:val="004B5215"/>
    <w:rsid w:val="004B55FD"/>
    <w:rsid w:val="004B5765"/>
    <w:rsid w:val="004B5CCE"/>
    <w:rsid w:val="004B5F8E"/>
    <w:rsid w:val="004B63FC"/>
    <w:rsid w:val="004B67C3"/>
    <w:rsid w:val="004B6B88"/>
    <w:rsid w:val="004B6FEC"/>
    <w:rsid w:val="004B7052"/>
    <w:rsid w:val="004B72E4"/>
    <w:rsid w:val="004B771D"/>
    <w:rsid w:val="004B788D"/>
    <w:rsid w:val="004C0082"/>
    <w:rsid w:val="004C0414"/>
    <w:rsid w:val="004C05DA"/>
    <w:rsid w:val="004C0675"/>
    <w:rsid w:val="004C06BA"/>
    <w:rsid w:val="004C0A9C"/>
    <w:rsid w:val="004C0BE9"/>
    <w:rsid w:val="004C0BFE"/>
    <w:rsid w:val="004C0C11"/>
    <w:rsid w:val="004C10FE"/>
    <w:rsid w:val="004C14BC"/>
    <w:rsid w:val="004C1533"/>
    <w:rsid w:val="004C16DF"/>
    <w:rsid w:val="004C1C33"/>
    <w:rsid w:val="004C1C6A"/>
    <w:rsid w:val="004C1CC4"/>
    <w:rsid w:val="004C1D1D"/>
    <w:rsid w:val="004C20EF"/>
    <w:rsid w:val="004C25E9"/>
    <w:rsid w:val="004C2691"/>
    <w:rsid w:val="004C2814"/>
    <w:rsid w:val="004C285A"/>
    <w:rsid w:val="004C298A"/>
    <w:rsid w:val="004C2D1D"/>
    <w:rsid w:val="004C2E5E"/>
    <w:rsid w:val="004C30A8"/>
    <w:rsid w:val="004C3448"/>
    <w:rsid w:val="004C37A2"/>
    <w:rsid w:val="004C3A89"/>
    <w:rsid w:val="004C3C86"/>
    <w:rsid w:val="004C3F7A"/>
    <w:rsid w:val="004C413F"/>
    <w:rsid w:val="004C42C5"/>
    <w:rsid w:val="004C4501"/>
    <w:rsid w:val="004C46A3"/>
    <w:rsid w:val="004C46BB"/>
    <w:rsid w:val="004C4817"/>
    <w:rsid w:val="004C48C5"/>
    <w:rsid w:val="004C4AA5"/>
    <w:rsid w:val="004C5277"/>
    <w:rsid w:val="004C52DD"/>
    <w:rsid w:val="004C539F"/>
    <w:rsid w:val="004C5667"/>
    <w:rsid w:val="004C59B4"/>
    <w:rsid w:val="004C5ACF"/>
    <w:rsid w:val="004C5DE7"/>
    <w:rsid w:val="004C5E08"/>
    <w:rsid w:val="004C600A"/>
    <w:rsid w:val="004C628C"/>
    <w:rsid w:val="004C65FF"/>
    <w:rsid w:val="004C664B"/>
    <w:rsid w:val="004C667A"/>
    <w:rsid w:val="004C67D2"/>
    <w:rsid w:val="004C6805"/>
    <w:rsid w:val="004C6A0E"/>
    <w:rsid w:val="004C6AFA"/>
    <w:rsid w:val="004C6F85"/>
    <w:rsid w:val="004C6FDE"/>
    <w:rsid w:val="004C7185"/>
    <w:rsid w:val="004C72CF"/>
    <w:rsid w:val="004C73E2"/>
    <w:rsid w:val="004C7D50"/>
    <w:rsid w:val="004C7DA5"/>
    <w:rsid w:val="004C7FA7"/>
    <w:rsid w:val="004D0295"/>
    <w:rsid w:val="004D02F3"/>
    <w:rsid w:val="004D0491"/>
    <w:rsid w:val="004D04C6"/>
    <w:rsid w:val="004D0547"/>
    <w:rsid w:val="004D085A"/>
    <w:rsid w:val="004D08F4"/>
    <w:rsid w:val="004D09D3"/>
    <w:rsid w:val="004D0C28"/>
    <w:rsid w:val="004D0CDC"/>
    <w:rsid w:val="004D10DD"/>
    <w:rsid w:val="004D131F"/>
    <w:rsid w:val="004D14B7"/>
    <w:rsid w:val="004D1512"/>
    <w:rsid w:val="004D17C9"/>
    <w:rsid w:val="004D1A16"/>
    <w:rsid w:val="004D1C60"/>
    <w:rsid w:val="004D1D36"/>
    <w:rsid w:val="004D1E85"/>
    <w:rsid w:val="004D1E8F"/>
    <w:rsid w:val="004D2111"/>
    <w:rsid w:val="004D2153"/>
    <w:rsid w:val="004D221D"/>
    <w:rsid w:val="004D29EC"/>
    <w:rsid w:val="004D2BC9"/>
    <w:rsid w:val="004D3100"/>
    <w:rsid w:val="004D342B"/>
    <w:rsid w:val="004D3787"/>
    <w:rsid w:val="004D3799"/>
    <w:rsid w:val="004D384A"/>
    <w:rsid w:val="004D3909"/>
    <w:rsid w:val="004D3963"/>
    <w:rsid w:val="004D39A9"/>
    <w:rsid w:val="004D3A2D"/>
    <w:rsid w:val="004D3C1B"/>
    <w:rsid w:val="004D3C85"/>
    <w:rsid w:val="004D3ED1"/>
    <w:rsid w:val="004D41B2"/>
    <w:rsid w:val="004D423D"/>
    <w:rsid w:val="004D425F"/>
    <w:rsid w:val="004D4AB4"/>
    <w:rsid w:val="004D4B23"/>
    <w:rsid w:val="004D4E00"/>
    <w:rsid w:val="004D4F5E"/>
    <w:rsid w:val="004D4FC6"/>
    <w:rsid w:val="004D55A2"/>
    <w:rsid w:val="004D59EB"/>
    <w:rsid w:val="004D63F5"/>
    <w:rsid w:val="004D65BC"/>
    <w:rsid w:val="004D663F"/>
    <w:rsid w:val="004D679B"/>
    <w:rsid w:val="004D688B"/>
    <w:rsid w:val="004D69E1"/>
    <w:rsid w:val="004D6A9F"/>
    <w:rsid w:val="004D709C"/>
    <w:rsid w:val="004D73FF"/>
    <w:rsid w:val="004D7534"/>
    <w:rsid w:val="004D7565"/>
    <w:rsid w:val="004D7632"/>
    <w:rsid w:val="004D7E24"/>
    <w:rsid w:val="004D7E60"/>
    <w:rsid w:val="004E02DE"/>
    <w:rsid w:val="004E02EC"/>
    <w:rsid w:val="004E0461"/>
    <w:rsid w:val="004E04AF"/>
    <w:rsid w:val="004E04CC"/>
    <w:rsid w:val="004E0600"/>
    <w:rsid w:val="004E0655"/>
    <w:rsid w:val="004E0855"/>
    <w:rsid w:val="004E0B3F"/>
    <w:rsid w:val="004E0BC4"/>
    <w:rsid w:val="004E0E6D"/>
    <w:rsid w:val="004E0FDC"/>
    <w:rsid w:val="004E102D"/>
    <w:rsid w:val="004E11BF"/>
    <w:rsid w:val="004E13A9"/>
    <w:rsid w:val="004E15BE"/>
    <w:rsid w:val="004E1999"/>
    <w:rsid w:val="004E1A66"/>
    <w:rsid w:val="004E1C47"/>
    <w:rsid w:val="004E1DAD"/>
    <w:rsid w:val="004E211C"/>
    <w:rsid w:val="004E215E"/>
    <w:rsid w:val="004E219D"/>
    <w:rsid w:val="004E21CA"/>
    <w:rsid w:val="004E24E4"/>
    <w:rsid w:val="004E2A39"/>
    <w:rsid w:val="004E2CE1"/>
    <w:rsid w:val="004E3AB1"/>
    <w:rsid w:val="004E3CBE"/>
    <w:rsid w:val="004E4134"/>
    <w:rsid w:val="004E4665"/>
    <w:rsid w:val="004E4AA5"/>
    <w:rsid w:val="004E4CAF"/>
    <w:rsid w:val="004E5113"/>
    <w:rsid w:val="004E52BE"/>
    <w:rsid w:val="004E5624"/>
    <w:rsid w:val="004E57D8"/>
    <w:rsid w:val="004E626F"/>
    <w:rsid w:val="004E6C2E"/>
    <w:rsid w:val="004E6EE6"/>
    <w:rsid w:val="004E702B"/>
    <w:rsid w:val="004E73B8"/>
    <w:rsid w:val="004E7613"/>
    <w:rsid w:val="004E7734"/>
    <w:rsid w:val="004E7997"/>
    <w:rsid w:val="004E7AEC"/>
    <w:rsid w:val="004E7BFF"/>
    <w:rsid w:val="004E7C6A"/>
    <w:rsid w:val="004E7D20"/>
    <w:rsid w:val="004E7D74"/>
    <w:rsid w:val="004F02C1"/>
    <w:rsid w:val="004F06A0"/>
    <w:rsid w:val="004F0963"/>
    <w:rsid w:val="004F09D0"/>
    <w:rsid w:val="004F0C6F"/>
    <w:rsid w:val="004F0F97"/>
    <w:rsid w:val="004F17B2"/>
    <w:rsid w:val="004F1B08"/>
    <w:rsid w:val="004F1DFF"/>
    <w:rsid w:val="004F205C"/>
    <w:rsid w:val="004F20D1"/>
    <w:rsid w:val="004F23C9"/>
    <w:rsid w:val="004F24A6"/>
    <w:rsid w:val="004F2FA6"/>
    <w:rsid w:val="004F3216"/>
    <w:rsid w:val="004F345E"/>
    <w:rsid w:val="004F37D0"/>
    <w:rsid w:val="004F38C2"/>
    <w:rsid w:val="004F397D"/>
    <w:rsid w:val="004F3D8F"/>
    <w:rsid w:val="004F3F56"/>
    <w:rsid w:val="004F40A7"/>
    <w:rsid w:val="004F42DA"/>
    <w:rsid w:val="004F45E1"/>
    <w:rsid w:val="004F462D"/>
    <w:rsid w:val="004F5471"/>
    <w:rsid w:val="004F5600"/>
    <w:rsid w:val="004F5C0C"/>
    <w:rsid w:val="004F5CA7"/>
    <w:rsid w:val="004F5EB4"/>
    <w:rsid w:val="004F6156"/>
    <w:rsid w:val="004F6232"/>
    <w:rsid w:val="004F6361"/>
    <w:rsid w:val="004F6506"/>
    <w:rsid w:val="004F6510"/>
    <w:rsid w:val="004F6760"/>
    <w:rsid w:val="004F6832"/>
    <w:rsid w:val="004F68F1"/>
    <w:rsid w:val="004F6CA8"/>
    <w:rsid w:val="004F6DEC"/>
    <w:rsid w:val="004F6EBC"/>
    <w:rsid w:val="004F75F8"/>
    <w:rsid w:val="004F772E"/>
    <w:rsid w:val="004F7B5D"/>
    <w:rsid w:val="004F7BE4"/>
    <w:rsid w:val="004F7C8D"/>
    <w:rsid w:val="004F7E71"/>
    <w:rsid w:val="004F7F26"/>
    <w:rsid w:val="00500189"/>
    <w:rsid w:val="005005A0"/>
    <w:rsid w:val="00500761"/>
    <w:rsid w:val="005008F3"/>
    <w:rsid w:val="0050090D"/>
    <w:rsid w:val="0050110F"/>
    <w:rsid w:val="00501778"/>
    <w:rsid w:val="005017B4"/>
    <w:rsid w:val="00501918"/>
    <w:rsid w:val="00501A8E"/>
    <w:rsid w:val="00501F2D"/>
    <w:rsid w:val="0050254D"/>
    <w:rsid w:val="005026D3"/>
    <w:rsid w:val="0050275B"/>
    <w:rsid w:val="00502C05"/>
    <w:rsid w:val="00502D8A"/>
    <w:rsid w:val="00503403"/>
    <w:rsid w:val="00503453"/>
    <w:rsid w:val="005034AD"/>
    <w:rsid w:val="0050379F"/>
    <w:rsid w:val="00503813"/>
    <w:rsid w:val="00503D59"/>
    <w:rsid w:val="00504002"/>
    <w:rsid w:val="00504062"/>
    <w:rsid w:val="00504221"/>
    <w:rsid w:val="0050456C"/>
    <w:rsid w:val="005045D4"/>
    <w:rsid w:val="00504831"/>
    <w:rsid w:val="00504AC2"/>
    <w:rsid w:val="00504B11"/>
    <w:rsid w:val="00504B3D"/>
    <w:rsid w:val="005051DD"/>
    <w:rsid w:val="00505469"/>
    <w:rsid w:val="005055AB"/>
    <w:rsid w:val="005055DE"/>
    <w:rsid w:val="00505789"/>
    <w:rsid w:val="005059F9"/>
    <w:rsid w:val="0050607A"/>
    <w:rsid w:val="00506088"/>
    <w:rsid w:val="00506122"/>
    <w:rsid w:val="005062EE"/>
    <w:rsid w:val="00506489"/>
    <w:rsid w:val="005065CC"/>
    <w:rsid w:val="005066BC"/>
    <w:rsid w:val="00506710"/>
    <w:rsid w:val="005068E6"/>
    <w:rsid w:val="00506987"/>
    <w:rsid w:val="00507769"/>
    <w:rsid w:val="005077D2"/>
    <w:rsid w:val="0050791A"/>
    <w:rsid w:val="0050792C"/>
    <w:rsid w:val="005079A4"/>
    <w:rsid w:val="00507C58"/>
    <w:rsid w:val="005103B0"/>
    <w:rsid w:val="005104F2"/>
    <w:rsid w:val="0051053D"/>
    <w:rsid w:val="0051070F"/>
    <w:rsid w:val="00510732"/>
    <w:rsid w:val="00510AE8"/>
    <w:rsid w:val="00510E72"/>
    <w:rsid w:val="00510FF2"/>
    <w:rsid w:val="005111BB"/>
    <w:rsid w:val="00511512"/>
    <w:rsid w:val="00511582"/>
    <w:rsid w:val="00511617"/>
    <w:rsid w:val="00512044"/>
    <w:rsid w:val="00512068"/>
    <w:rsid w:val="0051221A"/>
    <w:rsid w:val="005123E6"/>
    <w:rsid w:val="00512DBE"/>
    <w:rsid w:val="00512DE8"/>
    <w:rsid w:val="00513177"/>
    <w:rsid w:val="0051333E"/>
    <w:rsid w:val="00513419"/>
    <w:rsid w:val="005135AF"/>
    <w:rsid w:val="00513877"/>
    <w:rsid w:val="0051396C"/>
    <w:rsid w:val="005140FD"/>
    <w:rsid w:val="0051468C"/>
    <w:rsid w:val="005147DB"/>
    <w:rsid w:val="00514B70"/>
    <w:rsid w:val="00514C26"/>
    <w:rsid w:val="00514E75"/>
    <w:rsid w:val="00514FBA"/>
    <w:rsid w:val="0051553A"/>
    <w:rsid w:val="00515ADF"/>
    <w:rsid w:val="0051600A"/>
    <w:rsid w:val="005160CC"/>
    <w:rsid w:val="00516601"/>
    <w:rsid w:val="005166DE"/>
    <w:rsid w:val="00516B4D"/>
    <w:rsid w:val="00516C5F"/>
    <w:rsid w:val="00516D04"/>
    <w:rsid w:val="00516D6E"/>
    <w:rsid w:val="00516EB0"/>
    <w:rsid w:val="00516FE0"/>
    <w:rsid w:val="005172B3"/>
    <w:rsid w:val="005176E6"/>
    <w:rsid w:val="00517717"/>
    <w:rsid w:val="0051771C"/>
    <w:rsid w:val="0051780F"/>
    <w:rsid w:val="00517A33"/>
    <w:rsid w:val="00517A8D"/>
    <w:rsid w:val="005200B0"/>
    <w:rsid w:val="005201C7"/>
    <w:rsid w:val="00520255"/>
    <w:rsid w:val="005202E8"/>
    <w:rsid w:val="005206E4"/>
    <w:rsid w:val="00520A4B"/>
    <w:rsid w:val="0052112E"/>
    <w:rsid w:val="005214B7"/>
    <w:rsid w:val="00521896"/>
    <w:rsid w:val="00521D1C"/>
    <w:rsid w:val="00521D63"/>
    <w:rsid w:val="005220C5"/>
    <w:rsid w:val="00522148"/>
    <w:rsid w:val="00522171"/>
    <w:rsid w:val="0052258B"/>
    <w:rsid w:val="0052275D"/>
    <w:rsid w:val="005230E6"/>
    <w:rsid w:val="00523466"/>
    <w:rsid w:val="00523B72"/>
    <w:rsid w:val="00523BDA"/>
    <w:rsid w:val="00523C97"/>
    <w:rsid w:val="00523D21"/>
    <w:rsid w:val="00524193"/>
    <w:rsid w:val="005247A2"/>
    <w:rsid w:val="00525083"/>
    <w:rsid w:val="005251A9"/>
    <w:rsid w:val="00525535"/>
    <w:rsid w:val="005255D7"/>
    <w:rsid w:val="005256F5"/>
    <w:rsid w:val="00525813"/>
    <w:rsid w:val="00525EEE"/>
    <w:rsid w:val="00525F08"/>
    <w:rsid w:val="00525F93"/>
    <w:rsid w:val="00525FD3"/>
    <w:rsid w:val="00526236"/>
    <w:rsid w:val="005268F4"/>
    <w:rsid w:val="00526CA1"/>
    <w:rsid w:val="00526D23"/>
    <w:rsid w:val="00526EF4"/>
    <w:rsid w:val="0052701A"/>
    <w:rsid w:val="00527596"/>
    <w:rsid w:val="005303BF"/>
    <w:rsid w:val="00530448"/>
    <w:rsid w:val="005305DD"/>
    <w:rsid w:val="005306E3"/>
    <w:rsid w:val="00530A1E"/>
    <w:rsid w:val="00530B1C"/>
    <w:rsid w:val="00530EF9"/>
    <w:rsid w:val="00531439"/>
    <w:rsid w:val="005316EB"/>
    <w:rsid w:val="00531A66"/>
    <w:rsid w:val="00531C8C"/>
    <w:rsid w:val="005322D8"/>
    <w:rsid w:val="00532A9E"/>
    <w:rsid w:val="00532B72"/>
    <w:rsid w:val="00532C13"/>
    <w:rsid w:val="00532C79"/>
    <w:rsid w:val="00532CFC"/>
    <w:rsid w:val="00532E2C"/>
    <w:rsid w:val="00532F02"/>
    <w:rsid w:val="00533259"/>
    <w:rsid w:val="00533776"/>
    <w:rsid w:val="00533794"/>
    <w:rsid w:val="00533B50"/>
    <w:rsid w:val="0053415E"/>
    <w:rsid w:val="00534925"/>
    <w:rsid w:val="00534A0D"/>
    <w:rsid w:val="00534A53"/>
    <w:rsid w:val="00534C43"/>
    <w:rsid w:val="00535153"/>
    <w:rsid w:val="00535770"/>
    <w:rsid w:val="00535B7E"/>
    <w:rsid w:val="00535CB5"/>
    <w:rsid w:val="00536610"/>
    <w:rsid w:val="00536645"/>
    <w:rsid w:val="00536685"/>
    <w:rsid w:val="00536A42"/>
    <w:rsid w:val="00536BFE"/>
    <w:rsid w:val="00536CAE"/>
    <w:rsid w:val="00536E02"/>
    <w:rsid w:val="00536FD2"/>
    <w:rsid w:val="005373F2"/>
    <w:rsid w:val="0053745A"/>
    <w:rsid w:val="005374E3"/>
    <w:rsid w:val="00537A70"/>
    <w:rsid w:val="00537B37"/>
    <w:rsid w:val="00537C16"/>
    <w:rsid w:val="00537F9D"/>
    <w:rsid w:val="005401DD"/>
    <w:rsid w:val="005407A0"/>
    <w:rsid w:val="00540CF1"/>
    <w:rsid w:val="00540D6F"/>
    <w:rsid w:val="00540F15"/>
    <w:rsid w:val="00541023"/>
    <w:rsid w:val="00541038"/>
    <w:rsid w:val="00541076"/>
    <w:rsid w:val="005417C9"/>
    <w:rsid w:val="00541AE5"/>
    <w:rsid w:val="00541C2F"/>
    <w:rsid w:val="00541CC2"/>
    <w:rsid w:val="00541F8E"/>
    <w:rsid w:val="0054219E"/>
    <w:rsid w:val="0054220D"/>
    <w:rsid w:val="0054222A"/>
    <w:rsid w:val="005423F7"/>
    <w:rsid w:val="005426D0"/>
    <w:rsid w:val="00542816"/>
    <w:rsid w:val="00542A1E"/>
    <w:rsid w:val="00542E29"/>
    <w:rsid w:val="0054307B"/>
    <w:rsid w:val="0054364A"/>
    <w:rsid w:val="00543708"/>
    <w:rsid w:val="00543BEA"/>
    <w:rsid w:val="00543CCA"/>
    <w:rsid w:val="005440DF"/>
    <w:rsid w:val="0054415E"/>
    <w:rsid w:val="00544465"/>
    <w:rsid w:val="005446EE"/>
    <w:rsid w:val="0054496A"/>
    <w:rsid w:val="005449E5"/>
    <w:rsid w:val="005449F5"/>
    <w:rsid w:val="00544BCE"/>
    <w:rsid w:val="00545052"/>
    <w:rsid w:val="00545110"/>
    <w:rsid w:val="005457B4"/>
    <w:rsid w:val="00545AB4"/>
    <w:rsid w:val="00545D12"/>
    <w:rsid w:val="00545E35"/>
    <w:rsid w:val="00545E88"/>
    <w:rsid w:val="0054660A"/>
    <w:rsid w:val="00546AD2"/>
    <w:rsid w:val="00546BF6"/>
    <w:rsid w:val="00546E20"/>
    <w:rsid w:val="00547008"/>
    <w:rsid w:val="00547485"/>
    <w:rsid w:val="00547557"/>
    <w:rsid w:val="00547868"/>
    <w:rsid w:val="00547981"/>
    <w:rsid w:val="00547CD4"/>
    <w:rsid w:val="00550443"/>
    <w:rsid w:val="005506C9"/>
    <w:rsid w:val="00550A57"/>
    <w:rsid w:val="00550FF6"/>
    <w:rsid w:val="00551128"/>
    <w:rsid w:val="00551382"/>
    <w:rsid w:val="00551405"/>
    <w:rsid w:val="005518B4"/>
    <w:rsid w:val="005519DF"/>
    <w:rsid w:val="00551D18"/>
    <w:rsid w:val="00552233"/>
    <w:rsid w:val="00552504"/>
    <w:rsid w:val="00552C5E"/>
    <w:rsid w:val="00552D23"/>
    <w:rsid w:val="00552E23"/>
    <w:rsid w:val="00553256"/>
    <w:rsid w:val="0055355D"/>
    <w:rsid w:val="0055376B"/>
    <w:rsid w:val="00553E07"/>
    <w:rsid w:val="0055437D"/>
    <w:rsid w:val="005548FC"/>
    <w:rsid w:val="00554DB3"/>
    <w:rsid w:val="00555136"/>
    <w:rsid w:val="00555173"/>
    <w:rsid w:val="005553EA"/>
    <w:rsid w:val="0055569A"/>
    <w:rsid w:val="005557D2"/>
    <w:rsid w:val="00555825"/>
    <w:rsid w:val="00555B33"/>
    <w:rsid w:val="005566FA"/>
    <w:rsid w:val="00556739"/>
    <w:rsid w:val="00556C39"/>
    <w:rsid w:val="00557365"/>
    <w:rsid w:val="005579DD"/>
    <w:rsid w:val="00557A33"/>
    <w:rsid w:val="00557BE4"/>
    <w:rsid w:val="00557EDA"/>
    <w:rsid w:val="00557F4F"/>
    <w:rsid w:val="005601CC"/>
    <w:rsid w:val="0056032C"/>
    <w:rsid w:val="00560754"/>
    <w:rsid w:val="00560A5F"/>
    <w:rsid w:val="00560CD0"/>
    <w:rsid w:val="00560ED2"/>
    <w:rsid w:val="00560FD4"/>
    <w:rsid w:val="005610C8"/>
    <w:rsid w:val="005610EE"/>
    <w:rsid w:val="0056126C"/>
    <w:rsid w:val="005612EA"/>
    <w:rsid w:val="00561620"/>
    <w:rsid w:val="00561903"/>
    <w:rsid w:val="00561C96"/>
    <w:rsid w:val="00561CBD"/>
    <w:rsid w:val="00562072"/>
    <w:rsid w:val="005622D8"/>
    <w:rsid w:val="005623DB"/>
    <w:rsid w:val="00562A3C"/>
    <w:rsid w:val="00562C2A"/>
    <w:rsid w:val="00563373"/>
    <w:rsid w:val="00563394"/>
    <w:rsid w:val="00563446"/>
    <w:rsid w:val="00563595"/>
    <w:rsid w:val="00563C92"/>
    <w:rsid w:val="00563CF5"/>
    <w:rsid w:val="00563DCD"/>
    <w:rsid w:val="0056408A"/>
    <w:rsid w:val="005640CC"/>
    <w:rsid w:val="0056438A"/>
    <w:rsid w:val="00564557"/>
    <w:rsid w:val="00564579"/>
    <w:rsid w:val="005645FD"/>
    <w:rsid w:val="0056475C"/>
    <w:rsid w:val="00564BC1"/>
    <w:rsid w:val="00564F9F"/>
    <w:rsid w:val="00565065"/>
    <w:rsid w:val="005652C5"/>
    <w:rsid w:val="00565344"/>
    <w:rsid w:val="00565416"/>
    <w:rsid w:val="00566482"/>
    <w:rsid w:val="005664B2"/>
    <w:rsid w:val="005664BA"/>
    <w:rsid w:val="0056656E"/>
    <w:rsid w:val="00566AD0"/>
    <w:rsid w:val="00566DAE"/>
    <w:rsid w:val="00566EC0"/>
    <w:rsid w:val="00567023"/>
    <w:rsid w:val="005670C3"/>
    <w:rsid w:val="005670EB"/>
    <w:rsid w:val="005671CC"/>
    <w:rsid w:val="005672DF"/>
    <w:rsid w:val="00567696"/>
    <w:rsid w:val="005678B7"/>
    <w:rsid w:val="00567A7D"/>
    <w:rsid w:val="00567BBA"/>
    <w:rsid w:val="00567D6B"/>
    <w:rsid w:val="00567F4B"/>
    <w:rsid w:val="0057014B"/>
    <w:rsid w:val="00570F80"/>
    <w:rsid w:val="00571074"/>
    <w:rsid w:val="00571233"/>
    <w:rsid w:val="00571407"/>
    <w:rsid w:val="005718F9"/>
    <w:rsid w:val="0057192A"/>
    <w:rsid w:val="00571936"/>
    <w:rsid w:val="00571D9F"/>
    <w:rsid w:val="00572711"/>
    <w:rsid w:val="00572734"/>
    <w:rsid w:val="00573032"/>
    <w:rsid w:val="0057341B"/>
    <w:rsid w:val="005734BF"/>
    <w:rsid w:val="00573DCE"/>
    <w:rsid w:val="00573EB1"/>
    <w:rsid w:val="00573EBF"/>
    <w:rsid w:val="0057406D"/>
    <w:rsid w:val="00574364"/>
    <w:rsid w:val="00574696"/>
    <w:rsid w:val="00574A49"/>
    <w:rsid w:val="00574EEB"/>
    <w:rsid w:val="00575111"/>
    <w:rsid w:val="005751BB"/>
    <w:rsid w:val="00576095"/>
    <w:rsid w:val="005768E6"/>
    <w:rsid w:val="00576E05"/>
    <w:rsid w:val="00577889"/>
    <w:rsid w:val="00577C8D"/>
    <w:rsid w:val="005802D0"/>
    <w:rsid w:val="005802F3"/>
    <w:rsid w:val="00580410"/>
    <w:rsid w:val="0058085C"/>
    <w:rsid w:val="005808FA"/>
    <w:rsid w:val="00580D2D"/>
    <w:rsid w:val="00580EBE"/>
    <w:rsid w:val="00581428"/>
    <w:rsid w:val="00581960"/>
    <w:rsid w:val="00581993"/>
    <w:rsid w:val="00581996"/>
    <w:rsid w:val="005819E9"/>
    <w:rsid w:val="00581B1A"/>
    <w:rsid w:val="00581EC7"/>
    <w:rsid w:val="005826A9"/>
    <w:rsid w:val="005826BF"/>
    <w:rsid w:val="00582838"/>
    <w:rsid w:val="00582A02"/>
    <w:rsid w:val="00582D55"/>
    <w:rsid w:val="00582D67"/>
    <w:rsid w:val="005830AA"/>
    <w:rsid w:val="00583465"/>
    <w:rsid w:val="005834F1"/>
    <w:rsid w:val="00583828"/>
    <w:rsid w:val="00583A14"/>
    <w:rsid w:val="00583B51"/>
    <w:rsid w:val="00583C0F"/>
    <w:rsid w:val="00583F73"/>
    <w:rsid w:val="0058403D"/>
    <w:rsid w:val="005841B7"/>
    <w:rsid w:val="005842B4"/>
    <w:rsid w:val="00584763"/>
    <w:rsid w:val="005847FF"/>
    <w:rsid w:val="00584BB8"/>
    <w:rsid w:val="00584D28"/>
    <w:rsid w:val="00584E8C"/>
    <w:rsid w:val="00584F29"/>
    <w:rsid w:val="00585112"/>
    <w:rsid w:val="0058529E"/>
    <w:rsid w:val="005853F5"/>
    <w:rsid w:val="005858A8"/>
    <w:rsid w:val="00585A1B"/>
    <w:rsid w:val="00585A3C"/>
    <w:rsid w:val="0058609B"/>
    <w:rsid w:val="005860E0"/>
    <w:rsid w:val="005861A3"/>
    <w:rsid w:val="00586221"/>
    <w:rsid w:val="005862B5"/>
    <w:rsid w:val="00586345"/>
    <w:rsid w:val="005863C2"/>
    <w:rsid w:val="00586754"/>
    <w:rsid w:val="005868EA"/>
    <w:rsid w:val="00586907"/>
    <w:rsid w:val="0058699B"/>
    <w:rsid w:val="005869A9"/>
    <w:rsid w:val="00586BED"/>
    <w:rsid w:val="00586F68"/>
    <w:rsid w:val="005870A4"/>
    <w:rsid w:val="00587137"/>
    <w:rsid w:val="00587325"/>
    <w:rsid w:val="00587B58"/>
    <w:rsid w:val="00587D77"/>
    <w:rsid w:val="00590050"/>
    <w:rsid w:val="00590601"/>
    <w:rsid w:val="00590656"/>
    <w:rsid w:val="005909B2"/>
    <w:rsid w:val="00590ACB"/>
    <w:rsid w:val="00590C19"/>
    <w:rsid w:val="00590C91"/>
    <w:rsid w:val="00591377"/>
    <w:rsid w:val="00591399"/>
    <w:rsid w:val="005913A2"/>
    <w:rsid w:val="005915D8"/>
    <w:rsid w:val="00591ADB"/>
    <w:rsid w:val="00591BA0"/>
    <w:rsid w:val="00591DFE"/>
    <w:rsid w:val="005920C3"/>
    <w:rsid w:val="00592382"/>
    <w:rsid w:val="0059238C"/>
    <w:rsid w:val="0059266F"/>
    <w:rsid w:val="00592DCD"/>
    <w:rsid w:val="00592FA5"/>
    <w:rsid w:val="00593458"/>
    <w:rsid w:val="00593A66"/>
    <w:rsid w:val="00593E7F"/>
    <w:rsid w:val="00594163"/>
    <w:rsid w:val="0059464C"/>
    <w:rsid w:val="00594669"/>
    <w:rsid w:val="00594DAC"/>
    <w:rsid w:val="00594DF3"/>
    <w:rsid w:val="00594FB4"/>
    <w:rsid w:val="00595065"/>
    <w:rsid w:val="005950F7"/>
    <w:rsid w:val="00595433"/>
    <w:rsid w:val="00595792"/>
    <w:rsid w:val="00595994"/>
    <w:rsid w:val="00595AAC"/>
    <w:rsid w:val="00595E0F"/>
    <w:rsid w:val="005964A3"/>
    <w:rsid w:val="00596812"/>
    <w:rsid w:val="00596A00"/>
    <w:rsid w:val="00596DC8"/>
    <w:rsid w:val="00597330"/>
    <w:rsid w:val="005974DC"/>
    <w:rsid w:val="00597ACC"/>
    <w:rsid w:val="00597C08"/>
    <w:rsid w:val="00597C41"/>
    <w:rsid w:val="005A000B"/>
    <w:rsid w:val="005A0205"/>
    <w:rsid w:val="005A034B"/>
    <w:rsid w:val="005A04D8"/>
    <w:rsid w:val="005A0AAF"/>
    <w:rsid w:val="005A0BBE"/>
    <w:rsid w:val="005A0D55"/>
    <w:rsid w:val="005A0FFA"/>
    <w:rsid w:val="005A1256"/>
    <w:rsid w:val="005A12DC"/>
    <w:rsid w:val="005A1402"/>
    <w:rsid w:val="005A154E"/>
    <w:rsid w:val="005A16C4"/>
    <w:rsid w:val="005A1AF8"/>
    <w:rsid w:val="005A1E39"/>
    <w:rsid w:val="005A1F19"/>
    <w:rsid w:val="005A20CD"/>
    <w:rsid w:val="005A21FF"/>
    <w:rsid w:val="005A23AE"/>
    <w:rsid w:val="005A2725"/>
    <w:rsid w:val="005A2838"/>
    <w:rsid w:val="005A295A"/>
    <w:rsid w:val="005A2A6A"/>
    <w:rsid w:val="005A2B35"/>
    <w:rsid w:val="005A2FF8"/>
    <w:rsid w:val="005A31A4"/>
    <w:rsid w:val="005A3231"/>
    <w:rsid w:val="005A3AAB"/>
    <w:rsid w:val="005A3E03"/>
    <w:rsid w:val="005A3F8B"/>
    <w:rsid w:val="005A40B0"/>
    <w:rsid w:val="005A4C8A"/>
    <w:rsid w:val="005A4EF3"/>
    <w:rsid w:val="005A5173"/>
    <w:rsid w:val="005A51C2"/>
    <w:rsid w:val="005A527F"/>
    <w:rsid w:val="005A5576"/>
    <w:rsid w:val="005A5625"/>
    <w:rsid w:val="005A59A3"/>
    <w:rsid w:val="005A5C4B"/>
    <w:rsid w:val="005A5CEC"/>
    <w:rsid w:val="005A5D58"/>
    <w:rsid w:val="005A5E20"/>
    <w:rsid w:val="005A60B5"/>
    <w:rsid w:val="005A649A"/>
    <w:rsid w:val="005A6507"/>
    <w:rsid w:val="005A6631"/>
    <w:rsid w:val="005A683A"/>
    <w:rsid w:val="005A6B86"/>
    <w:rsid w:val="005A6B9F"/>
    <w:rsid w:val="005A6BFC"/>
    <w:rsid w:val="005A6EA8"/>
    <w:rsid w:val="005A6F57"/>
    <w:rsid w:val="005A7164"/>
    <w:rsid w:val="005A7205"/>
    <w:rsid w:val="005A72B4"/>
    <w:rsid w:val="005A7437"/>
    <w:rsid w:val="005A768A"/>
    <w:rsid w:val="005A76A8"/>
    <w:rsid w:val="005A7711"/>
    <w:rsid w:val="005A782F"/>
    <w:rsid w:val="005A7A08"/>
    <w:rsid w:val="005A7C76"/>
    <w:rsid w:val="005A7C94"/>
    <w:rsid w:val="005A7FCE"/>
    <w:rsid w:val="005A7FDD"/>
    <w:rsid w:val="005B0102"/>
    <w:rsid w:val="005B0152"/>
    <w:rsid w:val="005B020F"/>
    <w:rsid w:val="005B022A"/>
    <w:rsid w:val="005B023D"/>
    <w:rsid w:val="005B0311"/>
    <w:rsid w:val="005B0634"/>
    <w:rsid w:val="005B0863"/>
    <w:rsid w:val="005B0A08"/>
    <w:rsid w:val="005B0AB7"/>
    <w:rsid w:val="005B0D45"/>
    <w:rsid w:val="005B1038"/>
    <w:rsid w:val="005B2089"/>
    <w:rsid w:val="005B24BD"/>
    <w:rsid w:val="005B2615"/>
    <w:rsid w:val="005B2704"/>
    <w:rsid w:val="005B2781"/>
    <w:rsid w:val="005B2792"/>
    <w:rsid w:val="005B2946"/>
    <w:rsid w:val="005B2AA4"/>
    <w:rsid w:val="005B2F97"/>
    <w:rsid w:val="005B2FE3"/>
    <w:rsid w:val="005B2FF1"/>
    <w:rsid w:val="005B31FB"/>
    <w:rsid w:val="005B3243"/>
    <w:rsid w:val="005B32EA"/>
    <w:rsid w:val="005B33D6"/>
    <w:rsid w:val="005B3BE1"/>
    <w:rsid w:val="005B3CB3"/>
    <w:rsid w:val="005B3E95"/>
    <w:rsid w:val="005B3FEF"/>
    <w:rsid w:val="005B40AE"/>
    <w:rsid w:val="005B427E"/>
    <w:rsid w:val="005B4A34"/>
    <w:rsid w:val="005B4ACF"/>
    <w:rsid w:val="005B500F"/>
    <w:rsid w:val="005B531D"/>
    <w:rsid w:val="005B53D4"/>
    <w:rsid w:val="005B5C94"/>
    <w:rsid w:val="005B5F96"/>
    <w:rsid w:val="005B5FE5"/>
    <w:rsid w:val="005B65D2"/>
    <w:rsid w:val="005B7078"/>
    <w:rsid w:val="005B713F"/>
    <w:rsid w:val="005B72FA"/>
    <w:rsid w:val="005B73C0"/>
    <w:rsid w:val="005B767F"/>
    <w:rsid w:val="005C0108"/>
    <w:rsid w:val="005C0277"/>
    <w:rsid w:val="005C0385"/>
    <w:rsid w:val="005C05FD"/>
    <w:rsid w:val="005C0C9D"/>
    <w:rsid w:val="005C153C"/>
    <w:rsid w:val="005C163D"/>
    <w:rsid w:val="005C1B68"/>
    <w:rsid w:val="005C1F89"/>
    <w:rsid w:val="005C1FC5"/>
    <w:rsid w:val="005C205E"/>
    <w:rsid w:val="005C237B"/>
    <w:rsid w:val="005C23A9"/>
    <w:rsid w:val="005C2681"/>
    <w:rsid w:val="005C2A25"/>
    <w:rsid w:val="005C2BE7"/>
    <w:rsid w:val="005C2F34"/>
    <w:rsid w:val="005C2F5A"/>
    <w:rsid w:val="005C3249"/>
    <w:rsid w:val="005C3A6F"/>
    <w:rsid w:val="005C3A88"/>
    <w:rsid w:val="005C46CC"/>
    <w:rsid w:val="005C4722"/>
    <w:rsid w:val="005C4C0C"/>
    <w:rsid w:val="005C5572"/>
    <w:rsid w:val="005C5692"/>
    <w:rsid w:val="005C5700"/>
    <w:rsid w:val="005C5867"/>
    <w:rsid w:val="005C59D8"/>
    <w:rsid w:val="005C5A98"/>
    <w:rsid w:val="005C5B94"/>
    <w:rsid w:val="005C5DBB"/>
    <w:rsid w:val="005C61D2"/>
    <w:rsid w:val="005C6396"/>
    <w:rsid w:val="005C63B8"/>
    <w:rsid w:val="005C6517"/>
    <w:rsid w:val="005C657D"/>
    <w:rsid w:val="005C6B8F"/>
    <w:rsid w:val="005C6BB3"/>
    <w:rsid w:val="005C70E3"/>
    <w:rsid w:val="005C72FC"/>
    <w:rsid w:val="005C730E"/>
    <w:rsid w:val="005C7344"/>
    <w:rsid w:val="005C746D"/>
    <w:rsid w:val="005C74E9"/>
    <w:rsid w:val="005C757D"/>
    <w:rsid w:val="005C75D2"/>
    <w:rsid w:val="005C7643"/>
    <w:rsid w:val="005C768C"/>
    <w:rsid w:val="005C78AD"/>
    <w:rsid w:val="005C7F24"/>
    <w:rsid w:val="005D0199"/>
    <w:rsid w:val="005D0445"/>
    <w:rsid w:val="005D0633"/>
    <w:rsid w:val="005D07D3"/>
    <w:rsid w:val="005D0823"/>
    <w:rsid w:val="005D0BD7"/>
    <w:rsid w:val="005D0E75"/>
    <w:rsid w:val="005D0E8C"/>
    <w:rsid w:val="005D13CC"/>
    <w:rsid w:val="005D1505"/>
    <w:rsid w:val="005D1927"/>
    <w:rsid w:val="005D19B0"/>
    <w:rsid w:val="005D1CCF"/>
    <w:rsid w:val="005D1FCE"/>
    <w:rsid w:val="005D2441"/>
    <w:rsid w:val="005D25BE"/>
    <w:rsid w:val="005D264E"/>
    <w:rsid w:val="005D26B9"/>
    <w:rsid w:val="005D2DE4"/>
    <w:rsid w:val="005D2E0F"/>
    <w:rsid w:val="005D30C4"/>
    <w:rsid w:val="005D320B"/>
    <w:rsid w:val="005D3361"/>
    <w:rsid w:val="005D3F32"/>
    <w:rsid w:val="005D4203"/>
    <w:rsid w:val="005D4224"/>
    <w:rsid w:val="005D4D6F"/>
    <w:rsid w:val="005D53A4"/>
    <w:rsid w:val="005D58A5"/>
    <w:rsid w:val="005D59F3"/>
    <w:rsid w:val="005D5AB7"/>
    <w:rsid w:val="005D5D45"/>
    <w:rsid w:val="005D67B6"/>
    <w:rsid w:val="005D67C5"/>
    <w:rsid w:val="005D6D28"/>
    <w:rsid w:val="005D725A"/>
    <w:rsid w:val="005D72BE"/>
    <w:rsid w:val="005D73BF"/>
    <w:rsid w:val="005D74DD"/>
    <w:rsid w:val="005D7552"/>
    <w:rsid w:val="005D7A4A"/>
    <w:rsid w:val="005D7AAD"/>
    <w:rsid w:val="005D7CC8"/>
    <w:rsid w:val="005E0184"/>
    <w:rsid w:val="005E0288"/>
    <w:rsid w:val="005E0560"/>
    <w:rsid w:val="005E0D38"/>
    <w:rsid w:val="005E1528"/>
    <w:rsid w:val="005E156F"/>
    <w:rsid w:val="005E19A8"/>
    <w:rsid w:val="005E1D30"/>
    <w:rsid w:val="005E1D4E"/>
    <w:rsid w:val="005E2179"/>
    <w:rsid w:val="005E245B"/>
    <w:rsid w:val="005E24CC"/>
    <w:rsid w:val="005E2702"/>
    <w:rsid w:val="005E2972"/>
    <w:rsid w:val="005E29A4"/>
    <w:rsid w:val="005E29DB"/>
    <w:rsid w:val="005E2ED8"/>
    <w:rsid w:val="005E30F3"/>
    <w:rsid w:val="005E34B5"/>
    <w:rsid w:val="005E4148"/>
    <w:rsid w:val="005E49B5"/>
    <w:rsid w:val="005E4B98"/>
    <w:rsid w:val="005E4DCA"/>
    <w:rsid w:val="005E4F1D"/>
    <w:rsid w:val="005E5081"/>
    <w:rsid w:val="005E5217"/>
    <w:rsid w:val="005E53B8"/>
    <w:rsid w:val="005E53F2"/>
    <w:rsid w:val="005E58AB"/>
    <w:rsid w:val="005E5908"/>
    <w:rsid w:val="005E5B0B"/>
    <w:rsid w:val="005E5DB1"/>
    <w:rsid w:val="005E5E3D"/>
    <w:rsid w:val="005E5EE5"/>
    <w:rsid w:val="005E6079"/>
    <w:rsid w:val="005E6123"/>
    <w:rsid w:val="005E65E0"/>
    <w:rsid w:val="005E6987"/>
    <w:rsid w:val="005E6D93"/>
    <w:rsid w:val="005E7319"/>
    <w:rsid w:val="005E7347"/>
    <w:rsid w:val="005E740F"/>
    <w:rsid w:val="005E797A"/>
    <w:rsid w:val="005E7C39"/>
    <w:rsid w:val="005E7C6D"/>
    <w:rsid w:val="005E7F36"/>
    <w:rsid w:val="005F005A"/>
    <w:rsid w:val="005F05A8"/>
    <w:rsid w:val="005F081B"/>
    <w:rsid w:val="005F0BAD"/>
    <w:rsid w:val="005F0E7D"/>
    <w:rsid w:val="005F0F79"/>
    <w:rsid w:val="005F118F"/>
    <w:rsid w:val="005F1541"/>
    <w:rsid w:val="005F1D26"/>
    <w:rsid w:val="005F1DAF"/>
    <w:rsid w:val="005F1DBF"/>
    <w:rsid w:val="005F20C0"/>
    <w:rsid w:val="005F2420"/>
    <w:rsid w:val="005F2762"/>
    <w:rsid w:val="005F28A0"/>
    <w:rsid w:val="005F2AA6"/>
    <w:rsid w:val="005F2C8E"/>
    <w:rsid w:val="005F2CD0"/>
    <w:rsid w:val="005F2CF6"/>
    <w:rsid w:val="005F2DC6"/>
    <w:rsid w:val="005F2E6B"/>
    <w:rsid w:val="005F35F8"/>
    <w:rsid w:val="005F36D6"/>
    <w:rsid w:val="005F39E6"/>
    <w:rsid w:val="005F3AAB"/>
    <w:rsid w:val="005F3D88"/>
    <w:rsid w:val="005F3EE7"/>
    <w:rsid w:val="005F3FBC"/>
    <w:rsid w:val="005F4121"/>
    <w:rsid w:val="005F423F"/>
    <w:rsid w:val="005F42BB"/>
    <w:rsid w:val="005F4391"/>
    <w:rsid w:val="005F43DE"/>
    <w:rsid w:val="005F44E2"/>
    <w:rsid w:val="005F45C2"/>
    <w:rsid w:val="005F49E5"/>
    <w:rsid w:val="005F4C4C"/>
    <w:rsid w:val="005F4D4E"/>
    <w:rsid w:val="005F4E3E"/>
    <w:rsid w:val="005F4FB2"/>
    <w:rsid w:val="005F52D9"/>
    <w:rsid w:val="005F55B8"/>
    <w:rsid w:val="005F5614"/>
    <w:rsid w:val="005F5772"/>
    <w:rsid w:val="005F57CE"/>
    <w:rsid w:val="005F589B"/>
    <w:rsid w:val="005F59E2"/>
    <w:rsid w:val="005F5CCE"/>
    <w:rsid w:val="005F5DE7"/>
    <w:rsid w:val="005F5F46"/>
    <w:rsid w:val="005F5FDF"/>
    <w:rsid w:val="005F619E"/>
    <w:rsid w:val="005F61CA"/>
    <w:rsid w:val="005F621A"/>
    <w:rsid w:val="005F65CA"/>
    <w:rsid w:val="005F65F5"/>
    <w:rsid w:val="005F663E"/>
    <w:rsid w:val="005F7130"/>
    <w:rsid w:val="005F75F1"/>
    <w:rsid w:val="005F7768"/>
    <w:rsid w:val="005F77A9"/>
    <w:rsid w:val="005F7B49"/>
    <w:rsid w:val="005F7DCA"/>
    <w:rsid w:val="00600022"/>
    <w:rsid w:val="00600448"/>
    <w:rsid w:val="006007F3"/>
    <w:rsid w:val="0060096B"/>
    <w:rsid w:val="00601117"/>
    <w:rsid w:val="00601361"/>
    <w:rsid w:val="00601403"/>
    <w:rsid w:val="006014B6"/>
    <w:rsid w:val="006016E1"/>
    <w:rsid w:val="00601A3E"/>
    <w:rsid w:val="00601D65"/>
    <w:rsid w:val="006021A3"/>
    <w:rsid w:val="006022B6"/>
    <w:rsid w:val="006024E9"/>
    <w:rsid w:val="00602CF1"/>
    <w:rsid w:val="00602DDC"/>
    <w:rsid w:val="00603007"/>
    <w:rsid w:val="00603172"/>
    <w:rsid w:val="006035AD"/>
    <w:rsid w:val="00603762"/>
    <w:rsid w:val="00603863"/>
    <w:rsid w:val="00603DDC"/>
    <w:rsid w:val="00603DFD"/>
    <w:rsid w:val="00603E4C"/>
    <w:rsid w:val="006047BD"/>
    <w:rsid w:val="006049EC"/>
    <w:rsid w:val="00604C25"/>
    <w:rsid w:val="00604CB8"/>
    <w:rsid w:val="00605665"/>
    <w:rsid w:val="006056A5"/>
    <w:rsid w:val="00605826"/>
    <w:rsid w:val="00605C3B"/>
    <w:rsid w:val="00605D77"/>
    <w:rsid w:val="00605DE8"/>
    <w:rsid w:val="00605E46"/>
    <w:rsid w:val="0060607B"/>
    <w:rsid w:val="0060607D"/>
    <w:rsid w:val="006062FE"/>
    <w:rsid w:val="006063BE"/>
    <w:rsid w:val="006063DB"/>
    <w:rsid w:val="0060662D"/>
    <w:rsid w:val="006067F5"/>
    <w:rsid w:val="00606866"/>
    <w:rsid w:val="00606A4C"/>
    <w:rsid w:val="00606B6E"/>
    <w:rsid w:val="00606C59"/>
    <w:rsid w:val="00606D49"/>
    <w:rsid w:val="00606D80"/>
    <w:rsid w:val="00606F05"/>
    <w:rsid w:val="0060735D"/>
    <w:rsid w:val="006078F8"/>
    <w:rsid w:val="00607933"/>
    <w:rsid w:val="006100FC"/>
    <w:rsid w:val="00610103"/>
    <w:rsid w:val="0061011A"/>
    <w:rsid w:val="006101AF"/>
    <w:rsid w:val="0061027E"/>
    <w:rsid w:val="006104C2"/>
    <w:rsid w:val="0061050B"/>
    <w:rsid w:val="00610729"/>
    <w:rsid w:val="00610C89"/>
    <w:rsid w:val="00610D47"/>
    <w:rsid w:val="0061102E"/>
    <w:rsid w:val="006110CA"/>
    <w:rsid w:val="006114E9"/>
    <w:rsid w:val="00611751"/>
    <w:rsid w:val="006124BB"/>
    <w:rsid w:val="006125C2"/>
    <w:rsid w:val="00612708"/>
    <w:rsid w:val="006127A6"/>
    <w:rsid w:val="00612CD6"/>
    <w:rsid w:val="00612D59"/>
    <w:rsid w:val="00612D88"/>
    <w:rsid w:val="00612F12"/>
    <w:rsid w:val="00613230"/>
    <w:rsid w:val="006134C9"/>
    <w:rsid w:val="006136BB"/>
    <w:rsid w:val="006136D1"/>
    <w:rsid w:val="0061389A"/>
    <w:rsid w:val="00613ADC"/>
    <w:rsid w:val="00613D35"/>
    <w:rsid w:val="006140B2"/>
    <w:rsid w:val="00614461"/>
    <w:rsid w:val="006144DB"/>
    <w:rsid w:val="00614C13"/>
    <w:rsid w:val="00614C89"/>
    <w:rsid w:val="00614D50"/>
    <w:rsid w:val="00614FDA"/>
    <w:rsid w:val="00615350"/>
    <w:rsid w:val="006158AE"/>
    <w:rsid w:val="00615B87"/>
    <w:rsid w:val="00615BDC"/>
    <w:rsid w:val="00615D41"/>
    <w:rsid w:val="00615DC2"/>
    <w:rsid w:val="00615E86"/>
    <w:rsid w:val="00615F14"/>
    <w:rsid w:val="00616068"/>
    <w:rsid w:val="006162AB"/>
    <w:rsid w:val="00616474"/>
    <w:rsid w:val="006164E4"/>
    <w:rsid w:val="006167B6"/>
    <w:rsid w:val="00616929"/>
    <w:rsid w:val="00616C01"/>
    <w:rsid w:val="00616D28"/>
    <w:rsid w:val="00617477"/>
    <w:rsid w:val="006175D9"/>
    <w:rsid w:val="0061772A"/>
    <w:rsid w:val="00617AC5"/>
    <w:rsid w:val="00617D6D"/>
    <w:rsid w:val="00617E8A"/>
    <w:rsid w:val="006200B5"/>
    <w:rsid w:val="006208BD"/>
    <w:rsid w:val="00620EB3"/>
    <w:rsid w:val="006210BE"/>
    <w:rsid w:val="00621649"/>
    <w:rsid w:val="00621718"/>
    <w:rsid w:val="00621863"/>
    <w:rsid w:val="006218F0"/>
    <w:rsid w:val="0062214F"/>
    <w:rsid w:val="00622340"/>
    <w:rsid w:val="0062237B"/>
    <w:rsid w:val="006223EA"/>
    <w:rsid w:val="006224B6"/>
    <w:rsid w:val="00622651"/>
    <w:rsid w:val="0062277C"/>
    <w:rsid w:val="0062277E"/>
    <w:rsid w:val="00622DD0"/>
    <w:rsid w:val="006233C9"/>
    <w:rsid w:val="006233FA"/>
    <w:rsid w:val="00623DAE"/>
    <w:rsid w:val="00624146"/>
    <w:rsid w:val="0062436B"/>
    <w:rsid w:val="0062449C"/>
    <w:rsid w:val="006245B8"/>
    <w:rsid w:val="006246BC"/>
    <w:rsid w:val="00624A54"/>
    <w:rsid w:val="00624FD5"/>
    <w:rsid w:val="00625284"/>
    <w:rsid w:val="006254D9"/>
    <w:rsid w:val="006255DE"/>
    <w:rsid w:val="006258AC"/>
    <w:rsid w:val="00625BB4"/>
    <w:rsid w:val="00625C1A"/>
    <w:rsid w:val="00625EE2"/>
    <w:rsid w:val="00626065"/>
    <w:rsid w:val="006266D9"/>
    <w:rsid w:val="00626763"/>
    <w:rsid w:val="00626AF4"/>
    <w:rsid w:val="00627123"/>
    <w:rsid w:val="006272C9"/>
    <w:rsid w:val="00627574"/>
    <w:rsid w:val="00627B95"/>
    <w:rsid w:val="00627E74"/>
    <w:rsid w:val="00630161"/>
    <w:rsid w:val="00630222"/>
    <w:rsid w:val="00630771"/>
    <w:rsid w:val="006308BA"/>
    <w:rsid w:val="006308CC"/>
    <w:rsid w:val="00630963"/>
    <w:rsid w:val="00630D45"/>
    <w:rsid w:val="00630D73"/>
    <w:rsid w:val="0063116A"/>
    <w:rsid w:val="006311D8"/>
    <w:rsid w:val="00631396"/>
    <w:rsid w:val="00631427"/>
    <w:rsid w:val="0063151D"/>
    <w:rsid w:val="006316A3"/>
    <w:rsid w:val="006319AC"/>
    <w:rsid w:val="00631BA0"/>
    <w:rsid w:val="00631DD6"/>
    <w:rsid w:val="006321A9"/>
    <w:rsid w:val="00632432"/>
    <w:rsid w:val="00632652"/>
    <w:rsid w:val="006326B6"/>
    <w:rsid w:val="006331E7"/>
    <w:rsid w:val="0063327C"/>
    <w:rsid w:val="0063345B"/>
    <w:rsid w:val="006335BC"/>
    <w:rsid w:val="00633814"/>
    <w:rsid w:val="0063382E"/>
    <w:rsid w:val="006338E1"/>
    <w:rsid w:val="00633A22"/>
    <w:rsid w:val="00633A25"/>
    <w:rsid w:val="00633AA3"/>
    <w:rsid w:val="00633D2E"/>
    <w:rsid w:val="00633EBB"/>
    <w:rsid w:val="00634171"/>
    <w:rsid w:val="00634470"/>
    <w:rsid w:val="00634765"/>
    <w:rsid w:val="006349AC"/>
    <w:rsid w:val="00634F23"/>
    <w:rsid w:val="0063511C"/>
    <w:rsid w:val="00635165"/>
    <w:rsid w:val="00635591"/>
    <w:rsid w:val="006359A4"/>
    <w:rsid w:val="00635DF5"/>
    <w:rsid w:val="00636314"/>
    <w:rsid w:val="00636574"/>
    <w:rsid w:val="006365D0"/>
    <w:rsid w:val="00636700"/>
    <w:rsid w:val="0063681D"/>
    <w:rsid w:val="00636AA2"/>
    <w:rsid w:val="00636DBC"/>
    <w:rsid w:val="00637778"/>
    <w:rsid w:val="006378C8"/>
    <w:rsid w:val="006379E0"/>
    <w:rsid w:val="00637DCF"/>
    <w:rsid w:val="00637FF6"/>
    <w:rsid w:val="00640011"/>
    <w:rsid w:val="0064065F"/>
    <w:rsid w:val="0064070F"/>
    <w:rsid w:val="0064078E"/>
    <w:rsid w:val="006408DA"/>
    <w:rsid w:val="00640DAE"/>
    <w:rsid w:val="00640E8E"/>
    <w:rsid w:val="00640FAF"/>
    <w:rsid w:val="006412AE"/>
    <w:rsid w:val="00641478"/>
    <w:rsid w:val="0064168B"/>
    <w:rsid w:val="00641C86"/>
    <w:rsid w:val="00641D6C"/>
    <w:rsid w:val="00641D6E"/>
    <w:rsid w:val="00641E2E"/>
    <w:rsid w:val="0064209A"/>
    <w:rsid w:val="00642196"/>
    <w:rsid w:val="00642249"/>
    <w:rsid w:val="0064228C"/>
    <w:rsid w:val="006423CA"/>
    <w:rsid w:val="0064259F"/>
    <w:rsid w:val="00642C73"/>
    <w:rsid w:val="0064327A"/>
    <w:rsid w:val="0064363D"/>
    <w:rsid w:val="0064365C"/>
    <w:rsid w:val="00643955"/>
    <w:rsid w:val="00643B02"/>
    <w:rsid w:val="006440ED"/>
    <w:rsid w:val="00644430"/>
    <w:rsid w:val="006445CF"/>
    <w:rsid w:val="00644637"/>
    <w:rsid w:val="00644A5A"/>
    <w:rsid w:val="00644B20"/>
    <w:rsid w:val="00645052"/>
    <w:rsid w:val="00645193"/>
    <w:rsid w:val="0064545B"/>
    <w:rsid w:val="00645E56"/>
    <w:rsid w:val="0064661E"/>
    <w:rsid w:val="0064680A"/>
    <w:rsid w:val="006468AE"/>
    <w:rsid w:val="00646EE4"/>
    <w:rsid w:val="00646FB4"/>
    <w:rsid w:val="00646FCA"/>
    <w:rsid w:val="00647182"/>
    <w:rsid w:val="0064718D"/>
    <w:rsid w:val="00647341"/>
    <w:rsid w:val="006475EB"/>
    <w:rsid w:val="00647739"/>
    <w:rsid w:val="00647C99"/>
    <w:rsid w:val="00647CE2"/>
    <w:rsid w:val="00650011"/>
    <w:rsid w:val="006502C4"/>
    <w:rsid w:val="006504C5"/>
    <w:rsid w:val="0065055D"/>
    <w:rsid w:val="0065086B"/>
    <w:rsid w:val="00650916"/>
    <w:rsid w:val="006509E7"/>
    <w:rsid w:val="00650BED"/>
    <w:rsid w:val="00650F1C"/>
    <w:rsid w:val="0065116E"/>
    <w:rsid w:val="00651323"/>
    <w:rsid w:val="00651352"/>
    <w:rsid w:val="006515A0"/>
    <w:rsid w:val="006516A7"/>
    <w:rsid w:val="006519C1"/>
    <w:rsid w:val="006519FF"/>
    <w:rsid w:val="00651BDD"/>
    <w:rsid w:val="0065290A"/>
    <w:rsid w:val="00652946"/>
    <w:rsid w:val="00652AFA"/>
    <w:rsid w:val="00652B72"/>
    <w:rsid w:val="00652C80"/>
    <w:rsid w:val="00652FF0"/>
    <w:rsid w:val="00653215"/>
    <w:rsid w:val="006532CC"/>
    <w:rsid w:val="006533A6"/>
    <w:rsid w:val="006533EA"/>
    <w:rsid w:val="006534D8"/>
    <w:rsid w:val="0065366C"/>
    <w:rsid w:val="006538F0"/>
    <w:rsid w:val="00653951"/>
    <w:rsid w:val="006539C0"/>
    <w:rsid w:val="00653ABD"/>
    <w:rsid w:val="006540EF"/>
    <w:rsid w:val="006544CB"/>
    <w:rsid w:val="006544EA"/>
    <w:rsid w:val="00654AA2"/>
    <w:rsid w:val="00655104"/>
    <w:rsid w:val="006553B8"/>
    <w:rsid w:val="00655743"/>
    <w:rsid w:val="00655C62"/>
    <w:rsid w:val="00655CF5"/>
    <w:rsid w:val="00655F1E"/>
    <w:rsid w:val="00655F30"/>
    <w:rsid w:val="006561DC"/>
    <w:rsid w:val="00656CE2"/>
    <w:rsid w:val="00657085"/>
    <w:rsid w:val="006571B5"/>
    <w:rsid w:val="00657279"/>
    <w:rsid w:val="00657366"/>
    <w:rsid w:val="00657487"/>
    <w:rsid w:val="00657643"/>
    <w:rsid w:val="0065766E"/>
    <w:rsid w:val="00657F16"/>
    <w:rsid w:val="00660084"/>
    <w:rsid w:val="00660AA6"/>
    <w:rsid w:val="00660B20"/>
    <w:rsid w:val="00660F5D"/>
    <w:rsid w:val="0066134E"/>
    <w:rsid w:val="00661B70"/>
    <w:rsid w:val="00661BDF"/>
    <w:rsid w:val="00661F34"/>
    <w:rsid w:val="006620A5"/>
    <w:rsid w:val="006621BC"/>
    <w:rsid w:val="00662456"/>
    <w:rsid w:val="00662614"/>
    <w:rsid w:val="0066267A"/>
    <w:rsid w:val="006626F7"/>
    <w:rsid w:val="00662A4F"/>
    <w:rsid w:val="00662A92"/>
    <w:rsid w:val="00662FE2"/>
    <w:rsid w:val="006639CC"/>
    <w:rsid w:val="00663A54"/>
    <w:rsid w:val="00663E63"/>
    <w:rsid w:val="0066400B"/>
    <w:rsid w:val="006645AF"/>
    <w:rsid w:val="00664606"/>
    <w:rsid w:val="0066473C"/>
    <w:rsid w:val="006647A2"/>
    <w:rsid w:val="006647C7"/>
    <w:rsid w:val="00664834"/>
    <w:rsid w:val="00665550"/>
    <w:rsid w:val="0066562F"/>
    <w:rsid w:val="00665815"/>
    <w:rsid w:val="0066589B"/>
    <w:rsid w:val="006659C5"/>
    <w:rsid w:val="00665DFC"/>
    <w:rsid w:val="00665ED1"/>
    <w:rsid w:val="00666342"/>
    <w:rsid w:val="00666549"/>
    <w:rsid w:val="0066658B"/>
    <w:rsid w:val="0066662C"/>
    <w:rsid w:val="0066688D"/>
    <w:rsid w:val="006669E9"/>
    <w:rsid w:val="00666A23"/>
    <w:rsid w:val="00666C5E"/>
    <w:rsid w:val="00666C86"/>
    <w:rsid w:val="00667322"/>
    <w:rsid w:val="00667582"/>
    <w:rsid w:val="00667648"/>
    <w:rsid w:val="0066779D"/>
    <w:rsid w:val="00667B03"/>
    <w:rsid w:val="00667C7E"/>
    <w:rsid w:val="00667CA8"/>
    <w:rsid w:val="00667DF8"/>
    <w:rsid w:val="0067032A"/>
    <w:rsid w:val="00670382"/>
    <w:rsid w:val="0067054A"/>
    <w:rsid w:val="00670812"/>
    <w:rsid w:val="006709B6"/>
    <w:rsid w:val="00671355"/>
    <w:rsid w:val="00671658"/>
    <w:rsid w:val="00671911"/>
    <w:rsid w:val="00671B38"/>
    <w:rsid w:val="00671BE4"/>
    <w:rsid w:val="00671E77"/>
    <w:rsid w:val="00672286"/>
    <w:rsid w:val="00672485"/>
    <w:rsid w:val="00672510"/>
    <w:rsid w:val="006726FE"/>
    <w:rsid w:val="00672CE2"/>
    <w:rsid w:val="00673033"/>
    <w:rsid w:val="006730CB"/>
    <w:rsid w:val="0067313E"/>
    <w:rsid w:val="006735BA"/>
    <w:rsid w:val="00673677"/>
    <w:rsid w:val="00673CDB"/>
    <w:rsid w:val="00673D75"/>
    <w:rsid w:val="0067424C"/>
    <w:rsid w:val="00674429"/>
    <w:rsid w:val="00674435"/>
    <w:rsid w:val="006745F6"/>
    <w:rsid w:val="006745FD"/>
    <w:rsid w:val="0067503A"/>
    <w:rsid w:val="00675401"/>
    <w:rsid w:val="00675533"/>
    <w:rsid w:val="006757D0"/>
    <w:rsid w:val="0067581F"/>
    <w:rsid w:val="00675856"/>
    <w:rsid w:val="00675B60"/>
    <w:rsid w:val="00675E96"/>
    <w:rsid w:val="0067628C"/>
    <w:rsid w:val="00676444"/>
    <w:rsid w:val="00676480"/>
    <w:rsid w:val="00676A15"/>
    <w:rsid w:val="00676F8A"/>
    <w:rsid w:val="0067707C"/>
    <w:rsid w:val="006776DF"/>
    <w:rsid w:val="00677878"/>
    <w:rsid w:val="00677C9F"/>
    <w:rsid w:val="00677FF5"/>
    <w:rsid w:val="0068018B"/>
    <w:rsid w:val="006802A0"/>
    <w:rsid w:val="00680662"/>
    <w:rsid w:val="00680953"/>
    <w:rsid w:val="00680B44"/>
    <w:rsid w:val="00680C0F"/>
    <w:rsid w:val="00680C7D"/>
    <w:rsid w:val="00680D21"/>
    <w:rsid w:val="0068103C"/>
    <w:rsid w:val="00681097"/>
    <w:rsid w:val="0068176F"/>
    <w:rsid w:val="00681AA5"/>
    <w:rsid w:val="00681AD4"/>
    <w:rsid w:val="00681DB2"/>
    <w:rsid w:val="00681E6D"/>
    <w:rsid w:val="00681F76"/>
    <w:rsid w:val="006820C1"/>
    <w:rsid w:val="0068211C"/>
    <w:rsid w:val="006826AC"/>
    <w:rsid w:val="006826DE"/>
    <w:rsid w:val="006828CC"/>
    <w:rsid w:val="00682A85"/>
    <w:rsid w:val="00682D99"/>
    <w:rsid w:val="00682E58"/>
    <w:rsid w:val="00682F52"/>
    <w:rsid w:val="0068344A"/>
    <w:rsid w:val="00683644"/>
    <w:rsid w:val="00683765"/>
    <w:rsid w:val="0068398F"/>
    <w:rsid w:val="006839BD"/>
    <w:rsid w:val="00683C59"/>
    <w:rsid w:val="0068454C"/>
    <w:rsid w:val="00684858"/>
    <w:rsid w:val="006849C3"/>
    <w:rsid w:val="00684ABF"/>
    <w:rsid w:val="00684B76"/>
    <w:rsid w:val="00684E05"/>
    <w:rsid w:val="00684E48"/>
    <w:rsid w:val="00684EBC"/>
    <w:rsid w:val="0068525D"/>
    <w:rsid w:val="006852AE"/>
    <w:rsid w:val="00685E4C"/>
    <w:rsid w:val="00685EB6"/>
    <w:rsid w:val="00686065"/>
    <w:rsid w:val="0068608C"/>
    <w:rsid w:val="0068655E"/>
    <w:rsid w:val="006867D8"/>
    <w:rsid w:val="00686948"/>
    <w:rsid w:val="00686B55"/>
    <w:rsid w:val="00686C47"/>
    <w:rsid w:val="00686EC1"/>
    <w:rsid w:val="00687306"/>
    <w:rsid w:val="006873A7"/>
    <w:rsid w:val="006875B4"/>
    <w:rsid w:val="0068775F"/>
    <w:rsid w:val="00687B7B"/>
    <w:rsid w:val="00687B87"/>
    <w:rsid w:val="006900D3"/>
    <w:rsid w:val="006901C4"/>
    <w:rsid w:val="006903E8"/>
    <w:rsid w:val="00690C5E"/>
    <w:rsid w:val="00690D72"/>
    <w:rsid w:val="00690EA7"/>
    <w:rsid w:val="00691084"/>
    <w:rsid w:val="0069149A"/>
    <w:rsid w:val="006915A8"/>
    <w:rsid w:val="006915C9"/>
    <w:rsid w:val="00691839"/>
    <w:rsid w:val="00691DFA"/>
    <w:rsid w:val="006924C7"/>
    <w:rsid w:val="00692800"/>
    <w:rsid w:val="0069289D"/>
    <w:rsid w:val="006929F1"/>
    <w:rsid w:val="00692B1C"/>
    <w:rsid w:val="00692CDE"/>
    <w:rsid w:val="006931C7"/>
    <w:rsid w:val="006931DA"/>
    <w:rsid w:val="0069381B"/>
    <w:rsid w:val="00693BEE"/>
    <w:rsid w:val="00693CCE"/>
    <w:rsid w:val="00693D07"/>
    <w:rsid w:val="00694185"/>
    <w:rsid w:val="006942BA"/>
    <w:rsid w:val="006945CF"/>
    <w:rsid w:val="00694657"/>
    <w:rsid w:val="0069475D"/>
    <w:rsid w:val="00694A77"/>
    <w:rsid w:val="00694BF3"/>
    <w:rsid w:val="00694D2C"/>
    <w:rsid w:val="0069520A"/>
    <w:rsid w:val="006952D3"/>
    <w:rsid w:val="00695376"/>
    <w:rsid w:val="0069563E"/>
    <w:rsid w:val="006957BE"/>
    <w:rsid w:val="00695845"/>
    <w:rsid w:val="00695A6F"/>
    <w:rsid w:val="00696238"/>
    <w:rsid w:val="00696571"/>
    <w:rsid w:val="00696CBF"/>
    <w:rsid w:val="006971BF"/>
    <w:rsid w:val="006974F9"/>
    <w:rsid w:val="00697677"/>
    <w:rsid w:val="00697888"/>
    <w:rsid w:val="006979C8"/>
    <w:rsid w:val="006979EB"/>
    <w:rsid w:val="00697BE2"/>
    <w:rsid w:val="00697C92"/>
    <w:rsid w:val="00697DAB"/>
    <w:rsid w:val="00697FA3"/>
    <w:rsid w:val="006A001A"/>
    <w:rsid w:val="006A0188"/>
    <w:rsid w:val="006A03EB"/>
    <w:rsid w:val="006A0422"/>
    <w:rsid w:val="006A0A74"/>
    <w:rsid w:val="006A0D39"/>
    <w:rsid w:val="006A0E52"/>
    <w:rsid w:val="006A1274"/>
    <w:rsid w:val="006A1319"/>
    <w:rsid w:val="006A132F"/>
    <w:rsid w:val="006A145F"/>
    <w:rsid w:val="006A16D7"/>
    <w:rsid w:val="006A1F5E"/>
    <w:rsid w:val="006A238E"/>
    <w:rsid w:val="006A239E"/>
    <w:rsid w:val="006A23CB"/>
    <w:rsid w:val="006A2403"/>
    <w:rsid w:val="006A276C"/>
    <w:rsid w:val="006A2770"/>
    <w:rsid w:val="006A2D32"/>
    <w:rsid w:val="006A2D36"/>
    <w:rsid w:val="006A3758"/>
    <w:rsid w:val="006A3948"/>
    <w:rsid w:val="006A3B5B"/>
    <w:rsid w:val="006A3DF0"/>
    <w:rsid w:val="006A3E38"/>
    <w:rsid w:val="006A412C"/>
    <w:rsid w:val="006A42CC"/>
    <w:rsid w:val="006A4345"/>
    <w:rsid w:val="006A457D"/>
    <w:rsid w:val="006A482D"/>
    <w:rsid w:val="006A48DA"/>
    <w:rsid w:val="006A49C3"/>
    <w:rsid w:val="006A4A55"/>
    <w:rsid w:val="006A4D2B"/>
    <w:rsid w:val="006A4E3A"/>
    <w:rsid w:val="006A4FB8"/>
    <w:rsid w:val="006A503B"/>
    <w:rsid w:val="006A51B9"/>
    <w:rsid w:val="006A51BA"/>
    <w:rsid w:val="006A52B7"/>
    <w:rsid w:val="006A532B"/>
    <w:rsid w:val="006A538E"/>
    <w:rsid w:val="006A5418"/>
    <w:rsid w:val="006A5D74"/>
    <w:rsid w:val="006A5F6F"/>
    <w:rsid w:val="006A62D8"/>
    <w:rsid w:val="006A6500"/>
    <w:rsid w:val="006A6AFA"/>
    <w:rsid w:val="006A6BB5"/>
    <w:rsid w:val="006A6CE8"/>
    <w:rsid w:val="006A6D82"/>
    <w:rsid w:val="006A75E0"/>
    <w:rsid w:val="006A77D5"/>
    <w:rsid w:val="006A7A78"/>
    <w:rsid w:val="006A7B2A"/>
    <w:rsid w:val="006A7F25"/>
    <w:rsid w:val="006B00D8"/>
    <w:rsid w:val="006B0431"/>
    <w:rsid w:val="006B05C7"/>
    <w:rsid w:val="006B06BB"/>
    <w:rsid w:val="006B088F"/>
    <w:rsid w:val="006B0946"/>
    <w:rsid w:val="006B0E73"/>
    <w:rsid w:val="006B114A"/>
    <w:rsid w:val="006B1195"/>
    <w:rsid w:val="006B1880"/>
    <w:rsid w:val="006B219E"/>
    <w:rsid w:val="006B220F"/>
    <w:rsid w:val="006B236B"/>
    <w:rsid w:val="006B2900"/>
    <w:rsid w:val="006B2A21"/>
    <w:rsid w:val="006B3280"/>
    <w:rsid w:val="006B3369"/>
    <w:rsid w:val="006B36F0"/>
    <w:rsid w:val="006B386F"/>
    <w:rsid w:val="006B38B9"/>
    <w:rsid w:val="006B3B15"/>
    <w:rsid w:val="006B3B2D"/>
    <w:rsid w:val="006B3B3E"/>
    <w:rsid w:val="006B3BC3"/>
    <w:rsid w:val="006B3C33"/>
    <w:rsid w:val="006B3F72"/>
    <w:rsid w:val="006B4C53"/>
    <w:rsid w:val="006B4E05"/>
    <w:rsid w:val="006B4EFD"/>
    <w:rsid w:val="006B51D6"/>
    <w:rsid w:val="006B5545"/>
    <w:rsid w:val="006B5552"/>
    <w:rsid w:val="006B5755"/>
    <w:rsid w:val="006B5A71"/>
    <w:rsid w:val="006B5DA7"/>
    <w:rsid w:val="006B6044"/>
    <w:rsid w:val="006B60BB"/>
    <w:rsid w:val="006B628F"/>
    <w:rsid w:val="006B65D1"/>
    <w:rsid w:val="006B66C0"/>
    <w:rsid w:val="006B69DB"/>
    <w:rsid w:val="006B6B76"/>
    <w:rsid w:val="006B6C5D"/>
    <w:rsid w:val="006B6C79"/>
    <w:rsid w:val="006B6F5B"/>
    <w:rsid w:val="006B7AD3"/>
    <w:rsid w:val="006B7BE6"/>
    <w:rsid w:val="006B7D29"/>
    <w:rsid w:val="006B7D30"/>
    <w:rsid w:val="006B7DF9"/>
    <w:rsid w:val="006C07AE"/>
    <w:rsid w:val="006C08E5"/>
    <w:rsid w:val="006C0AF2"/>
    <w:rsid w:val="006C0B51"/>
    <w:rsid w:val="006C0EFD"/>
    <w:rsid w:val="006C0F01"/>
    <w:rsid w:val="006C11F4"/>
    <w:rsid w:val="006C1594"/>
    <w:rsid w:val="006C15D2"/>
    <w:rsid w:val="006C188B"/>
    <w:rsid w:val="006C18B5"/>
    <w:rsid w:val="006C1DD7"/>
    <w:rsid w:val="006C1FE0"/>
    <w:rsid w:val="006C2089"/>
    <w:rsid w:val="006C28E1"/>
    <w:rsid w:val="006C2913"/>
    <w:rsid w:val="006C2936"/>
    <w:rsid w:val="006C2976"/>
    <w:rsid w:val="006C2B12"/>
    <w:rsid w:val="006C2EB8"/>
    <w:rsid w:val="006C2F60"/>
    <w:rsid w:val="006C3043"/>
    <w:rsid w:val="006C321D"/>
    <w:rsid w:val="006C349C"/>
    <w:rsid w:val="006C34E2"/>
    <w:rsid w:val="006C354B"/>
    <w:rsid w:val="006C3821"/>
    <w:rsid w:val="006C3914"/>
    <w:rsid w:val="006C398E"/>
    <w:rsid w:val="006C39DF"/>
    <w:rsid w:val="006C3C24"/>
    <w:rsid w:val="006C3F20"/>
    <w:rsid w:val="006C3F7A"/>
    <w:rsid w:val="006C3F8E"/>
    <w:rsid w:val="006C4390"/>
    <w:rsid w:val="006C4CA2"/>
    <w:rsid w:val="006C5405"/>
    <w:rsid w:val="006C54D9"/>
    <w:rsid w:val="006C54DB"/>
    <w:rsid w:val="006C57C3"/>
    <w:rsid w:val="006C583D"/>
    <w:rsid w:val="006C59F3"/>
    <w:rsid w:val="006C5C18"/>
    <w:rsid w:val="006C5C64"/>
    <w:rsid w:val="006C62F6"/>
    <w:rsid w:val="006C6348"/>
    <w:rsid w:val="006C6849"/>
    <w:rsid w:val="006C6E9F"/>
    <w:rsid w:val="006C715F"/>
    <w:rsid w:val="006C71D1"/>
    <w:rsid w:val="006C767C"/>
    <w:rsid w:val="006C77CD"/>
    <w:rsid w:val="006C7D96"/>
    <w:rsid w:val="006C7E47"/>
    <w:rsid w:val="006C7FFC"/>
    <w:rsid w:val="006D0288"/>
    <w:rsid w:val="006D04F4"/>
    <w:rsid w:val="006D07B8"/>
    <w:rsid w:val="006D0AFE"/>
    <w:rsid w:val="006D102D"/>
    <w:rsid w:val="006D13BE"/>
    <w:rsid w:val="006D194C"/>
    <w:rsid w:val="006D1DB2"/>
    <w:rsid w:val="006D1F86"/>
    <w:rsid w:val="006D21F9"/>
    <w:rsid w:val="006D2208"/>
    <w:rsid w:val="006D24BB"/>
    <w:rsid w:val="006D2D1C"/>
    <w:rsid w:val="006D2D5E"/>
    <w:rsid w:val="006D2D6F"/>
    <w:rsid w:val="006D2DF6"/>
    <w:rsid w:val="006D2F66"/>
    <w:rsid w:val="006D3620"/>
    <w:rsid w:val="006D3FF2"/>
    <w:rsid w:val="006D43F2"/>
    <w:rsid w:val="006D440F"/>
    <w:rsid w:val="006D47C1"/>
    <w:rsid w:val="006D494F"/>
    <w:rsid w:val="006D4CCD"/>
    <w:rsid w:val="006D4D19"/>
    <w:rsid w:val="006D4E5C"/>
    <w:rsid w:val="006D4FC3"/>
    <w:rsid w:val="006D5231"/>
    <w:rsid w:val="006D56EC"/>
    <w:rsid w:val="006D5792"/>
    <w:rsid w:val="006D5AFE"/>
    <w:rsid w:val="006D5D57"/>
    <w:rsid w:val="006D5EEF"/>
    <w:rsid w:val="006D6217"/>
    <w:rsid w:val="006D6219"/>
    <w:rsid w:val="006D65FE"/>
    <w:rsid w:val="006D68FD"/>
    <w:rsid w:val="006D6977"/>
    <w:rsid w:val="006D69D9"/>
    <w:rsid w:val="006D6A64"/>
    <w:rsid w:val="006D6C5C"/>
    <w:rsid w:val="006D7411"/>
    <w:rsid w:val="006D75C2"/>
    <w:rsid w:val="006D7609"/>
    <w:rsid w:val="006D771A"/>
    <w:rsid w:val="006D7841"/>
    <w:rsid w:val="006D78BD"/>
    <w:rsid w:val="006D7F8A"/>
    <w:rsid w:val="006D7FC0"/>
    <w:rsid w:val="006E01C3"/>
    <w:rsid w:val="006E0232"/>
    <w:rsid w:val="006E062B"/>
    <w:rsid w:val="006E0EC7"/>
    <w:rsid w:val="006E0F7B"/>
    <w:rsid w:val="006E1053"/>
    <w:rsid w:val="006E12F4"/>
    <w:rsid w:val="006E16EB"/>
    <w:rsid w:val="006E1821"/>
    <w:rsid w:val="006E18C1"/>
    <w:rsid w:val="006E191D"/>
    <w:rsid w:val="006E1A81"/>
    <w:rsid w:val="006E1D5F"/>
    <w:rsid w:val="006E2000"/>
    <w:rsid w:val="006E203E"/>
    <w:rsid w:val="006E2082"/>
    <w:rsid w:val="006E2269"/>
    <w:rsid w:val="006E2459"/>
    <w:rsid w:val="006E2700"/>
    <w:rsid w:val="006E2909"/>
    <w:rsid w:val="006E2958"/>
    <w:rsid w:val="006E2EBA"/>
    <w:rsid w:val="006E3326"/>
    <w:rsid w:val="006E3438"/>
    <w:rsid w:val="006E369F"/>
    <w:rsid w:val="006E36DF"/>
    <w:rsid w:val="006E374C"/>
    <w:rsid w:val="006E37E1"/>
    <w:rsid w:val="006E3852"/>
    <w:rsid w:val="006E3AF1"/>
    <w:rsid w:val="006E3BD4"/>
    <w:rsid w:val="006E3C35"/>
    <w:rsid w:val="006E3E2F"/>
    <w:rsid w:val="006E41C0"/>
    <w:rsid w:val="006E4292"/>
    <w:rsid w:val="006E4530"/>
    <w:rsid w:val="006E4543"/>
    <w:rsid w:val="006E456A"/>
    <w:rsid w:val="006E46A2"/>
    <w:rsid w:val="006E4785"/>
    <w:rsid w:val="006E49FF"/>
    <w:rsid w:val="006E4D71"/>
    <w:rsid w:val="006E4E1D"/>
    <w:rsid w:val="006E50FB"/>
    <w:rsid w:val="006E5211"/>
    <w:rsid w:val="006E523B"/>
    <w:rsid w:val="006E5271"/>
    <w:rsid w:val="006E56B5"/>
    <w:rsid w:val="006E5720"/>
    <w:rsid w:val="006E5A63"/>
    <w:rsid w:val="006E5FAD"/>
    <w:rsid w:val="006E6177"/>
    <w:rsid w:val="006E61B2"/>
    <w:rsid w:val="006E647D"/>
    <w:rsid w:val="006E650F"/>
    <w:rsid w:val="006E6722"/>
    <w:rsid w:val="006E68DE"/>
    <w:rsid w:val="006E6922"/>
    <w:rsid w:val="006E69D3"/>
    <w:rsid w:val="006E6A61"/>
    <w:rsid w:val="006E6B14"/>
    <w:rsid w:val="006E6B4D"/>
    <w:rsid w:val="006E6B5C"/>
    <w:rsid w:val="006E6CDD"/>
    <w:rsid w:val="006E7177"/>
    <w:rsid w:val="006E7311"/>
    <w:rsid w:val="006E745A"/>
    <w:rsid w:val="006E7650"/>
    <w:rsid w:val="006E7968"/>
    <w:rsid w:val="006E7B9F"/>
    <w:rsid w:val="006E7E18"/>
    <w:rsid w:val="006F0075"/>
    <w:rsid w:val="006F036E"/>
    <w:rsid w:val="006F03C0"/>
    <w:rsid w:val="006F085C"/>
    <w:rsid w:val="006F0A74"/>
    <w:rsid w:val="006F0A84"/>
    <w:rsid w:val="006F0ACA"/>
    <w:rsid w:val="006F0F96"/>
    <w:rsid w:val="006F15F3"/>
    <w:rsid w:val="006F18AA"/>
    <w:rsid w:val="006F19DA"/>
    <w:rsid w:val="006F1A98"/>
    <w:rsid w:val="006F2121"/>
    <w:rsid w:val="006F2456"/>
    <w:rsid w:val="006F30E5"/>
    <w:rsid w:val="006F3189"/>
    <w:rsid w:val="006F408A"/>
    <w:rsid w:val="006F408D"/>
    <w:rsid w:val="006F42B6"/>
    <w:rsid w:val="006F4304"/>
    <w:rsid w:val="006F4522"/>
    <w:rsid w:val="006F4728"/>
    <w:rsid w:val="006F492F"/>
    <w:rsid w:val="006F4A18"/>
    <w:rsid w:val="006F4C35"/>
    <w:rsid w:val="006F4D2F"/>
    <w:rsid w:val="006F4FDB"/>
    <w:rsid w:val="006F4FE7"/>
    <w:rsid w:val="006F5034"/>
    <w:rsid w:val="006F51CD"/>
    <w:rsid w:val="006F5455"/>
    <w:rsid w:val="006F54BF"/>
    <w:rsid w:val="006F5518"/>
    <w:rsid w:val="006F5537"/>
    <w:rsid w:val="006F5B02"/>
    <w:rsid w:val="006F5D8F"/>
    <w:rsid w:val="006F6280"/>
    <w:rsid w:val="006F62B0"/>
    <w:rsid w:val="006F648A"/>
    <w:rsid w:val="006F6639"/>
    <w:rsid w:val="006F6998"/>
    <w:rsid w:val="006F6BA5"/>
    <w:rsid w:val="006F6C58"/>
    <w:rsid w:val="006F6DB8"/>
    <w:rsid w:val="006F6E82"/>
    <w:rsid w:val="006F719E"/>
    <w:rsid w:val="006F71F0"/>
    <w:rsid w:val="006F7378"/>
    <w:rsid w:val="006F7409"/>
    <w:rsid w:val="006F7AD4"/>
    <w:rsid w:val="006F7C52"/>
    <w:rsid w:val="006F7CAA"/>
    <w:rsid w:val="00700120"/>
    <w:rsid w:val="00700B17"/>
    <w:rsid w:val="007011A0"/>
    <w:rsid w:val="007012A9"/>
    <w:rsid w:val="007013A3"/>
    <w:rsid w:val="007015F5"/>
    <w:rsid w:val="00701CA5"/>
    <w:rsid w:val="00701D71"/>
    <w:rsid w:val="00701DBE"/>
    <w:rsid w:val="00702058"/>
    <w:rsid w:val="00702156"/>
    <w:rsid w:val="00702245"/>
    <w:rsid w:val="0070239A"/>
    <w:rsid w:val="00702538"/>
    <w:rsid w:val="00702A24"/>
    <w:rsid w:val="00702D03"/>
    <w:rsid w:val="00702DED"/>
    <w:rsid w:val="0070313F"/>
    <w:rsid w:val="00703198"/>
    <w:rsid w:val="0070331C"/>
    <w:rsid w:val="007035FE"/>
    <w:rsid w:val="0070364F"/>
    <w:rsid w:val="00703C3C"/>
    <w:rsid w:val="00703E59"/>
    <w:rsid w:val="00703E69"/>
    <w:rsid w:val="00703FD9"/>
    <w:rsid w:val="00704201"/>
    <w:rsid w:val="0070427F"/>
    <w:rsid w:val="00704497"/>
    <w:rsid w:val="007045D7"/>
    <w:rsid w:val="00704735"/>
    <w:rsid w:val="00704958"/>
    <w:rsid w:val="007049E4"/>
    <w:rsid w:val="00704DF9"/>
    <w:rsid w:val="00704E2F"/>
    <w:rsid w:val="00705251"/>
    <w:rsid w:val="0070545E"/>
    <w:rsid w:val="007054B9"/>
    <w:rsid w:val="00705547"/>
    <w:rsid w:val="0070570C"/>
    <w:rsid w:val="00705ED2"/>
    <w:rsid w:val="00706026"/>
    <w:rsid w:val="007060C1"/>
    <w:rsid w:val="0070631A"/>
    <w:rsid w:val="00707019"/>
    <w:rsid w:val="007070AB"/>
    <w:rsid w:val="007071EB"/>
    <w:rsid w:val="00707241"/>
    <w:rsid w:val="007075D8"/>
    <w:rsid w:val="0070772B"/>
    <w:rsid w:val="00707A16"/>
    <w:rsid w:val="00707AA0"/>
    <w:rsid w:val="00707AFC"/>
    <w:rsid w:val="00707DDE"/>
    <w:rsid w:val="00707E47"/>
    <w:rsid w:val="00707FB9"/>
    <w:rsid w:val="007101CE"/>
    <w:rsid w:val="007101E5"/>
    <w:rsid w:val="00710260"/>
    <w:rsid w:val="00710430"/>
    <w:rsid w:val="007106D5"/>
    <w:rsid w:val="00710BAB"/>
    <w:rsid w:val="00710BC0"/>
    <w:rsid w:val="007111D2"/>
    <w:rsid w:val="007112E3"/>
    <w:rsid w:val="007113E9"/>
    <w:rsid w:val="0071164A"/>
    <w:rsid w:val="00711873"/>
    <w:rsid w:val="00711D09"/>
    <w:rsid w:val="00712949"/>
    <w:rsid w:val="00712A71"/>
    <w:rsid w:val="00712AED"/>
    <w:rsid w:val="00712B98"/>
    <w:rsid w:val="00712BA9"/>
    <w:rsid w:val="00712C96"/>
    <w:rsid w:val="00712D23"/>
    <w:rsid w:val="00712E27"/>
    <w:rsid w:val="00712F07"/>
    <w:rsid w:val="007130DA"/>
    <w:rsid w:val="0071312B"/>
    <w:rsid w:val="00713232"/>
    <w:rsid w:val="00713629"/>
    <w:rsid w:val="00713672"/>
    <w:rsid w:val="0071387D"/>
    <w:rsid w:val="00713B93"/>
    <w:rsid w:val="00713CA8"/>
    <w:rsid w:val="00713E75"/>
    <w:rsid w:val="00713ED9"/>
    <w:rsid w:val="00714012"/>
    <w:rsid w:val="007140F5"/>
    <w:rsid w:val="007142A4"/>
    <w:rsid w:val="007142AA"/>
    <w:rsid w:val="007144C1"/>
    <w:rsid w:val="007145D1"/>
    <w:rsid w:val="007147B9"/>
    <w:rsid w:val="00714975"/>
    <w:rsid w:val="00714F26"/>
    <w:rsid w:val="00715113"/>
    <w:rsid w:val="00715AEC"/>
    <w:rsid w:val="00715EC4"/>
    <w:rsid w:val="007164F7"/>
    <w:rsid w:val="00716D77"/>
    <w:rsid w:val="0071706C"/>
    <w:rsid w:val="0071751E"/>
    <w:rsid w:val="00717CCA"/>
    <w:rsid w:val="0072027C"/>
    <w:rsid w:val="00720358"/>
    <w:rsid w:val="00720BD4"/>
    <w:rsid w:val="00720F7E"/>
    <w:rsid w:val="00720FA9"/>
    <w:rsid w:val="007212F6"/>
    <w:rsid w:val="007216F8"/>
    <w:rsid w:val="00721AD9"/>
    <w:rsid w:val="00721C9A"/>
    <w:rsid w:val="00721D94"/>
    <w:rsid w:val="00721DBD"/>
    <w:rsid w:val="0072223C"/>
    <w:rsid w:val="007222E9"/>
    <w:rsid w:val="0072233D"/>
    <w:rsid w:val="007223AE"/>
    <w:rsid w:val="007223E5"/>
    <w:rsid w:val="0072249B"/>
    <w:rsid w:val="007225E8"/>
    <w:rsid w:val="00722626"/>
    <w:rsid w:val="00722852"/>
    <w:rsid w:val="00722883"/>
    <w:rsid w:val="007229B1"/>
    <w:rsid w:val="00722D08"/>
    <w:rsid w:val="00723103"/>
    <w:rsid w:val="00723108"/>
    <w:rsid w:val="007231BF"/>
    <w:rsid w:val="00723724"/>
    <w:rsid w:val="007237F0"/>
    <w:rsid w:val="00723955"/>
    <w:rsid w:val="00723C43"/>
    <w:rsid w:val="00723F43"/>
    <w:rsid w:val="00724113"/>
    <w:rsid w:val="00724742"/>
    <w:rsid w:val="00724F0F"/>
    <w:rsid w:val="00725147"/>
    <w:rsid w:val="007257B5"/>
    <w:rsid w:val="00725965"/>
    <w:rsid w:val="00725B92"/>
    <w:rsid w:val="00725DFF"/>
    <w:rsid w:val="00725F72"/>
    <w:rsid w:val="00725F92"/>
    <w:rsid w:val="0072675D"/>
    <w:rsid w:val="007268EA"/>
    <w:rsid w:val="00726AE0"/>
    <w:rsid w:val="00726C4E"/>
    <w:rsid w:val="00726F84"/>
    <w:rsid w:val="0072706D"/>
    <w:rsid w:val="007272DF"/>
    <w:rsid w:val="00727462"/>
    <w:rsid w:val="0072764A"/>
    <w:rsid w:val="007277D0"/>
    <w:rsid w:val="00727B0C"/>
    <w:rsid w:val="0073016B"/>
    <w:rsid w:val="0073038B"/>
    <w:rsid w:val="0073041D"/>
    <w:rsid w:val="00730898"/>
    <w:rsid w:val="0073097D"/>
    <w:rsid w:val="00730981"/>
    <w:rsid w:val="00730A9A"/>
    <w:rsid w:val="00730C72"/>
    <w:rsid w:val="00730E65"/>
    <w:rsid w:val="00731ED1"/>
    <w:rsid w:val="0073213D"/>
    <w:rsid w:val="00732186"/>
    <w:rsid w:val="007322FC"/>
    <w:rsid w:val="0073230A"/>
    <w:rsid w:val="00732402"/>
    <w:rsid w:val="00732478"/>
    <w:rsid w:val="007328EE"/>
    <w:rsid w:val="0073296E"/>
    <w:rsid w:val="00732DCA"/>
    <w:rsid w:val="00732DD8"/>
    <w:rsid w:val="00732ECD"/>
    <w:rsid w:val="00732F0B"/>
    <w:rsid w:val="00733456"/>
    <w:rsid w:val="00733480"/>
    <w:rsid w:val="00733556"/>
    <w:rsid w:val="00733796"/>
    <w:rsid w:val="007339B1"/>
    <w:rsid w:val="00733A45"/>
    <w:rsid w:val="00733ACE"/>
    <w:rsid w:val="00733B8D"/>
    <w:rsid w:val="0073475A"/>
    <w:rsid w:val="007349C5"/>
    <w:rsid w:val="00734BDB"/>
    <w:rsid w:val="00734E0A"/>
    <w:rsid w:val="00734ED4"/>
    <w:rsid w:val="00734F52"/>
    <w:rsid w:val="0073504F"/>
    <w:rsid w:val="00735539"/>
    <w:rsid w:val="007357B9"/>
    <w:rsid w:val="00735A4C"/>
    <w:rsid w:val="00735F4B"/>
    <w:rsid w:val="00735FB3"/>
    <w:rsid w:val="007366C1"/>
    <w:rsid w:val="007367BA"/>
    <w:rsid w:val="00736D2E"/>
    <w:rsid w:val="00736DB1"/>
    <w:rsid w:val="007370CB"/>
    <w:rsid w:val="00737262"/>
    <w:rsid w:val="00737AD3"/>
    <w:rsid w:val="00737AF6"/>
    <w:rsid w:val="00737B5B"/>
    <w:rsid w:val="00737C1F"/>
    <w:rsid w:val="00740326"/>
    <w:rsid w:val="0074051E"/>
    <w:rsid w:val="0074087B"/>
    <w:rsid w:val="007408F0"/>
    <w:rsid w:val="00740ED7"/>
    <w:rsid w:val="007414C0"/>
    <w:rsid w:val="007419D9"/>
    <w:rsid w:val="0074239E"/>
    <w:rsid w:val="0074260B"/>
    <w:rsid w:val="00742631"/>
    <w:rsid w:val="0074269B"/>
    <w:rsid w:val="00742AB2"/>
    <w:rsid w:val="00742D30"/>
    <w:rsid w:val="00742DC3"/>
    <w:rsid w:val="00743451"/>
    <w:rsid w:val="0074397D"/>
    <w:rsid w:val="007439E3"/>
    <w:rsid w:val="00743B86"/>
    <w:rsid w:val="00743D1E"/>
    <w:rsid w:val="00744593"/>
    <w:rsid w:val="007447F1"/>
    <w:rsid w:val="0074484C"/>
    <w:rsid w:val="007448E5"/>
    <w:rsid w:val="00744B5E"/>
    <w:rsid w:val="007450C8"/>
    <w:rsid w:val="007450EF"/>
    <w:rsid w:val="007453CD"/>
    <w:rsid w:val="007455AF"/>
    <w:rsid w:val="0074562B"/>
    <w:rsid w:val="007457AF"/>
    <w:rsid w:val="007457D3"/>
    <w:rsid w:val="00745990"/>
    <w:rsid w:val="00745AA6"/>
    <w:rsid w:val="00745C36"/>
    <w:rsid w:val="0074622E"/>
    <w:rsid w:val="007462D5"/>
    <w:rsid w:val="007462EA"/>
    <w:rsid w:val="0074686B"/>
    <w:rsid w:val="0074688D"/>
    <w:rsid w:val="007469A9"/>
    <w:rsid w:val="00746C0C"/>
    <w:rsid w:val="00746EB5"/>
    <w:rsid w:val="00747291"/>
    <w:rsid w:val="00747823"/>
    <w:rsid w:val="00747D82"/>
    <w:rsid w:val="00747E01"/>
    <w:rsid w:val="0075052A"/>
    <w:rsid w:val="00750685"/>
    <w:rsid w:val="0075074C"/>
    <w:rsid w:val="00750A00"/>
    <w:rsid w:val="00750BED"/>
    <w:rsid w:val="00750D9D"/>
    <w:rsid w:val="00751118"/>
    <w:rsid w:val="00751BCB"/>
    <w:rsid w:val="0075202D"/>
    <w:rsid w:val="007521F6"/>
    <w:rsid w:val="00752236"/>
    <w:rsid w:val="00752480"/>
    <w:rsid w:val="0075254F"/>
    <w:rsid w:val="00752A5D"/>
    <w:rsid w:val="00752BFF"/>
    <w:rsid w:val="00752CD3"/>
    <w:rsid w:val="00752CF9"/>
    <w:rsid w:val="00752DCC"/>
    <w:rsid w:val="007532B7"/>
    <w:rsid w:val="00753486"/>
    <w:rsid w:val="0075349C"/>
    <w:rsid w:val="007537E8"/>
    <w:rsid w:val="00753A57"/>
    <w:rsid w:val="00753A81"/>
    <w:rsid w:val="00753C31"/>
    <w:rsid w:val="00753D67"/>
    <w:rsid w:val="0075404F"/>
    <w:rsid w:val="007545B0"/>
    <w:rsid w:val="00754DE6"/>
    <w:rsid w:val="00754FBA"/>
    <w:rsid w:val="00755330"/>
    <w:rsid w:val="0075547C"/>
    <w:rsid w:val="00755538"/>
    <w:rsid w:val="0075553D"/>
    <w:rsid w:val="007555DB"/>
    <w:rsid w:val="00755BC4"/>
    <w:rsid w:val="00756241"/>
    <w:rsid w:val="007562B3"/>
    <w:rsid w:val="00756720"/>
    <w:rsid w:val="007568F1"/>
    <w:rsid w:val="00756A28"/>
    <w:rsid w:val="00756DEA"/>
    <w:rsid w:val="007570D0"/>
    <w:rsid w:val="007575B7"/>
    <w:rsid w:val="00757682"/>
    <w:rsid w:val="007578B7"/>
    <w:rsid w:val="0075794E"/>
    <w:rsid w:val="007579B2"/>
    <w:rsid w:val="00757ADB"/>
    <w:rsid w:val="00757C07"/>
    <w:rsid w:val="00757CDA"/>
    <w:rsid w:val="00757D08"/>
    <w:rsid w:val="00757F51"/>
    <w:rsid w:val="00757F5C"/>
    <w:rsid w:val="00757FD5"/>
    <w:rsid w:val="0076021E"/>
    <w:rsid w:val="00760562"/>
    <w:rsid w:val="00760703"/>
    <w:rsid w:val="00761232"/>
    <w:rsid w:val="007614DF"/>
    <w:rsid w:val="00761505"/>
    <w:rsid w:val="00761B04"/>
    <w:rsid w:val="00761FF2"/>
    <w:rsid w:val="007623F4"/>
    <w:rsid w:val="00762499"/>
    <w:rsid w:val="00762645"/>
    <w:rsid w:val="007626EA"/>
    <w:rsid w:val="007627AA"/>
    <w:rsid w:val="00762D0D"/>
    <w:rsid w:val="00762FDC"/>
    <w:rsid w:val="00763428"/>
    <w:rsid w:val="007635B1"/>
    <w:rsid w:val="00763973"/>
    <w:rsid w:val="00763A66"/>
    <w:rsid w:val="0076415C"/>
    <w:rsid w:val="007641D1"/>
    <w:rsid w:val="0076433B"/>
    <w:rsid w:val="00764C7A"/>
    <w:rsid w:val="00764E91"/>
    <w:rsid w:val="00764F34"/>
    <w:rsid w:val="00764F45"/>
    <w:rsid w:val="00765086"/>
    <w:rsid w:val="00765473"/>
    <w:rsid w:val="00765600"/>
    <w:rsid w:val="007658C3"/>
    <w:rsid w:val="00765928"/>
    <w:rsid w:val="0076597D"/>
    <w:rsid w:val="007659AA"/>
    <w:rsid w:val="00765F09"/>
    <w:rsid w:val="00765F80"/>
    <w:rsid w:val="007664C8"/>
    <w:rsid w:val="00766A74"/>
    <w:rsid w:val="00766C24"/>
    <w:rsid w:val="00766D80"/>
    <w:rsid w:val="00766F6F"/>
    <w:rsid w:val="007670F5"/>
    <w:rsid w:val="007671E7"/>
    <w:rsid w:val="00767AC5"/>
    <w:rsid w:val="00767CDA"/>
    <w:rsid w:val="00770310"/>
    <w:rsid w:val="00770735"/>
    <w:rsid w:val="0077078E"/>
    <w:rsid w:val="007707CD"/>
    <w:rsid w:val="007709F9"/>
    <w:rsid w:val="00770D68"/>
    <w:rsid w:val="00770E3B"/>
    <w:rsid w:val="0077125B"/>
    <w:rsid w:val="007712A5"/>
    <w:rsid w:val="0077136D"/>
    <w:rsid w:val="007715A6"/>
    <w:rsid w:val="0077164E"/>
    <w:rsid w:val="007717DF"/>
    <w:rsid w:val="007719BA"/>
    <w:rsid w:val="00771D51"/>
    <w:rsid w:val="00771D58"/>
    <w:rsid w:val="0077218C"/>
    <w:rsid w:val="00772401"/>
    <w:rsid w:val="00772626"/>
    <w:rsid w:val="00772757"/>
    <w:rsid w:val="0077296C"/>
    <w:rsid w:val="00772EBC"/>
    <w:rsid w:val="00773520"/>
    <w:rsid w:val="00773615"/>
    <w:rsid w:val="007737E1"/>
    <w:rsid w:val="00773840"/>
    <w:rsid w:val="00773CCB"/>
    <w:rsid w:val="00773F23"/>
    <w:rsid w:val="0077412D"/>
    <w:rsid w:val="007742BD"/>
    <w:rsid w:val="00774408"/>
    <w:rsid w:val="0077443D"/>
    <w:rsid w:val="00774485"/>
    <w:rsid w:val="00774685"/>
    <w:rsid w:val="00774991"/>
    <w:rsid w:val="007749AD"/>
    <w:rsid w:val="00774A0C"/>
    <w:rsid w:val="00774AFB"/>
    <w:rsid w:val="00774BAC"/>
    <w:rsid w:val="00774EC1"/>
    <w:rsid w:val="00774FD8"/>
    <w:rsid w:val="00775712"/>
    <w:rsid w:val="00775779"/>
    <w:rsid w:val="0077590E"/>
    <w:rsid w:val="00775C62"/>
    <w:rsid w:val="00775CFA"/>
    <w:rsid w:val="00775D7D"/>
    <w:rsid w:val="00775F65"/>
    <w:rsid w:val="007761D4"/>
    <w:rsid w:val="00776725"/>
    <w:rsid w:val="00776740"/>
    <w:rsid w:val="00776993"/>
    <w:rsid w:val="00776A50"/>
    <w:rsid w:val="00776D91"/>
    <w:rsid w:val="00776DC5"/>
    <w:rsid w:val="00776F62"/>
    <w:rsid w:val="0077708F"/>
    <w:rsid w:val="007771E7"/>
    <w:rsid w:val="00777241"/>
    <w:rsid w:val="007772BF"/>
    <w:rsid w:val="00777419"/>
    <w:rsid w:val="00777F83"/>
    <w:rsid w:val="00780159"/>
    <w:rsid w:val="007803D7"/>
    <w:rsid w:val="00780498"/>
    <w:rsid w:val="007805C8"/>
    <w:rsid w:val="00780992"/>
    <w:rsid w:val="00780D35"/>
    <w:rsid w:val="00780F1D"/>
    <w:rsid w:val="007810A2"/>
    <w:rsid w:val="0078113E"/>
    <w:rsid w:val="00781380"/>
    <w:rsid w:val="007816CD"/>
    <w:rsid w:val="007818DE"/>
    <w:rsid w:val="00781B44"/>
    <w:rsid w:val="00781C74"/>
    <w:rsid w:val="00781D3F"/>
    <w:rsid w:val="00781DE9"/>
    <w:rsid w:val="00781E5C"/>
    <w:rsid w:val="00782191"/>
    <w:rsid w:val="007822BC"/>
    <w:rsid w:val="00782BD3"/>
    <w:rsid w:val="00782C98"/>
    <w:rsid w:val="0078331E"/>
    <w:rsid w:val="007833B9"/>
    <w:rsid w:val="00783957"/>
    <w:rsid w:val="00783D57"/>
    <w:rsid w:val="00783D66"/>
    <w:rsid w:val="00783E3B"/>
    <w:rsid w:val="00783FC5"/>
    <w:rsid w:val="00784008"/>
    <w:rsid w:val="0078496E"/>
    <w:rsid w:val="007849ED"/>
    <w:rsid w:val="00784A0D"/>
    <w:rsid w:val="00784A5A"/>
    <w:rsid w:val="00784E9C"/>
    <w:rsid w:val="007853FF"/>
    <w:rsid w:val="0078564F"/>
    <w:rsid w:val="007857A7"/>
    <w:rsid w:val="0078587D"/>
    <w:rsid w:val="007858F8"/>
    <w:rsid w:val="00785975"/>
    <w:rsid w:val="0078598A"/>
    <w:rsid w:val="00785DC3"/>
    <w:rsid w:val="007863D8"/>
    <w:rsid w:val="0078646C"/>
    <w:rsid w:val="00786A41"/>
    <w:rsid w:val="00786DB3"/>
    <w:rsid w:val="0078717D"/>
    <w:rsid w:val="00787385"/>
    <w:rsid w:val="00787D7E"/>
    <w:rsid w:val="007905EB"/>
    <w:rsid w:val="00790730"/>
    <w:rsid w:val="00790798"/>
    <w:rsid w:val="00790821"/>
    <w:rsid w:val="00790AD0"/>
    <w:rsid w:val="00790C94"/>
    <w:rsid w:val="00790CB6"/>
    <w:rsid w:val="00790E3A"/>
    <w:rsid w:val="007913B4"/>
    <w:rsid w:val="00791404"/>
    <w:rsid w:val="00791565"/>
    <w:rsid w:val="007915B7"/>
    <w:rsid w:val="00791709"/>
    <w:rsid w:val="0079176B"/>
    <w:rsid w:val="007921AD"/>
    <w:rsid w:val="007924E8"/>
    <w:rsid w:val="007927A0"/>
    <w:rsid w:val="007927A5"/>
    <w:rsid w:val="00792962"/>
    <w:rsid w:val="00792A7D"/>
    <w:rsid w:val="00792BD2"/>
    <w:rsid w:val="00792DE7"/>
    <w:rsid w:val="00792DEC"/>
    <w:rsid w:val="00792E7B"/>
    <w:rsid w:val="007936A1"/>
    <w:rsid w:val="007936E5"/>
    <w:rsid w:val="00793936"/>
    <w:rsid w:val="00793944"/>
    <w:rsid w:val="00793EA2"/>
    <w:rsid w:val="0079451F"/>
    <w:rsid w:val="00794753"/>
    <w:rsid w:val="007947B5"/>
    <w:rsid w:val="00794AEE"/>
    <w:rsid w:val="007955F3"/>
    <w:rsid w:val="00795A98"/>
    <w:rsid w:val="00795B61"/>
    <w:rsid w:val="00795FBF"/>
    <w:rsid w:val="0079613A"/>
    <w:rsid w:val="00796163"/>
    <w:rsid w:val="007961D9"/>
    <w:rsid w:val="007967B7"/>
    <w:rsid w:val="00796815"/>
    <w:rsid w:val="00796963"/>
    <w:rsid w:val="0079704F"/>
    <w:rsid w:val="007970C3"/>
    <w:rsid w:val="00797112"/>
    <w:rsid w:val="007974A8"/>
    <w:rsid w:val="00797742"/>
    <w:rsid w:val="00797859"/>
    <w:rsid w:val="007978A0"/>
    <w:rsid w:val="00797C1B"/>
    <w:rsid w:val="00797D23"/>
    <w:rsid w:val="00797D6A"/>
    <w:rsid w:val="00797F87"/>
    <w:rsid w:val="007A006C"/>
    <w:rsid w:val="007A00D9"/>
    <w:rsid w:val="007A020A"/>
    <w:rsid w:val="007A076F"/>
    <w:rsid w:val="007A0864"/>
    <w:rsid w:val="007A0B59"/>
    <w:rsid w:val="007A0CC3"/>
    <w:rsid w:val="007A124A"/>
    <w:rsid w:val="007A126A"/>
    <w:rsid w:val="007A12FF"/>
    <w:rsid w:val="007A132C"/>
    <w:rsid w:val="007A15BF"/>
    <w:rsid w:val="007A184C"/>
    <w:rsid w:val="007A1942"/>
    <w:rsid w:val="007A197D"/>
    <w:rsid w:val="007A1999"/>
    <w:rsid w:val="007A1A71"/>
    <w:rsid w:val="007A1AE2"/>
    <w:rsid w:val="007A1B70"/>
    <w:rsid w:val="007A1DD1"/>
    <w:rsid w:val="007A1F28"/>
    <w:rsid w:val="007A20E1"/>
    <w:rsid w:val="007A2665"/>
    <w:rsid w:val="007A2A74"/>
    <w:rsid w:val="007A2C55"/>
    <w:rsid w:val="007A2C89"/>
    <w:rsid w:val="007A3048"/>
    <w:rsid w:val="007A32D3"/>
    <w:rsid w:val="007A35A7"/>
    <w:rsid w:val="007A35DD"/>
    <w:rsid w:val="007A3662"/>
    <w:rsid w:val="007A3783"/>
    <w:rsid w:val="007A395D"/>
    <w:rsid w:val="007A39BF"/>
    <w:rsid w:val="007A3B7E"/>
    <w:rsid w:val="007A3BDB"/>
    <w:rsid w:val="007A3C20"/>
    <w:rsid w:val="007A3C7F"/>
    <w:rsid w:val="007A4349"/>
    <w:rsid w:val="007A4405"/>
    <w:rsid w:val="007A4547"/>
    <w:rsid w:val="007A4910"/>
    <w:rsid w:val="007A522E"/>
    <w:rsid w:val="007A5445"/>
    <w:rsid w:val="007A561E"/>
    <w:rsid w:val="007A563F"/>
    <w:rsid w:val="007A56E6"/>
    <w:rsid w:val="007A5717"/>
    <w:rsid w:val="007A63FF"/>
    <w:rsid w:val="007A6454"/>
    <w:rsid w:val="007A6622"/>
    <w:rsid w:val="007A6714"/>
    <w:rsid w:val="007A6D0E"/>
    <w:rsid w:val="007A6D32"/>
    <w:rsid w:val="007A6E28"/>
    <w:rsid w:val="007A71DD"/>
    <w:rsid w:val="007A76A2"/>
    <w:rsid w:val="007A7B91"/>
    <w:rsid w:val="007A7C13"/>
    <w:rsid w:val="007A7D81"/>
    <w:rsid w:val="007B0366"/>
    <w:rsid w:val="007B0471"/>
    <w:rsid w:val="007B048F"/>
    <w:rsid w:val="007B0500"/>
    <w:rsid w:val="007B0C9A"/>
    <w:rsid w:val="007B0D7C"/>
    <w:rsid w:val="007B0E79"/>
    <w:rsid w:val="007B0EBE"/>
    <w:rsid w:val="007B1090"/>
    <w:rsid w:val="007B13A2"/>
    <w:rsid w:val="007B16F0"/>
    <w:rsid w:val="007B17DB"/>
    <w:rsid w:val="007B1872"/>
    <w:rsid w:val="007B1E74"/>
    <w:rsid w:val="007B202A"/>
    <w:rsid w:val="007B2408"/>
    <w:rsid w:val="007B29F4"/>
    <w:rsid w:val="007B31C4"/>
    <w:rsid w:val="007B3400"/>
    <w:rsid w:val="007B39F5"/>
    <w:rsid w:val="007B3E53"/>
    <w:rsid w:val="007B3F67"/>
    <w:rsid w:val="007B40C0"/>
    <w:rsid w:val="007B47D5"/>
    <w:rsid w:val="007B4886"/>
    <w:rsid w:val="007B48C6"/>
    <w:rsid w:val="007B4C4F"/>
    <w:rsid w:val="007B4DF7"/>
    <w:rsid w:val="007B4F06"/>
    <w:rsid w:val="007B4FC6"/>
    <w:rsid w:val="007B5530"/>
    <w:rsid w:val="007B55A7"/>
    <w:rsid w:val="007B5671"/>
    <w:rsid w:val="007B5738"/>
    <w:rsid w:val="007B5B58"/>
    <w:rsid w:val="007B5C01"/>
    <w:rsid w:val="007B5D6F"/>
    <w:rsid w:val="007B5D78"/>
    <w:rsid w:val="007B5EA7"/>
    <w:rsid w:val="007B6219"/>
    <w:rsid w:val="007B668C"/>
    <w:rsid w:val="007B6B91"/>
    <w:rsid w:val="007B6D41"/>
    <w:rsid w:val="007B6DA1"/>
    <w:rsid w:val="007B6FAE"/>
    <w:rsid w:val="007B704A"/>
    <w:rsid w:val="007B72E4"/>
    <w:rsid w:val="007B77A2"/>
    <w:rsid w:val="007B7808"/>
    <w:rsid w:val="007B780A"/>
    <w:rsid w:val="007B79A2"/>
    <w:rsid w:val="007B7A35"/>
    <w:rsid w:val="007B7DBE"/>
    <w:rsid w:val="007B7E1C"/>
    <w:rsid w:val="007B7F99"/>
    <w:rsid w:val="007B7FE6"/>
    <w:rsid w:val="007C0148"/>
    <w:rsid w:val="007C01A1"/>
    <w:rsid w:val="007C06F0"/>
    <w:rsid w:val="007C0B50"/>
    <w:rsid w:val="007C0BE0"/>
    <w:rsid w:val="007C0E84"/>
    <w:rsid w:val="007C159C"/>
    <w:rsid w:val="007C15F8"/>
    <w:rsid w:val="007C1F96"/>
    <w:rsid w:val="007C2A33"/>
    <w:rsid w:val="007C30A0"/>
    <w:rsid w:val="007C3206"/>
    <w:rsid w:val="007C322D"/>
    <w:rsid w:val="007C32AD"/>
    <w:rsid w:val="007C34C6"/>
    <w:rsid w:val="007C384E"/>
    <w:rsid w:val="007C3903"/>
    <w:rsid w:val="007C3B6F"/>
    <w:rsid w:val="007C3B9C"/>
    <w:rsid w:val="007C3C83"/>
    <w:rsid w:val="007C3D8F"/>
    <w:rsid w:val="007C4489"/>
    <w:rsid w:val="007C469B"/>
    <w:rsid w:val="007C4786"/>
    <w:rsid w:val="007C48FE"/>
    <w:rsid w:val="007C4A53"/>
    <w:rsid w:val="007C4A63"/>
    <w:rsid w:val="007C4BCA"/>
    <w:rsid w:val="007C4D35"/>
    <w:rsid w:val="007C4FB0"/>
    <w:rsid w:val="007C508F"/>
    <w:rsid w:val="007C51D1"/>
    <w:rsid w:val="007C55A9"/>
    <w:rsid w:val="007C56DE"/>
    <w:rsid w:val="007C5D58"/>
    <w:rsid w:val="007C5E74"/>
    <w:rsid w:val="007C6127"/>
    <w:rsid w:val="007C623C"/>
    <w:rsid w:val="007C626F"/>
    <w:rsid w:val="007C684A"/>
    <w:rsid w:val="007C6AF6"/>
    <w:rsid w:val="007C6B37"/>
    <w:rsid w:val="007C6E3D"/>
    <w:rsid w:val="007C6EA8"/>
    <w:rsid w:val="007C6ECA"/>
    <w:rsid w:val="007C7237"/>
    <w:rsid w:val="007C723A"/>
    <w:rsid w:val="007C7559"/>
    <w:rsid w:val="007C7D89"/>
    <w:rsid w:val="007C7E84"/>
    <w:rsid w:val="007D04C5"/>
    <w:rsid w:val="007D0633"/>
    <w:rsid w:val="007D0943"/>
    <w:rsid w:val="007D10E2"/>
    <w:rsid w:val="007D145B"/>
    <w:rsid w:val="007D14EF"/>
    <w:rsid w:val="007D14F1"/>
    <w:rsid w:val="007D1654"/>
    <w:rsid w:val="007D16C2"/>
    <w:rsid w:val="007D18DF"/>
    <w:rsid w:val="007D196B"/>
    <w:rsid w:val="007D1B96"/>
    <w:rsid w:val="007D1CCB"/>
    <w:rsid w:val="007D23C1"/>
    <w:rsid w:val="007D2437"/>
    <w:rsid w:val="007D268B"/>
    <w:rsid w:val="007D2957"/>
    <w:rsid w:val="007D2D2C"/>
    <w:rsid w:val="007D2EF6"/>
    <w:rsid w:val="007D31A9"/>
    <w:rsid w:val="007D34D0"/>
    <w:rsid w:val="007D3785"/>
    <w:rsid w:val="007D42B7"/>
    <w:rsid w:val="007D441B"/>
    <w:rsid w:val="007D47B6"/>
    <w:rsid w:val="007D49E6"/>
    <w:rsid w:val="007D4B7E"/>
    <w:rsid w:val="007D4C2C"/>
    <w:rsid w:val="007D4DA7"/>
    <w:rsid w:val="007D54A8"/>
    <w:rsid w:val="007D5EB5"/>
    <w:rsid w:val="007D6289"/>
    <w:rsid w:val="007D655B"/>
    <w:rsid w:val="007D66D4"/>
    <w:rsid w:val="007D6791"/>
    <w:rsid w:val="007D681A"/>
    <w:rsid w:val="007D684D"/>
    <w:rsid w:val="007D691E"/>
    <w:rsid w:val="007D7109"/>
    <w:rsid w:val="007D7246"/>
    <w:rsid w:val="007D7398"/>
    <w:rsid w:val="007D7602"/>
    <w:rsid w:val="007D794D"/>
    <w:rsid w:val="007D79B3"/>
    <w:rsid w:val="007D7A2F"/>
    <w:rsid w:val="007D7B94"/>
    <w:rsid w:val="007D7C72"/>
    <w:rsid w:val="007D7DC0"/>
    <w:rsid w:val="007E0213"/>
    <w:rsid w:val="007E0477"/>
    <w:rsid w:val="007E0D47"/>
    <w:rsid w:val="007E0EF6"/>
    <w:rsid w:val="007E0F31"/>
    <w:rsid w:val="007E17F1"/>
    <w:rsid w:val="007E1A12"/>
    <w:rsid w:val="007E1BFF"/>
    <w:rsid w:val="007E2143"/>
    <w:rsid w:val="007E214F"/>
    <w:rsid w:val="007E26C5"/>
    <w:rsid w:val="007E2957"/>
    <w:rsid w:val="007E2DE1"/>
    <w:rsid w:val="007E2E39"/>
    <w:rsid w:val="007E2E48"/>
    <w:rsid w:val="007E3328"/>
    <w:rsid w:val="007E3588"/>
    <w:rsid w:val="007E3E9F"/>
    <w:rsid w:val="007E3F2E"/>
    <w:rsid w:val="007E4227"/>
    <w:rsid w:val="007E4351"/>
    <w:rsid w:val="007E4358"/>
    <w:rsid w:val="007E48E7"/>
    <w:rsid w:val="007E4F4A"/>
    <w:rsid w:val="007E5074"/>
    <w:rsid w:val="007E5208"/>
    <w:rsid w:val="007E5282"/>
    <w:rsid w:val="007E52D8"/>
    <w:rsid w:val="007E542B"/>
    <w:rsid w:val="007E543D"/>
    <w:rsid w:val="007E56FD"/>
    <w:rsid w:val="007E5993"/>
    <w:rsid w:val="007E5A40"/>
    <w:rsid w:val="007E5CE6"/>
    <w:rsid w:val="007E5D93"/>
    <w:rsid w:val="007E5DE6"/>
    <w:rsid w:val="007E604F"/>
    <w:rsid w:val="007E63B4"/>
    <w:rsid w:val="007E6663"/>
    <w:rsid w:val="007E6963"/>
    <w:rsid w:val="007E711F"/>
    <w:rsid w:val="007E796D"/>
    <w:rsid w:val="007E7AF0"/>
    <w:rsid w:val="007E7C26"/>
    <w:rsid w:val="007E7C43"/>
    <w:rsid w:val="007E7CAE"/>
    <w:rsid w:val="007E7CB0"/>
    <w:rsid w:val="007F0448"/>
    <w:rsid w:val="007F06DA"/>
    <w:rsid w:val="007F0A50"/>
    <w:rsid w:val="007F0ED3"/>
    <w:rsid w:val="007F12E8"/>
    <w:rsid w:val="007F1478"/>
    <w:rsid w:val="007F16ED"/>
    <w:rsid w:val="007F17D6"/>
    <w:rsid w:val="007F18E7"/>
    <w:rsid w:val="007F1ED4"/>
    <w:rsid w:val="007F1EE0"/>
    <w:rsid w:val="007F1F16"/>
    <w:rsid w:val="007F1F1C"/>
    <w:rsid w:val="007F217B"/>
    <w:rsid w:val="007F2475"/>
    <w:rsid w:val="007F24A5"/>
    <w:rsid w:val="007F2761"/>
    <w:rsid w:val="007F2A28"/>
    <w:rsid w:val="007F2B05"/>
    <w:rsid w:val="007F2B29"/>
    <w:rsid w:val="007F2C56"/>
    <w:rsid w:val="007F2CD6"/>
    <w:rsid w:val="007F2F76"/>
    <w:rsid w:val="007F2FCC"/>
    <w:rsid w:val="007F303E"/>
    <w:rsid w:val="007F3234"/>
    <w:rsid w:val="007F3296"/>
    <w:rsid w:val="007F34D9"/>
    <w:rsid w:val="007F36E6"/>
    <w:rsid w:val="007F3952"/>
    <w:rsid w:val="007F3C08"/>
    <w:rsid w:val="007F3DC8"/>
    <w:rsid w:val="007F4B30"/>
    <w:rsid w:val="007F4D4A"/>
    <w:rsid w:val="007F4FC1"/>
    <w:rsid w:val="007F5599"/>
    <w:rsid w:val="007F5695"/>
    <w:rsid w:val="007F5862"/>
    <w:rsid w:val="007F5DC9"/>
    <w:rsid w:val="007F5F83"/>
    <w:rsid w:val="007F60F2"/>
    <w:rsid w:val="007F62F0"/>
    <w:rsid w:val="007F6429"/>
    <w:rsid w:val="007F6811"/>
    <w:rsid w:val="007F6899"/>
    <w:rsid w:val="007F6BD2"/>
    <w:rsid w:val="007F6E7A"/>
    <w:rsid w:val="007F70C4"/>
    <w:rsid w:val="007F70DC"/>
    <w:rsid w:val="007F7558"/>
    <w:rsid w:val="007F75BB"/>
    <w:rsid w:val="007F7622"/>
    <w:rsid w:val="007F769E"/>
    <w:rsid w:val="007F7B80"/>
    <w:rsid w:val="007F7C11"/>
    <w:rsid w:val="007F7D88"/>
    <w:rsid w:val="0080044F"/>
    <w:rsid w:val="008005C2"/>
    <w:rsid w:val="00800CB9"/>
    <w:rsid w:val="00800CEF"/>
    <w:rsid w:val="00800EEE"/>
    <w:rsid w:val="00801402"/>
    <w:rsid w:val="00801480"/>
    <w:rsid w:val="008017CC"/>
    <w:rsid w:val="00801C08"/>
    <w:rsid w:val="00801DCB"/>
    <w:rsid w:val="0080215A"/>
    <w:rsid w:val="0080224D"/>
    <w:rsid w:val="0080239B"/>
    <w:rsid w:val="00802532"/>
    <w:rsid w:val="00802542"/>
    <w:rsid w:val="00802543"/>
    <w:rsid w:val="00802A90"/>
    <w:rsid w:val="00802ABF"/>
    <w:rsid w:val="00802C91"/>
    <w:rsid w:val="00802EDE"/>
    <w:rsid w:val="0080311E"/>
    <w:rsid w:val="008032B1"/>
    <w:rsid w:val="008032FC"/>
    <w:rsid w:val="008036D3"/>
    <w:rsid w:val="008037A7"/>
    <w:rsid w:val="008039E9"/>
    <w:rsid w:val="00803A96"/>
    <w:rsid w:val="00803CF0"/>
    <w:rsid w:val="008040BD"/>
    <w:rsid w:val="0080411B"/>
    <w:rsid w:val="00804443"/>
    <w:rsid w:val="0080470C"/>
    <w:rsid w:val="00804827"/>
    <w:rsid w:val="00804843"/>
    <w:rsid w:val="00804DED"/>
    <w:rsid w:val="00804F65"/>
    <w:rsid w:val="00804F92"/>
    <w:rsid w:val="008054DE"/>
    <w:rsid w:val="00805733"/>
    <w:rsid w:val="00805AE7"/>
    <w:rsid w:val="00805C6A"/>
    <w:rsid w:val="00805C6B"/>
    <w:rsid w:val="008063E1"/>
    <w:rsid w:val="008068E5"/>
    <w:rsid w:val="0080695D"/>
    <w:rsid w:val="00806CC6"/>
    <w:rsid w:val="0080711D"/>
    <w:rsid w:val="00807219"/>
    <w:rsid w:val="0080769C"/>
    <w:rsid w:val="00807A17"/>
    <w:rsid w:val="00807DC9"/>
    <w:rsid w:val="008101C3"/>
    <w:rsid w:val="008103F7"/>
    <w:rsid w:val="00810905"/>
    <w:rsid w:val="00810B44"/>
    <w:rsid w:val="00810BEE"/>
    <w:rsid w:val="00810C99"/>
    <w:rsid w:val="0081171E"/>
    <w:rsid w:val="008119A0"/>
    <w:rsid w:val="00811B3D"/>
    <w:rsid w:val="00812137"/>
    <w:rsid w:val="008124F3"/>
    <w:rsid w:val="00812552"/>
    <w:rsid w:val="008125BE"/>
    <w:rsid w:val="00812869"/>
    <w:rsid w:val="008128E0"/>
    <w:rsid w:val="008129A4"/>
    <w:rsid w:val="00812D92"/>
    <w:rsid w:val="00812F7F"/>
    <w:rsid w:val="008132E1"/>
    <w:rsid w:val="00813442"/>
    <w:rsid w:val="008138DD"/>
    <w:rsid w:val="00813A57"/>
    <w:rsid w:val="00813A9B"/>
    <w:rsid w:val="00814193"/>
    <w:rsid w:val="0081427F"/>
    <w:rsid w:val="00814302"/>
    <w:rsid w:val="00814810"/>
    <w:rsid w:val="008148AF"/>
    <w:rsid w:val="008149E9"/>
    <w:rsid w:val="00814EFA"/>
    <w:rsid w:val="008152E4"/>
    <w:rsid w:val="0081575F"/>
    <w:rsid w:val="00815A5A"/>
    <w:rsid w:val="00815CAB"/>
    <w:rsid w:val="008161A1"/>
    <w:rsid w:val="008164E0"/>
    <w:rsid w:val="008166F7"/>
    <w:rsid w:val="008167F6"/>
    <w:rsid w:val="00816DAA"/>
    <w:rsid w:val="0081741D"/>
    <w:rsid w:val="00817614"/>
    <w:rsid w:val="0081772E"/>
    <w:rsid w:val="00817882"/>
    <w:rsid w:val="008179CE"/>
    <w:rsid w:val="00817A3D"/>
    <w:rsid w:val="00817D06"/>
    <w:rsid w:val="00817EE7"/>
    <w:rsid w:val="008201DA"/>
    <w:rsid w:val="008201DB"/>
    <w:rsid w:val="00820654"/>
    <w:rsid w:val="00820CF4"/>
    <w:rsid w:val="00820D43"/>
    <w:rsid w:val="00820E92"/>
    <w:rsid w:val="008210E0"/>
    <w:rsid w:val="00821B82"/>
    <w:rsid w:val="00821C41"/>
    <w:rsid w:val="00821C83"/>
    <w:rsid w:val="00821D8A"/>
    <w:rsid w:val="008223CC"/>
    <w:rsid w:val="0082241E"/>
    <w:rsid w:val="00822574"/>
    <w:rsid w:val="008227D5"/>
    <w:rsid w:val="0082287C"/>
    <w:rsid w:val="0082288A"/>
    <w:rsid w:val="00822907"/>
    <w:rsid w:val="00822C4B"/>
    <w:rsid w:val="00822D6F"/>
    <w:rsid w:val="00822E13"/>
    <w:rsid w:val="00822F03"/>
    <w:rsid w:val="00822F66"/>
    <w:rsid w:val="00823138"/>
    <w:rsid w:val="00823189"/>
    <w:rsid w:val="008233BC"/>
    <w:rsid w:val="00823811"/>
    <w:rsid w:val="00823C84"/>
    <w:rsid w:val="00823E20"/>
    <w:rsid w:val="008246E6"/>
    <w:rsid w:val="00824894"/>
    <w:rsid w:val="008249AC"/>
    <w:rsid w:val="00824D21"/>
    <w:rsid w:val="00825C3E"/>
    <w:rsid w:val="00825F72"/>
    <w:rsid w:val="00826169"/>
    <w:rsid w:val="0082631D"/>
    <w:rsid w:val="00826B2B"/>
    <w:rsid w:val="00826D32"/>
    <w:rsid w:val="00826F47"/>
    <w:rsid w:val="008270AB"/>
    <w:rsid w:val="00827284"/>
    <w:rsid w:val="00827487"/>
    <w:rsid w:val="008275C9"/>
    <w:rsid w:val="00827781"/>
    <w:rsid w:val="008278EC"/>
    <w:rsid w:val="00827DD0"/>
    <w:rsid w:val="00827EDA"/>
    <w:rsid w:val="00827F70"/>
    <w:rsid w:val="00830147"/>
    <w:rsid w:val="00830409"/>
    <w:rsid w:val="008305FF"/>
    <w:rsid w:val="00830833"/>
    <w:rsid w:val="008309BD"/>
    <w:rsid w:val="00830B50"/>
    <w:rsid w:val="00830B7A"/>
    <w:rsid w:val="00830CCC"/>
    <w:rsid w:val="00830E0A"/>
    <w:rsid w:val="00831469"/>
    <w:rsid w:val="00831E8D"/>
    <w:rsid w:val="00831F42"/>
    <w:rsid w:val="00832324"/>
    <w:rsid w:val="00832397"/>
    <w:rsid w:val="00832454"/>
    <w:rsid w:val="00832622"/>
    <w:rsid w:val="0083287D"/>
    <w:rsid w:val="008328D4"/>
    <w:rsid w:val="0083307A"/>
    <w:rsid w:val="00833110"/>
    <w:rsid w:val="00833115"/>
    <w:rsid w:val="008332DE"/>
    <w:rsid w:val="0083364C"/>
    <w:rsid w:val="00833A51"/>
    <w:rsid w:val="00833C32"/>
    <w:rsid w:val="00833D8A"/>
    <w:rsid w:val="00834218"/>
    <w:rsid w:val="00834543"/>
    <w:rsid w:val="008348BF"/>
    <w:rsid w:val="00834EC3"/>
    <w:rsid w:val="00835285"/>
    <w:rsid w:val="0083565E"/>
    <w:rsid w:val="00835B2B"/>
    <w:rsid w:val="00835D3D"/>
    <w:rsid w:val="0083607F"/>
    <w:rsid w:val="00836242"/>
    <w:rsid w:val="0083661A"/>
    <w:rsid w:val="00836922"/>
    <w:rsid w:val="00836AA9"/>
    <w:rsid w:val="00836FBF"/>
    <w:rsid w:val="0083710E"/>
    <w:rsid w:val="00837602"/>
    <w:rsid w:val="008378AE"/>
    <w:rsid w:val="00837AE1"/>
    <w:rsid w:val="00837D36"/>
    <w:rsid w:val="00837E0D"/>
    <w:rsid w:val="00837EF3"/>
    <w:rsid w:val="00837F00"/>
    <w:rsid w:val="008402A9"/>
    <w:rsid w:val="00840367"/>
    <w:rsid w:val="008410D3"/>
    <w:rsid w:val="008416D1"/>
    <w:rsid w:val="008418FB"/>
    <w:rsid w:val="00841CD5"/>
    <w:rsid w:val="00841D19"/>
    <w:rsid w:val="008420DB"/>
    <w:rsid w:val="00842251"/>
    <w:rsid w:val="00842B48"/>
    <w:rsid w:val="008435E8"/>
    <w:rsid w:val="008438B1"/>
    <w:rsid w:val="00843A3A"/>
    <w:rsid w:val="00843A82"/>
    <w:rsid w:val="0084414C"/>
    <w:rsid w:val="0084447D"/>
    <w:rsid w:val="00844744"/>
    <w:rsid w:val="00844C98"/>
    <w:rsid w:val="00844CAD"/>
    <w:rsid w:val="00844E6D"/>
    <w:rsid w:val="00844F77"/>
    <w:rsid w:val="00845108"/>
    <w:rsid w:val="0084556E"/>
    <w:rsid w:val="00845594"/>
    <w:rsid w:val="008456DB"/>
    <w:rsid w:val="0084575A"/>
    <w:rsid w:val="0084586F"/>
    <w:rsid w:val="0084605C"/>
    <w:rsid w:val="008462DB"/>
    <w:rsid w:val="008468FD"/>
    <w:rsid w:val="00846D2A"/>
    <w:rsid w:val="008470D9"/>
    <w:rsid w:val="00847181"/>
    <w:rsid w:val="00847226"/>
    <w:rsid w:val="00847634"/>
    <w:rsid w:val="0084768C"/>
    <w:rsid w:val="00847956"/>
    <w:rsid w:val="00847A4F"/>
    <w:rsid w:val="00847C53"/>
    <w:rsid w:val="00847F0A"/>
    <w:rsid w:val="00850155"/>
    <w:rsid w:val="008503D5"/>
    <w:rsid w:val="00850682"/>
    <w:rsid w:val="008507FF"/>
    <w:rsid w:val="00850B1F"/>
    <w:rsid w:val="00851183"/>
    <w:rsid w:val="008514D0"/>
    <w:rsid w:val="0085185C"/>
    <w:rsid w:val="008518A0"/>
    <w:rsid w:val="00851BA2"/>
    <w:rsid w:val="00851E95"/>
    <w:rsid w:val="00851F72"/>
    <w:rsid w:val="00852384"/>
    <w:rsid w:val="0085243E"/>
    <w:rsid w:val="0085270D"/>
    <w:rsid w:val="00852936"/>
    <w:rsid w:val="00852C6C"/>
    <w:rsid w:val="00852FC7"/>
    <w:rsid w:val="0085302B"/>
    <w:rsid w:val="008531CB"/>
    <w:rsid w:val="008533DC"/>
    <w:rsid w:val="00853411"/>
    <w:rsid w:val="00853487"/>
    <w:rsid w:val="008534F0"/>
    <w:rsid w:val="00853554"/>
    <w:rsid w:val="00853E8E"/>
    <w:rsid w:val="00853F2A"/>
    <w:rsid w:val="00853F40"/>
    <w:rsid w:val="00854296"/>
    <w:rsid w:val="0085455F"/>
    <w:rsid w:val="008545C2"/>
    <w:rsid w:val="008545FC"/>
    <w:rsid w:val="008549E7"/>
    <w:rsid w:val="00854DD0"/>
    <w:rsid w:val="00855100"/>
    <w:rsid w:val="00855451"/>
    <w:rsid w:val="008557B1"/>
    <w:rsid w:val="008557CC"/>
    <w:rsid w:val="00855AE1"/>
    <w:rsid w:val="00855E39"/>
    <w:rsid w:val="00855F29"/>
    <w:rsid w:val="008560CB"/>
    <w:rsid w:val="0085630D"/>
    <w:rsid w:val="008563CF"/>
    <w:rsid w:val="008564A5"/>
    <w:rsid w:val="008564BE"/>
    <w:rsid w:val="00856693"/>
    <w:rsid w:val="00856738"/>
    <w:rsid w:val="00856BE1"/>
    <w:rsid w:val="0085752B"/>
    <w:rsid w:val="0085792E"/>
    <w:rsid w:val="00857AAE"/>
    <w:rsid w:val="00857F82"/>
    <w:rsid w:val="008604F5"/>
    <w:rsid w:val="008605BF"/>
    <w:rsid w:val="00860750"/>
    <w:rsid w:val="008607D8"/>
    <w:rsid w:val="00860F0B"/>
    <w:rsid w:val="008612DA"/>
    <w:rsid w:val="0086131E"/>
    <w:rsid w:val="00861DA5"/>
    <w:rsid w:val="00861EA5"/>
    <w:rsid w:val="00861F0B"/>
    <w:rsid w:val="00861F7B"/>
    <w:rsid w:val="00862102"/>
    <w:rsid w:val="00862453"/>
    <w:rsid w:val="0086261A"/>
    <w:rsid w:val="00862D04"/>
    <w:rsid w:val="008630EC"/>
    <w:rsid w:val="008634E7"/>
    <w:rsid w:val="00863C0C"/>
    <w:rsid w:val="00863C24"/>
    <w:rsid w:val="00863C33"/>
    <w:rsid w:val="00863CB4"/>
    <w:rsid w:val="00863CC6"/>
    <w:rsid w:val="008641FE"/>
    <w:rsid w:val="00864258"/>
    <w:rsid w:val="008645F3"/>
    <w:rsid w:val="00864B2D"/>
    <w:rsid w:val="00864BAE"/>
    <w:rsid w:val="00864ED9"/>
    <w:rsid w:val="008650C4"/>
    <w:rsid w:val="008652C9"/>
    <w:rsid w:val="008655C9"/>
    <w:rsid w:val="008659EB"/>
    <w:rsid w:val="00865C44"/>
    <w:rsid w:val="00865FDB"/>
    <w:rsid w:val="008661CF"/>
    <w:rsid w:val="00866395"/>
    <w:rsid w:val="0086669A"/>
    <w:rsid w:val="00866797"/>
    <w:rsid w:val="00866F43"/>
    <w:rsid w:val="00866FA9"/>
    <w:rsid w:val="008671A9"/>
    <w:rsid w:val="0086741D"/>
    <w:rsid w:val="00867AEF"/>
    <w:rsid w:val="00867DE0"/>
    <w:rsid w:val="00870034"/>
    <w:rsid w:val="0087009F"/>
    <w:rsid w:val="008702D6"/>
    <w:rsid w:val="0087049C"/>
    <w:rsid w:val="008708B2"/>
    <w:rsid w:val="00870AF8"/>
    <w:rsid w:val="00870C05"/>
    <w:rsid w:val="0087139D"/>
    <w:rsid w:val="008713C4"/>
    <w:rsid w:val="008716EA"/>
    <w:rsid w:val="00871B29"/>
    <w:rsid w:val="00871B2D"/>
    <w:rsid w:val="0087252B"/>
    <w:rsid w:val="008728E5"/>
    <w:rsid w:val="00872B6F"/>
    <w:rsid w:val="008730EC"/>
    <w:rsid w:val="008739C4"/>
    <w:rsid w:val="00873CFF"/>
    <w:rsid w:val="0087427B"/>
    <w:rsid w:val="0087481C"/>
    <w:rsid w:val="008749D8"/>
    <w:rsid w:val="00874A36"/>
    <w:rsid w:val="00874C42"/>
    <w:rsid w:val="00874E6B"/>
    <w:rsid w:val="0087513F"/>
    <w:rsid w:val="008752AE"/>
    <w:rsid w:val="008753BC"/>
    <w:rsid w:val="008753FB"/>
    <w:rsid w:val="008758C5"/>
    <w:rsid w:val="00875ACF"/>
    <w:rsid w:val="00875E8C"/>
    <w:rsid w:val="00876269"/>
    <w:rsid w:val="008762A1"/>
    <w:rsid w:val="008763FC"/>
    <w:rsid w:val="008765AE"/>
    <w:rsid w:val="00876738"/>
    <w:rsid w:val="00876A93"/>
    <w:rsid w:val="00876B2D"/>
    <w:rsid w:val="00876ED3"/>
    <w:rsid w:val="00876F54"/>
    <w:rsid w:val="00876F7E"/>
    <w:rsid w:val="008774DB"/>
    <w:rsid w:val="00877A18"/>
    <w:rsid w:val="00877BDB"/>
    <w:rsid w:val="00877D31"/>
    <w:rsid w:val="00877E63"/>
    <w:rsid w:val="00877F30"/>
    <w:rsid w:val="0088042B"/>
    <w:rsid w:val="008804F9"/>
    <w:rsid w:val="008807AA"/>
    <w:rsid w:val="008807D8"/>
    <w:rsid w:val="008809EA"/>
    <w:rsid w:val="00880AA9"/>
    <w:rsid w:val="00880EA8"/>
    <w:rsid w:val="00881007"/>
    <w:rsid w:val="008810A5"/>
    <w:rsid w:val="0088127E"/>
    <w:rsid w:val="008813A4"/>
    <w:rsid w:val="00881416"/>
    <w:rsid w:val="00881734"/>
    <w:rsid w:val="008819F6"/>
    <w:rsid w:val="00881AD5"/>
    <w:rsid w:val="00881DF7"/>
    <w:rsid w:val="008820E6"/>
    <w:rsid w:val="00882152"/>
    <w:rsid w:val="00882163"/>
    <w:rsid w:val="00882209"/>
    <w:rsid w:val="00882336"/>
    <w:rsid w:val="00882445"/>
    <w:rsid w:val="008824D8"/>
    <w:rsid w:val="00882870"/>
    <w:rsid w:val="00882B8D"/>
    <w:rsid w:val="00882C53"/>
    <w:rsid w:val="0088303E"/>
    <w:rsid w:val="00883234"/>
    <w:rsid w:val="0088383F"/>
    <w:rsid w:val="008838A6"/>
    <w:rsid w:val="00883CEA"/>
    <w:rsid w:val="00884B88"/>
    <w:rsid w:val="0088530E"/>
    <w:rsid w:val="0088538C"/>
    <w:rsid w:val="008856EA"/>
    <w:rsid w:val="008859B5"/>
    <w:rsid w:val="00885A60"/>
    <w:rsid w:val="00885B0D"/>
    <w:rsid w:val="00885C32"/>
    <w:rsid w:val="00885CD1"/>
    <w:rsid w:val="00886ACA"/>
    <w:rsid w:val="00886BDA"/>
    <w:rsid w:val="00886C9B"/>
    <w:rsid w:val="008870BC"/>
    <w:rsid w:val="00887218"/>
    <w:rsid w:val="008877E1"/>
    <w:rsid w:val="00887B8D"/>
    <w:rsid w:val="00887DB6"/>
    <w:rsid w:val="00887DDA"/>
    <w:rsid w:val="00890188"/>
    <w:rsid w:val="008902BF"/>
    <w:rsid w:val="0089085F"/>
    <w:rsid w:val="00890AA9"/>
    <w:rsid w:val="00890B0D"/>
    <w:rsid w:val="00890E2B"/>
    <w:rsid w:val="00890E30"/>
    <w:rsid w:val="00890F84"/>
    <w:rsid w:val="008911F4"/>
    <w:rsid w:val="0089157A"/>
    <w:rsid w:val="0089165D"/>
    <w:rsid w:val="008918E9"/>
    <w:rsid w:val="00891A88"/>
    <w:rsid w:val="00891AD1"/>
    <w:rsid w:val="00891AF1"/>
    <w:rsid w:val="00891FCE"/>
    <w:rsid w:val="0089220A"/>
    <w:rsid w:val="00892795"/>
    <w:rsid w:val="00892B70"/>
    <w:rsid w:val="00892CB4"/>
    <w:rsid w:val="00892D8A"/>
    <w:rsid w:val="00892E2E"/>
    <w:rsid w:val="00893310"/>
    <w:rsid w:val="0089389F"/>
    <w:rsid w:val="00893C83"/>
    <w:rsid w:val="00893D37"/>
    <w:rsid w:val="00893D58"/>
    <w:rsid w:val="00893DFD"/>
    <w:rsid w:val="00893E0F"/>
    <w:rsid w:val="008942C7"/>
    <w:rsid w:val="00894524"/>
    <w:rsid w:val="00894853"/>
    <w:rsid w:val="00894927"/>
    <w:rsid w:val="00894A30"/>
    <w:rsid w:val="00894A72"/>
    <w:rsid w:val="00894AD2"/>
    <w:rsid w:val="00894FB2"/>
    <w:rsid w:val="008955D7"/>
    <w:rsid w:val="00895646"/>
    <w:rsid w:val="008958FE"/>
    <w:rsid w:val="00895D7B"/>
    <w:rsid w:val="00896219"/>
    <w:rsid w:val="008964CA"/>
    <w:rsid w:val="008969A1"/>
    <w:rsid w:val="00896BB0"/>
    <w:rsid w:val="00896CC4"/>
    <w:rsid w:val="00896CF5"/>
    <w:rsid w:val="00897C39"/>
    <w:rsid w:val="00897F7B"/>
    <w:rsid w:val="008A0139"/>
    <w:rsid w:val="008A05BF"/>
    <w:rsid w:val="008A06B6"/>
    <w:rsid w:val="008A07C7"/>
    <w:rsid w:val="008A0979"/>
    <w:rsid w:val="008A0A0D"/>
    <w:rsid w:val="008A0E05"/>
    <w:rsid w:val="008A0EE5"/>
    <w:rsid w:val="008A1056"/>
    <w:rsid w:val="008A11DF"/>
    <w:rsid w:val="008A1769"/>
    <w:rsid w:val="008A17B4"/>
    <w:rsid w:val="008A1E92"/>
    <w:rsid w:val="008A1FE5"/>
    <w:rsid w:val="008A2097"/>
    <w:rsid w:val="008A21B5"/>
    <w:rsid w:val="008A21BF"/>
    <w:rsid w:val="008A24EE"/>
    <w:rsid w:val="008A25EA"/>
    <w:rsid w:val="008A28BB"/>
    <w:rsid w:val="008A2A39"/>
    <w:rsid w:val="008A2B96"/>
    <w:rsid w:val="008A2CDD"/>
    <w:rsid w:val="008A2DF7"/>
    <w:rsid w:val="008A2E39"/>
    <w:rsid w:val="008A3007"/>
    <w:rsid w:val="008A30BE"/>
    <w:rsid w:val="008A3111"/>
    <w:rsid w:val="008A334E"/>
    <w:rsid w:val="008A36EF"/>
    <w:rsid w:val="008A3820"/>
    <w:rsid w:val="008A384C"/>
    <w:rsid w:val="008A3EA3"/>
    <w:rsid w:val="008A43C7"/>
    <w:rsid w:val="008A4659"/>
    <w:rsid w:val="008A476C"/>
    <w:rsid w:val="008A4A58"/>
    <w:rsid w:val="008A4B71"/>
    <w:rsid w:val="008A4D3A"/>
    <w:rsid w:val="008A50C2"/>
    <w:rsid w:val="008A50D2"/>
    <w:rsid w:val="008A55D7"/>
    <w:rsid w:val="008A5D4A"/>
    <w:rsid w:val="008A61B4"/>
    <w:rsid w:val="008A6355"/>
    <w:rsid w:val="008A6356"/>
    <w:rsid w:val="008A640D"/>
    <w:rsid w:val="008A6773"/>
    <w:rsid w:val="008A68C2"/>
    <w:rsid w:val="008A71BC"/>
    <w:rsid w:val="008A73FA"/>
    <w:rsid w:val="008A77B2"/>
    <w:rsid w:val="008A7888"/>
    <w:rsid w:val="008A7F64"/>
    <w:rsid w:val="008B029C"/>
    <w:rsid w:val="008B034C"/>
    <w:rsid w:val="008B03FE"/>
    <w:rsid w:val="008B05D4"/>
    <w:rsid w:val="008B0708"/>
    <w:rsid w:val="008B07BE"/>
    <w:rsid w:val="008B07EA"/>
    <w:rsid w:val="008B09F0"/>
    <w:rsid w:val="008B0E14"/>
    <w:rsid w:val="008B11AA"/>
    <w:rsid w:val="008B11B5"/>
    <w:rsid w:val="008B1476"/>
    <w:rsid w:val="008B1790"/>
    <w:rsid w:val="008B183B"/>
    <w:rsid w:val="008B19AA"/>
    <w:rsid w:val="008B1DA1"/>
    <w:rsid w:val="008B2229"/>
    <w:rsid w:val="008B2278"/>
    <w:rsid w:val="008B2AC1"/>
    <w:rsid w:val="008B2B47"/>
    <w:rsid w:val="008B2D50"/>
    <w:rsid w:val="008B30D9"/>
    <w:rsid w:val="008B331B"/>
    <w:rsid w:val="008B3383"/>
    <w:rsid w:val="008B33AD"/>
    <w:rsid w:val="008B33D7"/>
    <w:rsid w:val="008B3470"/>
    <w:rsid w:val="008B34D5"/>
    <w:rsid w:val="008B36E9"/>
    <w:rsid w:val="008B3834"/>
    <w:rsid w:val="008B395B"/>
    <w:rsid w:val="008B3CF6"/>
    <w:rsid w:val="008B3F30"/>
    <w:rsid w:val="008B440E"/>
    <w:rsid w:val="008B4694"/>
    <w:rsid w:val="008B54BB"/>
    <w:rsid w:val="008B55E8"/>
    <w:rsid w:val="008B57AD"/>
    <w:rsid w:val="008B5A7B"/>
    <w:rsid w:val="008B5BB9"/>
    <w:rsid w:val="008B5C45"/>
    <w:rsid w:val="008B600F"/>
    <w:rsid w:val="008B6014"/>
    <w:rsid w:val="008B60E0"/>
    <w:rsid w:val="008B6176"/>
    <w:rsid w:val="008B6203"/>
    <w:rsid w:val="008B630F"/>
    <w:rsid w:val="008B6378"/>
    <w:rsid w:val="008B6445"/>
    <w:rsid w:val="008B64A2"/>
    <w:rsid w:val="008B65EE"/>
    <w:rsid w:val="008B672C"/>
    <w:rsid w:val="008B6A62"/>
    <w:rsid w:val="008B6A66"/>
    <w:rsid w:val="008B6AAB"/>
    <w:rsid w:val="008B6AE4"/>
    <w:rsid w:val="008B701D"/>
    <w:rsid w:val="008B7190"/>
    <w:rsid w:val="008B740A"/>
    <w:rsid w:val="008B7518"/>
    <w:rsid w:val="008B7BB4"/>
    <w:rsid w:val="008B7C51"/>
    <w:rsid w:val="008B7DF1"/>
    <w:rsid w:val="008B7E3A"/>
    <w:rsid w:val="008C00E4"/>
    <w:rsid w:val="008C0112"/>
    <w:rsid w:val="008C0B4F"/>
    <w:rsid w:val="008C1029"/>
    <w:rsid w:val="008C10AB"/>
    <w:rsid w:val="008C1213"/>
    <w:rsid w:val="008C126D"/>
    <w:rsid w:val="008C195C"/>
    <w:rsid w:val="008C1A3A"/>
    <w:rsid w:val="008C1AE6"/>
    <w:rsid w:val="008C1E9B"/>
    <w:rsid w:val="008C1F9A"/>
    <w:rsid w:val="008C2275"/>
    <w:rsid w:val="008C2762"/>
    <w:rsid w:val="008C2952"/>
    <w:rsid w:val="008C2BBA"/>
    <w:rsid w:val="008C2C69"/>
    <w:rsid w:val="008C2E1D"/>
    <w:rsid w:val="008C2FFB"/>
    <w:rsid w:val="008C311C"/>
    <w:rsid w:val="008C35D0"/>
    <w:rsid w:val="008C39C5"/>
    <w:rsid w:val="008C3A57"/>
    <w:rsid w:val="008C3B62"/>
    <w:rsid w:val="008C3FC5"/>
    <w:rsid w:val="008C4263"/>
    <w:rsid w:val="008C43B9"/>
    <w:rsid w:val="008C4468"/>
    <w:rsid w:val="008C4A70"/>
    <w:rsid w:val="008C4A76"/>
    <w:rsid w:val="008C4C91"/>
    <w:rsid w:val="008C4E20"/>
    <w:rsid w:val="008C58F4"/>
    <w:rsid w:val="008C59F7"/>
    <w:rsid w:val="008C5A74"/>
    <w:rsid w:val="008C5AB0"/>
    <w:rsid w:val="008C5BAA"/>
    <w:rsid w:val="008C62FC"/>
    <w:rsid w:val="008C6670"/>
    <w:rsid w:val="008C6788"/>
    <w:rsid w:val="008C6945"/>
    <w:rsid w:val="008C6954"/>
    <w:rsid w:val="008C6B9B"/>
    <w:rsid w:val="008C6BC9"/>
    <w:rsid w:val="008C6DB6"/>
    <w:rsid w:val="008C6EA9"/>
    <w:rsid w:val="008C7AC2"/>
    <w:rsid w:val="008C7B27"/>
    <w:rsid w:val="008C7B88"/>
    <w:rsid w:val="008C7C61"/>
    <w:rsid w:val="008C7E10"/>
    <w:rsid w:val="008D01CF"/>
    <w:rsid w:val="008D0206"/>
    <w:rsid w:val="008D0778"/>
    <w:rsid w:val="008D0C4B"/>
    <w:rsid w:val="008D0D1E"/>
    <w:rsid w:val="008D1085"/>
    <w:rsid w:val="008D117D"/>
    <w:rsid w:val="008D164A"/>
    <w:rsid w:val="008D16CD"/>
    <w:rsid w:val="008D18C8"/>
    <w:rsid w:val="008D1FE0"/>
    <w:rsid w:val="008D2108"/>
    <w:rsid w:val="008D21B1"/>
    <w:rsid w:val="008D23F6"/>
    <w:rsid w:val="008D2537"/>
    <w:rsid w:val="008D26BD"/>
    <w:rsid w:val="008D26D8"/>
    <w:rsid w:val="008D2F76"/>
    <w:rsid w:val="008D3275"/>
    <w:rsid w:val="008D3511"/>
    <w:rsid w:val="008D3574"/>
    <w:rsid w:val="008D35F2"/>
    <w:rsid w:val="008D4473"/>
    <w:rsid w:val="008D44A6"/>
    <w:rsid w:val="008D4931"/>
    <w:rsid w:val="008D4BC3"/>
    <w:rsid w:val="008D5028"/>
    <w:rsid w:val="008D56B6"/>
    <w:rsid w:val="008D5C6E"/>
    <w:rsid w:val="008D5DBC"/>
    <w:rsid w:val="008D5EAF"/>
    <w:rsid w:val="008D6250"/>
    <w:rsid w:val="008D62C4"/>
    <w:rsid w:val="008D64EB"/>
    <w:rsid w:val="008D6903"/>
    <w:rsid w:val="008D6E9F"/>
    <w:rsid w:val="008D74CF"/>
    <w:rsid w:val="008D7A26"/>
    <w:rsid w:val="008D7A7E"/>
    <w:rsid w:val="008D7B6E"/>
    <w:rsid w:val="008E02A4"/>
    <w:rsid w:val="008E03D6"/>
    <w:rsid w:val="008E0466"/>
    <w:rsid w:val="008E05C0"/>
    <w:rsid w:val="008E05EF"/>
    <w:rsid w:val="008E0819"/>
    <w:rsid w:val="008E0B43"/>
    <w:rsid w:val="008E10AE"/>
    <w:rsid w:val="008E118D"/>
    <w:rsid w:val="008E1247"/>
    <w:rsid w:val="008E1442"/>
    <w:rsid w:val="008E1A0A"/>
    <w:rsid w:val="008E1C6F"/>
    <w:rsid w:val="008E210B"/>
    <w:rsid w:val="008E29A2"/>
    <w:rsid w:val="008E3077"/>
    <w:rsid w:val="008E3095"/>
    <w:rsid w:val="008E380C"/>
    <w:rsid w:val="008E3878"/>
    <w:rsid w:val="008E38C8"/>
    <w:rsid w:val="008E3911"/>
    <w:rsid w:val="008E3922"/>
    <w:rsid w:val="008E3F40"/>
    <w:rsid w:val="008E3F83"/>
    <w:rsid w:val="008E438E"/>
    <w:rsid w:val="008E43BA"/>
    <w:rsid w:val="008E43C3"/>
    <w:rsid w:val="008E46CA"/>
    <w:rsid w:val="008E4A01"/>
    <w:rsid w:val="008E4A26"/>
    <w:rsid w:val="008E4AC3"/>
    <w:rsid w:val="008E4E31"/>
    <w:rsid w:val="008E511C"/>
    <w:rsid w:val="008E511D"/>
    <w:rsid w:val="008E526F"/>
    <w:rsid w:val="008E5380"/>
    <w:rsid w:val="008E53E4"/>
    <w:rsid w:val="008E58F8"/>
    <w:rsid w:val="008E5B65"/>
    <w:rsid w:val="008E5E2B"/>
    <w:rsid w:val="008E609C"/>
    <w:rsid w:val="008E64DD"/>
    <w:rsid w:val="008E6879"/>
    <w:rsid w:val="008E6B5D"/>
    <w:rsid w:val="008E6D74"/>
    <w:rsid w:val="008E6DB6"/>
    <w:rsid w:val="008E762E"/>
    <w:rsid w:val="008E78E6"/>
    <w:rsid w:val="008E7C45"/>
    <w:rsid w:val="008E7CE4"/>
    <w:rsid w:val="008E7EC2"/>
    <w:rsid w:val="008E7F54"/>
    <w:rsid w:val="008F046F"/>
    <w:rsid w:val="008F04B4"/>
    <w:rsid w:val="008F0551"/>
    <w:rsid w:val="008F06C5"/>
    <w:rsid w:val="008F0861"/>
    <w:rsid w:val="008F0958"/>
    <w:rsid w:val="008F0B12"/>
    <w:rsid w:val="008F0C4B"/>
    <w:rsid w:val="008F1101"/>
    <w:rsid w:val="008F189D"/>
    <w:rsid w:val="008F1A55"/>
    <w:rsid w:val="008F1A5F"/>
    <w:rsid w:val="008F1D2F"/>
    <w:rsid w:val="008F1F27"/>
    <w:rsid w:val="008F284C"/>
    <w:rsid w:val="008F2ABA"/>
    <w:rsid w:val="008F302C"/>
    <w:rsid w:val="008F3051"/>
    <w:rsid w:val="008F4029"/>
    <w:rsid w:val="008F40EA"/>
    <w:rsid w:val="008F4111"/>
    <w:rsid w:val="008F41DE"/>
    <w:rsid w:val="008F4406"/>
    <w:rsid w:val="008F4646"/>
    <w:rsid w:val="008F46AA"/>
    <w:rsid w:val="008F4825"/>
    <w:rsid w:val="008F4988"/>
    <w:rsid w:val="008F4ACB"/>
    <w:rsid w:val="008F4CC1"/>
    <w:rsid w:val="008F4E58"/>
    <w:rsid w:val="008F4EFA"/>
    <w:rsid w:val="008F55CA"/>
    <w:rsid w:val="008F5778"/>
    <w:rsid w:val="008F5BFD"/>
    <w:rsid w:val="008F5C8B"/>
    <w:rsid w:val="008F5EDA"/>
    <w:rsid w:val="008F60A5"/>
    <w:rsid w:val="008F626F"/>
    <w:rsid w:val="008F6348"/>
    <w:rsid w:val="008F68C7"/>
    <w:rsid w:val="008F6B1E"/>
    <w:rsid w:val="008F75D6"/>
    <w:rsid w:val="008F78F1"/>
    <w:rsid w:val="008F7B99"/>
    <w:rsid w:val="008F7D33"/>
    <w:rsid w:val="008F7D65"/>
    <w:rsid w:val="00900232"/>
    <w:rsid w:val="0090029A"/>
    <w:rsid w:val="0090036D"/>
    <w:rsid w:val="00900CB8"/>
    <w:rsid w:val="00900D1D"/>
    <w:rsid w:val="00900F8B"/>
    <w:rsid w:val="009010F6"/>
    <w:rsid w:val="0090132F"/>
    <w:rsid w:val="009013DB"/>
    <w:rsid w:val="009014DA"/>
    <w:rsid w:val="009016DD"/>
    <w:rsid w:val="009018E4"/>
    <w:rsid w:val="00901B10"/>
    <w:rsid w:val="00901CB5"/>
    <w:rsid w:val="00901CE7"/>
    <w:rsid w:val="00901F10"/>
    <w:rsid w:val="00902285"/>
    <w:rsid w:val="0090257D"/>
    <w:rsid w:val="00902586"/>
    <w:rsid w:val="00902678"/>
    <w:rsid w:val="00902B07"/>
    <w:rsid w:val="00902B91"/>
    <w:rsid w:val="00902BA6"/>
    <w:rsid w:val="0090336F"/>
    <w:rsid w:val="00903EF5"/>
    <w:rsid w:val="009042AB"/>
    <w:rsid w:val="009043B6"/>
    <w:rsid w:val="009043FD"/>
    <w:rsid w:val="009044FE"/>
    <w:rsid w:val="009045A0"/>
    <w:rsid w:val="00904745"/>
    <w:rsid w:val="00904A84"/>
    <w:rsid w:val="00904AEB"/>
    <w:rsid w:val="00904D15"/>
    <w:rsid w:val="0090513C"/>
    <w:rsid w:val="0090572A"/>
    <w:rsid w:val="009058B8"/>
    <w:rsid w:val="009059E4"/>
    <w:rsid w:val="00905C01"/>
    <w:rsid w:val="00905C60"/>
    <w:rsid w:val="00905D8C"/>
    <w:rsid w:val="00905E98"/>
    <w:rsid w:val="009062CA"/>
    <w:rsid w:val="00906343"/>
    <w:rsid w:val="00906368"/>
    <w:rsid w:val="009064F3"/>
    <w:rsid w:val="009065BA"/>
    <w:rsid w:val="009066A6"/>
    <w:rsid w:val="00906B46"/>
    <w:rsid w:val="00906C56"/>
    <w:rsid w:val="009070E1"/>
    <w:rsid w:val="009073EB"/>
    <w:rsid w:val="009075B7"/>
    <w:rsid w:val="009076F0"/>
    <w:rsid w:val="0090786B"/>
    <w:rsid w:val="00907FB9"/>
    <w:rsid w:val="00910B16"/>
    <w:rsid w:val="00910B29"/>
    <w:rsid w:val="00910B6D"/>
    <w:rsid w:val="00910C30"/>
    <w:rsid w:val="0091114D"/>
    <w:rsid w:val="009111B1"/>
    <w:rsid w:val="009111CB"/>
    <w:rsid w:val="00911246"/>
    <w:rsid w:val="00911953"/>
    <w:rsid w:val="00911A1A"/>
    <w:rsid w:val="00911F62"/>
    <w:rsid w:val="009120B2"/>
    <w:rsid w:val="009121A3"/>
    <w:rsid w:val="00912789"/>
    <w:rsid w:val="00912919"/>
    <w:rsid w:val="00912BA1"/>
    <w:rsid w:val="00913929"/>
    <w:rsid w:val="0091402A"/>
    <w:rsid w:val="00914254"/>
    <w:rsid w:val="009146C9"/>
    <w:rsid w:val="00914A3A"/>
    <w:rsid w:val="00914B58"/>
    <w:rsid w:val="00914D7E"/>
    <w:rsid w:val="0091546C"/>
    <w:rsid w:val="009157EB"/>
    <w:rsid w:val="00915B5C"/>
    <w:rsid w:val="00915D6B"/>
    <w:rsid w:val="00915EB6"/>
    <w:rsid w:val="0091661E"/>
    <w:rsid w:val="00916956"/>
    <w:rsid w:val="00916B10"/>
    <w:rsid w:val="00916D3B"/>
    <w:rsid w:val="00917108"/>
    <w:rsid w:val="009172AC"/>
    <w:rsid w:val="0092040F"/>
    <w:rsid w:val="0092068A"/>
    <w:rsid w:val="00920A4D"/>
    <w:rsid w:val="009216B7"/>
    <w:rsid w:val="0092172D"/>
    <w:rsid w:val="0092174B"/>
    <w:rsid w:val="00921AA3"/>
    <w:rsid w:val="00921B95"/>
    <w:rsid w:val="00921E04"/>
    <w:rsid w:val="00921FFD"/>
    <w:rsid w:val="00922006"/>
    <w:rsid w:val="00922441"/>
    <w:rsid w:val="009227F7"/>
    <w:rsid w:val="00922E8C"/>
    <w:rsid w:val="00922F83"/>
    <w:rsid w:val="00922FA7"/>
    <w:rsid w:val="00923278"/>
    <w:rsid w:val="00923444"/>
    <w:rsid w:val="009235F1"/>
    <w:rsid w:val="00923701"/>
    <w:rsid w:val="00923868"/>
    <w:rsid w:val="00923B5F"/>
    <w:rsid w:val="00923D29"/>
    <w:rsid w:val="00923FF7"/>
    <w:rsid w:val="0092413D"/>
    <w:rsid w:val="009241D6"/>
    <w:rsid w:val="009241FE"/>
    <w:rsid w:val="0092497C"/>
    <w:rsid w:val="00924DF6"/>
    <w:rsid w:val="00924E53"/>
    <w:rsid w:val="009256DC"/>
    <w:rsid w:val="00925871"/>
    <w:rsid w:val="00925B49"/>
    <w:rsid w:val="00925B88"/>
    <w:rsid w:val="00925E71"/>
    <w:rsid w:val="00925F9F"/>
    <w:rsid w:val="0092664F"/>
    <w:rsid w:val="00926984"/>
    <w:rsid w:val="00926D4F"/>
    <w:rsid w:val="00926DCF"/>
    <w:rsid w:val="00926E9A"/>
    <w:rsid w:val="00927036"/>
    <w:rsid w:val="009274FF"/>
    <w:rsid w:val="0092750B"/>
    <w:rsid w:val="0092763F"/>
    <w:rsid w:val="0092765D"/>
    <w:rsid w:val="00927682"/>
    <w:rsid w:val="00927875"/>
    <w:rsid w:val="00927AB7"/>
    <w:rsid w:val="009305B0"/>
    <w:rsid w:val="009309DA"/>
    <w:rsid w:val="00930A4B"/>
    <w:rsid w:val="00930AFA"/>
    <w:rsid w:val="00930DE7"/>
    <w:rsid w:val="00930FC1"/>
    <w:rsid w:val="00931177"/>
    <w:rsid w:val="00931195"/>
    <w:rsid w:val="00931654"/>
    <w:rsid w:val="009316DF"/>
    <w:rsid w:val="00931860"/>
    <w:rsid w:val="0093197C"/>
    <w:rsid w:val="00931BBB"/>
    <w:rsid w:val="00931BE8"/>
    <w:rsid w:val="00931E45"/>
    <w:rsid w:val="00931E71"/>
    <w:rsid w:val="0093267A"/>
    <w:rsid w:val="009326E5"/>
    <w:rsid w:val="0093273D"/>
    <w:rsid w:val="009327CB"/>
    <w:rsid w:val="00932E6A"/>
    <w:rsid w:val="009330F7"/>
    <w:rsid w:val="00933122"/>
    <w:rsid w:val="0093315C"/>
    <w:rsid w:val="009333BF"/>
    <w:rsid w:val="0093354D"/>
    <w:rsid w:val="00933D67"/>
    <w:rsid w:val="00933D94"/>
    <w:rsid w:val="00933E59"/>
    <w:rsid w:val="00933EDD"/>
    <w:rsid w:val="009340C8"/>
    <w:rsid w:val="00934169"/>
    <w:rsid w:val="00934513"/>
    <w:rsid w:val="00934630"/>
    <w:rsid w:val="00934922"/>
    <w:rsid w:val="009349EE"/>
    <w:rsid w:val="00934FA0"/>
    <w:rsid w:val="0093538A"/>
    <w:rsid w:val="009354D9"/>
    <w:rsid w:val="009357BC"/>
    <w:rsid w:val="00935C7A"/>
    <w:rsid w:val="00935E81"/>
    <w:rsid w:val="00935F84"/>
    <w:rsid w:val="00936361"/>
    <w:rsid w:val="00936454"/>
    <w:rsid w:val="009367FF"/>
    <w:rsid w:val="00936B7E"/>
    <w:rsid w:val="00936C1B"/>
    <w:rsid w:val="00936C1D"/>
    <w:rsid w:val="00936D41"/>
    <w:rsid w:val="00936D99"/>
    <w:rsid w:val="00936DC9"/>
    <w:rsid w:val="00936E90"/>
    <w:rsid w:val="009370E2"/>
    <w:rsid w:val="00937259"/>
    <w:rsid w:val="009372AE"/>
    <w:rsid w:val="00937636"/>
    <w:rsid w:val="009377C7"/>
    <w:rsid w:val="009379B2"/>
    <w:rsid w:val="00937A9B"/>
    <w:rsid w:val="00937BB7"/>
    <w:rsid w:val="00937F91"/>
    <w:rsid w:val="00940127"/>
    <w:rsid w:val="00940312"/>
    <w:rsid w:val="009403F7"/>
    <w:rsid w:val="00940A6B"/>
    <w:rsid w:val="00940B78"/>
    <w:rsid w:val="00940C63"/>
    <w:rsid w:val="00941022"/>
    <w:rsid w:val="00941608"/>
    <w:rsid w:val="0094190B"/>
    <w:rsid w:val="00941BC4"/>
    <w:rsid w:val="00941FF7"/>
    <w:rsid w:val="009421B1"/>
    <w:rsid w:val="00942442"/>
    <w:rsid w:val="0094272B"/>
    <w:rsid w:val="009427FB"/>
    <w:rsid w:val="00942A21"/>
    <w:rsid w:val="00942C4F"/>
    <w:rsid w:val="00942D0B"/>
    <w:rsid w:val="00942E31"/>
    <w:rsid w:val="00942E62"/>
    <w:rsid w:val="009430C5"/>
    <w:rsid w:val="009431F6"/>
    <w:rsid w:val="009432FD"/>
    <w:rsid w:val="009433AA"/>
    <w:rsid w:val="009436C6"/>
    <w:rsid w:val="009437F3"/>
    <w:rsid w:val="00943901"/>
    <w:rsid w:val="00944638"/>
    <w:rsid w:val="0094482B"/>
    <w:rsid w:val="009449DA"/>
    <w:rsid w:val="00944B97"/>
    <w:rsid w:val="00944DAE"/>
    <w:rsid w:val="00944EB7"/>
    <w:rsid w:val="00944FA1"/>
    <w:rsid w:val="0094504E"/>
    <w:rsid w:val="009453BE"/>
    <w:rsid w:val="009456BF"/>
    <w:rsid w:val="009457A6"/>
    <w:rsid w:val="00945BA7"/>
    <w:rsid w:val="00945CB5"/>
    <w:rsid w:val="00945DE8"/>
    <w:rsid w:val="00946018"/>
    <w:rsid w:val="00946632"/>
    <w:rsid w:val="009468C6"/>
    <w:rsid w:val="00946902"/>
    <w:rsid w:val="00946C5C"/>
    <w:rsid w:val="00946DA3"/>
    <w:rsid w:val="00946F0F"/>
    <w:rsid w:val="00947041"/>
    <w:rsid w:val="009470B0"/>
    <w:rsid w:val="00947274"/>
    <w:rsid w:val="009479B6"/>
    <w:rsid w:val="00947BE3"/>
    <w:rsid w:val="00947EEE"/>
    <w:rsid w:val="00950059"/>
    <w:rsid w:val="00950106"/>
    <w:rsid w:val="0095027E"/>
    <w:rsid w:val="009506A2"/>
    <w:rsid w:val="0095085D"/>
    <w:rsid w:val="00950867"/>
    <w:rsid w:val="0095097F"/>
    <w:rsid w:val="00950992"/>
    <w:rsid w:val="009509F5"/>
    <w:rsid w:val="00950A75"/>
    <w:rsid w:val="00950A86"/>
    <w:rsid w:val="00950A9E"/>
    <w:rsid w:val="00950AD3"/>
    <w:rsid w:val="00950C68"/>
    <w:rsid w:val="00951699"/>
    <w:rsid w:val="00951AD7"/>
    <w:rsid w:val="00951DD4"/>
    <w:rsid w:val="00951E10"/>
    <w:rsid w:val="00952A95"/>
    <w:rsid w:val="00952AD2"/>
    <w:rsid w:val="00953021"/>
    <w:rsid w:val="00953063"/>
    <w:rsid w:val="0095315E"/>
    <w:rsid w:val="00953A46"/>
    <w:rsid w:val="00953EA2"/>
    <w:rsid w:val="00954302"/>
    <w:rsid w:val="00954334"/>
    <w:rsid w:val="00954441"/>
    <w:rsid w:val="009545AA"/>
    <w:rsid w:val="009545F7"/>
    <w:rsid w:val="00954A8B"/>
    <w:rsid w:val="00954AB9"/>
    <w:rsid w:val="00954CB3"/>
    <w:rsid w:val="00955298"/>
    <w:rsid w:val="009555D9"/>
    <w:rsid w:val="009555FA"/>
    <w:rsid w:val="00955867"/>
    <w:rsid w:val="0095588C"/>
    <w:rsid w:val="00955FCC"/>
    <w:rsid w:val="00955FFD"/>
    <w:rsid w:val="009560D3"/>
    <w:rsid w:val="009564FA"/>
    <w:rsid w:val="009565C9"/>
    <w:rsid w:val="009566EE"/>
    <w:rsid w:val="00956CAC"/>
    <w:rsid w:val="00956CE6"/>
    <w:rsid w:val="00956F5E"/>
    <w:rsid w:val="009572ED"/>
    <w:rsid w:val="009578BD"/>
    <w:rsid w:val="009579DB"/>
    <w:rsid w:val="00957DCD"/>
    <w:rsid w:val="00957E64"/>
    <w:rsid w:val="00957EC6"/>
    <w:rsid w:val="00957FC5"/>
    <w:rsid w:val="00960037"/>
    <w:rsid w:val="009600C5"/>
    <w:rsid w:val="0096033A"/>
    <w:rsid w:val="00960941"/>
    <w:rsid w:val="00960A2D"/>
    <w:rsid w:val="00960BCB"/>
    <w:rsid w:val="00960FD0"/>
    <w:rsid w:val="0096114F"/>
    <w:rsid w:val="009612ED"/>
    <w:rsid w:val="00961454"/>
    <w:rsid w:val="00961513"/>
    <w:rsid w:val="0096172D"/>
    <w:rsid w:val="00961CB5"/>
    <w:rsid w:val="00961F6C"/>
    <w:rsid w:val="0096203A"/>
    <w:rsid w:val="009621A2"/>
    <w:rsid w:val="00962298"/>
    <w:rsid w:val="00962751"/>
    <w:rsid w:val="00962D2F"/>
    <w:rsid w:val="00962D4E"/>
    <w:rsid w:val="009633AB"/>
    <w:rsid w:val="00963453"/>
    <w:rsid w:val="00963472"/>
    <w:rsid w:val="00963600"/>
    <w:rsid w:val="009637A1"/>
    <w:rsid w:val="00963C6C"/>
    <w:rsid w:val="00964178"/>
    <w:rsid w:val="00964206"/>
    <w:rsid w:val="009642EF"/>
    <w:rsid w:val="009643B1"/>
    <w:rsid w:val="00964765"/>
    <w:rsid w:val="00964857"/>
    <w:rsid w:val="00964C04"/>
    <w:rsid w:val="00964D00"/>
    <w:rsid w:val="0096527D"/>
    <w:rsid w:val="00965608"/>
    <w:rsid w:val="009657E6"/>
    <w:rsid w:val="00965827"/>
    <w:rsid w:val="00965B12"/>
    <w:rsid w:val="0096633F"/>
    <w:rsid w:val="00966692"/>
    <w:rsid w:val="009666A4"/>
    <w:rsid w:val="0096672E"/>
    <w:rsid w:val="0096695B"/>
    <w:rsid w:val="009669AA"/>
    <w:rsid w:val="00966DE2"/>
    <w:rsid w:val="00966E7D"/>
    <w:rsid w:val="00967471"/>
    <w:rsid w:val="00967522"/>
    <w:rsid w:val="0096782D"/>
    <w:rsid w:val="009679A0"/>
    <w:rsid w:val="009679F8"/>
    <w:rsid w:val="00967B92"/>
    <w:rsid w:val="00967BD3"/>
    <w:rsid w:val="00967BFD"/>
    <w:rsid w:val="00967DE5"/>
    <w:rsid w:val="00970198"/>
    <w:rsid w:val="00970288"/>
    <w:rsid w:val="009704F9"/>
    <w:rsid w:val="00970739"/>
    <w:rsid w:val="00970A93"/>
    <w:rsid w:val="00970F81"/>
    <w:rsid w:val="00971189"/>
    <w:rsid w:val="0097150F"/>
    <w:rsid w:val="00971801"/>
    <w:rsid w:val="00971A70"/>
    <w:rsid w:val="00971DC8"/>
    <w:rsid w:val="0097206F"/>
    <w:rsid w:val="009720A0"/>
    <w:rsid w:val="00972C9E"/>
    <w:rsid w:val="00972CB1"/>
    <w:rsid w:val="00972CD7"/>
    <w:rsid w:val="0097319D"/>
    <w:rsid w:val="009732F1"/>
    <w:rsid w:val="009733A6"/>
    <w:rsid w:val="00973EEE"/>
    <w:rsid w:val="009742D5"/>
    <w:rsid w:val="009744A4"/>
    <w:rsid w:val="00974995"/>
    <w:rsid w:val="00974C55"/>
    <w:rsid w:val="00974EEA"/>
    <w:rsid w:val="00974F9C"/>
    <w:rsid w:val="00975524"/>
    <w:rsid w:val="0097554B"/>
    <w:rsid w:val="00975616"/>
    <w:rsid w:val="0097566D"/>
    <w:rsid w:val="00975881"/>
    <w:rsid w:val="00975910"/>
    <w:rsid w:val="00975B11"/>
    <w:rsid w:val="0097653E"/>
    <w:rsid w:val="00976675"/>
    <w:rsid w:val="00976892"/>
    <w:rsid w:val="00977103"/>
    <w:rsid w:val="00977340"/>
    <w:rsid w:val="0097738E"/>
    <w:rsid w:val="0097776C"/>
    <w:rsid w:val="00977824"/>
    <w:rsid w:val="0098014F"/>
    <w:rsid w:val="009802CB"/>
    <w:rsid w:val="00980BCC"/>
    <w:rsid w:val="00980C27"/>
    <w:rsid w:val="00980EC8"/>
    <w:rsid w:val="00980FBC"/>
    <w:rsid w:val="009812C4"/>
    <w:rsid w:val="00981495"/>
    <w:rsid w:val="009819A8"/>
    <w:rsid w:val="00981A16"/>
    <w:rsid w:val="00981A3A"/>
    <w:rsid w:val="00981C2F"/>
    <w:rsid w:val="009820B2"/>
    <w:rsid w:val="00982153"/>
    <w:rsid w:val="009821AD"/>
    <w:rsid w:val="00982327"/>
    <w:rsid w:val="00982606"/>
    <w:rsid w:val="00982745"/>
    <w:rsid w:val="009829A8"/>
    <w:rsid w:val="009829CA"/>
    <w:rsid w:val="009829D9"/>
    <w:rsid w:val="00982A7F"/>
    <w:rsid w:val="00982BC2"/>
    <w:rsid w:val="009830E3"/>
    <w:rsid w:val="00983106"/>
    <w:rsid w:val="00983674"/>
    <w:rsid w:val="009836D8"/>
    <w:rsid w:val="00983B67"/>
    <w:rsid w:val="00983C37"/>
    <w:rsid w:val="00983E5C"/>
    <w:rsid w:val="0098406C"/>
    <w:rsid w:val="009843D1"/>
    <w:rsid w:val="0098447E"/>
    <w:rsid w:val="009846E8"/>
    <w:rsid w:val="009847C4"/>
    <w:rsid w:val="00984994"/>
    <w:rsid w:val="00984E90"/>
    <w:rsid w:val="0098507D"/>
    <w:rsid w:val="00985C41"/>
    <w:rsid w:val="00986003"/>
    <w:rsid w:val="009860C3"/>
    <w:rsid w:val="00986166"/>
    <w:rsid w:val="0098623A"/>
    <w:rsid w:val="00986417"/>
    <w:rsid w:val="0098652D"/>
    <w:rsid w:val="009866A6"/>
    <w:rsid w:val="009867B4"/>
    <w:rsid w:val="00986960"/>
    <w:rsid w:val="00986BC0"/>
    <w:rsid w:val="00986CD8"/>
    <w:rsid w:val="009870B9"/>
    <w:rsid w:val="00987102"/>
    <w:rsid w:val="009878C7"/>
    <w:rsid w:val="00987B2C"/>
    <w:rsid w:val="00987B77"/>
    <w:rsid w:val="00987DCB"/>
    <w:rsid w:val="00987E85"/>
    <w:rsid w:val="00987EC9"/>
    <w:rsid w:val="00987F62"/>
    <w:rsid w:val="00990102"/>
    <w:rsid w:val="009902C2"/>
    <w:rsid w:val="0099038B"/>
    <w:rsid w:val="009904A7"/>
    <w:rsid w:val="00990828"/>
    <w:rsid w:val="00990B74"/>
    <w:rsid w:val="00991238"/>
    <w:rsid w:val="009918DE"/>
    <w:rsid w:val="0099194E"/>
    <w:rsid w:val="009919B5"/>
    <w:rsid w:val="00991DDC"/>
    <w:rsid w:val="00991EEF"/>
    <w:rsid w:val="0099240A"/>
    <w:rsid w:val="009928FF"/>
    <w:rsid w:val="00992A5F"/>
    <w:rsid w:val="00992AB9"/>
    <w:rsid w:val="00992B72"/>
    <w:rsid w:val="00992CA7"/>
    <w:rsid w:val="00992D7E"/>
    <w:rsid w:val="0099349A"/>
    <w:rsid w:val="0099370C"/>
    <w:rsid w:val="0099380B"/>
    <w:rsid w:val="0099393B"/>
    <w:rsid w:val="00993AAC"/>
    <w:rsid w:val="00993BAE"/>
    <w:rsid w:val="00994304"/>
    <w:rsid w:val="009946B2"/>
    <w:rsid w:val="009948E2"/>
    <w:rsid w:val="00994B34"/>
    <w:rsid w:val="00994E05"/>
    <w:rsid w:val="00994F7C"/>
    <w:rsid w:val="0099503F"/>
    <w:rsid w:val="0099508D"/>
    <w:rsid w:val="009953B6"/>
    <w:rsid w:val="00995A0D"/>
    <w:rsid w:val="00995C0E"/>
    <w:rsid w:val="00995E20"/>
    <w:rsid w:val="00995F90"/>
    <w:rsid w:val="00995FA6"/>
    <w:rsid w:val="0099645D"/>
    <w:rsid w:val="009967B3"/>
    <w:rsid w:val="00996D12"/>
    <w:rsid w:val="00996DC7"/>
    <w:rsid w:val="00996FB1"/>
    <w:rsid w:val="00997325"/>
    <w:rsid w:val="009975D9"/>
    <w:rsid w:val="009979C0"/>
    <w:rsid w:val="00997A97"/>
    <w:rsid w:val="00997C06"/>
    <w:rsid w:val="00997C08"/>
    <w:rsid w:val="00997F15"/>
    <w:rsid w:val="00997FA3"/>
    <w:rsid w:val="00997FFE"/>
    <w:rsid w:val="009A0A31"/>
    <w:rsid w:val="009A0C44"/>
    <w:rsid w:val="009A0ED0"/>
    <w:rsid w:val="009A1162"/>
    <w:rsid w:val="009A11AD"/>
    <w:rsid w:val="009A1299"/>
    <w:rsid w:val="009A147A"/>
    <w:rsid w:val="009A15EE"/>
    <w:rsid w:val="009A1671"/>
    <w:rsid w:val="009A1729"/>
    <w:rsid w:val="009A17FD"/>
    <w:rsid w:val="009A1CBC"/>
    <w:rsid w:val="009A1D54"/>
    <w:rsid w:val="009A1EB8"/>
    <w:rsid w:val="009A1F3D"/>
    <w:rsid w:val="009A22D3"/>
    <w:rsid w:val="009A22DD"/>
    <w:rsid w:val="009A2679"/>
    <w:rsid w:val="009A2BBE"/>
    <w:rsid w:val="009A2D6F"/>
    <w:rsid w:val="009A2E3C"/>
    <w:rsid w:val="009A307E"/>
    <w:rsid w:val="009A3212"/>
    <w:rsid w:val="009A3509"/>
    <w:rsid w:val="009A35BC"/>
    <w:rsid w:val="009A3862"/>
    <w:rsid w:val="009A3924"/>
    <w:rsid w:val="009A39FE"/>
    <w:rsid w:val="009A3DE4"/>
    <w:rsid w:val="009A3FC2"/>
    <w:rsid w:val="009A4025"/>
    <w:rsid w:val="009A41DB"/>
    <w:rsid w:val="009A42F2"/>
    <w:rsid w:val="009A43D9"/>
    <w:rsid w:val="009A44A5"/>
    <w:rsid w:val="009A4832"/>
    <w:rsid w:val="009A490C"/>
    <w:rsid w:val="009A4C2E"/>
    <w:rsid w:val="009A524B"/>
    <w:rsid w:val="009A533B"/>
    <w:rsid w:val="009A5360"/>
    <w:rsid w:val="009A55E2"/>
    <w:rsid w:val="009A570E"/>
    <w:rsid w:val="009A5C81"/>
    <w:rsid w:val="009A6041"/>
    <w:rsid w:val="009A64E6"/>
    <w:rsid w:val="009A65F6"/>
    <w:rsid w:val="009A6773"/>
    <w:rsid w:val="009A678C"/>
    <w:rsid w:val="009A68CE"/>
    <w:rsid w:val="009A6B02"/>
    <w:rsid w:val="009A6DEF"/>
    <w:rsid w:val="009A6E47"/>
    <w:rsid w:val="009A74C9"/>
    <w:rsid w:val="009A74D6"/>
    <w:rsid w:val="009A787D"/>
    <w:rsid w:val="009A7BB3"/>
    <w:rsid w:val="009A7FFA"/>
    <w:rsid w:val="009B073C"/>
    <w:rsid w:val="009B1063"/>
    <w:rsid w:val="009B1463"/>
    <w:rsid w:val="009B17ED"/>
    <w:rsid w:val="009B190F"/>
    <w:rsid w:val="009B1A18"/>
    <w:rsid w:val="009B1F0F"/>
    <w:rsid w:val="009B2039"/>
    <w:rsid w:val="009B2155"/>
    <w:rsid w:val="009B2284"/>
    <w:rsid w:val="009B2306"/>
    <w:rsid w:val="009B24A9"/>
    <w:rsid w:val="009B2571"/>
    <w:rsid w:val="009B278C"/>
    <w:rsid w:val="009B2947"/>
    <w:rsid w:val="009B2A05"/>
    <w:rsid w:val="009B2D1E"/>
    <w:rsid w:val="009B2D67"/>
    <w:rsid w:val="009B2E6C"/>
    <w:rsid w:val="009B3449"/>
    <w:rsid w:val="009B355E"/>
    <w:rsid w:val="009B3611"/>
    <w:rsid w:val="009B3979"/>
    <w:rsid w:val="009B3C2B"/>
    <w:rsid w:val="009B3CF9"/>
    <w:rsid w:val="009B3EC9"/>
    <w:rsid w:val="009B46EA"/>
    <w:rsid w:val="009B4791"/>
    <w:rsid w:val="009B4D6A"/>
    <w:rsid w:val="009B5043"/>
    <w:rsid w:val="009B51DB"/>
    <w:rsid w:val="009B5436"/>
    <w:rsid w:val="009B598E"/>
    <w:rsid w:val="009B59F3"/>
    <w:rsid w:val="009B5A30"/>
    <w:rsid w:val="009B5BC1"/>
    <w:rsid w:val="009B5D00"/>
    <w:rsid w:val="009B601C"/>
    <w:rsid w:val="009B61B0"/>
    <w:rsid w:val="009B6215"/>
    <w:rsid w:val="009B65A0"/>
    <w:rsid w:val="009B65C1"/>
    <w:rsid w:val="009B6604"/>
    <w:rsid w:val="009B669B"/>
    <w:rsid w:val="009B7438"/>
    <w:rsid w:val="009B7848"/>
    <w:rsid w:val="009B79AC"/>
    <w:rsid w:val="009B7A83"/>
    <w:rsid w:val="009B7BDE"/>
    <w:rsid w:val="009B7C93"/>
    <w:rsid w:val="009B7CF0"/>
    <w:rsid w:val="009B7CF6"/>
    <w:rsid w:val="009B7D71"/>
    <w:rsid w:val="009B7D92"/>
    <w:rsid w:val="009C02D1"/>
    <w:rsid w:val="009C03FE"/>
    <w:rsid w:val="009C05FD"/>
    <w:rsid w:val="009C06E7"/>
    <w:rsid w:val="009C0723"/>
    <w:rsid w:val="009C0942"/>
    <w:rsid w:val="009C0D5D"/>
    <w:rsid w:val="009C0D79"/>
    <w:rsid w:val="009C0F6B"/>
    <w:rsid w:val="009C1158"/>
    <w:rsid w:val="009C115D"/>
    <w:rsid w:val="009C1352"/>
    <w:rsid w:val="009C13D3"/>
    <w:rsid w:val="009C183B"/>
    <w:rsid w:val="009C1B18"/>
    <w:rsid w:val="009C1D1A"/>
    <w:rsid w:val="009C1FAC"/>
    <w:rsid w:val="009C21DE"/>
    <w:rsid w:val="009C23BC"/>
    <w:rsid w:val="009C28B5"/>
    <w:rsid w:val="009C2A7A"/>
    <w:rsid w:val="009C3ADC"/>
    <w:rsid w:val="009C3D62"/>
    <w:rsid w:val="009C3E05"/>
    <w:rsid w:val="009C3E33"/>
    <w:rsid w:val="009C427B"/>
    <w:rsid w:val="009C469A"/>
    <w:rsid w:val="009C4737"/>
    <w:rsid w:val="009C4968"/>
    <w:rsid w:val="009C4A36"/>
    <w:rsid w:val="009C5122"/>
    <w:rsid w:val="009C5735"/>
    <w:rsid w:val="009C5BA8"/>
    <w:rsid w:val="009C5E37"/>
    <w:rsid w:val="009C601A"/>
    <w:rsid w:val="009C644D"/>
    <w:rsid w:val="009C69C6"/>
    <w:rsid w:val="009C6B1E"/>
    <w:rsid w:val="009C6EC5"/>
    <w:rsid w:val="009C725A"/>
    <w:rsid w:val="009C7A9E"/>
    <w:rsid w:val="009C7E19"/>
    <w:rsid w:val="009D00C0"/>
    <w:rsid w:val="009D0206"/>
    <w:rsid w:val="009D0245"/>
    <w:rsid w:val="009D02CB"/>
    <w:rsid w:val="009D042B"/>
    <w:rsid w:val="009D06D2"/>
    <w:rsid w:val="009D08A7"/>
    <w:rsid w:val="009D0B3C"/>
    <w:rsid w:val="009D0DE2"/>
    <w:rsid w:val="009D0EDD"/>
    <w:rsid w:val="009D1039"/>
    <w:rsid w:val="009D1293"/>
    <w:rsid w:val="009D146D"/>
    <w:rsid w:val="009D14A4"/>
    <w:rsid w:val="009D1545"/>
    <w:rsid w:val="009D1FF2"/>
    <w:rsid w:val="009D209F"/>
    <w:rsid w:val="009D2E1C"/>
    <w:rsid w:val="009D2F81"/>
    <w:rsid w:val="009D3156"/>
    <w:rsid w:val="009D320C"/>
    <w:rsid w:val="009D3332"/>
    <w:rsid w:val="009D33AF"/>
    <w:rsid w:val="009D34AD"/>
    <w:rsid w:val="009D3678"/>
    <w:rsid w:val="009D3923"/>
    <w:rsid w:val="009D3B43"/>
    <w:rsid w:val="009D3CC0"/>
    <w:rsid w:val="009D3D5C"/>
    <w:rsid w:val="009D4071"/>
    <w:rsid w:val="009D40EF"/>
    <w:rsid w:val="009D4733"/>
    <w:rsid w:val="009D47EE"/>
    <w:rsid w:val="009D480A"/>
    <w:rsid w:val="009D54D4"/>
    <w:rsid w:val="009D559C"/>
    <w:rsid w:val="009D56B6"/>
    <w:rsid w:val="009D5A7A"/>
    <w:rsid w:val="009D5A81"/>
    <w:rsid w:val="009D5BDD"/>
    <w:rsid w:val="009D5EAA"/>
    <w:rsid w:val="009D6354"/>
    <w:rsid w:val="009D63E7"/>
    <w:rsid w:val="009D6413"/>
    <w:rsid w:val="009D6BFB"/>
    <w:rsid w:val="009D6C5E"/>
    <w:rsid w:val="009D6CB3"/>
    <w:rsid w:val="009D6CF7"/>
    <w:rsid w:val="009D6FCC"/>
    <w:rsid w:val="009D6FEF"/>
    <w:rsid w:val="009D7118"/>
    <w:rsid w:val="009D7588"/>
    <w:rsid w:val="009D75F7"/>
    <w:rsid w:val="009D766C"/>
    <w:rsid w:val="009D76F9"/>
    <w:rsid w:val="009D7A92"/>
    <w:rsid w:val="009D7AFC"/>
    <w:rsid w:val="009D7C64"/>
    <w:rsid w:val="009D7D3E"/>
    <w:rsid w:val="009D7F23"/>
    <w:rsid w:val="009E01EC"/>
    <w:rsid w:val="009E0389"/>
    <w:rsid w:val="009E048B"/>
    <w:rsid w:val="009E0771"/>
    <w:rsid w:val="009E0862"/>
    <w:rsid w:val="009E09DB"/>
    <w:rsid w:val="009E0A41"/>
    <w:rsid w:val="009E0BDF"/>
    <w:rsid w:val="009E0DBF"/>
    <w:rsid w:val="009E0FE2"/>
    <w:rsid w:val="009E1545"/>
    <w:rsid w:val="009E1DE8"/>
    <w:rsid w:val="009E1F0C"/>
    <w:rsid w:val="009E1F41"/>
    <w:rsid w:val="009E2267"/>
    <w:rsid w:val="009E243B"/>
    <w:rsid w:val="009E2516"/>
    <w:rsid w:val="009E2772"/>
    <w:rsid w:val="009E288E"/>
    <w:rsid w:val="009E2990"/>
    <w:rsid w:val="009E29A9"/>
    <w:rsid w:val="009E3A42"/>
    <w:rsid w:val="009E3CAA"/>
    <w:rsid w:val="009E3CB0"/>
    <w:rsid w:val="009E3CF1"/>
    <w:rsid w:val="009E3F9C"/>
    <w:rsid w:val="009E47BF"/>
    <w:rsid w:val="009E4A5E"/>
    <w:rsid w:val="009E4AC2"/>
    <w:rsid w:val="009E4F96"/>
    <w:rsid w:val="009E5338"/>
    <w:rsid w:val="009E535D"/>
    <w:rsid w:val="009E53CC"/>
    <w:rsid w:val="009E55E3"/>
    <w:rsid w:val="009E5907"/>
    <w:rsid w:val="009E59D3"/>
    <w:rsid w:val="009E5CC9"/>
    <w:rsid w:val="009E640C"/>
    <w:rsid w:val="009E6421"/>
    <w:rsid w:val="009E69F0"/>
    <w:rsid w:val="009E7285"/>
    <w:rsid w:val="009E73D2"/>
    <w:rsid w:val="009E758F"/>
    <w:rsid w:val="009E76BB"/>
    <w:rsid w:val="009E7B60"/>
    <w:rsid w:val="009F03FE"/>
    <w:rsid w:val="009F049D"/>
    <w:rsid w:val="009F08AE"/>
    <w:rsid w:val="009F0A04"/>
    <w:rsid w:val="009F0A30"/>
    <w:rsid w:val="009F0B6F"/>
    <w:rsid w:val="009F0E28"/>
    <w:rsid w:val="009F1027"/>
    <w:rsid w:val="009F109A"/>
    <w:rsid w:val="009F10BD"/>
    <w:rsid w:val="009F1377"/>
    <w:rsid w:val="009F146E"/>
    <w:rsid w:val="009F1E17"/>
    <w:rsid w:val="009F202A"/>
    <w:rsid w:val="009F2125"/>
    <w:rsid w:val="009F24A4"/>
    <w:rsid w:val="009F2A21"/>
    <w:rsid w:val="009F2E42"/>
    <w:rsid w:val="009F2F8A"/>
    <w:rsid w:val="009F334E"/>
    <w:rsid w:val="009F33CA"/>
    <w:rsid w:val="009F35F8"/>
    <w:rsid w:val="009F3613"/>
    <w:rsid w:val="009F3836"/>
    <w:rsid w:val="009F398A"/>
    <w:rsid w:val="009F3A1C"/>
    <w:rsid w:val="009F3B45"/>
    <w:rsid w:val="009F3EF8"/>
    <w:rsid w:val="009F47D1"/>
    <w:rsid w:val="009F4B5D"/>
    <w:rsid w:val="009F4C02"/>
    <w:rsid w:val="009F4CBB"/>
    <w:rsid w:val="009F4E1D"/>
    <w:rsid w:val="009F4E1F"/>
    <w:rsid w:val="009F5088"/>
    <w:rsid w:val="009F5261"/>
    <w:rsid w:val="009F5336"/>
    <w:rsid w:val="009F5702"/>
    <w:rsid w:val="009F5A05"/>
    <w:rsid w:val="009F5D00"/>
    <w:rsid w:val="009F6164"/>
    <w:rsid w:val="009F63EE"/>
    <w:rsid w:val="009F6B23"/>
    <w:rsid w:val="009F6F63"/>
    <w:rsid w:val="009F72E3"/>
    <w:rsid w:val="009F7433"/>
    <w:rsid w:val="009F74E5"/>
    <w:rsid w:val="009F7CED"/>
    <w:rsid w:val="00A00062"/>
    <w:rsid w:val="00A0033B"/>
    <w:rsid w:val="00A003E5"/>
    <w:rsid w:val="00A00EAD"/>
    <w:rsid w:val="00A0103C"/>
    <w:rsid w:val="00A0104E"/>
    <w:rsid w:val="00A0159D"/>
    <w:rsid w:val="00A016A3"/>
    <w:rsid w:val="00A018A1"/>
    <w:rsid w:val="00A01D63"/>
    <w:rsid w:val="00A01D85"/>
    <w:rsid w:val="00A020B9"/>
    <w:rsid w:val="00A02942"/>
    <w:rsid w:val="00A02A96"/>
    <w:rsid w:val="00A02C62"/>
    <w:rsid w:val="00A02DDA"/>
    <w:rsid w:val="00A03402"/>
    <w:rsid w:val="00A0365D"/>
    <w:rsid w:val="00A0380A"/>
    <w:rsid w:val="00A03A32"/>
    <w:rsid w:val="00A03C04"/>
    <w:rsid w:val="00A03CA1"/>
    <w:rsid w:val="00A03DBB"/>
    <w:rsid w:val="00A03E9B"/>
    <w:rsid w:val="00A04243"/>
    <w:rsid w:val="00A042F2"/>
    <w:rsid w:val="00A0433D"/>
    <w:rsid w:val="00A043D9"/>
    <w:rsid w:val="00A046FB"/>
    <w:rsid w:val="00A04888"/>
    <w:rsid w:val="00A049E2"/>
    <w:rsid w:val="00A04A11"/>
    <w:rsid w:val="00A04AAE"/>
    <w:rsid w:val="00A04C55"/>
    <w:rsid w:val="00A04E70"/>
    <w:rsid w:val="00A04EFC"/>
    <w:rsid w:val="00A05211"/>
    <w:rsid w:val="00A05557"/>
    <w:rsid w:val="00A059DD"/>
    <w:rsid w:val="00A05F36"/>
    <w:rsid w:val="00A06144"/>
    <w:rsid w:val="00A06285"/>
    <w:rsid w:val="00A065B1"/>
    <w:rsid w:val="00A06689"/>
    <w:rsid w:val="00A06C15"/>
    <w:rsid w:val="00A076A7"/>
    <w:rsid w:val="00A07AED"/>
    <w:rsid w:val="00A100AC"/>
    <w:rsid w:val="00A10850"/>
    <w:rsid w:val="00A10951"/>
    <w:rsid w:val="00A109F7"/>
    <w:rsid w:val="00A11AB7"/>
    <w:rsid w:val="00A11D42"/>
    <w:rsid w:val="00A11D7A"/>
    <w:rsid w:val="00A11E13"/>
    <w:rsid w:val="00A11F32"/>
    <w:rsid w:val="00A1210E"/>
    <w:rsid w:val="00A1216F"/>
    <w:rsid w:val="00A1238F"/>
    <w:rsid w:val="00A129A9"/>
    <w:rsid w:val="00A12EA6"/>
    <w:rsid w:val="00A12F5B"/>
    <w:rsid w:val="00A12FA5"/>
    <w:rsid w:val="00A13261"/>
    <w:rsid w:val="00A133F7"/>
    <w:rsid w:val="00A13764"/>
    <w:rsid w:val="00A13E30"/>
    <w:rsid w:val="00A14803"/>
    <w:rsid w:val="00A14917"/>
    <w:rsid w:val="00A153F8"/>
    <w:rsid w:val="00A15A8A"/>
    <w:rsid w:val="00A15B4C"/>
    <w:rsid w:val="00A165A8"/>
    <w:rsid w:val="00A16967"/>
    <w:rsid w:val="00A169BC"/>
    <w:rsid w:val="00A16A3B"/>
    <w:rsid w:val="00A16A77"/>
    <w:rsid w:val="00A16CDC"/>
    <w:rsid w:val="00A16ED5"/>
    <w:rsid w:val="00A16F5C"/>
    <w:rsid w:val="00A16FBD"/>
    <w:rsid w:val="00A17067"/>
    <w:rsid w:val="00A171F8"/>
    <w:rsid w:val="00A1729A"/>
    <w:rsid w:val="00A17461"/>
    <w:rsid w:val="00A174EB"/>
    <w:rsid w:val="00A1756E"/>
    <w:rsid w:val="00A17571"/>
    <w:rsid w:val="00A176A4"/>
    <w:rsid w:val="00A17786"/>
    <w:rsid w:val="00A17865"/>
    <w:rsid w:val="00A17E78"/>
    <w:rsid w:val="00A201F0"/>
    <w:rsid w:val="00A202DD"/>
    <w:rsid w:val="00A203F9"/>
    <w:rsid w:val="00A2063A"/>
    <w:rsid w:val="00A2089D"/>
    <w:rsid w:val="00A20999"/>
    <w:rsid w:val="00A20AFD"/>
    <w:rsid w:val="00A20FA7"/>
    <w:rsid w:val="00A20FB8"/>
    <w:rsid w:val="00A21426"/>
    <w:rsid w:val="00A21468"/>
    <w:rsid w:val="00A21D34"/>
    <w:rsid w:val="00A2272B"/>
    <w:rsid w:val="00A228E3"/>
    <w:rsid w:val="00A22F5E"/>
    <w:rsid w:val="00A23025"/>
    <w:rsid w:val="00A2328D"/>
    <w:rsid w:val="00A23419"/>
    <w:rsid w:val="00A23602"/>
    <w:rsid w:val="00A23686"/>
    <w:rsid w:val="00A23716"/>
    <w:rsid w:val="00A23FCB"/>
    <w:rsid w:val="00A240D3"/>
    <w:rsid w:val="00A24293"/>
    <w:rsid w:val="00A24299"/>
    <w:rsid w:val="00A2492A"/>
    <w:rsid w:val="00A2562F"/>
    <w:rsid w:val="00A25ACA"/>
    <w:rsid w:val="00A25C15"/>
    <w:rsid w:val="00A26288"/>
    <w:rsid w:val="00A26624"/>
    <w:rsid w:val="00A2670A"/>
    <w:rsid w:val="00A269B0"/>
    <w:rsid w:val="00A26D6C"/>
    <w:rsid w:val="00A26EB8"/>
    <w:rsid w:val="00A26FC8"/>
    <w:rsid w:val="00A27095"/>
    <w:rsid w:val="00A271E1"/>
    <w:rsid w:val="00A271E7"/>
    <w:rsid w:val="00A275A9"/>
    <w:rsid w:val="00A275CE"/>
    <w:rsid w:val="00A27696"/>
    <w:rsid w:val="00A27D75"/>
    <w:rsid w:val="00A27D7D"/>
    <w:rsid w:val="00A27DC9"/>
    <w:rsid w:val="00A27EE0"/>
    <w:rsid w:val="00A300D0"/>
    <w:rsid w:val="00A3017F"/>
    <w:rsid w:val="00A30513"/>
    <w:rsid w:val="00A305E5"/>
    <w:rsid w:val="00A307F9"/>
    <w:rsid w:val="00A3081E"/>
    <w:rsid w:val="00A30A81"/>
    <w:rsid w:val="00A30D34"/>
    <w:rsid w:val="00A30F6A"/>
    <w:rsid w:val="00A3100F"/>
    <w:rsid w:val="00A3158C"/>
    <w:rsid w:val="00A31A2A"/>
    <w:rsid w:val="00A31C5B"/>
    <w:rsid w:val="00A31D35"/>
    <w:rsid w:val="00A325D6"/>
    <w:rsid w:val="00A32686"/>
    <w:rsid w:val="00A3275E"/>
    <w:rsid w:val="00A327A2"/>
    <w:rsid w:val="00A32A54"/>
    <w:rsid w:val="00A32BF6"/>
    <w:rsid w:val="00A33068"/>
    <w:rsid w:val="00A332F2"/>
    <w:rsid w:val="00A333B9"/>
    <w:rsid w:val="00A33438"/>
    <w:rsid w:val="00A335CD"/>
    <w:rsid w:val="00A33681"/>
    <w:rsid w:val="00A33802"/>
    <w:rsid w:val="00A33816"/>
    <w:rsid w:val="00A339B4"/>
    <w:rsid w:val="00A33A14"/>
    <w:rsid w:val="00A33B0A"/>
    <w:rsid w:val="00A33B45"/>
    <w:rsid w:val="00A34490"/>
    <w:rsid w:val="00A344D2"/>
    <w:rsid w:val="00A345B9"/>
    <w:rsid w:val="00A34687"/>
    <w:rsid w:val="00A346FC"/>
    <w:rsid w:val="00A34706"/>
    <w:rsid w:val="00A34926"/>
    <w:rsid w:val="00A34A52"/>
    <w:rsid w:val="00A34BEA"/>
    <w:rsid w:val="00A34C41"/>
    <w:rsid w:val="00A34DD5"/>
    <w:rsid w:val="00A35523"/>
    <w:rsid w:val="00A355FD"/>
    <w:rsid w:val="00A3591F"/>
    <w:rsid w:val="00A35BEB"/>
    <w:rsid w:val="00A360F3"/>
    <w:rsid w:val="00A36237"/>
    <w:rsid w:val="00A36456"/>
    <w:rsid w:val="00A3667C"/>
    <w:rsid w:val="00A366D5"/>
    <w:rsid w:val="00A369EF"/>
    <w:rsid w:val="00A36CE8"/>
    <w:rsid w:val="00A36D2D"/>
    <w:rsid w:val="00A36F73"/>
    <w:rsid w:val="00A373B8"/>
    <w:rsid w:val="00A377EB"/>
    <w:rsid w:val="00A37E57"/>
    <w:rsid w:val="00A40185"/>
    <w:rsid w:val="00A405F6"/>
    <w:rsid w:val="00A40705"/>
    <w:rsid w:val="00A408AC"/>
    <w:rsid w:val="00A40B36"/>
    <w:rsid w:val="00A40D8A"/>
    <w:rsid w:val="00A40F7D"/>
    <w:rsid w:val="00A411C1"/>
    <w:rsid w:val="00A418D3"/>
    <w:rsid w:val="00A419C6"/>
    <w:rsid w:val="00A419CF"/>
    <w:rsid w:val="00A41AC4"/>
    <w:rsid w:val="00A41AE1"/>
    <w:rsid w:val="00A41CF3"/>
    <w:rsid w:val="00A421CE"/>
    <w:rsid w:val="00A42318"/>
    <w:rsid w:val="00A42401"/>
    <w:rsid w:val="00A427B9"/>
    <w:rsid w:val="00A428C6"/>
    <w:rsid w:val="00A42B00"/>
    <w:rsid w:val="00A42C89"/>
    <w:rsid w:val="00A42DB1"/>
    <w:rsid w:val="00A42E9A"/>
    <w:rsid w:val="00A42FCE"/>
    <w:rsid w:val="00A433B0"/>
    <w:rsid w:val="00A433D1"/>
    <w:rsid w:val="00A43464"/>
    <w:rsid w:val="00A437D0"/>
    <w:rsid w:val="00A43AF4"/>
    <w:rsid w:val="00A43CA6"/>
    <w:rsid w:val="00A44C73"/>
    <w:rsid w:val="00A45194"/>
    <w:rsid w:val="00A4570C"/>
    <w:rsid w:val="00A457B1"/>
    <w:rsid w:val="00A45C13"/>
    <w:rsid w:val="00A45FC3"/>
    <w:rsid w:val="00A460A3"/>
    <w:rsid w:val="00A461A1"/>
    <w:rsid w:val="00A463AB"/>
    <w:rsid w:val="00A463D0"/>
    <w:rsid w:val="00A46421"/>
    <w:rsid w:val="00A46452"/>
    <w:rsid w:val="00A466F0"/>
    <w:rsid w:val="00A47075"/>
    <w:rsid w:val="00A47081"/>
    <w:rsid w:val="00A473A6"/>
    <w:rsid w:val="00A47A14"/>
    <w:rsid w:val="00A47D3A"/>
    <w:rsid w:val="00A47EA3"/>
    <w:rsid w:val="00A50094"/>
    <w:rsid w:val="00A500CE"/>
    <w:rsid w:val="00A501A1"/>
    <w:rsid w:val="00A5026E"/>
    <w:rsid w:val="00A5045F"/>
    <w:rsid w:val="00A504BB"/>
    <w:rsid w:val="00A5071D"/>
    <w:rsid w:val="00A508B4"/>
    <w:rsid w:val="00A50DE1"/>
    <w:rsid w:val="00A510A5"/>
    <w:rsid w:val="00A519A5"/>
    <w:rsid w:val="00A525FB"/>
    <w:rsid w:val="00A52A00"/>
    <w:rsid w:val="00A52B08"/>
    <w:rsid w:val="00A52C92"/>
    <w:rsid w:val="00A52DDE"/>
    <w:rsid w:val="00A530C3"/>
    <w:rsid w:val="00A533A0"/>
    <w:rsid w:val="00A5341C"/>
    <w:rsid w:val="00A534E6"/>
    <w:rsid w:val="00A53714"/>
    <w:rsid w:val="00A53A91"/>
    <w:rsid w:val="00A53AA3"/>
    <w:rsid w:val="00A53DC2"/>
    <w:rsid w:val="00A54252"/>
    <w:rsid w:val="00A542AD"/>
    <w:rsid w:val="00A54B3E"/>
    <w:rsid w:val="00A54CB7"/>
    <w:rsid w:val="00A54D55"/>
    <w:rsid w:val="00A554D9"/>
    <w:rsid w:val="00A5589E"/>
    <w:rsid w:val="00A55B32"/>
    <w:rsid w:val="00A55CE5"/>
    <w:rsid w:val="00A55DD5"/>
    <w:rsid w:val="00A55F21"/>
    <w:rsid w:val="00A564C9"/>
    <w:rsid w:val="00A56520"/>
    <w:rsid w:val="00A56F58"/>
    <w:rsid w:val="00A573E6"/>
    <w:rsid w:val="00A57575"/>
    <w:rsid w:val="00A57675"/>
    <w:rsid w:val="00A57B8F"/>
    <w:rsid w:val="00A57FE4"/>
    <w:rsid w:val="00A603AC"/>
    <w:rsid w:val="00A609F9"/>
    <w:rsid w:val="00A60D3C"/>
    <w:rsid w:val="00A611DB"/>
    <w:rsid w:val="00A611F0"/>
    <w:rsid w:val="00A61326"/>
    <w:rsid w:val="00A61498"/>
    <w:rsid w:val="00A61B26"/>
    <w:rsid w:val="00A61F1A"/>
    <w:rsid w:val="00A620A6"/>
    <w:rsid w:val="00A62255"/>
    <w:rsid w:val="00A626A5"/>
    <w:rsid w:val="00A62C6C"/>
    <w:rsid w:val="00A62F54"/>
    <w:rsid w:val="00A630B6"/>
    <w:rsid w:val="00A632A9"/>
    <w:rsid w:val="00A6346C"/>
    <w:rsid w:val="00A635E4"/>
    <w:rsid w:val="00A6393D"/>
    <w:rsid w:val="00A63B08"/>
    <w:rsid w:val="00A63B56"/>
    <w:rsid w:val="00A63B67"/>
    <w:rsid w:val="00A63BF0"/>
    <w:rsid w:val="00A63C3F"/>
    <w:rsid w:val="00A64113"/>
    <w:rsid w:val="00A64869"/>
    <w:rsid w:val="00A648C3"/>
    <w:rsid w:val="00A648C5"/>
    <w:rsid w:val="00A64CAC"/>
    <w:rsid w:val="00A64E65"/>
    <w:rsid w:val="00A65367"/>
    <w:rsid w:val="00A6553C"/>
    <w:rsid w:val="00A659D6"/>
    <w:rsid w:val="00A65CC6"/>
    <w:rsid w:val="00A65DAD"/>
    <w:rsid w:val="00A661C2"/>
    <w:rsid w:val="00A66254"/>
    <w:rsid w:val="00A66443"/>
    <w:rsid w:val="00A666FC"/>
    <w:rsid w:val="00A66920"/>
    <w:rsid w:val="00A66BB1"/>
    <w:rsid w:val="00A66E37"/>
    <w:rsid w:val="00A67186"/>
    <w:rsid w:val="00A6741F"/>
    <w:rsid w:val="00A674F2"/>
    <w:rsid w:val="00A6751B"/>
    <w:rsid w:val="00A67A00"/>
    <w:rsid w:val="00A67C18"/>
    <w:rsid w:val="00A70188"/>
    <w:rsid w:val="00A7019E"/>
    <w:rsid w:val="00A706A4"/>
    <w:rsid w:val="00A708BF"/>
    <w:rsid w:val="00A70BFD"/>
    <w:rsid w:val="00A70F3D"/>
    <w:rsid w:val="00A713FD"/>
    <w:rsid w:val="00A7149C"/>
    <w:rsid w:val="00A7163F"/>
    <w:rsid w:val="00A716FF"/>
    <w:rsid w:val="00A71954"/>
    <w:rsid w:val="00A71C67"/>
    <w:rsid w:val="00A71FB9"/>
    <w:rsid w:val="00A72324"/>
    <w:rsid w:val="00A723C8"/>
    <w:rsid w:val="00A7285F"/>
    <w:rsid w:val="00A72977"/>
    <w:rsid w:val="00A72A89"/>
    <w:rsid w:val="00A730F3"/>
    <w:rsid w:val="00A7320D"/>
    <w:rsid w:val="00A7341B"/>
    <w:rsid w:val="00A73909"/>
    <w:rsid w:val="00A7396C"/>
    <w:rsid w:val="00A73A47"/>
    <w:rsid w:val="00A73B6F"/>
    <w:rsid w:val="00A73C0F"/>
    <w:rsid w:val="00A74425"/>
    <w:rsid w:val="00A744E9"/>
    <w:rsid w:val="00A74D4B"/>
    <w:rsid w:val="00A74E29"/>
    <w:rsid w:val="00A74F7C"/>
    <w:rsid w:val="00A74FEF"/>
    <w:rsid w:val="00A7522F"/>
    <w:rsid w:val="00A75315"/>
    <w:rsid w:val="00A754EF"/>
    <w:rsid w:val="00A757F0"/>
    <w:rsid w:val="00A75F1B"/>
    <w:rsid w:val="00A760D3"/>
    <w:rsid w:val="00A7630C"/>
    <w:rsid w:val="00A767B5"/>
    <w:rsid w:val="00A76922"/>
    <w:rsid w:val="00A76A90"/>
    <w:rsid w:val="00A76C18"/>
    <w:rsid w:val="00A7704C"/>
    <w:rsid w:val="00A77054"/>
    <w:rsid w:val="00A770B4"/>
    <w:rsid w:val="00A770B5"/>
    <w:rsid w:val="00A771FD"/>
    <w:rsid w:val="00A77235"/>
    <w:rsid w:val="00A77700"/>
    <w:rsid w:val="00A778FC"/>
    <w:rsid w:val="00A77A74"/>
    <w:rsid w:val="00A80022"/>
    <w:rsid w:val="00A8028A"/>
    <w:rsid w:val="00A80577"/>
    <w:rsid w:val="00A805F1"/>
    <w:rsid w:val="00A80A9B"/>
    <w:rsid w:val="00A80B81"/>
    <w:rsid w:val="00A80C06"/>
    <w:rsid w:val="00A80E64"/>
    <w:rsid w:val="00A812FF"/>
    <w:rsid w:val="00A813CC"/>
    <w:rsid w:val="00A8143D"/>
    <w:rsid w:val="00A817B5"/>
    <w:rsid w:val="00A81AEA"/>
    <w:rsid w:val="00A81E0D"/>
    <w:rsid w:val="00A824F8"/>
    <w:rsid w:val="00A825E4"/>
    <w:rsid w:val="00A827F4"/>
    <w:rsid w:val="00A82989"/>
    <w:rsid w:val="00A82A0A"/>
    <w:rsid w:val="00A82DCF"/>
    <w:rsid w:val="00A82E0D"/>
    <w:rsid w:val="00A82E9E"/>
    <w:rsid w:val="00A82F68"/>
    <w:rsid w:val="00A8311B"/>
    <w:rsid w:val="00A83166"/>
    <w:rsid w:val="00A83BF5"/>
    <w:rsid w:val="00A83E64"/>
    <w:rsid w:val="00A84058"/>
    <w:rsid w:val="00A84172"/>
    <w:rsid w:val="00A8424C"/>
    <w:rsid w:val="00A843AB"/>
    <w:rsid w:val="00A8442E"/>
    <w:rsid w:val="00A844E0"/>
    <w:rsid w:val="00A8477D"/>
    <w:rsid w:val="00A84A25"/>
    <w:rsid w:val="00A84A5C"/>
    <w:rsid w:val="00A84C0A"/>
    <w:rsid w:val="00A85458"/>
    <w:rsid w:val="00A8548A"/>
    <w:rsid w:val="00A8548E"/>
    <w:rsid w:val="00A855EC"/>
    <w:rsid w:val="00A8577E"/>
    <w:rsid w:val="00A857D0"/>
    <w:rsid w:val="00A858A1"/>
    <w:rsid w:val="00A85AC9"/>
    <w:rsid w:val="00A85D5F"/>
    <w:rsid w:val="00A85D86"/>
    <w:rsid w:val="00A85E48"/>
    <w:rsid w:val="00A860DF"/>
    <w:rsid w:val="00A86214"/>
    <w:rsid w:val="00A8656A"/>
    <w:rsid w:val="00A86655"/>
    <w:rsid w:val="00A869CE"/>
    <w:rsid w:val="00A869F9"/>
    <w:rsid w:val="00A86B3A"/>
    <w:rsid w:val="00A86D0D"/>
    <w:rsid w:val="00A86F10"/>
    <w:rsid w:val="00A872B3"/>
    <w:rsid w:val="00A875AD"/>
    <w:rsid w:val="00A878E9"/>
    <w:rsid w:val="00A9005E"/>
    <w:rsid w:val="00A90AAF"/>
    <w:rsid w:val="00A90CB9"/>
    <w:rsid w:val="00A90D65"/>
    <w:rsid w:val="00A90D7A"/>
    <w:rsid w:val="00A90EE1"/>
    <w:rsid w:val="00A90F40"/>
    <w:rsid w:val="00A918E7"/>
    <w:rsid w:val="00A920D8"/>
    <w:rsid w:val="00A926DD"/>
    <w:rsid w:val="00A9291E"/>
    <w:rsid w:val="00A929A8"/>
    <w:rsid w:val="00A92B36"/>
    <w:rsid w:val="00A92B79"/>
    <w:rsid w:val="00A92DD8"/>
    <w:rsid w:val="00A931C2"/>
    <w:rsid w:val="00A932F4"/>
    <w:rsid w:val="00A934D6"/>
    <w:rsid w:val="00A93D3A"/>
    <w:rsid w:val="00A93DE5"/>
    <w:rsid w:val="00A93FF9"/>
    <w:rsid w:val="00A940E7"/>
    <w:rsid w:val="00A941F6"/>
    <w:rsid w:val="00A94250"/>
    <w:rsid w:val="00A94B25"/>
    <w:rsid w:val="00A94B34"/>
    <w:rsid w:val="00A94FFF"/>
    <w:rsid w:val="00A950D3"/>
    <w:rsid w:val="00A953B3"/>
    <w:rsid w:val="00A954CC"/>
    <w:rsid w:val="00A95C8F"/>
    <w:rsid w:val="00A95D1A"/>
    <w:rsid w:val="00A95D69"/>
    <w:rsid w:val="00A9628F"/>
    <w:rsid w:val="00A96376"/>
    <w:rsid w:val="00A96415"/>
    <w:rsid w:val="00A964EF"/>
    <w:rsid w:val="00A96AB8"/>
    <w:rsid w:val="00A96B70"/>
    <w:rsid w:val="00A96CB1"/>
    <w:rsid w:val="00A96FDA"/>
    <w:rsid w:val="00A97232"/>
    <w:rsid w:val="00A97678"/>
    <w:rsid w:val="00A978FA"/>
    <w:rsid w:val="00A979EE"/>
    <w:rsid w:val="00A97F26"/>
    <w:rsid w:val="00A97FF8"/>
    <w:rsid w:val="00AA009D"/>
    <w:rsid w:val="00AA01C1"/>
    <w:rsid w:val="00AA035C"/>
    <w:rsid w:val="00AA05A2"/>
    <w:rsid w:val="00AA08F7"/>
    <w:rsid w:val="00AA0ABD"/>
    <w:rsid w:val="00AA0B41"/>
    <w:rsid w:val="00AA0C3F"/>
    <w:rsid w:val="00AA0C88"/>
    <w:rsid w:val="00AA0D6C"/>
    <w:rsid w:val="00AA0DE2"/>
    <w:rsid w:val="00AA10B6"/>
    <w:rsid w:val="00AA1116"/>
    <w:rsid w:val="00AA12D9"/>
    <w:rsid w:val="00AA135D"/>
    <w:rsid w:val="00AA1AA4"/>
    <w:rsid w:val="00AA1EE8"/>
    <w:rsid w:val="00AA1F5C"/>
    <w:rsid w:val="00AA20B0"/>
    <w:rsid w:val="00AA20DA"/>
    <w:rsid w:val="00AA247C"/>
    <w:rsid w:val="00AA283F"/>
    <w:rsid w:val="00AA2976"/>
    <w:rsid w:val="00AA31A0"/>
    <w:rsid w:val="00AA32B6"/>
    <w:rsid w:val="00AA33D6"/>
    <w:rsid w:val="00AA369D"/>
    <w:rsid w:val="00AA3809"/>
    <w:rsid w:val="00AA398A"/>
    <w:rsid w:val="00AA39D0"/>
    <w:rsid w:val="00AA3A24"/>
    <w:rsid w:val="00AA3CD6"/>
    <w:rsid w:val="00AA3D72"/>
    <w:rsid w:val="00AA3DD4"/>
    <w:rsid w:val="00AA3E86"/>
    <w:rsid w:val="00AA460C"/>
    <w:rsid w:val="00AA4645"/>
    <w:rsid w:val="00AA570E"/>
    <w:rsid w:val="00AA572E"/>
    <w:rsid w:val="00AA5955"/>
    <w:rsid w:val="00AA5B79"/>
    <w:rsid w:val="00AA5B82"/>
    <w:rsid w:val="00AA5E93"/>
    <w:rsid w:val="00AA5EE6"/>
    <w:rsid w:val="00AA6163"/>
    <w:rsid w:val="00AA6166"/>
    <w:rsid w:val="00AA6365"/>
    <w:rsid w:val="00AA63F6"/>
    <w:rsid w:val="00AA64CC"/>
    <w:rsid w:val="00AA6764"/>
    <w:rsid w:val="00AA6A17"/>
    <w:rsid w:val="00AA6E93"/>
    <w:rsid w:val="00AA6EDF"/>
    <w:rsid w:val="00AA7001"/>
    <w:rsid w:val="00AA7AFC"/>
    <w:rsid w:val="00AA7B55"/>
    <w:rsid w:val="00AB0128"/>
    <w:rsid w:val="00AB01F2"/>
    <w:rsid w:val="00AB05D0"/>
    <w:rsid w:val="00AB095F"/>
    <w:rsid w:val="00AB0CC9"/>
    <w:rsid w:val="00AB120C"/>
    <w:rsid w:val="00AB12A4"/>
    <w:rsid w:val="00AB153C"/>
    <w:rsid w:val="00AB16A2"/>
    <w:rsid w:val="00AB1819"/>
    <w:rsid w:val="00AB1931"/>
    <w:rsid w:val="00AB1A2C"/>
    <w:rsid w:val="00AB1B71"/>
    <w:rsid w:val="00AB21A5"/>
    <w:rsid w:val="00AB24F1"/>
    <w:rsid w:val="00AB2A3F"/>
    <w:rsid w:val="00AB2AAB"/>
    <w:rsid w:val="00AB2DC6"/>
    <w:rsid w:val="00AB2FB3"/>
    <w:rsid w:val="00AB2FCE"/>
    <w:rsid w:val="00AB3131"/>
    <w:rsid w:val="00AB33E1"/>
    <w:rsid w:val="00AB4218"/>
    <w:rsid w:val="00AB43CE"/>
    <w:rsid w:val="00AB4553"/>
    <w:rsid w:val="00AB4A78"/>
    <w:rsid w:val="00AB4ACA"/>
    <w:rsid w:val="00AB503B"/>
    <w:rsid w:val="00AB51B1"/>
    <w:rsid w:val="00AB5460"/>
    <w:rsid w:val="00AB56B1"/>
    <w:rsid w:val="00AB5A7C"/>
    <w:rsid w:val="00AB5A86"/>
    <w:rsid w:val="00AB5AB2"/>
    <w:rsid w:val="00AB5D7D"/>
    <w:rsid w:val="00AB607D"/>
    <w:rsid w:val="00AB67A7"/>
    <w:rsid w:val="00AB67E1"/>
    <w:rsid w:val="00AB71D5"/>
    <w:rsid w:val="00AB764F"/>
    <w:rsid w:val="00AB7BC2"/>
    <w:rsid w:val="00AB7DDB"/>
    <w:rsid w:val="00AB7E09"/>
    <w:rsid w:val="00AC015A"/>
    <w:rsid w:val="00AC0203"/>
    <w:rsid w:val="00AC064C"/>
    <w:rsid w:val="00AC0740"/>
    <w:rsid w:val="00AC0AAE"/>
    <w:rsid w:val="00AC0DD2"/>
    <w:rsid w:val="00AC0E8D"/>
    <w:rsid w:val="00AC102C"/>
    <w:rsid w:val="00AC1366"/>
    <w:rsid w:val="00AC15ED"/>
    <w:rsid w:val="00AC1D4B"/>
    <w:rsid w:val="00AC20BE"/>
    <w:rsid w:val="00AC2559"/>
    <w:rsid w:val="00AC2B23"/>
    <w:rsid w:val="00AC2D61"/>
    <w:rsid w:val="00AC34E9"/>
    <w:rsid w:val="00AC34F9"/>
    <w:rsid w:val="00AC387E"/>
    <w:rsid w:val="00AC402E"/>
    <w:rsid w:val="00AC4094"/>
    <w:rsid w:val="00AC47AF"/>
    <w:rsid w:val="00AC48AB"/>
    <w:rsid w:val="00AC4A3C"/>
    <w:rsid w:val="00AC4D07"/>
    <w:rsid w:val="00AC5261"/>
    <w:rsid w:val="00AC5319"/>
    <w:rsid w:val="00AC5451"/>
    <w:rsid w:val="00AC5514"/>
    <w:rsid w:val="00AC5B41"/>
    <w:rsid w:val="00AC5DE6"/>
    <w:rsid w:val="00AC5FE5"/>
    <w:rsid w:val="00AC6016"/>
    <w:rsid w:val="00AC6017"/>
    <w:rsid w:val="00AC607C"/>
    <w:rsid w:val="00AC625C"/>
    <w:rsid w:val="00AC64F4"/>
    <w:rsid w:val="00AC6515"/>
    <w:rsid w:val="00AC652C"/>
    <w:rsid w:val="00AC65F7"/>
    <w:rsid w:val="00AC6677"/>
    <w:rsid w:val="00AC677D"/>
    <w:rsid w:val="00AC68D6"/>
    <w:rsid w:val="00AC720C"/>
    <w:rsid w:val="00AC73EC"/>
    <w:rsid w:val="00AC7490"/>
    <w:rsid w:val="00AC7718"/>
    <w:rsid w:val="00AC7987"/>
    <w:rsid w:val="00AC7C60"/>
    <w:rsid w:val="00AC7C9B"/>
    <w:rsid w:val="00AC7E34"/>
    <w:rsid w:val="00AD00AA"/>
    <w:rsid w:val="00AD0650"/>
    <w:rsid w:val="00AD0A27"/>
    <w:rsid w:val="00AD0E72"/>
    <w:rsid w:val="00AD0EFD"/>
    <w:rsid w:val="00AD0FD4"/>
    <w:rsid w:val="00AD10C8"/>
    <w:rsid w:val="00AD144F"/>
    <w:rsid w:val="00AD1454"/>
    <w:rsid w:val="00AD1475"/>
    <w:rsid w:val="00AD1991"/>
    <w:rsid w:val="00AD1AD1"/>
    <w:rsid w:val="00AD1D1F"/>
    <w:rsid w:val="00AD20C3"/>
    <w:rsid w:val="00AD211F"/>
    <w:rsid w:val="00AD22C6"/>
    <w:rsid w:val="00AD2741"/>
    <w:rsid w:val="00AD2FA5"/>
    <w:rsid w:val="00AD2FB1"/>
    <w:rsid w:val="00AD3068"/>
    <w:rsid w:val="00AD30DD"/>
    <w:rsid w:val="00AD32B4"/>
    <w:rsid w:val="00AD34EB"/>
    <w:rsid w:val="00AD3D11"/>
    <w:rsid w:val="00AD3DEA"/>
    <w:rsid w:val="00AD3F35"/>
    <w:rsid w:val="00AD4052"/>
    <w:rsid w:val="00AD41C9"/>
    <w:rsid w:val="00AD42F9"/>
    <w:rsid w:val="00AD4555"/>
    <w:rsid w:val="00AD460D"/>
    <w:rsid w:val="00AD470D"/>
    <w:rsid w:val="00AD4BE6"/>
    <w:rsid w:val="00AD4BF0"/>
    <w:rsid w:val="00AD4E8D"/>
    <w:rsid w:val="00AD4ED8"/>
    <w:rsid w:val="00AD4EEF"/>
    <w:rsid w:val="00AD4FC0"/>
    <w:rsid w:val="00AD530C"/>
    <w:rsid w:val="00AD5366"/>
    <w:rsid w:val="00AD53C9"/>
    <w:rsid w:val="00AD5718"/>
    <w:rsid w:val="00AD58BB"/>
    <w:rsid w:val="00AD5E3C"/>
    <w:rsid w:val="00AD60C4"/>
    <w:rsid w:val="00AD67C7"/>
    <w:rsid w:val="00AD6A69"/>
    <w:rsid w:val="00AD6A76"/>
    <w:rsid w:val="00AD6E31"/>
    <w:rsid w:val="00AD6E84"/>
    <w:rsid w:val="00AD720A"/>
    <w:rsid w:val="00AD72CA"/>
    <w:rsid w:val="00AD7817"/>
    <w:rsid w:val="00AE009D"/>
    <w:rsid w:val="00AE0660"/>
    <w:rsid w:val="00AE0687"/>
    <w:rsid w:val="00AE07DB"/>
    <w:rsid w:val="00AE15A9"/>
    <w:rsid w:val="00AE17DF"/>
    <w:rsid w:val="00AE1AFB"/>
    <w:rsid w:val="00AE1C63"/>
    <w:rsid w:val="00AE21F5"/>
    <w:rsid w:val="00AE2887"/>
    <w:rsid w:val="00AE2DBF"/>
    <w:rsid w:val="00AE2FB8"/>
    <w:rsid w:val="00AE3C57"/>
    <w:rsid w:val="00AE3F44"/>
    <w:rsid w:val="00AE4135"/>
    <w:rsid w:val="00AE454B"/>
    <w:rsid w:val="00AE4C69"/>
    <w:rsid w:val="00AE4D26"/>
    <w:rsid w:val="00AE4E95"/>
    <w:rsid w:val="00AE4FEE"/>
    <w:rsid w:val="00AE5297"/>
    <w:rsid w:val="00AE5EFA"/>
    <w:rsid w:val="00AE5F87"/>
    <w:rsid w:val="00AE612C"/>
    <w:rsid w:val="00AE63C6"/>
    <w:rsid w:val="00AE6C25"/>
    <w:rsid w:val="00AE6E80"/>
    <w:rsid w:val="00AE6F9A"/>
    <w:rsid w:val="00AE70B2"/>
    <w:rsid w:val="00AE7135"/>
    <w:rsid w:val="00AE7281"/>
    <w:rsid w:val="00AE758E"/>
    <w:rsid w:val="00AE7A10"/>
    <w:rsid w:val="00AE7E48"/>
    <w:rsid w:val="00AE7F99"/>
    <w:rsid w:val="00AF0D4D"/>
    <w:rsid w:val="00AF10C5"/>
    <w:rsid w:val="00AF11C2"/>
    <w:rsid w:val="00AF1202"/>
    <w:rsid w:val="00AF129F"/>
    <w:rsid w:val="00AF12A8"/>
    <w:rsid w:val="00AF1541"/>
    <w:rsid w:val="00AF15A4"/>
    <w:rsid w:val="00AF160E"/>
    <w:rsid w:val="00AF164F"/>
    <w:rsid w:val="00AF1708"/>
    <w:rsid w:val="00AF18EC"/>
    <w:rsid w:val="00AF19A3"/>
    <w:rsid w:val="00AF21D9"/>
    <w:rsid w:val="00AF2530"/>
    <w:rsid w:val="00AF2861"/>
    <w:rsid w:val="00AF298B"/>
    <w:rsid w:val="00AF2AA9"/>
    <w:rsid w:val="00AF2C20"/>
    <w:rsid w:val="00AF2C72"/>
    <w:rsid w:val="00AF301C"/>
    <w:rsid w:val="00AF3103"/>
    <w:rsid w:val="00AF35C5"/>
    <w:rsid w:val="00AF36BE"/>
    <w:rsid w:val="00AF37BD"/>
    <w:rsid w:val="00AF390F"/>
    <w:rsid w:val="00AF3A43"/>
    <w:rsid w:val="00AF3DFC"/>
    <w:rsid w:val="00AF42D3"/>
    <w:rsid w:val="00AF4324"/>
    <w:rsid w:val="00AF46A9"/>
    <w:rsid w:val="00AF4740"/>
    <w:rsid w:val="00AF4B4F"/>
    <w:rsid w:val="00AF4C7C"/>
    <w:rsid w:val="00AF5054"/>
    <w:rsid w:val="00AF5545"/>
    <w:rsid w:val="00AF57AD"/>
    <w:rsid w:val="00AF618B"/>
    <w:rsid w:val="00AF66BF"/>
    <w:rsid w:val="00AF67B0"/>
    <w:rsid w:val="00AF6A82"/>
    <w:rsid w:val="00AF6E8C"/>
    <w:rsid w:val="00AF6E9C"/>
    <w:rsid w:val="00AF6EB3"/>
    <w:rsid w:val="00AF6FC6"/>
    <w:rsid w:val="00AF725C"/>
    <w:rsid w:val="00AF73A7"/>
    <w:rsid w:val="00AF73AD"/>
    <w:rsid w:val="00AF7A7F"/>
    <w:rsid w:val="00AF7BC0"/>
    <w:rsid w:val="00AF7F53"/>
    <w:rsid w:val="00AF7FA4"/>
    <w:rsid w:val="00B00CA6"/>
    <w:rsid w:val="00B00CD4"/>
    <w:rsid w:val="00B00E4A"/>
    <w:rsid w:val="00B00F0D"/>
    <w:rsid w:val="00B01408"/>
    <w:rsid w:val="00B01488"/>
    <w:rsid w:val="00B016BB"/>
    <w:rsid w:val="00B01818"/>
    <w:rsid w:val="00B01824"/>
    <w:rsid w:val="00B01867"/>
    <w:rsid w:val="00B01F9E"/>
    <w:rsid w:val="00B0221E"/>
    <w:rsid w:val="00B02452"/>
    <w:rsid w:val="00B024ED"/>
    <w:rsid w:val="00B0268A"/>
    <w:rsid w:val="00B026C3"/>
    <w:rsid w:val="00B02AE0"/>
    <w:rsid w:val="00B02D8C"/>
    <w:rsid w:val="00B02F49"/>
    <w:rsid w:val="00B0342D"/>
    <w:rsid w:val="00B03A2A"/>
    <w:rsid w:val="00B03BB9"/>
    <w:rsid w:val="00B04090"/>
    <w:rsid w:val="00B041CD"/>
    <w:rsid w:val="00B04BF2"/>
    <w:rsid w:val="00B04C0F"/>
    <w:rsid w:val="00B04CCA"/>
    <w:rsid w:val="00B04E7A"/>
    <w:rsid w:val="00B04EDC"/>
    <w:rsid w:val="00B0562F"/>
    <w:rsid w:val="00B05795"/>
    <w:rsid w:val="00B05A10"/>
    <w:rsid w:val="00B05AE1"/>
    <w:rsid w:val="00B05C8B"/>
    <w:rsid w:val="00B05E7F"/>
    <w:rsid w:val="00B05F26"/>
    <w:rsid w:val="00B061FD"/>
    <w:rsid w:val="00B06219"/>
    <w:rsid w:val="00B062CA"/>
    <w:rsid w:val="00B063FC"/>
    <w:rsid w:val="00B06585"/>
    <w:rsid w:val="00B06652"/>
    <w:rsid w:val="00B0679F"/>
    <w:rsid w:val="00B06839"/>
    <w:rsid w:val="00B06910"/>
    <w:rsid w:val="00B06B8F"/>
    <w:rsid w:val="00B07048"/>
    <w:rsid w:val="00B07225"/>
    <w:rsid w:val="00B072AE"/>
    <w:rsid w:val="00B072C1"/>
    <w:rsid w:val="00B0735C"/>
    <w:rsid w:val="00B07642"/>
    <w:rsid w:val="00B0770F"/>
    <w:rsid w:val="00B07A33"/>
    <w:rsid w:val="00B07B1A"/>
    <w:rsid w:val="00B07D8E"/>
    <w:rsid w:val="00B07E43"/>
    <w:rsid w:val="00B07F0B"/>
    <w:rsid w:val="00B10574"/>
    <w:rsid w:val="00B106AB"/>
    <w:rsid w:val="00B10FBB"/>
    <w:rsid w:val="00B1153E"/>
    <w:rsid w:val="00B116DD"/>
    <w:rsid w:val="00B11E98"/>
    <w:rsid w:val="00B122CA"/>
    <w:rsid w:val="00B12300"/>
    <w:rsid w:val="00B127A2"/>
    <w:rsid w:val="00B129D9"/>
    <w:rsid w:val="00B129F2"/>
    <w:rsid w:val="00B12D5A"/>
    <w:rsid w:val="00B13006"/>
    <w:rsid w:val="00B132FB"/>
    <w:rsid w:val="00B139A4"/>
    <w:rsid w:val="00B13A05"/>
    <w:rsid w:val="00B13A0D"/>
    <w:rsid w:val="00B13BA2"/>
    <w:rsid w:val="00B1400D"/>
    <w:rsid w:val="00B1440F"/>
    <w:rsid w:val="00B144B3"/>
    <w:rsid w:val="00B1451B"/>
    <w:rsid w:val="00B14696"/>
    <w:rsid w:val="00B1491D"/>
    <w:rsid w:val="00B14CF9"/>
    <w:rsid w:val="00B14DFF"/>
    <w:rsid w:val="00B15182"/>
    <w:rsid w:val="00B151E8"/>
    <w:rsid w:val="00B15214"/>
    <w:rsid w:val="00B154BF"/>
    <w:rsid w:val="00B15E5E"/>
    <w:rsid w:val="00B15EEE"/>
    <w:rsid w:val="00B15FA2"/>
    <w:rsid w:val="00B1608C"/>
    <w:rsid w:val="00B163EA"/>
    <w:rsid w:val="00B16BC9"/>
    <w:rsid w:val="00B16C28"/>
    <w:rsid w:val="00B16C40"/>
    <w:rsid w:val="00B16D47"/>
    <w:rsid w:val="00B16FE8"/>
    <w:rsid w:val="00B178EB"/>
    <w:rsid w:val="00B179F1"/>
    <w:rsid w:val="00B17A35"/>
    <w:rsid w:val="00B20028"/>
    <w:rsid w:val="00B20538"/>
    <w:rsid w:val="00B20E58"/>
    <w:rsid w:val="00B20EEB"/>
    <w:rsid w:val="00B20EF4"/>
    <w:rsid w:val="00B210D9"/>
    <w:rsid w:val="00B21123"/>
    <w:rsid w:val="00B21186"/>
    <w:rsid w:val="00B213B4"/>
    <w:rsid w:val="00B216AA"/>
    <w:rsid w:val="00B216D1"/>
    <w:rsid w:val="00B2180F"/>
    <w:rsid w:val="00B21BE3"/>
    <w:rsid w:val="00B22356"/>
    <w:rsid w:val="00B22987"/>
    <w:rsid w:val="00B22BF4"/>
    <w:rsid w:val="00B22C6F"/>
    <w:rsid w:val="00B22E92"/>
    <w:rsid w:val="00B23209"/>
    <w:rsid w:val="00B2321B"/>
    <w:rsid w:val="00B2325E"/>
    <w:rsid w:val="00B2328F"/>
    <w:rsid w:val="00B23539"/>
    <w:rsid w:val="00B23614"/>
    <w:rsid w:val="00B23625"/>
    <w:rsid w:val="00B23AF9"/>
    <w:rsid w:val="00B23E83"/>
    <w:rsid w:val="00B23F73"/>
    <w:rsid w:val="00B24400"/>
    <w:rsid w:val="00B245A6"/>
    <w:rsid w:val="00B246D6"/>
    <w:rsid w:val="00B2486D"/>
    <w:rsid w:val="00B248F7"/>
    <w:rsid w:val="00B24C42"/>
    <w:rsid w:val="00B24FE2"/>
    <w:rsid w:val="00B2573F"/>
    <w:rsid w:val="00B25A52"/>
    <w:rsid w:val="00B25BC6"/>
    <w:rsid w:val="00B25CE6"/>
    <w:rsid w:val="00B265B7"/>
    <w:rsid w:val="00B26AF1"/>
    <w:rsid w:val="00B26B02"/>
    <w:rsid w:val="00B26B8E"/>
    <w:rsid w:val="00B26D96"/>
    <w:rsid w:val="00B27558"/>
    <w:rsid w:val="00B27C3F"/>
    <w:rsid w:val="00B27F13"/>
    <w:rsid w:val="00B300D4"/>
    <w:rsid w:val="00B301D1"/>
    <w:rsid w:val="00B302FE"/>
    <w:rsid w:val="00B305B7"/>
    <w:rsid w:val="00B30637"/>
    <w:rsid w:val="00B30819"/>
    <w:rsid w:val="00B30827"/>
    <w:rsid w:val="00B30A09"/>
    <w:rsid w:val="00B30E26"/>
    <w:rsid w:val="00B31C90"/>
    <w:rsid w:val="00B31D24"/>
    <w:rsid w:val="00B31F33"/>
    <w:rsid w:val="00B31FA9"/>
    <w:rsid w:val="00B320A7"/>
    <w:rsid w:val="00B3225B"/>
    <w:rsid w:val="00B3254A"/>
    <w:rsid w:val="00B32BD2"/>
    <w:rsid w:val="00B331E3"/>
    <w:rsid w:val="00B334B9"/>
    <w:rsid w:val="00B3351B"/>
    <w:rsid w:val="00B3378F"/>
    <w:rsid w:val="00B33B01"/>
    <w:rsid w:val="00B33F2F"/>
    <w:rsid w:val="00B33FA0"/>
    <w:rsid w:val="00B3425A"/>
    <w:rsid w:val="00B3434A"/>
    <w:rsid w:val="00B348BC"/>
    <w:rsid w:val="00B34959"/>
    <w:rsid w:val="00B349D1"/>
    <w:rsid w:val="00B34B79"/>
    <w:rsid w:val="00B34F3F"/>
    <w:rsid w:val="00B35035"/>
    <w:rsid w:val="00B35412"/>
    <w:rsid w:val="00B357F6"/>
    <w:rsid w:val="00B35AD3"/>
    <w:rsid w:val="00B35B2C"/>
    <w:rsid w:val="00B35B63"/>
    <w:rsid w:val="00B35D60"/>
    <w:rsid w:val="00B35ED6"/>
    <w:rsid w:val="00B36222"/>
    <w:rsid w:val="00B3622A"/>
    <w:rsid w:val="00B3632A"/>
    <w:rsid w:val="00B3662F"/>
    <w:rsid w:val="00B36998"/>
    <w:rsid w:val="00B36A4B"/>
    <w:rsid w:val="00B36C33"/>
    <w:rsid w:val="00B36CAD"/>
    <w:rsid w:val="00B36DE4"/>
    <w:rsid w:val="00B36EFE"/>
    <w:rsid w:val="00B36F6C"/>
    <w:rsid w:val="00B374A6"/>
    <w:rsid w:val="00B374B2"/>
    <w:rsid w:val="00B3754F"/>
    <w:rsid w:val="00B37569"/>
    <w:rsid w:val="00B37BB1"/>
    <w:rsid w:val="00B37D25"/>
    <w:rsid w:val="00B37FEE"/>
    <w:rsid w:val="00B40525"/>
    <w:rsid w:val="00B4057E"/>
    <w:rsid w:val="00B4061E"/>
    <w:rsid w:val="00B40942"/>
    <w:rsid w:val="00B40B5E"/>
    <w:rsid w:val="00B40C9F"/>
    <w:rsid w:val="00B40EB6"/>
    <w:rsid w:val="00B41019"/>
    <w:rsid w:val="00B41323"/>
    <w:rsid w:val="00B41429"/>
    <w:rsid w:val="00B414E1"/>
    <w:rsid w:val="00B41623"/>
    <w:rsid w:val="00B41802"/>
    <w:rsid w:val="00B41980"/>
    <w:rsid w:val="00B41B93"/>
    <w:rsid w:val="00B41BDF"/>
    <w:rsid w:val="00B41D5E"/>
    <w:rsid w:val="00B41EF1"/>
    <w:rsid w:val="00B421FE"/>
    <w:rsid w:val="00B424DC"/>
    <w:rsid w:val="00B424F0"/>
    <w:rsid w:val="00B42719"/>
    <w:rsid w:val="00B42AE1"/>
    <w:rsid w:val="00B42C30"/>
    <w:rsid w:val="00B42F09"/>
    <w:rsid w:val="00B43598"/>
    <w:rsid w:val="00B437AC"/>
    <w:rsid w:val="00B43B27"/>
    <w:rsid w:val="00B4456A"/>
    <w:rsid w:val="00B447E8"/>
    <w:rsid w:val="00B44837"/>
    <w:rsid w:val="00B44A8C"/>
    <w:rsid w:val="00B44BEA"/>
    <w:rsid w:val="00B4507D"/>
    <w:rsid w:val="00B450A1"/>
    <w:rsid w:val="00B45957"/>
    <w:rsid w:val="00B45B54"/>
    <w:rsid w:val="00B45FBE"/>
    <w:rsid w:val="00B46299"/>
    <w:rsid w:val="00B4663C"/>
    <w:rsid w:val="00B469AB"/>
    <w:rsid w:val="00B46A72"/>
    <w:rsid w:val="00B46B85"/>
    <w:rsid w:val="00B46C88"/>
    <w:rsid w:val="00B46EC7"/>
    <w:rsid w:val="00B46F1D"/>
    <w:rsid w:val="00B46F55"/>
    <w:rsid w:val="00B474FC"/>
    <w:rsid w:val="00B47572"/>
    <w:rsid w:val="00B47F3B"/>
    <w:rsid w:val="00B508D5"/>
    <w:rsid w:val="00B508D6"/>
    <w:rsid w:val="00B50CDF"/>
    <w:rsid w:val="00B50F95"/>
    <w:rsid w:val="00B51886"/>
    <w:rsid w:val="00B51A48"/>
    <w:rsid w:val="00B51D60"/>
    <w:rsid w:val="00B520C4"/>
    <w:rsid w:val="00B5218F"/>
    <w:rsid w:val="00B5227D"/>
    <w:rsid w:val="00B52554"/>
    <w:rsid w:val="00B526C1"/>
    <w:rsid w:val="00B52874"/>
    <w:rsid w:val="00B52902"/>
    <w:rsid w:val="00B52F99"/>
    <w:rsid w:val="00B5314D"/>
    <w:rsid w:val="00B531D2"/>
    <w:rsid w:val="00B533F5"/>
    <w:rsid w:val="00B53492"/>
    <w:rsid w:val="00B536D8"/>
    <w:rsid w:val="00B53914"/>
    <w:rsid w:val="00B54460"/>
    <w:rsid w:val="00B546C3"/>
    <w:rsid w:val="00B5487D"/>
    <w:rsid w:val="00B54957"/>
    <w:rsid w:val="00B54A5C"/>
    <w:rsid w:val="00B54D14"/>
    <w:rsid w:val="00B55133"/>
    <w:rsid w:val="00B55136"/>
    <w:rsid w:val="00B55968"/>
    <w:rsid w:val="00B55B96"/>
    <w:rsid w:val="00B563F4"/>
    <w:rsid w:val="00B56745"/>
    <w:rsid w:val="00B56E6C"/>
    <w:rsid w:val="00B57020"/>
    <w:rsid w:val="00B571FF"/>
    <w:rsid w:val="00B573A4"/>
    <w:rsid w:val="00B575FC"/>
    <w:rsid w:val="00B576D4"/>
    <w:rsid w:val="00B57A56"/>
    <w:rsid w:val="00B57ABD"/>
    <w:rsid w:val="00B57BBE"/>
    <w:rsid w:val="00B57CBE"/>
    <w:rsid w:val="00B57D78"/>
    <w:rsid w:val="00B57D8B"/>
    <w:rsid w:val="00B57E1F"/>
    <w:rsid w:val="00B60162"/>
    <w:rsid w:val="00B60576"/>
    <w:rsid w:val="00B60F00"/>
    <w:rsid w:val="00B61436"/>
    <w:rsid w:val="00B61496"/>
    <w:rsid w:val="00B615BA"/>
    <w:rsid w:val="00B616CE"/>
    <w:rsid w:val="00B617C3"/>
    <w:rsid w:val="00B619D8"/>
    <w:rsid w:val="00B6208B"/>
    <w:rsid w:val="00B6241F"/>
    <w:rsid w:val="00B6262F"/>
    <w:rsid w:val="00B62640"/>
    <w:rsid w:val="00B627B6"/>
    <w:rsid w:val="00B62C88"/>
    <w:rsid w:val="00B62F90"/>
    <w:rsid w:val="00B63035"/>
    <w:rsid w:val="00B6313D"/>
    <w:rsid w:val="00B6356F"/>
    <w:rsid w:val="00B635EB"/>
    <w:rsid w:val="00B63791"/>
    <w:rsid w:val="00B63860"/>
    <w:rsid w:val="00B63B3F"/>
    <w:rsid w:val="00B63B76"/>
    <w:rsid w:val="00B63B79"/>
    <w:rsid w:val="00B63D6F"/>
    <w:rsid w:val="00B64161"/>
    <w:rsid w:val="00B64286"/>
    <w:rsid w:val="00B6480C"/>
    <w:rsid w:val="00B65235"/>
    <w:rsid w:val="00B65281"/>
    <w:rsid w:val="00B652B8"/>
    <w:rsid w:val="00B65309"/>
    <w:rsid w:val="00B6532E"/>
    <w:rsid w:val="00B654FA"/>
    <w:rsid w:val="00B6556C"/>
    <w:rsid w:val="00B65759"/>
    <w:rsid w:val="00B658A3"/>
    <w:rsid w:val="00B65AD8"/>
    <w:rsid w:val="00B65C69"/>
    <w:rsid w:val="00B660EB"/>
    <w:rsid w:val="00B66620"/>
    <w:rsid w:val="00B667BE"/>
    <w:rsid w:val="00B670C6"/>
    <w:rsid w:val="00B67196"/>
    <w:rsid w:val="00B67221"/>
    <w:rsid w:val="00B6723E"/>
    <w:rsid w:val="00B67260"/>
    <w:rsid w:val="00B67507"/>
    <w:rsid w:val="00B67727"/>
    <w:rsid w:val="00B679BC"/>
    <w:rsid w:val="00B67D56"/>
    <w:rsid w:val="00B67D99"/>
    <w:rsid w:val="00B7029F"/>
    <w:rsid w:val="00B70722"/>
    <w:rsid w:val="00B709B9"/>
    <w:rsid w:val="00B70A89"/>
    <w:rsid w:val="00B70BB9"/>
    <w:rsid w:val="00B70D50"/>
    <w:rsid w:val="00B714C5"/>
    <w:rsid w:val="00B71620"/>
    <w:rsid w:val="00B719AD"/>
    <w:rsid w:val="00B71C0E"/>
    <w:rsid w:val="00B71C93"/>
    <w:rsid w:val="00B71E3E"/>
    <w:rsid w:val="00B71EE7"/>
    <w:rsid w:val="00B720D5"/>
    <w:rsid w:val="00B7216F"/>
    <w:rsid w:val="00B72186"/>
    <w:rsid w:val="00B721F3"/>
    <w:rsid w:val="00B722D5"/>
    <w:rsid w:val="00B72307"/>
    <w:rsid w:val="00B723CD"/>
    <w:rsid w:val="00B72A9E"/>
    <w:rsid w:val="00B73033"/>
    <w:rsid w:val="00B73056"/>
    <w:rsid w:val="00B735C3"/>
    <w:rsid w:val="00B73694"/>
    <w:rsid w:val="00B7396D"/>
    <w:rsid w:val="00B74022"/>
    <w:rsid w:val="00B7450D"/>
    <w:rsid w:val="00B747B9"/>
    <w:rsid w:val="00B74919"/>
    <w:rsid w:val="00B74FE1"/>
    <w:rsid w:val="00B75089"/>
    <w:rsid w:val="00B750EA"/>
    <w:rsid w:val="00B7555C"/>
    <w:rsid w:val="00B75D90"/>
    <w:rsid w:val="00B76204"/>
    <w:rsid w:val="00B76878"/>
    <w:rsid w:val="00B76B15"/>
    <w:rsid w:val="00B76D5E"/>
    <w:rsid w:val="00B76DFF"/>
    <w:rsid w:val="00B76F66"/>
    <w:rsid w:val="00B775A0"/>
    <w:rsid w:val="00B7766B"/>
    <w:rsid w:val="00B77C5A"/>
    <w:rsid w:val="00B77D6F"/>
    <w:rsid w:val="00B77DE9"/>
    <w:rsid w:val="00B77E34"/>
    <w:rsid w:val="00B77FFD"/>
    <w:rsid w:val="00B8022E"/>
    <w:rsid w:val="00B804A3"/>
    <w:rsid w:val="00B805CD"/>
    <w:rsid w:val="00B8075A"/>
    <w:rsid w:val="00B8081D"/>
    <w:rsid w:val="00B80A03"/>
    <w:rsid w:val="00B80A69"/>
    <w:rsid w:val="00B80B3D"/>
    <w:rsid w:val="00B80C6C"/>
    <w:rsid w:val="00B80CD1"/>
    <w:rsid w:val="00B81387"/>
    <w:rsid w:val="00B8150C"/>
    <w:rsid w:val="00B8157E"/>
    <w:rsid w:val="00B819B3"/>
    <w:rsid w:val="00B81FE2"/>
    <w:rsid w:val="00B8229E"/>
    <w:rsid w:val="00B825DE"/>
    <w:rsid w:val="00B82A85"/>
    <w:rsid w:val="00B82E86"/>
    <w:rsid w:val="00B8334D"/>
    <w:rsid w:val="00B83369"/>
    <w:rsid w:val="00B836BF"/>
    <w:rsid w:val="00B83727"/>
    <w:rsid w:val="00B8376A"/>
    <w:rsid w:val="00B83838"/>
    <w:rsid w:val="00B838F9"/>
    <w:rsid w:val="00B83B41"/>
    <w:rsid w:val="00B83C7B"/>
    <w:rsid w:val="00B83F29"/>
    <w:rsid w:val="00B84273"/>
    <w:rsid w:val="00B84367"/>
    <w:rsid w:val="00B843CB"/>
    <w:rsid w:val="00B8457C"/>
    <w:rsid w:val="00B84786"/>
    <w:rsid w:val="00B84B5A"/>
    <w:rsid w:val="00B84D80"/>
    <w:rsid w:val="00B852A1"/>
    <w:rsid w:val="00B853BF"/>
    <w:rsid w:val="00B8574F"/>
    <w:rsid w:val="00B85D8A"/>
    <w:rsid w:val="00B86013"/>
    <w:rsid w:val="00B8609C"/>
    <w:rsid w:val="00B86366"/>
    <w:rsid w:val="00B863C4"/>
    <w:rsid w:val="00B865B0"/>
    <w:rsid w:val="00B86611"/>
    <w:rsid w:val="00B86ABC"/>
    <w:rsid w:val="00B86D7D"/>
    <w:rsid w:val="00B871E4"/>
    <w:rsid w:val="00B8738A"/>
    <w:rsid w:val="00B87B95"/>
    <w:rsid w:val="00B9027A"/>
    <w:rsid w:val="00B9091F"/>
    <w:rsid w:val="00B9097C"/>
    <w:rsid w:val="00B90A6C"/>
    <w:rsid w:val="00B90AA0"/>
    <w:rsid w:val="00B90ACD"/>
    <w:rsid w:val="00B90E80"/>
    <w:rsid w:val="00B9128D"/>
    <w:rsid w:val="00B913CE"/>
    <w:rsid w:val="00B9162C"/>
    <w:rsid w:val="00B918B0"/>
    <w:rsid w:val="00B91FAB"/>
    <w:rsid w:val="00B920A5"/>
    <w:rsid w:val="00B921C5"/>
    <w:rsid w:val="00B92466"/>
    <w:rsid w:val="00B9247F"/>
    <w:rsid w:val="00B92672"/>
    <w:rsid w:val="00B927D0"/>
    <w:rsid w:val="00B92DCF"/>
    <w:rsid w:val="00B93199"/>
    <w:rsid w:val="00B9326C"/>
    <w:rsid w:val="00B932A0"/>
    <w:rsid w:val="00B93354"/>
    <w:rsid w:val="00B939B5"/>
    <w:rsid w:val="00B93A9C"/>
    <w:rsid w:val="00B93F69"/>
    <w:rsid w:val="00B94415"/>
    <w:rsid w:val="00B9453D"/>
    <w:rsid w:val="00B9478C"/>
    <w:rsid w:val="00B949B0"/>
    <w:rsid w:val="00B94A1D"/>
    <w:rsid w:val="00B94AE3"/>
    <w:rsid w:val="00B9527E"/>
    <w:rsid w:val="00B954EE"/>
    <w:rsid w:val="00B956B6"/>
    <w:rsid w:val="00B956F9"/>
    <w:rsid w:val="00B95BEE"/>
    <w:rsid w:val="00B95C69"/>
    <w:rsid w:val="00B95DFB"/>
    <w:rsid w:val="00B95EA0"/>
    <w:rsid w:val="00B9611A"/>
    <w:rsid w:val="00B9657B"/>
    <w:rsid w:val="00B9696A"/>
    <w:rsid w:val="00B969E2"/>
    <w:rsid w:val="00B96BEE"/>
    <w:rsid w:val="00B96C9A"/>
    <w:rsid w:val="00B971A9"/>
    <w:rsid w:val="00B972EE"/>
    <w:rsid w:val="00B97A3E"/>
    <w:rsid w:val="00B97DC6"/>
    <w:rsid w:val="00BA023A"/>
    <w:rsid w:val="00BA0A4D"/>
    <w:rsid w:val="00BA0F6E"/>
    <w:rsid w:val="00BA0FAC"/>
    <w:rsid w:val="00BA13D7"/>
    <w:rsid w:val="00BA144C"/>
    <w:rsid w:val="00BA1C95"/>
    <w:rsid w:val="00BA21ED"/>
    <w:rsid w:val="00BA2476"/>
    <w:rsid w:val="00BA24BB"/>
    <w:rsid w:val="00BA27EB"/>
    <w:rsid w:val="00BA2FB5"/>
    <w:rsid w:val="00BA3807"/>
    <w:rsid w:val="00BA3988"/>
    <w:rsid w:val="00BA3B03"/>
    <w:rsid w:val="00BA3B55"/>
    <w:rsid w:val="00BA417A"/>
    <w:rsid w:val="00BA45B3"/>
    <w:rsid w:val="00BA4647"/>
    <w:rsid w:val="00BA479E"/>
    <w:rsid w:val="00BA47C6"/>
    <w:rsid w:val="00BA4BDE"/>
    <w:rsid w:val="00BA4D28"/>
    <w:rsid w:val="00BA5174"/>
    <w:rsid w:val="00BA51A7"/>
    <w:rsid w:val="00BA54F9"/>
    <w:rsid w:val="00BA571C"/>
    <w:rsid w:val="00BA58C0"/>
    <w:rsid w:val="00BA5D32"/>
    <w:rsid w:val="00BA5D4C"/>
    <w:rsid w:val="00BA6099"/>
    <w:rsid w:val="00BA64A0"/>
    <w:rsid w:val="00BA6554"/>
    <w:rsid w:val="00BA660D"/>
    <w:rsid w:val="00BA6806"/>
    <w:rsid w:val="00BA6874"/>
    <w:rsid w:val="00BA6A65"/>
    <w:rsid w:val="00BA7016"/>
    <w:rsid w:val="00BA70E4"/>
    <w:rsid w:val="00BA7163"/>
    <w:rsid w:val="00BA71C3"/>
    <w:rsid w:val="00BA7240"/>
    <w:rsid w:val="00BA7289"/>
    <w:rsid w:val="00BA7C92"/>
    <w:rsid w:val="00BA7F79"/>
    <w:rsid w:val="00BB0183"/>
    <w:rsid w:val="00BB03FE"/>
    <w:rsid w:val="00BB0E2A"/>
    <w:rsid w:val="00BB0E37"/>
    <w:rsid w:val="00BB0FBC"/>
    <w:rsid w:val="00BB1373"/>
    <w:rsid w:val="00BB1445"/>
    <w:rsid w:val="00BB158F"/>
    <w:rsid w:val="00BB17E9"/>
    <w:rsid w:val="00BB181C"/>
    <w:rsid w:val="00BB1E5C"/>
    <w:rsid w:val="00BB216E"/>
    <w:rsid w:val="00BB22BF"/>
    <w:rsid w:val="00BB22DF"/>
    <w:rsid w:val="00BB2864"/>
    <w:rsid w:val="00BB2A9B"/>
    <w:rsid w:val="00BB2CEE"/>
    <w:rsid w:val="00BB2D03"/>
    <w:rsid w:val="00BB2E1B"/>
    <w:rsid w:val="00BB3093"/>
    <w:rsid w:val="00BB316D"/>
    <w:rsid w:val="00BB349E"/>
    <w:rsid w:val="00BB4489"/>
    <w:rsid w:val="00BB45D1"/>
    <w:rsid w:val="00BB49B8"/>
    <w:rsid w:val="00BB4A48"/>
    <w:rsid w:val="00BB4AA9"/>
    <w:rsid w:val="00BB4BDB"/>
    <w:rsid w:val="00BB4C11"/>
    <w:rsid w:val="00BB4EE0"/>
    <w:rsid w:val="00BB4F81"/>
    <w:rsid w:val="00BB5014"/>
    <w:rsid w:val="00BB5128"/>
    <w:rsid w:val="00BB5139"/>
    <w:rsid w:val="00BB518F"/>
    <w:rsid w:val="00BB5596"/>
    <w:rsid w:val="00BB579A"/>
    <w:rsid w:val="00BB58FE"/>
    <w:rsid w:val="00BB5DBE"/>
    <w:rsid w:val="00BB6051"/>
    <w:rsid w:val="00BB62D3"/>
    <w:rsid w:val="00BB6573"/>
    <w:rsid w:val="00BB65D7"/>
    <w:rsid w:val="00BB6AD4"/>
    <w:rsid w:val="00BB6B73"/>
    <w:rsid w:val="00BB6FB3"/>
    <w:rsid w:val="00BB7619"/>
    <w:rsid w:val="00BB7A15"/>
    <w:rsid w:val="00BB7AF9"/>
    <w:rsid w:val="00BC08A7"/>
    <w:rsid w:val="00BC121A"/>
    <w:rsid w:val="00BC14A5"/>
    <w:rsid w:val="00BC14D4"/>
    <w:rsid w:val="00BC1532"/>
    <w:rsid w:val="00BC172F"/>
    <w:rsid w:val="00BC1976"/>
    <w:rsid w:val="00BC1A14"/>
    <w:rsid w:val="00BC1BBC"/>
    <w:rsid w:val="00BC1C38"/>
    <w:rsid w:val="00BC1D48"/>
    <w:rsid w:val="00BC1DAE"/>
    <w:rsid w:val="00BC1F4E"/>
    <w:rsid w:val="00BC2201"/>
    <w:rsid w:val="00BC2352"/>
    <w:rsid w:val="00BC2654"/>
    <w:rsid w:val="00BC2C95"/>
    <w:rsid w:val="00BC3054"/>
    <w:rsid w:val="00BC37E6"/>
    <w:rsid w:val="00BC3EF3"/>
    <w:rsid w:val="00BC3F26"/>
    <w:rsid w:val="00BC3FA2"/>
    <w:rsid w:val="00BC4158"/>
    <w:rsid w:val="00BC4728"/>
    <w:rsid w:val="00BC4757"/>
    <w:rsid w:val="00BC4D02"/>
    <w:rsid w:val="00BC4D47"/>
    <w:rsid w:val="00BC4DA4"/>
    <w:rsid w:val="00BC4F54"/>
    <w:rsid w:val="00BC52C2"/>
    <w:rsid w:val="00BC536D"/>
    <w:rsid w:val="00BC5374"/>
    <w:rsid w:val="00BC53EB"/>
    <w:rsid w:val="00BC54CC"/>
    <w:rsid w:val="00BC56FE"/>
    <w:rsid w:val="00BC5947"/>
    <w:rsid w:val="00BC5A4E"/>
    <w:rsid w:val="00BC5A95"/>
    <w:rsid w:val="00BC5C38"/>
    <w:rsid w:val="00BC5CBF"/>
    <w:rsid w:val="00BC6103"/>
    <w:rsid w:val="00BC63CA"/>
    <w:rsid w:val="00BC675B"/>
    <w:rsid w:val="00BC67D2"/>
    <w:rsid w:val="00BC6A1E"/>
    <w:rsid w:val="00BC7207"/>
    <w:rsid w:val="00BC72B6"/>
    <w:rsid w:val="00BC7423"/>
    <w:rsid w:val="00BC7441"/>
    <w:rsid w:val="00BC75EA"/>
    <w:rsid w:val="00BC7AAF"/>
    <w:rsid w:val="00BC7B43"/>
    <w:rsid w:val="00BC7BDD"/>
    <w:rsid w:val="00BC7DDC"/>
    <w:rsid w:val="00BC7DDF"/>
    <w:rsid w:val="00BC7DEC"/>
    <w:rsid w:val="00BD02AD"/>
    <w:rsid w:val="00BD04BF"/>
    <w:rsid w:val="00BD0668"/>
    <w:rsid w:val="00BD06CA"/>
    <w:rsid w:val="00BD0A56"/>
    <w:rsid w:val="00BD0B90"/>
    <w:rsid w:val="00BD10DF"/>
    <w:rsid w:val="00BD11FB"/>
    <w:rsid w:val="00BD12A9"/>
    <w:rsid w:val="00BD12CA"/>
    <w:rsid w:val="00BD1DCA"/>
    <w:rsid w:val="00BD200E"/>
    <w:rsid w:val="00BD2146"/>
    <w:rsid w:val="00BD23E7"/>
    <w:rsid w:val="00BD2530"/>
    <w:rsid w:val="00BD2560"/>
    <w:rsid w:val="00BD28C6"/>
    <w:rsid w:val="00BD292C"/>
    <w:rsid w:val="00BD2B5D"/>
    <w:rsid w:val="00BD312E"/>
    <w:rsid w:val="00BD3195"/>
    <w:rsid w:val="00BD337F"/>
    <w:rsid w:val="00BD359E"/>
    <w:rsid w:val="00BD3870"/>
    <w:rsid w:val="00BD423E"/>
    <w:rsid w:val="00BD4347"/>
    <w:rsid w:val="00BD452F"/>
    <w:rsid w:val="00BD4531"/>
    <w:rsid w:val="00BD4764"/>
    <w:rsid w:val="00BD4881"/>
    <w:rsid w:val="00BD496A"/>
    <w:rsid w:val="00BD49D5"/>
    <w:rsid w:val="00BD4D09"/>
    <w:rsid w:val="00BD4D0C"/>
    <w:rsid w:val="00BD4F81"/>
    <w:rsid w:val="00BD4FB6"/>
    <w:rsid w:val="00BD4FCD"/>
    <w:rsid w:val="00BD51B7"/>
    <w:rsid w:val="00BD565B"/>
    <w:rsid w:val="00BD5992"/>
    <w:rsid w:val="00BD5FF6"/>
    <w:rsid w:val="00BD61F8"/>
    <w:rsid w:val="00BD64B9"/>
    <w:rsid w:val="00BD651F"/>
    <w:rsid w:val="00BD6791"/>
    <w:rsid w:val="00BD6D65"/>
    <w:rsid w:val="00BD6FB0"/>
    <w:rsid w:val="00BD7236"/>
    <w:rsid w:val="00BD72BD"/>
    <w:rsid w:val="00BD7351"/>
    <w:rsid w:val="00BD745D"/>
    <w:rsid w:val="00BD7546"/>
    <w:rsid w:val="00BD79D3"/>
    <w:rsid w:val="00BD7AB4"/>
    <w:rsid w:val="00BD7B55"/>
    <w:rsid w:val="00BD7BC7"/>
    <w:rsid w:val="00BD7BED"/>
    <w:rsid w:val="00BD7ECB"/>
    <w:rsid w:val="00BD7ECF"/>
    <w:rsid w:val="00BE03AB"/>
    <w:rsid w:val="00BE0793"/>
    <w:rsid w:val="00BE0E1F"/>
    <w:rsid w:val="00BE104B"/>
    <w:rsid w:val="00BE1369"/>
    <w:rsid w:val="00BE13C9"/>
    <w:rsid w:val="00BE16F1"/>
    <w:rsid w:val="00BE1A13"/>
    <w:rsid w:val="00BE1AEA"/>
    <w:rsid w:val="00BE1F94"/>
    <w:rsid w:val="00BE2728"/>
    <w:rsid w:val="00BE280B"/>
    <w:rsid w:val="00BE2A85"/>
    <w:rsid w:val="00BE2B57"/>
    <w:rsid w:val="00BE33F5"/>
    <w:rsid w:val="00BE3CCF"/>
    <w:rsid w:val="00BE4100"/>
    <w:rsid w:val="00BE440B"/>
    <w:rsid w:val="00BE450F"/>
    <w:rsid w:val="00BE45F2"/>
    <w:rsid w:val="00BE4D32"/>
    <w:rsid w:val="00BE4D6A"/>
    <w:rsid w:val="00BE4E8B"/>
    <w:rsid w:val="00BE514D"/>
    <w:rsid w:val="00BE51CB"/>
    <w:rsid w:val="00BE5A66"/>
    <w:rsid w:val="00BE5E89"/>
    <w:rsid w:val="00BE5EBD"/>
    <w:rsid w:val="00BE6075"/>
    <w:rsid w:val="00BE60F0"/>
    <w:rsid w:val="00BE6355"/>
    <w:rsid w:val="00BE64F4"/>
    <w:rsid w:val="00BE6536"/>
    <w:rsid w:val="00BE6FC4"/>
    <w:rsid w:val="00BE75C5"/>
    <w:rsid w:val="00BE7680"/>
    <w:rsid w:val="00BE78C8"/>
    <w:rsid w:val="00BE7A61"/>
    <w:rsid w:val="00BE7AEA"/>
    <w:rsid w:val="00BE7D81"/>
    <w:rsid w:val="00BF0082"/>
    <w:rsid w:val="00BF014F"/>
    <w:rsid w:val="00BF0668"/>
    <w:rsid w:val="00BF076C"/>
    <w:rsid w:val="00BF08AA"/>
    <w:rsid w:val="00BF0AA1"/>
    <w:rsid w:val="00BF0D09"/>
    <w:rsid w:val="00BF0DDC"/>
    <w:rsid w:val="00BF0E3C"/>
    <w:rsid w:val="00BF0EC2"/>
    <w:rsid w:val="00BF1228"/>
    <w:rsid w:val="00BF130B"/>
    <w:rsid w:val="00BF16D7"/>
    <w:rsid w:val="00BF17FB"/>
    <w:rsid w:val="00BF1C1E"/>
    <w:rsid w:val="00BF1C3A"/>
    <w:rsid w:val="00BF1F8B"/>
    <w:rsid w:val="00BF216E"/>
    <w:rsid w:val="00BF2416"/>
    <w:rsid w:val="00BF2832"/>
    <w:rsid w:val="00BF29B9"/>
    <w:rsid w:val="00BF2C58"/>
    <w:rsid w:val="00BF2D29"/>
    <w:rsid w:val="00BF2DD5"/>
    <w:rsid w:val="00BF2EC7"/>
    <w:rsid w:val="00BF3513"/>
    <w:rsid w:val="00BF3954"/>
    <w:rsid w:val="00BF39E3"/>
    <w:rsid w:val="00BF3AC4"/>
    <w:rsid w:val="00BF3C9D"/>
    <w:rsid w:val="00BF3ED9"/>
    <w:rsid w:val="00BF3EF9"/>
    <w:rsid w:val="00BF4167"/>
    <w:rsid w:val="00BF42B9"/>
    <w:rsid w:val="00BF439F"/>
    <w:rsid w:val="00BF44D4"/>
    <w:rsid w:val="00BF458C"/>
    <w:rsid w:val="00BF4812"/>
    <w:rsid w:val="00BF4857"/>
    <w:rsid w:val="00BF48F8"/>
    <w:rsid w:val="00BF4F30"/>
    <w:rsid w:val="00BF4F49"/>
    <w:rsid w:val="00BF57B7"/>
    <w:rsid w:val="00BF591C"/>
    <w:rsid w:val="00BF5AFA"/>
    <w:rsid w:val="00BF5D03"/>
    <w:rsid w:val="00BF60E8"/>
    <w:rsid w:val="00BF6153"/>
    <w:rsid w:val="00BF6493"/>
    <w:rsid w:val="00BF678E"/>
    <w:rsid w:val="00BF67EA"/>
    <w:rsid w:val="00BF6852"/>
    <w:rsid w:val="00BF6A12"/>
    <w:rsid w:val="00BF6A63"/>
    <w:rsid w:val="00BF6C46"/>
    <w:rsid w:val="00BF6E26"/>
    <w:rsid w:val="00BF7049"/>
    <w:rsid w:val="00BF7448"/>
    <w:rsid w:val="00BF76AE"/>
    <w:rsid w:val="00BF7772"/>
    <w:rsid w:val="00BF7831"/>
    <w:rsid w:val="00BF7D2A"/>
    <w:rsid w:val="00BF7EEC"/>
    <w:rsid w:val="00C000D9"/>
    <w:rsid w:val="00C00F0A"/>
    <w:rsid w:val="00C00F0C"/>
    <w:rsid w:val="00C010D3"/>
    <w:rsid w:val="00C01118"/>
    <w:rsid w:val="00C0126D"/>
    <w:rsid w:val="00C0141B"/>
    <w:rsid w:val="00C01CD0"/>
    <w:rsid w:val="00C01E76"/>
    <w:rsid w:val="00C01EC0"/>
    <w:rsid w:val="00C01F33"/>
    <w:rsid w:val="00C020CB"/>
    <w:rsid w:val="00C021D9"/>
    <w:rsid w:val="00C029D5"/>
    <w:rsid w:val="00C039D6"/>
    <w:rsid w:val="00C03F05"/>
    <w:rsid w:val="00C03F5F"/>
    <w:rsid w:val="00C04045"/>
    <w:rsid w:val="00C0416D"/>
    <w:rsid w:val="00C043AD"/>
    <w:rsid w:val="00C0464A"/>
    <w:rsid w:val="00C04661"/>
    <w:rsid w:val="00C046B2"/>
    <w:rsid w:val="00C04B66"/>
    <w:rsid w:val="00C04C7F"/>
    <w:rsid w:val="00C05020"/>
    <w:rsid w:val="00C05081"/>
    <w:rsid w:val="00C05338"/>
    <w:rsid w:val="00C05345"/>
    <w:rsid w:val="00C05356"/>
    <w:rsid w:val="00C05843"/>
    <w:rsid w:val="00C05963"/>
    <w:rsid w:val="00C05A16"/>
    <w:rsid w:val="00C05EAF"/>
    <w:rsid w:val="00C05F3E"/>
    <w:rsid w:val="00C06338"/>
    <w:rsid w:val="00C06506"/>
    <w:rsid w:val="00C067A9"/>
    <w:rsid w:val="00C06D06"/>
    <w:rsid w:val="00C06EA0"/>
    <w:rsid w:val="00C07023"/>
    <w:rsid w:val="00C070BC"/>
    <w:rsid w:val="00C0727B"/>
    <w:rsid w:val="00C07773"/>
    <w:rsid w:val="00C0790E"/>
    <w:rsid w:val="00C07C15"/>
    <w:rsid w:val="00C10162"/>
    <w:rsid w:val="00C1028F"/>
    <w:rsid w:val="00C10437"/>
    <w:rsid w:val="00C10452"/>
    <w:rsid w:val="00C104BD"/>
    <w:rsid w:val="00C10984"/>
    <w:rsid w:val="00C10B82"/>
    <w:rsid w:val="00C110B1"/>
    <w:rsid w:val="00C11663"/>
    <w:rsid w:val="00C11D7D"/>
    <w:rsid w:val="00C11F47"/>
    <w:rsid w:val="00C121A2"/>
    <w:rsid w:val="00C1272F"/>
    <w:rsid w:val="00C127AC"/>
    <w:rsid w:val="00C12ABE"/>
    <w:rsid w:val="00C12D3F"/>
    <w:rsid w:val="00C13589"/>
    <w:rsid w:val="00C1359E"/>
    <w:rsid w:val="00C13B87"/>
    <w:rsid w:val="00C13DAE"/>
    <w:rsid w:val="00C1423C"/>
    <w:rsid w:val="00C143AE"/>
    <w:rsid w:val="00C1451B"/>
    <w:rsid w:val="00C14870"/>
    <w:rsid w:val="00C148F3"/>
    <w:rsid w:val="00C14C0D"/>
    <w:rsid w:val="00C14EC4"/>
    <w:rsid w:val="00C1516F"/>
    <w:rsid w:val="00C151FC"/>
    <w:rsid w:val="00C15935"/>
    <w:rsid w:val="00C15D38"/>
    <w:rsid w:val="00C161E7"/>
    <w:rsid w:val="00C16429"/>
    <w:rsid w:val="00C164C3"/>
    <w:rsid w:val="00C165F2"/>
    <w:rsid w:val="00C16C47"/>
    <w:rsid w:val="00C16CC7"/>
    <w:rsid w:val="00C16E7F"/>
    <w:rsid w:val="00C17158"/>
    <w:rsid w:val="00C17376"/>
    <w:rsid w:val="00C176C6"/>
    <w:rsid w:val="00C17AD7"/>
    <w:rsid w:val="00C17C1C"/>
    <w:rsid w:val="00C17E18"/>
    <w:rsid w:val="00C20C7C"/>
    <w:rsid w:val="00C20D72"/>
    <w:rsid w:val="00C20DF8"/>
    <w:rsid w:val="00C2121F"/>
    <w:rsid w:val="00C21240"/>
    <w:rsid w:val="00C21279"/>
    <w:rsid w:val="00C212AD"/>
    <w:rsid w:val="00C215C9"/>
    <w:rsid w:val="00C21727"/>
    <w:rsid w:val="00C218F0"/>
    <w:rsid w:val="00C21C88"/>
    <w:rsid w:val="00C21D7F"/>
    <w:rsid w:val="00C21DBF"/>
    <w:rsid w:val="00C21E5B"/>
    <w:rsid w:val="00C22097"/>
    <w:rsid w:val="00C22202"/>
    <w:rsid w:val="00C22285"/>
    <w:rsid w:val="00C22315"/>
    <w:rsid w:val="00C22B71"/>
    <w:rsid w:val="00C22B73"/>
    <w:rsid w:val="00C22C9B"/>
    <w:rsid w:val="00C230E7"/>
    <w:rsid w:val="00C2350A"/>
    <w:rsid w:val="00C235B8"/>
    <w:rsid w:val="00C23702"/>
    <w:rsid w:val="00C23C41"/>
    <w:rsid w:val="00C23C50"/>
    <w:rsid w:val="00C23D5A"/>
    <w:rsid w:val="00C23DD1"/>
    <w:rsid w:val="00C23EA4"/>
    <w:rsid w:val="00C242B0"/>
    <w:rsid w:val="00C242C7"/>
    <w:rsid w:val="00C242C9"/>
    <w:rsid w:val="00C248D1"/>
    <w:rsid w:val="00C24B8B"/>
    <w:rsid w:val="00C255B6"/>
    <w:rsid w:val="00C2578F"/>
    <w:rsid w:val="00C25796"/>
    <w:rsid w:val="00C25849"/>
    <w:rsid w:val="00C258FC"/>
    <w:rsid w:val="00C25BC8"/>
    <w:rsid w:val="00C26081"/>
    <w:rsid w:val="00C261F1"/>
    <w:rsid w:val="00C2620B"/>
    <w:rsid w:val="00C26355"/>
    <w:rsid w:val="00C2650F"/>
    <w:rsid w:val="00C26ACA"/>
    <w:rsid w:val="00C26AE1"/>
    <w:rsid w:val="00C26CBB"/>
    <w:rsid w:val="00C26D20"/>
    <w:rsid w:val="00C2729D"/>
    <w:rsid w:val="00C2731F"/>
    <w:rsid w:val="00C27553"/>
    <w:rsid w:val="00C276E7"/>
    <w:rsid w:val="00C27839"/>
    <w:rsid w:val="00C2796C"/>
    <w:rsid w:val="00C27A1D"/>
    <w:rsid w:val="00C27B1C"/>
    <w:rsid w:val="00C3040C"/>
    <w:rsid w:val="00C30461"/>
    <w:rsid w:val="00C304BD"/>
    <w:rsid w:val="00C30509"/>
    <w:rsid w:val="00C30793"/>
    <w:rsid w:val="00C30855"/>
    <w:rsid w:val="00C30CB1"/>
    <w:rsid w:val="00C313B5"/>
    <w:rsid w:val="00C3156F"/>
    <w:rsid w:val="00C318E2"/>
    <w:rsid w:val="00C31A11"/>
    <w:rsid w:val="00C31BE3"/>
    <w:rsid w:val="00C31E51"/>
    <w:rsid w:val="00C31F5D"/>
    <w:rsid w:val="00C325A4"/>
    <w:rsid w:val="00C326DD"/>
    <w:rsid w:val="00C32747"/>
    <w:rsid w:val="00C32A3E"/>
    <w:rsid w:val="00C32BE7"/>
    <w:rsid w:val="00C32D66"/>
    <w:rsid w:val="00C32F54"/>
    <w:rsid w:val="00C32F55"/>
    <w:rsid w:val="00C3321B"/>
    <w:rsid w:val="00C3321C"/>
    <w:rsid w:val="00C336DE"/>
    <w:rsid w:val="00C33BC6"/>
    <w:rsid w:val="00C33C1D"/>
    <w:rsid w:val="00C33D77"/>
    <w:rsid w:val="00C34301"/>
    <w:rsid w:val="00C34363"/>
    <w:rsid w:val="00C34448"/>
    <w:rsid w:val="00C344CF"/>
    <w:rsid w:val="00C345DD"/>
    <w:rsid w:val="00C3460F"/>
    <w:rsid w:val="00C34859"/>
    <w:rsid w:val="00C3491A"/>
    <w:rsid w:val="00C34920"/>
    <w:rsid w:val="00C34D04"/>
    <w:rsid w:val="00C34EA2"/>
    <w:rsid w:val="00C3542E"/>
    <w:rsid w:val="00C35714"/>
    <w:rsid w:val="00C35861"/>
    <w:rsid w:val="00C35994"/>
    <w:rsid w:val="00C359D9"/>
    <w:rsid w:val="00C3617C"/>
    <w:rsid w:val="00C368C1"/>
    <w:rsid w:val="00C36F36"/>
    <w:rsid w:val="00C3758A"/>
    <w:rsid w:val="00C376DD"/>
    <w:rsid w:val="00C3786C"/>
    <w:rsid w:val="00C37A1F"/>
    <w:rsid w:val="00C37B0B"/>
    <w:rsid w:val="00C4027E"/>
    <w:rsid w:val="00C402AB"/>
    <w:rsid w:val="00C40512"/>
    <w:rsid w:val="00C4111E"/>
    <w:rsid w:val="00C4122A"/>
    <w:rsid w:val="00C41311"/>
    <w:rsid w:val="00C4151C"/>
    <w:rsid w:val="00C41A47"/>
    <w:rsid w:val="00C41C7F"/>
    <w:rsid w:val="00C41FB6"/>
    <w:rsid w:val="00C4221F"/>
    <w:rsid w:val="00C42345"/>
    <w:rsid w:val="00C429E9"/>
    <w:rsid w:val="00C42EC8"/>
    <w:rsid w:val="00C43130"/>
    <w:rsid w:val="00C431E6"/>
    <w:rsid w:val="00C43620"/>
    <w:rsid w:val="00C436E9"/>
    <w:rsid w:val="00C4399E"/>
    <w:rsid w:val="00C441E7"/>
    <w:rsid w:val="00C4430F"/>
    <w:rsid w:val="00C443F0"/>
    <w:rsid w:val="00C44581"/>
    <w:rsid w:val="00C447A2"/>
    <w:rsid w:val="00C44D79"/>
    <w:rsid w:val="00C44E1E"/>
    <w:rsid w:val="00C44E98"/>
    <w:rsid w:val="00C4511B"/>
    <w:rsid w:val="00C45178"/>
    <w:rsid w:val="00C45404"/>
    <w:rsid w:val="00C45408"/>
    <w:rsid w:val="00C454B1"/>
    <w:rsid w:val="00C458F1"/>
    <w:rsid w:val="00C45BCD"/>
    <w:rsid w:val="00C45BFB"/>
    <w:rsid w:val="00C45CD9"/>
    <w:rsid w:val="00C45D20"/>
    <w:rsid w:val="00C45EE2"/>
    <w:rsid w:val="00C45F5C"/>
    <w:rsid w:val="00C4602B"/>
    <w:rsid w:val="00C46079"/>
    <w:rsid w:val="00C46228"/>
    <w:rsid w:val="00C46347"/>
    <w:rsid w:val="00C4665C"/>
    <w:rsid w:val="00C46ED6"/>
    <w:rsid w:val="00C47331"/>
    <w:rsid w:val="00C474CE"/>
    <w:rsid w:val="00C4754E"/>
    <w:rsid w:val="00C476DB"/>
    <w:rsid w:val="00C476F0"/>
    <w:rsid w:val="00C47ABB"/>
    <w:rsid w:val="00C47AF2"/>
    <w:rsid w:val="00C47F67"/>
    <w:rsid w:val="00C5014A"/>
    <w:rsid w:val="00C50239"/>
    <w:rsid w:val="00C508C5"/>
    <w:rsid w:val="00C50CEA"/>
    <w:rsid w:val="00C51017"/>
    <w:rsid w:val="00C513F8"/>
    <w:rsid w:val="00C5174E"/>
    <w:rsid w:val="00C51891"/>
    <w:rsid w:val="00C51EB6"/>
    <w:rsid w:val="00C51FC6"/>
    <w:rsid w:val="00C52080"/>
    <w:rsid w:val="00C5208D"/>
    <w:rsid w:val="00C5209F"/>
    <w:rsid w:val="00C52602"/>
    <w:rsid w:val="00C52AD7"/>
    <w:rsid w:val="00C532DC"/>
    <w:rsid w:val="00C537D5"/>
    <w:rsid w:val="00C53846"/>
    <w:rsid w:val="00C5390A"/>
    <w:rsid w:val="00C53AD3"/>
    <w:rsid w:val="00C53BB8"/>
    <w:rsid w:val="00C53C85"/>
    <w:rsid w:val="00C54572"/>
    <w:rsid w:val="00C54821"/>
    <w:rsid w:val="00C54892"/>
    <w:rsid w:val="00C5502E"/>
    <w:rsid w:val="00C5511F"/>
    <w:rsid w:val="00C55557"/>
    <w:rsid w:val="00C555D4"/>
    <w:rsid w:val="00C555F7"/>
    <w:rsid w:val="00C5578C"/>
    <w:rsid w:val="00C563BB"/>
    <w:rsid w:val="00C563C2"/>
    <w:rsid w:val="00C56602"/>
    <w:rsid w:val="00C56BF2"/>
    <w:rsid w:val="00C56F3B"/>
    <w:rsid w:val="00C57585"/>
    <w:rsid w:val="00C57740"/>
    <w:rsid w:val="00C57ABD"/>
    <w:rsid w:val="00C57CB8"/>
    <w:rsid w:val="00C60365"/>
    <w:rsid w:val="00C603B5"/>
    <w:rsid w:val="00C6056E"/>
    <w:rsid w:val="00C607B2"/>
    <w:rsid w:val="00C608E4"/>
    <w:rsid w:val="00C6095A"/>
    <w:rsid w:val="00C60CFA"/>
    <w:rsid w:val="00C61210"/>
    <w:rsid w:val="00C61322"/>
    <w:rsid w:val="00C61559"/>
    <w:rsid w:val="00C6176C"/>
    <w:rsid w:val="00C61B86"/>
    <w:rsid w:val="00C61BC8"/>
    <w:rsid w:val="00C61EF0"/>
    <w:rsid w:val="00C61F9A"/>
    <w:rsid w:val="00C62098"/>
    <w:rsid w:val="00C62219"/>
    <w:rsid w:val="00C622FC"/>
    <w:rsid w:val="00C62449"/>
    <w:rsid w:val="00C6265A"/>
    <w:rsid w:val="00C62690"/>
    <w:rsid w:val="00C62853"/>
    <w:rsid w:val="00C62AD6"/>
    <w:rsid w:val="00C6301E"/>
    <w:rsid w:val="00C6319D"/>
    <w:rsid w:val="00C6326B"/>
    <w:rsid w:val="00C63682"/>
    <w:rsid w:val="00C637EC"/>
    <w:rsid w:val="00C63908"/>
    <w:rsid w:val="00C63B08"/>
    <w:rsid w:val="00C63EB4"/>
    <w:rsid w:val="00C64172"/>
    <w:rsid w:val="00C645CD"/>
    <w:rsid w:val="00C64643"/>
    <w:rsid w:val="00C6489D"/>
    <w:rsid w:val="00C64B28"/>
    <w:rsid w:val="00C64E7E"/>
    <w:rsid w:val="00C65ADF"/>
    <w:rsid w:val="00C66119"/>
    <w:rsid w:val="00C6640B"/>
    <w:rsid w:val="00C6648A"/>
    <w:rsid w:val="00C665E2"/>
    <w:rsid w:val="00C66828"/>
    <w:rsid w:val="00C66A44"/>
    <w:rsid w:val="00C66F2B"/>
    <w:rsid w:val="00C677EA"/>
    <w:rsid w:val="00C7005C"/>
    <w:rsid w:val="00C7029E"/>
    <w:rsid w:val="00C70393"/>
    <w:rsid w:val="00C70765"/>
    <w:rsid w:val="00C7085E"/>
    <w:rsid w:val="00C70892"/>
    <w:rsid w:val="00C70BB4"/>
    <w:rsid w:val="00C70CEA"/>
    <w:rsid w:val="00C70D89"/>
    <w:rsid w:val="00C71463"/>
    <w:rsid w:val="00C715B1"/>
    <w:rsid w:val="00C717C7"/>
    <w:rsid w:val="00C71884"/>
    <w:rsid w:val="00C71A0C"/>
    <w:rsid w:val="00C71BCE"/>
    <w:rsid w:val="00C71CA7"/>
    <w:rsid w:val="00C7269A"/>
    <w:rsid w:val="00C72B72"/>
    <w:rsid w:val="00C72FBC"/>
    <w:rsid w:val="00C73284"/>
    <w:rsid w:val="00C73310"/>
    <w:rsid w:val="00C734A2"/>
    <w:rsid w:val="00C735B9"/>
    <w:rsid w:val="00C7370A"/>
    <w:rsid w:val="00C73837"/>
    <w:rsid w:val="00C738F2"/>
    <w:rsid w:val="00C73C37"/>
    <w:rsid w:val="00C73C77"/>
    <w:rsid w:val="00C740E0"/>
    <w:rsid w:val="00C74105"/>
    <w:rsid w:val="00C7470B"/>
    <w:rsid w:val="00C74D5C"/>
    <w:rsid w:val="00C75017"/>
    <w:rsid w:val="00C75339"/>
    <w:rsid w:val="00C753F2"/>
    <w:rsid w:val="00C75486"/>
    <w:rsid w:val="00C754F0"/>
    <w:rsid w:val="00C7555F"/>
    <w:rsid w:val="00C75611"/>
    <w:rsid w:val="00C7586E"/>
    <w:rsid w:val="00C76382"/>
    <w:rsid w:val="00C763D3"/>
    <w:rsid w:val="00C7661D"/>
    <w:rsid w:val="00C7677B"/>
    <w:rsid w:val="00C76792"/>
    <w:rsid w:val="00C7691E"/>
    <w:rsid w:val="00C76C41"/>
    <w:rsid w:val="00C76D26"/>
    <w:rsid w:val="00C76D85"/>
    <w:rsid w:val="00C76F0E"/>
    <w:rsid w:val="00C76FFD"/>
    <w:rsid w:val="00C771C8"/>
    <w:rsid w:val="00C772BC"/>
    <w:rsid w:val="00C77423"/>
    <w:rsid w:val="00C80008"/>
    <w:rsid w:val="00C804FB"/>
    <w:rsid w:val="00C80B69"/>
    <w:rsid w:val="00C80DE8"/>
    <w:rsid w:val="00C811F4"/>
    <w:rsid w:val="00C8128B"/>
    <w:rsid w:val="00C814BF"/>
    <w:rsid w:val="00C82019"/>
    <w:rsid w:val="00C8203C"/>
    <w:rsid w:val="00C821AA"/>
    <w:rsid w:val="00C825BE"/>
    <w:rsid w:val="00C827F3"/>
    <w:rsid w:val="00C82882"/>
    <w:rsid w:val="00C82EA4"/>
    <w:rsid w:val="00C82F01"/>
    <w:rsid w:val="00C833E0"/>
    <w:rsid w:val="00C8345E"/>
    <w:rsid w:val="00C83516"/>
    <w:rsid w:val="00C83CE3"/>
    <w:rsid w:val="00C83D33"/>
    <w:rsid w:val="00C83F6E"/>
    <w:rsid w:val="00C84003"/>
    <w:rsid w:val="00C84145"/>
    <w:rsid w:val="00C845CE"/>
    <w:rsid w:val="00C8461A"/>
    <w:rsid w:val="00C84F91"/>
    <w:rsid w:val="00C84FAA"/>
    <w:rsid w:val="00C84FB5"/>
    <w:rsid w:val="00C85054"/>
    <w:rsid w:val="00C85415"/>
    <w:rsid w:val="00C85438"/>
    <w:rsid w:val="00C85501"/>
    <w:rsid w:val="00C85C59"/>
    <w:rsid w:val="00C85E71"/>
    <w:rsid w:val="00C860EF"/>
    <w:rsid w:val="00C863D1"/>
    <w:rsid w:val="00C86464"/>
    <w:rsid w:val="00C86532"/>
    <w:rsid w:val="00C868FB"/>
    <w:rsid w:val="00C86EEE"/>
    <w:rsid w:val="00C87087"/>
    <w:rsid w:val="00C871F8"/>
    <w:rsid w:val="00C87555"/>
    <w:rsid w:val="00C877DA"/>
    <w:rsid w:val="00C87E15"/>
    <w:rsid w:val="00C87EB0"/>
    <w:rsid w:val="00C90389"/>
    <w:rsid w:val="00C908A2"/>
    <w:rsid w:val="00C908A4"/>
    <w:rsid w:val="00C90B06"/>
    <w:rsid w:val="00C90FEE"/>
    <w:rsid w:val="00C912A7"/>
    <w:rsid w:val="00C9136D"/>
    <w:rsid w:val="00C91370"/>
    <w:rsid w:val="00C916E3"/>
    <w:rsid w:val="00C917EC"/>
    <w:rsid w:val="00C91878"/>
    <w:rsid w:val="00C9187E"/>
    <w:rsid w:val="00C918C9"/>
    <w:rsid w:val="00C91AD1"/>
    <w:rsid w:val="00C92068"/>
    <w:rsid w:val="00C92258"/>
    <w:rsid w:val="00C922A9"/>
    <w:rsid w:val="00C92877"/>
    <w:rsid w:val="00C9297A"/>
    <w:rsid w:val="00C92B6B"/>
    <w:rsid w:val="00C92BF2"/>
    <w:rsid w:val="00C92E8B"/>
    <w:rsid w:val="00C92EE5"/>
    <w:rsid w:val="00C92F84"/>
    <w:rsid w:val="00C93293"/>
    <w:rsid w:val="00C934DB"/>
    <w:rsid w:val="00C9380F"/>
    <w:rsid w:val="00C93D2B"/>
    <w:rsid w:val="00C94295"/>
    <w:rsid w:val="00C94C3C"/>
    <w:rsid w:val="00C94DE4"/>
    <w:rsid w:val="00C94FC7"/>
    <w:rsid w:val="00C9503B"/>
    <w:rsid w:val="00C9536F"/>
    <w:rsid w:val="00C95495"/>
    <w:rsid w:val="00C95537"/>
    <w:rsid w:val="00C956D0"/>
    <w:rsid w:val="00C95944"/>
    <w:rsid w:val="00C959F7"/>
    <w:rsid w:val="00C95B25"/>
    <w:rsid w:val="00C95FF5"/>
    <w:rsid w:val="00C962AB"/>
    <w:rsid w:val="00C962E4"/>
    <w:rsid w:val="00C963D0"/>
    <w:rsid w:val="00C96598"/>
    <w:rsid w:val="00C96D6A"/>
    <w:rsid w:val="00C96E98"/>
    <w:rsid w:val="00C97135"/>
    <w:rsid w:val="00C9757D"/>
    <w:rsid w:val="00C9780E"/>
    <w:rsid w:val="00C978A5"/>
    <w:rsid w:val="00C97B2E"/>
    <w:rsid w:val="00C97BEF"/>
    <w:rsid w:val="00C97D10"/>
    <w:rsid w:val="00C97D5C"/>
    <w:rsid w:val="00CA0008"/>
    <w:rsid w:val="00CA06FB"/>
    <w:rsid w:val="00CA08BA"/>
    <w:rsid w:val="00CA090F"/>
    <w:rsid w:val="00CA0BA1"/>
    <w:rsid w:val="00CA0F5C"/>
    <w:rsid w:val="00CA129B"/>
    <w:rsid w:val="00CA1DEA"/>
    <w:rsid w:val="00CA1F61"/>
    <w:rsid w:val="00CA2103"/>
    <w:rsid w:val="00CA21E6"/>
    <w:rsid w:val="00CA27CA"/>
    <w:rsid w:val="00CA286D"/>
    <w:rsid w:val="00CA3247"/>
    <w:rsid w:val="00CA32A2"/>
    <w:rsid w:val="00CA32AE"/>
    <w:rsid w:val="00CA33FB"/>
    <w:rsid w:val="00CA3738"/>
    <w:rsid w:val="00CA3759"/>
    <w:rsid w:val="00CA399E"/>
    <w:rsid w:val="00CA39A5"/>
    <w:rsid w:val="00CA39FD"/>
    <w:rsid w:val="00CA3B15"/>
    <w:rsid w:val="00CA3B98"/>
    <w:rsid w:val="00CA3DFE"/>
    <w:rsid w:val="00CA4428"/>
    <w:rsid w:val="00CA4761"/>
    <w:rsid w:val="00CA479F"/>
    <w:rsid w:val="00CA4845"/>
    <w:rsid w:val="00CA48F3"/>
    <w:rsid w:val="00CA4A2D"/>
    <w:rsid w:val="00CA4C1A"/>
    <w:rsid w:val="00CA4C6A"/>
    <w:rsid w:val="00CA4EB0"/>
    <w:rsid w:val="00CA4F1F"/>
    <w:rsid w:val="00CA4F4E"/>
    <w:rsid w:val="00CA524D"/>
    <w:rsid w:val="00CA52C6"/>
    <w:rsid w:val="00CA5695"/>
    <w:rsid w:val="00CA56C3"/>
    <w:rsid w:val="00CA58AB"/>
    <w:rsid w:val="00CA5994"/>
    <w:rsid w:val="00CA5AE2"/>
    <w:rsid w:val="00CA5C0B"/>
    <w:rsid w:val="00CA6490"/>
    <w:rsid w:val="00CA651A"/>
    <w:rsid w:val="00CA6614"/>
    <w:rsid w:val="00CA6C84"/>
    <w:rsid w:val="00CA6F8F"/>
    <w:rsid w:val="00CA71A2"/>
    <w:rsid w:val="00CA75BF"/>
    <w:rsid w:val="00CA773F"/>
    <w:rsid w:val="00CA77A6"/>
    <w:rsid w:val="00CA7933"/>
    <w:rsid w:val="00CA7BF7"/>
    <w:rsid w:val="00CA7EBB"/>
    <w:rsid w:val="00CB0387"/>
    <w:rsid w:val="00CB096F"/>
    <w:rsid w:val="00CB0A9D"/>
    <w:rsid w:val="00CB0AAD"/>
    <w:rsid w:val="00CB0D4F"/>
    <w:rsid w:val="00CB0DF6"/>
    <w:rsid w:val="00CB0F28"/>
    <w:rsid w:val="00CB130A"/>
    <w:rsid w:val="00CB15E0"/>
    <w:rsid w:val="00CB15FB"/>
    <w:rsid w:val="00CB18B5"/>
    <w:rsid w:val="00CB2244"/>
    <w:rsid w:val="00CB226B"/>
    <w:rsid w:val="00CB2522"/>
    <w:rsid w:val="00CB2964"/>
    <w:rsid w:val="00CB2EF0"/>
    <w:rsid w:val="00CB3132"/>
    <w:rsid w:val="00CB31B7"/>
    <w:rsid w:val="00CB3297"/>
    <w:rsid w:val="00CB32CA"/>
    <w:rsid w:val="00CB3588"/>
    <w:rsid w:val="00CB3780"/>
    <w:rsid w:val="00CB398B"/>
    <w:rsid w:val="00CB3D35"/>
    <w:rsid w:val="00CB3D7E"/>
    <w:rsid w:val="00CB44B0"/>
    <w:rsid w:val="00CB45DB"/>
    <w:rsid w:val="00CB4673"/>
    <w:rsid w:val="00CB4ACF"/>
    <w:rsid w:val="00CB4AFB"/>
    <w:rsid w:val="00CB4C42"/>
    <w:rsid w:val="00CB4EBA"/>
    <w:rsid w:val="00CB52E5"/>
    <w:rsid w:val="00CB576B"/>
    <w:rsid w:val="00CB59E6"/>
    <w:rsid w:val="00CB5FE8"/>
    <w:rsid w:val="00CB61D5"/>
    <w:rsid w:val="00CB647B"/>
    <w:rsid w:val="00CB655D"/>
    <w:rsid w:val="00CB6881"/>
    <w:rsid w:val="00CB6B25"/>
    <w:rsid w:val="00CB6EEB"/>
    <w:rsid w:val="00CB7518"/>
    <w:rsid w:val="00CB768F"/>
    <w:rsid w:val="00CB7A49"/>
    <w:rsid w:val="00CB7E0E"/>
    <w:rsid w:val="00CC00D7"/>
    <w:rsid w:val="00CC013C"/>
    <w:rsid w:val="00CC018E"/>
    <w:rsid w:val="00CC01B4"/>
    <w:rsid w:val="00CC0383"/>
    <w:rsid w:val="00CC0C70"/>
    <w:rsid w:val="00CC0C90"/>
    <w:rsid w:val="00CC0FEB"/>
    <w:rsid w:val="00CC10DD"/>
    <w:rsid w:val="00CC1315"/>
    <w:rsid w:val="00CC131C"/>
    <w:rsid w:val="00CC1438"/>
    <w:rsid w:val="00CC15EB"/>
    <w:rsid w:val="00CC1954"/>
    <w:rsid w:val="00CC1B2F"/>
    <w:rsid w:val="00CC2231"/>
    <w:rsid w:val="00CC273D"/>
    <w:rsid w:val="00CC2BF5"/>
    <w:rsid w:val="00CC2F28"/>
    <w:rsid w:val="00CC2FC6"/>
    <w:rsid w:val="00CC3041"/>
    <w:rsid w:val="00CC412D"/>
    <w:rsid w:val="00CC46FB"/>
    <w:rsid w:val="00CC482A"/>
    <w:rsid w:val="00CC4C09"/>
    <w:rsid w:val="00CC51EE"/>
    <w:rsid w:val="00CC52B3"/>
    <w:rsid w:val="00CC533A"/>
    <w:rsid w:val="00CC5551"/>
    <w:rsid w:val="00CC5580"/>
    <w:rsid w:val="00CC5C22"/>
    <w:rsid w:val="00CC5D2E"/>
    <w:rsid w:val="00CC5FB2"/>
    <w:rsid w:val="00CC5FCB"/>
    <w:rsid w:val="00CC6094"/>
    <w:rsid w:val="00CC63FF"/>
    <w:rsid w:val="00CC684C"/>
    <w:rsid w:val="00CC69C8"/>
    <w:rsid w:val="00CC69C9"/>
    <w:rsid w:val="00CC6CCC"/>
    <w:rsid w:val="00CC6DA5"/>
    <w:rsid w:val="00CC6E8F"/>
    <w:rsid w:val="00CC702C"/>
    <w:rsid w:val="00CC708B"/>
    <w:rsid w:val="00CC75EF"/>
    <w:rsid w:val="00CC7CBF"/>
    <w:rsid w:val="00CC7CCC"/>
    <w:rsid w:val="00CC7D0A"/>
    <w:rsid w:val="00CD01DE"/>
    <w:rsid w:val="00CD04F3"/>
    <w:rsid w:val="00CD0617"/>
    <w:rsid w:val="00CD07DC"/>
    <w:rsid w:val="00CD08A9"/>
    <w:rsid w:val="00CD0DCC"/>
    <w:rsid w:val="00CD115D"/>
    <w:rsid w:val="00CD124F"/>
    <w:rsid w:val="00CD15E3"/>
    <w:rsid w:val="00CD15EF"/>
    <w:rsid w:val="00CD1D1B"/>
    <w:rsid w:val="00CD1E29"/>
    <w:rsid w:val="00CD1F5C"/>
    <w:rsid w:val="00CD222B"/>
    <w:rsid w:val="00CD22B4"/>
    <w:rsid w:val="00CD240A"/>
    <w:rsid w:val="00CD255A"/>
    <w:rsid w:val="00CD279E"/>
    <w:rsid w:val="00CD27CE"/>
    <w:rsid w:val="00CD2930"/>
    <w:rsid w:val="00CD29F7"/>
    <w:rsid w:val="00CD2D1C"/>
    <w:rsid w:val="00CD2D5A"/>
    <w:rsid w:val="00CD2D91"/>
    <w:rsid w:val="00CD3006"/>
    <w:rsid w:val="00CD3228"/>
    <w:rsid w:val="00CD3467"/>
    <w:rsid w:val="00CD3F31"/>
    <w:rsid w:val="00CD4018"/>
    <w:rsid w:val="00CD4618"/>
    <w:rsid w:val="00CD47B4"/>
    <w:rsid w:val="00CD4A12"/>
    <w:rsid w:val="00CD4DE8"/>
    <w:rsid w:val="00CD4E0B"/>
    <w:rsid w:val="00CD5123"/>
    <w:rsid w:val="00CD5238"/>
    <w:rsid w:val="00CD52EC"/>
    <w:rsid w:val="00CD538A"/>
    <w:rsid w:val="00CD53D4"/>
    <w:rsid w:val="00CD59A5"/>
    <w:rsid w:val="00CD5BEB"/>
    <w:rsid w:val="00CD5CFB"/>
    <w:rsid w:val="00CD5F87"/>
    <w:rsid w:val="00CD61B2"/>
    <w:rsid w:val="00CD63D5"/>
    <w:rsid w:val="00CD63E3"/>
    <w:rsid w:val="00CD658A"/>
    <w:rsid w:val="00CD679E"/>
    <w:rsid w:val="00CD6828"/>
    <w:rsid w:val="00CD6949"/>
    <w:rsid w:val="00CD6B37"/>
    <w:rsid w:val="00CD6BD1"/>
    <w:rsid w:val="00CD6D6C"/>
    <w:rsid w:val="00CD6E5A"/>
    <w:rsid w:val="00CD6E5C"/>
    <w:rsid w:val="00CD6EB3"/>
    <w:rsid w:val="00CD7492"/>
    <w:rsid w:val="00CD7968"/>
    <w:rsid w:val="00CD7A4D"/>
    <w:rsid w:val="00CD7A5C"/>
    <w:rsid w:val="00CD7AA7"/>
    <w:rsid w:val="00CD7EE3"/>
    <w:rsid w:val="00CE03FD"/>
    <w:rsid w:val="00CE046C"/>
    <w:rsid w:val="00CE048F"/>
    <w:rsid w:val="00CE098D"/>
    <w:rsid w:val="00CE0CD0"/>
    <w:rsid w:val="00CE1042"/>
    <w:rsid w:val="00CE10AF"/>
    <w:rsid w:val="00CE10DF"/>
    <w:rsid w:val="00CE1129"/>
    <w:rsid w:val="00CE1406"/>
    <w:rsid w:val="00CE143D"/>
    <w:rsid w:val="00CE16EC"/>
    <w:rsid w:val="00CE179E"/>
    <w:rsid w:val="00CE1C95"/>
    <w:rsid w:val="00CE1DFD"/>
    <w:rsid w:val="00CE1FA6"/>
    <w:rsid w:val="00CE27E8"/>
    <w:rsid w:val="00CE2C02"/>
    <w:rsid w:val="00CE33AB"/>
    <w:rsid w:val="00CE3CDB"/>
    <w:rsid w:val="00CE3DA8"/>
    <w:rsid w:val="00CE4008"/>
    <w:rsid w:val="00CE4011"/>
    <w:rsid w:val="00CE417D"/>
    <w:rsid w:val="00CE42A7"/>
    <w:rsid w:val="00CE4321"/>
    <w:rsid w:val="00CE4408"/>
    <w:rsid w:val="00CE4648"/>
    <w:rsid w:val="00CE4B06"/>
    <w:rsid w:val="00CE4C36"/>
    <w:rsid w:val="00CE4CD9"/>
    <w:rsid w:val="00CE51CA"/>
    <w:rsid w:val="00CE53D7"/>
    <w:rsid w:val="00CE545D"/>
    <w:rsid w:val="00CE54E4"/>
    <w:rsid w:val="00CE5589"/>
    <w:rsid w:val="00CE55F7"/>
    <w:rsid w:val="00CE571D"/>
    <w:rsid w:val="00CE5DEA"/>
    <w:rsid w:val="00CE602B"/>
    <w:rsid w:val="00CE6065"/>
    <w:rsid w:val="00CE6120"/>
    <w:rsid w:val="00CE63FA"/>
    <w:rsid w:val="00CE6498"/>
    <w:rsid w:val="00CE64D6"/>
    <w:rsid w:val="00CE6929"/>
    <w:rsid w:val="00CE6DFA"/>
    <w:rsid w:val="00CE6E30"/>
    <w:rsid w:val="00CE74B0"/>
    <w:rsid w:val="00CE76A9"/>
    <w:rsid w:val="00CE7839"/>
    <w:rsid w:val="00CE783E"/>
    <w:rsid w:val="00CF026E"/>
    <w:rsid w:val="00CF0377"/>
    <w:rsid w:val="00CF03A8"/>
    <w:rsid w:val="00CF044E"/>
    <w:rsid w:val="00CF0524"/>
    <w:rsid w:val="00CF059C"/>
    <w:rsid w:val="00CF095B"/>
    <w:rsid w:val="00CF0A45"/>
    <w:rsid w:val="00CF0E73"/>
    <w:rsid w:val="00CF1641"/>
    <w:rsid w:val="00CF1875"/>
    <w:rsid w:val="00CF1AF8"/>
    <w:rsid w:val="00CF1C59"/>
    <w:rsid w:val="00CF1D65"/>
    <w:rsid w:val="00CF1D9E"/>
    <w:rsid w:val="00CF1F57"/>
    <w:rsid w:val="00CF2388"/>
    <w:rsid w:val="00CF26CE"/>
    <w:rsid w:val="00CF29E1"/>
    <w:rsid w:val="00CF2FC9"/>
    <w:rsid w:val="00CF326C"/>
    <w:rsid w:val="00CF3295"/>
    <w:rsid w:val="00CF356D"/>
    <w:rsid w:val="00CF3774"/>
    <w:rsid w:val="00CF388C"/>
    <w:rsid w:val="00CF38BB"/>
    <w:rsid w:val="00CF3B03"/>
    <w:rsid w:val="00CF3B83"/>
    <w:rsid w:val="00CF3D1E"/>
    <w:rsid w:val="00CF46A9"/>
    <w:rsid w:val="00CF4D0E"/>
    <w:rsid w:val="00CF4D4A"/>
    <w:rsid w:val="00CF4EC6"/>
    <w:rsid w:val="00CF5004"/>
    <w:rsid w:val="00CF5568"/>
    <w:rsid w:val="00CF59D3"/>
    <w:rsid w:val="00CF5FBA"/>
    <w:rsid w:val="00CF6433"/>
    <w:rsid w:val="00CF66A0"/>
    <w:rsid w:val="00CF6A09"/>
    <w:rsid w:val="00CF6A22"/>
    <w:rsid w:val="00CF6AF5"/>
    <w:rsid w:val="00CF6C45"/>
    <w:rsid w:val="00CF6CC7"/>
    <w:rsid w:val="00CF7220"/>
    <w:rsid w:val="00CF722B"/>
    <w:rsid w:val="00CF78FA"/>
    <w:rsid w:val="00D006BA"/>
    <w:rsid w:val="00D007D7"/>
    <w:rsid w:val="00D00A17"/>
    <w:rsid w:val="00D00C67"/>
    <w:rsid w:val="00D00F7A"/>
    <w:rsid w:val="00D00F7F"/>
    <w:rsid w:val="00D011D6"/>
    <w:rsid w:val="00D01361"/>
    <w:rsid w:val="00D01552"/>
    <w:rsid w:val="00D0166E"/>
    <w:rsid w:val="00D01728"/>
    <w:rsid w:val="00D018A1"/>
    <w:rsid w:val="00D01949"/>
    <w:rsid w:val="00D01D5D"/>
    <w:rsid w:val="00D0237D"/>
    <w:rsid w:val="00D025FB"/>
    <w:rsid w:val="00D02660"/>
    <w:rsid w:val="00D02C3B"/>
    <w:rsid w:val="00D02FAD"/>
    <w:rsid w:val="00D03456"/>
    <w:rsid w:val="00D03584"/>
    <w:rsid w:val="00D03609"/>
    <w:rsid w:val="00D03B8D"/>
    <w:rsid w:val="00D03DFA"/>
    <w:rsid w:val="00D03EF4"/>
    <w:rsid w:val="00D0419D"/>
    <w:rsid w:val="00D0479E"/>
    <w:rsid w:val="00D04A1C"/>
    <w:rsid w:val="00D04C41"/>
    <w:rsid w:val="00D04F0C"/>
    <w:rsid w:val="00D05084"/>
    <w:rsid w:val="00D05A4B"/>
    <w:rsid w:val="00D05AE2"/>
    <w:rsid w:val="00D05B94"/>
    <w:rsid w:val="00D05CC6"/>
    <w:rsid w:val="00D05EAF"/>
    <w:rsid w:val="00D06139"/>
    <w:rsid w:val="00D06754"/>
    <w:rsid w:val="00D07297"/>
    <w:rsid w:val="00D07597"/>
    <w:rsid w:val="00D07732"/>
    <w:rsid w:val="00D07B34"/>
    <w:rsid w:val="00D10109"/>
    <w:rsid w:val="00D105B1"/>
    <w:rsid w:val="00D107DB"/>
    <w:rsid w:val="00D10889"/>
    <w:rsid w:val="00D11093"/>
    <w:rsid w:val="00D1125B"/>
    <w:rsid w:val="00D112EF"/>
    <w:rsid w:val="00D11734"/>
    <w:rsid w:val="00D11856"/>
    <w:rsid w:val="00D11CBD"/>
    <w:rsid w:val="00D11D51"/>
    <w:rsid w:val="00D1204B"/>
    <w:rsid w:val="00D12445"/>
    <w:rsid w:val="00D12AA8"/>
    <w:rsid w:val="00D12BAB"/>
    <w:rsid w:val="00D12CF5"/>
    <w:rsid w:val="00D12DA3"/>
    <w:rsid w:val="00D12E17"/>
    <w:rsid w:val="00D13055"/>
    <w:rsid w:val="00D1393D"/>
    <w:rsid w:val="00D13F37"/>
    <w:rsid w:val="00D14572"/>
    <w:rsid w:val="00D14AF9"/>
    <w:rsid w:val="00D14B40"/>
    <w:rsid w:val="00D14B41"/>
    <w:rsid w:val="00D14B43"/>
    <w:rsid w:val="00D14C42"/>
    <w:rsid w:val="00D15260"/>
    <w:rsid w:val="00D156CF"/>
    <w:rsid w:val="00D158B2"/>
    <w:rsid w:val="00D15936"/>
    <w:rsid w:val="00D15B21"/>
    <w:rsid w:val="00D15D7B"/>
    <w:rsid w:val="00D15DDE"/>
    <w:rsid w:val="00D15E25"/>
    <w:rsid w:val="00D15EFA"/>
    <w:rsid w:val="00D15F4D"/>
    <w:rsid w:val="00D15F82"/>
    <w:rsid w:val="00D15FCA"/>
    <w:rsid w:val="00D160A7"/>
    <w:rsid w:val="00D16169"/>
    <w:rsid w:val="00D1617B"/>
    <w:rsid w:val="00D16280"/>
    <w:rsid w:val="00D163E1"/>
    <w:rsid w:val="00D16577"/>
    <w:rsid w:val="00D1672B"/>
    <w:rsid w:val="00D16B1F"/>
    <w:rsid w:val="00D16C48"/>
    <w:rsid w:val="00D17AF7"/>
    <w:rsid w:val="00D17B57"/>
    <w:rsid w:val="00D17D5E"/>
    <w:rsid w:val="00D17EB5"/>
    <w:rsid w:val="00D17FCA"/>
    <w:rsid w:val="00D2012E"/>
    <w:rsid w:val="00D2028C"/>
    <w:rsid w:val="00D20646"/>
    <w:rsid w:val="00D20678"/>
    <w:rsid w:val="00D208CF"/>
    <w:rsid w:val="00D20A1B"/>
    <w:rsid w:val="00D20B69"/>
    <w:rsid w:val="00D2127B"/>
    <w:rsid w:val="00D2145E"/>
    <w:rsid w:val="00D21623"/>
    <w:rsid w:val="00D217D8"/>
    <w:rsid w:val="00D217F0"/>
    <w:rsid w:val="00D21E17"/>
    <w:rsid w:val="00D21F13"/>
    <w:rsid w:val="00D21F4E"/>
    <w:rsid w:val="00D21FBB"/>
    <w:rsid w:val="00D21FC0"/>
    <w:rsid w:val="00D22267"/>
    <w:rsid w:val="00D22464"/>
    <w:rsid w:val="00D225D7"/>
    <w:rsid w:val="00D22B4B"/>
    <w:rsid w:val="00D22F62"/>
    <w:rsid w:val="00D23502"/>
    <w:rsid w:val="00D237BE"/>
    <w:rsid w:val="00D237F3"/>
    <w:rsid w:val="00D23A7F"/>
    <w:rsid w:val="00D24182"/>
    <w:rsid w:val="00D242DC"/>
    <w:rsid w:val="00D247CA"/>
    <w:rsid w:val="00D24B28"/>
    <w:rsid w:val="00D24DE5"/>
    <w:rsid w:val="00D250ED"/>
    <w:rsid w:val="00D252CD"/>
    <w:rsid w:val="00D25628"/>
    <w:rsid w:val="00D256EF"/>
    <w:rsid w:val="00D258B4"/>
    <w:rsid w:val="00D25C22"/>
    <w:rsid w:val="00D25D83"/>
    <w:rsid w:val="00D25FBD"/>
    <w:rsid w:val="00D261A2"/>
    <w:rsid w:val="00D26D4E"/>
    <w:rsid w:val="00D26ECE"/>
    <w:rsid w:val="00D26F5F"/>
    <w:rsid w:val="00D26F84"/>
    <w:rsid w:val="00D27145"/>
    <w:rsid w:val="00D271B7"/>
    <w:rsid w:val="00D2721B"/>
    <w:rsid w:val="00D272DD"/>
    <w:rsid w:val="00D27392"/>
    <w:rsid w:val="00D273FB"/>
    <w:rsid w:val="00D2745E"/>
    <w:rsid w:val="00D278A3"/>
    <w:rsid w:val="00D27A51"/>
    <w:rsid w:val="00D27F5C"/>
    <w:rsid w:val="00D300EC"/>
    <w:rsid w:val="00D301A3"/>
    <w:rsid w:val="00D306F0"/>
    <w:rsid w:val="00D30AAC"/>
    <w:rsid w:val="00D31134"/>
    <w:rsid w:val="00D31389"/>
    <w:rsid w:val="00D31639"/>
    <w:rsid w:val="00D31B9C"/>
    <w:rsid w:val="00D31DAF"/>
    <w:rsid w:val="00D32069"/>
    <w:rsid w:val="00D3224B"/>
    <w:rsid w:val="00D322CE"/>
    <w:rsid w:val="00D3238B"/>
    <w:rsid w:val="00D323F1"/>
    <w:rsid w:val="00D32A88"/>
    <w:rsid w:val="00D32BBF"/>
    <w:rsid w:val="00D32C1A"/>
    <w:rsid w:val="00D32CF7"/>
    <w:rsid w:val="00D32FDA"/>
    <w:rsid w:val="00D33169"/>
    <w:rsid w:val="00D331CA"/>
    <w:rsid w:val="00D332D8"/>
    <w:rsid w:val="00D332DF"/>
    <w:rsid w:val="00D334F5"/>
    <w:rsid w:val="00D3388A"/>
    <w:rsid w:val="00D33D3F"/>
    <w:rsid w:val="00D33E82"/>
    <w:rsid w:val="00D33F05"/>
    <w:rsid w:val="00D33F58"/>
    <w:rsid w:val="00D342CD"/>
    <w:rsid w:val="00D3434A"/>
    <w:rsid w:val="00D34B59"/>
    <w:rsid w:val="00D34B95"/>
    <w:rsid w:val="00D35160"/>
    <w:rsid w:val="00D35194"/>
    <w:rsid w:val="00D35561"/>
    <w:rsid w:val="00D35633"/>
    <w:rsid w:val="00D3573F"/>
    <w:rsid w:val="00D35869"/>
    <w:rsid w:val="00D35883"/>
    <w:rsid w:val="00D35AE2"/>
    <w:rsid w:val="00D35C90"/>
    <w:rsid w:val="00D35CA3"/>
    <w:rsid w:val="00D35E3E"/>
    <w:rsid w:val="00D35EA5"/>
    <w:rsid w:val="00D36116"/>
    <w:rsid w:val="00D36185"/>
    <w:rsid w:val="00D369F4"/>
    <w:rsid w:val="00D36A4D"/>
    <w:rsid w:val="00D36B74"/>
    <w:rsid w:val="00D3701C"/>
    <w:rsid w:val="00D37B65"/>
    <w:rsid w:val="00D402A2"/>
    <w:rsid w:val="00D40338"/>
    <w:rsid w:val="00D40A59"/>
    <w:rsid w:val="00D40C51"/>
    <w:rsid w:val="00D40C67"/>
    <w:rsid w:val="00D40CC6"/>
    <w:rsid w:val="00D40DE5"/>
    <w:rsid w:val="00D415DD"/>
    <w:rsid w:val="00D416CF"/>
    <w:rsid w:val="00D41881"/>
    <w:rsid w:val="00D41A6D"/>
    <w:rsid w:val="00D41C96"/>
    <w:rsid w:val="00D41D52"/>
    <w:rsid w:val="00D41E43"/>
    <w:rsid w:val="00D41F1D"/>
    <w:rsid w:val="00D428C4"/>
    <w:rsid w:val="00D429A7"/>
    <w:rsid w:val="00D42A59"/>
    <w:rsid w:val="00D42B00"/>
    <w:rsid w:val="00D42BDC"/>
    <w:rsid w:val="00D42C71"/>
    <w:rsid w:val="00D42DEE"/>
    <w:rsid w:val="00D4302A"/>
    <w:rsid w:val="00D43126"/>
    <w:rsid w:val="00D43150"/>
    <w:rsid w:val="00D43317"/>
    <w:rsid w:val="00D4333C"/>
    <w:rsid w:val="00D43A97"/>
    <w:rsid w:val="00D43C66"/>
    <w:rsid w:val="00D43DFF"/>
    <w:rsid w:val="00D43E88"/>
    <w:rsid w:val="00D44434"/>
    <w:rsid w:val="00D44529"/>
    <w:rsid w:val="00D44559"/>
    <w:rsid w:val="00D44D51"/>
    <w:rsid w:val="00D44F33"/>
    <w:rsid w:val="00D44F62"/>
    <w:rsid w:val="00D450F7"/>
    <w:rsid w:val="00D452BD"/>
    <w:rsid w:val="00D456C9"/>
    <w:rsid w:val="00D45B47"/>
    <w:rsid w:val="00D46028"/>
    <w:rsid w:val="00D46221"/>
    <w:rsid w:val="00D4646D"/>
    <w:rsid w:val="00D465A7"/>
    <w:rsid w:val="00D467CD"/>
    <w:rsid w:val="00D46991"/>
    <w:rsid w:val="00D46A62"/>
    <w:rsid w:val="00D47404"/>
    <w:rsid w:val="00D4752B"/>
    <w:rsid w:val="00D47569"/>
    <w:rsid w:val="00D47751"/>
    <w:rsid w:val="00D477FB"/>
    <w:rsid w:val="00D47A2E"/>
    <w:rsid w:val="00D47BD7"/>
    <w:rsid w:val="00D47DC1"/>
    <w:rsid w:val="00D47E07"/>
    <w:rsid w:val="00D50289"/>
    <w:rsid w:val="00D505B0"/>
    <w:rsid w:val="00D506CE"/>
    <w:rsid w:val="00D50E7C"/>
    <w:rsid w:val="00D51259"/>
    <w:rsid w:val="00D51260"/>
    <w:rsid w:val="00D51789"/>
    <w:rsid w:val="00D517C5"/>
    <w:rsid w:val="00D518FC"/>
    <w:rsid w:val="00D51AF4"/>
    <w:rsid w:val="00D51B84"/>
    <w:rsid w:val="00D51E78"/>
    <w:rsid w:val="00D51F72"/>
    <w:rsid w:val="00D529FA"/>
    <w:rsid w:val="00D5304B"/>
    <w:rsid w:val="00D530D4"/>
    <w:rsid w:val="00D53585"/>
    <w:rsid w:val="00D53660"/>
    <w:rsid w:val="00D53C44"/>
    <w:rsid w:val="00D53DFC"/>
    <w:rsid w:val="00D53EE4"/>
    <w:rsid w:val="00D5422E"/>
    <w:rsid w:val="00D543D1"/>
    <w:rsid w:val="00D544FD"/>
    <w:rsid w:val="00D54783"/>
    <w:rsid w:val="00D54916"/>
    <w:rsid w:val="00D549ED"/>
    <w:rsid w:val="00D54A2A"/>
    <w:rsid w:val="00D54D12"/>
    <w:rsid w:val="00D54EDA"/>
    <w:rsid w:val="00D54F5A"/>
    <w:rsid w:val="00D54F63"/>
    <w:rsid w:val="00D55370"/>
    <w:rsid w:val="00D553FD"/>
    <w:rsid w:val="00D55C5A"/>
    <w:rsid w:val="00D55CCC"/>
    <w:rsid w:val="00D55E49"/>
    <w:rsid w:val="00D56070"/>
    <w:rsid w:val="00D560BA"/>
    <w:rsid w:val="00D566BB"/>
    <w:rsid w:val="00D568B6"/>
    <w:rsid w:val="00D56C95"/>
    <w:rsid w:val="00D5715E"/>
    <w:rsid w:val="00D57324"/>
    <w:rsid w:val="00D57597"/>
    <w:rsid w:val="00D57A36"/>
    <w:rsid w:val="00D57ABA"/>
    <w:rsid w:val="00D57B54"/>
    <w:rsid w:val="00D57D6A"/>
    <w:rsid w:val="00D602AA"/>
    <w:rsid w:val="00D6039A"/>
    <w:rsid w:val="00D60470"/>
    <w:rsid w:val="00D606B9"/>
    <w:rsid w:val="00D608CA"/>
    <w:rsid w:val="00D60962"/>
    <w:rsid w:val="00D60D0E"/>
    <w:rsid w:val="00D60E71"/>
    <w:rsid w:val="00D60E9E"/>
    <w:rsid w:val="00D60F79"/>
    <w:rsid w:val="00D610E9"/>
    <w:rsid w:val="00D6114F"/>
    <w:rsid w:val="00D617CE"/>
    <w:rsid w:val="00D61A54"/>
    <w:rsid w:val="00D61BF3"/>
    <w:rsid w:val="00D62ADD"/>
    <w:rsid w:val="00D62BA6"/>
    <w:rsid w:val="00D62F9D"/>
    <w:rsid w:val="00D630F0"/>
    <w:rsid w:val="00D63256"/>
    <w:rsid w:val="00D63322"/>
    <w:rsid w:val="00D6335D"/>
    <w:rsid w:val="00D633F2"/>
    <w:rsid w:val="00D63CEE"/>
    <w:rsid w:val="00D63E8F"/>
    <w:rsid w:val="00D641F2"/>
    <w:rsid w:val="00D6441A"/>
    <w:rsid w:val="00D648BD"/>
    <w:rsid w:val="00D64BED"/>
    <w:rsid w:val="00D64DA0"/>
    <w:rsid w:val="00D64DBA"/>
    <w:rsid w:val="00D65A68"/>
    <w:rsid w:val="00D65C93"/>
    <w:rsid w:val="00D65D8D"/>
    <w:rsid w:val="00D65E31"/>
    <w:rsid w:val="00D6625A"/>
    <w:rsid w:val="00D662E7"/>
    <w:rsid w:val="00D665E0"/>
    <w:rsid w:val="00D66A08"/>
    <w:rsid w:val="00D66C87"/>
    <w:rsid w:val="00D66EA3"/>
    <w:rsid w:val="00D66F02"/>
    <w:rsid w:val="00D67844"/>
    <w:rsid w:val="00D6789E"/>
    <w:rsid w:val="00D67E8A"/>
    <w:rsid w:val="00D7015F"/>
    <w:rsid w:val="00D702C5"/>
    <w:rsid w:val="00D707B3"/>
    <w:rsid w:val="00D70846"/>
    <w:rsid w:val="00D70AFE"/>
    <w:rsid w:val="00D70C3A"/>
    <w:rsid w:val="00D70F31"/>
    <w:rsid w:val="00D7102F"/>
    <w:rsid w:val="00D71449"/>
    <w:rsid w:val="00D715E7"/>
    <w:rsid w:val="00D71608"/>
    <w:rsid w:val="00D71863"/>
    <w:rsid w:val="00D71C5C"/>
    <w:rsid w:val="00D71DDC"/>
    <w:rsid w:val="00D72005"/>
    <w:rsid w:val="00D7250F"/>
    <w:rsid w:val="00D72996"/>
    <w:rsid w:val="00D729B7"/>
    <w:rsid w:val="00D72A78"/>
    <w:rsid w:val="00D72AA6"/>
    <w:rsid w:val="00D72D32"/>
    <w:rsid w:val="00D72D8A"/>
    <w:rsid w:val="00D72E91"/>
    <w:rsid w:val="00D7301F"/>
    <w:rsid w:val="00D7343D"/>
    <w:rsid w:val="00D73804"/>
    <w:rsid w:val="00D738A8"/>
    <w:rsid w:val="00D73A8C"/>
    <w:rsid w:val="00D73ADD"/>
    <w:rsid w:val="00D73D0B"/>
    <w:rsid w:val="00D73DA2"/>
    <w:rsid w:val="00D73F63"/>
    <w:rsid w:val="00D7444E"/>
    <w:rsid w:val="00D7454B"/>
    <w:rsid w:val="00D7469D"/>
    <w:rsid w:val="00D74B48"/>
    <w:rsid w:val="00D750BA"/>
    <w:rsid w:val="00D7538B"/>
    <w:rsid w:val="00D754C5"/>
    <w:rsid w:val="00D7589C"/>
    <w:rsid w:val="00D758BB"/>
    <w:rsid w:val="00D759A1"/>
    <w:rsid w:val="00D75D19"/>
    <w:rsid w:val="00D75E18"/>
    <w:rsid w:val="00D75F82"/>
    <w:rsid w:val="00D76027"/>
    <w:rsid w:val="00D7612D"/>
    <w:rsid w:val="00D764A7"/>
    <w:rsid w:val="00D769BF"/>
    <w:rsid w:val="00D76B9B"/>
    <w:rsid w:val="00D76BBA"/>
    <w:rsid w:val="00D76F6F"/>
    <w:rsid w:val="00D76FF1"/>
    <w:rsid w:val="00D7711A"/>
    <w:rsid w:val="00D77395"/>
    <w:rsid w:val="00D7798C"/>
    <w:rsid w:val="00D77D3A"/>
    <w:rsid w:val="00D77E8F"/>
    <w:rsid w:val="00D800FF"/>
    <w:rsid w:val="00D80148"/>
    <w:rsid w:val="00D8043C"/>
    <w:rsid w:val="00D80566"/>
    <w:rsid w:val="00D80DA6"/>
    <w:rsid w:val="00D80DC9"/>
    <w:rsid w:val="00D80E22"/>
    <w:rsid w:val="00D80FA7"/>
    <w:rsid w:val="00D81005"/>
    <w:rsid w:val="00D81537"/>
    <w:rsid w:val="00D8163A"/>
    <w:rsid w:val="00D81D68"/>
    <w:rsid w:val="00D821EA"/>
    <w:rsid w:val="00D8230D"/>
    <w:rsid w:val="00D823DD"/>
    <w:rsid w:val="00D82A33"/>
    <w:rsid w:val="00D82C04"/>
    <w:rsid w:val="00D83086"/>
    <w:rsid w:val="00D83637"/>
    <w:rsid w:val="00D83707"/>
    <w:rsid w:val="00D8375E"/>
    <w:rsid w:val="00D8384F"/>
    <w:rsid w:val="00D83944"/>
    <w:rsid w:val="00D83B78"/>
    <w:rsid w:val="00D83E6D"/>
    <w:rsid w:val="00D8432D"/>
    <w:rsid w:val="00D84600"/>
    <w:rsid w:val="00D84DE4"/>
    <w:rsid w:val="00D84FA8"/>
    <w:rsid w:val="00D85153"/>
    <w:rsid w:val="00D85584"/>
    <w:rsid w:val="00D85A38"/>
    <w:rsid w:val="00D86063"/>
    <w:rsid w:val="00D864E8"/>
    <w:rsid w:val="00D86AC4"/>
    <w:rsid w:val="00D86B59"/>
    <w:rsid w:val="00D872EA"/>
    <w:rsid w:val="00D87815"/>
    <w:rsid w:val="00D87892"/>
    <w:rsid w:val="00D87E1D"/>
    <w:rsid w:val="00D9003B"/>
    <w:rsid w:val="00D90077"/>
    <w:rsid w:val="00D9014B"/>
    <w:rsid w:val="00D90264"/>
    <w:rsid w:val="00D90304"/>
    <w:rsid w:val="00D90331"/>
    <w:rsid w:val="00D9037C"/>
    <w:rsid w:val="00D90491"/>
    <w:rsid w:val="00D90763"/>
    <w:rsid w:val="00D9089B"/>
    <w:rsid w:val="00D90935"/>
    <w:rsid w:val="00D90CBD"/>
    <w:rsid w:val="00D914B8"/>
    <w:rsid w:val="00D91C37"/>
    <w:rsid w:val="00D91CE8"/>
    <w:rsid w:val="00D91E12"/>
    <w:rsid w:val="00D91ED1"/>
    <w:rsid w:val="00D91F0B"/>
    <w:rsid w:val="00D9242C"/>
    <w:rsid w:val="00D926C9"/>
    <w:rsid w:val="00D928BB"/>
    <w:rsid w:val="00D92C09"/>
    <w:rsid w:val="00D934AE"/>
    <w:rsid w:val="00D93615"/>
    <w:rsid w:val="00D93833"/>
    <w:rsid w:val="00D939CF"/>
    <w:rsid w:val="00D93A15"/>
    <w:rsid w:val="00D93B47"/>
    <w:rsid w:val="00D93C20"/>
    <w:rsid w:val="00D93CC8"/>
    <w:rsid w:val="00D93D0E"/>
    <w:rsid w:val="00D93D60"/>
    <w:rsid w:val="00D9424E"/>
    <w:rsid w:val="00D9474D"/>
    <w:rsid w:val="00D9482A"/>
    <w:rsid w:val="00D94917"/>
    <w:rsid w:val="00D94AB7"/>
    <w:rsid w:val="00D94B86"/>
    <w:rsid w:val="00D94C8D"/>
    <w:rsid w:val="00D94D96"/>
    <w:rsid w:val="00D9501C"/>
    <w:rsid w:val="00D95213"/>
    <w:rsid w:val="00D954EC"/>
    <w:rsid w:val="00D95839"/>
    <w:rsid w:val="00D9587F"/>
    <w:rsid w:val="00D95AD1"/>
    <w:rsid w:val="00D95FFA"/>
    <w:rsid w:val="00D96140"/>
    <w:rsid w:val="00D96954"/>
    <w:rsid w:val="00D972C3"/>
    <w:rsid w:val="00D9747A"/>
    <w:rsid w:val="00D97B0E"/>
    <w:rsid w:val="00DA005F"/>
    <w:rsid w:val="00DA0117"/>
    <w:rsid w:val="00DA05B8"/>
    <w:rsid w:val="00DA0A49"/>
    <w:rsid w:val="00DA0DFF"/>
    <w:rsid w:val="00DA10B2"/>
    <w:rsid w:val="00DA1119"/>
    <w:rsid w:val="00DA14BE"/>
    <w:rsid w:val="00DA14C6"/>
    <w:rsid w:val="00DA1761"/>
    <w:rsid w:val="00DA1EB9"/>
    <w:rsid w:val="00DA1FA2"/>
    <w:rsid w:val="00DA2AD6"/>
    <w:rsid w:val="00DA2D6F"/>
    <w:rsid w:val="00DA2D74"/>
    <w:rsid w:val="00DA2E38"/>
    <w:rsid w:val="00DA30A4"/>
    <w:rsid w:val="00DA31BB"/>
    <w:rsid w:val="00DA383E"/>
    <w:rsid w:val="00DA3983"/>
    <w:rsid w:val="00DA3E1C"/>
    <w:rsid w:val="00DA45F2"/>
    <w:rsid w:val="00DA4728"/>
    <w:rsid w:val="00DA4B44"/>
    <w:rsid w:val="00DA4E41"/>
    <w:rsid w:val="00DA5056"/>
    <w:rsid w:val="00DA529F"/>
    <w:rsid w:val="00DA579D"/>
    <w:rsid w:val="00DA57AF"/>
    <w:rsid w:val="00DA5810"/>
    <w:rsid w:val="00DA5877"/>
    <w:rsid w:val="00DA5F29"/>
    <w:rsid w:val="00DA607D"/>
    <w:rsid w:val="00DA60A5"/>
    <w:rsid w:val="00DA63FC"/>
    <w:rsid w:val="00DA65C8"/>
    <w:rsid w:val="00DA670B"/>
    <w:rsid w:val="00DA68D3"/>
    <w:rsid w:val="00DA729C"/>
    <w:rsid w:val="00DA76DC"/>
    <w:rsid w:val="00DA7747"/>
    <w:rsid w:val="00DA7C73"/>
    <w:rsid w:val="00DA7EB3"/>
    <w:rsid w:val="00DA7F95"/>
    <w:rsid w:val="00DB05C4"/>
    <w:rsid w:val="00DB0CF0"/>
    <w:rsid w:val="00DB1041"/>
    <w:rsid w:val="00DB11F6"/>
    <w:rsid w:val="00DB1322"/>
    <w:rsid w:val="00DB1332"/>
    <w:rsid w:val="00DB145D"/>
    <w:rsid w:val="00DB1D68"/>
    <w:rsid w:val="00DB1E25"/>
    <w:rsid w:val="00DB1FFA"/>
    <w:rsid w:val="00DB20EA"/>
    <w:rsid w:val="00DB223C"/>
    <w:rsid w:val="00DB228E"/>
    <w:rsid w:val="00DB2424"/>
    <w:rsid w:val="00DB2971"/>
    <w:rsid w:val="00DB2A04"/>
    <w:rsid w:val="00DB2FD2"/>
    <w:rsid w:val="00DB3621"/>
    <w:rsid w:val="00DB3661"/>
    <w:rsid w:val="00DB367A"/>
    <w:rsid w:val="00DB3776"/>
    <w:rsid w:val="00DB3AD2"/>
    <w:rsid w:val="00DB3BC0"/>
    <w:rsid w:val="00DB3EAD"/>
    <w:rsid w:val="00DB3F20"/>
    <w:rsid w:val="00DB401F"/>
    <w:rsid w:val="00DB44A8"/>
    <w:rsid w:val="00DB44C1"/>
    <w:rsid w:val="00DB454B"/>
    <w:rsid w:val="00DB46AA"/>
    <w:rsid w:val="00DB4842"/>
    <w:rsid w:val="00DB4AAA"/>
    <w:rsid w:val="00DB4B2C"/>
    <w:rsid w:val="00DB4BB0"/>
    <w:rsid w:val="00DB5050"/>
    <w:rsid w:val="00DB5063"/>
    <w:rsid w:val="00DB5107"/>
    <w:rsid w:val="00DB5140"/>
    <w:rsid w:val="00DB586D"/>
    <w:rsid w:val="00DB5DB2"/>
    <w:rsid w:val="00DB5F90"/>
    <w:rsid w:val="00DB68C5"/>
    <w:rsid w:val="00DB68EA"/>
    <w:rsid w:val="00DB6A8C"/>
    <w:rsid w:val="00DB6FDD"/>
    <w:rsid w:val="00DB7184"/>
    <w:rsid w:val="00DB7389"/>
    <w:rsid w:val="00DB7487"/>
    <w:rsid w:val="00DB779E"/>
    <w:rsid w:val="00DB7D02"/>
    <w:rsid w:val="00DB7D9E"/>
    <w:rsid w:val="00DB7E7C"/>
    <w:rsid w:val="00DB7FBC"/>
    <w:rsid w:val="00DC00AE"/>
    <w:rsid w:val="00DC014C"/>
    <w:rsid w:val="00DC04C8"/>
    <w:rsid w:val="00DC0530"/>
    <w:rsid w:val="00DC07AC"/>
    <w:rsid w:val="00DC0CB9"/>
    <w:rsid w:val="00DC0D00"/>
    <w:rsid w:val="00DC174D"/>
    <w:rsid w:val="00DC184B"/>
    <w:rsid w:val="00DC189B"/>
    <w:rsid w:val="00DC230E"/>
    <w:rsid w:val="00DC240A"/>
    <w:rsid w:val="00DC253A"/>
    <w:rsid w:val="00DC26DD"/>
    <w:rsid w:val="00DC29C9"/>
    <w:rsid w:val="00DC2A19"/>
    <w:rsid w:val="00DC316D"/>
    <w:rsid w:val="00DC360A"/>
    <w:rsid w:val="00DC39AD"/>
    <w:rsid w:val="00DC3A5D"/>
    <w:rsid w:val="00DC3E64"/>
    <w:rsid w:val="00DC428D"/>
    <w:rsid w:val="00DC4331"/>
    <w:rsid w:val="00DC44B4"/>
    <w:rsid w:val="00DC44E0"/>
    <w:rsid w:val="00DC453A"/>
    <w:rsid w:val="00DC467F"/>
    <w:rsid w:val="00DC48F9"/>
    <w:rsid w:val="00DC4915"/>
    <w:rsid w:val="00DC4943"/>
    <w:rsid w:val="00DC4DA6"/>
    <w:rsid w:val="00DC5098"/>
    <w:rsid w:val="00DC51D9"/>
    <w:rsid w:val="00DC52FF"/>
    <w:rsid w:val="00DC5396"/>
    <w:rsid w:val="00DC54F7"/>
    <w:rsid w:val="00DC57F0"/>
    <w:rsid w:val="00DC5D0C"/>
    <w:rsid w:val="00DC634B"/>
    <w:rsid w:val="00DC6678"/>
    <w:rsid w:val="00DC6718"/>
    <w:rsid w:val="00DC69A7"/>
    <w:rsid w:val="00DC6A41"/>
    <w:rsid w:val="00DC6B41"/>
    <w:rsid w:val="00DC6D14"/>
    <w:rsid w:val="00DC7007"/>
    <w:rsid w:val="00DC79E6"/>
    <w:rsid w:val="00DC7B91"/>
    <w:rsid w:val="00DD043B"/>
    <w:rsid w:val="00DD0534"/>
    <w:rsid w:val="00DD0752"/>
    <w:rsid w:val="00DD07EE"/>
    <w:rsid w:val="00DD09A2"/>
    <w:rsid w:val="00DD0B00"/>
    <w:rsid w:val="00DD0F01"/>
    <w:rsid w:val="00DD10E4"/>
    <w:rsid w:val="00DD1177"/>
    <w:rsid w:val="00DD12A9"/>
    <w:rsid w:val="00DD1D50"/>
    <w:rsid w:val="00DD294D"/>
    <w:rsid w:val="00DD2B3E"/>
    <w:rsid w:val="00DD2DC5"/>
    <w:rsid w:val="00DD32A2"/>
    <w:rsid w:val="00DD34C2"/>
    <w:rsid w:val="00DD3646"/>
    <w:rsid w:val="00DD3CC3"/>
    <w:rsid w:val="00DD3D8E"/>
    <w:rsid w:val="00DD3E8B"/>
    <w:rsid w:val="00DD4093"/>
    <w:rsid w:val="00DD459F"/>
    <w:rsid w:val="00DD45D1"/>
    <w:rsid w:val="00DD461C"/>
    <w:rsid w:val="00DD4DF9"/>
    <w:rsid w:val="00DD5201"/>
    <w:rsid w:val="00DD5321"/>
    <w:rsid w:val="00DD586E"/>
    <w:rsid w:val="00DD58D4"/>
    <w:rsid w:val="00DD6428"/>
    <w:rsid w:val="00DD6BEE"/>
    <w:rsid w:val="00DD714F"/>
    <w:rsid w:val="00DD738A"/>
    <w:rsid w:val="00DD73CC"/>
    <w:rsid w:val="00DD7772"/>
    <w:rsid w:val="00DD781E"/>
    <w:rsid w:val="00DD7894"/>
    <w:rsid w:val="00DD7EC7"/>
    <w:rsid w:val="00DD7F3A"/>
    <w:rsid w:val="00DE0087"/>
    <w:rsid w:val="00DE0228"/>
    <w:rsid w:val="00DE064A"/>
    <w:rsid w:val="00DE0A29"/>
    <w:rsid w:val="00DE0C94"/>
    <w:rsid w:val="00DE0FC5"/>
    <w:rsid w:val="00DE0FD6"/>
    <w:rsid w:val="00DE1235"/>
    <w:rsid w:val="00DE13EA"/>
    <w:rsid w:val="00DE14ED"/>
    <w:rsid w:val="00DE1AC3"/>
    <w:rsid w:val="00DE1B5B"/>
    <w:rsid w:val="00DE1BF5"/>
    <w:rsid w:val="00DE1C19"/>
    <w:rsid w:val="00DE1D1D"/>
    <w:rsid w:val="00DE21E0"/>
    <w:rsid w:val="00DE220A"/>
    <w:rsid w:val="00DE228A"/>
    <w:rsid w:val="00DE23CB"/>
    <w:rsid w:val="00DE26D6"/>
    <w:rsid w:val="00DE290C"/>
    <w:rsid w:val="00DE2AFC"/>
    <w:rsid w:val="00DE2D52"/>
    <w:rsid w:val="00DE2F65"/>
    <w:rsid w:val="00DE2F6B"/>
    <w:rsid w:val="00DE306B"/>
    <w:rsid w:val="00DE311C"/>
    <w:rsid w:val="00DE3323"/>
    <w:rsid w:val="00DE33D9"/>
    <w:rsid w:val="00DE3A0A"/>
    <w:rsid w:val="00DE3E36"/>
    <w:rsid w:val="00DE4347"/>
    <w:rsid w:val="00DE46BF"/>
    <w:rsid w:val="00DE498A"/>
    <w:rsid w:val="00DE4B19"/>
    <w:rsid w:val="00DE4C2E"/>
    <w:rsid w:val="00DE4F2C"/>
    <w:rsid w:val="00DE5043"/>
    <w:rsid w:val="00DE519D"/>
    <w:rsid w:val="00DE5496"/>
    <w:rsid w:val="00DE5606"/>
    <w:rsid w:val="00DE5938"/>
    <w:rsid w:val="00DE5A5A"/>
    <w:rsid w:val="00DE5AD2"/>
    <w:rsid w:val="00DE5BA6"/>
    <w:rsid w:val="00DE5DEA"/>
    <w:rsid w:val="00DE5E73"/>
    <w:rsid w:val="00DE5F9A"/>
    <w:rsid w:val="00DE6385"/>
    <w:rsid w:val="00DE671C"/>
    <w:rsid w:val="00DE68A1"/>
    <w:rsid w:val="00DE68C7"/>
    <w:rsid w:val="00DE6947"/>
    <w:rsid w:val="00DE69CF"/>
    <w:rsid w:val="00DE6B5E"/>
    <w:rsid w:val="00DE70D3"/>
    <w:rsid w:val="00DE71FB"/>
    <w:rsid w:val="00DE7230"/>
    <w:rsid w:val="00DE7372"/>
    <w:rsid w:val="00DE7384"/>
    <w:rsid w:val="00DE73DD"/>
    <w:rsid w:val="00DE76BA"/>
    <w:rsid w:val="00DE7934"/>
    <w:rsid w:val="00DE797E"/>
    <w:rsid w:val="00DE7A3C"/>
    <w:rsid w:val="00DE7B1E"/>
    <w:rsid w:val="00DE7CCF"/>
    <w:rsid w:val="00DE7ECE"/>
    <w:rsid w:val="00DE7EEA"/>
    <w:rsid w:val="00DF01D0"/>
    <w:rsid w:val="00DF02F0"/>
    <w:rsid w:val="00DF0390"/>
    <w:rsid w:val="00DF0612"/>
    <w:rsid w:val="00DF0641"/>
    <w:rsid w:val="00DF0724"/>
    <w:rsid w:val="00DF0E5E"/>
    <w:rsid w:val="00DF12B8"/>
    <w:rsid w:val="00DF1616"/>
    <w:rsid w:val="00DF2221"/>
    <w:rsid w:val="00DF241B"/>
    <w:rsid w:val="00DF26CA"/>
    <w:rsid w:val="00DF26CF"/>
    <w:rsid w:val="00DF2C00"/>
    <w:rsid w:val="00DF2E67"/>
    <w:rsid w:val="00DF36DA"/>
    <w:rsid w:val="00DF3897"/>
    <w:rsid w:val="00DF3A42"/>
    <w:rsid w:val="00DF3B9C"/>
    <w:rsid w:val="00DF3DE3"/>
    <w:rsid w:val="00DF3E10"/>
    <w:rsid w:val="00DF3E71"/>
    <w:rsid w:val="00DF3EE7"/>
    <w:rsid w:val="00DF40C5"/>
    <w:rsid w:val="00DF49CF"/>
    <w:rsid w:val="00DF4E29"/>
    <w:rsid w:val="00DF5292"/>
    <w:rsid w:val="00DF58B4"/>
    <w:rsid w:val="00DF5E4D"/>
    <w:rsid w:val="00DF6105"/>
    <w:rsid w:val="00DF63DF"/>
    <w:rsid w:val="00DF6447"/>
    <w:rsid w:val="00DF6449"/>
    <w:rsid w:val="00DF673A"/>
    <w:rsid w:val="00DF69C4"/>
    <w:rsid w:val="00E00403"/>
    <w:rsid w:val="00E006E4"/>
    <w:rsid w:val="00E006F0"/>
    <w:rsid w:val="00E00B11"/>
    <w:rsid w:val="00E00E40"/>
    <w:rsid w:val="00E00ED3"/>
    <w:rsid w:val="00E014A6"/>
    <w:rsid w:val="00E01612"/>
    <w:rsid w:val="00E018F2"/>
    <w:rsid w:val="00E0196D"/>
    <w:rsid w:val="00E024AA"/>
    <w:rsid w:val="00E02913"/>
    <w:rsid w:val="00E02F55"/>
    <w:rsid w:val="00E030C8"/>
    <w:rsid w:val="00E03396"/>
    <w:rsid w:val="00E0349F"/>
    <w:rsid w:val="00E0362B"/>
    <w:rsid w:val="00E03812"/>
    <w:rsid w:val="00E03BA4"/>
    <w:rsid w:val="00E03F41"/>
    <w:rsid w:val="00E04080"/>
    <w:rsid w:val="00E04288"/>
    <w:rsid w:val="00E04438"/>
    <w:rsid w:val="00E046D5"/>
    <w:rsid w:val="00E04B7E"/>
    <w:rsid w:val="00E04C53"/>
    <w:rsid w:val="00E04DDA"/>
    <w:rsid w:val="00E04E23"/>
    <w:rsid w:val="00E04EEE"/>
    <w:rsid w:val="00E04F5D"/>
    <w:rsid w:val="00E05101"/>
    <w:rsid w:val="00E05146"/>
    <w:rsid w:val="00E051DC"/>
    <w:rsid w:val="00E0543C"/>
    <w:rsid w:val="00E05B3A"/>
    <w:rsid w:val="00E05C32"/>
    <w:rsid w:val="00E06213"/>
    <w:rsid w:val="00E06274"/>
    <w:rsid w:val="00E06341"/>
    <w:rsid w:val="00E0652A"/>
    <w:rsid w:val="00E066C9"/>
    <w:rsid w:val="00E0675A"/>
    <w:rsid w:val="00E06769"/>
    <w:rsid w:val="00E06796"/>
    <w:rsid w:val="00E068BC"/>
    <w:rsid w:val="00E06BFD"/>
    <w:rsid w:val="00E07492"/>
    <w:rsid w:val="00E07774"/>
    <w:rsid w:val="00E078BA"/>
    <w:rsid w:val="00E07A0E"/>
    <w:rsid w:val="00E07A71"/>
    <w:rsid w:val="00E07F4A"/>
    <w:rsid w:val="00E07FCB"/>
    <w:rsid w:val="00E1004A"/>
    <w:rsid w:val="00E10239"/>
    <w:rsid w:val="00E10292"/>
    <w:rsid w:val="00E1032D"/>
    <w:rsid w:val="00E109C1"/>
    <w:rsid w:val="00E10BC6"/>
    <w:rsid w:val="00E10DDA"/>
    <w:rsid w:val="00E113BF"/>
    <w:rsid w:val="00E1140A"/>
    <w:rsid w:val="00E114CC"/>
    <w:rsid w:val="00E11985"/>
    <w:rsid w:val="00E11AB1"/>
    <w:rsid w:val="00E1262A"/>
    <w:rsid w:val="00E12D87"/>
    <w:rsid w:val="00E13078"/>
    <w:rsid w:val="00E13389"/>
    <w:rsid w:val="00E134AA"/>
    <w:rsid w:val="00E135D4"/>
    <w:rsid w:val="00E135FE"/>
    <w:rsid w:val="00E13DDB"/>
    <w:rsid w:val="00E13F0B"/>
    <w:rsid w:val="00E140F7"/>
    <w:rsid w:val="00E145F9"/>
    <w:rsid w:val="00E14ED8"/>
    <w:rsid w:val="00E14F74"/>
    <w:rsid w:val="00E15583"/>
    <w:rsid w:val="00E1565D"/>
    <w:rsid w:val="00E157CF"/>
    <w:rsid w:val="00E15900"/>
    <w:rsid w:val="00E15C1D"/>
    <w:rsid w:val="00E16236"/>
    <w:rsid w:val="00E16BEB"/>
    <w:rsid w:val="00E16DC7"/>
    <w:rsid w:val="00E16F3F"/>
    <w:rsid w:val="00E17142"/>
    <w:rsid w:val="00E173BE"/>
    <w:rsid w:val="00E176A1"/>
    <w:rsid w:val="00E176FB"/>
    <w:rsid w:val="00E17A17"/>
    <w:rsid w:val="00E17A37"/>
    <w:rsid w:val="00E17D6D"/>
    <w:rsid w:val="00E20777"/>
    <w:rsid w:val="00E20A3D"/>
    <w:rsid w:val="00E20A63"/>
    <w:rsid w:val="00E20D3D"/>
    <w:rsid w:val="00E20E3B"/>
    <w:rsid w:val="00E20FF6"/>
    <w:rsid w:val="00E21285"/>
    <w:rsid w:val="00E21AC9"/>
    <w:rsid w:val="00E21E8B"/>
    <w:rsid w:val="00E2208C"/>
    <w:rsid w:val="00E221E1"/>
    <w:rsid w:val="00E221F9"/>
    <w:rsid w:val="00E22DA6"/>
    <w:rsid w:val="00E2335D"/>
    <w:rsid w:val="00E23377"/>
    <w:rsid w:val="00E23449"/>
    <w:rsid w:val="00E23668"/>
    <w:rsid w:val="00E23878"/>
    <w:rsid w:val="00E23F28"/>
    <w:rsid w:val="00E23FE5"/>
    <w:rsid w:val="00E243AE"/>
    <w:rsid w:val="00E24590"/>
    <w:rsid w:val="00E246F1"/>
    <w:rsid w:val="00E24796"/>
    <w:rsid w:val="00E24828"/>
    <w:rsid w:val="00E248CE"/>
    <w:rsid w:val="00E249BC"/>
    <w:rsid w:val="00E24C1C"/>
    <w:rsid w:val="00E24CCF"/>
    <w:rsid w:val="00E24D48"/>
    <w:rsid w:val="00E24E1F"/>
    <w:rsid w:val="00E25065"/>
    <w:rsid w:val="00E25143"/>
    <w:rsid w:val="00E253D7"/>
    <w:rsid w:val="00E255D1"/>
    <w:rsid w:val="00E257CA"/>
    <w:rsid w:val="00E25D50"/>
    <w:rsid w:val="00E2602A"/>
    <w:rsid w:val="00E261D1"/>
    <w:rsid w:val="00E2651E"/>
    <w:rsid w:val="00E2662F"/>
    <w:rsid w:val="00E266BC"/>
    <w:rsid w:val="00E266C7"/>
    <w:rsid w:val="00E26AF9"/>
    <w:rsid w:val="00E26F2B"/>
    <w:rsid w:val="00E26F70"/>
    <w:rsid w:val="00E26F88"/>
    <w:rsid w:val="00E27000"/>
    <w:rsid w:val="00E27043"/>
    <w:rsid w:val="00E2705B"/>
    <w:rsid w:val="00E2712C"/>
    <w:rsid w:val="00E27242"/>
    <w:rsid w:val="00E2728F"/>
    <w:rsid w:val="00E272A3"/>
    <w:rsid w:val="00E272B1"/>
    <w:rsid w:val="00E2746C"/>
    <w:rsid w:val="00E27960"/>
    <w:rsid w:val="00E27AE8"/>
    <w:rsid w:val="00E30042"/>
    <w:rsid w:val="00E302CC"/>
    <w:rsid w:val="00E3050C"/>
    <w:rsid w:val="00E305EE"/>
    <w:rsid w:val="00E3068C"/>
    <w:rsid w:val="00E30A69"/>
    <w:rsid w:val="00E30B0A"/>
    <w:rsid w:val="00E30DBB"/>
    <w:rsid w:val="00E310B9"/>
    <w:rsid w:val="00E310EF"/>
    <w:rsid w:val="00E317C7"/>
    <w:rsid w:val="00E318BE"/>
    <w:rsid w:val="00E31B5D"/>
    <w:rsid w:val="00E320D7"/>
    <w:rsid w:val="00E327B3"/>
    <w:rsid w:val="00E3297E"/>
    <w:rsid w:val="00E33539"/>
    <w:rsid w:val="00E33699"/>
    <w:rsid w:val="00E338D6"/>
    <w:rsid w:val="00E33A73"/>
    <w:rsid w:val="00E33F7A"/>
    <w:rsid w:val="00E33FBF"/>
    <w:rsid w:val="00E3472D"/>
    <w:rsid w:val="00E34D2A"/>
    <w:rsid w:val="00E3511A"/>
    <w:rsid w:val="00E3519F"/>
    <w:rsid w:val="00E3523A"/>
    <w:rsid w:val="00E35251"/>
    <w:rsid w:val="00E353B0"/>
    <w:rsid w:val="00E35690"/>
    <w:rsid w:val="00E35AB0"/>
    <w:rsid w:val="00E35D17"/>
    <w:rsid w:val="00E35E79"/>
    <w:rsid w:val="00E36116"/>
    <w:rsid w:val="00E3631E"/>
    <w:rsid w:val="00E363D2"/>
    <w:rsid w:val="00E368BA"/>
    <w:rsid w:val="00E36AD5"/>
    <w:rsid w:val="00E37381"/>
    <w:rsid w:val="00E377CF"/>
    <w:rsid w:val="00E37A76"/>
    <w:rsid w:val="00E37B38"/>
    <w:rsid w:val="00E37C8F"/>
    <w:rsid w:val="00E37DAE"/>
    <w:rsid w:val="00E37FBF"/>
    <w:rsid w:val="00E401AA"/>
    <w:rsid w:val="00E4022E"/>
    <w:rsid w:val="00E403DB"/>
    <w:rsid w:val="00E40837"/>
    <w:rsid w:val="00E40C26"/>
    <w:rsid w:val="00E40C72"/>
    <w:rsid w:val="00E40D01"/>
    <w:rsid w:val="00E40E09"/>
    <w:rsid w:val="00E41207"/>
    <w:rsid w:val="00E41413"/>
    <w:rsid w:val="00E416F6"/>
    <w:rsid w:val="00E420E5"/>
    <w:rsid w:val="00E4259F"/>
    <w:rsid w:val="00E42889"/>
    <w:rsid w:val="00E42D01"/>
    <w:rsid w:val="00E42DD5"/>
    <w:rsid w:val="00E43216"/>
    <w:rsid w:val="00E433C0"/>
    <w:rsid w:val="00E43499"/>
    <w:rsid w:val="00E437CC"/>
    <w:rsid w:val="00E438CA"/>
    <w:rsid w:val="00E43C43"/>
    <w:rsid w:val="00E440AF"/>
    <w:rsid w:val="00E44324"/>
    <w:rsid w:val="00E44399"/>
    <w:rsid w:val="00E4451F"/>
    <w:rsid w:val="00E446BE"/>
    <w:rsid w:val="00E4481E"/>
    <w:rsid w:val="00E449B9"/>
    <w:rsid w:val="00E44A0D"/>
    <w:rsid w:val="00E44B0B"/>
    <w:rsid w:val="00E44B60"/>
    <w:rsid w:val="00E44E1C"/>
    <w:rsid w:val="00E452AA"/>
    <w:rsid w:val="00E45576"/>
    <w:rsid w:val="00E455B6"/>
    <w:rsid w:val="00E4595C"/>
    <w:rsid w:val="00E45AAD"/>
    <w:rsid w:val="00E45AC4"/>
    <w:rsid w:val="00E45AE0"/>
    <w:rsid w:val="00E4603F"/>
    <w:rsid w:val="00E46115"/>
    <w:rsid w:val="00E462C4"/>
    <w:rsid w:val="00E46318"/>
    <w:rsid w:val="00E46641"/>
    <w:rsid w:val="00E466B5"/>
    <w:rsid w:val="00E467B0"/>
    <w:rsid w:val="00E46A27"/>
    <w:rsid w:val="00E47027"/>
    <w:rsid w:val="00E47368"/>
    <w:rsid w:val="00E475C9"/>
    <w:rsid w:val="00E47994"/>
    <w:rsid w:val="00E47CA7"/>
    <w:rsid w:val="00E47D5F"/>
    <w:rsid w:val="00E47EB1"/>
    <w:rsid w:val="00E47FF4"/>
    <w:rsid w:val="00E5024C"/>
    <w:rsid w:val="00E502B4"/>
    <w:rsid w:val="00E50760"/>
    <w:rsid w:val="00E50AE4"/>
    <w:rsid w:val="00E50E52"/>
    <w:rsid w:val="00E50EC4"/>
    <w:rsid w:val="00E5126F"/>
    <w:rsid w:val="00E51315"/>
    <w:rsid w:val="00E51321"/>
    <w:rsid w:val="00E51672"/>
    <w:rsid w:val="00E516CF"/>
    <w:rsid w:val="00E51DF2"/>
    <w:rsid w:val="00E51F17"/>
    <w:rsid w:val="00E520BF"/>
    <w:rsid w:val="00E521BD"/>
    <w:rsid w:val="00E521F9"/>
    <w:rsid w:val="00E52548"/>
    <w:rsid w:val="00E52549"/>
    <w:rsid w:val="00E525EB"/>
    <w:rsid w:val="00E526DC"/>
    <w:rsid w:val="00E52741"/>
    <w:rsid w:val="00E52840"/>
    <w:rsid w:val="00E528B3"/>
    <w:rsid w:val="00E528F0"/>
    <w:rsid w:val="00E52A11"/>
    <w:rsid w:val="00E52AD3"/>
    <w:rsid w:val="00E52B4B"/>
    <w:rsid w:val="00E52BD4"/>
    <w:rsid w:val="00E52E6B"/>
    <w:rsid w:val="00E52F40"/>
    <w:rsid w:val="00E52F88"/>
    <w:rsid w:val="00E53214"/>
    <w:rsid w:val="00E53218"/>
    <w:rsid w:val="00E532B9"/>
    <w:rsid w:val="00E535C8"/>
    <w:rsid w:val="00E53773"/>
    <w:rsid w:val="00E537F6"/>
    <w:rsid w:val="00E53ADF"/>
    <w:rsid w:val="00E54181"/>
    <w:rsid w:val="00E5449F"/>
    <w:rsid w:val="00E546EA"/>
    <w:rsid w:val="00E54A0E"/>
    <w:rsid w:val="00E54A3E"/>
    <w:rsid w:val="00E54A73"/>
    <w:rsid w:val="00E54DF2"/>
    <w:rsid w:val="00E54DFD"/>
    <w:rsid w:val="00E55375"/>
    <w:rsid w:val="00E553A4"/>
    <w:rsid w:val="00E55520"/>
    <w:rsid w:val="00E55931"/>
    <w:rsid w:val="00E55CA5"/>
    <w:rsid w:val="00E55E85"/>
    <w:rsid w:val="00E55FC6"/>
    <w:rsid w:val="00E562AF"/>
    <w:rsid w:val="00E56468"/>
    <w:rsid w:val="00E566DD"/>
    <w:rsid w:val="00E56706"/>
    <w:rsid w:val="00E568C5"/>
    <w:rsid w:val="00E5698B"/>
    <w:rsid w:val="00E56A1E"/>
    <w:rsid w:val="00E5756A"/>
    <w:rsid w:val="00E57627"/>
    <w:rsid w:val="00E5779B"/>
    <w:rsid w:val="00E57829"/>
    <w:rsid w:val="00E578A7"/>
    <w:rsid w:val="00E579AA"/>
    <w:rsid w:val="00E579DD"/>
    <w:rsid w:val="00E57B5A"/>
    <w:rsid w:val="00E57FDD"/>
    <w:rsid w:val="00E602AE"/>
    <w:rsid w:val="00E607DD"/>
    <w:rsid w:val="00E608F3"/>
    <w:rsid w:val="00E609E0"/>
    <w:rsid w:val="00E60D63"/>
    <w:rsid w:val="00E60F47"/>
    <w:rsid w:val="00E60FAC"/>
    <w:rsid w:val="00E61056"/>
    <w:rsid w:val="00E610DB"/>
    <w:rsid w:val="00E614CE"/>
    <w:rsid w:val="00E616A1"/>
    <w:rsid w:val="00E61706"/>
    <w:rsid w:val="00E61D85"/>
    <w:rsid w:val="00E62203"/>
    <w:rsid w:val="00E62530"/>
    <w:rsid w:val="00E628F3"/>
    <w:rsid w:val="00E62933"/>
    <w:rsid w:val="00E62A0E"/>
    <w:rsid w:val="00E62DB7"/>
    <w:rsid w:val="00E62EC7"/>
    <w:rsid w:val="00E633DF"/>
    <w:rsid w:val="00E637B0"/>
    <w:rsid w:val="00E6397C"/>
    <w:rsid w:val="00E63C74"/>
    <w:rsid w:val="00E63C76"/>
    <w:rsid w:val="00E63CFB"/>
    <w:rsid w:val="00E63E69"/>
    <w:rsid w:val="00E63EF4"/>
    <w:rsid w:val="00E64228"/>
    <w:rsid w:val="00E647C4"/>
    <w:rsid w:val="00E647D2"/>
    <w:rsid w:val="00E648C7"/>
    <w:rsid w:val="00E649A0"/>
    <w:rsid w:val="00E649C0"/>
    <w:rsid w:val="00E64C75"/>
    <w:rsid w:val="00E651E1"/>
    <w:rsid w:val="00E65E24"/>
    <w:rsid w:val="00E663BB"/>
    <w:rsid w:val="00E66670"/>
    <w:rsid w:val="00E66A2A"/>
    <w:rsid w:val="00E66D27"/>
    <w:rsid w:val="00E66EF7"/>
    <w:rsid w:val="00E674F0"/>
    <w:rsid w:val="00E67624"/>
    <w:rsid w:val="00E67775"/>
    <w:rsid w:val="00E678C9"/>
    <w:rsid w:val="00E67D2A"/>
    <w:rsid w:val="00E7008F"/>
    <w:rsid w:val="00E702DC"/>
    <w:rsid w:val="00E707F2"/>
    <w:rsid w:val="00E70B34"/>
    <w:rsid w:val="00E70DFD"/>
    <w:rsid w:val="00E70F3F"/>
    <w:rsid w:val="00E70F7C"/>
    <w:rsid w:val="00E71079"/>
    <w:rsid w:val="00E7145A"/>
    <w:rsid w:val="00E71AAA"/>
    <w:rsid w:val="00E71E73"/>
    <w:rsid w:val="00E71EBA"/>
    <w:rsid w:val="00E723A4"/>
    <w:rsid w:val="00E724F6"/>
    <w:rsid w:val="00E7252F"/>
    <w:rsid w:val="00E7278B"/>
    <w:rsid w:val="00E72CD3"/>
    <w:rsid w:val="00E73397"/>
    <w:rsid w:val="00E734CD"/>
    <w:rsid w:val="00E735AE"/>
    <w:rsid w:val="00E739E4"/>
    <w:rsid w:val="00E73A7F"/>
    <w:rsid w:val="00E73AFD"/>
    <w:rsid w:val="00E73E73"/>
    <w:rsid w:val="00E742D8"/>
    <w:rsid w:val="00E745F6"/>
    <w:rsid w:val="00E748B1"/>
    <w:rsid w:val="00E75071"/>
    <w:rsid w:val="00E752B5"/>
    <w:rsid w:val="00E752EB"/>
    <w:rsid w:val="00E754BA"/>
    <w:rsid w:val="00E757E9"/>
    <w:rsid w:val="00E75884"/>
    <w:rsid w:val="00E75F96"/>
    <w:rsid w:val="00E760AF"/>
    <w:rsid w:val="00E7639A"/>
    <w:rsid w:val="00E764C7"/>
    <w:rsid w:val="00E764D8"/>
    <w:rsid w:val="00E767BA"/>
    <w:rsid w:val="00E7690F"/>
    <w:rsid w:val="00E76EAF"/>
    <w:rsid w:val="00E77B48"/>
    <w:rsid w:val="00E77C6B"/>
    <w:rsid w:val="00E80363"/>
    <w:rsid w:val="00E80845"/>
    <w:rsid w:val="00E80972"/>
    <w:rsid w:val="00E80E1C"/>
    <w:rsid w:val="00E813AF"/>
    <w:rsid w:val="00E81401"/>
    <w:rsid w:val="00E81599"/>
    <w:rsid w:val="00E81651"/>
    <w:rsid w:val="00E81A17"/>
    <w:rsid w:val="00E81C4B"/>
    <w:rsid w:val="00E81D9F"/>
    <w:rsid w:val="00E81ED5"/>
    <w:rsid w:val="00E81FE3"/>
    <w:rsid w:val="00E82406"/>
    <w:rsid w:val="00E82650"/>
    <w:rsid w:val="00E829AC"/>
    <w:rsid w:val="00E82C65"/>
    <w:rsid w:val="00E82DA6"/>
    <w:rsid w:val="00E8345F"/>
    <w:rsid w:val="00E835CC"/>
    <w:rsid w:val="00E83723"/>
    <w:rsid w:val="00E83954"/>
    <w:rsid w:val="00E8396B"/>
    <w:rsid w:val="00E83C8F"/>
    <w:rsid w:val="00E83D8F"/>
    <w:rsid w:val="00E83E90"/>
    <w:rsid w:val="00E83FF3"/>
    <w:rsid w:val="00E8457C"/>
    <w:rsid w:val="00E84938"/>
    <w:rsid w:val="00E84A6D"/>
    <w:rsid w:val="00E84D3C"/>
    <w:rsid w:val="00E84F8A"/>
    <w:rsid w:val="00E851A1"/>
    <w:rsid w:val="00E855C6"/>
    <w:rsid w:val="00E8563F"/>
    <w:rsid w:val="00E85C0B"/>
    <w:rsid w:val="00E85CAE"/>
    <w:rsid w:val="00E860CA"/>
    <w:rsid w:val="00E862E6"/>
    <w:rsid w:val="00E86418"/>
    <w:rsid w:val="00E865D7"/>
    <w:rsid w:val="00E868F9"/>
    <w:rsid w:val="00E87197"/>
    <w:rsid w:val="00E87215"/>
    <w:rsid w:val="00E873E7"/>
    <w:rsid w:val="00E87817"/>
    <w:rsid w:val="00E87A7C"/>
    <w:rsid w:val="00E87BBB"/>
    <w:rsid w:val="00E87C11"/>
    <w:rsid w:val="00E87D8F"/>
    <w:rsid w:val="00E9056A"/>
    <w:rsid w:val="00E9069E"/>
    <w:rsid w:val="00E90D1D"/>
    <w:rsid w:val="00E91188"/>
    <w:rsid w:val="00E91620"/>
    <w:rsid w:val="00E91B09"/>
    <w:rsid w:val="00E91CF0"/>
    <w:rsid w:val="00E91F34"/>
    <w:rsid w:val="00E91F9B"/>
    <w:rsid w:val="00E9207A"/>
    <w:rsid w:val="00E9218E"/>
    <w:rsid w:val="00E9258C"/>
    <w:rsid w:val="00E92620"/>
    <w:rsid w:val="00E92FE3"/>
    <w:rsid w:val="00E932E4"/>
    <w:rsid w:val="00E9343E"/>
    <w:rsid w:val="00E9374C"/>
    <w:rsid w:val="00E938AE"/>
    <w:rsid w:val="00E93C5F"/>
    <w:rsid w:val="00E93CC2"/>
    <w:rsid w:val="00E93CDF"/>
    <w:rsid w:val="00E93D59"/>
    <w:rsid w:val="00E93E63"/>
    <w:rsid w:val="00E94038"/>
    <w:rsid w:val="00E941C2"/>
    <w:rsid w:val="00E943E2"/>
    <w:rsid w:val="00E94837"/>
    <w:rsid w:val="00E948CB"/>
    <w:rsid w:val="00E94B5B"/>
    <w:rsid w:val="00E94B6F"/>
    <w:rsid w:val="00E94C1F"/>
    <w:rsid w:val="00E94F4A"/>
    <w:rsid w:val="00E94FF8"/>
    <w:rsid w:val="00E957C3"/>
    <w:rsid w:val="00E959B5"/>
    <w:rsid w:val="00E95CE6"/>
    <w:rsid w:val="00E95DCE"/>
    <w:rsid w:val="00E961BA"/>
    <w:rsid w:val="00E96771"/>
    <w:rsid w:val="00E9685E"/>
    <w:rsid w:val="00E96E32"/>
    <w:rsid w:val="00E9738C"/>
    <w:rsid w:val="00E97931"/>
    <w:rsid w:val="00E97D3C"/>
    <w:rsid w:val="00E97DAD"/>
    <w:rsid w:val="00EA0216"/>
    <w:rsid w:val="00EA0492"/>
    <w:rsid w:val="00EA06F5"/>
    <w:rsid w:val="00EA0CB9"/>
    <w:rsid w:val="00EA0CF3"/>
    <w:rsid w:val="00EA144A"/>
    <w:rsid w:val="00EA167B"/>
    <w:rsid w:val="00EA1716"/>
    <w:rsid w:val="00EA1D7E"/>
    <w:rsid w:val="00EA1D9B"/>
    <w:rsid w:val="00EA1F15"/>
    <w:rsid w:val="00EA2326"/>
    <w:rsid w:val="00EA306D"/>
    <w:rsid w:val="00EA30DE"/>
    <w:rsid w:val="00EA3292"/>
    <w:rsid w:val="00EA35E1"/>
    <w:rsid w:val="00EA3A3F"/>
    <w:rsid w:val="00EA3CFA"/>
    <w:rsid w:val="00EA3EAE"/>
    <w:rsid w:val="00EA4176"/>
    <w:rsid w:val="00EA418F"/>
    <w:rsid w:val="00EA420B"/>
    <w:rsid w:val="00EA4280"/>
    <w:rsid w:val="00EA46AD"/>
    <w:rsid w:val="00EA4D59"/>
    <w:rsid w:val="00EA5044"/>
    <w:rsid w:val="00EA531C"/>
    <w:rsid w:val="00EA54B5"/>
    <w:rsid w:val="00EA571C"/>
    <w:rsid w:val="00EA5797"/>
    <w:rsid w:val="00EA5B54"/>
    <w:rsid w:val="00EA5F77"/>
    <w:rsid w:val="00EA60DC"/>
    <w:rsid w:val="00EA6113"/>
    <w:rsid w:val="00EA6189"/>
    <w:rsid w:val="00EA64F4"/>
    <w:rsid w:val="00EA6510"/>
    <w:rsid w:val="00EA673F"/>
    <w:rsid w:val="00EA683E"/>
    <w:rsid w:val="00EA6BA8"/>
    <w:rsid w:val="00EA6F3C"/>
    <w:rsid w:val="00EA7289"/>
    <w:rsid w:val="00EA7339"/>
    <w:rsid w:val="00EA7771"/>
    <w:rsid w:val="00EA7906"/>
    <w:rsid w:val="00EA7A93"/>
    <w:rsid w:val="00EA7B94"/>
    <w:rsid w:val="00EB01BC"/>
    <w:rsid w:val="00EB0303"/>
    <w:rsid w:val="00EB0495"/>
    <w:rsid w:val="00EB069A"/>
    <w:rsid w:val="00EB08D7"/>
    <w:rsid w:val="00EB0DFD"/>
    <w:rsid w:val="00EB0F3A"/>
    <w:rsid w:val="00EB1436"/>
    <w:rsid w:val="00EB15A3"/>
    <w:rsid w:val="00EB16D7"/>
    <w:rsid w:val="00EB1D35"/>
    <w:rsid w:val="00EB1E04"/>
    <w:rsid w:val="00EB2292"/>
    <w:rsid w:val="00EB22C7"/>
    <w:rsid w:val="00EB283D"/>
    <w:rsid w:val="00EB2B22"/>
    <w:rsid w:val="00EB2D63"/>
    <w:rsid w:val="00EB2F61"/>
    <w:rsid w:val="00EB3469"/>
    <w:rsid w:val="00EB34CF"/>
    <w:rsid w:val="00EB36F8"/>
    <w:rsid w:val="00EB38C2"/>
    <w:rsid w:val="00EB42BE"/>
    <w:rsid w:val="00EB438F"/>
    <w:rsid w:val="00EB44B4"/>
    <w:rsid w:val="00EB479E"/>
    <w:rsid w:val="00EB4A88"/>
    <w:rsid w:val="00EB4B98"/>
    <w:rsid w:val="00EB4E79"/>
    <w:rsid w:val="00EB53C8"/>
    <w:rsid w:val="00EB5666"/>
    <w:rsid w:val="00EB5667"/>
    <w:rsid w:val="00EB5960"/>
    <w:rsid w:val="00EB5FE5"/>
    <w:rsid w:val="00EB6068"/>
    <w:rsid w:val="00EB61B1"/>
    <w:rsid w:val="00EB64BD"/>
    <w:rsid w:val="00EB64E2"/>
    <w:rsid w:val="00EB6754"/>
    <w:rsid w:val="00EB685B"/>
    <w:rsid w:val="00EB68B1"/>
    <w:rsid w:val="00EB695C"/>
    <w:rsid w:val="00EB6A18"/>
    <w:rsid w:val="00EB6AD8"/>
    <w:rsid w:val="00EB7420"/>
    <w:rsid w:val="00EB7BE4"/>
    <w:rsid w:val="00EC000C"/>
    <w:rsid w:val="00EC0189"/>
    <w:rsid w:val="00EC0401"/>
    <w:rsid w:val="00EC12CE"/>
    <w:rsid w:val="00EC1399"/>
    <w:rsid w:val="00EC17B7"/>
    <w:rsid w:val="00EC18D5"/>
    <w:rsid w:val="00EC1C4E"/>
    <w:rsid w:val="00EC1CF1"/>
    <w:rsid w:val="00EC1D6E"/>
    <w:rsid w:val="00EC1E9B"/>
    <w:rsid w:val="00EC2512"/>
    <w:rsid w:val="00EC29E3"/>
    <w:rsid w:val="00EC2D77"/>
    <w:rsid w:val="00EC326B"/>
    <w:rsid w:val="00EC3960"/>
    <w:rsid w:val="00EC3F76"/>
    <w:rsid w:val="00EC3FBF"/>
    <w:rsid w:val="00EC4388"/>
    <w:rsid w:val="00EC4395"/>
    <w:rsid w:val="00EC48E1"/>
    <w:rsid w:val="00EC4996"/>
    <w:rsid w:val="00EC4C0B"/>
    <w:rsid w:val="00EC56CB"/>
    <w:rsid w:val="00EC57C4"/>
    <w:rsid w:val="00EC5A53"/>
    <w:rsid w:val="00EC5D0A"/>
    <w:rsid w:val="00EC5D8A"/>
    <w:rsid w:val="00EC5E6E"/>
    <w:rsid w:val="00EC5FA6"/>
    <w:rsid w:val="00EC6099"/>
    <w:rsid w:val="00EC65FA"/>
    <w:rsid w:val="00EC6713"/>
    <w:rsid w:val="00EC6784"/>
    <w:rsid w:val="00EC6841"/>
    <w:rsid w:val="00EC6B61"/>
    <w:rsid w:val="00EC7077"/>
    <w:rsid w:val="00EC73C9"/>
    <w:rsid w:val="00EC7422"/>
    <w:rsid w:val="00EC77BE"/>
    <w:rsid w:val="00EC7AA8"/>
    <w:rsid w:val="00EC7F54"/>
    <w:rsid w:val="00ED05B7"/>
    <w:rsid w:val="00ED0756"/>
    <w:rsid w:val="00ED0A92"/>
    <w:rsid w:val="00ED0BBC"/>
    <w:rsid w:val="00ED0BDE"/>
    <w:rsid w:val="00ED0F38"/>
    <w:rsid w:val="00ED1276"/>
    <w:rsid w:val="00ED13FE"/>
    <w:rsid w:val="00ED15C6"/>
    <w:rsid w:val="00ED15E6"/>
    <w:rsid w:val="00ED16F5"/>
    <w:rsid w:val="00ED18C7"/>
    <w:rsid w:val="00ED18D1"/>
    <w:rsid w:val="00ED1AA9"/>
    <w:rsid w:val="00ED1C03"/>
    <w:rsid w:val="00ED1D1B"/>
    <w:rsid w:val="00ED1D7C"/>
    <w:rsid w:val="00ED21AD"/>
    <w:rsid w:val="00ED22BC"/>
    <w:rsid w:val="00ED22FB"/>
    <w:rsid w:val="00ED252F"/>
    <w:rsid w:val="00ED2536"/>
    <w:rsid w:val="00ED2AB5"/>
    <w:rsid w:val="00ED2C35"/>
    <w:rsid w:val="00ED2E74"/>
    <w:rsid w:val="00ED3014"/>
    <w:rsid w:val="00ED3178"/>
    <w:rsid w:val="00ED3187"/>
    <w:rsid w:val="00ED31C8"/>
    <w:rsid w:val="00ED3436"/>
    <w:rsid w:val="00ED3655"/>
    <w:rsid w:val="00ED419C"/>
    <w:rsid w:val="00ED478F"/>
    <w:rsid w:val="00ED4A41"/>
    <w:rsid w:val="00ED4C81"/>
    <w:rsid w:val="00ED4E64"/>
    <w:rsid w:val="00ED50CD"/>
    <w:rsid w:val="00ED53A5"/>
    <w:rsid w:val="00ED57F4"/>
    <w:rsid w:val="00ED5C59"/>
    <w:rsid w:val="00ED5D7C"/>
    <w:rsid w:val="00ED5DEA"/>
    <w:rsid w:val="00ED5F7B"/>
    <w:rsid w:val="00ED5FDC"/>
    <w:rsid w:val="00ED6234"/>
    <w:rsid w:val="00ED6338"/>
    <w:rsid w:val="00ED6339"/>
    <w:rsid w:val="00ED669F"/>
    <w:rsid w:val="00ED6821"/>
    <w:rsid w:val="00ED6881"/>
    <w:rsid w:val="00ED6C49"/>
    <w:rsid w:val="00ED7110"/>
    <w:rsid w:val="00ED77E8"/>
    <w:rsid w:val="00EE0353"/>
    <w:rsid w:val="00EE08B1"/>
    <w:rsid w:val="00EE09E4"/>
    <w:rsid w:val="00EE0A69"/>
    <w:rsid w:val="00EE0C6C"/>
    <w:rsid w:val="00EE0D84"/>
    <w:rsid w:val="00EE0E0B"/>
    <w:rsid w:val="00EE0F9B"/>
    <w:rsid w:val="00EE117E"/>
    <w:rsid w:val="00EE127A"/>
    <w:rsid w:val="00EE16C2"/>
    <w:rsid w:val="00EE189A"/>
    <w:rsid w:val="00EE18E0"/>
    <w:rsid w:val="00EE1B76"/>
    <w:rsid w:val="00EE1D0B"/>
    <w:rsid w:val="00EE2090"/>
    <w:rsid w:val="00EE2167"/>
    <w:rsid w:val="00EE242A"/>
    <w:rsid w:val="00EE247D"/>
    <w:rsid w:val="00EE2B40"/>
    <w:rsid w:val="00EE2D2D"/>
    <w:rsid w:val="00EE2E9D"/>
    <w:rsid w:val="00EE3089"/>
    <w:rsid w:val="00EE3184"/>
    <w:rsid w:val="00EE3228"/>
    <w:rsid w:val="00EE33A1"/>
    <w:rsid w:val="00EE3AB2"/>
    <w:rsid w:val="00EE40A5"/>
    <w:rsid w:val="00EE4139"/>
    <w:rsid w:val="00EE450B"/>
    <w:rsid w:val="00EE48D4"/>
    <w:rsid w:val="00EE4B84"/>
    <w:rsid w:val="00EE5121"/>
    <w:rsid w:val="00EE51D7"/>
    <w:rsid w:val="00EE5715"/>
    <w:rsid w:val="00EE5824"/>
    <w:rsid w:val="00EE59CF"/>
    <w:rsid w:val="00EE5F25"/>
    <w:rsid w:val="00EE656F"/>
    <w:rsid w:val="00EE6641"/>
    <w:rsid w:val="00EE6662"/>
    <w:rsid w:val="00EE671D"/>
    <w:rsid w:val="00EE6772"/>
    <w:rsid w:val="00EE6875"/>
    <w:rsid w:val="00EE697A"/>
    <w:rsid w:val="00EE6E64"/>
    <w:rsid w:val="00EE702A"/>
    <w:rsid w:val="00EE7052"/>
    <w:rsid w:val="00EE70BB"/>
    <w:rsid w:val="00EE7472"/>
    <w:rsid w:val="00EE76B9"/>
    <w:rsid w:val="00EE775B"/>
    <w:rsid w:val="00EE77BD"/>
    <w:rsid w:val="00EE7A38"/>
    <w:rsid w:val="00EE7A86"/>
    <w:rsid w:val="00EE7FF5"/>
    <w:rsid w:val="00EF0067"/>
    <w:rsid w:val="00EF01C5"/>
    <w:rsid w:val="00EF01E0"/>
    <w:rsid w:val="00EF022C"/>
    <w:rsid w:val="00EF0602"/>
    <w:rsid w:val="00EF08C0"/>
    <w:rsid w:val="00EF0923"/>
    <w:rsid w:val="00EF0DF5"/>
    <w:rsid w:val="00EF0E9E"/>
    <w:rsid w:val="00EF0EDC"/>
    <w:rsid w:val="00EF1277"/>
    <w:rsid w:val="00EF16BD"/>
    <w:rsid w:val="00EF1A42"/>
    <w:rsid w:val="00EF2023"/>
    <w:rsid w:val="00EF2141"/>
    <w:rsid w:val="00EF21C0"/>
    <w:rsid w:val="00EF22AB"/>
    <w:rsid w:val="00EF2BF8"/>
    <w:rsid w:val="00EF2DF6"/>
    <w:rsid w:val="00EF2E63"/>
    <w:rsid w:val="00EF3024"/>
    <w:rsid w:val="00EF302C"/>
    <w:rsid w:val="00EF33B3"/>
    <w:rsid w:val="00EF3402"/>
    <w:rsid w:val="00EF340E"/>
    <w:rsid w:val="00EF3570"/>
    <w:rsid w:val="00EF3606"/>
    <w:rsid w:val="00EF38A4"/>
    <w:rsid w:val="00EF3956"/>
    <w:rsid w:val="00EF39BF"/>
    <w:rsid w:val="00EF3B00"/>
    <w:rsid w:val="00EF3BE9"/>
    <w:rsid w:val="00EF3F76"/>
    <w:rsid w:val="00EF421D"/>
    <w:rsid w:val="00EF44B8"/>
    <w:rsid w:val="00EF470D"/>
    <w:rsid w:val="00EF4834"/>
    <w:rsid w:val="00EF48A2"/>
    <w:rsid w:val="00EF48AA"/>
    <w:rsid w:val="00EF4C5C"/>
    <w:rsid w:val="00EF5082"/>
    <w:rsid w:val="00EF5859"/>
    <w:rsid w:val="00EF5914"/>
    <w:rsid w:val="00EF622F"/>
    <w:rsid w:val="00EF642E"/>
    <w:rsid w:val="00EF668F"/>
    <w:rsid w:val="00EF68F8"/>
    <w:rsid w:val="00EF6E86"/>
    <w:rsid w:val="00EF7001"/>
    <w:rsid w:val="00EF74EA"/>
    <w:rsid w:val="00EF78E3"/>
    <w:rsid w:val="00F0012D"/>
    <w:rsid w:val="00F0042E"/>
    <w:rsid w:val="00F006FD"/>
    <w:rsid w:val="00F00A1D"/>
    <w:rsid w:val="00F00EC8"/>
    <w:rsid w:val="00F00F30"/>
    <w:rsid w:val="00F010F9"/>
    <w:rsid w:val="00F011A8"/>
    <w:rsid w:val="00F011BF"/>
    <w:rsid w:val="00F011CF"/>
    <w:rsid w:val="00F01363"/>
    <w:rsid w:val="00F01381"/>
    <w:rsid w:val="00F01835"/>
    <w:rsid w:val="00F0198F"/>
    <w:rsid w:val="00F01B9B"/>
    <w:rsid w:val="00F01BE1"/>
    <w:rsid w:val="00F01D0C"/>
    <w:rsid w:val="00F02003"/>
    <w:rsid w:val="00F020AD"/>
    <w:rsid w:val="00F021B1"/>
    <w:rsid w:val="00F02292"/>
    <w:rsid w:val="00F0258E"/>
    <w:rsid w:val="00F025FA"/>
    <w:rsid w:val="00F0261C"/>
    <w:rsid w:val="00F02877"/>
    <w:rsid w:val="00F0298C"/>
    <w:rsid w:val="00F02AF6"/>
    <w:rsid w:val="00F02F36"/>
    <w:rsid w:val="00F036BF"/>
    <w:rsid w:val="00F0374E"/>
    <w:rsid w:val="00F03AC1"/>
    <w:rsid w:val="00F04477"/>
    <w:rsid w:val="00F044CE"/>
    <w:rsid w:val="00F048C1"/>
    <w:rsid w:val="00F04E57"/>
    <w:rsid w:val="00F05168"/>
    <w:rsid w:val="00F0529B"/>
    <w:rsid w:val="00F0547E"/>
    <w:rsid w:val="00F058FD"/>
    <w:rsid w:val="00F05BF4"/>
    <w:rsid w:val="00F05D0F"/>
    <w:rsid w:val="00F05F2C"/>
    <w:rsid w:val="00F05FAA"/>
    <w:rsid w:val="00F060FE"/>
    <w:rsid w:val="00F061B7"/>
    <w:rsid w:val="00F06330"/>
    <w:rsid w:val="00F06383"/>
    <w:rsid w:val="00F066F9"/>
    <w:rsid w:val="00F067B2"/>
    <w:rsid w:val="00F06B3A"/>
    <w:rsid w:val="00F06EBA"/>
    <w:rsid w:val="00F06F31"/>
    <w:rsid w:val="00F071BB"/>
    <w:rsid w:val="00F07267"/>
    <w:rsid w:val="00F07473"/>
    <w:rsid w:val="00F07641"/>
    <w:rsid w:val="00F0780D"/>
    <w:rsid w:val="00F0796E"/>
    <w:rsid w:val="00F10149"/>
    <w:rsid w:val="00F107DF"/>
    <w:rsid w:val="00F10B61"/>
    <w:rsid w:val="00F10D78"/>
    <w:rsid w:val="00F1146E"/>
    <w:rsid w:val="00F1168A"/>
    <w:rsid w:val="00F1210E"/>
    <w:rsid w:val="00F12404"/>
    <w:rsid w:val="00F12589"/>
    <w:rsid w:val="00F12AAD"/>
    <w:rsid w:val="00F12D09"/>
    <w:rsid w:val="00F12D4E"/>
    <w:rsid w:val="00F12F8E"/>
    <w:rsid w:val="00F12FB9"/>
    <w:rsid w:val="00F133B0"/>
    <w:rsid w:val="00F134A2"/>
    <w:rsid w:val="00F134B2"/>
    <w:rsid w:val="00F1355B"/>
    <w:rsid w:val="00F13677"/>
    <w:rsid w:val="00F136D9"/>
    <w:rsid w:val="00F136E4"/>
    <w:rsid w:val="00F13765"/>
    <w:rsid w:val="00F13784"/>
    <w:rsid w:val="00F13A8E"/>
    <w:rsid w:val="00F13B09"/>
    <w:rsid w:val="00F14038"/>
    <w:rsid w:val="00F14049"/>
    <w:rsid w:val="00F14890"/>
    <w:rsid w:val="00F14A16"/>
    <w:rsid w:val="00F14A6A"/>
    <w:rsid w:val="00F1523F"/>
    <w:rsid w:val="00F15359"/>
    <w:rsid w:val="00F155ED"/>
    <w:rsid w:val="00F15F0D"/>
    <w:rsid w:val="00F1602F"/>
    <w:rsid w:val="00F160C3"/>
    <w:rsid w:val="00F16126"/>
    <w:rsid w:val="00F1636F"/>
    <w:rsid w:val="00F1649B"/>
    <w:rsid w:val="00F1669B"/>
    <w:rsid w:val="00F167B6"/>
    <w:rsid w:val="00F16C30"/>
    <w:rsid w:val="00F16C81"/>
    <w:rsid w:val="00F170D2"/>
    <w:rsid w:val="00F1733D"/>
    <w:rsid w:val="00F178A0"/>
    <w:rsid w:val="00F17959"/>
    <w:rsid w:val="00F179EB"/>
    <w:rsid w:val="00F17AE7"/>
    <w:rsid w:val="00F202B0"/>
    <w:rsid w:val="00F20989"/>
    <w:rsid w:val="00F20B22"/>
    <w:rsid w:val="00F212A2"/>
    <w:rsid w:val="00F21392"/>
    <w:rsid w:val="00F213D7"/>
    <w:rsid w:val="00F21408"/>
    <w:rsid w:val="00F2159B"/>
    <w:rsid w:val="00F21A02"/>
    <w:rsid w:val="00F21CA6"/>
    <w:rsid w:val="00F21D2B"/>
    <w:rsid w:val="00F21E06"/>
    <w:rsid w:val="00F21F88"/>
    <w:rsid w:val="00F221C9"/>
    <w:rsid w:val="00F22633"/>
    <w:rsid w:val="00F22702"/>
    <w:rsid w:val="00F22744"/>
    <w:rsid w:val="00F22838"/>
    <w:rsid w:val="00F22D8A"/>
    <w:rsid w:val="00F22FD7"/>
    <w:rsid w:val="00F23143"/>
    <w:rsid w:val="00F2321B"/>
    <w:rsid w:val="00F2321D"/>
    <w:rsid w:val="00F23235"/>
    <w:rsid w:val="00F2362A"/>
    <w:rsid w:val="00F23701"/>
    <w:rsid w:val="00F23A55"/>
    <w:rsid w:val="00F23CE3"/>
    <w:rsid w:val="00F23E87"/>
    <w:rsid w:val="00F23FB2"/>
    <w:rsid w:val="00F242F4"/>
    <w:rsid w:val="00F24742"/>
    <w:rsid w:val="00F248E8"/>
    <w:rsid w:val="00F249AF"/>
    <w:rsid w:val="00F24A24"/>
    <w:rsid w:val="00F24AC4"/>
    <w:rsid w:val="00F24F0C"/>
    <w:rsid w:val="00F250B7"/>
    <w:rsid w:val="00F25210"/>
    <w:rsid w:val="00F25D55"/>
    <w:rsid w:val="00F25D9E"/>
    <w:rsid w:val="00F263F2"/>
    <w:rsid w:val="00F268DE"/>
    <w:rsid w:val="00F26932"/>
    <w:rsid w:val="00F26BFA"/>
    <w:rsid w:val="00F26F47"/>
    <w:rsid w:val="00F27188"/>
    <w:rsid w:val="00F271BB"/>
    <w:rsid w:val="00F27490"/>
    <w:rsid w:val="00F27616"/>
    <w:rsid w:val="00F276A1"/>
    <w:rsid w:val="00F2796D"/>
    <w:rsid w:val="00F27A5F"/>
    <w:rsid w:val="00F300FA"/>
    <w:rsid w:val="00F30116"/>
    <w:rsid w:val="00F302B0"/>
    <w:rsid w:val="00F302C6"/>
    <w:rsid w:val="00F3052A"/>
    <w:rsid w:val="00F305DF"/>
    <w:rsid w:val="00F30651"/>
    <w:rsid w:val="00F307ED"/>
    <w:rsid w:val="00F30A20"/>
    <w:rsid w:val="00F30E35"/>
    <w:rsid w:val="00F31240"/>
    <w:rsid w:val="00F313C9"/>
    <w:rsid w:val="00F31621"/>
    <w:rsid w:val="00F3173B"/>
    <w:rsid w:val="00F31880"/>
    <w:rsid w:val="00F318BD"/>
    <w:rsid w:val="00F31D2C"/>
    <w:rsid w:val="00F31D5B"/>
    <w:rsid w:val="00F32115"/>
    <w:rsid w:val="00F32608"/>
    <w:rsid w:val="00F327CF"/>
    <w:rsid w:val="00F3349B"/>
    <w:rsid w:val="00F33617"/>
    <w:rsid w:val="00F340F2"/>
    <w:rsid w:val="00F343A0"/>
    <w:rsid w:val="00F347DD"/>
    <w:rsid w:val="00F34AB6"/>
    <w:rsid w:val="00F34EFB"/>
    <w:rsid w:val="00F34FD3"/>
    <w:rsid w:val="00F35546"/>
    <w:rsid w:val="00F35BC4"/>
    <w:rsid w:val="00F35F47"/>
    <w:rsid w:val="00F36550"/>
    <w:rsid w:val="00F3677A"/>
    <w:rsid w:val="00F36B77"/>
    <w:rsid w:val="00F3729E"/>
    <w:rsid w:val="00F372D5"/>
    <w:rsid w:val="00F3746B"/>
    <w:rsid w:val="00F375DD"/>
    <w:rsid w:val="00F37D97"/>
    <w:rsid w:val="00F40290"/>
    <w:rsid w:val="00F4049B"/>
    <w:rsid w:val="00F40765"/>
    <w:rsid w:val="00F40903"/>
    <w:rsid w:val="00F40BA0"/>
    <w:rsid w:val="00F40C1D"/>
    <w:rsid w:val="00F40D2F"/>
    <w:rsid w:val="00F4138F"/>
    <w:rsid w:val="00F4153F"/>
    <w:rsid w:val="00F41667"/>
    <w:rsid w:val="00F41918"/>
    <w:rsid w:val="00F41C9E"/>
    <w:rsid w:val="00F41D9E"/>
    <w:rsid w:val="00F42350"/>
    <w:rsid w:val="00F42B93"/>
    <w:rsid w:val="00F42F32"/>
    <w:rsid w:val="00F43325"/>
    <w:rsid w:val="00F43822"/>
    <w:rsid w:val="00F43B51"/>
    <w:rsid w:val="00F44207"/>
    <w:rsid w:val="00F44350"/>
    <w:rsid w:val="00F4437D"/>
    <w:rsid w:val="00F44391"/>
    <w:rsid w:val="00F447A3"/>
    <w:rsid w:val="00F44BBC"/>
    <w:rsid w:val="00F44DC5"/>
    <w:rsid w:val="00F45238"/>
    <w:rsid w:val="00F453E2"/>
    <w:rsid w:val="00F45747"/>
    <w:rsid w:val="00F45A03"/>
    <w:rsid w:val="00F4609F"/>
    <w:rsid w:val="00F46238"/>
    <w:rsid w:val="00F4635E"/>
    <w:rsid w:val="00F468D6"/>
    <w:rsid w:val="00F468E3"/>
    <w:rsid w:val="00F46905"/>
    <w:rsid w:val="00F46C03"/>
    <w:rsid w:val="00F46F36"/>
    <w:rsid w:val="00F46FCB"/>
    <w:rsid w:val="00F472B0"/>
    <w:rsid w:val="00F47535"/>
    <w:rsid w:val="00F477D3"/>
    <w:rsid w:val="00F47AA8"/>
    <w:rsid w:val="00F47BBF"/>
    <w:rsid w:val="00F47F7D"/>
    <w:rsid w:val="00F47FA5"/>
    <w:rsid w:val="00F5045B"/>
    <w:rsid w:val="00F50505"/>
    <w:rsid w:val="00F508F7"/>
    <w:rsid w:val="00F509C3"/>
    <w:rsid w:val="00F50E87"/>
    <w:rsid w:val="00F50E8C"/>
    <w:rsid w:val="00F50FB7"/>
    <w:rsid w:val="00F51AF0"/>
    <w:rsid w:val="00F52168"/>
    <w:rsid w:val="00F52603"/>
    <w:rsid w:val="00F526D7"/>
    <w:rsid w:val="00F52832"/>
    <w:rsid w:val="00F52988"/>
    <w:rsid w:val="00F53556"/>
    <w:rsid w:val="00F53C1F"/>
    <w:rsid w:val="00F53D29"/>
    <w:rsid w:val="00F53E3F"/>
    <w:rsid w:val="00F53EAE"/>
    <w:rsid w:val="00F53FEA"/>
    <w:rsid w:val="00F5421D"/>
    <w:rsid w:val="00F5453E"/>
    <w:rsid w:val="00F54661"/>
    <w:rsid w:val="00F549AD"/>
    <w:rsid w:val="00F54AC0"/>
    <w:rsid w:val="00F54BE1"/>
    <w:rsid w:val="00F54D9A"/>
    <w:rsid w:val="00F54FEE"/>
    <w:rsid w:val="00F5540C"/>
    <w:rsid w:val="00F5543E"/>
    <w:rsid w:val="00F5546C"/>
    <w:rsid w:val="00F55B53"/>
    <w:rsid w:val="00F5621A"/>
    <w:rsid w:val="00F565FE"/>
    <w:rsid w:val="00F56E77"/>
    <w:rsid w:val="00F56E8C"/>
    <w:rsid w:val="00F56F71"/>
    <w:rsid w:val="00F571E0"/>
    <w:rsid w:val="00F572A1"/>
    <w:rsid w:val="00F57569"/>
    <w:rsid w:val="00F575D2"/>
    <w:rsid w:val="00F57769"/>
    <w:rsid w:val="00F57BF6"/>
    <w:rsid w:val="00F57F1F"/>
    <w:rsid w:val="00F601C1"/>
    <w:rsid w:val="00F6039A"/>
    <w:rsid w:val="00F603D8"/>
    <w:rsid w:val="00F60508"/>
    <w:rsid w:val="00F605A9"/>
    <w:rsid w:val="00F6078C"/>
    <w:rsid w:val="00F60815"/>
    <w:rsid w:val="00F60979"/>
    <w:rsid w:val="00F61B3F"/>
    <w:rsid w:val="00F61BAC"/>
    <w:rsid w:val="00F61DE0"/>
    <w:rsid w:val="00F61FE5"/>
    <w:rsid w:val="00F62764"/>
    <w:rsid w:val="00F62ACC"/>
    <w:rsid w:val="00F62B9D"/>
    <w:rsid w:val="00F62D32"/>
    <w:rsid w:val="00F62FA2"/>
    <w:rsid w:val="00F62FB8"/>
    <w:rsid w:val="00F62FF8"/>
    <w:rsid w:val="00F633D2"/>
    <w:rsid w:val="00F63F8D"/>
    <w:rsid w:val="00F64513"/>
    <w:rsid w:val="00F64D02"/>
    <w:rsid w:val="00F653AE"/>
    <w:rsid w:val="00F65890"/>
    <w:rsid w:val="00F659D6"/>
    <w:rsid w:val="00F65CE2"/>
    <w:rsid w:val="00F65D1E"/>
    <w:rsid w:val="00F65D5C"/>
    <w:rsid w:val="00F65EDD"/>
    <w:rsid w:val="00F65F5C"/>
    <w:rsid w:val="00F6624B"/>
    <w:rsid w:val="00F662F5"/>
    <w:rsid w:val="00F668E2"/>
    <w:rsid w:val="00F66C7D"/>
    <w:rsid w:val="00F66E0A"/>
    <w:rsid w:val="00F66E59"/>
    <w:rsid w:val="00F675AB"/>
    <w:rsid w:val="00F675DD"/>
    <w:rsid w:val="00F676BB"/>
    <w:rsid w:val="00F67B7E"/>
    <w:rsid w:val="00F67C88"/>
    <w:rsid w:val="00F67E08"/>
    <w:rsid w:val="00F70175"/>
    <w:rsid w:val="00F702DE"/>
    <w:rsid w:val="00F706A7"/>
    <w:rsid w:val="00F7080E"/>
    <w:rsid w:val="00F70ABF"/>
    <w:rsid w:val="00F70CC1"/>
    <w:rsid w:val="00F70D4D"/>
    <w:rsid w:val="00F70E58"/>
    <w:rsid w:val="00F70F2B"/>
    <w:rsid w:val="00F7103C"/>
    <w:rsid w:val="00F71188"/>
    <w:rsid w:val="00F71C0B"/>
    <w:rsid w:val="00F71CC4"/>
    <w:rsid w:val="00F71FCE"/>
    <w:rsid w:val="00F72065"/>
    <w:rsid w:val="00F722DC"/>
    <w:rsid w:val="00F725B0"/>
    <w:rsid w:val="00F72A5C"/>
    <w:rsid w:val="00F72C38"/>
    <w:rsid w:val="00F72C4F"/>
    <w:rsid w:val="00F7345A"/>
    <w:rsid w:val="00F7362A"/>
    <w:rsid w:val="00F736D2"/>
    <w:rsid w:val="00F73821"/>
    <w:rsid w:val="00F73944"/>
    <w:rsid w:val="00F739C5"/>
    <w:rsid w:val="00F73D15"/>
    <w:rsid w:val="00F73E6A"/>
    <w:rsid w:val="00F73EE4"/>
    <w:rsid w:val="00F7406D"/>
    <w:rsid w:val="00F742C1"/>
    <w:rsid w:val="00F74310"/>
    <w:rsid w:val="00F743AF"/>
    <w:rsid w:val="00F745C9"/>
    <w:rsid w:val="00F746F1"/>
    <w:rsid w:val="00F74CD6"/>
    <w:rsid w:val="00F74E56"/>
    <w:rsid w:val="00F74F56"/>
    <w:rsid w:val="00F75018"/>
    <w:rsid w:val="00F75782"/>
    <w:rsid w:val="00F7598D"/>
    <w:rsid w:val="00F75B05"/>
    <w:rsid w:val="00F75B28"/>
    <w:rsid w:val="00F75C8B"/>
    <w:rsid w:val="00F75E2D"/>
    <w:rsid w:val="00F7613E"/>
    <w:rsid w:val="00F7634C"/>
    <w:rsid w:val="00F764B2"/>
    <w:rsid w:val="00F76873"/>
    <w:rsid w:val="00F76DA5"/>
    <w:rsid w:val="00F77117"/>
    <w:rsid w:val="00F7741C"/>
    <w:rsid w:val="00F7768B"/>
    <w:rsid w:val="00F779E9"/>
    <w:rsid w:val="00F77A75"/>
    <w:rsid w:val="00F77D9C"/>
    <w:rsid w:val="00F77EAE"/>
    <w:rsid w:val="00F80122"/>
    <w:rsid w:val="00F8050C"/>
    <w:rsid w:val="00F809DE"/>
    <w:rsid w:val="00F80B72"/>
    <w:rsid w:val="00F80BED"/>
    <w:rsid w:val="00F81446"/>
    <w:rsid w:val="00F81665"/>
    <w:rsid w:val="00F81962"/>
    <w:rsid w:val="00F81C7C"/>
    <w:rsid w:val="00F81CED"/>
    <w:rsid w:val="00F81E75"/>
    <w:rsid w:val="00F8206C"/>
    <w:rsid w:val="00F823B1"/>
    <w:rsid w:val="00F823EC"/>
    <w:rsid w:val="00F825A4"/>
    <w:rsid w:val="00F82630"/>
    <w:rsid w:val="00F8276D"/>
    <w:rsid w:val="00F8283C"/>
    <w:rsid w:val="00F829A8"/>
    <w:rsid w:val="00F82C63"/>
    <w:rsid w:val="00F82C8B"/>
    <w:rsid w:val="00F82CD9"/>
    <w:rsid w:val="00F82DD2"/>
    <w:rsid w:val="00F82FED"/>
    <w:rsid w:val="00F831E8"/>
    <w:rsid w:val="00F8328E"/>
    <w:rsid w:val="00F83343"/>
    <w:rsid w:val="00F837E8"/>
    <w:rsid w:val="00F83A74"/>
    <w:rsid w:val="00F83D63"/>
    <w:rsid w:val="00F83EF5"/>
    <w:rsid w:val="00F84329"/>
    <w:rsid w:val="00F84351"/>
    <w:rsid w:val="00F844A1"/>
    <w:rsid w:val="00F84531"/>
    <w:rsid w:val="00F847BD"/>
    <w:rsid w:val="00F84D97"/>
    <w:rsid w:val="00F84ED4"/>
    <w:rsid w:val="00F84FA7"/>
    <w:rsid w:val="00F85044"/>
    <w:rsid w:val="00F8539A"/>
    <w:rsid w:val="00F853FF"/>
    <w:rsid w:val="00F85442"/>
    <w:rsid w:val="00F8545D"/>
    <w:rsid w:val="00F855CF"/>
    <w:rsid w:val="00F85A1A"/>
    <w:rsid w:val="00F85D6D"/>
    <w:rsid w:val="00F85FBA"/>
    <w:rsid w:val="00F861B3"/>
    <w:rsid w:val="00F863C5"/>
    <w:rsid w:val="00F864FE"/>
    <w:rsid w:val="00F8669C"/>
    <w:rsid w:val="00F869F1"/>
    <w:rsid w:val="00F86BA2"/>
    <w:rsid w:val="00F86C2B"/>
    <w:rsid w:val="00F86CA9"/>
    <w:rsid w:val="00F86D48"/>
    <w:rsid w:val="00F86E15"/>
    <w:rsid w:val="00F871D3"/>
    <w:rsid w:val="00F87275"/>
    <w:rsid w:val="00F87530"/>
    <w:rsid w:val="00F877D7"/>
    <w:rsid w:val="00F87C57"/>
    <w:rsid w:val="00F87D71"/>
    <w:rsid w:val="00F87F46"/>
    <w:rsid w:val="00F90008"/>
    <w:rsid w:val="00F9049C"/>
    <w:rsid w:val="00F90947"/>
    <w:rsid w:val="00F90960"/>
    <w:rsid w:val="00F9096A"/>
    <w:rsid w:val="00F90CE6"/>
    <w:rsid w:val="00F90ED8"/>
    <w:rsid w:val="00F91388"/>
    <w:rsid w:val="00F91691"/>
    <w:rsid w:val="00F91967"/>
    <w:rsid w:val="00F91A32"/>
    <w:rsid w:val="00F91D0B"/>
    <w:rsid w:val="00F91DBF"/>
    <w:rsid w:val="00F9200D"/>
    <w:rsid w:val="00F9234B"/>
    <w:rsid w:val="00F923F0"/>
    <w:rsid w:val="00F92570"/>
    <w:rsid w:val="00F928B0"/>
    <w:rsid w:val="00F92B7C"/>
    <w:rsid w:val="00F92B97"/>
    <w:rsid w:val="00F93025"/>
    <w:rsid w:val="00F9318A"/>
    <w:rsid w:val="00F9321E"/>
    <w:rsid w:val="00F933BF"/>
    <w:rsid w:val="00F937AF"/>
    <w:rsid w:val="00F9387C"/>
    <w:rsid w:val="00F93F01"/>
    <w:rsid w:val="00F941AD"/>
    <w:rsid w:val="00F9562E"/>
    <w:rsid w:val="00F95718"/>
    <w:rsid w:val="00F95BD2"/>
    <w:rsid w:val="00F95DEE"/>
    <w:rsid w:val="00F95E36"/>
    <w:rsid w:val="00F96005"/>
    <w:rsid w:val="00F961E0"/>
    <w:rsid w:val="00F965F9"/>
    <w:rsid w:val="00F96BD9"/>
    <w:rsid w:val="00F97247"/>
    <w:rsid w:val="00F97951"/>
    <w:rsid w:val="00F97AC8"/>
    <w:rsid w:val="00F97C5D"/>
    <w:rsid w:val="00F97CC1"/>
    <w:rsid w:val="00F97F5C"/>
    <w:rsid w:val="00FA0029"/>
    <w:rsid w:val="00FA0212"/>
    <w:rsid w:val="00FA0306"/>
    <w:rsid w:val="00FA0411"/>
    <w:rsid w:val="00FA041F"/>
    <w:rsid w:val="00FA0434"/>
    <w:rsid w:val="00FA0509"/>
    <w:rsid w:val="00FA0D8A"/>
    <w:rsid w:val="00FA107F"/>
    <w:rsid w:val="00FA123C"/>
    <w:rsid w:val="00FA12D2"/>
    <w:rsid w:val="00FA150F"/>
    <w:rsid w:val="00FA1585"/>
    <w:rsid w:val="00FA1BE4"/>
    <w:rsid w:val="00FA1ED4"/>
    <w:rsid w:val="00FA1EE7"/>
    <w:rsid w:val="00FA22E4"/>
    <w:rsid w:val="00FA22FE"/>
    <w:rsid w:val="00FA26B5"/>
    <w:rsid w:val="00FA28CA"/>
    <w:rsid w:val="00FA2917"/>
    <w:rsid w:val="00FA2D1B"/>
    <w:rsid w:val="00FA2ED4"/>
    <w:rsid w:val="00FA2F84"/>
    <w:rsid w:val="00FA2FEC"/>
    <w:rsid w:val="00FA3541"/>
    <w:rsid w:val="00FA359E"/>
    <w:rsid w:val="00FA3818"/>
    <w:rsid w:val="00FA3D38"/>
    <w:rsid w:val="00FA3E1A"/>
    <w:rsid w:val="00FA3FE3"/>
    <w:rsid w:val="00FA412D"/>
    <w:rsid w:val="00FA4695"/>
    <w:rsid w:val="00FA4949"/>
    <w:rsid w:val="00FA4A6E"/>
    <w:rsid w:val="00FA4AC7"/>
    <w:rsid w:val="00FA4B5F"/>
    <w:rsid w:val="00FA4BB6"/>
    <w:rsid w:val="00FA4EF7"/>
    <w:rsid w:val="00FA544D"/>
    <w:rsid w:val="00FA586F"/>
    <w:rsid w:val="00FA587B"/>
    <w:rsid w:val="00FA58D0"/>
    <w:rsid w:val="00FA598B"/>
    <w:rsid w:val="00FA5B64"/>
    <w:rsid w:val="00FA5B9A"/>
    <w:rsid w:val="00FA61D2"/>
    <w:rsid w:val="00FA6362"/>
    <w:rsid w:val="00FA6412"/>
    <w:rsid w:val="00FA6A1D"/>
    <w:rsid w:val="00FA6B8F"/>
    <w:rsid w:val="00FA6C3A"/>
    <w:rsid w:val="00FA700D"/>
    <w:rsid w:val="00FA7311"/>
    <w:rsid w:val="00FA7668"/>
    <w:rsid w:val="00FA79EB"/>
    <w:rsid w:val="00FA7D86"/>
    <w:rsid w:val="00FB00F6"/>
    <w:rsid w:val="00FB02B0"/>
    <w:rsid w:val="00FB0404"/>
    <w:rsid w:val="00FB06D6"/>
    <w:rsid w:val="00FB07BB"/>
    <w:rsid w:val="00FB0910"/>
    <w:rsid w:val="00FB0978"/>
    <w:rsid w:val="00FB0AA8"/>
    <w:rsid w:val="00FB1048"/>
    <w:rsid w:val="00FB1170"/>
    <w:rsid w:val="00FB16FB"/>
    <w:rsid w:val="00FB173B"/>
    <w:rsid w:val="00FB18C7"/>
    <w:rsid w:val="00FB1EC3"/>
    <w:rsid w:val="00FB1F19"/>
    <w:rsid w:val="00FB201D"/>
    <w:rsid w:val="00FB218D"/>
    <w:rsid w:val="00FB275C"/>
    <w:rsid w:val="00FB28FB"/>
    <w:rsid w:val="00FB2A29"/>
    <w:rsid w:val="00FB2AF6"/>
    <w:rsid w:val="00FB2C08"/>
    <w:rsid w:val="00FB2F83"/>
    <w:rsid w:val="00FB3A46"/>
    <w:rsid w:val="00FB3B24"/>
    <w:rsid w:val="00FB3BD5"/>
    <w:rsid w:val="00FB3CC0"/>
    <w:rsid w:val="00FB3D56"/>
    <w:rsid w:val="00FB3FE7"/>
    <w:rsid w:val="00FB4090"/>
    <w:rsid w:val="00FB40F7"/>
    <w:rsid w:val="00FB42F1"/>
    <w:rsid w:val="00FB44F5"/>
    <w:rsid w:val="00FB46D3"/>
    <w:rsid w:val="00FB47D7"/>
    <w:rsid w:val="00FB49D9"/>
    <w:rsid w:val="00FB49F4"/>
    <w:rsid w:val="00FB50CC"/>
    <w:rsid w:val="00FB561D"/>
    <w:rsid w:val="00FB56B7"/>
    <w:rsid w:val="00FB654A"/>
    <w:rsid w:val="00FB6597"/>
    <w:rsid w:val="00FB65E2"/>
    <w:rsid w:val="00FB66D5"/>
    <w:rsid w:val="00FB6AFD"/>
    <w:rsid w:val="00FB6C94"/>
    <w:rsid w:val="00FB6EB1"/>
    <w:rsid w:val="00FB70B5"/>
    <w:rsid w:val="00FB71A0"/>
    <w:rsid w:val="00FB7812"/>
    <w:rsid w:val="00FB7989"/>
    <w:rsid w:val="00FB7BAF"/>
    <w:rsid w:val="00FB7C4C"/>
    <w:rsid w:val="00FB7CC5"/>
    <w:rsid w:val="00FB7F88"/>
    <w:rsid w:val="00FC00ED"/>
    <w:rsid w:val="00FC0233"/>
    <w:rsid w:val="00FC02A5"/>
    <w:rsid w:val="00FC03BD"/>
    <w:rsid w:val="00FC0563"/>
    <w:rsid w:val="00FC069E"/>
    <w:rsid w:val="00FC06DF"/>
    <w:rsid w:val="00FC06EC"/>
    <w:rsid w:val="00FC0713"/>
    <w:rsid w:val="00FC0AA2"/>
    <w:rsid w:val="00FC0BDA"/>
    <w:rsid w:val="00FC1158"/>
    <w:rsid w:val="00FC14B0"/>
    <w:rsid w:val="00FC19B0"/>
    <w:rsid w:val="00FC1DD7"/>
    <w:rsid w:val="00FC1EE6"/>
    <w:rsid w:val="00FC211A"/>
    <w:rsid w:val="00FC238F"/>
    <w:rsid w:val="00FC247F"/>
    <w:rsid w:val="00FC250C"/>
    <w:rsid w:val="00FC2777"/>
    <w:rsid w:val="00FC2A7B"/>
    <w:rsid w:val="00FC2CCC"/>
    <w:rsid w:val="00FC31DF"/>
    <w:rsid w:val="00FC3209"/>
    <w:rsid w:val="00FC337F"/>
    <w:rsid w:val="00FC3819"/>
    <w:rsid w:val="00FC39B2"/>
    <w:rsid w:val="00FC3E74"/>
    <w:rsid w:val="00FC43BE"/>
    <w:rsid w:val="00FC4868"/>
    <w:rsid w:val="00FC49F5"/>
    <w:rsid w:val="00FC4A96"/>
    <w:rsid w:val="00FC4D61"/>
    <w:rsid w:val="00FC53A4"/>
    <w:rsid w:val="00FC5698"/>
    <w:rsid w:val="00FC5A41"/>
    <w:rsid w:val="00FC6A66"/>
    <w:rsid w:val="00FC6AA2"/>
    <w:rsid w:val="00FC6BD9"/>
    <w:rsid w:val="00FC6BE8"/>
    <w:rsid w:val="00FC6D29"/>
    <w:rsid w:val="00FC6D87"/>
    <w:rsid w:val="00FC6EE1"/>
    <w:rsid w:val="00FC70DF"/>
    <w:rsid w:val="00FC71D0"/>
    <w:rsid w:val="00FC741D"/>
    <w:rsid w:val="00FC76D8"/>
    <w:rsid w:val="00FC77CD"/>
    <w:rsid w:val="00FC7860"/>
    <w:rsid w:val="00FC7900"/>
    <w:rsid w:val="00FC7E0B"/>
    <w:rsid w:val="00FD0173"/>
    <w:rsid w:val="00FD0EE0"/>
    <w:rsid w:val="00FD11B1"/>
    <w:rsid w:val="00FD1390"/>
    <w:rsid w:val="00FD18E5"/>
    <w:rsid w:val="00FD18F0"/>
    <w:rsid w:val="00FD22BE"/>
    <w:rsid w:val="00FD241A"/>
    <w:rsid w:val="00FD256D"/>
    <w:rsid w:val="00FD2637"/>
    <w:rsid w:val="00FD2691"/>
    <w:rsid w:val="00FD2942"/>
    <w:rsid w:val="00FD2FC2"/>
    <w:rsid w:val="00FD30C0"/>
    <w:rsid w:val="00FD3179"/>
    <w:rsid w:val="00FD3412"/>
    <w:rsid w:val="00FD35FE"/>
    <w:rsid w:val="00FD3A3B"/>
    <w:rsid w:val="00FD3BE6"/>
    <w:rsid w:val="00FD3C15"/>
    <w:rsid w:val="00FD3DDF"/>
    <w:rsid w:val="00FD4350"/>
    <w:rsid w:val="00FD4864"/>
    <w:rsid w:val="00FD589E"/>
    <w:rsid w:val="00FD5919"/>
    <w:rsid w:val="00FD5E14"/>
    <w:rsid w:val="00FD6000"/>
    <w:rsid w:val="00FD6081"/>
    <w:rsid w:val="00FD6311"/>
    <w:rsid w:val="00FD6720"/>
    <w:rsid w:val="00FD6F40"/>
    <w:rsid w:val="00FD6FB3"/>
    <w:rsid w:val="00FD7074"/>
    <w:rsid w:val="00FD754D"/>
    <w:rsid w:val="00FD77DB"/>
    <w:rsid w:val="00FD7A9F"/>
    <w:rsid w:val="00FE0148"/>
    <w:rsid w:val="00FE0594"/>
    <w:rsid w:val="00FE0DF3"/>
    <w:rsid w:val="00FE12F1"/>
    <w:rsid w:val="00FE13E3"/>
    <w:rsid w:val="00FE14A4"/>
    <w:rsid w:val="00FE1765"/>
    <w:rsid w:val="00FE176D"/>
    <w:rsid w:val="00FE17E9"/>
    <w:rsid w:val="00FE1984"/>
    <w:rsid w:val="00FE20B6"/>
    <w:rsid w:val="00FE2249"/>
    <w:rsid w:val="00FE224A"/>
    <w:rsid w:val="00FE246A"/>
    <w:rsid w:val="00FE25FA"/>
    <w:rsid w:val="00FE297F"/>
    <w:rsid w:val="00FE2B94"/>
    <w:rsid w:val="00FE2E6B"/>
    <w:rsid w:val="00FE2F99"/>
    <w:rsid w:val="00FE2FDA"/>
    <w:rsid w:val="00FE3179"/>
    <w:rsid w:val="00FE3491"/>
    <w:rsid w:val="00FE3565"/>
    <w:rsid w:val="00FE370B"/>
    <w:rsid w:val="00FE3C86"/>
    <w:rsid w:val="00FE4242"/>
    <w:rsid w:val="00FE4F31"/>
    <w:rsid w:val="00FE5351"/>
    <w:rsid w:val="00FE58A5"/>
    <w:rsid w:val="00FE595C"/>
    <w:rsid w:val="00FE5BA8"/>
    <w:rsid w:val="00FE5E94"/>
    <w:rsid w:val="00FE5ED5"/>
    <w:rsid w:val="00FE66F1"/>
    <w:rsid w:val="00FE6A39"/>
    <w:rsid w:val="00FE6D91"/>
    <w:rsid w:val="00FE702B"/>
    <w:rsid w:val="00FE72AF"/>
    <w:rsid w:val="00FE77A1"/>
    <w:rsid w:val="00FE7B2D"/>
    <w:rsid w:val="00FE7C34"/>
    <w:rsid w:val="00FF022D"/>
    <w:rsid w:val="00FF05C5"/>
    <w:rsid w:val="00FF05C8"/>
    <w:rsid w:val="00FF11A5"/>
    <w:rsid w:val="00FF11E1"/>
    <w:rsid w:val="00FF1358"/>
    <w:rsid w:val="00FF152E"/>
    <w:rsid w:val="00FF1807"/>
    <w:rsid w:val="00FF1D04"/>
    <w:rsid w:val="00FF1DA9"/>
    <w:rsid w:val="00FF1DBF"/>
    <w:rsid w:val="00FF1EE9"/>
    <w:rsid w:val="00FF1F58"/>
    <w:rsid w:val="00FF2319"/>
    <w:rsid w:val="00FF2351"/>
    <w:rsid w:val="00FF23D2"/>
    <w:rsid w:val="00FF2983"/>
    <w:rsid w:val="00FF2F88"/>
    <w:rsid w:val="00FF2F90"/>
    <w:rsid w:val="00FF3397"/>
    <w:rsid w:val="00FF3444"/>
    <w:rsid w:val="00FF3545"/>
    <w:rsid w:val="00FF358B"/>
    <w:rsid w:val="00FF3592"/>
    <w:rsid w:val="00FF36D5"/>
    <w:rsid w:val="00FF3939"/>
    <w:rsid w:val="00FF3A09"/>
    <w:rsid w:val="00FF3BC2"/>
    <w:rsid w:val="00FF3BFC"/>
    <w:rsid w:val="00FF3C0E"/>
    <w:rsid w:val="00FF3D07"/>
    <w:rsid w:val="00FF40C6"/>
    <w:rsid w:val="00FF4209"/>
    <w:rsid w:val="00FF4251"/>
    <w:rsid w:val="00FF44F9"/>
    <w:rsid w:val="00FF45B9"/>
    <w:rsid w:val="00FF496D"/>
    <w:rsid w:val="00FF4A2B"/>
    <w:rsid w:val="00FF4B32"/>
    <w:rsid w:val="00FF518D"/>
    <w:rsid w:val="00FF5379"/>
    <w:rsid w:val="00FF5616"/>
    <w:rsid w:val="00FF57DC"/>
    <w:rsid w:val="00FF5B63"/>
    <w:rsid w:val="00FF604B"/>
    <w:rsid w:val="00FF630A"/>
    <w:rsid w:val="00FF65A0"/>
    <w:rsid w:val="00FF6BB5"/>
    <w:rsid w:val="00FF6DF9"/>
    <w:rsid w:val="00FF707E"/>
    <w:rsid w:val="00FF718D"/>
    <w:rsid w:val="00FF71E4"/>
    <w:rsid w:val="00FF79CC"/>
    <w:rsid w:val="00FF7A46"/>
    <w:rsid w:val="00FF7A8A"/>
    <w:rsid w:val="00FF7AC7"/>
    <w:rsid w:val="00FF7E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FEC8752"/>
  <w15:docId w15:val="{3610314E-E476-4EE6-9007-21A466226A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1366"/>
  </w:style>
  <w:style w:type="paragraph" w:styleId="Heading1">
    <w:name w:val="heading 1"/>
    <w:basedOn w:val="Normal"/>
    <w:next w:val="Normal"/>
    <w:link w:val="Heading1Char"/>
    <w:uiPriority w:val="9"/>
    <w:qFormat/>
    <w:rsid w:val="009C23BC"/>
    <w:pPr>
      <w:keepNext/>
      <w:keepLines/>
      <w:spacing w:before="480" w:after="0"/>
      <w:outlineLvl w:val="0"/>
    </w:pPr>
    <w:rPr>
      <w:rFonts w:ascii="Arial" w:eastAsiaTheme="majorEastAsia" w:hAnsi="Arial"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C23BC"/>
    <w:pPr>
      <w:keepNext/>
      <w:keepLines/>
      <w:spacing w:before="200" w:after="0"/>
      <w:outlineLvl w:val="1"/>
    </w:pPr>
    <w:rPr>
      <w:rFonts w:ascii="Arial" w:eastAsiaTheme="majorEastAsia" w:hAnsi="Arial" w:cstheme="majorBidi"/>
      <w:b/>
      <w:bCs/>
      <w:color w:val="4F81BD" w:themeColor="accent1"/>
      <w:sz w:val="26"/>
      <w:szCs w:val="26"/>
    </w:rPr>
  </w:style>
  <w:style w:type="paragraph" w:styleId="Heading3">
    <w:name w:val="heading 3"/>
    <w:basedOn w:val="Normal"/>
    <w:next w:val="Normal"/>
    <w:link w:val="Heading3Char"/>
    <w:uiPriority w:val="9"/>
    <w:unhideWhenUsed/>
    <w:qFormat/>
    <w:rsid w:val="009C23BC"/>
    <w:pPr>
      <w:keepNext/>
      <w:keepLines/>
      <w:spacing w:before="200" w:after="0"/>
      <w:outlineLvl w:val="2"/>
    </w:pPr>
    <w:rPr>
      <w:rFonts w:ascii="Arial" w:eastAsiaTheme="majorEastAsia" w:hAnsi="Arial" w:cstheme="majorBidi"/>
      <w:b/>
      <w:bCs/>
      <w:color w:val="4F81BD" w:themeColor="accent1"/>
      <w:sz w:val="24"/>
    </w:rPr>
  </w:style>
  <w:style w:type="paragraph" w:styleId="Heading4">
    <w:name w:val="heading 4"/>
    <w:basedOn w:val="Normal"/>
    <w:next w:val="Normal"/>
    <w:link w:val="Heading4Char"/>
    <w:uiPriority w:val="9"/>
    <w:unhideWhenUsed/>
    <w:qFormat/>
    <w:rsid w:val="009836D8"/>
    <w:pPr>
      <w:keepNext/>
      <w:keepLines/>
      <w:spacing w:before="200" w:after="0"/>
      <w:outlineLvl w:val="3"/>
    </w:pPr>
    <w:rPr>
      <w:rFonts w:ascii="Arial" w:eastAsiaTheme="majorEastAsia" w:hAnsi="Arial" w:cstheme="majorBidi"/>
      <w:b/>
      <w:bCs/>
      <w:iCs/>
      <w:color w:val="4F81BD" w:themeColor="accent1"/>
      <w:sz w:val="24"/>
    </w:rPr>
  </w:style>
  <w:style w:type="paragraph" w:styleId="Heading5">
    <w:name w:val="heading 5"/>
    <w:basedOn w:val="Normal"/>
    <w:next w:val="Normal"/>
    <w:link w:val="Heading5Char"/>
    <w:uiPriority w:val="9"/>
    <w:unhideWhenUsed/>
    <w:qFormat/>
    <w:rsid w:val="00E51DF2"/>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1C54D0"/>
    <w:pPr>
      <w:spacing w:after="0" w:line="240" w:lineRule="auto"/>
    </w:pPr>
    <w:rPr>
      <w:sz w:val="20"/>
      <w:szCs w:val="20"/>
    </w:rPr>
  </w:style>
  <w:style w:type="character" w:customStyle="1" w:styleId="FootnoteTextChar">
    <w:name w:val="Footnote Text Char"/>
    <w:basedOn w:val="DefaultParagraphFont"/>
    <w:link w:val="FootnoteText"/>
    <w:uiPriority w:val="99"/>
    <w:rsid w:val="001C54D0"/>
    <w:rPr>
      <w:sz w:val="20"/>
      <w:szCs w:val="20"/>
    </w:rPr>
  </w:style>
  <w:style w:type="character" w:styleId="FootnoteReference">
    <w:name w:val="footnote reference"/>
    <w:basedOn w:val="DefaultParagraphFont"/>
    <w:uiPriority w:val="99"/>
    <w:unhideWhenUsed/>
    <w:rsid w:val="001C54D0"/>
    <w:rPr>
      <w:vertAlign w:val="superscript"/>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1C54D0"/>
    <w:pPr>
      <w:ind w:left="720"/>
      <w:contextualSpacing/>
    </w:pPr>
  </w:style>
  <w:style w:type="table" w:styleId="TableGrid">
    <w:name w:val="Table Grid"/>
    <w:basedOn w:val="TableNormal"/>
    <w:uiPriority w:val="39"/>
    <w:rsid w:val="001C54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nhideWhenUsed/>
    <w:rsid w:val="00FB56B7"/>
    <w:rPr>
      <w:color w:val="0000FF" w:themeColor="hyperlink"/>
      <w:u w:val="single"/>
    </w:rPr>
  </w:style>
  <w:style w:type="paragraph" w:styleId="Header">
    <w:name w:val="header"/>
    <w:basedOn w:val="Normal"/>
    <w:link w:val="HeaderChar"/>
    <w:uiPriority w:val="99"/>
    <w:unhideWhenUsed/>
    <w:rsid w:val="00FE3179"/>
    <w:pPr>
      <w:tabs>
        <w:tab w:val="center" w:pos="4513"/>
        <w:tab w:val="right" w:pos="9026"/>
      </w:tabs>
      <w:spacing w:after="0" w:line="240" w:lineRule="auto"/>
    </w:pPr>
  </w:style>
  <w:style w:type="character" w:customStyle="1" w:styleId="HeaderChar">
    <w:name w:val="Header Char"/>
    <w:basedOn w:val="DefaultParagraphFont"/>
    <w:link w:val="Header"/>
    <w:uiPriority w:val="99"/>
    <w:rsid w:val="00FE3179"/>
  </w:style>
  <w:style w:type="paragraph" w:styleId="Footer">
    <w:name w:val="footer"/>
    <w:basedOn w:val="Normal"/>
    <w:link w:val="FooterChar"/>
    <w:uiPriority w:val="99"/>
    <w:unhideWhenUsed/>
    <w:rsid w:val="00FE3179"/>
    <w:pPr>
      <w:tabs>
        <w:tab w:val="center" w:pos="4513"/>
        <w:tab w:val="right" w:pos="9026"/>
      </w:tabs>
      <w:spacing w:after="0" w:line="240" w:lineRule="auto"/>
    </w:pPr>
  </w:style>
  <w:style w:type="character" w:customStyle="1" w:styleId="FooterChar">
    <w:name w:val="Footer Char"/>
    <w:basedOn w:val="DefaultParagraphFont"/>
    <w:link w:val="Footer"/>
    <w:uiPriority w:val="99"/>
    <w:rsid w:val="00FE3179"/>
  </w:style>
  <w:style w:type="character" w:styleId="EndnoteReference">
    <w:name w:val="endnote reference"/>
    <w:semiHidden/>
    <w:rsid w:val="00582A02"/>
    <w:rPr>
      <w:vertAlign w:val="superscript"/>
    </w:rPr>
  </w:style>
  <w:style w:type="paragraph" w:styleId="EndnoteText">
    <w:name w:val="endnote text"/>
    <w:basedOn w:val="Normal"/>
    <w:link w:val="EndnoteTextChar"/>
    <w:uiPriority w:val="99"/>
    <w:semiHidden/>
    <w:rsid w:val="00582A02"/>
    <w:pPr>
      <w:spacing w:after="0" w:line="240" w:lineRule="auto"/>
    </w:pPr>
    <w:rPr>
      <w:rFonts w:ascii="Times New Roman" w:eastAsia="Times New Roman" w:hAnsi="Times New Roman" w:cs="Times New Roman"/>
      <w:sz w:val="20"/>
      <w:szCs w:val="20"/>
      <w:lang w:eastAsia="en-GB"/>
    </w:rPr>
  </w:style>
  <w:style w:type="character" w:customStyle="1" w:styleId="EndnoteTextChar">
    <w:name w:val="Endnote Text Char"/>
    <w:basedOn w:val="DefaultParagraphFont"/>
    <w:link w:val="EndnoteText"/>
    <w:uiPriority w:val="99"/>
    <w:semiHidden/>
    <w:rsid w:val="00582A02"/>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sid w:val="00164DC2"/>
    <w:rPr>
      <w:sz w:val="16"/>
      <w:szCs w:val="16"/>
    </w:rPr>
  </w:style>
  <w:style w:type="paragraph" w:styleId="CommentText">
    <w:name w:val="annotation text"/>
    <w:basedOn w:val="Normal"/>
    <w:link w:val="CommentTextChar"/>
    <w:uiPriority w:val="99"/>
    <w:unhideWhenUsed/>
    <w:rsid w:val="00164DC2"/>
    <w:pPr>
      <w:spacing w:line="240" w:lineRule="auto"/>
    </w:pPr>
    <w:rPr>
      <w:sz w:val="20"/>
      <w:szCs w:val="20"/>
    </w:rPr>
  </w:style>
  <w:style w:type="character" w:customStyle="1" w:styleId="CommentTextChar">
    <w:name w:val="Comment Text Char"/>
    <w:basedOn w:val="DefaultParagraphFont"/>
    <w:link w:val="CommentText"/>
    <w:uiPriority w:val="99"/>
    <w:rsid w:val="00164DC2"/>
    <w:rPr>
      <w:sz w:val="20"/>
      <w:szCs w:val="20"/>
    </w:rPr>
  </w:style>
  <w:style w:type="paragraph" w:styleId="CommentSubject">
    <w:name w:val="annotation subject"/>
    <w:basedOn w:val="CommentText"/>
    <w:next w:val="CommentText"/>
    <w:link w:val="CommentSubjectChar"/>
    <w:uiPriority w:val="99"/>
    <w:semiHidden/>
    <w:unhideWhenUsed/>
    <w:rsid w:val="00164DC2"/>
    <w:rPr>
      <w:b/>
      <w:bCs/>
    </w:rPr>
  </w:style>
  <w:style w:type="character" w:customStyle="1" w:styleId="CommentSubjectChar">
    <w:name w:val="Comment Subject Char"/>
    <w:basedOn w:val="CommentTextChar"/>
    <w:link w:val="CommentSubject"/>
    <w:uiPriority w:val="99"/>
    <w:semiHidden/>
    <w:rsid w:val="00164DC2"/>
    <w:rPr>
      <w:b/>
      <w:bCs/>
      <w:sz w:val="20"/>
      <w:szCs w:val="20"/>
    </w:rPr>
  </w:style>
  <w:style w:type="paragraph" w:styleId="BalloonText">
    <w:name w:val="Balloon Text"/>
    <w:basedOn w:val="Normal"/>
    <w:link w:val="BalloonTextChar"/>
    <w:uiPriority w:val="99"/>
    <w:semiHidden/>
    <w:unhideWhenUsed/>
    <w:rsid w:val="00164DC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4DC2"/>
    <w:rPr>
      <w:rFonts w:ascii="Tahoma" w:hAnsi="Tahoma" w:cs="Tahoma"/>
      <w:sz w:val="16"/>
      <w:szCs w:val="16"/>
    </w:rPr>
  </w:style>
  <w:style w:type="character" w:customStyle="1" w:styleId="Heading1Char">
    <w:name w:val="Heading 1 Char"/>
    <w:basedOn w:val="DefaultParagraphFont"/>
    <w:link w:val="Heading1"/>
    <w:uiPriority w:val="9"/>
    <w:rsid w:val="009C23BC"/>
    <w:rPr>
      <w:rFonts w:ascii="Arial" w:eastAsiaTheme="majorEastAsia" w:hAnsi="Arial" w:cstheme="majorBidi"/>
      <w:b/>
      <w:bCs/>
      <w:color w:val="365F91" w:themeColor="accent1" w:themeShade="BF"/>
      <w:sz w:val="28"/>
      <w:szCs w:val="28"/>
    </w:rPr>
  </w:style>
  <w:style w:type="paragraph" w:styleId="TOCHeading">
    <w:name w:val="TOC Heading"/>
    <w:basedOn w:val="Heading1"/>
    <w:next w:val="Normal"/>
    <w:uiPriority w:val="39"/>
    <w:unhideWhenUsed/>
    <w:qFormat/>
    <w:rsid w:val="00A27696"/>
    <w:pPr>
      <w:outlineLvl w:val="9"/>
    </w:pPr>
    <w:rPr>
      <w:lang w:val="en-US" w:eastAsia="ja-JP"/>
    </w:rPr>
  </w:style>
  <w:style w:type="paragraph" w:customStyle="1" w:styleId="Default">
    <w:name w:val="Default"/>
    <w:rsid w:val="00422564"/>
    <w:pPr>
      <w:autoSpaceDE w:val="0"/>
      <w:autoSpaceDN w:val="0"/>
      <w:adjustRightInd w:val="0"/>
      <w:spacing w:after="0" w:line="240" w:lineRule="auto"/>
    </w:pPr>
    <w:rPr>
      <w:rFonts w:ascii="Arial" w:hAnsi="Arial" w:cs="Arial"/>
      <w:color w:val="000000"/>
      <w:sz w:val="24"/>
      <w:szCs w:val="24"/>
    </w:rPr>
  </w:style>
  <w:style w:type="table" w:styleId="LightShading-Accent5">
    <w:name w:val="Light Shading Accent 5"/>
    <w:basedOn w:val="TableNormal"/>
    <w:uiPriority w:val="60"/>
    <w:rsid w:val="00C326DD"/>
    <w:pPr>
      <w:spacing w:after="0" w:line="240" w:lineRule="auto"/>
    </w:pPr>
    <w:rPr>
      <w:color w:val="31849B" w:themeColor="accent5" w:themeShade="BF"/>
    </w:rPr>
    <w:tblPr>
      <w:tblStyleRowBandSize w:val="1"/>
      <w:tblStyleColBandSize w:val="1"/>
      <w:tblInd w:w="0" w:type="nil"/>
      <w:tblBorders>
        <w:top w:val="single" w:sz="8" w:space="0" w:color="4BACC6" w:themeColor="accent5"/>
        <w:bottom w:val="single" w:sz="8" w:space="0" w:color="4BACC6" w:themeColor="accent5"/>
      </w:tblBorders>
    </w:tblPr>
    <w:tblStylePr w:type="firstRow">
      <w:pPr>
        <w:spacing w:beforeLines="0" w:before="0" w:beforeAutospacing="0" w:afterLines="0" w:after="0" w:afterAutospacing="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NormalWeb">
    <w:name w:val="Normal (Web)"/>
    <w:basedOn w:val="Normal"/>
    <w:uiPriority w:val="99"/>
    <w:unhideWhenUsed/>
    <w:rsid w:val="00276A1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09221B"/>
    <w:rPr>
      <w:b/>
      <w:bCs/>
    </w:rPr>
  </w:style>
  <w:style w:type="paragraph" w:styleId="TOC1">
    <w:name w:val="toc 1"/>
    <w:basedOn w:val="Normal"/>
    <w:next w:val="Normal"/>
    <w:autoRedefine/>
    <w:uiPriority w:val="39"/>
    <w:unhideWhenUsed/>
    <w:rsid w:val="00562C2A"/>
    <w:pPr>
      <w:tabs>
        <w:tab w:val="right" w:leader="dot" w:pos="9016"/>
      </w:tabs>
      <w:spacing w:after="100"/>
    </w:pPr>
    <w:rPr>
      <w:rFonts w:ascii="Arial" w:hAnsi="Arial" w:cs="Arial"/>
      <w:noProof/>
      <w:sz w:val="24"/>
      <w:szCs w:val="24"/>
    </w:rPr>
  </w:style>
  <w:style w:type="character" w:customStyle="1" w:styleId="Heading2Char">
    <w:name w:val="Heading 2 Char"/>
    <w:basedOn w:val="DefaultParagraphFont"/>
    <w:link w:val="Heading2"/>
    <w:uiPriority w:val="9"/>
    <w:rsid w:val="009C23BC"/>
    <w:rPr>
      <w:rFonts w:ascii="Arial" w:eastAsiaTheme="majorEastAsia" w:hAnsi="Arial" w:cstheme="majorBidi"/>
      <w:b/>
      <w:bCs/>
      <w:color w:val="4F81BD" w:themeColor="accent1"/>
      <w:sz w:val="26"/>
      <w:szCs w:val="26"/>
    </w:rPr>
  </w:style>
  <w:style w:type="paragraph" w:styleId="TOC2">
    <w:name w:val="toc 2"/>
    <w:basedOn w:val="Normal"/>
    <w:next w:val="Normal"/>
    <w:autoRedefine/>
    <w:uiPriority w:val="39"/>
    <w:unhideWhenUsed/>
    <w:rsid w:val="009C23BC"/>
    <w:pPr>
      <w:spacing w:after="100"/>
      <w:ind w:left="220"/>
    </w:pPr>
  </w:style>
  <w:style w:type="character" w:customStyle="1" w:styleId="Heading3Char">
    <w:name w:val="Heading 3 Char"/>
    <w:basedOn w:val="DefaultParagraphFont"/>
    <w:link w:val="Heading3"/>
    <w:uiPriority w:val="9"/>
    <w:rsid w:val="009C23BC"/>
    <w:rPr>
      <w:rFonts w:ascii="Arial" w:eastAsiaTheme="majorEastAsia" w:hAnsi="Arial" w:cstheme="majorBidi"/>
      <w:b/>
      <w:bCs/>
      <w:color w:val="4F81BD" w:themeColor="accent1"/>
      <w:sz w:val="24"/>
    </w:rPr>
  </w:style>
  <w:style w:type="paragraph" w:styleId="TOC3">
    <w:name w:val="toc 3"/>
    <w:basedOn w:val="Normal"/>
    <w:next w:val="Normal"/>
    <w:autoRedefine/>
    <w:uiPriority w:val="39"/>
    <w:unhideWhenUsed/>
    <w:rsid w:val="009836D8"/>
    <w:pPr>
      <w:spacing w:after="100"/>
      <w:ind w:left="440"/>
    </w:pPr>
  </w:style>
  <w:style w:type="character" w:customStyle="1" w:styleId="Heading4Char">
    <w:name w:val="Heading 4 Char"/>
    <w:basedOn w:val="DefaultParagraphFont"/>
    <w:link w:val="Heading4"/>
    <w:uiPriority w:val="9"/>
    <w:rsid w:val="009836D8"/>
    <w:rPr>
      <w:rFonts w:ascii="Arial" w:eastAsiaTheme="majorEastAsia" w:hAnsi="Arial" w:cstheme="majorBidi"/>
      <w:b/>
      <w:bCs/>
      <w:iCs/>
      <w:color w:val="4F81BD" w:themeColor="accent1"/>
      <w:sz w:val="24"/>
    </w:rPr>
  </w:style>
  <w:style w:type="paragraph" w:styleId="TOC4">
    <w:name w:val="toc 4"/>
    <w:basedOn w:val="Normal"/>
    <w:next w:val="Normal"/>
    <w:autoRedefine/>
    <w:uiPriority w:val="39"/>
    <w:unhideWhenUsed/>
    <w:rsid w:val="00775CFA"/>
    <w:pPr>
      <w:spacing w:after="100"/>
      <w:ind w:left="660"/>
    </w:pPr>
    <w:rPr>
      <w:rFonts w:eastAsiaTheme="minorEastAsia"/>
      <w:lang w:eastAsia="en-GB"/>
    </w:rPr>
  </w:style>
  <w:style w:type="paragraph" w:styleId="TOC5">
    <w:name w:val="toc 5"/>
    <w:basedOn w:val="Normal"/>
    <w:next w:val="Normal"/>
    <w:autoRedefine/>
    <w:uiPriority w:val="39"/>
    <w:unhideWhenUsed/>
    <w:rsid w:val="00775CFA"/>
    <w:pPr>
      <w:spacing w:after="100"/>
      <w:ind w:left="880"/>
    </w:pPr>
    <w:rPr>
      <w:rFonts w:eastAsiaTheme="minorEastAsia"/>
      <w:lang w:eastAsia="en-GB"/>
    </w:rPr>
  </w:style>
  <w:style w:type="paragraph" w:styleId="TOC6">
    <w:name w:val="toc 6"/>
    <w:basedOn w:val="Normal"/>
    <w:next w:val="Normal"/>
    <w:autoRedefine/>
    <w:uiPriority w:val="39"/>
    <w:unhideWhenUsed/>
    <w:rsid w:val="00775CFA"/>
    <w:pPr>
      <w:spacing w:after="100"/>
      <w:ind w:left="1100"/>
    </w:pPr>
    <w:rPr>
      <w:rFonts w:eastAsiaTheme="minorEastAsia"/>
      <w:lang w:eastAsia="en-GB"/>
    </w:rPr>
  </w:style>
  <w:style w:type="paragraph" w:styleId="TOC7">
    <w:name w:val="toc 7"/>
    <w:basedOn w:val="Normal"/>
    <w:next w:val="Normal"/>
    <w:autoRedefine/>
    <w:uiPriority w:val="39"/>
    <w:unhideWhenUsed/>
    <w:rsid w:val="00775CFA"/>
    <w:pPr>
      <w:spacing w:after="100"/>
      <w:ind w:left="1320"/>
    </w:pPr>
    <w:rPr>
      <w:rFonts w:eastAsiaTheme="minorEastAsia"/>
      <w:lang w:eastAsia="en-GB"/>
    </w:rPr>
  </w:style>
  <w:style w:type="paragraph" w:styleId="TOC8">
    <w:name w:val="toc 8"/>
    <w:basedOn w:val="Normal"/>
    <w:next w:val="Normal"/>
    <w:autoRedefine/>
    <w:uiPriority w:val="39"/>
    <w:unhideWhenUsed/>
    <w:rsid w:val="00775CFA"/>
    <w:pPr>
      <w:spacing w:after="100"/>
      <w:ind w:left="1540"/>
    </w:pPr>
    <w:rPr>
      <w:rFonts w:eastAsiaTheme="minorEastAsia"/>
      <w:lang w:eastAsia="en-GB"/>
    </w:rPr>
  </w:style>
  <w:style w:type="paragraph" w:styleId="TOC9">
    <w:name w:val="toc 9"/>
    <w:basedOn w:val="Normal"/>
    <w:next w:val="Normal"/>
    <w:autoRedefine/>
    <w:uiPriority w:val="39"/>
    <w:unhideWhenUsed/>
    <w:rsid w:val="00775CFA"/>
    <w:pPr>
      <w:spacing w:after="100"/>
      <w:ind w:left="1760"/>
    </w:pPr>
    <w:rPr>
      <w:rFonts w:eastAsiaTheme="minorEastAsia"/>
      <w:lang w:eastAsia="en-GB"/>
    </w:rPr>
  </w:style>
  <w:style w:type="paragraph" w:customStyle="1" w:styleId="BodyofPNA">
    <w:name w:val="Body of PNA"/>
    <w:basedOn w:val="Normal"/>
    <w:link w:val="BodyofPNAChar"/>
    <w:rsid w:val="00497DE2"/>
    <w:rPr>
      <w:rFonts w:ascii="Arial" w:hAnsi="Arial"/>
      <w:sz w:val="24"/>
    </w:rPr>
  </w:style>
  <w:style w:type="character" w:customStyle="1" w:styleId="BodyofPNAChar">
    <w:name w:val="Body of PNA Char"/>
    <w:basedOn w:val="DefaultParagraphFont"/>
    <w:link w:val="BodyofPNA"/>
    <w:rsid w:val="00497DE2"/>
    <w:rPr>
      <w:rFonts w:ascii="Arial" w:hAnsi="Arial"/>
      <w:sz w:val="24"/>
    </w:rPr>
  </w:style>
  <w:style w:type="paragraph" w:customStyle="1" w:styleId="NewbodyofPNA">
    <w:name w:val="New body of PNA"/>
    <w:basedOn w:val="BodyofPNA"/>
    <w:link w:val="NewbodyofPNAChar"/>
    <w:qFormat/>
    <w:rsid w:val="00497DE2"/>
    <w:pPr>
      <w:spacing w:after="0"/>
    </w:pPr>
  </w:style>
  <w:style w:type="character" w:customStyle="1" w:styleId="NewbodyofPNAChar">
    <w:name w:val="New body of PNA Char"/>
    <w:basedOn w:val="BodyofPNAChar"/>
    <w:link w:val="NewbodyofPNA"/>
    <w:rsid w:val="00497DE2"/>
    <w:rPr>
      <w:rFonts w:ascii="Arial" w:hAnsi="Arial"/>
      <w:sz w:val="24"/>
    </w:rPr>
  </w:style>
  <w:style w:type="table" w:customStyle="1" w:styleId="TableGrid1">
    <w:name w:val="Table Grid1"/>
    <w:basedOn w:val="TableNormal"/>
    <w:next w:val="TableGrid"/>
    <w:uiPriority w:val="59"/>
    <w:rsid w:val="00D43C66"/>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188"/>
    <w:rPr>
      <w:color w:val="800080" w:themeColor="followedHyperlink"/>
      <w:u w:val="single"/>
    </w:rPr>
  </w:style>
  <w:style w:type="table" w:customStyle="1" w:styleId="TableGrid2">
    <w:name w:val="Table Grid2"/>
    <w:basedOn w:val="TableNormal"/>
    <w:next w:val="TableGrid"/>
    <w:uiPriority w:val="59"/>
    <w:rsid w:val="00035795"/>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7">
    <w:name w:val="xl67"/>
    <w:basedOn w:val="Normal"/>
    <w:uiPriority w:val="99"/>
    <w:rsid w:val="000114FB"/>
    <w:pPr>
      <w:spacing w:before="100" w:beforeAutospacing="1" w:after="100" w:afterAutospacing="1" w:line="240" w:lineRule="auto"/>
    </w:pPr>
    <w:rPr>
      <w:rFonts w:ascii="Arial" w:eastAsia="Times New Roman" w:hAnsi="Arial" w:cs="Arial"/>
      <w:sz w:val="24"/>
      <w:szCs w:val="24"/>
      <w:lang w:eastAsia="en-GB"/>
    </w:rPr>
  </w:style>
  <w:style w:type="paragraph" w:customStyle="1" w:styleId="xl68">
    <w:name w:val="xl68"/>
    <w:basedOn w:val="Normal"/>
    <w:uiPriority w:val="99"/>
    <w:rsid w:val="000114F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uiPriority w:val="99"/>
    <w:rsid w:val="000114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20"/>
      <w:szCs w:val="20"/>
      <w:lang w:eastAsia="en-GB"/>
    </w:rPr>
  </w:style>
  <w:style w:type="paragraph" w:customStyle="1" w:styleId="xl70">
    <w:name w:val="xl70"/>
    <w:basedOn w:val="Normal"/>
    <w:uiPriority w:val="99"/>
    <w:rsid w:val="000114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0"/>
      <w:szCs w:val="20"/>
      <w:lang w:eastAsia="en-GB"/>
    </w:rPr>
  </w:style>
  <w:style w:type="paragraph" w:customStyle="1" w:styleId="xl71">
    <w:name w:val="xl71"/>
    <w:basedOn w:val="Normal"/>
    <w:uiPriority w:val="99"/>
    <w:rsid w:val="000114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0"/>
      <w:szCs w:val="20"/>
      <w:lang w:eastAsia="en-GB"/>
    </w:rPr>
  </w:style>
  <w:style w:type="paragraph" w:customStyle="1" w:styleId="xl72">
    <w:name w:val="xl72"/>
    <w:basedOn w:val="Normal"/>
    <w:uiPriority w:val="99"/>
    <w:rsid w:val="000114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20"/>
      <w:szCs w:val="20"/>
      <w:lang w:eastAsia="en-GB"/>
    </w:rPr>
  </w:style>
  <w:style w:type="paragraph" w:customStyle="1" w:styleId="xl73">
    <w:name w:val="xl73"/>
    <w:basedOn w:val="Normal"/>
    <w:uiPriority w:val="99"/>
    <w:rsid w:val="000114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4"/>
      <w:szCs w:val="24"/>
      <w:lang w:eastAsia="en-GB"/>
    </w:rPr>
  </w:style>
  <w:style w:type="paragraph" w:customStyle="1" w:styleId="xl74">
    <w:name w:val="xl74"/>
    <w:basedOn w:val="Normal"/>
    <w:uiPriority w:val="99"/>
    <w:rsid w:val="000114F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20"/>
      <w:szCs w:val="20"/>
      <w:lang w:eastAsia="en-GB"/>
    </w:rPr>
  </w:style>
  <w:style w:type="paragraph" w:customStyle="1" w:styleId="xl75">
    <w:name w:val="xl75"/>
    <w:basedOn w:val="Normal"/>
    <w:uiPriority w:val="99"/>
    <w:rsid w:val="000114F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sz w:val="20"/>
      <w:szCs w:val="20"/>
      <w:lang w:eastAsia="en-GB"/>
    </w:rPr>
  </w:style>
  <w:style w:type="paragraph" w:customStyle="1" w:styleId="xl76">
    <w:name w:val="xl76"/>
    <w:basedOn w:val="Normal"/>
    <w:uiPriority w:val="99"/>
    <w:rsid w:val="000114F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sz w:val="20"/>
      <w:szCs w:val="20"/>
      <w:lang w:eastAsia="en-GB"/>
    </w:rPr>
  </w:style>
  <w:style w:type="paragraph" w:customStyle="1" w:styleId="xl77">
    <w:name w:val="xl77"/>
    <w:basedOn w:val="Normal"/>
    <w:uiPriority w:val="99"/>
    <w:rsid w:val="000114F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20"/>
      <w:szCs w:val="20"/>
      <w:lang w:eastAsia="en-GB"/>
    </w:rPr>
  </w:style>
  <w:style w:type="paragraph" w:customStyle="1" w:styleId="xl78">
    <w:name w:val="xl78"/>
    <w:basedOn w:val="Normal"/>
    <w:uiPriority w:val="99"/>
    <w:rsid w:val="000114F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79">
    <w:name w:val="xl79"/>
    <w:basedOn w:val="Normal"/>
    <w:uiPriority w:val="99"/>
    <w:rsid w:val="000114F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000000"/>
      <w:sz w:val="20"/>
      <w:szCs w:val="20"/>
      <w:lang w:eastAsia="en-GB"/>
    </w:rPr>
  </w:style>
  <w:style w:type="paragraph" w:customStyle="1" w:styleId="xl80">
    <w:name w:val="xl80"/>
    <w:basedOn w:val="Normal"/>
    <w:uiPriority w:val="99"/>
    <w:rsid w:val="000114F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000000"/>
      <w:sz w:val="20"/>
      <w:szCs w:val="20"/>
      <w:lang w:eastAsia="en-GB"/>
    </w:rPr>
  </w:style>
  <w:style w:type="paragraph" w:customStyle="1" w:styleId="xl81">
    <w:name w:val="xl81"/>
    <w:basedOn w:val="Normal"/>
    <w:uiPriority w:val="99"/>
    <w:rsid w:val="000114F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000000"/>
      <w:sz w:val="20"/>
      <w:szCs w:val="20"/>
      <w:lang w:eastAsia="en-GB"/>
    </w:rPr>
  </w:style>
  <w:style w:type="paragraph" w:customStyle="1" w:styleId="xl82">
    <w:name w:val="xl82"/>
    <w:basedOn w:val="Normal"/>
    <w:uiPriority w:val="99"/>
    <w:rsid w:val="000114F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000000"/>
      <w:sz w:val="20"/>
      <w:szCs w:val="20"/>
      <w:lang w:eastAsia="en-GB"/>
    </w:rPr>
  </w:style>
  <w:style w:type="paragraph" w:customStyle="1" w:styleId="xl83">
    <w:name w:val="xl83"/>
    <w:basedOn w:val="Normal"/>
    <w:uiPriority w:val="99"/>
    <w:rsid w:val="000114F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uiPriority w:val="99"/>
    <w:rsid w:val="000114F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uiPriority w:val="99"/>
    <w:rsid w:val="000114F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6">
    <w:name w:val="xl86"/>
    <w:basedOn w:val="Normal"/>
    <w:uiPriority w:val="99"/>
    <w:rsid w:val="000114F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7">
    <w:name w:val="xl87"/>
    <w:basedOn w:val="Normal"/>
    <w:uiPriority w:val="99"/>
    <w:rsid w:val="000114F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4"/>
      <w:szCs w:val="24"/>
      <w:lang w:eastAsia="en-GB"/>
    </w:rPr>
  </w:style>
  <w:style w:type="character" w:customStyle="1" w:styleId="Heading5Char">
    <w:name w:val="Heading 5 Char"/>
    <w:basedOn w:val="DefaultParagraphFont"/>
    <w:link w:val="Heading5"/>
    <w:uiPriority w:val="9"/>
    <w:rsid w:val="00E51DF2"/>
    <w:rPr>
      <w:rFonts w:asciiTheme="majorHAnsi" w:eastAsiaTheme="majorEastAsia" w:hAnsiTheme="majorHAnsi" w:cstheme="majorBidi"/>
      <w:color w:val="365F91" w:themeColor="accent1" w:themeShade="BF"/>
    </w:rPr>
  </w:style>
  <w:style w:type="character" w:customStyle="1" w:styleId="zw-portion">
    <w:name w:val="zw-portion"/>
    <w:basedOn w:val="DefaultParagraphFont"/>
    <w:rsid w:val="00246B36"/>
  </w:style>
  <w:style w:type="character" w:customStyle="1" w:styleId="eop">
    <w:name w:val="eop"/>
    <w:basedOn w:val="DefaultParagraphFont"/>
    <w:rsid w:val="00246B36"/>
  </w:style>
  <w:style w:type="paragraph" w:styleId="Revision">
    <w:name w:val="Revision"/>
    <w:hidden/>
    <w:uiPriority w:val="99"/>
    <w:semiHidden/>
    <w:rsid w:val="0040523F"/>
    <w:pPr>
      <w:spacing w:after="0" w:line="240" w:lineRule="auto"/>
    </w:pPr>
  </w:style>
  <w:style w:type="paragraph" w:styleId="Caption">
    <w:name w:val="caption"/>
    <w:basedOn w:val="Normal"/>
    <w:next w:val="Normal"/>
    <w:uiPriority w:val="99"/>
    <w:qFormat/>
    <w:rsid w:val="00215988"/>
    <w:pPr>
      <w:keepNext/>
      <w:spacing w:before="120" w:after="120" w:line="240" w:lineRule="auto"/>
      <w:jc w:val="center"/>
    </w:pPr>
    <w:rPr>
      <w:rFonts w:ascii="Verdana" w:eastAsia="Times New Roman" w:hAnsi="Verdana" w:cs="Times New Roman"/>
      <w:b/>
      <w:sz w:val="24"/>
      <w:szCs w:val="20"/>
    </w:rPr>
  </w:style>
  <w:style w:type="paragraph" w:styleId="NoSpacing">
    <w:name w:val="No Spacing"/>
    <w:link w:val="NoSpacingChar"/>
    <w:uiPriority w:val="1"/>
    <w:qFormat/>
    <w:rsid w:val="00215988"/>
    <w:pPr>
      <w:spacing w:after="0" w:line="240" w:lineRule="auto"/>
      <w:jc w:val="both"/>
    </w:pPr>
    <w:rPr>
      <w:rFonts w:ascii="Verdana" w:eastAsia="Times New Roman" w:hAnsi="Verdana" w:cs="Times New Roman"/>
      <w:sz w:val="24"/>
      <w:szCs w:val="20"/>
    </w:rPr>
  </w:style>
  <w:style w:type="character" w:customStyle="1" w:styleId="NoSpacingChar">
    <w:name w:val="No Spacing Char"/>
    <w:basedOn w:val="DefaultParagraphFont"/>
    <w:link w:val="NoSpacing"/>
    <w:uiPriority w:val="1"/>
    <w:rsid w:val="00215988"/>
    <w:rPr>
      <w:rFonts w:ascii="Verdana" w:eastAsia="Times New Roman" w:hAnsi="Verdana" w:cs="Times New Roman"/>
      <w:sz w:val="24"/>
      <w:szCs w:val="20"/>
    </w:rPr>
  </w:style>
  <w:style w:type="paragraph" w:customStyle="1" w:styleId="breadcrumb-bulletinsitem">
    <w:name w:val="breadcrumb-bulletins__item"/>
    <w:basedOn w:val="Normal"/>
    <w:uiPriority w:val="99"/>
    <w:rsid w:val="007E2E3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ableofFigures">
    <w:name w:val="table of figures"/>
    <w:basedOn w:val="Normal"/>
    <w:next w:val="Normal"/>
    <w:uiPriority w:val="99"/>
    <w:unhideWhenUsed/>
    <w:rsid w:val="00247F9C"/>
    <w:pPr>
      <w:spacing w:after="0"/>
    </w:pPr>
  </w:style>
  <w:style w:type="character" w:customStyle="1" w:styleId="UnresolvedMention1">
    <w:name w:val="Unresolved Mention1"/>
    <w:basedOn w:val="DefaultParagraphFont"/>
    <w:uiPriority w:val="99"/>
    <w:semiHidden/>
    <w:unhideWhenUsed/>
    <w:rsid w:val="005B33D6"/>
    <w:rPr>
      <w:color w:val="605E5C"/>
      <w:shd w:val="clear" w:color="auto" w:fill="E1DFDD"/>
    </w:rPr>
  </w:style>
  <w:style w:type="character" w:styleId="Emphasis">
    <w:name w:val="Emphasis"/>
    <w:basedOn w:val="DefaultParagraphFont"/>
    <w:uiPriority w:val="20"/>
    <w:qFormat/>
    <w:rsid w:val="004C52DD"/>
    <w:rPr>
      <w:i/>
      <w:iCs/>
    </w:rPr>
  </w:style>
  <w:style w:type="paragraph" w:customStyle="1" w:styleId="x819297522msolistparagraph">
    <w:name w:val="x_819297522msolistparagraph"/>
    <w:basedOn w:val="Normal"/>
    <w:uiPriority w:val="99"/>
    <w:rsid w:val="004763A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526CA1"/>
  </w:style>
  <w:style w:type="paragraph" w:customStyle="1" w:styleId="x-1489428738msonospacing">
    <w:name w:val="x_-1489428738msonospacing"/>
    <w:basedOn w:val="Normal"/>
    <w:uiPriority w:val="99"/>
    <w:rsid w:val="003941C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1489428738msolistparagraph">
    <w:name w:val="x_-1489428738msolistparagraph"/>
    <w:basedOn w:val="Normal"/>
    <w:uiPriority w:val="99"/>
    <w:rsid w:val="003941C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362835653size">
    <w:name w:val="x_362835653size"/>
    <w:basedOn w:val="DefaultParagraphFont"/>
    <w:rsid w:val="00316DE5"/>
  </w:style>
  <w:style w:type="paragraph" w:customStyle="1" w:styleId="p">
    <w:name w:val="p"/>
    <w:basedOn w:val="Normal"/>
    <w:uiPriority w:val="99"/>
    <w:rsid w:val="002D1E81"/>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GridTable4-Accent2">
    <w:name w:val="Grid Table 4 Accent 2"/>
    <w:basedOn w:val="TableNormal"/>
    <w:uiPriority w:val="49"/>
    <w:rsid w:val="0038655A"/>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paragraph" w:customStyle="1" w:styleId="x-1554670488msolistparagraph">
    <w:name w:val="x_-1554670488msolistparagraph"/>
    <w:basedOn w:val="Normal"/>
    <w:uiPriority w:val="99"/>
    <w:rsid w:val="0000081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452126789size">
    <w:name w:val="x_-452126789size"/>
    <w:basedOn w:val="DefaultParagraphFont"/>
    <w:rsid w:val="00866797"/>
  </w:style>
  <w:style w:type="character" w:customStyle="1" w:styleId="x-452126789highlight">
    <w:name w:val="x_-452126789highlight"/>
    <w:basedOn w:val="DefaultParagraphFont"/>
    <w:rsid w:val="00866797"/>
  </w:style>
  <w:style w:type="character" w:customStyle="1" w:styleId="x-452126789font">
    <w:name w:val="x_-452126789font"/>
    <w:basedOn w:val="DefaultParagraphFont"/>
    <w:rsid w:val="008A21B5"/>
  </w:style>
  <w:style w:type="paragraph" w:customStyle="1" w:styleId="actionitem">
    <w:name w:val="actionitem"/>
    <w:basedOn w:val="Normal"/>
    <w:uiPriority w:val="99"/>
    <w:rsid w:val="007D54A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1565784400x-1896074302size">
    <w:name w:val="x_-1565784400x-1896074302size"/>
    <w:basedOn w:val="DefaultParagraphFont"/>
    <w:rsid w:val="00C30461"/>
  </w:style>
  <w:style w:type="character" w:customStyle="1" w:styleId="x-1565784400x-1896074302highlight">
    <w:name w:val="x_-1565784400x-1896074302highlight"/>
    <w:basedOn w:val="DefaultParagraphFont"/>
    <w:rsid w:val="00C30461"/>
  </w:style>
  <w:style w:type="character" w:customStyle="1" w:styleId="x-1565784400x-1896074302x1364097939font">
    <w:name w:val="x_-1565784400x-1896074302x1364097939font"/>
    <w:basedOn w:val="DefaultParagraphFont"/>
    <w:rsid w:val="00C30461"/>
  </w:style>
  <w:style w:type="character" w:customStyle="1" w:styleId="x-1763367276colour">
    <w:name w:val="x_-1763367276colour"/>
    <w:basedOn w:val="DefaultParagraphFont"/>
    <w:rsid w:val="0051053D"/>
  </w:style>
  <w:style w:type="paragraph" w:customStyle="1" w:styleId="msonormal0">
    <w:name w:val="msonormal"/>
    <w:basedOn w:val="Normal"/>
    <w:uiPriority w:val="99"/>
    <w:rsid w:val="00C021D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ndnoteTextChar1">
    <w:name w:val="Endnote Text Char1"/>
    <w:basedOn w:val="DefaultParagraphFont"/>
    <w:semiHidden/>
    <w:rsid w:val="00C021D9"/>
    <w:rPr>
      <w:sz w:val="20"/>
      <w:szCs w:val="20"/>
    </w:rPr>
  </w:style>
  <w:style w:type="character" w:styleId="LineNumber">
    <w:name w:val="line number"/>
    <w:basedOn w:val="DefaultParagraphFont"/>
    <w:uiPriority w:val="99"/>
    <w:semiHidden/>
    <w:unhideWhenUsed/>
    <w:rsid w:val="00FA61D2"/>
  </w:style>
  <w:style w:type="paragraph" w:customStyle="1" w:styleId="x1839973775msolistparagraph">
    <w:name w:val="x_1839973775msolistparagraph"/>
    <w:basedOn w:val="Normal"/>
    <w:rsid w:val="0032040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PageNumber">
    <w:name w:val="page number"/>
    <w:basedOn w:val="DefaultParagraphFont"/>
    <w:rsid w:val="00320401"/>
  </w:style>
  <w:style w:type="character" w:customStyle="1" w:styleId="None">
    <w:name w:val="None"/>
    <w:rsid w:val="00320401"/>
  </w:style>
  <w:style w:type="character" w:customStyle="1" w:styleId="Hyperlink0">
    <w:name w:val="Hyperlink.0"/>
    <w:basedOn w:val="None"/>
    <w:rsid w:val="00320401"/>
    <w:rPr>
      <w:rFonts w:ascii="Helvetica Neue" w:eastAsia="Helvetica Neue" w:hAnsi="Helvetica Neue" w:cs="Helvetica Neue"/>
      <w:sz w:val="22"/>
      <w:szCs w:val="22"/>
      <w:u w:val="single"/>
      <w14:textOutline w14:w="12700" w14:cap="flat" w14:cmpd="sng" w14:algn="ctr">
        <w14:noFill/>
        <w14:prstDash w14:val="solid"/>
        <w14:miter w14:lim="400000"/>
      </w14:textOutline>
    </w:rPr>
  </w:style>
  <w:style w:type="character" w:customStyle="1" w:styleId="topic-highlight">
    <w:name w:val="topic-highlight"/>
    <w:basedOn w:val="DefaultParagraphFont"/>
    <w:rsid w:val="00320401"/>
  </w:style>
  <w:style w:type="paragraph" w:customStyle="1" w:styleId="x1384270114msolistparagraph">
    <w:name w:val="x_1384270114msolistparagraph"/>
    <w:basedOn w:val="Normal"/>
    <w:rsid w:val="0032040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1555298002font">
    <w:name w:val="x_-1555298002font"/>
    <w:basedOn w:val="DefaultParagraphFont"/>
    <w:rsid w:val="00320401"/>
  </w:style>
  <w:style w:type="character" w:customStyle="1" w:styleId="x-1555298002highlight">
    <w:name w:val="x_-1555298002highlight"/>
    <w:basedOn w:val="DefaultParagraphFont"/>
    <w:rsid w:val="00320401"/>
  </w:style>
  <w:style w:type="character" w:customStyle="1" w:styleId="x932613881size">
    <w:name w:val="x_932613881size"/>
    <w:basedOn w:val="DefaultParagraphFont"/>
    <w:rsid w:val="003204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8238">
      <w:bodyDiv w:val="1"/>
      <w:marLeft w:val="0"/>
      <w:marRight w:val="0"/>
      <w:marTop w:val="0"/>
      <w:marBottom w:val="0"/>
      <w:divBdr>
        <w:top w:val="none" w:sz="0" w:space="0" w:color="auto"/>
        <w:left w:val="none" w:sz="0" w:space="0" w:color="auto"/>
        <w:bottom w:val="none" w:sz="0" w:space="0" w:color="auto"/>
        <w:right w:val="none" w:sz="0" w:space="0" w:color="auto"/>
      </w:divBdr>
    </w:div>
    <w:div w:id="9111312">
      <w:bodyDiv w:val="1"/>
      <w:marLeft w:val="0"/>
      <w:marRight w:val="0"/>
      <w:marTop w:val="0"/>
      <w:marBottom w:val="0"/>
      <w:divBdr>
        <w:top w:val="none" w:sz="0" w:space="0" w:color="auto"/>
        <w:left w:val="none" w:sz="0" w:space="0" w:color="auto"/>
        <w:bottom w:val="none" w:sz="0" w:space="0" w:color="auto"/>
        <w:right w:val="none" w:sz="0" w:space="0" w:color="auto"/>
      </w:divBdr>
    </w:div>
    <w:div w:id="9915200">
      <w:bodyDiv w:val="1"/>
      <w:marLeft w:val="0"/>
      <w:marRight w:val="0"/>
      <w:marTop w:val="0"/>
      <w:marBottom w:val="0"/>
      <w:divBdr>
        <w:top w:val="none" w:sz="0" w:space="0" w:color="auto"/>
        <w:left w:val="none" w:sz="0" w:space="0" w:color="auto"/>
        <w:bottom w:val="none" w:sz="0" w:space="0" w:color="auto"/>
        <w:right w:val="none" w:sz="0" w:space="0" w:color="auto"/>
      </w:divBdr>
    </w:div>
    <w:div w:id="22441506">
      <w:bodyDiv w:val="1"/>
      <w:marLeft w:val="0"/>
      <w:marRight w:val="0"/>
      <w:marTop w:val="0"/>
      <w:marBottom w:val="0"/>
      <w:divBdr>
        <w:top w:val="none" w:sz="0" w:space="0" w:color="auto"/>
        <w:left w:val="none" w:sz="0" w:space="0" w:color="auto"/>
        <w:bottom w:val="none" w:sz="0" w:space="0" w:color="auto"/>
        <w:right w:val="none" w:sz="0" w:space="0" w:color="auto"/>
      </w:divBdr>
    </w:div>
    <w:div w:id="32197479">
      <w:bodyDiv w:val="1"/>
      <w:marLeft w:val="0"/>
      <w:marRight w:val="0"/>
      <w:marTop w:val="0"/>
      <w:marBottom w:val="0"/>
      <w:divBdr>
        <w:top w:val="none" w:sz="0" w:space="0" w:color="auto"/>
        <w:left w:val="none" w:sz="0" w:space="0" w:color="auto"/>
        <w:bottom w:val="none" w:sz="0" w:space="0" w:color="auto"/>
        <w:right w:val="none" w:sz="0" w:space="0" w:color="auto"/>
      </w:divBdr>
    </w:div>
    <w:div w:id="35129274">
      <w:bodyDiv w:val="1"/>
      <w:marLeft w:val="0"/>
      <w:marRight w:val="0"/>
      <w:marTop w:val="0"/>
      <w:marBottom w:val="0"/>
      <w:divBdr>
        <w:top w:val="none" w:sz="0" w:space="0" w:color="auto"/>
        <w:left w:val="none" w:sz="0" w:space="0" w:color="auto"/>
        <w:bottom w:val="none" w:sz="0" w:space="0" w:color="auto"/>
        <w:right w:val="none" w:sz="0" w:space="0" w:color="auto"/>
      </w:divBdr>
    </w:div>
    <w:div w:id="35549642">
      <w:bodyDiv w:val="1"/>
      <w:marLeft w:val="0"/>
      <w:marRight w:val="0"/>
      <w:marTop w:val="0"/>
      <w:marBottom w:val="0"/>
      <w:divBdr>
        <w:top w:val="none" w:sz="0" w:space="0" w:color="auto"/>
        <w:left w:val="none" w:sz="0" w:space="0" w:color="auto"/>
        <w:bottom w:val="none" w:sz="0" w:space="0" w:color="auto"/>
        <w:right w:val="none" w:sz="0" w:space="0" w:color="auto"/>
      </w:divBdr>
    </w:div>
    <w:div w:id="42100053">
      <w:bodyDiv w:val="1"/>
      <w:marLeft w:val="0"/>
      <w:marRight w:val="0"/>
      <w:marTop w:val="0"/>
      <w:marBottom w:val="0"/>
      <w:divBdr>
        <w:top w:val="none" w:sz="0" w:space="0" w:color="auto"/>
        <w:left w:val="none" w:sz="0" w:space="0" w:color="auto"/>
        <w:bottom w:val="none" w:sz="0" w:space="0" w:color="auto"/>
        <w:right w:val="none" w:sz="0" w:space="0" w:color="auto"/>
      </w:divBdr>
    </w:div>
    <w:div w:id="52049679">
      <w:bodyDiv w:val="1"/>
      <w:marLeft w:val="0"/>
      <w:marRight w:val="0"/>
      <w:marTop w:val="0"/>
      <w:marBottom w:val="0"/>
      <w:divBdr>
        <w:top w:val="none" w:sz="0" w:space="0" w:color="auto"/>
        <w:left w:val="none" w:sz="0" w:space="0" w:color="auto"/>
        <w:bottom w:val="none" w:sz="0" w:space="0" w:color="auto"/>
        <w:right w:val="none" w:sz="0" w:space="0" w:color="auto"/>
      </w:divBdr>
    </w:div>
    <w:div w:id="54277950">
      <w:bodyDiv w:val="1"/>
      <w:marLeft w:val="0"/>
      <w:marRight w:val="0"/>
      <w:marTop w:val="0"/>
      <w:marBottom w:val="0"/>
      <w:divBdr>
        <w:top w:val="none" w:sz="0" w:space="0" w:color="auto"/>
        <w:left w:val="none" w:sz="0" w:space="0" w:color="auto"/>
        <w:bottom w:val="none" w:sz="0" w:space="0" w:color="auto"/>
        <w:right w:val="none" w:sz="0" w:space="0" w:color="auto"/>
      </w:divBdr>
    </w:div>
    <w:div w:id="57486028">
      <w:bodyDiv w:val="1"/>
      <w:marLeft w:val="0"/>
      <w:marRight w:val="0"/>
      <w:marTop w:val="0"/>
      <w:marBottom w:val="0"/>
      <w:divBdr>
        <w:top w:val="none" w:sz="0" w:space="0" w:color="auto"/>
        <w:left w:val="none" w:sz="0" w:space="0" w:color="auto"/>
        <w:bottom w:val="none" w:sz="0" w:space="0" w:color="auto"/>
        <w:right w:val="none" w:sz="0" w:space="0" w:color="auto"/>
      </w:divBdr>
    </w:div>
    <w:div w:id="58863431">
      <w:bodyDiv w:val="1"/>
      <w:marLeft w:val="0"/>
      <w:marRight w:val="0"/>
      <w:marTop w:val="0"/>
      <w:marBottom w:val="0"/>
      <w:divBdr>
        <w:top w:val="none" w:sz="0" w:space="0" w:color="auto"/>
        <w:left w:val="none" w:sz="0" w:space="0" w:color="auto"/>
        <w:bottom w:val="none" w:sz="0" w:space="0" w:color="auto"/>
        <w:right w:val="none" w:sz="0" w:space="0" w:color="auto"/>
      </w:divBdr>
    </w:div>
    <w:div w:id="61611737">
      <w:bodyDiv w:val="1"/>
      <w:marLeft w:val="0"/>
      <w:marRight w:val="0"/>
      <w:marTop w:val="0"/>
      <w:marBottom w:val="0"/>
      <w:divBdr>
        <w:top w:val="none" w:sz="0" w:space="0" w:color="auto"/>
        <w:left w:val="none" w:sz="0" w:space="0" w:color="auto"/>
        <w:bottom w:val="none" w:sz="0" w:space="0" w:color="auto"/>
        <w:right w:val="none" w:sz="0" w:space="0" w:color="auto"/>
      </w:divBdr>
      <w:divsChild>
        <w:div w:id="176120846">
          <w:marLeft w:val="0"/>
          <w:marRight w:val="0"/>
          <w:marTop w:val="0"/>
          <w:marBottom w:val="0"/>
          <w:divBdr>
            <w:top w:val="none" w:sz="0" w:space="0" w:color="auto"/>
            <w:left w:val="none" w:sz="0" w:space="0" w:color="auto"/>
            <w:bottom w:val="none" w:sz="0" w:space="0" w:color="auto"/>
            <w:right w:val="none" w:sz="0" w:space="0" w:color="auto"/>
          </w:divBdr>
          <w:divsChild>
            <w:div w:id="460150817">
              <w:marLeft w:val="-225"/>
              <w:marRight w:val="-225"/>
              <w:marTop w:val="0"/>
              <w:marBottom w:val="0"/>
              <w:divBdr>
                <w:top w:val="none" w:sz="0" w:space="0" w:color="auto"/>
                <w:left w:val="none" w:sz="0" w:space="0" w:color="auto"/>
                <w:bottom w:val="none" w:sz="0" w:space="0" w:color="auto"/>
                <w:right w:val="none" w:sz="0" w:space="0" w:color="auto"/>
              </w:divBdr>
              <w:divsChild>
                <w:div w:id="1206983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39976">
      <w:bodyDiv w:val="1"/>
      <w:marLeft w:val="0"/>
      <w:marRight w:val="0"/>
      <w:marTop w:val="0"/>
      <w:marBottom w:val="0"/>
      <w:divBdr>
        <w:top w:val="none" w:sz="0" w:space="0" w:color="auto"/>
        <w:left w:val="none" w:sz="0" w:space="0" w:color="auto"/>
        <w:bottom w:val="none" w:sz="0" w:space="0" w:color="auto"/>
        <w:right w:val="none" w:sz="0" w:space="0" w:color="auto"/>
      </w:divBdr>
    </w:div>
    <w:div w:id="64838165">
      <w:bodyDiv w:val="1"/>
      <w:marLeft w:val="0"/>
      <w:marRight w:val="0"/>
      <w:marTop w:val="0"/>
      <w:marBottom w:val="0"/>
      <w:divBdr>
        <w:top w:val="none" w:sz="0" w:space="0" w:color="auto"/>
        <w:left w:val="none" w:sz="0" w:space="0" w:color="auto"/>
        <w:bottom w:val="none" w:sz="0" w:space="0" w:color="auto"/>
        <w:right w:val="none" w:sz="0" w:space="0" w:color="auto"/>
      </w:divBdr>
    </w:div>
    <w:div w:id="68158936">
      <w:bodyDiv w:val="1"/>
      <w:marLeft w:val="0"/>
      <w:marRight w:val="0"/>
      <w:marTop w:val="0"/>
      <w:marBottom w:val="0"/>
      <w:divBdr>
        <w:top w:val="none" w:sz="0" w:space="0" w:color="auto"/>
        <w:left w:val="none" w:sz="0" w:space="0" w:color="auto"/>
        <w:bottom w:val="none" w:sz="0" w:space="0" w:color="auto"/>
        <w:right w:val="none" w:sz="0" w:space="0" w:color="auto"/>
      </w:divBdr>
    </w:div>
    <w:div w:id="69694598">
      <w:bodyDiv w:val="1"/>
      <w:marLeft w:val="0"/>
      <w:marRight w:val="0"/>
      <w:marTop w:val="0"/>
      <w:marBottom w:val="0"/>
      <w:divBdr>
        <w:top w:val="none" w:sz="0" w:space="0" w:color="auto"/>
        <w:left w:val="none" w:sz="0" w:space="0" w:color="auto"/>
        <w:bottom w:val="none" w:sz="0" w:space="0" w:color="auto"/>
        <w:right w:val="none" w:sz="0" w:space="0" w:color="auto"/>
      </w:divBdr>
    </w:div>
    <w:div w:id="72776034">
      <w:bodyDiv w:val="1"/>
      <w:marLeft w:val="0"/>
      <w:marRight w:val="0"/>
      <w:marTop w:val="0"/>
      <w:marBottom w:val="0"/>
      <w:divBdr>
        <w:top w:val="none" w:sz="0" w:space="0" w:color="auto"/>
        <w:left w:val="none" w:sz="0" w:space="0" w:color="auto"/>
        <w:bottom w:val="none" w:sz="0" w:space="0" w:color="auto"/>
        <w:right w:val="none" w:sz="0" w:space="0" w:color="auto"/>
      </w:divBdr>
    </w:div>
    <w:div w:id="74674126">
      <w:bodyDiv w:val="1"/>
      <w:marLeft w:val="0"/>
      <w:marRight w:val="0"/>
      <w:marTop w:val="0"/>
      <w:marBottom w:val="0"/>
      <w:divBdr>
        <w:top w:val="none" w:sz="0" w:space="0" w:color="auto"/>
        <w:left w:val="none" w:sz="0" w:space="0" w:color="auto"/>
        <w:bottom w:val="none" w:sz="0" w:space="0" w:color="auto"/>
        <w:right w:val="none" w:sz="0" w:space="0" w:color="auto"/>
      </w:divBdr>
    </w:div>
    <w:div w:id="77602596">
      <w:bodyDiv w:val="1"/>
      <w:marLeft w:val="0"/>
      <w:marRight w:val="0"/>
      <w:marTop w:val="0"/>
      <w:marBottom w:val="0"/>
      <w:divBdr>
        <w:top w:val="none" w:sz="0" w:space="0" w:color="auto"/>
        <w:left w:val="none" w:sz="0" w:space="0" w:color="auto"/>
        <w:bottom w:val="none" w:sz="0" w:space="0" w:color="auto"/>
        <w:right w:val="none" w:sz="0" w:space="0" w:color="auto"/>
      </w:divBdr>
    </w:div>
    <w:div w:id="78408082">
      <w:bodyDiv w:val="1"/>
      <w:marLeft w:val="0"/>
      <w:marRight w:val="0"/>
      <w:marTop w:val="0"/>
      <w:marBottom w:val="0"/>
      <w:divBdr>
        <w:top w:val="none" w:sz="0" w:space="0" w:color="auto"/>
        <w:left w:val="none" w:sz="0" w:space="0" w:color="auto"/>
        <w:bottom w:val="none" w:sz="0" w:space="0" w:color="auto"/>
        <w:right w:val="none" w:sz="0" w:space="0" w:color="auto"/>
      </w:divBdr>
    </w:div>
    <w:div w:id="81878332">
      <w:bodyDiv w:val="1"/>
      <w:marLeft w:val="0"/>
      <w:marRight w:val="0"/>
      <w:marTop w:val="0"/>
      <w:marBottom w:val="0"/>
      <w:divBdr>
        <w:top w:val="none" w:sz="0" w:space="0" w:color="auto"/>
        <w:left w:val="none" w:sz="0" w:space="0" w:color="auto"/>
        <w:bottom w:val="none" w:sz="0" w:space="0" w:color="auto"/>
        <w:right w:val="none" w:sz="0" w:space="0" w:color="auto"/>
      </w:divBdr>
    </w:div>
    <w:div w:id="83847006">
      <w:bodyDiv w:val="1"/>
      <w:marLeft w:val="0"/>
      <w:marRight w:val="0"/>
      <w:marTop w:val="0"/>
      <w:marBottom w:val="0"/>
      <w:divBdr>
        <w:top w:val="none" w:sz="0" w:space="0" w:color="auto"/>
        <w:left w:val="none" w:sz="0" w:space="0" w:color="auto"/>
        <w:bottom w:val="none" w:sz="0" w:space="0" w:color="auto"/>
        <w:right w:val="none" w:sz="0" w:space="0" w:color="auto"/>
      </w:divBdr>
    </w:div>
    <w:div w:id="84961040">
      <w:bodyDiv w:val="1"/>
      <w:marLeft w:val="0"/>
      <w:marRight w:val="0"/>
      <w:marTop w:val="0"/>
      <w:marBottom w:val="0"/>
      <w:divBdr>
        <w:top w:val="none" w:sz="0" w:space="0" w:color="auto"/>
        <w:left w:val="none" w:sz="0" w:space="0" w:color="auto"/>
        <w:bottom w:val="none" w:sz="0" w:space="0" w:color="auto"/>
        <w:right w:val="none" w:sz="0" w:space="0" w:color="auto"/>
      </w:divBdr>
    </w:div>
    <w:div w:id="92171973">
      <w:bodyDiv w:val="1"/>
      <w:marLeft w:val="0"/>
      <w:marRight w:val="0"/>
      <w:marTop w:val="0"/>
      <w:marBottom w:val="0"/>
      <w:divBdr>
        <w:top w:val="none" w:sz="0" w:space="0" w:color="auto"/>
        <w:left w:val="none" w:sz="0" w:space="0" w:color="auto"/>
        <w:bottom w:val="none" w:sz="0" w:space="0" w:color="auto"/>
        <w:right w:val="none" w:sz="0" w:space="0" w:color="auto"/>
      </w:divBdr>
    </w:div>
    <w:div w:id="94249857">
      <w:bodyDiv w:val="1"/>
      <w:marLeft w:val="0"/>
      <w:marRight w:val="0"/>
      <w:marTop w:val="0"/>
      <w:marBottom w:val="0"/>
      <w:divBdr>
        <w:top w:val="none" w:sz="0" w:space="0" w:color="auto"/>
        <w:left w:val="none" w:sz="0" w:space="0" w:color="auto"/>
        <w:bottom w:val="none" w:sz="0" w:space="0" w:color="auto"/>
        <w:right w:val="none" w:sz="0" w:space="0" w:color="auto"/>
      </w:divBdr>
    </w:div>
    <w:div w:id="95714734">
      <w:bodyDiv w:val="1"/>
      <w:marLeft w:val="0"/>
      <w:marRight w:val="0"/>
      <w:marTop w:val="0"/>
      <w:marBottom w:val="0"/>
      <w:divBdr>
        <w:top w:val="none" w:sz="0" w:space="0" w:color="auto"/>
        <w:left w:val="none" w:sz="0" w:space="0" w:color="auto"/>
        <w:bottom w:val="none" w:sz="0" w:space="0" w:color="auto"/>
        <w:right w:val="none" w:sz="0" w:space="0" w:color="auto"/>
      </w:divBdr>
    </w:div>
    <w:div w:id="95834370">
      <w:bodyDiv w:val="1"/>
      <w:marLeft w:val="0"/>
      <w:marRight w:val="0"/>
      <w:marTop w:val="0"/>
      <w:marBottom w:val="0"/>
      <w:divBdr>
        <w:top w:val="none" w:sz="0" w:space="0" w:color="auto"/>
        <w:left w:val="none" w:sz="0" w:space="0" w:color="auto"/>
        <w:bottom w:val="none" w:sz="0" w:space="0" w:color="auto"/>
        <w:right w:val="none" w:sz="0" w:space="0" w:color="auto"/>
      </w:divBdr>
    </w:div>
    <w:div w:id="96367118">
      <w:bodyDiv w:val="1"/>
      <w:marLeft w:val="0"/>
      <w:marRight w:val="0"/>
      <w:marTop w:val="0"/>
      <w:marBottom w:val="0"/>
      <w:divBdr>
        <w:top w:val="none" w:sz="0" w:space="0" w:color="auto"/>
        <w:left w:val="none" w:sz="0" w:space="0" w:color="auto"/>
        <w:bottom w:val="none" w:sz="0" w:space="0" w:color="auto"/>
        <w:right w:val="none" w:sz="0" w:space="0" w:color="auto"/>
      </w:divBdr>
    </w:div>
    <w:div w:id="96484236">
      <w:bodyDiv w:val="1"/>
      <w:marLeft w:val="0"/>
      <w:marRight w:val="0"/>
      <w:marTop w:val="0"/>
      <w:marBottom w:val="0"/>
      <w:divBdr>
        <w:top w:val="none" w:sz="0" w:space="0" w:color="auto"/>
        <w:left w:val="none" w:sz="0" w:space="0" w:color="auto"/>
        <w:bottom w:val="none" w:sz="0" w:space="0" w:color="auto"/>
        <w:right w:val="none" w:sz="0" w:space="0" w:color="auto"/>
      </w:divBdr>
    </w:div>
    <w:div w:id="106433101">
      <w:bodyDiv w:val="1"/>
      <w:marLeft w:val="0"/>
      <w:marRight w:val="0"/>
      <w:marTop w:val="0"/>
      <w:marBottom w:val="0"/>
      <w:divBdr>
        <w:top w:val="none" w:sz="0" w:space="0" w:color="auto"/>
        <w:left w:val="none" w:sz="0" w:space="0" w:color="auto"/>
        <w:bottom w:val="none" w:sz="0" w:space="0" w:color="auto"/>
        <w:right w:val="none" w:sz="0" w:space="0" w:color="auto"/>
      </w:divBdr>
    </w:div>
    <w:div w:id="106973459">
      <w:bodyDiv w:val="1"/>
      <w:marLeft w:val="0"/>
      <w:marRight w:val="0"/>
      <w:marTop w:val="0"/>
      <w:marBottom w:val="0"/>
      <w:divBdr>
        <w:top w:val="none" w:sz="0" w:space="0" w:color="auto"/>
        <w:left w:val="none" w:sz="0" w:space="0" w:color="auto"/>
        <w:bottom w:val="none" w:sz="0" w:space="0" w:color="auto"/>
        <w:right w:val="none" w:sz="0" w:space="0" w:color="auto"/>
      </w:divBdr>
    </w:div>
    <w:div w:id="108476139">
      <w:bodyDiv w:val="1"/>
      <w:marLeft w:val="0"/>
      <w:marRight w:val="0"/>
      <w:marTop w:val="0"/>
      <w:marBottom w:val="0"/>
      <w:divBdr>
        <w:top w:val="none" w:sz="0" w:space="0" w:color="auto"/>
        <w:left w:val="none" w:sz="0" w:space="0" w:color="auto"/>
        <w:bottom w:val="none" w:sz="0" w:space="0" w:color="auto"/>
        <w:right w:val="none" w:sz="0" w:space="0" w:color="auto"/>
      </w:divBdr>
      <w:divsChild>
        <w:div w:id="1180585182">
          <w:marLeft w:val="0"/>
          <w:marRight w:val="0"/>
          <w:marTop w:val="0"/>
          <w:marBottom w:val="0"/>
          <w:divBdr>
            <w:top w:val="none" w:sz="0" w:space="0" w:color="auto"/>
            <w:left w:val="none" w:sz="0" w:space="0" w:color="auto"/>
            <w:bottom w:val="none" w:sz="0" w:space="0" w:color="auto"/>
            <w:right w:val="none" w:sz="0" w:space="0" w:color="auto"/>
          </w:divBdr>
          <w:divsChild>
            <w:div w:id="363600259">
              <w:marLeft w:val="0"/>
              <w:marRight w:val="0"/>
              <w:marTop w:val="0"/>
              <w:marBottom w:val="0"/>
              <w:divBdr>
                <w:top w:val="none" w:sz="0" w:space="0" w:color="auto"/>
                <w:left w:val="none" w:sz="0" w:space="0" w:color="auto"/>
                <w:bottom w:val="none" w:sz="0" w:space="0" w:color="auto"/>
                <w:right w:val="none" w:sz="0" w:space="0" w:color="auto"/>
              </w:divBdr>
              <w:divsChild>
                <w:div w:id="2138138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128417">
      <w:bodyDiv w:val="1"/>
      <w:marLeft w:val="0"/>
      <w:marRight w:val="0"/>
      <w:marTop w:val="0"/>
      <w:marBottom w:val="0"/>
      <w:divBdr>
        <w:top w:val="none" w:sz="0" w:space="0" w:color="auto"/>
        <w:left w:val="none" w:sz="0" w:space="0" w:color="auto"/>
        <w:bottom w:val="none" w:sz="0" w:space="0" w:color="auto"/>
        <w:right w:val="none" w:sz="0" w:space="0" w:color="auto"/>
      </w:divBdr>
    </w:div>
    <w:div w:id="109133344">
      <w:bodyDiv w:val="1"/>
      <w:marLeft w:val="0"/>
      <w:marRight w:val="0"/>
      <w:marTop w:val="0"/>
      <w:marBottom w:val="0"/>
      <w:divBdr>
        <w:top w:val="none" w:sz="0" w:space="0" w:color="auto"/>
        <w:left w:val="none" w:sz="0" w:space="0" w:color="auto"/>
        <w:bottom w:val="none" w:sz="0" w:space="0" w:color="auto"/>
        <w:right w:val="none" w:sz="0" w:space="0" w:color="auto"/>
      </w:divBdr>
    </w:div>
    <w:div w:id="111558401">
      <w:bodyDiv w:val="1"/>
      <w:marLeft w:val="0"/>
      <w:marRight w:val="0"/>
      <w:marTop w:val="0"/>
      <w:marBottom w:val="0"/>
      <w:divBdr>
        <w:top w:val="none" w:sz="0" w:space="0" w:color="auto"/>
        <w:left w:val="none" w:sz="0" w:space="0" w:color="auto"/>
        <w:bottom w:val="none" w:sz="0" w:space="0" w:color="auto"/>
        <w:right w:val="none" w:sz="0" w:space="0" w:color="auto"/>
      </w:divBdr>
    </w:div>
    <w:div w:id="118186835">
      <w:bodyDiv w:val="1"/>
      <w:marLeft w:val="0"/>
      <w:marRight w:val="0"/>
      <w:marTop w:val="0"/>
      <w:marBottom w:val="0"/>
      <w:divBdr>
        <w:top w:val="none" w:sz="0" w:space="0" w:color="auto"/>
        <w:left w:val="none" w:sz="0" w:space="0" w:color="auto"/>
        <w:bottom w:val="none" w:sz="0" w:space="0" w:color="auto"/>
        <w:right w:val="none" w:sz="0" w:space="0" w:color="auto"/>
      </w:divBdr>
    </w:div>
    <w:div w:id="120072838">
      <w:bodyDiv w:val="1"/>
      <w:marLeft w:val="0"/>
      <w:marRight w:val="0"/>
      <w:marTop w:val="0"/>
      <w:marBottom w:val="0"/>
      <w:divBdr>
        <w:top w:val="none" w:sz="0" w:space="0" w:color="auto"/>
        <w:left w:val="none" w:sz="0" w:space="0" w:color="auto"/>
        <w:bottom w:val="none" w:sz="0" w:space="0" w:color="auto"/>
        <w:right w:val="none" w:sz="0" w:space="0" w:color="auto"/>
      </w:divBdr>
    </w:div>
    <w:div w:id="120618278">
      <w:bodyDiv w:val="1"/>
      <w:marLeft w:val="0"/>
      <w:marRight w:val="0"/>
      <w:marTop w:val="0"/>
      <w:marBottom w:val="0"/>
      <w:divBdr>
        <w:top w:val="none" w:sz="0" w:space="0" w:color="auto"/>
        <w:left w:val="none" w:sz="0" w:space="0" w:color="auto"/>
        <w:bottom w:val="none" w:sz="0" w:space="0" w:color="auto"/>
        <w:right w:val="none" w:sz="0" w:space="0" w:color="auto"/>
      </w:divBdr>
    </w:div>
    <w:div w:id="121268899">
      <w:bodyDiv w:val="1"/>
      <w:marLeft w:val="0"/>
      <w:marRight w:val="0"/>
      <w:marTop w:val="0"/>
      <w:marBottom w:val="0"/>
      <w:divBdr>
        <w:top w:val="none" w:sz="0" w:space="0" w:color="auto"/>
        <w:left w:val="none" w:sz="0" w:space="0" w:color="auto"/>
        <w:bottom w:val="none" w:sz="0" w:space="0" w:color="auto"/>
        <w:right w:val="none" w:sz="0" w:space="0" w:color="auto"/>
      </w:divBdr>
    </w:div>
    <w:div w:id="126122835">
      <w:bodyDiv w:val="1"/>
      <w:marLeft w:val="0"/>
      <w:marRight w:val="0"/>
      <w:marTop w:val="0"/>
      <w:marBottom w:val="0"/>
      <w:divBdr>
        <w:top w:val="none" w:sz="0" w:space="0" w:color="auto"/>
        <w:left w:val="none" w:sz="0" w:space="0" w:color="auto"/>
        <w:bottom w:val="none" w:sz="0" w:space="0" w:color="auto"/>
        <w:right w:val="none" w:sz="0" w:space="0" w:color="auto"/>
      </w:divBdr>
      <w:divsChild>
        <w:div w:id="552423253">
          <w:marLeft w:val="0"/>
          <w:marRight w:val="0"/>
          <w:marTop w:val="0"/>
          <w:marBottom w:val="0"/>
          <w:divBdr>
            <w:top w:val="none" w:sz="0" w:space="0" w:color="auto"/>
            <w:left w:val="none" w:sz="0" w:space="0" w:color="auto"/>
            <w:bottom w:val="none" w:sz="0" w:space="0" w:color="auto"/>
            <w:right w:val="none" w:sz="0" w:space="0" w:color="auto"/>
          </w:divBdr>
          <w:divsChild>
            <w:div w:id="256981547">
              <w:marLeft w:val="0"/>
              <w:marRight w:val="0"/>
              <w:marTop w:val="0"/>
              <w:marBottom w:val="0"/>
              <w:divBdr>
                <w:top w:val="none" w:sz="0" w:space="0" w:color="auto"/>
                <w:left w:val="none" w:sz="0" w:space="0" w:color="auto"/>
                <w:bottom w:val="none" w:sz="0" w:space="0" w:color="auto"/>
                <w:right w:val="none" w:sz="0" w:space="0" w:color="auto"/>
              </w:divBdr>
            </w:div>
          </w:divsChild>
        </w:div>
        <w:div w:id="187305071">
          <w:marLeft w:val="0"/>
          <w:marRight w:val="0"/>
          <w:marTop w:val="0"/>
          <w:marBottom w:val="0"/>
          <w:divBdr>
            <w:top w:val="none" w:sz="0" w:space="0" w:color="auto"/>
            <w:left w:val="none" w:sz="0" w:space="0" w:color="auto"/>
            <w:bottom w:val="none" w:sz="0" w:space="0" w:color="auto"/>
            <w:right w:val="none" w:sz="0" w:space="0" w:color="auto"/>
          </w:divBdr>
          <w:divsChild>
            <w:div w:id="93592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07349">
      <w:bodyDiv w:val="1"/>
      <w:marLeft w:val="0"/>
      <w:marRight w:val="0"/>
      <w:marTop w:val="0"/>
      <w:marBottom w:val="0"/>
      <w:divBdr>
        <w:top w:val="none" w:sz="0" w:space="0" w:color="auto"/>
        <w:left w:val="none" w:sz="0" w:space="0" w:color="auto"/>
        <w:bottom w:val="none" w:sz="0" w:space="0" w:color="auto"/>
        <w:right w:val="none" w:sz="0" w:space="0" w:color="auto"/>
      </w:divBdr>
    </w:div>
    <w:div w:id="129593001">
      <w:bodyDiv w:val="1"/>
      <w:marLeft w:val="0"/>
      <w:marRight w:val="0"/>
      <w:marTop w:val="0"/>
      <w:marBottom w:val="0"/>
      <w:divBdr>
        <w:top w:val="none" w:sz="0" w:space="0" w:color="auto"/>
        <w:left w:val="none" w:sz="0" w:space="0" w:color="auto"/>
        <w:bottom w:val="none" w:sz="0" w:space="0" w:color="auto"/>
        <w:right w:val="none" w:sz="0" w:space="0" w:color="auto"/>
      </w:divBdr>
    </w:div>
    <w:div w:id="133179925">
      <w:bodyDiv w:val="1"/>
      <w:marLeft w:val="0"/>
      <w:marRight w:val="0"/>
      <w:marTop w:val="0"/>
      <w:marBottom w:val="0"/>
      <w:divBdr>
        <w:top w:val="none" w:sz="0" w:space="0" w:color="auto"/>
        <w:left w:val="none" w:sz="0" w:space="0" w:color="auto"/>
        <w:bottom w:val="none" w:sz="0" w:space="0" w:color="auto"/>
        <w:right w:val="none" w:sz="0" w:space="0" w:color="auto"/>
      </w:divBdr>
    </w:div>
    <w:div w:id="134568049">
      <w:bodyDiv w:val="1"/>
      <w:marLeft w:val="0"/>
      <w:marRight w:val="0"/>
      <w:marTop w:val="0"/>
      <w:marBottom w:val="0"/>
      <w:divBdr>
        <w:top w:val="none" w:sz="0" w:space="0" w:color="auto"/>
        <w:left w:val="none" w:sz="0" w:space="0" w:color="auto"/>
        <w:bottom w:val="none" w:sz="0" w:space="0" w:color="auto"/>
        <w:right w:val="none" w:sz="0" w:space="0" w:color="auto"/>
      </w:divBdr>
    </w:div>
    <w:div w:id="135076924">
      <w:bodyDiv w:val="1"/>
      <w:marLeft w:val="0"/>
      <w:marRight w:val="0"/>
      <w:marTop w:val="0"/>
      <w:marBottom w:val="0"/>
      <w:divBdr>
        <w:top w:val="none" w:sz="0" w:space="0" w:color="auto"/>
        <w:left w:val="none" w:sz="0" w:space="0" w:color="auto"/>
        <w:bottom w:val="none" w:sz="0" w:space="0" w:color="auto"/>
        <w:right w:val="none" w:sz="0" w:space="0" w:color="auto"/>
      </w:divBdr>
    </w:div>
    <w:div w:id="135219948">
      <w:bodyDiv w:val="1"/>
      <w:marLeft w:val="0"/>
      <w:marRight w:val="0"/>
      <w:marTop w:val="0"/>
      <w:marBottom w:val="0"/>
      <w:divBdr>
        <w:top w:val="none" w:sz="0" w:space="0" w:color="auto"/>
        <w:left w:val="none" w:sz="0" w:space="0" w:color="auto"/>
        <w:bottom w:val="none" w:sz="0" w:space="0" w:color="auto"/>
        <w:right w:val="none" w:sz="0" w:space="0" w:color="auto"/>
      </w:divBdr>
    </w:div>
    <w:div w:id="137188974">
      <w:bodyDiv w:val="1"/>
      <w:marLeft w:val="0"/>
      <w:marRight w:val="0"/>
      <w:marTop w:val="0"/>
      <w:marBottom w:val="0"/>
      <w:divBdr>
        <w:top w:val="none" w:sz="0" w:space="0" w:color="auto"/>
        <w:left w:val="none" w:sz="0" w:space="0" w:color="auto"/>
        <w:bottom w:val="none" w:sz="0" w:space="0" w:color="auto"/>
        <w:right w:val="none" w:sz="0" w:space="0" w:color="auto"/>
      </w:divBdr>
    </w:div>
    <w:div w:id="138617063">
      <w:bodyDiv w:val="1"/>
      <w:marLeft w:val="0"/>
      <w:marRight w:val="0"/>
      <w:marTop w:val="0"/>
      <w:marBottom w:val="0"/>
      <w:divBdr>
        <w:top w:val="none" w:sz="0" w:space="0" w:color="auto"/>
        <w:left w:val="none" w:sz="0" w:space="0" w:color="auto"/>
        <w:bottom w:val="none" w:sz="0" w:space="0" w:color="auto"/>
        <w:right w:val="none" w:sz="0" w:space="0" w:color="auto"/>
      </w:divBdr>
    </w:div>
    <w:div w:id="139736994">
      <w:bodyDiv w:val="1"/>
      <w:marLeft w:val="0"/>
      <w:marRight w:val="0"/>
      <w:marTop w:val="0"/>
      <w:marBottom w:val="0"/>
      <w:divBdr>
        <w:top w:val="none" w:sz="0" w:space="0" w:color="auto"/>
        <w:left w:val="none" w:sz="0" w:space="0" w:color="auto"/>
        <w:bottom w:val="none" w:sz="0" w:space="0" w:color="auto"/>
        <w:right w:val="none" w:sz="0" w:space="0" w:color="auto"/>
      </w:divBdr>
      <w:divsChild>
        <w:div w:id="1014460661">
          <w:marLeft w:val="0"/>
          <w:marRight w:val="0"/>
          <w:marTop w:val="0"/>
          <w:marBottom w:val="0"/>
          <w:divBdr>
            <w:top w:val="none" w:sz="0" w:space="0" w:color="auto"/>
            <w:left w:val="none" w:sz="0" w:space="0" w:color="auto"/>
            <w:bottom w:val="none" w:sz="0" w:space="0" w:color="auto"/>
            <w:right w:val="none" w:sz="0" w:space="0" w:color="auto"/>
          </w:divBdr>
          <w:divsChild>
            <w:div w:id="687682138">
              <w:marLeft w:val="0"/>
              <w:marRight w:val="0"/>
              <w:marTop w:val="0"/>
              <w:marBottom w:val="0"/>
              <w:divBdr>
                <w:top w:val="none" w:sz="0" w:space="0" w:color="auto"/>
                <w:left w:val="none" w:sz="0" w:space="0" w:color="auto"/>
                <w:bottom w:val="none" w:sz="0" w:space="0" w:color="auto"/>
                <w:right w:val="none" w:sz="0" w:space="0" w:color="auto"/>
              </w:divBdr>
              <w:divsChild>
                <w:div w:id="191735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66767">
      <w:bodyDiv w:val="1"/>
      <w:marLeft w:val="0"/>
      <w:marRight w:val="0"/>
      <w:marTop w:val="0"/>
      <w:marBottom w:val="0"/>
      <w:divBdr>
        <w:top w:val="none" w:sz="0" w:space="0" w:color="auto"/>
        <w:left w:val="none" w:sz="0" w:space="0" w:color="auto"/>
        <w:bottom w:val="none" w:sz="0" w:space="0" w:color="auto"/>
        <w:right w:val="none" w:sz="0" w:space="0" w:color="auto"/>
      </w:divBdr>
    </w:div>
    <w:div w:id="151917643">
      <w:bodyDiv w:val="1"/>
      <w:marLeft w:val="0"/>
      <w:marRight w:val="0"/>
      <w:marTop w:val="0"/>
      <w:marBottom w:val="0"/>
      <w:divBdr>
        <w:top w:val="none" w:sz="0" w:space="0" w:color="auto"/>
        <w:left w:val="none" w:sz="0" w:space="0" w:color="auto"/>
        <w:bottom w:val="none" w:sz="0" w:space="0" w:color="auto"/>
        <w:right w:val="none" w:sz="0" w:space="0" w:color="auto"/>
      </w:divBdr>
    </w:div>
    <w:div w:id="161362075">
      <w:bodyDiv w:val="1"/>
      <w:marLeft w:val="0"/>
      <w:marRight w:val="0"/>
      <w:marTop w:val="0"/>
      <w:marBottom w:val="0"/>
      <w:divBdr>
        <w:top w:val="none" w:sz="0" w:space="0" w:color="auto"/>
        <w:left w:val="none" w:sz="0" w:space="0" w:color="auto"/>
        <w:bottom w:val="none" w:sz="0" w:space="0" w:color="auto"/>
        <w:right w:val="none" w:sz="0" w:space="0" w:color="auto"/>
      </w:divBdr>
    </w:div>
    <w:div w:id="162285775">
      <w:bodyDiv w:val="1"/>
      <w:marLeft w:val="0"/>
      <w:marRight w:val="0"/>
      <w:marTop w:val="0"/>
      <w:marBottom w:val="0"/>
      <w:divBdr>
        <w:top w:val="none" w:sz="0" w:space="0" w:color="auto"/>
        <w:left w:val="none" w:sz="0" w:space="0" w:color="auto"/>
        <w:bottom w:val="none" w:sz="0" w:space="0" w:color="auto"/>
        <w:right w:val="none" w:sz="0" w:space="0" w:color="auto"/>
      </w:divBdr>
    </w:div>
    <w:div w:id="163209149">
      <w:bodyDiv w:val="1"/>
      <w:marLeft w:val="0"/>
      <w:marRight w:val="0"/>
      <w:marTop w:val="0"/>
      <w:marBottom w:val="0"/>
      <w:divBdr>
        <w:top w:val="none" w:sz="0" w:space="0" w:color="auto"/>
        <w:left w:val="none" w:sz="0" w:space="0" w:color="auto"/>
        <w:bottom w:val="none" w:sz="0" w:space="0" w:color="auto"/>
        <w:right w:val="none" w:sz="0" w:space="0" w:color="auto"/>
      </w:divBdr>
    </w:div>
    <w:div w:id="168641588">
      <w:bodyDiv w:val="1"/>
      <w:marLeft w:val="0"/>
      <w:marRight w:val="0"/>
      <w:marTop w:val="0"/>
      <w:marBottom w:val="0"/>
      <w:divBdr>
        <w:top w:val="none" w:sz="0" w:space="0" w:color="auto"/>
        <w:left w:val="none" w:sz="0" w:space="0" w:color="auto"/>
        <w:bottom w:val="none" w:sz="0" w:space="0" w:color="auto"/>
        <w:right w:val="none" w:sz="0" w:space="0" w:color="auto"/>
      </w:divBdr>
    </w:div>
    <w:div w:id="170797114">
      <w:bodyDiv w:val="1"/>
      <w:marLeft w:val="0"/>
      <w:marRight w:val="0"/>
      <w:marTop w:val="0"/>
      <w:marBottom w:val="0"/>
      <w:divBdr>
        <w:top w:val="none" w:sz="0" w:space="0" w:color="auto"/>
        <w:left w:val="none" w:sz="0" w:space="0" w:color="auto"/>
        <w:bottom w:val="none" w:sz="0" w:space="0" w:color="auto"/>
        <w:right w:val="none" w:sz="0" w:space="0" w:color="auto"/>
      </w:divBdr>
    </w:div>
    <w:div w:id="171921128">
      <w:bodyDiv w:val="1"/>
      <w:marLeft w:val="0"/>
      <w:marRight w:val="0"/>
      <w:marTop w:val="0"/>
      <w:marBottom w:val="0"/>
      <w:divBdr>
        <w:top w:val="none" w:sz="0" w:space="0" w:color="auto"/>
        <w:left w:val="none" w:sz="0" w:space="0" w:color="auto"/>
        <w:bottom w:val="none" w:sz="0" w:space="0" w:color="auto"/>
        <w:right w:val="none" w:sz="0" w:space="0" w:color="auto"/>
      </w:divBdr>
    </w:div>
    <w:div w:id="173763833">
      <w:bodyDiv w:val="1"/>
      <w:marLeft w:val="0"/>
      <w:marRight w:val="0"/>
      <w:marTop w:val="0"/>
      <w:marBottom w:val="0"/>
      <w:divBdr>
        <w:top w:val="none" w:sz="0" w:space="0" w:color="auto"/>
        <w:left w:val="none" w:sz="0" w:space="0" w:color="auto"/>
        <w:bottom w:val="none" w:sz="0" w:space="0" w:color="auto"/>
        <w:right w:val="none" w:sz="0" w:space="0" w:color="auto"/>
      </w:divBdr>
    </w:div>
    <w:div w:id="173887811">
      <w:bodyDiv w:val="1"/>
      <w:marLeft w:val="0"/>
      <w:marRight w:val="0"/>
      <w:marTop w:val="0"/>
      <w:marBottom w:val="0"/>
      <w:divBdr>
        <w:top w:val="none" w:sz="0" w:space="0" w:color="auto"/>
        <w:left w:val="none" w:sz="0" w:space="0" w:color="auto"/>
        <w:bottom w:val="none" w:sz="0" w:space="0" w:color="auto"/>
        <w:right w:val="none" w:sz="0" w:space="0" w:color="auto"/>
      </w:divBdr>
    </w:div>
    <w:div w:id="175392443">
      <w:bodyDiv w:val="1"/>
      <w:marLeft w:val="0"/>
      <w:marRight w:val="0"/>
      <w:marTop w:val="0"/>
      <w:marBottom w:val="0"/>
      <w:divBdr>
        <w:top w:val="none" w:sz="0" w:space="0" w:color="auto"/>
        <w:left w:val="none" w:sz="0" w:space="0" w:color="auto"/>
        <w:bottom w:val="none" w:sz="0" w:space="0" w:color="auto"/>
        <w:right w:val="none" w:sz="0" w:space="0" w:color="auto"/>
      </w:divBdr>
    </w:div>
    <w:div w:id="184944445">
      <w:bodyDiv w:val="1"/>
      <w:marLeft w:val="0"/>
      <w:marRight w:val="0"/>
      <w:marTop w:val="0"/>
      <w:marBottom w:val="0"/>
      <w:divBdr>
        <w:top w:val="none" w:sz="0" w:space="0" w:color="auto"/>
        <w:left w:val="none" w:sz="0" w:space="0" w:color="auto"/>
        <w:bottom w:val="none" w:sz="0" w:space="0" w:color="auto"/>
        <w:right w:val="none" w:sz="0" w:space="0" w:color="auto"/>
      </w:divBdr>
    </w:div>
    <w:div w:id="190076089">
      <w:bodyDiv w:val="1"/>
      <w:marLeft w:val="0"/>
      <w:marRight w:val="0"/>
      <w:marTop w:val="0"/>
      <w:marBottom w:val="0"/>
      <w:divBdr>
        <w:top w:val="none" w:sz="0" w:space="0" w:color="auto"/>
        <w:left w:val="none" w:sz="0" w:space="0" w:color="auto"/>
        <w:bottom w:val="none" w:sz="0" w:space="0" w:color="auto"/>
        <w:right w:val="none" w:sz="0" w:space="0" w:color="auto"/>
      </w:divBdr>
      <w:divsChild>
        <w:div w:id="1238252245">
          <w:marLeft w:val="0"/>
          <w:marRight w:val="0"/>
          <w:marTop w:val="0"/>
          <w:marBottom w:val="0"/>
          <w:divBdr>
            <w:top w:val="none" w:sz="0" w:space="0" w:color="auto"/>
            <w:left w:val="none" w:sz="0" w:space="0" w:color="auto"/>
            <w:bottom w:val="none" w:sz="0" w:space="0" w:color="auto"/>
            <w:right w:val="none" w:sz="0" w:space="0" w:color="auto"/>
          </w:divBdr>
          <w:divsChild>
            <w:div w:id="1297416270">
              <w:marLeft w:val="0"/>
              <w:marRight w:val="0"/>
              <w:marTop w:val="0"/>
              <w:marBottom w:val="0"/>
              <w:divBdr>
                <w:top w:val="none" w:sz="0" w:space="0" w:color="auto"/>
                <w:left w:val="none" w:sz="0" w:space="0" w:color="auto"/>
                <w:bottom w:val="none" w:sz="0" w:space="0" w:color="auto"/>
                <w:right w:val="none" w:sz="0" w:space="0" w:color="auto"/>
              </w:divBdr>
              <w:divsChild>
                <w:div w:id="936642245">
                  <w:marLeft w:val="0"/>
                  <w:marRight w:val="0"/>
                  <w:marTop w:val="0"/>
                  <w:marBottom w:val="0"/>
                  <w:divBdr>
                    <w:top w:val="none" w:sz="0" w:space="0" w:color="auto"/>
                    <w:left w:val="none" w:sz="0" w:space="0" w:color="auto"/>
                    <w:bottom w:val="none" w:sz="0" w:space="0" w:color="auto"/>
                    <w:right w:val="none" w:sz="0" w:space="0" w:color="auto"/>
                  </w:divBdr>
                  <w:divsChild>
                    <w:div w:id="605967904">
                      <w:marLeft w:val="0"/>
                      <w:marRight w:val="0"/>
                      <w:marTop w:val="0"/>
                      <w:marBottom w:val="0"/>
                      <w:divBdr>
                        <w:top w:val="none" w:sz="0" w:space="0" w:color="auto"/>
                        <w:left w:val="none" w:sz="0" w:space="0" w:color="auto"/>
                        <w:bottom w:val="none" w:sz="0" w:space="0" w:color="auto"/>
                        <w:right w:val="none" w:sz="0" w:space="0" w:color="auto"/>
                      </w:divBdr>
                      <w:divsChild>
                        <w:div w:id="1317607530">
                          <w:marLeft w:val="0"/>
                          <w:marRight w:val="0"/>
                          <w:marTop w:val="0"/>
                          <w:marBottom w:val="0"/>
                          <w:divBdr>
                            <w:top w:val="none" w:sz="0" w:space="0" w:color="auto"/>
                            <w:left w:val="none" w:sz="0" w:space="0" w:color="auto"/>
                            <w:bottom w:val="none" w:sz="0" w:space="0" w:color="auto"/>
                            <w:right w:val="none" w:sz="0" w:space="0" w:color="auto"/>
                          </w:divBdr>
                          <w:divsChild>
                            <w:div w:id="333340419">
                              <w:marLeft w:val="0"/>
                              <w:marRight w:val="0"/>
                              <w:marTop w:val="0"/>
                              <w:marBottom w:val="0"/>
                              <w:divBdr>
                                <w:top w:val="none" w:sz="0" w:space="0" w:color="auto"/>
                                <w:left w:val="none" w:sz="0" w:space="0" w:color="auto"/>
                                <w:bottom w:val="none" w:sz="0" w:space="0" w:color="auto"/>
                                <w:right w:val="none" w:sz="0" w:space="0" w:color="auto"/>
                              </w:divBdr>
                              <w:divsChild>
                                <w:div w:id="1343818768">
                                  <w:marLeft w:val="150"/>
                                  <w:marRight w:val="150"/>
                                  <w:marTop w:val="0"/>
                                  <w:marBottom w:val="0"/>
                                  <w:divBdr>
                                    <w:top w:val="none" w:sz="0" w:space="0" w:color="E7E7E7"/>
                                    <w:left w:val="none" w:sz="0" w:space="0" w:color="E7E7E7"/>
                                    <w:bottom w:val="single" w:sz="6" w:space="0" w:color="E7E7E7"/>
                                    <w:right w:val="none" w:sz="0" w:space="0" w:color="E7E7E7"/>
                                  </w:divBdr>
                                  <w:divsChild>
                                    <w:div w:id="2029604107">
                                      <w:marLeft w:val="0"/>
                                      <w:marRight w:val="0"/>
                                      <w:marTop w:val="0"/>
                                      <w:marBottom w:val="0"/>
                                      <w:divBdr>
                                        <w:top w:val="none" w:sz="0" w:space="0" w:color="auto"/>
                                        <w:left w:val="none" w:sz="0" w:space="0" w:color="auto"/>
                                        <w:bottom w:val="none" w:sz="0" w:space="0" w:color="auto"/>
                                        <w:right w:val="none" w:sz="0" w:space="0" w:color="auto"/>
                                      </w:divBdr>
                                      <w:divsChild>
                                        <w:div w:id="1538591204">
                                          <w:marLeft w:val="0"/>
                                          <w:marRight w:val="0"/>
                                          <w:marTop w:val="0"/>
                                          <w:marBottom w:val="0"/>
                                          <w:divBdr>
                                            <w:top w:val="none" w:sz="0" w:space="0" w:color="auto"/>
                                            <w:left w:val="none" w:sz="0" w:space="0" w:color="auto"/>
                                            <w:bottom w:val="none" w:sz="0" w:space="0" w:color="auto"/>
                                            <w:right w:val="none" w:sz="0" w:space="0" w:color="auto"/>
                                          </w:divBdr>
                                          <w:divsChild>
                                            <w:div w:id="1812819349">
                                              <w:marLeft w:val="0"/>
                                              <w:marRight w:val="0"/>
                                              <w:marTop w:val="0"/>
                                              <w:marBottom w:val="0"/>
                                              <w:divBdr>
                                                <w:top w:val="none" w:sz="0" w:space="0" w:color="auto"/>
                                                <w:left w:val="none" w:sz="0" w:space="0" w:color="auto"/>
                                                <w:bottom w:val="none" w:sz="0" w:space="0" w:color="auto"/>
                                                <w:right w:val="none" w:sz="0" w:space="0" w:color="auto"/>
                                              </w:divBdr>
                                              <w:divsChild>
                                                <w:div w:id="1555658436">
                                                  <w:marLeft w:val="0"/>
                                                  <w:marRight w:val="0"/>
                                                  <w:marTop w:val="0"/>
                                                  <w:marBottom w:val="0"/>
                                                  <w:divBdr>
                                                    <w:top w:val="none" w:sz="0" w:space="0" w:color="auto"/>
                                                    <w:left w:val="none" w:sz="0" w:space="0" w:color="auto"/>
                                                    <w:bottom w:val="none" w:sz="0" w:space="0" w:color="auto"/>
                                                    <w:right w:val="none" w:sz="0" w:space="0" w:color="auto"/>
                                                  </w:divBdr>
                                                  <w:divsChild>
                                                    <w:div w:id="663124653">
                                                      <w:marLeft w:val="0"/>
                                                      <w:marRight w:val="0"/>
                                                      <w:marTop w:val="0"/>
                                                      <w:marBottom w:val="0"/>
                                                      <w:divBdr>
                                                        <w:top w:val="none" w:sz="0" w:space="0" w:color="auto"/>
                                                        <w:left w:val="none" w:sz="0" w:space="0" w:color="auto"/>
                                                        <w:bottom w:val="none" w:sz="0" w:space="0" w:color="auto"/>
                                                        <w:right w:val="none" w:sz="0" w:space="0" w:color="auto"/>
                                                      </w:divBdr>
                                                      <w:divsChild>
                                                        <w:div w:id="476454234">
                                                          <w:marLeft w:val="0"/>
                                                          <w:marRight w:val="0"/>
                                                          <w:marTop w:val="0"/>
                                                          <w:marBottom w:val="0"/>
                                                          <w:divBdr>
                                                            <w:top w:val="none" w:sz="0" w:space="0" w:color="auto"/>
                                                            <w:left w:val="none" w:sz="0" w:space="0" w:color="auto"/>
                                                            <w:bottom w:val="none" w:sz="0" w:space="0" w:color="auto"/>
                                                            <w:right w:val="none" w:sz="0" w:space="0" w:color="auto"/>
                                                          </w:divBdr>
                                                          <w:divsChild>
                                                            <w:div w:id="867255702">
                                                              <w:marLeft w:val="0"/>
                                                              <w:marRight w:val="0"/>
                                                              <w:marTop w:val="0"/>
                                                              <w:marBottom w:val="0"/>
                                                              <w:divBdr>
                                                                <w:top w:val="none" w:sz="0" w:space="0" w:color="auto"/>
                                                                <w:left w:val="none" w:sz="0" w:space="0" w:color="auto"/>
                                                                <w:bottom w:val="none" w:sz="0" w:space="0" w:color="auto"/>
                                                                <w:right w:val="none" w:sz="0" w:space="0" w:color="auto"/>
                                                              </w:divBdr>
                                                              <w:divsChild>
                                                                <w:div w:id="59327059">
                                                                  <w:marLeft w:val="0"/>
                                                                  <w:marRight w:val="0"/>
                                                                  <w:marTop w:val="0"/>
                                                                  <w:marBottom w:val="0"/>
                                                                  <w:divBdr>
                                                                    <w:top w:val="none" w:sz="0" w:space="0" w:color="auto"/>
                                                                    <w:left w:val="none" w:sz="0" w:space="0" w:color="auto"/>
                                                                    <w:bottom w:val="none" w:sz="0" w:space="0" w:color="auto"/>
                                                                    <w:right w:val="none" w:sz="0" w:space="0" w:color="auto"/>
                                                                  </w:divBdr>
                                                                  <w:divsChild>
                                                                    <w:div w:id="208275054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23206329">
                                                                          <w:marLeft w:val="0"/>
                                                                          <w:marRight w:val="0"/>
                                                                          <w:marTop w:val="0"/>
                                                                          <w:marBottom w:val="0"/>
                                                                          <w:divBdr>
                                                                            <w:top w:val="none" w:sz="0" w:space="0" w:color="auto"/>
                                                                            <w:left w:val="none" w:sz="0" w:space="0" w:color="auto"/>
                                                                            <w:bottom w:val="none" w:sz="0" w:space="0" w:color="auto"/>
                                                                            <w:right w:val="none" w:sz="0" w:space="0" w:color="auto"/>
                                                                          </w:divBdr>
                                                                          <w:divsChild>
                                                                            <w:div w:id="1150488459">
                                                                              <w:marLeft w:val="0"/>
                                                                              <w:marRight w:val="0"/>
                                                                              <w:marTop w:val="0"/>
                                                                              <w:marBottom w:val="0"/>
                                                                              <w:divBdr>
                                                                                <w:top w:val="none" w:sz="0" w:space="0" w:color="auto"/>
                                                                                <w:left w:val="none" w:sz="0" w:space="0" w:color="auto"/>
                                                                                <w:bottom w:val="none" w:sz="0" w:space="0" w:color="auto"/>
                                                                                <w:right w:val="none" w:sz="0" w:space="0" w:color="auto"/>
                                                                              </w:divBdr>
                                                                              <w:divsChild>
                                                                                <w:div w:id="626353448">
                                                                                  <w:marLeft w:val="0"/>
                                                                                  <w:marRight w:val="0"/>
                                                                                  <w:marTop w:val="0"/>
                                                                                  <w:marBottom w:val="0"/>
                                                                                  <w:divBdr>
                                                                                    <w:top w:val="none" w:sz="0" w:space="0" w:color="auto"/>
                                                                                    <w:left w:val="none" w:sz="0" w:space="0" w:color="auto"/>
                                                                                    <w:bottom w:val="none" w:sz="0" w:space="0" w:color="auto"/>
                                                                                    <w:right w:val="none" w:sz="0" w:space="0" w:color="auto"/>
                                                                                  </w:divBdr>
                                                                                </w:div>
                                                                                <w:div w:id="1836845567">
                                                                                  <w:marLeft w:val="0"/>
                                                                                  <w:marRight w:val="0"/>
                                                                                  <w:marTop w:val="0"/>
                                                                                  <w:marBottom w:val="0"/>
                                                                                  <w:divBdr>
                                                                                    <w:top w:val="none" w:sz="0" w:space="0" w:color="auto"/>
                                                                                    <w:left w:val="none" w:sz="0" w:space="0" w:color="auto"/>
                                                                                    <w:bottom w:val="none" w:sz="0" w:space="0" w:color="auto"/>
                                                                                    <w:right w:val="none" w:sz="0" w:space="0" w:color="auto"/>
                                                                                  </w:divBdr>
                                                                                  <w:divsChild>
                                                                                    <w:div w:id="1656177284">
                                                                                      <w:marLeft w:val="0"/>
                                                                                      <w:marRight w:val="0"/>
                                                                                      <w:marTop w:val="0"/>
                                                                                      <w:marBottom w:val="0"/>
                                                                                      <w:divBdr>
                                                                                        <w:top w:val="single" w:sz="8" w:space="3" w:color="E1E1E1"/>
                                                                                        <w:left w:val="none" w:sz="0" w:space="0" w:color="auto"/>
                                                                                        <w:bottom w:val="none" w:sz="0" w:space="0" w:color="auto"/>
                                                                                        <w:right w:val="none" w:sz="0" w:space="0" w:color="auto"/>
                                                                                      </w:divBdr>
                                                                                    </w:div>
                                                                                  </w:divsChild>
                                                                                </w:div>
                                                                                <w:div w:id="295524750">
                                                                                  <w:marLeft w:val="0"/>
                                                                                  <w:marRight w:val="0"/>
                                                                                  <w:marTop w:val="0"/>
                                                                                  <w:marBottom w:val="0"/>
                                                                                  <w:divBdr>
                                                                                    <w:top w:val="none" w:sz="0" w:space="0" w:color="auto"/>
                                                                                    <w:left w:val="none" w:sz="0" w:space="0" w:color="auto"/>
                                                                                    <w:bottom w:val="none" w:sz="0" w:space="0" w:color="auto"/>
                                                                                    <w:right w:val="none" w:sz="0" w:space="0" w:color="auto"/>
                                                                                  </w:divBdr>
                                                                                  <w:divsChild>
                                                                                    <w:div w:id="360519752">
                                                                                      <w:marLeft w:val="0"/>
                                                                                      <w:marRight w:val="0"/>
                                                                                      <w:marTop w:val="0"/>
                                                                                      <w:marBottom w:val="0"/>
                                                                                      <w:divBdr>
                                                                                        <w:top w:val="none" w:sz="0" w:space="0" w:color="auto"/>
                                                                                        <w:left w:val="none" w:sz="0" w:space="0" w:color="auto"/>
                                                                                        <w:bottom w:val="none" w:sz="0" w:space="0" w:color="auto"/>
                                                                                        <w:right w:val="none" w:sz="0" w:space="0" w:color="auto"/>
                                                                                      </w:divBdr>
                                                                                    </w:div>
                                                                                    <w:div w:id="500850290">
                                                                                      <w:marLeft w:val="0"/>
                                                                                      <w:marRight w:val="0"/>
                                                                                      <w:marTop w:val="0"/>
                                                                                      <w:marBottom w:val="0"/>
                                                                                      <w:divBdr>
                                                                                        <w:top w:val="none" w:sz="0" w:space="0" w:color="auto"/>
                                                                                        <w:left w:val="none" w:sz="0" w:space="0" w:color="auto"/>
                                                                                        <w:bottom w:val="none" w:sz="0" w:space="0" w:color="auto"/>
                                                                                        <w:right w:val="none" w:sz="0" w:space="0" w:color="auto"/>
                                                                                      </w:divBdr>
                                                                                    </w:div>
                                                                                    <w:div w:id="1379669473">
                                                                                      <w:marLeft w:val="0"/>
                                                                                      <w:marRight w:val="0"/>
                                                                                      <w:marTop w:val="0"/>
                                                                                      <w:marBottom w:val="0"/>
                                                                                      <w:divBdr>
                                                                                        <w:top w:val="none" w:sz="0" w:space="0" w:color="auto"/>
                                                                                        <w:left w:val="none" w:sz="0" w:space="0" w:color="auto"/>
                                                                                        <w:bottom w:val="none" w:sz="0" w:space="0" w:color="auto"/>
                                                                                        <w:right w:val="none" w:sz="0" w:space="0" w:color="auto"/>
                                                                                      </w:divBdr>
                                                                                    </w:div>
                                                                                    <w:div w:id="1987542239">
                                                                                      <w:marLeft w:val="0"/>
                                                                                      <w:marRight w:val="0"/>
                                                                                      <w:marTop w:val="0"/>
                                                                                      <w:marBottom w:val="0"/>
                                                                                      <w:divBdr>
                                                                                        <w:top w:val="none" w:sz="0" w:space="0" w:color="auto"/>
                                                                                        <w:left w:val="none" w:sz="0" w:space="0" w:color="auto"/>
                                                                                        <w:bottom w:val="none" w:sz="0" w:space="0" w:color="auto"/>
                                                                                        <w:right w:val="none" w:sz="0" w:space="0" w:color="auto"/>
                                                                                      </w:divBdr>
                                                                                    </w:div>
                                                                                    <w:div w:id="599025698">
                                                                                      <w:marLeft w:val="0"/>
                                                                                      <w:marRight w:val="0"/>
                                                                                      <w:marTop w:val="0"/>
                                                                                      <w:marBottom w:val="0"/>
                                                                                      <w:divBdr>
                                                                                        <w:top w:val="none" w:sz="0" w:space="0" w:color="auto"/>
                                                                                        <w:left w:val="none" w:sz="0" w:space="0" w:color="auto"/>
                                                                                        <w:bottom w:val="none" w:sz="0" w:space="0" w:color="auto"/>
                                                                                        <w:right w:val="none" w:sz="0" w:space="0" w:color="auto"/>
                                                                                      </w:divBdr>
                                                                                    </w:div>
                                                                                    <w:div w:id="391001746">
                                                                                      <w:marLeft w:val="0"/>
                                                                                      <w:marRight w:val="0"/>
                                                                                      <w:marTop w:val="0"/>
                                                                                      <w:marBottom w:val="0"/>
                                                                                      <w:divBdr>
                                                                                        <w:top w:val="none" w:sz="0" w:space="0" w:color="auto"/>
                                                                                        <w:left w:val="none" w:sz="0" w:space="0" w:color="auto"/>
                                                                                        <w:bottom w:val="none" w:sz="0" w:space="0" w:color="auto"/>
                                                                                        <w:right w:val="none" w:sz="0" w:space="0" w:color="auto"/>
                                                                                      </w:divBdr>
                                                                                    </w:div>
                                                                                    <w:div w:id="582643338">
                                                                                      <w:marLeft w:val="0"/>
                                                                                      <w:marRight w:val="0"/>
                                                                                      <w:marTop w:val="0"/>
                                                                                      <w:marBottom w:val="0"/>
                                                                                      <w:divBdr>
                                                                                        <w:top w:val="none" w:sz="0" w:space="0" w:color="auto"/>
                                                                                        <w:left w:val="none" w:sz="0" w:space="0" w:color="auto"/>
                                                                                        <w:bottom w:val="none" w:sz="0" w:space="0" w:color="auto"/>
                                                                                        <w:right w:val="none" w:sz="0" w:space="0" w:color="auto"/>
                                                                                      </w:divBdr>
                                                                                    </w:div>
                                                                                    <w:div w:id="1154032404">
                                                                                      <w:marLeft w:val="0"/>
                                                                                      <w:marRight w:val="0"/>
                                                                                      <w:marTop w:val="0"/>
                                                                                      <w:marBottom w:val="0"/>
                                                                                      <w:divBdr>
                                                                                        <w:top w:val="none" w:sz="0" w:space="0" w:color="auto"/>
                                                                                        <w:left w:val="none" w:sz="0" w:space="0" w:color="auto"/>
                                                                                        <w:bottom w:val="none" w:sz="0" w:space="0" w:color="auto"/>
                                                                                        <w:right w:val="none" w:sz="0" w:space="0" w:color="auto"/>
                                                                                      </w:divBdr>
                                                                                    </w:div>
                                                                                    <w:div w:id="1220283349">
                                                                                      <w:marLeft w:val="0"/>
                                                                                      <w:marRight w:val="0"/>
                                                                                      <w:marTop w:val="0"/>
                                                                                      <w:marBottom w:val="0"/>
                                                                                      <w:divBdr>
                                                                                        <w:top w:val="none" w:sz="0" w:space="0" w:color="auto"/>
                                                                                        <w:left w:val="none" w:sz="0" w:space="0" w:color="auto"/>
                                                                                        <w:bottom w:val="none" w:sz="0" w:space="0" w:color="auto"/>
                                                                                        <w:right w:val="none" w:sz="0" w:space="0" w:color="auto"/>
                                                                                      </w:divBdr>
                                                                                    </w:div>
                                                                                    <w:div w:id="1896164814">
                                                                                      <w:marLeft w:val="0"/>
                                                                                      <w:marRight w:val="0"/>
                                                                                      <w:marTop w:val="0"/>
                                                                                      <w:marBottom w:val="0"/>
                                                                                      <w:divBdr>
                                                                                        <w:top w:val="none" w:sz="0" w:space="0" w:color="auto"/>
                                                                                        <w:left w:val="none" w:sz="0" w:space="0" w:color="auto"/>
                                                                                        <w:bottom w:val="none" w:sz="0" w:space="0" w:color="auto"/>
                                                                                        <w:right w:val="none" w:sz="0" w:space="0" w:color="auto"/>
                                                                                      </w:divBdr>
                                                                                    </w:div>
                                                                                    <w:div w:id="1176189438">
                                                                                      <w:marLeft w:val="0"/>
                                                                                      <w:marRight w:val="0"/>
                                                                                      <w:marTop w:val="0"/>
                                                                                      <w:marBottom w:val="0"/>
                                                                                      <w:divBdr>
                                                                                        <w:top w:val="none" w:sz="0" w:space="0" w:color="auto"/>
                                                                                        <w:left w:val="none" w:sz="0" w:space="0" w:color="auto"/>
                                                                                        <w:bottom w:val="none" w:sz="0" w:space="0" w:color="auto"/>
                                                                                        <w:right w:val="none" w:sz="0" w:space="0" w:color="auto"/>
                                                                                      </w:divBdr>
                                                                                    </w:div>
                                                                                    <w:div w:id="1550922628">
                                                                                      <w:marLeft w:val="0"/>
                                                                                      <w:marRight w:val="0"/>
                                                                                      <w:marTop w:val="0"/>
                                                                                      <w:marBottom w:val="0"/>
                                                                                      <w:divBdr>
                                                                                        <w:top w:val="none" w:sz="0" w:space="0" w:color="auto"/>
                                                                                        <w:left w:val="none" w:sz="0" w:space="0" w:color="auto"/>
                                                                                        <w:bottom w:val="none" w:sz="0" w:space="0" w:color="auto"/>
                                                                                        <w:right w:val="none" w:sz="0" w:space="0" w:color="auto"/>
                                                                                      </w:divBdr>
                                                                                    </w:div>
                                                                                    <w:div w:id="1610577126">
                                                                                      <w:marLeft w:val="0"/>
                                                                                      <w:marRight w:val="0"/>
                                                                                      <w:marTop w:val="0"/>
                                                                                      <w:marBottom w:val="0"/>
                                                                                      <w:divBdr>
                                                                                        <w:top w:val="none" w:sz="0" w:space="0" w:color="auto"/>
                                                                                        <w:left w:val="none" w:sz="0" w:space="0" w:color="auto"/>
                                                                                        <w:bottom w:val="none" w:sz="0" w:space="0" w:color="auto"/>
                                                                                        <w:right w:val="none" w:sz="0" w:space="0" w:color="auto"/>
                                                                                      </w:divBdr>
                                                                                    </w:div>
                                                                                    <w:div w:id="1021400172">
                                                                                      <w:marLeft w:val="0"/>
                                                                                      <w:marRight w:val="0"/>
                                                                                      <w:marTop w:val="0"/>
                                                                                      <w:marBottom w:val="0"/>
                                                                                      <w:divBdr>
                                                                                        <w:top w:val="none" w:sz="0" w:space="0" w:color="auto"/>
                                                                                        <w:left w:val="none" w:sz="0" w:space="0" w:color="auto"/>
                                                                                        <w:bottom w:val="none" w:sz="0" w:space="0" w:color="auto"/>
                                                                                        <w:right w:val="none" w:sz="0" w:space="0" w:color="auto"/>
                                                                                      </w:divBdr>
                                                                                    </w:div>
                                                                                    <w:div w:id="1314483099">
                                                                                      <w:marLeft w:val="0"/>
                                                                                      <w:marRight w:val="0"/>
                                                                                      <w:marTop w:val="0"/>
                                                                                      <w:marBottom w:val="0"/>
                                                                                      <w:divBdr>
                                                                                        <w:top w:val="none" w:sz="0" w:space="0" w:color="auto"/>
                                                                                        <w:left w:val="none" w:sz="0" w:space="0" w:color="auto"/>
                                                                                        <w:bottom w:val="none" w:sz="0" w:space="0" w:color="auto"/>
                                                                                        <w:right w:val="none" w:sz="0" w:space="0" w:color="auto"/>
                                                                                      </w:divBdr>
                                                                                    </w:div>
                                                                                    <w:div w:id="1034308675">
                                                                                      <w:marLeft w:val="0"/>
                                                                                      <w:marRight w:val="0"/>
                                                                                      <w:marTop w:val="0"/>
                                                                                      <w:marBottom w:val="0"/>
                                                                                      <w:divBdr>
                                                                                        <w:top w:val="none" w:sz="0" w:space="0" w:color="auto"/>
                                                                                        <w:left w:val="none" w:sz="0" w:space="0" w:color="auto"/>
                                                                                        <w:bottom w:val="none" w:sz="0" w:space="0" w:color="auto"/>
                                                                                        <w:right w:val="none" w:sz="0" w:space="0" w:color="auto"/>
                                                                                      </w:divBdr>
                                                                                    </w:div>
                                                                                    <w:div w:id="1113867068">
                                                                                      <w:marLeft w:val="0"/>
                                                                                      <w:marRight w:val="0"/>
                                                                                      <w:marTop w:val="150"/>
                                                                                      <w:marBottom w:val="150"/>
                                                                                      <w:divBdr>
                                                                                        <w:top w:val="single" w:sz="8" w:space="0" w:color="CCCCCC"/>
                                                                                        <w:left w:val="none" w:sz="0" w:space="0" w:color="auto"/>
                                                                                        <w:bottom w:val="none" w:sz="0" w:space="0" w:color="auto"/>
                                                                                        <w:right w:val="none" w:sz="0" w:space="0" w:color="auto"/>
                                                                                      </w:divBdr>
                                                                                    </w:div>
                                                                                    <w:div w:id="993264566">
                                                                                      <w:marLeft w:val="0"/>
                                                                                      <w:marRight w:val="0"/>
                                                                                      <w:marTop w:val="0"/>
                                                                                      <w:marBottom w:val="0"/>
                                                                                      <w:divBdr>
                                                                                        <w:top w:val="none" w:sz="0" w:space="0" w:color="auto"/>
                                                                                        <w:left w:val="none" w:sz="0" w:space="0" w:color="auto"/>
                                                                                        <w:bottom w:val="none" w:sz="0" w:space="0" w:color="auto"/>
                                                                                        <w:right w:val="none" w:sz="0" w:space="0" w:color="auto"/>
                                                                                      </w:divBdr>
                                                                                      <w:divsChild>
                                                                                        <w:div w:id="1644776429">
                                                                                          <w:marLeft w:val="0"/>
                                                                                          <w:marRight w:val="0"/>
                                                                                          <w:marTop w:val="0"/>
                                                                                          <w:marBottom w:val="0"/>
                                                                                          <w:divBdr>
                                                                                            <w:top w:val="none" w:sz="0" w:space="0" w:color="auto"/>
                                                                                            <w:left w:val="none" w:sz="0" w:space="0" w:color="auto"/>
                                                                                            <w:bottom w:val="none" w:sz="0" w:space="0" w:color="auto"/>
                                                                                            <w:right w:val="none" w:sz="0" w:space="0" w:color="auto"/>
                                                                                          </w:divBdr>
                                                                                        </w:div>
                                                                                        <w:div w:id="1473715489">
                                                                                          <w:marLeft w:val="0"/>
                                                                                          <w:marRight w:val="0"/>
                                                                                          <w:marTop w:val="0"/>
                                                                                          <w:marBottom w:val="0"/>
                                                                                          <w:divBdr>
                                                                                            <w:top w:val="none" w:sz="0" w:space="0" w:color="auto"/>
                                                                                            <w:left w:val="none" w:sz="0" w:space="0" w:color="auto"/>
                                                                                            <w:bottom w:val="none" w:sz="0" w:space="0" w:color="auto"/>
                                                                                            <w:right w:val="none" w:sz="0" w:space="0" w:color="auto"/>
                                                                                          </w:divBdr>
                                                                                        </w:div>
                                                                                        <w:div w:id="116804292">
                                                                                          <w:marLeft w:val="0"/>
                                                                                          <w:marRight w:val="0"/>
                                                                                          <w:marTop w:val="0"/>
                                                                                          <w:marBottom w:val="0"/>
                                                                                          <w:divBdr>
                                                                                            <w:top w:val="none" w:sz="0" w:space="0" w:color="auto"/>
                                                                                            <w:left w:val="none" w:sz="0" w:space="0" w:color="auto"/>
                                                                                            <w:bottom w:val="none" w:sz="0" w:space="0" w:color="auto"/>
                                                                                            <w:right w:val="none" w:sz="0" w:space="0" w:color="auto"/>
                                                                                          </w:divBdr>
                                                                                        </w:div>
                                                                                        <w:div w:id="5292196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21075435">
                                                                                              <w:marLeft w:val="0"/>
                                                                                              <w:marRight w:val="0"/>
                                                                                              <w:marTop w:val="0"/>
                                                                                              <w:marBottom w:val="0"/>
                                                                                              <w:divBdr>
                                                                                                <w:top w:val="none" w:sz="0" w:space="0" w:color="auto"/>
                                                                                                <w:left w:val="none" w:sz="0" w:space="0" w:color="auto"/>
                                                                                                <w:bottom w:val="none" w:sz="0" w:space="0" w:color="auto"/>
                                                                                                <w:right w:val="none" w:sz="0" w:space="0" w:color="auto"/>
                                                                                              </w:divBdr>
                                                                                              <w:divsChild>
                                                                                                <w:div w:id="2083797844">
                                                                                                  <w:marLeft w:val="0"/>
                                                                                                  <w:marRight w:val="0"/>
                                                                                                  <w:marTop w:val="0"/>
                                                                                                  <w:marBottom w:val="0"/>
                                                                                                  <w:divBdr>
                                                                                                    <w:top w:val="none" w:sz="0" w:space="0" w:color="auto"/>
                                                                                                    <w:left w:val="none" w:sz="0" w:space="0" w:color="auto"/>
                                                                                                    <w:bottom w:val="none" w:sz="0" w:space="0" w:color="auto"/>
                                                                                                    <w:right w:val="none" w:sz="0" w:space="0" w:color="auto"/>
                                                                                                  </w:divBdr>
                                                                                                  <w:divsChild>
                                                                                                    <w:div w:id="1351105677">
                                                                                                      <w:marLeft w:val="0"/>
                                                                                                      <w:marRight w:val="0"/>
                                                                                                      <w:marTop w:val="0"/>
                                                                                                      <w:marBottom w:val="0"/>
                                                                                                      <w:divBdr>
                                                                                                        <w:top w:val="none" w:sz="0" w:space="0" w:color="auto"/>
                                                                                                        <w:left w:val="none" w:sz="0" w:space="0" w:color="auto"/>
                                                                                                        <w:bottom w:val="none" w:sz="0" w:space="0" w:color="auto"/>
                                                                                                        <w:right w:val="none" w:sz="0" w:space="0" w:color="auto"/>
                                                                                                      </w:divBdr>
                                                                                                    </w:div>
                                                                                                    <w:div w:id="1083377904">
                                                                                                      <w:marLeft w:val="0"/>
                                                                                                      <w:marRight w:val="0"/>
                                                                                                      <w:marTop w:val="0"/>
                                                                                                      <w:marBottom w:val="0"/>
                                                                                                      <w:divBdr>
                                                                                                        <w:top w:val="none" w:sz="0" w:space="0" w:color="auto"/>
                                                                                                        <w:left w:val="none" w:sz="0" w:space="0" w:color="auto"/>
                                                                                                        <w:bottom w:val="none" w:sz="0" w:space="0" w:color="auto"/>
                                                                                                        <w:right w:val="none" w:sz="0" w:space="0" w:color="auto"/>
                                                                                                      </w:divBdr>
                                                                                                      <w:divsChild>
                                                                                                        <w:div w:id="322858924">
                                                                                                          <w:marLeft w:val="0"/>
                                                                                                          <w:marRight w:val="0"/>
                                                                                                          <w:marTop w:val="0"/>
                                                                                                          <w:marBottom w:val="0"/>
                                                                                                          <w:divBdr>
                                                                                                            <w:top w:val="single" w:sz="8" w:space="3" w:color="E1E1E1"/>
                                                                                                            <w:left w:val="none" w:sz="0" w:space="0" w:color="auto"/>
                                                                                                            <w:bottom w:val="none" w:sz="0" w:space="0" w:color="auto"/>
                                                                                                            <w:right w:val="none" w:sz="0" w:space="0" w:color="auto"/>
                                                                                                          </w:divBdr>
                                                                                                        </w:div>
                                                                                                      </w:divsChild>
                                                                                                    </w:div>
                                                                                                    <w:div w:id="963344202">
                                                                                                      <w:marLeft w:val="0"/>
                                                                                                      <w:marRight w:val="0"/>
                                                                                                      <w:marTop w:val="0"/>
                                                                                                      <w:marBottom w:val="0"/>
                                                                                                      <w:divBdr>
                                                                                                        <w:top w:val="none" w:sz="0" w:space="0" w:color="auto"/>
                                                                                                        <w:left w:val="none" w:sz="0" w:space="0" w:color="auto"/>
                                                                                                        <w:bottom w:val="none" w:sz="0" w:space="0" w:color="auto"/>
                                                                                                        <w:right w:val="none" w:sz="0" w:space="0" w:color="auto"/>
                                                                                                      </w:divBdr>
                                                                                                      <w:divsChild>
                                                                                                        <w:div w:id="2043941739">
                                                                                                          <w:marLeft w:val="0"/>
                                                                                                          <w:marRight w:val="0"/>
                                                                                                          <w:marTop w:val="0"/>
                                                                                                          <w:marBottom w:val="0"/>
                                                                                                          <w:divBdr>
                                                                                                            <w:top w:val="none" w:sz="0" w:space="0" w:color="auto"/>
                                                                                                            <w:left w:val="none" w:sz="0" w:space="0" w:color="auto"/>
                                                                                                            <w:bottom w:val="none" w:sz="0" w:space="0" w:color="auto"/>
                                                                                                            <w:right w:val="none" w:sz="0" w:space="0" w:color="auto"/>
                                                                                                          </w:divBdr>
                                                                                                        </w:div>
                                                                                                        <w:div w:id="1791507197">
                                                                                                          <w:marLeft w:val="0"/>
                                                                                                          <w:marRight w:val="0"/>
                                                                                                          <w:marTop w:val="0"/>
                                                                                                          <w:marBottom w:val="0"/>
                                                                                                          <w:divBdr>
                                                                                                            <w:top w:val="none" w:sz="0" w:space="0" w:color="auto"/>
                                                                                                            <w:left w:val="none" w:sz="0" w:space="0" w:color="auto"/>
                                                                                                            <w:bottom w:val="none" w:sz="0" w:space="0" w:color="auto"/>
                                                                                                            <w:right w:val="none" w:sz="0" w:space="0" w:color="auto"/>
                                                                                                          </w:divBdr>
                                                                                                        </w:div>
                                                                                                        <w:div w:id="497813686">
                                                                                                          <w:marLeft w:val="0"/>
                                                                                                          <w:marRight w:val="0"/>
                                                                                                          <w:marTop w:val="0"/>
                                                                                                          <w:marBottom w:val="0"/>
                                                                                                          <w:divBdr>
                                                                                                            <w:top w:val="none" w:sz="0" w:space="0" w:color="auto"/>
                                                                                                            <w:left w:val="none" w:sz="0" w:space="0" w:color="auto"/>
                                                                                                            <w:bottom w:val="none" w:sz="0" w:space="0" w:color="auto"/>
                                                                                                            <w:right w:val="none" w:sz="0" w:space="0" w:color="auto"/>
                                                                                                          </w:divBdr>
                                                                                                        </w:div>
                                                                                                        <w:div w:id="902720657">
                                                                                                          <w:marLeft w:val="0"/>
                                                                                                          <w:marRight w:val="0"/>
                                                                                                          <w:marTop w:val="0"/>
                                                                                                          <w:marBottom w:val="0"/>
                                                                                                          <w:divBdr>
                                                                                                            <w:top w:val="none" w:sz="0" w:space="0" w:color="auto"/>
                                                                                                            <w:left w:val="none" w:sz="0" w:space="0" w:color="auto"/>
                                                                                                            <w:bottom w:val="none" w:sz="0" w:space="0" w:color="auto"/>
                                                                                                            <w:right w:val="none" w:sz="0" w:space="0" w:color="auto"/>
                                                                                                          </w:divBdr>
                                                                                                        </w:div>
                                                                                                        <w:div w:id="546141124">
                                                                                                          <w:marLeft w:val="0"/>
                                                                                                          <w:marRight w:val="0"/>
                                                                                                          <w:marTop w:val="0"/>
                                                                                                          <w:marBottom w:val="0"/>
                                                                                                          <w:divBdr>
                                                                                                            <w:top w:val="none" w:sz="0" w:space="0" w:color="auto"/>
                                                                                                            <w:left w:val="none" w:sz="0" w:space="0" w:color="auto"/>
                                                                                                            <w:bottom w:val="none" w:sz="0" w:space="0" w:color="auto"/>
                                                                                                            <w:right w:val="none" w:sz="0" w:space="0" w:color="auto"/>
                                                                                                          </w:divBdr>
                                                                                                        </w:div>
                                                                                                        <w:div w:id="1354726281">
                                                                                                          <w:marLeft w:val="0"/>
                                                                                                          <w:marRight w:val="0"/>
                                                                                                          <w:marTop w:val="0"/>
                                                                                                          <w:marBottom w:val="0"/>
                                                                                                          <w:divBdr>
                                                                                                            <w:top w:val="none" w:sz="0" w:space="0" w:color="auto"/>
                                                                                                            <w:left w:val="none" w:sz="0" w:space="0" w:color="auto"/>
                                                                                                            <w:bottom w:val="none" w:sz="0" w:space="0" w:color="auto"/>
                                                                                                            <w:right w:val="none" w:sz="0" w:space="0" w:color="auto"/>
                                                                                                          </w:divBdr>
                                                                                                        </w:div>
                                                                                                        <w:div w:id="1522011407">
                                                                                                          <w:marLeft w:val="0"/>
                                                                                                          <w:marRight w:val="0"/>
                                                                                                          <w:marTop w:val="0"/>
                                                                                                          <w:marBottom w:val="0"/>
                                                                                                          <w:divBdr>
                                                                                                            <w:top w:val="none" w:sz="0" w:space="0" w:color="auto"/>
                                                                                                            <w:left w:val="none" w:sz="0" w:space="0" w:color="auto"/>
                                                                                                            <w:bottom w:val="none" w:sz="0" w:space="0" w:color="auto"/>
                                                                                                            <w:right w:val="none" w:sz="0" w:space="0" w:color="auto"/>
                                                                                                          </w:divBdr>
                                                                                                        </w:div>
                                                                                                        <w:div w:id="2081513885">
                                                                                                          <w:marLeft w:val="0"/>
                                                                                                          <w:marRight w:val="0"/>
                                                                                                          <w:marTop w:val="150"/>
                                                                                                          <w:marBottom w:val="150"/>
                                                                                                          <w:divBdr>
                                                                                                            <w:top w:val="single" w:sz="8" w:space="0" w:color="CCCCCC"/>
                                                                                                            <w:left w:val="none" w:sz="0" w:space="0" w:color="auto"/>
                                                                                                            <w:bottom w:val="none" w:sz="0" w:space="0" w:color="auto"/>
                                                                                                            <w:right w:val="none" w:sz="0" w:space="0" w:color="auto"/>
                                                                                                          </w:divBdr>
                                                                                                        </w:div>
                                                                                                        <w:div w:id="629019182">
                                                                                                          <w:marLeft w:val="0"/>
                                                                                                          <w:marRight w:val="0"/>
                                                                                                          <w:marTop w:val="0"/>
                                                                                                          <w:marBottom w:val="0"/>
                                                                                                          <w:divBdr>
                                                                                                            <w:top w:val="none" w:sz="0" w:space="0" w:color="auto"/>
                                                                                                            <w:left w:val="none" w:sz="0" w:space="0" w:color="auto"/>
                                                                                                            <w:bottom w:val="none" w:sz="0" w:space="0" w:color="auto"/>
                                                                                                            <w:right w:val="none" w:sz="0" w:space="0" w:color="auto"/>
                                                                                                          </w:divBdr>
                                                                                                          <w:divsChild>
                                                                                                            <w:div w:id="1528829482">
                                                                                                              <w:marLeft w:val="0"/>
                                                                                                              <w:marRight w:val="0"/>
                                                                                                              <w:marTop w:val="0"/>
                                                                                                              <w:marBottom w:val="0"/>
                                                                                                              <w:divBdr>
                                                                                                                <w:top w:val="none" w:sz="0" w:space="0" w:color="auto"/>
                                                                                                                <w:left w:val="none" w:sz="0" w:space="0" w:color="auto"/>
                                                                                                                <w:bottom w:val="none" w:sz="0" w:space="0" w:color="auto"/>
                                                                                                                <w:right w:val="none" w:sz="0" w:space="0" w:color="auto"/>
                                                                                                              </w:divBdr>
                                                                                                            </w:div>
                                                                                                            <w:div w:id="1721712926">
                                                                                                              <w:marLeft w:val="0"/>
                                                                                                              <w:marRight w:val="0"/>
                                                                                                              <w:marTop w:val="0"/>
                                                                                                              <w:marBottom w:val="0"/>
                                                                                                              <w:divBdr>
                                                                                                                <w:top w:val="none" w:sz="0" w:space="0" w:color="auto"/>
                                                                                                                <w:left w:val="none" w:sz="0" w:space="0" w:color="auto"/>
                                                                                                                <w:bottom w:val="none" w:sz="0" w:space="0" w:color="auto"/>
                                                                                                                <w:right w:val="none" w:sz="0" w:space="0" w:color="auto"/>
                                                                                                              </w:divBdr>
                                                                                                            </w:div>
                                                                                                            <w:div w:id="1083137575">
                                                                                                              <w:marLeft w:val="0"/>
                                                                                                              <w:marRight w:val="0"/>
                                                                                                              <w:marTop w:val="0"/>
                                                                                                              <w:marBottom w:val="0"/>
                                                                                                              <w:divBdr>
                                                                                                                <w:top w:val="none" w:sz="0" w:space="0" w:color="auto"/>
                                                                                                                <w:left w:val="none" w:sz="0" w:space="0" w:color="auto"/>
                                                                                                                <w:bottom w:val="none" w:sz="0" w:space="0" w:color="auto"/>
                                                                                                                <w:right w:val="none" w:sz="0" w:space="0" w:color="auto"/>
                                                                                                              </w:divBdr>
                                                                                                            </w:div>
                                                                                                            <w:div w:id="177813483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47792234">
                                                                                                                  <w:marLeft w:val="0"/>
                                                                                                                  <w:marRight w:val="0"/>
                                                                                                                  <w:marTop w:val="0"/>
                                                                                                                  <w:marBottom w:val="0"/>
                                                                                                                  <w:divBdr>
                                                                                                                    <w:top w:val="none" w:sz="0" w:space="0" w:color="auto"/>
                                                                                                                    <w:left w:val="none" w:sz="0" w:space="0" w:color="auto"/>
                                                                                                                    <w:bottom w:val="none" w:sz="0" w:space="0" w:color="auto"/>
                                                                                                                    <w:right w:val="none" w:sz="0" w:space="0" w:color="auto"/>
                                                                                                                  </w:divBdr>
                                                                                                                  <w:divsChild>
                                                                                                                    <w:div w:id="1788937126">
                                                                                                                      <w:marLeft w:val="0"/>
                                                                                                                      <w:marRight w:val="0"/>
                                                                                                                      <w:marTop w:val="0"/>
                                                                                                                      <w:marBottom w:val="0"/>
                                                                                                                      <w:divBdr>
                                                                                                                        <w:top w:val="none" w:sz="0" w:space="0" w:color="auto"/>
                                                                                                                        <w:left w:val="none" w:sz="0" w:space="0" w:color="auto"/>
                                                                                                                        <w:bottom w:val="none" w:sz="0" w:space="0" w:color="auto"/>
                                                                                                                        <w:right w:val="none" w:sz="0" w:space="0" w:color="auto"/>
                                                                                                                      </w:divBdr>
                                                                                                                      <w:divsChild>
                                                                                                                        <w:div w:id="399132279">
                                                                                                                          <w:marLeft w:val="0"/>
                                                                                                                          <w:marRight w:val="0"/>
                                                                                                                          <w:marTop w:val="0"/>
                                                                                                                          <w:marBottom w:val="0"/>
                                                                                                                          <w:divBdr>
                                                                                                                            <w:top w:val="none" w:sz="0" w:space="0" w:color="auto"/>
                                                                                                                            <w:left w:val="none" w:sz="0" w:space="0" w:color="auto"/>
                                                                                                                            <w:bottom w:val="none" w:sz="0" w:space="0" w:color="auto"/>
                                                                                                                            <w:right w:val="none" w:sz="0" w:space="0" w:color="auto"/>
                                                                                                                          </w:divBdr>
                                                                                                                        </w:div>
                                                                                                                        <w:div w:id="510802946">
                                                                                                                          <w:marLeft w:val="0"/>
                                                                                                                          <w:marRight w:val="0"/>
                                                                                                                          <w:marTop w:val="0"/>
                                                                                                                          <w:marBottom w:val="0"/>
                                                                                                                          <w:divBdr>
                                                                                                                            <w:top w:val="none" w:sz="0" w:space="0" w:color="auto"/>
                                                                                                                            <w:left w:val="none" w:sz="0" w:space="0" w:color="auto"/>
                                                                                                                            <w:bottom w:val="none" w:sz="0" w:space="0" w:color="auto"/>
                                                                                                                            <w:right w:val="none" w:sz="0" w:space="0" w:color="auto"/>
                                                                                                                          </w:divBdr>
                                                                                                                          <w:divsChild>
                                                                                                                            <w:div w:id="1472867849">
                                                                                                                              <w:marLeft w:val="0"/>
                                                                                                                              <w:marRight w:val="0"/>
                                                                                                                              <w:marTop w:val="0"/>
                                                                                                                              <w:marBottom w:val="0"/>
                                                                                                                              <w:divBdr>
                                                                                                                                <w:top w:val="single" w:sz="8" w:space="3" w:color="E1E1E1"/>
                                                                                                                                <w:left w:val="none" w:sz="0" w:space="0" w:color="auto"/>
                                                                                                                                <w:bottom w:val="none" w:sz="0" w:space="0" w:color="auto"/>
                                                                                                                                <w:right w:val="none" w:sz="0" w:space="0" w:color="auto"/>
                                                                                                                              </w:divBdr>
                                                                                                                            </w:div>
                                                                                                                          </w:divsChild>
                                                                                                                        </w:div>
                                                                                                                        <w:div w:id="1218510984">
                                                                                                                          <w:marLeft w:val="0"/>
                                                                                                                          <w:marRight w:val="0"/>
                                                                                                                          <w:marTop w:val="0"/>
                                                                                                                          <w:marBottom w:val="0"/>
                                                                                                                          <w:divBdr>
                                                                                                                            <w:top w:val="none" w:sz="0" w:space="0" w:color="auto"/>
                                                                                                                            <w:left w:val="none" w:sz="0" w:space="0" w:color="auto"/>
                                                                                                                            <w:bottom w:val="none" w:sz="0" w:space="0" w:color="auto"/>
                                                                                                                            <w:right w:val="none" w:sz="0" w:space="0" w:color="auto"/>
                                                                                                                          </w:divBdr>
                                                                                                                          <w:divsChild>
                                                                                                                            <w:div w:id="1157921797">
                                                                                                                              <w:marLeft w:val="0"/>
                                                                                                                              <w:marRight w:val="0"/>
                                                                                                                              <w:marTop w:val="0"/>
                                                                                                                              <w:marBottom w:val="0"/>
                                                                                                                              <w:divBdr>
                                                                                                                                <w:top w:val="none" w:sz="0" w:space="0" w:color="auto"/>
                                                                                                                                <w:left w:val="none" w:sz="0" w:space="0" w:color="auto"/>
                                                                                                                                <w:bottom w:val="none" w:sz="0" w:space="0" w:color="auto"/>
                                                                                                                                <w:right w:val="none" w:sz="0" w:space="0" w:color="auto"/>
                                                                                                                              </w:divBdr>
                                                                                                                            </w:div>
                                                                                                                            <w:div w:id="2107265165">
                                                                                                                              <w:marLeft w:val="0"/>
                                                                                                                              <w:marRight w:val="0"/>
                                                                                                                              <w:marTop w:val="0"/>
                                                                                                                              <w:marBottom w:val="0"/>
                                                                                                                              <w:divBdr>
                                                                                                                                <w:top w:val="none" w:sz="0" w:space="0" w:color="auto"/>
                                                                                                                                <w:left w:val="none" w:sz="0" w:space="0" w:color="auto"/>
                                                                                                                                <w:bottom w:val="none" w:sz="0" w:space="0" w:color="auto"/>
                                                                                                                                <w:right w:val="none" w:sz="0" w:space="0" w:color="auto"/>
                                                                                                                              </w:divBdr>
                                                                                                                            </w:div>
                                                                                                                            <w:div w:id="1135483382">
                                                                                                                              <w:marLeft w:val="0"/>
                                                                                                                              <w:marRight w:val="0"/>
                                                                                                                              <w:marTop w:val="0"/>
                                                                                                                              <w:marBottom w:val="0"/>
                                                                                                                              <w:divBdr>
                                                                                                                                <w:top w:val="none" w:sz="0" w:space="0" w:color="auto"/>
                                                                                                                                <w:left w:val="none" w:sz="0" w:space="0" w:color="auto"/>
                                                                                                                                <w:bottom w:val="none" w:sz="0" w:space="0" w:color="auto"/>
                                                                                                                                <w:right w:val="none" w:sz="0" w:space="0" w:color="auto"/>
                                                                                                                              </w:divBdr>
                                                                                                                            </w:div>
                                                                                                                            <w:div w:id="142279039">
                                                                                                                              <w:marLeft w:val="0"/>
                                                                                                                              <w:marRight w:val="0"/>
                                                                                                                              <w:marTop w:val="150"/>
                                                                                                                              <w:marBottom w:val="150"/>
                                                                                                                              <w:divBdr>
                                                                                                                                <w:top w:val="single" w:sz="8" w:space="0" w:color="CCCCCC"/>
                                                                                                                                <w:left w:val="none" w:sz="0" w:space="0" w:color="auto"/>
                                                                                                                                <w:bottom w:val="none" w:sz="0" w:space="0" w:color="auto"/>
                                                                                                                                <w:right w:val="none" w:sz="0" w:space="0" w:color="auto"/>
                                                                                                                              </w:divBdr>
                                                                                                                            </w:div>
                                                                                                                            <w:div w:id="1418165298">
                                                                                                                              <w:marLeft w:val="0"/>
                                                                                                                              <w:marRight w:val="0"/>
                                                                                                                              <w:marTop w:val="0"/>
                                                                                                                              <w:marBottom w:val="0"/>
                                                                                                                              <w:divBdr>
                                                                                                                                <w:top w:val="none" w:sz="0" w:space="0" w:color="auto"/>
                                                                                                                                <w:left w:val="none" w:sz="0" w:space="0" w:color="auto"/>
                                                                                                                                <w:bottom w:val="none" w:sz="0" w:space="0" w:color="auto"/>
                                                                                                                                <w:right w:val="none" w:sz="0" w:space="0" w:color="auto"/>
                                                                                                                              </w:divBdr>
                                                                                                                              <w:divsChild>
                                                                                                                                <w:div w:id="1707683718">
                                                                                                                                  <w:marLeft w:val="0"/>
                                                                                                                                  <w:marRight w:val="0"/>
                                                                                                                                  <w:marTop w:val="0"/>
                                                                                                                                  <w:marBottom w:val="0"/>
                                                                                                                                  <w:divBdr>
                                                                                                                                    <w:top w:val="none" w:sz="0" w:space="0" w:color="auto"/>
                                                                                                                                    <w:left w:val="none" w:sz="0" w:space="0" w:color="auto"/>
                                                                                                                                    <w:bottom w:val="none" w:sz="0" w:space="0" w:color="auto"/>
                                                                                                                                    <w:right w:val="none" w:sz="0" w:space="0" w:color="auto"/>
                                                                                                                                  </w:divBdr>
                                                                                                                                </w:div>
                                                                                                                                <w:div w:id="58191753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85471270">
                                                                                                                                      <w:marLeft w:val="0"/>
                                                                                                                                      <w:marRight w:val="0"/>
                                                                                                                                      <w:marTop w:val="0"/>
                                                                                                                                      <w:marBottom w:val="0"/>
                                                                                                                                      <w:divBdr>
                                                                                                                                        <w:top w:val="none" w:sz="0" w:space="0" w:color="auto"/>
                                                                                                                                        <w:left w:val="none" w:sz="0" w:space="0" w:color="auto"/>
                                                                                                                                        <w:bottom w:val="none" w:sz="0" w:space="0" w:color="auto"/>
                                                                                                                                        <w:right w:val="none" w:sz="0" w:space="0" w:color="auto"/>
                                                                                                                                      </w:divBdr>
                                                                                                                                      <w:divsChild>
                                                                                                                                        <w:div w:id="2083334296">
                                                                                                                                          <w:marLeft w:val="0"/>
                                                                                                                                          <w:marRight w:val="0"/>
                                                                                                                                          <w:marTop w:val="0"/>
                                                                                                                                          <w:marBottom w:val="0"/>
                                                                                                                                          <w:divBdr>
                                                                                                                                            <w:top w:val="none" w:sz="0" w:space="0" w:color="auto"/>
                                                                                                                                            <w:left w:val="none" w:sz="0" w:space="0" w:color="auto"/>
                                                                                                                                            <w:bottom w:val="none" w:sz="0" w:space="0" w:color="auto"/>
                                                                                                                                            <w:right w:val="none" w:sz="0" w:space="0" w:color="auto"/>
                                                                                                                                          </w:divBdr>
                                                                                                                                          <w:divsChild>
                                                                                                                                            <w:div w:id="1142312951">
                                                                                                                                              <w:marLeft w:val="0"/>
                                                                                                                                              <w:marRight w:val="0"/>
                                                                                                                                              <w:marTop w:val="0"/>
                                                                                                                                              <w:marBottom w:val="0"/>
                                                                                                                                              <w:divBdr>
                                                                                                                                                <w:top w:val="none" w:sz="0" w:space="0" w:color="auto"/>
                                                                                                                                                <w:left w:val="none" w:sz="0" w:space="0" w:color="auto"/>
                                                                                                                                                <w:bottom w:val="none" w:sz="0" w:space="0" w:color="auto"/>
                                                                                                                                                <w:right w:val="none" w:sz="0" w:space="0" w:color="auto"/>
                                                                                                                                              </w:divBdr>
                                                                                                                                            </w:div>
                                                                                                                                            <w:div w:id="159469500">
                                                                                                                                              <w:marLeft w:val="0"/>
                                                                                                                                              <w:marRight w:val="0"/>
                                                                                                                                              <w:marTop w:val="0"/>
                                                                                                                                              <w:marBottom w:val="0"/>
                                                                                                                                              <w:divBdr>
                                                                                                                                                <w:top w:val="none" w:sz="0" w:space="0" w:color="auto"/>
                                                                                                                                                <w:left w:val="none" w:sz="0" w:space="0" w:color="auto"/>
                                                                                                                                                <w:bottom w:val="none" w:sz="0" w:space="0" w:color="auto"/>
                                                                                                                                                <w:right w:val="none" w:sz="0" w:space="0" w:color="auto"/>
                                                                                                                                              </w:divBdr>
                                                                                                                                              <w:divsChild>
                                                                                                                                                <w:div w:id="1652905523">
                                                                                                                                                  <w:marLeft w:val="0"/>
                                                                                                                                                  <w:marRight w:val="0"/>
                                                                                                                                                  <w:marTop w:val="0"/>
                                                                                                                                                  <w:marBottom w:val="0"/>
                                                                                                                                                  <w:divBdr>
                                                                                                                                                    <w:top w:val="single" w:sz="8" w:space="3" w:color="E1E1E1"/>
                                                                                                                                                    <w:left w:val="none" w:sz="0" w:space="0" w:color="auto"/>
                                                                                                                                                    <w:bottom w:val="none" w:sz="0" w:space="0" w:color="auto"/>
                                                                                                                                                    <w:right w:val="none" w:sz="0" w:space="0" w:color="auto"/>
                                                                                                                                                  </w:divBdr>
                                                                                                                                                </w:div>
                                                                                                                                              </w:divsChild>
                                                                                                                                            </w:div>
                                                                                                                                            <w:div w:id="322977296">
                                                                                                                                              <w:marLeft w:val="0"/>
                                                                                                                                              <w:marRight w:val="0"/>
                                                                                                                                              <w:marTop w:val="0"/>
                                                                                                                                              <w:marBottom w:val="0"/>
                                                                                                                                              <w:divBdr>
                                                                                                                                                <w:top w:val="none" w:sz="0" w:space="0" w:color="auto"/>
                                                                                                                                                <w:left w:val="none" w:sz="0" w:space="0" w:color="auto"/>
                                                                                                                                                <w:bottom w:val="none" w:sz="0" w:space="0" w:color="auto"/>
                                                                                                                                                <w:right w:val="none" w:sz="0" w:space="0" w:color="auto"/>
                                                                                                                                              </w:divBdr>
                                                                                                                                              <w:divsChild>
                                                                                                                                                <w:div w:id="270360173">
                                                                                                                                                  <w:marLeft w:val="0"/>
                                                                                                                                                  <w:marRight w:val="0"/>
                                                                                                                                                  <w:marTop w:val="0"/>
                                                                                                                                                  <w:marBottom w:val="0"/>
                                                                                                                                                  <w:divBdr>
                                                                                                                                                    <w:top w:val="none" w:sz="0" w:space="0" w:color="auto"/>
                                                                                                                                                    <w:left w:val="none" w:sz="0" w:space="0" w:color="auto"/>
                                                                                                                                                    <w:bottom w:val="none" w:sz="0" w:space="0" w:color="auto"/>
                                                                                                                                                    <w:right w:val="none" w:sz="0" w:space="0" w:color="auto"/>
                                                                                                                                                  </w:divBdr>
                                                                                                                                                </w:div>
                                                                                                                                                <w:div w:id="723871521">
                                                                                                                                                  <w:marLeft w:val="0"/>
                                                                                                                                                  <w:marRight w:val="0"/>
                                                                                                                                                  <w:marTop w:val="0"/>
                                                                                                                                                  <w:marBottom w:val="0"/>
                                                                                                                                                  <w:divBdr>
                                                                                                                                                    <w:top w:val="none" w:sz="0" w:space="0" w:color="auto"/>
                                                                                                                                                    <w:left w:val="none" w:sz="0" w:space="0" w:color="auto"/>
                                                                                                                                                    <w:bottom w:val="none" w:sz="0" w:space="0" w:color="auto"/>
                                                                                                                                                    <w:right w:val="none" w:sz="0" w:space="0" w:color="auto"/>
                                                                                                                                                  </w:divBdr>
                                                                                                                                                </w:div>
                                                                                                                                                <w:div w:id="1966962577">
                                                                                                                                                  <w:marLeft w:val="0"/>
                                                                                                                                                  <w:marRight w:val="0"/>
                                                                                                                                                  <w:marTop w:val="0"/>
                                                                                                                                                  <w:marBottom w:val="0"/>
                                                                                                                                                  <w:divBdr>
                                                                                                                                                    <w:top w:val="none" w:sz="0" w:space="0" w:color="auto"/>
                                                                                                                                                    <w:left w:val="none" w:sz="0" w:space="0" w:color="auto"/>
                                                                                                                                                    <w:bottom w:val="none" w:sz="0" w:space="0" w:color="auto"/>
                                                                                                                                                    <w:right w:val="none" w:sz="0" w:space="0" w:color="auto"/>
                                                                                                                                                  </w:divBdr>
                                                                                                                                                </w:div>
                                                                                                                                                <w:div w:id="625546218">
                                                                                                                                                  <w:marLeft w:val="0"/>
                                                                                                                                                  <w:marRight w:val="0"/>
                                                                                                                                                  <w:marTop w:val="0"/>
                                                                                                                                                  <w:marBottom w:val="0"/>
                                                                                                                                                  <w:divBdr>
                                                                                                                                                    <w:top w:val="none" w:sz="0" w:space="0" w:color="auto"/>
                                                                                                                                                    <w:left w:val="none" w:sz="0" w:space="0" w:color="auto"/>
                                                                                                                                                    <w:bottom w:val="none" w:sz="0" w:space="0" w:color="auto"/>
                                                                                                                                                    <w:right w:val="none" w:sz="0" w:space="0" w:color="auto"/>
                                                                                                                                                  </w:divBdr>
                                                                                                                                                </w:div>
                                                                                                                                                <w:div w:id="415980991">
                                                                                                                                                  <w:marLeft w:val="0"/>
                                                                                                                                                  <w:marRight w:val="0"/>
                                                                                                                                                  <w:marTop w:val="0"/>
                                                                                                                                                  <w:marBottom w:val="0"/>
                                                                                                                                                  <w:divBdr>
                                                                                                                                                    <w:top w:val="none" w:sz="0" w:space="0" w:color="auto"/>
                                                                                                                                                    <w:left w:val="none" w:sz="0" w:space="0" w:color="auto"/>
                                                                                                                                                    <w:bottom w:val="none" w:sz="0" w:space="0" w:color="auto"/>
                                                                                                                                                    <w:right w:val="none" w:sz="0" w:space="0" w:color="auto"/>
                                                                                                                                                  </w:divBdr>
                                                                                                                                                </w:div>
                                                                                                                                                <w:div w:id="111941002">
                                                                                                                                                  <w:marLeft w:val="0"/>
                                                                                                                                                  <w:marRight w:val="0"/>
                                                                                                                                                  <w:marTop w:val="0"/>
                                                                                                                                                  <w:marBottom w:val="0"/>
                                                                                                                                                  <w:divBdr>
                                                                                                                                                    <w:top w:val="none" w:sz="0" w:space="0" w:color="auto"/>
                                                                                                                                                    <w:left w:val="none" w:sz="0" w:space="0" w:color="auto"/>
                                                                                                                                                    <w:bottom w:val="none" w:sz="0" w:space="0" w:color="auto"/>
                                                                                                                                                    <w:right w:val="none" w:sz="0" w:space="0" w:color="auto"/>
                                                                                                                                                  </w:divBdr>
                                                                                                                                                </w:div>
                                                                                                                                                <w:div w:id="1519925523">
                                                                                                                                                  <w:marLeft w:val="0"/>
                                                                                                                                                  <w:marRight w:val="0"/>
                                                                                                                                                  <w:marTop w:val="0"/>
                                                                                                                                                  <w:marBottom w:val="0"/>
                                                                                                                                                  <w:divBdr>
                                                                                                                                                    <w:top w:val="none" w:sz="0" w:space="0" w:color="auto"/>
                                                                                                                                                    <w:left w:val="none" w:sz="0" w:space="0" w:color="auto"/>
                                                                                                                                                    <w:bottom w:val="none" w:sz="0" w:space="0" w:color="auto"/>
                                                                                                                                                    <w:right w:val="none" w:sz="0" w:space="0" w:color="auto"/>
                                                                                                                                                  </w:divBdr>
                                                                                                                                                </w:div>
                                                                                                                                                <w:div w:id="384179694">
                                                                                                                                                  <w:marLeft w:val="0"/>
                                                                                                                                                  <w:marRight w:val="0"/>
                                                                                                                                                  <w:marTop w:val="0"/>
                                                                                                                                                  <w:marBottom w:val="0"/>
                                                                                                                                                  <w:divBdr>
                                                                                                                                                    <w:top w:val="none" w:sz="0" w:space="0" w:color="auto"/>
                                                                                                                                                    <w:left w:val="none" w:sz="0" w:space="0" w:color="auto"/>
                                                                                                                                                    <w:bottom w:val="none" w:sz="0" w:space="0" w:color="auto"/>
                                                                                                                                                    <w:right w:val="none" w:sz="0" w:space="0" w:color="auto"/>
                                                                                                                                                  </w:divBdr>
                                                                                                                                                </w:div>
                                                                                                                                                <w:div w:id="955989685">
                                                                                                                                                  <w:marLeft w:val="0"/>
                                                                                                                                                  <w:marRight w:val="0"/>
                                                                                                                                                  <w:marTop w:val="0"/>
                                                                                                                                                  <w:marBottom w:val="0"/>
                                                                                                                                                  <w:divBdr>
                                                                                                                                                    <w:top w:val="none" w:sz="0" w:space="0" w:color="auto"/>
                                                                                                                                                    <w:left w:val="none" w:sz="0" w:space="0" w:color="auto"/>
                                                                                                                                                    <w:bottom w:val="none" w:sz="0" w:space="0" w:color="auto"/>
                                                                                                                                                    <w:right w:val="none" w:sz="0" w:space="0" w:color="auto"/>
                                                                                                                                                  </w:divBdr>
                                                                                                                                                </w:div>
                                                                                                                                                <w:div w:id="979916138">
                                                                                                                                                  <w:marLeft w:val="0"/>
                                                                                                                                                  <w:marRight w:val="0"/>
                                                                                                                                                  <w:marTop w:val="150"/>
                                                                                                                                                  <w:marBottom w:val="150"/>
                                                                                                                                                  <w:divBdr>
                                                                                                                                                    <w:top w:val="single" w:sz="8" w:space="0" w:color="CCCCCC"/>
                                                                                                                                                    <w:left w:val="none" w:sz="0" w:space="0" w:color="auto"/>
                                                                                                                                                    <w:bottom w:val="none" w:sz="0" w:space="0" w:color="auto"/>
                                                                                                                                                    <w:right w:val="none" w:sz="0" w:space="0" w:color="auto"/>
                                                                                                                                                  </w:divBdr>
                                                                                                                                                </w:div>
                                                                                                                                                <w:div w:id="803499583">
                                                                                                                                                  <w:marLeft w:val="0"/>
                                                                                                                                                  <w:marRight w:val="0"/>
                                                                                                                                                  <w:marTop w:val="0"/>
                                                                                                                                                  <w:marBottom w:val="0"/>
                                                                                                                                                  <w:divBdr>
                                                                                                                                                    <w:top w:val="none" w:sz="0" w:space="0" w:color="auto"/>
                                                                                                                                                    <w:left w:val="none" w:sz="0" w:space="0" w:color="auto"/>
                                                                                                                                                    <w:bottom w:val="none" w:sz="0" w:space="0" w:color="auto"/>
                                                                                                                                                    <w:right w:val="none" w:sz="0" w:space="0" w:color="auto"/>
                                                                                                                                                  </w:divBdr>
                                                                                                                                                  <w:divsChild>
                                                                                                                                                    <w:div w:id="1800143681">
                                                                                                                                                      <w:marLeft w:val="0"/>
                                                                                                                                                      <w:marRight w:val="0"/>
                                                                                                                                                      <w:marTop w:val="0"/>
                                                                                                                                                      <w:marBottom w:val="0"/>
                                                                                                                                                      <w:divBdr>
                                                                                                                                                        <w:top w:val="none" w:sz="0" w:space="0" w:color="auto"/>
                                                                                                                                                        <w:left w:val="none" w:sz="0" w:space="0" w:color="auto"/>
                                                                                                                                                        <w:bottom w:val="none" w:sz="0" w:space="0" w:color="auto"/>
                                                                                                                                                        <w:right w:val="none" w:sz="0" w:space="0" w:color="auto"/>
                                                                                                                                                      </w:divBdr>
                                                                                                                                                    </w:div>
                                                                                                                                                    <w:div w:id="12077895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93710501">
                                                                                                                                                          <w:marLeft w:val="0"/>
                                                                                                                                                          <w:marRight w:val="0"/>
                                                                                                                                                          <w:marTop w:val="0"/>
                                                                                                                                                          <w:marBottom w:val="0"/>
                                                                                                                                                          <w:divBdr>
                                                                                                                                                            <w:top w:val="none" w:sz="0" w:space="0" w:color="auto"/>
                                                                                                                                                            <w:left w:val="none" w:sz="0" w:space="0" w:color="auto"/>
                                                                                                                                                            <w:bottom w:val="none" w:sz="0" w:space="0" w:color="auto"/>
                                                                                                                                                            <w:right w:val="none" w:sz="0" w:space="0" w:color="auto"/>
                                                                                                                                                          </w:divBdr>
                                                                                                                                                          <w:divsChild>
                                                                                                                                                            <w:div w:id="1600336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705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0904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62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88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002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294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978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160527">
                                              <w:marLeft w:val="0"/>
                                              <w:marRight w:val="0"/>
                                              <w:marTop w:val="0"/>
                                              <w:marBottom w:val="0"/>
                                              <w:divBdr>
                                                <w:top w:val="none" w:sz="0" w:space="0" w:color="auto"/>
                                                <w:left w:val="none" w:sz="0" w:space="0" w:color="auto"/>
                                                <w:bottom w:val="none" w:sz="0" w:space="0" w:color="auto"/>
                                                <w:right w:val="none" w:sz="0" w:space="0" w:color="auto"/>
                                              </w:divBdr>
                                            </w:div>
                                          </w:divsChild>
                                        </w:div>
                                        <w:div w:id="1913851855">
                                          <w:marLeft w:val="225"/>
                                          <w:marRight w:val="225"/>
                                          <w:marTop w:val="150"/>
                                          <w:marBottom w:val="0"/>
                                          <w:divBdr>
                                            <w:top w:val="dotted" w:sz="6" w:space="8" w:color="E7E7E7"/>
                                            <w:left w:val="none" w:sz="0" w:space="0" w:color="E7E7E7"/>
                                            <w:bottom w:val="none" w:sz="0" w:space="8" w:color="E7E7E7"/>
                                            <w:right w:val="none" w:sz="0" w:space="0" w:color="E7E7E7"/>
                                          </w:divBdr>
                                        </w:div>
                                      </w:divsChild>
                                    </w:div>
                                  </w:divsChild>
                                </w:div>
                                <w:div w:id="78336333">
                                  <w:marLeft w:val="0"/>
                                  <w:marRight w:val="0"/>
                                  <w:marTop w:val="0"/>
                                  <w:marBottom w:val="0"/>
                                  <w:divBdr>
                                    <w:top w:val="none" w:sz="0" w:space="0" w:color="auto"/>
                                    <w:left w:val="none" w:sz="0" w:space="0" w:color="auto"/>
                                    <w:bottom w:val="none" w:sz="0" w:space="0" w:color="auto"/>
                                    <w:right w:val="none" w:sz="0" w:space="0" w:color="auto"/>
                                  </w:divBdr>
                                  <w:divsChild>
                                    <w:div w:id="1369262325">
                                      <w:marLeft w:val="0"/>
                                      <w:marRight w:val="0"/>
                                      <w:marTop w:val="0"/>
                                      <w:marBottom w:val="0"/>
                                      <w:divBdr>
                                        <w:top w:val="single" w:sz="6" w:space="0" w:color="D4D4D4"/>
                                        <w:left w:val="single" w:sz="6" w:space="0" w:color="D4D4D4"/>
                                        <w:bottom w:val="single" w:sz="6" w:space="0" w:color="D4D4D4"/>
                                        <w:right w:val="single" w:sz="6" w:space="0" w:color="D4D4D4"/>
                                      </w:divBdr>
                                      <w:divsChild>
                                        <w:div w:id="1812014145">
                                          <w:marLeft w:val="0"/>
                                          <w:marRight w:val="0"/>
                                          <w:marTop w:val="0"/>
                                          <w:marBottom w:val="0"/>
                                          <w:divBdr>
                                            <w:top w:val="none" w:sz="0" w:space="0" w:color="auto"/>
                                            <w:left w:val="none" w:sz="0" w:space="0" w:color="auto"/>
                                            <w:bottom w:val="none" w:sz="0" w:space="0" w:color="auto"/>
                                            <w:right w:val="none" w:sz="0" w:space="0" w:color="auto"/>
                                          </w:divBdr>
                                          <w:divsChild>
                                            <w:div w:id="973831089">
                                              <w:marLeft w:val="0"/>
                                              <w:marRight w:val="0"/>
                                              <w:marTop w:val="0"/>
                                              <w:marBottom w:val="0"/>
                                              <w:divBdr>
                                                <w:top w:val="none" w:sz="0" w:space="0" w:color="auto"/>
                                                <w:left w:val="none" w:sz="0" w:space="0" w:color="auto"/>
                                                <w:bottom w:val="none" w:sz="0" w:space="0" w:color="auto"/>
                                                <w:right w:val="none" w:sz="0" w:space="0" w:color="auto"/>
                                              </w:divBdr>
                                              <w:divsChild>
                                                <w:div w:id="1384325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8105036">
                              <w:marLeft w:val="0"/>
                              <w:marRight w:val="0"/>
                              <w:marTop w:val="0"/>
                              <w:marBottom w:val="0"/>
                              <w:divBdr>
                                <w:top w:val="none" w:sz="0" w:space="0" w:color="auto"/>
                                <w:left w:val="none" w:sz="0" w:space="0" w:color="auto"/>
                                <w:bottom w:val="none" w:sz="0" w:space="0" w:color="auto"/>
                                <w:right w:val="none" w:sz="0" w:space="0" w:color="auto"/>
                              </w:divBdr>
                              <w:divsChild>
                                <w:div w:id="1519155416">
                                  <w:marLeft w:val="150"/>
                                  <w:marRight w:val="150"/>
                                  <w:marTop w:val="225"/>
                                  <w:marBottom w:val="0"/>
                                  <w:divBdr>
                                    <w:top w:val="none" w:sz="0" w:space="0" w:color="auto"/>
                                    <w:left w:val="none" w:sz="0" w:space="0" w:color="auto"/>
                                    <w:bottom w:val="none" w:sz="0" w:space="0" w:color="auto"/>
                                    <w:right w:val="none" w:sz="0" w:space="0" w:color="auto"/>
                                  </w:divBdr>
                                  <w:divsChild>
                                    <w:div w:id="876158260">
                                      <w:marLeft w:val="0"/>
                                      <w:marRight w:val="0"/>
                                      <w:marTop w:val="0"/>
                                      <w:marBottom w:val="0"/>
                                      <w:divBdr>
                                        <w:top w:val="none" w:sz="0" w:space="0" w:color="auto"/>
                                        <w:left w:val="none" w:sz="0" w:space="0" w:color="auto"/>
                                        <w:bottom w:val="none" w:sz="0" w:space="0" w:color="auto"/>
                                        <w:right w:val="none" w:sz="0" w:space="0" w:color="auto"/>
                                      </w:divBdr>
                                    </w:div>
                                  </w:divsChild>
                                </w:div>
                                <w:div w:id="845707022">
                                  <w:marLeft w:val="0"/>
                                  <w:marRight w:val="0"/>
                                  <w:marTop w:val="0"/>
                                  <w:marBottom w:val="0"/>
                                  <w:divBdr>
                                    <w:top w:val="none" w:sz="0" w:space="0" w:color="auto"/>
                                    <w:left w:val="none" w:sz="0" w:space="0" w:color="auto"/>
                                    <w:bottom w:val="none" w:sz="0" w:space="0" w:color="auto"/>
                                    <w:right w:val="none" w:sz="0" w:space="0" w:color="auto"/>
                                  </w:divBdr>
                                  <w:divsChild>
                                    <w:div w:id="427694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57244230">
          <w:marLeft w:val="0"/>
          <w:marRight w:val="0"/>
          <w:marTop w:val="0"/>
          <w:marBottom w:val="0"/>
          <w:divBdr>
            <w:top w:val="none" w:sz="0" w:space="0" w:color="auto"/>
            <w:left w:val="single" w:sz="2" w:space="0" w:color="auto"/>
            <w:bottom w:val="none" w:sz="0" w:space="0" w:color="auto"/>
            <w:right w:val="none" w:sz="0" w:space="0" w:color="auto"/>
          </w:divBdr>
          <w:divsChild>
            <w:div w:id="751241033">
              <w:marLeft w:val="0"/>
              <w:marRight w:val="0"/>
              <w:marTop w:val="0"/>
              <w:marBottom w:val="0"/>
              <w:divBdr>
                <w:top w:val="none" w:sz="0" w:space="0" w:color="auto"/>
                <w:left w:val="none" w:sz="0" w:space="0" w:color="auto"/>
                <w:bottom w:val="none" w:sz="0" w:space="0" w:color="auto"/>
                <w:right w:val="none" w:sz="0" w:space="0" w:color="auto"/>
              </w:divBdr>
              <w:divsChild>
                <w:div w:id="1753501829">
                  <w:marLeft w:val="0"/>
                  <w:marRight w:val="0"/>
                  <w:marTop w:val="0"/>
                  <w:marBottom w:val="0"/>
                  <w:divBdr>
                    <w:top w:val="none" w:sz="0" w:space="0" w:color="auto"/>
                    <w:left w:val="none" w:sz="0" w:space="0" w:color="auto"/>
                    <w:bottom w:val="none" w:sz="0" w:space="0" w:color="auto"/>
                    <w:right w:val="none" w:sz="0" w:space="0" w:color="auto"/>
                  </w:divBdr>
                  <w:divsChild>
                    <w:div w:id="1626737577">
                      <w:marLeft w:val="0"/>
                      <w:marRight w:val="0"/>
                      <w:marTop w:val="0"/>
                      <w:marBottom w:val="0"/>
                      <w:divBdr>
                        <w:top w:val="none" w:sz="0" w:space="0" w:color="auto"/>
                        <w:left w:val="none" w:sz="0" w:space="0" w:color="auto"/>
                        <w:bottom w:val="none" w:sz="0" w:space="0" w:color="auto"/>
                        <w:right w:val="none" w:sz="0" w:space="0" w:color="auto"/>
                      </w:divBdr>
                      <w:divsChild>
                        <w:div w:id="1678923348">
                          <w:marLeft w:val="0"/>
                          <w:marRight w:val="0"/>
                          <w:marTop w:val="0"/>
                          <w:marBottom w:val="0"/>
                          <w:divBdr>
                            <w:top w:val="none" w:sz="0" w:space="0" w:color="auto"/>
                            <w:left w:val="none" w:sz="0" w:space="0" w:color="auto"/>
                            <w:bottom w:val="single" w:sz="6" w:space="0" w:color="E7E7E7"/>
                            <w:right w:val="none" w:sz="0" w:space="0" w:color="auto"/>
                          </w:divBdr>
                          <w:divsChild>
                            <w:div w:id="726879730">
                              <w:marLeft w:val="0"/>
                              <w:marRight w:val="0"/>
                              <w:marTop w:val="0"/>
                              <w:marBottom w:val="0"/>
                              <w:divBdr>
                                <w:top w:val="none" w:sz="0" w:space="0" w:color="auto"/>
                                <w:left w:val="none" w:sz="0" w:space="0" w:color="auto"/>
                                <w:bottom w:val="none" w:sz="0" w:space="0" w:color="auto"/>
                                <w:right w:val="none" w:sz="0" w:space="0" w:color="auto"/>
                              </w:divBdr>
                            </w:div>
                            <w:div w:id="1302271564">
                              <w:marLeft w:val="0"/>
                              <w:marRight w:val="0"/>
                              <w:marTop w:val="0"/>
                              <w:marBottom w:val="0"/>
                              <w:divBdr>
                                <w:top w:val="none" w:sz="0" w:space="0" w:color="auto"/>
                                <w:left w:val="none" w:sz="0" w:space="0" w:color="auto"/>
                                <w:bottom w:val="none" w:sz="0" w:space="0" w:color="auto"/>
                                <w:right w:val="none" w:sz="0" w:space="0" w:color="auto"/>
                              </w:divBdr>
                            </w:div>
                          </w:divsChild>
                        </w:div>
                        <w:div w:id="1253780736">
                          <w:marLeft w:val="0"/>
                          <w:marRight w:val="0"/>
                          <w:marTop w:val="0"/>
                          <w:marBottom w:val="0"/>
                          <w:divBdr>
                            <w:top w:val="none" w:sz="0" w:space="0" w:color="auto"/>
                            <w:left w:val="none" w:sz="0" w:space="0" w:color="auto"/>
                            <w:bottom w:val="none" w:sz="0" w:space="0" w:color="auto"/>
                            <w:right w:val="none" w:sz="0" w:space="0" w:color="auto"/>
                          </w:divBdr>
                          <w:divsChild>
                            <w:div w:id="1875312945">
                              <w:marLeft w:val="0"/>
                              <w:marRight w:val="0"/>
                              <w:marTop w:val="0"/>
                              <w:marBottom w:val="0"/>
                              <w:divBdr>
                                <w:top w:val="single" w:sz="6" w:space="0" w:color="E7E7E7"/>
                                <w:left w:val="single" w:sz="6" w:space="0" w:color="E7E7E7"/>
                                <w:bottom w:val="single" w:sz="6" w:space="0" w:color="E7E7E7"/>
                                <w:right w:val="single" w:sz="6" w:space="0" w:color="E7E7E7"/>
                              </w:divBdr>
                            </w:div>
                          </w:divsChild>
                        </w:div>
                      </w:divsChild>
                    </w:div>
                  </w:divsChild>
                </w:div>
              </w:divsChild>
            </w:div>
            <w:div w:id="141139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58178">
      <w:bodyDiv w:val="1"/>
      <w:marLeft w:val="0"/>
      <w:marRight w:val="0"/>
      <w:marTop w:val="0"/>
      <w:marBottom w:val="0"/>
      <w:divBdr>
        <w:top w:val="none" w:sz="0" w:space="0" w:color="auto"/>
        <w:left w:val="none" w:sz="0" w:space="0" w:color="auto"/>
        <w:bottom w:val="none" w:sz="0" w:space="0" w:color="auto"/>
        <w:right w:val="none" w:sz="0" w:space="0" w:color="auto"/>
      </w:divBdr>
    </w:div>
    <w:div w:id="191379366">
      <w:bodyDiv w:val="1"/>
      <w:marLeft w:val="0"/>
      <w:marRight w:val="0"/>
      <w:marTop w:val="0"/>
      <w:marBottom w:val="0"/>
      <w:divBdr>
        <w:top w:val="none" w:sz="0" w:space="0" w:color="auto"/>
        <w:left w:val="none" w:sz="0" w:space="0" w:color="auto"/>
        <w:bottom w:val="none" w:sz="0" w:space="0" w:color="auto"/>
        <w:right w:val="none" w:sz="0" w:space="0" w:color="auto"/>
      </w:divBdr>
    </w:div>
    <w:div w:id="191958637">
      <w:bodyDiv w:val="1"/>
      <w:marLeft w:val="0"/>
      <w:marRight w:val="0"/>
      <w:marTop w:val="0"/>
      <w:marBottom w:val="0"/>
      <w:divBdr>
        <w:top w:val="none" w:sz="0" w:space="0" w:color="auto"/>
        <w:left w:val="none" w:sz="0" w:space="0" w:color="auto"/>
        <w:bottom w:val="none" w:sz="0" w:space="0" w:color="auto"/>
        <w:right w:val="none" w:sz="0" w:space="0" w:color="auto"/>
      </w:divBdr>
    </w:div>
    <w:div w:id="192497588">
      <w:bodyDiv w:val="1"/>
      <w:marLeft w:val="0"/>
      <w:marRight w:val="0"/>
      <w:marTop w:val="0"/>
      <w:marBottom w:val="0"/>
      <w:divBdr>
        <w:top w:val="none" w:sz="0" w:space="0" w:color="auto"/>
        <w:left w:val="none" w:sz="0" w:space="0" w:color="auto"/>
        <w:bottom w:val="none" w:sz="0" w:space="0" w:color="auto"/>
        <w:right w:val="none" w:sz="0" w:space="0" w:color="auto"/>
      </w:divBdr>
      <w:divsChild>
        <w:div w:id="529532131">
          <w:marLeft w:val="0"/>
          <w:marRight w:val="0"/>
          <w:marTop w:val="0"/>
          <w:marBottom w:val="0"/>
          <w:divBdr>
            <w:top w:val="none" w:sz="0" w:space="0" w:color="auto"/>
            <w:left w:val="none" w:sz="0" w:space="0" w:color="auto"/>
            <w:bottom w:val="none" w:sz="0" w:space="0" w:color="auto"/>
            <w:right w:val="none" w:sz="0" w:space="0" w:color="auto"/>
          </w:divBdr>
          <w:divsChild>
            <w:div w:id="528569978">
              <w:marLeft w:val="0"/>
              <w:marRight w:val="0"/>
              <w:marTop w:val="0"/>
              <w:marBottom w:val="0"/>
              <w:divBdr>
                <w:top w:val="none" w:sz="0" w:space="0" w:color="auto"/>
                <w:left w:val="none" w:sz="0" w:space="0" w:color="auto"/>
                <w:bottom w:val="none" w:sz="0" w:space="0" w:color="auto"/>
                <w:right w:val="none" w:sz="0" w:space="0" w:color="auto"/>
              </w:divBdr>
              <w:divsChild>
                <w:div w:id="1411149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426004">
      <w:bodyDiv w:val="1"/>
      <w:marLeft w:val="0"/>
      <w:marRight w:val="0"/>
      <w:marTop w:val="0"/>
      <w:marBottom w:val="0"/>
      <w:divBdr>
        <w:top w:val="none" w:sz="0" w:space="0" w:color="auto"/>
        <w:left w:val="none" w:sz="0" w:space="0" w:color="auto"/>
        <w:bottom w:val="none" w:sz="0" w:space="0" w:color="auto"/>
        <w:right w:val="none" w:sz="0" w:space="0" w:color="auto"/>
      </w:divBdr>
    </w:div>
    <w:div w:id="196283687">
      <w:bodyDiv w:val="1"/>
      <w:marLeft w:val="0"/>
      <w:marRight w:val="0"/>
      <w:marTop w:val="0"/>
      <w:marBottom w:val="0"/>
      <w:divBdr>
        <w:top w:val="none" w:sz="0" w:space="0" w:color="auto"/>
        <w:left w:val="none" w:sz="0" w:space="0" w:color="auto"/>
        <w:bottom w:val="none" w:sz="0" w:space="0" w:color="auto"/>
        <w:right w:val="none" w:sz="0" w:space="0" w:color="auto"/>
      </w:divBdr>
    </w:div>
    <w:div w:id="199439471">
      <w:bodyDiv w:val="1"/>
      <w:marLeft w:val="0"/>
      <w:marRight w:val="0"/>
      <w:marTop w:val="0"/>
      <w:marBottom w:val="0"/>
      <w:divBdr>
        <w:top w:val="none" w:sz="0" w:space="0" w:color="auto"/>
        <w:left w:val="none" w:sz="0" w:space="0" w:color="auto"/>
        <w:bottom w:val="none" w:sz="0" w:space="0" w:color="auto"/>
        <w:right w:val="none" w:sz="0" w:space="0" w:color="auto"/>
      </w:divBdr>
    </w:div>
    <w:div w:id="203641055">
      <w:bodyDiv w:val="1"/>
      <w:marLeft w:val="0"/>
      <w:marRight w:val="0"/>
      <w:marTop w:val="0"/>
      <w:marBottom w:val="0"/>
      <w:divBdr>
        <w:top w:val="none" w:sz="0" w:space="0" w:color="auto"/>
        <w:left w:val="none" w:sz="0" w:space="0" w:color="auto"/>
        <w:bottom w:val="none" w:sz="0" w:space="0" w:color="auto"/>
        <w:right w:val="none" w:sz="0" w:space="0" w:color="auto"/>
      </w:divBdr>
    </w:div>
    <w:div w:id="204831602">
      <w:bodyDiv w:val="1"/>
      <w:marLeft w:val="0"/>
      <w:marRight w:val="0"/>
      <w:marTop w:val="0"/>
      <w:marBottom w:val="0"/>
      <w:divBdr>
        <w:top w:val="none" w:sz="0" w:space="0" w:color="auto"/>
        <w:left w:val="none" w:sz="0" w:space="0" w:color="auto"/>
        <w:bottom w:val="none" w:sz="0" w:space="0" w:color="auto"/>
        <w:right w:val="none" w:sz="0" w:space="0" w:color="auto"/>
      </w:divBdr>
    </w:div>
    <w:div w:id="210961210">
      <w:bodyDiv w:val="1"/>
      <w:marLeft w:val="0"/>
      <w:marRight w:val="0"/>
      <w:marTop w:val="0"/>
      <w:marBottom w:val="0"/>
      <w:divBdr>
        <w:top w:val="none" w:sz="0" w:space="0" w:color="auto"/>
        <w:left w:val="none" w:sz="0" w:space="0" w:color="auto"/>
        <w:bottom w:val="none" w:sz="0" w:space="0" w:color="auto"/>
        <w:right w:val="none" w:sz="0" w:space="0" w:color="auto"/>
      </w:divBdr>
    </w:div>
    <w:div w:id="211114521">
      <w:bodyDiv w:val="1"/>
      <w:marLeft w:val="0"/>
      <w:marRight w:val="0"/>
      <w:marTop w:val="0"/>
      <w:marBottom w:val="0"/>
      <w:divBdr>
        <w:top w:val="none" w:sz="0" w:space="0" w:color="auto"/>
        <w:left w:val="none" w:sz="0" w:space="0" w:color="auto"/>
        <w:bottom w:val="none" w:sz="0" w:space="0" w:color="auto"/>
        <w:right w:val="none" w:sz="0" w:space="0" w:color="auto"/>
      </w:divBdr>
    </w:div>
    <w:div w:id="213976060">
      <w:bodyDiv w:val="1"/>
      <w:marLeft w:val="0"/>
      <w:marRight w:val="0"/>
      <w:marTop w:val="0"/>
      <w:marBottom w:val="0"/>
      <w:divBdr>
        <w:top w:val="none" w:sz="0" w:space="0" w:color="auto"/>
        <w:left w:val="none" w:sz="0" w:space="0" w:color="auto"/>
        <w:bottom w:val="none" w:sz="0" w:space="0" w:color="auto"/>
        <w:right w:val="none" w:sz="0" w:space="0" w:color="auto"/>
      </w:divBdr>
    </w:div>
    <w:div w:id="214701767">
      <w:bodyDiv w:val="1"/>
      <w:marLeft w:val="0"/>
      <w:marRight w:val="0"/>
      <w:marTop w:val="0"/>
      <w:marBottom w:val="0"/>
      <w:divBdr>
        <w:top w:val="none" w:sz="0" w:space="0" w:color="auto"/>
        <w:left w:val="none" w:sz="0" w:space="0" w:color="auto"/>
        <w:bottom w:val="none" w:sz="0" w:space="0" w:color="auto"/>
        <w:right w:val="none" w:sz="0" w:space="0" w:color="auto"/>
      </w:divBdr>
    </w:div>
    <w:div w:id="216742389">
      <w:bodyDiv w:val="1"/>
      <w:marLeft w:val="0"/>
      <w:marRight w:val="0"/>
      <w:marTop w:val="0"/>
      <w:marBottom w:val="0"/>
      <w:divBdr>
        <w:top w:val="none" w:sz="0" w:space="0" w:color="auto"/>
        <w:left w:val="none" w:sz="0" w:space="0" w:color="auto"/>
        <w:bottom w:val="none" w:sz="0" w:space="0" w:color="auto"/>
        <w:right w:val="none" w:sz="0" w:space="0" w:color="auto"/>
      </w:divBdr>
    </w:div>
    <w:div w:id="223951270">
      <w:bodyDiv w:val="1"/>
      <w:marLeft w:val="0"/>
      <w:marRight w:val="0"/>
      <w:marTop w:val="0"/>
      <w:marBottom w:val="0"/>
      <w:divBdr>
        <w:top w:val="none" w:sz="0" w:space="0" w:color="auto"/>
        <w:left w:val="none" w:sz="0" w:space="0" w:color="auto"/>
        <w:bottom w:val="none" w:sz="0" w:space="0" w:color="auto"/>
        <w:right w:val="none" w:sz="0" w:space="0" w:color="auto"/>
      </w:divBdr>
      <w:divsChild>
        <w:div w:id="1392534709">
          <w:marLeft w:val="0"/>
          <w:marRight w:val="0"/>
          <w:marTop w:val="0"/>
          <w:marBottom w:val="0"/>
          <w:divBdr>
            <w:top w:val="none" w:sz="0" w:space="0" w:color="auto"/>
            <w:left w:val="none" w:sz="0" w:space="0" w:color="auto"/>
            <w:bottom w:val="none" w:sz="0" w:space="0" w:color="auto"/>
            <w:right w:val="none" w:sz="0" w:space="0" w:color="auto"/>
          </w:divBdr>
          <w:divsChild>
            <w:div w:id="798767220">
              <w:marLeft w:val="0"/>
              <w:marRight w:val="0"/>
              <w:marTop w:val="0"/>
              <w:marBottom w:val="0"/>
              <w:divBdr>
                <w:top w:val="none" w:sz="0" w:space="0" w:color="auto"/>
                <w:left w:val="none" w:sz="0" w:space="0" w:color="auto"/>
                <w:bottom w:val="none" w:sz="0" w:space="0" w:color="auto"/>
                <w:right w:val="none" w:sz="0" w:space="0" w:color="auto"/>
              </w:divBdr>
              <w:divsChild>
                <w:div w:id="931165724">
                  <w:marLeft w:val="0"/>
                  <w:marRight w:val="0"/>
                  <w:marTop w:val="0"/>
                  <w:marBottom w:val="0"/>
                  <w:divBdr>
                    <w:top w:val="none" w:sz="0" w:space="0" w:color="auto"/>
                    <w:left w:val="none" w:sz="0" w:space="0" w:color="auto"/>
                    <w:bottom w:val="none" w:sz="0" w:space="0" w:color="auto"/>
                    <w:right w:val="none" w:sz="0" w:space="0" w:color="auto"/>
                  </w:divBdr>
                  <w:divsChild>
                    <w:div w:id="362438023">
                      <w:marLeft w:val="0"/>
                      <w:marRight w:val="0"/>
                      <w:marTop w:val="0"/>
                      <w:marBottom w:val="0"/>
                      <w:divBdr>
                        <w:top w:val="none" w:sz="0" w:space="0" w:color="auto"/>
                        <w:left w:val="none" w:sz="0" w:space="0" w:color="auto"/>
                        <w:bottom w:val="none" w:sz="0" w:space="0" w:color="auto"/>
                        <w:right w:val="none" w:sz="0" w:space="0" w:color="auto"/>
                      </w:divBdr>
                      <w:divsChild>
                        <w:div w:id="1048066403">
                          <w:marLeft w:val="0"/>
                          <w:marRight w:val="0"/>
                          <w:marTop w:val="0"/>
                          <w:marBottom w:val="165"/>
                          <w:divBdr>
                            <w:top w:val="none" w:sz="0" w:space="0" w:color="auto"/>
                            <w:left w:val="none" w:sz="0" w:space="0" w:color="auto"/>
                            <w:bottom w:val="none" w:sz="0" w:space="0" w:color="auto"/>
                            <w:right w:val="none" w:sz="0" w:space="0" w:color="auto"/>
                          </w:divBdr>
                          <w:divsChild>
                            <w:div w:id="1459107522">
                              <w:marLeft w:val="0"/>
                              <w:marRight w:val="0"/>
                              <w:marTop w:val="0"/>
                              <w:marBottom w:val="0"/>
                              <w:divBdr>
                                <w:top w:val="none" w:sz="0" w:space="0" w:color="auto"/>
                                <w:left w:val="none" w:sz="0" w:space="0" w:color="auto"/>
                                <w:bottom w:val="none" w:sz="0" w:space="0" w:color="auto"/>
                                <w:right w:val="none" w:sz="0" w:space="0" w:color="auto"/>
                              </w:divBdr>
                              <w:divsChild>
                                <w:div w:id="1973903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26771260">
      <w:bodyDiv w:val="1"/>
      <w:marLeft w:val="0"/>
      <w:marRight w:val="0"/>
      <w:marTop w:val="0"/>
      <w:marBottom w:val="0"/>
      <w:divBdr>
        <w:top w:val="none" w:sz="0" w:space="0" w:color="auto"/>
        <w:left w:val="none" w:sz="0" w:space="0" w:color="auto"/>
        <w:bottom w:val="none" w:sz="0" w:space="0" w:color="auto"/>
        <w:right w:val="none" w:sz="0" w:space="0" w:color="auto"/>
      </w:divBdr>
    </w:div>
    <w:div w:id="227493697">
      <w:bodyDiv w:val="1"/>
      <w:marLeft w:val="0"/>
      <w:marRight w:val="0"/>
      <w:marTop w:val="0"/>
      <w:marBottom w:val="0"/>
      <w:divBdr>
        <w:top w:val="none" w:sz="0" w:space="0" w:color="auto"/>
        <w:left w:val="none" w:sz="0" w:space="0" w:color="auto"/>
        <w:bottom w:val="none" w:sz="0" w:space="0" w:color="auto"/>
        <w:right w:val="none" w:sz="0" w:space="0" w:color="auto"/>
      </w:divBdr>
    </w:div>
    <w:div w:id="232083990">
      <w:bodyDiv w:val="1"/>
      <w:marLeft w:val="0"/>
      <w:marRight w:val="0"/>
      <w:marTop w:val="0"/>
      <w:marBottom w:val="0"/>
      <w:divBdr>
        <w:top w:val="none" w:sz="0" w:space="0" w:color="auto"/>
        <w:left w:val="none" w:sz="0" w:space="0" w:color="auto"/>
        <w:bottom w:val="none" w:sz="0" w:space="0" w:color="auto"/>
        <w:right w:val="none" w:sz="0" w:space="0" w:color="auto"/>
      </w:divBdr>
    </w:div>
    <w:div w:id="233128227">
      <w:bodyDiv w:val="1"/>
      <w:marLeft w:val="0"/>
      <w:marRight w:val="0"/>
      <w:marTop w:val="0"/>
      <w:marBottom w:val="0"/>
      <w:divBdr>
        <w:top w:val="none" w:sz="0" w:space="0" w:color="auto"/>
        <w:left w:val="none" w:sz="0" w:space="0" w:color="auto"/>
        <w:bottom w:val="none" w:sz="0" w:space="0" w:color="auto"/>
        <w:right w:val="none" w:sz="0" w:space="0" w:color="auto"/>
      </w:divBdr>
    </w:div>
    <w:div w:id="237371592">
      <w:bodyDiv w:val="1"/>
      <w:marLeft w:val="0"/>
      <w:marRight w:val="0"/>
      <w:marTop w:val="0"/>
      <w:marBottom w:val="0"/>
      <w:divBdr>
        <w:top w:val="none" w:sz="0" w:space="0" w:color="auto"/>
        <w:left w:val="none" w:sz="0" w:space="0" w:color="auto"/>
        <w:bottom w:val="none" w:sz="0" w:space="0" w:color="auto"/>
        <w:right w:val="none" w:sz="0" w:space="0" w:color="auto"/>
      </w:divBdr>
    </w:div>
    <w:div w:id="242761784">
      <w:bodyDiv w:val="1"/>
      <w:marLeft w:val="0"/>
      <w:marRight w:val="0"/>
      <w:marTop w:val="0"/>
      <w:marBottom w:val="0"/>
      <w:divBdr>
        <w:top w:val="none" w:sz="0" w:space="0" w:color="auto"/>
        <w:left w:val="none" w:sz="0" w:space="0" w:color="auto"/>
        <w:bottom w:val="none" w:sz="0" w:space="0" w:color="auto"/>
        <w:right w:val="none" w:sz="0" w:space="0" w:color="auto"/>
      </w:divBdr>
      <w:divsChild>
        <w:div w:id="229730700">
          <w:marLeft w:val="0"/>
          <w:marRight w:val="0"/>
          <w:marTop w:val="0"/>
          <w:marBottom w:val="0"/>
          <w:divBdr>
            <w:top w:val="none" w:sz="0" w:space="0" w:color="auto"/>
            <w:left w:val="none" w:sz="0" w:space="0" w:color="auto"/>
            <w:bottom w:val="none" w:sz="0" w:space="0" w:color="auto"/>
            <w:right w:val="none" w:sz="0" w:space="0" w:color="auto"/>
          </w:divBdr>
          <w:divsChild>
            <w:div w:id="308831166">
              <w:marLeft w:val="960"/>
              <w:marRight w:val="960"/>
              <w:marTop w:val="0"/>
              <w:marBottom w:val="0"/>
              <w:divBdr>
                <w:top w:val="none" w:sz="0" w:space="0" w:color="auto"/>
                <w:left w:val="none" w:sz="0" w:space="0" w:color="auto"/>
                <w:bottom w:val="none" w:sz="0" w:space="0" w:color="auto"/>
                <w:right w:val="none" w:sz="0" w:space="0" w:color="auto"/>
              </w:divBdr>
            </w:div>
          </w:divsChild>
        </w:div>
        <w:div w:id="2026327606">
          <w:marLeft w:val="0"/>
          <w:marRight w:val="0"/>
          <w:marTop w:val="0"/>
          <w:marBottom w:val="0"/>
          <w:divBdr>
            <w:top w:val="none" w:sz="0" w:space="0" w:color="auto"/>
            <w:left w:val="none" w:sz="0" w:space="0" w:color="auto"/>
            <w:bottom w:val="none" w:sz="0" w:space="0" w:color="auto"/>
            <w:right w:val="none" w:sz="0" w:space="0" w:color="auto"/>
          </w:divBdr>
          <w:divsChild>
            <w:div w:id="631251326">
              <w:marLeft w:val="0"/>
              <w:marRight w:val="0"/>
              <w:marTop w:val="0"/>
              <w:marBottom w:val="0"/>
              <w:divBdr>
                <w:top w:val="none" w:sz="0" w:space="0" w:color="auto"/>
                <w:left w:val="none" w:sz="0" w:space="0" w:color="auto"/>
                <w:bottom w:val="none" w:sz="0" w:space="0" w:color="auto"/>
                <w:right w:val="none" w:sz="0" w:space="0" w:color="auto"/>
              </w:divBdr>
              <w:divsChild>
                <w:div w:id="420025703">
                  <w:marLeft w:val="960"/>
                  <w:marRight w:val="960"/>
                  <w:marTop w:val="0"/>
                  <w:marBottom w:val="0"/>
                  <w:divBdr>
                    <w:top w:val="none" w:sz="0" w:space="0" w:color="auto"/>
                    <w:left w:val="none" w:sz="0" w:space="0" w:color="auto"/>
                    <w:bottom w:val="none" w:sz="0" w:space="0" w:color="auto"/>
                    <w:right w:val="none" w:sz="0" w:space="0" w:color="auto"/>
                  </w:divBdr>
                  <w:divsChild>
                    <w:div w:id="1701052867">
                      <w:marLeft w:val="0"/>
                      <w:marRight w:val="0"/>
                      <w:marTop w:val="0"/>
                      <w:marBottom w:val="0"/>
                      <w:divBdr>
                        <w:top w:val="none" w:sz="0" w:space="0" w:color="auto"/>
                        <w:left w:val="none" w:sz="0" w:space="0" w:color="auto"/>
                        <w:bottom w:val="none" w:sz="0" w:space="0" w:color="auto"/>
                        <w:right w:val="none" w:sz="0" w:space="0" w:color="auto"/>
                      </w:divBdr>
                      <w:divsChild>
                        <w:div w:id="701787033">
                          <w:marLeft w:val="0"/>
                          <w:marRight w:val="0"/>
                          <w:marTop w:val="100"/>
                          <w:marBottom w:val="100"/>
                          <w:divBdr>
                            <w:top w:val="none" w:sz="0" w:space="0" w:color="auto"/>
                            <w:left w:val="none" w:sz="0" w:space="0" w:color="auto"/>
                            <w:bottom w:val="none" w:sz="0" w:space="0" w:color="auto"/>
                            <w:right w:val="none" w:sz="0" w:space="0" w:color="auto"/>
                          </w:divBdr>
                          <w:divsChild>
                            <w:div w:id="656963110">
                              <w:marLeft w:val="0"/>
                              <w:marRight w:val="0"/>
                              <w:marTop w:val="0"/>
                              <w:marBottom w:val="0"/>
                              <w:divBdr>
                                <w:top w:val="none" w:sz="0" w:space="0" w:color="auto"/>
                                <w:left w:val="none" w:sz="0" w:space="0" w:color="auto"/>
                                <w:bottom w:val="none" w:sz="0" w:space="0" w:color="auto"/>
                                <w:right w:val="none" w:sz="0" w:space="0" w:color="auto"/>
                              </w:divBdr>
                              <w:divsChild>
                                <w:div w:id="123758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5457170">
      <w:bodyDiv w:val="1"/>
      <w:marLeft w:val="0"/>
      <w:marRight w:val="0"/>
      <w:marTop w:val="0"/>
      <w:marBottom w:val="0"/>
      <w:divBdr>
        <w:top w:val="none" w:sz="0" w:space="0" w:color="auto"/>
        <w:left w:val="none" w:sz="0" w:space="0" w:color="auto"/>
        <w:bottom w:val="none" w:sz="0" w:space="0" w:color="auto"/>
        <w:right w:val="none" w:sz="0" w:space="0" w:color="auto"/>
      </w:divBdr>
    </w:div>
    <w:div w:id="247619880">
      <w:bodyDiv w:val="1"/>
      <w:marLeft w:val="0"/>
      <w:marRight w:val="0"/>
      <w:marTop w:val="0"/>
      <w:marBottom w:val="0"/>
      <w:divBdr>
        <w:top w:val="none" w:sz="0" w:space="0" w:color="auto"/>
        <w:left w:val="none" w:sz="0" w:space="0" w:color="auto"/>
        <w:bottom w:val="none" w:sz="0" w:space="0" w:color="auto"/>
        <w:right w:val="none" w:sz="0" w:space="0" w:color="auto"/>
      </w:divBdr>
    </w:div>
    <w:div w:id="257182375">
      <w:bodyDiv w:val="1"/>
      <w:marLeft w:val="0"/>
      <w:marRight w:val="0"/>
      <w:marTop w:val="0"/>
      <w:marBottom w:val="0"/>
      <w:divBdr>
        <w:top w:val="none" w:sz="0" w:space="0" w:color="auto"/>
        <w:left w:val="none" w:sz="0" w:space="0" w:color="auto"/>
        <w:bottom w:val="none" w:sz="0" w:space="0" w:color="auto"/>
        <w:right w:val="none" w:sz="0" w:space="0" w:color="auto"/>
      </w:divBdr>
    </w:div>
    <w:div w:id="257720003">
      <w:bodyDiv w:val="1"/>
      <w:marLeft w:val="0"/>
      <w:marRight w:val="0"/>
      <w:marTop w:val="0"/>
      <w:marBottom w:val="0"/>
      <w:divBdr>
        <w:top w:val="none" w:sz="0" w:space="0" w:color="auto"/>
        <w:left w:val="none" w:sz="0" w:space="0" w:color="auto"/>
        <w:bottom w:val="none" w:sz="0" w:space="0" w:color="auto"/>
        <w:right w:val="none" w:sz="0" w:space="0" w:color="auto"/>
      </w:divBdr>
    </w:div>
    <w:div w:id="265966766">
      <w:bodyDiv w:val="1"/>
      <w:marLeft w:val="0"/>
      <w:marRight w:val="0"/>
      <w:marTop w:val="0"/>
      <w:marBottom w:val="0"/>
      <w:divBdr>
        <w:top w:val="none" w:sz="0" w:space="0" w:color="auto"/>
        <w:left w:val="none" w:sz="0" w:space="0" w:color="auto"/>
        <w:bottom w:val="none" w:sz="0" w:space="0" w:color="auto"/>
        <w:right w:val="none" w:sz="0" w:space="0" w:color="auto"/>
      </w:divBdr>
    </w:div>
    <w:div w:id="266889264">
      <w:bodyDiv w:val="1"/>
      <w:marLeft w:val="0"/>
      <w:marRight w:val="0"/>
      <w:marTop w:val="0"/>
      <w:marBottom w:val="0"/>
      <w:divBdr>
        <w:top w:val="none" w:sz="0" w:space="0" w:color="auto"/>
        <w:left w:val="none" w:sz="0" w:space="0" w:color="auto"/>
        <w:bottom w:val="none" w:sz="0" w:space="0" w:color="auto"/>
        <w:right w:val="none" w:sz="0" w:space="0" w:color="auto"/>
      </w:divBdr>
    </w:div>
    <w:div w:id="269699941">
      <w:bodyDiv w:val="1"/>
      <w:marLeft w:val="0"/>
      <w:marRight w:val="0"/>
      <w:marTop w:val="0"/>
      <w:marBottom w:val="0"/>
      <w:divBdr>
        <w:top w:val="none" w:sz="0" w:space="0" w:color="auto"/>
        <w:left w:val="none" w:sz="0" w:space="0" w:color="auto"/>
        <w:bottom w:val="none" w:sz="0" w:space="0" w:color="auto"/>
        <w:right w:val="none" w:sz="0" w:space="0" w:color="auto"/>
      </w:divBdr>
    </w:div>
    <w:div w:id="277958255">
      <w:bodyDiv w:val="1"/>
      <w:marLeft w:val="0"/>
      <w:marRight w:val="0"/>
      <w:marTop w:val="0"/>
      <w:marBottom w:val="0"/>
      <w:divBdr>
        <w:top w:val="none" w:sz="0" w:space="0" w:color="auto"/>
        <w:left w:val="none" w:sz="0" w:space="0" w:color="auto"/>
        <w:bottom w:val="none" w:sz="0" w:space="0" w:color="auto"/>
        <w:right w:val="none" w:sz="0" w:space="0" w:color="auto"/>
      </w:divBdr>
    </w:div>
    <w:div w:id="282733165">
      <w:bodyDiv w:val="1"/>
      <w:marLeft w:val="0"/>
      <w:marRight w:val="0"/>
      <w:marTop w:val="0"/>
      <w:marBottom w:val="0"/>
      <w:divBdr>
        <w:top w:val="none" w:sz="0" w:space="0" w:color="auto"/>
        <w:left w:val="none" w:sz="0" w:space="0" w:color="auto"/>
        <w:bottom w:val="none" w:sz="0" w:space="0" w:color="auto"/>
        <w:right w:val="none" w:sz="0" w:space="0" w:color="auto"/>
      </w:divBdr>
    </w:div>
    <w:div w:id="283999094">
      <w:bodyDiv w:val="1"/>
      <w:marLeft w:val="0"/>
      <w:marRight w:val="0"/>
      <w:marTop w:val="0"/>
      <w:marBottom w:val="0"/>
      <w:divBdr>
        <w:top w:val="none" w:sz="0" w:space="0" w:color="auto"/>
        <w:left w:val="none" w:sz="0" w:space="0" w:color="auto"/>
        <w:bottom w:val="none" w:sz="0" w:space="0" w:color="auto"/>
        <w:right w:val="none" w:sz="0" w:space="0" w:color="auto"/>
      </w:divBdr>
    </w:div>
    <w:div w:id="288246443">
      <w:bodyDiv w:val="1"/>
      <w:marLeft w:val="0"/>
      <w:marRight w:val="0"/>
      <w:marTop w:val="0"/>
      <w:marBottom w:val="0"/>
      <w:divBdr>
        <w:top w:val="none" w:sz="0" w:space="0" w:color="auto"/>
        <w:left w:val="none" w:sz="0" w:space="0" w:color="auto"/>
        <w:bottom w:val="none" w:sz="0" w:space="0" w:color="auto"/>
        <w:right w:val="none" w:sz="0" w:space="0" w:color="auto"/>
      </w:divBdr>
      <w:divsChild>
        <w:div w:id="1848253395">
          <w:marLeft w:val="0"/>
          <w:marRight w:val="248"/>
          <w:marTop w:val="0"/>
          <w:marBottom w:val="0"/>
          <w:divBdr>
            <w:top w:val="none" w:sz="0" w:space="0" w:color="auto"/>
            <w:left w:val="none" w:sz="0" w:space="0" w:color="auto"/>
            <w:bottom w:val="none" w:sz="0" w:space="0" w:color="auto"/>
            <w:right w:val="none" w:sz="0" w:space="0" w:color="auto"/>
          </w:divBdr>
          <w:divsChild>
            <w:div w:id="1048841657">
              <w:marLeft w:val="0"/>
              <w:marRight w:val="0"/>
              <w:marTop w:val="0"/>
              <w:marBottom w:val="0"/>
              <w:divBdr>
                <w:top w:val="none" w:sz="0" w:space="0" w:color="auto"/>
                <w:left w:val="none" w:sz="0" w:space="0" w:color="auto"/>
                <w:bottom w:val="none" w:sz="0" w:space="0" w:color="auto"/>
                <w:right w:val="none" w:sz="0" w:space="0" w:color="auto"/>
              </w:divBdr>
              <w:divsChild>
                <w:div w:id="161509819">
                  <w:marLeft w:val="75"/>
                  <w:marRight w:val="-75"/>
                  <w:marTop w:val="0"/>
                  <w:marBottom w:val="0"/>
                  <w:divBdr>
                    <w:top w:val="none" w:sz="0" w:space="0" w:color="auto"/>
                    <w:left w:val="none" w:sz="0" w:space="0" w:color="auto"/>
                    <w:bottom w:val="none" w:sz="0" w:space="0" w:color="auto"/>
                    <w:right w:val="none" w:sz="0" w:space="0" w:color="auto"/>
                  </w:divBdr>
                  <w:divsChild>
                    <w:div w:id="978387728">
                      <w:marLeft w:val="0"/>
                      <w:marRight w:val="0"/>
                      <w:marTop w:val="0"/>
                      <w:marBottom w:val="0"/>
                      <w:divBdr>
                        <w:top w:val="none" w:sz="0" w:space="0" w:color="auto"/>
                        <w:left w:val="none" w:sz="0" w:space="0" w:color="auto"/>
                        <w:bottom w:val="none" w:sz="0" w:space="0" w:color="auto"/>
                        <w:right w:val="none" w:sz="0" w:space="0" w:color="auto"/>
                      </w:divBdr>
                      <w:divsChild>
                        <w:div w:id="287669288">
                          <w:marLeft w:val="75"/>
                          <w:marRight w:val="0"/>
                          <w:marTop w:val="0"/>
                          <w:marBottom w:val="0"/>
                          <w:divBdr>
                            <w:top w:val="none" w:sz="0" w:space="0" w:color="auto"/>
                            <w:left w:val="none" w:sz="0" w:space="0" w:color="auto"/>
                            <w:bottom w:val="none" w:sz="0" w:space="0" w:color="auto"/>
                            <w:right w:val="none" w:sz="0" w:space="0" w:color="auto"/>
                          </w:divBdr>
                          <w:divsChild>
                            <w:div w:id="34547642">
                              <w:marLeft w:val="0"/>
                              <w:marRight w:val="0"/>
                              <w:marTop w:val="0"/>
                              <w:marBottom w:val="0"/>
                              <w:divBdr>
                                <w:top w:val="none" w:sz="0" w:space="0" w:color="auto"/>
                                <w:left w:val="none" w:sz="0" w:space="0" w:color="auto"/>
                                <w:bottom w:val="none" w:sz="0" w:space="0" w:color="auto"/>
                                <w:right w:val="none" w:sz="0" w:space="0" w:color="auto"/>
                              </w:divBdr>
                              <w:divsChild>
                                <w:div w:id="50181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9479739">
          <w:marLeft w:val="0"/>
          <w:marRight w:val="248"/>
          <w:marTop w:val="0"/>
          <w:marBottom w:val="0"/>
          <w:divBdr>
            <w:top w:val="none" w:sz="0" w:space="0" w:color="auto"/>
            <w:left w:val="none" w:sz="0" w:space="0" w:color="auto"/>
            <w:bottom w:val="none" w:sz="0" w:space="0" w:color="auto"/>
            <w:right w:val="none" w:sz="0" w:space="0" w:color="auto"/>
          </w:divBdr>
          <w:divsChild>
            <w:div w:id="266738571">
              <w:marLeft w:val="0"/>
              <w:marRight w:val="0"/>
              <w:marTop w:val="0"/>
              <w:marBottom w:val="0"/>
              <w:divBdr>
                <w:top w:val="none" w:sz="0" w:space="0" w:color="auto"/>
                <w:left w:val="none" w:sz="0" w:space="0" w:color="auto"/>
                <w:bottom w:val="none" w:sz="0" w:space="0" w:color="auto"/>
                <w:right w:val="none" w:sz="0" w:space="0" w:color="auto"/>
              </w:divBdr>
              <w:divsChild>
                <w:div w:id="731973946">
                  <w:marLeft w:val="0"/>
                  <w:marRight w:val="0"/>
                  <w:marTop w:val="0"/>
                  <w:marBottom w:val="0"/>
                  <w:divBdr>
                    <w:top w:val="none" w:sz="0" w:space="0" w:color="auto"/>
                    <w:left w:val="none" w:sz="0" w:space="0" w:color="auto"/>
                    <w:bottom w:val="none" w:sz="0" w:space="0" w:color="auto"/>
                    <w:right w:val="none" w:sz="0" w:space="0" w:color="auto"/>
                  </w:divBdr>
                  <w:divsChild>
                    <w:div w:id="9617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9627504">
      <w:bodyDiv w:val="1"/>
      <w:marLeft w:val="0"/>
      <w:marRight w:val="0"/>
      <w:marTop w:val="0"/>
      <w:marBottom w:val="0"/>
      <w:divBdr>
        <w:top w:val="none" w:sz="0" w:space="0" w:color="auto"/>
        <w:left w:val="none" w:sz="0" w:space="0" w:color="auto"/>
        <w:bottom w:val="none" w:sz="0" w:space="0" w:color="auto"/>
        <w:right w:val="none" w:sz="0" w:space="0" w:color="auto"/>
      </w:divBdr>
    </w:div>
    <w:div w:id="295840533">
      <w:bodyDiv w:val="1"/>
      <w:marLeft w:val="0"/>
      <w:marRight w:val="0"/>
      <w:marTop w:val="0"/>
      <w:marBottom w:val="0"/>
      <w:divBdr>
        <w:top w:val="none" w:sz="0" w:space="0" w:color="auto"/>
        <w:left w:val="none" w:sz="0" w:space="0" w:color="auto"/>
        <w:bottom w:val="none" w:sz="0" w:space="0" w:color="auto"/>
        <w:right w:val="none" w:sz="0" w:space="0" w:color="auto"/>
      </w:divBdr>
    </w:div>
    <w:div w:id="296183800">
      <w:bodyDiv w:val="1"/>
      <w:marLeft w:val="0"/>
      <w:marRight w:val="0"/>
      <w:marTop w:val="0"/>
      <w:marBottom w:val="0"/>
      <w:divBdr>
        <w:top w:val="none" w:sz="0" w:space="0" w:color="auto"/>
        <w:left w:val="none" w:sz="0" w:space="0" w:color="auto"/>
        <w:bottom w:val="none" w:sz="0" w:space="0" w:color="auto"/>
        <w:right w:val="none" w:sz="0" w:space="0" w:color="auto"/>
      </w:divBdr>
    </w:div>
    <w:div w:id="297539672">
      <w:bodyDiv w:val="1"/>
      <w:marLeft w:val="0"/>
      <w:marRight w:val="0"/>
      <w:marTop w:val="0"/>
      <w:marBottom w:val="0"/>
      <w:divBdr>
        <w:top w:val="none" w:sz="0" w:space="0" w:color="auto"/>
        <w:left w:val="none" w:sz="0" w:space="0" w:color="auto"/>
        <w:bottom w:val="none" w:sz="0" w:space="0" w:color="auto"/>
        <w:right w:val="none" w:sz="0" w:space="0" w:color="auto"/>
      </w:divBdr>
    </w:div>
    <w:div w:id="297612844">
      <w:bodyDiv w:val="1"/>
      <w:marLeft w:val="0"/>
      <w:marRight w:val="0"/>
      <w:marTop w:val="0"/>
      <w:marBottom w:val="0"/>
      <w:divBdr>
        <w:top w:val="none" w:sz="0" w:space="0" w:color="auto"/>
        <w:left w:val="none" w:sz="0" w:space="0" w:color="auto"/>
        <w:bottom w:val="none" w:sz="0" w:space="0" w:color="auto"/>
        <w:right w:val="none" w:sz="0" w:space="0" w:color="auto"/>
      </w:divBdr>
    </w:div>
    <w:div w:id="308437952">
      <w:bodyDiv w:val="1"/>
      <w:marLeft w:val="0"/>
      <w:marRight w:val="0"/>
      <w:marTop w:val="0"/>
      <w:marBottom w:val="0"/>
      <w:divBdr>
        <w:top w:val="none" w:sz="0" w:space="0" w:color="auto"/>
        <w:left w:val="none" w:sz="0" w:space="0" w:color="auto"/>
        <w:bottom w:val="none" w:sz="0" w:space="0" w:color="auto"/>
        <w:right w:val="none" w:sz="0" w:space="0" w:color="auto"/>
      </w:divBdr>
    </w:div>
    <w:div w:id="314186661">
      <w:bodyDiv w:val="1"/>
      <w:marLeft w:val="0"/>
      <w:marRight w:val="0"/>
      <w:marTop w:val="0"/>
      <w:marBottom w:val="0"/>
      <w:divBdr>
        <w:top w:val="none" w:sz="0" w:space="0" w:color="auto"/>
        <w:left w:val="none" w:sz="0" w:space="0" w:color="auto"/>
        <w:bottom w:val="none" w:sz="0" w:space="0" w:color="auto"/>
        <w:right w:val="none" w:sz="0" w:space="0" w:color="auto"/>
      </w:divBdr>
    </w:div>
    <w:div w:id="314264453">
      <w:bodyDiv w:val="1"/>
      <w:marLeft w:val="0"/>
      <w:marRight w:val="0"/>
      <w:marTop w:val="0"/>
      <w:marBottom w:val="0"/>
      <w:divBdr>
        <w:top w:val="none" w:sz="0" w:space="0" w:color="auto"/>
        <w:left w:val="none" w:sz="0" w:space="0" w:color="auto"/>
        <w:bottom w:val="none" w:sz="0" w:space="0" w:color="auto"/>
        <w:right w:val="none" w:sz="0" w:space="0" w:color="auto"/>
      </w:divBdr>
    </w:div>
    <w:div w:id="314338154">
      <w:bodyDiv w:val="1"/>
      <w:marLeft w:val="0"/>
      <w:marRight w:val="0"/>
      <w:marTop w:val="0"/>
      <w:marBottom w:val="0"/>
      <w:divBdr>
        <w:top w:val="none" w:sz="0" w:space="0" w:color="auto"/>
        <w:left w:val="none" w:sz="0" w:space="0" w:color="auto"/>
        <w:bottom w:val="none" w:sz="0" w:space="0" w:color="auto"/>
        <w:right w:val="none" w:sz="0" w:space="0" w:color="auto"/>
      </w:divBdr>
    </w:div>
    <w:div w:id="315575806">
      <w:bodyDiv w:val="1"/>
      <w:marLeft w:val="0"/>
      <w:marRight w:val="0"/>
      <w:marTop w:val="0"/>
      <w:marBottom w:val="0"/>
      <w:divBdr>
        <w:top w:val="none" w:sz="0" w:space="0" w:color="auto"/>
        <w:left w:val="none" w:sz="0" w:space="0" w:color="auto"/>
        <w:bottom w:val="none" w:sz="0" w:space="0" w:color="auto"/>
        <w:right w:val="none" w:sz="0" w:space="0" w:color="auto"/>
      </w:divBdr>
    </w:div>
    <w:div w:id="316499627">
      <w:bodyDiv w:val="1"/>
      <w:marLeft w:val="0"/>
      <w:marRight w:val="0"/>
      <w:marTop w:val="0"/>
      <w:marBottom w:val="0"/>
      <w:divBdr>
        <w:top w:val="none" w:sz="0" w:space="0" w:color="auto"/>
        <w:left w:val="none" w:sz="0" w:space="0" w:color="auto"/>
        <w:bottom w:val="none" w:sz="0" w:space="0" w:color="auto"/>
        <w:right w:val="none" w:sz="0" w:space="0" w:color="auto"/>
      </w:divBdr>
    </w:div>
    <w:div w:id="332101756">
      <w:bodyDiv w:val="1"/>
      <w:marLeft w:val="0"/>
      <w:marRight w:val="0"/>
      <w:marTop w:val="0"/>
      <w:marBottom w:val="0"/>
      <w:divBdr>
        <w:top w:val="none" w:sz="0" w:space="0" w:color="auto"/>
        <w:left w:val="none" w:sz="0" w:space="0" w:color="auto"/>
        <w:bottom w:val="none" w:sz="0" w:space="0" w:color="auto"/>
        <w:right w:val="none" w:sz="0" w:space="0" w:color="auto"/>
      </w:divBdr>
    </w:div>
    <w:div w:id="332343251">
      <w:bodyDiv w:val="1"/>
      <w:marLeft w:val="0"/>
      <w:marRight w:val="0"/>
      <w:marTop w:val="0"/>
      <w:marBottom w:val="0"/>
      <w:divBdr>
        <w:top w:val="none" w:sz="0" w:space="0" w:color="auto"/>
        <w:left w:val="none" w:sz="0" w:space="0" w:color="auto"/>
        <w:bottom w:val="none" w:sz="0" w:space="0" w:color="auto"/>
        <w:right w:val="none" w:sz="0" w:space="0" w:color="auto"/>
      </w:divBdr>
    </w:div>
    <w:div w:id="333265457">
      <w:bodyDiv w:val="1"/>
      <w:marLeft w:val="0"/>
      <w:marRight w:val="0"/>
      <w:marTop w:val="0"/>
      <w:marBottom w:val="0"/>
      <w:divBdr>
        <w:top w:val="none" w:sz="0" w:space="0" w:color="auto"/>
        <w:left w:val="none" w:sz="0" w:space="0" w:color="auto"/>
        <w:bottom w:val="none" w:sz="0" w:space="0" w:color="auto"/>
        <w:right w:val="none" w:sz="0" w:space="0" w:color="auto"/>
      </w:divBdr>
    </w:div>
    <w:div w:id="333653335">
      <w:bodyDiv w:val="1"/>
      <w:marLeft w:val="0"/>
      <w:marRight w:val="0"/>
      <w:marTop w:val="0"/>
      <w:marBottom w:val="0"/>
      <w:divBdr>
        <w:top w:val="none" w:sz="0" w:space="0" w:color="auto"/>
        <w:left w:val="none" w:sz="0" w:space="0" w:color="auto"/>
        <w:bottom w:val="none" w:sz="0" w:space="0" w:color="auto"/>
        <w:right w:val="none" w:sz="0" w:space="0" w:color="auto"/>
      </w:divBdr>
    </w:div>
    <w:div w:id="335616048">
      <w:bodyDiv w:val="1"/>
      <w:marLeft w:val="0"/>
      <w:marRight w:val="0"/>
      <w:marTop w:val="0"/>
      <w:marBottom w:val="0"/>
      <w:divBdr>
        <w:top w:val="none" w:sz="0" w:space="0" w:color="auto"/>
        <w:left w:val="none" w:sz="0" w:space="0" w:color="auto"/>
        <w:bottom w:val="none" w:sz="0" w:space="0" w:color="auto"/>
        <w:right w:val="none" w:sz="0" w:space="0" w:color="auto"/>
      </w:divBdr>
    </w:div>
    <w:div w:id="335768020">
      <w:bodyDiv w:val="1"/>
      <w:marLeft w:val="0"/>
      <w:marRight w:val="0"/>
      <w:marTop w:val="0"/>
      <w:marBottom w:val="0"/>
      <w:divBdr>
        <w:top w:val="none" w:sz="0" w:space="0" w:color="auto"/>
        <w:left w:val="none" w:sz="0" w:space="0" w:color="auto"/>
        <w:bottom w:val="none" w:sz="0" w:space="0" w:color="auto"/>
        <w:right w:val="none" w:sz="0" w:space="0" w:color="auto"/>
      </w:divBdr>
    </w:div>
    <w:div w:id="336424027">
      <w:bodyDiv w:val="1"/>
      <w:marLeft w:val="0"/>
      <w:marRight w:val="0"/>
      <w:marTop w:val="0"/>
      <w:marBottom w:val="0"/>
      <w:divBdr>
        <w:top w:val="none" w:sz="0" w:space="0" w:color="auto"/>
        <w:left w:val="none" w:sz="0" w:space="0" w:color="auto"/>
        <w:bottom w:val="none" w:sz="0" w:space="0" w:color="auto"/>
        <w:right w:val="none" w:sz="0" w:space="0" w:color="auto"/>
      </w:divBdr>
    </w:div>
    <w:div w:id="339627876">
      <w:bodyDiv w:val="1"/>
      <w:marLeft w:val="0"/>
      <w:marRight w:val="0"/>
      <w:marTop w:val="0"/>
      <w:marBottom w:val="0"/>
      <w:divBdr>
        <w:top w:val="none" w:sz="0" w:space="0" w:color="auto"/>
        <w:left w:val="none" w:sz="0" w:space="0" w:color="auto"/>
        <w:bottom w:val="none" w:sz="0" w:space="0" w:color="auto"/>
        <w:right w:val="none" w:sz="0" w:space="0" w:color="auto"/>
      </w:divBdr>
    </w:div>
    <w:div w:id="341126118">
      <w:bodyDiv w:val="1"/>
      <w:marLeft w:val="0"/>
      <w:marRight w:val="0"/>
      <w:marTop w:val="0"/>
      <w:marBottom w:val="0"/>
      <w:divBdr>
        <w:top w:val="none" w:sz="0" w:space="0" w:color="auto"/>
        <w:left w:val="none" w:sz="0" w:space="0" w:color="auto"/>
        <w:bottom w:val="none" w:sz="0" w:space="0" w:color="auto"/>
        <w:right w:val="none" w:sz="0" w:space="0" w:color="auto"/>
      </w:divBdr>
    </w:div>
    <w:div w:id="349913663">
      <w:bodyDiv w:val="1"/>
      <w:marLeft w:val="0"/>
      <w:marRight w:val="0"/>
      <w:marTop w:val="0"/>
      <w:marBottom w:val="0"/>
      <w:divBdr>
        <w:top w:val="none" w:sz="0" w:space="0" w:color="auto"/>
        <w:left w:val="none" w:sz="0" w:space="0" w:color="auto"/>
        <w:bottom w:val="none" w:sz="0" w:space="0" w:color="auto"/>
        <w:right w:val="none" w:sz="0" w:space="0" w:color="auto"/>
      </w:divBdr>
    </w:div>
    <w:div w:id="352003075">
      <w:bodyDiv w:val="1"/>
      <w:marLeft w:val="0"/>
      <w:marRight w:val="0"/>
      <w:marTop w:val="0"/>
      <w:marBottom w:val="0"/>
      <w:divBdr>
        <w:top w:val="none" w:sz="0" w:space="0" w:color="auto"/>
        <w:left w:val="none" w:sz="0" w:space="0" w:color="auto"/>
        <w:bottom w:val="none" w:sz="0" w:space="0" w:color="auto"/>
        <w:right w:val="none" w:sz="0" w:space="0" w:color="auto"/>
      </w:divBdr>
    </w:div>
    <w:div w:id="352539012">
      <w:bodyDiv w:val="1"/>
      <w:marLeft w:val="0"/>
      <w:marRight w:val="0"/>
      <w:marTop w:val="0"/>
      <w:marBottom w:val="0"/>
      <w:divBdr>
        <w:top w:val="none" w:sz="0" w:space="0" w:color="auto"/>
        <w:left w:val="none" w:sz="0" w:space="0" w:color="auto"/>
        <w:bottom w:val="none" w:sz="0" w:space="0" w:color="auto"/>
        <w:right w:val="none" w:sz="0" w:space="0" w:color="auto"/>
      </w:divBdr>
    </w:div>
    <w:div w:id="354577324">
      <w:bodyDiv w:val="1"/>
      <w:marLeft w:val="0"/>
      <w:marRight w:val="0"/>
      <w:marTop w:val="0"/>
      <w:marBottom w:val="0"/>
      <w:divBdr>
        <w:top w:val="none" w:sz="0" w:space="0" w:color="auto"/>
        <w:left w:val="none" w:sz="0" w:space="0" w:color="auto"/>
        <w:bottom w:val="none" w:sz="0" w:space="0" w:color="auto"/>
        <w:right w:val="none" w:sz="0" w:space="0" w:color="auto"/>
      </w:divBdr>
    </w:div>
    <w:div w:id="356322115">
      <w:bodyDiv w:val="1"/>
      <w:marLeft w:val="0"/>
      <w:marRight w:val="0"/>
      <w:marTop w:val="0"/>
      <w:marBottom w:val="0"/>
      <w:divBdr>
        <w:top w:val="none" w:sz="0" w:space="0" w:color="auto"/>
        <w:left w:val="none" w:sz="0" w:space="0" w:color="auto"/>
        <w:bottom w:val="none" w:sz="0" w:space="0" w:color="auto"/>
        <w:right w:val="none" w:sz="0" w:space="0" w:color="auto"/>
      </w:divBdr>
    </w:div>
    <w:div w:id="358746097">
      <w:bodyDiv w:val="1"/>
      <w:marLeft w:val="0"/>
      <w:marRight w:val="0"/>
      <w:marTop w:val="0"/>
      <w:marBottom w:val="0"/>
      <w:divBdr>
        <w:top w:val="none" w:sz="0" w:space="0" w:color="auto"/>
        <w:left w:val="none" w:sz="0" w:space="0" w:color="auto"/>
        <w:bottom w:val="none" w:sz="0" w:space="0" w:color="auto"/>
        <w:right w:val="none" w:sz="0" w:space="0" w:color="auto"/>
      </w:divBdr>
    </w:div>
    <w:div w:id="359354931">
      <w:bodyDiv w:val="1"/>
      <w:marLeft w:val="0"/>
      <w:marRight w:val="0"/>
      <w:marTop w:val="0"/>
      <w:marBottom w:val="0"/>
      <w:divBdr>
        <w:top w:val="none" w:sz="0" w:space="0" w:color="auto"/>
        <w:left w:val="none" w:sz="0" w:space="0" w:color="auto"/>
        <w:bottom w:val="none" w:sz="0" w:space="0" w:color="auto"/>
        <w:right w:val="none" w:sz="0" w:space="0" w:color="auto"/>
      </w:divBdr>
    </w:div>
    <w:div w:id="359935779">
      <w:bodyDiv w:val="1"/>
      <w:marLeft w:val="0"/>
      <w:marRight w:val="0"/>
      <w:marTop w:val="0"/>
      <w:marBottom w:val="0"/>
      <w:divBdr>
        <w:top w:val="none" w:sz="0" w:space="0" w:color="auto"/>
        <w:left w:val="none" w:sz="0" w:space="0" w:color="auto"/>
        <w:bottom w:val="none" w:sz="0" w:space="0" w:color="auto"/>
        <w:right w:val="none" w:sz="0" w:space="0" w:color="auto"/>
      </w:divBdr>
    </w:div>
    <w:div w:id="361980453">
      <w:bodyDiv w:val="1"/>
      <w:marLeft w:val="0"/>
      <w:marRight w:val="0"/>
      <w:marTop w:val="0"/>
      <w:marBottom w:val="0"/>
      <w:divBdr>
        <w:top w:val="none" w:sz="0" w:space="0" w:color="auto"/>
        <w:left w:val="none" w:sz="0" w:space="0" w:color="auto"/>
        <w:bottom w:val="none" w:sz="0" w:space="0" w:color="auto"/>
        <w:right w:val="none" w:sz="0" w:space="0" w:color="auto"/>
      </w:divBdr>
    </w:div>
    <w:div w:id="363408268">
      <w:bodyDiv w:val="1"/>
      <w:marLeft w:val="0"/>
      <w:marRight w:val="0"/>
      <w:marTop w:val="0"/>
      <w:marBottom w:val="0"/>
      <w:divBdr>
        <w:top w:val="none" w:sz="0" w:space="0" w:color="auto"/>
        <w:left w:val="none" w:sz="0" w:space="0" w:color="auto"/>
        <w:bottom w:val="none" w:sz="0" w:space="0" w:color="auto"/>
        <w:right w:val="none" w:sz="0" w:space="0" w:color="auto"/>
      </w:divBdr>
    </w:div>
    <w:div w:id="368649190">
      <w:bodyDiv w:val="1"/>
      <w:marLeft w:val="0"/>
      <w:marRight w:val="0"/>
      <w:marTop w:val="0"/>
      <w:marBottom w:val="0"/>
      <w:divBdr>
        <w:top w:val="none" w:sz="0" w:space="0" w:color="auto"/>
        <w:left w:val="none" w:sz="0" w:space="0" w:color="auto"/>
        <w:bottom w:val="none" w:sz="0" w:space="0" w:color="auto"/>
        <w:right w:val="none" w:sz="0" w:space="0" w:color="auto"/>
      </w:divBdr>
    </w:div>
    <w:div w:id="371538459">
      <w:bodyDiv w:val="1"/>
      <w:marLeft w:val="0"/>
      <w:marRight w:val="0"/>
      <w:marTop w:val="0"/>
      <w:marBottom w:val="0"/>
      <w:divBdr>
        <w:top w:val="none" w:sz="0" w:space="0" w:color="auto"/>
        <w:left w:val="none" w:sz="0" w:space="0" w:color="auto"/>
        <w:bottom w:val="none" w:sz="0" w:space="0" w:color="auto"/>
        <w:right w:val="none" w:sz="0" w:space="0" w:color="auto"/>
      </w:divBdr>
    </w:div>
    <w:div w:id="373192071">
      <w:bodyDiv w:val="1"/>
      <w:marLeft w:val="0"/>
      <w:marRight w:val="0"/>
      <w:marTop w:val="0"/>
      <w:marBottom w:val="0"/>
      <w:divBdr>
        <w:top w:val="none" w:sz="0" w:space="0" w:color="auto"/>
        <w:left w:val="none" w:sz="0" w:space="0" w:color="auto"/>
        <w:bottom w:val="none" w:sz="0" w:space="0" w:color="auto"/>
        <w:right w:val="none" w:sz="0" w:space="0" w:color="auto"/>
      </w:divBdr>
      <w:divsChild>
        <w:div w:id="11080826">
          <w:marLeft w:val="0"/>
          <w:marRight w:val="0"/>
          <w:marTop w:val="0"/>
          <w:marBottom w:val="0"/>
          <w:divBdr>
            <w:top w:val="none" w:sz="0" w:space="0" w:color="auto"/>
            <w:left w:val="none" w:sz="0" w:space="0" w:color="auto"/>
            <w:bottom w:val="none" w:sz="0" w:space="0" w:color="auto"/>
            <w:right w:val="none" w:sz="0" w:space="0" w:color="auto"/>
          </w:divBdr>
          <w:divsChild>
            <w:div w:id="1630743805">
              <w:marLeft w:val="0"/>
              <w:marRight w:val="0"/>
              <w:marTop w:val="0"/>
              <w:marBottom w:val="0"/>
              <w:divBdr>
                <w:top w:val="none" w:sz="0" w:space="0" w:color="auto"/>
                <w:left w:val="none" w:sz="0" w:space="0" w:color="auto"/>
                <w:bottom w:val="none" w:sz="0" w:space="0" w:color="auto"/>
                <w:right w:val="none" w:sz="0" w:space="0" w:color="auto"/>
              </w:divBdr>
              <w:divsChild>
                <w:div w:id="211447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787272">
      <w:bodyDiv w:val="1"/>
      <w:marLeft w:val="0"/>
      <w:marRight w:val="0"/>
      <w:marTop w:val="0"/>
      <w:marBottom w:val="0"/>
      <w:divBdr>
        <w:top w:val="none" w:sz="0" w:space="0" w:color="auto"/>
        <w:left w:val="none" w:sz="0" w:space="0" w:color="auto"/>
        <w:bottom w:val="none" w:sz="0" w:space="0" w:color="auto"/>
        <w:right w:val="none" w:sz="0" w:space="0" w:color="auto"/>
      </w:divBdr>
    </w:div>
    <w:div w:id="376517329">
      <w:bodyDiv w:val="1"/>
      <w:marLeft w:val="0"/>
      <w:marRight w:val="0"/>
      <w:marTop w:val="0"/>
      <w:marBottom w:val="0"/>
      <w:divBdr>
        <w:top w:val="none" w:sz="0" w:space="0" w:color="auto"/>
        <w:left w:val="none" w:sz="0" w:space="0" w:color="auto"/>
        <w:bottom w:val="none" w:sz="0" w:space="0" w:color="auto"/>
        <w:right w:val="none" w:sz="0" w:space="0" w:color="auto"/>
      </w:divBdr>
    </w:div>
    <w:div w:id="382485879">
      <w:bodyDiv w:val="1"/>
      <w:marLeft w:val="0"/>
      <w:marRight w:val="0"/>
      <w:marTop w:val="0"/>
      <w:marBottom w:val="0"/>
      <w:divBdr>
        <w:top w:val="none" w:sz="0" w:space="0" w:color="auto"/>
        <w:left w:val="none" w:sz="0" w:space="0" w:color="auto"/>
        <w:bottom w:val="none" w:sz="0" w:space="0" w:color="auto"/>
        <w:right w:val="none" w:sz="0" w:space="0" w:color="auto"/>
      </w:divBdr>
    </w:div>
    <w:div w:id="384303411">
      <w:bodyDiv w:val="1"/>
      <w:marLeft w:val="0"/>
      <w:marRight w:val="0"/>
      <w:marTop w:val="0"/>
      <w:marBottom w:val="0"/>
      <w:divBdr>
        <w:top w:val="none" w:sz="0" w:space="0" w:color="auto"/>
        <w:left w:val="none" w:sz="0" w:space="0" w:color="auto"/>
        <w:bottom w:val="none" w:sz="0" w:space="0" w:color="auto"/>
        <w:right w:val="none" w:sz="0" w:space="0" w:color="auto"/>
      </w:divBdr>
    </w:div>
    <w:div w:id="390348495">
      <w:bodyDiv w:val="1"/>
      <w:marLeft w:val="0"/>
      <w:marRight w:val="0"/>
      <w:marTop w:val="0"/>
      <w:marBottom w:val="0"/>
      <w:divBdr>
        <w:top w:val="none" w:sz="0" w:space="0" w:color="auto"/>
        <w:left w:val="none" w:sz="0" w:space="0" w:color="auto"/>
        <w:bottom w:val="none" w:sz="0" w:space="0" w:color="auto"/>
        <w:right w:val="none" w:sz="0" w:space="0" w:color="auto"/>
      </w:divBdr>
    </w:div>
    <w:div w:id="395279456">
      <w:bodyDiv w:val="1"/>
      <w:marLeft w:val="0"/>
      <w:marRight w:val="0"/>
      <w:marTop w:val="0"/>
      <w:marBottom w:val="0"/>
      <w:divBdr>
        <w:top w:val="none" w:sz="0" w:space="0" w:color="auto"/>
        <w:left w:val="none" w:sz="0" w:space="0" w:color="auto"/>
        <w:bottom w:val="none" w:sz="0" w:space="0" w:color="auto"/>
        <w:right w:val="none" w:sz="0" w:space="0" w:color="auto"/>
      </w:divBdr>
    </w:div>
    <w:div w:id="398480567">
      <w:bodyDiv w:val="1"/>
      <w:marLeft w:val="0"/>
      <w:marRight w:val="0"/>
      <w:marTop w:val="0"/>
      <w:marBottom w:val="0"/>
      <w:divBdr>
        <w:top w:val="none" w:sz="0" w:space="0" w:color="auto"/>
        <w:left w:val="none" w:sz="0" w:space="0" w:color="auto"/>
        <w:bottom w:val="none" w:sz="0" w:space="0" w:color="auto"/>
        <w:right w:val="none" w:sz="0" w:space="0" w:color="auto"/>
      </w:divBdr>
    </w:div>
    <w:div w:id="399447151">
      <w:bodyDiv w:val="1"/>
      <w:marLeft w:val="0"/>
      <w:marRight w:val="0"/>
      <w:marTop w:val="0"/>
      <w:marBottom w:val="0"/>
      <w:divBdr>
        <w:top w:val="none" w:sz="0" w:space="0" w:color="auto"/>
        <w:left w:val="none" w:sz="0" w:space="0" w:color="auto"/>
        <w:bottom w:val="none" w:sz="0" w:space="0" w:color="auto"/>
        <w:right w:val="none" w:sz="0" w:space="0" w:color="auto"/>
      </w:divBdr>
    </w:div>
    <w:div w:id="403375662">
      <w:bodyDiv w:val="1"/>
      <w:marLeft w:val="0"/>
      <w:marRight w:val="0"/>
      <w:marTop w:val="0"/>
      <w:marBottom w:val="0"/>
      <w:divBdr>
        <w:top w:val="none" w:sz="0" w:space="0" w:color="auto"/>
        <w:left w:val="none" w:sz="0" w:space="0" w:color="auto"/>
        <w:bottom w:val="none" w:sz="0" w:space="0" w:color="auto"/>
        <w:right w:val="none" w:sz="0" w:space="0" w:color="auto"/>
      </w:divBdr>
    </w:div>
    <w:div w:id="406655741">
      <w:bodyDiv w:val="1"/>
      <w:marLeft w:val="0"/>
      <w:marRight w:val="0"/>
      <w:marTop w:val="0"/>
      <w:marBottom w:val="0"/>
      <w:divBdr>
        <w:top w:val="none" w:sz="0" w:space="0" w:color="auto"/>
        <w:left w:val="none" w:sz="0" w:space="0" w:color="auto"/>
        <w:bottom w:val="none" w:sz="0" w:space="0" w:color="auto"/>
        <w:right w:val="none" w:sz="0" w:space="0" w:color="auto"/>
      </w:divBdr>
    </w:div>
    <w:div w:id="414597221">
      <w:bodyDiv w:val="1"/>
      <w:marLeft w:val="0"/>
      <w:marRight w:val="0"/>
      <w:marTop w:val="0"/>
      <w:marBottom w:val="0"/>
      <w:divBdr>
        <w:top w:val="none" w:sz="0" w:space="0" w:color="auto"/>
        <w:left w:val="none" w:sz="0" w:space="0" w:color="auto"/>
        <w:bottom w:val="none" w:sz="0" w:space="0" w:color="auto"/>
        <w:right w:val="none" w:sz="0" w:space="0" w:color="auto"/>
      </w:divBdr>
    </w:div>
    <w:div w:id="415829398">
      <w:bodyDiv w:val="1"/>
      <w:marLeft w:val="0"/>
      <w:marRight w:val="0"/>
      <w:marTop w:val="0"/>
      <w:marBottom w:val="0"/>
      <w:divBdr>
        <w:top w:val="none" w:sz="0" w:space="0" w:color="auto"/>
        <w:left w:val="none" w:sz="0" w:space="0" w:color="auto"/>
        <w:bottom w:val="none" w:sz="0" w:space="0" w:color="auto"/>
        <w:right w:val="none" w:sz="0" w:space="0" w:color="auto"/>
      </w:divBdr>
    </w:div>
    <w:div w:id="416831087">
      <w:bodyDiv w:val="1"/>
      <w:marLeft w:val="0"/>
      <w:marRight w:val="0"/>
      <w:marTop w:val="0"/>
      <w:marBottom w:val="0"/>
      <w:divBdr>
        <w:top w:val="none" w:sz="0" w:space="0" w:color="auto"/>
        <w:left w:val="none" w:sz="0" w:space="0" w:color="auto"/>
        <w:bottom w:val="none" w:sz="0" w:space="0" w:color="auto"/>
        <w:right w:val="none" w:sz="0" w:space="0" w:color="auto"/>
      </w:divBdr>
    </w:div>
    <w:div w:id="417598387">
      <w:bodyDiv w:val="1"/>
      <w:marLeft w:val="0"/>
      <w:marRight w:val="0"/>
      <w:marTop w:val="0"/>
      <w:marBottom w:val="0"/>
      <w:divBdr>
        <w:top w:val="none" w:sz="0" w:space="0" w:color="auto"/>
        <w:left w:val="none" w:sz="0" w:space="0" w:color="auto"/>
        <w:bottom w:val="none" w:sz="0" w:space="0" w:color="auto"/>
        <w:right w:val="none" w:sz="0" w:space="0" w:color="auto"/>
      </w:divBdr>
    </w:div>
    <w:div w:id="421025711">
      <w:bodyDiv w:val="1"/>
      <w:marLeft w:val="0"/>
      <w:marRight w:val="0"/>
      <w:marTop w:val="0"/>
      <w:marBottom w:val="0"/>
      <w:divBdr>
        <w:top w:val="none" w:sz="0" w:space="0" w:color="auto"/>
        <w:left w:val="none" w:sz="0" w:space="0" w:color="auto"/>
        <w:bottom w:val="none" w:sz="0" w:space="0" w:color="auto"/>
        <w:right w:val="none" w:sz="0" w:space="0" w:color="auto"/>
      </w:divBdr>
    </w:div>
    <w:div w:id="423651576">
      <w:bodyDiv w:val="1"/>
      <w:marLeft w:val="0"/>
      <w:marRight w:val="0"/>
      <w:marTop w:val="0"/>
      <w:marBottom w:val="0"/>
      <w:divBdr>
        <w:top w:val="none" w:sz="0" w:space="0" w:color="auto"/>
        <w:left w:val="none" w:sz="0" w:space="0" w:color="auto"/>
        <w:bottom w:val="none" w:sz="0" w:space="0" w:color="auto"/>
        <w:right w:val="none" w:sz="0" w:space="0" w:color="auto"/>
      </w:divBdr>
      <w:divsChild>
        <w:div w:id="1161389003">
          <w:marLeft w:val="0"/>
          <w:marRight w:val="0"/>
          <w:marTop w:val="0"/>
          <w:marBottom w:val="0"/>
          <w:divBdr>
            <w:top w:val="none" w:sz="0" w:space="0" w:color="auto"/>
            <w:left w:val="none" w:sz="0" w:space="0" w:color="auto"/>
            <w:bottom w:val="none" w:sz="0" w:space="0" w:color="auto"/>
            <w:right w:val="none" w:sz="0" w:space="0" w:color="auto"/>
          </w:divBdr>
          <w:divsChild>
            <w:div w:id="157188057">
              <w:marLeft w:val="0"/>
              <w:marRight w:val="0"/>
              <w:marTop w:val="0"/>
              <w:marBottom w:val="0"/>
              <w:divBdr>
                <w:top w:val="none" w:sz="0" w:space="0" w:color="auto"/>
                <w:left w:val="none" w:sz="0" w:space="0" w:color="auto"/>
                <w:bottom w:val="none" w:sz="0" w:space="0" w:color="auto"/>
                <w:right w:val="none" w:sz="0" w:space="0" w:color="auto"/>
              </w:divBdr>
              <w:divsChild>
                <w:div w:id="208471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9736177">
      <w:bodyDiv w:val="1"/>
      <w:marLeft w:val="0"/>
      <w:marRight w:val="0"/>
      <w:marTop w:val="0"/>
      <w:marBottom w:val="0"/>
      <w:divBdr>
        <w:top w:val="none" w:sz="0" w:space="0" w:color="auto"/>
        <w:left w:val="none" w:sz="0" w:space="0" w:color="auto"/>
        <w:bottom w:val="none" w:sz="0" w:space="0" w:color="auto"/>
        <w:right w:val="none" w:sz="0" w:space="0" w:color="auto"/>
      </w:divBdr>
    </w:div>
    <w:div w:id="436144597">
      <w:bodyDiv w:val="1"/>
      <w:marLeft w:val="0"/>
      <w:marRight w:val="0"/>
      <w:marTop w:val="0"/>
      <w:marBottom w:val="0"/>
      <w:divBdr>
        <w:top w:val="none" w:sz="0" w:space="0" w:color="auto"/>
        <w:left w:val="none" w:sz="0" w:space="0" w:color="auto"/>
        <w:bottom w:val="none" w:sz="0" w:space="0" w:color="auto"/>
        <w:right w:val="none" w:sz="0" w:space="0" w:color="auto"/>
      </w:divBdr>
    </w:div>
    <w:div w:id="439767160">
      <w:bodyDiv w:val="1"/>
      <w:marLeft w:val="0"/>
      <w:marRight w:val="0"/>
      <w:marTop w:val="0"/>
      <w:marBottom w:val="0"/>
      <w:divBdr>
        <w:top w:val="none" w:sz="0" w:space="0" w:color="auto"/>
        <w:left w:val="none" w:sz="0" w:space="0" w:color="auto"/>
        <w:bottom w:val="none" w:sz="0" w:space="0" w:color="auto"/>
        <w:right w:val="none" w:sz="0" w:space="0" w:color="auto"/>
      </w:divBdr>
      <w:divsChild>
        <w:div w:id="1724017315">
          <w:marLeft w:val="0"/>
          <w:marRight w:val="0"/>
          <w:marTop w:val="0"/>
          <w:marBottom w:val="0"/>
          <w:divBdr>
            <w:top w:val="none" w:sz="0" w:space="0" w:color="auto"/>
            <w:left w:val="none" w:sz="0" w:space="0" w:color="auto"/>
            <w:bottom w:val="none" w:sz="0" w:space="0" w:color="auto"/>
            <w:right w:val="none" w:sz="0" w:space="0" w:color="auto"/>
          </w:divBdr>
          <w:divsChild>
            <w:div w:id="736785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3116986">
      <w:bodyDiv w:val="1"/>
      <w:marLeft w:val="0"/>
      <w:marRight w:val="0"/>
      <w:marTop w:val="0"/>
      <w:marBottom w:val="0"/>
      <w:divBdr>
        <w:top w:val="none" w:sz="0" w:space="0" w:color="auto"/>
        <w:left w:val="none" w:sz="0" w:space="0" w:color="auto"/>
        <w:bottom w:val="none" w:sz="0" w:space="0" w:color="auto"/>
        <w:right w:val="none" w:sz="0" w:space="0" w:color="auto"/>
      </w:divBdr>
    </w:div>
    <w:div w:id="459493004">
      <w:bodyDiv w:val="1"/>
      <w:marLeft w:val="0"/>
      <w:marRight w:val="0"/>
      <w:marTop w:val="0"/>
      <w:marBottom w:val="0"/>
      <w:divBdr>
        <w:top w:val="none" w:sz="0" w:space="0" w:color="auto"/>
        <w:left w:val="none" w:sz="0" w:space="0" w:color="auto"/>
        <w:bottom w:val="none" w:sz="0" w:space="0" w:color="auto"/>
        <w:right w:val="none" w:sz="0" w:space="0" w:color="auto"/>
      </w:divBdr>
    </w:div>
    <w:div w:id="460075446">
      <w:bodyDiv w:val="1"/>
      <w:marLeft w:val="0"/>
      <w:marRight w:val="0"/>
      <w:marTop w:val="0"/>
      <w:marBottom w:val="0"/>
      <w:divBdr>
        <w:top w:val="none" w:sz="0" w:space="0" w:color="auto"/>
        <w:left w:val="none" w:sz="0" w:space="0" w:color="auto"/>
        <w:bottom w:val="none" w:sz="0" w:space="0" w:color="auto"/>
        <w:right w:val="none" w:sz="0" w:space="0" w:color="auto"/>
      </w:divBdr>
    </w:div>
    <w:div w:id="464588049">
      <w:bodyDiv w:val="1"/>
      <w:marLeft w:val="0"/>
      <w:marRight w:val="0"/>
      <w:marTop w:val="0"/>
      <w:marBottom w:val="0"/>
      <w:divBdr>
        <w:top w:val="none" w:sz="0" w:space="0" w:color="auto"/>
        <w:left w:val="none" w:sz="0" w:space="0" w:color="auto"/>
        <w:bottom w:val="none" w:sz="0" w:space="0" w:color="auto"/>
        <w:right w:val="none" w:sz="0" w:space="0" w:color="auto"/>
      </w:divBdr>
    </w:div>
    <w:div w:id="465660703">
      <w:bodyDiv w:val="1"/>
      <w:marLeft w:val="0"/>
      <w:marRight w:val="0"/>
      <w:marTop w:val="0"/>
      <w:marBottom w:val="0"/>
      <w:divBdr>
        <w:top w:val="none" w:sz="0" w:space="0" w:color="auto"/>
        <w:left w:val="none" w:sz="0" w:space="0" w:color="auto"/>
        <w:bottom w:val="none" w:sz="0" w:space="0" w:color="auto"/>
        <w:right w:val="none" w:sz="0" w:space="0" w:color="auto"/>
      </w:divBdr>
    </w:div>
    <w:div w:id="468473328">
      <w:bodyDiv w:val="1"/>
      <w:marLeft w:val="0"/>
      <w:marRight w:val="0"/>
      <w:marTop w:val="0"/>
      <w:marBottom w:val="0"/>
      <w:divBdr>
        <w:top w:val="none" w:sz="0" w:space="0" w:color="auto"/>
        <w:left w:val="none" w:sz="0" w:space="0" w:color="auto"/>
        <w:bottom w:val="none" w:sz="0" w:space="0" w:color="auto"/>
        <w:right w:val="none" w:sz="0" w:space="0" w:color="auto"/>
      </w:divBdr>
    </w:div>
    <w:div w:id="470755338">
      <w:bodyDiv w:val="1"/>
      <w:marLeft w:val="0"/>
      <w:marRight w:val="0"/>
      <w:marTop w:val="0"/>
      <w:marBottom w:val="0"/>
      <w:divBdr>
        <w:top w:val="none" w:sz="0" w:space="0" w:color="auto"/>
        <w:left w:val="none" w:sz="0" w:space="0" w:color="auto"/>
        <w:bottom w:val="none" w:sz="0" w:space="0" w:color="auto"/>
        <w:right w:val="none" w:sz="0" w:space="0" w:color="auto"/>
      </w:divBdr>
    </w:div>
    <w:div w:id="473303425">
      <w:bodyDiv w:val="1"/>
      <w:marLeft w:val="0"/>
      <w:marRight w:val="0"/>
      <w:marTop w:val="0"/>
      <w:marBottom w:val="0"/>
      <w:divBdr>
        <w:top w:val="none" w:sz="0" w:space="0" w:color="auto"/>
        <w:left w:val="none" w:sz="0" w:space="0" w:color="auto"/>
        <w:bottom w:val="none" w:sz="0" w:space="0" w:color="auto"/>
        <w:right w:val="none" w:sz="0" w:space="0" w:color="auto"/>
      </w:divBdr>
    </w:div>
    <w:div w:id="485052319">
      <w:bodyDiv w:val="1"/>
      <w:marLeft w:val="0"/>
      <w:marRight w:val="0"/>
      <w:marTop w:val="0"/>
      <w:marBottom w:val="0"/>
      <w:divBdr>
        <w:top w:val="none" w:sz="0" w:space="0" w:color="auto"/>
        <w:left w:val="none" w:sz="0" w:space="0" w:color="auto"/>
        <w:bottom w:val="none" w:sz="0" w:space="0" w:color="auto"/>
        <w:right w:val="none" w:sz="0" w:space="0" w:color="auto"/>
      </w:divBdr>
    </w:div>
    <w:div w:id="485560730">
      <w:bodyDiv w:val="1"/>
      <w:marLeft w:val="0"/>
      <w:marRight w:val="0"/>
      <w:marTop w:val="0"/>
      <w:marBottom w:val="0"/>
      <w:divBdr>
        <w:top w:val="none" w:sz="0" w:space="0" w:color="auto"/>
        <w:left w:val="none" w:sz="0" w:space="0" w:color="auto"/>
        <w:bottom w:val="none" w:sz="0" w:space="0" w:color="auto"/>
        <w:right w:val="none" w:sz="0" w:space="0" w:color="auto"/>
      </w:divBdr>
    </w:div>
    <w:div w:id="486746152">
      <w:bodyDiv w:val="1"/>
      <w:marLeft w:val="0"/>
      <w:marRight w:val="0"/>
      <w:marTop w:val="0"/>
      <w:marBottom w:val="0"/>
      <w:divBdr>
        <w:top w:val="none" w:sz="0" w:space="0" w:color="auto"/>
        <w:left w:val="none" w:sz="0" w:space="0" w:color="auto"/>
        <w:bottom w:val="none" w:sz="0" w:space="0" w:color="auto"/>
        <w:right w:val="none" w:sz="0" w:space="0" w:color="auto"/>
      </w:divBdr>
    </w:div>
    <w:div w:id="492263125">
      <w:bodyDiv w:val="1"/>
      <w:marLeft w:val="0"/>
      <w:marRight w:val="0"/>
      <w:marTop w:val="0"/>
      <w:marBottom w:val="0"/>
      <w:divBdr>
        <w:top w:val="none" w:sz="0" w:space="0" w:color="auto"/>
        <w:left w:val="none" w:sz="0" w:space="0" w:color="auto"/>
        <w:bottom w:val="none" w:sz="0" w:space="0" w:color="auto"/>
        <w:right w:val="none" w:sz="0" w:space="0" w:color="auto"/>
      </w:divBdr>
    </w:div>
    <w:div w:id="494031493">
      <w:bodyDiv w:val="1"/>
      <w:marLeft w:val="0"/>
      <w:marRight w:val="0"/>
      <w:marTop w:val="0"/>
      <w:marBottom w:val="0"/>
      <w:divBdr>
        <w:top w:val="none" w:sz="0" w:space="0" w:color="auto"/>
        <w:left w:val="none" w:sz="0" w:space="0" w:color="auto"/>
        <w:bottom w:val="none" w:sz="0" w:space="0" w:color="auto"/>
        <w:right w:val="none" w:sz="0" w:space="0" w:color="auto"/>
      </w:divBdr>
    </w:div>
    <w:div w:id="494613820">
      <w:bodyDiv w:val="1"/>
      <w:marLeft w:val="0"/>
      <w:marRight w:val="0"/>
      <w:marTop w:val="0"/>
      <w:marBottom w:val="0"/>
      <w:divBdr>
        <w:top w:val="none" w:sz="0" w:space="0" w:color="auto"/>
        <w:left w:val="none" w:sz="0" w:space="0" w:color="auto"/>
        <w:bottom w:val="none" w:sz="0" w:space="0" w:color="auto"/>
        <w:right w:val="none" w:sz="0" w:space="0" w:color="auto"/>
      </w:divBdr>
    </w:div>
    <w:div w:id="496918156">
      <w:bodyDiv w:val="1"/>
      <w:marLeft w:val="0"/>
      <w:marRight w:val="0"/>
      <w:marTop w:val="0"/>
      <w:marBottom w:val="0"/>
      <w:divBdr>
        <w:top w:val="none" w:sz="0" w:space="0" w:color="auto"/>
        <w:left w:val="none" w:sz="0" w:space="0" w:color="auto"/>
        <w:bottom w:val="none" w:sz="0" w:space="0" w:color="auto"/>
        <w:right w:val="none" w:sz="0" w:space="0" w:color="auto"/>
      </w:divBdr>
    </w:div>
    <w:div w:id="498926359">
      <w:bodyDiv w:val="1"/>
      <w:marLeft w:val="0"/>
      <w:marRight w:val="0"/>
      <w:marTop w:val="0"/>
      <w:marBottom w:val="0"/>
      <w:divBdr>
        <w:top w:val="none" w:sz="0" w:space="0" w:color="auto"/>
        <w:left w:val="none" w:sz="0" w:space="0" w:color="auto"/>
        <w:bottom w:val="none" w:sz="0" w:space="0" w:color="auto"/>
        <w:right w:val="none" w:sz="0" w:space="0" w:color="auto"/>
      </w:divBdr>
    </w:div>
    <w:div w:id="504369318">
      <w:bodyDiv w:val="1"/>
      <w:marLeft w:val="0"/>
      <w:marRight w:val="0"/>
      <w:marTop w:val="0"/>
      <w:marBottom w:val="0"/>
      <w:divBdr>
        <w:top w:val="none" w:sz="0" w:space="0" w:color="auto"/>
        <w:left w:val="none" w:sz="0" w:space="0" w:color="auto"/>
        <w:bottom w:val="none" w:sz="0" w:space="0" w:color="auto"/>
        <w:right w:val="none" w:sz="0" w:space="0" w:color="auto"/>
      </w:divBdr>
    </w:div>
    <w:div w:id="510532559">
      <w:bodyDiv w:val="1"/>
      <w:marLeft w:val="0"/>
      <w:marRight w:val="0"/>
      <w:marTop w:val="0"/>
      <w:marBottom w:val="0"/>
      <w:divBdr>
        <w:top w:val="none" w:sz="0" w:space="0" w:color="auto"/>
        <w:left w:val="none" w:sz="0" w:space="0" w:color="auto"/>
        <w:bottom w:val="none" w:sz="0" w:space="0" w:color="auto"/>
        <w:right w:val="none" w:sz="0" w:space="0" w:color="auto"/>
      </w:divBdr>
    </w:div>
    <w:div w:id="514540997">
      <w:bodyDiv w:val="1"/>
      <w:marLeft w:val="0"/>
      <w:marRight w:val="0"/>
      <w:marTop w:val="0"/>
      <w:marBottom w:val="0"/>
      <w:divBdr>
        <w:top w:val="none" w:sz="0" w:space="0" w:color="auto"/>
        <w:left w:val="none" w:sz="0" w:space="0" w:color="auto"/>
        <w:bottom w:val="none" w:sz="0" w:space="0" w:color="auto"/>
        <w:right w:val="none" w:sz="0" w:space="0" w:color="auto"/>
      </w:divBdr>
    </w:div>
    <w:div w:id="514852322">
      <w:bodyDiv w:val="1"/>
      <w:marLeft w:val="0"/>
      <w:marRight w:val="0"/>
      <w:marTop w:val="0"/>
      <w:marBottom w:val="0"/>
      <w:divBdr>
        <w:top w:val="none" w:sz="0" w:space="0" w:color="auto"/>
        <w:left w:val="none" w:sz="0" w:space="0" w:color="auto"/>
        <w:bottom w:val="none" w:sz="0" w:space="0" w:color="auto"/>
        <w:right w:val="none" w:sz="0" w:space="0" w:color="auto"/>
      </w:divBdr>
      <w:divsChild>
        <w:div w:id="1055549658">
          <w:marLeft w:val="0"/>
          <w:marRight w:val="0"/>
          <w:marTop w:val="0"/>
          <w:marBottom w:val="0"/>
          <w:divBdr>
            <w:top w:val="none" w:sz="0" w:space="0" w:color="auto"/>
            <w:left w:val="none" w:sz="0" w:space="0" w:color="auto"/>
            <w:bottom w:val="none" w:sz="0" w:space="0" w:color="auto"/>
            <w:right w:val="none" w:sz="0" w:space="0" w:color="auto"/>
          </w:divBdr>
          <w:divsChild>
            <w:div w:id="393624465">
              <w:marLeft w:val="0"/>
              <w:marRight w:val="0"/>
              <w:marTop w:val="0"/>
              <w:marBottom w:val="0"/>
              <w:divBdr>
                <w:top w:val="none" w:sz="0" w:space="0" w:color="auto"/>
                <w:left w:val="none" w:sz="0" w:space="0" w:color="auto"/>
                <w:bottom w:val="none" w:sz="0" w:space="0" w:color="auto"/>
                <w:right w:val="none" w:sz="0" w:space="0" w:color="auto"/>
              </w:divBdr>
              <w:divsChild>
                <w:div w:id="1520508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083152">
      <w:bodyDiv w:val="1"/>
      <w:marLeft w:val="0"/>
      <w:marRight w:val="0"/>
      <w:marTop w:val="0"/>
      <w:marBottom w:val="0"/>
      <w:divBdr>
        <w:top w:val="none" w:sz="0" w:space="0" w:color="auto"/>
        <w:left w:val="none" w:sz="0" w:space="0" w:color="auto"/>
        <w:bottom w:val="none" w:sz="0" w:space="0" w:color="auto"/>
        <w:right w:val="none" w:sz="0" w:space="0" w:color="auto"/>
      </w:divBdr>
    </w:div>
    <w:div w:id="521093293">
      <w:bodyDiv w:val="1"/>
      <w:marLeft w:val="0"/>
      <w:marRight w:val="0"/>
      <w:marTop w:val="0"/>
      <w:marBottom w:val="0"/>
      <w:divBdr>
        <w:top w:val="none" w:sz="0" w:space="0" w:color="auto"/>
        <w:left w:val="none" w:sz="0" w:space="0" w:color="auto"/>
        <w:bottom w:val="none" w:sz="0" w:space="0" w:color="auto"/>
        <w:right w:val="none" w:sz="0" w:space="0" w:color="auto"/>
      </w:divBdr>
    </w:div>
    <w:div w:id="522784279">
      <w:bodyDiv w:val="1"/>
      <w:marLeft w:val="0"/>
      <w:marRight w:val="0"/>
      <w:marTop w:val="0"/>
      <w:marBottom w:val="0"/>
      <w:divBdr>
        <w:top w:val="none" w:sz="0" w:space="0" w:color="auto"/>
        <w:left w:val="none" w:sz="0" w:space="0" w:color="auto"/>
        <w:bottom w:val="none" w:sz="0" w:space="0" w:color="auto"/>
        <w:right w:val="none" w:sz="0" w:space="0" w:color="auto"/>
      </w:divBdr>
    </w:div>
    <w:div w:id="524250833">
      <w:bodyDiv w:val="1"/>
      <w:marLeft w:val="0"/>
      <w:marRight w:val="0"/>
      <w:marTop w:val="0"/>
      <w:marBottom w:val="0"/>
      <w:divBdr>
        <w:top w:val="none" w:sz="0" w:space="0" w:color="auto"/>
        <w:left w:val="none" w:sz="0" w:space="0" w:color="auto"/>
        <w:bottom w:val="none" w:sz="0" w:space="0" w:color="auto"/>
        <w:right w:val="none" w:sz="0" w:space="0" w:color="auto"/>
      </w:divBdr>
    </w:div>
    <w:div w:id="525489022">
      <w:bodyDiv w:val="1"/>
      <w:marLeft w:val="0"/>
      <w:marRight w:val="0"/>
      <w:marTop w:val="0"/>
      <w:marBottom w:val="0"/>
      <w:divBdr>
        <w:top w:val="none" w:sz="0" w:space="0" w:color="auto"/>
        <w:left w:val="none" w:sz="0" w:space="0" w:color="auto"/>
        <w:bottom w:val="none" w:sz="0" w:space="0" w:color="auto"/>
        <w:right w:val="none" w:sz="0" w:space="0" w:color="auto"/>
      </w:divBdr>
    </w:div>
    <w:div w:id="533925258">
      <w:bodyDiv w:val="1"/>
      <w:marLeft w:val="0"/>
      <w:marRight w:val="0"/>
      <w:marTop w:val="0"/>
      <w:marBottom w:val="0"/>
      <w:divBdr>
        <w:top w:val="none" w:sz="0" w:space="0" w:color="auto"/>
        <w:left w:val="none" w:sz="0" w:space="0" w:color="auto"/>
        <w:bottom w:val="none" w:sz="0" w:space="0" w:color="auto"/>
        <w:right w:val="none" w:sz="0" w:space="0" w:color="auto"/>
      </w:divBdr>
    </w:div>
    <w:div w:id="541291238">
      <w:bodyDiv w:val="1"/>
      <w:marLeft w:val="0"/>
      <w:marRight w:val="0"/>
      <w:marTop w:val="0"/>
      <w:marBottom w:val="0"/>
      <w:divBdr>
        <w:top w:val="none" w:sz="0" w:space="0" w:color="auto"/>
        <w:left w:val="none" w:sz="0" w:space="0" w:color="auto"/>
        <w:bottom w:val="none" w:sz="0" w:space="0" w:color="auto"/>
        <w:right w:val="none" w:sz="0" w:space="0" w:color="auto"/>
      </w:divBdr>
    </w:div>
    <w:div w:id="541402412">
      <w:bodyDiv w:val="1"/>
      <w:marLeft w:val="0"/>
      <w:marRight w:val="0"/>
      <w:marTop w:val="0"/>
      <w:marBottom w:val="0"/>
      <w:divBdr>
        <w:top w:val="none" w:sz="0" w:space="0" w:color="auto"/>
        <w:left w:val="none" w:sz="0" w:space="0" w:color="auto"/>
        <w:bottom w:val="none" w:sz="0" w:space="0" w:color="auto"/>
        <w:right w:val="none" w:sz="0" w:space="0" w:color="auto"/>
      </w:divBdr>
    </w:div>
    <w:div w:id="542791533">
      <w:bodyDiv w:val="1"/>
      <w:marLeft w:val="0"/>
      <w:marRight w:val="0"/>
      <w:marTop w:val="0"/>
      <w:marBottom w:val="0"/>
      <w:divBdr>
        <w:top w:val="none" w:sz="0" w:space="0" w:color="auto"/>
        <w:left w:val="none" w:sz="0" w:space="0" w:color="auto"/>
        <w:bottom w:val="none" w:sz="0" w:space="0" w:color="auto"/>
        <w:right w:val="none" w:sz="0" w:space="0" w:color="auto"/>
      </w:divBdr>
    </w:div>
    <w:div w:id="543174994">
      <w:bodyDiv w:val="1"/>
      <w:marLeft w:val="0"/>
      <w:marRight w:val="0"/>
      <w:marTop w:val="0"/>
      <w:marBottom w:val="0"/>
      <w:divBdr>
        <w:top w:val="none" w:sz="0" w:space="0" w:color="auto"/>
        <w:left w:val="none" w:sz="0" w:space="0" w:color="auto"/>
        <w:bottom w:val="none" w:sz="0" w:space="0" w:color="auto"/>
        <w:right w:val="none" w:sz="0" w:space="0" w:color="auto"/>
      </w:divBdr>
    </w:div>
    <w:div w:id="546648865">
      <w:bodyDiv w:val="1"/>
      <w:marLeft w:val="0"/>
      <w:marRight w:val="0"/>
      <w:marTop w:val="0"/>
      <w:marBottom w:val="0"/>
      <w:divBdr>
        <w:top w:val="none" w:sz="0" w:space="0" w:color="auto"/>
        <w:left w:val="none" w:sz="0" w:space="0" w:color="auto"/>
        <w:bottom w:val="none" w:sz="0" w:space="0" w:color="auto"/>
        <w:right w:val="none" w:sz="0" w:space="0" w:color="auto"/>
      </w:divBdr>
      <w:divsChild>
        <w:div w:id="268859865">
          <w:marLeft w:val="0"/>
          <w:marRight w:val="0"/>
          <w:marTop w:val="0"/>
          <w:marBottom w:val="0"/>
          <w:divBdr>
            <w:top w:val="none" w:sz="0" w:space="0" w:color="auto"/>
            <w:left w:val="none" w:sz="0" w:space="0" w:color="auto"/>
            <w:bottom w:val="none" w:sz="0" w:space="0" w:color="auto"/>
            <w:right w:val="none" w:sz="0" w:space="0" w:color="auto"/>
          </w:divBdr>
          <w:divsChild>
            <w:div w:id="86661247">
              <w:marLeft w:val="0"/>
              <w:marRight w:val="0"/>
              <w:marTop w:val="0"/>
              <w:marBottom w:val="0"/>
              <w:divBdr>
                <w:top w:val="none" w:sz="0" w:space="0" w:color="auto"/>
                <w:left w:val="none" w:sz="0" w:space="0" w:color="auto"/>
                <w:bottom w:val="none" w:sz="0" w:space="0" w:color="auto"/>
                <w:right w:val="none" w:sz="0" w:space="0" w:color="auto"/>
              </w:divBdr>
              <w:divsChild>
                <w:div w:id="761267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928558">
      <w:bodyDiv w:val="1"/>
      <w:marLeft w:val="0"/>
      <w:marRight w:val="0"/>
      <w:marTop w:val="0"/>
      <w:marBottom w:val="0"/>
      <w:divBdr>
        <w:top w:val="none" w:sz="0" w:space="0" w:color="auto"/>
        <w:left w:val="none" w:sz="0" w:space="0" w:color="auto"/>
        <w:bottom w:val="none" w:sz="0" w:space="0" w:color="auto"/>
        <w:right w:val="none" w:sz="0" w:space="0" w:color="auto"/>
      </w:divBdr>
    </w:div>
    <w:div w:id="556861843">
      <w:bodyDiv w:val="1"/>
      <w:marLeft w:val="0"/>
      <w:marRight w:val="0"/>
      <w:marTop w:val="0"/>
      <w:marBottom w:val="0"/>
      <w:divBdr>
        <w:top w:val="none" w:sz="0" w:space="0" w:color="auto"/>
        <w:left w:val="none" w:sz="0" w:space="0" w:color="auto"/>
        <w:bottom w:val="none" w:sz="0" w:space="0" w:color="auto"/>
        <w:right w:val="none" w:sz="0" w:space="0" w:color="auto"/>
      </w:divBdr>
    </w:div>
    <w:div w:id="558633502">
      <w:bodyDiv w:val="1"/>
      <w:marLeft w:val="0"/>
      <w:marRight w:val="0"/>
      <w:marTop w:val="0"/>
      <w:marBottom w:val="0"/>
      <w:divBdr>
        <w:top w:val="none" w:sz="0" w:space="0" w:color="auto"/>
        <w:left w:val="none" w:sz="0" w:space="0" w:color="auto"/>
        <w:bottom w:val="none" w:sz="0" w:space="0" w:color="auto"/>
        <w:right w:val="none" w:sz="0" w:space="0" w:color="auto"/>
      </w:divBdr>
    </w:div>
    <w:div w:id="558976282">
      <w:bodyDiv w:val="1"/>
      <w:marLeft w:val="0"/>
      <w:marRight w:val="0"/>
      <w:marTop w:val="0"/>
      <w:marBottom w:val="0"/>
      <w:divBdr>
        <w:top w:val="none" w:sz="0" w:space="0" w:color="auto"/>
        <w:left w:val="none" w:sz="0" w:space="0" w:color="auto"/>
        <w:bottom w:val="none" w:sz="0" w:space="0" w:color="auto"/>
        <w:right w:val="none" w:sz="0" w:space="0" w:color="auto"/>
      </w:divBdr>
    </w:div>
    <w:div w:id="559902852">
      <w:bodyDiv w:val="1"/>
      <w:marLeft w:val="0"/>
      <w:marRight w:val="0"/>
      <w:marTop w:val="0"/>
      <w:marBottom w:val="0"/>
      <w:divBdr>
        <w:top w:val="none" w:sz="0" w:space="0" w:color="auto"/>
        <w:left w:val="none" w:sz="0" w:space="0" w:color="auto"/>
        <w:bottom w:val="none" w:sz="0" w:space="0" w:color="auto"/>
        <w:right w:val="none" w:sz="0" w:space="0" w:color="auto"/>
      </w:divBdr>
    </w:div>
    <w:div w:id="560748415">
      <w:bodyDiv w:val="1"/>
      <w:marLeft w:val="0"/>
      <w:marRight w:val="0"/>
      <w:marTop w:val="0"/>
      <w:marBottom w:val="0"/>
      <w:divBdr>
        <w:top w:val="none" w:sz="0" w:space="0" w:color="auto"/>
        <w:left w:val="none" w:sz="0" w:space="0" w:color="auto"/>
        <w:bottom w:val="none" w:sz="0" w:space="0" w:color="auto"/>
        <w:right w:val="none" w:sz="0" w:space="0" w:color="auto"/>
      </w:divBdr>
    </w:div>
    <w:div w:id="563759338">
      <w:bodyDiv w:val="1"/>
      <w:marLeft w:val="0"/>
      <w:marRight w:val="0"/>
      <w:marTop w:val="0"/>
      <w:marBottom w:val="0"/>
      <w:divBdr>
        <w:top w:val="none" w:sz="0" w:space="0" w:color="auto"/>
        <w:left w:val="none" w:sz="0" w:space="0" w:color="auto"/>
        <w:bottom w:val="none" w:sz="0" w:space="0" w:color="auto"/>
        <w:right w:val="none" w:sz="0" w:space="0" w:color="auto"/>
      </w:divBdr>
    </w:div>
    <w:div w:id="567229376">
      <w:bodyDiv w:val="1"/>
      <w:marLeft w:val="0"/>
      <w:marRight w:val="0"/>
      <w:marTop w:val="0"/>
      <w:marBottom w:val="0"/>
      <w:divBdr>
        <w:top w:val="none" w:sz="0" w:space="0" w:color="auto"/>
        <w:left w:val="none" w:sz="0" w:space="0" w:color="auto"/>
        <w:bottom w:val="none" w:sz="0" w:space="0" w:color="auto"/>
        <w:right w:val="none" w:sz="0" w:space="0" w:color="auto"/>
      </w:divBdr>
    </w:div>
    <w:div w:id="567958029">
      <w:bodyDiv w:val="1"/>
      <w:marLeft w:val="0"/>
      <w:marRight w:val="0"/>
      <w:marTop w:val="0"/>
      <w:marBottom w:val="0"/>
      <w:divBdr>
        <w:top w:val="none" w:sz="0" w:space="0" w:color="auto"/>
        <w:left w:val="none" w:sz="0" w:space="0" w:color="auto"/>
        <w:bottom w:val="none" w:sz="0" w:space="0" w:color="auto"/>
        <w:right w:val="none" w:sz="0" w:space="0" w:color="auto"/>
      </w:divBdr>
    </w:div>
    <w:div w:id="569510679">
      <w:bodyDiv w:val="1"/>
      <w:marLeft w:val="0"/>
      <w:marRight w:val="0"/>
      <w:marTop w:val="0"/>
      <w:marBottom w:val="0"/>
      <w:divBdr>
        <w:top w:val="none" w:sz="0" w:space="0" w:color="auto"/>
        <w:left w:val="none" w:sz="0" w:space="0" w:color="auto"/>
        <w:bottom w:val="none" w:sz="0" w:space="0" w:color="auto"/>
        <w:right w:val="none" w:sz="0" w:space="0" w:color="auto"/>
      </w:divBdr>
    </w:div>
    <w:div w:id="571623764">
      <w:bodyDiv w:val="1"/>
      <w:marLeft w:val="0"/>
      <w:marRight w:val="0"/>
      <w:marTop w:val="0"/>
      <w:marBottom w:val="0"/>
      <w:divBdr>
        <w:top w:val="none" w:sz="0" w:space="0" w:color="auto"/>
        <w:left w:val="none" w:sz="0" w:space="0" w:color="auto"/>
        <w:bottom w:val="none" w:sz="0" w:space="0" w:color="auto"/>
        <w:right w:val="none" w:sz="0" w:space="0" w:color="auto"/>
      </w:divBdr>
    </w:div>
    <w:div w:id="571819582">
      <w:bodyDiv w:val="1"/>
      <w:marLeft w:val="0"/>
      <w:marRight w:val="0"/>
      <w:marTop w:val="0"/>
      <w:marBottom w:val="0"/>
      <w:divBdr>
        <w:top w:val="none" w:sz="0" w:space="0" w:color="auto"/>
        <w:left w:val="none" w:sz="0" w:space="0" w:color="auto"/>
        <w:bottom w:val="none" w:sz="0" w:space="0" w:color="auto"/>
        <w:right w:val="none" w:sz="0" w:space="0" w:color="auto"/>
      </w:divBdr>
    </w:div>
    <w:div w:id="572207119">
      <w:bodyDiv w:val="1"/>
      <w:marLeft w:val="0"/>
      <w:marRight w:val="0"/>
      <w:marTop w:val="0"/>
      <w:marBottom w:val="0"/>
      <w:divBdr>
        <w:top w:val="none" w:sz="0" w:space="0" w:color="auto"/>
        <w:left w:val="none" w:sz="0" w:space="0" w:color="auto"/>
        <w:bottom w:val="none" w:sz="0" w:space="0" w:color="auto"/>
        <w:right w:val="none" w:sz="0" w:space="0" w:color="auto"/>
      </w:divBdr>
    </w:div>
    <w:div w:id="572543667">
      <w:bodyDiv w:val="1"/>
      <w:marLeft w:val="0"/>
      <w:marRight w:val="0"/>
      <w:marTop w:val="0"/>
      <w:marBottom w:val="0"/>
      <w:divBdr>
        <w:top w:val="none" w:sz="0" w:space="0" w:color="auto"/>
        <w:left w:val="none" w:sz="0" w:space="0" w:color="auto"/>
        <w:bottom w:val="none" w:sz="0" w:space="0" w:color="auto"/>
        <w:right w:val="none" w:sz="0" w:space="0" w:color="auto"/>
      </w:divBdr>
    </w:div>
    <w:div w:id="573201640">
      <w:bodyDiv w:val="1"/>
      <w:marLeft w:val="0"/>
      <w:marRight w:val="0"/>
      <w:marTop w:val="0"/>
      <w:marBottom w:val="0"/>
      <w:divBdr>
        <w:top w:val="none" w:sz="0" w:space="0" w:color="auto"/>
        <w:left w:val="none" w:sz="0" w:space="0" w:color="auto"/>
        <w:bottom w:val="none" w:sz="0" w:space="0" w:color="auto"/>
        <w:right w:val="none" w:sz="0" w:space="0" w:color="auto"/>
      </w:divBdr>
    </w:div>
    <w:div w:id="578907072">
      <w:bodyDiv w:val="1"/>
      <w:marLeft w:val="0"/>
      <w:marRight w:val="0"/>
      <w:marTop w:val="0"/>
      <w:marBottom w:val="0"/>
      <w:divBdr>
        <w:top w:val="none" w:sz="0" w:space="0" w:color="auto"/>
        <w:left w:val="none" w:sz="0" w:space="0" w:color="auto"/>
        <w:bottom w:val="none" w:sz="0" w:space="0" w:color="auto"/>
        <w:right w:val="none" w:sz="0" w:space="0" w:color="auto"/>
      </w:divBdr>
    </w:div>
    <w:div w:id="582226833">
      <w:bodyDiv w:val="1"/>
      <w:marLeft w:val="0"/>
      <w:marRight w:val="0"/>
      <w:marTop w:val="0"/>
      <w:marBottom w:val="0"/>
      <w:divBdr>
        <w:top w:val="none" w:sz="0" w:space="0" w:color="auto"/>
        <w:left w:val="none" w:sz="0" w:space="0" w:color="auto"/>
        <w:bottom w:val="none" w:sz="0" w:space="0" w:color="auto"/>
        <w:right w:val="none" w:sz="0" w:space="0" w:color="auto"/>
      </w:divBdr>
    </w:div>
    <w:div w:id="584219200">
      <w:bodyDiv w:val="1"/>
      <w:marLeft w:val="0"/>
      <w:marRight w:val="0"/>
      <w:marTop w:val="0"/>
      <w:marBottom w:val="0"/>
      <w:divBdr>
        <w:top w:val="none" w:sz="0" w:space="0" w:color="auto"/>
        <w:left w:val="none" w:sz="0" w:space="0" w:color="auto"/>
        <w:bottom w:val="none" w:sz="0" w:space="0" w:color="auto"/>
        <w:right w:val="none" w:sz="0" w:space="0" w:color="auto"/>
      </w:divBdr>
    </w:div>
    <w:div w:id="588008346">
      <w:bodyDiv w:val="1"/>
      <w:marLeft w:val="0"/>
      <w:marRight w:val="0"/>
      <w:marTop w:val="0"/>
      <w:marBottom w:val="0"/>
      <w:divBdr>
        <w:top w:val="none" w:sz="0" w:space="0" w:color="auto"/>
        <w:left w:val="none" w:sz="0" w:space="0" w:color="auto"/>
        <w:bottom w:val="none" w:sz="0" w:space="0" w:color="auto"/>
        <w:right w:val="none" w:sz="0" w:space="0" w:color="auto"/>
      </w:divBdr>
    </w:div>
    <w:div w:id="592587157">
      <w:bodyDiv w:val="1"/>
      <w:marLeft w:val="0"/>
      <w:marRight w:val="0"/>
      <w:marTop w:val="0"/>
      <w:marBottom w:val="0"/>
      <w:divBdr>
        <w:top w:val="none" w:sz="0" w:space="0" w:color="auto"/>
        <w:left w:val="none" w:sz="0" w:space="0" w:color="auto"/>
        <w:bottom w:val="none" w:sz="0" w:space="0" w:color="auto"/>
        <w:right w:val="none" w:sz="0" w:space="0" w:color="auto"/>
      </w:divBdr>
    </w:div>
    <w:div w:id="592589510">
      <w:bodyDiv w:val="1"/>
      <w:marLeft w:val="0"/>
      <w:marRight w:val="0"/>
      <w:marTop w:val="0"/>
      <w:marBottom w:val="0"/>
      <w:divBdr>
        <w:top w:val="none" w:sz="0" w:space="0" w:color="auto"/>
        <w:left w:val="none" w:sz="0" w:space="0" w:color="auto"/>
        <w:bottom w:val="none" w:sz="0" w:space="0" w:color="auto"/>
        <w:right w:val="none" w:sz="0" w:space="0" w:color="auto"/>
      </w:divBdr>
    </w:div>
    <w:div w:id="594217233">
      <w:bodyDiv w:val="1"/>
      <w:marLeft w:val="0"/>
      <w:marRight w:val="0"/>
      <w:marTop w:val="0"/>
      <w:marBottom w:val="0"/>
      <w:divBdr>
        <w:top w:val="none" w:sz="0" w:space="0" w:color="auto"/>
        <w:left w:val="none" w:sz="0" w:space="0" w:color="auto"/>
        <w:bottom w:val="none" w:sz="0" w:space="0" w:color="auto"/>
        <w:right w:val="none" w:sz="0" w:space="0" w:color="auto"/>
      </w:divBdr>
    </w:div>
    <w:div w:id="594900625">
      <w:bodyDiv w:val="1"/>
      <w:marLeft w:val="0"/>
      <w:marRight w:val="0"/>
      <w:marTop w:val="0"/>
      <w:marBottom w:val="0"/>
      <w:divBdr>
        <w:top w:val="none" w:sz="0" w:space="0" w:color="auto"/>
        <w:left w:val="none" w:sz="0" w:space="0" w:color="auto"/>
        <w:bottom w:val="none" w:sz="0" w:space="0" w:color="auto"/>
        <w:right w:val="none" w:sz="0" w:space="0" w:color="auto"/>
      </w:divBdr>
    </w:div>
    <w:div w:id="597711353">
      <w:bodyDiv w:val="1"/>
      <w:marLeft w:val="0"/>
      <w:marRight w:val="0"/>
      <w:marTop w:val="0"/>
      <w:marBottom w:val="0"/>
      <w:divBdr>
        <w:top w:val="none" w:sz="0" w:space="0" w:color="auto"/>
        <w:left w:val="none" w:sz="0" w:space="0" w:color="auto"/>
        <w:bottom w:val="none" w:sz="0" w:space="0" w:color="auto"/>
        <w:right w:val="none" w:sz="0" w:space="0" w:color="auto"/>
      </w:divBdr>
    </w:div>
    <w:div w:id="606278248">
      <w:bodyDiv w:val="1"/>
      <w:marLeft w:val="0"/>
      <w:marRight w:val="0"/>
      <w:marTop w:val="0"/>
      <w:marBottom w:val="0"/>
      <w:divBdr>
        <w:top w:val="none" w:sz="0" w:space="0" w:color="auto"/>
        <w:left w:val="none" w:sz="0" w:space="0" w:color="auto"/>
        <w:bottom w:val="none" w:sz="0" w:space="0" w:color="auto"/>
        <w:right w:val="none" w:sz="0" w:space="0" w:color="auto"/>
      </w:divBdr>
    </w:div>
    <w:div w:id="607474007">
      <w:bodyDiv w:val="1"/>
      <w:marLeft w:val="0"/>
      <w:marRight w:val="0"/>
      <w:marTop w:val="0"/>
      <w:marBottom w:val="0"/>
      <w:divBdr>
        <w:top w:val="none" w:sz="0" w:space="0" w:color="auto"/>
        <w:left w:val="none" w:sz="0" w:space="0" w:color="auto"/>
        <w:bottom w:val="none" w:sz="0" w:space="0" w:color="auto"/>
        <w:right w:val="none" w:sz="0" w:space="0" w:color="auto"/>
      </w:divBdr>
    </w:div>
    <w:div w:id="607739927">
      <w:bodyDiv w:val="1"/>
      <w:marLeft w:val="0"/>
      <w:marRight w:val="0"/>
      <w:marTop w:val="0"/>
      <w:marBottom w:val="0"/>
      <w:divBdr>
        <w:top w:val="none" w:sz="0" w:space="0" w:color="auto"/>
        <w:left w:val="none" w:sz="0" w:space="0" w:color="auto"/>
        <w:bottom w:val="none" w:sz="0" w:space="0" w:color="auto"/>
        <w:right w:val="none" w:sz="0" w:space="0" w:color="auto"/>
      </w:divBdr>
    </w:div>
    <w:div w:id="612321800">
      <w:bodyDiv w:val="1"/>
      <w:marLeft w:val="0"/>
      <w:marRight w:val="0"/>
      <w:marTop w:val="0"/>
      <w:marBottom w:val="0"/>
      <w:divBdr>
        <w:top w:val="none" w:sz="0" w:space="0" w:color="auto"/>
        <w:left w:val="none" w:sz="0" w:space="0" w:color="auto"/>
        <w:bottom w:val="none" w:sz="0" w:space="0" w:color="auto"/>
        <w:right w:val="none" w:sz="0" w:space="0" w:color="auto"/>
      </w:divBdr>
    </w:div>
    <w:div w:id="617950951">
      <w:bodyDiv w:val="1"/>
      <w:marLeft w:val="0"/>
      <w:marRight w:val="0"/>
      <w:marTop w:val="0"/>
      <w:marBottom w:val="0"/>
      <w:divBdr>
        <w:top w:val="none" w:sz="0" w:space="0" w:color="auto"/>
        <w:left w:val="none" w:sz="0" w:space="0" w:color="auto"/>
        <w:bottom w:val="none" w:sz="0" w:space="0" w:color="auto"/>
        <w:right w:val="none" w:sz="0" w:space="0" w:color="auto"/>
      </w:divBdr>
    </w:div>
    <w:div w:id="622347734">
      <w:bodyDiv w:val="1"/>
      <w:marLeft w:val="0"/>
      <w:marRight w:val="0"/>
      <w:marTop w:val="0"/>
      <w:marBottom w:val="0"/>
      <w:divBdr>
        <w:top w:val="none" w:sz="0" w:space="0" w:color="auto"/>
        <w:left w:val="none" w:sz="0" w:space="0" w:color="auto"/>
        <w:bottom w:val="none" w:sz="0" w:space="0" w:color="auto"/>
        <w:right w:val="none" w:sz="0" w:space="0" w:color="auto"/>
      </w:divBdr>
    </w:div>
    <w:div w:id="629213920">
      <w:bodyDiv w:val="1"/>
      <w:marLeft w:val="0"/>
      <w:marRight w:val="0"/>
      <w:marTop w:val="0"/>
      <w:marBottom w:val="0"/>
      <w:divBdr>
        <w:top w:val="none" w:sz="0" w:space="0" w:color="auto"/>
        <w:left w:val="none" w:sz="0" w:space="0" w:color="auto"/>
        <w:bottom w:val="none" w:sz="0" w:space="0" w:color="auto"/>
        <w:right w:val="none" w:sz="0" w:space="0" w:color="auto"/>
      </w:divBdr>
    </w:div>
    <w:div w:id="629748106">
      <w:bodyDiv w:val="1"/>
      <w:marLeft w:val="0"/>
      <w:marRight w:val="0"/>
      <w:marTop w:val="0"/>
      <w:marBottom w:val="0"/>
      <w:divBdr>
        <w:top w:val="none" w:sz="0" w:space="0" w:color="auto"/>
        <w:left w:val="none" w:sz="0" w:space="0" w:color="auto"/>
        <w:bottom w:val="none" w:sz="0" w:space="0" w:color="auto"/>
        <w:right w:val="none" w:sz="0" w:space="0" w:color="auto"/>
      </w:divBdr>
    </w:div>
    <w:div w:id="650014544">
      <w:bodyDiv w:val="1"/>
      <w:marLeft w:val="0"/>
      <w:marRight w:val="0"/>
      <w:marTop w:val="0"/>
      <w:marBottom w:val="0"/>
      <w:divBdr>
        <w:top w:val="none" w:sz="0" w:space="0" w:color="auto"/>
        <w:left w:val="none" w:sz="0" w:space="0" w:color="auto"/>
        <w:bottom w:val="none" w:sz="0" w:space="0" w:color="auto"/>
        <w:right w:val="none" w:sz="0" w:space="0" w:color="auto"/>
      </w:divBdr>
    </w:div>
    <w:div w:id="650713087">
      <w:bodyDiv w:val="1"/>
      <w:marLeft w:val="0"/>
      <w:marRight w:val="0"/>
      <w:marTop w:val="0"/>
      <w:marBottom w:val="0"/>
      <w:divBdr>
        <w:top w:val="none" w:sz="0" w:space="0" w:color="auto"/>
        <w:left w:val="none" w:sz="0" w:space="0" w:color="auto"/>
        <w:bottom w:val="none" w:sz="0" w:space="0" w:color="auto"/>
        <w:right w:val="none" w:sz="0" w:space="0" w:color="auto"/>
      </w:divBdr>
    </w:div>
    <w:div w:id="652031098">
      <w:bodyDiv w:val="1"/>
      <w:marLeft w:val="0"/>
      <w:marRight w:val="0"/>
      <w:marTop w:val="0"/>
      <w:marBottom w:val="0"/>
      <w:divBdr>
        <w:top w:val="none" w:sz="0" w:space="0" w:color="auto"/>
        <w:left w:val="none" w:sz="0" w:space="0" w:color="auto"/>
        <w:bottom w:val="none" w:sz="0" w:space="0" w:color="auto"/>
        <w:right w:val="none" w:sz="0" w:space="0" w:color="auto"/>
      </w:divBdr>
    </w:div>
    <w:div w:id="653680069">
      <w:bodyDiv w:val="1"/>
      <w:marLeft w:val="0"/>
      <w:marRight w:val="0"/>
      <w:marTop w:val="0"/>
      <w:marBottom w:val="0"/>
      <w:divBdr>
        <w:top w:val="none" w:sz="0" w:space="0" w:color="auto"/>
        <w:left w:val="none" w:sz="0" w:space="0" w:color="auto"/>
        <w:bottom w:val="none" w:sz="0" w:space="0" w:color="auto"/>
        <w:right w:val="none" w:sz="0" w:space="0" w:color="auto"/>
      </w:divBdr>
    </w:div>
    <w:div w:id="654797614">
      <w:bodyDiv w:val="1"/>
      <w:marLeft w:val="0"/>
      <w:marRight w:val="0"/>
      <w:marTop w:val="0"/>
      <w:marBottom w:val="0"/>
      <w:divBdr>
        <w:top w:val="none" w:sz="0" w:space="0" w:color="auto"/>
        <w:left w:val="none" w:sz="0" w:space="0" w:color="auto"/>
        <w:bottom w:val="none" w:sz="0" w:space="0" w:color="auto"/>
        <w:right w:val="none" w:sz="0" w:space="0" w:color="auto"/>
      </w:divBdr>
    </w:div>
    <w:div w:id="655765069">
      <w:bodyDiv w:val="1"/>
      <w:marLeft w:val="0"/>
      <w:marRight w:val="0"/>
      <w:marTop w:val="0"/>
      <w:marBottom w:val="0"/>
      <w:divBdr>
        <w:top w:val="none" w:sz="0" w:space="0" w:color="auto"/>
        <w:left w:val="none" w:sz="0" w:space="0" w:color="auto"/>
        <w:bottom w:val="none" w:sz="0" w:space="0" w:color="auto"/>
        <w:right w:val="none" w:sz="0" w:space="0" w:color="auto"/>
      </w:divBdr>
    </w:div>
    <w:div w:id="657459606">
      <w:bodyDiv w:val="1"/>
      <w:marLeft w:val="0"/>
      <w:marRight w:val="0"/>
      <w:marTop w:val="0"/>
      <w:marBottom w:val="0"/>
      <w:divBdr>
        <w:top w:val="none" w:sz="0" w:space="0" w:color="auto"/>
        <w:left w:val="none" w:sz="0" w:space="0" w:color="auto"/>
        <w:bottom w:val="none" w:sz="0" w:space="0" w:color="auto"/>
        <w:right w:val="none" w:sz="0" w:space="0" w:color="auto"/>
      </w:divBdr>
    </w:div>
    <w:div w:id="659499476">
      <w:bodyDiv w:val="1"/>
      <w:marLeft w:val="0"/>
      <w:marRight w:val="0"/>
      <w:marTop w:val="0"/>
      <w:marBottom w:val="0"/>
      <w:divBdr>
        <w:top w:val="none" w:sz="0" w:space="0" w:color="auto"/>
        <w:left w:val="none" w:sz="0" w:space="0" w:color="auto"/>
        <w:bottom w:val="none" w:sz="0" w:space="0" w:color="auto"/>
        <w:right w:val="none" w:sz="0" w:space="0" w:color="auto"/>
      </w:divBdr>
    </w:div>
    <w:div w:id="665549493">
      <w:bodyDiv w:val="1"/>
      <w:marLeft w:val="0"/>
      <w:marRight w:val="0"/>
      <w:marTop w:val="0"/>
      <w:marBottom w:val="0"/>
      <w:divBdr>
        <w:top w:val="none" w:sz="0" w:space="0" w:color="auto"/>
        <w:left w:val="none" w:sz="0" w:space="0" w:color="auto"/>
        <w:bottom w:val="none" w:sz="0" w:space="0" w:color="auto"/>
        <w:right w:val="none" w:sz="0" w:space="0" w:color="auto"/>
      </w:divBdr>
    </w:div>
    <w:div w:id="669940877">
      <w:bodyDiv w:val="1"/>
      <w:marLeft w:val="0"/>
      <w:marRight w:val="0"/>
      <w:marTop w:val="0"/>
      <w:marBottom w:val="0"/>
      <w:divBdr>
        <w:top w:val="none" w:sz="0" w:space="0" w:color="auto"/>
        <w:left w:val="none" w:sz="0" w:space="0" w:color="auto"/>
        <w:bottom w:val="none" w:sz="0" w:space="0" w:color="auto"/>
        <w:right w:val="none" w:sz="0" w:space="0" w:color="auto"/>
      </w:divBdr>
    </w:div>
    <w:div w:id="670520953">
      <w:bodyDiv w:val="1"/>
      <w:marLeft w:val="0"/>
      <w:marRight w:val="0"/>
      <w:marTop w:val="0"/>
      <w:marBottom w:val="0"/>
      <w:divBdr>
        <w:top w:val="none" w:sz="0" w:space="0" w:color="auto"/>
        <w:left w:val="none" w:sz="0" w:space="0" w:color="auto"/>
        <w:bottom w:val="none" w:sz="0" w:space="0" w:color="auto"/>
        <w:right w:val="none" w:sz="0" w:space="0" w:color="auto"/>
      </w:divBdr>
    </w:div>
    <w:div w:id="675964512">
      <w:bodyDiv w:val="1"/>
      <w:marLeft w:val="0"/>
      <w:marRight w:val="0"/>
      <w:marTop w:val="0"/>
      <w:marBottom w:val="0"/>
      <w:divBdr>
        <w:top w:val="none" w:sz="0" w:space="0" w:color="auto"/>
        <w:left w:val="none" w:sz="0" w:space="0" w:color="auto"/>
        <w:bottom w:val="none" w:sz="0" w:space="0" w:color="auto"/>
        <w:right w:val="none" w:sz="0" w:space="0" w:color="auto"/>
      </w:divBdr>
    </w:div>
    <w:div w:id="679742286">
      <w:bodyDiv w:val="1"/>
      <w:marLeft w:val="0"/>
      <w:marRight w:val="0"/>
      <w:marTop w:val="0"/>
      <w:marBottom w:val="0"/>
      <w:divBdr>
        <w:top w:val="none" w:sz="0" w:space="0" w:color="auto"/>
        <w:left w:val="none" w:sz="0" w:space="0" w:color="auto"/>
        <w:bottom w:val="none" w:sz="0" w:space="0" w:color="auto"/>
        <w:right w:val="none" w:sz="0" w:space="0" w:color="auto"/>
      </w:divBdr>
    </w:div>
    <w:div w:id="692340746">
      <w:bodyDiv w:val="1"/>
      <w:marLeft w:val="0"/>
      <w:marRight w:val="0"/>
      <w:marTop w:val="0"/>
      <w:marBottom w:val="0"/>
      <w:divBdr>
        <w:top w:val="none" w:sz="0" w:space="0" w:color="auto"/>
        <w:left w:val="none" w:sz="0" w:space="0" w:color="auto"/>
        <w:bottom w:val="none" w:sz="0" w:space="0" w:color="auto"/>
        <w:right w:val="none" w:sz="0" w:space="0" w:color="auto"/>
      </w:divBdr>
    </w:div>
    <w:div w:id="696541898">
      <w:bodyDiv w:val="1"/>
      <w:marLeft w:val="0"/>
      <w:marRight w:val="0"/>
      <w:marTop w:val="0"/>
      <w:marBottom w:val="0"/>
      <w:divBdr>
        <w:top w:val="none" w:sz="0" w:space="0" w:color="auto"/>
        <w:left w:val="none" w:sz="0" w:space="0" w:color="auto"/>
        <w:bottom w:val="none" w:sz="0" w:space="0" w:color="auto"/>
        <w:right w:val="none" w:sz="0" w:space="0" w:color="auto"/>
      </w:divBdr>
    </w:div>
    <w:div w:id="696740601">
      <w:bodyDiv w:val="1"/>
      <w:marLeft w:val="0"/>
      <w:marRight w:val="0"/>
      <w:marTop w:val="0"/>
      <w:marBottom w:val="0"/>
      <w:divBdr>
        <w:top w:val="none" w:sz="0" w:space="0" w:color="auto"/>
        <w:left w:val="none" w:sz="0" w:space="0" w:color="auto"/>
        <w:bottom w:val="none" w:sz="0" w:space="0" w:color="auto"/>
        <w:right w:val="none" w:sz="0" w:space="0" w:color="auto"/>
      </w:divBdr>
    </w:div>
    <w:div w:id="700938323">
      <w:bodyDiv w:val="1"/>
      <w:marLeft w:val="0"/>
      <w:marRight w:val="0"/>
      <w:marTop w:val="0"/>
      <w:marBottom w:val="0"/>
      <w:divBdr>
        <w:top w:val="none" w:sz="0" w:space="0" w:color="auto"/>
        <w:left w:val="none" w:sz="0" w:space="0" w:color="auto"/>
        <w:bottom w:val="none" w:sz="0" w:space="0" w:color="auto"/>
        <w:right w:val="none" w:sz="0" w:space="0" w:color="auto"/>
      </w:divBdr>
    </w:div>
    <w:div w:id="702561266">
      <w:bodyDiv w:val="1"/>
      <w:marLeft w:val="0"/>
      <w:marRight w:val="0"/>
      <w:marTop w:val="0"/>
      <w:marBottom w:val="0"/>
      <w:divBdr>
        <w:top w:val="none" w:sz="0" w:space="0" w:color="auto"/>
        <w:left w:val="none" w:sz="0" w:space="0" w:color="auto"/>
        <w:bottom w:val="none" w:sz="0" w:space="0" w:color="auto"/>
        <w:right w:val="none" w:sz="0" w:space="0" w:color="auto"/>
      </w:divBdr>
    </w:div>
    <w:div w:id="703020741">
      <w:bodyDiv w:val="1"/>
      <w:marLeft w:val="0"/>
      <w:marRight w:val="0"/>
      <w:marTop w:val="0"/>
      <w:marBottom w:val="0"/>
      <w:divBdr>
        <w:top w:val="none" w:sz="0" w:space="0" w:color="auto"/>
        <w:left w:val="none" w:sz="0" w:space="0" w:color="auto"/>
        <w:bottom w:val="none" w:sz="0" w:space="0" w:color="auto"/>
        <w:right w:val="none" w:sz="0" w:space="0" w:color="auto"/>
      </w:divBdr>
    </w:div>
    <w:div w:id="705181504">
      <w:bodyDiv w:val="1"/>
      <w:marLeft w:val="0"/>
      <w:marRight w:val="0"/>
      <w:marTop w:val="0"/>
      <w:marBottom w:val="0"/>
      <w:divBdr>
        <w:top w:val="none" w:sz="0" w:space="0" w:color="auto"/>
        <w:left w:val="none" w:sz="0" w:space="0" w:color="auto"/>
        <w:bottom w:val="none" w:sz="0" w:space="0" w:color="auto"/>
        <w:right w:val="none" w:sz="0" w:space="0" w:color="auto"/>
      </w:divBdr>
    </w:div>
    <w:div w:id="705251309">
      <w:bodyDiv w:val="1"/>
      <w:marLeft w:val="0"/>
      <w:marRight w:val="0"/>
      <w:marTop w:val="0"/>
      <w:marBottom w:val="0"/>
      <w:divBdr>
        <w:top w:val="none" w:sz="0" w:space="0" w:color="auto"/>
        <w:left w:val="none" w:sz="0" w:space="0" w:color="auto"/>
        <w:bottom w:val="none" w:sz="0" w:space="0" w:color="auto"/>
        <w:right w:val="none" w:sz="0" w:space="0" w:color="auto"/>
      </w:divBdr>
    </w:div>
    <w:div w:id="706102810">
      <w:bodyDiv w:val="1"/>
      <w:marLeft w:val="0"/>
      <w:marRight w:val="0"/>
      <w:marTop w:val="0"/>
      <w:marBottom w:val="0"/>
      <w:divBdr>
        <w:top w:val="none" w:sz="0" w:space="0" w:color="auto"/>
        <w:left w:val="none" w:sz="0" w:space="0" w:color="auto"/>
        <w:bottom w:val="none" w:sz="0" w:space="0" w:color="auto"/>
        <w:right w:val="none" w:sz="0" w:space="0" w:color="auto"/>
      </w:divBdr>
    </w:div>
    <w:div w:id="706107242">
      <w:bodyDiv w:val="1"/>
      <w:marLeft w:val="0"/>
      <w:marRight w:val="0"/>
      <w:marTop w:val="0"/>
      <w:marBottom w:val="0"/>
      <w:divBdr>
        <w:top w:val="none" w:sz="0" w:space="0" w:color="auto"/>
        <w:left w:val="none" w:sz="0" w:space="0" w:color="auto"/>
        <w:bottom w:val="none" w:sz="0" w:space="0" w:color="auto"/>
        <w:right w:val="none" w:sz="0" w:space="0" w:color="auto"/>
      </w:divBdr>
    </w:div>
    <w:div w:id="707990622">
      <w:bodyDiv w:val="1"/>
      <w:marLeft w:val="0"/>
      <w:marRight w:val="0"/>
      <w:marTop w:val="0"/>
      <w:marBottom w:val="0"/>
      <w:divBdr>
        <w:top w:val="none" w:sz="0" w:space="0" w:color="auto"/>
        <w:left w:val="none" w:sz="0" w:space="0" w:color="auto"/>
        <w:bottom w:val="none" w:sz="0" w:space="0" w:color="auto"/>
        <w:right w:val="none" w:sz="0" w:space="0" w:color="auto"/>
      </w:divBdr>
    </w:div>
    <w:div w:id="710770563">
      <w:bodyDiv w:val="1"/>
      <w:marLeft w:val="0"/>
      <w:marRight w:val="0"/>
      <w:marTop w:val="0"/>
      <w:marBottom w:val="0"/>
      <w:divBdr>
        <w:top w:val="none" w:sz="0" w:space="0" w:color="auto"/>
        <w:left w:val="none" w:sz="0" w:space="0" w:color="auto"/>
        <w:bottom w:val="none" w:sz="0" w:space="0" w:color="auto"/>
        <w:right w:val="none" w:sz="0" w:space="0" w:color="auto"/>
      </w:divBdr>
      <w:divsChild>
        <w:div w:id="1769034633">
          <w:marLeft w:val="0"/>
          <w:marRight w:val="0"/>
          <w:marTop w:val="0"/>
          <w:marBottom w:val="0"/>
          <w:divBdr>
            <w:top w:val="none" w:sz="0" w:space="0" w:color="auto"/>
            <w:left w:val="none" w:sz="0" w:space="0" w:color="auto"/>
            <w:bottom w:val="none" w:sz="0" w:space="0" w:color="auto"/>
            <w:right w:val="none" w:sz="0" w:space="0" w:color="auto"/>
          </w:divBdr>
        </w:div>
      </w:divsChild>
    </w:div>
    <w:div w:id="712585248">
      <w:bodyDiv w:val="1"/>
      <w:marLeft w:val="0"/>
      <w:marRight w:val="0"/>
      <w:marTop w:val="0"/>
      <w:marBottom w:val="0"/>
      <w:divBdr>
        <w:top w:val="none" w:sz="0" w:space="0" w:color="auto"/>
        <w:left w:val="none" w:sz="0" w:space="0" w:color="auto"/>
        <w:bottom w:val="none" w:sz="0" w:space="0" w:color="auto"/>
        <w:right w:val="none" w:sz="0" w:space="0" w:color="auto"/>
      </w:divBdr>
    </w:div>
    <w:div w:id="718169999">
      <w:bodyDiv w:val="1"/>
      <w:marLeft w:val="0"/>
      <w:marRight w:val="0"/>
      <w:marTop w:val="0"/>
      <w:marBottom w:val="0"/>
      <w:divBdr>
        <w:top w:val="none" w:sz="0" w:space="0" w:color="auto"/>
        <w:left w:val="none" w:sz="0" w:space="0" w:color="auto"/>
        <w:bottom w:val="none" w:sz="0" w:space="0" w:color="auto"/>
        <w:right w:val="none" w:sz="0" w:space="0" w:color="auto"/>
      </w:divBdr>
    </w:div>
    <w:div w:id="718171156">
      <w:bodyDiv w:val="1"/>
      <w:marLeft w:val="0"/>
      <w:marRight w:val="0"/>
      <w:marTop w:val="0"/>
      <w:marBottom w:val="0"/>
      <w:divBdr>
        <w:top w:val="none" w:sz="0" w:space="0" w:color="auto"/>
        <w:left w:val="none" w:sz="0" w:space="0" w:color="auto"/>
        <w:bottom w:val="none" w:sz="0" w:space="0" w:color="auto"/>
        <w:right w:val="none" w:sz="0" w:space="0" w:color="auto"/>
      </w:divBdr>
    </w:div>
    <w:div w:id="722412539">
      <w:bodyDiv w:val="1"/>
      <w:marLeft w:val="0"/>
      <w:marRight w:val="0"/>
      <w:marTop w:val="0"/>
      <w:marBottom w:val="0"/>
      <w:divBdr>
        <w:top w:val="none" w:sz="0" w:space="0" w:color="auto"/>
        <w:left w:val="none" w:sz="0" w:space="0" w:color="auto"/>
        <w:bottom w:val="none" w:sz="0" w:space="0" w:color="auto"/>
        <w:right w:val="none" w:sz="0" w:space="0" w:color="auto"/>
      </w:divBdr>
    </w:div>
    <w:div w:id="734083125">
      <w:bodyDiv w:val="1"/>
      <w:marLeft w:val="0"/>
      <w:marRight w:val="0"/>
      <w:marTop w:val="0"/>
      <w:marBottom w:val="0"/>
      <w:divBdr>
        <w:top w:val="none" w:sz="0" w:space="0" w:color="auto"/>
        <w:left w:val="none" w:sz="0" w:space="0" w:color="auto"/>
        <w:bottom w:val="none" w:sz="0" w:space="0" w:color="auto"/>
        <w:right w:val="none" w:sz="0" w:space="0" w:color="auto"/>
      </w:divBdr>
    </w:div>
    <w:div w:id="734351827">
      <w:bodyDiv w:val="1"/>
      <w:marLeft w:val="0"/>
      <w:marRight w:val="0"/>
      <w:marTop w:val="0"/>
      <w:marBottom w:val="0"/>
      <w:divBdr>
        <w:top w:val="none" w:sz="0" w:space="0" w:color="auto"/>
        <w:left w:val="none" w:sz="0" w:space="0" w:color="auto"/>
        <w:bottom w:val="none" w:sz="0" w:space="0" w:color="auto"/>
        <w:right w:val="none" w:sz="0" w:space="0" w:color="auto"/>
      </w:divBdr>
    </w:div>
    <w:div w:id="734623479">
      <w:bodyDiv w:val="1"/>
      <w:marLeft w:val="0"/>
      <w:marRight w:val="0"/>
      <w:marTop w:val="0"/>
      <w:marBottom w:val="0"/>
      <w:divBdr>
        <w:top w:val="none" w:sz="0" w:space="0" w:color="auto"/>
        <w:left w:val="none" w:sz="0" w:space="0" w:color="auto"/>
        <w:bottom w:val="none" w:sz="0" w:space="0" w:color="auto"/>
        <w:right w:val="none" w:sz="0" w:space="0" w:color="auto"/>
      </w:divBdr>
    </w:div>
    <w:div w:id="741172084">
      <w:bodyDiv w:val="1"/>
      <w:marLeft w:val="0"/>
      <w:marRight w:val="0"/>
      <w:marTop w:val="0"/>
      <w:marBottom w:val="0"/>
      <w:divBdr>
        <w:top w:val="none" w:sz="0" w:space="0" w:color="auto"/>
        <w:left w:val="none" w:sz="0" w:space="0" w:color="auto"/>
        <w:bottom w:val="none" w:sz="0" w:space="0" w:color="auto"/>
        <w:right w:val="none" w:sz="0" w:space="0" w:color="auto"/>
      </w:divBdr>
    </w:div>
    <w:div w:id="754009849">
      <w:bodyDiv w:val="1"/>
      <w:marLeft w:val="0"/>
      <w:marRight w:val="0"/>
      <w:marTop w:val="0"/>
      <w:marBottom w:val="0"/>
      <w:divBdr>
        <w:top w:val="none" w:sz="0" w:space="0" w:color="auto"/>
        <w:left w:val="none" w:sz="0" w:space="0" w:color="auto"/>
        <w:bottom w:val="none" w:sz="0" w:space="0" w:color="auto"/>
        <w:right w:val="none" w:sz="0" w:space="0" w:color="auto"/>
      </w:divBdr>
    </w:div>
    <w:div w:id="758215684">
      <w:bodyDiv w:val="1"/>
      <w:marLeft w:val="0"/>
      <w:marRight w:val="0"/>
      <w:marTop w:val="0"/>
      <w:marBottom w:val="0"/>
      <w:divBdr>
        <w:top w:val="none" w:sz="0" w:space="0" w:color="auto"/>
        <w:left w:val="none" w:sz="0" w:space="0" w:color="auto"/>
        <w:bottom w:val="none" w:sz="0" w:space="0" w:color="auto"/>
        <w:right w:val="none" w:sz="0" w:space="0" w:color="auto"/>
      </w:divBdr>
    </w:div>
    <w:div w:id="760877943">
      <w:bodyDiv w:val="1"/>
      <w:marLeft w:val="0"/>
      <w:marRight w:val="0"/>
      <w:marTop w:val="0"/>
      <w:marBottom w:val="0"/>
      <w:divBdr>
        <w:top w:val="none" w:sz="0" w:space="0" w:color="auto"/>
        <w:left w:val="none" w:sz="0" w:space="0" w:color="auto"/>
        <w:bottom w:val="none" w:sz="0" w:space="0" w:color="auto"/>
        <w:right w:val="none" w:sz="0" w:space="0" w:color="auto"/>
      </w:divBdr>
    </w:div>
    <w:div w:id="764375280">
      <w:bodyDiv w:val="1"/>
      <w:marLeft w:val="0"/>
      <w:marRight w:val="0"/>
      <w:marTop w:val="0"/>
      <w:marBottom w:val="0"/>
      <w:divBdr>
        <w:top w:val="none" w:sz="0" w:space="0" w:color="auto"/>
        <w:left w:val="none" w:sz="0" w:space="0" w:color="auto"/>
        <w:bottom w:val="none" w:sz="0" w:space="0" w:color="auto"/>
        <w:right w:val="none" w:sz="0" w:space="0" w:color="auto"/>
      </w:divBdr>
    </w:div>
    <w:div w:id="770130995">
      <w:bodyDiv w:val="1"/>
      <w:marLeft w:val="0"/>
      <w:marRight w:val="0"/>
      <w:marTop w:val="0"/>
      <w:marBottom w:val="0"/>
      <w:divBdr>
        <w:top w:val="none" w:sz="0" w:space="0" w:color="auto"/>
        <w:left w:val="none" w:sz="0" w:space="0" w:color="auto"/>
        <w:bottom w:val="none" w:sz="0" w:space="0" w:color="auto"/>
        <w:right w:val="none" w:sz="0" w:space="0" w:color="auto"/>
      </w:divBdr>
    </w:div>
    <w:div w:id="772552638">
      <w:bodyDiv w:val="1"/>
      <w:marLeft w:val="0"/>
      <w:marRight w:val="0"/>
      <w:marTop w:val="0"/>
      <w:marBottom w:val="0"/>
      <w:divBdr>
        <w:top w:val="none" w:sz="0" w:space="0" w:color="auto"/>
        <w:left w:val="none" w:sz="0" w:space="0" w:color="auto"/>
        <w:bottom w:val="none" w:sz="0" w:space="0" w:color="auto"/>
        <w:right w:val="none" w:sz="0" w:space="0" w:color="auto"/>
      </w:divBdr>
    </w:div>
    <w:div w:id="773134545">
      <w:bodyDiv w:val="1"/>
      <w:marLeft w:val="0"/>
      <w:marRight w:val="0"/>
      <w:marTop w:val="0"/>
      <w:marBottom w:val="0"/>
      <w:divBdr>
        <w:top w:val="none" w:sz="0" w:space="0" w:color="auto"/>
        <w:left w:val="none" w:sz="0" w:space="0" w:color="auto"/>
        <w:bottom w:val="none" w:sz="0" w:space="0" w:color="auto"/>
        <w:right w:val="none" w:sz="0" w:space="0" w:color="auto"/>
      </w:divBdr>
    </w:div>
    <w:div w:id="773599720">
      <w:bodyDiv w:val="1"/>
      <w:marLeft w:val="0"/>
      <w:marRight w:val="0"/>
      <w:marTop w:val="0"/>
      <w:marBottom w:val="0"/>
      <w:divBdr>
        <w:top w:val="none" w:sz="0" w:space="0" w:color="auto"/>
        <w:left w:val="none" w:sz="0" w:space="0" w:color="auto"/>
        <w:bottom w:val="none" w:sz="0" w:space="0" w:color="auto"/>
        <w:right w:val="none" w:sz="0" w:space="0" w:color="auto"/>
      </w:divBdr>
    </w:div>
    <w:div w:id="776677770">
      <w:bodyDiv w:val="1"/>
      <w:marLeft w:val="0"/>
      <w:marRight w:val="0"/>
      <w:marTop w:val="0"/>
      <w:marBottom w:val="0"/>
      <w:divBdr>
        <w:top w:val="none" w:sz="0" w:space="0" w:color="auto"/>
        <w:left w:val="none" w:sz="0" w:space="0" w:color="auto"/>
        <w:bottom w:val="none" w:sz="0" w:space="0" w:color="auto"/>
        <w:right w:val="none" w:sz="0" w:space="0" w:color="auto"/>
      </w:divBdr>
    </w:div>
    <w:div w:id="779032459">
      <w:bodyDiv w:val="1"/>
      <w:marLeft w:val="0"/>
      <w:marRight w:val="0"/>
      <w:marTop w:val="0"/>
      <w:marBottom w:val="0"/>
      <w:divBdr>
        <w:top w:val="none" w:sz="0" w:space="0" w:color="auto"/>
        <w:left w:val="none" w:sz="0" w:space="0" w:color="auto"/>
        <w:bottom w:val="none" w:sz="0" w:space="0" w:color="auto"/>
        <w:right w:val="none" w:sz="0" w:space="0" w:color="auto"/>
      </w:divBdr>
    </w:div>
    <w:div w:id="780107475">
      <w:bodyDiv w:val="1"/>
      <w:marLeft w:val="0"/>
      <w:marRight w:val="0"/>
      <w:marTop w:val="0"/>
      <w:marBottom w:val="0"/>
      <w:divBdr>
        <w:top w:val="none" w:sz="0" w:space="0" w:color="auto"/>
        <w:left w:val="none" w:sz="0" w:space="0" w:color="auto"/>
        <w:bottom w:val="none" w:sz="0" w:space="0" w:color="auto"/>
        <w:right w:val="none" w:sz="0" w:space="0" w:color="auto"/>
      </w:divBdr>
    </w:div>
    <w:div w:id="781337732">
      <w:bodyDiv w:val="1"/>
      <w:marLeft w:val="0"/>
      <w:marRight w:val="0"/>
      <w:marTop w:val="0"/>
      <w:marBottom w:val="0"/>
      <w:divBdr>
        <w:top w:val="none" w:sz="0" w:space="0" w:color="auto"/>
        <w:left w:val="none" w:sz="0" w:space="0" w:color="auto"/>
        <w:bottom w:val="none" w:sz="0" w:space="0" w:color="auto"/>
        <w:right w:val="none" w:sz="0" w:space="0" w:color="auto"/>
      </w:divBdr>
    </w:div>
    <w:div w:id="789858816">
      <w:bodyDiv w:val="1"/>
      <w:marLeft w:val="0"/>
      <w:marRight w:val="0"/>
      <w:marTop w:val="0"/>
      <w:marBottom w:val="0"/>
      <w:divBdr>
        <w:top w:val="none" w:sz="0" w:space="0" w:color="auto"/>
        <w:left w:val="none" w:sz="0" w:space="0" w:color="auto"/>
        <w:bottom w:val="none" w:sz="0" w:space="0" w:color="auto"/>
        <w:right w:val="none" w:sz="0" w:space="0" w:color="auto"/>
      </w:divBdr>
    </w:div>
    <w:div w:id="792403608">
      <w:bodyDiv w:val="1"/>
      <w:marLeft w:val="0"/>
      <w:marRight w:val="0"/>
      <w:marTop w:val="0"/>
      <w:marBottom w:val="0"/>
      <w:divBdr>
        <w:top w:val="none" w:sz="0" w:space="0" w:color="auto"/>
        <w:left w:val="none" w:sz="0" w:space="0" w:color="auto"/>
        <w:bottom w:val="none" w:sz="0" w:space="0" w:color="auto"/>
        <w:right w:val="none" w:sz="0" w:space="0" w:color="auto"/>
      </w:divBdr>
    </w:div>
    <w:div w:id="796490493">
      <w:bodyDiv w:val="1"/>
      <w:marLeft w:val="0"/>
      <w:marRight w:val="0"/>
      <w:marTop w:val="0"/>
      <w:marBottom w:val="0"/>
      <w:divBdr>
        <w:top w:val="none" w:sz="0" w:space="0" w:color="auto"/>
        <w:left w:val="none" w:sz="0" w:space="0" w:color="auto"/>
        <w:bottom w:val="none" w:sz="0" w:space="0" w:color="auto"/>
        <w:right w:val="none" w:sz="0" w:space="0" w:color="auto"/>
      </w:divBdr>
    </w:div>
    <w:div w:id="798378610">
      <w:bodyDiv w:val="1"/>
      <w:marLeft w:val="0"/>
      <w:marRight w:val="0"/>
      <w:marTop w:val="0"/>
      <w:marBottom w:val="0"/>
      <w:divBdr>
        <w:top w:val="none" w:sz="0" w:space="0" w:color="auto"/>
        <w:left w:val="none" w:sz="0" w:space="0" w:color="auto"/>
        <w:bottom w:val="none" w:sz="0" w:space="0" w:color="auto"/>
        <w:right w:val="none" w:sz="0" w:space="0" w:color="auto"/>
      </w:divBdr>
      <w:divsChild>
        <w:div w:id="484706948">
          <w:marLeft w:val="-240"/>
          <w:marRight w:val="0"/>
          <w:marTop w:val="0"/>
          <w:marBottom w:val="0"/>
          <w:divBdr>
            <w:top w:val="none" w:sz="0" w:space="0" w:color="auto"/>
            <w:left w:val="none" w:sz="0" w:space="0" w:color="auto"/>
            <w:bottom w:val="single" w:sz="6" w:space="0" w:color="D0D2D3"/>
            <w:right w:val="none" w:sz="0" w:space="0" w:color="auto"/>
          </w:divBdr>
          <w:divsChild>
            <w:div w:id="308171685">
              <w:marLeft w:val="0"/>
              <w:marRight w:val="0"/>
              <w:marTop w:val="0"/>
              <w:marBottom w:val="0"/>
              <w:divBdr>
                <w:top w:val="none" w:sz="0" w:space="0" w:color="auto"/>
                <w:left w:val="none" w:sz="0" w:space="0" w:color="auto"/>
                <w:bottom w:val="none" w:sz="0" w:space="0" w:color="auto"/>
                <w:right w:val="none" w:sz="0" w:space="0" w:color="auto"/>
              </w:divBdr>
              <w:divsChild>
                <w:div w:id="1170220882">
                  <w:marLeft w:val="0"/>
                  <w:marRight w:val="0"/>
                  <w:marTop w:val="0"/>
                  <w:marBottom w:val="0"/>
                  <w:divBdr>
                    <w:top w:val="none" w:sz="0" w:space="0" w:color="auto"/>
                    <w:left w:val="none" w:sz="0" w:space="0" w:color="auto"/>
                    <w:bottom w:val="none" w:sz="0" w:space="0" w:color="auto"/>
                    <w:right w:val="none" w:sz="0" w:space="0" w:color="auto"/>
                  </w:divBdr>
                </w:div>
              </w:divsChild>
            </w:div>
            <w:div w:id="202445075">
              <w:marLeft w:val="0"/>
              <w:marRight w:val="0"/>
              <w:marTop w:val="0"/>
              <w:marBottom w:val="0"/>
              <w:divBdr>
                <w:top w:val="single" w:sz="6" w:space="0" w:color="D0D2D3"/>
                <w:left w:val="single" w:sz="6" w:space="0" w:color="D0D2D3"/>
                <w:bottom w:val="single" w:sz="6" w:space="0" w:color="D0D2D3"/>
                <w:right w:val="single" w:sz="6" w:space="0" w:color="D0D2D3"/>
              </w:divBdr>
            </w:div>
          </w:divsChild>
        </w:div>
        <w:div w:id="580943815">
          <w:marLeft w:val="0"/>
          <w:marRight w:val="480"/>
          <w:marTop w:val="0"/>
          <w:marBottom w:val="0"/>
          <w:divBdr>
            <w:top w:val="none" w:sz="0" w:space="0" w:color="auto"/>
            <w:left w:val="none" w:sz="0" w:space="0" w:color="auto"/>
            <w:bottom w:val="none" w:sz="0" w:space="0" w:color="auto"/>
            <w:right w:val="none" w:sz="0" w:space="0" w:color="auto"/>
          </w:divBdr>
        </w:div>
        <w:div w:id="270406258">
          <w:marLeft w:val="0"/>
          <w:marRight w:val="480"/>
          <w:marTop w:val="0"/>
          <w:marBottom w:val="0"/>
          <w:divBdr>
            <w:top w:val="none" w:sz="0" w:space="0" w:color="auto"/>
            <w:left w:val="none" w:sz="0" w:space="0" w:color="auto"/>
            <w:bottom w:val="none" w:sz="0" w:space="0" w:color="auto"/>
            <w:right w:val="none" w:sz="0" w:space="0" w:color="auto"/>
          </w:divBdr>
          <w:divsChild>
            <w:div w:id="1923636522">
              <w:marLeft w:val="0"/>
              <w:marRight w:val="0"/>
              <w:marTop w:val="0"/>
              <w:marBottom w:val="480"/>
              <w:divBdr>
                <w:top w:val="none" w:sz="0" w:space="0" w:color="auto"/>
                <w:left w:val="none" w:sz="0" w:space="0" w:color="auto"/>
                <w:bottom w:val="none" w:sz="0" w:space="0" w:color="auto"/>
                <w:right w:val="none" w:sz="0" w:space="0" w:color="auto"/>
              </w:divBdr>
              <w:divsChild>
                <w:div w:id="1800684765">
                  <w:marLeft w:val="0"/>
                  <w:marRight w:val="0"/>
                  <w:marTop w:val="0"/>
                  <w:marBottom w:val="0"/>
                  <w:divBdr>
                    <w:top w:val="none" w:sz="0" w:space="0" w:color="auto"/>
                    <w:left w:val="none" w:sz="0" w:space="0" w:color="auto"/>
                    <w:bottom w:val="none" w:sz="0" w:space="0" w:color="auto"/>
                    <w:right w:val="none" w:sz="0" w:space="0" w:color="auto"/>
                  </w:divBdr>
                  <w:divsChild>
                    <w:div w:id="1418861099">
                      <w:marLeft w:val="0"/>
                      <w:marRight w:val="0"/>
                      <w:marTop w:val="0"/>
                      <w:marBottom w:val="0"/>
                      <w:divBdr>
                        <w:top w:val="none" w:sz="0" w:space="0" w:color="auto"/>
                        <w:left w:val="none" w:sz="0" w:space="0" w:color="auto"/>
                        <w:bottom w:val="none" w:sz="0" w:space="0" w:color="auto"/>
                        <w:right w:val="none" w:sz="0" w:space="0" w:color="auto"/>
                      </w:divBdr>
                      <w:divsChild>
                        <w:div w:id="2023818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2860176">
              <w:marLeft w:val="0"/>
              <w:marRight w:val="0"/>
              <w:marTop w:val="0"/>
              <w:marBottom w:val="480"/>
              <w:divBdr>
                <w:top w:val="none" w:sz="0" w:space="0" w:color="auto"/>
                <w:left w:val="none" w:sz="0" w:space="0" w:color="auto"/>
                <w:bottom w:val="none" w:sz="0" w:space="0" w:color="auto"/>
                <w:right w:val="none" w:sz="0" w:space="0" w:color="auto"/>
              </w:divBdr>
              <w:divsChild>
                <w:div w:id="471947730">
                  <w:marLeft w:val="0"/>
                  <w:marRight w:val="0"/>
                  <w:marTop w:val="0"/>
                  <w:marBottom w:val="0"/>
                  <w:divBdr>
                    <w:top w:val="none" w:sz="0" w:space="0" w:color="auto"/>
                    <w:left w:val="none" w:sz="0" w:space="0" w:color="auto"/>
                    <w:bottom w:val="none" w:sz="0" w:space="0" w:color="auto"/>
                    <w:right w:val="none" w:sz="0" w:space="0" w:color="auto"/>
                  </w:divBdr>
                  <w:divsChild>
                    <w:div w:id="378434585">
                      <w:marLeft w:val="0"/>
                      <w:marRight w:val="0"/>
                      <w:marTop w:val="0"/>
                      <w:marBottom w:val="0"/>
                      <w:divBdr>
                        <w:top w:val="none" w:sz="0" w:space="0" w:color="auto"/>
                        <w:left w:val="none" w:sz="0" w:space="0" w:color="auto"/>
                        <w:bottom w:val="none" w:sz="0" w:space="0" w:color="auto"/>
                        <w:right w:val="none" w:sz="0" w:space="0" w:color="auto"/>
                      </w:divBdr>
                      <w:divsChild>
                        <w:div w:id="1681543358">
                          <w:marLeft w:val="0"/>
                          <w:marRight w:val="0"/>
                          <w:marTop w:val="0"/>
                          <w:marBottom w:val="0"/>
                          <w:divBdr>
                            <w:top w:val="none" w:sz="0" w:space="0" w:color="auto"/>
                            <w:left w:val="none" w:sz="0" w:space="0" w:color="auto"/>
                            <w:bottom w:val="none" w:sz="0" w:space="0" w:color="auto"/>
                            <w:right w:val="none" w:sz="0" w:space="0" w:color="auto"/>
                          </w:divBdr>
                          <w:divsChild>
                            <w:div w:id="1031108283">
                              <w:marLeft w:val="0"/>
                              <w:marRight w:val="0"/>
                              <w:marTop w:val="0"/>
                              <w:marBottom w:val="0"/>
                              <w:divBdr>
                                <w:top w:val="none" w:sz="0" w:space="0" w:color="auto"/>
                                <w:left w:val="none" w:sz="0" w:space="0" w:color="auto"/>
                                <w:bottom w:val="none" w:sz="0" w:space="0" w:color="auto"/>
                                <w:right w:val="none" w:sz="0" w:space="0" w:color="auto"/>
                              </w:divBdr>
                            </w:div>
                            <w:div w:id="86119259">
                              <w:marLeft w:val="0"/>
                              <w:marRight w:val="0"/>
                              <w:marTop w:val="0"/>
                              <w:marBottom w:val="0"/>
                              <w:divBdr>
                                <w:top w:val="none" w:sz="0" w:space="0" w:color="auto"/>
                                <w:left w:val="none" w:sz="0" w:space="0" w:color="auto"/>
                                <w:bottom w:val="none" w:sz="0" w:space="0" w:color="auto"/>
                                <w:right w:val="none" w:sz="0" w:space="0" w:color="auto"/>
                              </w:divBdr>
                            </w:div>
                            <w:div w:id="605696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3044515">
              <w:marLeft w:val="0"/>
              <w:marRight w:val="0"/>
              <w:marTop w:val="0"/>
              <w:marBottom w:val="480"/>
              <w:divBdr>
                <w:top w:val="none" w:sz="0" w:space="0" w:color="auto"/>
                <w:left w:val="none" w:sz="0" w:space="0" w:color="auto"/>
                <w:bottom w:val="none" w:sz="0" w:space="0" w:color="auto"/>
                <w:right w:val="none" w:sz="0" w:space="0" w:color="auto"/>
              </w:divBdr>
              <w:divsChild>
                <w:div w:id="2060082844">
                  <w:marLeft w:val="0"/>
                  <w:marRight w:val="0"/>
                  <w:marTop w:val="0"/>
                  <w:marBottom w:val="0"/>
                  <w:divBdr>
                    <w:top w:val="none" w:sz="0" w:space="0" w:color="auto"/>
                    <w:left w:val="none" w:sz="0" w:space="0" w:color="auto"/>
                    <w:bottom w:val="none" w:sz="0" w:space="0" w:color="auto"/>
                    <w:right w:val="none" w:sz="0" w:space="0" w:color="auto"/>
                  </w:divBdr>
                  <w:divsChild>
                    <w:div w:id="2011249825">
                      <w:marLeft w:val="0"/>
                      <w:marRight w:val="0"/>
                      <w:marTop w:val="0"/>
                      <w:marBottom w:val="0"/>
                      <w:divBdr>
                        <w:top w:val="none" w:sz="0" w:space="0" w:color="auto"/>
                        <w:left w:val="none" w:sz="0" w:space="0" w:color="auto"/>
                        <w:bottom w:val="none" w:sz="0" w:space="0" w:color="auto"/>
                        <w:right w:val="none" w:sz="0" w:space="0" w:color="auto"/>
                      </w:divBdr>
                      <w:divsChild>
                        <w:div w:id="2123260661">
                          <w:marLeft w:val="0"/>
                          <w:marRight w:val="0"/>
                          <w:marTop w:val="0"/>
                          <w:marBottom w:val="0"/>
                          <w:divBdr>
                            <w:top w:val="none" w:sz="0" w:space="0" w:color="auto"/>
                            <w:left w:val="none" w:sz="0" w:space="0" w:color="auto"/>
                            <w:bottom w:val="none" w:sz="0" w:space="0" w:color="auto"/>
                            <w:right w:val="none" w:sz="0" w:space="0" w:color="auto"/>
                          </w:divBdr>
                          <w:divsChild>
                            <w:div w:id="892038719">
                              <w:marLeft w:val="0"/>
                              <w:marRight w:val="0"/>
                              <w:marTop w:val="0"/>
                              <w:marBottom w:val="0"/>
                              <w:divBdr>
                                <w:top w:val="none" w:sz="0" w:space="0" w:color="auto"/>
                                <w:left w:val="none" w:sz="0" w:space="0" w:color="auto"/>
                                <w:bottom w:val="none" w:sz="0" w:space="0" w:color="auto"/>
                                <w:right w:val="none" w:sz="0" w:space="0" w:color="auto"/>
                              </w:divBdr>
                              <w:divsChild>
                                <w:div w:id="1421214728">
                                  <w:marLeft w:val="0"/>
                                  <w:marRight w:val="0"/>
                                  <w:marTop w:val="0"/>
                                  <w:marBottom w:val="0"/>
                                  <w:divBdr>
                                    <w:top w:val="none" w:sz="0" w:space="0" w:color="auto"/>
                                    <w:left w:val="none" w:sz="0" w:space="0" w:color="auto"/>
                                    <w:bottom w:val="none" w:sz="0" w:space="0" w:color="auto"/>
                                    <w:right w:val="none" w:sz="0" w:space="0" w:color="auto"/>
                                  </w:divBdr>
                                  <w:divsChild>
                                    <w:div w:id="1115174541">
                                      <w:marLeft w:val="0"/>
                                      <w:marRight w:val="0"/>
                                      <w:marTop w:val="0"/>
                                      <w:marBottom w:val="0"/>
                                      <w:divBdr>
                                        <w:top w:val="none" w:sz="0" w:space="0" w:color="auto"/>
                                        <w:left w:val="none" w:sz="0" w:space="0" w:color="auto"/>
                                        <w:bottom w:val="none" w:sz="0" w:space="0" w:color="auto"/>
                                        <w:right w:val="none" w:sz="0" w:space="0" w:color="auto"/>
                                      </w:divBdr>
                                      <w:divsChild>
                                        <w:div w:id="118300994">
                                          <w:marLeft w:val="0"/>
                                          <w:marRight w:val="0"/>
                                          <w:marTop w:val="0"/>
                                          <w:marBottom w:val="0"/>
                                          <w:divBdr>
                                            <w:top w:val="none" w:sz="0" w:space="0" w:color="auto"/>
                                            <w:left w:val="none" w:sz="0" w:space="0" w:color="auto"/>
                                            <w:bottom w:val="none" w:sz="0" w:space="0" w:color="auto"/>
                                            <w:right w:val="none" w:sz="0" w:space="0" w:color="auto"/>
                                          </w:divBdr>
                                        </w:div>
                                        <w:div w:id="1668710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9865454">
                              <w:marLeft w:val="0"/>
                              <w:marRight w:val="0"/>
                              <w:marTop w:val="0"/>
                              <w:marBottom w:val="0"/>
                              <w:divBdr>
                                <w:top w:val="none" w:sz="0" w:space="0" w:color="auto"/>
                                <w:left w:val="none" w:sz="0" w:space="0" w:color="auto"/>
                                <w:bottom w:val="none" w:sz="0" w:space="0" w:color="auto"/>
                                <w:right w:val="none" w:sz="0" w:space="0" w:color="auto"/>
                              </w:divBdr>
                            </w:div>
                            <w:div w:id="1569462639">
                              <w:marLeft w:val="0"/>
                              <w:marRight w:val="0"/>
                              <w:marTop w:val="0"/>
                              <w:marBottom w:val="0"/>
                              <w:divBdr>
                                <w:top w:val="none" w:sz="0" w:space="0" w:color="auto"/>
                                <w:left w:val="none" w:sz="0" w:space="0" w:color="auto"/>
                                <w:bottom w:val="none" w:sz="0" w:space="0" w:color="auto"/>
                                <w:right w:val="none" w:sz="0" w:space="0" w:color="auto"/>
                              </w:divBdr>
                            </w:div>
                            <w:div w:id="1417020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070138">
                  <w:marLeft w:val="0"/>
                  <w:marRight w:val="0"/>
                  <w:marTop w:val="0"/>
                  <w:marBottom w:val="0"/>
                  <w:divBdr>
                    <w:top w:val="none" w:sz="0" w:space="0" w:color="auto"/>
                    <w:left w:val="none" w:sz="0" w:space="0" w:color="auto"/>
                    <w:bottom w:val="none" w:sz="0" w:space="0" w:color="auto"/>
                    <w:right w:val="none" w:sz="0" w:space="0" w:color="auto"/>
                  </w:divBdr>
                </w:div>
              </w:divsChild>
            </w:div>
            <w:div w:id="1683700275">
              <w:marLeft w:val="0"/>
              <w:marRight w:val="0"/>
              <w:marTop w:val="0"/>
              <w:marBottom w:val="480"/>
              <w:divBdr>
                <w:top w:val="none" w:sz="0" w:space="0" w:color="auto"/>
                <w:left w:val="none" w:sz="0" w:space="0" w:color="auto"/>
                <w:bottom w:val="none" w:sz="0" w:space="0" w:color="auto"/>
                <w:right w:val="none" w:sz="0" w:space="0" w:color="auto"/>
              </w:divBdr>
              <w:divsChild>
                <w:div w:id="157119867">
                  <w:marLeft w:val="0"/>
                  <w:marRight w:val="0"/>
                  <w:marTop w:val="0"/>
                  <w:marBottom w:val="0"/>
                  <w:divBdr>
                    <w:top w:val="none" w:sz="0" w:space="0" w:color="auto"/>
                    <w:left w:val="none" w:sz="0" w:space="0" w:color="auto"/>
                    <w:bottom w:val="none" w:sz="0" w:space="0" w:color="auto"/>
                    <w:right w:val="none" w:sz="0" w:space="0" w:color="auto"/>
                  </w:divBdr>
                  <w:divsChild>
                    <w:div w:id="294676544">
                      <w:marLeft w:val="0"/>
                      <w:marRight w:val="0"/>
                      <w:marTop w:val="0"/>
                      <w:marBottom w:val="0"/>
                      <w:divBdr>
                        <w:top w:val="none" w:sz="0" w:space="0" w:color="auto"/>
                        <w:left w:val="none" w:sz="0" w:space="0" w:color="auto"/>
                        <w:bottom w:val="none" w:sz="0" w:space="0" w:color="auto"/>
                        <w:right w:val="none" w:sz="0" w:space="0" w:color="auto"/>
                      </w:divBdr>
                      <w:divsChild>
                        <w:div w:id="1700932478">
                          <w:marLeft w:val="0"/>
                          <w:marRight w:val="0"/>
                          <w:marTop w:val="0"/>
                          <w:marBottom w:val="0"/>
                          <w:divBdr>
                            <w:top w:val="none" w:sz="0" w:space="0" w:color="auto"/>
                            <w:left w:val="none" w:sz="0" w:space="0" w:color="auto"/>
                            <w:bottom w:val="none" w:sz="0" w:space="0" w:color="auto"/>
                            <w:right w:val="none" w:sz="0" w:space="0" w:color="auto"/>
                          </w:divBdr>
                          <w:divsChild>
                            <w:div w:id="408424904">
                              <w:marLeft w:val="0"/>
                              <w:marRight w:val="0"/>
                              <w:marTop w:val="0"/>
                              <w:marBottom w:val="0"/>
                              <w:divBdr>
                                <w:top w:val="none" w:sz="0" w:space="0" w:color="auto"/>
                                <w:left w:val="none" w:sz="0" w:space="0" w:color="auto"/>
                                <w:bottom w:val="none" w:sz="0" w:space="0" w:color="auto"/>
                                <w:right w:val="none" w:sz="0" w:space="0" w:color="auto"/>
                              </w:divBdr>
                              <w:divsChild>
                                <w:div w:id="1241645457">
                                  <w:marLeft w:val="0"/>
                                  <w:marRight w:val="0"/>
                                  <w:marTop w:val="0"/>
                                  <w:marBottom w:val="0"/>
                                  <w:divBdr>
                                    <w:top w:val="none" w:sz="0" w:space="0" w:color="auto"/>
                                    <w:left w:val="none" w:sz="0" w:space="0" w:color="auto"/>
                                    <w:bottom w:val="none" w:sz="0" w:space="0" w:color="auto"/>
                                    <w:right w:val="none" w:sz="0" w:space="0" w:color="auto"/>
                                  </w:divBdr>
                                  <w:divsChild>
                                    <w:div w:id="626663948">
                                      <w:marLeft w:val="0"/>
                                      <w:marRight w:val="0"/>
                                      <w:marTop w:val="0"/>
                                      <w:marBottom w:val="0"/>
                                      <w:divBdr>
                                        <w:top w:val="none" w:sz="0" w:space="0" w:color="auto"/>
                                        <w:left w:val="none" w:sz="0" w:space="0" w:color="auto"/>
                                        <w:bottom w:val="none" w:sz="0" w:space="0" w:color="auto"/>
                                        <w:right w:val="none" w:sz="0" w:space="0" w:color="auto"/>
                                      </w:divBdr>
                                      <w:divsChild>
                                        <w:div w:id="2025014740">
                                          <w:marLeft w:val="0"/>
                                          <w:marRight w:val="0"/>
                                          <w:marTop w:val="0"/>
                                          <w:marBottom w:val="0"/>
                                          <w:divBdr>
                                            <w:top w:val="none" w:sz="0" w:space="0" w:color="auto"/>
                                            <w:left w:val="none" w:sz="0" w:space="0" w:color="auto"/>
                                            <w:bottom w:val="none" w:sz="0" w:space="0" w:color="auto"/>
                                            <w:right w:val="none" w:sz="0" w:space="0" w:color="auto"/>
                                          </w:divBdr>
                                        </w:div>
                                        <w:div w:id="1994797839">
                                          <w:marLeft w:val="0"/>
                                          <w:marRight w:val="0"/>
                                          <w:marTop w:val="0"/>
                                          <w:marBottom w:val="0"/>
                                          <w:divBdr>
                                            <w:top w:val="none" w:sz="0" w:space="0" w:color="auto"/>
                                            <w:left w:val="none" w:sz="0" w:space="0" w:color="auto"/>
                                            <w:bottom w:val="none" w:sz="0" w:space="0" w:color="auto"/>
                                            <w:right w:val="none" w:sz="0" w:space="0" w:color="auto"/>
                                          </w:divBdr>
                                        </w:div>
                                        <w:div w:id="1772168012">
                                          <w:marLeft w:val="0"/>
                                          <w:marRight w:val="0"/>
                                          <w:marTop w:val="0"/>
                                          <w:marBottom w:val="0"/>
                                          <w:divBdr>
                                            <w:top w:val="none" w:sz="0" w:space="0" w:color="auto"/>
                                            <w:left w:val="none" w:sz="0" w:space="0" w:color="auto"/>
                                            <w:bottom w:val="none" w:sz="0" w:space="0" w:color="auto"/>
                                            <w:right w:val="none" w:sz="0" w:space="0" w:color="auto"/>
                                          </w:divBdr>
                                        </w:div>
                                        <w:div w:id="779959897">
                                          <w:marLeft w:val="0"/>
                                          <w:marRight w:val="0"/>
                                          <w:marTop w:val="0"/>
                                          <w:marBottom w:val="0"/>
                                          <w:divBdr>
                                            <w:top w:val="none" w:sz="0" w:space="0" w:color="auto"/>
                                            <w:left w:val="none" w:sz="0" w:space="0" w:color="auto"/>
                                            <w:bottom w:val="none" w:sz="0" w:space="0" w:color="auto"/>
                                            <w:right w:val="none" w:sz="0" w:space="0" w:color="auto"/>
                                          </w:divBdr>
                                        </w:div>
                                        <w:div w:id="2032369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268437">
                              <w:marLeft w:val="0"/>
                              <w:marRight w:val="0"/>
                              <w:marTop w:val="0"/>
                              <w:marBottom w:val="0"/>
                              <w:divBdr>
                                <w:top w:val="none" w:sz="0" w:space="0" w:color="auto"/>
                                <w:left w:val="none" w:sz="0" w:space="0" w:color="auto"/>
                                <w:bottom w:val="none" w:sz="0" w:space="0" w:color="auto"/>
                                <w:right w:val="none" w:sz="0" w:space="0" w:color="auto"/>
                              </w:divBdr>
                            </w:div>
                            <w:div w:id="1625232217">
                              <w:marLeft w:val="0"/>
                              <w:marRight w:val="0"/>
                              <w:marTop w:val="0"/>
                              <w:marBottom w:val="0"/>
                              <w:divBdr>
                                <w:top w:val="none" w:sz="0" w:space="0" w:color="auto"/>
                                <w:left w:val="none" w:sz="0" w:space="0" w:color="auto"/>
                                <w:bottom w:val="none" w:sz="0" w:space="0" w:color="auto"/>
                                <w:right w:val="none" w:sz="0" w:space="0" w:color="auto"/>
                              </w:divBdr>
                            </w:div>
                            <w:div w:id="1080061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448463">
                  <w:marLeft w:val="0"/>
                  <w:marRight w:val="0"/>
                  <w:marTop w:val="0"/>
                  <w:marBottom w:val="0"/>
                  <w:divBdr>
                    <w:top w:val="none" w:sz="0" w:space="0" w:color="auto"/>
                    <w:left w:val="none" w:sz="0" w:space="0" w:color="auto"/>
                    <w:bottom w:val="none" w:sz="0" w:space="0" w:color="auto"/>
                    <w:right w:val="none" w:sz="0" w:space="0" w:color="auto"/>
                  </w:divBdr>
                </w:div>
              </w:divsChild>
            </w:div>
            <w:div w:id="809633603">
              <w:marLeft w:val="0"/>
              <w:marRight w:val="0"/>
              <w:marTop w:val="0"/>
              <w:marBottom w:val="480"/>
              <w:divBdr>
                <w:top w:val="none" w:sz="0" w:space="0" w:color="auto"/>
                <w:left w:val="none" w:sz="0" w:space="0" w:color="auto"/>
                <w:bottom w:val="none" w:sz="0" w:space="0" w:color="auto"/>
                <w:right w:val="none" w:sz="0" w:space="0" w:color="auto"/>
              </w:divBdr>
              <w:divsChild>
                <w:div w:id="634870924">
                  <w:marLeft w:val="0"/>
                  <w:marRight w:val="0"/>
                  <w:marTop w:val="0"/>
                  <w:marBottom w:val="0"/>
                  <w:divBdr>
                    <w:top w:val="none" w:sz="0" w:space="0" w:color="auto"/>
                    <w:left w:val="none" w:sz="0" w:space="0" w:color="auto"/>
                    <w:bottom w:val="none" w:sz="0" w:space="0" w:color="auto"/>
                    <w:right w:val="none" w:sz="0" w:space="0" w:color="auto"/>
                  </w:divBdr>
                  <w:divsChild>
                    <w:div w:id="1914585000">
                      <w:marLeft w:val="0"/>
                      <w:marRight w:val="0"/>
                      <w:marTop w:val="0"/>
                      <w:marBottom w:val="0"/>
                      <w:divBdr>
                        <w:top w:val="none" w:sz="0" w:space="0" w:color="auto"/>
                        <w:left w:val="none" w:sz="0" w:space="0" w:color="auto"/>
                        <w:bottom w:val="none" w:sz="0" w:space="0" w:color="auto"/>
                        <w:right w:val="none" w:sz="0" w:space="0" w:color="auto"/>
                      </w:divBdr>
                      <w:divsChild>
                        <w:div w:id="1808667162">
                          <w:marLeft w:val="0"/>
                          <w:marRight w:val="0"/>
                          <w:marTop w:val="0"/>
                          <w:marBottom w:val="0"/>
                          <w:divBdr>
                            <w:top w:val="none" w:sz="0" w:space="0" w:color="auto"/>
                            <w:left w:val="none" w:sz="0" w:space="0" w:color="auto"/>
                            <w:bottom w:val="none" w:sz="0" w:space="0" w:color="auto"/>
                            <w:right w:val="none" w:sz="0" w:space="0" w:color="auto"/>
                          </w:divBdr>
                          <w:divsChild>
                            <w:div w:id="958294761">
                              <w:marLeft w:val="0"/>
                              <w:marRight w:val="0"/>
                              <w:marTop w:val="0"/>
                              <w:marBottom w:val="0"/>
                              <w:divBdr>
                                <w:top w:val="none" w:sz="0" w:space="0" w:color="auto"/>
                                <w:left w:val="none" w:sz="0" w:space="0" w:color="auto"/>
                                <w:bottom w:val="none" w:sz="0" w:space="0" w:color="auto"/>
                                <w:right w:val="none" w:sz="0" w:space="0" w:color="auto"/>
                              </w:divBdr>
                              <w:divsChild>
                                <w:div w:id="756168222">
                                  <w:marLeft w:val="0"/>
                                  <w:marRight w:val="0"/>
                                  <w:marTop w:val="0"/>
                                  <w:marBottom w:val="0"/>
                                  <w:divBdr>
                                    <w:top w:val="none" w:sz="0" w:space="0" w:color="auto"/>
                                    <w:left w:val="none" w:sz="0" w:space="0" w:color="auto"/>
                                    <w:bottom w:val="none" w:sz="0" w:space="0" w:color="auto"/>
                                    <w:right w:val="none" w:sz="0" w:space="0" w:color="auto"/>
                                  </w:divBdr>
                                  <w:divsChild>
                                    <w:div w:id="1601450919">
                                      <w:marLeft w:val="0"/>
                                      <w:marRight w:val="0"/>
                                      <w:marTop w:val="0"/>
                                      <w:marBottom w:val="0"/>
                                      <w:divBdr>
                                        <w:top w:val="none" w:sz="0" w:space="0" w:color="auto"/>
                                        <w:left w:val="none" w:sz="0" w:space="0" w:color="auto"/>
                                        <w:bottom w:val="none" w:sz="0" w:space="0" w:color="auto"/>
                                        <w:right w:val="none" w:sz="0" w:space="0" w:color="auto"/>
                                      </w:divBdr>
                                      <w:divsChild>
                                        <w:div w:id="1468666469">
                                          <w:marLeft w:val="0"/>
                                          <w:marRight w:val="0"/>
                                          <w:marTop w:val="0"/>
                                          <w:marBottom w:val="0"/>
                                          <w:divBdr>
                                            <w:top w:val="none" w:sz="0" w:space="0" w:color="auto"/>
                                            <w:left w:val="none" w:sz="0" w:space="0" w:color="auto"/>
                                            <w:bottom w:val="none" w:sz="0" w:space="0" w:color="auto"/>
                                            <w:right w:val="none" w:sz="0" w:space="0" w:color="auto"/>
                                          </w:divBdr>
                                        </w:div>
                                        <w:div w:id="1229271399">
                                          <w:marLeft w:val="0"/>
                                          <w:marRight w:val="0"/>
                                          <w:marTop w:val="0"/>
                                          <w:marBottom w:val="0"/>
                                          <w:divBdr>
                                            <w:top w:val="none" w:sz="0" w:space="0" w:color="auto"/>
                                            <w:left w:val="none" w:sz="0" w:space="0" w:color="auto"/>
                                            <w:bottom w:val="none" w:sz="0" w:space="0" w:color="auto"/>
                                            <w:right w:val="none" w:sz="0" w:space="0" w:color="auto"/>
                                          </w:divBdr>
                                        </w:div>
                                        <w:div w:id="1629235953">
                                          <w:marLeft w:val="0"/>
                                          <w:marRight w:val="0"/>
                                          <w:marTop w:val="0"/>
                                          <w:marBottom w:val="0"/>
                                          <w:divBdr>
                                            <w:top w:val="none" w:sz="0" w:space="0" w:color="auto"/>
                                            <w:left w:val="none" w:sz="0" w:space="0" w:color="auto"/>
                                            <w:bottom w:val="none" w:sz="0" w:space="0" w:color="auto"/>
                                            <w:right w:val="none" w:sz="0" w:space="0" w:color="auto"/>
                                          </w:divBdr>
                                        </w:div>
                                        <w:div w:id="76364042">
                                          <w:marLeft w:val="0"/>
                                          <w:marRight w:val="0"/>
                                          <w:marTop w:val="0"/>
                                          <w:marBottom w:val="0"/>
                                          <w:divBdr>
                                            <w:top w:val="none" w:sz="0" w:space="0" w:color="auto"/>
                                            <w:left w:val="none" w:sz="0" w:space="0" w:color="auto"/>
                                            <w:bottom w:val="none" w:sz="0" w:space="0" w:color="auto"/>
                                            <w:right w:val="none" w:sz="0" w:space="0" w:color="auto"/>
                                          </w:divBdr>
                                        </w:div>
                                        <w:div w:id="1165315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30864">
                              <w:marLeft w:val="0"/>
                              <w:marRight w:val="0"/>
                              <w:marTop w:val="0"/>
                              <w:marBottom w:val="0"/>
                              <w:divBdr>
                                <w:top w:val="none" w:sz="0" w:space="0" w:color="auto"/>
                                <w:left w:val="none" w:sz="0" w:space="0" w:color="auto"/>
                                <w:bottom w:val="none" w:sz="0" w:space="0" w:color="auto"/>
                                <w:right w:val="none" w:sz="0" w:space="0" w:color="auto"/>
                              </w:divBdr>
                            </w:div>
                            <w:div w:id="175847066">
                              <w:marLeft w:val="0"/>
                              <w:marRight w:val="0"/>
                              <w:marTop w:val="0"/>
                              <w:marBottom w:val="0"/>
                              <w:divBdr>
                                <w:top w:val="none" w:sz="0" w:space="0" w:color="auto"/>
                                <w:left w:val="none" w:sz="0" w:space="0" w:color="auto"/>
                                <w:bottom w:val="none" w:sz="0" w:space="0" w:color="auto"/>
                                <w:right w:val="none" w:sz="0" w:space="0" w:color="auto"/>
                              </w:divBdr>
                            </w:div>
                            <w:div w:id="1565334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3772930">
                  <w:marLeft w:val="0"/>
                  <w:marRight w:val="0"/>
                  <w:marTop w:val="0"/>
                  <w:marBottom w:val="0"/>
                  <w:divBdr>
                    <w:top w:val="none" w:sz="0" w:space="0" w:color="auto"/>
                    <w:left w:val="none" w:sz="0" w:space="0" w:color="auto"/>
                    <w:bottom w:val="none" w:sz="0" w:space="0" w:color="auto"/>
                    <w:right w:val="none" w:sz="0" w:space="0" w:color="auto"/>
                  </w:divBdr>
                </w:div>
              </w:divsChild>
            </w:div>
            <w:div w:id="1373578780">
              <w:marLeft w:val="0"/>
              <w:marRight w:val="0"/>
              <w:marTop w:val="0"/>
              <w:marBottom w:val="480"/>
              <w:divBdr>
                <w:top w:val="none" w:sz="0" w:space="0" w:color="auto"/>
                <w:left w:val="none" w:sz="0" w:space="0" w:color="auto"/>
                <w:bottom w:val="none" w:sz="0" w:space="0" w:color="auto"/>
                <w:right w:val="none" w:sz="0" w:space="0" w:color="auto"/>
              </w:divBdr>
              <w:divsChild>
                <w:div w:id="1190097778">
                  <w:marLeft w:val="0"/>
                  <w:marRight w:val="0"/>
                  <w:marTop w:val="0"/>
                  <w:marBottom w:val="0"/>
                  <w:divBdr>
                    <w:top w:val="none" w:sz="0" w:space="0" w:color="auto"/>
                    <w:left w:val="none" w:sz="0" w:space="0" w:color="auto"/>
                    <w:bottom w:val="none" w:sz="0" w:space="0" w:color="auto"/>
                    <w:right w:val="none" w:sz="0" w:space="0" w:color="auto"/>
                  </w:divBdr>
                  <w:divsChild>
                    <w:div w:id="2008249013">
                      <w:marLeft w:val="0"/>
                      <w:marRight w:val="0"/>
                      <w:marTop w:val="0"/>
                      <w:marBottom w:val="0"/>
                      <w:divBdr>
                        <w:top w:val="none" w:sz="0" w:space="0" w:color="auto"/>
                        <w:left w:val="none" w:sz="0" w:space="0" w:color="auto"/>
                        <w:bottom w:val="none" w:sz="0" w:space="0" w:color="auto"/>
                        <w:right w:val="none" w:sz="0" w:space="0" w:color="auto"/>
                      </w:divBdr>
                      <w:divsChild>
                        <w:div w:id="1421826571">
                          <w:marLeft w:val="0"/>
                          <w:marRight w:val="0"/>
                          <w:marTop w:val="0"/>
                          <w:marBottom w:val="0"/>
                          <w:divBdr>
                            <w:top w:val="none" w:sz="0" w:space="0" w:color="auto"/>
                            <w:left w:val="none" w:sz="0" w:space="0" w:color="auto"/>
                            <w:bottom w:val="none" w:sz="0" w:space="0" w:color="auto"/>
                            <w:right w:val="none" w:sz="0" w:space="0" w:color="auto"/>
                          </w:divBdr>
                          <w:divsChild>
                            <w:div w:id="994458231">
                              <w:marLeft w:val="0"/>
                              <w:marRight w:val="0"/>
                              <w:marTop w:val="0"/>
                              <w:marBottom w:val="0"/>
                              <w:divBdr>
                                <w:top w:val="none" w:sz="0" w:space="0" w:color="auto"/>
                                <w:left w:val="none" w:sz="0" w:space="0" w:color="auto"/>
                                <w:bottom w:val="none" w:sz="0" w:space="0" w:color="auto"/>
                                <w:right w:val="none" w:sz="0" w:space="0" w:color="auto"/>
                              </w:divBdr>
                              <w:divsChild>
                                <w:div w:id="266618239">
                                  <w:marLeft w:val="0"/>
                                  <w:marRight w:val="0"/>
                                  <w:marTop w:val="0"/>
                                  <w:marBottom w:val="0"/>
                                  <w:divBdr>
                                    <w:top w:val="none" w:sz="0" w:space="0" w:color="auto"/>
                                    <w:left w:val="none" w:sz="0" w:space="0" w:color="auto"/>
                                    <w:bottom w:val="none" w:sz="0" w:space="0" w:color="auto"/>
                                    <w:right w:val="none" w:sz="0" w:space="0" w:color="auto"/>
                                  </w:divBdr>
                                  <w:divsChild>
                                    <w:div w:id="366638515">
                                      <w:marLeft w:val="0"/>
                                      <w:marRight w:val="0"/>
                                      <w:marTop w:val="0"/>
                                      <w:marBottom w:val="0"/>
                                      <w:divBdr>
                                        <w:top w:val="none" w:sz="0" w:space="0" w:color="auto"/>
                                        <w:left w:val="none" w:sz="0" w:space="0" w:color="auto"/>
                                        <w:bottom w:val="none" w:sz="0" w:space="0" w:color="auto"/>
                                        <w:right w:val="none" w:sz="0" w:space="0" w:color="auto"/>
                                      </w:divBdr>
                                      <w:divsChild>
                                        <w:div w:id="619847717">
                                          <w:marLeft w:val="0"/>
                                          <w:marRight w:val="0"/>
                                          <w:marTop w:val="0"/>
                                          <w:marBottom w:val="0"/>
                                          <w:divBdr>
                                            <w:top w:val="none" w:sz="0" w:space="0" w:color="auto"/>
                                            <w:left w:val="none" w:sz="0" w:space="0" w:color="auto"/>
                                            <w:bottom w:val="none" w:sz="0" w:space="0" w:color="auto"/>
                                            <w:right w:val="none" w:sz="0" w:space="0" w:color="auto"/>
                                          </w:divBdr>
                                        </w:div>
                                        <w:div w:id="1180386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886578">
                              <w:marLeft w:val="0"/>
                              <w:marRight w:val="0"/>
                              <w:marTop w:val="0"/>
                              <w:marBottom w:val="0"/>
                              <w:divBdr>
                                <w:top w:val="none" w:sz="0" w:space="0" w:color="auto"/>
                                <w:left w:val="none" w:sz="0" w:space="0" w:color="auto"/>
                                <w:bottom w:val="none" w:sz="0" w:space="0" w:color="auto"/>
                                <w:right w:val="none" w:sz="0" w:space="0" w:color="auto"/>
                              </w:divBdr>
                            </w:div>
                            <w:div w:id="591282847">
                              <w:marLeft w:val="0"/>
                              <w:marRight w:val="0"/>
                              <w:marTop w:val="0"/>
                              <w:marBottom w:val="0"/>
                              <w:divBdr>
                                <w:top w:val="none" w:sz="0" w:space="0" w:color="auto"/>
                                <w:left w:val="none" w:sz="0" w:space="0" w:color="auto"/>
                                <w:bottom w:val="none" w:sz="0" w:space="0" w:color="auto"/>
                                <w:right w:val="none" w:sz="0" w:space="0" w:color="auto"/>
                              </w:divBdr>
                            </w:div>
                            <w:div w:id="1816484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6389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797810">
          <w:marLeft w:val="0"/>
          <w:marRight w:val="480"/>
          <w:marTop w:val="0"/>
          <w:marBottom w:val="0"/>
          <w:divBdr>
            <w:top w:val="none" w:sz="0" w:space="0" w:color="auto"/>
            <w:left w:val="none" w:sz="0" w:space="0" w:color="auto"/>
            <w:bottom w:val="none" w:sz="0" w:space="0" w:color="auto"/>
            <w:right w:val="none" w:sz="0" w:space="0" w:color="auto"/>
          </w:divBdr>
          <w:divsChild>
            <w:div w:id="1897617386">
              <w:marLeft w:val="0"/>
              <w:marRight w:val="0"/>
              <w:marTop w:val="0"/>
              <w:marBottom w:val="480"/>
              <w:divBdr>
                <w:top w:val="none" w:sz="0" w:space="0" w:color="auto"/>
                <w:left w:val="none" w:sz="0" w:space="0" w:color="auto"/>
                <w:bottom w:val="none" w:sz="0" w:space="0" w:color="auto"/>
                <w:right w:val="none" w:sz="0" w:space="0" w:color="auto"/>
              </w:divBdr>
              <w:divsChild>
                <w:div w:id="1639141423">
                  <w:marLeft w:val="0"/>
                  <w:marRight w:val="0"/>
                  <w:marTop w:val="0"/>
                  <w:marBottom w:val="0"/>
                  <w:divBdr>
                    <w:top w:val="none" w:sz="0" w:space="0" w:color="auto"/>
                    <w:left w:val="none" w:sz="0" w:space="0" w:color="auto"/>
                    <w:bottom w:val="none" w:sz="0" w:space="0" w:color="auto"/>
                    <w:right w:val="none" w:sz="0" w:space="0" w:color="auto"/>
                  </w:divBdr>
                  <w:divsChild>
                    <w:div w:id="1284075320">
                      <w:marLeft w:val="0"/>
                      <w:marRight w:val="0"/>
                      <w:marTop w:val="0"/>
                      <w:marBottom w:val="0"/>
                      <w:divBdr>
                        <w:top w:val="none" w:sz="0" w:space="0" w:color="auto"/>
                        <w:left w:val="none" w:sz="0" w:space="0" w:color="auto"/>
                        <w:bottom w:val="none" w:sz="0" w:space="0" w:color="auto"/>
                        <w:right w:val="none" w:sz="0" w:space="0" w:color="auto"/>
                      </w:divBdr>
                      <w:divsChild>
                        <w:div w:id="1815757704">
                          <w:marLeft w:val="0"/>
                          <w:marRight w:val="0"/>
                          <w:marTop w:val="0"/>
                          <w:marBottom w:val="0"/>
                          <w:divBdr>
                            <w:top w:val="none" w:sz="0" w:space="0" w:color="auto"/>
                            <w:left w:val="none" w:sz="0" w:space="0" w:color="auto"/>
                            <w:bottom w:val="none" w:sz="0" w:space="0" w:color="auto"/>
                            <w:right w:val="none" w:sz="0" w:space="0" w:color="auto"/>
                          </w:divBdr>
                          <w:divsChild>
                            <w:div w:id="768890698">
                              <w:marLeft w:val="0"/>
                              <w:marRight w:val="0"/>
                              <w:marTop w:val="0"/>
                              <w:marBottom w:val="0"/>
                              <w:divBdr>
                                <w:top w:val="none" w:sz="0" w:space="0" w:color="auto"/>
                                <w:left w:val="none" w:sz="0" w:space="0" w:color="auto"/>
                                <w:bottom w:val="none" w:sz="0" w:space="0" w:color="auto"/>
                                <w:right w:val="none" w:sz="0" w:space="0" w:color="auto"/>
                              </w:divBdr>
                            </w:div>
                            <w:div w:id="1595017968">
                              <w:marLeft w:val="0"/>
                              <w:marRight w:val="0"/>
                              <w:marTop w:val="0"/>
                              <w:marBottom w:val="0"/>
                              <w:divBdr>
                                <w:top w:val="none" w:sz="0" w:space="0" w:color="auto"/>
                                <w:left w:val="none" w:sz="0" w:space="0" w:color="auto"/>
                                <w:bottom w:val="none" w:sz="0" w:space="0" w:color="auto"/>
                                <w:right w:val="none" w:sz="0" w:space="0" w:color="auto"/>
                              </w:divBdr>
                            </w:div>
                            <w:div w:id="597445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9848692">
                  <w:marLeft w:val="0"/>
                  <w:marRight w:val="0"/>
                  <w:marTop w:val="0"/>
                  <w:marBottom w:val="0"/>
                  <w:divBdr>
                    <w:top w:val="none" w:sz="0" w:space="0" w:color="auto"/>
                    <w:left w:val="none" w:sz="0" w:space="0" w:color="auto"/>
                    <w:bottom w:val="none" w:sz="0" w:space="0" w:color="auto"/>
                    <w:right w:val="none" w:sz="0" w:space="0" w:color="auto"/>
                  </w:divBdr>
                </w:div>
              </w:divsChild>
            </w:div>
            <w:div w:id="602693774">
              <w:marLeft w:val="0"/>
              <w:marRight w:val="0"/>
              <w:marTop w:val="0"/>
              <w:marBottom w:val="480"/>
              <w:divBdr>
                <w:top w:val="none" w:sz="0" w:space="0" w:color="auto"/>
                <w:left w:val="none" w:sz="0" w:space="0" w:color="auto"/>
                <w:bottom w:val="none" w:sz="0" w:space="0" w:color="auto"/>
                <w:right w:val="none" w:sz="0" w:space="0" w:color="auto"/>
              </w:divBdr>
              <w:divsChild>
                <w:div w:id="138496409">
                  <w:marLeft w:val="0"/>
                  <w:marRight w:val="0"/>
                  <w:marTop w:val="0"/>
                  <w:marBottom w:val="0"/>
                  <w:divBdr>
                    <w:top w:val="none" w:sz="0" w:space="0" w:color="auto"/>
                    <w:left w:val="none" w:sz="0" w:space="0" w:color="auto"/>
                    <w:bottom w:val="none" w:sz="0" w:space="0" w:color="auto"/>
                    <w:right w:val="none" w:sz="0" w:space="0" w:color="auto"/>
                  </w:divBdr>
                  <w:divsChild>
                    <w:div w:id="129714481">
                      <w:marLeft w:val="0"/>
                      <w:marRight w:val="0"/>
                      <w:marTop w:val="0"/>
                      <w:marBottom w:val="0"/>
                      <w:divBdr>
                        <w:top w:val="none" w:sz="0" w:space="0" w:color="auto"/>
                        <w:left w:val="none" w:sz="0" w:space="0" w:color="auto"/>
                        <w:bottom w:val="none" w:sz="0" w:space="0" w:color="auto"/>
                        <w:right w:val="none" w:sz="0" w:space="0" w:color="auto"/>
                      </w:divBdr>
                      <w:divsChild>
                        <w:div w:id="1908951552">
                          <w:marLeft w:val="0"/>
                          <w:marRight w:val="0"/>
                          <w:marTop w:val="0"/>
                          <w:marBottom w:val="0"/>
                          <w:divBdr>
                            <w:top w:val="none" w:sz="0" w:space="0" w:color="auto"/>
                            <w:left w:val="none" w:sz="0" w:space="0" w:color="auto"/>
                            <w:bottom w:val="none" w:sz="0" w:space="0" w:color="auto"/>
                            <w:right w:val="none" w:sz="0" w:space="0" w:color="auto"/>
                          </w:divBdr>
                          <w:divsChild>
                            <w:div w:id="1082022019">
                              <w:marLeft w:val="0"/>
                              <w:marRight w:val="0"/>
                              <w:marTop w:val="0"/>
                              <w:marBottom w:val="0"/>
                              <w:divBdr>
                                <w:top w:val="none" w:sz="0" w:space="0" w:color="auto"/>
                                <w:left w:val="none" w:sz="0" w:space="0" w:color="auto"/>
                                <w:bottom w:val="none" w:sz="0" w:space="0" w:color="auto"/>
                                <w:right w:val="none" w:sz="0" w:space="0" w:color="auto"/>
                              </w:divBdr>
                            </w:div>
                            <w:div w:id="893002853">
                              <w:marLeft w:val="0"/>
                              <w:marRight w:val="0"/>
                              <w:marTop w:val="0"/>
                              <w:marBottom w:val="0"/>
                              <w:divBdr>
                                <w:top w:val="none" w:sz="0" w:space="0" w:color="auto"/>
                                <w:left w:val="none" w:sz="0" w:space="0" w:color="auto"/>
                                <w:bottom w:val="none" w:sz="0" w:space="0" w:color="auto"/>
                                <w:right w:val="none" w:sz="0" w:space="0" w:color="auto"/>
                              </w:divBdr>
                            </w:div>
                            <w:div w:id="115672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835678">
                  <w:marLeft w:val="0"/>
                  <w:marRight w:val="0"/>
                  <w:marTop w:val="0"/>
                  <w:marBottom w:val="0"/>
                  <w:divBdr>
                    <w:top w:val="none" w:sz="0" w:space="0" w:color="auto"/>
                    <w:left w:val="none" w:sz="0" w:space="0" w:color="auto"/>
                    <w:bottom w:val="none" w:sz="0" w:space="0" w:color="auto"/>
                    <w:right w:val="none" w:sz="0" w:space="0" w:color="auto"/>
                  </w:divBdr>
                </w:div>
              </w:divsChild>
            </w:div>
            <w:div w:id="1507594547">
              <w:marLeft w:val="0"/>
              <w:marRight w:val="0"/>
              <w:marTop w:val="0"/>
              <w:marBottom w:val="480"/>
              <w:divBdr>
                <w:top w:val="none" w:sz="0" w:space="0" w:color="auto"/>
                <w:left w:val="none" w:sz="0" w:space="0" w:color="auto"/>
                <w:bottom w:val="none" w:sz="0" w:space="0" w:color="auto"/>
                <w:right w:val="none" w:sz="0" w:space="0" w:color="auto"/>
              </w:divBdr>
              <w:divsChild>
                <w:div w:id="1583105416">
                  <w:marLeft w:val="0"/>
                  <w:marRight w:val="0"/>
                  <w:marTop w:val="0"/>
                  <w:marBottom w:val="0"/>
                  <w:divBdr>
                    <w:top w:val="none" w:sz="0" w:space="0" w:color="auto"/>
                    <w:left w:val="none" w:sz="0" w:space="0" w:color="auto"/>
                    <w:bottom w:val="none" w:sz="0" w:space="0" w:color="auto"/>
                    <w:right w:val="none" w:sz="0" w:space="0" w:color="auto"/>
                  </w:divBdr>
                  <w:divsChild>
                    <w:div w:id="86116004">
                      <w:marLeft w:val="0"/>
                      <w:marRight w:val="0"/>
                      <w:marTop w:val="0"/>
                      <w:marBottom w:val="0"/>
                      <w:divBdr>
                        <w:top w:val="none" w:sz="0" w:space="0" w:color="auto"/>
                        <w:left w:val="none" w:sz="0" w:space="0" w:color="auto"/>
                        <w:bottom w:val="none" w:sz="0" w:space="0" w:color="auto"/>
                        <w:right w:val="none" w:sz="0" w:space="0" w:color="auto"/>
                      </w:divBdr>
                      <w:divsChild>
                        <w:div w:id="2074572992">
                          <w:marLeft w:val="0"/>
                          <w:marRight w:val="0"/>
                          <w:marTop w:val="0"/>
                          <w:marBottom w:val="0"/>
                          <w:divBdr>
                            <w:top w:val="none" w:sz="0" w:space="0" w:color="auto"/>
                            <w:left w:val="none" w:sz="0" w:space="0" w:color="auto"/>
                            <w:bottom w:val="none" w:sz="0" w:space="0" w:color="auto"/>
                            <w:right w:val="none" w:sz="0" w:space="0" w:color="auto"/>
                          </w:divBdr>
                          <w:divsChild>
                            <w:div w:id="1457989873">
                              <w:marLeft w:val="0"/>
                              <w:marRight w:val="0"/>
                              <w:marTop w:val="0"/>
                              <w:marBottom w:val="0"/>
                              <w:divBdr>
                                <w:top w:val="none" w:sz="0" w:space="0" w:color="auto"/>
                                <w:left w:val="none" w:sz="0" w:space="0" w:color="auto"/>
                                <w:bottom w:val="none" w:sz="0" w:space="0" w:color="auto"/>
                                <w:right w:val="none" w:sz="0" w:space="0" w:color="auto"/>
                              </w:divBdr>
                              <w:divsChild>
                                <w:div w:id="751777264">
                                  <w:marLeft w:val="0"/>
                                  <w:marRight w:val="0"/>
                                  <w:marTop w:val="0"/>
                                  <w:marBottom w:val="0"/>
                                  <w:divBdr>
                                    <w:top w:val="none" w:sz="0" w:space="0" w:color="auto"/>
                                    <w:left w:val="none" w:sz="0" w:space="0" w:color="auto"/>
                                    <w:bottom w:val="none" w:sz="0" w:space="0" w:color="auto"/>
                                    <w:right w:val="none" w:sz="0" w:space="0" w:color="auto"/>
                                  </w:divBdr>
                                  <w:divsChild>
                                    <w:div w:id="1712420083">
                                      <w:marLeft w:val="0"/>
                                      <w:marRight w:val="0"/>
                                      <w:marTop w:val="0"/>
                                      <w:marBottom w:val="0"/>
                                      <w:divBdr>
                                        <w:top w:val="none" w:sz="0" w:space="0" w:color="auto"/>
                                        <w:left w:val="none" w:sz="0" w:space="0" w:color="auto"/>
                                        <w:bottom w:val="none" w:sz="0" w:space="0" w:color="auto"/>
                                        <w:right w:val="none" w:sz="0" w:space="0" w:color="auto"/>
                                      </w:divBdr>
                                      <w:divsChild>
                                        <w:div w:id="1355184761">
                                          <w:marLeft w:val="0"/>
                                          <w:marRight w:val="0"/>
                                          <w:marTop w:val="0"/>
                                          <w:marBottom w:val="0"/>
                                          <w:divBdr>
                                            <w:top w:val="none" w:sz="0" w:space="0" w:color="auto"/>
                                            <w:left w:val="none" w:sz="0" w:space="0" w:color="auto"/>
                                            <w:bottom w:val="none" w:sz="0" w:space="0" w:color="auto"/>
                                            <w:right w:val="none" w:sz="0" w:space="0" w:color="auto"/>
                                          </w:divBdr>
                                        </w:div>
                                        <w:div w:id="421682205">
                                          <w:marLeft w:val="0"/>
                                          <w:marRight w:val="0"/>
                                          <w:marTop w:val="0"/>
                                          <w:marBottom w:val="0"/>
                                          <w:divBdr>
                                            <w:top w:val="none" w:sz="0" w:space="0" w:color="auto"/>
                                            <w:left w:val="none" w:sz="0" w:space="0" w:color="auto"/>
                                            <w:bottom w:val="none" w:sz="0" w:space="0" w:color="auto"/>
                                            <w:right w:val="none" w:sz="0" w:space="0" w:color="auto"/>
                                          </w:divBdr>
                                        </w:div>
                                        <w:div w:id="1810318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650486">
                              <w:marLeft w:val="0"/>
                              <w:marRight w:val="0"/>
                              <w:marTop w:val="0"/>
                              <w:marBottom w:val="0"/>
                              <w:divBdr>
                                <w:top w:val="none" w:sz="0" w:space="0" w:color="auto"/>
                                <w:left w:val="none" w:sz="0" w:space="0" w:color="auto"/>
                                <w:bottom w:val="none" w:sz="0" w:space="0" w:color="auto"/>
                                <w:right w:val="none" w:sz="0" w:space="0" w:color="auto"/>
                              </w:divBdr>
                            </w:div>
                            <w:div w:id="1727071706">
                              <w:marLeft w:val="0"/>
                              <w:marRight w:val="0"/>
                              <w:marTop w:val="0"/>
                              <w:marBottom w:val="0"/>
                              <w:divBdr>
                                <w:top w:val="none" w:sz="0" w:space="0" w:color="auto"/>
                                <w:left w:val="none" w:sz="0" w:space="0" w:color="auto"/>
                                <w:bottom w:val="none" w:sz="0" w:space="0" w:color="auto"/>
                                <w:right w:val="none" w:sz="0" w:space="0" w:color="auto"/>
                              </w:divBdr>
                            </w:div>
                            <w:div w:id="2059627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778707">
                  <w:marLeft w:val="0"/>
                  <w:marRight w:val="0"/>
                  <w:marTop w:val="0"/>
                  <w:marBottom w:val="0"/>
                  <w:divBdr>
                    <w:top w:val="none" w:sz="0" w:space="0" w:color="auto"/>
                    <w:left w:val="none" w:sz="0" w:space="0" w:color="auto"/>
                    <w:bottom w:val="none" w:sz="0" w:space="0" w:color="auto"/>
                    <w:right w:val="none" w:sz="0" w:space="0" w:color="auto"/>
                  </w:divBdr>
                </w:div>
              </w:divsChild>
            </w:div>
            <w:div w:id="763918803">
              <w:marLeft w:val="0"/>
              <w:marRight w:val="0"/>
              <w:marTop w:val="0"/>
              <w:marBottom w:val="480"/>
              <w:divBdr>
                <w:top w:val="none" w:sz="0" w:space="0" w:color="auto"/>
                <w:left w:val="none" w:sz="0" w:space="0" w:color="auto"/>
                <w:bottom w:val="none" w:sz="0" w:space="0" w:color="auto"/>
                <w:right w:val="none" w:sz="0" w:space="0" w:color="auto"/>
              </w:divBdr>
              <w:divsChild>
                <w:div w:id="1404333127">
                  <w:marLeft w:val="0"/>
                  <w:marRight w:val="0"/>
                  <w:marTop w:val="0"/>
                  <w:marBottom w:val="0"/>
                  <w:divBdr>
                    <w:top w:val="none" w:sz="0" w:space="0" w:color="auto"/>
                    <w:left w:val="none" w:sz="0" w:space="0" w:color="auto"/>
                    <w:bottom w:val="none" w:sz="0" w:space="0" w:color="auto"/>
                    <w:right w:val="none" w:sz="0" w:space="0" w:color="auto"/>
                  </w:divBdr>
                  <w:divsChild>
                    <w:div w:id="306709186">
                      <w:marLeft w:val="0"/>
                      <w:marRight w:val="0"/>
                      <w:marTop w:val="0"/>
                      <w:marBottom w:val="0"/>
                      <w:divBdr>
                        <w:top w:val="none" w:sz="0" w:space="0" w:color="auto"/>
                        <w:left w:val="none" w:sz="0" w:space="0" w:color="auto"/>
                        <w:bottom w:val="none" w:sz="0" w:space="0" w:color="auto"/>
                        <w:right w:val="none" w:sz="0" w:space="0" w:color="auto"/>
                      </w:divBdr>
                      <w:divsChild>
                        <w:div w:id="1833452062">
                          <w:marLeft w:val="0"/>
                          <w:marRight w:val="0"/>
                          <w:marTop w:val="0"/>
                          <w:marBottom w:val="0"/>
                          <w:divBdr>
                            <w:top w:val="none" w:sz="0" w:space="0" w:color="auto"/>
                            <w:left w:val="none" w:sz="0" w:space="0" w:color="auto"/>
                            <w:bottom w:val="none" w:sz="0" w:space="0" w:color="auto"/>
                            <w:right w:val="none" w:sz="0" w:space="0" w:color="auto"/>
                          </w:divBdr>
                          <w:divsChild>
                            <w:div w:id="1919896852">
                              <w:marLeft w:val="0"/>
                              <w:marRight w:val="0"/>
                              <w:marTop w:val="0"/>
                              <w:marBottom w:val="0"/>
                              <w:divBdr>
                                <w:top w:val="none" w:sz="0" w:space="0" w:color="auto"/>
                                <w:left w:val="none" w:sz="0" w:space="0" w:color="auto"/>
                                <w:bottom w:val="none" w:sz="0" w:space="0" w:color="auto"/>
                                <w:right w:val="none" w:sz="0" w:space="0" w:color="auto"/>
                              </w:divBdr>
                              <w:divsChild>
                                <w:div w:id="1394280652">
                                  <w:marLeft w:val="0"/>
                                  <w:marRight w:val="0"/>
                                  <w:marTop w:val="0"/>
                                  <w:marBottom w:val="0"/>
                                  <w:divBdr>
                                    <w:top w:val="none" w:sz="0" w:space="0" w:color="auto"/>
                                    <w:left w:val="none" w:sz="0" w:space="0" w:color="auto"/>
                                    <w:bottom w:val="none" w:sz="0" w:space="0" w:color="auto"/>
                                    <w:right w:val="none" w:sz="0" w:space="0" w:color="auto"/>
                                  </w:divBdr>
                                  <w:divsChild>
                                    <w:div w:id="934940722">
                                      <w:marLeft w:val="0"/>
                                      <w:marRight w:val="0"/>
                                      <w:marTop w:val="0"/>
                                      <w:marBottom w:val="0"/>
                                      <w:divBdr>
                                        <w:top w:val="none" w:sz="0" w:space="0" w:color="auto"/>
                                        <w:left w:val="none" w:sz="0" w:space="0" w:color="auto"/>
                                        <w:bottom w:val="none" w:sz="0" w:space="0" w:color="auto"/>
                                        <w:right w:val="none" w:sz="0" w:space="0" w:color="auto"/>
                                      </w:divBdr>
                                      <w:divsChild>
                                        <w:div w:id="1411004530">
                                          <w:marLeft w:val="0"/>
                                          <w:marRight w:val="0"/>
                                          <w:marTop w:val="0"/>
                                          <w:marBottom w:val="0"/>
                                          <w:divBdr>
                                            <w:top w:val="none" w:sz="0" w:space="0" w:color="auto"/>
                                            <w:left w:val="none" w:sz="0" w:space="0" w:color="auto"/>
                                            <w:bottom w:val="none" w:sz="0" w:space="0" w:color="auto"/>
                                            <w:right w:val="none" w:sz="0" w:space="0" w:color="auto"/>
                                          </w:divBdr>
                                        </w:div>
                                        <w:div w:id="2039962839">
                                          <w:marLeft w:val="0"/>
                                          <w:marRight w:val="0"/>
                                          <w:marTop w:val="0"/>
                                          <w:marBottom w:val="0"/>
                                          <w:divBdr>
                                            <w:top w:val="none" w:sz="0" w:space="0" w:color="auto"/>
                                            <w:left w:val="none" w:sz="0" w:space="0" w:color="auto"/>
                                            <w:bottom w:val="none" w:sz="0" w:space="0" w:color="auto"/>
                                            <w:right w:val="none" w:sz="0" w:space="0" w:color="auto"/>
                                          </w:divBdr>
                                        </w:div>
                                        <w:div w:id="1205285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37465">
                              <w:marLeft w:val="0"/>
                              <w:marRight w:val="0"/>
                              <w:marTop w:val="0"/>
                              <w:marBottom w:val="0"/>
                              <w:divBdr>
                                <w:top w:val="none" w:sz="0" w:space="0" w:color="auto"/>
                                <w:left w:val="none" w:sz="0" w:space="0" w:color="auto"/>
                                <w:bottom w:val="none" w:sz="0" w:space="0" w:color="auto"/>
                                <w:right w:val="none" w:sz="0" w:space="0" w:color="auto"/>
                              </w:divBdr>
                            </w:div>
                            <w:div w:id="1759592238">
                              <w:marLeft w:val="0"/>
                              <w:marRight w:val="0"/>
                              <w:marTop w:val="0"/>
                              <w:marBottom w:val="0"/>
                              <w:divBdr>
                                <w:top w:val="none" w:sz="0" w:space="0" w:color="auto"/>
                                <w:left w:val="none" w:sz="0" w:space="0" w:color="auto"/>
                                <w:bottom w:val="none" w:sz="0" w:space="0" w:color="auto"/>
                                <w:right w:val="none" w:sz="0" w:space="0" w:color="auto"/>
                              </w:divBdr>
                            </w:div>
                            <w:div w:id="1704163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9520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3554131">
          <w:marLeft w:val="0"/>
          <w:marRight w:val="480"/>
          <w:marTop w:val="0"/>
          <w:marBottom w:val="0"/>
          <w:divBdr>
            <w:top w:val="none" w:sz="0" w:space="0" w:color="auto"/>
            <w:left w:val="none" w:sz="0" w:space="0" w:color="auto"/>
            <w:bottom w:val="none" w:sz="0" w:space="0" w:color="auto"/>
            <w:right w:val="none" w:sz="0" w:space="0" w:color="auto"/>
          </w:divBdr>
        </w:div>
      </w:divsChild>
    </w:div>
    <w:div w:id="799617587">
      <w:bodyDiv w:val="1"/>
      <w:marLeft w:val="0"/>
      <w:marRight w:val="0"/>
      <w:marTop w:val="0"/>
      <w:marBottom w:val="0"/>
      <w:divBdr>
        <w:top w:val="none" w:sz="0" w:space="0" w:color="auto"/>
        <w:left w:val="none" w:sz="0" w:space="0" w:color="auto"/>
        <w:bottom w:val="none" w:sz="0" w:space="0" w:color="auto"/>
        <w:right w:val="none" w:sz="0" w:space="0" w:color="auto"/>
      </w:divBdr>
    </w:div>
    <w:div w:id="801383235">
      <w:bodyDiv w:val="1"/>
      <w:marLeft w:val="0"/>
      <w:marRight w:val="0"/>
      <w:marTop w:val="0"/>
      <w:marBottom w:val="0"/>
      <w:divBdr>
        <w:top w:val="none" w:sz="0" w:space="0" w:color="auto"/>
        <w:left w:val="none" w:sz="0" w:space="0" w:color="auto"/>
        <w:bottom w:val="none" w:sz="0" w:space="0" w:color="auto"/>
        <w:right w:val="none" w:sz="0" w:space="0" w:color="auto"/>
      </w:divBdr>
    </w:div>
    <w:div w:id="801388002">
      <w:bodyDiv w:val="1"/>
      <w:marLeft w:val="0"/>
      <w:marRight w:val="0"/>
      <w:marTop w:val="0"/>
      <w:marBottom w:val="0"/>
      <w:divBdr>
        <w:top w:val="none" w:sz="0" w:space="0" w:color="auto"/>
        <w:left w:val="none" w:sz="0" w:space="0" w:color="auto"/>
        <w:bottom w:val="none" w:sz="0" w:space="0" w:color="auto"/>
        <w:right w:val="none" w:sz="0" w:space="0" w:color="auto"/>
      </w:divBdr>
    </w:div>
    <w:div w:id="802231187">
      <w:bodyDiv w:val="1"/>
      <w:marLeft w:val="0"/>
      <w:marRight w:val="0"/>
      <w:marTop w:val="0"/>
      <w:marBottom w:val="0"/>
      <w:divBdr>
        <w:top w:val="none" w:sz="0" w:space="0" w:color="auto"/>
        <w:left w:val="none" w:sz="0" w:space="0" w:color="auto"/>
        <w:bottom w:val="none" w:sz="0" w:space="0" w:color="auto"/>
        <w:right w:val="none" w:sz="0" w:space="0" w:color="auto"/>
      </w:divBdr>
    </w:div>
    <w:div w:id="805582941">
      <w:bodyDiv w:val="1"/>
      <w:marLeft w:val="0"/>
      <w:marRight w:val="0"/>
      <w:marTop w:val="0"/>
      <w:marBottom w:val="0"/>
      <w:divBdr>
        <w:top w:val="none" w:sz="0" w:space="0" w:color="auto"/>
        <w:left w:val="none" w:sz="0" w:space="0" w:color="auto"/>
        <w:bottom w:val="none" w:sz="0" w:space="0" w:color="auto"/>
        <w:right w:val="none" w:sz="0" w:space="0" w:color="auto"/>
      </w:divBdr>
    </w:div>
    <w:div w:id="809900376">
      <w:bodyDiv w:val="1"/>
      <w:marLeft w:val="0"/>
      <w:marRight w:val="0"/>
      <w:marTop w:val="0"/>
      <w:marBottom w:val="0"/>
      <w:divBdr>
        <w:top w:val="none" w:sz="0" w:space="0" w:color="auto"/>
        <w:left w:val="none" w:sz="0" w:space="0" w:color="auto"/>
        <w:bottom w:val="none" w:sz="0" w:space="0" w:color="auto"/>
        <w:right w:val="none" w:sz="0" w:space="0" w:color="auto"/>
      </w:divBdr>
    </w:div>
    <w:div w:id="813255637">
      <w:bodyDiv w:val="1"/>
      <w:marLeft w:val="0"/>
      <w:marRight w:val="0"/>
      <w:marTop w:val="0"/>
      <w:marBottom w:val="0"/>
      <w:divBdr>
        <w:top w:val="none" w:sz="0" w:space="0" w:color="auto"/>
        <w:left w:val="none" w:sz="0" w:space="0" w:color="auto"/>
        <w:bottom w:val="none" w:sz="0" w:space="0" w:color="auto"/>
        <w:right w:val="none" w:sz="0" w:space="0" w:color="auto"/>
      </w:divBdr>
      <w:divsChild>
        <w:div w:id="377828443">
          <w:marLeft w:val="0"/>
          <w:marRight w:val="0"/>
          <w:marTop w:val="0"/>
          <w:marBottom w:val="0"/>
          <w:divBdr>
            <w:top w:val="none" w:sz="0" w:space="0" w:color="auto"/>
            <w:left w:val="none" w:sz="0" w:space="0" w:color="auto"/>
            <w:bottom w:val="none" w:sz="0" w:space="0" w:color="auto"/>
            <w:right w:val="none" w:sz="0" w:space="0" w:color="auto"/>
          </w:divBdr>
          <w:divsChild>
            <w:div w:id="1988121022">
              <w:marLeft w:val="0"/>
              <w:marRight w:val="0"/>
              <w:marTop w:val="0"/>
              <w:marBottom w:val="0"/>
              <w:divBdr>
                <w:top w:val="none" w:sz="0" w:space="0" w:color="auto"/>
                <w:left w:val="none" w:sz="0" w:space="0" w:color="auto"/>
                <w:bottom w:val="none" w:sz="0" w:space="0" w:color="auto"/>
                <w:right w:val="none" w:sz="0" w:space="0" w:color="auto"/>
              </w:divBdr>
              <w:divsChild>
                <w:div w:id="530534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378593">
      <w:bodyDiv w:val="1"/>
      <w:marLeft w:val="0"/>
      <w:marRight w:val="0"/>
      <w:marTop w:val="0"/>
      <w:marBottom w:val="0"/>
      <w:divBdr>
        <w:top w:val="none" w:sz="0" w:space="0" w:color="auto"/>
        <w:left w:val="none" w:sz="0" w:space="0" w:color="auto"/>
        <w:bottom w:val="none" w:sz="0" w:space="0" w:color="auto"/>
        <w:right w:val="none" w:sz="0" w:space="0" w:color="auto"/>
      </w:divBdr>
    </w:div>
    <w:div w:id="816070943">
      <w:bodyDiv w:val="1"/>
      <w:marLeft w:val="0"/>
      <w:marRight w:val="0"/>
      <w:marTop w:val="0"/>
      <w:marBottom w:val="0"/>
      <w:divBdr>
        <w:top w:val="none" w:sz="0" w:space="0" w:color="auto"/>
        <w:left w:val="none" w:sz="0" w:space="0" w:color="auto"/>
        <w:bottom w:val="none" w:sz="0" w:space="0" w:color="auto"/>
        <w:right w:val="none" w:sz="0" w:space="0" w:color="auto"/>
      </w:divBdr>
    </w:div>
    <w:div w:id="816075051">
      <w:bodyDiv w:val="1"/>
      <w:marLeft w:val="0"/>
      <w:marRight w:val="0"/>
      <w:marTop w:val="0"/>
      <w:marBottom w:val="0"/>
      <w:divBdr>
        <w:top w:val="none" w:sz="0" w:space="0" w:color="auto"/>
        <w:left w:val="none" w:sz="0" w:space="0" w:color="auto"/>
        <w:bottom w:val="none" w:sz="0" w:space="0" w:color="auto"/>
        <w:right w:val="none" w:sz="0" w:space="0" w:color="auto"/>
      </w:divBdr>
    </w:div>
    <w:div w:id="821698588">
      <w:bodyDiv w:val="1"/>
      <w:marLeft w:val="0"/>
      <w:marRight w:val="0"/>
      <w:marTop w:val="0"/>
      <w:marBottom w:val="0"/>
      <w:divBdr>
        <w:top w:val="none" w:sz="0" w:space="0" w:color="auto"/>
        <w:left w:val="none" w:sz="0" w:space="0" w:color="auto"/>
        <w:bottom w:val="none" w:sz="0" w:space="0" w:color="auto"/>
        <w:right w:val="none" w:sz="0" w:space="0" w:color="auto"/>
      </w:divBdr>
    </w:div>
    <w:div w:id="823201611">
      <w:bodyDiv w:val="1"/>
      <w:marLeft w:val="0"/>
      <w:marRight w:val="0"/>
      <w:marTop w:val="0"/>
      <w:marBottom w:val="0"/>
      <w:divBdr>
        <w:top w:val="none" w:sz="0" w:space="0" w:color="auto"/>
        <w:left w:val="none" w:sz="0" w:space="0" w:color="auto"/>
        <w:bottom w:val="none" w:sz="0" w:space="0" w:color="auto"/>
        <w:right w:val="none" w:sz="0" w:space="0" w:color="auto"/>
      </w:divBdr>
    </w:div>
    <w:div w:id="824932046">
      <w:bodyDiv w:val="1"/>
      <w:marLeft w:val="0"/>
      <w:marRight w:val="0"/>
      <w:marTop w:val="0"/>
      <w:marBottom w:val="0"/>
      <w:divBdr>
        <w:top w:val="none" w:sz="0" w:space="0" w:color="auto"/>
        <w:left w:val="none" w:sz="0" w:space="0" w:color="auto"/>
        <w:bottom w:val="none" w:sz="0" w:space="0" w:color="auto"/>
        <w:right w:val="none" w:sz="0" w:space="0" w:color="auto"/>
      </w:divBdr>
    </w:div>
    <w:div w:id="828519849">
      <w:bodyDiv w:val="1"/>
      <w:marLeft w:val="0"/>
      <w:marRight w:val="0"/>
      <w:marTop w:val="0"/>
      <w:marBottom w:val="0"/>
      <w:divBdr>
        <w:top w:val="none" w:sz="0" w:space="0" w:color="auto"/>
        <w:left w:val="none" w:sz="0" w:space="0" w:color="auto"/>
        <w:bottom w:val="none" w:sz="0" w:space="0" w:color="auto"/>
        <w:right w:val="none" w:sz="0" w:space="0" w:color="auto"/>
      </w:divBdr>
      <w:divsChild>
        <w:div w:id="1530071652">
          <w:marLeft w:val="0"/>
          <w:marRight w:val="0"/>
          <w:marTop w:val="0"/>
          <w:marBottom w:val="0"/>
          <w:divBdr>
            <w:top w:val="none" w:sz="0" w:space="0" w:color="auto"/>
            <w:left w:val="none" w:sz="0" w:space="0" w:color="auto"/>
            <w:bottom w:val="none" w:sz="0" w:space="0" w:color="auto"/>
            <w:right w:val="none" w:sz="0" w:space="0" w:color="auto"/>
          </w:divBdr>
          <w:divsChild>
            <w:div w:id="533081674">
              <w:marLeft w:val="0"/>
              <w:marRight w:val="0"/>
              <w:marTop w:val="0"/>
              <w:marBottom w:val="0"/>
              <w:divBdr>
                <w:top w:val="none" w:sz="0" w:space="0" w:color="auto"/>
                <w:left w:val="none" w:sz="0" w:space="0" w:color="auto"/>
                <w:bottom w:val="none" w:sz="0" w:space="0" w:color="auto"/>
                <w:right w:val="none" w:sz="0" w:space="0" w:color="auto"/>
              </w:divBdr>
              <w:divsChild>
                <w:div w:id="81175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1070900">
      <w:bodyDiv w:val="1"/>
      <w:marLeft w:val="0"/>
      <w:marRight w:val="0"/>
      <w:marTop w:val="0"/>
      <w:marBottom w:val="0"/>
      <w:divBdr>
        <w:top w:val="none" w:sz="0" w:space="0" w:color="auto"/>
        <w:left w:val="none" w:sz="0" w:space="0" w:color="auto"/>
        <w:bottom w:val="none" w:sz="0" w:space="0" w:color="auto"/>
        <w:right w:val="none" w:sz="0" w:space="0" w:color="auto"/>
      </w:divBdr>
    </w:div>
    <w:div w:id="833953534">
      <w:bodyDiv w:val="1"/>
      <w:marLeft w:val="0"/>
      <w:marRight w:val="0"/>
      <w:marTop w:val="0"/>
      <w:marBottom w:val="0"/>
      <w:divBdr>
        <w:top w:val="none" w:sz="0" w:space="0" w:color="auto"/>
        <w:left w:val="none" w:sz="0" w:space="0" w:color="auto"/>
        <w:bottom w:val="none" w:sz="0" w:space="0" w:color="auto"/>
        <w:right w:val="none" w:sz="0" w:space="0" w:color="auto"/>
      </w:divBdr>
    </w:div>
    <w:div w:id="835075880">
      <w:bodyDiv w:val="1"/>
      <w:marLeft w:val="0"/>
      <w:marRight w:val="0"/>
      <w:marTop w:val="0"/>
      <w:marBottom w:val="0"/>
      <w:divBdr>
        <w:top w:val="none" w:sz="0" w:space="0" w:color="auto"/>
        <w:left w:val="none" w:sz="0" w:space="0" w:color="auto"/>
        <w:bottom w:val="none" w:sz="0" w:space="0" w:color="auto"/>
        <w:right w:val="none" w:sz="0" w:space="0" w:color="auto"/>
      </w:divBdr>
    </w:div>
    <w:div w:id="836111700">
      <w:bodyDiv w:val="1"/>
      <w:marLeft w:val="0"/>
      <w:marRight w:val="0"/>
      <w:marTop w:val="0"/>
      <w:marBottom w:val="0"/>
      <w:divBdr>
        <w:top w:val="none" w:sz="0" w:space="0" w:color="auto"/>
        <w:left w:val="none" w:sz="0" w:space="0" w:color="auto"/>
        <w:bottom w:val="none" w:sz="0" w:space="0" w:color="auto"/>
        <w:right w:val="none" w:sz="0" w:space="0" w:color="auto"/>
      </w:divBdr>
    </w:div>
    <w:div w:id="836925662">
      <w:bodyDiv w:val="1"/>
      <w:marLeft w:val="0"/>
      <w:marRight w:val="0"/>
      <w:marTop w:val="0"/>
      <w:marBottom w:val="0"/>
      <w:divBdr>
        <w:top w:val="none" w:sz="0" w:space="0" w:color="auto"/>
        <w:left w:val="none" w:sz="0" w:space="0" w:color="auto"/>
        <w:bottom w:val="none" w:sz="0" w:space="0" w:color="auto"/>
        <w:right w:val="none" w:sz="0" w:space="0" w:color="auto"/>
      </w:divBdr>
    </w:div>
    <w:div w:id="837496694">
      <w:bodyDiv w:val="1"/>
      <w:marLeft w:val="0"/>
      <w:marRight w:val="0"/>
      <w:marTop w:val="0"/>
      <w:marBottom w:val="0"/>
      <w:divBdr>
        <w:top w:val="none" w:sz="0" w:space="0" w:color="auto"/>
        <w:left w:val="none" w:sz="0" w:space="0" w:color="auto"/>
        <w:bottom w:val="none" w:sz="0" w:space="0" w:color="auto"/>
        <w:right w:val="none" w:sz="0" w:space="0" w:color="auto"/>
      </w:divBdr>
      <w:divsChild>
        <w:div w:id="1049377284">
          <w:marLeft w:val="0"/>
          <w:marRight w:val="0"/>
          <w:marTop w:val="0"/>
          <w:marBottom w:val="0"/>
          <w:divBdr>
            <w:top w:val="none" w:sz="0" w:space="0" w:color="auto"/>
            <w:left w:val="none" w:sz="0" w:space="0" w:color="auto"/>
            <w:bottom w:val="none" w:sz="0" w:space="0" w:color="auto"/>
            <w:right w:val="none" w:sz="0" w:space="0" w:color="auto"/>
          </w:divBdr>
          <w:divsChild>
            <w:div w:id="515189751">
              <w:marLeft w:val="0"/>
              <w:marRight w:val="0"/>
              <w:marTop w:val="0"/>
              <w:marBottom w:val="0"/>
              <w:divBdr>
                <w:top w:val="none" w:sz="0" w:space="0" w:color="auto"/>
                <w:left w:val="none" w:sz="0" w:space="0" w:color="auto"/>
                <w:bottom w:val="none" w:sz="0" w:space="0" w:color="auto"/>
                <w:right w:val="none" w:sz="0" w:space="0" w:color="auto"/>
              </w:divBdr>
              <w:divsChild>
                <w:div w:id="435946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387257">
      <w:bodyDiv w:val="1"/>
      <w:marLeft w:val="0"/>
      <w:marRight w:val="0"/>
      <w:marTop w:val="0"/>
      <w:marBottom w:val="0"/>
      <w:divBdr>
        <w:top w:val="none" w:sz="0" w:space="0" w:color="auto"/>
        <w:left w:val="none" w:sz="0" w:space="0" w:color="auto"/>
        <w:bottom w:val="none" w:sz="0" w:space="0" w:color="auto"/>
        <w:right w:val="none" w:sz="0" w:space="0" w:color="auto"/>
      </w:divBdr>
    </w:div>
    <w:div w:id="841631157">
      <w:bodyDiv w:val="1"/>
      <w:marLeft w:val="0"/>
      <w:marRight w:val="0"/>
      <w:marTop w:val="0"/>
      <w:marBottom w:val="0"/>
      <w:divBdr>
        <w:top w:val="none" w:sz="0" w:space="0" w:color="auto"/>
        <w:left w:val="none" w:sz="0" w:space="0" w:color="auto"/>
        <w:bottom w:val="none" w:sz="0" w:space="0" w:color="auto"/>
        <w:right w:val="none" w:sz="0" w:space="0" w:color="auto"/>
      </w:divBdr>
    </w:div>
    <w:div w:id="844129560">
      <w:bodyDiv w:val="1"/>
      <w:marLeft w:val="0"/>
      <w:marRight w:val="0"/>
      <w:marTop w:val="0"/>
      <w:marBottom w:val="0"/>
      <w:divBdr>
        <w:top w:val="none" w:sz="0" w:space="0" w:color="auto"/>
        <w:left w:val="none" w:sz="0" w:space="0" w:color="auto"/>
        <w:bottom w:val="none" w:sz="0" w:space="0" w:color="auto"/>
        <w:right w:val="none" w:sz="0" w:space="0" w:color="auto"/>
      </w:divBdr>
    </w:div>
    <w:div w:id="844436810">
      <w:bodyDiv w:val="1"/>
      <w:marLeft w:val="0"/>
      <w:marRight w:val="0"/>
      <w:marTop w:val="0"/>
      <w:marBottom w:val="0"/>
      <w:divBdr>
        <w:top w:val="none" w:sz="0" w:space="0" w:color="auto"/>
        <w:left w:val="none" w:sz="0" w:space="0" w:color="auto"/>
        <w:bottom w:val="none" w:sz="0" w:space="0" w:color="auto"/>
        <w:right w:val="none" w:sz="0" w:space="0" w:color="auto"/>
      </w:divBdr>
    </w:div>
    <w:div w:id="846797433">
      <w:bodyDiv w:val="1"/>
      <w:marLeft w:val="0"/>
      <w:marRight w:val="0"/>
      <w:marTop w:val="0"/>
      <w:marBottom w:val="0"/>
      <w:divBdr>
        <w:top w:val="none" w:sz="0" w:space="0" w:color="auto"/>
        <w:left w:val="none" w:sz="0" w:space="0" w:color="auto"/>
        <w:bottom w:val="none" w:sz="0" w:space="0" w:color="auto"/>
        <w:right w:val="none" w:sz="0" w:space="0" w:color="auto"/>
      </w:divBdr>
    </w:div>
    <w:div w:id="848522751">
      <w:bodyDiv w:val="1"/>
      <w:marLeft w:val="0"/>
      <w:marRight w:val="0"/>
      <w:marTop w:val="0"/>
      <w:marBottom w:val="0"/>
      <w:divBdr>
        <w:top w:val="none" w:sz="0" w:space="0" w:color="auto"/>
        <w:left w:val="none" w:sz="0" w:space="0" w:color="auto"/>
        <w:bottom w:val="none" w:sz="0" w:space="0" w:color="auto"/>
        <w:right w:val="none" w:sz="0" w:space="0" w:color="auto"/>
      </w:divBdr>
    </w:div>
    <w:div w:id="849569296">
      <w:bodyDiv w:val="1"/>
      <w:marLeft w:val="0"/>
      <w:marRight w:val="0"/>
      <w:marTop w:val="0"/>
      <w:marBottom w:val="0"/>
      <w:divBdr>
        <w:top w:val="none" w:sz="0" w:space="0" w:color="auto"/>
        <w:left w:val="none" w:sz="0" w:space="0" w:color="auto"/>
        <w:bottom w:val="none" w:sz="0" w:space="0" w:color="auto"/>
        <w:right w:val="none" w:sz="0" w:space="0" w:color="auto"/>
      </w:divBdr>
    </w:div>
    <w:div w:id="854224202">
      <w:bodyDiv w:val="1"/>
      <w:marLeft w:val="0"/>
      <w:marRight w:val="0"/>
      <w:marTop w:val="0"/>
      <w:marBottom w:val="0"/>
      <w:divBdr>
        <w:top w:val="none" w:sz="0" w:space="0" w:color="auto"/>
        <w:left w:val="none" w:sz="0" w:space="0" w:color="auto"/>
        <w:bottom w:val="none" w:sz="0" w:space="0" w:color="auto"/>
        <w:right w:val="none" w:sz="0" w:space="0" w:color="auto"/>
      </w:divBdr>
    </w:div>
    <w:div w:id="855390617">
      <w:bodyDiv w:val="1"/>
      <w:marLeft w:val="0"/>
      <w:marRight w:val="0"/>
      <w:marTop w:val="0"/>
      <w:marBottom w:val="0"/>
      <w:divBdr>
        <w:top w:val="none" w:sz="0" w:space="0" w:color="auto"/>
        <w:left w:val="none" w:sz="0" w:space="0" w:color="auto"/>
        <w:bottom w:val="none" w:sz="0" w:space="0" w:color="auto"/>
        <w:right w:val="none" w:sz="0" w:space="0" w:color="auto"/>
      </w:divBdr>
    </w:div>
    <w:div w:id="860626155">
      <w:bodyDiv w:val="1"/>
      <w:marLeft w:val="0"/>
      <w:marRight w:val="0"/>
      <w:marTop w:val="0"/>
      <w:marBottom w:val="0"/>
      <w:divBdr>
        <w:top w:val="none" w:sz="0" w:space="0" w:color="auto"/>
        <w:left w:val="none" w:sz="0" w:space="0" w:color="auto"/>
        <w:bottom w:val="none" w:sz="0" w:space="0" w:color="auto"/>
        <w:right w:val="none" w:sz="0" w:space="0" w:color="auto"/>
      </w:divBdr>
      <w:divsChild>
        <w:div w:id="730689608">
          <w:marLeft w:val="0"/>
          <w:marRight w:val="0"/>
          <w:marTop w:val="0"/>
          <w:marBottom w:val="0"/>
          <w:divBdr>
            <w:top w:val="none" w:sz="0" w:space="0" w:color="auto"/>
            <w:left w:val="none" w:sz="0" w:space="0" w:color="auto"/>
            <w:bottom w:val="none" w:sz="0" w:space="0" w:color="auto"/>
            <w:right w:val="none" w:sz="0" w:space="0" w:color="auto"/>
          </w:divBdr>
          <w:divsChild>
            <w:div w:id="884567129">
              <w:marLeft w:val="0"/>
              <w:marRight w:val="0"/>
              <w:marTop w:val="0"/>
              <w:marBottom w:val="0"/>
              <w:divBdr>
                <w:top w:val="none" w:sz="0" w:space="0" w:color="auto"/>
                <w:left w:val="none" w:sz="0" w:space="0" w:color="auto"/>
                <w:bottom w:val="none" w:sz="0" w:space="0" w:color="auto"/>
                <w:right w:val="none" w:sz="0" w:space="0" w:color="auto"/>
              </w:divBdr>
              <w:divsChild>
                <w:div w:id="53176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4320040">
      <w:bodyDiv w:val="1"/>
      <w:marLeft w:val="0"/>
      <w:marRight w:val="0"/>
      <w:marTop w:val="0"/>
      <w:marBottom w:val="0"/>
      <w:divBdr>
        <w:top w:val="none" w:sz="0" w:space="0" w:color="auto"/>
        <w:left w:val="none" w:sz="0" w:space="0" w:color="auto"/>
        <w:bottom w:val="none" w:sz="0" w:space="0" w:color="auto"/>
        <w:right w:val="none" w:sz="0" w:space="0" w:color="auto"/>
      </w:divBdr>
    </w:div>
    <w:div w:id="871529718">
      <w:bodyDiv w:val="1"/>
      <w:marLeft w:val="0"/>
      <w:marRight w:val="0"/>
      <w:marTop w:val="0"/>
      <w:marBottom w:val="0"/>
      <w:divBdr>
        <w:top w:val="none" w:sz="0" w:space="0" w:color="auto"/>
        <w:left w:val="none" w:sz="0" w:space="0" w:color="auto"/>
        <w:bottom w:val="none" w:sz="0" w:space="0" w:color="auto"/>
        <w:right w:val="none" w:sz="0" w:space="0" w:color="auto"/>
      </w:divBdr>
    </w:div>
    <w:div w:id="873076800">
      <w:bodyDiv w:val="1"/>
      <w:marLeft w:val="0"/>
      <w:marRight w:val="0"/>
      <w:marTop w:val="0"/>
      <w:marBottom w:val="0"/>
      <w:divBdr>
        <w:top w:val="none" w:sz="0" w:space="0" w:color="auto"/>
        <w:left w:val="none" w:sz="0" w:space="0" w:color="auto"/>
        <w:bottom w:val="none" w:sz="0" w:space="0" w:color="auto"/>
        <w:right w:val="none" w:sz="0" w:space="0" w:color="auto"/>
      </w:divBdr>
    </w:div>
    <w:div w:id="874273222">
      <w:bodyDiv w:val="1"/>
      <w:marLeft w:val="0"/>
      <w:marRight w:val="0"/>
      <w:marTop w:val="0"/>
      <w:marBottom w:val="0"/>
      <w:divBdr>
        <w:top w:val="none" w:sz="0" w:space="0" w:color="auto"/>
        <w:left w:val="none" w:sz="0" w:space="0" w:color="auto"/>
        <w:bottom w:val="none" w:sz="0" w:space="0" w:color="auto"/>
        <w:right w:val="none" w:sz="0" w:space="0" w:color="auto"/>
      </w:divBdr>
    </w:div>
    <w:div w:id="881937446">
      <w:bodyDiv w:val="1"/>
      <w:marLeft w:val="0"/>
      <w:marRight w:val="0"/>
      <w:marTop w:val="0"/>
      <w:marBottom w:val="0"/>
      <w:divBdr>
        <w:top w:val="none" w:sz="0" w:space="0" w:color="auto"/>
        <w:left w:val="none" w:sz="0" w:space="0" w:color="auto"/>
        <w:bottom w:val="none" w:sz="0" w:space="0" w:color="auto"/>
        <w:right w:val="none" w:sz="0" w:space="0" w:color="auto"/>
      </w:divBdr>
    </w:div>
    <w:div w:id="882837604">
      <w:bodyDiv w:val="1"/>
      <w:marLeft w:val="0"/>
      <w:marRight w:val="0"/>
      <w:marTop w:val="0"/>
      <w:marBottom w:val="0"/>
      <w:divBdr>
        <w:top w:val="none" w:sz="0" w:space="0" w:color="auto"/>
        <w:left w:val="none" w:sz="0" w:space="0" w:color="auto"/>
        <w:bottom w:val="none" w:sz="0" w:space="0" w:color="auto"/>
        <w:right w:val="none" w:sz="0" w:space="0" w:color="auto"/>
      </w:divBdr>
    </w:div>
    <w:div w:id="885988714">
      <w:bodyDiv w:val="1"/>
      <w:marLeft w:val="0"/>
      <w:marRight w:val="0"/>
      <w:marTop w:val="0"/>
      <w:marBottom w:val="0"/>
      <w:divBdr>
        <w:top w:val="none" w:sz="0" w:space="0" w:color="auto"/>
        <w:left w:val="none" w:sz="0" w:space="0" w:color="auto"/>
        <w:bottom w:val="none" w:sz="0" w:space="0" w:color="auto"/>
        <w:right w:val="none" w:sz="0" w:space="0" w:color="auto"/>
      </w:divBdr>
    </w:div>
    <w:div w:id="886575404">
      <w:bodyDiv w:val="1"/>
      <w:marLeft w:val="0"/>
      <w:marRight w:val="0"/>
      <w:marTop w:val="0"/>
      <w:marBottom w:val="0"/>
      <w:divBdr>
        <w:top w:val="none" w:sz="0" w:space="0" w:color="auto"/>
        <w:left w:val="none" w:sz="0" w:space="0" w:color="auto"/>
        <w:bottom w:val="none" w:sz="0" w:space="0" w:color="auto"/>
        <w:right w:val="none" w:sz="0" w:space="0" w:color="auto"/>
      </w:divBdr>
    </w:div>
    <w:div w:id="886648780">
      <w:bodyDiv w:val="1"/>
      <w:marLeft w:val="0"/>
      <w:marRight w:val="0"/>
      <w:marTop w:val="0"/>
      <w:marBottom w:val="0"/>
      <w:divBdr>
        <w:top w:val="none" w:sz="0" w:space="0" w:color="auto"/>
        <w:left w:val="none" w:sz="0" w:space="0" w:color="auto"/>
        <w:bottom w:val="none" w:sz="0" w:space="0" w:color="auto"/>
        <w:right w:val="none" w:sz="0" w:space="0" w:color="auto"/>
      </w:divBdr>
    </w:div>
    <w:div w:id="887375642">
      <w:bodyDiv w:val="1"/>
      <w:marLeft w:val="0"/>
      <w:marRight w:val="0"/>
      <w:marTop w:val="0"/>
      <w:marBottom w:val="0"/>
      <w:divBdr>
        <w:top w:val="none" w:sz="0" w:space="0" w:color="auto"/>
        <w:left w:val="none" w:sz="0" w:space="0" w:color="auto"/>
        <w:bottom w:val="none" w:sz="0" w:space="0" w:color="auto"/>
        <w:right w:val="none" w:sz="0" w:space="0" w:color="auto"/>
      </w:divBdr>
    </w:div>
    <w:div w:id="890338758">
      <w:bodyDiv w:val="1"/>
      <w:marLeft w:val="0"/>
      <w:marRight w:val="0"/>
      <w:marTop w:val="0"/>
      <w:marBottom w:val="0"/>
      <w:divBdr>
        <w:top w:val="none" w:sz="0" w:space="0" w:color="auto"/>
        <w:left w:val="none" w:sz="0" w:space="0" w:color="auto"/>
        <w:bottom w:val="none" w:sz="0" w:space="0" w:color="auto"/>
        <w:right w:val="none" w:sz="0" w:space="0" w:color="auto"/>
      </w:divBdr>
    </w:div>
    <w:div w:id="890651290">
      <w:bodyDiv w:val="1"/>
      <w:marLeft w:val="0"/>
      <w:marRight w:val="0"/>
      <w:marTop w:val="0"/>
      <w:marBottom w:val="0"/>
      <w:divBdr>
        <w:top w:val="none" w:sz="0" w:space="0" w:color="auto"/>
        <w:left w:val="none" w:sz="0" w:space="0" w:color="auto"/>
        <w:bottom w:val="none" w:sz="0" w:space="0" w:color="auto"/>
        <w:right w:val="none" w:sz="0" w:space="0" w:color="auto"/>
      </w:divBdr>
    </w:div>
    <w:div w:id="901597513">
      <w:bodyDiv w:val="1"/>
      <w:marLeft w:val="0"/>
      <w:marRight w:val="0"/>
      <w:marTop w:val="0"/>
      <w:marBottom w:val="0"/>
      <w:divBdr>
        <w:top w:val="none" w:sz="0" w:space="0" w:color="auto"/>
        <w:left w:val="none" w:sz="0" w:space="0" w:color="auto"/>
        <w:bottom w:val="none" w:sz="0" w:space="0" w:color="auto"/>
        <w:right w:val="none" w:sz="0" w:space="0" w:color="auto"/>
      </w:divBdr>
    </w:div>
    <w:div w:id="901988480">
      <w:bodyDiv w:val="1"/>
      <w:marLeft w:val="0"/>
      <w:marRight w:val="0"/>
      <w:marTop w:val="0"/>
      <w:marBottom w:val="0"/>
      <w:divBdr>
        <w:top w:val="none" w:sz="0" w:space="0" w:color="auto"/>
        <w:left w:val="none" w:sz="0" w:space="0" w:color="auto"/>
        <w:bottom w:val="none" w:sz="0" w:space="0" w:color="auto"/>
        <w:right w:val="none" w:sz="0" w:space="0" w:color="auto"/>
      </w:divBdr>
    </w:div>
    <w:div w:id="905333379">
      <w:bodyDiv w:val="1"/>
      <w:marLeft w:val="0"/>
      <w:marRight w:val="0"/>
      <w:marTop w:val="0"/>
      <w:marBottom w:val="0"/>
      <w:divBdr>
        <w:top w:val="none" w:sz="0" w:space="0" w:color="auto"/>
        <w:left w:val="none" w:sz="0" w:space="0" w:color="auto"/>
        <w:bottom w:val="none" w:sz="0" w:space="0" w:color="auto"/>
        <w:right w:val="none" w:sz="0" w:space="0" w:color="auto"/>
      </w:divBdr>
    </w:div>
    <w:div w:id="926813653">
      <w:bodyDiv w:val="1"/>
      <w:marLeft w:val="0"/>
      <w:marRight w:val="0"/>
      <w:marTop w:val="0"/>
      <w:marBottom w:val="0"/>
      <w:divBdr>
        <w:top w:val="none" w:sz="0" w:space="0" w:color="auto"/>
        <w:left w:val="none" w:sz="0" w:space="0" w:color="auto"/>
        <w:bottom w:val="none" w:sz="0" w:space="0" w:color="auto"/>
        <w:right w:val="none" w:sz="0" w:space="0" w:color="auto"/>
      </w:divBdr>
    </w:div>
    <w:div w:id="929310904">
      <w:bodyDiv w:val="1"/>
      <w:marLeft w:val="0"/>
      <w:marRight w:val="0"/>
      <w:marTop w:val="0"/>
      <w:marBottom w:val="0"/>
      <w:divBdr>
        <w:top w:val="none" w:sz="0" w:space="0" w:color="auto"/>
        <w:left w:val="none" w:sz="0" w:space="0" w:color="auto"/>
        <w:bottom w:val="none" w:sz="0" w:space="0" w:color="auto"/>
        <w:right w:val="none" w:sz="0" w:space="0" w:color="auto"/>
      </w:divBdr>
    </w:div>
    <w:div w:id="934291221">
      <w:bodyDiv w:val="1"/>
      <w:marLeft w:val="0"/>
      <w:marRight w:val="0"/>
      <w:marTop w:val="0"/>
      <w:marBottom w:val="0"/>
      <w:divBdr>
        <w:top w:val="none" w:sz="0" w:space="0" w:color="auto"/>
        <w:left w:val="none" w:sz="0" w:space="0" w:color="auto"/>
        <w:bottom w:val="none" w:sz="0" w:space="0" w:color="auto"/>
        <w:right w:val="none" w:sz="0" w:space="0" w:color="auto"/>
      </w:divBdr>
    </w:div>
    <w:div w:id="946541957">
      <w:bodyDiv w:val="1"/>
      <w:marLeft w:val="0"/>
      <w:marRight w:val="0"/>
      <w:marTop w:val="0"/>
      <w:marBottom w:val="0"/>
      <w:divBdr>
        <w:top w:val="none" w:sz="0" w:space="0" w:color="auto"/>
        <w:left w:val="none" w:sz="0" w:space="0" w:color="auto"/>
        <w:bottom w:val="none" w:sz="0" w:space="0" w:color="auto"/>
        <w:right w:val="none" w:sz="0" w:space="0" w:color="auto"/>
      </w:divBdr>
    </w:div>
    <w:div w:id="949237597">
      <w:bodyDiv w:val="1"/>
      <w:marLeft w:val="0"/>
      <w:marRight w:val="0"/>
      <w:marTop w:val="0"/>
      <w:marBottom w:val="0"/>
      <w:divBdr>
        <w:top w:val="none" w:sz="0" w:space="0" w:color="auto"/>
        <w:left w:val="none" w:sz="0" w:space="0" w:color="auto"/>
        <w:bottom w:val="none" w:sz="0" w:space="0" w:color="auto"/>
        <w:right w:val="none" w:sz="0" w:space="0" w:color="auto"/>
      </w:divBdr>
    </w:div>
    <w:div w:id="950238884">
      <w:bodyDiv w:val="1"/>
      <w:marLeft w:val="0"/>
      <w:marRight w:val="0"/>
      <w:marTop w:val="0"/>
      <w:marBottom w:val="0"/>
      <w:divBdr>
        <w:top w:val="none" w:sz="0" w:space="0" w:color="auto"/>
        <w:left w:val="none" w:sz="0" w:space="0" w:color="auto"/>
        <w:bottom w:val="none" w:sz="0" w:space="0" w:color="auto"/>
        <w:right w:val="none" w:sz="0" w:space="0" w:color="auto"/>
      </w:divBdr>
    </w:div>
    <w:div w:id="950623040">
      <w:bodyDiv w:val="1"/>
      <w:marLeft w:val="0"/>
      <w:marRight w:val="0"/>
      <w:marTop w:val="0"/>
      <w:marBottom w:val="0"/>
      <w:divBdr>
        <w:top w:val="none" w:sz="0" w:space="0" w:color="auto"/>
        <w:left w:val="none" w:sz="0" w:space="0" w:color="auto"/>
        <w:bottom w:val="none" w:sz="0" w:space="0" w:color="auto"/>
        <w:right w:val="none" w:sz="0" w:space="0" w:color="auto"/>
      </w:divBdr>
      <w:divsChild>
        <w:div w:id="451215668">
          <w:marLeft w:val="0"/>
          <w:marRight w:val="0"/>
          <w:marTop w:val="0"/>
          <w:marBottom w:val="0"/>
          <w:divBdr>
            <w:top w:val="none" w:sz="0" w:space="0" w:color="auto"/>
            <w:left w:val="none" w:sz="0" w:space="0" w:color="auto"/>
            <w:bottom w:val="none" w:sz="0" w:space="0" w:color="auto"/>
            <w:right w:val="none" w:sz="0" w:space="0" w:color="auto"/>
          </w:divBdr>
          <w:divsChild>
            <w:div w:id="2078354025">
              <w:marLeft w:val="0"/>
              <w:marRight w:val="0"/>
              <w:marTop w:val="0"/>
              <w:marBottom w:val="0"/>
              <w:divBdr>
                <w:top w:val="none" w:sz="0" w:space="0" w:color="auto"/>
                <w:left w:val="none" w:sz="0" w:space="0" w:color="auto"/>
                <w:bottom w:val="none" w:sz="0" w:space="0" w:color="auto"/>
                <w:right w:val="none" w:sz="0" w:space="0" w:color="auto"/>
              </w:divBdr>
              <w:divsChild>
                <w:div w:id="167450605">
                  <w:marLeft w:val="0"/>
                  <w:marRight w:val="0"/>
                  <w:marTop w:val="0"/>
                  <w:marBottom w:val="0"/>
                  <w:divBdr>
                    <w:top w:val="none" w:sz="0" w:space="0" w:color="auto"/>
                    <w:left w:val="none" w:sz="0" w:space="0" w:color="auto"/>
                    <w:bottom w:val="none" w:sz="0" w:space="0" w:color="auto"/>
                    <w:right w:val="none" w:sz="0" w:space="0" w:color="auto"/>
                  </w:divBdr>
                  <w:divsChild>
                    <w:div w:id="961225954">
                      <w:marLeft w:val="0"/>
                      <w:marRight w:val="0"/>
                      <w:marTop w:val="0"/>
                      <w:marBottom w:val="0"/>
                      <w:divBdr>
                        <w:top w:val="none" w:sz="0" w:space="0" w:color="auto"/>
                        <w:left w:val="none" w:sz="0" w:space="0" w:color="auto"/>
                        <w:bottom w:val="none" w:sz="0" w:space="0" w:color="auto"/>
                        <w:right w:val="none" w:sz="0" w:space="0" w:color="auto"/>
                      </w:divBdr>
                      <w:divsChild>
                        <w:div w:id="410352143">
                          <w:marLeft w:val="0"/>
                          <w:marRight w:val="0"/>
                          <w:marTop w:val="0"/>
                          <w:marBottom w:val="165"/>
                          <w:divBdr>
                            <w:top w:val="none" w:sz="0" w:space="0" w:color="auto"/>
                            <w:left w:val="none" w:sz="0" w:space="0" w:color="auto"/>
                            <w:bottom w:val="none" w:sz="0" w:space="0" w:color="auto"/>
                            <w:right w:val="none" w:sz="0" w:space="0" w:color="auto"/>
                          </w:divBdr>
                          <w:divsChild>
                            <w:div w:id="1056589963">
                              <w:marLeft w:val="0"/>
                              <w:marRight w:val="0"/>
                              <w:marTop w:val="0"/>
                              <w:marBottom w:val="0"/>
                              <w:divBdr>
                                <w:top w:val="none" w:sz="0" w:space="0" w:color="auto"/>
                                <w:left w:val="none" w:sz="0" w:space="0" w:color="auto"/>
                                <w:bottom w:val="none" w:sz="0" w:space="0" w:color="auto"/>
                                <w:right w:val="none" w:sz="0" w:space="0" w:color="auto"/>
                              </w:divBdr>
                              <w:divsChild>
                                <w:div w:id="182755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65812611">
      <w:bodyDiv w:val="1"/>
      <w:marLeft w:val="0"/>
      <w:marRight w:val="0"/>
      <w:marTop w:val="0"/>
      <w:marBottom w:val="0"/>
      <w:divBdr>
        <w:top w:val="none" w:sz="0" w:space="0" w:color="auto"/>
        <w:left w:val="none" w:sz="0" w:space="0" w:color="auto"/>
        <w:bottom w:val="none" w:sz="0" w:space="0" w:color="auto"/>
        <w:right w:val="none" w:sz="0" w:space="0" w:color="auto"/>
      </w:divBdr>
    </w:div>
    <w:div w:id="971594258">
      <w:bodyDiv w:val="1"/>
      <w:marLeft w:val="0"/>
      <w:marRight w:val="0"/>
      <w:marTop w:val="0"/>
      <w:marBottom w:val="0"/>
      <w:divBdr>
        <w:top w:val="none" w:sz="0" w:space="0" w:color="auto"/>
        <w:left w:val="none" w:sz="0" w:space="0" w:color="auto"/>
        <w:bottom w:val="none" w:sz="0" w:space="0" w:color="auto"/>
        <w:right w:val="none" w:sz="0" w:space="0" w:color="auto"/>
      </w:divBdr>
    </w:div>
    <w:div w:id="971716543">
      <w:bodyDiv w:val="1"/>
      <w:marLeft w:val="0"/>
      <w:marRight w:val="0"/>
      <w:marTop w:val="0"/>
      <w:marBottom w:val="0"/>
      <w:divBdr>
        <w:top w:val="none" w:sz="0" w:space="0" w:color="auto"/>
        <w:left w:val="none" w:sz="0" w:space="0" w:color="auto"/>
        <w:bottom w:val="none" w:sz="0" w:space="0" w:color="auto"/>
        <w:right w:val="none" w:sz="0" w:space="0" w:color="auto"/>
      </w:divBdr>
    </w:div>
    <w:div w:id="973025716">
      <w:bodyDiv w:val="1"/>
      <w:marLeft w:val="0"/>
      <w:marRight w:val="0"/>
      <w:marTop w:val="0"/>
      <w:marBottom w:val="0"/>
      <w:divBdr>
        <w:top w:val="none" w:sz="0" w:space="0" w:color="auto"/>
        <w:left w:val="none" w:sz="0" w:space="0" w:color="auto"/>
        <w:bottom w:val="none" w:sz="0" w:space="0" w:color="auto"/>
        <w:right w:val="none" w:sz="0" w:space="0" w:color="auto"/>
      </w:divBdr>
    </w:div>
    <w:div w:id="978261955">
      <w:bodyDiv w:val="1"/>
      <w:marLeft w:val="0"/>
      <w:marRight w:val="0"/>
      <w:marTop w:val="0"/>
      <w:marBottom w:val="0"/>
      <w:divBdr>
        <w:top w:val="none" w:sz="0" w:space="0" w:color="auto"/>
        <w:left w:val="none" w:sz="0" w:space="0" w:color="auto"/>
        <w:bottom w:val="none" w:sz="0" w:space="0" w:color="auto"/>
        <w:right w:val="none" w:sz="0" w:space="0" w:color="auto"/>
      </w:divBdr>
    </w:div>
    <w:div w:id="980769094">
      <w:bodyDiv w:val="1"/>
      <w:marLeft w:val="0"/>
      <w:marRight w:val="0"/>
      <w:marTop w:val="0"/>
      <w:marBottom w:val="0"/>
      <w:divBdr>
        <w:top w:val="none" w:sz="0" w:space="0" w:color="auto"/>
        <w:left w:val="none" w:sz="0" w:space="0" w:color="auto"/>
        <w:bottom w:val="none" w:sz="0" w:space="0" w:color="auto"/>
        <w:right w:val="none" w:sz="0" w:space="0" w:color="auto"/>
      </w:divBdr>
    </w:div>
    <w:div w:id="983005185">
      <w:bodyDiv w:val="1"/>
      <w:marLeft w:val="0"/>
      <w:marRight w:val="0"/>
      <w:marTop w:val="0"/>
      <w:marBottom w:val="0"/>
      <w:divBdr>
        <w:top w:val="none" w:sz="0" w:space="0" w:color="auto"/>
        <w:left w:val="none" w:sz="0" w:space="0" w:color="auto"/>
        <w:bottom w:val="none" w:sz="0" w:space="0" w:color="auto"/>
        <w:right w:val="none" w:sz="0" w:space="0" w:color="auto"/>
      </w:divBdr>
    </w:div>
    <w:div w:id="984505268">
      <w:bodyDiv w:val="1"/>
      <w:marLeft w:val="0"/>
      <w:marRight w:val="0"/>
      <w:marTop w:val="0"/>
      <w:marBottom w:val="0"/>
      <w:divBdr>
        <w:top w:val="none" w:sz="0" w:space="0" w:color="auto"/>
        <w:left w:val="none" w:sz="0" w:space="0" w:color="auto"/>
        <w:bottom w:val="none" w:sz="0" w:space="0" w:color="auto"/>
        <w:right w:val="none" w:sz="0" w:space="0" w:color="auto"/>
      </w:divBdr>
    </w:div>
    <w:div w:id="986399918">
      <w:bodyDiv w:val="1"/>
      <w:marLeft w:val="0"/>
      <w:marRight w:val="0"/>
      <w:marTop w:val="0"/>
      <w:marBottom w:val="0"/>
      <w:divBdr>
        <w:top w:val="none" w:sz="0" w:space="0" w:color="auto"/>
        <w:left w:val="none" w:sz="0" w:space="0" w:color="auto"/>
        <w:bottom w:val="none" w:sz="0" w:space="0" w:color="auto"/>
        <w:right w:val="none" w:sz="0" w:space="0" w:color="auto"/>
      </w:divBdr>
    </w:div>
    <w:div w:id="987634626">
      <w:bodyDiv w:val="1"/>
      <w:marLeft w:val="0"/>
      <w:marRight w:val="0"/>
      <w:marTop w:val="0"/>
      <w:marBottom w:val="0"/>
      <w:divBdr>
        <w:top w:val="none" w:sz="0" w:space="0" w:color="auto"/>
        <w:left w:val="none" w:sz="0" w:space="0" w:color="auto"/>
        <w:bottom w:val="none" w:sz="0" w:space="0" w:color="auto"/>
        <w:right w:val="none" w:sz="0" w:space="0" w:color="auto"/>
      </w:divBdr>
    </w:div>
    <w:div w:id="988481579">
      <w:bodyDiv w:val="1"/>
      <w:marLeft w:val="0"/>
      <w:marRight w:val="0"/>
      <w:marTop w:val="0"/>
      <w:marBottom w:val="0"/>
      <w:divBdr>
        <w:top w:val="none" w:sz="0" w:space="0" w:color="auto"/>
        <w:left w:val="none" w:sz="0" w:space="0" w:color="auto"/>
        <w:bottom w:val="none" w:sz="0" w:space="0" w:color="auto"/>
        <w:right w:val="none" w:sz="0" w:space="0" w:color="auto"/>
      </w:divBdr>
      <w:divsChild>
        <w:div w:id="295912781">
          <w:marLeft w:val="0"/>
          <w:marRight w:val="0"/>
          <w:marTop w:val="0"/>
          <w:marBottom w:val="0"/>
          <w:divBdr>
            <w:top w:val="none" w:sz="0" w:space="0" w:color="auto"/>
            <w:left w:val="none" w:sz="0" w:space="0" w:color="auto"/>
            <w:bottom w:val="none" w:sz="0" w:space="0" w:color="auto"/>
            <w:right w:val="none" w:sz="0" w:space="0" w:color="auto"/>
          </w:divBdr>
        </w:div>
      </w:divsChild>
    </w:div>
    <w:div w:id="990988786">
      <w:bodyDiv w:val="1"/>
      <w:marLeft w:val="0"/>
      <w:marRight w:val="0"/>
      <w:marTop w:val="0"/>
      <w:marBottom w:val="0"/>
      <w:divBdr>
        <w:top w:val="none" w:sz="0" w:space="0" w:color="auto"/>
        <w:left w:val="none" w:sz="0" w:space="0" w:color="auto"/>
        <w:bottom w:val="none" w:sz="0" w:space="0" w:color="auto"/>
        <w:right w:val="none" w:sz="0" w:space="0" w:color="auto"/>
      </w:divBdr>
    </w:div>
    <w:div w:id="992106999">
      <w:bodyDiv w:val="1"/>
      <w:marLeft w:val="0"/>
      <w:marRight w:val="0"/>
      <w:marTop w:val="0"/>
      <w:marBottom w:val="0"/>
      <w:divBdr>
        <w:top w:val="none" w:sz="0" w:space="0" w:color="auto"/>
        <w:left w:val="none" w:sz="0" w:space="0" w:color="auto"/>
        <w:bottom w:val="none" w:sz="0" w:space="0" w:color="auto"/>
        <w:right w:val="none" w:sz="0" w:space="0" w:color="auto"/>
      </w:divBdr>
    </w:div>
    <w:div w:id="993684618">
      <w:bodyDiv w:val="1"/>
      <w:marLeft w:val="0"/>
      <w:marRight w:val="0"/>
      <w:marTop w:val="0"/>
      <w:marBottom w:val="0"/>
      <w:divBdr>
        <w:top w:val="none" w:sz="0" w:space="0" w:color="auto"/>
        <w:left w:val="none" w:sz="0" w:space="0" w:color="auto"/>
        <w:bottom w:val="none" w:sz="0" w:space="0" w:color="auto"/>
        <w:right w:val="none" w:sz="0" w:space="0" w:color="auto"/>
      </w:divBdr>
    </w:div>
    <w:div w:id="1003238122">
      <w:bodyDiv w:val="1"/>
      <w:marLeft w:val="0"/>
      <w:marRight w:val="0"/>
      <w:marTop w:val="0"/>
      <w:marBottom w:val="0"/>
      <w:divBdr>
        <w:top w:val="none" w:sz="0" w:space="0" w:color="auto"/>
        <w:left w:val="none" w:sz="0" w:space="0" w:color="auto"/>
        <w:bottom w:val="none" w:sz="0" w:space="0" w:color="auto"/>
        <w:right w:val="none" w:sz="0" w:space="0" w:color="auto"/>
      </w:divBdr>
    </w:div>
    <w:div w:id="1007831428">
      <w:bodyDiv w:val="1"/>
      <w:marLeft w:val="0"/>
      <w:marRight w:val="0"/>
      <w:marTop w:val="0"/>
      <w:marBottom w:val="0"/>
      <w:divBdr>
        <w:top w:val="none" w:sz="0" w:space="0" w:color="auto"/>
        <w:left w:val="none" w:sz="0" w:space="0" w:color="auto"/>
        <w:bottom w:val="none" w:sz="0" w:space="0" w:color="auto"/>
        <w:right w:val="none" w:sz="0" w:space="0" w:color="auto"/>
      </w:divBdr>
    </w:div>
    <w:div w:id="1014260041">
      <w:bodyDiv w:val="1"/>
      <w:marLeft w:val="0"/>
      <w:marRight w:val="0"/>
      <w:marTop w:val="0"/>
      <w:marBottom w:val="0"/>
      <w:divBdr>
        <w:top w:val="none" w:sz="0" w:space="0" w:color="auto"/>
        <w:left w:val="none" w:sz="0" w:space="0" w:color="auto"/>
        <w:bottom w:val="none" w:sz="0" w:space="0" w:color="auto"/>
        <w:right w:val="none" w:sz="0" w:space="0" w:color="auto"/>
      </w:divBdr>
    </w:div>
    <w:div w:id="1020548922">
      <w:bodyDiv w:val="1"/>
      <w:marLeft w:val="0"/>
      <w:marRight w:val="0"/>
      <w:marTop w:val="0"/>
      <w:marBottom w:val="0"/>
      <w:divBdr>
        <w:top w:val="none" w:sz="0" w:space="0" w:color="auto"/>
        <w:left w:val="none" w:sz="0" w:space="0" w:color="auto"/>
        <w:bottom w:val="none" w:sz="0" w:space="0" w:color="auto"/>
        <w:right w:val="none" w:sz="0" w:space="0" w:color="auto"/>
      </w:divBdr>
    </w:div>
    <w:div w:id="1021660645">
      <w:bodyDiv w:val="1"/>
      <w:marLeft w:val="0"/>
      <w:marRight w:val="0"/>
      <w:marTop w:val="0"/>
      <w:marBottom w:val="0"/>
      <w:divBdr>
        <w:top w:val="none" w:sz="0" w:space="0" w:color="auto"/>
        <w:left w:val="none" w:sz="0" w:space="0" w:color="auto"/>
        <w:bottom w:val="none" w:sz="0" w:space="0" w:color="auto"/>
        <w:right w:val="none" w:sz="0" w:space="0" w:color="auto"/>
      </w:divBdr>
    </w:div>
    <w:div w:id="1021736715">
      <w:bodyDiv w:val="1"/>
      <w:marLeft w:val="0"/>
      <w:marRight w:val="0"/>
      <w:marTop w:val="0"/>
      <w:marBottom w:val="0"/>
      <w:divBdr>
        <w:top w:val="none" w:sz="0" w:space="0" w:color="auto"/>
        <w:left w:val="none" w:sz="0" w:space="0" w:color="auto"/>
        <w:bottom w:val="none" w:sz="0" w:space="0" w:color="auto"/>
        <w:right w:val="none" w:sz="0" w:space="0" w:color="auto"/>
      </w:divBdr>
    </w:div>
    <w:div w:id="1026558931">
      <w:bodyDiv w:val="1"/>
      <w:marLeft w:val="0"/>
      <w:marRight w:val="0"/>
      <w:marTop w:val="0"/>
      <w:marBottom w:val="0"/>
      <w:divBdr>
        <w:top w:val="none" w:sz="0" w:space="0" w:color="auto"/>
        <w:left w:val="none" w:sz="0" w:space="0" w:color="auto"/>
        <w:bottom w:val="none" w:sz="0" w:space="0" w:color="auto"/>
        <w:right w:val="none" w:sz="0" w:space="0" w:color="auto"/>
      </w:divBdr>
    </w:div>
    <w:div w:id="1032922609">
      <w:bodyDiv w:val="1"/>
      <w:marLeft w:val="0"/>
      <w:marRight w:val="0"/>
      <w:marTop w:val="0"/>
      <w:marBottom w:val="0"/>
      <w:divBdr>
        <w:top w:val="none" w:sz="0" w:space="0" w:color="auto"/>
        <w:left w:val="none" w:sz="0" w:space="0" w:color="auto"/>
        <w:bottom w:val="none" w:sz="0" w:space="0" w:color="auto"/>
        <w:right w:val="none" w:sz="0" w:space="0" w:color="auto"/>
      </w:divBdr>
    </w:div>
    <w:div w:id="1037045758">
      <w:bodyDiv w:val="1"/>
      <w:marLeft w:val="0"/>
      <w:marRight w:val="0"/>
      <w:marTop w:val="0"/>
      <w:marBottom w:val="0"/>
      <w:divBdr>
        <w:top w:val="none" w:sz="0" w:space="0" w:color="auto"/>
        <w:left w:val="none" w:sz="0" w:space="0" w:color="auto"/>
        <w:bottom w:val="none" w:sz="0" w:space="0" w:color="auto"/>
        <w:right w:val="none" w:sz="0" w:space="0" w:color="auto"/>
      </w:divBdr>
    </w:div>
    <w:div w:id="1039938818">
      <w:bodyDiv w:val="1"/>
      <w:marLeft w:val="0"/>
      <w:marRight w:val="0"/>
      <w:marTop w:val="0"/>
      <w:marBottom w:val="0"/>
      <w:divBdr>
        <w:top w:val="none" w:sz="0" w:space="0" w:color="auto"/>
        <w:left w:val="none" w:sz="0" w:space="0" w:color="auto"/>
        <w:bottom w:val="none" w:sz="0" w:space="0" w:color="auto"/>
        <w:right w:val="none" w:sz="0" w:space="0" w:color="auto"/>
      </w:divBdr>
    </w:div>
    <w:div w:id="1044059702">
      <w:bodyDiv w:val="1"/>
      <w:marLeft w:val="0"/>
      <w:marRight w:val="0"/>
      <w:marTop w:val="0"/>
      <w:marBottom w:val="0"/>
      <w:divBdr>
        <w:top w:val="none" w:sz="0" w:space="0" w:color="auto"/>
        <w:left w:val="none" w:sz="0" w:space="0" w:color="auto"/>
        <w:bottom w:val="none" w:sz="0" w:space="0" w:color="auto"/>
        <w:right w:val="none" w:sz="0" w:space="0" w:color="auto"/>
      </w:divBdr>
    </w:div>
    <w:div w:id="1046490509">
      <w:bodyDiv w:val="1"/>
      <w:marLeft w:val="0"/>
      <w:marRight w:val="0"/>
      <w:marTop w:val="0"/>
      <w:marBottom w:val="0"/>
      <w:divBdr>
        <w:top w:val="none" w:sz="0" w:space="0" w:color="auto"/>
        <w:left w:val="none" w:sz="0" w:space="0" w:color="auto"/>
        <w:bottom w:val="none" w:sz="0" w:space="0" w:color="auto"/>
        <w:right w:val="none" w:sz="0" w:space="0" w:color="auto"/>
      </w:divBdr>
    </w:div>
    <w:div w:id="1049961852">
      <w:bodyDiv w:val="1"/>
      <w:marLeft w:val="0"/>
      <w:marRight w:val="0"/>
      <w:marTop w:val="0"/>
      <w:marBottom w:val="0"/>
      <w:divBdr>
        <w:top w:val="none" w:sz="0" w:space="0" w:color="auto"/>
        <w:left w:val="none" w:sz="0" w:space="0" w:color="auto"/>
        <w:bottom w:val="none" w:sz="0" w:space="0" w:color="auto"/>
        <w:right w:val="none" w:sz="0" w:space="0" w:color="auto"/>
      </w:divBdr>
    </w:div>
    <w:div w:id="1052848410">
      <w:bodyDiv w:val="1"/>
      <w:marLeft w:val="0"/>
      <w:marRight w:val="0"/>
      <w:marTop w:val="0"/>
      <w:marBottom w:val="0"/>
      <w:divBdr>
        <w:top w:val="none" w:sz="0" w:space="0" w:color="auto"/>
        <w:left w:val="none" w:sz="0" w:space="0" w:color="auto"/>
        <w:bottom w:val="none" w:sz="0" w:space="0" w:color="auto"/>
        <w:right w:val="none" w:sz="0" w:space="0" w:color="auto"/>
      </w:divBdr>
    </w:div>
    <w:div w:id="1054310097">
      <w:bodyDiv w:val="1"/>
      <w:marLeft w:val="0"/>
      <w:marRight w:val="0"/>
      <w:marTop w:val="0"/>
      <w:marBottom w:val="0"/>
      <w:divBdr>
        <w:top w:val="none" w:sz="0" w:space="0" w:color="auto"/>
        <w:left w:val="none" w:sz="0" w:space="0" w:color="auto"/>
        <w:bottom w:val="none" w:sz="0" w:space="0" w:color="auto"/>
        <w:right w:val="none" w:sz="0" w:space="0" w:color="auto"/>
      </w:divBdr>
    </w:div>
    <w:div w:id="1054887096">
      <w:bodyDiv w:val="1"/>
      <w:marLeft w:val="0"/>
      <w:marRight w:val="0"/>
      <w:marTop w:val="0"/>
      <w:marBottom w:val="0"/>
      <w:divBdr>
        <w:top w:val="none" w:sz="0" w:space="0" w:color="auto"/>
        <w:left w:val="none" w:sz="0" w:space="0" w:color="auto"/>
        <w:bottom w:val="none" w:sz="0" w:space="0" w:color="auto"/>
        <w:right w:val="none" w:sz="0" w:space="0" w:color="auto"/>
      </w:divBdr>
    </w:div>
    <w:div w:id="1058823067">
      <w:bodyDiv w:val="1"/>
      <w:marLeft w:val="0"/>
      <w:marRight w:val="0"/>
      <w:marTop w:val="0"/>
      <w:marBottom w:val="0"/>
      <w:divBdr>
        <w:top w:val="none" w:sz="0" w:space="0" w:color="auto"/>
        <w:left w:val="none" w:sz="0" w:space="0" w:color="auto"/>
        <w:bottom w:val="none" w:sz="0" w:space="0" w:color="auto"/>
        <w:right w:val="none" w:sz="0" w:space="0" w:color="auto"/>
      </w:divBdr>
    </w:div>
    <w:div w:id="1062098143">
      <w:bodyDiv w:val="1"/>
      <w:marLeft w:val="0"/>
      <w:marRight w:val="0"/>
      <w:marTop w:val="0"/>
      <w:marBottom w:val="0"/>
      <w:divBdr>
        <w:top w:val="none" w:sz="0" w:space="0" w:color="auto"/>
        <w:left w:val="none" w:sz="0" w:space="0" w:color="auto"/>
        <w:bottom w:val="none" w:sz="0" w:space="0" w:color="auto"/>
        <w:right w:val="none" w:sz="0" w:space="0" w:color="auto"/>
      </w:divBdr>
    </w:div>
    <w:div w:id="1062144246">
      <w:bodyDiv w:val="1"/>
      <w:marLeft w:val="0"/>
      <w:marRight w:val="0"/>
      <w:marTop w:val="0"/>
      <w:marBottom w:val="0"/>
      <w:divBdr>
        <w:top w:val="none" w:sz="0" w:space="0" w:color="auto"/>
        <w:left w:val="none" w:sz="0" w:space="0" w:color="auto"/>
        <w:bottom w:val="none" w:sz="0" w:space="0" w:color="auto"/>
        <w:right w:val="none" w:sz="0" w:space="0" w:color="auto"/>
      </w:divBdr>
    </w:div>
    <w:div w:id="1063681394">
      <w:bodyDiv w:val="1"/>
      <w:marLeft w:val="0"/>
      <w:marRight w:val="0"/>
      <w:marTop w:val="0"/>
      <w:marBottom w:val="0"/>
      <w:divBdr>
        <w:top w:val="none" w:sz="0" w:space="0" w:color="auto"/>
        <w:left w:val="none" w:sz="0" w:space="0" w:color="auto"/>
        <w:bottom w:val="none" w:sz="0" w:space="0" w:color="auto"/>
        <w:right w:val="none" w:sz="0" w:space="0" w:color="auto"/>
      </w:divBdr>
      <w:divsChild>
        <w:div w:id="451753896">
          <w:marLeft w:val="0"/>
          <w:marRight w:val="0"/>
          <w:marTop w:val="0"/>
          <w:marBottom w:val="0"/>
          <w:divBdr>
            <w:top w:val="none" w:sz="0" w:space="0" w:color="auto"/>
            <w:left w:val="none" w:sz="0" w:space="0" w:color="auto"/>
            <w:bottom w:val="none" w:sz="0" w:space="0" w:color="auto"/>
            <w:right w:val="none" w:sz="0" w:space="0" w:color="auto"/>
          </w:divBdr>
          <w:divsChild>
            <w:div w:id="177961906">
              <w:marLeft w:val="0"/>
              <w:marRight w:val="0"/>
              <w:marTop w:val="0"/>
              <w:marBottom w:val="0"/>
              <w:divBdr>
                <w:top w:val="none" w:sz="0" w:space="0" w:color="auto"/>
                <w:left w:val="none" w:sz="0" w:space="0" w:color="auto"/>
                <w:bottom w:val="none" w:sz="0" w:space="0" w:color="auto"/>
                <w:right w:val="none" w:sz="0" w:space="0" w:color="auto"/>
              </w:divBdr>
              <w:divsChild>
                <w:div w:id="1648171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5224555">
      <w:bodyDiv w:val="1"/>
      <w:marLeft w:val="0"/>
      <w:marRight w:val="0"/>
      <w:marTop w:val="0"/>
      <w:marBottom w:val="0"/>
      <w:divBdr>
        <w:top w:val="none" w:sz="0" w:space="0" w:color="auto"/>
        <w:left w:val="none" w:sz="0" w:space="0" w:color="auto"/>
        <w:bottom w:val="none" w:sz="0" w:space="0" w:color="auto"/>
        <w:right w:val="none" w:sz="0" w:space="0" w:color="auto"/>
      </w:divBdr>
    </w:div>
    <w:div w:id="1066533850">
      <w:bodyDiv w:val="1"/>
      <w:marLeft w:val="0"/>
      <w:marRight w:val="0"/>
      <w:marTop w:val="0"/>
      <w:marBottom w:val="0"/>
      <w:divBdr>
        <w:top w:val="none" w:sz="0" w:space="0" w:color="auto"/>
        <w:left w:val="none" w:sz="0" w:space="0" w:color="auto"/>
        <w:bottom w:val="none" w:sz="0" w:space="0" w:color="auto"/>
        <w:right w:val="none" w:sz="0" w:space="0" w:color="auto"/>
      </w:divBdr>
    </w:div>
    <w:div w:id="1068066762">
      <w:bodyDiv w:val="1"/>
      <w:marLeft w:val="0"/>
      <w:marRight w:val="0"/>
      <w:marTop w:val="0"/>
      <w:marBottom w:val="0"/>
      <w:divBdr>
        <w:top w:val="none" w:sz="0" w:space="0" w:color="auto"/>
        <w:left w:val="none" w:sz="0" w:space="0" w:color="auto"/>
        <w:bottom w:val="none" w:sz="0" w:space="0" w:color="auto"/>
        <w:right w:val="none" w:sz="0" w:space="0" w:color="auto"/>
      </w:divBdr>
    </w:div>
    <w:div w:id="1070234708">
      <w:bodyDiv w:val="1"/>
      <w:marLeft w:val="0"/>
      <w:marRight w:val="0"/>
      <w:marTop w:val="0"/>
      <w:marBottom w:val="0"/>
      <w:divBdr>
        <w:top w:val="none" w:sz="0" w:space="0" w:color="auto"/>
        <w:left w:val="none" w:sz="0" w:space="0" w:color="auto"/>
        <w:bottom w:val="none" w:sz="0" w:space="0" w:color="auto"/>
        <w:right w:val="none" w:sz="0" w:space="0" w:color="auto"/>
      </w:divBdr>
    </w:div>
    <w:div w:id="1070730925">
      <w:bodyDiv w:val="1"/>
      <w:marLeft w:val="0"/>
      <w:marRight w:val="0"/>
      <w:marTop w:val="0"/>
      <w:marBottom w:val="0"/>
      <w:divBdr>
        <w:top w:val="none" w:sz="0" w:space="0" w:color="auto"/>
        <w:left w:val="none" w:sz="0" w:space="0" w:color="auto"/>
        <w:bottom w:val="none" w:sz="0" w:space="0" w:color="auto"/>
        <w:right w:val="none" w:sz="0" w:space="0" w:color="auto"/>
      </w:divBdr>
    </w:div>
    <w:div w:id="1072240945">
      <w:bodyDiv w:val="1"/>
      <w:marLeft w:val="0"/>
      <w:marRight w:val="0"/>
      <w:marTop w:val="0"/>
      <w:marBottom w:val="0"/>
      <w:divBdr>
        <w:top w:val="none" w:sz="0" w:space="0" w:color="auto"/>
        <w:left w:val="none" w:sz="0" w:space="0" w:color="auto"/>
        <w:bottom w:val="none" w:sz="0" w:space="0" w:color="auto"/>
        <w:right w:val="none" w:sz="0" w:space="0" w:color="auto"/>
      </w:divBdr>
    </w:div>
    <w:div w:id="1076434497">
      <w:bodyDiv w:val="1"/>
      <w:marLeft w:val="0"/>
      <w:marRight w:val="0"/>
      <w:marTop w:val="0"/>
      <w:marBottom w:val="0"/>
      <w:divBdr>
        <w:top w:val="none" w:sz="0" w:space="0" w:color="auto"/>
        <w:left w:val="none" w:sz="0" w:space="0" w:color="auto"/>
        <w:bottom w:val="none" w:sz="0" w:space="0" w:color="auto"/>
        <w:right w:val="none" w:sz="0" w:space="0" w:color="auto"/>
      </w:divBdr>
    </w:div>
    <w:div w:id="1079056687">
      <w:bodyDiv w:val="1"/>
      <w:marLeft w:val="0"/>
      <w:marRight w:val="0"/>
      <w:marTop w:val="0"/>
      <w:marBottom w:val="0"/>
      <w:divBdr>
        <w:top w:val="none" w:sz="0" w:space="0" w:color="auto"/>
        <w:left w:val="none" w:sz="0" w:space="0" w:color="auto"/>
        <w:bottom w:val="none" w:sz="0" w:space="0" w:color="auto"/>
        <w:right w:val="none" w:sz="0" w:space="0" w:color="auto"/>
      </w:divBdr>
      <w:divsChild>
        <w:div w:id="723942964">
          <w:marLeft w:val="0"/>
          <w:marRight w:val="0"/>
          <w:marTop w:val="0"/>
          <w:marBottom w:val="0"/>
          <w:divBdr>
            <w:top w:val="none" w:sz="0" w:space="0" w:color="auto"/>
            <w:left w:val="none" w:sz="0" w:space="0" w:color="auto"/>
            <w:bottom w:val="none" w:sz="0" w:space="0" w:color="auto"/>
            <w:right w:val="none" w:sz="0" w:space="0" w:color="auto"/>
          </w:divBdr>
          <w:divsChild>
            <w:div w:id="344748481">
              <w:marLeft w:val="0"/>
              <w:marRight w:val="0"/>
              <w:marTop w:val="0"/>
              <w:marBottom w:val="0"/>
              <w:divBdr>
                <w:top w:val="none" w:sz="0" w:space="0" w:color="auto"/>
                <w:left w:val="none" w:sz="0" w:space="0" w:color="auto"/>
                <w:bottom w:val="none" w:sz="0" w:space="0" w:color="auto"/>
                <w:right w:val="none" w:sz="0" w:space="0" w:color="auto"/>
              </w:divBdr>
              <w:divsChild>
                <w:div w:id="1787383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9519720">
      <w:bodyDiv w:val="1"/>
      <w:marLeft w:val="0"/>
      <w:marRight w:val="0"/>
      <w:marTop w:val="0"/>
      <w:marBottom w:val="0"/>
      <w:divBdr>
        <w:top w:val="none" w:sz="0" w:space="0" w:color="auto"/>
        <w:left w:val="none" w:sz="0" w:space="0" w:color="auto"/>
        <w:bottom w:val="none" w:sz="0" w:space="0" w:color="auto"/>
        <w:right w:val="none" w:sz="0" w:space="0" w:color="auto"/>
      </w:divBdr>
    </w:div>
    <w:div w:id="1079793021">
      <w:bodyDiv w:val="1"/>
      <w:marLeft w:val="0"/>
      <w:marRight w:val="0"/>
      <w:marTop w:val="0"/>
      <w:marBottom w:val="0"/>
      <w:divBdr>
        <w:top w:val="none" w:sz="0" w:space="0" w:color="auto"/>
        <w:left w:val="none" w:sz="0" w:space="0" w:color="auto"/>
        <w:bottom w:val="none" w:sz="0" w:space="0" w:color="auto"/>
        <w:right w:val="none" w:sz="0" w:space="0" w:color="auto"/>
      </w:divBdr>
    </w:div>
    <w:div w:id="1083719107">
      <w:bodyDiv w:val="1"/>
      <w:marLeft w:val="0"/>
      <w:marRight w:val="0"/>
      <w:marTop w:val="0"/>
      <w:marBottom w:val="0"/>
      <w:divBdr>
        <w:top w:val="none" w:sz="0" w:space="0" w:color="auto"/>
        <w:left w:val="none" w:sz="0" w:space="0" w:color="auto"/>
        <w:bottom w:val="none" w:sz="0" w:space="0" w:color="auto"/>
        <w:right w:val="none" w:sz="0" w:space="0" w:color="auto"/>
      </w:divBdr>
      <w:divsChild>
        <w:div w:id="1395205518">
          <w:marLeft w:val="0"/>
          <w:marRight w:val="0"/>
          <w:marTop w:val="0"/>
          <w:marBottom w:val="0"/>
          <w:divBdr>
            <w:top w:val="none" w:sz="0" w:space="0" w:color="auto"/>
            <w:left w:val="none" w:sz="0" w:space="0" w:color="auto"/>
            <w:bottom w:val="none" w:sz="0" w:space="0" w:color="auto"/>
            <w:right w:val="none" w:sz="0" w:space="0" w:color="auto"/>
          </w:divBdr>
          <w:divsChild>
            <w:div w:id="896821481">
              <w:marLeft w:val="0"/>
              <w:marRight w:val="0"/>
              <w:marTop w:val="0"/>
              <w:marBottom w:val="0"/>
              <w:divBdr>
                <w:top w:val="none" w:sz="0" w:space="0" w:color="auto"/>
                <w:left w:val="none" w:sz="0" w:space="0" w:color="auto"/>
                <w:bottom w:val="none" w:sz="0" w:space="0" w:color="auto"/>
                <w:right w:val="none" w:sz="0" w:space="0" w:color="auto"/>
              </w:divBdr>
              <w:divsChild>
                <w:div w:id="1035614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031403">
      <w:bodyDiv w:val="1"/>
      <w:marLeft w:val="0"/>
      <w:marRight w:val="0"/>
      <w:marTop w:val="0"/>
      <w:marBottom w:val="0"/>
      <w:divBdr>
        <w:top w:val="none" w:sz="0" w:space="0" w:color="auto"/>
        <w:left w:val="none" w:sz="0" w:space="0" w:color="auto"/>
        <w:bottom w:val="none" w:sz="0" w:space="0" w:color="auto"/>
        <w:right w:val="none" w:sz="0" w:space="0" w:color="auto"/>
      </w:divBdr>
    </w:div>
    <w:div w:id="1086464582">
      <w:bodyDiv w:val="1"/>
      <w:marLeft w:val="0"/>
      <w:marRight w:val="0"/>
      <w:marTop w:val="0"/>
      <w:marBottom w:val="0"/>
      <w:divBdr>
        <w:top w:val="none" w:sz="0" w:space="0" w:color="auto"/>
        <w:left w:val="none" w:sz="0" w:space="0" w:color="auto"/>
        <w:bottom w:val="none" w:sz="0" w:space="0" w:color="auto"/>
        <w:right w:val="none" w:sz="0" w:space="0" w:color="auto"/>
      </w:divBdr>
    </w:div>
    <w:div w:id="1088038253">
      <w:bodyDiv w:val="1"/>
      <w:marLeft w:val="0"/>
      <w:marRight w:val="0"/>
      <w:marTop w:val="0"/>
      <w:marBottom w:val="0"/>
      <w:divBdr>
        <w:top w:val="none" w:sz="0" w:space="0" w:color="auto"/>
        <w:left w:val="none" w:sz="0" w:space="0" w:color="auto"/>
        <w:bottom w:val="none" w:sz="0" w:space="0" w:color="auto"/>
        <w:right w:val="none" w:sz="0" w:space="0" w:color="auto"/>
      </w:divBdr>
    </w:div>
    <w:div w:id="1088775657">
      <w:bodyDiv w:val="1"/>
      <w:marLeft w:val="0"/>
      <w:marRight w:val="0"/>
      <w:marTop w:val="0"/>
      <w:marBottom w:val="0"/>
      <w:divBdr>
        <w:top w:val="none" w:sz="0" w:space="0" w:color="auto"/>
        <w:left w:val="none" w:sz="0" w:space="0" w:color="auto"/>
        <w:bottom w:val="none" w:sz="0" w:space="0" w:color="auto"/>
        <w:right w:val="none" w:sz="0" w:space="0" w:color="auto"/>
      </w:divBdr>
    </w:div>
    <w:div w:id="1088964216">
      <w:bodyDiv w:val="1"/>
      <w:marLeft w:val="0"/>
      <w:marRight w:val="0"/>
      <w:marTop w:val="0"/>
      <w:marBottom w:val="0"/>
      <w:divBdr>
        <w:top w:val="none" w:sz="0" w:space="0" w:color="auto"/>
        <w:left w:val="none" w:sz="0" w:space="0" w:color="auto"/>
        <w:bottom w:val="none" w:sz="0" w:space="0" w:color="auto"/>
        <w:right w:val="none" w:sz="0" w:space="0" w:color="auto"/>
      </w:divBdr>
    </w:div>
    <w:div w:id="1093403157">
      <w:bodyDiv w:val="1"/>
      <w:marLeft w:val="0"/>
      <w:marRight w:val="0"/>
      <w:marTop w:val="0"/>
      <w:marBottom w:val="0"/>
      <w:divBdr>
        <w:top w:val="none" w:sz="0" w:space="0" w:color="auto"/>
        <w:left w:val="none" w:sz="0" w:space="0" w:color="auto"/>
        <w:bottom w:val="none" w:sz="0" w:space="0" w:color="auto"/>
        <w:right w:val="none" w:sz="0" w:space="0" w:color="auto"/>
      </w:divBdr>
    </w:div>
    <w:div w:id="1096442354">
      <w:bodyDiv w:val="1"/>
      <w:marLeft w:val="0"/>
      <w:marRight w:val="0"/>
      <w:marTop w:val="0"/>
      <w:marBottom w:val="0"/>
      <w:divBdr>
        <w:top w:val="none" w:sz="0" w:space="0" w:color="auto"/>
        <w:left w:val="none" w:sz="0" w:space="0" w:color="auto"/>
        <w:bottom w:val="none" w:sz="0" w:space="0" w:color="auto"/>
        <w:right w:val="none" w:sz="0" w:space="0" w:color="auto"/>
      </w:divBdr>
    </w:div>
    <w:div w:id="1098328471">
      <w:bodyDiv w:val="1"/>
      <w:marLeft w:val="0"/>
      <w:marRight w:val="0"/>
      <w:marTop w:val="0"/>
      <w:marBottom w:val="0"/>
      <w:divBdr>
        <w:top w:val="none" w:sz="0" w:space="0" w:color="auto"/>
        <w:left w:val="none" w:sz="0" w:space="0" w:color="auto"/>
        <w:bottom w:val="none" w:sz="0" w:space="0" w:color="auto"/>
        <w:right w:val="none" w:sz="0" w:space="0" w:color="auto"/>
      </w:divBdr>
    </w:div>
    <w:div w:id="1098453237">
      <w:bodyDiv w:val="1"/>
      <w:marLeft w:val="0"/>
      <w:marRight w:val="0"/>
      <w:marTop w:val="0"/>
      <w:marBottom w:val="0"/>
      <w:divBdr>
        <w:top w:val="none" w:sz="0" w:space="0" w:color="auto"/>
        <w:left w:val="none" w:sz="0" w:space="0" w:color="auto"/>
        <w:bottom w:val="none" w:sz="0" w:space="0" w:color="auto"/>
        <w:right w:val="none" w:sz="0" w:space="0" w:color="auto"/>
      </w:divBdr>
    </w:div>
    <w:div w:id="1099135620">
      <w:bodyDiv w:val="1"/>
      <w:marLeft w:val="0"/>
      <w:marRight w:val="0"/>
      <w:marTop w:val="0"/>
      <w:marBottom w:val="0"/>
      <w:divBdr>
        <w:top w:val="none" w:sz="0" w:space="0" w:color="auto"/>
        <w:left w:val="none" w:sz="0" w:space="0" w:color="auto"/>
        <w:bottom w:val="none" w:sz="0" w:space="0" w:color="auto"/>
        <w:right w:val="none" w:sz="0" w:space="0" w:color="auto"/>
      </w:divBdr>
    </w:div>
    <w:div w:id="1099565223">
      <w:bodyDiv w:val="1"/>
      <w:marLeft w:val="0"/>
      <w:marRight w:val="0"/>
      <w:marTop w:val="0"/>
      <w:marBottom w:val="0"/>
      <w:divBdr>
        <w:top w:val="none" w:sz="0" w:space="0" w:color="auto"/>
        <w:left w:val="none" w:sz="0" w:space="0" w:color="auto"/>
        <w:bottom w:val="none" w:sz="0" w:space="0" w:color="auto"/>
        <w:right w:val="none" w:sz="0" w:space="0" w:color="auto"/>
      </w:divBdr>
    </w:div>
    <w:div w:id="1100367621">
      <w:bodyDiv w:val="1"/>
      <w:marLeft w:val="0"/>
      <w:marRight w:val="0"/>
      <w:marTop w:val="0"/>
      <w:marBottom w:val="0"/>
      <w:divBdr>
        <w:top w:val="none" w:sz="0" w:space="0" w:color="auto"/>
        <w:left w:val="none" w:sz="0" w:space="0" w:color="auto"/>
        <w:bottom w:val="none" w:sz="0" w:space="0" w:color="auto"/>
        <w:right w:val="none" w:sz="0" w:space="0" w:color="auto"/>
      </w:divBdr>
    </w:div>
    <w:div w:id="1101872643">
      <w:bodyDiv w:val="1"/>
      <w:marLeft w:val="0"/>
      <w:marRight w:val="0"/>
      <w:marTop w:val="0"/>
      <w:marBottom w:val="0"/>
      <w:divBdr>
        <w:top w:val="none" w:sz="0" w:space="0" w:color="auto"/>
        <w:left w:val="none" w:sz="0" w:space="0" w:color="auto"/>
        <w:bottom w:val="none" w:sz="0" w:space="0" w:color="auto"/>
        <w:right w:val="none" w:sz="0" w:space="0" w:color="auto"/>
      </w:divBdr>
    </w:div>
    <w:div w:id="1101875276">
      <w:bodyDiv w:val="1"/>
      <w:marLeft w:val="0"/>
      <w:marRight w:val="0"/>
      <w:marTop w:val="0"/>
      <w:marBottom w:val="0"/>
      <w:divBdr>
        <w:top w:val="none" w:sz="0" w:space="0" w:color="auto"/>
        <w:left w:val="none" w:sz="0" w:space="0" w:color="auto"/>
        <w:bottom w:val="none" w:sz="0" w:space="0" w:color="auto"/>
        <w:right w:val="none" w:sz="0" w:space="0" w:color="auto"/>
      </w:divBdr>
    </w:div>
    <w:div w:id="1103527282">
      <w:bodyDiv w:val="1"/>
      <w:marLeft w:val="0"/>
      <w:marRight w:val="0"/>
      <w:marTop w:val="0"/>
      <w:marBottom w:val="0"/>
      <w:divBdr>
        <w:top w:val="none" w:sz="0" w:space="0" w:color="auto"/>
        <w:left w:val="none" w:sz="0" w:space="0" w:color="auto"/>
        <w:bottom w:val="none" w:sz="0" w:space="0" w:color="auto"/>
        <w:right w:val="none" w:sz="0" w:space="0" w:color="auto"/>
      </w:divBdr>
    </w:div>
    <w:div w:id="1108160883">
      <w:bodyDiv w:val="1"/>
      <w:marLeft w:val="0"/>
      <w:marRight w:val="0"/>
      <w:marTop w:val="0"/>
      <w:marBottom w:val="0"/>
      <w:divBdr>
        <w:top w:val="none" w:sz="0" w:space="0" w:color="auto"/>
        <w:left w:val="none" w:sz="0" w:space="0" w:color="auto"/>
        <w:bottom w:val="none" w:sz="0" w:space="0" w:color="auto"/>
        <w:right w:val="none" w:sz="0" w:space="0" w:color="auto"/>
      </w:divBdr>
    </w:div>
    <w:div w:id="1112630768">
      <w:bodyDiv w:val="1"/>
      <w:marLeft w:val="0"/>
      <w:marRight w:val="0"/>
      <w:marTop w:val="0"/>
      <w:marBottom w:val="0"/>
      <w:divBdr>
        <w:top w:val="none" w:sz="0" w:space="0" w:color="auto"/>
        <w:left w:val="none" w:sz="0" w:space="0" w:color="auto"/>
        <w:bottom w:val="none" w:sz="0" w:space="0" w:color="auto"/>
        <w:right w:val="none" w:sz="0" w:space="0" w:color="auto"/>
      </w:divBdr>
    </w:div>
    <w:div w:id="1115254229">
      <w:bodyDiv w:val="1"/>
      <w:marLeft w:val="0"/>
      <w:marRight w:val="0"/>
      <w:marTop w:val="0"/>
      <w:marBottom w:val="0"/>
      <w:divBdr>
        <w:top w:val="none" w:sz="0" w:space="0" w:color="auto"/>
        <w:left w:val="none" w:sz="0" w:space="0" w:color="auto"/>
        <w:bottom w:val="none" w:sz="0" w:space="0" w:color="auto"/>
        <w:right w:val="none" w:sz="0" w:space="0" w:color="auto"/>
      </w:divBdr>
    </w:div>
    <w:div w:id="1117027510">
      <w:bodyDiv w:val="1"/>
      <w:marLeft w:val="0"/>
      <w:marRight w:val="0"/>
      <w:marTop w:val="0"/>
      <w:marBottom w:val="0"/>
      <w:divBdr>
        <w:top w:val="none" w:sz="0" w:space="0" w:color="auto"/>
        <w:left w:val="none" w:sz="0" w:space="0" w:color="auto"/>
        <w:bottom w:val="none" w:sz="0" w:space="0" w:color="auto"/>
        <w:right w:val="none" w:sz="0" w:space="0" w:color="auto"/>
      </w:divBdr>
    </w:div>
    <w:div w:id="1120874631">
      <w:bodyDiv w:val="1"/>
      <w:marLeft w:val="0"/>
      <w:marRight w:val="0"/>
      <w:marTop w:val="0"/>
      <w:marBottom w:val="0"/>
      <w:divBdr>
        <w:top w:val="none" w:sz="0" w:space="0" w:color="auto"/>
        <w:left w:val="none" w:sz="0" w:space="0" w:color="auto"/>
        <w:bottom w:val="none" w:sz="0" w:space="0" w:color="auto"/>
        <w:right w:val="none" w:sz="0" w:space="0" w:color="auto"/>
      </w:divBdr>
    </w:div>
    <w:div w:id="1125149743">
      <w:bodyDiv w:val="1"/>
      <w:marLeft w:val="0"/>
      <w:marRight w:val="0"/>
      <w:marTop w:val="0"/>
      <w:marBottom w:val="0"/>
      <w:divBdr>
        <w:top w:val="none" w:sz="0" w:space="0" w:color="auto"/>
        <w:left w:val="none" w:sz="0" w:space="0" w:color="auto"/>
        <w:bottom w:val="none" w:sz="0" w:space="0" w:color="auto"/>
        <w:right w:val="none" w:sz="0" w:space="0" w:color="auto"/>
      </w:divBdr>
    </w:div>
    <w:div w:id="1125391020">
      <w:bodyDiv w:val="1"/>
      <w:marLeft w:val="0"/>
      <w:marRight w:val="0"/>
      <w:marTop w:val="0"/>
      <w:marBottom w:val="0"/>
      <w:divBdr>
        <w:top w:val="none" w:sz="0" w:space="0" w:color="auto"/>
        <w:left w:val="none" w:sz="0" w:space="0" w:color="auto"/>
        <w:bottom w:val="none" w:sz="0" w:space="0" w:color="auto"/>
        <w:right w:val="none" w:sz="0" w:space="0" w:color="auto"/>
      </w:divBdr>
    </w:div>
    <w:div w:id="1129324439">
      <w:bodyDiv w:val="1"/>
      <w:marLeft w:val="0"/>
      <w:marRight w:val="0"/>
      <w:marTop w:val="0"/>
      <w:marBottom w:val="0"/>
      <w:divBdr>
        <w:top w:val="none" w:sz="0" w:space="0" w:color="auto"/>
        <w:left w:val="none" w:sz="0" w:space="0" w:color="auto"/>
        <w:bottom w:val="none" w:sz="0" w:space="0" w:color="auto"/>
        <w:right w:val="none" w:sz="0" w:space="0" w:color="auto"/>
      </w:divBdr>
    </w:div>
    <w:div w:id="1133988918">
      <w:bodyDiv w:val="1"/>
      <w:marLeft w:val="0"/>
      <w:marRight w:val="0"/>
      <w:marTop w:val="0"/>
      <w:marBottom w:val="0"/>
      <w:divBdr>
        <w:top w:val="none" w:sz="0" w:space="0" w:color="auto"/>
        <w:left w:val="none" w:sz="0" w:space="0" w:color="auto"/>
        <w:bottom w:val="none" w:sz="0" w:space="0" w:color="auto"/>
        <w:right w:val="none" w:sz="0" w:space="0" w:color="auto"/>
      </w:divBdr>
    </w:div>
    <w:div w:id="1134910199">
      <w:bodyDiv w:val="1"/>
      <w:marLeft w:val="0"/>
      <w:marRight w:val="0"/>
      <w:marTop w:val="0"/>
      <w:marBottom w:val="0"/>
      <w:divBdr>
        <w:top w:val="none" w:sz="0" w:space="0" w:color="auto"/>
        <w:left w:val="none" w:sz="0" w:space="0" w:color="auto"/>
        <w:bottom w:val="none" w:sz="0" w:space="0" w:color="auto"/>
        <w:right w:val="none" w:sz="0" w:space="0" w:color="auto"/>
      </w:divBdr>
    </w:div>
    <w:div w:id="1138717513">
      <w:bodyDiv w:val="1"/>
      <w:marLeft w:val="0"/>
      <w:marRight w:val="0"/>
      <w:marTop w:val="0"/>
      <w:marBottom w:val="0"/>
      <w:divBdr>
        <w:top w:val="none" w:sz="0" w:space="0" w:color="auto"/>
        <w:left w:val="none" w:sz="0" w:space="0" w:color="auto"/>
        <w:bottom w:val="none" w:sz="0" w:space="0" w:color="auto"/>
        <w:right w:val="none" w:sz="0" w:space="0" w:color="auto"/>
      </w:divBdr>
    </w:div>
    <w:div w:id="1139148117">
      <w:bodyDiv w:val="1"/>
      <w:marLeft w:val="0"/>
      <w:marRight w:val="0"/>
      <w:marTop w:val="0"/>
      <w:marBottom w:val="0"/>
      <w:divBdr>
        <w:top w:val="none" w:sz="0" w:space="0" w:color="auto"/>
        <w:left w:val="none" w:sz="0" w:space="0" w:color="auto"/>
        <w:bottom w:val="none" w:sz="0" w:space="0" w:color="auto"/>
        <w:right w:val="none" w:sz="0" w:space="0" w:color="auto"/>
      </w:divBdr>
      <w:divsChild>
        <w:div w:id="527912726">
          <w:marLeft w:val="0"/>
          <w:marRight w:val="0"/>
          <w:marTop w:val="0"/>
          <w:marBottom w:val="0"/>
          <w:divBdr>
            <w:top w:val="none" w:sz="0" w:space="0" w:color="auto"/>
            <w:left w:val="none" w:sz="0" w:space="0" w:color="auto"/>
            <w:bottom w:val="none" w:sz="0" w:space="0" w:color="auto"/>
            <w:right w:val="none" w:sz="0" w:space="0" w:color="auto"/>
          </w:divBdr>
          <w:divsChild>
            <w:div w:id="1762679608">
              <w:marLeft w:val="0"/>
              <w:marRight w:val="0"/>
              <w:marTop w:val="0"/>
              <w:marBottom w:val="0"/>
              <w:divBdr>
                <w:top w:val="none" w:sz="0" w:space="0" w:color="auto"/>
                <w:left w:val="none" w:sz="0" w:space="0" w:color="auto"/>
                <w:bottom w:val="none" w:sz="0" w:space="0" w:color="auto"/>
                <w:right w:val="none" w:sz="0" w:space="0" w:color="auto"/>
              </w:divBdr>
              <w:divsChild>
                <w:div w:id="1044985319">
                  <w:marLeft w:val="0"/>
                  <w:marRight w:val="0"/>
                  <w:marTop w:val="0"/>
                  <w:marBottom w:val="0"/>
                  <w:divBdr>
                    <w:top w:val="single" w:sz="6" w:space="6" w:color="E5E5E5"/>
                    <w:left w:val="single" w:sz="6" w:space="6" w:color="E5E5E5"/>
                    <w:bottom w:val="single" w:sz="6" w:space="6" w:color="E5E5E5"/>
                    <w:right w:val="single" w:sz="6" w:space="6" w:color="E5E5E5"/>
                  </w:divBdr>
                </w:div>
              </w:divsChild>
            </w:div>
          </w:divsChild>
        </w:div>
      </w:divsChild>
    </w:div>
    <w:div w:id="1140805974">
      <w:bodyDiv w:val="1"/>
      <w:marLeft w:val="0"/>
      <w:marRight w:val="0"/>
      <w:marTop w:val="0"/>
      <w:marBottom w:val="0"/>
      <w:divBdr>
        <w:top w:val="none" w:sz="0" w:space="0" w:color="auto"/>
        <w:left w:val="none" w:sz="0" w:space="0" w:color="auto"/>
        <w:bottom w:val="none" w:sz="0" w:space="0" w:color="auto"/>
        <w:right w:val="none" w:sz="0" w:space="0" w:color="auto"/>
      </w:divBdr>
    </w:div>
    <w:div w:id="1141920796">
      <w:bodyDiv w:val="1"/>
      <w:marLeft w:val="0"/>
      <w:marRight w:val="0"/>
      <w:marTop w:val="0"/>
      <w:marBottom w:val="0"/>
      <w:divBdr>
        <w:top w:val="none" w:sz="0" w:space="0" w:color="auto"/>
        <w:left w:val="none" w:sz="0" w:space="0" w:color="auto"/>
        <w:bottom w:val="none" w:sz="0" w:space="0" w:color="auto"/>
        <w:right w:val="none" w:sz="0" w:space="0" w:color="auto"/>
      </w:divBdr>
    </w:div>
    <w:div w:id="1153327282">
      <w:bodyDiv w:val="1"/>
      <w:marLeft w:val="0"/>
      <w:marRight w:val="0"/>
      <w:marTop w:val="0"/>
      <w:marBottom w:val="0"/>
      <w:divBdr>
        <w:top w:val="none" w:sz="0" w:space="0" w:color="auto"/>
        <w:left w:val="none" w:sz="0" w:space="0" w:color="auto"/>
        <w:bottom w:val="none" w:sz="0" w:space="0" w:color="auto"/>
        <w:right w:val="none" w:sz="0" w:space="0" w:color="auto"/>
      </w:divBdr>
    </w:div>
    <w:div w:id="1157457568">
      <w:bodyDiv w:val="1"/>
      <w:marLeft w:val="0"/>
      <w:marRight w:val="0"/>
      <w:marTop w:val="0"/>
      <w:marBottom w:val="0"/>
      <w:divBdr>
        <w:top w:val="none" w:sz="0" w:space="0" w:color="auto"/>
        <w:left w:val="none" w:sz="0" w:space="0" w:color="auto"/>
        <w:bottom w:val="none" w:sz="0" w:space="0" w:color="auto"/>
        <w:right w:val="none" w:sz="0" w:space="0" w:color="auto"/>
      </w:divBdr>
    </w:div>
    <w:div w:id="1160852424">
      <w:bodyDiv w:val="1"/>
      <w:marLeft w:val="0"/>
      <w:marRight w:val="0"/>
      <w:marTop w:val="0"/>
      <w:marBottom w:val="0"/>
      <w:divBdr>
        <w:top w:val="none" w:sz="0" w:space="0" w:color="auto"/>
        <w:left w:val="none" w:sz="0" w:space="0" w:color="auto"/>
        <w:bottom w:val="none" w:sz="0" w:space="0" w:color="auto"/>
        <w:right w:val="none" w:sz="0" w:space="0" w:color="auto"/>
      </w:divBdr>
    </w:div>
    <w:div w:id="1165586803">
      <w:bodyDiv w:val="1"/>
      <w:marLeft w:val="0"/>
      <w:marRight w:val="0"/>
      <w:marTop w:val="0"/>
      <w:marBottom w:val="0"/>
      <w:divBdr>
        <w:top w:val="none" w:sz="0" w:space="0" w:color="auto"/>
        <w:left w:val="none" w:sz="0" w:space="0" w:color="auto"/>
        <w:bottom w:val="none" w:sz="0" w:space="0" w:color="auto"/>
        <w:right w:val="none" w:sz="0" w:space="0" w:color="auto"/>
      </w:divBdr>
    </w:div>
    <w:div w:id="1169831565">
      <w:bodyDiv w:val="1"/>
      <w:marLeft w:val="0"/>
      <w:marRight w:val="0"/>
      <w:marTop w:val="0"/>
      <w:marBottom w:val="0"/>
      <w:divBdr>
        <w:top w:val="none" w:sz="0" w:space="0" w:color="auto"/>
        <w:left w:val="none" w:sz="0" w:space="0" w:color="auto"/>
        <w:bottom w:val="none" w:sz="0" w:space="0" w:color="auto"/>
        <w:right w:val="none" w:sz="0" w:space="0" w:color="auto"/>
      </w:divBdr>
    </w:div>
    <w:div w:id="1171063628">
      <w:bodyDiv w:val="1"/>
      <w:marLeft w:val="0"/>
      <w:marRight w:val="0"/>
      <w:marTop w:val="0"/>
      <w:marBottom w:val="0"/>
      <w:divBdr>
        <w:top w:val="none" w:sz="0" w:space="0" w:color="auto"/>
        <w:left w:val="none" w:sz="0" w:space="0" w:color="auto"/>
        <w:bottom w:val="none" w:sz="0" w:space="0" w:color="auto"/>
        <w:right w:val="none" w:sz="0" w:space="0" w:color="auto"/>
      </w:divBdr>
    </w:div>
    <w:div w:id="1172911709">
      <w:bodyDiv w:val="1"/>
      <w:marLeft w:val="0"/>
      <w:marRight w:val="0"/>
      <w:marTop w:val="0"/>
      <w:marBottom w:val="0"/>
      <w:divBdr>
        <w:top w:val="none" w:sz="0" w:space="0" w:color="auto"/>
        <w:left w:val="none" w:sz="0" w:space="0" w:color="auto"/>
        <w:bottom w:val="none" w:sz="0" w:space="0" w:color="auto"/>
        <w:right w:val="none" w:sz="0" w:space="0" w:color="auto"/>
      </w:divBdr>
    </w:div>
    <w:div w:id="1173059849">
      <w:bodyDiv w:val="1"/>
      <w:marLeft w:val="0"/>
      <w:marRight w:val="0"/>
      <w:marTop w:val="0"/>
      <w:marBottom w:val="0"/>
      <w:divBdr>
        <w:top w:val="none" w:sz="0" w:space="0" w:color="auto"/>
        <w:left w:val="none" w:sz="0" w:space="0" w:color="auto"/>
        <w:bottom w:val="none" w:sz="0" w:space="0" w:color="auto"/>
        <w:right w:val="none" w:sz="0" w:space="0" w:color="auto"/>
      </w:divBdr>
    </w:div>
    <w:div w:id="1173908941">
      <w:bodyDiv w:val="1"/>
      <w:marLeft w:val="0"/>
      <w:marRight w:val="0"/>
      <w:marTop w:val="0"/>
      <w:marBottom w:val="0"/>
      <w:divBdr>
        <w:top w:val="none" w:sz="0" w:space="0" w:color="auto"/>
        <w:left w:val="none" w:sz="0" w:space="0" w:color="auto"/>
        <w:bottom w:val="none" w:sz="0" w:space="0" w:color="auto"/>
        <w:right w:val="none" w:sz="0" w:space="0" w:color="auto"/>
      </w:divBdr>
    </w:div>
    <w:div w:id="1178498841">
      <w:bodyDiv w:val="1"/>
      <w:marLeft w:val="0"/>
      <w:marRight w:val="0"/>
      <w:marTop w:val="0"/>
      <w:marBottom w:val="0"/>
      <w:divBdr>
        <w:top w:val="none" w:sz="0" w:space="0" w:color="auto"/>
        <w:left w:val="none" w:sz="0" w:space="0" w:color="auto"/>
        <w:bottom w:val="none" w:sz="0" w:space="0" w:color="auto"/>
        <w:right w:val="none" w:sz="0" w:space="0" w:color="auto"/>
      </w:divBdr>
    </w:div>
    <w:div w:id="1179736398">
      <w:bodyDiv w:val="1"/>
      <w:marLeft w:val="0"/>
      <w:marRight w:val="0"/>
      <w:marTop w:val="0"/>
      <w:marBottom w:val="0"/>
      <w:divBdr>
        <w:top w:val="none" w:sz="0" w:space="0" w:color="auto"/>
        <w:left w:val="none" w:sz="0" w:space="0" w:color="auto"/>
        <w:bottom w:val="none" w:sz="0" w:space="0" w:color="auto"/>
        <w:right w:val="none" w:sz="0" w:space="0" w:color="auto"/>
      </w:divBdr>
    </w:div>
    <w:div w:id="1185368623">
      <w:bodyDiv w:val="1"/>
      <w:marLeft w:val="0"/>
      <w:marRight w:val="0"/>
      <w:marTop w:val="0"/>
      <w:marBottom w:val="0"/>
      <w:divBdr>
        <w:top w:val="none" w:sz="0" w:space="0" w:color="auto"/>
        <w:left w:val="none" w:sz="0" w:space="0" w:color="auto"/>
        <w:bottom w:val="none" w:sz="0" w:space="0" w:color="auto"/>
        <w:right w:val="none" w:sz="0" w:space="0" w:color="auto"/>
      </w:divBdr>
    </w:div>
    <w:div w:id="1185709600">
      <w:bodyDiv w:val="1"/>
      <w:marLeft w:val="0"/>
      <w:marRight w:val="0"/>
      <w:marTop w:val="0"/>
      <w:marBottom w:val="0"/>
      <w:divBdr>
        <w:top w:val="none" w:sz="0" w:space="0" w:color="auto"/>
        <w:left w:val="none" w:sz="0" w:space="0" w:color="auto"/>
        <w:bottom w:val="none" w:sz="0" w:space="0" w:color="auto"/>
        <w:right w:val="none" w:sz="0" w:space="0" w:color="auto"/>
      </w:divBdr>
    </w:div>
    <w:div w:id="1194927029">
      <w:bodyDiv w:val="1"/>
      <w:marLeft w:val="0"/>
      <w:marRight w:val="0"/>
      <w:marTop w:val="0"/>
      <w:marBottom w:val="0"/>
      <w:divBdr>
        <w:top w:val="none" w:sz="0" w:space="0" w:color="auto"/>
        <w:left w:val="none" w:sz="0" w:space="0" w:color="auto"/>
        <w:bottom w:val="none" w:sz="0" w:space="0" w:color="auto"/>
        <w:right w:val="none" w:sz="0" w:space="0" w:color="auto"/>
      </w:divBdr>
    </w:div>
    <w:div w:id="1196695273">
      <w:bodyDiv w:val="1"/>
      <w:marLeft w:val="0"/>
      <w:marRight w:val="0"/>
      <w:marTop w:val="0"/>
      <w:marBottom w:val="0"/>
      <w:divBdr>
        <w:top w:val="none" w:sz="0" w:space="0" w:color="auto"/>
        <w:left w:val="none" w:sz="0" w:space="0" w:color="auto"/>
        <w:bottom w:val="none" w:sz="0" w:space="0" w:color="auto"/>
        <w:right w:val="none" w:sz="0" w:space="0" w:color="auto"/>
      </w:divBdr>
    </w:div>
    <w:div w:id="1197548395">
      <w:bodyDiv w:val="1"/>
      <w:marLeft w:val="0"/>
      <w:marRight w:val="0"/>
      <w:marTop w:val="0"/>
      <w:marBottom w:val="0"/>
      <w:divBdr>
        <w:top w:val="none" w:sz="0" w:space="0" w:color="auto"/>
        <w:left w:val="none" w:sz="0" w:space="0" w:color="auto"/>
        <w:bottom w:val="none" w:sz="0" w:space="0" w:color="auto"/>
        <w:right w:val="none" w:sz="0" w:space="0" w:color="auto"/>
      </w:divBdr>
    </w:div>
    <w:div w:id="1209533684">
      <w:bodyDiv w:val="1"/>
      <w:marLeft w:val="0"/>
      <w:marRight w:val="0"/>
      <w:marTop w:val="0"/>
      <w:marBottom w:val="0"/>
      <w:divBdr>
        <w:top w:val="none" w:sz="0" w:space="0" w:color="auto"/>
        <w:left w:val="none" w:sz="0" w:space="0" w:color="auto"/>
        <w:bottom w:val="none" w:sz="0" w:space="0" w:color="auto"/>
        <w:right w:val="none" w:sz="0" w:space="0" w:color="auto"/>
      </w:divBdr>
    </w:div>
    <w:div w:id="1209680023">
      <w:bodyDiv w:val="1"/>
      <w:marLeft w:val="0"/>
      <w:marRight w:val="0"/>
      <w:marTop w:val="0"/>
      <w:marBottom w:val="0"/>
      <w:divBdr>
        <w:top w:val="none" w:sz="0" w:space="0" w:color="auto"/>
        <w:left w:val="none" w:sz="0" w:space="0" w:color="auto"/>
        <w:bottom w:val="none" w:sz="0" w:space="0" w:color="auto"/>
        <w:right w:val="none" w:sz="0" w:space="0" w:color="auto"/>
      </w:divBdr>
    </w:div>
    <w:div w:id="1209729134">
      <w:bodyDiv w:val="1"/>
      <w:marLeft w:val="0"/>
      <w:marRight w:val="0"/>
      <w:marTop w:val="0"/>
      <w:marBottom w:val="0"/>
      <w:divBdr>
        <w:top w:val="none" w:sz="0" w:space="0" w:color="auto"/>
        <w:left w:val="none" w:sz="0" w:space="0" w:color="auto"/>
        <w:bottom w:val="none" w:sz="0" w:space="0" w:color="auto"/>
        <w:right w:val="none" w:sz="0" w:space="0" w:color="auto"/>
      </w:divBdr>
    </w:div>
    <w:div w:id="1211453928">
      <w:bodyDiv w:val="1"/>
      <w:marLeft w:val="0"/>
      <w:marRight w:val="0"/>
      <w:marTop w:val="0"/>
      <w:marBottom w:val="0"/>
      <w:divBdr>
        <w:top w:val="none" w:sz="0" w:space="0" w:color="auto"/>
        <w:left w:val="none" w:sz="0" w:space="0" w:color="auto"/>
        <w:bottom w:val="none" w:sz="0" w:space="0" w:color="auto"/>
        <w:right w:val="none" w:sz="0" w:space="0" w:color="auto"/>
      </w:divBdr>
    </w:div>
    <w:div w:id="1211697546">
      <w:bodyDiv w:val="1"/>
      <w:marLeft w:val="0"/>
      <w:marRight w:val="0"/>
      <w:marTop w:val="0"/>
      <w:marBottom w:val="0"/>
      <w:divBdr>
        <w:top w:val="none" w:sz="0" w:space="0" w:color="auto"/>
        <w:left w:val="none" w:sz="0" w:space="0" w:color="auto"/>
        <w:bottom w:val="none" w:sz="0" w:space="0" w:color="auto"/>
        <w:right w:val="none" w:sz="0" w:space="0" w:color="auto"/>
      </w:divBdr>
    </w:div>
    <w:div w:id="1213692451">
      <w:bodyDiv w:val="1"/>
      <w:marLeft w:val="0"/>
      <w:marRight w:val="0"/>
      <w:marTop w:val="0"/>
      <w:marBottom w:val="0"/>
      <w:divBdr>
        <w:top w:val="none" w:sz="0" w:space="0" w:color="auto"/>
        <w:left w:val="none" w:sz="0" w:space="0" w:color="auto"/>
        <w:bottom w:val="none" w:sz="0" w:space="0" w:color="auto"/>
        <w:right w:val="none" w:sz="0" w:space="0" w:color="auto"/>
      </w:divBdr>
      <w:divsChild>
        <w:div w:id="1581984646">
          <w:marLeft w:val="0"/>
          <w:marRight w:val="0"/>
          <w:marTop w:val="0"/>
          <w:marBottom w:val="0"/>
          <w:divBdr>
            <w:top w:val="none" w:sz="0" w:space="0" w:color="auto"/>
            <w:left w:val="none" w:sz="0" w:space="0" w:color="auto"/>
            <w:bottom w:val="none" w:sz="0" w:space="0" w:color="auto"/>
            <w:right w:val="none" w:sz="0" w:space="0" w:color="auto"/>
          </w:divBdr>
          <w:divsChild>
            <w:div w:id="781460882">
              <w:marLeft w:val="0"/>
              <w:marRight w:val="0"/>
              <w:marTop w:val="0"/>
              <w:marBottom w:val="0"/>
              <w:divBdr>
                <w:top w:val="none" w:sz="0" w:space="0" w:color="auto"/>
                <w:left w:val="none" w:sz="0" w:space="0" w:color="auto"/>
                <w:bottom w:val="none" w:sz="0" w:space="0" w:color="auto"/>
                <w:right w:val="none" w:sz="0" w:space="0" w:color="auto"/>
              </w:divBdr>
              <w:divsChild>
                <w:div w:id="1480001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705844">
          <w:marLeft w:val="360"/>
          <w:marRight w:val="0"/>
          <w:marTop w:val="0"/>
          <w:marBottom w:val="0"/>
          <w:divBdr>
            <w:top w:val="none" w:sz="0" w:space="0" w:color="auto"/>
            <w:left w:val="none" w:sz="0" w:space="0" w:color="auto"/>
            <w:bottom w:val="none" w:sz="0" w:space="0" w:color="auto"/>
            <w:right w:val="none" w:sz="0" w:space="0" w:color="auto"/>
          </w:divBdr>
          <w:divsChild>
            <w:div w:id="404567924">
              <w:marLeft w:val="0"/>
              <w:marRight w:val="0"/>
              <w:marTop w:val="0"/>
              <w:marBottom w:val="0"/>
              <w:divBdr>
                <w:top w:val="none" w:sz="0" w:space="0" w:color="auto"/>
                <w:left w:val="none" w:sz="0" w:space="0" w:color="auto"/>
                <w:bottom w:val="none" w:sz="0" w:space="0" w:color="auto"/>
                <w:right w:val="none" w:sz="0" w:space="0" w:color="auto"/>
              </w:divBdr>
              <w:divsChild>
                <w:div w:id="1175026794">
                  <w:marLeft w:val="0"/>
                  <w:marRight w:val="0"/>
                  <w:marTop w:val="0"/>
                  <w:marBottom w:val="0"/>
                  <w:divBdr>
                    <w:top w:val="none" w:sz="0" w:space="0" w:color="auto"/>
                    <w:left w:val="none" w:sz="0" w:space="0" w:color="auto"/>
                    <w:bottom w:val="none" w:sz="0" w:space="0" w:color="auto"/>
                    <w:right w:val="none" w:sz="0" w:space="0" w:color="auto"/>
                  </w:divBdr>
                </w:div>
              </w:divsChild>
            </w:div>
            <w:div w:id="967013162">
              <w:marLeft w:val="0"/>
              <w:marRight w:val="0"/>
              <w:marTop w:val="0"/>
              <w:marBottom w:val="0"/>
              <w:divBdr>
                <w:top w:val="none" w:sz="0" w:space="0" w:color="auto"/>
                <w:left w:val="none" w:sz="0" w:space="0" w:color="auto"/>
                <w:bottom w:val="none" w:sz="0" w:space="0" w:color="auto"/>
                <w:right w:val="none" w:sz="0" w:space="0" w:color="auto"/>
              </w:divBdr>
              <w:divsChild>
                <w:div w:id="1788619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3930217">
      <w:bodyDiv w:val="1"/>
      <w:marLeft w:val="0"/>
      <w:marRight w:val="0"/>
      <w:marTop w:val="0"/>
      <w:marBottom w:val="0"/>
      <w:divBdr>
        <w:top w:val="none" w:sz="0" w:space="0" w:color="auto"/>
        <w:left w:val="none" w:sz="0" w:space="0" w:color="auto"/>
        <w:bottom w:val="none" w:sz="0" w:space="0" w:color="auto"/>
        <w:right w:val="none" w:sz="0" w:space="0" w:color="auto"/>
      </w:divBdr>
    </w:div>
    <w:div w:id="1218471277">
      <w:bodyDiv w:val="1"/>
      <w:marLeft w:val="0"/>
      <w:marRight w:val="0"/>
      <w:marTop w:val="0"/>
      <w:marBottom w:val="0"/>
      <w:divBdr>
        <w:top w:val="none" w:sz="0" w:space="0" w:color="auto"/>
        <w:left w:val="none" w:sz="0" w:space="0" w:color="auto"/>
        <w:bottom w:val="none" w:sz="0" w:space="0" w:color="auto"/>
        <w:right w:val="none" w:sz="0" w:space="0" w:color="auto"/>
      </w:divBdr>
    </w:div>
    <w:div w:id="1219123668">
      <w:bodyDiv w:val="1"/>
      <w:marLeft w:val="0"/>
      <w:marRight w:val="0"/>
      <w:marTop w:val="0"/>
      <w:marBottom w:val="0"/>
      <w:divBdr>
        <w:top w:val="none" w:sz="0" w:space="0" w:color="auto"/>
        <w:left w:val="none" w:sz="0" w:space="0" w:color="auto"/>
        <w:bottom w:val="none" w:sz="0" w:space="0" w:color="auto"/>
        <w:right w:val="none" w:sz="0" w:space="0" w:color="auto"/>
      </w:divBdr>
    </w:div>
    <w:div w:id="1222330674">
      <w:bodyDiv w:val="1"/>
      <w:marLeft w:val="0"/>
      <w:marRight w:val="0"/>
      <w:marTop w:val="0"/>
      <w:marBottom w:val="0"/>
      <w:divBdr>
        <w:top w:val="none" w:sz="0" w:space="0" w:color="auto"/>
        <w:left w:val="none" w:sz="0" w:space="0" w:color="auto"/>
        <w:bottom w:val="none" w:sz="0" w:space="0" w:color="auto"/>
        <w:right w:val="none" w:sz="0" w:space="0" w:color="auto"/>
      </w:divBdr>
    </w:div>
    <w:div w:id="1223715065">
      <w:bodyDiv w:val="1"/>
      <w:marLeft w:val="0"/>
      <w:marRight w:val="0"/>
      <w:marTop w:val="0"/>
      <w:marBottom w:val="0"/>
      <w:divBdr>
        <w:top w:val="none" w:sz="0" w:space="0" w:color="auto"/>
        <w:left w:val="none" w:sz="0" w:space="0" w:color="auto"/>
        <w:bottom w:val="none" w:sz="0" w:space="0" w:color="auto"/>
        <w:right w:val="none" w:sz="0" w:space="0" w:color="auto"/>
      </w:divBdr>
      <w:divsChild>
        <w:div w:id="1683774195">
          <w:marLeft w:val="-225"/>
          <w:marRight w:val="-225"/>
          <w:marTop w:val="0"/>
          <w:marBottom w:val="0"/>
          <w:divBdr>
            <w:top w:val="none" w:sz="0" w:space="0" w:color="auto"/>
            <w:left w:val="none" w:sz="0" w:space="0" w:color="auto"/>
            <w:bottom w:val="none" w:sz="0" w:space="0" w:color="auto"/>
            <w:right w:val="none" w:sz="0" w:space="0" w:color="auto"/>
          </w:divBdr>
          <w:divsChild>
            <w:div w:id="718675352">
              <w:marLeft w:val="0"/>
              <w:marRight w:val="0"/>
              <w:marTop w:val="0"/>
              <w:marBottom w:val="0"/>
              <w:divBdr>
                <w:top w:val="none" w:sz="0" w:space="0" w:color="auto"/>
                <w:left w:val="none" w:sz="0" w:space="0" w:color="auto"/>
                <w:bottom w:val="none" w:sz="0" w:space="0" w:color="auto"/>
                <w:right w:val="none" w:sz="0" w:space="0" w:color="auto"/>
              </w:divBdr>
              <w:divsChild>
                <w:div w:id="66028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5712716">
          <w:marLeft w:val="-225"/>
          <w:marRight w:val="-225"/>
          <w:marTop w:val="0"/>
          <w:marBottom w:val="0"/>
          <w:divBdr>
            <w:top w:val="none" w:sz="0" w:space="0" w:color="auto"/>
            <w:left w:val="none" w:sz="0" w:space="0" w:color="auto"/>
            <w:bottom w:val="none" w:sz="0" w:space="0" w:color="auto"/>
            <w:right w:val="none" w:sz="0" w:space="0" w:color="auto"/>
          </w:divBdr>
          <w:divsChild>
            <w:div w:id="368574519">
              <w:marLeft w:val="0"/>
              <w:marRight w:val="0"/>
              <w:marTop w:val="0"/>
              <w:marBottom w:val="0"/>
              <w:divBdr>
                <w:top w:val="none" w:sz="0" w:space="0" w:color="auto"/>
                <w:left w:val="none" w:sz="0" w:space="0" w:color="auto"/>
                <w:bottom w:val="none" w:sz="0" w:space="0" w:color="auto"/>
                <w:right w:val="none" w:sz="0" w:space="0" w:color="auto"/>
              </w:divBdr>
              <w:divsChild>
                <w:div w:id="1312709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692098">
      <w:bodyDiv w:val="1"/>
      <w:marLeft w:val="0"/>
      <w:marRight w:val="0"/>
      <w:marTop w:val="0"/>
      <w:marBottom w:val="0"/>
      <w:divBdr>
        <w:top w:val="none" w:sz="0" w:space="0" w:color="auto"/>
        <w:left w:val="none" w:sz="0" w:space="0" w:color="auto"/>
        <w:bottom w:val="none" w:sz="0" w:space="0" w:color="auto"/>
        <w:right w:val="none" w:sz="0" w:space="0" w:color="auto"/>
      </w:divBdr>
    </w:div>
    <w:div w:id="1234852362">
      <w:bodyDiv w:val="1"/>
      <w:marLeft w:val="0"/>
      <w:marRight w:val="0"/>
      <w:marTop w:val="0"/>
      <w:marBottom w:val="0"/>
      <w:divBdr>
        <w:top w:val="none" w:sz="0" w:space="0" w:color="auto"/>
        <w:left w:val="none" w:sz="0" w:space="0" w:color="auto"/>
        <w:bottom w:val="none" w:sz="0" w:space="0" w:color="auto"/>
        <w:right w:val="none" w:sz="0" w:space="0" w:color="auto"/>
      </w:divBdr>
    </w:div>
    <w:div w:id="1236891220">
      <w:bodyDiv w:val="1"/>
      <w:marLeft w:val="0"/>
      <w:marRight w:val="0"/>
      <w:marTop w:val="0"/>
      <w:marBottom w:val="0"/>
      <w:divBdr>
        <w:top w:val="none" w:sz="0" w:space="0" w:color="auto"/>
        <w:left w:val="none" w:sz="0" w:space="0" w:color="auto"/>
        <w:bottom w:val="none" w:sz="0" w:space="0" w:color="auto"/>
        <w:right w:val="none" w:sz="0" w:space="0" w:color="auto"/>
      </w:divBdr>
    </w:div>
    <w:div w:id="1241059139">
      <w:bodyDiv w:val="1"/>
      <w:marLeft w:val="0"/>
      <w:marRight w:val="0"/>
      <w:marTop w:val="0"/>
      <w:marBottom w:val="0"/>
      <w:divBdr>
        <w:top w:val="none" w:sz="0" w:space="0" w:color="auto"/>
        <w:left w:val="none" w:sz="0" w:space="0" w:color="auto"/>
        <w:bottom w:val="none" w:sz="0" w:space="0" w:color="auto"/>
        <w:right w:val="none" w:sz="0" w:space="0" w:color="auto"/>
      </w:divBdr>
    </w:div>
    <w:div w:id="1246301601">
      <w:bodyDiv w:val="1"/>
      <w:marLeft w:val="0"/>
      <w:marRight w:val="0"/>
      <w:marTop w:val="0"/>
      <w:marBottom w:val="0"/>
      <w:divBdr>
        <w:top w:val="none" w:sz="0" w:space="0" w:color="auto"/>
        <w:left w:val="none" w:sz="0" w:space="0" w:color="auto"/>
        <w:bottom w:val="none" w:sz="0" w:space="0" w:color="auto"/>
        <w:right w:val="none" w:sz="0" w:space="0" w:color="auto"/>
      </w:divBdr>
    </w:div>
    <w:div w:id="1249194354">
      <w:bodyDiv w:val="1"/>
      <w:marLeft w:val="0"/>
      <w:marRight w:val="0"/>
      <w:marTop w:val="0"/>
      <w:marBottom w:val="0"/>
      <w:divBdr>
        <w:top w:val="none" w:sz="0" w:space="0" w:color="auto"/>
        <w:left w:val="none" w:sz="0" w:space="0" w:color="auto"/>
        <w:bottom w:val="none" w:sz="0" w:space="0" w:color="auto"/>
        <w:right w:val="none" w:sz="0" w:space="0" w:color="auto"/>
      </w:divBdr>
    </w:div>
    <w:div w:id="1254320124">
      <w:bodyDiv w:val="1"/>
      <w:marLeft w:val="0"/>
      <w:marRight w:val="0"/>
      <w:marTop w:val="0"/>
      <w:marBottom w:val="0"/>
      <w:divBdr>
        <w:top w:val="none" w:sz="0" w:space="0" w:color="auto"/>
        <w:left w:val="none" w:sz="0" w:space="0" w:color="auto"/>
        <w:bottom w:val="none" w:sz="0" w:space="0" w:color="auto"/>
        <w:right w:val="none" w:sz="0" w:space="0" w:color="auto"/>
      </w:divBdr>
    </w:div>
    <w:div w:id="1255474675">
      <w:bodyDiv w:val="1"/>
      <w:marLeft w:val="0"/>
      <w:marRight w:val="0"/>
      <w:marTop w:val="0"/>
      <w:marBottom w:val="0"/>
      <w:divBdr>
        <w:top w:val="none" w:sz="0" w:space="0" w:color="auto"/>
        <w:left w:val="none" w:sz="0" w:space="0" w:color="auto"/>
        <w:bottom w:val="none" w:sz="0" w:space="0" w:color="auto"/>
        <w:right w:val="none" w:sz="0" w:space="0" w:color="auto"/>
      </w:divBdr>
    </w:div>
    <w:div w:id="1256791820">
      <w:bodyDiv w:val="1"/>
      <w:marLeft w:val="0"/>
      <w:marRight w:val="0"/>
      <w:marTop w:val="0"/>
      <w:marBottom w:val="0"/>
      <w:divBdr>
        <w:top w:val="none" w:sz="0" w:space="0" w:color="auto"/>
        <w:left w:val="none" w:sz="0" w:space="0" w:color="auto"/>
        <w:bottom w:val="none" w:sz="0" w:space="0" w:color="auto"/>
        <w:right w:val="none" w:sz="0" w:space="0" w:color="auto"/>
      </w:divBdr>
    </w:div>
    <w:div w:id="1258713969">
      <w:bodyDiv w:val="1"/>
      <w:marLeft w:val="0"/>
      <w:marRight w:val="0"/>
      <w:marTop w:val="0"/>
      <w:marBottom w:val="0"/>
      <w:divBdr>
        <w:top w:val="none" w:sz="0" w:space="0" w:color="auto"/>
        <w:left w:val="none" w:sz="0" w:space="0" w:color="auto"/>
        <w:bottom w:val="none" w:sz="0" w:space="0" w:color="auto"/>
        <w:right w:val="none" w:sz="0" w:space="0" w:color="auto"/>
      </w:divBdr>
    </w:div>
    <w:div w:id="1260599212">
      <w:bodyDiv w:val="1"/>
      <w:marLeft w:val="0"/>
      <w:marRight w:val="0"/>
      <w:marTop w:val="0"/>
      <w:marBottom w:val="0"/>
      <w:divBdr>
        <w:top w:val="none" w:sz="0" w:space="0" w:color="auto"/>
        <w:left w:val="none" w:sz="0" w:space="0" w:color="auto"/>
        <w:bottom w:val="none" w:sz="0" w:space="0" w:color="auto"/>
        <w:right w:val="none" w:sz="0" w:space="0" w:color="auto"/>
      </w:divBdr>
    </w:div>
    <w:div w:id="1270549997">
      <w:bodyDiv w:val="1"/>
      <w:marLeft w:val="0"/>
      <w:marRight w:val="0"/>
      <w:marTop w:val="0"/>
      <w:marBottom w:val="0"/>
      <w:divBdr>
        <w:top w:val="none" w:sz="0" w:space="0" w:color="auto"/>
        <w:left w:val="none" w:sz="0" w:space="0" w:color="auto"/>
        <w:bottom w:val="none" w:sz="0" w:space="0" w:color="auto"/>
        <w:right w:val="none" w:sz="0" w:space="0" w:color="auto"/>
      </w:divBdr>
    </w:div>
    <w:div w:id="1271668833">
      <w:bodyDiv w:val="1"/>
      <w:marLeft w:val="0"/>
      <w:marRight w:val="0"/>
      <w:marTop w:val="0"/>
      <w:marBottom w:val="0"/>
      <w:divBdr>
        <w:top w:val="none" w:sz="0" w:space="0" w:color="auto"/>
        <w:left w:val="none" w:sz="0" w:space="0" w:color="auto"/>
        <w:bottom w:val="none" w:sz="0" w:space="0" w:color="auto"/>
        <w:right w:val="none" w:sz="0" w:space="0" w:color="auto"/>
      </w:divBdr>
      <w:divsChild>
        <w:div w:id="597060160">
          <w:marLeft w:val="0"/>
          <w:marRight w:val="0"/>
          <w:marTop w:val="0"/>
          <w:marBottom w:val="0"/>
          <w:divBdr>
            <w:top w:val="none" w:sz="0" w:space="0" w:color="auto"/>
            <w:left w:val="none" w:sz="0" w:space="0" w:color="auto"/>
            <w:bottom w:val="none" w:sz="0" w:space="0" w:color="auto"/>
            <w:right w:val="none" w:sz="0" w:space="0" w:color="auto"/>
          </w:divBdr>
          <w:divsChild>
            <w:div w:id="103233594">
              <w:marLeft w:val="0"/>
              <w:marRight w:val="0"/>
              <w:marTop w:val="0"/>
              <w:marBottom w:val="0"/>
              <w:divBdr>
                <w:top w:val="none" w:sz="0" w:space="0" w:color="auto"/>
                <w:left w:val="none" w:sz="0" w:space="0" w:color="auto"/>
                <w:bottom w:val="none" w:sz="0" w:space="0" w:color="auto"/>
                <w:right w:val="none" w:sz="0" w:space="0" w:color="auto"/>
              </w:divBdr>
              <w:divsChild>
                <w:div w:id="38751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859662">
      <w:bodyDiv w:val="1"/>
      <w:marLeft w:val="0"/>
      <w:marRight w:val="0"/>
      <w:marTop w:val="0"/>
      <w:marBottom w:val="0"/>
      <w:divBdr>
        <w:top w:val="none" w:sz="0" w:space="0" w:color="auto"/>
        <w:left w:val="none" w:sz="0" w:space="0" w:color="auto"/>
        <w:bottom w:val="none" w:sz="0" w:space="0" w:color="auto"/>
        <w:right w:val="none" w:sz="0" w:space="0" w:color="auto"/>
      </w:divBdr>
      <w:divsChild>
        <w:div w:id="973826117">
          <w:marLeft w:val="0"/>
          <w:marRight w:val="0"/>
          <w:marTop w:val="0"/>
          <w:marBottom w:val="0"/>
          <w:divBdr>
            <w:top w:val="none" w:sz="0" w:space="0" w:color="auto"/>
            <w:left w:val="none" w:sz="0" w:space="0" w:color="auto"/>
            <w:bottom w:val="none" w:sz="0" w:space="0" w:color="auto"/>
            <w:right w:val="none" w:sz="0" w:space="0" w:color="auto"/>
          </w:divBdr>
          <w:divsChild>
            <w:div w:id="1410230614">
              <w:marLeft w:val="0"/>
              <w:marRight w:val="0"/>
              <w:marTop w:val="0"/>
              <w:marBottom w:val="0"/>
              <w:divBdr>
                <w:top w:val="none" w:sz="0" w:space="0" w:color="auto"/>
                <w:left w:val="none" w:sz="0" w:space="0" w:color="auto"/>
                <w:bottom w:val="none" w:sz="0" w:space="0" w:color="auto"/>
                <w:right w:val="none" w:sz="0" w:space="0" w:color="auto"/>
              </w:divBdr>
              <w:divsChild>
                <w:div w:id="205916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282776">
      <w:bodyDiv w:val="1"/>
      <w:marLeft w:val="0"/>
      <w:marRight w:val="0"/>
      <w:marTop w:val="0"/>
      <w:marBottom w:val="0"/>
      <w:divBdr>
        <w:top w:val="none" w:sz="0" w:space="0" w:color="auto"/>
        <w:left w:val="none" w:sz="0" w:space="0" w:color="auto"/>
        <w:bottom w:val="none" w:sz="0" w:space="0" w:color="auto"/>
        <w:right w:val="none" w:sz="0" w:space="0" w:color="auto"/>
      </w:divBdr>
    </w:div>
    <w:div w:id="1277638980">
      <w:bodyDiv w:val="1"/>
      <w:marLeft w:val="0"/>
      <w:marRight w:val="0"/>
      <w:marTop w:val="0"/>
      <w:marBottom w:val="0"/>
      <w:divBdr>
        <w:top w:val="none" w:sz="0" w:space="0" w:color="auto"/>
        <w:left w:val="none" w:sz="0" w:space="0" w:color="auto"/>
        <w:bottom w:val="none" w:sz="0" w:space="0" w:color="auto"/>
        <w:right w:val="none" w:sz="0" w:space="0" w:color="auto"/>
      </w:divBdr>
    </w:div>
    <w:div w:id="1298955352">
      <w:bodyDiv w:val="1"/>
      <w:marLeft w:val="0"/>
      <w:marRight w:val="0"/>
      <w:marTop w:val="0"/>
      <w:marBottom w:val="0"/>
      <w:divBdr>
        <w:top w:val="none" w:sz="0" w:space="0" w:color="auto"/>
        <w:left w:val="none" w:sz="0" w:space="0" w:color="auto"/>
        <w:bottom w:val="none" w:sz="0" w:space="0" w:color="auto"/>
        <w:right w:val="none" w:sz="0" w:space="0" w:color="auto"/>
      </w:divBdr>
    </w:div>
    <w:div w:id="1301183467">
      <w:bodyDiv w:val="1"/>
      <w:marLeft w:val="0"/>
      <w:marRight w:val="0"/>
      <w:marTop w:val="0"/>
      <w:marBottom w:val="0"/>
      <w:divBdr>
        <w:top w:val="none" w:sz="0" w:space="0" w:color="auto"/>
        <w:left w:val="none" w:sz="0" w:space="0" w:color="auto"/>
        <w:bottom w:val="none" w:sz="0" w:space="0" w:color="auto"/>
        <w:right w:val="none" w:sz="0" w:space="0" w:color="auto"/>
      </w:divBdr>
    </w:div>
    <w:div w:id="1303390726">
      <w:bodyDiv w:val="1"/>
      <w:marLeft w:val="0"/>
      <w:marRight w:val="0"/>
      <w:marTop w:val="0"/>
      <w:marBottom w:val="0"/>
      <w:divBdr>
        <w:top w:val="none" w:sz="0" w:space="0" w:color="auto"/>
        <w:left w:val="none" w:sz="0" w:space="0" w:color="auto"/>
        <w:bottom w:val="none" w:sz="0" w:space="0" w:color="auto"/>
        <w:right w:val="none" w:sz="0" w:space="0" w:color="auto"/>
      </w:divBdr>
    </w:div>
    <w:div w:id="1303927993">
      <w:bodyDiv w:val="1"/>
      <w:marLeft w:val="0"/>
      <w:marRight w:val="0"/>
      <w:marTop w:val="0"/>
      <w:marBottom w:val="0"/>
      <w:divBdr>
        <w:top w:val="none" w:sz="0" w:space="0" w:color="auto"/>
        <w:left w:val="none" w:sz="0" w:space="0" w:color="auto"/>
        <w:bottom w:val="none" w:sz="0" w:space="0" w:color="auto"/>
        <w:right w:val="none" w:sz="0" w:space="0" w:color="auto"/>
      </w:divBdr>
    </w:div>
    <w:div w:id="1305307629">
      <w:bodyDiv w:val="1"/>
      <w:marLeft w:val="0"/>
      <w:marRight w:val="0"/>
      <w:marTop w:val="0"/>
      <w:marBottom w:val="0"/>
      <w:divBdr>
        <w:top w:val="none" w:sz="0" w:space="0" w:color="auto"/>
        <w:left w:val="none" w:sz="0" w:space="0" w:color="auto"/>
        <w:bottom w:val="none" w:sz="0" w:space="0" w:color="auto"/>
        <w:right w:val="none" w:sz="0" w:space="0" w:color="auto"/>
      </w:divBdr>
    </w:div>
    <w:div w:id="1308512232">
      <w:bodyDiv w:val="1"/>
      <w:marLeft w:val="0"/>
      <w:marRight w:val="0"/>
      <w:marTop w:val="0"/>
      <w:marBottom w:val="0"/>
      <w:divBdr>
        <w:top w:val="none" w:sz="0" w:space="0" w:color="auto"/>
        <w:left w:val="none" w:sz="0" w:space="0" w:color="auto"/>
        <w:bottom w:val="none" w:sz="0" w:space="0" w:color="auto"/>
        <w:right w:val="none" w:sz="0" w:space="0" w:color="auto"/>
      </w:divBdr>
    </w:div>
    <w:div w:id="1312363412">
      <w:bodyDiv w:val="1"/>
      <w:marLeft w:val="0"/>
      <w:marRight w:val="0"/>
      <w:marTop w:val="0"/>
      <w:marBottom w:val="0"/>
      <w:divBdr>
        <w:top w:val="none" w:sz="0" w:space="0" w:color="auto"/>
        <w:left w:val="none" w:sz="0" w:space="0" w:color="auto"/>
        <w:bottom w:val="none" w:sz="0" w:space="0" w:color="auto"/>
        <w:right w:val="none" w:sz="0" w:space="0" w:color="auto"/>
      </w:divBdr>
    </w:div>
    <w:div w:id="1315838156">
      <w:bodyDiv w:val="1"/>
      <w:marLeft w:val="0"/>
      <w:marRight w:val="0"/>
      <w:marTop w:val="0"/>
      <w:marBottom w:val="0"/>
      <w:divBdr>
        <w:top w:val="none" w:sz="0" w:space="0" w:color="auto"/>
        <w:left w:val="none" w:sz="0" w:space="0" w:color="auto"/>
        <w:bottom w:val="none" w:sz="0" w:space="0" w:color="auto"/>
        <w:right w:val="none" w:sz="0" w:space="0" w:color="auto"/>
      </w:divBdr>
    </w:div>
    <w:div w:id="1315909573">
      <w:bodyDiv w:val="1"/>
      <w:marLeft w:val="0"/>
      <w:marRight w:val="0"/>
      <w:marTop w:val="0"/>
      <w:marBottom w:val="0"/>
      <w:divBdr>
        <w:top w:val="none" w:sz="0" w:space="0" w:color="auto"/>
        <w:left w:val="none" w:sz="0" w:space="0" w:color="auto"/>
        <w:bottom w:val="none" w:sz="0" w:space="0" w:color="auto"/>
        <w:right w:val="none" w:sz="0" w:space="0" w:color="auto"/>
      </w:divBdr>
    </w:div>
    <w:div w:id="1324897532">
      <w:bodyDiv w:val="1"/>
      <w:marLeft w:val="0"/>
      <w:marRight w:val="0"/>
      <w:marTop w:val="0"/>
      <w:marBottom w:val="0"/>
      <w:divBdr>
        <w:top w:val="none" w:sz="0" w:space="0" w:color="auto"/>
        <w:left w:val="none" w:sz="0" w:space="0" w:color="auto"/>
        <w:bottom w:val="none" w:sz="0" w:space="0" w:color="auto"/>
        <w:right w:val="none" w:sz="0" w:space="0" w:color="auto"/>
      </w:divBdr>
      <w:divsChild>
        <w:div w:id="1334645390">
          <w:marLeft w:val="0"/>
          <w:marRight w:val="0"/>
          <w:marTop w:val="0"/>
          <w:marBottom w:val="0"/>
          <w:divBdr>
            <w:top w:val="none" w:sz="0" w:space="0" w:color="auto"/>
            <w:left w:val="none" w:sz="0" w:space="0" w:color="auto"/>
            <w:bottom w:val="none" w:sz="0" w:space="0" w:color="auto"/>
            <w:right w:val="none" w:sz="0" w:space="0" w:color="auto"/>
          </w:divBdr>
          <w:divsChild>
            <w:div w:id="119303618">
              <w:marLeft w:val="0"/>
              <w:marRight w:val="0"/>
              <w:marTop w:val="0"/>
              <w:marBottom w:val="0"/>
              <w:divBdr>
                <w:top w:val="none" w:sz="0" w:space="0" w:color="auto"/>
                <w:left w:val="none" w:sz="0" w:space="0" w:color="auto"/>
                <w:bottom w:val="none" w:sz="0" w:space="0" w:color="auto"/>
                <w:right w:val="none" w:sz="0" w:space="0" w:color="auto"/>
              </w:divBdr>
              <w:divsChild>
                <w:div w:id="729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3728298">
      <w:bodyDiv w:val="1"/>
      <w:marLeft w:val="0"/>
      <w:marRight w:val="0"/>
      <w:marTop w:val="0"/>
      <w:marBottom w:val="0"/>
      <w:divBdr>
        <w:top w:val="none" w:sz="0" w:space="0" w:color="auto"/>
        <w:left w:val="none" w:sz="0" w:space="0" w:color="auto"/>
        <w:bottom w:val="none" w:sz="0" w:space="0" w:color="auto"/>
        <w:right w:val="none" w:sz="0" w:space="0" w:color="auto"/>
      </w:divBdr>
    </w:div>
    <w:div w:id="1333989364">
      <w:bodyDiv w:val="1"/>
      <w:marLeft w:val="0"/>
      <w:marRight w:val="0"/>
      <w:marTop w:val="0"/>
      <w:marBottom w:val="0"/>
      <w:divBdr>
        <w:top w:val="none" w:sz="0" w:space="0" w:color="auto"/>
        <w:left w:val="none" w:sz="0" w:space="0" w:color="auto"/>
        <w:bottom w:val="none" w:sz="0" w:space="0" w:color="auto"/>
        <w:right w:val="none" w:sz="0" w:space="0" w:color="auto"/>
      </w:divBdr>
    </w:div>
    <w:div w:id="1334606477">
      <w:bodyDiv w:val="1"/>
      <w:marLeft w:val="0"/>
      <w:marRight w:val="0"/>
      <w:marTop w:val="0"/>
      <w:marBottom w:val="0"/>
      <w:divBdr>
        <w:top w:val="none" w:sz="0" w:space="0" w:color="auto"/>
        <w:left w:val="none" w:sz="0" w:space="0" w:color="auto"/>
        <w:bottom w:val="none" w:sz="0" w:space="0" w:color="auto"/>
        <w:right w:val="none" w:sz="0" w:space="0" w:color="auto"/>
      </w:divBdr>
    </w:div>
    <w:div w:id="1339314147">
      <w:bodyDiv w:val="1"/>
      <w:marLeft w:val="0"/>
      <w:marRight w:val="0"/>
      <w:marTop w:val="0"/>
      <w:marBottom w:val="0"/>
      <w:divBdr>
        <w:top w:val="none" w:sz="0" w:space="0" w:color="auto"/>
        <w:left w:val="none" w:sz="0" w:space="0" w:color="auto"/>
        <w:bottom w:val="none" w:sz="0" w:space="0" w:color="auto"/>
        <w:right w:val="none" w:sz="0" w:space="0" w:color="auto"/>
      </w:divBdr>
    </w:div>
    <w:div w:id="1339965203">
      <w:bodyDiv w:val="1"/>
      <w:marLeft w:val="0"/>
      <w:marRight w:val="0"/>
      <w:marTop w:val="0"/>
      <w:marBottom w:val="0"/>
      <w:divBdr>
        <w:top w:val="none" w:sz="0" w:space="0" w:color="auto"/>
        <w:left w:val="none" w:sz="0" w:space="0" w:color="auto"/>
        <w:bottom w:val="none" w:sz="0" w:space="0" w:color="auto"/>
        <w:right w:val="none" w:sz="0" w:space="0" w:color="auto"/>
      </w:divBdr>
      <w:divsChild>
        <w:div w:id="333074903">
          <w:marLeft w:val="0"/>
          <w:marRight w:val="0"/>
          <w:marTop w:val="0"/>
          <w:marBottom w:val="0"/>
          <w:divBdr>
            <w:top w:val="none" w:sz="0" w:space="0" w:color="auto"/>
            <w:left w:val="none" w:sz="0" w:space="0" w:color="auto"/>
            <w:bottom w:val="none" w:sz="0" w:space="0" w:color="auto"/>
            <w:right w:val="none" w:sz="0" w:space="0" w:color="auto"/>
          </w:divBdr>
          <w:divsChild>
            <w:div w:id="636109539">
              <w:marLeft w:val="0"/>
              <w:marRight w:val="0"/>
              <w:marTop w:val="0"/>
              <w:marBottom w:val="0"/>
              <w:divBdr>
                <w:top w:val="none" w:sz="0" w:space="0" w:color="auto"/>
                <w:left w:val="none" w:sz="0" w:space="0" w:color="auto"/>
                <w:bottom w:val="none" w:sz="0" w:space="0" w:color="auto"/>
                <w:right w:val="none" w:sz="0" w:space="0" w:color="auto"/>
              </w:divBdr>
              <w:divsChild>
                <w:div w:id="1623924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3627738">
      <w:bodyDiv w:val="1"/>
      <w:marLeft w:val="0"/>
      <w:marRight w:val="0"/>
      <w:marTop w:val="0"/>
      <w:marBottom w:val="0"/>
      <w:divBdr>
        <w:top w:val="none" w:sz="0" w:space="0" w:color="auto"/>
        <w:left w:val="none" w:sz="0" w:space="0" w:color="auto"/>
        <w:bottom w:val="none" w:sz="0" w:space="0" w:color="auto"/>
        <w:right w:val="none" w:sz="0" w:space="0" w:color="auto"/>
      </w:divBdr>
    </w:div>
    <w:div w:id="1346010776">
      <w:bodyDiv w:val="1"/>
      <w:marLeft w:val="0"/>
      <w:marRight w:val="0"/>
      <w:marTop w:val="0"/>
      <w:marBottom w:val="0"/>
      <w:divBdr>
        <w:top w:val="none" w:sz="0" w:space="0" w:color="auto"/>
        <w:left w:val="none" w:sz="0" w:space="0" w:color="auto"/>
        <w:bottom w:val="none" w:sz="0" w:space="0" w:color="auto"/>
        <w:right w:val="none" w:sz="0" w:space="0" w:color="auto"/>
      </w:divBdr>
    </w:div>
    <w:div w:id="1346830657">
      <w:bodyDiv w:val="1"/>
      <w:marLeft w:val="0"/>
      <w:marRight w:val="0"/>
      <w:marTop w:val="0"/>
      <w:marBottom w:val="0"/>
      <w:divBdr>
        <w:top w:val="none" w:sz="0" w:space="0" w:color="auto"/>
        <w:left w:val="none" w:sz="0" w:space="0" w:color="auto"/>
        <w:bottom w:val="none" w:sz="0" w:space="0" w:color="auto"/>
        <w:right w:val="none" w:sz="0" w:space="0" w:color="auto"/>
      </w:divBdr>
    </w:div>
    <w:div w:id="1354378226">
      <w:bodyDiv w:val="1"/>
      <w:marLeft w:val="0"/>
      <w:marRight w:val="0"/>
      <w:marTop w:val="0"/>
      <w:marBottom w:val="0"/>
      <w:divBdr>
        <w:top w:val="none" w:sz="0" w:space="0" w:color="auto"/>
        <w:left w:val="none" w:sz="0" w:space="0" w:color="auto"/>
        <w:bottom w:val="none" w:sz="0" w:space="0" w:color="auto"/>
        <w:right w:val="none" w:sz="0" w:space="0" w:color="auto"/>
      </w:divBdr>
    </w:div>
    <w:div w:id="1364330038">
      <w:bodyDiv w:val="1"/>
      <w:marLeft w:val="0"/>
      <w:marRight w:val="0"/>
      <w:marTop w:val="0"/>
      <w:marBottom w:val="0"/>
      <w:divBdr>
        <w:top w:val="none" w:sz="0" w:space="0" w:color="auto"/>
        <w:left w:val="none" w:sz="0" w:space="0" w:color="auto"/>
        <w:bottom w:val="none" w:sz="0" w:space="0" w:color="auto"/>
        <w:right w:val="none" w:sz="0" w:space="0" w:color="auto"/>
      </w:divBdr>
    </w:div>
    <w:div w:id="1364596828">
      <w:bodyDiv w:val="1"/>
      <w:marLeft w:val="0"/>
      <w:marRight w:val="0"/>
      <w:marTop w:val="0"/>
      <w:marBottom w:val="0"/>
      <w:divBdr>
        <w:top w:val="none" w:sz="0" w:space="0" w:color="auto"/>
        <w:left w:val="none" w:sz="0" w:space="0" w:color="auto"/>
        <w:bottom w:val="none" w:sz="0" w:space="0" w:color="auto"/>
        <w:right w:val="none" w:sz="0" w:space="0" w:color="auto"/>
      </w:divBdr>
    </w:div>
    <w:div w:id="1367490505">
      <w:bodyDiv w:val="1"/>
      <w:marLeft w:val="0"/>
      <w:marRight w:val="0"/>
      <w:marTop w:val="0"/>
      <w:marBottom w:val="0"/>
      <w:divBdr>
        <w:top w:val="none" w:sz="0" w:space="0" w:color="auto"/>
        <w:left w:val="none" w:sz="0" w:space="0" w:color="auto"/>
        <w:bottom w:val="none" w:sz="0" w:space="0" w:color="auto"/>
        <w:right w:val="none" w:sz="0" w:space="0" w:color="auto"/>
      </w:divBdr>
    </w:div>
    <w:div w:id="1368144015">
      <w:bodyDiv w:val="1"/>
      <w:marLeft w:val="0"/>
      <w:marRight w:val="0"/>
      <w:marTop w:val="0"/>
      <w:marBottom w:val="0"/>
      <w:divBdr>
        <w:top w:val="none" w:sz="0" w:space="0" w:color="auto"/>
        <w:left w:val="none" w:sz="0" w:space="0" w:color="auto"/>
        <w:bottom w:val="none" w:sz="0" w:space="0" w:color="auto"/>
        <w:right w:val="none" w:sz="0" w:space="0" w:color="auto"/>
      </w:divBdr>
    </w:div>
    <w:div w:id="1374191212">
      <w:bodyDiv w:val="1"/>
      <w:marLeft w:val="0"/>
      <w:marRight w:val="0"/>
      <w:marTop w:val="0"/>
      <w:marBottom w:val="0"/>
      <w:divBdr>
        <w:top w:val="none" w:sz="0" w:space="0" w:color="auto"/>
        <w:left w:val="none" w:sz="0" w:space="0" w:color="auto"/>
        <w:bottom w:val="none" w:sz="0" w:space="0" w:color="auto"/>
        <w:right w:val="none" w:sz="0" w:space="0" w:color="auto"/>
      </w:divBdr>
    </w:div>
    <w:div w:id="1384065821">
      <w:bodyDiv w:val="1"/>
      <w:marLeft w:val="0"/>
      <w:marRight w:val="0"/>
      <w:marTop w:val="0"/>
      <w:marBottom w:val="0"/>
      <w:divBdr>
        <w:top w:val="none" w:sz="0" w:space="0" w:color="auto"/>
        <w:left w:val="none" w:sz="0" w:space="0" w:color="auto"/>
        <w:bottom w:val="none" w:sz="0" w:space="0" w:color="auto"/>
        <w:right w:val="none" w:sz="0" w:space="0" w:color="auto"/>
      </w:divBdr>
    </w:div>
    <w:div w:id="1384674991">
      <w:bodyDiv w:val="1"/>
      <w:marLeft w:val="0"/>
      <w:marRight w:val="0"/>
      <w:marTop w:val="0"/>
      <w:marBottom w:val="0"/>
      <w:divBdr>
        <w:top w:val="none" w:sz="0" w:space="0" w:color="auto"/>
        <w:left w:val="none" w:sz="0" w:space="0" w:color="auto"/>
        <w:bottom w:val="none" w:sz="0" w:space="0" w:color="auto"/>
        <w:right w:val="none" w:sz="0" w:space="0" w:color="auto"/>
      </w:divBdr>
    </w:div>
    <w:div w:id="1387341091">
      <w:bodyDiv w:val="1"/>
      <w:marLeft w:val="0"/>
      <w:marRight w:val="0"/>
      <w:marTop w:val="0"/>
      <w:marBottom w:val="0"/>
      <w:divBdr>
        <w:top w:val="none" w:sz="0" w:space="0" w:color="auto"/>
        <w:left w:val="none" w:sz="0" w:space="0" w:color="auto"/>
        <w:bottom w:val="none" w:sz="0" w:space="0" w:color="auto"/>
        <w:right w:val="none" w:sz="0" w:space="0" w:color="auto"/>
      </w:divBdr>
    </w:div>
    <w:div w:id="1387486935">
      <w:bodyDiv w:val="1"/>
      <w:marLeft w:val="0"/>
      <w:marRight w:val="0"/>
      <w:marTop w:val="0"/>
      <w:marBottom w:val="0"/>
      <w:divBdr>
        <w:top w:val="none" w:sz="0" w:space="0" w:color="auto"/>
        <w:left w:val="none" w:sz="0" w:space="0" w:color="auto"/>
        <w:bottom w:val="none" w:sz="0" w:space="0" w:color="auto"/>
        <w:right w:val="none" w:sz="0" w:space="0" w:color="auto"/>
      </w:divBdr>
    </w:div>
    <w:div w:id="1389575900">
      <w:bodyDiv w:val="1"/>
      <w:marLeft w:val="0"/>
      <w:marRight w:val="0"/>
      <w:marTop w:val="0"/>
      <w:marBottom w:val="0"/>
      <w:divBdr>
        <w:top w:val="none" w:sz="0" w:space="0" w:color="auto"/>
        <w:left w:val="none" w:sz="0" w:space="0" w:color="auto"/>
        <w:bottom w:val="none" w:sz="0" w:space="0" w:color="auto"/>
        <w:right w:val="none" w:sz="0" w:space="0" w:color="auto"/>
      </w:divBdr>
      <w:divsChild>
        <w:div w:id="897322464">
          <w:marLeft w:val="0"/>
          <w:marRight w:val="0"/>
          <w:marTop w:val="0"/>
          <w:marBottom w:val="0"/>
          <w:divBdr>
            <w:top w:val="none" w:sz="0" w:space="0" w:color="auto"/>
            <w:left w:val="none" w:sz="0" w:space="0" w:color="auto"/>
            <w:bottom w:val="none" w:sz="0" w:space="0" w:color="auto"/>
            <w:right w:val="none" w:sz="0" w:space="0" w:color="auto"/>
          </w:divBdr>
          <w:divsChild>
            <w:div w:id="212155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6657318">
      <w:bodyDiv w:val="1"/>
      <w:marLeft w:val="0"/>
      <w:marRight w:val="0"/>
      <w:marTop w:val="0"/>
      <w:marBottom w:val="0"/>
      <w:divBdr>
        <w:top w:val="none" w:sz="0" w:space="0" w:color="auto"/>
        <w:left w:val="none" w:sz="0" w:space="0" w:color="auto"/>
        <w:bottom w:val="none" w:sz="0" w:space="0" w:color="auto"/>
        <w:right w:val="none" w:sz="0" w:space="0" w:color="auto"/>
      </w:divBdr>
    </w:div>
    <w:div w:id="1398746350">
      <w:bodyDiv w:val="1"/>
      <w:marLeft w:val="0"/>
      <w:marRight w:val="0"/>
      <w:marTop w:val="0"/>
      <w:marBottom w:val="0"/>
      <w:divBdr>
        <w:top w:val="none" w:sz="0" w:space="0" w:color="auto"/>
        <w:left w:val="none" w:sz="0" w:space="0" w:color="auto"/>
        <w:bottom w:val="none" w:sz="0" w:space="0" w:color="auto"/>
        <w:right w:val="none" w:sz="0" w:space="0" w:color="auto"/>
      </w:divBdr>
    </w:div>
    <w:div w:id="1401053222">
      <w:bodyDiv w:val="1"/>
      <w:marLeft w:val="0"/>
      <w:marRight w:val="0"/>
      <w:marTop w:val="0"/>
      <w:marBottom w:val="0"/>
      <w:divBdr>
        <w:top w:val="none" w:sz="0" w:space="0" w:color="auto"/>
        <w:left w:val="none" w:sz="0" w:space="0" w:color="auto"/>
        <w:bottom w:val="none" w:sz="0" w:space="0" w:color="auto"/>
        <w:right w:val="none" w:sz="0" w:space="0" w:color="auto"/>
      </w:divBdr>
    </w:div>
    <w:div w:id="1403212631">
      <w:bodyDiv w:val="1"/>
      <w:marLeft w:val="0"/>
      <w:marRight w:val="0"/>
      <w:marTop w:val="0"/>
      <w:marBottom w:val="0"/>
      <w:divBdr>
        <w:top w:val="none" w:sz="0" w:space="0" w:color="auto"/>
        <w:left w:val="none" w:sz="0" w:space="0" w:color="auto"/>
        <w:bottom w:val="none" w:sz="0" w:space="0" w:color="auto"/>
        <w:right w:val="none" w:sz="0" w:space="0" w:color="auto"/>
      </w:divBdr>
    </w:div>
    <w:div w:id="1409184706">
      <w:bodyDiv w:val="1"/>
      <w:marLeft w:val="0"/>
      <w:marRight w:val="0"/>
      <w:marTop w:val="0"/>
      <w:marBottom w:val="0"/>
      <w:divBdr>
        <w:top w:val="none" w:sz="0" w:space="0" w:color="auto"/>
        <w:left w:val="none" w:sz="0" w:space="0" w:color="auto"/>
        <w:bottom w:val="none" w:sz="0" w:space="0" w:color="auto"/>
        <w:right w:val="none" w:sz="0" w:space="0" w:color="auto"/>
      </w:divBdr>
    </w:div>
    <w:div w:id="1410156205">
      <w:bodyDiv w:val="1"/>
      <w:marLeft w:val="0"/>
      <w:marRight w:val="0"/>
      <w:marTop w:val="0"/>
      <w:marBottom w:val="0"/>
      <w:divBdr>
        <w:top w:val="none" w:sz="0" w:space="0" w:color="auto"/>
        <w:left w:val="none" w:sz="0" w:space="0" w:color="auto"/>
        <w:bottom w:val="none" w:sz="0" w:space="0" w:color="auto"/>
        <w:right w:val="none" w:sz="0" w:space="0" w:color="auto"/>
      </w:divBdr>
    </w:div>
    <w:div w:id="1416708384">
      <w:bodyDiv w:val="1"/>
      <w:marLeft w:val="0"/>
      <w:marRight w:val="0"/>
      <w:marTop w:val="0"/>
      <w:marBottom w:val="0"/>
      <w:divBdr>
        <w:top w:val="none" w:sz="0" w:space="0" w:color="auto"/>
        <w:left w:val="none" w:sz="0" w:space="0" w:color="auto"/>
        <w:bottom w:val="none" w:sz="0" w:space="0" w:color="auto"/>
        <w:right w:val="none" w:sz="0" w:space="0" w:color="auto"/>
      </w:divBdr>
    </w:div>
    <w:div w:id="1425808769">
      <w:bodyDiv w:val="1"/>
      <w:marLeft w:val="0"/>
      <w:marRight w:val="0"/>
      <w:marTop w:val="0"/>
      <w:marBottom w:val="0"/>
      <w:divBdr>
        <w:top w:val="none" w:sz="0" w:space="0" w:color="auto"/>
        <w:left w:val="none" w:sz="0" w:space="0" w:color="auto"/>
        <w:bottom w:val="none" w:sz="0" w:space="0" w:color="auto"/>
        <w:right w:val="none" w:sz="0" w:space="0" w:color="auto"/>
      </w:divBdr>
    </w:div>
    <w:div w:id="1426145500">
      <w:bodyDiv w:val="1"/>
      <w:marLeft w:val="0"/>
      <w:marRight w:val="0"/>
      <w:marTop w:val="0"/>
      <w:marBottom w:val="0"/>
      <w:divBdr>
        <w:top w:val="none" w:sz="0" w:space="0" w:color="auto"/>
        <w:left w:val="none" w:sz="0" w:space="0" w:color="auto"/>
        <w:bottom w:val="none" w:sz="0" w:space="0" w:color="auto"/>
        <w:right w:val="none" w:sz="0" w:space="0" w:color="auto"/>
      </w:divBdr>
    </w:div>
    <w:div w:id="1427770374">
      <w:bodyDiv w:val="1"/>
      <w:marLeft w:val="0"/>
      <w:marRight w:val="0"/>
      <w:marTop w:val="0"/>
      <w:marBottom w:val="0"/>
      <w:divBdr>
        <w:top w:val="none" w:sz="0" w:space="0" w:color="auto"/>
        <w:left w:val="none" w:sz="0" w:space="0" w:color="auto"/>
        <w:bottom w:val="none" w:sz="0" w:space="0" w:color="auto"/>
        <w:right w:val="none" w:sz="0" w:space="0" w:color="auto"/>
      </w:divBdr>
    </w:div>
    <w:div w:id="1428423504">
      <w:bodyDiv w:val="1"/>
      <w:marLeft w:val="0"/>
      <w:marRight w:val="0"/>
      <w:marTop w:val="0"/>
      <w:marBottom w:val="0"/>
      <w:divBdr>
        <w:top w:val="none" w:sz="0" w:space="0" w:color="auto"/>
        <w:left w:val="none" w:sz="0" w:space="0" w:color="auto"/>
        <w:bottom w:val="none" w:sz="0" w:space="0" w:color="auto"/>
        <w:right w:val="none" w:sz="0" w:space="0" w:color="auto"/>
      </w:divBdr>
    </w:div>
    <w:div w:id="1430928862">
      <w:bodyDiv w:val="1"/>
      <w:marLeft w:val="0"/>
      <w:marRight w:val="0"/>
      <w:marTop w:val="0"/>
      <w:marBottom w:val="0"/>
      <w:divBdr>
        <w:top w:val="none" w:sz="0" w:space="0" w:color="auto"/>
        <w:left w:val="none" w:sz="0" w:space="0" w:color="auto"/>
        <w:bottom w:val="none" w:sz="0" w:space="0" w:color="auto"/>
        <w:right w:val="none" w:sz="0" w:space="0" w:color="auto"/>
      </w:divBdr>
    </w:div>
    <w:div w:id="1432360930">
      <w:bodyDiv w:val="1"/>
      <w:marLeft w:val="0"/>
      <w:marRight w:val="0"/>
      <w:marTop w:val="0"/>
      <w:marBottom w:val="0"/>
      <w:divBdr>
        <w:top w:val="none" w:sz="0" w:space="0" w:color="auto"/>
        <w:left w:val="none" w:sz="0" w:space="0" w:color="auto"/>
        <w:bottom w:val="none" w:sz="0" w:space="0" w:color="auto"/>
        <w:right w:val="none" w:sz="0" w:space="0" w:color="auto"/>
      </w:divBdr>
    </w:div>
    <w:div w:id="1434016945">
      <w:bodyDiv w:val="1"/>
      <w:marLeft w:val="0"/>
      <w:marRight w:val="0"/>
      <w:marTop w:val="0"/>
      <w:marBottom w:val="0"/>
      <w:divBdr>
        <w:top w:val="none" w:sz="0" w:space="0" w:color="auto"/>
        <w:left w:val="none" w:sz="0" w:space="0" w:color="auto"/>
        <w:bottom w:val="none" w:sz="0" w:space="0" w:color="auto"/>
        <w:right w:val="none" w:sz="0" w:space="0" w:color="auto"/>
      </w:divBdr>
    </w:div>
    <w:div w:id="1435318012">
      <w:bodyDiv w:val="1"/>
      <w:marLeft w:val="0"/>
      <w:marRight w:val="0"/>
      <w:marTop w:val="0"/>
      <w:marBottom w:val="0"/>
      <w:divBdr>
        <w:top w:val="none" w:sz="0" w:space="0" w:color="auto"/>
        <w:left w:val="none" w:sz="0" w:space="0" w:color="auto"/>
        <w:bottom w:val="none" w:sz="0" w:space="0" w:color="auto"/>
        <w:right w:val="none" w:sz="0" w:space="0" w:color="auto"/>
      </w:divBdr>
      <w:divsChild>
        <w:div w:id="380252657">
          <w:marLeft w:val="0"/>
          <w:marRight w:val="0"/>
          <w:marTop w:val="0"/>
          <w:marBottom w:val="0"/>
          <w:divBdr>
            <w:top w:val="none" w:sz="0" w:space="0" w:color="auto"/>
            <w:left w:val="none" w:sz="0" w:space="0" w:color="auto"/>
            <w:bottom w:val="none" w:sz="0" w:space="0" w:color="auto"/>
            <w:right w:val="none" w:sz="0" w:space="0" w:color="auto"/>
          </w:divBdr>
        </w:div>
        <w:div w:id="1212765998">
          <w:marLeft w:val="0"/>
          <w:marRight w:val="0"/>
          <w:marTop w:val="0"/>
          <w:marBottom w:val="300"/>
          <w:divBdr>
            <w:top w:val="none" w:sz="0" w:space="0" w:color="auto"/>
            <w:left w:val="none" w:sz="0" w:space="0" w:color="auto"/>
            <w:bottom w:val="none" w:sz="0" w:space="0" w:color="auto"/>
            <w:right w:val="none" w:sz="0" w:space="0" w:color="auto"/>
          </w:divBdr>
          <w:divsChild>
            <w:div w:id="2005476189">
              <w:marLeft w:val="0"/>
              <w:marRight w:val="0"/>
              <w:marTop w:val="0"/>
              <w:marBottom w:val="0"/>
              <w:divBdr>
                <w:top w:val="none" w:sz="0" w:space="0" w:color="auto"/>
                <w:left w:val="none" w:sz="0" w:space="0" w:color="auto"/>
                <w:bottom w:val="none" w:sz="0" w:space="0" w:color="auto"/>
                <w:right w:val="none" w:sz="0" w:space="0" w:color="auto"/>
              </w:divBdr>
            </w:div>
          </w:divsChild>
        </w:div>
        <w:div w:id="1644042120">
          <w:marLeft w:val="0"/>
          <w:marRight w:val="0"/>
          <w:marTop w:val="0"/>
          <w:marBottom w:val="450"/>
          <w:divBdr>
            <w:top w:val="none" w:sz="0" w:space="0" w:color="auto"/>
            <w:left w:val="none" w:sz="0" w:space="0" w:color="auto"/>
            <w:bottom w:val="none" w:sz="0" w:space="0" w:color="auto"/>
            <w:right w:val="none" w:sz="0" w:space="0" w:color="auto"/>
          </w:divBdr>
          <w:divsChild>
            <w:div w:id="686443124">
              <w:marLeft w:val="0"/>
              <w:marRight w:val="0"/>
              <w:marTop w:val="0"/>
              <w:marBottom w:val="150"/>
              <w:divBdr>
                <w:top w:val="none" w:sz="0" w:space="0" w:color="auto"/>
                <w:left w:val="none" w:sz="0" w:space="0" w:color="auto"/>
                <w:bottom w:val="none" w:sz="0" w:space="0" w:color="auto"/>
                <w:right w:val="none" w:sz="0" w:space="0" w:color="auto"/>
              </w:divBdr>
              <w:divsChild>
                <w:div w:id="701587668">
                  <w:marLeft w:val="0"/>
                  <w:marRight w:val="0"/>
                  <w:marTop w:val="0"/>
                  <w:marBottom w:val="0"/>
                  <w:divBdr>
                    <w:top w:val="none" w:sz="0" w:space="0" w:color="auto"/>
                    <w:left w:val="none" w:sz="0" w:space="0" w:color="auto"/>
                    <w:bottom w:val="none" w:sz="0" w:space="0" w:color="auto"/>
                    <w:right w:val="none" w:sz="0" w:space="0" w:color="auto"/>
                  </w:divBdr>
                </w:div>
                <w:div w:id="1530877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065332">
      <w:bodyDiv w:val="1"/>
      <w:marLeft w:val="0"/>
      <w:marRight w:val="0"/>
      <w:marTop w:val="0"/>
      <w:marBottom w:val="0"/>
      <w:divBdr>
        <w:top w:val="none" w:sz="0" w:space="0" w:color="auto"/>
        <w:left w:val="none" w:sz="0" w:space="0" w:color="auto"/>
        <w:bottom w:val="none" w:sz="0" w:space="0" w:color="auto"/>
        <w:right w:val="none" w:sz="0" w:space="0" w:color="auto"/>
      </w:divBdr>
    </w:div>
    <w:div w:id="1440947823">
      <w:bodyDiv w:val="1"/>
      <w:marLeft w:val="0"/>
      <w:marRight w:val="0"/>
      <w:marTop w:val="0"/>
      <w:marBottom w:val="0"/>
      <w:divBdr>
        <w:top w:val="none" w:sz="0" w:space="0" w:color="auto"/>
        <w:left w:val="none" w:sz="0" w:space="0" w:color="auto"/>
        <w:bottom w:val="none" w:sz="0" w:space="0" w:color="auto"/>
        <w:right w:val="none" w:sz="0" w:space="0" w:color="auto"/>
      </w:divBdr>
    </w:div>
    <w:div w:id="1448281793">
      <w:bodyDiv w:val="1"/>
      <w:marLeft w:val="0"/>
      <w:marRight w:val="0"/>
      <w:marTop w:val="0"/>
      <w:marBottom w:val="0"/>
      <w:divBdr>
        <w:top w:val="none" w:sz="0" w:space="0" w:color="auto"/>
        <w:left w:val="none" w:sz="0" w:space="0" w:color="auto"/>
        <w:bottom w:val="none" w:sz="0" w:space="0" w:color="auto"/>
        <w:right w:val="none" w:sz="0" w:space="0" w:color="auto"/>
      </w:divBdr>
    </w:div>
    <w:div w:id="1450473115">
      <w:bodyDiv w:val="1"/>
      <w:marLeft w:val="0"/>
      <w:marRight w:val="0"/>
      <w:marTop w:val="0"/>
      <w:marBottom w:val="0"/>
      <w:divBdr>
        <w:top w:val="none" w:sz="0" w:space="0" w:color="auto"/>
        <w:left w:val="none" w:sz="0" w:space="0" w:color="auto"/>
        <w:bottom w:val="none" w:sz="0" w:space="0" w:color="auto"/>
        <w:right w:val="none" w:sz="0" w:space="0" w:color="auto"/>
      </w:divBdr>
    </w:div>
    <w:div w:id="1452018632">
      <w:bodyDiv w:val="1"/>
      <w:marLeft w:val="0"/>
      <w:marRight w:val="0"/>
      <w:marTop w:val="0"/>
      <w:marBottom w:val="0"/>
      <w:divBdr>
        <w:top w:val="none" w:sz="0" w:space="0" w:color="auto"/>
        <w:left w:val="none" w:sz="0" w:space="0" w:color="auto"/>
        <w:bottom w:val="none" w:sz="0" w:space="0" w:color="auto"/>
        <w:right w:val="none" w:sz="0" w:space="0" w:color="auto"/>
      </w:divBdr>
    </w:div>
    <w:div w:id="1455324996">
      <w:bodyDiv w:val="1"/>
      <w:marLeft w:val="0"/>
      <w:marRight w:val="0"/>
      <w:marTop w:val="0"/>
      <w:marBottom w:val="0"/>
      <w:divBdr>
        <w:top w:val="none" w:sz="0" w:space="0" w:color="auto"/>
        <w:left w:val="none" w:sz="0" w:space="0" w:color="auto"/>
        <w:bottom w:val="none" w:sz="0" w:space="0" w:color="auto"/>
        <w:right w:val="none" w:sz="0" w:space="0" w:color="auto"/>
      </w:divBdr>
    </w:div>
    <w:div w:id="1459953151">
      <w:bodyDiv w:val="1"/>
      <w:marLeft w:val="0"/>
      <w:marRight w:val="0"/>
      <w:marTop w:val="0"/>
      <w:marBottom w:val="0"/>
      <w:divBdr>
        <w:top w:val="none" w:sz="0" w:space="0" w:color="auto"/>
        <w:left w:val="none" w:sz="0" w:space="0" w:color="auto"/>
        <w:bottom w:val="none" w:sz="0" w:space="0" w:color="auto"/>
        <w:right w:val="none" w:sz="0" w:space="0" w:color="auto"/>
      </w:divBdr>
    </w:div>
    <w:div w:id="1460029919">
      <w:bodyDiv w:val="1"/>
      <w:marLeft w:val="0"/>
      <w:marRight w:val="0"/>
      <w:marTop w:val="0"/>
      <w:marBottom w:val="0"/>
      <w:divBdr>
        <w:top w:val="none" w:sz="0" w:space="0" w:color="auto"/>
        <w:left w:val="none" w:sz="0" w:space="0" w:color="auto"/>
        <w:bottom w:val="none" w:sz="0" w:space="0" w:color="auto"/>
        <w:right w:val="none" w:sz="0" w:space="0" w:color="auto"/>
      </w:divBdr>
    </w:div>
    <w:div w:id="1462266515">
      <w:bodyDiv w:val="1"/>
      <w:marLeft w:val="0"/>
      <w:marRight w:val="0"/>
      <w:marTop w:val="0"/>
      <w:marBottom w:val="0"/>
      <w:divBdr>
        <w:top w:val="none" w:sz="0" w:space="0" w:color="auto"/>
        <w:left w:val="none" w:sz="0" w:space="0" w:color="auto"/>
        <w:bottom w:val="none" w:sz="0" w:space="0" w:color="auto"/>
        <w:right w:val="none" w:sz="0" w:space="0" w:color="auto"/>
      </w:divBdr>
      <w:divsChild>
        <w:div w:id="1798646129">
          <w:marLeft w:val="0"/>
          <w:marRight w:val="0"/>
          <w:marTop w:val="0"/>
          <w:marBottom w:val="0"/>
          <w:divBdr>
            <w:top w:val="none" w:sz="0" w:space="0" w:color="auto"/>
            <w:left w:val="none" w:sz="0" w:space="0" w:color="auto"/>
            <w:bottom w:val="none" w:sz="0" w:space="0" w:color="auto"/>
            <w:right w:val="none" w:sz="0" w:space="0" w:color="auto"/>
          </w:divBdr>
          <w:divsChild>
            <w:div w:id="70586392">
              <w:marLeft w:val="0"/>
              <w:marRight w:val="0"/>
              <w:marTop w:val="0"/>
              <w:marBottom w:val="0"/>
              <w:divBdr>
                <w:top w:val="none" w:sz="0" w:space="0" w:color="auto"/>
                <w:left w:val="none" w:sz="0" w:space="0" w:color="auto"/>
                <w:bottom w:val="none" w:sz="0" w:space="0" w:color="auto"/>
                <w:right w:val="none" w:sz="0" w:space="0" w:color="auto"/>
              </w:divBdr>
              <w:divsChild>
                <w:div w:id="1254239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704942">
      <w:bodyDiv w:val="1"/>
      <w:marLeft w:val="0"/>
      <w:marRight w:val="0"/>
      <w:marTop w:val="0"/>
      <w:marBottom w:val="0"/>
      <w:divBdr>
        <w:top w:val="none" w:sz="0" w:space="0" w:color="auto"/>
        <w:left w:val="none" w:sz="0" w:space="0" w:color="auto"/>
        <w:bottom w:val="none" w:sz="0" w:space="0" w:color="auto"/>
        <w:right w:val="none" w:sz="0" w:space="0" w:color="auto"/>
      </w:divBdr>
    </w:div>
    <w:div w:id="1467697787">
      <w:bodyDiv w:val="1"/>
      <w:marLeft w:val="0"/>
      <w:marRight w:val="0"/>
      <w:marTop w:val="0"/>
      <w:marBottom w:val="0"/>
      <w:divBdr>
        <w:top w:val="none" w:sz="0" w:space="0" w:color="auto"/>
        <w:left w:val="none" w:sz="0" w:space="0" w:color="auto"/>
        <w:bottom w:val="none" w:sz="0" w:space="0" w:color="auto"/>
        <w:right w:val="none" w:sz="0" w:space="0" w:color="auto"/>
      </w:divBdr>
    </w:div>
    <w:div w:id="1468626251">
      <w:bodyDiv w:val="1"/>
      <w:marLeft w:val="0"/>
      <w:marRight w:val="0"/>
      <w:marTop w:val="0"/>
      <w:marBottom w:val="0"/>
      <w:divBdr>
        <w:top w:val="none" w:sz="0" w:space="0" w:color="auto"/>
        <w:left w:val="none" w:sz="0" w:space="0" w:color="auto"/>
        <w:bottom w:val="none" w:sz="0" w:space="0" w:color="auto"/>
        <w:right w:val="none" w:sz="0" w:space="0" w:color="auto"/>
      </w:divBdr>
    </w:div>
    <w:div w:id="1471944320">
      <w:bodyDiv w:val="1"/>
      <w:marLeft w:val="0"/>
      <w:marRight w:val="0"/>
      <w:marTop w:val="0"/>
      <w:marBottom w:val="0"/>
      <w:divBdr>
        <w:top w:val="none" w:sz="0" w:space="0" w:color="auto"/>
        <w:left w:val="none" w:sz="0" w:space="0" w:color="auto"/>
        <w:bottom w:val="none" w:sz="0" w:space="0" w:color="auto"/>
        <w:right w:val="none" w:sz="0" w:space="0" w:color="auto"/>
      </w:divBdr>
    </w:div>
    <w:div w:id="1478034484">
      <w:bodyDiv w:val="1"/>
      <w:marLeft w:val="0"/>
      <w:marRight w:val="0"/>
      <w:marTop w:val="0"/>
      <w:marBottom w:val="0"/>
      <w:divBdr>
        <w:top w:val="none" w:sz="0" w:space="0" w:color="auto"/>
        <w:left w:val="none" w:sz="0" w:space="0" w:color="auto"/>
        <w:bottom w:val="none" w:sz="0" w:space="0" w:color="auto"/>
        <w:right w:val="none" w:sz="0" w:space="0" w:color="auto"/>
      </w:divBdr>
    </w:div>
    <w:div w:id="1478641946">
      <w:bodyDiv w:val="1"/>
      <w:marLeft w:val="0"/>
      <w:marRight w:val="0"/>
      <w:marTop w:val="0"/>
      <w:marBottom w:val="0"/>
      <w:divBdr>
        <w:top w:val="none" w:sz="0" w:space="0" w:color="auto"/>
        <w:left w:val="none" w:sz="0" w:space="0" w:color="auto"/>
        <w:bottom w:val="none" w:sz="0" w:space="0" w:color="auto"/>
        <w:right w:val="none" w:sz="0" w:space="0" w:color="auto"/>
      </w:divBdr>
      <w:divsChild>
        <w:div w:id="2013489879">
          <w:marLeft w:val="0"/>
          <w:marRight w:val="0"/>
          <w:marTop w:val="0"/>
          <w:marBottom w:val="0"/>
          <w:divBdr>
            <w:top w:val="none" w:sz="0" w:space="0" w:color="auto"/>
            <w:left w:val="none" w:sz="0" w:space="0" w:color="auto"/>
            <w:bottom w:val="none" w:sz="0" w:space="0" w:color="auto"/>
            <w:right w:val="none" w:sz="0" w:space="0" w:color="auto"/>
          </w:divBdr>
          <w:divsChild>
            <w:div w:id="506214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9691978">
      <w:bodyDiv w:val="1"/>
      <w:marLeft w:val="0"/>
      <w:marRight w:val="0"/>
      <w:marTop w:val="0"/>
      <w:marBottom w:val="0"/>
      <w:divBdr>
        <w:top w:val="none" w:sz="0" w:space="0" w:color="auto"/>
        <w:left w:val="none" w:sz="0" w:space="0" w:color="auto"/>
        <w:bottom w:val="none" w:sz="0" w:space="0" w:color="auto"/>
        <w:right w:val="none" w:sz="0" w:space="0" w:color="auto"/>
      </w:divBdr>
    </w:div>
    <w:div w:id="1486358958">
      <w:bodyDiv w:val="1"/>
      <w:marLeft w:val="0"/>
      <w:marRight w:val="0"/>
      <w:marTop w:val="0"/>
      <w:marBottom w:val="0"/>
      <w:divBdr>
        <w:top w:val="none" w:sz="0" w:space="0" w:color="auto"/>
        <w:left w:val="none" w:sz="0" w:space="0" w:color="auto"/>
        <w:bottom w:val="none" w:sz="0" w:space="0" w:color="auto"/>
        <w:right w:val="none" w:sz="0" w:space="0" w:color="auto"/>
      </w:divBdr>
    </w:div>
    <w:div w:id="1494445865">
      <w:bodyDiv w:val="1"/>
      <w:marLeft w:val="0"/>
      <w:marRight w:val="0"/>
      <w:marTop w:val="0"/>
      <w:marBottom w:val="0"/>
      <w:divBdr>
        <w:top w:val="none" w:sz="0" w:space="0" w:color="auto"/>
        <w:left w:val="none" w:sz="0" w:space="0" w:color="auto"/>
        <w:bottom w:val="none" w:sz="0" w:space="0" w:color="auto"/>
        <w:right w:val="none" w:sz="0" w:space="0" w:color="auto"/>
      </w:divBdr>
    </w:div>
    <w:div w:id="1496073687">
      <w:bodyDiv w:val="1"/>
      <w:marLeft w:val="0"/>
      <w:marRight w:val="0"/>
      <w:marTop w:val="0"/>
      <w:marBottom w:val="0"/>
      <w:divBdr>
        <w:top w:val="none" w:sz="0" w:space="0" w:color="auto"/>
        <w:left w:val="none" w:sz="0" w:space="0" w:color="auto"/>
        <w:bottom w:val="none" w:sz="0" w:space="0" w:color="auto"/>
        <w:right w:val="none" w:sz="0" w:space="0" w:color="auto"/>
      </w:divBdr>
    </w:div>
    <w:div w:id="1501845759">
      <w:bodyDiv w:val="1"/>
      <w:marLeft w:val="0"/>
      <w:marRight w:val="0"/>
      <w:marTop w:val="0"/>
      <w:marBottom w:val="0"/>
      <w:divBdr>
        <w:top w:val="none" w:sz="0" w:space="0" w:color="auto"/>
        <w:left w:val="none" w:sz="0" w:space="0" w:color="auto"/>
        <w:bottom w:val="none" w:sz="0" w:space="0" w:color="auto"/>
        <w:right w:val="none" w:sz="0" w:space="0" w:color="auto"/>
      </w:divBdr>
    </w:div>
    <w:div w:id="1508979629">
      <w:bodyDiv w:val="1"/>
      <w:marLeft w:val="0"/>
      <w:marRight w:val="0"/>
      <w:marTop w:val="0"/>
      <w:marBottom w:val="0"/>
      <w:divBdr>
        <w:top w:val="none" w:sz="0" w:space="0" w:color="auto"/>
        <w:left w:val="none" w:sz="0" w:space="0" w:color="auto"/>
        <w:bottom w:val="none" w:sz="0" w:space="0" w:color="auto"/>
        <w:right w:val="none" w:sz="0" w:space="0" w:color="auto"/>
      </w:divBdr>
    </w:div>
    <w:div w:id="1510178812">
      <w:bodyDiv w:val="1"/>
      <w:marLeft w:val="0"/>
      <w:marRight w:val="0"/>
      <w:marTop w:val="0"/>
      <w:marBottom w:val="0"/>
      <w:divBdr>
        <w:top w:val="none" w:sz="0" w:space="0" w:color="auto"/>
        <w:left w:val="none" w:sz="0" w:space="0" w:color="auto"/>
        <w:bottom w:val="none" w:sz="0" w:space="0" w:color="auto"/>
        <w:right w:val="none" w:sz="0" w:space="0" w:color="auto"/>
      </w:divBdr>
    </w:div>
    <w:div w:id="1510213167">
      <w:bodyDiv w:val="1"/>
      <w:marLeft w:val="0"/>
      <w:marRight w:val="0"/>
      <w:marTop w:val="0"/>
      <w:marBottom w:val="0"/>
      <w:divBdr>
        <w:top w:val="none" w:sz="0" w:space="0" w:color="auto"/>
        <w:left w:val="none" w:sz="0" w:space="0" w:color="auto"/>
        <w:bottom w:val="none" w:sz="0" w:space="0" w:color="auto"/>
        <w:right w:val="none" w:sz="0" w:space="0" w:color="auto"/>
      </w:divBdr>
    </w:div>
    <w:div w:id="1513955891">
      <w:bodyDiv w:val="1"/>
      <w:marLeft w:val="0"/>
      <w:marRight w:val="0"/>
      <w:marTop w:val="0"/>
      <w:marBottom w:val="0"/>
      <w:divBdr>
        <w:top w:val="none" w:sz="0" w:space="0" w:color="auto"/>
        <w:left w:val="none" w:sz="0" w:space="0" w:color="auto"/>
        <w:bottom w:val="none" w:sz="0" w:space="0" w:color="auto"/>
        <w:right w:val="none" w:sz="0" w:space="0" w:color="auto"/>
      </w:divBdr>
    </w:div>
    <w:div w:id="1518425390">
      <w:bodyDiv w:val="1"/>
      <w:marLeft w:val="0"/>
      <w:marRight w:val="0"/>
      <w:marTop w:val="0"/>
      <w:marBottom w:val="0"/>
      <w:divBdr>
        <w:top w:val="none" w:sz="0" w:space="0" w:color="auto"/>
        <w:left w:val="none" w:sz="0" w:space="0" w:color="auto"/>
        <w:bottom w:val="none" w:sz="0" w:space="0" w:color="auto"/>
        <w:right w:val="none" w:sz="0" w:space="0" w:color="auto"/>
      </w:divBdr>
    </w:div>
    <w:div w:id="1523472411">
      <w:bodyDiv w:val="1"/>
      <w:marLeft w:val="0"/>
      <w:marRight w:val="0"/>
      <w:marTop w:val="0"/>
      <w:marBottom w:val="0"/>
      <w:divBdr>
        <w:top w:val="none" w:sz="0" w:space="0" w:color="auto"/>
        <w:left w:val="none" w:sz="0" w:space="0" w:color="auto"/>
        <w:bottom w:val="none" w:sz="0" w:space="0" w:color="auto"/>
        <w:right w:val="none" w:sz="0" w:space="0" w:color="auto"/>
      </w:divBdr>
    </w:div>
    <w:div w:id="1540127406">
      <w:bodyDiv w:val="1"/>
      <w:marLeft w:val="0"/>
      <w:marRight w:val="0"/>
      <w:marTop w:val="0"/>
      <w:marBottom w:val="0"/>
      <w:divBdr>
        <w:top w:val="none" w:sz="0" w:space="0" w:color="auto"/>
        <w:left w:val="none" w:sz="0" w:space="0" w:color="auto"/>
        <w:bottom w:val="none" w:sz="0" w:space="0" w:color="auto"/>
        <w:right w:val="none" w:sz="0" w:space="0" w:color="auto"/>
      </w:divBdr>
    </w:div>
    <w:div w:id="1550991282">
      <w:bodyDiv w:val="1"/>
      <w:marLeft w:val="0"/>
      <w:marRight w:val="0"/>
      <w:marTop w:val="0"/>
      <w:marBottom w:val="0"/>
      <w:divBdr>
        <w:top w:val="none" w:sz="0" w:space="0" w:color="auto"/>
        <w:left w:val="none" w:sz="0" w:space="0" w:color="auto"/>
        <w:bottom w:val="none" w:sz="0" w:space="0" w:color="auto"/>
        <w:right w:val="none" w:sz="0" w:space="0" w:color="auto"/>
      </w:divBdr>
    </w:div>
    <w:div w:id="1551040870">
      <w:bodyDiv w:val="1"/>
      <w:marLeft w:val="0"/>
      <w:marRight w:val="0"/>
      <w:marTop w:val="0"/>
      <w:marBottom w:val="0"/>
      <w:divBdr>
        <w:top w:val="none" w:sz="0" w:space="0" w:color="auto"/>
        <w:left w:val="none" w:sz="0" w:space="0" w:color="auto"/>
        <w:bottom w:val="none" w:sz="0" w:space="0" w:color="auto"/>
        <w:right w:val="none" w:sz="0" w:space="0" w:color="auto"/>
      </w:divBdr>
    </w:div>
    <w:div w:id="1551306739">
      <w:bodyDiv w:val="1"/>
      <w:marLeft w:val="0"/>
      <w:marRight w:val="0"/>
      <w:marTop w:val="0"/>
      <w:marBottom w:val="0"/>
      <w:divBdr>
        <w:top w:val="none" w:sz="0" w:space="0" w:color="auto"/>
        <w:left w:val="none" w:sz="0" w:space="0" w:color="auto"/>
        <w:bottom w:val="none" w:sz="0" w:space="0" w:color="auto"/>
        <w:right w:val="none" w:sz="0" w:space="0" w:color="auto"/>
      </w:divBdr>
    </w:div>
    <w:div w:id="1554582005">
      <w:bodyDiv w:val="1"/>
      <w:marLeft w:val="0"/>
      <w:marRight w:val="0"/>
      <w:marTop w:val="0"/>
      <w:marBottom w:val="0"/>
      <w:divBdr>
        <w:top w:val="none" w:sz="0" w:space="0" w:color="auto"/>
        <w:left w:val="none" w:sz="0" w:space="0" w:color="auto"/>
        <w:bottom w:val="none" w:sz="0" w:space="0" w:color="auto"/>
        <w:right w:val="none" w:sz="0" w:space="0" w:color="auto"/>
      </w:divBdr>
    </w:div>
    <w:div w:id="1556313748">
      <w:bodyDiv w:val="1"/>
      <w:marLeft w:val="0"/>
      <w:marRight w:val="0"/>
      <w:marTop w:val="0"/>
      <w:marBottom w:val="0"/>
      <w:divBdr>
        <w:top w:val="none" w:sz="0" w:space="0" w:color="auto"/>
        <w:left w:val="none" w:sz="0" w:space="0" w:color="auto"/>
        <w:bottom w:val="none" w:sz="0" w:space="0" w:color="auto"/>
        <w:right w:val="none" w:sz="0" w:space="0" w:color="auto"/>
      </w:divBdr>
      <w:divsChild>
        <w:div w:id="814369411">
          <w:marLeft w:val="0"/>
          <w:marRight w:val="0"/>
          <w:marTop w:val="0"/>
          <w:marBottom w:val="0"/>
          <w:divBdr>
            <w:top w:val="none" w:sz="0" w:space="0" w:color="auto"/>
            <w:left w:val="none" w:sz="0" w:space="0" w:color="auto"/>
            <w:bottom w:val="none" w:sz="0" w:space="0" w:color="auto"/>
            <w:right w:val="none" w:sz="0" w:space="0" w:color="auto"/>
          </w:divBdr>
          <w:divsChild>
            <w:div w:id="465317979">
              <w:marLeft w:val="0"/>
              <w:marRight w:val="0"/>
              <w:marTop w:val="0"/>
              <w:marBottom w:val="0"/>
              <w:divBdr>
                <w:top w:val="none" w:sz="0" w:space="0" w:color="auto"/>
                <w:left w:val="none" w:sz="0" w:space="0" w:color="auto"/>
                <w:bottom w:val="none" w:sz="0" w:space="0" w:color="auto"/>
                <w:right w:val="none" w:sz="0" w:space="0" w:color="auto"/>
              </w:divBdr>
            </w:div>
          </w:divsChild>
        </w:div>
        <w:div w:id="550580070">
          <w:marLeft w:val="0"/>
          <w:marRight w:val="0"/>
          <w:marTop w:val="0"/>
          <w:marBottom w:val="0"/>
          <w:divBdr>
            <w:top w:val="none" w:sz="0" w:space="0" w:color="auto"/>
            <w:left w:val="none" w:sz="0" w:space="0" w:color="auto"/>
            <w:bottom w:val="none" w:sz="0" w:space="0" w:color="auto"/>
            <w:right w:val="none" w:sz="0" w:space="0" w:color="auto"/>
          </w:divBdr>
          <w:divsChild>
            <w:div w:id="523205201">
              <w:marLeft w:val="0"/>
              <w:marRight w:val="0"/>
              <w:marTop w:val="0"/>
              <w:marBottom w:val="0"/>
              <w:divBdr>
                <w:top w:val="none" w:sz="0" w:space="0" w:color="auto"/>
                <w:left w:val="none" w:sz="0" w:space="0" w:color="auto"/>
                <w:bottom w:val="none" w:sz="0" w:space="0" w:color="auto"/>
                <w:right w:val="none" w:sz="0" w:space="0" w:color="auto"/>
              </w:divBdr>
            </w:div>
          </w:divsChild>
        </w:div>
        <w:div w:id="1859075936">
          <w:marLeft w:val="0"/>
          <w:marRight w:val="0"/>
          <w:marTop w:val="0"/>
          <w:marBottom w:val="0"/>
          <w:divBdr>
            <w:top w:val="none" w:sz="0" w:space="0" w:color="auto"/>
            <w:left w:val="none" w:sz="0" w:space="0" w:color="auto"/>
            <w:bottom w:val="none" w:sz="0" w:space="0" w:color="auto"/>
            <w:right w:val="none" w:sz="0" w:space="0" w:color="auto"/>
          </w:divBdr>
          <w:divsChild>
            <w:div w:id="1661107538">
              <w:marLeft w:val="0"/>
              <w:marRight w:val="0"/>
              <w:marTop w:val="0"/>
              <w:marBottom w:val="0"/>
              <w:divBdr>
                <w:top w:val="none" w:sz="0" w:space="0" w:color="auto"/>
                <w:left w:val="none" w:sz="0" w:space="0" w:color="auto"/>
                <w:bottom w:val="none" w:sz="0" w:space="0" w:color="auto"/>
                <w:right w:val="none" w:sz="0" w:space="0" w:color="auto"/>
              </w:divBdr>
            </w:div>
          </w:divsChild>
        </w:div>
        <w:div w:id="2062635259">
          <w:marLeft w:val="0"/>
          <w:marRight w:val="0"/>
          <w:marTop w:val="0"/>
          <w:marBottom w:val="0"/>
          <w:divBdr>
            <w:top w:val="none" w:sz="0" w:space="0" w:color="auto"/>
            <w:left w:val="none" w:sz="0" w:space="0" w:color="auto"/>
            <w:bottom w:val="none" w:sz="0" w:space="0" w:color="auto"/>
            <w:right w:val="none" w:sz="0" w:space="0" w:color="auto"/>
          </w:divBdr>
          <w:divsChild>
            <w:div w:id="1939946447">
              <w:marLeft w:val="0"/>
              <w:marRight w:val="0"/>
              <w:marTop w:val="0"/>
              <w:marBottom w:val="0"/>
              <w:divBdr>
                <w:top w:val="none" w:sz="0" w:space="0" w:color="auto"/>
                <w:left w:val="none" w:sz="0" w:space="0" w:color="auto"/>
                <w:bottom w:val="none" w:sz="0" w:space="0" w:color="auto"/>
                <w:right w:val="none" w:sz="0" w:space="0" w:color="auto"/>
              </w:divBdr>
            </w:div>
          </w:divsChild>
        </w:div>
        <w:div w:id="1402481279">
          <w:marLeft w:val="0"/>
          <w:marRight w:val="0"/>
          <w:marTop w:val="0"/>
          <w:marBottom w:val="0"/>
          <w:divBdr>
            <w:top w:val="none" w:sz="0" w:space="0" w:color="auto"/>
            <w:left w:val="none" w:sz="0" w:space="0" w:color="auto"/>
            <w:bottom w:val="none" w:sz="0" w:space="0" w:color="auto"/>
            <w:right w:val="none" w:sz="0" w:space="0" w:color="auto"/>
          </w:divBdr>
          <w:divsChild>
            <w:div w:id="1145007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8282059">
      <w:bodyDiv w:val="1"/>
      <w:marLeft w:val="0"/>
      <w:marRight w:val="0"/>
      <w:marTop w:val="0"/>
      <w:marBottom w:val="0"/>
      <w:divBdr>
        <w:top w:val="none" w:sz="0" w:space="0" w:color="auto"/>
        <w:left w:val="none" w:sz="0" w:space="0" w:color="auto"/>
        <w:bottom w:val="none" w:sz="0" w:space="0" w:color="auto"/>
        <w:right w:val="none" w:sz="0" w:space="0" w:color="auto"/>
      </w:divBdr>
    </w:div>
    <w:div w:id="1560244505">
      <w:bodyDiv w:val="1"/>
      <w:marLeft w:val="0"/>
      <w:marRight w:val="0"/>
      <w:marTop w:val="0"/>
      <w:marBottom w:val="0"/>
      <w:divBdr>
        <w:top w:val="none" w:sz="0" w:space="0" w:color="auto"/>
        <w:left w:val="none" w:sz="0" w:space="0" w:color="auto"/>
        <w:bottom w:val="none" w:sz="0" w:space="0" w:color="auto"/>
        <w:right w:val="none" w:sz="0" w:space="0" w:color="auto"/>
      </w:divBdr>
    </w:div>
    <w:div w:id="1562011171">
      <w:bodyDiv w:val="1"/>
      <w:marLeft w:val="0"/>
      <w:marRight w:val="0"/>
      <w:marTop w:val="0"/>
      <w:marBottom w:val="0"/>
      <w:divBdr>
        <w:top w:val="none" w:sz="0" w:space="0" w:color="auto"/>
        <w:left w:val="none" w:sz="0" w:space="0" w:color="auto"/>
        <w:bottom w:val="none" w:sz="0" w:space="0" w:color="auto"/>
        <w:right w:val="none" w:sz="0" w:space="0" w:color="auto"/>
      </w:divBdr>
    </w:div>
    <w:div w:id="1563714633">
      <w:bodyDiv w:val="1"/>
      <w:marLeft w:val="0"/>
      <w:marRight w:val="0"/>
      <w:marTop w:val="0"/>
      <w:marBottom w:val="0"/>
      <w:divBdr>
        <w:top w:val="none" w:sz="0" w:space="0" w:color="auto"/>
        <w:left w:val="none" w:sz="0" w:space="0" w:color="auto"/>
        <w:bottom w:val="none" w:sz="0" w:space="0" w:color="auto"/>
        <w:right w:val="none" w:sz="0" w:space="0" w:color="auto"/>
      </w:divBdr>
    </w:div>
    <w:div w:id="1564485384">
      <w:bodyDiv w:val="1"/>
      <w:marLeft w:val="0"/>
      <w:marRight w:val="0"/>
      <w:marTop w:val="0"/>
      <w:marBottom w:val="0"/>
      <w:divBdr>
        <w:top w:val="none" w:sz="0" w:space="0" w:color="auto"/>
        <w:left w:val="none" w:sz="0" w:space="0" w:color="auto"/>
        <w:bottom w:val="none" w:sz="0" w:space="0" w:color="auto"/>
        <w:right w:val="none" w:sz="0" w:space="0" w:color="auto"/>
      </w:divBdr>
    </w:div>
    <w:div w:id="1564875223">
      <w:bodyDiv w:val="1"/>
      <w:marLeft w:val="0"/>
      <w:marRight w:val="0"/>
      <w:marTop w:val="0"/>
      <w:marBottom w:val="0"/>
      <w:divBdr>
        <w:top w:val="none" w:sz="0" w:space="0" w:color="auto"/>
        <w:left w:val="none" w:sz="0" w:space="0" w:color="auto"/>
        <w:bottom w:val="none" w:sz="0" w:space="0" w:color="auto"/>
        <w:right w:val="none" w:sz="0" w:space="0" w:color="auto"/>
      </w:divBdr>
    </w:div>
    <w:div w:id="1566719540">
      <w:bodyDiv w:val="1"/>
      <w:marLeft w:val="0"/>
      <w:marRight w:val="0"/>
      <w:marTop w:val="0"/>
      <w:marBottom w:val="0"/>
      <w:divBdr>
        <w:top w:val="none" w:sz="0" w:space="0" w:color="auto"/>
        <w:left w:val="none" w:sz="0" w:space="0" w:color="auto"/>
        <w:bottom w:val="none" w:sz="0" w:space="0" w:color="auto"/>
        <w:right w:val="none" w:sz="0" w:space="0" w:color="auto"/>
      </w:divBdr>
    </w:div>
    <w:div w:id="1567253318">
      <w:bodyDiv w:val="1"/>
      <w:marLeft w:val="0"/>
      <w:marRight w:val="0"/>
      <w:marTop w:val="0"/>
      <w:marBottom w:val="0"/>
      <w:divBdr>
        <w:top w:val="none" w:sz="0" w:space="0" w:color="auto"/>
        <w:left w:val="none" w:sz="0" w:space="0" w:color="auto"/>
        <w:bottom w:val="none" w:sz="0" w:space="0" w:color="auto"/>
        <w:right w:val="none" w:sz="0" w:space="0" w:color="auto"/>
      </w:divBdr>
    </w:div>
    <w:div w:id="1574242353">
      <w:bodyDiv w:val="1"/>
      <w:marLeft w:val="0"/>
      <w:marRight w:val="0"/>
      <w:marTop w:val="0"/>
      <w:marBottom w:val="0"/>
      <w:divBdr>
        <w:top w:val="none" w:sz="0" w:space="0" w:color="auto"/>
        <w:left w:val="none" w:sz="0" w:space="0" w:color="auto"/>
        <w:bottom w:val="none" w:sz="0" w:space="0" w:color="auto"/>
        <w:right w:val="none" w:sz="0" w:space="0" w:color="auto"/>
      </w:divBdr>
    </w:div>
    <w:div w:id="1576864624">
      <w:bodyDiv w:val="1"/>
      <w:marLeft w:val="0"/>
      <w:marRight w:val="0"/>
      <w:marTop w:val="0"/>
      <w:marBottom w:val="0"/>
      <w:divBdr>
        <w:top w:val="none" w:sz="0" w:space="0" w:color="auto"/>
        <w:left w:val="none" w:sz="0" w:space="0" w:color="auto"/>
        <w:bottom w:val="none" w:sz="0" w:space="0" w:color="auto"/>
        <w:right w:val="none" w:sz="0" w:space="0" w:color="auto"/>
      </w:divBdr>
    </w:div>
    <w:div w:id="1592161954">
      <w:bodyDiv w:val="1"/>
      <w:marLeft w:val="0"/>
      <w:marRight w:val="0"/>
      <w:marTop w:val="0"/>
      <w:marBottom w:val="0"/>
      <w:divBdr>
        <w:top w:val="none" w:sz="0" w:space="0" w:color="auto"/>
        <w:left w:val="none" w:sz="0" w:space="0" w:color="auto"/>
        <w:bottom w:val="none" w:sz="0" w:space="0" w:color="auto"/>
        <w:right w:val="none" w:sz="0" w:space="0" w:color="auto"/>
      </w:divBdr>
    </w:div>
    <w:div w:id="1592808715">
      <w:bodyDiv w:val="1"/>
      <w:marLeft w:val="0"/>
      <w:marRight w:val="0"/>
      <w:marTop w:val="0"/>
      <w:marBottom w:val="0"/>
      <w:divBdr>
        <w:top w:val="none" w:sz="0" w:space="0" w:color="auto"/>
        <w:left w:val="none" w:sz="0" w:space="0" w:color="auto"/>
        <w:bottom w:val="none" w:sz="0" w:space="0" w:color="auto"/>
        <w:right w:val="none" w:sz="0" w:space="0" w:color="auto"/>
      </w:divBdr>
    </w:div>
    <w:div w:id="1596552065">
      <w:bodyDiv w:val="1"/>
      <w:marLeft w:val="0"/>
      <w:marRight w:val="0"/>
      <w:marTop w:val="0"/>
      <w:marBottom w:val="0"/>
      <w:divBdr>
        <w:top w:val="none" w:sz="0" w:space="0" w:color="auto"/>
        <w:left w:val="none" w:sz="0" w:space="0" w:color="auto"/>
        <w:bottom w:val="none" w:sz="0" w:space="0" w:color="auto"/>
        <w:right w:val="none" w:sz="0" w:space="0" w:color="auto"/>
      </w:divBdr>
    </w:div>
    <w:div w:id="1596669815">
      <w:bodyDiv w:val="1"/>
      <w:marLeft w:val="0"/>
      <w:marRight w:val="0"/>
      <w:marTop w:val="0"/>
      <w:marBottom w:val="0"/>
      <w:divBdr>
        <w:top w:val="none" w:sz="0" w:space="0" w:color="auto"/>
        <w:left w:val="none" w:sz="0" w:space="0" w:color="auto"/>
        <w:bottom w:val="none" w:sz="0" w:space="0" w:color="auto"/>
        <w:right w:val="none" w:sz="0" w:space="0" w:color="auto"/>
      </w:divBdr>
    </w:div>
    <w:div w:id="1599411499">
      <w:bodyDiv w:val="1"/>
      <w:marLeft w:val="0"/>
      <w:marRight w:val="0"/>
      <w:marTop w:val="0"/>
      <w:marBottom w:val="0"/>
      <w:divBdr>
        <w:top w:val="none" w:sz="0" w:space="0" w:color="auto"/>
        <w:left w:val="none" w:sz="0" w:space="0" w:color="auto"/>
        <w:bottom w:val="none" w:sz="0" w:space="0" w:color="auto"/>
        <w:right w:val="none" w:sz="0" w:space="0" w:color="auto"/>
      </w:divBdr>
    </w:div>
    <w:div w:id="1603687683">
      <w:bodyDiv w:val="1"/>
      <w:marLeft w:val="0"/>
      <w:marRight w:val="0"/>
      <w:marTop w:val="0"/>
      <w:marBottom w:val="0"/>
      <w:divBdr>
        <w:top w:val="none" w:sz="0" w:space="0" w:color="auto"/>
        <w:left w:val="none" w:sz="0" w:space="0" w:color="auto"/>
        <w:bottom w:val="none" w:sz="0" w:space="0" w:color="auto"/>
        <w:right w:val="none" w:sz="0" w:space="0" w:color="auto"/>
      </w:divBdr>
    </w:div>
    <w:div w:id="1605570479">
      <w:bodyDiv w:val="1"/>
      <w:marLeft w:val="0"/>
      <w:marRight w:val="0"/>
      <w:marTop w:val="0"/>
      <w:marBottom w:val="0"/>
      <w:divBdr>
        <w:top w:val="none" w:sz="0" w:space="0" w:color="auto"/>
        <w:left w:val="none" w:sz="0" w:space="0" w:color="auto"/>
        <w:bottom w:val="none" w:sz="0" w:space="0" w:color="auto"/>
        <w:right w:val="none" w:sz="0" w:space="0" w:color="auto"/>
      </w:divBdr>
    </w:div>
    <w:div w:id="1609697911">
      <w:bodyDiv w:val="1"/>
      <w:marLeft w:val="0"/>
      <w:marRight w:val="0"/>
      <w:marTop w:val="0"/>
      <w:marBottom w:val="0"/>
      <w:divBdr>
        <w:top w:val="none" w:sz="0" w:space="0" w:color="auto"/>
        <w:left w:val="none" w:sz="0" w:space="0" w:color="auto"/>
        <w:bottom w:val="none" w:sz="0" w:space="0" w:color="auto"/>
        <w:right w:val="none" w:sz="0" w:space="0" w:color="auto"/>
      </w:divBdr>
      <w:divsChild>
        <w:div w:id="1608462675">
          <w:marLeft w:val="0"/>
          <w:marRight w:val="0"/>
          <w:marTop w:val="0"/>
          <w:marBottom w:val="0"/>
          <w:divBdr>
            <w:top w:val="none" w:sz="0" w:space="0" w:color="auto"/>
            <w:left w:val="none" w:sz="0" w:space="0" w:color="auto"/>
            <w:bottom w:val="none" w:sz="0" w:space="0" w:color="auto"/>
            <w:right w:val="none" w:sz="0" w:space="0" w:color="auto"/>
          </w:divBdr>
          <w:divsChild>
            <w:div w:id="329213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752697">
      <w:bodyDiv w:val="1"/>
      <w:marLeft w:val="0"/>
      <w:marRight w:val="0"/>
      <w:marTop w:val="0"/>
      <w:marBottom w:val="0"/>
      <w:divBdr>
        <w:top w:val="none" w:sz="0" w:space="0" w:color="auto"/>
        <w:left w:val="none" w:sz="0" w:space="0" w:color="auto"/>
        <w:bottom w:val="none" w:sz="0" w:space="0" w:color="auto"/>
        <w:right w:val="none" w:sz="0" w:space="0" w:color="auto"/>
      </w:divBdr>
    </w:div>
    <w:div w:id="1617366351">
      <w:bodyDiv w:val="1"/>
      <w:marLeft w:val="0"/>
      <w:marRight w:val="0"/>
      <w:marTop w:val="0"/>
      <w:marBottom w:val="0"/>
      <w:divBdr>
        <w:top w:val="none" w:sz="0" w:space="0" w:color="auto"/>
        <w:left w:val="none" w:sz="0" w:space="0" w:color="auto"/>
        <w:bottom w:val="none" w:sz="0" w:space="0" w:color="auto"/>
        <w:right w:val="none" w:sz="0" w:space="0" w:color="auto"/>
      </w:divBdr>
    </w:div>
    <w:div w:id="1627348133">
      <w:bodyDiv w:val="1"/>
      <w:marLeft w:val="0"/>
      <w:marRight w:val="0"/>
      <w:marTop w:val="0"/>
      <w:marBottom w:val="0"/>
      <w:divBdr>
        <w:top w:val="none" w:sz="0" w:space="0" w:color="auto"/>
        <w:left w:val="none" w:sz="0" w:space="0" w:color="auto"/>
        <w:bottom w:val="none" w:sz="0" w:space="0" w:color="auto"/>
        <w:right w:val="none" w:sz="0" w:space="0" w:color="auto"/>
      </w:divBdr>
    </w:div>
    <w:div w:id="1627613978">
      <w:bodyDiv w:val="1"/>
      <w:marLeft w:val="0"/>
      <w:marRight w:val="0"/>
      <w:marTop w:val="0"/>
      <w:marBottom w:val="0"/>
      <w:divBdr>
        <w:top w:val="none" w:sz="0" w:space="0" w:color="auto"/>
        <w:left w:val="none" w:sz="0" w:space="0" w:color="auto"/>
        <w:bottom w:val="none" w:sz="0" w:space="0" w:color="auto"/>
        <w:right w:val="none" w:sz="0" w:space="0" w:color="auto"/>
      </w:divBdr>
    </w:div>
    <w:div w:id="1627807379">
      <w:bodyDiv w:val="1"/>
      <w:marLeft w:val="0"/>
      <w:marRight w:val="0"/>
      <w:marTop w:val="0"/>
      <w:marBottom w:val="0"/>
      <w:divBdr>
        <w:top w:val="none" w:sz="0" w:space="0" w:color="auto"/>
        <w:left w:val="none" w:sz="0" w:space="0" w:color="auto"/>
        <w:bottom w:val="none" w:sz="0" w:space="0" w:color="auto"/>
        <w:right w:val="none" w:sz="0" w:space="0" w:color="auto"/>
      </w:divBdr>
    </w:div>
    <w:div w:id="1631014810">
      <w:bodyDiv w:val="1"/>
      <w:marLeft w:val="0"/>
      <w:marRight w:val="0"/>
      <w:marTop w:val="0"/>
      <w:marBottom w:val="0"/>
      <w:divBdr>
        <w:top w:val="none" w:sz="0" w:space="0" w:color="auto"/>
        <w:left w:val="none" w:sz="0" w:space="0" w:color="auto"/>
        <w:bottom w:val="none" w:sz="0" w:space="0" w:color="auto"/>
        <w:right w:val="none" w:sz="0" w:space="0" w:color="auto"/>
      </w:divBdr>
    </w:div>
    <w:div w:id="1632058721">
      <w:bodyDiv w:val="1"/>
      <w:marLeft w:val="0"/>
      <w:marRight w:val="0"/>
      <w:marTop w:val="0"/>
      <w:marBottom w:val="0"/>
      <w:divBdr>
        <w:top w:val="none" w:sz="0" w:space="0" w:color="auto"/>
        <w:left w:val="none" w:sz="0" w:space="0" w:color="auto"/>
        <w:bottom w:val="none" w:sz="0" w:space="0" w:color="auto"/>
        <w:right w:val="none" w:sz="0" w:space="0" w:color="auto"/>
      </w:divBdr>
    </w:div>
    <w:div w:id="1632713409">
      <w:bodyDiv w:val="1"/>
      <w:marLeft w:val="0"/>
      <w:marRight w:val="0"/>
      <w:marTop w:val="0"/>
      <w:marBottom w:val="0"/>
      <w:divBdr>
        <w:top w:val="none" w:sz="0" w:space="0" w:color="auto"/>
        <w:left w:val="none" w:sz="0" w:space="0" w:color="auto"/>
        <w:bottom w:val="none" w:sz="0" w:space="0" w:color="auto"/>
        <w:right w:val="none" w:sz="0" w:space="0" w:color="auto"/>
      </w:divBdr>
    </w:div>
    <w:div w:id="1642691192">
      <w:bodyDiv w:val="1"/>
      <w:marLeft w:val="0"/>
      <w:marRight w:val="0"/>
      <w:marTop w:val="0"/>
      <w:marBottom w:val="0"/>
      <w:divBdr>
        <w:top w:val="none" w:sz="0" w:space="0" w:color="auto"/>
        <w:left w:val="none" w:sz="0" w:space="0" w:color="auto"/>
        <w:bottom w:val="none" w:sz="0" w:space="0" w:color="auto"/>
        <w:right w:val="none" w:sz="0" w:space="0" w:color="auto"/>
      </w:divBdr>
    </w:div>
    <w:div w:id="1643728358">
      <w:bodyDiv w:val="1"/>
      <w:marLeft w:val="0"/>
      <w:marRight w:val="0"/>
      <w:marTop w:val="0"/>
      <w:marBottom w:val="0"/>
      <w:divBdr>
        <w:top w:val="none" w:sz="0" w:space="0" w:color="auto"/>
        <w:left w:val="none" w:sz="0" w:space="0" w:color="auto"/>
        <w:bottom w:val="none" w:sz="0" w:space="0" w:color="auto"/>
        <w:right w:val="none" w:sz="0" w:space="0" w:color="auto"/>
      </w:divBdr>
    </w:div>
    <w:div w:id="1644311369">
      <w:bodyDiv w:val="1"/>
      <w:marLeft w:val="0"/>
      <w:marRight w:val="0"/>
      <w:marTop w:val="0"/>
      <w:marBottom w:val="0"/>
      <w:divBdr>
        <w:top w:val="none" w:sz="0" w:space="0" w:color="auto"/>
        <w:left w:val="none" w:sz="0" w:space="0" w:color="auto"/>
        <w:bottom w:val="none" w:sz="0" w:space="0" w:color="auto"/>
        <w:right w:val="none" w:sz="0" w:space="0" w:color="auto"/>
      </w:divBdr>
      <w:divsChild>
        <w:div w:id="1212884133">
          <w:marLeft w:val="0"/>
          <w:marRight w:val="0"/>
          <w:marTop w:val="0"/>
          <w:marBottom w:val="0"/>
          <w:divBdr>
            <w:top w:val="none" w:sz="0" w:space="0" w:color="auto"/>
            <w:left w:val="none" w:sz="0" w:space="0" w:color="auto"/>
            <w:bottom w:val="none" w:sz="0" w:space="0" w:color="auto"/>
            <w:right w:val="none" w:sz="0" w:space="0" w:color="auto"/>
          </w:divBdr>
          <w:divsChild>
            <w:div w:id="1226800028">
              <w:marLeft w:val="0"/>
              <w:marRight w:val="0"/>
              <w:marTop w:val="0"/>
              <w:marBottom w:val="0"/>
              <w:divBdr>
                <w:top w:val="none" w:sz="0" w:space="0" w:color="auto"/>
                <w:left w:val="none" w:sz="0" w:space="0" w:color="auto"/>
                <w:bottom w:val="none" w:sz="0" w:space="0" w:color="auto"/>
                <w:right w:val="none" w:sz="0" w:space="0" w:color="auto"/>
              </w:divBdr>
              <w:divsChild>
                <w:div w:id="606422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61782">
      <w:bodyDiv w:val="1"/>
      <w:marLeft w:val="0"/>
      <w:marRight w:val="0"/>
      <w:marTop w:val="0"/>
      <w:marBottom w:val="0"/>
      <w:divBdr>
        <w:top w:val="none" w:sz="0" w:space="0" w:color="auto"/>
        <w:left w:val="none" w:sz="0" w:space="0" w:color="auto"/>
        <w:bottom w:val="none" w:sz="0" w:space="0" w:color="auto"/>
        <w:right w:val="none" w:sz="0" w:space="0" w:color="auto"/>
      </w:divBdr>
    </w:div>
    <w:div w:id="1645740856">
      <w:bodyDiv w:val="1"/>
      <w:marLeft w:val="0"/>
      <w:marRight w:val="0"/>
      <w:marTop w:val="0"/>
      <w:marBottom w:val="0"/>
      <w:divBdr>
        <w:top w:val="none" w:sz="0" w:space="0" w:color="auto"/>
        <w:left w:val="none" w:sz="0" w:space="0" w:color="auto"/>
        <w:bottom w:val="none" w:sz="0" w:space="0" w:color="auto"/>
        <w:right w:val="none" w:sz="0" w:space="0" w:color="auto"/>
      </w:divBdr>
    </w:div>
    <w:div w:id="1647321150">
      <w:bodyDiv w:val="1"/>
      <w:marLeft w:val="0"/>
      <w:marRight w:val="0"/>
      <w:marTop w:val="0"/>
      <w:marBottom w:val="0"/>
      <w:divBdr>
        <w:top w:val="none" w:sz="0" w:space="0" w:color="auto"/>
        <w:left w:val="none" w:sz="0" w:space="0" w:color="auto"/>
        <w:bottom w:val="none" w:sz="0" w:space="0" w:color="auto"/>
        <w:right w:val="none" w:sz="0" w:space="0" w:color="auto"/>
      </w:divBdr>
    </w:div>
    <w:div w:id="1648123164">
      <w:bodyDiv w:val="1"/>
      <w:marLeft w:val="0"/>
      <w:marRight w:val="0"/>
      <w:marTop w:val="0"/>
      <w:marBottom w:val="0"/>
      <w:divBdr>
        <w:top w:val="none" w:sz="0" w:space="0" w:color="auto"/>
        <w:left w:val="none" w:sz="0" w:space="0" w:color="auto"/>
        <w:bottom w:val="none" w:sz="0" w:space="0" w:color="auto"/>
        <w:right w:val="none" w:sz="0" w:space="0" w:color="auto"/>
      </w:divBdr>
    </w:div>
    <w:div w:id="1648587915">
      <w:bodyDiv w:val="1"/>
      <w:marLeft w:val="0"/>
      <w:marRight w:val="0"/>
      <w:marTop w:val="0"/>
      <w:marBottom w:val="0"/>
      <w:divBdr>
        <w:top w:val="none" w:sz="0" w:space="0" w:color="auto"/>
        <w:left w:val="none" w:sz="0" w:space="0" w:color="auto"/>
        <w:bottom w:val="none" w:sz="0" w:space="0" w:color="auto"/>
        <w:right w:val="none" w:sz="0" w:space="0" w:color="auto"/>
      </w:divBdr>
      <w:divsChild>
        <w:div w:id="3098150">
          <w:marLeft w:val="547"/>
          <w:marRight w:val="0"/>
          <w:marTop w:val="0"/>
          <w:marBottom w:val="0"/>
          <w:divBdr>
            <w:top w:val="none" w:sz="0" w:space="0" w:color="auto"/>
            <w:left w:val="none" w:sz="0" w:space="0" w:color="auto"/>
            <w:bottom w:val="none" w:sz="0" w:space="0" w:color="auto"/>
            <w:right w:val="none" w:sz="0" w:space="0" w:color="auto"/>
          </w:divBdr>
        </w:div>
        <w:div w:id="1469282261">
          <w:marLeft w:val="547"/>
          <w:marRight w:val="0"/>
          <w:marTop w:val="0"/>
          <w:marBottom w:val="0"/>
          <w:divBdr>
            <w:top w:val="none" w:sz="0" w:space="0" w:color="auto"/>
            <w:left w:val="none" w:sz="0" w:space="0" w:color="auto"/>
            <w:bottom w:val="none" w:sz="0" w:space="0" w:color="auto"/>
            <w:right w:val="none" w:sz="0" w:space="0" w:color="auto"/>
          </w:divBdr>
        </w:div>
      </w:divsChild>
    </w:div>
    <w:div w:id="1649286887">
      <w:bodyDiv w:val="1"/>
      <w:marLeft w:val="0"/>
      <w:marRight w:val="0"/>
      <w:marTop w:val="0"/>
      <w:marBottom w:val="0"/>
      <w:divBdr>
        <w:top w:val="none" w:sz="0" w:space="0" w:color="auto"/>
        <w:left w:val="none" w:sz="0" w:space="0" w:color="auto"/>
        <w:bottom w:val="none" w:sz="0" w:space="0" w:color="auto"/>
        <w:right w:val="none" w:sz="0" w:space="0" w:color="auto"/>
      </w:divBdr>
    </w:div>
    <w:div w:id="1649675205">
      <w:bodyDiv w:val="1"/>
      <w:marLeft w:val="0"/>
      <w:marRight w:val="0"/>
      <w:marTop w:val="0"/>
      <w:marBottom w:val="0"/>
      <w:divBdr>
        <w:top w:val="none" w:sz="0" w:space="0" w:color="auto"/>
        <w:left w:val="none" w:sz="0" w:space="0" w:color="auto"/>
        <w:bottom w:val="none" w:sz="0" w:space="0" w:color="auto"/>
        <w:right w:val="none" w:sz="0" w:space="0" w:color="auto"/>
      </w:divBdr>
    </w:div>
    <w:div w:id="1659071656">
      <w:bodyDiv w:val="1"/>
      <w:marLeft w:val="0"/>
      <w:marRight w:val="0"/>
      <w:marTop w:val="0"/>
      <w:marBottom w:val="0"/>
      <w:divBdr>
        <w:top w:val="none" w:sz="0" w:space="0" w:color="auto"/>
        <w:left w:val="none" w:sz="0" w:space="0" w:color="auto"/>
        <w:bottom w:val="none" w:sz="0" w:space="0" w:color="auto"/>
        <w:right w:val="none" w:sz="0" w:space="0" w:color="auto"/>
      </w:divBdr>
    </w:div>
    <w:div w:id="1659453446">
      <w:bodyDiv w:val="1"/>
      <w:marLeft w:val="0"/>
      <w:marRight w:val="0"/>
      <w:marTop w:val="0"/>
      <w:marBottom w:val="0"/>
      <w:divBdr>
        <w:top w:val="none" w:sz="0" w:space="0" w:color="auto"/>
        <w:left w:val="none" w:sz="0" w:space="0" w:color="auto"/>
        <w:bottom w:val="none" w:sz="0" w:space="0" w:color="auto"/>
        <w:right w:val="none" w:sz="0" w:space="0" w:color="auto"/>
      </w:divBdr>
    </w:div>
    <w:div w:id="1659923542">
      <w:bodyDiv w:val="1"/>
      <w:marLeft w:val="0"/>
      <w:marRight w:val="0"/>
      <w:marTop w:val="0"/>
      <w:marBottom w:val="0"/>
      <w:divBdr>
        <w:top w:val="none" w:sz="0" w:space="0" w:color="auto"/>
        <w:left w:val="none" w:sz="0" w:space="0" w:color="auto"/>
        <w:bottom w:val="none" w:sz="0" w:space="0" w:color="auto"/>
        <w:right w:val="none" w:sz="0" w:space="0" w:color="auto"/>
      </w:divBdr>
    </w:div>
    <w:div w:id="1662460577">
      <w:bodyDiv w:val="1"/>
      <w:marLeft w:val="0"/>
      <w:marRight w:val="0"/>
      <w:marTop w:val="0"/>
      <w:marBottom w:val="0"/>
      <w:divBdr>
        <w:top w:val="none" w:sz="0" w:space="0" w:color="auto"/>
        <w:left w:val="none" w:sz="0" w:space="0" w:color="auto"/>
        <w:bottom w:val="none" w:sz="0" w:space="0" w:color="auto"/>
        <w:right w:val="none" w:sz="0" w:space="0" w:color="auto"/>
      </w:divBdr>
    </w:div>
    <w:div w:id="1666474029">
      <w:bodyDiv w:val="1"/>
      <w:marLeft w:val="0"/>
      <w:marRight w:val="0"/>
      <w:marTop w:val="0"/>
      <w:marBottom w:val="0"/>
      <w:divBdr>
        <w:top w:val="none" w:sz="0" w:space="0" w:color="auto"/>
        <w:left w:val="none" w:sz="0" w:space="0" w:color="auto"/>
        <w:bottom w:val="none" w:sz="0" w:space="0" w:color="auto"/>
        <w:right w:val="none" w:sz="0" w:space="0" w:color="auto"/>
      </w:divBdr>
    </w:div>
    <w:div w:id="1675306894">
      <w:bodyDiv w:val="1"/>
      <w:marLeft w:val="0"/>
      <w:marRight w:val="0"/>
      <w:marTop w:val="0"/>
      <w:marBottom w:val="0"/>
      <w:divBdr>
        <w:top w:val="none" w:sz="0" w:space="0" w:color="auto"/>
        <w:left w:val="none" w:sz="0" w:space="0" w:color="auto"/>
        <w:bottom w:val="none" w:sz="0" w:space="0" w:color="auto"/>
        <w:right w:val="none" w:sz="0" w:space="0" w:color="auto"/>
      </w:divBdr>
      <w:divsChild>
        <w:div w:id="1393118246">
          <w:marLeft w:val="0"/>
          <w:marRight w:val="0"/>
          <w:marTop w:val="0"/>
          <w:marBottom w:val="0"/>
          <w:divBdr>
            <w:top w:val="none" w:sz="0" w:space="0" w:color="auto"/>
            <w:left w:val="none" w:sz="0" w:space="0" w:color="auto"/>
            <w:bottom w:val="none" w:sz="0" w:space="0" w:color="auto"/>
            <w:right w:val="none" w:sz="0" w:space="0" w:color="auto"/>
          </w:divBdr>
        </w:div>
      </w:divsChild>
    </w:div>
    <w:div w:id="1678919693">
      <w:bodyDiv w:val="1"/>
      <w:marLeft w:val="0"/>
      <w:marRight w:val="0"/>
      <w:marTop w:val="0"/>
      <w:marBottom w:val="0"/>
      <w:divBdr>
        <w:top w:val="none" w:sz="0" w:space="0" w:color="auto"/>
        <w:left w:val="none" w:sz="0" w:space="0" w:color="auto"/>
        <w:bottom w:val="none" w:sz="0" w:space="0" w:color="auto"/>
        <w:right w:val="none" w:sz="0" w:space="0" w:color="auto"/>
      </w:divBdr>
    </w:div>
    <w:div w:id="1679891313">
      <w:bodyDiv w:val="1"/>
      <w:marLeft w:val="0"/>
      <w:marRight w:val="0"/>
      <w:marTop w:val="0"/>
      <w:marBottom w:val="0"/>
      <w:divBdr>
        <w:top w:val="none" w:sz="0" w:space="0" w:color="auto"/>
        <w:left w:val="none" w:sz="0" w:space="0" w:color="auto"/>
        <w:bottom w:val="none" w:sz="0" w:space="0" w:color="auto"/>
        <w:right w:val="none" w:sz="0" w:space="0" w:color="auto"/>
      </w:divBdr>
    </w:div>
    <w:div w:id="1681850907">
      <w:bodyDiv w:val="1"/>
      <w:marLeft w:val="0"/>
      <w:marRight w:val="0"/>
      <w:marTop w:val="0"/>
      <w:marBottom w:val="0"/>
      <w:divBdr>
        <w:top w:val="none" w:sz="0" w:space="0" w:color="auto"/>
        <w:left w:val="none" w:sz="0" w:space="0" w:color="auto"/>
        <w:bottom w:val="none" w:sz="0" w:space="0" w:color="auto"/>
        <w:right w:val="none" w:sz="0" w:space="0" w:color="auto"/>
      </w:divBdr>
    </w:div>
    <w:div w:id="1685325193">
      <w:bodyDiv w:val="1"/>
      <w:marLeft w:val="0"/>
      <w:marRight w:val="0"/>
      <w:marTop w:val="0"/>
      <w:marBottom w:val="0"/>
      <w:divBdr>
        <w:top w:val="none" w:sz="0" w:space="0" w:color="auto"/>
        <w:left w:val="none" w:sz="0" w:space="0" w:color="auto"/>
        <w:bottom w:val="none" w:sz="0" w:space="0" w:color="auto"/>
        <w:right w:val="none" w:sz="0" w:space="0" w:color="auto"/>
      </w:divBdr>
    </w:div>
    <w:div w:id="1687752871">
      <w:bodyDiv w:val="1"/>
      <w:marLeft w:val="0"/>
      <w:marRight w:val="0"/>
      <w:marTop w:val="0"/>
      <w:marBottom w:val="0"/>
      <w:divBdr>
        <w:top w:val="none" w:sz="0" w:space="0" w:color="auto"/>
        <w:left w:val="none" w:sz="0" w:space="0" w:color="auto"/>
        <w:bottom w:val="none" w:sz="0" w:space="0" w:color="auto"/>
        <w:right w:val="none" w:sz="0" w:space="0" w:color="auto"/>
      </w:divBdr>
      <w:divsChild>
        <w:div w:id="456219834">
          <w:marLeft w:val="0"/>
          <w:marRight w:val="0"/>
          <w:marTop w:val="0"/>
          <w:marBottom w:val="0"/>
          <w:divBdr>
            <w:top w:val="none" w:sz="0" w:space="0" w:color="auto"/>
            <w:left w:val="none" w:sz="0" w:space="0" w:color="auto"/>
            <w:bottom w:val="none" w:sz="0" w:space="0" w:color="auto"/>
            <w:right w:val="none" w:sz="0" w:space="0" w:color="auto"/>
          </w:divBdr>
          <w:divsChild>
            <w:div w:id="534276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9407443">
      <w:bodyDiv w:val="1"/>
      <w:marLeft w:val="0"/>
      <w:marRight w:val="0"/>
      <w:marTop w:val="0"/>
      <w:marBottom w:val="0"/>
      <w:divBdr>
        <w:top w:val="none" w:sz="0" w:space="0" w:color="auto"/>
        <w:left w:val="none" w:sz="0" w:space="0" w:color="auto"/>
        <w:bottom w:val="none" w:sz="0" w:space="0" w:color="auto"/>
        <w:right w:val="none" w:sz="0" w:space="0" w:color="auto"/>
      </w:divBdr>
    </w:div>
    <w:div w:id="1694572096">
      <w:bodyDiv w:val="1"/>
      <w:marLeft w:val="0"/>
      <w:marRight w:val="0"/>
      <w:marTop w:val="0"/>
      <w:marBottom w:val="0"/>
      <w:divBdr>
        <w:top w:val="none" w:sz="0" w:space="0" w:color="auto"/>
        <w:left w:val="none" w:sz="0" w:space="0" w:color="auto"/>
        <w:bottom w:val="none" w:sz="0" w:space="0" w:color="auto"/>
        <w:right w:val="none" w:sz="0" w:space="0" w:color="auto"/>
      </w:divBdr>
    </w:div>
    <w:div w:id="1695764857">
      <w:bodyDiv w:val="1"/>
      <w:marLeft w:val="0"/>
      <w:marRight w:val="0"/>
      <w:marTop w:val="0"/>
      <w:marBottom w:val="0"/>
      <w:divBdr>
        <w:top w:val="none" w:sz="0" w:space="0" w:color="auto"/>
        <w:left w:val="none" w:sz="0" w:space="0" w:color="auto"/>
        <w:bottom w:val="none" w:sz="0" w:space="0" w:color="auto"/>
        <w:right w:val="none" w:sz="0" w:space="0" w:color="auto"/>
      </w:divBdr>
    </w:div>
    <w:div w:id="1698506400">
      <w:bodyDiv w:val="1"/>
      <w:marLeft w:val="0"/>
      <w:marRight w:val="0"/>
      <w:marTop w:val="0"/>
      <w:marBottom w:val="0"/>
      <w:divBdr>
        <w:top w:val="none" w:sz="0" w:space="0" w:color="auto"/>
        <w:left w:val="none" w:sz="0" w:space="0" w:color="auto"/>
        <w:bottom w:val="none" w:sz="0" w:space="0" w:color="auto"/>
        <w:right w:val="none" w:sz="0" w:space="0" w:color="auto"/>
      </w:divBdr>
    </w:div>
    <w:div w:id="1701053273">
      <w:bodyDiv w:val="1"/>
      <w:marLeft w:val="0"/>
      <w:marRight w:val="0"/>
      <w:marTop w:val="0"/>
      <w:marBottom w:val="0"/>
      <w:divBdr>
        <w:top w:val="none" w:sz="0" w:space="0" w:color="auto"/>
        <w:left w:val="none" w:sz="0" w:space="0" w:color="auto"/>
        <w:bottom w:val="none" w:sz="0" w:space="0" w:color="auto"/>
        <w:right w:val="none" w:sz="0" w:space="0" w:color="auto"/>
      </w:divBdr>
    </w:div>
    <w:div w:id="1703941443">
      <w:bodyDiv w:val="1"/>
      <w:marLeft w:val="0"/>
      <w:marRight w:val="0"/>
      <w:marTop w:val="0"/>
      <w:marBottom w:val="0"/>
      <w:divBdr>
        <w:top w:val="none" w:sz="0" w:space="0" w:color="auto"/>
        <w:left w:val="none" w:sz="0" w:space="0" w:color="auto"/>
        <w:bottom w:val="none" w:sz="0" w:space="0" w:color="auto"/>
        <w:right w:val="none" w:sz="0" w:space="0" w:color="auto"/>
      </w:divBdr>
    </w:div>
    <w:div w:id="1704093925">
      <w:bodyDiv w:val="1"/>
      <w:marLeft w:val="0"/>
      <w:marRight w:val="0"/>
      <w:marTop w:val="0"/>
      <w:marBottom w:val="0"/>
      <w:divBdr>
        <w:top w:val="none" w:sz="0" w:space="0" w:color="auto"/>
        <w:left w:val="none" w:sz="0" w:space="0" w:color="auto"/>
        <w:bottom w:val="none" w:sz="0" w:space="0" w:color="auto"/>
        <w:right w:val="none" w:sz="0" w:space="0" w:color="auto"/>
      </w:divBdr>
    </w:div>
    <w:div w:id="1706783949">
      <w:bodyDiv w:val="1"/>
      <w:marLeft w:val="0"/>
      <w:marRight w:val="0"/>
      <w:marTop w:val="0"/>
      <w:marBottom w:val="0"/>
      <w:divBdr>
        <w:top w:val="none" w:sz="0" w:space="0" w:color="auto"/>
        <w:left w:val="none" w:sz="0" w:space="0" w:color="auto"/>
        <w:bottom w:val="none" w:sz="0" w:space="0" w:color="auto"/>
        <w:right w:val="none" w:sz="0" w:space="0" w:color="auto"/>
      </w:divBdr>
    </w:div>
    <w:div w:id="1712652372">
      <w:bodyDiv w:val="1"/>
      <w:marLeft w:val="0"/>
      <w:marRight w:val="0"/>
      <w:marTop w:val="0"/>
      <w:marBottom w:val="0"/>
      <w:divBdr>
        <w:top w:val="none" w:sz="0" w:space="0" w:color="auto"/>
        <w:left w:val="none" w:sz="0" w:space="0" w:color="auto"/>
        <w:bottom w:val="none" w:sz="0" w:space="0" w:color="auto"/>
        <w:right w:val="none" w:sz="0" w:space="0" w:color="auto"/>
      </w:divBdr>
    </w:div>
    <w:div w:id="1717774041">
      <w:bodyDiv w:val="1"/>
      <w:marLeft w:val="0"/>
      <w:marRight w:val="0"/>
      <w:marTop w:val="0"/>
      <w:marBottom w:val="0"/>
      <w:divBdr>
        <w:top w:val="none" w:sz="0" w:space="0" w:color="auto"/>
        <w:left w:val="none" w:sz="0" w:space="0" w:color="auto"/>
        <w:bottom w:val="none" w:sz="0" w:space="0" w:color="auto"/>
        <w:right w:val="none" w:sz="0" w:space="0" w:color="auto"/>
      </w:divBdr>
    </w:div>
    <w:div w:id="1722247175">
      <w:bodyDiv w:val="1"/>
      <w:marLeft w:val="0"/>
      <w:marRight w:val="0"/>
      <w:marTop w:val="0"/>
      <w:marBottom w:val="0"/>
      <w:divBdr>
        <w:top w:val="none" w:sz="0" w:space="0" w:color="auto"/>
        <w:left w:val="none" w:sz="0" w:space="0" w:color="auto"/>
        <w:bottom w:val="none" w:sz="0" w:space="0" w:color="auto"/>
        <w:right w:val="none" w:sz="0" w:space="0" w:color="auto"/>
      </w:divBdr>
    </w:div>
    <w:div w:id="1724022643">
      <w:bodyDiv w:val="1"/>
      <w:marLeft w:val="0"/>
      <w:marRight w:val="0"/>
      <w:marTop w:val="0"/>
      <w:marBottom w:val="0"/>
      <w:divBdr>
        <w:top w:val="none" w:sz="0" w:space="0" w:color="auto"/>
        <w:left w:val="none" w:sz="0" w:space="0" w:color="auto"/>
        <w:bottom w:val="none" w:sz="0" w:space="0" w:color="auto"/>
        <w:right w:val="none" w:sz="0" w:space="0" w:color="auto"/>
      </w:divBdr>
    </w:div>
    <w:div w:id="1724865445">
      <w:bodyDiv w:val="1"/>
      <w:marLeft w:val="0"/>
      <w:marRight w:val="0"/>
      <w:marTop w:val="0"/>
      <w:marBottom w:val="0"/>
      <w:divBdr>
        <w:top w:val="none" w:sz="0" w:space="0" w:color="auto"/>
        <w:left w:val="none" w:sz="0" w:space="0" w:color="auto"/>
        <w:bottom w:val="none" w:sz="0" w:space="0" w:color="auto"/>
        <w:right w:val="none" w:sz="0" w:space="0" w:color="auto"/>
      </w:divBdr>
    </w:div>
    <w:div w:id="1724912362">
      <w:bodyDiv w:val="1"/>
      <w:marLeft w:val="0"/>
      <w:marRight w:val="0"/>
      <w:marTop w:val="0"/>
      <w:marBottom w:val="0"/>
      <w:divBdr>
        <w:top w:val="none" w:sz="0" w:space="0" w:color="auto"/>
        <w:left w:val="none" w:sz="0" w:space="0" w:color="auto"/>
        <w:bottom w:val="none" w:sz="0" w:space="0" w:color="auto"/>
        <w:right w:val="none" w:sz="0" w:space="0" w:color="auto"/>
      </w:divBdr>
    </w:div>
    <w:div w:id="1727684262">
      <w:bodyDiv w:val="1"/>
      <w:marLeft w:val="0"/>
      <w:marRight w:val="0"/>
      <w:marTop w:val="0"/>
      <w:marBottom w:val="0"/>
      <w:divBdr>
        <w:top w:val="none" w:sz="0" w:space="0" w:color="auto"/>
        <w:left w:val="none" w:sz="0" w:space="0" w:color="auto"/>
        <w:bottom w:val="none" w:sz="0" w:space="0" w:color="auto"/>
        <w:right w:val="none" w:sz="0" w:space="0" w:color="auto"/>
      </w:divBdr>
    </w:div>
    <w:div w:id="1730415921">
      <w:bodyDiv w:val="1"/>
      <w:marLeft w:val="0"/>
      <w:marRight w:val="0"/>
      <w:marTop w:val="0"/>
      <w:marBottom w:val="0"/>
      <w:divBdr>
        <w:top w:val="none" w:sz="0" w:space="0" w:color="auto"/>
        <w:left w:val="none" w:sz="0" w:space="0" w:color="auto"/>
        <w:bottom w:val="none" w:sz="0" w:space="0" w:color="auto"/>
        <w:right w:val="none" w:sz="0" w:space="0" w:color="auto"/>
      </w:divBdr>
    </w:div>
    <w:div w:id="1734230325">
      <w:bodyDiv w:val="1"/>
      <w:marLeft w:val="0"/>
      <w:marRight w:val="0"/>
      <w:marTop w:val="0"/>
      <w:marBottom w:val="0"/>
      <w:divBdr>
        <w:top w:val="none" w:sz="0" w:space="0" w:color="auto"/>
        <w:left w:val="none" w:sz="0" w:space="0" w:color="auto"/>
        <w:bottom w:val="none" w:sz="0" w:space="0" w:color="auto"/>
        <w:right w:val="none" w:sz="0" w:space="0" w:color="auto"/>
      </w:divBdr>
    </w:div>
    <w:div w:id="1738868055">
      <w:bodyDiv w:val="1"/>
      <w:marLeft w:val="0"/>
      <w:marRight w:val="0"/>
      <w:marTop w:val="0"/>
      <w:marBottom w:val="0"/>
      <w:divBdr>
        <w:top w:val="none" w:sz="0" w:space="0" w:color="auto"/>
        <w:left w:val="none" w:sz="0" w:space="0" w:color="auto"/>
        <w:bottom w:val="none" w:sz="0" w:space="0" w:color="auto"/>
        <w:right w:val="none" w:sz="0" w:space="0" w:color="auto"/>
      </w:divBdr>
    </w:div>
    <w:div w:id="1739784442">
      <w:bodyDiv w:val="1"/>
      <w:marLeft w:val="0"/>
      <w:marRight w:val="0"/>
      <w:marTop w:val="0"/>
      <w:marBottom w:val="0"/>
      <w:divBdr>
        <w:top w:val="none" w:sz="0" w:space="0" w:color="auto"/>
        <w:left w:val="none" w:sz="0" w:space="0" w:color="auto"/>
        <w:bottom w:val="none" w:sz="0" w:space="0" w:color="auto"/>
        <w:right w:val="none" w:sz="0" w:space="0" w:color="auto"/>
      </w:divBdr>
    </w:div>
    <w:div w:id="1746217978">
      <w:bodyDiv w:val="1"/>
      <w:marLeft w:val="0"/>
      <w:marRight w:val="0"/>
      <w:marTop w:val="0"/>
      <w:marBottom w:val="0"/>
      <w:divBdr>
        <w:top w:val="none" w:sz="0" w:space="0" w:color="auto"/>
        <w:left w:val="none" w:sz="0" w:space="0" w:color="auto"/>
        <w:bottom w:val="none" w:sz="0" w:space="0" w:color="auto"/>
        <w:right w:val="none" w:sz="0" w:space="0" w:color="auto"/>
      </w:divBdr>
    </w:div>
    <w:div w:id="1750035047">
      <w:bodyDiv w:val="1"/>
      <w:marLeft w:val="0"/>
      <w:marRight w:val="0"/>
      <w:marTop w:val="0"/>
      <w:marBottom w:val="0"/>
      <w:divBdr>
        <w:top w:val="none" w:sz="0" w:space="0" w:color="auto"/>
        <w:left w:val="none" w:sz="0" w:space="0" w:color="auto"/>
        <w:bottom w:val="none" w:sz="0" w:space="0" w:color="auto"/>
        <w:right w:val="none" w:sz="0" w:space="0" w:color="auto"/>
      </w:divBdr>
    </w:div>
    <w:div w:id="1750930641">
      <w:bodyDiv w:val="1"/>
      <w:marLeft w:val="0"/>
      <w:marRight w:val="0"/>
      <w:marTop w:val="0"/>
      <w:marBottom w:val="0"/>
      <w:divBdr>
        <w:top w:val="none" w:sz="0" w:space="0" w:color="auto"/>
        <w:left w:val="none" w:sz="0" w:space="0" w:color="auto"/>
        <w:bottom w:val="none" w:sz="0" w:space="0" w:color="auto"/>
        <w:right w:val="none" w:sz="0" w:space="0" w:color="auto"/>
      </w:divBdr>
    </w:div>
    <w:div w:id="1754349172">
      <w:bodyDiv w:val="1"/>
      <w:marLeft w:val="0"/>
      <w:marRight w:val="0"/>
      <w:marTop w:val="0"/>
      <w:marBottom w:val="0"/>
      <w:divBdr>
        <w:top w:val="none" w:sz="0" w:space="0" w:color="auto"/>
        <w:left w:val="none" w:sz="0" w:space="0" w:color="auto"/>
        <w:bottom w:val="none" w:sz="0" w:space="0" w:color="auto"/>
        <w:right w:val="none" w:sz="0" w:space="0" w:color="auto"/>
      </w:divBdr>
    </w:div>
    <w:div w:id="1755275547">
      <w:bodyDiv w:val="1"/>
      <w:marLeft w:val="0"/>
      <w:marRight w:val="0"/>
      <w:marTop w:val="0"/>
      <w:marBottom w:val="0"/>
      <w:divBdr>
        <w:top w:val="none" w:sz="0" w:space="0" w:color="auto"/>
        <w:left w:val="none" w:sz="0" w:space="0" w:color="auto"/>
        <w:bottom w:val="none" w:sz="0" w:space="0" w:color="auto"/>
        <w:right w:val="none" w:sz="0" w:space="0" w:color="auto"/>
      </w:divBdr>
    </w:div>
    <w:div w:id="1760981203">
      <w:bodyDiv w:val="1"/>
      <w:marLeft w:val="0"/>
      <w:marRight w:val="0"/>
      <w:marTop w:val="0"/>
      <w:marBottom w:val="0"/>
      <w:divBdr>
        <w:top w:val="none" w:sz="0" w:space="0" w:color="auto"/>
        <w:left w:val="none" w:sz="0" w:space="0" w:color="auto"/>
        <w:bottom w:val="none" w:sz="0" w:space="0" w:color="auto"/>
        <w:right w:val="none" w:sz="0" w:space="0" w:color="auto"/>
      </w:divBdr>
    </w:div>
    <w:div w:id="1769161020">
      <w:bodyDiv w:val="1"/>
      <w:marLeft w:val="0"/>
      <w:marRight w:val="0"/>
      <w:marTop w:val="0"/>
      <w:marBottom w:val="0"/>
      <w:divBdr>
        <w:top w:val="none" w:sz="0" w:space="0" w:color="auto"/>
        <w:left w:val="none" w:sz="0" w:space="0" w:color="auto"/>
        <w:bottom w:val="none" w:sz="0" w:space="0" w:color="auto"/>
        <w:right w:val="none" w:sz="0" w:space="0" w:color="auto"/>
      </w:divBdr>
    </w:div>
    <w:div w:id="1769161134">
      <w:bodyDiv w:val="1"/>
      <w:marLeft w:val="0"/>
      <w:marRight w:val="0"/>
      <w:marTop w:val="0"/>
      <w:marBottom w:val="0"/>
      <w:divBdr>
        <w:top w:val="none" w:sz="0" w:space="0" w:color="auto"/>
        <w:left w:val="none" w:sz="0" w:space="0" w:color="auto"/>
        <w:bottom w:val="none" w:sz="0" w:space="0" w:color="auto"/>
        <w:right w:val="none" w:sz="0" w:space="0" w:color="auto"/>
      </w:divBdr>
    </w:div>
    <w:div w:id="1776249363">
      <w:bodyDiv w:val="1"/>
      <w:marLeft w:val="0"/>
      <w:marRight w:val="0"/>
      <w:marTop w:val="0"/>
      <w:marBottom w:val="0"/>
      <w:divBdr>
        <w:top w:val="none" w:sz="0" w:space="0" w:color="auto"/>
        <w:left w:val="none" w:sz="0" w:space="0" w:color="auto"/>
        <w:bottom w:val="none" w:sz="0" w:space="0" w:color="auto"/>
        <w:right w:val="none" w:sz="0" w:space="0" w:color="auto"/>
      </w:divBdr>
    </w:div>
    <w:div w:id="1784566645">
      <w:bodyDiv w:val="1"/>
      <w:marLeft w:val="0"/>
      <w:marRight w:val="0"/>
      <w:marTop w:val="0"/>
      <w:marBottom w:val="0"/>
      <w:divBdr>
        <w:top w:val="none" w:sz="0" w:space="0" w:color="auto"/>
        <w:left w:val="none" w:sz="0" w:space="0" w:color="auto"/>
        <w:bottom w:val="none" w:sz="0" w:space="0" w:color="auto"/>
        <w:right w:val="none" w:sz="0" w:space="0" w:color="auto"/>
      </w:divBdr>
    </w:div>
    <w:div w:id="1785341278">
      <w:bodyDiv w:val="1"/>
      <w:marLeft w:val="0"/>
      <w:marRight w:val="0"/>
      <w:marTop w:val="0"/>
      <w:marBottom w:val="0"/>
      <w:divBdr>
        <w:top w:val="none" w:sz="0" w:space="0" w:color="auto"/>
        <w:left w:val="none" w:sz="0" w:space="0" w:color="auto"/>
        <w:bottom w:val="none" w:sz="0" w:space="0" w:color="auto"/>
        <w:right w:val="none" w:sz="0" w:space="0" w:color="auto"/>
      </w:divBdr>
    </w:div>
    <w:div w:id="1788617035">
      <w:bodyDiv w:val="1"/>
      <w:marLeft w:val="0"/>
      <w:marRight w:val="0"/>
      <w:marTop w:val="0"/>
      <w:marBottom w:val="0"/>
      <w:divBdr>
        <w:top w:val="none" w:sz="0" w:space="0" w:color="auto"/>
        <w:left w:val="none" w:sz="0" w:space="0" w:color="auto"/>
        <w:bottom w:val="none" w:sz="0" w:space="0" w:color="auto"/>
        <w:right w:val="none" w:sz="0" w:space="0" w:color="auto"/>
      </w:divBdr>
    </w:div>
    <w:div w:id="1790928141">
      <w:bodyDiv w:val="1"/>
      <w:marLeft w:val="0"/>
      <w:marRight w:val="0"/>
      <w:marTop w:val="0"/>
      <w:marBottom w:val="0"/>
      <w:divBdr>
        <w:top w:val="none" w:sz="0" w:space="0" w:color="auto"/>
        <w:left w:val="none" w:sz="0" w:space="0" w:color="auto"/>
        <w:bottom w:val="none" w:sz="0" w:space="0" w:color="auto"/>
        <w:right w:val="none" w:sz="0" w:space="0" w:color="auto"/>
      </w:divBdr>
    </w:div>
    <w:div w:id="1793283628">
      <w:bodyDiv w:val="1"/>
      <w:marLeft w:val="0"/>
      <w:marRight w:val="0"/>
      <w:marTop w:val="0"/>
      <w:marBottom w:val="0"/>
      <w:divBdr>
        <w:top w:val="none" w:sz="0" w:space="0" w:color="auto"/>
        <w:left w:val="none" w:sz="0" w:space="0" w:color="auto"/>
        <w:bottom w:val="none" w:sz="0" w:space="0" w:color="auto"/>
        <w:right w:val="none" w:sz="0" w:space="0" w:color="auto"/>
      </w:divBdr>
    </w:div>
    <w:div w:id="1794011323">
      <w:bodyDiv w:val="1"/>
      <w:marLeft w:val="0"/>
      <w:marRight w:val="0"/>
      <w:marTop w:val="0"/>
      <w:marBottom w:val="0"/>
      <w:divBdr>
        <w:top w:val="none" w:sz="0" w:space="0" w:color="auto"/>
        <w:left w:val="none" w:sz="0" w:space="0" w:color="auto"/>
        <w:bottom w:val="none" w:sz="0" w:space="0" w:color="auto"/>
        <w:right w:val="none" w:sz="0" w:space="0" w:color="auto"/>
      </w:divBdr>
    </w:div>
    <w:div w:id="1796365366">
      <w:bodyDiv w:val="1"/>
      <w:marLeft w:val="0"/>
      <w:marRight w:val="0"/>
      <w:marTop w:val="0"/>
      <w:marBottom w:val="0"/>
      <w:divBdr>
        <w:top w:val="none" w:sz="0" w:space="0" w:color="auto"/>
        <w:left w:val="none" w:sz="0" w:space="0" w:color="auto"/>
        <w:bottom w:val="none" w:sz="0" w:space="0" w:color="auto"/>
        <w:right w:val="none" w:sz="0" w:space="0" w:color="auto"/>
      </w:divBdr>
    </w:div>
    <w:div w:id="1796945717">
      <w:bodyDiv w:val="1"/>
      <w:marLeft w:val="0"/>
      <w:marRight w:val="0"/>
      <w:marTop w:val="0"/>
      <w:marBottom w:val="0"/>
      <w:divBdr>
        <w:top w:val="none" w:sz="0" w:space="0" w:color="auto"/>
        <w:left w:val="none" w:sz="0" w:space="0" w:color="auto"/>
        <w:bottom w:val="none" w:sz="0" w:space="0" w:color="auto"/>
        <w:right w:val="none" w:sz="0" w:space="0" w:color="auto"/>
      </w:divBdr>
    </w:div>
    <w:div w:id="1801726012">
      <w:bodyDiv w:val="1"/>
      <w:marLeft w:val="0"/>
      <w:marRight w:val="0"/>
      <w:marTop w:val="0"/>
      <w:marBottom w:val="0"/>
      <w:divBdr>
        <w:top w:val="none" w:sz="0" w:space="0" w:color="auto"/>
        <w:left w:val="none" w:sz="0" w:space="0" w:color="auto"/>
        <w:bottom w:val="none" w:sz="0" w:space="0" w:color="auto"/>
        <w:right w:val="none" w:sz="0" w:space="0" w:color="auto"/>
      </w:divBdr>
    </w:div>
    <w:div w:id="1803844408">
      <w:bodyDiv w:val="1"/>
      <w:marLeft w:val="0"/>
      <w:marRight w:val="0"/>
      <w:marTop w:val="0"/>
      <w:marBottom w:val="0"/>
      <w:divBdr>
        <w:top w:val="none" w:sz="0" w:space="0" w:color="auto"/>
        <w:left w:val="none" w:sz="0" w:space="0" w:color="auto"/>
        <w:bottom w:val="none" w:sz="0" w:space="0" w:color="auto"/>
        <w:right w:val="none" w:sz="0" w:space="0" w:color="auto"/>
      </w:divBdr>
    </w:div>
    <w:div w:id="1804536642">
      <w:bodyDiv w:val="1"/>
      <w:marLeft w:val="0"/>
      <w:marRight w:val="0"/>
      <w:marTop w:val="0"/>
      <w:marBottom w:val="0"/>
      <w:divBdr>
        <w:top w:val="none" w:sz="0" w:space="0" w:color="auto"/>
        <w:left w:val="none" w:sz="0" w:space="0" w:color="auto"/>
        <w:bottom w:val="none" w:sz="0" w:space="0" w:color="auto"/>
        <w:right w:val="none" w:sz="0" w:space="0" w:color="auto"/>
      </w:divBdr>
    </w:div>
    <w:div w:id="1807887764">
      <w:bodyDiv w:val="1"/>
      <w:marLeft w:val="0"/>
      <w:marRight w:val="0"/>
      <w:marTop w:val="0"/>
      <w:marBottom w:val="0"/>
      <w:divBdr>
        <w:top w:val="none" w:sz="0" w:space="0" w:color="auto"/>
        <w:left w:val="none" w:sz="0" w:space="0" w:color="auto"/>
        <w:bottom w:val="none" w:sz="0" w:space="0" w:color="auto"/>
        <w:right w:val="none" w:sz="0" w:space="0" w:color="auto"/>
      </w:divBdr>
    </w:div>
    <w:div w:id="1811285580">
      <w:bodyDiv w:val="1"/>
      <w:marLeft w:val="0"/>
      <w:marRight w:val="0"/>
      <w:marTop w:val="0"/>
      <w:marBottom w:val="0"/>
      <w:divBdr>
        <w:top w:val="none" w:sz="0" w:space="0" w:color="auto"/>
        <w:left w:val="none" w:sz="0" w:space="0" w:color="auto"/>
        <w:bottom w:val="none" w:sz="0" w:space="0" w:color="auto"/>
        <w:right w:val="none" w:sz="0" w:space="0" w:color="auto"/>
      </w:divBdr>
    </w:div>
    <w:div w:id="1816146298">
      <w:bodyDiv w:val="1"/>
      <w:marLeft w:val="0"/>
      <w:marRight w:val="0"/>
      <w:marTop w:val="0"/>
      <w:marBottom w:val="0"/>
      <w:divBdr>
        <w:top w:val="none" w:sz="0" w:space="0" w:color="auto"/>
        <w:left w:val="none" w:sz="0" w:space="0" w:color="auto"/>
        <w:bottom w:val="none" w:sz="0" w:space="0" w:color="auto"/>
        <w:right w:val="none" w:sz="0" w:space="0" w:color="auto"/>
      </w:divBdr>
    </w:div>
    <w:div w:id="1816221090">
      <w:bodyDiv w:val="1"/>
      <w:marLeft w:val="0"/>
      <w:marRight w:val="0"/>
      <w:marTop w:val="0"/>
      <w:marBottom w:val="0"/>
      <w:divBdr>
        <w:top w:val="none" w:sz="0" w:space="0" w:color="auto"/>
        <w:left w:val="none" w:sz="0" w:space="0" w:color="auto"/>
        <w:bottom w:val="none" w:sz="0" w:space="0" w:color="auto"/>
        <w:right w:val="none" w:sz="0" w:space="0" w:color="auto"/>
      </w:divBdr>
    </w:div>
    <w:div w:id="1821458522">
      <w:bodyDiv w:val="1"/>
      <w:marLeft w:val="0"/>
      <w:marRight w:val="0"/>
      <w:marTop w:val="0"/>
      <w:marBottom w:val="0"/>
      <w:divBdr>
        <w:top w:val="none" w:sz="0" w:space="0" w:color="auto"/>
        <w:left w:val="none" w:sz="0" w:space="0" w:color="auto"/>
        <w:bottom w:val="none" w:sz="0" w:space="0" w:color="auto"/>
        <w:right w:val="none" w:sz="0" w:space="0" w:color="auto"/>
      </w:divBdr>
    </w:div>
    <w:div w:id="1823279366">
      <w:bodyDiv w:val="1"/>
      <w:marLeft w:val="0"/>
      <w:marRight w:val="0"/>
      <w:marTop w:val="0"/>
      <w:marBottom w:val="0"/>
      <w:divBdr>
        <w:top w:val="none" w:sz="0" w:space="0" w:color="auto"/>
        <w:left w:val="none" w:sz="0" w:space="0" w:color="auto"/>
        <w:bottom w:val="none" w:sz="0" w:space="0" w:color="auto"/>
        <w:right w:val="none" w:sz="0" w:space="0" w:color="auto"/>
      </w:divBdr>
    </w:div>
    <w:div w:id="1824157342">
      <w:bodyDiv w:val="1"/>
      <w:marLeft w:val="0"/>
      <w:marRight w:val="0"/>
      <w:marTop w:val="0"/>
      <w:marBottom w:val="0"/>
      <w:divBdr>
        <w:top w:val="none" w:sz="0" w:space="0" w:color="auto"/>
        <w:left w:val="none" w:sz="0" w:space="0" w:color="auto"/>
        <w:bottom w:val="none" w:sz="0" w:space="0" w:color="auto"/>
        <w:right w:val="none" w:sz="0" w:space="0" w:color="auto"/>
      </w:divBdr>
    </w:div>
    <w:div w:id="1824927565">
      <w:bodyDiv w:val="1"/>
      <w:marLeft w:val="0"/>
      <w:marRight w:val="0"/>
      <w:marTop w:val="0"/>
      <w:marBottom w:val="0"/>
      <w:divBdr>
        <w:top w:val="none" w:sz="0" w:space="0" w:color="auto"/>
        <w:left w:val="none" w:sz="0" w:space="0" w:color="auto"/>
        <w:bottom w:val="none" w:sz="0" w:space="0" w:color="auto"/>
        <w:right w:val="none" w:sz="0" w:space="0" w:color="auto"/>
      </w:divBdr>
    </w:div>
    <w:div w:id="1829780664">
      <w:bodyDiv w:val="1"/>
      <w:marLeft w:val="0"/>
      <w:marRight w:val="0"/>
      <w:marTop w:val="0"/>
      <w:marBottom w:val="0"/>
      <w:divBdr>
        <w:top w:val="none" w:sz="0" w:space="0" w:color="auto"/>
        <w:left w:val="none" w:sz="0" w:space="0" w:color="auto"/>
        <w:bottom w:val="none" w:sz="0" w:space="0" w:color="auto"/>
        <w:right w:val="none" w:sz="0" w:space="0" w:color="auto"/>
      </w:divBdr>
    </w:div>
    <w:div w:id="1831827011">
      <w:bodyDiv w:val="1"/>
      <w:marLeft w:val="0"/>
      <w:marRight w:val="0"/>
      <w:marTop w:val="0"/>
      <w:marBottom w:val="0"/>
      <w:divBdr>
        <w:top w:val="none" w:sz="0" w:space="0" w:color="auto"/>
        <w:left w:val="none" w:sz="0" w:space="0" w:color="auto"/>
        <w:bottom w:val="none" w:sz="0" w:space="0" w:color="auto"/>
        <w:right w:val="none" w:sz="0" w:space="0" w:color="auto"/>
      </w:divBdr>
    </w:div>
    <w:div w:id="1838618822">
      <w:bodyDiv w:val="1"/>
      <w:marLeft w:val="0"/>
      <w:marRight w:val="0"/>
      <w:marTop w:val="0"/>
      <w:marBottom w:val="0"/>
      <w:divBdr>
        <w:top w:val="none" w:sz="0" w:space="0" w:color="auto"/>
        <w:left w:val="none" w:sz="0" w:space="0" w:color="auto"/>
        <w:bottom w:val="none" w:sz="0" w:space="0" w:color="auto"/>
        <w:right w:val="none" w:sz="0" w:space="0" w:color="auto"/>
      </w:divBdr>
    </w:div>
    <w:div w:id="1838694542">
      <w:bodyDiv w:val="1"/>
      <w:marLeft w:val="0"/>
      <w:marRight w:val="0"/>
      <w:marTop w:val="0"/>
      <w:marBottom w:val="0"/>
      <w:divBdr>
        <w:top w:val="none" w:sz="0" w:space="0" w:color="auto"/>
        <w:left w:val="none" w:sz="0" w:space="0" w:color="auto"/>
        <w:bottom w:val="none" w:sz="0" w:space="0" w:color="auto"/>
        <w:right w:val="none" w:sz="0" w:space="0" w:color="auto"/>
      </w:divBdr>
    </w:div>
    <w:div w:id="1838958696">
      <w:bodyDiv w:val="1"/>
      <w:marLeft w:val="0"/>
      <w:marRight w:val="0"/>
      <w:marTop w:val="0"/>
      <w:marBottom w:val="0"/>
      <w:divBdr>
        <w:top w:val="none" w:sz="0" w:space="0" w:color="auto"/>
        <w:left w:val="none" w:sz="0" w:space="0" w:color="auto"/>
        <w:bottom w:val="none" w:sz="0" w:space="0" w:color="auto"/>
        <w:right w:val="none" w:sz="0" w:space="0" w:color="auto"/>
      </w:divBdr>
    </w:div>
    <w:div w:id="1839421397">
      <w:bodyDiv w:val="1"/>
      <w:marLeft w:val="0"/>
      <w:marRight w:val="0"/>
      <w:marTop w:val="0"/>
      <w:marBottom w:val="0"/>
      <w:divBdr>
        <w:top w:val="none" w:sz="0" w:space="0" w:color="auto"/>
        <w:left w:val="none" w:sz="0" w:space="0" w:color="auto"/>
        <w:bottom w:val="none" w:sz="0" w:space="0" w:color="auto"/>
        <w:right w:val="none" w:sz="0" w:space="0" w:color="auto"/>
      </w:divBdr>
    </w:div>
    <w:div w:id="1844591552">
      <w:bodyDiv w:val="1"/>
      <w:marLeft w:val="0"/>
      <w:marRight w:val="0"/>
      <w:marTop w:val="0"/>
      <w:marBottom w:val="0"/>
      <w:divBdr>
        <w:top w:val="none" w:sz="0" w:space="0" w:color="auto"/>
        <w:left w:val="none" w:sz="0" w:space="0" w:color="auto"/>
        <w:bottom w:val="none" w:sz="0" w:space="0" w:color="auto"/>
        <w:right w:val="none" w:sz="0" w:space="0" w:color="auto"/>
      </w:divBdr>
    </w:div>
    <w:div w:id="1846240787">
      <w:bodyDiv w:val="1"/>
      <w:marLeft w:val="0"/>
      <w:marRight w:val="0"/>
      <w:marTop w:val="0"/>
      <w:marBottom w:val="0"/>
      <w:divBdr>
        <w:top w:val="none" w:sz="0" w:space="0" w:color="auto"/>
        <w:left w:val="none" w:sz="0" w:space="0" w:color="auto"/>
        <w:bottom w:val="none" w:sz="0" w:space="0" w:color="auto"/>
        <w:right w:val="none" w:sz="0" w:space="0" w:color="auto"/>
      </w:divBdr>
    </w:div>
    <w:div w:id="1846355149">
      <w:bodyDiv w:val="1"/>
      <w:marLeft w:val="0"/>
      <w:marRight w:val="0"/>
      <w:marTop w:val="0"/>
      <w:marBottom w:val="0"/>
      <w:divBdr>
        <w:top w:val="none" w:sz="0" w:space="0" w:color="auto"/>
        <w:left w:val="none" w:sz="0" w:space="0" w:color="auto"/>
        <w:bottom w:val="none" w:sz="0" w:space="0" w:color="auto"/>
        <w:right w:val="none" w:sz="0" w:space="0" w:color="auto"/>
      </w:divBdr>
    </w:div>
    <w:div w:id="1849712170">
      <w:bodyDiv w:val="1"/>
      <w:marLeft w:val="0"/>
      <w:marRight w:val="0"/>
      <w:marTop w:val="0"/>
      <w:marBottom w:val="0"/>
      <w:divBdr>
        <w:top w:val="none" w:sz="0" w:space="0" w:color="auto"/>
        <w:left w:val="none" w:sz="0" w:space="0" w:color="auto"/>
        <w:bottom w:val="none" w:sz="0" w:space="0" w:color="auto"/>
        <w:right w:val="none" w:sz="0" w:space="0" w:color="auto"/>
      </w:divBdr>
    </w:div>
    <w:div w:id="1850177254">
      <w:bodyDiv w:val="1"/>
      <w:marLeft w:val="0"/>
      <w:marRight w:val="0"/>
      <w:marTop w:val="0"/>
      <w:marBottom w:val="0"/>
      <w:divBdr>
        <w:top w:val="none" w:sz="0" w:space="0" w:color="auto"/>
        <w:left w:val="none" w:sz="0" w:space="0" w:color="auto"/>
        <w:bottom w:val="none" w:sz="0" w:space="0" w:color="auto"/>
        <w:right w:val="none" w:sz="0" w:space="0" w:color="auto"/>
      </w:divBdr>
    </w:div>
    <w:div w:id="1853182754">
      <w:bodyDiv w:val="1"/>
      <w:marLeft w:val="0"/>
      <w:marRight w:val="0"/>
      <w:marTop w:val="0"/>
      <w:marBottom w:val="0"/>
      <w:divBdr>
        <w:top w:val="none" w:sz="0" w:space="0" w:color="auto"/>
        <w:left w:val="none" w:sz="0" w:space="0" w:color="auto"/>
        <w:bottom w:val="none" w:sz="0" w:space="0" w:color="auto"/>
        <w:right w:val="none" w:sz="0" w:space="0" w:color="auto"/>
      </w:divBdr>
    </w:div>
    <w:div w:id="1858539915">
      <w:bodyDiv w:val="1"/>
      <w:marLeft w:val="0"/>
      <w:marRight w:val="0"/>
      <w:marTop w:val="0"/>
      <w:marBottom w:val="0"/>
      <w:divBdr>
        <w:top w:val="none" w:sz="0" w:space="0" w:color="auto"/>
        <w:left w:val="none" w:sz="0" w:space="0" w:color="auto"/>
        <w:bottom w:val="none" w:sz="0" w:space="0" w:color="auto"/>
        <w:right w:val="none" w:sz="0" w:space="0" w:color="auto"/>
      </w:divBdr>
    </w:div>
    <w:div w:id="1858881540">
      <w:bodyDiv w:val="1"/>
      <w:marLeft w:val="0"/>
      <w:marRight w:val="0"/>
      <w:marTop w:val="0"/>
      <w:marBottom w:val="0"/>
      <w:divBdr>
        <w:top w:val="none" w:sz="0" w:space="0" w:color="auto"/>
        <w:left w:val="none" w:sz="0" w:space="0" w:color="auto"/>
        <w:bottom w:val="none" w:sz="0" w:space="0" w:color="auto"/>
        <w:right w:val="none" w:sz="0" w:space="0" w:color="auto"/>
      </w:divBdr>
    </w:div>
    <w:div w:id="1863274234">
      <w:bodyDiv w:val="1"/>
      <w:marLeft w:val="0"/>
      <w:marRight w:val="0"/>
      <w:marTop w:val="0"/>
      <w:marBottom w:val="0"/>
      <w:divBdr>
        <w:top w:val="none" w:sz="0" w:space="0" w:color="auto"/>
        <w:left w:val="none" w:sz="0" w:space="0" w:color="auto"/>
        <w:bottom w:val="none" w:sz="0" w:space="0" w:color="auto"/>
        <w:right w:val="none" w:sz="0" w:space="0" w:color="auto"/>
      </w:divBdr>
    </w:div>
    <w:div w:id="1864129516">
      <w:bodyDiv w:val="1"/>
      <w:marLeft w:val="0"/>
      <w:marRight w:val="0"/>
      <w:marTop w:val="0"/>
      <w:marBottom w:val="0"/>
      <w:divBdr>
        <w:top w:val="none" w:sz="0" w:space="0" w:color="auto"/>
        <w:left w:val="none" w:sz="0" w:space="0" w:color="auto"/>
        <w:bottom w:val="none" w:sz="0" w:space="0" w:color="auto"/>
        <w:right w:val="none" w:sz="0" w:space="0" w:color="auto"/>
      </w:divBdr>
    </w:div>
    <w:div w:id="1864703613">
      <w:bodyDiv w:val="1"/>
      <w:marLeft w:val="0"/>
      <w:marRight w:val="0"/>
      <w:marTop w:val="0"/>
      <w:marBottom w:val="0"/>
      <w:divBdr>
        <w:top w:val="none" w:sz="0" w:space="0" w:color="auto"/>
        <w:left w:val="none" w:sz="0" w:space="0" w:color="auto"/>
        <w:bottom w:val="none" w:sz="0" w:space="0" w:color="auto"/>
        <w:right w:val="none" w:sz="0" w:space="0" w:color="auto"/>
      </w:divBdr>
    </w:div>
    <w:div w:id="1870558099">
      <w:bodyDiv w:val="1"/>
      <w:marLeft w:val="0"/>
      <w:marRight w:val="0"/>
      <w:marTop w:val="0"/>
      <w:marBottom w:val="0"/>
      <w:divBdr>
        <w:top w:val="none" w:sz="0" w:space="0" w:color="auto"/>
        <w:left w:val="none" w:sz="0" w:space="0" w:color="auto"/>
        <w:bottom w:val="none" w:sz="0" w:space="0" w:color="auto"/>
        <w:right w:val="none" w:sz="0" w:space="0" w:color="auto"/>
      </w:divBdr>
    </w:div>
    <w:div w:id="1871455155">
      <w:bodyDiv w:val="1"/>
      <w:marLeft w:val="0"/>
      <w:marRight w:val="0"/>
      <w:marTop w:val="0"/>
      <w:marBottom w:val="0"/>
      <w:divBdr>
        <w:top w:val="none" w:sz="0" w:space="0" w:color="auto"/>
        <w:left w:val="none" w:sz="0" w:space="0" w:color="auto"/>
        <w:bottom w:val="none" w:sz="0" w:space="0" w:color="auto"/>
        <w:right w:val="none" w:sz="0" w:space="0" w:color="auto"/>
      </w:divBdr>
      <w:divsChild>
        <w:div w:id="2141218923">
          <w:marLeft w:val="0"/>
          <w:marRight w:val="0"/>
          <w:marTop w:val="0"/>
          <w:marBottom w:val="0"/>
          <w:divBdr>
            <w:top w:val="none" w:sz="0" w:space="0" w:color="auto"/>
            <w:left w:val="none" w:sz="0" w:space="0" w:color="auto"/>
            <w:bottom w:val="none" w:sz="0" w:space="0" w:color="auto"/>
            <w:right w:val="none" w:sz="0" w:space="0" w:color="auto"/>
          </w:divBdr>
          <w:divsChild>
            <w:div w:id="2068720419">
              <w:marLeft w:val="0"/>
              <w:marRight w:val="0"/>
              <w:marTop w:val="0"/>
              <w:marBottom w:val="0"/>
              <w:divBdr>
                <w:top w:val="none" w:sz="0" w:space="0" w:color="auto"/>
                <w:left w:val="none" w:sz="0" w:space="0" w:color="auto"/>
                <w:bottom w:val="none" w:sz="0" w:space="0" w:color="auto"/>
                <w:right w:val="none" w:sz="0" w:space="0" w:color="auto"/>
              </w:divBdr>
              <w:divsChild>
                <w:div w:id="1266763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258107">
      <w:bodyDiv w:val="1"/>
      <w:marLeft w:val="0"/>
      <w:marRight w:val="0"/>
      <w:marTop w:val="0"/>
      <w:marBottom w:val="0"/>
      <w:divBdr>
        <w:top w:val="none" w:sz="0" w:space="0" w:color="auto"/>
        <w:left w:val="none" w:sz="0" w:space="0" w:color="auto"/>
        <w:bottom w:val="none" w:sz="0" w:space="0" w:color="auto"/>
        <w:right w:val="none" w:sz="0" w:space="0" w:color="auto"/>
      </w:divBdr>
    </w:div>
    <w:div w:id="1874920221">
      <w:bodyDiv w:val="1"/>
      <w:marLeft w:val="0"/>
      <w:marRight w:val="0"/>
      <w:marTop w:val="0"/>
      <w:marBottom w:val="0"/>
      <w:divBdr>
        <w:top w:val="none" w:sz="0" w:space="0" w:color="auto"/>
        <w:left w:val="none" w:sz="0" w:space="0" w:color="auto"/>
        <w:bottom w:val="none" w:sz="0" w:space="0" w:color="auto"/>
        <w:right w:val="none" w:sz="0" w:space="0" w:color="auto"/>
      </w:divBdr>
    </w:div>
    <w:div w:id="1878078453">
      <w:bodyDiv w:val="1"/>
      <w:marLeft w:val="0"/>
      <w:marRight w:val="0"/>
      <w:marTop w:val="0"/>
      <w:marBottom w:val="0"/>
      <w:divBdr>
        <w:top w:val="none" w:sz="0" w:space="0" w:color="auto"/>
        <w:left w:val="none" w:sz="0" w:space="0" w:color="auto"/>
        <w:bottom w:val="none" w:sz="0" w:space="0" w:color="auto"/>
        <w:right w:val="none" w:sz="0" w:space="0" w:color="auto"/>
      </w:divBdr>
    </w:div>
    <w:div w:id="1878347733">
      <w:bodyDiv w:val="1"/>
      <w:marLeft w:val="0"/>
      <w:marRight w:val="0"/>
      <w:marTop w:val="0"/>
      <w:marBottom w:val="0"/>
      <w:divBdr>
        <w:top w:val="none" w:sz="0" w:space="0" w:color="auto"/>
        <w:left w:val="none" w:sz="0" w:space="0" w:color="auto"/>
        <w:bottom w:val="none" w:sz="0" w:space="0" w:color="auto"/>
        <w:right w:val="none" w:sz="0" w:space="0" w:color="auto"/>
      </w:divBdr>
    </w:div>
    <w:div w:id="1878662230">
      <w:bodyDiv w:val="1"/>
      <w:marLeft w:val="0"/>
      <w:marRight w:val="0"/>
      <w:marTop w:val="0"/>
      <w:marBottom w:val="0"/>
      <w:divBdr>
        <w:top w:val="none" w:sz="0" w:space="0" w:color="auto"/>
        <w:left w:val="none" w:sz="0" w:space="0" w:color="auto"/>
        <w:bottom w:val="none" w:sz="0" w:space="0" w:color="auto"/>
        <w:right w:val="none" w:sz="0" w:space="0" w:color="auto"/>
      </w:divBdr>
    </w:div>
    <w:div w:id="1881092037">
      <w:bodyDiv w:val="1"/>
      <w:marLeft w:val="0"/>
      <w:marRight w:val="0"/>
      <w:marTop w:val="0"/>
      <w:marBottom w:val="0"/>
      <w:divBdr>
        <w:top w:val="none" w:sz="0" w:space="0" w:color="auto"/>
        <w:left w:val="none" w:sz="0" w:space="0" w:color="auto"/>
        <w:bottom w:val="none" w:sz="0" w:space="0" w:color="auto"/>
        <w:right w:val="none" w:sz="0" w:space="0" w:color="auto"/>
      </w:divBdr>
    </w:div>
    <w:div w:id="1887525853">
      <w:bodyDiv w:val="1"/>
      <w:marLeft w:val="0"/>
      <w:marRight w:val="0"/>
      <w:marTop w:val="0"/>
      <w:marBottom w:val="0"/>
      <w:divBdr>
        <w:top w:val="none" w:sz="0" w:space="0" w:color="auto"/>
        <w:left w:val="none" w:sz="0" w:space="0" w:color="auto"/>
        <w:bottom w:val="none" w:sz="0" w:space="0" w:color="auto"/>
        <w:right w:val="none" w:sz="0" w:space="0" w:color="auto"/>
      </w:divBdr>
    </w:div>
    <w:div w:id="1890221379">
      <w:bodyDiv w:val="1"/>
      <w:marLeft w:val="0"/>
      <w:marRight w:val="0"/>
      <w:marTop w:val="0"/>
      <w:marBottom w:val="0"/>
      <w:divBdr>
        <w:top w:val="none" w:sz="0" w:space="0" w:color="auto"/>
        <w:left w:val="none" w:sz="0" w:space="0" w:color="auto"/>
        <w:bottom w:val="none" w:sz="0" w:space="0" w:color="auto"/>
        <w:right w:val="none" w:sz="0" w:space="0" w:color="auto"/>
      </w:divBdr>
    </w:div>
    <w:div w:id="1892691585">
      <w:bodyDiv w:val="1"/>
      <w:marLeft w:val="0"/>
      <w:marRight w:val="0"/>
      <w:marTop w:val="0"/>
      <w:marBottom w:val="0"/>
      <w:divBdr>
        <w:top w:val="none" w:sz="0" w:space="0" w:color="auto"/>
        <w:left w:val="none" w:sz="0" w:space="0" w:color="auto"/>
        <w:bottom w:val="none" w:sz="0" w:space="0" w:color="auto"/>
        <w:right w:val="none" w:sz="0" w:space="0" w:color="auto"/>
      </w:divBdr>
    </w:div>
    <w:div w:id="1892880646">
      <w:bodyDiv w:val="1"/>
      <w:marLeft w:val="0"/>
      <w:marRight w:val="0"/>
      <w:marTop w:val="0"/>
      <w:marBottom w:val="0"/>
      <w:divBdr>
        <w:top w:val="none" w:sz="0" w:space="0" w:color="auto"/>
        <w:left w:val="none" w:sz="0" w:space="0" w:color="auto"/>
        <w:bottom w:val="none" w:sz="0" w:space="0" w:color="auto"/>
        <w:right w:val="none" w:sz="0" w:space="0" w:color="auto"/>
      </w:divBdr>
    </w:div>
    <w:div w:id="1897080617">
      <w:bodyDiv w:val="1"/>
      <w:marLeft w:val="0"/>
      <w:marRight w:val="0"/>
      <w:marTop w:val="0"/>
      <w:marBottom w:val="0"/>
      <w:divBdr>
        <w:top w:val="none" w:sz="0" w:space="0" w:color="auto"/>
        <w:left w:val="none" w:sz="0" w:space="0" w:color="auto"/>
        <w:bottom w:val="none" w:sz="0" w:space="0" w:color="auto"/>
        <w:right w:val="none" w:sz="0" w:space="0" w:color="auto"/>
      </w:divBdr>
    </w:div>
    <w:div w:id="1900440471">
      <w:bodyDiv w:val="1"/>
      <w:marLeft w:val="0"/>
      <w:marRight w:val="0"/>
      <w:marTop w:val="0"/>
      <w:marBottom w:val="0"/>
      <w:divBdr>
        <w:top w:val="none" w:sz="0" w:space="0" w:color="auto"/>
        <w:left w:val="none" w:sz="0" w:space="0" w:color="auto"/>
        <w:bottom w:val="none" w:sz="0" w:space="0" w:color="auto"/>
        <w:right w:val="none" w:sz="0" w:space="0" w:color="auto"/>
      </w:divBdr>
    </w:div>
    <w:div w:id="1907951196">
      <w:bodyDiv w:val="1"/>
      <w:marLeft w:val="0"/>
      <w:marRight w:val="0"/>
      <w:marTop w:val="0"/>
      <w:marBottom w:val="0"/>
      <w:divBdr>
        <w:top w:val="none" w:sz="0" w:space="0" w:color="auto"/>
        <w:left w:val="none" w:sz="0" w:space="0" w:color="auto"/>
        <w:bottom w:val="none" w:sz="0" w:space="0" w:color="auto"/>
        <w:right w:val="none" w:sz="0" w:space="0" w:color="auto"/>
      </w:divBdr>
    </w:div>
    <w:div w:id="1909530452">
      <w:bodyDiv w:val="1"/>
      <w:marLeft w:val="0"/>
      <w:marRight w:val="0"/>
      <w:marTop w:val="0"/>
      <w:marBottom w:val="0"/>
      <w:divBdr>
        <w:top w:val="none" w:sz="0" w:space="0" w:color="auto"/>
        <w:left w:val="none" w:sz="0" w:space="0" w:color="auto"/>
        <w:bottom w:val="none" w:sz="0" w:space="0" w:color="auto"/>
        <w:right w:val="none" w:sz="0" w:space="0" w:color="auto"/>
      </w:divBdr>
    </w:div>
    <w:div w:id="1910458803">
      <w:bodyDiv w:val="1"/>
      <w:marLeft w:val="0"/>
      <w:marRight w:val="0"/>
      <w:marTop w:val="0"/>
      <w:marBottom w:val="0"/>
      <w:divBdr>
        <w:top w:val="none" w:sz="0" w:space="0" w:color="auto"/>
        <w:left w:val="none" w:sz="0" w:space="0" w:color="auto"/>
        <w:bottom w:val="none" w:sz="0" w:space="0" w:color="auto"/>
        <w:right w:val="none" w:sz="0" w:space="0" w:color="auto"/>
      </w:divBdr>
    </w:div>
    <w:div w:id="1911455403">
      <w:bodyDiv w:val="1"/>
      <w:marLeft w:val="0"/>
      <w:marRight w:val="0"/>
      <w:marTop w:val="0"/>
      <w:marBottom w:val="0"/>
      <w:divBdr>
        <w:top w:val="none" w:sz="0" w:space="0" w:color="auto"/>
        <w:left w:val="none" w:sz="0" w:space="0" w:color="auto"/>
        <w:bottom w:val="none" w:sz="0" w:space="0" w:color="auto"/>
        <w:right w:val="none" w:sz="0" w:space="0" w:color="auto"/>
      </w:divBdr>
    </w:div>
    <w:div w:id="1912277960">
      <w:bodyDiv w:val="1"/>
      <w:marLeft w:val="0"/>
      <w:marRight w:val="0"/>
      <w:marTop w:val="0"/>
      <w:marBottom w:val="0"/>
      <w:divBdr>
        <w:top w:val="none" w:sz="0" w:space="0" w:color="auto"/>
        <w:left w:val="none" w:sz="0" w:space="0" w:color="auto"/>
        <w:bottom w:val="none" w:sz="0" w:space="0" w:color="auto"/>
        <w:right w:val="none" w:sz="0" w:space="0" w:color="auto"/>
      </w:divBdr>
    </w:div>
    <w:div w:id="1914659266">
      <w:bodyDiv w:val="1"/>
      <w:marLeft w:val="0"/>
      <w:marRight w:val="0"/>
      <w:marTop w:val="0"/>
      <w:marBottom w:val="0"/>
      <w:divBdr>
        <w:top w:val="none" w:sz="0" w:space="0" w:color="auto"/>
        <w:left w:val="none" w:sz="0" w:space="0" w:color="auto"/>
        <w:bottom w:val="none" w:sz="0" w:space="0" w:color="auto"/>
        <w:right w:val="none" w:sz="0" w:space="0" w:color="auto"/>
      </w:divBdr>
    </w:div>
    <w:div w:id="1915626271">
      <w:bodyDiv w:val="1"/>
      <w:marLeft w:val="0"/>
      <w:marRight w:val="0"/>
      <w:marTop w:val="0"/>
      <w:marBottom w:val="0"/>
      <w:divBdr>
        <w:top w:val="none" w:sz="0" w:space="0" w:color="auto"/>
        <w:left w:val="none" w:sz="0" w:space="0" w:color="auto"/>
        <w:bottom w:val="none" w:sz="0" w:space="0" w:color="auto"/>
        <w:right w:val="none" w:sz="0" w:space="0" w:color="auto"/>
      </w:divBdr>
      <w:divsChild>
        <w:div w:id="449668551">
          <w:marLeft w:val="0"/>
          <w:marRight w:val="0"/>
          <w:marTop w:val="0"/>
          <w:marBottom w:val="0"/>
          <w:divBdr>
            <w:top w:val="none" w:sz="0" w:space="0" w:color="auto"/>
            <w:left w:val="none" w:sz="0" w:space="0" w:color="auto"/>
            <w:bottom w:val="none" w:sz="0" w:space="0" w:color="auto"/>
            <w:right w:val="none" w:sz="0" w:space="0" w:color="auto"/>
          </w:divBdr>
          <w:divsChild>
            <w:div w:id="923104141">
              <w:marLeft w:val="0"/>
              <w:marRight w:val="0"/>
              <w:marTop w:val="0"/>
              <w:marBottom w:val="0"/>
              <w:divBdr>
                <w:top w:val="none" w:sz="0" w:space="0" w:color="auto"/>
                <w:left w:val="none" w:sz="0" w:space="0" w:color="auto"/>
                <w:bottom w:val="none" w:sz="0" w:space="0" w:color="auto"/>
                <w:right w:val="none" w:sz="0" w:space="0" w:color="auto"/>
              </w:divBdr>
              <w:divsChild>
                <w:div w:id="1322005345">
                  <w:marLeft w:val="0"/>
                  <w:marRight w:val="0"/>
                  <w:marTop w:val="0"/>
                  <w:marBottom w:val="0"/>
                  <w:divBdr>
                    <w:top w:val="single" w:sz="6" w:space="6" w:color="E5E5E5"/>
                    <w:left w:val="single" w:sz="6" w:space="6" w:color="E5E5E5"/>
                    <w:bottom w:val="single" w:sz="6" w:space="6" w:color="E5E5E5"/>
                    <w:right w:val="single" w:sz="6" w:space="6" w:color="E5E5E5"/>
                  </w:divBdr>
                </w:div>
              </w:divsChild>
            </w:div>
          </w:divsChild>
        </w:div>
      </w:divsChild>
    </w:div>
    <w:div w:id="1920478310">
      <w:bodyDiv w:val="1"/>
      <w:marLeft w:val="0"/>
      <w:marRight w:val="0"/>
      <w:marTop w:val="0"/>
      <w:marBottom w:val="0"/>
      <w:divBdr>
        <w:top w:val="none" w:sz="0" w:space="0" w:color="auto"/>
        <w:left w:val="none" w:sz="0" w:space="0" w:color="auto"/>
        <w:bottom w:val="none" w:sz="0" w:space="0" w:color="auto"/>
        <w:right w:val="none" w:sz="0" w:space="0" w:color="auto"/>
      </w:divBdr>
    </w:div>
    <w:div w:id="1920940558">
      <w:bodyDiv w:val="1"/>
      <w:marLeft w:val="0"/>
      <w:marRight w:val="0"/>
      <w:marTop w:val="0"/>
      <w:marBottom w:val="0"/>
      <w:divBdr>
        <w:top w:val="none" w:sz="0" w:space="0" w:color="auto"/>
        <w:left w:val="none" w:sz="0" w:space="0" w:color="auto"/>
        <w:bottom w:val="none" w:sz="0" w:space="0" w:color="auto"/>
        <w:right w:val="none" w:sz="0" w:space="0" w:color="auto"/>
      </w:divBdr>
    </w:div>
    <w:div w:id="1924334732">
      <w:bodyDiv w:val="1"/>
      <w:marLeft w:val="0"/>
      <w:marRight w:val="0"/>
      <w:marTop w:val="0"/>
      <w:marBottom w:val="0"/>
      <w:divBdr>
        <w:top w:val="none" w:sz="0" w:space="0" w:color="auto"/>
        <w:left w:val="none" w:sz="0" w:space="0" w:color="auto"/>
        <w:bottom w:val="none" w:sz="0" w:space="0" w:color="auto"/>
        <w:right w:val="none" w:sz="0" w:space="0" w:color="auto"/>
      </w:divBdr>
    </w:div>
    <w:div w:id="1925531101">
      <w:bodyDiv w:val="1"/>
      <w:marLeft w:val="0"/>
      <w:marRight w:val="0"/>
      <w:marTop w:val="0"/>
      <w:marBottom w:val="0"/>
      <w:divBdr>
        <w:top w:val="none" w:sz="0" w:space="0" w:color="auto"/>
        <w:left w:val="none" w:sz="0" w:space="0" w:color="auto"/>
        <w:bottom w:val="none" w:sz="0" w:space="0" w:color="auto"/>
        <w:right w:val="none" w:sz="0" w:space="0" w:color="auto"/>
      </w:divBdr>
    </w:div>
    <w:div w:id="1925647843">
      <w:bodyDiv w:val="1"/>
      <w:marLeft w:val="0"/>
      <w:marRight w:val="0"/>
      <w:marTop w:val="0"/>
      <w:marBottom w:val="0"/>
      <w:divBdr>
        <w:top w:val="none" w:sz="0" w:space="0" w:color="auto"/>
        <w:left w:val="none" w:sz="0" w:space="0" w:color="auto"/>
        <w:bottom w:val="none" w:sz="0" w:space="0" w:color="auto"/>
        <w:right w:val="none" w:sz="0" w:space="0" w:color="auto"/>
      </w:divBdr>
    </w:div>
    <w:div w:id="1927569325">
      <w:bodyDiv w:val="1"/>
      <w:marLeft w:val="0"/>
      <w:marRight w:val="0"/>
      <w:marTop w:val="0"/>
      <w:marBottom w:val="0"/>
      <w:divBdr>
        <w:top w:val="none" w:sz="0" w:space="0" w:color="auto"/>
        <w:left w:val="none" w:sz="0" w:space="0" w:color="auto"/>
        <w:bottom w:val="none" w:sz="0" w:space="0" w:color="auto"/>
        <w:right w:val="none" w:sz="0" w:space="0" w:color="auto"/>
      </w:divBdr>
    </w:div>
    <w:div w:id="1929387611">
      <w:bodyDiv w:val="1"/>
      <w:marLeft w:val="0"/>
      <w:marRight w:val="0"/>
      <w:marTop w:val="0"/>
      <w:marBottom w:val="0"/>
      <w:divBdr>
        <w:top w:val="none" w:sz="0" w:space="0" w:color="auto"/>
        <w:left w:val="none" w:sz="0" w:space="0" w:color="auto"/>
        <w:bottom w:val="none" w:sz="0" w:space="0" w:color="auto"/>
        <w:right w:val="none" w:sz="0" w:space="0" w:color="auto"/>
      </w:divBdr>
    </w:div>
    <w:div w:id="1930968386">
      <w:bodyDiv w:val="1"/>
      <w:marLeft w:val="0"/>
      <w:marRight w:val="0"/>
      <w:marTop w:val="0"/>
      <w:marBottom w:val="0"/>
      <w:divBdr>
        <w:top w:val="none" w:sz="0" w:space="0" w:color="auto"/>
        <w:left w:val="none" w:sz="0" w:space="0" w:color="auto"/>
        <w:bottom w:val="none" w:sz="0" w:space="0" w:color="auto"/>
        <w:right w:val="none" w:sz="0" w:space="0" w:color="auto"/>
      </w:divBdr>
    </w:div>
    <w:div w:id="1931347949">
      <w:bodyDiv w:val="1"/>
      <w:marLeft w:val="0"/>
      <w:marRight w:val="0"/>
      <w:marTop w:val="0"/>
      <w:marBottom w:val="0"/>
      <w:divBdr>
        <w:top w:val="none" w:sz="0" w:space="0" w:color="auto"/>
        <w:left w:val="none" w:sz="0" w:space="0" w:color="auto"/>
        <w:bottom w:val="none" w:sz="0" w:space="0" w:color="auto"/>
        <w:right w:val="none" w:sz="0" w:space="0" w:color="auto"/>
      </w:divBdr>
    </w:div>
    <w:div w:id="1931549361">
      <w:bodyDiv w:val="1"/>
      <w:marLeft w:val="0"/>
      <w:marRight w:val="0"/>
      <w:marTop w:val="0"/>
      <w:marBottom w:val="0"/>
      <w:divBdr>
        <w:top w:val="none" w:sz="0" w:space="0" w:color="auto"/>
        <w:left w:val="none" w:sz="0" w:space="0" w:color="auto"/>
        <w:bottom w:val="none" w:sz="0" w:space="0" w:color="auto"/>
        <w:right w:val="none" w:sz="0" w:space="0" w:color="auto"/>
      </w:divBdr>
      <w:divsChild>
        <w:div w:id="131101410">
          <w:marLeft w:val="0"/>
          <w:marRight w:val="0"/>
          <w:marTop w:val="0"/>
          <w:marBottom w:val="0"/>
          <w:divBdr>
            <w:top w:val="none" w:sz="0" w:space="0" w:color="auto"/>
            <w:left w:val="none" w:sz="0" w:space="0" w:color="auto"/>
            <w:bottom w:val="none" w:sz="0" w:space="0" w:color="auto"/>
            <w:right w:val="none" w:sz="0" w:space="0" w:color="auto"/>
          </w:divBdr>
        </w:div>
      </w:divsChild>
    </w:div>
    <w:div w:id="1933127056">
      <w:bodyDiv w:val="1"/>
      <w:marLeft w:val="0"/>
      <w:marRight w:val="0"/>
      <w:marTop w:val="0"/>
      <w:marBottom w:val="0"/>
      <w:divBdr>
        <w:top w:val="none" w:sz="0" w:space="0" w:color="auto"/>
        <w:left w:val="none" w:sz="0" w:space="0" w:color="auto"/>
        <w:bottom w:val="none" w:sz="0" w:space="0" w:color="auto"/>
        <w:right w:val="none" w:sz="0" w:space="0" w:color="auto"/>
      </w:divBdr>
    </w:div>
    <w:div w:id="1936092587">
      <w:bodyDiv w:val="1"/>
      <w:marLeft w:val="0"/>
      <w:marRight w:val="0"/>
      <w:marTop w:val="0"/>
      <w:marBottom w:val="0"/>
      <w:divBdr>
        <w:top w:val="none" w:sz="0" w:space="0" w:color="auto"/>
        <w:left w:val="none" w:sz="0" w:space="0" w:color="auto"/>
        <w:bottom w:val="none" w:sz="0" w:space="0" w:color="auto"/>
        <w:right w:val="none" w:sz="0" w:space="0" w:color="auto"/>
      </w:divBdr>
    </w:div>
    <w:div w:id="1942639724">
      <w:bodyDiv w:val="1"/>
      <w:marLeft w:val="0"/>
      <w:marRight w:val="0"/>
      <w:marTop w:val="0"/>
      <w:marBottom w:val="0"/>
      <w:divBdr>
        <w:top w:val="none" w:sz="0" w:space="0" w:color="auto"/>
        <w:left w:val="none" w:sz="0" w:space="0" w:color="auto"/>
        <w:bottom w:val="none" w:sz="0" w:space="0" w:color="auto"/>
        <w:right w:val="none" w:sz="0" w:space="0" w:color="auto"/>
      </w:divBdr>
    </w:div>
    <w:div w:id="1945727675">
      <w:bodyDiv w:val="1"/>
      <w:marLeft w:val="0"/>
      <w:marRight w:val="0"/>
      <w:marTop w:val="0"/>
      <w:marBottom w:val="0"/>
      <w:divBdr>
        <w:top w:val="none" w:sz="0" w:space="0" w:color="auto"/>
        <w:left w:val="none" w:sz="0" w:space="0" w:color="auto"/>
        <w:bottom w:val="none" w:sz="0" w:space="0" w:color="auto"/>
        <w:right w:val="none" w:sz="0" w:space="0" w:color="auto"/>
      </w:divBdr>
    </w:div>
    <w:div w:id="1945963764">
      <w:bodyDiv w:val="1"/>
      <w:marLeft w:val="0"/>
      <w:marRight w:val="0"/>
      <w:marTop w:val="0"/>
      <w:marBottom w:val="0"/>
      <w:divBdr>
        <w:top w:val="none" w:sz="0" w:space="0" w:color="auto"/>
        <w:left w:val="none" w:sz="0" w:space="0" w:color="auto"/>
        <w:bottom w:val="none" w:sz="0" w:space="0" w:color="auto"/>
        <w:right w:val="none" w:sz="0" w:space="0" w:color="auto"/>
      </w:divBdr>
      <w:divsChild>
        <w:div w:id="1063944007">
          <w:marLeft w:val="0"/>
          <w:marRight w:val="0"/>
          <w:marTop w:val="0"/>
          <w:marBottom w:val="0"/>
          <w:divBdr>
            <w:top w:val="none" w:sz="0" w:space="0" w:color="auto"/>
            <w:left w:val="none" w:sz="0" w:space="0" w:color="auto"/>
            <w:bottom w:val="none" w:sz="0" w:space="0" w:color="auto"/>
            <w:right w:val="none" w:sz="0" w:space="0" w:color="auto"/>
          </w:divBdr>
          <w:divsChild>
            <w:div w:id="1096750193">
              <w:marLeft w:val="0"/>
              <w:marRight w:val="0"/>
              <w:marTop w:val="0"/>
              <w:marBottom w:val="0"/>
              <w:divBdr>
                <w:top w:val="none" w:sz="0" w:space="0" w:color="auto"/>
                <w:left w:val="none" w:sz="0" w:space="0" w:color="auto"/>
                <w:bottom w:val="none" w:sz="0" w:space="0" w:color="auto"/>
                <w:right w:val="none" w:sz="0" w:space="0" w:color="auto"/>
              </w:divBdr>
              <w:divsChild>
                <w:div w:id="1451972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745279">
      <w:bodyDiv w:val="1"/>
      <w:marLeft w:val="0"/>
      <w:marRight w:val="0"/>
      <w:marTop w:val="0"/>
      <w:marBottom w:val="0"/>
      <w:divBdr>
        <w:top w:val="none" w:sz="0" w:space="0" w:color="auto"/>
        <w:left w:val="none" w:sz="0" w:space="0" w:color="auto"/>
        <w:bottom w:val="none" w:sz="0" w:space="0" w:color="auto"/>
        <w:right w:val="none" w:sz="0" w:space="0" w:color="auto"/>
      </w:divBdr>
    </w:div>
    <w:div w:id="1951929461">
      <w:bodyDiv w:val="1"/>
      <w:marLeft w:val="0"/>
      <w:marRight w:val="0"/>
      <w:marTop w:val="0"/>
      <w:marBottom w:val="0"/>
      <w:divBdr>
        <w:top w:val="none" w:sz="0" w:space="0" w:color="auto"/>
        <w:left w:val="none" w:sz="0" w:space="0" w:color="auto"/>
        <w:bottom w:val="none" w:sz="0" w:space="0" w:color="auto"/>
        <w:right w:val="none" w:sz="0" w:space="0" w:color="auto"/>
      </w:divBdr>
    </w:div>
    <w:div w:id="1952592140">
      <w:bodyDiv w:val="1"/>
      <w:marLeft w:val="0"/>
      <w:marRight w:val="0"/>
      <w:marTop w:val="0"/>
      <w:marBottom w:val="0"/>
      <w:divBdr>
        <w:top w:val="none" w:sz="0" w:space="0" w:color="auto"/>
        <w:left w:val="none" w:sz="0" w:space="0" w:color="auto"/>
        <w:bottom w:val="none" w:sz="0" w:space="0" w:color="auto"/>
        <w:right w:val="none" w:sz="0" w:space="0" w:color="auto"/>
      </w:divBdr>
    </w:div>
    <w:div w:id="1956515949">
      <w:bodyDiv w:val="1"/>
      <w:marLeft w:val="0"/>
      <w:marRight w:val="0"/>
      <w:marTop w:val="0"/>
      <w:marBottom w:val="0"/>
      <w:divBdr>
        <w:top w:val="none" w:sz="0" w:space="0" w:color="auto"/>
        <w:left w:val="none" w:sz="0" w:space="0" w:color="auto"/>
        <w:bottom w:val="none" w:sz="0" w:space="0" w:color="auto"/>
        <w:right w:val="none" w:sz="0" w:space="0" w:color="auto"/>
      </w:divBdr>
    </w:div>
    <w:div w:id="1958639741">
      <w:bodyDiv w:val="1"/>
      <w:marLeft w:val="0"/>
      <w:marRight w:val="0"/>
      <w:marTop w:val="0"/>
      <w:marBottom w:val="0"/>
      <w:divBdr>
        <w:top w:val="none" w:sz="0" w:space="0" w:color="auto"/>
        <w:left w:val="none" w:sz="0" w:space="0" w:color="auto"/>
        <w:bottom w:val="none" w:sz="0" w:space="0" w:color="auto"/>
        <w:right w:val="none" w:sz="0" w:space="0" w:color="auto"/>
      </w:divBdr>
    </w:div>
    <w:div w:id="1967544922">
      <w:bodyDiv w:val="1"/>
      <w:marLeft w:val="0"/>
      <w:marRight w:val="0"/>
      <w:marTop w:val="0"/>
      <w:marBottom w:val="0"/>
      <w:divBdr>
        <w:top w:val="none" w:sz="0" w:space="0" w:color="auto"/>
        <w:left w:val="none" w:sz="0" w:space="0" w:color="auto"/>
        <w:bottom w:val="none" w:sz="0" w:space="0" w:color="auto"/>
        <w:right w:val="none" w:sz="0" w:space="0" w:color="auto"/>
      </w:divBdr>
    </w:div>
    <w:div w:id="1970551475">
      <w:bodyDiv w:val="1"/>
      <w:marLeft w:val="0"/>
      <w:marRight w:val="0"/>
      <w:marTop w:val="0"/>
      <w:marBottom w:val="0"/>
      <w:divBdr>
        <w:top w:val="none" w:sz="0" w:space="0" w:color="auto"/>
        <w:left w:val="none" w:sz="0" w:space="0" w:color="auto"/>
        <w:bottom w:val="none" w:sz="0" w:space="0" w:color="auto"/>
        <w:right w:val="none" w:sz="0" w:space="0" w:color="auto"/>
      </w:divBdr>
    </w:div>
    <w:div w:id="1974679539">
      <w:bodyDiv w:val="1"/>
      <w:marLeft w:val="0"/>
      <w:marRight w:val="0"/>
      <w:marTop w:val="0"/>
      <w:marBottom w:val="0"/>
      <w:divBdr>
        <w:top w:val="none" w:sz="0" w:space="0" w:color="auto"/>
        <w:left w:val="none" w:sz="0" w:space="0" w:color="auto"/>
        <w:bottom w:val="none" w:sz="0" w:space="0" w:color="auto"/>
        <w:right w:val="none" w:sz="0" w:space="0" w:color="auto"/>
      </w:divBdr>
    </w:div>
    <w:div w:id="1979144237">
      <w:bodyDiv w:val="1"/>
      <w:marLeft w:val="0"/>
      <w:marRight w:val="0"/>
      <w:marTop w:val="0"/>
      <w:marBottom w:val="0"/>
      <w:divBdr>
        <w:top w:val="none" w:sz="0" w:space="0" w:color="auto"/>
        <w:left w:val="none" w:sz="0" w:space="0" w:color="auto"/>
        <w:bottom w:val="none" w:sz="0" w:space="0" w:color="auto"/>
        <w:right w:val="none" w:sz="0" w:space="0" w:color="auto"/>
      </w:divBdr>
    </w:div>
    <w:div w:id="1983733352">
      <w:bodyDiv w:val="1"/>
      <w:marLeft w:val="0"/>
      <w:marRight w:val="0"/>
      <w:marTop w:val="0"/>
      <w:marBottom w:val="0"/>
      <w:divBdr>
        <w:top w:val="none" w:sz="0" w:space="0" w:color="auto"/>
        <w:left w:val="none" w:sz="0" w:space="0" w:color="auto"/>
        <w:bottom w:val="none" w:sz="0" w:space="0" w:color="auto"/>
        <w:right w:val="none" w:sz="0" w:space="0" w:color="auto"/>
      </w:divBdr>
    </w:div>
    <w:div w:id="1984192050">
      <w:bodyDiv w:val="1"/>
      <w:marLeft w:val="0"/>
      <w:marRight w:val="0"/>
      <w:marTop w:val="0"/>
      <w:marBottom w:val="0"/>
      <w:divBdr>
        <w:top w:val="none" w:sz="0" w:space="0" w:color="auto"/>
        <w:left w:val="none" w:sz="0" w:space="0" w:color="auto"/>
        <w:bottom w:val="none" w:sz="0" w:space="0" w:color="auto"/>
        <w:right w:val="none" w:sz="0" w:space="0" w:color="auto"/>
      </w:divBdr>
    </w:div>
    <w:div w:id="1984310627">
      <w:bodyDiv w:val="1"/>
      <w:marLeft w:val="0"/>
      <w:marRight w:val="0"/>
      <w:marTop w:val="0"/>
      <w:marBottom w:val="0"/>
      <w:divBdr>
        <w:top w:val="none" w:sz="0" w:space="0" w:color="auto"/>
        <w:left w:val="none" w:sz="0" w:space="0" w:color="auto"/>
        <w:bottom w:val="none" w:sz="0" w:space="0" w:color="auto"/>
        <w:right w:val="none" w:sz="0" w:space="0" w:color="auto"/>
      </w:divBdr>
    </w:div>
    <w:div w:id="1984460984">
      <w:bodyDiv w:val="1"/>
      <w:marLeft w:val="0"/>
      <w:marRight w:val="0"/>
      <w:marTop w:val="0"/>
      <w:marBottom w:val="0"/>
      <w:divBdr>
        <w:top w:val="none" w:sz="0" w:space="0" w:color="auto"/>
        <w:left w:val="none" w:sz="0" w:space="0" w:color="auto"/>
        <w:bottom w:val="none" w:sz="0" w:space="0" w:color="auto"/>
        <w:right w:val="none" w:sz="0" w:space="0" w:color="auto"/>
      </w:divBdr>
    </w:div>
    <w:div w:id="1985348943">
      <w:bodyDiv w:val="1"/>
      <w:marLeft w:val="0"/>
      <w:marRight w:val="0"/>
      <w:marTop w:val="0"/>
      <w:marBottom w:val="0"/>
      <w:divBdr>
        <w:top w:val="none" w:sz="0" w:space="0" w:color="auto"/>
        <w:left w:val="none" w:sz="0" w:space="0" w:color="auto"/>
        <w:bottom w:val="none" w:sz="0" w:space="0" w:color="auto"/>
        <w:right w:val="none" w:sz="0" w:space="0" w:color="auto"/>
      </w:divBdr>
      <w:divsChild>
        <w:div w:id="1948466337">
          <w:marLeft w:val="0"/>
          <w:marRight w:val="0"/>
          <w:marTop w:val="0"/>
          <w:marBottom w:val="0"/>
          <w:divBdr>
            <w:top w:val="none" w:sz="0" w:space="0" w:color="auto"/>
            <w:left w:val="none" w:sz="0" w:space="0" w:color="auto"/>
            <w:bottom w:val="none" w:sz="0" w:space="0" w:color="auto"/>
            <w:right w:val="none" w:sz="0" w:space="0" w:color="auto"/>
          </w:divBdr>
          <w:divsChild>
            <w:div w:id="618679761">
              <w:marLeft w:val="0"/>
              <w:marRight w:val="0"/>
              <w:marTop w:val="0"/>
              <w:marBottom w:val="0"/>
              <w:divBdr>
                <w:top w:val="none" w:sz="0" w:space="0" w:color="auto"/>
                <w:left w:val="none" w:sz="0" w:space="0" w:color="auto"/>
                <w:bottom w:val="none" w:sz="0" w:space="0" w:color="auto"/>
                <w:right w:val="none" w:sz="0" w:space="0" w:color="auto"/>
              </w:divBdr>
              <w:divsChild>
                <w:div w:id="885335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6200339">
      <w:bodyDiv w:val="1"/>
      <w:marLeft w:val="0"/>
      <w:marRight w:val="0"/>
      <w:marTop w:val="0"/>
      <w:marBottom w:val="0"/>
      <w:divBdr>
        <w:top w:val="none" w:sz="0" w:space="0" w:color="auto"/>
        <w:left w:val="none" w:sz="0" w:space="0" w:color="auto"/>
        <w:bottom w:val="none" w:sz="0" w:space="0" w:color="auto"/>
        <w:right w:val="none" w:sz="0" w:space="0" w:color="auto"/>
      </w:divBdr>
    </w:div>
    <w:div w:id="1988045522">
      <w:bodyDiv w:val="1"/>
      <w:marLeft w:val="0"/>
      <w:marRight w:val="0"/>
      <w:marTop w:val="0"/>
      <w:marBottom w:val="0"/>
      <w:divBdr>
        <w:top w:val="none" w:sz="0" w:space="0" w:color="auto"/>
        <w:left w:val="none" w:sz="0" w:space="0" w:color="auto"/>
        <w:bottom w:val="none" w:sz="0" w:space="0" w:color="auto"/>
        <w:right w:val="none" w:sz="0" w:space="0" w:color="auto"/>
      </w:divBdr>
    </w:div>
    <w:div w:id="1989284251">
      <w:bodyDiv w:val="1"/>
      <w:marLeft w:val="0"/>
      <w:marRight w:val="0"/>
      <w:marTop w:val="0"/>
      <w:marBottom w:val="0"/>
      <w:divBdr>
        <w:top w:val="none" w:sz="0" w:space="0" w:color="auto"/>
        <w:left w:val="none" w:sz="0" w:space="0" w:color="auto"/>
        <w:bottom w:val="none" w:sz="0" w:space="0" w:color="auto"/>
        <w:right w:val="none" w:sz="0" w:space="0" w:color="auto"/>
      </w:divBdr>
    </w:div>
    <w:div w:id="1993364779">
      <w:bodyDiv w:val="1"/>
      <w:marLeft w:val="0"/>
      <w:marRight w:val="0"/>
      <w:marTop w:val="0"/>
      <w:marBottom w:val="0"/>
      <w:divBdr>
        <w:top w:val="none" w:sz="0" w:space="0" w:color="auto"/>
        <w:left w:val="none" w:sz="0" w:space="0" w:color="auto"/>
        <w:bottom w:val="none" w:sz="0" w:space="0" w:color="auto"/>
        <w:right w:val="none" w:sz="0" w:space="0" w:color="auto"/>
      </w:divBdr>
    </w:div>
    <w:div w:id="1996302067">
      <w:bodyDiv w:val="1"/>
      <w:marLeft w:val="0"/>
      <w:marRight w:val="0"/>
      <w:marTop w:val="0"/>
      <w:marBottom w:val="0"/>
      <w:divBdr>
        <w:top w:val="none" w:sz="0" w:space="0" w:color="auto"/>
        <w:left w:val="none" w:sz="0" w:space="0" w:color="auto"/>
        <w:bottom w:val="none" w:sz="0" w:space="0" w:color="auto"/>
        <w:right w:val="none" w:sz="0" w:space="0" w:color="auto"/>
      </w:divBdr>
    </w:div>
    <w:div w:id="1998604711">
      <w:bodyDiv w:val="1"/>
      <w:marLeft w:val="0"/>
      <w:marRight w:val="0"/>
      <w:marTop w:val="0"/>
      <w:marBottom w:val="0"/>
      <w:divBdr>
        <w:top w:val="none" w:sz="0" w:space="0" w:color="auto"/>
        <w:left w:val="none" w:sz="0" w:space="0" w:color="auto"/>
        <w:bottom w:val="none" w:sz="0" w:space="0" w:color="auto"/>
        <w:right w:val="none" w:sz="0" w:space="0" w:color="auto"/>
      </w:divBdr>
    </w:div>
    <w:div w:id="2008172135">
      <w:bodyDiv w:val="1"/>
      <w:marLeft w:val="0"/>
      <w:marRight w:val="0"/>
      <w:marTop w:val="0"/>
      <w:marBottom w:val="0"/>
      <w:divBdr>
        <w:top w:val="none" w:sz="0" w:space="0" w:color="auto"/>
        <w:left w:val="none" w:sz="0" w:space="0" w:color="auto"/>
        <w:bottom w:val="none" w:sz="0" w:space="0" w:color="auto"/>
        <w:right w:val="none" w:sz="0" w:space="0" w:color="auto"/>
      </w:divBdr>
    </w:div>
    <w:div w:id="2008631251">
      <w:bodyDiv w:val="1"/>
      <w:marLeft w:val="0"/>
      <w:marRight w:val="0"/>
      <w:marTop w:val="0"/>
      <w:marBottom w:val="0"/>
      <w:divBdr>
        <w:top w:val="none" w:sz="0" w:space="0" w:color="auto"/>
        <w:left w:val="none" w:sz="0" w:space="0" w:color="auto"/>
        <w:bottom w:val="none" w:sz="0" w:space="0" w:color="auto"/>
        <w:right w:val="none" w:sz="0" w:space="0" w:color="auto"/>
      </w:divBdr>
    </w:div>
    <w:div w:id="2009404627">
      <w:bodyDiv w:val="1"/>
      <w:marLeft w:val="0"/>
      <w:marRight w:val="0"/>
      <w:marTop w:val="0"/>
      <w:marBottom w:val="0"/>
      <w:divBdr>
        <w:top w:val="none" w:sz="0" w:space="0" w:color="auto"/>
        <w:left w:val="none" w:sz="0" w:space="0" w:color="auto"/>
        <w:bottom w:val="none" w:sz="0" w:space="0" w:color="auto"/>
        <w:right w:val="none" w:sz="0" w:space="0" w:color="auto"/>
      </w:divBdr>
    </w:div>
    <w:div w:id="2010474704">
      <w:bodyDiv w:val="1"/>
      <w:marLeft w:val="0"/>
      <w:marRight w:val="0"/>
      <w:marTop w:val="0"/>
      <w:marBottom w:val="0"/>
      <w:divBdr>
        <w:top w:val="none" w:sz="0" w:space="0" w:color="auto"/>
        <w:left w:val="none" w:sz="0" w:space="0" w:color="auto"/>
        <w:bottom w:val="none" w:sz="0" w:space="0" w:color="auto"/>
        <w:right w:val="none" w:sz="0" w:space="0" w:color="auto"/>
      </w:divBdr>
    </w:div>
    <w:div w:id="2012025869">
      <w:bodyDiv w:val="1"/>
      <w:marLeft w:val="0"/>
      <w:marRight w:val="0"/>
      <w:marTop w:val="0"/>
      <w:marBottom w:val="0"/>
      <w:divBdr>
        <w:top w:val="none" w:sz="0" w:space="0" w:color="auto"/>
        <w:left w:val="none" w:sz="0" w:space="0" w:color="auto"/>
        <w:bottom w:val="none" w:sz="0" w:space="0" w:color="auto"/>
        <w:right w:val="none" w:sz="0" w:space="0" w:color="auto"/>
      </w:divBdr>
    </w:div>
    <w:div w:id="2012639373">
      <w:bodyDiv w:val="1"/>
      <w:marLeft w:val="0"/>
      <w:marRight w:val="0"/>
      <w:marTop w:val="0"/>
      <w:marBottom w:val="0"/>
      <w:divBdr>
        <w:top w:val="none" w:sz="0" w:space="0" w:color="auto"/>
        <w:left w:val="none" w:sz="0" w:space="0" w:color="auto"/>
        <w:bottom w:val="none" w:sz="0" w:space="0" w:color="auto"/>
        <w:right w:val="none" w:sz="0" w:space="0" w:color="auto"/>
      </w:divBdr>
    </w:div>
    <w:div w:id="2015454119">
      <w:bodyDiv w:val="1"/>
      <w:marLeft w:val="0"/>
      <w:marRight w:val="0"/>
      <w:marTop w:val="0"/>
      <w:marBottom w:val="0"/>
      <w:divBdr>
        <w:top w:val="none" w:sz="0" w:space="0" w:color="auto"/>
        <w:left w:val="none" w:sz="0" w:space="0" w:color="auto"/>
        <w:bottom w:val="none" w:sz="0" w:space="0" w:color="auto"/>
        <w:right w:val="none" w:sz="0" w:space="0" w:color="auto"/>
      </w:divBdr>
    </w:div>
    <w:div w:id="2023971272">
      <w:bodyDiv w:val="1"/>
      <w:marLeft w:val="0"/>
      <w:marRight w:val="0"/>
      <w:marTop w:val="0"/>
      <w:marBottom w:val="0"/>
      <w:divBdr>
        <w:top w:val="none" w:sz="0" w:space="0" w:color="auto"/>
        <w:left w:val="none" w:sz="0" w:space="0" w:color="auto"/>
        <w:bottom w:val="none" w:sz="0" w:space="0" w:color="auto"/>
        <w:right w:val="none" w:sz="0" w:space="0" w:color="auto"/>
      </w:divBdr>
    </w:div>
    <w:div w:id="2024503700">
      <w:bodyDiv w:val="1"/>
      <w:marLeft w:val="0"/>
      <w:marRight w:val="0"/>
      <w:marTop w:val="0"/>
      <w:marBottom w:val="0"/>
      <w:divBdr>
        <w:top w:val="none" w:sz="0" w:space="0" w:color="auto"/>
        <w:left w:val="none" w:sz="0" w:space="0" w:color="auto"/>
        <w:bottom w:val="none" w:sz="0" w:space="0" w:color="auto"/>
        <w:right w:val="none" w:sz="0" w:space="0" w:color="auto"/>
      </w:divBdr>
    </w:div>
    <w:div w:id="2027517210">
      <w:bodyDiv w:val="1"/>
      <w:marLeft w:val="0"/>
      <w:marRight w:val="0"/>
      <w:marTop w:val="0"/>
      <w:marBottom w:val="0"/>
      <w:divBdr>
        <w:top w:val="none" w:sz="0" w:space="0" w:color="auto"/>
        <w:left w:val="none" w:sz="0" w:space="0" w:color="auto"/>
        <w:bottom w:val="none" w:sz="0" w:space="0" w:color="auto"/>
        <w:right w:val="none" w:sz="0" w:space="0" w:color="auto"/>
      </w:divBdr>
    </w:div>
    <w:div w:id="2028560142">
      <w:bodyDiv w:val="1"/>
      <w:marLeft w:val="0"/>
      <w:marRight w:val="0"/>
      <w:marTop w:val="0"/>
      <w:marBottom w:val="0"/>
      <w:divBdr>
        <w:top w:val="none" w:sz="0" w:space="0" w:color="auto"/>
        <w:left w:val="none" w:sz="0" w:space="0" w:color="auto"/>
        <w:bottom w:val="none" w:sz="0" w:space="0" w:color="auto"/>
        <w:right w:val="none" w:sz="0" w:space="0" w:color="auto"/>
      </w:divBdr>
    </w:div>
    <w:div w:id="2033995565">
      <w:bodyDiv w:val="1"/>
      <w:marLeft w:val="0"/>
      <w:marRight w:val="0"/>
      <w:marTop w:val="0"/>
      <w:marBottom w:val="0"/>
      <w:divBdr>
        <w:top w:val="none" w:sz="0" w:space="0" w:color="auto"/>
        <w:left w:val="none" w:sz="0" w:space="0" w:color="auto"/>
        <w:bottom w:val="none" w:sz="0" w:space="0" w:color="auto"/>
        <w:right w:val="none" w:sz="0" w:space="0" w:color="auto"/>
      </w:divBdr>
    </w:div>
    <w:div w:id="2036418136">
      <w:bodyDiv w:val="1"/>
      <w:marLeft w:val="0"/>
      <w:marRight w:val="0"/>
      <w:marTop w:val="0"/>
      <w:marBottom w:val="0"/>
      <w:divBdr>
        <w:top w:val="none" w:sz="0" w:space="0" w:color="auto"/>
        <w:left w:val="none" w:sz="0" w:space="0" w:color="auto"/>
        <w:bottom w:val="none" w:sz="0" w:space="0" w:color="auto"/>
        <w:right w:val="none" w:sz="0" w:space="0" w:color="auto"/>
      </w:divBdr>
    </w:div>
    <w:div w:id="2039088775">
      <w:bodyDiv w:val="1"/>
      <w:marLeft w:val="0"/>
      <w:marRight w:val="0"/>
      <w:marTop w:val="0"/>
      <w:marBottom w:val="0"/>
      <w:divBdr>
        <w:top w:val="none" w:sz="0" w:space="0" w:color="auto"/>
        <w:left w:val="none" w:sz="0" w:space="0" w:color="auto"/>
        <w:bottom w:val="none" w:sz="0" w:space="0" w:color="auto"/>
        <w:right w:val="none" w:sz="0" w:space="0" w:color="auto"/>
      </w:divBdr>
    </w:div>
    <w:div w:id="2041858487">
      <w:bodyDiv w:val="1"/>
      <w:marLeft w:val="0"/>
      <w:marRight w:val="0"/>
      <w:marTop w:val="0"/>
      <w:marBottom w:val="0"/>
      <w:divBdr>
        <w:top w:val="none" w:sz="0" w:space="0" w:color="auto"/>
        <w:left w:val="none" w:sz="0" w:space="0" w:color="auto"/>
        <w:bottom w:val="none" w:sz="0" w:space="0" w:color="auto"/>
        <w:right w:val="none" w:sz="0" w:space="0" w:color="auto"/>
      </w:divBdr>
    </w:div>
    <w:div w:id="2045324254">
      <w:bodyDiv w:val="1"/>
      <w:marLeft w:val="0"/>
      <w:marRight w:val="0"/>
      <w:marTop w:val="0"/>
      <w:marBottom w:val="0"/>
      <w:divBdr>
        <w:top w:val="none" w:sz="0" w:space="0" w:color="auto"/>
        <w:left w:val="none" w:sz="0" w:space="0" w:color="auto"/>
        <w:bottom w:val="none" w:sz="0" w:space="0" w:color="auto"/>
        <w:right w:val="none" w:sz="0" w:space="0" w:color="auto"/>
      </w:divBdr>
    </w:div>
    <w:div w:id="2046559050">
      <w:bodyDiv w:val="1"/>
      <w:marLeft w:val="0"/>
      <w:marRight w:val="0"/>
      <w:marTop w:val="0"/>
      <w:marBottom w:val="0"/>
      <w:divBdr>
        <w:top w:val="none" w:sz="0" w:space="0" w:color="auto"/>
        <w:left w:val="none" w:sz="0" w:space="0" w:color="auto"/>
        <w:bottom w:val="none" w:sz="0" w:space="0" w:color="auto"/>
        <w:right w:val="none" w:sz="0" w:space="0" w:color="auto"/>
      </w:divBdr>
    </w:div>
    <w:div w:id="2047172671">
      <w:bodyDiv w:val="1"/>
      <w:marLeft w:val="0"/>
      <w:marRight w:val="0"/>
      <w:marTop w:val="0"/>
      <w:marBottom w:val="0"/>
      <w:divBdr>
        <w:top w:val="none" w:sz="0" w:space="0" w:color="auto"/>
        <w:left w:val="none" w:sz="0" w:space="0" w:color="auto"/>
        <w:bottom w:val="none" w:sz="0" w:space="0" w:color="auto"/>
        <w:right w:val="none" w:sz="0" w:space="0" w:color="auto"/>
      </w:divBdr>
    </w:div>
    <w:div w:id="2053648337">
      <w:bodyDiv w:val="1"/>
      <w:marLeft w:val="0"/>
      <w:marRight w:val="0"/>
      <w:marTop w:val="0"/>
      <w:marBottom w:val="0"/>
      <w:divBdr>
        <w:top w:val="none" w:sz="0" w:space="0" w:color="auto"/>
        <w:left w:val="none" w:sz="0" w:space="0" w:color="auto"/>
        <w:bottom w:val="none" w:sz="0" w:space="0" w:color="auto"/>
        <w:right w:val="none" w:sz="0" w:space="0" w:color="auto"/>
      </w:divBdr>
    </w:div>
    <w:div w:id="2054651635">
      <w:bodyDiv w:val="1"/>
      <w:marLeft w:val="0"/>
      <w:marRight w:val="0"/>
      <w:marTop w:val="0"/>
      <w:marBottom w:val="0"/>
      <w:divBdr>
        <w:top w:val="none" w:sz="0" w:space="0" w:color="auto"/>
        <w:left w:val="none" w:sz="0" w:space="0" w:color="auto"/>
        <w:bottom w:val="none" w:sz="0" w:space="0" w:color="auto"/>
        <w:right w:val="none" w:sz="0" w:space="0" w:color="auto"/>
      </w:divBdr>
    </w:div>
    <w:div w:id="2055618858">
      <w:bodyDiv w:val="1"/>
      <w:marLeft w:val="0"/>
      <w:marRight w:val="0"/>
      <w:marTop w:val="0"/>
      <w:marBottom w:val="0"/>
      <w:divBdr>
        <w:top w:val="none" w:sz="0" w:space="0" w:color="auto"/>
        <w:left w:val="none" w:sz="0" w:space="0" w:color="auto"/>
        <w:bottom w:val="none" w:sz="0" w:space="0" w:color="auto"/>
        <w:right w:val="none" w:sz="0" w:space="0" w:color="auto"/>
      </w:divBdr>
    </w:div>
    <w:div w:id="2057584290">
      <w:bodyDiv w:val="1"/>
      <w:marLeft w:val="0"/>
      <w:marRight w:val="0"/>
      <w:marTop w:val="0"/>
      <w:marBottom w:val="0"/>
      <w:divBdr>
        <w:top w:val="none" w:sz="0" w:space="0" w:color="auto"/>
        <w:left w:val="none" w:sz="0" w:space="0" w:color="auto"/>
        <w:bottom w:val="none" w:sz="0" w:space="0" w:color="auto"/>
        <w:right w:val="none" w:sz="0" w:space="0" w:color="auto"/>
      </w:divBdr>
    </w:div>
    <w:div w:id="2067099917">
      <w:bodyDiv w:val="1"/>
      <w:marLeft w:val="0"/>
      <w:marRight w:val="0"/>
      <w:marTop w:val="0"/>
      <w:marBottom w:val="0"/>
      <w:divBdr>
        <w:top w:val="none" w:sz="0" w:space="0" w:color="auto"/>
        <w:left w:val="none" w:sz="0" w:space="0" w:color="auto"/>
        <w:bottom w:val="none" w:sz="0" w:space="0" w:color="auto"/>
        <w:right w:val="none" w:sz="0" w:space="0" w:color="auto"/>
      </w:divBdr>
    </w:div>
    <w:div w:id="2069648204">
      <w:bodyDiv w:val="1"/>
      <w:marLeft w:val="0"/>
      <w:marRight w:val="0"/>
      <w:marTop w:val="0"/>
      <w:marBottom w:val="0"/>
      <w:divBdr>
        <w:top w:val="none" w:sz="0" w:space="0" w:color="auto"/>
        <w:left w:val="none" w:sz="0" w:space="0" w:color="auto"/>
        <w:bottom w:val="none" w:sz="0" w:space="0" w:color="auto"/>
        <w:right w:val="none" w:sz="0" w:space="0" w:color="auto"/>
      </w:divBdr>
    </w:div>
    <w:div w:id="2070110996">
      <w:bodyDiv w:val="1"/>
      <w:marLeft w:val="0"/>
      <w:marRight w:val="0"/>
      <w:marTop w:val="0"/>
      <w:marBottom w:val="0"/>
      <w:divBdr>
        <w:top w:val="none" w:sz="0" w:space="0" w:color="auto"/>
        <w:left w:val="none" w:sz="0" w:space="0" w:color="auto"/>
        <w:bottom w:val="none" w:sz="0" w:space="0" w:color="auto"/>
        <w:right w:val="none" w:sz="0" w:space="0" w:color="auto"/>
      </w:divBdr>
    </w:div>
    <w:div w:id="2072997424">
      <w:bodyDiv w:val="1"/>
      <w:marLeft w:val="0"/>
      <w:marRight w:val="0"/>
      <w:marTop w:val="0"/>
      <w:marBottom w:val="0"/>
      <w:divBdr>
        <w:top w:val="none" w:sz="0" w:space="0" w:color="auto"/>
        <w:left w:val="none" w:sz="0" w:space="0" w:color="auto"/>
        <w:bottom w:val="none" w:sz="0" w:space="0" w:color="auto"/>
        <w:right w:val="none" w:sz="0" w:space="0" w:color="auto"/>
      </w:divBdr>
    </w:div>
    <w:div w:id="2073120205">
      <w:bodyDiv w:val="1"/>
      <w:marLeft w:val="0"/>
      <w:marRight w:val="0"/>
      <w:marTop w:val="0"/>
      <w:marBottom w:val="0"/>
      <w:divBdr>
        <w:top w:val="none" w:sz="0" w:space="0" w:color="auto"/>
        <w:left w:val="none" w:sz="0" w:space="0" w:color="auto"/>
        <w:bottom w:val="none" w:sz="0" w:space="0" w:color="auto"/>
        <w:right w:val="none" w:sz="0" w:space="0" w:color="auto"/>
      </w:divBdr>
    </w:div>
    <w:div w:id="2079092488">
      <w:bodyDiv w:val="1"/>
      <w:marLeft w:val="0"/>
      <w:marRight w:val="0"/>
      <w:marTop w:val="0"/>
      <w:marBottom w:val="0"/>
      <w:divBdr>
        <w:top w:val="none" w:sz="0" w:space="0" w:color="auto"/>
        <w:left w:val="none" w:sz="0" w:space="0" w:color="auto"/>
        <w:bottom w:val="none" w:sz="0" w:space="0" w:color="auto"/>
        <w:right w:val="none" w:sz="0" w:space="0" w:color="auto"/>
      </w:divBdr>
    </w:div>
    <w:div w:id="2079356969">
      <w:bodyDiv w:val="1"/>
      <w:marLeft w:val="0"/>
      <w:marRight w:val="0"/>
      <w:marTop w:val="0"/>
      <w:marBottom w:val="0"/>
      <w:divBdr>
        <w:top w:val="none" w:sz="0" w:space="0" w:color="auto"/>
        <w:left w:val="none" w:sz="0" w:space="0" w:color="auto"/>
        <w:bottom w:val="none" w:sz="0" w:space="0" w:color="auto"/>
        <w:right w:val="none" w:sz="0" w:space="0" w:color="auto"/>
      </w:divBdr>
    </w:div>
    <w:div w:id="2082631382">
      <w:bodyDiv w:val="1"/>
      <w:marLeft w:val="0"/>
      <w:marRight w:val="0"/>
      <w:marTop w:val="0"/>
      <w:marBottom w:val="0"/>
      <w:divBdr>
        <w:top w:val="none" w:sz="0" w:space="0" w:color="auto"/>
        <w:left w:val="none" w:sz="0" w:space="0" w:color="auto"/>
        <w:bottom w:val="none" w:sz="0" w:space="0" w:color="auto"/>
        <w:right w:val="none" w:sz="0" w:space="0" w:color="auto"/>
      </w:divBdr>
      <w:divsChild>
        <w:div w:id="542063015">
          <w:marLeft w:val="0"/>
          <w:marRight w:val="0"/>
          <w:marTop w:val="0"/>
          <w:marBottom w:val="0"/>
          <w:divBdr>
            <w:top w:val="none" w:sz="0" w:space="0" w:color="auto"/>
            <w:left w:val="none" w:sz="0" w:space="0" w:color="auto"/>
            <w:bottom w:val="none" w:sz="0" w:space="0" w:color="auto"/>
            <w:right w:val="none" w:sz="0" w:space="0" w:color="auto"/>
          </w:divBdr>
        </w:div>
        <w:div w:id="1612739249">
          <w:marLeft w:val="0"/>
          <w:marRight w:val="0"/>
          <w:marTop w:val="0"/>
          <w:marBottom w:val="0"/>
          <w:divBdr>
            <w:top w:val="none" w:sz="0" w:space="0" w:color="auto"/>
            <w:left w:val="none" w:sz="0" w:space="0" w:color="auto"/>
            <w:bottom w:val="none" w:sz="0" w:space="0" w:color="auto"/>
            <w:right w:val="none" w:sz="0" w:space="0" w:color="auto"/>
          </w:divBdr>
        </w:div>
        <w:div w:id="229583389">
          <w:marLeft w:val="0"/>
          <w:marRight w:val="0"/>
          <w:marTop w:val="0"/>
          <w:marBottom w:val="0"/>
          <w:divBdr>
            <w:top w:val="none" w:sz="0" w:space="0" w:color="auto"/>
            <w:left w:val="none" w:sz="0" w:space="0" w:color="auto"/>
            <w:bottom w:val="none" w:sz="0" w:space="0" w:color="auto"/>
            <w:right w:val="none" w:sz="0" w:space="0" w:color="auto"/>
          </w:divBdr>
        </w:div>
        <w:div w:id="1675650845">
          <w:marLeft w:val="0"/>
          <w:marRight w:val="0"/>
          <w:marTop w:val="0"/>
          <w:marBottom w:val="0"/>
          <w:divBdr>
            <w:top w:val="none" w:sz="0" w:space="0" w:color="auto"/>
            <w:left w:val="none" w:sz="0" w:space="0" w:color="auto"/>
            <w:bottom w:val="none" w:sz="0" w:space="0" w:color="auto"/>
            <w:right w:val="none" w:sz="0" w:space="0" w:color="auto"/>
          </w:divBdr>
          <w:divsChild>
            <w:div w:id="1083645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5955479">
      <w:bodyDiv w:val="1"/>
      <w:marLeft w:val="0"/>
      <w:marRight w:val="0"/>
      <w:marTop w:val="0"/>
      <w:marBottom w:val="0"/>
      <w:divBdr>
        <w:top w:val="none" w:sz="0" w:space="0" w:color="auto"/>
        <w:left w:val="none" w:sz="0" w:space="0" w:color="auto"/>
        <w:bottom w:val="none" w:sz="0" w:space="0" w:color="auto"/>
        <w:right w:val="none" w:sz="0" w:space="0" w:color="auto"/>
      </w:divBdr>
    </w:div>
    <w:div w:id="2099255916">
      <w:bodyDiv w:val="1"/>
      <w:marLeft w:val="0"/>
      <w:marRight w:val="0"/>
      <w:marTop w:val="0"/>
      <w:marBottom w:val="0"/>
      <w:divBdr>
        <w:top w:val="none" w:sz="0" w:space="0" w:color="auto"/>
        <w:left w:val="none" w:sz="0" w:space="0" w:color="auto"/>
        <w:bottom w:val="none" w:sz="0" w:space="0" w:color="auto"/>
        <w:right w:val="none" w:sz="0" w:space="0" w:color="auto"/>
      </w:divBdr>
    </w:div>
    <w:div w:id="2101220427">
      <w:bodyDiv w:val="1"/>
      <w:marLeft w:val="0"/>
      <w:marRight w:val="0"/>
      <w:marTop w:val="0"/>
      <w:marBottom w:val="0"/>
      <w:divBdr>
        <w:top w:val="none" w:sz="0" w:space="0" w:color="auto"/>
        <w:left w:val="none" w:sz="0" w:space="0" w:color="auto"/>
        <w:bottom w:val="none" w:sz="0" w:space="0" w:color="auto"/>
        <w:right w:val="none" w:sz="0" w:space="0" w:color="auto"/>
      </w:divBdr>
    </w:div>
    <w:div w:id="2103644682">
      <w:bodyDiv w:val="1"/>
      <w:marLeft w:val="0"/>
      <w:marRight w:val="0"/>
      <w:marTop w:val="0"/>
      <w:marBottom w:val="0"/>
      <w:divBdr>
        <w:top w:val="none" w:sz="0" w:space="0" w:color="auto"/>
        <w:left w:val="none" w:sz="0" w:space="0" w:color="auto"/>
        <w:bottom w:val="none" w:sz="0" w:space="0" w:color="auto"/>
        <w:right w:val="none" w:sz="0" w:space="0" w:color="auto"/>
      </w:divBdr>
    </w:div>
    <w:div w:id="2107538667">
      <w:bodyDiv w:val="1"/>
      <w:marLeft w:val="0"/>
      <w:marRight w:val="0"/>
      <w:marTop w:val="0"/>
      <w:marBottom w:val="0"/>
      <w:divBdr>
        <w:top w:val="none" w:sz="0" w:space="0" w:color="auto"/>
        <w:left w:val="none" w:sz="0" w:space="0" w:color="auto"/>
        <w:bottom w:val="none" w:sz="0" w:space="0" w:color="auto"/>
        <w:right w:val="none" w:sz="0" w:space="0" w:color="auto"/>
      </w:divBdr>
    </w:div>
    <w:div w:id="2108963031">
      <w:bodyDiv w:val="1"/>
      <w:marLeft w:val="0"/>
      <w:marRight w:val="0"/>
      <w:marTop w:val="0"/>
      <w:marBottom w:val="0"/>
      <w:divBdr>
        <w:top w:val="none" w:sz="0" w:space="0" w:color="auto"/>
        <w:left w:val="none" w:sz="0" w:space="0" w:color="auto"/>
        <w:bottom w:val="none" w:sz="0" w:space="0" w:color="auto"/>
        <w:right w:val="none" w:sz="0" w:space="0" w:color="auto"/>
      </w:divBdr>
    </w:div>
    <w:div w:id="2110420009">
      <w:bodyDiv w:val="1"/>
      <w:marLeft w:val="0"/>
      <w:marRight w:val="0"/>
      <w:marTop w:val="0"/>
      <w:marBottom w:val="0"/>
      <w:divBdr>
        <w:top w:val="none" w:sz="0" w:space="0" w:color="auto"/>
        <w:left w:val="none" w:sz="0" w:space="0" w:color="auto"/>
        <w:bottom w:val="none" w:sz="0" w:space="0" w:color="auto"/>
        <w:right w:val="none" w:sz="0" w:space="0" w:color="auto"/>
      </w:divBdr>
    </w:div>
    <w:div w:id="2113016784">
      <w:bodyDiv w:val="1"/>
      <w:marLeft w:val="0"/>
      <w:marRight w:val="0"/>
      <w:marTop w:val="0"/>
      <w:marBottom w:val="0"/>
      <w:divBdr>
        <w:top w:val="none" w:sz="0" w:space="0" w:color="auto"/>
        <w:left w:val="none" w:sz="0" w:space="0" w:color="auto"/>
        <w:bottom w:val="none" w:sz="0" w:space="0" w:color="auto"/>
        <w:right w:val="none" w:sz="0" w:space="0" w:color="auto"/>
      </w:divBdr>
    </w:div>
    <w:div w:id="2120684051">
      <w:bodyDiv w:val="1"/>
      <w:marLeft w:val="0"/>
      <w:marRight w:val="0"/>
      <w:marTop w:val="0"/>
      <w:marBottom w:val="0"/>
      <w:divBdr>
        <w:top w:val="none" w:sz="0" w:space="0" w:color="auto"/>
        <w:left w:val="none" w:sz="0" w:space="0" w:color="auto"/>
        <w:bottom w:val="none" w:sz="0" w:space="0" w:color="auto"/>
        <w:right w:val="none" w:sz="0" w:space="0" w:color="auto"/>
      </w:divBdr>
    </w:div>
    <w:div w:id="2123450423">
      <w:bodyDiv w:val="1"/>
      <w:marLeft w:val="0"/>
      <w:marRight w:val="0"/>
      <w:marTop w:val="0"/>
      <w:marBottom w:val="0"/>
      <w:divBdr>
        <w:top w:val="none" w:sz="0" w:space="0" w:color="auto"/>
        <w:left w:val="none" w:sz="0" w:space="0" w:color="auto"/>
        <w:bottom w:val="none" w:sz="0" w:space="0" w:color="auto"/>
        <w:right w:val="none" w:sz="0" w:space="0" w:color="auto"/>
      </w:divBdr>
    </w:div>
    <w:div w:id="2123451416">
      <w:bodyDiv w:val="1"/>
      <w:marLeft w:val="0"/>
      <w:marRight w:val="0"/>
      <w:marTop w:val="0"/>
      <w:marBottom w:val="0"/>
      <w:divBdr>
        <w:top w:val="none" w:sz="0" w:space="0" w:color="auto"/>
        <w:left w:val="none" w:sz="0" w:space="0" w:color="auto"/>
        <w:bottom w:val="none" w:sz="0" w:space="0" w:color="auto"/>
        <w:right w:val="none" w:sz="0" w:space="0" w:color="auto"/>
      </w:divBdr>
    </w:div>
    <w:div w:id="2128574232">
      <w:bodyDiv w:val="1"/>
      <w:marLeft w:val="0"/>
      <w:marRight w:val="0"/>
      <w:marTop w:val="0"/>
      <w:marBottom w:val="0"/>
      <w:divBdr>
        <w:top w:val="none" w:sz="0" w:space="0" w:color="auto"/>
        <w:left w:val="none" w:sz="0" w:space="0" w:color="auto"/>
        <w:bottom w:val="none" w:sz="0" w:space="0" w:color="auto"/>
        <w:right w:val="none" w:sz="0" w:space="0" w:color="auto"/>
      </w:divBdr>
    </w:div>
    <w:div w:id="2129885225">
      <w:bodyDiv w:val="1"/>
      <w:marLeft w:val="0"/>
      <w:marRight w:val="0"/>
      <w:marTop w:val="0"/>
      <w:marBottom w:val="0"/>
      <w:divBdr>
        <w:top w:val="none" w:sz="0" w:space="0" w:color="auto"/>
        <w:left w:val="none" w:sz="0" w:space="0" w:color="auto"/>
        <w:bottom w:val="none" w:sz="0" w:space="0" w:color="auto"/>
        <w:right w:val="none" w:sz="0" w:space="0" w:color="auto"/>
      </w:divBdr>
    </w:div>
    <w:div w:id="2130274319">
      <w:bodyDiv w:val="1"/>
      <w:marLeft w:val="0"/>
      <w:marRight w:val="0"/>
      <w:marTop w:val="0"/>
      <w:marBottom w:val="0"/>
      <w:divBdr>
        <w:top w:val="none" w:sz="0" w:space="0" w:color="auto"/>
        <w:left w:val="none" w:sz="0" w:space="0" w:color="auto"/>
        <w:bottom w:val="none" w:sz="0" w:space="0" w:color="auto"/>
        <w:right w:val="none" w:sz="0" w:space="0" w:color="auto"/>
      </w:divBdr>
    </w:div>
    <w:div w:id="2130736234">
      <w:bodyDiv w:val="1"/>
      <w:marLeft w:val="0"/>
      <w:marRight w:val="0"/>
      <w:marTop w:val="0"/>
      <w:marBottom w:val="0"/>
      <w:divBdr>
        <w:top w:val="none" w:sz="0" w:space="0" w:color="auto"/>
        <w:left w:val="none" w:sz="0" w:space="0" w:color="auto"/>
        <w:bottom w:val="none" w:sz="0" w:space="0" w:color="auto"/>
        <w:right w:val="none" w:sz="0" w:space="0" w:color="auto"/>
      </w:divBdr>
    </w:div>
    <w:div w:id="2132897925">
      <w:bodyDiv w:val="1"/>
      <w:marLeft w:val="0"/>
      <w:marRight w:val="0"/>
      <w:marTop w:val="0"/>
      <w:marBottom w:val="0"/>
      <w:divBdr>
        <w:top w:val="none" w:sz="0" w:space="0" w:color="auto"/>
        <w:left w:val="none" w:sz="0" w:space="0" w:color="auto"/>
        <w:bottom w:val="none" w:sz="0" w:space="0" w:color="auto"/>
        <w:right w:val="none" w:sz="0" w:space="0" w:color="auto"/>
      </w:divBdr>
    </w:div>
    <w:div w:id="2140144196">
      <w:bodyDiv w:val="1"/>
      <w:marLeft w:val="0"/>
      <w:marRight w:val="0"/>
      <w:marTop w:val="0"/>
      <w:marBottom w:val="0"/>
      <w:divBdr>
        <w:top w:val="none" w:sz="0" w:space="0" w:color="auto"/>
        <w:left w:val="none" w:sz="0" w:space="0" w:color="auto"/>
        <w:bottom w:val="none" w:sz="0" w:space="0" w:color="auto"/>
        <w:right w:val="none" w:sz="0" w:space="0" w:color="auto"/>
      </w:divBdr>
    </w:div>
    <w:div w:id="2140487965">
      <w:bodyDiv w:val="1"/>
      <w:marLeft w:val="0"/>
      <w:marRight w:val="0"/>
      <w:marTop w:val="0"/>
      <w:marBottom w:val="0"/>
      <w:divBdr>
        <w:top w:val="none" w:sz="0" w:space="0" w:color="auto"/>
        <w:left w:val="none" w:sz="0" w:space="0" w:color="auto"/>
        <w:bottom w:val="none" w:sz="0" w:space="0" w:color="auto"/>
        <w:right w:val="none" w:sz="0" w:space="0" w:color="auto"/>
      </w:divBdr>
    </w:div>
    <w:div w:id="2140995624">
      <w:bodyDiv w:val="1"/>
      <w:marLeft w:val="0"/>
      <w:marRight w:val="0"/>
      <w:marTop w:val="0"/>
      <w:marBottom w:val="0"/>
      <w:divBdr>
        <w:top w:val="none" w:sz="0" w:space="0" w:color="auto"/>
        <w:left w:val="none" w:sz="0" w:space="0" w:color="auto"/>
        <w:bottom w:val="none" w:sz="0" w:space="0" w:color="auto"/>
        <w:right w:val="none" w:sz="0" w:space="0" w:color="auto"/>
      </w:divBdr>
    </w:div>
    <w:div w:id="2141419254">
      <w:bodyDiv w:val="1"/>
      <w:marLeft w:val="0"/>
      <w:marRight w:val="0"/>
      <w:marTop w:val="0"/>
      <w:marBottom w:val="0"/>
      <w:divBdr>
        <w:top w:val="none" w:sz="0" w:space="0" w:color="auto"/>
        <w:left w:val="none" w:sz="0" w:space="0" w:color="auto"/>
        <w:bottom w:val="none" w:sz="0" w:space="0" w:color="auto"/>
        <w:right w:val="none" w:sz="0" w:space="0" w:color="auto"/>
      </w:divBdr>
    </w:div>
    <w:div w:id="2142530731">
      <w:bodyDiv w:val="1"/>
      <w:marLeft w:val="0"/>
      <w:marRight w:val="0"/>
      <w:marTop w:val="0"/>
      <w:marBottom w:val="0"/>
      <w:divBdr>
        <w:top w:val="none" w:sz="0" w:space="0" w:color="auto"/>
        <w:left w:val="none" w:sz="0" w:space="0" w:color="auto"/>
        <w:bottom w:val="none" w:sz="0" w:space="0" w:color="auto"/>
        <w:right w:val="none" w:sz="0" w:space="0" w:color="auto"/>
      </w:divBdr>
    </w:div>
    <w:div w:id="2143769455">
      <w:bodyDiv w:val="1"/>
      <w:marLeft w:val="0"/>
      <w:marRight w:val="0"/>
      <w:marTop w:val="0"/>
      <w:marBottom w:val="0"/>
      <w:divBdr>
        <w:top w:val="none" w:sz="0" w:space="0" w:color="auto"/>
        <w:left w:val="none" w:sz="0" w:space="0" w:color="auto"/>
        <w:bottom w:val="none" w:sz="0" w:space="0" w:color="auto"/>
        <w:right w:val="none" w:sz="0" w:space="0" w:color="auto"/>
      </w:divBdr>
    </w:div>
    <w:div w:id="2146241057">
      <w:bodyDiv w:val="1"/>
      <w:marLeft w:val="0"/>
      <w:marRight w:val="0"/>
      <w:marTop w:val="0"/>
      <w:marBottom w:val="0"/>
      <w:divBdr>
        <w:top w:val="none" w:sz="0" w:space="0" w:color="auto"/>
        <w:left w:val="none" w:sz="0" w:space="0" w:color="auto"/>
        <w:bottom w:val="none" w:sz="0" w:space="0" w:color="auto"/>
        <w:right w:val="none" w:sz="0" w:space="0" w:color="auto"/>
      </w:divBdr>
    </w:div>
    <w:div w:id="2147384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7.xml"/><Relationship Id="rId21" Type="http://schemas.openxmlformats.org/officeDocument/2006/relationships/image" Target="media/image2.png"/><Relationship Id="rId42" Type="http://schemas.openxmlformats.org/officeDocument/2006/relationships/image" Target="media/image12.jpeg"/><Relationship Id="rId47" Type="http://schemas.openxmlformats.org/officeDocument/2006/relationships/image" Target="media/image16.jpeg"/><Relationship Id="rId63" Type="http://schemas.openxmlformats.org/officeDocument/2006/relationships/image" Target="media/image21.jpeg"/><Relationship Id="rId68" Type="http://schemas.openxmlformats.org/officeDocument/2006/relationships/image" Target="media/image24.jpeg"/><Relationship Id="rId84" Type="http://schemas.openxmlformats.org/officeDocument/2006/relationships/image" Target="media/image32.jpeg"/><Relationship Id="rId89" Type="http://schemas.openxmlformats.org/officeDocument/2006/relationships/image" Target="media/image37.jpeg"/><Relationship Id="rId7" Type="http://schemas.openxmlformats.org/officeDocument/2006/relationships/endnotes" Target="endnotes.xml"/><Relationship Id="rId71" Type="http://schemas.openxmlformats.org/officeDocument/2006/relationships/chart" Target="charts/chart40.xml"/><Relationship Id="rId92" Type="http://schemas.openxmlformats.org/officeDocument/2006/relationships/image" Target="media/image40.jpeg"/><Relationship Id="rId2" Type="http://schemas.openxmlformats.org/officeDocument/2006/relationships/numbering" Target="numbering.xml"/><Relationship Id="rId16" Type="http://schemas.openxmlformats.org/officeDocument/2006/relationships/chart" Target="charts/chart9.xml"/><Relationship Id="rId29" Type="http://schemas.openxmlformats.org/officeDocument/2006/relationships/chart" Target="charts/chart20.xml"/><Relationship Id="rId107" Type="http://schemas.openxmlformats.org/officeDocument/2006/relationships/fontTable" Target="fontTable.xml"/><Relationship Id="rId11" Type="http://schemas.openxmlformats.org/officeDocument/2006/relationships/chart" Target="charts/chart4.xml"/><Relationship Id="rId24" Type="http://schemas.openxmlformats.org/officeDocument/2006/relationships/chart" Target="charts/chart15.xml"/><Relationship Id="rId32" Type="http://schemas.openxmlformats.org/officeDocument/2006/relationships/image" Target="media/image4.png"/><Relationship Id="rId37" Type="http://schemas.openxmlformats.org/officeDocument/2006/relationships/image" Target="media/image8.png"/><Relationship Id="rId40" Type="http://schemas.openxmlformats.org/officeDocument/2006/relationships/image" Target="media/image10.jpeg"/><Relationship Id="rId45" Type="http://schemas.openxmlformats.org/officeDocument/2006/relationships/image" Target="media/image14.jpeg"/><Relationship Id="rId53" Type="http://schemas.openxmlformats.org/officeDocument/2006/relationships/chart" Target="charts/chart28.xml"/><Relationship Id="rId58" Type="http://schemas.openxmlformats.org/officeDocument/2006/relationships/image" Target="media/image20.jpeg"/><Relationship Id="rId66" Type="http://schemas.openxmlformats.org/officeDocument/2006/relationships/chart" Target="charts/chart37.xml"/><Relationship Id="rId74" Type="http://schemas.openxmlformats.org/officeDocument/2006/relationships/chart" Target="charts/chart41.xml"/><Relationship Id="rId79" Type="http://schemas.openxmlformats.org/officeDocument/2006/relationships/image" Target="media/image27.jpeg"/><Relationship Id="rId87" Type="http://schemas.openxmlformats.org/officeDocument/2006/relationships/image" Target="media/image35.jpeg"/><Relationship Id="rId102" Type="http://schemas.openxmlformats.org/officeDocument/2006/relationships/image" Target="media/image50.jpeg"/><Relationship Id="rId5" Type="http://schemas.openxmlformats.org/officeDocument/2006/relationships/webSettings" Target="webSettings.xml"/><Relationship Id="rId61" Type="http://schemas.openxmlformats.org/officeDocument/2006/relationships/chart" Target="charts/chart34.xml"/><Relationship Id="rId82" Type="http://schemas.openxmlformats.org/officeDocument/2006/relationships/image" Target="media/image30.jpeg"/><Relationship Id="rId90" Type="http://schemas.openxmlformats.org/officeDocument/2006/relationships/image" Target="media/image38.jpeg"/><Relationship Id="rId95" Type="http://schemas.openxmlformats.org/officeDocument/2006/relationships/image" Target="media/image43.jpeg"/><Relationship Id="rId19" Type="http://schemas.openxmlformats.org/officeDocument/2006/relationships/chart" Target="charts/chart12.xml"/><Relationship Id="rId14" Type="http://schemas.openxmlformats.org/officeDocument/2006/relationships/chart" Target="charts/chart7.xml"/><Relationship Id="rId22" Type="http://schemas.openxmlformats.org/officeDocument/2006/relationships/chart" Target="charts/chart13.xml"/><Relationship Id="rId27" Type="http://schemas.openxmlformats.org/officeDocument/2006/relationships/chart" Target="charts/chart18.xml"/><Relationship Id="rId30" Type="http://schemas.openxmlformats.org/officeDocument/2006/relationships/image" Target="media/image3.png"/><Relationship Id="rId35" Type="http://schemas.openxmlformats.org/officeDocument/2006/relationships/image" Target="media/image7.png"/><Relationship Id="rId43" Type="http://schemas.openxmlformats.org/officeDocument/2006/relationships/chart" Target="charts/chart24.xml"/><Relationship Id="rId48" Type="http://schemas.openxmlformats.org/officeDocument/2006/relationships/chart" Target="charts/chart25.xml"/><Relationship Id="rId56" Type="http://schemas.openxmlformats.org/officeDocument/2006/relationships/chart" Target="charts/chart31.xml"/><Relationship Id="rId64" Type="http://schemas.openxmlformats.org/officeDocument/2006/relationships/image" Target="media/image22.jpeg"/><Relationship Id="rId69" Type="http://schemas.openxmlformats.org/officeDocument/2006/relationships/chart" Target="charts/chart38.xml"/><Relationship Id="rId77" Type="http://schemas.openxmlformats.org/officeDocument/2006/relationships/chart" Target="charts/chart44.xml"/><Relationship Id="rId100" Type="http://schemas.openxmlformats.org/officeDocument/2006/relationships/image" Target="media/image48.jpeg"/><Relationship Id="rId105" Type="http://schemas.openxmlformats.org/officeDocument/2006/relationships/image" Target="media/image53.jpeg"/><Relationship Id="rId8" Type="http://schemas.openxmlformats.org/officeDocument/2006/relationships/chart" Target="charts/chart1.xml"/><Relationship Id="rId51" Type="http://schemas.openxmlformats.org/officeDocument/2006/relationships/image" Target="media/image18.jpeg"/><Relationship Id="rId72" Type="http://schemas.openxmlformats.org/officeDocument/2006/relationships/image" Target="media/image25.jpeg"/><Relationship Id="rId80" Type="http://schemas.openxmlformats.org/officeDocument/2006/relationships/image" Target="media/image28.jpeg"/><Relationship Id="rId85" Type="http://schemas.openxmlformats.org/officeDocument/2006/relationships/image" Target="media/image33.jpeg"/><Relationship Id="rId93" Type="http://schemas.openxmlformats.org/officeDocument/2006/relationships/image" Target="media/image41.jpeg"/><Relationship Id="rId98" Type="http://schemas.openxmlformats.org/officeDocument/2006/relationships/image" Target="media/image46.jpeg"/><Relationship Id="rId3" Type="http://schemas.openxmlformats.org/officeDocument/2006/relationships/styles" Target="styl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6.xml"/><Relationship Id="rId33" Type="http://schemas.openxmlformats.org/officeDocument/2006/relationships/image" Target="media/image5.png"/><Relationship Id="rId38" Type="http://schemas.openxmlformats.org/officeDocument/2006/relationships/image" Target="media/image9.png"/><Relationship Id="rId46" Type="http://schemas.openxmlformats.org/officeDocument/2006/relationships/image" Target="media/image15.jpeg"/><Relationship Id="rId59" Type="http://schemas.openxmlformats.org/officeDocument/2006/relationships/chart" Target="charts/chart32.xml"/><Relationship Id="rId67" Type="http://schemas.openxmlformats.org/officeDocument/2006/relationships/image" Target="media/image23.jpeg"/><Relationship Id="rId103" Type="http://schemas.openxmlformats.org/officeDocument/2006/relationships/image" Target="media/image51.jpeg"/><Relationship Id="rId108" Type="http://schemas.openxmlformats.org/officeDocument/2006/relationships/theme" Target="theme/theme1.xml"/><Relationship Id="rId20" Type="http://schemas.openxmlformats.org/officeDocument/2006/relationships/image" Target="media/image1.jpeg"/><Relationship Id="rId41" Type="http://schemas.openxmlformats.org/officeDocument/2006/relationships/image" Target="media/image11.jpeg"/><Relationship Id="rId54" Type="http://schemas.openxmlformats.org/officeDocument/2006/relationships/chart" Target="charts/chart29.xml"/><Relationship Id="rId62" Type="http://schemas.openxmlformats.org/officeDocument/2006/relationships/chart" Target="charts/chart35.xml"/><Relationship Id="rId70" Type="http://schemas.openxmlformats.org/officeDocument/2006/relationships/chart" Target="charts/chart39.xml"/><Relationship Id="rId75" Type="http://schemas.openxmlformats.org/officeDocument/2006/relationships/chart" Target="charts/chart42.xml"/><Relationship Id="rId83" Type="http://schemas.openxmlformats.org/officeDocument/2006/relationships/image" Target="media/image31.jpeg"/><Relationship Id="rId88" Type="http://schemas.openxmlformats.org/officeDocument/2006/relationships/image" Target="media/image36.jpeg"/><Relationship Id="rId91" Type="http://schemas.openxmlformats.org/officeDocument/2006/relationships/image" Target="media/image39.jpeg"/><Relationship Id="rId96" Type="http://schemas.openxmlformats.org/officeDocument/2006/relationships/image" Target="media/image44.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chart" Target="charts/chart14.xml"/><Relationship Id="rId28" Type="http://schemas.openxmlformats.org/officeDocument/2006/relationships/chart" Target="charts/chart19.xml"/><Relationship Id="rId36" Type="http://schemas.openxmlformats.org/officeDocument/2006/relationships/chart" Target="charts/chart22.xml"/><Relationship Id="rId49" Type="http://schemas.openxmlformats.org/officeDocument/2006/relationships/chart" Target="charts/chart26.xml"/><Relationship Id="rId57" Type="http://schemas.openxmlformats.org/officeDocument/2006/relationships/image" Target="media/image19.jpeg"/><Relationship Id="rId106" Type="http://schemas.openxmlformats.org/officeDocument/2006/relationships/hyperlink" Target="mailto:Cav.Justintime@wales.nhs.uk" TargetMode="External"/><Relationship Id="rId10" Type="http://schemas.openxmlformats.org/officeDocument/2006/relationships/chart" Target="charts/chart3.xml"/><Relationship Id="rId31" Type="http://schemas.openxmlformats.org/officeDocument/2006/relationships/chart" Target="charts/chart21.xml"/><Relationship Id="rId44" Type="http://schemas.openxmlformats.org/officeDocument/2006/relationships/image" Target="media/image13.jpeg"/><Relationship Id="rId52" Type="http://schemas.openxmlformats.org/officeDocument/2006/relationships/chart" Target="charts/chart27.xml"/><Relationship Id="rId60" Type="http://schemas.openxmlformats.org/officeDocument/2006/relationships/chart" Target="charts/chart33.xml"/><Relationship Id="rId65" Type="http://schemas.openxmlformats.org/officeDocument/2006/relationships/chart" Target="charts/chart36.xml"/><Relationship Id="rId73" Type="http://schemas.openxmlformats.org/officeDocument/2006/relationships/image" Target="media/image26.jpeg"/><Relationship Id="rId78" Type="http://schemas.openxmlformats.org/officeDocument/2006/relationships/footer" Target="footer1.xml"/><Relationship Id="rId81" Type="http://schemas.openxmlformats.org/officeDocument/2006/relationships/image" Target="media/image29.jpeg"/><Relationship Id="rId86" Type="http://schemas.openxmlformats.org/officeDocument/2006/relationships/image" Target="media/image34.jpeg"/><Relationship Id="rId94" Type="http://schemas.openxmlformats.org/officeDocument/2006/relationships/image" Target="media/image42.jpeg"/><Relationship Id="rId99" Type="http://schemas.openxmlformats.org/officeDocument/2006/relationships/image" Target="media/image47.jpeg"/><Relationship Id="rId101" Type="http://schemas.openxmlformats.org/officeDocument/2006/relationships/image" Target="media/image49.jpeg"/><Relationship Id="rId4" Type="http://schemas.openxmlformats.org/officeDocument/2006/relationships/settings" Target="settings.xml"/><Relationship Id="rId9" Type="http://schemas.openxmlformats.org/officeDocument/2006/relationships/chart" Target="charts/chart2.xml"/><Relationship Id="rId13" Type="http://schemas.openxmlformats.org/officeDocument/2006/relationships/chart" Target="charts/chart6.xml"/><Relationship Id="rId18" Type="http://schemas.openxmlformats.org/officeDocument/2006/relationships/chart" Target="charts/chart11.xml"/><Relationship Id="rId39" Type="http://schemas.openxmlformats.org/officeDocument/2006/relationships/chart" Target="charts/chart23.xml"/><Relationship Id="rId34" Type="http://schemas.openxmlformats.org/officeDocument/2006/relationships/image" Target="media/image6.png"/><Relationship Id="rId50" Type="http://schemas.openxmlformats.org/officeDocument/2006/relationships/image" Target="media/image17.jpeg"/><Relationship Id="rId55" Type="http://schemas.openxmlformats.org/officeDocument/2006/relationships/chart" Target="charts/chart30.xml"/><Relationship Id="rId76" Type="http://schemas.openxmlformats.org/officeDocument/2006/relationships/chart" Target="charts/chart43.xml"/><Relationship Id="rId97" Type="http://schemas.openxmlformats.org/officeDocument/2006/relationships/image" Target="media/image45.jpeg"/><Relationship Id="rId104" Type="http://schemas.openxmlformats.org/officeDocument/2006/relationships/image" Target="media/image52.jpeg"/></Relationships>
</file>

<file path=word/_rels/footnotes.xml.rels><?xml version="1.0" encoding="UTF-8" standalone="yes"?>
<Relationships xmlns="http://schemas.openxmlformats.org/package/2006/relationships"><Relationship Id="rId8" Type="http://schemas.openxmlformats.org/officeDocument/2006/relationships/hyperlink" Target="https://gov.wales/sites/default/files/publications/2019-03/together-for-mental-health-a-strategy-for-mental-health-and-wellbeing-in-wales.pdf" TargetMode="External"/><Relationship Id="rId13" Type="http://schemas.openxmlformats.org/officeDocument/2006/relationships/hyperlink" Target="http://www.publichealthwalesobservatory.wales.nhs.uk/obesityinwales" TargetMode="External"/><Relationship Id="rId18" Type="http://schemas.openxmlformats.org/officeDocument/2006/relationships/hyperlink" Target="http://www.wales.nhs.uk/sitesplus/documents/888/HIV%20and%20STI%20trends%20in%20Wales%20Report%202018_2017%20-Surveillance%20report.pdf" TargetMode="External"/><Relationship Id="rId26" Type="http://schemas.openxmlformats.org/officeDocument/2006/relationships/hyperlink" Target="https://www.rnib.org.uk/professionals/knowledge-and-research-hub/key-information-and-statistics/sight-loss-data-tool" TargetMode="External"/><Relationship Id="rId39" Type="http://schemas.openxmlformats.org/officeDocument/2006/relationships/hyperlink" Target="https://www.publichealthnetwork.cymru/en/people/asylum-seekers/" TargetMode="External"/><Relationship Id="rId3" Type="http://schemas.openxmlformats.org/officeDocument/2006/relationships/hyperlink" Target="https://www.ons.gov.uk/peoplepopulationandcommunity/birthsdeathsandmarriages/livebirths/bulletins/birthsummarytablesenglandandwales/2019" TargetMode="External"/><Relationship Id="rId21" Type="http://schemas.openxmlformats.org/officeDocument/2006/relationships/hyperlink" Target="http://www.wales.nhs.uk/sites3/Documents/457/Seasonal%20influenza%20in%20Wales%20201920_v1.pdf" TargetMode="External"/><Relationship Id="rId34" Type="http://schemas.openxmlformats.org/officeDocument/2006/relationships/hyperlink" Target="https://www.crisis.org.uk/media/20502/crisis_its_no_life_at_all2016.pdf" TargetMode="External"/><Relationship Id="rId7" Type="http://schemas.openxmlformats.org/officeDocument/2006/relationships/hyperlink" Target="http://www.healthdata.org/%5bWALES" TargetMode="External"/><Relationship Id="rId12" Type="http://schemas.openxmlformats.org/officeDocument/2006/relationships/hyperlink" Target="https://www.gov.uk/government/publications/health-matters-combating-high-blood-pressure/health-matters-combating-high-blood-pressure" TargetMode="External"/><Relationship Id="rId17" Type="http://schemas.openxmlformats.org/officeDocument/2006/relationships/hyperlink" Target="https://publichealthmatters.blog.gov.uk/2017/06/14/health-matters-child-dental-health/" TargetMode="External"/><Relationship Id="rId25" Type="http://schemas.openxmlformats.org/officeDocument/2006/relationships/hyperlink" Target="https://www.cvihsc.co.uk/wp-content/uploads/2017/02/Population-Needs-Assessment-1.pdf" TargetMode="External"/><Relationship Id="rId33" Type="http://schemas.openxmlformats.org/officeDocument/2006/relationships/hyperlink" Target="https://assets.publishing.service.gov.uk/government/uploads/system/uploads/attachment_data/file/956622/experimental-statistics-assessing-needs-sentenced-children-youth-justice-system-2019-20.pdf" TargetMode="External"/><Relationship Id="rId38" Type="http://schemas.openxmlformats.org/officeDocument/2006/relationships/hyperlink" Target="https://www.cvihsc.co.uk/wp-content/uploads/2017/02/Population-Needs-Assessment-1.pdf" TargetMode="External"/><Relationship Id="rId2" Type="http://schemas.openxmlformats.org/officeDocument/2006/relationships/hyperlink" Target="https://gov.wales/sites/default/files/statistics-and-research/2020-06/welsh-index-multiple-deprivation-2019-results-report.pdf" TargetMode="External"/><Relationship Id="rId16" Type="http://schemas.openxmlformats.org/officeDocument/2006/relationships/hyperlink" Target="http://www2.nphs.wales.nhs.uk:8080/ChildrenMatFamiliesDocs.nsf/5633c1d141208e8880256f2a004937d1/04bbef464fb5969f80257d490044b09e/$FILE/Low%20Birth%20Weight%20summary%20v1.pdf" TargetMode="External"/><Relationship Id="rId20" Type="http://schemas.openxmlformats.org/officeDocument/2006/relationships/hyperlink" Target="https://www2.nphs.wales.nhs.uk/CommunitySurveillanceDocs.nsf/($all)/FE3438CEC07000C5802585A800318939/$file/COVER20192020_v1.pdf?OpenElement" TargetMode="External"/><Relationship Id="rId29" Type="http://schemas.openxmlformats.org/officeDocument/2006/relationships/hyperlink" Target="https://www.gov.uk/guidance/culture-spirituality-and-religion" TargetMode="External"/><Relationship Id="rId41" Type="http://schemas.openxmlformats.org/officeDocument/2006/relationships/hyperlink" Target="http://www.britishlegion.org.uk/get-involved/campaign/public-policy-and-research/the-uk-ex-service-community-ahousehold-survey/" TargetMode="External"/><Relationship Id="rId1" Type="http://schemas.openxmlformats.org/officeDocument/2006/relationships/hyperlink" Target="https://gov.wales/sites/default/files/statistics-and-research/2020-08/subnational-population-projections-2018-based-280.pdf" TargetMode="External"/><Relationship Id="rId6" Type="http://schemas.openxmlformats.org/officeDocument/2006/relationships/hyperlink" Target="https://www.justiceinspectorates.gov.uk/hmiprisons/wp-content/uploads/sites/4/2019/11/Cardiff-Web-2019.pdf" TargetMode="External"/><Relationship Id="rId11" Type="http://schemas.openxmlformats.org/officeDocument/2006/relationships/hyperlink" Target="https://gov.wales/smoke-free-law-guidance-changes-march-2021-html" TargetMode="External"/><Relationship Id="rId24" Type="http://schemas.openxmlformats.org/officeDocument/2006/relationships/hyperlink" Target="http://www.cardiffandvaleuhb.wales.nhs.uk/sitesplus/documents/1143/Dementia%20Strategy%20C%20and%20V%202018-2028%20FINAL%20(003).pdf" TargetMode="External"/><Relationship Id="rId32" Type="http://schemas.openxmlformats.org/officeDocument/2006/relationships/hyperlink" Target="https://www.unite-group.co.uk/campaign/new-realists-report" TargetMode="External"/><Relationship Id="rId37" Type="http://schemas.openxmlformats.org/officeDocument/2006/relationships/hyperlink" Target="https://gov.wales/sites/default/files/publications/2019-04/travelling-to-better-health.pdf" TargetMode="External"/><Relationship Id="rId40" Type="http://schemas.openxmlformats.org/officeDocument/2006/relationships/hyperlink" Target="https://www.cvihsc.co.uk/wp-content/uploads/2017/02/Population-Needs-Assessment-1.pdf" TargetMode="External"/><Relationship Id="rId5" Type="http://schemas.openxmlformats.org/officeDocument/2006/relationships/hyperlink" Target="https://www.cvihsc.co.uk/wp-content/uploads/2017/02/Population-Needs-Assessment-1.pdf" TargetMode="External"/><Relationship Id="rId15" Type="http://schemas.openxmlformats.org/officeDocument/2006/relationships/hyperlink" Target="http://www.publichealthwalesobservatory.wales.nhs.uk/alcohol-in-wales" TargetMode="External"/><Relationship Id="rId23" Type="http://schemas.openxmlformats.org/officeDocument/2006/relationships/hyperlink" Target="http://www.ageingwellinwales.com/en/themes/falls-prevention" TargetMode="External"/><Relationship Id="rId28" Type="http://schemas.openxmlformats.org/officeDocument/2006/relationships/hyperlink" Target="http://www.publichealthwalesobservatory.wales.nhs.uk/ethnicity" TargetMode="External"/><Relationship Id="rId36" Type="http://schemas.openxmlformats.org/officeDocument/2006/relationships/hyperlink" Target="https://centrepoint.org.uk/what-we-do/health/" TargetMode="External"/><Relationship Id="rId10" Type="http://schemas.openxmlformats.org/officeDocument/2006/relationships/hyperlink" Target="http://www.healthdata.org/%5bWales" TargetMode="External"/><Relationship Id="rId19" Type="http://schemas.openxmlformats.org/officeDocument/2006/relationships/hyperlink" Target="https://www.nice.org.uk/media/default/about/what-we-do/into-practice/measuring-uptake/nice-impact-falls-and-fragility-fractures.pdf" TargetMode="External"/><Relationship Id="rId31" Type="http://schemas.openxmlformats.org/officeDocument/2006/relationships/hyperlink" Target="http://www.gires.org.uk/trans-health-factsheets/" TargetMode="External"/><Relationship Id="rId4" Type="http://schemas.openxmlformats.org/officeDocument/2006/relationships/hyperlink" Target="https://www.ons.gov.uk/peoplepopulationandcommunity/culturalidentity/sexuality/bulletins/sexualidentityuk/2018" TargetMode="External"/><Relationship Id="rId9" Type="http://schemas.openxmlformats.org/officeDocument/2006/relationships/hyperlink" Target="https://gov.wales/sites/default/files/pdf-versions/2021/2/2/1612870231/loneliness-national-survey-wales-april-2019-march-2020.pdf" TargetMode="External"/><Relationship Id="rId14" Type="http://schemas.openxmlformats.org/officeDocument/2006/relationships/hyperlink" Target="https://assets.publishing.service.gov.uk/government/uploads/system/uploads/attachment_data/file/545937/UK_CMOs__report.pdf" TargetMode="External"/><Relationship Id="rId22" Type="http://schemas.openxmlformats.org/officeDocument/2006/relationships/hyperlink" Target="https://www.cvihsc.co.uk/wp-content/uploads/2017/02/Population-Needs-Assessment-1.pdf" TargetMode="External"/><Relationship Id="rId27" Type="http://schemas.openxmlformats.org/officeDocument/2006/relationships/hyperlink" Target="http://www.nice.org.uk/guidance/ng96" TargetMode="External"/><Relationship Id="rId30" Type="http://schemas.openxmlformats.org/officeDocument/2006/relationships/hyperlink" Target="http://webarchive.nationalarchives.gov.uk/20130105061352/http:/www.dh.gov.uk/prod_consum_dh/groups/dh_digitalassets/documents/digitalasset/dh_101094.pdf" TargetMode="External"/><Relationship Id="rId35" Type="http://schemas.openxmlformats.org/officeDocument/2006/relationships/hyperlink" Target="https://www.ons.gov.uk/peoplepopulationandcommunity/birthsdeathsandmarriages/deaths/bulletins/deathsofhomelesspeopleinenglandandwales/2018"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5aa80446f2c9bfec/Documents/Questionnaire/CVUHB%20Questionnaire/Responses/Patient%20%5e0%20Public/Patient%20and%20Pubic%20Quwstionnaire%20Responses%20CVUHB.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embeddings/oleObject4.bin"/><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embeddings/oleObject5.bin"/><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d.docs.live.net/5aa80446f2c9bfec/Documents/Questionnaire/CVUHB%20Questionnaire/Responses/Patient%20%5e0%20Public/Patient%20and%20Pubic%20Quwstionnaire%20Responses%20CVUHB.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s://d.docs.live.net/5aa80446f2c9bfec/Documents/Population%20by%20age%20(version%201).xlsb.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fiona\AppData\Roaming\Microsoft\Excel\theanalysisofpopulationestimatestool2019%20(version%202)%20(version%202).xlsb"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fiona\AppData\Roaming\Microsoft\Excel\theanalysisofpopulationestimatestool2019%20(version%202).xlsb"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https://d.docs.live.net/5aa80446f2c9bfec/Documents/Public%20Health%20Data/Population%20projections%20CVUHB.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https://d.docs.live.net/5aa80446f2c9bfec/Documents/Public%20Health%20Data/Population%20projections%20CVUHB.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fiona\Dropbox\My%20PC%20(LAPTOP-V84T0TR5)\Downloads\export%20(74).csv"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fiona\Dropbox\My%20PC%20(LAPTOP-V84T0TR5)\Downloads\export%20(59).csv"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5aa80446f2c9bfec/Documents/Questionnaire/CVUHB%20Questionnaire/Responses/Patient%20%5e0%20Public/Patient%20and%20Pubic%20Quwstionnaire%20Responses%20CVUHB.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https://d.docs.live.net/5aa80446f2c9bfec/Documents/Public%20Health%20Data/Economic.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fiona\Dropbox\My%20PC%20(LAPTOP-V84T0TR5)\Downloads\nomis_2021_03_27_150634.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https://d.docs.live.net/5aa80446f2c9bfec/Alcohol.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https://d.docs.live.net/5aa80446f2c9bfec/Teenage%20conception.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https://d.docs.live.net/5aa80446f2c9bfec/Documents/Questionnaire/CVUHB%20Questionnaire/Responses/Patient%20%5e0%20Public/Patient%20and%20Pubic%20Quwstionnaire%20Responses%20CVUHB.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5aa80446f2c9bfec/Documents/Questionnaire/CVUHB%20Questionnaire/Responses/Patient%20%5e0%20Public/Patient%20and%20Pubic%20Quwstionnaire%20Responses%20CVUHB.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33.xml"/><Relationship Id="rId1" Type="http://schemas.microsoft.com/office/2011/relationships/chartStyle" Target="style33.xml"/></Relationships>
</file>

<file path=word/charts/_rels/chart34.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34.xml"/><Relationship Id="rId1" Type="http://schemas.microsoft.com/office/2011/relationships/chartStyle" Target="style34.xml"/></Relationships>
</file>

<file path=word/charts/_rels/chart35.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35.xml"/><Relationship Id="rId1" Type="http://schemas.microsoft.com/office/2011/relationships/chartStyle" Target="style35.xml"/></Relationships>
</file>

<file path=word/charts/_rels/chart36.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36.xml"/><Relationship Id="rId1" Type="http://schemas.microsoft.com/office/2011/relationships/chartStyle" Target="style36.xml"/></Relationships>
</file>

<file path=word/charts/_rels/chart37.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37.xml"/><Relationship Id="rId1" Type="http://schemas.microsoft.com/office/2011/relationships/chartStyle" Target="style37.xml"/></Relationships>
</file>

<file path=word/charts/_rels/chart38.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38.xml"/><Relationship Id="rId1" Type="http://schemas.microsoft.com/office/2011/relationships/chartStyle" Target="style38.xml"/></Relationships>
</file>

<file path=word/charts/_rels/chart39.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39.xml"/><Relationship Id="rId1" Type="http://schemas.microsoft.com/office/2011/relationships/chartStyle" Target="style39.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5aa80446f2c9bfec/Documents/Questionnaire/CVUHB%20Questionnaire/Responses/Patient%20%5e0%20Public/Patient%20and%20Pubic%20Quwstionnaire%20Responses%20CVUHB.xlsx" TargetMode="External"/><Relationship Id="rId2" Type="http://schemas.microsoft.com/office/2011/relationships/chartColorStyle" Target="colors4.xml"/><Relationship Id="rId1" Type="http://schemas.microsoft.com/office/2011/relationships/chartStyle" Target="style4.xml"/></Relationships>
</file>

<file path=word/charts/_rels/chart40.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40.xml"/><Relationship Id="rId1" Type="http://schemas.microsoft.com/office/2011/relationships/chartStyle" Target="style40.xml"/></Relationships>
</file>

<file path=word/charts/_rels/chart41.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41.xml"/><Relationship Id="rId1" Type="http://schemas.microsoft.com/office/2011/relationships/chartStyle" Target="style41.xml"/></Relationships>
</file>

<file path=word/charts/_rels/chart42.xml.rels><?xml version="1.0" encoding="UTF-8" standalone="yes"?>
<Relationships xmlns="http://schemas.openxmlformats.org/package/2006/relationships"><Relationship Id="rId3" Type="http://schemas.openxmlformats.org/officeDocument/2006/relationships/oleObject" Target="https://d.docs.live.net/5aa80446f2c9bfec/Documents/Cardiff%20and%20Vale%20UHB/CVUHB%20Graphs%20Advanced%20and%20Enhanced%20Services.xlsx" TargetMode="External"/><Relationship Id="rId2" Type="http://schemas.microsoft.com/office/2011/relationships/chartColorStyle" Target="colors42.xml"/><Relationship Id="rId1" Type="http://schemas.microsoft.com/office/2011/relationships/chartStyle" Target="style42.xml"/></Relationships>
</file>

<file path=word/charts/_rels/chart43.xml.rels><?xml version="1.0" encoding="UTF-8" standalone="yes"?>
<Relationships xmlns="http://schemas.openxmlformats.org/package/2006/relationships"><Relationship Id="rId3" Type="http://schemas.openxmlformats.org/officeDocument/2006/relationships/oleObject" Target="https://d.docs.live.net/5aa80446f2c9bfec/Documents/Questionnaire/CVUHB%20Questionnaire/Responses/Patient%20%5e0%20Public/Patient%20and%20Pubic%20Quwstionnaire%20Responses%20CVUHB.xlsx" TargetMode="External"/><Relationship Id="rId2" Type="http://schemas.microsoft.com/office/2011/relationships/chartColorStyle" Target="colors43.xml"/><Relationship Id="rId1" Type="http://schemas.microsoft.com/office/2011/relationships/chartStyle" Target="style43.xml"/></Relationships>
</file>

<file path=word/charts/_rels/chart44.xml.rels><?xml version="1.0" encoding="UTF-8" standalone="yes"?>
<Relationships xmlns="http://schemas.openxmlformats.org/package/2006/relationships"><Relationship Id="rId3" Type="http://schemas.openxmlformats.org/officeDocument/2006/relationships/oleObject" Target="https://d.docs.live.net/5aa80446f2c9bfec/Documents/Questionnaire/CVUHB%20Questionnaire/Responses/Patient%20%5e0%20Public/Patient%20and%20Pubic%20Quwstionnaire%20Responses%20CVUHB.xlsx" TargetMode="External"/><Relationship Id="rId2" Type="http://schemas.microsoft.com/office/2011/relationships/chartColorStyle" Target="colors44.xml"/><Relationship Id="rId1" Type="http://schemas.microsoft.com/office/2011/relationships/chartStyle" Target="style44.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embeddings/oleObject1.bin"/></Relationships>
</file>

<file path=word/charts/_rels/chart6.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d.docs.live.net/5aa80446f2c9bfec/Documents/Questionnaire/CVUHB%20Questionnaire/Responses/Patient%20%5e0%20Public/Patient%20and%20Pubic%20Quwstionnaire%20Responses%20CVUHB.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d.docs.live.net/5aa80446f2c9bfec/Documents/Questionnaire/CVUHB%20Questionnaire/Responses/Patient%20%5e0%20Public/Patient%20and%20Pubic%20Quwstionnaire%20Responses%20CVUHB.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60000"/>
                <a:lumOff val="40000"/>
              </a:schemeClr>
            </a:solidFill>
            <a:ln>
              <a:noFill/>
            </a:ln>
            <a:effectLst/>
          </c:spPr>
          <c:invertIfNegative val="0"/>
          <c:cat>
            <c:strRef>
              <c:f>'[Patient and Pubic Quwstionnaire Responses CVUHB.xlsx]Q22'!$P$8:$R$15</c:f>
              <c:strCache>
                <c:ptCount val="8"/>
                <c:pt idx="0">
                  <c:v>Under 16</c:v>
                </c:pt>
                <c:pt idx="1">
                  <c:v>16-24</c:v>
                </c:pt>
                <c:pt idx="2">
                  <c:v>25-34</c:v>
                </c:pt>
                <c:pt idx="3">
                  <c:v>35-44</c:v>
                </c:pt>
                <c:pt idx="4">
                  <c:v>45-54</c:v>
                </c:pt>
                <c:pt idx="5">
                  <c:v>55-64</c:v>
                </c:pt>
                <c:pt idx="6">
                  <c:v>65+</c:v>
                </c:pt>
                <c:pt idx="7">
                  <c:v>Prefer not to say</c:v>
                </c:pt>
              </c:strCache>
              <c:extLst xmlns:c16r2="http://schemas.microsoft.com/office/drawing/2015/06/chart"/>
            </c:strRef>
          </c:cat>
          <c:val>
            <c:numRef>
              <c:f>'[Patient and Pubic Quwstionnaire Responses CVUHB.xlsx]Q22'!$S$8:$S$15</c:f>
              <c:numCache>
                <c:formatCode>0.00%</c:formatCode>
                <c:ptCount val="8"/>
                <c:pt idx="0">
                  <c:v>0</c:v>
                </c:pt>
                <c:pt idx="1">
                  <c:v>2.5889967637540454E-2</c:v>
                </c:pt>
                <c:pt idx="2">
                  <c:v>6.7961165048543687E-2</c:v>
                </c:pt>
                <c:pt idx="3">
                  <c:v>0.15857605177993528</c:v>
                </c:pt>
                <c:pt idx="4">
                  <c:v>0.28802588996763756</c:v>
                </c:pt>
                <c:pt idx="5">
                  <c:v>0.26537216828478966</c:v>
                </c:pt>
                <c:pt idx="6">
                  <c:v>0.18770226537216828</c:v>
                </c:pt>
                <c:pt idx="7">
                  <c:v>6.4724919093851136E-3</c:v>
                </c:pt>
              </c:numCache>
            </c:numRef>
          </c:val>
          <c:extLst xmlns:c16r2="http://schemas.microsoft.com/office/drawing/2015/06/chart">
            <c:ext xmlns:c16="http://schemas.microsoft.com/office/drawing/2014/chart" uri="{C3380CC4-5D6E-409C-BE32-E72D297353CC}">
              <c16:uniqueId val="{00000000-72D0-4550-B9BE-C392521709EE}"/>
            </c:ext>
          </c:extLst>
        </c:ser>
        <c:dLbls>
          <c:showLegendKey val="0"/>
          <c:showVal val="0"/>
          <c:showCatName val="0"/>
          <c:showSerName val="0"/>
          <c:showPercent val="0"/>
          <c:showBubbleSize val="0"/>
        </c:dLbls>
        <c:gapWidth val="219"/>
        <c:overlap val="-27"/>
        <c:axId val="119429880"/>
        <c:axId val="121843896"/>
      </c:barChart>
      <c:catAx>
        <c:axId val="119429880"/>
        <c:scaling>
          <c:orientation val="minMax"/>
        </c:scaling>
        <c:delete val="0"/>
        <c:axPos val="b"/>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843896"/>
        <c:crosses val="autoZero"/>
        <c:auto val="1"/>
        <c:lblAlgn val="ctr"/>
        <c:lblOffset val="100"/>
        <c:noMultiLvlLbl val="0"/>
      </c:catAx>
      <c:valAx>
        <c:axId val="121843896"/>
        <c:scaling>
          <c:orientation val="minMax"/>
        </c:scaling>
        <c:delete val="0"/>
        <c:axPos val="l"/>
        <c:majorGridlines>
          <c:spPr>
            <a:ln w="9525" cap="flat" cmpd="sng" algn="ctr">
              <a:solidFill>
                <a:schemeClr val="bg1">
                  <a:lumMod val="6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429880"/>
        <c:crosses val="autoZero"/>
        <c:crossBetween val="between"/>
      </c:valAx>
      <c:spPr>
        <a:noFill/>
        <a:ln>
          <a:solidFill>
            <a:schemeClr val="bg1"/>
          </a:solid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lumMod val="60000"/>
                <a:lumOff val="40000"/>
              </a:schemeClr>
            </a:solidFill>
            <a:ln>
              <a:noFill/>
            </a:ln>
            <a:effectLst/>
          </c:spPr>
          <c:invertIfNegative val="0"/>
          <c:cat>
            <c:strRef>
              <c:f>'[Patient and Pubic Quwstionnaire Responses CVUHB.xlsx]Q16'!$AK$15:$AK$26</c:f>
              <c:strCache>
                <c:ptCount val="12"/>
                <c:pt idx="0">
                  <c:v>I would call CAV 24/7</c:v>
                </c:pt>
                <c:pt idx="1">
                  <c:v>I would find out from reading the local newspaper or magazine</c:v>
                </c:pt>
                <c:pt idx="2">
                  <c:v>Not applicable</c:v>
                </c:pt>
                <c:pt idx="3">
                  <c:v>Other </c:v>
                </c:pt>
                <c:pt idx="4">
                  <c:v>I would call NHS 111 Wales or use their website</c:v>
                </c:pt>
                <c:pt idx="5">
                  <c:v>I would ask a friend</c:v>
                </c:pt>
                <c:pt idx="6">
                  <c:v>I would search the Cardiff and Vale University Health Board website</c:v>
                </c:pt>
                <c:pt idx="7">
                  <c:v>I would just pop in and ask them</c:v>
                </c:pt>
                <c:pt idx="8">
                  <c:v>Look in the window</c:v>
                </c:pt>
                <c:pt idx="9">
                  <c:v>I would use social media</c:v>
                </c:pt>
                <c:pt idx="10">
                  <c:v>I would call them</c:v>
                </c:pt>
                <c:pt idx="11">
                  <c:v>I would search the internet or use a smartphone app e.g. Google Maps or Facebook</c:v>
                </c:pt>
              </c:strCache>
            </c:strRef>
          </c:cat>
          <c:val>
            <c:numRef>
              <c:f>'[Patient and Pubic Quwstionnaire Responses CVUHB.xlsx]Q16'!$AL$15:$AL$26</c:f>
              <c:numCache>
                <c:formatCode>General</c:formatCode>
                <c:ptCount val="12"/>
                <c:pt idx="0">
                  <c:v>0</c:v>
                </c:pt>
                <c:pt idx="1">
                  <c:v>2</c:v>
                </c:pt>
                <c:pt idx="2">
                  <c:v>3</c:v>
                </c:pt>
                <c:pt idx="3">
                  <c:v>7</c:v>
                </c:pt>
                <c:pt idx="4">
                  <c:v>8</c:v>
                </c:pt>
                <c:pt idx="5">
                  <c:v>17</c:v>
                </c:pt>
                <c:pt idx="6">
                  <c:v>22</c:v>
                </c:pt>
                <c:pt idx="7">
                  <c:v>56</c:v>
                </c:pt>
                <c:pt idx="8">
                  <c:v>60</c:v>
                </c:pt>
                <c:pt idx="9">
                  <c:v>61</c:v>
                </c:pt>
                <c:pt idx="10">
                  <c:v>105</c:v>
                </c:pt>
                <c:pt idx="11">
                  <c:v>221</c:v>
                </c:pt>
              </c:numCache>
            </c:numRef>
          </c:val>
          <c:extLst xmlns:c16r2="http://schemas.microsoft.com/office/drawing/2015/06/chart">
            <c:ext xmlns:c16="http://schemas.microsoft.com/office/drawing/2014/chart" uri="{C3380CC4-5D6E-409C-BE32-E72D297353CC}">
              <c16:uniqueId val="{00000000-8A35-4C00-A981-6AB1E388522A}"/>
            </c:ext>
          </c:extLst>
        </c:ser>
        <c:dLbls>
          <c:showLegendKey val="0"/>
          <c:showVal val="0"/>
          <c:showCatName val="0"/>
          <c:showSerName val="0"/>
          <c:showPercent val="0"/>
          <c:showBubbleSize val="0"/>
        </c:dLbls>
        <c:gapWidth val="182"/>
        <c:axId val="122408736"/>
        <c:axId val="122409128"/>
      </c:barChart>
      <c:catAx>
        <c:axId val="122408736"/>
        <c:scaling>
          <c:orientation val="minMax"/>
        </c:scaling>
        <c:delete val="0"/>
        <c:axPos val="l"/>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409128"/>
        <c:crosses val="autoZero"/>
        <c:auto val="1"/>
        <c:lblAlgn val="ctr"/>
        <c:lblOffset val="100"/>
        <c:noMultiLvlLbl val="0"/>
      </c:catAx>
      <c:valAx>
        <c:axId val="122409128"/>
        <c:scaling>
          <c:orientation val="minMax"/>
        </c:scaling>
        <c:delete val="0"/>
        <c:axPos val="b"/>
        <c:majorGridlines>
          <c:spPr>
            <a:ln w="9525" cap="flat" cmpd="sng" algn="ctr">
              <a:solidFill>
                <a:schemeClr val="bg1">
                  <a:lumMod val="6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a:t>
                </a:r>
                <a:endParaRPr lang="en-GB"/>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408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lumMod val="60000"/>
                <a:lumOff val="40000"/>
              </a:schemeClr>
            </a:solidFill>
            <a:ln>
              <a:noFill/>
            </a:ln>
            <a:effectLst/>
          </c:spPr>
          <c:invertIfNegative val="0"/>
          <c:cat>
            <c:strRef>
              <c:f>'[Patient and Pubic Quwstionnaire Responses CVUHB.xlsx]Q18'!$Y$41:$Y$51</c:f>
              <c:strCache>
                <c:ptCount val="11"/>
                <c:pt idx="0">
                  <c:v>No (go to question 20)</c:v>
                </c:pt>
                <c:pt idx="1">
                  <c:v>Appliance use review service</c:v>
                </c:pt>
                <c:pt idx="2">
                  <c:v>Discharge medicines review service </c:v>
                </c:pt>
                <c:pt idx="3">
                  <c:v>Needle and syringe exchange </c:v>
                </c:pt>
                <c:pt idx="4">
                  <c:v>Supervised administration of medicines </c:v>
                </c:pt>
                <c:pt idx="5">
                  <c:v>Emergency medicines supply </c:v>
                </c:pt>
                <c:pt idx="6">
                  <c:v>Help to stop smoking</c:v>
                </c:pt>
                <c:pt idx="7">
                  <c:v>Medicines use review service  maximum benefit from them.</c:v>
                </c:pt>
                <c:pt idx="8">
                  <c:v>Emergency contraception, also referred to as the ‘morning after pill’</c:v>
                </c:pt>
                <c:pt idx="9">
                  <c:v>Common ailments scheme </c:v>
                </c:pt>
                <c:pt idx="10">
                  <c:v>Flu vaccinations (for those who are in one of the at risk groups)</c:v>
                </c:pt>
              </c:strCache>
            </c:strRef>
          </c:cat>
          <c:val>
            <c:numRef>
              <c:f>'[Patient and Pubic Quwstionnaire Responses CVUHB.xlsx]Q18'!$Z$41:$Z$51</c:f>
              <c:numCache>
                <c:formatCode>General</c:formatCode>
                <c:ptCount val="11"/>
                <c:pt idx="0">
                  <c:v>14</c:v>
                </c:pt>
                <c:pt idx="1">
                  <c:v>36</c:v>
                </c:pt>
                <c:pt idx="2">
                  <c:v>62</c:v>
                </c:pt>
                <c:pt idx="3">
                  <c:v>68</c:v>
                </c:pt>
                <c:pt idx="4">
                  <c:v>69</c:v>
                </c:pt>
                <c:pt idx="5">
                  <c:v>92</c:v>
                </c:pt>
                <c:pt idx="6">
                  <c:v>128</c:v>
                </c:pt>
                <c:pt idx="7">
                  <c:v>152</c:v>
                </c:pt>
                <c:pt idx="8">
                  <c:v>153</c:v>
                </c:pt>
                <c:pt idx="9">
                  <c:v>221</c:v>
                </c:pt>
                <c:pt idx="10">
                  <c:v>269</c:v>
                </c:pt>
              </c:numCache>
            </c:numRef>
          </c:val>
          <c:extLst xmlns:c16r2="http://schemas.microsoft.com/office/drawing/2015/06/chart">
            <c:ext xmlns:c16="http://schemas.microsoft.com/office/drawing/2014/chart" uri="{C3380CC4-5D6E-409C-BE32-E72D297353CC}">
              <c16:uniqueId val="{00000000-C635-4BEC-AFDE-BAB6A09ECCF7}"/>
            </c:ext>
          </c:extLst>
        </c:ser>
        <c:dLbls>
          <c:showLegendKey val="0"/>
          <c:showVal val="0"/>
          <c:showCatName val="0"/>
          <c:showSerName val="0"/>
          <c:showPercent val="0"/>
          <c:showBubbleSize val="0"/>
        </c:dLbls>
        <c:gapWidth val="182"/>
        <c:axId val="122409912"/>
        <c:axId val="141864088"/>
      </c:barChart>
      <c:catAx>
        <c:axId val="122409912"/>
        <c:scaling>
          <c:orientation val="minMax"/>
        </c:scaling>
        <c:delete val="0"/>
        <c:axPos val="l"/>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864088"/>
        <c:crosses val="autoZero"/>
        <c:auto val="1"/>
        <c:lblAlgn val="ctr"/>
        <c:lblOffset val="100"/>
        <c:noMultiLvlLbl val="0"/>
      </c:catAx>
      <c:valAx>
        <c:axId val="141864088"/>
        <c:scaling>
          <c:orientation val="minMax"/>
        </c:scaling>
        <c:delete val="0"/>
        <c:axPos val="b"/>
        <c:majorGridlines>
          <c:spPr>
            <a:ln w="9525" cap="flat" cmpd="sng" algn="ctr">
              <a:solidFill>
                <a:schemeClr val="bg1">
                  <a:lumMod val="6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a:t>
                </a:r>
                <a:endParaRPr lang="en-GB"/>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409912"/>
        <c:crosses val="autoZero"/>
        <c:crossBetween val="between"/>
      </c:valAx>
      <c:spPr>
        <a:noFill/>
        <a:ln>
          <a:solidFill>
            <a:schemeClr val="bg1">
              <a:lumMod val="65000"/>
            </a:schemeClr>
          </a:solid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lumMod val="60000"/>
                <a:lumOff val="40000"/>
              </a:schemeClr>
            </a:solidFill>
            <a:ln>
              <a:noFill/>
            </a:ln>
            <a:effectLst/>
          </c:spPr>
          <c:invertIfNegative val="0"/>
          <c:cat>
            <c:strRef>
              <c:f>'[Patient and Pubic Quwstionnaire Responses CVUHB.xlsx]Q19'!$AF$20:$AF$30</c:f>
              <c:strCache>
                <c:ptCount val="11"/>
                <c:pt idx="0">
                  <c:v>Supervised administration of medicines</c:v>
                </c:pt>
                <c:pt idx="1">
                  <c:v>Appliance use review service</c:v>
                </c:pt>
                <c:pt idx="2">
                  <c:v>Needle and syringe exchange</c:v>
                </c:pt>
                <c:pt idx="3">
                  <c:v>Discharge medicines review service</c:v>
                </c:pt>
                <c:pt idx="4">
                  <c:v>Help to stop smoking</c:v>
                </c:pt>
                <c:pt idx="5">
                  <c:v>Emergency contraception</c:v>
                </c:pt>
                <c:pt idx="6">
                  <c:v>Emergency medicines supply</c:v>
                </c:pt>
                <c:pt idx="7">
                  <c:v>Flu vaccinations </c:v>
                </c:pt>
                <c:pt idx="8">
                  <c:v>Medicines use review service</c:v>
                </c:pt>
                <c:pt idx="9">
                  <c:v>Common ailments scheme</c:v>
                </c:pt>
                <c:pt idx="10">
                  <c:v>No</c:v>
                </c:pt>
              </c:strCache>
            </c:strRef>
          </c:cat>
          <c:val>
            <c:numRef>
              <c:f>'[Patient and Pubic Quwstionnaire Responses CVUHB.xlsx]Q19'!$AG$20:$AG$30</c:f>
              <c:numCache>
                <c:formatCode>General</c:formatCode>
                <c:ptCount val="11"/>
                <c:pt idx="0">
                  <c:v>0</c:v>
                </c:pt>
                <c:pt idx="1">
                  <c:v>1</c:v>
                </c:pt>
                <c:pt idx="2">
                  <c:v>2</c:v>
                </c:pt>
                <c:pt idx="3">
                  <c:v>5</c:v>
                </c:pt>
                <c:pt idx="4">
                  <c:v>6</c:v>
                </c:pt>
                <c:pt idx="5">
                  <c:v>22</c:v>
                </c:pt>
                <c:pt idx="6">
                  <c:v>26</c:v>
                </c:pt>
                <c:pt idx="7">
                  <c:v>57</c:v>
                </c:pt>
                <c:pt idx="8">
                  <c:v>60</c:v>
                </c:pt>
                <c:pt idx="9">
                  <c:v>88</c:v>
                </c:pt>
                <c:pt idx="10">
                  <c:v>110</c:v>
                </c:pt>
              </c:numCache>
            </c:numRef>
          </c:val>
          <c:extLst xmlns:c16r2="http://schemas.microsoft.com/office/drawing/2015/06/chart">
            <c:ext xmlns:c16="http://schemas.microsoft.com/office/drawing/2014/chart" uri="{C3380CC4-5D6E-409C-BE32-E72D297353CC}">
              <c16:uniqueId val="{00000000-92FC-486C-9005-59D54AB17FC7}"/>
            </c:ext>
          </c:extLst>
        </c:ser>
        <c:dLbls>
          <c:showLegendKey val="0"/>
          <c:showVal val="0"/>
          <c:showCatName val="0"/>
          <c:showSerName val="0"/>
          <c:showPercent val="0"/>
          <c:showBubbleSize val="0"/>
        </c:dLbls>
        <c:gapWidth val="182"/>
        <c:axId val="141865656"/>
        <c:axId val="141866048"/>
      </c:barChart>
      <c:catAx>
        <c:axId val="141865656"/>
        <c:scaling>
          <c:orientation val="minMax"/>
        </c:scaling>
        <c:delete val="0"/>
        <c:axPos val="l"/>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866048"/>
        <c:crosses val="autoZero"/>
        <c:auto val="1"/>
        <c:lblAlgn val="ctr"/>
        <c:lblOffset val="100"/>
        <c:noMultiLvlLbl val="0"/>
      </c:catAx>
      <c:valAx>
        <c:axId val="141866048"/>
        <c:scaling>
          <c:orientation val="minMax"/>
        </c:scaling>
        <c:delete val="0"/>
        <c:axPos val="b"/>
        <c:majorGridlines>
          <c:spPr>
            <a:ln w="9525" cap="flat" cmpd="sng" algn="ctr">
              <a:solidFill>
                <a:schemeClr val="bg1">
                  <a:lumMod val="6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a:t>
                </a:r>
                <a:endParaRPr lang="en-GB"/>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865656"/>
        <c:crosses val="autoZero"/>
        <c:crossBetween val="between"/>
      </c:valAx>
      <c:spPr>
        <a:noFill/>
        <a:ln>
          <a:solidFill>
            <a:schemeClr val="bg1">
              <a:lumMod val="65000"/>
            </a:schemeClr>
          </a:solid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stacked"/>
        <c:varyColors val="0"/>
        <c:ser>
          <c:idx val="0"/>
          <c:order val="0"/>
          <c:tx>
            <c:strRef>
              <c:f>'[Population by age (version 1).xlsb.xlsx]Sheet4'!$C$3</c:f>
              <c:strCache>
                <c:ptCount val="1"/>
                <c:pt idx="0">
                  <c:v>Aged 0 to 15 </c:v>
                </c:pt>
              </c:strCache>
            </c:strRef>
          </c:tx>
          <c:spPr>
            <a:solidFill>
              <a:schemeClr val="accent1">
                <a:tint val="65000"/>
              </a:schemeClr>
            </a:solidFill>
            <a:ln>
              <a:noFill/>
            </a:ln>
            <a:effectLst/>
          </c:spPr>
          <c:invertIfNegative val="0"/>
          <c:dLbls>
            <c:dLbl>
              <c:idx val="0"/>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FF07-4260-9922-2FEFE71736BD}"/>
                </c:ext>
                <c:ext xmlns:c15="http://schemas.microsoft.com/office/drawing/2012/chart" uri="{CE6537A1-D6FC-4f65-9D91-7224C49458BB}">
                  <c15:layout/>
                </c:ext>
              </c:extLst>
            </c:dLbl>
            <c:dLbl>
              <c:idx val="1"/>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FF07-4260-9922-2FEFE71736BD}"/>
                </c:ext>
                <c:ext xmlns:c15="http://schemas.microsoft.com/office/drawing/2012/chart" uri="{CE6537A1-D6FC-4f65-9D91-7224C49458BB}">
                  <c15:layout/>
                </c:ext>
              </c:extLst>
            </c:dLbl>
            <c:dLbl>
              <c:idx val="2"/>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FF07-4260-9922-2FEFE71736BD}"/>
                </c:ext>
                <c:ext xmlns:c15="http://schemas.microsoft.com/office/drawing/2012/chart" uri="{CE6537A1-D6FC-4f65-9D91-7224C49458BB}">
                  <c15:layout/>
                </c:ext>
              </c:extLst>
            </c:dLbl>
            <c:dLbl>
              <c:idx val="3"/>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FF07-4260-9922-2FEFE71736B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'[Population by age (version 1).xlsb.xlsx]Sheet4'!$B$4:$B$7</c:f>
              <c:strCache>
                <c:ptCount val="4"/>
                <c:pt idx="0">
                  <c:v>Cardiff </c:v>
                </c:pt>
                <c:pt idx="1">
                  <c:v>Vale of Glamorgan </c:v>
                </c:pt>
                <c:pt idx="2">
                  <c:v>Cardiif and Vale UHB</c:v>
                </c:pt>
                <c:pt idx="3">
                  <c:v>Wales</c:v>
                </c:pt>
              </c:strCache>
            </c:strRef>
          </c:cat>
          <c:val>
            <c:numRef>
              <c:f>'[Population by age (version 1).xlsb.xlsx]Sheet4'!$C$4:$C$7</c:f>
              <c:numCache>
                <c:formatCode>0.0</c:formatCode>
                <c:ptCount val="4"/>
                <c:pt idx="0">
                  <c:v>18.422580355025715</c:v>
                </c:pt>
                <c:pt idx="1">
                  <c:v>18.522011872412737</c:v>
                </c:pt>
                <c:pt idx="2">
                  <c:v>18.449119862534715</c:v>
                </c:pt>
                <c:pt idx="3">
                  <c:v>17.883179151499313</c:v>
                </c:pt>
              </c:numCache>
            </c:numRef>
          </c:val>
          <c:extLst xmlns:c16r2="http://schemas.microsoft.com/office/drawing/2015/06/chart">
            <c:ext xmlns:c16="http://schemas.microsoft.com/office/drawing/2014/chart" uri="{C3380CC4-5D6E-409C-BE32-E72D297353CC}">
              <c16:uniqueId val="{00000000-7E91-481F-88F1-C389CD51144C}"/>
            </c:ext>
          </c:extLst>
        </c:ser>
        <c:ser>
          <c:idx val="1"/>
          <c:order val="1"/>
          <c:tx>
            <c:strRef>
              <c:f>'[Population by age (version 1).xlsb.xlsx]Sheet4'!$D$3</c:f>
              <c:strCache>
                <c:ptCount val="1"/>
                <c:pt idx="0">
                  <c:v>Aged 16 to 64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'[Population by age (version 1).xlsb.xlsx]Sheet4'!$B$4:$B$7</c:f>
              <c:strCache>
                <c:ptCount val="4"/>
                <c:pt idx="0">
                  <c:v>Cardiff </c:v>
                </c:pt>
                <c:pt idx="1">
                  <c:v>Vale of Glamorgan </c:v>
                </c:pt>
                <c:pt idx="2">
                  <c:v>Cardiif and Vale UHB</c:v>
                </c:pt>
                <c:pt idx="3">
                  <c:v>Wales</c:v>
                </c:pt>
              </c:strCache>
            </c:strRef>
          </c:cat>
          <c:val>
            <c:numRef>
              <c:f>'[Population by age (version 1).xlsb.xlsx]Sheet4'!$D$4:$D$7</c:f>
              <c:numCache>
                <c:formatCode>0.0</c:formatCode>
                <c:ptCount val="4"/>
                <c:pt idx="0">
                  <c:v>67.352406494359542</c:v>
                </c:pt>
                <c:pt idx="1">
                  <c:v>60.258108947726953</c:v>
                </c:pt>
                <c:pt idx="2">
                  <c:v>65.458850326679851</c:v>
                </c:pt>
                <c:pt idx="3">
                  <c:v>61.108212525758198</c:v>
                </c:pt>
              </c:numCache>
            </c:numRef>
          </c:val>
          <c:extLst xmlns:c16r2="http://schemas.microsoft.com/office/drawing/2015/06/chart">
            <c:ext xmlns:c16="http://schemas.microsoft.com/office/drawing/2014/chart" uri="{C3380CC4-5D6E-409C-BE32-E72D297353CC}">
              <c16:uniqueId val="{00000001-7E91-481F-88F1-C389CD51144C}"/>
            </c:ext>
          </c:extLst>
        </c:ser>
        <c:ser>
          <c:idx val="2"/>
          <c:order val="2"/>
          <c:tx>
            <c:strRef>
              <c:f>'[Population by age (version 1).xlsb.xlsx]Sheet4'!$E$3</c:f>
              <c:strCache>
                <c:ptCount val="1"/>
                <c:pt idx="0">
                  <c:v>Aged 65 and over </c:v>
                </c:pt>
              </c:strCache>
            </c:strRef>
          </c:tx>
          <c:spPr>
            <a:solidFill>
              <a:schemeClr val="accent1">
                <a:shade val="65000"/>
              </a:schemeClr>
            </a:solidFill>
            <a:ln>
              <a:noFill/>
            </a:ln>
            <a:effectLst/>
          </c:spPr>
          <c:invertIfNegative val="0"/>
          <c:dLbls>
            <c:dLbl>
              <c:idx val="0"/>
              <c:layout/>
              <c:tx>
                <c:rich>
                  <a:bodyPr/>
                  <a:lstStyle/>
                  <a:p>
                    <a:fld id="{70F67B6F-40D5-40A5-AF5D-6DC7C752A920}" type="VALUE">
                      <a:rPr lang="en-US" b="1"/>
                      <a:pPr/>
                      <a:t>[VALUE]</a:t>
                    </a:fld>
                    <a:endParaRPr lang="en-GB"/>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FF07-4260-9922-2FEFE71736BD}"/>
                </c:ext>
                <c:ext xmlns:c15="http://schemas.microsoft.com/office/drawing/2012/chart" uri="{CE6537A1-D6FC-4f65-9D91-7224C49458BB}">
                  <c15:layout/>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'[Population by age (version 1).xlsb.xlsx]Sheet4'!$B$4:$B$7</c:f>
              <c:strCache>
                <c:ptCount val="4"/>
                <c:pt idx="0">
                  <c:v>Cardiff </c:v>
                </c:pt>
                <c:pt idx="1">
                  <c:v>Vale of Glamorgan </c:v>
                </c:pt>
                <c:pt idx="2">
                  <c:v>Cardiif and Vale UHB</c:v>
                </c:pt>
                <c:pt idx="3">
                  <c:v>Wales</c:v>
                </c:pt>
              </c:strCache>
            </c:strRef>
          </c:cat>
          <c:val>
            <c:numRef>
              <c:f>'[Population by age (version 1).xlsb.xlsx]Sheet4'!$E$4:$E$7</c:f>
              <c:numCache>
                <c:formatCode>0.0</c:formatCode>
                <c:ptCount val="4"/>
                <c:pt idx="0">
                  <c:v>14.225013150614741</c:v>
                </c:pt>
                <c:pt idx="1">
                  <c:v>21.219879179860314</c:v>
                </c:pt>
                <c:pt idx="2">
                  <c:v>16.09202981078543</c:v>
                </c:pt>
                <c:pt idx="3">
                  <c:v>21.008608322742482</c:v>
                </c:pt>
              </c:numCache>
            </c:numRef>
          </c:val>
          <c:extLst xmlns:c16r2="http://schemas.microsoft.com/office/drawing/2015/06/chart">
            <c:ext xmlns:c16="http://schemas.microsoft.com/office/drawing/2014/chart" uri="{C3380CC4-5D6E-409C-BE32-E72D297353CC}">
              <c16:uniqueId val="{00000002-7E91-481F-88F1-C389CD51144C}"/>
            </c:ext>
          </c:extLst>
        </c:ser>
        <c:dLbls>
          <c:showLegendKey val="0"/>
          <c:showVal val="0"/>
          <c:showCatName val="0"/>
          <c:showSerName val="0"/>
          <c:showPercent val="0"/>
          <c:showBubbleSize val="0"/>
        </c:dLbls>
        <c:gapWidth val="150"/>
        <c:overlap val="100"/>
        <c:axId val="141866832"/>
        <c:axId val="141867224"/>
      </c:barChart>
      <c:catAx>
        <c:axId val="141866832"/>
        <c:scaling>
          <c:orientation val="minMax"/>
        </c:scaling>
        <c:delete val="0"/>
        <c:axPos val="b"/>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41867224"/>
        <c:crosses val="autoZero"/>
        <c:auto val="1"/>
        <c:lblAlgn val="ctr"/>
        <c:lblOffset val="100"/>
        <c:noMultiLvlLbl val="0"/>
      </c:catAx>
      <c:valAx>
        <c:axId val="141867224"/>
        <c:scaling>
          <c:orientation val="minMax"/>
          <c:max val="100"/>
        </c:scaling>
        <c:delete val="0"/>
        <c:axPos val="l"/>
        <c:majorGridlines>
          <c:spPr>
            <a:ln w="9525" cap="flat" cmpd="sng" algn="ctr">
              <a:solidFill>
                <a:schemeClr val="bg1">
                  <a:lumMod val="6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100" b="1">
                    <a:latin typeface="Arial" panose="020B0604020202020204" pitchFamily="34" charset="0"/>
                    <a:cs typeface="Arial" panose="020B0604020202020204" pitchFamily="34" charset="0"/>
                  </a:rPr>
                  <a:t>Percentage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86683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strRef>
          <c:f>Index!$D$13</c:f>
          <c:strCache>
            <c:ptCount val="1"/>
            <c:pt idx="0">
              <c:v>Cardiff components of population change</c:v>
            </c:pt>
          </c:strCache>
        </c:strRef>
      </c:tx>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endParaRPr lang="en-US"/>
        </a:p>
      </c:txPr>
    </c:title>
    <c:autoTitleDeleted val="0"/>
    <c:plotArea>
      <c:layout/>
      <c:lineChart>
        <c:grouping val="standard"/>
        <c:varyColors val="0"/>
        <c:ser>
          <c:idx val="0"/>
          <c:order val="0"/>
          <c:tx>
            <c:strRef>
              <c:f>'Population Change Analysis'!$AA$2</c:f>
              <c:strCache>
                <c:ptCount val="1"/>
                <c:pt idx="0">
                  <c:v>Births</c:v>
                </c:pt>
              </c:strCache>
            </c:strRef>
          </c:tx>
          <c:spPr>
            <a:ln w="28575" cap="rnd">
              <a:solidFill>
                <a:schemeClr val="accent1"/>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Analysis'!$AB$2:$AI$2</c:f>
              <c:numCache>
                <c:formatCode>General</c:formatCode>
                <c:ptCount val="8"/>
                <c:pt idx="0">
                  <c:v>#N/A</c:v>
                </c:pt>
                <c:pt idx="1">
                  <c:v>#N/A</c:v>
                </c:pt>
                <c:pt idx="2">
                  <c:v>#N/A</c:v>
                </c:pt>
                <c:pt idx="3">
                  <c:v>#N/A</c:v>
                </c:pt>
                <c:pt idx="4">
                  <c:v>#N/A</c:v>
                </c:pt>
                <c:pt idx="5">
                  <c:v>#N/A</c:v>
                </c:pt>
                <c:pt idx="6">
                  <c:v>#N/A</c:v>
                </c:pt>
                <c:pt idx="7">
                  <c:v>#N/A</c:v>
                </c:pt>
              </c:numCache>
            </c:numRef>
          </c:val>
          <c:smooth val="0"/>
          <c:extLst xmlns:c16r2="http://schemas.microsoft.com/office/drawing/2015/06/chart">
            <c:ext xmlns:c16="http://schemas.microsoft.com/office/drawing/2014/chart" uri="{C3380CC4-5D6E-409C-BE32-E72D297353CC}">
              <c16:uniqueId val="{00000000-6676-4AF7-AC6B-3B0948A9E5D4}"/>
            </c:ext>
          </c:extLst>
        </c:ser>
        <c:ser>
          <c:idx val="1"/>
          <c:order val="1"/>
          <c:tx>
            <c:strRef>
              <c:f>'Population Change Analysis'!$AA$3</c:f>
              <c:strCache>
                <c:ptCount val="1"/>
                <c:pt idx="0">
                  <c:v>Deaths</c:v>
                </c:pt>
              </c:strCache>
            </c:strRef>
          </c:tx>
          <c:spPr>
            <a:ln w="28575" cap="rnd">
              <a:solidFill>
                <a:schemeClr val="accent2"/>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Analysis'!$AB$3:$AI$3</c:f>
              <c:numCache>
                <c:formatCode>General</c:formatCode>
                <c:ptCount val="8"/>
                <c:pt idx="0">
                  <c:v>#N/A</c:v>
                </c:pt>
                <c:pt idx="1">
                  <c:v>#N/A</c:v>
                </c:pt>
                <c:pt idx="2">
                  <c:v>#N/A</c:v>
                </c:pt>
                <c:pt idx="3">
                  <c:v>#N/A</c:v>
                </c:pt>
                <c:pt idx="4">
                  <c:v>#N/A</c:v>
                </c:pt>
                <c:pt idx="5">
                  <c:v>#N/A</c:v>
                </c:pt>
                <c:pt idx="6">
                  <c:v>#N/A</c:v>
                </c:pt>
                <c:pt idx="7">
                  <c:v>#N/A</c:v>
                </c:pt>
              </c:numCache>
            </c:numRef>
          </c:val>
          <c:smooth val="0"/>
          <c:extLst xmlns:c16r2="http://schemas.microsoft.com/office/drawing/2015/06/chart">
            <c:ext xmlns:c16="http://schemas.microsoft.com/office/drawing/2014/chart" uri="{C3380CC4-5D6E-409C-BE32-E72D297353CC}">
              <c16:uniqueId val="{00000001-6676-4AF7-AC6B-3B0948A9E5D4}"/>
            </c:ext>
          </c:extLst>
        </c:ser>
        <c:ser>
          <c:idx val="2"/>
          <c:order val="2"/>
          <c:tx>
            <c:strRef>
              <c:f>'Population Change Analysis'!$AA$4</c:f>
              <c:strCache>
                <c:ptCount val="1"/>
                <c:pt idx="0">
                  <c:v>Natural Change</c:v>
                </c:pt>
              </c:strCache>
            </c:strRef>
          </c:tx>
          <c:spPr>
            <a:ln w="28575" cap="rnd">
              <a:solidFill>
                <a:schemeClr val="accent3"/>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Analysis'!$AB$4:$AI$4</c:f>
              <c:numCache>
                <c:formatCode>General</c:formatCode>
                <c:ptCount val="8"/>
                <c:pt idx="0">
                  <c:v>2213</c:v>
                </c:pt>
                <c:pt idx="1">
                  <c:v>1756</c:v>
                </c:pt>
                <c:pt idx="2">
                  <c:v>1969</c:v>
                </c:pt>
                <c:pt idx="3">
                  <c:v>1704</c:v>
                </c:pt>
                <c:pt idx="4">
                  <c:v>1796</c:v>
                </c:pt>
                <c:pt idx="5">
                  <c:v>1413</c:v>
                </c:pt>
                <c:pt idx="6">
                  <c:v>1077</c:v>
                </c:pt>
                <c:pt idx="7">
                  <c:v>1112</c:v>
                </c:pt>
              </c:numCache>
            </c:numRef>
          </c:val>
          <c:smooth val="0"/>
          <c:extLst xmlns:c16r2="http://schemas.microsoft.com/office/drawing/2015/06/chart">
            <c:ext xmlns:c16="http://schemas.microsoft.com/office/drawing/2014/chart" uri="{C3380CC4-5D6E-409C-BE32-E72D297353CC}">
              <c16:uniqueId val="{00000002-6676-4AF7-AC6B-3B0948A9E5D4}"/>
            </c:ext>
          </c:extLst>
        </c:ser>
        <c:ser>
          <c:idx val="3"/>
          <c:order val="3"/>
          <c:tx>
            <c:strRef>
              <c:f>'Population Change Analysis'!$AA$5</c:f>
              <c:strCache>
                <c:ptCount val="1"/>
                <c:pt idx="0">
                  <c:v>Internal In</c:v>
                </c:pt>
              </c:strCache>
            </c:strRef>
          </c:tx>
          <c:spPr>
            <a:ln w="28575" cap="rnd">
              <a:solidFill>
                <a:schemeClr val="accent4"/>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Analysis'!$AB$5:$AI$5</c:f>
              <c:numCache>
                <c:formatCode>General</c:formatCode>
                <c:ptCount val="8"/>
                <c:pt idx="0">
                  <c:v>#N/A</c:v>
                </c:pt>
                <c:pt idx="1">
                  <c:v>#N/A</c:v>
                </c:pt>
                <c:pt idx="2">
                  <c:v>#N/A</c:v>
                </c:pt>
                <c:pt idx="3">
                  <c:v>#N/A</c:v>
                </c:pt>
                <c:pt idx="4">
                  <c:v>#N/A</c:v>
                </c:pt>
                <c:pt idx="5">
                  <c:v>#N/A</c:v>
                </c:pt>
                <c:pt idx="6">
                  <c:v>#N/A</c:v>
                </c:pt>
                <c:pt idx="7">
                  <c:v>#N/A</c:v>
                </c:pt>
              </c:numCache>
            </c:numRef>
          </c:val>
          <c:smooth val="0"/>
          <c:extLst xmlns:c16r2="http://schemas.microsoft.com/office/drawing/2015/06/chart">
            <c:ext xmlns:c16="http://schemas.microsoft.com/office/drawing/2014/chart" uri="{C3380CC4-5D6E-409C-BE32-E72D297353CC}">
              <c16:uniqueId val="{00000003-6676-4AF7-AC6B-3B0948A9E5D4}"/>
            </c:ext>
          </c:extLst>
        </c:ser>
        <c:ser>
          <c:idx val="4"/>
          <c:order val="4"/>
          <c:tx>
            <c:strRef>
              <c:f>'Population Change Analysis'!$AA$6</c:f>
              <c:strCache>
                <c:ptCount val="1"/>
                <c:pt idx="0">
                  <c:v>Internal Out</c:v>
                </c:pt>
              </c:strCache>
            </c:strRef>
          </c:tx>
          <c:spPr>
            <a:ln w="28575" cap="rnd">
              <a:solidFill>
                <a:schemeClr val="accent5"/>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Analysis'!$AB$6:$AI$6</c:f>
              <c:numCache>
                <c:formatCode>General</c:formatCode>
                <c:ptCount val="8"/>
                <c:pt idx="0">
                  <c:v>#N/A</c:v>
                </c:pt>
                <c:pt idx="1">
                  <c:v>#N/A</c:v>
                </c:pt>
                <c:pt idx="2">
                  <c:v>#N/A</c:v>
                </c:pt>
                <c:pt idx="3">
                  <c:v>#N/A</c:v>
                </c:pt>
                <c:pt idx="4">
                  <c:v>#N/A</c:v>
                </c:pt>
                <c:pt idx="5">
                  <c:v>#N/A</c:v>
                </c:pt>
                <c:pt idx="6">
                  <c:v>#N/A</c:v>
                </c:pt>
                <c:pt idx="7">
                  <c:v>#N/A</c:v>
                </c:pt>
              </c:numCache>
            </c:numRef>
          </c:val>
          <c:smooth val="0"/>
          <c:extLst xmlns:c16r2="http://schemas.microsoft.com/office/drawing/2015/06/chart">
            <c:ext xmlns:c16="http://schemas.microsoft.com/office/drawing/2014/chart" uri="{C3380CC4-5D6E-409C-BE32-E72D297353CC}">
              <c16:uniqueId val="{00000004-6676-4AF7-AC6B-3B0948A9E5D4}"/>
            </c:ext>
          </c:extLst>
        </c:ser>
        <c:ser>
          <c:idx val="5"/>
          <c:order val="5"/>
          <c:tx>
            <c:strRef>
              <c:f>'Population Change Analysis'!$AA$7</c:f>
              <c:strCache>
                <c:ptCount val="1"/>
                <c:pt idx="0">
                  <c:v>Internal Net</c:v>
                </c:pt>
              </c:strCache>
            </c:strRef>
          </c:tx>
          <c:spPr>
            <a:ln w="28575" cap="rnd">
              <a:solidFill>
                <a:schemeClr val="accent6"/>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Analysis'!$AB$7:$AI$7</c:f>
              <c:numCache>
                <c:formatCode>General</c:formatCode>
                <c:ptCount val="8"/>
                <c:pt idx="0">
                  <c:v>1345</c:v>
                </c:pt>
                <c:pt idx="1">
                  <c:v>-761</c:v>
                </c:pt>
                <c:pt idx="2">
                  <c:v>-1253</c:v>
                </c:pt>
                <c:pt idx="3">
                  <c:v>-719</c:v>
                </c:pt>
                <c:pt idx="4">
                  <c:v>-920</c:v>
                </c:pt>
                <c:pt idx="5">
                  <c:v>-1287</c:v>
                </c:pt>
                <c:pt idx="6">
                  <c:v>-1496</c:v>
                </c:pt>
                <c:pt idx="7">
                  <c:v>-1102</c:v>
                </c:pt>
              </c:numCache>
            </c:numRef>
          </c:val>
          <c:smooth val="0"/>
          <c:extLst xmlns:c16r2="http://schemas.microsoft.com/office/drawing/2015/06/chart">
            <c:ext xmlns:c16="http://schemas.microsoft.com/office/drawing/2014/chart" uri="{C3380CC4-5D6E-409C-BE32-E72D297353CC}">
              <c16:uniqueId val="{00000005-6676-4AF7-AC6B-3B0948A9E5D4}"/>
            </c:ext>
          </c:extLst>
        </c:ser>
        <c:ser>
          <c:idx val="6"/>
          <c:order val="6"/>
          <c:tx>
            <c:strRef>
              <c:f>'Population Change Analysis'!$AA$8</c:f>
              <c:strCache>
                <c:ptCount val="1"/>
                <c:pt idx="0">
                  <c:v>International In</c:v>
                </c:pt>
              </c:strCache>
            </c:strRef>
          </c:tx>
          <c:spPr>
            <a:ln w="28575" cap="rnd">
              <a:solidFill>
                <a:schemeClr val="accent1">
                  <a:lumMod val="60000"/>
                </a:schemeClr>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Analysis'!$AB$8:$AI$8</c:f>
              <c:numCache>
                <c:formatCode>General</c:formatCode>
                <c:ptCount val="8"/>
                <c:pt idx="0">
                  <c:v>#N/A</c:v>
                </c:pt>
                <c:pt idx="1">
                  <c:v>#N/A</c:v>
                </c:pt>
                <c:pt idx="2">
                  <c:v>#N/A</c:v>
                </c:pt>
                <c:pt idx="3">
                  <c:v>#N/A</c:v>
                </c:pt>
                <c:pt idx="4">
                  <c:v>#N/A</c:v>
                </c:pt>
                <c:pt idx="5">
                  <c:v>#N/A</c:v>
                </c:pt>
                <c:pt idx="6">
                  <c:v>#N/A</c:v>
                </c:pt>
                <c:pt idx="7">
                  <c:v>#N/A</c:v>
                </c:pt>
              </c:numCache>
            </c:numRef>
          </c:val>
          <c:smooth val="0"/>
          <c:extLst xmlns:c16r2="http://schemas.microsoft.com/office/drawing/2015/06/chart">
            <c:ext xmlns:c16="http://schemas.microsoft.com/office/drawing/2014/chart" uri="{C3380CC4-5D6E-409C-BE32-E72D297353CC}">
              <c16:uniqueId val="{00000006-6676-4AF7-AC6B-3B0948A9E5D4}"/>
            </c:ext>
          </c:extLst>
        </c:ser>
        <c:ser>
          <c:idx val="7"/>
          <c:order val="7"/>
          <c:tx>
            <c:strRef>
              <c:f>'Population Change Analysis'!$AA$9</c:f>
              <c:strCache>
                <c:ptCount val="1"/>
                <c:pt idx="0">
                  <c:v>International Out</c:v>
                </c:pt>
              </c:strCache>
            </c:strRef>
          </c:tx>
          <c:spPr>
            <a:ln w="28575" cap="rnd">
              <a:solidFill>
                <a:schemeClr val="accent2">
                  <a:lumMod val="60000"/>
                </a:schemeClr>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Analysis'!$AB$9:$AI$9</c:f>
              <c:numCache>
                <c:formatCode>General</c:formatCode>
                <c:ptCount val="8"/>
                <c:pt idx="0">
                  <c:v>#N/A</c:v>
                </c:pt>
                <c:pt idx="1">
                  <c:v>#N/A</c:v>
                </c:pt>
                <c:pt idx="2">
                  <c:v>#N/A</c:v>
                </c:pt>
                <c:pt idx="3">
                  <c:v>#N/A</c:v>
                </c:pt>
                <c:pt idx="4">
                  <c:v>#N/A</c:v>
                </c:pt>
                <c:pt idx="5">
                  <c:v>#N/A</c:v>
                </c:pt>
                <c:pt idx="6">
                  <c:v>#N/A</c:v>
                </c:pt>
                <c:pt idx="7">
                  <c:v>#N/A</c:v>
                </c:pt>
              </c:numCache>
            </c:numRef>
          </c:val>
          <c:smooth val="0"/>
          <c:extLst xmlns:c16r2="http://schemas.microsoft.com/office/drawing/2015/06/chart">
            <c:ext xmlns:c16="http://schemas.microsoft.com/office/drawing/2014/chart" uri="{C3380CC4-5D6E-409C-BE32-E72D297353CC}">
              <c16:uniqueId val="{00000007-6676-4AF7-AC6B-3B0948A9E5D4}"/>
            </c:ext>
          </c:extLst>
        </c:ser>
        <c:ser>
          <c:idx val="8"/>
          <c:order val="8"/>
          <c:tx>
            <c:strRef>
              <c:f>'Population Change Analysis'!$AA$10</c:f>
              <c:strCache>
                <c:ptCount val="1"/>
                <c:pt idx="0">
                  <c:v>International Net</c:v>
                </c:pt>
              </c:strCache>
            </c:strRef>
          </c:tx>
          <c:spPr>
            <a:ln w="28575" cap="rnd">
              <a:solidFill>
                <a:schemeClr val="accent3">
                  <a:lumMod val="60000"/>
                </a:schemeClr>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Analysis'!$AB$10:$AI$10</c:f>
              <c:numCache>
                <c:formatCode>General</c:formatCode>
                <c:ptCount val="8"/>
                <c:pt idx="0">
                  <c:v>-210</c:v>
                </c:pt>
                <c:pt idx="1">
                  <c:v>2439</c:v>
                </c:pt>
                <c:pt idx="2">
                  <c:v>1903</c:v>
                </c:pt>
                <c:pt idx="3">
                  <c:v>1734</c:v>
                </c:pt>
                <c:pt idx="4">
                  <c:v>2752</c:v>
                </c:pt>
                <c:pt idx="5">
                  <c:v>1486</c:v>
                </c:pt>
                <c:pt idx="6">
                  <c:v>1909</c:v>
                </c:pt>
                <c:pt idx="7">
                  <c:v>2653</c:v>
                </c:pt>
              </c:numCache>
            </c:numRef>
          </c:val>
          <c:smooth val="0"/>
          <c:extLst xmlns:c16r2="http://schemas.microsoft.com/office/drawing/2015/06/chart">
            <c:ext xmlns:c16="http://schemas.microsoft.com/office/drawing/2014/chart" uri="{C3380CC4-5D6E-409C-BE32-E72D297353CC}">
              <c16:uniqueId val="{00000008-6676-4AF7-AC6B-3B0948A9E5D4}"/>
            </c:ext>
          </c:extLst>
        </c:ser>
        <c:ser>
          <c:idx val="9"/>
          <c:order val="9"/>
          <c:tx>
            <c:strRef>
              <c:f>'Population Change Analysis'!$AA$11</c:f>
              <c:strCache>
                <c:ptCount val="1"/>
                <c:pt idx="0">
                  <c:v>Special Populations</c:v>
                </c:pt>
              </c:strCache>
            </c:strRef>
          </c:tx>
          <c:spPr>
            <a:ln w="28575" cap="rnd">
              <a:solidFill>
                <a:schemeClr val="accent4">
                  <a:lumMod val="60000"/>
                </a:schemeClr>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Analysis'!$AB$11:$AI$11</c:f>
              <c:numCache>
                <c:formatCode>General</c:formatCode>
                <c:ptCount val="8"/>
                <c:pt idx="0">
                  <c:v>#N/A</c:v>
                </c:pt>
                <c:pt idx="1">
                  <c:v>#N/A</c:v>
                </c:pt>
                <c:pt idx="2">
                  <c:v>#N/A</c:v>
                </c:pt>
                <c:pt idx="3">
                  <c:v>#N/A</c:v>
                </c:pt>
                <c:pt idx="4">
                  <c:v>#N/A</c:v>
                </c:pt>
                <c:pt idx="5">
                  <c:v>#N/A</c:v>
                </c:pt>
                <c:pt idx="6">
                  <c:v>#N/A</c:v>
                </c:pt>
                <c:pt idx="7">
                  <c:v>#N/A</c:v>
                </c:pt>
              </c:numCache>
            </c:numRef>
          </c:val>
          <c:smooth val="0"/>
          <c:extLst xmlns:c16r2="http://schemas.microsoft.com/office/drawing/2015/06/chart">
            <c:ext xmlns:c16="http://schemas.microsoft.com/office/drawing/2014/chart" uri="{C3380CC4-5D6E-409C-BE32-E72D297353CC}">
              <c16:uniqueId val="{00000009-6676-4AF7-AC6B-3B0948A9E5D4}"/>
            </c:ext>
          </c:extLst>
        </c:ser>
        <c:ser>
          <c:idx val="10"/>
          <c:order val="10"/>
          <c:tx>
            <c:strRef>
              <c:f>'Population Change Analysis'!$AA$12</c:f>
              <c:strCache>
                <c:ptCount val="1"/>
                <c:pt idx="0">
                  <c:v>Other</c:v>
                </c:pt>
              </c:strCache>
            </c:strRef>
          </c:tx>
          <c:spPr>
            <a:ln w="28575" cap="rnd">
              <a:solidFill>
                <a:schemeClr val="accent5">
                  <a:lumMod val="60000"/>
                </a:schemeClr>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Analysis'!$AB$12:$AI$12</c:f>
              <c:numCache>
                <c:formatCode>General</c:formatCode>
                <c:ptCount val="8"/>
                <c:pt idx="0">
                  <c:v>#N/A</c:v>
                </c:pt>
                <c:pt idx="1">
                  <c:v>#N/A</c:v>
                </c:pt>
                <c:pt idx="2">
                  <c:v>#N/A</c:v>
                </c:pt>
                <c:pt idx="3">
                  <c:v>#N/A</c:v>
                </c:pt>
                <c:pt idx="4">
                  <c:v>#N/A</c:v>
                </c:pt>
                <c:pt idx="5">
                  <c:v>#N/A</c:v>
                </c:pt>
                <c:pt idx="6">
                  <c:v>#N/A</c:v>
                </c:pt>
                <c:pt idx="7">
                  <c:v>#N/A</c:v>
                </c:pt>
              </c:numCache>
            </c:numRef>
          </c:val>
          <c:smooth val="0"/>
          <c:extLst xmlns:c16r2="http://schemas.microsoft.com/office/drawing/2015/06/chart">
            <c:ext xmlns:c16="http://schemas.microsoft.com/office/drawing/2014/chart" uri="{C3380CC4-5D6E-409C-BE32-E72D297353CC}">
              <c16:uniqueId val="{0000000A-6676-4AF7-AC6B-3B0948A9E5D4}"/>
            </c:ext>
          </c:extLst>
        </c:ser>
        <c:dLbls>
          <c:showLegendKey val="0"/>
          <c:showVal val="0"/>
          <c:showCatName val="0"/>
          <c:showSerName val="0"/>
          <c:showPercent val="0"/>
          <c:showBubbleSize val="0"/>
        </c:dLbls>
        <c:smooth val="0"/>
        <c:axId val="121194752"/>
        <c:axId val="121195144"/>
      </c:lineChart>
      <c:catAx>
        <c:axId val="1211947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195144"/>
        <c:crosses val="autoZero"/>
        <c:auto val="1"/>
        <c:lblAlgn val="ctr"/>
        <c:lblOffset val="100"/>
        <c:noMultiLvlLbl val="0"/>
      </c:catAx>
      <c:valAx>
        <c:axId val="1211951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194752"/>
        <c:crosses val="autoZero"/>
        <c:crossBetween val="between"/>
      </c:valAx>
      <c:spPr>
        <a:noFill/>
        <a:ln>
          <a:noFill/>
        </a:ln>
        <a:effectLst/>
      </c:spPr>
    </c:plotArea>
    <c:legend>
      <c:legendPos val="b"/>
      <c:legendEntry>
        <c:idx val="0"/>
        <c:delete val="1"/>
      </c:legendEntry>
      <c:legendEntry>
        <c:idx val="1"/>
        <c:delete val="1"/>
      </c:legendEntry>
      <c:legendEntry>
        <c:idx val="3"/>
        <c:delete val="1"/>
      </c:legendEntry>
      <c:legendEntry>
        <c:idx val="4"/>
        <c:delete val="1"/>
      </c:legendEntry>
      <c:legendEntry>
        <c:idx val="6"/>
        <c:delete val="1"/>
      </c:legendEntry>
      <c:legendEntry>
        <c:idx val="7"/>
        <c:delete val="1"/>
      </c:legendEntry>
      <c:legendEntry>
        <c:idx val="9"/>
        <c:delete val="1"/>
      </c:legendEntry>
      <c:legendEntry>
        <c:idx val="10"/>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strRef>
          <c:f>Index!$D$13</c:f>
          <c:strCache>
            <c:ptCount val="1"/>
            <c:pt idx="0">
              <c:v>Vale of Glamorgan components of population change</c:v>
            </c:pt>
          </c:strCache>
        </c:strRef>
      </c:tx>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endParaRPr lang="en-US"/>
        </a:p>
      </c:txPr>
    </c:title>
    <c:autoTitleDeleted val="0"/>
    <c:plotArea>
      <c:layout/>
      <c:lineChart>
        <c:grouping val="standard"/>
        <c:varyColors val="0"/>
        <c:ser>
          <c:idx val="0"/>
          <c:order val="0"/>
          <c:tx>
            <c:strRef>
              <c:f>'Population Change Analysis'!$AA$2</c:f>
              <c:strCache>
                <c:ptCount val="1"/>
                <c:pt idx="0">
                  <c:v>Births</c:v>
                </c:pt>
              </c:strCache>
            </c:strRef>
          </c:tx>
          <c:spPr>
            <a:ln w="28575" cap="rnd">
              <a:solidFill>
                <a:schemeClr val="accent1"/>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Analysis'!$AB$2:$AI$2</c:f>
              <c:numCache>
                <c:formatCode>General</c:formatCode>
                <c:ptCount val="8"/>
                <c:pt idx="0">
                  <c:v>#N/A</c:v>
                </c:pt>
                <c:pt idx="1">
                  <c:v>#N/A</c:v>
                </c:pt>
                <c:pt idx="2">
                  <c:v>#N/A</c:v>
                </c:pt>
                <c:pt idx="3">
                  <c:v>#N/A</c:v>
                </c:pt>
                <c:pt idx="4">
                  <c:v>#N/A</c:v>
                </c:pt>
                <c:pt idx="5">
                  <c:v>#N/A</c:v>
                </c:pt>
                <c:pt idx="6">
                  <c:v>#N/A</c:v>
                </c:pt>
                <c:pt idx="7">
                  <c:v>#N/A</c:v>
                </c:pt>
              </c:numCache>
            </c:numRef>
          </c:val>
          <c:smooth val="0"/>
          <c:extLst xmlns:c16r2="http://schemas.microsoft.com/office/drawing/2015/06/chart">
            <c:ext xmlns:c16="http://schemas.microsoft.com/office/drawing/2014/chart" uri="{C3380CC4-5D6E-409C-BE32-E72D297353CC}">
              <c16:uniqueId val="{00000000-364B-438D-B01F-0B3F5472E74D}"/>
            </c:ext>
          </c:extLst>
        </c:ser>
        <c:ser>
          <c:idx val="1"/>
          <c:order val="1"/>
          <c:tx>
            <c:strRef>
              <c:f>'Population Change Analysis'!$AA$3</c:f>
              <c:strCache>
                <c:ptCount val="1"/>
                <c:pt idx="0">
                  <c:v>Deaths</c:v>
                </c:pt>
              </c:strCache>
            </c:strRef>
          </c:tx>
          <c:spPr>
            <a:ln w="28575" cap="rnd">
              <a:solidFill>
                <a:schemeClr val="accent2"/>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Analysis'!$AB$3:$AI$3</c:f>
              <c:numCache>
                <c:formatCode>General</c:formatCode>
                <c:ptCount val="8"/>
                <c:pt idx="0">
                  <c:v>#N/A</c:v>
                </c:pt>
                <c:pt idx="1">
                  <c:v>#N/A</c:v>
                </c:pt>
                <c:pt idx="2">
                  <c:v>#N/A</c:v>
                </c:pt>
                <c:pt idx="3">
                  <c:v>#N/A</c:v>
                </c:pt>
                <c:pt idx="4">
                  <c:v>#N/A</c:v>
                </c:pt>
                <c:pt idx="5">
                  <c:v>#N/A</c:v>
                </c:pt>
                <c:pt idx="6">
                  <c:v>#N/A</c:v>
                </c:pt>
                <c:pt idx="7">
                  <c:v>#N/A</c:v>
                </c:pt>
              </c:numCache>
            </c:numRef>
          </c:val>
          <c:smooth val="0"/>
          <c:extLst xmlns:c16r2="http://schemas.microsoft.com/office/drawing/2015/06/chart">
            <c:ext xmlns:c16="http://schemas.microsoft.com/office/drawing/2014/chart" uri="{C3380CC4-5D6E-409C-BE32-E72D297353CC}">
              <c16:uniqueId val="{00000001-364B-438D-B01F-0B3F5472E74D}"/>
            </c:ext>
          </c:extLst>
        </c:ser>
        <c:ser>
          <c:idx val="2"/>
          <c:order val="2"/>
          <c:tx>
            <c:strRef>
              <c:f>'Population Change Analysis'!$AA$4</c:f>
              <c:strCache>
                <c:ptCount val="1"/>
                <c:pt idx="0">
                  <c:v>Natural Change</c:v>
                </c:pt>
              </c:strCache>
            </c:strRef>
          </c:tx>
          <c:spPr>
            <a:ln w="28575" cap="rnd">
              <a:solidFill>
                <a:schemeClr val="accent3"/>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Analysis'!$AB$4:$AI$4</c:f>
              <c:numCache>
                <c:formatCode>General</c:formatCode>
                <c:ptCount val="8"/>
                <c:pt idx="0">
                  <c:v>282</c:v>
                </c:pt>
                <c:pt idx="1">
                  <c:v>78</c:v>
                </c:pt>
                <c:pt idx="2">
                  <c:v>102</c:v>
                </c:pt>
                <c:pt idx="3">
                  <c:v>7</c:v>
                </c:pt>
                <c:pt idx="4">
                  <c:v>14</c:v>
                </c:pt>
                <c:pt idx="5">
                  <c:v>119</c:v>
                </c:pt>
                <c:pt idx="6">
                  <c:v>-47</c:v>
                </c:pt>
                <c:pt idx="7">
                  <c:v>-23</c:v>
                </c:pt>
              </c:numCache>
            </c:numRef>
          </c:val>
          <c:smooth val="0"/>
          <c:extLst xmlns:c16r2="http://schemas.microsoft.com/office/drawing/2015/06/chart">
            <c:ext xmlns:c16="http://schemas.microsoft.com/office/drawing/2014/chart" uri="{C3380CC4-5D6E-409C-BE32-E72D297353CC}">
              <c16:uniqueId val="{00000002-364B-438D-B01F-0B3F5472E74D}"/>
            </c:ext>
          </c:extLst>
        </c:ser>
        <c:ser>
          <c:idx val="3"/>
          <c:order val="3"/>
          <c:tx>
            <c:strRef>
              <c:f>'Population Change Analysis'!$AA$5</c:f>
              <c:strCache>
                <c:ptCount val="1"/>
                <c:pt idx="0">
                  <c:v>Internal In</c:v>
                </c:pt>
              </c:strCache>
            </c:strRef>
          </c:tx>
          <c:spPr>
            <a:ln w="28575" cap="rnd">
              <a:solidFill>
                <a:schemeClr val="accent4"/>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Analysis'!$AB$5:$AI$5</c:f>
              <c:numCache>
                <c:formatCode>General</c:formatCode>
                <c:ptCount val="8"/>
                <c:pt idx="0">
                  <c:v>#N/A</c:v>
                </c:pt>
                <c:pt idx="1">
                  <c:v>#N/A</c:v>
                </c:pt>
                <c:pt idx="2">
                  <c:v>#N/A</c:v>
                </c:pt>
                <c:pt idx="3">
                  <c:v>#N/A</c:v>
                </c:pt>
                <c:pt idx="4">
                  <c:v>#N/A</c:v>
                </c:pt>
                <c:pt idx="5">
                  <c:v>#N/A</c:v>
                </c:pt>
                <c:pt idx="6">
                  <c:v>#N/A</c:v>
                </c:pt>
                <c:pt idx="7">
                  <c:v>#N/A</c:v>
                </c:pt>
              </c:numCache>
            </c:numRef>
          </c:val>
          <c:smooth val="0"/>
          <c:extLst xmlns:c16r2="http://schemas.microsoft.com/office/drawing/2015/06/chart">
            <c:ext xmlns:c16="http://schemas.microsoft.com/office/drawing/2014/chart" uri="{C3380CC4-5D6E-409C-BE32-E72D297353CC}">
              <c16:uniqueId val="{00000003-364B-438D-B01F-0B3F5472E74D}"/>
            </c:ext>
          </c:extLst>
        </c:ser>
        <c:ser>
          <c:idx val="4"/>
          <c:order val="4"/>
          <c:tx>
            <c:strRef>
              <c:f>'Population Change Analysis'!$AA$6</c:f>
              <c:strCache>
                <c:ptCount val="1"/>
                <c:pt idx="0">
                  <c:v>Internal Out</c:v>
                </c:pt>
              </c:strCache>
            </c:strRef>
          </c:tx>
          <c:spPr>
            <a:ln w="28575" cap="rnd">
              <a:solidFill>
                <a:schemeClr val="accent5"/>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Analysis'!$AB$6:$AI$6</c:f>
              <c:numCache>
                <c:formatCode>General</c:formatCode>
                <c:ptCount val="8"/>
                <c:pt idx="0">
                  <c:v>#N/A</c:v>
                </c:pt>
                <c:pt idx="1">
                  <c:v>#N/A</c:v>
                </c:pt>
                <c:pt idx="2">
                  <c:v>#N/A</c:v>
                </c:pt>
                <c:pt idx="3">
                  <c:v>#N/A</c:v>
                </c:pt>
                <c:pt idx="4">
                  <c:v>#N/A</c:v>
                </c:pt>
                <c:pt idx="5">
                  <c:v>#N/A</c:v>
                </c:pt>
                <c:pt idx="6">
                  <c:v>#N/A</c:v>
                </c:pt>
                <c:pt idx="7">
                  <c:v>#N/A</c:v>
                </c:pt>
              </c:numCache>
            </c:numRef>
          </c:val>
          <c:smooth val="0"/>
          <c:extLst xmlns:c16r2="http://schemas.microsoft.com/office/drawing/2015/06/chart">
            <c:ext xmlns:c16="http://schemas.microsoft.com/office/drawing/2014/chart" uri="{C3380CC4-5D6E-409C-BE32-E72D297353CC}">
              <c16:uniqueId val="{00000004-364B-438D-B01F-0B3F5472E74D}"/>
            </c:ext>
          </c:extLst>
        </c:ser>
        <c:ser>
          <c:idx val="5"/>
          <c:order val="5"/>
          <c:tx>
            <c:strRef>
              <c:f>'Population Change Analysis'!$AA$7</c:f>
              <c:strCache>
                <c:ptCount val="1"/>
                <c:pt idx="0">
                  <c:v>Internal Net</c:v>
                </c:pt>
              </c:strCache>
            </c:strRef>
          </c:tx>
          <c:spPr>
            <a:ln w="28575" cap="rnd">
              <a:solidFill>
                <a:schemeClr val="accent6"/>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Analysis'!$AB$7:$AI$7</c:f>
              <c:numCache>
                <c:formatCode>General</c:formatCode>
                <c:ptCount val="8"/>
                <c:pt idx="0">
                  <c:v>108</c:v>
                </c:pt>
                <c:pt idx="1">
                  <c:v>290</c:v>
                </c:pt>
                <c:pt idx="2">
                  <c:v>356</c:v>
                </c:pt>
                <c:pt idx="3">
                  <c:v>-92</c:v>
                </c:pt>
                <c:pt idx="4">
                  <c:v>671</c:v>
                </c:pt>
                <c:pt idx="5">
                  <c:v>1578</c:v>
                </c:pt>
                <c:pt idx="6">
                  <c:v>1261</c:v>
                </c:pt>
                <c:pt idx="7">
                  <c:v>1243</c:v>
                </c:pt>
              </c:numCache>
            </c:numRef>
          </c:val>
          <c:smooth val="0"/>
          <c:extLst xmlns:c16r2="http://schemas.microsoft.com/office/drawing/2015/06/chart">
            <c:ext xmlns:c16="http://schemas.microsoft.com/office/drawing/2014/chart" uri="{C3380CC4-5D6E-409C-BE32-E72D297353CC}">
              <c16:uniqueId val="{00000005-364B-438D-B01F-0B3F5472E74D}"/>
            </c:ext>
          </c:extLst>
        </c:ser>
        <c:ser>
          <c:idx val="6"/>
          <c:order val="6"/>
          <c:tx>
            <c:strRef>
              <c:f>'Population Change Analysis'!$AA$8</c:f>
              <c:strCache>
                <c:ptCount val="1"/>
                <c:pt idx="0">
                  <c:v>International In</c:v>
                </c:pt>
              </c:strCache>
            </c:strRef>
          </c:tx>
          <c:spPr>
            <a:ln w="28575" cap="rnd">
              <a:solidFill>
                <a:schemeClr val="accent1">
                  <a:lumMod val="60000"/>
                </a:schemeClr>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Analysis'!$AB$8:$AI$8</c:f>
              <c:numCache>
                <c:formatCode>General</c:formatCode>
                <c:ptCount val="8"/>
                <c:pt idx="0">
                  <c:v>#N/A</c:v>
                </c:pt>
                <c:pt idx="1">
                  <c:v>#N/A</c:v>
                </c:pt>
                <c:pt idx="2">
                  <c:v>#N/A</c:v>
                </c:pt>
                <c:pt idx="3">
                  <c:v>#N/A</c:v>
                </c:pt>
                <c:pt idx="4">
                  <c:v>#N/A</c:v>
                </c:pt>
                <c:pt idx="5">
                  <c:v>#N/A</c:v>
                </c:pt>
                <c:pt idx="6">
                  <c:v>#N/A</c:v>
                </c:pt>
                <c:pt idx="7">
                  <c:v>#N/A</c:v>
                </c:pt>
              </c:numCache>
            </c:numRef>
          </c:val>
          <c:smooth val="0"/>
          <c:extLst xmlns:c16r2="http://schemas.microsoft.com/office/drawing/2015/06/chart">
            <c:ext xmlns:c16="http://schemas.microsoft.com/office/drawing/2014/chart" uri="{C3380CC4-5D6E-409C-BE32-E72D297353CC}">
              <c16:uniqueId val="{00000006-364B-438D-B01F-0B3F5472E74D}"/>
            </c:ext>
          </c:extLst>
        </c:ser>
        <c:ser>
          <c:idx val="7"/>
          <c:order val="7"/>
          <c:tx>
            <c:strRef>
              <c:f>'Population Change Analysis'!$AA$9</c:f>
              <c:strCache>
                <c:ptCount val="1"/>
                <c:pt idx="0">
                  <c:v>International Out</c:v>
                </c:pt>
              </c:strCache>
            </c:strRef>
          </c:tx>
          <c:spPr>
            <a:ln w="28575" cap="rnd">
              <a:solidFill>
                <a:schemeClr val="accent2">
                  <a:lumMod val="60000"/>
                </a:schemeClr>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Analysis'!$AB$9:$AI$9</c:f>
              <c:numCache>
                <c:formatCode>General</c:formatCode>
                <c:ptCount val="8"/>
                <c:pt idx="0">
                  <c:v>#N/A</c:v>
                </c:pt>
                <c:pt idx="1">
                  <c:v>#N/A</c:v>
                </c:pt>
                <c:pt idx="2">
                  <c:v>#N/A</c:v>
                </c:pt>
                <c:pt idx="3">
                  <c:v>#N/A</c:v>
                </c:pt>
                <c:pt idx="4">
                  <c:v>#N/A</c:v>
                </c:pt>
                <c:pt idx="5">
                  <c:v>#N/A</c:v>
                </c:pt>
                <c:pt idx="6">
                  <c:v>#N/A</c:v>
                </c:pt>
                <c:pt idx="7">
                  <c:v>#N/A</c:v>
                </c:pt>
              </c:numCache>
            </c:numRef>
          </c:val>
          <c:smooth val="0"/>
          <c:extLst xmlns:c16r2="http://schemas.microsoft.com/office/drawing/2015/06/chart">
            <c:ext xmlns:c16="http://schemas.microsoft.com/office/drawing/2014/chart" uri="{C3380CC4-5D6E-409C-BE32-E72D297353CC}">
              <c16:uniqueId val="{00000007-364B-438D-B01F-0B3F5472E74D}"/>
            </c:ext>
          </c:extLst>
        </c:ser>
        <c:ser>
          <c:idx val="8"/>
          <c:order val="8"/>
          <c:tx>
            <c:strRef>
              <c:f>'Population Change Analysis'!$AA$10</c:f>
              <c:strCache>
                <c:ptCount val="1"/>
                <c:pt idx="0">
                  <c:v>International Net</c:v>
                </c:pt>
              </c:strCache>
            </c:strRef>
          </c:tx>
          <c:spPr>
            <a:ln w="28575" cap="rnd">
              <a:solidFill>
                <a:schemeClr val="accent3">
                  <a:lumMod val="60000"/>
                </a:schemeClr>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Analysis'!$AB$10:$AI$10</c:f>
              <c:numCache>
                <c:formatCode>General</c:formatCode>
                <c:ptCount val="8"/>
                <c:pt idx="0">
                  <c:v>-40</c:v>
                </c:pt>
                <c:pt idx="1">
                  <c:v>94</c:v>
                </c:pt>
                <c:pt idx="2">
                  <c:v>94</c:v>
                </c:pt>
                <c:pt idx="3">
                  <c:v>87</c:v>
                </c:pt>
                <c:pt idx="4">
                  <c:v>160</c:v>
                </c:pt>
                <c:pt idx="5">
                  <c:v>60</c:v>
                </c:pt>
                <c:pt idx="6">
                  <c:v>290</c:v>
                </c:pt>
                <c:pt idx="7">
                  <c:v>210</c:v>
                </c:pt>
              </c:numCache>
            </c:numRef>
          </c:val>
          <c:smooth val="0"/>
          <c:extLst xmlns:c16r2="http://schemas.microsoft.com/office/drawing/2015/06/chart">
            <c:ext xmlns:c16="http://schemas.microsoft.com/office/drawing/2014/chart" uri="{C3380CC4-5D6E-409C-BE32-E72D297353CC}">
              <c16:uniqueId val="{00000008-364B-438D-B01F-0B3F5472E74D}"/>
            </c:ext>
          </c:extLst>
        </c:ser>
        <c:ser>
          <c:idx val="9"/>
          <c:order val="9"/>
          <c:tx>
            <c:strRef>
              <c:f>'Population Change Analysis'!$AA$11</c:f>
              <c:strCache>
                <c:ptCount val="1"/>
                <c:pt idx="0">
                  <c:v>Special Populations</c:v>
                </c:pt>
              </c:strCache>
            </c:strRef>
          </c:tx>
          <c:spPr>
            <a:ln w="28575" cap="rnd">
              <a:solidFill>
                <a:schemeClr val="accent4">
                  <a:lumMod val="60000"/>
                </a:schemeClr>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Analysis'!$AB$11:$AI$11</c:f>
              <c:numCache>
                <c:formatCode>General</c:formatCode>
                <c:ptCount val="8"/>
                <c:pt idx="0">
                  <c:v>#N/A</c:v>
                </c:pt>
                <c:pt idx="1">
                  <c:v>#N/A</c:v>
                </c:pt>
                <c:pt idx="2">
                  <c:v>#N/A</c:v>
                </c:pt>
                <c:pt idx="3">
                  <c:v>#N/A</c:v>
                </c:pt>
                <c:pt idx="4">
                  <c:v>#N/A</c:v>
                </c:pt>
                <c:pt idx="5">
                  <c:v>#N/A</c:v>
                </c:pt>
                <c:pt idx="6">
                  <c:v>#N/A</c:v>
                </c:pt>
                <c:pt idx="7">
                  <c:v>#N/A</c:v>
                </c:pt>
              </c:numCache>
            </c:numRef>
          </c:val>
          <c:smooth val="0"/>
          <c:extLst xmlns:c16r2="http://schemas.microsoft.com/office/drawing/2015/06/chart">
            <c:ext xmlns:c16="http://schemas.microsoft.com/office/drawing/2014/chart" uri="{C3380CC4-5D6E-409C-BE32-E72D297353CC}">
              <c16:uniqueId val="{00000009-364B-438D-B01F-0B3F5472E74D}"/>
            </c:ext>
          </c:extLst>
        </c:ser>
        <c:ser>
          <c:idx val="10"/>
          <c:order val="10"/>
          <c:tx>
            <c:strRef>
              <c:f>'Population Change Analysis'!$AA$12</c:f>
              <c:strCache>
                <c:ptCount val="1"/>
                <c:pt idx="0">
                  <c:v>Other</c:v>
                </c:pt>
              </c:strCache>
            </c:strRef>
          </c:tx>
          <c:spPr>
            <a:ln w="28575" cap="rnd">
              <a:solidFill>
                <a:schemeClr val="accent5">
                  <a:lumMod val="60000"/>
                </a:schemeClr>
              </a:solidFill>
              <a:round/>
            </a:ln>
            <a:effectLst/>
          </c:spPr>
          <c:marker>
            <c:symbol val="none"/>
          </c:marker>
          <c:cat>
            <c:strRef>
              <c:f>'Population Change Analysis'!$AB$1:$AI$1</c:f>
              <c:strCache>
                <c:ptCount val="8"/>
                <c:pt idx="0">
                  <c:v>mid-2012</c:v>
                </c:pt>
                <c:pt idx="1">
                  <c:v>mid-2013</c:v>
                </c:pt>
                <c:pt idx="2">
                  <c:v>mid-2014</c:v>
                </c:pt>
                <c:pt idx="3">
                  <c:v>mid-2015</c:v>
                </c:pt>
                <c:pt idx="4">
                  <c:v>mid-2016</c:v>
                </c:pt>
                <c:pt idx="5">
                  <c:v>mid-2017</c:v>
                </c:pt>
                <c:pt idx="6">
                  <c:v>mid-2018</c:v>
                </c:pt>
                <c:pt idx="7">
                  <c:v>mid-2019</c:v>
                </c:pt>
              </c:strCache>
            </c:strRef>
          </c:cat>
          <c:val>
            <c:numRef>
              <c:f>'Population Change Analysis'!$AB$12:$AI$12</c:f>
              <c:numCache>
                <c:formatCode>General</c:formatCode>
                <c:ptCount val="8"/>
                <c:pt idx="0">
                  <c:v>#N/A</c:v>
                </c:pt>
                <c:pt idx="1">
                  <c:v>#N/A</c:v>
                </c:pt>
                <c:pt idx="2">
                  <c:v>#N/A</c:v>
                </c:pt>
                <c:pt idx="3">
                  <c:v>#N/A</c:v>
                </c:pt>
                <c:pt idx="4">
                  <c:v>#N/A</c:v>
                </c:pt>
                <c:pt idx="5">
                  <c:v>#N/A</c:v>
                </c:pt>
                <c:pt idx="6">
                  <c:v>#N/A</c:v>
                </c:pt>
                <c:pt idx="7">
                  <c:v>#N/A</c:v>
                </c:pt>
              </c:numCache>
            </c:numRef>
          </c:val>
          <c:smooth val="0"/>
          <c:extLst xmlns:c16r2="http://schemas.microsoft.com/office/drawing/2015/06/chart">
            <c:ext xmlns:c16="http://schemas.microsoft.com/office/drawing/2014/chart" uri="{C3380CC4-5D6E-409C-BE32-E72D297353CC}">
              <c16:uniqueId val="{0000000A-364B-438D-B01F-0B3F5472E74D}"/>
            </c:ext>
          </c:extLst>
        </c:ser>
        <c:dLbls>
          <c:showLegendKey val="0"/>
          <c:showVal val="0"/>
          <c:showCatName val="0"/>
          <c:showSerName val="0"/>
          <c:showPercent val="0"/>
          <c:showBubbleSize val="0"/>
        </c:dLbls>
        <c:smooth val="0"/>
        <c:axId val="121196320"/>
        <c:axId val="121196712"/>
      </c:lineChart>
      <c:catAx>
        <c:axId val="121196320"/>
        <c:scaling>
          <c:orientation val="minMax"/>
        </c:scaling>
        <c:delete val="0"/>
        <c:axPos val="b"/>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196712"/>
        <c:crosses val="autoZero"/>
        <c:auto val="1"/>
        <c:lblAlgn val="ctr"/>
        <c:lblOffset val="100"/>
        <c:noMultiLvlLbl val="0"/>
      </c:catAx>
      <c:valAx>
        <c:axId val="121196712"/>
        <c:scaling>
          <c:orientation val="minMax"/>
        </c:scaling>
        <c:delete val="0"/>
        <c:axPos val="l"/>
        <c:majorGridlines>
          <c:spPr>
            <a:ln w="9525" cap="flat" cmpd="sng" algn="ctr">
              <a:solidFill>
                <a:schemeClr val="bg1">
                  <a:lumMod val="6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196320"/>
        <c:crosses val="autoZero"/>
        <c:crossBetween val="between"/>
      </c:valAx>
      <c:spPr>
        <a:noFill/>
        <a:ln>
          <a:noFill/>
        </a:ln>
        <a:effectLst/>
      </c:spPr>
    </c:plotArea>
    <c:legend>
      <c:legendPos val="b"/>
      <c:legendEntry>
        <c:idx val="0"/>
        <c:delete val="1"/>
      </c:legendEntry>
      <c:legendEntry>
        <c:idx val="1"/>
        <c:delete val="1"/>
      </c:legendEntry>
      <c:legendEntry>
        <c:idx val="3"/>
        <c:delete val="1"/>
      </c:legendEntry>
      <c:legendEntry>
        <c:idx val="4"/>
        <c:delete val="1"/>
      </c:legendEntry>
      <c:legendEntry>
        <c:idx val="6"/>
        <c:delete val="1"/>
      </c:legendEntry>
      <c:legendEntry>
        <c:idx val="7"/>
        <c:delete val="1"/>
      </c:legendEntry>
      <c:legendEntry>
        <c:idx val="9"/>
        <c:delete val="1"/>
      </c:legendEntry>
      <c:legendEntry>
        <c:idx val="10"/>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'[Population projections CVUHB.xlsx]Population projections Cardiff'!$C$3</c:f>
              <c:strCache>
                <c:ptCount val="1"/>
                <c:pt idx="0">
                  <c:v>&lt;16 years</c:v>
                </c:pt>
              </c:strCache>
            </c:strRef>
          </c:tx>
          <c:spPr>
            <a:ln w="28575" cap="rnd">
              <a:solidFill>
                <a:schemeClr val="accent1"/>
              </a:solidFill>
              <a:round/>
            </a:ln>
            <a:effectLst/>
          </c:spPr>
          <c:marker>
            <c:symbol val="none"/>
          </c:marker>
          <c:cat>
            <c:numRef>
              <c:f>'[Population projections CVUHB.xlsx]Population projections Cardiff'!$D$2:$N$2</c:f>
              <c:numCache>
                <c:formatCode>General</c:formatCode>
                <c:ptCount val="11"/>
                <c:pt idx="0">
                  <c:v>2018</c:v>
                </c:pt>
                <c:pt idx="1">
                  <c:v>2019</c:v>
                </c:pt>
                <c:pt idx="2">
                  <c:v>2020</c:v>
                </c:pt>
                <c:pt idx="3">
                  <c:v>2021</c:v>
                </c:pt>
                <c:pt idx="4">
                  <c:v>2022</c:v>
                </c:pt>
                <c:pt idx="5">
                  <c:v>2023</c:v>
                </c:pt>
                <c:pt idx="6">
                  <c:v>2024</c:v>
                </c:pt>
                <c:pt idx="7">
                  <c:v>2025</c:v>
                </c:pt>
                <c:pt idx="8">
                  <c:v>2026</c:v>
                </c:pt>
                <c:pt idx="9">
                  <c:v>2027</c:v>
                </c:pt>
                <c:pt idx="10">
                  <c:v>2028</c:v>
                </c:pt>
              </c:numCache>
            </c:numRef>
          </c:cat>
          <c:val>
            <c:numRef>
              <c:f>'[Population projections CVUHB.xlsx]Population projections Cardiff'!$D$3:$N$3</c:f>
              <c:numCache>
                <c:formatCode>General</c:formatCode>
                <c:ptCount val="11"/>
                <c:pt idx="0">
                  <c:v>67425</c:v>
                </c:pt>
                <c:pt idx="1">
                  <c:v>67662.529305999997</c:v>
                </c:pt>
                <c:pt idx="2">
                  <c:v>67944.999412999998</c:v>
                </c:pt>
                <c:pt idx="3">
                  <c:v>68118.515685000006</c:v>
                </c:pt>
                <c:pt idx="4">
                  <c:v>67883.196251999994</c:v>
                </c:pt>
                <c:pt idx="5">
                  <c:v>67514.224518000003</c:v>
                </c:pt>
                <c:pt idx="6">
                  <c:v>67065.317322000003</c:v>
                </c:pt>
                <c:pt idx="7">
                  <c:v>66621.685511000003</c:v>
                </c:pt>
                <c:pt idx="8">
                  <c:v>66159.288222999996</c:v>
                </c:pt>
                <c:pt idx="9">
                  <c:v>65478.622470000002</c:v>
                </c:pt>
                <c:pt idx="10">
                  <c:v>64815.523910999997</c:v>
                </c:pt>
              </c:numCache>
            </c:numRef>
          </c:val>
          <c:smooth val="0"/>
          <c:extLst xmlns:c16r2="http://schemas.microsoft.com/office/drawing/2015/06/chart">
            <c:ext xmlns:c16="http://schemas.microsoft.com/office/drawing/2014/chart" uri="{C3380CC4-5D6E-409C-BE32-E72D297353CC}">
              <c16:uniqueId val="{00000000-A3DF-4BD9-B24F-16D46BDADD89}"/>
            </c:ext>
          </c:extLst>
        </c:ser>
        <c:ser>
          <c:idx val="1"/>
          <c:order val="1"/>
          <c:tx>
            <c:strRef>
              <c:f>'[Population projections CVUHB.xlsx]Population projections Cardiff'!$C$4</c:f>
              <c:strCache>
                <c:ptCount val="1"/>
                <c:pt idx="0">
                  <c:v>16-64 years</c:v>
                </c:pt>
              </c:strCache>
            </c:strRef>
          </c:tx>
          <c:spPr>
            <a:ln w="28575" cap="rnd">
              <a:solidFill>
                <a:schemeClr val="accent2"/>
              </a:solidFill>
              <a:round/>
            </a:ln>
            <a:effectLst/>
          </c:spPr>
          <c:marker>
            <c:symbol val="none"/>
          </c:marker>
          <c:cat>
            <c:numRef>
              <c:f>'[Population projections CVUHB.xlsx]Population projections Cardiff'!$D$2:$N$2</c:f>
              <c:numCache>
                <c:formatCode>General</c:formatCode>
                <c:ptCount val="11"/>
                <c:pt idx="0">
                  <c:v>2018</c:v>
                </c:pt>
                <c:pt idx="1">
                  <c:v>2019</c:v>
                </c:pt>
                <c:pt idx="2">
                  <c:v>2020</c:v>
                </c:pt>
                <c:pt idx="3">
                  <c:v>2021</c:v>
                </c:pt>
                <c:pt idx="4">
                  <c:v>2022</c:v>
                </c:pt>
                <c:pt idx="5">
                  <c:v>2023</c:v>
                </c:pt>
                <c:pt idx="6">
                  <c:v>2024</c:v>
                </c:pt>
                <c:pt idx="7">
                  <c:v>2025</c:v>
                </c:pt>
                <c:pt idx="8">
                  <c:v>2026</c:v>
                </c:pt>
                <c:pt idx="9">
                  <c:v>2027</c:v>
                </c:pt>
                <c:pt idx="10">
                  <c:v>2028</c:v>
                </c:pt>
              </c:numCache>
            </c:numRef>
          </c:cat>
          <c:val>
            <c:numRef>
              <c:f>'[Population projections CVUHB.xlsx]Population projections Cardiff'!$D$4:$N$4</c:f>
              <c:numCache>
                <c:formatCode>General</c:formatCode>
                <c:ptCount val="11"/>
                <c:pt idx="0">
                  <c:v>245484</c:v>
                </c:pt>
                <c:pt idx="1">
                  <c:v>245690.188219</c:v>
                </c:pt>
                <c:pt idx="2">
                  <c:v>245876.09477699999</c:v>
                </c:pt>
                <c:pt idx="3">
                  <c:v>246057.372244</c:v>
                </c:pt>
                <c:pt idx="4">
                  <c:v>246391.75391599999</c:v>
                </c:pt>
                <c:pt idx="5">
                  <c:v>247017.47403000001</c:v>
                </c:pt>
                <c:pt idx="6">
                  <c:v>247721.51178100001</c:v>
                </c:pt>
                <c:pt idx="7">
                  <c:v>248624.63583099999</c:v>
                </c:pt>
                <c:pt idx="8">
                  <c:v>249438.420018</c:v>
                </c:pt>
                <c:pt idx="9">
                  <c:v>250499.284373</c:v>
                </c:pt>
                <c:pt idx="10">
                  <c:v>251513.05882100001</c:v>
                </c:pt>
              </c:numCache>
            </c:numRef>
          </c:val>
          <c:smooth val="0"/>
          <c:extLst xmlns:c16r2="http://schemas.microsoft.com/office/drawing/2015/06/chart">
            <c:ext xmlns:c16="http://schemas.microsoft.com/office/drawing/2014/chart" uri="{C3380CC4-5D6E-409C-BE32-E72D297353CC}">
              <c16:uniqueId val="{00000001-A3DF-4BD9-B24F-16D46BDADD89}"/>
            </c:ext>
          </c:extLst>
        </c:ser>
        <c:ser>
          <c:idx val="2"/>
          <c:order val="2"/>
          <c:tx>
            <c:strRef>
              <c:f>'[Population projections CVUHB.xlsx]Population projections Cardiff'!$C$5</c:f>
              <c:strCache>
                <c:ptCount val="1"/>
                <c:pt idx="0">
                  <c:v>65-84 years</c:v>
                </c:pt>
              </c:strCache>
            </c:strRef>
          </c:tx>
          <c:spPr>
            <a:ln w="28575" cap="rnd">
              <a:solidFill>
                <a:schemeClr val="accent3"/>
              </a:solidFill>
              <a:round/>
            </a:ln>
            <a:effectLst/>
          </c:spPr>
          <c:marker>
            <c:symbol val="none"/>
          </c:marker>
          <c:cat>
            <c:numRef>
              <c:f>'[Population projections CVUHB.xlsx]Population projections Cardiff'!$D$2:$N$2</c:f>
              <c:numCache>
                <c:formatCode>General</c:formatCode>
                <c:ptCount val="11"/>
                <c:pt idx="0">
                  <c:v>2018</c:v>
                </c:pt>
                <c:pt idx="1">
                  <c:v>2019</c:v>
                </c:pt>
                <c:pt idx="2">
                  <c:v>2020</c:v>
                </c:pt>
                <c:pt idx="3">
                  <c:v>2021</c:v>
                </c:pt>
                <c:pt idx="4">
                  <c:v>2022</c:v>
                </c:pt>
                <c:pt idx="5">
                  <c:v>2023</c:v>
                </c:pt>
                <c:pt idx="6">
                  <c:v>2024</c:v>
                </c:pt>
                <c:pt idx="7">
                  <c:v>2025</c:v>
                </c:pt>
                <c:pt idx="8">
                  <c:v>2026</c:v>
                </c:pt>
                <c:pt idx="9">
                  <c:v>2027</c:v>
                </c:pt>
                <c:pt idx="10">
                  <c:v>2028</c:v>
                </c:pt>
              </c:numCache>
            </c:numRef>
          </c:cat>
          <c:val>
            <c:numRef>
              <c:f>'[Population projections CVUHB.xlsx]Population projections Cardiff'!$D$5:$N$5</c:f>
              <c:numCache>
                <c:formatCode>General</c:formatCode>
                <c:ptCount val="11"/>
                <c:pt idx="0">
                  <c:v>42021</c:v>
                </c:pt>
                <c:pt idx="1">
                  <c:v>42640.660653999992</c:v>
                </c:pt>
                <c:pt idx="2">
                  <c:v>43209.476204999999</c:v>
                </c:pt>
                <c:pt idx="3">
                  <c:v>43712.001549000001</c:v>
                </c:pt>
                <c:pt idx="4">
                  <c:v>44508.125081999999</c:v>
                </c:pt>
                <c:pt idx="5">
                  <c:v>45224.625467999998</c:v>
                </c:pt>
                <c:pt idx="6">
                  <c:v>46092.910401000001</c:v>
                </c:pt>
                <c:pt idx="7">
                  <c:v>46938.512577000001</c:v>
                </c:pt>
                <c:pt idx="8">
                  <c:v>48005.753104000003</c:v>
                </c:pt>
                <c:pt idx="9">
                  <c:v>49042.504191</c:v>
                </c:pt>
                <c:pt idx="10">
                  <c:v>49911.597174000002</c:v>
                </c:pt>
              </c:numCache>
            </c:numRef>
          </c:val>
          <c:smooth val="0"/>
          <c:extLst xmlns:c16r2="http://schemas.microsoft.com/office/drawing/2015/06/chart">
            <c:ext xmlns:c16="http://schemas.microsoft.com/office/drawing/2014/chart" uri="{C3380CC4-5D6E-409C-BE32-E72D297353CC}">
              <c16:uniqueId val="{00000002-A3DF-4BD9-B24F-16D46BDADD89}"/>
            </c:ext>
          </c:extLst>
        </c:ser>
        <c:ser>
          <c:idx val="3"/>
          <c:order val="3"/>
          <c:tx>
            <c:strRef>
              <c:f>'[Population projections CVUHB.xlsx]Population projections Cardiff'!$C$6</c:f>
              <c:strCache>
                <c:ptCount val="1"/>
                <c:pt idx="0">
                  <c:v>85+ years</c:v>
                </c:pt>
              </c:strCache>
            </c:strRef>
          </c:tx>
          <c:spPr>
            <a:ln w="28575" cap="rnd">
              <a:solidFill>
                <a:schemeClr val="accent4"/>
              </a:solidFill>
              <a:round/>
            </a:ln>
            <a:effectLst/>
          </c:spPr>
          <c:marker>
            <c:symbol val="none"/>
          </c:marker>
          <c:cat>
            <c:numRef>
              <c:f>'[Population projections CVUHB.xlsx]Population projections Cardiff'!$D$2:$N$2</c:f>
              <c:numCache>
                <c:formatCode>General</c:formatCode>
                <c:ptCount val="11"/>
                <c:pt idx="0">
                  <c:v>2018</c:v>
                </c:pt>
                <c:pt idx="1">
                  <c:v>2019</c:v>
                </c:pt>
                <c:pt idx="2">
                  <c:v>2020</c:v>
                </c:pt>
                <c:pt idx="3">
                  <c:v>2021</c:v>
                </c:pt>
                <c:pt idx="4">
                  <c:v>2022</c:v>
                </c:pt>
                <c:pt idx="5">
                  <c:v>2023</c:v>
                </c:pt>
                <c:pt idx="6">
                  <c:v>2024</c:v>
                </c:pt>
                <c:pt idx="7">
                  <c:v>2025</c:v>
                </c:pt>
                <c:pt idx="8">
                  <c:v>2026</c:v>
                </c:pt>
                <c:pt idx="9">
                  <c:v>2027</c:v>
                </c:pt>
                <c:pt idx="10">
                  <c:v>2028</c:v>
                </c:pt>
              </c:numCache>
            </c:numRef>
          </c:cat>
          <c:val>
            <c:numRef>
              <c:f>'[Population projections CVUHB.xlsx]Population projections Cardiff'!$D$6:$N$6</c:f>
              <c:numCache>
                <c:formatCode>General</c:formatCode>
                <c:ptCount val="11"/>
                <c:pt idx="0">
                  <c:v>9318</c:v>
                </c:pt>
                <c:pt idx="1">
                  <c:v>9323.2425980000007</c:v>
                </c:pt>
                <c:pt idx="2">
                  <c:v>9279.9853839999996</c:v>
                </c:pt>
                <c:pt idx="3">
                  <c:v>9301.6765810000015</c:v>
                </c:pt>
                <c:pt idx="4">
                  <c:v>9306.8253829999994</c:v>
                </c:pt>
                <c:pt idx="5">
                  <c:v>9365.5758920000007</c:v>
                </c:pt>
                <c:pt idx="6">
                  <c:v>9403.5345930000003</c:v>
                </c:pt>
                <c:pt idx="7">
                  <c:v>9385.8203959999992</c:v>
                </c:pt>
                <c:pt idx="8">
                  <c:v>9340.2778460000009</c:v>
                </c:pt>
                <c:pt idx="9">
                  <c:v>9358.8292149999997</c:v>
                </c:pt>
                <c:pt idx="10">
                  <c:v>9492.496948</c:v>
                </c:pt>
              </c:numCache>
            </c:numRef>
          </c:val>
          <c:smooth val="0"/>
          <c:extLst xmlns:c16r2="http://schemas.microsoft.com/office/drawing/2015/06/chart">
            <c:ext xmlns:c16="http://schemas.microsoft.com/office/drawing/2014/chart" uri="{C3380CC4-5D6E-409C-BE32-E72D297353CC}">
              <c16:uniqueId val="{00000003-A3DF-4BD9-B24F-16D46BDADD89}"/>
            </c:ext>
          </c:extLst>
        </c:ser>
        <c:dLbls>
          <c:showLegendKey val="0"/>
          <c:showVal val="0"/>
          <c:showCatName val="0"/>
          <c:showSerName val="0"/>
          <c:showPercent val="0"/>
          <c:showBubbleSize val="0"/>
        </c:dLbls>
        <c:smooth val="0"/>
        <c:axId val="121197888"/>
        <c:axId val="142342656"/>
      </c:lineChart>
      <c:catAx>
        <c:axId val="121197888"/>
        <c:scaling>
          <c:orientation val="minMax"/>
        </c:scaling>
        <c:delete val="0"/>
        <c:axPos val="b"/>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342656"/>
        <c:crosses val="autoZero"/>
        <c:auto val="1"/>
        <c:lblAlgn val="ctr"/>
        <c:lblOffset val="100"/>
        <c:noMultiLvlLbl val="0"/>
      </c:catAx>
      <c:valAx>
        <c:axId val="142342656"/>
        <c:scaling>
          <c:orientation val="minMax"/>
        </c:scaling>
        <c:delete val="0"/>
        <c:axPos val="l"/>
        <c:majorGridlines>
          <c:spPr>
            <a:ln w="9525" cap="flat" cmpd="sng" algn="ctr">
              <a:solidFill>
                <a:schemeClr val="bg1">
                  <a:lumMod val="6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19788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'[Population projections CVUHB.xlsx]Population projections VG'!$B$3</c:f>
              <c:strCache>
                <c:ptCount val="1"/>
                <c:pt idx="0">
                  <c:v>&lt;16 years</c:v>
                </c:pt>
              </c:strCache>
            </c:strRef>
          </c:tx>
          <c:spPr>
            <a:ln w="28575" cap="rnd">
              <a:solidFill>
                <a:schemeClr val="accent1"/>
              </a:solidFill>
              <a:round/>
            </a:ln>
            <a:effectLst/>
          </c:spPr>
          <c:marker>
            <c:symbol val="none"/>
          </c:marker>
          <c:cat>
            <c:numRef>
              <c:f>'[Population projections CVUHB.xlsx]Population projections VG'!$C$2:$M$2</c:f>
              <c:numCache>
                <c:formatCode>General</c:formatCode>
                <c:ptCount val="11"/>
                <c:pt idx="0">
                  <c:v>2018</c:v>
                </c:pt>
                <c:pt idx="1">
                  <c:v>2019</c:v>
                </c:pt>
                <c:pt idx="2">
                  <c:v>2020</c:v>
                </c:pt>
                <c:pt idx="3">
                  <c:v>2021</c:v>
                </c:pt>
                <c:pt idx="4">
                  <c:v>2022</c:v>
                </c:pt>
                <c:pt idx="5">
                  <c:v>2023</c:v>
                </c:pt>
                <c:pt idx="6">
                  <c:v>2024</c:v>
                </c:pt>
                <c:pt idx="7">
                  <c:v>2025</c:v>
                </c:pt>
                <c:pt idx="8">
                  <c:v>2026</c:v>
                </c:pt>
                <c:pt idx="9">
                  <c:v>2027</c:v>
                </c:pt>
                <c:pt idx="10">
                  <c:v>2028</c:v>
                </c:pt>
              </c:numCache>
            </c:numRef>
          </c:cat>
          <c:val>
            <c:numRef>
              <c:f>'[Population projections CVUHB.xlsx]Population projections VG'!$C$3:$M$3</c:f>
              <c:numCache>
                <c:formatCode>General</c:formatCode>
                <c:ptCount val="11"/>
                <c:pt idx="0">
                  <c:v>24451</c:v>
                </c:pt>
                <c:pt idx="1">
                  <c:v>24728.866231</c:v>
                </c:pt>
                <c:pt idx="2">
                  <c:v>25000.106142000001</c:v>
                </c:pt>
                <c:pt idx="3">
                  <c:v>25157.540639999999</c:v>
                </c:pt>
                <c:pt idx="4">
                  <c:v>25321.652877</c:v>
                </c:pt>
                <c:pt idx="5">
                  <c:v>25362.659026000001</c:v>
                </c:pt>
                <c:pt idx="6">
                  <c:v>25316.323718</c:v>
                </c:pt>
                <c:pt idx="7">
                  <c:v>25319.866099999999</c:v>
                </c:pt>
                <c:pt idx="8">
                  <c:v>25265.366277000001</c:v>
                </c:pt>
                <c:pt idx="9">
                  <c:v>25239.723773999998</c:v>
                </c:pt>
                <c:pt idx="10">
                  <c:v>25136.743066999999</c:v>
                </c:pt>
              </c:numCache>
            </c:numRef>
          </c:val>
          <c:smooth val="0"/>
          <c:extLst xmlns:c16r2="http://schemas.microsoft.com/office/drawing/2015/06/chart">
            <c:ext xmlns:c16="http://schemas.microsoft.com/office/drawing/2014/chart" uri="{C3380CC4-5D6E-409C-BE32-E72D297353CC}">
              <c16:uniqueId val="{00000000-FE70-49EC-A85B-664F4027156F}"/>
            </c:ext>
          </c:extLst>
        </c:ser>
        <c:ser>
          <c:idx val="1"/>
          <c:order val="1"/>
          <c:tx>
            <c:strRef>
              <c:f>'[Population projections CVUHB.xlsx]Population projections VG'!$B$4</c:f>
              <c:strCache>
                <c:ptCount val="1"/>
                <c:pt idx="0">
                  <c:v>16-64 years</c:v>
                </c:pt>
              </c:strCache>
            </c:strRef>
          </c:tx>
          <c:spPr>
            <a:ln w="28575" cap="rnd">
              <a:solidFill>
                <a:schemeClr val="accent2"/>
              </a:solidFill>
              <a:round/>
            </a:ln>
            <a:effectLst/>
          </c:spPr>
          <c:marker>
            <c:symbol val="none"/>
          </c:marker>
          <c:cat>
            <c:numRef>
              <c:f>'[Population projections CVUHB.xlsx]Population projections VG'!$C$2:$M$2</c:f>
              <c:numCache>
                <c:formatCode>General</c:formatCode>
                <c:ptCount val="11"/>
                <c:pt idx="0">
                  <c:v>2018</c:v>
                </c:pt>
                <c:pt idx="1">
                  <c:v>2019</c:v>
                </c:pt>
                <c:pt idx="2">
                  <c:v>2020</c:v>
                </c:pt>
                <c:pt idx="3">
                  <c:v>2021</c:v>
                </c:pt>
                <c:pt idx="4">
                  <c:v>2022</c:v>
                </c:pt>
                <c:pt idx="5">
                  <c:v>2023</c:v>
                </c:pt>
                <c:pt idx="6">
                  <c:v>2024</c:v>
                </c:pt>
                <c:pt idx="7">
                  <c:v>2025</c:v>
                </c:pt>
                <c:pt idx="8">
                  <c:v>2026</c:v>
                </c:pt>
                <c:pt idx="9">
                  <c:v>2027</c:v>
                </c:pt>
                <c:pt idx="10">
                  <c:v>2028</c:v>
                </c:pt>
              </c:numCache>
            </c:numRef>
          </c:cat>
          <c:val>
            <c:numRef>
              <c:f>'[Population projections CVUHB.xlsx]Population projections VG'!$C$4:$M$4</c:f>
              <c:numCache>
                <c:formatCode>General</c:formatCode>
                <c:ptCount val="11"/>
                <c:pt idx="0">
                  <c:v>80023</c:v>
                </c:pt>
                <c:pt idx="1">
                  <c:v>80049.680240999995</c:v>
                </c:pt>
                <c:pt idx="2">
                  <c:v>80155.484154999998</c:v>
                </c:pt>
                <c:pt idx="3">
                  <c:v>80384.664640000003</c:v>
                </c:pt>
                <c:pt idx="4">
                  <c:v>80566.599163000006</c:v>
                </c:pt>
                <c:pt idx="5">
                  <c:v>80831.655432</c:v>
                </c:pt>
                <c:pt idx="6">
                  <c:v>81092.143676000007</c:v>
                </c:pt>
                <c:pt idx="7">
                  <c:v>81219.831267999994</c:v>
                </c:pt>
                <c:pt idx="8">
                  <c:v>81367.198575000002</c:v>
                </c:pt>
                <c:pt idx="9">
                  <c:v>81386.705965999994</c:v>
                </c:pt>
                <c:pt idx="10">
                  <c:v>81525.883075999998</c:v>
                </c:pt>
              </c:numCache>
            </c:numRef>
          </c:val>
          <c:smooth val="0"/>
          <c:extLst xmlns:c16r2="http://schemas.microsoft.com/office/drawing/2015/06/chart">
            <c:ext xmlns:c16="http://schemas.microsoft.com/office/drawing/2014/chart" uri="{C3380CC4-5D6E-409C-BE32-E72D297353CC}">
              <c16:uniqueId val="{00000001-FE70-49EC-A85B-664F4027156F}"/>
            </c:ext>
          </c:extLst>
        </c:ser>
        <c:ser>
          <c:idx val="2"/>
          <c:order val="2"/>
          <c:tx>
            <c:strRef>
              <c:f>'[Population projections CVUHB.xlsx]Population projections VG'!$B$5</c:f>
              <c:strCache>
                <c:ptCount val="1"/>
                <c:pt idx="0">
                  <c:v>65-84 years</c:v>
                </c:pt>
              </c:strCache>
            </c:strRef>
          </c:tx>
          <c:spPr>
            <a:ln w="28575" cap="rnd">
              <a:solidFill>
                <a:schemeClr val="accent3"/>
              </a:solidFill>
              <a:round/>
            </a:ln>
            <a:effectLst/>
          </c:spPr>
          <c:marker>
            <c:symbol val="none"/>
          </c:marker>
          <c:cat>
            <c:numRef>
              <c:f>'[Population projections CVUHB.xlsx]Population projections VG'!$C$2:$M$2</c:f>
              <c:numCache>
                <c:formatCode>General</c:formatCode>
                <c:ptCount val="11"/>
                <c:pt idx="0">
                  <c:v>2018</c:v>
                </c:pt>
                <c:pt idx="1">
                  <c:v>2019</c:v>
                </c:pt>
                <c:pt idx="2">
                  <c:v>2020</c:v>
                </c:pt>
                <c:pt idx="3">
                  <c:v>2021</c:v>
                </c:pt>
                <c:pt idx="4">
                  <c:v>2022</c:v>
                </c:pt>
                <c:pt idx="5">
                  <c:v>2023</c:v>
                </c:pt>
                <c:pt idx="6">
                  <c:v>2024</c:v>
                </c:pt>
                <c:pt idx="7">
                  <c:v>2025</c:v>
                </c:pt>
                <c:pt idx="8">
                  <c:v>2026</c:v>
                </c:pt>
                <c:pt idx="9">
                  <c:v>2027</c:v>
                </c:pt>
                <c:pt idx="10">
                  <c:v>2028</c:v>
                </c:pt>
              </c:numCache>
            </c:numRef>
          </c:cat>
          <c:val>
            <c:numRef>
              <c:f>'[Population projections CVUHB.xlsx]Population projections VG'!$C$5:$M$5</c:f>
              <c:numCache>
                <c:formatCode>General</c:formatCode>
                <c:ptCount val="11"/>
                <c:pt idx="0">
                  <c:v>22249</c:v>
                </c:pt>
                <c:pt idx="1">
                  <c:v>22720.418594999999</c:v>
                </c:pt>
                <c:pt idx="2">
                  <c:v>23226.723378999999</c:v>
                </c:pt>
                <c:pt idx="3">
                  <c:v>23699.293106000001</c:v>
                </c:pt>
                <c:pt idx="4">
                  <c:v>24171.645893000001</c:v>
                </c:pt>
                <c:pt idx="5">
                  <c:v>24596.381773000001</c:v>
                </c:pt>
                <c:pt idx="6">
                  <c:v>25064.580322999998</c:v>
                </c:pt>
                <c:pt idx="7">
                  <c:v>25624.00546</c:v>
                </c:pt>
                <c:pt idx="8">
                  <c:v>26194.820729999999</c:v>
                </c:pt>
                <c:pt idx="9">
                  <c:v>26748.731342999999</c:v>
                </c:pt>
                <c:pt idx="10">
                  <c:v>27208.148932999997</c:v>
                </c:pt>
              </c:numCache>
            </c:numRef>
          </c:val>
          <c:smooth val="0"/>
          <c:extLst xmlns:c16r2="http://schemas.microsoft.com/office/drawing/2015/06/chart">
            <c:ext xmlns:c16="http://schemas.microsoft.com/office/drawing/2014/chart" uri="{C3380CC4-5D6E-409C-BE32-E72D297353CC}">
              <c16:uniqueId val="{00000002-FE70-49EC-A85B-664F4027156F}"/>
            </c:ext>
          </c:extLst>
        </c:ser>
        <c:ser>
          <c:idx val="3"/>
          <c:order val="3"/>
          <c:tx>
            <c:strRef>
              <c:f>'[Population projections CVUHB.xlsx]Population projections VG'!$B$6</c:f>
              <c:strCache>
                <c:ptCount val="1"/>
                <c:pt idx="0">
                  <c:v>85+ years</c:v>
                </c:pt>
              </c:strCache>
            </c:strRef>
          </c:tx>
          <c:spPr>
            <a:ln w="28575" cap="rnd">
              <a:solidFill>
                <a:schemeClr val="accent4"/>
              </a:solidFill>
              <a:round/>
            </a:ln>
            <a:effectLst/>
          </c:spPr>
          <c:marker>
            <c:symbol val="none"/>
          </c:marker>
          <c:cat>
            <c:numRef>
              <c:f>'[Population projections CVUHB.xlsx]Population projections VG'!$C$2:$M$2</c:f>
              <c:numCache>
                <c:formatCode>General</c:formatCode>
                <c:ptCount val="11"/>
                <c:pt idx="0">
                  <c:v>2018</c:v>
                </c:pt>
                <c:pt idx="1">
                  <c:v>2019</c:v>
                </c:pt>
                <c:pt idx="2">
                  <c:v>2020</c:v>
                </c:pt>
                <c:pt idx="3">
                  <c:v>2021</c:v>
                </c:pt>
                <c:pt idx="4">
                  <c:v>2022</c:v>
                </c:pt>
                <c:pt idx="5">
                  <c:v>2023</c:v>
                </c:pt>
                <c:pt idx="6">
                  <c:v>2024</c:v>
                </c:pt>
                <c:pt idx="7">
                  <c:v>2025</c:v>
                </c:pt>
                <c:pt idx="8">
                  <c:v>2026</c:v>
                </c:pt>
                <c:pt idx="9">
                  <c:v>2027</c:v>
                </c:pt>
                <c:pt idx="10">
                  <c:v>2028</c:v>
                </c:pt>
              </c:numCache>
            </c:numRef>
          </c:cat>
          <c:val>
            <c:numRef>
              <c:f>'[Population projections CVUHB.xlsx]Population projections VG'!$C$6:$M$6</c:f>
              <c:numCache>
                <c:formatCode>General</c:formatCode>
                <c:ptCount val="11"/>
                <c:pt idx="0">
                  <c:v>5442</c:v>
                </c:pt>
                <c:pt idx="1">
                  <c:v>5487.8255449999997</c:v>
                </c:pt>
                <c:pt idx="2">
                  <c:v>5481.6061870000003</c:v>
                </c:pt>
                <c:pt idx="3">
                  <c:v>5507.3806189999996</c:v>
                </c:pt>
                <c:pt idx="4">
                  <c:v>5556.9554909999997</c:v>
                </c:pt>
                <c:pt idx="5">
                  <c:v>5657.4511409999996</c:v>
                </c:pt>
                <c:pt idx="6">
                  <c:v>5760.4331930000008</c:v>
                </c:pt>
                <c:pt idx="7">
                  <c:v>5835.5360990000008</c:v>
                </c:pt>
                <c:pt idx="8">
                  <c:v>5885.8658379999997</c:v>
                </c:pt>
                <c:pt idx="9">
                  <c:v>6009.0041929999988</c:v>
                </c:pt>
                <c:pt idx="10">
                  <c:v>6173.3284919999996</c:v>
                </c:pt>
              </c:numCache>
            </c:numRef>
          </c:val>
          <c:smooth val="0"/>
          <c:extLst xmlns:c16r2="http://schemas.microsoft.com/office/drawing/2015/06/chart">
            <c:ext xmlns:c16="http://schemas.microsoft.com/office/drawing/2014/chart" uri="{C3380CC4-5D6E-409C-BE32-E72D297353CC}">
              <c16:uniqueId val="{00000003-FE70-49EC-A85B-664F4027156F}"/>
            </c:ext>
          </c:extLst>
        </c:ser>
        <c:dLbls>
          <c:showLegendKey val="0"/>
          <c:showVal val="0"/>
          <c:showCatName val="0"/>
          <c:showSerName val="0"/>
          <c:showPercent val="0"/>
          <c:showBubbleSize val="0"/>
        </c:dLbls>
        <c:smooth val="0"/>
        <c:axId val="142343832"/>
        <c:axId val="142344224"/>
      </c:lineChart>
      <c:catAx>
        <c:axId val="142343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344224"/>
        <c:crosses val="autoZero"/>
        <c:auto val="1"/>
        <c:lblAlgn val="ctr"/>
        <c:lblOffset val="100"/>
        <c:noMultiLvlLbl val="0"/>
      </c:catAx>
      <c:valAx>
        <c:axId val="142344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34383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stacked"/>
        <c:varyColors val="0"/>
        <c:ser>
          <c:idx val="0"/>
          <c:order val="0"/>
          <c:tx>
            <c:strRef>
              <c:f>'Religion CV'!$C$11</c:f>
              <c:strCache>
                <c:ptCount val="1"/>
                <c:pt idx="0">
                  <c:v>No Religion </c:v>
                </c:pt>
              </c:strCache>
            </c:strRef>
          </c:tx>
          <c:spPr>
            <a:solidFill>
              <a:schemeClr val="accent1">
                <a:tint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'Religion CV'!$B$12:$B$15</c:f>
              <c:strCache>
                <c:ptCount val="4"/>
                <c:pt idx="0">
                  <c:v>Cardiff </c:v>
                </c:pt>
                <c:pt idx="1">
                  <c:v>The Vale of Glamorgan </c:v>
                </c:pt>
                <c:pt idx="2">
                  <c:v>Cardiff and Vale UHB</c:v>
                </c:pt>
                <c:pt idx="3">
                  <c:v>Wales </c:v>
                </c:pt>
              </c:strCache>
            </c:strRef>
          </c:cat>
          <c:val>
            <c:numRef>
              <c:f>'Religion CV'!$C$12:$C$15</c:f>
              <c:numCache>
                <c:formatCode>0.0</c:formatCode>
                <c:ptCount val="4"/>
                <c:pt idx="0">
                  <c:v>31.772082406310499</c:v>
                </c:pt>
                <c:pt idx="1">
                  <c:v>32.893237082066868</c:v>
                </c:pt>
                <c:pt idx="2">
                  <c:v>32.07190120780821</c:v>
                </c:pt>
                <c:pt idx="3">
                  <c:v>32.087844578149642</c:v>
                </c:pt>
              </c:numCache>
            </c:numRef>
          </c:val>
          <c:extLst xmlns:c16r2="http://schemas.microsoft.com/office/drawing/2015/06/chart">
            <c:ext xmlns:c16="http://schemas.microsoft.com/office/drawing/2014/chart" uri="{C3380CC4-5D6E-409C-BE32-E72D297353CC}">
              <c16:uniqueId val="{00000000-25DF-4200-94D8-3BB4FF0D5501}"/>
            </c:ext>
          </c:extLst>
        </c:ser>
        <c:ser>
          <c:idx val="1"/>
          <c:order val="1"/>
          <c:tx>
            <c:strRef>
              <c:f>'Religion CV'!$D$11</c:f>
              <c:strCache>
                <c:ptCount val="1"/>
                <c:pt idx="0">
                  <c:v>Christian </c:v>
                </c:pt>
              </c:strCache>
            </c:strRef>
          </c:tx>
          <c:spPr>
            <a:solidFill>
              <a:schemeClr val="accent1">
                <a:tint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'Religion CV'!$B$12:$B$15</c:f>
              <c:strCache>
                <c:ptCount val="4"/>
                <c:pt idx="0">
                  <c:v>Cardiff </c:v>
                </c:pt>
                <c:pt idx="1">
                  <c:v>The Vale of Glamorgan </c:v>
                </c:pt>
                <c:pt idx="2">
                  <c:v>Cardiff and Vale UHB</c:v>
                </c:pt>
                <c:pt idx="3">
                  <c:v>Wales </c:v>
                </c:pt>
              </c:strCache>
            </c:strRef>
          </c:cat>
          <c:val>
            <c:numRef>
              <c:f>'Religion CV'!$D$12:$D$15</c:f>
              <c:numCache>
                <c:formatCode>0.0</c:formatCode>
                <c:ptCount val="4"/>
                <c:pt idx="0">
                  <c:v>51.357450374180125</c:v>
                </c:pt>
                <c:pt idx="1">
                  <c:v>58.086372847011148</c:v>
                </c:pt>
                <c:pt idx="2">
                  <c:v>53.156896529826895</c:v>
                </c:pt>
                <c:pt idx="3">
                  <c:v>57.55914235425611</c:v>
                </c:pt>
              </c:numCache>
            </c:numRef>
          </c:val>
          <c:extLst xmlns:c16r2="http://schemas.microsoft.com/office/drawing/2015/06/chart">
            <c:ext xmlns:c16="http://schemas.microsoft.com/office/drawing/2014/chart" uri="{C3380CC4-5D6E-409C-BE32-E72D297353CC}">
              <c16:uniqueId val="{00000001-25DF-4200-94D8-3BB4FF0D5501}"/>
            </c:ext>
          </c:extLst>
        </c:ser>
        <c:ser>
          <c:idx val="2"/>
          <c:order val="2"/>
          <c:tx>
            <c:strRef>
              <c:f>'Religion CV'!$E$11</c:f>
              <c:strCache>
                <c:ptCount val="1"/>
                <c:pt idx="0">
                  <c:v>Muslim </c:v>
                </c:pt>
              </c:strCache>
            </c:strRef>
          </c:tx>
          <c:spPr>
            <a:solidFill>
              <a:schemeClr val="accent1">
                <a:tint val="9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'Religion CV'!$B$12:$B$15</c:f>
              <c:strCache>
                <c:ptCount val="4"/>
                <c:pt idx="0">
                  <c:v>Cardiff </c:v>
                </c:pt>
                <c:pt idx="1">
                  <c:v>The Vale of Glamorgan </c:v>
                </c:pt>
                <c:pt idx="2">
                  <c:v>Cardiff and Vale UHB</c:v>
                </c:pt>
                <c:pt idx="3">
                  <c:v>Wales </c:v>
                </c:pt>
              </c:strCache>
            </c:strRef>
          </c:cat>
          <c:val>
            <c:numRef>
              <c:f>'Religion CV'!$E$12:$E$15</c:f>
              <c:numCache>
                <c:formatCode>0.0</c:formatCode>
                <c:ptCount val="4"/>
                <c:pt idx="0">
                  <c:v>6.835216273223728</c:v>
                </c:pt>
                <c:pt idx="1">
                  <c:v>0.62135891590678827</c:v>
                </c:pt>
                <c:pt idx="2">
                  <c:v>5.173508655323797</c:v>
                </c:pt>
                <c:pt idx="3">
                  <c:v>1.4999399371167728</c:v>
                </c:pt>
              </c:numCache>
            </c:numRef>
          </c:val>
          <c:extLst xmlns:c16r2="http://schemas.microsoft.com/office/drawing/2015/06/chart">
            <c:ext xmlns:c16="http://schemas.microsoft.com/office/drawing/2014/chart" uri="{C3380CC4-5D6E-409C-BE32-E72D297353CC}">
              <c16:uniqueId val="{00000002-25DF-4200-94D8-3BB4FF0D5501}"/>
            </c:ext>
          </c:extLst>
        </c:ser>
        <c:ser>
          <c:idx val="3"/>
          <c:order val="3"/>
          <c:tx>
            <c:strRef>
              <c:f>'Religion CV'!$F$11</c:f>
              <c:strCache>
                <c:ptCount val="1"/>
                <c:pt idx="0">
                  <c:v>Minority Religious Groups</c:v>
                </c:pt>
              </c:strCache>
            </c:strRef>
          </c:tx>
          <c:spPr>
            <a:solidFill>
              <a:schemeClr val="accent1">
                <a:shade val="90000"/>
              </a:schemeClr>
            </a:solidFill>
            <a:ln>
              <a:noFill/>
            </a:ln>
            <a:effectLst/>
          </c:spPr>
          <c:invertIfNegative val="0"/>
          <c:cat>
            <c:strRef>
              <c:f>'Religion CV'!$B$12:$B$15</c:f>
              <c:strCache>
                <c:ptCount val="4"/>
                <c:pt idx="0">
                  <c:v>Cardiff </c:v>
                </c:pt>
                <c:pt idx="1">
                  <c:v>The Vale of Glamorgan </c:v>
                </c:pt>
                <c:pt idx="2">
                  <c:v>Cardiff and Vale UHB</c:v>
                </c:pt>
                <c:pt idx="3">
                  <c:v>Wales </c:v>
                </c:pt>
              </c:strCache>
            </c:strRef>
          </c:cat>
          <c:val>
            <c:numRef>
              <c:f>'Religion CV'!$F$12:$F$15</c:f>
              <c:numCache>
                <c:formatCode>0.0</c:formatCode>
                <c:ptCount val="4"/>
                <c:pt idx="0">
                  <c:v>2.4690109509087232</c:v>
                </c:pt>
                <c:pt idx="1">
                  <c:v>0.6253166160081054</c:v>
                </c:pt>
                <c:pt idx="2">
                  <c:v>1.9759708398775682</c:v>
                </c:pt>
                <c:pt idx="3">
                  <c:v>0.80226384841172838</c:v>
                </c:pt>
              </c:numCache>
            </c:numRef>
          </c:val>
          <c:extLst xmlns:c16r2="http://schemas.microsoft.com/office/drawing/2015/06/chart">
            <c:ext xmlns:c16="http://schemas.microsoft.com/office/drawing/2014/chart" uri="{C3380CC4-5D6E-409C-BE32-E72D297353CC}">
              <c16:uniqueId val="{00000003-25DF-4200-94D8-3BB4FF0D5501}"/>
            </c:ext>
          </c:extLst>
        </c:ser>
        <c:ser>
          <c:idx val="4"/>
          <c:order val="4"/>
          <c:tx>
            <c:strRef>
              <c:f>'Religion CV'!$G$11</c:f>
              <c:strCache>
                <c:ptCount val="1"/>
                <c:pt idx="0">
                  <c:v>Other Religion </c:v>
                </c:pt>
              </c:strCache>
            </c:strRef>
          </c:tx>
          <c:spPr>
            <a:solidFill>
              <a:schemeClr val="accent1">
                <a:shade val="70000"/>
              </a:schemeClr>
            </a:solidFill>
            <a:ln>
              <a:noFill/>
            </a:ln>
            <a:effectLst/>
          </c:spPr>
          <c:invertIfNegative val="0"/>
          <c:cat>
            <c:strRef>
              <c:f>'Religion CV'!$B$12:$B$15</c:f>
              <c:strCache>
                <c:ptCount val="4"/>
                <c:pt idx="0">
                  <c:v>Cardiff </c:v>
                </c:pt>
                <c:pt idx="1">
                  <c:v>The Vale of Glamorgan </c:v>
                </c:pt>
                <c:pt idx="2">
                  <c:v>Cardiff and Vale UHB</c:v>
                </c:pt>
                <c:pt idx="3">
                  <c:v>Wales </c:v>
                </c:pt>
              </c:strCache>
            </c:strRef>
          </c:cat>
          <c:val>
            <c:numRef>
              <c:f>'Religion CV'!$G$12:$G$15</c:f>
              <c:numCache>
                <c:formatCode>0.0</c:formatCode>
                <c:ptCount val="4"/>
                <c:pt idx="0">
                  <c:v>0.40625270883296255</c:v>
                </c:pt>
                <c:pt idx="1">
                  <c:v>0.41793313069908811</c:v>
                </c:pt>
                <c:pt idx="2">
                  <c:v>0.40937628326976078</c:v>
                </c:pt>
                <c:pt idx="3">
                  <c:v>0.41472768011030675</c:v>
                </c:pt>
              </c:numCache>
            </c:numRef>
          </c:val>
          <c:extLst xmlns:c16r2="http://schemas.microsoft.com/office/drawing/2015/06/chart">
            <c:ext xmlns:c16="http://schemas.microsoft.com/office/drawing/2014/chart" uri="{C3380CC4-5D6E-409C-BE32-E72D297353CC}">
              <c16:uniqueId val="{00000004-25DF-4200-94D8-3BB4FF0D5501}"/>
            </c:ext>
          </c:extLst>
        </c:ser>
        <c:ser>
          <c:idx val="5"/>
          <c:order val="5"/>
          <c:tx>
            <c:strRef>
              <c:f>'Religion CV'!$H$11</c:f>
              <c:strCache>
                <c:ptCount val="1"/>
                <c:pt idx="0">
                  <c:v>Religion Not Stated </c:v>
                </c:pt>
              </c:strCache>
            </c:strRef>
          </c:tx>
          <c:spPr>
            <a:solidFill>
              <a:schemeClr val="accent1">
                <a:shade val="50000"/>
              </a:schemeClr>
            </a:solidFill>
            <a:ln>
              <a:noFill/>
            </a:ln>
            <a:effectLst/>
          </c:spPr>
          <c:invertIfNegative val="0"/>
          <c:cat>
            <c:strRef>
              <c:f>'Religion CV'!$B$12:$B$15</c:f>
              <c:strCache>
                <c:ptCount val="4"/>
                <c:pt idx="0">
                  <c:v>Cardiff </c:v>
                </c:pt>
                <c:pt idx="1">
                  <c:v>The Vale of Glamorgan </c:v>
                </c:pt>
                <c:pt idx="2">
                  <c:v>Cardiff and Vale UHB</c:v>
                </c:pt>
                <c:pt idx="3">
                  <c:v>Wales </c:v>
                </c:pt>
              </c:strCache>
            </c:strRef>
          </c:cat>
          <c:val>
            <c:numRef>
              <c:f>'Religion CV'!$H$12:$H$15</c:f>
              <c:numCache>
                <c:formatCode>0.0</c:formatCode>
                <c:ptCount val="4"/>
                <c:pt idx="0">
                  <c:v>7.1599872865439629</c:v>
                </c:pt>
                <c:pt idx="1">
                  <c:v>7.3557814083080046</c:v>
                </c:pt>
                <c:pt idx="2">
                  <c:v>7.2123464838937741</c:v>
                </c:pt>
                <c:pt idx="3">
                  <c:v>7.6360816019554383</c:v>
                </c:pt>
              </c:numCache>
            </c:numRef>
          </c:val>
          <c:extLst xmlns:c16r2="http://schemas.microsoft.com/office/drawing/2015/06/chart">
            <c:ext xmlns:c16="http://schemas.microsoft.com/office/drawing/2014/chart" uri="{C3380CC4-5D6E-409C-BE32-E72D297353CC}">
              <c16:uniqueId val="{00000005-25DF-4200-94D8-3BB4FF0D5501}"/>
            </c:ext>
          </c:extLst>
        </c:ser>
        <c:dLbls>
          <c:showLegendKey val="0"/>
          <c:showVal val="0"/>
          <c:showCatName val="0"/>
          <c:showSerName val="0"/>
          <c:showPercent val="0"/>
          <c:showBubbleSize val="0"/>
        </c:dLbls>
        <c:gapWidth val="150"/>
        <c:overlap val="100"/>
        <c:axId val="142345400"/>
        <c:axId val="142345792"/>
      </c:barChart>
      <c:catAx>
        <c:axId val="142345400"/>
        <c:scaling>
          <c:orientation val="minMax"/>
        </c:scaling>
        <c:delete val="0"/>
        <c:axPos val="b"/>
        <c:title>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345792"/>
        <c:crosses val="autoZero"/>
        <c:auto val="1"/>
        <c:lblAlgn val="ctr"/>
        <c:lblOffset val="100"/>
        <c:noMultiLvlLbl val="0"/>
      </c:catAx>
      <c:valAx>
        <c:axId val="142345792"/>
        <c:scaling>
          <c:orientation val="minMax"/>
          <c:max val="100"/>
        </c:scaling>
        <c:delete val="0"/>
        <c:axPos val="l"/>
        <c:majorGridlines>
          <c:spPr>
            <a:ln w="9525" cap="flat" cmpd="sng" algn="ctr">
              <a:solidFill>
                <a:schemeClr val="bg1">
                  <a:lumMod val="6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34540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bar"/>
        <c:grouping val="stacked"/>
        <c:varyColors val="0"/>
        <c:ser>
          <c:idx val="0"/>
          <c:order val="0"/>
          <c:tx>
            <c:strRef>
              <c:f>Sheet4!$D$4</c:f>
              <c:strCache>
                <c:ptCount val="1"/>
                <c:pt idx="0">
                  <c:v> Good or Very Good </c:v>
                </c:pt>
              </c:strCache>
            </c:strRef>
          </c:tx>
          <c:spPr>
            <a:solidFill>
              <a:schemeClr val="accent1">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Sheet4!$C$5:$C$8</c:f>
              <c:strCache>
                <c:ptCount val="4"/>
                <c:pt idx="0">
                  <c:v>Cardiff </c:v>
                </c:pt>
                <c:pt idx="1">
                  <c:v>Vale of Glamorgan </c:v>
                </c:pt>
                <c:pt idx="2">
                  <c:v>Cardiff and Vale </c:v>
                </c:pt>
                <c:pt idx="3">
                  <c:v>Wales </c:v>
                </c:pt>
              </c:strCache>
            </c:strRef>
          </c:cat>
          <c:val>
            <c:numRef>
              <c:f>Sheet4!$D$5:$D$8</c:f>
              <c:numCache>
                <c:formatCode>0.0</c:formatCode>
                <c:ptCount val="4"/>
                <c:pt idx="0">
                  <c:v>74.906171999999998</c:v>
                </c:pt>
                <c:pt idx="1">
                  <c:v>71.597009999999997</c:v>
                </c:pt>
                <c:pt idx="2">
                  <c:v>74.218284999999995</c:v>
                </c:pt>
                <c:pt idx="3">
                  <c:v>71.682286000000005</c:v>
                </c:pt>
              </c:numCache>
            </c:numRef>
          </c:val>
          <c:extLst xmlns:c16r2="http://schemas.microsoft.com/office/drawing/2015/06/chart">
            <c:ext xmlns:c16="http://schemas.microsoft.com/office/drawing/2014/chart" uri="{C3380CC4-5D6E-409C-BE32-E72D297353CC}">
              <c16:uniqueId val="{00000000-5A6E-4CD5-A151-7ACFDFB4D95A}"/>
            </c:ext>
          </c:extLst>
        </c:ser>
        <c:ser>
          <c:idx val="1"/>
          <c:order val="1"/>
          <c:tx>
            <c:strRef>
              <c:f>Sheet4!$E$4</c:f>
              <c:strCache>
                <c:ptCount val="1"/>
                <c:pt idx="0">
                  <c:v>Fair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Sheet4!$C$5:$C$8</c:f>
              <c:strCache>
                <c:ptCount val="4"/>
                <c:pt idx="0">
                  <c:v>Cardiff </c:v>
                </c:pt>
                <c:pt idx="1">
                  <c:v>Vale of Glamorgan </c:v>
                </c:pt>
                <c:pt idx="2">
                  <c:v>Cardiff and Vale </c:v>
                </c:pt>
                <c:pt idx="3">
                  <c:v>Wales </c:v>
                </c:pt>
              </c:strCache>
            </c:strRef>
          </c:cat>
          <c:val>
            <c:numRef>
              <c:f>Sheet4!$E$5:$E$8</c:f>
              <c:numCache>
                <c:formatCode>0.0</c:formatCode>
                <c:ptCount val="4"/>
                <c:pt idx="0">
                  <c:v>17.260811</c:v>
                </c:pt>
                <c:pt idx="1">
                  <c:v>21.321242999999999</c:v>
                </c:pt>
                <c:pt idx="2">
                  <c:v>18.250122000000001</c:v>
                </c:pt>
                <c:pt idx="3">
                  <c:v>19.514803000000001</c:v>
                </c:pt>
              </c:numCache>
            </c:numRef>
          </c:val>
          <c:extLst xmlns:c16r2="http://schemas.microsoft.com/office/drawing/2015/06/chart">
            <c:ext xmlns:c16="http://schemas.microsoft.com/office/drawing/2014/chart" uri="{C3380CC4-5D6E-409C-BE32-E72D297353CC}">
              <c16:uniqueId val="{00000001-5A6E-4CD5-A151-7ACFDFB4D95A}"/>
            </c:ext>
          </c:extLst>
        </c:ser>
        <c:ser>
          <c:idx val="2"/>
          <c:order val="2"/>
          <c:tx>
            <c:strRef>
              <c:f>Sheet4!$F$4</c:f>
              <c:strCache>
                <c:ptCount val="1"/>
                <c:pt idx="0">
                  <c:v>Bad or Very Bad </c:v>
                </c:pt>
              </c:strCache>
            </c:strRef>
          </c:tx>
          <c:spPr>
            <a:solidFill>
              <a:schemeClr val="accent1">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Sheet4!$C$5:$C$8</c:f>
              <c:strCache>
                <c:ptCount val="4"/>
                <c:pt idx="0">
                  <c:v>Cardiff </c:v>
                </c:pt>
                <c:pt idx="1">
                  <c:v>Vale of Glamorgan </c:v>
                </c:pt>
                <c:pt idx="2">
                  <c:v>Cardiff and Vale </c:v>
                </c:pt>
                <c:pt idx="3">
                  <c:v>Wales </c:v>
                </c:pt>
              </c:strCache>
            </c:strRef>
          </c:cat>
          <c:val>
            <c:numRef>
              <c:f>Sheet4!$F$5:$F$8</c:f>
              <c:numCache>
                <c:formatCode>0.0</c:formatCode>
                <c:ptCount val="4"/>
                <c:pt idx="0">
                  <c:v>7.8330169999999999</c:v>
                </c:pt>
                <c:pt idx="1">
                  <c:v>7.081747</c:v>
                </c:pt>
                <c:pt idx="2">
                  <c:v>7.531593</c:v>
                </c:pt>
                <c:pt idx="3">
                  <c:v>8.8029119999999992</c:v>
                </c:pt>
              </c:numCache>
            </c:numRef>
          </c:val>
          <c:extLst xmlns:c16r2="http://schemas.microsoft.com/office/drawing/2015/06/chart">
            <c:ext xmlns:c16="http://schemas.microsoft.com/office/drawing/2014/chart" uri="{C3380CC4-5D6E-409C-BE32-E72D297353CC}">
              <c16:uniqueId val="{00000002-5A6E-4CD5-A151-7ACFDFB4D95A}"/>
            </c:ext>
          </c:extLst>
        </c:ser>
        <c:dLbls>
          <c:showLegendKey val="0"/>
          <c:showVal val="0"/>
          <c:showCatName val="0"/>
          <c:showSerName val="0"/>
          <c:showPercent val="0"/>
          <c:showBubbleSize val="0"/>
        </c:dLbls>
        <c:gapWidth val="150"/>
        <c:overlap val="100"/>
        <c:axId val="142035456"/>
        <c:axId val="142035848"/>
      </c:barChart>
      <c:catAx>
        <c:axId val="142035456"/>
        <c:scaling>
          <c:orientation val="minMax"/>
        </c:scaling>
        <c:delete val="0"/>
        <c:axPos val="l"/>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035848"/>
        <c:crosses val="autoZero"/>
        <c:auto val="1"/>
        <c:lblAlgn val="ctr"/>
        <c:lblOffset val="100"/>
        <c:noMultiLvlLbl val="0"/>
      </c:catAx>
      <c:valAx>
        <c:axId val="142035848"/>
        <c:scaling>
          <c:orientation val="minMax"/>
          <c:max val="100"/>
        </c:scaling>
        <c:delete val="0"/>
        <c:axPos val="b"/>
        <c:majorGridlines>
          <c:spPr>
            <a:ln w="9525" cap="flat" cmpd="sng" algn="ctr">
              <a:solidFill>
                <a:schemeClr val="bg1">
                  <a:lumMod val="6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035456"/>
        <c:crosses val="autoZero"/>
        <c:crossBetween val="between"/>
      </c:valAx>
      <c:spPr>
        <a:noFill/>
        <a:ln>
          <a:solidFill>
            <a:schemeClr val="bg1">
              <a:lumMod val="65000"/>
            </a:schemeClr>
          </a:solid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'[Patient and Pubic Quwstionnaire Responses CVUHB.xlsx]Q2'!$AA$27</c:f>
              <c:strCache>
                <c:ptCount val="1"/>
                <c:pt idx="0">
                  <c:v>Total</c:v>
                </c:pt>
              </c:strCache>
            </c:strRef>
          </c:tx>
          <c:spPr>
            <a:solidFill>
              <a:schemeClr val="accent1">
                <a:lumMod val="60000"/>
                <a:lumOff val="40000"/>
              </a:schemeClr>
            </a:solidFill>
            <a:ln>
              <a:noFill/>
            </a:ln>
            <a:effectLst/>
          </c:spPr>
          <c:invertIfNegative val="0"/>
          <c:cat>
            <c:strRef>
              <c:f>'[Patient and Pubic Quwstionnaire Responses CVUHB.xlsx]Q2'!$Z$28:$Z$40</c:f>
              <c:strCache>
                <c:ptCount val="13"/>
                <c:pt idx="0">
                  <c:v>I don’t visit a pharmacy as I use a dispensing doctor </c:v>
                </c:pt>
                <c:pt idx="1">
                  <c:v>I don’t visit a pharmacy as I use an appliance contractor </c:v>
                </c:pt>
                <c:pt idx="2">
                  <c:v>I don’t go to a pharmacy; someone goes on my behalf</c:v>
                </c:pt>
                <c:pt idx="3">
                  <c:v>I don’t visit a pharmacy as I use an online/internet pharmacy </c:v>
                </c:pt>
                <c:pt idx="4">
                  <c:v>Other</c:v>
                </c:pt>
                <c:pt idx="5">
                  <c:v>I don’t visit a pharmacy as my medicines are delivered to me</c:v>
                </c:pt>
                <c:pt idx="6">
                  <c:v>To get advice for someone else</c:v>
                </c:pt>
                <c:pt idx="7">
                  <c:v>For other services such as flu vaccination</c:v>
                </c:pt>
                <c:pt idx="8">
                  <c:v>To buy medicines for someone else</c:v>
                </c:pt>
                <c:pt idx="9">
                  <c:v>To get advice for myself</c:v>
                </c:pt>
                <c:pt idx="10">
                  <c:v>To buy medicines for myself</c:v>
                </c:pt>
                <c:pt idx="11">
                  <c:v>To get or collect a prescription for someone else</c:v>
                </c:pt>
                <c:pt idx="12">
                  <c:v>To get or collect a prescription for myself</c:v>
                </c:pt>
              </c:strCache>
            </c:strRef>
          </c:cat>
          <c:val>
            <c:numRef>
              <c:f>'[Patient and Pubic Quwstionnaire Responses CVUHB.xlsx]Q2'!$AA$28:$AA$40</c:f>
              <c:numCache>
                <c:formatCode>General</c:formatCode>
                <c:ptCount val="13"/>
                <c:pt idx="0">
                  <c:v>0</c:v>
                </c:pt>
                <c:pt idx="1">
                  <c:v>0</c:v>
                </c:pt>
                <c:pt idx="2">
                  <c:v>2</c:v>
                </c:pt>
                <c:pt idx="3">
                  <c:v>3</c:v>
                </c:pt>
                <c:pt idx="4">
                  <c:v>5</c:v>
                </c:pt>
                <c:pt idx="5">
                  <c:v>9</c:v>
                </c:pt>
                <c:pt idx="6">
                  <c:v>34</c:v>
                </c:pt>
                <c:pt idx="7">
                  <c:v>39</c:v>
                </c:pt>
                <c:pt idx="8">
                  <c:v>80</c:v>
                </c:pt>
                <c:pt idx="9">
                  <c:v>107</c:v>
                </c:pt>
                <c:pt idx="10">
                  <c:v>157</c:v>
                </c:pt>
                <c:pt idx="11">
                  <c:v>172</c:v>
                </c:pt>
                <c:pt idx="12">
                  <c:v>280</c:v>
                </c:pt>
              </c:numCache>
            </c:numRef>
          </c:val>
          <c:extLst xmlns:c16r2="http://schemas.microsoft.com/office/drawing/2015/06/chart">
            <c:ext xmlns:c16="http://schemas.microsoft.com/office/drawing/2014/chart" uri="{C3380CC4-5D6E-409C-BE32-E72D297353CC}">
              <c16:uniqueId val="{00000000-5219-4CAE-A0B3-2B2FB315050B}"/>
            </c:ext>
          </c:extLst>
        </c:ser>
        <c:dLbls>
          <c:showLegendKey val="0"/>
          <c:showVal val="0"/>
          <c:showCatName val="0"/>
          <c:showSerName val="0"/>
          <c:showPercent val="0"/>
          <c:showBubbleSize val="0"/>
        </c:dLbls>
        <c:gapWidth val="182"/>
        <c:axId val="121865696"/>
        <c:axId val="11282856"/>
      </c:barChart>
      <c:catAx>
        <c:axId val="121865696"/>
        <c:scaling>
          <c:orientation val="minMax"/>
        </c:scaling>
        <c:delete val="0"/>
        <c:axPos val="l"/>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282856"/>
        <c:crosses val="autoZero"/>
        <c:auto val="1"/>
        <c:lblAlgn val="ctr"/>
        <c:lblOffset val="100"/>
        <c:noMultiLvlLbl val="0"/>
      </c:catAx>
      <c:valAx>
        <c:axId val="11282856"/>
        <c:scaling>
          <c:orientation val="minMax"/>
        </c:scaling>
        <c:delete val="0"/>
        <c:axPos val="b"/>
        <c:majorGridlines>
          <c:spPr>
            <a:ln w="9525" cap="flat" cmpd="sng" algn="ctr">
              <a:solidFill>
                <a:schemeClr val="bg1">
                  <a:lumMod val="6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 of responses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8656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'[Economic.xlsx]CTM Employment rate trend'!$U$8</c:f>
              <c:strCache>
                <c:ptCount val="1"/>
                <c:pt idx="0">
                  <c:v>Vale of Glamorgan </c:v>
                </c:pt>
              </c:strCache>
            </c:strRef>
          </c:tx>
          <c:spPr>
            <a:ln w="28575" cap="rnd">
              <a:solidFill>
                <a:schemeClr val="accent1"/>
              </a:solidFill>
              <a:round/>
            </a:ln>
            <a:effectLst/>
          </c:spPr>
          <c:marker>
            <c:symbol val="none"/>
          </c:marker>
          <c:cat>
            <c:numRef>
              <c:f>'[Economic.xlsx]CTM Employment rate trend'!$V$7:$AA$7</c:f>
              <c:numCache>
                <c:formatCode>General</c:formatCode>
                <c:ptCount val="6"/>
                <c:pt idx="0">
                  <c:v>2014</c:v>
                </c:pt>
                <c:pt idx="1">
                  <c:v>2015</c:v>
                </c:pt>
                <c:pt idx="2">
                  <c:v>2016</c:v>
                </c:pt>
                <c:pt idx="3">
                  <c:v>2017</c:v>
                </c:pt>
                <c:pt idx="4">
                  <c:v>2018</c:v>
                </c:pt>
                <c:pt idx="5">
                  <c:v>2019</c:v>
                </c:pt>
              </c:numCache>
            </c:numRef>
          </c:cat>
          <c:val>
            <c:numRef>
              <c:f>'[Economic.xlsx]CTM Employment rate trend'!$V$8:$AA$8</c:f>
              <c:numCache>
                <c:formatCode>General</c:formatCode>
                <c:ptCount val="6"/>
                <c:pt idx="0">
                  <c:v>71.400000000000006</c:v>
                </c:pt>
                <c:pt idx="1">
                  <c:v>72.599999999999994</c:v>
                </c:pt>
                <c:pt idx="2">
                  <c:v>74</c:v>
                </c:pt>
                <c:pt idx="3">
                  <c:v>73.900000000000006</c:v>
                </c:pt>
                <c:pt idx="4">
                  <c:v>76.8</c:v>
                </c:pt>
                <c:pt idx="5">
                  <c:v>78.599999999999994</c:v>
                </c:pt>
              </c:numCache>
            </c:numRef>
          </c:val>
          <c:smooth val="0"/>
          <c:extLst xmlns:c16r2="http://schemas.microsoft.com/office/drawing/2015/06/chart">
            <c:ext xmlns:c16="http://schemas.microsoft.com/office/drawing/2014/chart" uri="{C3380CC4-5D6E-409C-BE32-E72D297353CC}">
              <c16:uniqueId val="{00000000-356C-463B-ABDF-56C01EA1647D}"/>
            </c:ext>
          </c:extLst>
        </c:ser>
        <c:ser>
          <c:idx val="1"/>
          <c:order val="1"/>
          <c:tx>
            <c:strRef>
              <c:f>'[Economic.xlsx]CTM Employment rate trend'!$U$9</c:f>
              <c:strCache>
                <c:ptCount val="1"/>
                <c:pt idx="0">
                  <c:v>Cardiff </c:v>
                </c:pt>
              </c:strCache>
            </c:strRef>
          </c:tx>
          <c:spPr>
            <a:ln w="28575" cap="rnd">
              <a:solidFill>
                <a:schemeClr val="accent2"/>
              </a:solidFill>
              <a:round/>
            </a:ln>
            <a:effectLst/>
          </c:spPr>
          <c:marker>
            <c:symbol val="none"/>
          </c:marker>
          <c:cat>
            <c:numRef>
              <c:f>'[Economic.xlsx]CTM Employment rate trend'!$V$7:$AA$7</c:f>
              <c:numCache>
                <c:formatCode>General</c:formatCode>
                <c:ptCount val="6"/>
                <c:pt idx="0">
                  <c:v>2014</c:v>
                </c:pt>
                <c:pt idx="1">
                  <c:v>2015</c:v>
                </c:pt>
                <c:pt idx="2">
                  <c:v>2016</c:v>
                </c:pt>
                <c:pt idx="3">
                  <c:v>2017</c:v>
                </c:pt>
                <c:pt idx="4">
                  <c:v>2018</c:v>
                </c:pt>
                <c:pt idx="5">
                  <c:v>2019</c:v>
                </c:pt>
              </c:numCache>
            </c:numRef>
          </c:cat>
          <c:val>
            <c:numRef>
              <c:f>'[Economic.xlsx]CTM Employment rate trend'!$V$9:$AA$9</c:f>
              <c:numCache>
                <c:formatCode>General</c:formatCode>
                <c:ptCount val="6"/>
                <c:pt idx="0">
                  <c:v>68.900000000000006</c:v>
                </c:pt>
                <c:pt idx="1">
                  <c:v>67.5</c:v>
                </c:pt>
                <c:pt idx="2">
                  <c:v>69.099999999999994</c:v>
                </c:pt>
                <c:pt idx="3">
                  <c:v>68.5</c:v>
                </c:pt>
                <c:pt idx="4">
                  <c:v>70.599999999999994</c:v>
                </c:pt>
                <c:pt idx="5">
                  <c:v>76.3</c:v>
                </c:pt>
              </c:numCache>
            </c:numRef>
          </c:val>
          <c:smooth val="0"/>
          <c:extLst xmlns:c16r2="http://schemas.microsoft.com/office/drawing/2015/06/chart">
            <c:ext xmlns:c16="http://schemas.microsoft.com/office/drawing/2014/chart" uri="{C3380CC4-5D6E-409C-BE32-E72D297353CC}">
              <c16:uniqueId val="{00000001-356C-463B-ABDF-56C01EA1647D}"/>
            </c:ext>
          </c:extLst>
        </c:ser>
        <c:ser>
          <c:idx val="2"/>
          <c:order val="2"/>
          <c:tx>
            <c:strRef>
              <c:f>'[Economic.xlsx]CTM Employment rate trend'!$U$10</c:f>
              <c:strCache>
                <c:ptCount val="1"/>
                <c:pt idx="0">
                  <c:v>Wales </c:v>
                </c:pt>
              </c:strCache>
            </c:strRef>
          </c:tx>
          <c:spPr>
            <a:ln w="28575" cap="rnd">
              <a:solidFill>
                <a:schemeClr val="accent3"/>
              </a:solidFill>
              <a:round/>
            </a:ln>
            <a:effectLst/>
          </c:spPr>
          <c:marker>
            <c:symbol val="none"/>
          </c:marker>
          <c:cat>
            <c:numRef>
              <c:f>'[Economic.xlsx]CTM Employment rate trend'!$V$7:$AA$7</c:f>
              <c:numCache>
                <c:formatCode>General</c:formatCode>
                <c:ptCount val="6"/>
                <c:pt idx="0">
                  <c:v>2014</c:v>
                </c:pt>
                <c:pt idx="1">
                  <c:v>2015</c:v>
                </c:pt>
                <c:pt idx="2">
                  <c:v>2016</c:v>
                </c:pt>
                <c:pt idx="3">
                  <c:v>2017</c:v>
                </c:pt>
                <c:pt idx="4">
                  <c:v>2018</c:v>
                </c:pt>
                <c:pt idx="5">
                  <c:v>2019</c:v>
                </c:pt>
              </c:numCache>
            </c:numRef>
          </c:cat>
          <c:val>
            <c:numRef>
              <c:f>'[Economic.xlsx]CTM Employment rate trend'!$V$10:$AA$10</c:f>
              <c:numCache>
                <c:formatCode>General</c:formatCode>
                <c:ptCount val="6"/>
                <c:pt idx="0">
                  <c:v>69.5</c:v>
                </c:pt>
                <c:pt idx="1">
                  <c:v>69.7</c:v>
                </c:pt>
                <c:pt idx="2">
                  <c:v>71.3</c:v>
                </c:pt>
                <c:pt idx="3">
                  <c:v>71.599999999999994</c:v>
                </c:pt>
                <c:pt idx="4">
                  <c:v>72.599999999999994</c:v>
                </c:pt>
                <c:pt idx="5">
                  <c:v>73.2</c:v>
                </c:pt>
              </c:numCache>
            </c:numRef>
          </c:val>
          <c:smooth val="0"/>
          <c:extLst xmlns:c16r2="http://schemas.microsoft.com/office/drawing/2015/06/chart">
            <c:ext xmlns:c16="http://schemas.microsoft.com/office/drawing/2014/chart" uri="{C3380CC4-5D6E-409C-BE32-E72D297353CC}">
              <c16:uniqueId val="{00000002-356C-463B-ABDF-56C01EA1647D}"/>
            </c:ext>
          </c:extLst>
        </c:ser>
        <c:dLbls>
          <c:showLegendKey val="0"/>
          <c:showVal val="0"/>
          <c:showCatName val="0"/>
          <c:showSerName val="0"/>
          <c:showPercent val="0"/>
          <c:showBubbleSize val="0"/>
        </c:dLbls>
        <c:smooth val="0"/>
        <c:axId val="142037024"/>
        <c:axId val="142037416"/>
      </c:lineChart>
      <c:catAx>
        <c:axId val="1420370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Year</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037416"/>
        <c:crosses val="autoZero"/>
        <c:auto val="1"/>
        <c:lblAlgn val="ctr"/>
        <c:lblOffset val="100"/>
        <c:noMultiLvlLbl val="0"/>
      </c:catAx>
      <c:valAx>
        <c:axId val="142037416"/>
        <c:scaling>
          <c:orientation val="minMax"/>
        </c:scaling>
        <c:delete val="0"/>
        <c:axPos val="l"/>
        <c:majorGridlines>
          <c:spPr>
            <a:ln w="9525" cap="flat" cmpd="sng" algn="ctr">
              <a:solidFill>
                <a:schemeClr val="bg1">
                  <a:lumMod val="6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03702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60000"/>
                <a:lumOff val="40000"/>
              </a:schemeClr>
            </a:solidFill>
            <a:ln>
              <a:noFill/>
            </a:ln>
            <a:effectLst/>
          </c:spPr>
          <c:invertIfNegative val="0"/>
          <c:cat>
            <c:strRef>
              <c:f>'Carers CVUHB'!$B$18:$E$18</c:f>
              <c:strCache>
                <c:ptCount val="4"/>
                <c:pt idx="0">
                  <c:v>Cardiff </c:v>
                </c:pt>
                <c:pt idx="1">
                  <c:v>Vale of Glamorgan</c:v>
                </c:pt>
                <c:pt idx="2">
                  <c:v>Cardiff and Vale UHB</c:v>
                </c:pt>
                <c:pt idx="3">
                  <c:v>Wales</c:v>
                </c:pt>
              </c:strCache>
            </c:strRef>
          </c:cat>
          <c:val>
            <c:numRef>
              <c:f>'Carers CVUHB'!$B$19:$E$19</c:f>
              <c:numCache>
                <c:formatCode>0.0%</c:formatCode>
                <c:ptCount val="4"/>
                <c:pt idx="0">
                  <c:v>2.565827033845363E-2</c:v>
                </c:pt>
                <c:pt idx="1">
                  <c:v>2.8818838072091357E-2</c:v>
                </c:pt>
                <c:pt idx="2">
                  <c:v>2.6514243368714718E-2</c:v>
                </c:pt>
                <c:pt idx="3">
                  <c:v>3.4403101506318784E-2</c:v>
                </c:pt>
              </c:numCache>
            </c:numRef>
          </c:val>
          <c:extLst xmlns:c16r2="http://schemas.microsoft.com/office/drawing/2015/06/chart">
            <c:ext xmlns:c16="http://schemas.microsoft.com/office/drawing/2014/chart" uri="{C3380CC4-5D6E-409C-BE32-E72D297353CC}">
              <c16:uniqueId val="{00000000-EDEB-4F8A-80F6-C1336A82DF53}"/>
            </c:ext>
          </c:extLst>
        </c:ser>
        <c:dLbls>
          <c:showLegendKey val="0"/>
          <c:showVal val="0"/>
          <c:showCatName val="0"/>
          <c:showSerName val="0"/>
          <c:showPercent val="0"/>
          <c:showBubbleSize val="0"/>
        </c:dLbls>
        <c:gapWidth val="219"/>
        <c:overlap val="-27"/>
        <c:axId val="143300096"/>
        <c:axId val="143300488"/>
      </c:barChart>
      <c:catAx>
        <c:axId val="143300096"/>
        <c:scaling>
          <c:orientation val="minMax"/>
        </c:scaling>
        <c:delete val="0"/>
        <c:axPos val="b"/>
        <c:title>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300488"/>
        <c:crosses val="autoZero"/>
        <c:auto val="1"/>
        <c:lblAlgn val="ctr"/>
        <c:lblOffset val="100"/>
        <c:noMultiLvlLbl val="0"/>
      </c:catAx>
      <c:valAx>
        <c:axId val="143300488"/>
        <c:scaling>
          <c:orientation val="minMax"/>
        </c:scaling>
        <c:delete val="0"/>
        <c:axPos val="l"/>
        <c:majorGridlines>
          <c:spPr>
            <a:ln w="9525" cap="flat" cmpd="sng" algn="ctr">
              <a:solidFill>
                <a:schemeClr val="bg1">
                  <a:lumMod val="6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3000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bar"/>
        <c:grouping val="stacked"/>
        <c:varyColors val="0"/>
        <c:ser>
          <c:idx val="0"/>
          <c:order val="0"/>
          <c:tx>
            <c:strRef>
              <c:f>'Alcohol CV'!$B$4</c:f>
              <c:strCache>
                <c:ptCount val="1"/>
                <c:pt idx="0">
                  <c:v>Non-drinkers</c:v>
                </c:pt>
              </c:strCache>
            </c:strRef>
          </c:tx>
          <c:spPr>
            <a:solidFill>
              <a:schemeClr val="accent1">
                <a:tint val="58000"/>
              </a:schemeClr>
            </a:solidFill>
            <a:ln>
              <a:noFill/>
            </a:ln>
            <a:effectLst/>
          </c:spPr>
          <c:invertIfNegative val="0"/>
          <c:dLbls>
            <c:dLbl>
              <c:idx val="0"/>
              <c:layout/>
              <c:tx>
                <c:rich>
                  <a:bodyPr/>
                  <a:lstStyle/>
                  <a:p>
                    <a:fld id="{E21D9A4C-355C-4BF8-B1DD-7F35D1A16029}" type="VALUE">
                      <a:rPr lang="en-US"/>
                      <a:pPr/>
                      <a:t>[VALUE]</a:t>
                    </a:fld>
                    <a:r>
                      <a:rPr lang="en-US"/>
                      <a:t>%</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8D34-4BFC-9888-BD0BCB8A1B9E}"/>
                </c:ext>
                <c:ext xmlns:c15="http://schemas.microsoft.com/office/drawing/2012/chart" uri="{CE6537A1-D6FC-4f65-9D91-7224C49458BB}">
                  <c15:layout/>
                  <c15:dlblFieldTable/>
                  <c15:showDataLabelsRange val="0"/>
                </c:ext>
              </c:extLst>
            </c:dLbl>
            <c:dLbl>
              <c:idx val="1"/>
              <c:layout/>
              <c:tx>
                <c:rich>
                  <a:bodyPr/>
                  <a:lstStyle/>
                  <a:p>
                    <a:fld id="{682F8E5C-AF72-482E-AE1D-EB1E6B059CAF}" type="VALUE">
                      <a:rPr lang="en-US"/>
                      <a:pPr/>
                      <a:t>[VALUE]</a:t>
                    </a:fld>
                    <a:r>
                      <a:rPr lang="en-US"/>
                      <a:t>%</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8D34-4BFC-9888-BD0BCB8A1B9E}"/>
                </c:ext>
                <c:ext xmlns:c15="http://schemas.microsoft.com/office/drawing/2012/chart" uri="{CE6537A1-D6FC-4f65-9D91-7224C49458BB}">
                  <c15:layout/>
                  <c15:dlblFieldTable/>
                  <c15:showDataLabelsRange val="0"/>
                </c:ext>
              </c:extLst>
            </c:dLbl>
            <c:dLbl>
              <c:idx val="2"/>
              <c:layout/>
              <c:tx>
                <c:rich>
                  <a:bodyPr/>
                  <a:lstStyle/>
                  <a:p>
                    <a:fld id="{1E6CECD5-ACC3-4077-AB60-8C1C58F5B499}" type="VALUE">
                      <a:rPr lang="en-US"/>
                      <a:pPr/>
                      <a:t>[VALUE]</a:t>
                    </a:fld>
                    <a:r>
                      <a:rPr lang="en-US"/>
                      <a:t>%</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8D34-4BFC-9888-BD0BCB8A1B9E}"/>
                </c:ext>
                <c:ext xmlns:c15="http://schemas.microsoft.com/office/drawing/2012/chart" uri="{CE6537A1-D6FC-4f65-9D91-7224C49458BB}">
                  <c15:layout/>
                  <c15:dlblFieldTable/>
                  <c15:showDataLabelsRange val="0"/>
                </c:ext>
              </c:extLst>
            </c:dLbl>
            <c:dLbl>
              <c:idx val="3"/>
              <c:layout/>
              <c:tx>
                <c:rich>
                  <a:bodyPr/>
                  <a:lstStyle/>
                  <a:p>
                    <a:fld id="{F0C90ABC-29AA-4A3D-B63A-DD1670D4F4C1}" type="VALUE">
                      <a:rPr lang="en-US"/>
                      <a:pPr/>
                      <a:t>[VALUE]</a:t>
                    </a:fld>
                    <a:r>
                      <a:rPr lang="en-US"/>
                      <a:t>%</a:t>
                    </a:r>
                  </a:p>
                </c:rich>
              </c:tx>
              <c:dLblPos val="ct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D34-4BFC-9888-BD0BCB8A1B9E}"/>
                </c:ext>
                <c:ext xmlns:c15="http://schemas.microsoft.com/office/drawing/2012/chart" uri="{CE6537A1-D6FC-4f65-9D91-7224C49458BB}">
                  <c15:layout/>
                  <c15:dlblFieldTable/>
                  <c15:showDataLabelsRange val="0"/>
                </c:ext>
              </c:extLst>
            </c:dLbl>
            <c:numFmt formatCode="#,##0.0" sourceLinked="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'Alcohol CV'!$A$5:$A$8</c:f>
              <c:strCache>
                <c:ptCount val="4"/>
                <c:pt idx="0">
                  <c:v>Cardiff </c:v>
                </c:pt>
                <c:pt idx="1">
                  <c:v>Vale of Glamorgan </c:v>
                </c:pt>
                <c:pt idx="2">
                  <c:v>Cardiff and Vale UHB</c:v>
                </c:pt>
                <c:pt idx="3">
                  <c:v>Wales </c:v>
                </c:pt>
              </c:strCache>
            </c:strRef>
          </c:cat>
          <c:val>
            <c:numRef>
              <c:f>'Alcohol CV'!$B$5:$B$8</c:f>
              <c:numCache>
                <c:formatCode>General</c:formatCode>
                <c:ptCount val="4"/>
                <c:pt idx="0">
                  <c:v>20.430698</c:v>
                </c:pt>
                <c:pt idx="1">
                  <c:v>14.959253</c:v>
                </c:pt>
                <c:pt idx="2">
                  <c:v>18.882974000000001</c:v>
                </c:pt>
                <c:pt idx="3">
                  <c:v>20.937795000000001</c:v>
                </c:pt>
              </c:numCache>
            </c:numRef>
          </c:val>
          <c:extLst xmlns:c16r2="http://schemas.microsoft.com/office/drawing/2015/06/chart">
            <c:ext xmlns:c16="http://schemas.microsoft.com/office/drawing/2014/chart" uri="{C3380CC4-5D6E-409C-BE32-E72D297353CC}">
              <c16:uniqueId val="{00000000-8D34-4BFC-9888-BD0BCB8A1B9E}"/>
            </c:ext>
          </c:extLst>
        </c:ser>
        <c:ser>
          <c:idx val="1"/>
          <c:order val="1"/>
          <c:tx>
            <c:strRef>
              <c:f>'Alcohol CV'!$C$4</c:f>
              <c:strCache>
                <c:ptCount val="1"/>
                <c:pt idx="0">
                  <c:v>Moderate</c:v>
                </c:pt>
              </c:strCache>
            </c:strRef>
          </c:tx>
          <c:spPr>
            <a:solidFill>
              <a:schemeClr val="accent1">
                <a:tint val="86000"/>
              </a:schemeClr>
            </a:solidFill>
            <a:ln>
              <a:noFill/>
            </a:ln>
            <a:effectLst/>
          </c:spPr>
          <c:invertIfNegative val="0"/>
          <c:dLbls>
            <c:dLbl>
              <c:idx val="0"/>
              <c:layout/>
              <c:tx>
                <c:rich>
                  <a:bodyPr/>
                  <a:lstStyle/>
                  <a:p>
                    <a:fld id="{C2E20FA4-920E-4A96-BA77-EDCD46B64238}" type="VALUE">
                      <a:rPr lang="en-US"/>
                      <a:pPr/>
                      <a:t>[VALUE]</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8D34-4BFC-9888-BD0BCB8A1B9E}"/>
                </c:ext>
                <c:ext xmlns:c15="http://schemas.microsoft.com/office/drawing/2012/chart" uri="{CE6537A1-D6FC-4f65-9D91-7224C49458BB}">
                  <c15:layout/>
                  <c15:dlblFieldTable/>
                  <c15:showDataLabelsRange val="0"/>
                </c:ext>
              </c:extLst>
            </c:dLbl>
            <c:dLbl>
              <c:idx val="1"/>
              <c:layout/>
              <c:tx>
                <c:rich>
                  <a:bodyPr/>
                  <a:lstStyle/>
                  <a:p>
                    <a:fld id="{5C8D58E2-90C6-4A3D-AAD6-616139055C93}" type="VALUE">
                      <a:rPr lang="en-US"/>
                      <a:pPr/>
                      <a:t>[VALUE]</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8D34-4BFC-9888-BD0BCB8A1B9E}"/>
                </c:ext>
                <c:ext xmlns:c15="http://schemas.microsoft.com/office/drawing/2012/chart" uri="{CE6537A1-D6FC-4f65-9D91-7224C49458BB}">
                  <c15:layout/>
                  <c15:dlblFieldTable/>
                  <c15:showDataLabelsRange val="0"/>
                </c:ext>
              </c:extLst>
            </c:dLbl>
            <c:dLbl>
              <c:idx val="2"/>
              <c:layout/>
              <c:tx>
                <c:rich>
                  <a:bodyPr/>
                  <a:lstStyle/>
                  <a:p>
                    <a:fld id="{886428B1-841E-4D95-BCAF-E2A4C2B37720}" type="VALUE">
                      <a:rPr lang="en-US"/>
                      <a:pPr/>
                      <a:t>[VALUE]</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8D34-4BFC-9888-BD0BCB8A1B9E}"/>
                </c:ext>
                <c:ext xmlns:c15="http://schemas.microsoft.com/office/drawing/2012/chart" uri="{CE6537A1-D6FC-4f65-9D91-7224C49458BB}">
                  <c15:layout/>
                  <c15:dlblFieldTable/>
                  <c15:showDataLabelsRange val="0"/>
                </c:ext>
              </c:extLst>
            </c:dLbl>
            <c:dLbl>
              <c:idx val="3"/>
              <c:layout/>
              <c:tx>
                <c:rich>
                  <a:bodyPr/>
                  <a:lstStyle/>
                  <a:p>
                    <a:fld id="{2A2B2921-9829-468D-BF19-402D9DD5E15A}" type="VALUE">
                      <a:rPr lang="en-US"/>
                      <a:pPr/>
                      <a:t>[VALUE]</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8D34-4BFC-9888-BD0BCB8A1B9E}"/>
                </c:ext>
                <c:ext xmlns:c15="http://schemas.microsoft.com/office/drawing/2012/chart" uri="{CE6537A1-D6FC-4f65-9D91-7224C49458BB}">
                  <c15:layout/>
                  <c15:dlblFieldTable/>
                  <c15:showDataLabelsRange val="0"/>
                </c:ext>
              </c:extLst>
            </c:dLbl>
            <c:numFmt formatCode="#,##0.0" sourceLinked="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'Alcohol CV'!$A$5:$A$8</c:f>
              <c:strCache>
                <c:ptCount val="4"/>
                <c:pt idx="0">
                  <c:v>Cardiff </c:v>
                </c:pt>
                <c:pt idx="1">
                  <c:v>Vale of Glamorgan </c:v>
                </c:pt>
                <c:pt idx="2">
                  <c:v>Cardiff and Vale UHB</c:v>
                </c:pt>
                <c:pt idx="3">
                  <c:v>Wales </c:v>
                </c:pt>
              </c:strCache>
            </c:strRef>
          </c:cat>
          <c:val>
            <c:numRef>
              <c:f>'Alcohol CV'!$C$5:$C$8</c:f>
              <c:numCache>
                <c:formatCode>General</c:formatCode>
                <c:ptCount val="4"/>
                <c:pt idx="0">
                  <c:v>59.401885999999998</c:v>
                </c:pt>
                <c:pt idx="1">
                  <c:v>59.836596999999998</c:v>
                </c:pt>
                <c:pt idx="2">
                  <c:v>59.546236999999998</c:v>
                </c:pt>
                <c:pt idx="3">
                  <c:v>60.450991000000002</c:v>
                </c:pt>
              </c:numCache>
            </c:numRef>
          </c:val>
          <c:extLst xmlns:c16r2="http://schemas.microsoft.com/office/drawing/2015/06/chart">
            <c:ext xmlns:c16="http://schemas.microsoft.com/office/drawing/2014/chart" uri="{C3380CC4-5D6E-409C-BE32-E72D297353CC}">
              <c16:uniqueId val="{00000001-8D34-4BFC-9888-BD0BCB8A1B9E}"/>
            </c:ext>
          </c:extLst>
        </c:ser>
        <c:ser>
          <c:idx val="2"/>
          <c:order val="2"/>
          <c:tx>
            <c:strRef>
              <c:f>'Alcohol CV'!$D$4</c:f>
              <c:strCache>
                <c:ptCount val="1"/>
                <c:pt idx="0">
                  <c:v>Hazardous</c:v>
                </c:pt>
              </c:strCache>
            </c:strRef>
          </c:tx>
          <c:spPr>
            <a:solidFill>
              <a:schemeClr val="accent1">
                <a:shade val="86000"/>
              </a:schemeClr>
            </a:solidFill>
            <a:ln>
              <a:noFill/>
            </a:ln>
            <a:effectLst/>
          </c:spPr>
          <c:invertIfNegative val="0"/>
          <c:dLbls>
            <c:dLbl>
              <c:idx val="0"/>
              <c:layout/>
              <c:tx>
                <c:rich>
                  <a:bodyPr/>
                  <a:lstStyle/>
                  <a:p>
                    <a:fld id="{389B29C5-9DD3-4C17-8E4E-9C18B8476E75}" type="VALUE">
                      <a:rPr lang="en-US"/>
                      <a:pPr/>
                      <a:t>[VALUE]</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0-8D34-4BFC-9888-BD0BCB8A1B9E}"/>
                </c:ext>
                <c:ext xmlns:c15="http://schemas.microsoft.com/office/drawing/2012/chart" uri="{CE6537A1-D6FC-4f65-9D91-7224C49458BB}">
                  <c15:layout/>
                  <c15:dlblFieldTable/>
                  <c15:showDataLabelsRange val="0"/>
                </c:ext>
              </c:extLst>
            </c:dLbl>
            <c:dLbl>
              <c:idx val="1"/>
              <c:layout/>
              <c:tx>
                <c:rich>
                  <a:bodyPr/>
                  <a:lstStyle/>
                  <a:p>
                    <a:fld id="{10D23C81-5026-4BDE-AB01-A9BD1E37C246}" type="VALUE">
                      <a:rPr lang="en-US"/>
                      <a:pPr/>
                      <a:t>[VALUE]</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8D34-4BFC-9888-BD0BCB8A1B9E}"/>
                </c:ext>
                <c:ext xmlns:c15="http://schemas.microsoft.com/office/drawing/2012/chart" uri="{CE6537A1-D6FC-4f65-9D91-7224C49458BB}">
                  <c15:layout/>
                  <c15:dlblFieldTable/>
                  <c15:showDataLabelsRange val="0"/>
                </c:ext>
              </c:extLst>
            </c:dLbl>
            <c:dLbl>
              <c:idx val="2"/>
              <c:layout/>
              <c:tx>
                <c:rich>
                  <a:bodyPr/>
                  <a:lstStyle/>
                  <a:p>
                    <a:fld id="{56BB7E52-9639-4D9F-93DD-0F9D18A21FF5}" type="VALUE">
                      <a:rPr lang="en-US"/>
                      <a:pPr/>
                      <a:t>[VALUE]</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8D34-4BFC-9888-BD0BCB8A1B9E}"/>
                </c:ext>
                <c:ext xmlns:c15="http://schemas.microsoft.com/office/drawing/2012/chart" uri="{CE6537A1-D6FC-4f65-9D91-7224C49458BB}">
                  <c15:layout/>
                  <c15:dlblFieldTable/>
                  <c15:showDataLabelsRange val="0"/>
                </c:ext>
              </c:extLst>
            </c:dLbl>
            <c:dLbl>
              <c:idx val="3"/>
              <c:layout/>
              <c:tx>
                <c:rich>
                  <a:bodyPr/>
                  <a:lstStyle/>
                  <a:p>
                    <a:fld id="{A2089AC9-6807-45A0-A925-2B9BB97425BC}" type="VALUE">
                      <a:rPr lang="en-US"/>
                      <a:pPr/>
                      <a:t>[VALUE]</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8D34-4BFC-9888-BD0BCB8A1B9E}"/>
                </c:ext>
                <c:ext xmlns:c15="http://schemas.microsoft.com/office/drawing/2012/chart" uri="{CE6537A1-D6FC-4f65-9D91-7224C49458BB}">
                  <c15:layout/>
                  <c15:dlblFieldTable/>
                  <c15:showDataLabelsRange val="0"/>
                </c:ext>
              </c:extLst>
            </c:dLbl>
            <c:numFmt formatCode="#,##0.0" sourceLinked="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'Alcohol CV'!$A$5:$A$8</c:f>
              <c:strCache>
                <c:ptCount val="4"/>
                <c:pt idx="0">
                  <c:v>Cardiff </c:v>
                </c:pt>
                <c:pt idx="1">
                  <c:v>Vale of Glamorgan </c:v>
                </c:pt>
                <c:pt idx="2">
                  <c:v>Cardiff and Vale UHB</c:v>
                </c:pt>
                <c:pt idx="3">
                  <c:v>Wales </c:v>
                </c:pt>
              </c:strCache>
            </c:strRef>
          </c:cat>
          <c:val>
            <c:numRef>
              <c:f>'Alcohol CV'!$D$5:$D$8</c:f>
              <c:numCache>
                <c:formatCode>General</c:formatCode>
                <c:ptCount val="4"/>
                <c:pt idx="0">
                  <c:v>18.018584000000001</c:v>
                </c:pt>
                <c:pt idx="1">
                  <c:v>21.532015999999999</c:v>
                </c:pt>
                <c:pt idx="2">
                  <c:v>18.952838</c:v>
                </c:pt>
                <c:pt idx="3">
                  <c:v>16.134682999999999</c:v>
                </c:pt>
              </c:numCache>
            </c:numRef>
          </c:val>
          <c:extLst xmlns:c16r2="http://schemas.microsoft.com/office/drawing/2015/06/chart">
            <c:ext xmlns:c16="http://schemas.microsoft.com/office/drawing/2014/chart" uri="{C3380CC4-5D6E-409C-BE32-E72D297353CC}">
              <c16:uniqueId val="{00000002-8D34-4BFC-9888-BD0BCB8A1B9E}"/>
            </c:ext>
          </c:extLst>
        </c:ser>
        <c:ser>
          <c:idx val="3"/>
          <c:order val="3"/>
          <c:tx>
            <c:strRef>
              <c:f>'Alcohol CV'!$E$4</c:f>
              <c:strCache>
                <c:ptCount val="1"/>
                <c:pt idx="0">
                  <c:v>Harmful</c:v>
                </c:pt>
              </c:strCache>
            </c:strRef>
          </c:tx>
          <c:spPr>
            <a:solidFill>
              <a:schemeClr val="accent1">
                <a:shade val="58000"/>
              </a:schemeClr>
            </a:solidFill>
            <a:ln>
              <a:noFill/>
            </a:ln>
            <a:effectLst/>
          </c:spPr>
          <c:invertIfNegative val="0"/>
          <c:cat>
            <c:strRef>
              <c:f>'Alcohol CV'!$A$5:$A$8</c:f>
              <c:strCache>
                <c:ptCount val="4"/>
                <c:pt idx="0">
                  <c:v>Cardiff </c:v>
                </c:pt>
                <c:pt idx="1">
                  <c:v>Vale of Glamorgan </c:v>
                </c:pt>
                <c:pt idx="2">
                  <c:v>Cardiff and Vale UHB</c:v>
                </c:pt>
                <c:pt idx="3">
                  <c:v>Wales </c:v>
                </c:pt>
              </c:strCache>
            </c:strRef>
          </c:cat>
          <c:val>
            <c:numRef>
              <c:f>'Alcohol CV'!$E$5:$E$8</c:f>
              <c:numCache>
                <c:formatCode>General</c:formatCode>
                <c:ptCount val="4"/>
                <c:pt idx="0">
                  <c:v>2.1488330000000002</c:v>
                </c:pt>
                <c:pt idx="1">
                  <c:v>3.6721339999999998</c:v>
                </c:pt>
                <c:pt idx="2">
                  <c:v>2.6179519999999998</c:v>
                </c:pt>
                <c:pt idx="3">
                  <c:v>2.4765299999999999</c:v>
                </c:pt>
              </c:numCache>
            </c:numRef>
          </c:val>
          <c:extLst xmlns:c16r2="http://schemas.microsoft.com/office/drawing/2015/06/chart">
            <c:ext xmlns:c16="http://schemas.microsoft.com/office/drawing/2014/chart" uri="{C3380CC4-5D6E-409C-BE32-E72D297353CC}">
              <c16:uniqueId val="{00000003-8D34-4BFC-9888-BD0BCB8A1B9E}"/>
            </c:ext>
          </c:extLst>
        </c:ser>
        <c:dLbls>
          <c:showLegendKey val="0"/>
          <c:showVal val="0"/>
          <c:showCatName val="0"/>
          <c:showSerName val="0"/>
          <c:showPercent val="0"/>
          <c:showBubbleSize val="0"/>
        </c:dLbls>
        <c:gapWidth val="150"/>
        <c:overlap val="100"/>
        <c:axId val="143302448"/>
        <c:axId val="143302840"/>
      </c:barChart>
      <c:catAx>
        <c:axId val="143302448"/>
        <c:scaling>
          <c:orientation val="minMax"/>
        </c:scaling>
        <c:delete val="0"/>
        <c:axPos val="l"/>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302840"/>
        <c:crosses val="autoZero"/>
        <c:auto val="1"/>
        <c:lblAlgn val="ctr"/>
        <c:lblOffset val="100"/>
        <c:noMultiLvlLbl val="0"/>
      </c:catAx>
      <c:valAx>
        <c:axId val="143302840"/>
        <c:scaling>
          <c:orientation val="minMax"/>
          <c:max val="100"/>
        </c:scaling>
        <c:delete val="0"/>
        <c:axPos val="b"/>
        <c:majorGridlines>
          <c:spPr>
            <a:ln w="9525" cap="flat" cmpd="sng" algn="ctr">
              <a:solidFill>
                <a:schemeClr val="bg1">
                  <a:lumMod val="6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r>
                  <a:rPr lang="en-GB" baseline="0"/>
                  <a:t> of people</a:t>
                </a:r>
                <a:endParaRPr lang="en-GB"/>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solidFill>
              <a:schemeClr val="bg1">
                <a:lumMod val="65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302448"/>
        <c:crosses val="autoZero"/>
        <c:crossBetween val="between"/>
      </c:valAx>
      <c:spPr>
        <a:noFill/>
        <a:ln>
          <a:solidFill>
            <a:schemeClr val="bg1">
              <a:lumMod val="65000"/>
            </a:schemeClr>
          </a:solid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lumMod val="65000"/>
        </a:schemeClr>
      </a:solidFill>
      <a:round/>
    </a:ln>
    <a:effectLst/>
  </c:spPr>
  <c:txPr>
    <a:bodyPr/>
    <a:lstStyle/>
    <a:p>
      <a:pPr>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3"/>
          <c:order val="3"/>
          <c:tx>
            <c:strRef>
              <c:f>'[Teenage conception.xlsx]Sheet5'!$A$19</c:f>
              <c:strCache>
                <c:ptCount val="1"/>
                <c:pt idx="0">
                  <c:v>Vale of Glamorgan</c:v>
                </c:pt>
              </c:strCache>
            </c:strRef>
          </c:tx>
          <c:spPr>
            <a:ln w="28575" cap="rnd">
              <a:solidFill>
                <a:schemeClr val="accent4"/>
              </a:solidFill>
              <a:round/>
            </a:ln>
            <a:effectLst/>
          </c:spPr>
          <c:marker>
            <c:symbol val="none"/>
          </c:marker>
          <c:cat>
            <c:strRef>
              <c:f>'[Teenage conception.xlsx]Sheet5'!$B$14:$K$15</c:f>
              <c:strCache>
                <c:ptCount val="10"/>
                <c:pt idx="0">
                  <c:v>2009</c:v>
                </c:pt>
                <c:pt idx="1">
                  <c:v>2010</c:v>
                </c:pt>
                <c:pt idx="2">
                  <c:v>2011</c:v>
                </c:pt>
                <c:pt idx="3">
                  <c:v>2012</c:v>
                </c:pt>
                <c:pt idx="4">
                  <c:v>2013</c:v>
                </c:pt>
                <c:pt idx="5">
                  <c:v>2014</c:v>
                </c:pt>
                <c:pt idx="6">
                  <c:v>2015</c:v>
                </c:pt>
                <c:pt idx="7">
                  <c:v>2016</c:v>
                </c:pt>
                <c:pt idx="8">
                  <c:v>2017</c:v>
                </c:pt>
                <c:pt idx="9">
                  <c:v>2018</c:v>
                </c:pt>
              </c:strCache>
              <c:extLst xmlns:c16r2="http://schemas.microsoft.com/office/drawing/2015/06/chart"/>
            </c:strRef>
          </c:cat>
          <c:val>
            <c:numRef>
              <c:f>'[Teenage conception.xlsx]Sheet5'!$B$19:$K$19</c:f>
              <c:numCache>
                <c:formatCode>0.0</c:formatCode>
                <c:ptCount val="10"/>
                <c:pt idx="0">
                  <c:v>32.299999999999997</c:v>
                </c:pt>
                <c:pt idx="1">
                  <c:v>31</c:v>
                </c:pt>
                <c:pt idx="2">
                  <c:v>28.7</c:v>
                </c:pt>
                <c:pt idx="3">
                  <c:v>28.4</c:v>
                </c:pt>
                <c:pt idx="4">
                  <c:v>19.399999999999999</c:v>
                </c:pt>
                <c:pt idx="5">
                  <c:v>15.8</c:v>
                </c:pt>
                <c:pt idx="6">
                  <c:v>19.100000000000001</c:v>
                </c:pt>
                <c:pt idx="7">
                  <c:v>15.9</c:v>
                </c:pt>
                <c:pt idx="8">
                  <c:v>13.6</c:v>
                </c:pt>
                <c:pt idx="9">
                  <c:v>13.3</c:v>
                </c:pt>
              </c:numCache>
            </c:numRef>
          </c:val>
          <c:smooth val="0"/>
          <c:extLst xmlns:c16r2="http://schemas.microsoft.com/office/drawing/2015/06/chart">
            <c:ext xmlns:c16="http://schemas.microsoft.com/office/drawing/2014/chart" uri="{C3380CC4-5D6E-409C-BE32-E72D297353CC}">
              <c16:uniqueId val="{00000000-224A-42CE-A864-E2DB3016B482}"/>
            </c:ext>
          </c:extLst>
        </c:ser>
        <c:ser>
          <c:idx val="4"/>
          <c:order val="4"/>
          <c:tx>
            <c:strRef>
              <c:f>'[Teenage conception.xlsx]Sheet5'!$A$20</c:f>
              <c:strCache>
                <c:ptCount val="1"/>
                <c:pt idx="0">
                  <c:v>Cardiff</c:v>
                </c:pt>
              </c:strCache>
            </c:strRef>
          </c:tx>
          <c:spPr>
            <a:ln w="28575" cap="rnd">
              <a:solidFill>
                <a:schemeClr val="accent5"/>
              </a:solidFill>
              <a:round/>
            </a:ln>
            <a:effectLst/>
          </c:spPr>
          <c:marker>
            <c:symbol val="none"/>
          </c:marker>
          <c:cat>
            <c:strRef>
              <c:f>'[Teenage conception.xlsx]Sheet5'!$B$14:$K$15</c:f>
              <c:strCache>
                <c:ptCount val="10"/>
                <c:pt idx="0">
                  <c:v>2009</c:v>
                </c:pt>
                <c:pt idx="1">
                  <c:v>2010</c:v>
                </c:pt>
                <c:pt idx="2">
                  <c:v>2011</c:v>
                </c:pt>
                <c:pt idx="3">
                  <c:v>2012</c:v>
                </c:pt>
                <c:pt idx="4">
                  <c:v>2013</c:v>
                </c:pt>
                <c:pt idx="5">
                  <c:v>2014</c:v>
                </c:pt>
                <c:pt idx="6">
                  <c:v>2015</c:v>
                </c:pt>
                <c:pt idx="7">
                  <c:v>2016</c:v>
                </c:pt>
                <c:pt idx="8">
                  <c:v>2017</c:v>
                </c:pt>
                <c:pt idx="9">
                  <c:v>2018</c:v>
                </c:pt>
              </c:strCache>
              <c:extLst xmlns:c16r2="http://schemas.microsoft.com/office/drawing/2015/06/chart"/>
            </c:strRef>
          </c:cat>
          <c:val>
            <c:numRef>
              <c:f>'[Teenage conception.xlsx]Sheet5'!$B$20:$K$20</c:f>
              <c:numCache>
                <c:formatCode>0.0</c:formatCode>
                <c:ptCount val="10"/>
                <c:pt idx="0">
                  <c:v>45.3</c:v>
                </c:pt>
                <c:pt idx="1">
                  <c:v>46</c:v>
                </c:pt>
                <c:pt idx="2">
                  <c:v>39.200000000000003</c:v>
                </c:pt>
                <c:pt idx="3">
                  <c:v>35</c:v>
                </c:pt>
                <c:pt idx="4">
                  <c:v>30.4</c:v>
                </c:pt>
                <c:pt idx="5">
                  <c:v>27.5</c:v>
                </c:pt>
                <c:pt idx="6">
                  <c:v>27.5</c:v>
                </c:pt>
                <c:pt idx="7">
                  <c:v>22.3</c:v>
                </c:pt>
                <c:pt idx="8">
                  <c:v>21.2</c:v>
                </c:pt>
                <c:pt idx="9">
                  <c:v>19.2</c:v>
                </c:pt>
              </c:numCache>
            </c:numRef>
          </c:val>
          <c:smooth val="0"/>
          <c:extLst xmlns:c16r2="http://schemas.microsoft.com/office/drawing/2015/06/chart">
            <c:ext xmlns:c16="http://schemas.microsoft.com/office/drawing/2014/chart" uri="{C3380CC4-5D6E-409C-BE32-E72D297353CC}">
              <c16:uniqueId val="{00000001-224A-42CE-A864-E2DB3016B482}"/>
            </c:ext>
          </c:extLst>
        </c:ser>
        <c:ser>
          <c:idx val="5"/>
          <c:order val="5"/>
          <c:tx>
            <c:strRef>
              <c:f>Sheet5!#REF!</c:f>
              <c:strCache>
                <c:ptCount val="1"/>
                <c:pt idx="0">
                  <c:v>#REF!</c:v>
                </c:pt>
              </c:strCache>
            </c:strRef>
          </c:tx>
          <c:spPr>
            <a:ln w="28575" cap="rnd">
              <a:solidFill>
                <a:schemeClr val="accent6"/>
              </a:solidFill>
              <a:round/>
            </a:ln>
            <a:effectLst/>
          </c:spPr>
          <c:marker>
            <c:symbol val="none"/>
          </c:marker>
          <c:cat>
            <c:strRef>
              <c:f>'[Teenage conception.xlsx]Sheet5'!$B$14:$K$15</c:f>
              <c:strCache>
                <c:ptCount val="10"/>
                <c:pt idx="0">
                  <c:v>2009</c:v>
                </c:pt>
                <c:pt idx="1">
                  <c:v>2010</c:v>
                </c:pt>
                <c:pt idx="2">
                  <c:v>2011</c:v>
                </c:pt>
                <c:pt idx="3">
                  <c:v>2012</c:v>
                </c:pt>
                <c:pt idx="4">
                  <c:v>2013</c:v>
                </c:pt>
                <c:pt idx="5">
                  <c:v>2014</c:v>
                </c:pt>
                <c:pt idx="6">
                  <c:v>2015</c:v>
                </c:pt>
                <c:pt idx="7">
                  <c:v>2016</c:v>
                </c:pt>
                <c:pt idx="8">
                  <c:v>2017</c:v>
                </c:pt>
                <c:pt idx="9">
                  <c:v>2018</c:v>
                </c:pt>
              </c:strCache>
              <c:extLst xmlns:c16r2="http://schemas.microsoft.com/office/drawing/2015/06/chart"/>
            </c:strRef>
          </c:cat>
          <c:val>
            <c:numRef>
              <c:f>Sheet5!#REF!</c:f>
              <c:numCache>
                <c:formatCode>General</c:formatCode>
                <c:ptCount val="1"/>
                <c:pt idx="0">
                  <c:v>1</c:v>
                </c:pt>
              </c:numCache>
            </c:numRef>
          </c:val>
          <c:smooth val="0"/>
          <c:extLst xmlns:c16r2="http://schemas.microsoft.com/office/drawing/2015/06/chart">
            <c:ext xmlns:c16="http://schemas.microsoft.com/office/drawing/2014/chart" uri="{C3380CC4-5D6E-409C-BE32-E72D297353CC}">
              <c16:uniqueId val="{00000002-224A-42CE-A864-E2DB3016B482}"/>
            </c:ext>
          </c:extLst>
        </c:ser>
        <c:ser>
          <c:idx val="6"/>
          <c:order val="6"/>
          <c:tx>
            <c:strRef>
              <c:f>'[Teenage conception.xlsx]Sheet5'!$A$21</c:f>
              <c:strCache>
                <c:ptCount val="1"/>
                <c:pt idx="0">
                  <c:v>Wales</c:v>
                </c:pt>
              </c:strCache>
            </c:strRef>
          </c:tx>
          <c:spPr>
            <a:ln w="28575" cap="rnd">
              <a:solidFill>
                <a:schemeClr val="accent1">
                  <a:lumMod val="60000"/>
                </a:schemeClr>
              </a:solidFill>
              <a:round/>
            </a:ln>
            <a:effectLst/>
          </c:spPr>
          <c:marker>
            <c:symbol val="none"/>
          </c:marker>
          <c:cat>
            <c:strRef>
              <c:f>'[Teenage conception.xlsx]Sheet5'!$B$14:$K$15</c:f>
              <c:strCache>
                <c:ptCount val="10"/>
                <c:pt idx="0">
                  <c:v>2009</c:v>
                </c:pt>
                <c:pt idx="1">
                  <c:v>2010</c:v>
                </c:pt>
                <c:pt idx="2">
                  <c:v>2011</c:v>
                </c:pt>
                <c:pt idx="3">
                  <c:v>2012</c:v>
                </c:pt>
                <c:pt idx="4">
                  <c:v>2013</c:v>
                </c:pt>
                <c:pt idx="5">
                  <c:v>2014</c:v>
                </c:pt>
                <c:pt idx="6">
                  <c:v>2015</c:v>
                </c:pt>
                <c:pt idx="7">
                  <c:v>2016</c:v>
                </c:pt>
                <c:pt idx="8">
                  <c:v>2017</c:v>
                </c:pt>
                <c:pt idx="9">
                  <c:v>2018</c:v>
                </c:pt>
              </c:strCache>
              <c:extLst xmlns:c16r2="http://schemas.microsoft.com/office/drawing/2015/06/chart"/>
            </c:strRef>
          </c:cat>
          <c:val>
            <c:numRef>
              <c:f>'[Teenage conception.xlsx]Sheet5'!$B$21:$K$21</c:f>
              <c:numCache>
                <c:formatCode>0.0</c:formatCode>
                <c:ptCount val="10"/>
                <c:pt idx="0">
                  <c:v>39.299999999999997</c:v>
                </c:pt>
                <c:pt idx="1">
                  <c:v>36.9</c:v>
                </c:pt>
                <c:pt idx="2">
                  <c:v>34.200000000000003</c:v>
                </c:pt>
                <c:pt idx="3">
                  <c:v>30.8</c:v>
                </c:pt>
                <c:pt idx="4">
                  <c:v>27.3</c:v>
                </c:pt>
                <c:pt idx="5">
                  <c:v>25.4</c:v>
                </c:pt>
                <c:pt idx="6">
                  <c:v>24.3</c:v>
                </c:pt>
                <c:pt idx="7">
                  <c:v>20.9</c:v>
                </c:pt>
                <c:pt idx="8">
                  <c:v>20.2</c:v>
                </c:pt>
                <c:pt idx="9">
                  <c:v>18.899999999999999</c:v>
                </c:pt>
              </c:numCache>
            </c:numRef>
          </c:val>
          <c:smooth val="0"/>
          <c:extLst xmlns:c16r2="http://schemas.microsoft.com/office/drawing/2015/06/chart">
            <c:ext xmlns:c16="http://schemas.microsoft.com/office/drawing/2014/chart" uri="{C3380CC4-5D6E-409C-BE32-E72D297353CC}">
              <c16:uniqueId val="{00000003-224A-42CE-A864-E2DB3016B482}"/>
            </c:ext>
          </c:extLst>
        </c:ser>
        <c:dLbls>
          <c:showLegendKey val="0"/>
          <c:showVal val="0"/>
          <c:showCatName val="0"/>
          <c:showSerName val="0"/>
          <c:showPercent val="0"/>
          <c:showBubbleSize val="0"/>
        </c:dLbls>
        <c:smooth val="0"/>
        <c:axId val="143738160"/>
        <c:axId val="143738552"/>
        <c:extLst xmlns:c16r2="http://schemas.microsoft.com/office/drawing/2015/06/chart">
          <c:ext xmlns:c15="http://schemas.microsoft.com/office/drawing/2012/chart" uri="{02D57815-91ED-43cb-92C2-25804820EDAC}">
            <c15:filteredLineSeries>
              <c15:ser>
                <c:idx val="0"/>
                <c:order val="0"/>
                <c:tx>
                  <c:strRef>
                    <c:extLst xmlns:c16r2="http://schemas.microsoft.com/office/drawing/2015/06/chart">
                      <c:ext uri="{02D57815-91ED-43cb-92C2-25804820EDAC}">
                        <c15:formulaRef>
                          <c15:sqref>'[Teenage conception.xlsx]Sheet5'!$A$16</c15:sqref>
                        </c15:formulaRef>
                      </c:ext>
                    </c:extLst>
                    <c:strCache>
                      <c:ptCount val="1"/>
                    </c:strCache>
                  </c:strRef>
                </c:tx>
                <c:spPr>
                  <a:ln w="28575" cap="rnd">
                    <a:solidFill>
                      <a:schemeClr val="accent1"/>
                    </a:solidFill>
                    <a:round/>
                  </a:ln>
                  <a:effectLst/>
                </c:spPr>
                <c:marker>
                  <c:symbol val="none"/>
                </c:marker>
                <c:cat>
                  <c:strRef>
                    <c:extLst xmlns:c16r2="http://schemas.microsoft.com/office/drawing/2015/06/chart">
                      <c:ext uri="{02D57815-91ED-43cb-92C2-25804820EDAC}">
                        <c15:formulaRef>
                          <c15:sqref>'[Teenage conception.xlsx]Sheet5'!$B$14:$K$15</c15:sqref>
                        </c15:formulaRef>
                      </c:ext>
                    </c:extLst>
                    <c:strCache>
                      <c:ptCount val="10"/>
                      <c:pt idx="0">
                        <c:v>2009</c:v>
                      </c:pt>
                      <c:pt idx="1">
                        <c:v>2010</c:v>
                      </c:pt>
                      <c:pt idx="2">
                        <c:v>2011</c:v>
                      </c:pt>
                      <c:pt idx="3">
                        <c:v>2012</c:v>
                      </c:pt>
                      <c:pt idx="4">
                        <c:v>2013</c:v>
                      </c:pt>
                      <c:pt idx="5">
                        <c:v>2014</c:v>
                      </c:pt>
                      <c:pt idx="6">
                        <c:v>2015</c:v>
                      </c:pt>
                      <c:pt idx="7">
                        <c:v>2016</c:v>
                      </c:pt>
                      <c:pt idx="8">
                        <c:v>2017</c:v>
                      </c:pt>
                      <c:pt idx="9">
                        <c:v>2018</c:v>
                      </c:pt>
                    </c:strCache>
                  </c:strRef>
                </c:cat>
                <c:val>
                  <c:numRef>
                    <c:extLst xmlns:c16r2="http://schemas.microsoft.com/office/drawing/2015/06/chart">
                      <c:ext uri="{02D57815-91ED-43cb-92C2-25804820EDAC}">
                        <c15:formulaRef>
                          <c15:sqref>'[Teenage conception.xlsx]Sheet5'!$B$16:$K$16</c15:sqref>
                        </c15:formulaRef>
                      </c:ext>
                    </c:extLst>
                    <c:numCache>
                      <c:formatCode>General</c:formatCode>
                      <c:ptCount val="10"/>
                    </c:numCache>
                  </c:numRef>
                </c:val>
                <c:smooth val="0"/>
                <c:extLst xmlns:c16r2="http://schemas.microsoft.com/office/drawing/2015/06/chart">
                  <c:ext xmlns:c16="http://schemas.microsoft.com/office/drawing/2014/chart" uri="{C3380CC4-5D6E-409C-BE32-E72D297353CC}">
                    <c16:uniqueId val="{00000004-224A-42CE-A864-E2DB3016B482}"/>
                  </c:ext>
                </c:extLst>
              </c15:ser>
            </c15:filteredLineSeries>
            <c15:filteredLineSeries>
              <c15:ser>
                <c:idx val="1"/>
                <c:order val="1"/>
                <c:tx>
                  <c:strRef>
                    <c:extLst xmlns:c16r2="http://schemas.microsoft.com/office/drawing/2015/06/chart" xmlns:c15="http://schemas.microsoft.com/office/drawing/2012/chart">
                      <c:ext xmlns:c15="http://schemas.microsoft.com/office/drawing/2012/chart" uri="{02D57815-91ED-43cb-92C2-25804820EDAC}">
                        <c15:formulaRef>
                          <c15:sqref>'[Teenage conception.xlsx]Sheet5'!$A$17</c15:sqref>
                        </c15:formulaRef>
                      </c:ext>
                    </c:extLst>
                    <c:strCache>
                      <c:ptCount val="1"/>
                    </c:strCache>
                  </c:strRef>
                </c:tx>
                <c:spPr>
                  <a:ln w="28575" cap="rnd">
                    <a:solidFill>
                      <a:schemeClr val="accent2"/>
                    </a:solidFill>
                    <a:round/>
                  </a:ln>
                  <a:effectLst/>
                </c:spPr>
                <c:marker>
                  <c:symbol val="none"/>
                </c:marker>
                <c:cat>
                  <c:strRef>
                    <c:extLst xmlns:c16r2="http://schemas.microsoft.com/office/drawing/2015/06/chart" xmlns:c15="http://schemas.microsoft.com/office/drawing/2012/chart">
                      <c:ext xmlns:c15="http://schemas.microsoft.com/office/drawing/2012/chart" uri="{02D57815-91ED-43cb-92C2-25804820EDAC}">
                        <c15:formulaRef>
                          <c15:sqref>'[Teenage conception.xlsx]Sheet5'!$B$14:$K$15</c15:sqref>
                        </c15:formulaRef>
                      </c:ext>
                    </c:extLst>
                    <c:strCache>
                      <c:ptCount val="10"/>
                      <c:pt idx="0">
                        <c:v>2009</c:v>
                      </c:pt>
                      <c:pt idx="1">
                        <c:v>2010</c:v>
                      </c:pt>
                      <c:pt idx="2">
                        <c:v>2011</c:v>
                      </c:pt>
                      <c:pt idx="3">
                        <c:v>2012</c:v>
                      </c:pt>
                      <c:pt idx="4">
                        <c:v>2013</c:v>
                      </c:pt>
                      <c:pt idx="5">
                        <c:v>2014</c:v>
                      </c:pt>
                      <c:pt idx="6">
                        <c:v>2015</c:v>
                      </c:pt>
                      <c:pt idx="7">
                        <c:v>2016</c:v>
                      </c:pt>
                      <c:pt idx="8">
                        <c:v>2017</c:v>
                      </c:pt>
                      <c:pt idx="9">
                        <c:v>2018</c:v>
                      </c:pt>
                    </c:strCache>
                  </c:strRef>
                </c:cat>
                <c:val>
                  <c:numRef>
                    <c:extLst xmlns:c16r2="http://schemas.microsoft.com/office/drawing/2015/06/chart" xmlns:c15="http://schemas.microsoft.com/office/drawing/2012/chart">
                      <c:ext xmlns:c15="http://schemas.microsoft.com/office/drawing/2012/chart" uri="{02D57815-91ED-43cb-92C2-25804820EDAC}">
                        <c15:formulaRef>
                          <c15:sqref>'[Teenage conception.xlsx]Sheet5'!$B$17:$K$17</c15:sqref>
                        </c15:formulaRef>
                      </c:ext>
                    </c:extLst>
                    <c:numCache>
                      <c:formatCode>General</c:formatCode>
                      <c:ptCount val="10"/>
                    </c:numCache>
                  </c:numRef>
                </c:val>
                <c:smooth val="0"/>
                <c:extLst xmlns:c16r2="http://schemas.microsoft.com/office/drawing/2015/06/chart" xmlns:c15="http://schemas.microsoft.com/office/drawing/2012/chart">
                  <c:ext xmlns:c16="http://schemas.microsoft.com/office/drawing/2014/chart" uri="{C3380CC4-5D6E-409C-BE32-E72D297353CC}">
                    <c16:uniqueId val="{00000005-224A-42CE-A864-E2DB3016B482}"/>
                  </c:ext>
                </c:extLst>
              </c15:ser>
            </c15:filteredLineSeries>
            <c15:filteredLineSeries>
              <c15:ser>
                <c:idx val="2"/>
                <c:order val="2"/>
                <c:tx>
                  <c:strRef>
                    <c:extLst xmlns:c16r2="http://schemas.microsoft.com/office/drawing/2015/06/chart" xmlns:c15="http://schemas.microsoft.com/office/drawing/2012/chart">
                      <c:ext xmlns:c15="http://schemas.microsoft.com/office/drawing/2012/chart" uri="{02D57815-91ED-43cb-92C2-25804820EDAC}">
                        <c15:formulaRef>
                          <c15:sqref>'[Teenage conception.xlsx]Sheet5'!$A$18</c15:sqref>
                        </c15:formulaRef>
                      </c:ext>
                    </c:extLst>
                    <c:strCache>
                      <c:ptCount val="1"/>
                    </c:strCache>
                  </c:strRef>
                </c:tx>
                <c:spPr>
                  <a:ln w="28575" cap="rnd">
                    <a:solidFill>
                      <a:schemeClr val="accent3"/>
                    </a:solidFill>
                    <a:round/>
                  </a:ln>
                  <a:effectLst/>
                </c:spPr>
                <c:marker>
                  <c:symbol val="none"/>
                </c:marker>
                <c:cat>
                  <c:strRef>
                    <c:extLst xmlns:c16r2="http://schemas.microsoft.com/office/drawing/2015/06/chart" xmlns:c15="http://schemas.microsoft.com/office/drawing/2012/chart">
                      <c:ext xmlns:c15="http://schemas.microsoft.com/office/drawing/2012/chart" uri="{02D57815-91ED-43cb-92C2-25804820EDAC}">
                        <c15:formulaRef>
                          <c15:sqref>'[Teenage conception.xlsx]Sheet5'!$B$14:$K$15</c15:sqref>
                        </c15:formulaRef>
                      </c:ext>
                    </c:extLst>
                    <c:strCache>
                      <c:ptCount val="10"/>
                      <c:pt idx="0">
                        <c:v>2009</c:v>
                      </c:pt>
                      <c:pt idx="1">
                        <c:v>2010</c:v>
                      </c:pt>
                      <c:pt idx="2">
                        <c:v>2011</c:v>
                      </c:pt>
                      <c:pt idx="3">
                        <c:v>2012</c:v>
                      </c:pt>
                      <c:pt idx="4">
                        <c:v>2013</c:v>
                      </c:pt>
                      <c:pt idx="5">
                        <c:v>2014</c:v>
                      </c:pt>
                      <c:pt idx="6">
                        <c:v>2015</c:v>
                      </c:pt>
                      <c:pt idx="7">
                        <c:v>2016</c:v>
                      </c:pt>
                      <c:pt idx="8">
                        <c:v>2017</c:v>
                      </c:pt>
                      <c:pt idx="9">
                        <c:v>2018</c:v>
                      </c:pt>
                    </c:strCache>
                  </c:strRef>
                </c:cat>
                <c:val>
                  <c:numRef>
                    <c:extLst xmlns:c16r2="http://schemas.microsoft.com/office/drawing/2015/06/chart" xmlns:c15="http://schemas.microsoft.com/office/drawing/2012/chart">
                      <c:ext xmlns:c15="http://schemas.microsoft.com/office/drawing/2012/chart" uri="{02D57815-91ED-43cb-92C2-25804820EDAC}">
                        <c15:formulaRef>
                          <c15:sqref>'[Teenage conception.xlsx]Sheet5'!$B$18:$K$18</c15:sqref>
                        </c15:formulaRef>
                      </c:ext>
                    </c:extLst>
                    <c:numCache>
                      <c:formatCode>General</c:formatCode>
                      <c:ptCount val="10"/>
                    </c:numCache>
                  </c:numRef>
                </c:val>
                <c:smooth val="0"/>
                <c:extLst xmlns:c16r2="http://schemas.microsoft.com/office/drawing/2015/06/chart" xmlns:c15="http://schemas.microsoft.com/office/drawing/2012/chart">
                  <c:ext xmlns:c16="http://schemas.microsoft.com/office/drawing/2014/chart" uri="{C3380CC4-5D6E-409C-BE32-E72D297353CC}">
                    <c16:uniqueId val="{00000006-224A-42CE-A864-E2DB3016B482}"/>
                  </c:ext>
                </c:extLst>
              </c15:ser>
            </c15:filteredLineSeries>
          </c:ext>
        </c:extLst>
      </c:lineChart>
      <c:catAx>
        <c:axId val="143738160"/>
        <c:scaling>
          <c:orientation val="minMax"/>
        </c:scaling>
        <c:delete val="0"/>
        <c:axPos val="b"/>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738552"/>
        <c:crosses val="autoZero"/>
        <c:auto val="1"/>
        <c:lblAlgn val="ctr"/>
        <c:lblOffset val="100"/>
        <c:noMultiLvlLbl val="0"/>
      </c:catAx>
      <c:valAx>
        <c:axId val="143738552"/>
        <c:scaling>
          <c:orientation val="minMax"/>
        </c:scaling>
        <c:delete val="0"/>
        <c:axPos val="l"/>
        <c:majorGridlines>
          <c:spPr>
            <a:ln w="9525" cap="flat" cmpd="sng" algn="ctr">
              <a:solidFill>
                <a:schemeClr val="bg1">
                  <a:lumMod val="6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Crude Rate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738160"/>
        <c:crosses val="autoZero"/>
        <c:crossBetween val="between"/>
      </c:valAx>
      <c:spPr>
        <a:noFill/>
        <a:ln>
          <a:noFill/>
        </a:ln>
        <a:effectLst/>
      </c:spPr>
    </c:plotArea>
    <c:legend>
      <c:legendPos val="b"/>
      <c:legendEntry>
        <c:idx val="2"/>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3611176727909012"/>
          <c:y val="3.2407407407407406E-2"/>
          <c:w val="0.55833202099737533"/>
          <c:h val="0.93055336832895885"/>
        </c:manualLayout>
      </c:layout>
      <c:pieChart>
        <c:varyColors val="1"/>
        <c:ser>
          <c:idx val="0"/>
          <c:order val="0"/>
          <c:dPt>
            <c:idx val="0"/>
            <c:bubble3D val="0"/>
            <c:spPr>
              <a:solidFill>
                <a:schemeClr val="accent1">
                  <a:lumMod val="60000"/>
                  <a:lumOff val="4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8893-4F7D-8BD0-FE9E589357D0}"/>
              </c:ext>
            </c:extLst>
          </c:dPt>
          <c:dPt>
            <c:idx val="1"/>
            <c:bubble3D val="0"/>
            <c:spPr>
              <a:solidFill>
                <a:schemeClr val="accent4">
                  <a:lumMod val="7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8893-4F7D-8BD0-FE9E589357D0}"/>
              </c:ext>
            </c:extLst>
          </c:dPt>
          <c:dPt>
            <c:idx val="2"/>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5-8893-4F7D-8BD0-FE9E589357D0}"/>
              </c:ext>
            </c:extLst>
          </c:dPt>
          <c:dPt>
            <c:idx val="3"/>
            <c:bubble3D val="0"/>
            <c:spPr>
              <a:solidFill>
                <a:schemeClr val="accent4">
                  <a:lumMod val="60000"/>
                  <a:lumOff val="4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8893-4F7D-8BD0-FE9E589357D0}"/>
              </c:ext>
            </c:extLst>
          </c:dPt>
          <c:cat>
            <c:strRef>
              <c:f>'[Patient and Pubic Quwstionnaire Responses CVUHB.xlsx]Q13'!$AD$5:$AD$8</c:f>
              <c:strCache>
                <c:ptCount val="4"/>
                <c:pt idx="0">
                  <c:v>Less than 5 minutes</c:v>
                </c:pt>
                <c:pt idx="1">
                  <c:v>Between 5 and 15 minutes</c:v>
                </c:pt>
                <c:pt idx="2">
                  <c:v>More than 15 minutes but less than 20 minutes</c:v>
                </c:pt>
                <c:pt idx="3">
                  <c:v>More than 20 minutes</c:v>
                </c:pt>
              </c:strCache>
            </c:strRef>
          </c:cat>
          <c:val>
            <c:numRef>
              <c:f>'[Patient and Pubic Quwstionnaire Responses CVUHB.xlsx]Q13'!$AE$5:$AE$8</c:f>
              <c:numCache>
                <c:formatCode>0.00%</c:formatCode>
                <c:ptCount val="4"/>
                <c:pt idx="0">
                  <c:v>0.375</c:v>
                </c:pt>
                <c:pt idx="1">
                  <c:v>0.52302631578947367</c:v>
                </c:pt>
                <c:pt idx="2">
                  <c:v>6.5789473684210523E-2</c:v>
                </c:pt>
                <c:pt idx="3">
                  <c:v>3.6184210526315791E-2</c:v>
                </c:pt>
              </c:numCache>
            </c:numRef>
          </c:val>
          <c:extLst xmlns:c16r2="http://schemas.microsoft.com/office/drawing/2015/06/chart">
            <c:ext xmlns:c16="http://schemas.microsoft.com/office/drawing/2014/chart" uri="{C3380CC4-5D6E-409C-BE32-E72D297353CC}">
              <c16:uniqueId val="{00000008-8893-4F7D-8BD0-FE9E589357D0}"/>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0"/>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mn-cs"/>
              </a:defRPr>
            </a:pPr>
            <a:endParaRPr lang="en-US"/>
          </a:p>
        </c:txPr>
      </c:legendEntry>
      <c:legendEntry>
        <c:idx val="1"/>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mn-cs"/>
              </a:defRPr>
            </a:pPr>
            <a:endParaRPr lang="en-US"/>
          </a:p>
        </c:txPr>
      </c:legendEntry>
      <c:legendEntry>
        <c:idx val="2"/>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mn-cs"/>
              </a:defRPr>
            </a:pPr>
            <a:endParaRPr lang="en-US"/>
          </a:p>
        </c:txPr>
      </c:legendEntry>
      <c:legendEntry>
        <c:idx val="3"/>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mn-cs"/>
              </a:defRPr>
            </a:pPr>
            <a:endParaRPr lang="en-US"/>
          </a:p>
        </c:txPr>
      </c:legendEntry>
      <c:layout>
        <c:manualLayout>
          <c:xMode val="edge"/>
          <c:yMode val="edge"/>
          <c:x val="2.2837051618547675E-2"/>
          <c:y val="6.0182997958588481E-2"/>
          <c:w val="0.31543678915135603"/>
          <c:h val="0.9120392242636337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60000"/>
                <a:lumOff val="40000"/>
              </a:schemeClr>
            </a:solidFill>
            <a:ln>
              <a:noFill/>
            </a:ln>
            <a:effectLst/>
          </c:spPr>
          <c:invertIfNegative val="0"/>
          <c:dPt>
            <c:idx val="0"/>
            <c:invertIfNegative val="0"/>
            <c:bubble3D val="0"/>
            <c:spPr>
              <a:solidFill>
                <a:schemeClr val="accent1">
                  <a:lumMod val="60000"/>
                  <a:lumOff val="40000"/>
                </a:schemeClr>
              </a:solidFill>
              <a:ln>
                <a:noFill/>
              </a:ln>
              <a:effectLst/>
            </c:spPr>
            <c:extLst xmlns:c16r2="http://schemas.microsoft.com/office/drawing/2015/06/chart">
              <c:ext xmlns:c16="http://schemas.microsoft.com/office/drawing/2014/chart" uri="{C3380CC4-5D6E-409C-BE32-E72D297353CC}">
                <c16:uniqueId val="{00000001-0C42-46C7-B8D7-0D53C9BC398E}"/>
              </c:ext>
            </c:extLst>
          </c:dPt>
          <c:cat>
            <c:numRef>
              <c:f>'[CVUHB Graphs Advanced and Enhanced Services.xlsx]EHC 2018'!$B$20:$M$20</c:f>
              <c:numCache>
                <c:formatCode>mmm\-yy</c:formatCode>
                <c:ptCount val="12"/>
                <c:pt idx="0">
                  <c:v>43191</c:v>
                </c:pt>
                <c:pt idx="1">
                  <c:v>43221</c:v>
                </c:pt>
                <c:pt idx="2">
                  <c:v>43252</c:v>
                </c:pt>
                <c:pt idx="3">
                  <c:v>43282</c:v>
                </c:pt>
                <c:pt idx="4">
                  <c:v>43313</c:v>
                </c:pt>
                <c:pt idx="5">
                  <c:v>43344</c:v>
                </c:pt>
                <c:pt idx="6">
                  <c:v>43374</c:v>
                </c:pt>
                <c:pt idx="7">
                  <c:v>43405</c:v>
                </c:pt>
                <c:pt idx="8">
                  <c:v>43435</c:v>
                </c:pt>
                <c:pt idx="9">
                  <c:v>43466</c:v>
                </c:pt>
                <c:pt idx="10">
                  <c:v>43497</c:v>
                </c:pt>
                <c:pt idx="11">
                  <c:v>43525</c:v>
                </c:pt>
              </c:numCache>
            </c:numRef>
          </c:cat>
          <c:val>
            <c:numRef>
              <c:f>'[CVUHB Graphs Advanced and Enhanced Services.xlsx]EHC 2018'!$B$21:$M$21</c:f>
              <c:numCache>
                <c:formatCode>General</c:formatCode>
                <c:ptCount val="12"/>
                <c:pt idx="0">
                  <c:v>713</c:v>
                </c:pt>
                <c:pt idx="1">
                  <c:v>622</c:v>
                </c:pt>
                <c:pt idx="2">
                  <c:v>734</c:v>
                </c:pt>
                <c:pt idx="3">
                  <c:v>586</c:v>
                </c:pt>
                <c:pt idx="4">
                  <c:v>715</c:v>
                </c:pt>
                <c:pt idx="5">
                  <c:v>959</c:v>
                </c:pt>
                <c:pt idx="6">
                  <c:v>816</c:v>
                </c:pt>
                <c:pt idx="7">
                  <c:v>778</c:v>
                </c:pt>
                <c:pt idx="8">
                  <c:v>750</c:v>
                </c:pt>
                <c:pt idx="9">
                  <c:v>846</c:v>
                </c:pt>
                <c:pt idx="10">
                  <c:v>754</c:v>
                </c:pt>
                <c:pt idx="11">
                  <c:v>596</c:v>
                </c:pt>
              </c:numCache>
            </c:numRef>
          </c:val>
          <c:extLst xmlns:c16r2="http://schemas.microsoft.com/office/drawing/2015/06/chart">
            <c:ext xmlns:c16="http://schemas.microsoft.com/office/drawing/2014/chart" uri="{C3380CC4-5D6E-409C-BE32-E72D297353CC}">
              <c16:uniqueId val="{00000000-0C42-46C7-B8D7-0D53C9BC398E}"/>
            </c:ext>
          </c:extLst>
        </c:ser>
        <c:dLbls>
          <c:showLegendKey val="0"/>
          <c:showVal val="0"/>
          <c:showCatName val="0"/>
          <c:showSerName val="0"/>
          <c:showPercent val="0"/>
          <c:showBubbleSize val="0"/>
        </c:dLbls>
        <c:gapWidth val="219"/>
        <c:overlap val="-27"/>
        <c:axId val="143839056"/>
        <c:axId val="143839448"/>
      </c:barChart>
      <c:dateAx>
        <c:axId val="1438390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latin typeface="Arial" panose="020B0604020202020204" pitchFamily="34" charset="0"/>
                    <a:cs typeface="Arial" panose="020B0604020202020204" pitchFamily="34" charset="0"/>
                  </a:rPr>
                  <a:t>Months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839448"/>
        <c:crosses val="autoZero"/>
        <c:auto val="1"/>
        <c:lblOffset val="100"/>
        <c:baseTimeUnit val="months"/>
      </c:dateAx>
      <c:valAx>
        <c:axId val="143839448"/>
        <c:scaling>
          <c:orientation val="minMax"/>
        </c:scaling>
        <c:delete val="0"/>
        <c:axPos val="l"/>
        <c:majorGridlines>
          <c:spPr>
            <a:ln w="9525" cap="flat" cmpd="sng" algn="ctr">
              <a:solidFill>
                <a:schemeClr val="bg1">
                  <a:lumMod val="6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latin typeface="Arial" panose="020B0604020202020204" pitchFamily="34" charset="0"/>
                    <a:cs typeface="Arial" panose="020B0604020202020204" pitchFamily="34" charset="0"/>
                  </a:rPr>
                  <a:t>No</a:t>
                </a:r>
                <a:r>
                  <a:rPr lang="en-GB" b="1" baseline="0">
                    <a:latin typeface="Arial" panose="020B0604020202020204" pitchFamily="34" charset="0"/>
                    <a:cs typeface="Arial" panose="020B0604020202020204" pitchFamily="34" charset="0"/>
                  </a:rPr>
                  <a:t> of consultations</a:t>
                </a:r>
                <a:endParaRPr lang="en-GB" b="1">
                  <a:latin typeface="Arial" panose="020B0604020202020204" pitchFamily="34" charset="0"/>
                  <a:cs typeface="Arial" panose="020B0604020202020204" pitchFamily="34" charset="0"/>
                </a:endParaRPr>
              </a:p>
            </c:rich>
          </c:tx>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839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60000"/>
                <a:lumOff val="40000"/>
              </a:schemeClr>
            </a:solidFill>
            <a:ln>
              <a:noFill/>
            </a:ln>
            <a:effectLst/>
          </c:spPr>
          <c:invertIfNegative val="0"/>
          <c:cat>
            <c:numRef>
              <c:f>'[CVUHB Graphs Advanced and Enhanced Services.xlsx]EHC 2019'!$B$20:$M$20</c:f>
              <c:numCache>
                <c:formatCode>mmm\-yy</c:formatCode>
                <c:ptCount val="12"/>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numCache>
            </c:numRef>
          </c:cat>
          <c:val>
            <c:numRef>
              <c:f>'[CVUHB Graphs Advanced and Enhanced Services.xlsx]EHC 2019'!$B$21:$M$21</c:f>
              <c:numCache>
                <c:formatCode>General</c:formatCode>
                <c:ptCount val="12"/>
                <c:pt idx="0">
                  <c:v>812</c:v>
                </c:pt>
                <c:pt idx="1">
                  <c:v>645</c:v>
                </c:pt>
                <c:pt idx="2">
                  <c:v>648</c:v>
                </c:pt>
                <c:pt idx="3">
                  <c:v>655</c:v>
                </c:pt>
                <c:pt idx="4">
                  <c:v>755</c:v>
                </c:pt>
                <c:pt idx="5">
                  <c:v>795</c:v>
                </c:pt>
                <c:pt idx="6">
                  <c:v>795</c:v>
                </c:pt>
                <c:pt idx="7">
                  <c:v>796</c:v>
                </c:pt>
                <c:pt idx="8">
                  <c:v>739</c:v>
                </c:pt>
                <c:pt idx="9">
                  <c:v>759</c:v>
                </c:pt>
                <c:pt idx="10">
                  <c:v>570</c:v>
                </c:pt>
                <c:pt idx="11">
                  <c:v>136</c:v>
                </c:pt>
              </c:numCache>
            </c:numRef>
          </c:val>
          <c:extLst xmlns:c16r2="http://schemas.microsoft.com/office/drawing/2015/06/chart">
            <c:ext xmlns:c16="http://schemas.microsoft.com/office/drawing/2014/chart" uri="{C3380CC4-5D6E-409C-BE32-E72D297353CC}">
              <c16:uniqueId val="{00000000-F0C4-4731-86A6-8D6F97EBFB93}"/>
            </c:ext>
          </c:extLst>
        </c:ser>
        <c:dLbls>
          <c:showLegendKey val="0"/>
          <c:showVal val="0"/>
          <c:showCatName val="0"/>
          <c:showSerName val="0"/>
          <c:showPercent val="0"/>
          <c:showBubbleSize val="0"/>
        </c:dLbls>
        <c:gapWidth val="219"/>
        <c:overlap val="-27"/>
        <c:axId val="143840624"/>
        <c:axId val="143841016"/>
      </c:barChart>
      <c:dateAx>
        <c:axId val="1438406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latin typeface="Arial" panose="020B0604020202020204" pitchFamily="34" charset="0"/>
                    <a:cs typeface="Arial" panose="020B0604020202020204" pitchFamily="34" charset="0"/>
                  </a:rPr>
                  <a:t>Months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841016"/>
        <c:crosses val="autoZero"/>
        <c:auto val="1"/>
        <c:lblOffset val="100"/>
        <c:baseTimeUnit val="months"/>
      </c:dateAx>
      <c:valAx>
        <c:axId val="143841016"/>
        <c:scaling>
          <c:orientation val="minMax"/>
        </c:scaling>
        <c:delete val="0"/>
        <c:axPos val="l"/>
        <c:majorGridlines>
          <c:spPr>
            <a:ln w="9525" cap="flat" cmpd="sng" algn="ctr">
              <a:solidFill>
                <a:schemeClr val="bg1">
                  <a:lumMod val="6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latin typeface="Arial" panose="020B0604020202020204" pitchFamily="34" charset="0"/>
                    <a:cs typeface="Arial" panose="020B0604020202020204" pitchFamily="34" charset="0"/>
                  </a:rPr>
                  <a:t>Number</a:t>
                </a:r>
                <a:r>
                  <a:rPr lang="en-GB" b="1" baseline="0">
                    <a:latin typeface="Arial" panose="020B0604020202020204" pitchFamily="34" charset="0"/>
                    <a:cs typeface="Arial" panose="020B0604020202020204" pitchFamily="34" charset="0"/>
                  </a:rPr>
                  <a:t> of consultations</a:t>
                </a:r>
                <a:endParaRPr lang="en-GB" b="1">
                  <a:latin typeface="Arial" panose="020B0604020202020204" pitchFamily="34" charset="0"/>
                  <a:cs typeface="Arial" panose="020B0604020202020204" pitchFamily="34" charset="0"/>
                </a:endParaRPr>
              </a:p>
            </c:rich>
          </c:tx>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840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60000"/>
                <a:lumOff val="40000"/>
              </a:schemeClr>
            </a:solidFill>
            <a:ln>
              <a:noFill/>
            </a:ln>
            <a:effectLst/>
          </c:spPr>
          <c:invertIfNegative val="0"/>
          <c:cat>
            <c:numRef>
              <c:f>'[CVUHB Graphs Advanced and Enhanced Services.xlsx]EHC 2020'!$B$20:$F$20</c:f>
              <c:numCache>
                <c:formatCode>mmm\-yy</c:formatCode>
                <c:ptCount val="5"/>
                <c:pt idx="0">
                  <c:v>43922</c:v>
                </c:pt>
                <c:pt idx="1">
                  <c:v>43952</c:v>
                </c:pt>
                <c:pt idx="2">
                  <c:v>43983</c:v>
                </c:pt>
                <c:pt idx="3">
                  <c:v>44013</c:v>
                </c:pt>
                <c:pt idx="4">
                  <c:v>44044</c:v>
                </c:pt>
              </c:numCache>
            </c:numRef>
          </c:cat>
          <c:val>
            <c:numRef>
              <c:f>'[CVUHB Graphs Advanced and Enhanced Services.xlsx]EHC 2020'!$B$21:$F$21</c:f>
              <c:numCache>
                <c:formatCode>General</c:formatCode>
                <c:ptCount val="5"/>
                <c:pt idx="0">
                  <c:v>177</c:v>
                </c:pt>
                <c:pt idx="1">
                  <c:v>403</c:v>
                </c:pt>
                <c:pt idx="2">
                  <c:v>418</c:v>
                </c:pt>
                <c:pt idx="3">
                  <c:v>590</c:v>
                </c:pt>
                <c:pt idx="4">
                  <c:v>658</c:v>
                </c:pt>
              </c:numCache>
            </c:numRef>
          </c:val>
          <c:extLst xmlns:c16r2="http://schemas.microsoft.com/office/drawing/2015/06/chart">
            <c:ext xmlns:c16="http://schemas.microsoft.com/office/drawing/2014/chart" uri="{C3380CC4-5D6E-409C-BE32-E72D297353CC}">
              <c16:uniqueId val="{00000000-E9F1-4E08-9649-2E91E0D2453C}"/>
            </c:ext>
          </c:extLst>
        </c:ser>
        <c:dLbls>
          <c:showLegendKey val="0"/>
          <c:showVal val="0"/>
          <c:showCatName val="0"/>
          <c:showSerName val="0"/>
          <c:showPercent val="0"/>
          <c:showBubbleSize val="0"/>
        </c:dLbls>
        <c:gapWidth val="219"/>
        <c:overlap val="-27"/>
        <c:axId val="143842192"/>
        <c:axId val="143842584"/>
      </c:barChart>
      <c:dateAx>
        <c:axId val="1438421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Months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842584"/>
        <c:crosses val="autoZero"/>
        <c:auto val="1"/>
        <c:lblOffset val="100"/>
        <c:baseTimeUnit val="months"/>
      </c:dateAx>
      <c:valAx>
        <c:axId val="143842584"/>
        <c:scaling>
          <c:orientation val="minMax"/>
        </c:scaling>
        <c:delete val="0"/>
        <c:axPos val="l"/>
        <c:majorGridlines>
          <c:spPr>
            <a:ln w="9525" cap="flat" cmpd="sng" algn="ctr">
              <a:solidFill>
                <a:schemeClr val="bg1">
                  <a:lumMod val="6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Number</a:t>
                </a:r>
                <a:r>
                  <a:rPr lang="en-GB" b="1" baseline="0"/>
                  <a:t> of complete consultations</a:t>
                </a:r>
                <a:endParaRPr lang="en-GB" b="1"/>
              </a:p>
            </c:rich>
          </c:tx>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8421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'EHC Year Comparison'!$A$20</c:f>
              <c:strCache>
                <c:ptCount val="1"/>
                <c:pt idx="0">
                  <c:v>2018-19</c:v>
                </c:pt>
              </c:strCache>
            </c:strRef>
          </c:tx>
          <c:spPr>
            <a:ln w="28575" cap="rnd">
              <a:solidFill>
                <a:schemeClr val="accent1"/>
              </a:solidFill>
              <a:round/>
            </a:ln>
            <a:effectLst/>
          </c:spPr>
          <c:marker>
            <c:symbol val="none"/>
          </c:marker>
          <c:cat>
            <c:strRef>
              <c:f>'EHC Year Comparison'!$B$19:$M$19</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'EHC Year Comparison'!$B$20:$M$20</c:f>
              <c:numCache>
                <c:formatCode>General</c:formatCode>
                <c:ptCount val="12"/>
                <c:pt idx="0">
                  <c:v>713</c:v>
                </c:pt>
                <c:pt idx="1">
                  <c:v>622</c:v>
                </c:pt>
                <c:pt idx="2">
                  <c:v>734</c:v>
                </c:pt>
                <c:pt idx="3">
                  <c:v>586</c:v>
                </c:pt>
                <c:pt idx="4">
                  <c:v>715</c:v>
                </c:pt>
                <c:pt idx="5">
                  <c:v>959</c:v>
                </c:pt>
                <c:pt idx="6">
                  <c:v>816</c:v>
                </c:pt>
                <c:pt idx="7">
                  <c:v>778</c:v>
                </c:pt>
                <c:pt idx="8">
                  <c:v>750</c:v>
                </c:pt>
                <c:pt idx="9">
                  <c:v>846</c:v>
                </c:pt>
                <c:pt idx="10">
                  <c:v>754</c:v>
                </c:pt>
                <c:pt idx="11">
                  <c:v>596</c:v>
                </c:pt>
              </c:numCache>
            </c:numRef>
          </c:val>
          <c:smooth val="0"/>
          <c:extLst xmlns:c16r2="http://schemas.microsoft.com/office/drawing/2015/06/chart">
            <c:ext xmlns:c16="http://schemas.microsoft.com/office/drawing/2014/chart" uri="{C3380CC4-5D6E-409C-BE32-E72D297353CC}">
              <c16:uniqueId val="{00000000-4D28-4E5D-BA0A-198654C476D5}"/>
            </c:ext>
          </c:extLst>
        </c:ser>
        <c:ser>
          <c:idx val="1"/>
          <c:order val="1"/>
          <c:tx>
            <c:strRef>
              <c:f>'EHC Year Comparison'!$A$21</c:f>
              <c:strCache>
                <c:ptCount val="1"/>
                <c:pt idx="0">
                  <c:v>2019-20</c:v>
                </c:pt>
              </c:strCache>
            </c:strRef>
          </c:tx>
          <c:spPr>
            <a:ln w="28575" cap="rnd">
              <a:solidFill>
                <a:schemeClr val="accent2"/>
              </a:solidFill>
              <a:round/>
            </a:ln>
            <a:effectLst/>
          </c:spPr>
          <c:marker>
            <c:symbol val="none"/>
          </c:marker>
          <c:cat>
            <c:strRef>
              <c:f>'EHC Year Comparison'!$B$19:$M$19</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'EHC Year Comparison'!$B$21:$M$21</c:f>
              <c:numCache>
                <c:formatCode>General</c:formatCode>
                <c:ptCount val="12"/>
                <c:pt idx="0">
                  <c:v>812</c:v>
                </c:pt>
                <c:pt idx="1">
                  <c:v>645</c:v>
                </c:pt>
                <c:pt idx="2">
                  <c:v>648</c:v>
                </c:pt>
                <c:pt idx="3">
                  <c:v>655</c:v>
                </c:pt>
                <c:pt idx="4">
                  <c:v>755</c:v>
                </c:pt>
                <c:pt idx="5">
                  <c:v>795</c:v>
                </c:pt>
                <c:pt idx="6">
                  <c:v>795</c:v>
                </c:pt>
                <c:pt idx="7">
                  <c:v>796</c:v>
                </c:pt>
                <c:pt idx="8">
                  <c:v>739</c:v>
                </c:pt>
                <c:pt idx="9">
                  <c:v>759</c:v>
                </c:pt>
                <c:pt idx="10">
                  <c:v>570</c:v>
                </c:pt>
                <c:pt idx="11">
                  <c:v>136</c:v>
                </c:pt>
              </c:numCache>
            </c:numRef>
          </c:val>
          <c:smooth val="0"/>
          <c:extLst xmlns:c16r2="http://schemas.microsoft.com/office/drawing/2015/06/chart">
            <c:ext xmlns:c16="http://schemas.microsoft.com/office/drawing/2014/chart" uri="{C3380CC4-5D6E-409C-BE32-E72D297353CC}">
              <c16:uniqueId val="{00000001-4D28-4E5D-BA0A-198654C476D5}"/>
            </c:ext>
          </c:extLst>
        </c:ser>
        <c:ser>
          <c:idx val="2"/>
          <c:order val="2"/>
          <c:tx>
            <c:strRef>
              <c:f>'EHC Year Comparison'!$A$22</c:f>
              <c:strCache>
                <c:ptCount val="1"/>
                <c:pt idx="0">
                  <c:v>2020-21</c:v>
                </c:pt>
              </c:strCache>
            </c:strRef>
          </c:tx>
          <c:spPr>
            <a:ln w="28575" cap="rnd">
              <a:solidFill>
                <a:schemeClr val="accent3"/>
              </a:solidFill>
              <a:round/>
            </a:ln>
            <a:effectLst/>
          </c:spPr>
          <c:marker>
            <c:symbol val="none"/>
          </c:marker>
          <c:cat>
            <c:strRef>
              <c:f>'EHC Year Comparison'!$B$19:$M$19</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'EHC Year Comparison'!$B$22:$M$22</c:f>
              <c:numCache>
                <c:formatCode>General</c:formatCode>
                <c:ptCount val="12"/>
                <c:pt idx="0">
                  <c:v>177</c:v>
                </c:pt>
                <c:pt idx="1">
                  <c:v>403</c:v>
                </c:pt>
                <c:pt idx="2">
                  <c:v>418</c:v>
                </c:pt>
                <c:pt idx="3">
                  <c:v>590</c:v>
                </c:pt>
                <c:pt idx="4">
                  <c:v>658</c:v>
                </c:pt>
              </c:numCache>
            </c:numRef>
          </c:val>
          <c:smooth val="0"/>
          <c:extLst xmlns:c16r2="http://schemas.microsoft.com/office/drawing/2015/06/chart">
            <c:ext xmlns:c16="http://schemas.microsoft.com/office/drawing/2014/chart" uri="{C3380CC4-5D6E-409C-BE32-E72D297353CC}">
              <c16:uniqueId val="{00000002-4D28-4E5D-BA0A-198654C476D5}"/>
            </c:ext>
          </c:extLst>
        </c:ser>
        <c:dLbls>
          <c:showLegendKey val="0"/>
          <c:showVal val="0"/>
          <c:showCatName val="0"/>
          <c:showSerName val="0"/>
          <c:showPercent val="0"/>
          <c:showBubbleSize val="0"/>
        </c:dLbls>
        <c:smooth val="0"/>
        <c:axId val="143816392"/>
        <c:axId val="143816784"/>
      </c:lineChart>
      <c:catAx>
        <c:axId val="1438163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Months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816784"/>
        <c:crosses val="autoZero"/>
        <c:auto val="1"/>
        <c:lblAlgn val="ctr"/>
        <c:lblOffset val="100"/>
        <c:noMultiLvlLbl val="0"/>
      </c:catAx>
      <c:valAx>
        <c:axId val="143816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n-GB" sz="1000" b="1" i="0" baseline="0">
                    <a:effectLst/>
                  </a:rPr>
                  <a:t>Number of complete consultations</a:t>
                </a:r>
                <a:endParaRPr lang="en-GB"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a:p>
            </c:rich>
          </c:tx>
          <c:layout/>
          <c:overlay val="0"/>
          <c:spPr>
            <a:noFill/>
            <a:ln>
              <a:noFill/>
            </a:ln>
            <a:effectLst/>
          </c:spPr>
          <c:txPr>
            <a:bodyPr rot="0" spcFirstLastPara="1" vertOverflow="ellipsis"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81639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60000"/>
                <a:lumOff val="40000"/>
              </a:schemeClr>
            </a:solidFill>
            <a:ln>
              <a:solidFill>
                <a:schemeClr val="accent1">
                  <a:lumMod val="60000"/>
                  <a:lumOff val="40000"/>
                </a:schemeClr>
              </a:solidFill>
            </a:ln>
            <a:effectLst/>
          </c:spPr>
          <c:invertIfNegative val="0"/>
          <c:cat>
            <c:numRef>
              <c:f>'[CVUHB Graphs Advanced and Enhanced Services.xlsx]SL2 2020'!$B$21:$F$21</c:f>
              <c:numCache>
                <c:formatCode>mmm\-yy</c:formatCode>
                <c:ptCount val="5"/>
                <c:pt idx="0">
                  <c:v>43922</c:v>
                </c:pt>
                <c:pt idx="1">
                  <c:v>43952</c:v>
                </c:pt>
                <c:pt idx="2">
                  <c:v>43983</c:v>
                </c:pt>
                <c:pt idx="3">
                  <c:v>44013</c:v>
                </c:pt>
                <c:pt idx="4">
                  <c:v>44044</c:v>
                </c:pt>
              </c:numCache>
            </c:numRef>
          </c:cat>
          <c:val>
            <c:numRef>
              <c:f>'[CVUHB Graphs Advanced and Enhanced Services.xlsx]SL2 2020'!$B$22:$F$22</c:f>
              <c:numCache>
                <c:formatCode>General</c:formatCode>
                <c:ptCount val="5"/>
                <c:pt idx="0">
                  <c:v>0</c:v>
                </c:pt>
                <c:pt idx="1">
                  <c:v>0</c:v>
                </c:pt>
                <c:pt idx="2">
                  <c:v>0</c:v>
                </c:pt>
                <c:pt idx="3">
                  <c:v>4</c:v>
                </c:pt>
                <c:pt idx="4">
                  <c:v>9</c:v>
                </c:pt>
              </c:numCache>
            </c:numRef>
          </c:val>
          <c:extLst xmlns:c16r2="http://schemas.microsoft.com/office/drawing/2015/06/chart">
            <c:ext xmlns:c16="http://schemas.microsoft.com/office/drawing/2014/chart" uri="{C3380CC4-5D6E-409C-BE32-E72D297353CC}">
              <c16:uniqueId val="{00000000-4284-4E11-8F89-74F3A508EB4B}"/>
            </c:ext>
          </c:extLst>
        </c:ser>
        <c:dLbls>
          <c:showLegendKey val="0"/>
          <c:showVal val="0"/>
          <c:showCatName val="0"/>
          <c:showSerName val="0"/>
          <c:showPercent val="0"/>
          <c:showBubbleSize val="0"/>
        </c:dLbls>
        <c:gapWidth val="219"/>
        <c:overlap val="-27"/>
        <c:axId val="143817960"/>
        <c:axId val="143818352"/>
      </c:barChart>
      <c:dateAx>
        <c:axId val="1438179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Months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818352"/>
        <c:crosses val="autoZero"/>
        <c:auto val="1"/>
        <c:lblOffset val="100"/>
        <c:baseTimeUnit val="months"/>
      </c:dateAx>
      <c:valAx>
        <c:axId val="143818352"/>
        <c:scaling>
          <c:orientation val="minMax"/>
        </c:scaling>
        <c:delete val="0"/>
        <c:axPos val="l"/>
        <c:majorGridlines>
          <c:spPr>
            <a:ln w="9525" cap="flat" cmpd="sng" algn="ctr">
              <a:solidFill>
                <a:schemeClr val="bg1">
                  <a:lumMod val="65000"/>
                </a:schemeClr>
              </a:solidFill>
              <a:round/>
            </a:ln>
            <a:effectLst/>
          </c:spPr>
        </c:majorGridlines>
        <c:title>
          <c:tx>
            <c:rich>
              <a:bodyPr rot="0" spcFirstLastPara="1" vertOverflow="ellipsis"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n-GB" sz="1100" b="1" i="0" baseline="0">
                    <a:effectLst/>
                  </a:rPr>
                  <a:t>Number of complete consultations</a:t>
                </a:r>
                <a:endParaRPr lang="en-GB" sz="11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a:p>
            </c:rich>
          </c:tx>
          <c:layout/>
          <c:overlay val="0"/>
          <c:spPr>
            <a:noFill/>
            <a:ln>
              <a:noFill/>
            </a:ln>
            <a:effectLst/>
          </c:spPr>
          <c:txPr>
            <a:bodyPr rot="0" spcFirstLastPara="1" vertOverflow="ellipsis"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8179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60000"/>
                <a:lumOff val="40000"/>
              </a:schemeClr>
            </a:solidFill>
            <a:ln>
              <a:noFill/>
            </a:ln>
            <a:effectLst/>
          </c:spPr>
          <c:invertIfNegative val="0"/>
          <c:cat>
            <c:strRef>
              <c:f>'[Patient and Pubic Quwstionnaire Responses CVUHB.xlsx]Q3'!$P$7:$R$13</c:f>
              <c:strCache>
                <c:ptCount val="7"/>
                <c:pt idx="0">
                  <c:v>Daily</c:v>
                </c:pt>
                <c:pt idx="1">
                  <c:v>Weekly</c:v>
                </c:pt>
                <c:pt idx="2">
                  <c:v>Fortnightly</c:v>
                </c:pt>
                <c:pt idx="3">
                  <c:v>Monthly</c:v>
                </c:pt>
                <c:pt idx="4">
                  <c:v>Quarterly</c:v>
                </c:pt>
                <c:pt idx="5">
                  <c:v>I don’t use a pharmacy</c:v>
                </c:pt>
                <c:pt idx="6">
                  <c:v>Other</c:v>
                </c:pt>
              </c:strCache>
              <c:extLst xmlns:c16r2="http://schemas.microsoft.com/office/drawing/2015/06/chart"/>
            </c:strRef>
          </c:cat>
          <c:val>
            <c:numRef>
              <c:f>'[Patient and Pubic Quwstionnaire Responses CVUHB.xlsx]Q3'!$S$7:$S$13</c:f>
              <c:numCache>
                <c:formatCode>0.00%</c:formatCode>
                <c:ptCount val="7"/>
                <c:pt idx="0">
                  <c:v>3.246753246753247E-3</c:v>
                </c:pt>
                <c:pt idx="1">
                  <c:v>7.1428571428571425E-2</c:v>
                </c:pt>
                <c:pt idx="2">
                  <c:v>0.12337662337662338</c:v>
                </c:pt>
                <c:pt idx="3">
                  <c:v>0.62987012987012991</c:v>
                </c:pt>
                <c:pt idx="4">
                  <c:v>9.7402597402597407E-2</c:v>
                </c:pt>
                <c:pt idx="5">
                  <c:v>0</c:v>
                </c:pt>
                <c:pt idx="6">
                  <c:v>7.4675324675324672E-2</c:v>
                </c:pt>
              </c:numCache>
            </c:numRef>
          </c:val>
          <c:extLst xmlns:c16r2="http://schemas.microsoft.com/office/drawing/2015/06/chart">
            <c:ext xmlns:c16="http://schemas.microsoft.com/office/drawing/2014/chart" uri="{C3380CC4-5D6E-409C-BE32-E72D297353CC}">
              <c16:uniqueId val="{00000000-CA9F-4552-BA38-A8AAD47196A2}"/>
            </c:ext>
          </c:extLst>
        </c:ser>
        <c:dLbls>
          <c:showLegendKey val="0"/>
          <c:showVal val="0"/>
          <c:showCatName val="0"/>
          <c:showSerName val="0"/>
          <c:showPercent val="0"/>
          <c:showBubbleSize val="0"/>
        </c:dLbls>
        <c:gapWidth val="219"/>
        <c:overlap val="-27"/>
        <c:axId val="122069304"/>
        <c:axId val="122069688"/>
      </c:barChart>
      <c:catAx>
        <c:axId val="122069304"/>
        <c:scaling>
          <c:orientation val="minMax"/>
        </c:scaling>
        <c:delete val="0"/>
        <c:axPos val="b"/>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69688"/>
        <c:crosses val="autoZero"/>
        <c:auto val="1"/>
        <c:lblAlgn val="ctr"/>
        <c:lblOffset val="100"/>
        <c:noMultiLvlLbl val="0"/>
      </c:catAx>
      <c:valAx>
        <c:axId val="122069688"/>
        <c:scaling>
          <c:orientation val="minMax"/>
        </c:scaling>
        <c:delete val="0"/>
        <c:axPos val="l"/>
        <c:majorGridlines>
          <c:spPr>
            <a:ln w="9525" cap="flat" cmpd="sng" algn="ctr">
              <a:solidFill>
                <a:schemeClr val="bg1">
                  <a:lumMod val="6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693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60000"/>
                <a:lumOff val="40000"/>
              </a:schemeClr>
            </a:solidFill>
            <a:ln>
              <a:noFill/>
            </a:ln>
            <a:effectLst/>
          </c:spPr>
          <c:invertIfNegative val="0"/>
          <c:cat>
            <c:numRef>
              <c:f>'[CVUHB Graphs Advanced and Enhanced Services.xlsx]Smoking L3 2018'!$B$20:$M$20</c:f>
              <c:numCache>
                <c:formatCode>mmm\-yy</c:formatCode>
                <c:ptCount val="12"/>
                <c:pt idx="0">
                  <c:v>43191</c:v>
                </c:pt>
                <c:pt idx="1">
                  <c:v>43221</c:v>
                </c:pt>
                <c:pt idx="2">
                  <c:v>43252</c:v>
                </c:pt>
                <c:pt idx="3">
                  <c:v>43282</c:v>
                </c:pt>
                <c:pt idx="4">
                  <c:v>43313</c:v>
                </c:pt>
                <c:pt idx="5">
                  <c:v>43344</c:v>
                </c:pt>
                <c:pt idx="6">
                  <c:v>43374</c:v>
                </c:pt>
                <c:pt idx="7">
                  <c:v>43405</c:v>
                </c:pt>
                <c:pt idx="8">
                  <c:v>43435</c:v>
                </c:pt>
                <c:pt idx="9">
                  <c:v>43466</c:v>
                </c:pt>
                <c:pt idx="10">
                  <c:v>43497</c:v>
                </c:pt>
                <c:pt idx="11">
                  <c:v>43525</c:v>
                </c:pt>
              </c:numCache>
            </c:numRef>
          </c:cat>
          <c:val>
            <c:numRef>
              <c:f>'[CVUHB Graphs Advanced and Enhanced Services.xlsx]Smoking L3 2018'!$B$21:$M$21</c:f>
              <c:numCache>
                <c:formatCode>General</c:formatCode>
                <c:ptCount val="12"/>
                <c:pt idx="0">
                  <c:v>26</c:v>
                </c:pt>
                <c:pt idx="1">
                  <c:v>15</c:v>
                </c:pt>
                <c:pt idx="2">
                  <c:v>27</c:v>
                </c:pt>
                <c:pt idx="3">
                  <c:v>12</c:v>
                </c:pt>
                <c:pt idx="4">
                  <c:v>10</c:v>
                </c:pt>
                <c:pt idx="5">
                  <c:v>18</c:v>
                </c:pt>
                <c:pt idx="6">
                  <c:v>23</c:v>
                </c:pt>
                <c:pt idx="7">
                  <c:v>24</c:v>
                </c:pt>
                <c:pt idx="8">
                  <c:v>24</c:v>
                </c:pt>
                <c:pt idx="9">
                  <c:v>19</c:v>
                </c:pt>
                <c:pt idx="10">
                  <c:v>56</c:v>
                </c:pt>
                <c:pt idx="11">
                  <c:v>25</c:v>
                </c:pt>
              </c:numCache>
            </c:numRef>
          </c:val>
          <c:extLst xmlns:c16r2="http://schemas.microsoft.com/office/drawing/2015/06/chart">
            <c:ext xmlns:c16="http://schemas.microsoft.com/office/drawing/2014/chart" uri="{C3380CC4-5D6E-409C-BE32-E72D297353CC}">
              <c16:uniqueId val="{00000000-6627-493C-97C0-AAE5ADF0C1A3}"/>
            </c:ext>
          </c:extLst>
        </c:ser>
        <c:dLbls>
          <c:showLegendKey val="0"/>
          <c:showVal val="0"/>
          <c:showCatName val="0"/>
          <c:showSerName val="0"/>
          <c:showPercent val="0"/>
          <c:showBubbleSize val="0"/>
        </c:dLbls>
        <c:gapWidth val="219"/>
        <c:overlap val="-27"/>
        <c:axId val="144187584"/>
        <c:axId val="144187976"/>
      </c:barChart>
      <c:dateAx>
        <c:axId val="1441875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Months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187976"/>
        <c:crosses val="autoZero"/>
        <c:auto val="1"/>
        <c:lblOffset val="100"/>
        <c:baseTimeUnit val="months"/>
      </c:dateAx>
      <c:valAx>
        <c:axId val="144187976"/>
        <c:scaling>
          <c:orientation val="minMax"/>
        </c:scaling>
        <c:delete val="0"/>
        <c:axPos val="l"/>
        <c:majorGridlines>
          <c:spPr>
            <a:ln w="9525" cap="flat" cmpd="sng" algn="ctr">
              <a:solidFill>
                <a:schemeClr val="bg1">
                  <a:lumMod val="6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Number</a:t>
                </a:r>
                <a:r>
                  <a:rPr lang="en-GB" b="1" baseline="0"/>
                  <a:t> of consultations</a:t>
                </a:r>
                <a:endParaRPr lang="en-GB" b="1"/>
              </a:p>
            </c:rich>
          </c:tx>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187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60000"/>
                <a:lumOff val="40000"/>
              </a:schemeClr>
            </a:solidFill>
            <a:ln>
              <a:noFill/>
            </a:ln>
            <a:effectLst/>
          </c:spPr>
          <c:invertIfNegative val="0"/>
          <c:cat>
            <c:numRef>
              <c:f>'[CVUHB Graphs Advanced and Enhanced Services.xlsx]SL3 2019'!$B$21:$M$21</c:f>
              <c:numCache>
                <c:formatCode>mmm\-yy</c:formatCode>
                <c:ptCount val="12"/>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numCache>
            </c:numRef>
          </c:cat>
          <c:val>
            <c:numRef>
              <c:f>'[CVUHB Graphs Advanced and Enhanced Services.xlsx]SL3 2019'!$B$22:$M$22</c:f>
              <c:numCache>
                <c:formatCode>General</c:formatCode>
                <c:ptCount val="12"/>
                <c:pt idx="0">
                  <c:v>26</c:v>
                </c:pt>
                <c:pt idx="1">
                  <c:v>41</c:v>
                </c:pt>
                <c:pt idx="2">
                  <c:v>22</c:v>
                </c:pt>
                <c:pt idx="3">
                  <c:v>42</c:v>
                </c:pt>
                <c:pt idx="4">
                  <c:v>33</c:v>
                </c:pt>
                <c:pt idx="5">
                  <c:v>24</c:v>
                </c:pt>
                <c:pt idx="6">
                  <c:v>18</c:v>
                </c:pt>
                <c:pt idx="7">
                  <c:v>29</c:v>
                </c:pt>
                <c:pt idx="8">
                  <c:v>41</c:v>
                </c:pt>
                <c:pt idx="9">
                  <c:v>46</c:v>
                </c:pt>
                <c:pt idx="10">
                  <c:v>19</c:v>
                </c:pt>
                <c:pt idx="11">
                  <c:v>66</c:v>
                </c:pt>
              </c:numCache>
            </c:numRef>
          </c:val>
          <c:extLst xmlns:c16r2="http://schemas.microsoft.com/office/drawing/2015/06/chart">
            <c:ext xmlns:c16="http://schemas.microsoft.com/office/drawing/2014/chart" uri="{C3380CC4-5D6E-409C-BE32-E72D297353CC}">
              <c16:uniqueId val="{00000000-17C0-4259-B448-81EA2608782F}"/>
            </c:ext>
          </c:extLst>
        </c:ser>
        <c:dLbls>
          <c:showLegendKey val="0"/>
          <c:showVal val="0"/>
          <c:showCatName val="0"/>
          <c:showSerName val="0"/>
          <c:showPercent val="0"/>
          <c:showBubbleSize val="0"/>
        </c:dLbls>
        <c:gapWidth val="219"/>
        <c:overlap val="-27"/>
        <c:axId val="144189152"/>
        <c:axId val="144189544"/>
      </c:barChart>
      <c:dateAx>
        <c:axId val="1441891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latin typeface="Arial" panose="020B0604020202020204" pitchFamily="34" charset="0"/>
                    <a:cs typeface="Arial" panose="020B0604020202020204" pitchFamily="34" charset="0"/>
                  </a:rPr>
                  <a:t>Months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189544"/>
        <c:crosses val="autoZero"/>
        <c:auto val="1"/>
        <c:lblOffset val="100"/>
        <c:baseTimeUnit val="months"/>
      </c:dateAx>
      <c:valAx>
        <c:axId val="144189544"/>
        <c:scaling>
          <c:orientation val="minMax"/>
        </c:scaling>
        <c:delete val="0"/>
        <c:axPos val="l"/>
        <c:majorGridlines>
          <c:spPr>
            <a:ln w="9525" cap="flat" cmpd="sng" algn="ctr">
              <a:solidFill>
                <a:schemeClr val="bg1">
                  <a:lumMod val="6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latin typeface="Arial" panose="020B0604020202020204" pitchFamily="34" charset="0"/>
                    <a:cs typeface="Arial" panose="020B0604020202020204" pitchFamily="34" charset="0"/>
                  </a:rPr>
                  <a:t>Number</a:t>
                </a:r>
                <a:r>
                  <a:rPr lang="en-GB" b="1" baseline="0">
                    <a:latin typeface="Arial" panose="020B0604020202020204" pitchFamily="34" charset="0"/>
                    <a:cs typeface="Arial" panose="020B0604020202020204" pitchFamily="34" charset="0"/>
                  </a:rPr>
                  <a:t> of consultations</a:t>
                </a:r>
                <a:endParaRPr lang="en-GB" b="1">
                  <a:latin typeface="Arial" panose="020B0604020202020204" pitchFamily="34" charset="0"/>
                  <a:cs typeface="Arial" panose="020B0604020202020204" pitchFamily="34" charset="0"/>
                </a:endParaRPr>
              </a:p>
            </c:rich>
          </c:tx>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1891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60000"/>
                <a:lumOff val="40000"/>
              </a:schemeClr>
            </a:solidFill>
            <a:ln>
              <a:noFill/>
            </a:ln>
            <a:effectLst/>
          </c:spPr>
          <c:invertIfNegative val="0"/>
          <c:cat>
            <c:numRef>
              <c:f>'[CVUHB Graphs Advanced and Enhanced Services.xlsx]SL3 2020'!$B$17:$F$17</c:f>
              <c:numCache>
                <c:formatCode>mmm\-yy</c:formatCode>
                <c:ptCount val="5"/>
                <c:pt idx="0">
                  <c:v>43922</c:v>
                </c:pt>
                <c:pt idx="1">
                  <c:v>43952</c:v>
                </c:pt>
                <c:pt idx="2">
                  <c:v>43983</c:v>
                </c:pt>
                <c:pt idx="3">
                  <c:v>44013</c:v>
                </c:pt>
                <c:pt idx="4">
                  <c:v>44044</c:v>
                </c:pt>
              </c:numCache>
            </c:numRef>
          </c:cat>
          <c:val>
            <c:numRef>
              <c:f>'[CVUHB Graphs Advanced and Enhanced Services.xlsx]SL3 2020'!$B$18:$F$18</c:f>
              <c:numCache>
                <c:formatCode>General</c:formatCode>
                <c:ptCount val="5"/>
                <c:pt idx="0">
                  <c:v>9</c:v>
                </c:pt>
                <c:pt idx="1">
                  <c:v>38</c:v>
                </c:pt>
                <c:pt idx="2">
                  <c:v>11</c:v>
                </c:pt>
                <c:pt idx="3">
                  <c:v>27</c:v>
                </c:pt>
                <c:pt idx="4">
                  <c:v>2</c:v>
                </c:pt>
              </c:numCache>
            </c:numRef>
          </c:val>
          <c:extLst xmlns:c16r2="http://schemas.microsoft.com/office/drawing/2015/06/chart">
            <c:ext xmlns:c16="http://schemas.microsoft.com/office/drawing/2014/chart" uri="{C3380CC4-5D6E-409C-BE32-E72D297353CC}">
              <c16:uniqueId val="{00000000-E627-4530-B06C-1631F1E70D46}"/>
            </c:ext>
          </c:extLst>
        </c:ser>
        <c:dLbls>
          <c:showLegendKey val="0"/>
          <c:showVal val="0"/>
          <c:showCatName val="0"/>
          <c:showSerName val="0"/>
          <c:showPercent val="0"/>
          <c:showBubbleSize val="0"/>
        </c:dLbls>
        <c:gapWidth val="219"/>
        <c:overlap val="-27"/>
        <c:axId val="144190328"/>
        <c:axId val="144190720"/>
      </c:barChart>
      <c:dateAx>
        <c:axId val="1441903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Months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190720"/>
        <c:crosses val="autoZero"/>
        <c:auto val="1"/>
        <c:lblOffset val="100"/>
        <c:baseTimeUnit val="months"/>
      </c:dateAx>
      <c:valAx>
        <c:axId val="144190720"/>
        <c:scaling>
          <c:orientation val="minMax"/>
        </c:scaling>
        <c:delete val="0"/>
        <c:axPos val="l"/>
        <c:majorGridlines>
          <c:spPr>
            <a:ln w="9525" cap="flat" cmpd="sng" algn="ctr">
              <a:solidFill>
                <a:schemeClr val="bg1">
                  <a:lumMod val="6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Number of complete consultations</a:t>
                </a:r>
              </a:p>
              <a:p>
                <a:pPr>
                  <a:defRPr/>
                </a:pPr>
                <a:endParaRPr lang="en-GB"/>
              </a:p>
            </c:rich>
          </c:tx>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1903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'[CVUHB Graphs Advanced and Enhanced Services.xlsx]SL3 Year Comparison'!$B$23</c:f>
              <c:strCache>
                <c:ptCount val="1"/>
                <c:pt idx="0">
                  <c:v>2018-19</c:v>
                </c:pt>
              </c:strCache>
            </c:strRef>
          </c:tx>
          <c:spPr>
            <a:ln w="28575" cap="rnd">
              <a:solidFill>
                <a:schemeClr val="accent3"/>
              </a:solidFill>
              <a:round/>
            </a:ln>
            <a:effectLst/>
          </c:spPr>
          <c:marker>
            <c:symbol val="none"/>
          </c:marker>
          <c:cat>
            <c:strRef>
              <c:f>'[CVUHB Graphs Advanced and Enhanced Services.xlsx]SL3 Year Comparison'!$C$20:$N$20</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'[CVUHB Graphs Advanced and Enhanced Services.xlsx]SL3 Year Comparison'!$C$23:$N$23</c:f>
              <c:numCache>
                <c:formatCode>General</c:formatCode>
                <c:ptCount val="12"/>
                <c:pt idx="0">
                  <c:v>26</c:v>
                </c:pt>
                <c:pt idx="1">
                  <c:v>15</c:v>
                </c:pt>
                <c:pt idx="2">
                  <c:v>27</c:v>
                </c:pt>
                <c:pt idx="3">
                  <c:v>12</c:v>
                </c:pt>
                <c:pt idx="4">
                  <c:v>10</c:v>
                </c:pt>
                <c:pt idx="5">
                  <c:v>18</c:v>
                </c:pt>
                <c:pt idx="6">
                  <c:v>23</c:v>
                </c:pt>
                <c:pt idx="7">
                  <c:v>24</c:v>
                </c:pt>
                <c:pt idx="8">
                  <c:v>24</c:v>
                </c:pt>
                <c:pt idx="9">
                  <c:v>19</c:v>
                </c:pt>
                <c:pt idx="10">
                  <c:v>56</c:v>
                </c:pt>
                <c:pt idx="11">
                  <c:v>25</c:v>
                </c:pt>
              </c:numCache>
            </c:numRef>
          </c:val>
          <c:smooth val="0"/>
          <c:extLst xmlns:c16r2="http://schemas.microsoft.com/office/drawing/2015/06/chart">
            <c:ext xmlns:c16="http://schemas.microsoft.com/office/drawing/2014/chart" uri="{C3380CC4-5D6E-409C-BE32-E72D297353CC}">
              <c16:uniqueId val="{00000000-CE55-4B46-A50A-5AFADE723DA0}"/>
            </c:ext>
          </c:extLst>
        </c:ser>
        <c:ser>
          <c:idx val="1"/>
          <c:order val="1"/>
          <c:tx>
            <c:strRef>
              <c:f>'[CVUHB Graphs Advanced and Enhanced Services.xlsx]SL3 Year Comparison'!$B$22</c:f>
              <c:strCache>
                <c:ptCount val="1"/>
                <c:pt idx="0">
                  <c:v>2019-20</c:v>
                </c:pt>
              </c:strCache>
            </c:strRef>
          </c:tx>
          <c:spPr>
            <a:ln w="28575" cap="rnd">
              <a:solidFill>
                <a:schemeClr val="accent2"/>
              </a:solidFill>
              <a:round/>
            </a:ln>
            <a:effectLst/>
          </c:spPr>
          <c:marker>
            <c:symbol val="none"/>
          </c:marker>
          <c:cat>
            <c:strRef>
              <c:f>'[CVUHB Graphs Advanced and Enhanced Services.xlsx]SL3 Year Comparison'!$C$20:$N$20</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'[CVUHB Graphs Advanced and Enhanced Services.xlsx]SL3 Year Comparison'!$C$22:$N$22</c:f>
              <c:numCache>
                <c:formatCode>General</c:formatCode>
                <c:ptCount val="12"/>
                <c:pt idx="0">
                  <c:v>26</c:v>
                </c:pt>
                <c:pt idx="1">
                  <c:v>41</c:v>
                </c:pt>
                <c:pt idx="2">
                  <c:v>22</c:v>
                </c:pt>
                <c:pt idx="3">
                  <c:v>42</c:v>
                </c:pt>
                <c:pt idx="4">
                  <c:v>33</c:v>
                </c:pt>
                <c:pt idx="5">
                  <c:v>24</c:v>
                </c:pt>
                <c:pt idx="6">
                  <c:v>18</c:v>
                </c:pt>
                <c:pt idx="7">
                  <c:v>29</c:v>
                </c:pt>
                <c:pt idx="8">
                  <c:v>41</c:v>
                </c:pt>
                <c:pt idx="9">
                  <c:v>46</c:v>
                </c:pt>
                <c:pt idx="10">
                  <c:v>19</c:v>
                </c:pt>
                <c:pt idx="11">
                  <c:v>66</c:v>
                </c:pt>
              </c:numCache>
            </c:numRef>
          </c:val>
          <c:smooth val="0"/>
          <c:extLst xmlns:c16r2="http://schemas.microsoft.com/office/drawing/2015/06/chart">
            <c:ext xmlns:c16="http://schemas.microsoft.com/office/drawing/2014/chart" uri="{C3380CC4-5D6E-409C-BE32-E72D297353CC}">
              <c16:uniqueId val="{00000001-CE55-4B46-A50A-5AFADE723DA0}"/>
            </c:ext>
          </c:extLst>
        </c:ser>
        <c:ser>
          <c:idx val="0"/>
          <c:order val="2"/>
          <c:tx>
            <c:strRef>
              <c:f>'[CVUHB Graphs Advanced and Enhanced Services.xlsx]SL3 Year Comparison'!$B$21</c:f>
              <c:strCache>
                <c:ptCount val="1"/>
                <c:pt idx="0">
                  <c:v>2020-21</c:v>
                </c:pt>
              </c:strCache>
            </c:strRef>
          </c:tx>
          <c:spPr>
            <a:ln w="28575" cap="rnd">
              <a:solidFill>
                <a:schemeClr val="accent1"/>
              </a:solidFill>
              <a:round/>
            </a:ln>
            <a:effectLst/>
          </c:spPr>
          <c:marker>
            <c:symbol val="none"/>
          </c:marker>
          <c:cat>
            <c:strRef>
              <c:f>'[CVUHB Graphs Advanced and Enhanced Services.xlsx]SL3 Year Comparison'!$C$20:$N$20</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'[CVUHB Graphs Advanced and Enhanced Services.xlsx]SL3 Year Comparison'!$C$21:$N$21</c:f>
              <c:numCache>
                <c:formatCode>General</c:formatCode>
                <c:ptCount val="12"/>
                <c:pt idx="0">
                  <c:v>9</c:v>
                </c:pt>
                <c:pt idx="1">
                  <c:v>38</c:v>
                </c:pt>
                <c:pt idx="2">
                  <c:v>11</c:v>
                </c:pt>
                <c:pt idx="3">
                  <c:v>27</c:v>
                </c:pt>
                <c:pt idx="4">
                  <c:v>2</c:v>
                </c:pt>
              </c:numCache>
            </c:numRef>
          </c:val>
          <c:smooth val="0"/>
          <c:extLst xmlns:c16r2="http://schemas.microsoft.com/office/drawing/2015/06/chart">
            <c:ext xmlns:c16="http://schemas.microsoft.com/office/drawing/2014/chart" uri="{C3380CC4-5D6E-409C-BE32-E72D297353CC}">
              <c16:uniqueId val="{00000002-CE55-4B46-A50A-5AFADE723DA0}"/>
            </c:ext>
          </c:extLst>
        </c:ser>
        <c:dLbls>
          <c:showLegendKey val="0"/>
          <c:showVal val="0"/>
          <c:showCatName val="0"/>
          <c:showSerName val="0"/>
          <c:showPercent val="0"/>
          <c:showBubbleSize val="0"/>
        </c:dLbls>
        <c:smooth val="0"/>
        <c:axId val="144409344"/>
        <c:axId val="144409736"/>
      </c:lineChart>
      <c:catAx>
        <c:axId val="1444093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Months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409736"/>
        <c:crosses val="autoZero"/>
        <c:auto val="1"/>
        <c:lblAlgn val="ctr"/>
        <c:lblOffset val="100"/>
        <c:noMultiLvlLbl val="0"/>
      </c:catAx>
      <c:valAx>
        <c:axId val="1444097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n-GB" sz="1000" b="1" i="0" baseline="0">
                    <a:effectLst/>
                  </a:rPr>
                  <a:t>Number of complete consultations</a:t>
                </a:r>
                <a:endParaRPr lang="en-GB"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a:p>
            </c:rich>
          </c:tx>
          <c:layout/>
          <c:overlay val="0"/>
          <c:spPr>
            <a:noFill/>
            <a:ln>
              <a:noFill/>
            </a:ln>
            <a:effectLst/>
          </c:spPr>
          <c:txPr>
            <a:bodyPr rot="0" spcFirstLastPara="1" vertOverflow="ellipsis"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40934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60000"/>
                <a:lumOff val="40000"/>
              </a:schemeClr>
            </a:solidFill>
            <a:ln>
              <a:noFill/>
            </a:ln>
            <a:effectLst/>
          </c:spPr>
          <c:invertIfNegative val="0"/>
          <c:cat>
            <c:strRef>
              <c:f>'[CVUHB Graphs Advanced and Enhanced Services.xlsx]Flu Year Comparison'!$Q$14:$W$14</c:f>
              <c:strCache>
                <c:ptCount val="7"/>
                <c:pt idx="0">
                  <c:v>Sep-18</c:v>
                </c:pt>
                <c:pt idx="1">
                  <c:v>Oct-18</c:v>
                </c:pt>
                <c:pt idx="2">
                  <c:v>Nov-18</c:v>
                </c:pt>
                <c:pt idx="3">
                  <c:v>Dec-18</c:v>
                </c:pt>
                <c:pt idx="4">
                  <c:v>Jan-19</c:v>
                </c:pt>
                <c:pt idx="5">
                  <c:v>Feb-19</c:v>
                </c:pt>
                <c:pt idx="6">
                  <c:v>Mar-19</c:v>
                </c:pt>
              </c:strCache>
            </c:strRef>
          </c:cat>
          <c:val>
            <c:numRef>
              <c:f>'[CVUHB Graphs Advanced and Enhanced Services.xlsx]Flu Year Comparison'!$Q$15:$W$15</c:f>
              <c:numCache>
                <c:formatCode>General</c:formatCode>
                <c:ptCount val="7"/>
                <c:pt idx="0">
                  <c:v>42</c:v>
                </c:pt>
                <c:pt idx="1">
                  <c:v>4648</c:v>
                </c:pt>
                <c:pt idx="2">
                  <c:v>2560</c:v>
                </c:pt>
                <c:pt idx="3">
                  <c:v>749</c:v>
                </c:pt>
                <c:pt idx="4">
                  <c:v>178</c:v>
                </c:pt>
                <c:pt idx="5">
                  <c:v>56</c:v>
                </c:pt>
                <c:pt idx="6">
                  <c:v>41</c:v>
                </c:pt>
              </c:numCache>
            </c:numRef>
          </c:val>
          <c:extLst xmlns:c16r2="http://schemas.microsoft.com/office/drawing/2015/06/chart">
            <c:ext xmlns:c16="http://schemas.microsoft.com/office/drawing/2014/chart" uri="{C3380CC4-5D6E-409C-BE32-E72D297353CC}">
              <c16:uniqueId val="{00000000-9DD1-4DDF-9851-5477B453DC2C}"/>
            </c:ext>
          </c:extLst>
        </c:ser>
        <c:dLbls>
          <c:showLegendKey val="0"/>
          <c:showVal val="0"/>
          <c:showCatName val="0"/>
          <c:showSerName val="0"/>
          <c:showPercent val="0"/>
          <c:showBubbleSize val="0"/>
        </c:dLbls>
        <c:gapWidth val="219"/>
        <c:overlap val="-27"/>
        <c:axId val="144410912"/>
        <c:axId val="144411304"/>
      </c:barChart>
      <c:catAx>
        <c:axId val="1444109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Months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411304"/>
        <c:crosses val="autoZero"/>
        <c:auto val="1"/>
        <c:lblAlgn val="ctr"/>
        <c:lblOffset val="100"/>
        <c:noMultiLvlLbl val="0"/>
      </c:catAx>
      <c:valAx>
        <c:axId val="144411304"/>
        <c:scaling>
          <c:orientation val="minMax"/>
        </c:scaling>
        <c:delete val="0"/>
        <c:axPos val="l"/>
        <c:majorGridlines>
          <c:spPr>
            <a:ln w="9525" cap="flat" cmpd="sng" algn="ctr">
              <a:solidFill>
                <a:schemeClr val="bg1">
                  <a:lumMod val="6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Number</a:t>
                </a:r>
                <a:r>
                  <a:rPr lang="en-GB" b="1" baseline="0"/>
                  <a:t> of vaccinations given</a:t>
                </a:r>
                <a:endParaRPr lang="en-GB" b="1"/>
              </a:p>
            </c:rich>
          </c:tx>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4109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numRef>
              <c:f>'[CVUHB Graphs Advanced and Enhanced Services.xlsx]Flu Year Comparison'!$H$20:$N$20</c:f>
              <c:numCache>
                <c:formatCode>mmm\-yy</c:formatCode>
                <c:ptCount val="7"/>
                <c:pt idx="0">
                  <c:v>43709</c:v>
                </c:pt>
                <c:pt idx="1">
                  <c:v>43739</c:v>
                </c:pt>
                <c:pt idx="2">
                  <c:v>43770</c:v>
                </c:pt>
                <c:pt idx="3">
                  <c:v>43800</c:v>
                </c:pt>
                <c:pt idx="4">
                  <c:v>43831</c:v>
                </c:pt>
                <c:pt idx="5">
                  <c:v>43862</c:v>
                </c:pt>
                <c:pt idx="6">
                  <c:v>43891</c:v>
                </c:pt>
              </c:numCache>
            </c:numRef>
          </c:cat>
          <c:val>
            <c:numRef>
              <c:f>'[CVUHB Graphs Advanced and Enhanced Services.xlsx]Flu Year Comparison'!$H$21:$N$21</c:f>
              <c:numCache>
                <c:formatCode>General</c:formatCode>
                <c:ptCount val="7"/>
                <c:pt idx="0">
                  <c:v>0</c:v>
                </c:pt>
                <c:pt idx="1">
                  <c:v>0</c:v>
                </c:pt>
                <c:pt idx="2">
                  <c:v>0</c:v>
                </c:pt>
                <c:pt idx="3">
                  <c:v>0</c:v>
                </c:pt>
                <c:pt idx="4">
                  <c:v>0</c:v>
                </c:pt>
                <c:pt idx="5">
                  <c:v>0</c:v>
                </c:pt>
                <c:pt idx="6">
                  <c:v>0</c:v>
                </c:pt>
              </c:numCache>
            </c:numRef>
          </c:val>
          <c:extLst xmlns:c16r2="http://schemas.microsoft.com/office/drawing/2015/06/chart">
            <c:ext xmlns:c16="http://schemas.microsoft.com/office/drawing/2014/chart" uri="{C3380CC4-5D6E-409C-BE32-E72D297353CC}">
              <c16:uniqueId val="{00000000-1398-4C49-875C-E734902B4CA0}"/>
            </c:ext>
          </c:extLst>
        </c:ser>
        <c:ser>
          <c:idx val="1"/>
          <c:order val="1"/>
          <c:spPr>
            <a:solidFill>
              <a:schemeClr val="accent1">
                <a:lumMod val="60000"/>
                <a:lumOff val="40000"/>
              </a:schemeClr>
            </a:solidFill>
            <a:ln>
              <a:noFill/>
            </a:ln>
            <a:effectLst/>
          </c:spPr>
          <c:invertIfNegative val="0"/>
          <c:cat>
            <c:numRef>
              <c:f>'[CVUHB Graphs Advanced and Enhanced Services.xlsx]Flu Year Comparison'!$H$20:$N$20</c:f>
              <c:numCache>
                <c:formatCode>mmm\-yy</c:formatCode>
                <c:ptCount val="7"/>
                <c:pt idx="0">
                  <c:v>43709</c:v>
                </c:pt>
                <c:pt idx="1">
                  <c:v>43739</c:v>
                </c:pt>
                <c:pt idx="2">
                  <c:v>43770</c:v>
                </c:pt>
                <c:pt idx="3">
                  <c:v>43800</c:v>
                </c:pt>
                <c:pt idx="4">
                  <c:v>43831</c:v>
                </c:pt>
                <c:pt idx="5">
                  <c:v>43862</c:v>
                </c:pt>
                <c:pt idx="6">
                  <c:v>43891</c:v>
                </c:pt>
              </c:numCache>
            </c:numRef>
          </c:cat>
          <c:val>
            <c:numRef>
              <c:f>'[CVUHB Graphs Advanced and Enhanced Services.xlsx]Flu Year Comparison'!$H$22:$N$22</c:f>
              <c:numCache>
                <c:formatCode>General</c:formatCode>
                <c:ptCount val="7"/>
                <c:pt idx="0">
                  <c:v>353</c:v>
                </c:pt>
                <c:pt idx="1">
                  <c:v>5159</c:v>
                </c:pt>
                <c:pt idx="2">
                  <c:v>2473</c:v>
                </c:pt>
                <c:pt idx="3">
                  <c:v>806</c:v>
                </c:pt>
                <c:pt idx="4">
                  <c:v>213</c:v>
                </c:pt>
                <c:pt idx="5">
                  <c:v>85</c:v>
                </c:pt>
                <c:pt idx="6">
                  <c:v>75</c:v>
                </c:pt>
              </c:numCache>
            </c:numRef>
          </c:val>
          <c:extLst xmlns:c16r2="http://schemas.microsoft.com/office/drawing/2015/06/chart">
            <c:ext xmlns:c16="http://schemas.microsoft.com/office/drawing/2014/chart" uri="{C3380CC4-5D6E-409C-BE32-E72D297353CC}">
              <c16:uniqueId val="{00000001-1398-4C49-875C-E734902B4CA0}"/>
            </c:ext>
          </c:extLst>
        </c:ser>
        <c:dLbls>
          <c:showLegendKey val="0"/>
          <c:showVal val="0"/>
          <c:showCatName val="0"/>
          <c:showSerName val="0"/>
          <c:showPercent val="0"/>
          <c:showBubbleSize val="0"/>
        </c:dLbls>
        <c:gapWidth val="219"/>
        <c:overlap val="-27"/>
        <c:axId val="144412480"/>
        <c:axId val="144600976"/>
      </c:barChart>
      <c:dateAx>
        <c:axId val="1444124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Month</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600976"/>
        <c:crosses val="autoZero"/>
        <c:auto val="1"/>
        <c:lblOffset val="100"/>
        <c:baseTimeUnit val="months"/>
      </c:dateAx>
      <c:valAx>
        <c:axId val="144600976"/>
        <c:scaling>
          <c:orientation val="minMax"/>
        </c:scaling>
        <c:delete val="0"/>
        <c:axPos val="l"/>
        <c:majorGridlines>
          <c:spPr>
            <a:ln w="9525" cap="flat" cmpd="sng" algn="ctr">
              <a:solidFill>
                <a:schemeClr val="bg1">
                  <a:lumMod val="6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Number</a:t>
                </a:r>
                <a:r>
                  <a:rPr lang="en-GB" b="1" baseline="0"/>
                  <a:t> of vaccinations given </a:t>
                </a:r>
                <a:endParaRPr lang="en-GB" b="1"/>
              </a:p>
            </c:rich>
          </c:tx>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4124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'[CVUHB Graphs Advanced and Enhanced Services.xlsx]Flu Year Comparison'!$B$21</c:f>
              <c:strCache>
                <c:ptCount val="1"/>
                <c:pt idx="0">
                  <c:v>2018-19</c:v>
                </c:pt>
              </c:strCache>
            </c:strRef>
          </c:tx>
          <c:spPr>
            <a:solidFill>
              <a:schemeClr val="accent1"/>
            </a:solidFill>
            <a:ln>
              <a:noFill/>
            </a:ln>
            <a:effectLst/>
          </c:spPr>
          <c:invertIfNegative val="0"/>
          <c:cat>
            <c:numRef>
              <c:f>'[CVUHB Graphs Advanced and Enhanced Services.xlsx]Flu Year Comparison'!$C$20:$I$20</c:f>
              <c:numCache>
                <c:formatCode>mmm\-yy</c:formatCode>
                <c:ptCount val="7"/>
                <c:pt idx="0">
                  <c:v>43709</c:v>
                </c:pt>
                <c:pt idx="1">
                  <c:v>43739</c:v>
                </c:pt>
                <c:pt idx="2">
                  <c:v>43770</c:v>
                </c:pt>
                <c:pt idx="3">
                  <c:v>43800</c:v>
                </c:pt>
                <c:pt idx="4">
                  <c:v>43831</c:v>
                </c:pt>
                <c:pt idx="5">
                  <c:v>43862</c:v>
                </c:pt>
                <c:pt idx="6">
                  <c:v>43891</c:v>
                </c:pt>
              </c:numCache>
            </c:numRef>
          </c:cat>
          <c:val>
            <c:numRef>
              <c:f>'[CVUHB Graphs Advanced and Enhanced Services.xlsx]Flu Year Comparison'!$C$21:$I$21</c:f>
              <c:numCache>
                <c:formatCode>General</c:formatCode>
                <c:ptCount val="7"/>
                <c:pt idx="0">
                  <c:v>42</c:v>
                </c:pt>
                <c:pt idx="1">
                  <c:v>4648</c:v>
                </c:pt>
                <c:pt idx="2">
                  <c:v>2560</c:v>
                </c:pt>
                <c:pt idx="3">
                  <c:v>749</c:v>
                </c:pt>
                <c:pt idx="4">
                  <c:v>178</c:v>
                </c:pt>
                <c:pt idx="5">
                  <c:v>56</c:v>
                </c:pt>
                <c:pt idx="6">
                  <c:v>41</c:v>
                </c:pt>
              </c:numCache>
            </c:numRef>
          </c:val>
          <c:extLst xmlns:c16r2="http://schemas.microsoft.com/office/drawing/2015/06/chart">
            <c:ext xmlns:c16="http://schemas.microsoft.com/office/drawing/2014/chart" uri="{C3380CC4-5D6E-409C-BE32-E72D297353CC}">
              <c16:uniqueId val="{00000000-2C27-43AE-BE94-06A7D6AFD0F1}"/>
            </c:ext>
          </c:extLst>
        </c:ser>
        <c:ser>
          <c:idx val="1"/>
          <c:order val="1"/>
          <c:tx>
            <c:strRef>
              <c:f>'[CVUHB Graphs Advanced and Enhanced Services.xlsx]Flu Year Comparison'!$B$22</c:f>
              <c:strCache>
                <c:ptCount val="1"/>
                <c:pt idx="0">
                  <c:v>2019-20</c:v>
                </c:pt>
              </c:strCache>
            </c:strRef>
          </c:tx>
          <c:spPr>
            <a:solidFill>
              <a:schemeClr val="accent2"/>
            </a:solidFill>
            <a:ln>
              <a:noFill/>
            </a:ln>
            <a:effectLst/>
          </c:spPr>
          <c:invertIfNegative val="0"/>
          <c:cat>
            <c:numRef>
              <c:f>'[CVUHB Graphs Advanced and Enhanced Services.xlsx]Flu Year Comparison'!$C$20:$I$20</c:f>
              <c:numCache>
                <c:formatCode>mmm\-yy</c:formatCode>
                <c:ptCount val="7"/>
                <c:pt idx="0">
                  <c:v>43709</c:v>
                </c:pt>
                <c:pt idx="1">
                  <c:v>43739</c:v>
                </c:pt>
                <c:pt idx="2">
                  <c:v>43770</c:v>
                </c:pt>
                <c:pt idx="3">
                  <c:v>43800</c:v>
                </c:pt>
                <c:pt idx="4">
                  <c:v>43831</c:v>
                </c:pt>
                <c:pt idx="5">
                  <c:v>43862</c:v>
                </c:pt>
                <c:pt idx="6">
                  <c:v>43891</c:v>
                </c:pt>
              </c:numCache>
            </c:numRef>
          </c:cat>
          <c:val>
            <c:numRef>
              <c:f>'[CVUHB Graphs Advanced and Enhanced Services.xlsx]Flu Year Comparison'!$C$22:$I$22</c:f>
              <c:numCache>
                <c:formatCode>General</c:formatCode>
                <c:ptCount val="7"/>
                <c:pt idx="0">
                  <c:v>353</c:v>
                </c:pt>
                <c:pt idx="1">
                  <c:v>5159</c:v>
                </c:pt>
                <c:pt idx="2">
                  <c:v>2473</c:v>
                </c:pt>
                <c:pt idx="3">
                  <c:v>806</c:v>
                </c:pt>
                <c:pt idx="4">
                  <c:v>213</c:v>
                </c:pt>
                <c:pt idx="5">
                  <c:v>85</c:v>
                </c:pt>
                <c:pt idx="6">
                  <c:v>75</c:v>
                </c:pt>
              </c:numCache>
            </c:numRef>
          </c:val>
          <c:extLst xmlns:c16r2="http://schemas.microsoft.com/office/drawing/2015/06/chart">
            <c:ext xmlns:c16="http://schemas.microsoft.com/office/drawing/2014/chart" uri="{C3380CC4-5D6E-409C-BE32-E72D297353CC}">
              <c16:uniqueId val="{00000001-2C27-43AE-BE94-06A7D6AFD0F1}"/>
            </c:ext>
          </c:extLst>
        </c:ser>
        <c:dLbls>
          <c:showLegendKey val="0"/>
          <c:showVal val="0"/>
          <c:showCatName val="0"/>
          <c:showSerName val="0"/>
          <c:showPercent val="0"/>
          <c:showBubbleSize val="0"/>
        </c:dLbls>
        <c:gapWidth val="219"/>
        <c:overlap val="-27"/>
        <c:axId val="144602152"/>
        <c:axId val="144602544"/>
      </c:barChart>
      <c:dateAx>
        <c:axId val="1446021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Months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602544"/>
        <c:crosses val="autoZero"/>
        <c:auto val="1"/>
        <c:lblOffset val="100"/>
        <c:baseTimeUnit val="months"/>
      </c:dateAx>
      <c:valAx>
        <c:axId val="144602544"/>
        <c:scaling>
          <c:orientation val="minMax"/>
        </c:scaling>
        <c:delete val="0"/>
        <c:axPos val="l"/>
        <c:majorGridlines>
          <c:spPr>
            <a:ln w="9525" cap="flat" cmpd="sng" algn="ctr">
              <a:solidFill>
                <a:schemeClr val="bg1">
                  <a:lumMod val="6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Number</a:t>
                </a:r>
                <a:r>
                  <a:rPr lang="en-GB" b="1" baseline="0"/>
                  <a:t> of vaccinations given</a:t>
                </a:r>
                <a:endParaRPr lang="en-GB" b="1"/>
              </a:p>
            </c:rich>
          </c:tx>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60215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60000"/>
                <a:lumOff val="40000"/>
              </a:schemeClr>
            </a:solidFill>
            <a:ln>
              <a:noFill/>
            </a:ln>
            <a:effectLst/>
          </c:spPr>
          <c:invertIfNegative val="0"/>
          <c:cat>
            <c:numRef>
              <c:f>'[CVUHB Graphs Advanced and Enhanced Services.xlsx]CAS 2019'!$B$21:$M$21</c:f>
              <c:numCache>
                <c:formatCode>mmm\-yy</c:formatCode>
                <c:ptCount val="12"/>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numCache>
            </c:numRef>
          </c:cat>
          <c:val>
            <c:numRef>
              <c:f>'[CVUHB Graphs Advanced and Enhanced Services.xlsx]CAS 2019'!$B$22:$M$22</c:f>
              <c:numCache>
                <c:formatCode>General</c:formatCode>
                <c:ptCount val="12"/>
                <c:pt idx="0">
                  <c:v>640</c:v>
                </c:pt>
                <c:pt idx="1">
                  <c:v>765</c:v>
                </c:pt>
                <c:pt idx="2">
                  <c:v>680</c:v>
                </c:pt>
                <c:pt idx="3">
                  <c:v>523</c:v>
                </c:pt>
                <c:pt idx="4">
                  <c:v>520</c:v>
                </c:pt>
                <c:pt idx="5">
                  <c:v>505</c:v>
                </c:pt>
                <c:pt idx="6">
                  <c:v>547</c:v>
                </c:pt>
                <c:pt idx="7">
                  <c:v>438</c:v>
                </c:pt>
                <c:pt idx="8">
                  <c:v>540</c:v>
                </c:pt>
                <c:pt idx="9">
                  <c:v>700</c:v>
                </c:pt>
                <c:pt idx="10">
                  <c:v>447</c:v>
                </c:pt>
                <c:pt idx="11">
                  <c:v>292</c:v>
                </c:pt>
              </c:numCache>
            </c:numRef>
          </c:val>
          <c:extLst xmlns:c16r2="http://schemas.microsoft.com/office/drawing/2015/06/chart">
            <c:ext xmlns:c16="http://schemas.microsoft.com/office/drawing/2014/chart" uri="{C3380CC4-5D6E-409C-BE32-E72D297353CC}">
              <c16:uniqueId val="{00000000-644F-4D34-AEA6-BF3F01EB00EC}"/>
            </c:ext>
          </c:extLst>
        </c:ser>
        <c:dLbls>
          <c:showLegendKey val="0"/>
          <c:showVal val="0"/>
          <c:showCatName val="0"/>
          <c:showSerName val="0"/>
          <c:showPercent val="0"/>
          <c:showBubbleSize val="0"/>
        </c:dLbls>
        <c:gapWidth val="219"/>
        <c:overlap val="-27"/>
        <c:axId val="144603328"/>
        <c:axId val="144603720"/>
      </c:barChart>
      <c:dateAx>
        <c:axId val="1446033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latin typeface="Arial" panose="020B0604020202020204" pitchFamily="34" charset="0"/>
                    <a:cs typeface="Arial" panose="020B0604020202020204" pitchFamily="34" charset="0"/>
                  </a:rPr>
                  <a:t>Months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603720"/>
        <c:crosses val="autoZero"/>
        <c:auto val="1"/>
        <c:lblOffset val="100"/>
        <c:baseTimeUnit val="months"/>
      </c:dateAx>
      <c:valAx>
        <c:axId val="144603720"/>
        <c:scaling>
          <c:orientation val="minMax"/>
        </c:scaling>
        <c:delete val="0"/>
        <c:axPos val="l"/>
        <c:majorGridlines>
          <c:spPr>
            <a:ln w="9525" cap="flat" cmpd="sng" algn="ctr">
              <a:solidFill>
                <a:schemeClr val="bg1">
                  <a:lumMod val="6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latin typeface="Arial" panose="020B0604020202020204" pitchFamily="34" charset="0"/>
                    <a:cs typeface="Arial" panose="020B0604020202020204" pitchFamily="34" charset="0"/>
                  </a:rPr>
                  <a:t>No</a:t>
                </a:r>
                <a:r>
                  <a:rPr lang="en-GB" b="1" baseline="0">
                    <a:latin typeface="Arial" panose="020B0604020202020204" pitchFamily="34" charset="0"/>
                    <a:cs typeface="Arial" panose="020B0604020202020204" pitchFamily="34" charset="0"/>
                  </a:rPr>
                  <a:t> of consultations</a:t>
                </a:r>
                <a:endParaRPr lang="en-GB" b="1">
                  <a:latin typeface="Arial" panose="020B0604020202020204" pitchFamily="34" charset="0"/>
                  <a:cs typeface="Arial" panose="020B0604020202020204" pitchFamily="34" charset="0"/>
                </a:endParaRPr>
              </a:p>
            </c:rich>
          </c:tx>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6033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60000"/>
                <a:lumOff val="40000"/>
              </a:schemeClr>
            </a:solidFill>
            <a:ln>
              <a:noFill/>
            </a:ln>
            <a:effectLst/>
          </c:spPr>
          <c:invertIfNegative val="0"/>
          <c:cat>
            <c:numRef>
              <c:f>'[CVUHB Graphs Advanced and Enhanced Services.xlsx] CAS 2020'!$B$17:$F$17</c:f>
              <c:numCache>
                <c:formatCode>mmm\-yy</c:formatCode>
                <c:ptCount val="5"/>
                <c:pt idx="0">
                  <c:v>43922</c:v>
                </c:pt>
                <c:pt idx="1">
                  <c:v>43952</c:v>
                </c:pt>
                <c:pt idx="2">
                  <c:v>43983</c:v>
                </c:pt>
                <c:pt idx="3">
                  <c:v>44013</c:v>
                </c:pt>
                <c:pt idx="4">
                  <c:v>44044</c:v>
                </c:pt>
              </c:numCache>
            </c:numRef>
          </c:cat>
          <c:val>
            <c:numRef>
              <c:f>'[CVUHB Graphs Advanced and Enhanced Services.xlsx] CAS 2020'!$B$18:$F$18</c:f>
              <c:numCache>
                <c:formatCode>General</c:formatCode>
                <c:ptCount val="5"/>
                <c:pt idx="0">
                  <c:v>454</c:v>
                </c:pt>
                <c:pt idx="1">
                  <c:v>1126</c:v>
                </c:pt>
                <c:pt idx="2">
                  <c:v>747</c:v>
                </c:pt>
                <c:pt idx="3">
                  <c:v>553</c:v>
                </c:pt>
                <c:pt idx="4">
                  <c:v>529</c:v>
                </c:pt>
              </c:numCache>
            </c:numRef>
          </c:val>
          <c:extLst xmlns:c16r2="http://schemas.microsoft.com/office/drawing/2015/06/chart">
            <c:ext xmlns:c16="http://schemas.microsoft.com/office/drawing/2014/chart" uri="{C3380CC4-5D6E-409C-BE32-E72D297353CC}">
              <c16:uniqueId val="{00000000-082D-4540-A62A-BF90A3056436}"/>
            </c:ext>
          </c:extLst>
        </c:ser>
        <c:dLbls>
          <c:showLegendKey val="0"/>
          <c:showVal val="0"/>
          <c:showCatName val="0"/>
          <c:showSerName val="0"/>
          <c:showPercent val="0"/>
          <c:showBubbleSize val="0"/>
        </c:dLbls>
        <c:gapWidth val="219"/>
        <c:overlap val="-27"/>
        <c:axId val="145242872"/>
        <c:axId val="145243264"/>
      </c:barChart>
      <c:dateAx>
        <c:axId val="1452428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Months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243264"/>
        <c:crosses val="autoZero"/>
        <c:auto val="1"/>
        <c:lblOffset val="100"/>
        <c:baseTimeUnit val="months"/>
      </c:dateAx>
      <c:valAx>
        <c:axId val="1452432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n-GB" sz="1000" b="1" i="0" baseline="0">
                    <a:effectLst/>
                  </a:rPr>
                  <a:t>Number of complete consultations</a:t>
                </a:r>
                <a:endParaRPr lang="en-GB"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a:p>
            </c:rich>
          </c:tx>
          <c:layout/>
          <c:overlay val="0"/>
          <c:spPr>
            <a:noFill/>
            <a:ln>
              <a:noFill/>
            </a:ln>
            <a:effectLst/>
          </c:spPr>
          <c:txPr>
            <a:bodyPr rot="0" spcFirstLastPara="1" vertOverflow="ellipsis"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2428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'[CVUHB Graphs Advanced and Enhanced Services.xlsx]CAS Year Comparison'!$B$21</c:f>
              <c:strCache>
                <c:ptCount val="1"/>
                <c:pt idx="0">
                  <c:v>2019-20</c:v>
                </c:pt>
              </c:strCache>
            </c:strRef>
          </c:tx>
          <c:spPr>
            <a:solidFill>
              <a:schemeClr val="accent1"/>
            </a:solidFill>
            <a:ln>
              <a:noFill/>
            </a:ln>
            <a:effectLst/>
          </c:spPr>
          <c:invertIfNegative val="0"/>
          <c:cat>
            <c:strRef>
              <c:f>'[CVUHB Graphs Advanced and Enhanced Services.xlsx]CAS Year Comparison'!$C$20:$N$20</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'[CVUHB Graphs Advanced and Enhanced Services.xlsx]CAS Year Comparison'!$C$21:$N$21</c:f>
              <c:numCache>
                <c:formatCode>General</c:formatCode>
                <c:ptCount val="12"/>
                <c:pt idx="0">
                  <c:v>640</c:v>
                </c:pt>
                <c:pt idx="1">
                  <c:v>765</c:v>
                </c:pt>
                <c:pt idx="2">
                  <c:v>680</c:v>
                </c:pt>
                <c:pt idx="3">
                  <c:v>523</c:v>
                </c:pt>
                <c:pt idx="4">
                  <c:v>520</c:v>
                </c:pt>
                <c:pt idx="5">
                  <c:v>505</c:v>
                </c:pt>
                <c:pt idx="6">
                  <c:v>547</c:v>
                </c:pt>
                <c:pt idx="7">
                  <c:v>438</c:v>
                </c:pt>
                <c:pt idx="8">
                  <c:v>540</c:v>
                </c:pt>
                <c:pt idx="9">
                  <c:v>700</c:v>
                </c:pt>
                <c:pt idx="10">
                  <c:v>447</c:v>
                </c:pt>
                <c:pt idx="11">
                  <c:v>292</c:v>
                </c:pt>
              </c:numCache>
            </c:numRef>
          </c:val>
          <c:extLst xmlns:c16r2="http://schemas.microsoft.com/office/drawing/2015/06/chart">
            <c:ext xmlns:c16="http://schemas.microsoft.com/office/drawing/2014/chart" uri="{C3380CC4-5D6E-409C-BE32-E72D297353CC}">
              <c16:uniqueId val="{00000000-2FCC-49EB-A808-CA2FCCF76A64}"/>
            </c:ext>
          </c:extLst>
        </c:ser>
        <c:ser>
          <c:idx val="1"/>
          <c:order val="1"/>
          <c:tx>
            <c:strRef>
              <c:f>'[CVUHB Graphs Advanced and Enhanced Services.xlsx]CAS Year Comparison'!$B$22</c:f>
              <c:strCache>
                <c:ptCount val="1"/>
                <c:pt idx="0">
                  <c:v>2020-21</c:v>
                </c:pt>
              </c:strCache>
            </c:strRef>
          </c:tx>
          <c:spPr>
            <a:solidFill>
              <a:schemeClr val="accent2"/>
            </a:solidFill>
            <a:ln>
              <a:noFill/>
            </a:ln>
            <a:effectLst/>
          </c:spPr>
          <c:invertIfNegative val="0"/>
          <c:cat>
            <c:strRef>
              <c:f>'[CVUHB Graphs Advanced and Enhanced Services.xlsx]CAS Year Comparison'!$C$20:$N$20</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'[CVUHB Graphs Advanced and Enhanced Services.xlsx]CAS Year Comparison'!$C$22:$N$22</c:f>
              <c:numCache>
                <c:formatCode>General</c:formatCode>
                <c:ptCount val="12"/>
                <c:pt idx="0">
                  <c:v>454</c:v>
                </c:pt>
                <c:pt idx="1">
                  <c:v>1126</c:v>
                </c:pt>
                <c:pt idx="2">
                  <c:v>747</c:v>
                </c:pt>
                <c:pt idx="3">
                  <c:v>553</c:v>
                </c:pt>
                <c:pt idx="4">
                  <c:v>529</c:v>
                </c:pt>
              </c:numCache>
            </c:numRef>
          </c:val>
          <c:extLst xmlns:c16r2="http://schemas.microsoft.com/office/drawing/2015/06/chart">
            <c:ext xmlns:c16="http://schemas.microsoft.com/office/drawing/2014/chart" uri="{C3380CC4-5D6E-409C-BE32-E72D297353CC}">
              <c16:uniqueId val="{00000001-2FCC-49EB-A808-CA2FCCF76A64}"/>
            </c:ext>
          </c:extLst>
        </c:ser>
        <c:dLbls>
          <c:showLegendKey val="0"/>
          <c:showVal val="0"/>
          <c:showCatName val="0"/>
          <c:showSerName val="0"/>
          <c:showPercent val="0"/>
          <c:showBubbleSize val="0"/>
        </c:dLbls>
        <c:gapWidth val="219"/>
        <c:overlap val="-27"/>
        <c:axId val="145244440"/>
        <c:axId val="145244832"/>
      </c:barChart>
      <c:catAx>
        <c:axId val="1452444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Month</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244832"/>
        <c:crosses val="autoZero"/>
        <c:auto val="1"/>
        <c:lblAlgn val="ctr"/>
        <c:lblOffset val="100"/>
        <c:noMultiLvlLbl val="0"/>
      </c:catAx>
      <c:valAx>
        <c:axId val="145244832"/>
        <c:scaling>
          <c:orientation val="minMax"/>
        </c:scaling>
        <c:delete val="0"/>
        <c:axPos val="l"/>
        <c:majorGridlines>
          <c:spPr>
            <a:ln w="9525" cap="flat" cmpd="sng" algn="ctr">
              <a:solidFill>
                <a:schemeClr val="bg1">
                  <a:lumMod val="65000"/>
                </a:schemeClr>
              </a:solidFill>
              <a:round/>
            </a:ln>
            <a:effectLst/>
          </c:spPr>
        </c:majorGridlines>
        <c:title>
          <c:tx>
            <c:rich>
              <a:bodyPr rot="0" spcFirstLastPara="1" vertOverflow="ellipsis"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n-GB" sz="1000" b="1" i="0" baseline="0">
                    <a:effectLst/>
                  </a:rPr>
                  <a:t>Number of complete consultations</a:t>
                </a:r>
                <a:endParaRPr lang="en-GB"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a:p>
            </c:rich>
          </c:tx>
          <c:layout/>
          <c:overlay val="0"/>
          <c:spPr>
            <a:noFill/>
            <a:ln>
              <a:noFill/>
            </a:ln>
            <a:effectLst/>
          </c:spPr>
          <c:txPr>
            <a:bodyPr rot="0" spcFirstLastPara="1" vertOverflow="ellipsis"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24444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60000"/>
                <a:lumOff val="40000"/>
              </a:schemeClr>
            </a:solidFill>
            <a:ln>
              <a:noFill/>
            </a:ln>
            <a:effectLst/>
          </c:spPr>
          <c:invertIfNegative val="0"/>
          <c:cat>
            <c:strRef>
              <c:f>'[Patient and Pubic Quwstionnaire Responses CVUHB.xlsx]Q4'!$P$9:$R$15</c:f>
              <c:strCache>
                <c:ptCount val="7"/>
                <c:pt idx="0">
                  <c:v>7am to 9am</c:v>
                </c:pt>
                <c:pt idx="1">
                  <c:v>9am to 12 noon</c:v>
                </c:pt>
                <c:pt idx="2">
                  <c:v>12 noon to 2pm</c:v>
                </c:pt>
                <c:pt idx="3">
                  <c:v>2pm to 6pm</c:v>
                </c:pt>
                <c:pt idx="4">
                  <c:v>6pm to 9pm</c:v>
                </c:pt>
                <c:pt idx="5">
                  <c:v>9pm to midnight</c:v>
                </c:pt>
                <c:pt idx="6">
                  <c:v>I don’t have a preference</c:v>
                </c:pt>
              </c:strCache>
              <c:extLst xmlns:c16r2="http://schemas.microsoft.com/office/drawing/2015/06/chart"/>
            </c:strRef>
          </c:cat>
          <c:val>
            <c:numRef>
              <c:f>'[Patient and Pubic Quwstionnaire Responses CVUHB.xlsx]Q4'!$S$9:$S$15</c:f>
              <c:numCache>
                <c:formatCode>0.00%</c:formatCode>
                <c:ptCount val="7"/>
                <c:pt idx="0">
                  <c:v>3.5830618892508145E-2</c:v>
                </c:pt>
                <c:pt idx="1">
                  <c:v>0.13029315960912052</c:v>
                </c:pt>
                <c:pt idx="2">
                  <c:v>5.5374592833876218E-2</c:v>
                </c:pt>
                <c:pt idx="3">
                  <c:v>0.23778501628664495</c:v>
                </c:pt>
                <c:pt idx="4">
                  <c:v>0.17263843648208468</c:v>
                </c:pt>
                <c:pt idx="5">
                  <c:v>0</c:v>
                </c:pt>
                <c:pt idx="6">
                  <c:v>0.36807817589576547</c:v>
                </c:pt>
              </c:numCache>
            </c:numRef>
          </c:val>
          <c:extLst xmlns:c16r2="http://schemas.microsoft.com/office/drawing/2015/06/chart">
            <c:ext xmlns:c16="http://schemas.microsoft.com/office/drawing/2014/chart" uri="{C3380CC4-5D6E-409C-BE32-E72D297353CC}">
              <c16:uniqueId val="{00000000-95C3-43B2-9246-BD1DC859F24B}"/>
            </c:ext>
          </c:extLst>
        </c:ser>
        <c:dLbls>
          <c:showLegendKey val="0"/>
          <c:showVal val="0"/>
          <c:showCatName val="0"/>
          <c:showSerName val="0"/>
          <c:showPercent val="0"/>
          <c:showBubbleSize val="0"/>
        </c:dLbls>
        <c:gapWidth val="219"/>
        <c:overlap val="-27"/>
        <c:axId val="122037904"/>
        <c:axId val="122045200"/>
      </c:barChart>
      <c:catAx>
        <c:axId val="122037904"/>
        <c:scaling>
          <c:orientation val="minMax"/>
        </c:scaling>
        <c:delete val="0"/>
        <c:axPos val="b"/>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45200"/>
        <c:crosses val="autoZero"/>
        <c:auto val="1"/>
        <c:lblAlgn val="ctr"/>
        <c:lblOffset val="100"/>
        <c:noMultiLvlLbl val="0"/>
      </c:catAx>
      <c:valAx>
        <c:axId val="122045200"/>
        <c:scaling>
          <c:orientation val="minMax"/>
        </c:scaling>
        <c:delete val="0"/>
        <c:axPos val="l"/>
        <c:majorGridlines>
          <c:spPr>
            <a:ln w="9525" cap="flat" cmpd="sng" algn="ctr">
              <a:solidFill>
                <a:schemeClr val="bg1">
                  <a:lumMod val="6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379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60000"/>
                <a:lumOff val="40000"/>
              </a:schemeClr>
            </a:solidFill>
            <a:ln>
              <a:noFill/>
            </a:ln>
            <a:effectLst/>
          </c:spPr>
          <c:invertIfNegative val="0"/>
          <c:cat>
            <c:numRef>
              <c:f>'[CVUHB Graphs Advanced and Enhanced Services.xlsx]EMS 2019'!$B$22:$M$22</c:f>
              <c:numCache>
                <c:formatCode>mmm\-yy</c:formatCode>
                <c:ptCount val="12"/>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numCache>
            </c:numRef>
          </c:cat>
          <c:val>
            <c:numRef>
              <c:f>'[CVUHB Graphs Advanced and Enhanced Services.xlsx]EMS 2019'!$B$23:$M$23</c:f>
              <c:numCache>
                <c:formatCode>General</c:formatCode>
                <c:ptCount val="12"/>
                <c:pt idx="0">
                  <c:v>73</c:v>
                </c:pt>
                <c:pt idx="1">
                  <c:v>45</c:v>
                </c:pt>
                <c:pt idx="2">
                  <c:v>23</c:v>
                </c:pt>
                <c:pt idx="3">
                  <c:v>55</c:v>
                </c:pt>
                <c:pt idx="4">
                  <c:v>51</c:v>
                </c:pt>
                <c:pt idx="5">
                  <c:v>45</c:v>
                </c:pt>
                <c:pt idx="6">
                  <c:v>53</c:v>
                </c:pt>
                <c:pt idx="7">
                  <c:v>60</c:v>
                </c:pt>
                <c:pt idx="8">
                  <c:v>48</c:v>
                </c:pt>
                <c:pt idx="9">
                  <c:v>78</c:v>
                </c:pt>
                <c:pt idx="10">
                  <c:v>68</c:v>
                </c:pt>
                <c:pt idx="11">
                  <c:v>82</c:v>
                </c:pt>
              </c:numCache>
            </c:numRef>
          </c:val>
          <c:extLst xmlns:c16r2="http://schemas.microsoft.com/office/drawing/2015/06/chart">
            <c:ext xmlns:c16="http://schemas.microsoft.com/office/drawing/2014/chart" uri="{C3380CC4-5D6E-409C-BE32-E72D297353CC}">
              <c16:uniqueId val="{00000000-C6B1-4A39-A06A-C08C197F5D82}"/>
            </c:ext>
          </c:extLst>
        </c:ser>
        <c:dLbls>
          <c:showLegendKey val="0"/>
          <c:showVal val="0"/>
          <c:showCatName val="0"/>
          <c:showSerName val="0"/>
          <c:showPercent val="0"/>
          <c:showBubbleSize val="0"/>
        </c:dLbls>
        <c:gapWidth val="219"/>
        <c:overlap val="-27"/>
        <c:axId val="145246008"/>
        <c:axId val="145246400"/>
      </c:barChart>
      <c:dateAx>
        <c:axId val="1452460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latin typeface="Arial" panose="020B0604020202020204" pitchFamily="34" charset="0"/>
                    <a:cs typeface="Arial" panose="020B0604020202020204" pitchFamily="34" charset="0"/>
                  </a:rPr>
                  <a:t>Months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246400"/>
        <c:crosses val="autoZero"/>
        <c:auto val="1"/>
        <c:lblOffset val="100"/>
        <c:baseTimeUnit val="months"/>
      </c:dateAx>
      <c:valAx>
        <c:axId val="145246400"/>
        <c:scaling>
          <c:orientation val="minMax"/>
        </c:scaling>
        <c:delete val="0"/>
        <c:axPos val="l"/>
        <c:majorGridlines>
          <c:spPr>
            <a:ln w="9525" cap="flat" cmpd="sng" algn="ctr">
              <a:solidFill>
                <a:schemeClr val="bg1">
                  <a:lumMod val="6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latin typeface="Arial" panose="020B0604020202020204" pitchFamily="34" charset="0"/>
                    <a:cs typeface="Arial" panose="020B0604020202020204" pitchFamily="34" charset="0"/>
                  </a:rPr>
                  <a:t>Number</a:t>
                </a:r>
                <a:r>
                  <a:rPr lang="en-GB" b="1" baseline="0">
                    <a:latin typeface="Arial" panose="020B0604020202020204" pitchFamily="34" charset="0"/>
                    <a:cs typeface="Arial" panose="020B0604020202020204" pitchFamily="34" charset="0"/>
                  </a:rPr>
                  <a:t> of consultations</a:t>
                </a:r>
                <a:endParaRPr lang="en-GB" b="1">
                  <a:latin typeface="Arial" panose="020B0604020202020204" pitchFamily="34" charset="0"/>
                  <a:cs typeface="Arial" panose="020B0604020202020204" pitchFamily="34" charset="0"/>
                </a:endParaRPr>
              </a:p>
            </c:rich>
          </c:tx>
          <c:layout/>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2460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lumMod val="60000"/>
                <a:lumOff val="40000"/>
              </a:schemeClr>
            </a:solidFill>
            <a:ln>
              <a:noFill/>
            </a:ln>
            <a:effectLst/>
          </c:spPr>
          <c:invertIfNegative val="0"/>
          <c:cat>
            <c:numRef>
              <c:f>'[CVUHB Graphs Advanced and Enhanced Services.xlsx]EMS 2020'!$B$20:$F$20</c:f>
              <c:numCache>
                <c:formatCode>mmm\-yy</c:formatCode>
                <c:ptCount val="5"/>
                <c:pt idx="0">
                  <c:v>43922</c:v>
                </c:pt>
                <c:pt idx="1">
                  <c:v>43952</c:v>
                </c:pt>
                <c:pt idx="2">
                  <c:v>43983</c:v>
                </c:pt>
                <c:pt idx="3">
                  <c:v>44013</c:v>
                </c:pt>
                <c:pt idx="4">
                  <c:v>44044</c:v>
                </c:pt>
              </c:numCache>
            </c:numRef>
          </c:cat>
          <c:val>
            <c:numRef>
              <c:f>'[CVUHB Graphs Advanced and Enhanced Services.xlsx]EMS 2020'!$B$21:$F$21</c:f>
              <c:numCache>
                <c:formatCode>General</c:formatCode>
                <c:ptCount val="5"/>
                <c:pt idx="0">
                  <c:v>130</c:v>
                </c:pt>
                <c:pt idx="1">
                  <c:v>133</c:v>
                </c:pt>
                <c:pt idx="2">
                  <c:v>161</c:v>
                </c:pt>
                <c:pt idx="3">
                  <c:v>157</c:v>
                </c:pt>
                <c:pt idx="4">
                  <c:v>238</c:v>
                </c:pt>
              </c:numCache>
            </c:numRef>
          </c:val>
          <c:extLst xmlns:c16r2="http://schemas.microsoft.com/office/drawing/2015/06/chart">
            <c:ext xmlns:c16="http://schemas.microsoft.com/office/drawing/2014/chart" uri="{C3380CC4-5D6E-409C-BE32-E72D297353CC}">
              <c16:uniqueId val="{00000000-18D3-47CB-9931-6123CB17CB96}"/>
            </c:ext>
          </c:extLst>
        </c:ser>
        <c:dLbls>
          <c:showLegendKey val="0"/>
          <c:showVal val="0"/>
          <c:showCatName val="0"/>
          <c:showSerName val="0"/>
          <c:showPercent val="0"/>
          <c:showBubbleSize val="0"/>
        </c:dLbls>
        <c:gapWidth val="219"/>
        <c:overlap val="-27"/>
        <c:axId val="144309688"/>
        <c:axId val="144310080"/>
      </c:barChart>
      <c:dateAx>
        <c:axId val="1443096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Months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310080"/>
        <c:crosses val="autoZero"/>
        <c:auto val="1"/>
        <c:lblOffset val="100"/>
        <c:baseTimeUnit val="months"/>
      </c:dateAx>
      <c:valAx>
        <c:axId val="144310080"/>
        <c:scaling>
          <c:orientation val="minMax"/>
        </c:scaling>
        <c:delete val="0"/>
        <c:axPos val="l"/>
        <c:majorGridlines>
          <c:spPr>
            <a:ln w="9525" cap="flat" cmpd="sng" algn="ctr">
              <a:solidFill>
                <a:schemeClr val="bg1">
                  <a:lumMod val="65000"/>
                </a:schemeClr>
              </a:solidFill>
              <a:round/>
            </a:ln>
            <a:effectLst/>
          </c:spPr>
        </c:majorGridlines>
        <c:title>
          <c:tx>
            <c:rich>
              <a:bodyPr rot="0" spcFirstLastPara="1" vertOverflow="ellipsis"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n-GB" sz="1000" b="1" i="0" baseline="0">
                    <a:effectLst/>
                  </a:rPr>
                  <a:t>Number of complete consultations</a:t>
                </a:r>
                <a:endParaRPr lang="en-GB"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a:p>
            </c:rich>
          </c:tx>
          <c:layout/>
          <c:overlay val="0"/>
          <c:spPr>
            <a:noFill/>
            <a:ln>
              <a:noFill/>
            </a:ln>
            <a:effectLst/>
          </c:spPr>
          <c:txPr>
            <a:bodyPr rot="0" spcFirstLastPara="1" vertOverflow="ellipsis"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3096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'[CVUHB Graphs Advanced and Enhanced Services.xlsx]EMS Year Comparison'!$B$21</c:f>
              <c:strCache>
                <c:ptCount val="1"/>
                <c:pt idx="0">
                  <c:v>2019-20</c:v>
                </c:pt>
              </c:strCache>
            </c:strRef>
          </c:tx>
          <c:spPr>
            <a:solidFill>
              <a:schemeClr val="accent1"/>
            </a:solidFill>
            <a:ln>
              <a:noFill/>
            </a:ln>
            <a:effectLst/>
          </c:spPr>
          <c:invertIfNegative val="0"/>
          <c:cat>
            <c:strRef>
              <c:f>'[CVUHB Graphs Advanced and Enhanced Services.xlsx]EMS Year Comparison'!$C$20:$N$20</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'[CVUHB Graphs Advanced and Enhanced Services.xlsx]EMS Year Comparison'!$C$21:$N$21</c:f>
              <c:numCache>
                <c:formatCode>General</c:formatCode>
                <c:ptCount val="12"/>
                <c:pt idx="0">
                  <c:v>73</c:v>
                </c:pt>
                <c:pt idx="1">
                  <c:v>45</c:v>
                </c:pt>
                <c:pt idx="2">
                  <c:v>23</c:v>
                </c:pt>
                <c:pt idx="3">
                  <c:v>55</c:v>
                </c:pt>
                <c:pt idx="4">
                  <c:v>51</c:v>
                </c:pt>
                <c:pt idx="5">
                  <c:v>45</c:v>
                </c:pt>
                <c:pt idx="6">
                  <c:v>53</c:v>
                </c:pt>
                <c:pt idx="7">
                  <c:v>60</c:v>
                </c:pt>
                <c:pt idx="8">
                  <c:v>48</c:v>
                </c:pt>
                <c:pt idx="9">
                  <c:v>78</c:v>
                </c:pt>
                <c:pt idx="10">
                  <c:v>68</c:v>
                </c:pt>
                <c:pt idx="11">
                  <c:v>82</c:v>
                </c:pt>
              </c:numCache>
            </c:numRef>
          </c:val>
          <c:extLst xmlns:c16r2="http://schemas.microsoft.com/office/drawing/2015/06/chart">
            <c:ext xmlns:c16="http://schemas.microsoft.com/office/drawing/2014/chart" uri="{C3380CC4-5D6E-409C-BE32-E72D297353CC}">
              <c16:uniqueId val="{00000000-95AC-41CA-A173-A9A09308C153}"/>
            </c:ext>
          </c:extLst>
        </c:ser>
        <c:ser>
          <c:idx val="1"/>
          <c:order val="1"/>
          <c:tx>
            <c:strRef>
              <c:f>'[CVUHB Graphs Advanced and Enhanced Services.xlsx]EMS Year Comparison'!$B$22</c:f>
              <c:strCache>
                <c:ptCount val="1"/>
                <c:pt idx="0">
                  <c:v>2020-21</c:v>
                </c:pt>
              </c:strCache>
            </c:strRef>
          </c:tx>
          <c:spPr>
            <a:solidFill>
              <a:schemeClr val="accent2"/>
            </a:solidFill>
            <a:ln>
              <a:noFill/>
            </a:ln>
            <a:effectLst/>
          </c:spPr>
          <c:invertIfNegative val="0"/>
          <c:cat>
            <c:strRef>
              <c:f>'[CVUHB Graphs Advanced and Enhanced Services.xlsx]EMS Year Comparison'!$C$20:$N$20</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'[CVUHB Graphs Advanced and Enhanced Services.xlsx]EMS Year Comparison'!$C$22:$N$22</c:f>
              <c:numCache>
                <c:formatCode>General</c:formatCode>
                <c:ptCount val="12"/>
                <c:pt idx="0">
                  <c:v>130</c:v>
                </c:pt>
                <c:pt idx="1">
                  <c:v>133</c:v>
                </c:pt>
                <c:pt idx="2">
                  <c:v>161</c:v>
                </c:pt>
                <c:pt idx="3">
                  <c:v>157</c:v>
                </c:pt>
                <c:pt idx="4">
                  <c:v>238</c:v>
                </c:pt>
              </c:numCache>
            </c:numRef>
          </c:val>
          <c:extLst xmlns:c16r2="http://schemas.microsoft.com/office/drawing/2015/06/chart">
            <c:ext xmlns:c16="http://schemas.microsoft.com/office/drawing/2014/chart" uri="{C3380CC4-5D6E-409C-BE32-E72D297353CC}">
              <c16:uniqueId val="{00000001-95AC-41CA-A173-A9A09308C153}"/>
            </c:ext>
          </c:extLst>
        </c:ser>
        <c:dLbls>
          <c:showLegendKey val="0"/>
          <c:showVal val="0"/>
          <c:showCatName val="0"/>
          <c:showSerName val="0"/>
          <c:showPercent val="0"/>
          <c:showBubbleSize val="0"/>
        </c:dLbls>
        <c:gapWidth val="219"/>
        <c:overlap val="-27"/>
        <c:axId val="144311256"/>
        <c:axId val="144311648"/>
      </c:barChart>
      <c:catAx>
        <c:axId val="1443112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Months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311648"/>
        <c:crosses val="autoZero"/>
        <c:auto val="1"/>
        <c:lblAlgn val="ctr"/>
        <c:lblOffset val="100"/>
        <c:noMultiLvlLbl val="0"/>
      </c:catAx>
      <c:valAx>
        <c:axId val="144311648"/>
        <c:scaling>
          <c:orientation val="minMax"/>
        </c:scaling>
        <c:delete val="0"/>
        <c:axPos val="l"/>
        <c:majorGridlines>
          <c:spPr>
            <a:ln w="9525" cap="flat" cmpd="sng" algn="ctr">
              <a:solidFill>
                <a:schemeClr val="bg1">
                  <a:lumMod val="65000"/>
                </a:schemeClr>
              </a:solidFill>
              <a:round/>
            </a:ln>
            <a:effectLst/>
          </c:spPr>
        </c:majorGridlines>
        <c:title>
          <c:tx>
            <c:rich>
              <a:bodyPr rot="0" spcFirstLastPara="1" vertOverflow="ellipsis"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n-GB" sz="1000" b="1" i="0" baseline="0">
                    <a:effectLst/>
                  </a:rPr>
                  <a:t>Number of complete consultations</a:t>
                </a:r>
                <a:endParaRPr lang="en-GB" sz="10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a:p>
            </c:rich>
          </c:tx>
          <c:layout/>
          <c:overlay val="0"/>
          <c:spPr>
            <a:noFill/>
            <a:ln>
              <a:noFill/>
            </a:ln>
            <a:effectLst/>
          </c:spPr>
          <c:txPr>
            <a:bodyPr rot="0" spcFirstLastPara="1" vertOverflow="ellipsis"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31125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'[Patient and Pubic Quwstionnaire Responses CVUHB.xlsx]Q9'!$AF$4</c:f>
              <c:strCache>
                <c:ptCount val="1"/>
                <c:pt idx="0">
                  <c:v>Total</c:v>
                </c:pt>
              </c:strCache>
            </c:strRef>
          </c:tx>
          <c:spPr>
            <a:solidFill>
              <a:schemeClr val="accent1">
                <a:lumMod val="60000"/>
                <a:lumOff val="40000"/>
              </a:schemeClr>
            </a:solidFill>
            <a:ln>
              <a:noFill/>
            </a:ln>
            <a:effectLst/>
          </c:spPr>
          <c:invertIfNegative val="0"/>
          <c:cat>
            <c:strRef>
              <c:f>'[Patient and Pubic Quwstionnaire Responses CVUHB.xlsx]Q9'!$AE$5:$AE$29</c:f>
              <c:strCache>
                <c:ptCount val="25"/>
                <c:pt idx="0">
                  <c:v>The staff don’t know me</c:v>
                </c:pt>
                <c:pt idx="1">
                  <c:v>The pharmacy was recommended to me</c:v>
                </c:pt>
                <c:pt idx="2">
                  <c:v>I can speak to the staff in my preferred language</c:v>
                </c:pt>
                <c:pt idx="3">
                  <c:v>It is very accessible i.e. wheelchair/baby buggy friendly</c:v>
                </c:pt>
                <c:pt idx="4">
                  <c:v>Close to children’s school or nursery</c:v>
                </c:pt>
                <c:pt idx="5">
                  <c:v>It’s a well-known big chain</c:v>
                </c:pt>
                <c:pt idx="6">
                  <c:v>Other</c:v>
                </c:pt>
                <c:pt idx="7">
                  <c:v>The pharmacy collects my prescription and delivers my medicines</c:v>
                </c:pt>
                <c:pt idx="8">
                  <c:v>Close to work</c:v>
                </c:pt>
                <c:pt idx="9">
                  <c:v>I can order my repeat medicines online or by using their app</c:v>
                </c:pt>
                <c:pt idx="10">
                  <c:v>Close to other shops</c:v>
                </c:pt>
                <c:pt idx="11">
                  <c:v>The service is quick</c:v>
                </c:pt>
                <c:pt idx="12">
                  <c:v>It’s not one of the big chains</c:v>
                </c:pt>
                <c:pt idx="13">
                  <c:v>There is a private area if I need to talk to the pharmacist</c:v>
                </c:pt>
                <c:pt idx="14">
                  <c:v>The staff know me and look after me</c:v>
                </c:pt>
                <c:pt idx="15">
                  <c:v>The pharmacy has good opening hours</c:v>
                </c:pt>
                <c:pt idx="16">
                  <c:v>The pharmacy provide good advice &amp; information</c:v>
                </c:pt>
                <c:pt idx="17">
                  <c:v>I’ve always used this pharmacy</c:v>
                </c:pt>
                <c:pt idx="18">
                  <c:v>They usually have what I need in stock</c:v>
                </c:pt>
                <c:pt idx="19">
                  <c:v>The customer service</c:v>
                </c:pt>
                <c:pt idx="20">
                  <c:v>It is easy to park at the pharmacy</c:v>
                </c:pt>
                <c:pt idx="21">
                  <c:v>I like and trust the staff who work there</c:v>
                </c:pt>
                <c:pt idx="22">
                  <c:v>The location of the pharmacy is easy to get to</c:v>
                </c:pt>
                <c:pt idx="23">
                  <c:v>Close to my doctor</c:v>
                </c:pt>
                <c:pt idx="24">
                  <c:v>Close to my home</c:v>
                </c:pt>
              </c:strCache>
            </c:strRef>
          </c:cat>
          <c:val>
            <c:numRef>
              <c:f>'[Patient and Pubic Quwstionnaire Responses CVUHB.xlsx]Q9'!$AF$5:$AF$29</c:f>
              <c:numCache>
                <c:formatCode>General</c:formatCode>
                <c:ptCount val="25"/>
                <c:pt idx="0">
                  <c:v>2</c:v>
                </c:pt>
                <c:pt idx="1">
                  <c:v>4</c:v>
                </c:pt>
                <c:pt idx="2">
                  <c:v>7</c:v>
                </c:pt>
                <c:pt idx="3">
                  <c:v>13</c:v>
                </c:pt>
                <c:pt idx="4">
                  <c:v>14</c:v>
                </c:pt>
                <c:pt idx="5">
                  <c:v>20</c:v>
                </c:pt>
                <c:pt idx="6">
                  <c:v>22</c:v>
                </c:pt>
                <c:pt idx="7">
                  <c:v>29</c:v>
                </c:pt>
                <c:pt idx="8">
                  <c:v>30</c:v>
                </c:pt>
                <c:pt idx="9">
                  <c:v>38</c:v>
                </c:pt>
                <c:pt idx="10">
                  <c:v>62</c:v>
                </c:pt>
                <c:pt idx="11">
                  <c:v>62</c:v>
                </c:pt>
                <c:pt idx="12">
                  <c:v>63</c:v>
                </c:pt>
                <c:pt idx="13">
                  <c:v>66</c:v>
                </c:pt>
                <c:pt idx="14">
                  <c:v>73</c:v>
                </c:pt>
                <c:pt idx="15">
                  <c:v>73</c:v>
                </c:pt>
                <c:pt idx="16">
                  <c:v>76</c:v>
                </c:pt>
                <c:pt idx="17">
                  <c:v>78</c:v>
                </c:pt>
                <c:pt idx="18">
                  <c:v>84</c:v>
                </c:pt>
                <c:pt idx="19">
                  <c:v>89</c:v>
                </c:pt>
                <c:pt idx="20">
                  <c:v>104</c:v>
                </c:pt>
                <c:pt idx="21">
                  <c:v>125</c:v>
                </c:pt>
                <c:pt idx="22">
                  <c:v>144</c:v>
                </c:pt>
                <c:pt idx="23">
                  <c:v>157</c:v>
                </c:pt>
                <c:pt idx="24">
                  <c:v>229</c:v>
                </c:pt>
              </c:numCache>
            </c:numRef>
          </c:val>
          <c:extLst xmlns:c16r2="http://schemas.microsoft.com/office/drawing/2015/06/chart">
            <c:ext xmlns:c16="http://schemas.microsoft.com/office/drawing/2014/chart" uri="{C3380CC4-5D6E-409C-BE32-E72D297353CC}">
              <c16:uniqueId val="{00000000-8D3D-4AD3-BE75-FCD68AF8C87B}"/>
            </c:ext>
          </c:extLst>
        </c:ser>
        <c:dLbls>
          <c:showLegendKey val="0"/>
          <c:showVal val="0"/>
          <c:showCatName val="0"/>
          <c:showSerName val="0"/>
          <c:showPercent val="0"/>
          <c:showBubbleSize val="0"/>
        </c:dLbls>
        <c:gapWidth val="182"/>
        <c:axId val="145309832"/>
        <c:axId val="145310224"/>
      </c:barChart>
      <c:catAx>
        <c:axId val="145309832"/>
        <c:scaling>
          <c:orientation val="minMax"/>
        </c:scaling>
        <c:delete val="0"/>
        <c:axPos val="l"/>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310224"/>
        <c:crosses val="autoZero"/>
        <c:auto val="0"/>
        <c:lblAlgn val="ctr"/>
        <c:lblOffset val="100"/>
        <c:tickLblSkip val="1"/>
        <c:noMultiLvlLbl val="0"/>
      </c:catAx>
      <c:valAx>
        <c:axId val="145310224"/>
        <c:scaling>
          <c:orientation val="minMax"/>
        </c:scaling>
        <c:delete val="0"/>
        <c:axPos val="b"/>
        <c:majorGridlines>
          <c:spPr>
            <a:ln w="9525" cap="flat" cmpd="sng" algn="ctr">
              <a:solidFill>
                <a:schemeClr val="bg1">
                  <a:lumMod val="6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a:t>
                </a:r>
                <a:endParaRPr lang="en-GB"/>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309832"/>
        <c:crosses val="autoZero"/>
        <c:crossBetween val="between"/>
      </c:valAx>
      <c:spPr>
        <a:noFill/>
        <a:ln>
          <a:solidFill>
            <a:schemeClr val="bg1">
              <a:lumMod val="65000"/>
            </a:schemeClr>
          </a:solid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lumMod val="60000"/>
                <a:lumOff val="40000"/>
              </a:schemeClr>
            </a:solidFill>
            <a:ln>
              <a:noFill/>
            </a:ln>
            <a:effectLst/>
          </c:spPr>
          <c:invertIfNegative val="0"/>
          <c:cat>
            <c:strRef>
              <c:f>'[Patient and Pubic Quwstionnaire Responses CVUHB.xlsx]Q11'!$AC$25:$AC$36</c:f>
              <c:strCache>
                <c:ptCount val="12"/>
                <c:pt idx="0">
                  <c:v>It’s not wheelchair/baby buggy friendly</c:v>
                </c:pt>
                <c:pt idx="1">
                  <c:v>I know the staff and would prefer them not to know what medicines I am taking</c:v>
                </c:pt>
                <c:pt idx="2">
                  <c:v>The pharmacy does not deliver medicines</c:v>
                </c:pt>
                <c:pt idx="3">
                  <c:v>The staff are always changing</c:v>
                </c:pt>
                <c:pt idx="4">
                  <c:v>There is not enough privacy</c:v>
                </c:pt>
                <c:pt idx="5">
                  <c:v>They don’t have what I need in stock</c:v>
                </c:pt>
                <c:pt idx="6">
                  <c:v>The staff don’t know me</c:v>
                </c:pt>
                <c:pt idx="7">
                  <c:v>It’s not open when I need it</c:v>
                </c:pt>
                <c:pt idx="8">
                  <c:v>I have had a bad experience in the past</c:v>
                </c:pt>
                <c:pt idx="9">
                  <c:v>The service is too slow</c:v>
                </c:pt>
                <c:pt idx="10">
                  <c:v>It is not easy to park at the pharmacy</c:v>
                </c:pt>
                <c:pt idx="11">
                  <c:v>Other </c:v>
                </c:pt>
              </c:strCache>
            </c:strRef>
          </c:cat>
          <c:val>
            <c:numRef>
              <c:f>'[Patient and Pubic Quwstionnaire Responses CVUHB.xlsx]Q11'!$AD$25:$AD$36</c:f>
              <c:numCache>
                <c:formatCode>General</c:formatCode>
                <c:ptCount val="12"/>
                <c:pt idx="0">
                  <c:v>0</c:v>
                </c:pt>
                <c:pt idx="1">
                  <c:v>3</c:v>
                </c:pt>
                <c:pt idx="2">
                  <c:v>3</c:v>
                </c:pt>
                <c:pt idx="3">
                  <c:v>8</c:v>
                </c:pt>
                <c:pt idx="4">
                  <c:v>8</c:v>
                </c:pt>
                <c:pt idx="5">
                  <c:v>13</c:v>
                </c:pt>
                <c:pt idx="6">
                  <c:v>14</c:v>
                </c:pt>
                <c:pt idx="7">
                  <c:v>14</c:v>
                </c:pt>
                <c:pt idx="8">
                  <c:v>21</c:v>
                </c:pt>
                <c:pt idx="9">
                  <c:v>22</c:v>
                </c:pt>
                <c:pt idx="10">
                  <c:v>29</c:v>
                </c:pt>
                <c:pt idx="11">
                  <c:v>29</c:v>
                </c:pt>
              </c:numCache>
            </c:numRef>
          </c:val>
          <c:extLst xmlns:c16r2="http://schemas.microsoft.com/office/drawing/2015/06/chart">
            <c:ext xmlns:c16="http://schemas.microsoft.com/office/drawing/2014/chart" uri="{C3380CC4-5D6E-409C-BE32-E72D297353CC}">
              <c16:uniqueId val="{00000000-B083-4F1C-AC5D-BFF596928657}"/>
            </c:ext>
          </c:extLst>
        </c:ser>
        <c:dLbls>
          <c:showLegendKey val="0"/>
          <c:showVal val="0"/>
          <c:showCatName val="0"/>
          <c:showSerName val="0"/>
          <c:showPercent val="0"/>
          <c:showBubbleSize val="0"/>
        </c:dLbls>
        <c:gapWidth val="182"/>
        <c:axId val="145311400"/>
        <c:axId val="145311792"/>
      </c:barChart>
      <c:catAx>
        <c:axId val="145311400"/>
        <c:scaling>
          <c:orientation val="minMax"/>
        </c:scaling>
        <c:delete val="0"/>
        <c:axPos val="l"/>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311792"/>
        <c:crosses val="autoZero"/>
        <c:auto val="1"/>
        <c:lblAlgn val="ctr"/>
        <c:lblOffset val="100"/>
        <c:noMultiLvlLbl val="0"/>
      </c:catAx>
      <c:valAx>
        <c:axId val="145311792"/>
        <c:scaling>
          <c:orientation val="minMax"/>
        </c:scaling>
        <c:delete val="0"/>
        <c:axPos val="b"/>
        <c:majorGridlines>
          <c:spPr>
            <a:ln w="9525" cap="flat" cmpd="sng" algn="ctr">
              <a:solidFill>
                <a:schemeClr val="bg1">
                  <a:lumMod val="6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a:t>
                </a:r>
                <a:endParaRPr lang="en-GB"/>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311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rgbClr val="4F81BD">
                <a:lumMod val="60000"/>
                <a:lumOff val="40000"/>
              </a:srgbClr>
            </a:solidFill>
            <a:ln>
              <a:noFill/>
            </a:ln>
            <a:effectLst/>
          </c:spPr>
          <c:invertIfNegative val="0"/>
          <c:cat>
            <c:strRef>
              <c:f>'[Patient and Pubic Quwstionnaire Responses CVUHB.xlsx]Q5'!$Q$6:$S$15</c:f>
              <c:strCache>
                <c:ptCount val="10"/>
                <c:pt idx="0">
                  <c:v>Monday</c:v>
                </c:pt>
                <c:pt idx="1">
                  <c:v>Tuesday</c:v>
                </c:pt>
                <c:pt idx="2">
                  <c:v>Wednesday</c:v>
                </c:pt>
                <c:pt idx="3">
                  <c:v>Thursday</c:v>
                </c:pt>
                <c:pt idx="4">
                  <c:v>Friday</c:v>
                </c:pt>
                <c:pt idx="5">
                  <c:v>Saturday</c:v>
                </c:pt>
                <c:pt idx="6">
                  <c:v>Sunday</c:v>
                </c:pt>
                <c:pt idx="7">
                  <c:v>Weekdays in general</c:v>
                </c:pt>
                <c:pt idx="8">
                  <c:v>Weekends in general</c:v>
                </c:pt>
                <c:pt idx="9">
                  <c:v>I don’t have a preference</c:v>
                </c:pt>
              </c:strCache>
              <c:extLst xmlns:c16r2="http://schemas.microsoft.com/office/drawing/2015/06/chart"/>
            </c:strRef>
          </c:cat>
          <c:val>
            <c:numRef>
              <c:f>'[Patient and Pubic Quwstionnaire Responses CVUHB.xlsx]Q5'!$T$6:$T$15</c:f>
              <c:numCache>
                <c:formatCode>0.00%</c:formatCode>
                <c:ptCount val="10"/>
                <c:pt idx="0">
                  <c:v>2.922077922077922E-2</c:v>
                </c:pt>
                <c:pt idx="1">
                  <c:v>6.4935064935064939E-3</c:v>
                </c:pt>
                <c:pt idx="2">
                  <c:v>2.2727272727272728E-2</c:v>
                </c:pt>
                <c:pt idx="3">
                  <c:v>1.2987012987012988E-2</c:v>
                </c:pt>
                <c:pt idx="4">
                  <c:v>3.5714285714285712E-2</c:v>
                </c:pt>
                <c:pt idx="5">
                  <c:v>6.4935064935064929E-2</c:v>
                </c:pt>
                <c:pt idx="6">
                  <c:v>3.246753246753247E-3</c:v>
                </c:pt>
                <c:pt idx="7">
                  <c:v>0.19155844155844157</c:v>
                </c:pt>
                <c:pt idx="8">
                  <c:v>0.11363636363636363</c:v>
                </c:pt>
                <c:pt idx="9">
                  <c:v>0.51948051948051943</c:v>
                </c:pt>
              </c:numCache>
            </c:numRef>
          </c:val>
          <c:extLst xmlns:c16r2="http://schemas.microsoft.com/office/drawing/2015/06/chart">
            <c:ext xmlns:c16="http://schemas.microsoft.com/office/drawing/2014/chart" uri="{C3380CC4-5D6E-409C-BE32-E72D297353CC}">
              <c16:uniqueId val="{00000000-C730-478E-96C5-45D55E27EE99}"/>
            </c:ext>
          </c:extLst>
        </c:ser>
        <c:dLbls>
          <c:showLegendKey val="0"/>
          <c:showVal val="0"/>
          <c:showCatName val="0"/>
          <c:showSerName val="0"/>
          <c:showPercent val="0"/>
          <c:showBubbleSize val="0"/>
        </c:dLbls>
        <c:gapWidth val="182"/>
        <c:axId val="122050704"/>
        <c:axId val="122051096"/>
      </c:barChart>
      <c:catAx>
        <c:axId val="122050704"/>
        <c:scaling>
          <c:orientation val="minMax"/>
        </c:scaling>
        <c:delete val="0"/>
        <c:axPos val="l"/>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51096"/>
        <c:crosses val="autoZero"/>
        <c:auto val="1"/>
        <c:lblAlgn val="ctr"/>
        <c:lblOffset val="100"/>
        <c:noMultiLvlLbl val="0"/>
      </c:catAx>
      <c:valAx>
        <c:axId val="122051096"/>
        <c:scaling>
          <c:orientation val="minMax"/>
        </c:scaling>
        <c:delete val="0"/>
        <c:axPos val="b"/>
        <c:majorGridlines>
          <c:spPr>
            <a:ln w="9525" cap="flat" cmpd="sng" algn="ctr">
              <a:solidFill>
                <a:schemeClr val="bg1">
                  <a:lumMod val="65000"/>
                </a:schemeClr>
              </a:solidFill>
              <a:round/>
            </a:ln>
            <a:effectLst/>
          </c:spPr>
        </c:majorGridlines>
        <c:numFmt formatCode="0%" sourceLinked="0"/>
        <c:majorTickMark val="none"/>
        <c:minorTickMark val="none"/>
        <c:tickLblPos val="nextTo"/>
        <c:spPr>
          <a:noFill/>
          <a:ln>
            <a:solidFill>
              <a:schemeClr val="bg1">
                <a:lumMod val="50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50704"/>
        <c:crosses val="autoZero"/>
        <c:crossBetween val="between"/>
      </c:valAx>
      <c:spPr>
        <a:noFill/>
        <a:ln>
          <a:noFill/>
        </a:ln>
        <a:effectLst/>
      </c:spPr>
    </c:plotArea>
    <c:plotVisOnly val="1"/>
    <c:dispBlanksAs val="gap"/>
    <c:showDLblsOverMax val="0"/>
  </c:chart>
  <c:spPr>
    <a:solidFill>
      <a:schemeClr val="bg1"/>
    </a:solidFill>
    <a:ln w="9525" cap="flat" cmpd="sng" algn="ctr">
      <a:solidFill>
        <a:sysClr val="window" lastClr="FFFFFF">
          <a:lumMod val="50000"/>
        </a:sys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'[Patient and Pubic Quwstionnaire Responses CVUHB.xlsx]Q7'!$AD$19</c:f>
              <c:strCache>
                <c:ptCount val="1"/>
                <c:pt idx="0">
                  <c:v>Total</c:v>
                </c:pt>
              </c:strCache>
            </c:strRef>
          </c:tx>
          <c:spPr>
            <a:solidFill>
              <a:schemeClr val="accent1">
                <a:lumMod val="60000"/>
                <a:lumOff val="40000"/>
              </a:schemeClr>
            </a:solidFill>
            <a:ln>
              <a:noFill/>
            </a:ln>
            <a:effectLst/>
          </c:spPr>
          <c:invertIfNegative val="0"/>
          <c:cat>
            <c:strRef>
              <c:f>'[Patient and Pubic Quwstionnaire Responses CVUHB.xlsx]Q7'!$AC$20:$AC$28</c:f>
              <c:strCache>
                <c:ptCount val="9"/>
                <c:pt idx="0">
                  <c:v>Went to the A&amp;E / casualty</c:v>
                </c:pt>
                <c:pt idx="1">
                  <c:v>Went to a minor injury unit</c:v>
                </c:pt>
                <c:pt idx="2">
                  <c:v>Called NHS 111 Wales</c:v>
                </c:pt>
                <c:pt idx="3">
                  <c:v>Called CAV 24/7</c:v>
                </c:pt>
                <c:pt idx="4">
                  <c:v>Contacted the GP Out of Hours (OOH) service</c:v>
                </c:pt>
                <c:pt idx="5">
                  <c:v>Went to my GP</c:v>
                </c:pt>
                <c:pt idx="6">
                  <c:v>Other </c:v>
                </c:pt>
                <c:pt idx="7">
                  <c:v>Waited until the pharmacy was open</c:v>
                </c:pt>
                <c:pt idx="8">
                  <c:v>Went to another pharmacy</c:v>
                </c:pt>
              </c:strCache>
            </c:strRef>
          </c:cat>
          <c:val>
            <c:numRef>
              <c:f>'[Patient and Pubic Quwstionnaire Responses CVUHB.xlsx]Q7'!$AD$20:$AD$28</c:f>
              <c:numCache>
                <c:formatCode>General</c:formatCode>
                <c:ptCount val="9"/>
                <c:pt idx="0">
                  <c:v>0</c:v>
                </c:pt>
                <c:pt idx="1">
                  <c:v>0</c:v>
                </c:pt>
                <c:pt idx="2">
                  <c:v>0</c:v>
                </c:pt>
                <c:pt idx="3">
                  <c:v>0</c:v>
                </c:pt>
                <c:pt idx="4">
                  <c:v>1</c:v>
                </c:pt>
                <c:pt idx="5">
                  <c:v>3</c:v>
                </c:pt>
                <c:pt idx="6">
                  <c:v>6</c:v>
                </c:pt>
                <c:pt idx="7">
                  <c:v>26</c:v>
                </c:pt>
                <c:pt idx="8">
                  <c:v>47</c:v>
                </c:pt>
              </c:numCache>
            </c:numRef>
          </c:val>
          <c:extLst xmlns:c16r2="http://schemas.microsoft.com/office/drawing/2015/06/chart">
            <c:ext xmlns:c16="http://schemas.microsoft.com/office/drawing/2014/chart" uri="{C3380CC4-5D6E-409C-BE32-E72D297353CC}">
              <c16:uniqueId val="{00000000-19F2-4156-A19A-57E40FEF623D}"/>
            </c:ext>
          </c:extLst>
        </c:ser>
        <c:dLbls>
          <c:showLegendKey val="0"/>
          <c:showVal val="0"/>
          <c:showCatName val="0"/>
          <c:showSerName val="0"/>
          <c:showPercent val="0"/>
          <c:showBubbleSize val="0"/>
        </c:dLbls>
        <c:gapWidth val="182"/>
        <c:axId val="122051880"/>
        <c:axId val="122052272"/>
      </c:barChart>
      <c:catAx>
        <c:axId val="122051880"/>
        <c:scaling>
          <c:orientation val="minMax"/>
        </c:scaling>
        <c:delete val="0"/>
        <c:axPos val="l"/>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52272"/>
        <c:crosses val="autoZero"/>
        <c:auto val="1"/>
        <c:lblAlgn val="ctr"/>
        <c:lblOffset val="100"/>
        <c:noMultiLvlLbl val="0"/>
      </c:catAx>
      <c:valAx>
        <c:axId val="122052272"/>
        <c:scaling>
          <c:orientation val="minMax"/>
        </c:scaling>
        <c:delete val="0"/>
        <c:axPos val="b"/>
        <c:majorGridlines>
          <c:spPr>
            <a:ln w="9525" cap="flat" cmpd="sng" algn="ctr">
              <a:solidFill>
                <a:schemeClr val="bg1">
                  <a:lumMod val="6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 of responses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51880"/>
        <c:crosses val="autoZero"/>
        <c:crossBetween val="between"/>
      </c:valAx>
      <c:spPr>
        <a:noFill/>
        <a:ln>
          <a:solidFill>
            <a:schemeClr val="bg1">
              <a:lumMod val="65000"/>
            </a:schemeClr>
          </a:solid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'[Patient and Pubic Quwstionnaire Responses CVUHB.xlsx]Q9'!$AF$4</c:f>
              <c:strCache>
                <c:ptCount val="1"/>
                <c:pt idx="0">
                  <c:v>Total</c:v>
                </c:pt>
              </c:strCache>
            </c:strRef>
          </c:tx>
          <c:spPr>
            <a:solidFill>
              <a:schemeClr val="accent1">
                <a:lumMod val="60000"/>
                <a:lumOff val="40000"/>
              </a:schemeClr>
            </a:solidFill>
            <a:ln>
              <a:noFill/>
            </a:ln>
            <a:effectLst/>
          </c:spPr>
          <c:invertIfNegative val="0"/>
          <c:cat>
            <c:strRef>
              <c:f>'[Patient and Pubic Quwstionnaire Responses CVUHB.xlsx]Q9'!$AE$5:$AE$29</c:f>
              <c:strCache>
                <c:ptCount val="25"/>
                <c:pt idx="0">
                  <c:v>The staff don’t know me</c:v>
                </c:pt>
                <c:pt idx="1">
                  <c:v>The pharmacy was recommended to me</c:v>
                </c:pt>
                <c:pt idx="2">
                  <c:v>I can speak to the staff in my preferred language</c:v>
                </c:pt>
                <c:pt idx="3">
                  <c:v>It is very accessible i.e. wheelchair/baby buggy friendly</c:v>
                </c:pt>
                <c:pt idx="4">
                  <c:v>Close to children’s school or nursery</c:v>
                </c:pt>
                <c:pt idx="5">
                  <c:v>It’s a well-known big chain</c:v>
                </c:pt>
                <c:pt idx="6">
                  <c:v>Other</c:v>
                </c:pt>
                <c:pt idx="7">
                  <c:v>The pharmacy collects my prescription and delivers my medicines</c:v>
                </c:pt>
                <c:pt idx="8">
                  <c:v>Close to work</c:v>
                </c:pt>
                <c:pt idx="9">
                  <c:v>I can order my repeat medicines online or by using their app</c:v>
                </c:pt>
                <c:pt idx="10">
                  <c:v>Close to other shops</c:v>
                </c:pt>
                <c:pt idx="11">
                  <c:v>The service is quick</c:v>
                </c:pt>
                <c:pt idx="12">
                  <c:v>It’s not one of the big chains</c:v>
                </c:pt>
                <c:pt idx="13">
                  <c:v>There is a private area if I need to talk to the pharmacist</c:v>
                </c:pt>
                <c:pt idx="14">
                  <c:v>The staff know me and look after me</c:v>
                </c:pt>
                <c:pt idx="15">
                  <c:v>The pharmacy has good opening hours</c:v>
                </c:pt>
                <c:pt idx="16">
                  <c:v>The pharmacy provide good advice &amp; information</c:v>
                </c:pt>
                <c:pt idx="17">
                  <c:v>I’ve always used this pharmacy</c:v>
                </c:pt>
                <c:pt idx="18">
                  <c:v>They usually have what I need in stock</c:v>
                </c:pt>
                <c:pt idx="19">
                  <c:v>The customer service</c:v>
                </c:pt>
                <c:pt idx="20">
                  <c:v>It is easy to park at the pharmacy</c:v>
                </c:pt>
                <c:pt idx="21">
                  <c:v>I like and trust the staff who work there</c:v>
                </c:pt>
                <c:pt idx="22">
                  <c:v>The location of the pharmacy is easy to get to</c:v>
                </c:pt>
                <c:pt idx="23">
                  <c:v>Close to my doctor</c:v>
                </c:pt>
                <c:pt idx="24">
                  <c:v>Close to my home</c:v>
                </c:pt>
              </c:strCache>
            </c:strRef>
          </c:cat>
          <c:val>
            <c:numRef>
              <c:f>'[Patient and Pubic Quwstionnaire Responses CVUHB.xlsx]Q9'!$AF$5:$AF$29</c:f>
              <c:numCache>
                <c:formatCode>General</c:formatCode>
                <c:ptCount val="25"/>
                <c:pt idx="0">
                  <c:v>2</c:v>
                </c:pt>
                <c:pt idx="1">
                  <c:v>4</c:v>
                </c:pt>
                <c:pt idx="2">
                  <c:v>7</c:v>
                </c:pt>
                <c:pt idx="3">
                  <c:v>13</c:v>
                </c:pt>
                <c:pt idx="4">
                  <c:v>14</c:v>
                </c:pt>
                <c:pt idx="5">
                  <c:v>20</c:v>
                </c:pt>
                <c:pt idx="6">
                  <c:v>22</c:v>
                </c:pt>
                <c:pt idx="7">
                  <c:v>29</c:v>
                </c:pt>
                <c:pt idx="8">
                  <c:v>30</c:v>
                </c:pt>
                <c:pt idx="9">
                  <c:v>38</c:v>
                </c:pt>
                <c:pt idx="10">
                  <c:v>62</c:v>
                </c:pt>
                <c:pt idx="11">
                  <c:v>62</c:v>
                </c:pt>
                <c:pt idx="12">
                  <c:v>63</c:v>
                </c:pt>
                <c:pt idx="13">
                  <c:v>66</c:v>
                </c:pt>
                <c:pt idx="14">
                  <c:v>73</c:v>
                </c:pt>
                <c:pt idx="15">
                  <c:v>73</c:v>
                </c:pt>
                <c:pt idx="16">
                  <c:v>76</c:v>
                </c:pt>
                <c:pt idx="17">
                  <c:v>78</c:v>
                </c:pt>
                <c:pt idx="18">
                  <c:v>84</c:v>
                </c:pt>
                <c:pt idx="19">
                  <c:v>89</c:v>
                </c:pt>
                <c:pt idx="20">
                  <c:v>104</c:v>
                </c:pt>
                <c:pt idx="21">
                  <c:v>125</c:v>
                </c:pt>
                <c:pt idx="22">
                  <c:v>144</c:v>
                </c:pt>
                <c:pt idx="23">
                  <c:v>157</c:v>
                </c:pt>
                <c:pt idx="24">
                  <c:v>229</c:v>
                </c:pt>
              </c:numCache>
            </c:numRef>
          </c:val>
          <c:extLst xmlns:c16r2="http://schemas.microsoft.com/office/drawing/2015/06/chart">
            <c:ext xmlns:c16="http://schemas.microsoft.com/office/drawing/2014/chart" uri="{C3380CC4-5D6E-409C-BE32-E72D297353CC}">
              <c16:uniqueId val="{00000000-C08D-43C8-B0E5-B283B4935C0C}"/>
            </c:ext>
          </c:extLst>
        </c:ser>
        <c:dLbls>
          <c:showLegendKey val="0"/>
          <c:showVal val="0"/>
          <c:showCatName val="0"/>
          <c:showSerName val="0"/>
          <c:showPercent val="0"/>
          <c:showBubbleSize val="0"/>
        </c:dLbls>
        <c:gapWidth val="182"/>
        <c:axId val="122053056"/>
        <c:axId val="122406384"/>
      </c:barChart>
      <c:catAx>
        <c:axId val="122053056"/>
        <c:scaling>
          <c:orientation val="minMax"/>
        </c:scaling>
        <c:delete val="0"/>
        <c:axPos val="l"/>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406384"/>
        <c:crosses val="autoZero"/>
        <c:auto val="0"/>
        <c:lblAlgn val="ctr"/>
        <c:lblOffset val="100"/>
        <c:tickLblSkip val="1"/>
        <c:noMultiLvlLbl val="0"/>
      </c:catAx>
      <c:valAx>
        <c:axId val="122406384"/>
        <c:scaling>
          <c:orientation val="minMax"/>
        </c:scaling>
        <c:delete val="0"/>
        <c:axPos val="b"/>
        <c:majorGridlines>
          <c:spPr>
            <a:ln w="9525" cap="flat" cmpd="sng" algn="ctr">
              <a:solidFill>
                <a:schemeClr val="bg1">
                  <a:lumMod val="6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a:t>
                </a:r>
                <a:endParaRPr lang="en-GB"/>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53056"/>
        <c:crosses val="autoZero"/>
        <c:crossBetween val="between"/>
      </c:valAx>
      <c:spPr>
        <a:noFill/>
        <a:ln>
          <a:solidFill>
            <a:schemeClr val="bg1">
              <a:lumMod val="65000"/>
            </a:schemeClr>
          </a:solid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lumMod val="60000"/>
                <a:lumOff val="40000"/>
              </a:schemeClr>
            </a:solidFill>
            <a:ln>
              <a:noFill/>
            </a:ln>
            <a:effectLst/>
          </c:spPr>
          <c:invertIfNegative val="0"/>
          <c:cat>
            <c:strRef>
              <c:f>'[Patient and Pubic Quwstionnaire Responses CVUHB.xlsx]Q11'!$AC$25:$AC$36</c:f>
              <c:strCache>
                <c:ptCount val="12"/>
                <c:pt idx="0">
                  <c:v>It’s not wheelchair/baby buggy friendly</c:v>
                </c:pt>
                <c:pt idx="1">
                  <c:v>I know the staff and would prefer them not to know what medicines I am taking</c:v>
                </c:pt>
                <c:pt idx="2">
                  <c:v>The pharmacy does not deliver medicines</c:v>
                </c:pt>
                <c:pt idx="3">
                  <c:v>The staff are always changing</c:v>
                </c:pt>
                <c:pt idx="4">
                  <c:v>There is not enough privacy</c:v>
                </c:pt>
                <c:pt idx="5">
                  <c:v>They don’t have what I need in stock</c:v>
                </c:pt>
                <c:pt idx="6">
                  <c:v>The staff don’t know me</c:v>
                </c:pt>
                <c:pt idx="7">
                  <c:v>It’s not open when I need it</c:v>
                </c:pt>
                <c:pt idx="8">
                  <c:v>I have had a bad experience in the past</c:v>
                </c:pt>
                <c:pt idx="9">
                  <c:v>The service is too slow</c:v>
                </c:pt>
                <c:pt idx="10">
                  <c:v>It is not easy to park at the pharmacy</c:v>
                </c:pt>
                <c:pt idx="11">
                  <c:v>Other </c:v>
                </c:pt>
              </c:strCache>
            </c:strRef>
          </c:cat>
          <c:val>
            <c:numRef>
              <c:f>'[Patient and Pubic Quwstionnaire Responses CVUHB.xlsx]Q11'!$AD$25:$AD$36</c:f>
              <c:numCache>
                <c:formatCode>General</c:formatCode>
                <c:ptCount val="12"/>
                <c:pt idx="0">
                  <c:v>0</c:v>
                </c:pt>
                <c:pt idx="1">
                  <c:v>3</c:v>
                </c:pt>
                <c:pt idx="2">
                  <c:v>3</c:v>
                </c:pt>
                <c:pt idx="3">
                  <c:v>8</c:v>
                </c:pt>
                <c:pt idx="4">
                  <c:v>8</c:v>
                </c:pt>
                <c:pt idx="5">
                  <c:v>13</c:v>
                </c:pt>
                <c:pt idx="6">
                  <c:v>14</c:v>
                </c:pt>
                <c:pt idx="7">
                  <c:v>14</c:v>
                </c:pt>
                <c:pt idx="8">
                  <c:v>21</c:v>
                </c:pt>
                <c:pt idx="9">
                  <c:v>22</c:v>
                </c:pt>
                <c:pt idx="10">
                  <c:v>29</c:v>
                </c:pt>
                <c:pt idx="11">
                  <c:v>29</c:v>
                </c:pt>
              </c:numCache>
            </c:numRef>
          </c:val>
          <c:extLst xmlns:c16r2="http://schemas.microsoft.com/office/drawing/2015/06/chart">
            <c:ext xmlns:c16="http://schemas.microsoft.com/office/drawing/2014/chart" uri="{C3380CC4-5D6E-409C-BE32-E72D297353CC}">
              <c16:uniqueId val="{00000000-8E6C-4756-9B94-55A47EF46ED0}"/>
            </c:ext>
          </c:extLst>
        </c:ser>
        <c:dLbls>
          <c:showLegendKey val="0"/>
          <c:showVal val="0"/>
          <c:showCatName val="0"/>
          <c:showSerName val="0"/>
          <c:showPercent val="0"/>
          <c:showBubbleSize val="0"/>
        </c:dLbls>
        <c:gapWidth val="182"/>
        <c:axId val="122407560"/>
        <c:axId val="122407952"/>
      </c:barChart>
      <c:catAx>
        <c:axId val="122407560"/>
        <c:scaling>
          <c:orientation val="minMax"/>
        </c:scaling>
        <c:delete val="0"/>
        <c:axPos val="l"/>
        <c:numFmt formatCode="General" sourceLinked="1"/>
        <c:majorTickMark val="none"/>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407952"/>
        <c:crosses val="autoZero"/>
        <c:auto val="1"/>
        <c:lblAlgn val="ctr"/>
        <c:lblOffset val="100"/>
        <c:noMultiLvlLbl val="0"/>
      </c:catAx>
      <c:valAx>
        <c:axId val="122407952"/>
        <c:scaling>
          <c:orientation val="minMax"/>
        </c:scaling>
        <c:delete val="0"/>
        <c:axPos val="b"/>
        <c:majorGridlines>
          <c:spPr>
            <a:ln w="9525" cap="flat" cmpd="sng" algn="ctr">
              <a:solidFill>
                <a:schemeClr val="bg1">
                  <a:lumMod val="6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responses</a:t>
                </a:r>
                <a:endParaRPr lang="en-GB"/>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4075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3611176727909012"/>
          <c:y val="3.2407407407407406E-2"/>
          <c:w val="0.55833202099737533"/>
          <c:h val="0.93055336832895885"/>
        </c:manualLayout>
      </c:layout>
      <c:pieChart>
        <c:varyColors val="1"/>
        <c:ser>
          <c:idx val="0"/>
          <c:order val="0"/>
          <c:dPt>
            <c:idx val="0"/>
            <c:bubble3D val="0"/>
            <c:spPr>
              <a:solidFill>
                <a:schemeClr val="accent1">
                  <a:lumMod val="60000"/>
                  <a:lumOff val="4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5536-40BA-AD30-95462B1563DF}"/>
              </c:ext>
            </c:extLst>
          </c:dPt>
          <c:dPt>
            <c:idx val="1"/>
            <c:bubble3D val="0"/>
            <c:spPr>
              <a:solidFill>
                <a:schemeClr val="accent4">
                  <a:lumMod val="7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5536-40BA-AD30-95462B1563DF}"/>
              </c:ext>
            </c:extLst>
          </c:dPt>
          <c:dPt>
            <c:idx val="2"/>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5-5536-40BA-AD30-95462B1563DF}"/>
              </c:ext>
            </c:extLst>
          </c:dPt>
          <c:dPt>
            <c:idx val="3"/>
            <c:bubble3D val="0"/>
            <c:spPr>
              <a:solidFill>
                <a:schemeClr val="accent4">
                  <a:lumMod val="60000"/>
                  <a:lumOff val="4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5536-40BA-AD30-95462B1563DF}"/>
              </c:ext>
            </c:extLst>
          </c:dPt>
          <c:cat>
            <c:strRef>
              <c:f>'[Patient and Pubic Quwstionnaire Responses CVUHB.xlsx]Q13'!$AD$5:$AD$8</c:f>
              <c:strCache>
                <c:ptCount val="4"/>
                <c:pt idx="0">
                  <c:v>Less than 5 minutes</c:v>
                </c:pt>
                <c:pt idx="1">
                  <c:v>Between 5 and 15 minutes</c:v>
                </c:pt>
                <c:pt idx="2">
                  <c:v>More than 15 minutes but less than 20 minutes</c:v>
                </c:pt>
                <c:pt idx="3">
                  <c:v>More than 20 minutes</c:v>
                </c:pt>
              </c:strCache>
            </c:strRef>
          </c:cat>
          <c:val>
            <c:numRef>
              <c:f>'[Patient and Pubic Quwstionnaire Responses CVUHB.xlsx]Q13'!$AE$5:$AE$8</c:f>
              <c:numCache>
                <c:formatCode>0.00%</c:formatCode>
                <c:ptCount val="4"/>
                <c:pt idx="0">
                  <c:v>0.375</c:v>
                </c:pt>
                <c:pt idx="1">
                  <c:v>0.52302631578947367</c:v>
                </c:pt>
                <c:pt idx="2">
                  <c:v>6.5789473684210523E-2</c:v>
                </c:pt>
                <c:pt idx="3">
                  <c:v>3.6184210526315791E-2</c:v>
                </c:pt>
              </c:numCache>
            </c:numRef>
          </c:val>
          <c:extLst xmlns:c16r2="http://schemas.microsoft.com/office/drawing/2015/06/chart">
            <c:ext xmlns:c16="http://schemas.microsoft.com/office/drawing/2014/chart" uri="{C3380CC4-5D6E-409C-BE32-E72D297353CC}">
              <c16:uniqueId val="{00000008-5536-40BA-AD30-95462B1563DF}"/>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0"/>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mn-cs"/>
              </a:defRPr>
            </a:pPr>
            <a:endParaRPr lang="en-US"/>
          </a:p>
        </c:txPr>
      </c:legendEntry>
      <c:legendEntry>
        <c:idx val="1"/>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mn-cs"/>
              </a:defRPr>
            </a:pPr>
            <a:endParaRPr lang="en-US"/>
          </a:p>
        </c:txPr>
      </c:legendEntry>
      <c:legendEntry>
        <c:idx val="2"/>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mn-cs"/>
              </a:defRPr>
            </a:pPr>
            <a:endParaRPr lang="en-US"/>
          </a:p>
        </c:txPr>
      </c:legendEntry>
      <c:legendEntry>
        <c:idx val="3"/>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mn-cs"/>
              </a:defRPr>
            </a:pPr>
            <a:endParaRPr lang="en-US"/>
          </a:p>
        </c:txPr>
      </c:legendEntry>
      <c:layout>
        <c:manualLayout>
          <c:xMode val="edge"/>
          <c:yMode val="edge"/>
          <c:x val="2.2837051618547675E-2"/>
          <c:y val="6.0182997958588481E-2"/>
          <c:w val="0.31543678915135603"/>
          <c:h val="0.9120392242636337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withinLinearReversed" id="21">
  <a:schemeClr val="accent1"/>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withinLinearReversed" id="21">
  <a:schemeClr val="accent1"/>
</cs:colorStyle>
</file>

<file path=word/charts/colors19.xml><?xml version="1.0" encoding="utf-8"?>
<cs:colorStyle xmlns:cs="http://schemas.microsoft.com/office/drawing/2012/chartStyle" xmlns:a="http://schemas.openxmlformats.org/drawingml/2006/main" meth="withinLinearReversed" id="21">
  <a:schemeClr val="accent1"/>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withinLinearReversed" id="21">
  <a:schemeClr val="accent1"/>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Reversed" id="25">
  <a:schemeClr val="accent5"/>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C98844-9F11-4409-9AEE-52BC5BC42A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350</Pages>
  <Words>101677</Words>
  <Characters>579563</Characters>
  <Application>Microsoft Office Word</Application>
  <DocSecurity>0</DocSecurity>
  <Lines>4829</Lines>
  <Paragraphs>1359</Paragraphs>
  <ScaleCrop>false</ScaleCrop>
  <HeadingPairs>
    <vt:vector size="2" baseType="variant">
      <vt:variant>
        <vt:lpstr>Title</vt:lpstr>
      </vt:variant>
      <vt:variant>
        <vt:i4>1</vt:i4>
      </vt:variant>
    </vt:vector>
  </HeadingPairs>
  <TitlesOfParts>
    <vt:vector size="1" baseType="lpstr">
      <vt:lpstr>Appendix M – Pharmaceutical List premises index</vt:lpstr>
    </vt:vector>
  </TitlesOfParts>
  <Company/>
  <LinksUpToDate>false</LinksUpToDate>
  <CharactersWithSpaces>679881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 M – Pharmaceutical List premises index</dc:title>
  <dc:creator>Goodson Charlotte</dc:creator>
  <cp:lastModifiedBy>Karen May (Cardiff and Vale UHB - PCIC)</cp:lastModifiedBy>
  <cp:revision>2</cp:revision>
  <cp:lastPrinted>2017-10-13T17:42:00Z</cp:lastPrinted>
  <dcterms:created xsi:type="dcterms:W3CDTF">2021-09-14T15:02:00Z</dcterms:created>
  <dcterms:modified xsi:type="dcterms:W3CDTF">2021-09-14T15:02:00Z</dcterms:modified>
</cp:coreProperties>
</file>